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F732E4" w14:textId="7BB75B79" w:rsidR="00994F93" w:rsidRPr="00B03B51" w:rsidRDefault="00994F93" w:rsidP="00994F93">
      <w:pPr>
        <w:jc w:val="both"/>
        <w:rPr>
          <w:rFonts w:ascii="Times New Roman" w:eastAsia="Times New Roman" w:hAnsi="Times New Roman" w:cs="Times New Roman"/>
          <w:noProof/>
          <w:sz w:val="24"/>
          <w:szCs w:val="20"/>
        </w:rPr>
      </w:pPr>
    </w:p>
    <w:p w14:paraId="443D2A44" w14:textId="79414EAE" w:rsidR="00B3743E" w:rsidRPr="00B03B51" w:rsidRDefault="00B3743E" w:rsidP="00332EA9">
      <w:pPr>
        <w:jc w:val="center"/>
        <w:rPr>
          <w:rFonts w:ascii="Times New Roman" w:eastAsia="Times New Roman" w:hAnsi="Times New Roman" w:cs="Times New Roman"/>
          <w:noProof/>
          <w:sz w:val="24"/>
          <w:szCs w:val="20"/>
        </w:rPr>
      </w:pPr>
      <w:r w:rsidRPr="00B03B51">
        <w:rPr>
          <w:rFonts w:ascii="Times New Roman" w:eastAsia="Times New Roman" w:hAnsi="Times New Roman" w:cs="Times New Roman"/>
          <w:noProof/>
          <w:sz w:val="24"/>
          <w:szCs w:val="20"/>
        </w:rPr>
        <w:drawing>
          <wp:inline distT="0" distB="0" distL="0" distR="0" wp14:anchorId="71A8D6EE" wp14:editId="480D3FC8">
            <wp:extent cx="5760085" cy="8171180"/>
            <wp:effectExtent l="0" t="0" r="0" b="127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0085" cy="8171180"/>
                    </a:xfrm>
                    <a:prstGeom prst="rect">
                      <a:avLst/>
                    </a:prstGeom>
                    <a:noFill/>
                    <a:ln>
                      <a:noFill/>
                    </a:ln>
                  </pic:spPr>
                </pic:pic>
              </a:graphicData>
            </a:graphic>
          </wp:inline>
        </w:drawing>
      </w:r>
    </w:p>
    <w:p w14:paraId="15F7EE45" w14:textId="77777777" w:rsidR="00994F93" w:rsidRPr="00B03B51" w:rsidRDefault="00994F93" w:rsidP="00994F93">
      <w:pPr>
        <w:jc w:val="both"/>
        <w:rPr>
          <w:rFonts w:ascii="Times New Roman" w:eastAsia="Times New Roman" w:hAnsi="Times New Roman" w:cs="Times New Roman"/>
          <w:noProof/>
          <w:sz w:val="24"/>
          <w:szCs w:val="17"/>
        </w:rPr>
      </w:pPr>
    </w:p>
    <w:p w14:paraId="637C808A" w14:textId="77777777" w:rsidR="00994F93" w:rsidRPr="00B03B51" w:rsidRDefault="00994F93" w:rsidP="00994F93">
      <w:pPr>
        <w:rPr>
          <w:rFonts w:ascii="Times New Roman" w:eastAsia="Times New Roman" w:hAnsi="Times New Roman" w:cs="Times New Roman"/>
          <w:noProof/>
          <w:sz w:val="24"/>
          <w:szCs w:val="20"/>
        </w:rPr>
      </w:pPr>
      <w:r w:rsidRPr="00B03B51">
        <w:rPr>
          <w:rFonts w:ascii="Times New Roman" w:hAnsi="Times New Roman" w:cs="Times New Roman"/>
        </w:rPr>
        <w:br w:type="page"/>
      </w:r>
    </w:p>
    <w:p w14:paraId="3A5C262B" w14:textId="2B39D67A" w:rsidR="00994F93" w:rsidRPr="00B03B51" w:rsidRDefault="00994F93" w:rsidP="00994F93">
      <w:pPr>
        <w:jc w:val="both"/>
        <w:rPr>
          <w:rFonts w:ascii="Times New Roman" w:eastAsia="Times New Roman" w:hAnsi="Times New Roman" w:cs="Times New Roman"/>
          <w:noProof/>
          <w:sz w:val="24"/>
          <w:szCs w:val="20"/>
        </w:rPr>
      </w:pPr>
    </w:p>
    <w:p w14:paraId="64E5CACE" w14:textId="26A1371A" w:rsidR="00CF0893" w:rsidRPr="00B03B51" w:rsidRDefault="00CF0893" w:rsidP="00994F93">
      <w:pPr>
        <w:jc w:val="both"/>
        <w:rPr>
          <w:rFonts w:ascii="Times New Roman" w:eastAsia="Times New Roman" w:hAnsi="Times New Roman" w:cs="Times New Roman"/>
          <w:noProof/>
          <w:sz w:val="24"/>
          <w:szCs w:val="20"/>
        </w:rPr>
      </w:pPr>
    </w:p>
    <w:p w14:paraId="11CB98F2" w14:textId="4AB72DBE" w:rsidR="00332EA9" w:rsidRPr="00B03B51" w:rsidRDefault="00332EA9" w:rsidP="00994F93">
      <w:pPr>
        <w:jc w:val="both"/>
        <w:rPr>
          <w:rFonts w:ascii="Times New Roman" w:eastAsia="Times New Roman" w:hAnsi="Times New Roman" w:cs="Times New Roman"/>
          <w:noProof/>
          <w:sz w:val="24"/>
          <w:szCs w:val="20"/>
        </w:rPr>
      </w:pPr>
    </w:p>
    <w:p w14:paraId="7062A3D8" w14:textId="77777777" w:rsidR="00332EA9" w:rsidRPr="00B03B51" w:rsidRDefault="00332EA9" w:rsidP="00994F93">
      <w:pPr>
        <w:jc w:val="both"/>
        <w:rPr>
          <w:rFonts w:ascii="Times New Roman" w:eastAsia="Times New Roman" w:hAnsi="Times New Roman" w:cs="Times New Roman"/>
          <w:noProof/>
          <w:sz w:val="24"/>
          <w:szCs w:val="20"/>
        </w:rPr>
      </w:pPr>
    </w:p>
    <w:p w14:paraId="2C062783" w14:textId="77777777" w:rsidR="00CF0893" w:rsidRPr="00B03B51" w:rsidRDefault="00CF0893" w:rsidP="00994F93">
      <w:pPr>
        <w:jc w:val="both"/>
        <w:rPr>
          <w:rFonts w:ascii="Times New Roman" w:eastAsia="Times New Roman" w:hAnsi="Times New Roman" w:cs="Times New Roman"/>
          <w:noProof/>
          <w:sz w:val="24"/>
          <w:szCs w:val="20"/>
        </w:rPr>
      </w:pPr>
    </w:p>
    <w:p w14:paraId="0C02EF3B" w14:textId="67A05A9C" w:rsidR="00CF0893" w:rsidRPr="00B03B51" w:rsidRDefault="00CF0893" w:rsidP="00994F93">
      <w:pPr>
        <w:jc w:val="both"/>
        <w:rPr>
          <w:rFonts w:ascii="Times New Roman" w:eastAsia="Times New Roman" w:hAnsi="Times New Roman" w:cs="Times New Roman"/>
          <w:noProof/>
          <w:sz w:val="24"/>
          <w:szCs w:val="20"/>
        </w:rPr>
      </w:pPr>
    </w:p>
    <w:p w14:paraId="0DC10B03" w14:textId="41D01AA0" w:rsidR="00CF0893" w:rsidRPr="00B03B51" w:rsidRDefault="00CF0893" w:rsidP="00994F93">
      <w:pPr>
        <w:jc w:val="both"/>
        <w:rPr>
          <w:rFonts w:ascii="Times New Roman" w:eastAsia="Times New Roman" w:hAnsi="Times New Roman" w:cs="Times New Roman"/>
          <w:noProof/>
          <w:sz w:val="24"/>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530"/>
        <w:gridCol w:w="4531"/>
      </w:tblGrid>
      <w:tr w:rsidR="00CF0893" w:rsidRPr="00B03B51" w14:paraId="7902D293" w14:textId="77777777" w:rsidTr="00CF0893">
        <w:tc>
          <w:tcPr>
            <w:tcW w:w="4530" w:type="dxa"/>
            <w:tcBorders>
              <w:right w:val="single" w:sz="4" w:space="0" w:color="auto"/>
            </w:tcBorders>
          </w:tcPr>
          <w:p w14:paraId="06CC467C" w14:textId="2DB7BCB8" w:rsidR="00CF0893" w:rsidRPr="00B03B51" w:rsidRDefault="00CF0893" w:rsidP="00CF0893">
            <w:pPr>
              <w:jc w:val="right"/>
              <w:rPr>
                <w:rFonts w:ascii="Times New Roman" w:eastAsia="Times New Roman" w:hAnsi="Times New Roman" w:cs="Times New Roman"/>
                <w:b/>
                <w:bCs/>
                <w:noProof/>
                <w:sz w:val="24"/>
                <w:szCs w:val="20"/>
              </w:rPr>
            </w:pPr>
            <w:r w:rsidRPr="00B03B51">
              <w:rPr>
                <w:rFonts w:ascii="Times New Roman" w:hAnsi="Times New Roman" w:cs="Times New Roman"/>
                <w:b/>
                <w:bCs/>
                <w:sz w:val="40"/>
                <w:szCs w:val="32"/>
              </w:rPr>
              <w:t>Valdības budžeta deficīta un parāda rokasgrāmata</w:t>
            </w:r>
          </w:p>
        </w:tc>
        <w:tc>
          <w:tcPr>
            <w:tcW w:w="4531" w:type="dxa"/>
            <w:tcBorders>
              <w:left w:val="single" w:sz="4" w:space="0" w:color="auto"/>
            </w:tcBorders>
          </w:tcPr>
          <w:p w14:paraId="65B8AE47" w14:textId="77777777" w:rsidR="00CF0893" w:rsidRPr="00B03B51" w:rsidRDefault="00CF0893" w:rsidP="00994F93">
            <w:pPr>
              <w:jc w:val="both"/>
              <w:rPr>
                <w:rFonts w:ascii="Times New Roman" w:eastAsia="Times New Roman" w:hAnsi="Times New Roman" w:cs="Times New Roman"/>
                <w:noProof/>
                <w:sz w:val="28"/>
              </w:rPr>
            </w:pPr>
          </w:p>
        </w:tc>
      </w:tr>
      <w:tr w:rsidR="00CF0893" w:rsidRPr="00B03B51" w14:paraId="48379174" w14:textId="77777777" w:rsidTr="00CF0893">
        <w:tc>
          <w:tcPr>
            <w:tcW w:w="4530" w:type="dxa"/>
            <w:tcBorders>
              <w:right w:val="single" w:sz="4" w:space="0" w:color="auto"/>
            </w:tcBorders>
          </w:tcPr>
          <w:p w14:paraId="7C554A1C" w14:textId="25B75798" w:rsidR="00CF0893" w:rsidRPr="00B03B51" w:rsidRDefault="00CF0893" w:rsidP="00CF0893">
            <w:pPr>
              <w:jc w:val="right"/>
              <w:rPr>
                <w:rFonts w:ascii="Times New Roman" w:eastAsia="Times New Roman" w:hAnsi="Times New Roman" w:cs="Times New Roman"/>
                <w:b/>
                <w:bCs/>
                <w:noProof/>
                <w:sz w:val="28"/>
              </w:rPr>
            </w:pPr>
            <w:r w:rsidRPr="00B03B51">
              <w:rPr>
                <w:rFonts w:ascii="Times New Roman" w:hAnsi="Times New Roman" w:cs="Times New Roman"/>
                <w:b/>
                <w:bCs/>
                <w:sz w:val="28"/>
              </w:rPr>
              <w:t>EKS 2010 ĪSTENOŠANA</w:t>
            </w:r>
          </w:p>
        </w:tc>
        <w:tc>
          <w:tcPr>
            <w:tcW w:w="4531" w:type="dxa"/>
            <w:tcBorders>
              <w:left w:val="single" w:sz="4" w:space="0" w:color="auto"/>
            </w:tcBorders>
          </w:tcPr>
          <w:p w14:paraId="6F0905FC" w14:textId="642667E6" w:rsidR="00CF0893" w:rsidRPr="00B03B51" w:rsidRDefault="00CF0893" w:rsidP="00994F93">
            <w:pPr>
              <w:jc w:val="both"/>
              <w:rPr>
                <w:rFonts w:ascii="Times New Roman" w:eastAsia="Times New Roman" w:hAnsi="Times New Roman" w:cs="Times New Roman"/>
                <w:b/>
                <w:bCs/>
                <w:noProof/>
                <w:sz w:val="28"/>
              </w:rPr>
            </w:pPr>
            <w:r w:rsidRPr="00B03B51">
              <w:rPr>
                <w:rFonts w:ascii="Times New Roman" w:hAnsi="Times New Roman" w:cs="Times New Roman"/>
                <w:b/>
                <w:bCs/>
                <w:sz w:val="28"/>
              </w:rPr>
              <w:t>2019. gada izdevums</w:t>
            </w:r>
          </w:p>
        </w:tc>
      </w:tr>
    </w:tbl>
    <w:p w14:paraId="7AC4161A" w14:textId="77777777" w:rsidR="00994F93" w:rsidRPr="00B03B51" w:rsidRDefault="00994F93" w:rsidP="00994F93">
      <w:pPr>
        <w:rPr>
          <w:rFonts w:ascii="Times New Roman" w:eastAsia="Arial" w:hAnsi="Times New Roman" w:cs="Times New Roman"/>
          <w:b/>
          <w:bCs/>
          <w:noProof/>
          <w:sz w:val="24"/>
          <w:szCs w:val="20"/>
        </w:rPr>
      </w:pPr>
      <w:r w:rsidRPr="00B03B51">
        <w:rPr>
          <w:rFonts w:ascii="Times New Roman" w:hAnsi="Times New Roman" w:cs="Times New Roman"/>
        </w:rPr>
        <w:br w:type="page"/>
      </w:r>
    </w:p>
    <w:p w14:paraId="4F90E046" w14:textId="411C963D" w:rsidR="00994F93" w:rsidRPr="00B03B51" w:rsidRDefault="00994F93" w:rsidP="00994F93">
      <w:pPr>
        <w:tabs>
          <w:tab w:val="left" w:pos="3585"/>
        </w:tabs>
        <w:jc w:val="both"/>
        <w:rPr>
          <w:rFonts w:ascii="Times New Roman" w:eastAsia="Arial" w:hAnsi="Times New Roman" w:cs="Times New Roman"/>
          <w:b/>
          <w:bCs/>
          <w:noProof/>
          <w:sz w:val="24"/>
          <w:szCs w:val="20"/>
        </w:rPr>
      </w:pPr>
    </w:p>
    <w:p w14:paraId="00BC79C1" w14:textId="5997A18D" w:rsidR="00CF0893" w:rsidRPr="00B03B51" w:rsidRDefault="00CF0893" w:rsidP="00994F93">
      <w:pPr>
        <w:tabs>
          <w:tab w:val="left" w:pos="3585"/>
        </w:tabs>
        <w:jc w:val="both"/>
        <w:rPr>
          <w:rFonts w:ascii="Times New Roman" w:eastAsia="Arial" w:hAnsi="Times New Roman" w:cs="Times New Roman"/>
          <w:b/>
          <w:bCs/>
          <w:noProof/>
          <w:sz w:val="24"/>
          <w:szCs w:val="20"/>
        </w:rPr>
      </w:pPr>
    </w:p>
    <w:p w14:paraId="291D8028" w14:textId="6BCA4CFB" w:rsidR="00CF0893" w:rsidRPr="00B03B51" w:rsidRDefault="00CF0893" w:rsidP="00994F93">
      <w:pPr>
        <w:tabs>
          <w:tab w:val="left" w:pos="3585"/>
        </w:tabs>
        <w:jc w:val="both"/>
        <w:rPr>
          <w:rFonts w:ascii="Times New Roman" w:eastAsia="Arial" w:hAnsi="Times New Roman" w:cs="Times New Roman"/>
          <w:b/>
          <w:bCs/>
          <w:noProof/>
          <w:sz w:val="24"/>
          <w:szCs w:val="20"/>
        </w:rPr>
      </w:pPr>
    </w:p>
    <w:p w14:paraId="4AF819D7" w14:textId="2B04333C" w:rsidR="00CF0893" w:rsidRPr="00B03B51" w:rsidRDefault="00CF0893" w:rsidP="00994F93">
      <w:pPr>
        <w:tabs>
          <w:tab w:val="left" w:pos="3585"/>
        </w:tabs>
        <w:jc w:val="both"/>
        <w:rPr>
          <w:rFonts w:ascii="Times New Roman" w:eastAsia="Arial" w:hAnsi="Times New Roman" w:cs="Times New Roman"/>
          <w:b/>
          <w:bCs/>
          <w:noProof/>
          <w:sz w:val="24"/>
          <w:szCs w:val="20"/>
        </w:rPr>
      </w:pPr>
    </w:p>
    <w:p w14:paraId="5B2E4E60" w14:textId="1A81A0F4" w:rsidR="00CF0893" w:rsidRPr="00B03B51" w:rsidRDefault="00CF0893" w:rsidP="00994F93">
      <w:pPr>
        <w:tabs>
          <w:tab w:val="left" w:pos="3585"/>
        </w:tabs>
        <w:jc w:val="both"/>
        <w:rPr>
          <w:rFonts w:ascii="Times New Roman" w:eastAsia="Arial" w:hAnsi="Times New Roman" w:cs="Times New Roman"/>
          <w:b/>
          <w:bCs/>
          <w:noProof/>
          <w:sz w:val="24"/>
          <w:szCs w:val="20"/>
        </w:rPr>
      </w:pPr>
    </w:p>
    <w:p w14:paraId="7A086F94" w14:textId="30AD70C9" w:rsidR="00CF0893" w:rsidRPr="00B03B51" w:rsidRDefault="00CF0893" w:rsidP="00994F93">
      <w:pPr>
        <w:tabs>
          <w:tab w:val="left" w:pos="3585"/>
        </w:tabs>
        <w:jc w:val="both"/>
        <w:rPr>
          <w:rFonts w:ascii="Times New Roman" w:eastAsia="Arial" w:hAnsi="Times New Roman" w:cs="Times New Roman"/>
          <w:b/>
          <w:bCs/>
          <w:noProof/>
          <w:sz w:val="24"/>
          <w:szCs w:val="20"/>
        </w:rPr>
      </w:pPr>
    </w:p>
    <w:p w14:paraId="08CC97C7" w14:textId="2BE76F15" w:rsidR="00CF0893" w:rsidRPr="00B03B51" w:rsidRDefault="00CF0893" w:rsidP="00994F93">
      <w:pPr>
        <w:tabs>
          <w:tab w:val="left" w:pos="3585"/>
        </w:tabs>
        <w:jc w:val="both"/>
        <w:rPr>
          <w:rFonts w:ascii="Times New Roman" w:eastAsia="Arial" w:hAnsi="Times New Roman" w:cs="Times New Roman"/>
          <w:b/>
          <w:bCs/>
          <w:noProof/>
          <w:sz w:val="24"/>
          <w:szCs w:val="20"/>
        </w:rPr>
      </w:pPr>
    </w:p>
    <w:p w14:paraId="689D3E89" w14:textId="7374F9AA" w:rsidR="00CF0893" w:rsidRPr="00B03B51" w:rsidRDefault="00CF0893" w:rsidP="00994F93">
      <w:pPr>
        <w:tabs>
          <w:tab w:val="left" w:pos="3585"/>
        </w:tabs>
        <w:jc w:val="both"/>
        <w:rPr>
          <w:rFonts w:ascii="Times New Roman" w:eastAsia="Arial" w:hAnsi="Times New Roman" w:cs="Times New Roman"/>
          <w:b/>
          <w:bCs/>
          <w:noProof/>
          <w:sz w:val="24"/>
          <w:szCs w:val="20"/>
        </w:rPr>
      </w:pPr>
    </w:p>
    <w:p w14:paraId="699ADE2D" w14:textId="754A4214" w:rsidR="00CF0893" w:rsidRPr="00B03B51" w:rsidRDefault="00CF0893" w:rsidP="00994F93">
      <w:pPr>
        <w:tabs>
          <w:tab w:val="left" w:pos="3585"/>
        </w:tabs>
        <w:jc w:val="both"/>
        <w:rPr>
          <w:rFonts w:ascii="Times New Roman" w:eastAsia="Arial" w:hAnsi="Times New Roman" w:cs="Times New Roman"/>
          <w:b/>
          <w:bCs/>
          <w:noProof/>
          <w:sz w:val="24"/>
          <w:szCs w:val="20"/>
        </w:rPr>
      </w:pPr>
    </w:p>
    <w:p w14:paraId="3CD60263" w14:textId="79265306" w:rsidR="00CF0893" w:rsidRPr="00B03B51" w:rsidRDefault="00CF0893" w:rsidP="00994F93">
      <w:pPr>
        <w:tabs>
          <w:tab w:val="left" w:pos="3585"/>
        </w:tabs>
        <w:jc w:val="both"/>
        <w:rPr>
          <w:rFonts w:ascii="Times New Roman" w:eastAsia="Arial" w:hAnsi="Times New Roman" w:cs="Times New Roman"/>
          <w:b/>
          <w:bCs/>
          <w:noProof/>
          <w:sz w:val="24"/>
          <w:szCs w:val="20"/>
        </w:rPr>
      </w:pPr>
    </w:p>
    <w:p w14:paraId="4E4BFCD3" w14:textId="542EF701" w:rsidR="00CF0893" w:rsidRPr="00B03B51" w:rsidRDefault="00CF0893" w:rsidP="00994F93">
      <w:pPr>
        <w:tabs>
          <w:tab w:val="left" w:pos="3585"/>
        </w:tabs>
        <w:jc w:val="both"/>
        <w:rPr>
          <w:rFonts w:ascii="Times New Roman" w:eastAsia="Arial" w:hAnsi="Times New Roman" w:cs="Times New Roman"/>
          <w:b/>
          <w:bCs/>
          <w:noProof/>
          <w:sz w:val="24"/>
          <w:szCs w:val="20"/>
        </w:rPr>
      </w:pPr>
    </w:p>
    <w:p w14:paraId="28C6BEBA" w14:textId="6B8FA57B" w:rsidR="00CF0893" w:rsidRPr="00B03B51" w:rsidRDefault="00CF0893" w:rsidP="00994F93">
      <w:pPr>
        <w:tabs>
          <w:tab w:val="left" w:pos="3585"/>
        </w:tabs>
        <w:jc w:val="both"/>
        <w:rPr>
          <w:rFonts w:ascii="Times New Roman" w:eastAsia="Arial" w:hAnsi="Times New Roman" w:cs="Times New Roman"/>
          <w:b/>
          <w:bCs/>
          <w:noProof/>
          <w:sz w:val="24"/>
          <w:szCs w:val="20"/>
        </w:rPr>
      </w:pPr>
    </w:p>
    <w:p w14:paraId="00CC5D91" w14:textId="3B2E3D25" w:rsidR="00CF0893" w:rsidRPr="00B03B51" w:rsidRDefault="00CF0893" w:rsidP="00994F93">
      <w:pPr>
        <w:tabs>
          <w:tab w:val="left" w:pos="3585"/>
        </w:tabs>
        <w:jc w:val="both"/>
        <w:rPr>
          <w:rFonts w:ascii="Times New Roman" w:eastAsia="Arial" w:hAnsi="Times New Roman" w:cs="Times New Roman"/>
          <w:b/>
          <w:bCs/>
          <w:noProof/>
          <w:sz w:val="24"/>
          <w:szCs w:val="20"/>
        </w:rPr>
      </w:pPr>
    </w:p>
    <w:p w14:paraId="77EC9A7E" w14:textId="4AEFC836" w:rsidR="00CF0893" w:rsidRPr="00B03B51" w:rsidRDefault="00CF0893" w:rsidP="00994F93">
      <w:pPr>
        <w:tabs>
          <w:tab w:val="left" w:pos="3585"/>
        </w:tabs>
        <w:jc w:val="both"/>
        <w:rPr>
          <w:rFonts w:ascii="Times New Roman" w:eastAsia="Arial" w:hAnsi="Times New Roman" w:cs="Times New Roman"/>
          <w:b/>
          <w:bCs/>
          <w:noProof/>
          <w:sz w:val="24"/>
          <w:szCs w:val="20"/>
        </w:rPr>
      </w:pPr>
    </w:p>
    <w:p w14:paraId="6BE0A3F2" w14:textId="23FE5D12" w:rsidR="00CF0893" w:rsidRPr="00B03B51" w:rsidRDefault="00CF0893" w:rsidP="00994F93">
      <w:pPr>
        <w:tabs>
          <w:tab w:val="left" w:pos="3585"/>
        </w:tabs>
        <w:jc w:val="both"/>
        <w:rPr>
          <w:rFonts w:ascii="Times New Roman" w:eastAsia="Arial" w:hAnsi="Times New Roman" w:cs="Times New Roman"/>
          <w:b/>
          <w:bCs/>
          <w:noProof/>
          <w:sz w:val="24"/>
          <w:szCs w:val="20"/>
        </w:rPr>
      </w:pPr>
    </w:p>
    <w:p w14:paraId="70455394" w14:textId="2EA43F04" w:rsidR="00CF0893" w:rsidRPr="00B03B51" w:rsidRDefault="00CF0893" w:rsidP="00994F93">
      <w:pPr>
        <w:tabs>
          <w:tab w:val="left" w:pos="3585"/>
        </w:tabs>
        <w:jc w:val="both"/>
        <w:rPr>
          <w:rFonts w:ascii="Times New Roman" w:eastAsia="Arial" w:hAnsi="Times New Roman" w:cs="Times New Roman"/>
          <w:b/>
          <w:bCs/>
          <w:noProof/>
          <w:sz w:val="24"/>
          <w:szCs w:val="20"/>
        </w:rPr>
      </w:pPr>
    </w:p>
    <w:p w14:paraId="6E1245CE" w14:textId="4E0CE95E" w:rsidR="00CF0893" w:rsidRPr="00B03B51" w:rsidRDefault="00CF0893" w:rsidP="00994F93">
      <w:pPr>
        <w:tabs>
          <w:tab w:val="left" w:pos="3585"/>
        </w:tabs>
        <w:jc w:val="both"/>
        <w:rPr>
          <w:rFonts w:ascii="Times New Roman" w:eastAsia="Arial" w:hAnsi="Times New Roman" w:cs="Times New Roman"/>
          <w:b/>
          <w:bCs/>
          <w:noProof/>
          <w:sz w:val="24"/>
          <w:szCs w:val="20"/>
        </w:rPr>
      </w:pPr>
    </w:p>
    <w:p w14:paraId="6061ACF6" w14:textId="1E355633" w:rsidR="00CF0893" w:rsidRPr="00B03B51" w:rsidRDefault="00CF0893" w:rsidP="00994F93">
      <w:pPr>
        <w:tabs>
          <w:tab w:val="left" w:pos="3585"/>
        </w:tabs>
        <w:jc w:val="both"/>
        <w:rPr>
          <w:rFonts w:ascii="Times New Roman" w:eastAsia="Arial" w:hAnsi="Times New Roman" w:cs="Times New Roman"/>
          <w:b/>
          <w:bCs/>
          <w:noProof/>
          <w:sz w:val="24"/>
          <w:szCs w:val="20"/>
        </w:rPr>
      </w:pPr>
    </w:p>
    <w:p w14:paraId="7F38AD87" w14:textId="3C660D6D" w:rsidR="00CF0893" w:rsidRPr="00B03B51" w:rsidRDefault="00CF0893" w:rsidP="00994F93">
      <w:pPr>
        <w:tabs>
          <w:tab w:val="left" w:pos="3585"/>
        </w:tabs>
        <w:jc w:val="both"/>
        <w:rPr>
          <w:rFonts w:ascii="Times New Roman" w:eastAsia="Arial" w:hAnsi="Times New Roman" w:cs="Times New Roman"/>
          <w:b/>
          <w:bCs/>
          <w:noProof/>
          <w:sz w:val="24"/>
          <w:szCs w:val="20"/>
        </w:rPr>
      </w:pPr>
    </w:p>
    <w:p w14:paraId="321DF254" w14:textId="41E6514A" w:rsidR="00CF0893" w:rsidRPr="00B03B51" w:rsidRDefault="00CF0893" w:rsidP="00994F93">
      <w:pPr>
        <w:tabs>
          <w:tab w:val="left" w:pos="3585"/>
        </w:tabs>
        <w:jc w:val="both"/>
        <w:rPr>
          <w:rFonts w:ascii="Times New Roman" w:eastAsia="Arial" w:hAnsi="Times New Roman" w:cs="Times New Roman"/>
          <w:b/>
          <w:bCs/>
          <w:noProof/>
          <w:sz w:val="24"/>
          <w:szCs w:val="20"/>
        </w:rPr>
      </w:pPr>
    </w:p>
    <w:p w14:paraId="3BC95661" w14:textId="3603A08E" w:rsidR="00CF0893" w:rsidRPr="00B03B51" w:rsidRDefault="00CF0893" w:rsidP="00994F93">
      <w:pPr>
        <w:tabs>
          <w:tab w:val="left" w:pos="3585"/>
        </w:tabs>
        <w:jc w:val="both"/>
        <w:rPr>
          <w:rFonts w:ascii="Times New Roman" w:eastAsia="Arial" w:hAnsi="Times New Roman" w:cs="Times New Roman"/>
          <w:b/>
          <w:bCs/>
          <w:noProof/>
          <w:sz w:val="24"/>
          <w:szCs w:val="20"/>
        </w:rPr>
      </w:pPr>
    </w:p>
    <w:p w14:paraId="44332ED8" w14:textId="7A98E457" w:rsidR="00CF0893" w:rsidRPr="00B03B51" w:rsidRDefault="00CF0893" w:rsidP="00994F93">
      <w:pPr>
        <w:tabs>
          <w:tab w:val="left" w:pos="3585"/>
        </w:tabs>
        <w:jc w:val="both"/>
        <w:rPr>
          <w:rFonts w:ascii="Times New Roman" w:eastAsia="Arial" w:hAnsi="Times New Roman" w:cs="Times New Roman"/>
          <w:b/>
          <w:bCs/>
          <w:noProof/>
          <w:sz w:val="24"/>
          <w:szCs w:val="20"/>
        </w:rPr>
      </w:pPr>
    </w:p>
    <w:p w14:paraId="1DD1D00C" w14:textId="77777777" w:rsidR="00CF0893" w:rsidRPr="00B03B51" w:rsidRDefault="00CF0893" w:rsidP="00994F93">
      <w:pPr>
        <w:tabs>
          <w:tab w:val="left" w:pos="3585"/>
        </w:tabs>
        <w:jc w:val="both"/>
        <w:rPr>
          <w:rFonts w:ascii="Times New Roman" w:eastAsia="Arial" w:hAnsi="Times New Roman" w:cs="Times New Roman"/>
          <w:b/>
          <w:bCs/>
          <w:noProof/>
          <w:sz w:val="24"/>
          <w:szCs w:val="20"/>
        </w:rPr>
      </w:pPr>
    </w:p>
    <w:p w14:paraId="03F8CEF3" w14:textId="13347CCC" w:rsidR="00994F93" w:rsidRPr="00B03B51" w:rsidRDefault="00994F93" w:rsidP="00994F93">
      <w:pPr>
        <w:jc w:val="both"/>
        <w:rPr>
          <w:rFonts w:ascii="Times New Roman" w:eastAsia="Arial" w:hAnsi="Times New Roman" w:cs="Times New Roman"/>
          <w:b/>
          <w:bCs/>
          <w:noProof/>
          <w:sz w:val="20"/>
          <w:szCs w:val="20"/>
        </w:rPr>
      </w:pPr>
    </w:p>
    <w:p w14:paraId="5FA4642A" w14:textId="40A39917" w:rsidR="00332EA9" w:rsidRPr="00B03B51" w:rsidRDefault="00332EA9" w:rsidP="00994F93">
      <w:pPr>
        <w:jc w:val="both"/>
        <w:rPr>
          <w:rFonts w:ascii="Times New Roman" w:eastAsia="Arial" w:hAnsi="Times New Roman" w:cs="Times New Roman"/>
          <w:b/>
          <w:bCs/>
          <w:noProof/>
          <w:sz w:val="20"/>
          <w:szCs w:val="20"/>
        </w:rPr>
      </w:pPr>
    </w:p>
    <w:p w14:paraId="5F34EE88" w14:textId="0CAFB5D2" w:rsidR="00332EA9" w:rsidRPr="00B03B51" w:rsidRDefault="00332EA9" w:rsidP="00994F93">
      <w:pPr>
        <w:jc w:val="both"/>
        <w:rPr>
          <w:rFonts w:ascii="Times New Roman" w:eastAsia="Arial" w:hAnsi="Times New Roman" w:cs="Times New Roman"/>
          <w:b/>
          <w:bCs/>
          <w:noProof/>
          <w:sz w:val="20"/>
          <w:szCs w:val="20"/>
        </w:rPr>
      </w:pPr>
    </w:p>
    <w:p w14:paraId="4BDEE7AB" w14:textId="544F9C42" w:rsidR="00332EA9" w:rsidRPr="00B03B51" w:rsidRDefault="00332EA9" w:rsidP="00994F93">
      <w:pPr>
        <w:jc w:val="both"/>
        <w:rPr>
          <w:rFonts w:ascii="Times New Roman" w:eastAsia="Arial" w:hAnsi="Times New Roman" w:cs="Times New Roman"/>
          <w:b/>
          <w:bCs/>
          <w:noProof/>
          <w:sz w:val="20"/>
          <w:szCs w:val="20"/>
        </w:rPr>
      </w:pPr>
    </w:p>
    <w:p w14:paraId="0D2A78CE" w14:textId="31692EBC" w:rsidR="00931B19" w:rsidRPr="00B03B51" w:rsidRDefault="00931B19" w:rsidP="00994F93">
      <w:pPr>
        <w:jc w:val="both"/>
        <w:rPr>
          <w:rFonts w:ascii="Times New Roman" w:eastAsia="Arial" w:hAnsi="Times New Roman" w:cs="Times New Roman"/>
          <w:b/>
          <w:bCs/>
          <w:noProof/>
          <w:sz w:val="20"/>
          <w:szCs w:val="20"/>
        </w:rPr>
      </w:pPr>
    </w:p>
    <w:p w14:paraId="2B32A91B" w14:textId="77777777" w:rsidR="00931B19" w:rsidRPr="00B03B51" w:rsidRDefault="00931B19" w:rsidP="00994F93">
      <w:pPr>
        <w:jc w:val="both"/>
        <w:rPr>
          <w:rFonts w:ascii="Times New Roman" w:eastAsia="Arial" w:hAnsi="Times New Roman" w:cs="Times New Roman"/>
          <w:b/>
          <w:bCs/>
          <w:noProof/>
          <w:sz w:val="20"/>
          <w:szCs w:val="20"/>
        </w:rPr>
      </w:pPr>
    </w:p>
    <w:p w14:paraId="5A5D419F" w14:textId="77777777" w:rsidR="00332EA9" w:rsidRPr="00B03B51" w:rsidRDefault="00332EA9" w:rsidP="00994F93">
      <w:pPr>
        <w:jc w:val="both"/>
        <w:rPr>
          <w:rFonts w:ascii="Times New Roman" w:eastAsia="Arial" w:hAnsi="Times New Roman" w:cs="Times New Roman"/>
          <w:b/>
          <w:bCs/>
          <w:noProof/>
          <w:sz w:val="20"/>
          <w:szCs w:val="20"/>
        </w:rPr>
      </w:pPr>
    </w:p>
    <w:p w14:paraId="7B27FADE" w14:textId="77777777" w:rsidR="00994F93" w:rsidRPr="00B03B51" w:rsidRDefault="00994F93" w:rsidP="00994F93">
      <w:pPr>
        <w:jc w:val="both"/>
        <w:rPr>
          <w:rFonts w:ascii="Times New Roman" w:hAnsi="Times New Roman" w:cs="Times New Roman"/>
          <w:noProof/>
          <w:sz w:val="20"/>
          <w:szCs w:val="20"/>
        </w:rPr>
      </w:pPr>
      <w:r w:rsidRPr="00B03B51">
        <w:rPr>
          <w:rFonts w:ascii="Times New Roman" w:hAnsi="Times New Roman" w:cs="Times New Roman"/>
          <w:sz w:val="20"/>
          <w:szCs w:val="20"/>
        </w:rPr>
        <w:t>Manuskripts pabeigts 2019. gada jūlijā</w:t>
      </w:r>
    </w:p>
    <w:p w14:paraId="47D01880" w14:textId="77777777" w:rsidR="00994F93" w:rsidRPr="00B03B51" w:rsidRDefault="00994F93" w:rsidP="00994F93">
      <w:pPr>
        <w:jc w:val="both"/>
        <w:rPr>
          <w:rFonts w:ascii="Times New Roman" w:eastAsia="Arial" w:hAnsi="Times New Roman" w:cs="Times New Roman"/>
          <w:noProof/>
          <w:sz w:val="20"/>
          <w:szCs w:val="20"/>
        </w:rPr>
      </w:pPr>
    </w:p>
    <w:p w14:paraId="1548B81A" w14:textId="77777777" w:rsidR="00994F93" w:rsidRPr="00B03B51" w:rsidRDefault="00994F93" w:rsidP="00994F93">
      <w:pPr>
        <w:jc w:val="both"/>
        <w:rPr>
          <w:rFonts w:ascii="Times New Roman" w:hAnsi="Times New Roman" w:cs="Times New Roman"/>
          <w:i/>
          <w:noProof/>
          <w:sz w:val="20"/>
          <w:szCs w:val="20"/>
        </w:rPr>
      </w:pPr>
      <w:r w:rsidRPr="00B03B51">
        <w:rPr>
          <w:rFonts w:ascii="Times New Roman" w:hAnsi="Times New Roman" w:cs="Times New Roman"/>
          <w:i/>
          <w:sz w:val="20"/>
          <w:szCs w:val="20"/>
        </w:rPr>
        <w:t>Drukāto izdevumu sagatavojis Publikāciju birojs Luksemburgā</w:t>
      </w:r>
    </w:p>
    <w:p w14:paraId="21CB6981" w14:textId="77777777" w:rsidR="00994F93" w:rsidRPr="00B03B51" w:rsidRDefault="00994F93" w:rsidP="00994F93">
      <w:pPr>
        <w:jc w:val="both"/>
        <w:rPr>
          <w:rFonts w:ascii="Times New Roman" w:eastAsia="Arial" w:hAnsi="Times New Roman" w:cs="Times New Roman"/>
          <w:i/>
          <w:noProof/>
          <w:sz w:val="20"/>
          <w:szCs w:val="20"/>
        </w:rPr>
      </w:pPr>
    </w:p>
    <w:p w14:paraId="139B4C36" w14:textId="77777777" w:rsidR="00994F93" w:rsidRPr="00B03B51" w:rsidRDefault="00994F93" w:rsidP="00994F93">
      <w:pPr>
        <w:jc w:val="both"/>
        <w:rPr>
          <w:rFonts w:ascii="Times New Roman" w:hAnsi="Times New Roman" w:cs="Times New Roman"/>
          <w:noProof/>
          <w:sz w:val="20"/>
          <w:szCs w:val="20"/>
        </w:rPr>
      </w:pPr>
      <w:r w:rsidRPr="00B03B51">
        <w:rPr>
          <w:rFonts w:ascii="Times New Roman" w:hAnsi="Times New Roman" w:cs="Times New Roman"/>
          <w:sz w:val="20"/>
          <w:szCs w:val="20"/>
        </w:rPr>
        <w:t>Komisija neatbild par sekām, kas izriet saistībā ar šīs publikācijas atkalizmantošanu.</w:t>
      </w:r>
    </w:p>
    <w:p w14:paraId="47C77EFF" w14:textId="77777777" w:rsidR="00994F93" w:rsidRPr="00B03B51" w:rsidRDefault="00994F93" w:rsidP="00994F93">
      <w:pPr>
        <w:jc w:val="both"/>
        <w:rPr>
          <w:rFonts w:ascii="Times New Roman" w:hAnsi="Times New Roman" w:cs="Times New Roman"/>
          <w:noProof/>
          <w:sz w:val="20"/>
          <w:szCs w:val="20"/>
        </w:rPr>
      </w:pPr>
    </w:p>
    <w:p w14:paraId="4B5FCC23" w14:textId="77777777" w:rsidR="00994F93" w:rsidRPr="00B03B51" w:rsidRDefault="00994F93" w:rsidP="00994F93">
      <w:pPr>
        <w:jc w:val="both"/>
        <w:rPr>
          <w:rFonts w:ascii="Times New Roman" w:hAnsi="Times New Roman" w:cs="Times New Roman"/>
          <w:noProof/>
          <w:sz w:val="20"/>
          <w:szCs w:val="20"/>
        </w:rPr>
      </w:pPr>
      <w:r w:rsidRPr="00B03B51">
        <w:rPr>
          <w:rFonts w:ascii="Times New Roman" w:hAnsi="Times New Roman" w:cs="Times New Roman"/>
          <w:sz w:val="20"/>
          <w:szCs w:val="20"/>
        </w:rPr>
        <w:t>Luksemburga: Eiropas Savienības Publikāciju birojs, 2019. gads</w:t>
      </w:r>
    </w:p>
    <w:p w14:paraId="352729D7" w14:textId="77777777" w:rsidR="00994F93" w:rsidRPr="00B03B51" w:rsidRDefault="00994F93" w:rsidP="00994F93">
      <w:pPr>
        <w:jc w:val="both"/>
        <w:rPr>
          <w:rFonts w:ascii="Times New Roman" w:hAnsi="Times New Roman" w:cs="Times New Roman"/>
          <w:noProof/>
          <w:sz w:val="20"/>
          <w:szCs w:val="20"/>
        </w:rPr>
      </w:pPr>
    </w:p>
    <w:p w14:paraId="3A7CEFC1" w14:textId="77777777" w:rsidR="00994F93" w:rsidRPr="00B03B51" w:rsidRDefault="00994F93" w:rsidP="00994F93">
      <w:pPr>
        <w:jc w:val="both"/>
        <w:rPr>
          <w:rFonts w:ascii="Times New Roman" w:hAnsi="Times New Roman" w:cs="Times New Roman"/>
          <w:noProof/>
          <w:sz w:val="20"/>
          <w:szCs w:val="20"/>
        </w:rPr>
      </w:pPr>
      <w:r w:rsidRPr="00B03B51">
        <w:rPr>
          <w:rFonts w:ascii="Times New Roman" w:hAnsi="Times New Roman" w:cs="Times New Roman"/>
          <w:sz w:val="20"/>
          <w:szCs w:val="20"/>
        </w:rPr>
        <w:t>© Eiropas Savienība, 2019. gads</w:t>
      </w:r>
    </w:p>
    <w:p w14:paraId="66068000" w14:textId="77777777" w:rsidR="00994F93" w:rsidRPr="00B03B51" w:rsidRDefault="00994F93" w:rsidP="00994F93">
      <w:pPr>
        <w:jc w:val="both"/>
        <w:rPr>
          <w:rFonts w:ascii="Times New Roman" w:hAnsi="Times New Roman" w:cs="Times New Roman"/>
          <w:noProof/>
          <w:sz w:val="20"/>
          <w:szCs w:val="20"/>
        </w:rPr>
      </w:pPr>
      <w:r w:rsidRPr="00B03B51">
        <w:rPr>
          <w:rFonts w:ascii="Times New Roman" w:hAnsi="Times New Roman" w:cs="Times New Roman"/>
          <w:sz w:val="20"/>
          <w:szCs w:val="20"/>
        </w:rPr>
        <w:t>Atkalizmantot atļauts tikai ar norādi uz avotu.</w:t>
      </w:r>
    </w:p>
    <w:p w14:paraId="22696561" w14:textId="77777777" w:rsidR="00994F93" w:rsidRPr="00B03B51" w:rsidRDefault="00994F93" w:rsidP="00994F93">
      <w:pPr>
        <w:jc w:val="both"/>
        <w:rPr>
          <w:rFonts w:ascii="Times New Roman" w:hAnsi="Times New Roman" w:cs="Times New Roman"/>
          <w:noProof/>
          <w:sz w:val="20"/>
          <w:szCs w:val="20"/>
        </w:rPr>
      </w:pPr>
      <w:r w:rsidRPr="00B03B51">
        <w:rPr>
          <w:rFonts w:ascii="Times New Roman" w:hAnsi="Times New Roman" w:cs="Times New Roman"/>
          <w:sz w:val="20"/>
          <w:szCs w:val="20"/>
        </w:rPr>
        <w:t>Eiropas Komisijas dokumentu atkalizmantošanas politiku regulē ar Lēmumu 2011/833/ES (OV L 330, 14.12.2011., 39. lpp.).</w:t>
      </w:r>
    </w:p>
    <w:p w14:paraId="40630ADD" w14:textId="77777777" w:rsidR="00994F93" w:rsidRPr="00B03B51" w:rsidRDefault="00994F93" w:rsidP="00994F93">
      <w:pPr>
        <w:jc w:val="both"/>
        <w:rPr>
          <w:rFonts w:ascii="Times New Roman" w:eastAsia="Arial" w:hAnsi="Times New Roman" w:cs="Times New Roman"/>
          <w:noProof/>
          <w:sz w:val="20"/>
          <w:szCs w:val="20"/>
        </w:rPr>
      </w:pPr>
    </w:p>
    <w:p w14:paraId="32A484D8" w14:textId="77777777" w:rsidR="00994F93" w:rsidRPr="00B03B51" w:rsidRDefault="00994F93" w:rsidP="00994F93">
      <w:pPr>
        <w:jc w:val="both"/>
        <w:rPr>
          <w:rFonts w:ascii="Times New Roman" w:hAnsi="Times New Roman" w:cs="Times New Roman"/>
          <w:noProof/>
          <w:sz w:val="20"/>
          <w:szCs w:val="20"/>
        </w:rPr>
      </w:pPr>
      <w:r w:rsidRPr="00B03B51">
        <w:rPr>
          <w:rFonts w:ascii="Times New Roman" w:hAnsi="Times New Roman" w:cs="Times New Roman"/>
          <w:sz w:val="20"/>
          <w:szCs w:val="20"/>
        </w:rPr>
        <w:t>Fotoattēlu autortiesības: Vāks © </w:t>
      </w:r>
      <w:r w:rsidRPr="00B03B51">
        <w:rPr>
          <w:rFonts w:ascii="Times New Roman" w:hAnsi="Times New Roman" w:cs="Times New Roman"/>
          <w:i/>
          <w:iCs/>
          <w:sz w:val="20"/>
          <w:szCs w:val="20"/>
        </w:rPr>
        <w:t>cosma</w:t>
      </w:r>
      <w:r w:rsidRPr="00B03B51">
        <w:rPr>
          <w:rFonts w:ascii="Times New Roman" w:hAnsi="Times New Roman" w:cs="Times New Roman"/>
          <w:sz w:val="20"/>
          <w:szCs w:val="20"/>
        </w:rPr>
        <w:t>/</w:t>
      </w:r>
      <w:r w:rsidRPr="00B03B51">
        <w:rPr>
          <w:rFonts w:ascii="Times New Roman" w:hAnsi="Times New Roman" w:cs="Times New Roman"/>
          <w:i/>
          <w:iCs/>
          <w:sz w:val="20"/>
          <w:szCs w:val="20"/>
        </w:rPr>
        <w:t>Shutterstock</w:t>
      </w:r>
    </w:p>
    <w:p w14:paraId="6C893406" w14:textId="77777777" w:rsidR="00994F93" w:rsidRPr="00B03B51" w:rsidRDefault="00994F93" w:rsidP="00994F93">
      <w:pPr>
        <w:jc w:val="both"/>
        <w:rPr>
          <w:rFonts w:ascii="Times New Roman" w:eastAsia="Arial" w:hAnsi="Times New Roman" w:cs="Times New Roman"/>
          <w:noProof/>
          <w:sz w:val="20"/>
          <w:szCs w:val="20"/>
        </w:rPr>
      </w:pPr>
    </w:p>
    <w:p w14:paraId="669DB70C" w14:textId="77777777" w:rsidR="00994F93" w:rsidRPr="00B03B51" w:rsidRDefault="00994F93" w:rsidP="00994F93">
      <w:pPr>
        <w:jc w:val="both"/>
        <w:rPr>
          <w:rFonts w:ascii="Times New Roman" w:hAnsi="Times New Roman" w:cs="Times New Roman"/>
          <w:noProof/>
          <w:sz w:val="20"/>
          <w:szCs w:val="20"/>
        </w:rPr>
      </w:pPr>
      <w:r w:rsidRPr="00B03B51">
        <w:rPr>
          <w:rFonts w:ascii="Times New Roman" w:hAnsi="Times New Roman" w:cs="Times New Roman"/>
          <w:sz w:val="20"/>
          <w:szCs w:val="20"/>
        </w:rPr>
        <w:t>Lai izmantotu vai reproducētu fotoattēlus vai citus materiālus, uz kuriem neattiecas Eiropas Savienības autortiesības, atļaujas saņemšanai ir jāvēršas tieši pie autortiesību subjektiem.</w:t>
      </w:r>
    </w:p>
    <w:p w14:paraId="4B8444B7" w14:textId="77777777" w:rsidR="00994F93" w:rsidRPr="00B03B51" w:rsidRDefault="00994F93" w:rsidP="00994F93">
      <w:pPr>
        <w:jc w:val="both"/>
        <w:rPr>
          <w:rFonts w:ascii="Times New Roman" w:eastAsia="Arial" w:hAnsi="Times New Roman" w:cs="Times New Roman"/>
          <w:noProof/>
          <w:sz w:val="20"/>
          <w:szCs w:val="20"/>
        </w:rPr>
      </w:pPr>
      <w:r w:rsidRPr="00B03B51">
        <w:rPr>
          <w:rFonts w:ascii="Times New Roman" w:hAnsi="Times New Roman" w:cs="Times New Roman"/>
          <w:sz w:val="20"/>
          <w:szCs w:val="20"/>
        </w:rPr>
        <w:t xml:space="preserve">Plašāku informāciju var saņemt: </w:t>
      </w:r>
      <w:r w:rsidRPr="00B03B51">
        <w:rPr>
          <w:rFonts w:ascii="Times New Roman" w:hAnsi="Times New Roman" w:cs="Times New Roman"/>
          <w:sz w:val="20"/>
          <w:szCs w:val="20"/>
          <w:u w:color="0000FF"/>
        </w:rPr>
        <w:t>https://ec.europa.eu/eurostat/about/policies/copyright</w:t>
      </w:r>
      <w:r w:rsidRPr="00B03B51">
        <w:rPr>
          <w:rFonts w:ascii="Times New Roman" w:hAnsi="Times New Roman" w:cs="Times New Roman"/>
          <w:sz w:val="20"/>
          <w:szCs w:val="20"/>
        </w:rPr>
        <w:t>.</w:t>
      </w:r>
    </w:p>
    <w:p w14:paraId="2C4CF5E6" w14:textId="77777777" w:rsidR="00994F93" w:rsidRPr="00B03B51" w:rsidRDefault="00994F93" w:rsidP="00994F93">
      <w:pPr>
        <w:jc w:val="both"/>
        <w:rPr>
          <w:rFonts w:ascii="Times New Roman" w:eastAsia="Arial" w:hAnsi="Times New Roman" w:cs="Times New Roman"/>
          <w:noProof/>
          <w:sz w:val="20"/>
          <w:szCs w:val="20"/>
        </w:rPr>
      </w:pPr>
    </w:p>
    <w:p w14:paraId="1F825518" w14:textId="77777777" w:rsidR="00994F93" w:rsidRPr="00B03B51" w:rsidRDefault="00994F93" w:rsidP="00994F93">
      <w:pPr>
        <w:tabs>
          <w:tab w:val="left" w:pos="1612"/>
        </w:tabs>
        <w:jc w:val="both"/>
        <w:rPr>
          <w:rFonts w:ascii="Times New Roman" w:hAnsi="Times New Roman" w:cs="Times New Roman"/>
          <w:noProof/>
          <w:sz w:val="20"/>
          <w:szCs w:val="20"/>
        </w:rPr>
      </w:pPr>
      <w:r w:rsidRPr="00B03B51">
        <w:rPr>
          <w:rFonts w:ascii="Times New Roman" w:hAnsi="Times New Roman" w:cs="Times New Roman"/>
          <w:sz w:val="20"/>
          <w:szCs w:val="20"/>
        </w:rPr>
        <w:t>Krājums:</w:t>
      </w:r>
      <w:r w:rsidRPr="00B03B51">
        <w:rPr>
          <w:rFonts w:ascii="Times New Roman" w:hAnsi="Times New Roman" w:cs="Times New Roman"/>
          <w:sz w:val="20"/>
          <w:szCs w:val="20"/>
        </w:rPr>
        <w:tab/>
        <w:t>Rokasgrāmatas un vadlīnijas</w:t>
      </w:r>
    </w:p>
    <w:p w14:paraId="660739B5" w14:textId="77777777" w:rsidR="00994F93" w:rsidRPr="00B03B51" w:rsidRDefault="00994F93" w:rsidP="00994F93">
      <w:pPr>
        <w:tabs>
          <w:tab w:val="left" w:pos="1612"/>
        </w:tabs>
        <w:jc w:val="both"/>
        <w:rPr>
          <w:rFonts w:ascii="Times New Roman" w:hAnsi="Times New Roman" w:cs="Times New Roman"/>
          <w:noProof/>
          <w:sz w:val="20"/>
          <w:szCs w:val="20"/>
        </w:rPr>
      </w:pPr>
      <w:r w:rsidRPr="00B03B51">
        <w:rPr>
          <w:rFonts w:ascii="Times New Roman" w:hAnsi="Times New Roman" w:cs="Times New Roman"/>
          <w:sz w:val="20"/>
          <w:szCs w:val="20"/>
        </w:rPr>
        <w:t>Temats:</w:t>
      </w:r>
      <w:r w:rsidRPr="00B03B51">
        <w:rPr>
          <w:rFonts w:ascii="Times New Roman" w:hAnsi="Times New Roman" w:cs="Times New Roman"/>
          <w:sz w:val="20"/>
          <w:szCs w:val="20"/>
        </w:rPr>
        <w:tab/>
        <w:t>Ekonomika un finanses</w:t>
      </w:r>
    </w:p>
    <w:p w14:paraId="3E3DB33D" w14:textId="77777777" w:rsidR="00994F93" w:rsidRPr="00B03B51" w:rsidRDefault="00994F93" w:rsidP="00994F93">
      <w:pPr>
        <w:jc w:val="both"/>
        <w:rPr>
          <w:rFonts w:ascii="Times New Roman" w:eastAsia="Arial" w:hAnsi="Times New Roman" w:cs="Times New Roman"/>
          <w:noProof/>
          <w:sz w:val="24"/>
          <w:szCs w:val="14"/>
        </w:rPr>
      </w:pPr>
    </w:p>
    <w:tbl>
      <w:tblPr>
        <w:tblW w:w="5000" w:type="pct"/>
        <w:jc w:val="center"/>
        <w:tblCellMar>
          <w:top w:w="28" w:type="dxa"/>
          <w:left w:w="28" w:type="dxa"/>
          <w:bottom w:w="28" w:type="dxa"/>
          <w:right w:w="28" w:type="dxa"/>
        </w:tblCellMar>
        <w:tblLook w:val="01E0" w:firstRow="1" w:lastRow="1" w:firstColumn="1" w:lastColumn="1" w:noHBand="0" w:noVBand="0"/>
      </w:tblPr>
      <w:tblGrid>
        <w:gridCol w:w="879"/>
        <w:gridCol w:w="2338"/>
        <w:gridCol w:w="1758"/>
        <w:gridCol w:w="2129"/>
        <w:gridCol w:w="1967"/>
      </w:tblGrid>
      <w:tr w:rsidR="00994F93" w:rsidRPr="00B03B51" w14:paraId="01B31EAB" w14:textId="77777777" w:rsidTr="001C4B02">
        <w:trPr>
          <w:trHeight w:hRule="exact" w:val="328"/>
          <w:jc w:val="center"/>
        </w:trPr>
        <w:tc>
          <w:tcPr>
            <w:tcW w:w="345" w:type="pct"/>
            <w:tcBorders>
              <w:top w:val="nil"/>
              <w:left w:val="nil"/>
              <w:bottom w:val="nil"/>
              <w:right w:val="nil"/>
            </w:tcBorders>
          </w:tcPr>
          <w:p w14:paraId="601206DF" w14:textId="77777777" w:rsidR="00994F93" w:rsidRPr="00B03B51" w:rsidRDefault="00994F93" w:rsidP="001C4B02">
            <w:pPr>
              <w:pStyle w:val="TableParagraph"/>
              <w:jc w:val="both"/>
              <w:rPr>
                <w:rFonts w:ascii="Times New Roman" w:hAnsi="Times New Roman" w:cs="Times New Roman"/>
                <w:noProof/>
                <w:sz w:val="20"/>
                <w:szCs w:val="20"/>
              </w:rPr>
            </w:pPr>
            <w:r w:rsidRPr="00B03B51">
              <w:rPr>
                <w:rFonts w:ascii="Times New Roman" w:hAnsi="Times New Roman" w:cs="Times New Roman"/>
                <w:sz w:val="20"/>
                <w:szCs w:val="20"/>
              </w:rPr>
              <w:t>Drukātais izdevums:</w:t>
            </w:r>
          </w:p>
        </w:tc>
        <w:tc>
          <w:tcPr>
            <w:tcW w:w="1324" w:type="pct"/>
            <w:tcBorders>
              <w:top w:val="nil"/>
              <w:left w:val="nil"/>
              <w:bottom w:val="nil"/>
              <w:right w:val="nil"/>
            </w:tcBorders>
          </w:tcPr>
          <w:p w14:paraId="2E9E7F71" w14:textId="77777777" w:rsidR="00994F93" w:rsidRPr="00B03B51" w:rsidRDefault="00994F93" w:rsidP="001C4B02">
            <w:pPr>
              <w:pStyle w:val="TableParagraph"/>
              <w:jc w:val="both"/>
              <w:rPr>
                <w:rFonts w:ascii="Times New Roman" w:hAnsi="Times New Roman" w:cs="Times New Roman"/>
                <w:noProof/>
                <w:sz w:val="20"/>
                <w:szCs w:val="20"/>
              </w:rPr>
            </w:pPr>
            <w:r w:rsidRPr="00B03B51">
              <w:rPr>
                <w:rFonts w:ascii="Times New Roman" w:hAnsi="Times New Roman" w:cs="Times New Roman"/>
                <w:i/>
                <w:iCs/>
                <w:sz w:val="20"/>
                <w:szCs w:val="20"/>
              </w:rPr>
              <w:t>ISBN</w:t>
            </w:r>
            <w:r w:rsidRPr="00B03B51">
              <w:rPr>
                <w:rFonts w:ascii="Times New Roman" w:hAnsi="Times New Roman" w:cs="Times New Roman"/>
                <w:sz w:val="20"/>
                <w:szCs w:val="20"/>
              </w:rPr>
              <w:t>: 978-92-76-09292-6</w:t>
            </w:r>
          </w:p>
        </w:tc>
        <w:tc>
          <w:tcPr>
            <w:tcW w:w="1004" w:type="pct"/>
            <w:tcBorders>
              <w:top w:val="nil"/>
              <w:left w:val="nil"/>
              <w:bottom w:val="nil"/>
              <w:right w:val="nil"/>
            </w:tcBorders>
          </w:tcPr>
          <w:p w14:paraId="118BD125" w14:textId="77777777" w:rsidR="00994F93" w:rsidRPr="00B03B51" w:rsidRDefault="00994F93" w:rsidP="001C4B02">
            <w:pPr>
              <w:pStyle w:val="TableParagraph"/>
              <w:jc w:val="both"/>
              <w:rPr>
                <w:rFonts w:ascii="Times New Roman" w:hAnsi="Times New Roman" w:cs="Times New Roman"/>
                <w:noProof/>
                <w:sz w:val="20"/>
                <w:szCs w:val="20"/>
              </w:rPr>
            </w:pPr>
            <w:r w:rsidRPr="00B03B51">
              <w:rPr>
                <w:rFonts w:ascii="Times New Roman" w:hAnsi="Times New Roman" w:cs="Times New Roman"/>
                <w:i/>
                <w:iCs/>
                <w:sz w:val="20"/>
                <w:szCs w:val="20"/>
              </w:rPr>
              <w:t>ISSN</w:t>
            </w:r>
            <w:r w:rsidRPr="00B03B51">
              <w:rPr>
                <w:rFonts w:ascii="Times New Roman" w:hAnsi="Times New Roman" w:cs="Times New Roman"/>
                <w:sz w:val="20"/>
                <w:szCs w:val="20"/>
              </w:rPr>
              <w:t xml:space="preserve"> 2363-197X</w:t>
            </w:r>
          </w:p>
        </w:tc>
        <w:tc>
          <w:tcPr>
            <w:tcW w:w="1208" w:type="pct"/>
            <w:tcBorders>
              <w:top w:val="nil"/>
              <w:left w:val="nil"/>
              <w:bottom w:val="nil"/>
              <w:right w:val="nil"/>
            </w:tcBorders>
          </w:tcPr>
          <w:p w14:paraId="3BE329AB" w14:textId="77777777" w:rsidR="00994F93" w:rsidRPr="00B03B51" w:rsidRDefault="00994F93" w:rsidP="001C4B02">
            <w:pPr>
              <w:pStyle w:val="TableParagraph"/>
              <w:jc w:val="both"/>
              <w:rPr>
                <w:rFonts w:ascii="Times New Roman" w:hAnsi="Times New Roman" w:cs="Times New Roman"/>
                <w:noProof/>
                <w:sz w:val="20"/>
                <w:szCs w:val="20"/>
              </w:rPr>
            </w:pPr>
            <w:r w:rsidRPr="00B03B51">
              <w:rPr>
                <w:rFonts w:ascii="Times New Roman" w:hAnsi="Times New Roman" w:cs="Times New Roman"/>
                <w:sz w:val="20"/>
                <w:szCs w:val="20"/>
              </w:rPr>
              <w:t>doi:10.2785/452836</w:t>
            </w:r>
          </w:p>
        </w:tc>
        <w:tc>
          <w:tcPr>
            <w:tcW w:w="1119" w:type="pct"/>
            <w:tcBorders>
              <w:top w:val="nil"/>
              <w:left w:val="nil"/>
              <w:bottom w:val="nil"/>
              <w:right w:val="nil"/>
            </w:tcBorders>
          </w:tcPr>
          <w:p w14:paraId="14C26BED" w14:textId="77777777" w:rsidR="00994F93" w:rsidRPr="00B03B51" w:rsidRDefault="00994F93" w:rsidP="001C4B02">
            <w:pPr>
              <w:pStyle w:val="TableParagraph"/>
              <w:jc w:val="both"/>
              <w:rPr>
                <w:rFonts w:ascii="Times New Roman" w:hAnsi="Times New Roman" w:cs="Times New Roman"/>
                <w:noProof/>
                <w:sz w:val="20"/>
                <w:szCs w:val="20"/>
              </w:rPr>
            </w:pPr>
            <w:r w:rsidRPr="00B03B51">
              <w:rPr>
                <w:rFonts w:ascii="Times New Roman" w:hAnsi="Times New Roman" w:cs="Times New Roman"/>
                <w:sz w:val="20"/>
                <w:szCs w:val="20"/>
              </w:rPr>
              <w:t>KS-GQ-19-007-EN-C</w:t>
            </w:r>
          </w:p>
        </w:tc>
      </w:tr>
      <w:tr w:rsidR="00994F93" w:rsidRPr="00B03B51" w14:paraId="184BEB89" w14:textId="77777777" w:rsidTr="001C4B02">
        <w:trPr>
          <w:trHeight w:hRule="exact" w:val="328"/>
          <w:jc w:val="center"/>
        </w:trPr>
        <w:tc>
          <w:tcPr>
            <w:tcW w:w="345" w:type="pct"/>
            <w:tcBorders>
              <w:top w:val="nil"/>
              <w:left w:val="nil"/>
              <w:bottom w:val="nil"/>
              <w:right w:val="nil"/>
            </w:tcBorders>
          </w:tcPr>
          <w:p w14:paraId="4FAC491B" w14:textId="77777777" w:rsidR="00994F93" w:rsidRPr="00B03B51" w:rsidRDefault="00994F93" w:rsidP="001C4B02">
            <w:pPr>
              <w:pStyle w:val="TableParagraph"/>
              <w:jc w:val="both"/>
              <w:rPr>
                <w:rFonts w:ascii="Times New Roman" w:hAnsi="Times New Roman" w:cs="Times New Roman"/>
                <w:noProof/>
                <w:sz w:val="20"/>
                <w:szCs w:val="20"/>
              </w:rPr>
            </w:pPr>
            <w:r w:rsidRPr="00B03B51">
              <w:rPr>
                <w:rFonts w:ascii="Times New Roman" w:hAnsi="Times New Roman" w:cs="Times New Roman"/>
                <w:i/>
                <w:iCs/>
                <w:sz w:val="20"/>
                <w:szCs w:val="20"/>
              </w:rPr>
              <w:t>PDF</w:t>
            </w:r>
            <w:r w:rsidRPr="00B03B51">
              <w:rPr>
                <w:rFonts w:ascii="Times New Roman" w:hAnsi="Times New Roman" w:cs="Times New Roman"/>
                <w:sz w:val="20"/>
                <w:szCs w:val="20"/>
              </w:rPr>
              <w:t>:</w:t>
            </w:r>
          </w:p>
        </w:tc>
        <w:tc>
          <w:tcPr>
            <w:tcW w:w="1324" w:type="pct"/>
            <w:tcBorders>
              <w:top w:val="nil"/>
              <w:left w:val="nil"/>
              <w:bottom w:val="nil"/>
              <w:right w:val="nil"/>
            </w:tcBorders>
          </w:tcPr>
          <w:p w14:paraId="1F7D797D" w14:textId="77777777" w:rsidR="00994F93" w:rsidRPr="00B03B51" w:rsidRDefault="00994F93" w:rsidP="001C4B02">
            <w:pPr>
              <w:pStyle w:val="TableParagraph"/>
              <w:jc w:val="both"/>
              <w:rPr>
                <w:rFonts w:ascii="Times New Roman" w:hAnsi="Times New Roman" w:cs="Times New Roman"/>
                <w:noProof/>
                <w:sz w:val="20"/>
                <w:szCs w:val="20"/>
              </w:rPr>
            </w:pPr>
            <w:r w:rsidRPr="00B03B51">
              <w:rPr>
                <w:rFonts w:ascii="Times New Roman" w:hAnsi="Times New Roman" w:cs="Times New Roman"/>
                <w:i/>
                <w:iCs/>
                <w:sz w:val="20"/>
                <w:szCs w:val="20"/>
              </w:rPr>
              <w:t>ISBN</w:t>
            </w:r>
            <w:r w:rsidRPr="00B03B51">
              <w:rPr>
                <w:rFonts w:ascii="Times New Roman" w:hAnsi="Times New Roman" w:cs="Times New Roman"/>
                <w:sz w:val="20"/>
                <w:szCs w:val="20"/>
              </w:rPr>
              <w:t>: 978-92-76-09294-0</w:t>
            </w:r>
          </w:p>
        </w:tc>
        <w:tc>
          <w:tcPr>
            <w:tcW w:w="1004" w:type="pct"/>
            <w:tcBorders>
              <w:top w:val="nil"/>
              <w:left w:val="nil"/>
              <w:bottom w:val="nil"/>
              <w:right w:val="nil"/>
            </w:tcBorders>
          </w:tcPr>
          <w:p w14:paraId="2BAA7160" w14:textId="77777777" w:rsidR="00994F93" w:rsidRPr="00B03B51" w:rsidRDefault="00994F93" w:rsidP="001C4B02">
            <w:pPr>
              <w:pStyle w:val="TableParagraph"/>
              <w:jc w:val="both"/>
              <w:rPr>
                <w:rFonts w:ascii="Times New Roman" w:hAnsi="Times New Roman" w:cs="Times New Roman"/>
                <w:noProof/>
                <w:sz w:val="20"/>
                <w:szCs w:val="20"/>
              </w:rPr>
            </w:pPr>
            <w:r w:rsidRPr="00B03B51">
              <w:rPr>
                <w:rFonts w:ascii="Times New Roman" w:hAnsi="Times New Roman" w:cs="Times New Roman"/>
                <w:i/>
                <w:iCs/>
                <w:sz w:val="20"/>
                <w:szCs w:val="20"/>
              </w:rPr>
              <w:t>ISSN</w:t>
            </w:r>
            <w:r w:rsidRPr="00B03B51">
              <w:rPr>
                <w:rFonts w:ascii="Times New Roman" w:hAnsi="Times New Roman" w:cs="Times New Roman"/>
                <w:sz w:val="20"/>
                <w:szCs w:val="20"/>
              </w:rPr>
              <w:t> 2315-0815</w:t>
            </w:r>
          </w:p>
        </w:tc>
        <w:tc>
          <w:tcPr>
            <w:tcW w:w="1208" w:type="pct"/>
            <w:tcBorders>
              <w:top w:val="nil"/>
              <w:left w:val="nil"/>
              <w:bottom w:val="nil"/>
              <w:right w:val="nil"/>
            </w:tcBorders>
          </w:tcPr>
          <w:p w14:paraId="44CC35DC" w14:textId="77777777" w:rsidR="00994F93" w:rsidRPr="00B03B51" w:rsidRDefault="00994F93" w:rsidP="001C4B02">
            <w:pPr>
              <w:pStyle w:val="TableParagraph"/>
              <w:jc w:val="both"/>
              <w:rPr>
                <w:rFonts w:ascii="Times New Roman" w:hAnsi="Times New Roman" w:cs="Times New Roman"/>
                <w:noProof/>
                <w:sz w:val="20"/>
                <w:szCs w:val="20"/>
              </w:rPr>
            </w:pPr>
            <w:r w:rsidRPr="00B03B51">
              <w:rPr>
                <w:rFonts w:ascii="Times New Roman" w:hAnsi="Times New Roman" w:cs="Times New Roman"/>
                <w:i/>
                <w:iCs/>
                <w:sz w:val="20"/>
                <w:szCs w:val="20"/>
              </w:rPr>
              <w:t>DOI</w:t>
            </w:r>
            <w:r w:rsidRPr="00B03B51">
              <w:rPr>
                <w:rFonts w:ascii="Times New Roman" w:hAnsi="Times New Roman" w:cs="Times New Roman"/>
                <w:sz w:val="20"/>
                <w:szCs w:val="20"/>
              </w:rPr>
              <w:t>: 10.2785/844106</w:t>
            </w:r>
          </w:p>
        </w:tc>
        <w:tc>
          <w:tcPr>
            <w:tcW w:w="1119" w:type="pct"/>
            <w:tcBorders>
              <w:top w:val="nil"/>
              <w:left w:val="nil"/>
              <w:bottom w:val="nil"/>
              <w:right w:val="nil"/>
            </w:tcBorders>
          </w:tcPr>
          <w:p w14:paraId="693B056C" w14:textId="77777777" w:rsidR="00994F93" w:rsidRPr="00B03B51" w:rsidRDefault="00994F93" w:rsidP="001C4B02">
            <w:pPr>
              <w:pStyle w:val="TableParagraph"/>
              <w:jc w:val="both"/>
              <w:rPr>
                <w:rFonts w:ascii="Times New Roman" w:hAnsi="Times New Roman" w:cs="Times New Roman"/>
                <w:noProof/>
                <w:sz w:val="20"/>
                <w:szCs w:val="20"/>
              </w:rPr>
            </w:pPr>
            <w:r w:rsidRPr="00B03B51">
              <w:rPr>
                <w:rFonts w:ascii="Times New Roman" w:hAnsi="Times New Roman" w:cs="Times New Roman"/>
                <w:sz w:val="20"/>
                <w:szCs w:val="20"/>
              </w:rPr>
              <w:t>KS-GQ-19-007-EN-N</w:t>
            </w:r>
          </w:p>
        </w:tc>
      </w:tr>
    </w:tbl>
    <w:p w14:paraId="5AA62D51" w14:textId="77777777" w:rsidR="00994F93" w:rsidRPr="00B03B51" w:rsidRDefault="00994F93" w:rsidP="00994F93">
      <w:pPr>
        <w:rPr>
          <w:rFonts w:ascii="Times New Roman" w:eastAsia="Arial" w:hAnsi="Times New Roman" w:cs="Times New Roman"/>
          <w:noProof/>
          <w:sz w:val="24"/>
          <w:szCs w:val="18"/>
        </w:rPr>
      </w:pPr>
      <w:r w:rsidRPr="00B03B51">
        <w:rPr>
          <w:rFonts w:ascii="Times New Roman" w:hAnsi="Times New Roman" w:cs="Times New Roman"/>
        </w:rPr>
        <w:br w:type="page"/>
      </w:r>
    </w:p>
    <w:p w14:paraId="34255538" w14:textId="77777777" w:rsidR="00994F93" w:rsidRPr="00B03B51" w:rsidRDefault="00994F93" w:rsidP="00994F93">
      <w:pPr>
        <w:jc w:val="both"/>
        <w:rPr>
          <w:rFonts w:ascii="Times New Roman" w:eastAsia="Arial" w:hAnsi="Times New Roman" w:cs="Times New Roman"/>
          <w:noProof/>
          <w:sz w:val="24"/>
          <w:szCs w:val="18"/>
        </w:rPr>
      </w:pPr>
    </w:p>
    <w:p w14:paraId="17430230" w14:textId="77777777" w:rsidR="00994F93" w:rsidRPr="00B03B51" w:rsidRDefault="00994F93" w:rsidP="00994F93">
      <w:pPr>
        <w:pStyle w:val="Heading2"/>
        <w:spacing w:before="0"/>
        <w:ind w:left="0" w:firstLine="0"/>
        <w:jc w:val="both"/>
        <w:rPr>
          <w:rFonts w:ascii="Times New Roman" w:hAnsi="Times New Roman" w:cs="Times New Roman"/>
          <w:noProof/>
          <w:sz w:val="28"/>
          <w:szCs w:val="44"/>
        </w:rPr>
      </w:pPr>
      <w:bookmarkStart w:id="0" w:name="_Toc67565014"/>
      <w:r w:rsidRPr="00B03B51">
        <w:rPr>
          <w:rFonts w:ascii="Times New Roman" w:hAnsi="Times New Roman" w:cs="Times New Roman"/>
          <w:sz w:val="28"/>
          <w:szCs w:val="44"/>
        </w:rPr>
        <w:t>PRIEKŠVĀRDS</w:t>
      </w:r>
      <w:bookmarkStart w:id="1" w:name="PREFACE"/>
      <w:bookmarkEnd w:id="0"/>
      <w:bookmarkEnd w:id="1"/>
    </w:p>
    <w:p w14:paraId="00B7B1CD" w14:textId="77777777" w:rsidR="00994F93" w:rsidRPr="00B03B51" w:rsidRDefault="00994F93" w:rsidP="00994F93">
      <w:pPr>
        <w:pStyle w:val="BodyText"/>
        <w:spacing w:before="0"/>
        <w:ind w:left="0" w:firstLine="0"/>
        <w:jc w:val="both"/>
        <w:rPr>
          <w:rFonts w:ascii="Times New Roman" w:hAnsi="Times New Roman" w:cs="Times New Roman"/>
          <w:noProof/>
          <w:sz w:val="24"/>
        </w:rPr>
      </w:pPr>
    </w:p>
    <w:p w14:paraId="222CA817" w14:textId="77777777" w:rsidR="00994F93" w:rsidRPr="00B03B51" w:rsidRDefault="00994F93" w:rsidP="00994F93">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t>Saistībā ar pārmērīga budžeta deficīta novēršanas procedūru (</w:t>
      </w:r>
      <w:r w:rsidRPr="00B03B51">
        <w:rPr>
          <w:rFonts w:ascii="Times New Roman" w:hAnsi="Times New Roman" w:cs="Times New Roman"/>
          <w:i/>
          <w:iCs/>
          <w:sz w:val="24"/>
        </w:rPr>
        <w:t>EDP</w:t>
      </w:r>
      <w:r w:rsidRPr="00B03B51">
        <w:rPr>
          <w:rFonts w:ascii="Times New Roman" w:hAnsi="Times New Roman" w:cs="Times New Roman"/>
          <w:sz w:val="24"/>
        </w:rPr>
        <w:t>)</w:t>
      </w:r>
      <w:r w:rsidRPr="00B03B51">
        <w:rPr>
          <w:rStyle w:val="FootnoteReference"/>
          <w:rFonts w:ascii="Times New Roman" w:hAnsi="Times New Roman" w:cs="Times New Roman"/>
          <w:noProof/>
          <w:sz w:val="24"/>
        </w:rPr>
        <w:footnoteReference w:id="1"/>
      </w:r>
      <w:r w:rsidRPr="00B03B51">
        <w:rPr>
          <w:rFonts w:ascii="Times New Roman" w:hAnsi="Times New Roman" w:cs="Times New Roman"/>
          <w:sz w:val="24"/>
        </w:rPr>
        <w:t xml:space="preserve">, kas sākotnēji noteikta Māstrihtas Līgumā (104. pantā) un šobrīd noteikta Līguma par Eiropas Savienības darbību (LESD) 2012. gada konsolidētajā redakcijā (126. pantā), </w:t>
      </w:r>
      <w:r w:rsidRPr="00B03B51">
        <w:rPr>
          <w:rFonts w:ascii="Times New Roman" w:hAnsi="Times New Roman" w:cs="Times New Roman"/>
          <w:i/>
          <w:iCs/>
          <w:sz w:val="24"/>
        </w:rPr>
        <w:t>Eurostat</w:t>
      </w:r>
      <w:r w:rsidRPr="00B03B51">
        <w:rPr>
          <w:rFonts w:ascii="Times New Roman" w:hAnsi="Times New Roman" w:cs="Times New Roman"/>
          <w:sz w:val="24"/>
        </w:rPr>
        <w:t xml:space="preserve"> uzdevums kopš 1994. gada ir nodrošināt šā konceptuālā pamatprincipu kopuma pareizu piemērošanu, lai iegūtu ticamus un salīdzināmus statistikas datus visā Eiropas Savienībā.</w:t>
      </w:r>
    </w:p>
    <w:p w14:paraId="2639510D" w14:textId="77777777" w:rsidR="00994F93" w:rsidRPr="00B03B51" w:rsidRDefault="00994F93" w:rsidP="00994F93">
      <w:pPr>
        <w:jc w:val="both"/>
        <w:rPr>
          <w:rFonts w:ascii="Times New Roman" w:eastAsia="Arial" w:hAnsi="Times New Roman" w:cs="Times New Roman"/>
          <w:noProof/>
          <w:sz w:val="24"/>
          <w:szCs w:val="20"/>
        </w:rPr>
      </w:pPr>
    </w:p>
    <w:p w14:paraId="7FE724C4" w14:textId="77777777" w:rsidR="00994F93" w:rsidRPr="00B03B51" w:rsidRDefault="00994F93" w:rsidP="00994F93">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t xml:space="preserve">Šā konceptuālā kopuma pamatelements ir Eiropas nacionālo un reģionālo kontu sistēma Eiropas Savienībā (turpmāk – “EKS 2010”), kas publicēta 2013. gada maijā, stājusies spēkā (ar Regulu (ES) Nr. 549/2013) kopš 2014. gada 1. septembra, aizstājot iepriekšējo EKS 95. Papildus </w:t>
      </w:r>
      <w:r w:rsidRPr="00B03B51">
        <w:rPr>
          <w:rFonts w:ascii="Times New Roman" w:hAnsi="Times New Roman" w:cs="Times New Roman"/>
          <w:i/>
          <w:iCs/>
          <w:sz w:val="24"/>
        </w:rPr>
        <w:t>Eurostat</w:t>
      </w:r>
      <w:r w:rsidRPr="00B03B51">
        <w:rPr>
          <w:rFonts w:ascii="Times New Roman" w:hAnsi="Times New Roman" w:cs="Times New Roman"/>
          <w:sz w:val="24"/>
        </w:rPr>
        <w:t xml:space="preserve"> publicē rokasgrāmatu </w:t>
      </w:r>
      <w:r w:rsidRPr="00B03B51">
        <w:rPr>
          <w:rFonts w:ascii="Times New Roman" w:hAnsi="Times New Roman" w:cs="Times New Roman"/>
          <w:i/>
          <w:iCs/>
          <w:sz w:val="24"/>
        </w:rPr>
        <w:t>Manual on Government Deficit and Debt – ESA Implementation</w:t>
      </w:r>
      <w:r w:rsidRPr="00B03B51">
        <w:rPr>
          <w:rFonts w:ascii="Times New Roman" w:hAnsi="Times New Roman" w:cs="Times New Roman"/>
          <w:sz w:val="24"/>
        </w:rPr>
        <w:t xml:space="preserve"> [Valdības budžeta deficīta un parāda rokasgrāmatu – EKS īstenošana] (</w:t>
      </w:r>
      <w:r w:rsidRPr="00B03B51">
        <w:rPr>
          <w:rFonts w:ascii="Times New Roman" w:hAnsi="Times New Roman" w:cs="Times New Roman"/>
          <w:i/>
          <w:iCs/>
          <w:sz w:val="24"/>
        </w:rPr>
        <w:t>MGDD</w:t>
      </w:r>
      <w:r w:rsidRPr="00B03B51">
        <w:rPr>
          <w:rFonts w:ascii="Times New Roman" w:hAnsi="Times New Roman" w:cs="Times New Roman"/>
          <w:sz w:val="24"/>
        </w:rPr>
        <w:t>).</w:t>
      </w:r>
    </w:p>
    <w:p w14:paraId="617A6EDF" w14:textId="77777777" w:rsidR="00994F93" w:rsidRPr="00B03B51" w:rsidRDefault="00994F93" w:rsidP="00994F93">
      <w:pPr>
        <w:jc w:val="both"/>
        <w:rPr>
          <w:rFonts w:ascii="Times New Roman" w:eastAsia="Arial" w:hAnsi="Times New Roman" w:cs="Times New Roman"/>
          <w:noProof/>
          <w:sz w:val="24"/>
          <w:szCs w:val="20"/>
        </w:rPr>
      </w:pPr>
    </w:p>
    <w:p w14:paraId="30FC4664" w14:textId="77777777" w:rsidR="00994F93" w:rsidRPr="00B03B51" w:rsidRDefault="00994F93" w:rsidP="00994F93">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i/>
          <w:iCs/>
          <w:sz w:val="24"/>
        </w:rPr>
        <w:t>MGDD</w:t>
      </w:r>
      <w:r w:rsidRPr="00B03B51">
        <w:rPr>
          <w:rFonts w:ascii="Times New Roman" w:hAnsi="Times New Roman" w:cs="Times New Roman"/>
          <w:sz w:val="24"/>
        </w:rPr>
        <w:t xml:space="preserve">, kas pirmoreiz publicēta 1999. gadā, sniedz atbilstošu traktējumu statistikas jautājumiem, kas radušies Eiropas Savienībā valdības finanšu statistikas jomā. Tā ir kļuvusi par saistošu EKS 2010 papildinājumu un nozīmīgu rīku statistiķiem un speciālistiem, kas nodarbojas ar valsts finanšu jautājumiem. Tā palīdz arī labāk saprast metodoloģiju, kas tiek piemērota attiecībā uz valdības finanšu datiem saistībā ar </w:t>
      </w:r>
      <w:r w:rsidRPr="00B03B51">
        <w:rPr>
          <w:rFonts w:ascii="Times New Roman" w:hAnsi="Times New Roman" w:cs="Times New Roman"/>
          <w:i/>
          <w:iCs/>
          <w:sz w:val="24"/>
        </w:rPr>
        <w:t>EDP</w:t>
      </w:r>
      <w:r w:rsidRPr="00B03B51">
        <w:rPr>
          <w:rFonts w:ascii="Times New Roman" w:hAnsi="Times New Roman" w:cs="Times New Roman"/>
          <w:sz w:val="24"/>
        </w:rPr>
        <w:t>.</w:t>
      </w:r>
    </w:p>
    <w:p w14:paraId="59253AF3" w14:textId="77777777" w:rsidR="00994F93" w:rsidRPr="00B03B51" w:rsidRDefault="00994F93" w:rsidP="00994F93">
      <w:pPr>
        <w:jc w:val="both"/>
        <w:rPr>
          <w:rFonts w:ascii="Times New Roman" w:eastAsia="Arial" w:hAnsi="Times New Roman" w:cs="Times New Roman"/>
          <w:noProof/>
          <w:sz w:val="24"/>
          <w:szCs w:val="20"/>
        </w:rPr>
      </w:pPr>
    </w:p>
    <w:p w14:paraId="04536734" w14:textId="77777777" w:rsidR="00994F93" w:rsidRPr="00B03B51" w:rsidRDefault="00994F93" w:rsidP="00994F93">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t xml:space="preserve">Šajā jaunajā </w:t>
      </w:r>
      <w:r w:rsidRPr="00B03B51">
        <w:rPr>
          <w:rFonts w:ascii="Times New Roman" w:hAnsi="Times New Roman" w:cs="Times New Roman"/>
          <w:i/>
          <w:iCs/>
          <w:sz w:val="24"/>
        </w:rPr>
        <w:t>MGDD</w:t>
      </w:r>
      <w:r w:rsidRPr="00B03B51">
        <w:rPr>
          <w:rFonts w:ascii="Times New Roman" w:hAnsi="Times New Roman" w:cs="Times New Roman"/>
          <w:sz w:val="24"/>
        </w:rPr>
        <w:t xml:space="preserve"> redakcijā galvenā uzmanība ir vērsta uz dažiem metodoloģijas aspektiem, kas tika rūpīgi izvērtēti kopš 2016. gada saistībā ar konkrēto </w:t>
      </w:r>
      <w:r w:rsidRPr="00B03B51">
        <w:rPr>
          <w:rFonts w:ascii="Times New Roman" w:hAnsi="Times New Roman" w:cs="Times New Roman"/>
          <w:i/>
          <w:iCs/>
          <w:sz w:val="24"/>
        </w:rPr>
        <w:t>Eurostat</w:t>
      </w:r>
      <w:r w:rsidRPr="00B03B51">
        <w:rPr>
          <w:rFonts w:ascii="Times New Roman" w:hAnsi="Times New Roman" w:cs="Times New Roman"/>
          <w:sz w:val="24"/>
        </w:rPr>
        <w:t xml:space="preserve"> Darba grupu metodoloģijas jautājumos un </w:t>
      </w:r>
      <w:r w:rsidRPr="00B03B51">
        <w:rPr>
          <w:rFonts w:ascii="Times New Roman" w:hAnsi="Times New Roman" w:cs="Times New Roman"/>
          <w:i/>
          <w:iCs/>
          <w:sz w:val="24"/>
        </w:rPr>
        <w:t>EDP</w:t>
      </w:r>
      <w:r w:rsidRPr="00B03B51">
        <w:rPr>
          <w:rFonts w:ascii="Times New Roman" w:hAnsi="Times New Roman" w:cs="Times New Roman"/>
          <w:sz w:val="24"/>
        </w:rPr>
        <w:t xml:space="preserve"> statistikas darba grupu (</w:t>
      </w:r>
      <w:r w:rsidRPr="00B03B51">
        <w:rPr>
          <w:rFonts w:ascii="Times New Roman" w:hAnsi="Times New Roman" w:cs="Times New Roman"/>
          <w:i/>
          <w:iCs/>
          <w:sz w:val="24"/>
        </w:rPr>
        <w:t>EDPS</w:t>
      </w:r>
      <w:r w:rsidRPr="00B03B51">
        <w:rPr>
          <w:rFonts w:ascii="Times New Roman" w:hAnsi="Times New Roman" w:cs="Times New Roman"/>
          <w:sz w:val="24"/>
        </w:rPr>
        <w:t xml:space="preserve"> DG), kuras sastāvā ir </w:t>
      </w:r>
      <w:r w:rsidRPr="00B03B51">
        <w:rPr>
          <w:rFonts w:ascii="Times New Roman" w:hAnsi="Times New Roman" w:cs="Times New Roman"/>
          <w:i/>
          <w:iCs/>
          <w:sz w:val="24"/>
        </w:rPr>
        <w:t>Eurostat</w:t>
      </w:r>
      <w:r w:rsidRPr="00B03B51">
        <w:rPr>
          <w:rFonts w:ascii="Times New Roman" w:hAnsi="Times New Roman" w:cs="Times New Roman"/>
          <w:sz w:val="24"/>
        </w:rPr>
        <w:t xml:space="preserve">, ES dalībvalstu un citu iestāžu eksperti </w:t>
      </w:r>
      <w:r w:rsidRPr="00B03B51">
        <w:rPr>
          <w:rFonts w:ascii="Times New Roman" w:hAnsi="Times New Roman" w:cs="Times New Roman"/>
          <w:i/>
          <w:iCs/>
          <w:sz w:val="24"/>
        </w:rPr>
        <w:t>EDP</w:t>
      </w:r>
      <w:r w:rsidRPr="00B03B51">
        <w:rPr>
          <w:rFonts w:ascii="Times New Roman" w:hAnsi="Times New Roman" w:cs="Times New Roman"/>
          <w:sz w:val="24"/>
        </w:rPr>
        <w:t xml:space="preserve"> statistikas, valdības finanšu statistikas un nacionālo kontu jomā.</w:t>
      </w:r>
    </w:p>
    <w:p w14:paraId="0EAAF116" w14:textId="77777777" w:rsidR="00994F93" w:rsidRPr="00B03B51" w:rsidRDefault="00994F93" w:rsidP="00994F93">
      <w:pPr>
        <w:jc w:val="both"/>
        <w:rPr>
          <w:rFonts w:ascii="Times New Roman" w:eastAsia="Arial" w:hAnsi="Times New Roman" w:cs="Times New Roman"/>
          <w:noProof/>
          <w:sz w:val="24"/>
          <w:szCs w:val="20"/>
        </w:rPr>
      </w:pPr>
    </w:p>
    <w:p w14:paraId="4EEF9F80" w14:textId="77777777" w:rsidR="00994F93" w:rsidRPr="00B03B51" w:rsidRDefault="00994F93" w:rsidP="00994F93">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t xml:space="preserve">Salīdzinot ar iepriekšējo </w:t>
      </w:r>
      <w:r w:rsidRPr="00B03B51">
        <w:rPr>
          <w:rFonts w:ascii="Times New Roman" w:hAnsi="Times New Roman" w:cs="Times New Roman"/>
          <w:i/>
          <w:iCs/>
          <w:sz w:val="24"/>
        </w:rPr>
        <w:t>MGDD</w:t>
      </w:r>
      <w:r w:rsidRPr="00B03B51">
        <w:rPr>
          <w:rFonts w:ascii="Times New Roman" w:hAnsi="Times New Roman" w:cs="Times New Roman"/>
          <w:sz w:val="24"/>
        </w:rPr>
        <w:t xml:space="preserve"> redakciju, pēc būtības tika grozītas vai no jauna iekļautas turpmāk norādītās daļas.</w:t>
      </w:r>
    </w:p>
    <w:p w14:paraId="59C6C86A" w14:textId="77777777" w:rsidR="00994F93" w:rsidRPr="00B03B51" w:rsidRDefault="00994F93" w:rsidP="00994F93">
      <w:pPr>
        <w:jc w:val="both"/>
        <w:rPr>
          <w:rFonts w:ascii="Times New Roman" w:eastAsia="Arial" w:hAnsi="Times New Roman" w:cs="Times New Roman"/>
          <w:noProof/>
          <w:sz w:val="24"/>
          <w:szCs w:val="20"/>
        </w:rPr>
      </w:pPr>
    </w:p>
    <w:p w14:paraId="3A037F52" w14:textId="77777777" w:rsidR="00994F93" w:rsidRPr="00B03B51" w:rsidRDefault="00994F93" w:rsidP="00994F93">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t>Rokasgrāmatas 1. daļā “Vispārējās valdības sektora norobežošana” tika grozīta 1.2.2. iedaļa “Institucionālās vienības jēdziens” un 1.2.3. iedaļa “Valdības kontrolētas institucionālās vienības jēdziens”, 1.2.4.5. apakšiedaļa “Pārkārtoti darījumi”, 1.5. nodaļa “Vienības, kas veic finansiālās darbības – vispārīgi noteikumi” un 1.9. nodaļa “Eiropas subjekti, kas saistīti ar eirozonas valstu parādu krīzi”.</w:t>
      </w:r>
    </w:p>
    <w:p w14:paraId="33384D73" w14:textId="77777777" w:rsidR="00994F93" w:rsidRPr="00B03B51" w:rsidRDefault="00994F93" w:rsidP="00994F93">
      <w:pPr>
        <w:jc w:val="both"/>
        <w:rPr>
          <w:rFonts w:ascii="Times New Roman" w:eastAsia="Arial" w:hAnsi="Times New Roman" w:cs="Times New Roman"/>
          <w:noProof/>
          <w:sz w:val="24"/>
          <w:szCs w:val="20"/>
        </w:rPr>
      </w:pPr>
    </w:p>
    <w:p w14:paraId="11FFF465" w14:textId="77777777" w:rsidR="00994F93" w:rsidRPr="00B03B51" w:rsidRDefault="00994F93" w:rsidP="00994F93">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t>Rokasgrāmatas 2. daļā “Ierakstīšanas laiks” tika grozīta 2.4. nodaļa “Procentu ierakstīšana” un 2.5. nodaļa “Militārie izdevumi”. Tika pievienotas šādas jaunas apakšiedaļas – 2.4.3.17. apakšiedaļa “Procentu ierakstīšana, kad parāda instruments satur atvasinātu instrumentu”, 2.4.3.18. apakšiedaļa “Procenti par ārpustirgus mijmaiņas darījumiem”, 2.4.3.19. apakšiedaļa “Procenti, kas uzkrāti par strīdīgiem starpvaldību aizdevumiem” un 2.4.3.20. apakšiedaļa “Procenti, kas uzkrāti par starpvaldību aizdevumiem, kuri, visticamāk, netiks apmaksāti”, kā arī pievienota jauna 2.6.3. iedaļa “Tā saucamo ES “finanšu instrumentu” grāmatvedības traktējums”.</w:t>
      </w:r>
    </w:p>
    <w:p w14:paraId="234F8256" w14:textId="77777777" w:rsidR="00994F93" w:rsidRPr="00B03B51" w:rsidRDefault="00994F93" w:rsidP="00994F93">
      <w:pPr>
        <w:jc w:val="both"/>
        <w:rPr>
          <w:rFonts w:ascii="Times New Roman" w:eastAsia="Arial" w:hAnsi="Times New Roman" w:cs="Times New Roman"/>
          <w:noProof/>
          <w:sz w:val="24"/>
          <w:szCs w:val="20"/>
        </w:rPr>
      </w:pPr>
    </w:p>
    <w:p w14:paraId="3C47E732" w14:textId="77777777" w:rsidR="00994F93" w:rsidRPr="00B03B51" w:rsidRDefault="00994F93" w:rsidP="00994F93">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t>Rokasgrāmatas 3. daļā “Vispārējā valdība un valdības kontrolēti subjekti” tika grozīta 3.5. nodaļa “Dividendes, superdividendes, starpperioda dividendes” un 3.7. nodaļa “Ekspluatācijas pārtraukšanas izmaksu pārneses ietekme uz valdības kontiem”.</w:t>
      </w:r>
    </w:p>
    <w:p w14:paraId="2D7D4DB8" w14:textId="77777777" w:rsidR="00994F93" w:rsidRPr="00B03B51" w:rsidRDefault="00994F93" w:rsidP="00994F93">
      <w:pPr>
        <w:jc w:val="both"/>
        <w:rPr>
          <w:rFonts w:ascii="Times New Roman" w:eastAsia="Arial" w:hAnsi="Times New Roman" w:cs="Times New Roman"/>
          <w:noProof/>
          <w:sz w:val="24"/>
          <w:szCs w:val="20"/>
        </w:rPr>
      </w:pPr>
    </w:p>
    <w:p w14:paraId="3B1B5C8B" w14:textId="77777777" w:rsidR="00994F93" w:rsidRPr="00B03B51" w:rsidRDefault="00994F93" w:rsidP="00994F93">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t>Rokasgrāmatas 4. daļā “Attiecības starp valdību un finanšu sektoru” tika pievienota jauna 4.7. nodaļa “No ienākumiem atkarīgi aizdevumi”.</w:t>
      </w:r>
    </w:p>
    <w:p w14:paraId="23BA0C07" w14:textId="77777777" w:rsidR="00994F93" w:rsidRPr="00B03B51" w:rsidRDefault="00994F93" w:rsidP="00994F93">
      <w:pPr>
        <w:jc w:val="both"/>
        <w:rPr>
          <w:rFonts w:ascii="Times New Roman" w:eastAsia="Arial" w:hAnsi="Times New Roman" w:cs="Times New Roman"/>
          <w:noProof/>
          <w:sz w:val="24"/>
          <w:szCs w:val="20"/>
        </w:rPr>
      </w:pPr>
    </w:p>
    <w:p w14:paraId="336C1F9E" w14:textId="77777777" w:rsidR="00994F93" w:rsidRPr="00B03B51" w:rsidRDefault="00994F93" w:rsidP="00994F93">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t>Rokasgrāmatas 6. daļā “Noma, koncesijas un PPP” tika grozīta 6.1. nodaļa “Pārskats” un 6.2. nodaļa “Pārdošana ar saņemšanu atpakaļ nomā”.</w:t>
      </w:r>
    </w:p>
    <w:p w14:paraId="5605B748" w14:textId="77777777" w:rsidR="00994F93" w:rsidRPr="00B03B51" w:rsidRDefault="00994F93" w:rsidP="00994F93">
      <w:pPr>
        <w:jc w:val="both"/>
        <w:rPr>
          <w:rFonts w:ascii="Times New Roman" w:eastAsia="Arial" w:hAnsi="Times New Roman" w:cs="Times New Roman"/>
          <w:noProof/>
          <w:sz w:val="24"/>
          <w:szCs w:val="20"/>
        </w:rPr>
      </w:pPr>
    </w:p>
    <w:p w14:paraId="3455188D" w14:textId="77777777" w:rsidR="00994F93" w:rsidRPr="00B03B51" w:rsidRDefault="00994F93" w:rsidP="00994F93">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t xml:space="preserve">Visbeidzot, 8. daļā “Vispārējās valdības parāda apmēra noteikšana” tika grozīta 8.2.1. iedaļa “Saistību mērījumi EKS 2010” un trīs šādas apakšiedaļas – 8.2.2.1. apakšiedaļa “Valdības parāda tvērums </w:t>
      </w:r>
      <w:r w:rsidRPr="00B03B51">
        <w:rPr>
          <w:rFonts w:ascii="Times New Roman" w:hAnsi="Times New Roman" w:cs="Times New Roman"/>
          <w:i/>
          <w:iCs/>
          <w:sz w:val="24"/>
        </w:rPr>
        <w:t>EDP</w:t>
      </w:r>
      <w:r w:rsidRPr="00B03B51">
        <w:rPr>
          <w:rFonts w:ascii="Times New Roman" w:hAnsi="Times New Roman" w:cs="Times New Roman"/>
          <w:sz w:val="24"/>
        </w:rPr>
        <w:t xml:space="preserve"> mērķiem”, 8.2.2.2. apakšiedaļa “Valdības parāda novērtēšana </w:t>
      </w:r>
      <w:r w:rsidRPr="00B03B51">
        <w:rPr>
          <w:rFonts w:ascii="Times New Roman" w:hAnsi="Times New Roman" w:cs="Times New Roman"/>
          <w:i/>
          <w:iCs/>
          <w:sz w:val="24"/>
        </w:rPr>
        <w:t>EDP</w:t>
      </w:r>
      <w:r w:rsidRPr="00B03B51">
        <w:rPr>
          <w:rFonts w:ascii="Times New Roman" w:hAnsi="Times New Roman" w:cs="Times New Roman"/>
          <w:sz w:val="24"/>
        </w:rPr>
        <w:t xml:space="preserve"> mērķiem. Nominālvērtība pret norādīto vērtību” un 8.2.2.3. apakšiedaļa “Uzkrātie procenti”.</w:t>
      </w:r>
    </w:p>
    <w:p w14:paraId="3F9BB96E" w14:textId="77777777" w:rsidR="00994F93" w:rsidRPr="00B03B51" w:rsidRDefault="00994F93" w:rsidP="00994F93">
      <w:pPr>
        <w:jc w:val="both"/>
        <w:rPr>
          <w:rFonts w:ascii="Times New Roman" w:eastAsia="Arial" w:hAnsi="Times New Roman" w:cs="Times New Roman"/>
          <w:noProof/>
          <w:sz w:val="24"/>
          <w:szCs w:val="20"/>
        </w:rPr>
      </w:pPr>
    </w:p>
    <w:p w14:paraId="5425937E" w14:textId="77777777" w:rsidR="00994F93" w:rsidRPr="00B03B51" w:rsidRDefault="00994F93" w:rsidP="00994F93">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t>Turklāt redakcionālas izmaiņas (nemainot būtību) tika veiktas turpmāk norādītajās nodaļās/daļās.</w:t>
      </w:r>
    </w:p>
    <w:p w14:paraId="40981D25" w14:textId="77777777" w:rsidR="00994F93" w:rsidRPr="00B03B51" w:rsidRDefault="00994F93" w:rsidP="00994F93">
      <w:pPr>
        <w:jc w:val="both"/>
        <w:rPr>
          <w:rFonts w:ascii="Times New Roman" w:eastAsia="Arial" w:hAnsi="Times New Roman" w:cs="Times New Roman"/>
          <w:noProof/>
          <w:sz w:val="24"/>
          <w:szCs w:val="14"/>
        </w:rPr>
      </w:pPr>
    </w:p>
    <w:p w14:paraId="26A2DC26" w14:textId="77777777" w:rsidR="00994F93" w:rsidRPr="00B03B51" w:rsidRDefault="00994F93" w:rsidP="00994F93">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t>2.6. nodaļā “Dotācijas no ES budžeta un iemaksas ES budžetā” un 3.8. pielikumā “EKS 2010 darījumu izlase”; 7. daļā “Ar parādu saistītie darījumi un garantijas” un 8. daļā “Vispārējās valdības parāda apmēra noteikšana”.</w:t>
      </w:r>
    </w:p>
    <w:p w14:paraId="50E47120" w14:textId="77777777" w:rsidR="00994F93" w:rsidRPr="00B03B51" w:rsidRDefault="00994F93" w:rsidP="00994F93">
      <w:pPr>
        <w:jc w:val="both"/>
        <w:rPr>
          <w:rFonts w:ascii="Times New Roman" w:eastAsia="Arial" w:hAnsi="Times New Roman" w:cs="Times New Roman"/>
          <w:noProof/>
          <w:sz w:val="24"/>
          <w:szCs w:val="20"/>
        </w:rPr>
      </w:pPr>
    </w:p>
    <w:p w14:paraId="66D4B1DD" w14:textId="77777777" w:rsidR="00994F93" w:rsidRPr="00B03B51" w:rsidRDefault="00994F93" w:rsidP="00994F93">
      <w:pPr>
        <w:pStyle w:val="BodyText"/>
        <w:tabs>
          <w:tab w:val="left" w:pos="1270"/>
          <w:tab w:val="left" w:pos="2320"/>
          <w:tab w:val="left" w:pos="3157"/>
          <w:tab w:val="left" w:pos="4035"/>
          <w:tab w:val="left" w:pos="4681"/>
          <w:tab w:val="left" w:pos="5434"/>
          <w:tab w:val="left" w:pos="6746"/>
          <w:tab w:val="left" w:pos="7794"/>
          <w:tab w:val="left" w:pos="9032"/>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Saistībā ar to, kā statistikā reģistrē publiskās un privātās partnerības (PPP) un energoefektivitātes līgumus (</w:t>
      </w:r>
      <w:r w:rsidRPr="00B03B51">
        <w:rPr>
          <w:rFonts w:ascii="Times New Roman" w:hAnsi="Times New Roman" w:cs="Times New Roman"/>
          <w:i/>
          <w:iCs/>
          <w:sz w:val="24"/>
        </w:rPr>
        <w:t>EPC</w:t>
      </w:r>
      <w:r w:rsidRPr="00B03B51">
        <w:rPr>
          <w:rFonts w:ascii="Times New Roman" w:hAnsi="Times New Roman" w:cs="Times New Roman"/>
          <w:sz w:val="24"/>
        </w:rPr>
        <w:t>), skatīt konkrētās norādes, kas pieejamas tīmekļa vietnē https://ec.europa.eu/eurostat/web/government-finance-statistics/methodology/guidance-on-accounting-rules.</w:t>
      </w:r>
    </w:p>
    <w:p w14:paraId="08B851F1" w14:textId="77777777" w:rsidR="00994F93" w:rsidRPr="00B03B51" w:rsidRDefault="00994F93" w:rsidP="00994F93">
      <w:pPr>
        <w:jc w:val="both"/>
        <w:rPr>
          <w:rFonts w:ascii="Times New Roman" w:eastAsia="Arial" w:hAnsi="Times New Roman" w:cs="Times New Roman"/>
          <w:noProof/>
          <w:sz w:val="24"/>
          <w:szCs w:val="21"/>
        </w:rPr>
      </w:pPr>
    </w:p>
    <w:p w14:paraId="222C382F" w14:textId="77777777" w:rsidR="00994F93" w:rsidRPr="00B03B51" w:rsidRDefault="00994F93" w:rsidP="00994F93">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t>Par 2019. gada redakcijas sagatavošanu bija atbildīgi Luka Askoli [</w:t>
      </w:r>
      <w:r w:rsidRPr="00B03B51">
        <w:rPr>
          <w:rFonts w:ascii="Times New Roman" w:hAnsi="Times New Roman" w:cs="Times New Roman"/>
          <w:i/>
          <w:iCs/>
          <w:sz w:val="24"/>
        </w:rPr>
        <w:t>Luca Ascoli</w:t>
      </w:r>
      <w:r w:rsidRPr="00B03B51">
        <w:rPr>
          <w:rFonts w:ascii="Times New Roman" w:hAnsi="Times New Roman" w:cs="Times New Roman"/>
          <w:sz w:val="24"/>
        </w:rPr>
        <w:t>], Filips de Ružemons [</w:t>
      </w:r>
      <w:r w:rsidRPr="00B03B51">
        <w:rPr>
          <w:rFonts w:ascii="Times New Roman" w:hAnsi="Times New Roman" w:cs="Times New Roman"/>
          <w:i/>
          <w:iCs/>
          <w:sz w:val="24"/>
        </w:rPr>
        <w:t>Philippe de Rougemont</w:t>
      </w:r>
      <w:r w:rsidRPr="00B03B51">
        <w:rPr>
          <w:rFonts w:ascii="Times New Roman" w:hAnsi="Times New Roman" w:cs="Times New Roman"/>
          <w:sz w:val="24"/>
        </w:rPr>
        <w:t>] un Olga Leščinska-Lubereka [</w:t>
      </w:r>
      <w:r w:rsidRPr="00B03B51">
        <w:rPr>
          <w:rFonts w:ascii="Times New Roman" w:hAnsi="Times New Roman" w:cs="Times New Roman"/>
          <w:i/>
          <w:iCs/>
          <w:sz w:val="24"/>
        </w:rPr>
        <w:t>Olga Leszczynska-Luberek</w:t>
      </w:r>
      <w:r w:rsidRPr="00B03B51">
        <w:rPr>
          <w:rFonts w:ascii="Times New Roman" w:hAnsi="Times New Roman" w:cs="Times New Roman"/>
          <w:sz w:val="24"/>
        </w:rPr>
        <w:t xml:space="preserve">] no </w:t>
      </w:r>
      <w:r w:rsidRPr="00B03B51">
        <w:rPr>
          <w:rFonts w:ascii="Times New Roman" w:hAnsi="Times New Roman" w:cs="Times New Roman"/>
          <w:i/>
          <w:iCs/>
          <w:sz w:val="24"/>
        </w:rPr>
        <w:t>Eurostat</w:t>
      </w:r>
      <w:r w:rsidRPr="00B03B51">
        <w:rPr>
          <w:rFonts w:ascii="Times New Roman" w:hAnsi="Times New Roman" w:cs="Times New Roman"/>
          <w:sz w:val="24"/>
        </w:rPr>
        <w:t xml:space="preserve"> D-1 struktūrvienības (Pārmērīga budžeta deficīta novēršanas procedūra, metodika un VFS)</w:t>
      </w:r>
      <w:r w:rsidRPr="00B03B51">
        <w:rPr>
          <w:rStyle w:val="FootnoteReference"/>
          <w:rFonts w:ascii="Times New Roman" w:hAnsi="Times New Roman" w:cs="Times New Roman"/>
          <w:noProof/>
          <w:sz w:val="24"/>
        </w:rPr>
        <w:footnoteReference w:id="2"/>
      </w:r>
      <w:r w:rsidRPr="00B03B51">
        <w:rPr>
          <w:rFonts w:ascii="Times New Roman" w:hAnsi="Times New Roman" w:cs="Times New Roman"/>
          <w:sz w:val="24"/>
        </w:rPr>
        <w:t xml:space="preserve">, un tā tika sagatavota sadarbībā ar ekspertiem no darba grupas metodoloģijas jautājumos un </w:t>
      </w:r>
      <w:r w:rsidRPr="00B03B51">
        <w:rPr>
          <w:rFonts w:ascii="Times New Roman" w:hAnsi="Times New Roman" w:cs="Times New Roman"/>
          <w:i/>
          <w:iCs/>
          <w:sz w:val="24"/>
        </w:rPr>
        <w:t>EDPS</w:t>
      </w:r>
      <w:r w:rsidRPr="00B03B51">
        <w:rPr>
          <w:rFonts w:ascii="Times New Roman" w:hAnsi="Times New Roman" w:cs="Times New Roman"/>
          <w:sz w:val="24"/>
        </w:rPr>
        <w:t xml:space="preserve"> DG, kā arī citiem D direktorāta kolēģiem, kas sniedza būtisku ieguldījumu </w:t>
      </w:r>
      <w:r w:rsidRPr="00B03B51">
        <w:rPr>
          <w:rFonts w:ascii="Times New Roman" w:hAnsi="Times New Roman" w:cs="Times New Roman"/>
          <w:i/>
          <w:iCs/>
          <w:sz w:val="24"/>
        </w:rPr>
        <w:t>MGDD</w:t>
      </w:r>
      <w:r w:rsidRPr="00B03B51">
        <w:rPr>
          <w:rFonts w:ascii="Times New Roman" w:hAnsi="Times New Roman" w:cs="Times New Roman"/>
          <w:sz w:val="24"/>
        </w:rPr>
        <w:t xml:space="preserve"> pašreizējās redakcijas tapšanā. Šajā saistībā īpašs paldies Migelam Alonso [</w:t>
      </w:r>
      <w:r w:rsidRPr="00B03B51">
        <w:rPr>
          <w:rFonts w:ascii="Times New Roman" w:hAnsi="Times New Roman" w:cs="Times New Roman"/>
          <w:i/>
          <w:iCs/>
          <w:sz w:val="24"/>
        </w:rPr>
        <w:t>Miguel Alonso</w:t>
      </w:r>
      <w:r w:rsidRPr="00B03B51">
        <w:rPr>
          <w:rFonts w:ascii="Times New Roman" w:hAnsi="Times New Roman" w:cs="Times New Roman"/>
          <w:sz w:val="24"/>
        </w:rPr>
        <w:t>], Tomasam Forsteram [</w:t>
      </w:r>
      <w:r w:rsidRPr="00B03B51">
        <w:rPr>
          <w:rFonts w:ascii="Times New Roman" w:hAnsi="Times New Roman" w:cs="Times New Roman"/>
          <w:i/>
          <w:iCs/>
          <w:sz w:val="24"/>
        </w:rPr>
        <w:t>Thomas Forster</w:t>
      </w:r>
      <w:r w:rsidRPr="00B03B51">
        <w:rPr>
          <w:rFonts w:ascii="Times New Roman" w:hAnsi="Times New Roman" w:cs="Times New Roman"/>
          <w:sz w:val="24"/>
        </w:rPr>
        <w:t>], Monikai Gapinskai [</w:t>
      </w:r>
      <w:r w:rsidRPr="00B03B51">
        <w:rPr>
          <w:rFonts w:ascii="Times New Roman" w:hAnsi="Times New Roman" w:cs="Times New Roman"/>
          <w:i/>
          <w:iCs/>
          <w:sz w:val="24"/>
        </w:rPr>
        <w:t>Monika Gapinska</w:t>
      </w:r>
      <w:r w:rsidRPr="00B03B51">
        <w:rPr>
          <w:rFonts w:ascii="Times New Roman" w:hAnsi="Times New Roman" w:cs="Times New Roman"/>
          <w:sz w:val="24"/>
        </w:rPr>
        <w:t>], Danielai Ilavskai [</w:t>
      </w:r>
      <w:r w:rsidRPr="00B03B51">
        <w:rPr>
          <w:rFonts w:ascii="Times New Roman" w:hAnsi="Times New Roman" w:cs="Times New Roman"/>
          <w:i/>
          <w:iCs/>
          <w:sz w:val="24"/>
        </w:rPr>
        <w:t>Daniela Ilavska</w:t>
      </w:r>
      <w:r w:rsidRPr="00B03B51">
        <w:rPr>
          <w:rFonts w:ascii="Times New Roman" w:hAnsi="Times New Roman" w:cs="Times New Roman"/>
          <w:sz w:val="24"/>
        </w:rPr>
        <w:t>], Rasai Jurkonienei [</w:t>
      </w:r>
      <w:r w:rsidRPr="00B03B51">
        <w:rPr>
          <w:rFonts w:ascii="Times New Roman" w:hAnsi="Times New Roman" w:cs="Times New Roman"/>
          <w:i/>
          <w:iCs/>
          <w:sz w:val="24"/>
        </w:rPr>
        <w:t>Rasa Jurkonienė</w:t>
      </w:r>
      <w:r w:rsidRPr="00B03B51">
        <w:rPr>
          <w:rFonts w:ascii="Times New Roman" w:hAnsi="Times New Roman" w:cs="Times New Roman"/>
          <w:sz w:val="24"/>
        </w:rPr>
        <w:t>], Didjē Lebrēnam [</w:t>
      </w:r>
      <w:r w:rsidRPr="00B03B51">
        <w:rPr>
          <w:rFonts w:ascii="Times New Roman" w:hAnsi="Times New Roman" w:cs="Times New Roman"/>
          <w:i/>
          <w:iCs/>
          <w:sz w:val="24"/>
        </w:rPr>
        <w:t>Didier Lebrun</w:t>
      </w:r>
      <w:r w:rsidRPr="00B03B51">
        <w:rPr>
          <w:rFonts w:ascii="Times New Roman" w:hAnsi="Times New Roman" w:cs="Times New Roman"/>
          <w:sz w:val="24"/>
        </w:rPr>
        <w:t>], Aleksandram Reimersam [</w:t>
      </w:r>
      <w:r w:rsidRPr="00B03B51">
        <w:rPr>
          <w:rFonts w:ascii="Times New Roman" w:hAnsi="Times New Roman" w:cs="Times New Roman"/>
          <w:i/>
          <w:iCs/>
          <w:sz w:val="24"/>
        </w:rPr>
        <w:t>Alexander Reimers</w:t>
      </w:r>
      <w:r w:rsidRPr="00B03B51">
        <w:rPr>
          <w:rFonts w:ascii="Times New Roman" w:hAnsi="Times New Roman" w:cs="Times New Roman"/>
          <w:sz w:val="24"/>
        </w:rPr>
        <w:t>], Nikoletai Savu [</w:t>
      </w:r>
      <w:r w:rsidRPr="00B03B51">
        <w:rPr>
          <w:rFonts w:ascii="Times New Roman" w:hAnsi="Times New Roman" w:cs="Times New Roman"/>
          <w:i/>
          <w:iCs/>
          <w:sz w:val="24"/>
        </w:rPr>
        <w:t>Nicoleta Savu</w:t>
      </w:r>
      <w:r w:rsidRPr="00B03B51">
        <w:rPr>
          <w:rFonts w:ascii="Times New Roman" w:hAnsi="Times New Roman" w:cs="Times New Roman"/>
          <w:sz w:val="24"/>
        </w:rPr>
        <w:t>], Malgorzatai Ščesnai-Rundbergai [</w:t>
      </w:r>
      <w:r w:rsidRPr="00B03B51">
        <w:rPr>
          <w:rFonts w:ascii="Times New Roman" w:hAnsi="Times New Roman" w:cs="Times New Roman"/>
          <w:i/>
          <w:iCs/>
          <w:sz w:val="24"/>
        </w:rPr>
        <w:t>Malgorzata Szczesna-Rundberg</w:t>
      </w:r>
      <w:r w:rsidRPr="00B03B51">
        <w:rPr>
          <w:rFonts w:ascii="Times New Roman" w:hAnsi="Times New Roman" w:cs="Times New Roman"/>
          <w:sz w:val="24"/>
        </w:rPr>
        <w:t>], Leventem Sekelejam [</w:t>
      </w:r>
      <w:r w:rsidRPr="00B03B51">
        <w:rPr>
          <w:rFonts w:ascii="Times New Roman" w:hAnsi="Times New Roman" w:cs="Times New Roman"/>
          <w:i/>
          <w:iCs/>
          <w:sz w:val="24"/>
        </w:rPr>
        <w:t>Levente Szekely</w:t>
      </w:r>
      <w:r w:rsidRPr="00B03B51">
        <w:rPr>
          <w:rFonts w:ascii="Times New Roman" w:hAnsi="Times New Roman" w:cs="Times New Roman"/>
          <w:sz w:val="24"/>
        </w:rPr>
        <w:t>] un Laurai Vārigai [</w:t>
      </w:r>
      <w:r w:rsidRPr="00B03B51">
        <w:rPr>
          <w:rFonts w:ascii="Times New Roman" w:hAnsi="Times New Roman" w:cs="Times New Roman"/>
          <w:i/>
          <w:iCs/>
          <w:sz w:val="24"/>
        </w:rPr>
        <w:t>Laura Wahrig</w:t>
      </w:r>
      <w:r w:rsidRPr="00B03B51">
        <w:rPr>
          <w:rFonts w:ascii="Times New Roman" w:hAnsi="Times New Roman" w:cs="Times New Roman"/>
          <w:sz w:val="24"/>
        </w:rPr>
        <w:t>].</w:t>
      </w:r>
    </w:p>
    <w:p w14:paraId="15742E4E" w14:textId="77777777" w:rsidR="00994F93" w:rsidRPr="00B03B51" w:rsidRDefault="00994F93" w:rsidP="00994F93">
      <w:pPr>
        <w:jc w:val="both"/>
        <w:rPr>
          <w:rFonts w:ascii="Times New Roman" w:hAnsi="Times New Roman" w:cs="Times New Roman"/>
          <w:noProof/>
          <w:sz w:val="24"/>
        </w:rPr>
      </w:pPr>
    </w:p>
    <w:p w14:paraId="252127E6" w14:textId="15272C03" w:rsidR="00994F93" w:rsidRPr="00B03B51" w:rsidRDefault="00994F93" w:rsidP="00994F93">
      <w:pPr>
        <w:jc w:val="both"/>
        <w:rPr>
          <w:rFonts w:ascii="Times New Roman" w:hAnsi="Times New Roman" w:cs="Times New Roman"/>
          <w:noProof/>
          <w:sz w:val="24"/>
        </w:rPr>
      </w:pPr>
    </w:p>
    <w:p w14:paraId="1AD025CA" w14:textId="77777777" w:rsidR="00CF0893" w:rsidRPr="00B03B51" w:rsidRDefault="00CF0893" w:rsidP="00994F93">
      <w:pPr>
        <w:jc w:val="both"/>
        <w:rPr>
          <w:rFonts w:ascii="Times New Roman" w:hAnsi="Times New Roman" w:cs="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3694"/>
        <w:gridCol w:w="5377"/>
      </w:tblGrid>
      <w:tr w:rsidR="00994F93" w:rsidRPr="00B03B51" w14:paraId="3D54AA99" w14:textId="77777777" w:rsidTr="00CF0893">
        <w:tc>
          <w:tcPr>
            <w:tcW w:w="3714" w:type="dxa"/>
          </w:tcPr>
          <w:p w14:paraId="040479ED" w14:textId="77777777" w:rsidR="00994F93" w:rsidRPr="00B03B51" w:rsidRDefault="00994F93" w:rsidP="00931B19">
            <w:pPr>
              <w:pStyle w:val="BodyText"/>
              <w:spacing w:before="0"/>
              <w:ind w:left="0" w:firstLine="0"/>
              <w:rPr>
                <w:rFonts w:ascii="Times New Roman" w:hAnsi="Times New Roman" w:cs="Times New Roman"/>
                <w:noProof/>
                <w:sz w:val="24"/>
              </w:rPr>
            </w:pPr>
            <w:r w:rsidRPr="00B03B51">
              <w:rPr>
                <w:rFonts w:ascii="Times New Roman" w:hAnsi="Times New Roman" w:cs="Times New Roman"/>
                <w:sz w:val="24"/>
              </w:rPr>
              <w:t>2019. gada augusts</w:t>
            </w:r>
          </w:p>
        </w:tc>
        <w:tc>
          <w:tcPr>
            <w:tcW w:w="5407" w:type="dxa"/>
          </w:tcPr>
          <w:p w14:paraId="3AC624A2" w14:textId="77777777" w:rsidR="00994F93" w:rsidRPr="00B03B51" w:rsidRDefault="00994F93" w:rsidP="001C4B02">
            <w:pPr>
              <w:pStyle w:val="BodyText"/>
              <w:spacing w:before="0"/>
              <w:ind w:left="0" w:firstLine="0"/>
              <w:jc w:val="center"/>
              <w:rPr>
                <w:rFonts w:ascii="Times New Roman" w:hAnsi="Times New Roman" w:cs="Times New Roman"/>
                <w:noProof/>
                <w:sz w:val="24"/>
              </w:rPr>
            </w:pPr>
            <w:r w:rsidRPr="00B03B51">
              <w:rPr>
                <w:rFonts w:ascii="Times New Roman" w:hAnsi="Times New Roman" w:cs="Times New Roman"/>
                <w:sz w:val="24"/>
              </w:rPr>
              <w:t>Luka Askoli</w:t>
            </w:r>
          </w:p>
          <w:p w14:paraId="5E7822C8" w14:textId="77777777" w:rsidR="00994F93" w:rsidRPr="00B03B51" w:rsidRDefault="00994F93" w:rsidP="001C4B02">
            <w:pPr>
              <w:pStyle w:val="BodyText"/>
              <w:spacing w:before="0"/>
              <w:ind w:left="0" w:firstLine="0"/>
              <w:jc w:val="center"/>
              <w:rPr>
                <w:rFonts w:ascii="Times New Roman" w:hAnsi="Times New Roman" w:cs="Times New Roman"/>
                <w:noProof/>
                <w:sz w:val="24"/>
              </w:rPr>
            </w:pPr>
            <w:r w:rsidRPr="00B03B51">
              <w:rPr>
                <w:rFonts w:ascii="Times New Roman" w:hAnsi="Times New Roman" w:cs="Times New Roman"/>
                <w:sz w:val="24"/>
              </w:rPr>
              <w:t>Direktors</w:t>
            </w:r>
          </w:p>
          <w:p w14:paraId="41DB3AE2" w14:textId="77777777" w:rsidR="00994F93" w:rsidRPr="00B03B51" w:rsidRDefault="00994F93" w:rsidP="001C4B02">
            <w:pPr>
              <w:jc w:val="center"/>
              <w:rPr>
                <w:rFonts w:ascii="Times New Roman" w:eastAsia="Arial" w:hAnsi="Times New Roman" w:cs="Times New Roman"/>
                <w:noProof/>
                <w:sz w:val="24"/>
                <w:szCs w:val="18"/>
              </w:rPr>
            </w:pPr>
          </w:p>
          <w:p w14:paraId="126EBCFB" w14:textId="77777777" w:rsidR="00994F93" w:rsidRPr="00B03B51" w:rsidRDefault="00994F93" w:rsidP="001C4B02">
            <w:pPr>
              <w:pStyle w:val="BodyText"/>
              <w:spacing w:before="0"/>
              <w:ind w:left="0" w:firstLine="0"/>
              <w:jc w:val="center"/>
              <w:rPr>
                <w:rFonts w:ascii="Times New Roman" w:hAnsi="Times New Roman" w:cs="Times New Roman"/>
                <w:noProof/>
                <w:sz w:val="24"/>
              </w:rPr>
            </w:pPr>
            <w:r w:rsidRPr="00B03B51">
              <w:rPr>
                <w:rFonts w:ascii="Times New Roman" w:hAnsi="Times New Roman" w:cs="Times New Roman"/>
                <w:sz w:val="24"/>
              </w:rPr>
              <w:t>D direktorāts: valdības finanšu statistika (VFS)</w:t>
            </w:r>
          </w:p>
        </w:tc>
      </w:tr>
    </w:tbl>
    <w:p w14:paraId="432C423B" w14:textId="77777777" w:rsidR="00994F93" w:rsidRPr="00B03B51" w:rsidRDefault="00994F93" w:rsidP="00994F93">
      <w:pPr>
        <w:rPr>
          <w:rFonts w:ascii="Times New Roman" w:hAnsi="Times New Roman" w:cs="Times New Roman"/>
          <w:noProof/>
          <w:sz w:val="24"/>
        </w:rPr>
      </w:pPr>
      <w:r w:rsidRPr="00B03B51">
        <w:rPr>
          <w:rFonts w:ascii="Times New Roman" w:hAnsi="Times New Roman" w:cs="Times New Roman"/>
        </w:rPr>
        <w:br w:type="page"/>
      </w:r>
    </w:p>
    <w:p w14:paraId="13F598B2" w14:textId="77777777" w:rsidR="00994F93" w:rsidRPr="00B03B51" w:rsidRDefault="00994F93" w:rsidP="00994F93">
      <w:pPr>
        <w:jc w:val="both"/>
        <w:rPr>
          <w:rFonts w:ascii="Times New Roman" w:eastAsia="Arial" w:hAnsi="Times New Roman" w:cs="Times New Roman"/>
          <w:noProof/>
          <w:sz w:val="24"/>
          <w:szCs w:val="15"/>
        </w:rPr>
      </w:pPr>
    </w:p>
    <w:p w14:paraId="4FEF8E2C" w14:textId="77777777" w:rsidR="00994F93" w:rsidRPr="00B03B51" w:rsidRDefault="00994F93" w:rsidP="00CF0893">
      <w:pPr>
        <w:jc w:val="center"/>
        <w:rPr>
          <w:rFonts w:ascii="Times New Roman" w:hAnsi="Times New Roman" w:cs="Times New Roman"/>
          <w:b/>
          <w:noProof/>
          <w:sz w:val="28"/>
          <w:szCs w:val="24"/>
        </w:rPr>
      </w:pPr>
      <w:r w:rsidRPr="00B03B51">
        <w:rPr>
          <w:rFonts w:ascii="Times New Roman" w:hAnsi="Times New Roman" w:cs="Times New Roman"/>
          <w:b/>
          <w:i/>
          <w:iCs/>
          <w:sz w:val="28"/>
          <w:szCs w:val="24"/>
        </w:rPr>
        <w:t>IEVADS</w:t>
      </w:r>
      <w:r w:rsidRPr="00B03B51">
        <w:rPr>
          <w:rFonts w:ascii="Times New Roman" w:hAnsi="Times New Roman" w:cs="Times New Roman"/>
          <w:b/>
          <w:sz w:val="28"/>
          <w:szCs w:val="24"/>
        </w:rPr>
        <w:t>. DARBĪBAS JOMA UN DEFINĪCIJAS</w:t>
      </w:r>
    </w:p>
    <w:p w14:paraId="342E1FF4" w14:textId="77777777" w:rsidR="00994F93" w:rsidRPr="00B03B51" w:rsidRDefault="00994F93" w:rsidP="00994F93">
      <w:pPr>
        <w:jc w:val="both"/>
        <w:rPr>
          <w:rFonts w:ascii="Times New Roman" w:eastAsia="Arial" w:hAnsi="Times New Roman" w:cs="Times New Roman"/>
          <w:b/>
          <w:bCs/>
          <w:noProof/>
          <w:sz w:val="24"/>
        </w:rPr>
      </w:pPr>
    </w:p>
    <w:p w14:paraId="73BDA955" w14:textId="77777777" w:rsidR="00994F93" w:rsidRPr="00B03B51" w:rsidRDefault="00994F93" w:rsidP="00994F93">
      <w:pPr>
        <w:jc w:val="both"/>
        <w:rPr>
          <w:rFonts w:ascii="Times New Roman" w:hAnsi="Times New Roman" w:cs="Times New Roman"/>
          <w:b/>
          <w:noProof/>
          <w:sz w:val="24"/>
        </w:rPr>
      </w:pPr>
      <w:r w:rsidRPr="00B03B51">
        <w:rPr>
          <w:rFonts w:ascii="Times New Roman" w:hAnsi="Times New Roman" w:cs="Times New Roman"/>
          <w:b/>
          <w:sz w:val="24"/>
        </w:rPr>
        <w:t>Pārmērīga budžeta deficīta novēršanas procedūra (</w:t>
      </w:r>
      <w:r w:rsidRPr="00B03B51">
        <w:rPr>
          <w:rFonts w:ascii="Times New Roman" w:hAnsi="Times New Roman" w:cs="Times New Roman"/>
          <w:b/>
          <w:i/>
          <w:iCs/>
          <w:sz w:val="24"/>
        </w:rPr>
        <w:t>EDP</w:t>
      </w:r>
      <w:r w:rsidRPr="00B03B51">
        <w:rPr>
          <w:rFonts w:ascii="Times New Roman" w:hAnsi="Times New Roman" w:cs="Times New Roman"/>
          <w:b/>
          <w:sz w:val="24"/>
        </w:rPr>
        <w:t>)</w:t>
      </w:r>
    </w:p>
    <w:p w14:paraId="4E161C03" w14:textId="77777777" w:rsidR="00994F93" w:rsidRPr="00B03B51" w:rsidRDefault="00994F93" w:rsidP="00994F93">
      <w:pPr>
        <w:jc w:val="both"/>
        <w:rPr>
          <w:rFonts w:ascii="Times New Roman" w:eastAsia="Arial" w:hAnsi="Times New Roman" w:cs="Times New Roman"/>
          <w:b/>
          <w:bCs/>
          <w:noProof/>
          <w:sz w:val="24"/>
          <w:szCs w:val="21"/>
        </w:rPr>
      </w:pPr>
    </w:p>
    <w:p w14:paraId="413D7BED" w14:textId="77777777" w:rsidR="00994F93" w:rsidRPr="00B03B51" w:rsidRDefault="00994F93" w:rsidP="00994F93">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t xml:space="preserve">Māstrihtas līgums, kas tika noslēgts 1992. gadā, paredzēja eiro ieviešanu. Tajā noteikts veids, kā Eiropas Savienībā notiks daudzpusējā fiskālā uzraudzība. Noteikumi attiecībā uz </w:t>
      </w:r>
      <w:r w:rsidRPr="00B03B51">
        <w:rPr>
          <w:rFonts w:ascii="Times New Roman" w:hAnsi="Times New Roman" w:cs="Times New Roman"/>
          <w:i/>
          <w:iCs/>
          <w:sz w:val="24"/>
        </w:rPr>
        <w:t>EDP</w:t>
      </w:r>
      <w:r w:rsidRPr="00B03B51">
        <w:rPr>
          <w:rFonts w:ascii="Times New Roman" w:hAnsi="Times New Roman" w:cs="Times New Roman"/>
          <w:sz w:val="24"/>
        </w:rPr>
        <w:t xml:space="preserve"> šobrīd ir noteikti Līguma par Eiropas Savienības darbību (LESD) 2012. gada konsolidētajā versijā.</w:t>
      </w:r>
    </w:p>
    <w:p w14:paraId="6EC80EF5" w14:textId="77777777" w:rsidR="00994F93" w:rsidRPr="00B03B51" w:rsidRDefault="00994F93" w:rsidP="00994F93">
      <w:pPr>
        <w:jc w:val="both"/>
        <w:rPr>
          <w:rFonts w:ascii="Times New Roman" w:eastAsia="Arial" w:hAnsi="Times New Roman" w:cs="Times New Roman"/>
          <w:noProof/>
          <w:sz w:val="24"/>
          <w:szCs w:val="20"/>
        </w:rPr>
      </w:pPr>
    </w:p>
    <w:p w14:paraId="0BF2C15F" w14:textId="77777777" w:rsidR="00994F93" w:rsidRPr="00B03B51" w:rsidRDefault="00994F93" w:rsidP="00994F93">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t xml:space="preserve">Uzraudzības pamatā ir </w:t>
      </w:r>
      <w:r w:rsidRPr="00B03B51">
        <w:rPr>
          <w:rFonts w:ascii="Times New Roman" w:hAnsi="Times New Roman" w:cs="Times New Roman"/>
          <w:i/>
          <w:iCs/>
          <w:sz w:val="24"/>
        </w:rPr>
        <w:t>EDP</w:t>
      </w:r>
      <w:r w:rsidRPr="00B03B51">
        <w:rPr>
          <w:rFonts w:ascii="Times New Roman" w:hAnsi="Times New Roman" w:cs="Times New Roman"/>
          <w:sz w:val="24"/>
        </w:rPr>
        <w:t>, kurā Padomei ir noteikti grafiki un termiņi saskaņā ar Komisijas un arī Ekonomikas un finanšu komitejas ziņojumiem, pamatojoties uz to atzinumiem par to, kā izvērtēt, vai kādā dalībvalstī pastāv pārmērīgs budžeta deficīts.</w:t>
      </w:r>
    </w:p>
    <w:p w14:paraId="7AF1106E" w14:textId="77777777" w:rsidR="00994F93" w:rsidRPr="00B03B51" w:rsidRDefault="00994F93" w:rsidP="00994F93">
      <w:pPr>
        <w:jc w:val="both"/>
        <w:rPr>
          <w:rFonts w:ascii="Times New Roman" w:eastAsia="Arial" w:hAnsi="Times New Roman" w:cs="Times New Roman"/>
          <w:noProof/>
          <w:sz w:val="24"/>
          <w:szCs w:val="21"/>
        </w:rPr>
      </w:pPr>
    </w:p>
    <w:p w14:paraId="0D1051A3" w14:textId="77777777" w:rsidR="00994F93" w:rsidRPr="00B03B51" w:rsidRDefault="00994F93" w:rsidP="00994F93">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t>LESD nosaka pienākumu ES dalībvalstīm nodrošināt budžeta disciplīnu, ievērojot divus kritērijus: deficīta attiecība pret IKP un valsts parāda attiecība pret IKP nedrīkst pārsniegt atsauces vērtību attiecīgi 3 % un 60 % atbilstīgi tam, kā ir noteikts LESD pievienotajā protokolā</w:t>
      </w:r>
      <w:r w:rsidRPr="00B03B51">
        <w:rPr>
          <w:rStyle w:val="FootnoteReference"/>
          <w:rFonts w:ascii="Times New Roman" w:hAnsi="Times New Roman" w:cs="Times New Roman"/>
          <w:noProof/>
          <w:sz w:val="24"/>
        </w:rPr>
        <w:footnoteReference w:id="3"/>
      </w:r>
      <w:r w:rsidRPr="00B03B51">
        <w:rPr>
          <w:rFonts w:ascii="Times New Roman" w:hAnsi="Times New Roman" w:cs="Times New Roman"/>
          <w:sz w:val="24"/>
        </w:rPr>
        <w:t xml:space="preserve"> par </w:t>
      </w:r>
      <w:r w:rsidRPr="00B03B51">
        <w:rPr>
          <w:rFonts w:ascii="Times New Roman" w:hAnsi="Times New Roman" w:cs="Times New Roman"/>
          <w:i/>
          <w:iCs/>
          <w:sz w:val="24"/>
        </w:rPr>
        <w:t>EDP</w:t>
      </w:r>
      <w:r w:rsidRPr="00B03B51">
        <w:rPr>
          <w:rFonts w:ascii="Times New Roman" w:hAnsi="Times New Roman" w:cs="Times New Roman"/>
          <w:sz w:val="24"/>
        </w:rPr>
        <w:t>.</w:t>
      </w:r>
    </w:p>
    <w:p w14:paraId="46188F7D" w14:textId="77777777" w:rsidR="00994F93" w:rsidRPr="00B03B51" w:rsidRDefault="00994F93" w:rsidP="00994F93">
      <w:pPr>
        <w:jc w:val="both"/>
        <w:rPr>
          <w:rFonts w:ascii="Times New Roman" w:eastAsia="Arial" w:hAnsi="Times New Roman" w:cs="Times New Roman"/>
          <w:noProof/>
          <w:sz w:val="24"/>
          <w:szCs w:val="21"/>
        </w:rPr>
      </w:pPr>
    </w:p>
    <w:p w14:paraId="37458DDF" w14:textId="77777777" w:rsidR="00994F93" w:rsidRPr="00B03B51" w:rsidRDefault="00994F93" w:rsidP="00994F93">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t xml:space="preserve">Padomes Regula (EK) Nr. 479/2009, kas grozīta ar Padomes Regulu (ES) Nr. 679/2010 un Komisijas Regulu (ES) Nr. 220/2014, nosaka, ka ES dalībvalstis paziņo ar </w:t>
      </w:r>
      <w:r w:rsidRPr="00B03B51">
        <w:rPr>
          <w:rFonts w:ascii="Times New Roman" w:hAnsi="Times New Roman" w:cs="Times New Roman"/>
          <w:i/>
          <w:iCs/>
          <w:sz w:val="24"/>
        </w:rPr>
        <w:t>EDP</w:t>
      </w:r>
      <w:r w:rsidRPr="00B03B51">
        <w:rPr>
          <w:rFonts w:ascii="Times New Roman" w:hAnsi="Times New Roman" w:cs="Times New Roman"/>
          <w:sz w:val="24"/>
        </w:rPr>
        <w:t xml:space="preserve"> saistītos datus </w:t>
      </w:r>
      <w:r w:rsidRPr="00B03B51">
        <w:rPr>
          <w:rFonts w:ascii="Times New Roman" w:hAnsi="Times New Roman" w:cs="Times New Roman"/>
          <w:i/>
          <w:iCs/>
          <w:sz w:val="24"/>
        </w:rPr>
        <w:t>Eurostat</w:t>
      </w:r>
      <w:r w:rsidRPr="00B03B51">
        <w:rPr>
          <w:rFonts w:ascii="Times New Roman" w:hAnsi="Times New Roman" w:cs="Times New Roman"/>
          <w:sz w:val="24"/>
        </w:rPr>
        <w:t xml:space="preserve"> divas reizes gadā marta un septembra beigās. </w:t>
      </w:r>
      <w:r w:rsidRPr="00B03B51">
        <w:rPr>
          <w:rFonts w:ascii="Times New Roman" w:hAnsi="Times New Roman" w:cs="Times New Roman"/>
          <w:i/>
          <w:iCs/>
          <w:sz w:val="24"/>
        </w:rPr>
        <w:t>EDP</w:t>
      </w:r>
      <w:r w:rsidRPr="00B03B51">
        <w:rPr>
          <w:rFonts w:ascii="Times New Roman" w:hAnsi="Times New Roman" w:cs="Times New Roman"/>
          <w:sz w:val="24"/>
        </w:rPr>
        <w:t xml:space="preserve"> datus iesniedz saskaņotu tabulu veidā, proti, izmantojot </w:t>
      </w:r>
      <w:r w:rsidRPr="00B03B51">
        <w:rPr>
          <w:rFonts w:ascii="Times New Roman" w:hAnsi="Times New Roman" w:cs="Times New Roman"/>
          <w:i/>
          <w:iCs/>
          <w:sz w:val="24"/>
        </w:rPr>
        <w:t>EDP</w:t>
      </w:r>
      <w:r w:rsidRPr="00B03B51">
        <w:rPr>
          <w:rFonts w:ascii="Times New Roman" w:hAnsi="Times New Roman" w:cs="Times New Roman"/>
          <w:sz w:val="24"/>
        </w:rPr>
        <w:t xml:space="preserve"> notifikācijas tabulas. Šīs tabulas ir īpaši veidotas, lai nodrošinātu vienotu sistēmu un saikni ar valsts budžeta rādītājiem un attiecību starp valdības neto aizdevumiem/aizņēmumiem (B.9) un valdības parāda pārmaiņām. </w:t>
      </w:r>
      <w:r w:rsidRPr="00B03B51">
        <w:rPr>
          <w:rFonts w:ascii="Times New Roman" w:hAnsi="Times New Roman" w:cs="Times New Roman"/>
          <w:i/>
          <w:iCs/>
          <w:sz w:val="24"/>
        </w:rPr>
        <w:t>EDP</w:t>
      </w:r>
      <w:r w:rsidRPr="00B03B51">
        <w:rPr>
          <w:rFonts w:ascii="Times New Roman" w:hAnsi="Times New Roman" w:cs="Times New Roman"/>
          <w:sz w:val="24"/>
        </w:rPr>
        <w:t xml:space="preserve"> datiem ir pilnīgi jāatbilst VFS datiem, kas iesniegti EKS 2010 datu nosūtīšanas programmā.</w:t>
      </w:r>
    </w:p>
    <w:p w14:paraId="0260673A" w14:textId="77777777" w:rsidR="00994F93" w:rsidRPr="00B03B51" w:rsidRDefault="00994F93" w:rsidP="00994F93">
      <w:pPr>
        <w:jc w:val="both"/>
        <w:rPr>
          <w:rFonts w:ascii="Times New Roman" w:eastAsia="Arial" w:hAnsi="Times New Roman" w:cs="Times New Roman"/>
          <w:noProof/>
          <w:sz w:val="24"/>
          <w:szCs w:val="20"/>
        </w:rPr>
      </w:pPr>
    </w:p>
    <w:p w14:paraId="4764CCEC" w14:textId="77777777" w:rsidR="00994F93" w:rsidRPr="00B03B51" w:rsidRDefault="00994F93" w:rsidP="00994F93">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t xml:space="preserve">Jaunākās </w:t>
      </w:r>
      <w:r w:rsidRPr="00B03B51">
        <w:rPr>
          <w:rFonts w:ascii="Times New Roman" w:hAnsi="Times New Roman" w:cs="Times New Roman"/>
          <w:i/>
          <w:iCs/>
          <w:sz w:val="24"/>
        </w:rPr>
        <w:t>EDP</w:t>
      </w:r>
      <w:r w:rsidRPr="00B03B51">
        <w:rPr>
          <w:rFonts w:ascii="Times New Roman" w:hAnsi="Times New Roman" w:cs="Times New Roman"/>
          <w:sz w:val="24"/>
        </w:rPr>
        <w:t xml:space="preserve"> notifikācijas tabulas katrai ES dalībvalstij, kā arī iepriekšējo periodu notifikācijas tabulas, tostarp īss to satura skaidrojums un sīkāka informācija par valdības finanšu statistiku, ir atrodama </w:t>
      </w:r>
      <w:r w:rsidRPr="00B03B51">
        <w:rPr>
          <w:rFonts w:ascii="Times New Roman" w:hAnsi="Times New Roman" w:cs="Times New Roman"/>
          <w:i/>
          <w:iCs/>
          <w:sz w:val="24"/>
        </w:rPr>
        <w:t>Eurostat EDP</w:t>
      </w:r>
      <w:r w:rsidRPr="00B03B51">
        <w:rPr>
          <w:rFonts w:ascii="Times New Roman" w:hAnsi="Times New Roman" w:cs="Times New Roman"/>
          <w:sz w:val="24"/>
        </w:rPr>
        <w:t>/VFS veltītajā tīmekļa vietnē.</w:t>
      </w:r>
    </w:p>
    <w:p w14:paraId="01166410" w14:textId="77777777" w:rsidR="00994F93" w:rsidRPr="00B03B51" w:rsidRDefault="00994F93" w:rsidP="00994F93">
      <w:pPr>
        <w:jc w:val="both"/>
        <w:rPr>
          <w:rFonts w:ascii="Times New Roman" w:eastAsia="Arial" w:hAnsi="Times New Roman" w:cs="Times New Roman"/>
          <w:noProof/>
          <w:sz w:val="24"/>
          <w:szCs w:val="20"/>
        </w:rPr>
      </w:pPr>
    </w:p>
    <w:p w14:paraId="53097AA0" w14:textId="77777777" w:rsidR="00994F93" w:rsidRPr="00B03B51" w:rsidRDefault="00994F93" w:rsidP="00994F93">
      <w:pPr>
        <w:jc w:val="both"/>
        <w:rPr>
          <w:rFonts w:ascii="Times New Roman" w:hAnsi="Times New Roman" w:cs="Times New Roman"/>
          <w:b/>
          <w:noProof/>
          <w:sz w:val="24"/>
        </w:rPr>
      </w:pPr>
      <w:r w:rsidRPr="00B03B51">
        <w:rPr>
          <w:rFonts w:ascii="Times New Roman" w:hAnsi="Times New Roman" w:cs="Times New Roman"/>
          <w:b/>
          <w:sz w:val="24"/>
        </w:rPr>
        <w:t>Statistikas metodoloģija</w:t>
      </w:r>
    </w:p>
    <w:p w14:paraId="2DB22A8A" w14:textId="77777777" w:rsidR="00994F93" w:rsidRPr="00B03B51" w:rsidRDefault="00994F93" w:rsidP="00994F93">
      <w:pPr>
        <w:jc w:val="both"/>
        <w:rPr>
          <w:rFonts w:ascii="Times New Roman" w:eastAsia="Arial" w:hAnsi="Times New Roman" w:cs="Times New Roman"/>
          <w:b/>
          <w:bCs/>
          <w:noProof/>
          <w:sz w:val="24"/>
          <w:szCs w:val="21"/>
        </w:rPr>
      </w:pPr>
    </w:p>
    <w:p w14:paraId="2716A9FB" w14:textId="77777777" w:rsidR="00994F93" w:rsidRPr="00B03B51" w:rsidRDefault="00994F93" w:rsidP="00994F93">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t>Šo deficīta un parāda atsauces vērtību pamatā ir Eiropas kontu sistēmā (EKS 2010) noteiktie jēdzieni. Vispārējās valdības sektora pārpalikumu (+)/deficītu (-) nacionālajos kontos sauc par neto aizdevumu (+)/aizņēmumu (-) (B.9). Valdības (</w:t>
      </w:r>
      <w:r w:rsidRPr="00B03B51">
        <w:rPr>
          <w:rFonts w:ascii="Times New Roman" w:hAnsi="Times New Roman" w:cs="Times New Roman"/>
          <w:i/>
          <w:iCs/>
          <w:sz w:val="24"/>
        </w:rPr>
        <w:t>EDP</w:t>
      </w:r>
      <w:r w:rsidRPr="00B03B51">
        <w:rPr>
          <w:rFonts w:ascii="Times New Roman" w:hAnsi="Times New Roman" w:cs="Times New Roman"/>
          <w:sz w:val="24"/>
        </w:rPr>
        <w:t>) parāds ir noteikts kā kopējais konsolidētais bruto parāds nominālajā vērtībā šādās valdības saistību kategorijās (atbilstoši EKS 2010 noteiktajam): valūta un noguldījumi, parāda vērtspapīri un aizdevumi.</w:t>
      </w:r>
    </w:p>
    <w:p w14:paraId="2B83BE5A" w14:textId="77777777" w:rsidR="00994F93" w:rsidRPr="00B03B51" w:rsidRDefault="00994F93" w:rsidP="00994F93">
      <w:pPr>
        <w:jc w:val="both"/>
        <w:rPr>
          <w:rFonts w:ascii="Times New Roman" w:eastAsia="Arial" w:hAnsi="Times New Roman" w:cs="Times New Roman"/>
          <w:noProof/>
          <w:sz w:val="24"/>
          <w:szCs w:val="20"/>
        </w:rPr>
      </w:pPr>
    </w:p>
    <w:p w14:paraId="782A5710" w14:textId="77777777" w:rsidR="00994F93" w:rsidRPr="00B03B51" w:rsidRDefault="00994F93" w:rsidP="00994F93">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t xml:space="preserve">EKS 2010 ir izstrādāta, pamatojoties uz visā pasaulē atzīto nacionālo kontu rokasgrāmatu (NKS 2008), un kopumā tai atbilst. EKS 2010 ir tiesību akts, kas sagatavots lietotājam saprotamā formā. Tā kā EKS 2010 ir konceptuāla sistēma, </w:t>
      </w:r>
      <w:r w:rsidRPr="00B03B51">
        <w:rPr>
          <w:rFonts w:ascii="Times New Roman" w:hAnsi="Times New Roman" w:cs="Times New Roman"/>
          <w:i/>
          <w:iCs/>
          <w:sz w:val="24"/>
        </w:rPr>
        <w:t>Eurostat</w:t>
      </w:r>
      <w:r w:rsidRPr="00B03B51">
        <w:rPr>
          <w:rFonts w:ascii="Times New Roman" w:hAnsi="Times New Roman" w:cs="Times New Roman"/>
          <w:sz w:val="24"/>
        </w:rPr>
        <w:t xml:space="preserve"> tā bija jāpapildina ar papildu vadlīnijām, proti, ar šo Valsts budžeta deficīta un parāda rokasgrāmatu un </w:t>
      </w:r>
      <w:r w:rsidRPr="00B03B51">
        <w:rPr>
          <w:rFonts w:ascii="Times New Roman" w:hAnsi="Times New Roman" w:cs="Times New Roman"/>
          <w:i/>
          <w:iCs/>
          <w:sz w:val="24"/>
        </w:rPr>
        <w:t>Eurostat</w:t>
      </w:r>
      <w:r w:rsidRPr="00B03B51">
        <w:rPr>
          <w:rFonts w:ascii="Times New Roman" w:hAnsi="Times New Roman" w:cs="Times New Roman"/>
          <w:sz w:val="24"/>
        </w:rPr>
        <w:t xml:space="preserve"> lēmumiem, norādījumiem, skaidrojumiem, un ar divpusējām konsultācijām ar dalībvalstīm.</w:t>
      </w:r>
    </w:p>
    <w:p w14:paraId="0B5AEEE3" w14:textId="77777777" w:rsidR="00994F93" w:rsidRPr="00B03B51" w:rsidRDefault="00994F93" w:rsidP="00994F93">
      <w:pPr>
        <w:jc w:val="both"/>
        <w:rPr>
          <w:rFonts w:ascii="Times New Roman" w:eastAsia="Arial" w:hAnsi="Times New Roman" w:cs="Times New Roman"/>
          <w:noProof/>
          <w:sz w:val="24"/>
          <w:szCs w:val="20"/>
        </w:rPr>
      </w:pPr>
    </w:p>
    <w:p w14:paraId="3A8B277F" w14:textId="77777777" w:rsidR="00994F93" w:rsidRPr="00B03B51" w:rsidRDefault="00994F93" w:rsidP="00994F93">
      <w:pPr>
        <w:jc w:val="both"/>
        <w:rPr>
          <w:rFonts w:ascii="Times New Roman" w:eastAsia="Arial" w:hAnsi="Times New Roman" w:cs="Times New Roman"/>
          <w:noProof/>
          <w:sz w:val="24"/>
          <w:szCs w:val="19"/>
        </w:rPr>
      </w:pPr>
      <w:r w:rsidRPr="00B03B51">
        <w:rPr>
          <w:rFonts w:ascii="Times New Roman" w:hAnsi="Times New Roman" w:cs="Times New Roman"/>
          <w:sz w:val="24"/>
        </w:rPr>
        <w:t xml:space="preserve">Eiropas Savienības Statistikas biroja un dalībvalstu statistiķi, kā arī citas ieinteresētās puses tiekas vairākas reizes gadā </w:t>
      </w:r>
      <w:r w:rsidRPr="00B03B51">
        <w:rPr>
          <w:rFonts w:ascii="Times New Roman" w:hAnsi="Times New Roman" w:cs="Times New Roman"/>
          <w:i/>
          <w:iCs/>
          <w:sz w:val="24"/>
        </w:rPr>
        <w:t>Pārmērīga budžeta deficīta novēršanas procedūras statistikas darba grupā</w:t>
      </w:r>
      <w:r w:rsidRPr="00B03B51">
        <w:rPr>
          <w:rFonts w:ascii="Times New Roman" w:hAnsi="Times New Roman" w:cs="Times New Roman"/>
          <w:sz w:val="24"/>
        </w:rPr>
        <w:t xml:space="preserve">, lai apspriestu metodoloģiskos un praktiskos jautājumus saistībā ar valdības statistiku. Šajā rokasgrāmatā sniegtās vadlīnijas ir izstrādātas, ņemot vērā šīs darba grupas kompetenci, </w:t>
      </w:r>
      <w:r w:rsidRPr="00B03B51">
        <w:rPr>
          <w:rFonts w:ascii="Times New Roman" w:hAnsi="Times New Roman" w:cs="Times New Roman"/>
          <w:sz w:val="24"/>
        </w:rPr>
        <w:lastRenderedPageBreak/>
        <w:t xml:space="preserve">kā arī ieceltās </w:t>
      </w:r>
      <w:r w:rsidRPr="00B03B51">
        <w:rPr>
          <w:rFonts w:ascii="Times New Roman" w:hAnsi="Times New Roman" w:cs="Times New Roman"/>
          <w:i/>
          <w:iCs/>
          <w:sz w:val="24"/>
        </w:rPr>
        <w:t>Darba grupas metodoloģijas jautājumos</w:t>
      </w:r>
      <w:r w:rsidRPr="00B03B51">
        <w:rPr>
          <w:rFonts w:ascii="Times New Roman" w:hAnsi="Times New Roman" w:cs="Times New Roman"/>
          <w:sz w:val="24"/>
        </w:rPr>
        <w:t xml:space="preserve"> veikto darbu.</w:t>
      </w:r>
    </w:p>
    <w:p w14:paraId="07771359" w14:textId="77777777" w:rsidR="00994F93" w:rsidRPr="00B03B51" w:rsidRDefault="00994F93" w:rsidP="00994F93">
      <w:pPr>
        <w:jc w:val="both"/>
        <w:rPr>
          <w:rFonts w:ascii="Times New Roman" w:eastAsia="Arial" w:hAnsi="Times New Roman" w:cs="Times New Roman"/>
          <w:noProof/>
          <w:sz w:val="24"/>
          <w:szCs w:val="20"/>
        </w:rPr>
      </w:pPr>
    </w:p>
    <w:p w14:paraId="7E2DF97F" w14:textId="77777777" w:rsidR="00994F93" w:rsidRPr="00B03B51" w:rsidRDefault="00994F93" w:rsidP="00994F93">
      <w:pPr>
        <w:jc w:val="both"/>
        <w:rPr>
          <w:rFonts w:ascii="Times New Roman" w:hAnsi="Times New Roman" w:cs="Times New Roman"/>
          <w:b/>
          <w:noProof/>
          <w:sz w:val="24"/>
        </w:rPr>
      </w:pPr>
      <w:r w:rsidRPr="00B03B51">
        <w:rPr>
          <w:rFonts w:ascii="Times New Roman" w:hAnsi="Times New Roman" w:cs="Times New Roman"/>
          <w:b/>
          <w:sz w:val="24"/>
        </w:rPr>
        <w:t>Galvenie jēdzieni valdības budžeta deficīta un parāda apmēra noteikšanai</w:t>
      </w:r>
    </w:p>
    <w:p w14:paraId="44C977DF" w14:textId="77777777" w:rsidR="00994F93" w:rsidRPr="00B03B51" w:rsidRDefault="00994F93" w:rsidP="00994F93">
      <w:pPr>
        <w:jc w:val="both"/>
        <w:rPr>
          <w:rFonts w:ascii="Times New Roman" w:eastAsia="Arial" w:hAnsi="Times New Roman" w:cs="Times New Roman"/>
          <w:b/>
          <w:bCs/>
          <w:noProof/>
          <w:sz w:val="24"/>
          <w:szCs w:val="21"/>
        </w:rPr>
      </w:pPr>
    </w:p>
    <w:p w14:paraId="00086DDF" w14:textId="77777777" w:rsidR="00994F93" w:rsidRPr="00B03B51" w:rsidRDefault="00994F93" w:rsidP="00994F93">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t>EKS 2010 ir makroekonomiskās statistikas veidošanas sistēma. Tajā ieraksta darījumu ekonomisko realizāciju, nevis to juridisko formu. Tas var nozīmēt nepieciešamību izvērtēt sarežģītas finanšu operācijas, lai izprastu, kas uzņemas finanšu riskus un kas kontrolē ieguvumus, neatkarīgi no tā, kā ir noformēti līgumi. Saistībā ar valdības budžeta deficīta un parāda apmēra noteikšanu šie centieni konstatēt ekonomisko realitāti ietekmē turpmāk norādītos jautājumus.</w:t>
      </w:r>
    </w:p>
    <w:p w14:paraId="5E6BBEE7" w14:textId="77777777" w:rsidR="00994F93" w:rsidRPr="00B03B51" w:rsidRDefault="00994F93" w:rsidP="00994F93">
      <w:pPr>
        <w:jc w:val="both"/>
        <w:rPr>
          <w:rFonts w:ascii="Times New Roman" w:hAnsi="Times New Roman" w:cs="Times New Roman"/>
          <w:noProof/>
          <w:sz w:val="24"/>
        </w:rPr>
      </w:pPr>
    </w:p>
    <w:p w14:paraId="66879B47" w14:textId="77777777" w:rsidR="00994F93" w:rsidRPr="00B03B51" w:rsidRDefault="00994F93" w:rsidP="00994F93">
      <w:pPr>
        <w:pStyle w:val="BodyText"/>
        <w:numPr>
          <w:ilvl w:val="3"/>
          <w:numId w:val="32"/>
        </w:numPr>
        <w:spacing w:before="0"/>
        <w:ind w:left="426" w:hanging="426"/>
        <w:jc w:val="both"/>
        <w:rPr>
          <w:rFonts w:ascii="Times New Roman" w:hAnsi="Times New Roman" w:cs="Times New Roman"/>
          <w:noProof/>
          <w:sz w:val="24"/>
        </w:rPr>
      </w:pPr>
      <w:r w:rsidRPr="00B03B51">
        <w:rPr>
          <w:rFonts w:ascii="Times New Roman" w:hAnsi="Times New Roman" w:cs="Times New Roman"/>
          <w:sz w:val="24"/>
        </w:rPr>
        <w:t>Vienību klasifikācija: vai vienība ir vai nav iekļauta valdības sektorā? Valsts budžeta deficītu un valsts parādu tieši ietekmē vienības, kuras ietilpst valdības sektorā. To nosaka, izvērtējot, vai vienību kontrolē vai nekontrolē valdība, un to, vai vienība ir ārpustirgus vai tirgus vienība (to var finansēt galvenokārt no pašas vienības pārdevumiem). Privāti kontrolētās institucionālās tirgus vienības neietilpst valdības sektorā.</w:t>
      </w:r>
    </w:p>
    <w:p w14:paraId="7B5CE7D4" w14:textId="77777777" w:rsidR="00994F93" w:rsidRPr="00B03B51" w:rsidRDefault="00994F93" w:rsidP="00994F93">
      <w:pPr>
        <w:pStyle w:val="BodyText"/>
        <w:numPr>
          <w:ilvl w:val="3"/>
          <w:numId w:val="32"/>
        </w:numPr>
        <w:spacing w:before="0"/>
        <w:ind w:left="426" w:hanging="426"/>
        <w:jc w:val="both"/>
        <w:rPr>
          <w:rFonts w:ascii="Times New Roman" w:hAnsi="Times New Roman" w:cs="Times New Roman"/>
          <w:noProof/>
          <w:sz w:val="24"/>
        </w:rPr>
      </w:pPr>
      <w:r w:rsidRPr="00B03B51">
        <w:rPr>
          <w:rFonts w:ascii="Times New Roman" w:hAnsi="Times New Roman" w:cs="Times New Roman"/>
          <w:sz w:val="24"/>
        </w:rPr>
        <w:t>Darījumu laiks: EKS 2010 ieraksta darījumus pēc uzkrāšanas principa, t. i., pēc tā, kad notiek ekonomiskā darbība, nevis pēc tā, kad ir samaksāta skaidra nauda. Šīs atšķirības var būt lielas un tāpēc var nozīmīgi ietekmēt valdības deficītu/pārpalikumu.</w:t>
      </w:r>
    </w:p>
    <w:p w14:paraId="3636A594" w14:textId="77777777" w:rsidR="00994F93" w:rsidRPr="00B03B51" w:rsidRDefault="00994F93" w:rsidP="00994F93">
      <w:pPr>
        <w:pStyle w:val="BodyText"/>
        <w:numPr>
          <w:ilvl w:val="3"/>
          <w:numId w:val="32"/>
        </w:numPr>
        <w:spacing w:before="0"/>
        <w:ind w:left="426" w:hanging="426"/>
        <w:jc w:val="both"/>
        <w:rPr>
          <w:rFonts w:ascii="Times New Roman" w:hAnsi="Times New Roman" w:cs="Times New Roman"/>
          <w:noProof/>
          <w:sz w:val="24"/>
        </w:rPr>
      </w:pPr>
      <w:r w:rsidRPr="00B03B51">
        <w:rPr>
          <w:rFonts w:ascii="Times New Roman" w:hAnsi="Times New Roman" w:cs="Times New Roman"/>
          <w:sz w:val="24"/>
        </w:rPr>
        <w:t>Darījuma būtība: EKS 2010 tiek nošķirti nefinanšu darījumi, piemēram, patēriņš, darba algas un samaksa, subsīdijas vai dotācijas zaudējumu segšanai, kas tieši ietekmē valdības deficītu, un finanšu darījumi, piemēram, finanšu aktīvu iegāde vai aizdevumu atmaksa, kas deficītu neietekmē.</w:t>
      </w:r>
    </w:p>
    <w:p w14:paraId="697AF874" w14:textId="77777777" w:rsidR="00994F93" w:rsidRPr="00B03B51" w:rsidRDefault="00994F93" w:rsidP="00994F93">
      <w:pPr>
        <w:jc w:val="both"/>
        <w:rPr>
          <w:rFonts w:ascii="Times New Roman" w:eastAsia="Arial" w:hAnsi="Times New Roman" w:cs="Times New Roman"/>
          <w:noProof/>
          <w:sz w:val="24"/>
          <w:szCs w:val="19"/>
        </w:rPr>
      </w:pPr>
    </w:p>
    <w:p w14:paraId="2D9A643E" w14:textId="77777777" w:rsidR="00994F93" w:rsidRPr="00B03B51" w:rsidRDefault="00994F93" w:rsidP="00994F93">
      <w:pPr>
        <w:jc w:val="both"/>
        <w:rPr>
          <w:rFonts w:ascii="Times New Roman" w:hAnsi="Times New Roman" w:cs="Times New Roman"/>
          <w:b/>
          <w:noProof/>
          <w:sz w:val="24"/>
        </w:rPr>
      </w:pPr>
      <w:r w:rsidRPr="00B03B51">
        <w:rPr>
          <w:rFonts w:ascii="Times New Roman" w:hAnsi="Times New Roman" w:cs="Times New Roman"/>
          <w:b/>
          <w:sz w:val="24"/>
        </w:rPr>
        <w:t>Rokasgrāmatas struktūra</w:t>
      </w:r>
    </w:p>
    <w:p w14:paraId="170459CB" w14:textId="77777777" w:rsidR="00994F93" w:rsidRPr="00B03B51" w:rsidRDefault="00994F93" w:rsidP="00994F93">
      <w:pPr>
        <w:jc w:val="both"/>
        <w:rPr>
          <w:rFonts w:ascii="Times New Roman" w:eastAsia="Arial" w:hAnsi="Times New Roman" w:cs="Times New Roman"/>
          <w:b/>
          <w:bCs/>
          <w:noProof/>
          <w:sz w:val="24"/>
          <w:szCs w:val="21"/>
        </w:rPr>
      </w:pPr>
    </w:p>
    <w:p w14:paraId="1CF58E39" w14:textId="77777777" w:rsidR="00994F93" w:rsidRPr="00B03B51" w:rsidRDefault="00994F93" w:rsidP="00994F93">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t>Atsaucēm uz rokasgrāmatas tekstu tiek izmantoti turpmāk minētie apzīmējumi, pamatojoties uz nākamajā lappusē iekļautā satura rādītāja uzbūvi.</w:t>
      </w:r>
    </w:p>
    <w:p w14:paraId="135DF381" w14:textId="77777777" w:rsidR="00994F93" w:rsidRPr="00B03B51" w:rsidRDefault="00994F93" w:rsidP="00994F93">
      <w:pPr>
        <w:jc w:val="both"/>
        <w:rPr>
          <w:rFonts w:ascii="Times New Roman" w:eastAsia="Arial" w:hAnsi="Times New Roman" w:cs="Times New Roman"/>
          <w:noProof/>
          <w:sz w:val="24"/>
          <w:szCs w:val="18"/>
        </w:rPr>
      </w:pPr>
    </w:p>
    <w:p w14:paraId="16536AB1" w14:textId="77777777" w:rsidR="00994F93" w:rsidRPr="00B03B51" w:rsidRDefault="00994F93" w:rsidP="00994F93">
      <w:pPr>
        <w:jc w:val="both"/>
        <w:rPr>
          <w:rFonts w:ascii="Times New Roman" w:eastAsia="Arial" w:hAnsi="Times New Roman" w:cs="Times New Roman"/>
          <w:noProof/>
          <w:sz w:val="24"/>
          <w:szCs w:val="18"/>
        </w:rPr>
      </w:pPr>
    </w:p>
    <w:p w14:paraId="1930BF13" w14:textId="77777777" w:rsidR="00994F93" w:rsidRPr="00B03B51" w:rsidRDefault="00994F93" w:rsidP="00994F93">
      <w:pPr>
        <w:pStyle w:val="BodyText"/>
        <w:tabs>
          <w:tab w:val="left" w:pos="1701"/>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w:t>
      </w:r>
      <w:r w:rsidRPr="00B03B51">
        <w:rPr>
          <w:rFonts w:ascii="Times New Roman" w:hAnsi="Times New Roman" w:cs="Times New Roman"/>
          <w:sz w:val="24"/>
        </w:rPr>
        <w:tab/>
        <w:t>daļa</w:t>
      </w:r>
    </w:p>
    <w:p w14:paraId="7E1F0D45" w14:textId="77777777" w:rsidR="00994F93" w:rsidRPr="00B03B51" w:rsidRDefault="00994F93" w:rsidP="00994F93">
      <w:pPr>
        <w:pStyle w:val="BodyText"/>
        <w:tabs>
          <w:tab w:val="left" w:pos="1701"/>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1.1.</w:t>
      </w:r>
      <w:r w:rsidRPr="00B03B51">
        <w:rPr>
          <w:rFonts w:ascii="Times New Roman" w:hAnsi="Times New Roman" w:cs="Times New Roman"/>
          <w:sz w:val="24"/>
        </w:rPr>
        <w:tab/>
        <w:t>nodaļa</w:t>
      </w:r>
    </w:p>
    <w:p w14:paraId="084D1A50" w14:textId="77777777" w:rsidR="00994F93" w:rsidRPr="00B03B51" w:rsidRDefault="00994F93" w:rsidP="00994F93">
      <w:pPr>
        <w:pStyle w:val="BodyText"/>
        <w:tabs>
          <w:tab w:val="left" w:pos="1701"/>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1.1.1.</w:t>
      </w:r>
      <w:r w:rsidRPr="00B03B51">
        <w:rPr>
          <w:rFonts w:ascii="Times New Roman" w:hAnsi="Times New Roman" w:cs="Times New Roman"/>
          <w:sz w:val="24"/>
        </w:rPr>
        <w:tab/>
        <w:t>iedaļa</w:t>
      </w:r>
    </w:p>
    <w:p w14:paraId="10F7277D" w14:textId="77777777" w:rsidR="00994F93" w:rsidRPr="00B03B51" w:rsidRDefault="00994F93" w:rsidP="00994F93">
      <w:pPr>
        <w:pStyle w:val="BodyText"/>
        <w:tabs>
          <w:tab w:val="left" w:pos="1701"/>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1.1.1.1.</w:t>
      </w:r>
      <w:r w:rsidRPr="00B03B51">
        <w:rPr>
          <w:rFonts w:ascii="Times New Roman" w:hAnsi="Times New Roman" w:cs="Times New Roman"/>
          <w:sz w:val="24"/>
        </w:rPr>
        <w:tab/>
        <w:t>apakšiedaļa</w:t>
      </w:r>
    </w:p>
    <w:p w14:paraId="74B29144" w14:textId="77777777" w:rsidR="00994F93" w:rsidRPr="00B03B51" w:rsidRDefault="00994F93" w:rsidP="00994F93">
      <w:pPr>
        <w:jc w:val="both"/>
        <w:rPr>
          <w:rFonts w:ascii="Times New Roman" w:eastAsia="Arial" w:hAnsi="Times New Roman" w:cs="Times New Roman"/>
          <w:noProof/>
          <w:sz w:val="24"/>
          <w:szCs w:val="25"/>
        </w:rPr>
      </w:pPr>
    </w:p>
    <w:p w14:paraId="017BDA03" w14:textId="77777777" w:rsidR="00994F93" w:rsidRPr="00B03B51" w:rsidRDefault="00994F93" w:rsidP="00994F93">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t>Visu astoņu daļu sākumā sniegts pārskats, bet beigās – atslēgvārdi un atsauces. Saites uz tiesību aktiem sniegtas pielikumā.</w:t>
      </w:r>
    </w:p>
    <w:p w14:paraId="076765C2" w14:textId="77777777" w:rsidR="00994F93" w:rsidRPr="00B03B51" w:rsidRDefault="00994F93" w:rsidP="00994F93">
      <w:pPr>
        <w:rPr>
          <w:rFonts w:ascii="Times New Roman" w:hAnsi="Times New Roman" w:cs="Times New Roman"/>
          <w:noProof/>
          <w:sz w:val="24"/>
        </w:rPr>
      </w:pPr>
      <w:r w:rsidRPr="00B03B51">
        <w:rPr>
          <w:rFonts w:ascii="Times New Roman" w:hAnsi="Times New Roman" w:cs="Times New Roman"/>
        </w:rPr>
        <w:br w:type="page"/>
      </w:r>
    </w:p>
    <w:p w14:paraId="24B76D97" w14:textId="77777777" w:rsidR="00994F93" w:rsidRPr="00B03B51" w:rsidRDefault="00994F93" w:rsidP="00994F93">
      <w:pPr>
        <w:jc w:val="both"/>
        <w:rPr>
          <w:rFonts w:ascii="Times New Roman" w:eastAsia="Arial" w:hAnsi="Times New Roman" w:cs="Times New Roman"/>
          <w:noProof/>
          <w:sz w:val="24"/>
          <w:szCs w:val="24"/>
        </w:rPr>
      </w:pPr>
    </w:p>
    <w:p w14:paraId="2BF3FBFB" w14:textId="77777777" w:rsidR="00994F93" w:rsidRPr="00B03B51" w:rsidRDefault="00994F93" w:rsidP="00994F93">
      <w:pPr>
        <w:jc w:val="both"/>
        <w:rPr>
          <w:rFonts w:ascii="Times New Roman" w:hAnsi="Times New Roman" w:cs="Times New Roman"/>
          <w:b/>
          <w:noProof/>
          <w:sz w:val="28"/>
          <w:szCs w:val="24"/>
        </w:rPr>
      </w:pPr>
      <w:r w:rsidRPr="00B03B51">
        <w:rPr>
          <w:rFonts w:ascii="Times New Roman" w:hAnsi="Times New Roman" w:cs="Times New Roman"/>
          <w:b/>
          <w:sz w:val="28"/>
          <w:szCs w:val="24"/>
        </w:rPr>
        <w:t>ABREVIATŪRU UN AKRONĪMU SARAKSTS</w:t>
      </w:r>
    </w:p>
    <w:p w14:paraId="4A169E44" w14:textId="77777777" w:rsidR="00994F93" w:rsidRPr="00B03B51" w:rsidRDefault="00994F93" w:rsidP="00994F93">
      <w:pPr>
        <w:jc w:val="both"/>
        <w:rPr>
          <w:rFonts w:ascii="Times New Roman" w:eastAsia="Arial" w:hAnsi="Times New Roman" w:cs="Times New Roman"/>
          <w:b/>
          <w:bCs/>
          <w:noProof/>
          <w:sz w:val="24"/>
          <w:szCs w:val="26"/>
        </w:rPr>
      </w:pPr>
    </w:p>
    <w:p w14:paraId="60C2833C" w14:textId="77777777" w:rsidR="00994F93" w:rsidRPr="00B03B51" w:rsidRDefault="00994F93" w:rsidP="00994F93">
      <w:pPr>
        <w:jc w:val="both"/>
        <w:rPr>
          <w:rFonts w:ascii="Times New Roman" w:eastAsia="Arial" w:hAnsi="Times New Roman" w:cs="Times New Roman"/>
          <w:noProof/>
          <w:sz w:val="24"/>
          <w:szCs w:val="19"/>
        </w:rPr>
      </w:pPr>
      <w:r w:rsidRPr="00B03B51">
        <w:rPr>
          <w:rFonts w:ascii="Times New Roman" w:hAnsi="Times New Roman" w:cs="Times New Roman"/>
          <w:b/>
          <w:bCs/>
          <w:sz w:val="24"/>
          <w:szCs w:val="19"/>
        </w:rPr>
        <w:t>NKS 2008</w:t>
      </w:r>
      <w:r w:rsidRPr="00B03B51">
        <w:rPr>
          <w:rFonts w:ascii="Times New Roman" w:hAnsi="Times New Roman" w:cs="Times New Roman"/>
          <w:sz w:val="24"/>
          <w:szCs w:val="19"/>
        </w:rPr>
        <w:t> – 2008. gada nacionālo kontu sistēma</w:t>
      </w:r>
    </w:p>
    <w:p w14:paraId="213185F1" w14:textId="77777777" w:rsidR="00994F93" w:rsidRPr="00B03B51" w:rsidRDefault="00994F93" w:rsidP="00994F93">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b/>
          <w:bCs/>
          <w:i/>
          <w:iCs/>
          <w:sz w:val="24"/>
        </w:rPr>
        <w:t>AAU</w:t>
      </w:r>
      <w:r w:rsidRPr="00B03B51">
        <w:rPr>
          <w:rFonts w:ascii="Times New Roman" w:hAnsi="Times New Roman" w:cs="Times New Roman"/>
          <w:b/>
          <w:bCs/>
          <w:sz w:val="24"/>
        </w:rPr>
        <w:t xml:space="preserve"> </w:t>
      </w:r>
      <w:r w:rsidRPr="00B03B51">
        <w:rPr>
          <w:rFonts w:ascii="Times New Roman" w:hAnsi="Times New Roman" w:cs="Times New Roman"/>
          <w:sz w:val="24"/>
        </w:rPr>
        <w:t>[</w:t>
      </w:r>
      <w:r w:rsidRPr="00B03B51">
        <w:rPr>
          <w:rFonts w:ascii="Times New Roman" w:hAnsi="Times New Roman" w:cs="Times New Roman"/>
          <w:i/>
          <w:iCs/>
          <w:sz w:val="24"/>
        </w:rPr>
        <w:t>Assigned Amount Units</w:t>
      </w:r>
      <w:r w:rsidRPr="00B03B51">
        <w:rPr>
          <w:rFonts w:ascii="Times New Roman" w:hAnsi="Times New Roman" w:cs="Times New Roman"/>
          <w:sz w:val="24"/>
        </w:rPr>
        <w:t>] – noteiktā daudzuma vienības</w:t>
      </w:r>
    </w:p>
    <w:p w14:paraId="03EC2CAC" w14:textId="77777777" w:rsidR="00994F93" w:rsidRPr="00B03B51" w:rsidRDefault="00994F93" w:rsidP="00994F93">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b/>
          <w:bCs/>
          <w:i/>
          <w:iCs/>
          <w:sz w:val="24"/>
        </w:rPr>
        <w:t>CDS</w:t>
      </w:r>
      <w:r w:rsidRPr="00B03B51">
        <w:rPr>
          <w:rFonts w:ascii="Times New Roman" w:hAnsi="Times New Roman" w:cs="Times New Roman"/>
          <w:b/>
          <w:bCs/>
          <w:sz w:val="24"/>
        </w:rPr>
        <w:t xml:space="preserve"> </w:t>
      </w:r>
      <w:r w:rsidRPr="00B03B51">
        <w:rPr>
          <w:rFonts w:ascii="Times New Roman" w:hAnsi="Times New Roman" w:cs="Times New Roman"/>
          <w:sz w:val="24"/>
        </w:rPr>
        <w:t>[</w:t>
      </w:r>
      <w:r w:rsidRPr="00B03B51">
        <w:rPr>
          <w:rFonts w:ascii="Times New Roman" w:hAnsi="Times New Roman" w:cs="Times New Roman"/>
          <w:i/>
          <w:iCs/>
          <w:sz w:val="24"/>
        </w:rPr>
        <w:t>Credit default swap</w:t>
      </w:r>
      <w:r w:rsidRPr="00B03B51">
        <w:rPr>
          <w:rFonts w:ascii="Times New Roman" w:hAnsi="Times New Roman" w:cs="Times New Roman"/>
          <w:sz w:val="24"/>
        </w:rPr>
        <w:t>] – kredītsaistību nepildīšanas mijmaiņas līgums</w:t>
      </w:r>
    </w:p>
    <w:p w14:paraId="167A65DA" w14:textId="77777777" w:rsidR="00994F93" w:rsidRPr="00B03B51" w:rsidRDefault="00994F93" w:rsidP="00994F93">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b/>
          <w:bCs/>
          <w:i/>
          <w:iCs/>
          <w:sz w:val="24"/>
        </w:rPr>
        <w:t>BPM6</w:t>
      </w:r>
      <w:r w:rsidRPr="00B03B51">
        <w:rPr>
          <w:rFonts w:ascii="Times New Roman" w:hAnsi="Times New Roman" w:cs="Times New Roman"/>
          <w:b/>
          <w:bCs/>
          <w:sz w:val="24"/>
        </w:rPr>
        <w:t> </w:t>
      </w:r>
      <w:r w:rsidRPr="00B03B51">
        <w:rPr>
          <w:rFonts w:ascii="Times New Roman" w:hAnsi="Times New Roman" w:cs="Times New Roman"/>
          <w:sz w:val="24"/>
        </w:rPr>
        <w:t>– Maksājumu bilances un starptautisko ieguldījumu bilances rokasgrāmatas 6. izdevums</w:t>
      </w:r>
    </w:p>
    <w:p w14:paraId="70A22BD7" w14:textId="77777777" w:rsidR="00994F93" w:rsidRPr="00B03B51" w:rsidRDefault="00994F93" w:rsidP="00994F93">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b/>
          <w:bCs/>
          <w:i/>
          <w:iCs/>
          <w:sz w:val="24"/>
        </w:rPr>
        <w:t>DTA</w:t>
      </w:r>
      <w:r w:rsidRPr="00B03B51">
        <w:rPr>
          <w:rFonts w:ascii="Times New Roman" w:hAnsi="Times New Roman" w:cs="Times New Roman"/>
          <w:sz w:val="24"/>
        </w:rPr>
        <w:t xml:space="preserve"> [</w:t>
      </w:r>
      <w:r w:rsidRPr="00B03B51">
        <w:rPr>
          <w:rFonts w:ascii="Times New Roman" w:hAnsi="Times New Roman" w:cs="Times New Roman"/>
          <w:i/>
          <w:iCs/>
          <w:sz w:val="24"/>
        </w:rPr>
        <w:t>Deferred tax assets</w:t>
      </w:r>
      <w:r w:rsidRPr="00B03B51">
        <w:rPr>
          <w:rFonts w:ascii="Times New Roman" w:hAnsi="Times New Roman" w:cs="Times New Roman"/>
          <w:sz w:val="24"/>
        </w:rPr>
        <w:t>] – atliktā nodokļa aktīvi</w:t>
      </w:r>
    </w:p>
    <w:p w14:paraId="1878DA88" w14:textId="77777777" w:rsidR="00994F93" w:rsidRPr="00B03B51" w:rsidRDefault="00994F93" w:rsidP="00994F93">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b/>
          <w:bCs/>
          <w:sz w:val="24"/>
        </w:rPr>
        <w:t>EK </w:t>
      </w:r>
      <w:r w:rsidRPr="00B03B51">
        <w:rPr>
          <w:rFonts w:ascii="Times New Roman" w:hAnsi="Times New Roman" w:cs="Times New Roman"/>
          <w:sz w:val="24"/>
        </w:rPr>
        <w:t>– Eiropas Komisija</w:t>
      </w:r>
    </w:p>
    <w:p w14:paraId="6F645DF5" w14:textId="77777777" w:rsidR="00994F93" w:rsidRPr="00B03B51" w:rsidRDefault="00994F93" w:rsidP="00994F93">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b/>
          <w:bCs/>
          <w:sz w:val="24"/>
        </w:rPr>
        <w:t>ECB</w:t>
      </w:r>
      <w:r w:rsidRPr="00B03B51">
        <w:rPr>
          <w:rFonts w:ascii="Times New Roman" w:hAnsi="Times New Roman" w:cs="Times New Roman"/>
          <w:sz w:val="24"/>
        </w:rPr>
        <w:t> – Eiropas Centrālā banka</w:t>
      </w:r>
    </w:p>
    <w:p w14:paraId="787575F0" w14:textId="77777777" w:rsidR="00994F93" w:rsidRPr="00B03B51" w:rsidRDefault="00994F93" w:rsidP="00994F93">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b/>
          <w:bCs/>
          <w:i/>
          <w:iCs/>
          <w:sz w:val="24"/>
        </w:rPr>
        <w:t>EDP</w:t>
      </w:r>
      <w:r w:rsidRPr="00B03B51">
        <w:rPr>
          <w:rFonts w:ascii="Times New Roman" w:hAnsi="Times New Roman" w:cs="Times New Roman"/>
          <w:sz w:val="24"/>
        </w:rPr>
        <w:t> – pārmērīga budžeta deficīta novēršanas procedūra</w:t>
      </w:r>
    </w:p>
    <w:p w14:paraId="4D3A74CB" w14:textId="77777777" w:rsidR="00994F93" w:rsidRPr="00B03B51" w:rsidRDefault="00994F93" w:rsidP="00994F93">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b/>
          <w:bCs/>
          <w:i/>
          <w:iCs/>
          <w:sz w:val="24"/>
        </w:rPr>
        <w:t>EDPS</w:t>
      </w:r>
      <w:r w:rsidRPr="00B03B51">
        <w:rPr>
          <w:rFonts w:ascii="Times New Roman" w:hAnsi="Times New Roman" w:cs="Times New Roman"/>
          <w:b/>
          <w:bCs/>
          <w:sz w:val="24"/>
        </w:rPr>
        <w:t xml:space="preserve"> DG</w:t>
      </w:r>
      <w:r w:rsidRPr="00B03B51">
        <w:rPr>
          <w:rFonts w:ascii="Times New Roman" w:hAnsi="Times New Roman" w:cs="Times New Roman"/>
          <w:sz w:val="24"/>
        </w:rPr>
        <w:t> – pārmērīga budžeta deficīta novēršanas procedūras statistikas darba grupa</w:t>
      </w:r>
    </w:p>
    <w:p w14:paraId="569F6C48" w14:textId="77777777" w:rsidR="00994F93" w:rsidRPr="00B03B51" w:rsidRDefault="00994F93" w:rsidP="00994F93">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b/>
          <w:bCs/>
          <w:sz w:val="24"/>
        </w:rPr>
        <w:t>EFSI</w:t>
      </w:r>
      <w:r w:rsidRPr="00B03B51">
        <w:rPr>
          <w:rFonts w:ascii="Times New Roman" w:hAnsi="Times New Roman" w:cs="Times New Roman"/>
          <w:sz w:val="24"/>
        </w:rPr>
        <w:t> – Eiropas Finanšu stabilitātes instruments</w:t>
      </w:r>
    </w:p>
    <w:p w14:paraId="3D09EC82" w14:textId="77777777" w:rsidR="00994F93" w:rsidRPr="00B03B51" w:rsidRDefault="00994F93" w:rsidP="00994F93">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b/>
          <w:bCs/>
          <w:sz w:val="24"/>
        </w:rPr>
        <w:t>EFSM</w:t>
      </w:r>
      <w:r w:rsidRPr="00B03B51">
        <w:rPr>
          <w:rFonts w:ascii="Times New Roman" w:hAnsi="Times New Roman" w:cs="Times New Roman"/>
          <w:sz w:val="24"/>
        </w:rPr>
        <w:t> – Eiropas Finanšu stabilitātes mehānisms</w:t>
      </w:r>
    </w:p>
    <w:p w14:paraId="40C315B6" w14:textId="77777777" w:rsidR="00994F93" w:rsidRPr="00B03B51" w:rsidRDefault="00994F93" w:rsidP="00994F93">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b/>
          <w:bCs/>
          <w:sz w:val="24"/>
        </w:rPr>
        <w:t>EIB</w:t>
      </w:r>
      <w:r w:rsidRPr="00B03B51">
        <w:rPr>
          <w:rFonts w:ascii="Times New Roman" w:hAnsi="Times New Roman" w:cs="Times New Roman"/>
          <w:sz w:val="24"/>
        </w:rPr>
        <w:t> – Eiropas Investīciju banka</w:t>
      </w:r>
    </w:p>
    <w:p w14:paraId="1724C2D5" w14:textId="77777777" w:rsidR="00994F93" w:rsidRPr="00B03B51" w:rsidRDefault="00994F93" w:rsidP="00994F93">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b/>
          <w:bCs/>
          <w:sz w:val="24"/>
        </w:rPr>
        <w:t>EMS</w:t>
      </w:r>
      <w:r w:rsidRPr="00B03B51">
        <w:rPr>
          <w:rFonts w:ascii="Times New Roman" w:hAnsi="Times New Roman" w:cs="Times New Roman"/>
          <w:sz w:val="24"/>
        </w:rPr>
        <w:t> – Ekonomikas un monetārā savienība</w:t>
      </w:r>
    </w:p>
    <w:p w14:paraId="78532571" w14:textId="77777777" w:rsidR="00994F93" w:rsidRPr="00B03B51" w:rsidRDefault="00994F93" w:rsidP="00994F93">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b/>
          <w:bCs/>
          <w:sz w:val="24"/>
        </w:rPr>
        <w:t>EKS 2010</w:t>
      </w:r>
      <w:r w:rsidRPr="00B03B51">
        <w:rPr>
          <w:rFonts w:ascii="Times New Roman" w:hAnsi="Times New Roman" w:cs="Times New Roman"/>
          <w:sz w:val="24"/>
        </w:rPr>
        <w:t> – Eiropas kontu sistēma 2010</w:t>
      </w:r>
    </w:p>
    <w:p w14:paraId="28D04581" w14:textId="77777777" w:rsidR="00994F93" w:rsidRPr="00B03B51" w:rsidRDefault="00994F93" w:rsidP="00994F93">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b/>
          <w:bCs/>
          <w:sz w:val="24"/>
        </w:rPr>
        <w:t>ESIF</w:t>
      </w:r>
      <w:r w:rsidRPr="00B03B51">
        <w:rPr>
          <w:rFonts w:ascii="Times New Roman" w:hAnsi="Times New Roman" w:cs="Times New Roman"/>
          <w:sz w:val="24"/>
        </w:rPr>
        <w:t> – Eiropas strukturālie un investīciju fondi</w:t>
      </w:r>
    </w:p>
    <w:p w14:paraId="59073D9A" w14:textId="77777777" w:rsidR="00994F93" w:rsidRPr="00B03B51" w:rsidRDefault="00994F93" w:rsidP="00994F93">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b/>
          <w:bCs/>
          <w:sz w:val="24"/>
        </w:rPr>
        <w:t>ESM</w:t>
      </w:r>
      <w:r w:rsidRPr="00B03B51">
        <w:rPr>
          <w:rFonts w:ascii="Times New Roman" w:hAnsi="Times New Roman" w:cs="Times New Roman"/>
          <w:sz w:val="24"/>
        </w:rPr>
        <w:t> – Eiropas Stabilitātes mehānisms</w:t>
      </w:r>
    </w:p>
    <w:p w14:paraId="05D331B0" w14:textId="77777777" w:rsidR="00994F93" w:rsidRPr="00B03B51" w:rsidRDefault="00994F93" w:rsidP="00994F93">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b/>
          <w:bCs/>
          <w:sz w:val="24"/>
        </w:rPr>
        <w:t>ESCB</w:t>
      </w:r>
      <w:r w:rsidRPr="00B03B51">
        <w:rPr>
          <w:rFonts w:ascii="Times New Roman" w:hAnsi="Times New Roman" w:cs="Times New Roman"/>
          <w:sz w:val="24"/>
        </w:rPr>
        <w:t> – Eiropas Centrālo banku sistēma</w:t>
      </w:r>
    </w:p>
    <w:p w14:paraId="1225E044" w14:textId="77777777" w:rsidR="00994F93" w:rsidRPr="00B03B51" w:rsidRDefault="00994F93" w:rsidP="00994F93">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b/>
          <w:bCs/>
          <w:i/>
          <w:iCs/>
          <w:sz w:val="24"/>
        </w:rPr>
        <w:t>ETS</w:t>
      </w:r>
      <w:r w:rsidRPr="00B03B51">
        <w:rPr>
          <w:rFonts w:ascii="Times New Roman" w:hAnsi="Times New Roman" w:cs="Times New Roman"/>
          <w:sz w:val="24"/>
        </w:rPr>
        <w:t xml:space="preserve"> [</w:t>
      </w:r>
      <w:r w:rsidRPr="00B03B51">
        <w:rPr>
          <w:rFonts w:ascii="Times New Roman" w:hAnsi="Times New Roman" w:cs="Times New Roman"/>
          <w:i/>
          <w:iCs/>
          <w:sz w:val="24"/>
        </w:rPr>
        <w:t>Emission Trading System</w:t>
      </w:r>
      <w:r w:rsidRPr="00B03B51">
        <w:rPr>
          <w:rFonts w:ascii="Times New Roman" w:hAnsi="Times New Roman" w:cs="Times New Roman"/>
          <w:sz w:val="24"/>
        </w:rPr>
        <w:t>] – Emisijas kvotu tirdzniecības sistēma</w:t>
      </w:r>
    </w:p>
    <w:p w14:paraId="52195470" w14:textId="77777777" w:rsidR="00994F93" w:rsidRPr="00B03B51" w:rsidRDefault="00994F93" w:rsidP="00994F93">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b/>
          <w:bCs/>
          <w:sz w:val="24"/>
        </w:rPr>
        <w:t>ES</w:t>
      </w:r>
      <w:r w:rsidRPr="00B03B51">
        <w:rPr>
          <w:rFonts w:ascii="Times New Roman" w:hAnsi="Times New Roman" w:cs="Times New Roman"/>
          <w:sz w:val="24"/>
        </w:rPr>
        <w:t> – Eiropas Savienība</w:t>
      </w:r>
    </w:p>
    <w:p w14:paraId="30C92E52" w14:textId="77777777" w:rsidR="00994F93" w:rsidRPr="00B03B51" w:rsidRDefault="00994F93" w:rsidP="00994F93">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b/>
          <w:bCs/>
          <w:i/>
          <w:iCs/>
          <w:sz w:val="24"/>
        </w:rPr>
        <w:t>Eurostat</w:t>
      </w:r>
      <w:r w:rsidRPr="00B03B51">
        <w:rPr>
          <w:rFonts w:ascii="Times New Roman" w:hAnsi="Times New Roman" w:cs="Times New Roman"/>
          <w:sz w:val="24"/>
        </w:rPr>
        <w:t> – Eiropas Kopienu Statistikas birojs</w:t>
      </w:r>
    </w:p>
    <w:p w14:paraId="3102CD44" w14:textId="77777777" w:rsidR="00994F93" w:rsidRPr="00B03B51" w:rsidRDefault="00994F93" w:rsidP="00994F93">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b/>
          <w:bCs/>
          <w:sz w:val="24"/>
        </w:rPr>
        <w:t>IKP</w:t>
      </w:r>
      <w:r w:rsidRPr="00B03B51">
        <w:rPr>
          <w:rFonts w:ascii="Times New Roman" w:hAnsi="Times New Roman" w:cs="Times New Roman"/>
          <w:sz w:val="24"/>
        </w:rPr>
        <w:t> – iekšzemes kopprodukts</w:t>
      </w:r>
    </w:p>
    <w:p w14:paraId="53897C7F" w14:textId="77777777" w:rsidR="00994F93" w:rsidRPr="00B03B51" w:rsidRDefault="00994F93" w:rsidP="00994F93">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b/>
          <w:bCs/>
          <w:i/>
          <w:iCs/>
          <w:sz w:val="24"/>
        </w:rPr>
        <w:t>GFCF</w:t>
      </w:r>
      <w:r w:rsidRPr="00B03B51">
        <w:rPr>
          <w:rFonts w:ascii="Times New Roman" w:hAnsi="Times New Roman" w:cs="Times New Roman"/>
          <w:b/>
          <w:bCs/>
          <w:sz w:val="24"/>
        </w:rPr>
        <w:t xml:space="preserve"> </w:t>
      </w:r>
      <w:r w:rsidRPr="00B03B51">
        <w:rPr>
          <w:rFonts w:ascii="Times New Roman" w:hAnsi="Times New Roman" w:cs="Times New Roman"/>
          <w:sz w:val="24"/>
        </w:rPr>
        <w:t>[</w:t>
      </w:r>
      <w:r w:rsidRPr="00B03B51">
        <w:rPr>
          <w:rFonts w:ascii="Times New Roman" w:hAnsi="Times New Roman" w:cs="Times New Roman"/>
          <w:i/>
          <w:iCs/>
          <w:sz w:val="24"/>
        </w:rPr>
        <w:t>Gross fixed capital formation</w:t>
      </w:r>
      <w:r w:rsidRPr="00B03B51">
        <w:rPr>
          <w:rFonts w:ascii="Times New Roman" w:hAnsi="Times New Roman" w:cs="Times New Roman"/>
          <w:sz w:val="24"/>
        </w:rPr>
        <w:t>] – bruto pamatkapitāla veidošana (pamatlīdzekļu tīrā iegāde)</w:t>
      </w:r>
    </w:p>
    <w:p w14:paraId="5C7A0953" w14:textId="77777777" w:rsidR="00994F93" w:rsidRPr="00B03B51" w:rsidRDefault="00994F93" w:rsidP="00994F93">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b/>
          <w:bCs/>
          <w:sz w:val="24"/>
        </w:rPr>
        <w:t>VFS</w:t>
      </w:r>
      <w:r w:rsidRPr="00B03B51">
        <w:rPr>
          <w:rFonts w:ascii="Times New Roman" w:hAnsi="Times New Roman" w:cs="Times New Roman"/>
          <w:sz w:val="24"/>
        </w:rPr>
        <w:t> – valdības finanšu statistika</w:t>
      </w:r>
    </w:p>
    <w:p w14:paraId="50C4924A" w14:textId="77777777" w:rsidR="00994F93" w:rsidRPr="00B03B51" w:rsidRDefault="00994F93" w:rsidP="00994F93">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b/>
          <w:bCs/>
          <w:sz w:val="24"/>
        </w:rPr>
        <w:t>NKI</w:t>
      </w:r>
      <w:r w:rsidRPr="00B03B51">
        <w:rPr>
          <w:rFonts w:ascii="Times New Roman" w:hAnsi="Times New Roman" w:cs="Times New Roman"/>
          <w:sz w:val="24"/>
        </w:rPr>
        <w:t> – nacionālais kopienākums</w:t>
      </w:r>
    </w:p>
    <w:p w14:paraId="202CF242" w14:textId="77777777" w:rsidR="00994F93" w:rsidRPr="00B03B51" w:rsidRDefault="00994F93" w:rsidP="00994F93">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b/>
          <w:bCs/>
          <w:i/>
          <w:iCs/>
          <w:sz w:val="24"/>
        </w:rPr>
        <w:t>IFRS</w:t>
      </w:r>
      <w:r w:rsidRPr="00B03B51">
        <w:rPr>
          <w:rFonts w:ascii="Times New Roman" w:hAnsi="Times New Roman" w:cs="Times New Roman"/>
          <w:sz w:val="24"/>
        </w:rPr>
        <w:t> – Starptautiskie finanšu pārskatu standarti</w:t>
      </w:r>
    </w:p>
    <w:p w14:paraId="77568B7D" w14:textId="77777777" w:rsidR="00994F93" w:rsidRPr="00B03B51" w:rsidRDefault="00994F93" w:rsidP="00994F93">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b/>
          <w:bCs/>
          <w:sz w:val="24"/>
        </w:rPr>
        <w:t>SVF</w:t>
      </w:r>
      <w:r w:rsidRPr="00B03B51">
        <w:rPr>
          <w:rFonts w:ascii="Times New Roman" w:hAnsi="Times New Roman" w:cs="Times New Roman"/>
          <w:sz w:val="24"/>
        </w:rPr>
        <w:t> – Starptautiskais Valūtas fonds</w:t>
      </w:r>
    </w:p>
    <w:p w14:paraId="4E323F7B" w14:textId="77777777" w:rsidR="00994F93" w:rsidRPr="00B03B51" w:rsidRDefault="00994F93" w:rsidP="00994F93">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b/>
          <w:bCs/>
          <w:i/>
          <w:iCs/>
          <w:sz w:val="24"/>
        </w:rPr>
        <w:t>IPSAS</w:t>
      </w:r>
      <w:r w:rsidRPr="00B03B51">
        <w:rPr>
          <w:rFonts w:ascii="Times New Roman" w:hAnsi="Times New Roman" w:cs="Times New Roman"/>
          <w:sz w:val="24"/>
        </w:rPr>
        <w:t> – Starptautiskie publiskā sektora grāmatvedības standarti</w:t>
      </w:r>
    </w:p>
    <w:p w14:paraId="78BA424C" w14:textId="77777777" w:rsidR="00994F93" w:rsidRPr="00B03B51" w:rsidRDefault="00994F93" w:rsidP="00994F93">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b/>
          <w:bCs/>
          <w:i/>
          <w:iCs/>
          <w:sz w:val="24"/>
        </w:rPr>
        <w:t>IRS</w:t>
      </w:r>
      <w:r w:rsidRPr="00B03B51">
        <w:rPr>
          <w:rFonts w:ascii="Times New Roman" w:hAnsi="Times New Roman" w:cs="Times New Roman"/>
          <w:sz w:val="24"/>
        </w:rPr>
        <w:t xml:space="preserve"> [</w:t>
      </w:r>
      <w:r w:rsidRPr="00B03B51">
        <w:rPr>
          <w:rFonts w:ascii="Times New Roman" w:hAnsi="Times New Roman" w:cs="Times New Roman"/>
          <w:i/>
          <w:iCs/>
          <w:sz w:val="24"/>
        </w:rPr>
        <w:t>Interest rate swap</w:t>
      </w:r>
      <w:r w:rsidRPr="00B03B51">
        <w:rPr>
          <w:rFonts w:ascii="Times New Roman" w:hAnsi="Times New Roman" w:cs="Times New Roman"/>
          <w:sz w:val="24"/>
        </w:rPr>
        <w:t>] – procentu likmju mijmaiņas darījums</w:t>
      </w:r>
    </w:p>
    <w:p w14:paraId="1C8E5E0A" w14:textId="77777777" w:rsidR="00994F93" w:rsidRPr="00B03B51" w:rsidRDefault="00994F93" w:rsidP="00994F93">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b/>
          <w:bCs/>
          <w:i/>
          <w:iCs/>
          <w:sz w:val="24"/>
        </w:rPr>
        <w:t>ISWGNA</w:t>
      </w:r>
      <w:r w:rsidRPr="00B03B51">
        <w:rPr>
          <w:rFonts w:ascii="Times New Roman" w:hAnsi="Times New Roman" w:cs="Times New Roman"/>
          <w:b/>
          <w:bCs/>
          <w:sz w:val="24"/>
        </w:rPr>
        <w:t xml:space="preserve"> </w:t>
      </w:r>
      <w:r w:rsidRPr="00B03B51">
        <w:rPr>
          <w:rFonts w:ascii="Times New Roman" w:hAnsi="Times New Roman" w:cs="Times New Roman"/>
          <w:sz w:val="24"/>
        </w:rPr>
        <w:t>– Tautsaimniecības pārskatu starpsekretariātu darba grupa (ANO, EK, IVF, ESAO, PB)</w:t>
      </w:r>
    </w:p>
    <w:p w14:paraId="1CBA6600" w14:textId="77777777" w:rsidR="00994F93" w:rsidRPr="00B03B51" w:rsidRDefault="00994F93" w:rsidP="00994F93">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b/>
          <w:bCs/>
          <w:i/>
          <w:iCs/>
          <w:sz w:val="24"/>
        </w:rPr>
        <w:t>LSCB</w:t>
      </w:r>
      <w:r w:rsidRPr="00B03B51">
        <w:rPr>
          <w:rFonts w:ascii="Times New Roman" w:hAnsi="Times New Roman" w:cs="Times New Roman"/>
          <w:b/>
          <w:bCs/>
          <w:sz w:val="24"/>
        </w:rPr>
        <w:t xml:space="preserve"> </w:t>
      </w:r>
      <w:r w:rsidRPr="00B03B51">
        <w:rPr>
          <w:rFonts w:ascii="Times New Roman" w:hAnsi="Times New Roman" w:cs="Times New Roman"/>
          <w:sz w:val="24"/>
        </w:rPr>
        <w:t>[</w:t>
      </w:r>
      <w:r w:rsidRPr="00B03B51">
        <w:rPr>
          <w:rFonts w:ascii="Times New Roman" w:hAnsi="Times New Roman" w:cs="Times New Roman"/>
          <w:i/>
          <w:iCs/>
          <w:sz w:val="24"/>
        </w:rPr>
        <w:t>Loan Specific Cash Buffer</w:t>
      </w:r>
      <w:r w:rsidRPr="00B03B51">
        <w:rPr>
          <w:rFonts w:ascii="Times New Roman" w:hAnsi="Times New Roman" w:cs="Times New Roman"/>
          <w:sz w:val="24"/>
        </w:rPr>
        <w:t>] – aizdevuma naudas rezerve</w:t>
      </w:r>
    </w:p>
    <w:p w14:paraId="35E7C29A" w14:textId="77777777" w:rsidR="00994F93" w:rsidRPr="00B03B51" w:rsidRDefault="00994F93" w:rsidP="00994F93">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b/>
          <w:bCs/>
          <w:i/>
          <w:iCs/>
          <w:sz w:val="24"/>
        </w:rPr>
        <w:t>MGDD</w:t>
      </w:r>
      <w:r w:rsidRPr="00B03B51">
        <w:rPr>
          <w:rFonts w:ascii="Times New Roman" w:hAnsi="Times New Roman" w:cs="Times New Roman"/>
          <w:b/>
          <w:bCs/>
          <w:sz w:val="24"/>
        </w:rPr>
        <w:t xml:space="preserve"> </w:t>
      </w:r>
      <w:r w:rsidRPr="00B03B51">
        <w:rPr>
          <w:rFonts w:ascii="Times New Roman" w:hAnsi="Times New Roman" w:cs="Times New Roman"/>
          <w:sz w:val="24"/>
        </w:rPr>
        <w:t>[</w:t>
      </w:r>
      <w:r w:rsidRPr="00B03B51">
        <w:rPr>
          <w:rFonts w:ascii="Times New Roman" w:hAnsi="Times New Roman" w:cs="Times New Roman"/>
          <w:i/>
          <w:iCs/>
          <w:sz w:val="24"/>
        </w:rPr>
        <w:t>Manual on Government Deficit and Debt – ESA implementation</w:t>
      </w:r>
      <w:r w:rsidRPr="00B03B51">
        <w:rPr>
          <w:rFonts w:ascii="Times New Roman" w:hAnsi="Times New Roman" w:cs="Times New Roman"/>
          <w:sz w:val="24"/>
        </w:rPr>
        <w:t>] – Valdības budžeta deficīta un parāda rokasgrāmata – EKS īstenošana</w:t>
      </w:r>
    </w:p>
    <w:p w14:paraId="1721550E" w14:textId="77777777" w:rsidR="00994F93" w:rsidRPr="00B03B51" w:rsidRDefault="00994F93" w:rsidP="00994F93">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b/>
          <w:bCs/>
          <w:sz w:val="24"/>
        </w:rPr>
        <w:t>VCB</w:t>
      </w:r>
      <w:r w:rsidRPr="00B03B51">
        <w:rPr>
          <w:rFonts w:ascii="Times New Roman" w:hAnsi="Times New Roman" w:cs="Times New Roman"/>
          <w:sz w:val="24"/>
        </w:rPr>
        <w:t> – valsts centrālā banka</w:t>
      </w:r>
    </w:p>
    <w:p w14:paraId="74C8BC05" w14:textId="77777777" w:rsidR="00994F93" w:rsidRPr="00B03B51" w:rsidRDefault="00994F93" w:rsidP="00994F93">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b/>
          <w:bCs/>
          <w:sz w:val="24"/>
        </w:rPr>
        <w:t>BPI</w:t>
      </w:r>
      <w:r w:rsidRPr="00B03B51">
        <w:rPr>
          <w:rFonts w:ascii="Times New Roman" w:hAnsi="Times New Roman" w:cs="Times New Roman"/>
          <w:sz w:val="24"/>
        </w:rPr>
        <w:t> – bezpeļņas institūcija</w:t>
      </w:r>
    </w:p>
    <w:p w14:paraId="53E20606" w14:textId="77777777" w:rsidR="00994F93" w:rsidRPr="00B03B51" w:rsidRDefault="00994F93" w:rsidP="00994F93">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b/>
          <w:bCs/>
          <w:sz w:val="24"/>
        </w:rPr>
        <w:t>ESAO</w:t>
      </w:r>
      <w:r w:rsidRPr="00B03B51">
        <w:rPr>
          <w:rFonts w:ascii="Times New Roman" w:hAnsi="Times New Roman" w:cs="Times New Roman"/>
          <w:sz w:val="24"/>
        </w:rPr>
        <w:t> – Ekonomiskās sadarbības un attīstības organizācija</w:t>
      </w:r>
    </w:p>
    <w:p w14:paraId="210DF7E9" w14:textId="77777777" w:rsidR="00994F93" w:rsidRPr="00B03B51" w:rsidRDefault="00994F93" w:rsidP="00994F93">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b/>
          <w:bCs/>
          <w:i/>
          <w:iCs/>
          <w:sz w:val="24"/>
        </w:rPr>
        <w:t>PAYE</w:t>
      </w:r>
      <w:r w:rsidRPr="00B03B51">
        <w:rPr>
          <w:rFonts w:ascii="Times New Roman" w:hAnsi="Times New Roman" w:cs="Times New Roman"/>
          <w:sz w:val="24"/>
        </w:rPr>
        <w:t xml:space="preserve"> [</w:t>
      </w:r>
      <w:r w:rsidRPr="00B03B51">
        <w:rPr>
          <w:rFonts w:ascii="Times New Roman" w:hAnsi="Times New Roman" w:cs="Times New Roman"/>
          <w:i/>
          <w:iCs/>
          <w:sz w:val="24"/>
        </w:rPr>
        <w:t>A pay-as-you-earn tax</w:t>
      </w:r>
      <w:r w:rsidRPr="00B03B51">
        <w:rPr>
          <w:rFonts w:ascii="Times New Roman" w:hAnsi="Times New Roman" w:cs="Times New Roman"/>
          <w:sz w:val="24"/>
        </w:rPr>
        <w:t>] – “maksā, kad nopelni” nodoklis</w:t>
      </w:r>
    </w:p>
    <w:p w14:paraId="2FEC766B" w14:textId="77777777" w:rsidR="00994F93" w:rsidRPr="00B03B51" w:rsidRDefault="00994F93" w:rsidP="00994F93">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b/>
          <w:bCs/>
          <w:sz w:val="24"/>
        </w:rPr>
        <w:t>P&amp;I</w:t>
      </w:r>
      <w:r w:rsidRPr="00B03B51">
        <w:rPr>
          <w:rFonts w:ascii="Times New Roman" w:hAnsi="Times New Roman" w:cs="Times New Roman"/>
          <w:sz w:val="24"/>
        </w:rPr>
        <w:t> – pētniecība un izstrāde</w:t>
      </w:r>
    </w:p>
    <w:p w14:paraId="1D87B95F" w14:textId="77777777" w:rsidR="00994F93" w:rsidRPr="00B03B51" w:rsidRDefault="00994F93" w:rsidP="00994F93">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b/>
          <w:bCs/>
          <w:i/>
          <w:iCs/>
          <w:sz w:val="24"/>
        </w:rPr>
        <w:t>RoE</w:t>
      </w:r>
      <w:r w:rsidRPr="00B03B51">
        <w:rPr>
          <w:rFonts w:ascii="Times New Roman" w:hAnsi="Times New Roman" w:cs="Times New Roman"/>
          <w:b/>
          <w:bCs/>
          <w:sz w:val="24"/>
        </w:rPr>
        <w:t xml:space="preserve"> </w:t>
      </w:r>
      <w:r w:rsidRPr="00B03B51">
        <w:rPr>
          <w:rFonts w:ascii="Times New Roman" w:hAnsi="Times New Roman" w:cs="Times New Roman"/>
          <w:sz w:val="24"/>
        </w:rPr>
        <w:t>[</w:t>
      </w:r>
      <w:r w:rsidRPr="00B03B51">
        <w:rPr>
          <w:rFonts w:ascii="Times New Roman" w:hAnsi="Times New Roman" w:cs="Times New Roman"/>
          <w:i/>
          <w:iCs/>
          <w:sz w:val="24"/>
        </w:rPr>
        <w:t>Return on equity</w:t>
      </w:r>
      <w:r w:rsidRPr="00B03B51">
        <w:rPr>
          <w:rFonts w:ascii="Times New Roman" w:hAnsi="Times New Roman" w:cs="Times New Roman"/>
          <w:sz w:val="24"/>
        </w:rPr>
        <w:t>] – pašu kapitāla atdeve</w:t>
      </w:r>
    </w:p>
    <w:p w14:paraId="7ADF2476" w14:textId="77777777" w:rsidR="00994F93" w:rsidRPr="00B03B51" w:rsidRDefault="00994F93" w:rsidP="00994F93">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b/>
          <w:bCs/>
          <w:i/>
          <w:iCs/>
          <w:sz w:val="24"/>
        </w:rPr>
        <w:t>RoW</w:t>
      </w:r>
      <w:r w:rsidRPr="00B03B51">
        <w:rPr>
          <w:rFonts w:ascii="Times New Roman" w:hAnsi="Times New Roman" w:cs="Times New Roman"/>
          <w:sz w:val="24"/>
        </w:rPr>
        <w:t xml:space="preserve"> [</w:t>
      </w:r>
      <w:r w:rsidRPr="00B03B51">
        <w:rPr>
          <w:rFonts w:ascii="Times New Roman" w:hAnsi="Times New Roman" w:cs="Times New Roman"/>
          <w:i/>
          <w:iCs/>
          <w:sz w:val="24"/>
        </w:rPr>
        <w:t>the rest of the world</w:t>
      </w:r>
      <w:r w:rsidRPr="00B03B51">
        <w:rPr>
          <w:rFonts w:ascii="Times New Roman" w:hAnsi="Times New Roman" w:cs="Times New Roman"/>
          <w:sz w:val="24"/>
        </w:rPr>
        <w:t>] – pārējā pasaule</w:t>
      </w:r>
    </w:p>
    <w:p w14:paraId="5D86B07C" w14:textId="77777777" w:rsidR="00994F93" w:rsidRPr="00B03B51" w:rsidRDefault="00994F93" w:rsidP="00994F93">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b/>
          <w:bCs/>
          <w:sz w:val="24"/>
        </w:rPr>
        <w:t>ĪNDS</w:t>
      </w:r>
      <w:r w:rsidRPr="00B03B51">
        <w:rPr>
          <w:rFonts w:ascii="Times New Roman" w:hAnsi="Times New Roman" w:cs="Times New Roman"/>
          <w:sz w:val="24"/>
        </w:rPr>
        <w:t> – īpašam nolūkam dibināta sabiedrība</w:t>
      </w:r>
    </w:p>
    <w:p w14:paraId="132D7B5D" w14:textId="77777777" w:rsidR="00994F93" w:rsidRPr="00B03B51" w:rsidRDefault="00994F93" w:rsidP="00994F93">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b/>
          <w:bCs/>
          <w:sz w:val="24"/>
        </w:rPr>
        <w:t>LESD</w:t>
      </w:r>
      <w:r w:rsidRPr="00B03B51">
        <w:rPr>
          <w:rFonts w:ascii="Times New Roman" w:hAnsi="Times New Roman" w:cs="Times New Roman"/>
          <w:sz w:val="24"/>
        </w:rPr>
        <w:t> – Līgums par Eiropas Savienības darbību</w:t>
      </w:r>
    </w:p>
    <w:p w14:paraId="52E24AFE" w14:textId="77777777" w:rsidR="00994F93" w:rsidRPr="00B03B51" w:rsidRDefault="00994F93" w:rsidP="00994F93">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b/>
          <w:bCs/>
          <w:sz w:val="24"/>
        </w:rPr>
        <w:t>ANO</w:t>
      </w:r>
      <w:r w:rsidRPr="00B03B51">
        <w:rPr>
          <w:rFonts w:ascii="Times New Roman" w:hAnsi="Times New Roman" w:cs="Times New Roman"/>
          <w:sz w:val="24"/>
        </w:rPr>
        <w:t> – Apvienoto Nāciju Organizācija</w:t>
      </w:r>
    </w:p>
    <w:p w14:paraId="4E63D28E" w14:textId="77777777" w:rsidR="00994F93" w:rsidRPr="00B03B51" w:rsidRDefault="00994F93" w:rsidP="00994F93">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b/>
          <w:bCs/>
          <w:sz w:val="24"/>
        </w:rPr>
        <w:t>PVN</w:t>
      </w:r>
      <w:r w:rsidRPr="00B03B51">
        <w:rPr>
          <w:rFonts w:ascii="Times New Roman" w:hAnsi="Times New Roman" w:cs="Times New Roman"/>
          <w:sz w:val="24"/>
        </w:rPr>
        <w:t> – pievienotās vērtības nodoklis</w:t>
      </w:r>
    </w:p>
    <w:p w14:paraId="66917B15" w14:textId="77777777" w:rsidR="00994F93" w:rsidRPr="00B03B51" w:rsidRDefault="00994F93" w:rsidP="00994F93">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b/>
          <w:bCs/>
          <w:sz w:val="24"/>
        </w:rPr>
        <w:t>PB</w:t>
      </w:r>
      <w:r w:rsidRPr="00B03B51">
        <w:rPr>
          <w:rFonts w:ascii="Times New Roman" w:hAnsi="Times New Roman" w:cs="Times New Roman"/>
          <w:sz w:val="24"/>
        </w:rPr>
        <w:t> – Pasaules Banka</w:t>
      </w:r>
    </w:p>
    <w:p w14:paraId="762BCB3D" w14:textId="77777777" w:rsidR="00994F93" w:rsidRPr="00B03B51" w:rsidRDefault="00994F93" w:rsidP="00994F93">
      <w:pPr>
        <w:rPr>
          <w:rFonts w:ascii="Times New Roman" w:hAnsi="Times New Roman" w:cs="Times New Roman"/>
          <w:noProof/>
          <w:sz w:val="24"/>
        </w:rPr>
      </w:pPr>
      <w:r w:rsidRPr="00B03B51">
        <w:rPr>
          <w:rFonts w:ascii="Times New Roman" w:hAnsi="Times New Roman" w:cs="Times New Roman"/>
        </w:rPr>
        <w:br w:type="page"/>
      </w:r>
    </w:p>
    <w:p w14:paraId="0920D19C" w14:textId="77777777" w:rsidR="00994F93" w:rsidRPr="00B03B51" w:rsidRDefault="00994F93" w:rsidP="00994F93">
      <w:pPr>
        <w:jc w:val="both"/>
        <w:rPr>
          <w:rFonts w:ascii="Times New Roman" w:eastAsia="Arial" w:hAnsi="Times New Roman" w:cs="Times New Roman"/>
          <w:noProof/>
          <w:sz w:val="24"/>
          <w:szCs w:val="29"/>
        </w:rPr>
      </w:pPr>
    </w:p>
    <w:p w14:paraId="4B15F742" w14:textId="77777777" w:rsidR="00994F93" w:rsidRPr="00B03B51" w:rsidRDefault="00994F93" w:rsidP="00994F93">
      <w:pPr>
        <w:pStyle w:val="Heading2"/>
        <w:spacing w:before="0"/>
        <w:ind w:left="0" w:firstLine="0"/>
        <w:jc w:val="both"/>
        <w:rPr>
          <w:rFonts w:ascii="Times New Roman" w:hAnsi="Times New Roman" w:cs="Times New Roman"/>
          <w:noProof/>
          <w:sz w:val="24"/>
        </w:rPr>
      </w:pPr>
      <w:bookmarkStart w:id="2" w:name="_Toc67565015"/>
      <w:r w:rsidRPr="00B03B51">
        <w:rPr>
          <w:rFonts w:ascii="Times New Roman" w:hAnsi="Times New Roman" w:cs="Times New Roman"/>
          <w:sz w:val="24"/>
        </w:rPr>
        <w:t>Saturs</w:t>
      </w:r>
      <w:bookmarkStart w:id="3" w:name="Contents"/>
      <w:bookmarkEnd w:id="2"/>
      <w:bookmarkEnd w:id="3"/>
    </w:p>
    <w:sdt>
      <w:sdtPr>
        <w:rPr>
          <w:rFonts w:ascii="Times New Roman" w:eastAsiaTheme="minorHAnsi" w:hAnsi="Times New Roman" w:cs="Times New Roman"/>
          <w:color w:val="auto"/>
          <w:sz w:val="22"/>
          <w:szCs w:val="22"/>
          <w:lang w:eastAsia="en-US"/>
        </w:rPr>
        <w:id w:val="1673606655"/>
        <w:docPartObj>
          <w:docPartGallery w:val="Table of Contents"/>
          <w:docPartUnique/>
        </w:docPartObj>
      </w:sdtPr>
      <w:sdtEndPr>
        <w:rPr>
          <w:b/>
          <w:bCs/>
        </w:rPr>
      </w:sdtEndPr>
      <w:sdtContent>
        <w:p w14:paraId="22255444" w14:textId="60AEA8D7" w:rsidR="00F5732C" w:rsidRPr="00B03B51" w:rsidRDefault="00F5732C" w:rsidP="00662E0A">
          <w:pPr>
            <w:pStyle w:val="TOCHeading"/>
            <w:spacing w:before="0" w:line="240" w:lineRule="auto"/>
            <w:rPr>
              <w:rFonts w:ascii="Times New Roman" w:hAnsi="Times New Roman" w:cs="Times New Roman"/>
              <w:color w:val="auto"/>
              <w:sz w:val="24"/>
            </w:rPr>
          </w:pPr>
        </w:p>
        <w:p w14:paraId="19F7B2F2" w14:textId="5EDDF1BB" w:rsidR="00F5732C" w:rsidRPr="00B03B51" w:rsidRDefault="00F5732C" w:rsidP="00662E0A">
          <w:pPr>
            <w:pStyle w:val="TOC2"/>
            <w:tabs>
              <w:tab w:val="right" w:leader="dot" w:pos="9061"/>
            </w:tabs>
            <w:spacing w:before="0"/>
            <w:ind w:left="0"/>
            <w:rPr>
              <w:rFonts w:ascii="Times New Roman" w:eastAsiaTheme="minorEastAsia" w:hAnsi="Times New Roman" w:cs="Times New Roman"/>
              <w:noProof/>
              <w:sz w:val="24"/>
              <w:lang w:eastAsia="lv-LV"/>
            </w:rPr>
          </w:pPr>
          <w:r w:rsidRPr="00B03B51">
            <w:rPr>
              <w:rFonts w:ascii="Times New Roman" w:hAnsi="Times New Roman" w:cs="Times New Roman"/>
              <w:b w:val="0"/>
              <w:bCs w:val="0"/>
              <w:sz w:val="24"/>
            </w:rPr>
            <w:fldChar w:fldCharType="begin"/>
          </w:r>
          <w:r w:rsidRPr="00B03B51">
            <w:rPr>
              <w:rFonts w:ascii="Times New Roman" w:hAnsi="Times New Roman" w:cs="Times New Roman"/>
              <w:b w:val="0"/>
              <w:bCs w:val="0"/>
              <w:sz w:val="24"/>
            </w:rPr>
            <w:instrText xml:space="preserve"> TOC \o "1-3" \h \z \u </w:instrText>
          </w:r>
          <w:r w:rsidRPr="00B03B51">
            <w:rPr>
              <w:rFonts w:ascii="Times New Roman" w:hAnsi="Times New Roman" w:cs="Times New Roman"/>
              <w:b w:val="0"/>
              <w:bCs w:val="0"/>
              <w:sz w:val="24"/>
            </w:rPr>
            <w:fldChar w:fldCharType="separate"/>
          </w:r>
          <w:hyperlink w:anchor="_Toc67565016" w:history="1">
            <w:r w:rsidRPr="00B03B51">
              <w:rPr>
                <w:rStyle w:val="Hyperlink"/>
                <w:rFonts w:ascii="Times New Roman" w:hAnsi="Times New Roman" w:cs="Times New Roman"/>
                <w:noProof/>
                <w:sz w:val="24"/>
              </w:rPr>
              <w:t>1. Vispārējās valdības sektora norobežošana</w:t>
            </w:r>
            <w:r w:rsidRPr="00B03B51">
              <w:rPr>
                <w:rFonts w:ascii="Times New Roman" w:hAnsi="Times New Roman" w:cs="Times New Roman"/>
                <w:noProof/>
                <w:webHidden/>
                <w:sz w:val="24"/>
              </w:rPr>
              <w:tab/>
            </w:r>
            <w:r w:rsidRPr="00B03B51">
              <w:rPr>
                <w:rFonts w:ascii="Times New Roman" w:hAnsi="Times New Roman" w:cs="Times New Roman"/>
                <w:noProof/>
                <w:webHidden/>
                <w:sz w:val="24"/>
              </w:rPr>
              <w:fldChar w:fldCharType="begin"/>
            </w:r>
            <w:r w:rsidRPr="00B03B51">
              <w:rPr>
                <w:rFonts w:ascii="Times New Roman" w:hAnsi="Times New Roman" w:cs="Times New Roman"/>
                <w:noProof/>
                <w:webHidden/>
                <w:sz w:val="24"/>
              </w:rPr>
              <w:instrText xml:space="preserve"> PAGEREF _Toc67565016 \h </w:instrText>
            </w:r>
            <w:r w:rsidRPr="00B03B51">
              <w:rPr>
                <w:rFonts w:ascii="Times New Roman" w:hAnsi="Times New Roman" w:cs="Times New Roman"/>
                <w:noProof/>
                <w:webHidden/>
                <w:sz w:val="24"/>
              </w:rPr>
            </w:r>
            <w:r w:rsidRPr="00B03B51">
              <w:rPr>
                <w:rFonts w:ascii="Times New Roman" w:hAnsi="Times New Roman" w:cs="Times New Roman"/>
                <w:noProof/>
                <w:webHidden/>
                <w:sz w:val="24"/>
              </w:rPr>
              <w:fldChar w:fldCharType="separate"/>
            </w:r>
            <w:r w:rsidR="006D0460">
              <w:rPr>
                <w:rFonts w:ascii="Times New Roman" w:hAnsi="Times New Roman" w:cs="Times New Roman"/>
                <w:noProof/>
                <w:webHidden/>
                <w:sz w:val="24"/>
              </w:rPr>
              <w:t>11</w:t>
            </w:r>
            <w:r w:rsidRPr="00B03B51">
              <w:rPr>
                <w:rFonts w:ascii="Times New Roman" w:hAnsi="Times New Roman" w:cs="Times New Roman"/>
                <w:noProof/>
                <w:webHidden/>
                <w:sz w:val="24"/>
              </w:rPr>
              <w:fldChar w:fldCharType="end"/>
            </w:r>
          </w:hyperlink>
        </w:p>
        <w:p w14:paraId="4E98B193" w14:textId="31DF277F" w:rsidR="00F5732C" w:rsidRPr="00B03B51" w:rsidRDefault="00FC6AB7" w:rsidP="009605EA">
          <w:pPr>
            <w:pStyle w:val="TOC2"/>
            <w:tabs>
              <w:tab w:val="right" w:leader="dot" w:pos="9061"/>
            </w:tabs>
            <w:spacing w:before="0"/>
            <w:ind w:left="426"/>
            <w:rPr>
              <w:rFonts w:ascii="Times New Roman" w:eastAsiaTheme="minorEastAsia" w:hAnsi="Times New Roman" w:cs="Times New Roman"/>
              <w:b w:val="0"/>
              <w:bCs w:val="0"/>
              <w:noProof/>
              <w:sz w:val="24"/>
              <w:szCs w:val="22"/>
              <w:lang w:eastAsia="lv-LV"/>
            </w:rPr>
          </w:pPr>
          <w:hyperlink w:anchor="_Toc67565017" w:history="1">
            <w:r w:rsidR="00F5732C" w:rsidRPr="00B03B51">
              <w:rPr>
                <w:rStyle w:val="Hyperlink"/>
                <w:rFonts w:ascii="Times New Roman" w:hAnsi="Times New Roman" w:cs="Times New Roman"/>
                <w:b w:val="0"/>
                <w:bCs w:val="0"/>
                <w:noProof/>
                <w:sz w:val="24"/>
              </w:rPr>
              <w:t>1.1. Pārskats</w:t>
            </w:r>
            <w:r w:rsidR="00F5732C" w:rsidRPr="00B03B51">
              <w:rPr>
                <w:rFonts w:ascii="Times New Roman" w:hAnsi="Times New Roman" w:cs="Times New Roman"/>
                <w:b w:val="0"/>
                <w:bCs w:val="0"/>
                <w:noProof/>
                <w:webHidden/>
                <w:sz w:val="24"/>
              </w:rPr>
              <w:tab/>
            </w:r>
            <w:r w:rsidR="00F5732C" w:rsidRPr="00B03B51">
              <w:rPr>
                <w:rFonts w:ascii="Times New Roman" w:hAnsi="Times New Roman" w:cs="Times New Roman"/>
                <w:b w:val="0"/>
                <w:bCs w:val="0"/>
                <w:noProof/>
                <w:webHidden/>
                <w:sz w:val="24"/>
              </w:rPr>
              <w:fldChar w:fldCharType="begin"/>
            </w:r>
            <w:r w:rsidR="00F5732C" w:rsidRPr="00B03B51">
              <w:rPr>
                <w:rFonts w:ascii="Times New Roman" w:hAnsi="Times New Roman" w:cs="Times New Roman"/>
                <w:b w:val="0"/>
                <w:bCs w:val="0"/>
                <w:noProof/>
                <w:webHidden/>
                <w:sz w:val="24"/>
              </w:rPr>
              <w:instrText xml:space="preserve"> PAGEREF _Toc67565017 \h </w:instrText>
            </w:r>
            <w:r w:rsidR="00F5732C" w:rsidRPr="00B03B51">
              <w:rPr>
                <w:rFonts w:ascii="Times New Roman" w:hAnsi="Times New Roman" w:cs="Times New Roman"/>
                <w:b w:val="0"/>
                <w:bCs w:val="0"/>
                <w:noProof/>
                <w:webHidden/>
                <w:sz w:val="24"/>
              </w:rPr>
            </w:r>
            <w:r w:rsidR="00F5732C" w:rsidRPr="00B03B51">
              <w:rPr>
                <w:rFonts w:ascii="Times New Roman" w:hAnsi="Times New Roman" w:cs="Times New Roman"/>
                <w:b w:val="0"/>
                <w:bCs w:val="0"/>
                <w:noProof/>
                <w:webHidden/>
                <w:sz w:val="24"/>
              </w:rPr>
              <w:fldChar w:fldCharType="separate"/>
            </w:r>
            <w:r w:rsidR="006D0460">
              <w:rPr>
                <w:rFonts w:ascii="Times New Roman" w:hAnsi="Times New Roman" w:cs="Times New Roman"/>
                <w:b w:val="0"/>
                <w:bCs w:val="0"/>
                <w:noProof/>
                <w:webHidden/>
                <w:sz w:val="24"/>
              </w:rPr>
              <w:t>11</w:t>
            </w:r>
            <w:r w:rsidR="00F5732C" w:rsidRPr="00B03B51">
              <w:rPr>
                <w:rFonts w:ascii="Times New Roman" w:hAnsi="Times New Roman" w:cs="Times New Roman"/>
                <w:b w:val="0"/>
                <w:bCs w:val="0"/>
                <w:noProof/>
                <w:webHidden/>
                <w:sz w:val="24"/>
              </w:rPr>
              <w:fldChar w:fldCharType="end"/>
            </w:r>
          </w:hyperlink>
        </w:p>
        <w:p w14:paraId="52E12F11" w14:textId="31E2E7DB" w:rsidR="00F5732C" w:rsidRPr="00B03B51" w:rsidRDefault="00FC6AB7" w:rsidP="009605EA">
          <w:pPr>
            <w:pStyle w:val="TOC2"/>
            <w:tabs>
              <w:tab w:val="right" w:leader="dot" w:pos="9061"/>
            </w:tabs>
            <w:spacing w:before="0"/>
            <w:ind w:left="426"/>
            <w:rPr>
              <w:rFonts w:ascii="Times New Roman" w:eastAsiaTheme="minorEastAsia" w:hAnsi="Times New Roman" w:cs="Times New Roman"/>
              <w:b w:val="0"/>
              <w:bCs w:val="0"/>
              <w:noProof/>
              <w:sz w:val="24"/>
              <w:szCs w:val="22"/>
              <w:lang w:eastAsia="lv-LV"/>
            </w:rPr>
          </w:pPr>
          <w:hyperlink w:anchor="_Toc67565018" w:history="1">
            <w:r w:rsidR="00F5732C" w:rsidRPr="00B03B51">
              <w:rPr>
                <w:rStyle w:val="Hyperlink"/>
                <w:rFonts w:ascii="Times New Roman" w:hAnsi="Times New Roman" w:cs="Times New Roman"/>
                <w:b w:val="0"/>
                <w:bCs w:val="0"/>
                <w:noProof/>
                <w:sz w:val="24"/>
              </w:rPr>
              <w:t>1.2. Kritēriji vienību klasificēšanai vispārējās valdības sektorā</w:t>
            </w:r>
            <w:r w:rsidR="00F5732C" w:rsidRPr="00B03B51">
              <w:rPr>
                <w:rFonts w:ascii="Times New Roman" w:hAnsi="Times New Roman" w:cs="Times New Roman"/>
                <w:b w:val="0"/>
                <w:bCs w:val="0"/>
                <w:noProof/>
                <w:webHidden/>
                <w:sz w:val="24"/>
              </w:rPr>
              <w:tab/>
            </w:r>
            <w:r w:rsidR="00F5732C" w:rsidRPr="00B03B51">
              <w:rPr>
                <w:rFonts w:ascii="Times New Roman" w:hAnsi="Times New Roman" w:cs="Times New Roman"/>
                <w:b w:val="0"/>
                <w:bCs w:val="0"/>
                <w:noProof/>
                <w:webHidden/>
                <w:sz w:val="24"/>
              </w:rPr>
              <w:fldChar w:fldCharType="begin"/>
            </w:r>
            <w:r w:rsidR="00F5732C" w:rsidRPr="00B03B51">
              <w:rPr>
                <w:rFonts w:ascii="Times New Roman" w:hAnsi="Times New Roman" w:cs="Times New Roman"/>
                <w:b w:val="0"/>
                <w:bCs w:val="0"/>
                <w:noProof/>
                <w:webHidden/>
                <w:sz w:val="24"/>
              </w:rPr>
              <w:instrText xml:space="preserve"> PAGEREF _Toc67565018 \h </w:instrText>
            </w:r>
            <w:r w:rsidR="00F5732C" w:rsidRPr="00B03B51">
              <w:rPr>
                <w:rFonts w:ascii="Times New Roman" w:hAnsi="Times New Roman" w:cs="Times New Roman"/>
                <w:b w:val="0"/>
                <w:bCs w:val="0"/>
                <w:noProof/>
                <w:webHidden/>
                <w:sz w:val="24"/>
              </w:rPr>
            </w:r>
            <w:r w:rsidR="00F5732C" w:rsidRPr="00B03B51">
              <w:rPr>
                <w:rFonts w:ascii="Times New Roman" w:hAnsi="Times New Roman" w:cs="Times New Roman"/>
                <w:b w:val="0"/>
                <w:bCs w:val="0"/>
                <w:noProof/>
                <w:webHidden/>
                <w:sz w:val="24"/>
              </w:rPr>
              <w:fldChar w:fldCharType="separate"/>
            </w:r>
            <w:r w:rsidR="006D0460">
              <w:rPr>
                <w:rFonts w:ascii="Times New Roman" w:hAnsi="Times New Roman" w:cs="Times New Roman"/>
                <w:b w:val="0"/>
                <w:bCs w:val="0"/>
                <w:noProof/>
                <w:webHidden/>
                <w:sz w:val="24"/>
              </w:rPr>
              <w:t>13</w:t>
            </w:r>
            <w:r w:rsidR="00F5732C" w:rsidRPr="00B03B51">
              <w:rPr>
                <w:rFonts w:ascii="Times New Roman" w:hAnsi="Times New Roman" w:cs="Times New Roman"/>
                <w:b w:val="0"/>
                <w:bCs w:val="0"/>
                <w:noProof/>
                <w:webHidden/>
                <w:sz w:val="24"/>
              </w:rPr>
              <w:fldChar w:fldCharType="end"/>
            </w:r>
          </w:hyperlink>
        </w:p>
        <w:p w14:paraId="3E522C60" w14:textId="4985A736" w:rsidR="00F5732C" w:rsidRPr="00B03B51" w:rsidRDefault="00FC6AB7" w:rsidP="009605EA">
          <w:pPr>
            <w:pStyle w:val="TOC2"/>
            <w:tabs>
              <w:tab w:val="right" w:leader="dot" w:pos="9061"/>
            </w:tabs>
            <w:spacing w:before="0"/>
            <w:ind w:left="426"/>
            <w:rPr>
              <w:rFonts w:ascii="Times New Roman" w:eastAsiaTheme="minorEastAsia" w:hAnsi="Times New Roman" w:cs="Times New Roman"/>
              <w:b w:val="0"/>
              <w:bCs w:val="0"/>
              <w:noProof/>
              <w:sz w:val="24"/>
              <w:szCs w:val="22"/>
              <w:lang w:eastAsia="lv-LV"/>
            </w:rPr>
          </w:pPr>
          <w:hyperlink w:anchor="_Toc67565023" w:history="1">
            <w:r w:rsidR="00F5732C" w:rsidRPr="00B03B51">
              <w:rPr>
                <w:rStyle w:val="Hyperlink"/>
                <w:rFonts w:ascii="Times New Roman" w:hAnsi="Times New Roman" w:cs="Times New Roman"/>
                <w:b w:val="0"/>
                <w:bCs w:val="0"/>
                <w:noProof/>
                <w:sz w:val="24"/>
              </w:rPr>
              <w:t>1.3. Pensiju institūcijas</w:t>
            </w:r>
            <w:r w:rsidR="00F5732C" w:rsidRPr="00B03B51">
              <w:rPr>
                <w:rFonts w:ascii="Times New Roman" w:hAnsi="Times New Roman" w:cs="Times New Roman"/>
                <w:b w:val="0"/>
                <w:bCs w:val="0"/>
                <w:noProof/>
                <w:webHidden/>
                <w:sz w:val="24"/>
              </w:rPr>
              <w:tab/>
            </w:r>
            <w:r w:rsidR="00F5732C" w:rsidRPr="00B03B51">
              <w:rPr>
                <w:rFonts w:ascii="Times New Roman" w:hAnsi="Times New Roman" w:cs="Times New Roman"/>
                <w:b w:val="0"/>
                <w:bCs w:val="0"/>
                <w:noProof/>
                <w:webHidden/>
                <w:sz w:val="24"/>
              </w:rPr>
              <w:fldChar w:fldCharType="begin"/>
            </w:r>
            <w:r w:rsidR="00F5732C" w:rsidRPr="00B03B51">
              <w:rPr>
                <w:rFonts w:ascii="Times New Roman" w:hAnsi="Times New Roman" w:cs="Times New Roman"/>
                <w:b w:val="0"/>
                <w:bCs w:val="0"/>
                <w:noProof/>
                <w:webHidden/>
                <w:sz w:val="24"/>
              </w:rPr>
              <w:instrText xml:space="preserve"> PAGEREF _Toc67565023 \h </w:instrText>
            </w:r>
            <w:r w:rsidR="00F5732C" w:rsidRPr="00B03B51">
              <w:rPr>
                <w:rFonts w:ascii="Times New Roman" w:hAnsi="Times New Roman" w:cs="Times New Roman"/>
                <w:b w:val="0"/>
                <w:bCs w:val="0"/>
                <w:noProof/>
                <w:webHidden/>
                <w:sz w:val="24"/>
              </w:rPr>
            </w:r>
            <w:r w:rsidR="00F5732C" w:rsidRPr="00B03B51">
              <w:rPr>
                <w:rFonts w:ascii="Times New Roman" w:hAnsi="Times New Roman" w:cs="Times New Roman"/>
                <w:b w:val="0"/>
                <w:bCs w:val="0"/>
                <w:noProof/>
                <w:webHidden/>
                <w:sz w:val="24"/>
              </w:rPr>
              <w:fldChar w:fldCharType="separate"/>
            </w:r>
            <w:r w:rsidR="006D0460">
              <w:rPr>
                <w:rFonts w:ascii="Times New Roman" w:hAnsi="Times New Roman" w:cs="Times New Roman"/>
                <w:b w:val="0"/>
                <w:bCs w:val="0"/>
                <w:noProof/>
                <w:webHidden/>
                <w:sz w:val="24"/>
              </w:rPr>
              <w:t>55</w:t>
            </w:r>
            <w:r w:rsidR="00F5732C" w:rsidRPr="00B03B51">
              <w:rPr>
                <w:rFonts w:ascii="Times New Roman" w:hAnsi="Times New Roman" w:cs="Times New Roman"/>
                <w:b w:val="0"/>
                <w:bCs w:val="0"/>
                <w:noProof/>
                <w:webHidden/>
                <w:sz w:val="24"/>
              </w:rPr>
              <w:fldChar w:fldCharType="end"/>
            </w:r>
          </w:hyperlink>
        </w:p>
        <w:p w14:paraId="7E2F5939" w14:textId="0CD7C4E3" w:rsidR="00F5732C" w:rsidRPr="00B03B51" w:rsidRDefault="00FC6AB7" w:rsidP="009605EA">
          <w:pPr>
            <w:pStyle w:val="TOC2"/>
            <w:tabs>
              <w:tab w:val="right" w:leader="dot" w:pos="9061"/>
            </w:tabs>
            <w:spacing w:before="0"/>
            <w:ind w:left="426"/>
            <w:rPr>
              <w:rFonts w:ascii="Times New Roman" w:eastAsiaTheme="minorEastAsia" w:hAnsi="Times New Roman" w:cs="Times New Roman"/>
              <w:b w:val="0"/>
              <w:bCs w:val="0"/>
              <w:noProof/>
              <w:sz w:val="24"/>
              <w:szCs w:val="22"/>
              <w:lang w:eastAsia="lv-LV"/>
            </w:rPr>
          </w:pPr>
          <w:hyperlink w:anchor="_Toc67565028" w:history="1">
            <w:r w:rsidR="00F5732C" w:rsidRPr="00B03B51">
              <w:rPr>
                <w:rStyle w:val="Hyperlink"/>
                <w:rFonts w:ascii="Times New Roman" w:hAnsi="Times New Roman" w:cs="Times New Roman"/>
                <w:b w:val="0"/>
                <w:bCs w:val="0"/>
                <w:noProof/>
                <w:sz w:val="24"/>
              </w:rPr>
              <w:t>1.4. Tirgu regulējošas institūcijas lauksaimniecības nozarē</w:t>
            </w:r>
            <w:r w:rsidR="00F5732C" w:rsidRPr="00B03B51">
              <w:rPr>
                <w:rFonts w:ascii="Times New Roman" w:hAnsi="Times New Roman" w:cs="Times New Roman"/>
                <w:b w:val="0"/>
                <w:bCs w:val="0"/>
                <w:noProof/>
                <w:webHidden/>
                <w:sz w:val="24"/>
              </w:rPr>
              <w:tab/>
            </w:r>
            <w:r w:rsidR="00F5732C" w:rsidRPr="00B03B51">
              <w:rPr>
                <w:rFonts w:ascii="Times New Roman" w:hAnsi="Times New Roman" w:cs="Times New Roman"/>
                <w:b w:val="0"/>
                <w:bCs w:val="0"/>
                <w:noProof/>
                <w:webHidden/>
                <w:sz w:val="24"/>
              </w:rPr>
              <w:fldChar w:fldCharType="begin"/>
            </w:r>
            <w:r w:rsidR="00F5732C" w:rsidRPr="00B03B51">
              <w:rPr>
                <w:rFonts w:ascii="Times New Roman" w:hAnsi="Times New Roman" w:cs="Times New Roman"/>
                <w:b w:val="0"/>
                <w:bCs w:val="0"/>
                <w:noProof/>
                <w:webHidden/>
                <w:sz w:val="24"/>
              </w:rPr>
              <w:instrText xml:space="preserve"> PAGEREF _Toc67565028 \h </w:instrText>
            </w:r>
            <w:r w:rsidR="00F5732C" w:rsidRPr="00B03B51">
              <w:rPr>
                <w:rFonts w:ascii="Times New Roman" w:hAnsi="Times New Roman" w:cs="Times New Roman"/>
                <w:b w:val="0"/>
                <w:bCs w:val="0"/>
                <w:noProof/>
                <w:webHidden/>
                <w:sz w:val="24"/>
              </w:rPr>
            </w:r>
            <w:r w:rsidR="00F5732C" w:rsidRPr="00B03B51">
              <w:rPr>
                <w:rFonts w:ascii="Times New Roman" w:hAnsi="Times New Roman" w:cs="Times New Roman"/>
                <w:b w:val="0"/>
                <w:bCs w:val="0"/>
                <w:noProof/>
                <w:webHidden/>
                <w:sz w:val="24"/>
              </w:rPr>
              <w:fldChar w:fldCharType="separate"/>
            </w:r>
            <w:r w:rsidR="006D0460">
              <w:rPr>
                <w:rFonts w:ascii="Times New Roman" w:hAnsi="Times New Roman" w:cs="Times New Roman"/>
                <w:b w:val="0"/>
                <w:bCs w:val="0"/>
                <w:noProof/>
                <w:webHidden/>
                <w:sz w:val="24"/>
              </w:rPr>
              <w:t>62</w:t>
            </w:r>
            <w:r w:rsidR="00F5732C" w:rsidRPr="00B03B51">
              <w:rPr>
                <w:rFonts w:ascii="Times New Roman" w:hAnsi="Times New Roman" w:cs="Times New Roman"/>
                <w:b w:val="0"/>
                <w:bCs w:val="0"/>
                <w:noProof/>
                <w:webHidden/>
                <w:sz w:val="24"/>
              </w:rPr>
              <w:fldChar w:fldCharType="end"/>
            </w:r>
          </w:hyperlink>
        </w:p>
        <w:p w14:paraId="35781A73" w14:textId="06F1D3EB" w:rsidR="00F5732C" w:rsidRPr="00B03B51" w:rsidRDefault="00FC6AB7" w:rsidP="009605EA">
          <w:pPr>
            <w:pStyle w:val="TOC2"/>
            <w:tabs>
              <w:tab w:val="right" w:leader="dot" w:pos="9061"/>
            </w:tabs>
            <w:spacing w:before="0"/>
            <w:ind w:left="426"/>
            <w:rPr>
              <w:rFonts w:ascii="Times New Roman" w:eastAsiaTheme="minorEastAsia" w:hAnsi="Times New Roman" w:cs="Times New Roman"/>
              <w:b w:val="0"/>
              <w:bCs w:val="0"/>
              <w:noProof/>
              <w:sz w:val="24"/>
              <w:szCs w:val="22"/>
              <w:lang w:eastAsia="lv-LV"/>
            </w:rPr>
          </w:pPr>
          <w:hyperlink w:anchor="_Toc67565032" w:history="1">
            <w:r w:rsidR="00F5732C" w:rsidRPr="00B03B51">
              <w:rPr>
                <w:rStyle w:val="Hyperlink"/>
                <w:rFonts w:ascii="Times New Roman" w:hAnsi="Times New Roman" w:cs="Times New Roman"/>
                <w:b w:val="0"/>
                <w:bCs w:val="0"/>
                <w:noProof/>
                <w:sz w:val="24"/>
              </w:rPr>
              <w:t>1.5. Vienības, kas veic finansiālās darbības – vispārīgi jautājumi</w:t>
            </w:r>
            <w:r w:rsidR="00F5732C" w:rsidRPr="00B03B51">
              <w:rPr>
                <w:rFonts w:ascii="Times New Roman" w:hAnsi="Times New Roman" w:cs="Times New Roman"/>
                <w:b w:val="0"/>
                <w:bCs w:val="0"/>
                <w:noProof/>
                <w:webHidden/>
                <w:sz w:val="24"/>
              </w:rPr>
              <w:tab/>
            </w:r>
            <w:r w:rsidR="00F5732C" w:rsidRPr="00B03B51">
              <w:rPr>
                <w:rFonts w:ascii="Times New Roman" w:hAnsi="Times New Roman" w:cs="Times New Roman"/>
                <w:b w:val="0"/>
                <w:bCs w:val="0"/>
                <w:noProof/>
                <w:webHidden/>
                <w:sz w:val="24"/>
              </w:rPr>
              <w:fldChar w:fldCharType="begin"/>
            </w:r>
            <w:r w:rsidR="00F5732C" w:rsidRPr="00B03B51">
              <w:rPr>
                <w:rFonts w:ascii="Times New Roman" w:hAnsi="Times New Roman" w:cs="Times New Roman"/>
                <w:b w:val="0"/>
                <w:bCs w:val="0"/>
                <w:noProof/>
                <w:webHidden/>
                <w:sz w:val="24"/>
              </w:rPr>
              <w:instrText xml:space="preserve"> PAGEREF _Toc67565032 \h </w:instrText>
            </w:r>
            <w:r w:rsidR="00F5732C" w:rsidRPr="00B03B51">
              <w:rPr>
                <w:rFonts w:ascii="Times New Roman" w:hAnsi="Times New Roman" w:cs="Times New Roman"/>
                <w:b w:val="0"/>
                <w:bCs w:val="0"/>
                <w:noProof/>
                <w:webHidden/>
                <w:sz w:val="24"/>
              </w:rPr>
            </w:r>
            <w:r w:rsidR="00F5732C" w:rsidRPr="00B03B51">
              <w:rPr>
                <w:rFonts w:ascii="Times New Roman" w:hAnsi="Times New Roman" w:cs="Times New Roman"/>
                <w:b w:val="0"/>
                <w:bCs w:val="0"/>
                <w:noProof/>
                <w:webHidden/>
                <w:sz w:val="24"/>
              </w:rPr>
              <w:fldChar w:fldCharType="separate"/>
            </w:r>
            <w:r w:rsidR="006D0460">
              <w:rPr>
                <w:rFonts w:ascii="Times New Roman" w:hAnsi="Times New Roman" w:cs="Times New Roman"/>
                <w:b w:val="0"/>
                <w:bCs w:val="0"/>
                <w:noProof/>
                <w:webHidden/>
                <w:sz w:val="24"/>
              </w:rPr>
              <w:t>69</w:t>
            </w:r>
            <w:r w:rsidR="00F5732C" w:rsidRPr="00B03B51">
              <w:rPr>
                <w:rFonts w:ascii="Times New Roman" w:hAnsi="Times New Roman" w:cs="Times New Roman"/>
                <w:b w:val="0"/>
                <w:bCs w:val="0"/>
                <w:noProof/>
                <w:webHidden/>
                <w:sz w:val="24"/>
              </w:rPr>
              <w:fldChar w:fldCharType="end"/>
            </w:r>
          </w:hyperlink>
        </w:p>
        <w:p w14:paraId="5B9B8CDC" w14:textId="00535664" w:rsidR="00F5732C" w:rsidRPr="00B03B51" w:rsidRDefault="00FC6AB7" w:rsidP="009605EA">
          <w:pPr>
            <w:pStyle w:val="TOC2"/>
            <w:tabs>
              <w:tab w:val="right" w:leader="dot" w:pos="9061"/>
            </w:tabs>
            <w:spacing w:before="0"/>
            <w:ind w:left="426"/>
            <w:rPr>
              <w:rFonts w:ascii="Times New Roman" w:eastAsiaTheme="minorEastAsia" w:hAnsi="Times New Roman" w:cs="Times New Roman"/>
              <w:b w:val="0"/>
              <w:bCs w:val="0"/>
              <w:noProof/>
              <w:sz w:val="24"/>
              <w:szCs w:val="22"/>
              <w:lang w:eastAsia="lv-LV"/>
            </w:rPr>
          </w:pPr>
          <w:hyperlink w:anchor="_Toc67565033" w:history="1">
            <w:r w:rsidR="00F5732C" w:rsidRPr="00B03B51">
              <w:rPr>
                <w:rStyle w:val="Hyperlink"/>
                <w:rFonts w:ascii="Times New Roman" w:hAnsi="Times New Roman" w:cs="Times New Roman"/>
                <w:b w:val="0"/>
                <w:bCs w:val="0"/>
                <w:noProof/>
                <w:sz w:val="24"/>
              </w:rPr>
              <w:t>1.6. Īpaši publiski subjekti</w:t>
            </w:r>
            <w:r w:rsidR="00F5732C" w:rsidRPr="00B03B51">
              <w:rPr>
                <w:rFonts w:ascii="Times New Roman" w:hAnsi="Times New Roman" w:cs="Times New Roman"/>
                <w:b w:val="0"/>
                <w:bCs w:val="0"/>
                <w:noProof/>
                <w:webHidden/>
                <w:sz w:val="24"/>
              </w:rPr>
              <w:tab/>
            </w:r>
            <w:r w:rsidR="00F5732C" w:rsidRPr="00B03B51">
              <w:rPr>
                <w:rFonts w:ascii="Times New Roman" w:hAnsi="Times New Roman" w:cs="Times New Roman"/>
                <w:b w:val="0"/>
                <w:bCs w:val="0"/>
                <w:noProof/>
                <w:webHidden/>
                <w:sz w:val="24"/>
              </w:rPr>
              <w:fldChar w:fldCharType="begin"/>
            </w:r>
            <w:r w:rsidR="00F5732C" w:rsidRPr="00B03B51">
              <w:rPr>
                <w:rFonts w:ascii="Times New Roman" w:hAnsi="Times New Roman" w:cs="Times New Roman"/>
                <w:b w:val="0"/>
                <w:bCs w:val="0"/>
                <w:noProof/>
                <w:webHidden/>
                <w:sz w:val="24"/>
              </w:rPr>
              <w:instrText xml:space="preserve"> PAGEREF _Toc67565033 \h </w:instrText>
            </w:r>
            <w:r w:rsidR="00F5732C" w:rsidRPr="00B03B51">
              <w:rPr>
                <w:rFonts w:ascii="Times New Roman" w:hAnsi="Times New Roman" w:cs="Times New Roman"/>
                <w:b w:val="0"/>
                <w:bCs w:val="0"/>
                <w:noProof/>
                <w:webHidden/>
                <w:sz w:val="24"/>
              </w:rPr>
            </w:r>
            <w:r w:rsidR="00F5732C" w:rsidRPr="00B03B51">
              <w:rPr>
                <w:rFonts w:ascii="Times New Roman" w:hAnsi="Times New Roman" w:cs="Times New Roman"/>
                <w:b w:val="0"/>
                <w:bCs w:val="0"/>
                <w:noProof/>
                <w:webHidden/>
                <w:sz w:val="24"/>
              </w:rPr>
              <w:fldChar w:fldCharType="separate"/>
            </w:r>
            <w:r w:rsidR="006D0460">
              <w:rPr>
                <w:rFonts w:ascii="Times New Roman" w:hAnsi="Times New Roman" w:cs="Times New Roman"/>
                <w:b w:val="0"/>
                <w:bCs w:val="0"/>
                <w:noProof/>
                <w:webHidden/>
                <w:sz w:val="24"/>
              </w:rPr>
              <w:t>76</w:t>
            </w:r>
            <w:r w:rsidR="00F5732C" w:rsidRPr="00B03B51">
              <w:rPr>
                <w:rFonts w:ascii="Times New Roman" w:hAnsi="Times New Roman" w:cs="Times New Roman"/>
                <w:b w:val="0"/>
                <w:bCs w:val="0"/>
                <w:noProof/>
                <w:webHidden/>
                <w:sz w:val="24"/>
              </w:rPr>
              <w:fldChar w:fldCharType="end"/>
            </w:r>
          </w:hyperlink>
        </w:p>
        <w:p w14:paraId="7387A5CB" w14:textId="003DDF3D" w:rsidR="00F5732C" w:rsidRPr="00B03B51" w:rsidRDefault="00FC6AB7" w:rsidP="009605EA">
          <w:pPr>
            <w:pStyle w:val="TOC2"/>
            <w:tabs>
              <w:tab w:val="right" w:leader="dot" w:pos="9061"/>
            </w:tabs>
            <w:spacing w:before="0"/>
            <w:ind w:left="426"/>
            <w:rPr>
              <w:rFonts w:ascii="Times New Roman" w:eastAsiaTheme="minorEastAsia" w:hAnsi="Times New Roman" w:cs="Times New Roman"/>
              <w:b w:val="0"/>
              <w:bCs w:val="0"/>
              <w:noProof/>
              <w:sz w:val="24"/>
              <w:szCs w:val="22"/>
              <w:lang w:eastAsia="lv-LV"/>
            </w:rPr>
          </w:pPr>
          <w:hyperlink w:anchor="_Toc67565041" w:history="1">
            <w:r w:rsidR="00F5732C" w:rsidRPr="00B03B51">
              <w:rPr>
                <w:rStyle w:val="Hyperlink"/>
                <w:rFonts w:ascii="Times New Roman" w:hAnsi="Times New Roman" w:cs="Times New Roman"/>
                <w:b w:val="0"/>
                <w:bCs w:val="0"/>
                <w:noProof/>
                <w:sz w:val="24"/>
              </w:rPr>
              <w:t>1.7. Valdības parāda pārvaldības biroji</w:t>
            </w:r>
            <w:r w:rsidR="00F5732C" w:rsidRPr="00B03B51">
              <w:rPr>
                <w:rFonts w:ascii="Times New Roman" w:hAnsi="Times New Roman" w:cs="Times New Roman"/>
                <w:b w:val="0"/>
                <w:bCs w:val="0"/>
                <w:noProof/>
                <w:webHidden/>
                <w:sz w:val="24"/>
              </w:rPr>
              <w:tab/>
            </w:r>
            <w:r w:rsidR="00F5732C" w:rsidRPr="00B03B51">
              <w:rPr>
                <w:rFonts w:ascii="Times New Roman" w:hAnsi="Times New Roman" w:cs="Times New Roman"/>
                <w:b w:val="0"/>
                <w:bCs w:val="0"/>
                <w:noProof/>
                <w:webHidden/>
                <w:sz w:val="24"/>
              </w:rPr>
              <w:fldChar w:fldCharType="begin"/>
            </w:r>
            <w:r w:rsidR="00F5732C" w:rsidRPr="00B03B51">
              <w:rPr>
                <w:rFonts w:ascii="Times New Roman" w:hAnsi="Times New Roman" w:cs="Times New Roman"/>
                <w:b w:val="0"/>
                <w:bCs w:val="0"/>
                <w:noProof/>
                <w:webHidden/>
                <w:sz w:val="24"/>
              </w:rPr>
              <w:instrText xml:space="preserve"> PAGEREF _Toc67565041 \h </w:instrText>
            </w:r>
            <w:r w:rsidR="00F5732C" w:rsidRPr="00B03B51">
              <w:rPr>
                <w:rFonts w:ascii="Times New Roman" w:hAnsi="Times New Roman" w:cs="Times New Roman"/>
                <w:b w:val="0"/>
                <w:bCs w:val="0"/>
                <w:noProof/>
                <w:webHidden/>
                <w:sz w:val="24"/>
              </w:rPr>
            </w:r>
            <w:r w:rsidR="00F5732C" w:rsidRPr="00B03B51">
              <w:rPr>
                <w:rFonts w:ascii="Times New Roman" w:hAnsi="Times New Roman" w:cs="Times New Roman"/>
                <w:b w:val="0"/>
                <w:bCs w:val="0"/>
                <w:noProof/>
                <w:webHidden/>
                <w:sz w:val="24"/>
              </w:rPr>
              <w:fldChar w:fldCharType="separate"/>
            </w:r>
            <w:r w:rsidR="006D0460">
              <w:rPr>
                <w:rFonts w:ascii="Times New Roman" w:hAnsi="Times New Roman" w:cs="Times New Roman"/>
                <w:b w:val="0"/>
                <w:bCs w:val="0"/>
                <w:noProof/>
                <w:webHidden/>
                <w:sz w:val="24"/>
              </w:rPr>
              <w:t>90</w:t>
            </w:r>
            <w:r w:rsidR="00F5732C" w:rsidRPr="00B03B51">
              <w:rPr>
                <w:rFonts w:ascii="Times New Roman" w:hAnsi="Times New Roman" w:cs="Times New Roman"/>
                <w:b w:val="0"/>
                <w:bCs w:val="0"/>
                <w:noProof/>
                <w:webHidden/>
                <w:sz w:val="24"/>
              </w:rPr>
              <w:fldChar w:fldCharType="end"/>
            </w:r>
          </w:hyperlink>
        </w:p>
        <w:p w14:paraId="663D589C" w14:textId="71905DC2" w:rsidR="00F5732C" w:rsidRPr="00B03B51" w:rsidRDefault="00FC6AB7" w:rsidP="009605EA">
          <w:pPr>
            <w:pStyle w:val="TOC2"/>
            <w:tabs>
              <w:tab w:val="right" w:leader="dot" w:pos="9061"/>
            </w:tabs>
            <w:spacing w:before="0"/>
            <w:ind w:left="426"/>
            <w:rPr>
              <w:rFonts w:ascii="Times New Roman" w:eastAsiaTheme="minorEastAsia" w:hAnsi="Times New Roman" w:cs="Times New Roman"/>
              <w:b w:val="0"/>
              <w:bCs w:val="0"/>
              <w:noProof/>
              <w:sz w:val="24"/>
              <w:szCs w:val="22"/>
              <w:lang w:eastAsia="lv-LV"/>
            </w:rPr>
          </w:pPr>
          <w:hyperlink w:anchor="_Toc67565044" w:history="1">
            <w:r w:rsidR="00F5732C" w:rsidRPr="00B03B51">
              <w:rPr>
                <w:rStyle w:val="Hyperlink"/>
                <w:rFonts w:ascii="Times New Roman" w:hAnsi="Times New Roman" w:cs="Times New Roman"/>
                <w:b w:val="0"/>
                <w:bCs w:val="0"/>
                <w:noProof/>
                <w:sz w:val="24"/>
              </w:rPr>
              <w:t>1.8. Kopuzņēmumi</w:t>
            </w:r>
            <w:r w:rsidR="00F5732C" w:rsidRPr="00B03B51">
              <w:rPr>
                <w:rFonts w:ascii="Times New Roman" w:hAnsi="Times New Roman" w:cs="Times New Roman"/>
                <w:b w:val="0"/>
                <w:bCs w:val="0"/>
                <w:noProof/>
                <w:webHidden/>
                <w:sz w:val="24"/>
              </w:rPr>
              <w:tab/>
            </w:r>
            <w:r w:rsidR="00F5732C" w:rsidRPr="00B03B51">
              <w:rPr>
                <w:rFonts w:ascii="Times New Roman" w:hAnsi="Times New Roman" w:cs="Times New Roman"/>
                <w:b w:val="0"/>
                <w:bCs w:val="0"/>
                <w:noProof/>
                <w:webHidden/>
                <w:sz w:val="24"/>
              </w:rPr>
              <w:fldChar w:fldCharType="begin"/>
            </w:r>
            <w:r w:rsidR="00F5732C" w:rsidRPr="00B03B51">
              <w:rPr>
                <w:rFonts w:ascii="Times New Roman" w:hAnsi="Times New Roman" w:cs="Times New Roman"/>
                <w:b w:val="0"/>
                <w:bCs w:val="0"/>
                <w:noProof/>
                <w:webHidden/>
                <w:sz w:val="24"/>
              </w:rPr>
              <w:instrText xml:space="preserve"> PAGEREF _Toc67565044 \h </w:instrText>
            </w:r>
            <w:r w:rsidR="00F5732C" w:rsidRPr="00B03B51">
              <w:rPr>
                <w:rFonts w:ascii="Times New Roman" w:hAnsi="Times New Roman" w:cs="Times New Roman"/>
                <w:b w:val="0"/>
                <w:bCs w:val="0"/>
                <w:noProof/>
                <w:webHidden/>
                <w:sz w:val="24"/>
              </w:rPr>
            </w:r>
            <w:r w:rsidR="00F5732C" w:rsidRPr="00B03B51">
              <w:rPr>
                <w:rFonts w:ascii="Times New Roman" w:hAnsi="Times New Roman" w:cs="Times New Roman"/>
                <w:b w:val="0"/>
                <w:bCs w:val="0"/>
                <w:noProof/>
                <w:webHidden/>
                <w:sz w:val="24"/>
              </w:rPr>
              <w:fldChar w:fldCharType="separate"/>
            </w:r>
            <w:r w:rsidR="006D0460">
              <w:rPr>
                <w:rFonts w:ascii="Times New Roman" w:hAnsi="Times New Roman" w:cs="Times New Roman"/>
                <w:b w:val="0"/>
                <w:bCs w:val="0"/>
                <w:noProof/>
                <w:webHidden/>
                <w:sz w:val="24"/>
              </w:rPr>
              <w:t>91</w:t>
            </w:r>
            <w:r w:rsidR="00F5732C" w:rsidRPr="00B03B51">
              <w:rPr>
                <w:rFonts w:ascii="Times New Roman" w:hAnsi="Times New Roman" w:cs="Times New Roman"/>
                <w:b w:val="0"/>
                <w:bCs w:val="0"/>
                <w:noProof/>
                <w:webHidden/>
                <w:sz w:val="24"/>
              </w:rPr>
              <w:fldChar w:fldCharType="end"/>
            </w:r>
          </w:hyperlink>
        </w:p>
        <w:p w14:paraId="5F502A26" w14:textId="5A962E86" w:rsidR="00F5732C" w:rsidRPr="00B03B51" w:rsidRDefault="00FC6AB7" w:rsidP="009605EA">
          <w:pPr>
            <w:pStyle w:val="TOC2"/>
            <w:tabs>
              <w:tab w:val="right" w:leader="dot" w:pos="9061"/>
            </w:tabs>
            <w:spacing w:before="0"/>
            <w:ind w:left="426"/>
            <w:rPr>
              <w:rFonts w:ascii="Times New Roman" w:eastAsiaTheme="minorEastAsia" w:hAnsi="Times New Roman" w:cs="Times New Roman"/>
              <w:b w:val="0"/>
              <w:bCs w:val="0"/>
              <w:noProof/>
              <w:sz w:val="24"/>
              <w:szCs w:val="22"/>
              <w:lang w:eastAsia="lv-LV"/>
            </w:rPr>
          </w:pPr>
          <w:hyperlink w:anchor="_Toc67565048" w:history="1">
            <w:r w:rsidR="00F5732C" w:rsidRPr="00B03B51">
              <w:rPr>
                <w:rStyle w:val="Hyperlink"/>
                <w:rFonts w:ascii="Times New Roman" w:hAnsi="Times New Roman" w:cs="Times New Roman"/>
                <w:b w:val="0"/>
                <w:bCs w:val="0"/>
                <w:noProof/>
                <w:sz w:val="24"/>
              </w:rPr>
              <w:t>1.9. Eiropas subjekti, kas saistīti ar eirozonas valstu parādu krīzi</w:t>
            </w:r>
            <w:r w:rsidR="00F5732C" w:rsidRPr="00B03B51">
              <w:rPr>
                <w:rFonts w:ascii="Times New Roman" w:hAnsi="Times New Roman" w:cs="Times New Roman"/>
                <w:b w:val="0"/>
                <w:bCs w:val="0"/>
                <w:noProof/>
                <w:webHidden/>
                <w:sz w:val="24"/>
              </w:rPr>
              <w:tab/>
            </w:r>
            <w:r w:rsidR="00F5732C" w:rsidRPr="00B03B51">
              <w:rPr>
                <w:rFonts w:ascii="Times New Roman" w:hAnsi="Times New Roman" w:cs="Times New Roman"/>
                <w:b w:val="0"/>
                <w:bCs w:val="0"/>
                <w:noProof/>
                <w:webHidden/>
                <w:sz w:val="24"/>
              </w:rPr>
              <w:fldChar w:fldCharType="begin"/>
            </w:r>
            <w:r w:rsidR="00F5732C" w:rsidRPr="00B03B51">
              <w:rPr>
                <w:rFonts w:ascii="Times New Roman" w:hAnsi="Times New Roman" w:cs="Times New Roman"/>
                <w:b w:val="0"/>
                <w:bCs w:val="0"/>
                <w:noProof/>
                <w:webHidden/>
                <w:sz w:val="24"/>
              </w:rPr>
              <w:instrText xml:space="preserve"> PAGEREF _Toc67565048 \h </w:instrText>
            </w:r>
            <w:r w:rsidR="00F5732C" w:rsidRPr="00B03B51">
              <w:rPr>
                <w:rFonts w:ascii="Times New Roman" w:hAnsi="Times New Roman" w:cs="Times New Roman"/>
                <w:b w:val="0"/>
                <w:bCs w:val="0"/>
                <w:noProof/>
                <w:webHidden/>
                <w:sz w:val="24"/>
              </w:rPr>
            </w:r>
            <w:r w:rsidR="00F5732C" w:rsidRPr="00B03B51">
              <w:rPr>
                <w:rFonts w:ascii="Times New Roman" w:hAnsi="Times New Roman" w:cs="Times New Roman"/>
                <w:b w:val="0"/>
                <w:bCs w:val="0"/>
                <w:noProof/>
                <w:webHidden/>
                <w:sz w:val="24"/>
              </w:rPr>
              <w:fldChar w:fldCharType="separate"/>
            </w:r>
            <w:r w:rsidR="006D0460">
              <w:rPr>
                <w:rFonts w:ascii="Times New Roman" w:hAnsi="Times New Roman" w:cs="Times New Roman"/>
                <w:b w:val="0"/>
                <w:bCs w:val="0"/>
                <w:noProof/>
                <w:webHidden/>
                <w:sz w:val="24"/>
              </w:rPr>
              <w:t>93</w:t>
            </w:r>
            <w:r w:rsidR="00F5732C" w:rsidRPr="00B03B51">
              <w:rPr>
                <w:rFonts w:ascii="Times New Roman" w:hAnsi="Times New Roman" w:cs="Times New Roman"/>
                <w:b w:val="0"/>
                <w:bCs w:val="0"/>
                <w:noProof/>
                <w:webHidden/>
                <w:sz w:val="24"/>
              </w:rPr>
              <w:fldChar w:fldCharType="end"/>
            </w:r>
          </w:hyperlink>
        </w:p>
        <w:p w14:paraId="00CEEF2A" w14:textId="2F140868" w:rsidR="00F5732C" w:rsidRPr="00B03B51" w:rsidRDefault="00FC6AB7" w:rsidP="009605EA">
          <w:pPr>
            <w:pStyle w:val="TOC2"/>
            <w:tabs>
              <w:tab w:val="right" w:leader="dot" w:pos="9061"/>
            </w:tabs>
            <w:spacing w:before="0"/>
            <w:ind w:left="426"/>
            <w:rPr>
              <w:rFonts w:ascii="Times New Roman" w:eastAsiaTheme="minorEastAsia" w:hAnsi="Times New Roman" w:cs="Times New Roman"/>
              <w:b w:val="0"/>
              <w:bCs w:val="0"/>
              <w:noProof/>
              <w:sz w:val="24"/>
              <w:szCs w:val="22"/>
              <w:lang w:eastAsia="lv-LV"/>
            </w:rPr>
          </w:pPr>
          <w:hyperlink w:anchor="_Toc67565052" w:history="1">
            <w:r w:rsidR="00F5732C" w:rsidRPr="00B03B51">
              <w:rPr>
                <w:rStyle w:val="Hyperlink"/>
                <w:rFonts w:ascii="Times New Roman" w:hAnsi="Times New Roman" w:cs="Times New Roman"/>
                <w:b w:val="0"/>
                <w:bCs w:val="0"/>
                <w:noProof/>
                <w:sz w:val="24"/>
              </w:rPr>
              <w:t>1.10. Atslēgvārdi un atsauces</w:t>
            </w:r>
            <w:r w:rsidR="00F5732C" w:rsidRPr="00B03B51">
              <w:rPr>
                <w:rFonts w:ascii="Times New Roman" w:hAnsi="Times New Roman" w:cs="Times New Roman"/>
                <w:b w:val="0"/>
                <w:bCs w:val="0"/>
                <w:noProof/>
                <w:webHidden/>
                <w:sz w:val="24"/>
              </w:rPr>
              <w:tab/>
            </w:r>
            <w:r w:rsidR="00F5732C" w:rsidRPr="00B03B51">
              <w:rPr>
                <w:rFonts w:ascii="Times New Roman" w:hAnsi="Times New Roman" w:cs="Times New Roman"/>
                <w:b w:val="0"/>
                <w:bCs w:val="0"/>
                <w:noProof/>
                <w:webHidden/>
                <w:sz w:val="24"/>
              </w:rPr>
              <w:fldChar w:fldCharType="begin"/>
            </w:r>
            <w:r w:rsidR="00F5732C" w:rsidRPr="00B03B51">
              <w:rPr>
                <w:rFonts w:ascii="Times New Roman" w:hAnsi="Times New Roman" w:cs="Times New Roman"/>
                <w:b w:val="0"/>
                <w:bCs w:val="0"/>
                <w:noProof/>
                <w:webHidden/>
                <w:sz w:val="24"/>
              </w:rPr>
              <w:instrText xml:space="preserve"> PAGEREF _Toc67565052 \h </w:instrText>
            </w:r>
            <w:r w:rsidR="00F5732C" w:rsidRPr="00B03B51">
              <w:rPr>
                <w:rFonts w:ascii="Times New Roman" w:hAnsi="Times New Roman" w:cs="Times New Roman"/>
                <w:b w:val="0"/>
                <w:bCs w:val="0"/>
                <w:noProof/>
                <w:webHidden/>
                <w:sz w:val="24"/>
              </w:rPr>
            </w:r>
            <w:r w:rsidR="00F5732C" w:rsidRPr="00B03B51">
              <w:rPr>
                <w:rFonts w:ascii="Times New Roman" w:hAnsi="Times New Roman" w:cs="Times New Roman"/>
                <w:b w:val="0"/>
                <w:bCs w:val="0"/>
                <w:noProof/>
                <w:webHidden/>
                <w:sz w:val="24"/>
              </w:rPr>
              <w:fldChar w:fldCharType="separate"/>
            </w:r>
            <w:r w:rsidR="006D0460">
              <w:rPr>
                <w:rFonts w:ascii="Times New Roman" w:hAnsi="Times New Roman" w:cs="Times New Roman"/>
                <w:b w:val="0"/>
                <w:bCs w:val="0"/>
                <w:noProof/>
                <w:webHidden/>
                <w:sz w:val="24"/>
              </w:rPr>
              <w:t>98</w:t>
            </w:r>
            <w:r w:rsidR="00F5732C" w:rsidRPr="00B03B51">
              <w:rPr>
                <w:rFonts w:ascii="Times New Roman" w:hAnsi="Times New Roman" w:cs="Times New Roman"/>
                <w:b w:val="0"/>
                <w:bCs w:val="0"/>
                <w:noProof/>
                <w:webHidden/>
                <w:sz w:val="24"/>
              </w:rPr>
              <w:fldChar w:fldCharType="end"/>
            </w:r>
          </w:hyperlink>
        </w:p>
        <w:p w14:paraId="1DB9CAFE" w14:textId="645BEE87" w:rsidR="00F5732C" w:rsidRPr="00B03B51" w:rsidRDefault="00FC6AB7" w:rsidP="00662E0A">
          <w:pPr>
            <w:pStyle w:val="TOC1"/>
            <w:tabs>
              <w:tab w:val="right" w:leader="dot" w:pos="9061"/>
            </w:tabs>
            <w:spacing w:before="0"/>
            <w:ind w:left="0" w:firstLine="0"/>
            <w:rPr>
              <w:rFonts w:ascii="Times New Roman" w:eastAsiaTheme="minorEastAsia" w:hAnsi="Times New Roman" w:cs="Times New Roman"/>
              <w:noProof/>
              <w:sz w:val="24"/>
              <w:lang w:eastAsia="lv-LV"/>
            </w:rPr>
          </w:pPr>
          <w:hyperlink w:anchor="_Toc67565053" w:history="1">
            <w:r w:rsidR="00F5732C" w:rsidRPr="00B03B51">
              <w:rPr>
                <w:rStyle w:val="Hyperlink"/>
                <w:rFonts w:ascii="Times New Roman" w:hAnsi="Times New Roman" w:cs="Times New Roman"/>
                <w:noProof/>
                <w:sz w:val="24"/>
              </w:rPr>
              <w:t>2. Ierakstīšanas laiks</w:t>
            </w:r>
            <w:r w:rsidR="00F5732C" w:rsidRPr="00B03B51">
              <w:rPr>
                <w:rFonts w:ascii="Times New Roman" w:hAnsi="Times New Roman" w:cs="Times New Roman"/>
                <w:noProof/>
                <w:webHidden/>
                <w:sz w:val="24"/>
              </w:rPr>
              <w:tab/>
            </w:r>
            <w:r w:rsidR="00F5732C" w:rsidRPr="00B03B51">
              <w:rPr>
                <w:rFonts w:ascii="Times New Roman" w:hAnsi="Times New Roman" w:cs="Times New Roman"/>
                <w:noProof/>
                <w:webHidden/>
                <w:sz w:val="24"/>
              </w:rPr>
              <w:fldChar w:fldCharType="begin"/>
            </w:r>
            <w:r w:rsidR="00F5732C" w:rsidRPr="00B03B51">
              <w:rPr>
                <w:rFonts w:ascii="Times New Roman" w:hAnsi="Times New Roman" w:cs="Times New Roman"/>
                <w:noProof/>
                <w:webHidden/>
                <w:sz w:val="24"/>
              </w:rPr>
              <w:instrText xml:space="preserve"> PAGEREF _Toc67565053 \h </w:instrText>
            </w:r>
            <w:r w:rsidR="00F5732C" w:rsidRPr="00B03B51">
              <w:rPr>
                <w:rFonts w:ascii="Times New Roman" w:hAnsi="Times New Roman" w:cs="Times New Roman"/>
                <w:noProof/>
                <w:webHidden/>
                <w:sz w:val="24"/>
              </w:rPr>
            </w:r>
            <w:r w:rsidR="00F5732C" w:rsidRPr="00B03B51">
              <w:rPr>
                <w:rFonts w:ascii="Times New Roman" w:hAnsi="Times New Roman" w:cs="Times New Roman"/>
                <w:noProof/>
                <w:webHidden/>
                <w:sz w:val="24"/>
              </w:rPr>
              <w:fldChar w:fldCharType="separate"/>
            </w:r>
            <w:r w:rsidR="006D0460">
              <w:rPr>
                <w:rFonts w:ascii="Times New Roman" w:hAnsi="Times New Roman" w:cs="Times New Roman"/>
                <w:noProof/>
                <w:webHidden/>
                <w:sz w:val="24"/>
              </w:rPr>
              <w:t>99</w:t>
            </w:r>
            <w:r w:rsidR="00F5732C" w:rsidRPr="00B03B51">
              <w:rPr>
                <w:rFonts w:ascii="Times New Roman" w:hAnsi="Times New Roman" w:cs="Times New Roman"/>
                <w:noProof/>
                <w:webHidden/>
                <w:sz w:val="24"/>
              </w:rPr>
              <w:fldChar w:fldCharType="end"/>
            </w:r>
          </w:hyperlink>
        </w:p>
        <w:p w14:paraId="7BAD369B" w14:textId="2011039B" w:rsidR="00F5732C" w:rsidRPr="00B03B51" w:rsidRDefault="00FC6AB7" w:rsidP="009605EA">
          <w:pPr>
            <w:pStyle w:val="TOC2"/>
            <w:tabs>
              <w:tab w:val="right" w:leader="dot" w:pos="9061"/>
            </w:tabs>
            <w:spacing w:before="0"/>
            <w:ind w:left="426"/>
            <w:rPr>
              <w:rFonts w:ascii="Times New Roman" w:eastAsiaTheme="minorEastAsia" w:hAnsi="Times New Roman" w:cs="Times New Roman"/>
              <w:b w:val="0"/>
              <w:bCs w:val="0"/>
              <w:noProof/>
              <w:sz w:val="24"/>
              <w:szCs w:val="22"/>
              <w:lang w:eastAsia="lv-LV"/>
            </w:rPr>
          </w:pPr>
          <w:hyperlink w:anchor="_Toc67565054" w:history="1">
            <w:r w:rsidR="00F5732C" w:rsidRPr="00B03B51">
              <w:rPr>
                <w:rStyle w:val="Hyperlink"/>
                <w:rFonts w:ascii="Times New Roman" w:hAnsi="Times New Roman" w:cs="Times New Roman"/>
                <w:b w:val="0"/>
                <w:bCs w:val="0"/>
                <w:noProof/>
                <w:sz w:val="24"/>
              </w:rPr>
              <w:t>2.1. Pārskats</w:t>
            </w:r>
            <w:r w:rsidR="00F5732C" w:rsidRPr="00B03B51">
              <w:rPr>
                <w:rFonts w:ascii="Times New Roman" w:hAnsi="Times New Roman" w:cs="Times New Roman"/>
                <w:b w:val="0"/>
                <w:bCs w:val="0"/>
                <w:noProof/>
                <w:webHidden/>
                <w:sz w:val="24"/>
              </w:rPr>
              <w:tab/>
            </w:r>
            <w:r w:rsidR="00F5732C" w:rsidRPr="00B03B51">
              <w:rPr>
                <w:rFonts w:ascii="Times New Roman" w:hAnsi="Times New Roman" w:cs="Times New Roman"/>
                <w:b w:val="0"/>
                <w:bCs w:val="0"/>
                <w:noProof/>
                <w:webHidden/>
                <w:sz w:val="24"/>
              </w:rPr>
              <w:fldChar w:fldCharType="begin"/>
            </w:r>
            <w:r w:rsidR="00F5732C" w:rsidRPr="00B03B51">
              <w:rPr>
                <w:rFonts w:ascii="Times New Roman" w:hAnsi="Times New Roman" w:cs="Times New Roman"/>
                <w:b w:val="0"/>
                <w:bCs w:val="0"/>
                <w:noProof/>
                <w:webHidden/>
                <w:sz w:val="24"/>
              </w:rPr>
              <w:instrText xml:space="preserve"> PAGEREF _Toc67565054 \h </w:instrText>
            </w:r>
            <w:r w:rsidR="00F5732C" w:rsidRPr="00B03B51">
              <w:rPr>
                <w:rFonts w:ascii="Times New Roman" w:hAnsi="Times New Roman" w:cs="Times New Roman"/>
                <w:b w:val="0"/>
                <w:bCs w:val="0"/>
                <w:noProof/>
                <w:webHidden/>
                <w:sz w:val="24"/>
              </w:rPr>
            </w:r>
            <w:r w:rsidR="00F5732C" w:rsidRPr="00B03B51">
              <w:rPr>
                <w:rFonts w:ascii="Times New Roman" w:hAnsi="Times New Roman" w:cs="Times New Roman"/>
                <w:b w:val="0"/>
                <w:bCs w:val="0"/>
                <w:noProof/>
                <w:webHidden/>
                <w:sz w:val="24"/>
              </w:rPr>
              <w:fldChar w:fldCharType="separate"/>
            </w:r>
            <w:r w:rsidR="006D0460">
              <w:rPr>
                <w:rFonts w:ascii="Times New Roman" w:hAnsi="Times New Roman" w:cs="Times New Roman"/>
                <w:b w:val="0"/>
                <w:bCs w:val="0"/>
                <w:noProof/>
                <w:webHidden/>
                <w:sz w:val="24"/>
              </w:rPr>
              <w:t>99</w:t>
            </w:r>
            <w:r w:rsidR="00F5732C" w:rsidRPr="00B03B51">
              <w:rPr>
                <w:rFonts w:ascii="Times New Roman" w:hAnsi="Times New Roman" w:cs="Times New Roman"/>
                <w:b w:val="0"/>
                <w:bCs w:val="0"/>
                <w:noProof/>
                <w:webHidden/>
                <w:sz w:val="24"/>
              </w:rPr>
              <w:fldChar w:fldCharType="end"/>
            </w:r>
          </w:hyperlink>
        </w:p>
        <w:p w14:paraId="3F14D6D3" w14:textId="49A45A67" w:rsidR="00F5732C" w:rsidRPr="00B03B51" w:rsidRDefault="00FC6AB7" w:rsidP="009605EA">
          <w:pPr>
            <w:pStyle w:val="TOC2"/>
            <w:tabs>
              <w:tab w:val="right" w:leader="dot" w:pos="9061"/>
            </w:tabs>
            <w:spacing w:before="0"/>
            <w:ind w:left="426"/>
            <w:rPr>
              <w:rFonts w:ascii="Times New Roman" w:eastAsiaTheme="minorEastAsia" w:hAnsi="Times New Roman" w:cs="Times New Roman"/>
              <w:b w:val="0"/>
              <w:bCs w:val="0"/>
              <w:noProof/>
              <w:sz w:val="24"/>
              <w:szCs w:val="22"/>
              <w:lang w:eastAsia="lv-LV"/>
            </w:rPr>
          </w:pPr>
          <w:hyperlink w:anchor="_Toc67565055" w:history="1">
            <w:r w:rsidR="00F5732C" w:rsidRPr="00B03B51">
              <w:rPr>
                <w:rStyle w:val="Hyperlink"/>
                <w:rFonts w:ascii="Times New Roman" w:hAnsi="Times New Roman" w:cs="Times New Roman"/>
                <w:b w:val="0"/>
                <w:bCs w:val="0"/>
                <w:noProof/>
                <w:sz w:val="24"/>
              </w:rPr>
              <w:t>2.2. Nodokļu un sociālo iemaksu ierakstīšana</w:t>
            </w:r>
            <w:r w:rsidR="00F5732C" w:rsidRPr="00B03B51">
              <w:rPr>
                <w:rFonts w:ascii="Times New Roman" w:hAnsi="Times New Roman" w:cs="Times New Roman"/>
                <w:b w:val="0"/>
                <w:bCs w:val="0"/>
                <w:noProof/>
                <w:webHidden/>
                <w:sz w:val="24"/>
              </w:rPr>
              <w:tab/>
            </w:r>
            <w:r w:rsidR="00F5732C" w:rsidRPr="00B03B51">
              <w:rPr>
                <w:rFonts w:ascii="Times New Roman" w:hAnsi="Times New Roman" w:cs="Times New Roman"/>
                <w:b w:val="0"/>
                <w:bCs w:val="0"/>
                <w:noProof/>
                <w:webHidden/>
                <w:sz w:val="24"/>
              </w:rPr>
              <w:fldChar w:fldCharType="begin"/>
            </w:r>
            <w:r w:rsidR="00F5732C" w:rsidRPr="00B03B51">
              <w:rPr>
                <w:rFonts w:ascii="Times New Roman" w:hAnsi="Times New Roman" w:cs="Times New Roman"/>
                <w:b w:val="0"/>
                <w:bCs w:val="0"/>
                <w:noProof/>
                <w:webHidden/>
                <w:sz w:val="24"/>
              </w:rPr>
              <w:instrText xml:space="preserve"> PAGEREF _Toc67565055 \h </w:instrText>
            </w:r>
            <w:r w:rsidR="00F5732C" w:rsidRPr="00B03B51">
              <w:rPr>
                <w:rFonts w:ascii="Times New Roman" w:hAnsi="Times New Roman" w:cs="Times New Roman"/>
                <w:b w:val="0"/>
                <w:bCs w:val="0"/>
                <w:noProof/>
                <w:webHidden/>
                <w:sz w:val="24"/>
              </w:rPr>
            </w:r>
            <w:r w:rsidR="00F5732C" w:rsidRPr="00B03B51">
              <w:rPr>
                <w:rFonts w:ascii="Times New Roman" w:hAnsi="Times New Roman" w:cs="Times New Roman"/>
                <w:b w:val="0"/>
                <w:bCs w:val="0"/>
                <w:noProof/>
                <w:webHidden/>
                <w:sz w:val="24"/>
              </w:rPr>
              <w:fldChar w:fldCharType="separate"/>
            </w:r>
            <w:r w:rsidR="006D0460">
              <w:rPr>
                <w:rFonts w:ascii="Times New Roman" w:hAnsi="Times New Roman" w:cs="Times New Roman"/>
                <w:b w:val="0"/>
                <w:bCs w:val="0"/>
                <w:noProof/>
                <w:webHidden/>
                <w:sz w:val="24"/>
              </w:rPr>
              <w:t>100</w:t>
            </w:r>
            <w:r w:rsidR="00F5732C" w:rsidRPr="00B03B51">
              <w:rPr>
                <w:rFonts w:ascii="Times New Roman" w:hAnsi="Times New Roman" w:cs="Times New Roman"/>
                <w:b w:val="0"/>
                <w:bCs w:val="0"/>
                <w:noProof/>
                <w:webHidden/>
                <w:sz w:val="24"/>
              </w:rPr>
              <w:fldChar w:fldCharType="end"/>
            </w:r>
          </w:hyperlink>
        </w:p>
        <w:p w14:paraId="0DE96070" w14:textId="74E3CDD4" w:rsidR="00F5732C" w:rsidRPr="00B03B51" w:rsidRDefault="00FC6AB7" w:rsidP="009605EA">
          <w:pPr>
            <w:pStyle w:val="TOC2"/>
            <w:tabs>
              <w:tab w:val="right" w:leader="dot" w:pos="9061"/>
            </w:tabs>
            <w:spacing w:before="0"/>
            <w:ind w:left="426"/>
            <w:rPr>
              <w:rFonts w:ascii="Times New Roman" w:eastAsiaTheme="minorEastAsia" w:hAnsi="Times New Roman" w:cs="Times New Roman"/>
              <w:b w:val="0"/>
              <w:bCs w:val="0"/>
              <w:noProof/>
              <w:sz w:val="24"/>
              <w:szCs w:val="22"/>
              <w:lang w:eastAsia="lv-LV"/>
            </w:rPr>
          </w:pPr>
          <w:hyperlink w:anchor="_Toc67565058" w:history="1">
            <w:r w:rsidR="00F5732C" w:rsidRPr="00B03B51">
              <w:rPr>
                <w:rStyle w:val="Hyperlink"/>
                <w:rFonts w:ascii="Times New Roman" w:hAnsi="Times New Roman" w:cs="Times New Roman"/>
                <w:b w:val="0"/>
                <w:bCs w:val="0"/>
                <w:noProof/>
                <w:sz w:val="24"/>
              </w:rPr>
              <w:t>2.3. Maksājuma termiņa maiņa</w:t>
            </w:r>
            <w:r w:rsidR="00F5732C" w:rsidRPr="00B03B51">
              <w:rPr>
                <w:rFonts w:ascii="Times New Roman" w:hAnsi="Times New Roman" w:cs="Times New Roman"/>
                <w:b w:val="0"/>
                <w:bCs w:val="0"/>
                <w:noProof/>
                <w:webHidden/>
                <w:sz w:val="24"/>
              </w:rPr>
              <w:tab/>
            </w:r>
            <w:r w:rsidR="00F5732C" w:rsidRPr="00B03B51">
              <w:rPr>
                <w:rFonts w:ascii="Times New Roman" w:hAnsi="Times New Roman" w:cs="Times New Roman"/>
                <w:b w:val="0"/>
                <w:bCs w:val="0"/>
                <w:noProof/>
                <w:webHidden/>
                <w:sz w:val="24"/>
              </w:rPr>
              <w:fldChar w:fldCharType="begin"/>
            </w:r>
            <w:r w:rsidR="00F5732C" w:rsidRPr="00B03B51">
              <w:rPr>
                <w:rFonts w:ascii="Times New Roman" w:hAnsi="Times New Roman" w:cs="Times New Roman"/>
                <w:b w:val="0"/>
                <w:bCs w:val="0"/>
                <w:noProof/>
                <w:webHidden/>
                <w:sz w:val="24"/>
              </w:rPr>
              <w:instrText xml:space="preserve"> PAGEREF _Toc67565058 \h </w:instrText>
            </w:r>
            <w:r w:rsidR="00F5732C" w:rsidRPr="00B03B51">
              <w:rPr>
                <w:rFonts w:ascii="Times New Roman" w:hAnsi="Times New Roman" w:cs="Times New Roman"/>
                <w:b w:val="0"/>
                <w:bCs w:val="0"/>
                <w:noProof/>
                <w:webHidden/>
                <w:sz w:val="24"/>
              </w:rPr>
            </w:r>
            <w:r w:rsidR="00F5732C" w:rsidRPr="00B03B51">
              <w:rPr>
                <w:rFonts w:ascii="Times New Roman" w:hAnsi="Times New Roman" w:cs="Times New Roman"/>
                <w:b w:val="0"/>
                <w:bCs w:val="0"/>
                <w:noProof/>
                <w:webHidden/>
                <w:sz w:val="24"/>
              </w:rPr>
              <w:fldChar w:fldCharType="separate"/>
            </w:r>
            <w:r w:rsidR="006D0460">
              <w:rPr>
                <w:rFonts w:ascii="Times New Roman" w:hAnsi="Times New Roman" w:cs="Times New Roman"/>
                <w:b w:val="0"/>
                <w:bCs w:val="0"/>
                <w:noProof/>
                <w:webHidden/>
                <w:sz w:val="24"/>
              </w:rPr>
              <w:t>108</w:t>
            </w:r>
            <w:r w:rsidR="00F5732C" w:rsidRPr="00B03B51">
              <w:rPr>
                <w:rFonts w:ascii="Times New Roman" w:hAnsi="Times New Roman" w:cs="Times New Roman"/>
                <w:b w:val="0"/>
                <w:bCs w:val="0"/>
                <w:noProof/>
                <w:webHidden/>
                <w:sz w:val="24"/>
              </w:rPr>
              <w:fldChar w:fldCharType="end"/>
            </w:r>
          </w:hyperlink>
        </w:p>
        <w:p w14:paraId="401C1DEC" w14:textId="059575A6" w:rsidR="00F5732C" w:rsidRPr="00B03B51" w:rsidRDefault="00FC6AB7" w:rsidP="009605EA">
          <w:pPr>
            <w:pStyle w:val="TOC2"/>
            <w:tabs>
              <w:tab w:val="right" w:leader="dot" w:pos="9061"/>
            </w:tabs>
            <w:spacing w:before="0"/>
            <w:ind w:left="426"/>
            <w:rPr>
              <w:rFonts w:ascii="Times New Roman" w:eastAsiaTheme="minorEastAsia" w:hAnsi="Times New Roman" w:cs="Times New Roman"/>
              <w:b w:val="0"/>
              <w:bCs w:val="0"/>
              <w:noProof/>
              <w:sz w:val="24"/>
              <w:szCs w:val="22"/>
              <w:lang w:eastAsia="lv-LV"/>
            </w:rPr>
          </w:pPr>
          <w:hyperlink w:anchor="_Toc67565061" w:history="1">
            <w:r w:rsidR="00F5732C" w:rsidRPr="00B03B51">
              <w:rPr>
                <w:rStyle w:val="Hyperlink"/>
                <w:rFonts w:ascii="Times New Roman" w:hAnsi="Times New Roman" w:cs="Times New Roman"/>
                <w:b w:val="0"/>
                <w:bCs w:val="0"/>
                <w:noProof/>
                <w:sz w:val="24"/>
              </w:rPr>
              <w:t>2.4. Procentu ierakstīšana</w:t>
            </w:r>
            <w:r w:rsidR="00F5732C" w:rsidRPr="00B03B51">
              <w:rPr>
                <w:rFonts w:ascii="Times New Roman" w:hAnsi="Times New Roman" w:cs="Times New Roman"/>
                <w:b w:val="0"/>
                <w:bCs w:val="0"/>
                <w:noProof/>
                <w:webHidden/>
                <w:sz w:val="24"/>
              </w:rPr>
              <w:tab/>
            </w:r>
            <w:r w:rsidR="00F5732C" w:rsidRPr="00B03B51">
              <w:rPr>
                <w:rFonts w:ascii="Times New Roman" w:hAnsi="Times New Roman" w:cs="Times New Roman"/>
                <w:b w:val="0"/>
                <w:bCs w:val="0"/>
                <w:noProof/>
                <w:webHidden/>
                <w:sz w:val="24"/>
              </w:rPr>
              <w:fldChar w:fldCharType="begin"/>
            </w:r>
            <w:r w:rsidR="00F5732C" w:rsidRPr="00B03B51">
              <w:rPr>
                <w:rFonts w:ascii="Times New Roman" w:hAnsi="Times New Roman" w:cs="Times New Roman"/>
                <w:b w:val="0"/>
                <w:bCs w:val="0"/>
                <w:noProof/>
                <w:webHidden/>
                <w:sz w:val="24"/>
              </w:rPr>
              <w:instrText xml:space="preserve"> PAGEREF _Toc67565061 \h </w:instrText>
            </w:r>
            <w:r w:rsidR="00F5732C" w:rsidRPr="00B03B51">
              <w:rPr>
                <w:rFonts w:ascii="Times New Roman" w:hAnsi="Times New Roman" w:cs="Times New Roman"/>
                <w:b w:val="0"/>
                <w:bCs w:val="0"/>
                <w:noProof/>
                <w:webHidden/>
                <w:sz w:val="24"/>
              </w:rPr>
            </w:r>
            <w:r w:rsidR="00F5732C" w:rsidRPr="00B03B51">
              <w:rPr>
                <w:rFonts w:ascii="Times New Roman" w:hAnsi="Times New Roman" w:cs="Times New Roman"/>
                <w:b w:val="0"/>
                <w:bCs w:val="0"/>
                <w:noProof/>
                <w:webHidden/>
                <w:sz w:val="24"/>
              </w:rPr>
              <w:fldChar w:fldCharType="separate"/>
            </w:r>
            <w:r w:rsidR="006D0460">
              <w:rPr>
                <w:rFonts w:ascii="Times New Roman" w:hAnsi="Times New Roman" w:cs="Times New Roman"/>
                <w:b w:val="0"/>
                <w:bCs w:val="0"/>
                <w:noProof/>
                <w:webHidden/>
                <w:sz w:val="24"/>
              </w:rPr>
              <w:t>110</w:t>
            </w:r>
            <w:r w:rsidR="00F5732C" w:rsidRPr="00B03B51">
              <w:rPr>
                <w:rFonts w:ascii="Times New Roman" w:hAnsi="Times New Roman" w:cs="Times New Roman"/>
                <w:b w:val="0"/>
                <w:bCs w:val="0"/>
                <w:noProof/>
                <w:webHidden/>
                <w:sz w:val="24"/>
              </w:rPr>
              <w:fldChar w:fldCharType="end"/>
            </w:r>
          </w:hyperlink>
        </w:p>
        <w:p w14:paraId="3CB9AF15" w14:textId="0D914E89" w:rsidR="00F5732C" w:rsidRPr="00B03B51" w:rsidRDefault="00FC6AB7" w:rsidP="009605EA">
          <w:pPr>
            <w:pStyle w:val="TOC2"/>
            <w:tabs>
              <w:tab w:val="right" w:leader="dot" w:pos="9061"/>
            </w:tabs>
            <w:spacing w:before="0"/>
            <w:ind w:left="426"/>
            <w:rPr>
              <w:rFonts w:ascii="Times New Roman" w:eastAsiaTheme="minorEastAsia" w:hAnsi="Times New Roman" w:cs="Times New Roman"/>
              <w:b w:val="0"/>
              <w:bCs w:val="0"/>
              <w:noProof/>
              <w:sz w:val="24"/>
              <w:szCs w:val="22"/>
              <w:lang w:eastAsia="lv-LV"/>
            </w:rPr>
          </w:pPr>
          <w:hyperlink w:anchor="_Toc67565068" w:history="1">
            <w:r w:rsidR="00F5732C" w:rsidRPr="00B03B51">
              <w:rPr>
                <w:rStyle w:val="Hyperlink"/>
                <w:rFonts w:ascii="Times New Roman" w:hAnsi="Times New Roman" w:cs="Times New Roman"/>
                <w:b w:val="0"/>
                <w:bCs w:val="0"/>
                <w:noProof/>
                <w:sz w:val="24"/>
              </w:rPr>
              <w:t>2.5. Militārie izdevumi</w:t>
            </w:r>
            <w:r w:rsidR="00F5732C" w:rsidRPr="00B03B51">
              <w:rPr>
                <w:rFonts w:ascii="Times New Roman" w:hAnsi="Times New Roman" w:cs="Times New Roman"/>
                <w:b w:val="0"/>
                <w:bCs w:val="0"/>
                <w:noProof/>
                <w:webHidden/>
                <w:sz w:val="24"/>
              </w:rPr>
              <w:tab/>
            </w:r>
            <w:r w:rsidR="00F5732C" w:rsidRPr="00B03B51">
              <w:rPr>
                <w:rFonts w:ascii="Times New Roman" w:hAnsi="Times New Roman" w:cs="Times New Roman"/>
                <w:b w:val="0"/>
                <w:bCs w:val="0"/>
                <w:noProof/>
                <w:webHidden/>
                <w:sz w:val="24"/>
              </w:rPr>
              <w:fldChar w:fldCharType="begin"/>
            </w:r>
            <w:r w:rsidR="00F5732C" w:rsidRPr="00B03B51">
              <w:rPr>
                <w:rFonts w:ascii="Times New Roman" w:hAnsi="Times New Roman" w:cs="Times New Roman"/>
                <w:b w:val="0"/>
                <w:bCs w:val="0"/>
                <w:noProof/>
                <w:webHidden/>
                <w:sz w:val="24"/>
              </w:rPr>
              <w:instrText xml:space="preserve"> PAGEREF _Toc67565068 \h </w:instrText>
            </w:r>
            <w:r w:rsidR="00F5732C" w:rsidRPr="00B03B51">
              <w:rPr>
                <w:rFonts w:ascii="Times New Roman" w:hAnsi="Times New Roman" w:cs="Times New Roman"/>
                <w:b w:val="0"/>
                <w:bCs w:val="0"/>
                <w:noProof/>
                <w:webHidden/>
                <w:sz w:val="24"/>
              </w:rPr>
            </w:r>
            <w:r w:rsidR="00F5732C" w:rsidRPr="00B03B51">
              <w:rPr>
                <w:rFonts w:ascii="Times New Roman" w:hAnsi="Times New Roman" w:cs="Times New Roman"/>
                <w:b w:val="0"/>
                <w:bCs w:val="0"/>
                <w:noProof/>
                <w:webHidden/>
                <w:sz w:val="24"/>
              </w:rPr>
              <w:fldChar w:fldCharType="separate"/>
            </w:r>
            <w:r w:rsidR="006D0460">
              <w:rPr>
                <w:rFonts w:ascii="Times New Roman" w:hAnsi="Times New Roman" w:cs="Times New Roman"/>
                <w:b w:val="0"/>
                <w:bCs w:val="0"/>
                <w:noProof/>
                <w:webHidden/>
                <w:sz w:val="24"/>
              </w:rPr>
              <w:t>140</w:t>
            </w:r>
            <w:r w:rsidR="00F5732C" w:rsidRPr="00B03B51">
              <w:rPr>
                <w:rFonts w:ascii="Times New Roman" w:hAnsi="Times New Roman" w:cs="Times New Roman"/>
                <w:b w:val="0"/>
                <w:bCs w:val="0"/>
                <w:noProof/>
                <w:webHidden/>
                <w:sz w:val="24"/>
              </w:rPr>
              <w:fldChar w:fldCharType="end"/>
            </w:r>
          </w:hyperlink>
        </w:p>
        <w:p w14:paraId="572BCC08" w14:textId="0312E106" w:rsidR="00F5732C" w:rsidRPr="00B03B51" w:rsidRDefault="00FC6AB7" w:rsidP="009605EA">
          <w:pPr>
            <w:pStyle w:val="TOC2"/>
            <w:tabs>
              <w:tab w:val="right" w:leader="dot" w:pos="9061"/>
            </w:tabs>
            <w:spacing w:before="0"/>
            <w:ind w:left="426"/>
            <w:rPr>
              <w:rFonts w:ascii="Times New Roman" w:eastAsiaTheme="minorEastAsia" w:hAnsi="Times New Roman" w:cs="Times New Roman"/>
              <w:b w:val="0"/>
              <w:bCs w:val="0"/>
              <w:noProof/>
              <w:sz w:val="24"/>
              <w:szCs w:val="22"/>
              <w:lang w:eastAsia="lv-LV"/>
            </w:rPr>
          </w:pPr>
          <w:hyperlink w:anchor="_Toc67565073" w:history="1">
            <w:r w:rsidR="00F5732C" w:rsidRPr="00B03B51">
              <w:rPr>
                <w:rStyle w:val="Hyperlink"/>
                <w:rFonts w:ascii="Times New Roman" w:hAnsi="Times New Roman" w:cs="Times New Roman"/>
                <w:b w:val="0"/>
                <w:bCs w:val="0"/>
                <w:noProof/>
                <w:sz w:val="24"/>
              </w:rPr>
              <w:t>2.6. Dotācijas no ES budžeta un iemaksas ES budžetā</w:t>
            </w:r>
            <w:r w:rsidR="00F5732C" w:rsidRPr="00B03B51">
              <w:rPr>
                <w:rFonts w:ascii="Times New Roman" w:hAnsi="Times New Roman" w:cs="Times New Roman"/>
                <w:b w:val="0"/>
                <w:bCs w:val="0"/>
                <w:noProof/>
                <w:webHidden/>
                <w:sz w:val="24"/>
              </w:rPr>
              <w:tab/>
            </w:r>
            <w:r w:rsidR="00F5732C" w:rsidRPr="00B03B51">
              <w:rPr>
                <w:rFonts w:ascii="Times New Roman" w:hAnsi="Times New Roman" w:cs="Times New Roman"/>
                <w:b w:val="0"/>
                <w:bCs w:val="0"/>
                <w:noProof/>
                <w:webHidden/>
                <w:sz w:val="24"/>
              </w:rPr>
              <w:fldChar w:fldCharType="begin"/>
            </w:r>
            <w:r w:rsidR="00F5732C" w:rsidRPr="00B03B51">
              <w:rPr>
                <w:rFonts w:ascii="Times New Roman" w:hAnsi="Times New Roman" w:cs="Times New Roman"/>
                <w:b w:val="0"/>
                <w:bCs w:val="0"/>
                <w:noProof/>
                <w:webHidden/>
                <w:sz w:val="24"/>
              </w:rPr>
              <w:instrText xml:space="preserve"> PAGEREF _Toc67565073 \h </w:instrText>
            </w:r>
            <w:r w:rsidR="00F5732C" w:rsidRPr="00B03B51">
              <w:rPr>
                <w:rFonts w:ascii="Times New Roman" w:hAnsi="Times New Roman" w:cs="Times New Roman"/>
                <w:b w:val="0"/>
                <w:bCs w:val="0"/>
                <w:noProof/>
                <w:webHidden/>
                <w:sz w:val="24"/>
              </w:rPr>
            </w:r>
            <w:r w:rsidR="00F5732C" w:rsidRPr="00B03B51">
              <w:rPr>
                <w:rFonts w:ascii="Times New Roman" w:hAnsi="Times New Roman" w:cs="Times New Roman"/>
                <w:b w:val="0"/>
                <w:bCs w:val="0"/>
                <w:noProof/>
                <w:webHidden/>
                <w:sz w:val="24"/>
              </w:rPr>
              <w:fldChar w:fldCharType="separate"/>
            </w:r>
            <w:r w:rsidR="006D0460">
              <w:rPr>
                <w:rFonts w:ascii="Times New Roman" w:hAnsi="Times New Roman" w:cs="Times New Roman"/>
                <w:b w:val="0"/>
                <w:bCs w:val="0"/>
                <w:noProof/>
                <w:webHidden/>
                <w:sz w:val="24"/>
              </w:rPr>
              <w:t>152</w:t>
            </w:r>
            <w:r w:rsidR="00F5732C" w:rsidRPr="00B03B51">
              <w:rPr>
                <w:rFonts w:ascii="Times New Roman" w:hAnsi="Times New Roman" w:cs="Times New Roman"/>
                <w:b w:val="0"/>
                <w:bCs w:val="0"/>
                <w:noProof/>
                <w:webHidden/>
                <w:sz w:val="24"/>
              </w:rPr>
              <w:fldChar w:fldCharType="end"/>
            </w:r>
          </w:hyperlink>
        </w:p>
        <w:p w14:paraId="5B8D9C05" w14:textId="29CDFE76" w:rsidR="00F5732C" w:rsidRPr="00B03B51" w:rsidRDefault="00FC6AB7" w:rsidP="009605EA">
          <w:pPr>
            <w:pStyle w:val="TOC2"/>
            <w:tabs>
              <w:tab w:val="right" w:leader="dot" w:pos="9061"/>
            </w:tabs>
            <w:spacing w:before="0"/>
            <w:ind w:left="426"/>
            <w:rPr>
              <w:rFonts w:ascii="Times New Roman" w:eastAsiaTheme="minorEastAsia" w:hAnsi="Times New Roman" w:cs="Times New Roman"/>
              <w:b w:val="0"/>
              <w:bCs w:val="0"/>
              <w:noProof/>
              <w:sz w:val="24"/>
              <w:szCs w:val="22"/>
              <w:lang w:eastAsia="lv-LV"/>
            </w:rPr>
          </w:pPr>
          <w:hyperlink w:anchor="_Toc67565078" w:history="1">
            <w:r w:rsidR="00F5732C" w:rsidRPr="00B03B51">
              <w:rPr>
                <w:rStyle w:val="Hyperlink"/>
                <w:rFonts w:ascii="Times New Roman" w:hAnsi="Times New Roman" w:cs="Times New Roman"/>
                <w:b w:val="0"/>
                <w:bCs w:val="0"/>
                <w:noProof/>
                <w:sz w:val="24"/>
              </w:rPr>
              <w:t>2.7. Tiesas nolēmumi ar atpakaļejošu spēku</w:t>
            </w:r>
            <w:r w:rsidR="00F5732C" w:rsidRPr="00B03B51">
              <w:rPr>
                <w:rFonts w:ascii="Times New Roman" w:hAnsi="Times New Roman" w:cs="Times New Roman"/>
                <w:b w:val="0"/>
                <w:bCs w:val="0"/>
                <w:noProof/>
                <w:webHidden/>
                <w:sz w:val="24"/>
              </w:rPr>
              <w:tab/>
            </w:r>
            <w:r w:rsidR="00F5732C" w:rsidRPr="00B03B51">
              <w:rPr>
                <w:rFonts w:ascii="Times New Roman" w:hAnsi="Times New Roman" w:cs="Times New Roman"/>
                <w:b w:val="0"/>
                <w:bCs w:val="0"/>
                <w:noProof/>
                <w:webHidden/>
                <w:sz w:val="24"/>
              </w:rPr>
              <w:fldChar w:fldCharType="begin"/>
            </w:r>
            <w:r w:rsidR="00F5732C" w:rsidRPr="00B03B51">
              <w:rPr>
                <w:rFonts w:ascii="Times New Roman" w:hAnsi="Times New Roman" w:cs="Times New Roman"/>
                <w:b w:val="0"/>
                <w:bCs w:val="0"/>
                <w:noProof/>
                <w:webHidden/>
                <w:sz w:val="24"/>
              </w:rPr>
              <w:instrText xml:space="preserve"> PAGEREF _Toc67565078 \h </w:instrText>
            </w:r>
            <w:r w:rsidR="00F5732C" w:rsidRPr="00B03B51">
              <w:rPr>
                <w:rFonts w:ascii="Times New Roman" w:hAnsi="Times New Roman" w:cs="Times New Roman"/>
                <w:b w:val="0"/>
                <w:bCs w:val="0"/>
                <w:noProof/>
                <w:webHidden/>
                <w:sz w:val="24"/>
              </w:rPr>
            </w:r>
            <w:r w:rsidR="00F5732C" w:rsidRPr="00B03B51">
              <w:rPr>
                <w:rFonts w:ascii="Times New Roman" w:hAnsi="Times New Roman" w:cs="Times New Roman"/>
                <w:b w:val="0"/>
                <w:bCs w:val="0"/>
                <w:noProof/>
                <w:webHidden/>
                <w:sz w:val="24"/>
              </w:rPr>
              <w:fldChar w:fldCharType="separate"/>
            </w:r>
            <w:r w:rsidR="006D0460">
              <w:rPr>
                <w:rFonts w:ascii="Times New Roman" w:hAnsi="Times New Roman" w:cs="Times New Roman"/>
                <w:b w:val="0"/>
                <w:bCs w:val="0"/>
                <w:noProof/>
                <w:webHidden/>
                <w:sz w:val="24"/>
              </w:rPr>
              <w:t>168</w:t>
            </w:r>
            <w:r w:rsidR="00F5732C" w:rsidRPr="00B03B51">
              <w:rPr>
                <w:rFonts w:ascii="Times New Roman" w:hAnsi="Times New Roman" w:cs="Times New Roman"/>
                <w:b w:val="0"/>
                <w:bCs w:val="0"/>
                <w:noProof/>
                <w:webHidden/>
                <w:sz w:val="24"/>
              </w:rPr>
              <w:fldChar w:fldCharType="end"/>
            </w:r>
          </w:hyperlink>
        </w:p>
        <w:p w14:paraId="0B6AB3E9" w14:textId="64898448" w:rsidR="00F5732C" w:rsidRPr="00B03B51" w:rsidRDefault="00FC6AB7" w:rsidP="009605EA">
          <w:pPr>
            <w:pStyle w:val="TOC2"/>
            <w:tabs>
              <w:tab w:val="right" w:leader="dot" w:pos="9061"/>
            </w:tabs>
            <w:spacing w:before="0"/>
            <w:ind w:left="426"/>
            <w:rPr>
              <w:rFonts w:ascii="Times New Roman" w:eastAsiaTheme="minorEastAsia" w:hAnsi="Times New Roman" w:cs="Times New Roman"/>
              <w:b w:val="0"/>
              <w:bCs w:val="0"/>
              <w:noProof/>
              <w:sz w:val="24"/>
              <w:szCs w:val="22"/>
              <w:lang w:eastAsia="lv-LV"/>
            </w:rPr>
          </w:pPr>
          <w:hyperlink w:anchor="_Toc67565081" w:history="1">
            <w:r w:rsidR="00F5732C" w:rsidRPr="00B03B51">
              <w:rPr>
                <w:rStyle w:val="Hyperlink"/>
                <w:rFonts w:ascii="Times New Roman" w:hAnsi="Times New Roman" w:cs="Times New Roman"/>
                <w:b w:val="0"/>
                <w:bCs w:val="0"/>
                <w:noProof/>
                <w:sz w:val="24"/>
              </w:rPr>
              <w:t>2.8. Atslēgvārdi un atsauces</w:t>
            </w:r>
            <w:r w:rsidR="00F5732C" w:rsidRPr="00B03B51">
              <w:rPr>
                <w:rFonts w:ascii="Times New Roman" w:hAnsi="Times New Roman" w:cs="Times New Roman"/>
                <w:b w:val="0"/>
                <w:bCs w:val="0"/>
                <w:noProof/>
                <w:webHidden/>
                <w:sz w:val="24"/>
              </w:rPr>
              <w:tab/>
            </w:r>
            <w:r w:rsidR="00F5732C" w:rsidRPr="00B03B51">
              <w:rPr>
                <w:rFonts w:ascii="Times New Roman" w:hAnsi="Times New Roman" w:cs="Times New Roman"/>
                <w:b w:val="0"/>
                <w:bCs w:val="0"/>
                <w:noProof/>
                <w:webHidden/>
                <w:sz w:val="24"/>
              </w:rPr>
              <w:fldChar w:fldCharType="begin"/>
            </w:r>
            <w:r w:rsidR="00F5732C" w:rsidRPr="00B03B51">
              <w:rPr>
                <w:rFonts w:ascii="Times New Roman" w:hAnsi="Times New Roman" w:cs="Times New Roman"/>
                <w:b w:val="0"/>
                <w:bCs w:val="0"/>
                <w:noProof/>
                <w:webHidden/>
                <w:sz w:val="24"/>
              </w:rPr>
              <w:instrText xml:space="preserve"> PAGEREF _Toc67565081 \h </w:instrText>
            </w:r>
            <w:r w:rsidR="00F5732C" w:rsidRPr="00B03B51">
              <w:rPr>
                <w:rFonts w:ascii="Times New Roman" w:hAnsi="Times New Roman" w:cs="Times New Roman"/>
                <w:b w:val="0"/>
                <w:bCs w:val="0"/>
                <w:noProof/>
                <w:webHidden/>
                <w:sz w:val="24"/>
              </w:rPr>
            </w:r>
            <w:r w:rsidR="00F5732C" w:rsidRPr="00B03B51">
              <w:rPr>
                <w:rFonts w:ascii="Times New Roman" w:hAnsi="Times New Roman" w:cs="Times New Roman"/>
                <w:b w:val="0"/>
                <w:bCs w:val="0"/>
                <w:noProof/>
                <w:webHidden/>
                <w:sz w:val="24"/>
              </w:rPr>
              <w:fldChar w:fldCharType="separate"/>
            </w:r>
            <w:r w:rsidR="006D0460">
              <w:rPr>
                <w:rFonts w:ascii="Times New Roman" w:hAnsi="Times New Roman" w:cs="Times New Roman"/>
                <w:b w:val="0"/>
                <w:bCs w:val="0"/>
                <w:noProof/>
                <w:webHidden/>
                <w:sz w:val="24"/>
              </w:rPr>
              <w:t>170</w:t>
            </w:r>
            <w:r w:rsidR="00F5732C" w:rsidRPr="00B03B51">
              <w:rPr>
                <w:rFonts w:ascii="Times New Roman" w:hAnsi="Times New Roman" w:cs="Times New Roman"/>
                <w:b w:val="0"/>
                <w:bCs w:val="0"/>
                <w:noProof/>
                <w:webHidden/>
                <w:sz w:val="24"/>
              </w:rPr>
              <w:fldChar w:fldCharType="end"/>
            </w:r>
          </w:hyperlink>
        </w:p>
        <w:p w14:paraId="17849A42" w14:textId="68453959" w:rsidR="00F5732C" w:rsidRPr="00B03B51" w:rsidRDefault="00FC6AB7" w:rsidP="00662E0A">
          <w:pPr>
            <w:pStyle w:val="TOC1"/>
            <w:tabs>
              <w:tab w:val="right" w:leader="dot" w:pos="9061"/>
            </w:tabs>
            <w:spacing w:before="0"/>
            <w:ind w:left="0" w:firstLine="0"/>
            <w:rPr>
              <w:rFonts w:ascii="Times New Roman" w:eastAsiaTheme="minorEastAsia" w:hAnsi="Times New Roman" w:cs="Times New Roman"/>
              <w:noProof/>
              <w:sz w:val="24"/>
              <w:lang w:eastAsia="lv-LV"/>
            </w:rPr>
          </w:pPr>
          <w:hyperlink w:anchor="_Toc67565082" w:history="1">
            <w:r w:rsidR="00F5732C" w:rsidRPr="00B03B51">
              <w:rPr>
                <w:rStyle w:val="Hyperlink"/>
                <w:rFonts w:ascii="Times New Roman" w:hAnsi="Times New Roman" w:cs="Times New Roman"/>
                <w:noProof/>
                <w:sz w:val="24"/>
              </w:rPr>
              <w:t>3. Vispārējā valdība un valdības kontrolēti subjekti</w:t>
            </w:r>
            <w:r w:rsidR="00F5732C" w:rsidRPr="00B03B51">
              <w:rPr>
                <w:rFonts w:ascii="Times New Roman" w:hAnsi="Times New Roman" w:cs="Times New Roman"/>
                <w:noProof/>
                <w:webHidden/>
                <w:sz w:val="24"/>
              </w:rPr>
              <w:tab/>
            </w:r>
            <w:r w:rsidR="00F5732C" w:rsidRPr="00B03B51">
              <w:rPr>
                <w:rFonts w:ascii="Times New Roman" w:hAnsi="Times New Roman" w:cs="Times New Roman"/>
                <w:noProof/>
                <w:webHidden/>
                <w:sz w:val="24"/>
              </w:rPr>
              <w:fldChar w:fldCharType="begin"/>
            </w:r>
            <w:r w:rsidR="00F5732C" w:rsidRPr="00B03B51">
              <w:rPr>
                <w:rFonts w:ascii="Times New Roman" w:hAnsi="Times New Roman" w:cs="Times New Roman"/>
                <w:noProof/>
                <w:webHidden/>
                <w:sz w:val="24"/>
              </w:rPr>
              <w:instrText xml:space="preserve"> PAGEREF _Toc67565082 \h </w:instrText>
            </w:r>
            <w:r w:rsidR="00F5732C" w:rsidRPr="00B03B51">
              <w:rPr>
                <w:rFonts w:ascii="Times New Roman" w:hAnsi="Times New Roman" w:cs="Times New Roman"/>
                <w:noProof/>
                <w:webHidden/>
                <w:sz w:val="24"/>
              </w:rPr>
            </w:r>
            <w:r w:rsidR="00F5732C" w:rsidRPr="00B03B51">
              <w:rPr>
                <w:rFonts w:ascii="Times New Roman" w:hAnsi="Times New Roman" w:cs="Times New Roman"/>
                <w:noProof/>
                <w:webHidden/>
                <w:sz w:val="24"/>
              </w:rPr>
              <w:fldChar w:fldCharType="separate"/>
            </w:r>
            <w:r w:rsidR="006D0460">
              <w:rPr>
                <w:rFonts w:ascii="Times New Roman" w:hAnsi="Times New Roman" w:cs="Times New Roman"/>
                <w:noProof/>
                <w:webHidden/>
                <w:sz w:val="24"/>
              </w:rPr>
              <w:t>171</w:t>
            </w:r>
            <w:r w:rsidR="00F5732C" w:rsidRPr="00B03B51">
              <w:rPr>
                <w:rFonts w:ascii="Times New Roman" w:hAnsi="Times New Roman" w:cs="Times New Roman"/>
                <w:noProof/>
                <w:webHidden/>
                <w:sz w:val="24"/>
              </w:rPr>
              <w:fldChar w:fldCharType="end"/>
            </w:r>
          </w:hyperlink>
        </w:p>
        <w:p w14:paraId="551E9AAF" w14:textId="5B448B31" w:rsidR="00F5732C" w:rsidRPr="00B03B51" w:rsidRDefault="00FC6AB7" w:rsidP="009605EA">
          <w:pPr>
            <w:pStyle w:val="TOC2"/>
            <w:tabs>
              <w:tab w:val="right" w:leader="dot" w:pos="9061"/>
            </w:tabs>
            <w:spacing w:before="0"/>
            <w:ind w:left="426"/>
            <w:rPr>
              <w:rFonts w:ascii="Times New Roman" w:eastAsiaTheme="minorEastAsia" w:hAnsi="Times New Roman" w:cs="Times New Roman"/>
              <w:b w:val="0"/>
              <w:bCs w:val="0"/>
              <w:noProof/>
              <w:sz w:val="24"/>
              <w:szCs w:val="22"/>
              <w:lang w:eastAsia="lv-LV"/>
            </w:rPr>
          </w:pPr>
          <w:hyperlink w:anchor="_Toc67565083" w:history="1">
            <w:r w:rsidR="00F5732C" w:rsidRPr="00B03B51">
              <w:rPr>
                <w:rStyle w:val="Hyperlink"/>
                <w:rFonts w:ascii="Times New Roman" w:hAnsi="Times New Roman" w:cs="Times New Roman"/>
                <w:b w:val="0"/>
                <w:bCs w:val="0"/>
                <w:noProof/>
                <w:sz w:val="24"/>
              </w:rPr>
              <w:t>3.1. Pārskats</w:t>
            </w:r>
            <w:r w:rsidR="00F5732C" w:rsidRPr="00B03B51">
              <w:rPr>
                <w:rFonts w:ascii="Times New Roman" w:hAnsi="Times New Roman" w:cs="Times New Roman"/>
                <w:b w:val="0"/>
                <w:bCs w:val="0"/>
                <w:noProof/>
                <w:webHidden/>
                <w:sz w:val="24"/>
              </w:rPr>
              <w:tab/>
            </w:r>
            <w:r w:rsidR="00F5732C" w:rsidRPr="00B03B51">
              <w:rPr>
                <w:rFonts w:ascii="Times New Roman" w:hAnsi="Times New Roman" w:cs="Times New Roman"/>
                <w:b w:val="0"/>
                <w:bCs w:val="0"/>
                <w:noProof/>
                <w:webHidden/>
                <w:sz w:val="24"/>
              </w:rPr>
              <w:fldChar w:fldCharType="begin"/>
            </w:r>
            <w:r w:rsidR="00F5732C" w:rsidRPr="00B03B51">
              <w:rPr>
                <w:rFonts w:ascii="Times New Roman" w:hAnsi="Times New Roman" w:cs="Times New Roman"/>
                <w:b w:val="0"/>
                <w:bCs w:val="0"/>
                <w:noProof/>
                <w:webHidden/>
                <w:sz w:val="24"/>
              </w:rPr>
              <w:instrText xml:space="preserve"> PAGEREF _Toc67565083 \h </w:instrText>
            </w:r>
            <w:r w:rsidR="00F5732C" w:rsidRPr="00B03B51">
              <w:rPr>
                <w:rFonts w:ascii="Times New Roman" w:hAnsi="Times New Roman" w:cs="Times New Roman"/>
                <w:b w:val="0"/>
                <w:bCs w:val="0"/>
                <w:noProof/>
                <w:webHidden/>
                <w:sz w:val="24"/>
              </w:rPr>
            </w:r>
            <w:r w:rsidR="00F5732C" w:rsidRPr="00B03B51">
              <w:rPr>
                <w:rFonts w:ascii="Times New Roman" w:hAnsi="Times New Roman" w:cs="Times New Roman"/>
                <w:b w:val="0"/>
                <w:bCs w:val="0"/>
                <w:noProof/>
                <w:webHidden/>
                <w:sz w:val="24"/>
              </w:rPr>
              <w:fldChar w:fldCharType="separate"/>
            </w:r>
            <w:r w:rsidR="006D0460">
              <w:rPr>
                <w:rFonts w:ascii="Times New Roman" w:hAnsi="Times New Roman" w:cs="Times New Roman"/>
                <w:b w:val="0"/>
                <w:bCs w:val="0"/>
                <w:noProof/>
                <w:webHidden/>
                <w:sz w:val="24"/>
              </w:rPr>
              <w:t>171</w:t>
            </w:r>
            <w:r w:rsidR="00F5732C" w:rsidRPr="00B03B51">
              <w:rPr>
                <w:rFonts w:ascii="Times New Roman" w:hAnsi="Times New Roman" w:cs="Times New Roman"/>
                <w:b w:val="0"/>
                <w:bCs w:val="0"/>
                <w:noProof/>
                <w:webHidden/>
                <w:sz w:val="24"/>
              </w:rPr>
              <w:fldChar w:fldCharType="end"/>
            </w:r>
          </w:hyperlink>
        </w:p>
        <w:p w14:paraId="12211B12" w14:textId="6C700FDF" w:rsidR="00F5732C" w:rsidRPr="00B03B51" w:rsidRDefault="00FC6AB7" w:rsidP="009605EA">
          <w:pPr>
            <w:pStyle w:val="TOC2"/>
            <w:tabs>
              <w:tab w:val="right" w:leader="dot" w:pos="9061"/>
            </w:tabs>
            <w:spacing w:before="0"/>
            <w:ind w:left="426"/>
            <w:rPr>
              <w:rFonts w:ascii="Times New Roman" w:eastAsiaTheme="minorEastAsia" w:hAnsi="Times New Roman" w:cs="Times New Roman"/>
              <w:b w:val="0"/>
              <w:bCs w:val="0"/>
              <w:noProof/>
              <w:sz w:val="24"/>
              <w:szCs w:val="22"/>
              <w:lang w:eastAsia="lv-LV"/>
            </w:rPr>
          </w:pPr>
          <w:hyperlink w:anchor="_Toc67565084" w:history="1">
            <w:r w:rsidR="00F5732C" w:rsidRPr="00B03B51">
              <w:rPr>
                <w:rStyle w:val="Hyperlink"/>
                <w:rFonts w:ascii="Times New Roman" w:hAnsi="Times New Roman" w:cs="Times New Roman"/>
                <w:b w:val="0"/>
                <w:bCs w:val="0"/>
                <w:noProof/>
                <w:sz w:val="24"/>
              </w:rPr>
              <w:t>3.2. Kapitāla iepludināšana publiskās sabiedrībās</w:t>
            </w:r>
            <w:r w:rsidR="00F5732C" w:rsidRPr="00B03B51">
              <w:rPr>
                <w:rFonts w:ascii="Times New Roman" w:hAnsi="Times New Roman" w:cs="Times New Roman"/>
                <w:b w:val="0"/>
                <w:bCs w:val="0"/>
                <w:noProof/>
                <w:webHidden/>
                <w:sz w:val="24"/>
              </w:rPr>
              <w:tab/>
            </w:r>
            <w:r w:rsidR="00F5732C" w:rsidRPr="00B03B51">
              <w:rPr>
                <w:rFonts w:ascii="Times New Roman" w:hAnsi="Times New Roman" w:cs="Times New Roman"/>
                <w:b w:val="0"/>
                <w:bCs w:val="0"/>
                <w:noProof/>
                <w:webHidden/>
                <w:sz w:val="24"/>
              </w:rPr>
              <w:fldChar w:fldCharType="begin"/>
            </w:r>
            <w:r w:rsidR="00F5732C" w:rsidRPr="00B03B51">
              <w:rPr>
                <w:rFonts w:ascii="Times New Roman" w:hAnsi="Times New Roman" w:cs="Times New Roman"/>
                <w:b w:val="0"/>
                <w:bCs w:val="0"/>
                <w:noProof/>
                <w:webHidden/>
                <w:sz w:val="24"/>
              </w:rPr>
              <w:instrText xml:space="preserve"> PAGEREF _Toc67565084 \h </w:instrText>
            </w:r>
            <w:r w:rsidR="00F5732C" w:rsidRPr="00B03B51">
              <w:rPr>
                <w:rFonts w:ascii="Times New Roman" w:hAnsi="Times New Roman" w:cs="Times New Roman"/>
                <w:b w:val="0"/>
                <w:bCs w:val="0"/>
                <w:noProof/>
                <w:webHidden/>
                <w:sz w:val="24"/>
              </w:rPr>
            </w:r>
            <w:r w:rsidR="00F5732C" w:rsidRPr="00B03B51">
              <w:rPr>
                <w:rFonts w:ascii="Times New Roman" w:hAnsi="Times New Roman" w:cs="Times New Roman"/>
                <w:b w:val="0"/>
                <w:bCs w:val="0"/>
                <w:noProof/>
                <w:webHidden/>
                <w:sz w:val="24"/>
              </w:rPr>
              <w:fldChar w:fldCharType="separate"/>
            </w:r>
            <w:r w:rsidR="006D0460">
              <w:rPr>
                <w:rFonts w:ascii="Times New Roman" w:hAnsi="Times New Roman" w:cs="Times New Roman"/>
                <w:b w:val="0"/>
                <w:bCs w:val="0"/>
                <w:noProof/>
                <w:webHidden/>
                <w:sz w:val="24"/>
              </w:rPr>
              <w:t>173</w:t>
            </w:r>
            <w:r w:rsidR="00F5732C" w:rsidRPr="00B03B51">
              <w:rPr>
                <w:rFonts w:ascii="Times New Roman" w:hAnsi="Times New Roman" w:cs="Times New Roman"/>
                <w:b w:val="0"/>
                <w:bCs w:val="0"/>
                <w:noProof/>
                <w:webHidden/>
                <w:sz w:val="24"/>
              </w:rPr>
              <w:fldChar w:fldCharType="end"/>
            </w:r>
          </w:hyperlink>
        </w:p>
        <w:p w14:paraId="73038BE0" w14:textId="6E923959" w:rsidR="00F5732C" w:rsidRPr="00B03B51" w:rsidRDefault="00FC6AB7" w:rsidP="009605EA">
          <w:pPr>
            <w:pStyle w:val="TOC2"/>
            <w:tabs>
              <w:tab w:val="right" w:leader="dot" w:pos="9061"/>
            </w:tabs>
            <w:spacing w:before="0"/>
            <w:ind w:left="426"/>
            <w:rPr>
              <w:rFonts w:ascii="Times New Roman" w:eastAsiaTheme="minorEastAsia" w:hAnsi="Times New Roman" w:cs="Times New Roman"/>
              <w:b w:val="0"/>
              <w:bCs w:val="0"/>
              <w:noProof/>
              <w:sz w:val="24"/>
              <w:szCs w:val="22"/>
              <w:lang w:eastAsia="lv-LV"/>
            </w:rPr>
          </w:pPr>
          <w:hyperlink w:anchor="_Toc67565091" w:history="1">
            <w:r w:rsidR="00F5732C" w:rsidRPr="00B03B51">
              <w:rPr>
                <w:rStyle w:val="Hyperlink"/>
                <w:rFonts w:ascii="Times New Roman" w:hAnsi="Times New Roman" w:cs="Times New Roman"/>
                <w:b w:val="0"/>
                <w:bCs w:val="0"/>
                <w:noProof/>
                <w:sz w:val="24"/>
              </w:rPr>
              <w:t>3.3. Kapitāla iepludināšana publiskās kvazisabiedrībās</w:t>
            </w:r>
            <w:r w:rsidR="00F5732C" w:rsidRPr="00B03B51">
              <w:rPr>
                <w:rFonts w:ascii="Times New Roman" w:hAnsi="Times New Roman" w:cs="Times New Roman"/>
                <w:b w:val="0"/>
                <w:bCs w:val="0"/>
                <w:noProof/>
                <w:webHidden/>
                <w:sz w:val="24"/>
              </w:rPr>
              <w:tab/>
            </w:r>
            <w:r w:rsidR="00F5732C" w:rsidRPr="00B03B51">
              <w:rPr>
                <w:rFonts w:ascii="Times New Roman" w:hAnsi="Times New Roman" w:cs="Times New Roman"/>
                <w:b w:val="0"/>
                <w:bCs w:val="0"/>
                <w:noProof/>
                <w:webHidden/>
                <w:sz w:val="24"/>
              </w:rPr>
              <w:fldChar w:fldCharType="begin"/>
            </w:r>
            <w:r w:rsidR="00F5732C" w:rsidRPr="00B03B51">
              <w:rPr>
                <w:rFonts w:ascii="Times New Roman" w:hAnsi="Times New Roman" w:cs="Times New Roman"/>
                <w:b w:val="0"/>
                <w:bCs w:val="0"/>
                <w:noProof/>
                <w:webHidden/>
                <w:sz w:val="24"/>
              </w:rPr>
              <w:instrText xml:space="preserve"> PAGEREF _Toc67565091 \h </w:instrText>
            </w:r>
            <w:r w:rsidR="00F5732C" w:rsidRPr="00B03B51">
              <w:rPr>
                <w:rFonts w:ascii="Times New Roman" w:hAnsi="Times New Roman" w:cs="Times New Roman"/>
                <w:b w:val="0"/>
                <w:bCs w:val="0"/>
                <w:noProof/>
                <w:webHidden/>
                <w:sz w:val="24"/>
              </w:rPr>
            </w:r>
            <w:r w:rsidR="00F5732C" w:rsidRPr="00B03B51">
              <w:rPr>
                <w:rFonts w:ascii="Times New Roman" w:hAnsi="Times New Roman" w:cs="Times New Roman"/>
                <w:b w:val="0"/>
                <w:bCs w:val="0"/>
                <w:noProof/>
                <w:webHidden/>
                <w:sz w:val="24"/>
              </w:rPr>
              <w:fldChar w:fldCharType="separate"/>
            </w:r>
            <w:r w:rsidR="006D0460">
              <w:rPr>
                <w:rFonts w:ascii="Times New Roman" w:hAnsi="Times New Roman" w:cs="Times New Roman"/>
                <w:b w:val="0"/>
                <w:bCs w:val="0"/>
                <w:noProof/>
                <w:webHidden/>
                <w:sz w:val="24"/>
              </w:rPr>
              <w:t>189</w:t>
            </w:r>
            <w:r w:rsidR="00F5732C" w:rsidRPr="00B03B51">
              <w:rPr>
                <w:rFonts w:ascii="Times New Roman" w:hAnsi="Times New Roman" w:cs="Times New Roman"/>
                <w:b w:val="0"/>
                <w:bCs w:val="0"/>
                <w:noProof/>
                <w:webHidden/>
                <w:sz w:val="24"/>
              </w:rPr>
              <w:fldChar w:fldCharType="end"/>
            </w:r>
          </w:hyperlink>
        </w:p>
        <w:p w14:paraId="6DF06E2F" w14:textId="23A02F0A" w:rsidR="00F5732C" w:rsidRPr="00B03B51" w:rsidRDefault="00FC6AB7" w:rsidP="009605EA">
          <w:pPr>
            <w:pStyle w:val="TOC2"/>
            <w:tabs>
              <w:tab w:val="right" w:leader="dot" w:pos="9061"/>
            </w:tabs>
            <w:spacing w:before="0"/>
            <w:ind w:left="426"/>
            <w:rPr>
              <w:rFonts w:ascii="Times New Roman" w:eastAsiaTheme="minorEastAsia" w:hAnsi="Times New Roman" w:cs="Times New Roman"/>
              <w:b w:val="0"/>
              <w:bCs w:val="0"/>
              <w:noProof/>
              <w:sz w:val="24"/>
              <w:szCs w:val="22"/>
              <w:lang w:eastAsia="lv-LV"/>
            </w:rPr>
          </w:pPr>
          <w:hyperlink w:anchor="_Toc67565096" w:history="1">
            <w:r w:rsidR="00F5732C" w:rsidRPr="00B03B51">
              <w:rPr>
                <w:rStyle w:val="Hyperlink"/>
                <w:rFonts w:ascii="Times New Roman" w:hAnsi="Times New Roman" w:cs="Times New Roman"/>
                <w:b w:val="0"/>
                <w:bCs w:val="0"/>
                <w:noProof/>
                <w:sz w:val="24"/>
              </w:rPr>
              <w:t>3.4. Kapitāla iepludināšana natūrā</w:t>
            </w:r>
            <w:r w:rsidR="00F5732C" w:rsidRPr="00B03B51">
              <w:rPr>
                <w:rFonts w:ascii="Times New Roman" w:hAnsi="Times New Roman" w:cs="Times New Roman"/>
                <w:b w:val="0"/>
                <w:bCs w:val="0"/>
                <w:noProof/>
                <w:webHidden/>
                <w:sz w:val="24"/>
              </w:rPr>
              <w:tab/>
            </w:r>
            <w:r w:rsidR="00F5732C" w:rsidRPr="00B03B51">
              <w:rPr>
                <w:rFonts w:ascii="Times New Roman" w:hAnsi="Times New Roman" w:cs="Times New Roman"/>
                <w:b w:val="0"/>
                <w:bCs w:val="0"/>
                <w:noProof/>
                <w:webHidden/>
                <w:sz w:val="24"/>
              </w:rPr>
              <w:fldChar w:fldCharType="begin"/>
            </w:r>
            <w:r w:rsidR="00F5732C" w:rsidRPr="00B03B51">
              <w:rPr>
                <w:rFonts w:ascii="Times New Roman" w:hAnsi="Times New Roman" w:cs="Times New Roman"/>
                <w:b w:val="0"/>
                <w:bCs w:val="0"/>
                <w:noProof/>
                <w:webHidden/>
                <w:sz w:val="24"/>
              </w:rPr>
              <w:instrText xml:space="preserve"> PAGEREF _Toc67565096 \h </w:instrText>
            </w:r>
            <w:r w:rsidR="00F5732C" w:rsidRPr="00B03B51">
              <w:rPr>
                <w:rFonts w:ascii="Times New Roman" w:hAnsi="Times New Roman" w:cs="Times New Roman"/>
                <w:b w:val="0"/>
                <w:bCs w:val="0"/>
                <w:noProof/>
                <w:webHidden/>
                <w:sz w:val="24"/>
              </w:rPr>
            </w:r>
            <w:r w:rsidR="00F5732C" w:rsidRPr="00B03B51">
              <w:rPr>
                <w:rFonts w:ascii="Times New Roman" w:hAnsi="Times New Roman" w:cs="Times New Roman"/>
                <w:b w:val="0"/>
                <w:bCs w:val="0"/>
                <w:noProof/>
                <w:webHidden/>
                <w:sz w:val="24"/>
              </w:rPr>
              <w:fldChar w:fldCharType="separate"/>
            </w:r>
            <w:r w:rsidR="006D0460">
              <w:rPr>
                <w:rFonts w:ascii="Times New Roman" w:hAnsi="Times New Roman" w:cs="Times New Roman"/>
                <w:b w:val="0"/>
                <w:bCs w:val="0"/>
                <w:noProof/>
                <w:webHidden/>
                <w:sz w:val="24"/>
              </w:rPr>
              <w:t>194</w:t>
            </w:r>
            <w:r w:rsidR="00F5732C" w:rsidRPr="00B03B51">
              <w:rPr>
                <w:rFonts w:ascii="Times New Roman" w:hAnsi="Times New Roman" w:cs="Times New Roman"/>
                <w:b w:val="0"/>
                <w:bCs w:val="0"/>
                <w:noProof/>
                <w:webHidden/>
                <w:sz w:val="24"/>
              </w:rPr>
              <w:fldChar w:fldCharType="end"/>
            </w:r>
          </w:hyperlink>
        </w:p>
        <w:p w14:paraId="246542EC" w14:textId="5A964B90" w:rsidR="00F5732C" w:rsidRPr="00B03B51" w:rsidRDefault="00FC6AB7" w:rsidP="009605EA">
          <w:pPr>
            <w:pStyle w:val="TOC2"/>
            <w:tabs>
              <w:tab w:val="right" w:leader="dot" w:pos="9061"/>
            </w:tabs>
            <w:spacing w:before="0"/>
            <w:ind w:left="426"/>
            <w:rPr>
              <w:rFonts w:ascii="Times New Roman" w:eastAsiaTheme="minorEastAsia" w:hAnsi="Times New Roman" w:cs="Times New Roman"/>
              <w:b w:val="0"/>
              <w:bCs w:val="0"/>
              <w:noProof/>
              <w:sz w:val="24"/>
              <w:szCs w:val="22"/>
              <w:lang w:eastAsia="lv-LV"/>
            </w:rPr>
          </w:pPr>
          <w:hyperlink w:anchor="_Toc67565101" w:history="1">
            <w:r w:rsidR="00F5732C" w:rsidRPr="00B03B51">
              <w:rPr>
                <w:rStyle w:val="Hyperlink"/>
                <w:rFonts w:ascii="Times New Roman" w:hAnsi="Times New Roman" w:cs="Times New Roman"/>
                <w:b w:val="0"/>
                <w:bCs w:val="0"/>
                <w:noProof/>
                <w:sz w:val="24"/>
              </w:rPr>
              <w:t>3.5. Dividendes, superdividendes, starpperioda dividendes</w:t>
            </w:r>
            <w:r w:rsidR="00F5732C" w:rsidRPr="00B03B51">
              <w:rPr>
                <w:rFonts w:ascii="Times New Roman" w:hAnsi="Times New Roman" w:cs="Times New Roman"/>
                <w:b w:val="0"/>
                <w:bCs w:val="0"/>
                <w:noProof/>
                <w:webHidden/>
                <w:sz w:val="24"/>
              </w:rPr>
              <w:tab/>
            </w:r>
            <w:r w:rsidR="00F5732C" w:rsidRPr="00B03B51">
              <w:rPr>
                <w:rFonts w:ascii="Times New Roman" w:hAnsi="Times New Roman" w:cs="Times New Roman"/>
                <w:b w:val="0"/>
                <w:bCs w:val="0"/>
                <w:noProof/>
                <w:webHidden/>
                <w:sz w:val="24"/>
              </w:rPr>
              <w:fldChar w:fldCharType="begin"/>
            </w:r>
            <w:r w:rsidR="00F5732C" w:rsidRPr="00B03B51">
              <w:rPr>
                <w:rFonts w:ascii="Times New Roman" w:hAnsi="Times New Roman" w:cs="Times New Roman"/>
                <w:b w:val="0"/>
                <w:bCs w:val="0"/>
                <w:noProof/>
                <w:webHidden/>
                <w:sz w:val="24"/>
              </w:rPr>
              <w:instrText xml:space="preserve"> PAGEREF _Toc67565101 \h </w:instrText>
            </w:r>
            <w:r w:rsidR="00F5732C" w:rsidRPr="00B03B51">
              <w:rPr>
                <w:rFonts w:ascii="Times New Roman" w:hAnsi="Times New Roman" w:cs="Times New Roman"/>
                <w:b w:val="0"/>
                <w:bCs w:val="0"/>
                <w:noProof/>
                <w:webHidden/>
                <w:sz w:val="24"/>
              </w:rPr>
            </w:r>
            <w:r w:rsidR="00F5732C" w:rsidRPr="00B03B51">
              <w:rPr>
                <w:rFonts w:ascii="Times New Roman" w:hAnsi="Times New Roman" w:cs="Times New Roman"/>
                <w:b w:val="0"/>
                <w:bCs w:val="0"/>
                <w:noProof/>
                <w:webHidden/>
                <w:sz w:val="24"/>
              </w:rPr>
              <w:fldChar w:fldCharType="separate"/>
            </w:r>
            <w:r w:rsidR="006D0460">
              <w:rPr>
                <w:rFonts w:ascii="Times New Roman" w:hAnsi="Times New Roman" w:cs="Times New Roman"/>
                <w:b w:val="0"/>
                <w:bCs w:val="0"/>
                <w:noProof/>
                <w:webHidden/>
                <w:sz w:val="24"/>
              </w:rPr>
              <w:t>198</w:t>
            </w:r>
            <w:r w:rsidR="00F5732C" w:rsidRPr="00B03B51">
              <w:rPr>
                <w:rFonts w:ascii="Times New Roman" w:hAnsi="Times New Roman" w:cs="Times New Roman"/>
                <w:b w:val="0"/>
                <w:bCs w:val="0"/>
                <w:noProof/>
                <w:webHidden/>
                <w:sz w:val="24"/>
              </w:rPr>
              <w:fldChar w:fldCharType="end"/>
            </w:r>
          </w:hyperlink>
        </w:p>
        <w:p w14:paraId="4174E20D" w14:textId="1E62362B" w:rsidR="00F5732C" w:rsidRPr="00B03B51" w:rsidRDefault="00FC6AB7" w:rsidP="009605EA">
          <w:pPr>
            <w:pStyle w:val="TOC2"/>
            <w:tabs>
              <w:tab w:val="right" w:leader="dot" w:pos="9061"/>
            </w:tabs>
            <w:spacing w:before="0"/>
            <w:ind w:left="426"/>
            <w:rPr>
              <w:rFonts w:ascii="Times New Roman" w:eastAsiaTheme="minorEastAsia" w:hAnsi="Times New Roman" w:cs="Times New Roman"/>
              <w:b w:val="0"/>
              <w:bCs w:val="0"/>
              <w:noProof/>
              <w:sz w:val="24"/>
              <w:szCs w:val="22"/>
              <w:lang w:eastAsia="lv-LV"/>
            </w:rPr>
          </w:pPr>
          <w:hyperlink w:anchor="_Toc67565105" w:history="1">
            <w:r w:rsidR="00F5732C" w:rsidRPr="00B03B51">
              <w:rPr>
                <w:rStyle w:val="Hyperlink"/>
                <w:rFonts w:ascii="Times New Roman" w:hAnsi="Times New Roman" w:cs="Times New Roman"/>
                <w:b w:val="0"/>
                <w:bCs w:val="0"/>
                <w:noProof/>
                <w:sz w:val="24"/>
              </w:rPr>
              <w:t>3.6. Pensiju saistību nodošanas ietekme uz valdības kontiem</w:t>
            </w:r>
            <w:r w:rsidR="00F5732C" w:rsidRPr="00B03B51">
              <w:rPr>
                <w:rFonts w:ascii="Times New Roman" w:hAnsi="Times New Roman" w:cs="Times New Roman"/>
                <w:b w:val="0"/>
                <w:bCs w:val="0"/>
                <w:noProof/>
                <w:webHidden/>
                <w:sz w:val="24"/>
              </w:rPr>
              <w:tab/>
            </w:r>
            <w:r w:rsidR="00F5732C" w:rsidRPr="00B03B51">
              <w:rPr>
                <w:rFonts w:ascii="Times New Roman" w:hAnsi="Times New Roman" w:cs="Times New Roman"/>
                <w:b w:val="0"/>
                <w:bCs w:val="0"/>
                <w:noProof/>
                <w:webHidden/>
                <w:sz w:val="24"/>
              </w:rPr>
              <w:fldChar w:fldCharType="begin"/>
            </w:r>
            <w:r w:rsidR="00F5732C" w:rsidRPr="00B03B51">
              <w:rPr>
                <w:rFonts w:ascii="Times New Roman" w:hAnsi="Times New Roman" w:cs="Times New Roman"/>
                <w:b w:val="0"/>
                <w:bCs w:val="0"/>
                <w:noProof/>
                <w:webHidden/>
                <w:sz w:val="24"/>
              </w:rPr>
              <w:instrText xml:space="preserve"> PAGEREF _Toc67565105 \h </w:instrText>
            </w:r>
            <w:r w:rsidR="00F5732C" w:rsidRPr="00B03B51">
              <w:rPr>
                <w:rFonts w:ascii="Times New Roman" w:hAnsi="Times New Roman" w:cs="Times New Roman"/>
                <w:b w:val="0"/>
                <w:bCs w:val="0"/>
                <w:noProof/>
                <w:webHidden/>
                <w:sz w:val="24"/>
              </w:rPr>
            </w:r>
            <w:r w:rsidR="00F5732C" w:rsidRPr="00B03B51">
              <w:rPr>
                <w:rFonts w:ascii="Times New Roman" w:hAnsi="Times New Roman" w:cs="Times New Roman"/>
                <w:b w:val="0"/>
                <w:bCs w:val="0"/>
                <w:noProof/>
                <w:webHidden/>
                <w:sz w:val="24"/>
              </w:rPr>
              <w:fldChar w:fldCharType="separate"/>
            </w:r>
            <w:r w:rsidR="006D0460">
              <w:rPr>
                <w:rFonts w:ascii="Times New Roman" w:hAnsi="Times New Roman" w:cs="Times New Roman"/>
                <w:b w:val="0"/>
                <w:bCs w:val="0"/>
                <w:noProof/>
                <w:webHidden/>
                <w:sz w:val="24"/>
              </w:rPr>
              <w:t>203</w:t>
            </w:r>
            <w:r w:rsidR="00F5732C" w:rsidRPr="00B03B51">
              <w:rPr>
                <w:rFonts w:ascii="Times New Roman" w:hAnsi="Times New Roman" w:cs="Times New Roman"/>
                <w:b w:val="0"/>
                <w:bCs w:val="0"/>
                <w:noProof/>
                <w:webHidden/>
                <w:sz w:val="24"/>
              </w:rPr>
              <w:fldChar w:fldCharType="end"/>
            </w:r>
          </w:hyperlink>
        </w:p>
        <w:p w14:paraId="17F61D09" w14:textId="7223C93B" w:rsidR="00F5732C" w:rsidRPr="00B03B51" w:rsidRDefault="00FC6AB7" w:rsidP="009605EA">
          <w:pPr>
            <w:pStyle w:val="TOC2"/>
            <w:tabs>
              <w:tab w:val="right" w:leader="dot" w:pos="9061"/>
            </w:tabs>
            <w:spacing w:before="0"/>
            <w:ind w:left="426"/>
            <w:rPr>
              <w:rFonts w:ascii="Times New Roman" w:eastAsiaTheme="minorEastAsia" w:hAnsi="Times New Roman" w:cs="Times New Roman"/>
              <w:b w:val="0"/>
              <w:bCs w:val="0"/>
              <w:noProof/>
              <w:sz w:val="24"/>
              <w:szCs w:val="22"/>
              <w:lang w:eastAsia="lv-LV"/>
            </w:rPr>
          </w:pPr>
          <w:hyperlink w:anchor="_Toc67565110" w:history="1">
            <w:r w:rsidR="00F5732C" w:rsidRPr="00B03B51">
              <w:rPr>
                <w:rStyle w:val="Hyperlink"/>
                <w:rFonts w:ascii="Times New Roman" w:hAnsi="Times New Roman" w:cs="Times New Roman"/>
                <w:b w:val="0"/>
                <w:bCs w:val="0"/>
                <w:noProof/>
                <w:sz w:val="24"/>
              </w:rPr>
              <w:t>3.7. Ekspluatācijas pārtraukšanas izmaksu pārneses ietekme uz valdības kontiem</w:t>
            </w:r>
            <w:r w:rsidR="00F5732C" w:rsidRPr="00B03B51">
              <w:rPr>
                <w:rFonts w:ascii="Times New Roman" w:hAnsi="Times New Roman" w:cs="Times New Roman"/>
                <w:b w:val="0"/>
                <w:bCs w:val="0"/>
                <w:noProof/>
                <w:webHidden/>
                <w:sz w:val="24"/>
              </w:rPr>
              <w:tab/>
            </w:r>
            <w:r w:rsidR="00F5732C" w:rsidRPr="00B03B51">
              <w:rPr>
                <w:rFonts w:ascii="Times New Roman" w:hAnsi="Times New Roman" w:cs="Times New Roman"/>
                <w:b w:val="0"/>
                <w:bCs w:val="0"/>
                <w:noProof/>
                <w:webHidden/>
                <w:sz w:val="24"/>
              </w:rPr>
              <w:fldChar w:fldCharType="begin"/>
            </w:r>
            <w:r w:rsidR="00F5732C" w:rsidRPr="00B03B51">
              <w:rPr>
                <w:rFonts w:ascii="Times New Roman" w:hAnsi="Times New Roman" w:cs="Times New Roman"/>
                <w:b w:val="0"/>
                <w:bCs w:val="0"/>
                <w:noProof/>
                <w:webHidden/>
                <w:sz w:val="24"/>
              </w:rPr>
              <w:instrText xml:space="preserve"> PAGEREF _Toc67565110 \h </w:instrText>
            </w:r>
            <w:r w:rsidR="00F5732C" w:rsidRPr="00B03B51">
              <w:rPr>
                <w:rFonts w:ascii="Times New Roman" w:hAnsi="Times New Roman" w:cs="Times New Roman"/>
                <w:b w:val="0"/>
                <w:bCs w:val="0"/>
                <w:noProof/>
                <w:webHidden/>
                <w:sz w:val="24"/>
              </w:rPr>
            </w:r>
            <w:r w:rsidR="00F5732C" w:rsidRPr="00B03B51">
              <w:rPr>
                <w:rFonts w:ascii="Times New Roman" w:hAnsi="Times New Roman" w:cs="Times New Roman"/>
                <w:b w:val="0"/>
                <w:bCs w:val="0"/>
                <w:noProof/>
                <w:webHidden/>
                <w:sz w:val="24"/>
              </w:rPr>
              <w:fldChar w:fldCharType="separate"/>
            </w:r>
            <w:r w:rsidR="006D0460">
              <w:rPr>
                <w:rFonts w:ascii="Times New Roman" w:hAnsi="Times New Roman" w:cs="Times New Roman"/>
                <w:b w:val="0"/>
                <w:bCs w:val="0"/>
                <w:noProof/>
                <w:webHidden/>
                <w:sz w:val="24"/>
              </w:rPr>
              <w:t>214</w:t>
            </w:r>
            <w:r w:rsidR="00F5732C" w:rsidRPr="00B03B51">
              <w:rPr>
                <w:rFonts w:ascii="Times New Roman" w:hAnsi="Times New Roman" w:cs="Times New Roman"/>
                <w:b w:val="0"/>
                <w:bCs w:val="0"/>
                <w:noProof/>
                <w:webHidden/>
                <w:sz w:val="24"/>
              </w:rPr>
              <w:fldChar w:fldCharType="end"/>
            </w:r>
          </w:hyperlink>
        </w:p>
        <w:p w14:paraId="331C890A" w14:textId="2E658305" w:rsidR="00F5732C" w:rsidRPr="00B03B51" w:rsidRDefault="00FC6AB7" w:rsidP="009605EA">
          <w:pPr>
            <w:pStyle w:val="TOC2"/>
            <w:tabs>
              <w:tab w:val="right" w:leader="dot" w:pos="9061"/>
            </w:tabs>
            <w:spacing w:before="0"/>
            <w:ind w:left="426"/>
            <w:rPr>
              <w:rFonts w:ascii="Times New Roman" w:eastAsiaTheme="minorEastAsia" w:hAnsi="Times New Roman" w:cs="Times New Roman"/>
              <w:b w:val="0"/>
              <w:bCs w:val="0"/>
              <w:noProof/>
              <w:sz w:val="24"/>
              <w:szCs w:val="22"/>
              <w:lang w:eastAsia="lv-LV"/>
            </w:rPr>
          </w:pPr>
          <w:hyperlink w:anchor="_Toc67565115" w:history="1">
            <w:r w:rsidR="00F5732C" w:rsidRPr="00B03B51">
              <w:rPr>
                <w:rStyle w:val="Hyperlink"/>
                <w:rFonts w:ascii="Times New Roman" w:hAnsi="Times New Roman" w:cs="Times New Roman"/>
                <w:b w:val="0"/>
                <w:bCs w:val="0"/>
                <w:noProof/>
                <w:sz w:val="24"/>
              </w:rPr>
              <w:t>3.8. Pielikums. EKS 2010 darījumu izlase</w:t>
            </w:r>
            <w:r w:rsidR="00F5732C" w:rsidRPr="00B03B51">
              <w:rPr>
                <w:rFonts w:ascii="Times New Roman" w:hAnsi="Times New Roman" w:cs="Times New Roman"/>
                <w:b w:val="0"/>
                <w:bCs w:val="0"/>
                <w:noProof/>
                <w:webHidden/>
                <w:sz w:val="24"/>
              </w:rPr>
              <w:tab/>
            </w:r>
            <w:r w:rsidR="00F5732C" w:rsidRPr="00B03B51">
              <w:rPr>
                <w:rFonts w:ascii="Times New Roman" w:hAnsi="Times New Roman" w:cs="Times New Roman"/>
                <w:b w:val="0"/>
                <w:bCs w:val="0"/>
                <w:noProof/>
                <w:webHidden/>
                <w:sz w:val="24"/>
              </w:rPr>
              <w:fldChar w:fldCharType="begin"/>
            </w:r>
            <w:r w:rsidR="00F5732C" w:rsidRPr="00B03B51">
              <w:rPr>
                <w:rFonts w:ascii="Times New Roman" w:hAnsi="Times New Roman" w:cs="Times New Roman"/>
                <w:b w:val="0"/>
                <w:bCs w:val="0"/>
                <w:noProof/>
                <w:webHidden/>
                <w:sz w:val="24"/>
              </w:rPr>
              <w:instrText xml:space="preserve"> PAGEREF _Toc67565115 \h </w:instrText>
            </w:r>
            <w:r w:rsidR="00F5732C" w:rsidRPr="00B03B51">
              <w:rPr>
                <w:rFonts w:ascii="Times New Roman" w:hAnsi="Times New Roman" w:cs="Times New Roman"/>
                <w:b w:val="0"/>
                <w:bCs w:val="0"/>
                <w:noProof/>
                <w:webHidden/>
                <w:sz w:val="24"/>
              </w:rPr>
            </w:r>
            <w:r w:rsidR="00F5732C" w:rsidRPr="00B03B51">
              <w:rPr>
                <w:rFonts w:ascii="Times New Roman" w:hAnsi="Times New Roman" w:cs="Times New Roman"/>
                <w:b w:val="0"/>
                <w:bCs w:val="0"/>
                <w:noProof/>
                <w:webHidden/>
                <w:sz w:val="24"/>
              </w:rPr>
              <w:fldChar w:fldCharType="separate"/>
            </w:r>
            <w:r w:rsidR="006D0460">
              <w:rPr>
                <w:rFonts w:ascii="Times New Roman" w:hAnsi="Times New Roman" w:cs="Times New Roman"/>
                <w:b w:val="0"/>
                <w:bCs w:val="0"/>
                <w:noProof/>
                <w:webHidden/>
                <w:sz w:val="24"/>
              </w:rPr>
              <w:t>221</w:t>
            </w:r>
            <w:r w:rsidR="00F5732C" w:rsidRPr="00B03B51">
              <w:rPr>
                <w:rFonts w:ascii="Times New Roman" w:hAnsi="Times New Roman" w:cs="Times New Roman"/>
                <w:b w:val="0"/>
                <w:bCs w:val="0"/>
                <w:noProof/>
                <w:webHidden/>
                <w:sz w:val="24"/>
              </w:rPr>
              <w:fldChar w:fldCharType="end"/>
            </w:r>
          </w:hyperlink>
        </w:p>
        <w:p w14:paraId="77D053E1" w14:textId="0B5506F7" w:rsidR="00F5732C" w:rsidRPr="00B03B51" w:rsidRDefault="00FC6AB7" w:rsidP="009605EA">
          <w:pPr>
            <w:pStyle w:val="TOC2"/>
            <w:tabs>
              <w:tab w:val="right" w:leader="dot" w:pos="9061"/>
            </w:tabs>
            <w:spacing w:before="0"/>
            <w:ind w:left="426"/>
            <w:rPr>
              <w:rFonts w:ascii="Times New Roman" w:eastAsiaTheme="minorEastAsia" w:hAnsi="Times New Roman" w:cs="Times New Roman"/>
              <w:b w:val="0"/>
              <w:bCs w:val="0"/>
              <w:noProof/>
              <w:sz w:val="24"/>
              <w:szCs w:val="22"/>
              <w:lang w:eastAsia="lv-LV"/>
            </w:rPr>
          </w:pPr>
          <w:hyperlink w:anchor="_Toc67565117" w:history="1">
            <w:r w:rsidR="00F5732C" w:rsidRPr="00B03B51">
              <w:rPr>
                <w:rStyle w:val="Hyperlink"/>
                <w:rFonts w:ascii="Times New Roman" w:hAnsi="Times New Roman" w:cs="Times New Roman"/>
                <w:b w:val="0"/>
                <w:bCs w:val="0"/>
                <w:noProof/>
                <w:sz w:val="24"/>
              </w:rPr>
              <w:t>3.9. Atslēgvārdi un atsauces</w:t>
            </w:r>
            <w:r w:rsidR="00F5732C" w:rsidRPr="00B03B51">
              <w:rPr>
                <w:rFonts w:ascii="Times New Roman" w:hAnsi="Times New Roman" w:cs="Times New Roman"/>
                <w:b w:val="0"/>
                <w:bCs w:val="0"/>
                <w:noProof/>
                <w:webHidden/>
                <w:sz w:val="24"/>
              </w:rPr>
              <w:tab/>
            </w:r>
            <w:r w:rsidR="00F5732C" w:rsidRPr="00B03B51">
              <w:rPr>
                <w:rFonts w:ascii="Times New Roman" w:hAnsi="Times New Roman" w:cs="Times New Roman"/>
                <w:b w:val="0"/>
                <w:bCs w:val="0"/>
                <w:noProof/>
                <w:webHidden/>
                <w:sz w:val="24"/>
              </w:rPr>
              <w:fldChar w:fldCharType="begin"/>
            </w:r>
            <w:r w:rsidR="00F5732C" w:rsidRPr="00B03B51">
              <w:rPr>
                <w:rFonts w:ascii="Times New Roman" w:hAnsi="Times New Roman" w:cs="Times New Roman"/>
                <w:b w:val="0"/>
                <w:bCs w:val="0"/>
                <w:noProof/>
                <w:webHidden/>
                <w:sz w:val="24"/>
              </w:rPr>
              <w:instrText xml:space="preserve"> PAGEREF _Toc67565117 \h </w:instrText>
            </w:r>
            <w:r w:rsidR="00F5732C" w:rsidRPr="00B03B51">
              <w:rPr>
                <w:rFonts w:ascii="Times New Roman" w:hAnsi="Times New Roman" w:cs="Times New Roman"/>
                <w:b w:val="0"/>
                <w:bCs w:val="0"/>
                <w:noProof/>
                <w:webHidden/>
                <w:sz w:val="24"/>
              </w:rPr>
            </w:r>
            <w:r w:rsidR="00F5732C" w:rsidRPr="00B03B51">
              <w:rPr>
                <w:rFonts w:ascii="Times New Roman" w:hAnsi="Times New Roman" w:cs="Times New Roman"/>
                <w:b w:val="0"/>
                <w:bCs w:val="0"/>
                <w:noProof/>
                <w:webHidden/>
                <w:sz w:val="24"/>
              </w:rPr>
              <w:fldChar w:fldCharType="separate"/>
            </w:r>
            <w:r w:rsidR="006D0460">
              <w:rPr>
                <w:rFonts w:ascii="Times New Roman" w:hAnsi="Times New Roman" w:cs="Times New Roman"/>
                <w:b w:val="0"/>
                <w:bCs w:val="0"/>
                <w:noProof/>
                <w:webHidden/>
                <w:sz w:val="24"/>
              </w:rPr>
              <w:t>226</w:t>
            </w:r>
            <w:r w:rsidR="00F5732C" w:rsidRPr="00B03B51">
              <w:rPr>
                <w:rFonts w:ascii="Times New Roman" w:hAnsi="Times New Roman" w:cs="Times New Roman"/>
                <w:b w:val="0"/>
                <w:bCs w:val="0"/>
                <w:noProof/>
                <w:webHidden/>
                <w:sz w:val="24"/>
              </w:rPr>
              <w:fldChar w:fldCharType="end"/>
            </w:r>
          </w:hyperlink>
        </w:p>
        <w:p w14:paraId="0E2ED714" w14:textId="00DD26AF" w:rsidR="00F5732C" w:rsidRPr="00B03B51" w:rsidRDefault="00FC6AB7" w:rsidP="00662E0A">
          <w:pPr>
            <w:pStyle w:val="TOC1"/>
            <w:tabs>
              <w:tab w:val="right" w:leader="dot" w:pos="9061"/>
            </w:tabs>
            <w:spacing w:before="0"/>
            <w:ind w:left="0" w:firstLine="0"/>
            <w:rPr>
              <w:rFonts w:ascii="Times New Roman" w:eastAsiaTheme="minorEastAsia" w:hAnsi="Times New Roman" w:cs="Times New Roman"/>
              <w:noProof/>
              <w:sz w:val="24"/>
              <w:lang w:eastAsia="lv-LV"/>
            </w:rPr>
          </w:pPr>
          <w:hyperlink w:anchor="_Toc67565118" w:history="1">
            <w:r w:rsidR="00F5732C" w:rsidRPr="00B03B51">
              <w:rPr>
                <w:rStyle w:val="Hyperlink"/>
                <w:rFonts w:ascii="Times New Roman" w:hAnsi="Times New Roman" w:cs="Times New Roman"/>
                <w:noProof/>
                <w:sz w:val="24"/>
              </w:rPr>
              <w:t>4. Attiecības starp valdību un finanšu sektoru</w:t>
            </w:r>
            <w:r w:rsidR="00F5732C" w:rsidRPr="00B03B51">
              <w:rPr>
                <w:rFonts w:ascii="Times New Roman" w:hAnsi="Times New Roman" w:cs="Times New Roman"/>
                <w:noProof/>
                <w:webHidden/>
                <w:sz w:val="24"/>
              </w:rPr>
              <w:tab/>
            </w:r>
            <w:r w:rsidR="00F5732C" w:rsidRPr="00B03B51">
              <w:rPr>
                <w:rFonts w:ascii="Times New Roman" w:hAnsi="Times New Roman" w:cs="Times New Roman"/>
                <w:noProof/>
                <w:webHidden/>
                <w:sz w:val="24"/>
              </w:rPr>
              <w:fldChar w:fldCharType="begin"/>
            </w:r>
            <w:r w:rsidR="00F5732C" w:rsidRPr="00B03B51">
              <w:rPr>
                <w:rFonts w:ascii="Times New Roman" w:hAnsi="Times New Roman" w:cs="Times New Roman"/>
                <w:noProof/>
                <w:webHidden/>
                <w:sz w:val="24"/>
              </w:rPr>
              <w:instrText xml:space="preserve"> PAGEREF _Toc67565118 \h </w:instrText>
            </w:r>
            <w:r w:rsidR="00F5732C" w:rsidRPr="00B03B51">
              <w:rPr>
                <w:rFonts w:ascii="Times New Roman" w:hAnsi="Times New Roman" w:cs="Times New Roman"/>
                <w:noProof/>
                <w:webHidden/>
                <w:sz w:val="24"/>
              </w:rPr>
            </w:r>
            <w:r w:rsidR="00F5732C" w:rsidRPr="00B03B51">
              <w:rPr>
                <w:rFonts w:ascii="Times New Roman" w:hAnsi="Times New Roman" w:cs="Times New Roman"/>
                <w:noProof/>
                <w:webHidden/>
                <w:sz w:val="24"/>
              </w:rPr>
              <w:fldChar w:fldCharType="separate"/>
            </w:r>
            <w:r w:rsidR="006D0460">
              <w:rPr>
                <w:rFonts w:ascii="Times New Roman" w:hAnsi="Times New Roman" w:cs="Times New Roman"/>
                <w:noProof/>
                <w:webHidden/>
                <w:sz w:val="24"/>
              </w:rPr>
              <w:t>227</w:t>
            </w:r>
            <w:r w:rsidR="00F5732C" w:rsidRPr="00B03B51">
              <w:rPr>
                <w:rFonts w:ascii="Times New Roman" w:hAnsi="Times New Roman" w:cs="Times New Roman"/>
                <w:noProof/>
                <w:webHidden/>
                <w:sz w:val="24"/>
              </w:rPr>
              <w:fldChar w:fldCharType="end"/>
            </w:r>
          </w:hyperlink>
        </w:p>
        <w:p w14:paraId="35FDC2F4" w14:textId="0990B03D" w:rsidR="00F5732C" w:rsidRPr="00B03B51" w:rsidRDefault="00FC6AB7" w:rsidP="009605EA">
          <w:pPr>
            <w:pStyle w:val="TOC2"/>
            <w:tabs>
              <w:tab w:val="right" w:leader="dot" w:pos="9061"/>
            </w:tabs>
            <w:spacing w:before="0"/>
            <w:ind w:left="426"/>
            <w:rPr>
              <w:rFonts w:ascii="Times New Roman" w:eastAsiaTheme="minorEastAsia" w:hAnsi="Times New Roman" w:cs="Times New Roman"/>
              <w:b w:val="0"/>
              <w:bCs w:val="0"/>
              <w:noProof/>
              <w:sz w:val="24"/>
              <w:szCs w:val="22"/>
              <w:lang w:eastAsia="lv-LV"/>
            </w:rPr>
          </w:pPr>
          <w:hyperlink w:anchor="_Toc67565119" w:history="1">
            <w:r w:rsidR="00F5732C" w:rsidRPr="00B03B51">
              <w:rPr>
                <w:rStyle w:val="Hyperlink"/>
                <w:rFonts w:ascii="Times New Roman" w:hAnsi="Times New Roman" w:cs="Times New Roman"/>
                <w:b w:val="0"/>
                <w:bCs w:val="0"/>
                <w:noProof/>
                <w:sz w:val="24"/>
              </w:rPr>
              <w:t>4.1. Pārskats</w:t>
            </w:r>
            <w:r w:rsidR="00F5732C" w:rsidRPr="00B03B51">
              <w:rPr>
                <w:rFonts w:ascii="Times New Roman" w:hAnsi="Times New Roman" w:cs="Times New Roman"/>
                <w:b w:val="0"/>
                <w:bCs w:val="0"/>
                <w:noProof/>
                <w:webHidden/>
                <w:sz w:val="24"/>
              </w:rPr>
              <w:tab/>
            </w:r>
            <w:r w:rsidR="00F5732C" w:rsidRPr="00B03B51">
              <w:rPr>
                <w:rFonts w:ascii="Times New Roman" w:hAnsi="Times New Roman" w:cs="Times New Roman"/>
                <w:b w:val="0"/>
                <w:bCs w:val="0"/>
                <w:noProof/>
                <w:webHidden/>
                <w:sz w:val="24"/>
              </w:rPr>
              <w:fldChar w:fldCharType="begin"/>
            </w:r>
            <w:r w:rsidR="00F5732C" w:rsidRPr="00B03B51">
              <w:rPr>
                <w:rFonts w:ascii="Times New Roman" w:hAnsi="Times New Roman" w:cs="Times New Roman"/>
                <w:b w:val="0"/>
                <w:bCs w:val="0"/>
                <w:noProof/>
                <w:webHidden/>
                <w:sz w:val="24"/>
              </w:rPr>
              <w:instrText xml:space="preserve"> PAGEREF _Toc67565119 \h </w:instrText>
            </w:r>
            <w:r w:rsidR="00F5732C" w:rsidRPr="00B03B51">
              <w:rPr>
                <w:rFonts w:ascii="Times New Roman" w:hAnsi="Times New Roman" w:cs="Times New Roman"/>
                <w:b w:val="0"/>
                <w:bCs w:val="0"/>
                <w:noProof/>
                <w:webHidden/>
                <w:sz w:val="24"/>
              </w:rPr>
            </w:r>
            <w:r w:rsidR="00F5732C" w:rsidRPr="00B03B51">
              <w:rPr>
                <w:rFonts w:ascii="Times New Roman" w:hAnsi="Times New Roman" w:cs="Times New Roman"/>
                <w:b w:val="0"/>
                <w:bCs w:val="0"/>
                <w:noProof/>
                <w:webHidden/>
                <w:sz w:val="24"/>
              </w:rPr>
              <w:fldChar w:fldCharType="separate"/>
            </w:r>
            <w:r w:rsidR="006D0460">
              <w:rPr>
                <w:rFonts w:ascii="Times New Roman" w:hAnsi="Times New Roman" w:cs="Times New Roman"/>
                <w:b w:val="0"/>
                <w:bCs w:val="0"/>
                <w:noProof/>
                <w:webHidden/>
                <w:sz w:val="24"/>
              </w:rPr>
              <w:t>227</w:t>
            </w:r>
            <w:r w:rsidR="00F5732C" w:rsidRPr="00B03B51">
              <w:rPr>
                <w:rFonts w:ascii="Times New Roman" w:hAnsi="Times New Roman" w:cs="Times New Roman"/>
                <w:b w:val="0"/>
                <w:bCs w:val="0"/>
                <w:noProof/>
                <w:webHidden/>
                <w:sz w:val="24"/>
              </w:rPr>
              <w:fldChar w:fldCharType="end"/>
            </w:r>
          </w:hyperlink>
        </w:p>
        <w:p w14:paraId="632CD651" w14:textId="55ECF9D9" w:rsidR="00F5732C" w:rsidRPr="00B03B51" w:rsidRDefault="00FC6AB7" w:rsidP="009605EA">
          <w:pPr>
            <w:pStyle w:val="TOC2"/>
            <w:tabs>
              <w:tab w:val="right" w:leader="dot" w:pos="9061"/>
            </w:tabs>
            <w:spacing w:before="0"/>
            <w:ind w:left="426"/>
            <w:rPr>
              <w:rFonts w:ascii="Times New Roman" w:eastAsiaTheme="minorEastAsia" w:hAnsi="Times New Roman" w:cs="Times New Roman"/>
              <w:b w:val="0"/>
              <w:bCs w:val="0"/>
              <w:noProof/>
              <w:sz w:val="24"/>
              <w:szCs w:val="22"/>
              <w:lang w:eastAsia="lv-LV"/>
            </w:rPr>
          </w:pPr>
          <w:hyperlink w:anchor="_Toc67565120" w:history="1">
            <w:r w:rsidR="00F5732C" w:rsidRPr="00B03B51">
              <w:rPr>
                <w:rStyle w:val="Hyperlink"/>
                <w:rFonts w:ascii="Times New Roman" w:hAnsi="Times New Roman" w:cs="Times New Roman"/>
                <w:b w:val="0"/>
                <w:bCs w:val="0"/>
                <w:noProof/>
                <w:sz w:val="24"/>
              </w:rPr>
              <w:t>4.2. Maksājumi starp centrālo banku un valdību</w:t>
            </w:r>
            <w:r w:rsidR="00F5732C" w:rsidRPr="00B03B51">
              <w:rPr>
                <w:rFonts w:ascii="Times New Roman" w:hAnsi="Times New Roman" w:cs="Times New Roman"/>
                <w:b w:val="0"/>
                <w:bCs w:val="0"/>
                <w:noProof/>
                <w:webHidden/>
                <w:sz w:val="24"/>
              </w:rPr>
              <w:tab/>
            </w:r>
            <w:r w:rsidR="00F5732C" w:rsidRPr="00B03B51">
              <w:rPr>
                <w:rFonts w:ascii="Times New Roman" w:hAnsi="Times New Roman" w:cs="Times New Roman"/>
                <w:b w:val="0"/>
                <w:bCs w:val="0"/>
                <w:noProof/>
                <w:webHidden/>
                <w:sz w:val="24"/>
              </w:rPr>
              <w:fldChar w:fldCharType="begin"/>
            </w:r>
            <w:r w:rsidR="00F5732C" w:rsidRPr="00B03B51">
              <w:rPr>
                <w:rFonts w:ascii="Times New Roman" w:hAnsi="Times New Roman" w:cs="Times New Roman"/>
                <w:b w:val="0"/>
                <w:bCs w:val="0"/>
                <w:noProof/>
                <w:webHidden/>
                <w:sz w:val="24"/>
              </w:rPr>
              <w:instrText xml:space="preserve"> PAGEREF _Toc67565120 \h </w:instrText>
            </w:r>
            <w:r w:rsidR="00F5732C" w:rsidRPr="00B03B51">
              <w:rPr>
                <w:rFonts w:ascii="Times New Roman" w:hAnsi="Times New Roman" w:cs="Times New Roman"/>
                <w:b w:val="0"/>
                <w:bCs w:val="0"/>
                <w:noProof/>
                <w:webHidden/>
                <w:sz w:val="24"/>
              </w:rPr>
            </w:r>
            <w:r w:rsidR="00F5732C" w:rsidRPr="00B03B51">
              <w:rPr>
                <w:rFonts w:ascii="Times New Roman" w:hAnsi="Times New Roman" w:cs="Times New Roman"/>
                <w:b w:val="0"/>
                <w:bCs w:val="0"/>
                <w:noProof/>
                <w:webHidden/>
                <w:sz w:val="24"/>
              </w:rPr>
              <w:fldChar w:fldCharType="separate"/>
            </w:r>
            <w:r w:rsidR="006D0460">
              <w:rPr>
                <w:rFonts w:ascii="Times New Roman" w:hAnsi="Times New Roman" w:cs="Times New Roman"/>
                <w:b w:val="0"/>
                <w:bCs w:val="0"/>
                <w:noProof/>
                <w:webHidden/>
                <w:sz w:val="24"/>
              </w:rPr>
              <w:t>228</w:t>
            </w:r>
            <w:r w:rsidR="00F5732C" w:rsidRPr="00B03B51">
              <w:rPr>
                <w:rFonts w:ascii="Times New Roman" w:hAnsi="Times New Roman" w:cs="Times New Roman"/>
                <w:b w:val="0"/>
                <w:bCs w:val="0"/>
                <w:noProof/>
                <w:webHidden/>
                <w:sz w:val="24"/>
              </w:rPr>
              <w:fldChar w:fldCharType="end"/>
            </w:r>
          </w:hyperlink>
        </w:p>
        <w:p w14:paraId="18095361" w14:textId="6C5152ED" w:rsidR="00F5732C" w:rsidRPr="00B03B51" w:rsidRDefault="00FC6AB7" w:rsidP="009605EA">
          <w:pPr>
            <w:pStyle w:val="TOC2"/>
            <w:tabs>
              <w:tab w:val="right" w:leader="dot" w:pos="9061"/>
            </w:tabs>
            <w:spacing w:before="0"/>
            <w:ind w:left="426"/>
            <w:rPr>
              <w:rFonts w:ascii="Times New Roman" w:eastAsiaTheme="minorEastAsia" w:hAnsi="Times New Roman" w:cs="Times New Roman"/>
              <w:b w:val="0"/>
              <w:bCs w:val="0"/>
              <w:noProof/>
              <w:sz w:val="24"/>
              <w:szCs w:val="22"/>
              <w:lang w:eastAsia="lv-LV"/>
            </w:rPr>
          </w:pPr>
          <w:hyperlink w:anchor="_Toc67565124" w:history="1">
            <w:r w:rsidR="00F5732C" w:rsidRPr="00B03B51">
              <w:rPr>
                <w:rStyle w:val="Hyperlink"/>
                <w:rFonts w:ascii="Times New Roman" w:hAnsi="Times New Roman" w:cs="Times New Roman"/>
                <w:b w:val="0"/>
                <w:bCs w:val="0"/>
                <w:noProof/>
                <w:sz w:val="24"/>
              </w:rPr>
              <w:t>4.3. Zelta tirdzniecība un ārvalstu valūtu maiņa centrālajā bankā</w:t>
            </w:r>
            <w:r w:rsidR="00F5732C" w:rsidRPr="00B03B51">
              <w:rPr>
                <w:rFonts w:ascii="Times New Roman" w:hAnsi="Times New Roman" w:cs="Times New Roman"/>
                <w:b w:val="0"/>
                <w:bCs w:val="0"/>
                <w:noProof/>
                <w:webHidden/>
                <w:sz w:val="24"/>
              </w:rPr>
              <w:tab/>
            </w:r>
            <w:r w:rsidR="00F5732C" w:rsidRPr="00B03B51">
              <w:rPr>
                <w:rFonts w:ascii="Times New Roman" w:hAnsi="Times New Roman" w:cs="Times New Roman"/>
                <w:b w:val="0"/>
                <w:bCs w:val="0"/>
                <w:noProof/>
                <w:webHidden/>
                <w:sz w:val="24"/>
              </w:rPr>
              <w:fldChar w:fldCharType="begin"/>
            </w:r>
            <w:r w:rsidR="00F5732C" w:rsidRPr="00B03B51">
              <w:rPr>
                <w:rFonts w:ascii="Times New Roman" w:hAnsi="Times New Roman" w:cs="Times New Roman"/>
                <w:b w:val="0"/>
                <w:bCs w:val="0"/>
                <w:noProof/>
                <w:webHidden/>
                <w:sz w:val="24"/>
              </w:rPr>
              <w:instrText xml:space="preserve"> PAGEREF _Toc67565124 \h </w:instrText>
            </w:r>
            <w:r w:rsidR="00F5732C" w:rsidRPr="00B03B51">
              <w:rPr>
                <w:rFonts w:ascii="Times New Roman" w:hAnsi="Times New Roman" w:cs="Times New Roman"/>
                <w:b w:val="0"/>
                <w:bCs w:val="0"/>
                <w:noProof/>
                <w:webHidden/>
                <w:sz w:val="24"/>
              </w:rPr>
            </w:r>
            <w:r w:rsidR="00F5732C" w:rsidRPr="00B03B51">
              <w:rPr>
                <w:rFonts w:ascii="Times New Roman" w:hAnsi="Times New Roman" w:cs="Times New Roman"/>
                <w:b w:val="0"/>
                <w:bCs w:val="0"/>
                <w:noProof/>
                <w:webHidden/>
                <w:sz w:val="24"/>
              </w:rPr>
              <w:fldChar w:fldCharType="separate"/>
            </w:r>
            <w:r w:rsidR="006D0460">
              <w:rPr>
                <w:rFonts w:ascii="Times New Roman" w:hAnsi="Times New Roman" w:cs="Times New Roman"/>
                <w:b w:val="0"/>
                <w:bCs w:val="0"/>
                <w:noProof/>
                <w:webHidden/>
                <w:sz w:val="24"/>
              </w:rPr>
              <w:t>236</w:t>
            </w:r>
            <w:r w:rsidR="00F5732C" w:rsidRPr="00B03B51">
              <w:rPr>
                <w:rFonts w:ascii="Times New Roman" w:hAnsi="Times New Roman" w:cs="Times New Roman"/>
                <w:b w:val="0"/>
                <w:bCs w:val="0"/>
                <w:noProof/>
                <w:webHidden/>
                <w:sz w:val="24"/>
              </w:rPr>
              <w:fldChar w:fldCharType="end"/>
            </w:r>
          </w:hyperlink>
        </w:p>
        <w:p w14:paraId="0BD43666" w14:textId="6E63E361" w:rsidR="00F5732C" w:rsidRPr="00B03B51" w:rsidRDefault="00FC6AB7" w:rsidP="009605EA">
          <w:pPr>
            <w:pStyle w:val="TOC2"/>
            <w:tabs>
              <w:tab w:val="right" w:leader="dot" w:pos="9061"/>
            </w:tabs>
            <w:spacing w:before="0"/>
            <w:ind w:left="426"/>
            <w:rPr>
              <w:rFonts w:ascii="Times New Roman" w:eastAsiaTheme="minorEastAsia" w:hAnsi="Times New Roman" w:cs="Times New Roman"/>
              <w:b w:val="0"/>
              <w:bCs w:val="0"/>
              <w:noProof/>
              <w:sz w:val="24"/>
              <w:szCs w:val="22"/>
              <w:lang w:eastAsia="lv-LV"/>
            </w:rPr>
          </w:pPr>
          <w:hyperlink w:anchor="_Toc67565128" w:history="1">
            <w:r w:rsidR="00F5732C" w:rsidRPr="00B03B51">
              <w:rPr>
                <w:rStyle w:val="Hyperlink"/>
                <w:rFonts w:ascii="Times New Roman" w:hAnsi="Times New Roman" w:cs="Times New Roman"/>
                <w:b w:val="0"/>
                <w:bCs w:val="0"/>
                <w:noProof/>
                <w:sz w:val="24"/>
              </w:rPr>
              <w:t>4.4. Neatgūtās banknotes un monētas pēc naudas nomaiņas</w:t>
            </w:r>
            <w:r w:rsidR="00F5732C" w:rsidRPr="00B03B51">
              <w:rPr>
                <w:rFonts w:ascii="Times New Roman" w:hAnsi="Times New Roman" w:cs="Times New Roman"/>
                <w:b w:val="0"/>
                <w:bCs w:val="0"/>
                <w:noProof/>
                <w:webHidden/>
                <w:sz w:val="24"/>
              </w:rPr>
              <w:tab/>
            </w:r>
            <w:r w:rsidR="00F5732C" w:rsidRPr="00B03B51">
              <w:rPr>
                <w:rFonts w:ascii="Times New Roman" w:hAnsi="Times New Roman" w:cs="Times New Roman"/>
                <w:b w:val="0"/>
                <w:bCs w:val="0"/>
                <w:noProof/>
                <w:webHidden/>
                <w:sz w:val="24"/>
              </w:rPr>
              <w:fldChar w:fldCharType="begin"/>
            </w:r>
            <w:r w:rsidR="00F5732C" w:rsidRPr="00B03B51">
              <w:rPr>
                <w:rFonts w:ascii="Times New Roman" w:hAnsi="Times New Roman" w:cs="Times New Roman"/>
                <w:b w:val="0"/>
                <w:bCs w:val="0"/>
                <w:noProof/>
                <w:webHidden/>
                <w:sz w:val="24"/>
              </w:rPr>
              <w:instrText xml:space="preserve"> PAGEREF _Toc67565128 \h </w:instrText>
            </w:r>
            <w:r w:rsidR="00F5732C" w:rsidRPr="00B03B51">
              <w:rPr>
                <w:rFonts w:ascii="Times New Roman" w:hAnsi="Times New Roman" w:cs="Times New Roman"/>
                <w:b w:val="0"/>
                <w:bCs w:val="0"/>
                <w:noProof/>
                <w:webHidden/>
                <w:sz w:val="24"/>
              </w:rPr>
            </w:r>
            <w:r w:rsidR="00F5732C" w:rsidRPr="00B03B51">
              <w:rPr>
                <w:rFonts w:ascii="Times New Roman" w:hAnsi="Times New Roman" w:cs="Times New Roman"/>
                <w:b w:val="0"/>
                <w:bCs w:val="0"/>
                <w:noProof/>
                <w:webHidden/>
                <w:sz w:val="24"/>
              </w:rPr>
              <w:fldChar w:fldCharType="separate"/>
            </w:r>
            <w:r w:rsidR="006D0460">
              <w:rPr>
                <w:rFonts w:ascii="Times New Roman" w:hAnsi="Times New Roman" w:cs="Times New Roman"/>
                <w:b w:val="0"/>
                <w:bCs w:val="0"/>
                <w:noProof/>
                <w:webHidden/>
                <w:sz w:val="24"/>
              </w:rPr>
              <w:t>242</w:t>
            </w:r>
            <w:r w:rsidR="00F5732C" w:rsidRPr="00B03B51">
              <w:rPr>
                <w:rFonts w:ascii="Times New Roman" w:hAnsi="Times New Roman" w:cs="Times New Roman"/>
                <w:b w:val="0"/>
                <w:bCs w:val="0"/>
                <w:noProof/>
                <w:webHidden/>
                <w:sz w:val="24"/>
              </w:rPr>
              <w:fldChar w:fldCharType="end"/>
            </w:r>
          </w:hyperlink>
        </w:p>
        <w:p w14:paraId="7133DE43" w14:textId="4F230748" w:rsidR="00F5732C" w:rsidRPr="00B03B51" w:rsidRDefault="00FC6AB7" w:rsidP="009605EA">
          <w:pPr>
            <w:pStyle w:val="TOC2"/>
            <w:tabs>
              <w:tab w:val="right" w:leader="dot" w:pos="9061"/>
            </w:tabs>
            <w:spacing w:before="0"/>
            <w:ind w:left="426"/>
            <w:rPr>
              <w:rFonts w:ascii="Times New Roman" w:eastAsiaTheme="minorEastAsia" w:hAnsi="Times New Roman" w:cs="Times New Roman"/>
              <w:b w:val="0"/>
              <w:bCs w:val="0"/>
              <w:noProof/>
              <w:sz w:val="24"/>
              <w:szCs w:val="22"/>
              <w:lang w:eastAsia="lv-LV"/>
            </w:rPr>
          </w:pPr>
          <w:hyperlink w:anchor="_Toc67565132" w:history="1">
            <w:r w:rsidR="00F5732C" w:rsidRPr="00B03B51">
              <w:rPr>
                <w:rStyle w:val="Hyperlink"/>
                <w:rFonts w:ascii="Times New Roman" w:hAnsi="Times New Roman" w:cs="Times New Roman"/>
                <w:b w:val="0"/>
                <w:bCs w:val="0"/>
                <w:noProof/>
                <w:sz w:val="24"/>
              </w:rPr>
              <w:t>4.5. Finanšu sanācija</w:t>
            </w:r>
            <w:r w:rsidR="00F5732C" w:rsidRPr="00B03B51">
              <w:rPr>
                <w:rFonts w:ascii="Times New Roman" w:hAnsi="Times New Roman" w:cs="Times New Roman"/>
                <w:b w:val="0"/>
                <w:bCs w:val="0"/>
                <w:noProof/>
                <w:webHidden/>
                <w:sz w:val="24"/>
              </w:rPr>
              <w:tab/>
            </w:r>
            <w:r w:rsidR="00F5732C" w:rsidRPr="00B03B51">
              <w:rPr>
                <w:rFonts w:ascii="Times New Roman" w:hAnsi="Times New Roman" w:cs="Times New Roman"/>
                <w:b w:val="0"/>
                <w:bCs w:val="0"/>
                <w:noProof/>
                <w:webHidden/>
                <w:sz w:val="24"/>
              </w:rPr>
              <w:fldChar w:fldCharType="begin"/>
            </w:r>
            <w:r w:rsidR="00F5732C" w:rsidRPr="00B03B51">
              <w:rPr>
                <w:rFonts w:ascii="Times New Roman" w:hAnsi="Times New Roman" w:cs="Times New Roman"/>
                <w:b w:val="0"/>
                <w:bCs w:val="0"/>
                <w:noProof/>
                <w:webHidden/>
                <w:sz w:val="24"/>
              </w:rPr>
              <w:instrText xml:space="preserve"> PAGEREF _Toc67565132 \h </w:instrText>
            </w:r>
            <w:r w:rsidR="00F5732C" w:rsidRPr="00B03B51">
              <w:rPr>
                <w:rFonts w:ascii="Times New Roman" w:hAnsi="Times New Roman" w:cs="Times New Roman"/>
                <w:b w:val="0"/>
                <w:bCs w:val="0"/>
                <w:noProof/>
                <w:webHidden/>
                <w:sz w:val="24"/>
              </w:rPr>
            </w:r>
            <w:r w:rsidR="00F5732C" w:rsidRPr="00B03B51">
              <w:rPr>
                <w:rFonts w:ascii="Times New Roman" w:hAnsi="Times New Roman" w:cs="Times New Roman"/>
                <w:b w:val="0"/>
                <w:bCs w:val="0"/>
                <w:noProof/>
                <w:webHidden/>
                <w:sz w:val="24"/>
              </w:rPr>
              <w:fldChar w:fldCharType="separate"/>
            </w:r>
            <w:r w:rsidR="006D0460">
              <w:rPr>
                <w:rFonts w:ascii="Times New Roman" w:hAnsi="Times New Roman" w:cs="Times New Roman"/>
                <w:b w:val="0"/>
                <w:bCs w:val="0"/>
                <w:noProof/>
                <w:webHidden/>
                <w:sz w:val="24"/>
              </w:rPr>
              <w:t>250</w:t>
            </w:r>
            <w:r w:rsidR="00F5732C" w:rsidRPr="00B03B51">
              <w:rPr>
                <w:rFonts w:ascii="Times New Roman" w:hAnsi="Times New Roman" w:cs="Times New Roman"/>
                <w:b w:val="0"/>
                <w:bCs w:val="0"/>
                <w:noProof/>
                <w:webHidden/>
                <w:sz w:val="24"/>
              </w:rPr>
              <w:fldChar w:fldCharType="end"/>
            </w:r>
          </w:hyperlink>
        </w:p>
        <w:p w14:paraId="7AF54820" w14:textId="2E1F4D5E" w:rsidR="00F5732C" w:rsidRPr="00B03B51" w:rsidRDefault="00FC6AB7" w:rsidP="009605EA">
          <w:pPr>
            <w:pStyle w:val="TOC2"/>
            <w:tabs>
              <w:tab w:val="right" w:leader="dot" w:pos="9061"/>
            </w:tabs>
            <w:spacing w:before="0"/>
            <w:ind w:left="426"/>
            <w:rPr>
              <w:rFonts w:ascii="Times New Roman" w:eastAsiaTheme="minorEastAsia" w:hAnsi="Times New Roman" w:cs="Times New Roman"/>
              <w:b w:val="0"/>
              <w:bCs w:val="0"/>
              <w:noProof/>
              <w:sz w:val="24"/>
              <w:szCs w:val="22"/>
              <w:lang w:eastAsia="lv-LV"/>
            </w:rPr>
          </w:pPr>
          <w:hyperlink w:anchor="_Toc67565137" w:history="1">
            <w:r w:rsidR="00F5732C" w:rsidRPr="00B03B51">
              <w:rPr>
                <w:rStyle w:val="Hyperlink"/>
                <w:rFonts w:ascii="Times New Roman" w:hAnsi="Times New Roman" w:cs="Times New Roman"/>
                <w:b w:val="0"/>
                <w:bCs w:val="0"/>
                <w:noProof/>
                <w:sz w:val="24"/>
              </w:rPr>
              <w:t>4.6. Kapitāla pieaugums daudzpusējās attīstības bankās</w:t>
            </w:r>
            <w:r w:rsidR="00F5732C" w:rsidRPr="00B03B51">
              <w:rPr>
                <w:rFonts w:ascii="Times New Roman" w:hAnsi="Times New Roman" w:cs="Times New Roman"/>
                <w:b w:val="0"/>
                <w:bCs w:val="0"/>
                <w:noProof/>
                <w:webHidden/>
                <w:sz w:val="24"/>
              </w:rPr>
              <w:tab/>
            </w:r>
            <w:r w:rsidR="00F5732C" w:rsidRPr="00B03B51">
              <w:rPr>
                <w:rFonts w:ascii="Times New Roman" w:hAnsi="Times New Roman" w:cs="Times New Roman"/>
                <w:b w:val="0"/>
                <w:bCs w:val="0"/>
                <w:noProof/>
                <w:webHidden/>
                <w:sz w:val="24"/>
              </w:rPr>
              <w:fldChar w:fldCharType="begin"/>
            </w:r>
            <w:r w:rsidR="00F5732C" w:rsidRPr="00B03B51">
              <w:rPr>
                <w:rFonts w:ascii="Times New Roman" w:hAnsi="Times New Roman" w:cs="Times New Roman"/>
                <w:b w:val="0"/>
                <w:bCs w:val="0"/>
                <w:noProof/>
                <w:webHidden/>
                <w:sz w:val="24"/>
              </w:rPr>
              <w:instrText xml:space="preserve"> PAGEREF _Toc67565137 \h </w:instrText>
            </w:r>
            <w:r w:rsidR="00F5732C" w:rsidRPr="00B03B51">
              <w:rPr>
                <w:rFonts w:ascii="Times New Roman" w:hAnsi="Times New Roman" w:cs="Times New Roman"/>
                <w:b w:val="0"/>
                <w:bCs w:val="0"/>
                <w:noProof/>
                <w:webHidden/>
                <w:sz w:val="24"/>
              </w:rPr>
            </w:r>
            <w:r w:rsidR="00F5732C" w:rsidRPr="00B03B51">
              <w:rPr>
                <w:rFonts w:ascii="Times New Roman" w:hAnsi="Times New Roman" w:cs="Times New Roman"/>
                <w:b w:val="0"/>
                <w:bCs w:val="0"/>
                <w:noProof/>
                <w:webHidden/>
                <w:sz w:val="24"/>
              </w:rPr>
              <w:fldChar w:fldCharType="separate"/>
            </w:r>
            <w:r w:rsidR="006D0460">
              <w:rPr>
                <w:rFonts w:ascii="Times New Roman" w:hAnsi="Times New Roman" w:cs="Times New Roman"/>
                <w:b w:val="0"/>
                <w:bCs w:val="0"/>
                <w:noProof/>
                <w:webHidden/>
                <w:sz w:val="24"/>
              </w:rPr>
              <w:t>265</w:t>
            </w:r>
            <w:r w:rsidR="00F5732C" w:rsidRPr="00B03B51">
              <w:rPr>
                <w:rFonts w:ascii="Times New Roman" w:hAnsi="Times New Roman" w:cs="Times New Roman"/>
                <w:b w:val="0"/>
                <w:bCs w:val="0"/>
                <w:noProof/>
                <w:webHidden/>
                <w:sz w:val="24"/>
              </w:rPr>
              <w:fldChar w:fldCharType="end"/>
            </w:r>
          </w:hyperlink>
        </w:p>
        <w:p w14:paraId="6B9753CD" w14:textId="38666925" w:rsidR="00F5732C" w:rsidRPr="00B03B51" w:rsidRDefault="00FC6AB7" w:rsidP="009605EA">
          <w:pPr>
            <w:pStyle w:val="TOC2"/>
            <w:tabs>
              <w:tab w:val="right" w:leader="dot" w:pos="9061"/>
            </w:tabs>
            <w:spacing w:before="0"/>
            <w:ind w:left="426"/>
            <w:rPr>
              <w:rFonts w:ascii="Times New Roman" w:eastAsiaTheme="minorEastAsia" w:hAnsi="Times New Roman" w:cs="Times New Roman"/>
              <w:b w:val="0"/>
              <w:bCs w:val="0"/>
              <w:noProof/>
              <w:sz w:val="24"/>
              <w:szCs w:val="22"/>
              <w:lang w:eastAsia="lv-LV"/>
            </w:rPr>
          </w:pPr>
          <w:hyperlink w:anchor="_Toc67565139" w:history="1">
            <w:r w:rsidR="00F5732C" w:rsidRPr="00B03B51">
              <w:rPr>
                <w:rStyle w:val="Hyperlink"/>
                <w:rFonts w:ascii="Times New Roman" w:hAnsi="Times New Roman" w:cs="Times New Roman"/>
                <w:b w:val="0"/>
                <w:bCs w:val="0"/>
                <w:noProof/>
                <w:sz w:val="24"/>
              </w:rPr>
              <w:t>4.7. No ienākumiem atkarīgu aizdevumu ierakstīšana</w:t>
            </w:r>
            <w:r w:rsidR="00F5732C" w:rsidRPr="00B03B51">
              <w:rPr>
                <w:rFonts w:ascii="Times New Roman" w:hAnsi="Times New Roman" w:cs="Times New Roman"/>
                <w:b w:val="0"/>
                <w:bCs w:val="0"/>
                <w:noProof/>
                <w:webHidden/>
                <w:sz w:val="24"/>
              </w:rPr>
              <w:tab/>
            </w:r>
            <w:r w:rsidR="00F5732C" w:rsidRPr="00B03B51">
              <w:rPr>
                <w:rFonts w:ascii="Times New Roman" w:hAnsi="Times New Roman" w:cs="Times New Roman"/>
                <w:b w:val="0"/>
                <w:bCs w:val="0"/>
                <w:noProof/>
                <w:webHidden/>
                <w:sz w:val="24"/>
              </w:rPr>
              <w:fldChar w:fldCharType="begin"/>
            </w:r>
            <w:r w:rsidR="00F5732C" w:rsidRPr="00B03B51">
              <w:rPr>
                <w:rFonts w:ascii="Times New Roman" w:hAnsi="Times New Roman" w:cs="Times New Roman"/>
                <w:b w:val="0"/>
                <w:bCs w:val="0"/>
                <w:noProof/>
                <w:webHidden/>
                <w:sz w:val="24"/>
              </w:rPr>
              <w:instrText xml:space="preserve"> PAGEREF _Toc67565139 \h </w:instrText>
            </w:r>
            <w:r w:rsidR="00F5732C" w:rsidRPr="00B03B51">
              <w:rPr>
                <w:rFonts w:ascii="Times New Roman" w:hAnsi="Times New Roman" w:cs="Times New Roman"/>
                <w:b w:val="0"/>
                <w:bCs w:val="0"/>
                <w:noProof/>
                <w:webHidden/>
                <w:sz w:val="24"/>
              </w:rPr>
            </w:r>
            <w:r w:rsidR="00F5732C" w:rsidRPr="00B03B51">
              <w:rPr>
                <w:rFonts w:ascii="Times New Roman" w:hAnsi="Times New Roman" w:cs="Times New Roman"/>
                <w:b w:val="0"/>
                <w:bCs w:val="0"/>
                <w:noProof/>
                <w:webHidden/>
                <w:sz w:val="24"/>
              </w:rPr>
              <w:fldChar w:fldCharType="separate"/>
            </w:r>
            <w:r w:rsidR="006D0460">
              <w:rPr>
                <w:rFonts w:ascii="Times New Roman" w:hAnsi="Times New Roman" w:cs="Times New Roman"/>
                <w:b w:val="0"/>
                <w:bCs w:val="0"/>
                <w:noProof/>
                <w:webHidden/>
                <w:sz w:val="24"/>
              </w:rPr>
              <w:t>269</w:t>
            </w:r>
            <w:r w:rsidR="00F5732C" w:rsidRPr="00B03B51">
              <w:rPr>
                <w:rFonts w:ascii="Times New Roman" w:hAnsi="Times New Roman" w:cs="Times New Roman"/>
                <w:b w:val="0"/>
                <w:bCs w:val="0"/>
                <w:noProof/>
                <w:webHidden/>
                <w:sz w:val="24"/>
              </w:rPr>
              <w:fldChar w:fldCharType="end"/>
            </w:r>
          </w:hyperlink>
        </w:p>
        <w:p w14:paraId="114F830E" w14:textId="64700ED3" w:rsidR="00F5732C" w:rsidRPr="00B03B51" w:rsidRDefault="00FC6AB7" w:rsidP="009605EA">
          <w:pPr>
            <w:pStyle w:val="TOC2"/>
            <w:tabs>
              <w:tab w:val="right" w:leader="dot" w:pos="9061"/>
            </w:tabs>
            <w:spacing w:before="0"/>
            <w:ind w:left="426"/>
            <w:rPr>
              <w:rFonts w:ascii="Times New Roman" w:eastAsiaTheme="minorEastAsia" w:hAnsi="Times New Roman" w:cs="Times New Roman"/>
              <w:b w:val="0"/>
              <w:bCs w:val="0"/>
              <w:noProof/>
              <w:sz w:val="24"/>
              <w:szCs w:val="22"/>
              <w:lang w:eastAsia="lv-LV"/>
            </w:rPr>
          </w:pPr>
          <w:hyperlink w:anchor="_Toc67565143" w:history="1">
            <w:r w:rsidR="00F5732C" w:rsidRPr="00B03B51">
              <w:rPr>
                <w:rStyle w:val="Hyperlink"/>
                <w:rFonts w:ascii="Times New Roman" w:hAnsi="Times New Roman" w:cs="Times New Roman"/>
                <w:b w:val="0"/>
                <w:bCs w:val="0"/>
                <w:noProof/>
                <w:sz w:val="24"/>
              </w:rPr>
              <w:t>4.8. Atslēgvārdi un atsauces</w:t>
            </w:r>
            <w:r w:rsidR="00F5732C" w:rsidRPr="00B03B51">
              <w:rPr>
                <w:rFonts w:ascii="Times New Roman" w:hAnsi="Times New Roman" w:cs="Times New Roman"/>
                <w:b w:val="0"/>
                <w:bCs w:val="0"/>
                <w:noProof/>
                <w:webHidden/>
                <w:sz w:val="24"/>
              </w:rPr>
              <w:tab/>
            </w:r>
            <w:r w:rsidR="00F5732C" w:rsidRPr="00B03B51">
              <w:rPr>
                <w:rFonts w:ascii="Times New Roman" w:hAnsi="Times New Roman" w:cs="Times New Roman"/>
                <w:b w:val="0"/>
                <w:bCs w:val="0"/>
                <w:noProof/>
                <w:webHidden/>
                <w:sz w:val="24"/>
              </w:rPr>
              <w:fldChar w:fldCharType="begin"/>
            </w:r>
            <w:r w:rsidR="00F5732C" w:rsidRPr="00B03B51">
              <w:rPr>
                <w:rFonts w:ascii="Times New Roman" w:hAnsi="Times New Roman" w:cs="Times New Roman"/>
                <w:b w:val="0"/>
                <w:bCs w:val="0"/>
                <w:noProof/>
                <w:webHidden/>
                <w:sz w:val="24"/>
              </w:rPr>
              <w:instrText xml:space="preserve"> PAGEREF _Toc67565143 \h </w:instrText>
            </w:r>
            <w:r w:rsidR="00F5732C" w:rsidRPr="00B03B51">
              <w:rPr>
                <w:rFonts w:ascii="Times New Roman" w:hAnsi="Times New Roman" w:cs="Times New Roman"/>
                <w:b w:val="0"/>
                <w:bCs w:val="0"/>
                <w:noProof/>
                <w:webHidden/>
                <w:sz w:val="24"/>
              </w:rPr>
            </w:r>
            <w:r w:rsidR="00F5732C" w:rsidRPr="00B03B51">
              <w:rPr>
                <w:rFonts w:ascii="Times New Roman" w:hAnsi="Times New Roman" w:cs="Times New Roman"/>
                <w:b w:val="0"/>
                <w:bCs w:val="0"/>
                <w:noProof/>
                <w:webHidden/>
                <w:sz w:val="24"/>
              </w:rPr>
              <w:fldChar w:fldCharType="separate"/>
            </w:r>
            <w:r w:rsidR="006D0460">
              <w:rPr>
                <w:rFonts w:ascii="Times New Roman" w:hAnsi="Times New Roman" w:cs="Times New Roman"/>
                <w:b w:val="0"/>
                <w:bCs w:val="0"/>
                <w:noProof/>
                <w:webHidden/>
                <w:sz w:val="24"/>
              </w:rPr>
              <w:t>273</w:t>
            </w:r>
            <w:r w:rsidR="00F5732C" w:rsidRPr="00B03B51">
              <w:rPr>
                <w:rFonts w:ascii="Times New Roman" w:hAnsi="Times New Roman" w:cs="Times New Roman"/>
                <w:b w:val="0"/>
                <w:bCs w:val="0"/>
                <w:noProof/>
                <w:webHidden/>
                <w:sz w:val="24"/>
              </w:rPr>
              <w:fldChar w:fldCharType="end"/>
            </w:r>
          </w:hyperlink>
        </w:p>
        <w:p w14:paraId="32635DF1" w14:textId="1E6232B0" w:rsidR="00F5732C" w:rsidRPr="00B03B51" w:rsidRDefault="00FC6AB7" w:rsidP="00662E0A">
          <w:pPr>
            <w:pStyle w:val="TOC1"/>
            <w:tabs>
              <w:tab w:val="right" w:leader="dot" w:pos="9061"/>
            </w:tabs>
            <w:spacing w:before="0"/>
            <w:ind w:left="0" w:firstLine="0"/>
            <w:rPr>
              <w:rFonts w:ascii="Times New Roman" w:eastAsiaTheme="minorEastAsia" w:hAnsi="Times New Roman" w:cs="Times New Roman"/>
              <w:noProof/>
              <w:sz w:val="24"/>
              <w:lang w:eastAsia="lv-LV"/>
            </w:rPr>
          </w:pPr>
          <w:hyperlink w:anchor="_Toc67565144" w:history="1">
            <w:r w:rsidR="00F5732C" w:rsidRPr="00B03B51">
              <w:rPr>
                <w:rStyle w:val="Hyperlink"/>
                <w:rFonts w:ascii="Times New Roman" w:hAnsi="Times New Roman" w:cs="Times New Roman"/>
                <w:noProof/>
                <w:sz w:val="24"/>
              </w:rPr>
              <w:t>5. Aktīvu pārdošana</w:t>
            </w:r>
            <w:r w:rsidR="00F5732C" w:rsidRPr="00B03B51">
              <w:rPr>
                <w:rFonts w:ascii="Times New Roman" w:hAnsi="Times New Roman" w:cs="Times New Roman"/>
                <w:noProof/>
                <w:webHidden/>
                <w:sz w:val="24"/>
              </w:rPr>
              <w:tab/>
            </w:r>
            <w:r w:rsidR="00F5732C" w:rsidRPr="00B03B51">
              <w:rPr>
                <w:rFonts w:ascii="Times New Roman" w:hAnsi="Times New Roman" w:cs="Times New Roman"/>
                <w:noProof/>
                <w:webHidden/>
                <w:sz w:val="24"/>
              </w:rPr>
              <w:fldChar w:fldCharType="begin"/>
            </w:r>
            <w:r w:rsidR="00F5732C" w:rsidRPr="00B03B51">
              <w:rPr>
                <w:rFonts w:ascii="Times New Roman" w:hAnsi="Times New Roman" w:cs="Times New Roman"/>
                <w:noProof/>
                <w:webHidden/>
                <w:sz w:val="24"/>
              </w:rPr>
              <w:instrText xml:space="preserve"> PAGEREF _Toc67565144 \h </w:instrText>
            </w:r>
            <w:r w:rsidR="00F5732C" w:rsidRPr="00B03B51">
              <w:rPr>
                <w:rFonts w:ascii="Times New Roman" w:hAnsi="Times New Roman" w:cs="Times New Roman"/>
                <w:noProof/>
                <w:webHidden/>
                <w:sz w:val="24"/>
              </w:rPr>
            </w:r>
            <w:r w:rsidR="00F5732C" w:rsidRPr="00B03B51">
              <w:rPr>
                <w:rFonts w:ascii="Times New Roman" w:hAnsi="Times New Roman" w:cs="Times New Roman"/>
                <w:noProof/>
                <w:webHidden/>
                <w:sz w:val="24"/>
              </w:rPr>
              <w:fldChar w:fldCharType="separate"/>
            </w:r>
            <w:r w:rsidR="006D0460">
              <w:rPr>
                <w:rFonts w:ascii="Times New Roman" w:hAnsi="Times New Roman" w:cs="Times New Roman"/>
                <w:noProof/>
                <w:webHidden/>
                <w:sz w:val="24"/>
              </w:rPr>
              <w:t>274</w:t>
            </w:r>
            <w:r w:rsidR="00F5732C" w:rsidRPr="00B03B51">
              <w:rPr>
                <w:rFonts w:ascii="Times New Roman" w:hAnsi="Times New Roman" w:cs="Times New Roman"/>
                <w:noProof/>
                <w:webHidden/>
                <w:sz w:val="24"/>
              </w:rPr>
              <w:fldChar w:fldCharType="end"/>
            </w:r>
          </w:hyperlink>
        </w:p>
        <w:p w14:paraId="2917C6AF" w14:textId="6D9C97BF" w:rsidR="00F5732C" w:rsidRPr="00B03B51" w:rsidRDefault="00FC6AB7" w:rsidP="009605EA">
          <w:pPr>
            <w:pStyle w:val="TOC2"/>
            <w:tabs>
              <w:tab w:val="right" w:leader="dot" w:pos="9061"/>
            </w:tabs>
            <w:spacing w:before="0"/>
            <w:ind w:left="426"/>
            <w:rPr>
              <w:rFonts w:ascii="Times New Roman" w:eastAsiaTheme="minorEastAsia" w:hAnsi="Times New Roman" w:cs="Times New Roman"/>
              <w:b w:val="0"/>
              <w:bCs w:val="0"/>
              <w:noProof/>
              <w:sz w:val="24"/>
              <w:szCs w:val="22"/>
              <w:lang w:eastAsia="lv-LV"/>
            </w:rPr>
          </w:pPr>
          <w:hyperlink w:anchor="_Toc67565145" w:history="1">
            <w:r w:rsidR="00F5732C" w:rsidRPr="00B03B51">
              <w:rPr>
                <w:rStyle w:val="Hyperlink"/>
                <w:rFonts w:ascii="Times New Roman" w:hAnsi="Times New Roman" w:cs="Times New Roman"/>
                <w:b w:val="0"/>
                <w:bCs w:val="0"/>
                <w:noProof/>
                <w:sz w:val="24"/>
              </w:rPr>
              <w:t>5.1. Pārskats</w:t>
            </w:r>
            <w:r w:rsidR="00F5732C" w:rsidRPr="00B03B51">
              <w:rPr>
                <w:rFonts w:ascii="Times New Roman" w:hAnsi="Times New Roman" w:cs="Times New Roman"/>
                <w:b w:val="0"/>
                <w:bCs w:val="0"/>
                <w:noProof/>
                <w:webHidden/>
                <w:sz w:val="24"/>
              </w:rPr>
              <w:tab/>
            </w:r>
            <w:r w:rsidR="00F5732C" w:rsidRPr="00B03B51">
              <w:rPr>
                <w:rFonts w:ascii="Times New Roman" w:hAnsi="Times New Roman" w:cs="Times New Roman"/>
                <w:b w:val="0"/>
                <w:bCs w:val="0"/>
                <w:noProof/>
                <w:webHidden/>
                <w:sz w:val="24"/>
              </w:rPr>
              <w:fldChar w:fldCharType="begin"/>
            </w:r>
            <w:r w:rsidR="00F5732C" w:rsidRPr="00B03B51">
              <w:rPr>
                <w:rFonts w:ascii="Times New Roman" w:hAnsi="Times New Roman" w:cs="Times New Roman"/>
                <w:b w:val="0"/>
                <w:bCs w:val="0"/>
                <w:noProof/>
                <w:webHidden/>
                <w:sz w:val="24"/>
              </w:rPr>
              <w:instrText xml:space="preserve"> PAGEREF _Toc67565145 \h </w:instrText>
            </w:r>
            <w:r w:rsidR="00F5732C" w:rsidRPr="00B03B51">
              <w:rPr>
                <w:rFonts w:ascii="Times New Roman" w:hAnsi="Times New Roman" w:cs="Times New Roman"/>
                <w:b w:val="0"/>
                <w:bCs w:val="0"/>
                <w:noProof/>
                <w:webHidden/>
                <w:sz w:val="24"/>
              </w:rPr>
            </w:r>
            <w:r w:rsidR="00F5732C" w:rsidRPr="00B03B51">
              <w:rPr>
                <w:rFonts w:ascii="Times New Roman" w:hAnsi="Times New Roman" w:cs="Times New Roman"/>
                <w:b w:val="0"/>
                <w:bCs w:val="0"/>
                <w:noProof/>
                <w:webHidden/>
                <w:sz w:val="24"/>
              </w:rPr>
              <w:fldChar w:fldCharType="separate"/>
            </w:r>
            <w:r w:rsidR="006D0460">
              <w:rPr>
                <w:rFonts w:ascii="Times New Roman" w:hAnsi="Times New Roman" w:cs="Times New Roman"/>
                <w:b w:val="0"/>
                <w:bCs w:val="0"/>
                <w:noProof/>
                <w:webHidden/>
                <w:sz w:val="24"/>
              </w:rPr>
              <w:t>274</w:t>
            </w:r>
            <w:r w:rsidR="00F5732C" w:rsidRPr="00B03B51">
              <w:rPr>
                <w:rFonts w:ascii="Times New Roman" w:hAnsi="Times New Roman" w:cs="Times New Roman"/>
                <w:b w:val="0"/>
                <w:bCs w:val="0"/>
                <w:noProof/>
                <w:webHidden/>
                <w:sz w:val="24"/>
              </w:rPr>
              <w:fldChar w:fldCharType="end"/>
            </w:r>
          </w:hyperlink>
        </w:p>
        <w:p w14:paraId="102E0324" w14:textId="78476742" w:rsidR="00F5732C" w:rsidRPr="00B03B51" w:rsidRDefault="00FC6AB7" w:rsidP="009605EA">
          <w:pPr>
            <w:pStyle w:val="TOC2"/>
            <w:tabs>
              <w:tab w:val="right" w:leader="dot" w:pos="9061"/>
            </w:tabs>
            <w:spacing w:before="0"/>
            <w:ind w:left="426"/>
            <w:rPr>
              <w:rFonts w:ascii="Times New Roman" w:eastAsiaTheme="minorEastAsia" w:hAnsi="Times New Roman" w:cs="Times New Roman"/>
              <w:b w:val="0"/>
              <w:bCs w:val="0"/>
              <w:noProof/>
              <w:sz w:val="24"/>
              <w:szCs w:val="22"/>
              <w:lang w:eastAsia="lv-LV"/>
            </w:rPr>
          </w:pPr>
          <w:hyperlink w:anchor="_Toc67565146" w:history="1">
            <w:r w:rsidR="00F5732C" w:rsidRPr="00B03B51">
              <w:rPr>
                <w:rStyle w:val="Hyperlink"/>
                <w:rFonts w:ascii="Times New Roman" w:hAnsi="Times New Roman" w:cs="Times New Roman"/>
                <w:b w:val="0"/>
                <w:bCs w:val="0"/>
                <w:noProof/>
                <w:sz w:val="24"/>
              </w:rPr>
              <w:t>5.2. Finanšu un nefinanšu aktīvu pārdošana</w:t>
            </w:r>
            <w:r w:rsidR="00F5732C" w:rsidRPr="00B03B51">
              <w:rPr>
                <w:rFonts w:ascii="Times New Roman" w:hAnsi="Times New Roman" w:cs="Times New Roman"/>
                <w:b w:val="0"/>
                <w:bCs w:val="0"/>
                <w:noProof/>
                <w:webHidden/>
                <w:sz w:val="24"/>
              </w:rPr>
              <w:tab/>
            </w:r>
            <w:r w:rsidR="00F5732C" w:rsidRPr="00B03B51">
              <w:rPr>
                <w:rFonts w:ascii="Times New Roman" w:hAnsi="Times New Roman" w:cs="Times New Roman"/>
                <w:b w:val="0"/>
                <w:bCs w:val="0"/>
                <w:noProof/>
                <w:webHidden/>
                <w:sz w:val="24"/>
              </w:rPr>
              <w:fldChar w:fldCharType="begin"/>
            </w:r>
            <w:r w:rsidR="00F5732C" w:rsidRPr="00B03B51">
              <w:rPr>
                <w:rFonts w:ascii="Times New Roman" w:hAnsi="Times New Roman" w:cs="Times New Roman"/>
                <w:b w:val="0"/>
                <w:bCs w:val="0"/>
                <w:noProof/>
                <w:webHidden/>
                <w:sz w:val="24"/>
              </w:rPr>
              <w:instrText xml:space="preserve"> PAGEREF _Toc67565146 \h </w:instrText>
            </w:r>
            <w:r w:rsidR="00F5732C" w:rsidRPr="00B03B51">
              <w:rPr>
                <w:rFonts w:ascii="Times New Roman" w:hAnsi="Times New Roman" w:cs="Times New Roman"/>
                <w:b w:val="0"/>
                <w:bCs w:val="0"/>
                <w:noProof/>
                <w:webHidden/>
                <w:sz w:val="24"/>
              </w:rPr>
            </w:r>
            <w:r w:rsidR="00F5732C" w:rsidRPr="00B03B51">
              <w:rPr>
                <w:rFonts w:ascii="Times New Roman" w:hAnsi="Times New Roman" w:cs="Times New Roman"/>
                <w:b w:val="0"/>
                <w:bCs w:val="0"/>
                <w:noProof/>
                <w:webHidden/>
                <w:sz w:val="24"/>
              </w:rPr>
              <w:fldChar w:fldCharType="separate"/>
            </w:r>
            <w:r w:rsidR="006D0460">
              <w:rPr>
                <w:rFonts w:ascii="Times New Roman" w:hAnsi="Times New Roman" w:cs="Times New Roman"/>
                <w:b w:val="0"/>
                <w:bCs w:val="0"/>
                <w:noProof/>
                <w:webHidden/>
                <w:sz w:val="24"/>
              </w:rPr>
              <w:t>275</w:t>
            </w:r>
            <w:r w:rsidR="00F5732C" w:rsidRPr="00B03B51">
              <w:rPr>
                <w:rFonts w:ascii="Times New Roman" w:hAnsi="Times New Roman" w:cs="Times New Roman"/>
                <w:b w:val="0"/>
                <w:bCs w:val="0"/>
                <w:noProof/>
                <w:webHidden/>
                <w:sz w:val="24"/>
              </w:rPr>
              <w:fldChar w:fldCharType="end"/>
            </w:r>
          </w:hyperlink>
        </w:p>
        <w:p w14:paraId="02391EFD" w14:textId="581B0C3F" w:rsidR="00F5732C" w:rsidRPr="00B03B51" w:rsidRDefault="00FC6AB7" w:rsidP="009605EA">
          <w:pPr>
            <w:pStyle w:val="TOC2"/>
            <w:tabs>
              <w:tab w:val="right" w:leader="dot" w:pos="9061"/>
            </w:tabs>
            <w:spacing w:before="0"/>
            <w:ind w:left="426"/>
            <w:rPr>
              <w:rFonts w:ascii="Times New Roman" w:eastAsiaTheme="minorEastAsia" w:hAnsi="Times New Roman" w:cs="Times New Roman"/>
              <w:b w:val="0"/>
              <w:bCs w:val="0"/>
              <w:noProof/>
              <w:sz w:val="24"/>
              <w:szCs w:val="22"/>
              <w:lang w:eastAsia="lv-LV"/>
            </w:rPr>
          </w:pPr>
          <w:hyperlink w:anchor="_Toc67565151" w:history="1">
            <w:r w:rsidR="00F5732C" w:rsidRPr="00B03B51">
              <w:rPr>
                <w:rStyle w:val="Hyperlink"/>
                <w:rFonts w:ascii="Times New Roman" w:hAnsi="Times New Roman" w:cs="Times New Roman"/>
                <w:b w:val="0"/>
                <w:bCs w:val="0"/>
                <w:noProof/>
                <w:sz w:val="24"/>
              </w:rPr>
              <w:t>5.3. Privatizācijas ieņēmumi no publiskām sabiedrībām</w:t>
            </w:r>
            <w:r w:rsidR="00F5732C" w:rsidRPr="00B03B51">
              <w:rPr>
                <w:rFonts w:ascii="Times New Roman" w:hAnsi="Times New Roman" w:cs="Times New Roman"/>
                <w:b w:val="0"/>
                <w:bCs w:val="0"/>
                <w:noProof/>
                <w:webHidden/>
                <w:sz w:val="24"/>
              </w:rPr>
              <w:tab/>
            </w:r>
            <w:r w:rsidR="00F5732C" w:rsidRPr="00B03B51">
              <w:rPr>
                <w:rFonts w:ascii="Times New Roman" w:hAnsi="Times New Roman" w:cs="Times New Roman"/>
                <w:b w:val="0"/>
                <w:bCs w:val="0"/>
                <w:noProof/>
                <w:webHidden/>
                <w:sz w:val="24"/>
              </w:rPr>
              <w:fldChar w:fldCharType="begin"/>
            </w:r>
            <w:r w:rsidR="00F5732C" w:rsidRPr="00B03B51">
              <w:rPr>
                <w:rFonts w:ascii="Times New Roman" w:hAnsi="Times New Roman" w:cs="Times New Roman"/>
                <w:b w:val="0"/>
                <w:bCs w:val="0"/>
                <w:noProof/>
                <w:webHidden/>
                <w:sz w:val="24"/>
              </w:rPr>
              <w:instrText xml:space="preserve"> PAGEREF _Toc67565151 \h </w:instrText>
            </w:r>
            <w:r w:rsidR="00F5732C" w:rsidRPr="00B03B51">
              <w:rPr>
                <w:rFonts w:ascii="Times New Roman" w:hAnsi="Times New Roman" w:cs="Times New Roman"/>
                <w:b w:val="0"/>
                <w:bCs w:val="0"/>
                <w:noProof/>
                <w:webHidden/>
                <w:sz w:val="24"/>
              </w:rPr>
            </w:r>
            <w:r w:rsidR="00F5732C" w:rsidRPr="00B03B51">
              <w:rPr>
                <w:rFonts w:ascii="Times New Roman" w:hAnsi="Times New Roman" w:cs="Times New Roman"/>
                <w:b w:val="0"/>
                <w:bCs w:val="0"/>
                <w:noProof/>
                <w:webHidden/>
                <w:sz w:val="24"/>
              </w:rPr>
              <w:fldChar w:fldCharType="separate"/>
            </w:r>
            <w:r w:rsidR="006D0460">
              <w:rPr>
                <w:rFonts w:ascii="Times New Roman" w:hAnsi="Times New Roman" w:cs="Times New Roman"/>
                <w:b w:val="0"/>
                <w:bCs w:val="0"/>
                <w:noProof/>
                <w:webHidden/>
                <w:sz w:val="24"/>
              </w:rPr>
              <w:t>281</w:t>
            </w:r>
            <w:r w:rsidR="00F5732C" w:rsidRPr="00B03B51">
              <w:rPr>
                <w:rFonts w:ascii="Times New Roman" w:hAnsi="Times New Roman" w:cs="Times New Roman"/>
                <w:b w:val="0"/>
                <w:bCs w:val="0"/>
                <w:noProof/>
                <w:webHidden/>
                <w:sz w:val="24"/>
              </w:rPr>
              <w:fldChar w:fldCharType="end"/>
            </w:r>
          </w:hyperlink>
        </w:p>
        <w:p w14:paraId="5AABCCAA" w14:textId="5DD3F705" w:rsidR="00F5732C" w:rsidRPr="00B03B51" w:rsidRDefault="00FC6AB7" w:rsidP="009605EA">
          <w:pPr>
            <w:pStyle w:val="TOC2"/>
            <w:tabs>
              <w:tab w:val="right" w:leader="dot" w:pos="9061"/>
            </w:tabs>
            <w:spacing w:before="0"/>
            <w:ind w:left="426"/>
            <w:rPr>
              <w:rFonts w:ascii="Times New Roman" w:eastAsiaTheme="minorEastAsia" w:hAnsi="Times New Roman" w:cs="Times New Roman"/>
              <w:b w:val="0"/>
              <w:bCs w:val="0"/>
              <w:noProof/>
              <w:sz w:val="24"/>
              <w:szCs w:val="22"/>
              <w:lang w:eastAsia="lv-LV"/>
            </w:rPr>
          </w:pPr>
          <w:hyperlink w:anchor="_Toc67565155" w:history="1">
            <w:r w:rsidR="00F5732C" w:rsidRPr="00B03B51">
              <w:rPr>
                <w:rStyle w:val="Hyperlink"/>
                <w:rFonts w:ascii="Times New Roman" w:hAnsi="Times New Roman" w:cs="Times New Roman"/>
                <w:b w:val="0"/>
                <w:bCs w:val="0"/>
                <w:noProof/>
                <w:sz w:val="24"/>
              </w:rPr>
              <w:t>5.4. Privatizācijas sertifikātu restitūcija un izmantošana</w:t>
            </w:r>
            <w:r w:rsidR="00F5732C" w:rsidRPr="00B03B51">
              <w:rPr>
                <w:rFonts w:ascii="Times New Roman" w:hAnsi="Times New Roman" w:cs="Times New Roman"/>
                <w:b w:val="0"/>
                <w:bCs w:val="0"/>
                <w:noProof/>
                <w:webHidden/>
                <w:sz w:val="24"/>
              </w:rPr>
              <w:tab/>
            </w:r>
            <w:r w:rsidR="00F5732C" w:rsidRPr="00B03B51">
              <w:rPr>
                <w:rFonts w:ascii="Times New Roman" w:hAnsi="Times New Roman" w:cs="Times New Roman"/>
                <w:b w:val="0"/>
                <w:bCs w:val="0"/>
                <w:noProof/>
                <w:webHidden/>
                <w:sz w:val="24"/>
              </w:rPr>
              <w:fldChar w:fldCharType="begin"/>
            </w:r>
            <w:r w:rsidR="00F5732C" w:rsidRPr="00B03B51">
              <w:rPr>
                <w:rFonts w:ascii="Times New Roman" w:hAnsi="Times New Roman" w:cs="Times New Roman"/>
                <w:b w:val="0"/>
                <w:bCs w:val="0"/>
                <w:noProof/>
                <w:webHidden/>
                <w:sz w:val="24"/>
              </w:rPr>
              <w:instrText xml:space="preserve"> PAGEREF _Toc67565155 \h </w:instrText>
            </w:r>
            <w:r w:rsidR="00F5732C" w:rsidRPr="00B03B51">
              <w:rPr>
                <w:rFonts w:ascii="Times New Roman" w:hAnsi="Times New Roman" w:cs="Times New Roman"/>
                <w:b w:val="0"/>
                <w:bCs w:val="0"/>
                <w:noProof/>
                <w:webHidden/>
                <w:sz w:val="24"/>
              </w:rPr>
            </w:r>
            <w:r w:rsidR="00F5732C" w:rsidRPr="00B03B51">
              <w:rPr>
                <w:rFonts w:ascii="Times New Roman" w:hAnsi="Times New Roman" w:cs="Times New Roman"/>
                <w:b w:val="0"/>
                <w:bCs w:val="0"/>
                <w:noProof/>
                <w:webHidden/>
                <w:sz w:val="24"/>
              </w:rPr>
              <w:fldChar w:fldCharType="separate"/>
            </w:r>
            <w:r w:rsidR="006D0460">
              <w:rPr>
                <w:rFonts w:ascii="Times New Roman" w:hAnsi="Times New Roman" w:cs="Times New Roman"/>
                <w:b w:val="0"/>
                <w:bCs w:val="0"/>
                <w:noProof/>
                <w:webHidden/>
                <w:sz w:val="24"/>
              </w:rPr>
              <w:t>284</w:t>
            </w:r>
            <w:r w:rsidR="00F5732C" w:rsidRPr="00B03B51">
              <w:rPr>
                <w:rFonts w:ascii="Times New Roman" w:hAnsi="Times New Roman" w:cs="Times New Roman"/>
                <w:b w:val="0"/>
                <w:bCs w:val="0"/>
                <w:noProof/>
                <w:webHidden/>
                <w:sz w:val="24"/>
              </w:rPr>
              <w:fldChar w:fldCharType="end"/>
            </w:r>
          </w:hyperlink>
        </w:p>
        <w:p w14:paraId="46A54B5D" w14:textId="68EA3C4B" w:rsidR="00F5732C" w:rsidRPr="00B03B51" w:rsidRDefault="00FC6AB7" w:rsidP="009605EA">
          <w:pPr>
            <w:pStyle w:val="TOC2"/>
            <w:tabs>
              <w:tab w:val="right" w:leader="dot" w:pos="9061"/>
            </w:tabs>
            <w:spacing w:before="0"/>
            <w:ind w:left="426"/>
            <w:rPr>
              <w:rFonts w:ascii="Times New Roman" w:eastAsiaTheme="minorEastAsia" w:hAnsi="Times New Roman" w:cs="Times New Roman"/>
              <w:b w:val="0"/>
              <w:bCs w:val="0"/>
              <w:noProof/>
              <w:sz w:val="24"/>
              <w:szCs w:val="22"/>
              <w:lang w:eastAsia="lv-LV"/>
            </w:rPr>
          </w:pPr>
          <w:hyperlink w:anchor="_Toc67565160" w:history="1">
            <w:r w:rsidR="00F5732C" w:rsidRPr="00B03B51">
              <w:rPr>
                <w:rStyle w:val="Hyperlink"/>
                <w:rFonts w:ascii="Times New Roman" w:hAnsi="Times New Roman" w:cs="Times New Roman"/>
                <w:b w:val="0"/>
                <w:bCs w:val="0"/>
                <w:noProof/>
                <w:sz w:val="24"/>
              </w:rPr>
              <w:t>5.5. Vispārējās valdības veiktās vērtspapīrošanas operācijas</w:t>
            </w:r>
            <w:r w:rsidR="00F5732C" w:rsidRPr="00B03B51">
              <w:rPr>
                <w:rFonts w:ascii="Times New Roman" w:hAnsi="Times New Roman" w:cs="Times New Roman"/>
                <w:b w:val="0"/>
                <w:bCs w:val="0"/>
                <w:noProof/>
                <w:webHidden/>
                <w:sz w:val="24"/>
              </w:rPr>
              <w:tab/>
            </w:r>
            <w:r w:rsidR="00F5732C" w:rsidRPr="00B03B51">
              <w:rPr>
                <w:rFonts w:ascii="Times New Roman" w:hAnsi="Times New Roman" w:cs="Times New Roman"/>
                <w:b w:val="0"/>
                <w:bCs w:val="0"/>
                <w:noProof/>
                <w:webHidden/>
                <w:sz w:val="24"/>
              </w:rPr>
              <w:fldChar w:fldCharType="begin"/>
            </w:r>
            <w:r w:rsidR="00F5732C" w:rsidRPr="00B03B51">
              <w:rPr>
                <w:rFonts w:ascii="Times New Roman" w:hAnsi="Times New Roman" w:cs="Times New Roman"/>
                <w:b w:val="0"/>
                <w:bCs w:val="0"/>
                <w:noProof/>
                <w:webHidden/>
                <w:sz w:val="24"/>
              </w:rPr>
              <w:instrText xml:space="preserve"> PAGEREF _Toc67565160 \h </w:instrText>
            </w:r>
            <w:r w:rsidR="00F5732C" w:rsidRPr="00B03B51">
              <w:rPr>
                <w:rFonts w:ascii="Times New Roman" w:hAnsi="Times New Roman" w:cs="Times New Roman"/>
                <w:b w:val="0"/>
                <w:bCs w:val="0"/>
                <w:noProof/>
                <w:webHidden/>
                <w:sz w:val="24"/>
              </w:rPr>
            </w:r>
            <w:r w:rsidR="00F5732C" w:rsidRPr="00B03B51">
              <w:rPr>
                <w:rFonts w:ascii="Times New Roman" w:hAnsi="Times New Roman" w:cs="Times New Roman"/>
                <w:b w:val="0"/>
                <w:bCs w:val="0"/>
                <w:noProof/>
                <w:webHidden/>
                <w:sz w:val="24"/>
              </w:rPr>
              <w:fldChar w:fldCharType="separate"/>
            </w:r>
            <w:r w:rsidR="006D0460">
              <w:rPr>
                <w:rFonts w:ascii="Times New Roman" w:hAnsi="Times New Roman" w:cs="Times New Roman"/>
                <w:b w:val="0"/>
                <w:bCs w:val="0"/>
                <w:noProof/>
                <w:webHidden/>
                <w:sz w:val="24"/>
              </w:rPr>
              <w:t>292</w:t>
            </w:r>
            <w:r w:rsidR="00F5732C" w:rsidRPr="00B03B51">
              <w:rPr>
                <w:rFonts w:ascii="Times New Roman" w:hAnsi="Times New Roman" w:cs="Times New Roman"/>
                <w:b w:val="0"/>
                <w:bCs w:val="0"/>
                <w:noProof/>
                <w:webHidden/>
                <w:sz w:val="24"/>
              </w:rPr>
              <w:fldChar w:fldCharType="end"/>
            </w:r>
          </w:hyperlink>
        </w:p>
        <w:p w14:paraId="55A84839" w14:textId="18EB2F1B" w:rsidR="00F5732C" w:rsidRPr="00B03B51" w:rsidRDefault="00FC6AB7" w:rsidP="009605EA">
          <w:pPr>
            <w:pStyle w:val="TOC2"/>
            <w:tabs>
              <w:tab w:val="right" w:leader="dot" w:pos="9061"/>
            </w:tabs>
            <w:spacing w:before="0"/>
            <w:ind w:left="426"/>
            <w:rPr>
              <w:rFonts w:ascii="Times New Roman" w:eastAsiaTheme="minorEastAsia" w:hAnsi="Times New Roman" w:cs="Times New Roman"/>
              <w:b w:val="0"/>
              <w:bCs w:val="0"/>
              <w:noProof/>
              <w:sz w:val="24"/>
              <w:szCs w:val="22"/>
              <w:lang w:eastAsia="lv-LV"/>
            </w:rPr>
          </w:pPr>
          <w:hyperlink w:anchor="_Toc67565166" w:history="1">
            <w:r w:rsidR="00F5732C" w:rsidRPr="00B03B51">
              <w:rPr>
                <w:rStyle w:val="Hyperlink"/>
                <w:rFonts w:ascii="Times New Roman" w:hAnsi="Times New Roman" w:cs="Times New Roman"/>
                <w:b w:val="0"/>
                <w:bCs w:val="0"/>
                <w:noProof/>
                <w:sz w:val="24"/>
              </w:rPr>
              <w:t>5.6. Zemas procentu likmes aizdevumi un valdības zemas procentu likmes aizdevumu pārdošana trešām personām</w:t>
            </w:r>
            <w:r w:rsidR="00F5732C" w:rsidRPr="00B03B51">
              <w:rPr>
                <w:rFonts w:ascii="Times New Roman" w:hAnsi="Times New Roman" w:cs="Times New Roman"/>
                <w:b w:val="0"/>
                <w:bCs w:val="0"/>
                <w:noProof/>
                <w:webHidden/>
                <w:sz w:val="24"/>
              </w:rPr>
              <w:tab/>
            </w:r>
            <w:r w:rsidR="00F5732C" w:rsidRPr="00B03B51">
              <w:rPr>
                <w:rFonts w:ascii="Times New Roman" w:hAnsi="Times New Roman" w:cs="Times New Roman"/>
                <w:b w:val="0"/>
                <w:bCs w:val="0"/>
                <w:noProof/>
                <w:webHidden/>
                <w:sz w:val="24"/>
              </w:rPr>
              <w:fldChar w:fldCharType="begin"/>
            </w:r>
            <w:r w:rsidR="00F5732C" w:rsidRPr="00B03B51">
              <w:rPr>
                <w:rFonts w:ascii="Times New Roman" w:hAnsi="Times New Roman" w:cs="Times New Roman"/>
                <w:b w:val="0"/>
                <w:bCs w:val="0"/>
                <w:noProof/>
                <w:webHidden/>
                <w:sz w:val="24"/>
              </w:rPr>
              <w:instrText xml:space="preserve"> PAGEREF _Toc67565166 \h </w:instrText>
            </w:r>
            <w:r w:rsidR="00F5732C" w:rsidRPr="00B03B51">
              <w:rPr>
                <w:rFonts w:ascii="Times New Roman" w:hAnsi="Times New Roman" w:cs="Times New Roman"/>
                <w:b w:val="0"/>
                <w:bCs w:val="0"/>
                <w:noProof/>
                <w:webHidden/>
                <w:sz w:val="24"/>
              </w:rPr>
            </w:r>
            <w:r w:rsidR="00F5732C" w:rsidRPr="00B03B51">
              <w:rPr>
                <w:rFonts w:ascii="Times New Roman" w:hAnsi="Times New Roman" w:cs="Times New Roman"/>
                <w:b w:val="0"/>
                <w:bCs w:val="0"/>
                <w:noProof/>
                <w:webHidden/>
                <w:sz w:val="24"/>
              </w:rPr>
              <w:fldChar w:fldCharType="separate"/>
            </w:r>
            <w:r w:rsidR="006D0460">
              <w:rPr>
                <w:rFonts w:ascii="Times New Roman" w:hAnsi="Times New Roman" w:cs="Times New Roman"/>
                <w:b w:val="0"/>
                <w:bCs w:val="0"/>
                <w:noProof/>
                <w:webHidden/>
                <w:sz w:val="24"/>
              </w:rPr>
              <w:t>313</w:t>
            </w:r>
            <w:r w:rsidR="00F5732C" w:rsidRPr="00B03B51">
              <w:rPr>
                <w:rFonts w:ascii="Times New Roman" w:hAnsi="Times New Roman" w:cs="Times New Roman"/>
                <w:b w:val="0"/>
                <w:bCs w:val="0"/>
                <w:noProof/>
                <w:webHidden/>
                <w:sz w:val="24"/>
              </w:rPr>
              <w:fldChar w:fldCharType="end"/>
            </w:r>
          </w:hyperlink>
        </w:p>
        <w:p w14:paraId="2D7CFABE" w14:textId="3204339F" w:rsidR="00F5732C" w:rsidRPr="00B03B51" w:rsidRDefault="00FC6AB7" w:rsidP="009605EA">
          <w:pPr>
            <w:pStyle w:val="TOC2"/>
            <w:tabs>
              <w:tab w:val="right" w:leader="dot" w:pos="9061"/>
            </w:tabs>
            <w:spacing w:before="0"/>
            <w:ind w:left="426"/>
            <w:rPr>
              <w:rFonts w:ascii="Times New Roman" w:eastAsiaTheme="minorEastAsia" w:hAnsi="Times New Roman" w:cs="Times New Roman"/>
              <w:b w:val="0"/>
              <w:bCs w:val="0"/>
              <w:noProof/>
              <w:sz w:val="24"/>
              <w:szCs w:val="22"/>
              <w:lang w:eastAsia="lv-LV"/>
            </w:rPr>
          </w:pPr>
          <w:hyperlink w:anchor="_Toc67565170" w:history="1">
            <w:r w:rsidR="00F5732C" w:rsidRPr="00B03B51">
              <w:rPr>
                <w:rStyle w:val="Hyperlink"/>
                <w:rFonts w:ascii="Times New Roman" w:hAnsi="Times New Roman" w:cs="Times New Roman"/>
                <w:b w:val="0"/>
                <w:bCs w:val="0"/>
                <w:noProof/>
                <w:sz w:val="24"/>
              </w:rPr>
              <w:t>5.7. Atslēgvārdi un atsauces</w:t>
            </w:r>
            <w:r w:rsidR="00F5732C" w:rsidRPr="00B03B51">
              <w:rPr>
                <w:rFonts w:ascii="Times New Roman" w:hAnsi="Times New Roman" w:cs="Times New Roman"/>
                <w:b w:val="0"/>
                <w:bCs w:val="0"/>
                <w:noProof/>
                <w:webHidden/>
                <w:sz w:val="24"/>
              </w:rPr>
              <w:tab/>
            </w:r>
            <w:r w:rsidR="00F5732C" w:rsidRPr="00B03B51">
              <w:rPr>
                <w:rFonts w:ascii="Times New Roman" w:hAnsi="Times New Roman" w:cs="Times New Roman"/>
                <w:b w:val="0"/>
                <w:bCs w:val="0"/>
                <w:noProof/>
                <w:webHidden/>
                <w:sz w:val="24"/>
              </w:rPr>
              <w:fldChar w:fldCharType="begin"/>
            </w:r>
            <w:r w:rsidR="00F5732C" w:rsidRPr="00B03B51">
              <w:rPr>
                <w:rFonts w:ascii="Times New Roman" w:hAnsi="Times New Roman" w:cs="Times New Roman"/>
                <w:b w:val="0"/>
                <w:bCs w:val="0"/>
                <w:noProof/>
                <w:webHidden/>
                <w:sz w:val="24"/>
              </w:rPr>
              <w:instrText xml:space="preserve"> PAGEREF _Toc67565170 \h </w:instrText>
            </w:r>
            <w:r w:rsidR="00F5732C" w:rsidRPr="00B03B51">
              <w:rPr>
                <w:rFonts w:ascii="Times New Roman" w:hAnsi="Times New Roman" w:cs="Times New Roman"/>
                <w:b w:val="0"/>
                <w:bCs w:val="0"/>
                <w:noProof/>
                <w:webHidden/>
                <w:sz w:val="24"/>
              </w:rPr>
            </w:r>
            <w:r w:rsidR="00F5732C" w:rsidRPr="00B03B51">
              <w:rPr>
                <w:rFonts w:ascii="Times New Roman" w:hAnsi="Times New Roman" w:cs="Times New Roman"/>
                <w:b w:val="0"/>
                <w:bCs w:val="0"/>
                <w:noProof/>
                <w:webHidden/>
                <w:sz w:val="24"/>
              </w:rPr>
              <w:fldChar w:fldCharType="separate"/>
            </w:r>
            <w:r w:rsidR="006D0460">
              <w:rPr>
                <w:rFonts w:ascii="Times New Roman" w:hAnsi="Times New Roman" w:cs="Times New Roman"/>
                <w:b w:val="0"/>
                <w:bCs w:val="0"/>
                <w:noProof/>
                <w:webHidden/>
                <w:sz w:val="24"/>
              </w:rPr>
              <w:t>315</w:t>
            </w:r>
            <w:r w:rsidR="00F5732C" w:rsidRPr="00B03B51">
              <w:rPr>
                <w:rFonts w:ascii="Times New Roman" w:hAnsi="Times New Roman" w:cs="Times New Roman"/>
                <w:b w:val="0"/>
                <w:bCs w:val="0"/>
                <w:noProof/>
                <w:webHidden/>
                <w:sz w:val="24"/>
              </w:rPr>
              <w:fldChar w:fldCharType="end"/>
            </w:r>
          </w:hyperlink>
        </w:p>
        <w:p w14:paraId="2EAC0FE2" w14:textId="52AAE58D" w:rsidR="00F5732C" w:rsidRPr="00B03B51" w:rsidRDefault="00FC6AB7" w:rsidP="00662E0A">
          <w:pPr>
            <w:pStyle w:val="TOC1"/>
            <w:tabs>
              <w:tab w:val="right" w:leader="dot" w:pos="9061"/>
            </w:tabs>
            <w:spacing w:before="0"/>
            <w:ind w:left="0" w:firstLine="0"/>
            <w:rPr>
              <w:rFonts w:ascii="Times New Roman" w:eastAsiaTheme="minorEastAsia" w:hAnsi="Times New Roman" w:cs="Times New Roman"/>
              <w:noProof/>
              <w:sz w:val="24"/>
              <w:lang w:eastAsia="lv-LV"/>
            </w:rPr>
          </w:pPr>
          <w:hyperlink w:anchor="_Toc67565171" w:history="1">
            <w:r w:rsidR="00F5732C" w:rsidRPr="00B03B51">
              <w:rPr>
                <w:rStyle w:val="Hyperlink"/>
                <w:rFonts w:ascii="Times New Roman" w:hAnsi="Times New Roman" w:cs="Times New Roman"/>
                <w:noProof/>
                <w:sz w:val="24"/>
              </w:rPr>
              <w:t>6. Noma, koncesijas un PPP</w:t>
            </w:r>
            <w:r w:rsidR="00F5732C" w:rsidRPr="00B03B51">
              <w:rPr>
                <w:rFonts w:ascii="Times New Roman" w:hAnsi="Times New Roman" w:cs="Times New Roman"/>
                <w:noProof/>
                <w:webHidden/>
                <w:sz w:val="24"/>
              </w:rPr>
              <w:tab/>
            </w:r>
            <w:r w:rsidR="00F5732C" w:rsidRPr="00B03B51">
              <w:rPr>
                <w:rFonts w:ascii="Times New Roman" w:hAnsi="Times New Roman" w:cs="Times New Roman"/>
                <w:noProof/>
                <w:webHidden/>
                <w:sz w:val="24"/>
              </w:rPr>
              <w:fldChar w:fldCharType="begin"/>
            </w:r>
            <w:r w:rsidR="00F5732C" w:rsidRPr="00B03B51">
              <w:rPr>
                <w:rFonts w:ascii="Times New Roman" w:hAnsi="Times New Roman" w:cs="Times New Roman"/>
                <w:noProof/>
                <w:webHidden/>
                <w:sz w:val="24"/>
              </w:rPr>
              <w:instrText xml:space="preserve"> PAGEREF _Toc67565171 \h </w:instrText>
            </w:r>
            <w:r w:rsidR="00F5732C" w:rsidRPr="00B03B51">
              <w:rPr>
                <w:rFonts w:ascii="Times New Roman" w:hAnsi="Times New Roman" w:cs="Times New Roman"/>
                <w:noProof/>
                <w:webHidden/>
                <w:sz w:val="24"/>
              </w:rPr>
            </w:r>
            <w:r w:rsidR="00F5732C" w:rsidRPr="00B03B51">
              <w:rPr>
                <w:rFonts w:ascii="Times New Roman" w:hAnsi="Times New Roman" w:cs="Times New Roman"/>
                <w:noProof/>
                <w:webHidden/>
                <w:sz w:val="24"/>
              </w:rPr>
              <w:fldChar w:fldCharType="separate"/>
            </w:r>
            <w:r w:rsidR="006D0460">
              <w:rPr>
                <w:rFonts w:ascii="Times New Roman" w:hAnsi="Times New Roman" w:cs="Times New Roman"/>
                <w:noProof/>
                <w:webHidden/>
                <w:sz w:val="24"/>
              </w:rPr>
              <w:t>316</w:t>
            </w:r>
            <w:r w:rsidR="00F5732C" w:rsidRPr="00B03B51">
              <w:rPr>
                <w:rFonts w:ascii="Times New Roman" w:hAnsi="Times New Roman" w:cs="Times New Roman"/>
                <w:noProof/>
                <w:webHidden/>
                <w:sz w:val="24"/>
              </w:rPr>
              <w:fldChar w:fldCharType="end"/>
            </w:r>
          </w:hyperlink>
        </w:p>
        <w:p w14:paraId="19EA282C" w14:textId="7101E6CF" w:rsidR="00F5732C" w:rsidRPr="00B03B51" w:rsidRDefault="00FC6AB7" w:rsidP="009605EA">
          <w:pPr>
            <w:pStyle w:val="TOC2"/>
            <w:tabs>
              <w:tab w:val="right" w:leader="dot" w:pos="9061"/>
            </w:tabs>
            <w:spacing w:before="0"/>
            <w:ind w:left="426"/>
            <w:rPr>
              <w:rFonts w:ascii="Times New Roman" w:eastAsiaTheme="minorEastAsia" w:hAnsi="Times New Roman" w:cs="Times New Roman"/>
              <w:b w:val="0"/>
              <w:bCs w:val="0"/>
              <w:noProof/>
              <w:sz w:val="24"/>
              <w:szCs w:val="22"/>
              <w:lang w:eastAsia="lv-LV"/>
            </w:rPr>
          </w:pPr>
          <w:hyperlink w:anchor="_Toc67565172" w:history="1">
            <w:r w:rsidR="00F5732C" w:rsidRPr="00B03B51">
              <w:rPr>
                <w:rStyle w:val="Hyperlink"/>
                <w:rFonts w:ascii="Times New Roman" w:hAnsi="Times New Roman" w:cs="Times New Roman"/>
                <w:b w:val="0"/>
                <w:bCs w:val="0"/>
                <w:noProof/>
                <w:sz w:val="24"/>
              </w:rPr>
              <w:t>6.1. Pārskats</w:t>
            </w:r>
            <w:r w:rsidR="00F5732C" w:rsidRPr="00B03B51">
              <w:rPr>
                <w:rFonts w:ascii="Times New Roman" w:hAnsi="Times New Roman" w:cs="Times New Roman"/>
                <w:b w:val="0"/>
                <w:bCs w:val="0"/>
                <w:noProof/>
                <w:webHidden/>
                <w:sz w:val="24"/>
              </w:rPr>
              <w:tab/>
            </w:r>
            <w:r w:rsidR="00F5732C" w:rsidRPr="00B03B51">
              <w:rPr>
                <w:rFonts w:ascii="Times New Roman" w:hAnsi="Times New Roman" w:cs="Times New Roman"/>
                <w:b w:val="0"/>
                <w:bCs w:val="0"/>
                <w:noProof/>
                <w:webHidden/>
                <w:sz w:val="24"/>
              </w:rPr>
              <w:fldChar w:fldCharType="begin"/>
            </w:r>
            <w:r w:rsidR="00F5732C" w:rsidRPr="00B03B51">
              <w:rPr>
                <w:rFonts w:ascii="Times New Roman" w:hAnsi="Times New Roman" w:cs="Times New Roman"/>
                <w:b w:val="0"/>
                <w:bCs w:val="0"/>
                <w:noProof/>
                <w:webHidden/>
                <w:sz w:val="24"/>
              </w:rPr>
              <w:instrText xml:space="preserve"> PAGEREF _Toc67565172 \h </w:instrText>
            </w:r>
            <w:r w:rsidR="00F5732C" w:rsidRPr="00B03B51">
              <w:rPr>
                <w:rFonts w:ascii="Times New Roman" w:hAnsi="Times New Roman" w:cs="Times New Roman"/>
                <w:b w:val="0"/>
                <w:bCs w:val="0"/>
                <w:noProof/>
                <w:webHidden/>
                <w:sz w:val="24"/>
              </w:rPr>
            </w:r>
            <w:r w:rsidR="00F5732C" w:rsidRPr="00B03B51">
              <w:rPr>
                <w:rFonts w:ascii="Times New Roman" w:hAnsi="Times New Roman" w:cs="Times New Roman"/>
                <w:b w:val="0"/>
                <w:bCs w:val="0"/>
                <w:noProof/>
                <w:webHidden/>
                <w:sz w:val="24"/>
              </w:rPr>
              <w:fldChar w:fldCharType="separate"/>
            </w:r>
            <w:r w:rsidR="006D0460">
              <w:rPr>
                <w:rFonts w:ascii="Times New Roman" w:hAnsi="Times New Roman" w:cs="Times New Roman"/>
                <w:b w:val="0"/>
                <w:bCs w:val="0"/>
                <w:noProof/>
                <w:webHidden/>
                <w:sz w:val="24"/>
              </w:rPr>
              <w:t>316</w:t>
            </w:r>
            <w:r w:rsidR="00F5732C" w:rsidRPr="00B03B51">
              <w:rPr>
                <w:rFonts w:ascii="Times New Roman" w:hAnsi="Times New Roman" w:cs="Times New Roman"/>
                <w:b w:val="0"/>
                <w:bCs w:val="0"/>
                <w:noProof/>
                <w:webHidden/>
                <w:sz w:val="24"/>
              </w:rPr>
              <w:fldChar w:fldCharType="end"/>
            </w:r>
          </w:hyperlink>
        </w:p>
        <w:p w14:paraId="07D003E3" w14:textId="3B0A5766" w:rsidR="00F5732C" w:rsidRPr="00B03B51" w:rsidRDefault="00FC6AB7" w:rsidP="009605EA">
          <w:pPr>
            <w:pStyle w:val="TOC2"/>
            <w:tabs>
              <w:tab w:val="right" w:leader="dot" w:pos="9061"/>
            </w:tabs>
            <w:spacing w:before="0"/>
            <w:ind w:left="426"/>
            <w:rPr>
              <w:rFonts w:ascii="Times New Roman" w:eastAsiaTheme="minorEastAsia" w:hAnsi="Times New Roman" w:cs="Times New Roman"/>
              <w:b w:val="0"/>
              <w:bCs w:val="0"/>
              <w:noProof/>
              <w:sz w:val="24"/>
              <w:szCs w:val="22"/>
              <w:lang w:eastAsia="lv-LV"/>
            </w:rPr>
          </w:pPr>
          <w:hyperlink w:anchor="_Toc67565178" w:history="1">
            <w:r w:rsidR="00F5732C" w:rsidRPr="00B03B51">
              <w:rPr>
                <w:rStyle w:val="Hyperlink"/>
                <w:rFonts w:ascii="Times New Roman" w:hAnsi="Times New Roman" w:cs="Times New Roman"/>
                <w:b w:val="0"/>
                <w:bCs w:val="0"/>
                <w:noProof/>
                <w:sz w:val="24"/>
              </w:rPr>
              <w:t>6.2. Pārdošana ar saņemšanu atpakaļ nomā</w:t>
            </w:r>
            <w:r w:rsidR="00F5732C" w:rsidRPr="00B03B51">
              <w:rPr>
                <w:rFonts w:ascii="Times New Roman" w:hAnsi="Times New Roman" w:cs="Times New Roman"/>
                <w:b w:val="0"/>
                <w:bCs w:val="0"/>
                <w:noProof/>
                <w:webHidden/>
                <w:sz w:val="24"/>
              </w:rPr>
              <w:tab/>
            </w:r>
            <w:r w:rsidR="00F5732C" w:rsidRPr="00B03B51">
              <w:rPr>
                <w:rFonts w:ascii="Times New Roman" w:hAnsi="Times New Roman" w:cs="Times New Roman"/>
                <w:b w:val="0"/>
                <w:bCs w:val="0"/>
                <w:noProof/>
                <w:webHidden/>
                <w:sz w:val="24"/>
              </w:rPr>
              <w:fldChar w:fldCharType="begin"/>
            </w:r>
            <w:r w:rsidR="00F5732C" w:rsidRPr="00B03B51">
              <w:rPr>
                <w:rFonts w:ascii="Times New Roman" w:hAnsi="Times New Roman" w:cs="Times New Roman"/>
                <w:b w:val="0"/>
                <w:bCs w:val="0"/>
                <w:noProof/>
                <w:webHidden/>
                <w:sz w:val="24"/>
              </w:rPr>
              <w:instrText xml:space="preserve"> PAGEREF _Toc67565178 \h </w:instrText>
            </w:r>
            <w:r w:rsidR="00F5732C" w:rsidRPr="00B03B51">
              <w:rPr>
                <w:rFonts w:ascii="Times New Roman" w:hAnsi="Times New Roman" w:cs="Times New Roman"/>
                <w:b w:val="0"/>
                <w:bCs w:val="0"/>
                <w:noProof/>
                <w:webHidden/>
                <w:sz w:val="24"/>
              </w:rPr>
            </w:r>
            <w:r w:rsidR="00F5732C" w:rsidRPr="00B03B51">
              <w:rPr>
                <w:rFonts w:ascii="Times New Roman" w:hAnsi="Times New Roman" w:cs="Times New Roman"/>
                <w:b w:val="0"/>
                <w:bCs w:val="0"/>
                <w:noProof/>
                <w:webHidden/>
                <w:sz w:val="24"/>
              </w:rPr>
              <w:fldChar w:fldCharType="separate"/>
            </w:r>
            <w:r w:rsidR="006D0460">
              <w:rPr>
                <w:rFonts w:ascii="Times New Roman" w:hAnsi="Times New Roman" w:cs="Times New Roman"/>
                <w:b w:val="0"/>
                <w:bCs w:val="0"/>
                <w:noProof/>
                <w:webHidden/>
                <w:sz w:val="24"/>
              </w:rPr>
              <w:t>329</w:t>
            </w:r>
            <w:r w:rsidR="00F5732C" w:rsidRPr="00B03B51">
              <w:rPr>
                <w:rFonts w:ascii="Times New Roman" w:hAnsi="Times New Roman" w:cs="Times New Roman"/>
                <w:b w:val="0"/>
                <w:bCs w:val="0"/>
                <w:noProof/>
                <w:webHidden/>
                <w:sz w:val="24"/>
              </w:rPr>
              <w:fldChar w:fldCharType="end"/>
            </w:r>
          </w:hyperlink>
        </w:p>
        <w:p w14:paraId="76D8D5B3" w14:textId="069C1993" w:rsidR="00F5732C" w:rsidRPr="00B03B51" w:rsidRDefault="00FC6AB7" w:rsidP="009605EA">
          <w:pPr>
            <w:pStyle w:val="TOC2"/>
            <w:tabs>
              <w:tab w:val="right" w:leader="dot" w:pos="9061"/>
            </w:tabs>
            <w:spacing w:before="0"/>
            <w:ind w:left="426"/>
            <w:rPr>
              <w:rFonts w:ascii="Times New Roman" w:eastAsiaTheme="minorEastAsia" w:hAnsi="Times New Roman" w:cs="Times New Roman"/>
              <w:b w:val="0"/>
              <w:bCs w:val="0"/>
              <w:noProof/>
              <w:sz w:val="24"/>
              <w:szCs w:val="22"/>
              <w:lang w:eastAsia="lv-LV"/>
            </w:rPr>
          </w:pPr>
          <w:hyperlink w:anchor="_Toc67565181" w:history="1">
            <w:r w:rsidR="00F5732C" w:rsidRPr="00B03B51">
              <w:rPr>
                <w:rStyle w:val="Hyperlink"/>
                <w:rFonts w:ascii="Times New Roman" w:hAnsi="Times New Roman" w:cs="Times New Roman"/>
                <w:b w:val="0"/>
                <w:bCs w:val="0"/>
                <w:noProof/>
                <w:sz w:val="24"/>
              </w:rPr>
              <w:t>6.3. Līgumi ar valdības sektoram nepiederošām vienībām saistībā ar pamatlīdzekļiem</w:t>
            </w:r>
            <w:r w:rsidR="00F5732C" w:rsidRPr="00B03B51">
              <w:rPr>
                <w:rFonts w:ascii="Times New Roman" w:hAnsi="Times New Roman" w:cs="Times New Roman"/>
                <w:b w:val="0"/>
                <w:bCs w:val="0"/>
                <w:noProof/>
                <w:webHidden/>
                <w:sz w:val="24"/>
              </w:rPr>
              <w:tab/>
            </w:r>
            <w:r w:rsidR="00F5732C" w:rsidRPr="00B03B51">
              <w:rPr>
                <w:rFonts w:ascii="Times New Roman" w:hAnsi="Times New Roman" w:cs="Times New Roman"/>
                <w:b w:val="0"/>
                <w:bCs w:val="0"/>
                <w:noProof/>
                <w:webHidden/>
                <w:sz w:val="24"/>
              </w:rPr>
              <w:fldChar w:fldCharType="begin"/>
            </w:r>
            <w:r w:rsidR="00F5732C" w:rsidRPr="00B03B51">
              <w:rPr>
                <w:rFonts w:ascii="Times New Roman" w:hAnsi="Times New Roman" w:cs="Times New Roman"/>
                <w:b w:val="0"/>
                <w:bCs w:val="0"/>
                <w:noProof/>
                <w:webHidden/>
                <w:sz w:val="24"/>
              </w:rPr>
              <w:instrText xml:space="preserve"> PAGEREF _Toc67565181 \h </w:instrText>
            </w:r>
            <w:r w:rsidR="00F5732C" w:rsidRPr="00B03B51">
              <w:rPr>
                <w:rFonts w:ascii="Times New Roman" w:hAnsi="Times New Roman" w:cs="Times New Roman"/>
                <w:b w:val="0"/>
                <w:bCs w:val="0"/>
                <w:noProof/>
                <w:webHidden/>
                <w:sz w:val="24"/>
              </w:rPr>
            </w:r>
            <w:r w:rsidR="00F5732C" w:rsidRPr="00B03B51">
              <w:rPr>
                <w:rFonts w:ascii="Times New Roman" w:hAnsi="Times New Roman" w:cs="Times New Roman"/>
                <w:b w:val="0"/>
                <w:bCs w:val="0"/>
                <w:noProof/>
                <w:webHidden/>
                <w:sz w:val="24"/>
              </w:rPr>
              <w:fldChar w:fldCharType="separate"/>
            </w:r>
            <w:r w:rsidR="006D0460">
              <w:rPr>
                <w:rFonts w:ascii="Times New Roman" w:hAnsi="Times New Roman" w:cs="Times New Roman"/>
                <w:b w:val="0"/>
                <w:bCs w:val="0"/>
                <w:noProof/>
                <w:webHidden/>
                <w:sz w:val="24"/>
              </w:rPr>
              <w:t>337</w:t>
            </w:r>
            <w:r w:rsidR="00F5732C" w:rsidRPr="00B03B51">
              <w:rPr>
                <w:rFonts w:ascii="Times New Roman" w:hAnsi="Times New Roman" w:cs="Times New Roman"/>
                <w:b w:val="0"/>
                <w:bCs w:val="0"/>
                <w:noProof/>
                <w:webHidden/>
                <w:sz w:val="24"/>
              </w:rPr>
              <w:fldChar w:fldCharType="end"/>
            </w:r>
          </w:hyperlink>
        </w:p>
        <w:p w14:paraId="73830C23" w14:textId="3694A395" w:rsidR="00F5732C" w:rsidRPr="00B03B51" w:rsidRDefault="00FC6AB7" w:rsidP="009605EA">
          <w:pPr>
            <w:pStyle w:val="TOC2"/>
            <w:tabs>
              <w:tab w:val="right" w:leader="dot" w:pos="9061"/>
            </w:tabs>
            <w:spacing w:before="0"/>
            <w:ind w:left="426"/>
            <w:rPr>
              <w:rFonts w:ascii="Times New Roman" w:eastAsiaTheme="minorEastAsia" w:hAnsi="Times New Roman" w:cs="Times New Roman"/>
              <w:b w:val="0"/>
              <w:bCs w:val="0"/>
              <w:noProof/>
              <w:sz w:val="24"/>
              <w:szCs w:val="22"/>
              <w:lang w:eastAsia="lv-LV"/>
            </w:rPr>
          </w:pPr>
          <w:hyperlink w:anchor="_Toc67565184" w:history="1">
            <w:r w:rsidR="00F5732C" w:rsidRPr="00B03B51">
              <w:rPr>
                <w:rStyle w:val="Hyperlink"/>
                <w:rFonts w:ascii="Times New Roman" w:hAnsi="Times New Roman" w:cs="Times New Roman"/>
                <w:b w:val="0"/>
                <w:bCs w:val="0"/>
                <w:noProof/>
                <w:sz w:val="24"/>
              </w:rPr>
              <w:t>6.4. Publiskā un privātā partnerība (PPP)</w:t>
            </w:r>
            <w:r w:rsidR="00F5732C" w:rsidRPr="00B03B51">
              <w:rPr>
                <w:rFonts w:ascii="Times New Roman" w:hAnsi="Times New Roman" w:cs="Times New Roman"/>
                <w:b w:val="0"/>
                <w:bCs w:val="0"/>
                <w:noProof/>
                <w:webHidden/>
                <w:sz w:val="24"/>
              </w:rPr>
              <w:tab/>
            </w:r>
            <w:r w:rsidR="00F5732C" w:rsidRPr="00B03B51">
              <w:rPr>
                <w:rFonts w:ascii="Times New Roman" w:hAnsi="Times New Roman" w:cs="Times New Roman"/>
                <w:b w:val="0"/>
                <w:bCs w:val="0"/>
                <w:noProof/>
                <w:webHidden/>
                <w:sz w:val="24"/>
              </w:rPr>
              <w:fldChar w:fldCharType="begin"/>
            </w:r>
            <w:r w:rsidR="00F5732C" w:rsidRPr="00B03B51">
              <w:rPr>
                <w:rFonts w:ascii="Times New Roman" w:hAnsi="Times New Roman" w:cs="Times New Roman"/>
                <w:b w:val="0"/>
                <w:bCs w:val="0"/>
                <w:noProof/>
                <w:webHidden/>
                <w:sz w:val="24"/>
              </w:rPr>
              <w:instrText xml:space="preserve"> PAGEREF _Toc67565184 \h </w:instrText>
            </w:r>
            <w:r w:rsidR="00F5732C" w:rsidRPr="00B03B51">
              <w:rPr>
                <w:rFonts w:ascii="Times New Roman" w:hAnsi="Times New Roman" w:cs="Times New Roman"/>
                <w:b w:val="0"/>
                <w:bCs w:val="0"/>
                <w:noProof/>
                <w:webHidden/>
                <w:sz w:val="24"/>
              </w:rPr>
            </w:r>
            <w:r w:rsidR="00F5732C" w:rsidRPr="00B03B51">
              <w:rPr>
                <w:rFonts w:ascii="Times New Roman" w:hAnsi="Times New Roman" w:cs="Times New Roman"/>
                <w:b w:val="0"/>
                <w:bCs w:val="0"/>
                <w:noProof/>
                <w:webHidden/>
                <w:sz w:val="24"/>
              </w:rPr>
              <w:fldChar w:fldCharType="separate"/>
            </w:r>
            <w:r w:rsidR="006D0460">
              <w:rPr>
                <w:rFonts w:ascii="Times New Roman" w:hAnsi="Times New Roman" w:cs="Times New Roman"/>
                <w:b w:val="0"/>
                <w:bCs w:val="0"/>
                <w:noProof/>
                <w:webHidden/>
                <w:sz w:val="24"/>
              </w:rPr>
              <w:t>348</w:t>
            </w:r>
            <w:r w:rsidR="00F5732C" w:rsidRPr="00B03B51">
              <w:rPr>
                <w:rFonts w:ascii="Times New Roman" w:hAnsi="Times New Roman" w:cs="Times New Roman"/>
                <w:b w:val="0"/>
                <w:bCs w:val="0"/>
                <w:noProof/>
                <w:webHidden/>
                <w:sz w:val="24"/>
              </w:rPr>
              <w:fldChar w:fldCharType="end"/>
            </w:r>
          </w:hyperlink>
        </w:p>
        <w:p w14:paraId="7036D88D" w14:textId="1BF8A7B8" w:rsidR="00F5732C" w:rsidRPr="00B03B51" w:rsidRDefault="00FC6AB7" w:rsidP="009605EA">
          <w:pPr>
            <w:pStyle w:val="TOC2"/>
            <w:tabs>
              <w:tab w:val="right" w:leader="dot" w:pos="9061"/>
            </w:tabs>
            <w:spacing w:before="0"/>
            <w:ind w:left="426"/>
            <w:rPr>
              <w:rFonts w:ascii="Times New Roman" w:eastAsiaTheme="minorEastAsia" w:hAnsi="Times New Roman" w:cs="Times New Roman"/>
              <w:b w:val="0"/>
              <w:bCs w:val="0"/>
              <w:noProof/>
              <w:sz w:val="24"/>
              <w:szCs w:val="22"/>
              <w:lang w:eastAsia="lv-LV"/>
            </w:rPr>
          </w:pPr>
          <w:hyperlink w:anchor="_Toc67565189" w:history="1">
            <w:r w:rsidR="00F5732C" w:rsidRPr="00B03B51">
              <w:rPr>
                <w:rStyle w:val="Hyperlink"/>
                <w:rFonts w:ascii="Times New Roman" w:hAnsi="Times New Roman" w:cs="Times New Roman"/>
                <w:b w:val="0"/>
                <w:bCs w:val="0"/>
                <w:noProof/>
                <w:sz w:val="24"/>
              </w:rPr>
              <w:t>6.5. Emisij</w:t>
            </w:r>
            <w:r w:rsidR="004C6B9C">
              <w:rPr>
                <w:rStyle w:val="Hyperlink"/>
                <w:rFonts w:ascii="Times New Roman" w:hAnsi="Times New Roman" w:cs="Times New Roman"/>
                <w:b w:val="0"/>
                <w:bCs w:val="0"/>
                <w:noProof/>
                <w:sz w:val="24"/>
              </w:rPr>
              <w:t>u</w:t>
            </w:r>
            <w:r w:rsidR="00F5732C" w:rsidRPr="00B03B51">
              <w:rPr>
                <w:rStyle w:val="Hyperlink"/>
                <w:rFonts w:ascii="Times New Roman" w:hAnsi="Times New Roman" w:cs="Times New Roman"/>
                <w:b w:val="0"/>
                <w:bCs w:val="0"/>
                <w:noProof/>
                <w:sz w:val="24"/>
              </w:rPr>
              <w:t xml:space="preserve"> </w:t>
            </w:r>
            <w:r w:rsidR="004C6B9C">
              <w:rPr>
                <w:rStyle w:val="Hyperlink"/>
                <w:rFonts w:ascii="Times New Roman" w:hAnsi="Times New Roman" w:cs="Times New Roman"/>
                <w:b w:val="0"/>
                <w:bCs w:val="0"/>
                <w:noProof/>
                <w:sz w:val="24"/>
              </w:rPr>
              <w:t xml:space="preserve">kvotu </w:t>
            </w:r>
            <w:r w:rsidR="00F5732C" w:rsidRPr="00B03B51">
              <w:rPr>
                <w:rStyle w:val="Hyperlink"/>
                <w:rFonts w:ascii="Times New Roman" w:hAnsi="Times New Roman" w:cs="Times New Roman"/>
                <w:b w:val="0"/>
                <w:bCs w:val="0"/>
                <w:noProof/>
                <w:sz w:val="24"/>
              </w:rPr>
              <w:t>tirdzniecība</w:t>
            </w:r>
            <w:r w:rsidR="00F5732C" w:rsidRPr="00B03B51">
              <w:rPr>
                <w:rFonts w:ascii="Times New Roman" w:hAnsi="Times New Roman" w:cs="Times New Roman"/>
                <w:b w:val="0"/>
                <w:bCs w:val="0"/>
                <w:noProof/>
                <w:webHidden/>
                <w:sz w:val="24"/>
              </w:rPr>
              <w:tab/>
            </w:r>
            <w:r w:rsidR="00F5732C" w:rsidRPr="00B03B51">
              <w:rPr>
                <w:rFonts w:ascii="Times New Roman" w:hAnsi="Times New Roman" w:cs="Times New Roman"/>
                <w:b w:val="0"/>
                <w:bCs w:val="0"/>
                <w:noProof/>
                <w:webHidden/>
                <w:sz w:val="24"/>
              </w:rPr>
              <w:fldChar w:fldCharType="begin"/>
            </w:r>
            <w:r w:rsidR="00F5732C" w:rsidRPr="00B03B51">
              <w:rPr>
                <w:rFonts w:ascii="Times New Roman" w:hAnsi="Times New Roman" w:cs="Times New Roman"/>
                <w:b w:val="0"/>
                <w:bCs w:val="0"/>
                <w:noProof/>
                <w:webHidden/>
                <w:sz w:val="24"/>
              </w:rPr>
              <w:instrText xml:space="preserve"> PAGEREF _Toc67565189 \h </w:instrText>
            </w:r>
            <w:r w:rsidR="00F5732C" w:rsidRPr="00B03B51">
              <w:rPr>
                <w:rFonts w:ascii="Times New Roman" w:hAnsi="Times New Roman" w:cs="Times New Roman"/>
                <w:b w:val="0"/>
                <w:bCs w:val="0"/>
                <w:noProof/>
                <w:webHidden/>
                <w:sz w:val="24"/>
              </w:rPr>
            </w:r>
            <w:r w:rsidR="00F5732C" w:rsidRPr="00B03B51">
              <w:rPr>
                <w:rFonts w:ascii="Times New Roman" w:hAnsi="Times New Roman" w:cs="Times New Roman"/>
                <w:b w:val="0"/>
                <w:bCs w:val="0"/>
                <w:noProof/>
                <w:webHidden/>
                <w:sz w:val="24"/>
              </w:rPr>
              <w:fldChar w:fldCharType="separate"/>
            </w:r>
            <w:r w:rsidR="006D0460">
              <w:rPr>
                <w:rFonts w:ascii="Times New Roman" w:hAnsi="Times New Roman" w:cs="Times New Roman"/>
                <w:b w:val="0"/>
                <w:bCs w:val="0"/>
                <w:noProof/>
                <w:webHidden/>
                <w:sz w:val="24"/>
              </w:rPr>
              <w:t>371</w:t>
            </w:r>
            <w:r w:rsidR="00F5732C" w:rsidRPr="00B03B51">
              <w:rPr>
                <w:rFonts w:ascii="Times New Roman" w:hAnsi="Times New Roman" w:cs="Times New Roman"/>
                <w:b w:val="0"/>
                <w:bCs w:val="0"/>
                <w:noProof/>
                <w:webHidden/>
                <w:sz w:val="24"/>
              </w:rPr>
              <w:fldChar w:fldCharType="end"/>
            </w:r>
          </w:hyperlink>
        </w:p>
        <w:p w14:paraId="3DFD650B" w14:textId="66EED257" w:rsidR="00F5732C" w:rsidRPr="00B03B51" w:rsidRDefault="00FC6AB7" w:rsidP="009605EA">
          <w:pPr>
            <w:pStyle w:val="TOC2"/>
            <w:tabs>
              <w:tab w:val="right" w:leader="dot" w:pos="9061"/>
            </w:tabs>
            <w:spacing w:before="0"/>
            <w:ind w:left="426"/>
            <w:rPr>
              <w:rFonts w:ascii="Times New Roman" w:eastAsiaTheme="minorEastAsia" w:hAnsi="Times New Roman" w:cs="Times New Roman"/>
              <w:b w:val="0"/>
              <w:bCs w:val="0"/>
              <w:noProof/>
              <w:sz w:val="24"/>
              <w:szCs w:val="22"/>
              <w:lang w:eastAsia="lv-LV"/>
            </w:rPr>
          </w:pPr>
          <w:hyperlink w:anchor="_Toc67565194" w:history="1">
            <w:r w:rsidR="00F5732C" w:rsidRPr="00B03B51">
              <w:rPr>
                <w:rStyle w:val="Hyperlink"/>
                <w:rFonts w:ascii="Times New Roman" w:hAnsi="Times New Roman" w:cs="Times New Roman"/>
                <w:b w:val="0"/>
                <w:bCs w:val="0"/>
                <w:noProof/>
                <w:sz w:val="24"/>
              </w:rPr>
              <w:t>6.6. Atslēgvārdi un atsauces</w:t>
            </w:r>
            <w:r w:rsidR="00F5732C" w:rsidRPr="00B03B51">
              <w:rPr>
                <w:rFonts w:ascii="Times New Roman" w:hAnsi="Times New Roman" w:cs="Times New Roman"/>
                <w:b w:val="0"/>
                <w:bCs w:val="0"/>
                <w:noProof/>
                <w:webHidden/>
                <w:sz w:val="24"/>
              </w:rPr>
              <w:tab/>
            </w:r>
            <w:r w:rsidR="00F5732C" w:rsidRPr="00B03B51">
              <w:rPr>
                <w:rFonts w:ascii="Times New Roman" w:hAnsi="Times New Roman" w:cs="Times New Roman"/>
                <w:b w:val="0"/>
                <w:bCs w:val="0"/>
                <w:noProof/>
                <w:webHidden/>
                <w:sz w:val="24"/>
              </w:rPr>
              <w:fldChar w:fldCharType="begin"/>
            </w:r>
            <w:r w:rsidR="00F5732C" w:rsidRPr="00B03B51">
              <w:rPr>
                <w:rFonts w:ascii="Times New Roman" w:hAnsi="Times New Roman" w:cs="Times New Roman"/>
                <w:b w:val="0"/>
                <w:bCs w:val="0"/>
                <w:noProof/>
                <w:webHidden/>
                <w:sz w:val="24"/>
              </w:rPr>
              <w:instrText xml:space="preserve"> PAGEREF _Toc67565194 \h </w:instrText>
            </w:r>
            <w:r w:rsidR="00F5732C" w:rsidRPr="00B03B51">
              <w:rPr>
                <w:rFonts w:ascii="Times New Roman" w:hAnsi="Times New Roman" w:cs="Times New Roman"/>
                <w:b w:val="0"/>
                <w:bCs w:val="0"/>
                <w:noProof/>
                <w:webHidden/>
                <w:sz w:val="24"/>
              </w:rPr>
            </w:r>
            <w:r w:rsidR="00F5732C" w:rsidRPr="00B03B51">
              <w:rPr>
                <w:rFonts w:ascii="Times New Roman" w:hAnsi="Times New Roman" w:cs="Times New Roman"/>
                <w:b w:val="0"/>
                <w:bCs w:val="0"/>
                <w:noProof/>
                <w:webHidden/>
                <w:sz w:val="24"/>
              </w:rPr>
              <w:fldChar w:fldCharType="separate"/>
            </w:r>
            <w:r w:rsidR="006D0460">
              <w:rPr>
                <w:rFonts w:ascii="Times New Roman" w:hAnsi="Times New Roman" w:cs="Times New Roman"/>
                <w:b w:val="0"/>
                <w:bCs w:val="0"/>
                <w:noProof/>
                <w:webHidden/>
                <w:sz w:val="24"/>
              </w:rPr>
              <w:t>379</w:t>
            </w:r>
            <w:r w:rsidR="00F5732C" w:rsidRPr="00B03B51">
              <w:rPr>
                <w:rFonts w:ascii="Times New Roman" w:hAnsi="Times New Roman" w:cs="Times New Roman"/>
                <w:b w:val="0"/>
                <w:bCs w:val="0"/>
                <w:noProof/>
                <w:webHidden/>
                <w:sz w:val="24"/>
              </w:rPr>
              <w:fldChar w:fldCharType="end"/>
            </w:r>
          </w:hyperlink>
        </w:p>
        <w:p w14:paraId="3D1A2479" w14:textId="1EFA5B1A" w:rsidR="00F5732C" w:rsidRPr="00B03B51" w:rsidRDefault="00FC6AB7" w:rsidP="00662E0A">
          <w:pPr>
            <w:pStyle w:val="TOC1"/>
            <w:tabs>
              <w:tab w:val="right" w:leader="dot" w:pos="9061"/>
            </w:tabs>
            <w:spacing w:before="0"/>
            <w:ind w:left="0" w:firstLine="0"/>
            <w:rPr>
              <w:rFonts w:ascii="Times New Roman" w:eastAsiaTheme="minorEastAsia" w:hAnsi="Times New Roman" w:cs="Times New Roman"/>
              <w:noProof/>
              <w:sz w:val="24"/>
              <w:lang w:eastAsia="lv-LV"/>
            </w:rPr>
          </w:pPr>
          <w:hyperlink w:anchor="_Toc67565195" w:history="1">
            <w:r w:rsidR="00F5732C" w:rsidRPr="00B03B51">
              <w:rPr>
                <w:rStyle w:val="Hyperlink"/>
                <w:rFonts w:ascii="Times New Roman" w:hAnsi="Times New Roman" w:cs="Times New Roman"/>
                <w:noProof/>
                <w:sz w:val="24"/>
              </w:rPr>
              <w:t>7. Ar parādu saistītie darījumi un garantijas</w:t>
            </w:r>
            <w:r w:rsidR="00F5732C" w:rsidRPr="00B03B51">
              <w:rPr>
                <w:rFonts w:ascii="Times New Roman" w:hAnsi="Times New Roman" w:cs="Times New Roman"/>
                <w:noProof/>
                <w:webHidden/>
                <w:sz w:val="24"/>
              </w:rPr>
              <w:tab/>
            </w:r>
            <w:r w:rsidR="00F5732C" w:rsidRPr="00B03B51">
              <w:rPr>
                <w:rFonts w:ascii="Times New Roman" w:hAnsi="Times New Roman" w:cs="Times New Roman"/>
                <w:noProof/>
                <w:webHidden/>
                <w:sz w:val="24"/>
              </w:rPr>
              <w:fldChar w:fldCharType="begin"/>
            </w:r>
            <w:r w:rsidR="00F5732C" w:rsidRPr="00B03B51">
              <w:rPr>
                <w:rFonts w:ascii="Times New Roman" w:hAnsi="Times New Roman" w:cs="Times New Roman"/>
                <w:noProof/>
                <w:webHidden/>
                <w:sz w:val="24"/>
              </w:rPr>
              <w:instrText xml:space="preserve"> PAGEREF _Toc67565195 \h </w:instrText>
            </w:r>
            <w:r w:rsidR="00F5732C" w:rsidRPr="00B03B51">
              <w:rPr>
                <w:rFonts w:ascii="Times New Roman" w:hAnsi="Times New Roman" w:cs="Times New Roman"/>
                <w:noProof/>
                <w:webHidden/>
                <w:sz w:val="24"/>
              </w:rPr>
            </w:r>
            <w:r w:rsidR="00F5732C" w:rsidRPr="00B03B51">
              <w:rPr>
                <w:rFonts w:ascii="Times New Roman" w:hAnsi="Times New Roman" w:cs="Times New Roman"/>
                <w:noProof/>
                <w:webHidden/>
                <w:sz w:val="24"/>
              </w:rPr>
              <w:fldChar w:fldCharType="separate"/>
            </w:r>
            <w:r w:rsidR="006D0460">
              <w:rPr>
                <w:rFonts w:ascii="Times New Roman" w:hAnsi="Times New Roman" w:cs="Times New Roman"/>
                <w:noProof/>
                <w:webHidden/>
                <w:sz w:val="24"/>
              </w:rPr>
              <w:t>380</w:t>
            </w:r>
            <w:r w:rsidR="00F5732C" w:rsidRPr="00B03B51">
              <w:rPr>
                <w:rFonts w:ascii="Times New Roman" w:hAnsi="Times New Roman" w:cs="Times New Roman"/>
                <w:noProof/>
                <w:webHidden/>
                <w:sz w:val="24"/>
              </w:rPr>
              <w:fldChar w:fldCharType="end"/>
            </w:r>
          </w:hyperlink>
        </w:p>
        <w:p w14:paraId="2EF608C1" w14:textId="750EC8D1" w:rsidR="00F5732C" w:rsidRPr="00B03B51" w:rsidRDefault="00FC6AB7" w:rsidP="009605EA">
          <w:pPr>
            <w:pStyle w:val="TOC2"/>
            <w:tabs>
              <w:tab w:val="right" w:leader="dot" w:pos="9061"/>
            </w:tabs>
            <w:spacing w:before="0"/>
            <w:ind w:left="426"/>
            <w:rPr>
              <w:rFonts w:ascii="Times New Roman" w:eastAsiaTheme="minorEastAsia" w:hAnsi="Times New Roman" w:cs="Times New Roman"/>
              <w:b w:val="0"/>
              <w:bCs w:val="0"/>
              <w:noProof/>
              <w:sz w:val="24"/>
              <w:szCs w:val="22"/>
              <w:lang w:eastAsia="lv-LV"/>
            </w:rPr>
          </w:pPr>
          <w:hyperlink w:anchor="_Toc67565196" w:history="1">
            <w:r w:rsidR="00F5732C" w:rsidRPr="00B03B51">
              <w:rPr>
                <w:rStyle w:val="Hyperlink"/>
                <w:rFonts w:ascii="Times New Roman" w:hAnsi="Times New Roman" w:cs="Times New Roman"/>
                <w:b w:val="0"/>
                <w:bCs w:val="0"/>
                <w:noProof/>
                <w:sz w:val="24"/>
              </w:rPr>
              <w:t>7.1. Pārskats</w:t>
            </w:r>
            <w:r w:rsidR="00F5732C" w:rsidRPr="00B03B51">
              <w:rPr>
                <w:rFonts w:ascii="Times New Roman" w:hAnsi="Times New Roman" w:cs="Times New Roman"/>
                <w:b w:val="0"/>
                <w:bCs w:val="0"/>
                <w:noProof/>
                <w:webHidden/>
                <w:sz w:val="24"/>
              </w:rPr>
              <w:tab/>
            </w:r>
            <w:r w:rsidR="00F5732C" w:rsidRPr="00B03B51">
              <w:rPr>
                <w:rFonts w:ascii="Times New Roman" w:hAnsi="Times New Roman" w:cs="Times New Roman"/>
                <w:b w:val="0"/>
                <w:bCs w:val="0"/>
                <w:noProof/>
                <w:webHidden/>
                <w:sz w:val="24"/>
              </w:rPr>
              <w:fldChar w:fldCharType="begin"/>
            </w:r>
            <w:r w:rsidR="00F5732C" w:rsidRPr="00B03B51">
              <w:rPr>
                <w:rFonts w:ascii="Times New Roman" w:hAnsi="Times New Roman" w:cs="Times New Roman"/>
                <w:b w:val="0"/>
                <w:bCs w:val="0"/>
                <w:noProof/>
                <w:webHidden/>
                <w:sz w:val="24"/>
              </w:rPr>
              <w:instrText xml:space="preserve"> PAGEREF _Toc67565196 \h </w:instrText>
            </w:r>
            <w:r w:rsidR="00F5732C" w:rsidRPr="00B03B51">
              <w:rPr>
                <w:rFonts w:ascii="Times New Roman" w:hAnsi="Times New Roman" w:cs="Times New Roman"/>
                <w:b w:val="0"/>
                <w:bCs w:val="0"/>
                <w:noProof/>
                <w:webHidden/>
                <w:sz w:val="24"/>
              </w:rPr>
            </w:r>
            <w:r w:rsidR="00F5732C" w:rsidRPr="00B03B51">
              <w:rPr>
                <w:rFonts w:ascii="Times New Roman" w:hAnsi="Times New Roman" w:cs="Times New Roman"/>
                <w:b w:val="0"/>
                <w:bCs w:val="0"/>
                <w:noProof/>
                <w:webHidden/>
                <w:sz w:val="24"/>
              </w:rPr>
              <w:fldChar w:fldCharType="separate"/>
            </w:r>
            <w:r w:rsidR="006D0460">
              <w:rPr>
                <w:rFonts w:ascii="Times New Roman" w:hAnsi="Times New Roman" w:cs="Times New Roman"/>
                <w:b w:val="0"/>
                <w:bCs w:val="0"/>
                <w:noProof/>
                <w:webHidden/>
                <w:sz w:val="24"/>
              </w:rPr>
              <w:t>380</w:t>
            </w:r>
            <w:r w:rsidR="00F5732C" w:rsidRPr="00B03B51">
              <w:rPr>
                <w:rFonts w:ascii="Times New Roman" w:hAnsi="Times New Roman" w:cs="Times New Roman"/>
                <w:b w:val="0"/>
                <w:bCs w:val="0"/>
                <w:noProof/>
                <w:webHidden/>
                <w:sz w:val="24"/>
              </w:rPr>
              <w:fldChar w:fldCharType="end"/>
            </w:r>
          </w:hyperlink>
        </w:p>
        <w:p w14:paraId="2FBAA2F0" w14:textId="61DA6267" w:rsidR="00F5732C" w:rsidRPr="00B03B51" w:rsidRDefault="00FC6AB7" w:rsidP="009605EA">
          <w:pPr>
            <w:pStyle w:val="TOC2"/>
            <w:tabs>
              <w:tab w:val="right" w:leader="dot" w:pos="9061"/>
            </w:tabs>
            <w:spacing w:before="0"/>
            <w:ind w:left="426"/>
            <w:rPr>
              <w:rFonts w:ascii="Times New Roman" w:eastAsiaTheme="minorEastAsia" w:hAnsi="Times New Roman" w:cs="Times New Roman"/>
              <w:b w:val="0"/>
              <w:bCs w:val="0"/>
              <w:noProof/>
              <w:sz w:val="24"/>
              <w:szCs w:val="22"/>
              <w:lang w:eastAsia="lv-LV"/>
            </w:rPr>
          </w:pPr>
          <w:hyperlink w:anchor="_Toc67565197" w:history="1">
            <w:r w:rsidR="00F5732C" w:rsidRPr="00B03B51">
              <w:rPr>
                <w:rStyle w:val="Hyperlink"/>
                <w:rFonts w:ascii="Times New Roman" w:hAnsi="Times New Roman" w:cs="Times New Roman"/>
                <w:b w:val="0"/>
                <w:bCs w:val="0"/>
                <w:noProof/>
                <w:sz w:val="24"/>
              </w:rPr>
              <w:t>7.2. Parāda pārņemšana un parāda a</w:t>
            </w:r>
            <w:r>
              <w:rPr>
                <w:rStyle w:val="Hyperlink"/>
                <w:rFonts w:ascii="Times New Roman" w:hAnsi="Times New Roman" w:cs="Times New Roman"/>
                <w:b w:val="0"/>
                <w:bCs w:val="0"/>
                <w:noProof/>
                <w:sz w:val="24"/>
              </w:rPr>
              <w:t>nu</w:t>
            </w:r>
            <w:r w:rsidR="00F5732C" w:rsidRPr="00B03B51">
              <w:rPr>
                <w:rStyle w:val="Hyperlink"/>
                <w:rFonts w:ascii="Times New Roman" w:hAnsi="Times New Roman" w:cs="Times New Roman"/>
                <w:b w:val="0"/>
                <w:bCs w:val="0"/>
                <w:noProof/>
                <w:sz w:val="24"/>
              </w:rPr>
              <w:t>l</w:t>
            </w:r>
            <w:r>
              <w:rPr>
                <w:rStyle w:val="Hyperlink"/>
                <w:rFonts w:ascii="Times New Roman" w:hAnsi="Times New Roman" w:cs="Times New Roman"/>
                <w:b w:val="0"/>
                <w:bCs w:val="0"/>
                <w:noProof/>
                <w:sz w:val="24"/>
              </w:rPr>
              <w:t>ē</w:t>
            </w:r>
            <w:r w:rsidR="00F5732C" w:rsidRPr="00B03B51">
              <w:rPr>
                <w:rStyle w:val="Hyperlink"/>
                <w:rFonts w:ascii="Times New Roman" w:hAnsi="Times New Roman" w:cs="Times New Roman"/>
                <w:b w:val="0"/>
                <w:bCs w:val="0"/>
                <w:noProof/>
                <w:sz w:val="24"/>
              </w:rPr>
              <w:t>šana</w:t>
            </w:r>
            <w:r w:rsidR="00F5732C" w:rsidRPr="00B03B51">
              <w:rPr>
                <w:rFonts w:ascii="Times New Roman" w:hAnsi="Times New Roman" w:cs="Times New Roman"/>
                <w:b w:val="0"/>
                <w:bCs w:val="0"/>
                <w:noProof/>
                <w:webHidden/>
                <w:sz w:val="24"/>
              </w:rPr>
              <w:tab/>
            </w:r>
            <w:r w:rsidR="00F5732C" w:rsidRPr="00B03B51">
              <w:rPr>
                <w:rFonts w:ascii="Times New Roman" w:hAnsi="Times New Roman" w:cs="Times New Roman"/>
                <w:b w:val="0"/>
                <w:bCs w:val="0"/>
                <w:noProof/>
                <w:webHidden/>
                <w:sz w:val="24"/>
              </w:rPr>
              <w:fldChar w:fldCharType="begin"/>
            </w:r>
            <w:r w:rsidR="00F5732C" w:rsidRPr="00B03B51">
              <w:rPr>
                <w:rFonts w:ascii="Times New Roman" w:hAnsi="Times New Roman" w:cs="Times New Roman"/>
                <w:b w:val="0"/>
                <w:bCs w:val="0"/>
                <w:noProof/>
                <w:webHidden/>
                <w:sz w:val="24"/>
              </w:rPr>
              <w:instrText xml:space="preserve"> PAGEREF _Toc67565197 \h </w:instrText>
            </w:r>
            <w:r w:rsidR="00F5732C" w:rsidRPr="00B03B51">
              <w:rPr>
                <w:rFonts w:ascii="Times New Roman" w:hAnsi="Times New Roman" w:cs="Times New Roman"/>
                <w:b w:val="0"/>
                <w:bCs w:val="0"/>
                <w:noProof/>
                <w:webHidden/>
                <w:sz w:val="24"/>
              </w:rPr>
            </w:r>
            <w:r w:rsidR="00F5732C" w:rsidRPr="00B03B51">
              <w:rPr>
                <w:rFonts w:ascii="Times New Roman" w:hAnsi="Times New Roman" w:cs="Times New Roman"/>
                <w:b w:val="0"/>
                <w:bCs w:val="0"/>
                <w:noProof/>
                <w:webHidden/>
                <w:sz w:val="24"/>
              </w:rPr>
              <w:fldChar w:fldCharType="separate"/>
            </w:r>
            <w:r w:rsidR="006D0460">
              <w:rPr>
                <w:rFonts w:ascii="Times New Roman" w:hAnsi="Times New Roman" w:cs="Times New Roman"/>
                <w:b w:val="0"/>
                <w:bCs w:val="0"/>
                <w:noProof/>
                <w:webHidden/>
                <w:sz w:val="24"/>
              </w:rPr>
              <w:t>381</w:t>
            </w:r>
            <w:r w:rsidR="00F5732C" w:rsidRPr="00B03B51">
              <w:rPr>
                <w:rFonts w:ascii="Times New Roman" w:hAnsi="Times New Roman" w:cs="Times New Roman"/>
                <w:b w:val="0"/>
                <w:bCs w:val="0"/>
                <w:noProof/>
                <w:webHidden/>
                <w:sz w:val="24"/>
              </w:rPr>
              <w:fldChar w:fldCharType="end"/>
            </w:r>
          </w:hyperlink>
        </w:p>
        <w:p w14:paraId="420DC4A6" w14:textId="146BAFA9" w:rsidR="00F5732C" w:rsidRPr="00B03B51" w:rsidRDefault="00FC6AB7" w:rsidP="009605EA">
          <w:pPr>
            <w:pStyle w:val="TOC2"/>
            <w:tabs>
              <w:tab w:val="right" w:leader="dot" w:pos="9061"/>
            </w:tabs>
            <w:spacing w:before="0"/>
            <w:ind w:left="426"/>
            <w:rPr>
              <w:rFonts w:ascii="Times New Roman" w:eastAsiaTheme="minorEastAsia" w:hAnsi="Times New Roman" w:cs="Times New Roman"/>
              <w:b w:val="0"/>
              <w:bCs w:val="0"/>
              <w:noProof/>
              <w:sz w:val="24"/>
              <w:szCs w:val="22"/>
              <w:lang w:eastAsia="lv-LV"/>
            </w:rPr>
          </w:pPr>
          <w:hyperlink w:anchor="_Toc67565202" w:history="1">
            <w:r w:rsidR="00F5732C" w:rsidRPr="00B03B51">
              <w:rPr>
                <w:rStyle w:val="Hyperlink"/>
                <w:rFonts w:ascii="Times New Roman" w:hAnsi="Times New Roman" w:cs="Times New Roman"/>
                <w:b w:val="0"/>
                <w:bCs w:val="0"/>
                <w:noProof/>
                <w:sz w:val="24"/>
              </w:rPr>
              <w:t>7.3. Parāda atmaksas grafika pārskatīšana</w:t>
            </w:r>
            <w:r w:rsidR="00F5732C" w:rsidRPr="00B03B51">
              <w:rPr>
                <w:rFonts w:ascii="Times New Roman" w:hAnsi="Times New Roman" w:cs="Times New Roman"/>
                <w:b w:val="0"/>
                <w:bCs w:val="0"/>
                <w:noProof/>
                <w:webHidden/>
                <w:sz w:val="24"/>
              </w:rPr>
              <w:tab/>
            </w:r>
            <w:r w:rsidR="00F5732C" w:rsidRPr="00B03B51">
              <w:rPr>
                <w:rFonts w:ascii="Times New Roman" w:hAnsi="Times New Roman" w:cs="Times New Roman"/>
                <w:b w:val="0"/>
                <w:bCs w:val="0"/>
                <w:noProof/>
                <w:webHidden/>
                <w:sz w:val="24"/>
              </w:rPr>
              <w:fldChar w:fldCharType="begin"/>
            </w:r>
            <w:r w:rsidR="00F5732C" w:rsidRPr="00B03B51">
              <w:rPr>
                <w:rFonts w:ascii="Times New Roman" w:hAnsi="Times New Roman" w:cs="Times New Roman"/>
                <w:b w:val="0"/>
                <w:bCs w:val="0"/>
                <w:noProof/>
                <w:webHidden/>
                <w:sz w:val="24"/>
              </w:rPr>
              <w:instrText xml:space="preserve"> PAGEREF _Toc67565202 \h </w:instrText>
            </w:r>
            <w:r w:rsidR="00F5732C" w:rsidRPr="00B03B51">
              <w:rPr>
                <w:rFonts w:ascii="Times New Roman" w:hAnsi="Times New Roman" w:cs="Times New Roman"/>
                <w:b w:val="0"/>
                <w:bCs w:val="0"/>
                <w:noProof/>
                <w:webHidden/>
                <w:sz w:val="24"/>
              </w:rPr>
            </w:r>
            <w:r w:rsidR="00F5732C" w:rsidRPr="00B03B51">
              <w:rPr>
                <w:rFonts w:ascii="Times New Roman" w:hAnsi="Times New Roman" w:cs="Times New Roman"/>
                <w:b w:val="0"/>
                <w:bCs w:val="0"/>
                <w:noProof/>
                <w:webHidden/>
                <w:sz w:val="24"/>
              </w:rPr>
              <w:fldChar w:fldCharType="separate"/>
            </w:r>
            <w:r w:rsidR="006D0460">
              <w:rPr>
                <w:rFonts w:ascii="Times New Roman" w:hAnsi="Times New Roman" w:cs="Times New Roman"/>
                <w:b w:val="0"/>
                <w:bCs w:val="0"/>
                <w:noProof/>
                <w:webHidden/>
                <w:sz w:val="24"/>
              </w:rPr>
              <w:t>390</w:t>
            </w:r>
            <w:r w:rsidR="00F5732C" w:rsidRPr="00B03B51">
              <w:rPr>
                <w:rFonts w:ascii="Times New Roman" w:hAnsi="Times New Roman" w:cs="Times New Roman"/>
                <w:b w:val="0"/>
                <w:bCs w:val="0"/>
                <w:noProof/>
                <w:webHidden/>
                <w:sz w:val="24"/>
              </w:rPr>
              <w:fldChar w:fldCharType="end"/>
            </w:r>
          </w:hyperlink>
        </w:p>
        <w:p w14:paraId="5C57FB61" w14:textId="35AD93AE" w:rsidR="00F5732C" w:rsidRPr="00B03B51" w:rsidRDefault="00FC6AB7" w:rsidP="009605EA">
          <w:pPr>
            <w:pStyle w:val="TOC2"/>
            <w:tabs>
              <w:tab w:val="right" w:leader="dot" w:pos="9061"/>
            </w:tabs>
            <w:spacing w:before="0"/>
            <w:ind w:left="426"/>
            <w:rPr>
              <w:rFonts w:ascii="Times New Roman" w:eastAsiaTheme="minorEastAsia" w:hAnsi="Times New Roman" w:cs="Times New Roman"/>
              <w:b w:val="0"/>
              <w:bCs w:val="0"/>
              <w:noProof/>
              <w:sz w:val="24"/>
              <w:szCs w:val="22"/>
              <w:lang w:eastAsia="lv-LV"/>
            </w:rPr>
          </w:pPr>
          <w:hyperlink w:anchor="_Toc67565207" w:history="1">
            <w:r w:rsidR="00F5732C" w:rsidRPr="00B03B51">
              <w:rPr>
                <w:rStyle w:val="Hyperlink"/>
                <w:rFonts w:ascii="Times New Roman" w:hAnsi="Times New Roman" w:cs="Times New Roman"/>
                <w:b w:val="0"/>
                <w:bCs w:val="0"/>
                <w:noProof/>
                <w:sz w:val="24"/>
              </w:rPr>
              <w:t>7.4. Valdības galvojumi</w:t>
            </w:r>
            <w:r w:rsidR="00F5732C" w:rsidRPr="00B03B51">
              <w:rPr>
                <w:rFonts w:ascii="Times New Roman" w:hAnsi="Times New Roman" w:cs="Times New Roman"/>
                <w:b w:val="0"/>
                <w:bCs w:val="0"/>
                <w:noProof/>
                <w:webHidden/>
                <w:sz w:val="24"/>
              </w:rPr>
              <w:tab/>
            </w:r>
            <w:r w:rsidR="00F5732C" w:rsidRPr="00B03B51">
              <w:rPr>
                <w:rFonts w:ascii="Times New Roman" w:hAnsi="Times New Roman" w:cs="Times New Roman"/>
                <w:b w:val="0"/>
                <w:bCs w:val="0"/>
                <w:noProof/>
                <w:webHidden/>
                <w:sz w:val="24"/>
              </w:rPr>
              <w:fldChar w:fldCharType="begin"/>
            </w:r>
            <w:r w:rsidR="00F5732C" w:rsidRPr="00B03B51">
              <w:rPr>
                <w:rFonts w:ascii="Times New Roman" w:hAnsi="Times New Roman" w:cs="Times New Roman"/>
                <w:b w:val="0"/>
                <w:bCs w:val="0"/>
                <w:noProof/>
                <w:webHidden/>
                <w:sz w:val="24"/>
              </w:rPr>
              <w:instrText xml:space="preserve"> PAGEREF _Toc67565207 \h </w:instrText>
            </w:r>
            <w:r w:rsidR="00F5732C" w:rsidRPr="00B03B51">
              <w:rPr>
                <w:rFonts w:ascii="Times New Roman" w:hAnsi="Times New Roman" w:cs="Times New Roman"/>
                <w:b w:val="0"/>
                <w:bCs w:val="0"/>
                <w:noProof/>
                <w:webHidden/>
                <w:sz w:val="24"/>
              </w:rPr>
            </w:r>
            <w:r w:rsidR="00F5732C" w:rsidRPr="00B03B51">
              <w:rPr>
                <w:rFonts w:ascii="Times New Roman" w:hAnsi="Times New Roman" w:cs="Times New Roman"/>
                <w:b w:val="0"/>
                <w:bCs w:val="0"/>
                <w:noProof/>
                <w:webHidden/>
                <w:sz w:val="24"/>
              </w:rPr>
              <w:fldChar w:fldCharType="separate"/>
            </w:r>
            <w:r w:rsidR="006D0460">
              <w:rPr>
                <w:rFonts w:ascii="Times New Roman" w:hAnsi="Times New Roman" w:cs="Times New Roman"/>
                <w:b w:val="0"/>
                <w:bCs w:val="0"/>
                <w:noProof/>
                <w:webHidden/>
                <w:sz w:val="24"/>
              </w:rPr>
              <w:t>402</w:t>
            </w:r>
            <w:r w:rsidR="00F5732C" w:rsidRPr="00B03B51">
              <w:rPr>
                <w:rFonts w:ascii="Times New Roman" w:hAnsi="Times New Roman" w:cs="Times New Roman"/>
                <w:b w:val="0"/>
                <w:bCs w:val="0"/>
                <w:noProof/>
                <w:webHidden/>
                <w:sz w:val="24"/>
              </w:rPr>
              <w:fldChar w:fldCharType="end"/>
            </w:r>
          </w:hyperlink>
        </w:p>
        <w:p w14:paraId="4687C6A5" w14:textId="3683E728" w:rsidR="00F5732C" w:rsidRPr="00B03B51" w:rsidRDefault="00FC6AB7" w:rsidP="009605EA">
          <w:pPr>
            <w:pStyle w:val="TOC2"/>
            <w:tabs>
              <w:tab w:val="right" w:leader="dot" w:pos="9061"/>
            </w:tabs>
            <w:spacing w:before="0"/>
            <w:ind w:left="426"/>
            <w:rPr>
              <w:rFonts w:ascii="Times New Roman" w:eastAsiaTheme="minorEastAsia" w:hAnsi="Times New Roman" w:cs="Times New Roman"/>
              <w:b w:val="0"/>
              <w:bCs w:val="0"/>
              <w:noProof/>
              <w:sz w:val="24"/>
              <w:szCs w:val="22"/>
              <w:lang w:eastAsia="lv-LV"/>
            </w:rPr>
          </w:pPr>
          <w:hyperlink w:anchor="_Toc67565212" w:history="1">
            <w:r w:rsidR="00F5732C" w:rsidRPr="00B03B51">
              <w:rPr>
                <w:rStyle w:val="Hyperlink"/>
                <w:rFonts w:ascii="Times New Roman" w:hAnsi="Times New Roman" w:cs="Times New Roman"/>
                <w:b w:val="0"/>
                <w:bCs w:val="0"/>
                <w:noProof/>
                <w:sz w:val="24"/>
              </w:rPr>
              <w:t>7.5. Atslēgvārdi un atsauces</w:t>
            </w:r>
            <w:r w:rsidR="00F5732C" w:rsidRPr="00B03B51">
              <w:rPr>
                <w:rFonts w:ascii="Times New Roman" w:hAnsi="Times New Roman" w:cs="Times New Roman"/>
                <w:b w:val="0"/>
                <w:bCs w:val="0"/>
                <w:noProof/>
                <w:webHidden/>
                <w:sz w:val="24"/>
              </w:rPr>
              <w:tab/>
            </w:r>
            <w:r w:rsidR="00F5732C" w:rsidRPr="00B03B51">
              <w:rPr>
                <w:rFonts w:ascii="Times New Roman" w:hAnsi="Times New Roman" w:cs="Times New Roman"/>
                <w:b w:val="0"/>
                <w:bCs w:val="0"/>
                <w:noProof/>
                <w:webHidden/>
                <w:sz w:val="24"/>
              </w:rPr>
              <w:fldChar w:fldCharType="begin"/>
            </w:r>
            <w:r w:rsidR="00F5732C" w:rsidRPr="00B03B51">
              <w:rPr>
                <w:rFonts w:ascii="Times New Roman" w:hAnsi="Times New Roman" w:cs="Times New Roman"/>
                <w:b w:val="0"/>
                <w:bCs w:val="0"/>
                <w:noProof/>
                <w:webHidden/>
                <w:sz w:val="24"/>
              </w:rPr>
              <w:instrText xml:space="preserve"> PAGEREF _Toc67565212 \h </w:instrText>
            </w:r>
            <w:r w:rsidR="00F5732C" w:rsidRPr="00B03B51">
              <w:rPr>
                <w:rFonts w:ascii="Times New Roman" w:hAnsi="Times New Roman" w:cs="Times New Roman"/>
                <w:b w:val="0"/>
                <w:bCs w:val="0"/>
                <w:noProof/>
                <w:webHidden/>
                <w:sz w:val="24"/>
              </w:rPr>
            </w:r>
            <w:r w:rsidR="00F5732C" w:rsidRPr="00B03B51">
              <w:rPr>
                <w:rFonts w:ascii="Times New Roman" w:hAnsi="Times New Roman" w:cs="Times New Roman"/>
                <w:b w:val="0"/>
                <w:bCs w:val="0"/>
                <w:noProof/>
                <w:webHidden/>
                <w:sz w:val="24"/>
              </w:rPr>
              <w:fldChar w:fldCharType="separate"/>
            </w:r>
            <w:r w:rsidR="006D0460">
              <w:rPr>
                <w:rFonts w:ascii="Times New Roman" w:hAnsi="Times New Roman" w:cs="Times New Roman"/>
                <w:b w:val="0"/>
                <w:bCs w:val="0"/>
                <w:noProof/>
                <w:webHidden/>
                <w:sz w:val="24"/>
              </w:rPr>
              <w:t>422</w:t>
            </w:r>
            <w:r w:rsidR="00F5732C" w:rsidRPr="00B03B51">
              <w:rPr>
                <w:rFonts w:ascii="Times New Roman" w:hAnsi="Times New Roman" w:cs="Times New Roman"/>
                <w:b w:val="0"/>
                <w:bCs w:val="0"/>
                <w:noProof/>
                <w:webHidden/>
                <w:sz w:val="24"/>
              </w:rPr>
              <w:fldChar w:fldCharType="end"/>
            </w:r>
          </w:hyperlink>
        </w:p>
        <w:p w14:paraId="61DC7B09" w14:textId="4641381F" w:rsidR="00F5732C" w:rsidRPr="00B03B51" w:rsidRDefault="00FC6AB7" w:rsidP="00662E0A">
          <w:pPr>
            <w:pStyle w:val="TOC1"/>
            <w:tabs>
              <w:tab w:val="right" w:leader="dot" w:pos="9061"/>
            </w:tabs>
            <w:spacing w:before="0"/>
            <w:ind w:left="0" w:firstLine="0"/>
            <w:rPr>
              <w:rFonts w:ascii="Times New Roman" w:eastAsiaTheme="minorEastAsia" w:hAnsi="Times New Roman" w:cs="Times New Roman"/>
              <w:noProof/>
              <w:sz w:val="24"/>
              <w:lang w:eastAsia="lv-LV"/>
            </w:rPr>
          </w:pPr>
          <w:hyperlink w:anchor="_Toc67565213" w:history="1">
            <w:r w:rsidR="00F5732C" w:rsidRPr="00B03B51">
              <w:rPr>
                <w:rStyle w:val="Hyperlink"/>
                <w:rFonts w:ascii="Times New Roman" w:hAnsi="Times New Roman" w:cs="Times New Roman"/>
                <w:noProof/>
                <w:sz w:val="24"/>
              </w:rPr>
              <w:t>8. Vispārējās valdības parāda apmēra noteikšana</w:t>
            </w:r>
            <w:r w:rsidR="00F5732C" w:rsidRPr="00B03B51">
              <w:rPr>
                <w:rFonts w:ascii="Times New Roman" w:hAnsi="Times New Roman" w:cs="Times New Roman"/>
                <w:noProof/>
                <w:webHidden/>
                <w:sz w:val="24"/>
              </w:rPr>
              <w:tab/>
            </w:r>
            <w:r w:rsidR="00F5732C" w:rsidRPr="00B03B51">
              <w:rPr>
                <w:rFonts w:ascii="Times New Roman" w:hAnsi="Times New Roman" w:cs="Times New Roman"/>
                <w:noProof/>
                <w:webHidden/>
                <w:sz w:val="24"/>
              </w:rPr>
              <w:fldChar w:fldCharType="begin"/>
            </w:r>
            <w:r w:rsidR="00F5732C" w:rsidRPr="00B03B51">
              <w:rPr>
                <w:rFonts w:ascii="Times New Roman" w:hAnsi="Times New Roman" w:cs="Times New Roman"/>
                <w:noProof/>
                <w:webHidden/>
                <w:sz w:val="24"/>
              </w:rPr>
              <w:instrText xml:space="preserve"> PAGEREF _Toc67565213 \h </w:instrText>
            </w:r>
            <w:r w:rsidR="00F5732C" w:rsidRPr="00B03B51">
              <w:rPr>
                <w:rFonts w:ascii="Times New Roman" w:hAnsi="Times New Roman" w:cs="Times New Roman"/>
                <w:noProof/>
                <w:webHidden/>
                <w:sz w:val="24"/>
              </w:rPr>
            </w:r>
            <w:r w:rsidR="00F5732C" w:rsidRPr="00B03B51">
              <w:rPr>
                <w:rFonts w:ascii="Times New Roman" w:hAnsi="Times New Roman" w:cs="Times New Roman"/>
                <w:noProof/>
                <w:webHidden/>
                <w:sz w:val="24"/>
              </w:rPr>
              <w:fldChar w:fldCharType="separate"/>
            </w:r>
            <w:r w:rsidR="006D0460">
              <w:rPr>
                <w:rFonts w:ascii="Times New Roman" w:hAnsi="Times New Roman" w:cs="Times New Roman"/>
                <w:noProof/>
                <w:webHidden/>
                <w:sz w:val="24"/>
              </w:rPr>
              <w:t>423</w:t>
            </w:r>
            <w:r w:rsidR="00F5732C" w:rsidRPr="00B03B51">
              <w:rPr>
                <w:rFonts w:ascii="Times New Roman" w:hAnsi="Times New Roman" w:cs="Times New Roman"/>
                <w:noProof/>
                <w:webHidden/>
                <w:sz w:val="24"/>
              </w:rPr>
              <w:fldChar w:fldCharType="end"/>
            </w:r>
          </w:hyperlink>
        </w:p>
        <w:p w14:paraId="6268F2F7" w14:textId="21A1C8CF" w:rsidR="00F5732C" w:rsidRPr="00B03B51" w:rsidRDefault="00FC6AB7" w:rsidP="009605EA">
          <w:pPr>
            <w:pStyle w:val="TOC2"/>
            <w:tabs>
              <w:tab w:val="right" w:leader="dot" w:pos="9061"/>
            </w:tabs>
            <w:spacing w:before="0"/>
            <w:ind w:left="426"/>
            <w:rPr>
              <w:rFonts w:ascii="Times New Roman" w:eastAsiaTheme="minorEastAsia" w:hAnsi="Times New Roman" w:cs="Times New Roman"/>
              <w:b w:val="0"/>
              <w:bCs w:val="0"/>
              <w:noProof/>
              <w:sz w:val="24"/>
              <w:szCs w:val="22"/>
              <w:lang w:eastAsia="lv-LV"/>
            </w:rPr>
          </w:pPr>
          <w:hyperlink w:anchor="_Toc67565214" w:history="1">
            <w:r w:rsidR="00F5732C" w:rsidRPr="00B03B51">
              <w:rPr>
                <w:rStyle w:val="Hyperlink"/>
                <w:rFonts w:ascii="Times New Roman" w:hAnsi="Times New Roman" w:cs="Times New Roman"/>
                <w:b w:val="0"/>
                <w:bCs w:val="0"/>
                <w:noProof/>
                <w:sz w:val="24"/>
              </w:rPr>
              <w:t>8.1. Pārskats</w:t>
            </w:r>
            <w:r w:rsidR="00F5732C" w:rsidRPr="00B03B51">
              <w:rPr>
                <w:rFonts w:ascii="Times New Roman" w:hAnsi="Times New Roman" w:cs="Times New Roman"/>
                <w:b w:val="0"/>
                <w:bCs w:val="0"/>
                <w:noProof/>
                <w:webHidden/>
                <w:sz w:val="24"/>
              </w:rPr>
              <w:tab/>
            </w:r>
            <w:r w:rsidR="00F5732C" w:rsidRPr="00B03B51">
              <w:rPr>
                <w:rFonts w:ascii="Times New Roman" w:hAnsi="Times New Roman" w:cs="Times New Roman"/>
                <w:b w:val="0"/>
                <w:bCs w:val="0"/>
                <w:noProof/>
                <w:webHidden/>
                <w:sz w:val="24"/>
              </w:rPr>
              <w:fldChar w:fldCharType="begin"/>
            </w:r>
            <w:r w:rsidR="00F5732C" w:rsidRPr="00B03B51">
              <w:rPr>
                <w:rFonts w:ascii="Times New Roman" w:hAnsi="Times New Roman" w:cs="Times New Roman"/>
                <w:b w:val="0"/>
                <w:bCs w:val="0"/>
                <w:noProof/>
                <w:webHidden/>
                <w:sz w:val="24"/>
              </w:rPr>
              <w:instrText xml:space="preserve"> PAGEREF _Toc67565214 \h </w:instrText>
            </w:r>
            <w:r w:rsidR="00F5732C" w:rsidRPr="00B03B51">
              <w:rPr>
                <w:rFonts w:ascii="Times New Roman" w:hAnsi="Times New Roman" w:cs="Times New Roman"/>
                <w:b w:val="0"/>
                <w:bCs w:val="0"/>
                <w:noProof/>
                <w:webHidden/>
                <w:sz w:val="24"/>
              </w:rPr>
            </w:r>
            <w:r w:rsidR="00F5732C" w:rsidRPr="00B03B51">
              <w:rPr>
                <w:rFonts w:ascii="Times New Roman" w:hAnsi="Times New Roman" w:cs="Times New Roman"/>
                <w:b w:val="0"/>
                <w:bCs w:val="0"/>
                <w:noProof/>
                <w:webHidden/>
                <w:sz w:val="24"/>
              </w:rPr>
              <w:fldChar w:fldCharType="separate"/>
            </w:r>
            <w:r w:rsidR="006D0460">
              <w:rPr>
                <w:rFonts w:ascii="Times New Roman" w:hAnsi="Times New Roman" w:cs="Times New Roman"/>
                <w:b w:val="0"/>
                <w:bCs w:val="0"/>
                <w:noProof/>
                <w:webHidden/>
                <w:sz w:val="24"/>
              </w:rPr>
              <w:t>423</w:t>
            </w:r>
            <w:r w:rsidR="00F5732C" w:rsidRPr="00B03B51">
              <w:rPr>
                <w:rFonts w:ascii="Times New Roman" w:hAnsi="Times New Roman" w:cs="Times New Roman"/>
                <w:b w:val="0"/>
                <w:bCs w:val="0"/>
                <w:noProof/>
                <w:webHidden/>
                <w:sz w:val="24"/>
              </w:rPr>
              <w:fldChar w:fldCharType="end"/>
            </w:r>
          </w:hyperlink>
        </w:p>
        <w:p w14:paraId="6F3DE0BE" w14:textId="097C4DB6" w:rsidR="00F5732C" w:rsidRPr="00B03B51" w:rsidRDefault="00FC6AB7" w:rsidP="009605EA">
          <w:pPr>
            <w:pStyle w:val="TOC2"/>
            <w:tabs>
              <w:tab w:val="right" w:leader="dot" w:pos="9061"/>
            </w:tabs>
            <w:spacing w:before="0"/>
            <w:ind w:left="426"/>
            <w:rPr>
              <w:rFonts w:ascii="Times New Roman" w:eastAsiaTheme="minorEastAsia" w:hAnsi="Times New Roman" w:cs="Times New Roman"/>
              <w:b w:val="0"/>
              <w:bCs w:val="0"/>
              <w:noProof/>
              <w:sz w:val="24"/>
              <w:szCs w:val="22"/>
              <w:lang w:eastAsia="lv-LV"/>
            </w:rPr>
          </w:pPr>
          <w:hyperlink w:anchor="_Toc67565215" w:history="1">
            <w:r w:rsidR="00F5732C" w:rsidRPr="00B03B51">
              <w:rPr>
                <w:rStyle w:val="Hyperlink"/>
                <w:rFonts w:ascii="Times New Roman" w:hAnsi="Times New Roman" w:cs="Times New Roman"/>
                <w:b w:val="0"/>
                <w:bCs w:val="0"/>
                <w:noProof/>
                <w:sz w:val="24"/>
              </w:rPr>
              <w:t>8.2. Vispārējās valdības parāda aprēķināšana</w:t>
            </w:r>
            <w:r w:rsidR="00F5732C" w:rsidRPr="00B03B51">
              <w:rPr>
                <w:rFonts w:ascii="Times New Roman" w:hAnsi="Times New Roman" w:cs="Times New Roman"/>
                <w:b w:val="0"/>
                <w:bCs w:val="0"/>
                <w:noProof/>
                <w:webHidden/>
                <w:sz w:val="24"/>
              </w:rPr>
              <w:tab/>
            </w:r>
            <w:r w:rsidR="00F5732C" w:rsidRPr="00B03B51">
              <w:rPr>
                <w:rFonts w:ascii="Times New Roman" w:hAnsi="Times New Roman" w:cs="Times New Roman"/>
                <w:b w:val="0"/>
                <w:bCs w:val="0"/>
                <w:noProof/>
                <w:webHidden/>
                <w:sz w:val="24"/>
              </w:rPr>
              <w:fldChar w:fldCharType="begin"/>
            </w:r>
            <w:r w:rsidR="00F5732C" w:rsidRPr="00B03B51">
              <w:rPr>
                <w:rFonts w:ascii="Times New Roman" w:hAnsi="Times New Roman" w:cs="Times New Roman"/>
                <w:b w:val="0"/>
                <w:bCs w:val="0"/>
                <w:noProof/>
                <w:webHidden/>
                <w:sz w:val="24"/>
              </w:rPr>
              <w:instrText xml:space="preserve"> PAGEREF _Toc67565215 \h </w:instrText>
            </w:r>
            <w:r w:rsidR="00F5732C" w:rsidRPr="00B03B51">
              <w:rPr>
                <w:rFonts w:ascii="Times New Roman" w:hAnsi="Times New Roman" w:cs="Times New Roman"/>
                <w:b w:val="0"/>
                <w:bCs w:val="0"/>
                <w:noProof/>
                <w:webHidden/>
                <w:sz w:val="24"/>
              </w:rPr>
            </w:r>
            <w:r w:rsidR="00F5732C" w:rsidRPr="00B03B51">
              <w:rPr>
                <w:rFonts w:ascii="Times New Roman" w:hAnsi="Times New Roman" w:cs="Times New Roman"/>
                <w:b w:val="0"/>
                <w:bCs w:val="0"/>
                <w:noProof/>
                <w:webHidden/>
                <w:sz w:val="24"/>
              </w:rPr>
              <w:fldChar w:fldCharType="separate"/>
            </w:r>
            <w:r w:rsidR="006D0460">
              <w:rPr>
                <w:rFonts w:ascii="Times New Roman" w:hAnsi="Times New Roman" w:cs="Times New Roman"/>
                <w:b w:val="0"/>
                <w:bCs w:val="0"/>
                <w:noProof/>
                <w:webHidden/>
                <w:sz w:val="24"/>
              </w:rPr>
              <w:t>424</w:t>
            </w:r>
            <w:r w:rsidR="00F5732C" w:rsidRPr="00B03B51">
              <w:rPr>
                <w:rFonts w:ascii="Times New Roman" w:hAnsi="Times New Roman" w:cs="Times New Roman"/>
                <w:b w:val="0"/>
                <w:bCs w:val="0"/>
                <w:noProof/>
                <w:webHidden/>
                <w:sz w:val="24"/>
              </w:rPr>
              <w:fldChar w:fldCharType="end"/>
            </w:r>
          </w:hyperlink>
        </w:p>
        <w:p w14:paraId="460603EB" w14:textId="12330158" w:rsidR="00F5732C" w:rsidRPr="00B03B51" w:rsidRDefault="00FC6AB7" w:rsidP="009605EA">
          <w:pPr>
            <w:pStyle w:val="TOC2"/>
            <w:tabs>
              <w:tab w:val="right" w:leader="dot" w:pos="9061"/>
            </w:tabs>
            <w:spacing w:before="0"/>
            <w:ind w:left="426"/>
            <w:rPr>
              <w:rFonts w:ascii="Times New Roman" w:eastAsiaTheme="minorEastAsia" w:hAnsi="Times New Roman" w:cs="Times New Roman"/>
              <w:b w:val="0"/>
              <w:bCs w:val="0"/>
              <w:noProof/>
              <w:sz w:val="24"/>
              <w:szCs w:val="22"/>
              <w:lang w:eastAsia="lv-LV"/>
            </w:rPr>
          </w:pPr>
          <w:hyperlink w:anchor="_Toc67565217" w:history="1">
            <w:r w:rsidR="00F5732C" w:rsidRPr="00B03B51">
              <w:rPr>
                <w:rStyle w:val="Hyperlink"/>
                <w:rFonts w:ascii="Times New Roman" w:hAnsi="Times New Roman" w:cs="Times New Roman"/>
                <w:b w:val="0"/>
                <w:bCs w:val="0"/>
                <w:noProof/>
                <w:sz w:val="24"/>
              </w:rPr>
              <w:t>8.3. Mijmaiņas darījumu ierakstīšana</w:t>
            </w:r>
            <w:r w:rsidR="00F5732C" w:rsidRPr="00B03B51">
              <w:rPr>
                <w:rFonts w:ascii="Times New Roman" w:hAnsi="Times New Roman" w:cs="Times New Roman"/>
                <w:b w:val="0"/>
                <w:bCs w:val="0"/>
                <w:noProof/>
                <w:webHidden/>
                <w:sz w:val="24"/>
              </w:rPr>
              <w:tab/>
            </w:r>
            <w:r w:rsidR="00F5732C" w:rsidRPr="00B03B51">
              <w:rPr>
                <w:rFonts w:ascii="Times New Roman" w:hAnsi="Times New Roman" w:cs="Times New Roman"/>
                <w:b w:val="0"/>
                <w:bCs w:val="0"/>
                <w:noProof/>
                <w:webHidden/>
                <w:sz w:val="24"/>
              </w:rPr>
              <w:fldChar w:fldCharType="begin"/>
            </w:r>
            <w:r w:rsidR="00F5732C" w:rsidRPr="00B03B51">
              <w:rPr>
                <w:rFonts w:ascii="Times New Roman" w:hAnsi="Times New Roman" w:cs="Times New Roman"/>
                <w:b w:val="0"/>
                <w:bCs w:val="0"/>
                <w:noProof/>
                <w:webHidden/>
                <w:sz w:val="24"/>
              </w:rPr>
              <w:instrText xml:space="preserve"> PAGEREF _Toc67565217 \h </w:instrText>
            </w:r>
            <w:r w:rsidR="00F5732C" w:rsidRPr="00B03B51">
              <w:rPr>
                <w:rFonts w:ascii="Times New Roman" w:hAnsi="Times New Roman" w:cs="Times New Roman"/>
                <w:b w:val="0"/>
                <w:bCs w:val="0"/>
                <w:noProof/>
                <w:webHidden/>
                <w:sz w:val="24"/>
              </w:rPr>
            </w:r>
            <w:r w:rsidR="00F5732C" w:rsidRPr="00B03B51">
              <w:rPr>
                <w:rFonts w:ascii="Times New Roman" w:hAnsi="Times New Roman" w:cs="Times New Roman"/>
                <w:b w:val="0"/>
                <w:bCs w:val="0"/>
                <w:noProof/>
                <w:webHidden/>
                <w:sz w:val="24"/>
              </w:rPr>
              <w:fldChar w:fldCharType="separate"/>
            </w:r>
            <w:r w:rsidR="006D0460">
              <w:rPr>
                <w:rFonts w:ascii="Times New Roman" w:hAnsi="Times New Roman" w:cs="Times New Roman"/>
                <w:b w:val="0"/>
                <w:bCs w:val="0"/>
                <w:noProof/>
                <w:webHidden/>
                <w:sz w:val="24"/>
              </w:rPr>
              <w:t>431</w:t>
            </w:r>
            <w:r w:rsidR="00F5732C" w:rsidRPr="00B03B51">
              <w:rPr>
                <w:rFonts w:ascii="Times New Roman" w:hAnsi="Times New Roman" w:cs="Times New Roman"/>
                <w:b w:val="0"/>
                <w:bCs w:val="0"/>
                <w:noProof/>
                <w:webHidden/>
                <w:sz w:val="24"/>
              </w:rPr>
              <w:fldChar w:fldCharType="end"/>
            </w:r>
          </w:hyperlink>
        </w:p>
        <w:p w14:paraId="393D8040" w14:textId="7A458680" w:rsidR="00F5732C" w:rsidRPr="00B03B51" w:rsidRDefault="00FC6AB7" w:rsidP="009605EA">
          <w:pPr>
            <w:pStyle w:val="TOC2"/>
            <w:tabs>
              <w:tab w:val="right" w:leader="dot" w:pos="9061"/>
            </w:tabs>
            <w:spacing w:before="0"/>
            <w:ind w:left="426"/>
            <w:rPr>
              <w:rFonts w:ascii="Times New Roman" w:eastAsiaTheme="minorEastAsia" w:hAnsi="Times New Roman" w:cs="Times New Roman"/>
              <w:b w:val="0"/>
              <w:bCs w:val="0"/>
              <w:noProof/>
              <w:sz w:val="24"/>
              <w:szCs w:val="22"/>
              <w:lang w:eastAsia="lv-LV"/>
            </w:rPr>
          </w:pPr>
          <w:hyperlink w:anchor="_Toc67565222" w:history="1">
            <w:r w:rsidR="00F5732C" w:rsidRPr="00B03B51">
              <w:rPr>
                <w:rStyle w:val="Hyperlink"/>
                <w:rFonts w:ascii="Times New Roman" w:hAnsi="Times New Roman" w:cs="Times New Roman"/>
                <w:b w:val="0"/>
                <w:bCs w:val="0"/>
                <w:noProof/>
                <w:sz w:val="24"/>
              </w:rPr>
              <w:t>8.4. Pārdošanas ar atpirkšanu līgumi un vērtspapīru aizdevumi</w:t>
            </w:r>
            <w:r w:rsidR="00F5732C" w:rsidRPr="00B03B51">
              <w:rPr>
                <w:rFonts w:ascii="Times New Roman" w:hAnsi="Times New Roman" w:cs="Times New Roman"/>
                <w:b w:val="0"/>
                <w:bCs w:val="0"/>
                <w:noProof/>
                <w:webHidden/>
                <w:sz w:val="24"/>
              </w:rPr>
              <w:tab/>
            </w:r>
            <w:r w:rsidR="00F5732C" w:rsidRPr="00B03B51">
              <w:rPr>
                <w:rFonts w:ascii="Times New Roman" w:hAnsi="Times New Roman" w:cs="Times New Roman"/>
                <w:b w:val="0"/>
                <w:bCs w:val="0"/>
                <w:noProof/>
                <w:webHidden/>
                <w:sz w:val="24"/>
              </w:rPr>
              <w:fldChar w:fldCharType="begin"/>
            </w:r>
            <w:r w:rsidR="00F5732C" w:rsidRPr="00B03B51">
              <w:rPr>
                <w:rFonts w:ascii="Times New Roman" w:hAnsi="Times New Roman" w:cs="Times New Roman"/>
                <w:b w:val="0"/>
                <w:bCs w:val="0"/>
                <w:noProof/>
                <w:webHidden/>
                <w:sz w:val="24"/>
              </w:rPr>
              <w:instrText xml:space="preserve"> PAGEREF _Toc67565222 \h </w:instrText>
            </w:r>
            <w:r w:rsidR="00F5732C" w:rsidRPr="00B03B51">
              <w:rPr>
                <w:rFonts w:ascii="Times New Roman" w:hAnsi="Times New Roman" w:cs="Times New Roman"/>
                <w:b w:val="0"/>
                <w:bCs w:val="0"/>
                <w:noProof/>
                <w:webHidden/>
                <w:sz w:val="24"/>
              </w:rPr>
            </w:r>
            <w:r w:rsidR="00F5732C" w:rsidRPr="00B03B51">
              <w:rPr>
                <w:rFonts w:ascii="Times New Roman" w:hAnsi="Times New Roman" w:cs="Times New Roman"/>
                <w:b w:val="0"/>
                <w:bCs w:val="0"/>
                <w:noProof/>
                <w:webHidden/>
                <w:sz w:val="24"/>
              </w:rPr>
              <w:fldChar w:fldCharType="separate"/>
            </w:r>
            <w:r w:rsidR="006D0460">
              <w:rPr>
                <w:rFonts w:ascii="Times New Roman" w:hAnsi="Times New Roman" w:cs="Times New Roman"/>
                <w:b w:val="0"/>
                <w:bCs w:val="0"/>
                <w:noProof/>
                <w:webHidden/>
                <w:sz w:val="24"/>
              </w:rPr>
              <w:t>449</w:t>
            </w:r>
            <w:r w:rsidR="00F5732C" w:rsidRPr="00B03B51">
              <w:rPr>
                <w:rFonts w:ascii="Times New Roman" w:hAnsi="Times New Roman" w:cs="Times New Roman"/>
                <w:b w:val="0"/>
                <w:bCs w:val="0"/>
                <w:noProof/>
                <w:webHidden/>
                <w:sz w:val="24"/>
              </w:rPr>
              <w:fldChar w:fldCharType="end"/>
            </w:r>
          </w:hyperlink>
        </w:p>
        <w:p w14:paraId="350C6827" w14:textId="0AAF5D09" w:rsidR="00F5732C" w:rsidRPr="00B03B51" w:rsidRDefault="00FC6AB7" w:rsidP="009605EA">
          <w:pPr>
            <w:pStyle w:val="TOC2"/>
            <w:tabs>
              <w:tab w:val="right" w:leader="dot" w:pos="9061"/>
            </w:tabs>
            <w:spacing w:before="0"/>
            <w:ind w:left="426"/>
            <w:rPr>
              <w:rFonts w:ascii="Times New Roman" w:eastAsiaTheme="minorEastAsia" w:hAnsi="Times New Roman" w:cs="Times New Roman"/>
              <w:b w:val="0"/>
              <w:bCs w:val="0"/>
              <w:noProof/>
              <w:sz w:val="24"/>
              <w:szCs w:val="22"/>
              <w:lang w:eastAsia="lv-LV"/>
            </w:rPr>
          </w:pPr>
          <w:hyperlink w:anchor="_Toc67565229" w:history="1">
            <w:r w:rsidR="00F5732C" w:rsidRPr="00B03B51">
              <w:rPr>
                <w:rStyle w:val="Hyperlink"/>
                <w:rFonts w:ascii="Times New Roman" w:hAnsi="Times New Roman" w:cs="Times New Roman"/>
                <w:b w:val="0"/>
                <w:bCs w:val="0"/>
                <w:noProof/>
                <w:sz w:val="24"/>
              </w:rPr>
              <w:t>8.5. Atslēgvārdi un atsauces</w:t>
            </w:r>
            <w:r w:rsidR="00F5732C" w:rsidRPr="00B03B51">
              <w:rPr>
                <w:rFonts w:ascii="Times New Roman" w:hAnsi="Times New Roman" w:cs="Times New Roman"/>
                <w:b w:val="0"/>
                <w:bCs w:val="0"/>
                <w:noProof/>
                <w:webHidden/>
                <w:sz w:val="24"/>
              </w:rPr>
              <w:tab/>
            </w:r>
            <w:r w:rsidR="00F5732C" w:rsidRPr="00B03B51">
              <w:rPr>
                <w:rFonts w:ascii="Times New Roman" w:hAnsi="Times New Roman" w:cs="Times New Roman"/>
                <w:b w:val="0"/>
                <w:bCs w:val="0"/>
                <w:noProof/>
                <w:webHidden/>
                <w:sz w:val="24"/>
              </w:rPr>
              <w:fldChar w:fldCharType="begin"/>
            </w:r>
            <w:r w:rsidR="00F5732C" w:rsidRPr="00B03B51">
              <w:rPr>
                <w:rFonts w:ascii="Times New Roman" w:hAnsi="Times New Roman" w:cs="Times New Roman"/>
                <w:b w:val="0"/>
                <w:bCs w:val="0"/>
                <w:noProof/>
                <w:webHidden/>
                <w:sz w:val="24"/>
              </w:rPr>
              <w:instrText xml:space="preserve"> PAGEREF _Toc67565229 \h </w:instrText>
            </w:r>
            <w:r w:rsidR="00F5732C" w:rsidRPr="00B03B51">
              <w:rPr>
                <w:rFonts w:ascii="Times New Roman" w:hAnsi="Times New Roman" w:cs="Times New Roman"/>
                <w:b w:val="0"/>
                <w:bCs w:val="0"/>
                <w:noProof/>
                <w:webHidden/>
                <w:sz w:val="24"/>
              </w:rPr>
            </w:r>
            <w:r w:rsidR="00F5732C" w:rsidRPr="00B03B51">
              <w:rPr>
                <w:rFonts w:ascii="Times New Roman" w:hAnsi="Times New Roman" w:cs="Times New Roman"/>
                <w:b w:val="0"/>
                <w:bCs w:val="0"/>
                <w:noProof/>
                <w:webHidden/>
                <w:sz w:val="24"/>
              </w:rPr>
              <w:fldChar w:fldCharType="separate"/>
            </w:r>
            <w:r w:rsidR="006D0460">
              <w:rPr>
                <w:rFonts w:ascii="Times New Roman" w:hAnsi="Times New Roman" w:cs="Times New Roman"/>
                <w:b w:val="0"/>
                <w:bCs w:val="0"/>
                <w:noProof/>
                <w:webHidden/>
                <w:sz w:val="24"/>
              </w:rPr>
              <w:t>455</w:t>
            </w:r>
            <w:r w:rsidR="00F5732C" w:rsidRPr="00B03B51">
              <w:rPr>
                <w:rFonts w:ascii="Times New Roman" w:hAnsi="Times New Roman" w:cs="Times New Roman"/>
                <w:b w:val="0"/>
                <w:bCs w:val="0"/>
                <w:noProof/>
                <w:webHidden/>
                <w:sz w:val="24"/>
              </w:rPr>
              <w:fldChar w:fldCharType="end"/>
            </w:r>
          </w:hyperlink>
        </w:p>
        <w:p w14:paraId="38047DE7" w14:textId="4475E5C6" w:rsidR="00F5732C" w:rsidRPr="00B03B51" w:rsidRDefault="00FC6AB7" w:rsidP="00662E0A">
          <w:pPr>
            <w:pStyle w:val="TOC2"/>
            <w:tabs>
              <w:tab w:val="right" w:leader="dot" w:pos="9061"/>
            </w:tabs>
            <w:spacing w:before="0"/>
            <w:ind w:left="0"/>
            <w:rPr>
              <w:rFonts w:ascii="Times New Roman" w:eastAsiaTheme="minorEastAsia" w:hAnsi="Times New Roman" w:cs="Times New Roman"/>
              <w:noProof/>
              <w:sz w:val="24"/>
              <w:szCs w:val="22"/>
              <w:lang w:eastAsia="lv-LV"/>
            </w:rPr>
          </w:pPr>
          <w:hyperlink w:anchor="_Toc67565230" w:history="1">
            <w:r w:rsidR="00F5732C" w:rsidRPr="00B03B51">
              <w:rPr>
                <w:rStyle w:val="Hyperlink"/>
                <w:rFonts w:ascii="Times New Roman" w:hAnsi="Times New Roman" w:cs="Times New Roman"/>
                <w:noProof/>
                <w:sz w:val="24"/>
              </w:rPr>
              <w:t>Pielikums. Tiesību akti (atsauces un saites)</w:t>
            </w:r>
            <w:r w:rsidR="00F5732C" w:rsidRPr="00B03B51">
              <w:rPr>
                <w:rFonts w:ascii="Times New Roman" w:hAnsi="Times New Roman" w:cs="Times New Roman"/>
                <w:noProof/>
                <w:webHidden/>
                <w:sz w:val="24"/>
              </w:rPr>
              <w:tab/>
            </w:r>
            <w:r w:rsidR="00F5732C" w:rsidRPr="00B03B51">
              <w:rPr>
                <w:rFonts w:ascii="Times New Roman" w:hAnsi="Times New Roman" w:cs="Times New Roman"/>
                <w:noProof/>
                <w:webHidden/>
                <w:sz w:val="24"/>
              </w:rPr>
              <w:fldChar w:fldCharType="begin"/>
            </w:r>
            <w:r w:rsidR="00F5732C" w:rsidRPr="00B03B51">
              <w:rPr>
                <w:rFonts w:ascii="Times New Roman" w:hAnsi="Times New Roman" w:cs="Times New Roman"/>
                <w:noProof/>
                <w:webHidden/>
                <w:sz w:val="24"/>
              </w:rPr>
              <w:instrText xml:space="preserve"> PAGEREF _Toc67565230 \h </w:instrText>
            </w:r>
            <w:r w:rsidR="00F5732C" w:rsidRPr="00B03B51">
              <w:rPr>
                <w:rFonts w:ascii="Times New Roman" w:hAnsi="Times New Roman" w:cs="Times New Roman"/>
                <w:noProof/>
                <w:webHidden/>
                <w:sz w:val="24"/>
              </w:rPr>
            </w:r>
            <w:r w:rsidR="00F5732C" w:rsidRPr="00B03B51">
              <w:rPr>
                <w:rFonts w:ascii="Times New Roman" w:hAnsi="Times New Roman" w:cs="Times New Roman"/>
                <w:noProof/>
                <w:webHidden/>
                <w:sz w:val="24"/>
              </w:rPr>
              <w:fldChar w:fldCharType="separate"/>
            </w:r>
            <w:r w:rsidR="006D0460">
              <w:rPr>
                <w:rFonts w:ascii="Times New Roman" w:hAnsi="Times New Roman" w:cs="Times New Roman"/>
                <w:noProof/>
                <w:webHidden/>
                <w:sz w:val="24"/>
              </w:rPr>
              <w:t>456</w:t>
            </w:r>
            <w:r w:rsidR="00F5732C" w:rsidRPr="00B03B51">
              <w:rPr>
                <w:rFonts w:ascii="Times New Roman" w:hAnsi="Times New Roman" w:cs="Times New Roman"/>
                <w:noProof/>
                <w:webHidden/>
                <w:sz w:val="24"/>
              </w:rPr>
              <w:fldChar w:fldCharType="end"/>
            </w:r>
          </w:hyperlink>
        </w:p>
        <w:p w14:paraId="259FCEB5" w14:textId="5E6A6AD6" w:rsidR="00A55931" w:rsidRPr="00B03B51" w:rsidRDefault="00F5732C" w:rsidP="00994F93">
          <w:pPr>
            <w:rPr>
              <w:rFonts w:ascii="Times New Roman" w:hAnsi="Times New Roman" w:cs="Times New Roman"/>
            </w:rPr>
          </w:pPr>
          <w:r w:rsidRPr="00B03B51">
            <w:rPr>
              <w:rFonts w:ascii="Times New Roman" w:hAnsi="Times New Roman" w:cs="Times New Roman"/>
              <w:sz w:val="24"/>
            </w:rPr>
            <w:fldChar w:fldCharType="end"/>
          </w:r>
        </w:p>
      </w:sdtContent>
    </w:sdt>
    <w:p w14:paraId="24BB718D" w14:textId="007F1045" w:rsidR="00994F93" w:rsidRPr="00B03B51" w:rsidRDefault="00994F93" w:rsidP="00994F93">
      <w:pPr>
        <w:rPr>
          <w:rFonts w:ascii="Times New Roman" w:hAnsi="Times New Roman" w:cs="Times New Roman"/>
          <w:noProof/>
          <w:sz w:val="24"/>
        </w:rPr>
      </w:pPr>
      <w:r w:rsidRPr="00B03B51">
        <w:rPr>
          <w:rFonts w:ascii="Times New Roman" w:hAnsi="Times New Roman" w:cs="Times New Roman"/>
        </w:rPr>
        <w:br w:type="page"/>
      </w:r>
    </w:p>
    <w:p w14:paraId="45FFE824" w14:textId="77777777" w:rsidR="00994F93" w:rsidRPr="00B03B51" w:rsidRDefault="00994F93" w:rsidP="00994F93">
      <w:pPr>
        <w:jc w:val="both"/>
        <w:rPr>
          <w:rFonts w:ascii="Times New Roman" w:eastAsia="Times New Roman" w:hAnsi="Times New Roman" w:cs="Times New Roman"/>
          <w:noProof/>
          <w:sz w:val="24"/>
          <w:szCs w:val="56"/>
        </w:rPr>
      </w:pPr>
    </w:p>
    <w:p w14:paraId="05799695" w14:textId="77777777" w:rsidR="00994F93" w:rsidRPr="00B03B51" w:rsidRDefault="00994F93" w:rsidP="00994F93">
      <w:pPr>
        <w:pStyle w:val="Heading1"/>
        <w:ind w:left="0"/>
        <w:jc w:val="both"/>
        <w:rPr>
          <w:rFonts w:ascii="Times New Roman" w:hAnsi="Times New Roman" w:cs="Times New Roman"/>
          <w:noProof/>
          <w:sz w:val="28"/>
          <w:szCs w:val="72"/>
        </w:rPr>
      </w:pPr>
      <w:bookmarkStart w:id="4" w:name="1._Delimitation_of_the_general_governmen"/>
      <w:bookmarkStart w:id="5" w:name="_bookmark0"/>
      <w:bookmarkStart w:id="6" w:name="_Toc67565016"/>
      <w:bookmarkEnd w:id="4"/>
      <w:bookmarkEnd w:id="5"/>
      <w:r w:rsidRPr="00B03B51">
        <w:rPr>
          <w:rFonts w:ascii="Times New Roman" w:hAnsi="Times New Roman" w:cs="Times New Roman"/>
          <w:sz w:val="28"/>
          <w:szCs w:val="72"/>
        </w:rPr>
        <w:t>1. Vispārējās valdības sektora norobežošana</w:t>
      </w:r>
      <w:bookmarkEnd w:id="6"/>
    </w:p>
    <w:p w14:paraId="22AC6D89" w14:textId="77777777" w:rsidR="00994F93" w:rsidRPr="00B03B51" w:rsidRDefault="00994F93" w:rsidP="00994F93">
      <w:pPr>
        <w:jc w:val="both"/>
        <w:rPr>
          <w:rFonts w:ascii="Times New Roman" w:eastAsia="Arial" w:hAnsi="Times New Roman" w:cs="Times New Roman"/>
          <w:b/>
          <w:bCs/>
          <w:noProof/>
          <w:sz w:val="24"/>
          <w:szCs w:val="20"/>
        </w:rPr>
      </w:pPr>
    </w:p>
    <w:p w14:paraId="4BF2F091" w14:textId="77777777" w:rsidR="00994F93" w:rsidRPr="00B03B51" w:rsidRDefault="00994F93" w:rsidP="00994F93">
      <w:pPr>
        <w:pStyle w:val="Heading2"/>
        <w:tabs>
          <w:tab w:val="left" w:pos="2139"/>
        </w:tabs>
        <w:spacing w:before="0"/>
        <w:ind w:left="0" w:firstLine="0"/>
        <w:jc w:val="both"/>
        <w:rPr>
          <w:rFonts w:ascii="Times New Roman" w:hAnsi="Times New Roman" w:cs="Times New Roman"/>
          <w:noProof/>
          <w:sz w:val="28"/>
          <w:szCs w:val="44"/>
        </w:rPr>
      </w:pPr>
      <w:bookmarkStart w:id="7" w:name="1.1._Overview"/>
      <w:bookmarkStart w:id="8" w:name="_bookmark1"/>
      <w:bookmarkStart w:id="9" w:name="_Toc67565017"/>
      <w:bookmarkEnd w:id="7"/>
      <w:bookmarkEnd w:id="8"/>
      <w:r w:rsidRPr="00B03B51">
        <w:rPr>
          <w:rFonts w:ascii="Times New Roman" w:hAnsi="Times New Roman" w:cs="Times New Roman"/>
          <w:sz w:val="28"/>
          <w:szCs w:val="44"/>
        </w:rPr>
        <w:t>1.1. Pārskats</w:t>
      </w:r>
      <w:bookmarkEnd w:id="9"/>
    </w:p>
    <w:p w14:paraId="4203D5AC" w14:textId="77777777" w:rsidR="00994F93" w:rsidRPr="00B03B51" w:rsidRDefault="00994F93" w:rsidP="00A55931">
      <w:pPr>
        <w:tabs>
          <w:tab w:val="left" w:pos="1703"/>
        </w:tabs>
        <w:rPr>
          <w:rFonts w:ascii="Times New Roman" w:eastAsia="Arial" w:hAnsi="Times New Roman" w:cs="Times New Roman"/>
          <w:noProof/>
          <w:sz w:val="24"/>
          <w:szCs w:val="19"/>
        </w:rPr>
      </w:pPr>
    </w:p>
    <w:p w14:paraId="28291003" w14:textId="77777777" w:rsidR="00994F93" w:rsidRPr="00B03B51" w:rsidRDefault="00994F93" w:rsidP="00994F93">
      <w:pPr>
        <w:tabs>
          <w:tab w:val="left" w:pos="1703"/>
        </w:tabs>
        <w:jc w:val="both"/>
        <w:rPr>
          <w:rFonts w:ascii="Times New Roman" w:eastAsia="Arial" w:hAnsi="Times New Roman" w:cs="Times New Roman"/>
          <w:noProof/>
          <w:sz w:val="24"/>
          <w:szCs w:val="19"/>
        </w:rPr>
      </w:pPr>
      <w:r w:rsidRPr="00B03B51">
        <w:rPr>
          <w:rFonts w:ascii="Times New Roman" w:hAnsi="Times New Roman" w:cs="Times New Roman"/>
          <w:sz w:val="24"/>
          <w:szCs w:val="19"/>
        </w:rPr>
        <w:t xml:space="preserve">1. Valdības budžeta deficīta un parāda statistikā uzskaita vispārējās valdības sektora darbību (S.13) atbilstīgi tam, kā noteikts nacionālajos kontos. Saskaņā ar EKS 2010 2.111. punktu, kurā vispārīgi noteiktas galvenās iezīmes, šis sektors </w:t>
      </w:r>
      <w:r w:rsidRPr="00B03B51">
        <w:rPr>
          <w:rFonts w:ascii="Times New Roman" w:hAnsi="Times New Roman" w:cs="Times New Roman"/>
          <w:i/>
          <w:iCs/>
          <w:sz w:val="24"/>
          <w:szCs w:val="19"/>
        </w:rPr>
        <w:t>ietver institucionālās vienības, kuras ir ārpustirgus ražotāji un kuru produkcija ir paredzēta individuālajam un kolektīvajam patēriņam, un kuras galvenokārt finansē no obligātajiem maksājumiem, ko veic citiem sektoriem piederošas vienības un institucionālās vienības, kuras nodarbojas galvenokārt ar nacionālā ienākuma un bagātības pārdali</w:t>
      </w:r>
      <w:r w:rsidRPr="00B03B51">
        <w:rPr>
          <w:rFonts w:ascii="Times New Roman" w:hAnsi="Times New Roman" w:cs="Times New Roman"/>
          <w:sz w:val="24"/>
          <w:szCs w:val="19"/>
        </w:rPr>
        <w:t>. Tas nenozīmē, ka nelielu daļu no valdības vienību līdzekļiem nevar veidot cita veida līdzekļi (piemēram, īpašuma ienākumi un ienākumi no preču un pakalpojumu pārdošanas), taču galvenā atšķirība ir šo vienību tiesības iekasēt nodokļus.</w:t>
      </w:r>
      <w:r w:rsidRPr="00B03B51">
        <w:rPr>
          <w:rStyle w:val="FootnoteReference"/>
          <w:rFonts w:ascii="Times New Roman" w:eastAsia="Arial" w:hAnsi="Times New Roman" w:cs="Times New Roman"/>
          <w:noProof/>
          <w:sz w:val="24"/>
          <w:szCs w:val="19"/>
        </w:rPr>
        <w:footnoteReference w:id="4"/>
      </w:r>
      <w:r w:rsidRPr="00B03B51">
        <w:rPr>
          <w:rFonts w:ascii="Times New Roman" w:hAnsi="Times New Roman" w:cs="Times New Roman"/>
          <w:sz w:val="24"/>
          <w:szCs w:val="12"/>
        </w:rPr>
        <w:t xml:space="preserve"> </w:t>
      </w:r>
      <w:r w:rsidRPr="00B03B51">
        <w:rPr>
          <w:rFonts w:ascii="Times New Roman" w:hAnsi="Times New Roman" w:cs="Times New Roman"/>
          <w:sz w:val="24"/>
          <w:szCs w:val="19"/>
        </w:rPr>
        <w:t xml:space="preserve">Šajā saistībā EKS 2010 20.02. punktā tiek uzsvērtas arī “pilnvaras paaugstināt nodokļus un citas obligātās nodevas un izdot likumus, kas ietekmē ekonomikas vienību rīcību”. EKS 2010 20.06. punktā papildus norādīts arī tas, ka </w:t>
      </w:r>
      <w:r w:rsidRPr="00B03B51">
        <w:rPr>
          <w:rFonts w:ascii="Times New Roman" w:hAnsi="Times New Roman" w:cs="Times New Roman"/>
          <w:i/>
          <w:iCs/>
          <w:sz w:val="24"/>
          <w:szCs w:val="19"/>
        </w:rPr>
        <w:t>valdības vienības ir juridiskas personas, kuras izveidotas politiskā procesā un kurām ir likumdošanas, tiesiskas vai izpildvaras pilnvaras pār citām institucionālajām vienībām noteiktā jomā</w:t>
      </w:r>
      <w:r w:rsidRPr="00B03B51">
        <w:rPr>
          <w:rFonts w:ascii="Times New Roman" w:hAnsi="Times New Roman" w:cs="Times New Roman"/>
          <w:sz w:val="24"/>
          <w:szCs w:val="19"/>
        </w:rPr>
        <w:t>. Tomēr šī definīcija pilnīgi atbilst vienīgi tām vienībām, kuras ir EKS 2010 20.10. punktā noteiktās “primārās” vienības, taču konkrētu darbību veikšanai var izveidot arī cita veida vienības. Ja tās atbilst institucionālo vienību kritērijiem (skat. turpmāk), jāuzskata, ka tās ir atsevišķas valdības vienības.</w:t>
      </w:r>
    </w:p>
    <w:p w14:paraId="4A58057A" w14:textId="77777777" w:rsidR="00994F93" w:rsidRPr="00B03B51" w:rsidRDefault="00994F93" w:rsidP="00994F93">
      <w:pPr>
        <w:pStyle w:val="BodyText"/>
        <w:tabs>
          <w:tab w:val="left" w:pos="1703"/>
        </w:tabs>
        <w:spacing w:before="0"/>
        <w:ind w:left="0" w:firstLine="0"/>
        <w:jc w:val="both"/>
        <w:rPr>
          <w:rFonts w:ascii="Times New Roman" w:hAnsi="Times New Roman" w:cs="Times New Roman"/>
          <w:noProof/>
          <w:sz w:val="24"/>
        </w:rPr>
      </w:pPr>
    </w:p>
    <w:p w14:paraId="2DD6F09D" w14:textId="77777777" w:rsidR="00994F93" w:rsidRPr="00B03B51" w:rsidRDefault="00994F93" w:rsidP="00994F93">
      <w:pPr>
        <w:pStyle w:val="BodyText"/>
        <w:tabs>
          <w:tab w:val="left" w:pos="170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2. Lai pareizi norobežotu vispārējās valdības sektoru, būtiska nozīme ir tam, ka institucionālās vienības tiek kvalificētas kā ārpustirgus ražotāji, t. i., vienības, kas “nodrošina visu savu izlaidi (preces un pakalpojumus) vai lielāko daļu no savas izlaides par brīvu vai par cenām, kas nav “ekonomiski nozīmīgas” (EKS 2010 20.19. punkts). Tādējādi vispārējās valdības sektorā neietilpst neviena valdības kontrolēta vienība (noteikta, pamatojoties uz dažādiem kritērijiem, skat. EKS 2010 20.307. punktu), kas tiek uzskatīta par tirgus ražotāju (“publiska sabiedrība”). Publiskajā sektorā ietilpst visas vispārējās valdības vienības un publiskajā sektorā neietilpstošās publiskās sabiedrības (skat. EKS 2010 20.303. punktu).</w:t>
      </w:r>
    </w:p>
    <w:p w14:paraId="29D981F7" w14:textId="77777777" w:rsidR="00994F93" w:rsidRPr="00B03B51" w:rsidRDefault="00994F93" w:rsidP="00994F93">
      <w:pPr>
        <w:pStyle w:val="BodyText"/>
        <w:tabs>
          <w:tab w:val="left" w:pos="1703"/>
        </w:tabs>
        <w:spacing w:before="0"/>
        <w:ind w:left="0" w:firstLine="0"/>
        <w:jc w:val="both"/>
        <w:rPr>
          <w:rFonts w:ascii="Times New Roman" w:hAnsi="Times New Roman" w:cs="Times New Roman"/>
          <w:noProof/>
          <w:sz w:val="24"/>
        </w:rPr>
      </w:pPr>
    </w:p>
    <w:p w14:paraId="185BACC9" w14:textId="0EBD652D" w:rsidR="00994F93" w:rsidRPr="00B03B51" w:rsidRDefault="00994F93" w:rsidP="00994F93">
      <w:pPr>
        <w:pStyle w:val="BodyText"/>
        <w:tabs>
          <w:tab w:val="left" w:pos="170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 xml:space="preserve">3. Saskaņā ar EKS vispārējai valdībai ir četri apakšsektori, t. i., centrālā valdība, pavalsts valdība un pašvaldība, kā arī sociālā </w:t>
      </w:r>
      <w:r w:rsidR="00FC7DB2" w:rsidRPr="00B03B51">
        <w:rPr>
          <w:rFonts w:ascii="Times New Roman" w:hAnsi="Times New Roman" w:cs="Times New Roman"/>
          <w:sz w:val="24"/>
        </w:rPr>
        <w:t>nodrošinājuma</w:t>
      </w:r>
      <w:r w:rsidRPr="00B03B51">
        <w:rPr>
          <w:rFonts w:ascii="Times New Roman" w:hAnsi="Times New Roman" w:cs="Times New Roman"/>
          <w:sz w:val="24"/>
        </w:rPr>
        <w:t xml:space="preserve"> fondi. Līdzīgi kā EKS 2010 (skat. 20. nodaļu “Valdības konti”) var būt svarīgi (jo īpaši no praktiskās uzskaites viedokļa) “pamata” jeb “primārās” vienības (piemēram, “budžeta centrālā valdība” vai “reģionālo/vietējo varas iestāžu budžeti”) nošķirt no citiem valdības subjektiem, kam ir atsevišķs juridiskais statuss un dažādu pakāpju autonomija un kas ietilpst galveno vienību kontrolētajā konkrētajā valdības apakšsektorā (un bieži lielāko finansējuma daļu saņem no šīm vienībām).</w:t>
      </w:r>
    </w:p>
    <w:p w14:paraId="10005C83" w14:textId="77777777" w:rsidR="00994F93" w:rsidRPr="00B03B51" w:rsidRDefault="00994F93" w:rsidP="00994F93">
      <w:pPr>
        <w:pStyle w:val="BodyText"/>
        <w:tabs>
          <w:tab w:val="left" w:pos="1986"/>
        </w:tabs>
        <w:spacing w:before="0"/>
        <w:ind w:left="0" w:firstLine="0"/>
        <w:jc w:val="both"/>
        <w:rPr>
          <w:rFonts w:ascii="Times New Roman" w:hAnsi="Times New Roman" w:cs="Times New Roman"/>
          <w:noProof/>
          <w:sz w:val="24"/>
        </w:rPr>
      </w:pPr>
    </w:p>
    <w:p w14:paraId="78E9B79F" w14:textId="77777777" w:rsidR="00994F93" w:rsidRPr="00B03B51" w:rsidRDefault="00994F93" w:rsidP="00994F93">
      <w:pPr>
        <w:pStyle w:val="BodyText"/>
        <w:tabs>
          <w:tab w:val="left" w:pos="1986"/>
        </w:tabs>
        <w:spacing w:before="0"/>
        <w:ind w:left="284" w:firstLine="0"/>
        <w:jc w:val="both"/>
        <w:rPr>
          <w:rFonts w:ascii="Times New Roman" w:hAnsi="Times New Roman" w:cs="Times New Roman"/>
          <w:noProof/>
          <w:sz w:val="24"/>
        </w:rPr>
      </w:pPr>
      <w:r w:rsidRPr="00B03B51">
        <w:rPr>
          <w:rFonts w:ascii="Times New Roman" w:hAnsi="Times New Roman" w:cs="Times New Roman"/>
          <w:sz w:val="24"/>
        </w:rPr>
        <w:t>a) Centrālās valdības (S.1311) apakšsektorā ietilpst visas valsts administratīvās struktūras (piemēram, ministrijas, valdes, iestādes u. c.), kas kopā tiek uzskatītas par vienu vienību</w:t>
      </w:r>
      <w:r w:rsidRPr="00B03B51">
        <w:rPr>
          <w:rStyle w:val="FootnoteReference"/>
          <w:rFonts w:ascii="Times New Roman" w:hAnsi="Times New Roman" w:cs="Times New Roman"/>
          <w:noProof/>
          <w:sz w:val="24"/>
        </w:rPr>
        <w:footnoteReference w:id="5"/>
      </w:r>
      <w:r w:rsidRPr="00B03B51">
        <w:rPr>
          <w:rFonts w:ascii="Times New Roman" w:hAnsi="Times New Roman" w:cs="Times New Roman"/>
          <w:sz w:val="24"/>
        </w:rPr>
        <w:t xml:space="preserve">, un citas centrālās struktūras, kuru kompetencē (kas veidota no likumdošanas, tiesiskām, nodokļu iekasēšanas un izpildvaras pilnvarām) parasti ietilpst visa ekonomiskā teritorija (kas </w:t>
      </w:r>
      <w:r w:rsidRPr="00B03B51">
        <w:rPr>
          <w:rFonts w:ascii="Times New Roman" w:hAnsi="Times New Roman" w:cs="Times New Roman"/>
          <w:sz w:val="24"/>
        </w:rPr>
        <w:lastRenderedPageBreak/>
        <w:t>noteikta EKS 2010 2.05. un 2.06. punktā).</w:t>
      </w:r>
      <w:r w:rsidRPr="00B03B51">
        <w:rPr>
          <w:rStyle w:val="FootnoteReference"/>
          <w:rFonts w:ascii="Times New Roman" w:hAnsi="Times New Roman" w:cs="Times New Roman"/>
          <w:noProof/>
          <w:sz w:val="24"/>
        </w:rPr>
        <w:footnoteReference w:id="6"/>
      </w:r>
      <w:r w:rsidRPr="00B03B51">
        <w:rPr>
          <w:rFonts w:ascii="Times New Roman" w:hAnsi="Times New Roman" w:cs="Times New Roman"/>
          <w:sz w:val="24"/>
          <w:szCs w:val="12"/>
        </w:rPr>
        <w:t xml:space="preserve"> </w:t>
      </w:r>
      <w:r w:rsidRPr="00B03B51">
        <w:rPr>
          <w:rFonts w:ascii="Times New Roman" w:hAnsi="Times New Roman" w:cs="Times New Roman"/>
          <w:sz w:val="24"/>
        </w:rPr>
        <w:t>Šajā apakšsektorā ietilpst arī bezpeļņas institūcijas (BPI), kuras ir ārpustirgus ražotāji un kuras kontrolē centrālā valdība, kam ir kompetence pār visu ekonomisko teritoriju. Centrālās valdības apakšsektors ir sadalīts divās daļās, proti, “budžeta centrālā valdība” un “citas centrālās valdības struktūras” (EKS 2010 20.62. punkts).</w:t>
      </w:r>
    </w:p>
    <w:p w14:paraId="39364B25" w14:textId="77777777" w:rsidR="00994F93" w:rsidRPr="00B03B51" w:rsidRDefault="00994F93" w:rsidP="00994F93">
      <w:pPr>
        <w:pStyle w:val="BodyText"/>
        <w:tabs>
          <w:tab w:val="left" w:pos="1126"/>
        </w:tabs>
        <w:spacing w:before="0"/>
        <w:ind w:left="284" w:firstLine="0"/>
        <w:jc w:val="both"/>
        <w:rPr>
          <w:rFonts w:ascii="Times New Roman" w:hAnsi="Times New Roman" w:cs="Times New Roman"/>
          <w:noProof/>
          <w:sz w:val="24"/>
        </w:rPr>
      </w:pPr>
    </w:p>
    <w:p w14:paraId="72ED91FF" w14:textId="77777777" w:rsidR="00994F93" w:rsidRPr="00B03B51" w:rsidRDefault="00994F93" w:rsidP="00994F93">
      <w:pPr>
        <w:pStyle w:val="BodyText"/>
        <w:tabs>
          <w:tab w:val="left" w:pos="1126"/>
        </w:tabs>
        <w:spacing w:before="0"/>
        <w:ind w:left="284" w:firstLine="0"/>
        <w:jc w:val="both"/>
        <w:rPr>
          <w:rFonts w:ascii="Times New Roman" w:hAnsi="Times New Roman" w:cs="Times New Roman"/>
          <w:noProof/>
          <w:sz w:val="24"/>
        </w:rPr>
      </w:pPr>
      <w:r w:rsidRPr="00B03B51">
        <w:rPr>
          <w:rFonts w:ascii="Times New Roman" w:hAnsi="Times New Roman" w:cs="Times New Roman"/>
          <w:sz w:val="24"/>
        </w:rPr>
        <w:t>b) Pavalsts valdība (S.1312) ir veidota no atsevišķām institucionālajām vienībām, kas veic dažas valdības funkcijas ģeogrāfiskajā līmenī, kurš zemāks par centrālās valdības līmeni, bet augstāks par pašvaldību līmeni. Šīm valdības vienībām ir pilnīga un ekskluzīva kompetence pavalsts vai reģiona teritorijā (konstitūcijā vai pamatlikumā noteiktajās jomās); parasti būtiskas likumdošanas pilnvaras ir elements, kas liecina par šo apakšsektora līmeni, kurā var ietilpt arī citas pakļautībā esošas struktūras un pavalsts valdības kontrolētas ārpustirgus BPI.</w:t>
      </w:r>
    </w:p>
    <w:p w14:paraId="1F06CF63" w14:textId="77777777" w:rsidR="00994F93" w:rsidRPr="00B03B51" w:rsidRDefault="00994F93" w:rsidP="00994F93">
      <w:pPr>
        <w:pStyle w:val="BodyText"/>
        <w:tabs>
          <w:tab w:val="left" w:pos="1126"/>
        </w:tabs>
        <w:spacing w:before="0"/>
        <w:ind w:left="284" w:firstLine="0"/>
        <w:jc w:val="both"/>
        <w:rPr>
          <w:rFonts w:ascii="Times New Roman" w:hAnsi="Times New Roman" w:cs="Times New Roman"/>
          <w:noProof/>
          <w:sz w:val="24"/>
        </w:rPr>
      </w:pPr>
    </w:p>
    <w:p w14:paraId="634EC43B" w14:textId="77777777" w:rsidR="00994F93" w:rsidRPr="00B03B51" w:rsidRDefault="00994F93" w:rsidP="00994F93">
      <w:pPr>
        <w:pStyle w:val="BodyText"/>
        <w:tabs>
          <w:tab w:val="left" w:pos="1126"/>
        </w:tabs>
        <w:spacing w:before="0"/>
        <w:ind w:left="284" w:firstLine="0"/>
        <w:jc w:val="both"/>
        <w:rPr>
          <w:rFonts w:ascii="Times New Roman" w:hAnsi="Times New Roman" w:cs="Times New Roman"/>
          <w:noProof/>
          <w:sz w:val="24"/>
        </w:rPr>
      </w:pPr>
      <w:r w:rsidRPr="00B03B51">
        <w:rPr>
          <w:rFonts w:ascii="Times New Roman" w:hAnsi="Times New Roman" w:cs="Times New Roman"/>
          <w:sz w:val="24"/>
        </w:rPr>
        <w:t>c) Pašvaldībā (S.1313) ietilpst pārvaldes iestādes, kuru kompetencē (kas bieži vien ir neliela, raugoties no likumdošanas un tiesisko pilnvaru viedokļa) ietilpst vien vietējā ekonomiskās teritorijas daļa. EKS 2010 20.65. punktā noteikts, ka “pašvaldības statistika aptver ļoti dažādas valdības vienības”, un tajā norādīts arī tas, ka dažādu pašvaldības vienību funkcionālā atbildība var pārklāties vienā ģeogrāfiskajā zonā; var pievienot arī lielu daudzumu ārpustirgus ražotāju ar dažādām statutārajām tiesībām, un tās var kontrolēt arī daudzas ārpustirgus BPI</w:t>
      </w:r>
      <w:r w:rsidRPr="00B03B51">
        <w:rPr>
          <w:rStyle w:val="FootnoteReference"/>
          <w:rFonts w:ascii="Times New Roman" w:hAnsi="Times New Roman" w:cs="Times New Roman"/>
          <w:noProof/>
          <w:sz w:val="24"/>
        </w:rPr>
        <w:footnoteReference w:id="7"/>
      </w:r>
      <w:r w:rsidRPr="00B03B51">
        <w:rPr>
          <w:rFonts w:ascii="Times New Roman" w:hAnsi="Times New Roman" w:cs="Times New Roman"/>
          <w:sz w:val="24"/>
        </w:rPr>
        <w:t>, kuras arī ir šeit iekļautas.</w:t>
      </w:r>
    </w:p>
    <w:p w14:paraId="5FCAFF45" w14:textId="77777777" w:rsidR="00994F93" w:rsidRPr="00B03B51" w:rsidRDefault="00994F93" w:rsidP="00994F93">
      <w:pPr>
        <w:pStyle w:val="BodyText"/>
        <w:tabs>
          <w:tab w:val="left" w:pos="1126"/>
        </w:tabs>
        <w:spacing w:before="0"/>
        <w:ind w:left="284" w:firstLine="0"/>
        <w:jc w:val="both"/>
        <w:rPr>
          <w:rFonts w:ascii="Times New Roman" w:hAnsi="Times New Roman" w:cs="Times New Roman"/>
          <w:noProof/>
          <w:sz w:val="24"/>
        </w:rPr>
      </w:pPr>
    </w:p>
    <w:p w14:paraId="09AFF33B" w14:textId="10802769" w:rsidR="00994F93" w:rsidRPr="00B03B51" w:rsidRDefault="00994F93" w:rsidP="00994F93">
      <w:pPr>
        <w:pStyle w:val="BodyText"/>
        <w:tabs>
          <w:tab w:val="left" w:pos="1126"/>
        </w:tabs>
        <w:spacing w:before="0"/>
        <w:ind w:left="284" w:firstLine="0"/>
        <w:jc w:val="both"/>
        <w:rPr>
          <w:rFonts w:ascii="Times New Roman" w:hAnsi="Times New Roman" w:cs="Times New Roman"/>
          <w:noProof/>
          <w:sz w:val="24"/>
        </w:rPr>
      </w:pPr>
      <w:r w:rsidRPr="00B03B51">
        <w:rPr>
          <w:rFonts w:ascii="Times New Roman" w:hAnsi="Times New Roman" w:cs="Times New Roman"/>
          <w:sz w:val="24"/>
        </w:rPr>
        <w:t>d) Sociālā nodrošinā</w:t>
      </w:r>
      <w:r w:rsidR="00197C63" w:rsidRPr="00B03B51">
        <w:rPr>
          <w:rFonts w:ascii="Times New Roman" w:hAnsi="Times New Roman" w:cs="Times New Roman"/>
          <w:sz w:val="24"/>
        </w:rPr>
        <w:t>ju</w:t>
      </w:r>
      <w:r w:rsidR="007D5E6E" w:rsidRPr="00B03B51">
        <w:rPr>
          <w:rFonts w:ascii="Times New Roman" w:hAnsi="Times New Roman" w:cs="Times New Roman"/>
          <w:sz w:val="24"/>
        </w:rPr>
        <w:t>ma</w:t>
      </w:r>
      <w:r w:rsidRPr="00B03B51">
        <w:rPr>
          <w:rFonts w:ascii="Times New Roman" w:hAnsi="Times New Roman" w:cs="Times New Roman"/>
          <w:sz w:val="24"/>
        </w:rPr>
        <w:t xml:space="preserve"> fondi (S.1314) ietver visas centrālās, pavalsts un vietējās institucionālās vienības, kas nodarbojas galvenokārt ar sociālo pabalstu piešķiršanu un kas atbilst šādiem diviem kritērijiem</w:t>
      </w:r>
      <w:r w:rsidRPr="00B03B51">
        <w:rPr>
          <w:rStyle w:val="FootnoteReference"/>
          <w:rFonts w:ascii="Times New Roman" w:hAnsi="Times New Roman" w:cs="Times New Roman"/>
          <w:noProof/>
          <w:sz w:val="24"/>
        </w:rPr>
        <w:footnoteReference w:id="8"/>
      </w:r>
      <w:r w:rsidRPr="00B03B51">
        <w:rPr>
          <w:rFonts w:ascii="Times New Roman" w:hAnsi="Times New Roman" w:cs="Times New Roman"/>
          <w:sz w:val="24"/>
        </w:rPr>
        <w:t>:</w:t>
      </w:r>
    </w:p>
    <w:p w14:paraId="3E12C6E5" w14:textId="77777777" w:rsidR="00994F93" w:rsidRPr="00B03B51" w:rsidRDefault="00994F93" w:rsidP="00994F93">
      <w:pPr>
        <w:pStyle w:val="BodyText"/>
        <w:tabs>
          <w:tab w:val="left" w:pos="1126"/>
        </w:tabs>
        <w:spacing w:before="0"/>
        <w:ind w:left="0" w:firstLine="0"/>
        <w:jc w:val="both"/>
        <w:rPr>
          <w:rFonts w:ascii="Times New Roman" w:hAnsi="Times New Roman" w:cs="Times New Roman"/>
          <w:noProof/>
          <w:sz w:val="24"/>
        </w:rPr>
      </w:pPr>
    </w:p>
    <w:p w14:paraId="71651C53" w14:textId="77777777" w:rsidR="00994F93" w:rsidRPr="00B03B51" w:rsidRDefault="00994F93" w:rsidP="00994F93">
      <w:pPr>
        <w:pStyle w:val="BodyText"/>
        <w:numPr>
          <w:ilvl w:val="0"/>
          <w:numId w:val="31"/>
        </w:numPr>
        <w:spacing w:before="0"/>
        <w:ind w:left="709" w:hanging="425"/>
        <w:jc w:val="both"/>
        <w:rPr>
          <w:rFonts w:ascii="Times New Roman" w:hAnsi="Times New Roman" w:cs="Times New Roman"/>
          <w:noProof/>
          <w:sz w:val="24"/>
        </w:rPr>
      </w:pPr>
      <w:r w:rsidRPr="00B03B51">
        <w:rPr>
          <w:rFonts w:ascii="Times New Roman" w:hAnsi="Times New Roman" w:cs="Times New Roman"/>
          <w:sz w:val="24"/>
        </w:rPr>
        <w:t>saskaņā ar tiesību aktiem konkrētām iedzīvotāju grupām ir pienākums piedalīties attiecīgajā shēmā vai veikt iemaksas;</w:t>
      </w:r>
    </w:p>
    <w:p w14:paraId="4EFC93E3" w14:textId="77777777" w:rsidR="00994F93" w:rsidRPr="00B03B51" w:rsidRDefault="00994F93" w:rsidP="00994F93">
      <w:pPr>
        <w:pStyle w:val="BodyText"/>
        <w:numPr>
          <w:ilvl w:val="0"/>
          <w:numId w:val="31"/>
        </w:numPr>
        <w:spacing w:before="0"/>
        <w:ind w:left="709" w:hanging="425"/>
        <w:jc w:val="both"/>
        <w:rPr>
          <w:rFonts w:ascii="Times New Roman" w:hAnsi="Times New Roman" w:cs="Times New Roman"/>
          <w:noProof/>
          <w:sz w:val="24"/>
        </w:rPr>
      </w:pPr>
      <w:r w:rsidRPr="00B03B51">
        <w:rPr>
          <w:rFonts w:ascii="Times New Roman" w:hAnsi="Times New Roman" w:cs="Times New Roman"/>
          <w:sz w:val="24"/>
        </w:rPr>
        <w:t>valdība ir atbildīga par iestādes pārvaldību attiecībā uz iemaksu un pabalstu noteikšanu vai apstiprināšanu neatkarīgi no tā, vai vispārējā valdība pilda uzraudzības iestādes vai darba devēja pienākumus (EKS 2010 2.117. punkts).</w:t>
      </w:r>
    </w:p>
    <w:p w14:paraId="4AC24F7E"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1B70816C"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4. Statistikas iestādes bieži saskaras ar vienībām, kuras nav iespējams viennozīmīgi klasificēt noteiktā sektorā un kuras veido robežgadījumus. Šajā nodaļā sniegti norādījumi tam, kā risināt šādas problēmas, lai nodrošinātu pilnīgu salīdzināmību visā Eiropas Savienībā.</w:t>
      </w:r>
    </w:p>
    <w:p w14:paraId="4621CE3F"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19F221B4"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5. Valdības neto aizdevumu/aizņēmumu (B.9) (kā arī valsts parādu</w:t>
      </w:r>
      <w:r w:rsidRPr="00B03B51">
        <w:rPr>
          <w:rStyle w:val="FootnoteReference"/>
          <w:rFonts w:ascii="Times New Roman" w:hAnsi="Times New Roman" w:cs="Times New Roman"/>
          <w:noProof/>
          <w:sz w:val="24"/>
        </w:rPr>
        <w:footnoteReference w:id="9"/>
      </w:r>
      <w:r w:rsidRPr="00B03B51">
        <w:rPr>
          <w:rFonts w:ascii="Times New Roman" w:hAnsi="Times New Roman" w:cs="Times New Roman"/>
          <w:sz w:val="24"/>
        </w:rPr>
        <w:t>) galvenokārt ietekmē vienības, kas klasificētas valdības sektorā, tādējādi liela nozīme ir vienību klasifikācijai pareizajā sektorā.</w:t>
      </w:r>
    </w:p>
    <w:p w14:paraId="7903AF8F" w14:textId="77777777" w:rsidR="00994F93" w:rsidRPr="00B03B51" w:rsidRDefault="00994F93" w:rsidP="00994F93">
      <w:pPr>
        <w:rPr>
          <w:rFonts w:ascii="Times New Roman" w:eastAsia="Arial" w:hAnsi="Times New Roman" w:cs="Times New Roman"/>
          <w:noProof/>
          <w:sz w:val="24"/>
          <w:szCs w:val="20"/>
        </w:rPr>
      </w:pPr>
      <w:r w:rsidRPr="00B03B51">
        <w:rPr>
          <w:rFonts w:ascii="Times New Roman" w:hAnsi="Times New Roman" w:cs="Times New Roman"/>
        </w:rPr>
        <w:br w:type="page"/>
      </w:r>
    </w:p>
    <w:p w14:paraId="1D72F17E" w14:textId="77777777" w:rsidR="00994F93" w:rsidRPr="00B03B51" w:rsidRDefault="00994F93" w:rsidP="00994F93">
      <w:pPr>
        <w:jc w:val="both"/>
        <w:rPr>
          <w:rFonts w:ascii="Times New Roman" w:eastAsia="Arial" w:hAnsi="Times New Roman" w:cs="Times New Roman"/>
          <w:noProof/>
          <w:sz w:val="24"/>
          <w:szCs w:val="17"/>
        </w:rPr>
      </w:pPr>
    </w:p>
    <w:p w14:paraId="5DA74204" w14:textId="77777777" w:rsidR="00994F93" w:rsidRPr="00B03B51" w:rsidRDefault="00994F93" w:rsidP="00994F93">
      <w:pPr>
        <w:pStyle w:val="Heading2"/>
        <w:tabs>
          <w:tab w:val="left" w:pos="1279"/>
        </w:tabs>
        <w:spacing w:before="0"/>
        <w:ind w:left="0" w:firstLine="0"/>
        <w:jc w:val="both"/>
        <w:rPr>
          <w:rFonts w:ascii="Times New Roman" w:hAnsi="Times New Roman" w:cs="Times New Roman"/>
          <w:noProof/>
          <w:sz w:val="28"/>
          <w:szCs w:val="44"/>
        </w:rPr>
      </w:pPr>
      <w:bookmarkStart w:id="10" w:name="1.2._Criteria_for_classifying_units_to_t"/>
      <w:bookmarkStart w:id="11" w:name="_bookmark2"/>
      <w:bookmarkStart w:id="12" w:name="_Toc67565018"/>
      <w:bookmarkEnd w:id="10"/>
      <w:bookmarkEnd w:id="11"/>
      <w:r w:rsidRPr="00B03B51">
        <w:rPr>
          <w:rFonts w:ascii="Times New Roman" w:hAnsi="Times New Roman" w:cs="Times New Roman"/>
          <w:sz w:val="28"/>
          <w:szCs w:val="44"/>
        </w:rPr>
        <w:t>1.2. Kritēriji vienību klasificēšanai vispārējās valdības sektorā</w:t>
      </w:r>
      <w:bookmarkEnd w:id="12"/>
    </w:p>
    <w:p w14:paraId="749C8C16" w14:textId="77777777" w:rsidR="00994F93" w:rsidRPr="00197963" w:rsidRDefault="00994F93" w:rsidP="00197963">
      <w:pPr>
        <w:pStyle w:val="BodyText"/>
        <w:ind w:left="0" w:firstLine="0"/>
        <w:rPr>
          <w:rFonts w:ascii="Times New Roman" w:hAnsi="Times New Roman" w:cs="Times New Roman"/>
          <w:noProof/>
        </w:rPr>
      </w:pPr>
      <w:bookmarkStart w:id="13" w:name="1.2.1_The_definition_of_the_general_gove"/>
      <w:bookmarkEnd w:id="13"/>
    </w:p>
    <w:p w14:paraId="34B712C4" w14:textId="77777777" w:rsidR="00994F93" w:rsidRPr="00B03B51" w:rsidRDefault="00994F93" w:rsidP="00994F93">
      <w:pPr>
        <w:pStyle w:val="Heading3"/>
        <w:tabs>
          <w:tab w:val="left" w:pos="1279"/>
        </w:tabs>
        <w:ind w:left="0" w:firstLine="0"/>
        <w:jc w:val="both"/>
        <w:rPr>
          <w:rFonts w:ascii="Times New Roman" w:hAnsi="Times New Roman" w:cs="Times New Roman"/>
          <w:noProof/>
          <w:sz w:val="24"/>
        </w:rPr>
      </w:pPr>
      <w:bookmarkStart w:id="14" w:name="_Toc67565019"/>
      <w:r w:rsidRPr="00B03B51">
        <w:rPr>
          <w:rFonts w:ascii="Times New Roman" w:hAnsi="Times New Roman" w:cs="Times New Roman"/>
          <w:sz w:val="24"/>
        </w:rPr>
        <w:t>1.2.1. Vispārējās valdības sektora definīcija</w:t>
      </w:r>
      <w:bookmarkEnd w:id="14"/>
    </w:p>
    <w:p w14:paraId="6E57BCE5"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36F69946"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 Vispārējās valdības sektorā (S.13) ietilpst visas institucionālās vienības, kas ir ārpustirgus ražotāji, kurus kontrolē valdība, kuru produkcija ir paredzēta individuālajam un kolektīvajam patēriņam un kurus finansē no obligātajiem maksājumiem, ko veic citiem sektoriem piederošas vienības; šeit ietilpst arī institucionālās vienības, kuras galvenokārt nodarbojas ar nacionālā ienākuma un bagātības pārdali, proti, darbību, ko galvenokārt veic valdība. Tas ietver:</w:t>
      </w:r>
    </w:p>
    <w:p w14:paraId="2D62E47A"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45E3F230" w14:textId="77777777" w:rsidR="00994F93" w:rsidRPr="00B03B51" w:rsidRDefault="00994F93" w:rsidP="00994F93">
      <w:pPr>
        <w:pStyle w:val="BodyText"/>
        <w:tabs>
          <w:tab w:val="left" w:pos="1126"/>
        </w:tabs>
        <w:spacing w:before="0"/>
        <w:ind w:left="284" w:firstLine="0"/>
        <w:jc w:val="both"/>
        <w:rPr>
          <w:rFonts w:ascii="Times New Roman" w:hAnsi="Times New Roman" w:cs="Times New Roman"/>
          <w:noProof/>
          <w:sz w:val="24"/>
          <w:szCs w:val="12"/>
        </w:rPr>
      </w:pPr>
      <w:r w:rsidRPr="00B03B51">
        <w:rPr>
          <w:rFonts w:ascii="Times New Roman" w:hAnsi="Times New Roman" w:cs="Times New Roman"/>
          <w:sz w:val="24"/>
        </w:rPr>
        <w:t>a) vispārējās valdības iestādes, kuras izveidotas tiesiskā procesā, lai tām būtu tiesību aktos paredzētās pilnvaras pār citām vienībām, un kuras administrē un finansē pasākumu grupu, galvenokārt ražojot ārpustirgus preces un pakalpojumus, kas ir paredzēti sabiedrības labumam;</w:t>
      </w:r>
      <w:r w:rsidRPr="00B03B51">
        <w:rPr>
          <w:rStyle w:val="FootnoteReference"/>
          <w:rFonts w:ascii="Times New Roman" w:hAnsi="Times New Roman" w:cs="Times New Roman"/>
          <w:noProof/>
          <w:sz w:val="24"/>
        </w:rPr>
        <w:footnoteReference w:id="10"/>
      </w:r>
    </w:p>
    <w:p w14:paraId="54CEFB6B" w14:textId="77777777" w:rsidR="00994F93" w:rsidRPr="00B03B51" w:rsidRDefault="00994F93" w:rsidP="00994F93">
      <w:pPr>
        <w:pStyle w:val="BodyText"/>
        <w:tabs>
          <w:tab w:val="left" w:pos="1126"/>
        </w:tabs>
        <w:spacing w:before="0"/>
        <w:ind w:left="284" w:firstLine="0"/>
        <w:jc w:val="both"/>
        <w:rPr>
          <w:rFonts w:ascii="Times New Roman" w:hAnsi="Times New Roman" w:cs="Times New Roman"/>
          <w:noProof/>
          <w:sz w:val="24"/>
        </w:rPr>
      </w:pPr>
    </w:p>
    <w:p w14:paraId="23902BDD" w14:textId="77777777" w:rsidR="00994F93" w:rsidRPr="00B03B51" w:rsidRDefault="00994F93" w:rsidP="00994F93">
      <w:pPr>
        <w:pStyle w:val="BodyText"/>
        <w:tabs>
          <w:tab w:val="left" w:pos="1126"/>
        </w:tabs>
        <w:spacing w:before="0"/>
        <w:ind w:left="284" w:firstLine="0"/>
        <w:jc w:val="both"/>
        <w:rPr>
          <w:rFonts w:ascii="Times New Roman" w:hAnsi="Times New Roman" w:cs="Times New Roman"/>
          <w:noProof/>
          <w:sz w:val="24"/>
        </w:rPr>
      </w:pPr>
      <w:r w:rsidRPr="00B03B51">
        <w:rPr>
          <w:rFonts w:ascii="Times New Roman" w:hAnsi="Times New Roman" w:cs="Times New Roman"/>
          <w:sz w:val="24"/>
        </w:rPr>
        <w:t>b) ārpustirgus publiski ražotāji, t. i., sabiedrības un kvazisabiedrības, ko kontrolē valdība, ja to produkcija ir galvenokārt ārpustirgus produkcija;</w:t>
      </w:r>
    </w:p>
    <w:p w14:paraId="6CEF77A7" w14:textId="77777777" w:rsidR="00994F93" w:rsidRPr="00B03B51" w:rsidRDefault="00994F93" w:rsidP="00994F93">
      <w:pPr>
        <w:pStyle w:val="BodyText"/>
        <w:tabs>
          <w:tab w:val="left" w:pos="1126"/>
        </w:tabs>
        <w:spacing w:before="0"/>
        <w:ind w:left="284" w:firstLine="0"/>
        <w:jc w:val="both"/>
        <w:rPr>
          <w:rFonts w:ascii="Times New Roman" w:hAnsi="Times New Roman" w:cs="Times New Roman"/>
          <w:noProof/>
          <w:sz w:val="24"/>
        </w:rPr>
      </w:pPr>
    </w:p>
    <w:p w14:paraId="39CE2E9D" w14:textId="77777777" w:rsidR="00994F93" w:rsidRPr="00B03B51" w:rsidRDefault="00994F93" w:rsidP="00994F93">
      <w:pPr>
        <w:pStyle w:val="BodyText"/>
        <w:tabs>
          <w:tab w:val="left" w:pos="1126"/>
        </w:tabs>
        <w:spacing w:before="0"/>
        <w:ind w:left="284" w:firstLine="0"/>
        <w:jc w:val="both"/>
        <w:rPr>
          <w:rFonts w:ascii="Times New Roman" w:hAnsi="Times New Roman" w:cs="Times New Roman"/>
          <w:noProof/>
          <w:sz w:val="24"/>
        </w:rPr>
      </w:pPr>
      <w:r w:rsidRPr="00B03B51">
        <w:rPr>
          <w:rFonts w:ascii="Times New Roman" w:hAnsi="Times New Roman" w:cs="Times New Roman"/>
          <w:sz w:val="24"/>
        </w:rPr>
        <w:t>c) bezpeļņas institūcijas, kas atzītas par neatkarīgiem juridiskiem subjektiem, kuri ir ārpustirgus ražotāji un kurus kontrolē vispārējā valdība;</w:t>
      </w:r>
    </w:p>
    <w:p w14:paraId="35DF1B12" w14:textId="77777777" w:rsidR="00994F93" w:rsidRPr="00B03B51" w:rsidRDefault="00994F93" w:rsidP="00994F93">
      <w:pPr>
        <w:pStyle w:val="BodyText"/>
        <w:tabs>
          <w:tab w:val="left" w:pos="1126"/>
        </w:tabs>
        <w:spacing w:before="0"/>
        <w:ind w:left="284" w:firstLine="0"/>
        <w:jc w:val="both"/>
        <w:rPr>
          <w:rFonts w:ascii="Times New Roman" w:hAnsi="Times New Roman" w:cs="Times New Roman"/>
          <w:noProof/>
          <w:sz w:val="24"/>
        </w:rPr>
      </w:pPr>
    </w:p>
    <w:p w14:paraId="4B1E59CE" w14:textId="77777777" w:rsidR="00994F93" w:rsidRPr="00B03B51" w:rsidRDefault="00994F93" w:rsidP="00994F93">
      <w:pPr>
        <w:pStyle w:val="BodyText"/>
        <w:tabs>
          <w:tab w:val="left" w:pos="1126"/>
        </w:tabs>
        <w:spacing w:before="0"/>
        <w:ind w:left="284" w:firstLine="0"/>
        <w:jc w:val="both"/>
        <w:rPr>
          <w:rFonts w:ascii="Times New Roman" w:hAnsi="Times New Roman" w:cs="Times New Roman"/>
          <w:noProof/>
          <w:sz w:val="24"/>
          <w:szCs w:val="12"/>
        </w:rPr>
      </w:pPr>
      <w:r w:rsidRPr="00B03B51">
        <w:rPr>
          <w:rFonts w:ascii="Times New Roman" w:hAnsi="Times New Roman" w:cs="Times New Roman"/>
          <w:sz w:val="24"/>
        </w:rPr>
        <w:t>d) pensiju fondi, kuri atzīti par atsevišķām institucionālām vienībām (“autonomām vienībām”), kuros saskaņā ar tiesību aktiem ir jāveic iemaksas un kuru līdzekļus saistībā ar iemaksu un pabalstu norēķiniem vai apstiprināšanu pārvalda valdība.</w:t>
      </w:r>
      <w:r w:rsidRPr="00B03B51">
        <w:rPr>
          <w:rStyle w:val="FootnoteReference"/>
          <w:rFonts w:ascii="Times New Roman" w:hAnsi="Times New Roman" w:cs="Times New Roman"/>
          <w:noProof/>
          <w:sz w:val="24"/>
        </w:rPr>
        <w:footnoteReference w:id="11"/>
      </w:r>
    </w:p>
    <w:p w14:paraId="66680CA0" w14:textId="77777777" w:rsidR="00994F93" w:rsidRPr="00B03B51" w:rsidRDefault="00994F93" w:rsidP="00994F93">
      <w:pPr>
        <w:pStyle w:val="BodyText"/>
        <w:tabs>
          <w:tab w:val="left" w:pos="1126"/>
        </w:tabs>
        <w:spacing w:before="0"/>
        <w:ind w:left="0" w:firstLine="0"/>
        <w:jc w:val="both"/>
        <w:rPr>
          <w:rFonts w:ascii="Times New Roman" w:hAnsi="Times New Roman" w:cs="Times New Roman"/>
          <w:noProof/>
          <w:sz w:val="24"/>
          <w:szCs w:val="12"/>
        </w:rPr>
      </w:pPr>
    </w:p>
    <w:p w14:paraId="40B93955"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2. Vispārējās valdības sektorā ietilpst četri iepriekš minētie apakšsektori, lai gan pavalsts valdību apakšsektoru iespējams attiecināt vien uz dažām ES dalībvalstīm. Tajā neietilpst publiskie tirgus ražotāji (publiskās sabiedrības, kvazisabiedrības vai, pamatojoties uz speciāliem tiesību aktiem, vienības, kas atzītas par neatkarīgām juridiskām personām), kas ir klasificēti nefinanšu (S.11) vai finanšu (S.12) sabiedrību sektoros.</w:t>
      </w:r>
    </w:p>
    <w:p w14:paraId="1CD9383D"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544F4524"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3. Lai nolemtu, vai vienība jāklasificē kā vispārējās valdības vienība, jānosaka, vai tā ir:</w:t>
      </w:r>
    </w:p>
    <w:p w14:paraId="001C4CC6"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58BA0179" w14:textId="77777777" w:rsidR="00994F93" w:rsidRPr="00B03B51" w:rsidRDefault="00994F93" w:rsidP="00DC6362">
      <w:pPr>
        <w:pStyle w:val="BodyText"/>
        <w:numPr>
          <w:ilvl w:val="0"/>
          <w:numId w:val="30"/>
        </w:numPr>
        <w:spacing w:before="0"/>
        <w:ind w:left="426" w:hanging="425"/>
        <w:jc w:val="both"/>
        <w:rPr>
          <w:rFonts w:ascii="Times New Roman" w:hAnsi="Times New Roman" w:cs="Times New Roman"/>
          <w:noProof/>
          <w:sz w:val="24"/>
        </w:rPr>
      </w:pPr>
      <w:r w:rsidRPr="00B03B51">
        <w:rPr>
          <w:rFonts w:ascii="Times New Roman" w:hAnsi="Times New Roman" w:cs="Times New Roman"/>
          <w:sz w:val="24"/>
        </w:rPr>
        <w:t>institucionāla vienība;</w:t>
      </w:r>
    </w:p>
    <w:p w14:paraId="72D76BFA" w14:textId="77777777" w:rsidR="00994F93" w:rsidRPr="00B03B51" w:rsidRDefault="00994F93" w:rsidP="00DC6362">
      <w:pPr>
        <w:pStyle w:val="BodyText"/>
        <w:numPr>
          <w:ilvl w:val="0"/>
          <w:numId w:val="30"/>
        </w:numPr>
        <w:spacing w:before="0"/>
        <w:ind w:left="426" w:hanging="425"/>
        <w:jc w:val="both"/>
        <w:rPr>
          <w:rFonts w:ascii="Times New Roman" w:hAnsi="Times New Roman" w:cs="Times New Roman"/>
          <w:noProof/>
          <w:sz w:val="24"/>
        </w:rPr>
      </w:pPr>
      <w:r w:rsidRPr="00B03B51">
        <w:rPr>
          <w:rFonts w:ascii="Times New Roman" w:hAnsi="Times New Roman" w:cs="Times New Roman"/>
          <w:sz w:val="24"/>
        </w:rPr>
        <w:t>valdības kontrolēta institucionāla vienība;</w:t>
      </w:r>
    </w:p>
    <w:p w14:paraId="4D56490F" w14:textId="77777777" w:rsidR="00994F93" w:rsidRPr="00B03B51" w:rsidRDefault="00994F93" w:rsidP="00DC6362">
      <w:pPr>
        <w:pStyle w:val="BodyText"/>
        <w:numPr>
          <w:ilvl w:val="0"/>
          <w:numId w:val="30"/>
        </w:numPr>
        <w:spacing w:before="0"/>
        <w:ind w:left="426" w:hanging="425"/>
        <w:jc w:val="both"/>
        <w:rPr>
          <w:rFonts w:ascii="Times New Roman" w:hAnsi="Times New Roman" w:cs="Times New Roman"/>
          <w:noProof/>
          <w:sz w:val="24"/>
        </w:rPr>
      </w:pPr>
      <w:r w:rsidRPr="00B03B51">
        <w:rPr>
          <w:rFonts w:ascii="Times New Roman" w:hAnsi="Times New Roman" w:cs="Times New Roman"/>
          <w:sz w:val="24"/>
        </w:rPr>
        <w:t>ārpustirgus institucionāla vienība.</w:t>
      </w:r>
    </w:p>
    <w:p w14:paraId="023DAC61" w14:textId="77777777" w:rsidR="00994F93" w:rsidRPr="00B03B51" w:rsidRDefault="00994F93" w:rsidP="00994F93">
      <w:pPr>
        <w:pStyle w:val="BodyText"/>
        <w:spacing w:before="0"/>
        <w:ind w:left="0" w:firstLine="0"/>
        <w:jc w:val="both"/>
        <w:rPr>
          <w:rFonts w:ascii="Times New Roman" w:hAnsi="Times New Roman" w:cs="Times New Roman"/>
          <w:noProof/>
          <w:sz w:val="24"/>
        </w:rPr>
      </w:pPr>
    </w:p>
    <w:p w14:paraId="130AB63F" w14:textId="77777777" w:rsidR="00994F93" w:rsidRPr="00B03B51" w:rsidRDefault="00994F93" w:rsidP="00994F93">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t>Turpmāk ir sīkāk aplūkoti šie kritēriji, tostarp kvalitatīvie kritēriji, kā arī daži īpaši subjekti, ko kontrolē valdība, uz kuriem neattiecas tirgus/ārpustirgus tests.</w:t>
      </w:r>
    </w:p>
    <w:p w14:paraId="1CFE3A6D" w14:textId="77777777" w:rsidR="00994F93" w:rsidRPr="00B03B51" w:rsidRDefault="00994F93" w:rsidP="00994F93">
      <w:pPr>
        <w:jc w:val="both"/>
        <w:rPr>
          <w:rFonts w:ascii="Times New Roman" w:eastAsia="Arial" w:hAnsi="Times New Roman" w:cs="Times New Roman"/>
          <w:noProof/>
          <w:sz w:val="24"/>
          <w:szCs w:val="19"/>
        </w:rPr>
      </w:pPr>
    </w:p>
    <w:p w14:paraId="6014202B" w14:textId="77777777" w:rsidR="00994F93" w:rsidRPr="00B03B51" w:rsidRDefault="00994F93" w:rsidP="001F4E03">
      <w:pPr>
        <w:pStyle w:val="Heading3"/>
        <w:keepNext/>
        <w:tabs>
          <w:tab w:val="left" w:pos="1279"/>
        </w:tabs>
        <w:ind w:left="0" w:firstLine="0"/>
        <w:jc w:val="both"/>
        <w:rPr>
          <w:rFonts w:ascii="Times New Roman" w:hAnsi="Times New Roman" w:cs="Times New Roman"/>
          <w:noProof/>
          <w:sz w:val="24"/>
        </w:rPr>
      </w:pPr>
      <w:bookmarkStart w:id="15" w:name="1.2.2_Concept_of_an_institutional_unit"/>
      <w:bookmarkStart w:id="16" w:name="_Toc67565020"/>
      <w:bookmarkEnd w:id="15"/>
      <w:r w:rsidRPr="00B03B51">
        <w:rPr>
          <w:rFonts w:ascii="Times New Roman" w:hAnsi="Times New Roman" w:cs="Times New Roman"/>
          <w:sz w:val="24"/>
        </w:rPr>
        <w:lastRenderedPageBreak/>
        <w:t>1.2.2. Institucionālās vienības jēdziens</w:t>
      </w:r>
      <w:bookmarkEnd w:id="16"/>
    </w:p>
    <w:p w14:paraId="7F22F0C7" w14:textId="77777777" w:rsidR="00994F93" w:rsidRPr="00B03B51" w:rsidRDefault="00994F93" w:rsidP="001F4E03">
      <w:pPr>
        <w:pStyle w:val="BodyText"/>
        <w:keepNext/>
        <w:tabs>
          <w:tab w:val="left" w:pos="843"/>
        </w:tabs>
        <w:spacing w:before="0"/>
        <w:ind w:left="0" w:firstLine="0"/>
        <w:jc w:val="both"/>
        <w:rPr>
          <w:rFonts w:ascii="Times New Roman" w:hAnsi="Times New Roman" w:cs="Times New Roman"/>
          <w:noProof/>
          <w:sz w:val="24"/>
        </w:rPr>
      </w:pPr>
    </w:p>
    <w:p w14:paraId="7A7BF65B" w14:textId="77777777" w:rsidR="00994F93" w:rsidRPr="00B03B51" w:rsidRDefault="00994F93" w:rsidP="001F4E03">
      <w:pPr>
        <w:pStyle w:val="BodyText"/>
        <w:keepN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4. EKS 2010 2.12. punktā ir iekļauti noteikumi, saskaņā ar kuriem subjektu var uzskatīt par institucionālu vienību:</w:t>
      </w:r>
    </w:p>
    <w:p w14:paraId="00A6E8D7"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1E3F2340" w14:textId="77777777" w:rsidR="00994F93" w:rsidRPr="00B03B51" w:rsidRDefault="00994F93" w:rsidP="00994F93">
      <w:pPr>
        <w:jc w:val="both"/>
        <w:rPr>
          <w:rFonts w:ascii="Times New Roman" w:hAnsi="Times New Roman" w:cs="Times New Roman"/>
          <w:i/>
          <w:noProof/>
          <w:sz w:val="24"/>
        </w:rPr>
      </w:pPr>
      <w:r w:rsidRPr="00B03B51">
        <w:rPr>
          <w:rFonts w:ascii="Times New Roman" w:hAnsi="Times New Roman" w:cs="Times New Roman"/>
          <w:i/>
          <w:sz w:val="24"/>
        </w:rPr>
        <w:t>Institucionālā vienība ir ekonomisks subjekts, ko raksturo lēmumu pieņemšanas autonomija savu pamatfunkciju īstenošanā. Rezidentvienību uzskata par tādu, kas veido institucionālu vienību ekonomiskā teritorijā, kurā atrodas tās galveno ekonomisko interešu centrs, ja tai piemīt lēmumu pieņemšanas autonomija un tai ir pilns kontu komplekts, vai arī tai ir iespēja izveidot pilnu kontu komplektu.</w:t>
      </w:r>
    </w:p>
    <w:p w14:paraId="773808FE" w14:textId="77777777" w:rsidR="00994F93" w:rsidRPr="00B03B51" w:rsidRDefault="00994F93" w:rsidP="00994F93">
      <w:pPr>
        <w:jc w:val="both"/>
        <w:rPr>
          <w:rFonts w:ascii="Times New Roman" w:hAnsi="Times New Roman" w:cs="Times New Roman"/>
          <w:i/>
          <w:noProof/>
          <w:sz w:val="24"/>
        </w:rPr>
      </w:pPr>
    </w:p>
    <w:p w14:paraId="3BBDED33" w14:textId="77777777" w:rsidR="00994F93" w:rsidRPr="00B03B51" w:rsidRDefault="00994F93" w:rsidP="00994F93">
      <w:pPr>
        <w:jc w:val="both"/>
        <w:rPr>
          <w:rFonts w:ascii="Times New Roman" w:hAnsi="Times New Roman" w:cs="Times New Roman"/>
          <w:i/>
          <w:noProof/>
          <w:sz w:val="24"/>
        </w:rPr>
      </w:pPr>
      <w:r w:rsidRPr="00B03B51">
        <w:rPr>
          <w:rFonts w:ascii="Times New Roman" w:hAnsi="Times New Roman" w:cs="Times New Roman"/>
          <w:i/>
          <w:sz w:val="24"/>
        </w:rPr>
        <w:t>Lai vienībai būtu lēmumu pieņemšanas autonomija attiecībā uz tās pamatfunkciju, tai jābūt:</w:t>
      </w:r>
    </w:p>
    <w:p w14:paraId="00419593" w14:textId="77777777" w:rsidR="00994F93" w:rsidRPr="00B03B51" w:rsidRDefault="00994F93" w:rsidP="00994F93">
      <w:pPr>
        <w:jc w:val="both"/>
        <w:rPr>
          <w:rFonts w:ascii="Times New Roman" w:eastAsia="Arial" w:hAnsi="Times New Roman" w:cs="Times New Roman"/>
          <w:noProof/>
          <w:sz w:val="24"/>
          <w:szCs w:val="14"/>
        </w:rPr>
      </w:pPr>
    </w:p>
    <w:p w14:paraId="6F13C5EC" w14:textId="77777777" w:rsidR="00994F93" w:rsidRPr="00B03B51" w:rsidRDefault="00994F93" w:rsidP="00994F93">
      <w:pPr>
        <w:tabs>
          <w:tab w:val="left" w:pos="1126"/>
        </w:tabs>
        <w:ind w:left="284"/>
        <w:jc w:val="both"/>
        <w:rPr>
          <w:rFonts w:ascii="Times New Roman" w:hAnsi="Times New Roman" w:cs="Times New Roman"/>
          <w:i/>
          <w:noProof/>
          <w:sz w:val="24"/>
        </w:rPr>
      </w:pPr>
      <w:r w:rsidRPr="00B03B51">
        <w:rPr>
          <w:rFonts w:ascii="Times New Roman" w:hAnsi="Times New Roman" w:cs="Times New Roman"/>
          <w:i/>
          <w:sz w:val="24"/>
        </w:rPr>
        <w:t>a) tiesībām turēt savā īpašumā preces un aktīvus; spējīgai apmainīties ar preču un aktīvu īpašumtiesībām, kārtojot darījumus ar citām institucionālajām vienībām;</w:t>
      </w:r>
    </w:p>
    <w:p w14:paraId="649CDE4D" w14:textId="77777777" w:rsidR="00994F93" w:rsidRPr="00B03B51" w:rsidRDefault="00994F93" w:rsidP="00994F93">
      <w:pPr>
        <w:tabs>
          <w:tab w:val="left" w:pos="1126"/>
        </w:tabs>
        <w:ind w:left="284"/>
        <w:jc w:val="both"/>
        <w:rPr>
          <w:rFonts w:ascii="Times New Roman" w:hAnsi="Times New Roman" w:cs="Times New Roman"/>
          <w:i/>
          <w:noProof/>
          <w:sz w:val="24"/>
        </w:rPr>
      </w:pPr>
    </w:p>
    <w:p w14:paraId="71092A07" w14:textId="77777777" w:rsidR="00994F93" w:rsidRPr="00B03B51" w:rsidRDefault="00994F93" w:rsidP="00994F93">
      <w:pPr>
        <w:tabs>
          <w:tab w:val="left" w:pos="1126"/>
        </w:tabs>
        <w:ind w:left="284"/>
        <w:jc w:val="both"/>
        <w:rPr>
          <w:rFonts w:ascii="Times New Roman" w:hAnsi="Times New Roman" w:cs="Times New Roman"/>
          <w:i/>
          <w:noProof/>
          <w:sz w:val="24"/>
        </w:rPr>
      </w:pPr>
      <w:r w:rsidRPr="00B03B51">
        <w:rPr>
          <w:rFonts w:ascii="Times New Roman" w:hAnsi="Times New Roman" w:cs="Times New Roman"/>
          <w:i/>
          <w:sz w:val="24"/>
        </w:rPr>
        <w:t>b) spējīgai pieņemt ekonomiskus lēmumus un iesaistīties ekonomiskās darbībās, par kurām tā ir atbildīga saskaņā ar tiesību aktiem;</w:t>
      </w:r>
    </w:p>
    <w:p w14:paraId="079E4AA1" w14:textId="77777777" w:rsidR="00994F93" w:rsidRPr="00B03B51" w:rsidRDefault="00994F93" w:rsidP="00994F93">
      <w:pPr>
        <w:tabs>
          <w:tab w:val="left" w:pos="1126"/>
        </w:tabs>
        <w:ind w:left="284"/>
        <w:jc w:val="both"/>
        <w:rPr>
          <w:rFonts w:ascii="Times New Roman" w:hAnsi="Times New Roman" w:cs="Times New Roman"/>
          <w:i/>
          <w:noProof/>
          <w:sz w:val="24"/>
        </w:rPr>
      </w:pPr>
    </w:p>
    <w:p w14:paraId="5EA1AE2C" w14:textId="77777777" w:rsidR="00994F93" w:rsidRPr="00B03B51" w:rsidRDefault="00994F93" w:rsidP="00994F93">
      <w:pPr>
        <w:tabs>
          <w:tab w:val="left" w:pos="1126"/>
        </w:tabs>
        <w:ind w:left="284"/>
        <w:jc w:val="both"/>
        <w:rPr>
          <w:rFonts w:ascii="Times New Roman" w:hAnsi="Times New Roman" w:cs="Times New Roman"/>
          <w:i/>
          <w:noProof/>
          <w:sz w:val="24"/>
        </w:rPr>
      </w:pPr>
      <w:r w:rsidRPr="00B03B51">
        <w:rPr>
          <w:rFonts w:ascii="Times New Roman" w:hAnsi="Times New Roman" w:cs="Times New Roman"/>
          <w:i/>
          <w:sz w:val="24"/>
        </w:rPr>
        <w:t>c) spējīgai uzņemties saistības savā vārdā, uzņemties citus pienākumus vai nākotnes saistības, kā arī stāties līgumattiecībās;</w:t>
      </w:r>
    </w:p>
    <w:p w14:paraId="7BA3A3D9" w14:textId="77777777" w:rsidR="00994F93" w:rsidRPr="00B03B51" w:rsidRDefault="00994F93" w:rsidP="00994F93">
      <w:pPr>
        <w:ind w:left="284"/>
        <w:jc w:val="both"/>
        <w:rPr>
          <w:rFonts w:ascii="Times New Roman" w:hAnsi="Times New Roman" w:cs="Times New Roman"/>
          <w:noProof/>
          <w:sz w:val="24"/>
        </w:rPr>
      </w:pPr>
    </w:p>
    <w:p w14:paraId="4FD1C22E" w14:textId="77777777" w:rsidR="00994F93" w:rsidRPr="00B03B51" w:rsidRDefault="00994F93" w:rsidP="00994F93">
      <w:pPr>
        <w:ind w:left="284"/>
        <w:jc w:val="both"/>
        <w:rPr>
          <w:rFonts w:ascii="Times New Roman" w:hAnsi="Times New Roman" w:cs="Times New Roman"/>
          <w:noProof/>
          <w:sz w:val="24"/>
        </w:rPr>
      </w:pPr>
      <w:r w:rsidRPr="00B03B51">
        <w:rPr>
          <w:rFonts w:ascii="Times New Roman" w:hAnsi="Times New Roman" w:cs="Times New Roman"/>
          <w:i/>
          <w:iCs/>
          <w:sz w:val="24"/>
        </w:rPr>
        <w:t>d)</w:t>
      </w:r>
      <w:r w:rsidRPr="00B03B51">
        <w:rPr>
          <w:rFonts w:ascii="Times New Roman" w:hAnsi="Times New Roman" w:cs="Times New Roman"/>
          <w:sz w:val="24"/>
        </w:rPr>
        <w:t xml:space="preserve"> </w:t>
      </w:r>
      <w:r w:rsidRPr="00B03B51">
        <w:rPr>
          <w:rFonts w:ascii="Times New Roman" w:hAnsi="Times New Roman" w:cs="Times New Roman"/>
          <w:i/>
          <w:iCs/>
          <w:sz w:val="24"/>
        </w:rPr>
        <w:t>spējīgai izveidot pilnu kontu komplektu, kas aptver uzskaites ierakstus par visiem uzskaites periodā veiktajiem darījumiem, kā arī sagatavot aktīvu un saistību</w:t>
      </w:r>
      <w:r w:rsidRPr="00B03B51">
        <w:rPr>
          <w:rFonts w:ascii="Times New Roman" w:hAnsi="Times New Roman" w:cs="Times New Roman"/>
          <w:sz w:val="24"/>
        </w:rPr>
        <w:t xml:space="preserve"> </w:t>
      </w:r>
      <w:r w:rsidRPr="00B03B51">
        <w:rPr>
          <w:rFonts w:ascii="Times New Roman" w:hAnsi="Times New Roman" w:cs="Times New Roman"/>
          <w:i/>
          <w:iCs/>
          <w:sz w:val="24"/>
        </w:rPr>
        <w:t>bilanci</w:t>
      </w:r>
      <w:r w:rsidRPr="00B03B51">
        <w:rPr>
          <w:rFonts w:ascii="Times New Roman" w:hAnsi="Times New Roman" w:cs="Times New Roman"/>
          <w:sz w:val="24"/>
        </w:rPr>
        <w:t>.</w:t>
      </w:r>
      <w:r w:rsidRPr="00B03B51">
        <w:rPr>
          <w:rStyle w:val="FootnoteReference"/>
          <w:rFonts w:ascii="Times New Roman" w:hAnsi="Times New Roman" w:cs="Times New Roman"/>
          <w:noProof/>
          <w:sz w:val="24"/>
        </w:rPr>
        <w:footnoteReference w:id="12"/>
      </w:r>
    </w:p>
    <w:p w14:paraId="3D132C69"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239B9FD9"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5. EKS 2010 2.13. punktā ir atzīti noteikti konkrēti gadījumi, kad subjektam nav institucionālās vienības īpašību, un sniegti šādi principi:</w:t>
      </w:r>
    </w:p>
    <w:p w14:paraId="24500A4C"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2DA7BD82" w14:textId="77777777" w:rsidR="00994F93" w:rsidRPr="00B03B51" w:rsidRDefault="00994F93" w:rsidP="00DC6362">
      <w:pPr>
        <w:pStyle w:val="BodyText"/>
        <w:numPr>
          <w:ilvl w:val="0"/>
          <w:numId w:val="29"/>
        </w:numPr>
        <w:spacing w:before="0"/>
        <w:ind w:left="426" w:hanging="425"/>
        <w:jc w:val="both"/>
        <w:rPr>
          <w:rFonts w:ascii="Times New Roman" w:hAnsi="Times New Roman" w:cs="Times New Roman"/>
          <w:noProof/>
          <w:sz w:val="24"/>
        </w:rPr>
      </w:pPr>
      <w:r w:rsidRPr="00B03B51">
        <w:rPr>
          <w:rFonts w:ascii="Times New Roman" w:hAnsi="Times New Roman" w:cs="Times New Roman"/>
          <w:sz w:val="24"/>
        </w:rPr>
        <w:t>ja subjektam nav iespējas izveidot pilnu kontu komplektu, tad šis subjekts netiek atzīts par institucionālu vienību un tā daļējie konti tiek integrēti to kontrolējošās institucionālās vienības kontos;</w:t>
      </w:r>
    </w:p>
    <w:p w14:paraId="171DEB09" w14:textId="77777777" w:rsidR="00994F93" w:rsidRPr="00B03B51" w:rsidRDefault="00994F93" w:rsidP="00DC6362">
      <w:pPr>
        <w:pStyle w:val="BodyText"/>
        <w:numPr>
          <w:ilvl w:val="0"/>
          <w:numId w:val="29"/>
        </w:numPr>
        <w:spacing w:before="0"/>
        <w:ind w:left="426" w:hanging="425"/>
        <w:jc w:val="both"/>
        <w:rPr>
          <w:rFonts w:ascii="Times New Roman" w:hAnsi="Times New Roman" w:cs="Times New Roman"/>
          <w:noProof/>
          <w:sz w:val="24"/>
        </w:rPr>
      </w:pPr>
      <w:r w:rsidRPr="00B03B51">
        <w:rPr>
          <w:rFonts w:ascii="Times New Roman" w:hAnsi="Times New Roman" w:cs="Times New Roman"/>
          <w:sz w:val="24"/>
        </w:rPr>
        <w:t>ja subjektam, kuram var izveidot pilnu kontu komplektu, nav lēmumu pieņemšanas autonomijas jautājumos, kas saistīti ar tā galvenās funkcijas īstenošanu, šāds subjekts netiek atzīts par institucionālu vienību un ir uzskatāms par daļu no vienības, kura to kontrolē;</w:t>
      </w:r>
    </w:p>
    <w:p w14:paraId="71CE84B2" w14:textId="77777777" w:rsidR="00994F93" w:rsidRPr="00B03B51" w:rsidRDefault="00994F93" w:rsidP="00DC6362">
      <w:pPr>
        <w:pStyle w:val="BodyText"/>
        <w:numPr>
          <w:ilvl w:val="0"/>
          <w:numId w:val="29"/>
        </w:numPr>
        <w:spacing w:before="0"/>
        <w:ind w:left="426" w:hanging="425"/>
        <w:jc w:val="both"/>
        <w:rPr>
          <w:rFonts w:ascii="Times New Roman" w:hAnsi="Times New Roman" w:cs="Times New Roman"/>
          <w:noProof/>
          <w:sz w:val="24"/>
        </w:rPr>
      </w:pPr>
      <w:r w:rsidRPr="00B03B51">
        <w:rPr>
          <w:rFonts w:ascii="Times New Roman" w:hAnsi="Times New Roman" w:cs="Times New Roman"/>
          <w:sz w:val="24"/>
        </w:rPr>
        <w:t>atsevišķi subjekti, kas ir grupas struktūras sastāvdaļas un kam var izveidot pilnu kontu komplektu, tiek uzskatīti par institucionālām vienībām, pat ja tie ir daļēji atteikušies no savu lēmumu pieņemšanas autonomijas par labu centrālajai struktūrai (centrālajam birojam), kas atbild par grupas vispārējo vadību; centrālo biroju pašu uzskata par institucionālu vienību, kas ir neatkarīga no tās kontrolētajām vienībām (skat. 1.6. nodaļu “Īpaši publiski subjekti”);</w:t>
      </w:r>
    </w:p>
    <w:p w14:paraId="1AC584FF" w14:textId="77777777" w:rsidR="00994F93" w:rsidRPr="00B03B51" w:rsidRDefault="00994F93" w:rsidP="00DC6362">
      <w:pPr>
        <w:pStyle w:val="BodyText"/>
        <w:numPr>
          <w:ilvl w:val="0"/>
          <w:numId w:val="29"/>
        </w:numPr>
        <w:spacing w:before="0"/>
        <w:ind w:left="426" w:hanging="425"/>
        <w:jc w:val="both"/>
        <w:rPr>
          <w:rFonts w:ascii="Times New Roman" w:hAnsi="Times New Roman" w:cs="Times New Roman"/>
          <w:noProof/>
          <w:sz w:val="24"/>
        </w:rPr>
      </w:pPr>
      <w:r w:rsidRPr="00B03B51">
        <w:rPr>
          <w:rFonts w:ascii="Times New Roman" w:hAnsi="Times New Roman" w:cs="Times New Roman"/>
          <w:sz w:val="24"/>
        </w:rPr>
        <w:t>uzskatāms, ka subjektiem, kuriem var izveidot pilnu kontu komplektu, kuriem nav atsevišķa juridiska statusa, bet kuru ekonomiskā darbība un darbība finanšu jomā līdzinās sabiedrību darbībai (t. i., tirgus ražotāji) un kuri atšķiras no sava(-iem) īpašnieka(-iem), ir lēmumu pieņemšanas autonomija, un šos subjektus klasificē kā kvazisabiedrības finanšu vai nefinanšu sabiedrību sektorā.</w:t>
      </w:r>
    </w:p>
    <w:p w14:paraId="268BE682"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6016C1B9"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6. EKS 2010 ir arī īpaši minēti mākslīgi meitasuzņēmumi un palīgvienības un sniegts padoms, ka šādas vienības neatbilst prasībām, lai tiktu atzītas par institucionālām vienībām, jo uzskatāms, ka tām trūkst lēmumu pieņemšanas autonomijas (neatkarīgi no tā, ka tās var būt juridiskas personas). Tas liecina par to, ka termins “ekonomisks lēmums” nav jāsaprot tā juridiskajā dimensijā. Drīzāk “spēja pieņemt ekonomiskus lēmumus un iesaistīties ekonomiskās darbībās” nozīmē, ka ir jābūt patiesai spējai faktiski pieņemt nozīmīgus lēmumus, un nevis tikai raksturo to, ka tiesību rīcības spēja kā tāda varētu nozīmēt šādu spēju. EKS 2010 raksturīgi ir tas, ka tiek piemērots atspoguļošanas pēc būtības princips.</w:t>
      </w:r>
    </w:p>
    <w:p w14:paraId="6412AE65"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3BB950E1"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 xml:space="preserve">7. Jāuzsver, ka EKS 2010 sektoru klasifikācijas kritēriji un institucionālās vienības definīcija </w:t>
      </w:r>
      <w:r w:rsidRPr="00B03B51">
        <w:rPr>
          <w:rFonts w:ascii="Times New Roman" w:hAnsi="Times New Roman" w:cs="Times New Roman"/>
          <w:b/>
          <w:bCs/>
          <w:sz w:val="24"/>
        </w:rPr>
        <w:t>nav</w:t>
      </w:r>
      <w:r w:rsidRPr="00B03B51">
        <w:rPr>
          <w:rFonts w:ascii="Times New Roman" w:hAnsi="Times New Roman" w:cs="Times New Roman"/>
          <w:sz w:val="24"/>
        </w:rPr>
        <w:t xml:space="preserve"> izstrādāta, pamatojoties uz subjekta juridisko formu. Dažkārt var secināt, ka subjektam nav nepieciešamās lēmumu pieņemšanas autonomijas, par ko ne vienmēr liecina tā juridiskais statuss.</w:t>
      </w:r>
    </w:p>
    <w:p w14:paraId="4F6088B3"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45692760"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8. Šajā saistībā subjekts, kas pamatā darbojas kā “autopilots”, jo, piemēram, pastāv tikai nolūkā īstenot līgumus (bieži vien ar apakšuzņēmuma līgumu starpniecību), ko ir noslēguši citi subjekti, vai subjekts, kas sniedz savu produkciju tikai unikālam “klientam”</w:t>
      </w:r>
      <w:r w:rsidRPr="00B03B51">
        <w:rPr>
          <w:rStyle w:val="FootnoteReference"/>
          <w:rFonts w:ascii="Times New Roman" w:hAnsi="Times New Roman" w:cs="Times New Roman"/>
          <w:noProof/>
          <w:sz w:val="24"/>
        </w:rPr>
        <w:footnoteReference w:id="13"/>
      </w:r>
      <w:r w:rsidRPr="00B03B51">
        <w:rPr>
          <w:rFonts w:ascii="Times New Roman" w:hAnsi="Times New Roman" w:cs="Times New Roman"/>
          <w:sz w:val="24"/>
        </w:rPr>
        <w:t>, pasīvi reaģējot uz tā vajadzībām, kopumā nav uzskatāms par institucionālo vienību, jo tas neatbilst EKS 2010 lēmumu autonomijas kritērijam. Proti:</w:t>
      </w:r>
    </w:p>
    <w:p w14:paraId="6E185A60" w14:textId="77777777" w:rsidR="00994F93" w:rsidRPr="00B03B51" w:rsidRDefault="00994F93" w:rsidP="00994F93">
      <w:pPr>
        <w:pStyle w:val="BodyText"/>
        <w:tabs>
          <w:tab w:val="left" w:pos="1126"/>
        </w:tabs>
        <w:spacing w:before="0"/>
        <w:ind w:left="0" w:firstLine="0"/>
        <w:jc w:val="both"/>
        <w:rPr>
          <w:rFonts w:ascii="Times New Roman" w:hAnsi="Times New Roman" w:cs="Times New Roman"/>
          <w:noProof/>
          <w:sz w:val="24"/>
        </w:rPr>
      </w:pPr>
    </w:p>
    <w:p w14:paraId="3750002C" w14:textId="77777777" w:rsidR="00994F93" w:rsidRPr="00B03B51" w:rsidRDefault="00994F93" w:rsidP="00994F93">
      <w:pPr>
        <w:pStyle w:val="BodyText"/>
        <w:tabs>
          <w:tab w:val="left" w:pos="1126"/>
        </w:tabs>
        <w:spacing w:before="0"/>
        <w:ind w:left="284" w:firstLine="0"/>
        <w:jc w:val="both"/>
        <w:rPr>
          <w:rFonts w:ascii="Times New Roman" w:hAnsi="Times New Roman" w:cs="Times New Roman"/>
          <w:noProof/>
          <w:sz w:val="24"/>
        </w:rPr>
      </w:pPr>
      <w:r w:rsidRPr="00B03B51">
        <w:rPr>
          <w:rFonts w:ascii="Times New Roman" w:hAnsi="Times New Roman" w:cs="Times New Roman"/>
          <w:sz w:val="24"/>
        </w:rPr>
        <w:t>a) daudzas rezidentas īpašam nolūkam izveidotas sabiedrības (ĪNIS) vai īpašam nolūkam dibinātas sabiedrības (ĪNDS) pamatā ir autopiloti (t. i., šo subjektu tiesības, pienākumi un darbības pārsvarā ir iepriekš definētas un ierobežotas ar līgumiem vai tiesību normām)</w:t>
      </w:r>
      <w:r w:rsidRPr="00B03B51">
        <w:rPr>
          <w:rStyle w:val="FootnoteReference"/>
          <w:rFonts w:ascii="Times New Roman" w:hAnsi="Times New Roman" w:cs="Times New Roman"/>
          <w:noProof/>
          <w:sz w:val="24"/>
        </w:rPr>
        <w:footnoteReference w:id="14"/>
      </w:r>
      <w:r w:rsidRPr="00B03B51">
        <w:rPr>
          <w:rFonts w:ascii="Times New Roman" w:hAnsi="Times New Roman" w:cs="Times New Roman"/>
          <w:sz w:val="24"/>
        </w:rPr>
        <w:t xml:space="preserve"> un nav institucionālās vienības. Ja šie subjekti ir nerezidenti, parasti tos uzskata par institucionālām vienībām, lai arī var rasties vajadzība daudzas to darbības pārkārtot, ja tos ir izveidojusi vai tos sponsorē valdība;</w:t>
      </w:r>
    </w:p>
    <w:p w14:paraId="13237606" w14:textId="77777777" w:rsidR="00994F93" w:rsidRPr="00B03B51" w:rsidRDefault="00994F93" w:rsidP="00994F93">
      <w:pPr>
        <w:pStyle w:val="BodyText"/>
        <w:tabs>
          <w:tab w:val="left" w:pos="1126"/>
        </w:tabs>
        <w:spacing w:before="0"/>
        <w:ind w:left="284" w:firstLine="0"/>
        <w:jc w:val="both"/>
        <w:rPr>
          <w:rFonts w:ascii="Times New Roman" w:hAnsi="Times New Roman" w:cs="Times New Roman"/>
          <w:noProof/>
          <w:sz w:val="24"/>
        </w:rPr>
      </w:pPr>
    </w:p>
    <w:p w14:paraId="52737615" w14:textId="77777777" w:rsidR="00994F93" w:rsidRPr="00B03B51" w:rsidRDefault="00994F93" w:rsidP="00994F93">
      <w:pPr>
        <w:pStyle w:val="BodyText"/>
        <w:tabs>
          <w:tab w:val="left" w:pos="1126"/>
        </w:tabs>
        <w:spacing w:before="0"/>
        <w:ind w:left="284" w:firstLine="0"/>
        <w:jc w:val="both"/>
        <w:rPr>
          <w:rFonts w:ascii="Times New Roman" w:hAnsi="Times New Roman" w:cs="Times New Roman"/>
          <w:noProof/>
          <w:sz w:val="24"/>
        </w:rPr>
      </w:pPr>
      <w:r w:rsidRPr="00B03B51">
        <w:rPr>
          <w:rFonts w:ascii="Times New Roman" w:hAnsi="Times New Roman" w:cs="Times New Roman"/>
          <w:sz w:val="24"/>
        </w:rPr>
        <w:t>b) vispārīgi runājot, institucionālai vienībai ir nepieciešami darbinieki vai cits personāls, bez kura lēmumu pieņemšana ir maz iespējama. Taču, ja subjektam nav personāla, bet ir aktīva “valde” (piemēram, valde, direktoru padome vai izpildpadome), dažkārt to var uzskatīt par institucionālu vienību. Dažos gadījumos grāmatvedības vajadzībām tiek izveidotas “nosacītās vienības”, pat ja tām nav lēmumu pieņemšanas autonomijas, piemēram, kad subjekts tiek iesaistīts dažādās darbībās un saistībā ar šīm darbībām nav iespējams izveidot atsevišķas institucionālās vienības. Šādos gadījumos tomēr ir piemērojami parastie kontroles rādītāji;</w:t>
      </w:r>
    </w:p>
    <w:p w14:paraId="3285DC6C" w14:textId="77777777" w:rsidR="00994F93" w:rsidRPr="00B03B51" w:rsidRDefault="00994F93" w:rsidP="00994F93">
      <w:pPr>
        <w:pStyle w:val="BodyText"/>
        <w:tabs>
          <w:tab w:val="left" w:pos="1126"/>
        </w:tabs>
        <w:spacing w:before="0"/>
        <w:ind w:left="284" w:firstLine="0"/>
        <w:jc w:val="both"/>
        <w:rPr>
          <w:rFonts w:ascii="Times New Roman" w:hAnsi="Times New Roman" w:cs="Times New Roman"/>
          <w:noProof/>
          <w:sz w:val="24"/>
        </w:rPr>
      </w:pPr>
    </w:p>
    <w:p w14:paraId="5465D813" w14:textId="77777777" w:rsidR="00994F93" w:rsidRPr="00B03B51" w:rsidRDefault="00994F93" w:rsidP="00994F93">
      <w:pPr>
        <w:pStyle w:val="BodyText"/>
        <w:tabs>
          <w:tab w:val="left" w:pos="1126"/>
        </w:tabs>
        <w:spacing w:before="0"/>
        <w:ind w:left="284" w:firstLine="0"/>
        <w:jc w:val="both"/>
        <w:rPr>
          <w:rFonts w:ascii="Times New Roman" w:hAnsi="Times New Roman" w:cs="Times New Roman"/>
          <w:noProof/>
          <w:sz w:val="24"/>
        </w:rPr>
      </w:pPr>
      <w:r w:rsidRPr="00B03B51">
        <w:rPr>
          <w:rFonts w:ascii="Times New Roman" w:hAnsi="Times New Roman" w:cs="Times New Roman"/>
          <w:sz w:val="24"/>
        </w:rPr>
        <w:t xml:space="preserve">c) subjektiem, kuriem ir juridiskais statuss un kuri apkalpo vienu vienīgo klientu, parasti nav lēmumu pieņemšanas autonomijas, un tie netiek uzskatīti par institucionālām vienībām EKS 2010. Tie var būt palīgvienības vai mākslīgie meitasuzņēmumi. Piemēram, tiks uzskatīts, ka IT nodaļai, pat ja tā ir juridiski inkorporēta, nav lēmumu pieņemšanas autonomijas, ja vien nav redzams, ka tā lielu daļu savas produkcijas pārdod ārpus mātesuzņēmuma vai grupas. Ja viena juridiskā persona tur visu grupas personālu, savukārt otra juridiskā persona tur visus tās pamatlīdzekļus, nevienu no tām nevar uzskatīt par atsevišķu institucionālo vienību, jo neviena nevar veikt ražošanu bez otras. Situācija var </w:t>
      </w:r>
      <w:r w:rsidRPr="00B03B51">
        <w:rPr>
          <w:rFonts w:ascii="Times New Roman" w:hAnsi="Times New Roman" w:cs="Times New Roman"/>
          <w:sz w:val="24"/>
        </w:rPr>
        <w:lastRenderedPageBreak/>
        <w:t>mainīties, ja var redzēt, ka katra sniedz būtiskus pakalpojumus ārpus grupas (piemēram, kā darbaspēka ārpakalpojumu uzņēmums un pamatlīdzekļu iznomāšanas uzņēmums). Šā paša iemesla dēļ inkorporētai ražotnei, kas visu savu produkciju sniedz citam grupas meitasuzņēmumam, arī nav lēmumu pieņemšanas autonomijas.</w:t>
      </w:r>
    </w:p>
    <w:p w14:paraId="621F3D9F"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638BEC1A"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 xml:space="preserve">9. Lēmumu pieņemšanas autonomija neattiecas uz tādiem stratēģiskiem uzņēmējdarbības lēmumiem kā uzņēmuma nodaļu pārdošana un pirkšana, ražotņu vai uzņēmumu pārvietošana vai slēgšana utt. Šādus lēmumus parasti pieņems mātesuzņēmums, kam pieder kontroles atribūts, neizslēdzot </w:t>
      </w:r>
      <w:r w:rsidRPr="00B03B51">
        <w:rPr>
          <w:rFonts w:ascii="Times New Roman" w:hAnsi="Times New Roman" w:cs="Times New Roman"/>
          <w:i/>
          <w:iCs/>
          <w:sz w:val="24"/>
        </w:rPr>
        <w:t>a priori</w:t>
      </w:r>
      <w:r w:rsidRPr="00B03B51">
        <w:rPr>
          <w:rFonts w:ascii="Times New Roman" w:hAnsi="Times New Roman" w:cs="Times New Roman"/>
          <w:sz w:val="24"/>
        </w:rPr>
        <w:t xml:space="preserve"> lēmumu pieņemšanas autonomiju. Vienlaikus zināma darbības autonomija, piemēram, spēja norīkot personālu konkrēta uzdevuma izpildei utt., var nebūt pietiekama lēmumu pieņemšanas autonomija galvenās funkcijas īstenošanā, ja par noteiktiem galvenajiem parametriem neatbild valde. Tāpēc ražotne, kas ietilpst grupā, nav institucionāla vienība, kad tā tiek inkorporēta. Ražotnes direktors nekontrolē pamatelementus, kas raksturo (tirgus) ražotāju, piemēram, nenosaka cenu un/vai piegādes apjomu, un viņa vienīgā funkcija ir nodrošināt iespējami augstāku efektivitāti, ražojot grupas noteikto produkciju.</w:t>
      </w:r>
    </w:p>
    <w:p w14:paraId="09ED9E81"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7BE67468"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10. Galu galā mātesuzņēmums spēj noteikt (galvenokārt ierobežot) sava meitasuzņēmuma mērķi (uzdevumu). Ja tas nosaka šo parametru tik šauri, ka faktiski pārņem visu lēmumu pieņemšanas autonomiju, šis meitasuzņēmums zaudē savu institucionālās vienības statusu (skat. ĪNDS gadījumu). Lēmumu pieņemšanas autonomiju mātesuzņēmums var arī ierobežot, iejaucoties</w:t>
      </w:r>
      <w:r w:rsidRPr="00B03B51">
        <w:rPr>
          <w:rStyle w:val="FootnoteReference"/>
          <w:rFonts w:ascii="Times New Roman" w:hAnsi="Times New Roman" w:cs="Times New Roman"/>
          <w:noProof/>
          <w:sz w:val="24"/>
        </w:rPr>
        <w:footnoteReference w:id="15"/>
      </w:r>
      <w:r w:rsidRPr="00B03B51">
        <w:rPr>
          <w:rFonts w:ascii="Times New Roman" w:hAnsi="Times New Roman" w:cs="Times New Roman"/>
          <w:sz w:val="24"/>
        </w:rPr>
        <w:t xml:space="preserve"> meitasuzņēmuma darbībās. Tāpēc, lai saglabātu tādu lēmumu pieņemšanas autonomijas pakāpi, kas būtu pietiekama, lai kvalificētos institucionālās vienības statusam, saskaņā ar EKS 2010 pieņem – jo šaurāks ir meitasuzņēmuma mērķis, jo mazāka mātesuzņēmuma iejaukšanās pakāpe ir pieļaujama.</w:t>
      </w:r>
      <w:r w:rsidRPr="00B03B51">
        <w:rPr>
          <w:rStyle w:val="FootnoteReference"/>
          <w:rFonts w:ascii="Times New Roman" w:hAnsi="Times New Roman" w:cs="Times New Roman"/>
          <w:noProof/>
          <w:sz w:val="24"/>
        </w:rPr>
        <w:footnoteReference w:id="16"/>
      </w:r>
    </w:p>
    <w:p w14:paraId="530CA6CD"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2767EB67"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11. Kopumā visu juridiskās vienības darbību klasificē vienā sektorā. Izņēmumi ir, piemēram, šādi gadījumi:</w:t>
      </w:r>
    </w:p>
    <w:p w14:paraId="58BE9B98"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2363F382" w14:textId="77777777" w:rsidR="00994F93" w:rsidRPr="00B03B51" w:rsidRDefault="00994F93" w:rsidP="00E83BFF">
      <w:pPr>
        <w:pStyle w:val="BodyText"/>
        <w:numPr>
          <w:ilvl w:val="0"/>
          <w:numId w:val="28"/>
        </w:numPr>
        <w:spacing w:before="0"/>
        <w:ind w:left="426" w:hanging="425"/>
        <w:jc w:val="both"/>
        <w:rPr>
          <w:rFonts w:ascii="Times New Roman" w:hAnsi="Times New Roman" w:cs="Times New Roman"/>
          <w:noProof/>
          <w:sz w:val="24"/>
        </w:rPr>
      </w:pPr>
      <w:r w:rsidRPr="00B03B51">
        <w:rPr>
          <w:rFonts w:ascii="Times New Roman" w:hAnsi="Times New Roman" w:cs="Times New Roman"/>
          <w:sz w:val="24"/>
        </w:rPr>
        <w:t>kad par tirgus kvazisabiedrību iespējams atzīt kādu ārpustirgus juridiskās vienības daļu (kuru tad neklasificē valdības sektorā);</w:t>
      </w:r>
    </w:p>
    <w:p w14:paraId="4C817B2C" w14:textId="77777777" w:rsidR="00994F93" w:rsidRPr="00B03B51" w:rsidRDefault="00994F93" w:rsidP="00E83BFF">
      <w:pPr>
        <w:pStyle w:val="BodyText"/>
        <w:numPr>
          <w:ilvl w:val="0"/>
          <w:numId w:val="28"/>
        </w:numPr>
        <w:spacing w:before="0"/>
        <w:ind w:left="426" w:hanging="425"/>
        <w:jc w:val="both"/>
        <w:rPr>
          <w:rFonts w:ascii="Times New Roman" w:hAnsi="Times New Roman" w:cs="Times New Roman"/>
          <w:noProof/>
          <w:sz w:val="24"/>
        </w:rPr>
      </w:pPr>
      <w:r w:rsidRPr="00B03B51">
        <w:rPr>
          <w:rFonts w:ascii="Times New Roman" w:hAnsi="Times New Roman" w:cs="Times New Roman"/>
          <w:sz w:val="24"/>
        </w:rPr>
        <w:t>kad ir nepieciešams izveidot nosacītu vienību, piemēram, tirgu regulējošo institūciju gadījumā (skat. 1.4. nodaļu), vai</w:t>
      </w:r>
    </w:p>
    <w:p w14:paraId="1E5F22A0" w14:textId="77777777" w:rsidR="00994F93" w:rsidRPr="00B03B51" w:rsidRDefault="00994F93" w:rsidP="00E83BFF">
      <w:pPr>
        <w:pStyle w:val="BodyText"/>
        <w:numPr>
          <w:ilvl w:val="0"/>
          <w:numId w:val="28"/>
        </w:numPr>
        <w:spacing w:before="0"/>
        <w:ind w:left="426" w:hanging="425"/>
        <w:jc w:val="both"/>
        <w:rPr>
          <w:rFonts w:ascii="Times New Roman" w:hAnsi="Times New Roman" w:cs="Times New Roman"/>
          <w:noProof/>
          <w:sz w:val="24"/>
        </w:rPr>
      </w:pPr>
      <w:r w:rsidRPr="00B03B51">
        <w:rPr>
          <w:rFonts w:ascii="Times New Roman" w:hAnsi="Times New Roman" w:cs="Times New Roman"/>
          <w:sz w:val="24"/>
        </w:rPr>
        <w:t>kopuzņēmumu, kurā ir divas kopuzņēmuma puses, katrai no kurām ir 50 % kopuzņēmuma akciju (skat. 1.8. nodaļu);</w:t>
      </w:r>
    </w:p>
    <w:p w14:paraId="42C00D38" w14:textId="77777777" w:rsidR="00994F93" w:rsidRPr="00B03B51" w:rsidRDefault="00994F93" w:rsidP="00E83BFF">
      <w:pPr>
        <w:pStyle w:val="BodyText"/>
        <w:numPr>
          <w:ilvl w:val="0"/>
          <w:numId w:val="28"/>
        </w:numPr>
        <w:spacing w:before="0"/>
        <w:ind w:left="426" w:hanging="425"/>
        <w:jc w:val="both"/>
        <w:rPr>
          <w:rFonts w:ascii="Times New Roman" w:hAnsi="Times New Roman" w:cs="Times New Roman"/>
          <w:noProof/>
          <w:sz w:val="24"/>
        </w:rPr>
      </w:pPr>
      <w:r w:rsidRPr="00B03B51">
        <w:rPr>
          <w:rFonts w:ascii="Times New Roman" w:hAnsi="Times New Roman" w:cs="Times New Roman"/>
          <w:sz w:val="24"/>
        </w:rPr>
        <w:t>kad ir nepieciešams pārkārtot darījumus un krājumus (skat. 1.2.4.5. apakšiedaļu), piemēram, kad publisks subjekts (sevišķi valsts finanšu iestāde) valdības vārdā pārvalda īpašam nolūkam paredzētus līdzekļus;</w:t>
      </w:r>
    </w:p>
    <w:p w14:paraId="5CC806EB" w14:textId="77777777" w:rsidR="00994F93" w:rsidRPr="00B03B51" w:rsidRDefault="00994F93" w:rsidP="00E83BFF">
      <w:pPr>
        <w:pStyle w:val="BodyText"/>
        <w:numPr>
          <w:ilvl w:val="0"/>
          <w:numId w:val="28"/>
        </w:numPr>
        <w:spacing w:before="0"/>
        <w:ind w:left="426" w:hanging="425"/>
        <w:jc w:val="both"/>
        <w:rPr>
          <w:rFonts w:ascii="Times New Roman" w:hAnsi="Times New Roman" w:cs="Times New Roman"/>
          <w:noProof/>
          <w:sz w:val="24"/>
        </w:rPr>
      </w:pPr>
      <w:r w:rsidRPr="00B03B51">
        <w:rPr>
          <w:rFonts w:ascii="Times New Roman" w:hAnsi="Times New Roman" w:cs="Times New Roman"/>
          <w:sz w:val="24"/>
        </w:rPr>
        <w:t>noteiktu veidu pensiju fondi (skat. 1.3. nodaļu).</w:t>
      </w:r>
    </w:p>
    <w:p w14:paraId="00BE3C98" w14:textId="77777777" w:rsidR="00994F93" w:rsidRPr="00B03B51" w:rsidRDefault="00994F93" w:rsidP="00994F93">
      <w:pPr>
        <w:jc w:val="both"/>
        <w:rPr>
          <w:rFonts w:ascii="Times New Roman" w:eastAsia="Arial" w:hAnsi="Times New Roman" w:cs="Times New Roman"/>
          <w:noProof/>
          <w:sz w:val="24"/>
          <w:szCs w:val="14"/>
        </w:rPr>
      </w:pPr>
    </w:p>
    <w:p w14:paraId="1D2730D1"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12. Attiecībā uz noteiktām publiskajām juridiskajām vienībām dažkārt ir ļoti grūti izspriest, vai valde pieņem lēmumus autonomi no valdības. Tas jo īpaši tā ir attiecībā uz tādiem subjektiem, kuru valde vai nu pilnībā, vai vismaz vairākumā sastāv no vispārējās valdības amatpersonām (t. i., amatpersonām, kas pieder valdības likumdošanas, administratīvajai vai tiesu varai).</w:t>
      </w:r>
      <w:r w:rsidRPr="00B03B51">
        <w:rPr>
          <w:rStyle w:val="FootnoteReference"/>
          <w:rFonts w:ascii="Times New Roman" w:hAnsi="Times New Roman" w:cs="Times New Roman"/>
          <w:noProof/>
          <w:sz w:val="24"/>
        </w:rPr>
        <w:footnoteReference w:id="17"/>
      </w:r>
      <w:r w:rsidRPr="00B03B51">
        <w:rPr>
          <w:rFonts w:ascii="Times New Roman" w:hAnsi="Times New Roman" w:cs="Times New Roman"/>
          <w:sz w:val="24"/>
        </w:rPr>
        <w:t xml:space="preserve"> Šī īpatnība bieži vien ir vērojama finanšu subjektiem, kas galvenokārt sniedz finanšu pakalpojumus savam mātesuzņēmumam vai citiem mātesuzņēmuma subjektiem (grupas </w:t>
      </w:r>
      <w:r w:rsidRPr="00B03B51">
        <w:rPr>
          <w:rFonts w:ascii="Times New Roman" w:hAnsi="Times New Roman" w:cs="Times New Roman"/>
          <w:sz w:val="24"/>
        </w:rPr>
        <w:lastRenderedPageBreak/>
        <w:t>subjektiem).</w:t>
      </w:r>
    </w:p>
    <w:p w14:paraId="0388921B"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2959BC10"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13. Īpašs gadījums ir piesaistošās finanšu iestādes, attiecībā uz kurām ir jāskata jautājums, vai šādi subjekti pietiekami neatkarīgi no sava mātesuzņēmuma īsteno uzņēmuma lēmumu pieņemšanas procesu. Par neatkarību var liecināt tas, ka tie būtiski kontrolē savus aktīvus un saistības, saistībā ar šiem aktīviem un saistībām uzņemoties riskus un gūstot peļņu (skat. EKS 2010 2.22. punktu). Pieņem, ka nav lēmumu pieņemšanas autonomijas attiecībā uz subjekta galveno funkciju, ja valdība ierobežo subjekta aktīvu un saistību pusi (skat. šīs rokasgrāmatas 1.6.6. iedaļu).</w:t>
      </w:r>
    </w:p>
    <w:p w14:paraId="72906E04"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29D97A7D"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14. Gadījumā, ja subjekta valdē vairākumu veido valdības amatpersonas, ir pat lielāka iespējamība, ka šādi subjekti darbojas, lai pildītu šauri noteiktu (publisko pakalpojumu) uzdevumu. Faktiski ir gandrīz neiespējami noteikt, vai valde lemj autonomi no valdības, rīkojoties kā parasts akcionārs (ar mērķi, piemēram, gūt maksimālu peļņu), vai arī tā rīkojas valsts pārvaldes politikas prasību interesēs (piemēram, ar mērķi nodrošināt konkrētu sabiedrisko pakalpojumu sniegšanu par zemām cenām vai ekonomiski nenozīmīgām cenām).</w:t>
      </w:r>
    </w:p>
    <w:p w14:paraId="173CE65A"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165DD57A"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15. Valdības amatpersonu iecelšana valdē, nodrošinot vairākumu, finanšu subjektu gadījumā</w:t>
      </w:r>
      <w:r w:rsidRPr="00B03B51">
        <w:rPr>
          <w:rStyle w:val="FootnoteReference"/>
          <w:rFonts w:ascii="Times New Roman" w:hAnsi="Times New Roman" w:cs="Times New Roman"/>
          <w:noProof/>
          <w:sz w:val="24"/>
        </w:rPr>
        <w:footnoteReference w:id="18"/>
      </w:r>
      <w:r w:rsidRPr="00B03B51">
        <w:rPr>
          <w:rFonts w:ascii="Times New Roman" w:hAnsi="Times New Roman" w:cs="Times New Roman"/>
          <w:sz w:val="24"/>
        </w:rPr>
        <w:t xml:space="preserve"> var liecināt par to, ka šim subjektam nav lēmumu pieņemšanas autonomijas “savu galveno funkciju īstenošanā”, un tādā gadījumā subjekts ir jāklasificē vispārējās valdības sektorā.</w:t>
      </w:r>
    </w:p>
    <w:p w14:paraId="28D36770"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5133FD6B"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16. EKS 2010 noteikumi par lēmumu autonomiju un kontroli (skat. 1.2.1. iedaļu) paredz divpakāpju procedūru, proti, pirmkārt, lai novērtētu, vai subjektam ir pietiekama lēmumu pieņemšanas autonomija tā pamatfunkcijas īstenošanā, un, otrkārt, lai noteiktu, kurš faktiski kontrolē subjektu. Tas atbilst nacionālo kontu pamatpieejai, proti, sākt ar vienību definēšanu un identificēšanu, kas ļauj noteikt ražošanas apjomu attiecīgajā teritorijā, un tad otrajā posmā sagrupēt vienības ar līdzīgu rīcību institucionālajos sektoros (skat. EKS 2010 2. nodaļu).</w:t>
      </w:r>
    </w:p>
    <w:p w14:paraId="528DC185"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2345E861"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17. Var uzskatīt, ka EKS 2010 būtiski atšķiras no NKS 2008 (skat. 2.16. un 4.69. punktu), kurā ir konkrēti norādīts, ka institucionālajām vienībām netiek prasīta lēmumu pieņemšanas autonomija un ka juridiskais statuss kopumā ir pietiekams, lai izpildītu institucionālās vienības kritērijus.</w:t>
      </w:r>
    </w:p>
    <w:p w14:paraId="4BF09BA4"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688FCA94"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 xml:space="preserve">18. Tomēr nacionālo kontu veidotāji parasti juridiskās personas esamību vienādo ar institucionālās vienības esamību. Tas ir tāpēc, ka uzņēmumu reģistri ir galvenie ievaddatu avoti, un šādus reģistrus parasti veido, pamatojoties uz subjektu juridisko pamatu. Šāda pragmatiska pieeja ir pieļaujama, ņemot vērā analizējamo subjektu lielo skaitu, jo kopumā juridiskās personas parasti atbilst minētajām prasībām. Tām ir rīcībspēja slēgt līgumus, uzņemties un atmaksāt parādus, iegūt ekonomiskās un/vai juridiskās īpašumtiesības uz aktīviem, ierasties tiesā, īstenojot savas tiesības, un atbildēt par savām darbībām. Vairumā gadījumu, visticamāk, to valde ir pietiekami autonoma, lai pieņemtu ikdienas darbības lēmumus, un nav atkarīga no citu, piemēram, mātesuzņēmuma, lēmumiem. Attiecībā uz valdības sektora kontiem uzņēmumu reģistrs kā datu avots tiek apsvērts mazāk nekā attiecībā uz citiem ekonomikas sektoriem. Turklāt, ņemot vērā īpašo </w:t>
      </w:r>
      <w:r w:rsidRPr="00B03B51">
        <w:rPr>
          <w:rFonts w:ascii="Times New Roman" w:hAnsi="Times New Roman" w:cs="Times New Roman"/>
          <w:i/>
          <w:iCs/>
          <w:sz w:val="24"/>
        </w:rPr>
        <w:t>EDP</w:t>
      </w:r>
      <w:r w:rsidRPr="00B03B51">
        <w:rPr>
          <w:rFonts w:ascii="Times New Roman" w:hAnsi="Times New Roman" w:cs="Times New Roman"/>
          <w:sz w:val="24"/>
        </w:rPr>
        <w:t xml:space="preserve"> procedūras nozīmi, EKS 2010 2.12. punktā noteiktās prasības ir jāpārbauda īpaši rūpīgi attiecībā uz valdības sektoru.</w:t>
      </w:r>
    </w:p>
    <w:p w14:paraId="6F5B6E19"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219BA939"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lastRenderedPageBreak/>
        <w:t>19. Attiecībā uz noteiktām publiskām juridiskām vienībām kontroles kritēriju analīze var izgaismot jaunus konstatējumus, būtiski apšaubot juridiskās personas lēmumu pieņemšanas autonomiju. Šādā gadījumā statistikas veidotājiem ir ieteicams pārvērtēt šo juridisko personu lēmumu pieņemšanas autonomiju.</w:t>
      </w:r>
    </w:p>
    <w:p w14:paraId="6BB7B829" w14:textId="77777777" w:rsidR="00994F93" w:rsidRPr="00B03B51" w:rsidRDefault="00994F93" w:rsidP="00994F93">
      <w:pPr>
        <w:jc w:val="both"/>
        <w:rPr>
          <w:rFonts w:ascii="Times New Roman" w:eastAsia="Arial" w:hAnsi="Times New Roman" w:cs="Times New Roman"/>
          <w:noProof/>
          <w:sz w:val="24"/>
          <w:szCs w:val="26"/>
        </w:rPr>
      </w:pPr>
    </w:p>
    <w:p w14:paraId="0220EF8A" w14:textId="77777777" w:rsidR="00994F93" w:rsidRPr="00B03B51" w:rsidRDefault="00994F93" w:rsidP="00994F93">
      <w:pPr>
        <w:pStyle w:val="Heading3"/>
        <w:tabs>
          <w:tab w:val="left" w:pos="1279"/>
        </w:tabs>
        <w:ind w:left="0" w:firstLine="0"/>
        <w:jc w:val="both"/>
        <w:rPr>
          <w:rFonts w:ascii="Times New Roman" w:hAnsi="Times New Roman" w:cs="Times New Roman"/>
          <w:noProof/>
          <w:sz w:val="24"/>
        </w:rPr>
      </w:pPr>
      <w:bookmarkStart w:id="17" w:name="1.2.3_Concept_of_a_government-controlled"/>
      <w:bookmarkStart w:id="18" w:name="_Toc67565021"/>
      <w:bookmarkEnd w:id="17"/>
      <w:r w:rsidRPr="00B03B51">
        <w:rPr>
          <w:rFonts w:ascii="Times New Roman" w:hAnsi="Times New Roman" w:cs="Times New Roman"/>
          <w:sz w:val="24"/>
        </w:rPr>
        <w:t>1.2.3. Valdības kontrolētas institucionālās vienības jēdziens</w:t>
      </w:r>
      <w:bookmarkEnd w:id="18"/>
    </w:p>
    <w:p w14:paraId="44923150" w14:textId="77777777" w:rsidR="00994F93" w:rsidRPr="008A2DC9" w:rsidRDefault="00994F93" w:rsidP="008A2DC9">
      <w:pPr>
        <w:rPr>
          <w:rFonts w:ascii="Times New Roman" w:hAnsi="Times New Roman" w:cs="Times New Roman"/>
          <w:noProof/>
          <w:sz w:val="24"/>
          <w:szCs w:val="24"/>
        </w:rPr>
      </w:pPr>
      <w:bookmarkStart w:id="19" w:name="1.2.3.1_Government-controlled_entities_r"/>
      <w:bookmarkEnd w:id="19"/>
    </w:p>
    <w:p w14:paraId="377A9C0A" w14:textId="77777777" w:rsidR="00994F93" w:rsidRPr="00B03B51" w:rsidRDefault="00994F93" w:rsidP="00994F93">
      <w:pPr>
        <w:pStyle w:val="Heading6"/>
        <w:tabs>
          <w:tab w:val="left" w:pos="1279"/>
        </w:tabs>
        <w:ind w:left="0" w:firstLine="0"/>
        <w:jc w:val="both"/>
        <w:rPr>
          <w:rFonts w:ascii="Times New Roman" w:hAnsi="Times New Roman" w:cs="Times New Roman"/>
          <w:noProof/>
          <w:sz w:val="24"/>
        </w:rPr>
      </w:pPr>
      <w:r w:rsidRPr="00B03B51">
        <w:rPr>
          <w:rFonts w:ascii="Times New Roman" w:hAnsi="Times New Roman" w:cs="Times New Roman"/>
          <w:sz w:val="24"/>
        </w:rPr>
        <w:t>1.2.3.1. VALDĪBAS KONTROLĒTI SUBJEKTI, KAS IR ATZĪTI PAR INSTITUCIONĀLĀM VIENĪBĀM</w:t>
      </w:r>
    </w:p>
    <w:p w14:paraId="75C0EB2B" w14:textId="77777777" w:rsidR="00994F93" w:rsidRPr="00B03B51" w:rsidRDefault="00994F93" w:rsidP="00994F93">
      <w:pPr>
        <w:pStyle w:val="BodyText"/>
        <w:spacing w:before="0"/>
        <w:ind w:left="0" w:firstLine="0"/>
        <w:jc w:val="both"/>
        <w:rPr>
          <w:rFonts w:ascii="Times New Roman" w:hAnsi="Times New Roman" w:cs="Times New Roman"/>
          <w:noProof/>
          <w:sz w:val="24"/>
        </w:rPr>
      </w:pPr>
    </w:p>
    <w:p w14:paraId="050AD207" w14:textId="77777777" w:rsidR="00994F93" w:rsidRPr="00B03B51" w:rsidRDefault="00994F93" w:rsidP="00994F93">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t xml:space="preserve">20. Valdības kontrolēta institucionālā vienība (ko sauc arī par publisko ražotāju vai publiskā sektora vienību) ir institucionāla vienība, ko </w:t>
      </w:r>
      <w:r w:rsidRPr="00B03B51">
        <w:rPr>
          <w:rFonts w:ascii="Times New Roman" w:hAnsi="Times New Roman" w:cs="Times New Roman"/>
          <w:b/>
          <w:bCs/>
          <w:sz w:val="24"/>
        </w:rPr>
        <w:t>tieši</w:t>
      </w:r>
      <w:r w:rsidRPr="00B03B51">
        <w:rPr>
          <w:rFonts w:ascii="Times New Roman" w:hAnsi="Times New Roman" w:cs="Times New Roman"/>
          <w:sz w:val="24"/>
        </w:rPr>
        <w:t xml:space="preserve"> vai </w:t>
      </w:r>
      <w:r w:rsidRPr="00B03B51">
        <w:rPr>
          <w:rFonts w:ascii="Times New Roman" w:hAnsi="Times New Roman" w:cs="Times New Roman"/>
          <w:b/>
          <w:bCs/>
          <w:sz w:val="24"/>
        </w:rPr>
        <w:t>netieši</w:t>
      </w:r>
      <w:r w:rsidRPr="00B03B51">
        <w:rPr>
          <w:rFonts w:ascii="Times New Roman" w:hAnsi="Times New Roman" w:cs="Times New Roman"/>
          <w:sz w:val="24"/>
        </w:rPr>
        <w:t xml:space="preserve"> kontrolē vispārējās valdības rezidentvienības vai citi publiskie ražotāji. Visi pārējie vietējie ražotāji ir privātie ražotāji.</w:t>
      </w:r>
    </w:p>
    <w:p w14:paraId="0B27FE55"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1854C7AA"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 xml:space="preserve">21. Visi publiskie ražotāji ir “publiskā sektora” sastāvdaļa, kā noteikts EKS 2010 20.303. punktā: </w:t>
      </w:r>
      <w:r w:rsidRPr="00B03B51">
        <w:rPr>
          <w:rFonts w:ascii="Times New Roman" w:hAnsi="Times New Roman" w:cs="Times New Roman"/>
          <w:i/>
          <w:iCs/>
          <w:sz w:val="24"/>
        </w:rPr>
        <w:t>Publisko sektoru veido vispārējā valdība un publiskās sabiedrības</w:t>
      </w:r>
      <w:r w:rsidRPr="00B03B51">
        <w:rPr>
          <w:rFonts w:ascii="Times New Roman" w:hAnsi="Times New Roman" w:cs="Times New Roman"/>
          <w:sz w:val="24"/>
        </w:rPr>
        <w:t>. Termins “sabiedrība” ir jāsaprot tā ekonomiskajā, nevis juridiskajā nozīmē, jo ar to apzīmē subjektus, kuriem nav sabiedrības juridiskā statusa, bet kas ir tirgus ražotāji. Turklāt valdības kontrolētas bezpeļņas institūcijas (t. i., tie subjekti, kuriem nav ļauts sadalīt peļņu saviem īpašniekiem), kas tiek atzītas par tirgus ražotājiem (skat. turpmāk), ietilpst publiskajā sektorā (bet netiek iekļautas vispārējās valdības sektorā), ja vien tām nav lēmumu pieņemšanas autonomijas.</w:t>
      </w:r>
    </w:p>
    <w:p w14:paraId="077C94DC"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51677611"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22. Atkarībā no tā, vai valdība (dažkārt valdības galvenā vienība, kā minēts EKS 2010 20.08.–20.09. un 20.29. punktā, jeb kopā sauktas – publiskās vienības, kā norādīts EKS 20.309. punktā</w:t>
      </w:r>
      <w:r w:rsidRPr="00B03B51">
        <w:rPr>
          <w:rStyle w:val="FootnoteReference"/>
          <w:rFonts w:ascii="Times New Roman" w:hAnsi="Times New Roman" w:cs="Times New Roman"/>
          <w:noProof/>
          <w:sz w:val="24"/>
        </w:rPr>
        <w:footnoteReference w:id="19"/>
      </w:r>
      <w:r w:rsidRPr="00B03B51">
        <w:rPr>
          <w:rFonts w:ascii="Times New Roman" w:hAnsi="Times New Roman" w:cs="Times New Roman"/>
          <w:sz w:val="24"/>
        </w:rPr>
        <w:t>) kontrolē institucionālo vienību, nosaka, vai šī institucionālā vienība ir vai nav publiskā sektora sastāvdaļa. Tas, vai iekļaut vai neiekļaut publiskā sektora vienību vispārējās valdības sektorā (S.13), galu galā ir atkarīgs no 1.2.4. iedaļā “Tirgus vai ārpustirgus institucionālas vienības jēdziens” aprakstītajiem kritērijiem.</w:t>
      </w:r>
    </w:p>
    <w:p w14:paraId="09294238"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0EDE223B"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23. Valdības kontroles jēdziens nacionālajos kontos ir vienādi piemērojams gan finanšu, gan nefinanšu sabiedrībām. Jautājums par bezpeļņas institūciju un izglītības vienību kontroli ir turpmāk skatīts atsevišķi.</w:t>
      </w:r>
    </w:p>
    <w:p w14:paraId="7AD3FAA3"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31432AD0"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 xml:space="preserve">24. EKS 2010 20.18. punktā termins “kontrole pār subjektu” ir definēts kā “spēja noteikt šā subjekta vispārējo politiku vai programmu”. Tā kā mēs izvērtējam ekonomiskos kontus, subjekta vispārējā politika vai programma parasti ir saistīta ar attiecīgā subjekta galveno finanšu un darbības politiku. EKS 20.309. punkta c) apakšpunktā ir sniegti daži šādi galvenie faktori, piemēram, atlīdzība personālam un samaksas un uzņēmējdarbības stratēģija. Vispārējās politikas kontrole visai atšķiras no ikdienas operatīvo uzdevumu kontroles. Lai kontrolētu vispārējo politiku, nav jāiejaucas subjekta ikdienas uzņēmējdarbībā, lai arī pastāv noteikta vispārējās politikas un ikdienas uzņēmējdarbības savstarpēja atkarība. Tomēr ikdienas uzņēmējdarbības kontrole atšķiras tādā ziņā, ka tiek konkrēti noteikti atsevišķi pasākumi, uzdevumi vai darbības un tiem ir nepieciešama skaidra atļauja. Pēdējā minētajā gadījumā </w:t>
      </w:r>
      <w:r w:rsidRPr="00B03B51">
        <w:rPr>
          <w:rFonts w:ascii="Times New Roman" w:hAnsi="Times New Roman" w:cs="Times New Roman"/>
          <w:sz w:val="24"/>
        </w:rPr>
        <w:lastRenderedPageBreak/>
        <w:t>ierobežojumi ir vispārēji un neaprobežojas vien ar unikāliem vai vismaz ārkārtējiem jautājumiem, un attiecīgi ir uzskatāms, ka vienība nav institucionālā vienība, jo tai nav lēmumu pieņemšanas autonomijas. Būtiski ir tas, ka subjektam (vai subjektiem), kas kontrolē citu subjektu, ir pilnvaras noteikt attiecīgā subjekta vispārējo politiku.</w:t>
      </w:r>
    </w:p>
    <w:p w14:paraId="78CE411B"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1BA496F5"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25. Parasti subjekts darbojas tam noteiktas struktūras, vispārējās politikas vai programmas ietvaros, un tiklīdz tas viss ir noteikts, īpašniekam (vai kontrolējošajam subjektam) vairs nav nepieciešams iejaukties un labot saimnieciskās darbības. Šādas acīmredzamas iejaukšanās neesamība nenozīmē, ka subjekts netiek kontrolēts. Drīzāk kontroles jēdziens ir saistīts nevis ar faktisku iejaukšanos kā tādu, bet gan tādā ziņā, ka var izmantot pilnvaras (vai tiesības) noteikt vispārējo politiku, neatkarīgi no tā, vai šīs pilnvaras tiek vai netiek faktiski izmantotas.</w:t>
      </w:r>
    </w:p>
    <w:p w14:paraId="143FE915"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72DD8751"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26. EKS 2010 tiek minēta “ietekme”, novērtējot, vai subjekts tiek vai netiek kontrolēts. Tā kā EKS 2010 20.309. punktā minētās norādes izriet no valsts un uzņēmumu kontu speciālistu kopīgām apspriedēm, uzņēmējdarbības termins “dominējoša ietekme” kā pilnvaras, kas vienlīdz var būt kontrole, arī parādās EKS 2010 20.309. punkta f) apakšpunktā.</w:t>
      </w:r>
    </w:p>
    <w:p w14:paraId="379D3393"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24D05FB4"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27. EKS 2010 20.309. punktā ir uzskaitīti rādītāji, kas ļauj novērtēt, vai ietekmes tiesības ir pietiekamas, lai spriestu, vai pastāv vienības kontrole. Tiek uzskatīts, ka daži rādītāji ir pietiekami paši par sevi, lai noteiktu, ka vienība tiek kontrolēta, savukārt citi, atsevišķi ņemot, nav pietiekami, bet var liecināt par kontroli, kad tiek izvērtēti kopā ar citiem rādītājiem.</w:t>
      </w:r>
    </w:p>
    <w:p w14:paraId="68F432F0" w14:textId="77777777" w:rsidR="00994F93" w:rsidRPr="00B03B51" w:rsidRDefault="00994F93" w:rsidP="00994F93">
      <w:pPr>
        <w:jc w:val="both"/>
        <w:rPr>
          <w:rFonts w:ascii="Times New Roman" w:hAnsi="Times New Roman" w:cs="Times New Roman"/>
          <w:noProof/>
          <w:sz w:val="24"/>
        </w:rPr>
      </w:pPr>
    </w:p>
    <w:p w14:paraId="7B530404"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28. Saskaņā ar EKS 2010 20.310. punktu katrs no trim turpmāk minētajiem kontroles rādītājiem ir pietiekams, lai noteiktu valdības kontroli.</w:t>
      </w:r>
    </w:p>
    <w:p w14:paraId="3ACDFDB2"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0B8A7367" w14:textId="77777777" w:rsidR="00994F93" w:rsidRPr="00B03B51" w:rsidRDefault="00994F93" w:rsidP="00994F93">
      <w:pPr>
        <w:tabs>
          <w:tab w:val="left" w:pos="1126"/>
        </w:tabs>
        <w:ind w:left="284"/>
        <w:jc w:val="both"/>
        <w:rPr>
          <w:rFonts w:ascii="Times New Roman" w:hAnsi="Times New Roman" w:cs="Times New Roman"/>
          <w:b/>
          <w:noProof/>
          <w:sz w:val="24"/>
        </w:rPr>
      </w:pPr>
      <w:r w:rsidRPr="00B03B51">
        <w:rPr>
          <w:rFonts w:ascii="Times New Roman" w:hAnsi="Times New Roman" w:cs="Times New Roman"/>
          <w:b/>
          <w:sz w:val="24"/>
        </w:rPr>
        <w:t>1) Tiesības iecelt, atlaist, apstiprināt vai noteikt veto attiecībā uz lielāko daļu no amatpersonām, direktoru padomes u. c.</w:t>
      </w:r>
    </w:p>
    <w:p w14:paraId="5979F2CF" w14:textId="77777777" w:rsidR="00994F93" w:rsidRPr="00B03B51" w:rsidRDefault="00994F93" w:rsidP="00994F93">
      <w:pPr>
        <w:pStyle w:val="BodyText"/>
        <w:spacing w:before="0"/>
        <w:ind w:left="284" w:firstLine="0"/>
        <w:jc w:val="both"/>
        <w:rPr>
          <w:rFonts w:ascii="Times New Roman" w:hAnsi="Times New Roman" w:cs="Times New Roman"/>
          <w:noProof/>
          <w:sz w:val="24"/>
        </w:rPr>
      </w:pPr>
    </w:p>
    <w:p w14:paraId="3664D879" w14:textId="77777777" w:rsidR="00994F93" w:rsidRPr="00B03B51" w:rsidRDefault="00994F93" w:rsidP="00994F93">
      <w:pPr>
        <w:pStyle w:val="BodyText"/>
        <w:spacing w:before="0"/>
        <w:ind w:left="284" w:firstLine="0"/>
        <w:jc w:val="both"/>
        <w:rPr>
          <w:rFonts w:ascii="Times New Roman" w:hAnsi="Times New Roman" w:cs="Times New Roman"/>
          <w:noProof/>
          <w:sz w:val="24"/>
        </w:rPr>
      </w:pPr>
      <w:r w:rsidRPr="00B03B51">
        <w:rPr>
          <w:rFonts w:ascii="Times New Roman" w:hAnsi="Times New Roman" w:cs="Times New Roman"/>
          <w:sz w:val="24"/>
        </w:rPr>
        <w:t>Par šīm tiesībām var lemt dažādas publiskas vienības (klasificētas vai neklasificētas tajā pašā sektorā/apakšsektoros). Galvenā personāla iecelšana un atlaišana ir tiešākais veids, kā iejaukties un noteikt subjekta vispārējo politiku. Tiesības atcelt ieceltās personas arī ir svarīgas, jo tās liecina, ka gadījumā, ja ieceltās personas nerīkojas valdībai vēlamā veidā, tās var atcelt vai atkārtoti neiecelt.</w:t>
      </w:r>
    </w:p>
    <w:p w14:paraId="55D17BAA" w14:textId="77777777" w:rsidR="00994F93" w:rsidRPr="00B03B51" w:rsidRDefault="00994F93" w:rsidP="00994F93">
      <w:pPr>
        <w:tabs>
          <w:tab w:val="left" w:pos="1126"/>
        </w:tabs>
        <w:ind w:left="284"/>
        <w:jc w:val="both"/>
        <w:rPr>
          <w:rFonts w:ascii="Times New Roman" w:hAnsi="Times New Roman" w:cs="Times New Roman"/>
          <w:b/>
          <w:noProof/>
          <w:sz w:val="24"/>
        </w:rPr>
      </w:pPr>
    </w:p>
    <w:p w14:paraId="6081FD33" w14:textId="77777777" w:rsidR="00994F93" w:rsidRPr="00B03B51" w:rsidRDefault="00994F93" w:rsidP="00994F93">
      <w:pPr>
        <w:tabs>
          <w:tab w:val="left" w:pos="1126"/>
        </w:tabs>
        <w:ind w:left="284"/>
        <w:jc w:val="both"/>
        <w:rPr>
          <w:rFonts w:ascii="Times New Roman" w:hAnsi="Times New Roman" w:cs="Times New Roman"/>
          <w:b/>
          <w:noProof/>
          <w:sz w:val="24"/>
        </w:rPr>
      </w:pPr>
      <w:r w:rsidRPr="00B03B51">
        <w:rPr>
          <w:rFonts w:ascii="Times New Roman" w:hAnsi="Times New Roman" w:cs="Times New Roman"/>
          <w:b/>
          <w:sz w:val="24"/>
        </w:rPr>
        <w:t>2) Tiesības iecelt, noteikt veto vai atbrīvot no pienākumu izpildes lielāko daļu subjekta galveno komiteju (vai apakškomiteju) locekļu, kam ir izšķiroša loma attiecībā uz šā subjekta vispārējās politikas galvenajiem faktoriem</w:t>
      </w:r>
    </w:p>
    <w:p w14:paraId="75DB8290" w14:textId="77777777" w:rsidR="00994F93" w:rsidRPr="00B03B51" w:rsidRDefault="00994F93" w:rsidP="00994F93">
      <w:pPr>
        <w:pStyle w:val="BodyText"/>
        <w:spacing w:before="0"/>
        <w:ind w:left="284" w:firstLine="0"/>
        <w:jc w:val="both"/>
        <w:rPr>
          <w:rFonts w:ascii="Times New Roman" w:hAnsi="Times New Roman" w:cs="Times New Roman"/>
          <w:noProof/>
          <w:sz w:val="24"/>
        </w:rPr>
      </w:pPr>
    </w:p>
    <w:p w14:paraId="012CC3E1" w14:textId="77777777" w:rsidR="00994F93" w:rsidRPr="00B03B51" w:rsidRDefault="00994F93" w:rsidP="00994F93">
      <w:pPr>
        <w:pStyle w:val="BodyText"/>
        <w:spacing w:before="0"/>
        <w:ind w:left="284" w:firstLine="0"/>
        <w:jc w:val="both"/>
        <w:rPr>
          <w:rFonts w:ascii="Times New Roman" w:hAnsi="Times New Roman" w:cs="Times New Roman"/>
          <w:noProof/>
          <w:sz w:val="24"/>
        </w:rPr>
      </w:pPr>
      <w:r w:rsidRPr="00B03B51">
        <w:rPr>
          <w:rFonts w:ascii="Times New Roman" w:hAnsi="Times New Roman" w:cs="Times New Roman"/>
          <w:sz w:val="24"/>
        </w:rPr>
        <w:t>Attiecībā uz iepriekšminēto kritēriju jautājumam par veto pilnvarām ir jāpievērš īpaša uzmanība. Ir lietderīgi atgādināt, ka veto dod tiesības iebilst dažiem lēmumiem vai uzspiest lēmumu, ko sedz veto pilnvaras. Kopumā, ja valdībai vai publiskajam sektoram ir veto pilnvaras, ar to vien jau būtu pietiekami, lai secinātu, ka vienība tiek kontrolēta, ja publiskai vienībai ekskluzīvi ir šādas tiesības. Tomēr var būt gadījumi, kad privātām vienībām arī ir līdzīgas veto pilnvaras līdzīgu lēmumu pieņemšanā, vai gadījumi, kad ir nepieciešams vienprātīgs lēmums. Nav būtisks privāto vienību veto pilnvaru skaits; tā vietā ir jāizvērtē to iespējamā ietekme.</w:t>
      </w:r>
    </w:p>
    <w:p w14:paraId="2D634211" w14:textId="77777777" w:rsidR="00994F93" w:rsidRPr="00B03B51" w:rsidRDefault="00994F93" w:rsidP="00994F93">
      <w:pPr>
        <w:pStyle w:val="BodyText"/>
        <w:spacing w:before="0"/>
        <w:ind w:left="284" w:firstLine="0"/>
        <w:jc w:val="both"/>
        <w:rPr>
          <w:rFonts w:ascii="Times New Roman" w:hAnsi="Times New Roman" w:cs="Times New Roman"/>
          <w:noProof/>
          <w:sz w:val="24"/>
        </w:rPr>
      </w:pPr>
    </w:p>
    <w:p w14:paraId="53EA49E9" w14:textId="77777777" w:rsidR="00994F93" w:rsidRPr="00B03B51" w:rsidRDefault="00994F93" w:rsidP="00994F93">
      <w:pPr>
        <w:pStyle w:val="BodyText"/>
        <w:spacing w:before="0"/>
        <w:ind w:left="284" w:firstLine="0"/>
        <w:jc w:val="both"/>
        <w:rPr>
          <w:rFonts w:ascii="Times New Roman" w:hAnsi="Times New Roman" w:cs="Times New Roman"/>
          <w:noProof/>
          <w:sz w:val="24"/>
          <w:szCs w:val="12"/>
        </w:rPr>
      </w:pPr>
      <w:r w:rsidRPr="00B03B51">
        <w:rPr>
          <w:rFonts w:ascii="Times New Roman" w:hAnsi="Times New Roman" w:cs="Times New Roman"/>
          <w:sz w:val="24"/>
        </w:rPr>
        <w:t xml:space="preserve">Vienības kontrole parasti nozīmē, ka kontrolējošām vienībām pieder “pēdējais vārds” attiecībā uz galvenajiem nozīmīgajiem lēmumiem. Piemēram, parasti tiek noteikts, ka pastāv publiskā kontrole, ja publiskā sektora subjektu veto pilnvaras attiecas uz nozīmīgākiem lēmumiem nekā citu subjektu veto pilnvaras. Piemēram, valdībai varētu būt galvenās veto </w:t>
      </w:r>
      <w:r w:rsidRPr="00B03B51">
        <w:rPr>
          <w:rFonts w:ascii="Times New Roman" w:hAnsi="Times New Roman" w:cs="Times New Roman"/>
          <w:sz w:val="24"/>
        </w:rPr>
        <w:lastRenderedPageBreak/>
        <w:t>pilnvaras attiecībā uz lēmumu pieņemšanu par vienības likvidēšanu, tās apvienošanu ar citu vienību, statusa mainīšanu vai darbības būtisku mainīšanu. Citos gadījumos valdībai un pārējiem var būt vienādas veto pilnvaras, proti, katra puse var bloķēt lēmumu. Tomēr šajā gadījumā kontroli varētu novērtēt arī pēc citiem papildu kritērijiem, proti, kāda ir vienības būtība, kurā valdībai ir veto pilnvaras. Piemēram, ja konkrētā vienība iegūst sev resursus galvenokārt no publiskajām vienībām saskaņā ar pārdošanas līgumiem un citiem nolīgumiem (piemēram, PPP), varētu domāt, ka valdībai vai kādai citai publiskai vienībai ir lielāka ietekme (</w:t>
      </w:r>
      <w:r w:rsidRPr="00B03B51">
        <w:rPr>
          <w:rFonts w:ascii="Times New Roman" w:hAnsi="Times New Roman" w:cs="Times New Roman"/>
          <w:i/>
          <w:iCs/>
          <w:sz w:val="24"/>
        </w:rPr>
        <w:t>de facto</w:t>
      </w:r>
      <w:r w:rsidRPr="00B03B51">
        <w:rPr>
          <w:rFonts w:ascii="Times New Roman" w:hAnsi="Times New Roman" w:cs="Times New Roman"/>
          <w:sz w:val="24"/>
        </w:rPr>
        <w:t>) uz šo vienību, un tādējādi šī vienība būtu klasificējama publiskajā sektorā.</w:t>
      </w:r>
      <w:r w:rsidRPr="00B03B51">
        <w:rPr>
          <w:rStyle w:val="FootnoteReference"/>
          <w:rFonts w:ascii="Times New Roman" w:hAnsi="Times New Roman" w:cs="Times New Roman"/>
          <w:noProof/>
          <w:sz w:val="24"/>
        </w:rPr>
        <w:footnoteReference w:id="20"/>
      </w:r>
    </w:p>
    <w:p w14:paraId="5E225CC7" w14:textId="77777777" w:rsidR="00994F93" w:rsidRPr="00B03B51" w:rsidRDefault="00994F93" w:rsidP="00994F93">
      <w:pPr>
        <w:pStyle w:val="BodyText"/>
        <w:spacing w:before="0"/>
        <w:ind w:left="284" w:firstLine="0"/>
        <w:jc w:val="both"/>
        <w:rPr>
          <w:rFonts w:ascii="Times New Roman" w:hAnsi="Times New Roman" w:cs="Times New Roman"/>
          <w:noProof/>
          <w:sz w:val="24"/>
          <w:szCs w:val="12"/>
        </w:rPr>
      </w:pPr>
    </w:p>
    <w:p w14:paraId="674E1A74" w14:textId="77777777" w:rsidR="00994F93" w:rsidRPr="00B03B51" w:rsidRDefault="00994F93" w:rsidP="00994F93">
      <w:pPr>
        <w:pStyle w:val="BodyText"/>
        <w:spacing w:before="0"/>
        <w:ind w:left="284" w:firstLine="0"/>
        <w:jc w:val="both"/>
        <w:rPr>
          <w:rFonts w:ascii="Times New Roman" w:hAnsi="Times New Roman" w:cs="Times New Roman"/>
          <w:noProof/>
          <w:sz w:val="24"/>
        </w:rPr>
      </w:pPr>
      <w:r w:rsidRPr="00B03B51">
        <w:rPr>
          <w:rFonts w:ascii="Times New Roman" w:hAnsi="Times New Roman" w:cs="Times New Roman"/>
          <w:sz w:val="24"/>
        </w:rPr>
        <w:t>Dažkārt lēmums par visas direktoru padomes vai amatpersonu vairākuma iecelšanas tiesībām varētu būt maldinošs. Ir pilnīgi iespējams, ka svarīgākos lēmumus par vispārējo politiku pieņem nevis valde, bet galvenās komitejas. Šādos gadījumos pareizāk ir papildus izvērtēt šo komiteju, nevis tikai pašas valdes, tiesības īstenot iecelšanu/veto tiesības. EKS 2010 20.309. punkta c) apakšpunktā ir sniegti daži vispārējās politikas galvenie faktori, kurus var deleģēt apakškomitejām, piemēram, samaksa augstākā līmeņa personālam, atalgojuma un uzņēmējdarbības stratēģija.</w:t>
      </w:r>
    </w:p>
    <w:p w14:paraId="3A59BE04" w14:textId="77777777" w:rsidR="00994F93" w:rsidRPr="00B03B51" w:rsidRDefault="00994F93" w:rsidP="00994F93">
      <w:pPr>
        <w:pStyle w:val="BodyText"/>
        <w:spacing w:before="0"/>
        <w:ind w:left="284" w:firstLine="0"/>
        <w:jc w:val="both"/>
        <w:rPr>
          <w:rFonts w:ascii="Times New Roman" w:hAnsi="Times New Roman" w:cs="Times New Roman"/>
          <w:noProof/>
          <w:sz w:val="24"/>
        </w:rPr>
      </w:pPr>
    </w:p>
    <w:p w14:paraId="1FDB6C2F" w14:textId="77777777" w:rsidR="00994F93" w:rsidRPr="00B03B51" w:rsidRDefault="00994F93" w:rsidP="00994F93">
      <w:pPr>
        <w:tabs>
          <w:tab w:val="left" w:pos="1126"/>
        </w:tabs>
        <w:ind w:left="284"/>
        <w:jc w:val="both"/>
        <w:rPr>
          <w:rFonts w:ascii="Times New Roman" w:hAnsi="Times New Roman" w:cs="Times New Roman"/>
          <w:b/>
          <w:noProof/>
          <w:sz w:val="24"/>
        </w:rPr>
      </w:pPr>
      <w:r w:rsidRPr="00B03B51">
        <w:rPr>
          <w:rFonts w:ascii="Times New Roman" w:hAnsi="Times New Roman" w:cs="Times New Roman"/>
          <w:b/>
          <w:sz w:val="24"/>
        </w:rPr>
        <w:t>3) Īpašumtiesības uz balsstiesību vairākumu</w:t>
      </w:r>
    </w:p>
    <w:p w14:paraId="3FD1FA8D" w14:textId="77777777" w:rsidR="00994F93" w:rsidRPr="00B03B51" w:rsidRDefault="00994F93" w:rsidP="00994F93">
      <w:pPr>
        <w:pStyle w:val="BodyText"/>
        <w:spacing w:before="0"/>
        <w:ind w:left="284" w:firstLine="0"/>
        <w:jc w:val="both"/>
        <w:rPr>
          <w:rFonts w:ascii="Times New Roman" w:hAnsi="Times New Roman" w:cs="Times New Roman"/>
          <w:noProof/>
          <w:sz w:val="24"/>
        </w:rPr>
      </w:pPr>
    </w:p>
    <w:p w14:paraId="7585C4E4" w14:textId="77777777" w:rsidR="00994F93" w:rsidRPr="00B03B51" w:rsidRDefault="00994F93" w:rsidP="00994F93">
      <w:pPr>
        <w:pStyle w:val="BodyText"/>
        <w:spacing w:before="0"/>
        <w:ind w:left="284" w:firstLine="0"/>
        <w:jc w:val="both"/>
        <w:rPr>
          <w:rFonts w:ascii="Times New Roman" w:hAnsi="Times New Roman" w:cs="Times New Roman"/>
          <w:noProof/>
          <w:sz w:val="24"/>
        </w:rPr>
      </w:pPr>
      <w:r w:rsidRPr="00B03B51">
        <w:rPr>
          <w:rFonts w:ascii="Times New Roman" w:hAnsi="Times New Roman" w:cs="Times New Roman"/>
          <w:sz w:val="24"/>
        </w:rPr>
        <w:t>Ja balsstiesības ir vairākām publiskām vienībām, jo īpaši, ja nevienai nav vairākuma, īpašumtiesības skata kopumā (kopā). Skaitot balsstiesības, izvērtē gan tiešās, gan netiešās īpašumtiesības. Piemēram, aplūkosim sabiedrību, kuras 30 % pieder centrālajai valdībai, 40 % pieder publiskai sabiedrībai, kura pati 75 % apmērā pieder centrālajai valdībai un kuras 25 % ir privātā īpašumā, un atlikušie 30 % pieder privātai sabiedrībai (kuras 10 % pieder valdībai). Šādā situācijā (ko bieži min kā jauktas grupas situāciju) saskaita 30 % tiešās balsstiesības un 40 % netiešās balsstiesības, kas ir publiskai sabiedrībai, tādējādi publiskajam sektoram faktiski ir 70 % balsstiesību un tādējādi – kontrole (skat. 1. attēlu). Kontroli (tiešo un netiešo), šajā gadījumā 70 %, neaprēķina tāpat kā īpašumtiesības (tiešās un netiešās), kas šajā gadījumā ir 63 %. Var pat gadīties, ka publiska kontrole netiek konstatēta, lai arī tiešās un netiešās īpašumtiesības ir virs 50 %.</w:t>
      </w:r>
    </w:p>
    <w:p w14:paraId="27DF5E95" w14:textId="77777777" w:rsidR="00994F93" w:rsidRPr="00B03B51" w:rsidRDefault="00994F93" w:rsidP="00994F93">
      <w:pPr>
        <w:pStyle w:val="BodyText"/>
        <w:spacing w:before="0"/>
        <w:ind w:left="284" w:firstLine="0"/>
        <w:jc w:val="both"/>
        <w:rPr>
          <w:rFonts w:ascii="Times New Roman" w:hAnsi="Times New Roman" w:cs="Times New Roman"/>
          <w:noProof/>
          <w:sz w:val="24"/>
        </w:rPr>
      </w:pPr>
    </w:p>
    <w:p w14:paraId="3F3C486E" w14:textId="77777777" w:rsidR="00994F93" w:rsidRPr="00B03B51" w:rsidRDefault="00994F93" w:rsidP="00994F93">
      <w:pPr>
        <w:pStyle w:val="BodyText"/>
        <w:spacing w:before="0"/>
        <w:ind w:left="284" w:firstLine="0"/>
        <w:jc w:val="both"/>
        <w:rPr>
          <w:rFonts w:ascii="Times New Roman" w:hAnsi="Times New Roman" w:cs="Times New Roman"/>
          <w:noProof/>
          <w:sz w:val="24"/>
        </w:rPr>
      </w:pPr>
      <w:r w:rsidRPr="00B03B51">
        <w:rPr>
          <w:rFonts w:ascii="Times New Roman" w:hAnsi="Times New Roman" w:cs="Times New Roman"/>
          <w:sz w:val="24"/>
        </w:rPr>
        <w:t>Rūpīgi ir jāizvērtē arī tas, ka dažas akcijas sniedz tiesības balsot ar vairākām balsīm. Kamēr valdība tieši vai netieši var faktiski kontrolēt vairāk nekā 50 % balsstiesību, vienība ir publiskā sektora sastāvdaļa. Parasti sabiedrība, no kuras mazāk par 50 % pieder publiskā sektora īpašniekiem, netiks uzskatīta par publiskā sektora daļu, pamatojoties uz īpašumtiesību kritēriju, taču tā joprojām varētu ietilpt publiskajā sektorā, ja pastāv arī citi kontroles rādītāji.</w:t>
      </w:r>
    </w:p>
    <w:p w14:paraId="06B376B0" w14:textId="77777777" w:rsidR="00994F93" w:rsidRPr="00B03B51" w:rsidRDefault="00994F93" w:rsidP="00994F93">
      <w:pPr>
        <w:pStyle w:val="BodyText"/>
        <w:spacing w:before="0"/>
        <w:ind w:left="284" w:firstLine="0"/>
        <w:jc w:val="both"/>
        <w:rPr>
          <w:rFonts w:ascii="Times New Roman" w:hAnsi="Times New Roman" w:cs="Times New Roman"/>
          <w:noProof/>
          <w:sz w:val="24"/>
        </w:rPr>
      </w:pPr>
    </w:p>
    <w:p w14:paraId="2DDCDF6F" w14:textId="77777777" w:rsidR="00994F93" w:rsidRPr="00B03B51" w:rsidRDefault="00994F93" w:rsidP="00994F93">
      <w:pPr>
        <w:pStyle w:val="BodyText"/>
        <w:spacing w:before="0"/>
        <w:ind w:left="284" w:firstLine="0"/>
        <w:jc w:val="both"/>
        <w:rPr>
          <w:rFonts w:ascii="Times New Roman" w:hAnsi="Times New Roman" w:cs="Times New Roman"/>
          <w:noProof/>
          <w:sz w:val="24"/>
        </w:rPr>
      </w:pPr>
      <w:r w:rsidRPr="00B03B51">
        <w:rPr>
          <w:rFonts w:ascii="Times New Roman" w:hAnsi="Times New Roman" w:cs="Times New Roman"/>
          <w:sz w:val="24"/>
        </w:rPr>
        <w:t xml:space="preserve">Var būt ļoti reti gadījumi, kad publiskā sektora vienībām aritmētiski ir mazākums balsstiesību, bet citiem akciju turētājiem ir daudz mazākas summas (t. i., privātie akcionāri ir daudzi mazi akcionāri). Šādā gadījumā maz ticams, ka privāto akcionāru apvienība, kurai ir vismaz 50 % + 1 tiesības, varētu iebilst publisko akcionāru blokam un tādējādi nodrošināt sabiedrības kontroli. Teorētiski ir uzskatāms, ka vienību kontrolē privātais sektors saskaņā ar EKS 2010, jo nozīme ir tikai kontroles pilnvarām, nevis tam, vai tās tiek faktiski īstenotas. Tomēr izņēmuma gadījumos varētu izmantot pragmatisku pieeju, piemēram, izvērtēt </w:t>
      </w:r>
      <w:r w:rsidRPr="00B03B51">
        <w:rPr>
          <w:rFonts w:ascii="Times New Roman" w:hAnsi="Times New Roman" w:cs="Times New Roman"/>
          <w:sz w:val="24"/>
        </w:rPr>
        <w:lastRenderedPageBreak/>
        <w:t>novērotos balsošanas rezultātus, kas var parādīt, ka faktisko kontroli īsteno publiskais sektors, iegūstot faktiski derīgo balsu atkārtotu vairākumu, jo ļoti daudzi privātie akcionāri varētu nebalsot vai balsot neviendabīgi. Šādos gadījumos, kas ir jāanalizē katrā atsevišķā gadījumā, vienību varētu uzskatīt joprojām par publiskā sektora vienību.</w:t>
      </w:r>
    </w:p>
    <w:p w14:paraId="449C1557" w14:textId="77777777" w:rsidR="00994F93" w:rsidRPr="00B03B51" w:rsidRDefault="00994F93" w:rsidP="00994F93">
      <w:pPr>
        <w:jc w:val="both"/>
        <w:rPr>
          <w:rFonts w:ascii="Times New Roman" w:eastAsia="Arial" w:hAnsi="Times New Roman" w:cs="Times New Roman"/>
          <w:noProof/>
          <w:sz w:val="24"/>
        </w:rPr>
      </w:pPr>
    </w:p>
    <w:p w14:paraId="32EB9202" w14:textId="77777777" w:rsidR="00994F93" w:rsidRPr="00B03B51" w:rsidRDefault="00994F93" w:rsidP="00994F93">
      <w:pPr>
        <w:jc w:val="both"/>
        <w:rPr>
          <w:rFonts w:ascii="Times New Roman" w:hAnsi="Times New Roman" w:cs="Times New Roman"/>
          <w:b/>
          <w:noProof/>
          <w:sz w:val="24"/>
        </w:rPr>
      </w:pPr>
      <w:r w:rsidRPr="00B03B51">
        <w:rPr>
          <w:rFonts w:ascii="Times New Roman" w:hAnsi="Times New Roman" w:cs="Times New Roman"/>
          <w:b/>
          <w:sz w:val="24"/>
        </w:rPr>
        <w:t>1. attēls. Kontroles vērtēšana, pamatojoties uz balsstiesībām</w:t>
      </w:r>
    </w:p>
    <w:p w14:paraId="124D23AE" w14:textId="77777777" w:rsidR="00994F93" w:rsidRPr="00B03B51" w:rsidRDefault="00994F93" w:rsidP="00994F93">
      <w:pPr>
        <w:jc w:val="both"/>
        <w:rPr>
          <w:rFonts w:ascii="Times New Roman" w:eastAsia="Arial" w:hAnsi="Times New Roman" w:cs="Times New Roman"/>
          <w:b/>
          <w:bCs/>
          <w:noProof/>
          <w:sz w:val="24"/>
          <w:szCs w:val="29"/>
        </w:rPr>
      </w:pPr>
    </w:p>
    <w:p w14:paraId="345E9298" w14:textId="7DFF5D34" w:rsidR="00994F93" w:rsidRPr="00B03B51" w:rsidRDefault="00154D5B" w:rsidP="00994F93">
      <w:pPr>
        <w:jc w:val="center"/>
        <w:rPr>
          <w:rFonts w:ascii="Times New Roman" w:eastAsia="Arial" w:hAnsi="Times New Roman" w:cs="Times New Roman"/>
          <w:noProof/>
          <w:sz w:val="24"/>
          <w:szCs w:val="20"/>
        </w:rPr>
      </w:pPr>
      <w:r w:rsidRPr="00B03B51">
        <w:rPr>
          <w:rFonts w:ascii="Times New Roman" w:eastAsia="Arial" w:hAnsi="Times New Roman" w:cs="Times New Roman"/>
          <w:noProof/>
          <w:sz w:val="24"/>
          <w:szCs w:val="20"/>
        </w:rPr>
        <w:drawing>
          <wp:inline distT="0" distB="0" distL="0" distR="0" wp14:anchorId="23B22F9E" wp14:editId="5282C1AF">
            <wp:extent cx="5760085" cy="3978910"/>
            <wp:effectExtent l="0" t="0" r="0" b="254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60085" cy="3978910"/>
                    </a:xfrm>
                    <a:prstGeom prst="rect">
                      <a:avLst/>
                    </a:prstGeom>
                    <a:noFill/>
                    <a:ln>
                      <a:noFill/>
                    </a:ln>
                  </pic:spPr>
                </pic:pic>
              </a:graphicData>
            </a:graphic>
          </wp:inline>
        </w:drawing>
      </w:r>
    </w:p>
    <w:p w14:paraId="652CE1B4" w14:textId="77777777" w:rsidR="00994F93" w:rsidRPr="00B03B51" w:rsidRDefault="00994F93" w:rsidP="00994F93">
      <w:pPr>
        <w:jc w:val="both"/>
        <w:rPr>
          <w:rFonts w:ascii="Times New Roman" w:eastAsia="Arial" w:hAnsi="Times New Roman" w:cs="Times New Roman"/>
          <w:noProof/>
          <w:sz w:val="24"/>
          <w:szCs w:val="20"/>
        </w:rPr>
      </w:pPr>
    </w:p>
    <w:p w14:paraId="05DB9913"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29. Ja, izanalizējot minētos kritērijus, kuri ir “pietiekami paši par sevi”, netiek konstatēti pietiekami pierādījumi par valdības kontroli, tad ir jāizvērtē arī citi kritēriji (turpmāk 4.–9. punkts), jo EKS 2010 20.310. punktā ir noteikts, ka “vairāki atsevišķi rādītāji kopā var norādīt uz kontroli”. Katru šādu gadījumu analizē atsevišķi. Rezultātā, ja vienībai neviens no kritērijiem pats par sevi nav bijis pietiekams, lai noteiktu publiskā sektora kontroli, to joprojām var iekļaut publiskajā sektorā (pat ja vairākums pieder privātajam sektoram), pārbaudot visu rādītāju kopumu.</w:t>
      </w:r>
    </w:p>
    <w:p w14:paraId="548C29D8"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202E294C" w14:textId="77777777" w:rsidR="00994F93" w:rsidRPr="00B03B51" w:rsidRDefault="00994F93" w:rsidP="00994F93">
      <w:pPr>
        <w:tabs>
          <w:tab w:val="left" w:pos="1126"/>
        </w:tabs>
        <w:ind w:left="284"/>
        <w:jc w:val="both"/>
        <w:rPr>
          <w:rFonts w:ascii="Times New Roman" w:hAnsi="Times New Roman" w:cs="Times New Roman"/>
          <w:b/>
          <w:noProof/>
          <w:sz w:val="24"/>
        </w:rPr>
      </w:pPr>
      <w:r w:rsidRPr="00B03B51">
        <w:rPr>
          <w:rFonts w:ascii="Times New Roman" w:hAnsi="Times New Roman" w:cs="Times New Roman"/>
          <w:b/>
          <w:sz w:val="24"/>
        </w:rPr>
        <w:t>4) Tiesības iecelt vai atlaist vadošos darbiniekus, vai noteikt veto attiecībā uz tiem</w:t>
      </w:r>
    </w:p>
    <w:p w14:paraId="25F31CAE" w14:textId="77777777" w:rsidR="00994F93" w:rsidRPr="00B03B51" w:rsidRDefault="00994F93" w:rsidP="00994F93">
      <w:pPr>
        <w:pStyle w:val="BodyText"/>
        <w:spacing w:before="0"/>
        <w:ind w:left="284" w:firstLine="0"/>
        <w:jc w:val="both"/>
        <w:rPr>
          <w:rFonts w:ascii="Times New Roman" w:hAnsi="Times New Roman" w:cs="Times New Roman"/>
          <w:noProof/>
          <w:sz w:val="24"/>
        </w:rPr>
      </w:pPr>
    </w:p>
    <w:p w14:paraId="7AA01167" w14:textId="77777777" w:rsidR="00994F93" w:rsidRPr="00B03B51" w:rsidRDefault="00994F93" w:rsidP="00994F93">
      <w:pPr>
        <w:pStyle w:val="BodyText"/>
        <w:spacing w:before="0"/>
        <w:ind w:left="284" w:firstLine="0"/>
        <w:jc w:val="both"/>
        <w:rPr>
          <w:rFonts w:ascii="Times New Roman" w:hAnsi="Times New Roman" w:cs="Times New Roman"/>
          <w:noProof/>
          <w:sz w:val="24"/>
        </w:rPr>
      </w:pPr>
      <w:r w:rsidRPr="00B03B51">
        <w:rPr>
          <w:rFonts w:ascii="Times New Roman" w:hAnsi="Times New Roman" w:cs="Times New Roman"/>
          <w:sz w:val="24"/>
        </w:rPr>
        <w:t xml:space="preserve">Tas attiecas uz vispārējās politikas noteikšanu, ko realizē neliels “ietekmīgu valdes locekļu” skaits, piemēram, galvenās izpildpersonas un priekšsēdētājs. Tas liecinās par kontroli tikai tad, ja šādām personām ir piešķirtas zināmas pilnvaras (dažādos veidos), kas </w:t>
      </w:r>
      <w:r w:rsidRPr="00B03B51">
        <w:rPr>
          <w:rFonts w:ascii="Times New Roman" w:hAnsi="Times New Roman" w:cs="Times New Roman"/>
          <w:i/>
          <w:iCs/>
          <w:sz w:val="24"/>
        </w:rPr>
        <w:t>de facto</w:t>
      </w:r>
      <w:r w:rsidRPr="00B03B51">
        <w:rPr>
          <w:rFonts w:ascii="Times New Roman" w:hAnsi="Times New Roman" w:cs="Times New Roman"/>
          <w:sz w:val="24"/>
        </w:rPr>
        <w:t xml:space="preserve"> dod tām izšķirošo vārdu vairumā lēmumu, kuri attiecas uz subjektu.</w:t>
      </w:r>
    </w:p>
    <w:p w14:paraId="69C8A695" w14:textId="77777777" w:rsidR="00994F93" w:rsidRPr="00B03B51" w:rsidRDefault="00994F93" w:rsidP="00994F93">
      <w:pPr>
        <w:pStyle w:val="BodyText"/>
        <w:spacing w:before="0"/>
        <w:ind w:left="284" w:firstLine="0"/>
        <w:jc w:val="both"/>
        <w:rPr>
          <w:rFonts w:ascii="Times New Roman" w:hAnsi="Times New Roman" w:cs="Times New Roman"/>
          <w:noProof/>
          <w:sz w:val="24"/>
        </w:rPr>
      </w:pPr>
    </w:p>
    <w:p w14:paraId="51ABA03C" w14:textId="77777777" w:rsidR="00994F93" w:rsidRPr="00B03B51" w:rsidRDefault="00994F93" w:rsidP="00994F93">
      <w:pPr>
        <w:pStyle w:val="BodyText"/>
        <w:spacing w:before="0"/>
        <w:ind w:left="284" w:firstLine="0"/>
        <w:jc w:val="both"/>
        <w:rPr>
          <w:rFonts w:ascii="Times New Roman" w:hAnsi="Times New Roman" w:cs="Times New Roman"/>
          <w:noProof/>
          <w:sz w:val="24"/>
        </w:rPr>
      </w:pPr>
      <w:r w:rsidRPr="00B03B51">
        <w:rPr>
          <w:rFonts w:ascii="Times New Roman" w:hAnsi="Times New Roman" w:cs="Times New Roman"/>
          <w:sz w:val="24"/>
        </w:rPr>
        <w:t xml:space="preserve">Valdībai var būt arī ne tik tiešas iespējas īstenot subjekta kontroli, ņemot vērā tās lomu izstrādātajā galvenā personāla nominēšanas, atlases un ievēlēšanas procesā. Valdība var izstrādāt procedūras, kas varētu radīt iespaidu, ka tā tikai nelielā vai pat niecīgā veidā ir iesaistīta attiecīgā subjekta galvenā personāla iecelšanā, atlaišanā vai apstiprināšanā. Taču iedziļinoties, kļūst skaidrs, ka valdība </w:t>
      </w:r>
      <w:r w:rsidRPr="00B03B51">
        <w:rPr>
          <w:rFonts w:ascii="Times New Roman" w:hAnsi="Times New Roman" w:cs="Times New Roman"/>
          <w:i/>
          <w:iCs/>
          <w:sz w:val="24"/>
        </w:rPr>
        <w:t>de facto</w:t>
      </w:r>
      <w:r w:rsidRPr="00B03B51">
        <w:rPr>
          <w:rFonts w:ascii="Times New Roman" w:hAnsi="Times New Roman" w:cs="Times New Roman"/>
          <w:sz w:val="24"/>
        </w:rPr>
        <w:t xml:space="preserve"> būtībā nosaka personāla iecelšanas kārtību </w:t>
      </w:r>
      <w:r w:rsidRPr="00B03B51">
        <w:rPr>
          <w:rFonts w:ascii="Times New Roman" w:hAnsi="Times New Roman" w:cs="Times New Roman"/>
          <w:sz w:val="24"/>
        </w:rPr>
        <w:lastRenderedPageBreak/>
        <w:t>vai vismaz ir būtiski iesaistīta šajā procesā.</w:t>
      </w:r>
    </w:p>
    <w:p w14:paraId="402EEC2C" w14:textId="77777777" w:rsidR="00994F93" w:rsidRPr="00B03B51" w:rsidRDefault="00994F93" w:rsidP="00994F93">
      <w:pPr>
        <w:pStyle w:val="BodyText"/>
        <w:spacing w:before="0"/>
        <w:ind w:left="284" w:firstLine="0"/>
        <w:jc w:val="both"/>
        <w:rPr>
          <w:rFonts w:ascii="Times New Roman" w:hAnsi="Times New Roman" w:cs="Times New Roman"/>
          <w:noProof/>
          <w:sz w:val="24"/>
        </w:rPr>
      </w:pPr>
    </w:p>
    <w:p w14:paraId="63272DAC" w14:textId="77777777" w:rsidR="00994F93" w:rsidRPr="00B03B51" w:rsidRDefault="00994F93" w:rsidP="00994F93">
      <w:pPr>
        <w:pStyle w:val="BodyText"/>
        <w:spacing w:before="0"/>
        <w:ind w:left="284" w:firstLine="0"/>
        <w:jc w:val="both"/>
        <w:rPr>
          <w:rFonts w:ascii="Times New Roman" w:hAnsi="Times New Roman" w:cs="Times New Roman"/>
          <w:noProof/>
          <w:sz w:val="24"/>
        </w:rPr>
      </w:pPr>
      <w:r w:rsidRPr="00B03B51">
        <w:rPr>
          <w:rFonts w:ascii="Times New Roman" w:hAnsi="Times New Roman" w:cs="Times New Roman"/>
          <w:sz w:val="24"/>
        </w:rPr>
        <w:t xml:space="preserve">Piemēram, galvenā personāla tiešai iecelšanai līdzvērtīga kārtība ir tad, kad valdība deleģē tiesības iecelt uzraudzības padomes vai direktoru padomes locekļus vairākām noteiktām privātām struktūrām (bieži vien privātām bezpeļņas iestādēm) un tikai valdība var nomainīt šos ieceļamos subjektus. Lai arī var šķist, ka valdība būtiski neiejaucas iecelšanas procesā, tā kā privātās struktūras pieņem lēmumus un nav iespējas tās noraidīt, ja deleģētie subjekti pieņem tādus lēmumus, kurus valdība neapstiprina, pastāv reāla iespēja, ka tos var aizstāt ar citiem. Šajā gadījumā izšķirošs faktors ir tas, ka valdībai </w:t>
      </w:r>
      <w:r w:rsidRPr="00B03B51">
        <w:rPr>
          <w:rFonts w:ascii="Times New Roman" w:hAnsi="Times New Roman" w:cs="Times New Roman"/>
          <w:i/>
          <w:iCs/>
          <w:sz w:val="24"/>
        </w:rPr>
        <w:t>de facto</w:t>
      </w:r>
      <w:r w:rsidRPr="00B03B51">
        <w:rPr>
          <w:rFonts w:ascii="Times New Roman" w:hAnsi="Times New Roman" w:cs="Times New Roman"/>
          <w:sz w:val="24"/>
        </w:rPr>
        <w:t xml:space="preserve"> ir jābūt reālām tiesībām iecelt galveno personālu; pretējā gadījumā tā nebūtu spējīga deleģēt šīs tiesības. Šādos apstākļos valdība var īstenot vismaz kaut kādu ietekmi, lai arī ar to var nepietikt, lai izveidotu publisku kontroli.</w:t>
      </w:r>
    </w:p>
    <w:p w14:paraId="71100995" w14:textId="77777777" w:rsidR="00994F93" w:rsidRPr="00B03B51" w:rsidRDefault="00994F93" w:rsidP="00994F93">
      <w:pPr>
        <w:tabs>
          <w:tab w:val="left" w:pos="1126"/>
        </w:tabs>
        <w:ind w:left="284"/>
        <w:jc w:val="both"/>
        <w:rPr>
          <w:rFonts w:ascii="Times New Roman" w:hAnsi="Times New Roman" w:cs="Times New Roman"/>
          <w:b/>
          <w:noProof/>
          <w:sz w:val="24"/>
        </w:rPr>
      </w:pPr>
    </w:p>
    <w:p w14:paraId="0F4C7AC4" w14:textId="77777777" w:rsidR="00994F93" w:rsidRPr="00B03B51" w:rsidRDefault="00994F93" w:rsidP="00994F93">
      <w:pPr>
        <w:tabs>
          <w:tab w:val="left" w:pos="1126"/>
        </w:tabs>
        <w:ind w:left="284"/>
        <w:jc w:val="both"/>
        <w:rPr>
          <w:rFonts w:ascii="Times New Roman" w:hAnsi="Times New Roman" w:cs="Times New Roman"/>
          <w:b/>
          <w:noProof/>
          <w:sz w:val="24"/>
        </w:rPr>
      </w:pPr>
      <w:r w:rsidRPr="00B03B51">
        <w:rPr>
          <w:rFonts w:ascii="Times New Roman" w:hAnsi="Times New Roman" w:cs="Times New Roman"/>
          <w:b/>
          <w:sz w:val="24"/>
        </w:rPr>
        <w:t>5) Īpašo akciju un iespēju tiesības</w:t>
      </w:r>
    </w:p>
    <w:p w14:paraId="040E5865" w14:textId="77777777" w:rsidR="00994F93" w:rsidRPr="00B03B51" w:rsidRDefault="00994F93" w:rsidP="00994F93">
      <w:pPr>
        <w:pStyle w:val="BodyText"/>
        <w:spacing w:before="0"/>
        <w:ind w:left="284" w:firstLine="0"/>
        <w:jc w:val="both"/>
        <w:rPr>
          <w:rFonts w:ascii="Times New Roman" w:hAnsi="Times New Roman" w:cs="Times New Roman"/>
          <w:noProof/>
          <w:sz w:val="24"/>
        </w:rPr>
      </w:pPr>
    </w:p>
    <w:p w14:paraId="3561CE18" w14:textId="77777777" w:rsidR="00994F93" w:rsidRPr="00B03B51" w:rsidRDefault="00994F93" w:rsidP="00994F93">
      <w:pPr>
        <w:pStyle w:val="BodyText"/>
        <w:spacing w:before="0"/>
        <w:ind w:left="284" w:firstLine="0"/>
        <w:jc w:val="both"/>
        <w:rPr>
          <w:rFonts w:ascii="Times New Roman" w:hAnsi="Times New Roman" w:cs="Times New Roman"/>
          <w:noProof/>
          <w:sz w:val="24"/>
        </w:rPr>
      </w:pPr>
      <w:r w:rsidRPr="00B03B51">
        <w:rPr>
          <w:rFonts w:ascii="Times New Roman" w:hAnsi="Times New Roman" w:cs="Times New Roman"/>
          <w:sz w:val="24"/>
        </w:rPr>
        <w:t>Dažkārt saistībā ar privatizāciju tiek radītas “zelta akcijas”. Lai arī principā šādu kārtību pastāvīgā veidā Eiropas Savienībā vairs nav iespējams piešķirt, jautājums par zelta akciju mantojumu saglabājas. Ja šādas akcijas sedz pilnvaras, kas attiecas vien uz ļoti konkrētiem iespējamiem notikumiem un kas ir ierobežotas tvēruma un/vai laika ziņā, kas parasti tā ir, tās ir uzskatāmas par iespējamām “rezerves pilnvarām” un netiek uzskatītas par kontroles rādītāju.</w:t>
      </w:r>
    </w:p>
    <w:p w14:paraId="042C396D" w14:textId="77777777" w:rsidR="00994F93" w:rsidRPr="00B03B51" w:rsidRDefault="00994F93" w:rsidP="00994F93">
      <w:pPr>
        <w:pStyle w:val="BodyText"/>
        <w:spacing w:before="0"/>
        <w:ind w:left="284" w:firstLine="0"/>
        <w:jc w:val="both"/>
        <w:rPr>
          <w:rFonts w:ascii="Times New Roman" w:hAnsi="Times New Roman" w:cs="Times New Roman"/>
          <w:noProof/>
          <w:sz w:val="24"/>
        </w:rPr>
      </w:pPr>
    </w:p>
    <w:p w14:paraId="2FA3C1BF" w14:textId="77777777" w:rsidR="00994F93" w:rsidRPr="00B03B51" w:rsidRDefault="00994F93" w:rsidP="00994F93">
      <w:pPr>
        <w:pStyle w:val="BodyText"/>
        <w:spacing w:before="0"/>
        <w:ind w:left="284" w:firstLine="0"/>
        <w:jc w:val="both"/>
        <w:rPr>
          <w:rFonts w:ascii="Times New Roman" w:hAnsi="Times New Roman" w:cs="Times New Roman"/>
          <w:noProof/>
          <w:sz w:val="24"/>
        </w:rPr>
      </w:pPr>
      <w:r w:rsidRPr="00B03B51">
        <w:rPr>
          <w:rFonts w:ascii="Times New Roman" w:hAnsi="Times New Roman" w:cs="Times New Roman"/>
          <w:sz w:val="24"/>
        </w:rPr>
        <w:t xml:space="preserve">Savukārt, ja šīs pilnvaras </w:t>
      </w:r>
      <w:r w:rsidRPr="00B03B51">
        <w:rPr>
          <w:rFonts w:ascii="Times New Roman" w:hAnsi="Times New Roman" w:cs="Times New Roman"/>
          <w:i/>
          <w:iCs/>
          <w:sz w:val="24"/>
        </w:rPr>
        <w:t>de facto</w:t>
      </w:r>
      <w:r w:rsidRPr="00B03B51">
        <w:rPr>
          <w:rFonts w:ascii="Times New Roman" w:hAnsi="Times New Roman" w:cs="Times New Roman"/>
          <w:sz w:val="24"/>
        </w:rPr>
        <w:t xml:space="preserve"> ietekmē vienības vispārējo politiku, tās ir jāņem vērā, pieņemot lēmumu par klasifikāciju. Ja tiek faktiski izmantotas iespējamās pilnvaras, var prognozēt, ka tas ir pietiekami, lai tūlītēji vai pat vēl agrāk pārklasificētu vienību par publisku vienību, ja kļūst acīmredzami, ka valdība/publiskais sektors nākotnē izmantos pilnvaras apņēmīgi kontrolēt vienības stratēģiju un citus nozīmīgus lēmumus.</w:t>
      </w:r>
    </w:p>
    <w:p w14:paraId="384C8A3D" w14:textId="77777777" w:rsidR="00994F93" w:rsidRPr="00B03B51" w:rsidRDefault="00994F93" w:rsidP="00994F93">
      <w:pPr>
        <w:pStyle w:val="BodyText"/>
        <w:spacing w:before="0"/>
        <w:ind w:left="284" w:firstLine="0"/>
        <w:jc w:val="both"/>
        <w:rPr>
          <w:rFonts w:ascii="Times New Roman" w:hAnsi="Times New Roman" w:cs="Times New Roman"/>
          <w:noProof/>
          <w:sz w:val="24"/>
        </w:rPr>
      </w:pPr>
    </w:p>
    <w:p w14:paraId="6B60156F" w14:textId="77777777" w:rsidR="00994F93" w:rsidRPr="00B03B51" w:rsidRDefault="00994F93" w:rsidP="00994F93">
      <w:pPr>
        <w:pStyle w:val="BodyText"/>
        <w:spacing w:before="0"/>
        <w:ind w:left="284" w:firstLine="0"/>
        <w:jc w:val="both"/>
        <w:rPr>
          <w:rFonts w:ascii="Times New Roman" w:hAnsi="Times New Roman" w:cs="Times New Roman"/>
          <w:noProof/>
          <w:sz w:val="24"/>
        </w:rPr>
      </w:pPr>
      <w:r w:rsidRPr="00B03B51">
        <w:rPr>
          <w:rFonts w:ascii="Times New Roman" w:hAnsi="Times New Roman" w:cs="Times New Roman"/>
          <w:sz w:val="24"/>
        </w:rPr>
        <w:t>Tādu pašu ietekmi varētu radīt arī akciju pirkšanas iespējas esamība, kas varētu nozīmēt, ka, kamēr vien šīs akcijas pastāv, valdība/publiskā vienība varētu izpildīt pirmo kontroles kritēriju kopumu. Tas ir tāpēc, ka pat tikai nodoms īstenot iespējas līgumu varētu dot valdībai/publiskajam sektoram izšķirošu ietekmi attiecībā uz kontrolētās vienības stratēģiju un citiem nozīmīgiem lēmumiem.</w:t>
      </w:r>
    </w:p>
    <w:p w14:paraId="602323E8" w14:textId="77777777" w:rsidR="00994F93" w:rsidRPr="00B03B51" w:rsidRDefault="00994F93" w:rsidP="00994F93">
      <w:pPr>
        <w:pStyle w:val="BodyText"/>
        <w:spacing w:before="0"/>
        <w:ind w:left="284" w:firstLine="0"/>
        <w:jc w:val="both"/>
        <w:rPr>
          <w:rFonts w:ascii="Times New Roman" w:hAnsi="Times New Roman" w:cs="Times New Roman"/>
          <w:noProof/>
          <w:sz w:val="24"/>
        </w:rPr>
      </w:pPr>
    </w:p>
    <w:p w14:paraId="3F255A5E" w14:textId="77777777" w:rsidR="00994F93" w:rsidRPr="00B03B51" w:rsidRDefault="00994F93" w:rsidP="00994F93">
      <w:pPr>
        <w:tabs>
          <w:tab w:val="left" w:pos="1126"/>
        </w:tabs>
        <w:ind w:left="284"/>
        <w:jc w:val="both"/>
        <w:rPr>
          <w:rFonts w:ascii="Times New Roman" w:hAnsi="Times New Roman" w:cs="Times New Roman"/>
          <w:b/>
          <w:noProof/>
          <w:sz w:val="24"/>
        </w:rPr>
      </w:pPr>
      <w:r w:rsidRPr="00B03B51">
        <w:rPr>
          <w:rFonts w:ascii="Times New Roman" w:hAnsi="Times New Roman" w:cs="Times New Roman"/>
          <w:b/>
          <w:sz w:val="24"/>
        </w:rPr>
        <w:t>6) Kontroles tiesības saskaņā ar līgumisku vienošanos</w:t>
      </w:r>
    </w:p>
    <w:p w14:paraId="17088EE2" w14:textId="77777777" w:rsidR="00994F93" w:rsidRPr="00B03B51" w:rsidRDefault="00994F93" w:rsidP="00994F93">
      <w:pPr>
        <w:pStyle w:val="BodyText"/>
        <w:spacing w:before="0"/>
        <w:ind w:left="284" w:firstLine="0"/>
        <w:jc w:val="both"/>
        <w:rPr>
          <w:rFonts w:ascii="Times New Roman" w:hAnsi="Times New Roman" w:cs="Times New Roman"/>
          <w:noProof/>
          <w:sz w:val="24"/>
        </w:rPr>
      </w:pPr>
    </w:p>
    <w:p w14:paraId="3E5E398F" w14:textId="77777777" w:rsidR="00994F93" w:rsidRPr="00B03B51" w:rsidRDefault="00994F93" w:rsidP="00994F93">
      <w:pPr>
        <w:pStyle w:val="BodyText"/>
        <w:spacing w:before="0"/>
        <w:ind w:left="284" w:firstLine="0"/>
        <w:jc w:val="both"/>
        <w:rPr>
          <w:rFonts w:ascii="Times New Roman" w:hAnsi="Times New Roman" w:cs="Times New Roman"/>
          <w:noProof/>
          <w:sz w:val="24"/>
        </w:rPr>
      </w:pPr>
      <w:r w:rsidRPr="00B03B51">
        <w:rPr>
          <w:rFonts w:ascii="Times New Roman" w:hAnsi="Times New Roman" w:cs="Times New Roman"/>
          <w:sz w:val="24"/>
        </w:rPr>
        <w:t>Parasti tas nozīmē, ka publiskā sektora subjekti ekskluzīvi izmanto subjekta ražotās preces un pakalpojumus, kas varētu liecināt, ka dominējošā ietekme uz subjektu tiek īstenota ar līguma klauzulām. Pašus līguma noteikumus nebūtu vajadzības izskatīt. Tas varētu arī raisīt jautājumus par to, kādā pēc būtības tirgū vienība darbojas, ja tās produkciju pērk valdība (skat. 1.2.4.2. apakšiedaļu “Ar ražotājiem saistīti īpaši gadījumi”). Ja subjektam tiek likti ierobežojumi nodarboties ar pārdošanu ar vienībām, kas nav publiskas vienības, tas ir skaidrs publiskas kontroles rādītājs.</w:t>
      </w:r>
    </w:p>
    <w:p w14:paraId="3FD30B66" w14:textId="77777777" w:rsidR="00994F93" w:rsidRPr="00B03B51" w:rsidRDefault="00994F93" w:rsidP="00994F93">
      <w:pPr>
        <w:pStyle w:val="BodyText"/>
        <w:spacing w:before="0"/>
        <w:ind w:left="284" w:firstLine="0"/>
        <w:jc w:val="both"/>
        <w:rPr>
          <w:rFonts w:ascii="Times New Roman" w:hAnsi="Times New Roman" w:cs="Times New Roman"/>
          <w:noProof/>
          <w:sz w:val="24"/>
        </w:rPr>
      </w:pPr>
    </w:p>
    <w:p w14:paraId="1E6929D7" w14:textId="77777777" w:rsidR="00994F93" w:rsidRPr="00B03B51" w:rsidRDefault="00994F93" w:rsidP="00994F93">
      <w:pPr>
        <w:tabs>
          <w:tab w:val="left" w:pos="1126"/>
        </w:tabs>
        <w:ind w:left="284"/>
        <w:jc w:val="both"/>
        <w:rPr>
          <w:rFonts w:ascii="Times New Roman" w:hAnsi="Times New Roman" w:cs="Times New Roman"/>
          <w:b/>
          <w:noProof/>
          <w:sz w:val="24"/>
        </w:rPr>
      </w:pPr>
      <w:r w:rsidRPr="00B03B51">
        <w:rPr>
          <w:rFonts w:ascii="Times New Roman" w:hAnsi="Times New Roman" w:cs="Times New Roman"/>
          <w:b/>
          <w:sz w:val="24"/>
        </w:rPr>
        <w:t>7) Tiesības kontrolēt, kas izriet no aizdevuma līgumiem/atļaujām</w:t>
      </w:r>
    </w:p>
    <w:p w14:paraId="4376D228" w14:textId="77777777" w:rsidR="00994F93" w:rsidRPr="00B03B51" w:rsidRDefault="00994F93" w:rsidP="00994F93">
      <w:pPr>
        <w:pStyle w:val="BodyText"/>
        <w:spacing w:before="0"/>
        <w:ind w:left="284" w:firstLine="0"/>
        <w:jc w:val="both"/>
        <w:rPr>
          <w:rFonts w:ascii="Times New Roman" w:hAnsi="Times New Roman" w:cs="Times New Roman"/>
          <w:noProof/>
          <w:sz w:val="24"/>
        </w:rPr>
      </w:pPr>
    </w:p>
    <w:p w14:paraId="40691316" w14:textId="77777777" w:rsidR="00994F93" w:rsidRPr="00B03B51" w:rsidRDefault="00994F93" w:rsidP="00994F93">
      <w:pPr>
        <w:pStyle w:val="BodyText"/>
        <w:spacing w:before="0"/>
        <w:ind w:left="284" w:firstLine="0"/>
        <w:jc w:val="both"/>
        <w:rPr>
          <w:rFonts w:ascii="Times New Roman" w:hAnsi="Times New Roman" w:cs="Times New Roman"/>
          <w:noProof/>
          <w:sz w:val="24"/>
        </w:rPr>
      </w:pPr>
      <w:r w:rsidRPr="00B03B51">
        <w:rPr>
          <w:rFonts w:ascii="Times New Roman" w:hAnsi="Times New Roman" w:cs="Times New Roman"/>
          <w:sz w:val="24"/>
        </w:rPr>
        <w:t>Lai būtu norāde par kontroli, valdībai/publiskajam sektoram ir jābūt dominējošai lomai, nosakot aizņēmuma nosacījumus (piemēram, maksājuma termiņu, likmes, veidus, atrašanās vietu, darījuma partneri, nodrošinājumus utt.), un/vai stingri jākontrolē, kā līdzekļus izlieto subjekts (piemēram, konkrētam iekārtu vai citu sabiedrību akciju iepirkumam).</w:t>
      </w:r>
    </w:p>
    <w:p w14:paraId="1A0E0292" w14:textId="77777777" w:rsidR="00994F93" w:rsidRPr="00B03B51" w:rsidRDefault="00994F93" w:rsidP="00994F93">
      <w:pPr>
        <w:pStyle w:val="BodyText"/>
        <w:spacing w:before="0"/>
        <w:ind w:left="284" w:firstLine="0"/>
        <w:jc w:val="both"/>
        <w:rPr>
          <w:rFonts w:ascii="Times New Roman" w:hAnsi="Times New Roman" w:cs="Times New Roman"/>
          <w:noProof/>
          <w:sz w:val="24"/>
        </w:rPr>
      </w:pPr>
    </w:p>
    <w:p w14:paraId="26854AC5" w14:textId="77777777" w:rsidR="00994F93" w:rsidRPr="00B03B51" w:rsidRDefault="00994F93" w:rsidP="00994F93">
      <w:pPr>
        <w:tabs>
          <w:tab w:val="left" w:pos="1126"/>
        </w:tabs>
        <w:ind w:left="284"/>
        <w:jc w:val="both"/>
        <w:rPr>
          <w:rFonts w:ascii="Times New Roman" w:hAnsi="Times New Roman" w:cs="Times New Roman"/>
          <w:b/>
          <w:noProof/>
          <w:sz w:val="24"/>
        </w:rPr>
      </w:pPr>
      <w:r w:rsidRPr="00B03B51">
        <w:rPr>
          <w:rFonts w:ascii="Times New Roman" w:hAnsi="Times New Roman" w:cs="Times New Roman"/>
          <w:b/>
          <w:sz w:val="24"/>
        </w:rPr>
        <w:lastRenderedPageBreak/>
        <w:t>8) Kontrole, izmantojot pārmērīgu regulējumu</w:t>
      </w:r>
    </w:p>
    <w:p w14:paraId="62923617" w14:textId="77777777" w:rsidR="00994F93" w:rsidRPr="00B03B51" w:rsidRDefault="00994F93" w:rsidP="00994F93">
      <w:pPr>
        <w:pStyle w:val="BodyText"/>
        <w:spacing w:before="0"/>
        <w:ind w:left="284" w:firstLine="0"/>
        <w:jc w:val="both"/>
        <w:rPr>
          <w:rFonts w:ascii="Times New Roman" w:hAnsi="Times New Roman" w:cs="Times New Roman"/>
          <w:noProof/>
          <w:sz w:val="24"/>
        </w:rPr>
      </w:pPr>
    </w:p>
    <w:p w14:paraId="1E31F7FC" w14:textId="77777777" w:rsidR="00994F93" w:rsidRPr="00B03B51" w:rsidRDefault="00994F93" w:rsidP="00994F93">
      <w:pPr>
        <w:pStyle w:val="BodyText"/>
        <w:spacing w:before="0"/>
        <w:ind w:left="284" w:firstLine="0"/>
        <w:jc w:val="both"/>
        <w:rPr>
          <w:rFonts w:ascii="Times New Roman" w:hAnsi="Times New Roman" w:cs="Times New Roman"/>
          <w:noProof/>
          <w:sz w:val="24"/>
        </w:rPr>
      </w:pPr>
      <w:r w:rsidRPr="00B03B51">
        <w:rPr>
          <w:rFonts w:ascii="Times New Roman" w:hAnsi="Times New Roman" w:cs="Times New Roman"/>
          <w:sz w:val="24"/>
        </w:rPr>
        <w:t>Dažās nozarēs (jo īpaši tādās, kas saistītas ar komunālajiem pakalpojumiem) stingrs regulējums varētu būtiski ierobežot subjektu manevra iespējas attiecībā uz to vispārējās politikas noteikšanu. Kopumā tipiska situācija varētu būt tāda, ka subjekts tiek dibināts konkrētas darbības veikšanai (ko deleģē valdība), un tas nevar lemt par šīs darbības izmaiņām vai papildinājumiem. Tādējādi šo kritēriju piemēro, ja pastāv stingrāki nosacījumi vienības darbību izbeigšanai vai dažādošanai.</w:t>
      </w:r>
    </w:p>
    <w:p w14:paraId="7E033A09" w14:textId="77777777" w:rsidR="00994F93" w:rsidRPr="00B03B51" w:rsidRDefault="00994F93" w:rsidP="00994F93">
      <w:pPr>
        <w:pStyle w:val="BodyText"/>
        <w:spacing w:before="0"/>
        <w:ind w:left="284" w:firstLine="0"/>
        <w:jc w:val="both"/>
        <w:rPr>
          <w:rFonts w:ascii="Times New Roman" w:hAnsi="Times New Roman" w:cs="Times New Roman"/>
          <w:noProof/>
          <w:sz w:val="24"/>
        </w:rPr>
      </w:pPr>
    </w:p>
    <w:p w14:paraId="5CD67403" w14:textId="77777777" w:rsidR="00994F93" w:rsidRPr="00B03B51" w:rsidRDefault="00994F93" w:rsidP="00994F93">
      <w:pPr>
        <w:tabs>
          <w:tab w:val="left" w:pos="1126"/>
        </w:tabs>
        <w:ind w:left="284"/>
        <w:jc w:val="both"/>
        <w:rPr>
          <w:rFonts w:ascii="Times New Roman" w:hAnsi="Times New Roman" w:cs="Times New Roman"/>
          <w:b/>
          <w:noProof/>
          <w:sz w:val="24"/>
        </w:rPr>
      </w:pPr>
      <w:r w:rsidRPr="00B03B51">
        <w:rPr>
          <w:rFonts w:ascii="Times New Roman" w:hAnsi="Times New Roman" w:cs="Times New Roman"/>
          <w:b/>
          <w:sz w:val="24"/>
        </w:rPr>
        <w:t>9) Citi</w:t>
      </w:r>
    </w:p>
    <w:p w14:paraId="2A2D83F6" w14:textId="77777777" w:rsidR="00994F93" w:rsidRPr="00B03B51" w:rsidRDefault="00994F93" w:rsidP="00994F93">
      <w:pPr>
        <w:pStyle w:val="BodyText"/>
        <w:spacing w:before="0"/>
        <w:ind w:left="284" w:firstLine="0"/>
        <w:jc w:val="both"/>
        <w:rPr>
          <w:rFonts w:ascii="Times New Roman" w:hAnsi="Times New Roman" w:cs="Times New Roman"/>
          <w:noProof/>
          <w:sz w:val="24"/>
        </w:rPr>
      </w:pPr>
    </w:p>
    <w:p w14:paraId="2F2C4B49" w14:textId="77777777" w:rsidR="00994F93" w:rsidRPr="00B03B51" w:rsidRDefault="00994F93" w:rsidP="00994F93">
      <w:pPr>
        <w:pStyle w:val="BodyText"/>
        <w:spacing w:before="0"/>
        <w:ind w:left="284" w:firstLine="0"/>
        <w:jc w:val="both"/>
        <w:rPr>
          <w:rFonts w:ascii="Times New Roman" w:hAnsi="Times New Roman" w:cs="Times New Roman"/>
          <w:noProof/>
          <w:sz w:val="24"/>
        </w:rPr>
      </w:pPr>
      <w:r w:rsidRPr="00B03B51">
        <w:rPr>
          <w:rFonts w:ascii="Times New Roman" w:hAnsi="Times New Roman" w:cs="Times New Roman"/>
          <w:sz w:val="24"/>
        </w:rPr>
        <w:t>EKS 2010 20.309. punkta i) apakšpunktā ir noteikts, ka kontroli var iegūt arī no subjekta statūtu noteikumiem, kas paredz, ka dažiem nozīmīgiem lēmumiem, piemēram, par subjekta peļņas sadalījumu, darbību izstrādi vai izbeigšanu, apvienošanās un iegādes darbībām, likvidēšanu vai izmaiņām statūtos, ir nepieciešams publiskā sektora apstiprinājums. Daži šāda veida noteikumi var liecināt par kontroli.</w:t>
      </w:r>
    </w:p>
    <w:p w14:paraId="5150FDF8" w14:textId="77777777" w:rsidR="00994F93" w:rsidRPr="00B03B51" w:rsidRDefault="00994F93" w:rsidP="00994F93">
      <w:pPr>
        <w:ind w:left="284"/>
        <w:jc w:val="both"/>
        <w:rPr>
          <w:rFonts w:ascii="Times New Roman" w:eastAsia="Arial" w:hAnsi="Times New Roman" w:cs="Times New Roman"/>
          <w:noProof/>
          <w:sz w:val="24"/>
          <w:szCs w:val="26"/>
        </w:rPr>
      </w:pPr>
    </w:p>
    <w:p w14:paraId="2B2BF3C1" w14:textId="77777777" w:rsidR="00994F93" w:rsidRPr="00B03B51" w:rsidRDefault="00994F93" w:rsidP="00994F93">
      <w:pPr>
        <w:pStyle w:val="BodyText"/>
        <w:spacing w:before="0"/>
        <w:ind w:left="284" w:firstLine="0"/>
        <w:jc w:val="both"/>
        <w:rPr>
          <w:rFonts w:ascii="Times New Roman" w:hAnsi="Times New Roman" w:cs="Times New Roman"/>
          <w:noProof/>
          <w:sz w:val="24"/>
        </w:rPr>
      </w:pPr>
      <w:r w:rsidRPr="00B03B51">
        <w:rPr>
          <w:rFonts w:ascii="Times New Roman" w:hAnsi="Times New Roman" w:cs="Times New Roman"/>
          <w:sz w:val="24"/>
        </w:rPr>
        <w:t>EKS 2010 20.309. punkta i) apakšpunktā ir arī minēts – ja subjektu pilnībā vai gandrīz pilnībā finansē publiskais sektors, kontrole, kas tiek īstenota ar finansējuma plūsmu, var būt pietiekami ierobežojoša, lai diktētu vispārējo politiku. Tas jo īpaši būtiski ir gadījumā, ja subjektam nav piekļuves (</w:t>
      </w:r>
      <w:r w:rsidRPr="00B03B51">
        <w:rPr>
          <w:rFonts w:ascii="Times New Roman" w:hAnsi="Times New Roman" w:cs="Times New Roman"/>
          <w:i/>
          <w:iCs/>
          <w:sz w:val="24"/>
        </w:rPr>
        <w:t>de iure</w:t>
      </w:r>
      <w:r w:rsidRPr="00B03B51">
        <w:rPr>
          <w:rFonts w:ascii="Times New Roman" w:hAnsi="Times New Roman" w:cs="Times New Roman"/>
          <w:sz w:val="24"/>
        </w:rPr>
        <w:t xml:space="preserve"> vai </w:t>
      </w:r>
      <w:r w:rsidRPr="00B03B51">
        <w:rPr>
          <w:rFonts w:ascii="Times New Roman" w:hAnsi="Times New Roman" w:cs="Times New Roman"/>
          <w:i/>
          <w:iCs/>
          <w:sz w:val="24"/>
        </w:rPr>
        <w:t>de facto</w:t>
      </w:r>
      <w:r w:rsidRPr="00B03B51">
        <w:rPr>
          <w:rFonts w:ascii="Times New Roman" w:hAnsi="Times New Roman" w:cs="Times New Roman"/>
          <w:sz w:val="24"/>
        </w:rPr>
        <w:t>) citiem finanšu avotiem, proti, ja subjekts zaudē savus publiskā sektora līgumus, tas var nespēt tos aizstāt ar citiem pārdošanas līgumiem un var būt spiests slēgt savu darbību.</w:t>
      </w:r>
    </w:p>
    <w:p w14:paraId="5032F2BA" w14:textId="77777777" w:rsidR="00994F93" w:rsidRPr="00B03B51" w:rsidRDefault="00994F93" w:rsidP="00994F93">
      <w:pPr>
        <w:pStyle w:val="BodyText"/>
        <w:spacing w:before="0"/>
        <w:ind w:left="284" w:firstLine="0"/>
        <w:jc w:val="both"/>
        <w:rPr>
          <w:rFonts w:ascii="Times New Roman" w:hAnsi="Times New Roman" w:cs="Times New Roman"/>
          <w:noProof/>
          <w:sz w:val="24"/>
        </w:rPr>
      </w:pPr>
    </w:p>
    <w:p w14:paraId="4D96AB93" w14:textId="77777777" w:rsidR="00994F93" w:rsidRPr="00B03B51" w:rsidRDefault="00994F93" w:rsidP="00994F93">
      <w:pPr>
        <w:pStyle w:val="BodyText"/>
        <w:spacing w:before="0"/>
        <w:ind w:left="284" w:firstLine="0"/>
        <w:jc w:val="both"/>
        <w:rPr>
          <w:rFonts w:ascii="Times New Roman" w:hAnsi="Times New Roman" w:cs="Times New Roman"/>
          <w:noProof/>
          <w:sz w:val="24"/>
        </w:rPr>
      </w:pPr>
      <w:r w:rsidRPr="00B03B51">
        <w:rPr>
          <w:rFonts w:ascii="Times New Roman" w:hAnsi="Times New Roman" w:cs="Times New Roman"/>
          <w:sz w:val="24"/>
        </w:rPr>
        <w:t>EKS 2010 kontroles jēdziens atšķiras no neatkarības jēdziena. Daudzi valdības subjekti darbojas juridiski neatkarīgi no ministru kabineta/ministru padomes vai valdības galvenās vienības. Publiskas kontroles noteikšana ir statistiskās klasifikācijas jautājums un nav jāinterpretē tā, it kā institucionālā vienība nav pilnībā neatkarīga. Piemēram, tas, ka centrālās bankas tradicionāli ir publiskā sektora sastāvā, neliedz tām būt neatkarīgiem subjektiem (skat. EKS 2010 20.311. punktu). Tāpat arī parlaments, konstitucionālā tiesa un citi subjekti nepārprotami ir valsts pārvaldes sastāvdaļas, tomēr tie ir neatkarīgi no valdības ministriem.</w:t>
      </w:r>
    </w:p>
    <w:p w14:paraId="284116B9" w14:textId="77777777" w:rsidR="00994F93" w:rsidRPr="00B03B51" w:rsidRDefault="00994F93" w:rsidP="00994F93">
      <w:pPr>
        <w:jc w:val="both"/>
        <w:rPr>
          <w:rFonts w:ascii="Times New Roman" w:eastAsia="Arial" w:hAnsi="Times New Roman" w:cs="Times New Roman"/>
          <w:noProof/>
          <w:sz w:val="24"/>
          <w:szCs w:val="15"/>
        </w:rPr>
      </w:pPr>
    </w:p>
    <w:p w14:paraId="64117565" w14:textId="77777777" w:rsidR="00994F93" w:rsidRPr="00B03B51" w:rsidRDefault="00994F93" w:rsidP="00994F93">
      <w:pPr>
        <w:pStyle w:val="Heading6"/>
        <w:tabs>
          <w:tab w:val="left" w:pos="1279"/>
        </w:tabs>
        <w:ind w:left="0" w:firstLine="0"/>
        <w:jc w:val="both"/>
        <w:rPr>
          <w:rFonts w:ascii="Times New Roman" w:hAnsi="Times New Roman" w:cs="Times New Roman"/>
          <w:noProof/>
          <w:sz w:val="24"/>
        </w:rPr>
      </w:pPr>
      <w:bookmarkStart w:id="20" w:name="1.2.3.2_Government-controlled_entities_n"/>
      <w:bookmarkEnd w:id="20"/>
      <w:r w:rsidRPr="00B03B51">
        <w:rPr>
          <w:rFonts w:ascii="Times New Roman" w:hAnsi="Times New Roman" w:cs="Times New Roman"/>
          <w:sz w:val="24"/>
        </w:rPr>
        <w:t>1.2.3.2. VALDĪBAS KONTROLĒTI SUBJEKTI, KAS NETIEK ATZĪTI PAR INSTITUCIONĀLĀM VIENĪBĀM</w:t>
      </w:r>
    </w:p>
    <w:p w14:paraId="0CD19AC2"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602AA9A4"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30. EKS 2010 kontroles analīze galvenokārt attiecas uz institucionālajām vienībām, lai noteiktu, vai tās kontrolē vai nekontrolē valdība, un tādējādi tas ir solis, lai noteiktu institucionālo vienību sektoru klasifikāciju (skat. EKS 2010 20.1. diagrammu).</w:t>
      </w:r>
    </w:p>
    <w:p w14:paraId="5FBAD603"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1DB11E56"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31. Kontrole tomēr ir svarīga arī subjektiem, kuri neizpilda institucionālās vienības testu, jo tiem nav lēmumu autonomijas attiecībā uz to pamatfunkciju. EKS 2010 2.13. punktā ir noteikts, ka šādus subjektus klasificē kā tos kontrolējošo institucionālo vienību sastāvdaļu. Bieži vien šāda situācija rodas, kad institucionālā vienība sastāv no vairākām juridiskām vienībām vai kad galvenā vienība (piemēram, valdības galvenā vienība) ietver vairākas ministrijas vai departamentus savā kontu komplektā.</w:t>
      </w:r>
    </w:p>
    <w:p w14:paraId="2EE59CA4"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39B6F96C"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32. Var izveidot atsevišķus subjektus, kuriem nav juridiskā statusa un kurus apvieno galvenajā vienībā, un, lai arī šajā situācijā bieži vien mātesuzņēmums ir acīmredzams, dažkārt par to var rasties patiesas šaubas. Piemēram, publiskas sabiedrības izveidota ĪNDS faktiski var būt valdības tiešā kontrolē. Tas tā varētu būt gadījumā, ja, piemēram, attiecīgā ĪNDS nevar saņemt ārkārtas finansējumu no publiskas sabiedrības, bet tai ir jāvēršas tieši pie valdības.</w:t>
      </w:r>
    </w:p>
    <w:p w14:paraId="3B8B86C4"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72BDE192"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 xml:space="preserve">33. Ārkārtīgi retos gadījumos subjekta kontroles jēdziens var sakrist ar aktīvu kontroles jēdzienu, kas jo īpaši tā ir gadījumos, kad subjekts pastāv vien tāpēc, lai tam piederētu aktīvs un, iespējams, lai tas finansētu aktīvu. Cits piemērs ir autopilota veidojums, kurā subjekts </w:t>
      </w:r>
      <w:r w:rsidRPr="00B03B51">
        <w:rPr>
          <w:rFonts w:ascii="Times New Roman" w:hAnsi="Times New Roman" w:cs="Times New Roman"/>
          <w:i/>
          <w:iCs/>
          <w:sz w:val="24"/>
        </w:rPr>
        <w:t>de facto</w:t>
      </w:r>
      <w:r w:rsidRPr="00B03B51">
        <w:rPr>
          <w:rFonts w:ascii="Times New Roman" w:hAnsi="Times New Roman" w:cs="Times New Roman"/>
          <w:sz w:val="24"/>
        </w:rPr>
        <w:t xml:space="preserve"> ir vien aktīvu un/vai saistību krājums. EKS 2010 laiku pa laikam ir skaidra norāde uz aktīvu kontroli, piemēram, saistībā ar piesaistošajām finanšu iestādēm (skat. EKS 2010 2.22. punktu).</w:t>
      </w:r>
    </w:p>
    <w:p w14:paraId="79838C1B"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46A2E191"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34. Subjekta kontrole neatkarīgi no tā, vai subjekts ir vai nav institucionālā vienība, parasti attiecas uz to cilvēku kontroli, kas pieņem lēmumus par attiecīgo subjektu, savukārt pati aktīvu kontrolēšanas ideja ir pavisam citāda. Aktīvu kontrole nozīmē spēju tieši izmantot aktīvu un īstenot ar aktīvu saistītos labumus. Tam par apliecinājumu var kalpot tostarp gan risku, gan priekšrocību uzņemšanās. Praksē turpmākie kontroles rādītāji varētu būt, piemēram, šādi – vai pastāv īpašumtiesības uz aktīvu, vai aktīvs ir fiziskā valdījumā, vai ir spēja aktīvu pārdot un vai ir tiesības saņemt maksājumus saistībā ar aktīvu. Nacionālajos kontos izmantotais risku un priekšrocību jēdziens un aktīvu kontroles jēdziens ir līdzīgi tādā ziņā, ka abi aplūko aktīva ekonomiskās īpašumtiesības, nevis likumīgās īpašumtiesības.</w:t>
      </w:r>
    </w:p>
    <w:p w14:paraId="71B457F5"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2E9F3B81"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35. Ja risku un priekšrocību novērtējums nav pārliecinošs, piemēram, ja subjekts nav ne nodevis, ne paturējis lielāko daļu risku un priekšrocību, aktīvu kontroles jēdziens ir kā noderīgs papildinājums vispārējam risku un priekšrocību jēdzienam, lai noteiktu, kurā bilancē aktīvs ir jāieraksta.</w:t>
      </w:r>
    </w:p>
    <w:p w14:paraId="2DBA941D" w14:textId="77777777" w:rsidR="00994F93" w:rsidRPr="00B03B51" w:rsidRDefault="00994F93" w:rsidP="00994F93">
      <w:pPr>
        <w:jc w:val="both"/>
        <w:rPr>
          <w:rFonts w:ascii="Times New Roman" w:eastAsia="Arial" w:hAnsi="Times New Roman" w:cs="Times New Roman"/>
          <w:noProof/>
          <w:sz w:val="24"/>
          <w:szCs w:val="18"/>
        </w:rPr>
      </w:pPr>
    </w:p>
    <w:p w14:paraId="69D0E49D" w14:textId="77777777" w:rsidR="00994F93" w:rsidRPr="00B03B51" w:rsidRDefault="00994F93" w:rsidP="00994F93">
      <w:pPr>
        <w:jc w:val="both"/>
        <w:rPr>
          <w:rFonts w:ascii="Times New Roman" w:hAnsi="Times New Roman" w:cs="Times New Roman"/>
          <w:b/>
          <w:noProof/>
          <w:sz w:val="24"/>
        </w:rPr>
      </w:pPr>
      <w:r w:rsidRPr="00B03B51">
        <w:rPr>
          <w:rFonts w:ascii="Times New Roman" w:hAnsi="Times New Roman" w:cs="Times New Roman"/>
          <w:b/>
          <w:sz w:val="24"/>
        </w:rPr>
        <w:t>Bezpeļņas institūciju kontrole</w:t>
      </w:r>
    </w:p>
    <w:p w14:paraId="0DDF5133" w14:textId="77777777" w:rsidR="00994F93" w:rsidRPr="00B03B51" w:rsidRDefault="00994F93" w:rsidP="00994F93">
      <w:pPr>
        <w:jc w:val="both"/>
        <w:rPr>
          <w:rFonts w:ascii="Times New Roman" w:eastAsia="Arial" w:hAnsi="Times New Roman" w:cs="Times New Roman"/>
          <w:b/>
          <w:bCs/>
          <w:noProof/>
          <w:sz w:val="24"/>
        </w:rPr>
      </w:pPr>
    </w:p>
    <w:p w14:paraId="4B3AD629"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36. Šādu kontroles jēdzienu piemēro arī bezpeļņas institūcijām, kurām katrā ES dalībvalstī var būt atšķirīgas pazīmes un atšķirīga nozīmība (lieluma, ietekmes uz neto aizdevumu/aizņēmumu (B.9) un parādu ziņā utt.) un kuras var veikt darbību dažādu veidu aģentu labā.</w:t>
      </w:r>
    </w:p>
    <w:p w14:paraId="2B36CB6C"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7026B09E"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37. Līdzīgi kā attiecībā uz sabiedrībām (un līdzvērtīgiem subjektiem) kontrole attiecībā uz BPI ietver spēju noteikt BPI vispārējo politiku vai programmu. Tomēr šajā gadījumā pastāv būtiska atšķirība starp tirgus un ārpustirgus BPI, kas noteikta saskaņā ar kritērijiem, kuri sniegti turpmāk 1.2.4.3. apakšiedaļā par kvantitatīvo tirgus/ārpustirgus testu.</w:t>
      </w:r>
    </w:p>
    <w:p w14:paraId="17529B0E"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57133317"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38. BPI, ko kontrolē valdība un kas tiek uzskatītas par tirgus ražotājiem (piemēram, jo tās pārdod savus pakalpojumus sabiedrībām vai mājsaimniecībām par ekonomiski nozīmīgām cenām), tiek klasificētas nefinanšu sabiedrību sektorā (S.11). Savukārt EKS 2010 20.13. punktā teikts, ka “tās bezpeļņas institūcijas, kuras ir ārpustirgus ražotāji un ko kontrolē valdības vienības, ir vispārējās valdības sektora vienības”. Saistībā ar BPI kontroli EKS 2010 20.15. punktā noteikts, ka jāapsver turpmāk norādītie pieci kritēriji.</w:t>
      </w:r>
      <w:r w:rsidRPr="00B03B51">
        <w:rPr>
          <w:rStyle w:val="FootnoteReference"/>
          <w:rFonts w:ascii="Times New Roman" w:hAnsi="Times New Roman" w:cs="Times New Roman"/>
          <w:noProof/>
          <w:sz w:val="24"/>
        </w:rPr>
        <w:footnoteReference w:id="21"/>
      </w:r>
    </w:p>
    <w:p w14:paraId="169BCC61"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71FC629A" w14:textId="77777777" w:rsidR="00994F93" w:rsidRPr="00B03B51" w:rsidRDefault="00994F93" w:rsidP="00994F93">
      <w:pPr>
        <w:tabs>
          <w:tab w:val="left" w:pos="1126"/>
        </w:tabs>
        <w:ind w:left="284"/>
        <w:jc w:val="both"/>
        <w:rPr>
          <w:rFonts w:ascii="Times New Roman" w:hAnsi="Times New Roman" w:cs="Times New Roman"/>
          <w:b/>
          <w:noProof/>
          <w:sz w:val="24"/>
        </w:rPr>
      </w:pPr>
      <w:r w:rsidRPr="00B03B51">
        <w:rPr>
          <w:rFonts w:ascii="Times New Roman" w:hAnsi="Times New Roman" w:cs="Times New Roman"/>
          <w:b/>
          <w:sz w:val="24"/>
        </w:rPr>
        <w:t>a) Amatpersonu iecelšana</w:t>
      </w:r>
    </w:p>
    <w:p w14:paraId="7A5FA514" w14:textId="77777777" w:rsidR="00994F93" w:rsidRPr="00B03B51" w:rsidRDefault="00994F93" w:rsidP="00994F93">
      <w:pPr>
        <w:pStyle w:val="BodyText"/>
        <w:spacing w:before="0"/>
        <w:ind w:left="284" w:firstLine="0"/>
        <w:jc w:val="both"/>
        <w:rPr>
          <w:rFonts w:ascii="Times New Roman" w:hAnsi="Times New Roman" w:cs="Times New Roman"/>
          <w:noProof/>
          <w:sz w:val="24"/>
        </w:rPr>
      </w:pPr>
    </w:p>
    <w:p w14:paraId="424CE946" w14:textId="77777777" w:rsidR="00994F93" w:rsidRPr="00B03B51" w:rsidRDefault="00994F93" w:rsidP="00994F93">
      <w:pPr>
        <w:pStyle w:val="BodyText"/>
        <w:spacing w:before="0"/>
        <w:ind w:left="284" w:firstLine="0"/>
        <w:jc w:val="both"/>
        <w:rPr>
          <w:rFonts w:ascii="Times New Roman" w:hAnsi="Times New Roman" w:cs="Times New Roman"/>
          <w:noProof/>
          <w:sz w:val="24"/>
        </w:rPr>
      </w:pPr>
      <w:r w:rsidRPr="00B03B51">
        <w:rPr>
          <w:rFonts w:ascii="Times New Roman" w:hAnsi="Times New Roman" w:cs="Times New Roman"/>
          <w:sz w:val="24"/>
        </w:rPr>
        <w:t>Valdība var būt tiesīga iecelt BPI amatpersonas saskaņā ar BPI organizatorisko struktūru, tās statūtiem vai citiem pamataktiem.</w:t>
      </w:r>
    </w:p>
    <w:p w14:paraId="1B9E09C2" w14:textId="77777777" w:rsidR="00994F93" w:rsidRPr="00B03B51" w:rsidRDefault="00994F93" w:rsidP="00994F93">
      <w:pPr>
        <w:tabs>
          <w:tab w:val="left" w:pos="1126"/>
        </w:tabs>
        <w:ind w:left="284"/>
        <w:jc w:val="both"/>
        <w:rPr>
          <w:rFonts w:ascii="Times New Roman" w:hAnsi="Times New Roman" w:cs="Times New Roman"/>
          <w:b/>
          <w:noProof/>
          <w:sz w:val="24"/>
        </w:rPr>
      </w:pPr>
    </w:p>
    <w:p w14:paraId="18E91D76" w14:textId="77777777" w:rsidR="00994F93" w:rsidRPr="00B03B51" w:rsidRDefault="00994F93" w:rsidP="001778EC">
      <w:pPr>
        <w:keepNext/>
        <w:tabs>
          <w:tab w:val="left" w:pos="1126"/>
        </w:tabs>
        <w:ind w:left="284"/>
        <w:jc w:val="both"/>
        <w:rPr>
          <w:rFonts w:ascii="Times New Roman" w:hAnsi="Times New Roman" w:cs="Times New Roman"/>
          <w:b/>
          <w:noProof/>
          <w:sz w:val="24"/>
        </w:rPr>
      </w:pPr>
      <w:r w:rsidRPr="00B03B51">
        <w:rPr>
          <w:rFonts w:ascii="Times New Roman" w:hAnsi="Times New Roman" w:cs="Times New Roman"/>
          <w:b/>
          <w:sz w:val="24"/>
        </w:rPr>
        <w:lastRenderedPageBreak/>
        <w:t>b) Citi pamatakta noteikumi</w:t>
      </w:r>
    </w:p>
    <w:p w14:paraId="421C045F" w14:textId="77777777" w:rsidR="00994F93" w:rsidRPr="00B03B51" w:rsidRDefault="00994F93" w:rsidP="001778EC">
      <w:pPr>
        <w:pStyle w:val="BodyText"/>
        <w:keepNext/>
        <w:spacing w:before="0"/>
        <w:ind w:left="284" w:firstLine="0"/>
        <w:jc w:val="both"/>
        <w:rPr>
          <w:rFonts w:ascii="Times New Roman" w:hAnsi="Times New Roman" w:cs="Times New Roman"/>
          <w:noProof/>
          <w:sz w:val="24"/>
        </w:rPr>
      </w:pPr>
    </w:p>
    <w:p w14:paraId="47E07572" w14:textId="77777777" w:rsidR="00994F93" w:rsidRPr="00B03B51" w:rsidRDefault="00994F93" w:rsidP="001778EC">
      <w:pPr>
        <w:pStyle w:val="BodyText"/>
        <w:keepNext/>
        <w:spacing w:before="0"/>
        <w:ind w:left="284" w:firstLine="0"/>
        <w:jc w:val="both"/>
        <w:rPr>
          <w:rFonts w:ascii="Times New Roman" w:hAnsi="Times New Roman" w:cs="Times New Roman"/>
          <w:noProof/>
          <w:sz w:val="24"/>
        </w:rPr>
      </w:pPr>
      <w:r w:rsidRPr="00B03B51">
        <w:rPr>
          <w:rFonts w:ascii="Times New Roman" w:hAnsi="Times New Roman" w:cs="Times New Roman"/>
          <w:sz w:val="24"/>
        </w:rPr>
        <w:t>Attiecībā uz šo punktu NKS 2008 4.92. punkts ir precīzāk formulēts nekā EKS 2010. Proti, ja valdība jau statūtos ir noteikusi funkcijas, mērķus un darbības noteikumus, amatpersonu iecelšanai varētu būt sekundāra nozīme. Taču valdības kontrole varētu realizēties, ja valdībai būtu tiesības atcelt personālu un apstiprināt budžetu vai finanšu sadali. Varētu uzskatīt, ka BPI kontrolē valdība, ja būtu nepieciešams valdības apstiprinājums, lai mainītu subjekta statūtus (vai subjekta veiktās darbības veidu), vai ja subjekts nedrīkstētu sevi likvidēt vai pārtraukt jebkādas attiecības ar valdību bez šāda apstiprinājuma.</w:t>
      </w:r>
    </w:p>
    <w:p w14:paraId="09067474" w14:textId="77777777" w:rsidR="00994F93" w:rsidRPr="00B03B51" w:rsidRDefault="00994F93" w:rsidP="00994F93">
      <w:pPr>
        <w:pStyle w:val="BodyText"/>
        <w:spacing w:before="0"/>
        <w:ind w:left="284" w:firstLine="0"/>
        <w:jc w:val="both"/>
        <w:rPr>
          <w:rFonts w:ascii="Times New Roman" w:hAnsi="Times New Roman" w:cs="Times New Roman"/>
          <w:noProof/>
          <w:sz w:val="24"/>
        </w:rPr>
      </w:pPr>
    </w:p>
    <w:p w14:paraId="57AE380B" w14:textId="77777777" w:rsidR="00994F93" w:rsidRPr="00B03B51" w:rsidRDefault="00994F93" w:rsidP="00994F93">
      <w:pPr>
        <w:tabs>
          <w:tab w:val="left" w:pos="1126"/>
        </w:tabs>
        <w:ind w:left="284"/>
        <w:jc w:val="both"/>
        <w:rPr>
          <w:rFonts w:ascii="Times New Roman" w:hAnsi="Times New Roman" w:cs="Times New Roman"/>
          <w:b/>
          <w:noProof/>
          <w:sz w:val="24"/>
        </w:rPr>
      </w:pPr>
      <w:r w:rsidRPr="00B03B51">
        <w:rPr>
          <w:rFonts w:ascii="Times New Roman" w:hAnsi="Times New Roman" w:cs="Times New Roman"/>
          <w:b/>
          <w:sz w:val="24"/>
        </w:rPr>
        <w:t>c) Līgumiskas vienošanās</w:t>
      </w:r>
    </w:p>
    <w:p w14:paraId="51A8D6C9" w14:textId="77777777" w:rsidR="00994F93" w:rsidRPr="00B03B51" w:rsidRDefault="00994F93" w:rsidP="00994F93">
      <w:pPr>
        <w:pStyle w:val="BodyText"/>
        <w:spacing w:before="0"/>
        <w:ind w:left="284" w:firstLine="0"/>
        <w:jc w:val="both"/>
        <w:rPr>
          <w:rFonts w:ascii="Times New Roman" w:hAnsi="Times New Roman" w:cs="Times New Roman"/>
          <w:noProof/>
          <w:sz w:val="24"/>
        </w:rPr>
      </w:pPr>
    </w:p>
    <w:p w14:paraId="5544C039" w14:textId="77777777" w:rsidR="00994F93" w:rsidRPr="00B03B51" w:rsidRDefault="00994F93" w:rsidP="00994F93">
      <w:pPr>
        <w:pStyle w:val="BodyText"/>
        <w:spacing w:before="0"/>
        <w:ind w:left="284" w:firstLine="0"/>
        <w:jc w:val="both"/>
        <w:rPr>
          <w:rFonts w:ascii="Times New Roman" w:hAnsi="Times New Roman" w:cs="Times New Roman"/>
          <w:noProof/>
          <w:sz w:val="24"/>
        </w:rPr>
      </w:pPr>
      <w:r w:rsidRPr="00B03B51">
        <w:rPr>
          <w:rFonts w:ascii="Times New Roman" w:hAnsi="Times New Roman" w:cs="Times New Roman"/>
          <w:sz w:val="24"/>
        </w:rPr>
        <w:t>Dažas BPI var noslēgt līgumus ar valdības vienībām, lai veiktu valdības noteiktos uzdevumus, darbojoties kā specializēts uzņēmums, jo īpaši sociālajā jomā. Ja šādu līgumu izpilde ir galvenā, ja ne vienīgā BPI darbības sastāvdaļa, ir skaidrs, ka valdībai būtu jābūt spējīgai ietekmēt BPI vispārējo politiku. Tomēr kontrole būtu jāizvērtē, ja būtu nepieciešams valdības apstiprinājums, lai izbeigtu ar valdību noslēgtos līgumus.</w:t>
      </w:r>
    </w:p>
    <w:p w14:paraId="498F376D" w14:textId="77777777" w:rsidR="00994F93" w:rsidRPr="00B03B51" w:rsidRDefault="00994F93" w:rsidP="00994F93">
      <w:pPr>
        <w:tabs>
          <w:tab w:val="left" w:pos="1126"/>
        </w:tabs>
        <w:ind w:left="284"/>
        <w:jc w:val="both"/>
        <w:rPr>
          <w:rFonts w:ascii="Times New Roman" w:hAnsi="Times New Roman" w:cs="Times New Roman"/>
          <w:b/>
          <w:noProof/>
          <w:sz w:val="24"/>
        </w:rPr>
      </w:pPr>
    </w:p>
    <w:p w14:paraId="164E3FF2" w14:textId="77777777" w:rsidR="00994F93" w:rsidRPr="00B03B51" w:rsidRDefault="00994F93" w:rsidP="00994F93">
      <w:pPr>
        <w:tabs>
          <w:tab w:val="left" w:pos="1126"/>
        </w:tabs>
        <w:ind w:left="284"/>
        <w:jc w:val="both"/>
        <w:rPr>
          <w:rFonts w:ascii="Times New Roman" w:hAnsi="Times New Roman" w:cs="Times New Roman"/>
          <w:b/>
          <w:noProof/>
          <w:sz w:val="24"/>
        </w:rPr>
      </w:pPr>
      <w:r w:rsidRPr="00B03B51">
        <w:rPr>
          <w:rFonts w:ascii="Times New Roman" w:hAnsi="Times New Roman" w:cs="Times New Roman"/>
          <w:b/>
          <w:sz w:val="24"/>
        </w:rPr>
        <w:t>d) Finansēšanas līmenis</w:t>
      </w:r>
    </w:p>
    <w:p w14:paraId="52F7D73E" w14:textId="77777777" w:rsidR="00994F93" w:rsidRPr="00B03B51" w:rsidRDefault="00994F93" w:rsidP="00994F93">
      <w:pPr>
        <w:pStyle w:val="BodyText"/>
        <w:spacing w:before="0"/>
        <w:ind w:left="284" w:firstLine="0"/>
        <w:jc w:val="both"/>
        <w:rPr>
          <w:rFonts w:ascii="Times New Roman" w:hAnsi="Times New Roman" w:cs="Times New Roman"/>
          <w:noProof/>
          <w:sz w:val="24"/>
        </w:rPr>
      </w:pPr>
    </w:p>
    <w:p w14:paraId="0909456F" w14:textId="77777777" w:rsidR="00994F93" w:rsidRPr="00B03B51" w:rsidRDefault="00994F93" w:rsidP="00994F93">
      <w:pPr>
        <w:pStyle w:val="BodyText"/>
        <w:spacing w:before="0"/>
        <w:ind w:left="284" w:firstLine="0"/>
        <w:jc w:val="both"/>
        <w:rPr>
          <w:rFonts w:ascii="Times New Roman" w:hAnsi="Times New Roman" w:cs="Times New Roman"/>
          <w:noProof/>
          <w:sz w:val="24"/>
        </w:rPr>
      </w:pPr>
      <w:r w:rsidRPr="00B03B51">
        <w:rPr>
          <w:rFonts w:ascii="Times New Roman" w:hAnsi="Times New Roman" w:cs="Times New Roman"/>
          <w:sz w:val="24"/>
        </w:rPr>
        <w:t>Lai arī EKS 2010 20.15. punktā nav skaidri noteikts, kādam būtu jābūt finansēšanas līmenim, NKS 2008 4.92. punktā ir norādīts, ka BPI, kuru galvenokārt finansē valdība, var būt valdības kontrolēta BPI. “Galvenokārt” ir jāsaprot kā vismaz vairāk par 50 %. Kontrole būtu jānovērtē, ja šāda finansēšana notiktu pastāvīgi (nevis uz laiku) un/vai ja rezultātā tiktu stingri uzraudzīts līdzekļu izlietojums un valdība spēcīgi ietekmētu subjekta vispārējo politiku.</w:t>
      </w:r>
    </w:p>
    <w:p w14:paraId="43B979FB" w14:textId="77777777" w:rsidR="00994F93" w:rsidRPr="00B03B51" w:rsidRDefault="00994F93" w:rsidP="00994F93">
      <w:pPr>
        <w:tabs>
          <w:tab w:val="left" w:pos="1126"/>
        </w:tabs>
        <w:ind w:left="284"/>
        <w:jc w:val="both"/>
        <w:rPr>
          <w:rFonts w:ascii="Times New Roman" w:hAnsi="Times New Roman" w:cs="Times New Roman"/>
          <w:b/>
          <w:noProof/>
          <w:sz w:val="24"/>
        </w:rPr>
      </w:pPr>
    </w:p>
    <w:p w14:paraId="3D89770A" w14:textId="77777777" w:rsidR="00994F93" w:rsidRPr="00B03B51" w:rsidRDefault="00994F93" w:rsidP="00994F93">
      <w:pPr>
        <w:tabs>
          <w:tab w:val="left" w:pos="1126"/>
        </w:tabs>
        <w:ind w:left="284"/>
        <w:jc w:val="both"/>
        <w:rPr>
          <w:rFonts w:ascii="Times New Roman" w:hAnsi="Times New Roman" w:cs="Times New Roman"/>
          <w:b/>
          <w:noProof/>
          <w:sz w:val="24"/>
        </w:rPr>
      </w:pPr>
      <w:r w:rsidRPr="00B03B51">
        <w:rPr>
          <w:rFonts w:ascii="Times New Roman" w:hAnsi="Times New Roman" w:cs="Times New Roman"/>
          <w:b/>
          <w:sz w:val="24"/>
        </w:rPr>
        <w:t>e) Riska līmenis</w:t>
      </w:r>
    </w:p>
    <w:p w14:paraId="5DA880D7" w14:textId="77777777" w:rsidR="00994F93" w:rsidRPr="00B03B51" w:rsidRDefault="00994F93" w:rsidP="00994F93">
      <w:pPr>
        <w:pStyle w:val="BodyText"/>
        <w:spacing w:before="0"/>
        <w:ind w:left="284" w:firstLine="0"/>
        <w:jc w:val="both"/>
        <w:rPr>
          <w:rFonts w:ascii="Times New Roman" w:hAnsi="Times New Roman" w:cs="Times New Roman"/>
          <w:noProof/>
          <w:sz w:val="24"/>
        </w:rPr>
      </w:pPr>
    </w:p>
    <w:p w14:paraId="24639984" w14:textId="77777777" w:rsidR="00994F93" w:rsidRPr="00B03B51" w:rsidRDefault="00994F93" w:rsidP="00994F93">
      <w:pPr>
        <w:pStyle w:val="BodyText"/>
        <w:spacing w:before="0"/>
        <w:ind w:left="284" w:firstLine="0"/>
        <w:jc w:val="both"/>
        <w:rPr>
          <w:rFonts w:ascii="Times New Roman" w:hAnsi="Times New Roman" w:cs="Times New Roman"/>
          <w:noProof/>
          <w:sz w:val="24"/>
        </w:rPr>
      </w:pPr>
      <w:r w:rsidRPr="00B03B51">
        <w:rPr>
          <w:rFonts w:ascii="Times New Roman" w:hAnsi="Times New Roman" w:cs="Times New Roman"/>
          <w:sz w:val="24"/>
        </w:rPr>
        <w:t xml:space="preserve">Šis rādītājs nav izstrādāts EKS 2010, bet NKS 2008 4.92. punktā valdība ļauj sevi “pakļaut visiem ar BPI darbībām saistītiem finanšu riskiem vai būtisku to daļu”. Šādā gadījumā šī kārtība varētu nozīmēt to, ka valdība īsteno kontroli. Finanšu riski attiecas uz valdības </w:t>
      </w:r>
      <w:r w:rsidRPr="00B03B51">
        <w:rPr>
          <w:rFonts w:ascii="Times New Roman" w:hAnsi="Times New Roman" w:cs="Times New Roman"/>
          <w:i/>
          <w:iCs/>
          <w:sz w:val="24"/>
        </w:rPr>
        <w:t>ex ante</w:t>
      </w:r>
      <w:r w:rsidRPr="00B03B51">
        <w:rPr>
          <w:rFonts w:ascii="Times New Roman" w:hAnsi="Times New Roman" w:cs="Times New Roman"/>
          <w:sz w:val="24"/>
        </w:rPr>
        <w:t xml:space="preserve"> apņemšanos uzņemties BPI saistības, ja pārtrūkst citi iespējamie ieņēmumu avoti, kas nav no valdības saņemtie, utt.</w:t>
      </w:r>
    </w:p>
    <w:p w14:paraId="1C051587"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0A1794D8"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39. EKS 2010 noteikts, ka dažos gadījumos var pietikt ar vienu rādītāju, lai konstatētu kontroli, tomēr biežāk ir nepieciešams apsvērt vairākus rādītājus kopā, un ļoti bieži var būt vajadzība analizēt katru gadījumu atsevišķi. Jebkurā gadījumā izšķirošais punkts ir BPI spēja vai nespēja pašai noteikt savu vispārējo politiku.</w:t>
      </w:r>
    </w:p>
    <w:p w14:paraId="45B5C9CE" w14:textId="77777777" w:rsidR="00994F93" w:rsidRPr="00B03B51" w:rsidRDefault="00994F93" w:rsidP="00994F93">
      <w:pPr>
        <w:jc w:val="both"/>
        <w:rPr>
          <w:rFonts w:ascii="Times New Roman" w:eastAsia="Arial" w:hAnsi="Times New Roman" w:cs="Times New Roman"/>
          <w:noProof/>
          <w:sz w:val="24"/>
          <w:szCs w:val="20"/>
        </w:rPr>
      </w:pPr>
    </w:p>
    <w:p w14:paraId="6A0BCB89" w14:textId="77777777" w:rsidR="00994F93" w:rsidRPr="00B03B51" w:rsidRDefault="00994F93" w:rsidP="00994F93">
      <w:pPr>
        <w:jc w:val="both"/>
        <w:rPr>
          <w:rFonts w:ascii="Times New Roman" w:hAnsi="Times New Roman" w:cs="Times New Roman"/>
          <w:b/>
          <w:noProof/>
          <w:sz w:val="24"/>
        </w:rPr>
      </w:pPr>
      <w:r w:rsidRPr="00B03B51">
        <w:rPr>
          <w:rFonts w:ascii="Times New Roman" w:hAnsi="Times New Roman" w:cs="Times New Roman"/>
          <w:b/>
          <w:sz w:val="24"/>
        </w:rPr>
        <w:t>Izglītības vienību kontrole</w:t>
      </w:r>
    </w:p>
    <w:p w14:paraId="618C2F98" w14:textId="77777777" w:rsidR="00994F93" w:rsidRPr="00B03B51" w:rsidRDefault="00994F93" w:rsidP="00994F93">
      <w:pPr>
        <w:jc w:val="both"/>
        <w:rPr>
          <w:rFonts w:ascii="Times New Roman" w:eastAsia="Arial" w:hAnsi="Times New Roman" w:cs="Times New Roman"/>
          <w:b/>
          <w:bCs/>
          <w:noProof/>
          <w:sz w:val="24"/>
          <w:szCs w:val="21"/>
        </w:rPr>
      </w:pPr>
    </w:p>
    <w:p w14:paraId="5A0AB87A"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40. Daudzas izglītības vienības (skolas, koledžas, profesionālās apmācības iestādes, universitātes utt.) ir bezpeļņas institūcijas, ko pārsvarā finansē valdība. Tās ir praktisks piemērs tam, kā tiek piemēroti iepriekšējā punktā minētie EKS 2010 kontroles kritēriji. Vairumu no tām finansē valdība vairāk kā 50 % apmērā, jo citi avoti, piemēram, vecāku vai studentu maksātās maksas vai dāvinājumi, bieži vien ir nebūtisks finansējuma avots. Dažās valstīs valdība (dažādos līmeņos) var tieši pārņemt dažus izdevumus, piemēram, pasniedzēju algas vai ēku uzturēšanu.</w:t>
      </w:r>
    </w:p>
    <w:p w14:paraId="68540D7D" w14:textId="77777777" w:rsidR="00994F93" w:rsidRPr="00B03B51" w:rsidRDefault="00994F93" w:rsidP="00994F93">
      <w:pPr>
        <w:jc w:val="both"/>
        <w:rPr>
          <w:rFonts w:ascii="Times New Roman" w:hAnsi="Times New Roman" w:cs="Times New Roman"/>
          <w:noProof/>
          <w:sz w:val="24"/>
        </w:rPr>
      </w:pPr>
    </w:p>
    <w:p w14:paraId="7B966732"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 xml:space="preserve">41. Principā tas vien, ka izglītības vienība tiek finansēta, vēl nebūtu uzskatāms par noteicošu </w:t>
      </w:r>
      <w:r w:rsidRPr="00B03B51">
        <w:rPr>
          <w:rFonts w:ascii="Times New Roman" w:hAnsi="Times New Roman" w:cs="Times New Roman"/>
          <w:sz w:val="24"/>
        </w:rPr>
        <w:lastRenderedPageBreak/>
        <w:t>kritēriju, lai to klasificētu kā valdības atbalstītu izglītības vienību. Visticamāk valdība īsteno kādu ietekmi attiecībā uz savu līdzekļu izlietojumu. Tomēr, ja valdības ietekme izpaužas tikai attiecībā uz izglītības vienībai noteikto standartu ievērošanu (saistībā ar mācību programmām, izglītības kvalitāti, materiāltehniskiem apstākļiem, pasniedzēju kompetenci utt.) neatkarīgi no tās statūtiem, tad tā nav kontrole. Nereti ir arī tā, ka izglītības sistēmā ietilpst dažādu veidu skolas (valdības vienības, privātas BPI utt.). Tāpēc līdzīgu standartu vai normu piemērošana lielam vienību skaitam, šķiet, ir nozīmīga pazīme šādu BPI gadījumā.</w:t>
      </w:r>
    </w:p>
    <w:p w14:paraId="5401F3DB"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69F4FACA"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42. Tas ir jānošķir no valdības tiešas iesaistīšanās ar skolu saistītajos nozīmīgajos lēmumos. Piemērojot vispārīgo noteikumu, ja valdība ieceļ vadītājus (vai apstiprina viņu iecelšanu, vai patur tiesības viņus atcelt) vai dod norādījumus attiecībā uz skolas vadīšanu ikdienā, tādējādi ierobežojot lēmuma pieņemšanas iespējas izglītības vienības amatpersonām, vienība būtu jāklasificē vispārējās valdības sektorā. Šādos apstākļos uzskatāms, ka valdība kontrolē vienību, ja ir nepieciešams tās apstiprinājums, lai izveidotu jaunas klases vai lai specializētos kādās mācīšanas jomās, izdarītu nozīmīgus izdevumus bruto pamatkapitāla veidošanā (kurus galvenokārt varētu finansēt valdība), aizņemtos, pieņemtu darbā pasniedzējus, vai ja valdība var nepieļaut, ka izglītības iestāde izbeidz attiecības ar to.</w:t>
      </w:r>
    </w:p>
    <w:p w14:paraId="7645F63D" w14:textId="77777777" w:rsidR="00994F93" w:rsidRPr="00B03B51" w:rsidRDefault="00994F93" w:rsidP="00994F93">
      <w:pPr>
        <w:jc w:val="both"/>
        <w:rPr>
          <w:rFonts w:ascii="Times New Roman" w:eastAsia="Arial" w:hAnsi="Times New Roman" w:cs="Times New Roman"/>
          <w:noProof/>
          <w:sz w:val="24"/>
          <w:szCs w:val="20"/>
        </w:rPr>
      </w:pPr>
    </w:p>
    <w:p w14:paraId="750480B6" w14:textId="77777777" w:rsidR="00994F93" w:rsidRPr="00B03B51" w:rsidRDefault="00994F93" w:rsidP="00994F93">
      <w:pPr>
        <w:pStyle w:val="Heading3"/>
        <w:tabs>
          <w:tab w:val="left" w:pos="1279"/>
        </w:tabs>
        <w:ind w:left="0" w:firstLine="0"/>
        <w:jc w:val="both"/>
        <w:rPr>
          <w:rFonts w:ascii="Times New Roman" w:hAnsi="Times New Roman" w:cs="Times New Roman"/>
          <w:noProof/>
          <w:sz w:val="24"/>
        </w:rPr>
      </w:pPr>
      <w:bookmarkStart w:id="21" w:name="_Toc67565022"/>
      <w:r w:rsidRPr="00B03B51">
        <w:rPr>
          <w:rFonts w:ascii="Times New Roman" w:hAnsi="Times New Roman" w:cs="Times New Roman"/>
          <w:sz w:val="24"/>
        </w:rPr>
        <w:t>1.2.4. Tirgus vai ārpustirgus institucionālas vienības jēdziens</w:t>
      </w:r>
      <w:bookmarkEnd w:id="21"/>
    </w:p>
    <w:p w14:paraId="48CABE60"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24F6573F"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43. Ja valsts institucionālās vienības galvenā funkcija ir nacionālā ienākuma un bagātības pārdale, tad šo vienību klasificē vispārējās valdības sektorā.</w:t>
      </w:r>
    </w:p>
    <w:p w14:paraId="197DD4B8"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0B565F9A"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44. Ja publiskas (valdības kontrolē esošas) institucionālas vienības galvenā funkcija ir finanšu starpniecība, kas noteikta EKS 2010 2.57. punktā, tā jāklasificē finanšu sabiedrību sektorā ārpus vispārējās valdības sektora, t. i., šajā gadījumā tirgus/ārpustirgus tests (skat. turpmāk) nav jāpiemēro (EKS 2010 20.34. punkts). Tomēr ir jāpārbauda, vai subjekts faktiski nodarbojas ar finanšu starpniecību (pārvalda/iegādājas finanšu aktīvus un uzņemas saistības savā vārdā) un/vai finanšu palīgdarbībām (skat. EKS 2010 2.95. un 2.96. punktu). Ja vienība neveic minētās darbības, tā jāklasificē vispārējās valdības sektorā.</w:t>
      </w:r>
    </w:p>
    <w:p w14:paraId="0B9E58BC"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54BEEA34"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45. Pārējos gadījumos ir jāpārbauda, vai vienība atbilst tirgus vai ārpustirgus klasifikācijai; proti, ja vienība finansē savas darbības no ieņēmumiem, kas gūti, pārdodot preces un pakalpojumus par ekonomiski nozīmīgām cenām, tad tā ir tirgus ražotājs. Tirgus ražotājus klasificē sabiedrību sektoros.</w:t>
      </w:r>
    </w:p>
    <w:p w14:paraId="3B2BB8CA"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175CE671"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46. Vispārējās valdības sektorā ietilpst vienīgi publiskās ārpustirgus institucionālas vienības. Ja šīs ārpustirgus institucionālās vienības veic kādu papildu tirgus darbību, tās ir sekundārās vietējās darbības veida vienības (DVV), kas nav atzītas par kvazisabiedrībām un ir jāiekļauj vispārējās valdības sektorā (skat. EKS 2010 2.144. punktu un turpmākos punktus).</w:t>
      </w:r>
    </w:p>
    <w:p w14:paraId="62013459" w14:textId="77777777" w:rsidR="00994F93" w:rsidRPr="00B03B51" w:rsidRDefault="00994F93" w:rsidP="00994F93">
      <w:pPr>
        <w:jc w:val="both"/>
        <w:rPr>
          <w:rFonts w:ascii="Times New Roman" w:eastAsia="Arial" w:hAnsi="Times New Roman" w:cs="Times New Roman"/>
          <w:noProof/>
          <w:sz w:val="24"/>
          <w:szCs w:val="16"/>
        </w:rPr>
      </w:pPr>
    </w:p>
    <w:p w14:paraId="6342161E" w14:textId="77777777" w:rsidR="00994F93" w:rsidRPr="00B03B51" w:rsidRDefault="00994F93" w:rsidP="00994F93">
      <w:pPr>
        <w:pStyle w:val="Heading6"/>
        <w:tabs>
          <w:tab w:val="left" w:pos="1279"/>
        </w:tabs>
        <w:ind w:left="0" w:firstLine="0"/>
        <w:jc w:val="both"/>
        <w:rPr>
          <w:rFonts w:ascii="Times New Roman" w:hAnsi="Times New Roman" w:cs="Times New Roman"/>
          <w:noProof/>
          <w:sz w:val="24"/>
        </w:rPr>
      </w:pPr>
      <w:r w:rsidRPr="00B03B51">
        <w:rPr>
          <w:rFonts w:ascii="Times New Roman" w:hAnsi="Times New Roman" w:cs="Times New Roman"/>
          <w:sz w:val="24"/>
        </w:rPr>
        <w:t>1.2.4.1. JĒDZIENS “EKONOMISKI NOZĪMĪGAS CENAS”</w:t>
      </w:r>
    </w:p>
    <w:p w14:paraId="79576A4A"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2995A094"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 xml:space="preserve">47. EKS 2010 noteikts, ka tirgus ražotāji no ārpustirgus ražotājiem atšķiras ar to, vai preces un pakalpojumi tiek pārdoti par ekonomiski nozīmīgām cenām (skat. EKS 2010 20.19. punktu un turpmākos punktus). Cenu dēvē par ekonomiski nozīmīgu cenu, ja </w:t>
      </w:r>
      <w:r w:rsidRPr="00B03B51">
        <w:rPr>
          <w:rFonts w:ascii="Times New Roman" w:hAnsi="Times New Roman" w:cs="Times New Roman"/>
          <w:i/>
          <w:iCs/>
          <w:sz w:val="24"/>
        </w:rPr>
        <w:t>tā būtiski ietekmē produktu daudzumu, kādu ražotāji vēlas piegādāt, un produktu daudzumu, kādu pircēji vēlas pirkt</w:t>
      </w:r>
      <w:r w:rsidRPr="00B03B51">
        <w:rPr>
          <w:rFonts w:ascii="Times New Roman" w:hAnsi="Times New Roman" w:cs="Times New Roman"/>
          <w:sz w:val="24"/>
        </w:rPr>
        <w:t>.</w:t>
      </w:r>
      <w:r w:rsidRPr="00B03B51">
        <w:rPr>
          <w:rFonts w:ascii="Times New Roman" w:hAnsi="Times New Roman" w:cs="Times New Roman"/>
          <w:i/>
          <w:sz w:val="24"/>
        </w:rPr>
        <w:t xml:space="preserve"> </w:t>
      </w:r>
      <w:r w:rsidRPr="00B03B51">
        <w:rPr>
          <w:rFonts w:ascii="Times New Roman" w:hAnsi="Times New Roman" w:cs="Times New Roman"/>
          <w:sz w:val="24"/>
        </w:rPr>
        <w:t xml:space="preserve">Lai novērtētu tirgus darbību, būtiski pievērst uzmanību ražotāju un patērētāju spējai reaģēt uz ekonomiskiem “signāliem”. Attiecīgi cenu dēvē par ekonomiski nenozīmīgu cenu, ja tai ir neliela ietekme uz daudzumu, kādu ražotājs ir gatavs piegādāt, vai šādas ietekmes nav vispār, un tikai neliela ietekme uz pieprasīto daudzumu. Līdz ar to tā ir cena, kas nenosaka novērotos </w:t>
      </w:r>
      <w:r w:rsidRPr="00B03B51">
        <w:rPr>
          <w:rFonts w:ascii="Times New Roman" w:hAnsi="Times New Roman" w:cs="Times New Roman"/>
          <w:sz w:val="24"/>
        </w:rPr>
        <w:lastRenderedPageBreak/>
        <w:t>piedāvājuma un pieprasījuma līmeņus.</w:t>
      </w:r>
    </w:p>
    <w:p w14:paraId="6C3E25CE"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273D3A16"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48. Tirgus ražotāji savu produkciju pārdod par ekonomiski nozīmīgām cenām. Ārpustirgus ražotāji parasti savu produkciju piedāvā bez maksas vai par cenām, kas nav ekonomiski nozīmīgas cenas. Publisks tirgus ražotājs rīkosies kā uzņēmējdarbības vienība atbilstoši tirgus konjunktūrai, un tas var pārtraukt darbību, ja nespēj nodrošināt savu pastāvēšanu par attiecīgajām cenām bez valdības pastāvīga atbalsta, vai šādā gadījumā tas tiktu pārstrukturēts.</w:t>
      </w:r>
      <w:r w:rsidRPr="00B03B51">
        <w:rPr>
          <w:rStyle w:val="FootnoteReference"/>
          <w:rFonts w:ascii="Times New Roman" w:hAnsi="Times New Roman" w:cs="Times New Roman"/>
          <w:noProof/>
          <w:sz w:val="24"/>
        </w:rPr>
        <w:footnoteReference w:id="22"/>
      </w:r>
    </w:p>
    <w:p w14:paraId="72EA2758" w14:textId="77777777" w:rsidR="00994F93" w:rsidRPr="00B03B51" w:rsidRDefault="00994F93" w:rsidP="00994F93">
      <w:pPr>
        <w:jc w:val="both"/>
        <w:rPr>
          <w:rFonts w:ascii="Times New Roman" w:hAnsi="Times New Roman" w:cs="Times New Roman"/>
          <w:noProof/>
          <w:sz w:val="24"/>
        </w:rPr>
      </w:pPr>
    </w:p>
    <w:p w14:paraId="1BF45481" w14:textId="77777777" w:rsidR="00994F93" w:rsidRPr="00B03B51" w:rsidRDefault="00994F93" w:rsidP="00994F93">
      <w:pPr>
        <w:jc w:val="both"/>
        <w:rPr>
          <w:rFonts w:ascii="Times New Roman" w:hAnsi="Times New Roman" w:cs="Times New Roman"/>
          <w:b/>
          <w:noProof/>
          <w:sz w:val="24"/>
        </w:rPr>
      </w:pPr>
      <w:r w:rsidRPr="00B03B51">
        <w:rPr>
          <w:rFonts w:ascii="Times New Roman" w:hAnsi="Times New Roman" w:cs="Times New Roman"/>
          <w:b/>
          <w:sz w:val="24"/>
        </w:rPr>
        <w:t>Lēmuma pieņemšanas shēma</w:t>
      </w:r>
    </w:p>
    <w:p w14:paraId="075AA452" w14:textId="77777777" w:rsidR="00994F93" w:rsidRPr="00B03B51" w:rsidRDefault="00994F93" w:rsidP="00994F93">
      <w:pPr>
        <w:jc w:val="both"/>
        <w:rPr>
          <w:rFonts w:ascii="Times New Roman" w:eastAsia="Arial" w:hAnsi="Times New Roman" w:cs="Times New Roman"/>
          <w:b/>
          <w:bCs/>
          <w:noProof/>
          <w:sz w:val="24"/>
          <w:szCs w:val="20"/>
        </w:rPr>
      </w:pPr>
    </w:p>
    <w:p w14:paraId="3B5E8DE5" w14:textId="7F0257CF" w:rsidR="00994F93" w:rsidRPr="00B03B51" w:rsidRDefault="000127B4" w:rsidP="00E83BFF">
      <w:pPr>
        <w:jc w:val="center"/>
        <w:rPr>
          <w:rFonts w:ascii="Times New Roman" w:eastAsia="Arial" w:hAnsi="Times New Roman" w:cs="Times New Roman"/>
          <w:b/>
          <w:bCs/>
          <w:noProof/>
          <w:sz w:val="24"/>
          <w:szCs w:val="20"/>
        </w:rPr>
      </w:pPr>
      <w:r w:rsidRPr="00B03B51">
        <w:rPr>
          <w:rFonts w:ascii="Times New Roman" w:eastAsia="Arial" w:hAnsi="Times New Roman" w:cs="Times New Roman"/>
          <w:b/>
          <w:bCs/>
          <w:noProof/>
          <w:sz w:val="24"/>
          <w:szCs w:val="20"/>
        </w:rPr>
        <w:drawing>
          <wp:inline distT="0" distB="0" distL="0" distR="0" wp14:anchorId="3E7EAEF0" wp14:editId="796A33D1">
            <wp:extent cx="5760085" cy="5774055"/>
            <wp:effectExtent l="0" t="0" r="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0085" cy="5774055"/>
                    </a:xfrm>
                    <a:prstGeom prst="rect">
                      <a:avLst/>
                    </a:prstGeom>
                    <a:noFill/>
                    <a:ln>
                      <a:noFill/>
                    </a:ln>
                  </pic:spPr>
                </pic:pic>
              </a:graphicData>
            </a:graphic>
          </wp:inline>
        </w:drawing>
      </w:r>
    </w:p>
    <w:p w14:paraId="55BF6767" w14:textId="77777777" w:rsidR="00994F93" w:rsidRPr="00B03B51" w:rsidRDefault="00994F93" w:rsidP="00994F93">
      <w:pPr>
        <w:jc w:val="both"/>
        <w:rPr>
          <w:rFonts w:ascii="Times New Roman" w:eastAsia="Arial" w:hAnsi="Times New Roman" w:cs="Times New Roman"/>
          <w:b/>
          <w:bCs/>
          <w:noProof/>
          <w:sz w:val="24"/>
          <w:szCs w:val="25"/>
        </w:rPr>
      </w:pPr>
    </w:p>
    <w:p w14:paraId="2AEEBFF3" w14:textId="77777777" w:rsidR="00994F93" w:rsidRPr="008A2DC9" w:rsidRDefault="00994F93" w:rsidP="008A2DC9">
      <w:pPr>
        <w:pStyle w:val="Heading6"/>
        <w:tabs>
          <w:tab w:val="left" w:pos="1279"/>
        </w:tabs>
        <w:ind w:left="0" w:firstLine="0"/>
        <w:jc w:val="both"/>
        <w:rPr>
          <w:rFonts w:ascii="Times New Roman" w:hAnsi="Times New Roman" w:cs="Times New Roman"/>
          <w:sz w:val="24"/>
        </w:rPr>
      </w:pPr>
      <w:r w:rsidRPr="00B03B51">
        <w:rPr>
          <w:rFonts w:ascii="Times New Roman" w:hAnsi="Times New Roman" w:cs="Times New Roman"/>
          <w:sz w:val="24"/>
        </w:rPr>
        <w:t>1.2.4.2. AR RAŽOTĀJIEM SAISTĪTI ĪPAŠI GADĪJUMI</w:t>
      </w:r>
    </w:p>
    <w:p w14:paraId="2446857A"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407B55A3"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49. Neatkarīgi no 1.2.4.3. apakšiedaļā aprakstītā kvantitatīvā tirgus/ārpustirgus testa rezultātiem var būt gadījumi, kad ir nepieciešama īpaša analīze, ja ražotājs “pēc būtības” netiek uzskatīts par tirgus ražotāju. Tas varētu attiekties uz publisko ražotāju. Privātiem ražotājiem (proti, ražotājiem, kurus, kā minēts iepriekš, nekontrolē publiskais sektors) cena pēc definīcijas tiek uzskatīta par ekonomiski nozīmīgu peļņas ierobežojumu dēļ.</w:t>
      </w:r>
      <w:r w:rsidRPr="00B03B51">
        <w:rPr>
          <w:rStyle w:val="FootnoteReference"/>
          <w:rFonts w:ascii="Times New Roman" w:hAnsi="Times New Roman" w:cs="Times New Roman"/>
          <w:noProof/>
          <w:sz w:val="24"/>
        </w:rPr>
        <w:footnoteReference w:id="23"/>
      </w:r>
      <w:r w:rsidRPr="00B03B51">
        <w:rPr>
          <w:rFonts w:ascii="Times New Roman" w:hAnsi="Times New Roman" w:cs="Times New Roman"/>
          <w:sz w:val="24"/>
        </w:rPr>
        <w:t xml:space="preserve"> Savukārt publiskos uzņēmumus (galvenokārt sabiedrības) mēdz dibināt valsts politikas mērķiem, sniedzot tiem lielāku vai mazāku valsts atbalstu, kas var ietekmēt to produkcijas cenu. To tirgus/ārpustirgus būtība ir jāizvērtē, veicot gan turpmāko kvantitatīvo testu, kas parāda, kādos apstākļos tie var veikt tirgus darbību, gan izmantojot kvantitatīvos kritērijus, lai noteiktu, vai šie uzņēmumi veic tirgus darbību. Kvantitatīvā testa rezultāts nav uzskatāms par vienīgo būtisko kritēriju, ar kuru nosaka subjekta klasifikāciju. Ir jāizvērtē arī uzņēmumu darbības savdabība un pastāvošās īpašās saites ar valdību. Pieņem, ka attiecīgajai informācijai būtu jābūt pieejamai statistiķiem.</w:t>
      </w:r>
      <w:r w:rsidRPr="00B03B51">
        <w:rPr>
          <w:rStyle w:val="FootnoteReference"/>
          <w:rFonts w:ascii="Times New Roman" w:hAnsi="Times New Roman" w:cs="Times New Roman"/>
          <w:noProof/>
          <w:sz w:val="24"/>
        </w:rPr>
        <w:footnoteReference w:id="24"/>
      </w:r>
    </w:p>
    <w:p w14:paraId="56913085" w14:textId="77777777" w:rsidR="00994F93" w:rsidRPr="00B03B51" w:rsidRDefault="00994F93" w:rsidP="00994F93">
      <w:pPr>
        <w:jc w:val="both"/>
        <w:rPr>
          <w:rFonts w:ascii="Times New Roman" w:hAnsi="Times New Roman" w:cs="Times New Roman"/>
          <w:noProof/>
          <w:sz w:val="24"/>
        </w:rPr>
      </w:pPr>
    </w:p>
    <w:p w14:paraId="1AFF4426" w14:textId="77777777" w:rsidR="00994F93" w:rsidRPr="00B03B51" w:rsidRDefault="00994F93" w:rsidP="00994F93">
      <w:pPr>
        <w:tabs>
          <w:tab w:val="left" w:pos="1126"/>
        </w:tabs>
        <w:ind w:left="284"/>
        <w:jc w:val="both"/>
        <w:rPr>
          <w:rFonts w:ascii="Times New Roman" w:hAnsi="Times New Roman" w:cs="Times New Roman"/>
          <w:b/>
          <w:noProof/>
          <w:sz w:val="24"/>
        </w:rPr>
      </w:pPr>
      <w:r w:rsidRPr="00B03B51">
        <w:rPr>
          <w:rFonts w:ascii="Times New Roman" w:hAnsi="Times New Roman" w:cs="Times New Roman"/>
          <w:b/>
          <w:sz w:val="24"/>
        </w:rPr>
        <w:t>a) Publiskais ražotājs nav institucionāla vienība</w:t>
      </w:r>
    </w:p>
    <w:p w14:paraId="4DE61383" w14:textId="77777777" w:rsidR="00994F93" w:rsidRPr="00B03B51" w:rsidRDefault="00994F93" w:rsidP="00994F93">
      <w:pPr>
        <w:pStyle w:val="BodyText"/>
        <w:spacing w:before="0"/>
        <w:ind w:left="284" w:firstLine="0"/>
        <w:jc w:val="both"/>
        <w:rPr>
          <w:rFonts w:ascii="Times New Roman" w:hAnsi="Times New Roman" w:cs="Times New Roman"/>
          <w:noProof/>
          <w:sz w:val="24"/>
        </w:rPr>
      </w:pPr>
    </w:p>
    <w:p w14:paraId="0E875ACA" w14:textId="77777777" w:rsidR="00994F93" w:rsidRPr="00B03B51" w:rsidRDefault="00994F93" w:rsidP="00994F93">
      <w:pPr>
        <w:pStyle w:val="BodyText"/>
        <w:spacing w:before="0"/>
        <w:ind w:left="284" w:firstLine="0"/>
        <w:jc w:val="both"/>
        <w:rPr>
          <w:rFonts w:ascii="Times New Roman" w:hAnsi="Times New Roman" w:cs="Times New Roman"/>
          <w:noProof/>
          <w:sz w:val="24"/>
        </w:rPr>
      </w:pPr>
      <w:r w:rsidRPr="00B03B51">
        <w:rPr>
          <w:rFonts w:ascii="Times New Roman" w:hAnsi="Times New Roman" w:cs="Times New Roman"/>
          <w:sz w:val="24"/>
        </w:rPr>
        <w:t>Tirgus/ārpustirgus dalījumam ir nozīme vienīgi tad, ja ražotājs ir institucionāla vienība un nav pilnvarots valdības palīgpakalpojumu sniedzējs, kā noteikts EKS 2010 3.12. punktā. Šādā gadījumā subjekts apkalpo gandrīz vienīgi valdību un ir jāiekļauj tajā valdības vienībā, no kuras tas ir atkarīgs. Ir arī gadījumi, kad valdības kontrolēta vienība ir jāklasificē valdības sektorā, tādējādi kvantitatīvais tests nav piemērots (skat. 1.6. nodaļu “Īpaši publiski subjekti”).</w:t>
      </w:r>
    </w:p>
    <w:p w14:paraId="79B2B4D2" w14:textId="77777777" w:rsidR="00994F93" w:rsidRPr="00B03B51" w:rsidRDefault="00994F93" w:rsidP="00994F93">
      <w:pPr>
        <w:ind w:left="284"/>
        <w:jc w:val="both"/>
        <w:rPr>
          <w:rFonts w:ascii="Times New Roman" w:eastAsia="Arial" w:hAnsi="Times New Roman" w:cs="Times New Roman"/>
          <w:noProof/>
          <w:sz w:val="24"/>
          <w:szCs w:val="18"/>
        </w:rPr>
      </w:pPr>
    </w:p>
    <w:p w14:paraId="57CFDA64" w14:textId="77777777" w:rsidR="00994F93" w:rsidRPr="00B03B51" w:rsidRDefault="00994F93" w:rsidP="00994F93">
      <w:pPr>
        <w:tabs>
          <w:tab w:val="left" w:pos="1126"/>
        </w:tabs>
        <w:ind w:left="284"/>
        <w:jc w:val="both"/>
        <w:rPr>
          <w:rFonts w:ascii="Times New Roman" w:hAnsi="Times New Roman" w:cs="Times New Roman"/>
          <w:b/>
          <w:noProof/>
          <w:sz w:val="24"/>
        </w:rPr>
      </w:pPr>
      <w:r w:rsidRPr="00B03B51">
        <w:rPr>
          <w:rFonts w:ascii="Times New Roman" w:hAnsi="Times New Roman" w:cs="Times New Roman"/>
          <w:b/>
          <w:sz w:val="24"/>
        </w:rPr>
        <w:t>b) Publiskais ražotājs pārdod savu produkciju gan valdībai, gan citiem patērētājiem (sabiedrībām, mājsaimniecībām, nerezidentiem)</w:t>
      </w:r>
    </w:p>
    <w:p w14:paraId="5BFA2324" w14:textId="77777777" w:rsidR="00994F93" w:rsidRPr="00B03B51" w:rsidRDefault="00994F93" w:rsidP="00994F93">
      <w:pPr>
        <w:pStyle w:val="BodyText"/>
        <w:spacing w:before="0"/>
        <w:ind w:left="284" w:firstLine="0"/>
        <w:jc w:val="both"/>
        <w:rPr>
          <w:rFonts w:ascii="Times New Roman" w:hAnsi="Times New Roman" w:cs="Times New Roman"/>
          <w:noProof/>
          <w:sz w:val="24"/>
        </w:rPr>
      </w:pPr>
    </w:p>
    <w:p w14:paraId="2622FCBD" w14:textId="77777777" w:rsidR="00994F93" w:rsidRPr="00B03B51" w:rsidRDefault="00994F93" w:rsidP="00994F93">
      <w:pPr>
        <w:pStyle w:val="BodyText"/>
        <w:spacing w:before="0"/>
        <w:ind w:left="284" w:firstLine="0"/>
        <w:jc w:val="both"/>
        <w:rPr>
          <w:rFonts w:ascii="Times New Roman" w:hAnsi="Times New Roman" w:cs="Times New Roman"/>
          <w:noProof/>
          <w:sz w:val="24"/>
        </w:rPr>
      </w:pPr>
      <w:r w:rsidRPr="00B03B51">
        <w:rPr>
          <w:rFonts w:ascii="Times New Roman" w:hAnsi="Times New Roman" w:cs="Times New Roman"/>
          <w:sz w:val="24"/>
        </w:rPr>
        <w:t>Ja publiskais ražotājs ir piegādātājs, kam (vienīgajam) ir monopols piegādāt savas preces un pakalpojumus ekonomikā, pieņem, ka tas ir tirgus ražotājs, ja vairāk nekā 50 % tā produkcijas tiek pārdoti privātām vienībām. Gadījumā, ja vairāk nekā 50 % tā produkcijas tiek pārdoti valdības vienībām, taču valdība iegādājas šīs preces un pakalpojumus ar tādiem pašiem nosacījumiem, kādi ir citām privātām vienībām, t. i., pilnā saskaņā ar komercnoteikumiem (par ļoti līdzīgām cenām par tām pašām precēm vai pakalpojumiem), veicot ekonomisko analīzi, uzskatāms, ka valdība darbojas kā “noteiktās cenas ņēmējs”, un pārdevējs tiek uzskatīts par tirgus ražotāju. Šādos gadījumos, visticamāk, ražotājs reaģētu uz tirgus signāliem.</w:t>
      </w:r>
    </w:p>
    <w:p w14:paraId="27469E47" w14:textId="77777777" w:rsidR="00994F93" w:rsidRPr="00B03B51" w:rsidRDefault="00994F93" w:rsidP="00994F93">
      <w:pPr>
        <w:pStyle w:val="BodyText"/>
        <w:spacing w:before="0"/>
        <w:ind w:left="284" w:firstLine="0"/>
        <w:jc w:val="both"/>
        <w:rPr>
          <w:rFonts w:ascii="Times New Roman" w:hAnsi="Times New Roman" w:cs="Times New Roman"/>
          <w:noProof/>
          <w:sz w:val="24"/>
        </w:rPr>
      </w:pPr>
    </w:p>
    <w:p w14:paraId="5B32C56F" w14:textId="77777777" w:rsidR="00994F93" w:rsidRPr="00B03B51" w:rsidRDefault="00994F93" w:rsidP="00994F93">
      <w:pPr>
        <w:pStyle w:val="BodyText"/>
        <w:spacing w:before="0"/>
        <w:ind w:left="284" w:firstLine="0"/>
        <w:jc w:val="both"/>
        <w:rPr>
          <w:rFonts w:ascii="Times New Roman" w:hAnsi="Times New Roman" w:cs="Times New Roman"/>
          <w:noProof/>
          <w:sz w:val="24"/>
        </w:rPr>
      </w:pPr>
      <w:r w:rsidRPr="00B03B51">
        <w:rPr>
          <w:rFonts w:ascii="Times New Roman" w:hAnsi="Times New Roman" w:cs="Times New Roman"/>
          <w:sz w:val="24"/>
        </w:rPr>
        <w:t>Ja ir vairāki piegādātāji (t. i., arī privātie ražotāji tautsaimniecībā vai no ārvalstīm) un valdība pērk no ražotāja nozīmīgu daļu tā produkcijas (t. i., vairāk nekā 50 %), taču ir vairāki konkurējoši ražotāji, uzskatāms, ka publiskais ražotājs ir tirgus ražotājs, ja līgumslēgšanas process ar valdību notiek faktiskā atklātā un godīgā konkurencē (piemēram, atklātā konkursa procedūrā). Visticamāk, ražotājs reaģētu uz tirgus signāliem, savukārt pircējiem būtu brīva izvēle, pamatojoties uz cenu un/vai citiem aspektiem.</w:t>
      </w:r>
    </w:p>
    <w:p w14:paraId="45CD23A4" w14:textId="77777777" w:rsidR="00994F93" w:rsidRPr="00B03B51" w:rsidRDefault="00994F93" w:rsidP="00994F93">
      <w:pPr>
        <w:ind w:left="284"/>
        <w:jc w:val="both"/>
        <w:rPr>
          <w:rFonts w:ascii="Times New Roman" w:eastAsia="Arial" w:hAnsi="Times New Roman" w:cs="Times New Roman"/>
          <w:noProof/>
          <w:sz w:val="24"/>
          <w:szCs w:val="18"/>
        </w:rPr>
      </w:pPr>
    </w:p>
    <w:p w14:paraId="69DD2F21" w14:textId="77777777" w:rsidR="00994F93" w:rsidRPr="00B03B51" w:rsidRDefault="00994F93" w:rsidP="00994F93">
      <w:pPr>
        <w:tabs>
          <w:tab w:val="left" w:pos="1126"/>
        </w:tabs>
        <w:ind w:left="284"/>
        <w:jc w:val="both"/>
        <w:rPr>
          <w:rFonts w:ascii="Times New Roman" w:hAnsi="Times New Roman" w:cs="Times New Roman"/>
          <w:b/>
          <w:noProof/>
          <w:sz w:val="24"/>
        </w:rPr>
      </w:pPr>
      <w:r w:rsidRPr="00B03B51">
        <w:rPr>
          <w:rFonts w:ascii="Times New Roman" w:hAnsi="Times New Roman" w:cs="Times New Roman"/>
          <w:b/>
          <w:sz w:val="24"/>
        </w:rPr>
        <w:lastRenderedPageBreak/>
        <w:t>c) Publiskais ražotājs pārdod savu produkciju vienīgi valdībai</w:t>
      </w:r>
    </w:p>
    <w:p w14:paraId="6565FC0C" w14:textId="77777777" w:rsidR="00994F93" w:rsidRPr="00B03B51" w:rsidRDefault="00994F93" w:rsidP="00994F93">
      <w:pPr>
        <w:pStyle w:val="BodyText"/>
        <w:spacing w:before="0"/>
        <w:ind w:left="284" w:firstLine="0"/>
        <w:jc w:val="both"/>
        <w:rPr>
          <w:rFonts w:ascii="Times New Roman" w:hAnsi="Times New Roman" w:cs="Times New Roman"/>
          <w:noProof/>
          <w:sz w:val="24"/>
        </w:rPr>
      </w:pPr>
    </w:p>
    <w:p w14:paraId="14834A41" w14:textId="77777777" w:rsidR="00994F93" w:rsidRPr="00B03B51" w:rsidRDefault="00994F93" w:rsidP="00994F93">
      <w:pPr>
        <w:pStyle w:val="BodyText"/>
        <w:spacing w:before="0"/>
        <w:ind w:left="284" w:firstLine="0"/>
        <w:jc w:val="both"/>
        <w:rPr>
          <w:rFonts w:ascii="Times New Roman" w:hAnsi="Times New Roman" w:cs="Times New Roman"/>
          <w:noProof/>
          <w:sz w:val="24"/>
        </w:rPr>
      </w:pPr>
      <w:r w:rsidRPr="00B03B51">
        <w:rPr>
          <w:rFonts w:ascii="Times New Roman" w:hAnsi="Times New Roman" w:cs="Times New Roman"/>
          <w:sz w:val="24"/>
        </w:rPr>
        <w:t>Šādā gadījumā valdība ir dominējošā pozīcijā (monopsons). Nacionālo kontu speciālistiem ir sīki jāizskata šādas situācijas, jo valdībai kopumā ir ievērojama ietekme uz cenu līmeni (tā ir faktiskā “cenas noteicēja”).</w:t>
      </w:r>
    </w:p>
    <w:p w14:paraId="0BC456B0" w14:textId="77777777" w:rsidR="00994F93" w:rsidRPr="00B03B51" w:rsidRDefault="00994F93" w:rsidP="00994F93">
      <w:pPr>
        <w:pStyle w:val="BodyText"/>
        <w:spacing w:before="0"/>
        <w:ind w:left="284" w:firstLine="0"/>
        <w:jc w:val="both"/>
        <w:rPr>
          <w:rFonts w:ascii="Times New Roman" w:hAnsi="Times New Roman" w:cs="Times New Roman"/>
          <w:noProof/>
          <w:sz w:val="24"/>
        </w:rPr>
      </w:pPr>
    </w:p>
    <w:p w14:paraId="063E64D3" w14:textId="77777777" w:rsidR="00994F93" w:rsidRPr="00B03B51" w:rsidRDefault="00994F93" w:rsidP="00994F93">
      <w:pPr>
        <w:pStyle w:val="BodyText"/>
        <w:spacing w:before="0"/>
        <w:ind w:left="284" w:firstLine="0"/>
        <w:jc w:val="both"/>
        <w:rPr>
          <w:rFonts w:ascii="Times New Roman" w:hAnsi="Times New Roman" w:cs="Times New Roman"/>
          <w:noProof/>
          <w:sz w:val="24"/>
        </w:rPr>
      </w:pPr>
      <w:r w:rsidRPr="00B03B51">
        <w:rPr>
          <w:rFonts w:ascii="Times New Roman" w:hAnsi="Times New Roman" w:cs="Times New Roman"/>
          <w:sz w:val="24"/>
        </w:rPr>
        <w:t>Ja publiskais ražotājs, iespējams, tehnisku vai ekonomisku iemeslu dēļ (piemēram, ekonomikas apmēra dēļ) ir vienīgais šāda veida preces vai pakalpojuma sniedzējs valdībai, parasti tas tiks uzskatīts par ārpustirgus ražotāju. Izņēmums ir gadījums, kad ir skaidra un atvērta konkurence ar privātiem ražotājiem. To jo īpaši apliecinātu atvērta un godīga konkursa procedūra, kurā notiek sākotnējā atlase, pamatojoties uz komercnoteikumiem. Turklāt, ja šāda konkurence patiešām pastāv</w:t>
      </w:r>
      <w:r w:rsidRPr="00B03B51">
        <w:rPr>
          <w:rStyle w:val="FootnoteReference"/>
          <w:rFonts w:ascii="Times New Roman" w:hAnsi="Times New Roman" w:cs="Times New Roman"/>
          <w:noProof/>
          <w:sz w:val="24"/>
        </w:rPr>
        <w:footnoteReference w:id="25"/>
      </w:r>
      <w:r w:rsidRPr="00B03B51">
        <w:rPr>
          <w:rFonts w:ascii="Times New Roman" w:hAnsi="Times New Roman" w:cs="Times New Roman"/>
          <w:sz w:val="24"/>
        </w:rPr>
        <w:t>, publiskā ražotāja konkrētais stāvoklis nav nemainīgs, ja līgumu pēc noteikta perioda atjaunina konkurenci nodrošinošā procesā.</w:t>
      </w:r>
      <w:r w:rsidRPr="00B03B51">
        <w:rPr>
          <w:rStyle w:val="FootnoteReference"/>
          <w:rFonts w:ascii="Times New Roman" w:hAnsi="Times New Roman" w:cs="Times New Roman"/>
          <w:noProof/>
          <w:sz w:val="24"/>
        </w:rPr>
        <w:footnoteReference w:id="26"/>
      </w:r>
    </w:p>
    <w:p w14:paraId="22AE9FB0"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2030DCC9"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50. Jebkurā gadījumā, ja šis publiskais ražotājs nav vienīgais valdības piegādātājs un reāli un atklāti konkurē ar citiem ražotājiem, tā tirgus/ārpustirgus būtība ir jāpārbauda kvantitatīvā testā.</w:t>
      </w:r>
    </w:p>
    <w:p w14:paraId="0D92C731" w14:textId="77777777" w:rsidR="00994F93" w:rsidRPr="00B03B51" w:rsidRDefault="00994F93" w:rsidP="00994F93">
      <w:pPr>
        <w:jc w:val="both"/>
        <w:rPr>
          <w:rFonts w:ascii="Times New Roman" w:eastAsia="Arial" w:hAnsi="Times New Roman" w:cs="Times New Roman"/>
          <w:noProof/>
          <w:sz w:val="24"/>
          <w:szCs w:val="16"/>
        </w:rPr>
      </w:pPr>
    </w:p>
    <w:p w14:paraId="52F050CE" w14:textId="77777777" w:rsidR="00994F93" w:rsidRPr="00B03B51" w:rsidRDefault="00994F93" w:rsidP="00994F93">
      <w:pPr>
        <w:pStyle w:val="Heading6"/>
        <w:tabs>
          <w:tab w:val="left" w:pos="1279"/>
        </w:tabs>
        <w:ind w:left="0" w:firstLine="0"/>
        <w:jc w:val="both"/>
        <w:rPr>
          <w:rFonts w:ascii="Times New Roman" w:hAnsi="Times New Roman" w:cs="Times New Roman"/>
          <w:noProof/>
          <w:sz w:val="24"/>
        </w:rPr>
      </w:pPr>
      <w:r w:rsidRPr="00B03B51">
        <w:rPr>
          <w:rFonts w:ascii="Times New Roman" w:hAnsi="Times New Roman" w:cs="Times New Roman"/>
          <w:sz w:val="24"/>
        </w:rPr>
        <w:t>1.2.4.3. KVANTITATĪVS TIRGUS/ĀRPUSTIRGUS TESTS</w:t>
      </w:r>
    </w:p>
    <w:p w14:paraId="6858DCE7"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341F839A"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51. Lai ražotāju uzskatītu par tirgus ražotāju, tam sava produkcija ir jāpārdod par ekonomiski nozīmīgu cenu, ko praksē novērtē pārbaudot, vai ražotāja pārdošanas ienākumi sedz lielāko daļu no tā ražošanas izmaksām. Lai nošķirtu tirgus ražotājus un citus ārpustirgus ražotājus, izmanto kvantitatīvo tirgus/ārpustirgus testu (50 % kritērijs), kurā salīdzina “pārdošanas ienākumus” un “ražošanas izmaksas”.</w:t>
      </w:r>
    </w:p>
    <w:p w14:paraId="38088430" w14:textId="77777777" w:rsidR="00994F93" w:rsidRPr="00B03B51" w:rsidRDefault="00994F93" w:rsidP="00994F93">
      <w:pPr>
        <w:pStyle w:val="BodyText"/>
        <w:tabs>
          <w:tab w:val="left" w:pos="771"/>
        </w:tabs>
        <w:spacing w:before="0"/>
        <w:ind w:left="0" w:firstLine="0"/>
        <w:jc w:val="both"/>
        <w:rPr>
          <w:rFonts w:ascii="Times New Roman" w:hAnsi="Times New Roman" w:cs="Times New Roman"/>
          <w:noProof/>
          <w:sz w:val="24"/>
        </w:rPr>
      </w:pPr>
    </w:p>
    <w:p w14:paraId="39C3E5BA" w14:textId="77777777" w:rsidR="00994F93" w:rsidRPr="00B03B51" w:rsidRDefault="00994F93" w:rsidP="00994F93">
      <w:pPr>
        <w:pStyle w:val="BodyText"/>
        <w:tabs>
          <w:tab w:val="left" w:pos="771"/>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52. Saskaņā ar EKS 2010 20.30. punktu un EKS 2010 3.33. punktu preču un pakalpojumu “</w:t>
      </w:r>
      <w:r w:rsidRPr="00B03B51">
        <w:rPr>
          <w:rFonts w:ascii="Times New Roman" w:hAnsi="Times New Roman" w:cs="Times New Roman"/>
          <w:b/>
          <w:bCs/>
          <w:sz w:val="24"/>
        </w:rPr>
        <w:t>pārdošanas ienākumi</w:t>
      </w:r>
      <w:r w:rsidRPr="00B03B51">
        <w:rPr>
          <w:rFonts w:ascii="Times New Roman" w:hAnsi="Times New Roman" w:cs="Times New Roman"/>
          <w:sz w:val="24"/>
        </w:rPr>
        <w:t>” ir pārdošanas ieņēmumi, kam pieskaitīti visi maksājumi, kurus veic vispārējā valdība vai ES iestādes</w:t>
      </w:r>
      <w:r w:rsidRPr="00B03B51">
        <w:rPr>
          <w:rStyle w:val="FootnoteReference"/>
          <w:rFonts w:ascii="Times New Roman" w:hAnsi="Times New Roman" w:cs="Times New Roman"/>
          <w:noProof/>
          <w:sz w:val="24"/>
        </w:rPr>
        <w:footnoteReference w:id="27"/>
      </w:r>
      <w:r w:rsidRPr="00B03B51">
        <w:rPr>
          <w:rFonts w:ascii="Times New Roman" w:hAnsi="Times New Roman" w:cs="Times New Roman"/>
          <w:sz w:val="24"/>
        </w:rPr>
        <w:t xml:space="preserve"> un kurus nodrošina jebkuram šāda veida darbībā iesaistītam ražotājam. Citus avotus, piemēram, turēšanas ienākumus, dividendes, ieguldījumu dotācijas vai citus kapitāla pārvedumus nedrīkst iekļaut jēdzienā “pārdošanas ienākumi”. Šajā saistībā par pārdošanas ienākumu sastāvdaļu neuzskata produktu nodokļus (D.21) un arī pašražošanu.</w:t>
      </w:r>
    </w:p>
    <w:p w14:paraId="2B50E491" w14:textId="77777777" w:rsidR="00994F93" w:rsidRPr="00B03B51" w:rsidRDefault="00994F93" w:rsidP="00994F93">
      <w:pPr>
        <w:pStyle w:val="BodyText"/>
        <w:tabs>
          <w:tab w:val="left" w:pos="771"/>
        </w:tabs>
        <w:spacing w:before="0"/>
        <w:ind w:left="0" w:firstLine="0"/>
        <w:jc w:val="both"/>
        <w:rPr>
          <w:rFonts w:ascii="Times New Roman" w:hAnsi="Times New Roman" w:cs="Times New Roman"/>
          <w:noProof/>
          <w:sz w:val="24"/>
        </w:rPr>
      </w:pPr>
    </w:p>
    <w:p w14:paraId="595D59E7" w14:textId="0F58544B" w:rsidR="00994F93" w:rsidRPr="00B03B51" w:rsidRDefault="00994F93" w:rsidP="00994F93">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t xml:space="preserve">Lai šos maksājumus (uz kuriem jābūt tiesībām ikvienam ražotājam, kurš veic attiecīgo darbību) varētu iekļaut “pārdošanas ienākumos”, tiem jābūt tieši saistītiem ar produkcijas apmēru vai vērtību, un tos nedrīkst iekļaut, pamatojoties vienīgi uz to, ka ražotājs ir iesaistīts šādā ražošanā. Piemēram, attiecībā uz sabiedriskā transporta jomu valdība kā subsīdijas izmaksāšanas kritēriju var noteikt pārdoto biļešu skaitu, subsīdijas izmaksājot tādā apmērā, kas būtu tieši atkarīgs no izmantojuma, un subsīdijām sedzot starpību starp cenu, kas tiek piemērota attiecībā uz lietotājiem (kuru parasti ierobežo valdība), un attiecīgās produkcijas izmaksām. Turpretī maksājumi, kas tiek veikti ražotājam neatkarīgi no gala lietotājiem pārdoto biļešu skaita kā vispārējs </w:t>
      </w:r>
      <w:r w:rsidR="005C4861" w:rsidRPr="00B03B51">
        <w:rPr>
          <w:rFonts w:ascii="Times New Roman" w:hAnsi="Times New Roman" w:cs="Times New Roman"/>
          <w:sz w:val="24"/>
        </w:rPr>
        <w:t>vienreizējs</w:t>
      </w:r>
      <w:r w:rsidRPr="00B03B51">
        <w:rPr>
          <w:rFonts w:ascii="Times New Roman" w:hAnsi="Times New Roman" w:cs="Times New Roman"/>
          <w:sz w:val="24"/>
        </w:rPr>
        <w:t xml:space="preserve"> maksājums, lai ar to segtu darbības deficītu, kurš rodas tādēļ, ka noteiktā cena nepietiekami sedz izmaksas, netiktu iekļauti pārdošanas ienākumos attiecībā uz 50 % kritēriju. Praksē maksājumus, kas iekļauti “pārdošanas ienākumu” jēdzienā, dēvē par produktu subsīdijām (D.31), kas saskaņā ar EKS 2010 4.33. punktu ir subsīdijas, kuras </w:t>
      </w:r>
      <w:r w:rsidRPr="00B03B51">
        <w:rPr>
          <w:rFonts w:ascii="Times New Roman" w:hAnsi="Times New Roman" w:cs="Times New Roman"/>
          <w:i/>
          <w:iCs/>
          <w:sz w:val="24"/>
        </w:rPr>
        <w:t>maksā par vienu saražoto vai importēto preces vai pakalpojuma vienību</w:t>
      </w:r>
      <w:r w:rsidRPr="00B03B51">
        <w:rPr>
          <w:rFonts w:ascii="Times New Roman" w:hAnsi="Times New Roman" w:cs="Times New Roman"/>
          <w:sz w:val="24"/>
        </w:rPr>
        <w:t>.</w:t>
      </w:r>
      <w:r w:rsidRPr="00B03B51">
        <w:rPr>
          <w:rFonts w:ascii="Times New Roman" w:hAnsi="Times New Roman" w:cs="Times New Roman"/>
          <w:i/>
          <w:sz w:val="24"/>
        </w:rPr>
        <w:t xml:space="preserve"> </w:t>
      </w:r>
      <w:r w:rsidRPr="00B03B51">
        <w:rPr>
          <w:rFonts w:ascii="Times New Roman" w:hAnsi="Times New Roman" w:cs="Times New Roman"/>
          <w:sz w:val="24"/>
        </w:rPr>
        <w:t xml:space="preserve">Tomēr EKS 2010 3.33. punkta a) apakšpunktā skaidri noteikts, ka par pārdošanas ienākumiem neuzskata </w:t>
      </w:r>
      <w:r w:rsidRPr="00B03B51">
        <w:rPr>
          <w:rFonts w:ascii="Times New Roman" w:hAnsi="Times New Roman" w:cs="Times New Roman"/>
          <w:i/>
          <w:iCs/>
          <w:sz w:val="24"/>
        </w:rPr>
        <w:t xml:space="preserve">vispārējās valdības </w:t>
      </w:r>
      <w:r w:rsidRPr="00B03B51">
        <w:rPr>
          <w:rFonts w:ascii="Times New Roman" w:hAnsi="Times New Roman" w:cs="Times New Roman"/>
          <w:i/>
          <w:iCs/>
          <w:sz w:val="24"/>
        </w:rPr>
        <w:lastRenderedPageBreak/>
        <w:t>maksājumus publisko sabiedrību un kvazisabiedrību kopējā deficīta segšanai</w:t>
      </w:r>
      <w:r w:rsidRPr="00B03B51">
        <w:rPr>
          <w:rFonts w:ascii="Times New Roman" w:hAnsi="Times New Roman" w:cs="Times New Roman"/>
          <w:sz w:val="24"/>
        </w:rPr>
        <w:t xml:space="preserve">, kas ir </w:t>
      </w:r>
      <w:r w:rsidRPr="00B03B51">
        <w:rPr>
          <w:rFonts w:ascii="Times New Roman" w:hAnsi="Times New Roman" w:cs="Times New Roman"/>
          <w:i/>
          <w:iCs/>
          <w:sz w:val="24"/>
        </w:rPr>
        <w:t>daļa no citām produktu subsīdijām kā definēts EKS 2010 4.35. punkta c) apakšpunktā</w:t>
      </w:r>
      <w:r w:rsidRPr="00B03B51">
        <w:rPr>
          <w:rFonts w:ascii="Times New Roman" w:hAnsi="Times New Roman" w:cs="Times New Roman"/>
          <w:sz w:val="24"/>
        </w:rPr>
        <w:t>.</w:t>
      </w:r>
    </w:p>
    <w:p w14:paraId="6D4EDAD7" w14:textId="77777777" w:rsidR="00994F93" w:rsidRPr="00B03B51" w:rsidRDefault="00994F93" w:rsidP="00994F93">
      <w:pPr>
        <w:pStyle w:val="BodyText"/>
        <w:spacing w:before="0"/>
        <w:ind w:left="0" w:firstLine="0"/>
        <w:jc w:val="both"/>
        <w:rPr>
          <w:rFonts w:ascii="Times New Roman" w:hAnsi="Times New Roman" w:cs="Times New Roman"/>
          <w:noProof/>
          <w:sz w:val="24"/>
        </w:rPr>
      </w:pPr>
    </w:p>
    <w:p w14:paraId="052E67D7" w14:textId="77777777" w:rsidR="00994F93" w:rsidRPr="00B03B51" w:rsidRDefault="00994F93" w:rsidP="00994F93">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t>Citas ražošanas subsīdijas (D.39) (EKS 2010 4.36. punkts) un citi valdības pārvedumi netiek ņemti vērā. Tāpēc ikviena subsīdija, kuras kopējā izmaksājamā summa ir noteikta iepriekš (iespējams, jau daļēji vai pilnīgi izmaksāta pirms darbības pilnīgas pabeigšanas) saistībā ar kopējā budžeta apspriedi, kurā uzmanība pievērsta tādiem faktoriem kā, piemēram, ēku uzturēšana, ieguldījumi tehniskajā aprīkojumā, darba ņēmēju atalgojums utt., piemērojot 50 % kritēriju, nav uzskatāmi par “pārdošanas ienākumiem”.</w:t>
      </w:r>
    </w:p>
    <w:p w14:paraId="60524EC9" w14:textId="77777777" w:rsidR="00994F93" w:rsidRPr="00B03B51" w:rsidRDefault="00994F93" w:rsidP="00994F93">
      <w:pPr>
        <w:pStyle w:val="BodyText"/>
        <w:spacing w:before="0"/>
        <w:ind w:left="0" w:firstLine="0"/>
        <w:jc w:val="both"/>
        <w:rPr>
          <w:rFonts w:ascii="Times New Roman" w:hAnsi="Times New Roman" w:cs="Times New Roman"/>
          <w:noProof/>
          <w:sz w:val="24"/>
        </w:rPr>
      </w:pPr>
    </w:p>
    <w:p w14:paraId="50A57140" w14:textId="77777777" w:rsidR="00994F93" w:rsidRPr="00B03B51" w:rsidRDefault="00994F93" w:rsidP="00994F93">
      <w:pPr>
        <w:pStyle w:val="BodyText"/>
        <w:tabs>
          <w:tab w:val="left" w:pos="771"/>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53. “</w:t>
      </w:r>
      <w:r w:rsidRPr="00B03B51">
        <w:rPr>
          <w:rFonts w:ascii="Times New Roman" w:hAnsi="Times New Roman" w:cs="Times New Roman"/>
          <w:b/>
          <w:bCs/>
          <w:sz w:val="24"/>
        </w:rPr>
        <w:t>Ražošanas izmaksas</w:t>
      </w:r>
      <w:r w:rsidRPr="00B03B51">
        <w:rPr>
          <w:rFonts w:ascii="Times New Roman" w:hAnsi="Times New Roman" w:cs="Times New Roman"/>
          <w:sz w:val="24"/>
        </w:rPr>
        <w:t>” saistībā ar tirgus/ārpustirgus testu tiek definētas kā starppatēriņa summa (P.2), darba ņēmēju atalgojums (D.1), pamatkapitāla patēriņš (P.51c), citi maksājamie ražošanas nodokļi (D.29) un neto procentu maksa (savukārt citas saņemamās ražošanas subsīdijas (D.39) netiek atskaitītas). Lai nodrošinātu konsekvenci starp pārdošanas ienākumu un ražošanas izmaksu jēdzieniem, kad tiek piemērots 50 % kritērijs, ražošanas izmaksās neietver piedēvētās izmaksas, kas radušās kapitāla pašveidošanas rezultātā.</w:t>
      </w:r>
    </w:p>
    <w:p w14:paraId="75F6843B" w14:textId="77777777" w:rsidR="00994F93" w:rsidRPr="00B03B51" w:rsidRDefault="00994F93" w:rsidP="00994F93">
      <w:pPr>
        <w:pStyle w:val="BodyText"/>
        <w:spacing w:before="0"/>
        <w:ind w:left="0" w:firstLine="0"/>
        <w:jc w:val="both"/>
        <w:rPr>
          <w:rFonts w:ascii="Times New Roman" w:hAnsi="Times New Roman" w:cs="Times New Roman"/>
          <w:noProof/>
          <w:sz w:val="24"/>
        </w:rPr>
      </w:pPr>
    </w:p>
    <w:p w14:paraId="0D3BBF6D" w14:textId="77777777" w:rsidR="00994F93" w:rsidRPr="00B03B51" w:rsidRDefault="00994F93" w:rsidP="00994F93">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t xml:space="preserve">Neto procentu maksu EKS 2010 20.31. punktā definē kā </w:t>
      </w:r>
      <w:r w:rsidRPr="00B03B51">
        <w:rPr>
          <w:rFonts w:ascii="Times New Roman" w:hAnsi="Times New Roman" w:cs="Times New Roman"/>
          <w:i/>
          <w:iCs/>
          <w:sz w:val="24"/>
        </w:rPr>
        <w:t>maksājamos procentus (D.41), no kuriem atskaita saņemamos procentus (D.41)</w:t>
      </w:r>
      <w:r w:rsidRPr="00B03B51">
        <w:rPr>
          <w:rFonts w:ascii="Times New Roman" w:hAnsi="Times New Roman" w:cs="Times New Roman"/>
          <w:sz w:val="24"/>
        </w:rPr>
        <w:t>.</w:t>
      </w:r>
      <w:r w:rsidRPr="00B03B51">
        <w:rPr>
          <w:rFonts w:ascii="Times New Roman" w:hAnsi="Times New Roman" w:cs="Times New Roman"/>
          <w:i/>
          <w:sz w:val="24"/>
        </w:rPr>
        <w:t xml:space="preserve"> </w:t>
      </w:r>
      <w:r w:rsidRPr="00B03B51">
        <w:rPr>
          <w:rFonts w:ascii="Times New Roman" w:hAnsi="Times New Roman" w:cs="Times New Roman"/>
          <w:sz w:val="24"/>
        </w:rPr>
        <w:t>Uzskatāms, ka neto procentu maksa ir kapitāla izmaksu ticams tuvinājums, jo tās ir galvenokārt izmaksas saistībā ar ražošanā izmantoto (pamat)līdzekļu finansēšanu, ko pieņem par kapitāla alternatīvajām izmaksām. Dažos gadījumos neto procentu maksa var būt negatīva (piemēram, kad ienākums no procentus ienesošajiem aktīviem ir lielāks par maksājamajiem procentiem vai kad vienībai nav saistību, bet ir tikai aktīvi, kas ienes procentus, utt.). Ja neto procentu maksa kļūst negatīva, to tirgus/ārpustirgus testa aprēķinos aizstāj ar nulli, lai varētu saprast, ka neto procentu maksa ir kapitāla izmaksu tuvinājums. Kopumā negatīvas neto procentu maksas gadījumā ir rūpīgi jāpārbauda vienības ekonomiskā būtība, t. i., tirgus/ārpustirgus testa piemērojamība konkrētajā gadījumā, kā arī iepriekš minētie kvalitatīvie kritēriji (skat. 1.2.4.2. apakšiedaļu).</w:t>
      </w:r>
    </w:p>
    <w:p w14:paraId="482B72F7" w14:textId="77777777" w:rsidR="00994F93" w:rsidRPr="00B03B51" w:rsidRDefault="00994F93" w:rsidP="00994F93">
      <w:pPr>
        <w:jc w:val="both"/>
        <w:rPr>
          <w:rFonts w:ascii="Times New Roman" w:eastAsia="Arial" w:hAnsi="Times New Roman" w:cs="Times New Roman"/>
          <w:noProof/>
          <w:sz w:val="24"/>
          <w:szCs w:val="25"/>
        </w:rPr>
      </w:pPr>
    </w:p>
    <w:p w14:paraId="45E65AAD"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54. Jāuzsver, ka tirgus/ārpustirgus testu piemēro publiskajiem ražotājiem (valdības kontrolētajām institucionālajām vienībām) pēc tam, kad ir pārbaudīti kvalitatīvie kritēriji, kā norādīts iepriekš 1.2.4.2. apakšiedaļā. Tirgus/ārpustirgus testu izmanto publiskajām nefinanšu vienībām, un tas attiecas arī uz vairumu publisko vienību, kas nodarbojas ar finanšu palīgdarbībām. Tirgus/ārpustirgus testu neizmanto vienībām, kas nodarbojas ar finanšu starpniecību, publiskajām kontrolakciju sabiedrībām un dažām citām īpašām publiskām vienībām. Valdības kontrolētajām vienībām vispirms ir jāpārbauda kvalitatīvie kritēriji, jo tie ir prioritārāki par kvantitatīvo kritēriju. Ja kaut viens no 1.2.4.2. apakšiedaļā aprakstītajiem kvalitatīvajiem kritērijiem netiek izpildīts, tas varētu būt pietiekams apstāklis, lai publisko vienību klasificētu vispārējās valdības sektorā (tad varētu nepiemērot tirgus/ārpustirgus testu). Ja kvalitatīvie kritēriji tiek izpildīti, tirgus/ārpustirgus testu varētu izmantot vienības sektora klasifikācijas novērtēšanai. Savukārt tirgus/ārpustirgus tests neattiecas uz īpašiem publiskiem subjektiem, kas raksturoti šīs rokasgrāmatas 1.6. nodaļā.</w:t>
      </w:r>
    </w:p>
    <w:p w14:paraId="31317CBC"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528B02A0"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 xml:space="preserve">55. Tirgus/ārpustirgus tests ir jāpiemēro, pārlūkojot vairākus gadus ilgu laika posmu attiecībā uz katru institucionālo vienību atsevišķi (pat tad, ja subjekti ietilpst grupā). Kopumā tikai tad, ja tirgus/ārpustirgus tests uzrāda vairāk par 50 % vairākus gadus (vismaz 3 gadus) vai ja dažos gadījumos, kad vienība ir izgājusi tirgus/ārpustirgus testu </w:t>
      </w:r>
      <w:r w:rsidRPr="00B03B51">
        <w:rPr>
          <w:rFonts w:ascii="Times New Roman" w:hAnsi="Times New Roman" w:cs="Times New Roman"/>
          <w:i/>
          <w:iCs/>
          <w:sz w:val="24"/>
        </w:rPr>
        <w:t>t-1</w:t>
      </w:r>
      <w:r w:rsidRPr="00B03B51">
        <w:rPr>
          <w:rFonts w:ascii="Times New Roman" w:hAnsi="Times New Roman" w:cs="Times New Roman"/>
          <w:sz w:val="24"/>
        </w:rPr>
        <w:t xml:space="preserve"> gadā un ir stingri gaidāms, ka tā turpināsies arī tuvākajā nākotnē, tad vienību varētu klasificēt ārpus valdības. Dažos gadījumos, kad vienība nav izgājusi testu vienu gadu un ir gaidāms, ka tā neizies to arī nākamos divus gadus, šādu vienību vajadzētu nekavējoties klasificēt valdības sektorā. Nelielas izmaiņas (vai rezultāts, kas uzskatāms par nesistemātisku izņēmuma gadījumu) attiecībā starp pārdošanas </w:t>
      </w:r>
      <w:r w:rsidRPr="00B03B51">
        <w:rPr>
          <w:rFonts w:ascii="Times New Roman" w:hAnsi="Times New Roman" w:cs="Times New Roman"/>
          <w:sz w:val="24"/>
        </w:rPr>
        <w:lastRenderedPageBreak/>
        <w:t>ienākumiem un ražošanas izmaksām vienā gadā pret otru nebūt nenozīmē, ka ir jāpārklasificē institucionālās vienības (un to vietējās DVV un produkcija).</w:t>
      </w:r>
    </w:p>
    <w:p w14:paraId="39F09528"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5D9701FC"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56. Tirgus/ārpustirgus tests ļauj arī noteikt, vai valdības subjektu var uzskatīt par kvazisabiedrību (kas pieder valdībai), proti, kvazisabiedrību var izveidot tikai tad, ja subjekts ir tirgus ražotājs.</w:t>
      </w:r>
    </w:p>
    <w:p w14:paraId="05341451"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39FC0CE4"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57. Attiecībā uz jaundibinātiem publiskiem uzņēmumiem varētu būt grūti uzreiz piemērot tirgus/ārpustirgus testu, jo trūkst datu un/vai tāpēc, ka pakāpeniski pieaug uzņēmuma darbības apmērs.</w:t>
      </w:r>
      <w:r w:rsidRPr="00B03B51">
        <w:rPr>
          <w:rStyle w:val="FootnoteReference"/>
          <w:rFonts w:ascii="Times New Roman" w:hAnsi="Times New Roman" w:cs="Times New Roman"/>
          <w:noProof/>
          <w:sz w:val="24"/>
        </w:rPr>
        <w:footnoteReference w:id="28"/>
      </w:r>
      <w:r w:rsidRPr="00B03B51">
        <w:rPr>
          <w:rFonts w:ascii="Times New Roman" w:hAnsi="Times New Roman" w:cs="Times New Roman"/>
          <w:sz w:val="24"/>
        </w:rPr>
        <w:t xml:space="preserve"> Tāpēc klasifikācija būtu jāveic, pamatojoties uz reālu uzņēmējdarbības plānu</w:t>
      </w:r>
      <w:r w:rsidRPr="00B03B51">
        <w:rPr>
          <w:rStyle w:val="FootnoteReference"/>
          <w:rFonts w:ascii="Times New Roman" w:hAnsi="Times New Roman" w:cs="Times New Roman"/>
          <w:noProof/>
          <w:sz w:val="24"/>
        </w:rPr>
        <w:footnoteReference w:id="29"/>
      </w:r>
      <w:r w:rsidRPr="00B03B51">
        <w:rPr>
          <w:rFonts w:ascii="Times New Roman" w:hAnsi="Times New Roman" w:cs="Times New Roman"/>
          <w:sz w:val="24"/>
        </w:rPr>
        <w:t>, īpašu uzmanību pievēršot tam, lai pārbaudītu, vai ir ticams, ka vienība varētu kļūt par tirgus ražotāju īsā laika posmā. Dažos gadījumos, kad jaunā vienība izveidota, apvienojot iepriekš atsevišķas vienības, darbības prognozes var veikt, pamatojoties uz iepriekšējo laika posmu rezultātiem.</w:t>
      </w:r>
    </w:p>
    <w:p w14:paraId="158759C7" w14:textId="77777777" w:rsidR="00994F93" w:rsidRPr="00B03B51" w:rsidRDefault="00994F93" w:rsidP="00994F93">
      <w:pPr>
        <w:jc w:val="both"/>
        <w:rPr>
          <w:rFonts w:ascii="Times New Roman" w:hAnsi="Times New Roman" w:cs="Times New Roman"/>
          <w:noProof/>
          <w:sz w:val="24"/>
        </w:rPr>
      </w:pPr>
    </w:p>
    <w:p w14:paraId="048BDDB2" w14:textId="77777777" w:rsidR="00994F93" w:rsidRPr="00B03B51" w:rsidRDefault="00994F93" w:rsidP="00994F93">
      <w:pPr>
        <w:pStyle w:val="Heading6"/>
        <w:tabs>
          <w:tab w:val="left" w:pos="1279"/>
        </w:tabs>
        <w:ind w:left="0" w:firstLine="0"/>
        <w:jc w:val="both"/>
        <w:rPr>
          <w:rFonts w:ascii="Times New Roman" w:hAnsi="Times New Roman" w:cs="Times New Roman"/>
          <w:noProof/>
          <w:sz w:val="24"/>
        </w:rPr>
      </w:pPr>
      <w:r w:rsidRPr="00B03B51">
        <w:rPr>
          <w:rFonts w:ascii="Times New Roman" w:hAnsi="Times New Roman" w:cs="Times New Roman"/>
          <w:sz w:val="24"/>
        </w:rPr>
        <w:t>1.2.4.4. PUBLISKAS VIENĪBAS LIKVIDĀCIJAS PROCESĀ</w:t>
      </w:r>
    </w:p>
    <w:p w14:paraId="04C4A433"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06DBE44A"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58. Šajā iedaļā ar likvidāciju saprot situāciju, kurā vienība (sabiedrība vai līdzīgs subjekts) sāk izbeigt savu ražošanas darbību. Turpmāk sniegtie metodoloģiskie noteikumi attiecas uz publiskām (valdības kontrolētām) vienībām, kas nodarbojas ar preču un pakalpojumu ražošanu vai ar finanšu starpniecību (kā noteikts EKS 2010 2. nodaļā), izņemot tās vienības, kurām ir piemērotas īpašas risināšanas un darbības atjaunošanas procedūras (kuras parasti klasificētas kategorijā “noguldījumus pieņemošas sabiedrības”, izņemot centrālo banku (S.122)).</w:t>
      </w:r>
    </w:p>
    <w:p w14:paraId="3CD1A15B"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5127FBEC"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59. Ja vienība, kas nav klasificēta valdības sektorā (t. i., atbilst kritērijiem, kas ļauj to uzskatīt par tirgus ražotāju</w:t>
      </w:r>
      <w:r w:rsidRPr="00B03B51">
        <w:rPr>
          <w:rStyle w:val="FootnoteReference"/>
          <w:rFonts w:ascii="Times New Roman" w:hAnsi="Times New Roman" w:cs="Times New Roman"/>
          <w:noProof/>
          <w:sz w:val="24"/>
        </w:rPr>
        <w:footnoteReference w:id="30"/>
      </w:r>
      <w:r w:rsidRPr="00B03B51">
        <w:rPr>
          <w:rFonts w:ascii="Times New Roman" w:hAnsi="Times New Roman" w:cs="Times New Roman"/>
          <w:sz w:val="24"/>
        </w:rPr>
        <w:t xml:space="preserve">), sāk likvidācijas procesu, tās aktīvi tiek pakāpeniski realizēti (pārvērsti naudā) vai nu tos pārdodot, vai arī atgūstot prasījumus, ko tur vienība (piemēram, komerciālos prasījumus pret klientiem). Attiecīgos ieņēmumus izmanto, lai samaksātu dažādiem kreditoriem iepriekš noteiktā kārtībā, pamatojoties uz tiesību normām (piemēram, attiecībā uz personālu vai nodokļiem) un ievērojot parādu kreditoriem būtību (prioritārais, zemāka līmeņa, subordinētais parāds). Atlikusī nauda, ja tāda paliek, tiek sadalīta akcionāriem, jo tīrā vērtība un pašu kapitāls var būt negatīvs. EKS 2010 5.141. punktā noteikts, ka </w:t>
      </w:r>
      <w:r w:rsidRPr="00B03B51">
        <w:rPr>
          <w:rFonts w:ascii="Times New Roman" w:hAnsi="Times New Roman" w:cs="Times New Roman"/>
          <w:i/>
          <w:iCs/>
          <w:sz w:val="24"/>
        </w:rPr>
        <w:t>(..) pašu kapitāls ir finanšu aktīvs, kas ir prasība pret sabiedrības atlikušo vērtību, kad izpildītas visas citas prasības</w:t>
      </w:r>
      <w:r w:rsidRPr="00B03B51">
        <w:rPr>
          <w:rFonts w:ascii="Times New Roman" w:hAnsi="Times New Roman" w:cs="Times New Roman"/>
          <w:sz w:val="24"/>
        </w:rPr>
        <w:t>.</w:t>
      </w:r>
      <w:r w:rsidRPr="00B03B51">
        <w:rPr>
          <w:rFonts w:ascii="Times New Roman" w:hAnsi="Times New Roman" w:cs="Times New Roman"/>
          <w:i/>
          <w:sz w:val="24"/>
        </w:rPr>
        <w:t xml:space="preserve"> </w:t>
      </w:r>
      <w:r w:rsidRPr="00B03B51">
        <w:rPr>
          <w:rFonts w:ascii="Times New Roman" w:hAnsi="Times New Roman" w:cs="Times New Roman"/>
          <w:sz w:val="24"/>
        </w:rPr>
        <w:t>Kopumā, ja likvidācija notiek “brīvprātīgi”, vienība neuzrādīs negatīvu neto vērtību un valdība, visticamāk, saņems kādu naudu.</w:t>
      </w:r>
    </w:p>
    <w:p w14:paraId="05F85ABD"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23BDBB82"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60. Saskaņā ar tiesisko regulējumu var ierosināt likvidāciju, ja vienība nespēj izpildīt savas saistības pret kreditoriem (“bankrota” gadījums). Tas var notikt arī pēc noteiktu īpašu pasākumu (tādu kā moratorija vai restrukturizācijas) neizdošanās, kuri tika veikti, lai nodrošinātu vienības ilgtermiņa maksātspēju. Par likvidāciju dažādu iemeslu dēļ var brīvprātīgi izlemt arī vienības īpašnieks. Tomēr šīs atšķirības dēļ nevar rasties dažādi nacionālo kontu noteikumi, kas būtu piemērojami neatkarīgi no tā, kādu iemeslu dēļ notiek likvidācija. Faktiski varētu uzskatīt, ka publiskās vienības likvidācija vienmēr notiek, pamatojoties uz kontrolējošās vienības apzinātu lēmumu, jo īpaši, kad valdība nospriež, ka nav vērts turpināt vienībai sniegt atbalstu.</w:t>
      </w:r>
    </w:p>
    <w:p w14:paraId="40CF4291"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6A39946F"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szCs w:val="12"/>
        </w:rPr>
      </w:pPr>
      <w:r w:rsidRPr="00B03B51">
        <w:rPr>
          <w:rFonts w:ascii="Times New Roman" w:hAnsi="Times New Roman" w:cs="Times New Roman"/>
          <w:sz w:val="24"/>
        </w:rPr>
        <w:lastRenderedPageBreak/>
        <w:t>61. Var arī gadīties, ka valdības kontrolējošā vienība nolemj, ka publiskai vienībai, kas nav klasificēta valdības sektorā, ir piemērojams “neaktīvas vienības” statuss. Tas nozīmē, ka vienība kļūst “neaktīva”, taču netiek pieņemts oficiāls lēmums to slēgt. Šāds stāvoklis var ilgt kādu laiku vai daudzus gadus.</w:t>
      </w:r>
      <w:r w:rsidRPr="00B03B51">
        <w:rPr>
          <w:rStyle w:val="FootnoteReference"/>
          <w:rFonts w:ascii="Times New Roman" w:hAnsi="Times New Roman" w:cs="Times New Roman"/>
          <w:noProof/>
          <w:sz w:val="24"/>
        </w:rPr>
        <w:footnoteReference w:id="31"/>
      </w:r>
      <w:r w:rsidRPr="00B03B51">
        <w:rPr>
          <w:rFonts w:ascii="Times New Roman" w:hAnsi="Times New Roman" w:cs="Times New Roman"/>
          <w:sz w:val="24"/>
          <w:szCs w:val="12"/>
        </w:rPr>
        <w:t xml:space="preserve"> </w:t>
      </w:r>
      <w:r w:rsidRPr="00B03B51">
        <w:rPr>
          <w:rFonts w:ascii="Times New Roman" w:hAnsi="Times New Roman" w:cs="Times New Roman"/>
          <w:sz w:val="24"/>
        </w:rPr>
        <w:t>Turpmāk minētie noteikumi arī ir piemērojami šim gadījumam.</w:t>
      </w:r>
      <w:r w:rsidRPr="00B03B51">
        <w:rPr>
          <w:rStyle w:val="FootnoteReference"/>
          <w:rFonts w:ascii="Times New Roman" w:hAnsi="Times New Roman" w:cs="Times New Roman"/>
          <w:noProof/>
          <w:sz w:val="24"/>
        </w:rPr>
        <w:footnoteReference w:id="32"/>
      </w:r>
      <w:r w:rsidRPr="00B03B51">
        <w:rPr>
          <w:rFonts w:ascii="Times New Roman" w:hAnsi="Times New Roman" w:cs="Times New Roman"/>
          <w:sz w:val="24"/>
          <w:vertAlign w:val="superscript"/>
        </w:rPr>
        <w:t>,</w:t>
      </w:r>
      <w:r w:rsidRPr="00B03B51">
        <w:rPr>
          <w:rStyle w:val="FootnoteReference"/>
          <w:rFonts w:ascii="Times New Roman" w:hAnsi="Times New Roman" w:cs="Times New Roman"/>
          <w:noProof/>
          <w:sz w:val="24"/>
        </w:rPr>
        <w:footnoteReference w:id="33"/>
      </w:r>
    </w:p>
    <w:p w14:paraId="3E004569"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2B7393E1"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62. Likvidācijas process var ilgt kādu laiku neatkarīgi no tā, cik ilgs laiks ir nepieciešams aktīvu realizācijai/pārvēršanai naudā, ko ir grūti paredzēt un kas ir daudzējādā ziņā atkarīgs no ārējiem faktoriem. Citiem vārdiem, šajā procesā vienība joprojām var nodarboties ar kādu ražošanas darbību un no tās gūt ieņēmumus. Piemēram, vienībai var būt joprojām kādi agrāk piešķirti pasūtījumi. Tomēr tas ir uz laiku, un, kā likums, nav gaidāms, ka vienība vēl veiks savu kādreizējo saimniecisko darbību. Turklāt parasti tā ir slēgta jaunai uzņēmējdarbībai. Tas nebūt nenozīmē, ka šajā procesā nevarētu notikt aktīva dažu aktīvu un saistību pārvaldība, piemēram, atlikušās produkcijas vai krājumos turētās produkcijas pārdošana, atkārtotas sarunas, pārstrukturēšana un citas tehniskas arbitrāžas, taču parasti vienībai vairs nav pieejas kapitāla tirgiem.</w:t>
      </w:r>
    </w:p>
    <w:p w14:paraId="0BFCE433"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7FCB3A9C"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63. Var būtiski atšķirties tas, kādā veidā notiek likvidācija – to var veikt vienības iepriekšējā vadība vai jauna vadība, vai arī “administrators”/“likvidators”, kas ir pilnvarots pieņemt galvenos lēmumus saistībā ar likvidāciju akcionāru vietā.</w:t>
      </w:r>
      <w:r w:rsidRPr="00B03B51">
        <w:rPr>
          <w:rStyle w:val="FootnoteReference"/>
          <w:rFonts w:ascii="Times New Roman" w:hAnsi="Times New Roman" w:cs="Times New Roman"/>
          <w:noProof/>
          <w:sz w:val="24"/>
        </w:rPr>
        <w:footnoteReference w:id="34"/>
      </w:r>
      <w:r w:rsidRPr="00B03B51">
        <w:rPr>
          <w:rFonts w:ascii="Times New Roman" w:hAnsi="Times New Roman" w:cs="Times New Roman"/>
          <w:sz w:val="24"/>
          <w:szCs w:val="12"/>
        </w:rPr>
        <w:t xml:space="preserve"> </w:t>
      </w:r>
      <w:r w:rsidRPr="00B03B51">
        <w:rPr>
          <w:rFonts w:ascii="Times New Roman" w:hAnsi="Times New Roman" w:cs="Times New Roman"/>
          <w:sz w:val="24"/>
        </w:rPr>
        <w:t>Likvidatoru nevar uzskatīt par personu, kas kontrolē vienību tādā izpratnē, kā definēts EKS 2010 2.35. punktā, t. i., kam ir spēja noteikt vispārējo politiku, jo viņa funkcija ir vienkārši izmaksāt kompensācijas likvidējamās vienības kreditoriem, realizējot aktīvu vērtību. Tomēr tas, ka valdība kontrolē vai nekontrolē likvidācijas procesu, nav būtisks kritērijs saistībā ar likvidējamās publiskās vienības sektora klasificēšanu. Svarīgi ir tikai tas, ka vienība pirms likvidācijas procesa sākšanas tika uzskatīta par publisku vienību. Turklāt valdība šajā procesā uzņemas līdzīgus riskus kā jebkurš cits akcionārs.</w:t>
      </w:r>
    </w:p>
    <w:p w14:paraId="32947AD1"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05387F6B"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64. ES dalībvalstīs var būt ļoti atšķirīgas likvidācijas procedūras. Ir tādas valstis, kurās publiskajām sabiedrībām īpašais juridiskais statuss sniedz priekšrocības tādā ziņā, ka parastās ar bankrotu saistītās procedūras (ko parasti pieprasa kreditori, kuriem ir prasījumi pret vienībām) nav piemērojamas. Savukārt dažām publiskām sabiedrībām var būt piešķirts pilnībā “komerciāls” statuss, un tādējādi tām ir piemērojamas tādas pašas tiesību normas kā ikvienam citam tirgus ražotājam tādā situācijā. Tomēr šis ES dalībvalstu neviendabīgums nedrīkst ietekmēt likvidējamo vienību turpmāk norādīto klasifikāciju.</w:t>
      </w:r>
    </w:p>
    <w:p w14:paraId="637CD707"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4752195C"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65. Ikvienai publiskai vienībai, kas nav iekļauta finanšu sabiedrību sektorā</w:t>
      </w:r>
      <w:r w:rsidRPr="00B03B51">
        <w:rPr>
          <w:rStyle w:val="FootnoteReference"/>
          <w:rFonts w:ascii="Times New Roman" w:hAnsi="Times New Roman" w:cs="Times New Roman"/>
          <w:noProof/>
          <w:sz w:val="24"/>
        </w:rPr>
        <w:footnoteReference w:id="35"/>
      </w:r>
      <w:r w:rsidRPr="00B03B51">
        <w:rPr>
          <w:rFonts w:ascii="Times New Roman" w:hAnsi="Times New Roman" w:cs="Times New Roman"/>
          <w:sz w:val="24"/>
        </w:rPr>
        <w:t xml:space="preserve">, lai tā kvalificētos </w:t>
      </w:r>
      <w:r w:rsidRPr="00B03B51">
        <w:rPr>
          <w:rFonts w:ascii="Times New Roman" w:hAnsi="Times New Roman" w:cs="Times New Roman"/>
          <w:sz w:val="24"/>
        </w:rPr>
        <w:lastRenderedPageBreak/>
        <w:t>par publisku vienību, ko klasificē ārpus valdības sektora, ir jāatbilst (cita starpā)</w:t>
      </w:r>
      <w:r w:rsidRPr="00B03B51">
        <w:rPr>
          <w:rStyle w:val="FootnoteReference"/>
          <w:rFonts w:ascii="Times New Roman" w:hAnsi="Times New Roman" w:cs="Times New Roman"/>
          <w:noProof/>
          <w:sz w:val="24"/>
        </w:rPr>
        <w:footnoteReference w:id="36"/>
      </w:r>
      <w:r w:rsidRPr="00B03B51">
        <w:rPr>
          <w:rFonts w:ascii="Times New Roman" w:hAnsi="Times New Roman" w:cs="Times New Roman"/>
          <w:sz w:val="24"/>
        </w:rPr>
        <w:t xml:space="preserve"> 50 % kritērijam neatkarīgi no tā, vai vienība atrodas vai neatrodas likvidācijas procesā. Šajā saistībā ir jāuzsver, ka EKS 2010 šādām publiskām vienībām netiek piemēroti nekādi izņēmumi, nosakot, ka 50 % kritēriju nepiemēro, lai lemtu par vienības klasifikāciju, ja uzsākas tās likvidācijas process. Tādējādi 50 % kritērija ievērošana ir uzskatāma par “nosacījumu </w:t>
      </w:r>
      <w:r w:rsidRPr="00B03B51">
        <w:rPr>
          <w:rFonts w:ascii="Times New Roman" w:hAnsi="Times New Roman" w:cs="Times New Roman"/>
          <w:i/>
          <w:sz w:val="24"/>
        </w:rPr>
        <w:t>sine qua non</w:t>
      </w:r>
      <w:r w:rsidRPr="00B03B51">
        <w:rPr>
          <w:rFonts w:ascii="Times New Roman" w:hAnsi="Times New Roman" w:cs="Times New Roman"/>
          <w:sz w:val="24"/>
        </w:rPr>
        <w:t>”, lai publiskās nefinanšu sabiedrības</w:t>
      </w:r>
      <w:r w:rsidRPr="00B03B51">
        <w:rPr>
          <w:rStyle w:val="FootnoteReference"/>
          <w:rFonts w:ascii="Times New Roman" w:hAnsi="Times New Roman" w:cs="Times New Roman"/>
          <w:noProof/>
          <w:sz w:val="24"/>
        </w:rPr>
        <w:footnoteReference w:id="37"/>
      </w:r>
      <w:r w:rsidRPr="00B03B51">
        <w:rPr>
          <w:rFonts w:ascii="Times New Roman" w:hAnsi="Times New Roman" w:cs="Times New Roman"/>
          <w:sz w:val="24"/>
        </w:rPr>
        <w:t xml:space="preserve"> klasificētu ārpus valdības.</w:t>
      </w:r>
    </w:p>
    <w:p w14:paraId="33A3B4E4"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2A5F59D5"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66. Šādos apstākļos atkarībā no kvantitatīvā tirgus/ārpustirgus testa (50 % kritērija) rezultātiem parasti</w:t>
      </w:r>
      <w:r w:rsidRPr="00B03B51">
        <w:rPr>
          <w:rStyle w:val="FootnoteReference"/>
          <w:rFonts w:ascii="Times New Roman" w:hAnsi="Times New Roman" w:cs="Times New Roman"/>
          <w:noProof/>
          <w:sz w:val="24"/>
        </w:rPr>
        <w:footnoteReference w:id="38"/>
      </w:r>
      <w:r w:rsidRPr="00B03B51">
        <w:rPr>
          <w:rFonts w:ascii="Times New Roman" w:hAnsi="Times New Roman" w:cs="Times New Roman"/>
          <w:sz w:val="24"/>
        </w:rPr>
        <w:t xml:space="preserve"> vienība būtu jāklasificē ārpus valdības sektora, ja tā izpilda tirgus/ārpustirgus testu, un jāpārklasificē valdības sektorā, ja vairs neizpilda to, ar iespējamu ietekmi uz valdības neto aizdevumu/aizņēmumu (B.9) un valdības (konsolidēto) parādu. Saskaņā ar vispārīgo noteikumu pārklasificēšanu veic vēlākais tad, kad ir pagājuši trīs gadi pēc kārtas, kuros netiek izpildīts 50 % kritērijs. Taču, ja tirgus/ārpustirgus tests ir zem 50 % vienā gadā un tiek uzskatīts, ka nākamajos divos gados ir maz ticams, ka tirgus/ārpustirgus testa rezultāts varētu būt pretējs, pārklasifikācija ir jāīsteno, tiklīdz tirgus/ārpustirgus tests vairs netiek izpildīts. Savukārt attiecībā uz likvidācijas procesā esošu publisko vienību, ja jau no paša sākuma ir zināms, ka vienība pakāpeniski izbeigs savu ražošanas darbību, pārklasifikācija valdības sektorā būtu jāveic tajā gadā, kad vienība pirmo reizi neizpilda 50 % kritēriju.</w:t>
      </w:r>
    </w:p>
    <w:p w14:paraId="27061367"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2F2313C9"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67. Attiecībā uz publiskajām vienībām, izņemot tām, kurām ir piemērotas īpašas risināšanas un darbības atjaunošanas procedūras (parasti klasificētas apakšsektorā S.122), kuras pirms likvidācijas uzsākšanas nodarbojās ar finanšu starpniecību, ir jāpārbauda, vai šādas likvidācijas procesā esošas vienības joprojām ir vai nav uzskatāmas par finanšu starpniekiem. Tiklīdz šīm vienībām vairs nav ļauts veidot jaunas saistības un iegādāties jaunus aktīvus, tās vairs nevar uzskatīt par vienībām, kas nodarbojas ar finanšu starpniecību (kā noteikts EKS 2010).</w:t>
      </w:r>
      <w:r w:rsidRPr="00B03B51">
        <w:rPr>
          <w:rStyle w:val="FootnoteReference"/>
          <w:rFonts w:ascii="Times New Roman" w:hAnsi="Times New Roman" w:cs="Times New Roman"/>
          <w:noProof/>
          <w:sz w:val="24"/>
        </w:rPr>
        <w:footnoteReference w:id="39"/>
      </w:r>
      <w:r w:rsidRPr="00B03B51">
        <w:rPr>
          <w:rFonts w:ascii="Times New Roman" w:hAnsi="Times New Roman" w:cs="Times New Roman"/>
          <w:sz w:val="24"/>
        </w:rPr>
        <w:t xml:space="preserve"> Vairumā gadījumu tas varētu notikt tiklīdz vienība uzsāk likvidāciju. Tādējādi tās ir pārklasificējamas valdības sektorā.</w:t>
      </w:r>
    </w:p>
    <w:p w14:paraId="6FBAD6CA"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6DCEFC3D" w14:textId="77777777" w:rsidR="00994F93" w:rsidRPr="00B03B51" w:rsidRDefault="00994F93" w:rsidP="00994F93">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t>Gadījumā, ja valdības kontrolēta vienība, kurai ir finanšu sanācijas struktūras pazīmes, uzsāk likvidāciju, ievēro 4.5. nodaļā “Finanšu sanācija” sniegtos noteikumus.</w:t>
      </w:r>
    </w:p>
    <w:p w14:paraId="38AFAFEA"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46FC724F"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68. Var gadīties, ka, uzsākot likvidācijas procesu, publiskās vienības parādu pilnībā vai daļēji tiešā veidā ir garantējusi valdība (beznosacījuma un pēc pirmā pieprasījuma). Turklāt ir ļoti liela varbūtība, ka bankrota procedūras rezultātā tiek ierosināta automātiska garantiju pieprasīšana, jo to kopumā uzskata par saistību nepildīšanu, kas ļauj parāda turētājiem īstenot savas tiesības.</w:t>
      </w:r>
      <w:r w:rsidRPr="00B03B51">
        <w:rPr>
          <w:rStyle w:val="FootnoteReference"/>
          <w:rFonts w:ascii="Times New Roman" w:hAnsi="Times New Roman" w:cs="Times New Roman"/>
          <w:noProof/>
          <w:sz w:val="24"/>
        </w:rPr>
        <w:footnoteReference w:id="40"/>
      </w:r>
      <w:r w:rsidRPr="00B03B51">
        <w:rPr>
          <w:rFonts w:ascii="Times New Roman" w:hAnsi="Times New Roman" w:cs="Times New Roman"/>
          <w:sz w:val="24"/>
        </w:rPr>
        <w:t xml:space="preserve"> Tāpat pastāv iespēja, ka vienībai, kura pirms likvidācijas uzsākšanas bija nonākusi pat ļoti smagās finanšu grūtībās, parāds vēl netika pieprasīts (un tādējādi to uzņēmās valdība), ja vienība saņem pārvedumus no valdības.</w:t>
      </w:r>
      <w:r w:rsidRPr="00B03B51">
        <w:rPr>
          <w:rStyle w:val="FootnoteReference"/>
          <w:rFonts w:ascii="Times New Roman" w:hAnsi="Times New Roman" w:cs="Times New Roman"/>
          <w:noProof/>
          <w:sz w:val="24"/>
        </w:rPr>
        <w:footnoteReference w:id="41"/>
      </w:r>
      <w:r w:rsidRPr="00B03B51">
        <w:rPr>
          <w:rFonts w:ascii="Times New Roman" w:hAnsi="Times New Roman" w:cs="Times New Roman"/>
          <w:sz w:val="24"/>
        </w:rPr>
        <w:t xml:space="preserve"> Šādos apstākļos uzskatāms, ka kontrolējošā valdības vienība ir uzņēmusies parādu, sākoties likvidācijas procesam, t. i., kapitāla pārveduma izdevumus (D.99) par labu attiecīgajiem kreditoriem ieraksta vienlaikus ar </w:t>
      </w:r>
      <w:r w:rsidRPr="00B03B51">
        <w:rPr>
          <w:rFonts w:ascii="Times New Roman" w:hAnsi="Times New Roman" w:cs="Times New Roman"/>
          <w:sz w:val="24"/>
        </w:rPr>
        <w:lastRenderedPageBreak/>
        <w:t>valdības parāda pieaugumu</w:t>
      </w:r>
      <w:r w:rsidRPr="00B03B51">
        <w:rPr>
          <w:rStyle w:val="FootnoteReference"/>
          <w:rFonts w:ascii="Times New Roman" w:hAnsi="Times New Roman" w:cs="Times New Roman"/>
          <w:noProof/>
          <w:sz w:val="24"/>
        </w:rPr>
        <w:footnoteReference w:id="42"/>
      </w:r>
      <w:r w:rsidRPr="00B03B51">
        <w:rPr>
          <w:rFonts w:ascii="Times New Roman" w:hAnsi="Times New Roman" w:cs="Times New Roman"/>
          <w:sz w:val="24"/>
        </w:rPr>
        <w:t>, ievērojot parastos noteikumus, kas attiecas uz garantijām.</w:t>
      </w:r>
      <w:r w:rsidRPr="00B03B51">
        <w:rPr>
          <w:rStyle w:val="FootnoteReference"/>
          <w:rFonts w:ascii="Times New Roman" w:hAnsi="Times New Roman" w:cs="Times New Roman"/>
          <w:noProof/>
          <w:sz w:val="24"/>
        </w:rPr>
        <w:footnoteReference w:id="43"/>
      </w:r>
    </w:p>
    <w:p w14:paraId="5DBA136B"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4687DE17"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69. Dažos gadījumos atsevišķiem finanšu instrumentiem, ko iepriekš izdevusi likvidējamā vienība, varētu nebūt skaidru garantiju, taču varētu būt kādi tieši noteikumi (jo īpaši tiesību aktos vai īpašos noteikumos), kas nosaka valdībai pienākumu neatsaucami pārņemt visas vienības parādu saistības. Arī šajā gadījumā piemēro iepriekšējā punktā minētos noteikumus.</w:t>
      </w:r>
    </w:p>
    <w:p w14:paraId="655FF99C"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2DF7CD09"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70. Pēc parādu saistību nodošanas likvidācijas procesa laikā finanšu kontos ievada finanšu aktīvu realizāciju/monetizāciju, neietekmējot valdības neto aizdevumu/aizņēmumu (B.9), ja vienība ir pārklasificēta valdības sektorā, vai arī to ieraksta kā kapitāla pārvedumu, ja vienība vēl nav pārklasificēta, norādot pozitīvu ietekmi uz valdības neto aizdevumu/aizņēmumu (B.9).</w:t>
      </w:r>
    </w:p>
    <w:p w14:paraId="1681934F" w14:textId="77777777" w:rsidR="00994F93" w:rsidRPr="00B03B51" w:rsidRDefault="00994F93" w:rsidP="00994F93">
      <w:pPr>
        <w:jc w:val="both"/>
        <w:rPr>
          <w:rFonts w:ascii="Times New Roman" w:eastAsia="Arial" w:hAnsi="Times New Roman" w:cs="Times New Roman"/>
          <w:noProof/>
          <w:sz w:val="24"/>
          <w:szCs w:val="16"/>
        </w:rPr>
      </w:pPr>
    </w:p>
    <w:p w14:paraId="03FD0AA8" w14:textId="77777777" w:rsidR="00994F93" w:rsidRPr="00B03B51" w:rsidRDefault="00994F93" w:rsidP="00994F93">
      <w:pPr>
        <w:pStyle w:val="Heading6"/>
        <w:tabs>
          <w:tab w:val="left" w:pos="1279"/>
        </w:tabs>
        <w:ind w:left="0" w:firstLine="0"/>
        <w:jc w:val="both"/>
        <w:rPr>
          <w:rFonts w:ascii="Times New Roman" w:hAnsi="Times New Roman" w:cs="Times New Roman"/>
          <w:noProof/>
          <w:sz w:val="24"/>
        </w:rPr>
      </w:pPr>
      <w:r w:rsidRPr="00B03B51">
        <w:rPr>
          <w:rFonts w:ascii="Times New Roman" w:hAnsi="Times New Roman" w:cs="Times New Roman"/>
          <w:sz w:val="24"/>
        </w:rPr>
        <w:t>1.2.4.5. PĀRKĀRTOTI DARĪJUMI</w:t>
      </w:r>
    </w:p>
    <w:p w14:paraId="1D8E710D" w14:textId="77777777" w:rsidR="00994F93" w:rsidRPr="00B03B51" w:rsidRDefault="00994F93" w:rsidP="00994F93">
      <w:pPr>
        <w:tabs>
          <w:tab w:val="left" w:pos="1692"/>
        </w:tabs>
        <w:jc w:val="both"/>
        <w:rPr>
          <w:rFonts w:ascii="Times New Roman" w:hAnsi="Times New Roman" w:cs="Times New Roman"/>
          <w:b/>
          <w:noProof/>
          <w:sz w:val="24"/>
        </w:rPr>
      </w:pPr>
    </w:p>
    <w:p w14:paraId="7C93C507" w14:textId="77777777" w:rsidR="00994F93" w:rsidRPr="008A2DC9" w:rsidRDefault="00994F93" w:rsidP="008A2DC9">
      <w:pPr>
        <w:pStyle w:val="Heading6"/>
        <w:tabs>
          <w:tab w:val="left" w:pos="1692"/>
        </w:tabs>
        <w:ind w:left="0" w:firstLine="0"/>
        <w:jc w:val="both"/>
        <w:rPr>
          <w:rFonts w:ascii="Times New Roman" w:hAnsi="Times New Roman" w:cs="Times New Roman"/>
          <w:sz w:val="24"/>
        </w:rPr>
      </w:pPr>
      <w:r w:rsidRPr="00B03B51">
        <w:rPr>
          <w:rFonts w:ascii="Times New Roman" w:hAnsi="Times New Roman" w:cs="Times New Roman"/>
          <w:sz w:val="24"/>
        </w:rPr>
        <w:t>1.2.4.5.1. Ievads</w:t>
      </w:r>
    </w:p>
    <w:p w14:paraId="4BFA9E6B" w14:textId="77777777" w:rsidR="00994F93" w:rsidRPr="00B03B51" w:rsidRDefault="00994F93" w:rsidP="00994F93">
      <w:pPr>
        <w:jc w:val="both"/>
        <w:rPr>
          <w:rFonts w:ascii="Times New Roman" w:eastAsia="Arial" w:hAnsi="Times New Roman" w:cs="Times New Roman"/>
          <w:b/>
          <w:bCs/>
          <w:noProof/>
          <w:sz w:val="24"/>
          <w:szCs w:val="20"/>
        </w:rPr>
      </w:pPr>
    </w:p>
    <w:p w14:paraId="689C58E4" w14:textId="77777777" w:rsidR="00994F93" w:rsidRPr="00B03B51" w:rsidRDefault="00994F93" w:rsidP="00994F93">
      <w:pPr>
        <w:jc w:val="both"/>
        <w:rPr>
          <w:rFonts w:ascii="Times New Roman" w:hAnsi="Times New Roman" w:cs="Times New Roman"/>
          <w:b/>
          <w:noProof/>
          <w:sz w:val="24"/>
        </w:rPr>
      </w:pPr>
      <w:r w:rsidRPr="00B03B51">
        <w:rPr>
          <w:rFonts w:ascii="Times New Roman" w:hAnsi="Times New Roman" w:cs="Times New Roman"/>
          <w:b/>
          <w:sz w:val="24"/>
        </w:rPr>
        <w:t>Trīs pārkārtošanas metodes</w:t>
      </w:r>
    </w:p>
    <w:p w14:paraId="510B23DB" w14:textId="77777777" w:rsidR="00994F93" w:rsidRPr="00B03B51" w:rsidRDefault="00994F93" w:rsidP="00994F93">
      <w:pPr>
        <w:jc w:val="both"/>
        <w:rPr>
          <w:rFonts w:ascii="Times New Roman" w:eastAsia="Arial" w:hAnsi="Times New Roman" w:cs="Times New Roman"/>
          <w:b/>
          <w:bCs/>
          <w:noProof/>
          <w:sz w:val="24"/>
          <w:szCs w:val="21"/>
        </w:rPr>
      </w:pPr>
    </w:p>
    <w:p w14:paraId="336B5A28" w14:textId="77777777" w:rsidR="00994F93" w:rsidRPr="00B03B51" w:rsidRDefault="00994F93" w:rsidP="00994F93">
      <w:pPr>
        <w:tabs>
          <w:tab w:val="left" w:pos="843"/>
        </w:tabs>
        <w:jc w:val="both"/>
        <w:rPr>
          <w:rFonts w:ascii="Times New Roman" w:eastAsia="Arial" w:hAnsi="Times New Roman" w:cs="Times New Roman"/>
          <w:noProof/>
          <w:sz w:val="24"/>
          <w:szCs w:val="19"/>
        </w:rPr>
      </w:pPr>
      <w:r w:rsidRPr="00B03B51">
        <w:rPr>
          <w:rFonts w:ascii="Times New Roman" w:hAnsi="Times New Roman" w:cs="Times New Roman"/>
          <w:sz w:val="24"/>
          <w:szCs w:val="19"/>
        </w:rPr>
        <w:t>71. EKS 2010 1. nodaļā, kas veltīta vispārējām iezīmēm un pamatprincipiem, ir noteikts, ka “</w:t>
      </w:r>
      <w:r w:rsidRPr="00B03B51">
        <w:rPr>
          <w:rFonts w:ascii="Times New Roman" w:hAnsi="Times New Roman" w:cs="Times New Roman"/>
          <w:b/>
          <w:bCs/>
          <w:sz w:val="24"/>
          <w:szCs w:val="19"/>
        </w:rPr>
        <w:t>pārkārtotus darījumus</w:t>
      </w:r>
      <w:r w:rsidRPr="00B03B51">
        <w:rPr>
          <w:rFonts w:ascii="Times New Roman" w:hAnsi="Times New Roman" w:cs="Times New Roman"/>
          <w:sz w:val="24"/>
          <w:szCs w:val="19"/>
        </w:rPr>
        <w:t xml:space="preserve">” reģistrē, </w:t>
      </w:r>
      <w:r w:rsidRPr="00B03B51">
        <w:rPr>
          <w:rFonts w:ascii="Times New Roman" w:hAnsi="Times New Roman" w:cs="Times New Roman"/>
          <w:i/>
          <w:iCs/>
          <w:sz w:val="24"/>
          <w:szCs w:val="19"/>
        </w:rPr>
        <w:t>(..) lai skaidrāk izceltu noteicošās ekonomiskās attiecības</w:t>
      </w:r>
      <w:r w:rsidRPr="00B03B51">
        <w:rPr>
          <w:rFonts w:ascii="Times New Roman" w:hAnsi="Times New Roman" w:cs="Times New Roman"/>
          <w:sz w:val="24"/>
          <w:szCs w:val="19"/>
        </w:rPr>
        <w:t>. Pārkārtoti darījumi ir “pārvirzīšana”, “sadalīšana” un “galvenā darītāja atpazīšana”.</w:t>
      </w:r>
    </w:p>
    <w:p w14:paraId="386E82F4" w14:textId="77777777" w:rsidR="00994F93" w:rsidRPr="00B03B51" w:rsidRDefault="00994F93" w:rsidP="00994F93">
      <w:pPr>
        <w:tabs>
          <w:tab w:val="left" w:pos="843"/>
        </w:tabs>
        <w:jc w:val="both"/>
        <w:rPr>
          <w:rFonts w:ascii="Times New Roman" w:eastAsia="Arial" w:hAnsi="Times New Roman" w:cs="Times New Roman"/>
          <w:noProof/>
          <w:sz w:val="24"/>
          <w:szCs w:val="19"/>
        </w:rPr>
      </w:pPr>
    </w:p>
    <w:p w14:paraId="02A29CFE" w14:textId="77777777" w:rsidR="00994F93" w:rsidRPr="00B03B51" w:rsidRDefault="00994F93" w:rsidP="00994F93">
      <w:pPr>
        <w:tabs>
          <w:tab w:val="left" w:pos="843"/>
        </w:tabs>
        <w:jc w:val="both"/>
        <w:rPr>
          <w:rFonts w:ascii="Times New Roman" w:eastAsia="Arial" w:hAnsi="Times New Roman" w:cs="Times New Roman"/>
          <w:noProof/>
          <w:sz w:val="24"/>
          <w:szCs w:val="19"/>
        </w:rPr>
      </w:pPr>
      <w:r w:rsidRPr="00B03B51">
        <w:rPr>
          <w:rFonts w:ascii="Times New Roman" w:hAnsi="Times New Roman" w:cs="Times New Roman"/>
          <w:sz w:val="24"/>
          <w:szCs w:val="19"/>
        </w:rPr>
        <w:t>72. Saistībā ar terminu “</w:t>
      </w:r>
      <w:r w:rsidRPr="00B03B51">
        <w:rPr>
          <w:rFonts w:ascii="Times New Roman" w:hAnsi="Times New Roman" w:cs="Times New Roman"/>
          <w:b/>
          <w:bCs/>
          <w:sz w:val="24"/>
          <w:szCs w:val="19"/>
        </w:rPr>
        <w:t>pārvirzīšana</w:t>
      </w:r>
      <w:r w:rsidRPr="00B03B51">
        <w:rPr>
          <w:rFonts w:ascii="Times New Roman" w:hAnsi="Times New Roman" w:cs="Times New Roman"/>
          <w:sz w:val="24"/>
          <w:szCs w:val="19"/>
        </w:rPr>
        <w:t xml:space="preserve">” EKS 2010 izšķir divus gadījumus. Pirmais pārvirzīšanas veids EKS 2010 1.73. punktā ir definēts šādi: </w:t>
      </w:r>
      <w:r w:rsidRPr="00B03B51">
        <w:rPr>
          <w:rFonts w:ascii="Times New Roman" w:hAnsi="Times New Roman" w:cs="Times New Roman"/>
          <w:i/>
          <w:iCs/>
          <w:sz w:val="24"/>
          <w:szCs w:val="19"/>
        </w:rPr>
        <w:t>Darījumu, ko iesaistītās vienības uztver kā tādu, kas notiek tieši starp vienībām A un C, var ierakstīt kontos kā tādu, kas netieši notiek caur trešo vienību B. Tādējādi vienu darījumu starp A un C ieraksta kā divus darījumus: vienu starp A un B un otru starp B un C. Tādā gadījumā darījumu pārvirza</w:t>
      </w:r>
      <w:r w:rsidRPr="00B03B51">
        <w:rPr>
          <w:rFonts w:ascii="Times New Roman" w:hAnsi="Times New Roman" w:cs="Times New Roman"/>
          <w:sz w:val="24"/>
          <w:szCs w:val="19"/>
        </w:rPr>
        <w:t>.</w:t>
      </w:r>
    </w:p>
    <w:p w14:paraId="336D614A" w14:textId="77777777" w:rsidR="00994F93" w:rsidRPr="00B03B51" w:rsidRDefault="00994F93" w:rsidP="00994F93">
      <w:pPr>
        <w:jc w:val="both"/>
        <w:rPr>
          <w:rFonts w:ascii="Times New Roman" w:eastAsia="Arial" w:hAnsi="Times New Roman" w:cs="Times New Roman"/>
          <w:noProof/>
          <w:sz w:val="24"/>
          <w:szCs w:val="25"/>
        </w:rPr>
      </w:pPr>
    </w:p>
    <w:p w14:paraId="063A2363" w14:textId="7E2A406B"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73. Šajā saistībā EKS 2010 1.74. punktā ir sniegts piemērs par sociālajām iemaksām, ko darba devēji iemaksā savu darbinieku vārdā. Darījuma reģistrēšana atbilst faktiskajai naudas plūsmai, t. i., parādot darba devēja un sociālā nodrošinā</w:t>
      </w:r>
      <w:r w:rsidR="0039426C" w:rsidRPr="00B03B51">
        <w:rPr>
          <w:rFonts w:ascii="Times New Roman" w:hAnsi="Times New Roman" w:cs="Times New Roman"/>
          <w:sz w:val="24"/>
        </w:rPr>
        <w:t>juma</w:t>
      </w:r>
      <w:r w:rsidRPr="00B03B51">
        <w:rPr>
          <w:rFonts w:ascii="Times New Roman" w:hAnsi="Times New Roman" w:cs="Times New Roman"/>
          <w:sz w:val="24"/>
        </w:rPr>
        <w:t xml:space="preserve"> fondu (vai citas sociālās aizsardzības vienības) darījumu, tiek parādīta tikai noteikta ekonomiskās realitātes daļa – naudas plūsma. Pārkārtojot darījums tiek pielāgots EKS 2010 jēdzieniem un definīcijām, t. i., lai parādītu, ka sociālās iemaksas ir darbinieku atalgojuma sastāvdaļa. Šajā gadījumā pārvirzīšana nozīmē, ka tiek ierakstīti divi nosacīti darījumi, t. i., tiek uzskatīts, ka darba devēji samaksā summu saviem darbiniekiem (kā atlīdzību darbiniekiem), kuri tad to pašu summu samaksā attiecīgajai sociālās aizsardzības vienībai (kā sociālās iemaksas).</w:t>
      </w:r>
    </w:p>
    <w:p w14:paraId="7F6C4CBA" w14:textId="77777777" w:rsidR="00994F93" w:rsidRPr="00B03B51" w:rsidRDefault="00994F93" w:rsidP="00994F93">
      <w:pPr>
        <w:tabs>
          <w:tab w:val="left" w:pos="843"/>
        </w:tabs>
        <w:jc w:val="both"/>
        <w:rPr>
          <w:rFonts w:ascii="Times New Roman" w:eastAsia="Arial" w:hAnsi="Times New Roman" w:cs="Times New Roman"/>
          <w:noProof/>
          <w:sz w:val="24"/>
          <w:szCs w:val="19"/>
        </w:rPr>
      </w:pPr>
    </w:p>
    <w:p w14:paraId="78C86B83" w14:textId="77777777" w:rsidR="00994F93" w:rsidRPr="00B03B51" w:rsidRDefault="00994F93" w:rsidP="00994F93">
      <w:pPr>
        <w:tabs>
          <w:tab w:val="left" w:pos="843"/>
        </w:tabs>
        <w:jc w:val="both"/>
        <w:rPr>
          <w:rFonts w:ascii="Times New Roman" w:eastAsia="Arial" w:hAnsi="Times New Roman" w:cs="Times New Roman"/>
          <w:noProof/>
          <w:sz w:val="24"/>
          <w:szCs w:val="19"/>
        </w:rPr>
      </w:pPr>
      <w:r w:rsidRPr="00B03B51">
        <w:rPr>
          <w:rFonts w:ascii="Times New Roman" w:hAnsi="Times New Roman" w:cs="Times New Roman"/>
          <w:sz w:val="24"/>
          <w:szCs w:val="19"/>
        </w:rPr>
        <w:t xml:space="preserve">74. Otrs pārvirzīšanas veids EKS 2010 1.75. punktā ir definēts šādi: </w:t>
      </w:r>
      <w:r w:rsidRPr="00B03B51">
        <w:rPr>
          <w:rFonts w:ascii="Times New Roman" w:hAnsi="Times New Roman" w:cs="Times New Roman"/>
          <w:i/>
          <w:sz w:val="24"/>
          <w:szCs w:val="19"/>
        </w:rPr>
        <w:t xml:space="preserve">Cits pārvirzīšanas veids attiecas uz darījumiem, ko ieraksta kā darījumus starp divām vai vairākām institucionālām vienībām, kaut gan saskaņā ar iesaistīto personu viedokli nekāds darījums vispār nenotiek. Piemērs ir no atsevišķiem apdrošināšanas fondiem nopelnītais īpašuma ienākums, kuru patur apdrošināšanas uzņēmumi. </w:t>
      </w:r>
      <w:r w:rsidRPr="00B03B51">
        <w:rPr>
          <w:rFonts w:ascii="Times New Roman" w:hAnsi="Times New Roman" w:cs="Times New Roman"/>
          <w:i/>
          <w:iCs/>
          <w:sz w:val="24"/>
          <w:szCs w:val="19"/>
        </w:rPr>
        <w:t xml:space="preserve">Sistēmā šo īpašuma ienākumu ieraksta kā tādu, ko apdrošināšanas uzņēmumi maksā polišu turētājiem, kuri tad atmaksā šo pašu summu atpakaļ apdrošināšanas </w:t>
      </w:r>
      <w:r w:rsidRPr="00B03B51">
        <w:rPr>
          <w:rFonts w:ascii="Times New Roman" w:hAnsi="Times New Roman" w:cs="Times New Roman"/>
          <w:i/>
          <w:iCs/>
          <w:sz w:val="24"/>
          <w:szCs w:val="19"/>
        </w:rPr>
        <w:lastRenderedPageBreak/>
        <w:t>uzņēmumiem kā prēmiju papildinājumus.</w:t>
      </w:r>
      <w:r w:rsidRPr="00B03B51">
        <w:rPr>
          <w:rFonts w:ascii="Times New Roman" w:hAnsi="Times New Roman" w:cs="Times New Roman"/>
          <w:sz w:val="24"/>
          <w:szCs w:val="19"/>
        </w:rPr>
        <w:t xml:space="preserve"> Arī tas ir izstrādāts, lai parādītu ekonomisko realitāti un pielāgotu faktisko situāciju EKS 2010 jēdzieniem un definīcijām. Vēl viens šāda veida pārvirzīšanas piemērs ir ārvalstu meitasuzņēmumu vai filiāļu nesadalītās peļņas uzskaite. To uzskata par mātesuzņēmuma īpašuma ienākumu, kuru savukārt uzskata par atkārtoti ieguldītu pašu kapitāla veidā. Šāda veida pārvirzīšanu bieži vien sauc par “trūkstošās vērtības aprēķināšanu”.</w:t>
      </w:r>
    </w:p>
    <w:p w14:paraId="3BD168D1"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6BAEE6E0"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75. Šajā saistībā “pārvirzīšana” ir darījuma ierakstīšana tādā veidā, it kā tas būtu noticis ar citu vienību starpniecību salīdzinājumā ar naudas kustību, vai arī, it kā tas no ekonomiskā viedokļa būtu noticis, kaut gan faktiski darījums avota datos nav redzams. Pārvirzīšana ir jāveic, kad vienība, kas faktiski ir darījuma izcelsmes objekts, neparādās faktiskajos uzskaites ierakstos administratīvās kārtības dēļ vai tāpēc, ka šie ieraksti parāda faktiskās maksājumu plūsmas. Vajadzības gadījumā faktiskais naudas darījums, kas parādīts pamatdatu avotos, apkopošanas procesā ir jāignorē un jāpārvirza uz attiecīgajām vienībām.</w:t>
      </w:r>
    </w:p>
    <w:p w14:paraId="2FDC0E1F" w14:textId="77777777" w:rsidR="00994F93" w:rsidRPr="00B03B51" w:rsidRDefault="00994F93" w:rsidP="00994F93">
      <w:pPr>
        <w:jc w:val="both"/>
        <w:rPr>
          <w:rFonts w:ascii="Times New Roman" w:eastAsia="Arial" w:hAnsi="Times New Roman" w:cs="Times New Roman"/>
          <w:noProof/>
          <w:sz w:val="24"/>
          <w:szCs w:val="19"/>
        </w:rPr>
      </w:pPr>
    </w:p>
    <w:p w14:paraId="281680B9" w14:textId="77777777" w:rsidR="00994F93" w:rsidRPr="00B03B51" w:rsidRDefault="00994F93" w:rsidP="00994F93">
      <w:pPr>
        <w:jc w:val="both"/>
        <w:rPr>
          <w:rFonts w:ascii="Times New Roman" w:eastAsia="Arial" w:hAnsi="Times New Roman" w:cs="Times New Roman"/>
          <w:noProof/>
          <w:sz w:val="24"/>
          <w:szCs w:val="19"/>
        </w:rPr>
      </w:pPr>
      <w:r w:rsidRPr="00B03B51">
        <w:rPr>
          <w:rFonts w:ascii="Times New Roman" w:hAnsi="Times New Roman" w:cs="Times New Roman"/>
          <w:sz w:val="24"/>
          <w:szCs w:val="19"/>
        </w:rPr>
        <w:t>76. “</w:t>
      </w:r>
      <w:r w:rsidRPr="00B03B51">
        <w:rPr>
          <w:rFonts w:ascii="Times New Roman" w:hAnsi="Times New Roman" w:cs="Times New Roman"/>
          <w:b/>
          <w:bCs/>
          <w:sz w:val="24"/>
          <w:szCs w:val="19"/>
        </w:rPr>
        <w:t>Galvenā darītāja atpazīšana</w:t>
      </w:r>
      <w:r w:rsidRPr="00B03B51">
        <w:rPr>
          <w:rFonts w:ascii="Times New Roman" w:hAnsi="Times New Roman" w:cs="Times New Roman"/>
          <w:sz w:val="24"/>
          <w:szCs w:val="19"/>
        </w:rPr>
        <w:t xml:space="preserve">” EKS 2010 1.78. punktā ir raksturota šādi: </w:t>
      </w:r>
      <w:r w:rsidRPr="00B03B51">
        <w:rPr>
          <w:rFonts w:ascii="Times New Roman" w:hAnsi="Times New Roman" w:cs="Times New Roman"/>
          <w:i/>
          <w:iCs/>
          <w:sz w:val="24"/>
          <w:szCs w:val="19"/>
        </w:rPr>
        <w:t>Ja vienība veic darījumu citas vienības vārdā (galvenais darītājs) un saņem finansējumu no šīs vienības, darījumu ieraksta tikai galvenā darītāja kontos.</w:t>
      </w:r>
      <w:r w:rsidRPr="00B03B51">
        <w:rPr>
          <w:rStyle w:val="FootnoteReference"/>
          <w:rFonts w:ascii="Times New Roman" w:eastAsia="Arial" w:hAnsi="Times New Roman" w:cs="Times New Roman"/>
          <w:noProof/>
          <w:sz w:val="24"/>
          <w:szCs w:val="19"/>
        </w:rPr>
        <w:footnoteReference w:id="44"/>
      </w:r>
      <w:r w:rsidRPr="00B03B51">
        <w:rPr>
          <w:rFonts w:ascii="Times New Roman" w:hAnsi="Times New Roman" w:cs="Times New Roman"/>
          <w:sz w:val="24"/>
          <w:szCs w:val="12"/>
        </w:rPr>
        <w:t xml:space="preserve"> </w:t>
      </w:r>
      <w:r w:rsidRPr="00B03B51">
        <w:rPr>
          <w:rFonts w:ascii="Times New Roman" w:hAnsi="Times New Roman" w:cs="Times New Roman"/>
          <w:sz w:val="24"/>
          <w:szCs w:val="19"/>
        </w:rPr>
        <w:t>Šajā gadījumā B vienība, kas veic darījumu ar C vienību A vienības vārdā, darbojas tikai kā starpnieks, kā aģents. Tādējādi darījums nav jāreģistrē B vienības kontos, bet tieši kā A un C vienības darījums. Attiecībā uz publiskām sabiedrībām nav nepieciešams, lai būtu skaidri izteikta pārfinansēšanas kārtība, jo aģents pieder galvenajam darītājam.</w:t>
      </w:r>
    </w:p>
    <w:p w14:paraId="0254FB4C"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11394E08"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 xml:space="preserve">77. Termins “sadalīšana” attiecas uz dažādām situācijām, kad </w:t>
      </w:r>
      <w:r w:rsidRPr="00B03B51">
        <w:rPr>
          <w:rFonts w:ascii="Times New Roman" w:hAnsi="Times New Roman" w:cs="Times New Roman"/>
          <w:i/>
          <w:iCs/>
          <w:sz w:val="24"/>
        </w:rPr>
        <w:t>darījums, kuru puses redz kā vienu darījumu, tiek reģistrēts kā divi vai vairāki atšķirīgi klasificēti darījumi</w:t>
      </w:r>
      <w:r w:rsidRPr="00B03B51">
        <w:rPr>
          <w:rFonts w:ascii="Times New Roman" w:hAnsi="Times New Roman" w:cs="Times New Roman"/>
          <w:sz w:val="24"/>
        </w:rPr>
        <w:t xml:space="preserve"> (EKS 2010 1.77. punkts). Novērotās vērtības sadalīšana ir, piemēram, nepieciešama, ja PPP nacionālajos kontos ir reģistrēta valdības bilancē. Tad šie vienotie maksājumi, kas reģistrēti valsts budžetā, ir jāsadala vismaz trīs daļās un tiem jāpiešķir dažādi EKS darījumi (aizdevuma atmaksa, procenti un starppatēriņš). Cits labi zināms piemērs ir </w:t>
      </w:r>
      <w:r w:rsidRPr="00B03B51">
        <w:rPr>
          <w:rFonts w:ascii="Times New Roman" w:hAnsi="Times New Roman" w:cs="Times New Roman"/>
          <w:i/>
          <w:iCs/>
          <w:sz w:val="24"/>
        </w:rPr>
        <w:t>FISIM</w:t>
      </w:r>
      <w:r w:rsidRPr="00B03B51">
        <w:rPr>
          <w:rFonts w:ascii="Times New Roman" w:hAnsi="Times New Roman" w:cs="Times New Roman"/>
          <w:sz w:val="24"/>
        </w:rPr>
        <w:t xml:space="preserve"> aprēķināšana, kas paredz, ka faktiskās “procentu” plūsmas tiek sadalītas īpašuma ienākumā un starppatēriņā. Vēl viens piemērs ir kapitāla pārveduma nodalīšana no finanšu darījuma finanšu aktīva iegādes gadījumā, ko veic, pamatojoties uz nosacījumiem, kuru pamatā nav komerciāli apsvērumi. Šie ar sadalīšanu saistītie gadījumi šajā iedaļā nav aplūkoti, jo atbilstīgi norādījumi ir sniegti šīs rokasgrāmatas citās iedaļās (t. i., 3.5.2.5. iedaļā par nomas līgumiem, 3.2.3.2.2. iedaļā par aizdevumiem, 3.5.2.4. iedaļā par dividendēm un 6.1.2.5. iedaļā par pakalpojumu pārdošanu).</w:t>
      </w:r>
    </w:p>
    <w:p w14:paraId="5E733DF5" w14:textId="77777777" w:rsidR="00994F93" w:rsidRPr="00B03B51" w:rsidRDefault="00994F93" w:rsidP="00994F93">
      <w:pPr>
        <w:jc w:val="both"/>
        <w:rPr>
          <w:rFonts w:ascii="Times New Roman" w:hAnsi="Times New Roman" w:cs="Times New Roman"/>
          <w:noProof/>
          <w:sz w:val="24"/>
        </w:rPr>
      </w:pPr>
    </w:p>
    <w:p w14:paraId="061CC190" w14:textId="77777777" w:rsidR="00994F93" w:rsidRPr="00B03B51" w:rsidRDefault="00994F93" w:rsidP="00994F93">
      <w:pPr>
        <w:jc w:val="both"/>
        <w:rPr>
          <w:rFonts w:ascii="Times New Roman" w:hAnsi="Times New Roman" w:cs="Times New Roman"/>
          <w:b/>
          <w:noProof/>
          <w:sz w:val="24"/>
        </w:rPr>
      </w:pPr>
      <w:r w:rsidRPr="00B03B51">
        <w:rPr>
          <w:rFonts w:ascii="Times New Roman" w:hAnsi="Times New Roman" w:cs="Times New Roman"/>
          <w:b/>
          <w:sz w:val="24"/>
        </w:rPr>
        <w:t>Terminoloģija</w:t>
      </w:r>
    </w:p>
    <w:p w14:paraId="183A77D3" w14:textId="77777777" w:rsidR="00994F93" w:rsidRPr="00B03B51" w:rsidRDefault="00994F93" w:rsidP="00994F93">
      <w:pPr>
        <w:jc w:val="both"/>
        <w:rPr>
          <w:rFonts w:ascii="Times New Roman" w:eastAsia="Arial" w:hAnsi="Times New Roman" w:cs="Times New Roman"/>
          <w:b/>
          <w:bCs/>
          <w:noProof/>
          <w:sz w:val="24"/>
          <w:szCs w:val="21"/>
        </w:rPr>
      </w:pPr>
    </w:p>
    <w:p w14:paraId="16138A35"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78. Minētā terminoloģija, kas raksturo dažādu veidu pārkārtotus darījumus, bieži vien tiek pārprasta, un jo īpaši bieži tiek (nepareizi) lietots termins “pārvirzīšana” attiecībā uz darbībām, kas ietilpst kategorijā “galvenā darītāja atpazīšana”. Nacionālajos kontos “pārvirzīšana” atšķiras no “galvenā darītāja atpazīšanas” tādā ziņā, ka galvenā darītāja atpazīšanas gadījumā iesaistītie darījumi (kas nav neto prasījumi, kuri pastāv starp B vienību un A vienību, atainojot A vienības apņemšanos veikt atmaksu attiecīgā gadījumā) principā vispār nav jāieraksta B vienības kontos, pat ja tie parādās tās finanšu pārskatos, savukārt pārvirzīšanas gadījumā, tieši pretēji, papildu darījumi ir jāieraksta.</w:t>
      </w:r>
    </w:p>
    <w:p w14:paraId="06A9E1B5"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3E44970C"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lastRenderedPageBreak/>
        <w:t>79. Šeit sniegtajos norādījumos tiek izmantots vispārējs termins “</w:t>
      </w:r>
      <w:r w:rsidRPr="00B03B51">
        <w:rPr>
          <w:rFonts w:ascii="Times New Roman" w:hAnsi="Times New Roman" w:cs="Times New Roman"/>
          <w:b/>
          <w:bCs/>
          <w:sz w:val="24"/>
        </w:rPr>
        <w:t>pārkārtošana</w:t>
      </w:r>
      <w:r w:rsidRPr="00B03B51">
        <w:rPr>
          <w:rFonts w:ascii="Times New Roman" w:hAnsi="Times New Roman" w:cs="Times New Roman"/>
          <w:sz w:val="24"/>
        </w:rPr>
        <w:t>”. Lai izlemtu, vai pārkārtots darījums ir “pārvirzīšana” vai “galvenā darītāja atpazīšana”, ir jāveic sīkāka analīze tehniskā līmenī.</w:t>
      </w:r>
    </w:p>
    <w:p w14:paraId="68638D56" w14:textId="77777777" w:rsidR="00994F93" w:rsidRPr="00B03B51" w:rsidRDefault="00994F93" w:rsidP="00994F93">
      <w:pPr>
        <w:jc w:val="both"/>
        <w:rPr>
          <w:rFonts w:ascii="Times New Roman" w:eastAsia="Arial" w:hAnsi="Times New Roman" w:cs="Times New Roman"/>
          <w:noProof/>
          <w:sz w:val="24"/>
          <w:szCs w:val="25"/>
        </w:rPr>
      </w:pPr>
    </w:p>
    <w:p w14:paraId="4E31FE3F" w14:textId="77777777" w:rsidR="00994F93" w:rsidRPr="00B03B51" w:rsidRDefault="00994F93" w:rsidP="00AF506D">
      <w:pPr>
        <w:keepNext/>
        <w:jc w:val="both"/>
        <w:rPr>
          <w:rFonts w:ascii="Times New Roman" w:hAnsi="Times New Roman" w:cs="Times New Roman"/>
          <w:b/>
          <w:noProof/>
          <w:sz w:val="24"/>
        </w:rPr>
      </w:pPr>
      <w:r w:rsidRPr="00B03B51">
        <w:rPr>
          <w:rFonts w:ascii="Times New Roman" w:hAnsi="Times New Roman" w:cs="Times New Roman"/>
          <w:b/>
          <w:sz w:val="24"/>
        </w:rPr>
        <w:t>Svarīgi punkti, kas jāizvērtē</w:t>
      </w:r>
    </w:p>
    <w:p w14:paraId="6EF3A734" w14:textId="77777777" w:rsidR="00994F93" w:rsidRPr="00B03B51" w:rsidRDefault="00994F93" w:rsidP="00AF506D">
      <w:pPr>
        <w:keepNext/>
        <w:jc w:val="both"/>
        <w:rPr>
          <w:rFonts w:ascii="Times New Roman" w:eastAsia="Arial" w:hAnsi="Times New Roman" w:cs="Times New Roman"/>
          <w:b/>
          <w:bCs/>
          <w:noProof/>
          <w:sz w:val="24"/>
          <w:szCs w:val="21"/>
        </w:rPr>
      </w:pPr>
    </w:p>
    <w:p w14:paraId="14625A73" w14:textId="77777777" w:rsidR="00994F93" w:rsidRPr="00B03B51" w:rsidRDefault="00994F93" w:rsidP="00AF506D">
      <w:pPr>
        <w:pStyle w:val="BodyText"/>
        <w:keepN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 xml:space="preserve">80. Pirmkārt, apzīmējumu “pārkārtoti darījumi” nevar nošķirt no aplūkojamajiem/izmantotajiem avota datiem. Patiešām, apzīmējums “pārkārtošana” nepastāv pats par sevi, bet ir atkarīgs no ierakstīšanas avota datos salīdzinājumā ar EKS darījumiem. Izmantotie avota dati var būt ļoti dažādi (budžets, naudas plūsmas pārskats, peļņas un zaudējumu pārskats, bilance u. c.), to ziņošanas princips var atšķirties un dažkārt tas var būt katrai vienībai specifisks (piemēram, ne vienmēr saskaņā ar </w:t>
      </w:r>
      <w:r w:rsidRPr="00B03B51">
        <w:rPr>
          <w:rFonts w:ascii="Times New Roman" w:hAnsi="Times New Roman" w:cs="Times New Roman"/>
          <w:i/>
          <w:iCs/>
          <w:sz w:val="24"/>
        </w:rPr>
        <w:t>IFRS</w:t>
      </w:r>
      <w:r w:rsidRPr="00B03B51">
        <w:rPr>
          <w:rFonts w:ascii="Times New Roman" w:hAnsi="Times New Roman" w:cs="Times New Roman"/>
          <w:sz w:val="24"/>
        </w:rPr>
        <w:t xml:space="preserve">). Turklāt parasti iesaistītajām trim pusēm novērotie avota dati var atšķirties vai būt uzskaitīti saskaņā ar atšķirīgiem grāmatvedības standartiem. Apzīmējums “pārkārtošana” </w:t>
      </w:r>
      <w:r w:rsidRPr="00B03B51">
        <w:rPr>
          <w:rFonts w:ascii="Times New Roman" w:hAnsi="Times New Roman" w:cs="Times New Roman"/>
          <w:i/>
          <w:iCs/>
          <w:sz w:val="24"/>
        </w:rPr>
        <w:t>EDP</w:t>
      </w:r>
      <w:r w:rsidRPr="00B03B51">
        <w:rPr>
          <w:rFonts w:ascii="Times New Roman" w:hAnsi="Times New Roman" w:cs="Times New Roman"/>
          <w:sz w:val="24"/>
        </w:rPr>
        <w:t>/VFS jomā parasti attiecas uz gadījumiem, kad ierakstāmais saimnieciskais darījums atšķiras no ierakstīšanas aplūkojamās vispārējās valdības vienības avota datos (piemēram, publiska sabiedrība, kas iesaistīta kā valdības aģents, pati var pareizi atainot darījumu).</w:t>
      </w:r>
    </w:p>
    <w:p w14:paraId="1C349844"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28C21BCE"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81. Otrkārt, veicot darījumu pārkārtošanu, ir acīmredzami jāievēro sistēmas (EKS 2010) grāmatvedības pamatnoteikumi, proti: 1) jālīdzsvaro pārkārtotie darījumi (piemēram, līdzsvarotā veidā jāieraksta pārkārtotie finanšu darījumi, kas saistīti ar pārkārtotiem nefinanšu darījumiem) un 2) jāieraksta saistītie pārkārtotie krājumi un citas ekonomiskās plūsmas saskanīgi ar pārkārtotiem darījumiem. Tādējādi pārkārtotu darījumu rezultātā bieži vien tiek pārkārtota bilance, savukārt vienlaikus ar aktīva atzīšanu bilancē/atzīšanas pārtraukšanu bilancē tiek ievēroti īpaši noteikumi (piemēram, risku un priekšrocību analīze).</w:t>
      </w:r>
    </w:p>
    <w:p w14:paraId="39B18308"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69FC9189"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82. Treškārt, un kā sekas, ja iesaistītajiem subjektiem ir dotas pilnvaras pilnīgi brīvi lemt par darbības/pasākuma veikšanu, pārkārtošana ir saskaņota ar risku un priekšrocību pieeju, kad tiek lemts, vai aktīvs ir jāatzīst subjekta kontā vai jāpārtrauc tā atzīšana. Tomēr šāda pilnīga brīvība dažkārt netiek nodrošināta subjektam, kas pieder grupai. Tas jo īpaši attiecas uz publisko sektoru, proti, valdības un 100 % publisko sabiedrību attiecībās. Īpašumtiesības ir saistītas ar tiesībām ietekmēt sabiedrību, piemēram, ar uzraudzības padomes starpniecību tiek saskaņota akcionāru sapulce vai galvenā personāla iecelšana/atcelšana. Īpašumtiesību īstenošana parasti ir saistīta ar kontroles jēdzienu nacionālajos kontos. Ja valdība tieši iejaucas publiskas sabiedrības ikdienas darbības lēmumos un darbība/rīcība tiek veikta vienīgi pēc valdības pieprasījuma, papildus risku un priekšrocību analīzei ir jāizvērtē arī citi faktori, lai secinātu par pamatā esošās ekonomiskās būtības pienācīgu atspoguļošanu nacionālajos kontos (t. i., vai tas patiesi ir sabiedrības darījums vai arī tā darbojas valdības aģenta statusā).</w:t>
      </w:r>
    </w:p>
    <w:p w14:paraId="1968277D"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4BBF9D68"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83. Ceturtkārt, ne visas vienības darbības tiks pārkārtotas, jo pretējā gadījumā vienībai nebūs lēmumu autonomijas attiecībā uz tās pamatdarbību.</w:t>
      </w:r>
    </w:p>
    <w:p w14:paraId="11068510" w14:textId="77777777" w:rsidR="00994F93" w:rsidRPr="00B03B51" w:rsidRDefault="00994F93" w:rsidP="00994F93">
      <w:pPr>
        <w:jc w:val="both"/>
        <w:rPr>
          <w:rFonts w:ascii="Times New Roman" w:eastAsia="Arial" w:hAnsi="Times New Roman" w:cs="Times New Roman"/>
          <w:noProof/>
          <w:sz w:val="24"/>
          <w:szCs w:val="20"/>
        </w:rPr>
      </w:pPr>
    </w:p>
    <w:p w14:paraId="422B67F7" w14:textId="77777777" w:rsidR="00994F93" w:rsidRPr="00B03B51" w:rsidRDefault="00994F93" w:rsidP="00994F93">
      <w:pPr>
        <w:jc w:val="both"/>
        <w:rPr>
          <w:rFonts w:ascii="Times New Roman" w:hAnsi="Times New Roman" w:cs="Times New Roman"/>
          <w:b/>
          <w:noProof/>
          <w:sz w:val="24"/>
        </w:rPr>
      </w:pPr>
      <w:r w:rsidRPr="00B03B51">
        <w:rPr>
          <w:rFonts w:ascii="Times New Roman" w:hAnsi="Times New Roman" w:cs="Times New Roman"/>
          <w:b/>
          <w:sz w:val="24"/>
        </w:rPr>
        <w:t>Darījumu pārkārtošanas iemesli un apstākļi</w:t>
      </w:r>
    </w:p>
    <w:p w14:paraId="16404E91" w14:textId="77777777" w:rsidR="00994F93" w:rsidRPr="00B03B51" w:rsidRDefault="00994F93" w:rsidP="00994F93">
      <w:pPr>
        <w:jc w:val="both"/>
        <w:rPr>
          <w:rFonts w:ascii="Times New Roman" w:eastAsia="Arial" w:hAnsi="Times New Roman" w:cs="Times New Roman"/>
          <w:b/>
          <w:bCs/>
          <w:noProof/>
          <w:sz w:val="24"/>
          <w:szCs w:val="21"/>
        </w:rPr>
      </w:pPr>
    </w:p>
    <w:p w14:paraId="3C12D05E"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 xml:space="preserve">84. Valdības darījumu pārkārtošana var būt nepieciešama dažādos apstākļos attiecībā uz dažādām darbībām, ko veikušas valdības sektoram nepiederošas vienības (galvenokārt publiskas sabiedrības). Valdība var būt saistīta ar darījumiem, kas tiek pārkārtoti divu īpaši svarīgu iemeslu dēļ. Pirmkārt, tāpēc, ka tā ir darījumu ierosinātāja saistībā ar politiku, kuras mērķis ir ietekmēt ekonomikas dalībnieku rīcību. Otrkārt, tāpēc, ka valdības kontrolē ir publiskas vienības, kurām ir uzticēts veikt kādus uzdevumus. Bieži vien tas attiecas uz attīstības bankām, kā arī uz citām publiskām vienībām un dažkārt pat uz privātiem subjektiem, kuri var </w:t>
      </w:r>
      <w:r w:rsidRPr="00B03B51">
        <w:rPr>
          <w:rFonts w:ascii="Times New Roman" w:hAnsi="Times New Roman" w:cs="Times New Roman"/>
          <w:sz w:val="24"/>
        </w:rPr>
        <w:lastRenderedPageBreak/>
        <w:t>nodarboties ar noteiktu valdības intervences pasākumu īstenošanu.</w:t>
      </w:r>
    </w:p>
    <w:p w14:paraId="38D068C3"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2E4FC6AD"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szCs w:val="12"/>
        </w:rPr>
      </w:pPr>
      <w:r w:rsidRPr="00B03B51">
        <w:rPr>
          <w:rFonts w:ascii="Times New Roman" w:hAnsi="Times New Roman" w:cs="Times New Roman"/>
          <w:sz w:val="24"/>
        </w:rPr>
        <w:t>85. Darījumu, kuriem ir piemērojama pārkārtošana, izmantojot valdības kontus, piemēri ir norādīti tālāk tekstā.</w:t>
      </w:r>
      <w:r w:rsidRPr="00B03B51">
        <w:rPr>
          <w:rStyle w:val="FootnoteReference"/>
          <w:rFonts w:ascii="Times New Roman" w:hAnsi="Times New Roman" w:cs="Times New Roman"/>
          <w:noProof/>
          <w:sz w:val="24"/>
        </w:rPr>
        <w:footnoteReference w:id="45"/>
      </w:r>
    </w:p>
    <w:p w14:paraId="4585996A"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315B44AF"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86. Šīs apakšiedaļas mērķis ir norādīt, kādos apstākļos dažus darījumus pārvirza, izmantojot valdības kontus. Šādu darījumu piemēri ir:</w:t>
      </w:r>
    </w:p>
    <w:p w14:paraId="1566CADD" w14:textId="77777777" w:rsidR="00994F93" w:rsidRPr="00B03B51" w:rsidRDefault="00994F93" w:rsidP="00994F93">
      <w:pPr>
        <w:jc w:val="both"/>
        <w:rPr>
          <w:rFonts w:ascii="Times New Roman" w:eastAsia="Arial" w:hAnsi="Times New Roman" w:cs="Times New Roman"/>
          <w:noProof/>
          <w:sz w:val="24"/>
          <w:szCs w:val="18"/>
        </w:rPr>
      </w:pPr>
    </w:p>
    <w:p w14:paraId="2381393C" w14:textId="77777777" w:rsidR="00994F93" w:rsidRPr="00B03B51" w:rsidRDefault="00994F93" w:rsidP="00994F93">
      <w:pPr>
        <w:pStyle w:val="BodyText"/>
        <w:tabs>
          <w:tab w:val="left" w:pos="1202"/>
        </w:tabs>
        <w:spacing w:before="0"/>
        <w:ind w:left="284" w:firstLine="0"/>
        <w:jc w:val="both"/>
        <w:rPr>
          <w:rFonts w:ascii="Times New Roman" w:hAnsi="Times New Roman" w:cs="Times New Roman"/>
          <w:noProof/>
          <w:sz w:val="24"/>
        </w:rPr>
      </w:pPr>
      <w:r w:rsidRPr="00B03B51">
        <w:rPr>
          <w:rFonts w:ascii="Times New Roman" w:hAnsi="Times New Roman" w:cs="Times New Roman"/>
          <w:sz w:val="24"/>
        </w:rPr>
        <w:t>a) aizdevumi, kas piešķirti dažām vienībām pēc valdības pieprasījuma (piemēram, novēroti aviācijas nozarē);</w:t>
      </w:r>
    </w:p>
    <w:p w14:paraId="2F7D6812" w14:textId="77777777" w:rsidR="00994F93" w:rsidRPr="00B03B51" w:rsidRDefault="00994F93" w:rsidP="00994F93">
      <w:pPr>
        <w:pStyle w:val="BodyText"/>
        <w:tabs>
          <w:tab w:val="left" w:pos="1202"/>
        </w:tabs>
        <w:spacing w:before="0"/>
        <w:ind w:left="284" w:firstLine="0"/>
        <w:jc w:val="both"/>
        <w:rPr>
          <w:rFonts w:ascii="Times New Roman" w:hAnsi="Times New Roman" w:cs="Times New Roman"/>
          <w:noProof/>
          <w:sz w:val="24"/>
        </w:rPr>
      </w:pPr>
      <w:r w:rsidRPr="00B03B51">
        <w:rPr>
          <w:rFonts w:ascii="Times New Roman" w:hAnsi="Times New Roman" w:cs="Times New Roman"/>
          <w:sz w:val="24"/>
        </w:rPr>
        <w:t>b) noieta tirgus instrumenti cenu stabilizācijas mērķiem (zelta vai vara cenas);</w:t>
      </w:r>
    </w:p>
    <w:p w14:paraId="790E59FF" w14:textId="77777777" w:rsidR="00994F93" w:rsidRPr="00B03B51" w:rsidRDefault="00994F93" w:rsidP="00994F93">
      <w:pPr>
        <w:pStyle w:val="BodyText"/>
        <w:tabs>
          <w:tab w:val="left" w:pos="1202"/>
        </w:tabs>
        <w:spacing w:before="0"/>
        <w:ind w:left="284" w:firstLine="0"/>
        <w:jc w:val="both"/>
        <w:rPr>
          <w:rFonts w:ascii="Times New Roman" w:hAnsi="Times New Roman" w:cs="Times New Roman"/>
          <w:noProof/>
          <w:sz w:val="24"/>
        </w:rPr>
      </w:pPr>
      <w:r w:rsidRPr="00B03B51">
        <w:rPr>
          <w:rFonts w:ascii="Times New Roman" w:hAnsi="Times New Roman" w:cs="Times New Roman"/>
          <w:sz w:val="24"/>
        </w:rPr>
        <w:t>c) publisku sabiedrību akciju iegāde vai turēšana pēc valdības pieprasījuma nozares politikas iemeslu dēļ (piemēram, novērota aviācijas, dzelzceļa, aizsardzības nozarē un privatizācijas procesu laikā);</w:t>
      </w:r>
    </w:p>
    <w:p w14:paraId="369F7536" w14:textId="77777777" w:rsidR="00994F93" w:rsidRPr="00B03B51" w:rsidRDefault="00994F93" w:rsidP="00994F93">
      <w:pPr>
        <w:pStyle w:val="BodyText"/>
        <w:tabs>
          <w:tab w:val="left" w:pos="1202"/>
        </w:tabs>
        <w:spacing w:before="0"/>
        <w:ind w:left="284" w:firstLine="0"/>
        <w:jc w:val="both"/>
        <w:rPr>
          <w:rFonts w:ascii="Times New Roman" w:hAnsi="Times New Roman" w:cs="Times New Roman"/>
          <w:noProof/>
          <w:sz w:val="24"/>
        </w:rPr>
      </w:pPr>
      <w:r w:rsidRPr="00B03B51">
        <w:rPr>
          <w:rFonts w:ascii="Times New Roman" w:hAnsi="Times New Roman" w:cs="Times New Roman"/>
          <w:sz w:val="24"/>
        </w:rPr>
        <w:t>d) subsīdiju vai ieguldījumu dotāciju piešķiršana dažām vienībām saistībā ar valsts politiku (piemēram, īpašas nodokļu subsīdiju shēmas atjaunojamās enerģijas atbalstam);</w:t>
      </w:r>
    </w:p>
    <w:p w14:paraId="1E606FE9" w14:textId="77777777" w:rsidR="00994F93" w:rsidRPr="00B03B51" w:rsidRDefault="00994F93" w:rsidP="00994F93">
      <w:pPr>
        <w:pStyle w:val="BodyText"/>
        <w:tabs>
          <w:tab w:val="left" w:pos="1202"/>
        </w:tabs>
        <w:spacing w:before="0"/>
        <w:ind w:left="284" w:firstLine="0"/>
        <w:jc w:val="both"/>
        <w:rPr>
          <w:rFonts w:ascii="Times New Roman" w:hAnsi="Times New Roman" w:cs="Times New Roman"/>
          <w:noProof/>
          <w:sz w:val="24"/>
        </w:rPr>
      </w:pPr>
      <w:r w:rsidRPr="00B03B51">
        <w:rPr>
          <w:rFonts w:ascii="Times New Roman" w:hAnsi="Times New Roman" w:cs="Times New Roman"/>
          <w:sz w:val="24"/>
        </w:rPr>
        <w:t>e) finanšu aktīvu pārvaldība valdības vienību vārdā (piemēram, naudas apvienošana, ko veic ārpus vispārējās valdības klasificētās vienības);</w:t>
      </w:r>
    </w:p>
    <w:p w14:paraId="74B20892" w14:textId="77777777" w:rsidR="00994F93" w:rsidRPr="00B03B51" w:rsidRDefault="00994F93" w:rsidP="00994F93">
      <w:pPr>
        <w:pStyle w:val="BodyText"/>
        <w:tabs>
          <w:tab w:val="left" w:pos="1202"/>
        </w:tabs>
        <w:spacing w:before="0"/>
        <w:ind w:left="284" w:firstLine="0"/>
        <w:jc w:val="both"/>
        <w:rPr>
          <w:rFonts w:ascii="Times New Roman" w:hAnsi="Times New Roman" w:cs="Times New Roman"/>
          <w:noProof/>
          <w:sz w:val="24"/>
        </w:rPr>
      </w:pPr>
      <w:r w:rsidRPr="00B03B51">
        <w:rPr>
          <w:rFonts w:ascii="Times New Roman" w:hAnsi="Times New Roman" w:cs="Times New Roman"/>
          <w:sz w:val="24"/>
        </w:rPr>
        <w:t>f) tirgus risku ierobežošana valdības vārdā;</w:t>
      </w:r>
    </w:p>
    <w:p w14:paraId="6CFFBB74" w14:textId="77777777" w:rsidR="00994F93" w:rsidRPr="00B03B51" w:rsidRDefault="00994F93" w:rsidP="00994F93">
      <w:pPr>
        <w:pStyle w:val="BodyText"/>
        <w:tabs>
          <w:tab w:val="left" w:pos="1202"/>
        </w:tabs>
        <w:spacing w:before="0"/>
        <w:ind w:left="284" w:firstLine="0"/>
        <w:jc w:val="both"/>
        <w:rPr>
          <w:rFonts w:ascii="Times New Roman" w:hAnsi="Times New Roman" w:cs="Times New Roman"/>
          <w:noProof/>
          <w:sz w:val="24"/>
        </w:rPr>
      </w:pPr>
      <w:r w:rsidRPr="00B03B51">
        <w:rPr>
          <w:rFonts w:ascii="Times New Roman" w:hAnsi="Times New Roman" w:cs="Times New Roman"/>
          <w:sz w:val="24"/>
        </w:rPr>
        <w:t>g) preču vai pakalpojumu iegāde, lai atbalstītu kādas sabiedrības;</w:t>
      </w:r>
    </w:p>
    <w:p w14:paraId="29C73911" w14:textId="77777777" w:rsidR="00994F93" w:rsidRPr="00B03B51" w:rsidRDefault="00994F93" w:rsidP="00994F93">
      <w:pPr>
        <w:pStyle w:val="BodyText"/>
        <w:tabs>
          <w:tab w:val="left" w:pos="1202"/>
        </w:tabs>
        <w:spacing w:before="0"/>
        <w:ind w:left="284" w:firstLine="0"/>
        <w:jc w:val="both"/>
        <w:rPr>
          <w:rFonts w:ascii="Times New Roman" w:hAnsi="Times New Roman" w:cs="Times New Roman"/>
          <w:noProof/>
          <w:sz w:val="24"/>
        </w:rPr>
      </w:pPr>
      <w:r w:rsidRPr="00B03B51">
        <w:rPr>
          <w:rFonts w:ascii="Times New Roman" w:hAnsi="Times New Roman" w:cs="Times New Roman"/>
          <w:sz w:val="24"/>
        </w:rPr>
        <w:t>h) obligāto iemaksu iekasēšana saistībā ar valdības noteikto īpašo kārtību</w:t>
      </w:r>
      <w:r w:rsidRPr="00B03B51">
        <w:rPr>
          <w:rStyle w:val="FootnoteReference"/>
          <w:rFonts w:ascii="Times New Roman" w:hAnsi="Times New Roman" w:cs="Times New Roman"/>
          <w:noProof/>
          <w:sz w:val="24"/>
        </w:rPr>
        <w:footnoteReference w:id="46"/>
      </w:r>
      <w:r w:rsidRPr="00B03B51">
        <w:rPr>
          <w:rFonts w:ascii="Times New Roman" w:hAnsi="Times New Roman" w:cs="Times New Roman"/>
          <w:sz w:val="24"/>
        </w:rPr>
        <w:t>;</w:t>
      </w:r>
    </w:p>
    <w:p w14:paraId="5AE5189E" w14:textId="77777777" w:rsidR="00994F93" w:rsidRPr="00B03B51" w:rsidRDefault="00994F93" w:rsidP="00994F93">
      <w:pPr>
        <w:pStyle w:val="BodyText"/>
        <w:tabs>
          <w:tab w:val="left" w:pos="1202"/>
        </w:tabs>
        <w:spacing w:before="0"/>
        <w:ind w:left="284" w:firstLine="0"/>
        <w:jc w:val="both"/>
        <w:rPr>
          <w:rFonts w:ascii="Times New Roman" w:hAnsi="Times New Roman" w:cs="Times New Roman"/>
          <w:noProof/>
          <w:sz w:val="24"/>
        </w:rPr>
      </w:pPr>
      <w:r w:rsidRPr="00B03B51">
        <w:rPr>
          <w:rFonts w:ascii="Times New Roman" w:hAnsi="Times New Roman" w:cs="Times New Roman"/>
          <w:sz w:val="24"/>
        </w:rPr>
        <w:t>i) pakalpojumu maksas saņemšana, kam ir nodokļu pazīmes nacionālajos kontos, utt.</w:t>
      </w:r>
    </w:p>
    <w:p w14:paraId="21EE3E44" w14:textId="77777777" w:rsidR="00994F93" w:rsidRPr="00B03B51" w:rsidRDefault="00994F93" w:rsidP="00994F93">
      <w:pPr>
        <w:jc w:val="both"/>
        <w:rPr>
          <w:rFonts w:ascii="Times New Roman" w:eastAsia="Arial" w:hAnsi="Times New Roman" w:cs="Times New Roman"/>
          <w:noProof/>
          <w:sz w:val="24"/>
          <w:szCs w:val="20"/>
        </w:rPr>
      </w:pPr>
    </w:p>
    <w:p w14:paraId="4BD77A83" w14:textId="77777777" w:rsidR="00994F93" w:rsidRPr="00B03B51" w:rsidRDefault="00994F93" w:rsidP="00994F93">
      <w:pPr>
        <w:jc w:val="both"/>
        <w:rPr>
          <w:rFonts w:ascii="Times New Roman" w:hAnsi="Times New Roman" w:cs="Times New Roman"/>
          <w:b/>
          <w:noProof/>
          <w:sz w:val="24"/>
        </w:rPr>
      </w:pPr>
      <w:r w:rsidRPr="00B03B51">
        <w:rPr>
          <w:rFonts w:ascii="Times New Roman" w:hAnsi="Times New Roman" w:cs="Times New Roman"/>
          <w:b/>
          <w:sz w:val="24"/>
        </w:rPr>
        <w:t>Netipiski darījumi</w:t>
      </w:r>
    </w:p>
    <w:p w14:paraId="2483DC31" w14:textId="77777777" w:rsidR="00994F93" w:rsidRPr="00B03B51" w:rsidRDefault="00994F93" w:rsidP="00994F93">
      <w:pPr>
        <w:jc w:val="both"/>
        <w:rPr>
          <w:rFonts w:ascii="Times New Roman" w:eastAsia="Arial" w:hAnsi="Times New Roman" w:cs="Times New Roman"/>
          <w:b/>
          <w:bCs/>
          <w:noProof/>
          <w:sz w:val="24"/>
          <w:szCs w:val="21"/>
        </w:rPr>
      </w:pPr>
    </w:p>
    <w:p w14:paraId="71A30D27"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 xml:space="preserve">87. Pārkārtošana ir rūpīgi jāizvērtē arī attiecībā uz netipiskiem darījumiem, ko veic valdības sektoram nepiederošas vienības. Uzskatāms, ka darījums ir netipisks, ja tas nav vienības sagaidāmās uzņēmējdarbības sastāvdaļa. Tas tā ir jo īpaši gadījumā, ja darījums ir vienreizējs vai </w:t>
      </w:r>
      <w:r w:rsidRPr="00B03B51">
        <w:rPr>
          <w:rFonts w:ascii="Times New Roman" w:hAnsi="Times New Roman" w:cs="Times New Roman"/>
          <w:i/>
          <w:iCs/>
          <w:sz w:val="24"/>
        </w:rPr>
        <w:t>ad hoc</w:t>
      </w:r>
      <w:r w:rsidRPr="00B03B51">
        <w:rPr>
          <w:rFonts w:ascii="Times New Roman" w:hAnsi="Times New Roman" w:cs="Times New Roman"/>
          <w:sz w:val="24"/>
        </w:rPr>
        <w:t xml:space="preserve"> pasākums, kuram nav pamatojuma, kas izrietētu no vienības pamatpilnvarojuma. Darījumu neuzskata par netipisku, ja tas nozīmīgi papildina vai paplašina darbības, kas vienībai ir skaidri iepriekš noteiktas, vai ja tā veikšanai ir pienācīgi koriģēts vienības pilnvarojums. Piemēram, ja attiecīgais subjekts kopumā ir pilnvarots veikt vienīgi vietējo ekonomisko subjektu atbalsta darbības un pēkšņi tiek konstatēts, ka tas ir iesaistīts ārvalstu darījumos, tas varētu liecināt par pārkārtošanu. Var gadīties, ka pilnvarojums kopumā ļauj subjektam iesaistīties ārvalstu darījumos, bet faktiski veiktie darījumi nesaskan ar pilnvarojuma vispārīgajiem noteikumiem.</w:t>
      </w:r>
    </w:p>
    <w:p w14:paraId="173C8AB4"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08A1E6D9"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88. Netipiski darījumi bieži vien var būt vienreizēji notikumi. Tomēr dažkārt netipiski darījumi var būt arī pastāvīgi, bet palikt sekundāri un nošķirti no subjekta kopējās darbības (to, piemēram, var novērot saistībā ar energotaupības shēmām).</w:t>
      </w:r>
    </w:p>
    <w:p w14:paraId="4621C2F0"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18403C32"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89. Netipiskus darījumus bieži vien novēro tādās jomās kā sociālie mājokļi, palīdzība attīstības jomā, militārais dienests, finanšu stabilitātes jautājumi vai valsts aizņēmumi.</w:t>
      </w:r>
    </w:p>
    <w:p w14:paraId="7351F6D2" w14:textId="77777777" w:rsidR="00994F93" w:rsidRPr="00B03B51" w:rsidRDefault="00994F93" w:rsidP="00994F93">
      <w:pPr>
        <w:jc w:val="both"/>
        <w:rPr>
          <w:rFonts w:ascii="Times New Roman" w:eastAsia="Arial" w:hAnsi="Times New Roman" w:cs="Times New Roman"/>
          <w:noProof/>
          <w:sz w:val="24"/>
          <w:szCs w:val="20"/>
        </w:rPr>
      </w:pPr>
    </w:p>
    <w:p w14:paraId="2A76BA05" w14:textId="77777777" w:rsidR="00994F93" w:rsidRPr="00B03B51" w:rsidRDefault="00994F93" w:rsidP="00B03E08">
      <w:pPr>
        <w:keepNext/>
        <w:jc w:val="both"/>
        <w:rPr>
          <w:rFonts w:ascii="Times New Roman" w:hAnsi="Times New Roman" w:cs="Times New Roman"/>
          <w:b/>
          <w:noProof/>
          <w:sz w:val="24"/>
        </w:rPr>
      </w:pPr>
      <w:r w:rsidRPr="00B03B51">
        <w:rPr>
          <w:rFonts w:ascii="Times New Roman" w:hAnsi="Times New Roman" w:cs="Times New Roman"/>
          <w:b/>
          <w:sz w:val="24"/>
        </w:rPr>
        <w:lastRenderedPageBreak/>
        <w:t>Attīstības bankas</w:t>
      </w:r>
    </w:p>
    <w:p w14:paraId="27CB22AA" w14:textId="77777777" w:rsidR="00994F93" w:rsidRPr="00B03B51" w:rsidRDefault="00994F93" w:rsidP="00B03E08">
      <w:pPr>
        <w:keepNext/>
        <w:jc w:val="both"/>
        <w:rPr>
          <w:rFonts w:ascii="Times New Roman" w:eastAsia="Arial" w:hAnsi="Times New Roman" w:cs="Times New Roman"/>
          <w:b/>
          <w:bCs/>
          <w:noProof/>
          <w:sz w:val="24"/>
          <w:szCs w:val="21"/>
        </w:rPr>
      </w:pPr>
    </w:p>
    <w:p w14:paraId="36FDAD39" w14:textId="77777777" w:rsidR="00994F93" w:rsidRPr="00B03B51" w:rsidRDefault="00994F93" w:rsidP="00B03E08">
      <w:pPr>
        <w:pStyle w:val="BodyText"/>
        <w:keepN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90. Pārkārtošana var būt vajadzīga saistībā ar attīstības banku darbībām neatkarīgi no tā, vai tās darbojas vietējos vai ārvalstu tirgos. Šo banku darbības un pakalpojumi bieži vien ir noteikti ar tiesību aktiem vai tiek īstenoti ciešā sadarbībā ar valdību.</w:t>
      </w:r>
    </w:p>
    <w:p w14:paraId="3CEB38E7"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26F2BD8D"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91. Turklāt attīstības bankas parasti ir iesaistītas darbībās, kurās komercbankas nepiedāvā pilnu banku pakalpojumu klāstu, ja vispār to piedāvā, nepietiekamas rentabilitātes, augstu risku vai nodrošinājuma trūkuma dēļ. Rezultātā attīstības bankas kopumā darbojas jomās, kurās tirgus nesniedz finanšu pakalpojumus vai arī kurās šo pakalpojumu cenas tiek uzskatītas par sociāli nepieņemamām. To darbībās tādējādi ļoti bieži ir dotācijas vai subsīdijas komponents.</w:t>
      </w:r>
    </w:p>
    <w:p w14:paraId="495E9693"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4CC362C3"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92. Tā kā attīstības bankas parasti darbojas plašā darbību tvērumā, tas ļauj valdībai virzīt līdzekļus konkrētām programmām/darbībām saskaņā ar attīstības bankas vispārējās politikas pilnvarojumu.</w:t>
      </w:r>
    </w:p>
    <w:p w14:paraId="7EB0B91D"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5CBA8B6A"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93. Lai arī attīstības bankas darbībām ir raksturīga cieša saikne ar valdību, tās netiek automātiski pārkārtotas, izmantojot valdības kontus. Tomēr tās ir rūpīgi jāanalizē šajā saistībā.</w:t>
      </w:r>
    </w:p>
    <w:p w14:paraId="7B834156" w14:textId="77777777" w:rsidR="00994F93" w:rsidRPr="00B03B51" w:rsidRDefault="00994F93" w:rsidP="00994F93">
      <w:pPr>
        <w:jc w:val="both"/>
        <w:rPr>
          <w:rFonts w:ascii="Times New Roman" w:eastAsia="Arial" w:hAnsi="Times New Roman" w:cs="Times New Roman"/>
          <w:noProof/>
          <w:sz w:val="24"/>
          <w:szCs w:val="20"/>
        </w:rPr>
      </w:pPr>
    </w:p>
    <w:p w14:paraId="756E8CA8" w14:textId="77777777" w:rsidR="00994F93" w:rsidRPr="00B03B51" w:rsidRDefault="00994F93" w:rsidP="00994F93">
      <w:pPr>
        <w:jc w:val="both"/>
        <w:rPr>
          <w:rFonts w:ascii="Times New Roman" w:hAnsi="Times New Roman" w:cs="Times New Roman"/>
          <w:b/>
          <w:noProof/>
          <w:sz w:val="24"/>
        </w:rPr>
      </w:pPr>
      <w:r w:rsidRPr="00B03B51">
        <w:rPr>
          <w:rFonts w:ascii="Times New Roman" w:hAnsi="Times New Roman" w:cs="Times New Roman"/>
          <w:b/>
          <w:sz w:val="24"/>
        </w:rPr>
        <w:t>Pārkārtojamu darījumu identificēšana</w:t>
      </w:r>
    </w:p>
    <w:p w14:paraId="2D16F228" w14:textId="77777777" w:rsidR="00994F93" w:rsidRPr="00B03B51" w:rsidRDefault="00994F93" w:rsidP="00994F93">
      <w:pPr>
        <w:jc w:val="both"/>
        <w:rPr>
          <w:rFonts w:ascii="Times New Roman" w:eastAsia="Arial" w:hAnsi="Times New Roman" w:cs="Times New Roman"/>
          <w:b/>
          <w:bCs/>
          <w:noProof/>
          <w:sz w:val="24"/>
          <w:szCs w:val="21"/>
        </w:rPr>
      </w:pPr>
    </w:p>
    <w:p w14:paraId="6454BC60"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94. Pārkārtojamu darījumu identificēšana ir atbildīgs uzdevums, kura veikšanai ir rūpīgi jāanalizē visi apstākļi, kas ietekmē darījuma plānošanu un izpildi. Tādējādi ir iespējams sniegt tikai vispārīgus pamatprincipus, nevis sniegt izsmeļošu šo darījumu uzskaitījumu.</w:t>
      </w:r>
    </w:p>
    <w:p w14:paraId="21CB9288"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19C13537"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95. Turpmākajās trijās apakšiedaļās ir sniegti vispārīgi noteikumi attiecībā uz trim iespējamiem pārkārtošanas veidiem, kad valdības sektoram nepiederoša vienība 1) darbojas kā “valdības aģents” vai pēc valdības pieprasījuma, 2) kopīgi ar valdību dala darījuma/programmas riskus un priekšrocības vai 3) veic nekomerciālus darījumus. Turklāt ir uzskaitīti pietiekami un indikatīvi rādītāji, kas norāda uz šādiem iespējamiem pārkārtošanas gadījumiem.</w:t>
      </w:r>
    </w:p>
    <w:p w14:paraId="24232F3C"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74D7E9BC"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96. Indikatīvi apstākļi/rādītāji ir paši par sevi pietiekami, taču tie ir sīkāk jāpārbauda. Tiklīdz tie ir noteikti, tiek gaidīts, ka fakti tiks sīkāk pārbaudīti un analizēti. Ja tomēr divi vai vairāki indikatīvi apstākļi notiek vienlaikus, kopā tas var būt pietiekami, lai parādītu pārkārtošanas vajadzību (aditivitātes princips). Turklāt lēmums par to, vai darījums vai programma ir vai nav jāpārkārto, bieži vien pēc būtības tiek pieņemts vērtējot, jo, piemēram, risku un priekšrocību uzņemšanās analīze ietver gan statistiskus, gan vērtēšanas elementus.</w:t>
      </w:r>
    </w:p>
    <w:p w14:paraId="1A2EC271" w14:textId="77777777" w:rsidR="00994F93" w:rsidRPr="00B03B51" w:rsidRDefault="00994F93" w:rsidP="00994F93">
      <w:pPr>
        <w:jc w:val="both"/>
        <w:rPr>
          <w:rFonts w:ascii="Times New Roman" w:eastAsia="Arial" w:hAnsi="Times New Roman" w:cs="Times New Roman"/>
          <w:noProof/>
          <w:sz w:val="24"/>
          <w:szCs w:val="14"/>
        </w:rPr>
      </w:pPr>
    </w:p>
    <w:p w14:paraId="0EE62752"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97. Šajā rokasgrāmatā sniegtie rādītāji nav izsmeļoši, un turklāt tiem ir raksturīgs tas, ka bieži vien tie nacionālo kontu speciālistu uzmanības lokā nonāk neregulāri pa dažādiem informācijas kanāliem.</w:t>
      </w:r>
    </w:p>
    <w:p w14:paraId="2E7F2618"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5EE52E20"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98. Lai noteiktu iespējamos pārkārtojamos darījumus, statistiķiem ir jāizmanto dažādi datu avoti un nestandarta metodes, lai apkopotu informāciju. Ar statistikas apsekojumiem parasti ir iespējams konstatēt tikai tos gadījumus, kas atbilst vispārīgiem principiem. Tādējādi par daudziem (jo īpaši jauniem) gadījumiem, kas ir identificējami nestandarta (piemēram, no valsts amatpersonu mutiskiem paziņojumiem) vai indikatīvos apstākļos, statistiķi var pamatoties uz informāciju, kas sniegta ziņās, rakstos, avīzēs, ziņojumos utt.</w:t>
      </w:r>
    </w:p>
    <w:p w14:paraId="19275F70"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16850F0D" w14:textId="77777777" w:rsidR="00994F93" w:rsidRPr="00B03B51" w:rsidRDefault="00994F93" w:rsidP="00B03E08">
      <w:pPr>
        <w:pStyle w:val="Heading6"/>
        <w:keepNext/>
        <w:tabs>
          <w:tab w:val="left" w:pos="1692"/>
        </w:tabs>
        <w:ind w:left="0" w:firstLine="0"/>
        <w:jc w:val="both"/>
        <w:rPr>
          <w:rFonts w:ascii="Times New Roman" w:hAnsi="Times New Roman" w:cs="Times New Roman"/>
          <w:noProof/>
          <w:sz w:val="24"/>
        </w:rPr>
      </w:pPr>
      <w:r w:rsidRPr="00B03B51">
        <w:rPr>
          <w:rFonts w:ascii="Times New Roman" w:hAnsi="Times New Roman" w:cs="Times New Roman"/>
          <w:sz w:val="24"/>
        </w:rPr>
        <w:t xml:space="preserve">1.2.4.5.2. Valdības sektoram nepiederošu vienību darījumu pārkārtošana, kad šīs </w:t>
      </w:r>
      <w:r w:rsidRPr="00B03B51">
        <w:rPr>
          <w:rFonts w:ascii="Times New Roman" w:hAnsi="Times New Roman" w:cs="Times New Roman"/>
          <w:sz w:val="24"/>
        </w:rPr>
        <w:lastRenderedPageBreak/>
        <w:t>vienības rīkojas kā “valdības aģenti” vai pēc valdības pieprasījuma</w:t>
      </w:r>
    </w:p>
    <w:p w14:paraId="099F2484" w14:textId="77777777" w:rsidR="00994F93" w:rsidRPr="00B03B51" w:rsidRDefault="00994F93" w:rsidP="00B03E08">
      <w:pPr>
        <w:keepNext/>
        <w:tabs>
          <w:tab w:val="left" w:pos="843"/>
        </w:tabs>
        <w:jc w:val="both"/>
        <w:rPr>
          <w:rFonts w:ascii="Times New Roman" w:hAnsi="Times New Roman" w:cs="Times New Roman"/>
          <w:noProof/>
          <w:sz w:val="24"/>
        </w:rPr>
      </w:pPr>
    </w:p>
    <w:p w14:paraId="394897AC" w14:textId="77777777" w:rsidR="00994F93" w:rsidRPr="00B03B51" w:rsidRDefault="00994F93" w:rsidP="00B03E08">
      <w:pPr>
        <w:keepNext/>
        <w:tabs>
          <w:tab w:val="left" w:pos="843"/>
        </w:tabs>
        <w:jc w:val="both"/>
        <w:rPr>
          <w:rFonts w:ascii="Times New Roman" w:eastAsia="Arial" w:hAnsi="Times New Roman" w:cs="Times New Roman"/>
          <w:noProof/>
          <w:sz w:val="24"/>
          <w:szCs w:val="19"/>
        </w:rPr>
      </w:pPr>
      <w:r w:rsidRPr="00B03B51">
        <w:rPr>
          <w:rFonts w:ascii="Times New Roman" w:hAnsi="Times New Roman" w:cs="Times New Roman"/>
          <w:sz w:val="24"/>
        </w:rPr>
        <w:t xml:space="preserve">99. Darījumi ir jāpārkārto, kad vienība rīkojas vienīgi vai galvenokārt kā valdības aģents, veicot kādus darījumus. Kā norādīts EKS 2010 20.204. punktā </w:t>
      </w:r>
      <w:r w:rsidRPr="00B03B51">
        <w:rPr>
          <w:rFonts w:ascii="Times New Roman" w:hAnsi="Times New Roman" w:cs="Times New Roman"/>
          <w:i/>
          <w:iCs/>
          <w:sz w:val="24"/>
        </w:rPr>
        <w:t>dažās valdības vienību uzsāktās darbībās var tikt iesaistīti subjekti, kas neietilpst juridiskajā valdības ietvarā, tostarp publiskas sabiedrības.</w:t>
      </w:r>
      <w:r w:rsidRPr="00B03B51">
        <w:rPr>
          <w:rFonts w:ascii="Times New Roman" w:hAnsi="Times New Roman" w:cs="Times New Roman"/>
          <w:i/>
          <w:sz w:val="24"/>
        </w:rPr>
        <w:t xml:space="preserve"> Lai arī par tām neziņo budžetā, un tās var izvairīties no parastajām kontroles procedūrām, pareizi ir tās ierakstīt valdības ieņēmumos un izdevumos. </w:t>
      </w:r>
      <w:r w:rsidRPr="00B03B51">
        <w:rPr>
          <w:rFonts w:ascii="Times New Roman" w:hAnsi="Times New Roman" w:cs="Times New Roman"/>
          <w:i/>
          <w:iCs/>
          <w:sz w:val="24"/>
        </w:rPr>
        <w:t>Tas ir tāpēc, ka EKS atzīst, kad valdība ir galvenā darbības veicēja, un publiskā sabiedrība rīkojas kā aģents</w:t>
      </w:r>
      <w:r w:rsidRPr="00B03B51">
        <w:rPr>
          <w:rFonts w:ascii="Times New Roman" w:hAnsi="Times New Roman" w:cs="Times New Roman"/>
          <w:sz w:val="24"/>
        </w:rPr>
        <w:t>.</w:t>
      </w:r>
    </w:p>
    <w:p w14:paraId="30EF7268" w14:textId="77777777" w:rsidR="00994F93" w:rsidRPr="00B03B51" w:rsidRDefault="00994F93" w:rsidP="00994F93">
      <w:pPr>
        <w:pStyle w:val="BodyText"/>
        <w:tabs>
          <w:tab w:val="left" w:pos="987"/>
        </w:tabs>
        <w:spacing w:before="0"/>
        <w:ind w:left="0" w:firstLine="0"/>
        <w:jc w:val="both"/>
        <w:rPr>
          <w:rFonts w:ascii="Times New Roman" w:hAnsi="Times New Roman" w:cs="Times New Roman"/>
          <w:noProof/>
          <w:sz w:val="24"/>
        </w:rPr>
      </w:pPr>
    </w:p>
    <w:p w14:paraId="6D04E036" w14:textId="77777777" w:rsidR="00994F93" w:rsidRPr="00B03B51" w:rsidRDefault="00994F93" w:rsidP="00994F93">
      <w:pPr>
        <w:pStyle w:val="BodyText"/>
        <w:tabs>
          <w:tab w:val="left" w:pos="987"/>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100. Precīzāk, valdības sektoram nepiederošai vienībai, vairumā gadījumu publiskai sabiedrībai, piemēram, attīstības bankai, tiek uzdots veikt darījumu pēc valdības pieprasījuma. Šajā gadījumā valdības sektoram nepiederošam subjektam ir ierobežota brīvība noteikt darījuma nosacījumus. Kamēr subjekts neveic lielākoties tikai šādus darījumus, tas nav jāpārklasificē vispārējās valdības sektorā, bet šie konkrētie darījumi ir jāpārkārto.</w:t>
      </w:r>
    </w:p>
    <w:p w14:paraId="6F1A6F0D" w14:textId="77777777" w:rsidR="00994F93" w:rsidRPr="00B03B51" w:rsidRDefault="00994F93" w:rsidP="00994F93">
      <w:pPr>
        <w:pStyle w:val="BodyText"/>
        <w:tabs>
          <w:tab w:val="left" w:pos="987"/>
        </w:tabs>
        <w:spacing w:before="0"/>
        <w:ind w:left="0" w:firstLine="0"/>
        <w:jc w:val="both"/>
        <w:rPr>
          <w:rFonts w:ascii="Times New Roman" w:hAnsi="Times New Roman" w:cs="Times New Roman"/>
          <w:noProof/>
          <w:sz w:val="24"/>
        </w:rPr>
      </w:pPr>
    </w:p>
    <w:p w14:paraId="6423343D" w14:textId="77777777" w:rsidR="00994F93" w:rsidRPr="00B03B51" w:rsidRDefault="00994F93" w:rsidP="00994F93">
      <w:pPr>
        <w:pStyle w:val="BodyText"/>
        <w:tabs>
          <w:tab w:val="left" w:pos="987"/>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101. “Rīkoties pēc valdības pieprasījuma” neietver gadījumu, kad valdība kā subjekta īpašnieks sniedz tam tikai vispārēju pilnvarojumu (nosakot vienības vispārējo politiku un/vai stratēģiju). Konkrēts valdības pieprasījums veikt darījumu, darbību vai programmu ir skaidri jānošķir no sabiedrībai noteiktā uzņēmējdarbības pilnvarojuma, ar kuru tiek definēti subjekta darbības uzdevumi un/vai uzņēmējdarbības virzieni. Valdības sektoram nepiederošas vienības lēmumu autonomija kopumā netiek apšaubīta, ja vienībai ir lēmumu autonomija, īstenojot tās pamatdarbību saskaņā ar tās vispārējo politiku/pilnvarojumu/parasto uzņēmējdarbību.</w:t>
      </w:r>
    </w:p>
    <w:p w14:paraId="3598055E" w14:textId="77777777" w:rsidR="00994F93" w:rsidRPr="00B03B51" w:rsidRDefault="00994F93" w:rsidP="00994F93">
      <w:pPr>
        <w:pStyle w:val="BodyText"/>
        <w:tabs>
          <w:tab w:val="left" w:pos="987"/>
        </w:tabs>
        <w:spacing w:before="0"/>
        <w:ind w:left="0" w:firstLine="0"/>
        <w:jc w:val="both"/>
        <w:rPr>
          <w:rFonts w:ascii="Times New Roman" w:hAnsi="Times New Roman" w:cs="Times New Roman"/>
          <w:noProof/>
          <w:sz w:val="24"/>
        </w:rPr>
      </w:pPr>
    </w:p>
    <w:p w14:paraId="2412AEA2" w14:textId="77777777" w:rsidR="00994F93" w:rsidRPr="00B03B51" w:rsidRDefault="00994F93" w:rsidP="00994F93">
      <w:pPr>
        <w:pStyle w:val="BodyText"/>
        <w:tabs>
          <w:tab w:val="left" w:pos="987"/>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102. Proti, attīstības bankas var nodarboties ar ierobežotiem uzņēmējdarbības veidiem, pamatojoties uz pilnvarojumu, ko noteikusi valdība saistībā ar ES valsts atbalsta noteikumiem. Šāds valdības pilnvarojums būtiski atšķiras no minētā konkrētā valdības pieprasījuma īstenot darījumu, darbību vai programmu, un tādējādi tas nav uzskatāms par elementu, kas ierosina pārkārtošanu.</w:t>
      </w:r>
    </w:p>
    <w:p w14:paraId="7BC23B43" w14:textId="77777777" w:rsidR="00994F93" w:rsidRPr="00B03B51" w:rsidRDefault="00994F93" w:rsidP="00994F93">
      <w:pPr>
        <w:pStyle w:val="BodyText"/>
        <w:tabs>
          <w:tab w:val="left" w:pos="987"/>
        </w:tabs>
        <w:spacing w:before="0"/>
        <w:ind w:left="0" w:firstLine="0"/>
        <w:jc w:val="both"/>
        <w:rPr>
          <w:rFonts w:ascii="Times New Roman" w:hAnsi="Times New Roman" w:cs="Times New Roman"/>
          <w:noProof/>
          <w:sz w:val="24"/>
        </w:rPr>
      </w:pPr>
    </w:p>
    <w:p w14:paraId="6568854E" w14:textId="77777777" w:rsidR="00994F93" w:rsidRPr="00B03B51" w:rsidRDefault="00994F93" w:rsidP="00994F93">
      <w:pPr>
        <w:pStyle w:val="BodyText"/>
        <w:tabs>
          <w:tab w:val="left" w:pos="987"/>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 xml:space="preserve">103. Pārkārtošana ir piemērojama, tiklīdz valdība pieprasa subjektam veikt konkrētu darījumu, </w:t>
      </w:r>
      <w:r w:rsidRPr="00B03B51">
        <w:rPr>
          <w:rFonts w:ascii="Times New Roman" w:hAnsi="Times New Roman" w:cs="Times New Roman"/>
          <w:i/>
          <w:iCs/>
          <w:sz w:val="24"/>
        </w:rPr>
        <w:t>de facto</w:t>
      </w:r>
      <w:r w:rsidRPr="00B03B51">
        <w:rPr>
          <w:rFonts w:ascii="Times New Roman" w:hAnsi="Times New Roman" w:cs="Times New Roman"/>
          <w:sz w:val="24"/>
        </w:rPr>
        <w:t xml:space="preserve"> ierobežojot subjekta darbības autonomiju attiecībā uz šo konkrēto darījumu (t. i., valdība ierosina vai uzdod veikt darījumu, un vienībai nav iespējas nozīmīgi tam pretoties).</w:t>
      </w:r>
    </w:p>
    <w:p w14:paraId="75CEE6DC" w14:textId="77777777" w:rsidR="00994F93" w:rsidRPr="00B03B51" w:rsidRDefault="00994F93" w:rsidP="00994F93">
      <w:pPr>
        <w:pStyle w:val="BodyText"/>
        <w:tabs>
          <w:tab w:val="left" w:pos="987"/>
        </w:tabs>
        <w:spacing w:before="0"/>
        <w:ind w:left="0" w:firstLine="0"/>
        <w:jc w:val="both"/>
        <w:rPr>
          <w:rFonts w:ascii="Times New Roman" w:hAnsi="Times New Roman" w:cs="Times New Roman"/>
          <w:noProof/>
          <w:sz w:val="24"/>
        </w:rPr>
      </w:pPr>
    </w:p>
    <w:p w14:paraId="1D7B8AD9" w14:textId="77777777" w:rsidR="00994F93" w:rsidRPr="00B03B51" w:rsidRDefault="00994F93" w:rsidP="00994F93">
      <w:pPr>
        <w:pStyle w:val="BodyText"/>
        <w:tabs>
          <w:tab w:val="left" w:pos="987"/>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104. Šāds pieprasījums var būt skaidri saistīts ar vienošanos pārņemt visus iesaistīto aktīvu riskus un priekšrocības, bet tas nav obligāti (piemēram, pilnībā piederošu publisku sabiedrību gadījumā), proti, a) var būt vienošanās par kādu risku un/vai priekšrocību dalīšanu vai b) var pat nebūt vienošanās par atmaksu, piemēram, ar nosacījumu, ka valdības tīrā vērtība atainos publiskās sabiedrības tīro vērtību. Šādā gadījumā risku un priekšrocību analīze nav izšķiroša. Galvenais aspekts šeit ir tas, ka valdība ir devusi subjektam norādījumu veikt darījumu, ierobežojot tā spēju neatkarīgi veikt darbības.</w:t>
      </w:r>
    </w:p>
    <w:p w14:paraId="278A634D" w14:textId="77777777" w:rsidR="00994F93" w:rsidRPr="00B03B51" w:rsidRDefault="00994F93" w:rsidP="00994F93">
      <w:pPr>
        <w:pStyle w:val="BodyText"/>
        <w:tabs>
          <w:tab w:val="left" w:pos="987"/>
        </w:tabs>
        <w:spacing w:before="0"/>
        <w:ind w:left="0" w:firstLine="0"/>
        <w:jc w:val="both"/>
        <w:rPr>
          <w:rFonts w:ascii="Times New Roman" w:hAnsi="Times New Roman" w:cs="Times New Roman"/>
          <w:noProof/>
          <w:sz w:val="24"/>
        </w:rPr>
      </w:pPr>
    </w:p>
    <w:p w14:paraId="03104ADB" w14:textId="77777777" w:rsidR="00994F93" w:rsidRPr="00B03B51" w:rsidRDefault="00994F93" w:rsidP="00994F93">
      <w:pPr>
        <w:pStyle w:val="BodyText"/>
        <w:tabs>
          <w:tab w:val="left" w:pos="987"/>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105. Kā piemērs minams gadījums, kad vienība savā veidā varētu tikt uzskatīta par valdības “grāmatvedības rīku”. Tas varētu parādīties oficiālos paziņojumos vai dokumentos, vai pat vienības gada pārskatā, skaidri norādot, ka vienība nenes atbildību par darījumu. Pēdējais minētais var būt atspoguļots nošķirti finanšu pārskatos. Tam var būt nozīme, ja vienība aizņemas finanšu resursus kapitāla tirgos savas darbības veikšanai.</w:t>
      </w:r>
    </w:p>
    <w:p w14:paraId="23146AC8" w14:textId="77777777" w:rsidR="00994F93" w:rsidRPr="00B03B51" w:rsidRDefault="00994F93" w:rsidP="00994F93">
      <w:pPr>
        <w:pStyle w:val="BodyText"/>
        <w:tabs>
          <w:tab w:val="left" w:pos="987"/>
        </w:tabs>
        <w:spacing w:before="0"/>
        <w:ind w:left="0" w:firstLine="0"/>
        <w:jc w:val="both"/>
        <w:rPr>
          <w:rFonts w:ascii="Times New Roman" w:hAnsi="Times New Roman" w:cs="Times New Roman"/>
          <w:noProof/>
          <w:sz w:val="24"/>
        </w:rPr>
      </w:pPr>
    </w:p>
    <w:p w14:paraId="61514F7A" w14:textId="77777777" w:rsidR="00994F93" w:rsidRPr="00B03B51" w:rsidRDefault="00994F93" w:rsidP="00994F93">
      <w:pPr>
        <w:pStyle w:val="BodyText"/>
        <w:tabs>
          <w:tab w:val="left" w:pos="987"/>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 xml:space="preserve">106. Valdības var dot priekšroku šāda veida vienības pakalpojumiem, nevis tieši veikt darījumu, vairāku iemeslu dēļ, piemēram, vienība ir specializējusies konkrētā jomā, tai ir augstāka efektivitāte nekā valdības administrācijai, tā ir neatkarīga no valdības administrācijas, tai ir regulāra saikne ar labuma guvējiem vai tai ir cerība, ka tiks panākts vēlamais uzskaites efekts </w:t>
      </w:r>
      <w:r w:rsidRPr="00B03B51">
        <w:rPr>
          <w:rFonts w:ascii="Times New Roman" w:hAnsi="Times New Roman" w:cs="Times New Roman"/>
          <w:sz w:val="24"/>
        </w:rPr>
        <w:lastRenderedPageBreak/>
        <w:t>publisko finanšu jomā. Ir arī novērots, ka valdība izmanto publiskas sabiedrības citu subjektu atbalstam, ja saskaņā ar valsts atbalsta noteikumiem valdībai ir liegta tieša iejaukšanās.</w:t>
      </w:r>
    </w:p>
    <w:p w14:paraId="0762DD7B" w14:textId="77777777" w:rsidR="00994F93" w:rsidRPr="00B03B51" w:rsidRDefault="00994F93" w:rsidP="00994F93">
      <w:pPr>
        <w:pStyle w:val="BodyText"/>
        <w:tabs>
          <w:tab w:val="left" w:pos="987"/>
        </w:tabs>
        <w:spacing w:before="0"/>
        <w:ind w:left="0" w:firstLine="0"/>
        <w:jc w:val="both"/>
        <w:rPr>
          <w:rFonts w:ascii="Times New Roman" w:hAnsi="Times New Roman" w:cs="Times New Roman"/>
          <w:noProof/>
          <w:sz w:val="24"/>
        </w:rPr>
      </w:pPr>
    </w:p>
    <w:p w14:paraId="76D76935" w14:textId="77777777" w:rsidR="00994F93" w:rsidRPr="00B03B51" w:rsidRDefault="00994F93" w:rsidP="00994F93">
      <w:pPr>
        <w:pStyle w:val="BodyText"/>
        <w:tabs>
          <w:tab w:val="left" w:pos="987"/>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107. Parasti, ja valdības mērķis ir sniegt labumu/atbalstu subjektam, izmantojot konkrētu darījumu vai programmu, ko īsteno valdības sektoram nepiederoša vienība, šis darījums/programma ir jāpārkārto uz valdību. Tas ir piemērojams jo īpaši gadījumos, ja valdības sektoram nepiederošai vienībai nav brīvības noteikt konkrētu saņēmēju/darījuma partneri vai noteikt subjektu grupai konkrētā darījuma būtiskus raksturlielumus (piemēram, apjomu, dzēšanas termiņu, iekasētos procentus/cenu).</w:t>
      </w:r>
      <w:r w:rsidRPr="00B03B51">
        <w:rPr>
          <w:rStyle w:val="FootnoteReference"/>
          <w:rFonts w:ascii="Times New Roman" w:hAnsi="Times New Roman" w:cs="Times New Roman"/>
          <w:noProof/>
          <w:sz w:val="24"/>
        </w:rPr>
        <w:footnoteReference w:id="47"/>
      </w:r>
      <w:r w:rsidRPr="00B03B51">
        <w:rPr>
          <w:rFonts w:ascii="Times New Roman" w:hAnsi="Times New Roman" w:cs="Times New Roman"/>
          <w:sz w:val="24"/>
        </w:rPr>
        <w:t xml:space="preserve"> Šādā situācijā valdības sektoram nepiederoša vienība rīkojas drīzāk kā valdības aģents, pat ja valdības sektoram nepiederoša vienība var noteikt dažus raksturlielumus un/vai uzņemties riskus, un/vai gūt priekšrocības saistībā ar šo konkrēto darījumu/programmu.</w:t>
      </w:r>
    </w:p>
    <w:p w14:paraId="40EC18EE" w14:textId="77777777" w:rsidR="00994F93" w:rsidRPr="00B03B51" w:rsidRDefault="00994F93" w:rsidP="00994F93">
      <w:pPr>
        <w:pStyle w:val="BodyText"/>
        <w:tabs>
          <w:tab w:val="left" w:pos="987"/>
        </w:tabs>
        <w:spacing w:before="0"/>
        <w:ind w:left="0" w:firstLine="0"/>
        <w:jc w:val="both"/>
        <w:rPr>
          <w:rFonts w:ascii="Times New Roman" w:hAnsi="Times New Roman" w:cs="Times New Roman"/>
          <w:noProof/>
          <w:sz w:val="24"/>
        </w:rPr>
      </w:pPr>
    </w:p>
    <w:p w14:paraId="3C8533E9" w14:textId="77777777" w:rsidR="00994F93" w:rsidRPr="00B03B51" w:rsidRDefault="00994F93" w:rsidP="00994F93">
      <w:pPr>
        <w:pStyle w:val="BodyText"/>
        <w:tabs>
          <w:tab w:val="left" w:pos="987"/>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108. Šis vispārīgais noteikums neattiecas uz gadījumiem, kuros valdība uzdod valdības sektoram nepiederošai vienībai tikai sadalīt valdības līdzekļus, kuri jau ir ierakstīti valdības kontos (piemēram, par aizdevumu turpmāku aizdošanu vai subsīdiju/dotāciju sadali). Šādi valdības līdzekļi var tikt uzrādīti valdības sektoram nepiederošas vienības līmenī kā produktu subsīdijas, vienlaikus saņēmējam tie var būt ražošanas subsīdijas (piemēram, dotācija par iekasētajiem procentiem). Tomēr, ja ir pierādījums, ka subsīdija primāri ir paredzēta valdības sektoram nepiederošas vienības atbalstam, nevis galasaņēmēja atbalstam, subsīdija ir uzskatāma par valdības sektoram nepiederošas vienības ražošanas subsīdiju, kā rezultātā var rasties vajadzība šo vienību pārklasificēt (ja šajā gadījumā vienība neizpilda kvantitatīvo 50 % kritēriju).</w:t>
      </w:r>
    </w:p>
    <w:p w14:paraId="5D253621" w14:textId="77777777" w:rsidR="00994F93" w:rsidRPr="00B03B51" w:rsidRDefault="00994F93" w:rsidP="00994F93">
      <w:pPr>
        <w:pStyle w:val="BodyText"/>
        <w:tabs>
          <w:tab w:val="left" w:pos="987"/>
        </w:tabs>
        <w:spacing w:before="0"/>
        <w:ind w:left="0" w:firstLine="0"/>
        <w:jc w:val="both"/>
        <w:rPr>
          <w:rFonts w:ascii="Times New Roman" w:hAnsi="Times New Roman" w:cs="Times New Roman"/>
          <w:noProof/>
          <w:sz w:val="24"/>
        </w:rPr>
      </w:pPr>
    </w:p>
    <w:p w14:paraId="779A6A93" w14:textId="77777777" w:rsidR="00994F93" w:rsidRPr="00B03B51" w:rsidRDefault="00994F93" w:rsidP="00994F93">
      <w:pPr>
        <w:pStyle w:val="BodyText"/>
        <w:tabs>
          <w:tab w:val="left" w:pos="987"/>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109. Rezultātā ir jāanalizē, vai valdība nominē saņēmēju/darījuma partneri vai arī tās mērķis ir sniegt labumu subjektam, izmantojot konkrētu darījumu vai programmu.</w:t>
      </w:r>
    </w:p>
    <w:p w14:paraId="79F77A64" w14:textId="77777777" w:rsidR="00994F93" w:rsidRPr="00B03B51" w:rsidRDefault="00994F93" w:rsidP="00994F93">
      <w:pPr>
        <w:tabs>
          <w:tab w:val="left" w:pos="987"/>
        </w:tabs>
        <w:jc w:val="both"/>
        <w:rPr>
          <w:rFonts w:ascii="Times New Roman" w:hAnsi="Times New Roman" w:cs="Times New Roman"/>
          <w:noProof/>
          <w:sz w:val="24"/>
        </w:rPr>
      </w:pPr>
    </w:p>
    <w:p w14:paraId="261F4B3C" w14:textId="77777777" w:rsidR="00994F93" w:rsidRPr="00B03B51" w:rsidRDefault="00994F93" w:rsidP="00994F93">
      <w:pPr>
        <w:tabs>
          <w:tab w:val="left" w:pos="987"/>
        </w:tabs>
        <w:jc w:val="both"/>
        <w:rPr>
          <w:rFonts w:ascii="Times New Roman" w:hAnsi="Times New Roman" w:cs="Times New Roman"/>
          <w:noProof/>
          <w:sz w:val="24"/>
        </w:rPr>
      </w:pPr>
      <w:r w:rsidRPr="00B03B51">
        <w:rPr>
          <w:rFonts w:ascii="Times New Roman" w:hAnsi="Times New Roman" w:cs="Times New Roman"/>
          <w:sz w:val="24"/>
        </w:rPr>
        <w:t xml:space="preserve">110. Šajā kontekstā ir uzskatāms, ka jebkurš no turpmāk minētajiem rādītājiem ir </w:t>
      </w:r>
      <w:r w:rsidRPr="00B03B51">
        <w:rPr>
          <w:rFonts w:ascii="Times New Roman" w:hAnsi="Times New Roman" w:cs="Times New Roman"/>
          <w:b/>
          <w:bCs/>
          <w:sz w:val="24"/>
        </w:rPr>
        <w:t>pietiekams pārkārtošanai</w:t>
      </w:r>
      <w:r w:rsidRPr="00B03B51">
        <w:rPr>
          <w:rFonts w:ascii="Times New Roman" w:hAnsi="Times New Roman" w:cs="Times New Roman"/>
          <w:sz w:val="24"/>
        </w:rPr>
        <w:t>:</w:t>
      </w:r>
    </w:p>
    <w:p w14:paraId="19960ED9" w14:textId="77777777" w:rsidR="00994F93" w:rsidRPr="00B03B51" w:rsidRDefault="00994F93" w:rsidP="00994F93">
      <w:pPr>
        <w:tabs>
          <w:tab w:val="left" w:pos="987"/>
        </w:tabs>
        <w:jc w:val="both"/>
        <w:rPr>
          <w:rFonts w:ascii="Times New Roman" w:eastAsia="Arial" w:hAnsi="Times New Roman" w:cs="Times New Roman"/>
          <w:noProof/>
          <w:sz w:val="24"/>
          <w:szCs w:val="19"/>
        </w:rPr>
      </w:pPr>
    </w:p>
    <w:p w14:paraId="2CC44A57" w14:textId="77777777" w:rsidR="00994F93" w:rsidRPr="00B03B51" w:rsidRDefault="00994F93" w:rsidP="00994F93">
      <w:pPr>
        <w:pStyle w:val="BodyText"/>
        <w:tabs>
          <w:tab w:val="left" w:pos="1126"/>
        </w:tabs>
        <w:spacing w:before="0"/>
        <w:ind w:left="284" w:firstLine="0"/>
        <w:jc w:val="both"/>
        <w:rPr>
          <w:rFonts w:ascii="Times New Roman" w:hAnsi="Times New Roman" w:cs="Times New Roman"/>
          <w:noProof/>
          <w:sz w:val="24"/>
        </w:rPr>
      </w:pPr>
      <w:r w:rsidRPr="00B03B51">
        <w:rPr>
          <w:rFonts w:ascii="Times New Roman" w:hAnsi="Times New Roman" w:cs="Times New Roman"/>
          <w:sz w:val="24"/>
        </w:rPr>
        <w:t>a) ir pierādījums, ka valdība ir pieprasījusi vienībai veikt konkrētu darījumu dažādu norādījumu veidā (dekrēts, oficiāla vēstule, oficiāls paziņojums utt.).</w:t>
      </w:r>
      <w:r w:rsidRPr="00B03B51">
        <w:rPr>
          <w:rStyle w:val="FootnoteReference"/>
          <w:rFonts w:ascii="Times New Roman" w:hAnsi="Times New Roman" w:cs="Times New Roman"/>
          <w:noProof/>
          <w:sz w:val="24"/>
        </w:rPr>
        <w:footnoteReference w:id="48"/>
      </w:r>
      <w:r w:rsidRPr="00B03B51">
        <w:rPr>
          <w:rFonts w:ascii="Times New Roman" w:hAnsi="Times New Roman" w:cs="Times New Roman"/>
          <w:sz w:val="24"/>
        </w:rPr>
        <w:t xml:space="preserve"> Tostarp:</w:t>
      </w:r>
    </w:p>
    <w:p w14:paraId="0164A53B" w14:textId="77777777" w:rsidR="00994F93" w:rsidRPr="00B03B51" w:rsidRDefault="00994F93" w:rsidP="00994F93">
      <w:pPr>
        <w:pStyle w:val="BodyText"/>
        <w:tabs>
          <w:tab w:val="left" w:pos="1126"/>
        </w:tabs>
        <w:spacing w:before="0"/>
        <w:ind w:left="0" w:firstLine="0"/>
        <w:jc w:val="both"/>
        <w:rPr>
          <w:rFonts w:ascii="Times New Roman" w:hAnsi="Times New Roman" w:cs="Times New Roman"/>
          <w:noProof/>
          <w:sz w:val="24"/>
        </w:rPr>
      </w:pPr>
    </w:p>
    <w:p w14:paraId="0D236FB3" w14:textId="77777777" w:rsidR="00994F93" w:rsidRPr="00B03B51" w:rsidRDefault="00994F93" w:rsidP="00994F93">
      <w:pPr>
        <w:pStyle w:val="BodyText"/>
        <w:numPr>
          <w:ilvl w:val="2"/>
          <w:numId w:val="27"/>
        </w:numPr>
        <w:spacing w:before="0"/>
        <w:ind w:left="709" w:hanging="425"/>
        <w:jc w:val="both"/>
        <w:rPr>
          <w:rFonts w:ascii="Times New Roman" w:hAnsi="Times New Roman" w:cs="Times New Roman"/>
          <w:noProof/>
          <w:sz w:val="24"/>
        </w:rPr>
      </w:pPr>
      <w:r w:rsidRPr="00B03B51">
        <w:rPr>
          <w:rFonts w:ascii="Times New Roman" w:hAnsi="Times New Roman" w:cs="Times New Roman"/>
          <w:sz w:val="24"/>
        </w:rPr>
        <w:t>aizdevumu piešķiršana dažām vienībām pēc valdības pieprasījuma. Šeit ietilpst arī gadījumi, kad valdība paraksta vienošanos par aizdevuma izsniegšanu trešām personām (parasti trešām valstīm) un šo aizdevumu izsniegšana un nosacījumu noteikšana ir deleģēta valdības sektoram nepiederošai vienībai (visbiežāk attīstības bankai);</w:t>
      </w:r>
    </w:p>
    <w:p w14:paraId="2380E066" w14:textId="77777777" w:rsidR="00994F93" w:rsidRPr="00B03B51" w:rsidRDefault="00994F93" w:rsidP="00994F93">
      <w:pPr>
        <w:pStyle w:val="BodyText"/>
        <w:numPr>
          <w:ilvl w:val="2"/>
          <w:numId w:val="27"/>
        </w:numPr>
        <w:spacing w:before="0"/>
        <w:ind w:left="709" w:hanging="425"/>
        <w:jc w:val="both"/>
        <w:rPr>
          <w:rFonts w:ascii="Times New Roman" w:hAnsi="Times New Roman" w:cs="Times New Roman"/>
          <w:noProof/>
          <w:sz w:val="24"/>
        </w:rPr>
      </w:pPr>
      <w:r w:rsidRPr="00B03B51">
        <w:rPr>
          <w:rFonts w:ascii="Times New Roman" w:hAnsi="Times New Roman" w:cs="Times New Roman"/>
          <w:sz w:val="24"/>
        </w:rPr>
        <w:t>publiskas sabiedrības akciju iegāde vai turēšana pēc valdības pieprasījuma nozares politikas iemeslu dēļ (piemēram, aviācijas, dzelzceļa, aizsardzības nozarē un privatizācijas procesu laikā);</w:t>
      </w:r>
    </w:p>
    <w:p w14:paraId="222D7B24" w14:textId="77777777" w:rsidR="00994F93" w:rsidRPr="00B03B51" w:rsidRDefault="00994F93" w:rsidP="00994F93">
      <w:pPr>
        <w:pStyle w:val="BodyText"/>
        <w:tabs>
          <w:tab w:val="left" w:pos="1126"/>
        </w:tabs>
        <w:spacing w:before="0"/>
        <w:ind w:left="0" w:firstLine="0"/>
        <w:jc w:val="both"/>
        <w:rPr>
          <w:rFonts w:ascii="Times New Roman" w:hAnsi="Times New Roman" w:cs="Times New Roman"/>
          <w:noProof/>
          <w:sz w:val="24"/>
        </w:rPr>
      </w:pPr>
    </w:p>
    <w:p w14:paraId="45D9DA40" w14:textId="77777777" w:rsidR="00994F93" w:rsidRPr="00B03B51" w:rsidRDefault="00994F93" w:rsidP="00994F93">
      <w:pPr>
        <w:pStyle w:val="BodyText"/>
        <w:tabs>
          <w:tab w:val="left" w:pos="1126"/>
        </w:tabs>
        <w:spacing w:before="0"/>
        <w:ind w:left="284" w:firstLine="0"/>
        <w:jc w:val="both"/>
        <w:rPr>
          <w:rFonts w:ascii="Times New Roman" w:hAnsi="Times New Roman" w:cs="Times New Roman"/>
          <w:noProof/>
          <w:sz w:val="24"/>
        </w:rPr>
      </w:pPr>
      <w:r w:rsidRPr="00B03B51">
        <w:rPr>
          <w:rFonts w:ascii="Times New Roman" w:hAnsi="Times New Roman" w:cs="Times New Roman"/>
          <w:sz w:val="24"/>
        </w:rPr>
        <w:t>b) valdība iepriekšēji nosaka gandrīz visus</w:t>
      </w:r>
      <w:r w:rsidRPr="00B03B51">
        <w:rPr>
          <w:rStyle w:val="FootnoteReference"/>
          <w:rFonts w:ascii="Times New Roman" w:hAnsi="Times New Roman" w:cs="Times New Roman"/>
          <w:noProof/>
          <w:sz w:val="24"/>
        </w:rPr>
        <w:footnoteReference w:id="49"/>
      </w:r>
      <w:r w:rsidRPr="00B03B51">
        <w:rPr>
          <w:rFonts w:ascii="Times New Roman" w:hAnsi="Times New Roman" w:cs="Times New Roman"/>
          <w:sz w:val="24"/>
        </w:rPr>
        <w:t xml:space="preserve"> darījuma vai programmas nosacījumus un prasības (piemēram, procentu likmi, atsevišķus saņēmējus, atmaksas nosacījumus, aizdevuma summas), tādējādi vienības spēja faktiski ietekmēt līgumu kļūst niecīga;</w:t>
      </w:r>
    </w:p>
    <w:p w14:paraId="519693FD" w14:textId="77777777" w:rsidR="00994F93" w:rsidRPr="00B03B51" w:rsidRDefault="00994F93" w:rsidP="00994F93">
      <w:pPr>
        <w:pStyle w:val="BodyText"/>
        <w:tabs>
          <w:tab w:val="left" w:pos="1126"/>
        </w:tabs>
        <w:spacing w:before="0"/>
        <w:ind w:left="284" w:firstLine="0"/>
        <w:jc w:val="both"/>
        <w:rPr>
          <w:rFonts w:ascii="Times New Roman" w:hAnsi="Times New Roman" w:cs="Times New Roman"/>
          <w:noProof/>
          <w:sz w:val="24"/>
        </w:rPr>
      </w:pPr>
    </w:p>
    <w:p w14:paraId="18B8450D" w14:textId="77777777" w:rsidR="00994F93" w:rsidRPr="00B03B51" w:rsidRDefault="00994F93" w:rsidP="00994F93">
      <w:pPr>
        <w:pStyle w:val="BodyText"/>
        <w:tabs>
          <w:tab w:val="left" w:pos="1126"/>
        </w:tabs>
        <w:spacing w:before="0"/>
        <w:ind w:left="284" w:firstLine="0"/>
        <w:jc w:val="both"/>
        <w:rPr>
          <w:rFonts w:ascii="Times New Roman" w:hAnsi="Times New Roman" w:cs="Times New Roman"/>
          <w:noProof/>
          <w:sz w:val="24"/>
        </w:rPr>
      </w:pPr>
      <w:r w:rsidRPr="00B03B51">
        <w:rPr>
          <w:rFonts w:ascii="Times New Roman" w:hAnsi="Times New Roman" w:cs="Times New Roman"/>
          <w:sz w:val="24"/>
        </w:rPr>
        <w:t>c) vispārējās valdības amatpersonas veido vairākumu investīciju komitejās, kuras faktiski lemj par to, vai vienībai ir jāveic viens vai vairāki konkrētie darījumi. Uzskatāms, ka vispārējās valdības amatpersona ir persona, kas pārstāv valdības izpildvaru, un šī amatpersona var būt pat valdības likumdošanas vai tiesu varas pārstāvis (skat. šīs rokasgrāmatas 1.2.2. iedaļas 12. rindkopu).</w:t>
      </w:r>
    </w:p>
    <w:p w14:paraId="703DCC07" w14:textId="77777777" w:rsidR="00994F93" w:rsidRPr="00B03B51" w:rsidRDefault="00994F93" w:rsidP="00994F93">
      <w:pPr>
        <w:pStyle w:val="BodyText"/>
        <w:tabs>
          <w:tab w:val="left" w:pos="987"/>
        </w:tabs>
        <w:spacing w:before="0"/>
        <w:ind w:left="0" w:firstLine="0"/>
        <w:jc w:val="both"/>
        <w:rPr>
          <w:rFonts w:ascii="Times New Roman" w:hAnsi="Times New Roman" w:cs="Times New Roman"/>
          <w:noProof/>
          <w:sz w:val="24"/>
        </w:rPr>
      </w:pPr>
    </w:p>
    <w:p w14:paraId="0DC90D40" w14:textId="77777777" w:rsidR="00994F93" w:rsidRPr="00B03B51" w:rsidRDefault="00994F93" w:rsidP="00994F93">
      <w:pPr>
        <w:pStyle w:val="BodyText"/>
        <w:tabs>
          <w:tab w:val="left" w:pos="987"/>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 xml:space="preserve">111. Par pārkārtošanu turklāt var liecināt šādi </w:t>
      </w:r>
      <w:r w:rsidRPr="00B03B51">
        <w:rPr>
          <w:rFonts w:ascii="Times New Roman" w:hAnsi="Times New Roman" w:cs="Times New Roman"/>
          <w:b/>
          <w:bCs/>
          <w:sz w:val="24"/>
        </w:rPr>
        <w:t>indikatīvi</w:t>
      </w:r>
      <w:r w:rsidRPr="00B03B51">
        <w:rPr>
          <w:rFonts w:ascii="Times New Roman" w:hAnsi="Times New Roman" w:cs="Times New Roman"/>
          <w:sz w:val="24"/>
        </w:rPr>
        <w:t xml:space="preserve"> rādītāji:</w:t>
      </w:r>
    </w:p>
    <w:p w14:paraId="750E0885" w14:textId="77777777" w:rsidR="00994F93" w:rsidRPr="00B03B51" w:rsidRDefault="00994F93" w:rsidP="00994F93">
      <w:pPr>
        <w:pStyle w:val="BodyText"/>
        <w:tabs>
          <w:tab w:val="left" w:pos="1126"/>
        </w:tabs>
        <w:spacing w:before="0"/>
        <w:ind w:left="0" w:firstLine="0"/>
        <w:jc w:val="both"/>
        <w:rPr>
          <w:rFonts w:ascii="Times New Roman" w:hAnsi="Times New Roman" w:cs="Times New Roman"/>
          <w:noProof/>
          <w:sz w:val="24"/>
        </w:rPr>
      </w:pPr>
    </w:p>
    <w:p w14:paraId="3669BFF7" w14:textId="77777777" w:rsidR="00994F93" w:rsidRPr="00B03B51" w:rsidRDefault="00994F93" w:rsidP="00994F93">
      <w:pPr>
        <w:pStyle w:val="BodyText"/>
        <w:tabs>
          <w:tab w:val="left" w:pos="1126"/>
        </w:tabs>
        <w:spacing w:before="0"/>
        <w:ind w:left="284" w:firstLine="0"/>
        <w:jc w:val="both"/>
        <w:rPr>
          <w:rFonts w:ascii="Times New Roman" w:hAnsi="Times New Roman" w:cs="Times New Roman"/>
          <w:noProof/>
          <w:sz w:val="24"/>
        </w:rPr>
      </w:pPr>
      <w:r w:rsidRPr="00B03B51">
        <w:rPr>
          <w:rFonts w:ascii="Times New Roman" w:hAnsi="Times New Roman" w:cs="Times New Roman"/>
          <w:sz w:val="24"/>
        </w:rPr>
        <w:t>a) ir citi apliecinājumi, ka darījums/programma tiek īstenots pēc valdības pieprasījuma un valdības sektoram nepiederošai vienībai ir ierobežota brīvība noteikt nosacījumus. Tie ir, piemēram, attiecīgo vienību, uzraudzības iestāžu vai revidentu paziņojumi, kas sniegti gada pārskatos, utt. Dažkārt tie var būt pat valdības amatpersonu sniegti mutiski paziņojumi;</w:t>
      </w:r>
    </w:p>
    <w:p w14:paraId="11F64511" w14:textId="77777777" w:rsidR="00994F93" w:rsidRPr="00B03B51" w:rsidRDefault="00994F93" w:rsidP="00994F93">
      <w:pPr>
        <w:pStyle w:val="BodyText"/>
        <w:tabs>
          <w:tab w:val="left" w:pos="1126"/>
        </w:tabs>
        <w:spacing w:before="0"/>
        <w:ind w:left="284" w:firstLine="0"/>
        <w:jc w:val="both"/>
        <w:rPr>
          <w:rFonts w:ascii="Times New Roman" w:hAnsi="Times New Roman" w:cs="Times New Roman"/>
          <w:noProof/>
          <w:sz w:val="24"/>
        </w:rPr>
      </w:pPr>
    </w:p>
    <w:p w14:paraId="2FC46AF4" w14:textId="77777777" w:rsidR="00994F93" w:rsidRPr="00B03B51" w:rsidRDefault="00994F93" w:rsidP="00994F93">
      <w:pPr>
        <w:pStyle w:val="BodyText"/>
        <w:tabs>
          <w:tab w:val="left" w:pos="1126"/>
        </w:tabs>
        <w:spacing w:before="0"/>
        <w:ind w:left="284" w:firstLine="0"/>
        <w:jc w:val="both"/>
        <w:rPr>
          <w:rFonts w:ascii="Times New Roman" w:hAnsi="Times New Roman" w:cs="Times New Roman"/>
          <w:noProof/>
          <w:sz w:val="24"/>
        </w:rPr>
      </w:pPr>
      <w:r w:rsidRPr="00B03B51">
        <w:rPr>
          <w:rFonts w:ascii="Times New Roman" w:hAnsi="Times New Roman" w:cs="Times New Roman"/>
          <w:sz w:val="24"/>
        </w:rPr>
        <w:t>b) ja valdības sektoram nepiederoša vienība veic uzdevumus, kas patiesībā ir valdības atbildība vai uz kuriem attiecas valsts politikas mērķi/apņemšanās. Šādos gadījumos ir jāanalizē, vai vienība rīkojas savās interesēs vai kā valdības aģents – pat ja nav skaidras norādes, ka subjekts rīkojas valdības vārdā;</w:t>
      </w:r>
    </w:p>
    <w:p w14:paraId="1D47DAF3" w14:textId="77777777" w:rsidR="00994F93" w:rsidRPr="00B03B51" w:rsidRDefault="00994F93" w:rsidP="00994F93">
      <w:pPr>
        <w:pStyle w:val="BodyText"/>
        <w:tabs>
          <w:tab w:val="left" w:pos="1126"/>
        </w:tabs>
        <w:spacing w:before="0"/>
        <w:ind w:left="284" w:firstLine="0"/>
        <w:jc w:val="both"/>
        <w:rPr>
          <w:rFonts w:ascii="Times New Roman" w:hAnsi="Times New Roman" w:cs="Times New Roman"/>
          <w:noProof/>
          <w:sz w:val="24"/>
        </w:rPr>
      </w:pPr>
    </w:p>
    <w:p w14:paraId="68A75A9E" w14:textId="77777777" w:rsidR="00994F93" w:rsidRPr="00B03B51" w:rsidRDefault="00994F93" w:rsidP="00994F93">
      <w:pPr>
        <w:pStyle w:val="BodyText"/>
        <w:tabs>
          <w:tab w:val="left" w:pos="1126"/>
        </w:tabs>
        <w:spacing w:before="0"/>
        <w:ind w:left="284" w:firstLine="0"/>
        <w:jc w:val="both"/>
        <w:rPr>
          <w:rFonts w:ascii="Times New Roman" w:hAnsi="Times New Roman" w:cs="Times New Roman"/>
          <w:noProof/>
          <w:sz w:val="24"/>
        </w:rPr>
      </w:pPr>
      <w:r w:rsidRPr="00B03B51">
        <w:rPr>
          <w:rFonts w:ascii="Times New Roman" w:hAnsi="Times New Roman" w:cs="Times New Roman"/>
          <w:sz w:val="24"/>
        </w:rPr>
        <w:t>c) ja darījums vai programma iepriekš tika tieši administrēti un ierakstīti valdības kontos (ar attiecīgajiem krājumiem un plūsmām) un pēc tam pārvietoti uz vienību ar nelielām attiecīgo parametru izmaiņām vai vispār bez izmaiņām;</w:t>
      </w:r>
    </w:p>
    <w:p w14:paraId="774C3E08" w14:textId="77777777" w:rsidR="00994F93" w:rsidRPr="00B03B51" w:rsidRDefault="00994F93" w:rsidP="00994F93">
      <w:pPr>
        <w:pStyle w:val="BodyText"/>
        <w:tabs>
          <w:tab w:val="left" w:pos="1126"/>
        </w:tabs>
        <w:spacing w:before="0"/>
        <w:ind w:left="284" w:firstLine="0"/>
        <w:jc w:val="both"/>
        <w:rPr>
          <w:rFonts w:ascii="Times New Roman" w:hAnsi="Times New Roman" w:cs="Times New Roman"/>
          <w:noProof/>
          <w:sz w:val="24"/>
        </w:rPr>
      </w:pPr>
    </w:p>
    <w:p w14:paraId="42F4A28E" w14:textId="77777777" w:rsidR="00994F93" w:rsidRPr="00B03B51" w:rsidRDefault="00994F93" w:rsidP="00994F93">
      <w:pPr>
        <w:pStyle w:val="BodyText"/>
        <w:tabs>
          <w:tab w:val="left" w:pos="1126"/>
        </w:tabs>
        <w:spacing w:before="0"/>
        <w:ind w:left="284" w:firstLine="0"/>
        <w:jc w:val="both"/>
        <w:rPr>
          <w:rFonts w:ascii="Times New Roman" w:hAnsi="Times New Roman" w:cs="Times New Roman"/>
          <w:noProof/>
          <w:sz w:val="24"/>
        </w:rPr>
      </w:pPr>
      <w:r w:rsidRPr="00B03B51">
        <w:rPr>
          <w:rFonts w:ascii="Times New Roman" w:hAnsi="Times New Roman" w:cs="Times New Roman"/>
          <w:sz w:val="24"/>
        </w:rPr>
        <w:t>d) aizdevumi, kas kļuvuši par Parīzes kluba</w:t>
      </w:r>
      <w:r w:rsidRPr="00B03B51">
        <w:rPr>
          <w:rStyle w:val="FootnoteReference"/>
          <w:rFonts w:ascii="Times New Roman" w:hAnsi="Times New Roman" w:cs="Times New Roman"/>
          <w:noProof/>
          <w:sz w:val="24"/>
        </w:rPr>
        <w:footnoteReference w:id="50"/>
      </w:r>
      <w:r w:rsidRPr="00B03B51">
        <w:rPr>
          <w:rFonts w:ascii="Times New Roman" w:hAnsi="Times New Roman" w:cs="Times New Roman"/>
          <w:sz w:val="24"/>
        </w:rPr>
        <w:t xml:space="preserve"> sarunu objektu, ja tos ir sniegusi nevis tieši valdība, bet citas publiskas finanšu iestādes, kas bieži vien ir attīstības bankas.</w:t>
      </w:r>
    </w:p>
    <w:p w14:paraId="3E0CFFEC" w14:textId="77777777" w:rsidR="00994F93" w:rsidRPr="00B03B51" w:rsidRDefault="00994F93" w:rsidP="00994F93">
      <w:pPr>
        <w:ind w:left="284"/>
        <w:jc w:val="both"/>
        <w:rPr>
          <w:rFonts w:ascii="Times New Roman" w:eastAsia="Arial" w:hAnsi="Times New Roman" w:cs="Times New Roman"/>
          <w:noProof/>
          <w:sz w:val="24"/>
          <w:szCs w:val="26"/>
        </w:rPr>
      </w:pPr>
    </w:p>
    <w:p w14:paraId="13C2CE83" w14:textId="4B750D73" w:rsidR="00994F93" w:rsidRPr="00B03B51" w:rsidRDefault="00994F93" w:rsidP="00994F93">
      <w:pPr>
        <w:pStyle w:val="BodyText"/>
        <w:spacing w:before="0"/>
        <w:ind w:left="284" w:firstLine="0"/>
        <w:jc w:val="both"/>
        <w:rPr>
          <w:rFonts w:ascii="Times New Roman" w:hAnsi="Times New Roman" w:cs="Times New Roman"/>
          <w:noProof/>
          <w:sz w:val="24"/>
        </w:rPr>
      </w:pPr>
      <w:r w:rsidRPr="00B03B51">
        <w:rPr>
          <w:rFonts w:ascii="Times New Roman" w:hAnsi="Times New Roman" w:cs="Times New Roman"/>
          <w:sz w:val="24"/>
        </w:rPr>
        <w:t xml:space="preserve">Pārkārtošana ir jāveic, ja valdības amatpersonas nerīkojas publiskas finanšu iestādes/attīstības bankas interesēs (t. i., maksimāli atgūt līdzekļus vai izpildīt publiskas finanšu iestādes/attīstības bankas vispārējo pilnvarojumu). Tas tā ir jo īpaši gadījumos, ja sarunu rezultātā tiek panākts būtisks parāda </w:t>
      </w:r>
      <w:r w:rsidR="0071541E" w:rsidRPr="00B03B51">
        <w:rPr>
          <w:rFonts w:ascii="Times New Roman" w:hAnsi="Times New Roman" w:cs="Times New Roman"/>
          <w:sz w:val="24"/>
        </w:rPr>
        <w:t>anulēšanas</w:t>
      </w:r>
      <w:r w:rsidRPr="00B03B51">
        <w:rPr>
          <w:rFonts w:ascii="Times New Roman" w:hAnsi="Times New Roman" w:cs="Times New Roman"/>
          <w:sz w:val="24"/>
        </w:rPr>
        <w:t xml:space="preserve"> komponents, tādējādi atlikusī aizdevuma daļa ir jāpārkārto uz valdību.</w:t>
      </w:r>
    </w:p>
    <w:p w14:paraId="33793FE6" w14:textId="77777777" w:rsidR="00994F93" w:rsidRPr="008A2DC9" w:rsidRDefault="00994F93" w:rsidP="008A2DC9">
      <w:pPr>
        <w:rPr>
          <w:rFonts w:ascii="Times New Roman" w:hAnsi="Times New Roman" w:cs="Times New Roman"/>
          <w:noProof/>
          <w:sz w:val="24"/>
          <w:szCs w:val="24"/>
        </w:rPr>
      </w:pPr>
    </w:p>
    <w:p w14:paraId="4D9518E5" w14:textId="77777777" w:rsidR="00994F93" w:rsidRPr="00B03B51" w:rsidRDefault="00994F93" w:rsidP="00994F93">
      <w:pPr>
        <w:pStyle w:val="Heading6"/>
        <w:tabs>
          <w:tab w:val="left" w:pos="1692"/>
        </w:tabs>
        <w:ind w:left="0" w:firstLine="0"/>
        <w:jc w:val="both"/>
        <w:rPr>
          <w:rFonts w:ascii="Times New Roman" w:hAnsi="Times New Roman" w:cs="Times New Roman"/>
          <w:noProof/>
          <w:sz w:val="24"/>
        </w:rPr>
      </w:pPr>
      <w:r w:rsidRPr="00B03B51">
        <w:rPr>
          <w:rFonts w:ascii="Times New Roman" w:hAnsi="Times New Roman" w:cs="Times New Roman"/>
          <w:sz w:val="24"/>
        </w:rPr>
        <w:t>1.2.4.5.3. Tādu darījumu pārkārtošana, ko veikušas valdības sektoram nepiederošas vienības, pamatojoties uz riskiem un priekšrocībām</w:t>
      </w:r>
    </w:p>
    <w:p w14:paraId="6BE8E7D3" w14:textId="77777777" w:rsidR="00994F93" w:rsidRPr="00B03B51" w:rsidRDefault="00994F93" w:rsidP="00994F93">
      <w:pPr>
        <w:pStyle w:val="BodyText"/>
        <w:tabs>
          <w:tab w:val="left" w:pos="987"/>
        </w:tabs>
        <w:spacing w:before="0"/>
        <w:ind w:left="0" w:firstLine="0"/>
        <w:jc w:val="both"/>
        <w:rPr>
          <w:rFonts w:ascii="Times New Roman" w:hAnsi="Times New Roman" w:cs="Times New Roman"/>
          <w:noProof/>
          <w:sz w:val="24"/>
        </w:rPr>
      </w:pPr>
    </w:p>
    <w:p w14:paraId="6112734D" w14:textId="77777777" w:rsidR="00994F93" w:rsidRPr="00B03B51" w:rsidRDefault="00994F93" w:rsidP="00994F93">
      <w:pPr>
        <w:pStyle w:val="BodyText"/>
        <w:tabs>
          <w:tab w:val="left" w:pos="987"/>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 xml:space="preserve">112. Parastos apstākļos aktīvu ieraksta tā subjekta bilancē, kas uzņemas ar šo aktīvu saistītos riskus un priekšrocības. Pārkārtošana ir jāveic, ja </w:t>
      </w:r>
      <w:r w:rsidRPr="00B03B51">
        <w:rPr>
          <w:rFonts w:ascii="Times New Roman" w:hAnsi="Times New Roman" w:cs="Times New Roman"/>
          <w:i/>
          <w:iCs/>
          <w:sz w:val="24"/>
        </w:rPr>
        <w:t>de iure</w:t>
      </w:r>
      <w:r w:rsidRPr="00B03B51">
        <w:rPr>
          <w:rFonts w:ascii="Times New Roman" w:hAnsi="Times New Roman" w:cs="Times New Roman"/>
          <w:sz w:val="24"/>
        </w:rPr>
        <w:t xml:space="preserve"> vai </w:t>
      </w:r>
      <w:r w:rsidRPr="00B03B51">
        <w:rPr>
          <w:rFonts w:ascii="Times New Roman" w:hAnsi="Times New Roman" w:cs="Times New Roman"/>
          <w:i/>
          <w:iCs/>
          <w:sz w:val="24"/>
        </w:rPr>
        <w:t>de facto</w:t>
      </w:r>
      <w:r w:rsidRPr="00B03B51">
        <w:rPr>
          <w:rFonts w:ascii="Times New Roman" w:hAnsi="Times New Roman" w:cs="Times New Roman"/>
          <w:sz w:val="24"/>
        </w:rPr>
        <w:t xml:space="preserve"> galvenais darītājs uzņemas visus riskus un priekšrocības saistībā ar aktīvu, kurš kāda iemesla dēļ neparādās tā bilancē (un, domājams, parādās aģenta bilancē), vai, ja ir ieteicams, darījumā iesaistītās puses bilancē ierakstīt aktīvu un attiecīgās saistības, lai pareizi atspoguļotu šīs darījuma puses iesaisti vai risku un priekšrocību dalīšanu (skat. iepriekš).</w:t>
      </w:r>
    </w:p>
    <w:p w14:paraId="1BDE2F4F" w14:textId="77777777" w:rsidR="00994F93" w:rsidRPr="00B03B51" w:rsidRDefault="00994F93" w:rsidP="00994F93">
      <w:pPr>
        <w:pStyle w:val="BodyText"/>
        <w:tabs>
          <w:tab w:val="left" w:pos="987"/>
        </w:tabs>
        <w:spacing w:before="0"/>
        <w:ind w:left="0" w:firstLine="0"/>
        <w:jc w:val="both"/>
        <w:rPr>
          <w:rFonts w:ascii="Times New Roman" w:hAnsi="Times New Roman" w:cs="Times New Roman"/>
          <w:i/>
          <w:noProof/>
          <w:sz w:val="24"/>
        </w:rPr>
      </w:pPr>
    </w:p>
    <w:p w14:paraId="35C9B77A" w14:textId="77777777" w:rsidR="00994F93" w:rsidRPr="00B03B51" w:rsidRDefault="00994F93" w:rsidP="00994F93">
      <w:pPr>
        <w:pStyle w:val="BodyText"/>
        <w:tabs>
          <w:tab w:val="left" w:pos="987"/>
        </w:tabs>
        <w:spacing w:before="0"/>
        <w:ind w:left="0" w:firstLine="0"/>
        <w:jc w:val="both"/>
        <w:rPr>
          <w:rFonts w:ascii="Times New Roman" w:hAnsi="Times New Roman" w:cs="Times New Roman"/>
          <w:noProof/>
          <w:sz w:val="24"/>
        </w:rPr>
      </w:pPr>
      <w:r w:rsidRPr="00B03B51">
        <w:rPr>
          <w:rFonts w:ascii="Times New Roman" w:hAnsi="Times New Roman" w:cs="Times New Roman"/>
          <w:iCs/>
          <w:sz w:val="24"/>
        </w:rPr>
        <w:t xml:space="preserve">113. </w:t>
      </w:r>
      <w:r w:rsidRPr="00B03B51">
        <w:rPr>
          <w:rFonts w:ascii="Times New Roman" w:hAnsi="Times New Roman" w:cs="Times New Roman"/>
          <w:i/>
          <w:sz w:val="24"/>
        </w:rPr>
        <w:t>A priori</w:t>
      </w:r>
      <w:r w:rsidRPr="00B03B51">
        <w:rPr>
          <w:rFonts w:ascii="Times New Roman" w:hAnsi="Times New Roman" w:cs="Times New Roman"/>
          <w:sz w:val="24"/>
        </w:rPr>
        <w:t>, ja piemēro pareizu uzskaiti, avota datiem ir jāparāda, ka aktīvs ir galvenā darītāja bilancē, kad tas uzņemas riskus un priekšrocības. Savukārt aģentam savā bilancē nav jāparāda šis aktīvs. Ja tas to dara, aktīvu var ierakstīt bilances nošķirtajā daļā kopā ar attiecīgo saistību ierakstu, lai neitralizētu ietekmi uz aģenta neto aktīviem. Tomēr praksē avota datos (galvenā darītāja un tā aģenta datos), kurus izmanto statistikas veidotāji, var atrast visu veidu situācijas. Tādējādi var rasties vajadzība veikt pārkārtošanu.</w:t>
      </w:r>
    </w:p>
    <w:p w14:paraId="16908BA1" w14:textId="77777777" w:rsidR="00994F93" w:rsidRPr="00B03B51" w:rsidRDefault="00994F93" w:rsidP="00994F93">
      <w:pPr>
        <w:pStyle w:val="BodyText"/>
        <w:tabs>
          <w:tab w:val="left" w:pos="987"/>
        </w:tabs>
        <w:spacing w:before="0"/>
        <w:ind w:left="0" w:firstLine="0"/>
        <w:jc w:val="both"/>
        <w:rPr>
          <w:rFonts w:ascii="Times New Roman" w:hAnsi="Times New Roman" w:cs="Times New Roman"/>
          <w:noProof/>
          <w:sz w:val="24"/>
        </w:rPr>
      </w:pPr>
    </w:p>
    <w:p w14:paraId="42495DD4" w14:textId="77777777" w:rsidR="00994F93" w:rsidRPr="00B03B51" w:rsidRDefault="00994F93" w:rsidP="00994F93">
      <w:pPr>
        <w:pStyle w:val="BodyText"/>
        <w:tabs>
          <w:tab w:val="left" w:pos="987"/>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114. Pārkārtošanu var arī veikt, ja vienība noteiktos apstākļos, kas paskaidroti turpmākā izklāstā, rīkojas saskaņā ar būtisku valdības iesaisti, neuzņemoties riskus (vai uzņemoties mazus riskus), bet gūstot priekšrocības.</w:t>
      </w:r>
    </w:p>
    <w:p w14:paraId="13A16CA7" w14:textId="77777777" w:rsidR="00994F93" w:rsidRPr="00B03B51" w:rsidRDefault="00994F93" w:rsidP="00994F93">
      <w:pPr>
        <w:pStyle w:val="BodyText"/>
        <w:tabs>
          <w:tab w:val="left" w:pos="987"/>
        </w:tabs>
        <w:spacing w:before="0"/>
        <w:ind w:left="0" w:firstLine="0"/>
        <w:jc w:val="both"/>
        <w:rPr>
          <w:rFonts w:ascii="Times New Roman" w:hAnsi="Times New Roman" w:cs="Times New Roman"/>
          <w:noProof/>
          <w:sz w:val="24"/>
        </w:rPr>
      </w:pPr>
    </w:p>
    <w:p w14:paraId="32D205F4" w14:textId="77777777" w:rsidR="00994F93" w:rsidRPr="00B03B51" w:rsidRDefault="00994F93" w:rsidP="00994F93">
      <w:pPr>
        <w:pStyle w:val="BodyText"/>
        <w:tabs>
          <w:tab w:val="left" w:pos="987"/>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115. Vienība šajā gadījumā rīkojas nevis tikai kā valdības aģents, bet gan parasti vairāk iesaistās darījuma īstenošanā. Piemēram, vienībai ir stimuls sniegt labākos darbības rezultātus un saņemt atlīdzību lielākas saimnieciskās darbības peļņas normas veidā (ko bieži vien maksā valdība). Šādā situācijā valdības ietekmi parāda tas, ka tā ir iesaistījusies programmas izstrādē (piemēram, lai atbalstītu MVU), vai tas, ka valdība darījumam vai programmai, kas parasti ir sabiedrības pamatuzdevums, nosaka būtiskus nosacījumus (piemēram, apjomu, darījuma partneri un/vai cenu/piemērotos procentus).</w:t>
      </w:r>
    </w:p>
    <w:p w14:paraId="3E3B3FD3" w14:textId="77777777" w:rsidR="00994F93" w:rsidRPr="00B03B51" w:rsidRDefault="00994F93" w:rsidP="00994F93">
      <w:pPr>
        <w:pStyle w:val="BodyText"/>
        <w:tabs>
          <w:tab w:val="left" w:pos="987"/>
        </w:tabs>
        <w:spacing w:before="0"/>
        <w:ind w:left="0" w:firstLine="0"/>
        <w:jc w:val="both"/>
        <w:rPr>
          <w:rFonts w:ascii="Times New Roman" w:hAnsi="Times New Roman" w:cs="Times New Roman"/>
          <w:noProof/>
          <w:sz w:val="24"/>
        </w:rPr>
      </w:pPr>
    </w:p>
    <w:p w14:paraId="020C67DC" w14:textId="77777777" w:rsidR="00994F93" w:rsidRPr="00B03B51" w:rsidRDefault="00994F93" w:rsidP="00994F93">
      <w:pPr>
        <w:pStyle w:val="BodyText"/>
        <w:tabs>
          <w:tab w:val="left" w:pos="987"/>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116. Valdība parasti uzņemas riskus, noteiktu esošo garantiju vai citu pasākumu veidā. Kopumā tikai tas vien, ka pastāv garantijas, neietekmē aktīvu un saistību klasifikāciju, jo sistēma kopumā uzskata garantijas par iespējamām saistībām. Tomēr, ja garantija vai garantijai līdzīga kārtība ir skaidri saistīta ar valdības būtisku iesaisti programmas vai darījuma izstrādē, to uzskata par īpaši tam paredzētu garantijas kārtību, kurai nepieciešama pārkārtošana.</w:t>
      </w:r>
    </w:p>
    <w:p w14:paraId="30F90D1C" w14:textId="77777777" w:rsidR="00994F93" w:rsidRPr="00B03B51" w:rsidRDefault="00994F93" w:rsidP="00994F93">
      <w:pPr>
        <w:pStyle w:val="BodyText"/>
        <w:tabs>
          <w:tab w:val="left" w:pos="987"/>
        </w:tabs>
        <w:spacing w:before="0"/>
        <w:ind w:left="0" w:firstLine="0"/>
        <w:jc w:val="both"/>
        <w:rPr>
          <w:rFonts w:ascii="Times New Roman" w:hAnsi="Times New Roman" w:cs="Times New Roman"/>
          <w:noProof/>
          <w:sz w:val="24"/>
        </w:rPr>
      </w:pPr>
    </w:p>
    <w:p w14:paraId="5D78A8C4" w14:textId="77777777" w:rsidR="00994F93" w:rsidRPr="00B03B51" w:rsidRDefault="00994F93" w:rsidP="00994F93">
      <w:pPr>
        <w:pStyle w:val="BodyText"/>
        <w:tabs>
          <w:tab w:val="left" w:pos="987"/>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117. Savukārt garantijām, kuras paredzētas aktīviem vai saistībām, ja pastāv vispārējas garantijas aktīviem un/vai saistībām, kā arī dažu veidu netiešās saistības, piemēram, institucionālās saistības, tas nav rādītājs, ka jāveic pārkārtošana, bet tās ir sīki jāanalizē saistībā ar paša subjekta sektoru klasifikāciju. Tās ir vispārīgāks visa subjekta vai tā kreditoru aizsardzības veids.</w:t>
      </w:r>
    </w:p>
    <w:p w14:paraId="78EF3D84" w14:textId="77777777" w:rsidR="00994F93" w:rsidRPr="00B03B51" w:rsidRDefault="00994F93" w:rsidP="00994F93">
      <w:pPr>
        <w:pStyle w:val="BodyText"/>
        <w:tabs>
          <w:tab w:val="left" w:pos="987"/>
        </w:tabs>
        <w:spacing w:before="0"/>
        <w:ind w:left="0" w:firstLine="0"/>
        <w:jc w:val="both"/>
        <w:rPr>
          <w:rFonts w:ascii="Times New Roman" w:hAnsi="Times New Roman" w:cs="Times New Roman"/>
          <w:noProof/>
          <w:sz w:val="24"/>
        </w:rPr>
      </w:pPr>
    </w:p>
    <w:p w14:paraId="0D17FAC0" w14:textId="77777777" w:rsidR="00994F93" w:rsidRPr="00B03B51" w:rsidRDefault="00994F93" w:rsidP="00994F93">
      <w:pPr>
        <w:pStyle w:val="BodyText"/>
        <w:tabs>
          <w:tab w:val="left" w:pos="987"/>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 xml:space="preserve">118. Saistībā ar iepriekš minēto, jebkurš no turpmākajiem rādītājiem ir </w:t>
      </w:r>
      <w:r w:rsidRPr="00B03B51">
        <w:rPr>
          <w:rFonts w:ascii="Times New Roman" w:hAnsi="Times New Roman" w:cs="Times New Roman"/>
          <w:b/>
          <w:bCs/>
          <w:sz w:val="24"/>
        </w:rPr>
        <w:t>pietiekams</w:t>
      </w:r>
      <w:r w:rsidRPr="00B03B51">
        <w:rPr>
          <w:rFonts w:ascii="Times New Roman" w:hAnsi="Times New Roman" w:cs="Times New Roman"/>
          <w:sz w:val="24"/>
        </w:rPr>
        <w:t xml:space="preserve"> pārkārtošanas veikšanai:</w:t>
      </w:r>
    </w:p>
    <w:p w14:paraId="6BFB4CB9" w14:textId="77777777" w:rsidR="00994F93" w:rsidRPr="00B03B51" w:rsidRDefault="00994F93" w:rsidP="00994F93">
      <w:pPr>
        <w:pStyle w:val="BodyText"/>
        <w:tabs>
          <w:tab w:val="left" w:pos="1126"/>
        </w:tabs>
        <w:spacing w:before="0"/>
        <w:ind w:left="0" w:firstLine="0"/>
        <w:jc w:val="both"/>
        <w:rPr>
          <w:rFonts w:ascii="Times New Roman" w:hAnsi="Times New Roman" w:cs="Times New Roman"/>
          <w:noProof/>
          <w:sz w:val="24"/>
        </w:rPr>
      </w:pPr>
    </w:p>
    <w:p w14:paraId="22BB3F28" w14:textId="77777777" w:rsidR="00994F93" w:rsidRPr="00B03B51" w:rsidRDefault="00994F93" w:rsidP="00994F93">
      <w:pPr>
        <w:pStyle w:val="BodyText"/>
        <w:tabs>
          <w:tab w:val="left" w:pos="1126"/>
        </w:tabs>
        <w:spacing w:before="0"/>
        <w:ind w:left="284" w:firstLine="0"/>
        <w:jc w:val="both"/>
        <w:rPr>
          <w:rFonts w:ascii="Times New Roman" w:hAnsi="Times New Roman" w:cs="Times New Roman"/>
          <w:noProof/>
          <w:sz w:val="24"/>
        </w:rPr>
      </w:pPr>
      <w:r w:rsidRPr="00B03B51">
        <w:rPr>
          <w:rFonts w:ascii="Times New Roman" w:hAnsi="Times New Roman" w:cs="Times New Roman"/>
          <w:sz w:val="24"/>
        </w:rPr>
        <w:t>a) valdība uzņemas lielāko daļu ar aktīvu saistīto risku un priekšrocību, lai arī aktīva likumīgās īpašumtiesības pieder valdības sektoram neiederošai vienībai. Tostarp tas attiecas uz gadījumiem, kad valdības vārdā valdības sektoram nepiederoša vienība pārvalda finanšu aktīvus (piemēram, naudas apvienošana), nodrošina tirgus risku ierobežošanu vai pārdod tirgus instrumentus cenu stabilizācijas vajadzībām (zelta vai vara cena);</w:t>
      </w:r>
    </w:p>
    <w:p w14:paraId="0472B561" w14:textId="77777777" w:rsidR="00994F93" w:rsidRPr="00B03B51" w:rsidRDefault="00994F93" w:rsidP="00994F93">
      <w:pPr>
        <w:pStyle w:val="BodyText"/>
        <w:tabs>
          <w:tab w:val="left" w:pos="1126"/>
        </w:tabs>
        <w:spacing w:before="0"/>
        <w:ind w:left="284" w:firstLine="0"/>
        <w:jc w:val="both"/>
        <w:rPr>
          <w:rFonts w:ascii="Times New Roman" w:hAnsi="Times New Roman" w:cs="Times New Roman"/>
          <w:noProof/>
          <w:sz w:val="24"/>
        </w:rPr>
      </w:pPr>
    </w:p>
    <w:p w14:paraId="3FA50788" w14:textId="77777777" w:rsidR="00994F93" w:rsidRPr="00B03B51" w:rsidRDefault="00994F93" w:rsidP="00994F93">
      <w:pPr>
        <w:pStyle w:val="BodyText"/>
        <w:tabs>
          <w:tab w:val="left" w:pos="1126"/>
        </w:tabs>
        <w:spacing w:before="0"/>
        <w:ind w:left="284" w:firstLine="0"/>
        <w:jc w:val="both"/>
        <w:rPr>
          <w:rFonts w:ascii="Times New Roman" w:hAnsi="Times New Roman" w:cs="Times New Roman"/>
          <w:noProof/>
          <w:sz w:val="24"/>
        </w:rPr>
      </w:pPr>
      <w:r w:rsidRPr="00B03B51">
        <w:rPr>
          <w:rFonts w:ascii="Times New Roman" w:hAnsi="Times New Roman" w:cs="Times New Roman"/>
          <w:sz w:val="24"/>
        </w:rPr>
        <w:t>b) kad valdība nosaka darījumam/programmai būtiskus nosacījumus un subjektam tiek kompensēta vismaz puse no saistītajiem zaudējumiem. Tas jo īpaši ir gadījumā, ja līdz ar darījumu vai programmu tiek sniegtas valsts papildu garantijas par saistītajiem aktīviem un/vai saistībām.</w:t>
      </w:r>
    </w:p>
    <w:p w14:paraId="391EB636" w14:textId="77777777" w:rsidR="00994F93" w:rsidRPr="008A2DC9" w:rsidRDefault="00994F93" w:rsidP="008A2DC9">
      <w:pPr>
        <w:rPr>
          <w:rFonts w:ascii="Times New Roman" w:hAnsi="Times New Roman" w:cs="Times New Roman"/>
          <w:noProof/>
          <w:sz w:val="24"/>
          <w:szCs w:val="24"/>
        </w:rPr>
      </w:pPr>
    </w:p>
    <w:p w14:paraId="6A410C3B" w14:textId="77777777" w:rsidR="00994F93" w:rsidRPr="00B03B51" w:rsidRDefault="00994F93" w:rsidP="00994F93">
      <w:pPr>
        <w:pStyle w:val="Heading6"/>
        <w:tabs>
          <w:tab w:val="left" w:pos="1692"/>
        </w:tabs>
        <w:ind w:left="0" w:firstLine="0"/>
        <w:jc w:val="both"/>
        <w:rPr>
          <w:rFonts w:ascii="Times New Roman" w:hAnsi="Times New Roman" w:cs="Times New Roman"/>
          <w:noProof/>
          <w:sz w:val="24"/>
        </w:rPr>
      </w:pPr>
      <w:r w:rsidRPr="00B03B51">
        <w:rPr>
          <w:rFonts w:ascii="Times New Roman" w:hAnsi="Times New Roman" w:cs="Times New Roman"/>
          <w:sz w:val="24"/>
        </w:rPr>
        <w:t>1.2.4.5.4. Pārkārtošana saistībā ar nekomerciāliem darījumiem, ko veic valdības sektoram nepiederošas vienības</w:t>
      </w:r>
    </w:p>
    <w:p w14:paraId="5C7F32BC" w14:textId="77777777" w:rsidR="00994F93" w:rsidRPr="00B03B51" w:rsidRDefault="00994F93" w:rsidP="00994F93">
      <w:pPr>
        <w:pStyle w:val="BodyText"/>
        <w:tabs>
          <w:tab w:val="left" w:pos="987"/>
        </w:tabs>
        <w:spacing w:before="0"/>
        <w:ind w:left="0" w:firstLine="0"/>
        <w:jc w:val="both"/>
        <w:rPr>
          <w:rFonts w:ascii="Times New Roman" w:hAnsi="Times New Roman" w:cs="Times New Roman"/>
          <w:noProof/>
          <w:sz w:val="24"/>
        </w:rPr>
      </w:pPr>
    </w:p>
    <w:p w14:paraId="16CA4771" w14:textId="77777777" w:rsidR="00994F93" w:rsidRPr="00B03B51" w:rsidRDefault="00994F93" w:rsidP="00994F93">
      <w:pPr>
        <w:pStyle w:val="BodyText"/>
        <w:tabs>
          <w:tab w:val="left" w:pos="987"/>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119. Pārkārtošana ir arī jāizvērtē saistībā ar nekomerciāliem darījumiem, ko veic valdības sektoram nepiederošas vienības. Šādos gadījumos jau darbību raksturlielumi (piemēram, ienākuma un bagātības pārdale, strukturālie zaudējumi) varētu pietiekami liecināt par valdības ietekmes esamību un to, ka ir nepieciešama pārkārtošana.</w:t>
      </w:r>
    </w:p>
    <w:p w14:paraId="6923782A" w14:textId="77777777" w:rsidR="00994F93" w:rsidRPr="00B03B51" w:rsidRDefault="00994F93" w:rsidP="00994F93">
      <w:pPr>
        <w:pStyle w:val="BodyText"/>
        <w:tabs>
          <w:tab w:val="left" w:pos="987"/>
        </w:tabs>
        <w:spacing w:before="0"/>
        <w:ind w:left="0" w:firstLine="0"/>
        <w:jc w:val="both"/>
        <w:rPr>
          <w:rFonts w:ascii="Times New Roman" w:hAnsi="Times New Roman" w:cs="Times New Roman"/>
          <w:noProof/>
          <w:sz w:val="24"/>
        </w:rPr>
      </w:pPr>
    </w:p>
    <w:p w14:paraId="10C5D35B" w14:textId="77777777" w:rsidR="00994F93" w:rsidRPr="00B03B51" w:rsidRDefault="00994F93" w:rsidP="00994F93">
      <w:pPr>
        <w:pStyle w:val="BodyText"/>
        <w:tabs>
          <w:tab w:val="left" w:pos="987"/>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 xml:space="preserve">120. Ja valdības sektoram nepiederoša vienība veic darījumu, kura rezultātā </w:t>
      </w:r>
      <w:r w:rsidRPr="00B03B51">
        <w:rPr>
          <w:rFonts w:ascii="Times New Roman" w:hAnsi="Times New Roman" w:cs="Times New Roman"/>
          <w:i/>
          <w:iCs/>
          <w:sz w:val="24"/>
        </w:rPr>
        <w:t>de facto</w:t>
      </w:r>
      <w:r w:rsidRPr="00B03B51">
        <w:rPr>
          <w:rFonts w:ascii="Times New Roman" w:hAnsi="Times New Roman" w:cs="Times New Roman"/>
          <w:sz w:val="24"/>
        </w:rPr>
        <w:t xml:space="preserve"> notiek ienākuma un bagātības pārdale, tas ir pietiekams rādītājs pārkārtošanas veikšanai, jo tas ir valdības uzdevums. Ienākuma pārdale bieži vien tiek maskēta kā cenas koriģēšana (piemēram, nodevas), lai gan būtībā tas ir nodokļa, subsīdijas vai sociālā pabalsta mehānisms. Tas tā ir jo </w:t>
      </w:r>
      <w:r w:rsidRPr="00B03B51">
        <w:rPr>
          <w:rFonts w:ascii="Times New Roman" w:hAnsi="Times New Roman" w:cs="Times New Roman"/>
          <w:sz w:val="24"/>
        </w:rPr>
        <w:lastRenderedPageBreak/>
        <w:t>īpaši gadījumā, ja valdība stimulē atjaunojamo enerģiju, kad valdības sektoram nepiederoši subjekti iekasē nodokļus un sniedz subsīdijas esošās enerģijas cenu sistēmas aizsegā. Līdzīgi valdība varētu izmantot valdības sektoram nepiederošus subjektus, lai sniegtu investīciju dotācijas, procentu/izpirkšanas subsīdijas vai citas dotācijas sabiedrībām, privātām mājsaimniecībām vai bezpeļņas iestādēm.</w:t>
      </w:r>
    </w:p>
    <w:p w14:paraId="1049F359" w14:textId="77777777" w:rsidR="00994F93" w:rsidRPr="00B03B51" w:rsidRDefault="00994F93" w:rsidP="00994F93">
      <w:pPr>
        <w:pStyle w:val="BodyText"/>
        <w:tabs>
          <w:tab w:val="left" w:pos="987"/>
        </w:tabs>
        <w:spacing w:before="0"/>
        <w:ind w:left="0" w:firstLine="0"/>
        <w:jc w:val="both"/>
        <w:rPr>
          <w:rFonts w:ascii="Times New Roman" w:hAnsi="Times New Roman" w:cs="Times New Roman"/>
          <w:noProof/>
          <w:sz w:val="24"/>
        </w:rPr>
      </w:pPr>
    </w:p>
    <w:p w14:paraId="00095409" w14:textId="77777777" w:rsidR="00994F93" w:rsidRPr="00B03B51" w:rsidRDefault="00994F93" w:rsidP="00994F93">
      <w:pPr>
        <w:pStyle w:val="BodyText"/>
        <w:tabs>
          <w:tab w:val="left" w:pos="987"/>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121. Pārkārtošana ir jāpiemēro arī tad, ja vienība kopumā rīkojas kā tirgus ražotājs attiecībā uz konkrēto darījumu/programmu, tomēr nevar parādīt, ka tā cenšas noteikt ekonomiski nozīmīgas cenas attiecīgajām precēm, kā noteikts EKS 2010 3.19. punktā un EKS 2010 20.23. punktā.</w:t>
      </w:r>
    </w:p>
    <w:p w14:paraId="00E98150" w14:textId="77777777" w:rsidR="00994F93" w:rsidRPr="00B03B51" w:rsidRDefault="00994F93" w:rsidP="00994F93">
      <w:pPr>
        <w:pStyle w:val="BodyText"/>
        <w:tabs>
          <w:tab w:val="left" w:pos="987"/>
        </w:tabs>
        <w:spacing w:before="0"/>
        <w:ind w:left="0" w:firstLine="0"/>
        <w:jc w:val="both"/>
        <w:rPr>
          <w:rFonts w:ascii="Times New Roman" w:hAnsi="Times New Roman" w:cs="Times New Roman"/>
          <w:noProof/>
          <w:sz w:val="24"/>
        </w:rPr>
      </w:pPr>
    </w:p>
    <w:p w14:paraId="19129BB4" w14:textId="77777777" w:rsidR="00994F93" w:rsidRPr="00B03B51" w:rsidRDefault="00994F93" w:rsidP="00994F93">
      <w:pPr>
        <w:pStyle w:val="BodyText"/>
        <w:tabs>
          <w:tab w:val="left" w:pos="987"/>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122. Pārkārtošana ir nepieciešama arī gadījumā, kad valdības sektoram nepiederošas vienības cenas ir iepriekš noteiktas vai grozītas (paaugstinātas cenas vai pazeminātas cenas) valsts politikas nodrošināšanas mērķiem. Piemēram, valdība var prasīt, lai valdības sektoram nepiederoša vienība iegādājas no konkrētas sabiedrības/pārdod konkrētai sabiedrībai preces un pakalpojumus par augstākām/zemākām cenām, lai atbalstītu citu sabiedrību.</w:t>
      </w:r>
    </w:p>
    <w:p w14:paraId="79EC0E03" w14:textId="77777777" w:rsidR="00994F93" w:rsidRPr="00B03B51" w:rsidRDefault="00994F93" w:rsidP="00994F93">
      <w:pPr>
        <w:pStyle w:val="BodyText"/>
        <w:tabs>
          <w:tab w:val="left" w:pos="987"/>
        </w:tabs>
        <w:spacing w:before="0"/>
        <w:ind w:left="0" w:firstLine="0"/>
        <w:jc w:val="both"/>
        <w:rPr>
          <w:rFonts w:ascii="Times New Roman" w:hAnsi="Times New Roman" w:cs="Times New Roman"/>
          <w:noProof/>
          <w:sz w:val="24"/>
        </w:rPr>
      </w:pPr>
    </w:p>
    <w:p w14:paraId="6FE2927D" w14:textId="77777777" w:rsidR="00994F93" w:rsidRPr="00B03B51" w:rsidRDefault="00994F93" w:rsidP="00994F93">
      <w:pPr>
        <w:pStyle w:val="BodyText"/>
        <w:tabs>
          <w:tab w:val="left" w:pos="987"/>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123. Tomēr darījumi, kuru noteikumi ir zemāki par parastajiem tirgus noteikumiem, ne vienmēr ir saistīti ar valdības iejaukšanos un bieži vien ir novērojami saistībā ar uzņēmuma mērķi palielināt piegādes vai konkurences spiedienu uz cenu (piemēram, atvērt elektrības vai telefona tirgus). Pakalpojumu sniegšana ar zemākiem noteikumiem nekā tirgus noteikumi bieži vien ir novērojama saistībā ar šķērssubsidēšanas darbībām privātās sabiedrībās (t. i., ar dažu darbību ieņēmumiem tiek atbalstītas citas mazāk rentablas vai pat zaudējumus nesošas darbības).</w:t>
      </w:r>
    </w:p>
    <w:p w14:paraId="621AAC23" w14:textId="77777777" w:rsidR="00994F93" w:rsidRPr="00B03B51" w:rsidRDefault="00994F93" w:rsidP="00994F93">
      <w:pPr>
        <w:pStyle w:val="BodyText"/>
        <w:tabs>
          <w:tab w:val="left" w:pos="987"/>
        </w:tabs>
        <w:spacing w:before="0"/>
        <w:ind w:left="0" w:firstLine="0"/>
        <w:jc w:val="both"/>
        <w:rPr>
          <w:rFonts w:ascii="Times New Roman" w:hAnsi="Times New Roman" w:cs="Times New Roman"/>
          <w:noProof/>
          <w:sz w:val="24"/>
        </w:rPr>
      </w:pPr>
    </w:p>
    <w:p w14:paraId="344A95C1" w14:textId="77777777" w:rsidR="00994F93" w:rsidRPr="00B03B51" w:rsidRDefault="00994F93" w:rsidP="00994F93">
      <w:pPr>
        <w:pStyle w:val="BodyText"/>
        <w:tabs>
          <w:tab w:val="left" w:pos="987"/>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 xml:space="preserve">124. Saistībā ar iepriekš minēto turpmākie rādītāji ir </w:t>
      </w:r>
      <w:r w:rsidRPr="00B03B51">
        <w:rPr>
          <w:rFonts w:ascii="Times New Roman" w:hAnsi="Times New Roman" w:cs="Times New Roman"/>
          <w:b/>
          <w:bCs/>
          <w:sz w:val="24"/>
        </w:rPr>
        <w:t>indikatīvi</w:t>
      </w:r>
      <w:r w:rsidRPr="00B03B51">
        <w:rPr>
          <w:rFonts w:ascii="Times New Roman" w:hAnsi="Times New Roman" w:cs="Times New Roman"/>
          <w:sz w:val="24"/>
        </w:rPr>
        <w:t xml:space="preserve"> pārkārtošanas veikšanai:</w:t>
      </w:r>
    </w:p>
    <w:p w14:paraId="2C5FDB31" w14:textId="77777777" w:rsidR="00994F93" w:rsidRPr="00B03B51" w:rsidRDefault="00994F93" w:rsidP="00994F93">
      <w:pPr>
        <w:pStyle w:val="BodyText"/>
        <w:tabs>
          <w:tab w:val="left" w:pos="1126"/>
        </w:tabs>
        <w:spacing w:before="0"/>
        <w:ind w:left="0" w:firstLine="0"/>
        <w:jc w:val="both"/>
        <w:rPr>
          <w:rFonts w:ascii="Times New Roman" w:hAnsi="Times New Roman" w:cs="Times New Roman"/>
          <w:noProof/>
          <w:sz w:val="24"/>
        </w:rPr>
      </w:pPr>
    </w:p>
    <w:p w14:paraId="7468A49D" w14:textId="77777777" w:rsidR="00994F93" w:rsidRPr="00B03B51" w:rsidRDefault="00994F93" w:rsidP="00994F93">
      <w:pPr>
        <w:pStyle w:val="BodyText"/>
        <w:tabs>
          <w:tab w:val="left" w:pos="1126"/>
        </w:tabs>
        <w:spacing w:before="0"/>
        <w:ind w:left="284" w:firstLine="0"/>
        <w:jc w:val="both"/>
        <w:rPr>
          <w:rFonts w:ascii="Times New Roman" w:hAnsi="Times New Roman" w:cs="Times New Roman"/>
          <w:noProof/>
          <w:sz w:val="24"/>
        </w:rPr>
      </w:pPr>
      <w:r w:rsidRPr="00B03B51">
        <w:rPr>
          <w:rFonts w:ascii="Times New Roman" w:hAnsi="Times New Roman" w:cs="Times New Roman"/>
          <w:sz w:val="24"/>
        </w:rPr>
        <w:t>a) nosacījumi, kas tiek izmantoti līgumā vai nolīgumā starp uzņēmuma partneriem un valdības sektoram nepiederošu subjektu, ir ievērojami zemāki nekā nosacījumi, ko parasti piemēro subjekts pēc produktu subsīdijas uzskaites. Jo īpaši tas ir gadījumā, kad saskaņotie noteikumi neļauj segt saistītās administrēšanas vai aizņēmuma izmaksas (tostarp pašu kapitāla alternatīvās izmaksas). Ja subjekts pastāvīgi darbojas saskaņā ar ārpustirgus noteikumiem, lietderīgāk ir pārklasificēt vienību nekā veikt pārkārtošanu;</w:t>
      </w:r>
    </w:p>
    <w:p w14:paraId="6D80159E" w14:textId="77777777" w:rsidR="00994F93" w:rsidRPr="00B03B51" w:rsidRDefault="00994F93" w:rsidP="00994F93">
      <w:pPr>
        <w:pStyle w:val="BodyText"/>
        <w:tabs>
          <w:tab w:val="left" w:pos="1126"/>
        </w:tabs>
        <w:spacing w:before="0"/>
        <w:ind w:left="284" w:firstLine="0"/>
        <w:jc w:val="both"/>
        <w:rPr>
          <w:rFonts w:ascii="Times New Roman" w:hAnsi="Times New Roman" w:cs="Times New Roman"/>
          <w:noProof/>
          <w:sz w:val="24"/>
        </w:rPr>
      </w:pPr>
    </w:p>
    <w:p w14:paraId="65CA2E88" w14:textId="77777777" w:rsidR="00994F93" w:rsidRPr="00B03B51" w:rsidRDefault="00994F93" w:rsidP="00994F93">
      <w:pPr>
        <w:pStyle w:val="BodyText"/>
        <w:tabs>
          <w:tab w:val="left" w:pos="1126"/>
        </w:tabs>
        <w:spacing w:before="0"/>
        <w:ind w:left="284" w:firstLine="0"/>
        <w:jc w:val="both"/>
        <w:rPr>
          <w:rFonts w:ascii="Times New Roman" w:hAnsi="Times New Roman" w:cs="Times New Roman"/>
          <w:noProof/>
          <w:sz w:val="24"/>
        </w:rPr>
      </w:pPr>
      <w:r w:rsidRPr="00B03B51">
        <w:rPr>
          <w:rFonts w:ascii="Times New Roman" w:hAnsi="Times New Roman" w:cs="Times New Roman"/>
          <w:sz w:val="24"/>
        </w:rPr>
        <w:t>b) līgumā vai nolīgumā starp uzņēmējdarbības partneriem un valdības sektoram nepiederošu subjektu ir ietverta valdības subsīdija ražošanai (nevis produktu subsīdija), un tikai šā iemesla dēļ valdības sektoram nepiederošajam subjektam šīs darbības pastāvīgi nerada zaudējumus;</w:t>
      </w:r>
    </w:p>
    <w:p w14:paraId="1867F30C" w14:textId="77777777" w:rsidR="00994F93" w:rsidRPr="00B03B51" w:rsidRDefault="00994F93" w:rsidP="00994F93">
      <w:pPr>
        <w:pStyle w:val="BodyText"/>
        <w:tabs>
          <w:tab w:val="left" w:pos="1126"/>
        </w:tabs>
        <w:spacing w:before="0"/>
        <w:ind w:left="284" w:firstLine="0"/>
        <w:jc w:val="both"/>
        <w:rPr>
          <w:rFonts w:ascii="Times New Roman" w:hAnsi="Times New Roman" w:cs="Times New Roman"/>
          <w:noProof/>
          <w:sz w:val="24"/>
        </w:rPr>
      </w:pPr>
    </w:p>
    <w:p w14:paraId="66E3CC74" w14:textId="77777777" w:rsidR="00994F93" w:rsidRPr="00B03B51" w:rsidRDefault="00994F93" w:rsidP="00994F93">
      <w:pPr>
        <w:pStyle w:val="BodyText"/>
        <w:tabs>
          <w:tab w:val="left" w:pos="1126"/>
        </w:tabs>
        <w:spacing w:before="0"/>
        <w:ind w:left="284" w:firstLine="0"/>
        <w:jc w:val="both"/>
        <w:rPr>
          <w:rFonts w:ascii="Times New Roman" w:hAnsi="Times New Roman" w:cs="Times New Roman"/>
          <w:noProof/>
          <w:sz w:val="24"/>
        </w:rPr>
      </w:pPr>
      <w:r w:rsidRPr="00B03B51">
        <w:rPr>
          <w:rFonts w:ascii="Times New Roman" w:hAnsi="Times New Roman" w:cs="Times New Roman"/>
          <w:sz w:val="24"/>
        </w:rPr>
        <w:t>c) līgums vai nolīgums, ko īsteno valdības sektoram nepiederoša vienība, ir pamatā saistīts ar zaudējumiem pēc produktu subsīdiju atskaitīšanas;</w:t>
      </w:r>
    </w:p>
    <w:p w14:paraId="4C2767B7" w14:textId="77777777" w:rsidR="00994F93" w:rsidRPr="00B03B51" w:rsidRDefault="00994F93" w:rsidP="00994F93">
      <w:pPr>
        <w:pStyle w:val="BodyText"/>
        <w:tabs>
          <w:tab w:val="left" w:pos="1126"/>
        </w:tabs>
        <w:spacing w:before="0"/>
        <w:ind w:left="284" w:firstLine="0"/>
        <w:jc w:val="both"/>
        <w:rPr>
          <w:rFonts w:ascii="Times New Roman" w:hAnsi="Times New Roman" w:cs="Times New Roman"/>
          <w:noProof/>
          <w:sz w:val="24"/>
        </w:rPr>
      </w:pPr>
    </w:p>
    <w:p w14:paraId="1EC2AEB3" w14:textId="77777777" w:rsidR="00994F93" w:rsidRPr="00B03B51" w:rsidRDefault="00994F93" w:rsidP="00994F93">
      <w:pPr>
        <w:pStyle w:val="BodyText"/>
        <w:tabs>
          <w:tab w:val="left" w:pos="1126"/>
        </w:tabs>
        <w:spacing w:before="0"/>
        <w:ind w:left="284" w:firstLine="0"/>
        <w:jc w:val="both"/>
        <w:rPr>
          <w:rFonts w:ascii="Times New Roman" w:hAnsi="Times New Roman" w:cs="Times New Roman"/>
          <w:noProof/>
          <w:sz w:val="24"/>
        </w:rPr>
      </w:pPr>
      <w:r w:rsidRPr="00B03B51">
        <w:rPr>
          <w:rFonts w:ascii="Times New Roman" w:hAnsi="Times New Roman" w:cs="Times New Roman"/>
          <w:sz w:val="24"/>
        </w:rPr>
        <w:t>d) vienība iesaistās finanšu un nefinanšu iestāžu/sabiedrību glābšanas darbībās, jo īpaši, ja iepriekš tai nav bijušas darījumu attiecības vai ja tās ir bijušas salīdzinoši nenozīmīgas, un uzņemtais slogs ir nesamērīgs pret iespējamajiem ieguvumiem, ko rada šādas darbības.</w:t>
      </w:r>
    </w:p>
    <w:p w14:paraId="2DB4CCFD" w14:textId="77777777" w:rsidR="00994F93" w:rsidRPr="00B03B51" w:rsidRDefault="00994F93" w:rsidP="00994F93">
      <w:pPr>
        <w:pStyle w:val="BodyText"/>
        <w:tabs>
          <w:tab w:val="left" w:pos="987"/>
        </w:tabs>
        <w:spacing w:before="0"/>
        <w:ind w:left="0" w:firstLine="0"/>
        <w:jc w:val="both"/>
        <w:rPr>
          <w:rFonts w:ascii="Times New Roman" w:hAnsi="Times New Roman" w:cs="Times New Roman"/>
          <w:noProof/>
          <w:sz w:val="24"/>
        </w:rPr>
      </w:pPr>
    </w:p>
    <w:p w14:paraId="0C28D616" w14:textId="77777777" w:rsidR="00994F93" w:rsidRPr="00B03B51" w:rsidRDefault="00994F93" w:rsidP="00994F93">
      <w:pPr>
        <w:pStyle w:val="BodyText"/>
        <w:tabs>
          <w:tab w:val="left" w:pos="987"/>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125. Pretstatā tam ārkārtas vai gadījuma zaudējumi, kas attiecas uz konkrētu darījumu līdzīgu darījumu grupā vai programmās, nebūtu obligāti jāuzskata par izšķirošu faktoru pārkārtošanai.</w:t>
      </w:r>
    </w:p>
    <w:p w14:paraId="15A9CB1C" w14:textId="77777777" w:rsidR="00994F93" w:rsidRPr="008A2DC9" w:rsidRDefault="00994F93" w:rsidP="008A2DC9">
      <w:pPr>
        <w:rPr>
          <w:rFonts w:ascii="Times New Roman" w:hAnsi="Times New Roman" w:cs="Times New Roman"/>
          <w:noProof/>
          <w:sz w:val="24"/>
          <w:szCs w:val="24"/>
        </w:rPr>
      </w:pPr>
    </w:p>
    <w:p w14:paraId="2DE19EBB" w14:textId="77777777" w:rsidR="00994F93" w:rsidRPr="00B03B51" w:rsidRDefault="00994F93" w:rsidP="00994F93">
      <w:pPr>
        <w:pStyle w:val="Heading6"/>
        <w:tabs>
          <w:tab w:val="left" w:pos="1692"/>
        </w:tabs>
        <w:ind w:left="0" w:firstLine="0"/>
        <w:jc w:val="both"/>
        <w:rPr>
          <w:rFonts w:ascii="Times New Roman" w:hAnsi="Times New Roman" w:cs="Times New Roman"/>
          <w:noProof/>
          <w:sz w:val="24"/>
        </w:rPr>
      </w:pPr>
      <w:r w:rsidRPr="00B03B51">
        <w:rPr>
          <w:rFonts w:ascii="Times New Roman" w:hAnsi="Times New Roman" w:cs="Times New Roman"/>
          <w:sz w:val="24"/>
        </w:rPr>
        <w:t>1.2.4.5.5. Pārkārtotu darījumu uzskaite</w:t>
      </w:r>
    </w:p>
    <w:p w14:paraId="43933032" w14:textId="77777777" w:rsidR="00994F93" w:rsidRPr="00B03B51" w:rsidRDefault="00994F93" w:rsidP="00994F93">
      <w:pPr>
        <w:pStyle w:val="BodyText"/>
        <w:tabs>
          <w:tab w:val="left" w:pos="987"/>
        </w:tabs>
        <w:spacing w:before="0"/>
        <w:ind w:left="0" w:firstLine="0"/>
        <w:jc w:val="both"/>
        <w:rPr>
          <w:rFonts w:ascii="Times New Roman" w:hAnsi="Times New Roman" w:cs="Times New Roman"/>
          <w:noProof/>
          <w:sz w:val="24"/>
        </w:rPr>
      </w:pPr>
    </w:p>
    <w:p w14:paraId="00ACB3DA" w14:textId="77777777" w:rsidR="00994F93" w:rsidRPr="00B03B51" w:rsidRDefault="00994F93" w:rsidP="00994F93">
      <w:pPr>
        <w:pStyle w:val="BodyText"/>
        <w:tabs>
          <w:tab w:val="left" w:pos="987"/>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 xml:space="preserve">126. Attiecībā uz pārkārtotiem darījumiem pārvirzīšana vai sadalīšana nerada konkrētas grūtības grāmatvedībā. Savukārt grūtības var radīt galvenā darītāja atpazīšana tāpēc, ka naudas </w:t>
      </w:r>
      <w:r w:rsidRPr="00B03B51">
        <w:rPr>
          <w:rFonts w:ascii="Times New Roman" w:hAnsi="Times New Roman" w:cs="Times New Roman"/>
          <w:sz w:val="24"/>
        </w:rPr>
        <w:lastRenderedPageBreak/>
        <w:t>plūsmas uzņemas aģents (t. i., publiska sabiedrība), kas var saņemt un var arī nesaņemt atmaksu. Tehniski ir iespējami dažādi ierakstīšanas varianti atkarībā no pārkārtojamā darījuma raksturojuma – finanšu vai nefinanšu darījums, vai valdība to finansē/atmaksā vai nefinansē/neatmaksā, vai ir nošķirti konti (skat. turpmāk sniegtos piemērus). Tomēr parasti uzskaites rezultātā ierakstiem ir jābūt ne tikai nefinanšu kontos, bet arī finanšu kontos, lai parādītu ekonomisko realitāti, ka valdība izmanto subjekta finanšu iespējas.</w:t>
      </w:r>
    </w:p>
    <w:p w14:paraId="7C7C62D2" w14:textId="77777777" w:rsidR="00994F93" w:rsidRPr="00B03B51" w:rsidRDefault="00994F93" w:rsidP="00994F93">
      <w:pPr>
        <w:pStyle w:val="BodyText"/>
        <w:tabs>
          <w:tab w:val="left" w:pos="987"/>
        </w:tabs>
        <w:spacing w:before="0"/>
        <w:ind w:left="0" w:firstLine="0"/>
        <w:jc w:val="both"/>
        <w:rPr>
          <w:rFonts w:ascii="Times New Roman" w:hAnsi="Times New Roman" w:cs="Times New Roman"/>
          <w:noProof/>
          <w:sz w:val="24"/>
        </w:rPr>
      </w:pPr>
    </w:p>
    <w:p w14:paraId="4AE80E12" w14:textId="77777777" w:rsidR="00994F93" w:rsidRPr="00B03B51" w:rsidRDefault="00994F93" w:rsidP="00994F93">
      <w:pPr>
        <w:pStyle w:val="BodyText"/>
        <w:tabs>
          <w:tab w:val="left" w:pos="987"/>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127. Nefinanšu darījumu gadījumā, piemēram, kad “novirza” subsīdijas vai ieguldījumu dotācijas saņēmējiem, ir iespējams, ka valdība ir sniegusi vai sniegs resursus arī par darījumu veikšanu. Tā kā valdība negaida nekādu līdzekļu atdošanu atpakaļ, finansējumam jau būtu jābūt iekļautam kā izdevumiem valdības avota datos. Šādā gadījumā ir atbilstīgi ierakstīt saņēmējiem ieskaitītās subsīdijas tieši/tikai valdības kontos. Ierakstīšanas laika atšķirības starp subsīdijas uzkrāšanu un valdības norēķiniem var būt valdības debitoru/kreditoru saistību formā – iespējams, aizdevums (atzīstot, ka publisks subjekts sniedz avansu valdībai) vai “citas kreditoru saistības”. Tomēr citos gadījumos, kad darījumu finansē pati publiskā vienība bez izredzēm saņemt atmaksu no valdības, ir ieteicams veikt ierakstu pašu kapitālā (pašu kapitāla izņemšana no publiskas sabiedrības).</w:t>
      </w:r>
    </w:p>
    <w:p w14:paraId="4370B09D" w14:textId="77777777" w:rsidR="00994F93" w:rsidRPr="00B03B51" w:rsidRDefault="00994F93" w:rsidP="00994F93">
      <w:pPr>
        <w:jc w:val="both"/>
        <w:rPr>
          <w:rFonts w:ascii="Times New Roman" w:hAnsi="Times New Roman" w:cs="Times New Roman"/>
          <w:noProof/>
          <w:sz w:val="24"/>
        </w:rPr>
      </w:pPr>
    </w:p>
    <w:p w14:paraId="55345C56" w14:textId="77777777" w:rsidR="00994F93" w:rsidRPr="00B03B51" w:rsidRDefault="00994F93" w:rsidP="00994F93">
      <w:pPr>
        <w:pStyle w:val="BodyText"/>
        <w:tabs>
          <w:tab w:val="left" w:pos="987"/>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128. Citos gadījumos valdība var lūgt vienību iesaistīties finanšu darījumā valdības vārdā. Bieži vien tas izpaužas kā aizdevuma izmaksa konkrētiem mērķiem (piemēram, ārvalstu valdībām). Taču var arī gadīties, ka valdība lūdz vienībai ieguldīt kādus līdzekļus noteiktās finanšu aktīvu kategorijās (piemēram, “dzēšanas” fondu pārvaldība parāda amortizācijai, vides vai dabas stihiju fondu pārvaldība). Valdība var arī lūgt, lai vienība tur kādu akciju daļu tās vārdā (kas ierakstītas finanšu kontos, ja ir faktiskas izredzes gūt peļņu). Valdība var sniegt nepieciešamo finansējumu darījumam/programmai, un šādā gadījumā jau tiek ietekmētas valdības saistības. Piešķirtā aizdevuma (vai kapitāla iegādes) un maksājuma ierakstīšanas laika atšķirības var būt izteikts valdības kreditoru saistību formā – vairumā gadījumu aizdevums (atzīstot, ka publisks subjekts sniedz avansu valdībai) vai “citas kreditoru saistības”. Taču citos gadījumos darījumu finansē pati vienība, un šādā gadījumā attiecīgas saistības novirza valdībai ar nosacīta aizdevuma starpniecību, ko vienība noslēdz ar valdību, kurā tiek “atspoguļoti” saņemtā aizņēmuma raksturlielumi.</w:t>
      </w:r>
    </w:p>
    <w:p w14:paraId="54C73F42" w14:textId="77777777" w:rsidR="00994F93" w:rsidRPr="00B03B51" w:rsidRDefault="00994F93" w:rsidP="00994F93">
      <w:pPr>
        <w:pStyle w:val="BodyText"/>
        <w:tabs>
          <w:tab w:val="left" w:pos="987"/>
        </w:tabs>
        <w:spacing w:before="0"/>
        <w:ind w:left="0" w:firstLine="0"/>
        <w:jc w:val="both"/>
        <w:rPr>
          <w:rFonts w:ascii="Times New Roman" w:hAnsi="Times New Roman" w:cs="Times New Roman"/>
          <w:noProof/>
          <w:sz w:val="24"/>
        </w:rPr>
      </w:pPr>
    </w:p>
    <w:p w14:paraId="7AD2B604" w14:textId="77777777" w:rsidR="00994F93" w:rsidRPr="00B03B51" w:rsidRDefault="00994F93" w:rsidP="00994F93">
      <w:pPr>
        <w:pStyle w:val="BodyText"/>
        <w:tabs>
          <w:tab w:val="left" w:pos="987"/>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129. Valdībai pārkārtotos darījumus vienmēr ieraksta “bruto” (nevis veic neto aprēķinu, kas parāda tikai galīgo ietekmi uz valdības neto aizdevumu/aizņēmumu (B.9)), un bruto pierakstu veic pat tad, ja nav ietekmes uz valdības neto aizdevumu/aizņēmumu un uz atlikušo valdības parāda summu. Galvenais iemesls ir tāds, ka valdības finanšu statistiku neierobežo valdības neto aizdevuma/aizņēmuma un parāda summa. Plaši tiek izmantoti daudzi citi rādītāji, piemēram, valsts izdevumu un ieņēmumu līmenis, nodokļu slogs utt.</w:t>
      </w:r>
    </w:p>
    <w:p w14:paraId="009DBF01" w14:textId="77777777" w:rsidR="00994F93" w:rsidRPr="008A2DC9" w:rsidRDefault="00994F93" w:rsidP="008A2DC9">
      <w:pPr>
        <w:rPr>
          <w:rFonts w:ascii="Times New Roman" w:hAnsi="Times New Roman" w:cs="Times New Roman"/>
          <w:noProof/>
          <w:sz w:val="24"/>
          <w:szCs w:val="24"/>
        </w:rPr>
      </w:pPr>
    </w:p>
    <w:p w14:paraId="3EB52D1B" w14:textId="77777777" w:rsidR="00994F93" w:rsidRPr="00B03B51" w:rsidRDefault="00994F93" w:rsidP="00994F93">
      <w:pPr>
        <w:pStyle w:val="Heading6"/>
        <w:tabs>
          <w:tab w:val="left" w:pos="1692"/>
        </w:tabs>
        <w:ind w:left="0" w:firstLine="0"/>
        <w:jc w:val="both"/>
        <w:rPr>
          <w:rFonts w:ascii="Times New Roman" w:hAnsi="Times New Roman" w:cs="Times New Roman"/>
          <w:noProof/>
          <w:sz w:val="24"/>
        </w:rPr>
      </w:pPr>
      <w:r w:rsidRPr="00B03B51">
        <w:rPr>
          <w:rFonts w:ascii="Times New Roman" w:hAnsi="Times New Roman" w:cs="Times New Roman"/>
          <w:sz w:val="24"/>
        </w:rPr>
        <w:t>1.2.4.5.6. Uzskaites piemēri (vienkāršoti)</w:t>
      </w:r>
    </w:p>
    <w:p w14:paraId="479030F0" w14:textId="77777777" w:rsidR="00994F93" w:rsidRPr="00B03B51" w:rsidRDefault="00994F93" w:rsidP="00994F93">
      <w:pPr>
        <w:pStyle w:val="BodyText"/>
        <w:tabs>
          <w:tab w:val="left" w:pos="987"/>
        </w:tabs>
        <w:spacing w:before="0"/>
        <w:ind w:left="0" w:firstLine="0"/>
        <w:jc w:val="both"/>
        <w:rPr>
          <w:rFonts w:ascii="Times New Roman" w:hAnsi="Times New Roman" w:cs="Times New Roman"/>
          <w:noProof/>
          <w:sz w:val="24"/>
        </w:rPr>
      </w:pPr>
    </w:p>
    <w:p w14:paraId="01B23B1C" w14:textId="77777777" w:rsidR="00994F93" w:rsidRPr="00B03B51" w:rsidRDefault="00994F93" w:rsidP="00994F93">
      <w:pPr>
        <w:pStyle w:val="BodyText"/>
        <w:tabs>
          <w:tab w:val="left" w:pos="987"/>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130. Turpmāk ir sniegti četri uzskaites piemēri, un tie visi attiecas uz pārkārtošanas standarta gadījumiem, kuros ir iesaistītas 100 % valdībai piederošas publiskas sabiedrības.</w:t>
      </w:r>
    </w:p>
    <w:p w14:paraId="2D92656F" w14:textId="77777777" w:rsidR="00994F93" w:rsidRPr="00B03B51" w:rsidRDefault="00994F93" w:rsidP="00994F93">
      <w:pPr>
        <w:pStyle w:val="BodyText"/>
        <w:tabs>
          <w:tab w:val="left" w:pos="987"/>
        </w:tabs>
        <w:spacing w:before="0"/>
        <w:ind w:left="0" w:firstLine="0"/>
        <w:jc w:val="both"/>
        <w:rPr>
          <w:rFonts w:ascii="Times New Roman" w:hAnsi="Times New Roman" w:cs="Times New Roman"/>
          <w:noProof/>
          <w:sz w:val="24"/>
        </w:rPr>
      </w:pPr>
    </w:p>
    <w:p w14:paraId="644A1902" w14:textId="77777777" w:rsidR="00994F93" w:rsidRPr="00B03B51" w:rsidRDefault="00994F93" w:rsidP="00994F93">
      <w:pPr>
        <w:pStyle w:val="BodyText"/>
        <w:tabs>
          <w:tab w:val="left" w:pos="987"/>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131. Pirmais un otrais uzskaites piemērs attiecas uz gadījumu, kad valdībai pilnībā piederoša attīstības banka piešķir aizdevumu mazajam vai vidējam uzņēmumam (MVU, klasificēts S.11) konkrētas programmas ietvaros, un valdība ir būtiski ietekmējusi aizdevuma noteikumus. Attīstības banka ir saglabājusi dažas manevra iespējas konkrētu darījumu īstenošanā. Abu piemēru pamatā ir šādi pieņēmumi:</w:t>
      </w:r>
    </w:p>
    <w:p w14:paraId="09AE4FBA" w14:textId="77777777" w:rsidR="00994F93" w:rsidRPr="00B03B51" w:rsidRDefault="00994F93" w:rsidP="00994F93">
      <w:pPr>
        <w:pStyle w:val="BodyText"/>
        <w:tabs>
          <w:tab w:val="left" w:pos="987"/>
        </w:tabs>
        <w:spacing w:before="0"/>
        <w:ind w:left="0" w:firstLine="0"/>
        <w:jc w:val="both"/>
        <w:rPr>
          <w:rFonts w:ascii="Times New Roman" w:hAnsi="Times New Roman" w:cs="Times New Roman"/>
          <w:noProof/>
          <w:sz w:val="24"/>
        </w:rPr>
      </w:pPr>
    </w:p>
    <w:p w14:paraId="7F35388E" w14:textId="77777777" w:rsidR="00994F93" w:rsidRPr="00B03B51" w:rsidRDefault="00994F93" w:rsidP="002D71BB">
      <w:pPr>
        <w:pStyle w:val="BodyText"/>
        <w:numPr>
          <w:ilvl w:val="0"/>
          <w:numId w:val="26"/>
        </w:numPr>
        <w:spacing w:before="0"/>
        <w:ind w:left="426" w:hanging="425"/>
        <w:jc w:val="both"/>
        <w:rPr>
          <w:rFonts w:ascii="Times New Roman" w:hAnsi="Times New Roman" w:cs="Times New Roman"/>
          <w:noProof/>
          <w:sz w:val="24"/>
        </w:rPr>
      </w:pPr>
      <w:r w:rsidRPr="00B03B51">
        <w:rPr>
          <w:rFonts w:ascii="Times New Roman" w:hAnsi="Times New Roman" w:cs="Times New Roman"/>
          <w:i/>
          <w:iCs/>
          <w:sz w:val="24"/>
        </w:rPr>
        <w:t>t</w:t>
      </w:r>
      <w:r w:rsidRPr="00B03B51">
        <w:rPr>
          <w:rFonts w:ascii="Times New Roman" w:hAnsi="Times New Roman" w:cs="Times New Roman"/>
          <w:sz w:val="24"/>
        </w:rPr>
        <w:t xml:space="preserve"> gada sākumā attīstības bankai ir AF.2 aktīvi 1000 vienību apmērā un pašu kapitāla </w:t>
      </w:r>
      <w:r w:rsidRPr="00B03B51">
        <w:rPr>
          <w:rFonts w:ascii="Times New Roman" w:hAnsi="Times New Roman" w:cs="Times New Roman"/>
          <w:sz w:val="24"/>
        </w:rPr>
        <w:lastRenderedPageBreak/>
        <w:t>saistības 1000 vienību apmērā AF.5 pozīcijā. MVU ir AF.2 aktīvi 100 vienību apmērā un valdībai ir AF.5 aktīvi 1000 vienību apmērā (tās pašu kapitāls attīstības bankā);</w:t>
      </w:r>
    </w:p>
    <w:p w14:paraId="37C7A350" w14:textId="77777777" w:rsidR="00994F93" w:rsidRPr="00B03B51" w:rsidRDefault="00994F93" w:rsidP="002D71BB">
      <w:pPr>
        <w:pStyle w:val="BodyText"/>
        <w:numPr>
          <w:ilvl w:val="0"/>
          <w:numId w:val="26"/>
        </w:numPr>
        <w:spacing w:before="0"/>
        <w:ind w:left="426" w:hanging="425"/>
        <w:jc w:val="both"/>
        <w:rPr>
          <w:rFonts w:ascii="Times New Roman" w:hAnsi="Times New Roman" w:cs="Times New Roman"/>
          <w:noProof/>
          <w:sz w:val="24"/>
        </w:rPr>
      </w:pPr>
      <w:r w:rsidRPr="00B03B51">
        <w:rPr>
          <w:rFonts w:ascii="Times New Roman" w:hAnsi="Times New Roman" w:cs="Times New Roman"/>
          <w:i/>
          <w:iCs/>
          <w:sz w:val="24"/>
        </w:rPr>
        <w:t>t</w:t>
      </w:r>
      <w:r w:rsidRPr="00B03B51">
        <w:rPr>
          <w:rFonts w:ascii="Times New Roman" w:hAnsi="Times New Roman" w:cs="Times New Roman"/>
          <w:sz w:val="24"/>
        </w:rPr>
        <w:t> gada sākumā MVU saņem no attīstības bankas aizdevumu uz 5 gadiem 1000 vienību apmērā. Aizdevuma procentu likme ir 2 %, kuru nomaksā naudā katra gada beigās;</w:t>
      </w:r>
    </w:p>
    <w:p w14:paraId="00D0F421" w14:textId="77777777" w:rsidR="00994F93" w:rsidRPr="00B03B51" w:rsidRDefault="00994F93" w:rsidP="002D71BB">
      <w:pPr>
        <w:pStyle w:val="BodyText"/>
        <w:numPr>
          <w:ilvl w:val="0"/>
          <w:numId w:val="26"/>
        </w:numPr>
        <w:spacing w:before="0"/>
        <w:ind w:left="426" w:hanging="425"/>
        <w:jc w:val="both"/>
        <w:rPr>
          <w:rFonts w:ascii="Times New Roman" w:hAnsi="Times New Roman" w:cs="Times New Roman"/>
          <w:noProof/>
          <w:sz w:val="24"/>
        </w:rPr>
      </w:pPr>
      <w:r w:rsidRPr="00B03B51">
        <w:rPr>
          <w:rFonts w:ascii="Times New Roman" w:hAnsi="Times New Roman" w:cs="Times New Roman"/>
          <w:sz w:val="24"/>
        </w:rPr>
        <w:t>attīstības banka atkārtoti finansē, emitējot tirgū gada sākumā parāda vērtspapīru 1000 vienību apmērā. Tā procentu likme ir 2 %, kuru nomaksā gada beigās;</w:t>
      </w:r>
    </w:p>
    <w:p w14:paraId="6B325513" w14:textId="77777777" w:rsidR="00994F93" w:rsidRPr="00B03B51" w:rsidRDefault="00994F93" w:rsidP="002D71BB">
      <w:pPr>
        <w:pStyle w:val="BodyText"/>
        <w:numPr>
          <w:ilvl w:val="0"/>
          <w:numId w:val="26"/>
        </w:numPr>
        <w:spacing w:before="0"/>
        <w:ind w:left="426" w:hanging="425"/>
        <w:jc w:val="both"/>
        <w:rPr>
          <w:rFonts w:ascii="Times New Roman" w:hAnsi="Times New Roman" w:cs="Times New Roman"/>
          <w:noProof/>
          <w:sz w:val="24"/>
        </w:rPr>
      </w:pPr>
      <w:r w:rsidRPr="00B03B51">
        <w:rPr>
          <w:rFonts w:ascii="Times New Roman" w:hAnsi="Times New Roman" w:cs="Times New Roman"/>
          <w:sz w:val="24"/>
        </w:rPr>
        <w:t>MVU aizdevuma apmaksa ir jāpārkārto līdzīgi, t. i., MVU atmaksā valdībai un tad valdība identisku summu atmaksā attīstības bankai par tās nosacīto parāda dokumentu;</w:t>
      </w:r>
    </w:p>
    <w:p w14:paraId="04F6B7DD" w14:textId="77777777" w:rsidR="00994F93" w:rsidRPr="00B03B51" w:rsidRDefault="00994F93" w:rsidP="002D71BB">
      <w:pPr>
        <w:pStyle w:val="BodyText"/>
        <w:numPr>
          <w:ilvl w:val="0"/>
          <w:numId w:val="26"/>
        </w:numPr>
        <w:spacing w:before="0"/>
        <w:ind w:left="426" w:hanging="425"/>
        <w:jc w:val="both"/>
        <w:rPr>
          <w:rFonts w:ascii="Times New Roman" w:hAnsi="Times New Roman" w:cs="Times New Roman"/>
          <w:noProof/>
          <w:sz w:val="24"/>
        </w:rPr>
      </w:pPr>
      <w:r w:rsidRPr="00B03B51">
        <w:rPr>
          <w:rFonts w:ascii="Times New Roman" w:hAnsi="Times New Roman" w:cs="Times New Roman"/>
          <w:sz w:val="24"/>
        </w:rPr>
        <w:t>minētie piemēri atšķiras ar to, ka 1. piemērā attīstības bankai nav atsevišķi pārvaldītu kontu aktīviem un saistībām, kas ir iegādāti vai izdoti MVU paredzētās minētās programmas ietvaros, savukārt 2. piemērā attīstības banka uztur īpašu kontu šiem darījumiem.</w:t>
      </w:r>
    </w:p>
    <w:p w14:paraId="07F83EFA" w14:textId="77777777" w:rsidR="00994F93" w:rsidRPr="00B03B51" w:rsidRDefault="00994F93" w:rsidP="00994F93">
      <w:pPr>
        <w:pStyle w:val="BodyText"/>
        <w:tabs>
          <w:tab w:val="left" w:pos="987"/>
        </w:tabs>
        <w:spacing w:before="0"/>
        <w:ind w:left="0" w:firstLine="0"/>
        <w:jc w:val="both"/>
        <w:rPr>
          <w:rFonts w:ascii="Times New Roman" w:hAnsi="Times New Roman" w:cs="Times New Roman"/>
          <w:noProof/>
          <w:sz w:val="24"/>
        </w:rPr>
      </w:pPr>
    </w:p>
    <w:p w14:paraId="5994BE4E" w14:textId="77777777" w:rsidR="00994F93" w:rsidRPr="00B03B51" w:rsidRDefault="00994F93" w:rsidP="00994F93">
      <w:pPr>
        <w:pStyle w:val="BodyText"/>
        <w:tabs>
          <w:tab w:val="left" w:pos="987"/>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132. Trešajā uzskaites piemērā ir aplūkots gadījums, kad valdība vēlas subsidēt noteiktu MVU, bet tā vietā, lai pati piešķirtu subsīdiju un aizņemtos nepieciešamos līdzekļus kapitāla tirgū, tā norīko attīstības banku piešķirt subsīdiju. Valdība neatlīdzina subsīdiju, ko piešķīrusi attīstības banka. Trešā uzskaites piemēra pamatā ir šādi pieņēmumi:</w:t>
      </w:r>
    </w:p>
    <w:p w14:paraId="3A55AD19" w14:textId="77777777" w:rsidR="00994F93" w:rsidRPr="00B03B51" w:rsidRDefault="00994F93" w:rsidP="00994F93">
      <w:pPr>
        <w:pStyle w:val="BodyText"/>
        <w:tabs>
          <w:tab w:val="left" w:pos="987"/>
        </w:tabs>
        <w:spacing w:before="0"/>
        <w:ind w:left="0" w:firstLine="0"/>
        <w:jc w:val="both"/>
        <w:rPr>
          <w:rFonts w:ascii="Times New Roman" w:hAnsi="Times New Roman" w:cs="Times New Roman"/>
          <w:noProof/>
          <w:sz w:val="24"/>
        </w:rPr>
      </w:pPr>
    </w:p>
    <w:p w14:paraId="03DE6E1B" w14:textId="77777777" w:rsidR="00994F93" w:rsidRPr="00B03B51" w:rsidRDefault="00994F93" w:rsidP="002D71BB">
      <w:pPr>
        <w:pStyle w:val="BodyText"/>
        <w:numPr>
          <w:ilvl w:val="0"/>
          <w:numId w:val="25"/>
        </w:numPr>
        <w:spacing w:before="0"/>
        <w:ind w:left="426" w:hanging="425"/>
        <w:jc w:val="both"/>
        <w:rPr>
          <w:rFonts w:ascii="Times New Roman" w:hAnsi="Times New Roman" w:cs="Times New Roman"/>
          <w:noProof/>
          <w:sz w:val="24"/>
        </w:rPr>
      </w:pPr>
      <w:r w:rsidRPr="00B03B51">
        <w:rPr>
          <w:rFonts w:ascii="Times New Roman" w:hAnsi="Times New Roman" w:cs="Times New Roman"/>
          <w:i/>
          <w:iCs/>
          <w:sz w:val="24"/>
        </w:rPr>
        <w:t>t</w:t>
      </w:r>
      <w:r w:rsidRPr="00B03B51">
        <w:rPr>
          <w:rFonts w:ascii="Times New Roman" w:hAnsi="Times New Roman" w:cs="Times New Roman"/>
          <w:sz w:val="24"/>
        </w:rPr>
        <w:t> gada sākumā attīstības bankai ir AF.2 aktīvi 1000 vienību apmērā un pašu kapitāla saistības 1000 vienību apmērā AF.5. MVU ir AF.2 aktīvi 100 vienību apmērā un valdībai ir AF.5 aktīvi 1000 vienību apmērā (tās pašu kapitāls attīstības bankā);</w:t>
      </w:r>
    </w:p>
    <w:p w14:paraId="0732A301" w14:textId="77777777" w:rsidR="00994F93" w:rsidRPr="00B03B51" w:rsidRDefault="00994F93" w:rsidP="002D71BB">
      <w:pPr>
        <w:pStyle w:val="BodyText"/>
        <w:numPr>
          <w:ilvl w:val="0"/>
          <w:numId w:val="25"/>
        </w:numPr>
        <w:spacing w:before="0"/>
        <w:ind w:left="426" w:hanging="425"/>
        <w:jc w:val="both"/>
        <w:rPr>
          <w:rFonts w:ascii="Times New Roman" w:hAnsi="Times New Roman" w:cs="Times New Roman"/>
          <w:noProof/>
          <w:sz w:val="24"/>
        </w:rPr>
      </w:pPr>
      <w:r w:rsidRPr="00B03B51">
        <w:rPr>
          <w:rFonts w:ascii="Times New Roman" w:hAnsi="Times New Roman" w:cs="Times New Roman"/>
          <w:i/>
          <w:iCs/>
          <w:sz w:val="24"/>
        </w:rPr>
        <w:t>t</w:t>
      </w:r>
      <w:r w:rsidRPr="00B03B51">
        <w:rPr>
          <w:rFonts w:ascii="Times New Roman" w:hAnsi="Times New Roman" w:cs="Times New Roman"/>
          <w:sz w:val="24"/>
        </w:rPr>
        <w:t> gada sākumā MVU saņem no attīstības bankas subsīdiju 1000 vienību apmērā;</w:t>
      </w:r>
    </w:p>
    <w:p w14:paraId="3CA422BF" w14:textId="77777777" w:rsidR="00994F93" w:rsidRPr="00B03B51" w:rsidRDefault="00994F93" w:rsidP="002D71BB">
      <w:pPr>
        <w:pStyle w:val="BodyText"/>
        <w:numPr>
          <w:ilvl w:val="0"/>
          <w:numId w:val="25"/>
        </w:numPr>
        <w:spacing w:before="0"/>
        <w:ind w:left="426" w:hanging="425"/>
        <w:jc w:val="both"/>
        <w:rPr>
          <w:rFonts w:ascii="Times New Roman" w:hAnsi="Times New Roman" w:cs="Times New Roman"/>
          <w:noProof/>
          <w:sz w:val="24"/>
        </w:rPr>
      </w:pPr>
      <w:r w:rsidRPr="00B03B51">
        <w:rPr>
          <w:rFonts w:ascii="Times New Roman" w:hAnsi="Times New Roman" w:cs="Times New Roman"/>
          <w:sz w:val="24"/>
        </w:rPr>
        <w:t>attīstības banka finansē subsīdiju no saviem esošajiem naudas aktīviem;</w:t>
      </w:r>
    </w:p>
    <w:p w14:paraId="7FD5DADD" w14:textId="77777777" w:rsidR="00994F93" w:rsidRPr="00B03B51" w:rsidRDefault="00994F93" w:rsidP="002D71BB">
      <w:pPr>
        <w:pStyle w:val="BodyText"/>
        <w:numPr>
          <w:ilvl w:val="0"/>
          <w:numId w:val="25"/>
        </w:numPr>
        <w:spacing w:before="0"/>
        <w:ind w:left="426" w:hanging="425"/>
        <w:jc w:val="both"/>
        <w:rPr>
          <w:rFonts w:ascii="Times New Roman" w:hAnsi="Times New Roman" w:cs="Times New Roman"/>
          <w:noProof/>
          <w:sz w:val="24"/>
        </w:rPr>
      </w:pPr>
      <w:r w:rsidRPr="00B03B51">
        <w:rPr>
          <w:rFonts w:ascii="Times New Roman" w:hAnsi="Times New Roman" w:cs="Times New Roman"/>
          <w:sz w:val="24"/>
        </w:rPr>
        <w:t>izmantojot attīstības bankas finanšu iespējas finansēt, subsīdija tiek atzīta, ierakstot pašu kapitāla izņemšanu valdības kontos.</w:t>
      </w:r>
    </w:p>
    <w:p w14:paraId="4A3A5C8D" w14:textId="77777777" w:rsidR="00994F93" w:rsidRPr="00B03B51" w:rsidRDefault="00994F93" w:rsidP="00994F93">
      <w:pPr>
        <w:jc w:val="both"/>
        <w:rPr>
          <w:rFonts w:ascii="Times New Roman" w:eastAsia="Arial" w:hAnsi="Times New Roman" w:cs="Times New Roman"/>
          <w:noProof/>
          <w:sz w:val="24"/>
          <w:szCs w:val="25"/>
        </w:rPr>
      </w:pPr>
    </w:p>
    <w:p w14:paraId="3BFD6843" w14:textId="77777777" w:rsidR="00994F93" w:rsidRPr="00B03B51" w:rsidRDefault="00994F93" w:rsidP="00994F93">
      <w:pPr>
        <w:pStyle w:val="BodyText"/>
        <w:tabs>
          <w:tab w:val="left" w:pos="987"/>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133. Ceturtais uzskaites piemērs ir 3. piemēra modifikācija, un tas ataino gadījumu, kad attīstības banka sākotnēji finansē subsīdiju (t. i., valdība apņemas vēlāk atlīdzināt subsīdiju). Izmantojot attīstības bankas finanšu iespējas sākotnēji finansēt, subsīdija tiek atainota kā attīstības bankas nosacīts aizdevums valdībai. Brīdī, kad valdība atlīdzina attīstības bankai sākotnēji finansēto subsīdiju, aizdevums ir atmaksāts. Visi pārējie pieņēmumi ir tādi paši kā 3. piemērā.</w:t>
      </w:r>
    </w:p>
    <w:p w14:paraId="0395A06B" w14:textId="77777777" w:rsidR="00994F93" w:rsidRPr="00B03B51" w:rsidRDefault="00994F93" w:rsidP="00994F93">
      <w:pPr>
        <w:jc w:val="both"/>
        <w:rPr>
          <w:rFonts w:ascii="Times New Roman" w:eastAsia="Arial" w:hAnsi="Times New Roman" w:cs="Times New Roman"/>
          <w:noProof/>
          <w:sz w:val="24"/>
          <w:szCs w:val="20"/>
        </w:rPr>
      </w:pPr>
    </w:p>
    <w:p w14:paraId="1E37E6B0" w14:textId="77777777" w:rsidR="00994F93" w:rsidRPr="00B03B51" w:rsidRDefault="00994F93" w:rsidP="00994F93">
      <w:pPr>
        <w:jc w:val="both"/>
        <w:rPr>
          <w:rFonts w:ascii="Times New Roman" w:hAnsi="Times New Roman" w:cs="Times New Roman"/>
          <w:b/>
          <w:noProof/>
          <w:sz w:val="24"/>
        </w:rPr>
      </w:pPr>
      <w:r w:rsidRPr="00B03B51">
        <w:rPr>
          <w:rFonts w:ascii="Times New Roman" w:hAnsi="Times New Roman" w:cs="Times New Roman"/>
          <w:b/>
          <w:sz w:val="24"/>
        </w:rPr>
        <w:t>1. piemērs</w:t>
      </w:r>
    </w:p>
    <w:p w14:paraId="6199C228" w14:textId="77777777" w:rsidR="00994F93" w:rsidRPr="00B03B51" w:rsidRDefault="00994F93" w:rsidP="00994F93">
      <w:pPr>
        <w:jc w:val="both"/>
        <w:rPr>
          <w:rFonts w:ascii="Times New Roman" w:eastAsia="Arial" w:hAnsi="Times New Roman" w:cs="Times New Roman"/>
          <w:b/>
          <w:bCs/>
          <w:noProof/>
          <w:sz w:val="24"/>
          <w:szCs w:val="21"/>
        </w:rPr>
      </w:pPr>
    </w:p>
    <w:p w14:paraId="62BA58AA" w14:textId="77777777" w:rsidR="00994F93" w:rsidRPr="00B03B51" w:rsidRDefault="00994F93" w:rsidP="00994F93">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t>Attīstības bankai nav nošķirtu kontu, tas nozīmē, ka saistībā ar pārkārtošanu iegādātie/izdotie aktīvi un saistības tiek turēti kopā ar attīstības bankas aktīviem un saistībām.</w:t>
      </w:r>
    </w:p>
    <w:p w14:paraId="21E84D53" w14:textId="77777777" w:rsidR="00994F93" w:rsidRPr="00B03B51" w:rsidRDefault="00994F93" w:rsidP="00994F93">
      <w:pPr>
        <w:jc w:val="both"/>
        <w:rPr>
          <w:rFonts w:ascii="Times New Roman" w:eastAsia="Arial" w:hAnsi="Times New Roman" w:cs="Times New Roman"/>
          <w:noProof/>
          <w:sz w:val="24"/>
          <w:szCs w:val="20"/>
        </w:rPr>
      </w:pPr>
    </w:p>
    <w:p w14:paraId="67EB1B47" w14:textId="77777777" w:rsidR="00994F93" w:rsidRPr="00B03B51" w:rsidRDefault="00994F93" w:rsidP="00994F93">
      <w:pPr>
        <w:jc w:val="both"/>
        <w:rPr>
          <w:rFonts w:ascii="Times New Roman" w:hAnsi="Times New Roman" w:cs="Times New Roman"/>
          <w:b/>
          <w:noProof/>
          <w:sz w:val="24"/>
        </w:rPr>
      </w:pPr>
      <w:r w:rsidRPr="00B03B51">
        <w:rPr>
          <w:rFonts w:ascii="Times New Roman" w:hAnsi="Times New Roman" w:cs="Times New Roman"/>
          <w:b/>
          <w:i/>
          <w:iCs/>
          <w:sz w:val="24"/>
        </w:rPr>
        <w:t>t</w:t>
      </w:r>
      <w:r w:rsidRPr="00B03B51">
        <w:rPr>
          <w:rFonts w:ascii="Times New Roman" w:hAnsi="Times New Roman" w:cs="Times New Roman"/>
          <w:b/>
          <w:sz w:val="24"/>
        </w:rPr>
        <w:t xml:space="preserve"> pārskata gads:</w:t>
      </w:r>
    </w:p>
    <w:p w14:paraId="4182607D" w14:textId="77777777" w:rsidR="00994F93" w:rsidRPr="00B03B51" w:rsidRDefault="00994F93" w:rsidP="00994F93">
      <w:pPr>
        <w:jc w:val="both"/>
        <w:rPr>
          <w:rFonts w:ascii="Times New Roman" w:eastAsia="Arial" w:hAnsi="Times New Roman" w:cs="Times New Roman"/>
          <w:b/>
          <w:bCs/>
          <w:noProof/>
          <w:sz w:val="24"/>
          <w:szCs w:val="20"/>
        </w:rPr>
      </w:pPr>
    </w:p>
    <w:p w14:paraId="41BC7241" w14:textId="77777777" w:rsidR="00994F93" w:rsidRPr="00B03B51" w:rsidRDefault="00994F93" w:rsidP="00994F93">
      <w:pPr>
        <w:jc w:val="both"/>
        <w:rPr>
          <w:rFonts w:ascii="Times New Roman" w:hAnsi="Times New Roman" w:cs="Times New Roman"/>
          <w:b/>
          <w:noProof/>
          <w:sz w:val="24"/>
        </w:rPr>
      </w:pPr>
      <w:r w:rsidRPr="00B03B51">
        <w:rPr>
          <w:rFonts w:ascii="Times New Roman" w:hAnsi="Times New Roman" w:cs="Times New Roman"/>
          <w:b/>
          <w:i/>
          <w:iCs/>
          <w:sz w:val="24"/>
        </w:rPr>
        <w:t>t</w:t>
      </w:r>
      <w:r w:rsidRPr="00B03B51">
        <w:rPr>
          <w:rFonts w:ascii="Times New Roman" w:hAnsi="Times New Roman" w:cs="Times New Roman"/>
          <w:b/>
          <w:sz w:val="24"/>
        </w:rPr>
        <w:t xml:space="preserve"> gada sākuma bilance</w:t>
      </w:r>
    </w:p>
    <w:p w14:paraId="7577EF18" w14:textId="77777777" w:rsidR="00994F93" w:rsidRPr="00B03B51" w:rsidRDefault="00994F93" w:rsidP="00994F93">
      <w:pPr>
        <w:jc w:val="both"/>
        <w:rPr>
          <w:rFonts w:ascii="Times New Roman" w:eastAsia="Arial" w:hAnsi="Times New Roman" w:cs="Times New Roman"/>
          <w:b/>
          <w:bCs/>
          <w:noProof/>
          <w:sz w:val="24"/>
          <w:szCs w:val="20"/>
        </w:rPr>
      </w:pPr>
    </w:p>
    <w:p w14:paraId="151C5080" w14:textId="09E73471" w:rsidR="00994F93" w:rsidRPr="00B03B51" w:rsidRDefault="000127B4" w:rsidP="00994F93">
      <w:pPr>
        <w:jc w:val="both"/>
        <w:rPr>
          <w:rFonts w:ascii="Times New Roman" w:eastAsia="Arial" w:hAnsi="Times New Roman" w:cs="Times New Roman"/>
          <w:b/>
          <w:bCs/>
          <w:noProof/>
          <w:sz w:val="24"/>
          <w:szCs w:val="20"/>
        </w:rPr>
      </w:pPr>
      <w:r w:rsidRPr="00B03B51">
        <w:rPr>
          <w:rFonts w:ascii="Times New Roman" w:eastAsia="Arial" w:hAnsi="Times New Roman" w:cs="Times New Roman"/>
          <w:b/>
          <w:bCs/>
          <w:noProof/>
          <w:sz w:val="24"/>
          <w:szCs w:val="20"/>
        </w:rPr>
        <w:drawing>
          <wp:inline distT="0" distB="0" distL="0" distR="0" wp14:anchorId="1115C856" wp14:editId="752F56AB">
            <wp:extent cx="5760085" cy="1287145"/>
            <wp:effectExtent l="0" t="0" r="0" b="8255"/>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60085" cy="1287145"/>
                    </a:xfrm>
                    <a:prstGeom prst="rect">
                      <a:avLst/>
                    </a:prstGeom>
                    <a:noFill/>
                    <a:ln>
                      <a:noFill/>
                    </a:ln>
                  </pic:spPr>
                </pic:pic>
              </a:graphicData>
            </a:graphic>
          </wp:inline>
        </w:drawing>
      </w:r>
    </w:p>
    <w:p w14:paraId="565FC758" w14:textId="77777777" w:rsidR="00994F93" w:rsidRPr="00B03B51" w:rsidRDefault="00994F93" w:rsidP="00994F93">
      <w:pPr>
        <w:jc w:val="both"/>
        <w:rPr>
          <w:rFonts w:ascii="Times New Roman" w:eastAsia="Arial" w:hAnsi="Times New Roman" w:cs="Times New Roman"/>
          <w:b/>
          <w:bCs/>
          <w:noProof/>
          <w:sz w:val="24"/>
          <w:szCs w:val="17"/>
        </w:rPr>
      </w:pPr>
    </w:p>
    <w:p w14:paraId="336F6A9D" w14:textId="77777777" w:rsidR="00994F93" w:rsidRPr="00B03B51" w:rsidRDefault="00994F93" w:rsidP="002D71BB">
      <w:pPr>
        <w:keepNext/>
        <w:jc w:val="both"/>
        <w:rPr>
          <w:rFonts w:ascii="Times New Roman" w:hAnsi="Times New Roman" w:cs="Times New Roman"/>
          <w:b/>
          <w:noProof/>
          <w:sz w:val="24"/>
        </w:rPr>
      </w:pPr>
      <w:r w:rsidRPr="00B03B51">
        <w:rPr>
          <w:rFonts w:ascii="Times New Roman" w:hAnsi="Times New Roman" w:cs="Times New Roman"/>
          <w:b/>
          <w:sz w:val="24"/>
        </w:rPr>
        <w:lastRenderedPageBreak/>
        <w:t>Nefinanšu konti</w:t>
      </w:r>
    </w:p>
    <w:p w14:paraId="5459D53C" w14:textId="77777777" w:rsidR="00994F93" w:rsidRPr="00B03B51" w:rsidRDefault="00994F93" w:rsidP="002D71BB">
      <w:pPr>
        <w:keepNext/>
        <w:jc w:val="both"/>
        <w:rPr>
          <w:rFonts w:ascii="Times New Roman" w:eastAsia="Arial" w:hAnsi="Times New Roman" w:cs="Times New Roman"/>
          <w:b/>
          <w:bCs/>
          <w:noProof/>
          <w:sz w:val="24"/>
          <w:szCs w:val="24"/>
        </w:rPr>
      </w:pPr>
    </w:p>
    <w:p w14:paraId="15565496" w14:textId="2C1F1870" w:rsidR="00994F93" w:rsidRPr="00B03B51" w:rsidRDefault="0091348F" w:rsidP="002D71BB">
      <w:pPr>
        <w:keepNext/>
        <w:jc w:val="both"/>
        <w:rPr>
          <w:rFonts w:ascii="Times New Roman" w:eastAsia="Arial" w:hAnsi="Times New Roman" w:cs="Times New Roman"/>
          <w:b/>
          <w:bCs/>
          <w:noProof/>
          <w:sz w:val="24"/>
          <w:szCs w:val="24"/>
        </w:rPr>
      </w:pPr>
      <w:r w:rsidRPr="00B03B51">
        <w:rPr>
          <w:rFonts w:ascii="Times New Roman" w:eastAsia="Arial" w:hAnsi="Times New Roman" w:cs="Times New Roman"/>
          <w:b/>
          <w:bCs/>
          <w:noProof/>
          <w:sz w:val="24"/>
          <w:szCs w:val="24"/>
        </w:rPr>
        <w:drawing>
          <wp:inline distT="0" distB="0" distL="0" distR="0" wp14:anchorId="77686D97" wp14:editId="2F2891BD">
            <wp:extent cx="5760085" cy="1249680"/>
            <wp:effectExtent l="0" t="0" r="0" b="762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60085" cy="1249680"/>
                    </a:xfrm>
                    <a:prstGeom prst="rect">
                      <a:avLst/>
                    </a:prstGeom>
                    <a:noFill/>
                    <a:ln>
                      <a:noFill/>
                    </a:ln>
                  </pic:spPr>
                </pic:pic>
              </a:graphicData>
            </a:graphic>
          </wp:inline>
        </w:drawing>
      </w:r>
    </w:p>
    <w:p w14:paraId="2BF7C6A6" w14:textId="77777777" w:rsidR="00994F93" w:rsidRPr="00B03B51" w:rsidRDefault="00994F93" w:rsidP="00994F93">
      <w:pPr>
        <w:jc w:val="both"/>
        <w:rPr>
          <w:rFonts w:ascii="Times New Roman" w:eastAsia="Arial" w:hAnsi="Times New Roman" w:cs="Times New Roman"/>
          <w:b/>
          <w:bCs/>
          <w:noProof/>
          <w:sz w:val="24"/>
          <w:szCs w:val="24"/>
        </w:rPr>
      </w:pPr>
    </w:p>
    <w:p w14:paraId="5B8CA512" w14:textId="77777777" w:rsidR="00994F93" w:rsidRPr="00B03B51" w:rsidRDefault="00994F93" w:rsidP="00994F93">
      <w:pPr>
        <w:jc w:val="both"/>
        <w:rPr>
          <w:rFonts w:ascii="Times New Roman" w:hAnsi="Times New Roman" w:cs="Times New Roman"/>
          <w:b/>
          <w:noProof/>
          <w:sz w:val="24"/>
        </w:rPr>
      </w:pPr>
      <w:r w:rsidRPr="00B03B51">
        <w:rPr>
          <w:rFonts w:ascii="Times New Roman" w:hAnsi="Times New Roman" w:cs="Times New Roman"/>
          <w:b/>
          <w:sz w:val="24"/>
        </w:rPr>
        <w:t>Finanšu konti</w:t>
      </w:r>
    </w:p>
    <w:p w14:paraId="3DA58A6B" w14:textId="77777777" w:rsidR="00994F93" w:rsidRPr="00B03B51" w:rsidRDefault="00994F93" w:rsidP="00994F93">
      <w:pPr>
        <w:jc w:val="both"/>
        <w:rPr>
          <w:rFonts w:ascii="Times New Roman" w:eastAsia="Arial" w:hAnsi="Times New Roman" w:cs="Times New Roman"/>
          <w:b/>
          <w:bCs/>
          <w:noProof/>
          <w:sz w:val="24"/>
          <w:szCs w:val="20"/>
        </w:rPr>
      </w:pPr>
    </w:p>
    <w:p w14:paraId="12BBED69" w14:textId="52887798" w:rsidR="00994F93" w:rsidRPr="00B03B51" w:rsidRDefault="0091348F" w:rsidP="00994F93">
      <w:pPr>
        <w:jc w:val="both"/>
        <w:rPr>
          <w:rFonts w:ascii="Times New Roman" w:eastAsia="Arial" w:hAnsi="Times New Roman" w:cs="Times New Roman"/>
          <w:b/>
          <w:bCs/>
          <w:noProof/>
          <w:sz w:val="24"/>
          <w:szCs w:val="20"/>
        </w:rPr>
      </w:pPr>
      <w:r w:rsidRPr="00B03B51">
        <w:rPr>
          <w:rFonts w:ascii="Times New Roman" w:eastAsia="Arial" w:hAnsi="Times New Roman" w:cs="Times New Roman"/>
          <w:b/>
          <w:bCs/>
          <w:noProof/>
          <w:sz w:val="24"/>
          <w:szCs w:val="20"/>
        </w:rPr>
        <w:drawing>
          <wp:inline distT="0" distB="0" distL="0" distR="0" wp14:anchorId="4A952AEF" wp14:editId="3EA16C56">
            <wp:extent cx="5760085" cy="1223010"/>
            <wp:effectExtent l="0" t="0" r="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60085" cy="1223010"/>
                    </a:xfrm>
                    <a:prstGeom prst="rect">
                      <a:avLst/>
                    </a:prstGeom>
                    <a:noFill/>
                    <a:ln>
                      <a:noFill/>
                    </a:ln>
                  </pic:spPr>
                </pic:pic>
              </a:graphicData>
            </a:graphic>
          </wp:inline>
        </w:drawing>
      </w:r>
    </w:p>
    <w:p w14:paraId="4E8F9402" w14:textId="77777777" w:rsidR="00994F93" w:rsidRPr="00B03B51" w:rsidRDefault="00994F93" w:rsidP="00994F93">
      <w:pPr>
        <w:jc w:val="both"/>
        <w:rPr>
          <w:rFonts w:ascii="Times New Roman" w:eastAsia="Arial" w:hAnsi="Times New Roman" w:cs="Times New Roman"/>
          <w:b/>
          <w:bCs/>
          <w:noProof/>
          <w:sz w:val="24"/>
          <w:szCs w:val="8"/>
        </w:rPr>
      </w:pPr>
    </w:p>
    <w:p w14:paraId="752DF9C6" w14:textId="558A4B71" w:rsidR="00994F93" w:rsidRPr="00B03B51" w:rsidRDefault="00994F93" w:rsidP="00994F93">
      <w:pPr>
        <w:jc w:val="both"/>
        <w:rPr>
          <w:rFonts w:ascii="Times New Roman" w:hAnsi="Times New Roman" w:cs="Times New Roman"/>
          <w:b/>
          <w:noProof/>
          <w:sz w:val="24"/>
        </w:rPr>
      </w:pPr>
      <w:r w:rsidRPr="00B03B51">
        <w:rPr>
          <w:rFonts w:ascii="Times New Roman" w:hAnsi="Times New Roman" w:cs="Times New Roman"/>
          <w:b/>
          <w:i/>
          <w:iCs/>
          <w:sz w:val="24"/>
        </w:rPr>
        <w:t>t</w:t>
      </w:r>
      <w:r w:rsidRPr="00B03B51">
        <w:rPr>
          <w:rFonts w:ascii="Times New Roman" w:hAnsi="Times New Roman" w:cs="Times New Roman"/>
          <w:b/>
          <w:sz w:val="24"/>
        </w:rPr>
        <w:t xml:space="preserve"> gada </w:t>
      </w:r>
      <w:r w:rsidR="0071541E" w:rsidRPr="00B03B51">
        <w:rPr>
          <w:rFonts w:ascii="Times New Roman" w:hAnsi="Times New Roman" w:cs="Times New Roman"/>
          <w:b/>
          <w:sz w:val="24"/>
        </w:rPr>
        <w:t>beigu</w:t>
      </w:r>
      <w:r w:rsidRPr="00B03B51">
        <w:rPr>
          <w:rFonts w:ascii="Times New Roman" w:hAnsi="Times New Roman" w:cs="Times New Roman"/>
          <w:b/>
          <w:sz w:val="24"/>
        </w:rPr>
        <w:t xml:space="preserve"> bilance</w:t>
      </w:r>
    </w:p>
    <w:p w14:paraId="7FD41417" w14:textId="77777777" w:rsidR="00994F93" w:rsidRPr="00B03B51" w:rsidRDefault="00994F93" w:rsidP="00994F93">
      <w:pPr>
        <w:jc w:val="both"/>
        <w:rPr>
          <w:rFonts w:ascii="Times New Roman" w:eastAsia="Arial" w:hAnsi="Times New Roman" w:cs="Times New Roman"/>
          <w:b/>
          <w:bCs/>
          <w:noProof/>
          <w:sz w:val="24"/>
          <w:szCs w:val="20"/>
        </w:rPr>
      </w:pPr>
    </w:p>
    <w:p w14:paraId="0613BD9B" w14:textId="06E5215E" w:rsidR="00994F93" w:rsidRPr="00B03B51" w:rsidRDefault="0091348F" w:rsidP="00994F93">
      <w:pPr>
        <w:jc w:val="both"/>
        <w:rPr>
          <w:rFonts w:ascii="Times New Roman" w:eastAsia="Arial" w:hAnsi="Times New Roman" w:cs="Times New Roman"/>
          <w:b/>
          <w:bCs/>
          <w:noProof/>
          <w:sz w:val="24"/>
          <w:szCs w:val="20"/>
        </w:rPr>
      </w:pPr>
      <w:r w:rsidRPr="00B03B51">
        <w:rPr>
          <w:rFonts w:ascii="Times New Roman" w:eastAsia="Arial" w:hAnsi="Times New Roman" w:cs="Times New Roman"/>
          <w:b/>
          <w:bCs/>
          <w:noProof/>
          <w:sz w:val="24"/>
          <w:szCs w:val="20"/>
        </w:rPr>
        <w:drawing>
          <wp:inline distT="0" distB="0" distL="0" distR="0" wp14:anchorId="6930808E" wp14:editId="7603EE81">
            <wp:extent cx="5760085" cy="1209675"/>
            <wp:effectExtent l="0" t="0" r="0" b="9525"/>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60085" cy="1209675"/>
                    </a:xfrm>
                    <a:prstGeom prst="rect">
                      <a:avLst/>
                    </a:prstGeom>
                    <a:noFill/>
                    <a:ln>
                      <a:noFill/>
                    </a:ln>
                  </pic:spPr>
                </pic:pic>
              </a:graphicData>
            </a:graphic>
          </wp:inline>
        </w:drawing>
      </w:r>
    </w:p>
    <w:p w14:paraId="3E5D918A" w14:textId="77777777" w:rsidR="00994F93" w:rsidRPr="00B03B51" w:rsidRDefault="00994F93" w:rsidP="00994F93">
      <w:pPr>
        <w:jc w:val="both"/>
        <w:rPr>
          <w:rFonts w:ascii="Times New Roman" w:eastAsia="Arial" w:hAnsi="Times New Roman" w:cs="Times New Roman"/>
          <w:b/>
          <w:bCs/>
          <w:noProof/>
          <w:sz w:val="24"/>
          <w:szCs w:val="20"/>
        </w:rPr>
      </w:pPr>
    </w:p>
    <w:p w14:paraId="26A537BF" w14:textId="77777777" w:rsidR="00994F93" w:rsidRPr="00B03B51" w:rsidRDefault="00994F93" w:rsidP="00994F93">
      <w:pPr>
        <w:jc w:val="both"/>
        <w:rPr>
          <w:rFonts w:ascii="Times New Roman" w:eastAsia="Arial" w:hAnsi="Times New Roman" w:cs="Times New Roman"/>
          <w:b/>
          <w:bCs/>
          <w:noProof/>
          <w:sz w:val="24"/>
          <w:szCs w:val="13"/>
        </w:rPr>
      </w:pPr>
      <w:r w:rsidRPr="00B03B51">
        <w:rPr>
          <w:rFonts w:ascii="Times New Roman" w:hAnsi="Times New Roman" w:cs="Times New Roman"/>
          <w:b/>
          <w:bCs/>
          <w:sz w:val="24"/>
          <w:szCs w:val="13"/>
        </w:rPr>
        <w:t>2. piemērs</w:t>
      </w:r>
    </w:p>
    <w:p w14:paraId="2B586158" w14:textId="77777777" w:rsidR="00994F93" w:rsidRPr="00B03B51" w:rsidRDefault="00994F93" w:rsidP="00994F93">
      <w:pPr>
        <w:jc w:val="both"/>
        <w:rPr>
          <w:rFonts w:ascii="Times New Roman" w:eastAsia="Arial" w:hAnsi="Times New Roman" w:cs="Times New Roman"/>
          <w:b/>
          <w:bCs/>
          <w:noProof/>
          <w:sz w:val="24"/>
          <w:szCs w:val="14"/>
        </w:rPr>
      </w:pPr>
    </w:p>
    <w:p w14:paraId="789B4754" w14:textId="77777777" w:rsidR="00994F93" w:rsidRPr="00B03B51" w:rsidRDefault="00994F93" w:rsidP="00994F93">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t>Attīstības bankai ir īpašs konts, lai nošķirtu darbības ar MVU no citām savām darbībām. Rezultātā visas naudas plūsmas, kas attiecas uz darbībām ar MVU, var skaidri identificēt, ļaujot nošķirt pārkārtojamos aktīvus un saistības. Šādā gadījumā aizdevuma aktīvus un to finansēšanu, izmantojot attīstības bankas emitētus vērtspapīrus, var ierakstīt tieši valdības kontos.</w:t>
      </w:r>
    </w:p>
    <w:p w14:paraId="780C63F6" w14:textId="77777777" w:rsidR="00994F93" w:rsidRPr="00B03B51" w:rsidRDefault="00994F93" w:rsidP="00994F93">
      <w:pPr>
        <w:jc w:val="both"/>
        <w:rPr>
          <w:rFonts w:ascii="Times New Roman" w:eastAsia="Arial" w:hAnsi="Times New Roman" w:cs="Times New Roman"/>
          <w:noProof/>
          <w:sz w:val="24"/>
          <w:szCs w:val="20"/>
        </w:rPr>
      </w:pPr>
    </w:p>
    <w:p w14:paraId="0E63DDB7" w14:textId="77777777" w:rsidR="00994F93" w:rsidRPr="00B03B51" w:rsidRDefault="00994F93" w:rsidP="00994F93">
      <w:pPr>
        <w:jc w:val="both"/>
        <w:rPr>
          <w:rFonts w:ascii="Times New Roman" w:hAnsi="Times New Roman" w:cs="Times New Roman"/>
          <w:b/>
          <w:noProof/>
          <w:sz w:val="24"/>
        </w:rPr>
      </w:pPr>
      <w:r w:rsidRPr="00B03B51">
        <w:rPr>
          <w:rFonts w:ascii="Times New Roman" w:hAnsi="Times New Roman" w:cs="Times New Roman"/>
          <w:b/>
          <w:i/>
          <w:iCs/>
          <w:sz w:val="24"/>
        </w:rPr>
        <w:t>t</w:t>
      </w:r>
      <w:r w:rsidRPr="00B03B51">
        <w:rPr>
          <w:rFonts w:ascii="Times New Roman" w:hAnsi="Times New Roman" w:cs="Times New Roman"/>
          <w:b/>
          <w:sz w:val="24"/>
        </w:rPr>
        <w:t xml:space="preserve"> pārskata gads:</w:t>
      </w:r>
    </w:p>
    <w:p w14:paraId="283D6703" w14:textId="77777777" w:rsidR="00994F93" w:rsidRPr="00B03B51" w:rsidRDefault="00994F93" w:rsidP="00994F93">
      <w:pPr>
        <w:jc w:val="both"/>
        <w:rPr>
          <w:rFonts w:ascii="Times New Roman" w:eastAsia="Arial" w:hAnsi="Times New Roman" w:cs="Times New Roman"/>
          <w:b/>
          <w:bCs/>
          <w:noProof/>
          <w:sz w:val="24"/>
          <w:szCs w:val="21"/>
        </w:rPr>
      </w:pPr>
    </w:p>
    <w:p w14:paraId="56A5940A" w14:textId="77777777" w:rsidR="00994F93" w:rsidRPr="00B03B51" w:rsidRDefault="00994F93" w:rsidP="00994F93">
      <w:pPr>
        <w:jc w:val="both"/>
        <w:rPr>
          <w:rFonts w:ascii="Times New Roman" w:hAnsi="Times New Roman" w:cs="Times New Roman"/>
          <w:b/>
          <w:noProof/>
          <w:sz w:val="24"/>
        </w:rPr>
      </w:pPr>
      <w:r w:rsidRPr="00B03B51">
        <w:rPr>
          <w:rFonts w:ascii="Times New Roman" w:hAnsi="Times New Roman" w:cs="Times New Roman"/>
          <w:b/>
          <w:i/>
          <w:iCs/>
          <w:sz w:val="24"/>
        </w:rPr>
        <w:t>t</w:t>
      </w:r>
      <w:r w:rsidRPr="00B03B51">
        <w:rPr>
          <w:rFonts w:ascii="Times New Roman" w:hAnsi="Times New Roman" w:cs="Times New Roman"/>
          <w:b/>
          <w:sz w:val="24"/>
        </w:rPr>
        <w:t xml:space="preserve"> gada sākuma bilance</w:t>
      </w:r>
    </w:p>
    <w:p w14:paraId="292D1515" w14:textId="77777777" w:rsidR="00994F93" w:rsidRPr="00B03B51" w:rsidRDefault="00994F93" w:rsidP="00994F93">
      <w:pPr>
        <w:jc w:val="both"/>
        <w:rPr>
          <w:rFonts w:ascii="Times New Roman" w:eastAsia="Arial" w:hAnsi="Times New Roman" w:cs="Times New Roman"/>
          <w:b/>
          <w:bCs/>
          <w:noProof/>
          <w:sz w:val="24"/>
          <w:szCs w:val="26"/>
        </w:rPr>
      </w:pPr>
    </w:p>
    <w:p w14:paraId="418E8B1D" w14:textId="05BA8602" w:rsidR="00994F93" w:rsidRPr="00B03B51" w:rsidRDefault="0091348F" w:rsidP="00994F93">
      <w:pPr>
        <w:jc w:val="both"/>
        <w:rPr>
          <w:rFonts w:ascii="Times New Roman" w:eastAsia="Arial" w:hAnsi="Times New Roman" w:cs="Times New Roman"/>
          <w:b/>
          <w:bCs/>
          <w:noProof/>
          <w:sz w:val="24"/>
          <w:szCs w:val="20"/>
        </w:rPr>
      </w:pPr>
      <w:r w:rsidRPr="00B03B51">
        <w:rPr>
          <w:rFonts w:ascii="Times New Roman" w:eastAsia="Arial" w:hAnsi="Times New Roman" w:cs="Times New Roman"/>
          <w:b/>
          <w:bCs/>
          <w:noProof/>
          <w:sz w:val="24"/>
          <w:szCs w:val="20"/>
        </w:rPr>
        <w:drawing>
          <wp:inline distT="0" distB="0" distL="0" distR="0" wp14:anchorId="45648BCE" wp14:editId="12A9251C">
            <wp:extent cx="5760085" cy="1257935"/>
            <wp:effectExtent l="0" t="0" r="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60085" cy="1257935"/>
                    </a:xfrm>
                    <a:prstGeom prst="rect">
                      <a:avLst/>
                    </a:prstGeom>
                    <a:noFill/>
                    <a:ln>
                      <a:noFill/>
                    </a:ln>
                  </pic:spPr>
                </pic:pic>
              </a:graphicData>
            </a:graphic>
          </wp:inline>
        </w:drawing>
      </w:r>
    </w:p>
    <w:p w14:paraId="147BB220" w14:textId="77777777" w:rsidR="00994F93" w:rsidRPr="00B03B51" w:rsidRDefault="00994F93" w:rsidP="00994F93">
      <w:pPr>
        <w:jc w:val="both"/>
        <w:rPr>
          <w:rFonts w:ascii="Times New Roman" w:eastAsia="Arial" w:hAnsi="Times New Roman" w:cs="Times New Roman"/>
          <w:b/>
          <w:bCs/>
          <w:noProof/>
          <w:sz w:val="24"/>
          <w:szCs w:val="17"/>
        </w:rPr>
      </w:pPr>
    </w:p>
    <w:p w14:paraId="686D4040" w14:textId="77777777" w:rsidR="00994F93" w:rsidRPr="00B03B51" w:rsidRDefault="00994F93" w:rsidP="002D71BB">
      <w:pPr>
        <w:keepNext/>
        <w:jc w:val="both"/>
        <w:rPr>
          <w:rFonts w:ascii="Times New Roman" w:hAnsi="Times New Roman" w:cs="Times New Roman"/>
          <w:b/>
          <w:noProof/>
          <w:sz w:val="24"/>
        </w:rPr>
      </w:pPr>
      <w:r w:rsidRPr="00B03B51">
        <w:rPr>
          <w:rFonts w:ascii="Times New Roman" w:hAnsi="Times New Roman" w:cs="Times New Roman"/>
          <w:b/>
          <w:sz w:val="24"/>
        </w:rPr>
        <w:lastRenderedPageBreak/>
        <w:t>Nefinanšu konti</w:t>
      </w:r>
    </w:p>
    <w:p w14:paraId="4246D428" w14:textId="77777777" w:rsidR="00994F93" w:rsidRPr="00B03B51" w:rsidRDefault="00994F93" w:rsidP="002D71BB">
      <w:pPr>
        <w:keepNext/>
        <w:jc w:val="both"/>
        <w:rPr>
          <w:rFonts w:ascii="Times New Roman" w:eastAsia="Arial" w:hAnsi="Times New Roman" w:cs="Times New Roman"/>
          <w:b/>
          <w:bCs/>
          <w:noProof/>
          <w:sz w:val="24"/>
          <w:szCs w:val="20"/>
        </w:rPr>
      </w:pPr>
    </w:p>
    <w:p w14:paraId="3245D481" w14:textId="57B7EB45" w:rsidR="00994F93" w:rsidRPr="00B03B51" w:rsidRDefault="0091348F" w:rsidP="002D71BB">
      <w:pPr>
        <w:keepNext/>
        <w:jc w:val="both"/>
        <w:rPr>
          <w:rFonts w:ascii="Times New Roman" w:eastAsia="Arial" w:hAnsi="Times New Roman" w:cs="Times New Roman"/>
          <w:b/>
          <w:bCs/>
          <w:noProof/>
          <w:sz w:val="24"/>
          <w:szCs w:val="20"/>
        </w:rPr>
      </w:pPr>
      <w:r w:rsidRPr="00B03B51">
        <w:rPr>
          <w:rFonts w:ascii="Times New Roman" w:eastAsia="Arial" w:hAnsi="Times New Roman" w:cs="Times New Roman"/>
          <w:b/>
          <w:bCs/>
          <w:noProof/>
          <w:sz w:val="24"/>
          <w:szCs w:val="20"/>
        </w:rPr>
        <w:drawing>
          <wp:inline distT="0" distB="0" distL="0" distR="0" wp14:anchorId="4B71D62D" wp14:editId="639DF15E">
            <wp:extent cx="5760085" cy="1235710"/>
            <wp:effectExtent l="0" t="0" r="0" b="254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60085" cy="1235710"/>
                    </a:xfrm>
                    <a:prstGeom prst="rect">
                      <a:avLst/>
                    </a:prstGeom>
                    <a:noFill/>
                    <a:ln>
                      <a:noFill/>
                    </a:ln>
                  </pic:spPr>
                </pic:pic>
              </a:graphicData>
            </a:graphic>
          </wp:inline>
        </w:drawing>
      </w:r>
    </w:p>
    <w:p w14:paraId="3BF627C3" w14:textId="77777777" w:rsidR="00994F93" w:rsidRPr="00B03B51" w:rsidRDefault="00994F93" w:rsidP="00994F93">
      <w:pPr>
        <w:jc w:val="both"/>
        <w:rPr>
          <w:rFonts w:ascii="Times New Roman" w:eastAsia="Arial" w:hAnsi="Times New Roman" w:cs="Times New Roman"/>
          <w:b/>
          <w:bCs/>
          <w:noProof/>
          <w:sz w:val="24"/>
          <w:szCs w:val="24"/>
        </w:rPr>
      </w:pPr>
    </w:p>
    <w:p w14:paraId="6D6047F1" w14:textId="77777777" w:rsidR="00994F93" w:rsidRPr="00B03B51" w:rsidRDefault="00994F93" w:rsidP="00994F93">
      <w:pPr>
        <w:jc w:val="both"/>
        <w:rPr>
          <w:rFonts w:ascii="Times New Roman" w:hAnsi="Times New Roman" w:cs="Times New Roman"/>
          <w:b/>
          <w:noProof/>
          <w:sz w:val="24"/>
        </w:rPr>
      </w:pPr>
      <w:r w:rsidRPr="00B03B51">
        <w:rPr>
          <w:rFonts w:ascii="Times New Roman" w:hAnsi="Times New Roman" w:cs="Times New Roman"/>
          <w:b/>
          <w:sz w:val="24"/>
        </w:rPr>
        <w:t>Finanšu konti</w:t>
      </w:r>
    </w:p>
    <w:p w14:paraId="21B4DC2B" w14:textId="77777777" w:rsidR="00994F93" w:rsidRPr="00B03B51" w:rsidRDefault="00994F93" w:rsidP="00994F93">
      <w:pPr>
        <w:jc w:val="both"/>
        <w:rPr>
          <w:rFonts w:ascii="Times New Roman" w:eastAsia="Arial" w:hAnsi="Times New Roman" w:cs="Times New Roman"/>
          <w:b/>
          <w:bCs/>
          <w:noProof/>
          <w:sz w:val="24"/>
          <w:szCs w:val="25"/>
        </w:rPr>
      </w:pPr>
    </w:p>
    <w:p w14:paraId="326F1B97" w14:textId="62CADE19" w:rsidR="00994F93" w:rsidRPr="00B03B51" w:rsidRDefault="0091348F" w:rsidP="00994F93">
      <w:pPr>
        <w:jc w:val="both"/>
        <w:rPr>
          <w:rFonts w:ascii="Times New Roman" w:eastAsia="Arial" w:hAnsi="Times New Roman" w:cs="Times New Roman"/>
          <w:b/>
          <w:bCs/>
          <w:noProof/>
          <w:sz w:val="24"/>
          <w:szCs w:val="20"/>
        </w:rPr>
      </w:pPr>
      <w:r w:rsidRPr="00B03B51">
        <w:rPr>
          <w:rFonts w:ascii="Times New Roman" w:eastAsia="Arial" w:hAnsi="Times New Roman" w:cs="Times New Roman"/>
          <w:b/>
          <w:bCs/>
          <w:noProof/>
          <w:sz w:val="24"/>
          <w:szCs w:val="20"/>
        </w:rPr>
        <w:drawing>
          <wp:inline distT="0" distB="0" distL="0" distR="0" wp14:anchorId="554AB40F" wp14:editId="0F4702BB">
            <wp:extent cx="5760085" cy="1248410"/>
            <wp:effectExtent l="0" t="0" r="0" b="889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60085" cy="1248410"/>
                    </a:xfrm>
                    <a:prstGeom prst="rect">
                      <a:avLst/>
                    </a:prstGeom>
                    <a:noFill/>
                    <a:ln>
                      <a:noFill/>
                    </a:ln>
                  </pic:spPr>
                </pic:pic>
              </a:graphicData>
            </a:graphic>
          </wp:inline>
        </w:drawing>
      </w:r>
    </w:p>
    <w:p w14:paraId="6B822BA5" w14:textId="77777777" w:rsidR="00994F93" w:rsidRPr="00B03B51" w:rsidRDefault="00994F93" w:rsidP="00994F93">
      <w:pPr>
        <w:jc w:val="both"/>
        <w:rPr>
          <w:rFonts w:ascii="Times New Roman" w:eastAsia="Arial" w:hAnsi="Times New Roman" w:cs="Times New Roman"/>
          <w:b/>
          <w:bCs/>
          <w:noProof/>
          <w:sz w:val="24"/>
          <w:szCs w:val="17"/>
        </w:rPr>
      </w:pPr>
    </w:p>
    <w:p w14:paraId="7BD15731" w14:textId="3351BEF1" w:rsidR="00994F93" w:rsidRPr="00B03B51" w:rsidRDefault="00994F93" w:rsidP="00994F93">
      <w:pPr>
        <w:jc w:val="both"/>
        <w:rPr>
          <w:rFonts w:ascii="Times New Roman" w:hAnsi="Times New Roman" w:cs="Times New Roman"/>
          <w:b/>
          <w:noProof/>
          <w:sz w:val="24"/>
        </w:rPr>
      </w:pPr>
      <w:r w:rsidRPr="00B03B51">
        <w:rPr>
          <w:rFonts w:ascii="Times New Roman" w:hAnsi="Times New Roman" w:cs="Times New Roman"/>
          <w:b/>
          <w:i/>
          <w:iCs/>
          <w:sz w:val="24"/>
        </w:rPr>
        <w:t>t</w:t>
      </w:r>
      <w:r w:rsidRPr="00B03B51">
        <w:rPr>
          <w:rFonts w:ascii="Times New Roman" w:hAnsi="Times New Roman" w:cs="Times New Roman"/>
          <w:b/>
          <w:sz w:val="24"/>
        </w:rPr>
        <w:t xml:space="preserve"> gada </w:t>
      </w:r>
      <w:r w:rsidR="0071541E" w:rsidRPr="00B03B51">
        <w:rPr>
          <w:rFonts w:ascii="Times New Roman" w:hAnsi="Times New Roman" w:cs="Times New Roman"/>
          <w:b/>
          <w:sz w:val="24"/>
        </w:rPr>
        <w:t>beigu</w:t>
      </w:r>
      <w:r w:rsidRPr="00B03B51">
        <w:rPr>
          <w:rFonts w:ascii="Times New Roman" w:hAnsi="Times New Roman" w:cs="Times New Roman"/>
          <w:b/>
          <w:sz w:val="24"/>
        </w:rPr>
        <w:t xml:space="preserve"> bilance</w:t>
      </w:r>
    </w:p>
    <w:p w14:paraId="290AF58D" w14:textId="77777777" w:rsidR="00994F93" w:rsidRPr="00B03B51" w:rsidRDefault="00994F93" w:rsidP="00994F93">
      <w:pPr>
        <w:jc w:val="both"/>
        <w:rPr>
          <w:rFonts w:ascii="Times New Roman" w:eastAsia="Arial" w:hAnsi="Times New Roman" w:cs="Times New Roman"/>
          <w:b/>
          <w:bCs/>
          <w:noProof/>
          <w:sz w:val="24"/>
          <w:szCs w:val="20"/>
        </w:rPr>
      </w:pPr>
    </w:p>
    <w:p w14:paraId="247AFAB7" w14:textId="2A45654B" w:rsidR="00994F93" w:rsidRPr="00B03B51" w:rsidRDefault="0091348F" w:rsidP="00994F93">
      <w:pPr>
        <w:jc w:val="both"/>
        <w:rPr>
          <w:rFonts w:ascii="Times New Roman" w:eastAsia="Arial" w:hAnsi="Times New Roman" w:cs="Times New Roman"/>
          <w:b/>
          <w:bCs/>
          <w:noProof/>
          <w:sz w:val="24"/>
          <w:szCs w:val="20"/>
        </w:rPr>
      </w:pPr>
      <w:r w:rsidRPr="00B03B51">
        <w:rPr>
          <w:rFonts w:ascii="Times New Roman" w:eastAsia="Arial" w:hAnsi="Times New Roman" w:cs="Times New Roman"/>
          <w:b/>
          <w:bCs/>
          <w:noProof/>
          <w:sz w:val="24"/>
          <w:szCs w:val="20"/>
        </w:rPr>
        <w:drawing>
          <wp:inline distT="0" distB="0" distL="0" distR="0" wp14:anchorId="06C49657" wp14:editId="5EDC42D9">
            <wp:extent cx="5760085" cy="1217930"/>
            <wp:effectExtent l="0" t="0" r="0" b="127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60085" cy="1217930"/>
                    </a:xfrm>
                    <a:prstGeom prst="rect">
                      <a:avLst/>
                    </a:prstGeom>
                    <a:noFill/>
                    <a:ln>
                      <a:noFill/>
                    </a:ln>
                  </pic:spPr>
                </pic:pic>
              </a:graphicData>
            </a:graphic>
          </wp:inline>
        </w:drawing>
      </w:r>
    </w:p>
    <w:p w14:paraId="1CF105D1" w14:textId="77777777" w:rsidR="00994F93" w:rsidRPr="00B03B51" w:rsidRDefault="00994F93" w:rsidP="00994F93">
      <w:pPr>
        <w:jc w:val="both"/>
        <w:rPr>
          <w:rFonts w:ascii="Times New Roman" w:eastAsia="Arial" w:hAnsi="Times New Roman" w:cs="Times New Roman"/>
          <w:b/>
          <w:bCs/>
          <w:noProof/>
          <w:sz w:val="24"/>
          <w:szCs w:val="14"/>
        </w:rPr>
      </w:pPr>
    </w:p>
    <w:p w14:paraId="6578D367" w14:textId="77777777" w:rsidR="00994F93" w:rsidRPr="00B03B51" w:rsidRDefault="00994F93" w:rsidP="00994F93">
      <w:pPr>
        <w:jc w:val="both"/>
        <w:rPr>
          <w:rFonts w:ascii="Times New Roman" w:eastAsia="Arial" w:hAnsi="Times New Roman" w:cs="Times New Roman"/>
          <w:b/>
          <w:bCs/>
          <w:noProof/>
          <w:sz w:val="24"/>
          <w:szCs w:val="14"/>
        </w:rPr>
      </w:pPr>
      <w:r w:rsidRPr="00B03B51">
        <w:rPr>
          <w:rFonts w:ascii="Times New Roman" w:hAnsi="Times New Roman" w:cs="Times New Roman"/>
          <w:b/>
          <w:bCs/>
          <w:sz w:val="24"/>
          <w:szCs w:val="14"/>
        </w:rPr>
        <w:t>3. piemērs</w:t>
      </w:r>
    </w:p>
    <w:p w14:paraId="67530443" w14:textId="77777777" w:rsidR="00994F93" w:rsidRPr="00B03B51" w:rsidRDefault="00994F93" w:rsidP="00994F93">
      <w:pPr>
        <w:jc w:val="both"/>
        <w:rPr>
          <w:rFonts w:ascii="Times New Roman" w:eastAsia="Arial" w:hAnsi="Times New Roman" w:cs="Times New Roman"/>
          <w:b/>
          <w:bCs/>
          <w:noProof/>
          <w:sz w:val="24"/>
          <w:szCs w:val="14"/>
        </w:rPr>
      </w:pPr>
    </w:p>
    <w:p w14:paraId="76D7631E" w14:textId="77777777" w:rsidR="00994F93" w:rsidRPr="00B03B51" w:rsidRDefault="00994F93" w:rsidP="00994F93">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b/>
          <w:bCs/>
          <w:sz w:val="24"/>
        </w:rPr>
        <w:t>Subsīdija, kuru valdība neatlīdzina</w:t>
      </w:r>
      <w:r w:rsidRPr="00B03B51">
        <w:rPr>
          <w:rFonts w:ascii="Times New Roman" w:hAnsi="Times New Roman" w:cs="Times New Roman"/>
          <w:sz w:val="24"/>
        </w:rPr>
        <w:t> – attīstības banka sniedz subsīdiju, kas tiek pārkārtota, izmantojot valdības kontus. Šajā uzskaites piemērā ir parādīta subsīdijas pārkārtošana, izmantojot nefinanšu kontus, un subsīdija tiek finansēta, izņemot valdības pašu kapitālu no attīstības bankas.</w:t>
      </w:r>
    </w:p>
    <w:p w14:paraId="40025B80" w14:textId="77777777" w:rsidR="00994F93" w:rsidRPr="00B03B51" w:rsidRDefault="00994F93" w:rsidP="00994F93">
      <w:pPr>
        <w:jc w:val="both"/>
        <w:rPr>
          <w:rFonts w:ascii="Times New Roman" w:hAnsi="Times New Roman" w:cs="Times New Roman"/>
          <w:noProof/>
          <w:sz w:val="24"/>
        </w:rPr>
      </w:pPr>
    </w:p>
    <w:p w14:paraId="357D2307" w14:textId="77777777" w:rsidR="00994F93" w:rsidRPr="00B03B51" w:rsidRDefault="00994F93" w:rsidP="00994F93">
      <w:pPr>
        <w:jc w:val="both"/>
        <w:rPr>
          <w:rFonts w:ascii="Times New Roman" w:hAnsi="Times New Roman" w:cs="Times New Roman"/>
          <w:b/>
          <w:noProof/>
          <w:sz w:val="24"/>
        </w:rPr>
      </w:pPr>
      <w:r w:rsidRPr="00B03B51">
        <w:rPr>
          <w:rFonts w:ascii="Times New Roman" w:hAnsi="Times New Roman" w:cs="Times New Roman"/>
          <w:b/>
          <w:i/>
          <w:iCs/>
          <w:sz w:val="24"/>
        </w:rPr>
        <w:t>t</w:t>
      </w:r>
      <w:r w:rsidRPr="00B03B51">
        <w:rPr>
          <w:rFonts w:ascii="Times New Roman" w:hAnsi="Times New Roman" w:cs="Times New Roman"/>
          <w:b/>
          <w:sz w:val="24"/>
        </w:rPr>
        <w:t xml:space="preserve"> pārskata gads:</w:t>
      </w:r>
    </w:p>
    <w:p w14:paraId="1CB5A21B" w14:textId="77777777" w:rsidR="00994F93" w:rsidRPr="00B03B51" w:rsidRDefault="00994F93" w:rsidP="00994F93">
      <w:pPr>
        <w:jc w:val="both"/>
        <w:rPr>
          <w:rFonts w:ascii="Times New Roman" w:eastAsia="Arial" w:hAnsi="Times New Roman" w:cs="Times New Roman"/>
          <w:b/>
          <w:bCs/>
          <w:noProof/>
          <w:sz w:val="24"/>
          <w:szCs w:val="21"/>
        </w:rPr>
      </w:pPr>
    </w:p>
    <w:p w14:paraId="7F18A21F" w14:textId="77777777" w:rsidR="00994F93" w:rsidRPr="00B03B51" w:rsidRDefault="00994F93" w:rsidP="00994F93">
      <w:pPr>
        <w:jc w:val="both"/>
        <w:rPr>
          <w:rFonts w:ascii="Times New Roman" w:hAnsi="Times New Roman" w:cs="Times New Roman"/>
          <w:b/>
          <w:noProof/>
          <w:sz w:val="24"/>
        </w:rPr>
      </w:pPr>
      <w:r w:rsidRPr="00B03B51">
        <w:rPr>
          <w:rFonts w:ascii="Times New Roman" w:hAnsi="Times New Roman" w:cs="Times New Roman"/>
          <w:b/>
          <w:i/>
          <w:iCs/>
          <w:sz w:val="24"/>
        </w:rPr>
        <w:t>t</w:t>
      </w:r>
      <w:r w:rsidRPr="00B03B51">
        <w:rPr>
          <w:rFonts w:ascii="Times New Roman" w:hAnsi="Times New Roman" w:cs="Times New Roman"/>
          <w:b/>
          <w:sz w:val="24"/>
        </w:rPr>
        <w:t xml:space="preserve"> gada sākuma bilance</w:t>
      </w:r>
    </w:p>
    <w:p w14:paraId="6F1087EE" w14:textId="77777777" w:rsidR="00994F93" w:rsidRPr="00B03B51" w:rsidRDefault="00994F93" w:rsidP="00994F93">
      <w:pPr>
        <w:jc w:val="both"/>
        <w:rPr>
          <w:rFonts w:ascii="Times New Roman" w:eastAsia="Arial" w:hAnsi="Times New Roman" w:cs="Times New Roman"/>
          <w:b/>
          <w:bCs/>
          <w:noProof/>
          <w:sz w:val="24"/>
          <w:szCs w:val="26"/>
        </w:rPr>
      </w:pPr>
    </w:p>
    <w:p w14:paraId="683B9B49" w14:textId="6D97A0F7" w:rsidR="00994F93" w:rsidRPr="00B03B51" w:rsidRDefault="0091348F" w:rsidP="00994F93">
      <w:pPr>
        <w:jc w:val="both"/>
        <w:rPr>
          <w:rFonts w:ascii="Times New Roman" w:eastAsia="Arial" w:hAnsi="Times New Roman" w:cs="Times New Roman"/>
          <w:b/>
          <w:bCs/>
          <w:noProof/>
          <w:sz w:val="24"/>
          <w:szCs w:val="20"/>
        </w:rPr>
      </w:pPr>
      <w:r w:rsidRPr="00B03B51">
        <w:rPr>
          <w:rFonts w:ascii="Times New Roman" w:eastAsia="Arial" w:hAnsi="Times New Roman" w:cs="Times New Roman"/>
          <w:b/>
          <w:bCs/>
          <w:noProof/>
          <w:sz w:val="24"/>
          <w:szCs w:val="20"/>
        </w:rPr>
        <w:drawing>
          <wp:inline distT="0" distB="0" distL="0" distR="0" wp14:anchorId="796FF451" wp14:editId="756C87D2">
            <wp:extent cx="5760085" cy="1205865"/>
            <wp:effectExtent l="0" t="0" r="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60085" cy="1205865"/>
                    </a:xfrm>
                    <a:prstGeom prst="rect">
                      <a:avLst/>
                    </a:prstGeom>
                    <a:noFill/>
                    <a:ln>
                      <a:noFill/>
                    </a:ln>
                  </pic:spPr>
                </pic:pic>
              </a:graphicData>
            </a:graphic>
          </wp:inline>
        </w:drawing>
      </w:r>
    </w:p>
    <w:p w14:paraId="51C13A07" w14:textId="77777777" w:rsidR="00994F93" w:rsidRPr="00B03B51" w:rsidRDefault="00994F93" w:rsidP="00994F93">
      <w:pPr>
        <w:jc w:val="both"/>
        <w:rPr>
          <w:rFonts w:ascii="Times New Roman" w:eastAsia="Arial" w:hAnsi="Times New Roman" w:cs="Times New Roman"/>
          <w:b/>
          <w:bCs/>
          <w:noProof/>
          <w:sz w:val="24"/>
          <w:szCs w:val="17"/>
        </w:rPr>
      </w:pPr>
    </w:p>
    <w:p w14:paraId="7CDBF7B4" w14:textId="77777777" w:rsidR="00994F93" w:rsidRPr="00B03B51" w:rsidRDefault="00994F93" w:rsidP="002D71BB">
      <w:pPr>
        <w:keepNext/>
        <w:jc w:val="both"/>
        <w:rPr>
          <w:rFonts w:ascii="Times New Roman" w:hAnsi="Times New Roman" w:cs="Times New Roman"/>
          <w:b/>
          <w:noProof/>
          <w:sz w:val="24"/>
        </w:rPr>
      </w:pPr>
      <w:r w:rsidRPr="00B03B51">
        <w:rPr>
          <w:rFonts w:ascii="Times New Roman" w:hAnsi="Times New Roman" w:cs="Times New Roman"/>
          <w:b/>
          <w:sz w:val="24"/>
        </w:rPr>
        <w:lastRenderedPageBreak/>
        <w:t>Nefinanšu konti</w:t>
      </w:r>
    </w:p>
    <w:p w14:paraId="1DBABA71" w14:textId="77777777" w:rsidR="00994F93" w:rsidRPr="00B03B51" w:rsidRDefault="00994F93" w:rsidP="002D71BB">
      <w:pPr>
        <w:keepNext/>
        <w:jc w:val="both"/>
        <w:rPr>
          <w:rFonts w:ascii="Times New Roman" w:eastAsia="Arial" w:hAnsi="Times New Roman" w:cs="Times New Roman"/>
          <w:b/>
          <w:bCs/>
          <w:noProof/>
          <w:sz w:val="24"/>
          <w:szCs w:val="26"/>
        </w:rPr>
      </w:pPr>
    </w:p>
    <w:p w14:paraId="1F8F32E1" w14:textId="64F11A67" w:rsidR="00994F93" w:rsidRPr="00B03B51" w:rsidRDefault="0091348F" w:rsidP="002D71BB">
      <w:pPr>
        <w:keepNext/>
        <w:jc w:val="both"/>
        <w:rPr>
          <w:rFonts w:ascii="Times New Roman" w:eastAsia="Arial" w:hAnsi="Times New Roman" w:cs="Times New Roman"/>
          <w:b/>
          <w:bCs/>
          <w:noProof/>
          <w:sz w:val="24"/>
          <w:szCs w:val="20"/>
        </w:rPr>
      </w:pPr>
      <w:r w:rsidRPr="00B03B51">
        <w:rPr>
          <w:rFonts w:ascii="Times New Roman" w:eastAsia="Arial" w:hAnsi="Times New Roman" w:cs="Times New Roman"/>
          <w:b/>
          <w:bCs/>
          <w:noProof/>
          <w:sz w:val="24"/>
          <w:szCs w:val="20"/>
        </w:rPr>
        <w:drawing>
          <wp:inline distT="0" distB="0" distL="0" distR="0" wp14:anchorId="39D757B5" wp14:editId="435632D2">
            <wp:extent cx="5760085" cy="1343660"/>
            <wp:effectExtent l="0" t="0" r="0" b="889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60085" cy="1343660"/>
                    </a:xfrm>
                    <a:prstGeom prst="rect">
                      <a:avLst/>
                    </a:prstGeom>
                    <a:noFill/>
                    <a:ln>
                      <a:noFill/>
                    </a:ln>
                  </pic:spPr>
                </pic:pic>
              </a:graphicData>
            </a:graphic>
          </wp:inline>
        </w:drawing>
      </w:r>
    </w:p>
    <w:p w14:paraId="539FB38F" w14:textId="77777777" w:rsidR="00994F93" w:rsidRPr="00B03B51" w:rsidRDefault="00994F93" w:rsidP="00994F93">
      <w:pPr>
        <w:jc w:val="both"/>
        <w:rPr>
          <w:rFonts w:ascii="Times New Roman" w:eastAsia="Arial" w:hAnsi="Times New Roman" w:cs="Times New Roman"/>
          <w:b/>
          <w:bCs/>
          <w:noProof/>
          <w:sz w:val="24"/>
          <w:szCs w:val="17"/>
        </w:rPr>
      </w:pPr>
    </w:p>
    <w:p w14:paraId="30B85C47" w14:textId="77777777" w:rsidR="00994F93" w:rsidRPr="00B03B51" w:rsidRDefault="00994F93" w:rsidP="00994F93">
      <w:pPr>
        <w:jc w:val="both"/>
        <w:rPr>
          <w:rFonts w:ascii="Times New Roman" w:hAnsi="Times New Roman" w:cs="Times New Roman"/>
          <w:b/>
          <w:noProof/>
          <w:sz w:val="24"/>
        </w:rPr>
      </w:pPr>
      <w:r w:rsidRPr="00B03B51">
        <w:rPr>
          <w:rFonts w:ascii="Times New Roman" w:hAnsi="Times New Roman" w:cs="Times New Roman"/>
          <w:b/>
          <w:sz w:val="24"/>
        </w:rPr>
        <w:t>Finanšu konti</w:t>
      </w:r>
    </w:p>
    <w:p w14:paraId="2BB8D5C7" w14:textId="77777777" w:rsidR="00994F93" w:rsidRPr="00B03B51" w:rsidRDefault="00994F93" w:rsidP="00994F93">
      <w:pPr>
        <w:jc w:val="both"/>
        <w:rPr>
          <w:rFonts w:ascii="Times New Roman" w:eastAsia="Arial" w:hAnsi="Times New Roman" w:cs="Times New Roman"/>
          <w:b/>
          <w:bCs/>
          <w:noProof/>
          <w:sz w:val="24"/>
          <w:szCs w:val="25"/>
        </w:rPr>
      </w:pPr>
    </w:p>
    <w:p w14:paraId="6CEDFFCB" w14:textId="56D78770" w:rsidR="00994F93" w:rsidRPr="00B03B51" w:rsidRDefault="0091348F" w:rsidP="00994F93">
      <w:pPr>
        <w:jc w:val="both"/>
        <w:rPr>
          <w:rFonts w:ascii="Times New Roman" w:eastAsia="Arial" w:hAnsi="Times New Roman" w:cs="Times New Roman"/>
          <w:b/>
          <w:bCs/>
          <w:noProof/>
          <w:sz w:val="24"/>
          <w:szCs w:val="20"/>
        </w:rPr>
      </w:pPr>
      <w:r w:rsidRPr="00B03B51">
        <w:rPr>
          <w:rFonts w:ascii="Times New Roman" w:eastAsia="Arial" w:hAnsi="Times New Roman" w:cs="Times New Roman"/>
          <w:b/>
          <w:bCs/>
          <w:noProof/>
          <w:sz w:val="24"/>
          <w:szCs w:val="20"/>
        </w:rPr>
        <w:drawing>
          <wp:inline distT="0" distB="0" distL="0" distR="0" wp14:anchorId="04CDD873" wp14:editId="258CBEF9">
            <wp:extent cx="5760085" cy="1327785"/>
            <wp:effectExtent l="0" t="0" r="0" b="5715"/>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60085" cy="1327785"/>
                    </a:xfrm>
                    <a:prstGeom prst="rect">
                      <a:avLst/>
                    </a:prstGeom>
                    <a:noFill/>
                    <a:ln>
                      <a:noFill/>
                    </a:ln>
                  </pic:spPr>
                </pic:pic>
              </a:graphicData>
            </a:graphic>
          </wp:inline>
        </w:drawing>
      </w:r>
    </w:p>
    <w:p w14:paraId="017AFA0C" w14:textId="77777777" w:rsidR="00994F93" w:rsidRPr="00B03B51" w:rsidRDefault="00994F93" w:rsidP="00994F93">
      <w:pPr>
        <w:jc w:val="both"/>
        <w:rPr>
          <w:rFonts w:ascii="Times New Roman" w:eastAsia="Arial" w:hAnsi="Times New Roman" w:cs="Times New Roman"/>
          <w:b/>
          <w:bCs/>
          <w:noProof/>
          <w:sz w:val="24"/>
          <w:szCs w:val="17"/>
        </w:rPr>
      </w:pPr>
    </w:p>
    <w:p w14:paraId="65D75607" w14:textId="0D7EB466" w:rsidR="00994F93" w:rsidRPr="00B03B51" w:rsidRDefault="00994F93" w:rsidP="00994F93">
      <w:pPr>
        <w:jc w:val="both"/>
        <w:rPr>
          <w:rFonts w:ascii="Times New Roman" w:hAnsi="Times New Roman" w:cs="Times New Roman"/>
          <w:b/>
          <w:noProof/>
          <w:sz w:val="24"/>
        </w:rPr>
      </w:pPr>
      <w:r w:rsidRPr="00B03B51">
        <w:rPr>
          <w:rFonts w:ascii="Times New Roman" w:hAnsi="Times New Roman" w:cs="Times New Roman"/>
          <w:b/>
          <w:i/>
          <w:iCs/>
          <w:sz w:val="24"/>
        </w:rPr>
        <w:t>t</w:t>
      </w:r>
      <w:r w:rsidRPr="00B03B51">
        <w:rPr>
          <w:rFonts w:ascii="Times New Roman" w:hAnsi="Times New Roman" w:cs="Times New Roman"/>
          <w:b/>
          <w:sz w:val="24"/>
        </w:rPr>
        <w:t xml:space="preserve"> gada </w:t>
      </w:r>
      <w:r w:rsidR="0071541E" w:rsidRPr="00B03B51">
        <w:rPr>
          <w:rFonts w:ascii="Times New Roman" w:hAnsi="Times New Roman" w:cs="Times New Roman"/>
          <w:b/>
          <w:sz w:val="24"/>
        </w:rPr>
        <w:t>beigu</w:t>
      </w:r>
      <w:r w:rsidRPr="00B03B51">
        <w:rPr>
          <w:rFonts w:ascii="Times New Roman" w:hAnsi="Times New Roman" w:cs="Times New Roman"/>
          <w:b/>
          <w:sz w:val="24"/>
        </w:rPr>
        <w:t xml:space="preserve"> bilance</w:t>
      </w:r>
    </w:p>
    <w:p w14:paraId="110C492D" w14:textId="77777777" w:rsidR="00994F93" w:rsidRPr="00B03B51" w:rsidRDefault="00994F93" w:rsidP="00994F93">
      <w:pPr>
        <w:jc w:val="both"/>
        <w:rPr>
          <w:rFonts w:ascii="Times New Roman" w:eastAsia="Arial" w:hAnsi="Times New Roman" w:cs="Times New Roman"/>
          <w:b/>
          <w:bCs/>
          <w:noProof/>
          <w:sz w:val="24"/>
          <w:szCs w:val="25"/>
        </w:rPr>
      </w:pPr>
    </w:p>
    <w:p w14:paraId="1F60013E" w14:textId="54DCB74B" w:rsidR="00994F93" w:rsidRPr="00B03B51" w:rsidRDefault="0074512A" w:rsidP="00994F93">
      <w:pPr>
        <w:jc w:val="both"/>
        <w:rPr>
          <w:rFonts w:ascii="Times New Roman" w:eastAsia="Calibri" w:hAnsi="Times New Roman" w:cs="Times New Roman"/>
          <w:noProof/>
          <w:sz w:val="24"/>
          <w:szCs w:val="18"/>
        </w:rPr>
      </w:pPr>
      <w:r w:rsidRPr="00B03B51">
        <w:rPr>
          <w:rFonts w:ascii="Times New Roman" w:eastAsia="Calibri" w:hAnsi="Times New Roman" w:cs="Times New Roman"/>
          <w:noProof/>
          <w:sz w:val="24"/>
          <w:szCs w:val="18"/>
        </w:rPr>
        <w:drawing>
          <wp:inline distT="0" distB="0" distL="0" distR="0" wp14:anchorId="3C4E55F6" wp14:editId="76949A15">
            <wp:extent cx="5760085" cy="1312545"/>
            <wp:effectExtent l="0" t="0" r="0" b="1905"/>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60085" cy="1312545"/>
                    </a:xfrm>
                    <a:prstGeom prst="rect">
                      <a:avLst/>
                    </a:prstGeom>
                    <a:noFill/>
                    <a:ln>
                      <a:noFill/>
                    </a:ln>
                  </pic:spPr>
                </pic:pic>
              </a:graphicData>
            </a:graphic>
          </wp:inline>
        </w:drawing>
      </w:r>
    </w:p>
    <w:p w14:paraId="411C5C59" w14:textId="77777777" w:rsidR="00994F93" w:rsidRPr="00B03B51" w:rsidRDefault="00994F93" w:rsidP="00994F93">
      <w:pPr>
        <w:jc w:val="both"/>
        <w:rPr>
          <w:rFonts w:ascii="Times New Roman" w:eastAsia="Arial" w:hAnsi="Times New Roman" w:cs="Times New Roman"/>
          <w:b/>
          <w:bCs/>
          <w:noProof/>
          <w:sz w:val="24"/>
          <w:szCs w:val="14"/>
        </w:rPr>
      </w:pPr>
    </w:p>
    <w:p w14:paraId="780F9E57" w14:textId="77777777" w:rsidR="00994F93" w:rsidRPr="00B03B51" w:rsidRDefault="00994F93" w:rsidP="00994F93">
      <w:pPr>
        <w:jc w:val="both"/>
        <w:rPr>
          <w:rFonts w:ascii="Times New Roman" w:eastAsia="Arial" w:hAnsi="Times New Roman" w:cs="Times New Roman"/>
          <w:b/>
          <w:bCs/>
          <w:noProof/>
          <w:sz w:val="24"/>
          <w:szCs w:val="14"/>
        </w:rPr>
      </w:pPr>
      <w:r w:rsidRPr="00B03B51">
        <w:rPr>
          <w:rFonts w:ascii="Times New Roman" w:hAnsi="Times New Roman" w:cs="Times New Roman"/>
          <w:b/>
          <w:bCs/>
          <w:sz w:val="24"/>
          <w:szCs w:val="14"/>
        </w:rPr>
        <w:t>4. piemērs</w:t>
      </w:r>
    </w:p>
    <w:p w14:paraId="0A3A71E9" w14:textId="77777777" w:rsidR="00994F93" w:rsidRPr="00B03B51" w:rsidRDefault="00994F93" w:rsidP="00994F93">
      <w:pPr>
        <w:jc w:val="both"/>
        <w:rPr>
          <w:rFonts w:ascii="Times New Roman" w:eastAsia="Arial" w:hAnsi="Times New Roman" w:cs="Times New Roman"/>
          <w:b/>
          <w:bCs/>
          <w:noProof/>
          <w:sz w:val="24"/>
          <w:szCs w:val="14"/>
        </w:rPr>
      </w:pPr>
    </w:p>
    <w:p w14:paraId="7F30A652" w14:textId="77777777" w:rsidR="00994F93" w:rsidRPr="00B03B51" w:rsidRDefault="00994F93" w:rsidP="00994F93">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b/>
          <w:bCs/>
          <w:sz w:val="24"/>
        </w:rPr>
        <w:t>Subsīdija, ko valdība atlīdzina</w:t>
      </w:r>
      <w:r w:rsidRPr="00B03B51">
        <w:rPr>
          <w:rFonts w:ascii="Times New Roman" w:hAnsi="Times New Roman" w:cs="Times New Roman"/>
          <w:sz w:val="24"/>
        </w:rPr>
        <w:t> – valdība uzdod attīstības bankai piešķirt MVU subsīdiju un apņemas vēlāk atlīdzināt nepieciešamos finanšu resursus attīstības bankai. Šajā uzskaites piemērā ir parādīta subsīdijas pārkārtošana, izmantojot nefinanšu kontus, un attīstības bankas finansēšanas iespēju izmantošana, sniedzot nosacītu aizdevumu valdībai.</w:t>
      </w:r>
    </w:p>
    <w:p w14:paraId="08699E37" w14:textId="77777777" w:rsidR="00994F93" w:rsidRPr="00B03B51" w:rsidRDefault="00994F93" w:rsidP="00994F93">
      <w:pPr>
        <w:jc w:val="both"/>
        <w:rPr>
          <w:rFonts w:ascii="Times New Roman" w:hAnsi="Times New Roman" w:cs="Times New Roman"/>
          <w:noProof/>
          <w:sz w:val="24"/>
        </w:rPr>
      </w:pPr>
    </w:p>
    <w:p w14:paraId="56E7525C" w14:textId="77777777" w:rsidR="00994F93" w:rsidRPr="00B03B51" w:rsidRDefault="00994F93" w:rsidP="00994F93">
      <w:pPr>
        <w:jc w:val="both"/>
        <w:rPr>
          <w:rFonts w:ascii="Times New Roman" w:hAnsi="Times New Roman" w:cs="Times New Roman"/>
          <w:b/>
          <w:noProof/>
          <w:sz w:val="24"/>
        </w:rPr>
      </w:pPr>
      <w:r w:rsidRPr="00B03B51">
        <w:rPr>
          <w:rFonts w:ascii="Times New Roman" w:hAnsi="Times New Roman" w:cs="Times New Roman"/>
          <w:b/>
          <w:i/>
          <w:iCs/>
          <w:sz w:val="24"/>
        </w:rPr>
        <w:t>t</w:t>
      </w:r>
      <w:r w:rsidRPr="00B03B51">
        <w:rPr>
          <w:rFonts w:ascii="Times New Roman" w:hAnsi="Times New Roman" w:cs="Times New Roman"/>
          <w:b/>
          <w:sz w:val="24"/>
        </w:rPr>
        <w:t xml:space="preserve"> pārskata gads:</w:t>
      </w:r>
    </w:p>
    <w:p w14:paraId="034F7DF9" w14:textId="77777777" w:rsidR="00994F93" w:rsidRPr="00B03B51" w:rsidRDefault="00994F93" w:rsidP="00994F93">
      <w:pPr>
        <w:jc w:val="both"/>
        <w:rPr>
          <w:rFonts w:ascii="Times New Roman" w:eastAsia="Arial" w:hAnsi="Times New Roman" w:cs="Times New Roman"/>
          <w:b/>
          <w:bCs/>
          <w:noProof/>
          <w:sz w:val="24"/>
          <w:szCs w:val="21"/>
        </w:rPr>
      </w:pPr>
    </w:p>
    <w:p w14:paraId="1BA0782D" w14:textId="77777777" w:rsidR="00994F93" w:rsidRPr="00B03B51" w:rsidRDefault="00994F93" w:rsidP="00994F93">
      <w:pPr>
        <w:jc w:val="both"/>
        <w:rPr>
          <w:rFonts w:ascii="Times New Roman" w:hAnsi="Times New Roman" w:cs="Times New Roman"/>
          <w:b/>
          <w:noProof/>
          <w:sz w:val="24"/>
        </w:rPr>
      </w:pPr>
      <w:r w:rsidRPr="00B03B51">
        <w:rPr>
          <w:rFonts w:ascii="Times New Roman" w:hAnsi="Times New Roman" w:cs="Times New Roman"/>
          <w:b/>
          <w:i/>
          <w:iCs/>
          <w:sz w:val="24"/>
        </w:rPr>
        <w:t>t</w:t>
      </w:r>
      <w:r w:rsidRPr="00B03B51">
        <w:rPr>
          <w:rFonts w:ascii="Times New Roman" w:hAnsi="Times New Roman" w:cs="Times New Roman"/>
          <w:b/>
          <w:sz w:val="24"/>
        </w:rPr>
        <w:t xml:space="preserve"> gada sākuma bilance</w:t>
      </w:r>
    </w:p>
    <w:p w14:paraId="762F0B19" w14:textId="77777777" w:rsidR="00994F93" w:rsidRPr="00B03B51" w:rsidRDefault="00994F93" w:rsidP="00994F93">
      <w:pPr>
        <w:jc w:val="both"/>
        <w:rPr>
          <w:rFonts w:ascii="Times New Roman" w:eastAsia="Arial" w:hAnsi="Times New Roman" w:cs="Times New Roman"/>
          <w:b/>
          <w:bCs/>
          <w:noProof/>
          <w:sz w:val="24"/>
          <w:szCs w:val="20"/>
        </w:rPr>
      </w:pPr>
    </w:p>
    <w:p w14:paraId="05C9AA22" w14:textId="27CF874C" w:rsidR="00994F93" w:rsidRPr="00B03B51" w:rsidRDefault="0074512A" w:rsidP="00994F93">
      <w:pPr>
        <w:jc w:val="both"/>
        <w:rPr>
          <w:rFonts w:ascii="Times New Roman" w:eastAsia="Arial" w:hAnsi="Times New Roman" w:cs="Times New Roman"/>
          <w:b/>
          <w:bCs/>
          <w:noProof/>
          <w:sz w:val="24"/>
          <w:szCs w:val="20"/>
        </w:rPr>
      </w:pPr>
      <w:r w:rsidRPr="00B03B51">
        <w:rPr>
          <w:rFonts w:ascii="Times New Roman" w:eastAsia="Arial" w:hAnsi="Times New Roman" w:cs="Times New Roman"/>
          <w:b/>
          <w:bCs/>
          <w:noProof/>
          <w:sz w:val="24"/>
          <w:szCs w:val="20"/>
        </w:rPr>
        <w:drawing>
          <wp:inline distT="0" distB="0" distL="0" distR="0" wp14:anchorId="3D0CA20E" wp14:editId="66139D26">
            <wp:extent cx="5760085" cy="1231265"/>
            <wp:effectExtent l="0" t="0" r="0" b="6985"/>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60085" cy="1231265"/>
                    </a:xfrm>
                    <a:prstGeom prst="rect">
                      <a:avLst/>
                    </a:prstGeom>
                    <a:noFill/>
                    <a:ln>
                      <a:noFill/>
                    </a:ln>
                  </pic:spPr>
                </pic:pic>
              </a:graphicData>
            </a:graphic>
          </wp:inline>
        </w:drawing>
      </w:r>
    </w:p>
    <w:p w14:paraId="24908B22" w14:textId="77777777" w:rsidR="00994F93" w:rsidRPr="00B03B51" w:rsidRDefault="00994F93" w:rsidP="00994F93">
      <w:pPr>
        <w:jc w:val="both"/>
        <w:rPr>
          <w:rFonts w:ascii="Times New Roman" w:eastAsia="Arial" w:hAnsi="Times New Roman" w:cs="Times New Roman"/>
          <w:b/>
          <w:bCs/>
          <w:noProof/>
          <w:sz w:val="24"/>
          <w:szCs w:val="17"/>
        </w:rPr>
      </w:pPr>
    </w:p>
    <w:p w14:paraId="58365458" w14:textId="77777777" w:rsidR="00994F93" w:rsidRPr="00B03B51" w:rsidRDefault="00994F93" w:rsidP="00994F93">
      <w:pPr>
        <w:jc w:val="both"/>
        <w:rPr>
          <w:rFonts w:ascii="Times New Roman" w:hAnsi="Times New Roman" w:cs="Times New Roman"/>
          <w:b/>
          <w:noProof/>
          <w:sz w:val="24"/>
        </w:rPr>
      </w:pPr>
      <w:r w:rsidRPr="00B03B51">
        <w:rPr>
          <w:rFonts w:ascii="Times New Roman" w:hAnsi="Times New Roman" w:cs="Times New Roman"/>
          <w:b/>
          <w:sz w:val="24"/>
        </w:rPr>
        <w:lastRenderedPageBreak/>
        <w:t>Nefinanšu konti</w:t>
      </w:r>
    </w:p>
    <w:p w14:paraId="374E8844" w14:textId="77777777" w:rsidR="00994F93" w:rsidRPr="00B03B51" w:rsidRDefault="00994F93" w:rsidP="00994F93">
      <w:pPr>
        <w:jc w:val="both"/>
        <w:rPr>
          <w:rFonts w:ascii="Times New Roman" w:eastAsia="Arial" w:hAnsi="Times New Roman" w:cs="Times New Roman"/>
          <w:b/>
          <w:bCs/>
          <w:noProof/>
          <w:sz w:val="24"/>
          <w:szCs w:val="26"/>
        </w:rPr>
      </w:pPr>
    </w:p>
    <w:p w14:paraId="5ACE5971" w14:textId="2CADA8C2" w:rsidR="00994F93" w:rsidRPr="00B03B51" w:rsidRDefault="0074512A" w:rsidP="00994F93">
      <w:pPr>
        <w:jc w:val="both"/>
        <w:rPr>
          <w:rFonts w:ascii="Times New Roman" w:eastAsia="Arial" w:hAnsi="Times New Roman" w:cs="Times New Roman"/>
          <w:b/>
          <w:bCs/>
          <w:noProof/>
          <w:sz w:val="24"/>
          <w:szCs w:val="20"/>
        </w:rPr>
      </w:pPr>
      <w:r w:rsidRPr="00B03B51">
        <w:rPr>
          <w:rFonts w:ascii="Times New Roman" w:eastAsia="Arial" w:hAnsi="Times New Roman" w:cs="Times New Roman"/>
          <w:b/>
          <w:bCs/>
          <w:noProof/>
          <w:sz w:val="24"/>
          <w:szCs w:val="20"/>
        </w:rPr>
        <w:drawing>
          <wp:inline distT="0" distB="0" distL="0" distR="0" wp14:anchorId="21456768" wp14:editId="1D15C718">
            <wp:extent cx="5760085" cy="1257935"/>
            <wp:effectExtent l="0" t="0" r="0"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60085" cy="1257935"/>
                    </a:xfrm>
                    <a:prstGeom prst="rect">
                      <a:avLst/>
                    </a:prstGeom>
                    <a:noFill/>
                    <a:ln>
                      <a:noFill/>
                    </a:ln>
                  </pic:spPr>
                </pic:pic>
              </a:graphicData>
            </a:graphic>
          </wp:inline>
        </w:drawing>
      </w:r>
    </w:p>
    <w:p w14:paraId="394A1B7E" w14:textId="77777777" w:rsidR="00994F93" w:rsidRPr="00B03B51" w:rsidRDefault="00994F93" w:rsidP="00994F93">
      <w:pPr>
        <w:jc w:val="both"/>
        <w:rPr>
          <w:rFonts w:ascii="Times New Roman" w:eastAsia="Arial" w:hAnsi="Times New Roman" w:cs="Times New Roman"/>
          <w:b/>
          <w:bCs/>
          <w:noProof/>
          <w:sz w:val="24"/>
          <w:szCs w:val="17"/>
        </w:rPr>
      </w:pPr>
    </w:p>
    <w:p w14:paraId="6B0D89A3" w14:textId="77777777" w:rsidR="00994F93" w:rsidRPr="00B03B51" w:rsidRDefault="00994F93" w:rsidP="00994F93">
      <w:pPr>
        <w:jc w:val="both"/>
        <w:rPr>
          <w:rFonts w:ascii="Times New Roman" w:hAnsi="Times New Roman" w:cs="Times New Roman"/>
          <w:b/>
          <w:noProof/>
          <w:sz w:val="24"/>
        </w:rPr>
      </w:pPr>
      <w:r w:rsidRPr="00B03B51">
        <w:rPr>
          <w:rFonts w:ascii="Times New Roman" w:hAnsi="Times New Roman" w:cs="Times New Roman"/>
          <w:b/>
          <w:sz w:val="24"/>
        </w:rPr>
        <w:t>Finanšu konti</w:t>
      </w:r>
    </w:p>
    <w:p w14:paraId="01661C64" w14:textId="77777777" w:rsidR="00994F93" w:rsidRPr="00B03B51" w:rsidRDefault="00994F93" w:rsidP="00994F93">
      <w:pPr>
        <w:jc w:val="both"/>
        <w:rPr>
          <w:rFonts w:ascii="Times New Roman" w:eastAsia="Arial" w:hAnsi="Times New Roman" w:cs="Times New Roman"/>
          <w:b/>
          <w:bCs/>
          <w:noProof/>
          <w:sz w:val="24"/>
          <w:szCs w:val="25"/>
        </w:rPr>
      </w:pPr>
    </w:p>
    <w:p w14:paraId="455BEAA4" w14:textId="6EDCEBFA" w:rsidR="00994F93" w:rsidRPr="00B03B51" w:rsidRDefault="0074512A" w:rsidP="00994F93">
      <w:pPr>
        <w:jc w:val="both"/>
        <w:rPr>
          <w:rFonts w:ascii="Times New Roman" w:eastAsia="Arial" w:hAnsi="Times New Roman" w:cs="Times New Roman"/>
          <w:b/>
          <w:bCs/>
          <w:noProof/>
          <w:sz w:val="24"/>
          <w:szCs w:val="20"/>
        </w:rPr>
      </w:pPr>
      <w:r w:rsidRPr="00B03B51">
        <w:rPr>
          <w:rFonts w:ascii="Times New Roman" w:eastAsia="Arial" w:hAnsi="Times New Roman" w:cs="Times New Roman"/>
          <w:b/>
          <w:bCs/>
          <w:noProof/>
          <w:sz w:val="24"/>
          <w:szCs w:val="20"/>
        </w:rPr>
        <w:drawing>
          <wp:inline distT="0" distB="0" distL="0" distR="0" wp14:anchorId="5F60C5D1" wp14:editId="7A1EF814">
            <wp:extent cx="5760085" cy="1417955"/>
            <wp:effectExtent l="0" t="0" r="0"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60085" cy="1417955"/>
                    </a:xfrm>
                    <a:prstGeom prst="rect">
                      <a:avLst/>
                    </a:prstGeom>
                    <a:noFill/>
                    <a:ln>
                      <a:noFill/>
                    </a:ln>
                  </pic:spPr>
                </pic:pic>
              </a:graphicData>
            </a:graphic>
          </wp:inline>
        </w:drawing>
      </w:r>
    </w:p>
    <w:p w14:paraId="724565E6" w14:textId="77777777" w:rsidR="00994F93" w:rsidRPr="00B03B51" w:rsidRDefault="00994F93" w:rsidP="00994F93">
      <w:pPr>
        <w:jc w:val="both"/>
        <w:rPr>
          <w:rFonts w:ascii="Times New Roman" w:eastAsia="Arial" w:hAnsi="Times New Roman" w:cs="Times New Roman"/>
          <w:b/>
          <w:bCs/>
          <w:noProof/>
          <w:sz w:val="24"/>
          <w:szCs w:val="17"/>
        </w:rPr>
      </w:pPr>
    </w:p>
    <w:p w14:paraId="6B63296E" w14:textId="4BC6CFFA" w:rsidR="00994F93" w:rsidRPr="00B03B51" w:rsidRDefault="00994F93" w:rsidP="00994F93">
      <w:pPr>
        <w:jc w:val="both"/>
        <w:rPr>
          <w:rFonts w:ascii="Times New Roman" w:hAnsi="Times New Roman" w:cs="Times New Roman"/>
          <w:b/>
          <w:noProof/>
          <w:sz w:val="24"/>
        </w:rPr>
      </w:pPr>
      <w:r w:rsidRPr="00B03B51">
        <w:rPr>
          <w:rFonts w:ascii="Times New Roman" w:hAnsi="Times New Roman" w:cs="Times New Roman"/>
          <w:b/>
          <w:i/>
          <w:iCs/>
          <w:sz w:val="24"/>
        </w:rPr>
        <w:t>t</w:t>
      </w:r>
      <w:r w:rsidRPr="00B03B51">
        <w:rPr>
          <w:rFonts w:ascii="Times New Roman" w:hAnsi="Times New Roman" w:cs="Times New Roman"/>
          <w:b/>
          <w:sz w:val="24"/>
        </w:rPr>
        <w:t xml:space="preserve"> gada </w:t>
      </w:r>
      <w:r w:rsidR="0071541E" w:rsidRPr="00B03B51">
        <w:rPr>
          <w:rFonts w:ascii="Times New Roman" w:hAnsi="Times New Roman" w:cs="Times New Roman"/>
          <w:b/>
          <w:sz w:val="24"/>
        </w:rPr>
        <w:t>beigu</w:t>
      </w:r>
      <w:r w:rsidRPr="00B03B51">
        <w:rPr>
          <w:rFonts w:ascii="Times New Roman" w:hAnsi="Times New Roman" w:cs="Times New Roman"/>
          <w:b/>
          <w:sz w:val="24"/>
        </w:rPr>
        <w:t xml:space="preserve"> bilance</w:t>
      </w:r>
    </w:p>
    <w:p w14:paraId="56394AFC" w14:textId="77777777" w:rsidR="00994F93" w:rsidRPr="00B03B51" w:rsidRDefault="00994F93" w:rsidP="00994F93">
      <w:pPr>
        <w:jc w:val="both"/>
        <w:rPr>
          <w:rFonts w:ascii="Times New Roman" w:eastAsia="Arial" w:hAnsi="Times New Roman" w:cs="Times New Roman"/>
          <w:b/>
          <w:bCs/>
          <w:noProof/>
          <w:sz w:val="24"/>
          <w:szCs w:val="26"/>
        </w:rPr>
      </w:pPr>
    </w:p>
    <w:p w14:paraId="6EFE8048" w14:textId="04587CE9" w:rsidR="00994F93" w:rsidRPr="00B03B51" w:rsidRDefault="0074512A" w:rsidP="00994F93">
      <w:pPr>
        <w:jc w:val="both"/>
        <w:rPr>
          <w:rFonts w:ascii="Times New Roman" w:eastAsia="Calibri" w:hAnsi="Times New Roman" w:cs="Times New Roman"/>
          <w:noProof/>
          <w:sz w:val="24"/>
          <w:szCs w:val="18"/>
        </w:rPr>
      </w:pPr>
      <w:r w:rsidRPr="00B03B51">
        <w:rPr>
          <w:rFonts w:ascii="Times New Roman" w:eastAsia="Calibri" w:hAnsi="Times New Roman" w:cs="Times New Roman"/>
          <w:noProof/>
          <w:sz w:val="24"/>
          <w:szCs w:val="18"/>
        </w:rPr>
        <w:drawing>
          <wp:inline distT="0" distB="0" distL="0" distR="0" wp14:anchorId="75311ED6" wp14:editId="66E60CC0">
            <wp:extent cx="5760085" cy="1346200"/>
            <wp:effectExtent l="0" t="0" r="0" b="635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760085" cy="1346200"/>
                    </a:xfrm>
                    <a:prstGeom prst="rect">
                      <a:avLst/>
                    </a:prstGeom>
                    <a:noFill/>
                    <a:ln>
                      <a:noFill/>
                    </a:ln>
                  </pic:spPr>
                </pic:pic>
              </a:graphicData>
            </a:graphic>
          </wp:inline>
        </w:drawing>
      </w:r>
    </w:p>
    <w:p w14:paraId="348C4916" w14:textId="77777777" w:rsidR="00994F93" w:rsidRPr="00B03B51" w:rsidRDefault="00994F93" w:rsidP="00994F93">
      <w:pPr>
        <w:jc w:val="both"/>
        <w:rPr>
          <w:rFonts w:ascii="Times New Roman" w:eastAsia="Arial" w:hAnsi="Times New Roman" w:cs="Times New Roman"/>
          <w:b/>
          <w:bCs/>
          <w:noProof/>
          <w:sz w:val="24"/>
          <w:szCs w:val="25"/>
        </w:rPr>
      </w:pPr>
    </w:p>
    <w:p w14:paraId="04DC9F72" w14:textId="77777777" w:rsidR="00994F93" w:rsidRPr="00FE5FF3" w:rsidRDefault="00994F93" w:rsidP="00FE5FF3">
      <w:pPr>
        <w:pStyle w:val="Heading6"/>
        <w:tabs>
          <w:tab w:val="left" w:pos="1279"/>
        </w:tabs>
        <w:ind w:left="0" w:firstLine="0"/>
        <w:jc w:val="both"/>
        <w:rPr>
          <w:rFonts w:ascii="Times New Roman" w:hAnsi="Times New Roman" w:cs="Times New Roman"/>
          <w:sz w:val="24"/>
        </w:rPr>
      </w:pPr>
      <w:r w:rsidRPr="00B03B51">
        <w:rPr>
          <w:rFonts w:ascii="Times New Roman" w:hAnsi="Times New Roman" w:cs="Times New Roman"/>
          <w:sz w:val="24"/>
        </w:rPr>
        <w:t>1.2.4.6. PUBLISKO SLIMNĪCU ĪPAŠAIS GADĪJUMS</w:t>
      </w:r>
    </w:p>
    <w:p w14:paraId="1EDD92B6" w14:textId="77777777" w:rsidR="00994F93" w:rsidRPr="00B03B51" w:rsidRDefault="00994F93" w:rsidP="00994F93">
      <w:pPr>
        <w:pStyle w:val="BodyText"/>
        <w:tabs>
          <w:tab w:val="left" w:pos="987"/>
        </w:tabs>
        <w:spacing w:before="0"/>
        <w:ind w:left="0" w:firstLine="0"/>
        <w:jc w:val="both"/>
        <w:rPr>
          <w:rFonts w:ascii="Times New Roman" w:hAnsi="Times New Roman" w:cs="Times New Roman"/>
          <w:noProof/>
          <w:sz w:val="24"/>
        </w:rPr>
      </w:pPr>
    </w:p>
    <w:p w14:paraId="35520FBB" w14:textId="77777777" w:rsidR="00994F93" w:rsidRPr="00B03B51" w:rsidRDefault="00994F93" w:rsidP="00994F93">
      <w:pPr>
        <w:pStyle w:val="BodyText"/>
        <w:tabs>
          <w:tab w:val="left" w:pos="987"/>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134. Saistībā ar publisko ražotāju sektoru klasifikāciju publiskās slimnīcas</w:t>
      </w:r>
      <w:r w:rsidRPr="00B03B51">
        <w:rPr>
          <w:rStyle w:val="FootnoteReference"/>
          <w:rFonts w:ascii="Times New Roman" w:hAnsi="Times New Roman" w:cs="Times New Roman"/>
          <w:noProof/>
          <w:sz w:val="24"/>
        </w:rPr>
        <w:footnoteReference w:id="51"/>
      </w:r>
      <w:r w:rsidRPr="00B03B51">
        <w:rPr>
          <w:rFonts w:ascii="Times New Roman" w:hAnsi="Times New Roman" w:cs="Times New Roman"/>
          <w:sz w:val="24"/>
        </w:rPr>
        <w:t xml:space="preserve"> ir īpašs gadījums.</w:t>
      </w:r>
      <w:r w:rsidRPr="00B03B51">
        <w:rPr>
          <w:rStyle w:val="FootnoteReference"/>
          <w:rFonts w:ascii="Times New Roman" w:hAnsi="Times New Roman" w:cs="Times New Roman"/>
          <w:noProof/>
          <w:sz w:val="24"/>
        </w:rPr>
        <w:footnoteReference w:id="52"/>
      </w:r>
      <w:r w:rsidRPr="00B03B51">
        <w:rPr>
          <w:rFonts w:ascii="Times New Roman" w:hAnsi="Times New Roman" w:cs="Times New Roman"/>
          <w:sz w:val="24"/>
        </w:rPr>
        <w:t xml:space="preserve"> Tā ir galvenokārt tāpēc, ka viens no valdības galvenajiem pienākumiem ir organizēt veselības aprūpes pakalpojumus katrā ES dalībvalstī, jo tā ir valsts politikas sastāvdaļa, lai nodrošinātu, ka visai kopienai ir pieejami veselības aprūpes pakalpojumu sniedzēji.</w:t>
      </w:r>
    </w:p>
    <w:p w14:paraId="28325AF1" w14:textId="77777777" w:rsidR="00994F93" w:rsidRPr="00B03B51" w:rsidRDefault="00994F93" w:rsidP="00994F93">
      <w:pPr>
        <w:pStyle w:val="BodyText"/>
        <w:tabs>
          <w:tab w:val="left" w:pos="987"/>
        </w:tabs>
        <w:spacing w:before="0"/>
        <w:ind w:left="0" w:firstLine="0"/>
        <w:jc w:val="both"/>
        <w:rPr>
          <w:rFonts w:ascii="Times New Roman" w:hAnsi="Times New Roman" w:cs="Times New Roman"/>
          <w:noProof/>
          <w:sz w:val="24"/>
        </w:rPr>
      </w:pPr>
    </w:p>
    <w:p w14:paraId="2ED79982" w14:textId="77777777" w:rsidR="00994F93" w:rsidRPr="00B03B51" w:rsidRDefault="00994F93" w:rsidP="00994F93">
      <w:pPr>
        <w:pStyle w:val="BodyText"/>
        <w:tabs>
          <w:tab w:val="left" w:pos="987"/>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 xml:space="preserve">135. Valdība var organizēt veselības aprūpes pakalpojumu sniegšanu daudzos veidos. Piemēram, valdība var reglamentēt publisko un/vai privāto slimnīcu nodrošināšanu ģeogrāfisko zonu dalījumā vai noteikt ierobežojumus attiecībā uz vienādu pakalpojumu sniegšanu, vai regulēt vispārējo cenu sistēmu, nosakot vai nenosakot cenu katram konkrētam ārstēšanas veidam. Šīs apakšiedaļas mērķis tādējādi ir identificēt galvenos punktus, kas statistikas </w:t>
      </w:r>
      <w:r w:rsidRPr="00B03B51">
        <w:rPr>
          <w:rFonts w:ascii="Times New Roman" w:hAnsi="Times New Roman" w:cs="Times New Roman"/>
          <w:sz w:val="24"/>
        </w:rPr>
        <w:lastRenderedPageBreak/>
        <w:t>veidotājiem jāņem vērā, nodarbojoties ar publisko slimnīcu klasifikāciju, proti un galvenokārt, kāda ir valdības kontroles pakāpe, vai pastāv faktiska konkurence ar privātām slimnīcām un vai publiskās slimnīcas necieš finansiālus zaudējumus.</w:t>
      </w:r>
    </w:p>
    <w:p w14:paraId="2028CE6B" w14:textId="77777777" w:rsidR="00994F93" w:rsidRPr="00B03B51" w:rsidRDefault="00994F93" w:rsidP="00994F93">
      <w:pPr>
        <w:pStyle w:val="BodyText"/>
        <w:tabs>
          <w:tab w:val="left" w:pos="987"/>
        </w:tabs>
        <w:spacing w:before="0"/>
        <w:ind w:left="0" w:firstLine="0"/>
        <w:jc w:val="both"/>
        <w:rPr>
          <w:rFonts w:ascii="Times New Roman" w:hAnsi="Times New Roman" w:cs="Times New Roman"/>
          <w:noProof/>
          <w:sz w:val="24"/>
        </w:rPr>
      </w:pPr>
    </w:p>
    <w:p w14:paraId="5883AF91" w14:textId="77777777" w:rsidR="00994F93" w:rsidRPr="00B03B51" w:rsidRDefault="00994F93" w:rsidP="00994F93">
      <w:pPr>
        <w:pStyle w:val="BodyText"/>
        <w:tabs>
          <w:tab w:val="left" w:pos="987"/>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 xml:space="preserve">136. Kontroli pār slimnīcu var noteikt no EKS 2010 20.309. punktā (un 1.2.3. sadaļā “Valdības kontrolētas institucionālās vienības jēdziens”) minēto rādītāju saraksta. Ja valdība nosaka publiskās slimnīcas vispārējo politiku, uzskatāms, ka valdība kontrolē slimnīcu. Šajā saistībā ir svarīgi novērtēt, kādā pakāpē valdība īsteno šo kontroli. Dažos gadījumos publiskā slimnīca </w:t>
      </w:r>
      <w:r w:rsidRPr="00B03B51">
        <w:rPr>
          <w:rFonts w:ascii="Times New Roman" w:hAnsi="Times New Roman" w:cs="Times New Roman"/>
          <w:i/>
          <w:iCs/>
          <w:sz w:val="24"/>
        </w:rPr>
        <w:t>de facto</w:t>
      </w:r>
      <w:r w:rsidRPr="00B03B51">
        <w:rPr>
          <w:rFonts w:ascii="Times New Roman" w:hAnsi="Times New Roman" w:cs="Times New Roman"/>
          <w:sz w:val="24"/>
        </w:rPr>
        <w:t xml:space="preserve"> nevar darboties pilnīgi autonomi. Jo īpaši tas varētu būt gadījumos, kad par tās kapitāla veidošanu (paplašināšanu/ēku renovāciju vai dārga aprīkojuma iegādi) lemj/uzliek veto kontrolējošā vienība vai iestāde, kas atbild par veselības aizsardzības politikas īstenošanu. Ja ir nepieciešama valdības atļauja tehnikas vai sarežģīta aprīkojuma iegādei vai aizņēmuma saņemšanai tirgos, kas nepieciešams, lai finansētu jaunu aktīvu iegādi, valdība (un nevis slimnīca) ir tā, kurai ir piešķirtas pilnvaras pieņemt ekonomiskos lēmumus par slimnīcas aktīviem un saistībām. Šādos gadījumos publiskās slimnīcas klasificē vispārējās valdības sektorā.</w:t>
      </w:r>
      <w:r w:rsidRPr="00B03B51">
        <w:rPr>
          <w:rStyle w:val="FootnoteReference"/>
          <w:rFonts w:ascii="Times New Roman" w:hAnsi="Times New Roman" w:cs="Times New Roman"/>
          <w:noProof/>
          <w:sz w:val="24"/>
        </w:rPr>
        <w:footnoteReference w:id="53"/>
      </w:r>
    </w:p>
    <w:p w14:paraId="4EF33F91" w14:textId="77777777" w:rsidR="00994F93" w:rsidRPr="00B03B51" w:rsidRDefault="00994F93" w:rsidP="00994F93">
      <w:pPr>
        <w:pStyle w:val="BodyText"/>
        <w:tabs>
          <w:tab w:val="left" w:pos="987"/>
        </w:tabs>
        <w:spacing w:before="0"/>
        <w:ind w:left="0" w:firstLine="0"/>
        <w:jc w:val="both"/>
        <w:rPr>
          <w:rFonts w:ascii="Times New Roman" w:hAnsi="Times New Roman" w:cs="Times New Roman"/>
          <w:noProof/>
          <w:sz w:val="24"/>
        </w:rPr>
      </w:pPr>
    </w:p>
    <w:p w14:paraId="64DA7B1C" w14:textId="77777777" w:rsidR="00994F93" w:rsidRPr="00B03B51" w:rsidRDefault="00994F93" w:rsidP="00994F93">
      <w:pPr>
        <w:pStyle w:val="BodyText"/>
        <w:tabs>
          <w:tab w:val="left" w:pos="987"/>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137. Rūpīgi jāpārbauda, vai pastāv faktiska tirgus konkurence, pārliecinoties, vai publiskās slimnīcas patiešām praksē konkurē ar privātajām slimnīcām. Konkurenci var novērtēt, pārbaudot, vai privātās slimnīcas darbojas visās dažādajās jomās un vai privātais sektors vēlas ieiet tirgū visās jomās. Šajā ziņā ir svarīgi pārliecināties, vai tirgus atvērtība ir vai nav tikai teorētiska. Citiem vārdiem, ir jāpārbauda, vai publiskās un privātās slimnīcas faktiski praksē sniedz tos pašus pakalpojumus visās jomās un vai pacientiem vai zāļu parakstītājiem ir iespējama reāla izvēle. Gadījumos, kad tirgus konkurence varētu būt tikai tīri teorētiska un būtībā nav konstatējama, publiskās slimnīcas klasificē valdības sektorā.</w:t>
      </w:r>
    </w:p>
    <w:p w14:paraId="2CB1CE6B" w14:textId="77777777" w:rsidR="00994F93" w:rsidRPr="00B03B51" w:rsidRDefault="00994F93" w:rsidP="00994F93">
      <w:pPr>
        <w:pStyle w:val="BodyText"/>
        <w:tabs>
          <w:tab w:val="left" w:pos="987"/>
        </w:tabs>
        <w:spacing w:before="0"/>
        <w:ind w:left="0" w:firstLine="0"/>
        <w:jc w:val="both"/>
        <w:rPr>
          <w:rFonts w:ascii="Times New Roman" w:hAnsi="Times New Roman" w:cs="Times New Roman"/>
          <w:noProof/>
          <w:sz w:val="24"/>
        </w:rPr>
      </w:pPr>
    </w:p>
    <w:p w14:paraId="3C48B244" w14:textId="77777777" w:rsidR="00994F93" w:rsidRPr="00B03B51" w:rsidRDefault="00994F93" w:rsidP="00994F93">
      <w:pPr>
        <w:pStyle w:val="BodyText"/>
        <w:tabs>
          <w:tab w:val="left" w:pos="987"/>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 xml:space="preserve">138. Tādējādi faktiskas tirgus konkurences situācijā slimnīca var izlemt, kurus veselības aprūpes pakalpojumus tā vēlas sniegt, pamatojoties uz ienesīguma apsvērumiem, vai arī tā var lemt par cenu pielāgošanu, lai ietekmētu pieprasījumu. Ir situācijas, kad cenas vienpusēji var noteikt valdība (kas parasti ir dominējošais pircējs) vai saskaņā ar pušu līgumisku vienošanos, plašākā kontekstā – saskaņā ar ekonomikas dalībnieku (valdības, slimnīcu un veselības apdrošināšanas vienību) vienošanos. Šajā saistībā būtu jāpārliecinās, vai konkrēta cenu sistēma pastāv tikai attiecībā uz publiskām slimnīcām, kura atšķirtos no privāto slimnīcu cenu sistēmas (attiecīgi šādā gadījumā publiskās slimnīcas ir jāpārklasificē vispārējās valdības sektorā), nevis, ka pastāv cenu noteikšanas sistēma, kas ir piemērojama gan privātajām, gan publiskajām slimnīcām. Turklāt ir arī jāpārbauda, vai cenas tiek noteiktas tādā veidā, ka nepieļauj </w:t>
      </w:r>
      <w:r w:rsidRPr="00B03B51">
        <w:rPr>
          <w:rFonts w:ascii="Times New Roman" w:hAnsi="Times New Roman" w:cs="Times New Roman"/>
          <w:i/>
          <w:iCs/>
          <w:sz w:val="24"/>
        </w:rPr>
        <w:t>de facto</w:t>
      </w:r>
      <w:r w:rsidRPr="00B03B51">
        <w:rPr>
          <w:rFonts w:ascii="Times New Roman" w:hAnsi="Times New Roman" w:cs="Times New Roman"/>
          <w:sz w:val="24"/>
        </w:rPr>
        <w:t xml:space="preserve"> tirgus konkurenci, piemēram, vai nevar novērot, ka dažu medicīnas pakalpojumu cenas ir pārāk zemas, lai varētu privātas vienības mudināt piedalīties šādu pakalpojumu sniegšanā, jo tas būtu nerentabli.</w:t>
      </w:r>
    </w:p>
    <w:p w14:paraId="4BEBBAE9" w14:textId="77777777" w:rsidR="00994F93" w:rsidRPr="00B03B51" w:rsidRDefault="00994F93" w:rsidP="00994F93">
      <w:pPr>
        <w:pStyle w:val="BodyText"/>
        <w:tabs>
          <w:tab w:val="left" w:pos="987"/>
        </w:tabs>
        <w:spacing w:before="0"/>
        <w:ind w:left="0" w:firstLine="0"/>
        <w:jc w:val="both"/>
        <w:rPr>
          <w:rFonts w:ascii="Times New Roman" w:hAnsi="Times New Roman" w:cs="Times New Roman"/>
          <w:noProof/>
          <w:sz w:val="24"/>
        </w:rPr>
      </w:pPr>
    </w:p>
    <w:p w14:paraId="2D6E5F2D" w14:textId="77777777" w:rsidR="00994F93" w:rsidRPr="00B03B51" w:rsidRDefault="00994F93" w:rsidP="00994F93">
      <w:pPr>
        <w:pStyle w:val="BodyText"/>
        <w:tabs>
          <w:tab w:val="left" w:pos="987"/>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 xml:space="preserve">139. Publiskām slimnīcām, ņemot vērā savu publiskā ražotāja statusu sabiedrības veselības nozarē, varētu būt pienākums sniegt šādus pakalpojumus (kas obligāti jāsniedz kādām vienībām), kuri visticamāk </w:t>
      </w:r>
      <w:r w:rsidRPr="00B03B51">
        <w:rPr>
          <w:rFonts w:ascii="Times New Roman" w:hAnsi="Times New Roman" w:cs="Times New Roman"/>
          <w:i/>
          <w:iCs/>
          <w:sz w:val="24"/>
        </w:rPr>
        <w:t>de facto</w:t>
      </w:r>
      <w:r w:rsidRPr="00B03B51">
        <w:rPr>
          <w:rFonts w:ascii="Times New Roman" w:hAnsi="Times New Roman" w:cs="Times New Roman"/>
          <w:sz w:val="24"/>
        </w:rPr>
        <w:t xml:space="preserve"> nesedz ražošanas izmaksas, tādējādi tās parasti darbotos ar zaudējumiem. Savukārt privāta slimnīca var nenākt tirgū saistībā ar nerentablu pakalpojumu sniegšanu, un, visticamāk, izlems to nedarīt, jo nevarēs izdzīvot, ja pastāvīgi cietīs zaudējumus. Tādējādi privātas slimnīcas varētu sniegt tikai ierobežotu veselības aprūpes pakalpojumu </w:t>
      </w:r>
      <w:r w:rsidRPr="00B03B51">
        <w:rPr>
          <w:rFonts w:ascii="Times New Roman" w:hAnsi="Times New Roman" w:cs="Times New Roman"/>
          <w:sz w:val="24"/>
        </w:rPr>
        <w:lastRenderedPageBreak/>
        <w:t>klāstu, kas ir rentabli, savukārt publiskās slimnīcas varētu sniegt plašāku veselības aprūpes pakalpojumu klāstu un attiecīgi ciest zaudējumus.</w:t>
      </w:r>
      <w:r w:rsidRPr="00B03B51">
        <w:rPr>
          <w:rStyle w:val="FootnoteReference"/>
          <w:rFonts w:ascii="Times New Roman" w:hAnsi="Times New Roman" w:cs="Times New Roman"/>
          <w:noProof/>
          <w:sz w:val="24"/>
        </w:rPr>
        <w:footnoteReference w:id="54"/>
      </w:r>
      <w:r w:rsidRPr="00B03B51">
        <w:rPr>
          <w:rFonts w:ascii="Times New Roman" w:hAnsi="Times New Roman" w:cs="Times New Roman"/>
          <w:sz w:val="24"/>
        </w:rPr>
        <w:t xml:space="preserve"> Šādos apstākļos, kad konkurence varētu būt ierobežota un publiskās slimnīcas vairumā gadījumu varētu gandrīz pastāvīgi ciest zaudējumus valdības politikas dēļ, publiskās slimnīcas būtu jāpārklasificē attiecīgajā kontrolējošās valdības apakšsektorā, kas ir atbildīgs par regulārā vai neregulārā deficīta segšanu.</w:t>
      </w:r>
      <w:r w:rsidRPr="00B03B51">
        <w:rPr>
          <w:rStyle w:val="FootnoteReference"/>
          <w:rFonts w:ascii="Times New Roman" w:hAnsi="Times New Roman" w:cs="Times New Roman"/>
          <w:noProof/>
          <w:sz w:val="24"/>
        </w:rPr>
        <w:footnoteReference w:id="55"/>
      </w:r>
    </w:p>
    <w:p w14:paraId="7E4615B7" w14:textId="77777777" w:rsidR="00994F93" w:rsidRPr="00B03B51" w:rsidRDefault="00994F93" w:rsidP="00994F93">
      <w:pPr>
        <w:pStyle w:val="BodyText"/>
        <w:tabs>
          <w:tab w:val="left" w:pos="987"/>
        </w:tabs>
        <w:spacing w:before="0"/>
        <w:ind w:left="0" w:firstLine="0"/>
        <w:jc w:val="both"/>
        <w:rPr>
          <w:rFonts w:ascii="Times New Roman" w:hAnsi="Times New Roman" w:cs="Times New Roman"/>
          <w:noProof/>
          <w:sz w:val="24"/>
        </w:rPr>
      </w:pPr>
    </w:p>
    <w:p w14:paraId="61BBFB8C" w14:textId="77777777" w:rsidR="00994F93" w:rsidRPr="00B03B51" w:rsidRDefault="00994F93" w:rsidP="00994F93">
      <w:pPr>
        <w:pStyle w:val="BodyText"/>
        <w:tabs>
          <w:tab w:val="left" w:pos="987"/>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140. Valdība var atbalstīt publiskās slimnīcas dažādos veidos, piemēram, regulāri vai neregulāri (piemēram, reizi 5 gados) segt to zaudējumus, tā var būt gatava uzņemties uzkrāto parādu (kā pēdējās instances debitors), finansēt pilnībā vai lielā apmērā iekārtu (jo īpaši ļoti dārgu iekārtu) iegādi utt.</w:t>
      </w:r>
      <w:r w:rsidRPr="00B03B51">
        <w:rPr>
          <w:rStyle w:val="FootnoteReference"/>
          <w:rFonts w:ascii="Times New Roman" w:hAnsi="Times New Roman" w:cs="Times New Roman"/>
          <w:noProof/>
          <w:sz w:val="24"/>
        </w:rPr>
        <w:footnoteReference w:id="56"/>
      </w:r>
      <w:r w:rsidRPr="00B03B51">
        <w:rPr>
          <w:rFonts w:ascii="Times New Roman" w:hAnsi="Times New Roman" w:cs="Times New Roman"/>
          <w:sz w:val="24"/>
        </w:rPr>
        <w:t xml:space="preserve"> Ikviena valdības iejaukšanās (vai nu novērota no pieredzes, vai paredzēta, ņemot vērā oficiālas apņemšanās), kas varētu ietvert publisko slimnīcu uzņēmējdarbības risku segšanu, varētu uzsvērt atšķirību attiecībā uz privāto sektoru un tādējādi atainot situāciju, kurā </w:t>
      </w:r>
      <w:r w:rsidRPr="00B03B51">
        <w:rPr>
          <w:rFonts w:ascii="Times New Roman" w:hAnsi="Times New Roman" w:cs="Times New Roman"/>
          <w:i/>
          <w:iCs/>
          <w:sz w:val="24"/>
        </w:rPr>
        <w:t>de facto</w:t>
      </w:r>
      <w:r w:rsidRPr="00B03B51">
        <w:rPr>
          <w:rFonts w:ascii="Times New Roman" w:hAnsi="Times New Roman" w:cs="Times New Roman"/>
          <w:sz w:val="24"/>
        </w:rPr>
        <w:t xml:space="preserve"> nepastāv faktiska tirgus konkurence. Tāpēc, ja slimnīcas ir publiskas un faktiskas tirgus konkurences nosacījumi netiek izpildīti (ko apliecina tostarp tas, ka publiskas/valsts slimnīcas cieš regulārus zaudējumus vai uzkrāj ievērojamus parādus, un tiek pastāvīgi novērots valdības atbalsts kopumā, nevis konkrētām publiskām slimnīcām atsevišķi), publiskās slimnīcas ir jāklasificē valdības sektorā.</w:t>
      </w:r>
    </w:p>
    <w:p w14:paraId="03AE239F" w14:textId="77777777" w:rsidR="00994F93" w:rsidRPr="00B03B51" w:rsidRDefault="00994F93" w:rsidP="00994F93">
      <w:pPr>
        <w:pStyle w:val="BodyText"/>
        <w:tabs>
          <w:tab w:val="left" w:pos="987"/>
        </w:tabs>
        <w:spacing w:before="0"/>
        <w:ind w:left="0" w:firstLine="0"/>
        <w:jc w:val="both"/>
        <w:rPr>
          <w:rFonts w:ascii="Times New Roman" w:hAnsi="Times New Roman" w:cs="Times New Roman"/>
          <w:noProof/>
          <w:sz w:val="24"/>
        </w:rPr>
      </w:pPr>
    </w:p>
    <w:p w14:paraId="4A99449B" w14:textId="77777777" w:rsidR="00994F93" w:rsidRPr="00B03B51" w:rsidRDefault="00994F93" w:rsidP="00994F93">
      <w:pPr>
        <w:pStyle w:val="BodyText"/>
        <w:tabs>
          <w:tab w:val="left" w:pos="987"/>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 xml:space="preserve">141. Šajā saistībā jāuzsver, ka publisko slimnīcu klasifikācija valdības sektorā sniedz arī precīzāku ainu par valdības kontiem, jo zaudējumi katru gadu regulāri tiks uzskaitīti valdības neto aizdevumā/aizņēmumā (B.9) saskaņā ar atsevišķu slimnīcu darbības rezultātiem katrā gadā, nevis saskaņā ar to, kad valdība varētu izlemt segt zaudējumus, kas radušies (piemēram), uzņemoties slimnīcu parādu ik pēc </w:t>
      </w:r>
      <w:r w:rsidRPr="00B03B51">
        <w:rPr>
          <w:rFonts w:ascii="Times New Roman" w:hAnsi="Times New Roman" w:cs="Times New Roman"/>
          <w:i/>
          <w:iCs/>
          <w:sz w:val="24"/>
        </w:rPr>
        <w:t>X</w:t>
      </w:r>
      <w:r w:rsidRPr="00B03B51">
        <w:rPr>
          <w:rFonts w:ascii="Times New Roman" w:hAnsi="Times New Roman" w:cs="Times New Roman"/>
          <w:sz w:val="24"/>
        </w:rPr>
        <w:t xml:space="preserve"> gadiem un, iespējams, izvēloties vislabvēlīgāko momentu valdības kontu ietekmēšanai.</w:t>
      </w:r>
    </w:p>
    <w:p w14:paraId="74E9D0D6" w14:textId="77777777" w:rsidR="00994F93" w:rsidRPr="00B03B51" w:rsidRDefault="00994F93" w:rsidP="00994F93">
      <w:pPr>
        <w:pStyle w:val="BodyText"/>
        <w:tabs>
          <w:tab w:val="left" w:pos="987"/>
        </w:tabs>
        <w:spacing w:before="0"/>
        <w:ind w:left="0" w:firstLine="0"/>
        <w:jc w:val="both"/>
        <w:rPr>
          <w:rFonts w:ascii="Times New Roman" w:hAnsi="Times New Roman" w:cs="Times New Roman"/>
          <w:noProof/>
          <w:sz w:val="24"/>
        </w:rPr>
      </w:pPr>
    </w:p>
    <w:p w14:paraId="48FD9C79" w14:textId="77777777" w:rsidR="00994F93" w:rsidRPr="00B03B51" w:rsidRDefault="00994F93" w:rsidP="00994F93">
      <w:pPr>
        <w:pStyle w:val="BodyText"/>
        <w:tabs>
          <w:tab w:val="left" w:pos="987"/>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142. Neatkarīgi no iepriekš teiktā</w:t>
      </w:r>
      <w:r w:rsidRPr="00B03B51">
        <w:rPr>
          <w:rStyle w:val="FootnoteReference"/>
          <w:rFonts w:ascii="Times New Roman" w:hAnsi="Times New Roman" w:cs="Times New Roman"/>
          <w:noProof/>
          <w:sz w:val="24"/>
        </w:rPr>
        <w:footnoteReference w:id="57"/>
      </w:r>
      <w:r w:rsidRPr="00B03B51">
        <w:rPr>
          <w:rFonts w:ascii="Times New Roman" w:hAnsi="Times New Roman" w:cs="Times New Roman"/>
          <w:sz w:val="24"/>
        </w:rPr>
        <w:t xml:space="preserve">, tajos gadījumos, kad cenu noteikšanas sistēma tiktu piemērota visā pilnībā gan publiskajām, gan privātajām slimnīcām attiecībā uz vairumu darbību, ko veic publiskās slimnīcas, kas pakļautas konkurencei, un publiskās slimnīcas nesaņemtu kompensāciju, pamatojoties vienkārši uz savām izmaksām, un neciestu zaudējumus gandrīz pastāvīgi, ko pēc tam segtu valdība (jo šādā veidā valdība varētu pamatā </w:t>
      </w:r>
      <w:r w:rsidRPr="00B03B51">
        <w:rPr>
          <w:rFonts w:ascii="Times New Roman" w:hAnsi="Times New Roman" w:cs="Times New Roman"/>
          <w:i/>
          <w:iCs/>
          <w:sz w:val="24"/>
        </w:rPr>
        <w:t>de facto</w:t>
      </w:r>
      <w:r w:rsidRPr="00B03B51">
        <w:rPr>
          <w:rFonts w:ascii="Times New Roman" w:hAnsi="Times New Roman" w:cs="Times New Roman"/>
          <w:sz w:val="24"/>
        </w:rPr>
        <w:t xml:space="preserve"> atlīdzināt slimnīcām zaudējumus uz radušos izmaksu bāzes), turpmākos maksājumus var uzskatīt par tirgus darbību rezultātu un tāpēc izmantot tirgus/ārpustirgus testa kontekstā, kas varētu būt pēdējais solis lēmumu pieņemšanas shēmā attiecībā uz publisko slimnīcu sektoru klasifikāciju.</w:t>
      </w:r>
    </w:p>
    <w:p w14:paraId="4468BC2D" w14:textId="77777777" w:rsidR="00994F93" w:rsidRPr="00B03B51" w:rsidRDefault="00994F93" w:rsidP="00994F93">
      <w:pPr>
        <w:rPr>
          <w:rFonts w:ascii="Times New Roman" w:eastAsia="Arial" w:hAnsi="Times New Roman" w:cs="Times New Roman"/>
          <w:noProof/>
          <w:sz w:val="24"/>
          <w:szCs w:val="20"/>
        </w:rPr>
      </w:pPr>
      <w:r w:rsidRPr="00B03B51">
        <w:rPr>
          <w:rFonts w:ascii="Times New Roman" w:hAnsi="Times New Roman" w:cs="Times New Roman"/>
        </w:rPr>
        <w:br w:type="page"/>
      </w:r>
    </w:p>
    <w:p w14:paraId="0107EB9C" w14:textId="77777777" w:rsidR="00994F93" w:rsidRPr="00B03B51" w:rsidRDefault="00994F93" w:rsidP="00994F93">
      <w:pPr>
        <w:jc w:val="both"/>
        <w:rPr>
          <w:rFonts w:ascii="Times New Roman" w:eastAsia="Arial" w:hAnsi="Times New Roman" w:cs="Times New Roman"/>
          <w:noProof/>
          <w:sz w:val="24"/>
          <w:szCs w:val="20"/>
        </w:rPr>
      </w:pPr>
    </w:p>
    <w:p w14:paraId="27E66A4F" w14:textId="77777777" w:rsidR="00994F93" w:rsidRPr="00B03B51" w:rsidRDefault="00994F93" w:rsidP="00994F93">
      <w:pPr>
        <w:jc w:val="both"/>
        <w:rPr>
          <w:rFonts w:ascii="Times New Roman" w:eastAsia="Arial" w:hAnsi="Times New Roman" w:cs="Times New Roman"/>
          <w:b/>
          <w:bCs/>
          <w:noProof/>
          <w:sz w:val="24"/>
          <w:szCs w:val="20"/>
        </w:rPr>
      </w:pPr>
      <w:r w:rsidRPr="00B03B51">
        <w:rPr>
          <w:rFonts w:ascii="Times New Roman" w:hAnsi="Times New Roman" w:cs="Times New Roman"/>
          <w:b/>
          <w:bCs/>
          <w:sz w:val="24"/>
          <w:szCs w:val="20"/>
        </w:rPr>
        <w:t>Lēmumu pieņemšanas shēma attiecībā uz publiskām slimnīcām</w:t>
      </w:r>
    </w:p>
    <w:p w14:paraId="4D8919BD" w14:textId="77777777" w:rsidR="00994F93" w:rsidRPr="00B03B51" w:rsidRDefault="00994F93" w:rsidP="00994F93">
      <w:pPr>
        <w:jc w:val="both"/>
        <w:rPr>
          <w:rFonts w:ascii="Times New Roman" w:eastAsia="Arial" w:hAnsi="Times New Roman" w:cs="Times New Roman"/>
          <w:noProof/>
          <w:sz w:val="24"/>
          <w:szCs w:val="20"/>
        </w:rPr>
      </w:pPr>
    </w:p>
    <w:p w14:paraId="1FAD401E" w14:textId="0A1ACA62" w:rsidR="00994F93" w:rsidRPr="00B03B51" w:rsidRDefault="009C7585" w:rsidP="00994F93">
      <w:pPr>
        <w:jc w:val="both"/>
        <w:rPr>
          <w:rFonts w:ascii="Times New Roman" w:eastAsia="Arial" w:hAnsi="Times New Roman" w:cs="Times New Roman"/>
          <w:noProof/>
          <w:sz w:val="24"/>
          <w:szCs w:val="20"/>
        </w:rPr>
      </w:pPr>
      <w:r w:rsidRPr="00B03B51">
        <w:rPr>
          <w:rFonts w:ascii="Times New Roman" w:eastAsia="Arial" w:hAnsi="Times New Roman" w:cs="Times New Roman"/>
          <w:noProof/>
          <w:sz w:val="24"/>
          <w:szCs w:val="20"/>
        </w:rPr>
        <w:drawing>
          <wp:inline distT="0" distB="0" distL="0" distR="0" wp14:anchorId="0296B0FD" wp14:editId="69D8E3A5">
            <wp:extent cx="5760085" cy="6798945"/>
            <wp:effectExtent l="0" t="0" r="0" b="1905"/>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760085" cy="6798945"/>
                    </a:xfrm>
                    <a:prstGeom prst="rect">
                      <a:avLst/>
                    </a:prstGeom>
                    <a:noFill/>
                    <a:ln>
                      <a:noFill/>
                    </a:ln>
                  </pic:spPr>
                </pic:pic>
              </a:graphicData>
            </a:graphic>
          </wp:inline>
        </w:drawing>
      </w:r>
    </w:p>
    <w:p w14:paraId="7CD49F48" w14:textId="77777777" w:rsidR="00994F93" w:rsidRPr="00B03B51" w:rsidRDefault="00994F93" w:rsidP="00994F93">
      <w:pPr>
        <w:jc w:val="both"/>
        <w:rPr>
          <w:rFonts w:ascii="Times New Roman" w:eastAsia="Arial" w:hAnsi="Times New Roman" w:cs="Times New Roman"/>
          <w:noProof/>
          <w:sz w:val="24"/>
          <w:szCs w:val="20"/>
        </w:rPr>
      </w:pPr>
    </w:p>
    <w:p w14:paraId="15DE4D51" w14:textId="77777777" w:rsidR="00994F93" w:rsidRPr="00FE5FF3" w:rsidRDefault="00994F93" w:rsidP="00FE5FF3">
      <w:pPr>
        <w:pStyle w:val="Heading6"/>
        <w:tabs>
          <w:tab w:val="left" w:pos="1279"/>
        </w:tabs>
        <w:ind w:left="0" w:firstLine="0"/>
        <w:jc w:val="both"/>
        <w:rPr>
          <w:rFonts w:ascii="Times New Roman" w:hAnsi="Times New Roman" w:cs="Times New Roman"/>
          <w:sz w:val="24"/>
        </w:rPr>
      </w:pPr>
      <w:r w:rsidRPr="00B03B51">
        <w:rPr>
          <w:rFonts w:ascii="Times New Roman" w:hAnsi="Times New Roman" w:cs="Times New Roman"/>
          <w:sz w:val="24"/>
        </w:rPr>
        <w:t>1.2.4.7. VALSTS TV UN RADIOAPRAIDES ĪPAŠAIS GADĪJUMS</w:t>
      </w:r>
    </w:p>
    <w:p w14:paraId="0C48CD6F" w14:textId="77777777" w:rsidR="00994F93" w:rsidRPr="00B03B51" w:rsidRDefault="00994F93" w:rsidP="00994F93">
      <w:pPr>
        <w:pStyle w:val="BodyText"/>
        <w:tabs>
          <w:tab w:val="left" w:pos="987"/>
        </w:tabs>
        <w:spacing w:before="0"/>
        <w:ind w:left="0" w:firstLine="0"/>
        <w:jc w:val="both"/>
        <w:rPr>
          <w:rFonts w:ascii="Times New Roman" w:hAnsi="Times New Roman" w:cs="Times New Roman"/>
          <w:noProof/>
          <w:sz w:val="24"/>
        </w:rPr>
      </w:pPr>
    </w:p>
    <w:p w14:paraId="5FFDC6DB" w14:textId="77777777" w:rsidR="00994F93" w:rsidRPr="00B03B51" w:rsidRDefault="00994F93" w:rsidP="00994F93">
      <w:pPr>
        <w:pStyle w:val="BodyText"/>
        <w:tabs>
          <w:tab w:val="left" w:pos="987"/>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143. Apraide ir audio un video satura raidīšana plašai auditorijai, izmantojot elektroniskos plašsaziņas sakaru līdzekļus. Pēdējās desmitgadēs apraides pakalpojumu institucionāla vide ir būtiski mainījusies, un sabiedrisko apraidi ir ievērojami papildinājusi privātā apraide. Turklāt apraides tehnoloģijas ir ievērojami attīstījušās.</w:t>
      </w:r>
    </w:p>
    <w:p w14:paraId="25C2ADDB" w14:textId="77777777" w:rsidR="00994F93" w:rsidRPr="00B03B51" w:rsidRDefault="00994F93" w:rsidP="00994F93">
      <w:pPr>
        <w:pStyle w:val="BodyText"/>
        <w:tabs>
          <w:tab w:val="left" w:pos="987"/>
        </w:tabs>
        <w:spacing w:before="0"/>
        <w:ind w:left="0" w:firstLine="0"/>
        <w:jc w:val="both"/>
        <w:rPr>
          <w:rFonts w:ascii="Times New Roman" w:hAnsi="Times New Roman" w:cs="Times New Roman"/>
          <w:noProof/>
          <w:sz w:val="24"/>
        </w:rPr>
      </w:pPr>
    </w:p>
    <w:p w14:paraId="38946C6C" w14:textId="77777777" w:rsidR="00994F93" w:rsidRPr="00B03B51" w:rsidRDefault="00994F93" w:rsidP="00994F93">
      <w:pPr>
        <w:pStyle w:val="BodyText"/>
        <w:tabs>
          <w:tab w:val="left" w:pos="987"/>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 xml:space="preserve">144. Valsts apraide pastāv visās ES dalībvalstīs, tomēr ne visas dalībvalstis ir izveidojušas </w:t>
      </w:r>
      <w:r w:rsidRPr="00B03B51">
        <w:rPr>
          <w:rFonts w:ascii="Times New Roman" w:hAnsi="Times New Roman" w:cs="Times New Roman"/>
          <w:sz w:val="24"/>
        </w:rPr>
        <w:lastRenderedPageBreak/>
        <w:t>lietotāju mērķmaksājumus</w:t>
      </w:r>
      <w:r w:rsidRPr="00B03B51">
        <w:rPr>
          <w:rStyle w:val="FootnoteReference"/>
          <w:rFonts w:ascii="Times New Roman" w:hAnsi="Times New Roman" w:cs="Times New Roman"/>
          <w:noProof/>
          <w:sz w:val="24"/>
        </w:rPr>
        <w:footnoteReference w:id="58"/>
      </w:r>
      <w:r w:rsidRPr="00B03B51">
        <w:rPr>
          <w:rFonts w:ascii="Times New Roman" w:hAnsi="Times New Roman" w:cs="Times New Roman"/>
          <w:sz w:val="24"/>
        </w:rPr>
        <w:t>, ko iekasē no mājsaimniecībām (kā arī uzņēmumiem un citiem subjektiem). Dažās ES dalībvalstīs valdība var tieši noteikt šādus lietotāja maksājumus vai dot valsts apraides iestādei tiesības tos iekasēt. Citās ES dalībvalstīs lietotājiem netiek prasīts īpašs maksājums, un valsts apraide tiek finansēta no citiem avotiem.</w:t>
      </w:r>
    </w:p>
    <w:p w14:paraId="3110381D" w14:textId="77777777" w:rsidR="00994F93" w:rsidRPr="00B03B51" w:rsidRDefault="00994F93" w:rsidP="00994F93">
      <w:pPr>
        <w:pStyle w:val="BodyText"/>
        <w:tabs>
          <w:tab w:val="left" w:pos="987"/>
        </w:tabs>
        <w:spacing w:before="0"/>
        <w:ind w:left="0" w:firstLine="0"/>
        <w:jc w:val="both"/>
        <w:rPr>
          <w:rFonts w:ascii="Times New Roman" w:hAnsi="Times New Roman" w:cs="Times New Roman"/>
          <w:noProof/>
          <w:sz w:val="24"/>
        </w:rPr>
      </w:pPr>
    </w:p>
    <w:p w14:paraId="564571F2" w14:textId="77777777" w:rsidR="00994F93" w:rsidRPr="00B03B51" w:rsidRDefault="00994F93" w:rsidP="00994F93">
      <w:pPr>
        <w:pStyle w:val="BodyText"/>
        <w:tabs>
          <w:tab w:val="left" w:pos="987"/>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145. Valsts apraides pirmssākumos maksājums attiecās uz monopolistisko TV un radio pakalpojumu, savukārt tagad situācija ir būtiski mainījusies, jo privāto apraides organizāciju skaits ir daudzkāršojies. Tādējādi agrāk bija skaidra un tieša saikne starp lietotāja maksājumu un pakalpojumu, kas saņemts, skatoties/klausoties valsts apraides organizāciju (vienīgo pastāvošo subjektu, kas nodrošina apraidi), taču tagad tāda tieša saikne vairs nepastāv.</w:t>
      </w:r>
    </w:p>
    <w:p w14:paraId="413140B5" w14:textId="77777777" w:rsidR="00994F93" w:rsidRPr="00B03B51" w:rsidRDefault="00994F93" w:rsidP="00994F93">
      <w:pPr>
        <w:pStyle w:val="BodyText"/>
        <w:tabs>
          <w:tab w:val="left" w:pos="987"/>
        </w:tabs>
        <w:spacing w:before="0"/>
        <w:ind w:left="0" w:firstLine="0"/>
        <w:jc w:val="both"/>
        <w:rPr>
          <w:rFonts w:ascii="Times New Roman" w:hAnsi="Times New Roman" w:cs="Times New Roman"/>
          <w:noProof/>
          <w:sz w:val="24"/>
        </w:rPr>
      </w:pPr>
    </w:p>
    <w:p w14:paraId="198C39E5" w14:textId="77777777" w:rsidR="00994F93" w:rsidRPr="00B03B51" w:rsidRDefault="00994F93" w:rsidP="00994F93">
      <w:pPr>
        <w:pStyle w:val="BodyText"/>
        <w:tabs>
          <w:tab w:val="left" w:pos="987"/>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146. Iekasējot maksājumu par valsts apraidi, galvenais jautājums ir noteikt, kā klasificēt šo maksājumu nacionālajos kontos, t. i., vai nu kā nodokli (obligātu</w:t>
      </w:r>
      <w:r w:rsidRPr="00B03B51">
        <w:rPr>
          <w:rStyle w:val="FootnoteReference"/>
          <w:rFonts w:ascii="Times New Roman" w:hAnsi="Times New Roman" w:cs="Times New Roman"/>
          <w:noProof/>
          <w:sz w:val="24"/>
        </w:rPr>
        <w:footnoteReference w:id="59"/>
      </w:r>
      <w:r w:rsidRPr="00B03B51">
        <w:rPr>
          <w:rFonts w:ascii="Times New Roman" w:hAnsi="Times New Roman" w:cs="Times New Roman"/>
          <w:sz w:val="24"/>
        </w:rPr>
        <w:t>, neatlīdzināmu darījumu) vai kā maksu par pakalpojumu (atlīdzināmu darījumu).</w:t>
      </w:r>
    </w:p>
    <w:p w14:paraId="3395CD60" w14:textId="77777777" w:rsidR="00994F93" w:rsidRPr="00B03B51" w:rsidRDefault="00994F93" w:rsidP="00994F93">
      <w:pPr>
        <w:pStyle w:val="BodyText"/>
        <w:tabs>
          <w:tab w:val="left" w:pos="987"/>
        </w:tabs>
        <w:spacing w:before="0"/>
        <w:ind w:left="0" w:firstLine="0"/>
        <w:jc w:val="both"/>
        <w:rPr>
          <w:rFonts w:ascii="Times New Roman" w:hAnsi="Times New Roman" w:cs="Times New Roman"/>
          <w:noProof/>
          <w:sz w:val="24"/>
        </w:rPr>
      </w:pPr>
    </w:p>
    <w:p w14:paraId="14F4A4C8" w14:textId="77777777" w:rsidR="00994F93" w:rsidRPr="00B03B51" w:rsidRDefault="00994F93" w:rsidP="00994F93">
      <w:pPr>
        <w:pStyle w:val="BodyText"/>
        <w:tabs>
          <w:tab w:val="left" w:pos="987"/>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147. ES dalībvalstīs ir atšķirīgs lietotāju maksas par valsts apraidi iekasēšanas pamatojums, taču var izšķirt divus pamata gadījumus. Pirmajā gadījumā lietotājs maksā par valsts apraidi, pamatojoties uz kādu vispārēju nosacījumu, piemēram, potenciālā lietotāja (indivīda, mājsaimniecības vai cita attiecīgā subjekta) pastāvīgo dzīvesvietu, lietotāja pieslēgumu elektroenerģijas tīklam, elektrības patēriņu, ienākumu līmeni utt. Otrajā gadījumā lietotājs maksā par valsts apraidi, pamatojoties uz TV/radio vai citas attiecīgās ierīces (tālruņa, klēpjdatora, personālā datora utt.) īpašumtiesībām/pieejamību.</w:t>
      </w:r>
    </w:p>
    <w:p w14:paraId="08625C62" w14:textId="77777777" w:rsidR="00994F93" w:rsidRPr="00B03B51" w:rsidRDefault="00994F93" w:rsidP="00994F93">
      <w:pPr>
        <w:pStyle w:val="BodyText"/>
        <w:tabs>
          <w:tab w:val="left" w:pos="987"/>
        </w:tabs>
        <w:spacing w:before="0"/>
        <w:ind w:left="0" w:firstLine="0"/>
        <w:jc w:val="both"/>
        <w:rPr>
          <w:rFonts w:ascii="Times New Roman" w:hAnsi="Times New Roman" w:cs="Times New Roman"/>
          <w:noProof/>
          <w:sz w:val="24"/>
        </w:rPr>
      </w:pPr>
    </w:p>
    <w:p w14:paraId="407ED945" w14:textId="77777777" w:rsidR="00994F93" w:rsidRPr="00B03B51" w:rsidRDefault="00994F93" w:rsidP="00994F93">
      <w:pPr>
        <w:pStyle w:val="BodyText"/>
        <w:tabs>
          <w:tab w:val="left" w:pos="987"/>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 xml:space="preserve">148. Katrā gadījumā ir svarīgi izanalizēt, ir vai nav iespējams </w:t>
      </w:r>
      <w:r w:rsidRPr="00B03B51">
        <w:rPr>
          <w:rFonts w:ascii="Times New Roman" w:hAnsi="Times New Roman" w:cs="Times New Roman"/>
          <w:i/>
          <w:iCs/>
          <w:sz w:val="24"/>
        </w:rPr>
        <w:t>izvairīties</w:t>
      </w:r>
      <w:r w:rsidRPr="00B03B51">
        <w:rPr>
          <w:rFonts w:ascii="Times New Roman" w:hAnsi="Times New Roman" w:cs="Times New Roman"/>
          <w:sz w:val="24"/>
        </w:rPr>
        <w:t xml:space="preserve"> no prasītās maksas par valsts apraides pakalpojumiem, ja persona nevēlas skatīties/klausīties valsts TV/radio (t. i., persona nevēlas izmantot valsts apraides pakalpojumus).</w:t>
      </w:r>
    </w:p>
    <w:p w14:paraId="5D61F259" w14:textId="77777777" w:rsidR="00994F93" w:rsidRPr="00B03B51" w:rsidRDefault="00994F93" w:rsidP="00994F93">
      <w:pPr>
        <w:pStyle w:val="BodyText"/>
        <w:tabs>
          <w:tab w:val="left" w:pos="987"/>
        </w:tabs>
        <w:spacing w:before="0"/>
        <w:ind w:left="0" w:firstLine="0"/>
        <w:jc w:val="both"/>
        <w:rPr>
          <w:rFonts w:ascii="Times New Roman" w:hAnsi="Times New Roman" w:cs="Times New Roman"/>
          <w:noProof/>
          <w:sz w:val="24"/>
        </w:rPr>
      </w:pPr>
    </w:p>
    <w:p w14:paraId="119B28B6" w14:textId="77777777" w:rsidR="00994F93" w:rsidRPr="00B03B51" w:rsidRDefault="00994F93" w:rsidP="00994F93">
      <w:pPr>
        <w:pStyle w:val="BodyText"/>
        <w:tabs>
          <w:tab w:val="left" w:pos="987"/>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 xml:space="preserve">149. Ja nav iespējams </w:t>
      </w:r>
      <w:r w:rsidRPr="00B03B51">
        <w:rPr>
          <w:rFonts w:ascii="Times New Roman" w:hAnsi="Times New Roman" w:cs="Times New Roman"/>
          <w:i/>
          <w:iCs/>
          <w:sz w:val="24"/>
        </w:rPr>
        <w:t>izvairīties</w:t>
      </w:r>
      <w:r w:rsidRPr="00B03B51">
        <w:rPr>
          <w:rFonts w:ascii="Times New Roman" w:hAnsi="Times New Roman" w:cs="Times New Roman"/>
          <w:sz w:val="24"/>
        </w:rPr>
        <w:t xml:space="preserve"> no maksājuma veikšanas par valsts apraides pakalpojumiem (piemēram, apliecinot, ka personas rīcībā nav attiecīgo ierīču, uz kurām attiecas obligātie maksājumi, vai ka persona neizmanto sabiedriskās apraides pakalpojumus), šis obligātais maksājums uzskatāms par neatlīdzināmu un nacionālajos kontos ierakstāms kā nodoklis (D.59 d) punkts, ja to maksā mājsaimniecības, D.29 e) punkts, ja maksā pārējie sektori). Šādā gadījumā uzskatāms, ka maksājumu par valsts apraidi uzliek valsts apraides iespējamajiem patērētājiem, kam nepieder (vai nav pieejamas) ierīces, kas ļautu izmantot valsts apraides pakalpojumu, vai kas nevēlas izmantot valsts apraides pakalpojumus. Līdzīgi maksājumu var piemērot attiecīgo ierīču īpašniekiem (vai personām, kam tās ir pieejamas), kuri nevēlas izmantot piedāvāto valsts apraides pakalpojumu, bet vēlas izmantot tikai privātās apraides pakalpojumus.</w:t>
      </w:r>
      <w:r w:rsidRPr="00B03B51">
        <w:rPr>
          <w:rStyle w:val="FootnoteReference"/>
          <w:rFonts w:ascii="Times New Roman" w:hAnsi="Times New Roman" w:cs="Times New Roman"/>
          <w:noProof/>
          <w:sz w:val="24"/>
        </w:rPr>
        <w:footnoteReference w:id="60"/>
      </w:r>
      <w:r w:rsidRPr="00B03B51">
        <w:rPr>
          <w:rFonts w:ascii="Times New Roman" w:hAnsi="Times New Roman" w:cs="Times New Roman"/>
          <w:sz w:val="24"/>
        </w:rPr>
        <w:t xml:space="preserve"> Tādējādi (iespējamajam) lietotājam ir liegta iespēja brīvi izvēlēties un tiek uzlikts pienākums finansēt valsts apraides pakalpojumus.</w:t>
      </w:r>
    </w:p>
    <w:p w14:paraId="08758292" w14:textId="77777777" w:rsidR="00994F93" w:rsidRPr="00B03B51" w:rsidRDefault="00994F93" w:rsidP="00994F93">
      <w:pPr>
        <w:pStyle w:val="BodyText"/>
        <w:tabs>
          <w:tab w:val="left" w:pos="987"/>
        </w:tabs>
        <w:spacing w:before="0"/>
        <w:ind w:left="0" w:firstLine="0"/>
        <w:jc w:val="both"/>
        <w:rPr>
          <w:rFonts w:ascii="Times New Roman" w:hAnsi="Times New Roman" w:cs="Times New Roman"/>
          <w:noProof/>
          <w:sz w:val="24"/>
        </w:rPr>
      </w:pPr>
    </w:p>
    <w:p w14:paraId="1F1ED436" w14:textId="77777777" w:rsidR="00994F93" w:rsidRPr="00B03B51" w:rsidRDefault="00994F93" w:rsidP="00994F93">
      <w:pPr>
        <w:pStyle w:val="BodyText"/>
        <w:tabs>
          <w:tab w:val="left" w:pos="987"/>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 xml:space="preserve">150. Ja ir iespējams </w:t>
      </w:r>
      <w:r w:rsidRPr="00B03B51">
        <w:rPr>
          <w:rFonts w:ascii="Times New Roman" w:hAnsi="Times New Roman" w:cs="Times New Roman"/>
          <w:i/>
          <w:iCs/>
          <w:sz w:val="24"/>
        </w:rPr>
        <w:t>izvairīties</w:t>
      </w:r>
      <w:r w:rsidRPr="00B03B51">
        <w:rPr>
          <w:rFonts w:ascii="Times New Roman" w:hAnsi="Times New Roman" w:cs="Times New Roman"/>
          <w:sz w:val="24"/>
        </w:rPr>
        <w:t xml:space="preserve"> no valsts apraides pakalpojumu lietošanas, vienlaikus neietekmējot iespēju izmantot privātās apraides pakalpojumus, proti, būtu jāmaksā tikai tiem lietotājiem, kas vēlas izmantot valsts apraides pakalpojumus, tādējādi tas nozīmē, ka viņi piekrīt pakalpojuma cenai. Maksājumu līdz ar to var uzskatīt par atlīdzināmu un tādējādi nacionālajos kontos to aplūko kā maksu par pakalpojumu.</w:t>
      </w:r>
    </w:p>
    <w:p w14:paraId="7CBFE5CB" w14:textId="77777777" w:rsidR="00994F93" w:rsidRPr="00B03B51" w:rsidRDefault="00994F93" w:rsidP="00994F93">
      <w:pPr>
        <w:pStyle w:val="BodyText"/>
        <w:tabs>
          <w:tab w:val="left" w:pos="987"/>
        </w:tabs>
        <w:spacing w:before="0"/>
        <w:ind w:left="0" w:firstLine="0"/>
        <w:jc w:val="both"/>
        <w:rPr>
          <w:rFonts w:ascii="Times New Roman" w:hAnsi="Times New Roman" w:cs="Times New Roman"/>
          <w:noProof/>
          <w:sz w:val="24"/>
        </w:rPr>
      </w:pPr>
    </w:p>
    <w:p w14:paraId="68DF9634" w14:textId="77777777" w:rsidR="00994F93" w:rsidRPr="00B03B51" w:rsidRDefault="00994F93" w:rsidP="00994F93">
      <w:pPr>
        <w:pStyle w:val="BodyText"/>
        <w:tabs>
          <w:tab w:val="left" w:pos="987"/>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151. Ja lietotāja maksājums par valsts apraidi tiek uzskatīts par nodokli nacionālajos kontos un ja to iekasē subjekts, kas nav klasificēts valdības sektorā, šādu maksājumu principā pārvirza, izmantojot vispārējās valdības kontus (S.13), jo tikai vispārējai valdībai (un īpašos apstākļos pārējai pasaulei) ir pilnvaras iekasēt nodokļus. Skat. 1.2.4.5. apakšiedaļā “Pārkārtoti darījumi” sniegto uzskaites piemēru.</w:t>
      </w:r>
    </w:p>
    <w:p w14:paraId="649233A9" w14:textId="77777777" w:rsidR="00994F93" w:rsidRPr="00B03B51" w:rsidRDefault="00994F93" w:rsidP="00994F93">
      <w:pPr>
        <w:jc w:val="both"/>
        <w:rPr>
          <w:rFonts w:ascii="Times New Roman" w:eastAsia="Arial" w:hAnsi="Times New Roman" w:cs="Times New Roman"/>
          <w:noProof/>
          <w:sz w:val="24"/>
          <w:szCs w:val="14"/>
        </w:rPr>
      </w:pPr>
    </w:p>
    <w:p w14:paraId="57D4D460" w14:textId="77777777" w:rsidR="00994F93" w:rsidRPr="00B03B51" w:rsidRDefault="00994F93" w:rsidP="00994F93">
      <w:pPr>
        <w:pStyle w:val="BodyText"/>
        <w:tabs>
          <w:tab w:val="left" w:pos="987"/>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152. Ja lietotāja maksājumu iekasē valdība un tad to nodod sabiedriskajai raidorganizācijai, kas klasificēta ārpus vispārējās valdības sektora, valdības maksājumus sabiedriskajai raidorganizācijai ieraksta kā citas ražošanas subsīdijas (D.39). Ja valsts apraides organizācija ir klasificēta vispārējā valdības sektorā un šī vienība izpilda nosacījumus saistībā ar tās atzīšanu par darījuma galveno veicēju, kā norādīts EKS 2010 1.78. punktā, lietotāja maksājumus ieraksta tieši šajā vienībā. Pretējā gadījumā ieraksta kārtējo pārvedumu (D.73) no vienības, kas izpilda EKS 2010 1.78. punkta nosacījumus, valsts apraides vienībai.</w:t>
      </w:r>
    </w:p>
    <w:p w14:paraId="1AE45BFE" w14:textId="77777777" w:rsidR="00994F93" w:rsidRPr="00B03B51" w:rsidRDefault="00994F93" w:rsidP="00994F93">
      <w:pPr>
        <w:pStyle w:val="BodyText"/>
        <w:tabs>
          <w:tab w:val="left" w:pos="987"/>
        </w:tabs>
        <w:spacing w:before="0"/>
        <w:ind w:left="0" w:firstLine="0"/>
        <w:jc w:val="both"/>
        <w:rPr>
          <w:rFonts w:ascii="Times New Roman" w:hAnsi="Times New Roman" w:cs="Times New Roman"/>
          <w:noProof/>
          <w:sz w:val="24"/>
        </w:rPr>
      </w:pPr>
    </w:p>
    <w:p w14:paraId="45A9CF14" w14:textId="77777777" w:rsidR="00994F93" w:rsidRPr="00B03B51" w:rsidRDefault="00994F93" w:rsidP="00994F93">
      <w:pPr>
        <w:pStyle w:val="BodyText"/>
        <w:tabs>
          <w:tab w:val="left" w:pos="987"/>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153. Tas, kā tiek klasificēti lietotāja maksājumi par valsts apraides pakalpojumiem (TV un/vai radio), var ietekmēt šos pakalpojumus sniedzošo publisko institucionālo vienību sektoru klasifikāciju. Lai noteiktu, kādā sektorā ir klasificējama valsts raidorganizācija, piemēro EKS 2010 kvalitatīvos un kvantitatīvos (tirgus/ārpustirgus testa) kritērijus (skat. šīs rokasgrāmatas 1.2.4. apakšiedaļu).</w:t>
      </w:r>
    </w:p>
    <w:p w14:paraId="1E7A07C3" w14:textId="77777777" w:rsidR="00994F93" w:rsidRPr="00B03B51" w:rsidRDefault="00994F93" w:rsidP="00994F93">
      <w:pPr>
        <w:jc w:val="both"/>
        <w:rPr>
          <w:rFonts w:ascii="Times New Roman" w:eastAsia="Arial" w:hAnsi="Times New Roman" w:cs="Times New Roman"/>
          <w:noProof/>
          <w:sz w:val="24"/>
          <w:szCs w:val="16"/>
        </w:rPr>
      </w:pPr>
    </w:p>
    <w:p w14:paraId="4A8880FB" w14:textId="77777777" w:rsidR="00994F93" w:rsidRPr="00B03B51" w:rsidRDefault="00994F93" w:rsidP="00994F93">
      <w:pPr>
        <w:pStyle w:val="Heading6"/>
        <w:tabs>
          <w:tab w:val="left" w:pos="1279"/>
        </w:tabs>
        <w:ind w:left="0" w:firstLine="0"/>
        <w:jc w:val="both"/>
        <w:rPr>
          <w:rFonts w:ascii="Times New Roman" w:hAnsi="Times New Roman" w:cs="Times New Roman"/>
          <w:noProof/>
          <w:sz w:val="24"/>
        </w:rPr>
      </w:pPr>
      <w:r w:rsidRPr="00B03B51">
        <w:rPr>
          <w:rFonts w:ascii="Times New Roman" w:hAnsi="Times New Roman" w:cs="Times New Roman"/>
          <w:sz w:val="24"/>
        </w:rPr>
        <w:t>1.2.4.8. ROBEŽLĪNIJA STARP NODOKĻIEM UN PAKALPOJUMU PĀRDOŠANU</w:t>
      </w:r>
    </w:p>
    <w:p w14:paraId="71C8FF69" w14:textId="77777777" w:rsidR="00994F93" w:rsidRPr="00B03B51" w:rsidRDefault="00994F93" w:rsidP="00994F93">
      <w:pPr>
        <w:pStyle w:val="BodyText"/>
        <w:tabs>
          <w:tab w:val="left" w:pos="987"/>
        </w:tabs>
        <w:spacing w:before="0"/>
        <w:ind w:left="0" w:firstLine="0"/>
        <w:jc w:val="both"/>
        <w:rPr>
          <w:rFonts w:ascii="Times New Roman" w:hAnsi="Times New Roman" w:cs="Times New Roman"/>
          <w:noProof/>
          <w:sz w:val="24"/>
        </w:rPr>
      </w:pPr>
    </w:p>
    <w:p w14:paraId="46FB645E" w14:textId="77777777" w:rsidR="00994F93" w:rsidRPr="00B03B51" w:rsidRDefault="00994F93" w:rsidP="00994F93">
      <w:pPr>
        <w:pStyle w:val="BodyText"/>
        <w:tabs>
          <w:tab w:val="left" w:pos="987"/>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154. Kad novērtē, vai vienība pēc būtības ir tirgus vienība vai ārpustirgus vienība, jāpārbauda, vai vienības ienākumi no valdības sektoram nepiederošiem avotiem nav klasificējami kā pārdošanas ienākumi vai kā citādi. Piemēram, maksājumi par atļauju veikt konkrētu uzņēmējdarbību vai individuālu darbību (ko parasti apliecina ar licenci) traktējami kā pakalpojuma pārdošanas ienākumi tikai tad, ja ieņēmumi tiek izmantoti tam, lai nodrošinātu kādu likumīgu regulējošu funkciju, kas saistīta ar šādu atļauju (piemēram, personas kompetences vai kvalifikācijas pārbaude, uzņēmējdarbībā izmantoto telpu atbilstības vai drošības pārbaude, izmantotā aprīkojuma uzticamības vai drošības pārbaude, saražoto preču vai pakalpojumu kvalitātes vai atbilstības standartam pārbaude), un ja maksājumi ievērojami nepārsniedz šādu pakalpojumu sniegšanas izmaksas. Tomēr jāņem vērā arī tas, cik lielā mērā maksātājiem ir pienākums šādas atļaujas saņemt, jo var būt situācijas, kad ekonomikas subjekti nedrīkst veikt konkrēto darbību, ja nav saņēmuši konkrētu atļauju, un līdz ar to cena neietekmē pieprasīto atļauju skaitu. Šādi maksājumi jātraktē kā nodokļi tad, ja kāds no šiem nosacījumiem nav izpildīts (skat. EKS 2010 4.79. punkta d) apakšpunktu), un līdz ar to vienība klasificēta kā vispārējās valdības vienība vai dažos gadījumos maksājumi virzīti caur valdību, jo tikai valdībai ir tiesības iekasēt nodokļus.</w:t>
      </w:r>
    </w:p>
    <w:p w14:paraId="3546427D" w14:textId="77777777" w:rsidR="00994F93" w:rsidRPr="00B03B51" w:rsidRDefault="00994F93" w:rsidP="00994F93">
      <w:pPr>
        <w:rPr>
          <w:rFonts w:ascii="Times New Roman" w:hAnsi="Times New Roman" w:cs="Times New Roman"/>
          <w:noProof/>
          <w:sz w:val="24"/>
        </w:rPr>
      </w:pPr>
      <w:r w:rsidRPr="00B03B51">
        <w:rPr>
          <w:rFonts w:ascii="Times New Roman" w:hAnsi="Times New Roman" w:cs="Times New Roman"/>
        </w:rPr>
        <w:br w:type="page"/>
      </w:r>
    </w:p>
    <w:p w14:paraId="6371952B" w14:textId="77777777" w:rsidR="00994F93" w:rsidRPr="00B03B51" w:rsidRDefault="00994F93" w:rsidP="00994F93">
      <w:pPr>
        <w:jc w:val="both"/>
        <w:rPr>
          <w:rFonts w:ascii="Times New Roman" w:eastAsia="Arial" w:hAnsi="Times New Roman" w:cs="Times New Roman"/>
          <w:noProof/>
          <w:sz w:val="24"/>
          <w:szCs w:val="21"/>
        </w:rPr>
      </w:pPr>
    </w:p>
    <w:p w14:paraId="177471B5" w14:textId="77777777" w:rsidR="00994F93" w:rsidRPr="00B03B51" w:rsidRDefault="00994F93" w:rsidP="00994F93">
      <w:pPr>
        <w:pStyle w:val="Heading2"/>
        <w:tabs>
          <w:tab w:val="left" w:pos="1277"/>
        </w:tabs>
        <w:spacing w:before="0"/>
        <w:ind w:left="0" w:firstLine="0"/>
        <w:jc w:val="both"/>
        <w:rPr>
          <w:rFonts w:ascii="Times New Roman" w:hAnsi="Times New Roman" w:cs="Times New Roman"/>
          <w:noProof/>
          <w:sz w:val="28"/>
          <w:szCs w:val="44"/>
        </w:rPr>
      </w:pPr>
      <w:bookmarkStart w:id="22" w:name="1.3._Pension_institutions"/>
      <w:bookmarkStart w:id="23" w:name="_bookmark3"/>
      <w:bookmarkStart w:id="24" w:name="_Toc67565023"/>
      <w:bookmarkEnd w:id="22"/>
      <w:bookmarkEnd w:id="23"/>
      <w:r w:rsidRPr="00B03B51">
        <w:rPr>
          <w:rFonts w:ascii="Times New Roman" w:hAnsi="Times New Roman" w:cs="Times New Roman"/>
          <w:sz w:val="28"/>
          <w:szCs w:val="44"/>
        </w:rPr>
        <w:t>1.3. Pensiju institūcijas</w:t>
      </w:r>
      <w:bookmarkEnd w:id="24"/>
    </w:p>
    <w:p w14:paraId="693AF37C" w14:textId="77777777" w:rsidR="00994F93" w:rsidRPr="00197963" w:rsidRDefault="00994F93" w:rsidP="00197963">
      <w:pPr>
        <w:rPr>
          <w:rFonts w:ascii="Times New Roman" w:hAnsi="Times New Roman" w:cs="Times New Roman"/>
          <w:noProof/>
          <w:sz w:val="24"/>
          <w:szCs w:val="24"/>
        </w:rPr>
      </w:pPr>
      <w:bookmarkStart w:id="25" w:name="1.3.1_Background"/>
      <w:bookmarkEnd w:id="25"/>
    </w:p>
    <w:p w14:paraId="159BC7DF" w14:textId="77777777" w:rsidR="00994F93" w:rsidRPr="00B03B51" w:rsidRDefault="00994F93" w:rsidP="00994F93">
      <w:pPr>
        <w:pStyle w:val="Heading3"/>
        <w:tabs>
          <w:tab w:val="left" w:pos="1277"/>
        </w:tabs>
        <w:ind w:left="0" w:firstLine="0"/>
        <w:jc w:val="both"/>
        <w:rPr>
          <w:rFonts w:ascii="Times New Roman" w:hAnsi="Times New Roman" w:cs="Times New Roman"/>
          <w:noProof/>
          <w:sz w:val="24"/>
        </w:rPr>
      </w:pPr>
      <w:bookmarkStart w:id="26" w:name="_Toc67565024"/>
      <w:r w:rsidRPr="00B03B51">
        <w:rPr>
          <w:rFonts w:ascii="Times New Roman" w:hAnsi="Times New Roman" w:cs="Times New Roman"/>
          <w:sz w:val="24"/>
        </w:rPr>
        <w:t>1.3.1. Vispārīga informācija</w:t>
      </w:r>
      <w:bookmarkEnd w:id="26"/>
    </w:p>
    <w:p w14:paraId="144F781A" w14:textId="77777777" w:rsidR="00994F93" w:rsidRPr="00FE5FF3" w:rsidRDefault="00994F93" w:rsidP="00FE5FF3">
      <w:pPr>
        <w:rPr>
          <w:rFonts w:ascii="Times New Roman" w:hAnsi="Times New Roman" w:cs="Times New Roman"/>
          <w:noProof/>
          <w:sz w:val="24"/>
          <w:szCs w:val="24"/>
        </w:rPr>
      </w:pPr>
      <w:bookmarkStart w:id="27" w:name="1.3.1.1_Main_definitions"/>
      <w:bookmarkEnd w:id="27"/>
    </w:p>
    <w:p w14:paraId="47BF38DD" w14:textId="77777777" w:rsidR="00994F93" w:rsidRPr="00B03B51" w:rsidRDefault="00994F93" w:rsidP="00994F93">
      <w:pPr>
        <w:pStyle w:val="Heading6"/>
        <w:tabs>
          <w:tab w:val="left" w:pos="1277"/>
        </w:tabs>
        <w:ind w:left="0" w:firstLine="0"/>
        <w:jc w:val="both"/>
        <w:rPr>
          <w:rFonts w:ascii="Times New Roman" w:hAnsi="Times New Roman" w:cs="Times New Roman"/>
          <w:noProof/>
          <w:sz w:val="24"/>
        </w:rPr>
      </w:pPr>
      <w:r w:rsidRPr="00B03B51">
        <w:rPr>
          <w:rFonts w:ascii="Times New Roman" w:hAnsi="Times New Roman" w:cs="Times New Roman"/>
          <w:sz w:val="24"/>
        </w:rPr>
        <w:t>1.3.1.1. GALVENĀS DEFINĪCIJAS</w:t>
      </w:r>
    </w:p>
    <w:p w14:paraId="0DF551B3"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p>
    <w:p w14:paraId="174C0A95" w14:textId="2AD967E6"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 Pensiju shēmas vairumā gadījumu nodrošina ienākumus pēc pensionēšanās un apgādnieka zaudējuma pensiju pārdzīvojušajam laulātajam. Dažkārt pensiju shēmā var būt apdrošināti arī papildu riski (piemēram, slimības atvaļinājums, invaliditāte). Tās var būt kā “sociālās apdrošināšanas shēmas”, kurās iekļautas gan “sociālā nodrošinā</w:t>
      </w:r>
      <w:r w:rsidR="00CC2796" w:rsidRPr="00B03B51">
        <w:rPr>
          <w:rFonts w:ascii="Times New Roman" w:hAnsi="Times New Roman" w:cs="Times New Roman"/>
          <w:sz w:val="24"/>
        </w:rPr>
        <w:t>juma</w:t>
      </w:r>
      <w:r w:rsidRPr="00B03B51">
        <w:rPr>
          <w:rFonts w:ascii="Times New Roman" w:hAnsi="Times New Roman" w:cs="Times New Roman"/>
          <w:sz w:val="24"/>
        </w:rPr>
        <w:t xml:space="preserve"> shēmas” un “ar nodarbinātību saistītas sociālās apdrošināšanas shēmas, kas nav sociālā nodrošinā</w:t>
      </w:r>
      <w:r w:rsidR="00CC2796" w:rsidRPr="00B03B51">
        <w:rPr>
          <w:rFonts w:ascii="Times New Roman" w:hAnsi="Times New Roman" w:cs="Times New Roman"/>
          <w:sz w:val="24"/>
        </w:rPr>
        <w:t>juma</w:t>
      </w:r>
      <w:r w:rsidRPr="00B03B51">
        <w:rPr>
          <w:rFonts w:ascii="Times New Roman" w:hAnsi="Times New Roman" w:cs="Times New Roman"/>
          <w:sz w:val="24"/>
        </w:rPr>
        <w:t xml:space="preserve"> shēmas”. Aizsardzību pret šiem riskiem var arī apdrošināt, izmantojot privātu apdrošināšanas polisi un citus (ilg)termiņa uzkrājumu instrumentus, ko personas noorganizē pēc saviem ieskatiem.</w:t>
      </w:r>
    </w:p>
    <w:p w14:paraId="5B3EC5B4"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p>
    <w:p w14:paraId="1233607D" w14:textId="10E8BD75"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2. Subjekti, kuri pārvalda sociālā nodrošinā</w:t>
      </w:r>
      <w:r w:rsidR="000509B8" w:rsidRPr="00B03B51">
        <w:rPr>
          <w:rFonts w:ascii="Times New Roman" w:hAnsi="Times New Roman" w:cs="Times New Roman"/>
          <w:sz w:val="24"/>
        </w:rPr>
        <w:t>juma</w:t>
      </w:r>
      <w:r w:rsidRPr="00B03B51">
        <w:rPr>
          <w:rFonts w:ascii="Times New Roman" w:hAnsi="Times New Roman" w:cs="Times New Roman"/>
          <w:sz w:val="24"/>
        </w:rPr>
        <w:t xml:space="preserve"> shēmas, parasti tiks klasificēti vispārējās valdības sektorā (S.13), turpretī subjekti, kas pārvalda citas ar nodarbinātību saistītas sociālās apdrošināšanas shēmas, parasti tiks klasificēti apakšsektorā “Apdrošināšanas sabiedrības” (S.128), “Pensiju fondi” (S.129) vai darba devēju sektorā (S.11, S.12, S.13 vai S.14). Subjekti, kas pārvalda privātās apdrošināšanas polises, tiks klasificēti apakšsektorā “Apdrošināšanas sabiedrības” (S.128). Subjekti, kas pārvalda uzkrājumu instrumentus, tiek iekļauti galvenokārt finanšu sabiedrību sektorā (S.12). Dažkārt atkarībā no valsts tiesiskā regulējuma šie subjekti var darboties arī kā apdrošinātāji “ar nodarbinātību saistītās sociālās apdrošināšanas shēmās, kas nav sociālā nodrošinā</w:t>
      </w:r>
      <w:r w:rsidR="000509B8" w:rsidRPr="00B03B51">
        <w:rPr>
          <w:rFonts w:ascii="Times New Roman" w:hAnsi="Times New Roman" w:cs="Times New Roman"/>
          <w:sz w:val="24"/>
        </w:rPr>
        <w:t>juma</w:t>
      </w:r>
      <w:r w:rsidRPr="00B03B51">
        <w:rPr>
          <w:rFonts w:ascii="Times New Roman" w:hAnsi="Times New Roman" w:cs="Times New Roman"/>
          <w:sz w:val="24"/>
        </w:rPr>
        <w:t xml:space="preserve"> shēmas”.</w:t>
      </w:r>
    </w:p>
    <w:p w14:paraId="58094392"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p>
    <w:p w14:paraId="76721FA9"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3. Nacionālajos kontos sociālā apdrošināšana nozīmē kolektīvi organizētu aizsardzību pret virkni “sociālo risku vai vajadzību”, piemēram, vecuma pensijas gadījumā pret risku saņemt nepietiekamus ienākumus vecumdienās. Galveno naudas plūsmu sociālās apdrošināšanas shēmā veido “sociālās iemaksas” (iemaksas shēmā) un “sociālie pabalsti” (izmaksas no shēmas).</w:t>
      </w:r>
    </w:p>
    <w:p w14:paraId="13359E9E" w14:textId="77777777" w:rsidR="00994F93" w:rsidRPr="00B03B51" w:rsidRDefault="00994F93" w:rsidP="00994F93">
      <w:pPr>
        <w:jc w:val="both"/>
        <w:rPr>
          <w:rFonts w:ascii="Times New Roman" w:eastAsia="Arial" w:hAnsi="Times New Roman" w:cs="Times New Roman"/>
          <w:noProof/>
          <w:sz w:val="24"/>
          <w:szCs w:val="16"/>
        </w:rPr>
      </w:pPr>
    </w:p>
    <w:p w14:paraId="0B12CF92" w14:textId="77777777" w:rsidR="00994F93" w:rsidRPr="00B03B51" w:rsidRDefault="00994F93" w:rsidP="00994F93">
      <w:pPr>
        <w:pStyle w:val="Heading6"/>
        <w:tabs>
          <w:tab w:val="left" w:pos="1277"/>
        </w:tabs>
        <w:ind w:left="0" w:firstLine="0"/>
        <w:jc w:val="both"/>
        <w:rPr>
          <w:rFonts w:ascii="Times New Roman" w:hAnsi="Times New Roman" w:cs="Times New Roman"/>
          <w:noProof/>
          <w:sz w:val="24"/>
        </w:rPr>
      </w:pPr>
      <w:bookmarkStart w:id="28" w:name="1.3.1.2_Social_assistance"/>
      <w:bookmarkEnd w:id="28"/>
      <w:r w:rsidRPr="00B03B51">
        <w:rPr>
          <w:rFonts w:ascii="Times New Roman" w:hAnsi="Times New Roman" w:cs="Times New Roman"/>
          <w:sz w:val="24"/>
        </w:rPr>
        <w:t>1.3.1.2. SOCIĀLĀ PALĪDZĪBA</w:t>
      </w:r>
    </w:p>
    <w:p w14:paraId="6BB1C20B" w14:textId="77777777" w:rsidR="00994F93" w:rsidRPr="00B03B51" w:rsidRDefault="00994F93" w:rsidP="00994F93">
      <w:pPr>
        <w:tabs>
          <w:tab w:val="left" w:pos="840"/>
        </w:tabs>
        <w:jc w:val="both"/>
        <w:rPr>
          <w:rFonts w:ascii="Times New Roman" w:hAnsi="Times New Roman" w:cs="Times New Roman"/>
          <w:noProof/>
          <w:sz w:val="24"/>
        </w:rPr>
      </w:pPr>
    </w:p>
    <w:p w14:paraId="1D6E0E11" w14:textId="77777777" w:rsidR="00994F93" w:rsidRPr="00B03B51" w:rsidRDefault="00994F93" w:rsidP="00994F93">
      <w:pPr>
        <w:tabs>
          <w:tab w:val="left" w:pos="840"/>
        </w:tabs>
        <w:jc w:val="both"/>
        <w:rPr>
          <w:rFonts w:ascii="Times New Roman" w:eastAsia="Arial" w:hAnsi="Times New Roman" w:cs="Times New Roman"/>
          <w:noProof/>
          <w:sz w:val="24"/>
          <w:szCs w:val="19"/>
        </w:rPr>
      </w:pPr>
      <w:r w:rsidRPr="00B03B51">
        <w:rPr>
          <w:rFonts w:ascii="Times New Roman" w:hAnsi="Times New Roman" w:cs="Times New Roman"/>
          <w:sz w:val="24"/>
        </w:rPr>
        <w:t xml:space="preserve">4. Nacionālajos kontos sociālā apdrošināšana tiek nošķirta no sociālās palīdzības. EKS 2010 noteikts, ka sociālās palīdzības maksājumi paredzēti tam, lai </w:t>
      </w:r>
      <w:r w:rsidRPr="00B03B51">
        <w:rPr>
          <w:rFonts w:ascii="Times New Roman" w:hAnsi="Times New Roman" w:cs="Times New Roman"/>
          <w:i/>
          <w:iCs/>
          <w:sz w:val="24"/>
        </w:rPr>
        <w:t>apmierinātu tās pašas vajadzības, ko apmierina sociālās apdrošināšanas pabalsti, bet tos neizmaksā saskaņā ar sociālās apdrošināšanas shēmu, kurā jāpiedalās, parasti veicot sociālās iemaksas</w:t>
      </w:r>
      <w:r w:rsidRPr="00B03B51">
        <w:rPr>
          <w:rFonts w:ascii="Times New Roman" w:hAnsi="Times New Roman" w:cs="Times New Roman"/>
          <w:sz w:val="24"/>
        </w:rPr>
        <w:t xml:space="preserve"> (skat. EKS 2010 4.105. punktu), un tie </w:t>
      </w:r>
      <w:r w:rsidRPr="00B03B51">
        <w:rPr>
          <w:rFonts w:ascii="Times New Roman" w:hAnsi="Times New Roman" w:cs="Times New Roman"/>
          <w:i/>
          <w:iCs/>
          <w:sz w:val="24"/>
        </w:rPr>
        <w:t>nav atkarīgi no iepriekš veiktām iemaksām un ir vispārīgi saistīti ar pieejamā ienākuma aprēķiniem</w:t>
      </w:r>
      <w:r w:rsidRPr="00B03B51">
        <w:rPr>
          <w:rFonts w:ascii="Times New Roman" w:hAnsi="Times New Roman" w:cs="Times New Roman"/>
          <w:sz w:val="24"/>
        </w:rPr>
        <w:t xml:space="preserve"> (skat. EKS 2010 4.85. punktu).</w:t>
      </w:r>
    </w:p>
    <w:p w14:paraId="221E7593" w14:textId="77777777" w:rsidR="00994F93" w:rsidRPr="00B03B51" w:rsidRDefault="00994F93" w:rsidP="00994F93">
      <w:pPr>
        <w:jc w:val="both"/>
        <w:rPr>
          <w:rFonts w:ascii="Times New Roman" w:eastAsia="Arial" w:hAnsi="Times New Roman" w:cs="Times New Roman"/>
          <w:noProof/>
          <w:sz w:val="24"/>
          <w:szCs w:val="16"/>
        </w:rPr>
      </w:pPr>
    </w:p>
    <w:p w14:paraId="05914240" w14:textId="77777777" w:rsidR="00994F93" w:rsidRPr="00B03B51" w:rsidRDefault="00994F93" w:rsidP="00994F93">
      <w:pPr>
        <w:pStyle w:val="Heading6"/>
        <w:tabs>
          <w:tab w:val="left" w:pos="1277"/>
        </w:tabs>
        <w:ind w:left="0" w:firstLine="0"/>
        <w:jc w:val="both"/>
        <w:rPr>
          <w:rFonts w:ascii="Times New Roman" w:hAnsi="Times New Roman" w:cs="Times New Roman"/>
          <w:noProof/>
          <w:sz w:val="24"/>
        </w:rPr>
      </w:pPr>
      <w:bookmarkStart w:id="29" w:name="1.3.1.3_Unfunded_and_funded_pension_sche"/>
      <w:bookmarkEnd w:id="29"/>
      <w:r w:rsidRPr="00B03B51">
        <w:rPr>
          <w:rFonts w:ascii="Times New Roman" w:hAnsi="Times New Roman" w:cs="Times New Roman"/>
          <w:sz w:val="24"/>
        </w:rPr>
        <w:t>1.3.1.3. NEFONDĒTAS UN FONDĒTAS PENSIJU SHĒMAS</w:t>
      </w:r>
    </w:p>
    <w:p w14:paraId="30A74D6B"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p>
    <w:p w14:paraId="1D51D63E"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5. Apspriežot sociālās apdrošināšanas shēmu uzskaiti, “nefondētās” shēmas jānošķir no “fondētajām” shēmām.</w:t>
      </w:r>
    </w:p>
    <w:p w14:paraId="6794D03A"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p>
    <w:p w14:paraId="53053AC1"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6. Nefondētās shēmas, ko bieži dēvē par “paaudžu solidaritātes shēmām”, ir shēmas, kad par shēmu atbildīgā vienība savos kontos nenorāda vai tikai daļēji norāda nenokārtotās saistības izmaksāt pensijas pabalstus nākotnē. Pensiju pabalsti, kas jāizmaksā gada laikā, galvenokārt tiek finansēti no tajā pašā gadā saņemtajām pensiju iemaksām.</w:t>
      </w:r>
    </w:p>
    <w:p w14:paraId="0AABD75B"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p>
    <w:p w14:paraId="7D717E58"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7. Fondētās pensiju shēmās par shēmu atbildīgā vienība pilnīgi norāda neizmaksātās tiesības uz pensiju. Bilancē tiks iekļauts atsevišķs ieraksts, kurā būs atspoguļotas tiesības uz pensiju. Bilancē tiks norādīti arī līdzekļi, kas paredzēti pensiju pabalstu finansēšanai nākotnē. Gada laikā saņemtās pensiju iemaksas tiks apvienotas ar procentu plūsmu, kas iegūta no ieguldījumiem, lai papildinātu shēmas aktīvo dalībnieku (un to dalībnieku, kuriem atlikta tiesību uz pensiju izmantošana) un pensionāru tiesības uz pensiju. Šādā gadījumā attiecīgi pieaugs īpašajam mērķim paredzētie līdzekļi.</w:t>
      </w:r>
    </w:p>
    <w:p w14:paraId="0608F055"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p>
    <w:p w14:paraId="1FF891D2"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8. Parasti īpašam mērķim paredzētie aktīvi ievērojami pārsniegs tiesību uz pensiju vērtību; šī starpība pastāv kā rezerve, ko var izmantot attiecībā uz iespējamo risku ietekmi (jo īpaši attiecībā uz cenu riskiem finanšu tirgos, procentu likmju izmaiņām vai ilgdzīvošanas risku). Pārraudzības iestādes var noteikt ierobežojumus attiecībā uz šo rezervju minimālo summu.</w:t>
      </w:r>
    </w:p>
    <w:p w14:paraId="1DFEEDD2"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p>
    <w:p w14:paraId="57F66489"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9. Īstermiņa iztrūkumi gadījumos, kad īpašam mērķim paredzēto līdzekļu summa ir mazāka par neizmaksāto tiesību uz pensiju summu (kas var būt palielināta ar obligāto rezervju summu), ne vienmēr apdraud fondētās shēmas klasifikāciju. Fondētas shēmas klasifikācija tiktu saglabāta, ja darba devējs un dažkārt arī aktīvie dalībnieki veiktu papildu pensiju iemaksas un/vai ja pensiju pabalsti tiktu samazināti līdz līmenim, kāds nepieciešams, lai atjaunotu minimālo rezerves līmeni.</w:t>
      </w:r>
    </w:p>
    <w:p w14:paraId="227BAE0B" w14:textId="77777777" w:rsidR="00994F93" w:rsidRPr="00B03B51" w:rsidRDefault="00994F93" w:rsidP="00994F93">
      <w:pPr>
        <w:jc w:val="both"/>
        <w:rPr>
          <w:rFonts w:ascii="Times New Roman" w:hAnsi="Times New Roman" w:cs="Times New Roman"/>
          <w:noProof/>
          <w:sz w:val="24"/>
        </w:rPr>
      </w:pPr>
    </w:p>
    <w:p w14:paraId="7DD0A067"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10. Ja shēmā nav nodrošināti pietiekami līdzekļi, proti, rezerves apmērs samazinās zem obligātā līmeņa vai pat kļūst negatīvs, un darba devējs iegulda shēmā līdzekļus, šis ieguldījums jāieraksta kā darba devēja iemaksa.</w:t>
      </w:r>
    </w:p>
    <w:p w14:paraId="47A68967"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p>
    <w:p w14:paraId="5AF2032B"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11. Sociālās apdrošināšanas shēmas, kas daļēji tiek finansētas ar konkrētu nolūku tā, ka īpašam mērķim paredzētie ieguldījumi ir ievērojami zemāki par shēmas saistībām, klasificē kā nefondētās shēmas.</w:t>
      </w:r>
    </w:p>
    <w:p w14:paraId="11705ECB"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p>
    <w:p w14:paraId="1EF140E1"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12. Nefondētu un fondētu pensiju shēmu dalībniekiem kolektīvi turētie un pārvaldītie aktīvi tieši nepieder (līdzīgi tam, kā kopfondu gadījumā), taču viņiem ir individuālas tiesības uz pensijas vienību (tiesības uz pensiju).</w:t>
      </w:r>
    </w:p>
    <w:p w14:paraId="2852B4E2" w14:textId="77777777" w:rsidR="00994F93" w:rsidRPr="00B03B51" w:rsidRDefault="00994F93" w:rsidP="00994F93">
      <w:pPr>
        <w:jc w:val="both"/>
        <w:rPr>
          <w:rFonts w:ascii="Times New Roman" w:eastAsia="Arial" w:hAnsi="Times New Roman" w:cs="Times New Roman"/>
          <w:noProof/>
          <w:sz w:val="24"/>
          <w:szCs w:val="16"/>
        </w:rPr>
      </w:pPr>
    </w:p>
    <w:p w14:paraId="07F1FDF9" w14:textId="77777777" w:rsidR="00994F93" w:rsidRPr="00B03B51" w:rsidRDefault="00994F93" w:rsidP="00994F93">
      <w:pPr>
        <w:pStyle w:val="Heading6"/>
        <w:tabs>
          <w:tab w:val="left" w:pos="1277"/>
        </w:tabs>
        <w:ind w:left="0" w:firstLine="0"/>
        <w:jc w:val="both"/>
        <w:rPr>
          <w:rFonts w:ascii="Times New Roman" w:hAnsi="Times New Roman" w:cs="Times New Roman"/>
          <w:noProof/>
          <w:sz w:val="24"/>
        </w:rPr>
      </w:pPr>
      <w:bookmarkStart w:id="30" w:name="1.3.1.4_Defined_contribution_and_defined"/>
      <w:bookmarkEnd w:id="30"/>
      <w:r w:rsidRPr="00B03B51">
        <w:rPr>
          <w:rFonts w:ascii="Times New Roman" w:hAnsi="Times New Roman" w:cs="Times New Roman"/>
          <w:sz w:val="24"/>
        </w:rPr>
        <w:t>1.3.1.4. DEFINĒTU IEMAKSU SHĒMAS UN DEFINĒTU PABALSTU SHĒMAS</w:t>
      </w:r>
    </w:p>
    <w:p w14:paraId="69A8F1F3"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p>
    <w:p w14:paraId="1156F5D6"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13. Definētu iemaksu shēmās personas pensijas pabalsti ir atkarīgi no uzkrāto aktīvu vērtības pensionēšanās brīdī vai pēc tās. Līdz ar to individuālām mājsaimniecībām jāuzņemas finanšu risks, kas saistīts ar īpašam mērķim paredzēto aktīvu izpildi, proti, tām nākas saskarties ar neskaidrību par pensijas līmeni nākotnē. Bieži (lai arī ne vienmēr) dalībniekiem shēmā var būt iespēja individuāli izvēlēties savu līdzekļu ieguldīšanas virzienu vienā vai vairākos tirgus segmentos vai ieguldījumu pārvaldnieku.</w:t>
      </w:r>
    </w:p>
    <w:p w14:paraId="5021BE33"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p>
    <w:p w14:paraId="398A91DB"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14. Aktīvu uzkrāšana un piešķiršana individuāliem dalībniekiem notiek ļoti līdzīgi tam, kā tiek veikti ieguldījumi ar kopieguldījumu fonda starpniecību. Parasti shēmas dalībnieki nevar piekļūt saviem uzkrājumiem pirms pensionēšanās, skat. arī EKS 2010 17.54. punktu. Lai attiecībā uz pensiju pabalstiem samazinātu ar finanšu tirgus norisēm saistīto risku, aktīvu komplektu konkrētam dalībniekam vai dalībnieku grupai dažus gadus pirms dalībnieku pensionēšanās var pārnest uz stabilākiem instrumentiem.</w:t>
      </w:r>
    </w:p>
    <w:p w14:paraId="140A448B"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p>
    <w:p w14:paraId="68F454FF"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 xml:space="preserve">15. Parasti definētu iemaksu shēmas ir fondētas shēmas, lai gan var pastāvēt arī nefondētas definētu iemaksu shēmas. Nefondētajās definētu iemaksu shēmās personas pensijas tiesību </w:t>
      </w:r>
      <w:r w:rsidRPr="00B03B51">
        <w:rPr>
          <w:rFonts w:ascii="Times New Roman" w:hAnsi="Times New Roman" w:cs="Times New Roman"/>
          <w:sz w:val="24"/>
        </w:rPr>
        <w:lastRenderedPageBreak/>
        <w:t>apmērs pensionēšanās brīdī tiks aprēķināts, pamatojoties uz finanšu tirgus indeksu.</w:t>
      </w:r>
    </w:p>
    <w:p w14:paraId="006DA5F0"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p>
    <w:p w14:paraId="09839FDD"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16. Definētu pabalstu shēmās pabalsti tiek aprēķināti saskaņā ar īpašu shēmas formulu. Bieži vien šādas formulas galvenie mainīgie ir darba stāžs un algas apmērs (pēdējā alga, vidējā alga). Senāk piešķiramo pabalstu summa bija pilnīgi atkarīga no rezultāta, kas aprēķināts, izmantojot šo formulu, dažkārt apvienojot to ar garantēto minimālo summu. Daudzos gadījumos darba devējam nācās ieguldīt papildu līdzekļus, lai dzēstu shēmas deficītu. Tas nozīmē, ka gadījumā, ja ieguldījumu vērtība bija mazāka par pensiju tiesību summu, kam pieskaitīta rezerve (daļa no rezerves), darba devējam nācās veikt papildu ieguldījumu shēmā.</w:t>
      </w:r>
    </w:p>
    <w:p w14:paraId="19989331"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p>
    <w:p w14:paraId="0D537CBC"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17. Tomēr pēdējos gados darba devēji arvien biežāk atsakās uzņemties pilnīgu atbildību par shēmas papildināšanu vajadzības gadījumā. Attiecīgi ir grozīta shēmas formula un/vai mazināts pensijas beznosacījumu apsolījums shēmas dalībniekiem, proti, pensijas apsolījums atbilstīgi formulai bieži vien tika pārveidots par nosacījuma tiesībām uz pensiju. Līdz ar to formula atspoguļo paredzētās tiesības uz pensiju bez tiesiska spēka attiecībā uz to piemērošanu noteiktos apstākļos (skat. arī EKS 2010 17.57. punktu).</w:t>
      </w:r>
    </w:p>
    <w:p w14:paraId="56E4DD6C"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p>
    <w:p w14:paraId="250F655F"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18. Daudzos gadījumos uzraudzības noteikumos paredzēts, ka šajās definētu pabalstu shēmās īpašam nolūkam paredzēto aktīvu vērtībai ievērojami jāpārsniedz pensiju tiesību vērtība. Šī obligātā rezerve var būt noteikta līmenī, kas augstāks pat par 30 % no pensiju tiesību vērtības. Var šķist, ka definētu pabalstu shēma ir nefondēta shēma. Tomēr atbilstīgi spēkā esošajiem kontu uzskaites noteikumiem nefondēto definēto pabalstu shēmas praktiski nav iespējams iekļaut sabiedrību sektorā; lielākajā daļā piemērojamo kontu uzskaites direktīvu norādīts, ka visām sabiedrību saistībām jābūt iekļautām to bilancē. Līdz ar to nefondētās definētu pabalstu shēmas galvenokārt tiks saistītas ar valdību.</w:t>
      </w:r>
    </w:p>
    <w:p w14:paraId="5AB0A34F"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p>
    <w:p w14:paraId="4575F793"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19. Dažām sociālās apdrošināšanas shēmām piemīt gan definētu iemaksu shēmas, gan definētu pabalstu shēmas iezīmes. Šīs shēmas nacionālajos kontos un valdības finanšu statistikā tiek traktētas kā definētu pabalstu shēmas.</w:t>
      </w:r>
      <w:r w:rsidRPr="00B03B51">
        <w:rPr>
          <w:rStyle w:val="FootnoteReference"/>
          <w:rFonts w:ascii="Times New Roman" w:hAnsi="Times New Roman" w:cs="Times New Roman"/>
          <w:noProof/>
          <w:sz w:val="24"/>
        </w:rPr>
        <w:footnoteReference w:id="61"/>
      </w:r>
    </w:p>
    <w:p w14:paraId="59A78F21" w14:textId="77777777" w:rsidR="00994F93" w:rsidRPr="00B03B51" w:rsidRDefault="00994F93" w:rsidP="00994F93">
      <w:pPr>
        <w:jc w:val="both"/>
        <w:rPr>
          <w:rFonts w:ascii="Times New Roman" w:hAnsi="Times New Roman" w:cs="Times New Roman"/>
          <w:noProof/>
          <w:sz w:val="24"/>
        </w:rPr>
      </w:pPr>
    </w:p>
    <w:p w14:paraId="0C2ABED5" w14:textId="77777777" w:rsidR="00994F93" w:rsidRPr="00B03B51" w:rsidRDefault="00994F93" w:rsidP="00994F93">
      <w:pPr>
        <w:pStyle w:val="Heading3"/>
        <w:tabs>
          <w:tab w:val="left" w:pos="1277"/>
        </w:tabs>
        <w:ind w:left="0" w:firstLine="0"/>
        <w:jc w:val="both"/>
        <w:rPr>
          <w:rFonts w:ascii="Times New Roman" w:hAnsi="Times New Roman" w:cs="Times New Roman"/>
          <w:noProof/>
          <w:sz w:val="24"/>
        </w:rPr>
      </w:pPr>
      <w:bookmarkStart w:id="31" w:name="1.3.2_Treatment_in_national_accounts"/>
      <w:bookmarkStart w:id="32" w:name="_Toc67565025"/>
      <w:bookmarkEnd w:id="31"/>
      <w:r w:rsidRPr="00B03B51">
        <w:rPr>
          <w:rFonts w:ascii="Times New Roman" w:hAnsi="Times New Roman" w:cs="Times New Roman"/>
          <w:sz w:val="24"/>
        </w:rPr>
        <w:t>1.3.2. Traktējums nacionālajos kontos</w:t>
      </w:r>
      <w:bookmarkEnd w:id="32"/>
    </w:p>
    <w:p w14:paraId="5EE79CB0"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p>
    <w:p w14:paraId="7672E553"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20. EKS 2010 sociālā apdrošināšana ir nošķirta no jebkādas citas individuālas aizsardzības pret sociālajiem riskiem vai nodrošinājuma vajadzību apmierināšanai (skatīt EKS 2010 4.84. punktu). Lai individuālu polisi varētu uzskatīt par sociālās apdrošināšanas shēmas daļu, varbūtībām vai apstākļiem, pret ko dalībnieki ir apdrošināti, jāatbilst EKS 2010 noteiktajiem riskiem vai vajadzībām. Turklāt jābūt izpildītam vienam vai vairākiem šādiem nosacījumiem:</w:t>
      </w:r>
    </w:p>
    <w:p w14:paraId="30D495BE" w14:textId="77777777" w:rsidR="00994F93" w:rsidRPr="00B03B51" w:rsidRDefault="00994F93" w:rsidP="00994F93">
      <w:pPr>
        <w:pStyle w:val="BodyText"/>
        <w:tabs>
          <w:tab w:val="left" w:pos="1123"/>
        </w:tabs>
        <w:spacing w:before="0"/>
        <w:ind w:left="0" w:firstLine="0"/>
        <w:jc w:val="both"/>
        <w:rPr>
          <w:rFonts w:ascii="Times New Roman" w:hAnsi="Times New Roman" w:cs="Times New Roman"/>
          <w:noProof/>
          <w:sz w:val="24"/>
        </w:rPr>
      </w:pPr>
    </w:p>
    <w:p w14:paraId="668165C6" w14:textId="77777777" w:rsidR="00994F93" w:rsidRPr="00B03B51" w:rsidRDefault="00994F93" w:rsidP="00994F93">
      <w:pPr>
        <w:pStyle w:val="BodyText"/>
        <w:tabs>
          <w:tab w:val="left" w:pos="1123"/>
        </w:tabs>
        <w:spacing w:before="0"/>
        <w:ind w:left="284" w:firstLine="0"/>
        <w:jc w:val="both"/>
        <w:rPr>
          <w:rFonts w:ascii="Times New Roman" w:hAnsi="Times New Roman" w:cs="Times New Roman"/>
          <w:noProof/>
          <w:sz w:val="24"/>
        </w:rPr>
      </w:pPr>
      <w:r w:rsidRPr="00B03B51">
        <w:rPr>
          <w:rFonts w:ascii="Times New Roman" w:hAnsi="Times New Roman" w:cs="Times New Roman"/>
          <w:sz w:val="24"/>
        </w:rPr>
        <w:t>a) dalība shēmā ir obligāta vai nu saskaņā ar tiesību aktiem, vai arī saskaņā ar darba ņēmēja vai darba ņēmēju grupas nodarbinātības nosacījumiem;</w:t>
      </w:r>
    </w:p>
    <w:p w14:paraId="0D2A4F46" w14:textId="77777777" w:rsidR="00994F93" w:rsidRPr="00B03B51" w:rsidRDefault="00994F93" w:rsidP="00994F93">
      <w:pPr>
        <w:jc w:val="both"/>
        <w:rPr>
          <w:rFonts w:ascii="Times New Roman" w:eastAsia="Arial" w:hAnsi="Times New Roman" w:cs="Times New Roman"/>
          <w:noProof/>
          <w:sz w:val="24"/>
          <w:szCs w:val="26"/>
        </w:rPr>
      </w:pPr>
    </w:p>
    <w:p w14:paraId="2B2FEAF3" w14:textId="77777777" w:rsidR="00994F93" w:rsidRPr="00B03B51" w:rsidRDefault="00994F93" w:rsidP="00994F93">
      <w:pPr>
        <w:pStyle w:val="BodyText"/>
        <w:tabs>
          <w:tab w:val="left" w:pos="1123"/>
        </w:tabs>
        <w:spacing w:before="0"/>
        <w:ind w:left="284" w:firstLine="0"/>
        <w:jc w:val="both"/>
        <w:rPr>
          <w:rFonts w:ascii="Times New Roman" w:hAnsi="Times New Roman" w:cs="Times New Roman"/>
          <w:noProof/>
          <w:sz w:val="24"/>
        </w:rPr>
      </w:pPr>
      <w:r w:rsidRPr="00B03B51">
        <w:rPr>
          <w:rFonts w:ascii="Times New Roman" w:hAnsi="Times New Roman" w:cs="Times New Roman"/>
          <w:sz w:val="24"/>
        </w:rPr>
        <w:t>b) shēma ir kolektīva, to izmanto noteiktas darbinieku, darba ņēmēju, pašnodarbinātu personu vai nenodarbinātu personu grupas labā, un tā paredzēta vienīgi minētās grupas locekļiem;</w:t>
      </w:r>
    </w:p>
    <w:p w14:paraId="685540CB" w14:textId="77777777" w:rsidR="00994F93" w:rsidRPr="00B03B51" w:rsidRDefault="00994F93" w:rsidP="00994F93">
      <w:pPr>
        <w:pStyle w:val="BodyText"/>
        <w:tabs>
          <w:tab w:val="left" w:pos="1123"/>
        </w:tabs>
        <w:spacing w:before="0"/>
        <w:ind w:left="284" w:firstLine="0"/>
        <w:jc w:val="both"/>
        <w:rPr>
          <w:rFonts w:ascii="Times New Roman" w:hAnsi="Times New Roman" w:cs="Times New Roman"/>
          <w:noProof/>
          <w:sz w:val="24"/>
        </w:rPr>
      </w:pPr>
    </w:p>
    <w:p w14:paraId="29A3A7C1" w14:textId="77777777" w:rsidR="00994F93" w:rsidRPr="00B03B51" w:rsidRDefault="00994F93" w:rsidP="00994F93">
      <w:pPr>
        <w:pStyle w:val="BodyText"/>
        <w:tabs>
          <w:tab w:val="left" w:pos="1123"/>
        </w:tabs>
        <w:spacing w:before="0"/>
        <w:ind w:left="284" w:firstLine="0"/>
        <w:jc w:val="both"/>
        <w:rPr>
          <w:rFonts w:ascii="Times New Roman" w:hAnsi="Times New Roman" w:cs="Times New Roman"/>
          <w:noProof/>
          <w:sz w:val="24"/>
        </w:rPr>
      </w:pPr>
      <w:r w:rsidRPr="00B03B51">
        <w:rPr>
          <w:rFonts w:ascii="Times New Roman" w:hAnsi="Times New Roman" w:cs="Times New Roman"/>
          <w:sz w:val="24"/>
        </w:rPr>
        <w:t>c) darba devējs veic (faktisku vai aprēķinātu) iemaksu shēmā darba ņēmēja vārdā neatkarīgi no tā, vai arī darba ņēmējs veic vai neveic iemaksu.</w:t>
      </w:r>
    </w:p>
    <w:p w14:paraId="06676232" w14:textId="77777777" w:rsidR="00994F93" w:rsidRPr="00B03B51" w:rsidRDefault="00994F93" w:rsidP="00994F93">
      <w:pPr>
        <w:jc w:val="both"/>
        <w:rPr>
          <w:rFonts w:ascii="Times New Roman" w:eastAsia="Arial" w:hAnsi="Times New Roman" w:cs="Times New Roman"/>
          <w:noProof/>
          <w:sz w:val="24"/>
          <w:szCs w:val="15"/>
        </w:rPr>
      </w:pPr>
    </w:p>
    <w:p w14:paraId="472ECBCA" w14:textId="77777777" w:rsidR="00994F93" w:rsidRPr="00B03B51" w:rsidRDefault="00994F93" w:rsidP="00994F93">
      <w:pPr>
        <w:pStyle w:val="Heading6"/>
        <w:tabs>
          <w:tab w:val="left" w:pos="1265"/>
          <w:tab w:val="left" w:pos="2444"/>
          <w:tab w:val="left" w:pos="4559"/>
          <w:tab w:val="left" w:pos="5133"/>
          <w:tab w:val="left" w:pos="5836"/>
          <w:tab w:val="left" w:pos="6615"/>
          <w:tab w:val="left" w:pos="8463"/>
          <w:tab w:val="left" w:pos="9194"/>
        </w:tabs>
        <w:ind w:left="0" w:firstLine="0"/>
        <w:jc w:val="both"/>
        <w:rPr>
          <w:rFonts w:ascii="Times New Roman" w:hAnsi="Times New Roman" w:cs="Times New Roman"/>
          <w:noProof/>
          <w:sz w:val="24"/>
        </w:rPr>
      </w:pPr>
      <w:bookmarkStart w:id="33" w:name="1.3.2.1_Sector_classification_of_the_uni"/>
      <w:bookmarkEnd w:id="33"/>
      <w:r w:rsidRPr="00B03B51">
        <w:rPr>
          <w:rFonts w:ascii="Times New Roman" w:hAnsi="Times New Roman" w:cs="Times New Roman"/>
          <w:sz w:val="24"/>
        </w:rPr>
        <w:lastRenderedPageBreak/>
        <w:t>1.3.2.1. PAR SOCIĀLĀS APDROŠINĀŠANAS SHĒMAS PĀRVALDĪBU ATBILDĪGĀS VIENĪBAS SEKTORA KLASIFIKĀCIJA</w:t>
      </w:r>
    </w:p>
    <w:p w14:paraId="694CE3FD"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p>
    <w:p w14:paraId="45D3586C"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21. Sociālās apdrošināšanas institūcijas jāklasificē atbilstīgi to iezīmēm.</w:t>
      </w:r>
    </w:p>
    <w:p w14:paraId="57F3F635" w14:textId="77777777" w:rsidR="00994F93" w:rsidRPr="00B03B51" w:rsidRDefault="00994F93" w:rsidP="00994F93">
      <w:pPr>
        <w:pStyle w:val="BodyText"/>
        <w:tabs>
          <w:tab w:val="left" w:pos="1123"/>
        </w:tabs>
        <w:spacing w:before="0"/>
        <w:ind w:left="0" w:firstLine="0"/>
        <w:jc w:val="both"/>
        <w:rPr>
          <w:rFonts w:ascii="Times New Roman" w:hAnsi="Times New Roman" w:cs="Times New Roman"/>
          <w:noProof/>
          <w:sz w:val="24"/>
        </w:rPr>
      </w:pPr>
    </w:p>
    <w:p w14:paraId="45393A54" w14:textId="77777777" w:rsidR="00994F93" w:rsidRPr="00B03B51" w:rsidRDefault="00994F93" w:rsidP="00994F93">
      <w:pPr>
        <w:pStyle w:val="BodyText"/>
        <w:tabs>
          <w:tab w:val="left" w:pos="1123"/>
        </w:tabs>
        <w:spacing w:before="0"/>
        <w:ind w:left="284" w:firstLine="0"/>
        <w:jc w:val="both"/>
        <w:rPr>
          <w:rFonts w:ascii="Times New Roman" w:hAnsi="Times New Roman" w:cs="Times New Roman"/>
          <w:noProof/>
          <w:sz w:val="24"/>
        </w:rPr>
      </w:pPr>
      <w:r w:rsidRPr="00B03B51">
        <w:rPr>
          <w:rFonts w:ascii="Times New Roman" w:hAnsi="Times New Roman" w:cs="Times New Roman"/>
          <w:sz w:val="24"/>
        </w:rPr>
        <w:t>a) Uzskata, ka valsts pārvaldes vienība ir atbildīga par shēmas pārvaldību un apjomu, ja pienākums piedalīties tajā ir noteikts ar likumu vai īpašiem noteikumiem un valdības vienības finansē un kontrolē galveno plūsmu līmeni, nosakot (vai vismaz apstiprinot) attiecīgos noteikumus. Jāņem vērā, ka pārvaldības, kontroles un finansēšanas pienākums atšķiras no pienākuma, kas valdībai var būt jāveic institūciju uzraudzības jomā, lai nodrošinātu, ka tās tiek vadītas saskaņā ar piesardzības principiem, skat. EKS 2010 4.89. punkta a) apakšpunktu.</w:t>
      </w:r>
    </w:p>
    <w:p w14:paraId="3F7F71A5" w14:textId="77777777" w:rsidR="00994F93" w:rsidRPr="00B03B51" w:rsidRDefault="00994F93" w:rsidP="00994F93">
      <w:pPr>
        <w:pStyle w:val="BodyText"/>
        <w:spacing w:before="0"/>
        <w:ind w:left="284" w:firstLine="0"/>
        <w:jc w:val="both"/>
        <w:rPr>
          <w:rFonts w:ascii="Times New Roman" w:hAnsi="Times New Roman" w:cs="Times New Roman"/>
          <w:noProof/>
          <w:sz w:val="24"/>
        </w:rPr>
      </w:pPr>
    </w:p>
    <w:p w14:paraId="1737AB93" w14:textId="7B2DB500" w:rsidR="00994F93" w:rsidRPr="00B03B51" w:rsidRDefault="00994F93" w:rsidP="00994F93">
      <w:pPr>
        <w:pStyle w:val="BodyText"/>
        <w:spacing w:before="0"/>
        <w:ind w:left="284" w:firstLine="0"/>
        <w:jc w:val="both"/>
        <w:rPr>
          <w:rFonts w:ascii="Times New Roman" w:hAnsi="Times New Roman" w:cs="Times New Roman"/>
          <w:noProof/>
          <w:sz w:val="24"/>
        </w:rPr>
      </w:pPr>
      <w:r w:rsidRPr="00B03B51">
        <w:rPr>
          <w:rFonts w:ascii="Times New Roman" w:hAnsi="Times New Roman" w:cs="Times New Roman"/>
          <w:sz w:val="24"/>
        </w:rPr>
        <w:t>Šādas shēmas kvalificē kā “sociālā nodrošinā</w:t>
      </w:r>
      <w:r w:rsidR="0014508F" w:rsidRPr="00B03B51">
        <w:rPr>
          <w:rFonts w:ascii="Times New Roman" w:hAnsi="Times New Roman" w:cs="Times New Roman"/>
          <w:sz w:val="24"/>
        </w:rPr>
        <w:t>juma</w:t>
      </w:r>
      <w:r w:rsidRPr="00B03B51">
        <w:rPr>
          <w:rFonts w:ascii="Times New Roman" w:hAnsi="Times New Roman" w:cs="Times New Roman"/>
          <w:sz w:val="24"/>
        </w:rPr>
        <w:t xml:space="preserve"> shēmas” (EKS 2010 2.117. punkts un 4.89. punkta a) apakšpunkts). Ja šādas shēmas pārvaldošo valdības struktūrvienību ir iespējams skaidri identificēt, to klasificē apakšsektorā “Sociālā nodrošinā</w:t>
      </w:r>
      <w:r w:rsidR="0020655F" w:rsidRPr="00B03B51">
        <w:rPr>
          <w:rFonts w:ascii="Times New Roman" w:hAnsi="Times New Roman" w:cs="Times New Roman"/>
          <w:sz w:val="24"/>
        </w:rPr>
        <w:t>juma</w:t>
      </w:r>
      <w:r w:rsidRPr="00B03B51">
        <w:rPr>
          <w:rFonts w:ascii="Times New Roman" w:hAnsi="Times New Roman" w:cs="Times New Roman"/>
          <w:sz w:val="24"/>
        </w:rPr>
        <w:t xml:space="preserve"> fondi”. Ja šī struktūrvienība nav atsevišķa (kvazi)institucionāla vienība, tā jāklasificē tajā valdības apakšsektorā, kurā ir klasificēta šo struktūrvienību ietverošā lielākā vienība.</w:t>
      </w:r>
    </w:p>
    <w:p w14:paraId="4DBDD7B4" w14:textId="77777777" w:rsidR="00994F93" w:rsidRPr="00B03B51" w:rsidRDefault="00994F93" w:rsidP="00994F93">
      <w:pPr>
        <w:pStyle w:val="BodyText"/>
        <w:spacing w:before="0"/>
        <w:ind w:left="284" w:firstLine="0"/>
        <w:jc w:val="both"/>
        <w:rPr>
          <w:rFonts w:ascii="Times New Roman" w:hAnsi="Times New Roman" w:cs="Times New Roman"/>
          <w:noProof/>
          <w:sz w:val="24"/>
        </w:rPr>
      </w:pPr>
    </w:p>
    <w:p w14:paraId="0709022A" w14:textId="77777777" w:rsidR="00994F93" w:rsidRPr="00B03B51" w:rsidRDefault="00994F93" w:rsidP="00994F93">
      <w:pPr>
        <w:pStyle w:val="BodyText"/>
        <w:spacing w:before="0"/>
        <w:ind w:left="284" w:firstLine="0"/>
        <w:jc w:val="both"/>
        <w:rPr>
          <w:rFonts w:ascii="Times New Roman" w:hAnsi="Times New Roman" w:cs="Times New Roman"/>
          <w:noProof/>
          <w:sz w:val="24"/>
        </w:rPr>
      </w:pPr>
      <w:r w:rsidRPr="00B03B51">
        <w:rPr>
          <w:rFonts w:ascii="Times New Roman" w:hAnsi="Times New Roman" w:cs="Times New Roman"/>
          <w:sz w:val="24"/>
        </w:rPr>
        <w:t>Šo klasifikāciju piemēro neatkarīgi no tā, vai shēma ir fondēta vai nefondēta shēma. Par nefondētu shēmu bieži vien uzskata valsts pensiju shēmu, kurā pensiju pabalsti parasti pēc būtības ir veidoti saskaņā ar “vienoto likmi” un var būt atkarīgi vienīgi no līdzdalības gadu vai iemaksu veikšanas gadu skaita. Savukārt finansētās definētu iemaksu pensiju shēmas un privātās institūcijas, kas pārvalda shēmas ieguldījumus, netiek klasificētas vispārējās valdības sektorā.</w:t>
      </w:r>
    </w:p>
    <w:p w14:paraId="7FA4BCB4" w14:textId="77777777" w:rsidR="00994F93" w:rsidRPr="00B03B51" w:rsidRDefault="00994F93" w:rsidP="00994F93">
      <w:pPr>
        <w:pStyle w:val="BodyText"/>
        <w:spacing w:before="0"/>
        <w:ind w:left="284" w:firstLine="0"/>
        <w:jc w:val="both"/>
        <w:rPr>
          <w:rFonts w:ascii="Times New Roman" w:hAnsi="Times New Roman" w:cs="Times New Roman"/>
          <w:noProof/>
          <w:sz w:val="24"/>
        </w:rPr>
      </w:pPr>
    </w:p>
    <w:p w14:paraId="6DE82F1D" w14:textId="77777777" w:rsidR="00994F93" w:rsidRPr="00B03B51" w:rsidRDefault="00994F93" w:rsidP="00994F93">
      <w:pPr>
        <w:pStyle w:val="BodyText"/>
        <w:spacing w:before="0"/>
        <w:ind w:left="284" w:firstLine="0"/>
        <w:jc w:val="both"/>
        <w:rPr>
          <w:rFonts w:ascii="Times New Roman" w:hAnsi="Times New Roman" w:cs="Times New Roman"/>
          <w:noProof/>
          <w:sz w:val="24"/>
        </w:rPr>
      </w:pPr>
      <w:r w:rsidRPr="00B03B51">
        <w:rPr>
          <w:rFonts w:ascii="Times New Roman" w:hAnsi="Times New Roman" w:cs="Times New Roman"/>
          <w:sz w:val="24"/>
        </w:rPr>
        <w:t>Finanšu ieguldījumi, kas tiek turēti nefondētajā shēmā (galvenokārt likviditātes rezerve), tiek ierakstīti kā shēmas subjekta aktīvi, nevis pabalsta saņēmēju aktīvi.</w:t>
      </w:r>
    </w:p>
    <w:p w14:paraId="7F6450C2" w14:textId="77777777" w:rsidR="00994F93" w:rsidRPr="00B03B51" w:rsidRDefault="00994F93" w:rsidP="00994F93">
      <w:pPr>
        <w:pStyle w:val="BodyText"/>
        <w:spacing w:before="0"/>
        <w:ind w:left="284" w:firstLine="0"/>
        <w:jc w:val="both"/>
        <w:rPr>
          <w:rFonts w:ascii="Times New Roman" w:hAnsi="Times New Roman" w:cs="Times New Roman"/>
          <w:noProof/>
          <w:sz w:val="24"/>
        </w:rPr>
      </w:pPr>
    </w:p>
    <w:p w14:paraId="467B31F7" w14:textId="0591EA8E" w:rsidR="00994F93" w:rsidRPr="00B03B51" w:rsidRDefault="00994F93" w:rsidP="00994F93">
      <w:pPr>
        <w:pStyle w:val="BodyText"/>
        <w:tabs>
          <w:tab w:val="left" w:pos="1123"/>
        </w:tabs>
        <w:spacing w:before="0"/>
        <w:ind w:left="284" w:firstLine="0"/>
        <w:jc w:val="both"/>
        <w:rPr>
          <w:rFonts w:ascii="Times New Roman" w:hAnsi="Times New Roman" w:cs="Times New Roman"/>
          <w:noProof/>
          <w:sz w:val="24"/>
        </w:rPr>
      </w:pPr>
      <w:r w:rsidRPr="00B03B51">
        <w:rPr>
          <w:rFonts w:ascii="Times New Roman" w:hAnsi="Times New Roman" w:cs="Times New Roman"/>
          <w:sz w:val="24"/>
        </w:rPr>
        <w:t>b) Ar nodarbinātību saistītās sociālās apdrošināšanas shēmas, kas nav sociālā nodrošinā</w:t>
      </w:r>
      <w:r w:rsidR="0020655F" w:rsidRPr="00B03B51">
        <w:rPr>
          <w:rFonts w:ascii="Times New Roman" w:hAnsi="Times New Roman" w:cs="Times New Roman"/>
          <w:sz w:val="24"/>
        </w:rPr>
        <w:t>juma</w:t>
      </w:r>
      <w:r w:rsidRPr="00B03B51">
        <w:rPr>
          <w:rFonts w:ascii="Times New Roman" w:hAnsi="Times New Roman" w:cs="Times New Roman"/>
          <w:sz w:val="24"/>
        </w:rPr>
        <w:t xml:space="preserve"> shēmas (tostarp ierēdņu shēmas), var būt organizētas turpmāk minētajos veidos.</w:t>
      </w:r>
    </w:p>
    <w:p w14:paraId="7F38A492" w14:textId="77777777" w:rsidR="00994F93" w:rsidRPr="00B03B51" w:rsidRDefault="00994F93" w:rsidP="00994F93">
      <w:pPr>
        <w:pStyle w:val="BodyText"/>
        <w:tabs>
          <w:tab w:val="left" w:pos="1123"/>
        </w:tabs>
        <w:spacing w:before="0"/>
        <w:ind w:left="0" w:firstLine="0"/>
        <w:jc w:val="both"/>
        <w:rPr>
          <w:rFonts w:ascii="Times New Roman" w:hAnsi="Times New Roman" w:cs="Times New Roman"/>
          <w:noProof/>
          <w:sz w:val="24"/>
        </w:rPr>
      </w:pPr>
    </w:p>
    <w:p w14:paraId="3B0E7F0F" w14:textId="77777777" w:rsidR="00994F93" w:rsidRPr="00B03B51" w:rsidRDefault="00994F93" w:rsidP="00994F93">
      <w:pPr>
        <w:numPr>
          <w:ilvl w:val="2"/>
          <w:numId w:val="24"/>
        </w:numPr>
        <w:tabs>
          <w:tab w:val="left" w:pos="1409"/>
        </w:tabs>
        <w:ind w:left="709" w:hanging="425"/>
        <w:jc w:val="both"/>
        <w:rPr>
          <w:rFonts w:ascii="Times New Roman" w:hAnsi="Times New Roman" w:cs="Times New Roman"/>
          <w:b/>
          <w:noProof/>
          <w:sz w:val="24"/>
        </w:rPr>
      </w:pPr>
      <w:r w:rsidRPr="00B03B51">
        <w:rPr>
          <w:rFonts w:ascii="Times New Roman" w:hAnsi="Times New Roman" w:cs="Times New Roman"/>
          <w:b/>
          <w:sz w:val="24"/>
        </w:rPr>
        <w:t>Darba devēja vienība</w:t>
      </w:r>
    </w:p>
    <w:p w14:paraId="362D2C68" w14:textId="77777777" w:rsidR="00994F93" w:rsidRPr="00B03B51" w:rsidRDefault="00994F93" w:rsidP="00994F93">
      <w:pPr>
        <w:pStyle w:val="BodyText"/>
        <w:spacing w:before="0"/>
        <w:ind w:left="0" w:firstLine="0"/>
        <w:jc w:val="both"/>
        <w:rPr>
          <w:rFonts w:ascii="Times New Roman" w:hAnsi="Times New Roman" w:cs="Times New Roman"/>
          <w:noProof/>
          <w:sz w:val="24"/>
        </w:rPr>
      </w:pPr>
    </w:p>
    <w:p w14:paraId="7E0D4FF8" w14:textId="77777777" w:rsidR="00994F93" w:rsidRPr="00B03B51" w:rsidRDefault="00994F93" w:rsidP="00994F93">
      <w:pPr>
        <w:pStyle w:val="BodyText"/>
        <w:spacing w:before="0"/>
        <w:ind w:left="709" w:firstLine="0"/>
        <w:jc w:val="both"/>
        <w:rPr>
          <w:rFonts w:ascii="Times New Roman" w:hAnsi="Times New Roman" w:cs="Times New Roman"/>
          <w:noProof/>
          <w:sz w:val="24"/>
        </w:rPr>
      </w:pPr>
      <w:r w:rsidRPr="00B03B51">
        <w:rPr>
          <w:rFonts w:ascii="Times New Roman" w:hAnsi="Times New Roman" w:cs="Times New Roman"/>
          <w:sz w:val="24"/>
        </w:rPr>
        <w:t>Šajā gadījumā darba ņēmējs organizē shēmas tikai saviem darbiniekiem (vai dažkārt tikai kādai to daļai), tieši pārvalda shēmas un ir pilnīgi atbildīgs par visām saistītajām plūsmām (dažas var būt aprēķinātās plūsmas nacionālajos kontos).</w:t>
      </w:r>
    </w:p>
    <w:p w14:paraId="5FC1D427" w14:textId="77777777" w:rsidR="00994F93" w:rsidRPr="00B03B51" w:rsidRDefault="00994F93" w:rsidP="00994F93">
      <w:pPr>
        <w:pStyle w:val="BodyText"/>
        <w:spacing w:before="0"/>
        <w:ind w:left="709" w:firstLine="0"/>
        <w:jc w:val="both"/>
        <w:rPr>
          <w:rFonts w:ascii="Times New Roman" w:hAnsi="Times New Roman" w:cs="Times New Roman"/>
          <w:noProof/>
          <w:sz w:val="24"/>
        </w:rPr>
      </w:pPr>
    </w:p>
    <w:p w14:paraId="29F4CE23" w14:textId="77777777" w:rsidR="00994F93" w:rsidRPr="00B03B51" w:rsidRDefault="00994F93" w:rsidP="00994F93">
      <w:pPr>
        <w:pStyle w:val="BodyText"/>
        <w:spacing w:before="0"/>
        <w:ind w:left="709" w:firstLine="0"/>
        <w:jc w:val="both"/>
        <w:rPr>
          <w:rFonts w:ascii="Times New Roman" w:hAnsi="Times New Roman" w:cs="Times New Roman"/>
          <w:noProof/>
          <w:sz w:val="24"/>
        </w:rPr>
      </w:pPr>
      <w:r w:rsidRPr="00B03B51">
        <w:rPr>
          <w:rFonts w:ascii="Times New Roman" w:hAnsi="Times New Roman" w:cs="Times New Roman"/>
          <w:sz w:val="24"/>
        </w:rPr>
        <w:t>Šīs shēmas kvalificējamas kā “neautonomas darba devēja pensiju shēmas”; ja tās ir fondētas shēmas, tās bieži vien dēvē arī par “grāmatvedības rezervju sistēmu” (skat. EKS 2010 2.106. punktu).</w:t>
      </w:r>
    </w:p>
    <w:p w14:paraId="2F94D2C2" w14:textId="77777777" w:rsidR="00994F93" w:rsidRPr="00B03B51" w:rsidRDefault="00994F93" w:rsidP="00994F93">
      <w:pPr>
        <w:pStyle w:val="BodyText"/>
        <w:spacing w:before="0"/>
        <w:ind w:left="709" w:firstLine="0"/>
        <w:jc w:val="both"/>
        <w:rPr>
          <w:rFonts w:ascii="Times New Roman" w:hAnsi="Times New Roman" w:cs="Times New Roman"/>
          <w:noProof/>
          <w:sz w:val="24"/>
        </w:rPr>
      </w:pPr>
    </w:p>
    <w:p w14:paraId="7B661F3C" w14:textId="77777777" w:rsidR="00994F93" w:rsidRPr="00B03B51" w:rsidRDefault="00994F93" w:rsidP="00994F93">
      <w:pPr>
        <w:pStyle w:val="BodyText"/>
        <w:spacing w:before="0"/>
        <w:ind w:left="709" w:firstLine="0"/>
        <w:jc w:val="both"/>
        <w:rPr>
          <w:rFonts w:ascii="Times New Roman" w:hAnsi="Times New Roman" w:cs="Times New Roman"/>
          <w:noProof/>
          <w:sz w:val="24"/>
        </w:rPr>
      </w:pPr>
      <w:r w:rsidRPr="00B03B51">
        <w:rPr>
          <w:rFonts w:ascii="Times New Roman" w:hAnsi="Times New Roman" w:cs="Times New Roman"/>
          <w:sz w:val="24"/>
        </w:rPr>
        <w:t>Visas plūsmas, aktīvi un saistības tiek iedalītas darba devēja vienībā un sektorā. Proti, šādas shēmas var klasificēt visos institucionālajos sektoros, izņemot mājsaimniecības.</w:t>
      </w:r>
    </w:p>
    <w:p w14:paraId="17C93AEF" w14:textId="77777777" w:rsidR="00994F93" w:rsidRPr="00B03B51" w:rsidRDefault="00994F93" w:rsidP="00994F93">
      <w:pPr>
        <w:pStyle w:val="BodyText"/>
        <w:spacing w:before="0"/>
        <w:ind w:left="709" w:firstLine="0"/>
        <w:jc w:val="both"/>
        <w:rPr>
          <w:rFonts w:ascii="Times New Roman" w:hAnsi="Times New Roman" w:cs="Times New Roman"/>
          <w:noProof/>
          <w:sz w:val="24"/>
        </w:rPr>
      </w:pPr>
    </w:p>
    <w:p w14:paraId="1DE6994D" w14:textId="77777777" w:rsidR="00994F93" w:rsidRPr="00B03B51" w:rsidRDefault="00994F93" w:rsidP="00994F93">
      <w:pPr>
        <w:pStyle w:val="BodyText"/>
        <w:spacing w:before="0"/>
        <w:ind w:left="709" w:firstLine="0"/>
        <w:jc w:val="both"/>
        <w:rPr>
          <w:rFonts w:ascii="Times New Roman" w:hAnsi="Times New Roman" w:cs="Times New Roman"/>
          <w:noProof/>
          <w:sz w:val="24"/>
        </w:rPr>
      </w:pPr>
      <w:r w:rsidRPr="00B03B51">
        <w:rPr>
          <w:rFonts w:ascii="Times New Roman" w:hAnsi="Times New Roman" w:cs="Times New Roman"/>
          <w:sz w:val="24"/>
        </w:rPr>
        <w:t>Vienība, kas pārvalda shēmu valdības darbinieku labā, parasti tiek uzskatīta par atsevišķu (kvazi)institucionālu vienību (atšķirībā no shēmām, kas saistītas ar sabiedrībām), kas jāklasificē kā pensiju fonds (skat. nākamo aizzīmi).</w:t>
      </w:r>
    </w:p>
    <w:p w14:paraId="3293D479" w14:textId="77777777" w:rsidR="00994F93" w:rsidRPr="00B03B51" w:rsidRDefault="00994F93" w:rsidP="00994F93">
      <w:pPr>
        <w:pStyle w:val="BodyText"/>
        <w:spacing w:before="0"/>
        <w:ind w:left="0" w:firstLine="0"/>
        <w:jc w:val="both"/>
        <w:rPr>
          <w:rFonts w:ascii="Times New Roman" w:hAnsi="Times New Roman" w:cs="Times New Roman"/>
          <w:noProof/>
          <w:sz w:val="24"/>
        </w:rPr>
      </w:pPr>
    </w:p>
    <w:p w14:paraId="6C4AF3F4" w14:textId="77777777" w:rsidR="00994F93" w:rsidRPr="00B03B51" w:rsidRDefault="00994F93" w:rsidP="00994F93">
      <w:pPr>
        <w:numPr>
          <w:ilvl w:val="2"/>
          <w:numId w:val="24"/>
        </w:numPr>
        <w:tabs>
          <w:tab w:val="left" w:pos="1409"/>
        </w:tabs>
        <w:ind w:left="709" w:hanging="425"/>
        <w:jc w:val="both"/>
        <w:rPr>
          <w:rFonts w:ascii="Times New Roman" w:hAnsi="Times New Roman" w:cs="Times New Roman"/>
          <w:b/>
          <w:noProof/>
          <w:sz w:val="24"/>
        </w:rPr>
      </w:pPr>
      <w:r w:rsidRPr="00B03B51">
        <w:rPr>
          <w:rFonts w:ascii="Times New Roman" w:hAnsi="Times New Roman" w:cs="Times New Roman"/>
          <w:b/>
          <w:sz w:val="24"/>
        </w:rPr>
        <w:t>Atsevišķa un speciāla vienība (pensiju fonds)</w:t>
      </w:r>
    </w:p>
    <w:p w14:paraId="127DDB38" w14:textId="77777777" w:rsidR="00994F93" w:rsidRPr="00B03B51" w:rsidRDefault="00994F93" w:rsidP="00994F93">
      <w:pPr>
        <w:pStyle w:val="BodyText"/>
        <w:spacing w:before="0"/>
        <w:ind w:left="0" w:firstLine="0"/>
        <w:jc w:val="both"/>
        <w:rPr>
          <w:rFonts w:ascii="Times New Roman" w:hAnsi="Times New Roman" w:cs="Times New Roman"/>
          <w:noProof/>
          <w:sz w:val="24"/>
        </w:rPr>
      </w:pPr>
    </w:p>
    <w:p w14:paraId="014FA553" w14:textId="77777777" w:rsidR="00994F93" w:rsidRPr="00B03B51" w:rsidRDefault="00994F93" w:rsidP="00994F93">
      <w:pPr>
        <w:pStyle w:val="BodyText"/>
        <w:spacing w:before="0"/>
        <w:ind w:left="709" w:firstLine="0"/>
        <w:jc w:val="both"/>
        <w:rPr>
          <w:rFonts w:ascii="Times New Roman" w:hAnsi="Times New Roman" w:cs="Times New Roman"/>
          <w:noProof/>
          <w:sz w:val="24"/>
        </w:rPr>
      </w:pPr>
      <w:r w:rsidRPr="00B03B51">
        <w:rPr>
          <w:rFonts w:ascii="Times New Roman" w:hAnsi="Times New Roman" w:cs="Times New Roman"/>
          <w:sz w:val="24"/>
        </w:rPr>
        <w:lastRenderedPageBreak/>
        <w:t>Ja darba devējs uztur shēmu vienīgi saviem darbiniekiem (vai dažos gadījumos tikai kādai to daļai) vai kopā ar citiem darba devējiem un šo shēmu pārvalda atsevišķs un tam īpaši paredzēts subjekts, kurš neietilpst darba devēja vienībā, šo vienību dēvē par pensiju fondu. Pensiju fonds ir pilnīgi atbildīgs par visām saistītajām plūsmām un uzkrājumiem.</w:t>
      </w:r>
    </w:p>
    <w:p w14:paraId="67861A8C" w14:textId="77777777" w:rsidR="00994F93" w:rsidRPr="00B03B51" w:rsidRDefault="00994F93" w:rsidP="00994F93">
      <w:pPr>
        <w:pStyle w:val="BodyText"/>
        <w:spacing w:before="0"/>
        <w:ind w:left="709" w:firstLine="0"/>
        <w:jc w:val="both"/>
        <w:rPr>
          <w:rFonts w:ascii="Times New Roman" w:hAnsi="Times New Roman" w:cs="Times New Roman"/>
          <w:noProof/>
          <w:sz w:val="24"/>
        </w:rPr>
      </w:pPr>
    </w:p>
    <w:p w14:paraId="1EB54BF2" w14:textId="77777777" w:rsidR="00994F93" w:rsidRPr="00B03B51" w:rsidRDefault="00994F93" w:rsidP="00994F93">
      <w:pPr>
        <w:pStyle w:val="BodyText"/>
        <w:spacing w:before="0"/>
        <w:ind w:left="709" w:firstLine="0"/>
        <w:jc w:val="both"/>
        <w:rPr>
          <w:rFonts w:ascii="Times New Roman" w:hAnsi="Times New Roman" w:cs="Times New Roman"/>
          <w:noProof/>
          <w:sz w:val="24"/>
        </w:rPr>
      </w:pPr>
      <w:r w:rsidRPr="00B03B51">
        <w:rPr>
          <w:rFonts w:ascii="Times New Roman" w:hAnsi="Times New Roman" w:cs="Times New Roman"/>
          <w:sz w:val="24"/>
        </w:rPr>
        <w:t>Šīs shēmas kvalificējamas kā “autonomas darba devēja pensiju shēmas”. Visas plūsmas, aktīvi un saistības ir iedalīti saistītajos pensiju fondos attiecīgajā apakšsektorā (S.129).</w:t>
      </w:r>
    </w:p>
    <w:p w14:paraId="2C2F551D" w14:textId="77777777" w:rsidR="00994F93" w:rsidRPr="00B03B51" w:rsidRDefault="00994F93" w:rsidP="00994F93">
      <w:pPr>
        <w:pStyle w:val="BodyText"/>
        <w:spacing w:before="0"/>
        <w:ind w:left="0" w:firstLine="0"/>
        <w:jc w:val="both"/>
        <w:rPr>
          <w:rFonts w:ascii="Times New Roman" w:hAnsi="Times New Roman" w:cs="Times New Roman"/>
          <w:noProof/>
          <w:sz w:val="24"/>
        </w:rPr>
      </w:pPr>
    </w:p>
    <w:p w14:paraId="2EE0F6FA" w14:textId="77777777" w:rsidR="00994F93" w:rsidRPr="00B03B51" w:rsidRDefault="00994F93" w:rsidP="00994F93">
      <w:pPr>
        <w:numPr>
          <w:ilvl w:val="2"/>
          <w:numId w:val="24"/>
        </w:numPr>
        <w:tabs>
          <w:tab w:val="left" w:pos="1409"/>
        </w:tabs>
        <w:ind w:left="709" w:hanging="425"/>
        <w:jc w:val="both"/>
        <w:rPr>
          <w:rFonts w:ascii="Times New Roman" w:hAnsi="Times New Roman" w:cs="Times New Roman"/>
          <w:b/>
          <w:noProof/>
          <w:sz w:val="24"/>
        </w:rPr>
      </w:pPr>
      <w:r w:rsidRPr="00B03B51">
        <w:rPr>
          <w:rFonts w:ascii="Times New Roman" w:hAnsi="Times New Roman" w:cs="Times New Roman"/>
          <w:b/>
          <w:sz w:val="24"/>
        </w:rPr>
        <w:t>Apdrošinātājs</w:t>
      </w:r>
    </w:p>
    <w:p w14:paraId="076FAC91" w14:textId="77777777" w:rsidR="00994F93" w:rsidRPr="00B03B51" w:rsidRDefault="00994F93" w:rsidP="00994F93">
      <w:pPr>
        <w:pStyle w:val="BodyText"/>
        <w:spacing w:before="0"/>
        <w:ind w:left="0" w:firstLine="0"/>
        <w:jc w:val="both"/>
        <w:rPr>
          <w:rFonts w:ascii="Times New Roman" w:hAnsi="Times New Roman" w:cs="Times New Roman"/>
          <w:noProof/>
          <w:sz w:val="24"/>
        </w:rPr>
      </w:pPr>
    </w:p>
    <w:p w14:paraId="623BDEB0" w14:textId="77777777" w:rsidR="00994F93" w:rsidRPr="00B03B51" w:rsidRDefault="00994F93" w:rsidP="00994F93">
      <w:pPr>
        <w:pStyle w:val="BodyText"/>
        <w:spacing w:before="0"/>
        <w:ind w:left="709" w:firstLine="0"/>
        <w:jc w:val="both"/>
        <w:rPr>
          <w:rFonts w:ascii="Times New Roman" w:hAnsi="Times New Roman" w:cs="Times New Roman"/>
          <w:noProof/>
          <w:sz w:val="24"/>
        </w:rPr>
      </w:pPr>
      <w:r w:rsidRPr="00B03B51">
        <w:rPr>
          <w:rFonts w:ascii="Times New Roman" w:hAnsi="Times New Roman" w:cs="Times New Roman"/>
          <w:sz w:val="24"/>
        </w:rPr>
        <w:t>Šajā gadījumā darba devējs nodrošina shēmu vienīgi saviem darbiniekiem (vai dažos gadījumos to daļai) vai kopā ar citiem darba devējiem, pamatojoties uz apdrošināšanas līgumu ar dzīvības apdrošinātāju, kurš uzņemas pilnu atbildību par visām saistītajām plūsmām un uzkrājumiem. Šīs plūsmas un uzkrājumi ietilpst dzīvības apdrošinātāja plūsmās un uzkrājumos. Visas plūsmas, aktīvi un saistības tiek iekļautas apdrošinātāja sabiedrības apakšsektorā (S.128).</w:t>
      </w:r>
    </w:p>
    <w:p w14:paraId="2DDADFA1" w14:textId="77777777" w:rsidR="00994F93" w:rsidRPr="00B03B51" w:rsidRDefault="00994F93" w:rsidP="00994F93">
      <w:pPr>
        <w:jc w:val="both"/>
        <w:rPr>
          <w:rFonts w:ascii="Times New Roman" w:eastAsia="Arial" w:hAnsi="Times New Roman" w:cs="Times New Roman"/>
          <w:noProof/>
          <w:sz w:val="24"/>
          <w:szCs w:val="25"/>
        </w:rPr>
      </w:pPr>
    </w:p>
    <w:p w14:paraId="40C1E739"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22. Pensiju fondu un dzīvības apdrošinātāju funkcija jānošķir no lielākās daļas citu tādu institūciju klašu funkcijas, kas var nodarboties ar pensiju shēmu pārvaldību darba ņēmēju vārdā.</w:t>
      </w:r>
      <w:r w:rsidRPr="00B03B51">
        <w:rPr>
          <w:rStyle w:val="FootnoteReference"/>
          <w:rFonts w:ascii="Times New Roman" w:hAnsi="Times New Roman" w:cs="Times New Roman"/>
          <w:noProof/>
          <w:sz w:val="24"/>
        </w:rPr>
        <w:footnoteReference w:id="62"/>
      </w:r>
      <w:r w:rsidRPr="00B03B51">
        <w:rPr>
          <w:rFonts w:ascii="Times New Roman" w:hAnsi="Times New Roman" w:cs="Times New Roman"/>
          <w:sz w:val="24"/>
          <w:szCs w:val="12"/>
        </w:rPr>
        <w:t xml:space="preserve"> </w:t>
      </w:r>
      <w:r w:rsidRPr="00B03B51">
        <w:rPr>
          <w:rFonts w:ascii="Times New Roman" w:hAnsi="Times New Roman" w:cs="Times New Roman"/>
          <w:sz w:val="24"/>
        </w:rPr>
        <w:t>Šīs citas institūcijas parasti organizē shēmu, neuzņemoties atbildību par shēmas saistībām – tās nodrošina vienīgi administrēšanu un veic palīgdarbības, tāpēc tās arī atbilstīgi jāklasificē. Jo īpaši šādas darbības veic apdrošinātāji, bankas un speciāli pensiju palīgpakalpojumu sniedzēji. Pats pensijas subjekts jāklasificē atsevišķi. Atkarībā no valsts tiesību aktiem dažkārt šīs citu klašu institūcijas var būt atbildīgas par shēmas saistībām. Pensiju shēmas darījumi jānorāda attiecīgo institūciju institucionālajā sektorā.</w:t>
      </w:r>
    </w:p>
    <w:p w14:paraId="69D05756"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p>
    <w:p w14:paraId="78B37214" w14:textId="5904C052"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23. Pēdējos gados dažas valstis ir izveidojušas fondētas definētu iemaksu pensiju shēmas, attiecībā uz kurām tā nosaka dalības pienākumu vai mudina piedalīties tajās un kurās tā var organizēt iemaksu savākšanu no darba devējiem/darba ņēmējiem/pašnodarbinātām personām un izmaksāt pensijas pabalstus pensionāriem. Valdība var arī noteikt iemaksu līmeni un lemt par piemērojamajiem noteikumiem. Valdība bieži ieguldījumu pārvaldību nodod privātsektora pārvaldniekiem (bankām, apdrošinātājiem un brokeriem). Fondētajās definētu iemaksu pensiju shēmās pensiju pabalsti galvenokārt ir atkarīgi no uzkrātajiem aktīviem. Šādos apstākļos netiek izpildīti visi EKS 2010 noteiktie kritēriji, saskaņā ar kuriem šādas shēmas klasificē kā sociālā nodrošinā</w:t>
      </w:r>
      <w:r w:rsidR="006E0AE3" w:rsidRPr="00B03B51">
        <w:rPr>
          <w:rFonts w:ascii="Times New Roman" w:hAnsi="Times New Roman" w:cs="Times New Roman"/>
          <w:sz w:val="24"/>
        </w:rPr>
        <w:t>juma</w:t>
      </w:r>
      <w:r w:rsidRPr="00B03B51">
        <w:rPr>
          <w:rFonts w:ascii="Times New Roman" w:hAnsi="Times New Roman" w:cs="Times New Roman"/>
          <w:sz w:val="24"/>
        </w:rPr>
        <w:t xml:space="preserve"> shēmas, jo valdība nenosaka pensiju pabalstu līmeni un neveic shēmas “kontroli un finansēšanu”.</w:t>
      </w:r>
    </w:p>
    <w:p w14:paraId="172C626D"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p>
    <w:p w14:paraId="1CC8BE80"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24. Turklāt, ņemot vērā, ka visu ieguldījumu risku uzņemas polišu turētāji/pabalstu saņēmēji, šīs shēmas var pielīdzināt ieguldījumu fondam. Tas nozīmē, ka subjekts, kurš pārvalda šādu pensiju shēmu un veido atsevišķu institucionālu vienību, jāklasificē kā finanšu iestāde atbilstošajā apakšsektorā.</w:t>
      </w:r>
    </w:p>
    <w:p w14:paraId="5C40F23D"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p>
    <w:p w14:paraId="429A01C6" w14:textId="23A83A02"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25. Tas, ka valdība garantē fondētās definētu iemaksu pensiju shēmas pabalstu līmeni, tādējādi uzņemoties daļu riska, nav pietiekams iemesls, lai klasificētu šo shēmu kā sociālā nodroš</w:t>
      </w:r>
      <w:r w:rsidR="00917CDF" w:rsidRPr="00B03B51">
        <w:rPr>
          <w:rFonts w:ascii="Times New Roman" w:hAnsi="Times New Roman" w:cs="Times New Roman"/>
          <w:sz w:val="24"/>
        </w:rPr>
        <w:t>inājuma</w:t>
      </w:r>
      <w:r w:rsidRPr="00B03B51">
        <w:rPr>
          <w:rFonts w:ascii="Times New Roman" w:hAnsi="Times New Roman" w:cs="Times New Roman"/>
          <w:sz w:val="24"/>
        </w:rPr>
        <w:t xml:space="preserve"> shēmu. Šādi to varētu klasificēt tikai tad, ja periodiski vairāku gadu garumā tiek pieprasīts piemērot garantiju un līdz ar to ir skaidrs, ka valdības garantija nav paredzēta izmantošanai ārkārtas vai pārejošos gadījumos. Šāda situācija var motivēt valdību pilnīgi pārņemt kontroli pār shēmu un koriģēt iemaksu un pabalstu līmeņus. Šāda pārklasificēšana var </w:t>
      </w:r>
      <w:r w:rsidRPr="00B03B51">
        <w:rPr>
          <w:rFonts w:ascii="Times New Roman" w:hAnsi="Times New Roman" w:cs="Times New Roman"/>
          <w:sz w:val="24"/>
        </w:rPr>
        <w:lastRenderedPageBreak/>
        <w:t>notikt pirms garantijas izmantošanas pieprasījuma iesniegšanas, ja ir pietiekami pierādījumi tam, ka šāds pieprasījums ir neizbēgams tuvākajā nākotnē. Pārklasificēšanu varētu apsvērt, ja valdības līdzdalība pabalstu izmaksāšanā no fondētās definētu iemaksu shēmas pārsniegtu no pašas shēmas līdzekļiem veikto izmaksu apmēru.</w:t>
      </w:r>
    </w:p>
    <w:p w14:paraId="2942ED2F"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p>
    <w:p w14:paraId="0791FF44"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26. Līdz ar to gadījumā, ja valdība nav izsniegusi garantiju, iemaksu un pabalstu plūsmas šādā fondētā definētu iemaksu pensiju shēmā neieraksta kā valsts ieņēmumus vai izdevumus un šīs plūsmas neietekmē valdības budžeta neto aizdevumu/aizņēmumu (B.9).</w:t>
      </w:r>
    </w:p>
    <w:p w14:paraId="06FA895B" w14:textId="77777777" w:rsidR="00994F93" w:rsidRPr="00B03B51" w:rsidRDefault="00994F93" w:rsidP="00994F93">
      <w:pPr>
        <w:jc w:val="both"/>
        <w:rPr>
          <w:rFonts w:ascii="Times New Roman" w:eastAsia="Arial" w:hAnsi="Times New Roman" w:cs="Times New Roman"/>
          <w:noProof/>
          <w:sz w:val="24"/>
          <w:szCs w:val="16"/>
        </w:rPr>
      </w:pPr>
    </w:p>
    <w:p w14:paraId="54741DA2" w14:textId="77777777" w:rsidR="00994F93" w:rsidRPr="00B03B51" w:rsidRDefault="00994F93" w:rsidP="00994F93">
      <w:pPr>
        <w:pStyle w:val="Heading6"/>
        <w:tabs>
          <w:tab w:val="left" w:pos="1265"/>
        </w:tabs>
        <w:ind w:left="0" w:firstLine="0"/>
        <w:jc w:val="both"/>
        <w:rPr>
          <w:rFonts w:ascii="Times New Roman" w:hAnsi="Times New Roman" w:cs="Times New Roman"/>
          <w:noProof/>
          <w:sz w:val="24"/>
        </w:rPr>
      </w:pPr>
      <w:bookmarkStart w:id="34" w:name="1.3.2.2_Government_guarantee_to_a_funded"/>
      <w:bookmarkEnd w:id="34"/>
      <w:r w:rsidRPr="00B03B51">
        <w:rPr>
          <w:rFonts w:ascii="Times New Roman" w:hAnsi="Times New Roman" w:cs="Times New Roman"/>
          <w:sz w:val="24"/>
        </w:rPr>
        <w:t>1.3.2.2. VALDĪBAS GARANTIJA FONDĒTAJAI SHĒMAI</w:t>
      </w:r>
    </w:p>
    <w:p w14:paraId="05A1A4D3"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p>
    <w:p w14:paraId="253CE561" w14:textId="4BA5F9C6"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27. Pat ja valsts nav atbildīga par tādas shēmas pārvaldību, kas nav klasificēta kā sociālā nodrošinā</w:t>
      </w:r>
      <w:r w:rsidR="002F6A64" w:rsidRPr="00B03B51">
        <w:rPr>
          <w:rFonts w:ascii="Times New Roman" w:hAnsi="Times New Roman" w:cs="Times New Roman"/>
          <w:sz w:val="24"/>
        </w:rPr>
        <w:t>juma</w:t>
      </w:r>
      <w:r w:rsidRPr="00B03B51">
        <w:rPr>
          <w:rFonts w:ascii="Times New Roman" w:hAnsi="Times New Roman" w:cs="Times New Roman"/>
          <w:sz w:val="24"/>
        </w:rPr>
        <w:t xml:space="preserve"> shēma, tā var būt “ļoti ieinteresēta” shēmas ilgtspējā, jo tā ir daļa no valsts sociālās aizsardzības politikas. Valdība var rūpīgi uzraudzīt valdības sektoram nepiederošas pensiju shēmas, lai nodrošinātu, ka neviens sabiedrības loceklis nepaliek bez pienācīgas pensijas.</w:t>
      </w:r>
    </w:p>
    <w:p w14:paraId="2C3892F4"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p>
    <w:p w14:paraId="116A76E1"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28. Šajā saistībā, ja valdība uzskata, ka valdības sektoram nepiederošā pensiju shēmā pastāv nepieņemami augsts nenoteiktības līmenis, piemēram, darbības risku, nepietiekama uzkrāto rezervju līmeņa vai tirgus sabrukuma dēļ, valdība var piešķirt skaidru garantiju, lai aizsargātu dalībniekus. Valdība darbojas kā pēdējās instances maksātājs, lai nodrošinātu, ka pabalsti tiek izmaksāti tādā apmērā, kāds uzskatāms par apmierinošu.</w:t>
      </w:r>
    </w:p>
    <w:p w14:paraId="3C5F6038"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p>
    <w:p w14:paraId="31FB0CF3" w14:textId="33523634"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29. Iepriekš minētajos apstākļos valdības garantija fondētajai shēmai, kas nav klasificēta kā sociālā nodrošinā</w:t>
      </w:r>
      <w:r w:rsidR="008E39A3" w:rsidRPr="00B03B51">
        <w:rPr>
          <w:rFonts w:ascii="Times New Roman" w:hAnsi="Times New Roman" w:cs="Times New Roman"/>
          <w:sz w:val="24"/>
        </w:rPr>
        <w:t>juma</w:t>
      </w:r>
      <w:r w:rsidRPr="00B03B51">
        <w:rPr>
          <w:rFonts w:ascii="Times New Roman" w:hAnsi="Times New Roman" w:cs="Times New Roman"/>
          <w:sz w:val="24"/>
        </w:rPr>
        <w:t xml:space="preserve"> shēma, nenozīmē, ka saņēmēja pensiju shēma būtu jāpārklasificē par sociālā nodrošinā</w:t>
      </w:r>
      <w:r w:rsidR="008E39A3" w:rsidRPr="00B03B51">
        <w:rPr>
          <w:rFonts w:ascii="Times New Roman" w:hAnsi="Times New Roman" w:cs="Times New Roman"/>
          <w:sz w:val="24"/>
        </w:rPr>
        <w:t>juma</w:t>
      </w:r>
      <w:r w:rsidRPr="00B03B51">
        <w:rPr>
          <w:rFonts w:ascii="Times New Roman" w:hAnsi="Times New Roman" w:cs="Times New Roman"/>
          <w:sz w:val="24"/>
        </w:rPr>
        <w:t xml:space="preserve"> shēmu.</w:t>
      </w:r>
    </w:p>
    <w:p w14:paraId="072CA07F"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p>
    <w:p w14:paraId="5615CFEC"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30. Valdības garantija jāuzskata par vienreizēju garantiju (neparedzētu izdevumu saistībām), kas nav ierakstīta nacionālajos kontos kā valdības saistības saskaņā ar vispārējiem EKS 2010 principiem. Šajā ziņā valdība uzņemas tikai potenciālu risku, kas rodas tikai īpašos apstākļos. Līdz ar to valdības izdevumus un ieņēmumus neieraksta tik ilgi, kamēr garantija nav pieprasīta.</w:t>
      </w:r>
    </w:p>
    <w:p w14:paraId="1DD67BE2"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p>
    <w:p w14:paraId="485B5D33" w14:textId="13B71F41"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31. Valdība var atbalstīt shēmu ārkārtas vai pārejošos gadījumos, piemēram, finanšu tirgus īstermiņa satricinājuma gadījumos (kā 1987., 1994. vai 2008. gadā) tā, ka valdības intervence ir ierobežota laika un/vai apjoma ziņā. Tas nenozīmē, ka shēma ir jāpārklasificē par sociālā nodrošinā</w:t>
      </w:r>
      <w:r w:rsidR="00F74657" w:rsidRPr="00B03B51">
        <w:rPr>
          <w:rFonts w:ascii="Times New Roman" w:hAnsi="Times New Roman" w:cs="Times New Roman"/>
          <w:sz w:val="24"/>
        </w:rPr>
        <w:t>juma</w:t>
      </w:r>
      <w:r w:rsidRPr="00B03B51">
        <w:rPr>
          <w:rFonts w:ascii="Times New Roman" w:hAnsi="Times New Roman" w:cs="Times New Roman"/>
          <w:sz w:val="24"/>
        </w:rPr>
        <w:t xml:space="preserve"> shēmu, ja vien valdība nav pārņēmusi kontroli pār shēmu un nav tieši koriģējusi iemaksu un pabalstu apmēru.</w:t>
      </w:r>
    </w:p>
    <w:p w14:paraId="74134E08"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p>
    <w:p w14:paraId="23A58750"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Tas nozīmē, ka sākumā valdības atbalsts neizraisa tūlītēju shēmas pārklasificēšanu, lai arī tas ietekmē valdības budžeta neto aizdevumu/aizņēmumu (B.9).</w:t>
      </w:r>
    </w:p>
    <w:p w14:paraId="2044CC06"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p>
    <w:p w14:paraId="0A53D25B" w14:textId="55033136"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32. Ja valdības atbalsts shēmai nav piešķirts ārkārtēju un pārejošu iemeslu dēļ, bet tiek sniegts regulāri, un to var uzskatīt par pastāvīgu atbalstu, nacionālo kontu speciālistiem ir rūpīgi jāpārbauda, vai valdība nav ieguvusi noteiktu kontroli pār shēmu un vai tādējādi nepastāv nosacījumi tās klasificēšanai par sociālā nodrošinā</w:t>
      </w:r>
      <w:r w:rsidR="00BA569B" w:rsidRPr="00B03B51">
        <w:rPr>
          <w:rFonts w:ascii="Times New Roman" w:hAnsi="Times New Roman" w:cs="Times New Roman"/>
          <w:sz w:val="24"/>
        </w:rPr>
        <w:t>juma</w:t>
      </w:r>
      <w:r w:rsidRPr="00B03B51">
        <w:rPr>
          <w:rFonts w:ascii="Times New Roman" w:hAnsi="Times New Roman" w:cs="Times New Roman"/>
          <w:sz w:val="24"/>
        </w:rPr>
        <w:t xml:space="preserve"> shēmu.</w:t>
      </w:r>
    </w:p>
    <w:p w14:paraId="4CB9AE2C"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p>
    <w:p w14:paraId="0A5BA1E8" w14:textId="1A164722"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33. Fondētās definētu iemaksu shēmas gadījumā šādu pārklasificēšanu par sociālā nodrošinā</w:t>
      </w:r>
      <w:r w:rsidR="00507E3C" w:rsidRPr="00B03B51">
        <w:rPr>
          <w:rFonts w:ascii="Times New Roman" w:hAnsi="Times New Roman" w:cs="Times New Roman"/>
          <w:sz w:val="24"/>
        </w:rPr>
        <w:t>juma</w:t>
      </w:r>
      <w:r w:rsidRPr="00B03B51">
        <w:rPr>
          <w:rFonts w:ascii="Times New Roman" w:hAnsi="Times New Roman" w:cs="Times New Roman"/>
          <w:sz w:val="24"/>
        </w:rPr>
        <w:t xml:space="preserve"> shēmu vajadzētu veikt tikai tad, ja valsts faktiski nodrošinātu pabalstu izmaksu un izmaksātā summa pārsniegtu summu, kura izmaksājama no fondā uzkrātajiem aktīviem.</w:t>
      </w:r>
    </w:p>
    <w:p w14:paraId="785F058A" w14:textId="77777777" w:rsidR="00994F93" w:rsidRPr="00B03B51" w:rsidRDefault="00994F93" w:rsidP="00994F93">
      <w:pPr>
        <w:pStyle w:val="BodyText"/>
        <w:spacing w:before="0"/>
        <w:ind w:left="0" w:firstLine="0"/>
        <w:jc w:val="both"/>
        <w:rPr>
          <w:rFonts w:ascii="Times New Roman" w:hAnsi="Times New Roman" w:cs="Times New Roman"/>
          <w:noProof/>
          <w:sz w:val="24"/>
        </w:rPr>
      </w:pPr>
    </w:p>
    <w:p w14:paraId="70646B2D" w14:textId="679ECA74" w:rsidR="00994F93" w:rsidRPr="00B03B51" w:rsidRDefault="00994F93" w:rsidP="00994F93">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t>Fondētās definētu pabalstu shēmas gadījumā šādu pārklasificēšanu par sociālā nodrošinā</w:t>
      </w:r>
      <w:r w:rsidR="00507E3C" w:rsidRPr="00B03B51">
        <w:rPr>
          <w:rFonts w:ascii="Times New Roman" w:hAnsi="Times New Roman" w:cs="Times New Roman"/>
          <w:sz w:val="24"/>
        </w:rPr>
        <w:t>juma</w:t>
      </w:r>
      <w:r w:rsidRPr="00B03B51">
        <w:rPr>
          <w:rFonts w:ascii="Times New Roman" w:hAnsi="Times New Roman" w:cs="Times New Roman"/>
          <w:sz w:val="24"/>
        </w:rPr>
        <w:t xml:space="preserve"> </w:t>
      </w:r>
      <w:r w:rsidRPr="00B03B51">
        <w:rPr>
          <w:rFonts w:ascii="Times New Roman" w:hAnsi="Times New Roman" w:cs="Times New Roman"/>
          <w:sz w:val="24"/>
        </w:rPr>
        <w:lastRenderedPageBreak/>
        <w:t>shēmu vajadzētu veikt tikai tad, ja valdība faktiski nodrošinātu pabalstu izmaksu par summu, kas pārsniedz 50 % no pensiju aktuārās vērtības no paša fonda resursiem.</w:t>
      </w:r>
    </w:p>
    <w:p w14:paraId="57709ADA" w14:textId="77777777" w:rsidR="00994F93" w:rsidRPr="00B03B51" w:rsidRDefault="00994F93" w:rsidP="00994F93">
      <w:pPr>
        <w:jc w:val="both"/>
        <w:rPr>
          <w:rFonts w:ascii="Times New Roman" w:eastAsia="Arial" w:hAnsi="Times New Roman" w:cs="Times New Roman"/>
          <w:noProof/>
          <w:sz w:val="24"/>
          <w:szCs w:val="20"/>
        </w:rPr>
      </w:pPr>
    </w:p>
    <w:p w14:paraId="15F180A1" w14:textId="77777777" w:rsidR="00994F93" w:rsidRPr="00B03B51" w:rsidRDefault="00994F93" w:rsidP="00994F93">
      <w:pPr>
        <w:pStyle w:val="Heading3"/>
        <w:tabs>
          <w:tab w:val="left" w:pos="1277"/>
        </w:tabs>
        <w:ind w:left="0" w:firstLine="0"/>
        <w:jc w:val="both"/>
        <w:rPr>
          <w:rFonts w:ascii="Times New Roman" w:hAnsi="Times New Roman" w:cs="Times New Roman"/>
          <w:noProof/>
          <w:sz w:val="24"/>
        </w:rPr>
      </w:pPr>
      <w:bookmarkStart w:id="35" w:name="1.3.3_Rationale_of_the_treatment"/>
      <w:bookmarkStart w:id="36" w:name="_Toc67565026"/>
      <w:bookmarkEnd w:id="35"/>
      <w:r w:rsidRPr="00B03B51">
        <w:rPr>
          <w:rFonts w:ascii="Times New Roman" w:hAnsi="Times New Roman" w:cs="Times New Roman"/>
          <w:sz w:val="24"/>
        </w:rPr>
        <w:t>1.3.3. Traktējuma pamatojums</w:t>
      </w:r>
      <w:bookmarkEnd w:id="36"/>
    </w:p>
    <w:p w14:paraId="6CE05563"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p>
    <w:p w14:paraId="753899F1"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34. Pensiju līmenis ir atkarīgs no uzkrāto aktīvu vērtības, kas ir ieguldīti tirgū no fondētās definētu iemaksu shēmas. Līdz ar to valdība nekontrolē individuālo pensiju pabalstu līmeni, jo tā tieši neietekmē aktīvu darbības rezultātus tirgū.</w:t>
      </w:r>
    </w:p>
    <w:p w14:paraId="1776B0CF"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p>
    <w:p w14:paraId="3F69AB39"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35. Visi pensiju fondi, kuros dalībnieki uzņemas finanšu riskus, ir jātraktē vienādi neatkarīgi no tā, vai shēmu pārvaldošā vienība ir valsts vai privāta vienība, kā arī neatkarīgi no shēmas obligātā vai brīvprātīgā rakstura. Tie ir mājsaimniecību uzkrātie ietaupījumi. Aktīvu pārvaldība citu vienību vārdā ir finanšu starpniecība, kas parasti neietilpst valdības funkcijās. Pārvaldot šādas shēmas, valdības darbība nav saistīta ar valsts politikas mērķiem, jo šajā gadījumā valdība darbojas līdzīgi finanšu iestādei.</w:t>
      </w:r>
    </w:p>
    <w:p w14:paraId="53DA821F"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p>
    <w:p w14:paraId="00BEC5FE"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36. Fondētās definētu iemaksu shēmas klasifikācija pārvaldošā subjekta apakšsektorā, bieži vien S125 “apdrošināšanas sabiedrības”, S.128 vai/un “pensiju fondi” (S.129), bet, iespējams, (atkarībā no valsts tiesību aktiem) arī citā (apakš)sektorā, nozīmē to, ka, lai arī nākotnē izmaksājamo pensiju saistības netiek ierakstītas kā valdības saistības, tomēr valdības vērtspapīri, ko pārvaldītājs subjekts tur pensiju shēmas pensiju fonda vārdā, ir pareizi jāieraksta valdības parādā (nekonsolidētā). Šādos apstākļos subjekta pensiju fonda portfeļa struktūra nekādi neietekmē valdības parāda uzskaiti.</w:t>
      </w:r>
    </w:p>
    <w:p w14:paraId="31BE55E0" w14:textId="77777777" w:rsidR="00994F93" w:rsidRPr="00B03B51" w:rsidRDefault="00994F93" w:rsidP="00994F93">
      <w:pPr>
        <w:jc w:val="both"/>
        <w:rPr>
          <w:rFonts w:ascii="Times New Roman" w:eastAsia="Arial" w:hAnsi="Times New Roman" w:cs="Times New Roman"/>
          <w:noProof/>
          <w:sz w:val="24"/>
          <w:szCs w:val="26"/>
        </w:rPr>
      </w:pPr>
    </w:p>
    <w:p w14:paraId="6DF1397B" w14:textId="77777777" w:rsidR="00994F93" w:rsidRPr="00B03B51" w:rsidRDefault="00994F93" w:rsidP="00994F93">
      <w:pPr>
        <w:pStyle w:val="Heading3"/>
        <w:tabs>
          <w:tab w:val="left" w:pos="1265"/>
        </w:tabs>
        <w:ind w:left="0" w:firstLine="0"/>
        <w:jc w:val="both"/>
        <w:rPr>
          <w:rFonts w:ascii="Times New Roman" w:hAnsi="Times New Roman" w:cs="Times New Roman"/>
          <w:noProof/>
          <w:sz w:val="24"/>
        </w:rPr>
      </w:pPr>
      <w:bookmarkStart w:id="37" w:name="1.3.4_Transfer_of_pension_entitlements_f"/>
      <w:bookmarkStart w:id="38" w:name="_Toc67565027"/>
      <w:bookmarkEnd w:id="37"/>
      <w:r w:rsidRPr="00B03B51">
        <w:rPr>
          <w:rFonts w:ascii="Times New Roman" w:hAnsi="Times New Roman" w:cs="Times New Roman"/>
          <w:sz w:val="24"/>
        </w:rPr>
        <w:t>1.3.4. Pensiju tiesību pārvedums no otrā līmeņa</w:t>
      </w:r>
      <w:bookmarkEnd w:id="38"/>
    </w:p>
    <w:p w14:paraId="5A37177C"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p>
    <w:p w14:paraId="0E8CD295"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 xml:space="preserve">37. Dažkārt pensijas, kas uzkrātas otrajā līmenī, kopā ar saistītajiem aktīviem tiek pārvestas uz valsts pensiju sistēmas pirmo līmeni. Šāds pārvedums var būt brīvprātīgs, valdības veicināts vai obligāts. Traktējums būs atkarīgs no šādu pārvedumu iezīmēm to uzsākšanas brīdī, kuras līdz tam nav pilnīgi zināmas, proti, no atsevišķu kontu nozīmes nākotnē, kontu nākotnes vērtības aprēķināšanas u. c. jautājumiem. </w:t>
      </w:r>
      <w:r w:rsidRPr="00B03B51">
        <w:rPr>
          <w:rFonts w:ascii="Times New Roman" w:hAnsi="Times New Roman" w:cs="Times New Roman"/>
          <w:i/>
          <w:iCs/>
          <w:sz w:val="24"/>
        </w:rPr>
        <w:t>Eurostat</w:t>
      </w:r>
      <w:r w:rsidRPr="00B03B51">
        <w:rPr>
          <w:rFonts w:ascii="Times New Roman" w:hAnsi="Times New Roman" w:cs="Times New Roman"/>
          <w:sz w:val="24"/>
        </w:rPr>
        <w:t xml:space="preserve"> un valstu statistikas iestādes divpusēji pārbaudīs ietekmi uz valdības kontiem.</w:t>
      </w:r>
    </w:p>
    <w:p w14:paraId="4B774C22"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p>
    <w:p w14:paraId="3AB0A26C"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38. Sākotnēji tiks ierakstīta identiska nodoto pensiju tiesību un saistīto aktīvu vērtība. Saskaņā ar šo pieņēmumam pārvedumam pēc būtības ir finanšu raksturs. Attiecīgi pārvedums neietekmē valdības neto aizdevumu/aizņēmumu (B.9). Tomēr valdības parāds var tikt netieši ietekmēts, konsolidējot aktīvos ietilpstošās valdības obligācijas.</w:t>
      </w:r>
    </w:p>
    <w:p w14:paraId="2553DC8E" w14:textId="77777777" w:rsidR="00994F93" w:rsidRPr="00B03B51" w:rsidRDefault="00994F93" w:rsidP="00994F93">
      <w:pPr>
        <w:rPr>
          <w:rFonts w:ascii="Times New Roman" w:hAnsi="Times New Roman" w:cs="Times New Roman"/>
          <w:noProof/>
          <w:sz w:val="24"/>
        </w:rPr>
      </w:pPr>
      <w:r w:rsidRPr="00B03B51">
        <w:rPr>
          <w:rFonts w:ascii="Times New Roman" w:hAnsi="Times New Roman" w:cs="Times New Roman"/>
        </w:rPr>
        <w:br w:type="page"/>
      </w:r>
    </w:p>
    <w:p w14:paraId="1D410CD4" w14:textId="77777777" w:rsidR="00994F93" w:rsidRPr="00B03B51" w:rsidRDefault="00994F93" w:rsidP="00994F93">
      <w:pPr>
        <w:jc w:val="both"/>
        <w:rPr>
          <w:rFonts w:ascii="Times New Roman" w:eastAsia="Arial" w:hAnsi="Times New Roman" w:cs="Times New Roman"/>
          <w:noProof/>
          <w:sz w:val="24"/>
          <w:szCs w:val="26"/>
        </w:rPr>
      </w:pPr>
    </w:p>
    <w:p w14:paraId="6395E14D" w14:textId="77777777" w:rsidR="00994F93" w:rsidRPr="00B03B51" w:rsidRDefault="00994F93" w:rsidP="00994F93">
      <w:pPr>
        <w:pStyle w:val="Heading2"/>
        <w:tabs>
          <w:tab w:val="left" w:pos="1277"/>
        </w:tabs>
        <w:spacing w:before="0"/>
        <w:ind w:left="0" w:firstLine="0"/>
        <w:jc w:val="both"/>
        <w:rPr>
          <w:rFonts w:ascii="Times New Roman" w:hAnsi="Times New Roman" w:cs="Times New Roman"/>
          <w:noProof/>
          <w:sz w:val="28"/>
          <w:szCs w:val="44"/>
        </w:rPr>
      </w:pPr>
      <w:bookmarkStart w:id="39" w:name="1.4._Market_regulatory_agencies_in_agric"/>
      <w:bookmarkStart w:id="40" w:name="_bookmark4"/>
      <w:bookmarkStart w:id="41" w:name="_Toc67565028"/>
      <w:bookmarkEnd w:id="39"/>
      <w:bookmarkEnd w:id="40"/>
      <w:r w:rsidRPr="00B03B51">
        <w:rPr>
          <w:rFonts w:ascii="Times New Roman" w:hAnsi="Times New Roman" w:cs="Times New Roman"/>
          <w:sz w:val="28"/>
          <w:szCs w:val="44"/>
        </w:rPr>
        <w:t>1.4. Tirgu regulējošas institūcijas lauksaimniecības nozarē</w:t>
      </w:r>
      <w:bookmarkEnd w:id="41"/>
    </w:p>
    <w:p w14:paraId="07F14156" w14:textId="77777777" w:rsidR="00994F93" w:rsidRPr="00C13305" w:rsidRDefault="00994F93" w:rsidP="005B5080">
      <w:pPr>
        <w:rPr>
          <w:rFonts w:ascii="Times New Roman" w:hAnsi="Times New Roman" w:cs="Times New Roman"/>
          <w:noProof/>
          <w:sz w:val="24"/>
          <w:szCs w:val="24"/>
        </w:rPr>
      </w:pPr>
      <w:bookmarkStart w:id="42" w:name="1.4.1_Background"/>
      <w:bookmarkEnd w:id="42"/>
    </w:p>
    <w:p w14:paraId="4D64251B" w14:textId="77777777" w:rsidR="00994F93" w:rsidRPr="00B03B51" w:rsidRDefault="00994F93" w:rsidP="00994F93">
      <w:pPr>
        <w:pStyle w:val="Heading3"/>
        <w:tabs>
          <w:tab w:val="left" w:pos="1277"/>
        </w:tabs>
        <w:ind w:left="0" w:firstLine="0"/>
        <w:jc w:val="both"/>
        <w:rPr>
          <w:rFonts w:ascii="Times New Roman" w:hAnsi="Times New Roman" w:cs="Times New Roman"/>
          <w:noProof/>
          <w:sz w:val="24"/>
        </w:rPr>
      </w:pPr>
      <w:bookmarkStart w:id="43" w:name="_Toc67565029"/>
      <w:r w:rsidRPr="00B03B51">
        <w:rPr>
          <w:rFonts w:ascii="Times New Roman" w:hAnsi="Times New Roman" w:cs="Times New Roman"/>
          <w:sz w:val="24"/>
        </w:rPr>
        <w:t>1.4.1. Vispārīga informācija</w:t>
      </w:r>
      <w:bookmarkEnd w:id="43"/>
    </w:p>
    <w:p w14:paraId="15F064BD"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p>
    <w:p w14:paraId="425557AA"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 Šajā punktā apspriesta tirgu regulējošu institūciju</w:t>
      </w:r>
      <w:r w:rsidRPr="00B03B51">
        <w:rPr>
          <w:rStyle w:val="FootnoteReference"/>
          <w:rFonts w:ascii="Times New Roman" w:hAnsi="Times New Roman" w:cs="Times New Roman"/>
          <w:noProof/>
          <w:sz w:val="24"/>
        </w:rPr>
        <w:footnoteReference w:id="63"/>
      </w:r>
      <w:r w:rsidRPr="00B03B51">
        <w:rPr>
          <w:rFonts w:ascii="Times New Roman" w:hAnsi="Times New Roman" w:cs="Times New Roman"/>
          <w:sz w:val="24"/>
        </w:rPr>
        <w:t xml:space="preserve"> sektora klasifikācija un to krājumu traktējums, kad šādas institūcijas darbojas lauksaimniecības jomā. Šos noteikumus var piemērot arī attiecībā uz tirgus aģentūrām, kuras iesaistās citos tirgos, piemēram, izejvielu tirgū (Eiropas Savienībā tas pašlaik netiek novērots).</w:t>
      </w:r>
      <w:r w:rsidRPr="00B03B51">
        <w:rPr>
          <w:rStyle w:val="FootnoteReference"/>
          <w:rFonts w:ascii="Times New Roman" w:hAnsi="Times New Roman" w:cs="Times New Roman"/>
          <w:noProof/>
          <w:sz w:val="24"/>
        </w:rPr>
        <w:footnoteReference w:id="64"/>
      </w:r>
    </w:p>
    <w:p w14:paraId="5F10E6A7"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p>
    <w:p w14:paraId="266D82F7"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2. Tās ir valsts aģentūras, kas rīkojas Eiropas Savienības vai citu vienību vārdā, kuras veic gan tirgus, gan resursu pārdales darbības. Tās galvenokārt nodarbojas ar lauksaimniecības produkciju. Institucionālie nosacījumi katrā valstī ir atšķirīgi. Parasti to darbība ietver lauksaimniecības produkcijas iepirkšanu un glabāšanu, tiešo subsīdiju piešķiršanu lauksaimniekiem, nodevu iekasēšanu no ražotājiem un importa, subsīdiju piešķiršanu eksportam, dotāciju piešķiršanu ražošanas līdzekļu iegādei un apkārtējās vides sakārtošanai.</w:t>
      </w:r>
      <w:r w:rsidRPr="00B03B51">
        <w:rPr>
          <w:rStyle w:val="FootnoteReference"/>
          <w:rFonts w:ascii="Times New Roman" w:hAnsi="Times New Roman" w:cs="Times New Roman"/>
          <w:noProof/>
          <w:sz w:val="24"/>
        </w:rPr>
        <w:footnoteReference w:id="65"/>
      </w:r>
    </w:p>
    <w:p w14:paraId="5245FF97"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p>
    <w:p w14:paraId="626B3718"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 xml:space="preserve">3. </w:t>
      </w:r>
      <w:r w:rsidRPr="00B03B51">
        <w:rPr>
          <w:rFonts w:ascii="Times New Roman" w:hAnsi="Times New Roman" w:cs="Times New Roman"/>
          <w:i/>
          <w:iCs/>
          <w:sz w:val="24"/>
        </w:rPr>
        <w:t>Eurostat</w:t>
      </w:r>
      <w:r w:rsidRPr="00B03B51">
        <w:rPr>
          <w:rFonts w:ascii="Times New Roman" w:hAnsi="Times New Roman" w:cs="Times New Roman"/>
          <w:sz w:val="24"/>
        </w:rPr>
        <w:t xml:space="preserve"> 2005. gada lēmumā par to, kā uzskaitāmi pārvedumi ES dalībvalstīm no ES budžeta, noteikts, ka ES pārvedumi nedrīkst ietekmēt valdības neto aizdevumu/aizņēmumu (B.9), jo tiek uzskatīts, ka valdība rīkojas ES “vārdā”. </w:t>
      </w:r>
      <w:r w:rsidRPr="00B03B51">
        <w:rPr>
          <w:rFonts w:ascii="Times New Roman" w:hAnsi="Times New Roman" w:cs="Times New Roman"/>
          <w:i/>
          <w:iCs/>
          <w:sz w:val="24"/>
        </w:rPr>
        <w:t>Eurostat</w:t>
      </w:r>
      <w:r w:rsidRPr="00B03B51">
        <w:rPr>
          <w:rFonts w:ascii="Times New Roman" w:hAnsi="Times New Roman" w:cs="Times New Roman"/>
          <w:sz w:val="24"/>
        </w:rPr>
        <w:t xml:space="preserve"> lēmumā galvenā uzmanība bija veltīta dažu EKS darījumu, piemēram, subsīdiju vai ieguldījuma dotāciju, uzskaitei. Iepriekš jau tika norādīts, ka tirgu regulējošas institūcijas pērk un pārdod produktus lielākoties ES vārdā, lai, veidojot krājumus vai rezerves, stabilizētu cenas. Nacionālo kontu izpratnē vispārējās valdības nav šo krājumu ekonomiskās īpašnieces. Tomēr krājumos veikto izmaiņu nodošana ES (“Pārējā pasaule” (S.2)) nozīmētu to, ka tirgu regulējošo institūciju iepirkumu/realizāciju ieraksta kā eksportu/importu ar ES iestādēm, kas nebūtu lietderīgs risinājums no konceptuālā un uzskaites viedokļa.</w:t>
      </w:r>
      <w:r w:rsidRPr="00B03B51">
        <w:rPr>
          <w:rStyle w:val="FootnoteReference"/>
          <w:rFonts w:ascii="Times New Roman" w:hAnsi="Times New Roman" w:cs="Times New Roman"/>
          <w:noProof/>
          <w:sz w:val="24"/>
        </w:rPr>
        <w:footnoteReference w:id="66"/>
      </w:r>
    </w:p>
    <w:p w14:paraId="462D7B7F" w14:textId="77777777" w:rsidR="00994F93" w:rsidRPr="00B03B51" w:rsidRDefault="00994F93" w:rsidP="00994F93">
      <w:pPr>
        <w:jc w:val="both"/>
        <w:rPr>
          <w:rFonts w:ascii="Times New Roman" w:hAnsi="Times New Roman" w:cs="Times New Roman"/>
          <w:noProof/>
          <w:sz w:val="24"/>
        </w:rPr>
      </w:pPr>
    </w:p>
    <w:p w14:paraId="59E78091" w14:textId="77777777" w:rsidR="00994F93" w:rsidRPr="00B03B51" w:rsidRDefault="00994F93" w:rsidP="00994F93">
      <w:pPr>
        <w:pStyle w:val="Heading3"/>
        <w:tabs>
          <w:tab w:val="left" w:pos="1277"/>
        </w:tabs>
        <w:ind w:left="0" w:firstLine="0"/>
        <w:jc w:val="both"/>
        <w:rPr>
          <w:rFonts w:ascii="Times New Roman" w:hAnsi="Times New Roman" w:cs="Times New Roman"/>
          <w:noProof/>
          <w:sz w:val="24"/>
        </w:rPr>
      </w:pPr>
      <w:bookmarkStart w:id="44" w:name="1.4.2_Treatment_in_national_accounts"/>
      <w:bookmarkStart w:id="45" w:name="_Toc67565030"/>
      <w:bookmarkEnd w:id="44"/>
      <w:r w:rsidRPr="00B03B51">
        <w:rPr>
          <w:rFonts w:ascii="Times New Roman" w:hAnsi="Times New Roman" w:cs="Times New Roman"/>
          <w:sz w:val="24"/>
        </w:rPr>
        <w:t>1.4.2. Traktējums nacionālajos kontos</w:t>
      </w:r>
      <w:bookmarkEnd w:id="45"/>
    </w:p>
    <w:p w14:paraId="213C14D1"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p>
    <w:p w14:paraId="18F75D1C"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4. EKS 2010 20.53.–20.54. punktā ir skaidri nodalītas “tirgu regulējošās organizācijas”, kuras nodarbojas vienīgi vai galvenokārt ar subsīdiju piešķiršanu, un tās, kuras nodarbojas vienīgi vai galvenokārt ar lauksaimniecības vai pārtikas preču pirkšanu, glabāšanu un pārdošanu.</w:t>
      </w:r>
    </w:p>
    <w:p w14:paraId="64BBC413"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p>
    <w:p w14:paraId="125E02FE"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5. Tirgu regulējošās aģentūras, kuras izsniedz subsīdijas, tiek klasificētas vispārējās valdības sektorā (centrālās valdības apakšsektorā). Tirgu regulējošas aģentūras, kuras iesaistītas tirgus darījumos, klasificē nefinanšu sabiedrību sektorā.</w:t>
      </w:r>
    </w:p>
    <w:p w14:paraId="3BA587F1"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p>
    <w:p w14:paraId="585CEED5"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 xml:space="preserve">6. Tomēr tirgu regulējošu aģentūru darbības jomā var ietilpt arī abu iepriekš minēto veidu darbības. Attiecībā uz šādiem gadījumiem EKS 2010 20.54. punktā noteikts, ka aģentūru var </w:t>
      </w:r>
      <w:r w:rsidRPr="00B03B51">
        <w:rPr>
          <w:rFonts w:ascii="Times New Roman" w:hAnsi="Times New Roman" w:cs="Times New Roman"/>
          <w:sz w:val="24"/>
        </w:rPr>
        <w:lastRenderedPageBreak/>
        <w:t>sadalīt divās institucionālās vienībās, un to var darīt, ja ir pierādījumi, kas liecina par to, ka vienas vienības darbības viena daļa būtiski atšķiras no otras daļas (kā tas var būt, piemēram, kvazisabiedrību gadījumā). Šādā gadījumā institucionālo vienību, kas veic tirgus intervences darbības, klasificē nefinanšu sabiedrību sektorā. Otru institucionālo vienību, kas izsniedz subsīdijas, klasificē vispārējās valdības sektorā.</w:t>
      </w:r>
    </w:p>
    <w:p w14:paraId="004349C2"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p>
    <w:p w14:paraId="30714BED"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7. Ja divas atsevišķas institucionālas vienības nav iespējams nošķirt (jo īpaši ar uzskaiti saistītu apsvērumu dēļ vai tādēļ, ka nav skaidra vadības dalījuma), “galvenā darbība” jānosaka saskaņā ar turpmāko noteikumu. Ja šo vienību izmaksas, kas radušās tirgus intervences laikā, salīdzinājumā ar kopējām izmaksām ir mazākas par 80 %, vienības klasificē vispārējās valdības sektorā; ja savukārt to izmaksas, kas radušās tirgus intervences laikā, salīdzinājumā ar kopējām izmaksām ir lielākas par 80 %, tās klasificē nefinanšu sabiedrību sektorā.</w:t>
      </w:r>
    </w:p>
    <w:p w14:paraId="057AA2A3"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p>
    <w:p w14:paraId="4CBDF96B"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8. Radušās izmaksas aprēķina tāpat kā ārpustirgus pakalpojumu produkcijas vērtību, t. i., kā starppatēriņa, darbinieku atalgojuma, pamatkapitāla patēriņa un citu ražošanas nodokļu summu, no kuras atņem citas ražošanas subsīdijas, bet neiekļauj procentu maksājumus (skat. EKS 2010 3.49. punktu).</w:t>
      </w:r>
    </w:p>
    <w:p w14:paraId="2F164C2C" w14:textId="77777777" w:rsidR="00994F93" w:rsidRPr="00B03B51" w:rsidRDefault="00994F93" w:rsidP="00994F93">
      <w:pPr>
        <w:jc w:val="both"/>
        <w:rPr>
          <w:rFonts w:ascii="Times New Roman" w:eastAsia="Arial" w:hAnsi="Times New Roman" w:cs="Times New Roman"/>
          <w:noProof/>
          <w:sz w:val="24"/>
          <w:szCs w:val="25"/>
        </w:rPr>
      </w:pPr>
    </w:p>
    <w:p w14:paraId="057506B6"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9. Šādos gadījumos, kad ES vārdā darbojošās tirgu regulējošas aģentūras (t. i., ES kopējās politikas kontekstā) klasificē kā vispārējo valdību, sabiedrību sektorā (S.11) ir ieteicams izveidot kvazisabiedrību, nevis nosacītu vienību, lai atspoguļotu izmaiņas lauksaimniecības krājumos un izvairītos no šādu izmaiņu ierakstīšanas nacionālajos valdības kontos (kā izmaiņas valsts krājumos, kuras ietekmē valdības budžeta neto aizdevumu/aizņēmumu (B.9)) vai pārējās pasaules kontos (kā eksportu un importu).</w:t>
      </w:r>
    </w:p>
    <w:p w14:paraId="758F159B"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p>
    <w:p w14:paraId="0D3CE2EF"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10. Šādas uzskaites pamatā galvenokārt ir uzskats, ka šādu krājumu ekonomiskā īpašniece ir ES, nevis valsts, un ka tirgu regulējošās aģentūras faktiski rīkojas ES vārdā, proti, ES veic kontroli, kā arī uzņemas ar šādiem krājumiem saistītos riskus un ieguvumus. Šāds traktējums saskan arī ar EKS 2010 minēto vienošanos par tirgu regulējošu aģentūru (S.11) sektora klasifikāciju.</w:t>
      </w:r>
    </w:p>
    <w:p w14:paraId="73DA959B" w14:textId="77777777" w:rsidR="00994F93" w:rsidRPr="00B03B51" w:rsidRDefault="00994F93" w:rsidP="00994F93">
      <w:pPr>
        <w:jc w:val="both"/>
        <w:rPr>
          <w:rFonts w:ascii="Times New Roman" w:eastAsia="Arial" w:hAnsi="Times New Roman" w:cs="Times New Roman"/>
          <w:noProof/>
          <w:sz w:val="24"/>
          <w:szCs w:val="20"/>
        </w:rPr>
      </w:pPr>
    </w:p>
    <w:p w14:paraId="23AA50A6" w14:textId="77777777" w:rsidR="00994F93" w:rsidRPr="00B03B51" w:rsidRDefault="00994F93" w:rsidP="00994F93">
      <w:pPr>
        <w:pStyle w:val="Heading3"/>
        <w:tabs>
          <w:tab w:val="left" w:pos="1277"/>
        </w:tabs>
        <w:ind w:left="0" w:firstLine="0"/>
        <w:jc w:val="both"/>
        <w:rPr>
          <w:rFonts w:ascii="Times New Roman" w:hAnsi="Times New Roman" w:cs="Times New Roman"/>
          <w:noProof/>
          <w:sz w:val="24"/>
        </w:rPr>
      </w:pPr>
      <w:bookmarkStart w:id="46" w:name="1.4.3_Rationale_of_the_treatment"/>
      <w:bookmarkStart w:id="47" w:name="_Toc67565031"/>
      <w:bookmarkEnd w:id="46"/>
      <w:r w:rsidRPr="00B03B51">
        <w:rPr>
          <w:rFonts w:ascii="Times New Roman" w:hAnsi="Times New Roman" w:cs="Times New Roman"/>
          <w:sz w:val="24"/>
        </w:rPr>
        <w:t>1.4.3. Traktējuma pamatojums</w:t>
      </w:r>
      <w:bookmarkEnd w:id="47"/>
    </w:p>
    <w:p w14:paraId="57E4B52A" w14:textId="77777777" w:rsidR="00994F93" w:rsidRPr="00FE5FF3" w:rsidRDefault="00994F93" w:rsidP="00FE5FF3">
      <w:pPr>
        <w:rPr>
          <w:rFonts w:ascii="Times New Roman" w:hAnsi="Times New Roman" w:cs="Times New Roman"/>
          <w:noProof/>
          <w:sz w:val="24"/>
          <w:szCs w:val="24"/>
        </w:rPr>
      </w:pPr>
      <w:bookmarkStart w:id="48" w:name="1.4.3.1_THE_80_%_criteria"/>
      <w:bookmarkEnd w:id="48"/>
    </w:p>
    <w:p w14:paraId="7C06E352" w14:textId="77777777" w:rsidR="00994F93" w:rsidRPr="00B03B51" w:rsidRDefault="00994F93" w:rsidP="00994F93">
      <w:pPr>
        <w:pStyle w:val="Heading6"/>
        <w:tabs>
          <w:tab w:val="left" w:pos="1265"/>
        </w:tabs>
        <w:ind w:left="0" w:firstLine="0"/>
        <w:jc w:val="both"/>
        <w:rPr>
          <w:rFonts w:ascii="Times New Roman" w:hAnsi="Times New Roman" w:cs="Times New Roman"/>
          <w:noProof/>
          <w:sz w:val="24"/>
        </w:rPr>
      </w:pPr>
      <w:r w:rsidRPr="00B03B51">
        <w:rPr>
          <w:rFonts w:ascii="Times New Roman" w:hAnsi="Times New Roman" w:cs="Times New Roman"/>
          <w:sz w:val="24"/>
        </w:rPr>
        <w:t>1.4.3.1. 80 % KRITĒRIJS</w:t>
      </w:r>
    </w:p>
    <w:p w14:paraId="2F4BC38A"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p>
    <w:p w14:paraId="08995DA0"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11. Turpmāk sniegti galvenie iemesli, kāpēc ir noteikta tik augsta robežvērtība “80 %”.</w:t>
      </w:r>
    </w:p>
    <w:p w14:paraId="7EA98A74"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p>
    <w:p w14:paraId="49318158" w14:textId="77777777" w:rsidR="00994F93" w:rsidRPr="00B03B51" w:rsidRDefault="00994F93" w:rsidP="009636AA">
      <w:pPr>
        <w:pStyle w:val="BodyText"/>
        <w:numPr>
          <w:ilvl w:val="1"/>
          <w:numId w:val="23"/>
        </w:numPr>
        <w:spacing w:before="0"/>
        <w:ind w:left="426" w:hanging="425"/>
        <w:jc w:val="both"/>
        <w:rPr>
          <w:rFonts w:ascii="Times New Roman" w:hAnsi="Times New Roman" w:cs="Times New Roman"/>
          <w:noProof/>
          <w:sz w:val="24"/>
        </w:rPr>
      </w:pPr>
      <w:r w:rsidRPr="00B03B51">
        <w:rPr>
          <w:rFonts w:ascii="Times New Roman" w:hAnsi="Times New Roman" w:cs="Times New Roman"/>
          <w:sz w:val="24"/>
        </w:rPr>
        <w:t>Subsīdiju piešķiršana nav “ierasta” uzņēmuma (tirgus ražotāja) darbība.</w:t>
      </w:r>
    </w:p>
    <w:p w14:paraId="0B3BFAE4" w14:textId="77777777" w:rsidR="00994F93" w:rsidRPr="00B03B51" w:rsidRDefault="00994F93" w:rsidP="009636AA">
      <w:pPr>
        <w:pStyle w:val="BodyText"/>
        <w:numPr>
          <w:ilvl w:val="1"/>
          <w:numId w:val="23"/>
        </w:numPr>
        <w:spacing w:before="0"/>
        <w:ind w:left="426" w:hanging="425"/>
        <w:jc w:val="both"/>
        <w:rPr>
          <w:rFonts w:ascii="Times New Roman" w:hAnsi="Times New Roman" w:cs="Times New Roman"/>
          <w:noProof/>
          <w:sz w:val="24"/>
        </w:rPr>
      </w:pPr>
      <w:r w:rsidRPr="00B03B51">
        <w:rPr>
          <w:rFonts w:ascii="Times New Roman" w:hAnsi="Times New Roman" w:cs="Times New Roman"/>
          <w:sz w:val="24"/>
        </w:rPr>
        <w:t>Daudzos gadījumos aģentūra pēc juridiskā statusa ir valsts iestāde.</w:t>
      </w:r>
    </w:p>
    <w:p w14:paraId="1714C237" w14:textId="77777777" w:rsidR="00994F93" w:rsidRPr="00B03B51" w:rsidRDefault="00994F93" w:rsidP="009636AA">
      <w:pPr>
        <w:pStyle w:val="BodyText"/>
        <w:numPr>
          <w:ilvl w:val="1"/>
          <w:numId w:val="23"/>
        </w:numPr>
        <w:spacing w:before="0"/>
        <w:ind w:left="426" w:hanging="425"/>
        <w:jc w:val="both"/>
        <w:rPr>
          <w:rFonts w:ascii="Times New Roman" w:hAnsi="Times New Roman" w:cs="Times New Roman"/>
          <w:noProof/>
          <w:sz w:val="24"/>
        </w:rPr>
      </w:pPr>
      <w:r w:rsidRPr="00B03B51">
        <w:rPr>
          <w:rFonts w:ascii="Times New Roman" w:hAnsi="Times New Roman" w:cs="Times New Roman"/>
          <w:sz w:val="24"/>
        </w:rPr>
        <w:t>Saistībā ar kopējo lauksaimniecības politiku subsīdiju piešķiršana ir ievērojami izplatītāka darbība nekā tirgus intervences pasākumi.</w:t>
      </w:r>
    </w:p>
    <w:p w14:paraId="126B731A" w14:textId="77777777" w:rsidR="00994F93" w:rsidRPr="00B03B51" w:rsidRDefault="00994F93" w:rsidP="009636AA">
      <w:pPr>
        <w:pStyle w:val="BodyText"/>
        <w:numPr>
          <w:ilvl w:val="1"/>
          <w:numId w:val="23"/>
        </w:numPr>
        <w:spacing w:before="0"/>
        <w:ind w:left="426" w:hanging="425"/>
        <w:jc w:val="both"/>
        <w:rPr>
          <w:rFonts w:ascii="Times New Roman" w:hAnsi="Times New Roman" w:cs="Times New Roman"/>
          <w:noProof/>
          <w:sz w:val="24"/>
        </w:rPr>
      </w:pPr>
      <w:r w:rsidRPr="00B03B51">
        <w:rPr>
          <w:rFonts w:ascii="Times New Roman" w:hAnsi="Times New Roman" w:cs="Times New Roman"/>
          <w:sz w:val="24"/>
        </w:rPr>
        <w:t>Ir vajadzīgs tāds traktējums, kas tirgu regulējošo institūciju klasifikācijai nodrošina ilglaicīgu stabilitāti.</w:t>
      </w:r>
    </w:p>
    <w:p w14:paraId="3F2B6BFC" w14:textId="77777777" w:rsidR="00994F93" w:rsidRPr="00B03B51" w:rsidRDefault="00994F93" w:rsidP="00994F93">
      <w:pPr>
        <w:jc w:val="both"/>
        <w:rPr>
          <w:rFonts w:ascii="Times New Roman" w:eastAsia="Arial" w:hAnsi="Times New Roman" w:cs="Times New Roman"/>
          <w:noProof/>
          <w:sz w:val="24"/>
          <w:szCs w:val="15"/>
        </w:rPr>
      </w:pPr>
    </w:p>
    <w:p w14:paraId="7FDA7D95" w14:textId="77777777" w:rsidR="00994F93" w:rsidRPr="00B03B51" w:rsidRDefault="00994F93" w:rsidP="00994F93">
      <w:pPr>
        <w:pStyle w:val="Heading6"/>
        <w:tabs>
          <w:tab w:val="left" w:pos="1265"/>
        </w:tabs>
        <w:ind w:left="0" w:firstLine="0"/>
        <w:jc w:val="both"/>
        <w:rPr>
          <w:rFonts w:ascii="Times New Roman" w:hAnsi="Times New Roman" w:cs="Times New Roman"/>
          <w:noProof/>
          <w:sz w:val="24"/>
        </w:rPr>
      </w:pPr>
      <w:bookmarkStart w:id="49" w:name="1.4.3.2_Economic_ownership_of_the_invent"/>
      <w:bookmarkEnd w:id="49"/>
      <w:r w:rsidRPr="00B03B51">
        <w:rPr>
          <w:rFonts w:ascii="Times New Roman" w:hAnsi="Times New Roman" w:cs="Times New Roman"/>
          <w:sz w:val="24"/>
        </w:rPr>
        <w:t>1.4.3.2. KRĀJUMU EKONOMISKĀS ĪPAŠUMTIESĪBAS</w:t>
      </w:r>
    </w:p>
    <w:p w14:paraId="7C10B190"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p>
    <w:p w14:paraId="2778EC02"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12. Ņemot vērā to, ka tirgu regulējoša aģentūra “rīkojas ES vārdā” un neizmanto šos krājumus savā ražošanas procesā, šī institucionālā vienība nav šādu no tās tirgus intervencēm izrietošo krājumu ekonomiskā īpašniece. Par šādu krājumu ekonomisko īpašnieci ir uzskatāma ES.</w:t>
      </w:r>
    </w:p>
    <w:p w14:paraId="6502C498"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p>
    <w:p w14:paraId="363CDA14"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 xml:space="preserve">13. Tomēr šajā gadījumā nešķiet vēlami vai pamatoti veikt eksporta/importa attiecību uzskaiti </w:t>
      </w:r>
      <w:r w:rsidRPr="00B03B51">
        <w:rPr>
          <w:rFonts w:ascii="Times New Roman" w:hAnsi="Times New Roman" w:cs="Times New Roman"/>
          <w:sz w:val="24"/>
        </w:rPr>
        <w:lastRenderedPageBreak/>
        <w:t>ar ES, jo tas nozīmētu, ka eksporta un importa plūsmas ir jāieraksta ikreiz, kad aģentūra veic pirkumu vai pārdevumu, kā rezultātā tiktu iegūti kopējie rādītāji ar ierobežotu analītisko vērtību. Turklāt regulējošo institūciju tirgus intervences tiek veiktas valsts līmenī, t. i., valstu tirgos, neatkarīgi no tā, ka tās rīkojas ES vārdā.</w:t>
      </w:r>
    </w:p>
    <w:p w14:paraId="57870975"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p>
    <w:p w14:paraId="72829F53"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14. Ir svarīgi analizēt tirgu regulējošo institūciju veidoto krājumu ekonomiskās īpašumtiesības. Saistībā ar valstu intervenci tirgū Komisija uzņemas visus finanšu riskus, tostarp visus zaudējumus, kurus izraisa intervence tirgū, jo ES kopējās lauksaimniecības politikas mērķis šajā jomā ir novērst jebkādas no tirgus intervencēm izrietošās finansiālās sekas ES dalībvalstij. Pretēja situācija rodas arī gadījumā, ja paaugstinās cenas, kad ES dalībvalsts pilnīgi atmaksā Komisijai starpību (peļņa no pārdošanas). Turklāt ES dalībvalsts ir atbildīga par to, lai tiktu veikti visi pasākumi, kas nepieciešami krājumu iekonservēšanai labā stāvoklī, bet vienlaikus tai nav kontroles pār šīm precēm, jo lēmumus par pirkšanu un tālākpārdošanu pieņem ES iestādes.</w:t>
      </w:r>
    </w:p>
    <w:p w14:paraId="18271A7B" w14:textId="77777777" w:rsidR="00994F93" w:rsidRPr="00B03B51" w:rsidRDefault="00994F93" w:rsidP="00994F93">
      <w:pPr>
        <w:jc w:val="both"/>
        <w:rPr>
          <w:rFonts w:ascii="Times New Roman" w:eastAsia="Arial" w:hAnsi="Times New Roman" w:cs="Times New Roman"/>
          <w:noProof/>
          <w:sz w:val="24"/>
          <w:szCs w:val="16"/>
        </w:rPr>
      </w:pPr>
    </w:p>
    <w:p w14:paraId="2F2FA6BE" w14:textId="77777777" w:rsidR="00994F93" w:rsidRPr="00B03B51" w:rsidRDefault="00994F93" w:rsidP="00994F93">
      <w:pPr>
        <w:pStyle w:val="Heading6"/>
        <w:tabs>
          <w:tab w:val="left" w:pos="1265"/>
        </w:tabs>
        <w:ind w:left="0" w:firstLine="0"/>
        <w:jc w:val="both"/>
        <w:rPr>
          <w:rFonts w:ascii="Times New Roman" w:hAnsi="Times New Roman" w:cs="Times New Roman"/>
          <w:noProof/>
          <w:sz w:val="24"/>
        </w:rPr>
      </w:pPr>
      <w:bookmarkStart w:id="50" w:name="1.4.3.3_Classifying_the_inventories_in_t"/>
      <w:bookmarkEnd w:id="50"/>
      <w:r w:rsidRPr="00B03B51">
        <w:rPr>
          <w:rFonts w:ascii="Times New Roman" w:hAnsi="Times New Roman" w:cs="Times New Roman"/>
          <w:sz w:val="24"/>
        </w:rPr>
        <w:t>1.4.3.3. KRĀJUMU KLASIFICĒŠANA KORPORATĪVAJĀ SEKTORĀ</w:t>
      </w:r>
    </w:p>
    <w:p w14:paraId="521C9A7E" w14:textId="77777777" w:rsidR="00994F93" w:rsidRPr="00B03B51" w:rsidRDefault="00994F93" w:rsidP="00994F93">
      <w:pPr>
        <w:jc w:val="both"/>
        <w:rPr>
          <w:rFonts w:ascii="Times New Roman" w:hAnsi="Times New Roman" w:cs="Times New Roman"/>
          <w:b/>
          <w:noProof/>
          <w:sz w:val="24"/>
        </w:rPr>
      </w:pPr>
    </w:p>
    <w:p w14:paraId="2E5FBAF3" w14:textId="77777777" w:rsidR="00994F93" w:rsidRPr="00B03B51" w:rsidRDefault="00994F93" w:rsidP="00994F93">
      <w:pPr>
        <w:jc w:val="both"/>
        <w:rPr>
          <w:rFonts w:ascii="Times New Roman" w:hAnsi="Times New Roman" w:cs="Times New Roman"/>
          <w:b/>
          <w:noProof/>
          <w:sz w:val="24"/>
        </w:rPr>
      </w:pPr>
      <w:r w:rsidRPr="00B03B51">
        <w:rPr>
          <w:rFonts w:ascii="Times New Roman" w:hAnsi="Times New Roman" w:cs="Times New Roman"/>
          <w:b/>
          <w:sz w:val="24"/>
        </w:rPr>
        <w:t>Nosacīta vienība vai kvazisabiedrība</w:t>
      </w:r>
    </w:p>
    <w:p w14:paraId="2993DAB0"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p>
    <w:p w14:paraId="283966AF"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15. Nacionālajos kontos iespējamais risinājums (lai izvairītos no eksporta un importa ierakstīšanas pēc katras krājumu papildināšanas vai samazināšanas) varētu būt šādu lauksaimniecības krājumu (P.52) uzskaites iekļaušana nefinanšu sabiedrību sektorā (S.11). Tas atbilstu argumentam par to, ka vispārējā valdība nav tirgus intervences pasākumos radīto krājumu ekonomiskā īpašniece. Šī pieeja zināmā mērā atbilstu tam, ko nosaka iepriekš minētais EKS 2010 2.114 .punkts.</w:t>
      </w:r>
    </w:p>
    <w:p w14:paraId="3D250BC2"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p>
    <w:p w14:paraId="5140F68E"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16. Iepriekš minētā pieeja nozīmē to, ka būtu jārada mākslīga vienība, lai atspoguļotu darījumus ar krājumiem S.11 sektorā gadījumos, kuros tirgu regulējošās aģentūras ir klasificētas centrālajā valdībā (S.1311).</w:t>
      </w:r>
    </w:p>
    <w:p w14:paraId="443F80B3"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p>
    <w:p w14:paraId="53392812"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17. Viens no iespējamajiem risinājumiem varētu būt ES piederošas nosacītas rezidentvienības atzīšana. Nosacītas rezidentvienības izveidošana šķiet kopumā atbilst EKS 2010 2.29. punktam, kurā paskaidrots, ka pat tad, ja attiecībā uz nosacītām rezidentvienībām tiek uzturēta tikai daļa no kontiem un tām nav lēmumu pieņemšanas autonomijas, saskaņā ar vienošanos tās traktē kā institucionālas vienības. Šāda nosacīta rezidentvienība turētu krājumus, un tiktu uzskatīts, ka tā veic ar tiem darījumus. Tas nozīmē, ka subjekta īpašniece nacionālajos kontos ir ES.</w:t>
      </w:r>
    </w:p>
    <w:p w14:paraId="52C31A99" w14:textId="77777777" w:rsidR="00994F93" w:rsidRPr="00B03B51" w:rsidRDefault="00994F93" w:rsidP="00994F93">
      <w:pPr>
        <w:jc w:val="both"/>
        <w:rPr>
          <w:rFonts w:ascii="Times New Roman" w:eastAsia="Arial" w:hAnsi="Times New Roman" w:cs="Times New Roman"/>
          <w:noProof/>
          <w:sz w:val="24"/>
          <w:szCs w:val="25"/>
        </w:rPr>
      </w:pPr>
    </w:p>
    <w:p w14:paraId="21E0342E"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18. Cita iespēja varētu būt kvazisabiedrības atzīšana nacionālajos kontos ar tādu pašu mērķi kā iepriekš minētās nosacītās rezidentvienības gadījumā (t. i., atspoguļot darījumus ar krājumiem gadījumā, ja tirgu regulējošo aģentūru klasificē centrālās valdības sektorā). Parasti EKS ir pieejams pilnīgs kontu komplekts. Tas netiek garantēts, taču, ciktāl ES atlīdzina zaudējumus, kas izriet no krājumu turēšanas, tiek uzskatīts, ka ir pieejama atbilstoša un vispusīga informācija. Tas nozīmē, ka nacionālajos kontos par subjekta īpašnieci tiek uzskatīta valdība.</w:t>
      </w:r>
    </w:p>
    <w:p w14:paraId="313E7EF6"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p>
    <w:p w14:paraId="45996A53"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19. Ar abiem šiem traktējumiem var izvairīties no tā, ka krājumu iegādes un pārdošanas izmaiņas jāieraksta kā eksports/imports uz ES.</w:t>
      </w:r>
    </w:p>
    <w:p w14:paraId="2990CC84"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p>
    <w:p w14:paraId="3302C00B"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20. Kopumā var secināt, ka S.11 sektorā pastāv divas klasificēšanas iespējas atkarībā no tā, ko uzskata par krājumus turošā subjekta īpašnieku:</w:t>
      </w:r>
    </w:p>
    <w:p w14:paraId="0B8E228B" w14:textId="77777777" w:rsidR="00994F93" w:rsidRPr="00B03B51" w:rsidRDefault="00994F93" w:rsidP="00994F93">
      <w:pPr>
        <w:jc w:val="both"/>
        <w:rPr>
          <w:rFonts w:ascii="Times New Roman" w:eastAsia="Arial" w:hAnsi="Times New Roman" w:cs="Times New Roman"/>
          <w:noProof/>
          <w:sz w:val="24"/>
          <w:szCs w:val="25"/>
        </w:rPr>
      </w:pPr>
    </w:p>
    <w:p w14:paraId="66CFD8FA" w14:textId="77777777" w:rsidR="00994F93" w:rsidRPr="00B03B51" w:rsidRDefault="00994F93" w:rsidP="00994F93">
      <w:pPr>
        <w:pStyle w:val="BodyText"/>
        <w:spacing w:before="0"/>
        <w:ind w:left="284" w:firstLine="0"/>
        <w:jc w:val="both"/>
        <w:rPr>
          <w:rFonts w:ascii="Times New Roman" w:hAnsi="Times New Roman" w:cs="Times New Roman"/>
          <w:noProof/>
          <w:sz w:val="24"/>
        </w:rPr>
      </w:pPr>
      <w:r w:rsidRPr="00B03B51">
        <w:rPr>
          <w:rFonts w:ascii="Times New Roman" w:hAnsi="Times New Roman" w:cs="Times New Roman"/>
          <w:b/>
          <w:sz w:val="24"/>
        </w:rPr>
        <w:lastRenderedPageBreak/>
        <w:t>1. iespēja</w:t>
      </w:r>
      <w:r w:rsidRPr="00B03B51">
        <w:rPr>
          <w:rFonts w:ascii="Times New Roman" w:hAnsi="Times New Roman" w:cs="Times New Roman"/>
          <w:sz w:val="24"/>
        </w:rPr>
        <w:t> – kvazisabiedrības atzīšana, kas nozīmē, ka valsts pārvalde ir struktūras īpašniece, vai</w:t>
      </w:r>
    </w:p>
    <w:p w14:paraId="4EC3EEA6" w14:textId="77777777" w:rsidR="00994F93" w:rsidRPr="00B03B51" w:rsidRDefault="00994F93" w:rsidP="00994F93">
      <w:pPr>
        <w:pStyle w:val="BodyText"/>
        <w:spacing w:before="0"/>
        <w:ind w:left="284" w:firstLine="0"/>
        <w:jc w:val="both"/>
        <w:rPr>
          <w:rFonts w:ascii="Times New Roman" w:hAnsi="Times New Roman" w:cs="Times New Roman"/>
          <w:b/>
          <w:noProof/>
          <w:sz w:val="24"/>
        </w:rPr>
      </w:pPr>
    </w:p>
    <w:p w14:paraId="4DA72B7F" w14:textId="77777777" w:rsidR="00994F93" w:rsidRPr="00B03B51" w:rsidRDefault="00994F93" w:rsidP="00994F93">
      <w:pPr>
        <w:pStyle w:val="BodyText"/>
        <w:spacing w:before="0"/>
        <w:ind w:left="284" w:firstLine="0"/>
        <w:jc w:val="both"/>
        <w:rPr>
          <w:rFonts w:ascii="Times New Roman" w:hAnsi="Times New Roman" w:cs="Times New Roman"/>
          <w:noProof/>
          <w:sz w:val="24"/>
        </w:rPr>
      </w:pPr>
      <w:r w:rsidRPr="00B03B51">
        <w:rPr>
          <w:rFonts w:ascii="Times New Roman" w:hAnsi="Times New Roman" w:cs="Times New Roman"/>
          <w:b/>
          <w:bCs/>
          <w:sz w:val="24"/>
        </w:rPr>
        <w:t>2 .iespēja</w:t>
      </w:r>
      <w:r w:rsidRPr="00B03B51">
        <w:rPr>
          <w:rFonts w:ascii="Times New Roman" w:hAnsi="Times New Roman" w:cs="Times New Roman"/>
          <w:sz w:val="24"/>
        </w:rPr>
        <w:t> – nosacītas vienības atzīšana, kas nozīmē, ka subjekta īpašnieks ir pārējā pasaule (</w:t>
      </w:r>
      <w:r w:rsidRPr="00B03B51">
        <w:rPr>
          <w:rFonts w:ascii="Times New Roman" w:hAnsi="Times New Roman" w:cs="Times New Roman"/>
          <w:i/>
          <w:iCs/>
          <w:sz w:val="24"/>
        </w:rPr>
        <w:t>RoW</w:t>
      </w:r>
      <w:r w:rsidRPr="00B03B51">
        <w:rPr>
          <w:rFonts w:ascii="Times New Roman" w:hAnsi="Times New Roman" w:cs="Times New Roman"/>
          <w:sz w:val="24"/>
        </w:rPr>
        <w:t>).</w:t>
      </w:r>
    </w:p>
    <w:p w14:paraId="213C9522" w14:textId="77777777" w:rsidR="00994F93" w:rsidRPr="00B03B51" w:rsidRDefault="00994F93" w:rsidP="00994F93">
      <w:pPr>
        <w:jc w:val="both"/>
        <w:rPr>
          <w:rFonts w:ascii="Times New Roman" w:eastAsia="Arial" w:hAnsi="Times New Roman" w:cs="Times New Roman"/>
          <w:noProof/>
          <w:sz w:val="24"/>
          <w:szCs w:val="17"/>
        </w:rPr>
      </w:pPr>
    </w:p>
    <w:p w14:paraId="2C3205B4" w14:textId="77777777" w:rsidR="00994F93" w:rsidRPr="00B03B51" w:rsidRDefault="00994F93" w:rsidP="00994F93">
      <w:pPr>
        <w:pStyle w:val="Heading6"/>
        <w:tabs>
          <w:tab w:val="left" w:pos="1265"/>
        </w:tabs>
        <w:ind w:left="0" w:firstLine="0"/>
        <w:jc w:val="both"/>
        <w:rPr>
          <w:rFonts w:ascii="Times New Roman" w:hAnsi="Times New Roman" w:cs="Times New Roman"/>
          <w:noProof/>
          <w:sz w:val="24"/>
        </w:rPr>
      </w:pPr>
      <w:bookmarkStart w:id="51" w:name="1.4.3.4_Net_worth_of_general_government"/>
      <w:bookmarkEnd w:id="51"/>
      <w:r w:rsidRPr="00B03B51">
        <w:rPr>
          <w:rFonts w:ascii="Times New Roman" w:hAnsi="Times New Roman" w:cs="Times New Roman"/>
          <w:sz w:val="24"/>
        </w:rPr>
        <w:t>1.4.3.4. VISPĀRĒJĀS VALDĪBAS NETO VĒRTĪBA</w:t>
      </w:r>
    </w:p>
    <w:p w14:paraId="1611A7C1"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p>
    <w:p w14:paraId="3E5D5707"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21. Ņemot vērā uzskatu, ka krājumi pieder ES, ir svarīgi noteikt, vai izmaiņas subjekta pašu līdzekļos, ko izraisa krājumu peļņa un zaudējumi pēc tirgus vērtības (kas vienā periodā var būt lielāka nekā citā periodā), ietekmētu vispārējās valdības neto vērtību vai pārējās pasaules neto vērtību, vai arī neietekmētu nevienu no tām.</w:t>
      </w:r>
    </w:p>
    <w:p w14:paraId="1DE07F10"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p>
    <w:p w14:paraId="48774248"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22. Ir svarīgi noteikt, vai kvazisabiedrība vai nosacītā vienība nodrošinātu atšķirīgu vai ļoti atšķirīgu peļņu no vispārējās valdības neto vērtības viedokļa. Sākotnēji var secināt, ka rezultāts būs atšķirīgs, ciktāl tas attiecas uz ES neto vērtību. Nosacītas vienības gadījumā to ietekmē krājumu peļņa un zaudējumi, savukārt kvazisabiedrības gadījumā tā nenotiek.</w:t>
      </w:r>
    </w:p>
    <w:p w14:paraId="2236AA36"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p>
    <w:p w14:paraId="262C9C3B"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23. Ja aģentūra ir valdības dibināts subjekts, tad var pastāvēt kāda pašu kapitāla saikne, kas atspoguļosies kā vispārējās valdības aktīvs, ja aģentūra tiek klasificēta ārpus vispārējās valdības. Tomēr izmaiņas krājumu cenā nevajadzētu atspoguļot subjekta pašu kapitāla vērtībā (t. i., tās nevajadzētu atspoguļot valdības aktīva cenā), jo saskaņā ar definīciju attiecībā uz valdību šāda peļņa un zaudējumi neuzkrājas, bet gan tos pēc tam nodod ES vai arī kompensēs ar ES subsīdijām. Tādējādi būtībā peļņa un zaudējumi vispirms nozīmētu, ka ES vajadzētu būt konkrētiem kreditoru/debitoru parādiem, kā rezultātā institūcijas pašu līdzekļiem būtu jāpaliek bez izmaiņām.</w:t>
      </w:r>
    </w:p>
    <w:p w14:paraId="18724945"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p>
    <w:p w14:paraId="73719AA1"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 xml:space="preserve">24. EKS noteikts, ka </w:t>
      </w:r>
      <w:r w:rsidRPr="00B03B51">
        <w:rPr>
          <w:rFonts w:ascii="Times New Roman" w:hAnsi="Times New Roman" w:cs="Times New Roman"/>
          <w:i/>
          <w:iCs/>
          <w:sz w:val="24"/>
        </w:rPr>
        <w:t>pašu līdzekļi</w:t>
      </w:r>
      <w:r w:rsidRPr="00B03B51">
        <w:rPr>
          <w:rFonts w:ascii="Times New Roman" w:hAnsi="Times New Roman" w:cs="Times New Roman"/>
          <w:sz w:val="24"/>
        </w:rPr>
        <w:t xml:space="preserve"> ir vienību neto aktīvi, kuros nav iekļautas pašu kapitāla saistības, turpretī </w:t>
      </w:r>
      <w:r w:rsidRPr="00B03B51">
        <w:rPr>
          <w:rFonts w:ascii="Times New Roman" w:hAnsi="Times New Roman" w:cs="Times New Roman"/>
          <w:i/>
          <w:iCs/>
          <w:sz w:val="24"/>
        </w:rPr>
        <w:t>neto vērtība</w:t>
      </w:r>
      <w:r w:rsidRPr="00B03B51">
        <w:rPr>
          <w:rFonts w:ascii="Times New Roman" w:hAnsi="Times New Roman" w:cs="Times New Roman"/>
          <w:sz w:val="24"/>
        </w:rPr>
        <w:t xml:space="preserve"> ir vienību neto aktīvi, kuros ir iekļautas pašu kapitāla saistības. Līdz ar to </w:t>
      </w:r>
      <w:r w:rsidRPr="00B03B51">
        <w:rPr>
          <w:rFonts w:ascii="Times New Roman" w:hAnsi="Times New Roman" w:cs="Times New Roman"/>
          <w:i/>
          <w:iCs/>
          <w:sz w:val="24"/>
        </w:rPr>
        <w:t>neto vērtību</w:t>
      </w:r>
      <w:r w:rsidRPr="00B03B51">
        <w:rPr>
          <w:rFonts w:ascii="Times New Roman" w:hAnsi="Times New Roman" w:cs="Times New Roman"/>
          <w:sz w:val="24"/>
        </w:rPr>
        <w:t xml:space="preserve"> iegūst, ja no </w:t>
      </w:r>
      <w:r w:rsidRPr="00B03B51">
        <w:rPr>
          <w:rFonts w:ascii="Times New Roman" w:hAnsi="Times New Roman" w:cs="Times New Roman"/>
          <w:i/>
          <w:iCs/>
          <w:sz w:val="24"/>
        </w:rPr>
        <w:t>pašu līdzekļu</w:t>
      </w:r>
      <w:r w:rsidRPr="00B03B51">
        <w:rPr>
          <w:rFonts w:ascii="Times New Roman" w:hAnsi="Times New Roman" w:cs="Times New Roman"/>
          <w:sz w:val="24"/>
        </w:rPr>
        <w:t xml:space="preserve"> vērtības atņem pašu kapitāla saistību vērtību (t. i., emitēto pašu kapitālu). Skat. EKS 2010 7.02. un 7.06. punktu. Līdz ar to EKS neto vērtību nedrīkst jaukt ar daļu turētāju pašu kapitāla vai neto vērtības jēdzienu, kurš tiek piemērots uzņēmumu grāmatvedībā. Faktiski uzņēmumu grāmatvedībā piemērotais neto vērtības jēdziens vairāk atbilst EKS piemērotajam pašu līdzekļu jēdzienam.</w:t>
      </w:r>
    </w:p>
    <w:p w14:paraId="68460607"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p>
    <w:p w14:paraId="616217FA"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25. Tomēr kopumā kreditoru/debitoru parādu atspoguļošanas laiks izriet arī no laika, kad ir ierakstīta subsīdija, kuras uzskaite ir īpaši reglamentēta EKS.</w:t>
      </w:r>
    </w:p>
    <w:p w14:paraId="0B3EBF12"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p>
    <w:p w14:paraId="0134C293"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26. Šis subsīdiju ierakstīšanas laiks visticamāk ietekmēs aģentūras pašu līdzekļus. Tomēr būtībā tam nevajadzētu ietekmēt aģentūras pašu kapitāla vērtību. Ja pati aģentūra ir jāpārdod, tās novērtējums nebūs atkarīgs no tās krājumu vērtības, jo ES ir pienākums segt zaudējumus, tiklīdz tie radīsies, un arī aģentūrai ir pienākums atdot peļņu ES.</w:t>
      </w:r>
    </w:p>
    <w:p w14:paraId="60193B3F"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p>
    <w:p w14:paraId="4302C26B"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27. Attiecīgi peļņai un zaudējumiem no krājumiem visos gadījumos (nosacīta vienība vai kvazisabiedrība) ir jābūt neitrāliem attiecībā uz vispārējās valdības neto vērtību, pat ja tie ir neitrāli arī attiecībā uz ES neto vērtību (kvazisabiedrība). Tādējādi turēšanas guvumi un zaudējumi no tirgus regulatīvās aģentūras krājumiem ietekmē tikai nefinanšu sabiedrību (S.11) neto vērtību, kamēr tiek gaidīta ar debitoru/kreditoru parādiem saistītās subsīdijas atzīšana.</w:t>
      </w:r>
    </w:p>
    <w:p w14:paraId="5BE962B4"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p>
    <w:p w14:paraId="237C7972"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 xml:space="preserve">28. Tomēr tas nozīmē, ka kvazisabiedrības pašu kapitāla novērtējumam ir jāatbilst finansējumam, kas sniegts līdz tam, un tā vērtība nevar būt vienāda ar tās pašu līdzekļiem; </w:t>
      </w:r>
      <w:r w:rsidRPr="00B03B51">
        <w:rPr>
          <w:rFonts w:ascii="Times New Roman" w:hAnsi="Times New Roman" w:cs="Times New Roman"/>
          <w:sz w:val="24"/>
        </w:rPr>
        <w:lastRenderedPageBreak/>
        <w:t>tādējādi vienības neto vērtība būs vai nu pozitīva, vai negatīva, lai gan tikai īsos laika posmos, nerealizētās vai neatzītās un līdz ar to vēl nekompensētās vai ES neatdotās peļņas un zaudējumu no krājumiem dēļ. Šādas atkāpes tomēr var uzskatīt par pamatotu tuvinājumu saskaņā ar vienošanos, atbilstoši kurai kvazisabiedrības neto vērtībai jābūt vienādai ar nulli (EKS 2010 7.09. punkts).</w:t>
      </w:r>
    </w:p>
    <w:p w14:paraId="794BCD06" w14:textId="77777777" w:rsidR="00994F93" w:rsidRPr="00B03B51" w:rsidRDefault="00994F93" w:rsidP="00994F93">
      <w:pPr>
        <w:jc w:val="both"/>
        <w:rPr>
          <w:rFonts w:ascii="Times New Roman" w:eastAsia="Arial" w:hAnsi="Times New Roman" w:cs="Times New Roman"/>
          <w:noProof/>
          <w:sz w:val="24"/>
          <w:szCs w:val="16"/>
        </w:rPr>
      </w:pPr>
    </w:p>
    <w:p w14:paraId="6C054B60" w14:textId="77777777" w:rsidR="00994F93" w:rsidRPr="00B03B51" w:rsidRDefault="00994F93" w:rsidP="00994F93">
      <w:pPr>
        <w:pStyle w:val="Heading6"/>
        <w:tabs>
          <w:tab w:val="left" w:pos="1265"/>
        </w:tabs>
        <w:ind w:left="0" w:firstLine="0"/>
        <w:jc w:val="both"/>
        <w:rPr>
          <w:rFonts w:ascii="Times New Roman" w:hAnsi="Times New Roman" w:cs="Times New Roman"/>
          <w:noProof/>
          <w:sz w:val="24"/>
        </w:rPr>
      </w:pPr>
      <w:bookmarkStart w:id="52" w:name="1.4.3.5_Valuation_of_transactions_in_inv"/>
      <w:bookmarkEnd w:id="52"/>
      <w:r w:rsidRPr="00B03B51">
        <w:rPr>
          <w:rFonts w:ascii="Times New Roman" w:hAnsi="Times New Roman" w:cs="Times New Roman"/>
          <w:sz w:val="24"/>
        </w:rPr>
        <w:t>1.4.3.5. DARĪJUMU AR KRĀJUMIEM NOVĒRTĒŠANA</w:t>
      </w:r>
    </w:p>
    <w:p w14:paraId="222986CE"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p>
    <w:p w14:paraId="2E255A17"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29. Saistībā ar nosacītām vai kvazisabiedrības vienībām ar tirgus intervencēm saistītie darījumi nacionālajos kontos jāieraksta, piemērojot EKS 2010 4.33. un 4.35. punktu. Šie EKS punkti joprojām būtu piemērojami attiecībā uz nosacīto vai kvazisabiedrību vienību gadījumiem.</w:t>
      </w:r>
    </w:p>
    <w:p w14:paraId="69FDE23E" w14:textId="77777777" w:rsidR="00994F93" w:rsidRPr="00B03B51" w:rsidRDefault="00994F93" w:rsidP="00994F93">
      <w:pPr>
        <w:jc w:val="both"/>
        <w:rPr>
          <w:rFonts w:ascii="Times New Roman" w:eastAsia="Arial" w:hAnsi="Times New Roman" w:cs="Times New Roman"/>
          <w:noProof/>
          <w:sz w:val="24"/>
          <w:szCs w:val="25"/>
        </w:rPr>
      </w:pPr>
    </w:p>
    <w:p w14:paraId="4BDD6613"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30. Tālākpārdošanas darījuma vērtībā jāiekļauj ES subsīdija. Tādējādi izmaiņas krājumos ar laiku mēdz kompensēties. ES veiktā atmaksa atbilst starpībai starp pirkuma un tālākpārdevuma cenām, un nacionālajos kontos to atspoguļo kā ES izmaksātās subsīdijas.</w:t>
      </w:r>
    </w:p>
    <w:p w14:paraId="07A1C2EB" w14:textId="77777777" w:rsidR="00994F93" w:rsidRPr="00B03B51" w:rsidRDefault="00994F93" w:rsidP="00994F93">
      <w:pPr>
        <w:jc w:val="both"/>
        <w:rPr>
          <w:rFonts w:ascii="Times New Roman" w:eastAsia="Arial" w:hAnsi="Times New Roman" w:cs="Times New Roman"/>
          <w:noProof/>
          <w:sz w:val="24"/>
          <w:szCs w:val="17"/>
        </w:rPr>
      </w:pPr>
    </w:p>
    <w:p w14:paraId="63BF66F1" w14:textId="77777777" w:rsidR="00994F93" w:rsidRPr="00B03B51" w:rsidRDefault="00994F93" w:rsidP="00994F93">
      <w:pPr>
        <w:pStyle w:val="Heading6"/>
        <w:tabs>
          <w:tab w:val="left" w:pos="1265"/>
        </w:tabs>
        <w:ind w:left="0" w:firstLine="0"/>
        <w:jc w:val="both"/>
        <w:rPr>
          <w:rFonts w:ascii="Times New Roman" w:hAnsi="Times New Roman" w:cs="Times New Roman"/>
          <w:noProof/>
          <w:sz w:val="24"/>
        </w:rPr>
      </w:pPr>
      <w:bookmarkStart w:id="53" w:name="1.4.3.6_Accounting_treatment_in_the_fina"/>
      <w:bookmarkEnd w:id="53"/>
      <w:r w:rsidRPr="00B03B51">
        <w:rPr>
          <w:rFonts w:ascii="Times New Roman" w:hAnsi="Times New Roman" w:cs="Times New Roman"/>
          <w:sz w:val="24"/>
        </w:rPr>
        <w:t>1.4.3.6. GRĀMATVEDĪBAS TRAKTĒJUMS FINANŠU KONTOS</w:t>
      </w:r>
    </w:p>
    <w:p w14:paraId="40DD26E2"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p>
    <w:p w14:paraId="7F298530"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31. Turpmāk ir izklāstīts tas, kā finanšu kontos ierakstāma saistība starp nosacītu vai kvazisabiedrības vienību, no vienas puses, un ES un/vai valdību, no otras puses.</w:t>
      </w:r>
    </w:p>
    <w:p w14:paraId="76E78183"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p>
    <w:p w14:paraId="2A608131"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 xml:space="preserve">32. Ja piemēro </w:t>
      </w:r>
      <w:r w:rsidRPr="00B03B51">
        <w:rPr>
          <w:rFonts w:ascii="Times New Roman" w:hAnsi="Times New Roman" w:cs="Times New Roman"/>
          <w:b/>
          <w:bCs/>
          <w:sz w:val="24"/>
        </w:rPr>
        <w:t>nosacītas vienības pieeju</w:t>
      </w:r>
      <w:r w:rsidRPr="00B03B51">
        <w:rPr>
          <w:rFonts w:ascii="Times New Roman" w:hAnsi="Times New Roman" w:cs="Times New Roman"/>
          <w:sz w:val="24"/>
        </w:rPr>
        <w:t>, ierakstīšanu veic šādi: ieraksta ES pašu kapitāla iegādi (F.5), kam jāatbilst ES aizņēmumam (F.4) no subjekta, kurš finansē tirgu regulējošās aģentūras (kas nereti ir pati valdība). Tas nozīmētu pašreizējās uzskaites mainīšanu pārējās pasaules finanšu kontos.</w:t>
      </w:r>
    </w:p>
    <w:p w14:paraId="5348FF5B"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p>
    <w:p w14:paraId="327915A2"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 xml:space="preserve">33. Ja piemēro </w:t>
      </w:r>
      <w:r w:rsidRPr="00B03B51">
        <w:rPr>
          <w:rFonts w:ascii="Times New Roman" w:hAnsi="Times New Roman" w:cs="Times New Roman"/>
          <w:b/>
          <w:bCs/>
          <w:sz w:val="24"/>
        </w:rPr>
        <w:t>kvazisabiedrības pieeju</w:t>
      </w:r>
      <w:r w:rsidRPr="00B03B51">
        <w:rPr>
          <w:rFonts w:ascii="Times New Roman" w:hAnsi="Times New Roman" w:cs="Times New Roman"/>
          <w:sz w:val="24"/>
        </w:rPr>
        <w:t>, pārējās pasaules kontos ierakstus neveic, jo darījumiem ar pašu kapitālu kvazisabiedrības saistību pusē ir ekvivalents ieraksts valdības kontos.</w:t>
      </w:r>
    </w:p>
    <w:p w14:paraId="6A3FBDF1"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p>
    <w:p w14:paraId="2A66BB71"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 xml:space="preserve">34. Tādējādi abos gadījumos neto izmaiņas krājumos, kurus </w:t>
      </w:r>
      <w:r w:rsidRPr="00B03B51">
        <w:rPr>
          <w:rFonts w:ascii="Times New Roman" w:hAnsi="Times New Roman" w:cs="Times New Roman"/>
          <w:i/>
          <w:iCs/>
          <w:sz w:val="24"/>
        </w:rPr>
        <w:t>de facto</w:t>
      </w:r>
      <w:r w:rsidRPr="00B03B51">
        <w:rPr>
          <w:rFonts w:ascii="Times New Roman" w:hAnsi="Times New Roman" w:cs="Times New Roman"/>
          <w:sz w:val="24"/>
        </w:rPr>
        <w:t xml:space="preserve"> finansējis valdības sektorā esošs subjekts (aizņemoties no trešām pusēm vai izmantojot savus apgrozāmos līdzekļus), ieraksta vispārējās valdības finanšu kontos, nevis nefinanšu kontos, kā citkārt būtu jārīkojas šajā gadījumā (saskaņā ar izmaiņām krājumos – P.52) vai nu kā darījumu ar pašu kapitālu (F.5 – kvazisabiedrības gadījumā), vai kā aizdevumus ES (F.4 – nosacītas vienības gadījumā).</w:t>
      </w:r>
    </w:p>
    <w:p w14:paraId="42319F50"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p>
    <w:p w14:paraId="04B9A1EC"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35. Teorētiska nosacītas vienības priekšrocība salīdzinājumā ar kvazisabiedrību ir ES patieso ekonomisko īpašumtiesību atspoguļošana. Tomēr galvenais nosacītas vienības pieejas trūkums ir tas, ka ieraksti jāveic pārējās pasaules (</w:t>
      </w:r>
      <w:r w:rsidRPr="00B03B51">
        <w:rPr>
          <w:rFonts w:ascii="Times New Roman" w:hAnsi="Times New Roman" w:cs="Times New Roman"/>
          <w:i/>
          <w:iCs/>
          <w:sz w:val="24"/>
        </w:rPr>
        <w:t>RoW</w:t>
      </w:r>
      <w:r w:rsidRPr="00B03B51">
        <w:rPr>
          <w:rFonts w:ascii="Times New Roman" w:hAnsi="Times New Roman" w:cs="Times New Roman"/>
          <w:sz w:val="24"/>
        </w:rPr>
        <w:t>) finanšu kontos, kuri pat nepastāv, ja regulējošās institūcijas vienību vispirms klasificē ārpus vispārējās valdības. Tādējādi šķiet, ka nosacītas rezidentvienības pieeja rada acīmredzami nevienlīdzīgu traktējumu starp tām tirgu regulējošajām institūcijām, kuras ir klasificētas vispārējā valdībā, un tām tirgu regulējošajām institūcijām, kuras ir klasificētas ārpus vispārējās valdības. Tas, šķiet, ir pretrunā nepieciešamībai nodrošināt vienveidīgu traktējumu visās ES dalībvalstīs.</w:t>
      </w:r>
    </w:p>
    <w:p w14:paraId="608596C0"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p>
    <w:p w14:paraId="7FF5308B"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36. Turklāt ar subsīdijām vēl nesegtu krājumu tirgus vērtības izmaiņu ietekme visticamāk būs maza un īslaicīga un pēc noteikta laika vidēji būs vienāda ar nulli. Šajā saistībā var būt apšaubāms, vai ir lietderīgi piesaistīt ES valsts aizdevumu un vienlaikus ES finansēt krājumus.</w:t>
      </w:r>
    </w:p>
    <w:p w14:paraId="7C543ACE"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p>
    <w:p w14:paraId="4660E9D8"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 xml:space="preserve">37. Visbeidzot ir jāatgādina, ka tādas uzskaites stingra ievērošana, kas atspoguļo ekonomisko īpašumtiesību maiņu, netieši nozīmē importa un eksporta uzskaiti, kas netiek uzskatīta par īpaši </w:t>
      </w:r>
      <w:r w:rsidRPr="00B03B51">
        <w:rPr>
          <w:rFonts w:ascii="Times New Roman" w:hAnsi="Times New Roman" w:cs="Times New Roman"/>
          <w:sz w:val="24"/>
        </w:rPr>
        <w:lastRenderedPageBreak/>
        <w:t>lietderīgu analīzes vajadzībām (maksājumu bilances nolūkiem). Tomēr var norādīt, ka abas iespējas vienādi ietekmē valdības neto aizdevumu/aizņēmumu un parādu.</w:t>
      </w:r>
    </w:p>
    <w:p w14:paraId="0EF7EACC" w14:textId="77777777" w:rsidR="00994F93" w:rsidRPr="00B03B51" w:rsidRDefault="00994F93" w:rsidP="00994F93">
      <w:pPr>
        <w:jc w:val="both"/>
        <w:rPr>
          <w:rFonts w:ascii="Times New Roman" w:eastAsia="Arial" w:hAnsi="Times New Roman" w:cs="Times New Roman"/>
          <w:noProof/>
          <w:sz w:val="24"/>
          <w:szCs w:val="16"/>
        </w:rPr>
      </w:pPr>
    </w:p>
    <w:p w14:paraId="57F75A17" w14:textId="77777777" w:rsidR="00994F93" w:rsidRPr="00B03B51" w:rsidRDefault="00994F93" w:rsidP="00994F93">
      <w:pPr>
        <w:pStyle w:val="Heading6"/>
        <w:tabs>
          <w:tab w:val="left" w:pos="1265"/>
        </w:tabs>
        <w:ind w:left="0" w:firstLine="0"/>
        <w:jc w:val="both"/>
        <w:rPr>
          <w:rFonts w:ascii="Times New Roman" w:hAnsi="Times New Roman" w:cs="Times New Roman"/>
          <w:noProof/>
          <w:sz w:val="24"/>
        </w:rPr>
      </w:pPr>
      <w:bookmarkStart w:id="54" w:name="1.4.3.7_‘Shell’_treatment"/>
      <w:bookmarkEnd w:id="54"/>
      <w:r w:rsidRPr="00B03B51">
        <w:rPr>
          <w:rFonts w:ascii="Times New Roman" w:hAnsi="Times New Roman" w:cs="Times New Roman"/>
          <w:sz w:val="24"/>
        </w:rPr>
        <w:t>1.4.3.7. “ČAULAS” TRAKTĒJUMS</w:t>
      </w:r>
    </w:p>
    <w:p w14:paraId="47481738"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p>
    <w:p w14:paraId="33AFAAA4"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38. Gadījumos, kad nosacītu vienību vai kvazisabiedrību uzskata par “čaulu”, nacionālajos kontos vienkāršības labad pieņem, ka tā tikai tur krājumus un kārto darījumus ar tiem, finanšu kontos veicot atbilstošu ierakstu: pašu kapitāla saistības. “Čaulas” pieeja nozīmē arī to, ka netiks ierakstīta nekāda atkārtoti ieguldītā peļņa.</w:t>
      </w:r>
    </w:p>
    <w:p w14:paraId="7532339C"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p>
    <w:p w14:paraId="21F2E64E"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39. Pastāv arī cita iespēja, proti, šīs vienības var uzskatīt par pilnīgākiem subjektiem, atspoguļojot pilnīgāku nacionālo kontu secību, piemēram, iegūstot peļņu un radot izmaksas.</w:t>
      </w:r>
    </w:p>
    <w:p w14:paraId="7E79F0E9" w14:textId="77777777" w:rsidR="00994F93" w:rsidRPr="00B03B51" w:rsidRDefault="00994F93" w:rsidP="00994F93">
      <w:pPr>
        <w:jc w:val="both"/>
        <w:rPr>
          <w:rFonts w:ascii="Times New Roman" w:eastAsia="Arial" w:hAnsi="Times New Roman" w:cs="Times New Roman"/>
          <w:noProof/>
          <w:sz w:val="24"/>
          <w:szCs w:val="16"/>
        </w:rPr>
      </w:pPr>
    </w:p>
    <w:p w14:paraId="271C0BCA" w14:textId="77777777" w:rsidR="00994F93" w:rsidRPr="00B03B51" w:rsidRDefault="00994F93" w:rsidP="00994F93">
      <w:pPr>
        <w:pStyle w:val="Heading6"/>
        <w:tabs>
          <w:tab w:val="left" w:pos="1265"/>
        </w:tabs>
        <w:ind w:left="0" w:firstLine="0"/>
        <w:jc w:val="both"/>
        <w:rPr>
          <w:rFonts w:ascii="Times New Roman" w:hAnsi="Times New Roman" w:cs="Times New Roman"/>
          <w:noProof/>
          <w:sz w:val="24"/>
        </w:rPr>
      </w:pPr>
      <w:bookmarkStart w:id="55" w:name="1.4.3.8_Time_of_recording_of_the_subsidy"/>
      <w:bookmarkEnd w:id="55"/>
      <w:r w:rsidRPr="00B03B51">
        <w:rPr>
          <w:rFonts w:ascii="Times New Roman" w:hAnsi="Times New Roman" w:cs="Times New Roman"/>
          <w:sz w:val="24"/>
        </w:rPr>
        <w:t>1.4.3.8. SUBSĪDIJAS IERAKSTĪŠANAS LAIKS</w:t>
      </w:r>
    </w:p>
    <w:p w14:paraId="79FD02A5" w14:textId="77777777" w:rsidR="00994F93" w:rsidRPr="00B03B51" w:rsidRDefault="00994F93" w:rsidP="00994F93">
      <w:pPr>
        <w:tabs>
          <w:tab w:val="left" w:pos="840"/>
        </w:tabs>
        <w:jc w:val="both"/>
        <w:rPr>
          <w:rFonts w:ascii="Times New Roman" w:hAnsi="Times New Roman" w:cs="Times New Roman"/>
          <w:noProof/>
          <w:sz w:val="24"/>
        </w:rPr>
      </w:pPr>
    </w:p>
    <w:p w14:paraId="7A5B71F8" w14:textId="77777777" w:rsidR="00994F93" w:rsidRPr="00B03B51" w:rsidRDefault="00994F93" w:rsidP="00994F93">
      <w:pPr>
        <w:tabs>
          <w:tab w:val="left" w:pos="840"/>
        </w:tabs>
        <w:jc w:val="both"/>
        <w:rPr>
          <w:rFonts w:ascii="Times New Roman" w:eastAsia="Arial" w:hAnsi="Times New Roman" w:cs="Times New Roman"/>
          <w:noProof/>
          <w:sz w:val="24"/>
          <w:szCs w:val="19"/>
        </w:rPr>
      </w:pPr>
      <w:r w:rsidRPr="00B03B51">
        <w:rPr>
          <w:rFonts w:ascii="Times New Roman" w:hAnsi="Times New Roman" w:cs="Times New Roman"/>
          <w:sz w:val="24"/>
        </w:rPr>
        <w:t xml:space="preserve">40. EKS 2010 4.39. punkta a) apakšpunktā ir noteikts, ka </w:t>
      </w:r>
      <w:r w:rsidRPr="00B03B51">
        <w:rPr>
          <w:rFonts w:ascii="Times New Roman" w:hAnsi="Times New Roman" w:cs="Times New Roman"/>
          <w:i/>
          <w:iCs/>
          <w:sz w:val="24"/>
        </w:rPr>
        <w:t>subsīdijas, kas veidojas kā starpība starp pirkuma cenu un valdības noteikto pārdošanas cenu, ieraksta tad, kad aģentūra preces nopērk</w:t>
      </w:r>
      <w:r w:rsidRPr="00B03B51">
        <w:rPr>
          <w:rFonts w:ascii="Times New Roman" w:hAnsi="Times New Roman" w:cs="Times New Roman"/>
          <w:sz w:val="24"/>
        </w:rPr>
        <w:t>.</w:t>
      </w:r>
    </w:p>
    <w:p w14:paraId="21302504"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p>
    <w:p w14:paraId="4F08CFE9"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 xml:space="preserve">41. Ja laika posmā </w:t>
      </w:r>
      <w:r w:rsidRPr="00B03B51">
        <w:rPr>
          <w:rFonts w:ascii="Times New Roman" w:hAnsi="Times New Roman" w:cs="Times New Roman"/>
          <w:i/>
          <w:iCs/>
          <w:sz w:val="24"/>
        </w:rPr>
        <w:t>T</w:t>
      </w:r>
      <w:r w:rsidRPr="00B03B51">
        <w:rPr>
          <w:rFonts w:ascii="Times New Roman" w:hAnsi="Times New Roman" w:cs="Times New Roman"/>
          <w:sz w:val="24"/>
        </w:rPr>
        <w:t xml:space="preserve"> aģentūra pērk produktu par 120 vienībām un laika posmā </w:t>
      </w:r>
      <w:r w:rsidRPr="00B03B51">
        <w:rPr>
          <w:rFonts w:ascii="Times New Roman" w:hAnsi="Times New Roman" w:cs="Times New Roman"/>
          <w:i/>
          <w:iCs/>
          <w:sz w:val="24"/>
        </w:rPr>
        <w:t>T+1</w:t>
      </w:r>
      <w:r w:rsidRPr="00B03B51">
        <w:rPr>
          <w:rFonts w:ascii="Times New Roman" w:hAnsi="Times New Roman" w:cs="Times New Roman"/>
          <w:sz w:val="24"/>
        </w:rPr>
        <w:t xml:space="preserve"> pārdod to tālāk par 100 vienībām, subsīdiju attiecībā uz produktu ieraksta laika posmā </w:t>
      </w:r>
      <w:r w:rsidRPr="00B03B51">
        <w:rPr>
          <w:rFonts w:ascii="Times New Roman" w:hAnsi="Times New Roman" w:cs="Times New Roman"/>
          <w:i/>
          <w:iCs/>
          <w:sz w:val="24"/>
        </w:rPr>
        <w:t>T</w:t>
      </w:r>
      <w:r w:rsidRPr="00B03B51">
        <w:rPr>
          <w:rFonts w:ascii="Times New Roman" w:hAnsi="Times New Roman" w:cs="Times New Roman"/>
          <w:sz w:val="24"/>
        </w:rPr>
        <w:t xml:space="preserve">. Tādā gadījumā laika posmā </w:t>
      </w:r>
      <w:r w:rsidRPr="00B03B51">
        <w:rPr>
          <w:rFonts w:ascii="Times New Roman" w:hAnsi="Times New Roman" w:cs="Times New Roman"/>
          <w:i/>
          <w:iCs/>
          <w:sz w:val="24"/>
        </w:rPr>
        <w:t>T</w:t>
      </w:r>
      <w:r w:rsidRPr="00B03B51">
        <w:rPr>
          <w:rFonts w:ascii="Times New Roman" w:hAnsi="Times New Roman" w:cs="Times New Roman"/>
          <w:sz w:val="24"/>
        </w:rPr>
        <w:t xml:space="preserve"> lauksaimnieku (S14/S11) produkcijas cena ir120 vienības, IKP ir 100 vienības, bet pārmaiņas krājumos ir +100 vienības. Laika posmā </w:t>
      </w:r>
      <w:r w:rsidRPr="00B03B51">
        <w:rPr>
          <w:rFonts w:ascii="Times New Roman" w:hAnsi="Times New Roman" w:cs="Times New Roman"/>
          <w:i/>
          <w:iCs/>
          <w:sz w:val="24"/>
        </w:rPr>
        <w:t>T+1</w:t>
      </w:r>
      <w:r w:rsidRPr="00B03B51">
        <w:rPr>
          <w:rFonts w:ascii="Times New Roman" w:hAnsi="Times New Roman" w:cs="Times New Roman"/>
          <w:sz w:val="24"/>
        </w:rPr>
        <w:t xml:space="preserve"> lauksaimnieku produkcijas izlaide ir 0, IKP ir 0, gala patēriņš ir 100 vienības un izmaiņas krājumos ir -100 vienības.</w:t>
      </w:r>
    </w:p>
    <w:p w14:paraId="201D0619"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p>
    <w:p w14:paraId="147FA881"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 xml:space="preserve">42. Taču EKS 2010 4.39. punkta a) apakšpunktā konkrēti norādīts: </w:t>
      </w:r>
      <w:r w:rsidRPr="00B03B51">
        <w:rPr>
          <w:rFonts w:ascii="Times New Roman" w:hAnsi="Times New Roman" w:cs="Times New Roman"/>
          <w:i/>
          <w:iCs/>
          <w:sz w:val="24"/>
        </w:rPr>
        <w:t>ja pārdošanas cena ir zināma tajā laikā</w:t>
      </w:r>
      <w:r w:rsidRPr="00B03B51">
        <w:rPr>
          <w:rFonts w:ascii="Times New Roman" w:hAnsi="Times New Roman" w:cs="Times New Roman"/>
          <w:sz w:val="24"/>
        </w:rPr>
        <w:t xml:space="preserve">, un tieši tas ir jāizskaidro. Tālākpārdošanas cena </w:t>
      </w:r>
      <w:r w:rsidRPr="00B03B51">
        <w:rPr>
          <w:rFonts w:ascii="Times New Roman" w:hAnsi="Times New Roman" w:cs="Times New Roman"/>
          <w:i/>
          <w:iCs/>
          <w:sz w:val="24"/>
        </w:rPr>
        <w:t>a priori</w:t>
      </w:r>
      <w:r w:rsidRPr="00B03B51">
        <w:rPr>
          <w:rFonts w:ascii="Times New Roman" w:hAnsi="Times New Roman" w:cs="Times New Roman"/>
          <w:sz w:val="24"/>
        </w:rPr>
        <w:t xml:space="preserve"> kopumā nav iepriekš zināma. Taču paredzamā cena var būt zināma; pieņemsim, ka minētajā piemērā tā bija 106 vienības. Tādā gadījumā vienīgais neparedzētais elements ir 6 (=20-14).</w:t>
      </w:r>
    </w:p>
    <w:p w14:paraId="007011EB"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p>
    <w:p w14:paraId="666C088F"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43. Iepriekš minētā atsauce uz EKS 2010 iekļauta ar nolūku ir izvairīties no turēšanas guvumu/zaudējumu iekļaušanas ražošanas kontā. Produkcijā vajadzētu iekļaut tikai to daļu, kuru shēmā ir paredzēts finansēt. Taču vienlaikus lauksaimniecības tirgu regulējošu aģentūru gadījumā lauksaimnieki vai aģentūra neuzņemsies nekādu turēšanas guvumu un zaudējumus, proti, visas cenu izmaiņas beigās uzņemsies ES.</w:t>
      </w:r>
    </w:p>
    <w:p w14:paraId="59914BE3"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p>
    <w:p w14:paraId="36192506"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 xml:space="preserve">44. Visbeidzot, preču pārdošanas cena līdz </w:t>
      </w:r>
      <w:r w:rsidRPr="00B03B51">
        <w:rPr>
          <w:rFonts w:ascii="Times New Roman" w:hAnsi="Times New Roman" w:cs="Times New Roman"/>
          <w:i/>
          <w:iCs/>
          <w:sz w:val="24"/>
        </w:rPr>
        <w:t>T</w:t>
      </w:r>
      <w:r w:rsidRPr="00B03B51">
        <w:rPr>
          <w:rFonts w:ascii="Times New Roman" w:hAnsi="Times New Roman" w:cs="Times New Roman"/>
          <w:sz w:val="24"/>
        </w:rPr>
        <w:t xml:space="preserve"> gada beigām var būt nokritusies līdz 102. Tā būs krājumu vērtība, kuru ieraksta bilancē laika posma </w:t>
      </w:r>
      <w:r w:rsidRPr="00B03B51">
        <w:rPr>
          <w:rFonts w:ascii="Times New Roman" w:hAnsi="Times New Roman" w:cs="Times New Roman"/>
          <w:i/>
          <w:iCs/>
          <w:sz w:val="24"/>
        </w:rPr>
        <w:t>T</w:t>
      </w:r>
      <w:r w:rsidRPr="00B03B51">
        <w:rPr>
          <w:rFonts w:ascii="Times New Roman" w:hAnsi="Times New Roman" w:cs="Times New Roman"/>
          <w:sz w:val="24"/>
        </w:rPr>
        <w:t xml:space="preserve"> beigās.</w:t>
      </w:r>
    </w:p>
    <w:p w14:paraId="7DAE1DAF"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p>
    <w:p w14:paraId="1BB5BFDB"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 xml:space="preserve">45. Ja EKS 2010 4.39. punkta a) apakšpunkts attiecināms arī uz gadījumiem, kuros pārdošanas cena būs zināma tikai nākamajā periodā, tad aģentūra kā subsīdiju </w:t>
      </w:r>
      <w:r w:rsidRPr="00B03B51">
        <w:rPr>
          <w:rFonts w:ascii="Times New Roman" w:hAnsi="Times New Roman" w:cs="Times New Roman"/>
          <w:i/>
          <w:iCs/>
          <w:sz w:val="24"/>
        </w:rPr>
        <w:t>T</w:t>
      </w:r>
      <w:r w:rsidRPr="00B03B51">
        <w:rPr>
          <w:rFonts w:ascii="Times New Roman" w:hAnsi="Times New Roman" w:cs="Times New Roman"/>
          <w:sz w:val="24"/>
        </w:rPr>
        <w:t xml:space="preserve"> periodā (līdztekus debitora parāda iegūšanai) ieraksta kādu no šīm summām:</w:t>
      </w:r>
    </w:p>
    <w:p w14:paraId="268E0303"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p>
    <w:p w14:paraId="31164463" w14:textId="77777777" w:rsidR="00994F93" w:rsidRPr="00B03B51" w:rsidRDefault="00994F93" w:rsidP="004C2057">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t xml:space="preserve">1. risinājums – faktisko </w:t>
      </w:r>
      <w:r w:rsidRPr="00B03B51">
        <w:rPr>
          <w:rFonts w:ascii="Times New Roman" w:hAnsi="Times New Roman" w:cs="Times New Roman"/>
          <w:i/>
          <w:iCs/>
          <w:sz w:val="24"/>
        </w:rPr>
        <w:t>T+1</w:t>
      </w:r>
      <w:r w:rsidRPr="00B03B51">
        <w:rPr>
          <w:rFonts w:ascii="Times New Roman" w:hAnsi="Times New Roman" w:cs="Times New Roman"/>
          <w:sz w:val="24"/>
        </w:rPr>
        <w:t xml:space="preserve"> periodā novēroto summu (20) vai</w:t>
      </w:r>
    </w:p>
    <w:p w14:paraId="3E4A4994" w14:textId="77777777" w:rsidR="00994F93" w:rsidRPr="00B03B51" w:rsidRDefault="00994F93" w:rsidP="004C2057">
      <w:pPr>
        <w:pStyle w:val="BodyText"/>
        <w:spacing w:before="0"/>
        <w:ind w:left="0" w:firstLine="0"/>
        <w:jc w:val="both"/>
        <w:rPr>
          <w:rFonts w:ascii="Times New Roman" w:hAnsi="Times New Roman" w:cs="Times New Roman"/>
          <w:noProof/>
          <w:sz w:val="24"/>
        </w:rPr>
      </w:pPr>
    </w:p>
    <w:p w14:paraId="42F594C6" w14:textId="77777777" w:rsidR="00994F93" w:rsidRPr="00B03B51" w:rsidRDefault="00994F93" w:rsidP="004C2057">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t xml:space="preserve">2. risinājums – gaidāmo </w:t>
      </w:r>
      <w:r w:rsidRPr="00B03B51">
        <w:rPr>
          <w:rFonts w:ascii="Times New Roman" w:hAnsi="Times New Roman" w:cs="Times New Roman"/>
          <w:i/>
          <w:iCs/>
          <w:sz w:val="24"/>
        </w:rPr>
        <w:t>T</w:t>
      </w:r>
      <w:r w:rsidRPr="00B03B51">
        <w:rPr>
          <w:rFonts w:ascii="Times New Roman" w:hAnsi="Times New Roman" w:cs="Times New Roman"/>
          <w:sz w:val="24"/>
        </w:rPr>
        <w:t xml:space="preserve"> periodā novēroto summu (14), vai</w:t>
      </w:r>
    </w:p>
    <w:p w14:paraId="625939E2" w14:textId="77777777" w:rsidR="00994F93" w:rsidRPr="00B03B51" w:rsidRDefault="00994F93" w:rsidP="004C2057">
      <w:pPr>
        <w:pStyle w:val="BodyText"/>
        <w:spacing w:before="0"/>
        <w:ind w:left="0" w:firstLine="0"/>
        <w:jc w:val="both"/>
        <w:rPr>
          <w:rFonts w:ascii="Times New Roman" w:hAnsi="Times New Roman" w:cs="Times New Roman"/>
          <w:noProof/>
          <w:sz w:val="24"/>
        </w:rPr>
      </w:pPr>
    </w:p>
    <w:p w14:paraId="140E77A9" w14:textId="77777777" w:rsidR="00994F93" w:rsidRPr="00B03B51" w:rsidRDefault="00994F93" w:rsidP="004C2057">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t>3. risinājums – summu, kas atspoguļo gada beigās novēroto tirgus cenu (18).</w:t>
      </w:r>
    </w:p>
    <w:p w14:paraId="0A1138BC"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p>
    <w:p w14:paraId="51BA2976"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 xml:space="preserve">46. Pirmā risinājuma (1.) gadījumā uzskaite ir vienkārša, taču tā nozīmē, ka dati jāpārskata, tiklīdz informācija kļūst pakāpeniski pieejama (jo īpaši attiecībā uz ceturkšņa datiem). Otrā (2.) </w:t>
      </w:r>
      <w:r w:rsidRPr="00B03B51">
        <w:rPr>
          <w:rFonts w:ascii="Times New Roman" w:hAnsi="Times New Roman" w:cs="Times New Roman"/>
          <w:sz w:val="24"/>
        </w:rPr>
        <w:lastRenderedPageBreak/>
        <w:t xml:space="preserve">un trešā (3.) risinājuma gadījumā rodas jautājums par </w:t>
      </w:r>
      <w:r w:rsidRPr="00B03B51">
        <w:rPr>
          <w:rFonts w:ascii="Times New Roman" w:hAnsi="Times New Roman" w:cs="Times New Roman"/>
          <w:i/>
          <w:iCs/>
          <w:sz w:val="24"/>
        </w:rPr>
        <w:t>T+1</w:t>
      </w:r>
      <w:r w:rsidRPr="00B03B51">
        <w:rPr>
          <w:rFonts w:ascii="Times New Roman" w:hAnsi="Times New Roman" w:cs="Times New Roman"/>
          <w:sz w:val="24"/>
        </w:rPr>
        <w:t xml:space="preserve"> perioda starpības ierakstīšanu, proti, vai tā ierakstāma kā 6 (=20-14), vai arī kā 2 (=20-18). Viena pieeja ir iekļaut šīs plūsmas finanšu kontu pārvērtēšanas kontos (tādējādi ierakstot subsīdijas kā paredzamās subsīdijas), kas šķiet sarežģīti. Saskaņā ar citu pieeju ražošanas subsīdiju </w:t>
      </w:r>
      <w:r w:rsidRPr="00B03B51">
        <w:rPr>
          <w:rFonts w:ascii="Times New Roman" w:hAnsi="Times New Roman" w:cs="Times New Roman"/>
          <w:i/>
          <w:iCs/>
          <w:sz w:val="24"/>
        </w:rPr>
        <w:t>T+1</w:t>
      </w:r>
      <w:r w:rsidRPr="00B03B51">
        <w:rPr>
          <w:rFonts w:ascii="Times New Roman" w:hAnsi="Times New Roman" w:cs="Times New Roman"/>
          <w:sz w:val="24"/>
        </w:rPr>
        <w:t xml:space="preserve"> periodā var ierakstīt attiecībā uz atlikumu (kas var būt pozitīvs vai negatīvs), saskaņojot to ar ierakstu par izmaiņām krājumos (lai gan tas var šķist samāksloti). Šādi rīkojoties, 2. risinājuma gadījumā ieraksts pārvērtēšanas kontā attiecībā uz nefinanšu aktīviem parādās (+4=6-(20-18)=(20-14)-(20-18)=18-14)) </w:t>
      </w:r>
      <w:r w:rsidRPr="00B03B51">
        <w:rPr>
          <w:rFonts w:ascii="Times New Roman" w:hAnsi="Times New Roman" w:cs="Times New Roman"/>
          <w:i/>
          <w:iCs/>
          <w:sz w:val="24"/>
        </w:rPr>
        <w:t>T+1</w:t>
      </w:r>
      <w:r w:rsidRPr="00B03B51">
        <w:rPr>
          <w:rFonts w:ascii="Times New Roman" w:hAnsi="Times New Roman" w:cs="Times New Roman"/>
          <w:sz w:val="24"/>
        </w:rPr>
        <w:t xml:space="preserve"> periodā, kompensējot turēšanas zaudējumus, kas radušies </w:t>
      </w:r>
      <w:r w:rsidRPr="00B03B51">
        <w:rPr>
          <w:rFonts w:ascii="Times New Roman" w:hAnsi="Times New Roman" w:cs="Times New Roman"/>
          <w:i/>
          <w:iCs/>
          <w:sz w:val="24"/>
        </w:rPr>
        <w:t>T</w:t>
      </w:r>
      <w:r w:rsidRPr="00B03B51">
        <w:rPr>
          <w:rFonts w:ascii="Times New Roman" w:hAnsi="Times New Roman" w:cs="Times New Roman"/>
          <w:sz w:val="24"/>
        </w:rPr>
        <w:t xml:space="preserve"> periodā (-4=14-18).</w:t>
      </w:r>
    </w:p>
    <w:p w14:paraId="6DD5714D" w14:textId="77777777" w:rsidR="00994F93" w:rsidRPr="00B03B51" w:rsidRDefault="00994F93" w:rsidP="00994F93">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t xml:space="preserve"> Trešā (3.) risinājuma gadījumā nenotiek nekāda pārvērtēšana ne attiecībā uz </w:t>
      </w:r>
      <w:r w:rsidRPr="00B03B51">
        <w:rPr>
          <w:rFonts w:ascii="Times New Roman" w:hAnsi="Times New Roman" w:cs="Times New Roman"/>
          <w:i/>
          <w:iCs/>
          <w:sz w:val="24"/>
        </w:rPr>
        <w:t>T+1</w:t>
      </w:r>
      <w:r w:rsidRPr="00B03B51">
        <w:rPr>
          <w:rFonts w:ascii="Times New Roman" w:hAnsi="Times New Roman" w:cs="Times New Roman"/>
          <w:sz w:val="24"/>
        </w:rPr>
        <w:t xml:space="preserve">, ne </w:t>
      </w:r>
      <w:r w:rsidRPr="00B03B51">
        <w:rPr>
          <w:rFonts w:ascii="Times New Roman" w:hAnsi="Times New Roman" w:cs="Times New Roman"/>
          <w:i/>
          <w:iCs/>
          <w:sz w:val="24"/>
        </w:rPr>
        <w:t>T</w:t>
      </w:r>
      <w:r w:rsidRPr="00B03B51">
        <w:rPr>
          <w:rFonts w:ascii="Times New Roman" w:hAnsi="Times New Roman" w:cs="Times New Roman"/>
          <w:sz w:val="24"/>
        </w:rPr>
        <w:t xml:space="preserve"> periodu. Jānorāda, ka 3. risinājuma gadījumā kvazisabiedrības neto vērtība vienmēr ir vienāda ar nulli. Pirmā un otrā risinājuma gadījumā neto vērtība novirzās no nulles gan pozitīvām, gan negatīvām summām, taču tikai ierobežotos laikposmos.</w:t>
      </w:r>
    </w:p>
    <w:p w14:paraId="30688438" w14:textId="77777777" w:rsidR="00994F93" w:rsidRPr="00B03B51" w:rsidRDefault="00994F93" w:rsidP="00994F93">
      <w:pPr>
        <w:rPr>
          <w:rFonts w:ascii="Times New Roman" w:hAnsi="Times New Roman" w:cs="Times New Roman"/>
          <w:noProof/>
          <w:sz w:val="24"/>
        </w:rPr>
      </w:pPr>
      <w:r w:rsidRPr="00B03B51">
        <w:rPr>
          <w:rFonts w:ascii="Times New Roman" w:hAnsi="Times New Roman" w:cs="Times New Roman"/>
        </w:rPr>
        <w:br w:type="page"/>
      </w:r>
    </w:p>
    <w:p w14:paraId="34A52BE4" w14:textId="77777777" w:rsidR="00994F93" w:rsidRPr="00B03B51" w:rsidRDefault="00994F93" w:rsidP="00994F93">
      <w:pPr>
        <w:jc w:val="both"/>
        <w:rPr>
          <w:rFonts w:ascii="Times New Roman" w:eastAsia="Arial" w:hAnsi="Times New Roman" w:cs="Times New Roman"/>
          <w:noProof/>
          <w:sz w:val="24"/>
          <w:szCs w:val="20"/>
        </w:rPr>
      </w:pPr>
    </w:p>
    <w:p w14:paraId="3F91919C" w14:textId="77777777" w:rsidR="00994F93" w:rsidRPr="00B03B51" w:rsidRDefault="00994F93" w:rsidP="00994F93">
      <w:pPr>
        <w:pStyle w:val="Heading2"/>
        <w:tabs>
          <w:tab w:val="left" w:pos="1277"/>
        </w:tabs>
        <w:spacing w:before="0"/>
        <w:ind w:left="0" w:firstLine="0"/>
        <w:jc w:val="both"/>
        <w:rPr>
          <w:rFonts w:ascii="Times New Roman" w:hAnsi="Times New Roman" w:cs="Times New Roman"/>
          <w:noProof/>
          <w:sz w:val="28"/>
          <w:szCs w:val="44"/>
        </w:rPr>
      </w:pPr>
      <w:bookmarkStart w:id="56" w:name="1.5._Units_engaged_in_financial_activiti"/>
      <w:bookmarkStart w:id="57" w:name="_bookmark5"/>
      <w:bookmarkStart w:id="58" w:name="_Toc67565032"/>
      <w:bookmarkEnd w:id="56"/>
      <w:bookmarkEnd w:id="57"/>
      <w:r w:rsidRPr="00B03B51">
        <w:rPr>
          <w:rFonts w:ascii="Times New Roman" w:hAnsi="Times New Roman" w:cs="Times New Roman"/>
          <w:sz w:val="28"/>
          <w:szCs w:val="44"/>
        </w:rPr>
        <w:t>1.5. Vienības, kas veic finansiālās darbības – vispārīgi jautājumi</w:t>
      </w:r>
      <w:bookmarkEnd w:id="58"/>
    </w:p>
    <w:p w14:paraId="4E8BE7F6"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p>
    <w:p w14:paraId="684E9D7C"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 Šajā nodaļā apspriests tas, vai noteiktu veidu publiskās vienības (proti, kuras kontrolē valdība), kuras veic finanšu darbības, t. i., kas darbojas ar diversificētiem finanšu instrumentiem bilances abās pusēs, jāklasificē vispārējās valdības sektorā (S.13) vai kā publiskas finanšu sabiedrības finanšu sabiedrību sektorā (S.12) (skat. finanšu sabiedrību vispārējo definīciju EKS 2010 2.55. un 2.56. punktā).</w:t>
      </w:r>
    </w:p>
    <w:p w14:paraId="2AFC8513"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p>
    <w:p w14:paraId="3489FA60"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2. Vienības, kas nodarbojas galvenokārt ar EKS 2010 2.56.–2.58. punktā noteikto finanšu starpniecību, klasificē vienā no šiem apakšsektoriem: centrālā banka (S.121), noguldījumus pieņemošas sabiedrības, izņemot centrālo banku (S.122), naudas tirgus fondi (S.123), ieguldījumu fondi, kas nav naudas tirgus fondi (S.124), citi finanšu starpnieki, izņemot apdrošināšanas sabiedrības un pensiju fondus (S.125), apdrošināšanas sabiedrības (S.128) un pensiju fondi (S.129).</w:t>
      </w:r>
    </w:p>
    <w:p w14:paraId="2C5711DD"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p>
    <w:p w14:paraId="23550EB9"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3. Vienības, kas nodarbojas ar finanšu palīgdarbībām, kas noteiktas EKS 2010 2.63. punktā, klasificē finanšu palīgsabiedrību apakšsektorā (S.126). Ieteicams piesaistošās finanšu iestādes, kas noteiktas EKS 2010 2.21.–2.23. punktā un EKS 2010 2.98.–2.99. punktā, klasificēt piesaistošo finanšu iestāžu un naudas aizdevēju apakšsektorā (S.127).</w:t>
      </w:r>
    </w:p>
    <w:p w14:paraId="112294F8" w14:textId="77777777" w:rsidR="00994F93" w:rsidRPr="00B03B51" w:rsidRDefault="00994F93" w:rsidP="00994F93">
      <w:pPr>
        <w:jc w:val="both"/>
        <w:rPr>
          <w:rFonts w:ascii="Times New Roman" w:eastAsia="Arial" w:hAnsi="Times New Roman" w:cs="Times New Roman"/>
          <w:noProof/>
          <w:sz w:val="24"/>
          <w:szCs w:val="20"/>
        </w:rPr>
      </w:pPr>
    </w:p>
    <w:p w14:paraId="76B9A5B0" w14:textId="77777777" w:rsidR="00994F93" w:rsidRPr="00B03B51" w:rsidRDefault="00994F93" w:rsidP="00994F93">
      <w:pPr>
        <w:jc w:val="both"/>
        <w:rPr>
          <w:rFonts w:ascii="Times New Roman" w:hAnsi="Times New Roman" w:cs="Times New Roman"/>
          <w:b/>
          <w:noProof/>
          <w:sz w:val="24"/>
        </w:rPr>
      </w:pPr>
      <w:r w:rsidRPr="00B03B51">
        <w:rPr>
          <w:rFonts w:ascii="Times New Roman" w:hAnsi="Times New Roman" w:cs="Times New Roman"/>
          <w:b/>
          <w:sz w:val="24"/>
        </w:rPr>
        <w:t>Uzraudzības iestādes</w:t>
      </w:r>
    </w:p>
    <w:p w14:paraId="4B164899" w14:textId="77777777" w:rsidR="00994F93" w:rsidRPr="00B03B51" w:rsidRDefault="00994F93" w:rsidP="00994F93">
      <w:pPr>
        <w:jc w:val="both"/>
        <w:rPr>
          <w:rFonts w:ascii="Times New Roman" w:eastAsia="Arial" w:hAnsi="Times New Roman" w:cs="Times New Roman"/>
          <w:b/>
          <w:bCs/>
          <w:noProof/>
          <w:sz w:val="24"/>
          <w:szCs w:val="21"/>
        </w:rPr>
      </w:pPr>
    </w:p>
    <w:p w14:paraId="30EBF292"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4. Saskaņā ar EKS 2010, ja finanšu starpnieku un finanšu tirgu uzraudzības iestādes ir atsevišķas institucionālas vienības, tās klasificē finanšu palīgsabiedrību apakšsektorā (S.126). Proti, ar banku uzraudzību un, iespējams, arī ar apdrošināšanas un pensiju uzraudzību saistītus uzdevumus bieži vien veic valsts centrālā banka. Tā tas ir eiro zonā un citās ES dalībvalstīs, kas ir vienotā uzraudzības mehānisma dalībnieces, kur nozīmīgākās banku iestādes kopš 2014. gada novembra tieši uzrauga ECB. Finanšu tirgu (un citu saistīto darbību) uzraudzību kopumā veic īpašas iestādes un dažkārt Finanšu ministrija.</w:t>
      </w:r>
    </w:p>
    <w:p w14:paraId="66C58E79"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p>
    <w:p w14:paraId="43F7A414"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5. Galvenais jautājums ir izlemt, vai šos uzdevumus veic autonomi un nošķir no uzņēmējas/mātessabiedrības, t. i., vai tos veic atsevišķa institucionālā vienība saskaņā ar vispārējo EKS 2010 definīciju. Jo īpaši ir jānovērtē, vai uzraudzības iestāžu regulējošās institūcijas drīkst pieņemt lēmumus pilnīgi neatkarīgi no valdības struktūrām jeb, vispārinot, no uzņēmējas vienības (piemēram, vai centrālās bankas gadījumā starp lēmumu pieņemšanu uzraudzības un monetārās politikas jomā pastāv “Ķīnas mūris”). Svarīga iezīme ir arī no pašu resursiem veidota autonoma budžeta esamība. Ja šie nosacījumi nav izpildīti, subjektu nevar uzskatīt par autonomu un tas jāiekļauj uzņēmējas/mātes vienībā.</w:t>
      </w:r>
    </w:p>
    <w:p w14:paraId="0E5E713B"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p>
    <w:p w14:paraId="582A8F5E"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6. Kopumā finanšu iestādēm ir jāieveic iemaksas uzraudzības iestāžu kontos. Šajā gadījumā uzskatāms, ka uzraudzības iestādes sniedz pakalpojumus vienībām, kuras tiek uzraudzītas. Uzraudzības iestāžu sniegtie pakalpojumi vairo klientu/akcionāru uzticību, uzlabo vadības kvalitāti un veicina uzraudzīto finanšu institūciju rentabilitāti un attīstību. Uzraudzīto vienību īpašnieki arī gūst labumu no šīs uzraudzības, jo īpaši bankas, kur ir svarīgi izpildīt noteikumus par maksātspējas nodrošināšanu. Lai arī šīs iemaksas ir obligātas un noteiktas ar likumu vai cita veida noteikumiem, tās ir uzskatāmas par kompensāciju par pakalpojumu un tādējādi klasificējamas saskaņā ar EKS 2010 kā maksājumi par ārpustirgus produkciju (P.131), ar nosacījumu, ka tās ir noteiktas vispārējā līmenī, sedzot uzraudzības izmaksas.</w:t>
      </w:r>
      <w:r w:rsidRPr="00B03B51">
        <w:rPr>
          <w:rStyle w:val="FootnoteReference"/>
          <w:rFonts w:ascii="Times New Roman" w:hAnsi="Times New Roman" w:cs="Times New Roman"/>
          <w:noProof/>
          <w:sz w:val="24"/>
        </w:rPr>
        <w:footnoteReference w:id="67"/>
      </w:r>
      <w:r w:rsidRPr="00B03B51">
        <w:rPr>
          <w:rFonts w:ascii="Times New Roman" w:hAnsi="Times New Roman" w:cs="Times New Roman"/>
          <w:sz w:val="24"/>
        </w:rPr>
        <w:t xml:space="preserve"> Parasti tā arī ir, </w:t>
      </w:r>
      <w:r w:rsidRPr="00B03B51">
        <w:rPr>
          <w:rFonts w:ascii="Times New Roman" w:hAnsi="Times New Roman" w:cs="Times New Roman"/>
          <w:sz w:val="24"/>
        </w:rPr>
        <w:lastRenderedPageBreak/>
        <w:t>jo šādas uzraudzības iestādes nepārvalda īpašus fondus un neuzkrāj rezerves.</w:t>
      </w:r>
      <w:r w:rsidRPr="00B03B51">
        <w:rPr>
          <w:rStyle w:val="FootnoteReference"/>
          <w:rFonts w:ascii="Times New Roman" w:hAnsi="Times New Roman" w:cs="Times New Roman"/>
          <w:noProof/>
          <w:sz w:val="24"/>
        </w:rPr>
        <w:footnoteReference w:id="68"/>
      </w:r>
    </w:p>
    <w:p w14:paraId="73CAE60F" w14:textId="77777777" w:rsidR="00994F93" w:rsidRPr="00B03B51" w:rsidRDefault="00994F93" w:rsidP="00994F93">
      <w:pPr>
        <w:jc w:val="both"/>
        <w:rPr>
          <w:rFonts w:ascii="Times New Roman" w:hAnsi="Times New Roman" w:cs="Times New Roman"/>
          <w:noProof/>
          <w:sz w:val="24"/>
        </w:rPr>
      </w:pPr>
    </w:p>
    <w:p w14:paraId="49E8B048" w14:textId="77777777" w:rsidR="00994F93" w:rsidRPr="00B03B51" w:rsidRDefault="00994F93" w:rsidP="00994F93">
      <w:pPr>
        <w:jc w:val="both"/>
        <w:rPr>
          <w:rFonts w:ascii="Times New Roman" w:hAnsi="Times New Roman" w:cs="Times New Roman"/>
          <w:b/>
          <w:noProof/>
          <w:sz w:val="24"/>
        </w:rPr>
      </w:pPr>
      <w:r w:rsidRPr="00B03B51">
        <w:rPr>
          <w:rFonts w:ascii="Times New Roman" w:hAnsi="Times New Roman" w:cs="Times New Roman"/>
          <w:b/>
          <w:sz w:val="24"/>
        </w:rPr>
        <w:t>Nacionālie aizsardzības fondi</w:t>
      </w:r>
    </w:p>
    <w:p w14:paraId="7EBF841B" w14:textId="77777777" w:rsidR="00994F93" w:rsidRPr="00B03B51" w:rsidRDefault="00994F93" w:rsidP="00994F93">
      <w:pPr>
        <w:jc w:val="both"/>
        <w:rPr>
          <w:rFonts w:ascii="Times New Roman" w:eastAsia="Arial" w:hAnsi="Times New Roman" w:cs="Times New Roman"/>
          <w:b/>
          <w:bCs/>
          <w:noProof/>
          <w:sz w:val="24"/>
          <w:szCs w:val="21"/>
        </w:rPr>
      </w:pPr>
    </w:p>
    <w:p w14:paraId="143C0ABB"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7. Nacionālie aizsardzības fondi ir subjekti, kas pārvalda fondus, lai samaksātu kompensācijas tiesīgiem kreditoriem finanšu nozares vienību saistību neizpildes gadījumā. Banku nozarē primāri ir runa par noguldījumu aizsardzības fondiem/shēmām, kuras var izmantot līdz konkrētai summai, lai kompensētu noguldītājiem ierobežotu summu par zaudētajiem noguldījumiem, ja banka neizpilda saistības (šādus noguldījumus sauc par “nodrošinātiem noguldījumiem”). Tas var būt arī noregulējuma fonds, kas izveidots konkrēti ar mērķi atbalstīt grūtībās nonākušas institūcijas, izmantojot dažādu veidu pasākumus un finansējumu, tādējādi izvairoties no vajadzības tūlītēji vērsties pēc valdības atbalsta. Aizsardzības fondi bieži vien ir izveidoti finanšu stabilitātes nodrošināšanai. Var būt arī citi šādi fondi, kuru papildu mērķis ir aizsargāt ieguldītājus finanšu tirgos.</w:t>
      </w:r>
    </w:p>
    <w:p w14:paraId="5E74526B"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p>
    <w:p w14:paraId="2F8AAC56"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8. Noguldījumu aizsardzības fondi paši nelemj, kad un kādā līmenī iejaukties un aktivizēt uzkrātos līdzekļus. Kompetentai uzraudzības iestādei ir jāveic novērtējums. Aktivizēšana var notikt automātiski vai to var ierosināt ar uzraudzības iestādes lēmumu. Izmaksājamās kompensācijas apmērs var būt noteikts ar valsts vai ES tiesību aktiem, jo īpaši attiecībā uz noguldījumu aizsardzības shēmām.</w:t>
      </w:r>
    </w:p>
    <w:p w14:paraId="7602346F"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p>
    <w:p w14:paraId="4DA27452"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9. Tiek nošķirtas tiesību aktos noteiktās aizsardzības shēmas un līgumiskās shēmas (kas galvenokārt ir brīvprātīgas). Tiesību aktos noteiktās shēmas ir izstrādātas un tiek reglamentētas ar likumu, un to mērķis parasti ir sniegt pakalpojumu plašai sabiedrībai. Līgumiskās shēmas bieži vien ir pilnībā privāti pārvaldītas.</w:t>
      </w:r>
    </w:p>
    <w:p w14:paraId="6C553A23"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p>
    <w:p w14:paraId="1CA45471"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10. Lai valdība nodrošinātu noguldījumu minimālo reglamentējošo aizsardzību, 2014. gadā tika īstenoti Eiropas tiesību akti</w:t>
      </w:r>
      <w:r w:rsidRPr="00B03B51">
        <w:rPr>
          <w:rStyle w:val="FootnoteReference"/>
          <w:rFonts w:ascii="Times New Roman" w:hAnsi="Times New Roman" w:cs="Times New Roman"/>
          <w:noProof/>
          <w:sz w:val="24"/>
        </w:rPr>
        <w:footnoteReference w:id="69"/>
      </w:r>
      <w:r w:rsidRPr="00B03B51">
        <w:rPr>
          <w:rFonts w:ascii="Times New Roman" w:hAnsi="Times New Roman" w:cs="Times New Roman"/>
          <w:sz w:val="24"/>
        </w:rPr>
        <w:t>, ar kuriem tika uzlikts pienākums izveidot tiesību aktos noteiktos fondus/shēmas, kuros dalība ir obligāta. Šādas shēmas ir nacionālie noguldījumu garantijas fondi (NGF) un atsevišķi – nacionālie noregulējuma fondi (NNF).</w:t>
      </w:r>
    </w:p>
    <w:p w14:paraId="6748331D" w14:textId="77777777" w:rsidR="00994F93" w:rsidRPr="00B03B51" w:rsidRDefault="00994F93" w:rsidP="00994F93">
      <w:pPr>
        <w:jc w:val="both"/>
        <w:rPr>
          <w:rFonts w:ascii="Times New Roman" w:hAnsi="Times New Roman" w:cs="Times New Roman"/>
          <w:noProof/>
          <w:sz w:val="24"/>
        </w:rPr>
      </w:pPr>
    </w:p>
    <w:p w14:paraId="57DDC4FD" w14:textId="77777777" w:rsidR="00994F93" w:rsidRPr="00B03B51" w:rsidRDefault="00994F93" w:rsidP="00994F93">
      <w:pPr>
        <w:jc w:val="both"/>
        <w:rPr>
          <w:rFonts w:ascii="Times New Roman" w:hAnsi="Times New Roman" w:cs="Times New Roman"/>
          <w:b/>
          <w:noProof/>
          <w:sz w:val="24"/>
        </w:rPr>
      </w:pPr>
      <w:r w:rsidRPr="00B03B51">
        <w:rPr>
          <w:rFonts w:ascii="Times New Roman" w:hAnsi="Times New Roman" w:cs="Times New Roman"/>
          <w:b/>
          <w:sz w:val="24"/>
        </w:rPr>
        <w:t>Tiesību aktos noteiktās shēmas</w:t>
      </w:r>
    </w:p>
    <w:p w14:paraId="71DAF580" w14:textId="77777777" w:rsidR="00994F93" w:rsidRPr="00B03B51" w:rsidRDefault="00994F93" w:rsidP="00994F93">
      <w:pPr>
        <w:jc w:val="both"/>
        <w:rPr>
          <w:rFonts w:ascii="Times New Roman" w:eastAsia="Arial" w:hAnsi="Times New Roman" w:cs="Times New Roman"/>
          <w:b/>
          <w:bCs/>
          <w:noProof/>
          <w:sz w:val="24"/>
          <w:szCs w:val="21"/>
        </w:rPr>
      </w:pPr>
    </w:p>
    <w:p w14:paraId="7809164C"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11. Visas tiesību aktos noteiktās shēmas ir jāklasificē vispārējās valdības sektorā, jo tās ir uzskatāmas par valdības vienības veidu EKS 2010 20.05.–20.12. punkta nozīmē. Pat, ja par to rodas šaubas, veicot pārbaudi saskaņā ar tradicionālo lēmumu pieņemšanas shēmas pieeju (EKS 2010 20.1. diagramma), šie subjekti ir klasificējami kā valdības sastāvdaļa, jo tie ir publiski kontrolēti un ārpustirgus subjekti.</w:t>
      </w:r>
    </w:p>
    <w:p w14:paraId="0FA969E8"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p>
    <w:p w14:paraId="7150AC57"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 xml:space="preserve">12. Ņemot vērā nacionālo noregulējuma fondu (NNF) un zināmā mērā saistīto nacionālo noguldījumu garantiju fondu (NGF) uzbūvi un pamatmērķi, tos var tieši uzskatīt par “valdības vienībām”, jo tie ir juridiski subjekti, kas izveidoti politiskā procesā, un tiem ir tiesas vai izpildvaras pilnvaras pār citām institucionālām vienībām, kā arī tās pārdala bagātību, izmantojot obligātos maksājumus no citiem sektoriem piederošām vienībām (EKS 2010 20.29. punkts). NNF un NGF ir noteikti valsts politikas uzdevumi aizsargāt sabiedrības ietaupījumus un nodrošināt finanšu stabilitāti. Tālab tiem ir plašas pilnvaras. Nacionālajam noregulējuma </w:t>
      </w:r>
      <w:r w:rsidRPr="00B03B51">
        <w:rPr>
          <w:rFonts w:ascii="Times New Roman" w:hAnsi="Times New Roman" w:cs="Times New Roman"/>
          <w:sz w:val="24"/>
        </w:rPr>
        <w:lastRenderedPageBreak/>
        <w:t>fondam ir tiesai pielīdzināmas pilnvaras noteikt, kuriem kreditoriem būtu jāveic iekšējā rekapitalizācija, tādējādi veicot bagātības pārdali starp kreditoriem. Gan NNF, gan NGF var mobilizēt resursus, uzliekot nodokļus bankām un ārkārtas gadījumā bieži vien iegūstot līdzekļus tieši no valdības. NGF un NNF līdzekļi tiek iekasēti no iemaksām, kuru likmes nozīmīgi neataino šajos fondos iesaistīto iestāžu kredītriskus, tādējādi starp bankām notiek zināma resursu pārdale.</w:t>
      </w:r>
    </w:p>
    <w:p w14:paraId="3EF07540"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p>
    <w:p w14:paraId="29CEE49B"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13. NNF un NGF ir valsts kontrolēti ārpustirgus subjekti, un tādējādi tos klasificē vispārējās valdības sektorā. Tie darbojas, lai nodrošinātu, ka noguldītāji saņem atlīdzību, vai lai efektīvi un iespējami gludi likvidētu grūtībās nonākušās bankas tā, lai novērstu sistēmisku risku. Šo darbību nevar pielāgot tirgus apdrošināšanai, un tādējādi šos subjektus neklasificē S.128 apakšsektorā. Tā kā nepieciešamie kompensācijas maksājumi var būt visai ievērojami un tādējādi pārsniegt jebkāda privātuzņēmēja spējas, uzskatāms, ka šī riska seguma darbība ir vai nu neapdrošināms risks, vai arī ārpustirgus apdrošināms risks. Subjekti ir arī finanšu starpnieki, jo tie tur rezerves/aktīvus vienīgi ārkārtas situācijām un nevis ar mērķi veikt kāda veida līdzekļu pārveidi. Tie nav arī finanšu palīgsabiedrības, jo tie nepārdod tirgus pakalpojumus bankām un tiem nav lielas bilances, proti, tie tikai iekasē iemaksas, kas ekonomiski ir uzskatāmas par nodokļiem, kuri uzlikti, lai veidotu publisku resursu kopumu, ko var izlietot ārkārtas situācijā.</w:t>
      </w:r>
    </w:p>
    <w:p w14:paraId="0124C54F"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p>
    <w:p w14:paraId="7AB2279C"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 xml:space="preserve">14. Iemaksas diez vai būtu uzskatāmas par pārdošanu, jo ir neatlīdzināmas. Turklāt svarīgs apsvērums par labu šo tiesību aktos noteikto fondu klasificēšanai S.12 sektorā varētu būt tas, ka ir jāidentificē klienti, kuriem šie fondi “pārdotu” vai sniegtu savu pakalpojumu. Ja iespējamie klienti </w:t>
      </w:r>
      <w:r w:rsidRPr="00B03B51">
        <w:rPr>
          <w:rFonts w:ascii="Times New Roman" w:hAnsi="Times New Roman" w:cs="Times New Roman"/>
          <w:i/>
          <w:iCs/>
          <w:sz w:val="24"/>
        </w:rPr>
        <w:t>a priori</w:t>
      </w:r>
      <w:r w:rsidRPr="00B03B51">
        <w:rPr>
          <w:rFonts w:ascii="Times New Roman" w:hAnsi="Times New Roman" w:cs="Times New Roman"/>
          <w:sz w:val="24"/>
        </w:rPr>
        <w:t xml:space="preserve"> var būt noguldītāji, bankas vai valdība, nevar viegli vai faktiski identificēt, kas ir tas, ko tiesību aktos noteiktie fondi varētu pārdot noguldītājiem vai bankām.</w:t>
      </w:r>
    </w:p>
    <w:p w14:paraId="1FA6898E"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p>
    <w:p w14:paraId="52F7D198"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15. NNF un NGF kontrolē publiskais sektors vai nu tieši (iejaucoties Finanšu ministrijai), vai netieši ar Centrālās bankas (kas tradicionāli ir publiskā sektora subjekts) vai finanšu uzrauga starpniecību, vai arī tos kontrolē ar tiesību aktiem (ar tā saucamo “pārmērīgo regulējumu”, kā noteikts EKS 2010 20.309. punkta h) apakšpunktā), pat gadījumos, ja direktori ir galvenokārt iecelti no privātā sektora. Dažos robežgadījumos tiesību aktos noteikto dažu aizsardzības fondu publiska kontrole līdzinās publiskai kontrolei, ko īsteno attiecībā uz dažām BPI, izmantojot pilnvarojuma dokumentus, kā arī riska līmeni (skat. EKS 2010 20.15. punkta b) un e) apakšpunktu.</w:t>
      </w:r>
    </w:p>
    <w:p w14:paraId="0830993A" w14:textId="77777777" w:rsidR="00994F93" w:rsidRPr="00B03B51" w:rsidRDefault="00994F93" w:rsidP="00994F93">
      <w:pPr>
        <w:jc w:val="both"/>
        <w:rPr>
          <w:rFonts w:ascii="Times New Roman" w:eastAsia="Arial" w:hAnsi="Times New Roman" w:cs="Times New Roman"/>
          <w:noProof/>
          <w:sz w:val="24"/>
          <w:szCs w:val="25"/>
        </w:rPr>
      </w:pPr>
    </w:p>
    <w:p w14:paraId="4B72F3DA"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16. Daudz grūtāk ir nospriest, vai subjektiem ir lēmumu autonomija. Tomēr arī tas nav izšķiroši klasificēšanai, ja ir noteikts, ka subjekts ir publiska un ārpustirgus vienība. Neatkarīgi no šā punkta NGF bieži vien ir automātiskam subjektam pielīdzināms subjekts, kura lēmumu autonomiju var apšaubīt, jo īpaši vienotā uzraudzības mehānisma (VUM) kontekstā, ar kuru sīki regulē lielu NGF darbības daļu. Turklāt var uzskatīt, ka NGF papildina noregulējumu tādā ziņā, ka a) bieži vien vispirms īsteno noregulējumu, pirms tiek īstenota tieša likvidācija, un b) NGF var izmantot, lai finansētu NNF, piešķirot summas, ko uzkrāj šis NGF, īstenojot šo noregulējumu. Līdzīgi kā nacionālais noguldītāju garantiju fonds arī nacionālais noregulējuma fonds lielākoties darbojas autopilota režīmā, taču tā iestādei – nacionālajai noregulējuma iestādei (NNI) – noteikti ir kāda lēmumu pieņemšanas autonomija.</w:t>
      </w:r>
    </w:p>
    <w:p w14:paraId="1401CB5D" w14:textId="77777777" w:rsidR="00994F93" w:rsidRPr="00B03B51" w:rsidRDefault="00994F93" w:rsidP="00994F93">
      <w:pPr>
        <w:pStyle w:val="BodyText"/>
        <w:tabs>
          <w:tab w:val="left" w:pos="917"/>
        </w:tabs>
        <w:spacing w:before="0"/>
        <w:ind w:left="0" w:firstLine="0"/>
        <w:jc w:val="both"/>
        <w:rPr>
          <w:rFonts w:ascii="Times New Roman" w:hAnsi="Times New Roman" w:cs="Times New Roman"/>
          <w:noProof/>
          <w:sz w:val="24"/>
        </w:rPr>
      </w:pPr>
    </w:p>
    <w:p w14:paraId="23E3681B" w14:textId="77777777" w:rsidR="00994F93" w:rsidRPr="00B03B51" w:rsidRDefault="00994F93" w:rsidP="00994F93">
      <w:pPr>
        <w:pStyle w:val="BodyText"/>
        <w:tabs>
          <w:tab w:val="left" w:pos="917"/>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 xml:space="preserve">17. Ja nacionālā noregulējuma iestāde (un saistītais nacionālais noregulējuma fonds) ir organizēta ar centrālās bankas starpniecību (centrālā banka, kas pārvalda NNI), tad saskaņā ar EKS 2010 noteikumiem centrālā banka nevar būt nacionālā noregulējuma fonda (vai nacionālās noregulējuma iestādes un nacionālā noregulējuma fonda) mātessabiedrība, jo centrālajai bankai </w:t>
      </w:r>
      <w:r w:rsidRPr="00B03B51">
        <w:rPr>
          <w:rFonts w:ascii="Times New Roman" w:hAnsi="Times New Roman" w:cs="Times New Roman"/>
          <w:sz w:val="24"/>
        </w:rPr>
        <w:lastRenderedPageBreak/>
        <w:t>ir aizliegts finansēt nacionālo noregulējuma fondu.</w:t>
      </w:r>
      <w:r w:rsidRPr="00B03B51">
        <w:rPr>
          <w:rStyle w:val="FootnoteReference"/>
          <w:rFonts w:ascii="Times New Roman" w:hAnsi="Times New Roman" w:cs="Times New Roman"/>
          <w:noProof/>
          <w:sz w:val="24"/>
        </w:rPr>
        <w:footnoteReference w:id="70"/>
      </w:r>
      <w:r w:rsidRPr="00B03B51">
        <w:rPr>
          <w:rFonts w:ascii="Times New Roman" w:hAnsi="Times New Roman" w:cs="Times New Roman"/>
          <w:sz w:val="24"/>
        </w:rPr>
        <w:t xml:space="preserve"> Subjekts, kas nevar finansēt citu subjektu, nevar būt mātessabiedrība. Rezultātā mātessabiedrība būs Finanšu ministrija. Tādējādi, ja nacionālā noregulējuma iestāde ir organizēta kā centrālās bankas sastāvdaļa, centrālā banka veic valdības uzdevumus valdības vārdā, un attiecīgi nacionālajos kontos tiek atzīts, ka īstenoto darījumu galvenais darītājs (ar noregulējuma fonda un saistītā noguldītāju garantiju fonda starpniecību) ir valdība.</w:t>
      </w:r>
    </w:p>
    <w:p w14:paraId="661DABEC"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p>
    <w:p w14:paraId="1B596DF4"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 xml:space="preserve">18. Minētie noteikumi izriet arī no tā, ka saskaņā ar Eiropas tiesisko regulējumu ir jānodrošina </w:t>
      </w:r>
      <w:r w:rsidRPr="00B03B51">
        <w:rPr>
          <w:rFonts w:ascii="Times New Roman" w:hAnsi="Times New Roman" w:cs="Times New Roman"/>
          <w:i/>
          <w:iCs/>
          <w:sz w:val="24"/>
        </w:rPr>
        <w:t>de facto</w:t>
      </w:r>
      <w:r w:rsidRPr="00B03B51">
        <w:rPr>
          <w:rFonts w:ascii="Times New Roman" w:hAnsi="Times New Roman" w:cs="Times New Roman"/>
          <w:sz w:val="24"/>
        </w:rPr>
        <w:t xml:space="preserve"> Eiropas shēmas vienveidīga klasifikācija, lai pēc tam dalībvalstis (izmantojot nacionālo tiesisko regulējumu) to pielāgotu tā, lai shēma vislabāk atbilstu valsts apstākļiem. Attiecīgi ir ieteicama vienota klasifikācija visā ES. Konsekvences labad šos noteikumus piemēro visiem tiesību aktos noteiktajiem fondiem, pat ja tie ir ārpus Eiropas tiesiskā regulējuma.</w:t>
      </w:r>
    </w:p>
    <w:p w14:paraId="50DBEEB9"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p>
    <w:p w14:paraId="20621B2E"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19. ES tiesiskā regulējuma prasības valsts līmenī praksē var izpildīt dažādos veidos. Dažkārt tiek izveidoti vairāki fondi un/vai shēmas, lai sasniegtu regulējuma mērķus, kas prasa šo subjektu un esošā mehānisma pienācīgu statistisko novērtēšanu.</w:t>
      </w:r>
    </w:p>
    <w:p w14:paraId="6EB983BB"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p>
    <w:p w14:paraId="5DFF9CD6"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20. Subjektus, kuru funkcija ir izpildīt regulējumā prasītos mērķus, kas parasti ir noguldītāju garantijas fonds vai nacionālais noregulējuma fonds, klasificē valdības sektorā, jo tie ir tikai rīki, ar kuriem stiprina valdības shēmu, pat ja daži attiecīgie subjekti ir organizēti kā privāti subjekti.</w:t>
      </w:r>
    </w:p>
    <w:p w14:paraId="323099FB"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p>
    <w:p w14:paraId="0D8FFCAA"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21. Dažkārt tiesību aktos noteiktās shēmas un līgumiskās shēmas ir iekļautas vienā subjektā vai tās pārvalda viens subjekts. Šādos gadījumos subjektu var vai nu sadalīt divās vienībās, vai arī subjekts ir jāklasificē valdības sektorā un ārpus tiesību aktiem esošais komponents ir jāpārvirza ārpus valdības kontiem. Pārvirzīšanu praktiski var īstenot, vadības vienību nošķirot no konkrētā fonda, kurš ir klasificēts vispārējās valdības sektorā.</w:t>
      </w:r>
    </w:p>
    <w:p w14:paraId="67DCCE5C" w14:textId="77777777" w:rsidR="00994F93" w:rsidRPr="00B03B51" w:rsidRDefault="00994F93" w:rsidP="00994F93">
      <w:pPr>
        <w:jc w:val="both"/>
        <w:rPr>
          <w:rFonts w:ascii="Times New Roman" w:eastAsia="Arial" w:hAnsi="Times New Roman" w:cs="Times New Roman"/>
          <w:noProof/>
          <w:sz w:val="24"/>
          <w:szCs w:val="20"/>
        </w:rPr>
      </w:pPr>
    </w:p>
    <w:p w14:paraId="1CE5A000" w14:textId="77777777" w:rsidR="00994F93" w:rsidRPr="00B03B51" w:rsidRDefault="00994F93" w:rsidP="00994F93">
      <w:pPr>
        <w:jc w:val="both"/>
        <w:rPr>
          <w:rFonts w:ascii="Times New Roman" w:hAnsi="Times New Roman" w:cs="Times New Roman"/>
          <w:b/>
          <w:noProof/>
          <w:sz w:val="24"/>
        </w:rPr>
      </w:pPr>
      <w:r w:rsidRPr="00B03B51">
        <w:rPr>
          <w:rFonts w:ascii="Times New Roman" w:hAnsi="Times New Roman" w:cs="Times New Roman"/>
          <w:b/>
          <w:sz w:val="24"/>
        </w:rPr>
        <w:t>Citi aizsardzības fondi</w:t>
      </w:r>
    </w:p>
    <w:p w14:paraId="3037EE27" w14:textId="77777777" w:rsidR="00994F93" w:rsidRPr="00B03B51" w:rsidRDefault="00994F93" w:rsidP="00994F93">
      <w:pPr>
        <w:jc w:val="both"/>
        <w:rPr>
          <w:rFonts w:ascii="Times New Roman" w:eastAsia="Arial" w:hAnsi="Times New Roman" w:cs="Times New Roman"/>
          <w:b/>
          <w:bCs/>
          <w:noProof/>
          <w:sz w:val="24"/>
          <w:szCs w:val="21"/>
        </w:rPr>
      </w:pPr>
    </w:p>
    <w:p w14:paraId="6CB812F3"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22. Attiecībā uz citām aizsardzības shēmām, kas ir galvenokārt brīvprātīgas, piemēram, līgumiskiem (ar tiesību aktiem neregulētiem) aizsardzības fondiem, attiecīgo analīzi var veikt, kā norādīts turpmāk. Aizsardzības fondi darbojas lielākoties kā “autopilots”. Tādējādi jautājums par to lēmumu pieņemšanas pilnvarām attiecībā uz uzkrāto līdzekļu aktivizēšanu bieži vien nav svarīgs. Šādi fondi var būt atkarīgi arī no citas iestādes, kas lemj par aktivizēšanu. Svarīgākais šeit ir novērtēt, vai aizsardzības fondu pārvaldes struktūra ir tiesīga neatkarīgi pieņemt lēmumu vai arī sniegt tikai kādus ierosinājumus (ja tādi ir), kas jāapstiprina citai iestādei (piemēram, centrālajai bankai vai Finanšu ministrijai).</w:t>
      </w:r>
    </w:p>
    <w:p w14:paraId="6CBBEABD"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p>
    <w:p w14:paraId="0029353F"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szCs w:val="12"/>
        </w:rPr>
      </w:pPr>
      <w:r w:rsidRPr="00B03B51">
        <w:rPr>
          <w:rFonts w:ascii="Times New Roman" w:hAnsi="Times New Roman" w:cs="Times New Roman"/>
          <w:sz w:val="24"/>
        </w:rPr>
        <w:t xml:space="preserve">23. Vēl ir arī jānovērtē, vai šie aizsardzības fondi var brīvi noteikt veicamo iemaksu līmeni. Aizsardzības fondiem var būt kādas pilnvaras, jo īpaši attiecībā uz atsevišķu iemaksu “modulāciju” atbilstīgi prognozētajiem faktiskajiem riskiem, ko uzņemas dalībnieki. Taču parasti to manevrēšanas iespējas ir visai ierobežotas (piemēram, precīzus kritērijus var noteikt cita iestāde). Aizsardzības fondi parasti nenosaka vispārējo summu. Lai arī tiem bieži vien ir </w:t>
      </w:r>
      <w:r w:rsidRPr="00B03B51">
        <w:rPr>
          <w:rFonts w:ascii="Times New Roman" w:hAnsi="Times New Roman" w:cs="Times New Roman"/>
          <w:sz w:val="24"/>
        </w:rPr>
        <w:lastRenderedPageBreak/>
        <w:t>tiesības pārdalīt vienībām piemērojamo iemaksu līmeni, tie nenosaka iekasējamo iemaksu vispārējo summu.</w:t>
      </w:r>
      <w:r w:rsidRPr="00B03B51">
        <w:rPr>
          <w:rStyle w:val="FootnoteReference"/>
          <w:rFonts w:ascii="Times New Roman" w:hAnsi="Times New Roman" w:cs="Times New Roman"/>
          <w:noProof/>
          <w:sz w:val="24"/>
        </w:rPr>
        <w:footnoteReference w:id="71"/>
      </w:r>
    </w:p>
    <w:p w14:paraId="47EC6A9B"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p>
    <w:p w14:paraId="53C2A968"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24. Turklāt, ja nav pieejami pietiekami resursi, ir svarīgi novērtēt, vai aizsardzības fonds var pieņemt pilnīgi neatkarīgu lēmumu par kompensācijas vai atbalsta finansēšanai nepieciešamo iespējamo neregulāro resursu (ārkārtas iemaksu, aizņēmumu tirgos, avansa maksājumu no Valsts kases utt.) būtību, summu, nosacījumiem un termiņiem. Ne vienmēr aizsardzības fondiem ir pieejami resursi lielas saistību neizpildes segšanai vai noregulējumam. Visticamāk, vismaz pirmajos gados pēc fondu izveides tiem var nākties balstīties uz šādiem ārkārtas resursiem.</w:t>
      </w:r>
    </w:p>
    <w:p w14:paraId="6DE9CEA0"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p>
    <w:p w14:paraId="3DA8B3C8"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25. Nacionālajos kontos šo aizsardzības fondu sektoru klasifikācijai arī būtu jābūt atkarīgai no šādu struktūru lēmumu pieņemšanas autonomijas. Ja vairumā gadījumu attiecībā uz svarīgajiem lēmumiem par šo fondu pamatdarbību, kuri jānošķir no vienkāršiem administratīvajiem uzdevumiem, aizsardzības fondam nav autonomijas vai lēmumu pieņemšanas pilnvaru, nacionālajos kontos šādu fondu neuzskata par institucionālo vienību un iekļauj to kontrolējošās vienības sastāvā. Šajā saistībā galvenie kritēriji attiecas uz lēmumu pieņemšanu par šādu aizsardzības fondu resursiem un jo īpaši par ārkārtas resursiem, kas varētu būt nepieciešami.</w:t>
      </w:r>
    </w:p>
    <w:p w14:paraId="0C05C99D"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p>
    <w:p w14:paraId="55144A3A"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26. Ja par pēdējo minēto punktu nav lēmumu autonomijas, fonds būtu jāpārklasificē tās vienības sektorā, kurai pieder galīgais vārds attiecībā uz to. Ja tā ir valdība, subjekts ir jāklasificē centrālās valdības apakšsektorā. Attiecīgi tas, ka aizsardzības fondam varētu būt tiesības pieņemt lēmumus attiecībā uz uzkrāto līdzekļu ieguldīšanu (parasti, ievērojot kādus ierobežojošus norādījumus), vēl nav kritērijs, lai lemtu par lēmumu pieņemšanas autonomiju.</w:t>
      </w:r>
    </w:p>
    <w:p w14:paraId="067063C6" w14:textId="77777777" w:rsidR="00994F93" w:rsidRPr="00B03B51" w:rsidRDefault="00994F93" w:rsidP="00994F93">
      <w:pPr>
        <w:jc w:val="both"/>
        <w:rPr>
          <w:rFonts w:ascii="Times New Roman" w:eastAsia="Arial" w:hAnsi="Times New Roman" w:cs="Times New Roman"/>
          <w:noProof/>
          <w:sz w:val="24"/>
          <w:szCs w:val="20"/>
        </w:rPr>
      </w:pPr>
    </w:p>
    <w:p w14:paraId="20B04819" w14:textId="77777777" w:rsidR="00994F93" w:rsidRPr="00B03B51" w:rsidRDefault="00994F93" w:rsidP="00994F93">
      <w:pPr>
        <w:jc w:val="both"/>
        <w:rPr>
          <w:rFonts w:ascii="Times New Roman" w:hAnsi="Times New Roman" w:cs="Times New Roman"/>
          <w:b/>
          <w:noProof/>
          <w:sz w:val="24"/>
        </w:rPr>
      </w:pPr>
      <w:r w:rsidRPr="00B03B51">
        <w:rPr>
          <w:rFonts w:ascii="Times New Roman" w:hAnsi="Times New Roman" w:cs="Times New Roman"/>
          <w:b/>
          <w:sz w:val="24"/>
        </w:rPr>
        <w:t>Aizsardzības fondos veicamo iemaksu traktējums</w:t>
      </w:r>
    </w:p>
    <w:p w14:paraId="25CA9E28" w14:textId="77777777" w:rsidR="00994F93" w:rsidRPr="00B03B51" w:rsidRDefault="00994F93" w:rsidP="00994F93">
      <w:pPr>
        <w:jc w:val="both"/>
        <w:rPr>
          <w:rFonts w:ascii="Times New Roman" w:eastAsia="Arial" w:hAnsi="Times New Roman" w:cs="Times New Roman"/>
          <w:b/>
          <w:bCs/>
          <w:noProof/>
          <w:sz w:val="24"/>
          <w:szCs w:val="21"/>
        </w:rPr>
      </w:pPr>
    </w:p>
    <w:p w14:paraId="69222B69"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27. Ja iemaksas ir obligātas (un saņēmēji nevar izvēlēties nepiedalīties shēmā, ja vien neizbeidz attiecīgo darbību), maksājumi, ko veic attiecīgās finanšu iestādes aizsardzības fondos, ir klasificējami kā nodokļi.</w:t>
      </w:r>
      <w:r w:rsidRPr="00B03B51">
        <w:rPr>
          <w:rStyle w:val="FootnoteReference"/>
          <w:rFonts w:ascii="Times New Roman" w:hAnsi="Times New Roman" w:cs="Times New Roman"/>
          <w:noProof/>
          <w:sz w:val="24"/>
        </w:rPr>
        <w:footnoteReference w:id="72"/>
      </w:r>
      <w:r w:rsidRPr="00B03B51">
        <w:rPr>
          <w:rFonts w:ascii="Times New Roman" w:hAnsi="Times New Roman" w:cs="Times New Roman"/>
          <w:sz w:val="24"/>
          <w:szCs w:val="12"/>
        </w:rPr>
        <w:t xml:space="preserve"> </w:t>
      </w:r>
      <w:r w:rsidRPr="00B03B51">
        <w:rPr>
          <w:rFonts w:ascii="Times New Roman" w:hAnsi="Times New Roman" w:cs="Times New Roman"/>
          <w:sz w:val="24"/>
        </w:rPr>
        <w:t>Tā ir tāpēc, ka aizsardzības fondi sniedz pakalpojumus ne tikai finanšu iestādēm, bet gan “visai kopienai”.</w:t>
      </w:r>
      <w:r w:rsidRPr="00B03B51">
        <w:rPr>
          <w:rStyle w:val="FootnoteReference"/>
          <w:rFonts w:ascii="Times New Roman" w:hAnsi="Times New Roman" w:cs="Times New Roman"/>
          <w:noProof/>
          <w:sz w:val="24"/>
        </w:rPr>
        <w:footnoteReference w:id="73"/>
      </w:r>
      <w:r w:rsidRPr="00B03B51">
        <w:rPr>
          <w:rFonts w:ascii="Times New Roman" w:hAnsi="Times New Roman" w:cs="Times New Roman"/>
          <w:sz w:val="24"/>
        </w:rPr>
        <w:t xml:space="preserve"> Arī maksājošās iestādes atsevišķu iemaksu līmenis ne vienmēr ir stingri saistīts ar riskiem, kas rodas aizsardzības fondam.</w:t>
      </w:r>
    </w:p>
    <w:p w14:paraId="5EE854E7"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p>
    <w:p w14:paraId="120E0221"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28. Retos gadījumos, ja aizsardzības fondu klasificē ārpus valdības sektora, minētie maksājumi jāpārvirza caur centrālās valdības apakšsektoru. Summas, ko valdība nosacīti nodevusi aizsardzības fondiem, klasificē kā kārtējos pārvedumus. Ja fondi tiek izmantoti, pārkārtotajiem darījumiem arī ir jābūt B.9 neitrāliem attiecībā uz vispārējo valdību.</w:t>
      </w:r>
    </w:p>
    <w:p w14:paraId="3E746828" w14:textId="77777777" w:rsidR="00994F93" w:rsidRPr="00B03B51" w:rsidRDefault="00994F93" w:rsidP="00994F93">
      <w:pPr>
        <w:jc w:val="both"/>
        <w:rPr>
          <w:rFonts w:ascii="Times New Roman" w:eastAsia="Arial" w:hAnsi="Times New Roman" w:cs="Times New Roman"/>
          <w:noProof/>
          <w:sz w:val="24"/>
          <w:szCs w:val="20"/>
        </w:rPr>
      </w:pPr>
    </w:p>
    <w:p w14:paraId="12CC9AE7" w14:textId="77777777" w:rsidR="00994F93" w:rsidRPr="00B03B51" w:rsidRDefault="00994F93" w:rsidP="00994F93">
      <w:pPr>
        <w:jc w:val="both"/>
        <w:rPr>
          <w:rFonts w:ascii="Times New Roman" w:hAnsi="Times New Roman" w:cs="Times New Roman"/>
          <w:b/>
          <w:noProof/>
          <w:sz w:val="24"/>
        </w:rPr>
      </w:pPr>
      <w:r w:rsidRPr="00B03B51">
        <w:rPr>
          <w:rFonts w:ascii="Times New Roman" w:hAnsi="Times New Roman" w:cs="Times New Roman"/>
          <w:b/>
          <w:sz w:val="24"/>
        </w:rPr>
        <w:t>Atmaksājamu iemaksu traktējums</w:t>
      </w:r>
    </w:p>
    <w:p w14:paraId="4E5F57A0" w14:textId="77777777" w:rsidR="00994F93" w:rsidRPr="00B03B51" w:rsidRDefault="00994F93" w:rsidP="00994F93">
      <w:pPr>
        <w:jc w:val="both"/>
        <w:rPr>
          <w:rFonts w:ascii="Times New Roman" w:eastAsia="Arial" w:hAnsi="Times New Roman" w:cs="Times New Roman"/>
          <w:b/>
          <w:bCs/>
          <w:noProof/>
          <w:sz w:val="24"/>
          <w:szCs w:val="21"/>
        </w:rPr>
      </w:pPr>
    </w:p>
    <w:p w14:paraId="3AB16872"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 xml:space="preserve">29. Saistībā ar aizsardzības fondiem dažkārt varētu izveidot tādu kārtību vai pieņemt, ka finanšu iestādes maksā iemaksas, kuras principā ir atmaksājamas, ja vien tās netiek norakstītas, pamatojoties uz kādu ierosinošu notikumu, piemēram, finanšu iestādes finanšu glābšanu vai </w:t>
      </w:r>
      <w:r w:rsidRPr="00B03B51">
        <w:rPr>
          <w:rFonts w:ascii="Times New Roman" w:hAnsi="Times New Roman" w:cs="Times New Roman"/>
          <w:sz w:val="24"/>
        </w:rPr>
        <w:lastRenderedPageBreak/>
        <w:t>saistību neizpildi. Šīs atmaksājamās iemaksas varētu būt atmaksa naudā vai tikai apsolījums samaksāt (piemēram, garantijas vai apņemšanās, skat. turpmāk). Īpašos gadījumos iemaksas var būt pašas bankas bilancē (un finanšu pārskatā) par aktīvu atzīta instrumenta iegāde, un tam var būt procenti.</w:t>
      </w:r>
    </w:p>
    <w:p w14:paraId="4300B6A7"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p>
    <w:p w14:paraId="0D6C0B53"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30. Šādas atmaksājamas iemaksas aizsardzības fondos ieraksta sākotnēji finanšu kontos un nevis kā ieņēmumus, tādējādi tas nozīmē, ka garantijas fondi ieraksta saistību uzņemšanos kā iespējamu nodokļa priekšapmaksu. Kad notiek ierosinošs notikums, saistības tiek dzēstas, it kā būtu atmaksātas, un tiek ierakstīts nodokļu ieņēmums, ietekmējot valdības B.9, ja noguldījuma garantijas fonds ir klasificēts vispārējās valdības sektorā.</w:t>
      </w:r>
    </w:p>
    <w:p w14:paraId="04FB1CCA"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p>
    <w:p w14:paraId="308C1640"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31. Aizsardzības fondu saistības ieraksta kā citas kreditoru saistības (AF.8), atspoguļojot laika starpību starp nodokļu notikumu un atbilstošo priekšapmaksu.</w:t>
      </w:r>
    </w:p>
    <w:p w14:paraId="093E56D1" w14:textId="77777777" w:rsidR="00994F93" w:rsidRPr="00B03B51" w:rsidRDefault="00994F93" w:rsidP="00994F93">
      <w:pPr>
        <w:jc w:val="both"/>
        <w:rPr>
          <w:rFonts w:ascii="Times New Roman" w:eastAsia="Arial" w:hAnsi="Times New Roman" w:cs="Times New Roman"/>
          <w:noProof/>
          <w:sz w:val="24"/>
          <w:szCs w:val="20"/>
        </w:rPr>
      </w:pPr>
    </w:p>
    <w:p w14:paraId="379540EE" w14:textId="77777777" w:rsidR="00994F93" w:rsidRPr="00B03B51" w:rsidRDefault="00994F93" w:rsidP="00994F93">
      <w:pPr>
        <w:jc w:val="both"/>
        <w:rPr>
          <w:rFonts w:ascii="Times New Roman" w:hAnsi="Times New Roman" w:cs="Times New Roman"/>
          <w:b/>
          <w:noProof/>
          <w:sz w:val="24"/>
        </w:rPr>
      </w:pPr>
      <w:r w:rsidRPr="00B03B51">
        <w:rPr>
          <w:rFonts w:ascii="Times New Roman" w:hAnsi="Times New Roman" w:cs="Times New Roman"/>
          <w:b/>
          <w:sz w:val="24"/>
        </w:rPr>
        <w:t>Neatsaucamu maksājumu saistību veidā veiktu iemaksu traktējums</w:t>
      </w:r>
    </w:p>
    <w:p w14:paraId="73E8BC5B" w14:textId="77777777" w:rsidR="00994F93" w:rsidRPr="00B03B51" w:rsidRDefault="00994F93" w:rsidP="00994F93">
      <w:pPr>
        <w:jc w:val="both"/>
        <w:rPr>
          <w:rFonts w:ascii="Times New Roman" w:eastAsia="Arial" w:hAnsi="Times New Roman" w:cs="Times New Roman"/>
          <w:b/>
          <w:bCs/>
          <w:noProof/>
          <w:sz w:val="24"/>
          <w:szCs w:val="21"/>
        </w:rPr>
      </w:pPr>
    </w:p>
    <w:p w14:paraId="428EDD5A"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32. Saskaņā ar Direktīvu 2014/49/ES par noguldījumu garantiju sistēmām iekasētās iemaksas var būt vai nu naudas maksājumi, vai neatsaucamas maksājumu saistības (</w:t>
      </w:r>
      <w:r w:rsidRPr="00B03B51">
        <w:rPr>
          <w:rFonts w:ascii="Times New Roman" w:hAnsi="Times New Roman" w:cs="Times New Roman"/>
          <w:i/>
          <w:iCs/>
          <w:sz w:val="24"/>
        </w:rPr>
        <w:t>IPC</w:t>
      </w:r>
      <w:r w:rsidRPr="00B03B51">
        <w:rPr>
          <w:rFonts w:ascii="Times New Roman" w:hAnsi="Times New Roman" w:cs="Times New Roman"/>
          <w:sz w:val="24"/>
        </w:rPr>
        <w:t xml:space="preserve">). </w:t>
      </w:r>
      <w:r w:rsidRPr="00B03B51">
        <w:rPr>
          <w:rFonts w:ascii="Times New Roman" w:hAnsi="Times New Roman" w:cs="Times New Roman"/>
          <w:i/>
          <w:iCs/>
          <w:sz w:val="24"/>
        </w:rPr>
        <w:t>IPC</w:t>
      </w:r>
      <w:r w:rsidRPr="00B03B51">
        <w:rPr>
          <w:rFonts w:ascii="Times New Roman" w:hAnsi="Times New Roman" w:cs="Times New Roman"/>
          <w:sz w:val="24"/>
        </w:rPr>
        <w:t xml:space="preserve"> ir </w:t>
      </w:r>
      <w:r w:rsidRPr="00B03B51">
        <w:rPr>
          <w:rFonts w:ascii="Times New Roman" w:hAnsi="Times New Roman" w:cs="Times New Roman"/>
          <w:i/>
          <w:iCs/>
          <w:sz w:val="24"/>
        </w:rPr>
        <w:t>ex ante</w:t>
      </w:r>
      <w:r w:rsidRPr="00B03B51">
        <w:rPr>
          <w:rFonts w:ascii="Times New Roman" w:hAnsi="Times New Roman" w:cs="Times New Roman"/>
          <w:sz w:val="24"/>
        </w:rPr>
        <w:t xml:space="preserve"> veida iemaksas, kas paredzētas, lai elastīgāk sasniegtu prasīto ar riskiem pamatoto iemaksu mērķa līmeni, pārmērīgi nemazinot kredītiestādes aizdošanas spēju. </w:t>
      </w:r>
      <w:r w:rsidRPr="00B03B51">
        <w:rPr>
          <w:rFonts w:ascii="Times New Roman" w:hAnsi="Times New Roman" w:cs="Times New Roman"/>
          <w:i/>
          <w:iCs/>
          <w:sz w:val="24"/>
        </w:rPr>
        <w:t>IPC</w:t>
      </w:r>
      <w:r w:rsidRPr="00B03B51">
        <w:rPr>
          <w:rFonts w:ascii="Times New Roman" w:hAnsi="Times New Roman" w:cs="Times New Roman"/>
          <w:sz w:val="24"/>
        </w:rPr>
        <w:t xml:space="preserve"> tiek garantētas ar oficiālu zema riska aktīvu ķīlu, parasti tie ir vērtspapīri, bet var būt arī nauda. Nodrošinājumu vai nu nodod aizsardzības fondam, vai arī reģistrē centrālajā vērtspapīru depozitārijā par labu fondam. Katrā ziņā aktīviem ir vienmēr jābūt aizsardzības fondu rīcībā, un tie nedrīkst būt apgrūtināti ar trešo personu tiesībām. Var būt atmaksājamas vai neatmaksājamas </w:t>
      </w:r>
      <w:r w:rsidRPr="00B03B51">
        <w:rPr>
          <w:rFonts w:ascii="Times New Roman" w:hAnsi="Times New Roman" w:cs="Times New Roman"/>
          <w:i/>
          <w:iCs/>
          <w:sz w:val="24"/>
        </w:rPr>
        <w:t>IPC</w:t>
      </w:r>
      <w:r w:rsidRPr="00B03B51">
        <w:rPr>
          <w:rFonts w:ascii="Times New Roman" w:hAnsi="Times New Roman" w:cs="Times New Roman"/>
          <w:sz w:val="24"/>
        </w:rPr>
        <w:t xml:space="preserve"> (šajā saistībā skat. iepriekš iedaļu par atmaksājamām iemaksām).</w:t>
      </w:r>
    </w:p>
    <w:p w14:paraId="7DCEADEB"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p>
    <w:p w14:paraId="7CF3039C"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 xml:space="preserve">33. Tā kā </w:t>
      </w:r>
      <w:r w:rsidRPr="00B03B51">
        <w:rPr>
          <w:rFonts w:ascii="Times New Roman" w:hAnsi="Times New Roman" w:cs="Times New Roman"/>
          <w:i/>
          <w:iCs/>
          <w:sz w:val="24"/>
        </w:rPr>
        <w:t>IPC</w:t>
      </w:r>
      <w:r w:rsidRPr="00B03B51">
        <w:rPr>
          <w:rFonts w:ascii="Times New Roman" w:hAnsi="Times New Roman" w:cs="Times New Roman"/>
          <w:sz w:val="24"/>
        </w:rPr>
        <w:t xml:space="preserve"> ir tikai naudai alternatīvs veids, kā finansēt </w:t>
      </w:r>
      <w:r w:rsidRPr="00B03B51">
        <w:rPr>
          <w:rFonts w:ascii="Times New Roman" w:hAnsi="Times New Roman" w:cs="Times New Roman"/>
          <w:i/>
          <w:iCs/>
          <w:sz w:val="24"/>
        </w:rPr>
        <w:t>ex ante</w:t>
      </w:r>
      <w:r w:rsidRPr="00B03B51">
        <w:rPr>
          <w:rFonts w:ascii="Times New Roman" w:hAnsi="Times New Roman" w:cs="Times New Roman"/>
          <w:sz w:val="24"/>
        </w:rPr>
        <w:t xml:space="preserve"> iemaksas aizsardzības fondos, tās līdzīgi ir maksājumi, kas tiek klasificēti kā nodokļi, ar nosacījumu, ka šīm saistībām ir pilnīgs un pienācīgs nodrošinājums.</w:t>
      </w:r>
    </w:p>
    <w:p w14:paraId="11DE5F9A" w14:textId="77777777" w:rsidR="00994F93" w:rsidRPr="00B03B51" w:rsidRDefault="00994F93" w:rsidP="00994F93">
      <w:pPr>
        <w:jc w:val="both"/>
        <w:rPr>
          <w:rFonts w:ascii="Times New Roman" w:eastAsia="Arial" w:hAnsi="Times New Roman" w:cs="Times New Roman"/>
          <w:noProof/>
          <w:sz w:val="24"/>
          <w:szCs w:val="25"/>
        </w:rPr>
      </w:pPr>
    </w:p>
    <w:p w14:paraId="1B064807" w14:textId="77777777" w:rsidR="00994F93" w:rsidRPr="00B03B51" w:rsidRDefault="00994F93" w:rsidP="00994F93">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t xml:space="preserve">Saskaņā ar ES tiesisko regulējumu </w:t>
      </w:r>
      <w:r w:rsidRPr="00B03B51">
        <w:rPr>
          <w:rFonts w:ascii="Times New Roman" w:hAnsi="Times New Roman" w:cs="Times New Roman"/>
          <w:i/>
          <w:iCs/>
          <w:sz w:val="24"/>
        </w:rPr>
        <w:t>IPC</w:t>
      </w:r>
      <w:r w:rsidRPr="00B03B51">
        <w:rPr>
          <w:rFonts w:ascii="Times New Roman" w:hAnsi="Times New Roman" w:cs="Times New Roman"/>
          <w:sz w:val="24"/>
        </w:rPr>
        <w:t xml:space="preserve"> vienmēr ir jābūt pilnībā nodrošinātām. Nodrošinājuma esamība garantē, ka pienākums veikt šos maksājumus nav vājāks par naudas maksājumiem, un tāpēc līdzsvaro neparedzētu izdevumu elementu, kas varētu būt saistīts ar neatsaucamajām maksājumu saistībām. </w:t>
      </w:r>
      <w:r w:rsidRPr="00B03B51">
        <w:rPr>
          <w:rFonts w:ascii="Times New Roman" w:hAnsi="Times New Roman" w:cs="Times New Roman"/>
          <w:i/>
          <w:iCs/>
          <w:sz w:val="24"/>
        </w:rPr>
        <w:t>IPC</w:t>
      </w:r>
      <w:r w:rsidRPr="00B03B51">
        <w:rPr>
          <w:rFonts w:ascii="Times New Roman" w:hAnsi="Times New Roman" w:cs="Times New Roman"/>
          <w:sz w:val="24"/>
        </w:rPr>
        <w:t xml:space="preserve"> nodrošinājumu ieraksta finanšu iestāžu bilancē.</w:t>
      </w:r>
    </w:p>
    <w:p w14:paraId="5B05E70B"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p>
    <w:p w14:paraId="0C7D7B2C"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34. Pienākums veikt maksājumu rodas, kad nodrošinājums tiek ieķīlāts par labu aizsardzības fondam, un saskaņā ar uzkrāšanas principu šajā laikā ieraksta nodokļu ieņēmumus (D.29) (izņemot, ja iemaksa ir atmaksājama – skat. iepriekš), kas atbilst iekasējamiem nodokļiem (citas debitoru saistības (AF.89)).</w:t>
      </w:r>
    </w:p>
    <w:p w14:paraId="44EB0939"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p>
    <w:p w14:paraId="07CD9911"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 xml:space="preserve">35. Kredītiestāde, kas ir aizsardzības fonda dalībniece, var potenciāli no tā izstāties (piemēram, ja pievienojas citam aizsardzības fondam vai, piemēram, pārrobežu apvienošanās gadījumā). Pieņemot, ka nav noticis ierosinošs notikums un shēmu regulējošie valsts tiesību akti to atļauj, kredītiestādes </w:t>
      </w:r>
      <w:r w:rsidRPr="00B03B51">
        <w:rPr>
          <w:rFonts w:ascii="Times New Roman" w:hAnsi="Times New Roman" w:cs="Times New Roman"/>
          <w:i/>
          <w:iCs/>
          <w:sz w:val="24"/>
        </w:rPr>
        <w:t>IPC</w:t>
      </w:r>
      <w:r w:rsidRPr="00B03B51">
        <w:rPr>
          <w:rFonts w:ascii="Times New Roman" w:hAnsi="Times New Roman" w:cs="Times New Roman"/>
          <w:sz w:val="24"/>
        </w:rPr>
        <w:t xml:space="preserve"> tad būtu dzēšamas/anulējamas (atkarībā no tā, vai </w:t>
      </w:r>
      <w:r w:rsidRPr="00B03B51">
        <w:rPr>
          <w:rFonts w:ascii="Times New Roman" w:hAnsi="Times New Roman" w:cs="Times New Roman"/>
          <w:i/>
          <w:iCs/>
          <w:sz w:val="24"/>
        </w:rPr>
        <w:t>IPC</w:t>
      </w:r>
      <w:r w:rsidRPr="00B03B51">
        <w:rPr>
          <w:rFonts w:ascii="Times New Roman" w:hAnsi="Times New Roman" w:cs="Times New Roman"/>
          <w:sz w:val="24"/>
        </w:rPr>
        <w:t xml:space="preserve"> ir atmaksājamas vai neatmaksājamas, kā rezultātā atšķiras ierakstīšanas risinājumi).</w:t>
      </w:r>
    </w:p>
    <w:p w14:paraId="7575CDFB"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p>
    <w:p w14:paraId="436C07DA"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 xml:space="preserve">36. Neatmaksājamu </w:t>
      </w:r>
      <w:r w:rsidRPr="00B03B51">
        <w:rPr>
          <w:rFonts w:ascii="Times New Roman" w:hAnsi="Times New Roman" w:cs="Times New Roman"/>
          <w:i/>
          <w:iCs/>
          <w:sz w:val="24"/>
        </w:rPr>
        <w:t>IPC</w:t>
      </w:r>
      <w:r w:rsidRPr="00B03B51">
        <w:rPr>
          <w:rFonts w:ascii="Times New Roman" w:hAnsi="Times New Roman" w:cs="Times New Roman"/>
          <w:sz w:val="24"/>
        </w:rPr>
        <w:t xml:space="preserve"> gadījumā shēmā tiks iekasēti ieķīlātie aktīvi, proti, nauda vai vērtspapīri, kas tiks ierakstīti kā darījums ar finanšu aktīviem ar atbilstošo ierakstu par AF.89 iekasējamo nodokļu dzēšanu.</w:t>
      </w:r>
    </w:p>
    <w:p w14:paraId="2275FECE"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p>
    <w:p w14:paraId="23BCD8B0"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 xml:space="preserve">37. Atmaksājamu </w:t>
      </w:r>
      <w:r w:rsidRPr="00B03B51">
        <w:rPr>
          <w:rFonts w:ascii="Times New Roman" w:hAnsi="Times New Roman" w:cs="Times New Roman"/>
          <w:i/>
          <w:iCs/>
          <w:sz w:val="24"/>
        </w:rPr>
        <w:t>IPC</w:t>
      </w:r>
      <w:r w:rsidRPr="00B03B51">
        <w:rPr>
          <w:rFonts w:ascii="Times New Roman" w:hAnsi="Times New Roman" w:cs="Times New Roman"/>
          <w:sz w:val="24"/>
        </w:rPr>
        <w:t xml:space="preserve"> gadījumā ieķīlātie finanšu aktīvi tiek nodoti atpakaļ kredītiestādei </w:t>
      </w:r>
      <w:r w:rsidRPr="00B03B51">
        <w:rPr>
          <w:rFonts w:ascii="Times New Roman" w:hAnsi="Times New Roman" w:cs="Times New Roman"/>
          <w:sz w:val="24"/>
        </w:rPr>
        <w:lastRenderedPageBreak/>
        <w:t xml:space="preserve">finanšu darījuma veidā. Ja neatmaksājamās </w:t>
      </w:r>
      <w:r w:rsidRPr="00B03B51">
        <w:rPr>
          <w:rFonts w:ascii="Times New Roman" w:hAnsi="Times New Roman" w:cs="Times New Roman"/>
          <w:i/>
          <w:iCs/>
          <w:sz w:val="24"/>
        </w:rPr>
        <w:t>IPC</w:t>
      </w:r>
      <w:r w:rsidRPr="00B03B51">
        <w:rPr>
          <w:rFonts w:ascii="Times New Roman" w:hAnsi="Times New Roman" w:cs="Times New Roman"/>
          <w:sz w:val="24"/>
        </w:rPr>
        <w:t xml:space="preserve"> tiek anulētas, aizsardzības fonda nefinanšu kontos ieraksta nodokļu atmaksas darījumu, kas atbilst samazinājumam ailē “citas debitoru saistības” (iekasējamie nodokļi) finanšu kontos. Pieņemot, ka vispārējais segto noguldījumu līmenis ekonomikā nemainās, citiem aizsardzības fonda dalībniekiem, iespējams, būs jāpalielina savas iemaksas, saglabājot praktiski stabilu aizsardzības fonda nodokļu ieņēmumu līmeni šajā laikā. Šāda ierakstīšana ir nepieciešama, lai nepieļautu nodokļu ieņēmumu pārrakstīšanu anulēšanas brīdī un vidējā termiņā.</w:t>
      </w:r>
    </w:p>
    <w:p w14:paraId="1ED1A617"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p>
    <w:p w14:paraId="6BDD8523"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 xml:space="preserve">38. </w:t>
      </w:r>
      <w:r w:rsidRPr="00B03B51">
        <w:rPr>
          <w:rFonts w:ascii="Times New Roman" w:hAnsi="Times New Roman" w:cs="Times New Roman"/>
          <w:i/>
          <w:iCs/>
          <w:sz w:val="24"/>
        </w:rPr>
        <w:t>IPC</w:t>
      </w:r>
      <w:r w:rsidRPr="00B03B51">
        <w:rPr>
          <w:rFonts w:ascii="Times New Roman" w:hAnsi="Times New Roman" w:cs="Times New Roman"/>
          <w:sz w:val="24"/>
        </w:rPr>
        <w:t xml:space="preserve"> anulēšanas gadījumā ailē “citas apjoma pārmaiņas” (K.5) neveic ierakstu. Uzskatāms, ka šāda anulēšana ir darījums, nevis “citas pārmaiņas” aktīvos. Ja veiktu iegrāmatojumu ailē “citas apjoma pārmaiņas”, tiktu neatbilstīgi ierakstīti neiekasētie nodokļu ieņēmumi (atmaksājamu </w:t>
      </w:r>
      <w:r w:rsidRPr="00B03B51">
        <w:rPr>
          <w:rFonts w:ascii="Times New Roman" w:hAnsi="Times New Roman" w:cs="Times New Roman"/>
          <w:i/>
          <w:iCs/>
          <w:sz w:val="24"/>
        </w:rPr>
        <w:t>IPC</w:t>
      </w:r>
      <w:r w:rsidRPr="00B03B51">
        <w:rPr>
          <w:rFonts w:ascii="Times New Roman" w:hAnsi="Times New Roman" w:cs="Times New Roman"/>
          <w:sz w:val="24"/>
        </w:rPr>
        <w:t xml:space="preserve"> gadījumā) vai veikti nevajadzīgi ieraksti citās ekonomiskajās plūsmās attiecībā uz konfiscēto nodrošinājumu (neatmaksājamu </w:t>
      </w:r>
      <w:r w:rsidRPr="00B03B51">
        <w:rPr>
          <w:rFonts w:ascii="Times New Roman" w:hAnsi="Times New Roman" w:cs="Times New Roman"/>
          <w:i/>
          <w:iCs/>
          <w:sz w:val="24"/>
        </w:rPr>
        <w:t>IPC</w:t>
      </w:r>
      <w:r w:rsidRPr="00B03B51">
        <w:rPr>
          <w:rFonts w:ascii="Times New Roman" w:hAnsi="Times New Roman" w:cs="Times New Roman"/>
          <w:sz w:val="24"/>
        </w:rPr>
        <w:t xml:space="preserve"> gadījumā).</w:t>
      </w:r>
    </w:p>
    <w:p w14:paraId="2C49862E" w14:textId="77777777" w:rsidR="00994F93" w:rsidRPr="00B03B51" w:rsidRDefault="00994F93" w:rsidP="00994F93">
      <w:pPr>
        <w:rPr>
          <w:rFonts w:ascii="Times New Roman" w:hAnsi="Times New Roman" w:cs="Times New Roman"/>
          <w:noProof/>
          <w:sz w:val="24"/>
        </w:rPr>
      </w:pPr>
      <w:r w:rsidRPr="00B03B51">
        <w:rPr>
          <w:rFonts w:ascii="Times New Roman" w:hAnsi="Times New Roman" w:cs="Times New Roman"/>
        </w:rPr>
        <w:br w:type="page"/>
      </w:r>
    </w:p>
    <w:p w14:paraId="1BAD4CEF" w14:textId="77777777" w:rsidR="00994F93" w:rsidRPr="00B03B51" w:rsidRDefault="00994F93" w:rsidP="00994F93">
      <w:pPr>
        <w:jc w:val="both"/>
        <w:rPr>
          <w:rFonts w:ascii="Times New Roman" w:eastAsia="Arial" w:hAnsi="Times New Roman" w:cs="Times New Roman"/>
          <w:noProof/>
          <w:sz w:val="24"/>
          <w:szCs w:val="21"/>
        </w:rPr>
      </w:pPr>
    </w:p>
    <w:p w14:paraId="626D2578" w14:textId="77777777" w:rsidR="00994F93" w:rsidRPr="00B03B51" w:rsidRDefault="00994F93" w:rsidP="00994F93">
      <w:pPr>
        <w:pStyle w:val="Heading2"/>
        <w:tabs>
          <w:tab w:val="left" w:pos="1277"/>
        </w:tabs>
        <w:spacing w:before="0"/>
        <w:ind w:left="0" w:firstLine="0"/>
        <w:jc w:val="both"/>
        <w:rPr>
          <w:rFonts w:ascii="Times New Roman" w:hAnsi="Times New Roman" w:cs="Times New Roman"/>
          <w:noProof/>
          <w:sz w:val="28"/>
          <w:szCs w:val="44"/>
        </w:rPr>
      </w:pPr>
      <w:bookmarkStart w:id="59" w:name="1.6._Specific_public_entities"/>
      <w:bookmarkStart w:id="60" w:name="_bookmark6"/>
      <w:bookmarkStart w:id="61" w:name="_Toc67565033"/>
      <w:bookmarkEnd w:id="59"/>
      <w:bookmarkEnd w:id="60"/>
      <w:r w:rsidRPr="00B03B51">
        <w:rPr>
          <w:rFonts w:ascii="Times New Roman" w:hAnsi="Times New Roman" w:cs="Times New Roman"/>
          <w:sz w:val="28"/>
          <w:szCs w:val="44"/>
        </w:rPr>
        <w:t>1.6. Īpaši publiski subjekti</w:t>
      </w:r>
      <w:bookmarkEnd w:id="61"/>
    </w:p>
    <w:p w14:paraId="104352B9" w14:textId="77777777" w:rsidR="00994F93" w:rsidRPr="00C13305" w:rsidRDefault="00994F93" w:rsidP="00C13305">
      <w:pPr>
        <w:rPr>
          <w:rFonts w:ascii="Times New Roman" w:hAnsi="Times New Roman" w:cs="Times New Roman"/>
          <w:noProof/>
          <w:sz w:val="24"/>
          <w:szCs w:val="24"/>
        </w:rPr>
      </w:pPr>
      <w:bookmarkStart w:id="62" w:name="1.6.1_Overview"/>
      <w:bookmarkEnd w:id="62"/>
    </w:p>
    <w:p w14:paraId="01C94CCA" w14:textId="77777777" w:rsidR="00994F93" w:rsidRPr="00B03B51" w:rsidRDefault="00994F93" w:rsidP="00994F93">
      <w:pPr>
        <w:pStyle w:val="Heading3"/>
        <w:tabs>
          <w:tab w:val="left" w:pos="1277"/>
        </w:tabs>
        <w:ind w:left="0" w:firstLine="0"/>
        <w:jc w:val="both"/>
        <w:rPr>
          <w:rFonts w:ascii="Times New Roman" w:hAnsi="Times New Roman" w:cs="Times New Roman"/>
          <w:noProof/>
          <w:sz w:val="24"/>
        </w:rPr>
      </w:pPr>
      <w:bookmarkStart w:id="63" w:name="_Toc67565034"/>
      <w:r w:rsidRPr="00B03B51">
        <w:rPr>
          <w:rFonts w:ascii="Times New Roman" w:hAnsi="Times New Roman" w:cs="Times New Roman"/>
          <w:sz w:val="24"/>
        </w:rPr>
        <w:t>1.6.1. Pārskats</w:t>
      </w:r>
      <w:bookmarkEnd w:id="63"/>
    </w:p>
    <w:p w14:paraId="2293A319"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p>
    <w:p w14:paraId="14E4B507"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 Šajā nodaļā sniegta informācija par dažām īpašām, valdības kontrolētām vienībām, kuras darbojas īpašā darbības jomā un attiecībā uz kurām nevar piemērot tirgus/ārpustirgus kritēriju (un 1.2.4.1. apakšiedaļā sniegto lēmumu pieņemšanas shēmu), ciktāl tas ir saistīts ar sektora klasifikāciju. Ir iekļauti šādi gadījumi – īpašam nolūkam dibinātas sabiedrības (ĪNDS), publiski centrālie biroji, publiskas kontrolakciju sabiedrības un to meitasuzņēmumi, pārstrukturēšanas un privatizācijas aģentūras, tirgu regulējošās struktūras, subjekti, kam ir piesaistošās finanšu iestādes pazīmes, un centrālās uzkrājumu uzturēšanas struktūras.</w:t>
      </w:r>
    </w:p>
    <w:p w14:paraId="250187D7" w14:textId="77777777" w:rsidR="00994F93" w:rsidRPr="00B03B51" w:rsidRDefault="00994F93" w:rsidP="00994F93">
      <w:pPr>
        <w:jc w:val="both"/>
        <w:rPr>
          <w:rFonts w:ascii="Times New Roman" w:eastAsia="Arial" w:hAnsi="Times New Roman" w:cs="Times New Roman"/>
          <w:noProof/>
          <w:sz w:val="24"/>
          <w:szCs w:val="20"/>
        </w:rPr>
      </w:pPr>
    </w:p>
    <w:p w14:paraId="46C502B8" w14:textId="77777777" w:rsidR="00994F93" w:rsidRPr="00B03B51" w:rsidRDefault="00994F93" w:rsidP="00994F93">
      <w:pPr>
        <w:pStyle w:val="Heading3"/>
        <w:tabs>
          <w:tab w:val="left" w:pos="1277"/>
        </w:tabs>
        <w:ind w:left="0" w:firstLine="0"/>
        <w:jc w:val="both"/>
        <w:rPr>
          <w:rFonts w:ascii="Times New Roman" w:hAnsi="Times New Roman" w:cs="Times New Roman"/>
          <w:noProof/>
          <w:sz w:val="24"/>
        </w:rPr>
      </w:pPr>
      <w:bookmarkStart w:id="64" w:name="1.6.2_Special_purpose_entities_(SPE)"/>
      <w:bookmarkStart w:id="65" w:name="_Toc67565035"/>
      <w:bookmarkEnd w:id="64"/>
      <w:r w:rsidRPr="00B03B51">
        <w:rPr>
          <w:rFonts w:ascii="Times New Roman" w:hAnsi="Times New Roman" w:cs="Times New Roman"/>
          <w:sz w:val="24"/>
        </w:rPr>
        <w:t>1.6.2. Īpašam nolūkam dibinātas sabiedrības (ĪNDS)</w:t>
      </w:r>
      <w:bookmarkEnd w:id="65"/>
    </w:p>
    <w:p w14:paraId="0F062EDA"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p>
    <w:p w14:paraId="7B402B25"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2. Kopumā īpašam nolūkam dibinātas sabiedrības (dēvētas arī par “īpašam nolūkam izveidotām sabiedrībām”) ir juridiskas personas, kas ir izveidotas, lai kārtotu ekonomiskus un finanšu darījumus saistībā ar vienu juridisku līgumu vai kas ir saistītas ar juridisku līgumu kopumu.</w:t>
      </w:r>
      <w:r w:rsidRPr="00B03B51">
        <w:rPr>
          <w:rStyle w:val="FootnoteReference"/>
          <w:rFonts w:ascii="Times New Roman" w:hAnsi="Times New Roman" w:cs="Times New Roman"/>
          <w:noProof/>
          <w:sz w:val="24"/>
        </w:rPr>
        <w:footnoteReference w:id="74"/>
      </w:r>
      <w:r w:rsidRPr="00B03B51">
        <w:rPr>
          <w:rFonts w:ascii="Times New Roman" w:hAnsi="Times New Roman" w:cs="Times New Roman"/>
          <w:sz w:val="24"/>
          <w:szCs w:val="12"/>
        </w:rPr>
        <w:t xml:space="preserve"> </w:t>
      </w:r>
      <w:r w:rsidRPr="00B03B51">
        <w:rPr>
          <w:rFonts w:ascii="Times New Roman" w:hAnsi="Times New Roman" w:cs="Times New Roman"/>
          <w:sz w:val="24"/>
        </w:rPr>
        <w:t xml:space="preserve">EKS 2010 2.17. punktā norādīts, ka ĪNDS parasti </w:t>
      </w:r>
      <w:r w:rsidRPr="00B03B51">
        <w:rPr>
          <w:rFonts w:ascii="Times New Roman" w:hAnsi="Times New Roman" w:cs="Times New Roman"/>
          <w:i/>
          <w:iCs/>
          <w:sz w:val="24"/>
        </w:rPr>
        <w:t>(..) izveido, lai sasniegtu ierobežotus, īpašus vai pagaidu mērķus un lai ierobežotu finanšu, īpašu fiskālo vai regulatīvo risku</w:t>
      </w:r>
      <w:r w:rsidRPr="00B03B51">
        <w:rPr>
          <w:rFonts w:ascii="Times New Roman" w:hAnsi="Times New Roman" w:cs="Times New Roman"/>
          <w:sz w:val="24"/>
        </w:rPr>
        <w:t>. ĪNDS valdi parasti veido trasts, kura vienīgais mērķis ir nodrošināt, lai ĪNDS efektīvi īstenotu juridisku līgumu. Tam nav pilnvaru uzdot ĪNDS iesaistīties citā saimnieciskajā darbībā. Juridisko līgumu parasti noformē tā, lai nepieļautu ĪNDS kļūšanu par maksātnespējīgu vai lielas peļņas gūšanas iespēju.</w:t>
      </w:r>
    </w:p>
    <w:p w14:paraId="67C4355B" w14:textId="77777777" w:rsidR="00994F93" w:rsidRPr="00B03B51" w:rsidRDefault="00994F93" w:rsidP="00994F93">
      <w:pPr>
        <w:tabs>
          <w:tab w:val="left" w:pos="840"/>
        </w:tabs>
        <w:jc w:val="both"/>
        <w:rPr>
          <w:rFonts w:ascii="Times New Roman" w:eastAsia="Arial" w:hAnsi="Times New Roman" w:cs="Times New Roman"/>
          <w:noProof/>
          <w:sz w:val="24"/>
          <w:szCs w:val="19"/>
        </w:rPr>
      </w:pPr>
    </w:p>
    <w:p w14:paraId="6D3FDB44" w14:textId="77777777" w:rsidR="00994F93" w:rsidRPr="00B03B51" w:rsidRDefault="00994F93" w:rsidP="00994F93">
      <w:pPr>
        <w:tabs>
          <w:tab w:val="left" w:pos="840"/>
        </w:tabs>
        <w:jc w:val="both"/>
        <w:rPr>
          <w:rFonts w:ascii="Times New Roman" w:eastAsia="Arial" w:hAnsi="Times New Roman" w:cs="Times New Roman"/>
          <w:i/>
          <w:noProof/>
          <w:sz w:val="24"/>
          <w:szCs w:val="19"/>
        </w:rPr>
      </w:pPr>
      <w:r w:rsidRPr="00B03B51">
        <w:rPr>
          <w:rFonts w:ascii="Times New Roman" w:hAnsi="Times New Roman" w:cs="Times New Roman"/>
          <w:sz w:val="24"/>
          <w:szCs w:val="19"/>
        </w:rPr>
        <w:t>3. EKS 2010 2.18. punktā norādītas dažas šādiem subjektiem “raksturīgas” pazīmes. Tās jāizmanto kā rādītāji, kas tiek pilnīgi vai daļēji konstatēti vai netiek nemaz konstatēti.</w:t>
      </w:r>
      <w:r w:rsidRPr="00B03B51">
        <w:rPr>
          <w:rStyle w:val="FootnoteReference"/>
          <w:rFonts w:ascii="Times New Roman" w:eastAsia="Arial" w:hAnsi="Times New Roman" w:cs="Times New Roman"/>
          <w:noProof/>
          <w:sz w:val="24"/>
          <w:szCs w:val="19"/>
        </w:rPr>
        <w:footnoteReference w:id="75"/>
      </w:r>
      <w:r w:rsidRPr="00B03B51">
        <w:rPr>
          <w:rFonts w:ascii="Times New Roman" w:hAnsi="Times New Roman" w:cs="Times New Roman"/>
          <w:sz w:val="24"/>
          <w:szCs w:val="12"/>
        </w:rPr>
        <w:t xml:space="preserve"> </w:t>
      </w:r>
      <w:r w:rsidRPr="00B03B51">
        <w:rPr>
          <w:rFonts w:ascii="Times New Roman" w:hAnsi="Times New Roman" w:cs="Times New Roman"/>
          <w:sz w:val="24"/>
          <w:szCs w:val="19"/>
        </w:rPr>
        <w:t xml:space="preserve">EKS 2010 2.19. punktā norādīts, ka, </w:t>
      </w:r>
      <w:r w:rsidRPr="00B03B51">
        <w:rPr>
          <w:rFonts w:ascii="Times New Roman" w:hAnsi="Times New Roman" w:cs="Times New Roman"/>
          <w:i/>
          <w:iCs/>
          <w:sz w:val="24"/>
          <w:szCs w:val="19"/>
        </w:rPr>
        <w:t>neņemot vērā to, vai vienībai piemīt visas vai neviena no šīm pazīmēm un vai to raksturo vai neraksturo kā ĪNDS vai ar līdzīgu apzīmējumu, tā jāuztver tāpat kā visas institucionālās vienības, iedalot sektorā un nozarē saskaņā ar tās galveno darbību, ja vien ĪNDS nav neatkarīgas rīcības tiesību</w:t>
      </w:r>
      <w:r w:rsidRPr="00B03B51">
        <w:rPr>
          <w:rFonts w:ascii="Times New Roman" w:hAnsi="Times New Roman" w:cs="Times New Roman"/>
          <w:sz w:val="24"/>
          <w:szCs w:val="19"/>
        </w:rPr>
        <w:t xml:space="preserve">. EKS 2010 2.20. punktā tas paskaidrots sīkāk, norādot, ka </w:t>
      </w:r>
      <w:r w:rsidRPr="00B03B51">
        <w:rPr>
          <w:rFonts w:ascii="Times New Roman" w:hAnsi="Times New Roman" w:cs="Times New Roman"/>
          <w:i/>
          <w:iCs/>
          <w:sz w:val="24"/>
          <w:szCs w:val="19"/>
        </w:rPr>
        <w:t>(..) piesaistošās finanšu iestādes, mākslīgi meitasuzņēmumi un vispārējās valdības īpašam nolūkam dibinātas sabiedrības, kam nav tiesību veikt neatkarīgu darbību, tiek iedalītas to kontrolējošās iestādes sektorā.</w:t>
      </w:r>
      <w:r w:rsidRPr="00B03B51">
        <w:rPr>
          <w:rFonts w:ascii="Times New Roman" w:hAnsi="Times New Roman" w:cs="Times New Roman"/>
          <w:i/>
          <w:sz w:val="24"/>
          <w:szCs w:val="19"/>
        </w:rPr>
        <w:t xml:space="preserve"> Izņēmums ir gadījumi, kad šādas sabiedrības nav rezidentsabiedrības, un šādos gadījumos tiek atzīts, ka tās ir no kontrolējošās iestādes atdalītas vienības. </w:t>
      </w:r>
      <w:r w:rsidRPr="00B03B51">
        <w:rPr>
          <w:rFonts w:ascii="Times New Roman" w:hAnsi="Times New Roman" w:cs="Times New Roman"/>
          <w:i/>
          <w:iCs/>
          <w:sz w:val="24"/>
        </w:rPr>
        <w:t>Valdības gadījumā meitasvienības darbības ir jāatspoguļo valdības kontos</w:t>
      </w:r>
      <w:r w:rsidRPr="00B03B51">
        <w:rPr>
          <w:rFonts w:ascii="Times New Roman" w:hAnsi="Times New Roman" w:cs="Times New Roman"/>
          <w:sz w:val="24"/>
        </w:rPr>
        <w:t>.</w:t>
      </w:r>
    </w:p>
    <w:p w14:paraId="45CBBF88"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p>
    <w:p w14:paraId="347F99C0"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4. EKS 2010 nav sniegta informācija par “darbību neatkarības” trūkumu, kas ir termins, kuru izmanto attiecībā uz šiem subjektiem. Iepriekš jau tika minēts, ka var būt daži pienākumi, ko veic subjekts, ja vien tam ir pašam savi darbinieki utt. Tomēr darbību neatkarības trūkums skaidri nozīmē to, ka nav lielas rīcības brīvības attiecībā uz šāda subjekta galveno funkciju (piemēram, atvieglot valdībai aizņemšanos un pārvaldīt radušos parādu).</w:t>
      </w:r>
    </w:p>
    <w:p w14:paraId="1E3A3052"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p>
    <w:p w14:paraId="395C7DE6"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5. Valdības izveidotas ĪNDS gadījums ir traktēts EKS 2010 (skat. 2.27. punktu un 20.47.–</w:t>
      </w:r>
      <w:r w:rsidRPr="00B03B51">
        <w:rPr>
          <w:rFonts w:ascii="Times New Roman" w:hAnsi="Times New Roman" w:cs="Times New Roman"/>
          <w:sz w:val="24"/>
        </w:rPr>
        <w:lastRenderedPageBreak/>
        <w:t xml:space="preserve">20.48. punktu). EKS 2.27. punktā norādīts, ka </w:t>
      </w:r>
      <w:r w:rsidRPr="00B03B51">
        <w:rPr>
          <w:rFonts w:ascii="Times New Roman" w:hAnsi="Times New Roman" w:cs="Times New Roman"/>
          <w:i/>
          <w:iCs/>
          <w:sz w:val="24"/>
        </w:rPr>
        <w:t>(..) šādas vienības, ja tās ir rezidenti, jāuztver kā vispārējās valdības neatņemama sastāvdaļa, nevis atsevišķas vienības</w:t>
      </w:r>
      <w:r w:rsidRPr="00B03B51">
        <w:rPr>
          <w:rFonts w:ascii="Times New Roman" w:hAnsi="Times New Roman" w:cs="Times New Roman"/>
          <w:sz w:val="24"/>
        </w:rPr>
        <w:t>, t. i., tās ir apvienotas ar kontrolējošo vienību (mātesvienību), jo tās nav institucionālās vienības. ĪNDS jāieraksta kā atsevišķa vienība tikai tad, ja ir skaidrs, ka ĪNDS nedarbojas valdības vārdā, kas savukārt nozīmē, ka tā lielā mērā spēj lemt, piemēram, par emitējamo instrumentu veidu un termiņu un pieņemt citus lēmumus, kas saistīti ar parāda pārvaldību un/vai atbilstīgajiem aktīviem.</w:t>
      </w:r>
    </w:p>
    <w:p w14:paraId="2C56BEAB" w14:textId="77777777" w:rsidR="00994F93" w:rsidRPr="00B03B51" w:rsidRDefault="00994F93" w:rsidP="00994F93">
      <w:pPr>
        <w:tabs>
          <w:tab w:val="left" w:pos="840"/>
        </w:tabs>
        <w:jc w:val="both"/>
        <w:rPr>
          <w:rFonts w:ascii="Times New Roman" w:eastAsia="Arial" w:hAnsi="Times New Roman" w:cs="Times New Roman"/>
          <w:noProof/>
          <w:sz w:val="24"/>
          <w:szCs w:val="19"/>
        </w:rPr>
      </w:pPr>
    </w:p>
    <w:p w14:paraId="16DD5EFF" w14:textId="77777777" w:rsidR="00994F93" w:rsidRPr="00B03B51" w:rsidRDefault="00994F93" w:rsidP="00994F93">
      <w:pPr>
        <w:tabs>
          <w:tab w:val="left" w:pos="840"/>
        </w:tabs>
        <w:jc w:val="both"/>
        <w:rPr>
          <w:rFonts w:ascii="Times New Roman" w:eastAsia="Arial" w:hAnsi="Times New Roman" w:cs="Times New Roman"/>
          <w:noProof/>
          <w:sz w:val="24"/>
          <w:szCs w:val="19"/>
        </w:rPr>
      </w:pPr>
      <w:r w:rsidRPr="00B03B51">
        <w:rPr>
          <w:rFonts w:ascii="Times New Roman" w:hAnsi="Times New Roman" w:cs="Times New Roman"/>
          <w:sz w:val="24"/>
          <w:szCs w:val="19"/>
        </w:rPr>
        <w:t xml:space="preserve">6. Ja subjekts neatrodas teritorijā, kurā atrodas tā mātesvienība, kā tas var būt vērtspapirizācijas darbību gadījumā vai cita iemeslu dēļ, kas saistīti ar finansēm, kad šādi subjekti bieži tiek veidoti aktīvos finanšu centros (atvieglota emisija un plašāks tirgus), ĪNDS jāuzskata par atsevišķu institucionālu vienību, un saskaņā ar EKS 2.27. punktu </w:t>
      </w:r>
      <w:r w:rsidRPr="00B03B51">
        <w:rPr>
          <w:rFonts w:ascii="Times New Roman" w:hAnsi="Times New Roman" w:cs="Times New Roman"/>
          <w:i/>
          <w:iCs/>
          <w:sz w:val="24"/>
          <w:szCs w:val="19"/>
        </w:rPr>
        <w:t>(..) visi darījumi, ko tās veic ārvalstīs, jāatspoguļo attiecīgajos darījumos ar valdību</w:t>
      </w:r>
      <w:r w:rsidRPr="00B03B51">
        <w:rPr>
          <w:rFonts w:ascii="Times New Roman" w:hAnsi="Times New Roman" w:cs="Times New Roman"/>
          <w:sz w:val="24"/>
          <w:szCs w:val="19"/>
        </w:rPr>
        <w:t>.</w:t>
      </w:r>
    </w:p>
    <w:p w14:paraId="45920AF1"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p>
    <w:p w14:paraId="0EBAA322"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7. EKS 2010 20.48. punktā sniegts sīkāks paskaidrojums par šo punktu. Darījumi, ko veic ĪNDS, kura nav rezidentvienība, tiek ierakstīti teritorijā, bet nosacītie “spoguļa” darījumi tiks pievienoti starp ĪNDS un valdību. Piemēram, ĪNDS aizņēmums radīs valdībai saistības (pēc ienākumu no emisijas pārveduma) un līdz ar to palielinās valdības parādu. Gadījumā, ja vērtspapirizācija notiek ar nerezidentvienības ĪNDS starpniecību, aktīvu pārdošana (finanšu un nefinanšu) kā tāda nacionālajos kontos netiktu atzīta, un pasākuma rezultātā valdība ņemtu jaunu aizdevumu.</w:t>
      </w:r>
    </w:p>
    <w:p w14:paraId="29111230"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p>
    <w:p w14:paraId="0EF3962E"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8. EKS 2010 2.19. punktā paredzēts gadījums, kad valdības kontrolēta ĪNDS var būt klasificēta ārpus valdības sektora (parasti S.12 sektorā). Tomēr šādā gadījumā jābūt pārliecinošiem pierādījumiem, kas apliecina, ka valdības kontrolētā ĪNDS faktiski varētu rīkoties “neatkarīgi”, nevis saskaņā ar noteiktiem ierobežojumiem, kurus pilnībā noteikusi valdība. Tomēr, ja ĪNDS ir izveidota ar mērķi apkalpot valdības vienību, par rīcības neatkarības trūkumu var liecināt cita starpā šādi apstākļi:</w:t>
      </w:r>
    </w:p>
    <w:p w14:paraId="31D514EA"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p>
    <w:p w14:paraId="5690234F" w14:textId="77777777" w:rsidR="00994F93" w:rsidRPr="00B03B51" w:rsidRDefault="00994F93" w:rsidP="00D100A9">
      <w:pPr>
        <w:pStyle w:val="BodyText"/>
        <w:numPr>
          <w:ilvl w:val="1"/>
          <w:numId w:val="22"/>
        </w:numPr>
        <w:tabs>
          <w:tab w:val="left" w:pos="1123"/>
        </w:tabs>
        <w:spacing w:before="0"/>
        <w:ind w:left="426" w:hanging="425"/>
        <w:jc w:val="both"/>
        <w:rPr>
          <w:rFonts w:ascii="Times New Roman" w:hAnsi="Times New Roman" w:cs="Times New Roman"/>
          <w:noProof/>
          <w:sz w:val="24"/>
        </w:rPr>
      </w:pPr>
      <w:r w:rsidRPr="00B03B51">
        <w:rPr>
          <w:rFonts w:ascii="Times New Roman" w:hAnsi="Times New Roman" w:cs="Times New Roman"/>
          <w:sz w:val="24"/>
        </w:rPr>
        <w:t xml:space="preserve">valdība </w:t>
      </w:r>
      <w:r w:rsidRPr="00B03B51">
        <w:rPr>
          <w:rFonts w:ascii="Times New Roman" w:hAnsi="Times New Roman" w:cs="Times New Roman"/>
          <w:i/>
          <w:iCs/>
          <w:sz w:val="24"/>
        </w:rPr>
        <w:t>de facto</w:t>
      </w:r>
      <w:r w:rsidRPr="00B03B51">
        <w:rPr>
          <w:rFonts w:ascii="Times New Roman" w:hAnsi="Times New Roman" w:cs="Times New Roman"/>
          <w:sz w:val="24"/>
        </w:rPr>
        <w:t xml:space="preserve"> pārvalda</w:t>
      </w:r>
      <w:r w:rsidRPr="00B03B51">
        <w:rPr>
          <w:rStyle w:val="FootnoteReference"/>
          <w:rFonts w:ascii="Times New Roman" w:hAnsi="Times New Roman" w:cs="Times New Roman"/>
          <w:noProof/>
          <w:sz w:val="24"/>
        </w:rPr>
        <w:footnoteReference w:id="76"/>
      </w:r>
      <w:r w:rsidRPr="00B03B51">
        <w:rPr>
          <w:rFonts w:ascii="Times New Roman" w:hAnsi="Times New Roman" w:cs="Times New Roman"/>
          <w:sz w:val="24"/>
        </w:rPr>
        <w:t xml:space="preserve"> ĪNDS parādu (piemēram, šie pienākumi ir nodoti Valsts kases Parāda pārvaldības birojam), vai</w:t>
      </w:r>
    </w:p>
    <w:p w14:paraId="72A7606B" w14:textId="77777777" w:rsidR="00994F93" w:rsidRPr="00B03B51" w:rsidRDefault="00994F93" w:rsidP="00D100A9">
      <w:pPr>
        <w:pStyle w:val="BodyText"/>
        <w:numPr>
          <w:ilvl w:val="1"/>
          <w:numId w:val="22"/>
        </w:numPr>
        <w:tabs>
          <w:tab w:val="left" w:pos="1123"/>
        </w:tabs>
        <w:spacing w:before="0"/>
        <w:ind w:left="426" w:hanging="425"/>
        <w:jc w:val="both"/>
        <w:rPr>
          <w:rFonts w:ascii="Times New Roman" w:hAnsi="Times New Roman" w:cs="Times New Roman"/>
          <w:noProof/>
          <w:sz w:val="24"/>
        </w:rPr>
      </w:pPr>
      <w:r w:rsidRPr="00B03B51">
        <w:rPr>
          <w:rFonts w:ascii="Times New Roman" w:hAnsi="Times New Roman" w:cs="Times New Roman"/>
          <w:sz w:val="24"/>
        </w:rPr>
        <w:t>tiesību vai spējas neesamība aktīvi pārvaldīt savus aktīvus, reaģējot uz tirgus apstākļiem (arbitrāža), jo valdībai ir tiesības apstiprināt jebkādu būtisku lēmumu attiecībā uz šo jautājumu, vai</w:t>
      </w:r>
    </w:p>
    <w:p w14:paraId="1A2AD718" w14:textId="77777777" w:rsidR="00994F93" w:rsidRPr="00B03B51" w:rsidRDefault="00994F93" w:rsidP="00D100A9">
      <w:pPr>
        <w:pStyle w:val="BodyText"/>
        <w:numPr>
          <w:ilvl w:val="1"/>
          <w:numId w:val="22"/>
        </w:numPr>
        <w:tabs>
          <w:tab w:val="left" w:pos="1123"/>
        </w:tabs>
        <w:spacing w:before="0"/>
        <w:ind w:left="426" w:hanging="425"/>
        <w:jc w:val="both"/>
        <w:rPr>
          <w:rFonts w:ascii="Times New Roman" w:hAnsi="Times New Roman" w:cs="Times New Roman"/>
          <w:noProof/>
          <w:sz w:val="24"/>
        </w:rPr>
      </w:pPr>
      <w:r w:rsidRPr="00B03B51">
        <w:rPr>
          <w:rFonts w:ascii="Times New Roman" w:hAnsi="Times New Roman" w:cs="Times New Roman"/>
          <w:sz w:val="24"/>
        </w:rPr>
        <w:t>iepriekš saskaņots, valdības parakstīts līgums vai vienošanās, kurā ir pilnīgi noteikta ĪNDS darbība.</w:t>
      </w:r>
    </w:p>
    <w:p w14:paraId="788A6EAF" w14:textId="77777777" w:rsidR="00994F93" w:rsidRPr="00B03B51" w:rsidRDefault="00994F93" w:rsidP="00994F93">
      <w:pPr>
        <w:jc w:val="both"/>
        <w:rPr>
          <w:rFonts w:ascii="Times New Roman" w:eastAsia="Arial" w:hAnsi="Times New Roman" w:cs="Times New Roman"/>
          <w:noProof/>
          <w:sz w:val="24"/>
          <w:szCs w:val="19"/>
        </w:rPr>
      </w:pPr>
    </w:p>
    <w:p w14:paraId="71C52DE7" w14:textId="77777777" w:rsidR="00994F93" w:rsidRPr="00B03B51" w:rsidRDefault="00994F93" w:rsidP="00994F93">
      <w:pPr>
        <w:jc w:val="both"/>
        <w:rPr>
          <w:rFonts w:ascii="Times New Roman" w:hAnsi="Times New Roman" w:cs="Times New Roman"/>
          <w:b/>
          <w:noProof/>
          <w:sz w:val="24"/>
        </w:rPr>
      </w:pPr>
      <w:r w:rsidRPr="00B03B51">
        <w:rPr>
          <w:rFonts w:ascii="Times New Roman" w:hAnsi="Times New Roman" w:cs="Times New Roman"/>
          <w:b/>
          <w:sz w:val="24"/>
        </w:rPr>
        <w:t>ĪNDS, kas veic finanšu darbības</w:t>
      </w:r>
    </w:p>
    <w:p w14:paraId="347EDA59" w14:textId="77777777" w:rsidR="00994F93" w:rsidRPr="00B03B51" w:rsidRDefault="00994F93" w:rsidP="00994F93">
      <w:pPr>
        <w:jc w:val="both"/>
        <w:rPr>
          <w:rFonts w:ascii="Times New Roman" w:eastAsia="Arial" w:hAnsi="Times New Roman" w:cs="Times New Roman"/>
          <w:b/>
          <w:bCs/>
          <w:noProof/>
          <w:sz w:val="24"/>
          <w:szCs w:val="21"/>
        </w:rPr>
      </w:pPr>
    </w:p>
    <w:p w14:paraId="018B63AC"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 xml:space="preserve">9. Dažos gadījumos valdības kontrolēta ĪNDS var būt formāli izveidota ar finanšu iestādes statusu (kas nozīmē to, ka tai jāizpilda noteikti uzraudzības un regulēšanas pienākumi), lai veiktu darījumus valdības vārdā. Ja šajos gadījumos ĪNDS nedarbojas neatkarīgi un tai līdz ar to ir ļoti ierobežota lēmumu pieņemšanas autonomija un ja valdība tiešām ir ierosinājusi darījumu, tad ĪNDS darbojas tikai valdības vārdā, nepakļaujot sevi riskam, un nepieņem ar aktīvu pārvaldību saistītus lēmumus. Šajā saistībā EKS 2010 2.57. punktā ir noteikts, ka </w:t>
      </w:r>
      <w:r w:rsidRPr="00B03B51">
        <w:rPr>
          <w:rFonts w:ascii="Times New Roman" w:hAnsi="Times New Roman" w:cs="Times New Roman"/>
          <w:i/>
          <w:iCs/>
          <w:sz w:val="24"/>
        </w:rPr>
        <w:t>(..) finanšu starpnieks ne tikai darbojas kā citu institucionālo vienību aģents, bet arī pakļauj sevi riskam, savā vārdā pērkot finanšu aktīvus un uzņemoties saistības</w:t>
      </w:r>
      <w:r w:rsidRPr="00B03B51">
        <w:rPr>
          <w:rFonts w:ascii="Times New Roman" w:hAnsi="Times New Roman" w:cs="Times New Roman"/>
          <w:sz w:val="24"/>
        </w:rPr>
        <w:t xml:space="preserve">. Pretējā gadījumā šādu ĪNDS </w:t>
      </w:r>
      <w:r w:rsidRPr="00B03B51">
        <w:rPr>
          <w:rFonts w:ascii="Times New Roman" w:hAnsi="Times New Roman" w:cs="Times New Roman"/>
          <w:sz w:val="24"/>
        </w:rPr>
        <w:lastRenderedPageBreak/>
        <w:t>klasificē valdības sektorā. Praksē katrs šāds gadījums ir jāanalizē atsevišķi. Ja ĪNDS atbilst nosacījumiem, saskaņā ar kuriem to var uzskatīt par atsevišķu institucionālu vienību, un tai vienlaikus ir paplašinātas tiesības ar aktīviem un pasīviem saistīto risku aktīvā pārvaldībā, kuru dēļ tās veikto darbību var klasificēt kā finanšu starpniecību, tā jāklasificē kā finanšu sabiedrība (S.12).</w:t>
      </w:r>
    </w:p>
    <w:p w14:paraId="5B7B8111"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p>
    <w:p w14:paraId="2C13633D"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10. EKS 2010 2.90. punkts kopumā attiecas uz “finanšu instrumentsabiedrībām” (FIS), kas iesaistītas vērtspapirizācijas darījumos (lai arī tās ir labāk pazīstamas kā ĪNDS) un kas jāklasificē apakšsektorā “citi finanšu starpnieki, izņemot apdrošināšanas sabiedrības un pensiju fondus” (S.125), ja tās tiek atzītas par atsevišķu institucionālu vienību.</w:t>
      </w:r>
      <w:r w:rsidRPr="00B03B51">
        <w:rPr>
          <w:rStyle w:val="FootnoteReference"/>
          <w:rFonts w:ascii="Times New Roman" w:hAnsi="Times New Roman" w:cs="Times New Roman"/>
          <w:noProof/>
          <w:sz w:val="24"/>
        </w:rPr>
        <w:footnoteReference w:id="77"/>
      </w:r>
      <w:r w:rsidRPr="00B03B51">
        <w:rPr>
          <w:rFonts w:ascii="Times New Roman" w:hAnsi="Times New Roman" w:cs="Times New Roman"/>
          <w:sz w:val="24"/>
          <w:szCs w:val="12"/>
        </w:rPr>
        <w:t xml:space="preserve"> </w:t>
      </w:r>
      <w:r w:rsidRPr="00B03B51">
        <w:rPr>
          <w:rFonts w:ascii="Times New Roman" w:hAnsi="Times New Roman" w:cs="Times New Roman"/>
          <w:sz w:val="24"/>
        </w:rPr>
        <w:t>Attiecībā uz finanšu sabiedrību sektoru šī FIS identificēšana atsevišķi no labuma guvēja subjekta var būt būtiska no analīzes viedokļa. Savukārt, ja vērtspapirizācijas darījumā labuma guvējs ir valdības vienība, sektoru klasifikācija jāveic, ievērojot šīs rokasgrāmatas 5.5.2. iedaļas noteikumus.</w:t>
      </w:r>
      <w:r w:rsidRPr="00B03B51">
        <w:rPr>
          <w:rStyle w:val="FootnoteReference"/>
          <w:rFonts w:ascii="Times New Roman" w:hAnsi="Times New Roman" w:cs="Times New Roman"/>
          <w:noProof/>
          <w:sz w:val="24"/>
        </w:rPr>
        <w:footnoteReference w:id="78"/>
      </w:r>
      <w:r w:rsidRPr="00B03B51">
        <w:rPr>
          <w:rFonts w:ascii="Times New Roman" w:hAnsi="Times New Roman" w:cs="Times New Roman"/>
          <w:sz w:val="24"/>
        </w:rPr>
        <w:t xml:space="preserve"> Kā minēts iepriekš, EKS 2010 2.20. punktā norādīts, ka īpašas vispārējās valdības struktūras, kurām nav rīcības neatkarības, tiek iekļautas kontrolējošās valdības vienības apakšsektorā.</w:t>
      </w:r>
    </w:p>
    <w:p w14:paraId="7ED2D5FA" w14:textId="77777777" w:rsidR="00994F93" w:rsidRPr="00B03B51" w:rsidRDefault="00994F93" w:rsidP="00994F93">
      <w:pPr>
        <w:jc w:val="both"/>
        <w:rPr>
          <w:rFonts w:ascii="Times New Roman" w:hAnsi="Times New Roman" w:cs="Times New Roman"/>
          <w:noProof/>
          <w:sz w:val="24"/>
        </w:rPr>
      </w:pPr>
    </w:p>
    <w:p w14:paraId="7967C836" w14:textId="77777777" w:rsidR="00994F93" w:rsidRPr="00B03B51" w:rsidRDefault="00994F93" w:rsidP="00994F93">
      <w:pPr>
        <w:pStyle w:val="Heading3"/>
        <w:tabs>
          <w:tab w:val="left" w:pos="1265"/>
        </w:tabs>
        <w:ind w:left="0" w:firstLine="0"/>
        <w:jc w:val="both"/>
        <w:rPr>
          <w:rFonts w:ascii="Times New Roman" w:hAnsi="Times New Roman" w:cs="Times New Roman"/>
          <w:noProof/>
          <w:sz w:val="24"/>
        </w:rPr>
      </w:pPr>
      <w:bookmarkStart w:id="66" w:name="_Toc67565036"/>
      <w:r w:rsidRPr="00B03B51">
        <w:rPr>
          <w:rFonts w:ascii="Times New Roman" w:hAnsi="Times New Roman" w:cs="Times New Roman"/>
          <w:sz w:val="24"/>
        </w:rPr>
        <w:t>1.6.3. Publiski centrālie biroji, publiskas kontrolakciju sabiedrības un to meitasuzņēmumi</w:t>
      </w:r>
      <w:bookmarkEnd w:id="66"/>
    </w:p>
    <w:p w14:paraId="1D78AB24" w14:textId="77777777" w:rsidR="00994F93" w:rsidRPr="009D08C4" w:rsidRDefault="00994F93" w:rsidP="009D08C4">
      <w:pPr>
        <w:rPr>
          <w:rFonts w:ascii="Times New Roman" w:hAnsi="Times New Roman" w:cs="Times New Roman"/>
          <w:noProof/>
          <w:sz w:val="24"/>
          <w:szCs w:val="24"/>
        </w:rPr>
      </w:pPr>
    </w:p>
    <w:p w14:paraId="394A50BB" w14:textId="77777777" w:rsidR="00994F93" w:rsidRPr="00B03B51" w:rsidRDefault="00994F93" w:rsidP="00994F93">
      <w:pPr>
        <w:pStyle w:val="Heading6"/>
        <w:tabs>
          <w:tab w:val="left" w:pos="1265"/>
        </w:tabs>
        <w:ind w:left="0" w:firstLine="0"/>
        <w:jc w:val="both"/>
        <w:rPr>
          <w:rFonts w:ascii="Times New Roman" w:hAnsi="Times New Roman" w:cs="Times New Roman"/>
          <w:noProof/>
          <w:sz w:val="24"/>
        </w:rPr>
      </w:pPr>
      <w:r w:rsidRPr="00B03B51">
        <w:rPr>
          <w:rFonts w:ascii="Times New Roman" w:hAnsi="Times New Roman" w:cs="Times New Roman"/>
          <w:sz w:val="24"/>
        </w:rPr>
        <w:t>1.6.3.1. PUBLISKI CENTRĀLIE BIROJI</w:t>
      </w:r>
    </w:p>
    <w:p w14:paraId="7307E8CD" w14:textId="77777777" w:rsidR="00994F93" w:rsidRPr="00B03B51" w:rsidRDefault="00994F93" w:rsidP="00994F93">
      <w:pPr>
        <w:tabs>
          <w:tab w:val="left" w:pos="840"/>
        </w:tabs>
        <w:jc w:val="both"/>
        <w:rPr>
          <w:rFonts w:ascii="Times New Roman" w:eastAsia="Arial" w:hAnsi="Times New Roman" w:cs="Times New Roman"/>
          <w:noProof/>
          <w:sz w:val="24"/>
          <w:szCs w:val="19"/>
        </w:rPr>
      </w:pPr>
    </w:p>
    <w:p w14:paraId="117AFCA2" w14:textId="77777777" w:rsidR="00994F93" w:rsidRPr="00B03B51" w:rsidRDefault="00994F93" w:rsidP="00994F93">
      <w:pPr>
        <w:tabs>
          <w:tab w:val="left" w:pos="840"/>
        </w:tabs>
        <w:jc w:val="both"/>
        <w:rPr>
          <w:rFonts w:ascii="Times New Roman" w:eastAsia="Arial" w:hAnsi="Times New Roman" w:cs="Times New Roman"/>
          <w:noProof/>
          <w:sz w:val="24"/>
          <w:szCs w:val="19"/>
        </w:rPr>
      </w:pPr>
      <w:r w:rsidRPr="00B03B51">
        <w:rPr>
          <w:rFonts w:ascii="Times New Roman" w:hAnsi="Times New Roman" w:cs="Times New Roman"/>
          <w:sz w:val="24"/>
          <w:szCs w:val="19"/>
        </w:rPr>
        <w:t xml:space="preserve">11. Saskaņā ar EKS 2010 2.12. punktu: </w:t>
      </w:r>
      <w:r w:rsidRPr="00B03B51">
        <w:rPr>
          <w:rFonts w:ascii="Times New Roman" w:hAnsi="Times New Roman" w:cs="Times New Roman"/>
          <w:i/>
          <w:iCs/>
          <w:sz w:val="24"/>
          <w:szCs w:val="19"/>
        </w:rPr>
        <w:t>(..) institucionālā vienība ir ekonomisks subjekts, ko raksturo lēmumu pieņemšanas autonomija savu pamatfunkciju īstenošanā (..)</w:t>
      </w:r>
      <w:r w:rsidRPr="00B03B51">
        <w:rPr>
          <w:rFonts w:ascii="Times New Roman" w:hAnsi="Times New Roman" w:cs="Times New Roman"/>
          <w:sz w:val="24"/>
          <w:szCs w:val="19"/>
        </w:rPr>
        <w:t xml:space="preserve"> Citu kritēriju starpā šo var uzskatīt par pamatkritēriju. Svarīgs aspekts ir tas, ka neatkarīgi no tā, vai subjekts tiek atzīts par institucionālu vienību, tā klasifikācija ir jānovērtē individuāli. Galvenais jautājums, kas jāapsver centrālo biroju un to meitasuzņēmumu klasifikācijā, ir tas, vai noteicošais ir šis vispārīgais noteikums vai arī pastāv vai vajadzētu pastāvēt kādiem īpašiem noteikumiem attiecībā uz šiem subjektiem. </w:t>
      </w:r>
      <w:r w:rsidRPr="00B03B51">
        <w:rPr>
          <w:rFonts w:ascii="Times New Roman" w:hAnsi="Times New Roman" w:cs="Times New Roman"/>
          <w:sz w:val="24"/>
        </w:rPr>
        <w:t xml:space="preserve">EKS 2010 2.15. punktā ir noteikts, ka subjektu grupās </w:t>
      </w:r>
      <w:r w:rsidRPr="00B03B51">
        <w:rPr>
          <w:rFonts w:ascii="Times New Roman" w:hAnsi="Times New Roman" w:cs="Times New Roman"/>
          <w:i/>
          <w:iCs/>
          <w:sz w:val="24"/>
        </w:rPr>
        <w:t>(..) katrs grupas dalībnieks tiek uztverts kā atsevišķa institucionāla vienība, ja tas atbilst institucionālas vienības definīcijai (..)</w:t>
      </w:r>
      <w:r w:rsidRPr="00B03B51">
        <w:rPr>
          <w:rFonts w:ascii="Times New Roman" w:hAnsi="Times New Roman" w:cs="Times New Roman"/>
          <w:sz w:val="24"/>
        </w:rPr>
        <w:t>. Pretējā gadījumā tas jāapvieno ar vienību, kas to kontrolē (sīkāka informācija ir sniegta 1.6.3.3. apakšiedaļā).</w:t>
      </w:r>
    </w:p>
    <w:p w14:paraId="363A8594" w14:textId="77777777" w:rsidR="00994F93" w:rsidRPr="00B03B51" w:rsidRDefault="00994F93" w:rsidP="00994F93">
      <w:pPr>
        <w:tabs>
          <w:tab w:val="left" w:pos="840"/>
        </w:tabs>
        <w:jc w:val="both"/>
        <w:rPr>
          <w:rFonts w:ascii="Times New Roman" w:eastAsia="Arial" w:hAnsi="Times New Roman" w:cs="Times New Roman"/>
          <w:noProof/>
          <w:sz w:val="24"/>
          <w:szCs w:val="19"/>
        </w:rPr>
      </w:pPr>
    </w:p>
    <w:p w14:paraId="7E23577A" w14:textId="77777777" w:rsidR="00994F93" w:rsidRPr="00B03B51" w:rsidRDefault="00994F93" w:rsidP="00994F93">
      <w:pPr>
        <w:tabs>
          <w:tab w:val="left" w:pos="840"/>
        </w:tabs>
        <w:jc w:val="both"/>
        <w:rPr>
          <w:rFonts w:ascii="Times New Roman" w:eastAsia="Arial" w:hAnsi="Times New Roman" w:cs="Times New Roman"/>
          <w:noProof/>
          <w:sz w:val="24"/>
          <w:szCs w:val="19"/>
        </w:rPr>
      </w:pPr>
      <w:r w:rsidRPr="00B03B51">
        <w:rPr>
          <w:rFonts w:ascii="Times New Roman" w:hAnsi="Times New Roman" w:cs="Times New Roman"/>
          <w:sz w:val="24"/>
          <w:szCs w:val="19"/>
        </w:rPr>
        <w:t xml:space="preserve">12. Kopumā centrālais birojs ir institucionāla vienība, kas EKS 2010 2.14. punkta a) apakšpunktā ir definēts kā </w:t>
      </w:r>
      <w:r w:rsidRPr="00B03B51">
        <w:rPr>
          <w:rFonts w:ascii="Times New Roman" w:hAnsi="Times New Roman" w:cs="Times New Roman"/>
          <w:i/>
          <w:iCs/>
          <w:sz w:val="24"/>
          <w:szCs w:val="19"/>
        </w:rPr>
        <w:t>vienība, kas pārvalda savus meitasuzņēmumus</w:t>
      </w:r>
      <w:r w:rsidRPr="00B03B51">
        <w:rPr>
          <w:rFonts w:ascii="Times New Roman" w:hAnsi="Times New Roman" w:cs="Times New Roman"/>
          <w:sz w:val="24"/>
          <w:szCs w:val="19"/>
        </w:rPr>
        <w:t xml:space="preserve"> un kas ir iedalīta </w:t>
      </w:r>
      <w:r w:rsidRPr="00B03B51">
        <w:rPr>
          <w:rFonts w:ascii="Times New Roman" w:hAnsi="Times New Roman" w:cs="Times New Roman"/>
          <w:i/>
          <w:iCs/>
          <w:sz w:val="24"/>
          <w:szCs w:val="19"/>
        </w:rPr>
        <w:t>(..) savu meitasuzņēmumu galvenajā nefinanšu sabiedrību sektorā, ja vien visi vai lielākā daļa meitasuzņēmumu nav finanšu sabiedrības, jo tādā gadījumā tos uzskata par finanšu palīgsabiedrībām (S.126) finanšu sabiedrību sektorā (..)</w:t>
      </w:r>
      <w:r w:rsidRPr="00B03B51">
        <w:rPr>
          <w:rFonts w:ascii="Times New Roman" w:hAnsi="Times New Roman" w:cs="Times New Roman"/>
          <w:sz w:val="24"/>
          <w:szCs w:val="19"/>
        </w:rPr>
        <w:t xml:space="preserve"> (skat. arī EKS 2010 20.35. punktu). Līdz ar to centrālais birojs ir ievērojami iesaistīts citu grupas vienību (meitasuzņēmumu) pārvaldībā, sniedzot tiem atsevišķus pakalpojumus, tostarp nodrošinot grupas koordināciju. Tas nozīmē, ka centrālais birojs īsteno vadības uzdevumus un pilnvaras, kas nav tikai vienkārša regulāra līdzdalība grupā ietilpstošo meitasuzņēmumu sapulcē, un centrālā biroja vadības struktūras svarīgākos lēmumus pieņem vai apstiprina zemākā līmenī.</w:t>
      </w:r>
    </w:p>
    <w:p w14:paraId="2CDFE5EC"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p>
    <w:p w14:paraId="2484594A"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13. Saskaņā ar EKS 2010</w:t>
      </w:r>
      <w:r w:rsidRPr="00B03B51">
        <w:rPr>
          <w:rStyle w:val="FootnoteReference"/>
          <w:rFonts w:ascii="Times New Roman" w:hAnsi="Times New Roman" w:cs="Times New Roman"/>
          <w:noProof/>
          <w:sz w:val="24"/>
        </w:rPr>
        <w:footnoteReference w:id="79"/>
      </w:r>
      <w:r w:rsidRPr="00B03B51">
        <w:rPr>
          <w:rFonts w:ascii="Times New Roman" w:hAnsi="Times New Roman" w:cs="Times New Roman"/>
          <w:sz w:val="24"/>
        </w:rPr>
        <w:t xml:space="preserve"> centrālais birojs ir jānošķir no kontrolakciju sabiedrības </w:t>
      </w:r>
      <w:r w:rsidRPr="00B03B51">
        <w:rPr>
          <w:rFonts w:ascii="Times New Roman" w:hAnsi="Times New Roman" w:cs="Times New Roman"/>
          <w:sz w:val="24"/>
        </w:rPr>
        <w:lastRenderedPageBreak/>
        <w:t>(skat. 1.6.3.2. apakšiedaļu). Tāpēc ir svarīgi katru gadījumu izvērtēt atsevišķi</w:t>
      </w:r>
      <w:r w:rsidRPr="00B03B51">
        <w:rPr>
          <w:rStyle w:val="FootnoteReference"/>
          <w:rFonts w:ascii="Times New Roman" w:hAnsi="Times New Roman" w:cs="Times New Roman"/>
          <w:noProof/>
          <w:sz w:val="24"/>
        </w:rPr>
        <w:footnoteReference w:id="80"/>
      </w:r>
      <w:r w:rsidRPr="00B03B51">
        <w:rPr>
          <w:rFonts w:ascii="Times New Roman" w:hAnsi="Times New Roman" w:cs="Times New Roman"/>
          <w:sz w:val="24"/>
        </w:rPr>
        <w:t>, lai pārbaudītu šādu vienību faktiskos pienākumus grupas vadības jomā, to statūtus un iekšējos noteikumus, cilvēkresursus</w:t>
      </w:r>
      <w:r w:rsidRPr="00B03B51">
        <w:rPr>
          <w:rStyle w:val="FootnoteReference"/>
          <w:rFonts w:ascii="Times New Roman" w:hAnsi="Times New Roman" w:cs="Times New Roman"/>
          <w:noProof/>
          <w:sz w:val="24"/>
        </w:rPr>
        <w:footnoteReference w:id="81"/>
      </w:r>
      <w:r w:rsidRPr="00B03B51">
        <w:rPr>
          <w:rFonts w:ascii="Times New Roman" w:hAnsi="Times New Roman" w:cs="Times New Roman"/>
          <w:sz w:val="24"/>
        </w:rPr>
        <w:t xml:space="preserve"> un fiziskos līdzekļus, ieņēmumu avotu un izdevumu būtību.</w:t>
      </w:r>
      <w:r w:rsidRPr="00B03B51">
        <w:rPr>
          <w:rStyle w:val="FootnoteReference"/>
          <w:rFonts w:ascii="Times New Roman" w:hAnsi="Times New Roman" w:cs="Times New Roman"/>
          <w:noProof/>
          <w:sz w:val="24"/>
        </w:rPr>
        <w:footnoteReference w:id="82"/>
      </w:r>
      <w:r w:rsidRPr="00B03B51">
        <w:rPr>
          <w:rFonts w:ascii="Times New Roman" w:hAnsi="Times New Roman" w:cs="Times New Roman"/>
          <w:sz w:val="24"/>
        </w:rPr>
        <w:t xml:space="preserve"> Svarīgs rādītājs, kas jāņem vērā, ir arī privātu akcionāru esamība (ar faktisku ietekmi uz atsevišķiem lēmumiem, kas būtiski vismaz grupā ietilpstošajiem subjektiem).</w:t>
      </w:r>
    </w:p>
    <w:p w14:paraId="04623B76"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p>
    <w:p w14:paraId="478FCD99"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14. Centrālajam birojam ir jāsniedz pakalpojumi meitasvienībām. Praksē tā nenotiktu, ja šādas struktūras būtu izveidotas kādas ierobežojošas darbības veikšanai, piemēram, lai pārorganizētu, pārstrukturētu meitasvienības un vadītu to pilnīgu vai daļēju atsavināšanu, uz ierobežotu laika posmu un ne kā pastāvīga struktūra.</w:t>
      </w:r>
    </w:p>
    <w:p w14:paraId="72CF351B" w14:textId="77777777" w:rsidR="00994F93" w:rsidRPr="00B03B51" w:rsidRDefault="00994F93" w:rsidP="00994F93">
      <w:pPr>
        <w:pStyle w:val="BodyText"/>
        <w:spacing w:before="0"/>
        <w:ind w:left="0" w:firstLine="0"/>
        <w:jc w:val="both"/>
        <w:rPr>
          <w:rFonts w:ascii="Times New Roman" w:hAnsi="Times New Roman" w:cs="Times New Roman"/>
          <w:noProof/>
          <w:sz w:val="24"/>
        </w:rPr>
      </w:pPr>
    </w:p>
    <w:p w14:paraId="12353470" w14:textId="77777777" w:rsidR="00994F93" w:rsidRPr="00B03B51" w:rsidRDefault="00994F93" w:rsidP="00994F93">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t>Atzītie publiskie centrālie biroji tiek klasificēti nefinanšu sabiedrību sektorā (S.11), ja tie kontrolē tirgus nefinanšu ražotāju grupu, vai finanšu sabiedrību sektorā (kā S.126 “finanšu palīgsabiedrības”), ja tās kontrolē grupu, kura galvenokārt nodarbojas ar finanšu starpniecību. Ja darbības ir “jauktas”, publisku centrālo biroju klasificē attiecīgā sektorā, pamatojoties uz tā meitasvienību dominējošo pievienotās vērtības daļu. Gadījumā, ja publiskais centrālais birojs kontrolē galvenokārt ārpustirgus meitasuzņēmumus, šādu centrālo biroju klasificē vispārējās valdības sektorā (S.13).</w:t>
      </w:r>
    </w:p>
    <w:p w14:paraId="1E296842" w14:textId="77777777" w:rsidR="00994F93" w:rsidRPr="00B03B51" w:rsidRDefault="00994F93" w:rsidP="00994F93">
      <w:pPr>
        <w:jc w:val="both"/>
        <w:rPr>
          <w:rFonts w:ascii="Times New Roman" w:eastAsia="Arial" w:hAnsi="Times New Roman" w:cs="Times New Roman"/>
          <w:noProof/>
          <w:sz w:val="24"/>
          <w:szCs w:val="16"/>
        </w:rPr>
      </w:pPr>
    </w:p>
    <w:p w14:paraId="35916EF7" w14:textId="77777777" w:rsidR="00994F93" w:rsidRPr="00B03B51" w:rsidRDefault="00994F93" w:rsidP="00994F93">
      <w:pPr>
        <w:pStyle w:val="Heading6"/>
        <w:tabs>
          <w:tab w:val="left" w:pos="1265"/>
        </w:tabs>
        <w:ind w:left="0" w:firstLine="0"/>
        <w:jc w:val="both"/>
        <w:rPr>
          <w:rFonts w:ascii="Times New Roman" w:hAnsi="Times New Roman" w:cs="Times New Roman"/>
          <w:noProof/>
          <w:sz w:val="24"/>
        </w:rPr>
      </w:pPr>
      <w:r w:rsidRPr="00B03B51">
        <w:rPr>
          <w:rFonts w:ascii="Times New Roman" w:hAnsi="Times New Roman" w:cs="Times New Roman"/>
          <w:sz w:val="24"/>
        </w:rPr>
        <w:t>1.6.3.2. PUBLISKAS KONTROLAKCIJU SABIEDRĪBAS</w:t>
      </w:r>
    </w:p>
    <w:p w14:paraId="275ABC0B"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p>
    <w:p w14:paraId="5EECC251"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15. Saskaņā ar EKS 2010 2.14. punkta b) apakšpunktu kontrolakciju sabiedrība</w:t>
      </w:r>
      <w:r w:rsidRPr="00B03B51">
        <w:rPr>
          <w:rStyle w:val="FootnoteReference"/>
          <w:rFonts w:ascii="Times New Roman" w:hAnsi="Times New Roman" w:cs="Times New Roman"/>
          <w:noProof/>
          <w:sz w:val="24"/>
        </w:rPr>
        <w:footnoteReference w:id="83"/>
      </w:r>
      <w:r w:rsidRPr="00B03B51">
        <w:rPr>
          <w:rFonts w:ascii="Times New Roman" w:hAnsi="Times New Roman" w:cs="Times New Roman"/>
          <w:sz w:val="24"/>
        </w:rPr>
        <w:t xml:space="preserve"> ir institucionālā vienība, kas tur meitasuzņēmumu aktīvus, īsteno kontroli pār tām, taču neuzņemas to pārvaldību, t. i., tās aktīvi neiesaistās grupas ikdienas darbībās. Kontrolakciju sabiedrības galvenokārt pārrauga meitasuzņēmumu ienākuma sadali un pārdala ienākumu savam(-iem) akcionāram(-iem). Precīzāk, šādi subjekti nesniedz nekādus citus pakalpojumus subjektiem, kuros tie tur aktīvus. Saskaņā ar EKS 2010 2.14. punkta b) apakšpunktu, vispārīgi raugoties, kontrolakciju sabiedrības ir jāuzskata par piesaistošām finanšu sabiedrībām (S.127), taču, šķiet, to nevar piemērot publiskām kontrolakciju sabiedrībām.</w:t>
      </w:r>
    </w:p>
    <w:p w14:paraId="3BE792D7"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p>
    <w:p w14:paraId="3DF90DC9"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16. Valdība var kontrolēt kontrolakciju sabiedrību, kuras darbība liecina par to, ka tā darbojas vienkārši kā valdības aģents. Norādes varētu sniegt tas, kādam darbības termiņam tā ir izveidota un/vai kādi ir tai uzticētie pienākumi (parasti ierobežotā darbības jomā).</w:t>
      </w:r>
    </w:p>
    <w:p w14:paraId="16929D08"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p>
    <w:p w14:paraId="119EFA8D"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17. Publisku kontrolakciju sabiedrību, kas tur meitasvienību aktīvus (pašu kapitālu un, iespējams, citus finanšu aktīvus) klasificē kā norādīts turpmāk:</w:t>
      </w:r>
    </w:p>
    <w:p w14:paraId="1AFEA102"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p>
    <w:p w14:paraId="35737C87" w14:textId="77777777" w:rsidR="00994F93" w:rsidRPr="00B03B51" w:rsidRDefault="00994F93" w:rsidP="00994F93">
      <w:pPr>
        <w:pStyle w:val="BodyText"/>
        <w:tabs>
          <w:tab w:val="left" w:pos="1123"/>
        </w:tabs>
        <w:spacing w:before="0"/>
        <w:ind w:left="284" w:firstLine="0"/>
        <w:jc w:val="both"/>
        <w:rPr>
          <w:rFonts w:ascii="Times New Roman" w:hAnsi="Times New Roman" w:cs="Times New Roman"/>
          <w:noProof/>
          <w:sz w:val="24"/>
        </w:rPr>
      </w:pPr>
      <w:r w:rsidRPr="00B03B51">
        <w:rPr>
          <w:rFonts w:ascii="Times New Roman" w:hAnsi="Times New Roman" w:cs="Times New Roman"/>
          <w:sz w:val="24"/>
        </w:rPr>
        <w:t>a) klasificē vispārējā valdībā, ja:</w:t>
      </w:r>
    </w:p>
    <w:p w14:paraId="2A7D26BA" w14:textId="77777777" w:rsidR="00994F93" w:rsidRPr="00B03B51" w:rsidRDefault="00994F93" w:rsidP="00994F93">
      <w:pPr>
        <w:pStyle w:val="BodyText"/>
        <w:tabs>
          <w:tab w:val="left" w:pos="1123"/>
        </w:tabs>
        <w:spacing w:before="0"/>
        <w:ind w:left="0" w:firstLine="0"/>
        <w:jc w:val="both"/>
        <w:rPr>
          <w:rFonts w:ascii="Times New Roman" w:hAnsi="Times New Roman" w:cs="Times New Roman"/>
          <w:noProof/>
          <w:sz w:val="24"/>
        </w:rPr>
      </w:pPr>
    </w:p>
    <w:p w14:paraId="1E4385B0" w14:textId="77777777" w:rsidR="00994F93" w:rsidRPr="00B03B51" w:rsidRDefault="00994F93" w:rsidP="00994F93">
      <w:pPr>
        <w:pStyle w:val="BodyText"/>
        <w:numPr>
          <w:ilvl w:val="1"/>
          <w:numId w:val="21"/>
        </w:numPr>
        <w:tabs>
          <w:tab w:val="left" w:pos="1409"/>
        </w:tabs>
        <w:spacing w:before="0"/>
        <w:ind w:left="709" w:hanging="425"/>
        <w:jc w:val="both"/>
        <w:rPr>
          <w:rFonts w:ascii="Times New Roman" w:hAnsi="Times New Roman" w:cs="Times New Roman"/>
          <w:noProof/>
          <w:sz w:val="24"/>
        </w:rPr>
      </w:pPr>
      <w:r w:rsidRPr="00B03B51">
        <w:rPr>
          <w:rFonts w:ascii="Times New Roman" w:hAnsi="Times New Roman" w:cs="Times New Roman"/>
          <w:sz w:val="24"/>
        </w:rPr>
        <w:t>tā ir sava veida “čaula”, jo neveic savu meitasvienību pārvaldību un faktisku vadību, bet gan darbojas kā noteikta veida “uzskaites instruments”, meitasvienību faktisko vadību īstenojot valdībai, vai ja tā sniedz palīgpakalpojumus valdības vienībai, kura to kontrolē (piemēram, vāc datus no grupas);</w:t>
      </w:r>
    </w:p>
    <w:p w14:paraId="1F6C7BCB" w14:textId="77777777" w:rsidR="00994F93" w:rsidRPr="00B03B51" w:rsidRDefault="00994F93" w:rsidP="00994F93">
      <w:pPr>
        <w:pStyle w:val="BodyText"/>
        <w:numPr>
          <w:ilvl w:val="1"/>
          <w:numId w:val="21"/>
        </w:numPr>
        <w:tabs>
          <w:tab w:val="left" w:pos="1409"/>
        </w:tabs>
        <w:spacing w:before="0"/>
        <w:ind w:left="709" w:hanging="425"/>
        <w:jc w:val="both"/>
        <w:rPr>
          <w:rFonts w:ascii="Times New Roman" w:hAnsi="Times New Roman" w:cs="Times New Roman"/>
          <w:noProof/>
          <w:sz w:val="24"/>
        </w:rPr>
      </w:pPr>
      <w:r w:rsidRPr="00B03B51">
        <w:rPr>
          <w:rFonts w:ascii="Times New Roman" w:hAnsi="Times New Roman" w:cs="Times New Roman"/>
          <w:sz w:val="24"/>
        </w:rPr>
        <w:t>tā pastāvīgi vai dažkārt tiek izmantota tipiskām valdības darbībām, piemēram, valsts subsīdiju piešķiršanai vai pārvaldībai, kas nozīmē to, ka jāveic valsts ieņēmumu un bagātības pārdale. Tā darbojas kā valdības aģents, jo valdība lielākoties tai piešķir galvenos līdzekļus, kas tiek pārdalīti grupā.</w:t>
      </w:r>
    </w:p>
    <w:p w14:paraId="1FD5DFD5" w14:textId="77777777" w:rsidR="00994F93" w:rsidRPr="00B03B51" w:rsidRDefault="00994F93" w:rsidP="00994F93">
      <w:pPr>
        <w:pStyle w:val="BodyText"/>
        <w:spacing w:before="0"/>
        <w:ind w:left="0" w:firstLine="0"/>
        <w:jc w:val="both"/>
        <w:rPr>
          <w:rFonts w:ascii="Times New Roman" w:hAnsi="Times New Roman" w:cs="Times New Roman"/>
          <w:noProof/>
          <w:sz w:val="24"/>
        </w:rPr>
      </w:pPr>
    </w:p>
    <w:p w14:paraId="6AF8B3FC" w14:textId="77777777" w:rsidR="00994F93" w:rsidRPr="00B03B51" w:rsidRDefault="00994F93" w:rsidP="00994F93">
      <w:pPr>
        <w:pStyle w:val="BodyText"/>
        <w:spacing w:before="0"/>
        <w:ind w:left="284" w:firstLine="0"/>
        <w:jc w:val="both"/>
        <w:rPr>
          <w:rFonts w:ascii="Times New Roman" w:hAnsi="Times New Roman" w:cs="Times New Roman"/>
          <w:noProof/>
          <w:sz w:val="24"/>
        </w:rPr>
      </w:pPr>
      <w:r w:rsidRPr="00B03B51">
        <w:rPr>
          <w:rFonts w:ascii="Times New Roman" w:hAnsi="Times New Roman" w:cs="Times New Roman"/>
          <w:sz w:val="24"/>
        </w:rPr>
        <w:t>Abos gadījumos subjektu nevar uzskatīt par neatkarīgu lēmumu pieņemšanā, un attiecīgi to nevar uzskatīt par institucionālo vienību, un tāpēc to klasificē valdības sektorā, nevis finanšu sabiedrību sektorā (S.12), kā tas varētu būt privātu kontrolakciju sabiedrību gadījumā;</w:t>
      </w:r>
    </w:p>
    <w:p w14:paraId="621DC0EF" w14:textId="77777777" w:rsidR="00994F93" w:rsidRPr="00B03B51" w:rsidRDefault="00994F93" w:rsidP="00994F93">
      <w:pPr>
        <w:pStyle w:val="BodyText"/>
        <w:tabs>
          <w:tab w:val="left" w:pos="1123"/>
        </w:tabs>
        <w:spacing w:before="0"/>
        <w:ind w:left="0" w:firstLine="0"/>
        <w:jc w:val="both"/>
        <w:rPr>
          <w:rFonts w:ascii="Times New Roman" w:hAnsi="Times New Roman" w:cs="Times New Roman"/>
          <w:noProof/>
          <w:sz w:val="24"/>
        </w:rPr>
      </w:pPr>
    </w:p>
    <w:p w14:paraId="2A7F6A5D" w14:textId="77777777" w:rsidR="00994F93" w:rsidRPr="00B03B51" w:rsidRDefault="00994F93" w:rsidP="00994F93">
      <w:pPr>
        <w:pStyle w:val="BodyText"/>
        <w:tabs>
          <w:tab w:val="left" w:pos="1123"/>
        </w:tabs>
        <w:spacing w:before="0"/>
        <w:ind w:left="284" w:firstLine="0"/>
        <w:jc w:val="both"/>
        <w:rPr>
          <w:rFonts w:ascii="Times New Roman" w:hAnsi="Times New Roman" w:cs="Times New Roman"/>
          <w:noProof/>
          <w:sz w:val="24"/>
        </w:rPr>
      </w:pPr>
      <w:r w:rsidRPr="00B03B51">
        <w:rPr>
          <w:rFonts w:ascii="Times New Roman" w:hAnsi="Times New Roman" w:cs="Times New Roman"/>
          <w:sz w:val="24"/>
        </w:rPr>
        <w:t>b) to uzskata par “centrālo biroju” (skat. iepriekš). Šajā gadījumā ir jānovērtē, kādā sektorā ir klasificēti tā meitasuzņēmumi, atsaucoties uz standarta klasifikācijas noteikumiem.</w:t>
      </w:r>
    </w:p>
    <w:p w14:paraId="75204DF2" w14:textId="77777777" w:rsidR="00994F93" w:rsidRPr="00B03B51" w:rsidRDefault="00994F93" w:rsidP="00994F93">
      <w:pPr>
        <w:jc w:val="both"/>
        <w:rPr>
          <w:rFonts w:ascii="Times New Roman" w:eastAsia="Arial" w:hAnsi="Times New Roman" w:cs="Times New Roman"/>
          <w:noProof/>
          <w:sz w:val="24"/>
          <w:szCs w:val="15"/>
        </w:rPr>
      </w:pPr>
    </w:p>
    <w:p w14:paraId="735B26C9" w14:textId="77777777" w:rsidR="00994F93" w:rsidRPr="00B03B51" w:rsidRDefault="00994F93" w:rsidP="00994F93">
      <w:pPr>
        <w:pStyle w:val="Heading6"/>
        <w:tabs>
          <w:tab w:val="left" w:pos="1265"/>
        </w:tabs>
        <w:ind w:left="0" w:firstLine="0"/>
        <w:jc w:val="both"/>
        <w:rPr>
          <w:rFonts w:ascii="Times New Roman" w:hAnsi="Times New Roman" w:cs="Times New Roman"/>
          <w:noProof/>
          <w:sz w:val="24"/>
        </w:rPr>
      </w:pPr>
      <w:r w:rsidRPr="00B03B51">
        <w:rPr>
          <w:rFonts w:ascii="Times New Roman" w:hAnsi="Times New Roman" w:cs="Times New Roman"/>
          <w:sz w:val="24"/>
        </w:rPr>
        <w:t>1.6.3.3. PUBLISKO KONTROLAKCIJU SABIEDRĪBU UN CENTRĀLO BIROJU MEITASUZŅĒMUMI</w:t>
      </w:r>
    </w:p>
    <w:p w14:paraId="0AEBE030"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p>
    <w:p w14:paraId="16044BF6"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 xml:space="preserve">18. Saskaņā ar EKS 2010 2.13. punkta e) apakšpunktu dažus meitasuzņēmumus uzskata par institucionālām vienībām, </w:t>
      </w:r>
      <w:r w:rsidRPr="00B03B51">
        <w:rPr>
          <w:rFonts w:ascii="Times New Roman" w:hAnsi="Times New Roman" w:cs="Times New Roman"/>
          <w:i/>
          <w:iCs/>
          <w:sz w:val="24"/>
        </w:rPr>
        <w:t>(..) pat ja tie ir daļēji atteikušies no savas lēmumu pieņemšanas autonomijas par labu centrālajai struktūrai (centrālajam birojam) (..)</w:t>
      </w:r>
      <w:r w:rsidRPr="00B03B51">
        <w:rPr>
          <w:rFonts w:ascii="Times New Roman" w:hAnsi="Times New Roman" w:cs="Times New Roman"/>
          <w:sz w:val="24"/>
        </w:rPr>
        <w:t>. Izņemot atsevišķus grupā ietilpstošus subjektus, par kuriem uzskata, ka tie var sniegt palīgpakalpojumus, kas vienīgi sniedz pakalpojumus centrālajai struktūrai, meitasuzņēmumu klasifikācija jāvērtē katrā gadījumā atsevišķi. Ja divus juridiski saistītus subjektus nevar pamatoti uzskatīt par atsevišķiem subjektiem, tie ir jātraktē kā vienota institucionālā vienība. Taču tiklīdz katru subjektu uzskata par institucionālu vienību, ir stingri jāievēro parastie sektora klasifikācijas noteikumi.</w:t>
      </w:r>
    </w:p>
    <w:p w14:paraId="3DE2CA86"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p>
    <w:p w14:paraId="40804C53"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19. Ja meitasuzņēmums ir atzīts par institucionālu vienību un ir noteikts, ka tā ir ārpustirgus vienība, tā jāklasificē vispārējās valdības sektorā, pat ja tā tikai netieši atrodas valdības kontrolē ar centrālā biroja/publiskas kontrolakciju sabiedrības starpniecību. Jāņem vērā, ka gadījumā, ja tirgus institucionālā vienība īsteno noteiktas darbības/darījumus valdības vārdā, jāpiemēro “pārkārtoto darījumu” noteikumi, kas noteikti EKS 2010 1.72. punktā un turpmākajos punktos.</w:t>
      </w:r>
    </w:p>
    <w:p w14:paraId="14FCD73C"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p>
    <w:p w14:paraId="42D9CC6C"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 xml:space="preserve">20. Vēl viens aspekts ir saistīts ar valdības kontroli, t. i., vai ārpustirgus meitasuzņēmumu, kas atrodas tikai </w:t>
      </w:r>
      <w:r w:rsidRPr="00B03B51">
        <w:rPr>
          <w:rFonts w:ascii="Times New Roman" w:hAnsi="Times New Roman" w:cs="Times New Roman"/>
          <w:i/>
          <w:iCs/>
          <w:sz w:val="24"/>
        </w:rPr>
        <w:t>netiešā</w:t>
      </w:r>
      <w:r w:rsidRPr="00B03B51">
        <w:rPr>
          <w:rFonts w:ascii="Times New Roman" w:hAnsi="Times New Roman" w:cs="Times New Roman"/>
          <w:sz w:val="24"/>
        </w:rPr>
        <w:t xml:space="preserve"> valdības kontrolē, var klasificēt vispārējās valdības sektorā. EKS 2010 2.37. punktā noteikts:</w:t>
      </w:r>
    </w:p>
    <w:p w14:paraId="38842AD8" w14:textId="77777777" w:rsidR="00994F93" w:rsidRPr="00B03B51" w:rsidRDefault="00994F93" w:rsidP="00994F93">
      <w:pPr>
        <w:jc w:val="both"/>
        <w:rPr>
          <w:rFonts w:ascii="Times New Roman" w:eastAsia="Arial" w:hAnsi="Times New Roman" w:cs="Times New Roman"/>
          <w:i/>
          <w:noProof/>
          <w:sz w:val="24"/>
          <w:szCs w:val="19"/>
        </w:rPr>
      </w:pPr>
    </w:p>
    <w:p w14:paraId="416C719E" w14:textId="77777777" w:rsidR="00994F93" w:rsidRPr="00B03B51" w:rsidRDefault="00994F93" w:rsidP="00994F93">
      <w:pPr>
        <w:ind w:left="426"/>
        <w:jc w:val="both"/>
        <w:rPr>
          <w:rFonts w:ascii="Times New Roman" w:eastAsia="Arial" w:hAnsi="Times New Roman" w:cs="Times New Roman"/>
          <w:i/>
          <w:noProof/>
          <w:sz w:val="24"/>
          <w:szCs w:val="19"/>
        </w:rPr>
      </w:pPr>
      <w:r w:rsidRPr="00B03B51">
        <w:rPr>
          <w:rFonts w:ascii="Times New Roman" w:hAnsi="Times New Roman" w:cs="Times New Roman"/>
          <w:i/>
          <w:sz w:val="24"/>
          <w:szCs w:val="19"/>
        </w:rPr>
        <w:t>Lai kontrolētu vairāk nekā pusi no akcionāru balsstiesībām, nav vajadzīgs, lai institucionālajai vienībai pašai piederētu jebkādas balsstiesības. Noteikta sabiedrība – sabiedrība C – varētu būt meitasuzņēmums citai sabiedrībai B, kurā trešajai sabiedrībai A pieder lielākā daļa balsstiesību. Sabiedrība C ir sabiedrības B meitasuzņēmums, ja: vai nu, ja sabiedrība B kontrolē vairāk nekā pusi no akcionāru balsstiesībām sabiedrībā C, vai sabiedrība B ir sabiedrības C akcionārs ar tiesībām iecelt vai atcelt lielāko daļu sabiedrības C direktoru.</w:t>
      </w:r>
    </w:p>
    <w:p w14:paraId="784F895F"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p>
    <w:p w14:paraId="1E55EC96"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 xml:space="preserve">21. Līdz ar to </w:t>
      </w:r>
      <w:r w:rsidRPr="00B03B51">
        <w:rPr>
          <w:rFonts w:ascii="Times New Roman" w:hAnsi="Times New Roman" w:cs="Times New Roman"/>
          <w:i/>
          <w:iCs/>
          <w:sz w:val="24"/>
        </w:rPr>
        <w:t>sabiedrība A</w:t>
      </w:r>
      <w:r w:rsidRPr="00B03B51">
        <w:rPr>
          <w:rFonts w:ascii="Times New Roman" w:hAnsi="Times New Roman" w:cs="Times New Roman"/>
          <w:sz w:val="24"/>
        </w:rPr>
        <w:t xml:space="preserve"> kontrolē arī </w:t>
      </w:r>
      <w:r w:rsidRPr="00B03B51">
        <w:rPr>
          <w:rFonts w:ascii="Times New Roman" w:hAnsi="Times New Roman" w:cs="Times New Roman"/>
          <w:i/>
          <w:iCs/>
          <w:sz w:val="24"/>
        </w:rPr>
        <w:t>sabiedrību C</w:t>
      </w:r>
      <w:r w:rsidRPr="00B03B51">
        <w:rPr>
          <w:rFonts w:ascii="Times New Roman" w:hAnsi="Times New Roman" w:cs="Times New Roman"/>
          <w:sz w:val="24"/>
        </w:rPr>
        <w:t xml:space="preserve"> “kaskādē”. Jāuzsver, ka valdības kontrole pār konkrētu vienību ir jānovērtē visā pilnībā, t. i., kā (visu) valdības vienību (iespējams, no </w:t>
      </w:r>
      <w:r w:rsidRPr="00B03B51">
        <w:rPr>
          <w:rFonts w:ascii="Times New Roman" w:hAnsi="Times New Roman" w:cs="Times New Roman"/>
          <w:sz w:val="24"/>
        </w:rPr>
        <w:lastRenderedPageBreak/>
        <w:t>atšķirīgiem valdības apakšsektoriem) visu interešu apvienojumu. EKS 2010 2.38. punkts attiecas arī uz citiem kontroles rādītājiem (skat. 1.2. nodaļu “Kritēriji vienību klasificēšanai vispārējās valdības sektorā”).</w:t>
      </w:r>
    </w:p>
    <w:p w14:paraId="6161FFB2"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p>
    <w:p w14:paraId="079B3B44"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22. Kad publiskas kontrolakciju sabiedrības/centrālā biroja meitasuzņēmumu klasificē vispārējās valdības sektorā, pašu kapitāla saistības (AF.5) ieraksta vispārējās valdības sektora finanšu kontos. Alternatīvs ierakstīšanas paņēmiens, kas dažkārt var būt piemērotāks risinājums, ir tā nosacītā pašu kapitāla ierakstīšana, ko valdība tur meitasuzņēmumā. Pēdējā minētajā gadījumā šāda AF.5 summa konsolidētajos finanšu kontos tiktu atskaitīta no vispārējās valdības AF.5 pozīcijas aktīva puses.</w:t>
      </w:r>
    </w:p>
    <w:p w14:paraId="693D4CE2"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p>
    <w:p w14:paraId="6FBB683E"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23. Attiecībā uz valdības pašu kapitāla saistību bruto vai neto atspoguļojumu varētu būt lietderīgi nošķirt gadījumus atkarībā no sabiedrības īpašniekiem. Ja vienīgā īpašniece ir publiska kontrolakciju sabiedrība/centrālais birojs, atbilstošs varētu būt gan neto, gan bruto atspoguļojums. Ja tomēr valdība nav vienīgā netiešā meitasuzņēmuma īpašniece, tad atbilstošāks ir bruto atspoguļojums, lai parādītu vispārējās valdības pašu kapitāla saistības ar citiem sektoriem.</w:t>
      </w:r>
    </w:p>
    <w:p w14:paraId="039B132E" w14:textId="77777777" w:rsidR="00994F93" w:rsidRPr="00B03B51" w:rsidRDefault="00994F93" w:rsidP="00994F93">
      <w:pPr>
        <w:jc w:val="both"/>
        <w:rPr>
          <w:rFonts w:ascii="Times New Roman" w:eastAsia="Arial" w:hAnsi="Times New Roman" w:cs="Times New Roman"/>
          <w:noProof/>
          <w:sz w:val="24"/>
          <w:szCs w:val="20"/>
        </w:rPr>
      </w:pPr>
    </w:p>
    <w:p w14:paraId="6F3B7A8A" w14:textId="77777777" w:rsidR="00994F93" w:rsidRPr="00B03B51" w:rsidRDefault="00994F93" w:rsidP="00994F93">
      <w:pPr>
        <w:pStyle w:val="Heading3"/>
        <w:tabs>
          <w:tab w:val="left" w:pos="1265"/>
        </w:tabs>
        <w:ind w:left="0" w:firstLine="0"/>
        <w:jc w:val="both"/>
        <w:rPr>
          <w:rFonts w:ascii="Times New Roman" w:hAnsi="Times New Roman" w:cs="Times New Roman"/>
          <w:noProof/>
          <w:sz w:val="24"/>
        </w:rPr>
      </w:pPr>
      <w:bookmarkStart w:id="67" w:name="_Toc67565037"/>
      <w:r w:rsidRPr="00B03B51">
        <w:rPr>
          <w:rFonts w:ascii="Times New Roman" w:hAnsi="Times New Roman" w:cs="Times New Roman"/>
          <w:sz w:val="24"/>
        </w:rPr>
        <w:t>1.6.4. Pārstrukturēšanas un privatizācijas aģentūras</w:t>
      </w:r>
      <w:bookmarkEnd w:id="67"/>
    </w:p>
    <w:p w14:paraId="57D8EE20" w14:textId="77777777" w:rsidR="00994F93" w:rsidRPr="00A333EE" w:rsidRDefault="00994F93" w:rsidP="00A333EE">
      <w:pPr>
        <w:rPr>
          <w:rFonts w:ascii="Times New Roman" w:hAnsi="Times New Roman" w:cs="Times New Roman"/>
          <w:noProof/>
          <w:sz w:val="24"/>
          <w:szCs w:val="24"/>
        </w:rPr>
      </w:pPr>
    </w:p>
    <w:p w14:paraId="38343457" w14:textId="77777777" w:rsidR="00994F93" w:rsidRPr="00B03B51" w:rsidRDefault="00994F93" w:rsidP="00994F93">
      <w:pPr>
        <w:pStyle w:val="Heading6"/>
        <w:tabs>
          <w:tab w:val="left" w:pos="1265"/>
        </w:tabs>
        <w:ind w:left="0" w:firstLine="0"/>
        <w:jc w:val="both"/>
        <w:rPr>
          <w:rFonts w:ascii="Times New Roman" w:hAnsi="Times New Roman" w:cs="Times New Roman"/>
          <w:noProof/>
          <w:sz w:val="24"/>
        </w:rPr>
      </w:pPr>
      <w:r w:rsidRPr="00B03B51">
        <w:rPr>
          <w:rFonts w:ascii="Times New Roman" w:hAnsi="Times New Roman" w:cs="Times New Roman"/>
          <w:sz w:val="24"/>
        </w:rPr>
        <w:t>1.6.4.1. PĀRSTRUKTURĒŠANAS AĢENTŪRAS</w:t>
      </w:r>
    </w:p>
    <w:p w14:paraId="45C8CAF7"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p>
    <w:p w14:paraId="431F4C02"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24. Atbilstīgi tam, kā norādīts EKS 2010 20.44. punktā, valdība var kontrolēt pārstrukturēšanas aģentūras ar mērķi noteiktā laika posmā “pārstrukturēt” atsevišķas sabiedrības (galvenokārt publiskas sabiedrības, bet dažkārt arī privātas sabiedrības), jo īpaši gadījumos, kad tās pastāvīgi rada zaudējumus. Tas parasti nozīmē būtiskas pārmaiņas uzņēmējdarbības modelī un ievērojamas pārstrukturēto subjektu cilvēcisko un fizisko spēju korekcijas. Šajā saistībā šādas pārstrukturēšanas aģentūras var nodrošināt kapitāla pārvedumus, aizdevumus, iegūt pašu kapitālu vai piešķirt vienreizējas garantijas.</w:t>
      </w:r>
    </w:p>
    <w:p w14:paraId="22B3C03F" w14:textId="77777777" w:rsidR="00994F93" w:rsidRPr="00B03B51" w:rsidRDefault="00994F93" w:rsidP="00994F93">
      <w:pPr>
        <w:tabs>
          <w:tab w:val="left" w:pos="840"/>
        </w:tabs>
        <w:jc w:val="both"/>
        <w:rPr>
          <w:rFonts w:ascii="Times New Roman" w:eastAsia="Arial" w:hAnsi="Times New Roman" w:cs="Times New Roman"/>
          <w:noProof/>
          <w:sz w:val="24"/>
          <w:szCs w:val="19"/>
        </w:rPr>
      </w:pPr>
    </w:p>
    <w:p w14:paraId="64E2EA5B" w14:textId="77777777" w:rsidR="00994F93" w:rsidRPr="00B03B51" w:rsidRDefault="00994F93" w:rsidP="00994F93">
      <w:pPr>
        <w:tabs>
          <w:tab w:val="left" w:pos="840"/>
        </w:tabs>
        <w:jc w:val="both"/>
        <w:rPr>
          <w:rFonts w:ascii="Times New Roman" w:eastAsia="Arial" w:hAnsi="Times New Roman" w:cs="Times New Roman"/>
          <w:noProof/>
          <w:sz w:val="24"/>
          <w:szCs w:val="19"/>
        </w:rPr>
      </w:pPr>
      <w:r w:rsidRPr="00B03B51">
        <w:rPr>
          <w:rFonts w:ascii="Times New Roman" w:hAnsi="Times New Roman" w:cs="Times New Roman"/>
          <w:sz w:val="24"/>
          <w:szCs w:val="19"/>
        </w:rPr>
        <w:t>25. EKS 20.44. punktā sīkāk skaidrots, ka (..)</w:t>
      </w:r>
      <w:r w:rsidRPr="00B03B51">
        <w:rPr>
          <w:rFonts w:ascii="Times New Roman" w:hAnsi="Times New Roman" w:cs="Times New Roman"/>
          <w:i/>
          <w:iCs/>
          <w:sz w:val="24"/>
          <w:szCs w:val="19"/>
        </w:rPr>
        <w:t xml:space="preserve"> galvenais kritērijs pārstrukturēšanas aģentūru klasificēšanai sektoros ir tas, vai šādi subjekti ir finanšu starpnieki, kāds ir to galvenās darbības tirgus raksturojums un publiskās aģentūras riska pakāpe</w:t>
      </w:r>
      <w:r w:rsidRPr="00B03B51">
        <w:rPr>
          <w:rFonts w:ascii="Times New Roman" w:hAnsi="Times New Roman" w:cs="Times New Roman"/>
          <w:sz w:val="24"/>
          <w:szCs w:val="19"/>
        </w:rPr>
        <w:t>.</w:t>
      </w:r>
      <w:r w:rsidRPr="00B03B51">
        <w:rPr>
          <w:rFonts w:ascii="Times New Roman" w:hAnsi="Times New Roman" w:cs="Times New Roman"/>
          <w:i/>
          <w:sz w:val="24"/>
          <w:szCs w:val="19"/>
        </w:rPr>
        <w:t xml:space="preserve"> </w:t>
      </w:r>
      <w:r w:rsidRPr="00B03B51">
        <w:rPr>
          <w:rFonts w:ascii="Times New Roman" w:hAnsi="Times New Roman" w:cs="Times New Roman"/>
          <w:i/>
          <w:iCs/>
          <w:sz w:val="24"/>
          <w:szCs w:val="19"/>
        </w:rPr>
        <w:t>Daudzos gadījumos pārstrukturēšanas aģentūras riska pakāpe ir zema, jo tai ir valsts finanšu atbalsts un tā darbojas valdības vārdā (..)</w:t>
      </w:r>
      <w:r w:rsidRPr="00B03B51">
        <w:rPr>
          <w:rFonts w:ascii="Times New Roman" w:hAnsi="Times New Roman" w:cs="Times New Roman"/>
          <w:sz w:val="24"/>
          <w:szCs w:val="19"/>
        </w:rPr>
        <w:t>. Kad pārstrukturēšanas aģentūras rīkojas valdības vārdā, tās ciešā kontrolē un ar skaidru valdības finanšu atbalstu, šie subjekti jāklasificē valdības sektorā, nevis finanšu sabiedrību sektorā.</w:t>
      </w:r>
    </w:p>
    <w:p w14:paraId="70458B1C"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p>
    <w:p w14:paraId="36F69A26"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26. EKS 2010 20.44. punktā arī norādīts, ka pārstrukturēšanas aģentūras var nodarboties ar privatizāciju un sanāciju. Sanācijas struktūras (kuras bieži vien ir pārstrukturēšanas procesa daļa) ir apspriestas rokasgrāmatas 4. daļā (Attiecības starp valdību un finanšu sektoru).</w:t>
      </w:r>
    </w:p>
    <w:p w14:paraId="2D8469B7" w14:textId="77777777" w:rsidR="00994F93" w:rsidRPr="00B03B51" w:rsidRDefault="00994F93" w:rsidP="00994F93">
      <w:pPr>
        <w:jc w:val="both"/>
        <w:rPr>
          <w:rFonts w:ascii="Times New Roman" w:eastAsia="Arial" w:hAnsi="Times New Roman" w:cs="Times New Roman"/>
          <w:noProof/>
          <w:sz w:val="24"/>
          <w:szCs w:val="16"/>
        </w:rPr>
      </w:pPr>
    </w:p>
    <w:p w14:paraId="4BD85703" w14:textId="77777777" w:rsidR="00994F93" w:rsidRPr="00B03B51" w:rsidRDefault="00994F93" w:rsidP="00994F93">
      <w:pPr>
        <w:pStyle w:val="Heading6"/>
        <w:tabs>
          <w:tab w:val="left" w:pos="1265"/>
        </w:tabs>
        <w:ind w:left="0" w:firstLine="0"/>
        <w:jc w:val="both"/>
        <w:rPr>
          <w:rFonts w:ascii="Times New Roman" w:hAnsi="Times New Roman" w:cs="Times New Roman"/>
          <w:noProof/>
          <w:sz w:val="24"/>
        </w:rPr>
      </w:pPr>
      <w:r w:rsidRPr="00B03B51">
        <w:rPr>
          <w:rFonts w:ascii="Times New Roman" w:hAnsi="Times New Roman" w:cs="Times New Roman"/>
          <w:sz w:val="24"/>
        </w:rPr>
        <w:t>1.6.4.2. PRIVATIZĀCIJAS AĢENTŪRAS</w:t>
      </w:r>
    </w:p>
    <w:p w14:paraId="458EFD82" w14:textId="77777777" w:rsidR="00994F93" w:rsidRPr="00B03B51" w:rsidRDefault="00994F93" w:rsidP="00994F93">
      <w:pPr>
        <w:tabs>
          <w:tab w:val="left" w:pos="840"/>
        </w:tabs>
        <w:jc w:val="both"/>
        <w:rPr>
          <w:rFonts w:ascii="Times New Roman" w:eastAsia="Arial" w:hAnsi="Times New Roman" w:cs="Times New Roman"/>
          <w:noProof/>
          <w:sz w:val="24"/>
          <w:szCs w:val="19"/>
        </w:rPr>
      </w:pPr>
    </w:p>
    <w:p w14:paraId="19A041E4" w14:textId="77777777" w:rsidR="00994F93" w:rsidRPr="00B03B51" w:rsidRDefault="00994F93" w:rsidP="00994F93">
      <w:pPr>
        <w:tabs>
          <w:tab w:val="left" w:pos="840"/>
        </w:tabs>
        <w:jc w:val="both"/>
        <w:rPr>
          <w:rFonts w:ascii="Times New Roman" w:eastAsia="Arial" w:hAnsi="Times New Roman" w:cs="Times New Roman"/>
          <w:noProof/>
          <w:sz w:val="24"/>
          <w:szCs w:val="19"/>
        </w:rPr>
      </w:pPr>
      <w:r w:rsidRPr="00B03B51">
        <w:rPr>
          <w:rFonts w:ascii="Times New Roman" w:hAnsi="Times New Roman" w:cs="Times New Roman"/>
          <w:sz w:val="24"/>
          <w:szCs w:val="19"/>
        </w:rPr>
        <w:t xml:space="preserve">27. EKS 20.210. punktā ir norādīts, ka </w:t>
      </w:r>
      <w:r w:rsidRPr="00B03B51">
        <w:rPr>
          <w:rFonts w:ascii="Times New Roman" w:hAnsi="Times New Roman" w:cs="Times New Roman"/>
          <w:i/>
          <w:iCs/>
          <w:sz w:val="24"/>
          <w:szCs w:val="19"/>
        </w:rPr>
        <w:t>privatizācija parasti ietver valdības veiktu publisko sabiedrību akciju vai cita pašu kapitāla pārdošanu (..)</w:t>
      </w:r>
      <w:r w:rsidRPr="00B03B51">
        <w:rPr>
          <w:rFonts w:ascii="Times New Roman" w:hAnsi="Times New Roman" w:cs="Times New Roman"/>
          <w:sz w:val="24"/>
          <w:szCs w:val="19"/>
        </w:rPr>
        <w:t>. Privatizācijas aģentūras tur daļas publiskajās sabiedrībās, kuras valdība plāno realizēt. Šādas vienības nav centrālie biroji saskaņā ar EKS 2010, jo tās reāli neiesaistās (vai iesaistās minimāli) to uzņēmumu vadībā, kuru aktīvus tās tur, bet ir izveidotas tikai ar mērķi veicināt to realizāciju finanšu tirgos.</w:t>
      </w:r>
    </w:p>
    <w:p w14:paraId="340C7D41" w14:textId="77777777" w:rsidR="00994F93" w:rsidRPr="00B03B51" w:rsidRDefault="00994F93" w:rsidP="00994F93">
      <w:pPr>
        <w:tabs>
          <w:tab w:val="left" w:pos="840"/>
        </w:tabs>
        <w:jc w:val="both"/>
        <w:rPr>
          <w:rFonts w:ascii="Times New Roman" w:hAnsi="Times New Roman" w:cs="Times New Roman"/>
          <w:noProof/>
          <w:sz w:val="24"/>
        </w:rPr>
      </w:pPr>
    </w:p>
    <w:p w14:paraId="5E2DEDA5" w14:textId="77777777" w:rsidR="00994F93" w:rsidRPr="00B03B51" w:rsidRDefault="00994F93" w:rsidP="00994F93">
      <w:pPr>
        <w:tabs>
          <w:tab w:val="left" w:pos="840"/>
        </w:tabs>
        <w:jc w:val="both"/>
        <w:rPr>
          <w:rFonts w:ascii="Times New Roman" w:eastAsia="Arial" w:hAnsi="Times New Roman" w:cs="Times New Roman"/>
          <w:noProof/>
          <w:sz w:val="24"/>
          <w:szCs w:val="19"/>
        </w:rPr>
      </w:pPr>
      <w:r w:rsidRPr="00B03B51">
        <w:rPr>
          <w:rFonts w:ascii="Times New Roman" w:hAnsi="Times New Roman" w:cs="Times New Roman"/>
          <w:sz w:val="24"/>
        </w:rPr>
        <w:t xml:space="preserve">28. Privatizācijas aģentūras jāklasificē vispārējās valdības sektorā, jo tās pārvalda aktīvus tās </w:t>
      </w:r>
      <w:r w:rsidRPr="00B03B51">
        <w:rPr>
          <w:rFonts w:ascii="Times New Roman" w:hAnsi="Times New Roman" w:cs="Times New Roman"/>
          <w:sz w:val="24"/>
        </w:rPr>
        <w:lastRenderedPageBreak/>
        <w:t xml:space="preserve">valdības vārdā, kura ir šo aktīvu galīgā īpašniece, un to </w:t>
      </w:r>
      <w:r w:rsidRPr="00B03B51">
        <w:rPr>
          <w:rFonts w:ascii="Times New Roman" w:hAnsi="Times New Roman" w:cs="Times New Roman"/>
          <w:i/>
          <w:iCs/>
          <w:sz w:val="24"/>
        </w:rPr>
        <w:t>galvenā funkcija ir pārdalīt nacionālo ienākumu un bagātību, novirzot līdzekļus no vienas vienības uz citu</w:t>
      </w:r>
      <w:r w:rsidRPr="00B03B51">
        <w:rPr>
          <w:rFonts w:ascii="Times New Roman" w:hAnsi="Times New Roman" w:cs="Times New Roman"/>
          <w:sz w:val="24"/>
        </w:rPr>
        <w:t>, skat. EKS 2010 20.45. punkta a) apakšpunktu.</w:t>
      </w:r>
    </w:p>
    <w:p w14:paraId="2302B446" w14:textId="77777777" w:rsidR="00994F93" w:rsidRPr="00B03B51" w:rsidRDefault="00994F93" w:rsidP="00994F93">
      <w:pPr>
        <w:tabs>
          <w:tab w:val="left" w:pos="840"/>
        </w:tabs>
        <w:jc w:val="both"/>
        <w:rPr>
          <w:rFonts w:ascii="Times New Roman" w:eastAsia="Arial" w:hAnsi="Times New Roman" w:cs="Times New Roman"/>
          <w:noProof/>
          <w:sz w:val="24"/>
          <w:szCs w:val="19"/>
        </w:rPr>
      </w:pPr>
    </w:p>
    <w:p w14:paraId="39CAB965" w14:textId="77777777" w:rsidR="00994F93" w:rsidRPr="00B03B51" w:rsidRDefault="00994F93" w:rsidP="00994F93">
      <w:pPr>
        <w:tabs>
          <w:tab w:val="left" w:pos="840"/>
        </w:tabs>
        <w:jc w:val="both"/>
        <w:rPr>
          <w:rFonts w:ascii="Times New Roman" w:eastAsia="Arial" w:hAnsi="Times New Roman" w:cs="Times New Roman"/>
          <w:noProof/>
          <w:sz w:val="24"/>
          <w:szCs w:val="19"/>
        </w:rPr>
      </w:pPr>
      <w:r w:rsidRPr="00B03B51">
        <w:rPr>
          <w:rFonts w:ascii="Times New Roman" w:hAnsi="Times New Roman" w:cs="Times New Roman"/>
          <w:sz w:val="24"/>
          <w:szCs w:val="19"/>
        </w:rPr>
        <w:t xml:space="preserve">29. Gadījumā, kad publisks centrālais birojs ir iesaistīts gan tirgus uzņēmējdarbībā (izmaksas sedz no pārdošanas ieņēmumiem), gan aktīvu pārvaldībā, lai veiktu privatizāciju attiecībā uz dažiem tā meitasuzņēmumiem, to var nebūt iespējams sadalīt divās atsevišķās institucionālās vienībās. Šajā gadījumā piemēro EKS 2010 20.45. punktu, proti: </w:t>
      </w:r>
      <w:r w:rsidRPr="00B03B51">
        <w:rPr>
          <w:rFonts w:ascii="Times New Roman" w:hAnsi="Times New Roman" w:cs="Times New Roman"/>
          <w:i/>
          <w:iCs/>
          <w:sz w:val="24"/>
          <w:szCs w:val="19"/>
        </w:rPr>
        <w:t>(..) vienību klasificē kā sabiedrību, un valdības vārdā veiktos darījumus novirza caur vispārējo valdību.</w:t>
      </w:r>
      <w:r w:rsidRPr="00B03B51">
        <w:rPr>
          <w:rFonts w:ascii="Times New Roman" w:hAnsi="Times New Roman" w:cs="Times New Roman"/>
          <w:i/>
          <w:sz w:val="24"/>
          <w:szCs w:val="19"/>
        </w:rPr>
        <w:t xml:space="preserve"> </w:t>
      </w:r>
      <w:r w:rsidRPr="00B03B51">
        <w:rPr>
          <w:rFonts w:ascii="Times New Roman" w:hAnsi="Times New Roman" w:cs="Times New Roman"/>
          <w:sz w:val="24"/>
          <w:szCs w:val="19"/>
        </w:rPr>
        <w:t>Tāpēc, ja kāda vienība veic darījumus citas vispārējās valdības sektorā iekļautas vienības vārdā, tad tos ieraksta valdības kontos.</w:t>
      </w:r>
    </w:p>
    <w:p w14:paraId="31373AF9" w14:textId="77777777" w:rsidR="00994F93" w:rsidRPr="00B03B51" w:rsidRDefault="00994F93" w:rsidP="00994F93">
      <w:pPr>
        <w:jc w:val="both"/>
        <w:rPr>
          <w:rFonts w:ascii="Times New Roman" w:eastAsia="Arial" w:hAnsi="Times New Roman" w:cs="Times New Roman"/>
          <w:noProof/>
          <w:sz w:val="24"/>
          <w:szCs w:val="19"/>
        </w:rPr>
      </w:pPr>
    </w:p>
    <w:p w14:paraId="2EDE2FC9" w14:textId="77777777" w:rsidR="00994F93" w:rsidRPr="00B03B51" w:rsidRDefault="00994F93" w:rsidP="00994F93">
      <w:pPr>
        <w:pStyle w:val="Heading3"/>
        <w:tabs>
          <w:tab w:val="left" w:pos="1265"/>
        </w:tabs>
        <w:ind w:left="0" w:firstLine="0"/>
        <w:jc w:val="both"/>
        <w:rPr>
          <w:rFonts w:ascii="Times New Roman" w:hAnsi="Times New Roman" w:cs="Times New Roman"/>
          <w:noProof/>
          <w:sz w:val="24"/>
        </w:rPr>
      </w:pPr>
      <w:bookmarkStart w:id="68" w:name="_Toc67565038"/>
      <w:r w:rsidRPr="00B03B51">
        <w:rPr>
          <w:rFonts w:ascii="Times New Roman" w:hAnsi="Times New Roman" w:cs="Times New Roman"/>
          <w:sz w:val="24"/>
        </w:rPr>
        <w:t>1.6.5. Tirgu regulējošās struktūras un profesionālās apvienības</w:t>
      </w:r>
      <w:bookmarkEnd w:id="68"/>
    </w:p>
    <w:p w14:paraId="1CDBF6E2" w14:textId="77777777" w:rsidR="00994F93" w:rsidRPr="00A333EE" w:rsidRDefault="00994F93" w:rsidP="00A333EE">
      <w:pPr>
        <w:rPr>
          <w:rFonts w:ascii="Times New Roman" w:hAnsi="Times New Roman" w:cs="Times New Roman"/>
          <w:noProof/>
        </w:rPr>
      </w:pPr>
    </w:p>
    <w:p w14:paraId="3D9AECCE" w14:textId="77777777" w:rsidR="00994F93" w:rsidRPr="00B03B51" w:rsidRDefault="00994F93" w:rsidP="00994F93">
      <w:pPr>
        <w:pStyle w:val="Heading6"/>
        <w:tabs>
          <w:tab w:val="left" w:pos="1265"/>
        </w:tabs>
        <w:ind w:left="0" w:firstLine="0"/>
        <w:jc w:val="both"/>
        <w:rPr>
          <w:rFonts w:ascii="Times New Roman" w:hAnsi="Times New Roman" w:cs="Times New Roman"/>
          <w:noProof/>
          <w:sz w:val="24"/>
        </w:rPr>
      </w:pPr>
      <w:r w:rsidRPr="00B03B51">
        <w:rPr>
          <w:rFonts w:ascii="Times New Roman" w:hAnsi="Times New Roman" w:cs="Times New Roman"/>
          <w:sz w:val="24"/>
        </w:rPr>
        <w:t>1.6.5.1. TIRGU REGULĒJOŠĀS STRUKTŪRAS</w:t>
      </w:r>
    </w:p>
    <w:p w14:paraId="7B7B7738"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p>
    <w:p w14:paraId="4A999E1F"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30. Šajā nodaļā</w:t>
      </w:r>
      <w:r w:rsidRPr="00B03B51">
        <w:rPr>
          <w:rStyle w:val="FootnoteReference"/>
          <w:rFonts w:ascii="Times New Roman" w:hAnsi="Times New Roman" w:cs="Times New Roman"/>
          <w:noProof/>
          <w:sz w:val="24"/>
        </w:rPr>
        <w:footnoteReference w:id="84"/>
      </w:r>
      <w:r w:rsidRPr="00B03B51">
        <w:rPr>
          <w:rFonts w:ascii="Times New Roman" w:hAnsi="Times New Roman" w:cs="Times New Roman"/>
          <w:sz w:val="24"/>
        </w:rPr>
        <w:t xml:space="preserve"> raksturotās tirgu regulējošās struktūras (sauktas arī par iestādēm, aģentūrām, regulatoriem utt.) ir ar likumu pilnvarotas noteikt kādus noteikumus (normas, nosacījumus, saistības utt.). Šie noteikumi ir juridiski saistoši, un visiem tirgus dalībniekiem, kas darbojas konkrētā jomā, tie ir jāievēro, pretējā gadījumā tos var saukt pie atbildības (piemērot sankcijas). Tādējādi tirgu regulējošās struktūras pieņem lēmumus par dažiem galvenajiem mainīgajiem lielumiem, ietekmējot vienību darbību veikšanas un ieņēmumu saņemšanas veidu.</w:t>
      </w:r>
    </w:p>
    <w:p w14:paraId="0253F1FE"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p>
    <w:p w14:paraId="697751DF"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 xml:space="preserve">31. Tirgu regulējošu struktūru pienākumos var ietilpt arī normu kontrolēšana, lai arī šo uzdevumu varētu deleģēt īpašai vienībai, kam nav normatīvo pilnvaru. Turklāt tirgu regulējošās struktūras var veikt </w:t>
      </w:r>
      <w:r w:rsidRPr="00B03B51">
        <w:rPr>
          <w:rFonts w:ascii="Times New Roman" w:hAnsi="Times New Roman" w:cs="Times New Roman"/>
          <w:i/>
          <w:iCs/>
          <w:sz w:val="24"/>
        </w:rPr>
        <w:t>ex ante</w:t>
      </w:r>
      <w:r w:rsidRPr="00B03B51">
        <w:rPr>
          <w:rFonts w:ascii="Times New Roman" w:hAnsi="Times New Roman" w:cs="Times New Roman"/>
          <w:sz w:val="24"/>
        </w:rPr>
        <w:t xml:space="preserve"> kontroli attiecībā uz pārstāvjiem, kas vēlas piedalīties darbībā, lai novērtētu viņu kompetenci, profesionālo statusu (licences, darbības atļaujas) un sniegt noteiktu apliecinājumu patērētājiem par amata kategorijas (ārstu, juristu utt.) profesionālo kompetenci un kvalifikāciju. Katrā ES dalībvalstī attiecībā uz vienībām, kas atbild par šo uzdevumu veikšanu, ir izstrādāti atšķirīgi modeļi. Pēdējās desmitgadēs šādas vienības ir izveidotas, piemēram, telekomunikāciju, transporta un enerģētikas nozarēs.</w:t>
      </w:r>
    </w:p>
    <w:p w14:paraId="218CC57D"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p>
    <w:p w14:paraId="3080FEFD"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32. EKS 2010 20. nodaļas (Valdības konti) pirmajos punktos ir nepārprotamas norādes par to, kā klasificējamas vienības, kuru darbības ir vērstas uz pakalpojumu sniegšanu kopienai. Šīm vienībām ir piešķirta suverenā vara, kas “ietekmē ekonomikas vienību rīcību.” 20. nodaļā ir skaidri nošķirtas “valdības galvenās vienības” (atkarībā no valsts budžeta) un citas valdības struktūras, kas tiek atzītas par autonomām institucionālām vienībām. Taču valdība daļu no saviem suverēnajiem uzdevumiem var deleģēt vienībām, kas nav valdības struktūras un kurām bieži vien ir bezpeļņas struktūras statuss. Ja šādu vienību darbība pārsvarā ir vērsta uz šo suverēno uzdevumu izpildi, ko cieši kontrolē valdība (kas var apstiprināt dažus lēmumus, vienību budžetu vai apstiprināt kādas sankcijas), šīs vienības iekļauj valdības regulējošo institūciju kopā un klasificē valdības sektorā.</w:t>
      </w:r>
    </w:p>
    <w:p w14:paraId="5FC2FAB0"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p>
    <w:p w14:paraId="5618166A"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 xml:space="preserve">33. Daudzās ES dalībvalstīs tirgu regulējošās struktūras parasti uzskata par valdības vienībām (ko iekļauj centrālās valdības apakšsektorā, jo tās realizē savas pilnvaras visā valstī), lai arī kāds būtu to juridiskais statuss, locekļu iecelšanas veids, neatkarības pakāpe no izpildvienībām utt. Tā ir tāpēc, ka tās darbojas ne tikai tirgus dalībnieku interesēs, bet arī (iespējams, galvenokārt) </w:t>
      </w:r>
      <w:r w:rsidRPr="00B03B51">
        <w:rPr>
          <w:rFonts w:ascii="Times New Roman" w:hAnsi="Times New Roman" w:cs="Times New Roman"/>
          <w:sz w:val="24"/>
        </w:rPr>
        <w:lastRenderedPageBreak/>
        <w:t>kolektīvu mērķu labad, t. i., visas kopienas labā, jo īpaši, lai stiprinātu patērētāju uzticību, un/vai tāpēc, ka ražošanas sistēmā šādai darbībai ir liela nozīme.</w:t>
      </w:r>
    </w:p>
    <w:p w14:paraId="7520D099"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p>
    <w:p w14:paraId="06EF7399"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34. Tirgu regulējošās struktūras var saņemt finansējumu no valdības, taču var būt tiesīgas regulāri vai neregulāri saņemt līdzekļus tieši no pilnvarotajiem pārstāvjiem. Šādu ieņēmumu klasifikācija jāveic, ievērojot EKS 2010 vispārīgos noteikumus. Ja ražošanas vienībām (pilnvarotajiem pārstāvjiem) ir jāmaksā kopumā summa, kura atbilst izmaksām, kas regulatoram radusies saistībā ar savu uzdevumu veikšanu, to ieraksta kā pakalpojuma maksu (pakalpojumu pārdošanu). Ja maksājumi būtiski pārsniedz regulēšanas izmaksas (“pilnīgi neatbilst (..) izmaksām”, kā noteikts EKS 2010 4.23. punkta e) apakšpunktā), tās ir jāieraksta kā nodoklis.</w:t>
      </w:r>
      <w:r w:rsidRPr="00B03B51">
        <w:rPr>
          <w:rStyle w:val="FootnoteReference"/>
          <w:rFonts w:ascii="Times New Roman" w:hAnsi="Times New Roman" w:cs="Times New Roman"/>
          <w:noProof/>
          <w:sz w:val="24"/>
        </w:rPr>
        <w:footnoteReference w:id="85"/>
      </w:r>
    </w:p>
    <w:p w14:paraId="2B326B5B"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p>
    <w:p w14:paraId="484D536E" w14:textId="77777777" w:rsidR="00994F93" w:rsidRPr="00B03B51" w:rsidRDefault="00994F93" w:rsidP="00994F93">
      <w:pPr>
        <w:pStyle w:val="Heading6"/>
        <w:ind w:left="0" w:firstLine="0"/>
        <w:jc w:val="both"/>
        <w:rPr>
          <w:rFonts w:ascii="Times New Roman" w:hAnsi="Times New Roman" w:cs="Times New Roman"/>
          <w:noProof/>
          <w:sz w:val="24"/>
        </w:rPr>
      </w:pPr>
      <w:r w:rsidRPr="00B03B51">
        <w:rPr>
          <w:rFonts w:ascii="Times New Roman" w:hAnsi="Times New Roman" w:cs="Times New Roman"/>
          <w:sz w:val="24"/>
        </w:rPr>
        <w:t>1.6.5.2. PROFESIONĀLĀS APVIENĪBAS</w:t>
      </w:r>
    </w:p>
    <w:p w14:paraId="598686D7"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p>
    <w:p w14:paraId="18EFC4D1"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35. Bez iepriekš raksturotajām tirgu regulējošām struktūrām vairumā ES dalībvalstu pastāv daudzas “profesionālās apvienības”, kurās dalība var būt obligāta vai brīvprātīga. Šo struktūru galvenais mērķis ir “aizstāvēt” savu locekļu intereses kopumā, jo īpaši, slēdzot līgumus ar valdību vai regulējošām iestādēm, taču tās var arī neaprobežoties tikai ar to. Proti, profesionālās apvienības var arī īstenot savu locekļu un citu dalībnieku profesionālo kontroli. Kopumā profesionālās apvienības izmanto valdības noteiktās tiesību normas, tomēr tām var būt arī plašākas vai mazāk plašas valdības deleģētās normatīvās un regulējošās pilnvaras, kas ietekmē noteiktās jomās darbojošos tirgus dalībnieku darbības veidu. Valdība, piemēram, var izstrādāt vispārēju tiesisko regulējumu un šiem subjektiem tad uzdot izstrādāt praktiskas vadlīnijas par to, kā izpildīt prasības. Profesionālajām apvienībām var būt pat pilnvaras piemērot kādas (piemēram, finanšu) sankcijas profesionālas nolaidības gadījumos.</w:t>
      </w:r>
    </w:p>
    <w:p w14:paraId="415E502E"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p>
    <w:p w14:paraId="5A36CEC6"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 xml:space="preserve">36. EKS 2010 20.02. punktā norādīts, ka valdībām </w:t>
      </w:r>
      <w:r w:rsidRPr="00B03B51">
        <w:rPr>
          <w:rFonts w:ascii="Times New Roman" w:hAnsi="Times New Roman" w:cs="Times New Roman"/>
          <w:i/>
          <w:iCs/>
          <w:sz w:val="24"/>
        </w:rPr>
        <w:t>ir pilnvaras iekasēt nodokļus un citas obligātās nodevas un izdot likumus</w:t>
      </w:r>
      <w:r w:rsidRPr="00B03B51">
        <w:rPr>
          <w:rFonts w:ascii="Times New Roman" w:hAnsi="Times New Roman" w:cs="Times New Roman"/>
          <w:sz w:val="24"/>
        </w:rPr>
        <w:t>. Termins “likumi” ir jāsaprot plašā nozīmē, jo dažas normas var nebūt likuma formā, par ko balso parlaments, taču var līdzīgā veidā ierobežot ekonomikas subjektus attiecībā uz kādu saimniecisko darbību veikšanu. Ciktāl jautājums skar resursus, visas maksas, kas tiek piemērotas kādiem ekonomikas subjektiem tikai par to, ka tie nodarbojas ar kādu darbību (vai sniedz kādus pakalpojumus), un kuras skaidri liecina, ka tās nav proporcionālas sniegtā pakalpojuma izmaksām, ir jāklasificē kā nodoklis un jāieraksta valdības ieņēmumos. Savukārt, ja iekasētās summas var identificēt kā sniegtā pakalpojuma faktisku ekvivalentu, tās ieraksta kā pakalpojumu pārdošanu (skat. arī 1.2.4.5. apakšiedaļu “Robežlīnija starp nodokļiem un pakalpojumu pārdošanu”). Ja kāda privāta struktūra veic kādus reglamentējošus uzdevumus, taču netiek klasificēta valdības sektorā, jo galvenokārt nodarbojas ar savu locekļu lobēšanu/apkalpošanu, iespējamie obligātie resursi, kas identificēti kā nodokļi, ir jāpārvirza uz valdību, kas pēc tam pārskaitītu līdzvērtīgu summu šai vienībai.</w:t>
      </w:r>
    </w:p>
    <w:p w14:paraId="03A76883"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p>
    <w:p w14:paraId="48611041"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37. Profesionālās apvienības sniedz pakalpojumus galvenokārt saviem biedriem, un tās parasti neklasificē valdības sektorā. Taču atkarībā no valdības deleģēto uzdevumu “suverenitātes pakāpes”, no tā, kādā apmērā šīs apvienības var iespējami ietekmēt profesionālā regulējuma veidošanu, kas piemērojams visiem attiecīgajiem dalībniekiem, un no tā, kādā apmērā valdība kontrolē šo apvienību lēmumus, tās dažos gadījumos var tikt iekļautas valdības regulējošās struktūrās, ja šo uzdevumu veikšana ir apvienības darbības nozīmīgākā daļa. Profesionālajām apvienībām var būt ļauts iekasēt obligātos maksājumus no saviem locekļiem. Ja šiem resursiem nav pakalpojuma maksas pazīmju, tas nozīmē, ka tos var pārvirzīt valdībai kā nodokļus.</w:t>
      </w:r>
    </w:p>
    <w:p w14:paraId="4EB95CF6" w14:textId="77777777" w:rsidR="00994F93" w:rsidRPr="00B03B51" w:rsidRDefault="00994F93" w:rsidP="00994F93">
      <w:pPr>
        <w:jc w:val="both"/>
        <w:rPr>
          <w:rFonts w:ascii="Times New Roman" w:eastAsia="Arial" w:hAnsi="Times New Roman" w:cs="Times New Roman"/>
          <w:noProof/>
          <w:sz w:val="24"/>
          <w:szCs w:val="20"/>
        </w:rPr>
      </w:pPr>
    </w:p>
    <w:p w14:paraId="383030EB" w14:textId="77777777" w:rsidR="00994F93" w:rsidRPr="00B03B51" w:rsidRDefault="00994F93" w:rsidP="00994F93">
      <w:pPr>
        <w:pStyle w:val="Heading3"/>
        <w:tabs>
          <w:tab w:val="left" w:pos="1265"/>
        </w:tabs>
        <w:ind w:left="0" w:firstLine="0"/>
        <w:jc w:val="both"/>
        <w:rPr>
          <w:rFonts w:ascii="Times New Roman" w:hAnsi="Times New Roman" w:cs="Times New Roman"/>
          <w:noProof/>
          <w:sz w:val="24"/>
        </w:rPr>
      </w:pPr>
      <w:bookmarkStart w:id="69" w:name="_Toc67565039"/>
      <w:r w:rsidRPr="00B03B51">
        <w:rPr>
          <w:rFonts w:ascii="Times New Roman" w:hAnsi="Times New Roman" w:cs="Times New Roman"/>
          <w:sz w:val="24"/>
        </w:rPr>
        <w:t>1.6.6. Subjekti, kam ir piesaistošās finanšu iestādes pazīmes</w:t>
      </w:r>
      <w:bookmarkEnd w:id="69"/>
    </w:p>
    <w:p w14:paraId="2BD18243"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p>
    <w:p w14:paraId="1F7F047B"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38. EKS 2010 ir izveidota jauna finanšu sabiedrību kategorija “piesaistošās finanšu iestādes” (ko klasificē S.127 apakšsektorā), kas aprakstīta EKS 2010 2.21.–2.23. un 2.98.–2.99. punktā. Piesaistošās finanšu iestādes ir institucionālās vienības, kas nenodarbojas ar finanšu starpniecību un finanšu palīgpakalpojumiem. Tās nevajadzētu arī jaukt ar mākslīgiem meitasuzņēmumiem, kas raksturoti EKS 2010 2.24.–2.25. punktā</w:t>
      </w:r>
      <w:r w:rsidRPr="00B03B51">
        <w:rPr>
          <w:rStyle w:val="FootnoteReference"/>
          <w:rFonts w:ascii="Times New Roman" w:hAnsi="Times New Roman" w:cs="Times New Roman"/>
          <w:noProof/>
          <w:sz w:val="24"/>
        </w:rPr>
        <w:footnoteReference w:id="86"/>
      </w:r>
      <w:r w:rsidRPr="00B03B51">
        <w:rPr>
          <w:rFonts w:ascii="Times New Roman" w:hAnsi="Times New Roman" w:cs="Times New Roman"/>
          <w:sz w:val="24"/>
        </w:rPr>
        <w:t>, kas nav institucionālas vienības.</w:t>
      </w:r>
    </w:p>
    <w:p w14:paraId="66DBA8BD"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p>
    <w:p w14:paraId="13E5547F"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 xml:space="preserve">39. EKS 2010 2.98. punktā skaidrots, ka piesaistošās finanšu iestādes </w:t>
      </w:r>
      <w:r w:rsidRPr="00B03B51">
        <w:rPr>
          <w:rFonts w:ascii="Times New Roman" w:hAnsi="Times New Roman" w:cs="Times New Roman"/>
          <w:i/>
          <w:iCs/>
          <w:sz w:val="24"/>
        </w:rPr>
        <w:t>(..) nenodarbojas ne ar finanšu starpniecību, ne ar finanšu palīgpakalpojumiem</w:t>
      </w:r>
      <w:r w:rsidRPr="00B03B51">
        <w:rPr>
          <w:rFonts w:ascii="Times New Roman" w:hAnsi="Times New Roman" w:cs="Times New Roman"/>
          <w:sz w:val="24"/>
        </w:rPr>
        <w:t>” (kā uzskaitīts EKS 2010 2.96. punktā), jo tās faktiski nepakļauj sevi riskam un turklāt “lielākā daļa to aktīvu vai saistību nav iesaistīti darījumos atklātos tirgos”. Tas varētu nozīmēt, ka to aktīvi ir neapgrozāmi instrumenti (pēc būtības vai tāpēc, ka pastāv viens vienīgs ekvivalents) vai ka šos aktīvus nefinansē bankas (noguldījumu veidā) vai finanšu tirgi (vērtspapīru veidā) atbilstoši noteicošajiem tirgus apstākļiem, bet gan divpusējās attiecībās ar šo iestāžu kontrolējošo vienību dažādos iespējamos veidos (ar aizdevumiem, pašu kapitālu, citiem vērtspapīriem).</w:t>
      </w:r>
    </w:p>
    <w:p w14:paraId="5FE74CF3"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p>
    <w:p w14:paraId="477FE4B0"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40. Piesaistošās finanšu iestādes uzskata par institucionālām vienībām saskaņā ar EKS 2010 kritērijiem (skat. EKS 2010 2.12. punktu)</w:t>
      </w:r>
      <w:r w:rsidRPr="00B03B51">
        <w:rPr>
          <w:rStyle w:val="FootnoteReference"/>
          <w:rFonts w:ascii="Times New Roman" w:hAnsi="Times New Roman" w:cs="Times New Roman"/>
          <w:noProof/>
          <w:sz w:val="24"/>
        </w:rPr>
        <w:footnoteReference w:id="87"/>
      </w:r>
      <w:r w:rsidRPr="00B03B51">
        <w:rPr>
          <w:rFonts w:ascii="Times New Roman" w:hAnsi="Times New Roman" w:cs="Times New Roman"/>
          <w:sz w:val="24"/>
        </w:rPr>
        <w:t>, taču tām ir ierobežota lemšanas spēja attiecībā uz savu kārtējo vadību, un tās ir ļoti atkarīgas no sava mātesuzņēmuma</w:t>
      </w:r>
      <w:r w:rsidRPr="00B03B51">
        <w:rPr>
          <w:rStyle w:val="FootnoteReference"/>
          <w:rFonts w:ascii="Times New Roman" w:hAnsi="Times New Roman" w:cs="Times New Roman"/>
          <w:noProof/>
          <w:sz w:val="24"/>
        </w:rPr>
        <w:footnoteReference w:id="88"/>
      </w:r>
      <w:r w:rsidRPr="00B03B51">
        <w:rPr>
          <w:rFonts w:ascii="Times New Roman" w:hAnsi="Times New Roman" w:cs="Times New Roman"/>
          <w:sz w:val="24"/>
        </w:rPr>
        <w:t xml:space="preserve"> (kontrolējošās vienības) attiecībā uz savu darbību veikšanu. Tādējādi kontrolējošās vienības ietekme ir lielāka nekā kontroles jēdziens nacionālajos kontos, kur kontrole attiecas uz vienības vispārējās politikas un stratēģijas ietekmi, t. i., mātesuzņēmuma kontrole sniedzas tālāk par galvenajiem lēmumiem, un nozīmīga ietekme ir vērojama arī “ikdienas” darbībās, ko veic, īstenojot noteikto stratēģiju.</w:t>
      </w:r>
    </w:p>
    <w:p w14:paraId="107508AF"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p>
    <w:p w14:paraId="74DAE5C2"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41. Valdības kontrolētiem subjektiem var būt funkcijas, kas ir līdzīgas piesaistošo finanšu iestāžu funkcijām, var būt līdzīgas pazīmes, proti, darbošanās galvenokārt finanšu jomā (tās neražo preces un nesniedz nefinanšu pakalpojumus), to bilancē aktīvu pusē var būt pamatā finanšu aktīvi un ieņēmumi galvenokārt no īpašuma ienākuma, un valdība var būtiski ietekmēt to vadību. No risku viedokļa pieņem, ka valdība, visticamāk, automātiski un nekavējoties tieši vai netieši uzņemas negatīvās sekas, kas rodas no šo subjektu turējumā esošo aktīvu nepietiekamiem darbības rezultātiem. Parasti šādus subjektus, ko kontrolē valdība un kam vienlaikus piemīt turpmākajos punktos raksturotās un 47. punktā apkopotās pazīmes, klasificē vispārējās valdības sektorā (S.13)</w:t>
      </w:r>
      <w:r w:rsidRPr="00B03B51">
        <w:rPr>
          <w:rStyle w:val="FootnoteReference"/>
          <w:rFonts w:ascii="Times New Roman" w:hAnsi="Times New Roman" w:cs="Times New Roman"/>
          <w:noProof/>
          <w:sz w:val="24"/>
        </w:rPr>
        <w:footnoteReference w:id="89"/>
      </w:r>
      <w:r w:rsidRPr="00B03B51">
        <w:rPr>
          <w:rFonts w:ascii="Times New Roman" w:hAnsi="Times New Roman" w:cs="Times New Roman"/>
          <w:sz w:val="24"/>
        </w:rPr>
        <w:t>, nevis finanšu sabiedrību sektorā (S.12).</w:t>
      </w:r>
      <w:r w:rsidRPr="00B03B51">
        <w:rPr>
          <w:rStyle w:val="FootnoteReference"/>
          <w:rFonts w:ascii="Times New Roman" w:hAnsi="Times New Roman" w:cs="Times New Roman"/>
          <w:noProof/>
          <w:sz w:val="24"/>
        </w:rPr>
        <w:footnoteReference w:id="90"/>
      </w:r>
    </w:p>
    <w:p w14:paraId="0CAD288F" w14:textId="77777777" w:rsidR="00994F93" w:rsidRPr="00B03B51" w:rsidRDefault="00994F93" w:rsidP="00994F93">
      <w:pPr>
        <w:jc w:val="both"/>
        <w:rPr>
          <w:rFonts w:ascii="Times New Roman" w:hAnsi="Times New Roman" w:cs="Times New Roman"/>
          <w:noProof/>
          <w:sz w:val="24"/>
        </w:rPr>
      </w:pPr>
    </w:p>
    <w:p w14:paraId="69F9AAC5" w14:textId="77777777" w:rsidR="00994F93" w:rsidRPr="00B03B51" w:rsidRDefault="00994F93" w:rsidP="00994F93">
      <w:pPr>
        <w:jc w:val="both"/>
        <w:rPr>
          <w:rFonts w:ascii="Times New Roman" w:hAnsi="Times New Roman" w:cs="Times New Roman"/>
          <w:b/>
          <w:noProof/>
          <w:sz w:val="24"/>
        </w:rPr>
      </w:pPr>
      <w:r w:rsidRPr="00B03B51">
        <w:rPr>
          <w:rFonts w:ascii="Times New Roman" w:hAnsi="Times New Roman" w:cs="Times New Roman"/>
          <w:b/>
          <w:sz w:val="24"/>
        </w:rPr>
        <w:t>Darbību diapazons un no komercsubjektiem atšķirīga saimnieciskā rīcība</w:t>
      </w:r>
    </w:p>
    <w:p w14:paraId="2A1949F1" w14:textId="77777777" w:rsidR="00994F93" w:rsidRPr="00B03B51" w:rsidRDefault="00994F93" w:rsidP="00994F93">
      <w:pPr>
        <w:jc w:val="both"/>
        <w:rPr>
          <w:rFonts w:ascii="Times New Roman" w:eastAsia="Arial" w:hAnsi="Times New Roman" w:cs="Times New Roman"/>
          <w:b/>
          <w:bCs/>
          <w:noProof/>
          <w:sz w:val="24"/>
          <w:szCs w:val="21"/>
        </w:rPr>
      </w:pPr>
    </w:p>
    <w:p w14:paraId="27367E7D"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42. Valdības kontrolēts subjekts uz striktiem nosacījumiem (ja nav tiešu norādījumu par kādu konkrētu iejaukšanos) veic savu darbību, kas ietilpst ierobežotu darbību diapazonā, ko galvenokārt ir izstrādājis, būtiski ietekmē, cieši novēro un uzrauga mātesuzņēmums un ko nav iespējams mainīt. Lai arī vienībai tomēr ir zināma neatkarība ikdienas vadības jautājumos, tā tomēr īsteno mērķus, ko noteikusi tās kontrolējošā vienība, un tai ir piemēroti kādi konkrēti ierobežojumi. Svarīgi atzīmēt, ka mātesuzņēmums vienlaikus ietekmē arī aktīvus un saistības. Tādējādi šāda “piesaistošā” vienība darbojas atšķirīgi no privātas finanšu iestādes, t. i., tā nedarbojas kā “parasts” komerciāls subjekts, kas meklē veidus, kā paplašināt savu darbību klāstu, specializējas kādās (rentablākās) jomās, izšķiras par labu vienai vai citai stratēģijai, un kopumā meklē veidus, kā iegūt tirgus peļņas normu līdzīgās darbībās. Subjekta darbībās izšķiroša loma ir valdībai, un tai nav nepieciešama tirgus peļņas norma, t. i., tās mērķis nav nodrošināt peļņu valdībai (piemēram, minimālo atdeves likmi no pašu kapitāla). Šādas vienības nesniedz pakalpojumus valdības vienību labā, bet veic finansiālus uzdevumus gandrīz vienīgi saistībā ar valsts politikas mērķiem stingrā valdības uzraudzībā. Faktiski šie subjekti ir alternatīvs veids tam, kā šos uzdevumus tiešā veidā veiktu pati valdība.</w:t>
      </w:r>
    </w:p>
    <w:p w14:paraId="709F5660"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p>
    <w:p w14:paraId="2BC1A054"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43. Šīs darbības un saimnieciskā rīcība atšķiras no tās, kāda ir valdības subjektiem, kas sniedz palīgpakalpojumus, un/vai mākslīgajiem meitasuzņēmumiem (abi nav institucionālās vienības), kas galvenokārt veic uzdevumus tikai kontrolējošai valdības vienībai (vai, iespējams, vairākām viena veida vienībām) un kuriem lielākā daļa to aktīvu nav prasījumi pret citiem sektoriem, izņemot valdību.</w:t>
      </w:r>
    </w:p>
    <w:p w14:paraId="3E308F4E" w14:textId="77777777" w:rsidR="00994F93" w:rsidRPr="00B03B51" w:rsidRDefault="00994F93" w:rsidP="00994F93">
      <w:pPr>
        <w:jc w:val="both"/>
        <w:rPr>
          <w:rFonts w:ascii="Times New Roman" w:eastAsia="Arial" w:hAnsi="Times New Roman" w:cs="Times New Roman"/>
          <w:noProof/>
          <w:sz w:val="24"/>
          <w:szCs w:val="20"/>
        </w:rPr>
      </w:pPr>
    </w:p>
    <w:p w14:paraId="67F6868A" w14:textId="77777777" w:rsidR="00994F93" w:rsidRPr="00B03B51" w:rsidRDefault="00994F93" w:rsidP="00994F93">
      <w:pPr>
        <w:jc w:val="both"/>
        <w:rPr>
          <w:rFonts w:ascii="Times New Roman" w:hAnsi="Times New Roman" w:cs="Times New Roman"/>
          <w:b/>
          <w:noProof/>
          <w:sz w:val="24"/>
        </w:rPr>
      </w:pPr>
      <w:r w:rsidRPr="00B03B51">
        <w:rPr>
          <w:rFonts w:ascii="Times New Roman" w:hAnsi="Times New Roman" w:cs="Times New Roman"/>
          <w:b/>
          <w:sz w:val="24"/>
        </w:rPr>
        <w:t>Ierobežojumi aktīvu pusē</w:t>
      </w:r>
    </w:p>
    <w:p w14:paraId="779448DA" w14:textId="77777777" w:rsidR="00994F93" w:rsidRPr="00B03B51" w:rsidRDefault="00994F93" w:rsidP="00994F93">
      <w:pPr>
        <w:jc w:val="both"/>
        <w:rPr>
          <w:rFonts w:ascii="Times New Roman" w:eastAsia="Arial" w:hAnsi="Times New Roman" w:cs="Times New Roman"/>
          <w:b/>
          <w:bCs/>
          <w:noProof/>
          <w:sz w:val="24"/>
          <w:szCs w:val="21"/>
        </w:rPr>
      </w:pPr>
    </w:p>
    <w:p w14:paraId="0EBBC28B"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44. Ierobežojumi aktīvu pusē nozīmē, ka mātesuzņēmums/kontrolējošā vienība piemēro nosacījumus, kādos vienība drīkst darboties, bez iespējas tos mainīt (vai ar iespēju tikai pavisam nedaudz tos mainīt) pēc savas iniciatīvas, piemēram, attiecībā uz to, kādus aktīvus tā drīkst turēt, kādā veidā un apmērā tā var iejaukties, kādai jābūt peļņai no atsevišķiem aktīviem, kādi ir vienības darbības labumu guvēju raksturlielumi, kā arī attiecībā uz citiem nosacījumiem, ko kontrolējošā iestāde ir precīzi noteikusi, vienībai neatstājot nekādas vai ļoti mazas manevra iespējas.</w:t>
      </w:r>
      <w:r w:rsidRPr="00B03B51">
        <w:rPr>
          <w:rStyle w:val="FootnoteReference"/>
          <w:rFonts w:ascii="Times New Roman" w:hAnsi="Times New Roman" w:cs="Times New Roman"/>
          <w:noProof/>
          <w:sz w:val="24"/>
        </w:rPr>
        <w:footnoteReference w:id="91"/>
      </w:r>
      <w:r w:rsidRPr="00B03B51">
        <w:rPr>
          <w:rFonts w:ascii="Times New Roman" w:hAnsi="Times New Roman" w:cs="Times New Roman"/>
          <w:sz w:val="24"/>
        </w:rPr>
        <w:t xml:space="preserve"> Šeit varētu ietilpt arī gadījumi, kad ir nepieciešama </w:t>
      </w:r>
      <w:r w:rsidRPr="00B03B51">
        <w:rPr>
          <w:rFonts w:ascii="Times New Roman" w:hAnsi="Times New Roman" w:cs="Times New Roman"/>
          <w:i/>
          <w:iCs/>
          <w:sz w:val="24"/>
        </w:rPr>
        <w:t>ex ante</w:t>
      </w:r>
      <w:r w:rsidRPr="00B03B51">
        <w:rPr>
          <w:rFonts w:ascii="Times New Roman" w:hAnsi="Times New Roman" w:cs="Times New Roman"/>
          <w:sz w:val="24"/>
        </w:rPr>
        <w:t xml:space="preserve"> atļauja, lai vienība varētu veikt nozīmīgu darbības daļu (piemēram, piešķirt aizdevumus vai iegādāties akcijas). Piemēram, ja vairumam aizdevumu (skaitliskā vai pamatsummas izteiksmē), ko piešķir šāda vienība, (vai ieguldījumiem citos finanšu instrumentos) ir nepieciešama kontrolējošās vienības </w:t>
      </w:r>
      <w:r w:rsidRPr="00B03B51">
        <w:rPr>
          <w:rFonts w:ascii="Times New Roman" w:hAnsi="Times New Roman" w:cs="Times New Roman"/>
          <w:i/>
          <w:iCs/>
          <w:sz w:val="24"/>
        </w:rPr>
        <w:t>ex ante</w:t>
      </w:r>
      <w:r w:rsidRPr="00B03B51">
        <w:rPr>
          <w:rFonts w:ascii="Times New Roman" w:hAnsi="Times New Roman" w:cs="Times New Roman"/>
          <w:sz w:val="24"/>
        </w:rPr>
        <w:t xml:space="preserve"> atļauja, uzskatāms, ka aktīvus kontrolē šī kontrolējošā iestāde un vienībai faktiski ir piesaistošai finanšu iestādei līdzīgas pazīmes.</w:t>
      </w:r>
    </w:p>
    <w:p w14:paraId="5422FEF9"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p>
    <w:p w14:paraId="5D9C844D"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45. Kā piemēru var minēt, teiksim, valdības kontrolētu subjektu, kam valdība uzticējusi veikt ar valsts politiku saistītas darbības, ko kopumā ierobežo kādi tieši šiem subjektiem noteiktie uzdevumi, piemēram, piešķirt aizdevumus ar labvēlīgākiem nosacījumiem nekā tirgus nosacījumi vai veikt ieguldījumu kādās īpašās vienībās vai sektoros (kā sviras rīku).</w:t>
      </w:r>
      <w:r w:rsidRPr="00B03B51">
        <w:rPr>
          <w:rStyle w:val="FootnoteReference"/>
          <w:rFonts w:ascii="Times New Roman" w:hAnsi="Times New Roman" w:cs="Times New Roman"/>
          <w:noProof/>
          <w:sz w:val="24"/>
        </w:rPr>
        <w:footnoteReference w:id="92"/>
      </w:r>
      <w:r w:rsidRPr="00B03B51">
        <w:rPr>
          <w:rFonts w:ascii="Times New Roman" w:hAnsi="Times New Roman" w:cs="Times New Roman"/>
          <w:sz w:val="24"/>
        </w:rPr>
        <w:t xml:space="preserve"> Šādas </w:t>
      </w:r>
      <w:r w:rsidRPr="00B03B51">
        <w:rPr>
          <w:rFonts w:ascii="Times New Roman" w:hAnsi="Times New Roman" w:cs="Times New Roman"/>
          <w:sz w:val="24"/>
        </w:rPr>
        <w:lastRenderedPageBreak/>
        <w:t>politikas piemēri ir ekonomikas attīstība, reģionālā politika, jaunas tehnoloģijas, klimata pārmaiņu mazināšana un pielāgošana, sociālā integrācija, nekustamā īpašuma īpašumtiesību pieejamība, terciārās izglītības pieejamība utt. Kā minēts iepriekš, valdības kontrolētas vienības pienākums ir veikt intervences pasākumus šaurā regulējumā, ko noteikusi valdība, pat ja valdība ne vienmēr oficiāli apstiprina/nosaka katru atsevišķu aktīvu piešķīrumu katram konkrētajam labuma guvējam, lai gan attiecībā uz nozīmīga lieluma darbībām tas bieži vien tomēr tā notiek.</w:t>
      </w:r>
    </w:p>
    <w:p w14:paraId="588C62C0" w14:textId="77777777" w:rsidR="00994F93" w:rsidRPr="00B03B51" w:rsidRDefault="00994F93" w:rsidP="00994F93">
      <w:pPr>
        <w:jc w:val="both"/>
        <w:rPr>
          <w:rFonts w:ascii="Times New Roman" w:hAnsi="Times New Roman" w:cs="Times New Roman"/>
          <w:noProof/>
          <w:sz w:val="24"/>
        </w:rPr>
      </w:pPr>
    </w:p>
    <w:p w14:paraId="1CB5455B" w14:textId="77777777" w:rsidR="00994F93" w:rsidRPr="00B03B51" w:rsidRDefault="00994F93" w:rsidP="00994F93">
      <w:pPr>
        <w:jc w:val="both"/>
        <w:rPr>
          <w:rFonts w:ascii="Times New Roman" w:hAnsi="Times New Roman" w:cs="Times New Roman"/>
          <w:b/>
          <w:noProof/>
          <w:sz w:val="24"/>
        </w:rPr>
      </w:pPr>
      <w:r w:rsidRPr="00B03B51">
        <w:rPr>
          <w:rFonts w:ascii="Times New Roman" w:hAnsi="Times New Roman" w:cs="Times New Roman"/>
          <w:b/>
          <w:sz w:val="24"/>
        </w:rPr>
        <w:t>Ierobežojumi saistību pusē</w:t>
      </w:r>
    </w:p>
    <w:p w14:paraId="71327338" w14:textId="77777777" w:rsidR="00994F93" w:rsidRPr="00B03B51" w:rsidRDefault="00994F93" w:rsidP="00994F93">
      <w:pPr>
        <w:jc w:val="both"/>
        <w:rPr>
          <w:rFonts w:ascii="Times New Roman" w:eastAsia="Arial" w:hAnsi="Times New Roman" w:cs="Times New Roman"/>
          <w:b/>
          <w:bCs/>
          <w:noProof/>
          <w:sz w:val="24"/>
          <w:szCs w:val="21"/>
        </w:rPr>
      </w:pPr>
    </w:p>
    <w:p w14:paraId="377B3044"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46. Ja tiek ietekmēta subjekta saistību puse, tas nozīmē, ka vienība nevar aizņemties bez mātesuzņēmuma atļaujas vai ka to finansē galvenokārt mātesuzņēmums, vai ka dažos gadījumos lielāko daļu tās aizņēmumu garantē mātesuzņēmums. Šādos apstākļos vienība nevar lemt pati par resursiem, kas varētu ļaut tai paplašināt savu darbību jomu vai reorganizēt savus intervences pasākumus.</w:t>
      </w:r>
    </w:p>
    <w:p w14:paraId="0BF78389"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p>
    <w:p w14:paraId="317DE8A6"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47. Rezumējot, vienībai, kas nodarbojas ar finanšu darbībām un ko kontrolē valdība, varētu būt piesaistošas finanšu iestādes pazīmes un tādējādi tā būtu klasificējama valdības sektorā, nevis finanšu sabiedrību sektorā (S.12), ja vienlaikus tiek izpildīti turpmāk minētie nosacījumi.</w:t>
      </w:r>
    </w:p>
    <w:p w14:paraId="465305E4"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p>
    <w:p w14:paraId="7A15D0A5" w14:textId="77777777" w:rsidR="00994F93" w:rsidRPr="00B03B51" w:rsidRDefault="00994F93" w:rsidP="00994F93">
      <w:pPr>
        <w:pStyle w:val="BodyText"/>
        <w:tabs>
          <w:tab w:val="left" w:pos="1123"/>
        </w:tabs>
        <w:spacing w:before="0"/>
        <w:ind w:left="284" w:firstLine="0"/>
        <w:jc w:val="both"/>
        <w:rPr>
          <w:rFonts w:ascii="Times New Roman" w:hAnsi="Times New Roman" w:cs="Times New Roman"/>
          <w:noProof/>
          <w:sz w:val="24"/>
        </w:rPr>
      </w:pPr>
      <w:r w:rsidRPr="00B03B51">
        <w:rPr>
          <w:rFonts w:ascii="Times New Roman" w:hAnsi="Times New Roman" w:cs="Times New Roman"/>
          <w:sz w:val="24"/>
        </w:rPr>
        <w:t>1) Vienība veic ierobežotu darbību kopumu, ievērojot striktus nosacījumus, ko noteikusi valdība (saskaņā ar valsts politikas mērķiem).</w:t>
      </w:r>
    </w:p>
    <w:p w14:paraId="31F23B75" w14:textId="77777777" w:rsidR="00994F93" w:rsidRPr="00B03B51" w:rsidRDefault="00994F93" w:rsidP="00994F93">
      <w:pPr>
        <w:pStyle w:val="BodyText"/>
        <w:tabs>
          <w:tab w:val="left" w:pos="1123"/>
        </w:tabs>
        <w:spacing w:before="0"/>
        <w:ind w:left="284" w:firstLine="0"/>
        <w:jc w:val="both"/>
        <w:rPr>
          <w:rFonts w:ascii="Times New Roman" w:hAnsi="Times New Roman" w:cs="Times New Roman"/>
          <w:noProof/>
          <w:sz w:val="24"/>
        </w:rPr>
      </w:pPr>
    </w:p>
    <w:p w14:paraId="34DFD889" w14:textId="77777777" w:rsidR="00994F93" w:rsidRPr="00B03B51" w:rsidRDefault="00994F93" w:rsidP="00994F93">
      <w:pPr>
        <w:pStyle w:val="BodyText"/>
        <w:tabs>
          <w:tab w:val="left" w:pos="1123"/>
        </w:tabs>
        <w:spacing w:before="0"/>
        <w:ind w:left="284" w:firstLine="0"/>
        <w:jc w:val="both"/>
        <w:rPr>
          <w:rFonts w:ascii="Times New Roman" w:hAnsi="Times New Roman" w:cs="Times New Roman"/>
          <w:noProof/>
          <w:sz w:val="24"/>
        </w:rPr>
      </w:pPr>
      <w:r w:rsidRPr="00B03B51">
        <w:rPr>
          <w:rFonts w:ascii="Times New Roman" w:hAnsi="Times New Roman" w:cs="Times New Roman"/>
          <w:sz w:val="24"/>
        </w:rPr>
        <w:t>2) Ir apliecinājums tam, ka vienlaikus pastāv valdības ietekme vai ierobežojumi abās pusēs:</w:t>
      </w:r>
    </w:p>
    <w:p w14:paraId="0A82E23B" w14:textId="77777777" w:rsidR="00994F93" w:rsidRPr="00B03B51" w:rsidRDefault="00994F93" w:rsidP="00994F93">
      <w:pPr>
        <w:pStyle w:val="BodyText"/>
        <w:tabs>
          <w:tab w:val="left" w:pos="1123"/>
        </w:tabs>
        <w:spacing w:before="0"/>
        <w:ind w:left="0" w:firstLine="0"/>
        <w:jc w:val="both"/>
        <w:rPr>
          <w:rFonts w:ascii="Times New Roman" w:hAnsi="Times New Roman" w:cs="Times New Roman"/>
          <w:noProof/>
          <w:sz w:val="24"/>
        </w:rPr>
      </w:pPr>
    </w:p>
    <w:p w14:paraId="5A2D9878" w14:textId="77777777" w:rsidR="00994F93" w:rsidRPr="00B03B51" w:rsidRDefault="00994F93" w:rsidP="00994F93">
      <w:pPr>
        <w:pStyle w:val="BodyText"/>
        <w:numPr>
          <w:ilvl w:val="1"/>
          <w:numId w:val="19"/>
        </w:numPr>
        <w:tabs>
          <w:tab w:val="left" w:pos="1409"/>
        </w:tabs>
        <w:spacing w:before="0"/>
        <w:ind w:left="709" w:hanging="425"/>
        <w:jc w:val="both"/>
        <w:rPr>
          <w:rFonts w:ascii="Times New Roman" w:hAnsi="Times New Roman" w:cs="Times New Roman"/>
          <w:noProof/>
          <w:sz w:val="24"/>
        </w:rPr>
      </w:pPr>
      <w:r w:rsidRPr="00B03B51">
        <w:rPr>
          <w:rFonts w:ascii="Times New Roman" w:hAnsi="Times New Roman" w:cs="Times New Roman"/>
          <w:sz w:val="24"/>
        </w:rPr>
        <w:t>vienības aktīvu pusē;</w:t>
      </w:r>
    </w:p>
    <w:p w14:paraId="223F25C9" w14:textId="77777777" w:rsidR="00994F93" w:rsidRPr="00B03B51" w:rsidRDefault="00994F93" w:rsidP="00994F93">
      <w:pPr>
        <w:pStyle w:val="BodyText"/>
        <w:numPr>
          <w:ilvl w:val="1"/>
          <w:numId w:val="19"/>
        </w:numPr>
        <w:tabs>
          <w:tab w:val="left" w:pos="1409"/>
        </w:tabs>
        <w:spacing w:before="0"/>
        <w:ind w:left="709" w:hanging="425"/>
        <w:jc w:val="both"/>
        <w:rPr>
          <w:rFonts w:ascii="Times New Roman" w:hAnsi="Times New Roman" w:cs="Times New Roman"/>
          <w:noProof/>
          <w:sz w:val="24"/>
        </w:rPr>
      </w:pPr>
      <w:r w:rsidRPr="00B03B51">
        <w:rPr>
          <w:rFonts w:ascii="Times New Roman" w:hAnsi="Times New Roman" w:cs="Times New Roman"/>
          <w:sz w:val="24"/>
        </w:rPr>
        <w:t>saistību pusē.</w:t>
      </w:r>
    </w:p>
    <w:p w14:paraId="6B9962F6" w14:textId="77777777" w:rsidR="00994F93" w:rsidRPr="00B03B51" w:rsidRDefault="00994F93" w:rsidP="00994F93">
      <w:pPr>
        <w:pStyle w:val="BodyText"/>
        <w:tabs>
          <w:tab w:val="left" w:pos="1123"/>
        </w:tabs>
        <w:spacing w:before="0"/>
        <w:ind w:left="0" w:firstLine="0"/>
        <w:jc w:val="both"/>
        <w:rPr>
          <w:rFonts w:ascii="Times New Roman" w:hAnsi="Times New Roman" w:cs="Times New Roman"/>
          <w:noProof/>
          <w:sz w:val="24"/>
        </w:rPr>
      </w:pPr>
    </w:p>
    <w:p w14:paraId="76767A7D" w14:textId="77777777" w:rsidR="00994F93" w:rsidRPr="00B03B51" w:rsidRDefault="00994F93" w:rsidP="00994F93">
      <w:pPr>
        <w:pStyle w:val="BodyText"/>
        <w:tabs>
          <w:tab w:val="left" w:pos="1123"/>
        </w:tabs>
        <w:spacing w:before="0"/>
        <w:ind w:left="284" w:firstLine="0"/>
        <w:jc w:val="both"/>
        <w:rPr>
          <w:rFonts w:ascii="Times New Roman" w:hAnsi="Times New Roman" w:cs="Times New Roman"/>
          <w:noProof/>
          <w:sz w:val="24"/>
        </w:rPr>
      </w:pPr>
      <w:r w:rsidRPr="00B03B51">
        <w:rPr>
          <w:rFonts w:ascii="Times New Roman" w:hAnsi="Times New Roman" w:cs="Times New Roman"/>
          <w:sz w:val="24"/>
        </w:rPr>
        <w:t>3) Vienība nedarbojas kā “parasts” komerciāls subjekts (piemēram, nav sagaidāma tirgus likme no pašu kapitāla atdeves).</w:t>
      </w:r>
    </w:p>
    <w:p w14:paraId="3A4608D1" w14:textId="77777777" w:rsidR="00994F93" w:rsidRPr="00B03B51" w:rsidRDefault="00994F93" w:rsidP="00994F93">
      <w:pPr>
        <w:pStyle w:val="BodyText"/>
        <w:tabs>
          <w:tab w:val="left" w:pos="1123"/>
        </w:tabs>
        <w:spacing w:before="0"/>
        <w:ind w:left="0" w:firstLine="0"/>
        <w:jc w:val="both"/>
        <w:rPr>
          <w:rFonts w:ascii="Times New Roman" w:hAnsi="Times New Roman" w:cs="Times New Roman"/>
          <w:noProof/>
          <w:sz w:val="24"/>
        </w:rPr>
      </w:pPr>
    </w:p>
    <w:p w14:paraId="2BCD1A0F"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48. Piemēram, vienībai, ko kontrolē valdība un kas darbojas valdības noteiktu stingru ierobežojumu apstākļos, taču sevi tieši finansē tirgū bez valdības atbalsta (t. i., nav vajadzības saņemt valdības garantijas vai subsīdijas), varētu nebūt (visu) piesaistošas finanšu iestādes pazīmju. Tomēr, ja gan aktīvu, gan saistību pusē ir redzama ietekme vai ierobežojumi, subjekts faktiski varētu darboties kontrolējošas iestādes (valdības) labā.</w:t>
      </w:r>
    </w:p>
    <w:p w14:paraId="766D8D02"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p>
    <w:p w14:paraId="63C78494"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 xml:space="preserve">49. Daži piesaistošu finanšu iestāžu piemēri ir sniegti EKS 2010 2.99. punktā, tomēr tie tieši neattiecas uz valdības kontrolēto piesaistošo finanšu iestāžu gadījumiem. Tomēr šie piemēri sniedz interesantu informāciju par dažiem šādu subjektu aspektiem. Proti, EKS 2010 2.99. punkta d) apakšpunktā minētas </w:t>
      </w:r>
      <w:r w:rsidRPr="00B03B51">
        <w:rPr>
          <w:rFonts w:ascii="Times New Roman" w:hAnsi="Times New Roman" w:cs="Times New Roman"/>
          <w:i/>
          <w:iCs/>
          <w:sz w:val="24"/>
        </w:rPr>
        <w:t>vienības, kas sniedz finanšu pakalpojumus tikai ar pašu līdzekļiem vai sponsoru nodrošinātiem līdzekļiem dažādiem klientiem un uzņemas saistības nepildošā parādnieka finanšu risku</w:t>
      </w:r>
      <w:r w:rsidRPr="00B03B51">
        <w:rPr>
          <w:rFonts w:ascii="Times New Roman" w:hAnsi="Times New Roman" w:cs="Times New Roman"/>
          <w:sz w:val="24"/>
        </w:rPr>
        <w:t xml:space="preserve">. Šim gadījumam ir nepieciešams pievērst īpašu uzmanību, ja šādas vienības kontrolē valdība, kura papildus tam, ka cieši kontrolē vairumu vienības darbību, kā minēts iepriekš, nodrošina vairumu tās resursu, izmantojot dažādus iespējamos finanšu instrumentus (piemēram, pašu kapitālu, noguldījumus, aizdevumus, vērtspapīrus). Svarīga pazīme, kā jau tika minēts iepriekš, ir tā, ka kopumā valdība nesniedz līdzekļus ar mērķi gūt tirgus peļņas normu (skat. piemēram, 3.2. nodaļu “Kapitāla iepludināšana publiskās </w:t>
      </w:r>
      <w:r w:rsidRPr="00B03B51">
        <w:rPr>
          <w:rFonts w:ascii="Times New Roman" w:hAnsi="Times New Roman" w:cs="Times New Roman"/>
          <w:sz w:val="24"/>
        </w:rPr>
        <w:lastRenderedPageBreak/>
        <w:t>sabiedrībās”), bet gan dod priekšroku dažu savas politikas mērķu īstenošanai.</w:t>
      </w:r>
      <w:r w:rsidRPr="00B03B51">
        <w:rPr>
          <w:rStyle w:val="FootnoteReference"/>
          <w:rFonts w:ascii="Times New Roman" w:hAnsi="Times New Roman" w:cs="Times New Roman"/>
          <w:noProof/>
          <w:sz w:val="24"/>
        </w:rPr>
        <w:footnoteReference w:id="93"/>
      </w:r>
      <w:r w:rsidRPr="00B03B51">
        <w:rPr>
          <w:rFonts w:ascii="Times New Roman" w:hAnsi="Times New Roman" w:cs="Times New Roman"/>
          <w:sz w:val="24"/>
          <w:szCs w:val="12"/>
        </w:rPr>
        <w:t xml:space="preserve"> </w:t>
      </w:r>
      <w:r w:rsidRPr="00B03B51">
        <w:rPr>
          <w:rFonts w:ascii="Times New Roman" w:hAnsi="Times New Roman" w:cs="Times New Roman"/>
          <w:sz w:val="24"/>
        </w:rPr>
        <w:t>Šādos apstākļos valdības kontrolētai vienībai nav jānodrošina pietiekama peļņas norma, lai segtu ar aizņēmumu saistītās tirgus izmaksas, kā to darītu “parastās” finanšu iestādes.</w:t>
      </w:r>
    </w:p>
    <w:p w14:paraId="78360F88" w14:textId="77777777" w:rsidR="00994F93" w:rsidRPr="00B03B51" w:rsidRDefault="00994F93" w:rsidP="00994F93">
      <w:pPr>
        <w:jc w:val="both"/>
        <w:rPr>
          <w:rFonts w:ascii="Times New Roman" w:eastAsia="Arial" w:hAnsi="Times New Roman" w:cs="Times New Roman"/>
          <w:noProof/>
          <w:sz w:val="24"/>
          <w:szCs w:val="20"/>
        </w:rPr>
      </w:pPr>
    </w:p>
    <w:p w14:paraId="4CFED894" w14:textId="77777777" w:rsidR="00994F93" w:rsidRPr="00B03B51" w:rsidRDefault="00994F93" w:rsidP="00994F93">
      <w:pPr>
        <w:jc w:val="both"/>
        <w:rPr>
          <w:rFonts w:ascii="Times New Roman" w:hAnsi="Times New Roman" w:cs="Times New Roman"/>
          <w:b/>
          <w:noProof/>
          <w:sz w:val="24"/>
        </w:rPr>
      </w:pPr>
      <w:r w:rsidRPr="00B03B51">
        <w:rPr>
          <w:rFonts w:ascii="Times New Roman" w:hAnsi="Times New Roman" w:cs="Times New Roman"/>
          <w:b/>
          <w:sz w:val="24"/>
        </w:rPr>
        <w:t>Daži īpaši gadījumi</w:t>
      </w:r>
    </w:p>
    <w:p w14:paraId="67C78F7D" w14:textId="77777777" w:rsidR="00994F93" w:rsidRPr="00B03B51" w:rsidRDefault="00994F93" w:rsidP="00994F93">
      <w:pPr>
        <w:jc w:val="both"/>
        <w:rPr>
          <w:rFonts w:ascii="Times New Roman" w:eastAsia="Arial" w:hAnsi="Times New Roman" w:cs="Times New Roman"/>
          <w:b/>
          <w:bCs/>
          <w:noProof/>
          <w:sz w:val="24"/>
          <w:szCs w:val="21"/>
        </w:rPr>
      </w:pPr>
    </w:p>
    <w:p w14:paraId="6DD89390"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50. Saskaņā ar vispārīgiem noteikumiem, kas aprakstīti iepriekš un apkopoti iepriekšējā punktā, jāizvērtē būtu vēl daži papildu aspekti. Piemēram, var gadīties, ka valdība nav vienīgais līdzekļu piešķīrējs (sponsors), un ir iesaistītas arī citas vienības (piemēram, bankas). Vienību varētu klasificēt kā valdības vienību neatkarīgi no tā, cik lielu finansējuma daļu sniedz valdība, ja visi līdzekļi, ko saņem vienība, nenodrošina tirgus peļņas normu (piemēram, pašu kapitāla atdevi, ko prasa parastie privātie akcionāri, vai parasto procentu komerclikmi).</w:t>
      </w:r>
      <w:r w:rsidRPr="00B03B51">
        <w:rPr>
          <w:rStyle w:val="FootnoteReference"/>
          <w:rFonts w:ascii="Times New Roman" w:hAnsi="Times New Roman" w:cs="Times New Roman"/>
          <w:noProof/>
          <w:sz w:val="24"/>
        </w:rPr>
        <w:footnoteReference w:id="94"/>
      </w:r>
      <w:r w:rsidRPr="00B03B51">
        <w:rPr>
          <w:rFonts w:ascii="Times New Roman" w:hAnsi="Times New Roman" w:cs="Times New Roman"/>
          <w:sz w:val="24"/>
          <w:szCs w:val="12"/>
        </w:rPr>
        <w:t xml:space="preserve"> </w:t>
      </w:r>
      <w:r w:rsidRPr="00B03B51">
        <w:rPr>
          <w:rFonts w:ascii="Times New Roman" w:hAnsi="Times New Roman" w:cs="Times New Roman"/>
          <w:sz w:val="24"/>
        </w:rPr>
        <w:t>Var būt arī gadījumi, kad citi resursu sniedzēji varētu darboties kā “parastie” ieguldītāji un prasīt peļņas normu, kas ir tuva parastajai tirgus peļņas normai. Tomēr, ņemot vērā, ka valdība varētu izšķiroši ietekmēt subjektu (kā aprakstīts iepriekš) un neprasīt tādu peļņas normu, kas līdzinātos citu līdzekļu sniedzēju normām, arī tādā gadījumā vienība būtu klasificējama kā valdības vienība visos gadījumos, kad valdība nodrošinātu vienībai vairāk par 50 % no kopējiem resursiem (izņemot kreditoru saistības) jebkādā veidā (pašu kapitāls, aizdevumi, vērtspapīri, garantijas).</w:t>
      </w:r>
    </w:p>
    <w:p w14:paraId="28A1DD65"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p>
    <w:p w14:paraId="64B73CB0"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 xml:space="preserve">51. Valdība var sniegt arī tiešas garantijas attiecībā uz subjekta izsniegtajiem finanšu instrumentiem, kas ļaus subjektam saņemt līdzekļus ar labākiem nosacījumiem (parasti gūstot priekšrocības, ņemot vērā sava garantijas devēja reitingu) vai pat saņemt piekļuvi fondu tirgum. Ja garantija attiektos uz lielāko daļu subjekta aizņēmumu, ko izsniegušas ar valdību nesaistītas struktūras, tie būtu beznosacījuma un kreditori tos varētu aktivizēt “pēc pirmā pieprasījuma”, šādu garantiju varētu pielīdzināt tiešai līdzekļu sniegšanai. Vienība </w:t>
      </w:r>
      <w:r w:rsidRPr="00B03B51">
        <w:rPr>
          <w:rFonts w:ascii="Times New Roman" w:hAnsi="Times New Roman" w:cs="Times New Roman"/>
          <w:i/>
          <w:iCs/>
          <w:sz w:val="24"/>
        </w:rPr>
        <w:t>de facto</w:t>
      </w:r>
      <w:r w:rsidRPr="00B03B51">
        <w:rPr>
          <w:rFonts w:ascii="Times New Roman" w:hAnsi="Times New Roman" w:cs="Times New Roman"/>
          <w:sz w:val="24"/>
        </w:rPr>
        <w:t xml:space="preserve"> nepakļautu sevi riskam, un aizņēmuma izmaksas neatspoguļotu vienības riska līmeni, kurai valdības ietekmes dēļ varētu būt tikai ierobežota peļņa, ja tāda vispār varētu būt. Šādos gadījumos vienību klasificē vispārējās valdības sektorā.</w:t>
      </w:r>
    </w:p>
    <w:p w14:paraId="64A01356" w14:textId="77777777" w:rsidR="00994F93" w:rsidRPr="00B03B51" w:rsidRDefault="00994F93" w:rsidP="00994F93">
      <w:pPr>
        <w:pStyle w:val="BodyText"/>
        <w:spacing w:before="0"/>
        <w:ind w:left="0" w:firstLine="0"/>
        <w:jc w:val="both"/>
        <w:rPr>
          <w:rFonts w:ascii="Times New Roman" w:hAnsi="Times New Roman" w:cs="Times New Roman"/>
          <w:noProof/>
          <w:sz w:val="24"/>
        </w:rPr>
      </w:pPr>
    </w:p>
    <w:p w14:paraId="6C12BD8E" w14:textId="77777777" w:rsidR="00994F93" w:rsidRPr="00B03B51" w:rsidRDefault="00994F93" w:rsidP="00994F93">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t>Visbeidzot, mēdz būt gadījumi, kad vienība var aizņemties tirgos, taču bez tiešām valdības garantijām attiecībā uz saviem parāda instrumentiem. Tomēr, ņemot vērā, ka valdība stingri kontrolē tās darbību un ka vienībai ir izšķiroša nozīme saistībā ar nozīmīgu valdības politiku, visticamāk, ieguldītājiem neradīsies nekādas šaubas par valdības atbalstu vajadzības gadījumā un novērtēs šādas situācijas “cenu”. Ja vienība nevarēs segt sava aizņēmuma tirgus izmaksas bez pastāvīga valdības atbalsta (kas varētu izpausties kā subsīdijas, ar kurām kompensē aktīvu procentu un saistību procentu starpību, kādas administratīvās izmaksas, sedz zaudējumus utt.), šādu vienību klasificē valdības sektorā.</w:t>
      </w:r>
    </w:p>
    <w:p w14:paraId="25FEDF55" w14:textId="77777777" w:rsidR="00994F93" w:rsidRPr="00B03B51" w:rsidRDefault="00994F93" w:rsidP="00994F93">
      <w:pPr>
        <w:jc w:val="both"/>
        <w:rPr>
          <w:rFonts w:ascii="Times New Roman" w:eastAsia="Arial" w:hAnsi="Times New Roman" w:cs="Times New Roman"/>
          <w:noProof/>
          <w:sz w:val="24"/>
          <w:szCs w:val="16"/>
        </w:rPr>
      </w:pPr>
    </w:p>
    <w:p w14:paraId="3DCA8557" w14:textId="77777777" w:rsidR="00994F93" w:rsidRPr="00B03B51" w:rsidRDefault="00994F93" w:rsidP="00D100A9">
      <w:pPr>
        <w:pStyle w:val="Heading3"/>
        <w:keepNext/>
        <w:tabs>
          <w:tab w:val="left" w:pos="1265"/>
        </w:tabs>
        <w:ind w:left="0" w:firstLine="0"/>
        <w:jc w:val="both"/>
        <w:rPr>
          <w:rFonts w:ascii="Times New Roman" w:hAnsi="Times New Roman" w:cs="Times New Roman"/>
          <w:b w:val="0"/>
          <w:bCs w:val="0"/>
          <w:noProof/>
          <w:sz w:val="24"/>
          <w:szCs w:val="19"/>
        </w:rPr>
      </w:pPr>
      <w:bookmarkStart w:id="70" w:name="_Toc67565040"/>
      <w:r w:rsidRPr="00B03B51">
        <w:rPr>
          <w:rFonts w:ascii="Times New Roman" w:hAnsi="Times New Roman" w:cs="Times New Roman"/>
          <w:sz w:val="24"/>
        </w:rPr>
        <w:lastRenderedPageBreak/>
        <w:t>1.6.7. Centrālās krājumu uzturēšanas struktūras (CKUS)</w:t>
      </w:r>
      <w:r w:rsidRPr="00B03B51">
        <w:rPr>
          <w:rStyle w:val="FootnoteReference"/>
          <w:rFonts w:ascii="Times New Roman" w:hAnsi="Times New Roman" w:cs="Times New Roman"/>
          <w:noProof/>
          <w:sz w:val="24"/>
        </w:rPr>
        <w:footnoteReference w:id="95"/>
      </w:r>
      <w:bookmarkEnd w:id="70"/>
    </w:p>
    <w:p w14:paraId="1D6A1CB2" w14:textId="77777777" w:rsidR="00994F93" w:rsidRPr="00B03B51" w:rsidRDefault="00994F93" w:rsidP="00D100A9">
      <w:pPr>
        <w:pStyle w:val="BodyText"/>
        <w:keepNext/>
        <w:tabs>
          <w:tab w:val="left" w:pos="840"/>
        </w:tabs>
        <w:spacing w:before="0"/>
        <w:ind w:left="0" w:firstLine="0"/>
        <w:jc w:val="both"/>
        <w:rPr>
          <w:rFonts w:ascii="Times New Roman" w:hAnsi="Times New Roman" w:cs="Times New Roman"/>
          <w:noProof/>
          <w:sz w:val="24"/>
        </w:rPr>
      </w:pPr>
    </w:p>
    <w:p w14:paraId="0ADB9416" w14:textId="77777777" w:rsidR="00994F93" w:rsidRPr="00B03B51" w:rsidRDefault="00994F93" w:rsidP="00D100A9">
      <w:pPr>
        <w:pStyle w:val="BodyText"/>
        <w:keepNext/>
        <w:tabs>
          <w:tab w:val="left" w:pos="840"/>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52. Saskaņā ar 2009. gada Direktīvu</w:t>
      </w:r>
      <w:r w:rsidRPr="00B03B51">
        <w:rPr>
          <w:rStyle w:val="FootnoteReference"/>
          <w:rFonts w:ascii="Times New Roman" w:hAnsi="Times New Roman" w:cs="Times New Roman"/>
          <w:noProof/>
          <w:sz w:val="24"/>
        </w:rPr>
        <w:footnoteReference w:id="96"/>
      </w:r>
      <w:r w:rsidRPr="00B03B51">
        <w:rPr>
          <w:rFonts w:ascii="Times New Roman" w:hAnsi="Times New Roman" w:cs="Times New Roman"/>
          <w:sz w:val="24"/>
        </w:rPr>
        <w:t xml:space="preserve"> ES dalībvalstis var izveidot centrālo uzkrājumu uzturēšanas struktūru, lai nodrošinātu jēlnaftas un/vai naftas produktu drošības rezervju uzturēšanu, kas būtu lietojamas krīzes gadījumā. Valdība var tieši pārvaldīt šīs drošības rezerves vai arī nodot šīs pilnvaras valdības izveidotai vai ieceltai CKUS. Bez tam šajā direktīvā noteikts, ka CKUS vai valdība uz noteiktu laiku var deleģēt ar drošības rezervju pārvaldīšanu saistītus uzdevumus, izņemot konkrēto rezervju pārdošanu un iegādi. Šādus uzdevumus drīkst deleģēt vienīgi: 1) citai ES dalībvalstij, kuras teritorijā tādi krājumi tiek uzglabāti; vai 2) šīs ES dalībvalsts izveidotajai CKUS; vai 3) uzņēmējiem.</w:t>
      </w:r>
      <w:r w:rsidRPr="00B03B51">
        <w:rPr>
          <w:rStyle w:val="FootnoteReference"/>
          <w:rFonts w:ascii="Times New Roman" w:hAnsi="Times New Roman" w:cs="Times New Roman"/>
          <w:noProof/>
          <w:sz w:val="24"/>
        </w:rPr>
        <w:footnoteReference w:id="97"/>
      </w:r>
    </w:p>
    <w:p w14:paraId="24CCC50B"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p>
    <w:p w14:paraId="5EB0018C"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53. Direktīvā noteikts, ka CKUS nav obligāti jādibina, taču, ja ES dalībvalsts ir nolēmusi izveidot šādu struktūru, tai ir jāievēro šādi nosacījumi: ES dalībvalstīm nav atļauts izveidot vairāk kā vienu CKUS, tai ir jābūt struktūrai vai dienestam, kura mērķis nav gūt peļņu un kurš darbojas vispārējās interesēs, un tās galvenais mērķis ir iegādāties, uzturēt un pārdot naftas krājumus šajā direktīvā noteiktajām vajadzībām. Maksas, ko uzņēmumi maksā par CKUS sniegtajiem pakalpojumiem, nepārsniedz pilnas sniegto pakalpojumu izmaksas, un tās nevar pieprasīt, pirms krājumi ir izveidoti.</w:t>
      </w:r>
    </w:p>
    <w:p w14:paraId="21384DCC"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p>
    <w:p w14:paraId="080D6135"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54. CKUS galvenā darbība ietver tikai naftas krājumu iegādi, uzturēšanu un pārdošanu šās direktīvas vajadzībām, un tas ir ES dalībvalstu valsts politikas jautājums. CKUS netiek izveidota nolūkā gūt kādu peļņu no savas darbības un var nest pat zaudējumus.</w:t>
      </w:r>
    </w:p>
    <w:p w14:paraId="0456D66B"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p>
    <w:p w14:paraId="126C8823"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55. CKUS darbības, mērķi un drošības rezervju raksturojumu un izlietojumu stingri reglamentē ES un valsts tiesību akti. Šie ierobežojumi paredzēti tādi, lai neapdraudētu šo krājumu pieejamību, fizisku piekļuvi tiem un to lietošanu krīzes gadījumā. Šie ierobežojumi ir jāņem vērā, izvērtējot citus valdības kontroles rādītājus. Ņemot vērā naftas rezerves krājumu stratēģisko būtību, attiecībā uz CKUS vienmēr pastāv valdības kontroles elements, ko nodrošina ar pārmērīgu regulējumu (skat. EKS 2010 20.309. punkta h) apakšpunktu).</w:t>
      </w:r>
    </w:p>
    <w:p w14:paraId="68AF6235"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p>
    <w:p w14:paraId="2B576DA3"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56. Praksē izšķir četrus CKUS pamatveidus:</w:t>
      </w:r>
    </w:p>
    <w:p w14:paraId="5415CCA6"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p>
    <w:p w14:paraId="6358CC40" w14:textId="77777777" w:rsidR="00994F93" w:rsidRPr="00B03B51" w:rsidRDefault="00994F93" w:rsidP="00D100A9">
      <w:pPr>
        <w:pStyle w:val="BodyText"/>
        <w:numPr>
          <w:ilvl w:val="1"/>
          <w:numId w:val="22"/>
        </w:numPr>
        <w:spacing w:before="0"/>
        <w:ind w:left="426" w:hanging="425"/>
        <w:jc w:val="both"/>
        <w:rPr>
          <w:rFonts w:ascii="Times New Roman" w:hAnsi="Times New Roman" w:cs="Times New Roman"/>
          <w:noProof/>
          <w:sz w:val="24"/>
        </w:rPr>
      </w:pPr>
      <w:r w:rsidRPr="00B03B51">
        <w:rPr>
          <w:rFonts w:ascii="Times New Roman" w:hAnsi="Times New Roman" w:cs="Times New Roman"/>
          <w:sz w:val="24"/>
        </w:rPr>
        <w:t>CKUS ir vispārējās valdības sektora sastāvdaļa (piemēram, budžeta vai ārpusbudžeta vienība utt.);</w:t>
      </w:r>
    </w:p>
    <w:p w14:paraId="60A0AC2F" w14:textId="77777777" w:rsidR="00994F93" w:rsidRPr="00B03B51" w:rsidRDefault="00994F93" w:rsidP="00D100A9">
      <w:pPr>
        <w:pStyle w:val="BodyText"/>
        <w:numPr>
          <w:ilvl w:val="1"/>
          <w:numId w:val="22"/>
        </w:numPr>
        <w:spacing w:before="0"/>
        <w:ind w:left="426" w:hanging="425"/>
        <w:jc w:val="both"/>
        <w:rPr>
          <w:rFonts w:ascii="Times New Roman" w:hAnsi="Times New Roman" w:cs="Times New Roman"/>
          <w:noProof/>
          <w:sz w:val="24"/>
        </w:rPr>
      </w:pPr>
      <w:r w:rsidRPr="00B03B51">
        <w:rPr>
          <w:rFonts w:ascii="Times New Roman" w:hAnsi="Times New Roman" w:cs="Times New Roman"/>
          <w:sz w:val="24"/>
        </w:rPr>
        <w:t>CKUS ir publiska sabiedrība (t. i., to kontrolē valdība);</w:t>
      </w:r>
    </w:p>
    <w:p w14:paraId="0EFA675C" w14:textId="77777777" w:rsidR="00994F93" w:rsidRPr="00B03B51" w:rsidRDefault="00994F93" w:rsidP="00D100A9">
      <w:pPr>
        <w:pStyle w:val="BodyText"/>
        <w:numPr>
          <w:ilvl w:val="1"/>
          <w:numId w:val="22"/>
        </w:numPr>
        <w:spacing w:before="0"/>
        <w:ind w:left="426" w:hanging="425"/>
        <w:jc w:val="both"/>
        <w:rPr>
          <w:rFonts w:ascii="Times New Roman" w:hAnsi="Times New Roman" w:cs="Times New Roman"/>
          <w:noProof/>
          <w:sz w:val="24"/>
        </w:rPr>
      </w:pPr>
      <w:r w:rsidRPr="00B03B51">
        <w:rPr>
          <w:rFonts w:ascii="Times New Roman" w:hAnsi="Times New Roman" w:cs="Times New Roman"/>
          <w:sz w:val="24"/>
        </w:rPr>
        <w:t>CKUS ir BPI/apvienība, kuras locekļi ir uzņēmēji;</w:t>
      </w:r>
    </w:p>
    <w:p w14:paraId="375BF78F" w14:textId="77777777" w:rsidR="00994F93" w:rsidRPr="00B03B51" w:rsidRDefault="00994F93" w:rsidP="00D100A9">
      <w:pPr>
        <w:pStyle w:val="BodyText"/>
        <w:numPr>
          <w:ilvl w:val="1"/>
          <w:numId w:val="22"/>
        </w:numPr>
        <w:spacing w:before="0"/>
        <w:ind w:left="426" w:hanging="425"/>
        <w:jc w:val="both"/>
        <w:rPr>
          <w:rFonts w:ascii="Times New Roman" w:hAnsi="Times New Roman" w:cs="Times New Roman"/>
          <w:noProof/>
          <w:sz w:val="24"/>
        </w:rPr>
      </w:pPr>
      <w:r w:rsidRPr="00B03B51">
        <w:rPr>
          <w:rFonts w:ascii="Times New Roman" w:hAnsi="Times New Roman" w:cs="Times New Roman"/>
          <w:sz w:val="24"/>
        </w:rPr>
        <w:t>CKUS var būt privāta sabiedrība, kas ir privātuzņēmēju īpašums.</w:t>
      </w:r>
    </w:p>
    <w:p w14:paraId="5E34F932"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p>
    <w:p w14:paraId="3148E19C"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57. Pirmajā un otrajā gadījumā valdība kontrolē CKUS vispārējo politiku (EKS 2010 20.18. punkts).</w:t>
      </w:r>
    </w:p>
    <w:p w14:paraId="5403ED78"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p>
    <w:p w14:paraId="35B9FF98"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 xml:space="preserve">58. Trešajā gadījumā galvenais jautājums ir, vai valdība faktiski kontrolē CKUS, ja tā ir apvienība/BPI, kuras locekļi ir uzņēmēji. Kontrole parasti tiek realizēta, nodrošinot balsstiesību vairākumu, paturot sev veto tiesības vai ieceļot valdes locekļu vairākumu. Citkārt valdība kontrolē CKUS, izmantojot citus līdzekļus, piemēram, ierobežo darbības, kuras CKUS drīkst </w:t>
      </w:r>
      <w:r w:rsidRPr="00B03B51">
        <w:rPr>
          <w:rFonts w:ascii="Times New Roman" w:hAnsi="Times New Roman" w:cs="Times New Roman"/>
          <w:sz w:val="24"/>
        </w:rPr>
        <w:lastRenderedPageBreak/>
        <w:t xml:space="preserve">veikt, kontrolē drošības rezervju izlietojumu un lemj par CKUS statūtu noteikumiem. Dažkārt tiek arī paredzēts, ka valdība garantē CKUS aizdevumus (EKS 2010 20.309. punkts). Ja vienības vienīgā vai dominējošā darbība ir izpildīt valdības noteiktās saistības, uzskatāms, ka vienība </w:t>
      </w:r>
      <w:r w:rsidRPr="00B03B51">
        <w:rPr>
          <w:rFonts w:ascii="Times New Roman" w:hAnsi="Times New Roman" w:cs="Times New Roman"/>
          <w:i/>
          <w:iCs/>
          <w:sz w:val="24"/>
        </w:rPr>
        <w:t>de facto</w:t>
      </w:r>
      <w:r w:rsidRPr="00B03B51">
        <w:rPr>
          <w:rFonts w:ascii="Times New Roman" w:hAnsi="Times New Roman" w:cs="Times New Roman"/>
          <w:sz w:val="24"/>
        </w:rPr>
        <w:t xml:space="preserve"> darbojas kā valdības pārstāvis, un ir klasificējama vispārējās valdības sektorā. Savukārt, ja vienība nodarbojas arī ar citām darbībām, nevis tikai izpilda valdības noteiktās rezervju turēšanas prasības, varētu secināt, ka valdība nenosaka vienības vispārējo politiku. Šādos konkrētos gadījumos vienību varētu klasificēt ārpus vispārējās valdības sektora.</w:t>
      </w:r>
    </w:p>
    <w:p w14:paraId="3B8F2C62"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p>
    <w:p w14:paraId="7EA66DFC"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59. Kā norādīts ceturtajā gadījumā, CKUS var būt privāta sabiedrība, kas pieder privātuzņēmējiem. Šobrīd tas nav izplatīts gadījums, jo Direktīva paredz, ka CKUS ir jābūt struktūrai vai dienestam, kura mērķis nav gūt peļņu un kurš darbojas vispārējās interesēs. Tāpēc šajā gadījumā būtu rūpīgi jāpārbauda, vai valdība kontrolē CKUS, izmantojot citus līdzekļus. Ja nav norāžu par valdības kontroli (skat. EKS 2010 20.309. punktu), varētu uzskatīt, ka CKUS ir privāta vienība un tā jāklasificē nefinanšu sabiedrību sektorā (S.11).</w:t>
      </w:r>
    </w:p>
    <w:p w14:paraId="51D65A33"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p>
    <w:p w14:paraId="274F47E5"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60. Valdības kontrolētu CKUS klasificē vispārējās valdības sektorā (S.13), ņemot vērā tās īpašo būtību (kā norādīts Direktīvā). Ja CKUS kontrolē valdība, CKUS darbības, kas saistītas ar drošības rezervju uzturēšanu, būtībā ir uzskatāmas par ārpustirgus ražošanu, jo valdības prasītais krājumu līmenis pārsniedz uzkrājumu, kas nepieciešams komerciāliem mērķiem.</w:t>
      </w:r>
      <w:r w:rsidRPr="00B03B51">
        <w:rPr>
          <w:rStyle w:val="FootnoteReference"/>
          <w:rFonts w:ascii="Times New Roman" w:hAnsi="Times New Roman" w:cs="Times New Roman"/>
          <w:noProof/>
          <w:sz w:val="24"/>
        </w:rPr>
        <w:footnoteReference w:id="98"/>
      </w:r>
      <w:r w:rsidRPr="00B03B51">
        <w:rPr>
          <w:rFonts w:ascii="Times New Roman" w:hAnsi="Times New Roman" w:cs="Times New Roman"/>
          <w:sz w:val="24"/>
        </w:rPr>
        <w:t xml:space="preserve"> Visi maksājumi, ko veic uzņēmēji valdības kontrolētajām CKUS, ir uzskatāmi par produktu nodokļiem (D.21) (pat ja tie par tādiem netiek uzskatīti valsts tiesību aktos). Šīs nodevas, kas uzņēmējiem ir jāmaksā, nosaka valdība vai tās tiek noteiktas pēc saskaņotas formulas, un tas nozīmē, ka krājumus turošā vienība nereaģē uz tirgus signāliem (nemaina cenas, nepielāgo produkta apjomus utt.), kā tas būtu bijis tirgus darbības apstākļos.</w:t>
      </w:r>
    </w:p>
    <w:p w14:paraId="2785EF37" w14:textId="77777777" w:rsidR="00994F93" w:rsidRPr="00B03B51" w:rsidRDefault="00994F93" w:rsidP="00994F93">
      <w:pPr>
        <w:jc w:val="both"/>
        <w:rPr>
          <w:rFonts w:ascii="Times New Roman" w:eastAsia="Arial" w:hAnsi="Times New Roman" w:cs="Times New Roman"/>
          <w:noProof/>
          <w:sz w:val="24"/>
          <w:szCs w:val="25"/>
        </w:rPr>
      </w:pPr>
    </w:p>
    <w:p w14:paraId="5836CE58"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61. Ja CKUS ir privātā kontrolē, jāanalizē ir uzņēmēju veikto maksājumu šai struktūrai būtība. Ja visi maksājumi, ko veic uzņēmēji CKUS, ir brīvprātīgi un ja uzņēmēji var izvēlēties, kā uzglabāt drošības rezerves (t. i., tie var pilnībā izlemt, vai uzglabāt rezerves krājumus pašiem ar CKUS starpniecību, vai deleģēt šo pienākumu citam uzņēmējam), šos maksājumus varētu uzskatīt par pakalpojumu pārdošanu. Ja CKUS ir privātā kontrolē, to klasificē nefinanšu sabiedrību sektorā (S.11). Šādā gadījumā valdība ir deleģējusi savu pienākumu uzturēt rezerves krājumus privātam subjektam. Ja privāti kontrolētā CKUS saņem obligātos maksājumus no uzņēmējiem, šie maksājumi ir uzskatāmi par nodokļiem, un tos pārvirza caur valdības kontiem (S.13), jo valdības deleģēto pilnvaru dēļ CKUS iekasē šos maksājumus. Savukārt, ja privāti kontrolētā CKUS saņem brīvprātīgas iemaksas/maksājumus no uzņēmējiem, šīs maksas var traktēt kā pakalpojumu pārdošanu.</w:t>
      </w:r>
    </w:p>
    <w:p w14:paraId="4996FD1B"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p>
    <w:p w14:paraId="4078C74E"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62. Ja CKUS ir klasificēta valdības sektorā (S.13), tai joprojām var būt kāda ļoti ierobežota tirgus darbība, taču tas nedrīkstētu atstāt nekādu ietekmi uz vienības sektora klasifikāciju.</w:t>
      </w:r>
    </w:p>
    <w:p w14:paraId="7482D4A6" w14:textId="77777777" w:rsidR="00994F93" w:rsidRPr="00B03B51" w:rsidRDefault="00994F93" w:rsidP="00994F93">
      <w:pPr>
        <w:rPr>
          <w:rFonts w:ascii="Times New Roman" w:eastAsia="Arial" w:hAnsi="Times New Roman" w:cs="Times New Roman"/>
          <w:noProof/>
          <w:sz w:val="24"/>
        </w:rPr>
      </w:pPr>
      <w:r w:rsidRPr="00B03B51">
        <w:rPr>
          <w:rFonts w:ascii="Times New Roman" w:hAnsi="Times New Roman" w:cs="Times New Roman"/>
        </w:rPr>
        <w:br w:type="page"/>
      </w:r>
    </w:p>
    <w:p w14:paraId="5A24D1EC" w14:textId="77777777" w:rsidR="00994F93" w:rsidRPr="00B03B51" w:rsidRDefault="00994F93" w:rsidP="00994F93">
      <w:pPr>
        <w:jc w:val="both"/>
        <w:rPr>
          <w:rFonts w:ascii="Times New Roman" w:eastAsia="Arial" w:hAnsi="Times New Roman" w:cs="Times New Roman"/>
          <w:noProof/>
          <w:sz w:val="24"/>
          <w:szCs w:val="26"/>
        </w:rPr>
      </w:pPr>
    </w:p>
    <w:p w14:paraId="5196410C" w14:textId="77777777" w:rsidR="00994F93" w:rsidRPr="00B03B51" w:rsidRDefault="00994F93" w:rsidP="00994F93">
      <w:pPr>
        <w:pStyle w:val="Heading2"/>
        <w:tabs>
          <w:tab w:val="left" w:pos="1277"/>
        </w:tabs>
        <w:spacing w:before="0"/>
        <w:ind w:left="0" w:firstLine="0"/>
        <w:jc w:val="both"/>
        <w:rPr>
          <w:rFonts w:ascii="Times New Roman" w:hAnsi="Times New Roman" w:cs="Times New Roman"/>
          <w:noProof/>
          <w:sz w:val="28"/>
          <w:szCs w:val="44"/>
        </w:rPr>
      </w:pPr>
      <w:bookmarkStart w:id="71" w:name="1.7_Government_debt_management_offices"/>
      <w:bookmarkStart w:id="72" w:name="_bookmark7"/>
      <w:bookmarkStart w:id="73" w:name="_Toc67565041"/>
      <w:bookmarkEnd w:id="71"/>
      <w:bookmarkEnd w:id="72"/>
      <w:r w:rsidRPr="00B03B51">
        <w:rPr>
          <w:rFonts w:ascii="Times New Roman" w:hAnsi="Times New Roman" w:cs="Times New Roman"/>
          <w:sz w:val="28"/>
          <w:szCs w:val="44"/>
        </w:rPr>
        <w:t>1.7. Valdības parāda pārvaldības biroji</w:t>
      </w:r>
      <w:bookmarkEnd w:id="73"/>
    </w:p>
    <w:p w14:paraId="0C4A3BEF" w14:textId="77777777" w:rsidR="00994F93" w:rsidRPr="00C13305" w:rsidRDefault="00994F93" w:rsidP="00C13305">
      <w:pPr>
        <w:rPr>
          <w:rFonts w:ascii="Times New Roman" w:hAnsi="Times New Roman" w:cs="Times New Roman"/>
          <w:noProof/>
          <w:sz w:val="24"/>
          <w:szCs w:val="24"/>
        </w:rPr>
      </w:pPr>
      <w:bookmarkStart w:id="74" w:name="1.7.1_Background"/>
      <w:bookmarkEnd w:id="74"/>
    </w:p>
    <w:p w14:paraId="16E9F9BF" w14:textId="77777777" w:rsidR="00994F93" w:rsidRPr="00B03B51" w:rsidRDefault="00994F93" w:rsidP="00994F93">
      <w:pPr>
        <w:pStyle w:val="Heading3"/>
        <w:tabs>
          <w:tab w:val="left" w:pos="1265"/>
        </w:tabs>
        <w:ind w:left="0" w:firstLine="0"/>
        <w:jc w:val="both"/>
        <w:rPr>
          <w:rFonts w:ascii="Times New Roman" w:hAnsi="Times New Roman" w:cs="Times New Roman"/>
          <w:noProof/>
          <w:sz w:val="24"/>
        </w:rPr>
      </w:pPr>
      <w:bookmarkStart w:id="75" w:name="_Toc67565042"/>
      <w:r w:rsidRPr="00B03B51">
        <w:rPr>
          <w:rFonts w:ascii="Times New Roman" w:hAnsi="Times New Roman" w:cs="Times New Roman"/>
          <w:sz w:val="24"/>
        </w:rPr>
        <w:t>1.7.1. Vispārīga informācija</w:t>
      </w:r>
      <w:bookmarkEnd w:id="75"/>
    </w:p>
    <w:p w14:paraId="291ED786"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p>
    <w:p w14:paraId="1F3EFFEE"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 Valsts parāda pārvaldības aģentūru vai biroju funkcijas, ko bieži vien iespējams novērot centrālās valdības līmenī, dažādās valstīs atšķiras. Šīs funkcijas var aptvert virkni finanšu darbību. Visizplatītākās funkcijas ir vērtspapīru emisija, citu aizdevumu veidu iespējama izmantošana, nodrošināšanās pret riskiem, valsts likviditātes pārvaldība (jo īpaši izmantojot pārdošanas ar atpirkšanu līgumus). Šādi biroji parasti tiek izveidoti ar mērķi nodrošināt īpašu finanšu ekspertīzi un ciešākas saites ar tirgus zonām. Dažos gadījumos tie var izsniegt aizdevumus citām publiskām vienībām (piemēram, kā ārkārtas atbalstu likviditātes nodrošināšanai vai ilgtermiņa aizdevumu, jo īpaši ārvalstu valdībām). Dažās valstīs centrālā banka var veikt dažus no šiem pienākumiem valdības vietā, savukārt citās dalībvalstīs tās tieši īsteno Finanšu ministrija (Valsts kase) vai cita apakšsektora iestādes.</w:t>
      </w:r>
    </w:p>
    <w:p w14:paraId="4EED158B" w14:textId="77777777" w:rsidR="00994F93" w:rsidRPr="00B03B51" w:rsidRDefault="00994F93" w:rsidP="00994F93">
      <w:pPr>
        <w:jc w:val="both"/>
        <w:rPr>
          <w:rFonts w:ascii="Times New Roman" w:eastAsia="Arial" w:hAnsi="Times New Roman" w:cs="Times New Roman"/>
          <w:noProof/>
          <w:sz w:val="24"/>
          <w:szCs w:val="20"/>
        </w:rPr>
      </w:pPr>
    </w:p>
    <w:p w14:paraId="7860454B" w14:textId="77777777" w:rsidR="00994F93" w:rsidRPr="00B03B51" w:rsidRDefault="00994F93" w:rsidP="00994F93">
      <w:pPr>
        <w:pStyle w:val="Heading3"/>
        <w:tabs>
          <w:tab w:val="left" w:pos="1265"/>
        </w:tabs>
        <w:ind w:left="0" w:firstLine="0"/>
        <w:jc w:val="both"/>
        <w:rPr>
          <w:rFonts w:ascii="Times New Roman" w:hAnsi="Times New Roman" w:cs="Times New Roman"/>
          <w:noProof/>
          <w:sz w:val="24"/>
        </w:rPr>
      </w:pPr>
      <w:bookmarkStart w:id="76" w:name="1.7.2_Treatment_in_national_accounts"/>
      <w:bookmarkStart w:id="77" w:name="_Toc67565043"/>
      <w:bookmarkEnd w:id="76"/>
      <w:r w:rsidRPr="00B03B51">
        <w:rPr>
          <w:rFonts w:ascii="Times New Roman" w:hAnsi="Times New Roman" w:cs="Times New Roman"/>
          <w:sz w:val="24"/>
        </w:rPr>
        <w:t>1.7.2. Traktējums nacionālajos kontos</w:t>
      </w:r>
      <w:bookmarkEnd w:id="77"/>
    </w:p>
    <w:p w14:paraId="204F393F"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p>
    <w:p w14:paraId="1A53E80D"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2. Ja valsts parāda pārvaldības biroji ir atsevišķas institucionālas vienības, tos klasificē vispārējās valdības sektorā, jo tie darbojas vispārējās valdības vārdā. Tie ir vienkāršas aģentūras, un to darbība ļoti līdzinās palīgdarbībai.</w:t>
      </w:r>
    </w:p>
    <w:p w14:paraId="1FF9FD1D"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p>
    <w:p w14:paraId="546FF276"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3. Tos neklasificē kā finanšu sabiedrības, jo tie nenodarbojas ar finanšu starpniecību. Ienākumus no aizdevuma parāda pārvaldības biroji nodod valdībai, un tie parasti netiek norādīti parāda pārvaldības struktūras bilancē, bet gan tās valdības vienības kontā, kuru attiecīgā struktūra apkalpo. Līdzīgi aizdevuma atmaksu veic šī valdības vienība no saviem līdzekļiem vai ar parāda refinansēšanu, izmantojot jaunas emisijas, ko īsteno parāda pārvaldības birojs.</w:t>
      </w:r>
    </w:p>
    <w:p w14:paraId="65B58A28" w14:textId="77777777" w:rsidR="00994F93" w:rsidRPr="00B03B51" w:rsidRDefault="00994F93" w:rsidP="00994F93">
      <w:pPr>
        <w:rPr>
          <w:rFonts w:ascii="Times New Roman" w:hAnsi="Times New Roman" w:cs="Times New Roman"/>
          <w:noProof/>
          <w:sz w:val="24"/>
        </w:rPr>
      </w:pPr>
      <w:r w:rsidRPr="00B03B51">
        <w:rPr>
          <w:rFonts w:ascii="Times New Roman" w:hAnsi="Times New Roman" w:cs="Times New Roman"/>
        </w:rPr>
        <w:br w:type="page"/>
      </w:r>
    </w:p>
    <w:p w14:paraId="008212F3" w14:textId="77777777" w:rsidR="00994F93" w:rsidRPr="00B03B51" w:rsidRDefault="00994F93" w:rsidP="00994F93">
      <w:pPr>
        <w:jc w:val="both"/>
        <w:rPr>
          <w:rFonts w:ascii="Times New Roman" w:eastAsia="Arial" w:hAnsi="Times New Roman" w:cs="Times New Roman"/>
          <w:noProof/>
          <w:sz w:val="24"/>
          <w:szCs w:val="26"/>
        </w:rPr>
      </w:pPr>
    </w:p>
    <w:p w14:paraId="191DB5C4" w14:textId="77777777" w:rsidR="00994F93" w:rsidRPr="00B03B51" w:rsidRDefault="00994F93" w:rsidP="00994F93">
      <w:pPr>
        <w:pStyle w:val="Heading2"/>
        <w:tabs>
          <w:tab w:val="left" w:pos="1277"/>
        </w:tabs>
        <w:spacing w:before="0"/>
        <w:ind w:left="0" w:firstLine="0"/>
        <w:jc w:val="both"/>
        <w:rPr>
          <w:rFonts w:ascii="Times New Roman" w:hAnsi="Times New Roman" w:cs="Times New Roman"/>
          <w:noProof/>
          <w:sz w:val="28"/>
          <w:szCs w:val="44"/>
        </w:rPr>
      </w:pPr>
      <w:bookmarkStart w:id="78" w:name="1.8_Joint_ventures"/>
      <w:bookmarkStart w:id="79" w:name="_bookmark8"/>
      <w:bookmarkStart w:id="80" w:name="_Toc67565044"/>
      <w:bookmarkEnd w:id="78"/>
      <w:bookmarkEnd w:id="79"/>
      <w:r w:rsidRPr="00B03B51">
        <w:rPr>
          <w:rFonts w:ascii="Times New Roman" w:hAnsi="Times New Roman" w:cs="Times New Roman"/>
          <w:sz w:val="28"/>
          <w:szCs w:val="44"/>
        </w:rPr>
        <w:t>1.8. Kopuzņēmumi</w:t>
      </w:r>
      <w:bookmarkEnd w:id="80"/>
    </w:p>
    <w:p w14:paraId="23D2F09B" w14:textId="77777777" w:rsidR="00994F93" w:rsidRPr="009F09E5" w:rsidRDefault="00994F93" w:rsidP="009F09E5">
      <w:pPr>
        <w:rPr>
          <w:rFonts w:ascii="Times New Roman" w:hAnsi="Times New Roman" w:cs="Times New Roman"/>
          <w:noProof/>
          <w:sz w:val="24"/>
          <w:szCs w:val="24"/>
        </w:rPr>
      </w:pPr>
      <w:bookmarkStart w:id="81" w:name="1.8.1_Background"/>
      <w:bookmarkEnd w:id="81"/>
    </w:p>
    <w:p w14:paraId="6E652576" w14:textId="77777777" w:rsidR="00994F93" w:rsidRPr="00B03B51" w:rsidRDefault="00994F93" w:rsidP="00994F93">
      <w:pPr>
        <w:pStyle w:val="Heading3"/>
        <w:tabs>
          <w:tab w:val="left" w:pos="1265"/>
        </w:tabs>
        <w:ind w:left="0" w:firstLine="0"/>
        <w:jc w:val="both"/>
        <w:rPr>
          <w:rFonts w:ascii="Times New Roman" w:hAnsi="Times New Roman" w:cs="Times New Roman"/>
          <w:noProof/>
          <w:sz w:val="24"/>
        </w:rPr>
      </w:pPr>
      <w:bookmarkStart w:id="82" w:name="_Toc67565045"/>
      <w:r w:rsidRPr="00B03B51">
        <w:rPr>
          <w:rFonts w:ascii="Times New Roman" w:hAnsi="Times New Roman" w:cs="Times New Roman"/>
          <w:sz w:val="24"/>
        </w:rPr>
        <w:t>1.8.1. Vispārīga informācija</w:t>
      </w:r>
      <w:bookmarkEnd w:id="82"/>
    </w:p>
    <w:p w14:paraId="395B1C70"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p>
    <w:p w14:paraId="775EBA98"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szCs w:val="12"/>
        </w:rPr>
      </w:pPr>
      <w:r w:rsidRPr="00B03B51">
        <w:rPr>
          <w:rFonts w:ascii="Times New Roman" w:hAnsi="Times New Roman" w:cs="Times New Roman"/>
          <w:sz w:val="24"/>
        </w:rPr>
        <w:t>1. Kopuzņēmumu gadījumi, kuros iesaistītas valdības vienības, ir apskatīti EKS 2010 20. nodaļā “Valdības konti”. EKS 2010 20.49. punktā norādīts, ka “daudzas publiskas vienības slēdz līgumus ar privātiem subjektiem vai citām publiskām vienībām, lai kopīgi veiktu dažādas darbības tirgū vai ārpus tirgus”. Paredzēti trīs pasākumu veidi: kopīgi kontrolētas vienības (kopuzņēmumi), kopīgi kontrolētas darbības un kopīgi kontrolēti aktīvi. Šajā nodaļā nav apspriesti tādi kopuzņēmumi, kurus privātajā sektorā veido publiskas tirgus sabiedrības.</w:t>
      </w:r>
      <w:r w:rsidRPr="00B03B51">
        <w:rPr>
          <w:rStyle w:val="FootnoteReference"/>
          <w:rFonts w:ascii="Times New Roman" w:hAnsi="Times New Roman" w:cs="Times New Roman"/>
          <w:noProof/>
          <w:sz w:val="24"/>
        </w:rPr>
        <w:footnoteReference w:id="99"/>
      </w:r>
    </w:p>
    <w:p w14:paraId="0829451F"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p>
    <w:p w14:paraId="324D58F4"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2. Kopuzņēmumu gadījumā tiek izveidota vienība (kā sabiedrība, partnerība vai citā juridiskā formā), kas nepārprotami ir institucionāla vienība, proti, atbilst kritērijiem, kuri noteikti EKS 2010 2.12. punktā, t. i., slēdz līgumus savā vārdā un piesaista finansējumu savām vajadzībām. Kopuzņēmumi ir ne tikai tādas vienības, kurās apvienojušies divi partneri; tie var būt arī sarežģītāki veidojumi. Turklāt kopuzņēmums var būt izveidots ar nolūku īstenot pasākumus nerezidentu teritorijā un var piemērot noteikumus, kas līdzinās tiem, kurus piemēro attiecībā uz nerezidentu ĪNDS. Kopuzņēmumu var izveidot arī PPP projektos, un šajā gadījumā jāpiemēro noteikumi, kas izklāstīti 4.4. nodaļā, ciktāl tas attiecas uz partneru klasifikāciju.</w:t>
      </w:r>
      <w:r w:rsidRPr="00B03B51">
        <w:rPr>
          <w:rStyle w:val="FootnoteReference"/>
          <w:rFonts w:ascii="Times New Roman" w:hAnsi="Times New Roman" w:cs="Times New Roman"/>
          <w:noProof/>
          <w:sz w:val="24"/>
        </w:rPr>
        <w:footnoteReference w:id="100"/>
      </w:r>
    </w:p>
    <w:p w14:paraId="5C5A664D" w14:textId="77777777" w:rsidR="00994F93" w:rsidRPr="00B03B51" w:rsidRDefault="00994F93" w:rsidP="00994F93">
      <w:pPr>
        <w:jc w:val="both"/>
        <w:rPr>
          <w:rFonts w:ascii="Times New Roman" w:hAnsi="Times New Roman" w:cs="Times New Roman"/>
          <w:noProof/>
          <w:sz w:val="24"/>
        </w:rPr>
      </w:pPr>
    </w:p>
    <w:p w14:paraId="131373C3" w14:textId="417D86A1" w:rsidR="00994F93" w:rsidRPr="00B03B51" w:rsidRDefault="00D100A9" w:rsidP="00994F93">
      <w:pPr>
        <w:pStyle w:val="Heading3"/>
        <w:tabs>
          <w:tab w:val="left" w:pos="1265"/>
        </w:tabs>
        <w:ind w:left="0" w:firstLine="0"/>
        <w:jc w:val="both"/>
        <w:rPr>
          <w:rFonts w:ascii="Times New Roman" w:hAnsi="Times New Roman" w:cs="Times New Roman"/>
          <w:noProof/>
          <w:sz w:val="24"/>
        </w:rPr>
      </w:pPr>
      <w:bookmarkStart w:id="83" w:name="1.8.2_Treatment_in_national_accounts"/>
      <w:bookmarkStart w:id="84" w:name="_Toc67565046"/>
      <w:bookmarkEnd w:id="83"/>
      <w:r w:rsidRPr="00B03B51">
        <w:rPr>
          <w:rFonts w:ascii="Times New Roman" w:hAnsi="Times New Roman" w:cs="Times New Roman"/>
          <w:sz w:val="24"/>
        </w:rPr>
        <w:t>1</w:t>
      </w:r>
      <w:r w:rsidR="00994F93" w:rsidRPr="00B03B51">
        <w:rPr>
          <w:rFonts w:ascii="Times New Roman" w:hAnsi="Times New Roman" w:cs="Times New Roman"/>
          <w:sz w:val="24"/>
        </w:rPr>
        <w:t>.8.</w:t>
      </w:r>
      <w:r w:rsidRPr="00B03B51">
        <w:rPr>
          <w:rFonts w:ascii="Times New Roman" w:hAnsi="Times New Roman" w:cs="Times New Roman"/>
          <w:sz w:val="24"/>
        </w:rPr>
        <w:t>2</w:t>
      </w:r>
      <w:r w:rsidR="00994F93" w:rsidRPr="00B03B51">
        <w:rPr>
          <w:rFonts w:ascii="Times New Roman" w:hAnsi="Times New Roman" w:cs="Times New Roman"/>
          <w:sz w:val="24"/>
        </w:rPr>
        <w:t>. Traktējums nacionālajos kontos</w:t>
      </w:r>
      <w:bookmarkEnd w:id="84"/>
    </w:p>
    <w:p w14:paraId="6C4CC6DF"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p>
    <w:p w14:paraId="58763A58"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3. Ja kopuzņēmums vienādās procentuālās daļās pieder valdības vienībai un privātai vienībai, īpašumtiesību rādītāja vietā ieteicams ņemt vērā citus EKS 2010 20.307. punktā noteiktos kontroles rādītājus. Dažkārt valdībai var būt lielākas tiesības nekā privātajam partnerim(-iem), piemēram, veto tiesības vai prioritāte atlīdzības saņemšanā, vai tā var uzņemties lielāku risku. Šādos gadījumos jāpiemēro 5. rindkopā noteiktais princips.</w:t>
      </w:r>
    </w:p>
    <w:p w14:paraId="4AA91A02"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p>
    <w:p w14:paraId="5457A8F9"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4. Attiecībā uz gadījumiem, kad kopuzņēmums vienādās procentuālās daļās pieder valdības vienībai un privātai vienībai un nav pierādījumu, kas apliecinātu, ka kādai no pusēm ir lielāka kontrole, EKS 2010 20.320. punktā noteikts, ka, ja kopīgi kontrolēta vienība neatbilst kritērijiem, saskaņā ar kuriem tā klasificējama kā tirgus ražotājs, tā pilnīgi jāiekļauj vispārējās valdības sektorā. Ja vienība tiek atzīta par tirgus ražotāju, tā jāiekļauj nefinanšu sabiedrību sektorā S.11, taču jāsadala, nosakot, ka viena daļa uzskatāma par valsts kontrolētu publisku sabiedrību, bet otru daļu iekļaujot privātajā sektorā.</w:t>
      </w:r>
    </w:p>
    <w:p w14:paraId="41FA4807"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p>
    <w:p w14:paraId="39A9F9C7"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5. Ja kopuzņēmums nepieder vienādās daļās publiskajam un privātajam īpašniekam, tad šī vienība ir jāiekļauj tās puses sektorā, kurai pieder lielākā vienības daļa. Ja tā ir valdības vienība, tā tiks klasificēta valdības sektorā ar nosacījumu, ka kopuzņēmums veic galvenokārt ārpustirgus darbību, un kā publiska sabiedrība, ja atzīts, ka vienība ir tirgus ražotājs. Tomēr ir ieteicams pārbaudīt, vai citi noteikumi attiecībā uz tiesībām un lemšanas tiesībām faktiski neparedz citādi, ciktāl tas attiecas uz faktisko kontroli pār kopīgo vienību.</w:t>
      </w:r>
    </w:p>
    <w:p w14:paraId="48E01AD6"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p>
    <w:p w14:paraId="587271E3"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 xml:space="preserve">6. Ja kopuzņēmumā iesaistītas vienīgi publiskajā sektorā klasificētas vienības (piemēram, </w:t>
      </w:r>
      <w:r w:rsidRPr="00B03B51">
        <w:rPr>
          <w:rFonts w:ascii="Times New Roman" w:hAnsi="Times New Roman" w:cs="Times New Roman"/>
          <w:sz w:val="24"/>
        </w:rPr>
        <w:lastRenderedPageBreak/>
        <w:t>kopuzņēmums starp publisku sabiedrību un valdības vienību), vienības sektora klasifikācija atkarīga no tā, vai šī vienība uzskatāma par tirgus vienību vai ārpustirgus vienību. Ārpustirgus vienības ieraksta valdības sektorā, bet tirgus vienības ieraksta publisko sabiedrību apakšsektorā (S.11).</w:t>
      </w:r>
    </w:p>
    <w:p w14:paraId="3987EBC1"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p>
    <w:p w14:paraId="2E6C203C"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7. Attiecībā uz citiem veidojumiem, kurus nevada atsevišķa institucionāla vienība, taču kuros ir izmantoti vien atsevišķi aktīvi, jānosaka tas, kurai vienībai pieder aktīvi, pamatojoties uz to, kura vienība uzņemas lielāko daļu ar aktīviem saistīto risku un saņem no tiem lielāko atlīdzības daļu. Tomēr bruto izdevumus un ieņēmumus pārdala atbilstoši tam, kā to paredz vienošanās (EKS 2010 20.49. punkts).</w:t>
      </w:r>
    </w:p>
    <w:p w14:paraId="051D5E77" w14:textId="77777777" w:rsidR="00994F93" w:rsidRPr="00B03B51" w:rsidRDefault="00994F93" w:rsidP="00994F93">
      <w:pPr>
        <w:jc w:val="both"/>
        <w:rPr>
          <w:rFonts w:ascii="Times New Roman" w:eastAsia="Arial" w:hAnsi="Times New Roman" w:cs="Times New Roman"/>
          <w:noProof/>
          <w:sz w:val="24"/>
          <w:szCs w:val="20"/>
        </w:rPr>
      </w:pPr>
    </w:p>
    <w:p w14:paraId="52BDA557" w14:textId="4934D9AD" w:rsidR="00994F93" w:rsidRPr="00B03B51" w:rsidRDefault="005B2A11" w:rsidP="00994F93">
      <w:pPr>
        <w:pStyle w:val="Heading3"/>
        <w:tabs>
          <w:tab w:val="left" w:pos="1265"/>
        </w:tabs>
        <w:ind w:left="0" w:firstLine="0"/>
        <w:jc w:val="both"/>
        <w:rPr>
          <w:rFonts w:ascii="Times New Roman" w:hAnsi="Times New Roman" w:cs="Times New Roman"/>
          <w:noProof/>
          <w:sz w:val="24"/>
        </w:rPr>
      </w:pPr>
      <w:bookmarkStart w:id="85" w:name="1.8.3_Rationale_of_the_treatment"/>
      <w:bookmarkStart w:id="86" w:name="_Toc67565047"/>
      <w:bookmarkEnd w:id="85"/>
      <w:r w:rsidRPr="00B03B51">
        <w:rPr>
          <w:rFonts w:ascii="Times New Roman" w:hAnsi="Times New Roman" w:cs="Times New Roman"/>
          <w:sz w:val="24"/>
        </w:rPr>
        <w:t>1</w:t>
      </w:r>
      <w:r w:rsidR="00994F93" w:rsidRPr="00B03B51">
        <w:rPr>
          <w:rFonts w:ascii="Times New Roman" w:hAnsi="Times New Roman" w:cs="Times New Roman"/>
          <w:sz w:val="24"/>
        </w:rPr>
        <w:t>.8.</w:t>
      </w:r>
      <w:r w:rsidRPr="00B03B51">
        <w:rPr>
          <w:rFonts w:ascii="Times New Roman" w:hAnsi="Times New Roman" w:cs="Times New Roman"/>
          <w:sz w:val="24"/>
        </w:rPr>
        <w:t>3</w:t>
      </w:r>
      <w:r w:rsidR="00994F93" w:rsidRPr="00B03B51">
        <w:rPr>
          <w:rFonts w:ascii="Times New Roman" w:hAnsi="Times New Roman" w:cs="Times New Roman"/>
          <w:sz w:val="24"/>
        </w:rPr>
        <w:t>. Traktējuma pamatojums</w:t>
      </w:r>
      <w:bookmarkEnd w:id="86"/>
    </w:p>
    <w:p w14:paraId="507CD797"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p>
    <w:p w14:paraId="6067A5A7"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8. Gadījumā, ja atsevišķa vienība ir kopīgi izveidota ar mērķi veikt kādu noteiktu darbību, īpašumtiesību procentuālā daļa var nebūt pietiekams kritērijs, lai klasificētu vienību noteiktā sektorā. Jāanalizē arī citas kontroles pazīmes. Daudzos gadījumos valdībai faktiski ir lielāka ietekme nekā tās privātajam(-iem) partnerim(-iem), un tā gūst lielāku labumu. Ir rūpīgi jāizskata vienības izveidošanas mērķis, jo īpaši tas, cik liela nozīme saistībā ar izveidošanu bija piešķirta valsts interesēm.</w:t>
      </w:r>
    </w:p>
    <w:p w14:paraId="034AE3CB"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p>
    <w:p w14:paraId="6B119A57"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9. Attiecībā uz citiem veidojumu tipiem, kuros tiek izmantoti aktīvi, taču netiek kopīgi veidota atsevišķa vienība, visus aktīvus nacionālajos kontos piedēvē tikai vienai kontrolējošai vienībai un līdz ar to tās institucionālajam sektoram.</w:t>
      </w:r>
    </w:p>
    <w:p w14:paraId="1D5AF345" w14:textId="77777777" w:rsidR="00994F93" w:rsidRPr="00B03B51" w:rsidRDefault="00994F93" w:rsidP="00994F93">
      <w:pPr>
        <w:rPr>
          <w:rFonts w:ascii="Times New Roman" w:hAnsi="Times New Roman" w:cs="Times New Roman"/>
          <w:noProof/>
          <w:sz w:val="24"/>
        </w:rPr>
      </w:pPr>
      <w:r w:rsidRPr="00B03B51">
        <w:rPr>
          <w:rFonts w:ascii="Times New Roman" w:hAnsi="Times New Roman" w:cs="Times New Roman"/>
        </w:rPr>
        <w:br w:type="page"/>
      </w:r>
    </w:p>
    <w:p w14:paraId="45336B9E" w14:textId="77777777" w:rsidR="00994F93" w:rsidRPr="00B03B51" w:rsidRDefault="00994F93" w:rsidP="00994F93">
      <w:pPr>
        <w:jc w:val="both"/>
        <w:rPr>
          <w:rFonts w:ascii="Times New Roman" w:eastAsia="Arial" w:hAnsi="Times New Roman" w:cs="Times New Roman"/>
          <w:noProof/>
          <w:sz w:val="24"/>
          <w:szCs w:val="26"/>
        </w:rPr>
      </w:pPr>
    </w:p>
    <w:p w14:paraId="60B46629" w14:textId="77777777" w:rsidR="00994F93" w:rsidRPr="00B03B51" w:rsidRDefault="00994F93" w:rsidP="00994F93">
      <w:pPr>
        <w:pStyle w:val="Heading2"/>
        <w:tabs>
          <w:tab w:val="left" w:pos="1265"/>
        </w:tabs>
        <w:spacing w:before="0"/>
        <w:ind w:left="0" w:firstLine="0"/>
        <w:jc w:val="both"/>
        <w:rPr>
          <w:rFonts w:ascii="Times New Roman" w:hAnsi="Times New Roman" w:cs="Times New Roman"/>
          <w:noProof/>
          <w:sz w:val="28"/>
          <w:szCs w:val="44"/>
        </w:rPr>
      </w:pPr>
      <w:bookmarkStart w:id="87" w:name="1.9_European_entities_related_to_the_eur"/>
      <w:bookmarkStart w:id="88" w:name="_bookmark9"/>
      <w:bookmarkStart w:id="89" w:name="_Toc67565048"/>
      <w:bookmarkEnd w:id="87"/>
      <w:bookmarkEnd w:id="88"/>
      <w:r w:rsidRPr="00B03B51">
        <w:rPr>
          <w:rFonts w:ascii="Times New Roman" w:hAnsi="Times New Roman" w:cs="Times New Roman"/>
          <w:sz w:val="28"/>
          <w:szCs w:val="44"/>
        </w:rPr>
        <w:t>1.9. Eiropas subjekti, kas saistīti ar eirozonas valstu parādu krīzi</w:t>
      </w:r>
      <w:bookmarkEnd w:id="89"/>
    </w:p>
    <w:p w14:paraId="03C023F7" w14:textId="77777777" w:rsidR="00994F93" w:rsidRPr="009F09E5" w:rsidRDefault="00994F93" w:rsidP="009F09E5">
      <w:pPr>
        <w:rPr>
          <w:rFonts w:ascii="Times New Roman" w:hAnsi="Times New Roman" w:cs="Times New Roman"/>
          <w:noProof/>
          <w:sz w:val="24"/>
          <w:szCs w:val="24"/>
        </w:rPr>
      </w:pPr>
      <w:bookmarkStart w:id="90" w:name="1.9.1_Background"/>
      <w:bookmarkEnd w:id="90"/>
    </w:p>
    <w:p w14:paraId="7D3071E0" w14:textId="77777777" w:rsidR="00994F93" w:rsidRPr="00B03B51" w:rsidRDefault="00994F93" w:rsidP="00994F93">
      <w:pPr>
        <w:pStyle w:val="Heading3"/>
        <w:tabs>
          <w:tab w:val="left" w:pos="1265"/>
        </w:tabs>
        <w:ind w:left="0" w:firstLine="0"/>
        <w:jc w:val="both"/>
        <w:rPr>
          <w:rFonts w:ascii="Times New Roman" w:hAnsi="Times New Roman" w:cs="Times New Roman"/>
          <w:noProof/>
          <w:sz w:val="24"/>
        </w:rPr>
      </w:pPr>
      <w:bookmarkStart w:id="91" w:name="_Toc67565049"/>
      <w:r w:rsidRPr="00B03B51">
        <w:rPr>
          <w:rFonts w:ascii="Times New Roman" w:hAnsi="Times New Roman" w:cs="Times New Roman"/>
          <w:sz w:val="24"/>
        </w:rPr>
        <w:t>1.9.1. Vispārīga informācija</w:t>
      </w:r>
      <w:bookmarkEnd w:id="91"/>
    </w:p>
    <w:p w14:paraId="468D9297"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p>
    <w:p w14:paraId="403D7A34"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 Saistībā ar Eiropas valstu parādu krīzi, kas sākās 2010. gadā, tika izveidoti jauni subjekti vai struktūras, kuru mērķis ir sniegt ES dalībvalstīm starpvaldību finanšu atbalstu. Vispirms eirozonas dalībvalstis</w:t>
      </w:r>
      <w:r w:rsidRPr="00B03B51">
        <w:rPr>
          <w:rStyle w:val="FootnoteReference"/>
          <w:rFonts w:ascii="Times New Roman" w:hAnsi="Times New Roman" w:cs="Times New Roman"/>
          <w:noProof/>
          <w:sz w:val="24"/>
        </w:rPr>
        <w:footnoteReference w:id="101"/>
      </w:r>
      <w:r w:rsidRPr="00B03B51">
        <w:rPr>
          <w:rFonts w:ascii="Times New Roman" w:hAnsi="Times New Roman" w:cs="Times New Roman"/>
          <w:sz w:val="24"/>
        </w:rPr>
        <w:t xml:space="preserve"> vienojās piešķirt Grieķijai divpusējus aizdevumus no jaunā Eiropas finanšu stabilizācijas mehānisma (EFSM), kurā iesaistīta arī Eiropas Komisija un SVF. Šis finansiālais atbalsts ir bez sarežģījumiem ierakstīts valdības finanšu statistikā kā aizdevumi, kurus aizdevuma ņēmējas valstis saņēmušas tieši no eirozonas dalībvalstīm (divpusēji), Komisijas (EFSM) un SVF. Tomēr, ņemot vērā nelabvēlīgo ietekmi, papildu sekas un pārsnieguma ietekmi uz eirozonas finanšu tirgiem, ātri vien kļuva skaidrs, ka nepieciešamas specializētas institucionālas vienības.</w:t>
      </w:r>
    </w:p>
    <w:p w14:paraId="11860472"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p>
    <w:p w14:paraId="5D653DF0"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 xml:space="preserve">2. Šajā saistībā eirozonas dalībvalstis, pamatojoties uz </w:t>
      </w:r>
      <w:r w:rsidRPr="00B03B51">
        <w:rPr>
          <w:rFonts w:ascii="Times New Roman" w:hAnsi="Times New Roman" w:cs="Times New Roman"/>
          <w:i/>
          <w:iCs/>
          <w:sz w:val="24"/>
        </w:rPr>
        <w:t>ECOFIN</w:t>
      </w:r>
      <w:r w:rsidRPr="00B03B51">
        <w:rPr>
          <w:rFonts w:ascii="Times New Roman" w:hAnsi="Times New Roman" w:cs="Times New Roman"/>
          <w:sz w:val="24"/>
        </w:rPr>
        <w:t xml:space="preserve"> Padomes 2010. gada 9. maijā pieņemto lēmumu, izveidoja Eiropas Finanšu stabilitātes instrumentu (EFSI) ar mērķi sniegt finanšu palīdzību eirozonas dalībvalstīm, kuras lūdz finanšu atbalstu, ar nosacījumu, ka tajās tiek īstenota makroekonomikas korekciju programma. EFSI, kas tika izveidots 2010. gada oktobrī kā pagaidu mehānisms atbalsta sniegšanai līdz 2013. gadam, bet turpināja darbību arī pēc tam, līdz tiek izpirktas visas obligācijas un aizdevumi, emitē obligācijas vai citus parāda instrumentus (vērtspapīrus) kapitāla tirgos. Turklāt tika nolemts, ka EFSI drīkst iesaistīties arī primārajos un sekundārajos obligāciju tirgos</w:t>
      </w:r>
      <w:r w:rsidRPr="00B03B51">
        <w:rPr>
          <w:rStyle w:val="FootnoteReference"/>
          <w:rFonts w:ascii="Times New Roman" w:hAnsi="Times New Roman" w:cs="Times New Roman"/>
          <w:noProof/>
          <w:sz w:val="24"/>
        </w:rPr>
        <w:footnoteReference w:id="102"/>
      </w:r>
      <w:r w:rsidRPr="00B03B51">
        <w:rPr>
          <w:rFonts w:ascii="Times New Roman" w:hAnsi="Times New Roman" w:cs="Times New Roman"/>
          <w:sz w:val="24"/>
        </w:rPr>
        <w:t>, rīkoties, pamatojoties uz piesardzības pasākumu programmu</w:t>
      </w:r>
      <w:r w:rsidRPr="00B03B51">
        <w:rPr>
          <w:rStyle w:val="FootnoteReference"/>
          <w:rFonts w:ascii="Times New Roman" w:hAnsi="Times New Roman" w:cs="Times New Roman"/>
          <w:noProof/>
          <w:sz w:val="24"/>
        </w:rPr>
        <w:footnoteReference w:id="103"/>
      </w:r>
      <w:r w:rsidRPr="00B03B51">
        <w:rPr>
          <w:rFonts w:ascii="Times New Roman" w:hAnsi="Times New Roman" w:cs="Times New Roman"/>
          <w:sz w:val="24"/>
        </w:rPr>
        <w:t>, izmantot vairāk oriģinālos rīkus (skat. turpmāk) un sniegt līdzekļus valdībām finanšu iestāžu rekapitalizācijai valstīs, kurās netiek īstenota programma.</w:t>
      </w:r>
    </w:p>
    <w:p w14:paraId="100606B1"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p>
    <w:p w14:paraId="523B7A5C"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szCs w:val="12"/>
        </w:rPr>
      </w:pPr>
      <w:r w:rsidRPr="00B03B51">
        <w:rPr>
          <w:rFonts w:ascii="Times New Roman" w:hAnsi="Times New Roman" w:cs="Times New Roman"/>
          <w:sz w:val="24"/>
        </w:rPr>
        <w:t>3. Lēmums par patstāvīga glābšanas mehānisma, proti, Eiropas Stabilitātes mehānisma (ESM), izveidošanu, pamatojoties uz īpašu nolīgumu, kas tika parakstīts 2011. gada 11. jūlijā, tika pieņemts 2010. gada oktobrī. Pēc ratifikācijas procedūras beigām minētais nolīgums stājās spēkā 2012. gada 27. septembrī, ESM tika “inaugurēts” 2012. gada 8. oktobrī un sāka darboties 2012. gada decembrī. Pašlaik tas ir mehānisms, ar kuru tiek finansētas jaunas atbalsta programmas, un līdzīgi EFSI ar to ir iespējams sniegt atbalstu, izmantojot dažādus instrumentus.</w:t>
      </w:r>
      <w:r w:rsidRPr="00B03B51">
        <w:rPr>
          <w:rStyle w:val="FootnoteReference"/>
          <w:rFonts w:ascii="Times New Roman" w:hAnsi="Times New Roman" w:cs="Times New Roman"/>
          <w:noProof/>
          <w:sz w:val="24"/>
        </w:rPr>
        <w:footnoteReference w:id="104"/>
      </w:r>
    </w:p>
    <w:p w14:paraId="4ED1EEE4" w14:textId="77777777" w:rsidR="00994F93" w:rsidRPr="009F09E5" w:rsidRDefault="00994F93" w:rsidP="009F09E5">
      <w:pPr>
        <w:rPr>
          <w:rFonts w:ascii="Times New Roman" w:hAnsi="Times New Roman" w:cs="Times New Roman"/>
          <w:noProof/>
          <w:sz w:val="24"/>
          <w:szCs w:val="24"/>
        </w:rPr>
      </w:pPr>
      <w:bookmarkStart w:id="92" w:name="1.9.2_Treatment_in_national_accounts(105"/>
      <w:bookmarkEnd w:id="92"/>
    </w:p>
    <w:p w14:paraId="66C68801" w14:textId="77777777" w:rsidR="00994F93" w:rsidRPr="00B03B51" w:rsidRDefault="00994F93" w:rsidP="00994F93">
      <w:pPr>
        <w:pStyle w:val="Heading3"/>
        <w:tabs>
          <w:tab w:val="left" w:pos="1265"/>
        </w:tabs>
        <w:ind w:left="0" w:firstLine="0"/>
        <w:jc w:val="both"/>
        <w:rPr>
          <w:rFonts w:ascii="Times New Roman" w:hAnsi="Times New Roman" w:cs="Times New Roman"/>
          <w:b w:val="0"/>
          <w:bCs w:val="0"/>
          <w:noProof/>
          <w:sz w:val="24"/>
          <w:szCs w:val="19"/>
        </w:rPr>
      </w:pPr>
      <w:bookmarkStart w:id="93" w:name="_Toc67565050"/>
      <w:r w:rsidRPr="00B03B51">
        <w:rPr>
          <w:rFonts w:ascii="Times New Roman" w:hAnsi="Times New Roman" w:cs="Times New Roman"/>
          <w:sz w:val="24"/>
        </w:rPr>
        <w:t>1.9.2. Traktējums nacionālajos kontos</w:t>
      </w:r>
      <w:r w:rsidRPr="00B03B51">
        <w:rPr>
          <w:rStyle w:val="FootnoteReference"/>
          <w:rFonts w:ascii="Times New Roman" w:hAnsi="Times New Roman" w:cs="Times New Roman"/>
          <w:noProof/>
          <w:sz w:val="24"/>
        </w:rPr>
        <w:footnoteReference w:id="105"/>
      </w:r>
      <w:bookmarkEnd w:id="93"/>
    </w:p>
    <w:p w14:paraId="695C6CC5" w14:textId="77777777" w:rsidR="00994F93" w:rsidRPr="00B03B51" w:rsidRDefault="00994F93" w:rsidP="00994F93">
      <w:pPr>
        <w:jc w:val="both"/>
        <w:rPr>
          <w:rFonts w:ascii="Times New Roman" w:hAnsi="Times New Roman" w:cs="Times New Roman"/>
          <w:b/>
          <w:noProof/>
          <w:sz w:val="24"/>
        </w:rPr>
      </w:pPr>
    </w:p>
    <w:p w14:paraId="19C5BCAD" w14:textId="77777777" w:rsidR="00994F93" w:rsidRPr="00B03B51" w:rsidRDefault="00994F93" w:rsidP="00994F93">
      <w:pPr>
        <w:jc w:val="both"/>
        <w:rPr>
          <w:rFonts w:ascii="Times New Roman" w:hAnsi="Times New Roman" w:cs="Times New Roman"/>
          <w:b/>
          <w:noProof/>
          <w:sz w:val="24"/>
        </w:rPr>
      </w:pPr>
      <w:r w:rsidRPr="00B03B51">
        <w:rPr>
          <w:rFonts w:ascii="Times New Roman" w:hAnsi="Times New Roman" w:cs="Times New Roman"/>
          <w:b/>
          <w:sz w:val="24"/>
        </w:rPr>
        <w:t>Eiropas Finanšu stabilitātes instruments</w:t>
      </w:r>
    </w:p>
    <w:p w14:paraId="51E3FD08" w14:textId="77777777" w:rsidR="00994F93" w:rsidRPr="00B03B51" w:rsidRDefault="00994F93" w:rsidP="00994F93">
      <w:pPr>
        <w:jc w:val="both"/>
        <w:rPr>
          <w:rFonts w:ascii="Times New Roman" w:eastAsia="Arial" w:hAnsi="Times New Roman" w:cs="Times New Roman"/>
          <w:b/>
          <w:bCs/>
          <w:noProof/>
          <w:sz w:val="24"/>
          <w:szCs w:val="21"/>
        </w:rPr>
      </w:pPr>
    </w:p>
    <w:p w14:paraId="326F00FC" w14:textId="77777777" w:rsidR="00994F93" w:rsidRPr="00B03B51" w:rsidRDefault="00994F93" w:rsidP="00994F93">
      <w:pPr>
        <w:pStyle w:val="BodyText"/>
        <w:tabs>
          <w:tab w:val="left" w:pos="917"/>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 xml:space="preserve">4. Kā paskaidrots </w:t>
      </w:r>
      <w:r w:rsidRPr="00B03B51">
        <w:rPr>
          <w:rFonts w:ascii="Times New Roman" w:hAnsi="Times New Roman" w:cs="Times New Roman"/>
          <w:i/>
          <w:iCs/>
          <w:sz w:val="24"/>
        </w:rPr>
        <w:t>Eurostat</w:t>
      </w:r>
      <w:r w:rsidRPr="00B03B51">
        <w:rPr>
          <w:rFonts w:ascii="Times New Roman" w:hAnsi="Times New Roman" w:cs="Times New Roman"/>
          <w:sz w:val="24"/>
        </w:rPr>
        <w:t xml:space="preserve"> 2011. gada 27. janvāra lēmumā par EFSI, uzskatāms, ka EFSI konceptuāli nav institucionāla vienība, jo tam nepiemīt institucionālajai vienībai raksturīgās pazīmes, kas noteiktas EKS 2010. Tas nevar rīkoties pēc savas iniciatīvas, un tam nav lēmumu </w:t>
      </w:r>
      <w:r w:rsidRPr="00B03B51">
        <w:rPr>
          <w:rFonts w:ascii="Times New Roman" w:hAnsi="Times New Roman" w:cs="Times New Roman"/>
          <w:sz w:val="24"/>
        </w:rPr>
        <w:lastRenderedPageBreak/>
        <w:t>pieņemšanas autonomijas galvenās funkcijas īstenošanā, proti, attiecībā uz aizdevumu piešķiršanu grūtībās nonākušām valstīm un to finansēšanu. Praksē lēmumi attiecībā uz tā galveno funkciju pirms to īstenošanas ir jāapstiprina (parasti vienbalsīgi) Eirogrupas</w:t>
      </w:r>
      <w:r w:rsidRPr="00B03B51">
        <w:rPr>
          <w:rStyle w:val="FootnoteReference"/>
          <w:rFonts w:ascii="Times New Roman" w:hAnsi="Times New Roman" w:cs="Times New Roman"/>
          <w:noProof/>
          <w:sz w:val="24"/>
        </w:rPr>
        <w:footnoteReference w:id="106"/>
      </w:r>
      <w:r w:rsidRPr="00B03B51">
        <w:rPr>
          <w:rFonts w:ascii="Times New Roman" w:hAnsi="Times New Roman" w:cs="Times New Roman"/>
          <w:sz w:val="24"/>
        </w:rPr>
        <w:t xml:space="preserve"> dalībniekiem, kuri piedalās atbalsta pasākumā. Turklāt EFSI nevar uzskatīt par starptautisku finanšu institūciju, jo tam nepiemīt neviena no tai raksturīgajām pazīmēm. Izveides brīdī to nevarētu konsolidēt ar nevienu Eiropas institūciju, kas izveidota, pamatojoties uz līgumiem. Visbeidzot, EFSI </w:t>
      </w:r>
      <w:r w:rsidRPr="00B03B51">
        <w:rPr>
          <w:rFonts w:ascii="Times New Roman" w:hAnsi="Times New Roman" w:cs="Times New Roman"/>
          <w:i/>
          <w:iCs/>
          <w:sz w:val="24"/>
        </w:rPr>
        <w:t>de facto</w:t>
      </w:r>
      <w:r w:rsidRPr="00B03B51">
        <w:rPr>
          <w:rFonts w:ascii="Times New Roman" w:hAnsi="Times New Roman" w:cs="Times New Roman"/>
          <w:sz w:val="24"/>
        </w:rPr>
        <w:t xml:space="preserve"> ir uzskaites un finanšu līdzekļu instruments, kas paredzēts tam, lai nodrošinātu visiem eirozonas dalībniekiem vienādus nosacījumus piekļuvei aizdevumiem, rīkojoties vienīgi šo dalībnieku vārdā un to pilnīgā kontrolē. Tā kā EFSI ir ļoti zema kapitāla bāze salīdzinājumā ar tā bilances lielumu, tas pastiprina viedokli, ka EFSI ir galvenokārt mākslīgs subjekts, kas radīts kā uzskaites rīks.</w:t>
      </w:r>
    </w:p>
    <w:p w14:paraId="67859EA8" w14:textId="77777777" w:rsidR="00994F93" w:rsidRPr="00B03B51" w:rsidRDefault="00994F93" w:rsidP="00994F93">
      <w:pPr>
        <w:jc w:val="both"/>
        <w:rPr>
          <w:rFonts w:ascii="Times New Roman" w:eastAsia="Arial" w:hAnsi="Times New Roman" w:cs="Times New Roman"/>
          <w:noProof/>
          <w:sz w:val="24"/>
          <w:szCs w:val="25"/>
        </w:rPr>
      </w:pPr>
    </w:p>
    <w:p w14:paraId="0C248E71"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5. Līdz ar to teorētiski nacionālo kontu tabulās EFSI darbības būtu jāiedala tām institucionālajām vienībām, kurām tas pieder, šajā gadījumā eirozonas dalībvalstu valdībām, vai jākonsolidē ar šīm institucionālajām vienībām.</w:t>
      </w:r>
    </w:p>
    <w:p w14:paraId="71793EBE"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p>
    <w:p w14:paraId="5368F9FB"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 xml:space="preserve">6. Praktisku iemeslu dēļ saskaņā ar </w:t>
      </w:r>
      <w:r w:rsidRPr="00B03B51">
        <w:rPr>
          <w:rFonts w:ascii="Times New Roman" w:hAnsi="Times New Roman" w:cs="Times New Roman"/>
          <w:i/>
          <w:iCs/>
          <w:sz w:val="24"/>
        </w:rPr>
        <w:t>Eurostat</w:t>
      </w:r>
      <w:r w:rsidRPr="00B03B51">
        <w:rPr>
          <w:rFonts w:ascii="Times New Roman" w:hAnsi="Times New Roman" w:cs="Times New Roman"/>
          <w:sz w:val="24"/>
        </w:rPr>
        <w:t xml:space="preserve"> lēmumu EFSI aizdevumi tomēr ir jāpārvirza ar garantijas devēju starpniecību, tādējādi tas nozīmē, ka EFSI tiek atzīts par statistikas vienību, kas jāklasificē valdības sektora ES iestāžu apakšsektorā pēc analoģijas ar ESM. </w:t>
      </w:r>
      <w:r w:rsidRPr="00B03B51">
        <w:rPr>
          <w:rFonts w:ascii="Times New Roman" w:hAnsi="Times New Roman" w:cs="Times New Roman"/>
          <w:i/>
          <w:iCs/>
          <w:sz w:val="24"/>
        </w:rPr>
        <w:t>Eurostat</w:t>
      </w:r>
      <w:r w:rsidRPr="00B03B51">
        <w:rPr>
          <w:rFonts w:ascii="Times New Roman" w:hAnsi="Times New Roman" w:cs="Times New Roman"/>
          <w:sz w:val="24"/>
        </w:rPr>
        <w:t xml:space="preserve"> 2012. gada lēmumā tika norādīts, ka EFSI darbības ir jāiedala garantijas devējiem, lai arī tikai daļēji (tas nozīmē, ka tehnisku iemeslu dēļ, kā skaidrots turpmāk, konsolidāciju veic, pamatojoties tikai uz dažiem aktīviem, ko tur EFSI, un nevis uz visu bilances kopumu). EFSI galvenokārt nodarbojas ar aizdevumu ņemšanu tirgos, pamatojoties uz dalībvalstu izsniegtu garantiju, atbilstīgi iemaksu skalai, kas saistīta ar tām piederošo daļu ECB kapitālā.</w:t>
      </w:r>
      <w:r w:rsidRPr="00B03B51">
        <w:rPr>
          <w:rStyle w:val="FootnoteReference"/>
          <w:rFonts w:ascii="Times New Roman" w:hAnsi="Times New Roman" w:cs="Times New Roman"/>
          <w:noProof/>
          <w:sz w:val="24"/>
        </w:rPr>
        <w:footnoteReference w:id="107"/>
      </w:r>
      <w:r w:rsidRPr="00B03B51">
        <w:rPr>
          <w:rFonts w:ascii="Times New Roman" w:hAnsi="Times New Roman" w:cs="Times New Roman"/>
          <w:sz w:val="24"/>
          <w:szCs w:val="12"/>
        </w:rPr>
        <w:t xml:space="preserve"> </w:t>
      </w:r>
      <w:r w:rsidRPr="00B03B51">
        <w:rPr>
          <w:rFonts w:ascii="Times New Roman" w:hAnsi="Times New Roman" w:cs="Times New Roman"/>
          <w:sz w:val="24"/>
        </w:rPr>
        <w:t>Sākotnēji, proti, līdz 2011. gada decembrim, lai iegūtu labāku kredītvērtējumu, viena daļa no ieņēmumiem, kas gūti no tirgus aizdevuma līdzekļiem, netika nodota aizdevuma ņēmējām valstīm aizdevumu veidā, bet ieguldīta augsta reitinga parāda instrumentos. To dēvēja par aizdevuma naudas rezervi [</w:t>
      </w:r>
      <w:r w:rsidRPr="00B03B51">
        <w:rPr>
          <w:rFonts w:ascii="Times New Roman" w:hAnsi="Times New Roman" w:cs="Times New Roman"/>
          <w:i/>
          <w:iCs/>
          <w:sz w:val="24"/>
        </w:rPr>
        <w:t>Loan Specific Cash Buffer</w:t>
      </w:r>
      <w:r w:rsidRPr="00B03B51">
        <w:rPr>
          <w:rFonts w:ascii="Times New Roman" w:hAnsi="Times New Roman" w:cs="Times New Roman"/>
          <w:sz w:val="24"/>
        </w:rPr>
        <w:t xml:space="preserve"> (</w:t>
      </w:r>
      <w:r w:rsidRPr="00B03B51">
        <w:rPr>
          <w:rFonts w:ascii="Times New Roman" w:hAnsi="Times New Roman" w:cs="Times New Roman"/>
          <w:i/>
          <w:iCs/>
          <w:sz w:val="24"/>
        </w:rPr>
        <w:t>LSCB</w:t>
      </w:r>
      <w:r w:rsidRPr="00B03B51">
        <w:rPr>
          <w:rFonts w:ascii="Times New Roman" w:hAnsi="Times New Roman" w:cs="Times New Roman"/>
          <w:sz w:val="24"/>
        </w:rPr>
        <w:t>)]. EFSI parādu, kas izmantots aizdevuma naudas rezervei (</w:t>
      </w:r>
      <w:r w:rsidRPr="00B03B51">
        <w:rPr>
          <w:rFonts w:ascii="Times New Roman" w:hAnsi="Times New Roman" w:cs="Times New Roman"/>
          <w:i/>
          <w:iCs/>
          <w:sz w:val="24"/>
        </w:rPr>
        <w:t>LSCB</w:t>
      </w:r>
      <w:r w:rsidRPr="00B03B51">
        <w:rPr>
          <w:rFonts w:ascii="Times New Roman" w:hAnsi="Times New Roman" w:cs="Times New Roman"/>
          <w:sz w:val="24"/>
        </w:rPr>
        <w:t>), neieraksta nacionālajos kontos kā dalībvalstu garantijas devēju nosacīto parādu. Tādējādi dalībvalstīm garantijas devējām pārvirza tikai EFSI aktīvu pusi, kas atbilst eirozonas dalībvalstīm sniegtajam faktiskajam atbalstam.</w:t>
      </w:r>
    </w:p>
    <w:p w14:paraId="7D4AEEDE"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p>
    <w:p w14:paraId="3EBAAEF0"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7. Aizdevumi, kuros tomēr ir iekļauta skaidras naudas rezerve</w:t>
      </w:r>
      <w:r w:rsidRPr="00B03B51">
        <w:rPr>
          <w:rStyle w:val="FootnoteReference"/>
          <w:rFonts w:ascii="Times New Roman" w:hAnsi="Times New Roman" w:cs="Times New Roman"/>
          <w:noProof/>
          <w:sz w:val="24"/>
        </w:rPr>
        <w:footnoteReference w:id="108"/>
      </w:r>
      <w:r w:rsidRPr="00B03B51">
        <w:rPr>
          <w:rFonts w:ascii="Times New Roman" w:hAnsi="Times New Roman" w:cs="Times New Roman"/>
          <w:sz w:val="24"/>
        </w:rPr>
        <w:t>, kas nav izmaksāta, bet kas jāatmaksā aizdevuma ņēmējām valstīm, sākotnēji precīzi atbilda EFSI iegūtajiem aizdošanas nosacījumiem (procentu likmes un atmaksāšanas termiņi).</w:t>
      </w:r>
    </w:p>
    <w:p w14:paraId="1AD6036F"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p>
    <w:p w14:paraId="1F4E6F6D"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8. Neatkarīgi no tā, vai tiek izmantoti aizdevumi vai valsts obligācijas, EFSI aizdevumus saņēmējām dalībvalstīm ieraksta kā EFSI aizdevumus, kas piešķirti dalībvalstīm garantijas devējām, kurām rezultātā atbilstīgi pieaug to bruto parāds, bet attiecībā pret saņēmēju valsti tām ir līdzvērtīgs aizdevuma aktīvu prasījums. Aizdevuma ņēmējai valstij tas nozīmē vienīgi izmaiņas saņemtā aizdevuma ģeogrāfiskajā izvietojumā.</w:t>
      </w:r>
      <w:r w:rsidRPr="00B03B51">
        <w:rPr>
          <w:rStyle w:val="FootnoteReference"/>
          <w:rFonts w:ascii="Times New Roman" w:hAnsi="Times New Roman" w:cs="Times New Roman"/>
          <w:noProof/>
          <w:sz w:val="24"/>
        </w:rPr>
        <w:footnoteReference w:id="109"/>
      </w:r>
    </w:p>
    <w:p w14:paraId="1F15619F"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p>
    <w:p w14:paraId="124ECD02"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 xml:space="preserve">9. Turklāt 2011. gadā pēc Eirosamitos pieņemtajiem lēmumiem EFSI atbalsta shēma tika grozīta, proti, izzuda </w:t>
      </w:r>
      <w:r w:rsidRPr="00B03B51">
        <w:rPr>
          <w:rFonts w:ascii="Times New Roman" w:hAnsi="Times New Roman" w:cs="Times New Roman"/>
          <w:i/>
          <w:iCs/>
          <w:sz w:val="24"/>
        </w:rPr>
        <w:t>LSCB</w:t>
      </w:r>
      <w:r w:rsidRPr="00B03B51">
        <w:rPr>
          <w:rFonts w:ascii="Times New Roman" w:hAnsi="Times New Roman" w:cs="Times New Roman"/>
          <w:sz w:val="24"/>
        </w:rPr>
        <w:t xml:space="preserve"> (finansēšanas instrumentiem tika palielinātas garantijas līdz 165 %), </w:t>
      </w:r>
      <w:r w:rsidRPr="00B03B51">
        <w:rPr>
          <w:rFonts w:ascii="Times New Roman" w:hAnsi="Times New Roman" w:cs="Times New Roman"/>
          <w:sz w:val="24"/>
        </w:rPr>
        <w:lastRenderedPageBreak/>
        <w:t>ievērojami samazināta skaidras naudas rezerve (drošības rezerve vairs nepastāv), diversificēti un apkopoti līdzekļi (īstermiņa instrumenti), kas tika papildināti ar citiem intervences instrumentiem, kuri nav aizdevumi.</w:t>
      </w:r>
      <w:r w:rsidRPr="00B03B51">
        <w:rPr>
          <w:rStyle w:val="FootnoteReference"/>
          <w:rFonts w:ascii="Times New Roman" w:hAnsi="Times New Roman" w:cs="Times New Roman"/>
          <w:noProof/>
          <w:sz w:val="24"/>
        </w:rPr>
        <w:footnoteReference w:id="110"/>
      </w:r>
      <w:r w:rsidRPr="00B03B51">
        <w:rPr>
          <w:rFonts w:ascii="Times New Roman" w:hAnsi="Times New Roman" w:cs="Times New Roman"/>
          <w:sz w:val="24"/>
        </w:rPr>
        <w:t xml:space="preserve"> Jāņem vērā arī tas, ka EFSI izveidoja likviditātes rezervi, kas netika pārdalīta dalībvalstīm garantijas devējām.</w:t>
      </w:r>
      <w:r w:rsidRPr="00B03B51">
        <w:rPr>
          <w:rStyle w:val="FootnoteReference"/>
          <w:rFonts w:ascii="Times New Roman" w:hAnsi="Times New Roman" w:cs="Times New Roman"/>
          <w:noProof/>
          <w:sz w:val="24"/>
        </w:rPr>
        <w:footnoteReference w:id="111"/>
      </w:r>
    </w:p>
    <w:p w14:paraId="741B7AB3"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p>
    <w:p w14:paraId="5D3F0EF9"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10. Šādos apstākļos daļa no parāda, ko EFSI faktiski savāca, netika piedēvēts kā parāds dalībvalstīm garantijas devējām.</w:t>
      </w:r>
    </w:p>
    <w:p w14:paraId="572E60AA" w14:textId="77777777" w:rsidR="00994F93" w:rsidRPr="00B03B51" w:rsidRDefault="00994F93" w:rsidP="00994F93">
      <w:pPr>
        <w:jc w:val="both"/>
        <w:rPr>
          <w:rFonts w:ascii="Times New Roman" w:eastAsia="Arial" w:hAnsi="Times New Roman" w:cs="Times New Roman"/>
          <w:noProof/>
          <w:sz w:val="24"/>
          <w:szCs w:val="20"/>
        </w:rPr>
      </w:pPr>
    </w:p>
    <w:p w14:paraId="293F3D6A" w14:textId="77777777" w:rsidR="00994F93" w:rsidRPr="00B03B51" w:rsidRDefault="00994F93" w:rsidP="00994F93">
      <w:pPr>
        <w:jc w:val="both"/>
        <w:rPr>
          <w:rFonts w:ascii="Times New Roman" w:hAnsi="Times New Roman" w:cs="Times New Roman"/>
          <w:b/>
          <w:noProof/>
          <w:sz w:val="24"/>
        </w:rPr>
      </w:pPr>
      <w:r w:rsidRPr="00B03B51">
        <w:rPr>
          <w:rFonts w:ascii="Times New Roman" w:hAnsi="Times New Roman" w:cs="Times New Roman"/>
          <w:b/>
          <w:sz w:val="24"/>
        </w:rPr>
        <w:t>Eiropas Stabilitātes mehānisms</w:t>
      </w:r>
    </w:p>
    <w:p w14:paraId="7A23D54F" w14:textId="77777777" w:rsidR="00994F93" w:rsidRPr="00B03B51" w:rsidRDefault="00994F93" w:rsidP="00994F93">
      <w:pPr>
        <w:jc w:val="both"/>
        <w:rPr>
          <w:rFonts w:ascii="Times New Roman" w:eastAsia="Arial" w:hAnsi="Times New Roman" w:cs="Times New Roman"/>
          <w:b/>
          <w:bCs/>
          <w:noProof/>
          <w:sz w:val="24"/>
          <w:szCs w:val="21"/>
        </w:rPr>
      </w:pPr>
    </w:p>
    <w:p w14:paraId="4BBB34AE"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11. ESM tiek traktēts kā institucionāla vienība, precīzāk, kā Eiropas Savienības starptautiska organizācija (S.212), pamatojoties uz vairāku šādu faktoru kopējo analīzi: pastāvība, izveide, pamatojoties uz Līgumu, starptautisks tiesiskais regulējums, ievērojama kapitāla summa, tostarp iemaksātais kapitāls 80 miljardu apmērā</w:t>
      </w:r>
      <w:r w:rsidRPr="00B03B51">
        <w:rPr>
          <w:rStyle w:val="FootnoteReference"/>
          <w:rFonts w:ascii="Times New Roman" w:hAnsi="Times New Roman" w:cs="Times New Roman"/>
          <w:noProof/>
          <w:sz w:val="24"/>
        </w:rPr>
        <w:footnoteReference w:id="112"/>
      </w:r>
      <w:r w:rsidRPr="00B03B51">
        <w:rPr>
          <w:rFonts w:ascii="Times New Roman" w:hAnsi="Times New Roman" w:cs="Times New Roman"/>
          <w:sz w:val="24"/>
        </w:rPr>
        <w:t>, un lēmumu pieņemšanas autonomija, kas izriet no pārvaldības struktūras, kura līdzinās tai, kas novērota dažās citās starptautiskajās institūcijās finanšu jomā. ESM ir jāklasificē valdības sektora ES iestāžu apakšsektorā, tas ir, S.1315, kā noteikts EKS 2010 19. nodaļas 19.09. punktā.</w:t>
      </w:r>
    </w:p>
    <w:p w14:paraId="67E0D026"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p>
    <w:p w14:paraId="369E32F3"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12. Līdz ar to pretstatā EFSI tā īstenotās atbalsta darbības neietekmē eirozonas dalībvalstu parakstītāju parādu, bet ietekmē vien atbalsta saņēmējas valstis. Neviens aizdevums vai cita veida intervences pasākums netiek pārvietots/pārdalīts eirozonas dalībniekiem. Vienīgā ietekme uz šo dalībnieku parādu ir saistīta ar netiešo nepieciešamību aizņemties naudu kādam iemaksātā kapitāla laidienam, kas ir tikai daļa no aizdotās summas, lai arī ESM parāds principā ir jāieraksta kā ES valdības parāds vai eirozonas parāds, ņemot vērā, ka principā šajos agregātos ir jāiekļauj un jākonsolidē visi ES iestāžu sektora S.1315 darījumi un instrumenti.</w:t>
      </w:r>
    </w:p>
    <w:p w14:paraId="6E155264" w14:textId="77777777" w:rsidR="00994F93" w:rsidRPr="00B03B51" w:rsidRDefault="00994F93" w:rsidP="00994F93">
      <w:pPr>
        <w:jc w:val="both"/>
        <w:rPr>
          <w:rFonts w:ascii="Times New Roman" w:eastAsia="Arial" w:hAnsi="Times New Roman" w:cs="Times New Roman"/>
          <w:noProof/>
          <w:sz w:val="24"/>
          <w:szCs w:val="25"/>
        </w:rPr>
      </w:pPr>
    </w:p>
    <w:p w14:paraId="4306B66C" w14:textId="31428D6C"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 xml:space="preserve">13. Ja tomēr garantijas devēji vienojas par parāda </w:t>
      </w:r>
      <w:r w:rsidR="00EC47D1" w:rsidRPr="00B03B51">
        <w:rPr>
          <w:rFonts w:ascii="Times New Roman" w:hAnsi="Times New Roman" w:cs="Times New Roman"/>
          <w:sz w:val="24"/>
        </w:rPr>
        <w:t>anulēšanu</w:t>
      </w:r>
      <w:r w:rsidRPr="00B03B51">
        <w:rPr>
          <w:rFonts w:ascii="Times New Roman" w:hAnsi="Times New Roman" w:cs="Times New Roman"/>
          <w:sz w:val="24"/>
        </w:rPr>
        <w:t xml:space="preserve"> aizdevuma ņēmējai valstij, attiecībā uz EFSI kapitāla pārvedums būtu jāieraksta kā šo dalībvalstu izdevumi. Attiecībā uz ESM sākotnējā iemaksātā kapitāla faktiskais maksājums tiek uzskatīts par pašu kapitāla palielinājumu, savukārt pieprasāmais kapitāls tiek uzskatīts par iespējamajām saistībām. Faktiska pieprasījuma ietekme uz valdības kontiem tiktu traktēta kā kapitāla pārvedums tikai tad, ja ar to tiktu segti ESM zaudējumi vai iztrūkstošie maksājumi, ko parādniece valsts attiecīgi radījusi vai nav veikusi ESM.</w:t>
      </w:r>
    </w:p>
    <w:p w14:paraId="73911CE1" w14:textId="77777777" w:rsidR="00994F93" w:rsidRPr="00B03B51" w:rsidRDefault="00994F93" w:rsidP="00994F93">
      <w:pPr>
        <w:jc w:val="both"/>
        <w:rPr>
          <w:rFonts w:ascii="Times New Roman" w:eastAsia="Arial" w:hAnsi="Times New Roman" w:cs="Times New Roman"/>
          <w:noProof/>
          <w:sz w:val="24"/>
          <w:szCs w:val="20"/>
        </w:rPr>
      </w:pPr>
    </w:p>
    <w:p w14:paraId="210DE72A" w14:textId="77777777" w:rsidR="00994F93" w:rsidRPr="00B03B51" w:rsidRDefault="00994F93" w:rsidP="00994F93">
      <w:pPr>
        <w:pStyle w:val="Heading3"/>
        <w:tabs>
          <w:tab w:val="left" w:pos="1265"/>
        </w:tabs>
        <w:ind w:left="0" w:firstLine="0"/>
        <w:jc w:val="both"/>
        <w:rPr>
          <w:rFonts w:ascii="Times New Roman" w:hAnsi="Times New Roman" w:cs="Times New Roman"/>
          <w:noProof/>
          <w:sz w:val="24"/>
        </w:rPr>
      </w:pPr>
      <w:bookmarkStart w:id="94" w:name="_Toc67565051"/>
      <w:r w:rsidRPr="00B03B51">
        <w:rPr>
          <w:rFonts w:ascii="Times New Roman" w:hAnsi="Times New Roman" w:cs="Times New Roman"/>
          <w:sz w:val="24"/>
        </w:rPr>
        <w:t>1.9.3. Traktējuma pamatojums</w:t>
      </w:r>
      <w:bookmarkEnd w:id="94"/>
    </w:p>
    <w:p w14:paraId="2D6A00D0"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p>
    <w:p w14:paraId="56ADFB23"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 xml:space="preserve">14. Attiecībā uz EFSI ir pierādījumi, kas apliecina to, ka EFSI nevar uzskatīt par faktisku finanšu starpnieku, jo tas neveic darījumus ar plašu sabiedrību abās bilances pusēs un neuzņemas nekādu risku, ņemot vērā garantiju shēmu. Turklāt iepriekš jau tika minēts, ka daļu turētājiem nav jāuzņemas būtisks risks, jo kapitālam ir vien formāla nozīme. EFSI arī nevar uzskatīt par starptautisku organizāciju, lai arī starpvaldību vienošanās to paredzēja. Iemesls tam </w:t>
      </w:r>
      <w:r w:rsidRPr="00B03B51">
        <w:rPr>
          <w:rFonts w:ascii="Times New Roman" w:hAnsi="Times New Roman" w:cs="Times New Roman"/>
          <w:sz w:val="24"/>
        </w:rPr>
        <w:lastRenderedPageBreak/>
        <w:t>ir tas, ka EFSI ir privātas sabiedrības statuss, un jo īpaši arī tas, ka Eirogrupai ir iepriekš jāapstiprina tā svarīgākie lēmumi.</w:t>
      </w:r>
    </w:p>
    <w:p w14:paraId="6B8843CE"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p>
    <w:p w14:paraId="659E2AB9"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15. Izšķirīgs apstāklis ir tas, ka EFSI nav lēmumu pieņemšanas autonomijas tā galvenās funkcijas izpildē. Lēmumu iesaistīties finanšu glābšanas operācijā pieņem Eirogrupa, kura pārstāv eirozonas dalībvalstis. Lielākā daļa saistīto lēmumu ir jāpieņem vienprātīgi. Tāpat arī EFSI ir ierobežotas iniciatīvas tiesības attiecībā uz saistībām, kuras radušās tā vārdā, un tās ir atkarīgas no eirozonas dalībvalstu pieņemtajiem lēmumiem. Tā var aizņemties līdzekļus tikai ar garantijas devēju faktisku piekrišanu. Šajā ziņā tā manevra iespējas ir ierobežotas (piemēram, likviditātes rezervju termiņa, lieluma un ieguldījumu izvēle). Līdz ar to EFSI nepiemīt spēja rīkoties neatkarīgi, kas līdzinātos tai, kāda ir parasti novērojama finanšu starpniekam vai citām finanšu iestādēm. Tomēr EFSI nevar konsolidēt Eirogrupā. Tā finanšu pārskatus nav arī viegli proporcionāli sadalīt starp eirozonas dalībvalstīm, ņemot vērā praktiskos sarežģījumus, kas šādā gadījumā rastos (izmaiņas iemaksu skalā, paturētajos ieņēmumos no aizdevuma līdzekļiem un kopš 2011. gada decembra arī līdzekļu apvienošanā). EFSI intervences pasākumu pārvirzīšana uz dalībvalstīm garantijas devējām ir risinājums, kas jāpiemēro, lai atspoguļotu subjekta būtību.</w:t>
      </w:r>
    </w:p>
    <w:p w14:paraId="7FD9E2D4"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p>
    <w:p w14:paraId="64DFE73C"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16. Luksemburgā EFSI juridiskais statuss ir sabiedrība ar ierobežotu atbildību, kas pakļauta parastajām pārskatu sniegšanas prasībām. Tomēr statistikas vajadzībām tā darbības tiek traktētas atbilstīgi tam, kā minēts iepriekš. EFSI traktē līdzīgi kā ESM, tas nozīmē, ka to klasificē S.13 no S.212. Šī iedalīšana apakšsektorā ir saistīta ar to, kas tas ir līdzīgs ESM kā ārpustirgus aizdevējs.</w:t>
      </w:r>
    </w:p>
    <w:p w14:paraId="7CB6CB53"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p>
    <w:p w14:paraId="0BA329E3"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 xml:space="preserve">17. </w:t>
      </w:r>
      <w:r w:rsidRPr="00B03B51">
        <w:rPr>
          <w:rFonts w:ascii="Times New Roman" w:hAnsi="Times New Roman" w:cs="Times New Roman"/>
          <w:i/>
          <w:iCs/>
          <w:sz w:val="24"/>
        </w:rPr>
        <w:t>Eurostat</w:t>
      </w:r>
      <w:r w:rsidRPr="00B03B51">
        <w:rPr>
          <w:rFonts w:ascii="Times New Roman" w:hAnsi="Times New Roman" w:cs="Times New Roman"/>
          <w:sz w:val="24"/>
        </w:rPr>
        <w:t xml:space="preserve"> katru mēnesi sniedz dalībvalstīm būtisko informāciju, lai EFSI darbības tiktu reģistrētas saskaņā ar klasifikācijas lēmumu. Turklāt </w:t>
      </w:r>
      <w:r w:rsidRPr="00B03B51">
        <w:rPr>
          <w:rFonts w:ascii="Times New Roman" w:hAnsi="Times New Roman" w:cs="Times New Roman"/>
          <w:i/>
          <w:iCs/>
          <w:sz w:val="24"/>
        </w:rPr>
        <w:t>Eurostat</w:t>
      </w:r>
      <w:r w:rsidRPr="00B03B51">
        <w:rPr>
          <w:rFonts w:ascii="Times New Roman" w:hAnsi="Times New Roman" w:cs="Times New Roman"/>
          <w:sz w:val="24"/>
        </w:rPr>
        <w:t xml:space="preserve"> publicē informāciju par starpvaldību aizdevumiem Eiropas Savienībā, kas ietver pārvirzītos EFSI aizdevumus.</w:t>
      </w:r>
    </w:p>
    <w:p w14:paraId="0D8AB153"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p>
    <w:p w14:paraId="1CC1780C"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18. Kā minēts iepriekš, tika nospriests, ka ESM piemīt visas institucionālas vienības pazīmes, precīzāk, starptautiskas organizācijas pazīmes. Tā ir pastāvīga vienība (kādas parasti ir starptautiskās vienības), kas izveidota, pamatojoties uz ES Līgumu (augsts statuss tiesiskajā regulējumā), tai ir starptautiskas organizācijas statuss, liels iemaksātais kapitāls un ievērojams pieprasāmais kapitāls, ar kuru tiks nodrošināti tā intervences pasākumi. Kapitāla lielums, kā arī EFSI dalībnieku veto tiesības nepārprotami ir būtisks aspekts, kas nosaka atšķirību starp EFSI un ESM saistībā ar tā atzīšanu par institucionālu vienību. Lai arī Eirogrupai ir liela ietekme, kas ir normāla iezīme saistībā ar tās patieso īpašo funkciju, ESM pārvaldība līdzinās tai, kas novērota citās starptautiskās institūcijās, proti, tai ir valde, direktoru padome un izpilddirektors, kuram piešķirtas ievērojamas pilnvaras. Visbeidzot atsevišķu tādu lēmumu gadījumā, kuru ietekmi nevar uzskatīt par niecīgu, vienprātība nav obligāta, kā tas ir EFSI gadījumā. Līdz ar to subjekts atbilst parastajiem EKS 2010 institucionālās vienības kritērijiem.</w:t>
      </w:r>
    </w:p>
    <w:p w14:paraId="4527355B"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p>
    <w:p w14:paraId="0C36CB77"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19. Parāda pieaugumu ierakstīs vienīgi aizdevuma ņēmēja valsts. Tomēr gadījumā, ja ESM tieši piedalītos vienas valsts banku rekapitalizācijā, attiecībā uz šīs valsts valdību parāds netiktu ierakstīts, ja tā nebūtu uzņēmusies saistības pret ESM saistībā ar aktīviem/prasījumiem, ko ESM tur attiecībā uz bankām.</w:t>
      </w:r>
    </w:p>
    <w:p w14:paraId="2D283AD2"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p>
    <w:p w14:paraId="7B6552AB"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20. Rezumējot, ESM ir institucionālā vienība, savukārt EFSI konceptuāli tāda nav. To nevar uzskatīt arī par finanšu starpnieku vai piesaistošo vienību. Tās tomēr klasificē vienādi, lai arī pastāv šīs atšķirības.</w:t>
      </w:r>
    </w:p>
    <w:p w14:paraId="792155CA"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p>
    <w:p w14:paraId="0EE52756"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 xml:space="preserve">21. Saskaņā ar EKS 2010 ESM tiek klasificēts visu ES valstu kontos kā ārējais eirozonas </w:t>
      </w:r>
      <w:r w:rsidRPr="00B03B51">
        <w:rPr>
          <w:rFonts w:ascii="Times New Roman" w:hAnsi="Times New Roman" w:cs="Times New Roman"/>
          <w:sz w:val="24"/>
        </w:rPr>
        <w:lastRenderedPageBreak/>
        <w:t>rezidents pārējās pasaules sektora (S.2) apakšsektorā S.21 (Eiropas Savienība) un kā ES iestāde (S.212). Eiropas iestāžu (kas tiek uzskatītas par atsevišķu “dalībvalsti”) kontos ESM ir klasificēts vispārējās valdības sektorā (S.13) kā publisks ārpustirgus dalībnieks.</w:t>
      </w:r>
    </w:p>
    <w:p w14:paraId="0822D8F3" w14:textId="77777777" w:rsidR="00994F93" w:rsidRPr="00B03B51" w:rsidRDefault="00994F93" w:rsidP="00994F93">
      <w:pPr>
        <w:jc w:val="both"/>
        <w:rPr>
          <w:rFonts w:ascii="Times New Roman" w:hAnsi="Times New Roman" w:cs="Times New Roman"/>
          <w:noProof/>
          <w:sz w:val="24"/>
        </w:rPr>
      </w:pPr>
    </w:p>
    <w:p w14:paraId="3BE9996D"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 xml:space="preserve">22. ESM neatbilst finanšu starpniecības kritērijiem (saskaņā ar EKS 2010 2.56. un 2.61. punktu), jo galvenokārt neveic darījumus ar plašu sabiedrību abās bilances pusēs (tas tikai sniedz aizdevumus grūtībās nonākušām dalībvalstīm). Tas nav finanšu pakalpojumu tirgus ražotājs (tā aizdevuma likmes tuvinās aizdevuma izmaksām un aizdevuma cena netiek noteikta saskaņā ar riskiem). Tādējādi ESM nevar uzskatīt par S.125 sektora subjektu, un attiecīgi </w:t>
      </w:r>
      <w:r w:rsidRPr="00B03B51">
        <w:rPr>
          <w:rFonts w:ascii="Times New Roman" w:hAnsi="Times New Roman" w:cs="Times New Roman"/>
          <w:i/>
          <w:iCs/>
          <w:sz w:val="24"/>
        </w:rPr>
        <w:t>FISIM</w:t>
      </w:r>
      <w:r w:rsidRPr="00B03B51">
        <w:rPr>
          <w:rFonts w:ascii="Times New Roman" w:hAnsi="Times New Roman" w:cs="Times New Roman"/>
          <w:sz w:val="24"/>
        </w:rPr>
        <w:t xml:space="preserve"> aprēķini par ESM aizdevumu izsniegšanu dalībvalstīm nebūtu atbilstīgi.</w:t>
      </w:r>
    </w:p>
    <w:p w14:paraId="0BAFB874"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p>
    <w:p w14:paraId="6F43E30D"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23. ESM nevar uzskatīt arī par piesaistošo finanšu vienību ES iestāžu S.127 sektorā, jo tas ir ārpustirgus dalībnieks. Līdzīgi arī EFSI nevar uzskatīt (praktisku iemeslu dēļ un arī ņemot vērā tā darbības ierobežojumus) par piesaistošo finanšu vienību, ņemot vērā, ka tas nevar neatkarīgi pats izlemt, kam aizdot un ko tas aizņemas (un šā paša iemesla dēļ to nevar uzskatīt par institucionālo vienību, skat. EKS 2010 2.23. punktu).</w:t>
      </w:r>
    </w:p>
    <w:p w14:paraId="1A6A4A4F"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p>
    <w:p w14:paraId="7AB1716B"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24. Visām vienībām, kas klasificētas S.12 (finanšu sabiedrības), ir jābūt tirgus ražotājiem (izņemot centrālajām bankām, kuras tradicionāli klasificē S.121), lai arī tirgus ražotāja raksturojums ne vienmēr tiek noteikts, pamatojoties uz 50 % testu. Nevar uzskatīt, ka procenti, ko iekasē ESM (tuvu izmaksām), atbilst ekonomiski nozīmīgas cenas definīcijai, kā arī šie procenti nevirza ne ESM aizdevumu piedāvājumu, ne pieprasījumu (EKS 2010 20.19. punkts).</w:t>
      </w:r>
    </w:p>
    <w:p w14:paraId="045902F8"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p>
    <w:p w14:paraId="65D3A98D" w14:textId="77777777" w:rsidR="00994F93" w:rsidRPr="00B03B51" w:rsidRDefault="00994F93" w:rsidP="00994F93">
      <w:pPr>
        <w:pStyle w:val="BodyText"/>
        <w:tabs>
          <w:tab w:val="left" w:pos="840"/>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 xml:space="preserve">25. EFSI un ESM klasifikācija ir jāpiemēro saskanīgi visā makroekonomikas statistikā. Praksē EFSI/ESM klasifikācijas ietekme būtībā aprobežojas ar pretējā sektora sadalījumu (piemēram, vērtspapīru turēšanas statistikas dati, vērtspapīru emisijas statistikas dati un monetāro finanšu iestāžu bilances vai </w:t>
      </w:r>
      <w:r w:rsidRPr="00B03B51">
        <w:rPr>
          <w:rFonts w:ascii="Times New Roman" w:hAnsi="Times New Roman" w:cs="Times New Roman"/>
          <w:i/>
          <w:iCs/>
          <w:sz w:val="24"/>
        </w:rPr>
        <w:t>BOP/IIP</w:t>
      </w:r>
      <w:r w:rsidRPr="00B03B51">
        <w:rPr>
          <w:rFonts w:ascii="Times New Roman" w:hAnsi="Times New Roman" w:cs="Times New Roman"/>
          <w:sz w:val="24"/>
        </w:rPr>
        <w:t xml:space="preserve"> statistikas datu sīks sadalījums). Praksē tas arī nozīmē, ka abi subjekti netiek iekļauti </w:t>
      </w:r>
      <w:r w:rsidRPr="00B03B51">
        <w:rPr>
          <w:rFonts w:ascii="Times New Roman" w:hAnsi="Times New Roman" w:cs="Times New Roman"/>
          <w:i/>
          <w:iCs/>
          <w:sz w:val="24"/>
        </w:rPr>
        <w:t>FISIM</w:t>
      </w:r>
      <w:r w:rsidRPr="00B03B51">
        <w:rPr>
          <w:rFonts w:ascii="Times New Roman" w:hAnsi="Times New Roman" w:cs="Times New Roman"/>
          <w:sz w:val="24"/>
        </w:rPr>
        <w:t xml:space="preserve"> plūsmu aprēķinos par aizdevumiem garantijas devējiem (kas ietekmē NKI agregātu).</w:t>
      </w:r>
      <w:r w:rsidRPr="00B03B51">
        <w:rPr>
          <w:rStyle w:val="FootnoteReference"/>
          <w:rFonts w:ascii="Times New Roman" w:hAnsi="Times New Roman" w:cs="Times New Roman"/>
          <w:noProof/>
          <w:sz w:val="24"/>
        </w:rPr>
        <w:footnoteReference w:id="113"/>
      </w:r>
    </w:p>
    <w:p w14:paraId="041C6EAD" w14:textId="77777777" w:rsidR="00994F93" w:rsidRPr="00B03B51" w:rsidRDefault="00994F93" w:rsidP="00994F93">
      <w:pPr>
        <w:rPr>
          <w:rFonts w:ascii="Times New Roman" w:hAnsi="Times New Roman" w:cs="Times New Roman"/>
          <w:noProof/>
          <w:sz w:val="24"/>
        </w:rPr>
      </w:pPr>
      <w:r w:rsidRPr="00B03B51">
        <w:rPr>
          <w:rFonts w:ascii="Times New Roman" w:hAnsi="Times New Roman" w:cs="Times New Roman"/>
        </w:rPr>
        <w:br w:type="page"/>
      </w:r>
    </w:p>
    <w:p w14:paraId="51CE9E44" w14:textId="77777777" w:rsidR="00994F93" w:rsidRPr="00B03B51" w:rsidRDefault="00994F93" w:rsidP="00994F93">
      <w:pPr>
        <w:jc w:val="both"/>
        <w:rPr>
          <w:rFonts w:ascii="Times New Roman" w:eastAsia="Arial" w:hAnsi="Times New Roman" w:cs="Times New Roman"/>
          <w:noProof/>
          <w:sz w:val="24"/>
          <w:szCs w:val="20"/>
        </w:rPr>
      </w:pPr>
    </w:p>
    <w:p w14:paraId="7E9A721D" w14:textId="77777777" w:rsidR="00994F93" w:rsidRPr="00B03B51" w:rsidRDefault="00994F93" w:rsidP="00994F93">
      <w:pPr>
        <w:pStyle w:val="Heading2"/>
        <w:spacing w:before="0"/>
        <w:ind w:left="0" w:firstLine="0"/>
        <w:jc w:val="both"/>
        <w:rPr>
          <w:rFonts w:ascii="Times New Roman" w:hAnsi="Times New Roman" w:cs="Times New Roman"/>
          <w:noProof/>
          <w:sz w:val="28"/>
          <w:szCs w:val="44"/>
        </w:rPr>
      </w:pPr>
      <w:bookmarkStart w:id="95" w:name="1.10_Keywords_and_accounting_references"/>
      <w:bookmarkStart w:id="96" w:name="_bookmark10"/>
      <w:bookmarkStart w:id="97" w:name="_Toc67565052"/>
      <w:bookmarkEnd w:id="95"/>
      <w:bookmarkEnd w:id="96"/>
      <w:r w:rsidRPr="00B03B51">
        <w:rPr>
          <w:rFonts w:ascii="Times New Roman" w:hAnsi="Times New Roman" w:cs="Times New Roman"/>
          <w:sz w:val="28"/>
          <w:szCs w:val="44"/>
        </w:rPr>
        <w:t>1.10. Atslēgvārdi un atsauces</w:t>
      </w:r>
      <w:bookmarkEnd w:id="97"/>
    </w:p>
    <w:p w14:paraId="0618B375" w14:textId="77777777" w:rsidR="00994F93" w:rsidRPr="00B03B51" w:rsidRDefault="00994F93" w:rsidP="00994F93">
      <w:pPr>
        <w:jc w:val="both"/>
        <w:rPr>
          <w:rFonts w:ascii="Times New Roman" w:eastAsia="Arial" w:hAnsi="Times New Roman" w:cs="Times New Roman"/>
          <w:b/>
          <w:bCs/>
          <w:noProof/>
          <w:sz w:val="24"/>
          <w:szCs w:val="23"/>
        </w:rPr>
      </w:pPr>
    </w:p>
    <w:tbl>
      <w:tblPr>
        <w:tblW w:w="5000" w:type="pct"/>
        <w:tblCellMar>
          <w:top w:w="28" w:type="dxa"/>
          <w:left w:w="28" w:type="dxa"/>
          <w:bottom w:w="28" w:type="dxa"/>
          <w:right w:w="28" w:type="dxa"/>
        </w:tblCellMar>
        <w:tblLook w:val="01E0" w:firstRow="1" w:lastRow="1" w:firstColumn="1" w:lastColumn="1" w:noHBand="0" w:noVBand="0"/>
      </w:tblPr>
      <w:tblGrid>
        <w:gridCol w:w="4396"/>
        <w:gridCol w:w="4675"/>
      </w:tblGrid>
      <w:tr w:rsidR="00994F93" w:rsidRPr="00B03B51" w14:paraId="780A31F7" w14:textId="77777777" w:rsidTr="005B2A11">
        <w:tc>
          <w:tcPr>
            <w:tcW w:w="2423" w:type="pct"/>
            <w:tcBorders>
              <w:top w:val="nil"/>
              <w:left w:val="nil"/>
              <w:bottom w:val="nil"/>
              <w:right w:val="nil"/>
            </w:tcBorders>
          </w:tcPr>
          <w:p w14:paraId="7CA938C9" w14:textId="77777777" w:rsidR="00994F93" w:rsidRPr="00B03B51" w:rsidRDefault="00994F93" w:rsidP="001C4B02">
            <w:pPr>
              <w:pStyle w:val="TableParagraph"/>
              <w:jc w:val="both"/>
              <w:rPr>
                <w:rFonts w:ascii="Times New Roman" w:hAnsi="Times New Roman" w:cs="Times New Roman"/>
                <w:noProof/>
                <w:sz w:val="24"/>
              </w:rPr>
            </w:pPr>
            <w:r w:rsidRPr="00B03B51">
              <w:rPr>
                <w:rFonts w:ascii="Times New Roman" w:hAnsi="Times New Roman" w:cs="Times New Roman"/>
                <w:sz w:val="24"/>
              </w:rPr>
              <w:t>Piesaistošās finanšu iestādes</w:t>
            </w:r>
          </w:p>
        </w:tc>
        <w:tc>
          <w:tcPr>
            <w:tcW w:w="2577" w:type="pct"/>
            <w:tcBorders>
              <w:top w:val="nil"/>
              <w:left w:val="nil"/>
              <w:bottom w:val="nil"/>
              <w:right w:val="nil"/>
            </w:tcBorders>
          </w:tcPr>
          <w:p w14:paraId="02F47A73" w14:textId="77777777" w:rsidR="00994F93" w:rsidRPr="00B03B51" w:rsidRDefault="00994F93" w:rsidP="001C4B02">
            <w:pPr>
              <w:pStyle w:val="TableParagraph"/>
              <w:jc w:val="both"/>
              <w:rPr>
                <w:rFonts w:ascii="Times New Roman" w:hAnsi="Times New Roman" w:cs="Times New Roman"/>
                <w:noProof/>
                <w:sz w:val="24"/>
              </w:rPr>
            </w:pPr>
            <w:r w:rsidRPr="00B03B51">
              <w:rPr>
                <w:rFonts w:ascii="Times New Roman" w:hAnsi="Times New Roman" w:cs="Times New Roman"/>
                <w:sz w:val="24"/>
              </w:rPr>
              <w:t>EKS 2010, 2.298.–2.299. punkts</w:t>
            </w:r>
          </w:p>
        </w:tc>
      </w:tr>
      <w:tr w:rsidR="00994F93" w:rsidRPr="00B03B51" w14:paraId="6893B8AC" w14:textId="77777777" w:rsidTr="005B2A11">
        <w:tc>
          <w:tcPr>
            <w:tcW w:w="2423" w:type="pct"/>
            <w:tcBorders>
              <w:top w:val="nil"/>
              <w:left w:val="nil"/>
              <w:bottom w:val="nil"/>
              <w:right w:val="nil"/>
            </w:tcBorders>
          </w:tcPr>
          <w:p w14:paraId="3A2BC6AC" w14:textId="77777777" w:rsidR="00994F93" w:rsidRPr="00B03B51" w:rsidRDefault="00994F93" w:rsidP="001C4B02">
            <w:pPr>
              <w:pStyle w:val="TableParagraph"/>
              <w:jc w:val="both"/>
              <w:rPr>
                <w:rFonts w:ascii="Times New Roman" w:hAnsi="Times New Roman" w:cs="Times New Roman"/>
                <w:noProof/>
                <w:sz w:val="24"/>
              </w:rPr>
            </w:pPr>
            <w:r w:rsidRPr="00B03B51">
              <w:rPr>
                <w:rFonts w:ascii="Times New Roman" w:hAnsi="Times New Roman" w:cs="Times New Roman"/>
                <w:sz w:val="24"/>
              </w:rPr>
              <w:t>Kontrole</w:t>
            </w:r>
          </w:p>
        </w:tc>
        <w:tc>
          <w:tcPr>
            <w:tcW w:w="2577" w:type="pct"/>
            <w:tcBorders>
              <w:top w:val="nil"/>
              <w:left w:val="nil"/>
              <w:bottom w:val="nil"/>
              <w:right w:val="nil"/>
            </w:tcBorders>
          </w:tcPr>
          <w:p w14:paraId="3C717B4B" w14:textId="77777777" w:rsidR="00994F93" w:rsidRPr="00B03B51" w:rsidRDefault="00994F93" w:rsidP="001C4B02">
            <w:pPr>
              <w:pStyle w:val="TableParagraph"/>
              <w:jc w:val="both"/>
              <w:rPr>
                <w:rFonts w:ascii="Times New Roman" w:hAnsi="Times New Roman" w:cs="Times New Roman"/>
                <w:noProof/>
                <w:sz w:val="24"/>
              </w:rPr>
            </w:pPr>
            <w:r w:rsidRPr="00B03B51">
              <w:rPr>
                <w:rFonts w:ascii="Times New Roman" w:hAnsi="Times New Roman" w:cs="Times New Roman"/>
                <w:sz w:val="24"/>
              </w:rPr>
              <w:t>EKS 2010, 2.37.–2.38. un 20.309.–20.310. punkts</w:t>
            </w:r>
          </w:p>
        </w:tc>
      </w:tr>
      <w:tr w:rsidR="00994F93" w:rsidRPr="00B03B51" w14:paraId="519735BC" w14:textId="77777777" w:rsidTr="005B2A11">
        <w:tc>
          <w:tcPr>
            <w:tcW w:w="2423" w:type="pct"/>
            <w:tcBorders>
              <w:top w:val="nil"/>
              <w:left w:val="nil"/>
              <w:bottom w:val="nil"/>
              <w:right w:val="nil"/>
            </w:tcBorders>
          </w:tcPr>
          <w:p w14:paraId="062082D1" w14:textId="77777777" w:rsidR="00994F93" w:rsidRPr="00B03B51" w:rsidRDefault="00994F93" w:rsidP="001C4B02">
            <w:pPr>
              <w:pStyle w:val="TableParagraph"/>
              <w:jc w:val="both"/>
              <w:rPr>
                <w:rFonts w:ascii="Times New Roman" w:hAnsi="Times New Roman" w:cs="Times New Roman"/>
                <w:noProof/>
                <w:sz w:val="24"/>
              </w:rPr>
            </w:pPr>
            <w:r w:rsidRPr="00B03B51">
              <w:rPr>
                <w:rFonts w:ascii="Times New Roman" w:hAnsi="Times New Roman" w:cs="Times New Roman"/>
                <w:sz w:val="24"/>
              </w:rPr>
              <w:t>Definētu pabalstu pensiju shēmas</w:t>
            </w:r>
          </w:p>
        </w:tc>
        <w:tc>
          <w:tcPr>
            <w:tcW w:w="2577" w:type="pct"/>
            <w:tcBorders>
              <w:top w:val="nil"/>
              <w:left w:val="nil"/>
              <w:bottom w:val="nil"/>
              <w:right w:val="nil"/>
            </w:tcBorders>
          </w:tcPr>
          <w:p w14:paraId="284747B8" w14:textId="77777777" w:rsidR="00994F93" w:rsidRPr="00B03B51" w:rsidRDefault="00994F93" w:rsidP="001C4B02">
            <w:pPr>
              <w:pStyle w:val="TableParagraph"/>
              <w:jc w:val="both"/>
              <w:rPr>
                <w:rFonts w:ascii="Times New Roman" w:hAnsi="Times New Roman" w:cs="Times New Roman"/>
                <w:noProof/>
                <w:sz w:val="24"/>
              </w:rPr>
            </w:pPr>
            <w:r w:rsidRPr="00B03B51">
              <w:rPr>
                <w:rFonts w:ascii="Times New Roman" w:hAnsi="Times New Roman" w:cs="Times New Roman"/>
                <w:sz w:val="24"/>
              </w:rPr>
              <w:t>EKS 2010, 17.57. punkts</w:t>
            </w:r>
          </w:p>
        </w:tc>
      </w:tr>
      <w:tr w:rsidR="00994F93" w:rsidRPr="00B03B51" w14:paraId="551EE4BF" w14:textId="77777777" w:rsidTr="005B2A11">
        <w:tc>
          <w:tcPr>
            <w:tcW w:w="2423" w:type="pct"/>
            <w:tcBorders>
              <w:top w:val="nil"/>
              <w:left w:val="nil"/>
              <w:bottom w:val="nil"/>
              <w:right w:val="nil"/>
            </w:tcBorders>
          </w:tcPr>
          <w:p w14:paraId="30F5499C" w14:textId="77777777" w:rsidR="00994F93" w:rsidRPr="00B03B51" w:rsidRDefault="00994F93" w:rsidP="001C4B02">
            <w:pPr>
              <w:pStyle w:val="TableParagraph"/>
              <w:jc w:val="both"/>
              <w:rPr>
                <w:rFonts w:ascii="Times New Roman" w:hAnsi="Times New Roman" w:cs="Times New Roman"/>
                <w:noProof/>
                <w:sz w:val="24"/>
              </w:rPr>
            </w:pPr>
            <w:r w:rsidRPr="00B03B51">
              <w:rPr>
                <w:rFonts w:ascii="Times New Roman" w:hAnsi="Times New Roman" w:cs="Times New Roman"/>
                <w:sz w:val="24"/>
              </w:rPr>
              <w:t>Definētu iemaksu pensiju shēmas</w:t>
            </w:r>
          </w:p>
        </w:tc>
        <w:tc>
          <w:tcPr>
            <w:tcW w:w="2577" w:type="pct"/>
            <w:tcBorders>
              <w:top w:val="nil"/>
              <w:left w:val="nil"/>
              <w:bottom w:val="nil"/>
              <w:right w:val="nil"/>
            </w:tcBorders>
          </w:tcPr>
          <w:p w14:paraId="4D15B71E" w14:textId="77777777" w:rsidR="00994F93" w:rsidRPr="00B03B51" w:rsidRDefault="00994F93" w:rsidP="001C4B02">
            <w:pPr>
              <w:pStyle w:val="TableParagraph"/>
              <w:jc w:val="both"/>
              <w:rPr>
                <w:rFonts w:ascii="Times New Roman" w:hAnsi="Times New Roman" w:cs="Times New Roman"/>
                <w:noProof/>
                <w:sz w:val="24"/>
              </w:rPr>
            </w:pPr>
            <w:r w:rsidRPr="00B03B51">
              <w:rPr>
                <w:rFonts w:ascii="Times New Roman" w:hAnsi="Times New Roman" w:cs="Times New Roman"/>
                <w:sz w:val="24"/>
              </w:rPr>
              <w:t>EKS 2010, 17.54. punkts</w:t>
            </w:r>
          </w:p>
        </w:tc>
      </w:tr>
      <w:tr w:rsidR="00994F93" w:rsidRPr="00B03B51" w14:paraId="62A52451" w14:textId="77777777" w:rsidTr="005B2A11">
        <w:tc>
          <w:tcPr>
            <w:tcW w:w="2423" w:type="pct"/>
            <w:tcBorders>
              <w:top w:val="nil"/>
              <w:left w:val="nil"/>
              <w:bottom w:val="nil"/>
              <w:right w:val="nil"/>
            </w:tcBorders>
          </w:tcPr>
          <w:p w14:paraId="1D3A4DFA" w14:textId="77777777" w:rsidR="00994F93" w:rsidRPr="00B03B51" w:rsidRDefault="00994F93" w:rsidP="001C4B02">
            <w:pPr>
              <w:pStyle w:val="TableParagraph"/>
              <w:jc w:val="both"/>
              <w:rPr>
                <w:rFonts w:ascii="Times New Roman" w:hAnsi="Times New Roman" w:cs="Times New Roman"/>
                <w:noProof/>
                <w:sz w:val="24"/>
              </w:rPr>
            </w:pPr>
            <w:r w:rsidRPr="00B03B51">
              <w:rPr>
                <w:rFonts w:ascii="Times New Roman" w:hAnsi="Times New Roman" w:cs="Times New Roman"/>
                <w:sz w:val="24"/>
              </w:rPr>
              <w:t>Ekonomiski nozīmīga cena</w:t>
            </w:r>
          </w:p>
        </w:tc>
        <w:tc>
          <w:tcPr>
            <w:tcW w:w="2577" w:type="pct"/>
            <w:tcBorders>
              <w:top w:val="nil"/>
              <w:left w:val="nil"/>
              <w:bottom w:val="nil"/>
              <w:right w:val="nil"/>
            </w:tcBorders>
          </w:tcPr>
          <w:p w14:paraId="60CE3A72" w14:textId="77777777" w:rsidR="00994F93" w:rsidRPr="00B03B51" w:rsidRDefault="00994F93" w:rsidP="001C4B02">
            <w:pPr>
              <w:pStyle w:val="TableParagraph"/>
              <w:jc w:val="both"/>
              <w:rPr>
                <w:rFonts w:ascii="Times New Roman" w:hAnsi="Times New Roman" w:cs="Times New Roman"/>
                <w:noProof/>
                <w:sz w:val="24"/>
              </w:rPr>
            </w:pPr>
            <w:r w:rsidRPr="00B03B51">
              <w:rPr>
                <w:rFonts w:ascii="Times New Roman" w:hAnsi="Times New Roman" w:cs="Times New Roman"/>
                <w:sz w:val="24"/>
              </w:rPr>
              <w:t>EKS 2010, 20.19.–20.22. punkts</w:t>
            </w:r>
          </w:p>
        </w:tc>
      </w:tr>
      <w:tr w:rsidR="00994F93" w:rsidRPr="00B03B51" w14:paraId="4876A8D7" w14:textId="77777777" w:rsidTr="005B2A11">
        <w:tc>
          <w:tcPr>
            <w:tcW w:w="2423" w:type="pct"/>
            <w:tcBorders>
              <w:top w:val="nil"/>
              <w:left w:val="nil"/>
              <w:bottom w:val="nil"/>
              <w:right w:val="nil"/>
            </w:tcBorders>
          </w:tcPr>
          <w:p w14:paraId="746F2FC2" w14:textId="77777777" w:rsidR="00994F93" w:rsidRPr="00B03B51" w:rsidRDefault="00994F93" w:rsidP="001C4B02">
            <w:pPr>
              <w:pStyle w:val="TableParagraph"/>
              <w:jc w:val="both"/>
              <w:rPr>
                <w:rFonts w:ascii="Times New Roman" w:hAnsi="Times New Roman" w:cs="Times New Roman"/>
                <w:noProof/>
                <w:sz w:val="24"/>
              </w:rPr>
            </w:pPr>
            <w:r w:rsidRPr="00B03B51">
              <w:rPr>
                <w:rFonts w:ascii="Times New Roman" w:hAnsi="Times New Roman" w:cs="Times New Roman"/>
                <w:sz w:val="24"/>
              </w:rPr>
              <w:t>Darba devēja pensiju shēmas</w:t>
            </w:r>
          </w:p>
        </w:tc>
        <w:tc>
          <w:tcPr>
            <w:tcW w:w="2577" w:type="pct"/>
            <w:tcBorders>
              <w:top w:val="nil"/>
              <w:left w:val="nil"/>
              <w:bottom w:val="nil"/>
              <w:right w:val="nil"/>
            </w:tcBorders>
          </w:tcPr>
          <w:p w14:paraId="68881ABD" w14:textId="77777777" w:rsidR="00994F93" w:rsidRPr="00B03B51" w:rsidRDefault="00994F93" w:rsidP="001C4B02">
            <w:pPr>
              <w:pStyle w:val="TableParagraph"/>
              <w:jc w:val="both"/>
              <w:rPr>
                <w:rFonts w:ascii="Times New Roman" w:hAnsi="Times New Roman" w:cs="Times New Roman"/>
                <w:noProof/>
                <w:sz w:val="24"/>
              </w:rPr>
            </w:pPr>
            <w:r w:rsidRPr="00B03B51">
              <w:rPr>
                <w:rFonts w:ascii="Times New Roman" w:hAnsi="Times New Roman" w:cs="Times New Roman"/>
                <w:sz w:val="24"/>
              </w:rPr>
              <w:t>EKS 2010, 17.49. punkts</w:t>
            </w:r>
          </w:p>
        </w:tc>
      </w:tr>
      <w:tr w:rsidR="00994F93" w:rsidRPr="00B03B51" w14:paraId="56F59015" w14:textId="77777777" w:rsidTr="005B2A11">
        <w:tc>
          <w:tcPr>
            <w:tcW w:w="2423" w:type="pct"/>
            <w:tcBorders>
              <w:top w:val="nil"/>
              <w:left w:val="nil"/>
              <w:bottom w:val="nil"/>
              <w:right w:val="nil"/>
            </w:tcBorders>
          </w:tcPr>
          <w:p w14:paraId="0B381454" w14:textId="77777777" w:rsidR="00994F93" w:rsidRPr="00B03B51" w:rsidRDefault="00994F93" w:rsidP="001C4B02">
            <w:pPr>
              <w:pStyle w:val="TableParagraph"/>
              <w:jc w:val="both"/>
              <w:rPr>
                <w:rFonts w:ascii="Times New Roman" w:hAnsi="Times New Roman" w:cs="Times New Roman"/>
                <w:noProof/>
                <w:sz w:val="24"/>
              </w:rPr>
            </w:pPr>
            <w:r w:rsidRPr="00B03B51">
              <w:rPr>
                <w:rFonts w:ascii="Times New Roman" w:hAnsi="Times New Roman" w:cs="Times New Roman"/>
                <w:sz w:val="24"/>
              </w:rPr>
              <w:t>Finanšu starpniecība</w:t>
            </w:r>
          </w:p>
        </w:tc>
        <w:tc>
          <w:tcPr>
            <w:tcW w:w="2577" w:type="pct"/>
            <w:tcBorders>
              <w:top w:val="nil"/>
              <w:left w:val="nil"/>
              <w:bottom w:val="nil"/>
              <w:right w:val="nil"/>
            </w:tcBorders>
          </w:tcPr>
          <w:p w14:paraId="0170944A" w14:textId="77777777" w:rsidR="00994F93" w:rsidRPr="00B03B51" w:rsidRDefault="00994F93" w:rsidP="001C4B02">
            <w:pPr>
              <w:pStyle w:val="TableParagraph"/>
              <w:jc w:val="both"/>
              <w:rPr>
                <w:rFonts w:ascii="Times New Roman" w:hAnsi="Times New Roman" w:cs="Times New Roman"/>
                <w:noProof/>
                <w:sz w:val="24"/>
              </w:rPr>
            </w:pPr>
            <w:r w:rsidRPr="00B03B51">
              <w:rPr>
                <w:rFonts w:ascii="Times New Roman" w:hAnsi="Times New Roman" w:cs="Times New Roman"/>
                <w:sz w:val="24"/>
              </w:rPr>
              <w:t>EKS 2010, 2.57.–2.62. punkts</w:t>
            </w:r>
          </w:p>
        </w:tc>
      </w:tr>
      <w:tr w:rsidR="00994F93" w:rsidRPr="00B03B51" w14:paraId="5397E446" w14:textId="77777777" w:rsidTr="005B2A11">
        <w:tc>
          <w:tcPr>
            <w:tcW w:w="2423" w:type="pct"/>
            <w:tcBorders>
              <w:top w:val="nil"/>
              <w:left w:val="nil"/>
              <w:bottom w:val="nil"/>
              <w:right w:val="nil"/>
            </w:tcBorders>
          </w:tcPr>
          <w:p w14:paraId="25A54E1F" w14:textId="77777777" w:rsidR="00994F93" w:rsidRPr="00B03B51" w:rsidRDefault="00994F93" w:rsidP="001C4B02">
            <w:pPr>
              <w:pStyle w:val="TableParagraph"/>
              <w:jc w:val="both"/>
              <w:rPr>
                <w:rFonts w:ascii="Times New Roman" w:hAnsi="Times New Roman" w:cs="Times New Roman"/>
                <w:noProof/>
                <w:sz w:val="24"/>
              </w:rPr>
            </w:pPr>
            <w:r w:rsidRPr="00B03B51">
              <w:rPr>
                <w:rFonts w:ascii="Times New Roman" w:hAnsi="Times New Roman" w:cs="Times New Roman"/>
                <w:sz w:val="24"/>
              </w:rPr>
              <w:t>Vispārējās valdības sektors un apakšsektori</w:t>
            </w:r>
          </w:p>
        </w:tc>
        <w:tc>
          <w:tcPr>
            <w:tcW w:w="2577" w:type="pct"/>
            <w:tcBorders>
              <w:top w:val="nil"/>
              <w:left w:val="nil"/>
              <w:bottom w:val="nil"/>
              <w:right w:val="nil"/>
            </w:tcBorders>
          </w:tcPr>
          <w:p w14:paraId="51B2CE0F" w14:textId="77777777" w:rsidR="00994F93" w:rsidRPr="00B03B51" w:rsidRDefault="00994F93" w:rsidP="001C4B02">
            <w:pPr>
              <w:pStyle w:val="TableParagraph"/>
              <w:jc w:val="both"/>
              <w:rPr>
                <w:rFonts w:ascii="Times New Roman" w:hAnsi="Times New Roman" w:cs="Times New Roman"/>
                <w:noProof/>
                <w:sz w:val="24"/>
              </w:rPr>
            </w:pPr>
            <w:r w:rsidRPr="00B03B51">
              <w:rPr>
                <w:rFonts w:ascii="Times New Roman" w:hAnsi="Times New Roman" w:cs="Times New Roman"/>
                <w:sz w:val="24"/>
              </w:rPr>
              <w:t>EKS 2010, 2.111.–2.117. punkts</w:t>
            </w:r>
          </w:p>
        </w:tc>
      </w:tr>
      <w:tr w:rsidR="00994F93" w:rsidRPr="00B03B51" w14:paraId="7842AA3C" w14:textId="77777777" w:rsidTr="005B2A11">
        <w:tc>
          <w:tcPr>
            <w:tcW w:w="2423" w:type="pct"/>
            <w:tcBorders>
              <w:top w:val="nil"/>
              <w:left w:val="nil"/>
              <w:bottom w:val="nil"/>
              <w:right w:val="nil"/>
            </w:tcBorders>
          </w:tcPr>
          <w:p w14:paraId="051D2E92" w14:textId="77777777" w:rsidR="00994F93" w:rsidRPr="00B03B51" w:rsidRDefault="00994F93" w:rsidP="001C4B02">
            <w:pPr>
              <w:pStyle w:val="TableParagraph"/>
              <w:jc w:val="both"/>
              <w:rPr>
                <w:rFonts w:ascii="Times New Roman" w:hAnsi="Times New Roman" w:cs="Times New Roman"/>
                <w:noProof/>
                <w:sz w:val="24"/>
              </w:rPr>
            </w:pPr>
            <w:r w:rsidRPr="00B03B51">
              <w:rPr>
                <w:rFonts w:ascii="Times New Roman" w:hAnsi="Times New Roman" w:cs="Times New Roman"/>
                <w:sz w:val="24"/>
              </w:rPr>
              <w:t>Kontrolakciju sabiedrība, centrālais birojs</w:t>
            </w:r>
          </w:p>
        </w:tc>
        <w:tc>
          <w:tcPr>
            <w:tcW w:w="2577" w:type="pct"/>
            <w:tcBorders>
              <w:top w:val="nil"/>
              <w:left w:val="nil"/>
              <w:bottom w:val="nil"/>
              <w:right w:val="nil"/>
            </w:tcBorders>
          </w:tcPr>
          <w:p w14:paraId="4B90420C" w14:textId="77777777" w:rsidR="00994F93" w:rsidRPr="00B03B51" w:rsidRDefault="00994F93" w:rsidP="001C4B02">
            <w:pPr>
              <w:pStyle w:val="TableParagraph"/>
              <w:jc w:val="both"/>
              <w:rPr>
                <w:rFonts w:ascii="Times New Roman" w:hAnsi="Times New Roman" w:cs="Times New Roman"/>
                <w:noProof/>
                <w:sz w:val="24"/>
              </w:rPr>
            </w:pPr>
            <w:r w:rsidRPr="00B03B51">
              <w:rPr>
                <w:rFonts w:ascii="Times New Roman" w:hAnsi="Times New Roman" w:cs="Times New Roman"/>
                <w:sz w:val="24"/>
              </w:rPr>
              <w:t>EKS 2010, 2.14. un 20.35.–20.37. punkts</w:t>
            </w:r>
          </w:p>
        </w:tc>
      </w:tr>
      <w:tr w:rsidR="00994F93" w:rsidRPr="00B03B51" w14:paraId="649D2FC4" w14:textId="77777777" w:rsidTr="005B2A11">
        <w:tc>
          <w:tcPr>
            <w:tcW w:w="2423" w:type="pct"/>
            <w:tcBorders>
              <w:top w:val="nil"/>
              <w:left w:val="nil"/>
              <w:bottom w:val="nil"/>
              <w:right w:val="nil"/>
            </w:tcBorders>
          </w:tcPr>
          <w:p w14:paraId="3089C4DF" w14:textId="77777777" w:rsidR="00994F93" w:rsidRPr="00B03B51" w:rsidRDefault="00994F93" w:rsidP="001C4B02">
            <w:pPr>
              <w:pStyle w:val="TableParagraph"/>
              <w:jc w:val="both"/>
              <w:rPr>
                <w:rFonts w:ascii="Times New Roman" w:hAnsi="Times New Roman" w:cs="Times New Roman"/>
                <w:noProof/>
                <w:sz w:val="24"/>
              </w:rPr>
            </w:pPr>
            <w:r w:rsidRPr="00B03B51">
              <w:rPr>
                <w:rFonts w:ascii="Times New Roman" w:hAnsi="Times New Roman" w:cs="Times New Roman"/>
                <w:sz w:val="24"/>
              </w:rPr>
              <w:t>Institucionālā vienība</w:t>
            </w:r>
          </w:p>
        </w:tc>
        <w:tc>
          <w:tcPr>
            <w:tcW w:w="2577" w:type="pct"/>
            <w:tcBorders>
              <w:top w:val="nil"/>
              <w:left w:val="nil"/>
              <w:bottom w:val="nil"/>
              <w:right w:val="nil"/>
            </w:tcBorders>
          </w:tcPr>
          <w:p w14:paraId="30526944" w14:textId="77777777" w:rsidR="00994F93" w:rsidRPr="00B03B51" w:rsidRDefault="00994F93" w:rsidP="001C4B02">
            <w:pPr>
              <w:pStyle w:val="TableParagraph"/>
              <w:jc w:val="both"/>
              <w:rPr>
                <w:rFonts w:ascii="Times New Roman" w:hAnsi="Times New Roman" w:cs="Times New Roman"/>
                <w:noProof/>
                <w:sz w:val="24"/>
              </w:rPr>
            </w:pPr>
            <w:r w:rsidRPr="00B03B51">
              <w:rPr>
                <w:rFonts w:ascii="Times New Roman" w:hAnsi="Times New Roman" w:cs="Times New Roman"/>
                <w:sz w:val="24"/>
              </w:rPr>
              <w:t>EKS 2010, 2.12.–2.13. punkts</w:t>
            </w:r>
          </w:p>
        </w:tc>
      </w:tr>
      <w:tr w:rsidR="00994F93" w:rsidRPr="00B03B51" w14:paraId="57D9B1EC" w14:textId="77777777" w:rsidTr="005B2A11">
        <w:tc>
          <w:tcPr>
            <w:tcW w:w="2423" w:type="pct"/>
            <w:tcBorders>
              <w:top w:val="nil"/>
              <w:left w:val="nil"/>
              <w:bottom w:val="nil"/>
              <w:right w:val="nil"/>
            </w:tcBorders>
          </w:tcPr>
          <w:p w14:paraId="7D3E58C7" w14:textId="77777777" w:rsidR="00994F93" w:rsidRPr="00B03B51" w:rsidRDefault="00994F93" w:rsidP="001C4B02">
            <w:pPr>
              <w:pStyle w:val="TableParagraph"/>
              <w:jc w:val="both"/>
              <w:rPr>
                <w:rFonts w:ascii="Times New Roman" w:hAnsi="Times New Roman" w:cs="Times New Roman"/>
                <w:noProof/>
                <w:sz w:val="24"/>
              </w:rPr>
            </w:pPr>
            <w:r w:rsidRPr="00B03B51">
              <w:rPr>
                <w:rFonts w:ascii="Times New Roman" w:hAnsi="Times New Roman" w:cs="Times New Roman"/>
                <w:sz w:val="24"/>
              </w:rPr>
              <w:t>Tirgus izlaide</w:t>
            </w:r>
          </w:p>
        </w:tc>
        <w:tc>
          <w:tcPr>
            <w:tcW w:w="2577" w:type="pct"/>
            <w:tcBorders>
              <w:top w:val="nil"/>
              <w:left w:val="nil"/>
              <w:bottom w:val="nil"/>
              <w:right w:val="nil"/>
            </w:tcBorders>
          </w:tcPr>
          <w:p w14:paraId="5BE0BDAE" w14:textId="77777777" w:rsidR="00994F93" w:rsidRPr="00B03B51" w:rsidRDefault="00994F93" w:rsidP="001C4B02">
            <w:pPr>
              <w:pStyle w:val="TableParagraph"/>
              <w:jc w:val="both"/>
              <w:rPr>
                <w:rFonts w:ascii="Times New Roman" w:hAnsi="Times New Roman" w:cs="Times New Roman"/>
                <w:noProof/>
                <w:sz w:val="24"/>
              </w:rPr>
            </w:pPr>
            <w:r w:rsidRPr="00B03B51">
              <w:rPr>
                <w:rFonts w:ascii="Times New Roman" w:hAnsi="Times New Roman" w:cs="Times New Roman"/>
                <w:sz w:val="24"/>
              </w:rPr>
              <w:t>EKS 2010, 3.17.–3.19. punkts</w:t>
            </w:r>
          </w:p>
        </w:tc>
      </w:tr>
      <w:tr w:rsidR="00994F93" w:rsidRPr="00B03B51" w14:paraId="1E42DD49" w14:textId="77777777" w:rsidTr="005B2A11">
        <w:tc>
          <w:tcPr>
            <w:tcW w:w="2423" w:type="pct"/>
            <w:tcBorders>
              <w:top w:val="nil"/>
              <w:left w:val="nil"/>
              <w:bottom w:val="nil"/>
              <w:right w:val="nil"/>
            </w:tcBorders>
          </w:tcPr>
          <w:p w14:paraId="558B9249" w14:textId="77777777" w:rsidR="00994F93" w:rsidRPr="00B03B51" w:rsidRDefault="00994F93" w:rsidP="001C4B02">
            <w:pPr>
              <w:pStyle w:val="TableParagraph"/>
              <w:jc w:val="both"/>
              <w:rPr>
                <w:rFonts w:ascii="Times New Roman" w:hAnsi="Times New Roman" w:cs="Times New Roman"/>
                <w:noProof/>
                <w:sz w:val="24"/>
              </w:rPr>
            </w:pPr>
            <w:r w:rsidRPr="00B03B51">
              <w:rPr>
                <w:rFonts w:ascii="Times New Roman" w:hAnsi="Times New Roman" w:cs="Times New Roman"/>
                <w:sz w:val="24"/>
              </w:rPr>
              <w:t>Tirgus/ārpustirgus</w:t>
            </w:r>
          </w:p>
        </w:tc>
        <w:tc>
          <w:tcPr>
            <w:tcW w:w="2577" w:type="pct"/>
            <w:tcBorders>
              <w:top w:val="nil"/>
              <w:left w:val="nil"/>
              <w:bottom w:val="nil"/>
              <w:right w:val="nil"/>
            </w:tcBorders>
          </w:tcPr>
          <w:p w14:paraId="6677D568" w14:textId="77777777" w:rsidR="00994F93" w:rsidRPr="00B03B51" w:rsidRDefault="00994F93" w:rsidP="001C4B02">
            <w:pPr>
              <w:pStyle w:val="TableParagraph"/>
              <w:jc w:val="both"/>
              <w:rPr>
                <w:rFonts w:ascii="Times New Roman" w:hAnsi="Times New Roman" w:cs="Times New Roman"/>
                <w:noProof/>
                <w:sz w:val="24"/>
              </w:rPr>
            </w:pPr>
            <w:r w:rsidRPr="00B03B51">
              <w:rPr>
                <w:rFonts w:ascii="Times New Roman" w:hAnsi="Times New Roman" w:cs="Times New Roman"/>
                <w:sz w:val="24"/>
              </w:rPr>
              <w:t>EKS 2010, 3.32.–3.37. un 20.19.–20.34. punkts</w:t>
            </w:r>
          </w:p>
        </w:tc>
      </w:tr>
      <w:tr w:rsidR="00994F93" w:rsidRPr="00B03B51" w14:paraId="34E578F9" w14:textId="77777777" w:rsidTr="005B2A11">
        <w:tc>
          <w:tcPr>
            <w:tcW w:w="2423" w:type="pct"/>
            <w:tcBorders>
              <w:top w:val="nil"/>
              <w:left w:val="nil"/>
              <w:bottom w:val="nil"/>
              <w:right w:val="nil"/>
            </w:tcBorders>
          </w:tcPr>
          <w:p w14:paraId="062FFF95" w14:textId="77777777" w:rsidR="00994F93" w:rsidRPr="00B03B51" w:rsidRDefault="00994F93" w:rsidP="001C4B02">
            <w:pPr>
              <w:pStyle w:val="TableParagraph"/>
              <w:jc w:val="both"/>
              <w:rPr>
                <w:rFonts w:ascii="Times New Roman" w:hAnsi="Times New Roman" w:cs="Times New Roman"/>
                <w:noProof/>
                <w:sz w:val="24"/>
              </w:rPr>
            </w:pPr>
            <w:r w:rsidRPr="00B03B51">
              <w:rPr>
                <w:rFonts w:ascii="Times New Roman" w:hAnsi="Times New Roman" w:cs="Times New Roman"/>
                <w:sz w:val="24"/>
              </w:rPr>
              <w:t>Ārpustirgus izlaide</w:t>
            </w:r>
          </w:p>
        </w:tc>
        <w:tc>
          <w:tcPr>
            <w:tcW w:w="2577" w:type="pct"/>
            <w:tcBorders>
              <w:top w:val="nil"/>
              <w:left w:val="nil"/>
              <w:bottom w:val="nil"/>
              <w:right w:val="nil"/>
            </w:tcBorders>
          </w:tcPr>
          <w:p w14:paraId="7A6CA43C" w14:textId="77777777" w:rsidR="00994F93" w:rsidRPr="00B03B51" w:rsidRDefault="00994F93" w:rsidP="001C4B02">
            <w:pPr>
              <w:pStyle w:val="TableParagraph"/>
              <w:jc w:val="both"/>
              <w:rPr>
                <w:rFonts w:ascii="Times New Roman" w:hAnsi="Times New Roman" w:cs="Times New Roman"/>
                <w:noProof/>
                <w:sz w:val="24"/>
              </w:rPr>
            </w:pPr>
            <w:r w:rsidRPr="00B03B51">
              <w:rPr>
                <w:rFonts w:ascii="Times New Roman" w:hAnsi="Times New Roman" w:cs="Times New Roman"/>
                <w:sz w:val="24"/>
              </w:rPr>
              <w:t>EKS 2010, 3.23. punkts</w:t>
            </w:r>
          </w:p>
        </w:tc>
      </w:tr>
      <w:tr w:rsidR="00994F93" w:rsidRPr="00B03B51" w14:paraId="2F6EDBC5" w14:textId="77777777" w:rsidTr="005B2A11">
        <w:tc>
          <w:tcPr>
            <w:tcW w:w="2423" w:type="pct"/>
            <w:tcBorders>
              <w:top w:val="nil"/>
              <w:left w:val="nil"/>
              <w:bottom w:val="nil"/>
              <w:right w:val="nil"/>
            </w:tcBorders>
          </w:tcPr>
          <w:p w14:paraId="625EC6F1" w14:textId="77777777" w:rsidR="00994F93" w:rsidRPr="00B03B51" w:rsidRDefault="00994F93" w:rsidP="001C4B02">
            <w:pPr>
              <w:pStyle w:val="TableParagraph"/>
              <w:jc w:val="both"/>
              <w:rPr>
                <w:rFonts w:ascii="Times New Roman" w:hAnsi="Times New Roman" w:cs="Times New Roman"/>
                <w:noProof/>
                <w:sz w:val="24"/>
              </w:rPr>
            </w:pPr>
            <w:r w:rsidRPr="00B03B51">
              <w:rPr>
                <w:rFonts w:ascii="Times New Roman" w:hAnsi="Times New Roman" w:cs="Times New Roman"/>
                <w:sz w:val="24"/>
              </w:rPr>
              <w:t>Bezpeļņas iestāde</w:t>
            </w:r>
          </w:p>
        </w:tc>
        <w:tc>
          <w:tcPr>
            <w:tcW w:w="2577" w:type="pct"/>
            <w:tcBorders>
              <w:top w:val="nil"/>
              <w:left w:val="nil"/>
              <w:bottom w:val="nil"/>
              <w:right w:val="nil"/>
            </w:tcBorders>
          </w:tcPr>
          <w:p w14:paraId="6902E743" w14:textId="77777777" w:rsidR="00994F93" w:rsidRPr="00B03B51" w:rsidRDefault="00994F93" w:rsidP="001C4B02">
            <w:pPr>
              <w:pStyle w:val="TableParagraph"/>
              <w:jc w:val="both"/>
              <w:rPr>
                <w:rFonts w:ascii="Times New Roman" w:hAnsi="Times New Roman" w:cs="Times New Roman"/>
                <w:noProof/>
                <w:sz w:val="24"/>
              </w:rPr>
            </w:pPr>
            <w:r w:rsidRPr="00B03B51">
              <w:rPr>
                <w:rFonts w:ascii="Times New Roman" w:hAnsi="Times New Roman" w:cs="Times New Roman"/>
                <w:sz w:val="24"/>
              </w:rPr>
              <w:t>EKS 2010, 2.129.–2.130. punkts</w:t>
            </w:r>
          </w:p>
        </w:tc>
      </w:tr>
      <w:tr w:rsidR="00994F93" w:rsidRPr="00B03B51" w14:paraId="6A31D990" w14:textId="77777777" w:rsidTr="005B2A11">
        <w:tc>
          <w:tcPr>
            <w:tcW w:w="2423" w:type="pct"/>
            <w:tcBorders>
              <w:top w:val="nil"/>
              <w:left w:val="nil"/>
              <w:bottom w:val="nil"/>
              <w:right w:val="nil"/>
            </w:tcBorders>
          </w:tcPr>
          <w:p w14:paraId="4AF1D3A8" w14:textId="77777777" w:rsidR="00994F93" w:rsidRPr="00B03B51" w:rsidRDefault="00994F93" w:rsidP="001C4B02">
            <w:pPr>
              <w:pStyle w:val="TableParagraph"/>
              <w:jc w:val="both"/>
              <w:rPr>
                <w:rFonts w:ascii="Times New Roman" w:hAnsi="Times New Roman" w:cs="Times New Roman"/>
                <w:noProof/>
                <w:sz w:val="24"/>
              </w:rPr>
            </w:pPr>
            <w:r w:rsidRPr="00B03B51">
              <w:rPr>
                <w:rFonts w:ascii="Times New Roman" w:hAnsi="Times New Roman" w:cs="Times New Roman"/>
                <w:sz w:val="24"/>
              </w:rPr>
              <w:t>Pensiju fonds</w:t>
            </w:r>
          </w:p>
        </w:tc>
        <w:tc>
          <w:tcPr>
            <w:tcW w:w="2577" w:type="pct"/>
            <w:tcBorders>
              <w:top w:val="nil"/>
              <w:left w:val="nil"/>
              <w:bottom w:val="nil"/>
              <w:right w:val="nil"/>
            </w:tcBorders>
          </w:tcPr>
          <w:p w14:paraId="3A51ABA0" w14:textId="77777777" w:rsidR="00994F93" w:rsidRPr="00B03B51" w:rsidRDefault="00994F93" w:rsidP="001C4B02">
            <w:pPr>
              <w:pStyle w:val="TableParagraph"/>
              <w:jc w:val="both"/>
              <w:rPr>
                <w:rFonts w:ascii="Times New Roman" w:hAnsi="Times New Roman" w:cs="Times New Roman"/>
                <w:noProof/>
                <w:sz w:val="24"/>
              </w:rPr>
            </w:pPr>
            <w:r w:rsidRPr="00B03B51">
              <w:rPr>
                <w:rFonts w:ascii="Times New Roman" w:hAnsi="Times New Roman" w:cs="Times New Roman"/>
                <w:sz w:val="24"/>
              </w:rPr>
              <w:t>EKS 2010, 2.105.–2.110. punkts</w:t>
            </w:r>
          </w:p>
        </w:tc>
      </w:tr>
      <w:tr w:rsidR="00994F93" w:rsidRPr="00B03B51" w14:paraId="667EBDAF" w14:textId="77777777" w:rsidTr="005B2A11">
        <w:tc>
          <w:tcPr>
            <w:tcW w:w="2423" w:type="pct"/>
            <w:tcBorders>
              <w:top w:val="nil"/>
              <w:left w:val="nil"/>
              <w:bottom w:val="nil"/>
              <w:right w:val="nil"/>
            </w:tcBorders>
          </w:tcPr>
          <w:p w14:paraId="15744B3F" w14:textId="77777777" w:rsidR="00994F93" w:rsidRPr="00B03B51" w:rsidRDefault="00994F93" w:rsidP="001C4B02">
            <w:pPr>
              <w:pStyle w:val="TableParagraph"/>
              <w:jc w:val="both"/>
              <w:rPr>
                <w:rFonts w:ascii="Times New Roman" w:hAnsi="Times New Roman" w:cs="Times New Roman"/>
                <w:noProof/>
                <w:sz w:val="24"/>
              </w:rPr>
            </w:pPr>
            <w:r w:rsidRPr="00B03B51">
              <w:rPr>
                <w:rFonts w:ascii="Times New Roman" w:hAnsi="Times New Roman" w:cs="Times New Roman"/>
                <w:sz w:val="24"/>
              </w:rPr>
              <w:t>Publiskais/privātais ražotājs</w:t>
            </w:r>
          </w:p>
        </w:tc>
        <w:tc>
          <w:tcPr>
            <w:tcW w:w="2577" w:type="pct"/>
            <w:tcBorders>
              <w:top w:val="nil"/>
              <w:left w:val="nil"/>
              <w:bottom w:val="nil"/>
              <w:right w:val="nil"/>
            </w:tcBorders>
          </w:tcPr>
          <w:p w14:paraId="297772E0" w14:textId="77777777" w:rsidR="00994F93" w:rsidRPr="00B03B51" w:rsidRDefault="00994F93" w:rsidP="001C4B02">
            <w:pPr>
              <w:pStyle w:val="TableParagraph"/>
              <w:jc w:val="both"/>
              <w:rPr>
                <w:rFonts w:ascii="Times New Roman" w:hAnsi="Times New Roman" w:cs="Times New Roman"/>
                <w:noProof/>
                <w:sz w:val="24"/>
              </w:rPr>
            </w:pPr>
            <w:r w:rsidRPr="00B03B51">
              <w:rPr>
                <w:rFonts w:ascii="Times New Roman" w:hAnsi="Times New Roman" w:cs="Times New Roman"/>
                <w:sz w:val="24"/>
              </w:rPr>
              <w:t>EKS 2010, 20.303. punkts</w:t>
            </w:r>
          </w:p>
        </w:tc>
      </w:tr>
      <w:tr w:rsidR="00994F93" w:rsidRPr="00B03B51" w14:paraId="31F4FE02" w14:textId="77777777" w:rsidTr="005B2A11">
        <w:tc>
          <w:tcPr>
            <w:tcW w:w="2423" w:type="pct"/>
            <w:tcBorders>
              <w:top w:val="nil"/>
              <w:left w:val="nil"/>
              <w:bottom w:val="nil"/>
              <w:right w:val="nil"/>
            </w:tcBorders>
          </w:tcPr>
          <w:p w14:paraId="273FD943" w14:textId="77777777" w:rsidR="00994F93" w:rsidRPr="00B03B51" w:rsidRDefault="00994F93" w:rsidP="001C4B02">
            <w:pPr>
              <w:pStyle w:val="TableParagraph"/>
              <w:jc w:val="both"/>
              <w:rPr>
                <w:rFonts w:ascii="Times New Roman" w:hAnsi="Times New Roman" w:cs="Times New Roman"/>
                <w:noProof/>
                <w:sz w:val="24"/>
              </w:rPr>
            </w:pPr>
            <w:r w:rsidRPr="00B03B51">
              <w:rPr>
                <w:rFonts w:ascii="Times New Roman" w:hAnsi="Times New Roman" w:cs="Times New Roman"/>
                <w:sz w:val="24"/>
              </w:rPr>
              <w:t>Kvazisabiedrība</w:t>
            </w:r>
          </w:p>
        </w:tc>
        <w:tc>
          <w:tcPr>
            <w:tcW w:w="2577" w:type="pct"/>
            <w:tcBorders>
              <w:top w:val="nil"/>
              <w:left w:val="nil"/>
              <w:bottom w:val="nil"/>
              <w:right w:val="nil"/>
            </w:tcBorders>
          </w:tcPr>
          <w:p w14:paraId="577EAE63" w14:textId="77777777" w:rsidR="00994F93" w:rsidRPr="00B03B51" w:rsidRDefault="00994F93" w:rsidP="001C4B02">
            <w:pPr>
              <w:pStyle w:val="TableParagraph"/>
              <w:jc w:val="both"/>
              <w:rPr>
                <w:rFonts w:ascii="Times New Roman" w:hAnsi="Times New Roman" w:cs="Times New Roman"/>
                <w:noProof/>
                <w:sz w:val="24"/>
              </w:rPr>
            </w:pPr>
            <w:r w:rsidRPr="00B03B51">
              <w:rPr>
                <w:rFonts w:ascii="Times New Roman" w:hAnsi="Times New Roman" w:cs="Times New Roman"/>
                <w:sz w:val="24"/>
              </w:rPr>
              <w:t>EKS 2010, 2.13. punkta f) apakšpunkts</w:t>
            </w:r>
          </w:p>
        </w:tc>
      </w:tr>
      <w:tr w:rsidR="00994F93" w:rsidRPr="00B03B51" w14:paraId="5D91DA1E" w14:textId="77777777" w:rsidTr="005B2A11">
        <w:tc>
          <w:tcPr>
            <w:tcW w:w="2423" w:type="pct"/>
            <w:tcBorders>
              <w:top w:val="nil"/>
              <w:left w:val="nil"/>
              <w:bottom w:val="nil"/>
              <w:right w:val="nil"/>
            </w:tcBorders>
          </w:tcPr>
          <w:p w14:paraId="1EC157BD" w14:textId="77777777" w:rsidR="00994F93" w:rsidRPr="00B03B51" w:rsidRDefault="00994F93" w:rsidP="001C4B02">
            <w:pPr>
              <w:pStyle w:val="TableParagraph"/>
              <w:jc w:val="both"/>
              <w:rPr>
                <w:rFonts w:ascii="Times New Roman" w:hAnsi="Times New Roman" w:cs="Times New Roman"/>
                <w:noProof/>
                <w:sz w:val="24"/>
              </w:rPr>
            </w:pPr>
            <w:r w:rsidRPr="00B03B51">
              <w:rPr>
                <w:rFonts w:ascii="Times New Roman" w:hAnsi="Times New Roman" w:cs="Times New Roman"/>
                <w:sz w:val="24"/>
              </w:rPr>
              <w:t>Pārkārtoti darījumi</w:t>
            </w:r>
          </w:p>
        </w:tc>
        <w:tc>
          <w:tcPr>
            <w:tcW w:w="2577" w:type="pct"/>
            <w:tcBorders>
              <w:top w:val="nil"/>
              <w:left w:val="nil"/>
              <w:bottom w:val="nil"/>
              <w:right w:val="nil"/>
            </w:tcBorders>
          </w:tcPr>
          <w:p w14:paraId="7A4FAC4C" w14:textId="77777777" w:rsidR="00994F93" w:rsidRPr="00B03B51" w:rsidRDefault="00994F93" w:rsidP="001C4B02">
            <w:pPr>
              <w:pStyle w:val="TableParagraph"/>
              <w:jc w:val="both"/>
              <w:rPr>
                <w:rFonts w:ascii="Times New Roman" w:hAnsi="Times New Roman" w:cs="Times New Roman"/>
                <w:noProof/>
                <w:sz w:val="24"/>
              </w:rPr>
            </w:pPr>
            <w:r w:rsidRPr="00B03B51">
              <w:rPr>
                <w:rFonts w:ascii="Times New Roman" w:hAnsi="Times New Roman" w:cs="Times New Roman"/>
                <w:sz w:val="24"/>
              </w:rPr>
              <w:t>EKS 2010, 1.75.–1.78. punkts</w:t>
            </w:r>
          </w:p>
        </w:tc>
      </w:tr>
      <w:tr w:rsidR="00994F93" w:rsidRPr="00B03B51" w14:paraId="4CEFB525" w14:textId="77777777" w:rsidTr="005B2A11">
        <w:tc>
          <w:tcPr>
            <w:tcW w:w="2423" w:type="pct"/>
            <w:tcBorders>
              <w:top w:val="nil"/>
              <w:left w:val="nil"/>
              <w:bottom w:val="nil"/>
              <w:right w:val="nil"/>
            </w:tcBorders>
          </w:tcPr>
          <w:p w14:paraId="3F698A23" w14:textId="77777777" w:rsidR="00994F93" w:rsidRPr="00B03B51" w:rsidRDefault="00994F93" w:rsidP="001C4B02">
            <w:pPr>
              <w:pStyle w:val="TableParagraph"/>
              <w:jc w:val="both"/>
              <w:rPr>
                <w:rFonts w:ascii="Times New Roman" w:hAnsi="Times New Roman" w:cs="Times New Roman"/>
                <w:noProof/>
                <w:sz w:val="24"/>
              </w:rPr>
            </w:pPr>
            <w:r w:rsidRPr="00B03B51">
              <w:rPr>
                <w:rFonts w:ascii="Times New Roman" w:hAnsi="Times New Roman" w:cs="Times New Roman"/>
                <w:sz w:val="24"/>
              </w:rPr>
              <w:t>Sociālā palīdzība</w:t>
            </w:r>
          </w:p>
        </w:tc>
        <w:tc>
          <w:tcPr>
            <w:tcW w:w="2577" w:type="pct"/>
            <w:tcBorders>
              <w:top w:val="nil"/>
              <w:left w:val="nil"/>
              <w:bottom w:val="nil"/>
              <w:right w:val="nil"/>
            </w:tcBorders>
          </w:tcPr>
          <w:p w14:paraId="4EE5475E" w14:textId="77777777" w:rsidR="00994F93" w:rsidRPr="00B03B51" w:rsidRDefault="00994F93" w:rsidP="001C4B02">
            <w:pPr>
              <w:pStyle w:val="TableParagraph"/>
              <w:jc w:val="both"/>
              <w:rPr>
                <w:rFonts w:ascii="Times New Roman" w:hAnsi="Times New Roman" w:cs="Times New Roman"/>
                <w:noProof/>
                <w:sz w:val="24"/>
              </w:rPr>
            </w:pPr>
            <w:r w:rsidRPr="00B03B51">
              <w:rPr>
                <w:rFonts w:ascii="Times New Roman" w:hAnsi="Times New Roman" w:cs="Times New Roman"/>
                <w:sz w:val="24"/>
              </w:rPr>
              <w:t>EKS 2010, 4.105. punkts</w:t>
            </w:r>
          </w:p>
        </w:tc>
      </w:tr>
      <w:tr w:rsidR="00994F93" w:rsidRPr="00B03B51" w14:paraId="1A381ABA" w14:textId="77777777" w:rsidTr="005B2A11">
        <w:tc>
          <w:tcPr>
            <w:tcW w:w="2423" w:type="pct"/>
            <w:tcBorders>
              <w:top w:val="nil"/>
              <w:left w:val="nil"/>
              <w:bottom w:val="nil"/>
              <w:right w:val="nil"/>
            </w:tcBorders>
          </w:tcPr>
          <w:p w14:paraId="230517AC" w14:textId="77777777" w:rsidR="00994F93" w:rsidRPr="00B03B51" w:rsidRDefault="00994F93" w:rsidP="001C4B02">
            <w:pPr>
              <w:pStyle w:val="TableParagraph"/>
              <w:jc w:val="both"/>
              <w:rPr>
                <w:rFonts w:ascii="Times New Roman" w:hAnsi="Times New Roman" w:cs="Times New Roman"/>
                <w:noProof/>
                <w:sz w:val="24"/>
              </w:rPr>
            </w:pPr>
            <w:r w:rsidRPr="00B03B51">
              <w:rPr>
                <w:rFonts w:ascii="Times New Roman" w:hAnsi="Times New Roman" w:cs="Times New Roman"/>
                <w:sz w:val="24"/>
              </w:rPr>
              <w:t>Sociālās apdrošināšanas shēma</w:t>
            </w:r>
          </w:p>
        </w:tc>
        <w:tc>
          <w:tcPr>
            <w:tcW w:w="2577" w:type="pct"/>
            <w:tcBorders>
              <w:top w:val="nil"/>
              <w:left w:val="nil"/>
              <w:bottom w:val="nil"/>
              <w:right w:val="nil"/>
            </w:tcBorders>
          </w:tcPr>
          <w:p w14:paraId="1569E30D" w14:textId="77777777" w:rsidR="00994F93" w:rsidRPr="00B03B51" w:rsidRDefault="00994F93" w:rsidP="001C4B02">
            <w:pPr>
              <w:pStyle w:val="TableParagraph"/>
              <w:jc w:val="both"/>
              <w:rPr>
                <w:rFonts w:ascii="Times New Roman" w:hAnsi="Times New Roman" w:cs="Times New Roman"/>
                <w:noProof/>
                <w:sz w:val="24"/>
              </w:rPr>
            </w:pPr>
            <w:r w:rsidRPr="00B03B51">
              <w:rPr>
                <w:rFonts w:ascii="Times New Roman" w:hAnsi="Times New Roman" w:cs="Times New Roman"/>
                <w:sz w:val="24"/>
              </w:rPr>
              <w:t>EKS 2010, 4.88.–4.90. punkts</w:t>
            </w:r>
          </w:p>
        </w:tc>
      </w:tr>
      <w:tr w:rsidR="00994F93" w:rsidRPr="00B03B51" w14:paraId="38484EE8" w14:textId="77777777" w:rsidTr="005B2A11">
        <w:tc>
          <w:tcPr>
            <w:tcW w:w="2423" w:type="pct"/>
            <w:tcBorders>
              <w:top w:val="nil"/>
              <w:left w:val="nil"/>
              <w:bottom w:val="nil"/>
              <w:right w:val="nil"/>
            </w:tcBorders>
          </w:tcPr>
          <w:p w14:paraId="75662377" w14:textId="2AFB5E78" w:rsidR="00994F93" w:rsidRPr="00B03B51" w:rsidRDefault="00994F93" w:rsidP="001C4B02">
            <w:pPr>
              <w:pStyle w:val="TableParagraph"/>
              <w:jc w:val="both"/>
              <w:rPr>
                <w:rFonts w:ascii="Times New Roman" w:hAnsi="Times New Roman" w:cs="Times New Roman"/>
                <w:noProof/>
                <w:sz w:val="24"/>
              </w:rPr>
            </w:pPr>
            <w:r w:rsidRPr="00B03B51">
              <w:rPr>
                <w:rFonts w:ascii="Times New Roman" w:hAnsi="Times New Roman" w:cs="Times New Roman"/>
                <w:sz w:val="24"/>
              </w:rPr>
              <w:t>Sociālā nodrošinā</w:t>
            </w:r>
            <w:r w:rsidR="005C3D38" w:rsidRPr="00B03B51">
              <w:rPr>
                <w:rFonts w:ascii="Times New Roman" w:hAnsi="Times New Roman" w:cs="Times New Roman"/>
                <w:sz w:val="24"/>
              </w:rPr>
              <w:t>juma</w:t>
            </w:r>
            <w:r w:rsidRPr="00B03B51">
              <w:rPr>
                <w:rFonts w:ascii="Times New Roman" w:hAnsi="Times New Roman" w:cs="Times New Roman"/>
                <w:sz w:val="24"/>
              </w:rPr>
              <w:t xml:space="preserve"> fonds</w:t>
            </w:r>
          </w:p>
        </w:tc>
        <w:tc>
          <w:tcPr>
            <w:tcW w:w="2577" w:type="pct"/>
            <w:tcBorders>
              <w:top w:val="nil"/>
              <w:left w:val="nil"/>
              <w:bottom w:val="nil"/>
              <w:right w:val="nil"/>
            </w:tcBorders>
          </w:tcPr>
          <w:p w14:paraId="6A6B7A86" w14:textId="77777777" w:rsidR="00994F93" w:rsidRPr="00B03B51" w:rsidRDefault="00994F93" w:rsidP="001C4B02">
            <w:pPr>
              <w:pStyle w:val="TableParagraph"/>
              <w:jc w:val="both"/>
              <w:rPr>
                <w:rFonts w:ascii="Times New Roman" w:hAnsi="Times New Roman" w:cs="Times New Roman"/>
                <w:noProof/>
                <w:sz w:val="24"/>
              </w:rPr>
            </w:pPr>
            <w:r w:rsidRPr="00B03B51">
              <w:rPr>
                <w:rFonts w:ascii="Times New Roman" w:hAnsi="Times New Roman" w:cs="Times New Roman"/>
                <w:sz w:val="24"/>
              </w:rPr>
              <w:t>EKS 2010, 2.117. punkts</w:t>
            </w:r>
          </w:p>
        </w:tc>
      </w:tr>
      <w:tr w:rsidR="00994F93" w:rsidRPr="00B03B51" w14:paraId="44D98D21" w14:textId="77777777" w:rsidTr="005B2A11">
        <w:tc>
          <w:tcPr>
            <w:tcW w:w="2423" w:type="pct"/>
            <w:tcBorders>
              <w:top w:val="nil"/>
              <w:left w:val="nil"/>
              <w:bottom w:val="nil"/>
              <w:right w:val="nil"/>
            </w:tcBorders>
          </w:tcPr>
          <w:p w14:paraId="4907E728" w14:textId="34B4DCFB" w:rsidR="00994F93" w:rsidRPr="00B03B51" w:rsidRDefault="00994F93" w:rsidP="001C4B02">
            <w:pPr>
              <w:pStyle w:val="TableParagraph"/>
              <w:jc w:val="both"/>
              <w:rPr>
                <w:rFonts w:ascii="Times New Roman" w:hAnsi="Times New Roman" w:cs="Times New Roman"/>
                <w:noProof/>
                <w:sz w:val="24"/>
              </w:rPr>
            </w:pPr>
            <w:r w:rsidRPr="00B03B51">
              <w:rPr>
                <w:rFonts w:ascii="Times New Roman" w:hAnsi="Times New Roman" w:cs="Times New Roman"/>
                <w:sz w:val="24"/>
              </w:rPr>
              <w:t>Sociālā nodrošinā</w:t>
            </w:r>
            <w:r w:rsidR="005C3D38" w:rsidRPr="00B03B51">
              <w:rPr>
                <w:rFonts w:ascii="Times New Roman" w:hAnsi="Times New Roman" w:cs="Times New Roman"/>
                <w:sz w:val="24"/>
              </w:rPr>
              <w:t>juma</w:t>
            </w:r>
            <w:r w:rsidRPr="00B03B51">
              <w:rPr>
                <w:rFonts w:ascii="Times New Roman" w:hAnsi="Times New Roman" w:cs="Times New Roman"/>
                <w:sz w:val="24"/>
              </w:rPr>
              <w:t xml:space="preserve"> shēmas</w:t>
            </w:r>
          </w:p>
        </w:tc>
        <w:tc>
          <w:tcPr>
            <w:tcW w:w="2577" w:type="pct"/>
            <w:tcBorders>
              <w:top w:val="nil"/>
              <w:left w:val="nil"/>
              <w:bottom w:val="nil"/>
              <w:right w:val="nil"/>
            </w:tcBorders>
          </w:tcPr>
          <w:p w14:paraId="4F3BD14E" w14:textId="77777777" w:rsidR="00994F93" w:rsidRPr="00B03B51" w:rsidRDefault="00994F93" w:rsidP="001C4B02">
            <w:pPr>
              <w:pStyle w:val="TableParagraph"/>
              <w:jc w:val="both"/>
              <w:rPr>
                <w:rFonts w:ascii="Times New Roman" w:hAnsi="Times New Roman" w:cs="Times New Roman"/>
                <w:noProof/>
                <w:sz w:val="24"/>
              </w:rPr>
            </w:pPr>
            <w:r w:rsidRPr="00B03B51">
              <w:rPr>
                <w:rFonts w:ascii="Times New Roman" w:hAnsi="Times New Roman" w:cs="Times New Roman"/>
                <w:sz w:val="24"/>
              </w:rPr>
              <w:t>EKS 2010, 4.88. punkts</w:t>
            </w:r>
          </w:p>
        </w:tc>
      </w:tr>
      <w:tr w:rsidR="00994F93" w:rsidRPr="00B03B51" w14:paraId="2FF682E4" w14:textId="77777777" w:rsidTr="005B2A11">
        <w:tc>
          <w:tcPr>
            <w:tcW w:w="2423" w:type="pct"/>
            <w:tcBorders>
              <w:top w:val="nil"/>
              <w:left w:val="nil"/>
              <w:bottom w:val="nil"/>
              <w:right w:val="nil"/>
            </w:tcBorders>
          </w:tcPr>
          <w:p w14:paraId="69080520" w14:textId="77777777" w:rsidR="00994F93" w:rsidRPr="00B03B51" w:rsidRDefault="00994F93" w:rsidP="001C4B02">
            <w:pPr>
              <w:pStyle w:val="TableParagraph"/>
              <w:jc w:val="both"/>
              <w:rPr>
                <w:rFonts w:ascii="Times New Roman" w:hAnsi="Times New Roman" w:cs="Times New Roman"/>
                <w:noProof/>
                <w:sz w:val="24"/>
              </w:rPr>
            </w:pPr>
            <w:r w:rsidRPr="00B03B51">
              <w:rPr>
                <w:rFonts w:ascii="Times New Roman" w:hAnsi="Times New Roman" w:cs="Times New Roman"/>
                <w:sz w:val="24"/>
              </w:rPr>
              <w:t>Īpašam nolūkam dibinātas valdības vienības</w:t>
            </w:r>
          </w:p>
        </w:tc>
        <w:tc>
          <w:tcPr>
            <w:tcW w:w="2577" w:type="pct"/>
            <w:tcBorders>
              <w:top w:val="nil"/>
              <w:left w:val="nil"/>
              <w:bottom w:val="nil"/>
              <w:right w:val="nil"/>
            </w:tcBorders>
          </w:tcPr>
          <w:p w14:paraId="73B98A2B" w14:textId="77777777" w:rsidR="00994F93" w:rsidRPr="00B03B51" w:rsidRDefault="00994F93" w:rsidP="001C4B02">
            <w:pPr>
              <w:pStyle w:val="TableParagraph"/>
              <w:jc w:val="both"/>
              <w:rPr>
                <w:rFonts w:ascii="Times New Roman" w:hAnsi="Times New Roman" w:cs="Times New Roman"/>
                <w:noProof/>
                <w:sz w:val="24"/>
              </w:rPr>
            </w:pPr>
            <w:r w:rsidRPr="00B03B51">
              <w:rPr>
                <w:rFonts w:ascii="Times New Roman" w:hAnsi="Times New Roman" w:cs="Times New Roman"/>
                <w:sz w:val="24"/>
              </w:rPr>
              <w:t>EKS 2010, 2.27.–2.29. punkts</w:t>
            </w:r>
          </w:p>
        </w:tc>
      </w:tr>
    </w:tbl>
    <w:p w14:paraId="18D7C920" w14:textId="77777777" w:rsidR="00994F93" w:rsidRPr="00B03B51" w:rsidRDefault="00994F93" w:rsidP="00994F93">
      <w:pPr>
        <w:rPr>
          <w:rFonts w:ascii="Times New Roman" w:eastAsia="Arial" w:hAnsi="Times New Roman" w:cs="Times New Roman"/>
          <w:b/>
          <w:bCs/>
          <w:noProof/>
          <w:sz w:val="24"/>
          <w:szCs w:val="20"/>
        </w:rPr>
      </w:pPr>
      <w:r w:rsidRPr="00B03B51">
        <w:rPr>
          <w:rFonts w:ascii="Times New Roman" w:hAnsi="Times New Roman" w:cs="Times New Roman"/>
        </w:rPr>
        <w:br w:type="page"/>
      </w:r>
    </w:p>
    <w:p w14:paraId="294B92CA" w14:textId="77777777" w:rsidR="00994F93" w:rsidRPr="00B03B51" w:rsidRDefault="00994F93" w:rsidP="00994F93">
      <w:pPr>
        <w:jc w:val="both"/>
        <w:rPr>
          <w:rFonts w:ascii="Times New Roman" w:eastAsia="Arial" w:hAnsi="Times New Roman" w:cs="Times New Roman"/>
          <w:b/>
          <w:bCs/>
          <w:noProof/>
          <w:sz w:val="24"/>
          <w:szCs w:val="20"/>
        </w:rPr>
      </w:pPr>
    </w:p>
    <w:p w14:paraId="534B11C5" w14:textId="77777777" w:rsidR="00994F93" w:rsidRPr="00B03B51" w:rsidRDefault="00994F93" w:rsidP="00994F93">
      <w:pPr>
        <w:pStyle w:val="Heading1"/>
        <w:ind w:left="0"/>
        <w:jc w:val="both"/>
        <w:rPr>
          <w:rFonts w:ascii="Times New Roman" w:hAnsi="Times New Roman" w:cs="Times New Roman"/>
          <w:b w:val="0"/>
          <w:bCs w:val="0"/>
          <w:noProof/>
          <w:sz w:val="28"/>
          <w:szCs w:val="72"/>
        </w:rPr>
      </w:pPr>
      <w:bookmarkStart w:id="98" w:name="2._Time_of_recording"/>
      <w:bookmarkStart w:id="99" w:name="_bookmark11"/>
      <w:bookmarkStart w:id="100" w:name="_Toc67565053"/>
      <w:bookmarkEnd w:id="98"/>
      <w:bookmarkEnd w:id="99"/>
      <w:r w:rsidRPr="00B03B51">
        <w:rPr>
          <w:rFonts w:ascii="Times New Roman" w:hAnsi="Times New Roman" w:cs="Times New Roman"/>
          <w:sz w:val="28"/>
          <w:szCs w:val="72"/>
        </w:rPr>
        <w:t>2. Ierakstīšanas laiks</w:t>
      </w:r>
      <w:bookmarkEnd w:id="100"/>
    </w:p>
    <w:p w14:paraId="01F589DD" w14:textId="77777777" w:rsidR="00994F93" w:rsidRPr="00B03B51" w:rsidRDefault="00994F93" w:rsidP="00994F93">
      <w:pPr>
        <w:jc w:val="both"/>
        <w:rPr>
          <w:rFonts w:ascii="Times New Roman" w:eastAsia="Arial" w:hAnsi="Times New Roman" w:cs="Times New Roman"/>
          <w:b/>
          <w:bCs/>
          <w:noProof/>
          <w:sz w:val="24"/>
        </w:rPr>
      </w:pPr>
    </w:p>
    <w:p w14:paraId="43B687DA" w14:textId="77777777" w:rsidR="00994F93" w:rsidRPr="00B03B51" w:rsidRDefault="00994F93" w:rsidP="00994F93">
      <w:pPr>
        <w:pStyle w:val="Heading2"/>
        <w:tabs>
          <w:tab w:val="left" w:pos="2422"/>
        </w:tabs>
        <w:spacing w:before="0"/>
        <w:ind w:left="0" w:firstLine="0"/>
        <w:jc w:val="both"/>
        <w:rPr>
          <w:rFonts w:ascii="Times New Roman" w:hAnsi="Times New Roman" w:cs="Times New Roman"/>
          <w:noProof/>
          <w:sz w:val="28"/>
          <w:szCs w:val="44"/>
        </w:rPr>
      </w:pPr>
      <w:bookmarkStart w:id="101" w:name="_Toc67565054"/>
      <w:r w:rsidRPr="00B03B51">
        <w:rPr>
          <w:rFonts w:ascii="Times New Roman" w:hAnsi="Times New Roman" w:cs="Times New Roman"/>
          <w:sz w:val="28"/>
          <w:szCs w:val="44"/>
        </w:rPr>
        <w:t>2.1. Pārskats</w:t>
      </w:r>
      <w:bookmarkEnd w:id="101"/>
    </w:p>
    <w:p w14:paraId="4C868240" w14:textId="77777777" w:rsidR="00994F93" w:rsidRPr="00B03B51" w:rsidRDefault="00994F93" w:rsidP="00994F93">
      <w:pPr>
        <w:pStyle w:val="BodyText"/>
        <w:tabs>
          <w:tab w:val="left" w:pos="1986"/>
        </w:tabs>
        <w:spacing w:before="0"/>
        <w:ind w:left="0" w:firstLine="0"/>
        <w:jc w:val="both"/>
        <w:rPr>
          <w:rFonts w:ascii="Times New Roman" w:hAnsi="Times New Roman" w:cs="Times New Roman"/>
          <w:noProof/>
          <w:sz w:val="24"/>
        </w:rPr>
      </w:pPr>
    </w:p>
    <w:p w14:paraId="5F3FA9BD" w14:textId="77777777" w:rsidR="00994F93" w:rsidRPr="00B03B51" w:rsidRDefault="00994F93" w:rsidP="00994F93">
      <w:pPr>
        <w:pStyle w:val="BodyText"/>
        <w:tabs>
          <w:tab w:val="left" w:pos="1986"/>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 Saskaņā ar EKS 2010 1.101. punktu plūsmas ieraksta pēc uzkrāšanas principa, tas ir, kad ekonomiskās vērtības tiek radītas, pārveidotas vai iznīcinātas vai kad prasības un saistības rodas, tiek pārveidotas vai dzēstas. Līdz ar to produkcija tiek ierakstīta, kad tā tiek saražota, nevis kad pircējs norēķinās par preci vai pakalpojumu. Aktīvu pārdošana tiek ierakstīta, kad mainās aktīvu ekonomiskā piederība, nevis kad tiek veikts attiecīgais maksājums. Procentus ieraksta tajā uzskaites periodā, kurā tie uzkrājas, neatkarīgi no tā, vai tie ir faktiski samaksāti konkrētajā periodā. Ierakstīšanu atbilstoši uzkrāšanas principam piemēro attiecībā uz vairumu monetāro un nemonetāro plūsmu gan vienības iekšienē, gan starp vienībām.</w:t>
      </w:r>
    </w:p>
    <w:p w14:paraId="285FA55B" w14:textId="77777777" w:rsidR="00994F93" w:rsidRPr="00B03B51" w:rsidRDefault="00994F93" w:rsidP="00994F93">
      <w:pPr>
        <w:pStyle w:val="BodyText"/>
        <w:tabs>
          <w:tab w:val="left" w:pos="1986"/>
        </w:tabs>
        <w:spacing w:before="0"/>
        <w:ind w:left="0" w:firstLine="0"/>
        <w:jc w:val="both"/>
        <w:rPr>
          <w:rFonts w:ascii="Times New Roman" w:hAnsi="Times New Roman" w:cs="Times New Roman"/>
          <w:noProof/>
          <w:sz w:val="24"/>
        </w:rPr>
      </w:pPr>
    </w:p>
    <w:p w14:paraId="78576AE6" w14:textId="77777777" w:rsidR="00994F93" w:rsidRPr="00B03B51" w:rsidRDefault="00994F93" w:rsidP="00994F93">
      <w:pPr>
        <w:pStyle w:val="BodyText"/>
        <w:tabs>
          <w:tab w:val="left" w:pos="1986"/>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2. Darījumu ierakstīšanas laiks ietekmē valdības neto aizdevumu/aizņēmumu (B.9). Tomēr ilgākā laika posmā atšķirība starp ierakstīšanu atbilstoši uzkrāšanas principam un naudas plūsmas ierakstīšanu izzūd, jo, ierakstīšanu veicot atbilstīgi uzkrāšanas principam, naudas darījumi tiek vienkārši pārnesti uz citu laika posmu. Finanšu instrumenta kategoriju “Citas debitoru/kreditoru saistības” (AF.8) izmanto, lai sasaistītu laika starpību starp darījumiem un tiem atbilstošo agrāk vai vēlāk notikušo naudas plūsmu. AF.8 ierakstīšana neietekmē valdības parādu</w:t>
      </w:r>
      <w:r w:rsidRPr="00B03B51">
        <w:rPr>
          <w:rStyle w:val="FootnoteReference"/>
          <w:rFonts w:ascii="Times New Roman" w:hAnsi="Times New Roman" w:cs="Times New Roman"/>
          <w:noProof/>
          <w:sz w:val="24"/>
        </w:rPr>
        <w:footnoteReference w:id="114"/>
      </w:r>
      <w:r w:rsidRPr="00B03B51">
        <w:rPr>
          <w:rFonts w:ascii="Times New Roman" w:hAnsi="Times New Roman" w:cs="Times New Roman"/>
          <w:sz w:val="24"/>
        </w:rPr>
        <w:t>, jo kreditoru saistības (kategorija, kas nosaka atšķirību starp uzkrājumu un skaidru naudu) netiek iekļautas šajā definīcijā.</w:t>
      </w:r>
    </w:p>
    <w:p w14:paraId="4CACE766" w14:textId="77777777" w:rsidR="00994F93" w:rsidRPr="00B03B51" w:rsidRDefault="00994F93" w:rsidP="00994F93">
      <w:pPr>
        <w:pStyle w:val="BodyText"/>
        <w:tabs>
          <w:tab w:val="left" w:pos="1986"/>
        </w:tabs>
        <w:spacing w:before="0"/>
        <w:ind w:left="0" w:firstLine="0"/>
        <w:jc w:val="both"/>
        <w:rPr>
          <w:rFonts w:ascii="Times New Roman" w:hAnsi="Times New Roman" w:cs="Times New Roman"/>
          <w:noProof/>
          <w:sz w:val="24"/>
        </w:rPr>
      </w:pPr>
    </w:p>
    <w:p w14:paraId="203618FC" w14:textId="77777777" w:rsidR="00994F93" w:rsidRPr="00B03B51" w:rsidRDefault="00994F93" w:rsidP="00994F93">
      <w:pPr>
        <w:pStyle w:val="BodyText"/>
        <w:tabs>
          <w:tab w:val="left" w:pos="1986"/>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3. Tomēr dažos gadījumos attiecībā uz ierakstīšanas laiku jāpiemēro elastība. Attiecībā uz nodokļu un sociālo iemaksu ierakstīšanu tiek piemērots viens rūpīgi apsvērts vispārīgā principa pielāgojums. Tā kā šāda veida valdības ieņēmumi bieži vien tiek ierakstīti, pamatojoties uz naudas plūsmu publiskajos kontos un pamatavota informāciju, tie ir jāpārveido atbilstīgi uzkrāšanas principam. Īpaši noteikumi attiecībā uz nodokļiem un sociālajām iemaksām tika izstrādāti tā, lai vispārējās valdības (un partnersektoru) neto aizdevumā/aizņēmumā (B.9) netiktu iekļautas tās nodokļu un sociālo iemaksu summas, kas visticamāk netiks iekasētas. Rokasgrāmatas 2.2.2. iedaļā ir pieejami un aprakstīti divi ierakstīšanas risinājumi, kuri ļauj izvairīties no to valdības ieņēmumu summu ierakstīšanas, kuras nekad netiks iekasētas.</w:t>
      </w:r>
    </w:p>
    <w:p w14:paraId="566948B9" w14:textId="77777777" w:rsidR="00994F93" w:rsidRPr="00B03B51" w:rsidRDefault="00994F93" w:rsidP="00994F93">
      <w:pPr>
        <w:pStyle w:val="BodyText"/>
        <w:tabs>
          <w:tab w:val="left" w:pos="1986"/>
        </w:tabs>
        <w:spacing w:before="0"/>
        <w:ind w:left="0" w:firstLine="0"/>
        <w:jc w:val="both"/>
        <w:rPr>
          <w:rFonts w:ascii="Times New Roman" w:hAnsi="Times New Roman" w:cs="Times New Roman"/>
          <w:noProof/>
          <w:sz w:val="24"/>
        </w:rPr>
      </w:pPr>
    </w:p>
    <w:p w14:paraId="2017BE7F" w14:textId="77777777" w:rsidR="00994F93" w:rsidRPr="00B03B51" w:rsidRDefault="00994F93" w:rsidP="00994F93">
      <w:pPr>
        <w:pStyle w:val="BodyText"/>
        <w:tabs>
          <w:tab w:val="left" w:pos="1986"/>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4. Nosakot pareizu ierakstīšanas laiku saskaņā ar uzkrāšanas principu, ir jāņem vērā ekonomiskie notikumi, kā arī dažos gadījumos juridiskie un administratīvie notikumi. Piemēram, ekonomiska darbība var radīt pienākumu samaksāt nodokļus, taču nodokļa summu var noteikt tikai pēc kāda laika kopš ekonomiskās darbības veikšanas brīža, tiklīdz kādā nākotnes datumā ir nosūtīts konkrēts dokuments, kurā prasīts veikt maksājumu. EKS 2010 4.82. punktā norādīts, ka attiecībā uz dažām ekonomiskām darbībām, darījumiem vai notikumiem “ierakstāmās summas nosaka, pamatojoties tikai uz tādām maksājamām summām, ko apstiprina nodokļu aprēķini, deklarācijas vai citi instrumenti, kuri nodokļu maksātājam rada saistības kā nepārprotamu pienākumu veikt maksājumu”.</w:t>
      </w:r>
    </w:p>
    <w:p w14:paraId="49F3C715" w14:textId="77777777" w:rsidR="00994F93" w:rsidRPr="00B03B51" w:rsidRDefault="00994F93" w:rsidP="00994F93">
      <w:pPr>
        <w:pStyle w:val="BodyText"/>
        <w:tabs>
          <w:tab w:val="left" w:pos="1986"/>
        </w:tabs>
        <w:spacing w:before="0"/>
        <w:ind w:left="0" w:firstLine="0"/>
        <w:jc w:val="both"/>
        <w:rPr>
          <w:rFonts w:ascii="Times New Roman" w:hAnsi="Times New Roman" w:cs="Times New Roman"/>
          <w:noProof/>
          <w:sz w:val="24"/>
        </w:rPr>
      </w:pPr>
    </w:p>
    <w:p w14:paraId="28294C45" w14:textId="77777777" w:rsidR="00994F93" w:rsidRPr="00B03B51" w:rsidRDefault="00994F93" w:rsidP="00994F93">
      <w:pPr>
        <w:pStyle w:val="BodyText"/>
        <w:tabs>
          <w:tab w:val="left" w:pos="1986"/>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5. Laiks, kad tiek radītas nodokļu saistības, dažādiem nodokļu veidiem var atšķirties. Nacionālo kontu speciālistiem jālemj par to, kurā brīdī ierakstīt nodokļus un sociālās iemaksas, un viņiem pilnīgi jāņem vērā tas, ka daži maksājumi praksē nekad netiks iekasēti.</w:t>
      </w:r>
    </w:p>
    <w:p w14:paraId="535FAC29" w14:textId="77777777" w:rsidR="00994F93" w:rsidRPr="00B03B51" w:rsidRDefault="00994F93" w:rsidP="00994F93">
      <w:pPr>
        <w:rPr>
          <w:rFonts w:ascii="Times New Roman" w:eastAsia="Arial" w:hAnsi="Times New Roman" w:cs="Times New Roman"/>
          <w:noProof/>
          <w:sz w:val="24"/>
          <w:szCs w:val="20"/>
        </w:rPr>
      </w:pPr>
      <w:r w:rsidRPr="00B03B51">
        <w:rPr>
          <w:rFonts w:ascii="Times New Roman" w:hAnsi="Times New Roman" w:cs="Times New Roman"/>
        </w:rPr>
        <w:br w:type="page"/>
      </w:r>
    </w:p>
    <w:p w14:paraId="185C8A79" w14:textId="77777777" w:rsidR="00994F93" w:rsidRPr="00B03B51" w:rsidRDefault="00994F93" w:rsidP="00994F93">
      <w:pPr>
        <w:jc w:val="both"/>
        <w:rPr>
          <w:rFonts w:ascii="Times New Roman" w:eastAsia="Arial" w:hAnsi="Times New Roman" w:cs="Times New Roman"/>
          <w:noProof/>
          <w:sz w:val="24"/>
          <w:szCs w:val="20"/>
        </w:rPr>
      </w:pPr>
    </w:p>
    <w:p w14:paraId="3138F4D0" w14:textId="77777777" w:rsidR="00994F93" w:rsidRPr="00B03B51" w:rsidRDefault="00994F93" w:rsidP="00994F93">
      <w:pPr>
        <w:pStyle w:val="Heading2"/>
        <w:tabs>
          <w:tab w:val="left" w:pos="1267"/>
        </w:tabs>
        <w:spacing w:before="0"/>
        <w:ind w:left="0" w:firstLine="0"/>
        <w:jc w:val="both"/>
        <w:rPr>
          <w:rFonts w:ascii="Times New Roman" w:hAnsi="Times New Roman" w:cs="Times New Roman"/>
          <w:noProof/>
          <w:sz w:val="28"/>
          <w:szCs w:val="44"/>
        </w:rPr>
      </w:pPr>
      <w:bookmarkStart w:id="102" w:name="2.2_Recording_of_taxes_and_social_contri"/>
      <w:bookmarkStart w:id="103" w:name="_bookmark13"/>
      <w:bookmarkStart w:id="104" w:name="_Toc67565055"/>
      <w:bookmarkEnd w:id="102"/>
      <w:bookmarkEnd w:id="103"/>
      <w:r w:rsidRPr="00B03B51">
        <w:rPr>
          <w:rFonts w:ascii="Times New Roman" w:hAnsi="Times New Roman" w:cs="Times New Roman"/>
          <w:sz w:val="28"/>
          <w:szCs w:val="44"/>
        </w:rPr>
        <w:t>2.2. Nodokļu un sociālo iemaksu ierakstīšana</w:t>
      </w:r>
      <w:bookmarkEnd w:id="104"/>
    </w:p>
    <w:p w14:paraId="71149385" w14:textId="77777777" w:rsidR="00994F93" w:rsidRPr="00B03B51" w:rsidRDefault="00994F93" w:rsidP="00994F93">
      <w:pPr>
        <w:tabs>
          <w:tab w:val="left" w:pos="1267"/>
        </w:tabs>
        <w:jc w:val="both"/>
        <w:rPr>
          <w:rFonts w:ascii="Times New Roman" w:hAnsi="Times New Roman" w:cs="Times New Roman"/>
          <w:b/>
          <w:noProof/>
          <w:sz w:val="24"/>
        </w:rPr>
      </w:pPr>
      <w:bookmarkStart w:id="105" w:name="2.2.1_Background"/>
      <w:bookmarkEnd w:id="105"/>
    </w:p>
    <w:p w14:paraId="3D6C4BDA" w14:textId="77777777" w:rsidR="00994F93" w:rsidRPr="0027353A" w:rsidRDefault="00994F93" w:rsidP="0027353A">
      <w:pPr>
        <w:pStyle w:val="Heading3"/>
        <w:tabs>
          <w:tab w:val="left" w:pos="1267"/>
        </w:tabs>
        <w:ind w:left="0" w:firstLine="0"/>
        <w:jc w:val="both"/>
        <w:rPr>
          <w:rFonts w:ascii="Times New Roman" w:hAnsi="Times New Roman" w:cs="Times New Roman"/>
          <w:sz w:val="24"/>
        </w:rPr>
      </w:pPr>
      <w:r w:rsidRPr="00B03B51">
        <w:rPr>
          <w:rFonts w:ascii="Times New Roman" w:hAnsi="Times New Roman" w:cs="Times New Roman"/>
          <w:sz w:val="24"/>
        </w:rPr>
        <w:t>2.2.1. Vispārīga informācija</w:t>
      </w:r>
    </w:p>
    <w:p w14:paraId="7EA6D1D1"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60CC4725"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 Eiropas Savienībā nodokļi un sociālās iemaksas ir valdības ieņēmumu galvenais avots. To ierakstīšana nacionālajos kontos ir īpaši būtiska saistībā ar pārmērīga budžeta deficīta novēršanas procedūru. To ierakstīšanas metodēm ir jābūt pārredzamām un valdības neto aizdevumam/aizņēmumam (B.9) ir jābūt salīdzināmam. Turklāt nesamaksātos nodokļus un sociālās iemaksas nedrīkst ierakstīt kā valdības ieņēmumus un uzkrātajām summām ilgākā laika posmā pilnīgi jāsakrīt ar samaksātajām summām.</w:t>
      </w:r>
    </w:p>
    <w:p w14:paraId="17D238FA"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76E07CD3"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2. EKS 2010</w:t>
      </w:r>
      <w:r w:rsidRPr="00B03B51">
        <w:rPr>
          <w:rStyle w:val="FootnoteReference"/>
          <w:rFonts w:ascii="Times New Roman" w:hAnsi="Times New Roman" w:cs="Times New Roman"/>
          <w:noProof/>
          <w:sz w:val="24"/>
        </w:rPr>
        <w:footnoteReference w:id="115"/>
      </w:r>
      <w:r w:rsidRPr="00B03B51">
        <w:rPr>
          <w:rFonts w:ascii="Times New Roman" w:hAnsi="Times New Roman" w:cs="Times New Roman"/>
          <w:sz w:val="24"/>
        </w:rPr>
        <w:t xml:space="preserve"> noteikts, ka nodokļi un sociālās iemaksas, kas uzkrātas (vai kas jāsaņem), bet kas visticamāk netiks iekasētas dažādu iemeslu dēļ (piemēram, uzņēmumu bankrots, nodokļu iekasēšanas sistēmas neefektivitāte, atsevišķu nodokļu maksātāju nozušana u. c.), nedrīkst iekļaut kā valdības ieņēmumus, un tādējādi tās neietekmē vispārējās valdības neto aizdevumu/aizņēmumu.</w:t>
      </w:r>
    </w:p>
    <w:p w14:paraId="1D2198B9"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2CECC49B"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3. EKS 2010 4.82. un 4.95. punktā norādīts, ka nodokļus un sociālās iemaksas, ko ieraksta kontos, iegūst no diviem avotiem: summām, ko apliecina nodokļu aprēķini un deklarācijas, vai gūtie naudas ieņēmumi.</w:t>
      </w:r>
    </w:p>
    <w:p w14:paraId="123F2828" w14:textId="77777777" w:rsidR="00994F93" w:rsidRPr="00B03B51" w:rsidRDefault="00994F93" w:rsidP="00994F93">
      <w:pPr>
        <w:pStyle w:val="BodyText"/>
        <w:tabs>
          <w:tab w:val="left" w:pos="1126"/>
        </w:tabs>
        <w:spacing w:before="0"/>
        <w:ind w:left="0" w:firstLine="0"/>
        <w:jc w:val="both"/>
        <w:rPr>
          <w:rFonts w:ascii="Times New Roman" w:hAnsi="Times New Roman" w:cs="Times New Roman"/>
          <w:noProof/>
          <w:sz w:val="24"/>
        </w:rPr>
      </w:pPr>
    </w:p>
    <w:p w14:paraId="1BF442B4" w14:textId="77777777" w:rsidR="00994F93" w:rsidRPr="00B03B51" w:rsidRDefault="00994F93" w:rsidP="00994F93">
      <w:pPr>
        <w:pStyle w:val="BodyText"/>
        <w:tabs>
          <w:tab w:val="left" w:pos="1126"/>
        </w:tabs>
        <w:spacing w:before="0"/>
        <w:ind w:left="284" w:firstLine="0"/>
        <w:jc w:val="both"/>
        <w:rPr>
          <w:rFonts w:ascii="Times New Roman" w:hAnsi="Times New Roman" w:cs="Times New Roman"/>
          <w:noProof/>
          <w:sz w:val="24"/>
          <w:szCs w:val="12"/>
        </w:rPr>
      </w:pPr>
      <w:r w:rsidRPr="00B03B51">
        <w:rPr>
          <w:rFonts w:ascii="Times New Roman" w:hAnsi="Times New Roman" w:cs="Times New Roman"/>
          <w:sz w:val="24"/>
        </w:rPr>
        <w:t>a) Ja izmanto nodokļu aprēķinu un deklarācijas, ieņēmumu summas precizē ar koeficientu, kas atspoguļo tās aprēķinātās un deklarētās summas, kuras nekad netiks iekasētas. Var izmantot arī alternatīvu risinājumu, proti, var ierakstīt bruto ieņēmumus un kapitāla pārvedumu uz attiecīgajiem sektoriem var ierakstīt ar to pašu precizējumu. Attiecībā uz dažādiem nodokļu veidiem un darba devēju un mājsaimniecību faktisko sociālo iemaksu veidiem piemēro tiem īpaši paredzētus koeficientus.</w:t>
      </w:r>
      <w:r w:rsidRPr="00B03B51">
        <w:rPr>
          <w:rStyle w:val="FootnoteReference"/>
          <w:rFonts w:ascii="Times New Roman" w:hAnsi="Times New Roman" w:cs="Times New Roman"/>
          <w:noProof/>
          <w:sz w:val="24"/>
        </w:rPr>
        <w:footnoteReference w:id="116"/>
      </w:r>
    </w:p>
    <w:p w14:paraId="04AFA167" w14:textId="77777777" w:rsidR="00994F93" w:rsidRPr="00B03B51" w:rsidRDefault="00994F93" w:rsidP="00994F93">
      <w:pPr>
        <w:pStyle w:val="BodyText"/>
        <w:tabs>
          <w:tab w:val="left" w:pos="1126"/>
        </w:tabs>
        <w:spacing w:before="0"/>
        <w:ind w:left="284" w:firstLine="0"/>
        <w:jc w:val="both"/>
        <w:rPr>
          <w:rFonts w:ascii="Times New Roman" w:hAnsi="Times New Roman" w:cs="Times New Roman"/>
          <w:noProof/>
          <w:sz w:val="24"/>
        </w:rPr>
      </w:pPr>
    </w:p>
    <w:p w14:paraId="60CF8DC2" w14:textId="77777777" w:rsidR="00994F93" w:rsidRPr="00B03B51" w:rsidRDefault="00994F93" w:rsidP="00994F93">
      <w:pPr>
        <w:pStyle w:val="BodyText"/>
        <w:tabs>
          <w:tab w:val="left" w:pos="1126"/>
        </w:tabs>
        <w:spacing w:before="0"/>
        <w:ind w:left="284" w:firstLine="0"/>
        <w:jc w:val="both"/>
        <w:rPr>
          <w:rFonts w:ascii="Times New Roman" w:hAnsi="Times New Roman" w:cs="Times New Roman"/>
          <w:noProof/>
          <w:sz w:val="24"/>
        </w:rPr>
      </w:pPr>
      <w:r w:rsidRPr="00B03B51">
        <w:rPr>
          <w:rFonts w:ascii="Times New Roman" w:hAnsi="Times New Roman" w:cs="Times New Roman"/>
          <w:sz w:val="24"/>
        </w:rPr>
        <w:t>b) Ja izmanto kases ieņēmumus, laiku precizē tā, lai skaidrā nauda tiktu attiecināta uz uzkrāšanas laiku (kad notikušas darbības, darījumi vai citi notikumi, kas rada nodokļu saistības, vai dažu ienākuma nodokļu gadījumā, kad ir noteikta nodokļa summa). Precizējot šo laiku, par pamatu jāņem vidējais laikposms starp darbībām, darījumiem vai citiem notikumiem (vai nodokļa summas noteikšanu) un faktisko naudas saņemšanu kasē. Katram nodokļu veidam tas var atšķirties. Šo metodi sauc par “laikā precizēto naudu”.</w:t>
      </w:r>
    </w:p>
    <w:p w14:paraId="157E452A"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28300F23"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 xml:space="preserve">4. Papildus jautājumam par nodokļu un sociālo iemaksu ierakstīšanas laiku šajā iedaļā tiek sniegti norādījumi arī par citiem jautājumiem nodokļu jomā, piemēram, par nodokļu atmaksas, nodokļu amnestijas un nodokļu kredīta ierakstīšanas laiku. Visbeidzot, 1. ierāmējumā (kas iekļauts šīs nodaļas beigās), ir apkopota būtiskākā informācija, kas sniegta </w:t>
      </w:r>
      <w:r w:rsidRPr="00B03B51">
        <w:rPr>
          <w:rFonts w:ascii="Times New Roman" w:hAnsi="Times New Roman" w:cs="Times New Roman"/>
          <w:i/>
          <w:iCs/>
          <w:sz w:val="24"/>
        </w:rPr>
        <w:t>Eurostat</w:t>
      </w:r>
      <w:r w:rsidRPr="00B03B51">
        <w:rPr>
          <w:rFonts w:ascii="Times New Roman" w:hAnsi="Times New Roman" w:cs="Times New Roman"/>
          <w:sz w:val="24"/>
        </w:rPr>
        <w:t xml:space="preserve"> vadlīnijās par atliktā nodokļa aktīvu (</w:t>
      </w:r>
      <w:r w:rsidRPr="00B03B51">
        <w:rPr>
          <w:rFonts w:ascii="Times New Roman" w:hAnsi="Times New Roman" w:cs="Times New Roman"/>
          <w:i/>
          <w:iCs/>
          <w:sz w:val="24"/>
        </w:rPr>
        <w:t>DTA</w:t>
      </w:r>
      <w:r w:rsidRPr="00B03B51">
        <w:rPr>
          <w:rFonts w:ascii="Times New Roman" w:hAnsi="Times New Roman" w:cs="Times New Roman"/>
          <w:sz w:val="24"/>
        </w:rPr>
        <w:t xml:space="preserve">) traktējumu nacionālajos kontos un ar </w:t>
      </w:r>
      <w:r w:rsidRPr="00B03B51">
        <w:rPr>
          <w:rFonts w:ascii="Times New Roman" w:hAnsi="Times New Roman" w:cs="Times New Roman"/>
          <w:i/>
          <w:iCs/>
          <w:sz w:val="24"/>
        </w:rPr>
        <w:t>DTA</w:t>
      </w:r>
      <w:r w:rsidRPr="00B03B51">
        <w:rPr>
          <w:rFonts w:ascii="Times New Roman" w:hAnsi="Times New Roman" w:cs="Times New Roman"/>
          <w:sz w:val="24"/>
        </w:rPr>
        <w:t xml:space="preserve"> saistītu specifisku nodokļu kredītu ierakstīšanu.</w:t>
      </w:r>
    </w:p>
    <w:p w14:paraId="56C17201" w14:textId="77777777" w:rsidR="00994F93" w:rsidRPr="00B03B51" w:rsidRDefault="00994F93" w:rsidP="00994F93">
      <w:pPr>
        <w:jc w:val="both"/>
        <w:rPr>
          <w:rFonts w:ascii="Times New Roman" w:eastAsia="Arial" w:hAnsi="Times New Roman" w:cs="Times New Roman"/>
          <w:noProof/>
          <w:sz w:val="24"/>
          <w:szCs w:val="20"/>
        </w:rPr>
      </w:pPr>
    </w:p>
    <w:p w14:paraId="563F645B" w14:textId="77777777" w:rsidR="00994F93" w:rsidRPr="0027353A" w:rsidRDefault="00994F93" w:rsidP="0027353A">
      <w:pPr>
        <w:pStyle w:val="Heading3"/>
        <w:keepNext/>
        <w:tabs>
          <w:tab w:val="left" w:pos="1267"/>
        </w:tabs>
        <w:ind w:left="0" w:firstLine="0"/>
        <w:jc w:val="both"/>
        <w:rPr>
          <w:rFonts w:ascii="Times New Roman" w:hAnsi="Times New Roman" w:cs="Times New Roman"/>
          <w:sz w:val="24"/>
        </w:rPr>
      </w:pPr>
      <w:bookmarkStart w:id="106" w:name="2.2.2_Treatment_in_national_accounts"/>
      <w:bookmarkEnd w:id="106"/>
      <w:r w:rsidRPr="00B03B51">
        <w:rPr>
          <w:rFonts w:ascii="Times New Roman" w:hAnsi="Times New Roman" w:cs="Times New Roman"/>
          <w:sz w:val="24"/>
        </w:rPr>
        <w:lastRenderedPageBreak/>
        <w:t>2.2.2. Traktējums nacionālajos kontos</w:t>
      </w:r>
    </w:p>
    <w:p w14:paraId="58F9E8A6" w14:textId="77777777" w:rsidR="00994F93" w:rsidRPr="00B03B51" w:rsidRDefault="00994F93" w:rsidP="0027353A">
      <w:pPr>
        <w:keepNext/>
        <w:jc w:val="both"/>
        <w:rPr>
          <w:rFonts w:ascii="Times New Roman" w:hAnsi="Times New Roman" w:cs="Times New Roman"/>
          <w:b/>
          <w:noProof/>
          <w:sz w:val="24"/>
        </w:rPr>
      </w:pPr>
    </w:p>
    <w:p w14:paraId="065F103C" w14:textId="77777777" w:rsidR="00994F93" w:rsidRPr="00B03B51" w:rsidRDefault="00994F93" w:rsidP="0027353A">
      <w:pPr>
        <w:keepNext/>
        <w:jc w:val="both"/>
        <w:rPr>
          <w:rFonts w:ascii="Times New Roman" w:hAnsi="Times New Roman" w:cs="Times New Roman"/>
          <w:b/>
          <w:noProof/>
          <w:sz w:val="24"/>
        </w:rPr>
      </w:pPr>
      <w:r w:rsidRPr="00B03B51">
        <w:rPr>
          <w:rFonts w:ascii="Times New Roman" w:hAnsi="Times New Roman" w:cs="Times New Roman"/>
          <w:b/>
          <w:sz w:val="24"/>
        </w:rPr>
        <w:t>Vispārīgi principi</w:t>
      </w:r>
    </w:p>
    <w:p w14:paraId="07FE7ECE" w14:textId="77777777" w:rsidR="00994F93" w:rsidRPr="00B03B51" w:rsidRDefault="00994F93" w:rsidP="0027353A">
      <w:pPr>
        <w:keepNext/>
        <w:jc w:val="both"/>
        <w:rPr>
          <w:rFonts w:ascii="Times New Roman" w:eastAsia="Arial" w:hAnsi="Times New Roman" w:cs="Times New Roman"/>
          <w:b/>
          <w:bCs/>
          <w:noProof/>
          <w:sz w:val="24"/>
          <w:szCs w:val="21"/>
        </w:rPr>
      </w:pPr>
    </w:p>
    <w:p w14:paraId="4953505E" w14:textId="77777777" w:rsidR="00994F93" w:rsidRPr="00B03B51" w:rsidRDefault="00994F93" w:rsidP="0027353A">
      <w:pPr>
        <w:pStyle w:val="BodyText"/>
        <w:keepN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5. Kā noteikts nacionālo kontu noteikumos, ierakstīšanas laika ekonomiskā būtība ir svarīgāka par tā juridisko formu, proti, tas ir laiks, kad notikusi saimnieciskā darbība, kurā radušās nodokļu saistības, bet atsevišķu ienākuma nodokļu gadījumā tas ir laiks, kad valdība ir precīzi noteikusi iekasējamā nodokļa summu, uzliekot pienākumu nodokļu maksātājam.</w:t>
      </w:r>
    </w:p>
    <w:p w14:paraId="1C3F1472"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3B001B47"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 xml:space="preserve">6. Valsts statistikas iestādes var izvēlēties jebkuru no 2.2.1. iedaļas 3. punkta a) un b) apakšpunktā aprakstītajām metodēm, ar noteikumu, ka tas ir labākais veids, kā ierakstīt ieņēmumus saskaņā ar uzkrāšanas principu, proti, vai nu pamatojoties uz koriģētiem nodokļu aprēķiniem un deklarācijām, ticami aplēšot summas, kuras, visticamāk, nekad netiks iekasētas, vai pamatojoties uz laikā precizētās naudas pieeju. </w:t>
      </w:r>
      <w:r w:rsidRPr="00B03B51">
        <w:rPr>
          <w:rFonts w:ascii="Times New Roman" w:hAnsi="Times New Roman" w:cs="Times New Roman"/>
          <w:i/>
          <w:iCs/>
          <w:sz w:val="24"/>
        </w:rPr>
        <w:t>Eurostat</w:t>
      </w:r>
      <w:r w:rsidRPr="00B03B51">
        <w:rPr>
          <w:rFonts w:ascii="Times New Roman" w:hAnsi="Times New Roman" w:cs="Times New Roman"/>
          <w:sz w:val="24"/>
        </w:rPr>
        <w:t xml:space="preserve"> rūpīgi analizē šīs metodes un var pieprasīt mainīt metodi, ja izrādās, ka statistikas iestāžu izraudzītā metode nav atbilstīga vai sniedz neapmierinošus rezultātus. Praktisku apsvērumu dēļ gadījumos, kad ir grūtības veikt ticamas aplēses par summām, kas, visticamāk, netiks iekasētas, vai ja nav pieejami ticami aprēķini, vēlamāka varētu būt laikā precizētās naudas pieeja. Šādos gadījumos laikā precizētā nauda ir uzkrāto summu pieņemams tuvinājums.</w:t>
      </w:r>
      <w:r w:rsidRPr="00B03B51">
        <w:rPr>
          <w:rStyle w:val="FootnoteReference"/>
          <w:rFonts w:ascii="Times New Roman" w:hAnsi="Times New Roman" w:cs="Times New Roman"/>
          <w:noProof/>
          <w:sz w:val="24"/>
        </w:rPr>
        <w:footnoteReference w:id="117"/>
      </w:r>
    </w:p>
    <w:p w14:paraId="0E233FAC"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794E6AE5"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7. Ja nodokļu ieņēmumus ieraksta, pamatojoties uz aprēķiniem un deklarācijām, ir divas iespējas, kā neiekļaut summas, kuras nekad netiks iekasētas:</w:t>
      </w:r>
    </w:p>
    <w:p w14:paraId="5067C2FC" w14:textId="77777777" w:rsidR="00994F93" w:rsidRPr="00B03B51" w:rsidRDefault="00994F93" w:rsidP="00994F93">
      <w:pPr>
        <w:pStyle w:val="BodyText"/>
        <w:tabs>
          <w:tab w:val="left" w:pos="1126"/>
        </w:tabs>
        <w:spacing w:before="0"/>
        <w:ind w:left="0" w:firstLine="0"/>
        <w:jc w:val="both"/>
        <w:rPr>
          <w:rFonts w:ascii="Times New Roman" w:hAnsi="Times New Roman" w:cs="Times New Roman"/>
          <w:noProof/>
          <w:sz w:val="24"/>
        </w:rPr>
      </w:pPr>
    </w:p>
    <w:p w14:paraId="37B017B0" w14:textId="77777777" w:rsidR="00994F93" w:rsidRPr="00B03B51" w:rsidRDefault="00994F93" w:rsidP="00994F93">
      <w:pPr>
        <w:pStyle w:val="BodyText"/>
        <w:tabs>
          <w:tab w:val="left" w:pos="1126"/>
        </w:tabs>
        <w:spacing w:before="0"/>
        <w:ind w:left="284" w:firstLine="0"/>
        <w:jc w:val="both"/>
        <w:rPr>
          <w:rFonts w:ascii="Times New Roman" w:hAnsi="Times New Roman" w:cs="Times New Roman"/>
          <w:noProof/>
          <w:sz w:val="24"/>
        </w:rPr>
      </w:pPr>
      <w:r w:rsidRPr="00B03B51">
        <w:rPr>
          <w:rFonts w:ascii="Times New Roman" w:hAnsi="Times New Roman" w:cs="Times New Roman"/>
          <w:sz w:val="24"/>
        </w:rPr>
        <w:t>a) aprēķinātās summas var koriģēt ar koeficientu, kas izsaka summas, kuras nekad netiks iekasētas. Koeficientus vajadzētu noteikt, pamatojoties uz iepriekšējo pieredzi un pašreizējo gaidāmo prognozi attiecībā uz aprēķinātajām, taču nekad neiekasētajām summām. Attiecīgā gadījumā koeficientu aktualizē, lai tas atspoguļotu ekonomisko realitāti;</w:t>
      </w:r>
    </w:p>
    <w:p w14:paraId="7989821E" w14:textId="77777777" w:rsidR="00994F93" w:rsidRPr="00B03B51" w:rsidRDefault="00994F93" w:rsidP="00994F93">
      <w:pPr>
        <w:pStyle w:val="BodyText"/>
        <w:tabs>
          <w:tab w:val="left" w:pos="1126"/>
        </w:tabs>
        <w:spacing w:before="0"/>
        <w:ind w:left="284" w:firstLine="0"/>
        <w:jc w:val="both"/>
        <w:rPr>
          <w:rFonts w:ascii="Times New Roman" w:hAnsi="Times New Roman" w:cs="Times New Roman"/>
          <w:noProof/>
          <w:sz w:val="24"/>
        </w:rPr>
      </w:pPr>
    </w:p>
    <w:p w14:paraId="2B51A82B" w14:textId="77777777" w:rsidR="00994F93" w:rsidRPr="00B03B51" w:rsidRDefault="00994F93" w:rsidP="00994F93">
      <w:pPr>
        <w:pStyle w:val="BodyText"/>
        <w:tabs>
          <w:tab w:val="left" w:pos="1126"/>
        </w:tabs>
        <w:spacing w:before="0"/>
        <w:ind w:left="284" w:firstLine="0"/>
        <w:jc w:val="both"/>
        <w:rPr>
          <w:rFonts w:ascii="Times New Roman" w:hAnsi="Times New Roman" w:cs="Times New Roman"/>
          <w:noProof/>
          <w:sz w:val="24"/>
        </w:rPr>
      </w:pPr>
      <w:r w:rsidRPr="00B03B51">
        <w:rPr>
          <w:rFonts w:ascii="Times New Roman" w:hAnsi="Times New Roman" w:cs="Times New Roman"/>
          <w:sz w:val="24"/>
        </w:rPr>
        <w:t>b) aprēķinātās iekasējamās summas ieraksta kā valdības ieņēmumus, un starpību starp šo teorētisko summu un faktiskajiem kases ieņēmumiem (kas ir aplēsti) ieraksta kā kapitāla pārvedumu (valdības izdevumus) nodokļu maksātājiem, kuri nav izpildījuši savas saistības.</w:t>
      </w:r>
    </w:p>
    <w:p w14:paraId="76AD496B"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70E678DE"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8. Savukārt, ja nodokļu ieņēmumu ierakstīšanai izmanto naudas summas, tās ir jākoriģē laikā tā, lai šīs summas attiektos uz laiku, kad ir notikusi darbība, kas radījusi saistības. Piemēram, ja no brīža, kad tiek uzkrāts PVN, līdz brīdim, kad sabiedrības to samaksā nodokļu iestādēm, paiet 1–2 mēneši, nauda, kas tiek saņemta gada pirmajos 1–2 mēnešos, tiks attiecināta uz iepriekšējo gadu.</w:t>
      </w:r>
    </w:p>
    <w:p w14:paraId="54B7C52C" w14:textId="77777777" w:rsidR="00994F93" w:rsidRPr="00B03B51" w:rsidRDefault="00994F93" w:rsidP="00994F93">
      <w:pPr>
        <w:jc w:val="both"/>
        <w:rPr>
          <w:rFonts w:ascii="Times New Roman" w:eastAsia="Arial" w:hAnsi="Times New Roman" w:cs="Times New Roman"/>
          <w:noProof/>
          <w:sz w:val="24"/>
          <w:szCs w:val="20"/>
        </w:rPr>
      </w:pPr>
    </w:p>
    <w:p w14:paraId="291411D0" w14:textId="77777777" w:rsidR="00994F93" w:rsidRPr="00B03B51" w:rsidRDefault="00994F93" w:rsidP="00994F93">
      <w:pPr>
        <w:jc w:val="both"/>
        <w:rPr>
          <w:rFonts w:ascii="Times New Roman" w:hAnsi="Times New Roman" w:cs="Times New Roman"/>
          <w:b/>
          <w:noProof/>
          <w:sz w:val="24"/>
        </w:rPr>
      </w:pPr>
      <w:r w:rsidRPr="00B03B51">
        <w:rPr>
          <w:rFonts w:ascii="Times New Roman" w:hAnsi="Times New Roman" w:cs="Times New Roman"/>
          <w:b/>
          <w:sz w:val="24"/>
        </w:rPr>
        <w:t>Nodokļu atmaksas ierakstīšana</w:t>
      </w:r>
    </w:p>
    <w:p w14:paraId="01FC1077" w14:textId="77777777" w:rsidR="00994F93" w:rsidRPr="00B03B51" w:rsidRDefault="00994F93" w:rsidP="00994F93">
      <w:pPr>
        <w:jc w:val="both"/>
        <w:rPr>
          <w:rFonts w:ascii="Times New Roman" w:eastAsia="Arial" w:hAnsi="Times New Roman" w:cs="Times New Roman"/>
          <w:b/>
          <w:bCs/>
          <w:noProof/>
          <w:sz w:val="24"/>
          <w:szCs w:val="21"/>
        </w:rPr>
      </w:pPr>
    </w:p>
    <w:p w14:paraId="3E1045AD"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9. Attiecībā uz dažiem nodokļiem nodokļu maksātāji regulāri (reizi mēnesī vai ceturksnī) veic priekšapmaksu, un galīgais nodokļu norēķins tiek veikts vēlāk, kad ir iesniegtas nodokļu deklarācijas un nodokļu iestādes ir veikušas aprēķinus.</w:t>
      </w:r>
      <w:r w:rsidRPr="00B03B51">
        <w:rPr>
          <w:rStyle w:val="FootnoteReference"/>
          <w:rFonts w:ascii="Times New Roman" w:hAnsi="Times New Roman" w:cs="Times New Roman"/>
          <w:noProof/>
          <w:sz w:val="24"/>
        </w:rPr>
        <w:footnoteReference w:id="118"/>
      </w:r>
      <w:r w:rsidRPr="00B03B51">
        <w:rPr>
          <w:rFonts w:ascii="Times New Roman" w:hAnsi="Times New Roman" w:cs="Times New Roman"/>
          <w:sz w:val="24"/>
        </w:rPr>
        <w:t xml:space="preserve"> Pēc galīgās korekcijas nodokļu maksātājam ir vai nu jāveic vēl kāds maksājums, vai arī nodokļu maksātājs var būt tiesīgs </w:t>
      </w:r>
      <w:r w:rsidRPr="00B03B51">
        <w:rPr>
          <w:rFonts w:ascii="Times New Roman" w:hAnsi="Times New Roman" w:cs="Times New Roman"/>
          <w:sz w:val="24"/>
        </w:rPr>
        <w:lastRenderedPageBreak/>
        <w:t>saņemt nodokļu atmaksu. Tiesības saņemt nodokļu atmaksu nosaka un attiecīgo summu vienmēr aprēķina un apstiprina nodokļu iestāde, un parasti tā ir saistīta ar nodokļu deklarācijām un galīgiem nodokļu norēķiniem.</w:t>
      </w:r>
    </w:p>
    <w:p w14:paraId="114DCA48"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7055DAC2"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10. Katrā valstī nodokļu atmaksas analizē katrā atsevišķā gadījumā, ņemot vērā datu pieejamību un valstī noteiktos nodokļu deklarāciju iesniegšanas termiņus. Nodokļu atmaksas ieraksta, balstoties uz pamatotiem datiem, kas iegūti, minimāli izmantojot aplēses, un kuriem ir maza varbūtība, ka tie būs turpmāk jāpārskata. Rūpīgi uzrauga neparastas nodokļu shēmas vai notikumus, kas varētu izraisīt neparastas tendences skaitļu rindā, lai nodrošinātu pareizu ierakstīšanas laiku.</w:t>
      </w:r>
    </w:p>
    <w:p w14:paraId="28B643EE"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7358DA40"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11. EKS 2010 4.82. punktā ir pieļaujama zināma elastība attiecībā uz kārtējo ienākuma nodokļu galīgo norēķinu, ja saistības var noteikt tikai vēlākā uzskaites periodā, nevis periodā, kurā tiek uzkrāts ienākums. Šādos gadījumos ir pieļaujams, ka nodokļu atmaksu ieraksta tad, kad valdība ir noteikusi saistības. Tā vietā, lai veiktu aplēses par nodokļu atmaksām, ja aplēšu veikšanas brīdī nav ticamas informācijas, vēlamāk ir ierakstīt nodokļu atmaksu vēlāk, izmantojot ierakstīšanas laiku, kad ir noteikta nodokļu atmaksa.</w:t>
      </w:r>
    </w:p>
    <w:p w14:paraId="32B9AC75"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1819CADD"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12. Jāuzsver, ka attiecībā uz nodokļu atmaksu būtu jāizvairās no naudas ierakstīšanas prakses, kur nodokļu ieņēmumu ierakstīšanai izmanto aprēķinus un deklarācijas, jo šāda prakse ir ne tikai metodoloģiski neatbilstīga, bet varētu radīt arī būtisku laika starpību šo divu summu ierakstīšanas brīdī.</w:t>
      </w:r>
    </w:p>
    <w:p w14:paraId="30884944" w14:textId="77777777" w:rsidR="00994F93" w:rsidRPr="00B03B51" w:rsidRDefault="00994F93" w:rsidP="00994F93">
      <w:pPr>
        <w:jc w:val="both"/>
        <w:rPr>
          <w:rFonts w:ascii="Times New Roman" w:eastAsia="Arial" w:hAnsi="Times New Roman" w:cs="Times New Roman"/>
          <w:noProof/>
          <w:sz w:val="24"/>
          <w:szCs w:val="20"/>
        </w:rPr>
      </w:pPr>
    </w:p>
    <w:p w14:paraId="776F8C64" w14:textId="77777777" w:rsidR="00994F93" w:rsidRPr="00B03B51" w:rsidRDefault="00994F93" w:rsidP="00994F93">
      <w:pPr>
        <w:jc w:val="both"/>
        <w:rPr>
          <w:rFonts w:ascii="Times New Roman" w:hAnsi="Times New Roman" w:cs="Times New Roman"/>
          <w:b/>
          <w:noProof/>
          <w:sz w:val="24"/>
        </w:rPr>
      </w:pPr>
      <w:r w:rsidRPr="00B03B51">
        <w:rPr>
          <w:rFonts w:ascii="Times New Roman" w:hAnsi="Times New Roman" w:cs="Times New Roman"/>
          <w:b/>
          <w:sz w:val="24"/>
        </w:rPr>
        <w:t>Nodokļu amnestijas ierakstīšana</w:t>
      </w:r>
    </w:p>
    <w:p w14:paraId="0D69DE9A" w14:textId="77777777" w:rsidR="00994F93" w:rsidRPr="00B03B51" w:rsidRDefault="00994F93" w:rsidP="00994F93">
      <w:pPr>
        <w:jc w:val="both"/>
        <w:rPr>
          <w:rFonts w:ascii="Times New Roman" w:eastAsia="Arial" w:hAnsi="Times New Roman" w:cs="Times New Roman"/>
          <w:b/>
          <w:bCs/>
          <w:noProof/>
          <w:sz w:val="24"/>
          <w:szCs w:val="21"/>
        </w:rPr>
      </w:pPr>
    </w:p>
    <w:p w14:paraId="318D809B"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13. Nodokļu amnestija ir iespēja noteiktai nodokļu maksātāju grupai ierobežotā laikposmā samaksāt noteiktu summu bez bailēm, ka valdība varētu veikt tiesiskas darbības, apmaiņā pret ko tai tiek atlaistas nodokļu saistības, kas attiecas uz iepriekšējiem taksācijas periodiem.</w:t>
      </w:r>
    </w:p>
    <w:p w14:paraId="1C8B78CD"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2DA616AF"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14. Nodokļu amnestiju parasti piemēro ar valdības izdotu likumu vai dekrētu, lai atlaistu nodokļu maksātāju iepriekšējos gados uzkrātos nodokļu parādus. Ar šo pasākumu valdība sniedz nodokļu maksātājiem labumu un vienlaikus iekasē vienreizējus ieņēmumus, kuri, ja netiktu piemērota nodokļu amnestija, tiktu iekasēti daudz vēlāk vai, iespējams, vispār netiktu iekasēti.</w:t>
      </w:r>
    </w:p>
    <w:p w14:paraId="57C0F29E"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20287656"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15. Nodokļu maksātāji saņem divējādu labumu:</w:t>
      </w:r>
    </w:p>
    <w:p w14:paraId="4B507A0A"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69669F55" w14:textId="77777777" w:rsidR="00994F93" w:rsidRPr="00B03B51" w:rsidRDefault="00994F93" w:rsidP="005B2A11">
      <w:pPr>
        <w:pStyle w:val="BodyText"/>
        <w:numPr>
          <w:ilvl w:val="0"/>
          <w:numId w:val="18"/>
        </w:numPr>
        <w:spacing w:before="0"/>
        <w:ind w:left="426" w:hanging="425"/>
        <w:jc w:val="both"/>
        <w:rPr>
          <w:rFonts w:ascii="Times New Roman" w:hAnsi="Times New Roman" w:cs="Times New Roman"/>
          <w:noProof/>
          <w:sz w:val="24"/>
        </w:rPr>
      </w:pPr>
      <w:r w:rsidRPr="00B03B51">
        <w:rPr>
          <w:rFonts w:ascii="Times New Roman" w:hAnsi="Times New Roman" w:cs="Times New Roman"/>
          <w:sz w:val="24"/>
        </w:rPr>
        <w:t>iespēju sniegt informāciju par iepriekšējiem taksācijas periodiem (par nedeklarētajiem iepriekšējiem nodokļiem vai ar nodokli apliekamajiem aktīviem, kas iepriekš nav paziņoti);</w:t>
      </w:r>
    </w:p>
    <w:p w14:paraId="20FB6795" w14:textId="77777777" w:rsidR="00994F93" w:rsidRPr="00B03B51" w:rsidRDefault="00994F93" w:rsidP="005B2A11">
      <w:pPr>
        <w:pStyle w:val="BodyText"/>
        <w:numPr>
          <w:ilvl w:val="0"/>
          <w:numId w:val="18"/>
        </w:numPr>
        <w:spacing w:before="0"/>
        <w:ind w:left="426" w:hanging="425"/>
        <w:jc w:val="both"/>
        <w:rPr>
          <w:rFonts w:ascii="Times New Roman" w:hAnsi="Times New Roman" w:cs="Times New Roman"/>
          <w:noProof/>
          <w:sz w:val="24"/>
        </w:rPr>
      </w:pPr>
      <w:r w:rsidRPr="00B03B51">
        <w:rPr>
          <w:rFonts w:ascii="Times New Roman" w:hAnsi="Times New Roman" w:cs="Times New Roman"/>
          <w:sz w:val="24"/>
        </w:rPr>
        <w:t>iespēju samaksāt iepriekšējos nodokļu parādus.</w:t>
      </w:r>
    </w:p>
    <w:p w14:paraId="67C18197" w14:textId="77777777" w:rsidR="00994F93" w:rsidRPr="00B03B51" w:rsidRDefault="00994F93" w:rsidP="00994F93">
      <w:pPr>
        <w:jc w:val="both"/>
        <w:rPr>
          <w:rFonts w:ascii="Times New Roman" w:eastAsia="Arial" w:hAnsi="Times New Roman" w:cs="Times New Roman"/>
          <w:noProof/>
          <w:sz w:val="24"/>
          <w:szCs w:val="14"/>
        </w:rPr>
      </w:pPr>
    </w:p>
    <w:p w14:paraId="05955C1F" w14:textId="77777777" w:rsidR="00994F93" w:rsidRPr="00B03B51" w:rsidRDefault="00994F93" w:rsidP="00994F93">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t>Abos gadījumos informācijas sniegšana par nodokļiem (vai ar nodokli apliekamajiem aktīviem) un nodokļu parādu apmaksa, kas atbrīvo nodokļu maksātājus no turpmākām valdības īstenotām tiesiskām darbībām, var notikt dažādos apstākļos, iespējams, bez soda naudas piemērošanas un pat piemērojot zemākas nodokļu likmes nekā parastos apstākļos.</w:t>
      </w:r>
    </w:p>
    <w:p w14:paraId="4DFBB1B5"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4BDD392E"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16. Nodokļu amnestiju parasti nosaka uz konkrētu laikposmu, un to var attiecināt uz kādā konkrētā laikposmā nenomaksātiem nodokļu parādiem. Tā var attiekties uz visu veidu faktiskajiem nodokļiem un sociālajām iemaksām.</w:t>
      </w:r>
    </w:p>
    <w:p w14:paraId="00E77E0B"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4BDB27CA"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 xml:space="preserve">17. Attiecībā uz ierakstīšanas laiku katrs gadījums ir rūpīgi jāanalizē. Šajā saistībā maksājamo </w:t>
      </w:r>
      <w:r w:rsidRPr="00B03B51">
        <w:rPr>
          <w:rFonts w:ascii="Times New Roman" w:hAnsi="Times New Roman" w:cs="Times New Roman"/>
          <w:sz w:val="24"/>
        </w:rPr>
        <w:lastRenderedPageBreak/>
        <w:t>summu aplēses nav labākā nodokļu amnestijas ierakstīšanas iespēja, jo ir maz ticams, ka valdība var sniegt ticamus datu avotus, kas ļautu aprēķināt summas, kuras varētu tikt deklarētas un samaksātas, tā kā tai nav ziņu par nedeklarētajiem nodokļiem. Vēlamāk ir izmantot datus par nodokļu iekasēšanu neatkarīgi no nodokļu ieņēmumu ierakstīšanai izmantotās metodes. Šajā ziņā atbilstošāk ir izmantot naudas plūsmas ierakstīšanas principus.</w:t>
      </w:r>
      <w:r w:rsidRPr="00B03B51">
        <w:rPr>
          <w:rStyle w:val="FootnoteReference"/>
          <w:rFonts w:ascii="Times New Roman" w:hAnsi="Times New Roman" w:cs="Times New Roman"/>
          <w:noProof/>
          <w:sz w:val="24"/>
        </w:rPr>
        <w:footnoteReference w:id="119"/>
      </w:r>
    </w:p>
    <w:p w14:paraId="31924847"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53EB8D34"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18. Ja nodokļu ieņēmumu ierakstīšanai izmanto nodokļu aprēķinu un deklarāciju metodi, pēc nodokļu amnestijas ir jāpārskata to summu koeficients, kuras visticamāk neiekasēs.</w:t>
      </w:r>
    </w:p>
    <w:p w14:paraId="0E94F3B0" w14:textId="77777777" w:rsidR="00994F93" w:rsidRPr="00B03B51" w:rsidRDefault="00994F93" w:rsidP="00994F93">
      <w:pPr>
        <w:jc w:val="both"/>
        <w:rPr>
          <w:rFonts w:ascii="Times New Roman" w:eastAsia="Arial" w:hAnsi="Times New Roman" w:cs="Times New Roman"/>
          <w:noProof/>
          <w:sz w:val="24"/>
          <w:szCs w:val="20"/>
        </w:rPr>
      </w:pPr>
    </w:p>
    <w:p w14:paraId="03555AB8" w14:textId="77777777" w:rsidR="00994F93" w:rsidRPr="00B03B51" w:rsidRDefault="00994F93" w:rsidP="00994F93">
      <w:pPr>
        <w:jc w:val="both"/>
        <w:rPr>
          <w:rFonts w:ascii="Times New Roman" w:hAnsi="Times New Roman" w:cs="Times New Roman"/>
          <w:b/>
          <w:noProof/>
          <w:sz w:val="24"/>
        </w:rPr>
      </w:pPr>
      <w:r w:rsidRPr="00B03B51">
        <w:rPr>
          <w:rFonts w:ascii="Times New Roman" w:hAnsi="Times New Roman" w:cs="Times New Roman"/>
          <w:b/>
          <w:sz w:val="24"/>
        </w:rPr>
        <w:t>Nodokļu kredītu ierakstīšana</w:t>
      </w:r>
    </w:p>
    <w:p w14:paraId="7C85E5A9" w14:textId="77777777" w:rsidR="00994F93" w:rsidRPr="00B03B51" w:rsidRDefault="00994F93" w:rsidP="00994F93">
      <w:pPr>
        <w:jc w:val="both"/>
        <w:rPr>
          <w:rFonts w:ascii="Times New Roman" w:eastAsia="Arial" w:hAnsi="Times New Roman" w:cs="Times New Roman"/>
          <w:b/>
          <w:bCs/>
          <w:noProof/>
          <w:sz w:val="24"/>
          <w:szCs w:val="21"/>
        </w:rPr>
      </w:pPr>
    </w:p>
    <w:p w14:paraId="37C873AB"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19. EKS 2010 4.81. un 20.167.–20.168. punktā ir aprakstīts nodokļu kredītu traktējums. Nodokļu kredīts ir sava veida nodokļu atvieglojums, ko atskaita tieši no labuma guvējam piemērotajām nodokļu saistībām pēc nodokļu saistību aprēķināšanas, pretēji citiem mehānismiem (piemēram, nodokļa atlaidēm, atbrīvojumiem vai atskaitījumiem), kas ietekmē nodokļa bāzi pirms nodokļa likmes piemērošanas.</w:t>
      </w:r>
    </w:p>
    <w:p w14:paraId="200A277D"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40999B03"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20. EKS 2010 izšķir divu veidu nodokļu kredītus:</w:t>
      </w:r>
    </w:p>
    <w:p w14:paraId="5FDC8932" w14:textId="77777777" w:rsidR="00994F93" w:rsidRPr="00B03B51" w:rsidRDefault="00994F93" w:rsidP="00994F93">
      <w:pPr>
        <w:pStyle w:val="BodyText"/>
        <w:tabs>
          <w:tab w:val="left" w:pos="1126"/>
        </w:tabs>
        <w:spacing w:before="0"/>
        <w:ind w:left="0" w:firstLine="0"/>
        <w:jc w:val="both"/>
        <w:rPr>
          <w:rFonts w:ascii="Times New Roman" w:hAnsi="Times New Roman" w:cs="Times New Roman"/>
          <w:noProof/>
          <w:sz w:val="24"/>
        </w:rPr>
      </w:pPr>
    </w:p>
    <w:p w14:paraId="2A882B77" w14:textId="77777777" w:rsidR="00994F93" w:rsidRPr="00B03B51" w:rsidRDefault="00994F93" w:rsidP="00994F93">
      <w:pPr>
        <w:pStyle w:val="BodyText"/>
        <w:tabs>
          <w:tab w:val="left" w:pos="1126"/>
        </w:tabs>
        <w:spacing w:before="0"/>
        <w:ind w:left="284" w:firstLine="0"/>
        <w:jc w:val="both"/>
        <w:rPr>
          <w:rFonts w:ascii="Times New Roman" w:hAnsi="Times New Roman" w:cs="Times New Roman"/>
          <w:noProof/>
          <w:sz w:val="24"/>
        </w:rPr>
      </w:pPr>
      <w:r w:rsidRPr="00B03B51">
        <w:rPr>
          <w:rFonts w:ascii="Times New Roman" w:hAnsi="Times New Roman" w:cs="Times New Roman"/>
          <w:sz w:val="24"/>
        </w:rPr>
        <w:t>1) “nemaksājamie” nodokļu kredīti (saukti arī par neatmaksājamiem, “zaudējamiem” nodokļu kredītiem), t. i., nodokļu kredīti, kas nepārsniedz nodokļu saistību summu tajā pašā fiskālajā gadā (vai vairākus fiskālos gadus ilgā posmā, ja ir atļauta pārnešana). Visas nodokļu kredīta summas, kas pārsniedz nodokļu maksātāja saistības spēkā esošajā laikposmā, tiek “zaudētas”;</w:t>
      </w:r>
    </w:p>
    <w:p w14:paraId="44F84813" w14:textId="77777777" w:rsidR="00994F93" w:rsidRPr="00B03B51" w:rsidRDefault="00994F93" w:rsidP="00994F93">
      <w:pPr>
        <w:pStyle w:val="BodyText"/>
        <w:tabs>
          <w:tab w:val="left" w:pos="1126"/>
        </w:tabs>
        <w:spacing w:before="0"/>
        <w:ind w:left="284" w:firstLine="0"/>
        <w:jc w:val="both"/>
        <w:rPr>
          <w:rFonts w:ascii="Times New Roman" w:hAnsi="Times New Roman" w:cs="Times New Roman"/>
          <w:noProof/>
          <w:sz w:val="24"/>
        </w:rPr>
      </w:pPr>
    </w:p>
    <w:p w14:paraId="03F1E490" w14:textId="77777777" w:rsidR="00994F93" w:rsidRPr="00B03B51" w:rsidRDefault="00994F93" w:rsidP="00994F93">
      <w:pPr>
        <w:pStyle w:val="BodyText"/>
        <w:tabs>
          <w:tab w:val="left" w:pos="1126"/>
        </w:tabs>
        <w:spacing w:before="0"/>
        <w:ind w:left="284" w:firstLine="0"/>
        <w:jc w:val="both"/>
        <w:rPr>
          <w:rFonts w:ascii="Times New Roman" w:hAnsi="Times New Roman" w:cs="Times New Roman"/>
          <w:noProof/>
          <w:sz w:val="24"/>
        </w:rPr>
      </w:pPr>
      <w:r w:rsidRPr="00B03B51">
        <w:rPr>
          <w:rFonts w:ascii="Times New Roman" w:hAnsi="Times New Roman" w:cs="Times New Roman"/>
          <w:sz w:val="24"/>
        </w:rPr>
        <w:t>2) “maksājamie” nodokļu kredīti (saukti arī par atmaksājamiem vai “nezaudējamajiem” nodokļu kredītiem), t. i., labuma guvējam jebkurā gadījumā tiek izmaksāta pilna summa, tostarp arī pārpalikums, ja nodokļu atvieglojums ir lielāks par nodokļu saistībām. Ja izmanto maksājamo nodokļu kredītu sistēmu, maksājumus veic neatkarīgi no nodokļu saistību lieluma (pat ja nodokļu saistības vispār nepastāv). Maksājamie nodokļu kredīti ir valdības saistības, kas nav gadījuma saistības, proti, valdībai tie rada pienākumu.</w:t>
      </w:r>
    </w:p>
    <w:p w14:paraId="71DA0BC0"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5501C1BB"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21. EKS 2010 ir norādīts, ka nemaksājamos nodokļu kredītus ieraksta kā nodokļu ieņēmumu samazinājumu, tāpēc tie samazina “nodokļu slogu” un kopējos ieņēmumus. Savukārt maksājamo nodokļu kredītu gadījumā pilnu nodokļu kredīta summu ieraksta kā valdības izdevumus, un nodokļu ieņēmumi nesamazinās. Šāda ierakstīšana ietekmē nodokļu slogu, kopējos ieņēmumus un kopējos izdevumus, kā arī attiecīgi to attiecību pret IKP.</w:t>
      </w:r>
    </w:p>
    <w:p w14:paraId="3F71FBE0"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12D88B28"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22. EKS 2010 nav norādīts, kāda izdevumu kategorija jāizmanto maksājamo nodokļu kredītu ierakstīšanai, jo var būt dažādas iespējas. Maksājamos nodokļu kredītus var ierakstīt kā kārtējos izdevumus, un tādā gadījumā tie varētu būt subsīdijas (D.3) vai sociālie pabalsti, kas nav sociālie pārvedumi natūrā (D.62), atkarībā no labuma guvēja veida, vai pat dažādi kārtējie pārvedumi (D.75). Tos var ierakstīt arī kā kapitālizdevumus, šajā gadījumā kā ieguldījumu dotācijas (D.92) vai kā citus kapitāla pārvedumus (D.99).</w:t>
      </w:r>
      <w:r w:rsidRPr="00B03B51">
        <w:rPr>
          <w:rStyle w:val="FootnoteReference"/>
          <w:rFonts w:ascii="Times New Roman" w:hAnsi="Times New Roman" w:cs="Times New Roman"/>
          <w:noProof/>
          <w:sz w:val="24"/>
        </w:rPr>
        <w:footnoteReference w:id="120"/>
      </w:r>
    </w:p>
    <w:p w14:paraId="185F3BA6"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18801909"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 xml:space="preserve">23. Attiecībā uz nodokļu kredītu ierakstīšanas laiku ir jāatzīmē, ka valdībai (vai nodokļu iestādei) ir vienmēr jānovērtē, jākontrolē, jāapliecina vai jāapstiprina tiesības maksāt mazākus </w:t>
      </w:r>
      <w:r w:rsidRPr="00B03B51">
        <w:rPr>
          <w:rFonts w:ascii="Times New Roman" w:hAnsi="Times New Roman" w:cs="Times New Roman"/>
          <w:sz w:val="24"/>
        </w:rPr>
        <w:lastRenderedPageBreak/>
        <w:t>nodokļus vai saņemt maksājumu, un parasti to īsteno pēc nodokļu deklarāciju vai kāda cita oficiāla dokumenta iesniegšanas.</w:t>
      </w:r>
    </w:p>
    <w:p w14:paraId="054D3DEC"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7F4D3D6E"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24. Jāatzīmē arī tas, ka nodokļu kredīti bieži vien ir saistīti ar ienākuma nodokļiem, un nodokļu iestādes parasti tos aprēķina, kad nodokļu maksātāji ir iesnieguši savas nodokļu deklarācijas. Tā kā nemaksājamie nodokļu kredīti samazina nodokļu ieņēmumus, to ierakstīšanas laiks parasti ir līdzīgs tā nodokļa ierakstīšanas laikam, kuram tie tiek piešķirti; tas attiecas gan uz aprēķināšanas metodi, gan uz laikā precizētās naudas metodi. Kad izmanto aprēķināšanas un deklarāciju metodes, ja nodokļu saistību noteikšanas brīdis ir ņemts kā uzkrājuma tuvinājuma punkts, ierakstīšanas laiks ir brīdis, kad ir aprēķinātas nodokļu saistības, nevis brīdis, kad nodokļu maksātājs ir faktiski nokārtojis savas saistības.</w:t>
      </w:r>
    </w:p>
    <w:p w14:paraId="513A95BA"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4F8EE8A5"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25. Maksājamie nodokļu kredīti ir labuma guvēju beznosacījuma prasījumi valdībai, tāpēc valdībai kādā no posmiem tie jāatzīst par saistībām. Attiecībā uz maksājamiem nodokļu kredītiem par uzkrājuma tuvinājuma punktu uzskata brīdi, kad nodokļu iestādes ir oficiāli atzinušas saistības. Šis tuvinājums ir labākais ierakstīšanas laika variants, jo, ja izmantotu tīro uzkrāšanas laiku maksājamajiem nodokļu kredītiem, tiktu ierakstītas summas, kas vēl nav precīzi noteiktas, tāpēc praktiski būtu jāveic aplēses, kuru ticamība nav noteikta, kā arī pēc tam būtu jāpārskata valdības ieņēmumi, izdevumi un neto aizdevumi/aizņēmumi (B.9). Ierakstīšanas laiks, kad nodokļu iestādes atzīst saistības, ir piemērojams neatkarīgi no tā, kāda izdevumu kategorija ir izraudzīta maksājamā nodokļu kredīta ierakstīšanai.</w:t>
      </w:r>
    </w:p>
    <w:p w14:paraId="387FE73F"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1DD7258B"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26. Izdevumus ieraksta brīdī, kad valdība atzīst prasījumu par visu summu, neatkarīgi no tā, kurā konkrētā brīdī maksājamais nodokļu kredīts tiks izmantots, lai samazinātu maksājamo nodokļu summu, un neatkarīgi no tā, kurā konkrētā brīdī nodokļu kredīts varētu tikt pilnībā atmaksāts labuma guvējam. Tādējādi tas varētu atstāt ietekmi uz valdības neto aizdevumu/aizņēmumu (B.9) vienā atsevišķā gadā, nevis uz vairākiem gadiem, kuros maksājamais nodokļu kredīts tiktu lietots.</w:t>
      </w:r>
    </w:p>
    <w:p w14:paraId="61C80E2D"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52D4B587"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27. Ja ir laika nobīde starp izdevumu ierakstīšanas brīdi un brīdi, kad tie tiek izlietoti nodokļu saistību samazinājuma veidā vai kā nauda no valdības, jāizdara ieraksts sektorā “citas debitoru/kreditoru saistības” (AF.8).</w:t>
      </w:r>
    </w:p>
    <w:p w14:paraId="4544EC6F"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002F49DA"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28. Maksājamos nodokļu kredītus traktē citādi nekā nemaksājamos nodokļu kredītus. Tā kā nemaksājamos nodokļu kredītus traktē kā negatīvus nodokļu ieņēmumus, nevis kā izdevumus, tos ieraksta tad, kad tie tiek izmantoti nodokļu saistību mazināšanai, ietekmējot kontus par precīzu summu, kas tiek izlietota katru gadu, nevis ierakstot visu summu vienā gadā, kā tas ir maksājamo nodokļu kredītu gadījumā.</w:t>
      </w:r>
    </w:p>
    <w:p w14:paraId="3130D669" w14:textId="77777777" w:rsidR="00994F93" w:rsidRPr="00B03B51" w:rsidRDefault="00994F93" w:rsidP="00994F93">
      <w:pPr>
        <w:jc w:val="both"/>
        <w:rPr>
          <w:rFonts w:ascii="Times New Roman" w:eastAsia="Arial" w:hAnsi="Times New Roman" w:cs="Times New Roman"/>
          <w:noProof/>
          <w:sz w:val="24"/>
          <w:szCs w:val="20"/>
        </w:rPr>
      </w:pPr>
    </w:p>
    <w:p w14:paraId="399E460D" w14:textId="77777777" w:rsidR="00994F93" w:rsidRPr="00B03B51" w:rsidRDefault="00994F93" w:rsidP="00994F93">
      <w:pPr>
        <w:pStyle w:val="Heading3"/>
        <w:tabs>
          <w:tab w:val="left" w:pos="1267"/>
        </w:tabs>
        <w:ind w:left="0" w:firstLine="0"/>
        <w:jc w:val="both"/>
        <w:rPr>
          <w:rFonts w:ascii="Times New Roman" w:hAnsi="Times New Roman" w:cs="Times New Roman"/>
          <w:noProof/>
          <w:sz w:val="24"/>
        </w:rPr>
      </w:pPr>
      <w:bookmarkStart w:id="107" w:name="_Toc67565056"/>
      <w:r w:rsidRPr="00B03B51">
        <w:rPr>
          <w:rFonts w:ascii="Times New Roman" w:hAnsi="Times New Roman" w:cs="Times New Roman"/>
          <w:sz w:val="24"/>
        </w:rPr>
        <w:t>2.2.3. Traktējuma pamatojums</w:t>
      </w:r>
      <w:bookmarkEnd w:id="107"/>
    </w:p>
    <w:p w14:paraId="07F222AA" w14:textId="77777777" w:rsidR="00994F93" w:rsidRPr="00B03B51" w:rsidRDefault="00994F93" w:rsidP="00994F93">
      <w:pPr>
        <w:pStyle w:val="BodyText"/>
        <w:tabs>
          <w:tab w:val="left" w:pos="895"/>
        </w:tabs>
        <w:spacing w:before="0"/>
        <w:ind w:left="0" w:firstLine="0"/>
        <w:jc w:val="both"/>
        <w:rPr>
          <w:rFonts w:ascii="Times New Roman" w:hAnsi="Times New Roman" w:cs="Times New Roman"/>
          <w:noProof/>
          <w:sz w:val="24"/>
        </w:rPr>
      </w:pPr>
    </w:p>
    <w:p w14:paraId="6F28813D" w14:textId="77777777" w:rsidR="00994F93" w:rsidRPr="00B03B51" w:rsidRDefault="00994F93" w:rsidP="00994F93">
      <w:pPr>
        <w:pStyle w:val="BodyText"/>
        <w:tabs>
          <w:tab w:val="left" w:pos="895"/>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29. Saskaņā ar pamatprincipu summas, kuru iekasēšana ir maz ticama, neiekļauj sistēmā ierakstīto nodokļu un sociālo iemaksu ietekmi uz vispārējās valdības neto aizņēmumu/aizdevumu (B.9). Tā pamatā ir šāds arguments – ja ir pierādījumi tam, ka daži aprēķinātie nodokļi un sociālās iemaksas nekad netiks iekasētas, tad starpība starp nodokļu aprēķinu un gaidāmo iekasējumu atspoguļo prasījumu, kuram nav nekādas reālas vērtības un kuru nedrīkst ierakstīt valdības ieņēmumos. Sistēmā atbilstoši uzkrāšanas principam ierakstīto nodokļu un sociālo iemaksu ietekmei uz vispārējās valdības neto aizņēmumu/aizdevumu (B.9) saprātīgā laika posmā jābūt vienādai ar faktiski saņemtajām atbilstīgajām naudas summām.</w:t>
      </w:r>
    </w:p>
    <w:p w14:paraId="7FF2E4D0"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2440EFE2"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 xml:space="preserve">30. Attiecībā uz nodokļu atmaksām un nodokļu amnestiju traktējums nacionālajos kontos </w:t>
      </w:r>
      <w:r w:rsidRPr="00B03B51">
        <w:rPr>
          <w:rFonts w:ascii="Times New Roman" w:hAnsi="Times New Roman" w:cs="Times New Roman"/>
          <w:sz w:val="24"/>
        </w:rPr>
        <w:lastRenderedPageBreak/>
        <w:t>nedrīkst būt atkarīgs no aplēsēm un kļūt par cēloni būtiskai pārskatīšanai, kas ietekmē valdības ieņēmumu datu ticamību.</w:t>
      </w:r>
    </w:p>
    <w:p w14:paraId="6A3F6F5D"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1EA040D1"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31. EKS 2010 ir definēti atšķirīgi nodokļu kredītu ierakstīšanas veidi atkarībā no tā, vai tie ir maksājami vai nemaksājami nodokļu kredīti. Nemaksājamie nodokļu kredīti nepārsniedz nodokļu saistību lielumu. Atbilstīgi tam, kā ieraksta nodokļu atlaides, atbrīvojumus un samazinājumus, nemaksājamos nodokļu kredītus ieraksta kā nodokļu saistību samazinājumu, un tādējādi tos uzskaita kā nodokļu ieņēmumu samazinājumu, kas ietekmē valdības neto aizdevumu/aizņēmumu (B.9), kad tie tiek izmantoti maksājamo nodokļu summas samazināšanai.</w:t>
      </w:r>
    </w:p>
    <w:p w14:paraId="04E35956"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20E6EFB1"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32. Savukārt saskaņā ar maksājamo nodokļu kredītu sistēmu labuma guvējam tiks izmaksātas summas, kas pārsniedz nodokļu saistības, un maksājumus var piešķirt gan nodokļu maksātājiem, gan nodokļu nemaksātājiem. Tas nozīmē, ka maksājamie nodokļu kredīti nav tikai taksācijas mehānisma sastāvdaļa, pat ja tie tiek aprēķināti nodokļu deklarāciju vai citu dokumentu kontekstā. Maksājamie nodokļu kredīti ir beznosacījuma pieprasījumi valdībai, un valdībai tie ir saistības, tāpēc nacionālajos kontos (AF.8) ir jāieraksta to pilna summa.</w:t>
      </w:r>
    </w:p>
    <w:p w14:paraId="56861CA9"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7206648C"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33. To ekvivalents ir valdības izdevumi pilnā apmērā brīdī, kad nodokļu iestāde ir atzinusi saistības, neatkarīgi no brīža, kad nodokļu kredīts tiks izmantots maksājamo nodokļu summas samazināšanai, vai no brīža, kad summas varētu tikt izmaksātas labuma guvējam. Lai arī praksē maksājamos nodokļu kredītus var izmantot vairākus gadus (tostarp tajā gadā, kad valdība tos ir atzinusi), pilna summa ietekmēs valdības neto aizdevumu/aizņēmumu (B.9) vienā atsevišķā gadā. Nodokļu kredīta izlietojums ir finanšu darījums, kas samazina valdības citas kreditoru saistības (AF.8), neietekmējot valdības neto aizdevumu/aizņēmumu (B.9). Ja izmanto nodokļu kredītu, datu avoti vajadzības gadījumā ir jākoriģē, lai izvairītos no tā, ka tas tiek ierakstīts vai nu kā valdības izdevumu samazinājums, vai kā valdības izdevumu daļa.</w:t>
      </w:r>
    </w:p>
    <w:p w14:paraId="7A4C30F0" w14:textId="77777777" w:rsidR="00994F93" w:rsidRPr="00B03B51" w:rsidRDefault="00994F93" w:rsidP="00994F93">
      <w:pPr>
        <w:jc w:val="both"/>
        <w:rPr>
          <w:rFonts w:ascii="Times New Roman" w:hAnsi="Times New Roman" w:cs="Times New Roman"/>
          <w:noProof/>
          <w:sz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1"/>
      </w:tblGrid>
      <w:tr w:rsidR="00994F93" w:rsidRPr="00B03B51" w14:paraId="544E3238" w14:textId="77777777" w:rsidTr="001C4B02">
        <w:tc>
          <w:tcPr>
            <w:tcW w:w="9281" w:type="dxa"/>
          </w:tcPr>
          <w:p w14:paraId="57FE5E8C" w14:textId="77777777" w:rsidR="00994F93" w:rsidRPr="00B03B51" w:rsidRDefault="00994F93" w:rsidP="001C4B02">
            <w:pPr>
              <w:pStyle w:val="Heading3"/>
              <w:ind w:left="0" w:firstLine="0"/>
              <w:jc w:val="both"/>
              <w:outlineLvl w:val="2"/>
              <w:rPr>
                <w:rFonts w:ascii="Times New Roman" w:hAnsi="Times New Roman" w:cs="Times New Roman"/>
                <w:noProof/>
                <w:sz w:val="24"/>
              </w:rPr>
            </w:pPr>
            <w:bookmarkStart w:id="108" w:name="_Toc67565057"/>
            <w:r w:rsidRPr="00B03B51">
              <w:rPr>
                <w:rFonts w:ascii="Times New Roman" w:hAnsi="Times New Roman" w:cs="Times New Roman"/>
                <w:sz w:val="24"/>
              </w:rPr>
              <w:t>1. ierāmējums. Atliktā nodokļa aktīvu (</w:t>
            </w:r>
            <w:r w:rsidRPr="00B03B51">
              <w:rPr>
                <w:rFonts w:ascii="Times New Roman" w:hAnsi="Times New Roman" w:cs="Times New Roman"/>
                <w:i/>
                <w:iCs/>
                <w:sz w:val="24"/>
              </w:rPr>
              <w:t>DTA</w:t>
            </w:r>
            <w:r w:rsidRPr="00B03B51">
              <w:rPr>
                <w:rFonts w:ascii="Times New Roman" w:hAnsi="Times New Roman" w:cs="Times New Roman"/>
                <w:sz w:val="24"/>
              </w:rPr>
              <w:t xml:space="preserve">) traktējums nacionālajos kontos un ar </w:t>
            </w:r>
            <w:r w:rsidRPr="00B03B51">
              <w:rPr>
                <w:rFonts w:ascii="Times New Roman" w:hAnsi="Times New Roman" w:cs="Times New Roman"/>
                <w:i/>
                <w:iCs/>
                <w:sz w:val="24"/>
              </w:rPr>
              <w:t>DTA</w:t>
            </w:r>
            <w:r w:rsidRPr="00B03B51">
              <w:rPr>
                <w:rFonts w:ascii="Times New Roman" w:hAnsi="Times New Roman" w:cs="Times New Roman"/>
                <w:sz w:val="24"/>
              </w:rPr>
              <w:t xml:space="preserve"> saistītu nodokļu kredītu ierakstīšana</w:t>
            </w:r>
            <w:bookmarkEnd w:id="108"/>
          </w:p>
          <w:p w14:paraId="547E0856" w14:textId="77777777" w:rsidR="00994F93" w:rsidRPr="00B03B51" w:rsidRDefault="00994F93" w:rsidP="001C4B02">
            <w:pPr>
              <w:pStyle w:val="BodyText"/>
              <w:spacing w:before="0"/>
              <w:ind w:left="0" w:firstLine="0"/>
              <w:jc w:val="both"/>
              <w:rPr>
                <w:rFonts w:ascii="Times New Roman" w:hAnsi="Times New Roman" w:cs="Times New Roman"/>
                <w:noProof/>
                <w:sz w:val="24"/>
              </w:rPr>
            </w:pPr>
          </w:p>
          <w:p w14:paraId="02129F2A" w14:textId="77777777" w:rsidR="00994F93" w:rsidRPr="00B03B51" w:rsidRDefault="00994F93" w:rsidP="001C4B02">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t>Līdz ar Bāzeles III regulējuma ieviešanu dažas valstis ir veikušas konkrētas izmaiņas tiesību aktos, kas ļauj atliktā nodokļa aktīvus (</w:t>
            </w:r>
            <w:r w:rsidRPr="00B03B51">
              <w:rPr>
                <w:rFonts w:ascii="Times New Roman" w:hAnsi="Times New Roman" w:cs="Times New Roman"/>
                <w:i/>
                <w:iCs/>
                <w:sz w:val="24"/>
              </w:rPr>
              <w:t>DTA</w:t>
            </w:r>
            <w:r w:rsidRPr="00B03B51">
              <w:rPr>
                <w:rFonts w:ascii="Times New Roman" w:hAnsi="Times New Roman" w:cs="Times New Roman"/>
                <w:sz w:val="24"/>
              </w:rPr>
              <w:t xml:space="preserve">) konvertēt maksājamos nodokļu kredītos, kas ir tiešs prasījums valdībai. Vienlaikus EKS 2010 ir ieviesti skaidri noteikumi attiecībā uz nodokļu kredītu ierakstīšanu. Tā kā nacionālajos kontos nav norāžu par </w:t>
            </w:r>
            <w:r w:rsidRPr="00B03B51">
              <w:rPr>
                <w:rFonts w:ascii="Times New Roman" w:hAnsi="Times New Roman" w:cs="Times New Roman"/>
                <w:i/>
                <w:iCs/>
                <w:sz w:val="24"/>
              </w:rPr>
              <w:t>DTA</w:t>
            </w:r>
            <w:r w:rsidRPr="00B03B51">
              <w:rPr>
                <w:rFonts w:ascii="Times New Roman" w:hAnsi="Times New Roman" w:cs="Times New Roman"/>
                <w:sz w:val="24"/>
              </w:rPr>
              <w:t xml:space="preserve"> (</w:t>
            </w:r>
            <w:r w:rsidRPr="00B03B51">
              <w:rPr>
                <w:rFonts w:ascii="Times New Roman" w:hAnsi="Times New Roman" w:cs="Times New Roman"/>
                <w:i/>
                <w:iCs/>
                <w:sz w:val="24"/>
              </w:rPr>
              <w:t>DTA</w:t>
            </w:r>
            <w:r w:rsidRPr="00B03B51">
              <w:rPr>
                <w:rFonts w:ascii="Times New Roman" w:hAnsi="Times New Roman" w:cs="Times New Roman"/>
                <w:sz w:val="24"/>
              </w:rPr>
              <w:t xml:space="preserve"> netiek traktēti EKS 2010), </w:t>
            </w:r>
            <w:r w:rsidRPr="00B03B51">
              <w:rPr>
                <w:rFonts w:ascii="Times New Roman" w:hAnsi="Times New Roman" w:cs="Times New Roman"/>
                <w:i/>
                <w:iCs/>
                <w:sz w:val="24"/>
              </w:rPr>
              <w:t>Eurostat</w:t>
            </w:r>
            <w:r w:rsidRPr="00B03B51">
              <w:rPr>
                <w:rFonts w:ascii="Times New Roman" w:hAnsi="Times New Roman" w:cs="Times New Roman"/>
                <w:sz w:val="24"/>
              </w:rPr>
              <w:t xml:space="preserve"> ir izstrādājis vadlīnijas, kurās sniegti konkrēti norādījumi par </w:t>
            </w:r>
            <w:r w:rsidRPr="00B03B51">
              <w:rPr>
                <w:rFonts w:ascii="Times New Roman" w:hAnsi="Times New Roman" w:cs="Times New Roman"/>
                <w:i/>
                <w:iCs/>
                <w:sz w:val="24"/>
              </w:rPr>
              <w:t>DTA</w:t>
            </w:r>
            <w:r w:rsidRPr="00B03B51">
              <w:rPr>
                <w:rFonts w:ascii="Times New Roman" w:hAnsi="Times New Roman" w:cs="Times New Roman"/>
                <w:sz w:val="24"/>
              </w:rPr>
              <w:t xml:space="preserve"> traktēšanu nacionālajos kontos un ar </w:t>
            </w:r>
            <w:r w:rsidRPr="00B03B51">
              <w:rPr>
                <w:rFonts w:ascii="Times New Roman" w:hAnsi="Times New Roman" w:cs="Times New Roman"/>
                <w:i/>
                <w:iCs/>
                <w:sz w:val="24"/>
              </w:rPr>
              <w:t>DTA</w:t>
            </w:r>
            <w:r w:rsidRPr="00B03B51">
              <w:rPr>
                <w:rFonts w:ascii="Times New Roman" w:hAnsi="Times New Roman" w:cs="Times New Roman"/>
                <w:sz w:val="24"/>
              </w:rPr>
              <w:t xml:space="preserve"> saistīto nodokļu kredītu ierakstīšanu. Šajā ierāmējumā ir apkopota būtiskākā informācija no </w:t>
            </w:r>
            <w:r w:rsidRPr="00B03B51">
              <w:rPr>
                <w:rFonts w:ascii="Times New Roman" w:hAnsi="Times New Roman" w:cs="Times New Roman"/>
                <w:i/>
                <w:iCs/>
                <w:sz w:val="24"/>
              </w:rPr>
              <w:t>Eurostat</w:t>
            </w:r>
            <w:r w:rsidRPr="00B03B51">
              <w:rPr>
                <w:rFonts w:ascii="Times New Roman" w:hAnsi="Times New Roman" w:cs="Times New Roman"/>
                <w:sz w:val="24"/>
              </w:rPr>
              <w:t xml:space="preserve"> vadlīnijām šajā jautājumā.</w:t>
            </w:r>
          </w:p>
          <w:p w14:paraId="1F70D285" w14:textId="77777777" w:rsidR="00994F93" w:rsidRPr="00B03B51" w:rsidRDefault="00994F93" w:rsidP="001C4B02">
            <w:pPr>
              <w:pStyle w:val="BodyText"/>
              <w:spacing w:before="0"/>
              <w:ind w:left="0" w:firstLine="0"/>
              <w:jc w:val="both"/>
              <w:rPr>
                <w:rFonts w:ascii="Times New Roman" w:hAnsi="Times New Roman" w:cs="Times New Roman"/>
                <w:noProof/>
                <w:sz w:val="24"/>
              </w:rPr>
            </w:pPr>
          </w:p>
          <w:p w14:paraId="4648FE01" w14:textId="77777777" w:rsidR="00994F93" w:rsidRPr="00B03B51" w:rsidRDefault="00994F93" w:rsidP="001C4B02">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t xml:space="preserve">Atliktā nodokļa aktīvi tiek definēti kā ienākumu nodokļa summas, ko sabiedrības var atgūt turpmākajos periodos ar nosacījumu, ka nākotnē būs pietiekama ar nodokli apliekamā peļņa. </w:t>
            </w:r>
            <w:r w:rsidRPr="00B03B51">
              <w:rPr>
                <w:rFonts w:ascii="Times New Roman" w:hAnsi="Times New Roman" w:cs="Times New Roman"/>
                <w:i/>
                <w:iCs/>
                <w:sz w:val="24"/>
              </w:rPr>
              <w:t>DTA</w:t>
            </w:r>
            <w:r w:rsidRPr="00B03B51">
              <w:rPr>
                <w:rFonts w:ascii="Times New Roman" w:hAnsi="Times New Roman" w:cs="Times New Roman"/>
                <w:sz w:val="24"/>
              </w:rPr>
              <w:t xml:space="preserve"> attiecas uz pagātnes darījumiem, kurus saskaņā ar 12. SGS var sagrupēt šādās 3 kategorijās:</w:t>
            </w:r>
          </w:p>
          <w:p w14:paraId="794533FE" w14:textId="77777777" w:rsidR="00994F93" w:rsidRPr="00B03B51" w:rsidRDefault="00994F93" w:rsidP="001C4B02">
            <w:pPr>
              <w:pStyle w:val="BodyText"/>
              <w:spacing w:before="0"/>
              <w:ind w:left="0" w:firstLine="0"/>
              <w:jc w:val="both"/>
              <w:rPr>
                <w:rFonts w:ascii="Times New Roman" w:hAnsi="Times New Roman" w:cs="Times New Roman"/>
                <w:noProof/>
                <w:sz w:val="24"/>
              </w:rPr>
            </w:pPr>
          </w:p>
          <w:p w14:paraId="6EE889FC" w14:textId="77777777" w:rsidR="00994F93" w:rsidRPr="00B03B51" w:rsidRDefault="00994F93" w:rsidP="0067635D">
            <w:pPr>
              <w:pStyle w:val="BodyText"/>
              <w:numPr>
                <w:ilvl w:val="0"/>
                <w:numId w:val="73"/>
              </w:numPr>
              <w:spacing w:before="0"/>
              <w:ind w:left="679" w:hanging="425"/>
              <w:jc w:val="both"/>
              <w:rPr>
                <w:rFonts w:ascii="Times New Roman" w:hAnsi="Times New Roman" w:cs="Times New Roman"/>
                <w:noProof/>
                <w:sz w:val="24"/>
              </w:rPr>
            </w:pPr>
            <w:r w:rsidRPr="00B03B51">
              <w:rPr>
                <w:rFonts w:ascii="Times New Roman" w:hAnsi="Times New Roman" w:cs="Times New Roman"/>
                <w:sz w:val="24"/>
              </w:rPr>
              <w:t>atskaitāmās pagaidu starpības;</w:t>
            </w:r>
          </w:p>
          <w:p w14:paraId="6A028C58" w14:textId="77777777" w:rsidR="00994F93" w:rsidRPr="00B03B51" w:rsidRDefault="00994F93" w:rsidP="0067635D">
            <w:pPr>
              <w:pStyle w:val="BodyText"/>
              <w:numPr>
                <w:ilvl w:val="0"/>
                <w:numId w:val="73"/>
              </w:numPr>
              <w:spacing w:before="0"/>
              <w:ind w:left="679" w:hanging="425"/>
              <w:jc w:val="both"/>
              <w:rPr>
                <w:rFonts w:ascii="Times New Roman" w:hAnsi="Times New Roman" w:cs="Times New Roman"/>
                <w:noProof/>
                <w:sz w:val="24"/>
              </w:rPr>
            </w:pPr>
            <w:r w:rsidRPr="00B03B51">
              <w:rPr>
                <w:rFonts w:ascii="Times New Roman" w:hAnsi="Times New Roman" w:cs="Times New Roman"/>
                <w:sz w:val="24"/>
              </w:rPr>
              <w:t>iepriekšējo periodu zaudējumu pārnešana;</w:t>
            </w:r>
          </w:p>
          <w:p w14:paraId="7ECEF949" w14:textId="77777777" w:rsidR="00994F93" w:rsidRPr="00B03B51" w:rsidRDefault="00994F93" w:rsidP="0067635D">
            <w:pPr>
              <w:pStyle w:val="BodyText"/>
              <w:numPr>
                <w:ilvl w:val="0"/>
                <w:numId w:val="73"/>
              </w:numPr>
              <w:spacing w:before="0"/>
              <w:ind w:left="679" w:hanging="425"/>
              <w:jc w:val="both"/>
              <w:rPr>
                <w:rFonts w:ascii="Times New Roman" w:hAnsi="Times New Roman" w:cs="Times New Roman"/>
                <w:noProof/>
                <w:sz w:val="24"/>
              </w:rPr>
            </w:pPr>
            <w:r w:rsidRPr="00B03B51">
              <w:rPr>
                <w:rFonts w:ascii="Times New Roman" w:hAnsi="Times New Roman" w:cs="Times New Roman"/>
                <w:sz w:val="24"/>
              </w:rPr>
              <w:t>neizmantoto nodokļu kredītu pārnešana.</w:t>
            </w:r>
          </w:p>
          <w:p w14:paraId="653E663F" w14:textId="77777777" w:rsidR="00994F93" w:rsidRPr="00B03B51" w:rsidRDefault="00994F93" w:rsidP="001C4B02">
            <w:pPr>
              <w:pStyle w:val="BodyText"/>
              <w:spacing w:before="0"/>
              <w:ind w:left="0" w:firstLine="0"/>
              <w:jc w:val="both"/>
              <w:rPr>
                <w:rFonts w:ascii="Times New Roman" w:hAnsi="Times New Roman" w:cs="Times New Roman"/>
                <w:noProof/>
                <w:sz w:val="24"/>
              </w:rPr>
            </w:pPr>
          </w:p>
          <w:p w14:paraId="25E55B20" w14:textId="77777777" w:rsidR="00994F93" w:rsidRPr="00B03B51" w:rsidRDefault="00994F93" w:rsidP="001C4B02">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i/>
                <w:iCs/>
                <w:sz w:val="24"/>
              </w:rPr>
              <w:t>DTA</w:t>
            </w:r>
            <w:r w:rsidRPr="00B03B51">
              <w:rPr>
                <w:rFonts w:ascii="Times New Roman" w:hAnsi="Times New Roman" w:cs="Times New Roman"/>
                <w:sz w:val="24"/>
              </w:rPr>
              <w:t xml:space="preserve"> ir sabiedrību iespējamie prasījumi pret valdību, jo tie, iespējams, var mazināt nodokļus, kas sabiedrībai būs jāmaksā no savas paredzamās peļņas.</w:t>
            </w:r>
          </w:p>
          <w:p w14:paraId="6AE5A51A" w14:textId="77777777" w:rsidR="00994F93" w:rsidRPr="00B03B51" w:rsidRDefault="00994F93" w:rsidP="001C4B02">
            <w:pPr>
              <w:pStyle w:val="BodyText"/>
              <w:spacing w:before="0"/>
              <w:ind w:left="0" w:firstLine="0"/>
              <w:jc w:val="both"/>
              <w:rPr>
                <w:rFonts w:ascii="Times New Roman" w:hAnsi="Times New Roman" w:cs="Times New Roman"/>
                <w:noProof/>
                <w:sz w:val="24"/>
              </w:rPr>
            </w:pPr>
          </w:p>
          <w:p w14:paraId="06FBC56B" w14:textId="77777777" w:rsidR="00994F93" w:rsidRPr="00B03B51" w:rsidRDefault="00994F93" w:rsidP="001C4B02">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t xml:space="preserve">Katrā valstī atšķiras </w:t>
            </w:r>
            <w:r w:rsidRPr="00B03B51">
              <w:rPr>
                <w:rFonts w:ascii="Times New Roman" w:hAnsi="Times New Roman" w:cs="Times New Roman"/>
                <w:i/>
                <w:iCs/>
                <w:sz w:val="24"/>
              </w:rPr>
              <w:t>DTA</w:t>
            </w:r>
            <w:r w:rsidRPr="00B03B51">
              <w:rPr>
                <w:rFonts w:ascii="Times New Roman" w:hAnsi="Times New Roman" w:cs="Times New Roman"/>
                <w:sz w:val="24"/>
              </w:rPr>
              <w:t xml:space="preserve"> izcelsme un lietošana, un parasti tie ir noteikti valsts tiesību aktos par ienākuma nodokļiem.</w:t>
            </w:r>
          </w:p>
          <w:p w14:paraId="03D14DCD" w14:textId="77777777" w:rsidR="00994F93" w:rsidRPr="00B03B51" w:rsidRDefault="00994F93" w:rsidP="001C4B02">
            <w:pPr>
              <w:pStyle w:val="BodyText"/>
              <w:spacing w:before="0"/>
              <w:ind w:left="0" w:firstLine="0"/>
              <w:jc w:val="both"/>
              <w:rPr>
                <w:rFonts w:ascii="Times New Roman" w:hAnsi="Times New Roman" w:cs="Times New Roman"/>
                <w:noProof/>
                <w:sz w:val="24"/>
              </w:rPr>
            </w:pPr>
          </w:p>
          <w:p w14:paraId="0FA2603B" w14:textId="77777777" w:rsidR="00994F93" w:rsidRPr="00B03B51" w:rsidRDefault="00994F93" w:rsidP="001C4B02">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i/>
                <w:iCs/>
                <w:sz w:val="24"/>
              </w:rPr>
              <w:t>DTA</w:t>
            </w:r>
            <w:r w:rsidRPr="00B03B51">
              <w:rPr>
                <w:rFonts w:ascii="Times New Roman" w:hAnsi="Times New Roman" w:cs="Times New Roman"/>
                <w:sz w:val="24"/>
              </w:rPr>
              <w:t xml:space="preserve"> atzīšana un lietošana ir atkarīga no vairākiem faktoriem, piemēram, vai ir gaidāms, ka paredzamā peļņa būs pietiekama vai ka tiks atceltas atskaitāmās pagaidu starpības (piemēram, noteikumu apvērse).</w:t>
            </w:r>
          </w:p>
          <w:p w14:paraId="63527818" w14:textId="77777777" w:rsidR="00994F93" w:rsidRPr="00B03B51" w:rsidRDefault="00994F93" w:rsidP="001C4B02">
            <w:pPr>
              <w:pStyle w:val="BodyText"/>
              <w:spacing w:before="0"/>
              <w:ind w:left="0" w:firstLine="0"/>
              <w:jc w:val="both"/>
              <w:rPr>
                <w:rFonts w:ascii="Times New Roman" w:hAnsi="Times New Roman" w:cs="Times New Roman"/>
                <w:noProof/>
                <w:sz w:val="24"/>
              </w:rPr>
            </w:pPr>
          </w:p>
          <w:p w14:paraId="6DD6278D" w14:textId="77777777" w:rsidR="00994F93" w:rsidRPr="00B03B51" w:rsidRDefault="00994F93" w:rsidP="001C4B02">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t xml:space="preserve">Ja </w:t>
            </w:r>
            <w:r w:rsidRPr="00B03B51">
              <w:rPr>
                <w:rFonts w:ascii="Times New Roman" w:hAnsi="Times New Roman" w:cs="Times New Roman"/>
                <w:i/>
                <w:iCs/>
                <w:sz w:val="24"/>
              </w:rPr>
              <w:t>DTA</w:t>
            </w:r>
            <w:r w:rsidRPr="00B03B51">
              <w:rPr>
                <w:rFonts w:ascii="Times New Roman" w:hAnsi="Times New Roman" w:cs="Times New Roman"/>
                <w:sz w:val="24"/>
              </w:rPr>
              <w:t xml:space="preserve"> ir parādīti uzņēmējdarbības grāmatvedībā sabiedrības bilancē, sabiedrībai ir tiesības maksāt mazāku nodokli nākotnē, taču </w:t>
            </w:r>
            <w:r w:rsidRPr="00B03B51">
              <w:rPr>
                <w:rFonts w:ascii="Times New Roman" w:hAnsi="Times New Roman" w:cs="Times New Roman"/>
                <w:i/>
                <w:iCs/>
                <w:sz w:val="24"/>
              </w:rPr>
              <w:t>DTA</w:t>
            </w:r>
            <w:r w:rsidRPr="00B03B51">
              <w:rPr>
                <w:rFonts w:ascii="Times New Roman" w:hAnsi="Times New Roman" w:cs="Times New Roman"/>
                <w:sz w:val="24"/>
              </w:rPr>
              <w:t xml:space="preserve"> nav nodokļu kredīts, kamēr pastāv šādas tiesības, un ir piemērojams noteiktai summai. Praktiski uzskatāms, ka </w:t>
            </w:r>
            <w:r w:rsidRPr="00B03B51">
              <w:rPr>
                <w:rFonts w:ascii="Times New Roman" w:hAnsi="Times New Roman" w:cs="Times New Roman"/>
                <w:i/>
                <w:iCs/>
                <w:sz w:val="24"/>
              </w:rPr>
              <w:t>DTA</w:t>
            </w:r>
            <w:r w:rsidRPr="00B03B51">
              <w:rPr>
                <w:rFonts w:ascii="Times New Roman" w:hAnsi="Times New Roman" w:cs="Times New Roman"/>
                <w:sz w:val="24"/>
              </w:rPr>
              <w:t xml:space="preserve"> kļūst par prasījumu ar nodokļu kredīta pazīmēm brīdī, kad ar ticamību var noteikt summas lielumu un kad to var izmantot maksājamo nodokļu samazināšanai, jo stātos spēkā faktiskas, nevis tikai teorētiskas tiesības maksāt mazāku nodokli.</w:t>
            </w:r>
          </w:p>
          <w:p w14:paraId="4BB84F92" w14:textId="77777777" w:rsidR="00994F93" w:rsidRPr="00B03B51" w:rsidRDefault="00994F93" w:rsidP="001C4B02">
            <w:pPr>
              <w:pStyle w:val="BodyText"/>
              <w:spacing w:before="0"/>
              <w:ind w:left="0" w:firstLine="0"/>
              <w:jc w:val="both"/>
              <w:rPr>
                <w:rFonts w:ascii="Times New Roman" w:hAnsi="Times New Roman" w:cs="Times New Roman"/>
                <w:noProof/>
                <w:sz w:val="24"/>
              </w:rPr>
            </w:pPr>
          </w:p>
          <w:p w14:paraId="78D17DE9" w14:textId="77777777" w:rsidR="00994F93" w:rsidRPr="00B03B51" w:rsidRDefault="00994F93" w:rsidP="001C4B02">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t xml:space="preserve">Nacionālajos kontos </w:t>
            </w:r>
            <w:r w:rsidRPr="00B03B51">
              <w:rPr>
                <w:rFonts w:ascii="Times New Roman" w:hAnsi="Times New Roman" w:cs="Times New Roman"/>
                <w:i/>
                <w:iCs/>
                <w:sz w:val="24"/>
              </w:rPr>
              <w:t>DTA</w:t>
            </w:r>
            <w:r w:rsidRPr="00B03B51">
              <w:rPr>
                <w:rFonts w:ascii="Times New Roman" w:hAnsi="Times New Roman" w:cs="Times New Roman"/>
                <w:sz w:val="24"/>
              </w:rPr>
              <w:t xml:space="preserve"> ir iespējamie aktīvi sabiedrībām (un tādējādi iespējamās saistības valdībai), un tāpēc finanšu kontos neieraksta valdības saistības. </w:t>
            </w:r>
            <w:r w:rsidRPr="00B03B51">
              <w:rPr>
                <w:rFonts w:ascii="Times New Roman" w:hAnsi="Times New Roman" w:cs="Times New Roman"/>
                <w:i/>
                <w:iCs/>
                <w:sz w:val="24"/>
              </w:rPr>
              <w:t>DTA</w:t>
            </w:r>
            <w:r w:rsidRPr="00B03B51">
              <w:rPr>
                <w:rFonts w:ascii="Times New Roman" w:hAnsi="Times New Roman" w:cs="Times New Roman"/>
                <w:sz w:val="24"/>
              </w:rPr>
              <w:t xml:space="preserve"> varētu ierakstīt nacionālajos kontos tikai gadījumos, kad tie izraisa prasījumus ar nodokļu kredīta pazīmēm, un tādā gadījumā piemēro EKS 2010 noteikumus par nodokļu kredītu ierakstīšanu (skat. iepriekš 24.–33. rindkopu).</w:t>
            </w:r>
          </w:p>
          <w:p w14:paraId="17D846BD" w14:textId="77777777" w:rsidR="00994F93" w:rsidRPr="00B03B51" w:rsidRDefault="00994F93" w:rsidP="001C4B02">
            <w:pPr>
              <w:pStyle w:val="BodyText"/>
              <w:spacing w:before="0"/>
              <w:ind w:left="0" w:firstLine="0"/>
              <w:jc w:val="both"/>
              <w:rPr>
                <w:rFonts w:ascii="Times New Roman" w:hAnsi="Times New Roman" w:cs="Times New Roman"/>
                <w:noProof/>
                <w:sz w:val="24"/>
              </w:rPr>
            </w:pPr>
          </w:p>
          <w:p w14:paraId="5F1E7422" w14:textId="77777777" w:rsidR="00994F93" w:rsidRPr="00B03B51" w:rsidRDefault="00994F93" w:rsidP="001C4B02">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i/>
                <w:iCs/>
                <w:sz w:val="24"/>
              </w:rPr>
              <w:t>DTA</w:t>
            </w:r>
            <w:r w:rsidRPr="00B03B51">
              <w:rPr>
                <w:rFonts w:ascii="Times New Roman" w:hAnsi="Times New Roman" w:cs="Times New Roman"/>
                <w:sz w:val="24"/>
              </w:rPr>
              <w:t xml:space="preserve"> varētu izraisīt prasījumus ar nodokļu kredīta pazīmēm šādos gadījumos:</w:t>
            </w:r>
          </w:p>
          <w:p w14:paraId="2E5A3463" w14:textId="77777777" w:rsidR="00994F93" w:rsidRPr="00B03B51" w:rsidRDefault="00994F93" w:rsidP="001C4B02">
            <w:pPr>
              <w:pStyle w:val="BodyText"/>
              <w:spacing w:before="0"/>
              <w:ind w:left="0" w:firstLine="0"/>
              <w:jc w:val="both"/>
              <w:rPr>
                <w:rFonts w:ascii="Times New Roman" w:hAnsi="Times New Roman" w:cs="Times New Roman"/>
                <w:noProof/>
                <w:sz w:val="24"/>
              </w:rPr>
            </w:pPr>
          </w:p>
          <w:p w14:paraId="5598935A" w14:textId="77777777" w:rsidR="00994F93" w:rsidRPr="00B03B51" w:rsidRDefault="00994F93" w:rsidP="001C4B02">
            <w:pPr>
              <w:pStyle w:val="BodyText"/>
              <w:tabs>
                <w:tab w:val="left" w:pos="919"/>
              </w:tabs>
              <w:spacing w:before="0"/>
              <w:ind w:left="284" w:firstLine="0"/>
              <w:jc w:val="both"/>
              <w:rPr>
                <w:rFonts w:ascii="Times New Roman" w:hAnsi="Times New Roman" w:cs="Times New Roman"/>
                <w:noProof/>
                <w:sz w:val="24"/>
              </w:rPr>
            </w:pPr>
            <w:r w:rsidRPr="00B03B51">
              <w:rPr>
                <w:rFonts w:ascii="Times New Roman" w:hAnsi="Times New Roman" w:cs="Times New Roman"/>
                <w:sz w:val="24"/>
              </w:rPr>
              <w:t>a) parastais nodokļu ieskaits, jo sabiedrība ir rentabla un atskaitāmās pagaidu starpības tiek atgrieztas, utt.;</w:t>
            </w:r>
          </w:p>
          <w:p w14:paraId="5959D848" w14:textId="77777777" w:rsidR="00994F93" w:rsidRPr="00B03B51" w:rsidRDefault="00994F93" w:rsidP="001C4B02">
            <w:pPr>
              <w:pStyle w:val="BodyText"/>
              <w:tabs>
                <w:tab w:val="left" w:pos="919"/>
              </w:tabs>
              <w:spacing w:before="0"/>
              <w:ind w:left="284" w:firstLine="0"/>
              <w:jc w:val="both"/>
              <w:rPr>
                <w:rFonts w:ascii="Times New Roman" w:hAnsi="Times New Roman" w:cs="Times New Roman"/>
                <w:noProof/>
                <w:sz w:val="24"/>
              </w:rPr>
            </w:pPr>
          </w:p>
          <w:p w14:paraId="66CB3445" w14:textId="77777777" w:rsidR="00994F93" w:rsidRPr="00B03B51" w:rsidRDefault="00994F93" w:rsidP="001C4B02">
            <w:pPr>
              <w:pStyle w:val="BodyText"/>
              <w:tabs>
                <w:tab w:val="left" w:pos="919"/>
              </w:tabs>
              <w:spacing w:before="0"/>
              <w:ind w:left="284" w:firstLine="0"/>
              <w:jc w:val="both"/>
              <w:rPr>
                <w:rFonts w:ascii="Times New Roman" w:hAnsi="Times New Roman" w:cs="Times New Roman"/>
                <w:noProof/>
                <w:sz w:val="24"/>
              </w:rPr>
            </w:pPr>
            <w:r w:rsidRPr="00B03B51">
              <w:rPr>
                <w:rFonts w:ascii="Times New Roman" w:hAnsi="Times New Roman" w:cs="Times New Roman"/>
                <w:sz w:val="24"/>
              </w:rPr>
              <w:t>b) nodokļu kredīti, kas tika pārnesti uz nākamajiem periodiem;</w:t>
            </w:r>
          </w:p>
          <w:p w14:paraId="1CA12D69" w14:textId="77777777" w:rsidR="00994F93" w:rsidRPr="00B03B51" w:rsidRDefault="00994F93" w:rsidP="001C4B02">
            <w:pPr>
              <w:pStyle w:val="BodyText"/>
              <w:tabs>
                <w:tab w:val="left" w:pos="919"/>
              </w:tabs>
              <w:spacing w:before="0"/>
              <w:ind w:left="284" w:firstLine="0"/>
              <w:jc w:val="both"/>
              <w:rPr>
                <w:rFonts w:ascii="Times New Roman" w:hAnsi="Times New Roman" w:cs="Times New Roman"/>
                <w:noProof/>
                <w:sz w:val="24"/>
              </w:rPr>
            </w:pPr>
          </w:p>
          <w:p w14:paraId="6E57CFA9" w14:textId="77777777" w:rsidR="00994F93" w:rsidRPr="00B03B51" w:rsidRDefault="00994F93" w:rsidP="001C4B02">
            <w:pPr>
              <w:pStyle w:val="BodyText"/>
              <w:tabs>
                <w:tab w:val="left" w:pos="919"/>
              </w:tabs>
              <w:spacing w:before="0"/>
              <w:ind w:left="284" w:firstLine="0"/>
              <w:jc w:val="both"/>
              <w:rPr>
                <w:rFonts w:ascii="Times New Roman" w:hAnsi="Times New Roman" w:cs="Times New Roman"/>
                <w:noProof/>
                <w:sz w:val="24"/>
              </w:rPr>
            </w:pPr>
            <w:r w:rsidRPr="00B03B51">
              <w:rPr>
                <w:rFonts w:ascii="Times New Roman" w:hAnsi="Times New Roman" w:cs="Times New Roman"/>
                <w:sz w:val="24"/>
              </w:rPr>
              <w:t xml:space="preserve">c) izmaiņas tiesību aktos, kas noteiktus </w:t>
            </w:r>
            <w:r w:rsidRPr="00B03B51">
              <w:rPr>
                <w:rFonts w:ascii="Times New Roman" w:hAnsi="Times New Roman" w:cs="Times New Roman"/>
                <w:i/>
                <w:iCs/>
                <w:sz w:val="24"/>
              </w:rPr>
              <w:t>DTA</w:t>
            </w:r>
            <w:r w:rsidRPr="00B03B51">
              <w:rPr>
                <w:rFonts w:ascii="Times New Roman" w:hAnsi="Times New Roman" w:cs="Times New Roman"/>
                <w:sz w:val="24"/>
              </w:rPr>
              <w:t>, kurus ir maza varbūtība atgūt, ļauj pārveidot par pilnībā atgūstamiem nodokļu kredītiem īpašos apstākļos (piemēram, ja sabiedrība pārskatā norāda zaudējumus, likvidācijas gadījumā utt.).</w:t>
            </w:r>
          </w:p>
          <w:p w14:paraId="39C68147" w14:textId="77777777" w:rsidR="00994F93" w:rsidRPr="00B03B51" w:rsidRDefault="00994F93" w:rsidP="001C4B02">
            <w:pPr>
              <w:pStyle w:val="BodyText"/>
              <w:spacing w:before="0"/>
              <w:ind w:left="0" w:firstLine="0"/>
              <w:jc w:val="both"/>
              <w:rPr>
                <w:rFonts w:ascii="Times New Roman" w:hAnsi="Times New Roman" w:cs="Times New Roman"/>
                <w:noProof/>
                <w:sz w:val="24"/>
              </w:rPr>
            </w:pPr>
          </w:p>
          <w:p w14:paraId="0F5A5670" w14:textId="77777777" w:rsidR="00994F93" w:rsidRPr="00B03B51" w:rsidRDefault="00994F93" w:rsidP="001C4B02">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t>a) gadījumā prasījums, kas izriet no parasta nodokļu ieskaita, būtu jāuzskata par nemaksājamu nodokļu kredītu, proti, bez iespējas sabiedrībai samaksāt summu, kas pārsniedz nodokļu saistības. Tāpēc saskaņā ar EKS 2010 šie nodokļu kredīti būtu jāatskaita no nodokļu ieņēmumiem.</w:t>
            </w:r>
          </w:p>
          <w:p w14:paraId="17B2D1C5" w14:textId="77777777" w:rsidR="00994F93" w:rsidRPr="00B03B51" w:rsidRDefault="00994F93" w:rsidP="001C4B02">
            <w:pPr>
              <w:pStyle w:val="BodyText"/>
              <w:spacing w:before="0"/>
              <w:ind w:left="0" w:firstLine="0"/>
              <w:jc w:val="both"/>
              <w:rPr>
                <w:rFonts w:ascii="Times New Roman" w:hAnsi="Times New Roman" w:cs="Times New Roman"/>
                <w:noProof/>
                <w:sz w:val="24"/>
              </w:rPr>
            </w:pPr>
          </w:p>
          <w:p w14:paraId="42262631" w14:textId="77777777" w:rsidR="00994F93" w:rsidRPr="00B03B51" w:rsidRDefault="00994F93" w:rsidP="001C4B02">
            <w:pPr>
              <w:pStyle w:val="BodyText"/>
              <w:spacing w:before="0"/>
              <w:ind w:left="0" w:firstLine="0"/>
              <w:jc w:val="both"/>
              <w:rPr>
                <w:rFonts w:ascii="Times New Roman" w:hAnsi="Times New Roman" w:cs="Times New Roman"/>
                <w:noProof/>
                <w:sz w:val="24"/>
                <w:szCs w:val="24"/>
              </w:rPr>
            </w:pPr>
            <w:r w:rsidRPr="00B03B51">
              <w:rPr>
                <w:rFonts w:ascii="Times New Roman" w:hAnsi="Times New Roman" w:cs="Times New Roman"/>
                <w:sz w:val="24"/>
              </w:rPr>
              <w:t>b) gadījumā ievēro EKS 2010 noteikto maksājamo un nemaksājamo nodokļu kredītu ierakstīšanas kārtību. Ja uz nākamajiem periodiem pārnestais nodokļu kredīts ir maksājamais nodokļu kredīts, tas būtu ierakstāms tikai vienreiz, t. i., brīdī, kad to atzinušas nodokļu iestādes, un pēc tam nekādas summas nebūtu jāieraksta, ja summas, kas katrā periodā nav izmantotas, lai maksātu mazāku nodokli, tiek pārnestas uz nākamajiem periodiem, pat ja uzņēmējdarbības grāmatvedības bilancē ir ierakstīti atliktā nodokļa aktīvi. Savukārt, ja uz nākamajiem periodiem tiek pārnests nemaksājamais nodokļu kredīts, summa, kas faktiski izmantota, lai katrā pārskata periodā maksātu mazāku nodokli, būtu jāieraksta kā nodokļu ieņēmumu samazinājums, bet atlikušās summas pārnestas uz nākamajiem periodiem un ierakstītas kā nodokļu ieņēmumu samazinājums turpmākajos pārskata periodos.</w:t>
            </w:r>
          </w:p>
          <w:p w14:paraId="4C940569" w14:textId="77777777" w:rsidR="00994F93" w:rsidRPr="00B03B51" w:rsidRDefault="00994F93" w:rsidP="001C4B02">
            <w:pPr>
              <w:jc w:val="both"/>
              <w:rPr>
                <w:rFonts w:ascii="Times New Roman" w:hAnsi="Times New Roman" w:cs="Times New Roman"/>
                <w:noProof/>
                <w:sz w:val="24"/>
                <w:szCs w:val="24"/>
              </w:rPr>
            </w:pPr>
          </w:p>
          <w:p w14:paraId="65A05E4A" w14:textId="77777777" w:rsidR="00994F93" w:rsidRPr="00B03B51" w:rsidRDefault="00994F93" w:rsidP="001C4B02">
            <w:pPr>
              <w:jc w:val="both"/>
              <w:rPr>
                <w:rFonts w:ascii="Times New Roman" w:hAnsi="Times New Roman" w:cs="Times New Roman"/>
                <w:noProof/>
                <w:sz w:val="24"/>
                <w:szCs w:val="24"/>
              </w:rPr>
            </w:pPr>
            <w:r w:rsidRPr="00B03B51">
              <w:rPr>
                <w:rFonts w:ascii="Times New Roman" w:hAnsi="Times New Roman" w:cs="Times New Roman"/>
                <w:sz w:val="24"/>
                <w:szCs w:val="24"/>
              </w:rPr>
              <w:t xml:space="preserve">c) gadījumā nodokļu kredīts, kas radies, pēc definīcijas ir maksājamais nodokļu kredīts, un ir piemērojami EKS 2010 noteikumi par maksājamajiem nodokļu kredītiem. Tas nozīmē, ka </w:t>
            </w:r>
            <w:r w:rsidRPr="00B03B51">
              <w:rPr>
                <w:rFonts w:ascii="Times New Roman" w:hAnsi="Times New Roman" w:cs="Times New Roman"/>
                <w:sz w:val="24"/>
                <w:szCs w:val="24"/>
              </w:rPr>
              <w:lastRenderedPageBreak/>
              <w:t xml:space="preserve">valdības izdevumus ieraksta katru reizi, kad </w:t>
            </w:r>
            <w:r w:rsidRPr="00B03B51">
              <w:rPr>
                <w:rFonts w:ascii="Times New Roman" w:hAnsi="Times New Roman" w:cs="Times New Roman"/>
                <w:i/>
                <w:iCs/>
                <w:sz w:val="24"/>
                <w:szCs w:val="24"/>
              </w:rPr>
              <w:t>DTA</w:t>
            </w:r>
            <w:r w:rsidRPr="00B03B51">
              <w:rPr>
                <w:rFonts w:ascii="Times New Roman" w:hAnsi="Times New Roman" w:cs="Times New Roman"/>
                <w:sz w:val="24"/>
                <w:szCs w:val="24"/>
              </w:rPr>
              <w:t xml:space="preserve"> summa tiek konvertēta par nodokļu kredītu, brīdī, kad nodokļu iestādes atzīst saistības, un pilnā konvertētās summas apmērā. Šādu gadījumu ierakstīšanu paskaidro katrā atsevišķā gadījumā un abpusēji apspriež ar </w:t>
            </w:r>
            <w:r w:rsidRPr="00B03B51">
              <w:rPr>
                <w:rFonts w:ascii="Times New Roman" w:hAnsi="Times New Roman" w:cs="Times New Roman"/>
                <w:i/>
                <w:iCs/>
                <w:sz w:val="24"/>
                <w:szCs w:val="24"/>
              </w:rPr>
              <w:t>Eurostat</w:t>
            </w:r>
            <w:r w:rsidRPr="00B03B51">
              <w:rPr>
                <w:rFonts w:ascii="Times New Roman" w:hAnsi="Times New Roman" w:cs="Times New Roman"/>
                <w:sz w:val="24"/>
                <w:szCs w:val="24"/>
              </w:rPr>
              <w:t xml:space="preserve">, pamatojoties uz </w:t>
            </w:r>
            <w:r w:rsidRPr="00B03B51">
              <w:rPr>
                <w:rFonts w:ascii="Times New Roman" w:hAnsi="Times New Roman" w:cs="Times New Roman"/>
                <w:i/>
                <w:iCs/>
                <w:sz w:val="24"/>
                <w:szCs w:val="24"/>
              </w:rPr>
              <w:t>Eurostat</w:t>
            </w:r>
            <w:r w:rsidRPr="00B03B51">
              <w:rPr>
                <w:rFonts w:ascii="Times New Roman" w:hAnsi="Times New Roman" w:cs="Times New Roman"/>
                <w:sz w:val="24"/>
                <w:szCs w:val="24"/>
              </w:rPr>
              <w:t xml:space="preserve"> īpašajām vadlīnijām šajā jautājumā. Jāuzsver, ka gadījumā, ja tiesību akti ietekmē </w:t>
            </w:r>
            <w:r w:rsidRPr="00B03B51">
              <w:rPr>
                <w:rFonts w:ascii="Times New Roman" w:hAnsi="Times New Roman" w:cs="Times New Roman"/>
                <w:i/>
                <w:iCs/>
                <w:sz w:val="24"/>
                <w:szCs w:val="24"/>
              </w:rPr>
              <w:t>DTA</w:t>
            </w:r>
            <w:r w:rsidRPr="00B03B51">
              <w:rPr>
                <w:rFonts w:ascii="Times New Roman" w:hAnsi="Times New Roman" w:cs="Times New Roman"/>
                <w:sz w:val="24"/>
                <w:szCs w:val="24"/>
              </w:rPr>
              <w:t xml:space="preserve">, kam ir pazīmes, kas atšķiras no </w:t>
            </w:r>
            <w:r w:rsidRPr="00B03B51">
              <w:rPr>
                <w:rFonts w:ascii="Times New Roman" w:hAnsi="Times New Roman" w:cs="Times New Roman"/>
                <w:i/>
                <w:iCs/>
                <w:sz w:val="24"/>
                <w:szCs w:val="24"/>
              </w:rPr>
              <w:t>Eurostat</w:t>
            </w:r>
            <w:r w:rsidRPr="00B03B51">
              <w:rPr>
                <w:rFonts w:ascii="Times New Roman" w:hAnsi="Times New Roman" w:cs="Times New Roman"/>
                <w:sz w:val="24"/>
                <w:szCs w:val="24"/>
              </w:rPr>
              <w:t xml:space="preserve"> īpašajās vadlīnijās skatītajām un aprakstītajām, var būt piemērojami arī citi nacionālo kontu noteikumi (piemēram, tie, kas attiecas uz kapitāla iepludināšanu).</w:t>
            </w:r>
          </w:p>
        </w:tc>
      </w:tr>
    </w:tbl>
    <w:p w14:paraId="55E3C700" w14:textId="77777777" w:rsidR="00994F93" w:rsidRPr="00B03B51" w:rsidRDefault="00994F93" w:rsidP="00994F93">
      <w:pPr>
        <w:rPr>
          <w:rFonts w:ascii="Times New Roman" w:eastAsia="Arial" w:hAnsi="Times New Roman" w:cs="Times New Roman"/>
          <w:noProof/>
          <w:sz w:val="24"/>
          <w:szCs w:val="29"/>
        </w:rPr>
      </w:pPr>
      <w:r w:rsidRPr="00B03B51">
        <w:rPr>
          <w:rFonts w:ascii="Times New Roman" w:hAnsi="Times New Roman" w:cs="Times New Roman"/>
        </w:rPr>
        <w:lastRenderedPageBreak/>
        <w:br w:type="page"/>
      </w:r>
    </w:p>
    <w:p w14:paraId="1E562FA2" w14:textId="77777777" w:rsidR="00994F93" w:rsidRPr="00B03B51" w:rsidRDefault="00994F93" w:rsidP="00994F93">
      <w:pPr>
        <w:jc w:val="both"/>
        <w:rPr>
          <w:rFonts w:ascii="Times New Roman" w:eastAsia="Times New Roman" w:hAnsi="Times New Roman" w:cs="Times New Roman"/>
          <w:noProof/>
          <w:sz w:val="24"/>
          <w:szCs w:val="19"/>
        </w:rPr>
      </w:pPr>
    </w:p>
    <w:p w14:paraId="6B6E0B27" w14:textId="77777777" w:rsidR="00994F93" w:rsidRPr="00B03B51" w:rsidRDefault="00994F93" w:rsidP="00994F93">
      <w:pPr>
        <w:pStyle w:val="Heading2"/>
        <w:tabs>
          <w:tab w:val="left" w:pos="1279"/>
        </w:tabs>
        <w:spacing w:before="0"/>
        <w:ind w:left="0" w:firstLine="0"/>
        <w:jc w:val="both"/>
        <w:rPr>
          <w:rFonts w:ascii="Times New Roman" w:hAnsi="Times New Roman" w:cs="Times New Roman"/>
          <w:noProof/>
          <w:sz w:val="28"/>
          <w:szCs w:val="44"/>
        </w:rPr>
      </w:pPr>
      <w:bookmarkStart w:id="109" w:name="2.3_Changes_in_the_due_for_payment_dates"/>
      <w:bookmarkStart w:id="110" w:name="_bookmark14"/>
      <w:bookmarkStart w:id="111" w:name="_Toc67565058"/>
      <w:bookmarkEnd w:id="109"/>
      <w:bookmarkEnd w:id="110"/>
      <w:r w:rsidRPr="00B03B51">
        <w:rPr>
          <w:rFonts w:ascii="Times New Roman" w:hAnsi="Times New Roman" w:cs="Times New Roman"/>
          <w:sz w:val="28"/>
          <w:szCs w:val="44"/>
        </w:rPr>
        <w:t>2.3. Maksājuma termiņa maiņa</w:t>
      </w:r>
      <w:bookmarkEnd w:id="111"/>
    </w:p>
    <w:p w14:paraId="77AEC4EF" w14:textId="77777777" w:rsidR="00994F93" w:rsidRPr="00E843F0" w:rsidRDefault="00994F93" w:rsidP="00E843F0">
      <w:pPr>
        <w:rPr>
          <w:rFonts w:ascii="Times New Roman" w:hAnsi="Times New Roman" w:cs="Times New Roman"/>
          <w:noProof/>
          <w:sz w:val="24"/>
          <w:szCs w:val="24"/>
        </w:rPr>
      </w:pPr>
      <w:bookmarkStart w:id="112" w:name="2.3.1_Background"/>
      <w:bookmarkEnd w:id="112"/>
    </w:p>
    <w:p w14:paraId="06C60914" w14:textId="77777777" w:rsidR="00994F93" w:rsidRPr="00B03B51" w:rsidRDefault="00994F93" w:rsidP="00994F93">
      <w:pPr>
        <w:pStyle w:val="Heading3"/>
        <w:tabs>
          <w:tab w:val="left" w:pos="1267"/>
        </w:tabs>
        <w:ind w:left="0" w:firstLine="0"/>
        <w:jc w:val="both"/>
        <w:rPr>
          <w:rFonts w:ascii="Times New Roman" w:hAnsi="Times New Roman" w:cs="Times New Roman"/>
          <w:noProof/>
          <w:sz w:val="24"/>
        </w:rPr>
      </w:pPr>
      <w:bookmarkStart w:id="113" w:name="_Toc67565059"/>
      <w:r w:rsidRPr="00B03B51">
        <w:rPr>
          <w:rFonts w:ascii="Times New Roman" w:hAnsi="Times New Roman" w:cs="Times New Roman"/>
          <w:sz w:val="24"/>
        </w:rPr>
        <w:t>2.3.1. Vispārīga informācija</w:t>
      </w:r>
      <w:bookmarkEnd w:id="113"/>
    </w:p>
    <w:p w14:paraId="7656E84E"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7F1AE055"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 Dažkārt valdības maina nodokļu, subsīdiju, darbinieku atalgojuma, sociālo iemaksu un pabalstu maksājuma datumu, kas parasti ir pēdējais brīdis, kad vienības, kuras uzņēmušas saistības, var veikt maksājumus bez papildu maksas vai soda.</w:t>
      </w:r>
    </w:p>
    <w:p w14:paraId="451D2194"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099DF89F"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2. Ierakstīšanas laiks dažādiem darījumiem ir noteikts EKS 2010. Atbilstīgi vispārējam principam sistēmā plūsmas ieraksta pēc uzkrāšanas principa, tas ir, kad ekonomiskās vērtības tiek radītas, pārveidotas vai iznīcinātas vai kad saistības un prasības rodas, tiek pārveidotas vai dzēstas (EKS 2010 1.101. punkts).</w:t>
      </w:r>
    </w:p>
    <w:p w14:paraId="0C5794AD"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16EF6B12" w14:textId="77777777" w:rsidR="00994F93" w:rsidRPr="00B03B51" w:rsidRDefault="00994F93" w:rsidP="003A6A04">
      <w:pPr>
        <w:pStyle w:val="BodyText"/>
        <w:numPr>
          <w:ilvl w:val="1"/>
          <w:numId w:val="16"/>
        </w:numPr>
        <w:spacing w:before="0"/>
        <w:ind w:left="426" w:hanging="425"/>
        <w:jc w:val="both"/>
        <w:rPr>
          <w:rFonts w:ascii="Times New Roman" w:hAnsi="Times New Roman" w:cs="Times New Roman"/>
          <w:noProof/>
          <w:sz w:val="24"/>
          <w:szCs w:val="12"/>
        </w:rPr>
      </w:pPr>
      <w:r w:rsidRPr="00B03B51">
        <w:rPr>
          <w:rFonts w:ascii="Times New Roman" w:hAnsi="Times New Roman" w:cs="Times New Roman"/>
          <w:sz w:val="24"/>
        </w:rPr>
        <w:t>Algas un arī darba devēju un darbinieku faktiskās sociālās iemaksas ieraksta periodā, kad tiek veikts darbs. Tomēr īpašas prēmijas un citus ārkārtas maksājumus, 13. mēnešalgu utt. ieraksta tad, kad tie ir jāmaksā (EKS 2010 4.26. punkts).</w:t>
      </w:r>
      <w:r w:rsidRPr="00B03B51">
        <w:rPr>
          <w:rStyle w:val="FootnoteReference"/>
          <w:rFonts w:ascii="Times New Roman" w:hAnsi="Times New Roman" w:cs="Times New Roman"/>
          <w:noProof/>
          <w:sz w:val="24"/>
        </w:rPr>
        <w:footnoteReference w:id="121"/>
      </w:r>
    </w:p>
    <w:p w14:paraId="79EB4A2F" w14:textId="77777777" w:rsidR="00994F93" w:rsidRPr="00B03B51" w:rsidRDefault="00994F93" w:rsidP="003A6A04">
      <w:pPr>
        <w:pStyle w:val="BodyText"/>
        <w:numPr>
          <w:ilvl w:val="1"/>
          <w:numId w:val="16"/>
        </w:numPr>
        <w:spacing w:before="0"/>
        <w:ind w:left="426" w:hanging="425"/>
        <w:jc w:val="both"/>
        <w:rPr>
          <w:rFonts w:ascii="Times New Roman" w:hAnsi="Times New Roman" w:cs="Times New Roman"/>
          <w:noProof/>
          <w:sz w:val="24"/>
        </w:rPr>
      </w:pPr>
      <w:r w:rsidRPr="00B03B51">
        <w:rPr>
          <w:rFonts w:ascii="Times New Roman" w:hAnsi="Times New Roman" w:cs="Times New Roman"/>
          <w:sz w:val="24"/>
        </w:rPr>
        <w:t>Ražošanas un importa nodokļus ieraksta tad, kad notiek darbības, darījumi vai citi notikumi, kuri rada nodokļu maksāšanas saistības (EKS 2010 4.26. punkts).</w:t>
      </w:r>
    </w:p>
    <w:p w14:paraId="5289D333" w14:textId="77777777" w:rsidR="00994F93" w:rsidRPr="00B03B51" w:rsidRDefault="00994F93" w:rsidP="003A6A04">
      <w:pPr>
        <w:pStyle w:val="BodyText"/>
        <w:numPr>
          <w:ilvl w:val="1"/>
          <w:numId w:val="16"/>
        </w:numPr>
        <w:spacing w:before="0"/>
        <w:ind w:left="426" w:hanging="425"/>
        <w:jc w:val="both"/>
        <w:rPr>
          <w:rFonts w:ascii="Times New Roman" w:hAnsi="Times New Roman" w:cs="Times New Roman"/>
          <w:noProof/>
          <w:sz w:val="24"/>
        </w:rPr>
      </w:pPr>
      <w:r w:rsidRPr="00B03B51">
        <w:rPr>
          <w:rFonts w:ascii="Times New Roman" w:hAnsi="Times New Roman" w:cs="Times New Roman"/>
          <w:sz w:val="24"/>
        </w:rPr>
        <w:t>Subsīdijas ieraksta tad, kad notiek darījums vai notikums (ražošana, pārdošana, imports u. tml.), kas rada pamatu subsīdijai (EKS 4.39. punkts).</w:t>
      </w:r>
    </w:p>
    <w:p w14:paraId="0C783B8C" w14:textId="77777777" w:rsidR="00994F93" w:rsidRPr="00B03B51" w:rsidRDefault="00994F93" w:rsidP="003A6A04">
      <w:pPr>
        <w:pStyle w:val="BodyText"/>
        <w:numPr>
          <w:ilvl w:val="1"/>
          <w:numId w:val="16"/>
        </w:numPr>
        <w:spacing w:before="0"/>
        <w:ind w:left="426" w:hanging="425"/>
        <w:jc w:val="both"/>
        <w:rPr>
          <w:rFonts w:ascii="Times New Roman" w:hAnsi="Times New Roman" w:cs="Times New Roman"/>
          <w:noProof/>
          <w:sz w:val="24"/>
        </w:rPr>
      </w:pPr>
      <w:r w:rsidRPr="00B03B51">
        <w:rPr>
          <w:rFonts w:ascii="Times New Roman" w:hAnsi="Times New Roman" w:cs="Times New Roman"/>
          <w:sz w:val="24"/>
        </w:rPr>
        <w:t>Ienākuma, mantas u. tml. kārtējos nodokļus ieraksta tad, kad notiek darbības, darījumi vai citi notikumi, kas rada saistības veikt maksājumu (EKS 2010 4.82. punkts).</w:t>
      </w:r>
    </w:p>
    <w:p w14:paraId="7B913289" w14:textId="77777777" w:rsidR="00994F93" w:rsidRPr="00B03B51" w:rsidRDefault="00994F93" w:rsidP="003A6A04">
      <w:pPr>
        <w:pStyle w:val="BodyText"/>
        <w:numPr>
          <w:ilvl w:val="1"/>
          <w:numId w:val="16"/>
        </w:numPr>
        <w:spacing w:before="0"/>
        <w:ind w:left="426" w:hanging="425"/>
        <w:jc w:val="both"/>
        <w:rPr>
          <w:rFonts w:ascii="Times New Roman" w:hAnsi="Times New Roman" w:cs="Times New Roman"/>
          <w:noProof/>
          <w:sz w:val="24"/>
        </w:rPr>
      </w:pPr>
      <w:r w:rsidRPr="00B03B51">
        <w:rPr>
          <w:rFonts w:ascii="Times New Roman" w:hAnsi="Times New Roman" w:cs="Times New Roman"/>
          <w:sz w:val="24"/>
        </w:rPr>
        <w:t>Dažos gadījumos saistības maksāt ienākuma nodokļus var noteikt tikai vēlākā grāmatvedības pārskata periodā, nevis tajā periodā, kurā uzkrājas minētais ienākums. Tāpēc attiecībā uz laiku, kad ieraksta šādus nodokļus, ir jāpiemēro noteikta elastība. Ienākuma nodokļus, ko atskaita sākumpunktā, piemēram, “maksā, kad nopelni” nodokļus (</w:t>
      </w:r>
      <w:r w:rsidRPr="00B03B51">
        <w:rPr>
          <w:rFonts w:ascii="Times New Roman" w:hAnsi="Times New Roman" w:cs="Times New Roman"/>
          <w:i/>
          <w:iCs/>
          <w:sz w:val="24"/>
        </w:rPr>
        <w:t>PAYE</w:t>
      </w:r>
      <w:r w:rsidRPr="00B03B51">
        <w:rPr>
          <w:rFonts w:ascii="Times New Roman" w:hAnsi="Times New Roman" w:cs="Times New Roman"/>
          <w:sz w:val="24"/>
        </w:rPr>
        <w:t xml:space="preserve"> nodokļus) un regulārus ienākuma nodokļa priekšmaksājumus, var ierakstīt laika posmos, kad tos maksā, un jebkuras galīgās ienākuma nodokļa saistības var ierakstīt laika posmā, kad saistības konstatē (EKS 2010 4.82. punkts).</w:t>
      </w:r>
    </w:p>
    <w:p w14:paraId="0C4CB951" w14:textId="77777777" w:rsidR="00994F93" w:rsidRPr="00B03B51" w:rsidRDefault="00994F93" w:rsidP="003A6A04">
      <w:pPr>
        <w:pStyle w:val="BodyText"/>
        <w:numPr>
          <w:ilvl w:val="1"/>
          <w:numId w:val="16"/>
        </w:numPr>
        <w:spacing w:before="0"/>
        <w:ind w:left="426" w:hanging="425"/>
        <w:jc w:val="both"/>
        <w:rPr>
          <w:rFonts w:ascii="Times New Roman" w:hAnsi="Times New Roman" w:cs="Times New Roman"/>
          <w:noProof/>
          <w:sz w:val="24"/>
        </w:rPr>
      </w:pPr>
      <w:r w:rsidRPr="00B03B51">
        <w:rPr>
          <w:rFonts w:ascii="Times New Roman" w:hAnsi="Times New Roman" w:cs="Times New Roman"/>
          <w:sz w:val="24"/>
        </w:rPr>
        <w:t>Sociālos pabalstus skaidrā naudā ieraksta tad, kad tiek izveidotas prasības saņemt pabalstu (EKS 2010 4.107.punkts).</w:t>
      </w:r>
    </w:p>
    <w:p w14:paraId="766E2287" w14:textId="77777777" w:rsidR="00994F93" w:rsidRPr="00B03B51" w:rsidRDefault="00994F93" w:rsidP="00994F93">
      <w:pPr>
        <w:jc w:val="both"/>
        <w:rPr>
          <w:rFonts w:ascii="Times New Roman" w:eastAsia="Arial" w:hAnsi="Times New Roman" w:cs="Times New Roman"/>
          <w:noProof/>
          <w:sz w:val="24"/>
          <w:szCs w:val="20"/>
        </w:rPr>
      </w:pPr>
    </w:p>
    <w:p w14:paraId="7A2F8788" w14:textId="77777777" w:rsidR="00994F93" w:rsidRPr="00B03B51" w:rsidRDefault="00994F93" w:rsidP="00994F93">
      <w:pPr>
        <w:pStyle w:val="Heading3"/>
        <w:tabs>
          <w:tab w:val="left" w:pos="1267"/>
        </w:tabs>
        <w:ind w:left="0" w:firstLine="0"/>
        <w:jc w:val="both"/>
        <w:rPr>
          <w:rFonts w:ascii="Times New Roman" w:hAnsi="Times New Roman" w:cs="Times New Roman"/>
          <w:noProof/>
          <w:sz w:val="24"/>
        </w:rPr>
      </w:pPr>
      <w:bookmarkStart w:id="114" w:name="2.3.2_Treatment_in_national_accounts"/>
      <w:bookmarkStart w:id="115" w:name="_Toc67565060"/>
      <w:bookmarkEnd w:id="114"/>
      <w:r w:rsidRPr="00B03B51">
        <w:rPr>
          <w:rFonts w:ascii="Times New Roman" w:hAnsi="Times New Roman" w:cs="Times New Roman"/>
          <w:sz w:val="24"/>
        </w:rPr>
        <w:t>2.3.2. Traktējums nacionālajos kontos</w:t>
      </w:r>
      <w:bookmarkEnd w:id="115"/>
    </w:p>
    <w:p w14:paraId="0C6F5B3B" w14:textId="77777777" w:rsidR="00994F93" w:rsidRPr="009E490B" w:rsidRDefault="00994F93" w:rsidP="009E490B">
      <w:pPr>
        <w:rPr>
          <w:rFonts w:ascii="Times New Roman" w:hAnsi="Times New Roman" w:cs="Times New Roman"/>
          <w:noProof/>
          <w:sz w:val="24"/>
          <w:szCs w:val="24"/>
        </w:rPr>
      </w:pPr>
      <w:bookmarkStart w:id="116" w:name="2.3.2.1_For_most_distributive_transactio"/>
      <w:bookmarkEnd w:id="116"/>
    </w:p>
    <w:p w14:paraId="270B8C6D" w14:textId="77777777" w:rsidR="00994F93" w:rsidRPr="00B03B51" w:rsidRDefault="00994F93" w:rsidP="00994F93">
      <w:pPr>
        <w:pStyle w:val="Heading6"/>
        <w:tabs>
          <w:tab w:val="left" w:pos="1267"/>
        </w:tabs>
        <w:ind w:left="0" w:firstLine="0"/>
        <w:jc w:val="both"/>
        <w:rPr>
          <w:rFonts w:ascii="Times New Roman" w:hAnsi="Times New Roman" w:cs="Times New Roman"/>
          <w:noProof/>
          <w:sz w:val="24"/>
        </w:rPr>
      </w:pPr>
      <w:r w:rsidRPr="00B03B51">
        <w:rPr>
          <w:rFonts w:ascii="Times New Roman" w:hAnsi="Times New Roman" w:cs="Times New Roman"/>
          <w:sz w:val="24"/>
        </w:rPr>
        <w:t>2.3.2.1. BIEŽĀKAJIEM SADALES DARĪJUMIEM</w:t>
      </w:r>
    </w:p>
    <w:p w14:paraId="0116E899"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66E5F57E"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 xml:space="preserve">3. Ierakstīšanas laiks attiecas uz “uzkrāšanas principu”: summās, kas jāieraksta </w:t>
      </w:r>
      <w:r w:rsidRPr="00B03B51">
        <w:rPr>
          <w:rFonts w:ascii="Times New Roman" w:hAnsi="Times New Roman" w:cs="Times New Roman"/>
          <w:i/>
          <w:iCs/>
          <w:sz w:val="24"/>
        </w:rPr>
        <w:t>n</w:t>
      </w:r>
      <w:r w:rsidRPr="00B03B51">
        <w:rPr>
          <w:rFonts w:ascii="Times New Roman" w:hAnsi="Times New Roman" w:cs="Times New Roman"/>
          <w:sz w:val="24"/>
        </w:rPr>
        <w:t xml:space="preserve"> gadā, jāiekļauj summas, kas jāmaksā saistībā ar darījumiem, kuri veikti no </w:t>
      </w:r>
      <w:r w:rsidRPr="00B03B51">
        <w:rPr>
          <w:rFonts w:ascii="Times New Roman" w:hAnsi="Times New Roman" w:cs="Times New Roman"/>
          <w:i/>
          <w:iCs/>
          <w:sz w:val="24"/>
        </w:rPr>
        <w:t>n</w:t>
      </w:r>
      <w:r w:rsidRPr="00B03B51">
        <w:rPr>
          <w:rFonts w:ascii="Times New Roman" w:hAnsi="Times New Roman" w:cs="Times New Roman"/>
          <w:sz w:val="24"/>
        </w:rPr>
        <w:t xml:space="preserve"> gada 1. janvāra līdz </w:t>
      </w:r>
      <w:r w:rsidRPr="00B03B51">
        <w:rPr>
          <w:rFonts w:ascii="Times New Roman" w:hAnsi="Times New Roman" w:cs="Times New Roman"/>
          <w:i/>
          <w:iCs/>
          <w:sz w:val="24"/>
        </w:rPr>
        <w:t>n</w:t>
      </w:r>
      <w:r w:rsidRPr="00B03B51">
        <w:rPr>
          <w:rFonts w:ascii="Times New Roman" w:hAnsi="Times New Roman" w:cs="Times New Roman"/>
          <w:sz w:val="24"/>
        </w:rPr>
        <w:t> gada 31. decembrim, t. i., summas attiecībā uz darījumiem, kuri veikti konkrētā gada 12 mēnešu laikā.</w:t>
      </w:r>
    </w:p>
    <w:p w14:paraId="1F07E0A8"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0C4251F8"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4. Piemēram, tiek saīsināts termiņš PVN maksājumiem, ko valsts noteikusi uzņēmumiem: minēto termiņu saīsina, piemēram, no 2 mēnešiem uz 1 mēnesi. Līdz ar to PVN maksājuma termiņš tiek pavirzīts uz priekšu par vienu mēnesi. Tādā gadījumā, pamatojoties uz naudas plūsmas principu, valsts budžetā tiks ierakstīti trīspadsmit (13) PVN saņemšanas mēneši tajā gadā, kad piemēro minēto maksājuma termiņa saīsinājumu.</w:t>
      </w:r>
    </w:p>
    <w:p w14:paraId="674F4EC3"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688D8D77"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lastRenderedPageBreak/>
        <w:t>5. Tomēr PVN summā, kas nacionālajos kontos ierakstīta kā ieņēmumi, nedrīkst iekļaut papildu naudas ieņēmumus, kas saņemti par trīspadsmito mēnesi, un tai joprojām jābūt balstītai uz divpadsmit mēnešus ilgu gadu. Šādā gadījumā tiek skarti vienīgi finanšu konti (nauda (F.2) un citi debitoru parādi (F.8)).</w:t>
      </w:r>
    </w:p>
    <w:p w14:paraId="19790D63"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54034BCE"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6. Lai gan maksājuma termiņa maiņa ietekmē naudas summas publiskajos kontos, tā nav jāņem vērā, aprēķinot nodokļus, kas ierakstīti nacionālajos kontos atbilstīgi uzkrāšanas principam.</w:t>
      </w:r>
    </w:p>
    <w:p w14:paraId="1D800A8F"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5421D8EE"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7. Iepriekš jau tika norādīts, ka nodokļi un sociālās iemaksas, kas ierakstītas kā valdības ieņēmumi, var būt iegūti no diviem avotiem: kases ieņēmumiem vai summām, ko apliecina nodokļu aprēķini un deklarācijas. Ja izmanto kases ieņēmumus, to laiks jāprecizē tā, lai nauda tiktu sadalīta brīdī, kad notiek darbība, kas rada nodokļa saistības (izņemot dažus ienākuma nodokļu gadījumus). Šo precizējumu var veikt, pamatojoties uz vidējo laika posmu starp darbību un nodokļu naudas ieņēmumiem. Tāpēc iepriekš minētajā piemērā gūtie kases ieņēmumi tiktu koriģēti, lai ņemtu vērā PVN maksājuma termiņa saīsinājumu, un trīspadsmitajā mēnesī gūtie papildu ieņēmumi tiktu neitralizēti.</w:t>
      </w:r>
    </w:p>
    <w:p w14:paraId="318BF927"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61E22D13"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8. Tādējādi attiecībā uz lielāko sadales darījumu daļu maksājuma termiņa maiņa neietekmē valdības neto aizdevumu/aizņēmumu (B.9), kas aprēķināts, pamatojoties uz uzkrāšanas principu saskaņā ar EKS 2010 noteikumiem.</w:t>
      </w:r>
    </w:p>
    <w:p w14:paraId="3CE81EEC" w14:textId="77777777" w:rsidR="00994F93" w:rsidRPr="00B03B51" w:rsidRDefault="00994F93" w:rsidP="00994F93">
      <w:pPr>
        <w:jc w:val="both"/>
        <w:rPr>
          <w:rFonts w:ascii="Times New Roman" w:eastAsia="Arial" w:hAnsi="Times New Roman" w:cs="Times New Roman"/>
          <w:noProof/>
          <w:sz w:val="24"/>
          <w:szCs w:val="15"/>
        </w:rPr>
      </w:pPr>
    </w:p>
    <w:p w14:paraId="2FF72897" w14:textId="77777777" w:rsidR="00994F93" w:rsidRPr="00B03B51" w:rsidRDefault="00994F93" w:rsidP="00994F93">
      <w:pPr>
        <w:pStyle w:val="Heading6"/>
        <w:tabs>
          <w:tab w:val="left" w:pos="1267"/>
        </w:tabs>
        <w:ind w:left="0" w:firstLine="0"/>
        <w:jc w:val="both"/>
        <w:rPr>
          <w:rFonts w:ascii="Times New Roman" w:hAnsi="Times New Roman" w:cs="Times New Roman"/>
          <w:noProof/>
          <w:sz w:val="24"/>
        </w:rPr>
      </w:pPr>
      <w:bookmarkStart w:id="117" w:name="2.3.2.2_Exceptions"/>
      <w:bookmarkEnd w:id="117"/>
      <w:r w:rsidRPr="00B03B51">
        <w:rPr>
          <w:rFonts w:ascii="Times New Roman" w:hAnsi="Times New Roman" w:cs="Times New Roman"/>
          <w:sz w:val="24"/>
        </w:rPr>
        <w:t>2.3.2.2. IZŅĒMUMI</w:t>
      </w:r>
    </w:p>
    <w:p w14:paraId="37DCEF10"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31CC1A38"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9. Dažu sadales darījumu gadījumā ir pieļaujami izņēmumi no šī vispārīgā principa, piemēram, attiecībā uz vienreizējām prēmijām vai citiem ārkārtas maksājumiem, 13. mēnešalgu utt., ko darba devējs izmaksā saviem darbiniekiem, un noteiktiem ienākuma nodokļiem, pašnodarbināto un nenodarbināto personu sociālajām iemaksām, kurām maksājumu saistības var noteikt tikai vēlākā pārskata periodā. Tāpēc maksājuma termiņa maiņa (piemēram, pirmstermiņa maksājumi) attiecībā uz šādiem darījumu veidiem var ietekmēt valdības neto aizdevumu/aizņēmumu (B.9).</w:t>
      </w:r>
    </w:p>
    <w:p w14:paraId="7E16B546"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483543F4"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10. Piemēram, gadā (</w:t>
      </w:r>
      <w:r w:rsidRPr="00B03B51">
        <w:rPr>
          <w:rFonts w:ascii="Times New Roman" w:hAnsi="Times New Roman" w:cs="Times New Roman"/>
          <w:i/>
          <w:iCs/>
          <w:sz w:val="24"/>
        </w:rPr>
        <w:t>n+1</w:t>
      </w:r>
      <w:r w:rsidRPr="00B03B51">
        <w:rPr>
          <w:rFonts w:ascii="Times New Roman" w:hAnsi="Times New Roman" w:cs="Times New Roman"/>
          <w:sz w:val="24"/>
        </w:rPr>
        <w:t>), kas seko ienākuma atsauces gadam (</w:t>
      </w:r>
      <w:r w:rsidRPr="00B03B51">
        <w:rPr>
          <w:rFonts w:ascii="Times New Roman" w:hAnsi="Times New Roman" w:cs="Times New Roman"/>
          <w:i/>
          <w:iCs/>
          <w:sz w:val="24"/>
        </w:rPr>
        <w:t>n</w:t>
      </w:r>
      <w:r w:rsidRPr="00B03B51">
        <w:rPr>
          <w:rFonts w:ascii="Times New Roman" w:hAnsi="Times New Roman" w:cs="Times New Roman"/>
          <w:sz w:val="24"/>
        </w:rPr>
        <w:t xml:space="preserve">), sabiedrības maksā ienākuma nodokli vairākos maksājumos. Tiek pieņemts, ka pirmais maksājums tām jāveic avansā </w:t>
      </w:r>
      <w:r w:rsidRPr="00B03B51">
        <w:rPr>
          <w:rFonts w:ascii="Times New Roman" w:hAnsi="Times New Roman" w:cs="Times New Roman"/>
          <w:i/>
          <w:iCs/>
          <w:sz w:val="24"/>
        </w:rPr>
        <w:t>n</w:t>
      </w:r>
      <w:r w:rsidRPr="00B03B51">
        <w:rPr>
          <w:rFonts w:ascii="Times New Roman" w:hAnsi="Times New Roman" w:cs="Times New Roman"/>
          <w:sz w:val="24"/>
        </w:rPr>
        <w:t xml:space="preserve"> gada beigās. Kad būtu jāieraksta šis pirmstermiņa maksājums? </w:t>
      </w:r>
      <w:r w:rsidRPr="00B03B51">
        <w:rPr>
          <w:rFonts w:ascii="Times New Roman" w:hAnsi="Times New Roman" w:cs="Times New Roman"/>
          <w:i/>
          <w:iCs/>
          <w:sz w:val="24"/>
        </w:rPr>
        <w:t>n</w:t>
      </w:r>
      <w:r w:rsidRPr="00B03B51">
        <w:rPr>
          <w:rFonts w:ascii="Times New Roman" w:hAnsi="Times New Roman" w:cs="Times New Roman"/>
          <w:sz w:val="24"/>
        </w:rPr>
        <w:t xml:space="preserve"> gadā vai </w:t>
      </w:r>
      <w:r w:rsidRPr="00B03B51">
        <w:rPr>
          <w:rFonts w:ascii="Times New Roman" w:hAnsi="Times New Roman" w:cs="Times New Roman"/>
          <w:i/>
          <w:iCs/>
          <w:sz w:val="24"/>
        </w:rPr>
        <w:t>n+1</w:t>
      </w:r>
      <w:r w:rsidRPr="00B03B51">
        <w:rPr>
          <w:rFonts w:ascii="Times New Roman" w:hAnsi="Times New Roman" w:cs="Times New Roman"/>
          <w:sz w:val="24"/>
        </w:rPr>
        <w:t xml:space="preserve"> gadā? Precīzāk, kādos apstākļos būtu uzskatāms, ka maksājuma termiņš ir mainīts?</w:t>
      </w:r>
    </w:p>
    <w:p w14:paraId="3E7CB57E" w14:textId="77777777" w:rsidR="00994F93" w:rsidRPr="00B03B51" w:rsidRDefault="00994F93" w:rsidP="00994F93">
      <w:pPr>
        <w:jc w:val="both"/>
        <w:rPr>
          <w:rFonts w:ascii="Times New Roman" w:eastAsia="Arial" w:hAnsi="Times New Roman" w:cs="Times New Roman"/>
          <w:noProof/>
          <w:sz w:val="24"/>
          <w:szCs w:val="15"/>
        </w:rPr>
      </w:pPr>
    </w:p>
    <w:p w14:paraId="514B720C" w14:textId="77777777" w:rsidR="00994F93" w:rsidRPr="00B03B51" w:rsidRDefault="00994F93" w:rsidP="00994F93">
      <w:pPr>
        <w:pStyle w:val="Heading6"/>
        <w:tabs>
          <w:tab w:val="left" w:pos="1267"/>
        </w:tabs>
        <w:ind w:left="0" w:firstLine="0"/>
        <w:jc w:val="both"/>
        <w:rPr>
          <w:rFonts w:ascii="Times New Roman" w:hAnsi="Times New Roman" w:cs="Times New Roman"/>
          <w:noProof/>
          <w:sz w:val="24"/>
        </w:rPr>
      </w:pPr>
      <w:bookmarkStart w:id="118" w:name="2.3.2.3_Rule_concerning_the_change_in_th"/>
      <w:bookmarkEnd w:id="118"/>
      <w:r w:rsidRPr="00B03B51">
        <w:rPr>
          <w:rFonts w:ascii="Times New Roman" w:hAnsi="Times New Roman" w:cs="Times New Roman"/>
          <w:sz w:val="24"/>
        </w:rPr>
        <w:t>2.3.2.3. PRINCIPS, KO PIEMĒRO ATTIECĪBĀ UZ MAKSĀJUMA TERMIŅA MAIŅU</w:t>
      </w:r>
    </w:p>
    <w:p w14:paraId="566316F1"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3273FA90"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11. Visas izmaiņas maksājuma termiņā, kuras skar valdības iekasētās summas un veiktas, pamatojoties uz tiesību aktiem vai vienkāršu administratīvu lēmumu, un tiks piemērotas pastāvīgi, proti, izmaiņas, kas nav vienreizējas izmaiņas, ietekmē nefinanšu kontos ierakstītās summas un līdz ar to arī vispārējās valdības neto aizdevumu/aizņēmumu (B.9).</w:t>
      </w:r>
    </w:p>
    <w:p w14:paraId="26602614"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51A196D8"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12. Turpretī gadījumā, ja paredzēts, ka tiesību aktos vai vienkāršā administratīvā lēmumā noteiktas maksājumu termiņa izmaiņas netiks piemērotas pastāvīgi (ir apliecinājums, ka tās tiks piemērotas tikai vienu reizi), un šīs izmaiņas ietekmē valdības saņemtās naudas summas, tās nav jāņem vērā, kad ierakstīšana tiek veikta atbilstīgi uzkrāšanas principam. Līdz ar to ietekme attiecībā uz vispārējās valdības neto aizdevumu/neto aizņēmumu (B.9) nepastāv.</w:t>
      </w:r>
    </w:p>
    <w:p w14:paraId="3F24C48B" w14:textId="77777777" w:rsidR="00994F93" w:rsidRPr="00B03B51" w:rsidRDefault="00994F93" w:rsidP="00994F93">
      <w:pPr>
        <w:rPr>
          <w:rFonts w:ascii="Times New Roman" w:hAnsi="Times New Roman" w:cs="Times New Roman"/>
          <w:noProof/>
          <w:sz w:val="24"/>
        </w:rPr>
      </w:pPr>
      <w:r w:rsidRPr="00B03B51">
        <w:rPr>
          <w:rFonts w:ascii="Times New Roman" w:hAnsi="Times New Roman" w:cs="Times New Roman"/>
        </w:rPr>
        <w:br w:type="page"/>
      </w:r>
    </w:p>
    <w:p w14:paraId="0094EDCE" w14:textId="77777777" w:rsidR="00994F93" w:rsidRPr="00B03B51" w:rsidRDefault="00994F93" w:rsidP="00994F93">
      <w:pPr>
        <w:jc w:val="both"/>
        <w:rPr>
          <w:rFonts w:ascii="Times New Roman" w:eastAsia="Arial" w:hAnsi="Times New Roman" w:cs="Times New Roman"/>
          <w:noProof/>
          <w:sz w:val="24"/>
          <w:szCs w:val="19"/>
        </w:rPr>
      </w:pPr>
    </w:p>
    <w:p w14:paraId="6C739B20" w14:textId="77777777" w:rsidR="00994F93" w:rsidRPr="00B03B51" w:rsidRDefault="00994F93" w:rsidP="00994F93">
      <w:pPr>
        <w:pStyle w:val="Heading2"/>
        <w:tabs>
          <w:tab w:val="left" w:pos="1267"/>
        </w:tabs>
        <w:spacing w:before="0"/>
        <w:ind w:left="0" w:firstLine="0"/>
        <w:jc w:val="both"/>
        <w:rPr>
          <w:rFonts w:ascii="Times New Roman" w:hAnsi="Times New Roman" w:cs="Times New Roman"/>
          <w:noProof/>
          <w:sz w:val="28"/>
          <w:szCs w:val="44"/>
        </w:rPr>
      </w:pPr>
      <w:bookmarkStart w:id="119" w:name="2.4_Recording_of_interest"/>
      <w:bookmarkStart w:id="120" w:name="_bookmark15"/>
      <w:bookmarkStart w:id="121" w:name="_Toc67565061"/>
      <w:bookmarkEnd w:id="119"/>
      <w:bookmarkEnd w:id="120"/>
      <w:r w:rsidRPr="00B03B51">
        <w:rPr>
          <w:rFonts w:ascii="Times New Roman" w:hAnsi="Times New Roman" w:cs="Times New Roman"/>
          <w:sz w:val="28"/>
          <w:szCs w:val="44"/>
        </w:rPr>
        <w:t>2.4. Procentu ierakstīšana</w:t>
      </w:r>
      <w:bookmarkEnd w:id="121"/>
    </w:p>
    <w:p w14:paraId="2A1309AC" w14:textId="77777777" w:rsidR="00994F93" w:rsidRPr="00E843F0" w:rsidRDefault="00994F93" w:rsidP="00E843F0">
      <w:pPr>
        <w:rPr>
          <w:rFonts w:ascii="Times New Roman" w:hAnsi="Times New Roman" w:cs="Times New Roman"/>
          <w:noProof/>
          <w:sz w:val="24"/>
          <w:szCs w:val="24"/>
        </w:rPr>
      </w:pPr>
      <w:bookmarkStart w:id="122" w:name="2.4.1_Background"/>
      <w:bookmarkEnd w:id="122"/>
    </w:p>
    <w:p w14:paraId="3766D1D8" w14:textId="77777777" w:rsidR="00994F93" w:rsidRPr="00B03B51" w:rsidRDefault="00994F93" w:rsidP="00994F93">
      <w:pPr>
        <w:pStyle w:val="Heading3"/>
        <w:tabs>
          <w:tab w:val="left" w:pos="1267"/>
        </w:tabs>
        <w:ind w:left="0" w:firstLine="0"/>
        <w:jc w:val="both"/>
        <w:rPr>
          <w:rFonts w:ascii="Times New Roman" w:hAnsi="Times New Roman" w:cs="Times New Roman"/>
          <w:noProof/>
          <w:sz w:val="24"/>
        </w:rPr>
      </w:pPr>
      <w:bookmarkStart w:id="123" w:name="_Toc67565062"/>
      <w:r w:rsidRPr="00B03B51">
        <w:rPr>
          <w:rFonts w:ascii="Times New Roman" w:hAnsi="Times New Roman" w:cs="Times New Roman"/>
          <w:sz w:val="24"/>
        </w:rPr>
        <w:t>2.4.1. Vispārīga informācija</w:t>
      </w:r>
      <w:bookmarkEnd w:id="123"/>
    </w:p>
    <w:p w14:paraId="7E8D1472"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05565679"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 Procentu ierakstīšana, pamatojoties uz uzkrāšanas principu, ir vispārīgs princips, ko piemēro nacionālajos kontos un kas tika ieviests starptautiskajos statistikas standartos 20. gadsimta 90. gados.</w:t>
      </w:r>
    </w:p>
    <w:p w14:paraId="5C401993" w14:textId="77777777" w:rsidR="00994F93" w:rsidRPr="00B03B51" w:rsidRDefault="00994F93" w:rsidP="00994F93">
      <w:pPr>
        <w:jc w:val="both"/>
        <w:rPr>
          <w:rFonts w:ascii="Times New Roman" w:eastAsia="Arial" w:hAnsi="Times New Roman" w:cs="Times New Roman"/>
          <w:noProof/>
          <w:sz w:val="24"/>
          <w:szCs w:val="18"/>
        </w:rPr>
      </w:pPr>
    </w:p>
    <w:p w14:paraId="22221065" w14:textId="77777777" w:rsidR="00994F93" w:rsidRPr="00B03B51" w:rsidRDefault="00994F93" w:rsidP="00994F93">
      <w:pPr>
        <w:pStyle w:val="Heading3"/>
        <w:tabs>
          <w:tab w:val="left" w:pos="1267"/>
        </w:tabs>
        <w:ind w:left="0" w:firstLine="0"/>
        <w:jc w:val="both"/>
        <w:rPr>
          <w:rFonts w:ascii="Times New Roman" w:hAnsi="Times New Roman" w:cs="Times New Roman"/>
          <w:noProof/>
          <w:sz w:val="24"/>
        </w:rPr>
      </w:pPr>
      <w:bookmarkStart w:id="124" w:name="2.4.2_Treatment_in_national_accounts"/>
      <w:bookmarkStart w:id="125" w:name="_Toc67565063"/>
      <w:bookmarkEnd w:id="124"/>
      <w:r w:rsidRPr="00B03B51">
        <w:rPr>
          <w:rFonts w:ascii="Times New Roman" w:hAnsi="Times New Roman" w:cs="Times New Roman"/>
          <w:sz w:val="24"/>
        </w:rPr>
        <w:t>2.4.2. Traktējums nacionālajos kontos</w:t>
      </w:r>
      <w:bookmarkEnd w:id="125"/>
    </w:p>
    <w:p w14:paraId="0FDBAD10"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798B0564"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2. EKS 2010 vispārējie uzskaites noteikumi ir šādi:</w:t>
      </w:r>
    </w:p>
    <w:p w14:paraId="655AD193"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6826E52B" w14:textId="77777777" w:rsidR="00994F93" w:rsidRPr="00B03B51" w:rsidRDefault="00994F93" w:rsidP="003A6A04">
      <w:pPr>
        <w:pStyle w:val="BodyText"/>
        <w:numPr>
          <w:ilvl w:val="1"/>
          <w:numId w:val="15"/>
        </w:numPr>
        <w:tabs>
          <w:tab w:val="left" w:pos="1126"/>
        </w:tabs>
        <w:spacing w:before="0"/>
        <w:ind w:left="426" w:hanging="425"/>
        <w:jc w:val="both"/>
        <w:rPr>
          <w:rFonts w:ascii="Times New Roman" w:hAnsi="Times New Roman" w:cs="Times New Roman"/>
          <w:noProof/>
          <w:sz w:val="24"/>
        </w:rPr>
      </w:pPr>
      <w:r w:rsidRPr="00B03B51">
        <w:rPr>
          <w:rFonts w:ascii="Times New Roman" w:hAnsi="Times New Roman" w:cs="Times New Roman"/>
          <w:sz w:val="24"/>
        </w:rPr>
        <w:t>visus finanšu instrumentus, kuriem piemēro procentus, ieraksta, pamatojoties uz uzkrāšanas principu;</w:t>
      </w:r>
    </w:p>
    <w:p w14:paraId="37328A9F" w14:textId="77777777" w:rsidR="00994F93" w:rsidRPr="00B03B51" w:rsidRDefault="00994F93" w:rsidP="003A6A04">
      <w:pPr>
        <w:pStyle w:val="BodyText"/>
        <w:numPr>
          <w:ilvl w:val="1"/>
          <w:numId w:val="15"/>
        </w:numPr>
        <w:tabs>
          <w:tab w:val="left" w:pos="1126"/>
        </w:tabs>
        <w:spacing w:before="0"/>
        <w:ind w:left="426" w:hanging="425"/>
        <w:jc w:val="both"/>
        <w:rPr>
          <w:rFonts w:ascii="Times New Roman" w:hAnsi="Times New Roman" w:cs="Times New Roman"/>
          <w:noProof/>
          <w:sz w:val="24"/>
        </w:rPr>
      </w:pPr>
      <w:r w:rsidRPr="00B03B51">
        <w:rPr>
          <w:rFonts w:ascii="Times New Roman" w:hAnsi="Times New Roman" w:cs="Times New Roman"/>
          <w:sz w:val="24"/>
        </w:rPr>
        <w:t>procentus uzkrāj, pamatojoties uz “debitora pieeju”;</w:t>
      </w:r>
    </w:p>
    <w:p w14:paraId="28FCD419" w14:textId="77777777" w:rsidR="00994F93" w:rsidRPr="00B03B51" w:rsidRDefault="00994F93" w:rsidP="003A6A04">
      <w:pPr>
        <w:pStyle w:val="BodyText"/>
        <w:numPr>
          <w:ilvl w:val="1"/>
          <w:numId w:val="15"/>
        </w:numPr>
        <w:tabs>
          <w:tab w:val="left" w:pos="1126"/>
        </w:tabs>
        <w:spacing w:before="0"/>
        <w:ind w:left="426" w:hanging="425"/>
        <w:jc w:val="both"/>
        <w:rPr>
          <w:rFonts w:ascii="Times New Roman" w:hAnsi="Times New Roman" w:cs="Times New Roman"/>
          <w:noProof/>
          <w:sz w:val="24"/>
        </w:rPr>
      </w:pPr>
      <w:r w:rsidRPr="00B03B51">
        <w:rPr>
          <w:rFonts w:ascii="Times New Roman" w:hAnsi="Times New Roman" w:cs="Times New Roman"/>
          <w:sz w:val="24"/>
        </w:rPr>
        <w:t>uzkrātos procentus var aprēķināt, izmantojot vienkāršas likmes metodi vai salikto procentu metodi;</w:t>
      </w:r>
    </w:p>
    <w:p w14:paraId="066190DD" w14:textId="77777777" w:rsidR="00994F93" w:rsidRPr="00B03B51" w:rsidRDefault="00994F93" w:rsidP="003A6A04">
      <w:pPr>
        <w:pStyle w:val="BodyText"/>
        <w:numPr>
          <w:ilvl w:val="1"/>
          <w:numId w:val="15"/>
        </w:numPr>
        <w:tabs>
          <w:tab w:val="left" w:pos="1126"/>
        </w:tabs>
        <w:spacing w:before="0"/>
        <w:ind w:left="426" w:hanging="425"/>
        <w:jc w:val="both"/>
        <w:rPr>
          <w:rFonts w:ascii="Times New Roman" w:hAnsi="Times New Roman" w:cs="Times New Roman"/>
          <w:noProof/>
          <w:sz w:val="24"/>
        </w:rPr>
      </w:pPr>
      <w:r w:rsidRPr="00B03B51">
        <w:rPr>
          <w:rFonts w:ascii="Times New Roman" w:hAnsi="Times New Roman" w:cs="Times New Roman"/>
          <w:sz w:val="24"/>
        </w:rPr>
        <w:t>uzkrātos procentus vienmēr atkārtoti iegulda saskaņā ar attiecīgo instrumentu;</w:t>
      </w:r>
      <w:r w:rsidRPr="00B03B51">
        <w:rPr>
          <w:rStyle w:val="FootnoteReference"/>
          <w:rFonts w:ascii="Times New Roman" w:hAnsi="Times New Roman" w:cs="Times New Roman"/>
          <w:noProof/>
          <w:sz w:val="24"/>
        </w:rPr>
        <w:footnoteReference w:id="122"/>
      </w:r>
    </w:p>
    <w:p w14:paraId="67FF103A" w14:textId="77777777" w:rsidR="00994F93" w:rsidRPr="00B03B51" w:rsidRDefault="00994F93" w:rsidP="003A6A04">
      <w:pPr>
        <w:pStyle w:val="BodyText"/>
        <w:numPr>
          <w:ilvl w:val="1"/>
          <w:numId w:val="15"/>
        </w:numPr>
        <w:tabs>
          <w:tab w:val="left" w:pos="1126"/>
        </w:tabs>
        <w:spacing w:before="0"/>
        <w:ind w:left="426" w:hanging="425"/>
        <w:jc w:val="both"/>
        <w:rPr>
          <w:rFonts w:ascii="Times New Roman" w:hAnsi="Times New Roman" w:cs="Times New Roman"/>
          <w:noProof/>
          <w:sz w:val="24"/>
        </w:rPr>
      </w:pPr>
      <w:r w:rsidRPr="00B03B51">
        <w:rPr>
          <w:rFonts w:ascii="Times New Roman" w:hAnsi="Times New Roman" w:cs="Times New Roman"/>
          <w:sz w:val="24"/>
        </w:rPr>
        <w:t>visus instrumentus, kas emitēti ar diskontu, traktē līdzīgā veidā;</w:t>
      </w:r>
    </w:p>
    <w:p w14:paraId="3F1E65C6" w14:textId="77777777" w:rsidR="00994F93" w:rsidRPr="00B03B51" w:rsidRDefault="00994F93" w:rsidP="003A6A04">
      <w:pPr>
        <w:pStyle w:val="BodyText"/>
        <w:numPr>
          <w:ilvl w:val="1"/>
          <w:numId w:val="15"/>
        </w:numPr>
        <w:tabs>
          <w:tab w:val="left" w:pos="1126"/>
        </w:tabs>
        <w:spacing w:before="0"/>
        <w:ind w:left="426" w:hanging="425"/>
        <w:jc w:val="both"/>
        <w:rPr>
          <w:rFonts w:ascii="Times New Roman" w:hAnsi="Times New Roman" w:cs="Times New Roman"/>
          <w:noProof/>
          <w:sz w:val="24"/>
        </w:rPr>
      </w:pPr>
      <w:r w:rsidRPr="00B03B51">
        <w:rPr>
          <w:rFonts w:ascii="Times New Roman" w:hAnsi="Times New Roman" w:cs="Times New Roman"/>
          <w:sz w:val="24"/>
        </w:rPr>
        <w:t>nokavētus maksājumus saglabā pie instrumenta.</w:t>
      </w:r>
    </w:p>
    <w:p w14:paraId="0C333B91"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2480ECF7"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3. Īpašiem instrumentiem vai darījumiem piemērojamie noteikumi ir šādi:</w:t>
      </w:r>
    </w:p>
    <w:p w14:paraId="010F778E"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496A426D" w14:textId="77777777" w:rsidR="00994F93" w:rsidRPr="00B03B51" w:rsidRDefault="00994F93" w:rsidP="003A6A04">
      <w:pPr>
        <w:pStyle w:val="BodyText"/>
        <w:numPr>
          <w:ilvl w:val="1"/>
          <w:numId w:val="15"/>
        </w:numPr>
        <w:tabs>
          <w:tab w:val="left" w:pos="1126"/>
        </w:tabs>
        <w:spacing w:before="0"/>
        <w:ind w:left="426" w:hanging="425"/>
        <w:jc w:val="both"/>
        <w:rPr>
          <w:rFonts w:ascii="Times New Roman" w:hAnsi="Times New Roman" w:cs="Times New Roman"/>
          <w:noProof/>
          <w:sz w:val="24"/>
        </w:rPr>
      </w:pPr>
      <w:r w:rsidRPr="00B03B51">
        <w:rPr>
          <w:rFonts w:ascii="Times New Roman" w:hAnsi="Times New Roman" w:cs="Times New Roman"/>
          <w:sz w:val="24"/>
        </w:rPr>
        <w:t>pamatsummas un procentu atdalīšana neietekmē uzkrāto procentu summu;</w:t>
      </w:r>
    </w:p>
    <w:p w14:paraId="0C832026" w14:textId="77777777" w:rsidR="00994F93" w:rsidRPr="00B03B51" w:rsidRDefault="00994F93" w:rsidP="003A6A04">
      <w:pPr>
        <w:pStyle w:val="BodyText"/>
        <w:numPr>
          <w:ilvl w:val="1"/>
          <w:numId w:val="15"/>
        </w:numPr>
        <w:tabs>
          <w:tab w:val="left" w:pos="1126"/>
        </w:tabs>
        <w:spacing w:before="0"/>
        <w:ind w:left="426" w:hanging="425"/>
        <w:jc w:val="both"/>
        <w:rPr>
          <w:rFonts w:ascii="Times New Roman" w:hAnsi="Times New Roman" w:cs="Times New Roman"/>
          <w:noProof/>
          <w:sz w:val="24"/>
        </w:rPr>
      </w:pPr>
      <w:r w:rsidRPr="00B03B51">
        <w:rPr>
          <w:rFonts w:ascii="Times New Roman" w:hAnsi="Times New Roman" w:cs="Times New Roman"/>
          <w:sz w:val="24"/>
        </w:rPr>
        <w:t>precizējumi var būt vajadzīgi tādu instrumentu gadījumā, kuriem ir mainīga likme un savstarpēji aizvietojamas emisijas (tostarp uzkrājumu prēmijas);</w:t>
      </w:r>
    </w:p>
    <w:p w14:paraId="1D751ADD" w14:textId="77777777" w:rsidR="00994F93" w:rsidRPr="00B03B51" w:rsidRDefault="00994F93" w:rsidP="003A6A04">
      <w:pPr>
        <w:pStyle w:val="BodyText"/>
        <w:numPr>
          <w:ilvl w:val="1"/>
          <w:numId w:val="15"/>
        </w:numPr>
        <w:tabs>
          <w:tab w:val="left" w:pos="1126"/>
        </w:tabs>
        <w:spacing w:before="0"/>
        <w:ind w:left="426" w:hanging="425"/>
        <w:jc w:val="both"/>
        <w:rPr>
          <w:rFonts w:ascii="Times New Roman" w:hAnsi="Times New Roman" w:cs="Times New Roman"/>
          <w:noProof/>
          <w:sz w:val="24"/>
        </w:rPr>
      </w:pPr>
      <w:r w:rsidRPr="00B03B51">
        <w:rPr>
          <w:rFonts w:ascii="Times New Roman" w:hAnsi="Times New Roman" w:cs="Times New Roman"/>
          <w:sz w:val="24"/>
        </w:rPr>
        <w:t>procentus saistībā ar loteriju instrumentiem arī ieraksta, pamatojoties uz uzkrāšanas principu;</w:t>
      </w:r>
    </w:p>
    <w:p w14:paraId="30944795" w14:textId="77777777" w:rsidR="00994F93" w:rsidRPr="00B03B51" w:rsidRDefault="00994F93" w:rsidP="003A6A04">
      <w:pPr>
        <w:pStyle w:val="BodyText"/>
        <w:numPr>
          <w:ilvl w:val="1"/>
          <w:numId w:val="15"/>
        </w:numPr>
        <w:tabs>
          <w:tab w:val="left" w:pos="1126"/>
        </w:tabs>
        <w:spacing w:before="0"/>
        <w:ind w:left="426" w:hanging="425"/>
        <w:jc w:val="both"/>
        <w:rPr>
          <w:rFonts w:ascii="Times New Roman" w:hAnsi="Times New Roman" w:cs="Times New Roman"/>
          <w:noProof/>
          <w:sz w:val="24"/>
        </w:rPr>
      </w:pPr>
      <w:r w:rsidRPr="00B03B51">
        <w:rPr>
          <w:rFonts w:ascii="Times New Roman" w:hAnsi="Times New Roman" w:cs="Times New Roman"/>
          <w:sz w:val="24"/>
        </w:rPr>
        <w:t>uz indeksējamām obligācijām attiecas procentu ierakstīšana, pamatojoties uz uzkrāšanas principu;</w:t>
      </w:r>
    </w:p>
    <w:p w14:paraId="438AFAEB" w14:textId="77777777" w:rsidR="00994F93" w:rsidRPr="00B03B51" w:rsidRDefault="00994F93" w:rsidP="003A6A04">
      <w:pPr>
        <w:pStyle w:val="BodyText"/>
        <w:numPr>
          <w:ilvl w:val="1"/>
          <w:numId w:val="15"/>
        </w:numPr>
        <w:tabs>
          <w:tab w:val="left" w:pos="1126"/>
        </w:tabs>
        <w:spacing w:before="0"/>
        <w:ind w:left="426" w:hanging="425"/>
        <w:jc w:val="both"/>
        <w:rPr>
          <w:rFonts w:ascii="Times New Roman" w:hAnsi="Times New Roman" w:cs="Times New Roman"/>
          <w:noProof/>
          <w:sz w:val="24"/>
        </w:rPr>
      </w:pPr>
      <w:r w:rsidRPr="00B03B51">
        <w:rPr>
          <w:rFonts w:ascii="Times New Roman" w:hAnsi="Times New Roman" w:cs="Times New Roman"/>
          <w:sz w:val="24"/>
        </w:rPr>
        <w:t>attiecībā uz īstermiņa apgrozāmiem vērstpapīriem nav īpašu noteikumu;</w:t>
      </w:r>
    </w:p>
    <w:p w14:paraId="45C8D067" w14:textId="77777777" w:rsidR="00994F93" w:rsidRPr="00B03B51" w:rsidRDefault="00994F93" w:rsidP="003A6A04">
      <w:pPr>
        <w:pStyle w:val="BodyText"/>
        <w:numPr>
          <w:ilvl w:val="1"/>
          <w:numId w:val="15"/>
        </w:numPr>
        <w:tabs>
          <w:tab w:val="left" w:pos="1126"/>
        </w:tabs>
        <w:spacing w:before="0"/>
        <w:ind w:left="426" w:hanging="425"/>
        <w:jc w:val="both"/>
        <w:rPr>
          <w:rFonts w:ascii="Times New Roman" w:hAnsi="Times New Roman" w:cs="Times New Roman"/>
          <w:noProof/>
          <w:sz w:val="24"/>
        </w:rPr>
      </w:pPr>
      <w:r w:rsidRPr="00B03B51">
        <w:rPr>
          <w:rFonts w:ascii="Times New Roman" w:hAnsi="Times New Roman" w:cs="Times New Roman"/>
          <w:sz w:val="24"/>
        </w:rPr>
        <w:t>uzkrātos procentus var ierakstīt atvieglojumu periodos;</w:t>
      </w:r>
    </w:p>
    <w:p w14:paraId="43EFE0C0" w14:textId="77777777" w:rsidR="00994F93" w:rsidRPr="00B03B51" w:rsidRDefault="00994F93" w:rsidP="003A6A04">
      <w:pPr>
        <w:pStyle w:val="BodyText"/>
        <w:numPr>
          <w:ilvl w:val="1"/>
          <w:numId w:val="15"/>
        </w:numPr>
        <w:tabs>
          <w:tab w:val="left" w:pos="1126"/>
        </w:tabs>
        <w:spacing w:before="0"/>
        <w:ind w:left="426" w:hanging="425"/>
        <w:jc w:val="both"/>
        <w:rPr>
          <w:rFonts w:ascii="Times New Roman" w:hAnsi="Times New Roman" w:cs="Times New Roman"/>
          <w:noProof/>
          <w:sz w:val="24"/>
        </w:rPr>
      </w:pPr>
      <w:r w:rsidRPr="00B03B51">
        <w:rPr>
          <w:rFonts w:ascii="Times New Roman" w:hAnsi="Times New Roman" w:cs="Times New Roman"/>
          <w:sz w:val="24"/>
        </w:rPr>
        <w:t>procenti, kas uzkrāti attiecībā uz ārvalstu valūtās izteiktiem instrumentiem, rada nepieciešamību veikt precizējumu pārvērtēšanas kontā;</w:t>
      </w:r>
    </w:p>
    <w:p w14:paraId="648DFDB7" w14:textId="77777777" w:rsidR="00994F93" w:rsidRPr="00B03B51" w:rsidRDefault="00994F93" w:rsidP="003A6A04">
      <w:pPr>
        <w:pStyle w:val="BodyText"/>
        <w:numPr>
          <w:ilvl w:val="1"/>
          <w:numId w:val="15"/>
        </w:numPr>
        <w:tabs>
          <w:tab w:val="left" w:pos="1126"/>
        </w:tabs>
        <w:spacing w:before="0"/>
        <w:ind w:left="426" w:hanging="425"/>
        <w:jc w:val="both"/>
        <w:rPr>
          <w:rFonts w:ascii="Times New Roman" w:hAnsi="Times New Roman" w:cs="Times New Roman"/>
          <w:noProof/>
          <w:sz w:val="24"/>
        </w:rPr>
      </w:pPr>
      <w:r w:rsidRPr="00B03B51">
        <w:rPr>
          <w:rFonts w:ascii="Times New Roman" w:hAnsi="Times New Roman" w:cs="Times New Roman"/>
          <w:sz w:val="24"/>
        </w:rPr>
        <w:t>parāda instrumentu pirmstermiņa izpirkšana (arī maiņa) var palielināt nominālos turēšanas ieguvumus.</w:t>
      </w:r>
    </w:p>
    <w:p w14:paraId="364B38C3" w14:textId="77777777" w:rsidR="00994F93" w:rsidRPr="00B03B51" w:rsidRDefault="00994F93" w:rsidP="00994F93">
      <w:pPr>
        <w:jc w:val="both"/>
        <w:rPr>
          <w:rFonts w:ascii="Times New Roman" w:eastAsia="Arial" w:hAnsi="Times New Roman" w:cs="Times New Roman"/>
          <w:noProof/>
          <w:sz w:val="24"/>
          <w:szCs w:val="19"/>
        </w:rPr>
      </w:pPr>
    </w:p>
    <w:p w14:paraId="7ECD5E2A" w14:textId="77777777" w:rsidR="00994F93" w:rsidRPr="00B03B51" w:rsidRDefault="00994F93" w:rsidP="00994F93">
      <w:pPr>
        <w:pStyle w:val="Heading3"/>
        <w:tabs>
          <w:tab w:val="left" w:pos="1267"/>
        </w:tabs>
        <w:ind w:left="0" w:firstLine="0"/>
        <w:jc w:val="both"/>
        <w:rPr>
          <w:rFonts w:ascii="Times New Roman" w:hAnsi="Times New Roman" w:cs="Times New Roman"/>
          <w:noProof/>
          <w:sz w:val="24"/>
        </w:rPr>
      </w:pPr>
      <w:bookmarkStart w:id="126" w:name="2.4.3_Rationale_of_the_treatment"/>
      <w:bookmarkStart w:id="127" w:name="_Toc67565064"/>
      <w:bookmarkEnd w:id="126"/>
      <w:r w:rsidRPr="00B03B51">
        <w:rPr>
          <w:rFonts w:ascii="Times New Roman" w:hAnsi="Times New Roman" w:cs="Times New Roman"/>
          <w:sz w:val="24"/>
        </w:rPr>
        <w:t>2.4.3. Traktējuma pamatojums</w:t>
      </w:r>
      <w:bookmarkEnd w:id="127"/>
    </w:p>
    <w:p w14:paraId="27A25C7B" w14:textId="77777777" w:rsidR="00994F93" w:rsidRPr="009E490B" w:rsidRDefault="00994F93" w:rsidP="009E490B">
      <w:pPr>
        <w:rPr>
          <w:rFonts w:ascii="Times New Roman" w:hAnsi="Times New Roman" w:cs="Times New Roman"/>
          <w:noProof/>
          <w:sz w:val="24"/>
          <w:szCs w:val="24"/>
        </w:rPr>
      </w:pPr>
      <w:bookmarkStart w:id="128" w:name="2.4.3.1_Full_coverage"/>
      <w:bookmarkEnd w:id="128"/>
    </w:p>
    <w:p w14:paraId="1AC2B1D4" w14:textId="77777777" w:rsidR="00994F93" w:rsidRPr="00B03B51" w:rsidRDefault="00994F93" w:rsidP="00994F93">
      <w:pPr>
        <w:pStyle w:val="Heading6"/>
        <w:tabs>
          <w:tab w:val="left" w:pos="1267"/>
        </w:tabs>
        <w:ind w:left="0" w:firstLine="0"/>
        <w:jc w:val="both"/>
        <w:rPr>
          <w:rFonts w:ascii="Times New Roman" w:hAnsi="Times New Roman" w:cs="Times New Roman"/>
          <w:noProof/>
          <w:sz w:val="24"/>
        </w:rPr>
      </w:pPr>
      <w:r w:rsidRPr="00B03B51">
        <w:rPr>
          <w:rFonts w:ascii="Times New Roman" w:hAnsi="Times New Roman" w:cs="Times New Roman"/>
          <w:sz w:val="24"/>
        </w:rPr>
        <w:t>2.4.3.1. PILNS TVĒRUMS</w:t>
      </w:r>
    </w:p>
    <w:p w14:paraId="3A2CCF02"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640E5405"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4. Uzkrāšanas princips aptver visus finanšu instrumentus, kuriem piemēro procentus. EKS 2010 4. nodaļā “Sadales darījumi” ir minēti visu veidu parāda instrumenti, t. i., depozīti, aizdevumi, parāda vērtspapīri un citas kreditoru saistības (attiecīgā gadījumā). EKS 2010 4.50. punktā noteikts, ka “procenti laika gaitā pastāvīgi uzkrājas par nenomaksāto pamatsummu”. Attiecībā uz šā noteikuma piemērošanu nav norādīti nekādi izņēmumi.</w:t>
      </w:r>
    </w:p>
    <w:p w14:paraId="14BA2AEC"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450D50D0"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 xml:space="preserve">5. Procentu ierakstīšana atbilstīgi uzkrāšanas principam ir vispārīgs princips, kas jāpiemēro </w:t>
      </w:r>
      <w:r w:rsidRPr="00B03B51">
        <w:rPr>
          <w:rFonts w:ascii="Times New Roman" w:hAnsi="Times New Roman" w:cs="Times New Roman"/>
          <w:sz w:val="24"/>
        </w:rPr>
        <w:lastRenderedPageBreak/>
        <w:t>attiecībā uz visiem finanšu instrumentiem, kuri rada procentus, neatkarīgi no jebkādas īpašas kārtības, kāda var pastāvēt valsts līmenī.</w:t>
      </w:r>
    </w:p>
    <w:p w14:paraId="2AE2146E" w14:textId="77777777" w:rsidR="00994F93" w:rsidRPr="00B03B51" w:rsidRDefault="00994F93" w:rsidP="00994F93">
      <w:pPr>
        <w:jc w:val="both"/>
        <w:rPr>
          <w:rFonts w:ascii="Times New Roman" w:eastAsia="Arial" w:hAnsi="Times New Roman" w:cs="Times New Roman"/>
          <w:noProof/>
          <w:sz w:val="24"/>
          <w:szCs w:val="15"/>
        </w:rPr>
      </w:pPr>
    </w:p>
    <w:p w14:paraId="3E3683C5" w14:textId="77777777" w:rsidR="00994F93" w:rsidRPr="00B03B51" w:rsidRDefault="00994F93" w:rsidP="00994F93">
      <w:pPr>
        <w:pStyle w:val="Heading6"/>
        <w:tabs>
          <w:tab w:val="left" w:pos="1267"/>
        </w:tabs>
        <w:ind w:left="0" w:firstLine="0"/>
        <w:jc w:val="both"/>
        <w:rPr>
          <w:rFonts w:ascii="Times New Roman" w:hAnsi="Times New Roman" w:cs="Times New Roman"/>
          <w:noProof/>
          <w:sz w:val="24"/>
        </w:rPr>
      </w:pPr>
      <w:bookmarkStart w:id="129" w:name="2.4.3.2_‘Debtor_approach’"/>
      <w:bookmarkEnd w:id="129"/>
      <w:r w:rsidRPr="00B03B51">
        <w:rPr>
          <w:rFonts w:ascii="Times New Roman" w:hAnsi="Times New Roman" w:cs="Times New Roman"/>
          <w:sz w:val="24"/>
        </w:rPr>
        <w:t>2.4.3.2. “DEBITORA PIEEJA”</w:t>
      </w:r>
    </w:p>
    <w:p w14:paraId="4C6A052A"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1A550BFB"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6. Kopumā procentus var uzkrāt atbilstīgi trim iespējamiem traktējumiem, kurus var dēvēt šādi:</w:t>
      </w:r>
    </w:p>
    <w:p w14:paraId="4BB948FE" w14:textId="77777777" w:rsidR="00994F93" w:rsidRPr="00B03B51" w:rsidRDefault="00994F93" w:rsidP="00994F93">
      <w:pPr>
        <w:jc w:val="both"/>
        <w:rPr>
          <w:rFonts w:ascii="Times New Roman" w:eastAsia="Arial" w:hAnsi="Times New Roman" w:cs="Times New Roman"/>
          <w:noProof/>
          <w:sz w:val="24"/>
          <w:szCs w:val="14"/>
        </w:rPr>
      </w:pPr>
    </w:p>
    <w:p w14:paraId="1E320394" w14:textId="77777777" w:rsidR="00994F93" w:rsidRPr="00B03B51" w:rsidRDefault="00994F93" w:rsidP="003A6A04">
      <w:pPr>
        <w:numPr>
          <w:ilvl w:val="1"/>
          <w:numId w:val="15"/>
        </w:numPr>
        <w:ind w:left="426" w:hanging="425"/>
        <w:jc w:val="both"/>
        <w:rPr>
          <w:rFonts w:ascii="Times New Roman" w:eastAsia="Arial" w:hAnsi="Times New Roman" w:cs="Times New Roman"/>
          <w:noProof/>
          <w:sz w:val="24"/>
          <w:szCs w:val="19"/>
        </w:rPr>
      </w:pPr>
      <w:r w:rsidRPr="00B03B51">
        <w:rPr>
          <w:rFonts w:ascii="Times New Roman" w:hAnsi="Times New Roman" w:cs="Times New Roman"/>
          <w:b/>
          <w:bCs/>
          <w:sz w:val="24"/>
          <w:szCs w:val="19"/>
        </w:rPr>
        <w:t>“debitora”</w:t>
      </w:r>
      <w:r w:rsidRPr="00B03B51">
        <w:rPr>
          <w:rFonts w:ascii="Times New Roman" w:hAnsi="Times New Roman" w:cs="Times New Roman"/>
          <w:sz w:val="24"/>
          <w:szCs w:val="19"/>
        </w:rPr>
        <w:t xml:space="preserve"> jeb </w:t>
      </w:r>
      <w:r w:rsidRPr="00B03B51">
        <w:rPr>
          <w:rFonts w:ascii="Times New Roman" w:hAnsi="Times New Roman" w:cs="Times New Roman"/>
          <w:b/>
          <w:bCs/>
          <w:sz w:val="24"/>
          <w:szCs w:val="19"/>
        </w:rPr>
        <w:t>“aizņēmuma sākotnējo izmaksu princips”</w:t>
      </w:r>
      <w:r w:rsidRPr="00B03B51">
        <w:rPr>
          <w:rFonts w:ascii="Times New Roman" w:hAnsi="Times New Roman" w:cs="Times New Roman"/>
          <w:sz w:val="24"/>
          <w:szCs w:val="19"/>
        </w:rPr>
        <w:t>, kura pamatā ir neatmaksātajai pamatsummai vai emisijas cenai piemērotā likme vai procenti, kas ir spēkā finanšu instrumenta izveides laikā;</w:t>
      </w:r>
    </w:p>
    <w:p w14:paraId="7FC00D4B" w14:textId="77777777" w:rsidR="00994F93" w:rsidRPr="00B03B51" w:rsidRDefault="00994F93" w:rsidP="003A6A04">
      <w:pPr>
        <w:pStyle w:val="BodyText"/>
        <w:numPr>
          <w:ilvl w:val="1"/>
          <w:numId w:val="15"/>
        </w:numPr>
        <w:spacing w:before="0"/>
        <w:ind w:left="426" w:hanging="425"/>
        <w:jc w:val="both"/>
        <w:rPr>
          <w:rFonts w:ascii="Times New Roman" w:hAnsi="Times New Roman" w:cs="Times New Roman"/>
          <w:noProof/>
          <w:sz w:val="24"/>
        </w:rPr>
      </w:pPr>
      <w:r w:rsidRPr="00B03B51">
        <w:rPr>
          <w:rFonts w:ascii="Times New Roman" w:hAnsi="Times New Roman" w:cs="Times New Roman"/>
          <w:b/>
          <w:bCs/>
          <w:sz w:val="24"/>
        </w:rPr>
        <w:t>“iegādes princips”</w:t>
      </w:r>
      <w:r w:rsidRPr="00B03B51">
        <w:rPr>
          <w:rFonts w:ascii="Times New Roman" w:hAnsi="Times New Roman" w:cs="Times New Roman"/>
          <w:sz w:val="24"/>
        </w:rPr>
        <w:t>, kura pamatā ir pirkšanas cenai piemērotā “vēsturiskā” likme vai procenti, kas ir spēkā brīdī, kad kreditors pirmo reizi ieraksta finanšu instrumentu savā bilancē;</w:t>
      </w:r>
    </w:p>
    <w:p w14:paraId="05CAEFDC" w14:textId="77777777" w:rsidR="00994F93" w:rsidRPr="00B03B51" w:rsidRDefault="00994F93" w:rsidP="003A6A04">
      <w:pPr>
        <w:pStyle w:val="BodyText"/>
        <w:numPr>
          <w:ilvl w:val="1"/>
          <w:numId w:val="15"/>
        </w:numPr>
        <w:spacing w:before="0"/>
        <w:ind w:left="426" w:hanging="425"/>
        <w:jc w:val="both"/>
        <w:rPr>
          <w:rFonts w:ascii="Times New Roman" w:hAnsi="Times New Roman" w:cs="Times New Roman"/>
          <w:noProof/>
          <w:sz w:val="24"/>
        </w:rPr>
      </w:pPr>
      <w:r w:rsidRPr="00B03B51">
        <w:rPr>
          <w:rFonts w:ascii="Times New Roman" w:hAnsi="Times New Roman" w:cs="Times New Roman"/>
          <w:b/>
          <w:bCs/>
          <w:sz w:val="24"/>
        </w:rPr>
        <w:t>“tirgus pieeja”</w:t>
      </w:r>
      <w:r w:rsidRPr="00B03B51">
        <w:rPr>
          <w:rFonts w:ascii="Times New Roman" w:hAnsi="Times New Roman" w:cs="Times New Roman"/>
          <w:sz w:val="24"/>
        </w:rPr>
        <w:t xml:space="preserve"> (EKS 2010 dēvēta arī par “kreditora pieeju”), kuras pamatā ir likme, kas ir spēkā konkrētajā brīdī, kad tā piemērota attiecībā uz tajā pašā brīdī spēkā esošo instrumenta tirgus cenu.</w:t>
      </w:r>
    </w:p>
    <w:p w14:paraId="556076E7"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70BE6DA8"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7. EKS 2010 20.180. punktā ir noteikts, ka procentus uzkrāj no debitora skatpunkta.</w:t>
      </w:r>
    </w:p>
    <w:p w14:paraId="5481BBE4"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10120F65"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8. EKS 2010 galvenā uzmanība pievērsta finanšu slogam, aizņēmuma izmaksām, kas tika prognozētas laikā, kad debitors piesaistīja līdzekļus, emitējot finanšu instrumentus. Darījumi sekundārajos tirgos neietekmē ierakstāmos uzkrātos procentus.</w:t>
      </w:r>
    </w:p>
    <w:p w14:paraId="1FE548F2"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3A2C28AE"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9. Saskaņā ar šīm trim pieejām teorētiski visas plūsmas, kas izriet no līguma noteikumiem, būtu līdzīgas visā finanšu instrumenta darbības laikā. Taču atšķirība pastāvētu dalījumā starp darījumiem un citām plūsmām. Dažas finanšu instrumenta cenas izmaiņas var ierakstīt kā nominālos turēšanas guvumus/zaudējumus. Attiecībā uz cenas izmaiņu jēdzienu ir jānošķir patiesās cenu izmaiņas, ko rada tirgus svārstības, un instrumenta vērtības izmaiņas, ko rada tā apjoma izmaiņas. Piemēram, EKS 2010 6.54. punktā ir norādīts, ka uzkrātie procenti nerada turēšanas ienākumus, jo tie rada pamatu nefinanšu darījumam un vienlaikus arī finanšu darījumam kā “tāda aktīva iegāde, ko pievieno esošajam aktīvam”.</w:t>
      </w:r>
    </w:p>
    <w:p w14:paraId="4B2180F7" w14:textId="77777777" w:rsidR="00994F93" w:rsidRPr="00B03B51" w:rsidRDefault="00994F93" w:rsidP="00994F93">
      <w:pPr>
        <w:jc w:val="both"/>
        <w:rPr>
          <w:rFonts w:ascii="Times New Roman" w:eastAsia="Arial" w:hAnsi="Times New Roman" w:cs="Times New Roman"/>
          <w:noProof/>
          <w:sz w:val="24"/>
          <w:szCs w:val="15"/>
        </w:rPr>
      </w:pPr>
    </w:p>
    <w:p w14:paraId="5F5D50D5" w14:textId="77777777" w:rsidR="00994F93" w:rsidRPr="00B03B51" w:rsidRDefault="00994F93" w:rsidP="00994F93">
      <w:pPr>
        <w:pStyle w:val="Heading6"/>
        <w:tabs>
          <w:tab w:val="left" w:pos="1267"/>
        </w:tabs>
        <w:ind w:left="0" w:firstLine="0"/>
        <w:jc w:val="both"/>
        <w:rPr>
          <w:rFonts w:ascii="Times New Roman" w:hAnsi="Times New Roman" w:cs="Times New Roman"/>
          <w:noProof/>
          <w:sz w:val="24"/>
        </w:rPr>
      </w:pPr>
      <w:bookmarkStart w:id="130" w:name="2.4.3.3_Method_for_calculating_accrued_i"/>
      <w:bookmarkEnd w:id="130"/>
      <w:r w:rsidRPr="00B03B51">
        <w:rPr>
          <w:rFonts w:ascii="Times New Roman" w:hAnsi="Times New Roman" w:cs="Times New Roman"/>
          <w:sz w:val="24"/>
        </w:rPr>
        <w:t>2.4.3.3. UZKRĀTO PROCENTU APRĒĶINĀŠANAS METODE</w:t>
      </w:r>
    </w:p>
    <w:p w14:paraId="19F2D1B3"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13637D19"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szCs w:val="12"/>
        </w:rPr>
      </w:pPr>
      <w:r w:rsidRPr="00B03B51">
        <w:rPr>
          <w:rFonts w:ascii="Times New Roman" w:hAnsi="Times New Roman" w:cs="Times New Roman"/>
          <w:sz w:val="24"/>
        </w:rPr>
        <w:t>10. Uzkrāto procentu ierakstīšanu var veikt, izmantojot vienkāršo procentu likmi, ko piemēro vienīgi nenomaksātajai pamatsummai, vai salikto procentu likmi, kurā ņem vērā iepriekš uzkrāto procentu summu. Izvēle ir atkarīga no tā, vai uzkrātie procenti pārskata periodā faktiski tiek samaksāti kreditoram. EKS 2010 4.50. punktā tiek uzskatīts, ka nesamaksātie uzkrātie procenti “kreditoram [ir] kā finanšu aktīva [iegāde] un debitoram kā tādā pašā apmērā iegūtas saistības”, attiecībā uz ko teorētiski tiek piemēroti procenti. Vismaz konceptuāli procenti ir jāaprēķina saliktā veidā. Procentu faktiskie maksājumi ir finanšu darījumi.</w:t>
      </w:r>
      <w:r w:rsidRPr="00B03B51">
        <w:rPr>
          <w:rStyle w:val="FootnoteReference"/>
          <w:rFonts w:ascii="Times New Roman" w:hAnsi="Times New Roman" w:cs="Times New Roman"/>
          <w:noProof/>
          <w:sz w:val="24"/>
        </w:rPr>
        <w:footnoteReference w:id="123"/>
      </w:r>
    </w:p>
    <w:p w14:paraId="6AC2DCFB" w14:textId="77777777" w:rsidR="00994F93" w:rsidRPr="00453D55" w:rsidRDefault="00994F93" w:rsidP="00453D55">
      <w:pPr>
        <w:rPr>
          <w:rFonts w:ascii="Times New Roman" w:hAnsi="Times New Roman" w:cs="Times New Roman"/>
          <w:noProof/>
          <w:sz w:val="24"/>
          <w:szCs w:val="24"/>
        </w:rPr>
      </w:pPr>
      <w:bookmarkStart w:id="131" w:name="2.4.3.4_Reinvestment_of_accrued_interest"/>
      <w:bookmarkEnd w:id="131"/>
    </w:p>
    <w:p w14:paraId="50A46C2A" w14:textId="77777777" w:rsidR="00994F93" w:rsidRPr="00B03B51" w:rsidRDefault="00994F93" w:rsidP="00994F93">
      <w:pPr>
        <w:pStyle w:val="Heading6"/>
        <w:tabs>
          <w:tab w:val="left" w:pos="1267"/>
        </w:tabs>
        <w:ind w:left="0" w:firstLine="0"/>
        <w:jc w:val="both"/>
        <w:rPr>
          <w:rFonts w:ascii="Times New Roman" w:hAnsi="Times New Roman" w:cs="Times New Roman"/>
          <w:noProof/>
          <w:sz w:val="24"/>
        </w:rPr>
      </w:pPr>
      <w:r w:rsidRPr="00B03B51">
        <w:rPr>
          <w:rFonts w:ascii="Times New Roman" w:hAnsi="Times New Roman" w:cs="Times New Roman"/>
          <w:sz w:val="24"/>
        </w:rPr>
        <w:t>2.4.3.4. UZKRĀTO PROCENTU ATKĀRTOTA IEGULDĪŠANA ATBILSTOŠI INSTRUMENTAM</w:t>
      </w:r>
    </w:p>
    <w:p w14:paraId="4ED65F13"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110A3140"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 xml:space="preserve">11. EKS 2010 5.242. punktā noteikts, ka </w:t>
      </w:r>
      <w:r w:rsidRPr="00B03B51">
        <w:rPr>
          <w:rFonts w:ascii="Times New Roman" w:hAnsi="Times New Roman" w:cs="Times New Roman"/>
          <w:i/>
          <w:iCs/>
          <w:sz w:val="24"/>
        </w:rPr>
        <w:t xml:space="preserve">uzkrātos un neizmaksātos procentus ieraksta kopā ar finanšu aktīvu vai saistību, attiecībā uz kuru tie uzkrājas, un nevis kā debitoru/kreditoru </w:t>
      </w:r>
      <w:r w:rsidRPr="00B03B51">
        <w:rPr>
          <w:rFonts w:ascii="Times New Roman" w:hAnsi="Times New Roman" w:cs="Times New Roman"/>
          <w:i/>
          <w:iCs/>
          <w:sz w:val="24"/>
        </w:rPr>
        <w:lastRenderedPageBreak/>
        <w:t>saistības</w:t>
      </w:r>
      <w:r w:rsidRPr="00B03B51">
        <w:rPr>
          <w:rFonts w:ascii="Times New Roman" w:hAnsi="Times New Roman" w:cs="Times New Roman"/>
          <w:sz w:val="24"/>
        </w:rPr>
        <w:t>. Tomēr šajā punktā ir norādīts arī tas, ka procentus var klasificēt kā citas debitoru/kreditoru saistības, “ja uzkrātos procentus neieraksta kā atkārtoti ieguldītus finanšu aktīvā”. Nav norādīts, kādos apstākļos tas būtu piemērojams.</w:t>
      </w:r>
      <w:r w:rsidRPr="00B03B51">
        <w:rPr>
          <w:rStyle w:val="FootnoteReference"/>
          <w:rFonts w:ascii="Times New Roman" w:hAnsi="Times New Roman" w:cs="Times New Roman"/>
          <w:noProof/>
          <w:sz w:val="24"/>
        </w:rPr>
        <w:footnoteReference w:id="124"/>
      </w:r>
      <w:r w:rsidRPr="00B03B51">
        <w:rPr>
          <w:rFonts w:ascii="Times New Roman" w:hAnsi="Times New Roman" w:cs="Times New Roman"/>
          <w:sz w:val="24"/>
          <w:szCs w:val="12"/>
        </w:rPr>
        <w:t xml:space="preserve"> </w:t>
      </w:r>
      <w:r w:rsidRPr="00B03B51">
        <w:rPr>
          <w:rFonts w:ascii="Times New Roman" w:hAnsi="Times New Roman" w:cs="Times New Roman"/>
          <w:sz w:val="24"/>
        </w:rPr>
        <w:t>Tāpēc procentus, kas uzkrājas ar instrumentu, vienmēr jāieraksta saistītā instrumenta kategorijā, ja iespējams, kādā no šā instrumenta kategorijas apakšpunktiem. Tas ir vienīgais iespējamais risinājums attiecībā uz bezkuponu obligācijām vai īstermiņa vērtspapīriem, kas emitēti ar diskontu, jo atšķirībā no cita veida parāda vērtspapīriem uzkrātie procenti, kas saistīti ar diskontu, netiek norādīti atsevišķi no pamatsummas vērtības, kad notiek darījums.</w:t>
      </w:r>
    </w:p>
    <w:p w14:paraId="4F101374"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36C7339D"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12. EKS 2010 4.46. punkta b) apakšpunktā noteikts, ka obligācijām, kas emitētas ar diskontu, var būt divi procentu komponenti. Viens attiecībā uz diskontu, kas uzkrāts obligācijas darbības laikā, un otrs – attiecībā uz regulāri maksāto kuponu. Ciktāl tas attiecas uz uzkrāto procentu atkārtotu ieguldīšanu, šie komponenti ir jātraktē vienādi.</w:t>
      </w:r>
    </w:p>
    <w:p w14:paraId="1313EC26"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7E5726AC"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13. Ja darījums notiek sekundārajos tirgos, uzkrāto procentu summa tiek vienlaikus mainīta ar pamatsummu. To nevar laist apgrozībā atsevišķi. Darījums jāuzskata par vienotu veselumu. Pircējs maksā pārdevējam uzkrāto procentu summu. Visu darījuma vērtību ieraksta finanšu kontos, neierakstot īpašuma ienākumus. Šis darījums neietekmē uzkrāto procentu kompilāciju no emitenta viedokļa. Jaunā īpašnieka kontos procentus uzkrāj no datuma, kad veikts ieraksts viņa portfelī. Ja jaunais īpašnieks šo aktīvu ir paturējis, faktiskais kupona maksājums vēlāk tiktu ierakstīts tikai finanšu kontā (procentu uzkrāšanās pastāvīgi tiek ierakstīta nefinanšu kontā), un var uzskatīt, ka aktīva iegādes brīdī iegūtie uzkrātie procenti, kam pieskaitīti visi kopš šā datuma uzkrātie procenti, ir pārdoti atpakaļ emitentam.</w:t>
      </w:r>
    </w:p>
    <w:p w14:paraId="70738F84" w14:textId="77777777" w:rsidR="00994F93" w:rsidRPr="00B03B51" w:rsidRDefault="00994F93" w:rsidP="00994F93">
      <w:pPr>
        <w:tabs>
          <w:tab w:val="left" w:pos="843"/>
        </w:tabs>
        <w:jc w:val="both"/>
        <w:rPr>
          <w:rFonts w:ascii="Times New Roman" w:hAnsi="Times New Roman" w:cs="Times New Roman"/>
          <w:noProof/>
          <w:sz w:val="24"/>
        </w:rPr>
      </w:pPr>
    </w:p>
    <w:p w14:paraId="1C559EAF" w14:textId="77777777" w:rsidR="00994F93" w:rsidRPr="00B03B51" w:rsidRDefault="00994F93" w:rsidP="00994F93">
      <w:pPr>
        <w:tabs>
          <w:tab w:val="left" w:pos="843"/>
        </w:tabs>
        <w:jc w:val="both"/>
        <w:rPr>
          <w:rFonts w:ascii="Times New Roman" w:hAnsi="Times New Roman" w:cs="Times New Roman"/>
          <w:noProof/>
          <w:sz w:val="24"/>
        </w:rPr>
      </w:pPr>
      <w:r w:rsidRPr="00B03B51">
        <w:rPr>
          <w:rFonts w:ascii="Times New Roman" w:hAnsi="Times New Roman" w:cs="Times New Roman"/>
          <w:sz w:val="24"/>
        </w:rPr>
        <w:t>14. Līdzīgs traktējums jāpiemēro gadījumā, ja parāda vērtspapīri tiek emitēti laidienos.</w:t>
      </w:r>
      <w:r w:rsidRPr="00B03B51">
        <w:rPr>
          <w:rStyle w:val="FootnoteReference"/>
          <w:rFonts w:ascii="Times New Roman" w:hAnsi="Times New Roman" w:cs="Times New Roman"/>
          <w:noProof/>
          <w:sz w:val="24"/>
        </w:rPr>
        <w:footnoteReference w:id="125"/>
      </w:r>
      <w:r w:rsidRPr="00B03B51">
        <w:rPr>
          <w:rFonts w:ascii="Times New Roman" w:hAnsi="Times New Roman" w:cs="Times New Roman"/>
          <w:sz w:val="24"/>
        </w:rPr>
        <w:t xml:space="preserve"> Šādos gadījumos pārdošanas cena atainos procentus, kas uzkrāti kopš pirmā laidiena emisijas, un šajā cenā varētu būt iekļauti par nesamaksātajiem kuponiem uzkrātie procenti. EKS 2010 20.183. punktā noteikts: </w:t>
      </w:r>
      <w:r w:rsidRPr="00B03B51">
        <w:rPr>
          <w:rFonts w:ascii="Times New Roman" w:hAnsi="Times New Roman" w:cs="Times New Roman"/>
          <w:i/>
          <w:iCs/>
          <w:sz w:val="24"/>
        </w:rPr>
        <w:t>Šādi pārdotie kuponi nav ne valdības ieņēmumi pārdošanas brīdī, ne prēmijas.</w:t>
      </w:r>
      <w:r w:rsidRPr="00B03B51">
        <w:rPr>
          <w:rFonts w:ascii="Times New Roman" w:hAnsi="Times New Roman" w:cs="Times New Roman"/>
          <w:i/>
          <w:sz w:val="24"/>
        </w:rPr>
        <w:t xml:space="preserve"> </w:t>
      </w:r>
      <w:r w:rsidRPr="00B03B51">
        <w:rPr>
          <w:rFonts w:ascii="Times New Roman" w:hAnsi="Times New Roman" w:cs="Times New Roman"/>
          <w:i/>
          <w:iCs/>
          <w:sz w:val="24"/>
        </w:rPr>
        <w:t>Tos uzskata par finanšu avansu</w:t>
      </w:r>
      <w:r w:rsidRPr="00B03B51">
        <w:rPr>
          <w:rFonts w:ascii="Times New Roman" w:hAnsi="Times New Roman" w:cs="Times New Roman"/>
          <w:sz w:val="24"/>
        </w:rPr>
        <w:t>. Tie ir jāieraksta atbilstīgi emitētajam finanšu instrumentam, un tādējādi no uzkrāšanas viedokļa tos nedrīkst savienot kopā ar procentu izdevumiem.</w:t>
      </w:r>
    </w:p>
    <w:p w14:paraId="1BB5706D" w14:textId="77777777" w:rsidR="00994F93" w:rsidRPr="00B03B51" w:rsidRDefault="00994F93" w:rsidP="00994F93">
      <w:pPr>
        <w:jc w:val="both"/>
        <w:rPr>
          <w:rFonts w:ascii="Times New Roman" w:hAnsi="Times New Roman" w:cs="Times New Roman"/>
          <w:noProof/>
          <w:sz w:val="24"/>
        </w:rPr>
      </w:pPr>
    </w:p>
    <w:p w14:paraId="1AA6B8B4" w14:textId="77777777" w:rsidR="00994F93" w:rsidRPr="00B03B51" w:rsidRDefault="00994F93" w:rsidP="00994F93">
      <w:pPr>
        <w:pStyle w:val="Heading6"/>
        <w:tabs>
          <w:tab w:val="left" w:pos="1267"/>
        </w:tabs>
        <w:ind w:left="0" w:firstLine="0"/>
        <w:jc w:val="both"/>
        <w:rPr>
          <w:rFonts w:ascii="Times New Roman" w:hAnsi="Times New Roman" w:cs="Times New Roman"/>
          <w:noProof/>
          <w:sz w:val="24"/>
        </w:rPr>
      </w:pPr>
      <w:bookmarkStart w:id="132" w:name="2.4.3.5_Non-negotiable_instruments"/>
      <w:bookmarkEnd w:id="132"/>
      <w:r w:rsidRPr="00B03B51">
        <w:rPr>
          <w:rFonts w:ascii="Times New Roman" w:hAnsi="Times New Roman" w:cs="Times New Roman"/>
          <w:sz w:val="24"/>
        </w:rPr>
        <w:t>2.4.3.5. NEAPGROZĀMI INSTRUMENTI</w:t>
      </w:r>
    </w:p>
    <w:p w14:paraId="09088039" w14:textId="77777777" w:rsidR="00994F93" w:rsidRPr="00B03B51" w:rsidRDefault="00994F93" w:rsidP="00994F93">
      <w:pPr>
        <w:tabs>
          <w:tab w:val="left" w:pos="843"/>
        </w:tabs>
        <w:jc w:val="both"/>
        <w:rPr>
          <w:rFonts w:ascii="Times New Roman" w:hAnsi="Times New Roman" w:cs="Times New Roman"/>
          <w:noProof/>
          <w:sz w:val="24"/>
        </w:rPr>
      </w:pPr>
    </w:p>
    <w:p w14:paraId="262BD257" w14:textId="77777777" w:rsidR="00994F93" w:rsidRPr="00B03B51" w:rsidRDefault="00994F93" w:rsidP="00994F93">
      <w:pPr>
        <w:tabs>
          <w:tab w:val="left" w:pos="843"/>
        </w:tabs>
        <w:jc w:val="both"/>
        <w:rPr>
          <w:rFonts w:ascii="Times New Roman" w:hAnsi="Times New Roman" w:cs="Times New Roman"/>
          <w:noProof/>
          <w:sz w:val="24"/>
        </w:rPr>
      </w:pPr>
      <w:r w:rsidRPr="00B03B51">
        <w:rPr>
          <w:rFonts w:ascii="Times New Roman" w:hAnsi="Times New Roman" w:cs="Times New Roman"/>
          <w:sz w:val="24"/>
        </w:rPr>
        <w:t>15. Attiecībā uz noguldījumiem (</w:t>
      </w:r>
      <w:r w:rsidRPr="00B03B51">
        <w:rPr>
          <w:rFonts w:ascii="Times New Roman" w:hAnsi="Times New Roman" w:cs="Times New Roman"/>
          <w:b/>
          <w:bCs/>
          <w:sz w:val="24"/>
        </w:rPr>
        <w:t>AF.22 un AF.29</w:t>
      </w:r>
      <w:r w:rsidRPr="00B03B51">
        <w:rPr>
          <w:rFonts w:ascii="Times New Roman" w:hAnsi="Times New Roman" w:cs="Times New Roman"/>
          <w:sz w:val="24"/>
        </w:rPr>
        <w:t xml:space="preserve">) EKS 2010 7.65. punktā noteikts vien tas, ka bilancē tiek ierakstīta to nominālvērtība, kas EKS 2010 7.39. punktā noteikta šādi – </w:t>
      </w:r>
      <w:r w:rsidRPr="00B03B51">
        <w:rPr>
          <w:rFonts w:ascii="Times New Roman" w:hAnsi="Times New Roman" w:cs="Times New Roman"/>
          <w:i/>
          <w:iCs/>
          <w:sz w:val="24"/>
        </w:rPr>
        <w:t>nominālvērtība atspoguļo sākotnēji piešķirto līdzekļu summu plus jebkuru vēlāku avansu mīnus jebkādus maksājumus plus uzkrātos procentus</w:t>
      </w:r>
      <w:r w:rsidRPr="00B03B51">
        <w:rPr>
          <w:rFonts w:ascii="Times New Roman" w:hAnsi="Times New Roman" w:cs="Times New Roman"/>
          <w:sz w:val="24"/>
        </w:rPr>
        <w:t>. Šai definīcijai atbilst gan noguldījumi pēc pieprasījuma un krājnoguldījumi, kad noguldītās summas uzkrāšanas periodā var mainīties, gan arī termiņnoguldījumi, kad teorētiski summa nemainās visā uzkrāšanas periodā.</w:t>
      </w:r>
    </w:p>
    <w:p w14:paraId="7A311FF4" w14:textId="77777777" w:rsidR="00994F93" w:rsidRPr="00B03B51" w:rsidRDefault="00994F93" w:rsidP="00994F93">
      <w:pPr>
        <w:tabs>
          <w:tab w:val="left" w:pos="843"/>
        </w:tabs>
        <w:jc w:val="both"/>
        <w:rPr>
          <w:rFonts w:ascii="Times New Roman" w:hAnsi="Times New Roman" w:cs="Times New Roman"/>
          <w:noProof/>
          <w:sz w:val="24"/>
        </w:rPr>
      </w:pPr>
    </w:p>
    <w:p w14:paraId="49A3D75D" w14:textId="77777777" w:rsidR="00994F93" w:rsidRPr="00B03B51" w:rsidRDefault="00994F93" w:rsidP="00994F93">
      <w:pPr>
        <w:tabs>
          <w:tab w:val="left" w:pos="843"/>
        </w:tabs>
        <w:jc w:val="both"/>
        <w:rPr>
          <w:rFonts w:ascii="Times New Roman" w:hAnsi="Times New Roman" w:cs="Times New Roman"/>
          <w:noProof/>
          <w:sz w:val="24"/>
        </w:rPr>
      </w:pPr>
      <w:r w:rsidRPr="00B03B51">
        <w:rPr>
          <w:rFonts w:ascii="Times New Roman" w:hAnsi="Times New Roman" w:cs="Times New Roman"/>
          <w:sz w:val="24"/>
        </w:rPr>
        <w:t xml:space="preserve">16. Attiecībā uz aizdevumiem EKS 2010 7.70. punktā noteikts, ka </w:t>
      </w:r>
      <w:r w:rsidRPr="00B03B51">
        <w:rPr>
          <w:rFonts w:ascii="Times New Roman" w:hAnsi="Times New Roman" w:cs="Times New Roman"/>
          <w:i/>
          <w:iCs/>
          <w:sz w:val="24"/>
        </w:rPr>
        <w:t>gan kreditoru, gan debitoru bilancēs ierakstāmās vērtības ir nominālvērtības neatkarīgi no tā, vai aizdevumi ir ienākumus nesoši vai nenesoši</w:t>
      </w:r>
      <w:r w:rsidRPr="00B03B51">
        <w:rPr>
          <w:rFonts w:ascii="Times New Roman" w:hAnsi="Times New Roman" w:cs="Times New Roman"/>
          <w:sz w:val="24"/>
        </w:rPr>
        <w:t>. Tas nozīmē, ka procenti vienmēr jāpieskaita atlikušajai aizdevuma pamatsummai.</w:t>
      </w:r>
    </w:p>
    <w:p w14:paraId="2D89F137"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1FF78A13"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17. Ar noguldījumiem un aizdevumiem saistīto uzkrāto procentu ierakstīšanu nedrīkst veikt atbilstīgi valstī pastāvošajai praksei vai pašu darījumu veicēju ieskatiem. Attiecībā uz noguldījumiem procentus pamatsummai var pievienot vienīgi saskaņā ar konkrētiem nosacījumiem (konkrētā perioda beigās). Attiecībā uz aizdevumiem līgumā starp debitoru un kreditoru skaidri nosaka pamatsummas vērtību (atmaksājamo kapitālu), kurā neietilpst procenti. Turklāt procentu maksājumiem un pamatsummas atmaksai nav obligāti jānotiek vienlaikus. Tomēr, tā kā EKS 2010 ir skaidri noteikts, ka uzkrātos procentus asimilē jaunu instrumenta summu iegādei, uzkrāto procentu atkārtota ieguldīšana analīzē jāuzskata par pamatsummu. Noguldījumu gadījumā uzkrāto procentu maksājums būtībā ir daļēja likvidācija, turpretī procentu maksājums par aizdevumiem ir iekļauts amortizācijas procesā.</w:t>
      </w:r>
    </w:p>
    <w:p w14:paraId="7678AC21" w14:textId="77777777" w:rsidR="00994F93" w:rsidRPr="00B03B51" w:rsidRDefault="00994F93" w:rsidP="00994F93">
      <w:pPr>
        <w:jc w:val="both"/>
        <w:rPr>
          <w:rFonts w:ascii="Times New Roman" w:eastAsia="Arial" w:hAnsi="Times New Roman" w:cs="Times New Roman"/>
          <w:noProof/>
          <w:sz w:val="24"/>
          <w:szCs w:val="15"/>
        </w:rPr>
      </w:pPr>
    </w:p>
    <w:p w14:paraId="0E7054CB" w14:textId="77777777" w:rsidR="00994F93" w:rsidRPr="00B03B51" w:rsidRDefault="00994F93" w:rsidP="00994F93">
      <w:pPr>
        <w:pStyle w:val="Heading6"/>
        <w:tabs>
          <w:tab w:val="left" w:pos="1267"/>
        </w:tabs>
        <w:ind w:left="0" w:firstLine="0"/>
        <w:jc w:val="both"/>
        <w:rPr>
          <w:rFonts w:ascii="Times New Roman" w:hAnsi="Times New Roman" w:cs="Times New Roman"/>
          <w:noProof/>
          <w:sz w:val="24"/>
        </w:rPr>
      </w:pPr>
      <w:bookmarkStart w:id="133" w:name="2.4.3.6_Instruments_issued_at_a_discount"/>
      <w:bookmarkEnd w:id="133"/>
      <w:r w:rsidRPr="00B03B51">
        <w:rPr>
          <w:rFonts w:ascii="Times New Roman" w:hAnsi="Times New Roman" w:cs="Times New Roman"/>
          <w:sz w:val="24"/>
        </w:rPr>
        <w:t>2.4.3.6. INSTRUMENTI, KAS EMITĒTI AR DISKONTU</w:t>
      </w:r>
    </w:p>
    <w:p w14:paraId="0671AB51"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51C60569"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szCs w:val="12"/>
        </w:rPr>
      </w:pPr>
      <w:r w:rsidRPr="00B03B51">
        <w:rPr>
          <w:rFonts w:ascii="Times New Roman" w:hAnsi="Times New Roman" w:cs="Times New Roman"/>
          <w:sz w:val="24"/>
        </w:rPr>
        <w:t>18. Vekseļi un citi īstermiņa instrumenti (kuru atmaksāšanas termiņš parasti nav ilgāks par vienu gadu) ir izdoti ar diskontu vai prēmiju, kas nozīmē, ka procenti ir vienādi ar emisijas cenas un termiņa beigās esošās izpirkšanas vērtības, kas parasti ir nominālvērtība, starpību. Šie procenti jāuzkrāj instrumenta darbības laikā, un gadījumā, ja tiek veikti darījumi sekundārajā tirgū, instrumenta tirgus cenas maiņas ietekme (kas ierakstīta kā turēšanas guvumi/zaudējumi) skaidri jānošķir no to uzkrāto procentu uzkrātās summas, ar ko puses apmainās. Pēc būtības šajā saistībā starp īstermiņa instrumentiem un bezkupona obligācijām, kas tiek emitētas ar ilgāku maksāšanas termiņu (parasti vismaz 5 gadi), atšķirības nepastāv. Šis jautājums ir apspriests EKS 2010 4.45.–4.46. punktā un EKS 2010 20.184.–20.186. punktā. Nav iemesla augsta diskonta obligācijas nošķirt no citām obligācijām, kas emitētas ar diskontu, teiksim, gadījumos, kad savstarpēji aizvietojamas obligācijas ir emitētas vairākos laidienos. Tās jātraktē vienādi neatkarīgi no diskonta apmēra. Apstiprinājums tam ir sniegts EKS 2010 20.184. punktā. Tas atbilst jau šīs rokasgrāmatas pirmajā izdevumā sniegtajam ieteikumam.</w:t>
      </w:r>
      <w:r w:rsidRPr="00B03B51">
        <w:rPr>
          <w:rStyle w:val="FootnoteReference"/>
          <w:rFonts w:ascii="Times New Roman" w:hAnsi="Times New Roman" w:cs="Times New Roman"/>
          <w:noProof/>
          <w:sz w:val="24"/>
        </w:rPr>
        <w:footnoteReference w:id="126"/>
      </w:r>
    </w:p>
    <w:p w14:paraId="34CA75D2" w14:textId="77777777" w:rsidR="00994F93" w:rsidRPr="00B03B51" w:rsidRDefault="00994F93" w:rsidP="00994F93">
      <w:pPr>
        <w:jc w:val="both"/>
        <w:rPr>
          <w:rFonts w:ascii="Times New Roman" w:eastAsia="Arial" w:hAnsi="Times New Roman" w:cs="Times New Roman"/>
          <w:noProof/>
          <w:sz w:val="24"/>
          <w:szCs w:val="14"/>
        </w:rPr>
      </w:pPr>
    </w:p>
    <w:p w14:paraId="5616C99C" w14:textId="77777777" w:rsidR="00994F93" w:rsidRPr="00B03B51" w:rsidRDefault="00994F93" w:rsidP="00994F93">
      <w:pPr>
        <w:pStyle w:val="Heading6"/>
        <w:tabs>
          <w:tab w:val="left" w:pos="1267"/>
        </w:tabs>
        <w:ind w:left="0" w:firstLine="0"/>
        <w:jc w:val="both"/>
        <w:rPr>
          <w:rFonts w:ascii="Times New Roman" w:hAnsi="Times New Roman" w:cs="Times New Roman"/>
          <w:noProof/>
          <w:sz w:val="24"/>
        </w:rPr>
      </w:pPr>
      <w:bookmarkStart w:id="134" w:name="2.4.3.7_Arrears_of_interest_recorded_und"/>
      <w:bookmarkEnd w:id="134"/>
      <w:r w:rsidRPr="00B03B51">
        <w:rPr>
          <w:rFonts w:ascii="Times New Roman" w:hAnsi="Times New Roman" w:cs="Times New Roman"/>
          <w:sz w:val="24"/>
        </w:rPr>
        <w:t>2.4.3.7. NOKAVĒTIE PROCENTU MAKSĀJUMI, KAS IERAKSTĪTI ATBILSTOŠI INSTRUMENTAM</w:t>
      </w:r>
    </w:p>
    <w:p w14:paraId="43415B16"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3D5026AC" w14:textId="44F31F7C"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19. Nokavētie procentu maksājumi rodas, kad procenti netiek samaksāti līgumā noteiktajā maksājuma termiņā. Tos ieraksta pie instrumenta tāpat kā iepriekš apspriesto uzkrāto procentu atkārtotu ieguldījumu. Tos abus ieraksta atbilstoši instrumentam līdz brīdim, kad tie tiek faktiski samaksāti vai atsevišķos gadījumos atcelti</w:t>
      </w:r>
      <w:r w:rsidRPr="00B03B51">
        <w:rPr>
          <w:rStyle w:val="FootnoteReference"/>
          <w:rFonts w:ascii="Times New Roman" w:hAnsi="Times New Roman" w:cs="Times New Roman"/>
          <w:noProof/>
          <w:sz w:val="24"/>
        </w:rPr>
        <w:footnoteReference w:id="127"/>
      </w:r>
      <w:r w:rsidRPr="00B03B51">
        <w:rPr>
          <w:rFonts w:ascii="Times New Roman" w:hAnsi="Times New Roman" w:cs="Times New Roman"/>
          <w:sz w:val="24"/>
        </w:rPr>
        <w:t xml:space="preserve"> (kas tādējādi ir sava veida parāda </w:t>
      </w:r>
      <w:r w:rsidR="00646653" w:rsidRPr="00B03B51">
        <w:rPr>
          <w:rFonts w:ascii="Times New Roman" w:hAnsi="Times New Roman" w:cs="Times New Roman"/>
          <w:sz w:val="24"/>
        </w:rPr>
        <w:t>anulēšana</w:t>
      </w:r>
      <w:r w:rsidRPr="00B03B51">
        <w:rPr>
          <w:rFonts w:ascii="Times New Roman" w:hAnsi="Times New Roman" w:cs="Times New Roman"/>
          <w:sz w:val="24"/>
        </w:rPr>
        <w:t>, kura jātraktē atbilstoši ierastajai kārtībai).</w:t>
      </w:r>
    </w:p>
    <w:p w14:paraId="46E8597E" w14:textId="77777777" w:rsidR="00994F93" w:rsidRPr="00B03B51" w:rsidRDefault="00994F93" w:rsidP="00994F93">
      <w:pPr>
        <w:jc w:val="both"/>
        <w:rPr>
          <w:rFonts w:ascii="Times New Roman" w:eastAsia="Arial" w:hAnsi="Times New Roman" w:cs="Times New Roman"/>
          <w:noProof/>
          <w:sz w:val="24"/>
          <w:szCs w:val="16"/>
        </w:rPr>
      </w:pPr>
    </w:p>
    <w:p w14:paraId="5ABE1BC7" w14:textId="77777777" w:rsidR="00994F93" w:rsidRPr="00B03B51" w:rsidRDefault="00994F93" w:rsidP="00994F93">
      <w:pPr>
        <w:pStyle w:val="Heading6"/>
        <w:tabs>
          <w:tab w:val="left" w:pos="1267"/>
        </w:tabs>
        <w:ind w:left="0" w:firstLine="0"/>
        <w:jc w:val="both"/>
        <w:rPr>
          <w:rFonts w:ascii="Times New Roman" w:hAnsi="Times New Roman" w:cs="Times New Roman"/>
          <w:noProof/>
          <w:sz w:val="24"/>
        </w:rPr>
      </w:pPr>
      <w:bookmarkStart w:id="135" w:name="2.4.3.8_Stripped_bonds"/>
      <w:bookmarkEnd w:id="135"/>
      <w:r w:rsidRPr="00B03B51">
        <w:rPr>
          <w:rFonts w:ascii="Times New Roman" w:hAnsi="Times New Roman" w:cs="Times New Roman"/>
          <w:sz w:val="24"/>
        </w:rPr>
        <w:t>2.4.3.8. SADALĪTĀS OBLIGĀCIJAS</w:t>
      </w:r>
    </w:p>
    <w:p w14:paraId="4A3C7570"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0C7222DB"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 xml:space="preserve">20. EKS 2010 5.96. punkta d) apakšpunktā ir minēta pamatsummas un procentu atdalīšana, proti, tas ir veids, kā “parasta” (jeb tradicionāla) obligācija pēc turētāju ierosmes tiek pārveidota par bezkuponu obligācijām. Tradicionāli tādējādi tiek izveidoti tirgū atsevišķi apgrozāmi sertifikāti, kas atspoguļo turpmākos procentu maksājumus un turpmāko pamatsummas atmaksu, bet “savstarpēji aizvietojamu sertifikātu” gadījumā visas plūsmas, kas saistītas ar konkrēto atmaksāšanas termiņu. Faktisko maksājumu plūsmu ziņā šī operācija emitentam ir </w:t>
      </w:r>
      <w:r w:rsidRPr="00B03B51">
        <w:rPr>
          <w:rFonts w:ascii="Times New Roman" w:hAnsi="Times New Roman" w:cs="Times New Roman"/>
          <w:sz w:val="24"/>
        </w:rPr>
        <w:lastRenderedPageBreak/>
        <w:t>neitrāla. Pamatsummas un procentu atdalīšana galvenokārt attiecas uz centrālās valdības emitētajām obligācijām.</w:t>
      </w:r>
    </w:p>
    <w:p w14:paraId="11AFE4E2"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23EC63DB"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21. Tā kā pamatsummas un procentu atdalīšanu ieguldītāji īsteno brīvprātīgi, pārrēķināšanu veic tikai attiecībā uz obligācijas kopējās neatmaksātās summas daļu. Parasti pamatsummas un procentu atdalīšana ir pastāvīgs risinājums, ko iespējams īstenot jebkurā laikā, un tas ir atgriezenisks, proti, jebkurā laikā obligāciju iespējams “atjaunot” tās sākotnējā stāvoklī, apvienojot visu atdalīto pamatsummas un procentu komplektu, un parasti to dara ieguldītājs. Ja atdalītie procenti un pamatsumma ir savstarpēji aizvietojami attiecībā uz atmaksāšanas termiņu, ir iespējams izveidot jaunu obligāciju no sertifikātiem, kuri emitēti no dažādām sākotnējām obligācijām. Atdalīto procentu un pamatsummas vērtību summa ir aktuāri vienāda ar kopējām plūsmām, tostarp ar sākotnējās obligācijas pamatsummas izpirkumu un regulārajiem procentu maksājumiem pamatsummas un procentu atdalīšanas brīdī.</w:t>
      </w:r>
    </w:p>
    <w:p w14:paraId="3EBF936A"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56870E97"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22. Atdalītos procentus un pamatsummu nedrīkst ierakstīt kā jaunus parāda instrumentus, kas atšķiras no sākotnējā instrumenta. Ja (emitenta grāmatvedības dokumentos un attiecībā uz pārmērīga budžeta deficīta novēršanas procedūru) ieraksta parāda nominālvērtību, sākotnējā parāda ierakstīšana nemainās, kad obligāciju sadala (skat. 8.2.2.1. apakšiedaļu). Ja ieraksta parāda tirgus vērtību, pamatsummas un procentu atdalīšana nemaina parāda kopējo tirgus vērtību.</w:t>
      </w:r>
    </w:p>
    <w:p w14:paraId="1647A2D4"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553E6F0A"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23. Līdz ar to pamatsummas un procentu atdalīšana nemaina aizņemšanās izmaksas un nenodrošina emitentam papildu finansējumu. Tas neietekmē uzkrātos procentu izdevumus, kuriem joprojām jābūt noteiktiem saskaņā ar likmi, kas piemērota sākotnējo obligāciju emisijas laikā, ievērojot debitora principu.</w:t>
      </w:r>
    </w:p>
    <w:p w14:paraId="5736AC2C"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6777F025"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24. Ja valdība iegādājas atdalītos procentus un pamatsummas, statistikas veidotājiem ir rūpīgi jānovērtē, kā darījumi ietekmē valdības deficītu un parādu, daļēji konsolidācijas dēļ (skat. arī 8.2.2.1. apakšiedaļu). Ja iegādi veic cita vienība, nevis tā, kas emitējusi obligāciju, atdalīto procentu un pamatsummas iegāde ir jāieraksta kā finanšu aktīva iegāde, kuru būtu nepieciešams konsolidēt, kad tiek iesniegti konsolidētie pārskati (nevis tad, kad iesniedz nekonsolidētos pārskatus). Ja iegādi ir veicis obligācijas emitents, atdalīto procentu un pamatsummas iegādi ieraksta kā saistību izpirkumu.</w:t>
      </w:r>
    </w:p>
    <w:p w14:paraId="7F44A550"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0786E128"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25. Šo konsolidāciju ir iespējams veikt divējādi atkarībā no tā, vai vienībai ir vai nav pietiekami daudz atdalīto procentu un pamatsummu, lai veiktu atgriezenisko pārveidošanu:</w:t>
      </w:r>
    </w:p>
    <w:p w14:paraId="5C786F01" w14:textId="77777777" w:rsidR="00994F93" w:rsidRPr="00B03B51" w:rsidRDefault="00994F93" w:rsidP="00994F93">
      <w:pPr>
        <w:pStyle w:val="BodyText"/>
        <w:tabs>
          <w:tab w:val="left" w:pos="1126"/>
        </w:tabs>
        <w:spacing w:before="0"/>
        <w:ind w:left="0" w:firstLine="0"/>
        <w:jc w:val="both"/>
        <w:rPr>
          <w:rFonts w:ascii="Times New Roman" w:hAnsi="Times New Roman" w:cs="Times New Roman"/>
          <w:noProof/>
          <w:sz w:val="24"/>
        </w:rPr>
      </w:pPr>
    </w:p>
    <w:p w14:paraId="13477167" w14:textId="77777777" w:rsidR="00994F93" w:rsidRPr="00B03B51" w:rsidRDefault="00994F93" w:rsidP="00994F93">
      <w:pPr>
        <w:pStyle w:val="BodyText"/>
        <w:tabs>
          <w:tab w:val="left" w:pos="1126"/>
        </w:tabs>
        <w:spacing w:before="0"/>
        <w:ind w:left="284" w:firstLine="0"/>
        <w:jc w:val="both"/>
        <w:rPr>
          <w:rFonts w:ascii="Times New Roman" w:hAnsi="Times New Roman" w:cs="Times New Roman"/>
          <w:noProof/>
          <w:sz w:val="24"/>
        </w:rPr>
      </w:pPr>
      <w:r w:rsidRPr="00B03B51">
        <w:rPr>
          <w:rFonts w:ascii="Times New Roman" w:hAnsi="Times New Roman" w:cs="Times New Roman"/>
          <w:sz w:val="24"/>
        </w:rPr>
        <w:t>a) atsevišķu atdalīto procentu un pamatsummas izdevumu D.41 konsolidācijas ietekme (piemēram, kad valdībai ir atsevišķi atdalītie procenti un pamatsummas, kurus nevar apvienot, lai dublētu obligāciju) ir jānosaka, izvērtējot katra konkrēta termiņa atdalīto procentu un pamatsummas vidējo ienesīgumu, kas jāaprēķina saskaņā ar debitora principu, un piemērojot vispārīgus noteikumus attiecībā uz D.41 konsolidāciju, proti, jāizmanto līdzīga loģika kā tā, ko piemēro obligācijas parastai atpirkšanai;</w:t>
      </w:r>
    </w:p>
    <w:p w14:paraId="36D62F72" w14:textId="77777777" w:rsidR="00994F93" w:rsidRPr="00B03B51" w:rsidRDefault="00994F93" w:rsidP="00994F93">
      <w:pPr>
        <w:pStyle w:val="BodyText"/>
        <w:tabs>
          <w:tab w:val="left" w:pos="1126"/>
        </w:tabs>
        <w:spacing w:before="0"/>
        <w:ind w:left="284" w:firstLine="0"/>
        <w:jc w:val="both"/>
        <w:rPr>
          <w:rFonts w:ascii="Times New Roman" w:hAnsi="Times New Roman" w:cs="Times New Roman"/>
          <w:noProof/>
          <w:sz w:val="24"/>
        </w:rPr>
      </w:pPr>
    </w:p>
    <w:p w14:paraId="51E6F6A3" w14:textId="77777777" w:rsidR="00994F93" w:rsidRPr="00B03B51" w:rsidRDefault="00994F93" w:rsidP="00994F93">
      <w:pPr>
        <w:pStyle w:val="BodyText"/>
        <w:tabs>
          <w:tab w:val="left" w:pos="1126"/>
        </w:tabs>
        <w:spacing w:before="0"/>
        <w:ind w:left="284" w:firstLine="0"/>
        <w:jc w:val="both"/>
        <w:rPr>
          <w:rFonts w:ascii="Times New Roman" w:hAnsi="Times New Roman" w:cs="Times New Roman"/>
          <w:noProof/>
          <w:sz w:val="24"/>
        </w:rPr>
      </w:pPr>
      <w:r w:rsidRPr="00B03B51">
        <w:rPr>
          <w:rFonts w:ascii="Times New Roman" w:hAnsi="Times New Roman" w:cs="Times New Roman"/>
          <w:sz w:val="24"/>
        </w:rPr>
        <w:t>b) ja vienībai ir pietiekami daudz atdalīto procentu un pamatsummu, lai atdalītos procentus un pamatsummas apvienotu</w:t>
      </w:r>
      <w:r w:rsidRPr="00B03B51">
        <w:rPr>
          <w:rStyle w:val="FootnoteReference"/>
          <w:rFonts w:ascii="Times New Roman" w:hAnsi="Times New Roman" w:cs="Times New Roman"/>
          <w:noProof/>
          <w:sz w:val="24"/>
        </w:rPr>
        <w:footnoteReference w:id="128"/>
      </w:r>
      <w:r w:rsidRPr="00B03B51">
        <w:rPr>
          <w:rFonts w:ascii="Times New Roman" w:hAnsi="Times New Roman" w:cs="Times New Roman"/>
          <w:sz w:val="24"/>
        </w:rPr>
        <w:t xml:space="preserve">, konsolidāciju var veikt saskaņā ar parasto noteikumu, un to </w:t>
      </w:r>
      <w:r w:rsidRPr="00B03B51">
        <w:rPr>
          <w:rFonts w:ascii="Times New Roman" w:hAnsi="Times New Roman" w:cs="Times New Roman"/>
          <w:sz w:val="24"/>
        </w:rPr>
        <w:lastRenderedPageBreak/>
        <w:t>dara, samazinot parādu par tādas sintētiskās obligācijas “nominālvērtību”, kas izveidota, apvienojot atdalītos procentus un pamatsummas. Tādējādi valdības izdevumi par procentiem (D.41), veicot konsolidāciju, tiek samazināti līdzīgā veidā kā tad, kad valdība iegādājas attiecīgo obligāciju.</w:t>
      </w:r>
    </w:p>
    <w:p w14:paraId="2490BD55" w14:textId="77777777" w:rsidR="00994F93" w:rsidRPr="00B03B51" w:rsidRDefault="00994F93" w:rsidP="00994F93">
      <w:pPr>
        <w:pStyle w:val="BodyText"/>
        <w:spacing w:before="0"/>
        <w:ind w:left="0" w:firstLine="0"/>
        <w:jc w:val="both"/>
        <w:rPr>
          <w:rFonts w:ascii="Times New Roman" w:hAnsi="Times New Roman" w:cs="Times New Roman"/>
          <w:noProof/>
          <w:sz w:val="24"/>
        </w:rPr>
      </w:pPr>
    </w:p>
    <w:p w14:paraId="5FBC31DB" w14:textId="77777777" w:rsidR="00994F93" w:rsidRPr="00B03B51" w:rsidRDefault="00994F93" w:rsidP="00994F93">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t>Tomēr jāatzīmē, ka obligācijas atjaunošanas tās sākotnējā stāvoklī gadījumā b) metodes piemērošana varētu nesniegt tieši tādus pašus rezultātus kā a) metodes piemērošana attiecībā uz visiem konkrētās obligācijas atdalītajiem procentiem un pamatsummām. Tālab statistikas veidotāji dažkārt vēlas veikt īpašas korekcijas.</w:t>
      </w:r>
    </w:p>
    <w:p w14:paraId="51D17F71" w14:textId="77777777" w:rsidR="00994F93" w:rsidRPr="00B03B51" w:rsidRDefault="00994F93" w:rsidP="00994F93">
      <w:pPr>
        <w:jc w:val="both"/>
        <w:rPr>
          <w:rFonts w:ascii="Times New Roman" w:eastAsia="Arial" w:hAnsi="Times New Roman" w:cs="Times New Roman"/>
          <w:noProof/>
          <w:sz w:val="24"/>
          <w:szCs w:val="14"/>
        </w:rPr>
      </w:pPr>
    </w:p>
    <w:p w14:paraId="6D12E691"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26. Rezumējot, saskaņā ar statistikas veidotāju traktējumu atsevišķi atdalītie procenti un pamatsummas (kurus nevar apvienot, lai dublētu esošo obligāciju) ir atsevišķs parāda instruments, kas rada D.41 saistībā ar nosacījumiem, kas noteikti instrumenta darbības sākumā, ievērojot debitora principu (tas ir, kad tika emitēts sākotnējais parāda instruments, izmantojot unikālu katra no konkrētās obligācijas/laidiena izrietošā atdalīto procentu un pamatsummas ienesīgumu.</w:t>
      </w:r>
      <w:r w:rsidRPr="00B03B51">
        <w:rPr>
          <w:rStyle w:val="FootnoteReference"/>
          <w:rFonts w:ascii="Times New Roman" w:hAnsi="Times New Roman" w:cs="Times New Roman"/>
          <w:noProof/>
          <w:sz w:val="24"/>
        </w:rPr>
        <w:footnoteReference w:id="129"/>
      </w:r>
      <w:r w:rsidRPr="00B03B51">
        <w:rPr>
          <w:rFonts w:ascii="Times New Roman" w:hAnsi="Times New Roman" w:cs="Times New Roman"/>
          <w:sz w:val="24"/>
        </w:rPr>
        <w:t xml:space="preserve"> Piemēram, ja tirgus procentu likme obligācijas emisijas brīdī bija 5 % (ņemot vērā tās termiņu), uzskatāms, ka katram atdalīto procentu un pamatsummas komplektam procentu likme ir 5 %. Šāda pieeja statistikas veidotājiem, aplūkojot katra atdalīto procentu un pamatsummas komplekta vērtību, ļautu nošķirt, kādu daļu veido uzkrātie procenti, parāda atmaksa un attiecīgā gadījumā – pārvērtēšanas ietekme.</w:t>
      </w:r>
    </w:p>
    <w:p w14:paraId="092444B0" w14:textId="77777777" w:rsidR="00994F93" w:rsidRPr="00B03B51" w:rsidRDefault="00994F93" w:rsidP="00994F93">
      <w:pPr>
        <w:jc w:val="both"/>
        <w:rPr>
          <w:rFonts w:ascii="Times New Roman" w:hAnsi="Times New Roman" w:cs="Times New Roman"/>
          <w:noProof/>
          <w:sz w:val="24"/>
        </w:rPr>
      </w:pPr>
    </w:p>
    <w:p w14:paraId="4F6BB8BA" w14:textId="77777777" w:rsidR="00994F93" w:rsidRPr="00B03B51" w:rsidRDefault="00994F93" w:rsidP="00994F93">
      <w:pPr>
        <w:pStyle w:val="Heading6"/>
        <w:tabs>
          <w:tab w:val="left" w:pos="1267"/>
        </w:tabs>
        <w:ind w:left="0" w:firstLine="0"/>
        <w:jc w:val="both"/>
        <w:rPr>
          <w:rFonts w:ascii="Times New Roman" w:hAnsi="Times New Roman" w:cs="Times New Roman"/>
          <w:noProof/>
          <w:sz w:val="24"/>
        </w:rPr>
      </w:pPr>
      <w:bookmarkStart w:id="136" w:name="2.4.3.9_Floating_rates_and_assimilated_i"/>
      <w:bookmarkEnd w:id="136"/>
      <w:r w:rsidRPr="00B03B51">
        <w:rPr>
          <w:rFonts w:ascii="Times New Roman" w:hAnsi="Times New Roman" w:cs="Times New Roman"/>
          <w:sz w:val="24"/>
        </w:rPr>
        <w:t>2.4.3.9. BRĪVI SVĀRSTĪGAS LIKMES UN LĪDZĪGI JAUTĀJUMI (TOSTARP UZKRĀJUMU PRĒMIJAS)</w:t>
      </w:r>
    </w:p>
    <w:p w14:paraId="729A9886"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2FDA4E88"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27. Parāda instrumentus var iedalīt triju veidu instrumentos:</w:t>
      </w:r>
    </w:p>
    <w:p w14:paraId="65038900" w14:textId="77777777" w:rsidR="00994F93" w:rsidRPr="00B03B51" w:rsidRDefault="00994F93" w:rsidP="00994F93">
      <w:pPr>
        <w:pStyle w:val="BodyText"/>
        <w:tabs>
          <w:tab w:val="left" w:pos="1126"/>
        </w:tabs>
        <w:spacing w:before="0"/>
        <w:ind w:left="0" w:firstLine="0"/>
        <w:jc w:val="both"/>
        <w:rPr>
          <w:rFonts w:ascii="Times New Roman" w:hAnsi="Times New Roman" w:cs="Times New Roman"/>
          <w:noProof/>
          <w:sz w:val="24"/>
        </w:rPr>
      </w:pPr>
    </w:p>
    <w:p w14:paraId="53ABBDC9" w14:textId="77777777" w:rsidR="00994F93" w:rsidRPr="00B03B51" w:rsidRDefault="00994F93" w:rsidP="00994F93">
      <w:pPr>
        <w:pStyle w:val="BodyText"/>
        <w:tabs>
          <w:tab w:val="left" w:pos="1126"/>
        </w:tabs>
        <w:spacing w:before="0"/>
        <w:ind w:left="284" w:firstLine="0"/>
        <w:jc w:val="both"/>
        <w:rPr>
          <w:rFonts w:ascii="Times New Roman" w:hAnsi="Times New Roman" w:cs="Times New Roman"/>
          <w:noProof/>
          <w:sz w:val="24"/>
        </w:rPr>
      </w:pPr>
      <w:r w:rsidRPr="00B03B51">
        <w:rPr>
          <w:rFonts w:ascii="Times New Roman" w:hAnsi="Times New Roman" w:cs="Times New Roman"/>
          <w:sz w:val="24"/>
        </w:rPr>
        <w:t>a) instrumenti ar fiksētu procentu likmi;</w:t>
      </w:r>
    </w:p>
    <w:p w14:paraId="7E9C9A5D" w14:textId="77777777" w:rsidR="00994F93" w:rsidRPr="00B03B51" w:rsidRDefault="00994F93" w:rsidP="00994F93">
      <w:pPr>
        <w:pStyle w:val="BodyText"/>
        <w:tabs>
          <w:tab w:val="left" w:pos="1126"/>
        </w:tabs>
        <w:spacing w:before="0"/>
        <w:ind w:left="284" w:firstLine="0"/>
        <w:jc w:val="both"/>
        <w:rPr>
          <w:rFonts w:ascii="Times New Roman" w:hAnsi="Times New Roman" w:cs="Times New Roman"/>
          <w:noProof/>
          <w:sz w:val="24"/>
        </w:rPr>
      </w:pPr>
    </w:p>
    <w:p w14:paraId="58DAD386" w14:textId="77777777" w:rsidR="00994F93" w:rsidRPr="00B03B51" w:rsidRDefault="00994F93" w:rsidP="00994F93">
      <w:pPr>
        <w:pStyle w:val="BodyText"/>
        <w:tabs>
          <w:tab w:val="left" w:pos="1126"/>
        </w:tabs>
        <w:spacing w:before="0"/>
        <w:ind w:left="284" w:firstLine="0"/>
        <w:jc w:val="both"/>
        <w:rPr>
          <w:rFonts w:ascii="Times New Roman" w:hAnsi="Times New Roman" w:cs="Times New Roman"/>
          <w:noProof/>
          <w:sz w:val="24"/>
        </w:rPr>
      </w:pPr>
      <w:r w:rsidRPr="00B03B51">
        <w:rPr>
          <w:rFonts w:ascii="Times New Roman" w:hAnsi="Times New Roman" w:cs="Times New Roman"/>
          <w:sz w:val="24"/>
        </w:rPr>
        <w:t>b) instrumenti ar mainīgu procentu likmi:</w:t>
      </w:r>
    </w:p>
    <w:p w14:paraId="5DF1B1B1" w14:textId="77777777" w:rsidR="00994F93" w:rsidRPr="00B03B51" w:rsidRDefault="00994F93" w:rsidP="00994F93">
      <w:pPr>
        <w:pStyle w:val="BodyText"/>
        <w:tabs>
          <w:tab w:val="left" w:pos="1411"/>
        </w:tabs>
        <w:spacing w:before="0"/>
        <w:ind w:left="0" w:firstLine="0"/>
        <w:jc w:val="both"/>
        <w:rPr>
          <w:rFonts w:ascii="Times New Roman" w:hAnsi="Times New Roman" w:cs="Times New Roman"/>
          <w:noProof/>
          <w:sz w:val="24"/>
        </w:rPr>
      </w:pPr>
    </w:p>
    <w:p w14:paraId="1C3AB05D" w14:textId="77777777" w:rsidR="00994F93" w:rsidRPr="00B03B51" w:rsidRDefault="00994F93" w:rsidP="00994F93">
      <w:pPr>
        <w:pStyle w:val="BodyText"/>
        <w:tabs>
          <w:tab w:val="left" w:pos="1411"/>
        </w:tabs>
        <w:spacing w:before="0"/>
        <w:ind w:left="709" w:firstLine="0"/>
        <w:jc w:val="both"/>
        <w:rPr>
          <w:rFonts w:ascii="Times New Roman" w:hAnsi="Times New Roman" w:cs="Times New Roman"/>
          <w:noProof/>
          <w:sz w:val="24"/>
        </w:rPr>
      </w:pPr>
      <w:r w:rsidRPr="00B03B51">
        <w:rPr>
          <w:rFonts w:ascii="Times New Roman" w:hAnsi="Times New Roman" w:cs="Times New Roman"/>
          <w:sz w:val="24"/>
        </w:rPr>
        <w:t>1) indeksētie instrumenti;</w:t>
      </w:r>
    </w:p>
    <w:p w14:paraId="128CAA31" w14:textId="77777777" w:rsidR="00994F93" w:rsidRPr="00B03B51" w:rsidRDefault="00994F93" w:rsidP="00994F93">
      <w:pPr>
        <w:pStyle w:val="BodyText"/>
        <w:tabs>
          <w:tab w:val="left" w:pos="1411"/>
        </w:tabs>
        <w:spacing w:before="0"/>
        <w:ind w:left="709" w:firstLine="0"/>
        <w:jc w:val="both"/>
        <w:rPr>
          <w:rFonts w:ascii="Times New Roman" w:hAnsi="Times New Roman" w:cs="Times New Roman"/>
          <w:noProof/>
          <w:sz w:val="24"/>
        </w:rPr>
      </w:pPr>
    </w:p>
    <w:p w14:paraId="3969DB70" w14:textId="77777777" w:rsidR="00994F93" w:rsidRPr="00B03B51" w:rsidRDefault="00994F93" w:rsidP="00994F93">
      <w:pPr>
        <w:pStyle w:val="BodyText"/>
        <w:tabs>
          <w:tab w:val="left" w:pos="1411"/>
        </w:tabs>
        <w:spacing w:before="0"/>
        <w:ind w:left="709" w:firstLine="0"/>
        <w:jc w:val="both"/>
        <w:rPr>
          <w:rFonts w:ascii="Times New Roman" w:hAnsi="Times New Roman" w:cs="Times New Roman"/>
          <w:noProof/>
          <w:sz w:val="24"/>
        </w:rPr>
      </w:pPr>
      <w:r w:rsidRPr="00B03B51">
        <w:rPr>
          <w:rFonts w:ascii="Times New Roman" w:hAnsi="Times New Roman" w:cs="Times New Roman"/>
          <w:sz w:val="24"/>
        </w:rPr>
        <w:t>2) citi instrumenti ar mainīgu procentu likmi.</w:t>
      </w:r>
    </w:p>
    <w:p w14:paraId="2D143606"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7B6951F4"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28. Instrumenti ar fiksētu procentu likmi ir instrumenti ar pastāvīgiem kuponiem noteiktā periodā, kā arī instrumenti ar nepastāvīgiem kuponiem, kas ir fiksēti (t. i., zināmi) darbības sākumā, piemēram, pakāpeniskas likmes. Rokasgrāmatas 2.4.3.13. apakšiedaļā ir paskaidrots, ka pēdējā minētajā gadījumā nemainīgu ienesīgumu aprēķina instrumenta darbības laikā, dzēšot pieauguma vai samazinājuma profilu vai kādu citu sarežģītāku profilu, kas paredzēts instrumenta fiksētajos kuponos.</w:t>
      </w:r>
    </w:p>
    <w:p w14:paraId="1279EC50"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6A6B777A"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29. Instrumenti ar mainīgu procentu likmi (EKS 2010 5.98. punkts) var būt vai nu indeksētie instrumenti (skat. 2.4.3.11. apakšiedaļu), vai brīvi svārstīgas procentu likmes instrumenti.</w:t>
      </w:r>
    </w:p>
    <w:p w14:paraId="37D368ED"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446D0B43"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 xml:space="preserve">30. Parāda instrumenti ar brīvi svārstīgo likmi nerada nekādus īpašus konceptuālus jautājumus </w:t>
      </w:r>
      <w:r w:rsidRPr="00B03B51">
        <w:rPr>
          <w:rFonts w:ascii="Times New Roman" w:hAnsi="Times New Roman" w:cs="Times New Roman"/>
          <w:sz w:val="24"/>
        </w:rPr>
        <w:lastRenderedPageBreak/>
        <w:t xml:space="preserve">attiecībā uz procentu ierakstīšanu atbilstīgi uzkrāšanas principam. Procenti, ko ieraksta (D.41 un attiecīgā gadījumā </w:t>
      </w:r>
      <w:r w:rsidRPr="00B03B51">
        <w:rPr>
          <w:rFonts w:ascii="Times New Roman" w:hAnsi="Times New Roman" w:cs="Times New Roman"/>
          <w:i/>
          <w:iCs/>
          <w:sz w:val="24"/>
        </w:rPr>
        <w:t>FISIM</w:t>
      </w:r>
      <w:r w:rsidRPr="00B03B51">
        <w:rPr>
          <w:rFonts w:ascii="Times New Roman" w:hAnsi="Times New Roman" w:cs="Times New Roman"/>
          <w:sz w:val="24"/>
        </w:rPr>
        <w:t>), mainās saskaņā ar noteiktu formulu.</w:t>
      </w:r>
    </w:p>
    <w:p w14:paraId="2655E7E7"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48AE453C"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 xml:space="preserve">31. Jaukto procentu likmju instrumentu gadījumā, kad tiek apvienotas dažādas fiksētas un/vai brīvi svārstīgas likmes, ir jāaplūko divi (vai vairāki) dažādi instrumenti. Piemēram, obligācija, kas maksā </w:t>
      </w:r>
      <w:r w:rsidRPr="00B03B51">
        <w:rPr>
          <w:rFonts w:ascii="Times New Roman" w:hAnsi="Times New Roman" w:cs="Times New Roman"/>
          <w:i/>
          <w:iCs/>
          <w:sz w:val="24"/>
        </w:rPr>
        <w:t>Euribor</w:t>
      </w:r>
      <w:r w:rsidRPr="00B03B51">
        <w:rPr>
          <w:rFonts w:ascii="Times New Roman" w:hAnsi="Times New Roman" w:cs="Times New Roman"/>
          <w:sz w:val="24"/>
        </w:rPr>
        <w:t xml:space="preserve"> plus peļņas normu, ir jāsadala, ja peļņas norma ir fiksēta, bet nav konstanta obligācijas darbības laikā – un tikai procentu kompilēšanas vajadzībām – tā jāsadala </w:t>
      </w:r>
      <w:r w:rsidRPr="00B03B51">
        <w:rPr>
          <w:rFonts w:ascii="Times New Roman" w:hAnsi="Times New Roman" w:cs="Times New Roman"/>
          <w:i/>
          <w:iCs/>
          <w:sz w:val="24"/>
        </w:rPr>
        <w:t>Euribor</w:t>
      </w:r>
      <w:r w:rsidRPr="00B03B51">
        <w:rPr>
          <w:rFonts w:ascii="Times New Roman" w:hAnsi="Times New Roman" w:cs="Times New Roman"/>
          <w:sz w:val="24"/>
        </w:rPr>
        <w:t xml:space="preserve"> obligācijā un fiksētas likmes obligācijā.</w:t>
      </w:r>
    </w:p>
    <w:p w14:paraId="60A2F11A"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66085845"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32. EKS 2010 5.102. punkts attiecas uz parāda vērtspapīriem “ar jauktu procentu likmi”, un šajos gadījumos procenti vienlaikus vai secīgi sastāv no diviem fiksētiem/brīvi svārstīgiem komponentiem. Līdz ar to attiecībā uz katru komponentu piemēro atšķirīgus uzkrāto procentu noteikumus. Ja abi šie komponenti ir vienlaikus, izmantotā kompilēšanas metode atbilst tai, kas aprakstīta iepriekšējā punktā. Ja abi komponenti ir secīgi, ir nepieciešama kompleksāka pieeja, nevis tikai divu instrumentu identificēšana, ciktāl ir jāaprēķina kopīgā iekšējā atdeves likme visā instrumenta darbības laikā.</w:t>
      </w:r>
    </w:p>
    <w:p w14:paraId="692F497F"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562385B2"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33. Vērtspapīru gadījumā parasti pastāv saistība starp likmes indeksa būtību un procentu maksājumu biežumu. Procenti, kas indeksēti pa ceturkšņiem, parasti tiek maksāti katru ceturksni ar viena ceturkšņa kavēšanos. Tādējādi precīza summa, kas jāatmaksā turētājiem, ir zināma iepriekš. Šādā gadījumā uzskata, ka procenti ir “noteikti iepriekš”.</w:t>
      </w:r>
    </w:p>
    <w:p w14:paraId="2BCCE178"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6DF29055"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34. Tomēr procenti var būt arī “noteikti pēc tam”. Piemēram, ikgadējos procentus var indeksēt vidēji par iepriekšējiem divpadsmit mēnešiem. Precīzs kupons ir zināms neilgi pirms faktiskā maksājuma. Provizoriskās aplēses par uzkrātajiem procentiem var atšķirties no faktiskās summas, un tāpēc tās ir jāprecizē, tiklīdz ir zināma faktiskā summa.</w:t>
      </w:r>
    </w:p>
    <w:p w14:paraId="0D98019F"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1B82E43D"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35. Ja attiecībā uz aizdevumiem un noguldījumiem individuāla kompilācija nav praktiski iespējama, jāizmanto vispārēja informācija (jo īpaši attiecībā uz noguldījumiem). Šādos apstākļos procenti tiktu uzkrāti, pamatojoties uz aplēsēm par visiespējamāko likmi, saskaņā ar kuru maksājumi tiktu faktiski veikti.</w:t>
      </w:r>
    </w:p>
    <w:p w14:paraId="077AC9D6"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0C9DC9C6"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36. EKS 2010 nav minētas uzkrājumu prēmijas. Šādas prēmijas izmaksā saskaņā ar noteikumiem attiecībā uz laika posmu, cik ilgi instruments ir turēts kā atlīdzība par stabilitāti. Tas ir papildu īpašuma ienākums, nevis nomināls turēšanas guvums. Uzkrāšanas prēmija ir jātraktē kā procenti un līdz ar to jāieraksta atbilstoši uzkrāšanas principam. Dažās shēmās prēmijas tiek iegūtas vienīgi pēc visa uzkrāšanas perioda beigām, un pirms tam nav iespējams ticami noteikt precīzu kopējo izmaksājamo summu. Tomēr parasti vienīgi neliela īpašnieku daļa nesaņem papildu atlīdzību, jo to lielākā daļa rīkojas racionāli, lai palielinātu savu peļņu no uzkrājuma. Līdz ar to procenti jāuzkrāj attiecībā uz “maksimālo bāzi”, t. i., iekļaujot tajā arī prēmiju. Kad ir noteikti zināms precīzs “racionālo” uzkrājēju īpatsvars, var pārskatīt iepriekšējos periodus. Citās shēmās “atlīdzība” izpaužas kā procentu likmes palielinājums turētājiem, kuri iepriekšējā(-os) gadā(-os) nav samazinājuši savus ietaupījumus. Šajā gadījumā, ja nav informācijas, kāds ir gaidāmais to noguldītāju īpatsvars, kuri saņem augstāku likmi, procenti ir jāuzkrāj, ņemot vērā augstāku likmi, un galīgo korekciju veic, kad ir pieejama precīza informācija.</w:t>
      </w:r>
    </w:p>
    <w:p w14:paraId="1C5258CB" w14:textId="77777777" w:rsidR="00994F93" w:rsidRPr="00B03B51" w:rsidRDefault="00994F93" w:rsidP="00994F93">
      <w:pPr>
        <w:jc w:val="both"/>
        <w:rPr>
          <w:rFonts w:ascii="Times New Roman" w:eastAsia="Arial" w:hAnsi="Times New Roman" w:cs="Times New Roman"/>
          <w:noProof/>
          <w:sz w:val="24"/>
          <w:szCs w:val="15"/>
        </w:rPr>
      </w:pPr>
    </w:p>
    <w:p w14:paraId="1E252F80" w14:textId="77777777" w:rsidR="00994F93" w:rsidRPr="00B03B51" w:rsidRDefault="00994F93" w:rsidP="00994F93">
      <w:pPr>
        <w:pStyle w:val="Heading6"/>
        <w:tabs>
          <w:tab w:val="left" w:pos="1411"/>
        </w:tabs>
        <w:ind w:left="0" w:firstLine="0"/>
        <w:jc w:val="both"/>
        <w:rPr>
          <w:rFonts w:ascii="Times New Roman" w:hAnsi="Times New Roman" w:cs="Times New Roman"/>
          <w:noProof/>
          <w:sz w:val="24"/>
        </w:rPr>
      </w:pPr>
      <w:bookmarkStart w:id="137" w:name="2.4.3.10_Lottery_instruments"/>
      <w:bookmarkEnd w:id="137"/>
      <w:r w:rsidRPr="00B03B51">
        <w:rPr>
          <w:rFonts w:ascii="Times New Roman" w:hAnsi="Times New Roman" w:cs="Times New Roman"/>
          <w:sz w:val="24"/>
        </w:rPr>
        <w:t>2.4.3.10. LOTERIJAS INSTRUMENTI</w:t>
      </w:r>
    </w:p>
    <w:p w14:paraId="139C0D7B"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64BDE233"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 xml:space="preserve">37. Loterijas instrumentu maksājumi, kad šie maksājumi ir veikti kā balvas nejauši izvēlētiem turētājiem, ir uzskatāmi par procentiem (EKS 2010 4.49. punkta c) apakšpunkts) un nevis par </w:t>
      </w:r>
      <w:r w:rsidRPr="00B03B51">
        <w:rPr>
          <w:rFonts w:ascii="Times New Roman" w:hAnsi="Times New Roman" w:cs="Times New Roman"/>
          <w:sz w:val="24"/>
        </w:rPr>
        <w:lastRenderedPageBreak/>
        <w:t>turēšanas guvumiem turētājam. Lai gan īpašnieki nezina, ko viņi saņems, emitentam ir zināma kopsumma, kas tiks izmaksāta balvās, tāpēc procentus ir iespējams ierakstīt, izmantojot parastos noteikumus, kurus piemēro saistībā ar debitora principu.</w:t>
      </w:r>
    </w:p>
    <w:p w14:paraId="639BB968" w14:textId="77777777" w:rsidR="00994F93" w:rsidRPr="00B03B51" w:rsidRDefault="00994F93" w:rsidP="00994F93">
      <w:pPr>
        <w:jc w:val="both"/>
        <w:rPr>
          <w:rFonts w:ascii="Times New Roman" w:eastAsia="Arial" w:hAnsi="Times New Roman" w:cs="Times New Roman"/>
          <w:noProof/>
          <w:sz w:val="24"/>
          <w:szCs w:val="15"/>
        </w:rPr>
      </w:pPr>
    </w:p>
    <w:p w14:paraId="6824C6C9" w14:textId="77777777" w:rsidR="00994F93" w:rsidRPr="00B03B51" w:rsidRDefault="00994F93" w:rsidP="00994F93">
      <w:pPr>
        <w:pStyle w:val="Heading6"/>
        <w:tabs>
          <w:tab w:val="left" w:pos="1411"/>
        </w:tabs>
        <w:ind w:left="0" w:firstLine="0"/>
        <w:jc w:val="both"/>
        <w:rPr>
          <w:rFonts w:ascii="Times New Roman" w:hAnsi="Times New Roman" w:cs="Times New Roman"/>
          <w:noProof/>
          <w:sz w:val="24"/>
        </w:rPr>
      </w:pPr>
      <w:bookmarkStart w:id="138" w:name="2.4.3.11_Index-linked_instruments"/>
      <w:bookmarkEnd w:id="138"/>
      <w:r w:rsidRPr="00B03B51">
        <w:rPr>
          <w:rFonts w:ascii="Times New Roman" w:hAnsi="Times New Roman" w:cs="Times New Roman"/>
          <w:sz w:val="24"/>
        </w:rPr>
        <w:t>2.4.3.11. INDEKSĒTIE INSTRUMENTI</w:t>
      </w:r>
    </w:p>
    <w:p w14:paraId="65EAFE75"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0330CEDC"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38. Dažas vispārējās valdības vienības var emitēt parāda instrumentus (parasti obligāciju veidā), līguma noteikumos ietverot atrunu, kurā ir norādīts, ka visa atlīdzība vai tās daļa ir atkarīga no publicētā ekonomiskā indeksa numura. Šo atlīdzību var piemērot vienīgi attiecībā uz kuponu līdzīgi kā attiecībā uz finanšu instrumentiem ar mainīgu procentu likmi. Vai arī tas var attiekties vienīgi uz pamatsummas vērtību, un kupons tiek ietekmēts ar likmi, kas tiek piemērota pamatsummai. Citos gadījumos pamatsummai un kuponiem ir vienāds indekss.</w:t>
      </w:r>
    </w:p>
    <w:p w14:paraId="027C872C" w14:textId="77777777" w:rsidR="00994F93" w:rsidRPr="00B03B51" w:rsidRDefault="00994F93" w:rsidP="00994F93">
      <w:pPr>
        <w:pStyle w:val="BodyText"/>
        <w:spacing w:before="0"/>
        <w:ind w:left="0" w:firstLine="0"/>
        <w:jc w:val="both"/>
        <w:rPr>
          <w:rFonts w:ascii="Times New Roman" w:hAnsi="Times New Roman" w:cs="Times New Roman"/>
          <w:noProof/>
          <w:sz w:val="24"/>
        </w:rPr>
      </w:pPr>
    </w:p>
    <w:p w14:paraId="7E5A4DC4" w14:textId="77777777" w:rsidR="00994F93" w:rsidRPr="00B03B51" w:rsidRDefault="00994F93" w:rsidP="00994F93">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t>39. NKS 2008 11.70. un 17.274.–17.282. punktā ir paskaidrota indeksēto instrumentu procentu ierakstīšana, kas bija īsi un neskaidri minēta NKS 1993 11.78. punktā.</w:t>
      </w:r>
    </w:p>
    <w:p w14:paraId="69666489"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182BDC93"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40. Attiecīgi EKS 2010 arī tika koriģēta salīdzinājumā ar EKS 1995. EKS 2010 4.46. punkta c) apakšpunktā un 6.56. punktā ir noteikta atšķirība starp “vispārējo cenu indeksu” un “šauru indeksu”.</w:t>
      </w:r>
      <w:r w:rsidRPr="00B03B51">
        <w:rPr>
          <w:rStyle w:val="FootnoteReference"/>
          <w:rFonts w:ascii="Times New Roman" w:hAnsi="Times New Roman" w:cs="Times New Roman"/>
          <w:noProof/>
          <w:sz w:val="24"/>
        </w:rPr>
        <w:footnoteReference w:id="130"/>
      </w:r>
      <w:r w:rsidRPr="00B03B51">
        <w:rPr>
          <w:rFonts w:ascii="Times New Roman" w:hAnsi="Times New Roman" w:cs="Times New Roman"/>
          <w:sz w:val="24"/>
        </w:rPr>
        <w:t xml:space="preserve"> Pirmais indekss ir, piemēram, patēriņu cenas indekss vai preču indekss, turpretī otrais indekss attiecas uz konkrētu preces vai krājuma cenu. Dažām valdībām ar inflāciju saistītas obligācijas ir būtiska to parāda daļa. Šaura indeksa kategorija nav tik bieži novērota, taču pagātne liecina, ka indeksācija var būt veikta attiecībā uz zeltu.</w:t>
      </w:r>
    </w:p>
    <w:p w14:paraId="65B9B018"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1FA56781"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41. EKS 2010 4.46. punkta c) apakšpunktā ir noteikts, ka pirmajā gadījumā instrumenta vērtības maiņa, kas uzkrāšanas periodā notiek indeksa dēļ, tiek traktēta kā šajā periodā uzkrātie procenti papildus “parastajiem” procentiem (t. i., “kuponiem”), kas uzkrāti šajā periodā (un kas arī var būt saistīti ar indeksu).</w:t>
      </w:r>
    </w:p>
    <w:p w14:paraId="27809116"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0A4ACEF0"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42. Attiecībā uz otro gadījumu turētāju var motivēt iespējamie turēšanas guvumi. Tomēr instrumenta vērtības izmaiņas ir jāieraksta kā procenti. Uzkrāto procentu summā, izmantojot sākotnējās tirgus prognozes, kas novērojamas ar ārpusbiržas nākotnes līgumu vai biržā tirgotu nākotnes līgumu u. c. starpniecību, ir jāiekļauj prognozētie turēšanas guvumi, kas saistīti ar sākotnējo indeksa atsauces līmeni, lai tos sadalītu uz visu līguma darbības laiku. Vēlāk jebkura novirze no šīm prognozēm būtu jāreģistrē kā pozitīva vai negatīva pārvērtēšanas ietekme. Ar šo procedūru tādējādi indeksētais parāda vērtspapīrs tiek pārveidots par līdzvērtīgu fiksētas likmes instrumentu no īpašuma ienākuma skatupunkta. Īpašuma ienākumu veido gaidāmie nākotnes kuponi (kas, iespējams, ir indeksēti) un gaidāmā peļņa no indeksētās pamatsummas.</w:t>
      </w:r>
    </w:p>
    <w:p w14:paraId="72F18DC6"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37D8D4CC"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43. Rezultātā šaura indeksa instrumentam parasti veidojas uzkrātie turēšanas guvumi/zaudējumi visā instrumenta darbības laikā, kas nav nulle, pretstatā vispārējā cenu indeksa instrumentiem un parāda instrumentiem kopumā (skat. B piemēru salīdzinājumā ar A piemēru 1. ierāmējumā).</w:t>
      </w:r>
    </w:p>
    <w:p w14:paraId="1468774B"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06B54247"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44. Lai arī EKS 2010 20. nodaļā “Valdības konti” netiek nošķirti šaurie indeksi un vispārējie cenu indeksi, EKS 2010 4.46. punkta c) apakšpunktā ir skaidri norādīta iespēja ierakstīt turēšanas guvumus/zaudējumus.</w:t>
      </w:r>
    </w:p>
    <w:p w14:paraId="72BC62F3"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402CF738"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 xml:space="preserve">45. Šaura indeksa piemērošanas gadījumā, kad parāda instruments (izteikts vietējā valūtā) ir </w:t>
      </w:r>
      <w:r w:rsidRPr="00B03B51">
        <w:rPr>
          <w:rFonts w:ascii="Times New Roman" w:hAnsi="Times New Roman" w:cs="Times New Roman"/>
          <w:sz w:val="24"/>
        </w:rPr>
        <w:lastRenderedPageBreak/>
        <w:t>saistīts ar ārvalsts valūtas kursu un nav skaidras tirgus norādes, kā šis kurss mainīsies instrumenta darbības laikā, visas instrumenta vērtības izmaiņas, kas saistītas ar valūtas kursa svārstībām, ir jāieraksta kā turēšanas guvumi vai zaudējumi, nevis kā procenti. Tas atbilst tam, kā tiek veikta ārvalstu valūtā izteiktu instrumentu uzskaite.</w:t>
      </w:r>
    </w:p>
    <w:p w14:paraId="1814EB66" w14:textId="77777777" w:rsidR="00994F93" w:rsidRPr="00B03B51" w:rsidRDefault="00994F93" w:rsidP="00994F93">
      <w:pPr>
        <w:jc w:val="both"/>
        <w:rPr>
          <w:rFonts w:ascii="Times New Roman" w:eastAsia="Arial" w:hAnsi="Times New Roman" w:cs="Times New Roman"/>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1"/>
      </w:tblGrid>
      <w:tr w:rsidR="00994F93" w:rsidRPr="00B03B51" w14:paraId="454BCB3E" w14:textId="77777777" w:rsidTr="001C4B02">
        <w:tc>
          <w:tcPr>
            <w:tcW w:w="9281" w:type="dxa"/>
          </w:tcPr>
          <w:p w14:paraId="7597698A" w14:textId="77777777" w:rsidR="00994F93" w:rsidRPr="00B03B51" w:rsidRDefault="00994F93" w:rsidP="001C4B02">
            <w:pPr>
              <w:pStyle w:val="Heading3"/>
              <w:ind w:left="0" w:firstLine="0"/>
              <w:jc w:val="both"/>
              <w:outlineLvl w:val="2"/>
              <w:rPr>
                <w:rFonts w:ascii="Times New Roman" w:hAnsi="Times New Roman" w:cs="Times New Roman"/>
                <w:noProof/>
                <w:sz w:val="24"/>
              </w:rPr>
            </w:pPr>
            <w:bookmarkStart w:id="139" w:name="_Toc67565065"/>
            <w:r w:rsidRPr="00B03B51">
              <w:rPr>
                <w:rFonts w:ascii="Times New Roman" w:hAnsi="Times New Roman" w:cs="Times New Roman"/>
                <w:sz w:val="24"/>
              </w:rPr>
              <w:t>1. ierāmējums. A piemērs. Procentu uzkrājuma aprēķins attiecībā uz indeksam piesaistītu obligāciju: visaptverošs indekss</w:t>
            </w:r>
            <w:bookmarkEnd w:id="139"/>
          </w:p>
          <w:p w14:paraId="4CB8C9E5" w14:textId="77777777" w:rsidR="00994F93" w:rsidRPr="00B03B51" w:rsidRDefault="00994F93" w:rsidP="001C4B02">
            <w:pPr>
              <w:pStyle w:val="BodyText"/>
              <w:spacing w:before="0"/>
              <w:ind w:left="0" w:firstLine="0"/>
              <w:jc w:val="both"/>
              <w:rPr>
                <w:rFonts w:ascii="Times New Roman" w:hAnsi="Times New Roman" w:cs="Times New Roman"/>
                <w:noProof/>
                <w:sz w:val="24"/>
              </w:rPr>
            </w:pPr>
          </w:p>
          <w:p w14:paraId="68262C48" w14:textId="77777777" w:rsidR="00994F93" w:rsidRPr="00B03B51" w:rsidRDefault="00994F93" w:rsidP="001C4B02">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t>5 gadu obligācija tiek izsniegta 1. gada 1. janvārī par cenu 1000, bez kuponiem, indeksēta ar visaptverošu cenas indeksu. Perioda sākumā indeksa vērtība ir 100.</w:t>
            </w:r>
          </w:p>
          <w:p w14:paraId="1B7DBB0C" w14:textId="77777777" w:rsidR="00994F93" w:rsidRPr="00B03B51" w:rsidRDefault="00994F93" w:rsidP="001C4B02">
            <w:pPr>
              <w:pStyle w:val="BodyText"/>
              <w:spacing w:before="0"/>
              <w:ind w:left="0" w:firstLine="0"/>
              <w:jc w:val="both"/>
              <w:rPr>
                <w:rFonts w:ascii="Times New Roman" w:hAnsi="Times New Roman" w:cs="Times New Roman"/>
                <w:noProof/>
                <w:sz w:val="24"/>
              </w:rPr>
            </w:pPr>
          </w:p>
          <w:p w14:paraId="417D7C9F" w14:textId="77777777" w:rsidR="00994F93" w:rsidRPr="00B03B51" w:rsidRDefault="00994F93" w:rsidP="001C4B02">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t>Šā indeksa un obligāciju vērtības ar atvasinātajiem procentiem un pārvērtējumiem ir šādas.</w:t>
            </w:r>
          </w:p>
          <w:p w14:paraId="0622C19F" w14:textId="77777777" w:rsidR="00994F93" w:rsidRPr="00B03B51" w:rsidRDefault="00994F93" w:rsidP="001C4B02">
            <w:pPr>
              <w:jc w:val="both"/>
              <w:rPr>
                <w:rFonts w:ascii="Times New Roman" w:eastAsia="Calibri" w:hAnsi="Times New Roman" w:cs="Times New Roman"/>
                <w:noProof/>
                <w:sz w:val="24"/>
                <w:szCs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1788"/>
              <w:gridCol w:w="2004"/>
              <w:gridCol w:w="1596"/>
              <w:gridCol w:w="1820"/>
              <w:gridCol w:w="1797"/>
            </w:tblGrid>
            <w:tr w:rsidR="00994F93" w:rsidRPr="00B03B51" w14:paraId="71D97AA4" w14:textId="77777777" w:rsidTr="00204583">
              <w:tc>
                <w:tcPr>
                  <w:tcW w:w="1788" w:type="dxa"/>
                </w:tcPr>
                <w:p w14:paraId="7E6AACC7" w14:textId="77777777" w:rsidR="00994F93" w:rsidRPr="00B03B51" w:rsidRDefault="00994F93" w:rsidP="001C4B02">
                  <w:pPr>
                    <w:jc w:val="both"/>
                    <w:rPr>
                      <w:rFonts w:ascii="Times New Roman" w:eastAsia="Calibri" w:hAnsi="Times New Roman" w:cs="Times New Roman"/>
                      <w:noProof/>
                      <w:sz w:val="24"/>
                      <w:szCs w:val="18"/>
                    </w:rPr>
                  </w:pPr>
                </w:p>
              </w:tc>
              <w:tc>
                <w:tcPr>
                  <w:tcW w:w="2004" w:type="dxa"/>
                  <w:vAlign w:val="bottom"/>
                </w:tcPr>
                <w:p w14:paraId="5D733B16" w14:textId="77777777" w:rsidR="00994F93" w:rsidRPr="00B03B51" w:rsidRDefault="00994F93" w:rsidP="001C4B02">
                  <w:pPr>
                    <w:jc w:val="center"/>
                    <w:rPr>
                      <w:rFonts w:ascii="Times New Roman" w:eastAsia="Calibri" w:hAnsi="Times New Roman" w:cs="Times New Roman"/>
                      <w:noProof/>
                      <w:sz w:val="24"/>
                      <w:szCs w:val="18"/>
                      <w:u w:val="single"/>
                    </w:rPr>
                  </w:pPr>
                  <w:r w:rsidRPr="00B03B51">
                    <w:rPr>
                      <w:rFonts w:ascii="Times New Roman" w:hAnsi="Times New Roman" w:cs="Times New Roman"/>
                      <w:sz w:val="24"/>
                      <w:szCs w:val="18"/>
                      <w:u w:val="single"/>
                    </w:rPr>
                    <w:t>Visaptverošs cenu indekss</w:t>
                  </w:r>
                </w:p>
                <w:p w14:paraId="28AEB14E" w14:textId="77777777" w:rsidR="00994F93" w:rsidRPr="00B03B51" w:rsidRDefault="00994F93" w:rsidP="001C4B02">
                  <w:pPr>
                    <w:jc w:val="center"/>
                    <w:rPr>
                      <w:rFonts w:ascii="Times New Roman" w:eastAsia="Calibri" w:hAnsi="Times New Roman" w:cs="Times New Roman"/>
                      <w:noProof/>
                      <w:sz w:val="24"/>
                      <w:szCs w:val="18"/>
                    </w:rPr>
                  </w:pPr>
                  <w:r w:rsidRPr="00B03B51">
                    <w:rPr>
                      <w:rFonts w:ascii="Times New Roman" w:hAnsi="Times New Roman" w:cs="Times New Roman"/>
                      <w:sz w:val="24"/>
                      <w:szCs w:val="18"/>
                    </w:rPr>
                    <w:t>Perioda beigas</w:t>
                  </w:r>
                </w:p>
              </w:tc>
              <w:tc>
                <w:tcPr>
                  <w:tcW w:w="1596" w:type="dxa"/>
                  <w:vAlign w:val="bottom"/>
                </w:tcPr>
                <w:p w14:paraId="50D4CFE8" w14:textId="77777777" w:rsidR="00994F93" w:rsidRPr="00B03B51" w:rsidRDefault="00994F93" w:rsidP="001C4B02">
                  <w:pPr>
                    <w:jc w:val="center"/>
                    <w:rPr>
                      <w:rFonts w:ascii="Times New Roman" w:eastAsia="Calibri" w:hAnsi="Times New Roman" w:cs="Times New Roman"/>
                      <w:noProof/>
                      <w:sz w:val="24"/>
                      <w:szCs w:val="18"/>
                    </w:rPr>
                  </w:pPr>
                  <w:r w:rsidRPr="00B03B51">
                    <w:rPr>
                      <w:rFonts w:ascii="Times New Roman" w:hAnsi="Times New Roman" w:cs="Times New Roman"/>
                      <w:sz w:val="24"/>
                      <w:szCs w:val="18"/>
                    </w:rPr>
                    <w:t>Procenti</w:t>
                  </w:r>
                </w:p>
              </w:tc>
              <w:tc>
                <w:tcPr>
                  <w:tcW w:w="1820" w:type="dxa"/>
                  <w:vAlign w:val="bottom"/>
                </w:tcPr>
                <w:p w14:paraId="0F38D791" w14:textId="77777777" w:rsidR="00994F93" w:rsidRPr="00B03B51" w:rsidRDefault="00994F93" w:rsidP="001C4B02">
                  <w:pPr>
                    <w:jc w:val="center"/>
                    <w:rPr>
                      <w:rFonts w:ascii="Times New Roman" w:eastAsia="Calibri" w:hAnsi="Times New Roman" w:cs="Times New Roman"/>
                      <w:noProof/>
                      <w:sz w:val="24"/>
                      <w:szCs w:val="18"/>
                    </w:rPr>
                  </w:pPr>
                  <w:r w:rsidRPr="00B03B51">
                    <w:rPr>
                      <w:rFonts w:ascii="Times New Roman" w:hAnsi="Times New Roman" w:cs="Times New Roman"/>
                      <w:sz w:val="24"/>
                      <w:szCs w:val="18"/>
                    </w:rPr>
                    <w:t>Pārvērtēšana</w:t>
                  </w:r>
                </w:p>
              </w:tc>
              <w:tc>
                <w:tcPr>
                  <w:tcW w:w="1797" w:type="dxa"/>
                  <w:vAlign w:val="bottom"/>
                </w:tcPr>
                <w:p w14:paraId="12B298D1" w14:textId="77777777" w:rsidR="00994F93" w:rsidRPr="00B03B51" w:rsidRDefault="00994F93" w:rsidP="001C4B02">
                  <w:pPr>
                    <w:jc w:val="center"/>
                    <w:rPr>
                      <w:rFonts w:ascii="Times New Roman" w:eastAsia="Calibri" w:hAnsi="Times New Roman" w:cs="Times New Roman"/>
                      <w:noProof/>
                      <w:sz w:val="24"/>
                      <w:szCs w:val="18"/>
                      <w:u w:val="single"/>
                    </w:rPr>
                  </w:pPr>
                  <w:r w:rsidRPr="00B03B51">
                    <w:rPr>
                      <w:rFonts w:ascii="Times New Roman" w:hAnsi="Times New Roman" w:cs="Times New Roman"/>
                      <w:sz w:val="24"/>
                      <w:szCs w:val="18"/>
                      <w:u w:val="single"/>
                    </w:rPr>
                    <w:t>Obligācija</w:t>
                  </w:r>
                </w:p>
                <w:p w14:paraId="689D33CF" w14:textId="77777777" w:rsidR="00994F93" w:rsidRPr="00B03B51" w:rsidRDefault="00994F93" w:rsidP="001C4B02">
                  <w:pPr>
                    <w:jc w:val="center"/>
                    <w:rPr>
                      <w:rFonts w:ascii="Times New Roman" w:eastAsia="Calibri" w:hAnsi="Times New Roman" w:cs="Times New Roman"/>
                      <w:noProof/>
                      <w:sz w:val="24"/>
                      <w:szCs w:val="18"/>
                    </w:rPr>
                  </w:pPr>
                  <w:r w:rsidRPr="00B03B51">
                    <w:rPr>
                      <w:rFonts w:ascii="Times New Roman" w:hAnsi="Times New Roman" w:cs="Times New Roman"/>
                      <w:sz w:val="24"/>
                      <w:szCs w:val="18"/>
                    </w:rPr>
                    <w:t>31. dec.</w:t>
                  </w:r>
                </w:p>
              </w:tc>
            </w:tr>
            <w:tr w:rsidR="00994F93" w:rsidRPr="00B03B51" w14:paraId="29857D5B" w14:textId="77777777" w:rsidTr="00204583">
              <w:tc>
                <w:tcPr>
                  <w:tcW w:w="1788" w:type="dxa"/>
                </w:tcPr>
                <w:p w14:paraId="3F42DBBE" w14:textId="77777777" w:rsidR="00994F93" w:rsidRPr="00B03B51" w:rsidRDefault="00994F93" w:rsidP="001C4B02">
                  <w:pPr>
                    <w:jc w:val="both"/>
                    <w:rPr>
                      <w:rFonts w:ascii="Times New Roman" w:eastAsia="Calibri" w:hAnsi="Times New Roman" w:cs="Times New Roman"/>
                      <w:noProof/>
                      <w:sz w:val="24"/>
                      <w:szCs w:val="18"/>
                    </w:rPr>
                  </w:pPr>
                  <w:r w:rsidRPr="00B03B51">
                    <w:rPr>
                      <w:rFonts w:ascii="Times New Roman" w:hAnsi="Times New Roman" w:cs="Times New Roman"/>
                      <w:sz w:val="24"/>
                      <w:szCs w:val="18"/>
                    </w:rPr>
                    <w:t>1. gads</w:t>
                  </w:r>
                </w:p>
              </w:tc>
              <w:tc>
                <w:tcPr>
                  <w:tcW w:w="2004" w:type="dxa"/>
                  <w:vAlign w:val="bottom"/>
                </w:tcPr>
                <w:p w14:paraId="02F4CCBD" w14:textId="77777777" w:rsidR="00994F93" w:rsidRPr="00B03B51" w:rsidRDefault="00994F93" w:rsidP="001C4B02">
                  <w:pPr>
                    <w:jc w:val="right"/>
                    <w:rPr>
                      <w:rFonts w:ascii="Times New Roman" w:eastAsia="Calibri" w:hAnsi="Times New Roman" w:cs="Times New Roman"/>
                      <w:noProof/>
                      <w:sz w:val="24"/>
                      <w:szCs w:val="18"/>
                    </w:rPr>
                  </w:pPr>
                  <w:r w:rsidRPr="00B03B51">
                    <w:rPr>
                      <w:rFonts w:ascii="Times New Roman" w:hAnsi="Times New Roman" w:cs="Times New Roman"/>
                      <w:sz w:val="24"/>
                      <w:szCs w:val="18"/>
                    </w:rPr>
                    <w:t>107,0</w:t>
                  </w:r>
                </w:p>
              </w:tc>
              <w:tc>
                <w:tcPr>
                  <w:tcW w:w="1596" w:type="dxa"/>
                  <w:vAlign w:val="bottom"/>
                </w:tcPr>
                <w:p w14:paraId="045F116E" w14:textId="77777777" w:rsidR="00994F93" w:rsidRPr="00B03B51" w:rsidRDefault="00994F93" w:rsidP="001C4B02">
                  <w:pPr>
                    <w:jc w:val="right"/>
                    <w:rPr>
                      <w:rFonts w:ascii="Times New Roman" w:eastAsia="Calibri" w:hAnsi="Times New Roman" w:cs="Times New Roman"/>
                      <w:noProof/>
                      <w:sz w:val="24"/>
                      <w:szCs w:val="18"/>
                    </w:rPr>
                  </w:pPr>
                  <w:r w:rsidRPr="00B03B51">
                    <w:rPr>
                      <w:rFonts w:ascii="Times New Roman" w:hAnsi="Times New Roman" w:cs="Times New Roman"/>
                      <w:sz w:val="24"/>
                      <w:szCs w:val="18"/>
                    </w:rPr>
                    <w:t>70</w:t>
                  </w:r>
                </w:p>
              </w:tc>
              <w:tc>
                <w:tcPr>
                  <w:tcW w:w="1820" w:type="dxa"/>
                  <w:vAlign w:val="bottom"/>
                </w:tcPr>
                <w:p w14:paraId="4E2C673A" w14:textId="77777777" w:rsidR="00994F93" w:rsidRPr="00B03B51" w:rsidRDefault="00994F93" w:rsidP="001C4B02">
                  <w:pPr>
                    <w:jc w:val="right"/>
                    <w:rPr>
                      <w:rFonts w:ascii="Times New Roman" w:eastAsia="Calibri" w:hAnsi="Times New Roman" w:cs="Times New Roman"/>
                      <w:noProof/>
                      <w:sz w:val="24"/>
                      <w:szCs w:val="18"/>
                    </w:rPr>
                  </w:pPr>
                  <w:r w:rsidRPr="00B03B51">
                    <w:rPr>
                      <w:rFonts w:ascii="Times New Roman" w:hAnsi="Times New Roman" w:cs="Times New Roman"/>
                      <w:sz w:val="24"/>
                      <w:szCs w:val="18"/>
                    </w:rPr>
                    <w:t>-12</w:t>
                  </w:r>
                </w:p>
              </w:tc>
              <w:tc>
                <w:tcPr>
                  <w:tcW w:w="1797" w:type="dxa"/>
                  <w:vAlign w:val="bottom"/>
                </w:tcPr>
                <w:p w14:paraId="18810ABC" w14:textId="77777777" w:rsidR="00994F93" w:rsidRPr="00B03B51" w:rsidRDefault="00994F93" w:rsidP="001C4B02">
                  <w:pPr>
                    <w:jc w:val="right"/>
                    <w:rPr>
                      <w:rFonts w:ascii="Times New Roman" w:eastAsia="Calibri" w:hAnsi="Times New Roman" w:cs="Times New Roman"/>
                      <w:noProof/>
                      <w:sz w:val="24"/>
                      <w:szCs w:val="18"/>
                    </w:rPr>
                  </w:pPr>
                  <w:r w:rsidRPr="00B03B51">
                    <w:rPr>
                      <w:rFonts w:ascii="Times New Roman" w:hAnsi="Times New Roman" w:cs="Times New Roman"/>
                      <w:sz w:val="24"/>
                      <w:szCs w:val="18"/>
                    </w:rPr>
                    <w:t>1058</w:t>
                  </w:r>
                </w:p>
              </w:tc>
            </w:tr>
            <w:tr w:rsidR="00994F93" w:rsidRPr="00B03B51" w14:paraId="717B749C" w14:textId="77777777" w:rsidTr="00204583">
              <w:tc>
                <w:tcPr>
                  <w:tcW w:w="1788" w:type="dxa"/>
                </w:tcPr>
                <w:p w14:paraId="0126C23C" w14:textId="77777777" w:rsidR="00994F93" w:rsidRPr="00B03B51" w:rsidRDefault="00994F93" w:rsidP="001C4B02">
                  <w:pPr>
                    <w:jc w:val="both"/>
                    <w:rPr>
                      <w:rFonts w:ascii="Times New Roman" w:eastAsia="Calibri" w:hAnsi="Times New Roman" w:cs="Times New Roman"/>
                      <w:noProof/>
                      <w:sz w:val="24"/>
                      <w:szCs w:val="18"/>
                    </w:rPr>
                  </w:pPr>
                  <w:r w:rsidRPr="00B03B51">
                    <w:rPr>
                      <w:rFonts w:ascii="Times New Roman" w:hAnsi="Times New Roman" w:cs="Times New Roman"/>
                      <w:sz w:val="24"/>
                      <w:szCs w:val="18"/>
                    </w:rPr>
                    <w:t>2. gads</w:t>
                  </w:r>
                </w:p>
              </w:tc>
              <w:tc>
                <w:tcPr>
                  <w:tcW w:w="2004" w:type="dxa"/>
                  <w:vAlign w:val="bottom"/>
                </w:tcPr>
                <w:p w14:paraId="46F637C9" w14:textId="77777777" w:rsidR="00994F93" w:rsidRPr="00B03B51" w:rsidRDefault="00994F93" w:rsidP="001C4B02">
                  <w:pPr>
                    <w:jc w:val="right"/>
                    <w:rPr>
                      <w:rFonts w:ascii="Times New Roman" w:eastAsia="Calibri" w:hAnsi="Times New Roman" w:cs="Times New Roman"/>
                      <w:noProof/>
                      <w:sz w:val="24"/>
                      <w:szCs w:val="18"/>
                    </w:rPr>
                  </w:pPr>
                  <w:r w:rsidRPr="00B03B51">
                    <w:rPr>
                      <w:rFonts w:ascii="Times New Roman" w:hAnsi="Times New Roman" w:cs="Times New Roman"/>
                      <w:sz w:val="24"/>
                      <w:szCs w:val="18"/>
                    </w:rPr>
                    <w:t>113,0</w:t>
                  </w:r>
                </w:p>
              </w:tc>
              <w:tc>
                <w:tcPr>
                  <w:tcW w:w="1596" w:type="dxa"/>
                  <w:vAlign w:val="bottom"/>
                </w:tcPr>
                <w:p w14:paraId="6EC6F881" w14:textId="77777777" w:rsidR="00994F93" w:rsidRPr="00B03B51" w:rsidRDefault="00994F93" w:rsidP="001C4B02">
                  <w:pPr>
                    <w:jc w:val="right"/>
                    <w:rPr>
                      <w:rFonts w:ascii="Times New Roman" w:eastAsia="Calibri" w:hAnsi="Times New Roman" w:cs="Times New Roman"/>
                      <w:noProof/>
                      <w:sz w:val="24"/>
                      <w:szCs w:val="18"/>
                    </w:rPr>
                  </w:pPr>
                  <w:r w:rsidRPr="00B03B51">
                    <w:rPr>
                      <w:rFonts w:ascii="Times New Roman" w:hAnsi="Times New Roman" w:cs="Times New Roman"/>
                      <w:sz w:val="24"/>
                      <w:szCs w:val="18"/>
                    </w:rPr>
                    <w:t>60</w:t>
                  </w:r>
                </w:p>
              </w:tc>
              <w:tc>
                <w:tcPr>
                  <w:tcW w:w="1820" w:type="dxa"/>
                  <w:vAlign w:val="bottom"/>
                </w:tcPr>
                <w:p w14:paraId="6238540A" w14:textId="77777777" w:rsidR="00994F93" w:rsidRPr="00B03B51" w:rsidRDefault="00994F93" w:rsidP="001C4B02">
                  <w:pPr>
                    <w:jc w:val="right"/>
                    <w:rPr>
                      <w:rFonts w:ascii="Times New Roman" w:eastAsia="Calibri" w:hAnsi="Times New Roman" w:cs="Times New Roman"/>
                      <w:noProof/>
                      <w:sz w:val="24"/>
                      <w:szCs w:val="18"/>
                    </w:rPr>
                  </w:pPr>
                  <w:r w:rsidRPr="00B03B51">
                    <w:rPr>
                      <w:rFonts w:ascii="Times New Roman" w:hAnsi="Times New Roman" w:cs="Times New Roman"/>
                      <w:sz w:val="24"/>
                      <w:szCs w:val="18"/>
                    </w:rPr>
                    <w:t>-17</w:t>
                  </w:r>
                </w:p>
              </w:tc>
              <w:tc>
                <w:tcPr>
                  <w:tcW w:w="1797" w:type="dxa"/>
                  <w:vAlign w:val="bottom"/>
                </w:tcPr>
                <w:p w14:paraId="25FCE21F" w14:textId="77777777" w:rsidR="00994F93" w:rsidRPr="00B03B51" w:rsidRDefault="00994F93" w:rsidP="001C4B02">
                  <w:pPr>
                    <w:jc w:val="right"/>
                    <w:rPr>
                      <w:rFonts w:ascii="Times New Roman" w:eastAsia="Calibri" w:hAnsi="Times New Roman" w:cs="Times New Roman"/>
                      <w:noProof/>
                      <w:sz w:val="24"/>
                      <w:szCs w:val="18"/>
                    </w:rPr>
                  </w:pPr>
                  <w:r w:rsidRPr="00B03B51">
                    <w:rPr>
                      <w:rFonts w:ascii="Times New Roman" w:hAnsi="Times New Roman" w:cs="Times New Roman"/>
                      <w:sz w:val="24"/>
                      <w:szCs w:val="18"/>
                    </w:rPr>
                    <w:t>1101</w:t>
                  </w:r>
                </w:p>
              </w:tc>
            </w:tr>
            <w:tr w:rsidR="00994F93" w:rsidRPr="00B03B51" w14:paraId="51F367EF" w14:textId="77777777" w:rsidTr="00204583">
              <w:tc>
                <w:tcPr>
                  <w:tcW w:w="1788" w:type="dxa"/>
                </w:tcPr>
                <w:p w14:paraId="28356B1A" w14:textId="77777777" w:rsidR="00994F93" w:rsidRPr="00B03B51" w:rsidRDefault="00994F93" w:rsidP="001C4B02">
                  <w:pPr>
                    <w:jc w:val="both"/>
                    <w:rPr>
                      <w:rFonts w:ascii="Times New Roman" w:eastAsia="Calibri" w:hAnsi="Times New Roman" w:cs="Times New Roman"/>
                      <w:noProof/>
                      <w:sz w:val="24"/>
                      <w:szCs w:val="18"/>
                    </w:rPr>
                  </w:pPr>
                  <w:r w:rsidRPr="00B03B51">
                    <w:rPr>
                      <w:rFonts w:ascii="Times New Roman" w:hAnsi="Times New Roman" w:cs="Times New Roman"/>
                      <w:sz w:val="24"/>
                      <w:szCs w:val="18"/>
                    </w:rPr>
                    <w:t>3. gads</w:t>
                  </w:r>
                </w:p>
              </w:tc>
              <w:tc>
                <w:tcPr>
                  <w:tcW w:w="2004" w:type="dxa"/>
                  <w:vAlign w:val="bottom"/>
                </w:tcPr>
                <w:p w14:paraId="245A839D" w14:textId="77777777" w:rsidR="00994F93" w:rsidRPr="00B03B51" w:rsidRDefault="00994F93" w:rsidP="001C4B02">
                  <w:pPr>
                    <w:jc w:val="right"/>
                    <w:rPr>
                      <w:rFonts w:ascii="Times New Roman" w:eastAsia="Calibri" w:hAnsi="Times New Roman" w:cs="Times New Roman"/>
                      <w:noProof/>
                      <w:sz w:val="24"/>
                      <w:szCs w:val="18"/>
                    </w:rPr>
                  </w:pPr>
                  <w:r w:rsidRPr="00B03B51">
                    <w:rPr>
                      <w:rFonts w:ascii="Times New Roman" w:hAnsi="Times New Roman" w:cs="Times New Roman"/>
                      <w:sz w:val="24"/>
                      <w:szCs w:val="18"/>
                    </w:rPr>
                    <w:t>129,0</w:t>
                  </w:r>
                </w:p>
              </w:tc>
              <w:tc>
                <w:tcPr>
                  <w:tcW w:w="1596" w:type="dxa"/>
                  <w:vAlign w:val="bottom"/>
                </w:tcPr>
                <w:p w14:paraId="3F77D63B" w14:textId="77777777" w:rsidR="00994F93" w:rsidRPr="00B03B51" w:rsidRDefault="00994F93" w:rsidP="001C4B02">
                  <w:pPr>
                    <w:jc w:val="right"/>
                    <w:rPr>
                      <w:rFonts w:ascii="Times New Roman" w:eastAsia="Calibri" w:hAnsi="Times New Roman" w:cs="Times New Roman"/>
                      <w:noProof/>
                      <w:sz w:val="24"/>
                      <w:szCs w:val="18"/>
                    </w:rPr>
                  </w:pPr>
                  <w:r w:rsidRPr="00B03B51">
                    <w:rPr>
                      <w:rFonts w:ascii="Times New Roman" w:hAnsi="Times New Roman" w:cs="Times New Roman"/>
                      <w:sz w:val="24"/>
                      <w:szCs w:val="18"/>
                    </w:rPr>
                    <w:t>160</w:t>
                  </w:r>
                </w:p>
              </w:tc>
              <w:tc>
                <w:tcPr>
                  <w:tcW w:w="1820" w:type="dxa"/>
                  <w:vAlign w:val="bottom"/>
                </w:tcPr>
                <w:p w14:paraId="7362781D" w14:textId="77777777" w:rsidR="00994F93" w:rsidRPr="00B03B51" w:rsidRDefault="00994F93" w:rsidP="001C4B02">
                  <w:pPr>
                    <w:jc w:val="right"/>
                    <w:rPr>
                      <w:rFonts w:ascii="Times New Roman" w:eastAsia="Calibri" w:hAnsi="Times New Roman" w:cs="Times New Roman"/>
                      <w:noProof/>
                      <w:sz w:val="24"/>
                      <w:szCs w:val="18"/>
                    </w:rPr>
                  </w:pPr>
                  <w:r w:rsidRPr="00B03B51">
                    <w:rPr>
                      <w:rFonts w:ascii="Times New Roman" w:hAnsi="Times New Roman" w:cs="Times New Roman"/>
                      <w:sz w:val="24"/>
                      <w:szCs w:val="18"/>
                    </w:rPr>
                    <w:t>58</w:t>
                  </w:r>
                </w:p>
              </w:tc>
              <w:tc>
                <w:tcPr>
                  <w:tcW w:w="1797" w:type="dxa"/>
                  <w:vAlign w:val="bottom"/>
                </w:tcPr>
                <w:p w14:paraId="23A6D2D8" w14:textId="77777777" w:rsidR="00994F93" w:rsidRPr="00B03B51" w:rsidRDefault="00994F93" w:rsidP="001C4B02">
                  <w:pPr>
                    <w:jc w:val="right"/>
                    <w:rPr>
                      <w:rFonts w:ascii="Times New Roman" w:eastAsia="Calibri" w:hAnsi="Times New Roman" w:cs="Times New Roman"/>
                      <w:noProof/>
                      <w:sz w:val="24"/>
                      <w:szCs w:val="18"/>
                    </w:rPr>
                  </w:pPr>
                  <w:r w:rsidRPr="00B03B51">
                    <w:rPr>
                      <w:rFonts w:ascii="Times New Roman" w:hAnsi="Times New Roman" w:cs="Times New Roman"/>
                      <w:sz w:val="24"/>
                      <w:szCs w:val="18"/>
                    </w:rPr>
                    <w:t>1319</w:t>
                  </w:r>
                </w:p>
              </w:tc>
            </w:tr>
            <w:tr w:rsidR="00994F93" w:rsidRPr="00B03B51" w14:paraId="2F6EB807" w14:textId="77777777" w:rsidTr="00204583">
              <w:tc>
                <w:tcPr>
                  <w:tcW w:w="1788" w:type="dxa"/>
                </w:tcPr>
                <w:p w14:paraId="01E70FE6" w14:textId="77777777" w:rsidR="00994F93" w:rsidRPr="00B03B51" w:rsidRDefault="00994F93" w:rsidP="001C4B02">
                  <w:pPr>
                    <w:jc w:val="both"/>
                    <w:rPr>
                      <w:rFonts w:ascii="Times New Roman" w:eastAsia="Calibri" w:hAnsi="Times New Roman" w:cs="Times New Roman"/>
                      <w:noProof/>
                      <w:sz w:val="24"/>
                      <w:szCs w:val="18"/>
                    </w:rPr>
                  </w:pPr>
                  <w:r w:rsidRPr="00B03B51">
                    <w:rPr>
                      <w:rFonts w:ascii="Times New Roman" w:hAnsi="Times New Roman" w:cs="Times New Roman"/>
                      <w:sz w:val="24"/>
                      <w:szCs w:val="18"/>
                    </w:rPr>
                    <w:t>4. gads</w:t>
                  </w:r>
                </w:p>
              </w:tc>
              <w:tc>
                <w:tcPr>
                  <w:tcW w:w="2004" w:type="dxa"/>
                  <w:vAlign w:val="bottom"/>
                </w:tcPr>
                <w:p w14:paraId="18599664" w14:textId="77777777" w:rsidR="00994F93" w:rsidRPr="00B03B51" w:rsidRDefault="00994F93" w:rsidP="001C4B02">
                  <w:pPr>
                    <w:jc w:val="right"/>
                    <w:rPr>
                      <w:rFonts w:ascii="Times New Roman" w:eastAsia="Calibri" w:hAnsi="Times New Roman" w:cs="Times New Roman"/>
                      <w:noProof/>
                      <w:sz w:val="24"/>
                      <w:szCs w:val="18"/>
                    </w:rPr>
                  </w:pPr>
                  <w:r w:rsidRPr="00B03B51">
                    <w:rPr>
                      <w:rFonts w:ascii="Times New Roman" w:hAnsi="Times New Roman" w:cs="Times New Roman"/>
                      <w:sz w:val="24"/>
                      <w:szCs w:val="18"/>
                    </w:rPr>
                    <w:t>148,0</w:t>
                  </w:r>
                </w:p>
              </w:tc>
              <w:tc>
                <w:tcPr>
                  <w:tcW w:w="1596" w:type="dxa"/>
                  <w:vAlign w:val="bottom"/>
                </w:tcPr>
                <w:p w14:paraId="3FEB37C6" w14:textId="77777777" w:rsidR="00994F93" w:rsidRPr="00B03B51" w:rsidRDefault="00994F93" w:rsidP="001C4B02">
                  <w:pPr>
                    <w:jc w:val="right"/>
                    <w:rPr>
                      <w:rFonts w:ascii="Times New Roman" w:eastAsia="Calibri" w:hAnsi="Times New Roman" w:cs="Times New Roman"/>
                      <w:noProof/>
                      <w:sz w:val="24"/>
                      <w:szCs w:val="18"/>
                    </w:rPr>
                  </w:pPr>
                  <w:r w:rsidRPr="00B03B51">
                    <w:rPr>
                      <w:rFonts w:ascii="Times New Roman" w:hAnsi="Times New Roman" w:cs="Times New Roman"/>
                      <w:sz w:val="24"/>
                      <w:szCs w:val="18"/>
                    </w:rPr>
                    <w:t>190</w:t>
                  </w:r>
                </w:p>
              </w:tc>
              <w:tc>
                <w:tcPr>
                  <w:tcW w:w="1820" w:type="dxa"/>
                  <w:vAlign w:val="bottom"/>
                </w:tcPr>
                <w:p w14:paraId="3DC76F50" w14:textId="77777777" w:rsidR="00994F93" w:rsidRPr="00B03B51" w:rsidRDefault="00994F93" w:rsidP="001C4B02">
                  <w:pPr>
                    <w:jc w:val="right"/>
                    <w:rPr>
                      <w:rFonts w:ascii="Times New Roman" w:eastAsia="Calibri" w:hAnsi="Times New Roman" w:cs="Times New Roman"/>
                      <w:noProof/>
                      <w:sz w:val="24"/>
                      <w:szCs w:val="18"/>
                    </w:rPr>
                  </w:pPr>
                  <w:r w:rsidRPr="00B03B51">
                    <w:rPr>
                      <w:rFonts w:ascii="Times New Roman" w:hAnsi="Times New Roman" w:cs="Times New Roman"/>
                      <w:sz w:val="24"/>
                      <w:szCs w:val="18"/>
                    </w:rPr>
                    <w:t>10</w:t>
                  </w:r>
                </w:p>
              </w:tc>
              <w:tc>
                <w:tcPr>
                  <w:tcW w:w="1797" w:type="dxa"/>
                  <w:vAlign w:val="bottom"/>
                </w:tcPr>
                <w:p w14:paraId="2706155F" w14:textId="77777777" w:rsidR="00994F93" w:rsidRPr="00B03B51" w:rsidRDefault="00994F93" w:rsidP="001C4B02">
                  <w:pPr>
                    <w:jc w:val="right"/>
                    <w:rPr>
                      <w:rFonts w:ascii="Times New Roman" w:eastAsia="Calibri" w:hAnsi="Times New Roman" w:cs="Times New Roman"/>
                      <w:noProof/>
                      <w:sz w:val="24"/>
                      <w:szCs w:val="18"/>
                    </w:rPr>
                  </w:pPr>
                  <w:r w:rsidRPr="00B03B51">
                    <w:rPr>
                      <w:rFonts w:ascii="Times New Roman" w:hAnsi="Times New Roman" w:cs="Times New Roman"/>
                      <w:sz w:val="24"/>
                      <w:szCs w:val="18"/>
                    </w:rPr>
                    <w:t>1519</w:t>
                  </w:r>
                </w:p>
              </w:tc>
            </w:tr>
            <w:tr w:rsidR="00994F93" w:rsidRPr="00B03B51" w14:paraId="1018D16E" w14:textId="77777777" w:rsidTr="00204583">
              <w:tc>
                <w:tcPr>
                  <w:tcW w:w="1788" w:type="dxa"/>
                </w:tcPr>
                <w:p w14:paraId="4596A834" w14:textId="77777777" w:rsidR="00994F93" w:rsidRPr="00B03B51" w:rsidRDefault="00994F93" w:rsidP="001C4B02">
                  <w:pPr>
                    <w:jc w:val="both"/>
                    <w:rPr>
                      <w:rFonts w:ascii="Times New Roman" w:eastAsia="Calibri" w:hAnsi="Times New Roman" w:cs="Times New Roman"/>
                      <w:noProof/>
                      <w:sz w:val="24"/>
                      <w:szCs w:val="18"/>
                    </w:rPr>
                  </w:pPr>
                  <w:r w:rsidRPr="00B03B51">
                    <w:rPr>
                      <w:rFonts w:ascii="Times New Roman" w:hAnsi="Times New Roman" w:cs="Times New Roman"/>
                      <w:sz w:val="24"/>
                      <w:szCs w:val="18"/>
                    </w:rPr>
                    <w:t>5. gads</w:t>
                  </w:r>
                </w:p>
              </w:tc>
              <w:tc>
                <w:tcPr>
                  <w:tcW w:w="2004" w:type="dxa"/>
                  <w:vAlign w:val="bottom"/>
                </w:tcPr>
                <w:p w14:paraId="3FBFAD8E" w14:textId="77777777" w:rsidR="00994F93" w:rsidRPr="00B03B51" w:rsidRDefault="00994F93" w:rsidP="001C4B02">
                  <w:pPr>
                    <w:jc w:val="right"/>
                    <w:rPr>
                      <w:rFonts w:ascii="Times New Roman" w:eastAsia="Calibri" w:hAnsi="Times New Roman" w:cs="Times New Roman"/>
                      <w:noProof/>
                      <w:sz w:val="24"/>
                      <w:szCs w:val="18"/>
                    </w:rPr>
                  </w:pPr>
                  <w:r w:rsidRPr="00B03B51">
                    <w:rPr>
                      <w:rFonts w:ascii="Times New Roman" w:hAnsi="Times New Roman" w:cs="Times New Roman"/>
                      <w:sz w:val="24"/>
                      <w:szCs w:val="18"/>
                    </w:rPr>
                    <w:t>140,3</w:t>
                  </w:r>
                </w:p>
              </w:tc>
              <w:tc>
                <w:tcPr>
                  <w:tcW w:w="1596" w:type="dxa"/>
                  <w:vAlign w:val="bottom"/>
                </w:tcPr>
                <w:p w14:paraId="3771F22F" w14:textId="77777777" w:rsidR="00994F93" w:rsidRPr="00B03B51" w:rsidRDefault="00994F93" w:rsidP="001C4B02">
                  <w:pPr>
                    <w:jc w:val="right"/>
                    <w:rPr>
                      <w:rFonts w:ascii="Times New Roman" w:eastAsia="Calibri" w:hAnsi="Times New Roman" w:cs="Times New Roman"/>
                      <w:noProof/>
                      <w:sz w:val="24"/>
                      <w:szCs w:val="18"/>
                    </w:rPr>
                  </w:pPr>
                  <w:r w:rsidRPr="00B03B51">
                    <w:rPr>
                      <w:rFonts w:ascii="Times New Roman" w:hAnsi="Times New Roman" w:cs="Times New Roman"/>
                      <w:sz w:val="24"/>
                      <w:szCs w:val="18"/>
                    </w:rPr>
                    <w:t>-77</w:t>
                  </w:r>
                </w:p>
              </w:tc>
              <w:tc>
                <w:tcPr>
                  <w:tcW w:w="1820" w:type="dxa"/>
                  <w:vAlign w:val="bottom"/>
                </w:tcPr>
                <w:p w14:paraId="2964C77F" w14:textId="77777777" w:rsidR="00994F93" w:rsidRPr="00B03B51" w:rsidRDefault="00994F93" w:rsidP="001C4B02">
                  <w:pPr>
                    <w:jc w:val="right"/>
                    <w:rPr>
                      <w:rFonts w:ascii="Times New Roman" w:eastAsia="Calibri" w:hAnsi="Times New Roman" w:cs="Times New Roman"/>
                      <w:noProof/>
                      <w:sz w:val="24"/>
                      <w:szCs w:val="18"/>
                    </w:rPr>
                  </w:pPr>
                  <w:r w:rsidRPr="00B03B51">
                    <w:rPr>
                      <w:rFonts w:ascii="Times New Roman" w:hAnsi="Times New Roman" w:cs="Times New Roman"/>
                      <w:sz w:val="24"/>
                      <w:szCs w:val="18"/>
                    </w:rPr>
                    <w:t>-39</w:t>
                  </w:r>
                </w:p>
              </w:tc>
              <w:tc>
                <w:tcPr>
                  <w:tcW w:w="1797" w:type="dxa"/>
                  <w:vAlign w:val="bottom"/>
                </w:tcPr>
                <w:p w14:paraId="1A46257C" w14:textId="77777777" w:rsidR="00994F93" w:rsidRPr="00B03B51" w:rsidRDefault="00994F93" w:rsidP="001C4B02">
                  <w:pPr>
                    <w:jc w:val="right"/>
                    <w:rPr>
                      <w:rFonts w:ascii="Times New Roman" w:eastAsia="Calibri" w:hAnsi="Times New Roman" w:cs="Times New Roman"/>
                      <w:noProof/>
                      <w:sz w:val="24"/>
                      <w:szCs w:val="18"/>
                    </w:rPr>
                  </w:pPr>
                  <w:r w:rsidRPr="00B03B51">
                    <w:rPr>
                      <w:rFonts w:ascii="Times New Roman" w:hAnsi="Times New Roman" w:cs="Times New Roman"/>
                      <w:sz w:val="24"/>
                      <w:szCs w:val="18"/>
                    </w:rPr>
                    <w:t>1403</w:t>
                  </w:r>
                </w:p>
              </w:tc>
            </w:tr>
            <w:tr w:rsidR="00994F93" w:rsidRPr="00B03B51" w14:paraId="5E7377AD" w14:textId="77777777" w:rsidTr="00204583">
              <w:tc>
                <w:tcPr>
                  <w:tcW w:w="1788" w:type="dxa"/>
                </w:tcPr>
                <w:p w14:paraId="23271219" w14:textId="77777777" w:rsidR="00994F93" w:rsidRPr="00B03B51" w:rsidRDefault="00994F93" w:rsidP="001C4B02">
                  <w:pPr>
                    <w:jc w:val="both"/>
                    <w:rPr>
                      <w:rFonts w:ascii="Times New Roman" w:eastAsia="Calibri" w:hAnsi="Times New Roman" w:cs="Times New Roman"/>
                      <w:noProof/>
                      <w:sz w:val="24"/>
                      <w:szCs w:val="18"/>
                    </w:rPr>
                  </w:pPr>
                  <w:r w:rsidRPr="00B03B51">
                    <w:rPr>
                      <w:rFonts w:ascii="Times New Roman" w:hAnsi="Times New Roman" w:cs="Times New Roman"/>
                      <w:sz w:val="24"/>
                      <w:szCs w:val="18"/>
                    </w:rPr>
                    <w:t>1.–5. gads</w:t>
                  </w:r>
                </w:p>
              </w:tc>
              <w:tc>
                <w:tcPr>
                  <w:tcW w:w="2004" w:type="dxa"/>
                  <w:vAlign w:val="bottom"/>
                </w:tcPr>
                <w:p w14:paraId="2CEE1835" w14:textId="77777777" w:rsidR="00994F93" w:rsidRPr="00B03B51" w:rsidRDefault="00994F93" w:rsidP="001C4B02">
                  <w:pPr>
                    <w:jc w:val="right"/>
                    <w:rPr>
                      <w:rFonts w:ascii="Times New Roman" w:eastAsia="Calibri" w:hAnsi="Times New Roman" w:cs="Times New Roman"/>
                      <w:noProof/>
                      <w:sz w:val="24"/>
                      <w:szCs w:val="18"/>
                    </w:rPr>
                  </w:pPr>
                </w:p>
              </w:tc>
              <w:tc>
                <w:tcPr>
                  <w:tcW w:w="1596" w:type="dxa"/>
                  <w:vAlign w:val="bottom"/>
                </w:tcPr>
                <w:p w14:paraId="45237BE6" w14:textId="77777777" w:rsidR="00994F93" w:rsidRPr="00B03B51" w:rsidRDefault="00994F93" w:rsidP="001C4B02">
                  <w:pPr>
                    <w:jc w:val="right"/>
                    <w:rPr>
                      <w:rFonts w:ascii="Times New Roman" w:eastAsia="Calibri" w:hAnsi="Times New Roman" w:cs="Times New Roman"/>
                      <w:noProof/>
                      <w:sz w:val="24"/>
                      <w:szCs w:val="18"/>
                    </w:rPr>
                  </w:pPr>
                  <w:r w:rsidRPr="00B03B51">
                    <w:rPr>
                      <w:rFonts w:ascii="Times New Roman" w:hAnsi="Times New Roman" w:cs="Times New Roman"/>
                      <w:sz w:val="24"/>
                      <w:szCs w:val="18"/>
                    </w:rPr>
                    <w:t>403</w:t>
                  </w:r>
                </w:p>
              </w:tc>
              <w:tc>
                <w:tcPr>
                  <w:tcW w:w="1820" w:type="dxa"/>
                  <w:vAlign w:val="bottom"/>
                </w:tcPr>
                <w:p w14:paraId="7D550DCD" w14:textId="77777777" w:rsidR="00994F93" w:rsidRPr="00B03B51" w:rsidRDefault="00994F93" w:rsidP="001C4B02">
                  <w:pPr>
                    <w:jc w:val="right"/>
                    <w:rPr>
                      <w:rFonts w:ascii="Times New Roman" w:eastAsia="Calibri" w:hAnsi="Times New Roman" w:cs="Times New Roman"/>
                      <w:noProof/>
                      <w:sz w:val="24"/>
                      <w:szCs w:val="18"/>
                    </w:rPr>
                  </w:pPr>
                  <w:r w:rsidRPr="00B03B51">
                    <w:rPr>
                      <w:rFonts w:ascii="Times New Roman" w:hAnsi="Times New Roman" w:cs="Times New Roman"/>
                      <w:sz w:val="24"/>
                      <w:szCs w:val="18"/>
                    </w:rPr>
                    <w:t>0</w:t>
                  </w:r>
                </w:p>
              </w:tc>
              <w:tc>
                <w:tcPr>
                  <w:tcW w:w="1797" w:type="dxa"/>
                  <w:vAlign w:val="bottom"/>
                </w:tcPr>
                <w:p w14:paraId="42FF7D37" w14:textId="77777777" w:rsidR="00994F93" w:rsidRPr="00B03B51" w:rsidRDefault="00994F93" w:rsidP="001C4B02">
                  <w:pPr>
                    <w:jc w:val="right"/>
                    <w:rPr>
                      <w:rFonts w:ascii="Times New Roman" w:eastAsia="Calibri" w:hAnsi="Times New Roman" w:cs="Times New Roman"/>
                      <w:noProof/>
                      <w:sz w:val="24"/>
                      <w:szCs w:val="18"/>
                    </w:rPr>
                  </w:pPr>
                </w:p>
              </w:tc>
            </w:tr>
          </w:tbl>
          <w:p w14:paraId="0EC319BE" w14:textId="77777777" w:rsidR="00994F93" w:rsidRPr="00B03B51" w:rsidRDefault="00994F93" w:rsidP="001C4B02">
            <w:pPr>
              <w:jc w:val="both"/>
              <w:rPr>
                <w:rFonts w:ascii="Times New Roman" w:eastAsia="Calibri" w:hAnsi="Times New Roman" w:cs="Times New Roman"/>
                <w:noProof/>
                <w:sz w:val="24"/>
                <w:szCs w:val="18"/>
              </w:rPr>
            </w:pPr>
          </w:p>
          <w:p w14:paraId="6DBF4518" w14:textId="77777777" w:rsidR="00994F93" w:rsidRPr="00B03B51" w:rsidRDefault="00994F93" w:rsidP="001C4B02">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t>Piezīmes.</w:t>
            </w:r>
          </w:p>
          <w:p w14:paraId="5DCA96F6" w14:textId="77777777" w:rsidR="00994F93" w:rsidRPr="00B03B51" w:rsidRDefault="00994F93" w:rsidP="001C4B02">
            <w:pPr>
              <w:pStyle w:val="BodyText"/>
              <w:spacing w:before="0"/>
              <w:ind w:left="0" w:firstLine="0"/>
              <w:jc w:val="both"/>
              <w:rPr>
                <w:rFonts w:ascii="Times New Roman" w:hAnsi="Times New Roman" w:cs="Times New Roman"/>
                <w:noProof/>
                <w:sz w:val="24"/>
              </w:rPr>
            </w:pPr>
          </w:p>
          <w:p w14:paraId="400E5547" w14:textId="77777777" w:rsidR="00994F93" w:rsidRPr="00B03B51" w:rsidRDefault="00994F93" w:rsidP="00994F93">
            <w:pPr>
              <w:pStyle w:val="BodyText"/>
              <w:numPr>
                <w:ilvl w:val="2"/>
                <w:numId w:val="20"/>
              </w:numPr>
              <w:spacing w:before="0"/>
              <w:ind w:left="709" w:hanging="425"/>
              <w:jc w:val="both"/>
              <w:rPr>
                <w:rFonts w:ascii="Times New Roman" w:hAnsi="Times New Roman" w:cs="Times New Roman"/>
                <w:noProof/>
                <w:sz w:val="24"/>
              </w:rPr>
            </w:pPr>
            <w:r w:rsidRPr="00B03B51">
              <w:rPr>
                <w:rFonts w:ascii="Times New Roman" w:hAnsi="Times New Roman" w:cs="Times New Roman"/>
                <w:sz w:val="24"/>
              </w:rPr>
              <w:t>Kopējais vērtības pieaugums piecu gadu periodā (t. i., 403) ir noteikts, pamatojoties uz indeksa vērtības maiņu (t. i., 40,3 procentu pieaugums).</w:t>
            </w:r>
          </w:p>
          <w:p w14:paraId="00EA4C94" w14:textId="77777777" w:rsidR="00994F93" w:rsidRPr="00B03B51" w:rsidRDefault="00994F93" w:rsidP="00994F93">
            <w:pPr>
              <w:pStyle w:val="BodyText"/>
              <w:numPr>
                <w:ilvl w:val="2"/>
                <w:numId w:val="20"/>
              </w:numPr>
              <w:spacing w:before="0"/>
              <w:ind w:left="709" w:hanging="425"/>
              <w:jc w:val="both"/>
              <w:rPr>
                <w:rFonts w:ascii="Times New Roman" w:hAnsi="Times New Roman" w:cs="Times New Roman"/>
                <w:noProof/>
                <w:sz w:val="24"/>
              </w:rPr>
            </w:pPr>
            <w:r w:rsidRPr="00B03B51">
              <w:rPr>
                <w:rFonts w:ascii="Times New Roman" w:hAnsi="Times New Roman" w:cs="Times New Roman"/>
                <w:sz w:val="24"/>
              </w:rPr>
              <w:t>Tā kā šī ir obligācija, pārvērtēšana notiek arī tirgus apstākļos notiekošo izmaiņu dēļ, piemēram, tādēļ, ka mainās tirgus procentu likmes, kredītvērtējums un prognozes par turpmāko indeksa attīstību. Tomēr attiecībā uz visu obligācijas darbības laiku tās ir vienādas ar nulli, ja obligācija tiek atmaksāta indeksētajā vērtībā.</w:t>
            </w:r>
          </w:p>
          <w:p w14:paraId="37887DB1" w14:textId="77777777" w:rsidR="00994F93" w:rsidRPr="00B03B51" w:rsidRDefault="00994F93" w:rsidP="00994F93">
            <w:pPr>
              <w:pStyle w:val="BodyText"/>
              <w:numPr>
                <w:ilvl w:val="2"/>
                <w:numId w:val="20"/>
              </w:numPr>
              <w:spacing w:before="0"/>
              <w:ind w:left="709" w:hanging="425"/>
              <w:jc w:val="both"/>
              <w:rPr>
                <w:rFonts w:ascii="Times New Roman" w:hAnsi="Times New Roman" w:cs="Times New Roman"/>
                <w:noProof/>
                <w:sz w:val="24"/>
              </w:rPr>
            </w:pPr>
            <w:r w:rsidRPr="00B03B51">
              <w:rPr>
                <w:rFonts w:ascii="Times New Roman" w:hAnsi="Times New Roman" w:cs="Times New Roman"/>
                <w:sz w:val="24"/>
              </w:rPr>
              <w:t>Negatīvas procentu vērtības var rasties laika posmos, kad samazinās indeksa vērtība.</w:t>
            </w:r>
          </w:p>
          <w:p w14:paraId="0A4AC46D" w14:textId="77777777" w:rsidR="00994F93" w:rsidRPr="00B03B51" w:rsidRDefault="00994F93" w:rsidP="00994F93">
            <w:pPr>
              <w:pStyle w:val="BodyText"/>
              <w:numPr>
                <w:ilvl w:val="2"/>
                <w:numId w:val="20"/>
              </w:numPr>
              <w:spacing w:before="0"/>
              <w:ind w:left="709" w:hanging="425"/>
              <w:jc w:val="both"/>
              <w:rPr>
                <w:rFonts w:ascii="Times New Roman" w:hAnsi="Times New Roman" w:cs="Times New Roman"/>
                <w:noProof/>
                <w:sz w:val="24"/>
              </w:rPr>
            </w:pPr>
            <w:r w:rsidRPr="00B03B51">
              <w:rPr>
                <w:rFonts w:ascii="Times New Roman" w:hAnsi="Times New Roman" w:cs="Times New Roman"/>
                <w:sz w:val="24"/>
              </w:rPr>
              <w:t>Atbilstīgais ieraksts attiecībā uz uzkrātajiem procentiem ir parāda vērtspapīru pieaugums finanšu kontā.</w:t>
            </w:r>
          </w:p>
          <w:p w14:paraId="715E2F5C" w14:textId="77777777" w:rsidR="00994F93" w:rsidRPr="00B03B51" w:rsidRDefault="00994F93" w:rsidP="00994F93">
            <w:pPr>
              <w:pStyle w:val="BodyText"/>
              <w:numPr>
                <w:ilvl w:val="2"/>
                <w:numId w:val="20"/>
              </w:numPr>
              <w:spacing w:before="0"/>
              <w:ind w:left="709" w:hanging="425"/>
              <w:jc w:val="both"/>
              <w:rPr>
                <w:rFonts w:ascii="Times New Roman" w:hAnsi="Times New Roman" w:cs="Times New Roman"/>
                <w:noProof/>
                <w:sz w:val="24"/>
              </w:rPr>
            </w:pPr>
            <w:r w:rsidRPr="00B03B51">
              <w:rPr>
                <w:rFonts w:ascii="Times New Roman" w:hAnsi="Times New Roman" w:cs="Times New Roman"/>
                <w:sz w:val="24"/>
              </w:rPr>
              <w:t>Tirgus procentu likmju vērtību maiņa izraisa izmaiņas obligācijas vērtībā, taču procentu aprēķins paliek neskarts.</w:t>
            </w:r>
          </w:p>
        </w:tc>
      </w:tr>
    </w:tbl>
    <w:p w14:paraId="07C0D5E1" w14:textId="77777777" w:rsidR="00994F93" w:rsidRPr="00B03B51" w:rsidRDefault="00994F93" w:rsidP="00994F93">
      <w:pPr>
        <w:jc w:val="both"/>
        <w:rPr>
          <w:rFonts w:ascii="Times New Roman" w:eastAsia="Arial" w:hAnsi="Times New Roman" w:cs="Times New Roman"/>
          <w:noProof/>
          <w:sz w:val="24"/>
          <w:szCs w:val="20"/>
        </w:rPr>
      </w:pPr>
    </w:p>
    <w:p w14:paraId="0BD9CFBD" w14:textId="77777777" w:rsidR="00994F93" w:rsidRPr="00B03B51" w:rsidRDefault="00994F93" w:rsidP="00994F93">
      <w:pPr>
        <w:jc w:val="both"/>
        <w:rPr>
          <w:rFonts w:ascii="Times New Roman" w:eastAsia="Arial" w:hAnsi="Times New Roman" w:cs="Times New Roman"/>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1"/>
      </w:tblGrid>
      <w:tr w:rsidR="00994F93" w:rsidRPr="00B03B51" w14:paraId="767E4F29" w14:textId="77777777" w:rsidTr="001C4B02">
        <w:tc>
          <w:tcPr>
            <w:tcW w:w="9281" w:type="dxa"/>
          </w:tcPr>
          <w:p w14:paraId="3E034593" w14:textId="77777777" w:rsidR="00994F93" w:rsidRPr="00B03B51" w:rsidRDefault="00994F93" w:rsidP="001C4B02">
            <w:pPr>
              <w:pStyle w:val="Heading3"/>
              <w:ind w:left="0" w:firstLine="0"/>
              <w:jc w:val="both"/>
              <w:outlineLvl w:val="2"/>
              <w:rPr>
                <w:rFonts w:ascii="Times New Roman" w:hAnsi="Times New Roman" w:cs="Times New Roman"/>
                <w:noProof/>
                <w:sz w:val="24"/>
              </w:rPr>
            </w:pPr>
            <w:bookmarkStart w:id="140" w:name="_Toc67565066"/>
            <w:r w:rsidRPr="00B03B51">
              <w:rPr>
                <w:rFonts w:ascii="Times New Roman" w:hAnsi="Times New Roman" w:cs="Times New Roman"/>
                <w:sz w:val="24"/>
              </w:rPr>
              <w:t>1. ierāmējums. B piemērs. Procentu uzkrājuma aprēķins attiecībā uz indeksam piesaistītu obligāciju: šaurs indekss</w:t>
            </w:r>
            <w:bookmarkEnd w:id="140"/>
          </w:p>
          <w:p w14:paraId="1E90EFEC" w14:textId="77777777" w:rsidR="00994F93" w:rsidRPr="00B03B51" w:rsidRDefault="00994F93" w:rsidP="001C4B02">
            <w:pPr>
              <w:jc w:val="both"/>
              <w:rPr>
                <w:rFonts w:ascii="Times New Roman" w:hAnsi="Times New Roman" w:cs="Times New Roman"/>
                <w:noProof/>
                <w:sz w:val="24"/>
              </w:rPr>
            </w:pPr>
          </w:p>
          <w:p w14:paraId="3950EA35" w14:textId="77777777" w:rsidR="00994F93" w:rsidRPr="00B03B51" w:rsidRDefault="00994F93" w:rsidP="001C4B02">
            <w:pPr>
              <w:jc w:val="both"/>
              <w:rPr>
                <w:rFonts w:ascii="Times New Roman" w:hAnsi="Times New Roman" w:cs="Times New Roman"/>
                <w:noProof/>
                <w:sz w:val="24"/>
              </w:rPr>
            </w:pPr>
            <w:r w:rsidRPr="00B03B51">
              <w:rPr>
                <w:rFonts w:ascii="Times New Roman" w:hAnsi="Times New Roman" w:cs="Times New Roman"/>
                <w:sz w:val="24"/>
              </w:rPr>
              <w:t>5 gadu obligācija tiek izsniegta 1. gada 1. janvārī par cenu 1000, bez kuponiem, indeksēta ar šauru indeksu. Perioda sākumā indeksa vērtība ir 100. Emisijas brīdī tirgus procentu likme ir 8 %.</w:t>
            </w:r>
          </w:p>
          <w:p w14:paraId="7035B2F1" w14:textId="77777777" w:rsidR="00994F93" w:rsidRPr="00B03B51" w:rsidRDefault="00994F93" w:rsidP="001C4B02">
            <w:pPr>
              <w:jc w:val="both"/>
              <w:rPr>
                <w:rFonts w:ascii="Times New Roman" w:hAnsi="Times New Roman" w:cs="Times New Roman"/>
                <w:noProof/>
                <w:sz w:val="24"/>
              </w:rPr>
            </w:pPr>
          </w:p>
          <w:p w14:paraId="571EB086" w14:textId="77777777" w:rsidR="00994F93" w:rsidRPr="00B03B51" w:rsidRDefault="00994F93" w:rsidP="001C4B02">
            <w:pPr>
              <w:jc w:val="both"/>
              <w:rPr>
                <w:rFonts w:ascii="Times New Roman" w:hAnsi="Times New Roman" w:cs="Times New Roman"/>
                <w:noProof/>
                <w:sz w:val="24"/>
              </w:rPr>
            </w:pPr>
            <w:r w:rsidRPr="00B03B51">
              <w:rPr>
                <w:rFonts w:ascii="Times New Roman" w:hAnsi="Times New Roman" w:cs="Times New Roman"/>
                <w:sz w:val="24"/>
              </w:rPr>
              <w:t>Turpmāk norādītas indeksa un obligāciju vērtības ar atvasinātajiem procentiem un pārvērtējumiem.</w:t>
            </w:r>
          </w:p>
          <w:p w14:paraId="4F66F0F3" w14:textId="77777777" w:rsidR="00994F93" w:rsidRPr="00B03B51" w:rsidRDefault="00994F93" w:rsidP="001C4B02">
            <w:pPr>
              <w:jc w:val="both"/>
              <w:rPr>
                <w:rFonts w:ascii="Times New Roman" w:eastAsia="Arial" w:hAnsi="Times New Roman" w:cs="Times New Roman"/>
                <w:noProof/>
                <w:sz w:val="24"/>
                <w:szCs w:val="7"/>
              </w:rPr>
            </w:pPr>
          </w:p>
          <w:tbl>
            <w:tblPr>
              <w:tblW w:w="5000" w:type="pct"/>
              <w:tblCellMar>
                <w:top w:w="28" w:type="dxa"/>
                <w:left w:w="28" w:type="dxa"/>
                <w:bottom w:w="28" w:type="dxa"/>
                <w:right w:w="28" w:type="dxa"/>
              </w:tblCellMar>
              <w:tblLook w:val="01E0" w:firstRow="1" w:lastRow="1" w:firstColumn="1" w:lastColumn="1" w:noHBand="0" w:noVBand="0"/>
            </w:tblPr>
            <w:tblGrid>
              <w:gridCol w:w="1582"/>
              <w:gridCol w:w="2739"/>
              <w:gridCol w:w="1073"/>
              <w:gridCol w:w="1749"/>
              <w:gridCol w:w="1169"/>
              <w:gridCol w:w="693"/>
            </w:tblGrid>
            <w:tr w:rsidR="00994F93" w:rsidRPr="00B03B51" w14:paraId="0EDD3CC9" w14:textId="77777777" w:rsidTr="001C4B02">
              <w:tc>
                <w:tcPr>
                  <w:tcW w:w="878" w:type="pct"/>
                  <w:tcBorders>
                    <w:top w:val="nil"/>
                    <w:left w:val="nil"/>
                    <w:bottom w:val="nil"/>
                    <w:right w:val="nil"/>
                  </w:tcBorders>
                  <w:shd w:val="clear" w:color="auto" w:fill="auto"/>
                </w:tcPr>
                <w:p w14:paraId="3B36862D" w14:textId="77777777" w:rsidR="00994F93" w:rsidRPr="00B03B51" w:rsidRDefault="00994F93" w:rsidP="001C4B02">
                  <w:pPr>
                    <w:jc w:val="both"/>
                    <w:rPr>
                      <w:rFonts w:ascii="Times New Roman" w:hAnsi="Times New Roman" w:cs="Times New Roman"/>
                      <w:noProof/>
                      <w:sz w:val="24"/>
                    </w:rPr>
                  </w:pPr>
                </w:p>
              </w:tc>
              <w:tc>
                <w:tcPr>
                  <w:tcW w:w="1521" w:type="pct"/>
                  <w:tcBorders>
                    <w:top w:val="nil"/>
                    <w:left w:val="nil"/>
                    <w:bottom w:val="nil"/>
                    <w:right w:val="nil"/>
                  </w:tcBorders>
                  <w:shd w:val="clear" w:color="auto" w:fill="auto"/>
                </w:tcPr>
                <w:p w14:paraId="35C63567" w14:textId="77777777" w:rsidR="00994F93" w:rsidRPr="00B03B51" w:rsidRDefault="00994F93" w:rsidP="009C7585">
                  <w:pPr>
                    <w:pStyle w:val="TableParagraph"/>
                    <w:jc w:val="center"/>
                    <w:rPr>
                      <w:rFonts w:ascii="Times New Roman" w:eastAsia="Calibri" w:hAnsi="Times New Roman" w:cs="Times New Roman"/>
                      <w:noProof/>
                      <w:sz w:val="24"/>
                    </w:rPr>
                  </w:pPr>
                  <w:r w:rsidRPr="00B03B51">
                    <w:rPr>
                      <w:rFonts w:ascii="Times New Roman" w:hAnsi="Times New Roman" w:cs="Times New Roman"/>
                      <w:sz w:val="24"/>
                      <w:u w:val="single"/>
                    </w:rPr>
                    <w:t>Šaurs cenu indekss</w:t>
                  </w:r>
                  <w:r w:rsidRPr="00B03B51">
                    <w:rPr>
                      <w:rFonts w:ascii="Times New Roman" w:hAnsi="Times New Roman" w:cs="Times New Roman"/>
                      <w:sz w:val="24"/>
                    </w:rPr>
                    <w:br/>
                    <w:t>Perioda beigas</w:t>
                  </w:r>
                </w:p>
              </w:tc>
              <w:tc>
                <w:tcPr>
                  <w:tcW w:w="596" w:type="pct"/>
                  <w:tcBorders>
                    <w:top w:val="nil"/>
                    <w:left w:val="nil"/>
                    <w:bottom w:val="nil"/>
                    <w:right w:val="nil"/>
                  </w:tcBorders>
                  <w:shd w:val="clear" w:color="auto" w:fill="auto"/>
                </w:tcPr>
                <w:p w14:paraId="0FFB8E15" w14:textId="77777777" w:rsidR="00994F93" w:rsidRPr="00B03B51" w:rsidRDefault="00994F93" w:rsidP="009C7585">
                  <w:pPr>
                    <w:pStyle w:val="TableParagraph"/>
                    <w:jc w:val="center"/>
                    <w:rPr>
                      <w:rFonts w:ascii="Times New Roman" w:eastAsia="Arial" w:hAnsi="Times New Roman" w:cs="Times New Roman"/>
                      <w:noProof/>
                      <w:sz w:val="24"/>
                      <w:szCs w:val="31"/>
                    </w:rPr>
                  </w:pPr>
                </w:p>
                <w:p w14:paraId="4086710E" w14:textId="77777777" w:rsidR="00994F93" w:rsidRPr="00B03B51" w:rsidRDefault="00994F93" w:rsidP="009C7585">
                  <w:pPr>
                    <w:pStyle w:val="TableParagraph"/>
                    <w:jc w:val="center"/>
                    <w:rPr>
                      <w:rFonts w:ascii="Times New Roman" w:hAnsi="Times New Roman" w:cs="Times New Roman"/>
                      <w:noProof/>
                      <w:sz w:val="24"/>
                    </w:rPr>
                  </w:pPr>
                  <w:r w:rsidRPr="00B03B51">
                    <w:rPr>
                      <w:rFonts w:ascii="Times New Roman" w:hAnsi="Times New Roman" w:cs="Times New Roman"/>
                      <w:sz w:val="24"/>
                    </w:rPr>
                    <w:t>Procenti</w:t>
                  </w:r>
                </w:p>
              </w:tc>
              <w:tc>
                <w:tcPr>
                  <w:tcW w:w="971" w:type="pct"/>
                  <w:tcBorders>
                    <w:top w:val="nil"/>
                    <w:left w:val="nil"/>
                    <w:bottom w:val="nil"/>
                    <w:right w:val="nil"/>
                  </w:tcBorders>
                  <w:shd w:val="clear" w:color="auto" w:fill="auto"/>
                </w:tcPr>
                <w:p w14:paraId="00ABED1F" w14:textId="77777777" w:rsidR="00994F93" w:rsidRPr="00B03B51" w:rsidRDefault="00994F93" w:rsidP="009C7585">
                  <w:pPr>
                    <w:pStyle w:val="TableParagraph"/>
                    <w:jc w:val="center"/>
                    <w:rPr>
                      <w:rFonts w:ascii="Times New Roman" w:eastAsia="Arial" w:hAnsi="Times New Roman" w:cs="Times New Roman"/>
                      <w:noProof/>
                      <w:sz w:val="24"/>
                      <w:szCs w:val="31"/>
                    </w:rPr>
                  </w:pPr>
                </w:p>
                <w:p w14:paraId="5EB4793B" w14:textId="77777777" w:rsidR="00994F93" w:rsidRPr="00B03B51" w:rsidRDefault="00994F93" w:rsidP="009C7585">
                  <w:pPr>
                    <w:pStyle w:val="TableParagraph"/>
                    <w:jc w:val="center"/>
                    <w:rPr>
                      <w:rFonts w:ascii="Times New Roman" w:hAnsi="Times New Roman" w:cs="Times New Roman"/>
                      <w:noProof/>
                      <w:sz w:val="24"/>
                    </w:rPr>
                  </w:pPr>
                  <w:r w:rsidRPr="00B03B51">
                    <w:rPr>
                      <w:rFonts w:ascii="Times New Roman" w:hAnsi="Times New Roman" w:cs="Times New Roman"/>
                      <w:sz w:val="24"/>
                    </w:rPr>
                    <w:t>Pārvērtēšana</w:t>
                  </w:r>
                </w:p>
              </w:tc>
              <w:tc>
                <w:tcPr>
                  <w:tcW w:w="649" w:type="pct"/>
                  <w:tcBorders>
                    <w:top w:val="nil"/>
                    <w:left w:val="nil"/>
                    <w:bottom w:val="nil"/>
                    <w:right w:val="nil"/>
                  </w:tcBorders>
                  <w:shd w:val="clear" w:color="auto" w:fill="auto"/>
                </w:tcPr>
                <w:p w14:paraId="4C9BA466" w14:textId="77777777" w:rsidR="00994F93" w:rsidRPr="00B03B51" w:rsidRDefault="00994F93" w:rsidP="009C7585">
                  <w:pPr>
                    <w:pStyle w:val="TableParagraph"/>
                    <w:jc w:val="center"/>
                    <w:rPr>
                      <w:rFonts w:ascii="Times New Roman" w:eastAsia="Calibri" w:hAnsi="Times New Roman" w:cs="Times New Roman"/>
                      <w:noProof/>
                      <w:sz w:val="24"/>
                    </w:rPr>
                  </w:pPr>
                  <w:r w:rsidRPr="00B03B51">
                    <w:rPr>
                      <w:rFonts w:ascii="Times New Roman" w:hAnsi="Times New Roman" w:cs="Times New Roman"/>
                      <w:sz w:val="24"/>
                      <w:u w:val="single"/>
                    </w:rPr>
                    <w:t>Obligācija</w:t>
                  </w:r>
                  <w:r w:rsidRPr="00B03B51">
                    <w:rPr>
                      <w:rFonts w:ascii="Times New Roman" w:hAnsi="Times New Roman" w:cs="Times New Roman"/>
                      <w:sz w:val="24"/>
                    </w:rPr>
                    <w:br/>
                    <w:t>31. dec.</w:t>
                  </w:r>
                </w:p>
              </w:tc>
              <w:tc>
                <w:tcPr>
                  <w:tcW w:w="385" w:type="pct"/>
                  <w:tcBorders>
                    <w:top w:val="nil"/>
                    <w:left w:val="nil"/>
                    <w:bottom w:val="nil"/>
                    <w:right w:val="nil"/>
                  </w:tcBorders>
                  <w:shd w:val="clear" w:color="auto" w:fill="auto"/>
                </w:tcPr>
                <w:p w14:paraId="09FECBCD" w14:textId="77777777" w:rsidR="00994F93" w:rsidRPr="00B03B51" w:rsidRDefault="00994F93" w:rsidP="001C4B02">
                  <w:pPr>
                    <w:jc w:val="both"/>
                    <w:rPr>
                      <w:rFonts w:ascii="Times New Roman" w:hAnsi="Times New Roman" w:cs="Times New Roman"/>
                      <w:noProof/>
                      <w:sz w:val="24"/>
                    </w:rPr>
                  </w:pPr>
                </w:p>
              </w:tc>
            </w:tr>
            <w:tr w:rsidR="00994F93" w:rsidRPr="00B03B51" w14:paraId="7F687409" w14:textId="77777777" w:rsidTr="001C4B02">
              <w:tc>
                <w:tcPr>
                  <w:tcW w:w="878" w:type="pct"/>
                  <w:tcBorders>
                    <w:top w:val="nil"/>
                    <w:left w:val="nil"/>
                    <w:bottom w:val="nil"/>
                    <w:right w:val="nil"/>
                  </w:tcBorders>
                  <w:shd w:val="clear" w:color="auto" w:fill="auto"/>
                </w:tcPr>
                <w:p w14:paraId="58719F2B" w14:textId="77777777" w:rsidR="00994F93" w:rsidRPr="00B03B51" w:rsidRDefault="00994F93" w:rsidP="001C4B02">
                  <w:pPr>
                    <w:pStyle w:val="TableParagraph"/>
                    <w:jc w:val="both"/>
                    <w:rPr>
                      <w:rFonts w:ascii="Times New Roman" w:hAnsi="Times New Roman" w:cs="Times New Roman"/>
                      <w:noProof/>
                      <w:sz w:val="24"/>
                    </w:rPr>
                  </w:pPr>
                  <w:r w:rsidRPr="00B03B51">
                    <w:rPr>
                      <w:rFonts w:ascii="Times New Roman" w:hAnsi="Times New Roman" w:cs="Times New Roman"/>
                      <w:sz w:val="24"/>
                    </w:rPr>
                    <w:t>1. gads</w:t>
                  </w:r>
                </w:p>
              </w:tc>
              <w:tc>
                <w:tcPr>
                  <w:tcW w:w="1521" w:type="pct"/>
                  <w:tcBorders>
                    <w:top w:val="nil"/>
                    <w:left w:val="nil"/>
                    <w:bottom w:val="nil"/>
                    <w:right w:val="nil"/>
                  </w:tcBorders>
                  <w:shd w:val="clear" w:color="auto" w:fill="auto"/>
                </w:tcPr>
                <w:p w14:paraId="19F41EA6" w14:textId="77777777" w:rsidR="00994F93" w:rsidRPr="00B03B51" w:rsidRDefault="00994F93" w:rsidP="009C7585">
                  <w:pPr>
                    <w:pStyle w:val="TableParagraph"/>
                    <w:jc w:val="right"/>
                    <w:rPr>
                      <w:rFonts w:ascii="Times New Roman" w:hAnsi="Times New Roman" w:cs="Times New Roman"/>
                      <w:noProof/>
                      <w:sz w:val="24"/>
                    </w:rPr>
                  </w:pPr>
                  <w:r w:rsidRPr="00B03B51">
                    <w:rPr>
                      <w:rFonts w:ascii="Times New Roman" w:hAnsi="Times New Roman" w:cs="Times New Roman"/>
                      <w:sz w:val="24"/>
                    </w:rPr>
                    <w:t>107,0</w:t>
                  </w:r>
                </w:p>
              </w:tc>
              <w:tc>
                <w:tcPr>
                  <w:tcW w:w="596" w:type="pct"/>
                  <w:tcBorders>
                    <w:top w:val="nil"/>
                    <w:left w:val="nil"/>
                    <w:bottom w:val="nil"/>
                    <w:right w:val="nil"/>
                  </w:tcBorders>
                  <w:shd w:val="clear" w:color="auto" w:fill="auto"/>
                </w:tcPr>
                <w:p w14:paraId="45487A9B" w14:textId="77777777" w:rsidR="00994F93" w:rsidRPr="00B03B51" w:rsidRDefault="00994F93" w:rsidP="009C7585">
                  <w:pPr>
                    <w:pStyle w:val="TableParagraph"/>
                    <w:jc w:val="right"/>
                    <w:rPr>
                      <w:rFonts w:ascii="Times New Roman" w:hAnsi="Times New Roman" w:cs="Times New Roman"/>
                      <w:noProof/>
                      <w:sz w:val="24"/>
                    </w:rPr>
                  </w:pPr>
                  <w:r w:rsidRPr="00B03B51">
                    <w:rPr>
                      <w:rFonts w:ascii="Times New Roman" w:hAnsi="Times New Roman" w:cs="Times New Roman"/>
                      <w:sz w:val="24"/>
                    </w:rPr>
                    <w:t>80</w:t>
                  </w:r>
                </w:p>
              </w:tc>
              <w:tc>
                <w:tcPr>
                  <w:tcW w:w="971" w:type="pct"/>
                  <w:tcBorders>
                    <w:top w:val="nil"/>
                    <w:left w:val="nil"/>
                    <w:bottom w:val="nil"/>
                    <w:right w:val="nil"/>
                  </w:tcBorders>
                  <w:shd w:val="clear" w:color="auto" w:fill="auto"/>
                </w:tcPr>
                <w:p w14:paraId="08945DE9" w14:textId="77777777" w:rsidR="00994F93" w:rsidRPr="00B03B51" w:rsidRDefault="00994F93" w:rsidP="009C7585">
                  <w:pPr>
                    <w:pStyle w:val="TableParagraph"/>
                    <w:jc w:val="right"/>
                    <w:rPr>
                      <w:rFonts w:ascii="Times New Roman" w:hAnsi="Times New Roman" w:cs="Times New Roman"/>
                      <w:noProof/>
                      <w:sz w:val="24"/>
                    </w:rPr>
                  </w:pPr>
                  <w:r w:rsidRPr="00B03B51">
                    <w:rPr>
                      <w:rFonts w:ascii="Times New Roman" w:hAnsi="Times New Roman" w:cs="Times New Roman"/>
                      <w:sz w:val="24"/>
                    </w:rPr>
                    <w:t>-22</w:t>
                  </w:r>
                </w:p>
              </w:tc>
              <w:tc>
                <w:tcPr>
                  <w:tcW w:w="649" w:type="pct"/>
                  <w:tcBorders>
                    <w:top w:val="nil"/>
                    <w:left w:val="nil"/>
                    <w:bottom w:val="nil"/>
                    <w:right w:val="nil"/>
                  </w:tcBorders>
                  <w:shd w:val="clear" w:color="auto" w:fill="auto"/>
                </w:tcPr>
                <w:p w14:paraId="3EE35FB4" w14:textId="77777777" w:rsidR="00994F93" w:rsidRPr="00B03B51" w:rsidRDefault="00994F93" w:rsidP="009C7585">
                  <w:pPr>
                    <w:jc w:val="right"/>
                    <w:rPr>
                      <w:rFonts w:ascii="Times New Roman" w:hAnsi="Times New Roman" w:cs="Times New Roman"/>
                      <w:noProof/>
                      <w:sz w:val="24"/>
                    </w:rPr>
                  </w:pPr>
                </w:p>
              </w:tc>
              <w:tc>
                <w:tcPr>
                  <w:tcW w:w="385" w:type="pct"/>
                  <w:tcBorders>
                    <w:top w:val="nil"/>
                    <w:left w:val="nil"/>
                    <w:bottom w:val="nil"/>
                    <w:right w:val="nil"/>
                  </w:tcBorders>
                  <w:shd w:val="clear" w:color="auto" w:fill="auto"/>
                </w:tcPr>
                <w:p w14:paraId="33DB4EBD" w14:textId="77777777" w:rsidR="00994F93" w:rsidRPr="00B03B51" w:rsidRDefault="00994F93" w:rsidP="009C7585">
                  <w:pPr>
                    <w:pStyle w:val="TableParagraph"/>
                    <w:jc w:val="right"/>
                    <w:rPr>
                      <w:rFonts w:ascii="Times New Roman" w:hAnsi="Times New Roman" w:cs="Times New Roman"/>
                      <w:noProof/>
                      <w:sz w:val="24"/>
                    </w:rPr>
                  </w:pPr>
                  <w:r w:rsidRPr="00B03B51">
                    <w:rPr>
                      <w:rFonts w:ascii="Times New Roman" w:hAnsi="Times New Roman" w:cs="Times New Roman"/>
                      <w:sz w:val="24"/>
                    </w:rPr>
                    <w:t>1058</w:t>
                  </w:r>
                </w:p>
              </w:tc>
            </w:tr>
            <w:tr w:rsidR="00994F93" w:rsidRPr="00B03B51" w14:paraId="7F5D46A6" w14:textId="77777777" w:rsidTr="001C4B02">
              <w:tc>
                <w:tcPr>
                  <w:tcW w:w="878" w:type="pct"/>
                  <w:tcBorders>
                    <w:top w:val="nil"/>
                    <w:left w:val="nil"/>
                    <w:bottom w:val="nil"/>
                    <w:right w:val="nil"/>
                  </w:tcBorders>
                  <w:shd w:val="clear" w:color="auto" w:fill="auto"/>
                </w:tcPr>
                <w:p w14:paraId="65387321" w14:textId="77777777" w:rsidR="00994F93" w:rsidRPr="00B03B51" w:rsidRDefault="00994F93" w:rsidP="001C4B02">
                  <w:pPr>
                    <w:pStyle w:val="TableParagraph"/>
                    <w:jc w:val="both"/>
                    <w:rPr>
                      <w:rFonts w:ascii="Times New Roman" w:hAnsi="Times New Roman" w:cs="Times New Roman"/>
                      <w:noProof/>
                      <w:sz w:val="24"/>
                    </w:rPr>
                  </w:pPr>
                  <w:r w:rsidRPr="00B03B51">
                    <w:rPr>
                      <w:rFonts w:ascii="Times New Roman" w:hAnsi="Times New Roman" w:cs="Times New Roman"/>
                      <w:sz w:val="24"/>
                    </w:rPr>
                    <w:t>2. gads</w:t>
                  </w:r>
                </w:p>
              </w:tc>
              <w:tc>
                <w:tcPr>
                  <w:tcW w:w="1521" w:type="pct"/>
                  <w:tcBorders>
                    <w:top w:val="nil"/>
                    <w:left w:val="nil"/>
                    <w:bottom w:val="nil"/>
                    <w:right w:val="nil"/>
                  </w:tcBorders>
                  <w:shd w:val="clear" w:color="auto" w:fill="auto"/>
                </w:tcPr>
                <w:p w14:paraId="41A5AE8D" w14:textId="77777777" w:rsidR="00994F93" w:rsidRPr="00B03B51" w:rsidRDefault="00994F93" w:rsidP="009C7585">
                  <w:pPr>
                    <w:pStyle w:val="TableParagraph"/>
                    <w:jc w:val="right"/>
                    <w:rPr>
                      <w:rFonts w:ascii="Times New Roman" w:hAnsi="Times New Roman" w:cs="Times New Roman"/>
                      <w:noProof/>
                      <w:sz w:val="24"/>
                    </w:rPr>
                  </w:pPr>
                  <w:r w:rsidRPr="00B03B51">
                    <w:rPr>
                      <w:rFonts w:ascii="Times New Roman" w:hAnsi="Times New Roman" w:cs="Times New Roman"/>
                      <w:sz w:val="24"/>
                    </w:rPr>
                    <w:t>113,0</w:t>
                  </w:r>
                </w:p>
              </w:tc>
              <w:tc>
                <w:tcPr>
                  <w:tcW w:w="596" w:type="pct"/>
                  <w:tcBorders>
                    <w:top w:val="nil"/>
                    <w:left w:val="nil"/>
                    <w:bottom w:val="nil"/>
                    <w:right w:val="nil"/>
                  </w:tcBorders>
                  <w:shd w:val="clear" w:color="auto" w:fill="auto"/>
                </w:tcPr>
                <w:p w14:paraId="0C2630D7" w14:textId="77777777" w:rsidR="00994F93" w:rsidRPr="00B03B51" w:rsidRDefault="00994F93" w:rsidP="009C7585">
                  <w:pPr>
                    <w:pStyle w:val="TableParagraph"/>
                    <w:jc w:val="right"/>
                    <w:rPr>
                      <w:rFonts w:ascii="Times New Roman" w:hAnsi="Times New Roman" w:cs="Times New Roman"/>
                      <w:noProof/>
                      <w:sz w:val="24"/>
                    </w:rPr>
                  </w:pPr>
                  <w:r w:rsidRPr="00B03B51">
                    <w:rPr>
                      <w:rFonts w:ascii="Times New Roman" w:hAnsi="Times New Roman" w:cs="Times New Roman"/>
                      <w:sz w:val="24"/>
                    </w:rPr>
                    <w:t>86</w:t>
                  </w:r>
                </w:p>
              </w:tc>
              <w:tc>
                <w:tcPr>
                  <w:tcW w:w="971" w:type="pct"/>
                  <w:tcBorders>
                    <w:top w:val="nil"/>
                    <w:left w:val="nil"/>
                    <w:bottom w:val="nil"/>
                    <w:right w:val="nil"/>
                  </w:tcBorders>
                  <w:shd w:val="clear" w:color="auto" w:fill="auto"/>
                </w:tcPr>
                <w:p w14:paraId="302C64E0" w14:textId="77777777" w:rsidR="00994F93" w:rsidRPr="00B03B51" w:rsidRDefault="00994F93" w:rsidP="009C7585">
                  <w:pPr>
                    <w:pStyle w:val="TableParagraph"/>
                    <w:jc w:val="right"/>
                    <w:rPr>
                      <w:rFonts w:ascii="Times New Roman" w:hAnsi="Times New Roman" w:cs="Times New Roman"/>
                      <w:noProof/>
                      <w:sz w:val="24"/>
                    </w:rPr>
                  </w:pPr>
                  <w:r w:rsidRPr="00B03B51">
                    <w:rPr>
                      <w:rFonts w:ascii="Times New Roman" w:hAnsi="Times New Roman" w:cs="Times New Roman"/>
                      <w:sz w:val="24"/>
                    </w:rPr>
                    <w:t>-43</w:t>
                  </w:r>
                </w:p>
              </w:tc>
              <w:tc>
                <w:tcPr>
                  <w:tcW w:w="649" w:type="pct"/>
                  <w:tcBorders>
                    <w:top w:val="nil"/>
                    <w:left w:val="nil"/>
                    <w:bottom w:val="nil"/>
                    <w:right w:val="nil"/>
                  </w:tcBorders>
                  <w:shd w:val="clear" w:color="auto" w:fill="auto"/>
                </w:tcPr>
                <w:p w14:paraId="3226A4C4" w14:textId="77777777" w:rsidR="00994F93" w:rsidRPr="00B03B51" w:rsidRDefault="00994F93" w:rsidP="009C7585">
                  <w:pPr>
                    <w:jc w:val="right"/>
                    <w:rPr>
                      <w:rFonts w:ascii="Times New Roman" w:hAnsi="Times New Roman" w:cs="Times New Roman"/>
                      <w:noProof/>
                      <w:sz w:val="24"/>
                    </w:rPr>
                  </w:pPr>
                </w:p>
              </w:tc>
              <w:tc>
                <w:tcPr>
                  <w:tcW w:w="385" w:type="pct"/>
                  <w:tcBorders>
                    <w:top w:val="nil"/>
                    <w:left w:val="nil"/>
                    <w:bottom w:val="nil"/>
                    <w:right w:val="nil"/>
                  </w:tcBorders>
                  <w:shd w:val="clear" w:color="auto" w:fill="auto"/>
                </w:tcPr>
                <w:p w14:paraId="0F8BC04F" w14:textId="77777777" w:rsidR="00994F93" w:rsidRPr="00B03B51" w:rsidRDefault="00994F93" w:rsidP="009C7585">
                  <w:pPr>
                    <w:pStyle w:val="TableParagraph"/>
                    <w:jc w:val="right"/>
                    <w:rPr>
                      <w:rFonts w:ascii="Times New Roman" w:hAnsi="Times New Roman" w:cs="Times New Roman"/>
                      <w:noProof/>
                      <w:sz w:val="24"/>
                    </w:rPr>
                  </w:pPr>
                  <w:r w:rsidRPr="00B03B51">
                    <w:rPr>
                      <w:rFonts w:ascii="Times New Roman" w:hAnsi="Times New Roman" w:cs="Times New Roman"/>
                      <w:sz w:val="24"/>
                    </w:rPr>
                    <w:t>1101</w:t>
                  </w:r>
                </w:p>
              </w:tc>
            </w:tr>
            <w:tr w:rsidR="00994F93" w:rsidRPr="00B03B51" w14:paraId="6280A99E" w14:textId="77777777" w:rsidTr="001C4B02">
              <w:tc>
                <w:tcPr>
                  <w:tcW w:w="878" w:type="pct"/>
                  <w:tcBorders>
                    <w:top w:val="nil"/>
                    <w:left w:val="nil"/>
                    <w:bottom w:val="nil"/>
                    <w:right w:val="nil"/>
                  </w:tcBorders>
                  <w:shd w:val="clear" w:color="auto" w:fill="auto"/>
                </w:tcPr>
                <w:p w14:paraId="386C5819" w14:textId="77777777" w:rsidR="00994F93" w:rsidRPr="00B03B51" w:rsidRDefault="00994F93" w:rsidP="001C4B02">
                  <w:pPr>
                    <w:pStyle w:val="TableParagraph"/>
                    <w:jc w:val="both"/>
                    <w:rPr>
                      <w:rFonts w:ascii="Times New Roman" w:hAnsi="Times New Roman" w:cs="Times New Roman"/>
                      <w:noProof/>
                      <w:sz w:val="24"/>
                    </w:rPr>
                  </w:pPr>
                  <w:r w:rsidRPr="00B03B51">
                    <w:rPr>
                      <w:rFonts w:ascii="Times New Roman" w:hAnsi="Times New Roman" w:cs="Times New Roman"/>
                      <w:sz w:val="24"/>
                    </w:rPr>
                    <w:t>3. gads</w:t>
                  </w:r>
                </w:p>
              </w:tc>
              <w:tc>
                <w:tcPr>
                  <w:tcW w:w="1521" w:type="pct"/>
                  <w:tcBorders>
                    <w:top w:val="nil"/>
                    <w:left w:val="nil"/>
                    <w:bottom w:val="nil"/>
                    <w:right w:val="nil"/>
                  </w:tcBorders>
                  <w:shd w:val="clear" w:color="auto" w:fill="auto"/>
                </w:tcPr>
                <w:p w14:paraId="2F7C926C" w14:textId="77777777" w:rsidR="00994F93" w:rsidRPr="00B03B51" w:rsidRDefault="00994F93" w:rsidP="009C7585">
                  <w:pPr>
                    <w:pStyle w:val="TableParagraph"/>
                    <w:jc w:val="right"/>
                    <w:rPr>
                      <w:rFonts w:ascii="Times New Roman" w:hAnsi="Times New Roman" w:cs="Times New Roman"/>
                      <w:noProof/>
                      <w:sz w:val="24"/>
                    </w:rPr>
                  </w:pPr>
                  <w:r w:rsidRPr="00B03B51">
                    <w:rPr>
                      <w:rFonts w:ascii="Times New Roman" w:hAnsi="Times New Roman" w:cs="Times New Roman"/>
                      <w:sz w:val="24"/>
                    </w:rPr>
                    <w:t>129,0</w:t>
                  </w:r>
                </w:p>
              </w:tc>
              <w:tc>
                <w:tcPr>
                  <w:tcW w:w="596" w:type="pct"/>
                  <w:tcBorders>
                    <w:top w:val="nil"/>
                    <w:left w:val="nil"/>
                    <w:bottom w:val="nil"/>
                    <w:right w:val="nil"/>
                  </w:tcBorders>
                  <w:shd w:val="clear" w:color="auto" w:fill="auto"/>
                </w:tcPr>
                <w:p w14:paraId="5909FCD2" w14:textId="77777777" w:rsidR="00994F93" w:rsidRPr="00B03B51" w:rsidRDefault="00994F93" w:rsidP="009C7585">
                  <w:pPr>
                    <w:pStyle w:val="TableParagraph"/>
                    <w:jc w:val="right"/>
                    <w:rPr>
                      <w:rFonts w:ascii="Times New Roman" w:hAnsi="Times New Roman" w:cs="Times New Roman"/>
                      <w:noProof/>
                      <w:sz w:val="24"/>
                    </w:rPr>
                  </w:pPr>
                  <w:r w:rsidRPr="00B03B51">
                    <w:rPr>
                      <w:rFonts w:ascii="Times New Roman" w:hAnsi="Times New Roman" w:cs="Times New Roman"/>
                      <w:sz w:val="24"/>
                    </w:rPr>
                    <w:t>93</w:t>
                  </w:r>
                </w:p>
              </w:tc>
              <w:tc>
                <w:tcPr>
                  <w:tcW w:w="971" w:type="pct"/>
                  <w:tcBorders>
                    <w:top w:val="nil"/>
                    <w:left w:val="nil"/>
                    <w:bottom w:val="nil"/>
                    <w:right w:val="nil"/>
                  </w:tcBorders>
                  <w:shd w:val="clear" w:color="auto" w:fill="auto"/>
                </w:tcPr>
                <w:p w14:paraId="6F34D7FB" w14:textId="77777777" w:rsidR="00994F93" w:rsidRPr="00B03B51" w:rsidRDefault="00994F93" w:rsidP="009C7585">
                  <w:pPr>
                    <w:pStyle w:val="TableParagraph"/>
                    <w:jc w:val="right"/>
                    <w:rPr>
                      <w:rFonts w:ascii="Times New Roman" w:hAnsi="Times New Roman" w:cs="Times New Roman"/>
                      <w:noProof/>
                      <w:sz w:val="24"/>
                    </w:rPr>
                  </w:pPr>
                  <w:r w:rsidRPr="00B03B51">
                    <w:rPr>
                      <w:rFonts w:ascii="Times New Roman" w:hAnsi="Times New Roman" w:cs="Times New Roman"/>
                      <w:sz w:val="24"/>
                    </w:rPr>
                    <w:t>124</w:t>
                  </w:r>
                </w:p>
              </w:tc>
              <w:tc>
                <w:tcPr>
                  <w:tcW w:w="649" w:type="pct"/>
                  <w:tcBorders>
                    <w:top w:val="nil"/>
                    <w:left w:val="nil"/>
                    <w:bottom w:val="nil"/>
                    <w:right w:val="nil"/>
                  </w:tcBorders>
                  <w:shd w:val="clear" w:color="auto" w:fill="auto"/>
                </w:tcPr>
                <w:p w14:paraId="594EB443" w14:textId="77777777" w:rsidR="00994F93" w:rsidRPr="00B03B51" w:rsidRDefault="00994F93" w:rsidP="009C7585">
                  <w:pPr>
                    <w:jc w:val="right"/>
                    <w:rPr>
                      <w:rFonts w:ascii="Times New Roman" w:hAnsi="Times New Roman" w:cs="Times New Roman"/>
                      <w:noProof/>
                      <w:sz w:val="24"/>
                    </w:rPr>
                  </w:pPr>
                </w:p>
              </w:tc>
              <w:tc>
                <w:tcPr>
                  <w:tcW w:w="385" w:type="pct"/>
                  <w:tcBorders>
                    <w:top w:val="nil"/>
                    <w:left w:val="nil"/>
                    <w:bottom w:val="nil"/>
                    <w:right w:val="nil"/>
                  </w:tcBorders>
                  <w:shd w:val="clear" w:color="auto" w:fill="auto"/>
                </w:tcPr>
                <w:p w14:paraId="3B6666C0" w14:textId="77777777" w:rsidR="00994F93" w:rsidRPr="00B03B51" w:rsidRDefault="00994F93" w:rsidP="009C7585">
                  <w:pPr>
                    <w:pStyle w:val="TableParagraph"/>
                    <w:jc w:val="right"/>
                    <w:rPr>
                      <w:rFonts w:ascii="Times New Roman" w:hAnsi="Times New Roman" w:cs="Times New Roman"/>
                      <w:noProof/>
                      <w:sz w:val="24"/>
                    </w:rPr>
                  </w:pPr>
                  <w:r w:rsidRPr="00B03B51">
                    <w:rPr>
                      <w:rFonts w:ascii="Times New Roman" w:hAnsi="Times New Roman" w:cs="Times New Roman"/>
                      <w:sz w:val="24"/>
                    </w:rPr>
                    <w:t>1318</w:t>
                  </w:r>
                </w:p>
              </w:tc>
            </w:tr>
            <w:tr w:rsidR="00994F93" w:rsidRPr="00B03B51" w14:paraId="145136DF" w14:textId="77777777" w:rsidTr="001C4B02">
              <w:tc>
                <w:tcPr>
                  <w:tcW w:w="878" w:type="pct"/>
                  <w:tcBorders>
                    <w:top w:val="nil"/>
                    <w:left w:val="nil"/>
                    <w:bottom w:val="nil"/>
                    <w:right w:val="nil"/>
                  </w:tcBorders>
                  <w:shd w:val="clear" w:color="auto" w:fill="auto"/>
                </w:tcPr>
                <w:p w14:paraId="7CF7F261" w14:textId="77777777" w:rsidR="00994F93" w:rsidRPr="00B03B51" w:rsidRDefault="00994F93" w:rsidP="001C4B02">
                  <w:pPr>
                    <w:pStyle w:val="TableParagraph"/>
                    <w:jc w:val="both"/>
                    <w:rPr>
                      <w:rFonts w:ascii="Times New Roman" w:hAnsi="Times New Roman" w:cs="Times New Roman"/>
                      <w:noProof/>
                      <w:sz w:val="24"/>
                    </w:rPr>
                  </w:pPr>
                  <w:r w:rsidRPr="00B03B51">
                    <w:rPr>
                      <w:rFonts w:ascii="Times New Roman" w:hAnsi="Times New Roman" w:cs="Times New Roman"/>
                      <w:sz w:val="24"/>
                    </w:rPr>
                    <w:t>4. gads</w:t>
                  </w:r>
                </w:p>
              </w:tc>
              <w:tc>
                <w:tcPr>
                  <w:tcW w:w="1521" w:type="pct"/>
                  <w:tcBorders>
                    <w:top w:val="nil"/>
                    <w:left w:val="nil"/>
                    <w:bottom w:val="nil"/>
                    <w:right w:val="nil"/>
                  </w:tcBorders>
                  <w:shd w:val="clear" w:color="auto" w:fill="auto"/>
                </w:tcPr>
                <w:p w14:paraId="4F1A673A" w14:textId="77777777" w:rsidR="00994F93" w:rsidRPr="00B03B51" w:rsidRDefault="00994F93" w:rsidP="009C7585">
                  <w:pPr>
                    <w:pStyle w:val="TableParagraph"/>
                    <w:jc w:val="right"/>
                    <w:rPr>
                      <w:rFonts w:ascii="Times New Roman" w:hAnsi="Times New Roman" w:cs="Times New Roman"/>
                      <w:noProof/>
                      <w:sz w:val="24"/>
                    </w:rPr>
                  </w:pPr>
                  <w:r w:rsidRPr="00B03B51">
                    <w:rPr>
                      <w:rFonts w:ascii="Times New Roman" w:hAnsi="Times New Roman" w:cs="Times New Roman"/>
                      <w:sz w:val="24"/>
                    </w:rPr>
                    <w:t>148,0</w:t>
                  </w:r>
                </w:p>
              </w:tc>
              <w:tc>
                <w:tcPr>
                  <w:tcW w:w="596" w:type="pct"/>
                  <w:tcBorders>
                    <w:top w:val="nil"/>
                    <w:left w:val="nil"/>
                    <w:bottom w:val="nil"/>
                    <w:right w:val="nil"/>
                  </w:tcBorders>
                  <w:shd w:val="clear" w:color="auto" w:fill="auto"/>
                </w:tcPr>
                <w:p w14:paraId="42F6FCCE" w14:textId="77777777" w:rsidR="00994F93" w:rsidRPr="00B03B51" w:rsidRDefault="00994F93" w:rsidP="009C7585">
                  <w:pPr>
                    <w:pStyle w:val="TableParagraph"/>
                    <w:jc w:val="right"/>
                    <w:rPr>
                      <w:rFonts w:ascii="Times New Roman" w:hAnsi="Times New Roman" w:cs="Times New Roman"/>
                      <w:noProof/>
                      <w:sz w:val="24"/>
                    </w:rPr>
                  </w:pPr>
                  <w:r w:rsidRPr="00B03B51">
                    <w:rPr>
                      <w:rFonts w:ascii="Times New Roman" w:hAnsi="Times New Roman" w:cs="Times New Roman"/>
                      <w:sz w:val="24"/>
                    </w:rPr>
                    <w:t>101</w:t>
                  </w:r>
                </w:p>
              </w:tc>
              <w:tc>
                <w:tcPr>
                  <w:tcW w:w="971" w:type="pct"/>
                  <w:tcBorders>
                    <w:top w:val="nil"/>
                    <w:left w:val="nil"/>
                    <w:bottom w:val="nil"/>
                    <w:right w:val="nil"/>
                  </w:tcBorders>
                  <w:shd w:val="clear" w:color="auto" w:fill="auto"/>
                </w:tcPr>
                <w:p w14:paraId="184D316C" w14:textId="77777777" w:rsidR="00994F93" w:rsidRPr="00B03B51" w:rsidRDefault="00994F93" w:rsidP="009C7585">
                  <w:pPr>
                    <w:pStyle w:val="TableParagraph"/>
                    <w:jc w:val="right"/>
                    <w:rPr>
                      <w:rFonts w:ascii="Times New Roman" w:hAnsi="Times New Roman" w:cs="Times New Roman"/>
                      <w:noProof/>
                      <w:sz w:val="24"/>
                    </w:rPr>
                  </w:pPr>
                  <w:r w:rsidRPr="00B03B51">
                    <w:rPr>
                      <w:rFonts w:ascii="Times New Roman" w:hAnsi="Times New Roman" w:cs="Times New Roman"/>
                      <w:sz w:val="24"/>
                    </w:rPr>
                    <w:t>100</w:t>
                  </w:r>
                </w:p>
              </w:tc>
              <w:tc>
                <w:tcPr>
                  <w:tcW w:w="649" w:type="pct"/>
                  <w:tcBorders>
                    <w:top w:val="nil"/>
                    <w:left w:val="nil"/>
                    <w:bottom w:val="nil"/>
                    <w:right w:val="nil"/>
                  </w:tcBorders>
                  <w:shd w:val="clear" w:color="auto" w:fill="auto"/>
                </w:tcPr>
                <w:p w14:paraId="646DB3C1" w14:textId="77777777" w:rsidR="00994F93" w:rsidRPr="00B03B51" w:rsidRDefault="00994F93" w:rsidP="009C7585">
                  <w:pPr>
                    <w:jc w:val="right"/>
                    <w:rPr>
                      <w:rFonts w:ascii="Times New Roman" w:hAnsi="Times New Roman" w:cs="Times New Roman"/>
                      <w:noProof/>
                      <w:sz w:val="24"/>
                    </w:rPr>
                  </w:pPr>
                </w:p>
              </w:tc>
              <w:tc>
                <w:tcPr>
                  <w:tcW w:w="385" w:type="pct"/>
                  <w:tcBorders>
                    <w:top w:val="nil"/>
                    <w:left w:val="nil"/>
                    <w:bottom w:val="nil"/>
                    <w:right w:val="nil"/>
                  </w:tcBorders>
                  <w:shd w:val="clear" w:color="auto" w:fill="auto"/>
                </w:tcPr>
                <w:p w14:paraId="5F95E3CE" w14:textId="77777777" w:rsidR="00994F93" w:rsidRPr="00B03B51" w:rsidRDefault="00994F93" w:rsidP="009C7585">
                  <w:pPr>
                    <w:pStyle w:val="TableParagraph"/>
                    <w:jc w:val="right"/>
                    <w:rPr>
                      <w:rFonts w:ascii="Times New Roman" w:hAnsi="Times New Roman" w:cs="Times New Roman"/>
                      <w:noProof/>
                      <w:sz w:val="24"/>
                    </w:rPr>
                  </w:pPr>
                  <w:r w:rsidRPr="00B03B51">
                    <w:rPr>
                      <w:rFonts w:ascii="Times New Roman" w:hAnsi="Times New Roman" w:cs="Times New Roman"/>
                      <w:sz w:val="24"/>
                    </w:rPr>
                    <w:t>1519</w:t>
                  </w:r>
                </w:p>
              </w:tc>
            </w:tr>
            <w:tr w:rsidR="00994F93" w:rsidRPr="00B03B51" w14:paraId="43B05237" w14:textId="77777777" w:rsidTr="001C4B02">
              <w:tc>
                <w:tcPr>
                  <w:tcW w:w="878" w:type="pct"/>
                  <w:tcBorders>
                    <w:top w:val="nil"/>
                    <w:left w:val="nil"/>
                    <w:bottom w:val="single" w:sz="13" w:space="0" w:color="000000"/>
                    <w:right w:val="nil"/>
                  </w:tcBorders>
                  <w:shd w:val="clear" w:color="auto" w:fill="auto"/>
                </w:tcPr>
                <w:p w14:paraId="0AB2C51C" w14:textId="77777777" w:rsidR="00994F93" w:rsidRPr="00B03B51" w:rsidRDefault="00994F93" w:rsidP="001C4B02">
                  <w:pPr>
                    <w:pStyle w:val="TableParagraph"/>
                    <w:jc w:val="both"/>
                    <w:rPr>
                      <w:rFonts w:ascii="Times New Roman" w:hAnsi="Times New Roman" w:cs="Times New Roman"/>
                      <w:noProof/>
                      <w:sz w:val="24"/>
                    </w:rPr>
                  </w:pPr>
                  <w:r w:rsidRPr="00B03B51">
                    <w:rPr>
                      <w:rFonts w:ascii="Times New Roman" w:hAnsi="Times New Roman" w:cs="Times New Roman"/>
                      <w:sz w:val="24"/>
                    </w:rPr>
                    <w:t>5. gads</w:t>
                  </w:r>
                </w:p>
              </w:tc>
              <w:tc>
                <w:tcPr>
                  <w:tcW w:w="1521" w:type="pct"/>
                  <w:tcBorders>
                    <w:top w:val="nil"/>
                    <w:left w:val="nil"/>
                    <w:bottom w:val="single" w:sz="13" w:space="0" w:color="000000"/>
                    <w:right w:val="nil"/>
                  </w:tcBorders>
                  <w:shd w:val="clear" w:color="auto" w:fill="auto"/>
                </w:tcPr>
                <w:p w14:paraId="07406A37" w14:textId="77777777" w:rsidR="00994F93" w:rsidRPr="00B03B51" w:rsidRDefault="00994F93" w:rsidP="009C7585">
                  <w:pPr>
                    <w:pStyle w:val="TableParagraph"/>
                    <w:jc w:val="right"/>
                    <w:rPr>
                      <w:rFonts w:ascii="Times New Roman" w:hAnsi="Times New Roman" w:cs="Times New Roman"/>
                      <w:noProof/>
                      <w:sz w:val="24"/>
                    </w:rPr>
                  </w:pPr>
                  <w:r w:rsidRPr="00B03B51">
                    <w:rPr>
                      <w:rFonts w:ascii="Times New Roman" w:hAnsi="Times New Roman" w:cs="Times New Roman"/>
                      <w:sz w:val="24"/>
                    </w:rPr>
                    <w:t>140,3</w:t>
                  </w:r>
                </w:p>
              </w:tc>
              <w:tc>
                <w:tcPr>
                  <w:tcW w:w="596" w:type="pct"/>
                  <w:tcBorders>
                    <w:top w:val="nil"/>
                    <w:left w:val="nil"/>
                    <w:bottom w:val="single" w:sz="13" w:space="0" w:color="000000"/>
                    <w:right w:val="nil"/>
                  </w:tcBorders>
                  <w:shd w:val="clear" w:color="auto" w:fill="auto"/>
                </w:tcPr>
                <w:p w14:paraId="4D376572" w14:textId="77777777" w:rsidR="00994F93" w:rsidRPr="00B03B51" w:rsidRDefault="00994F93" w:rsidP="009C7585">
                  <w:pPr>
                    <w:pStyle w:val="TableParagraph"/>
                    <w:jc w:val="right"/>
                    <w:rPr>
                      <w:rFonts w:ascii="Times New Roman" w:hAnsi="Times New Roman" w:cs="Times New Roman"/>
                      <w:noProof/>
                      <w:sz w:val="24"/>
                    </w:rPr>
                  </w:pPr>
                  <w:r w:rsidRPr="00B03B51">
                    <w:rPr>
                      <w:rFonts w:ascii="Times New Roman" w:hAnsi="Times New Roman" w:cs="Times New Roman"/>
                      <w:sz w:val="24"/>
                    </w:rPr>
                    <w:t>109</w:t>
                  </w:r>
                </w:p>
              </w:tc>
              <w:tc>
                <w:tcPr>
                  <w:tcW w:w="971" w:type="pct"/>
                  <w:tcBorders>
                    <w:top w:val="nil"/>
                    <w:left w:val="nil"/>
                    <w:bottom w:val="single" w:sz="13" w:space="0" w:color="000000"/>
                    <w:right w:val="nil"/>
                  </w:tcBorders>
                  <w:shd w:val="clear" w:color="auto" w:fill="auto"/>
                </w:tcPr>
                <w:p w14:paraId="613B995C" w14:textId="77777777" w:rsidR="00994F93" w:rsidRPr="00B03B51" w:rsidRDefault="00994F93" w:rsidP="009C7585">
                  <w:pPr>
                    <w:pStyle w:val="TableParagraph"/>
                    <w:jc w:val="right"/>
                    <w:rPr>
                      <w:rFonts w:ascii="Times New Roman" w:hAnsi="Times New Roman" w:cs="Times New Roman"/>
                      <w:noProof/>
                      <w:sz w:val="24"/>
                    </w:rPr>
                  </w:pPr>
                  <w:r w:rsidRPr="00B03B51">
                    <w:rPr>
                      <w:rFonts w:ascii="Times New Roman" w:hAnsi="Times New Roman" w:cs="Times New Roman"/>
                      <w:sz w:val="24"/>
                    </w:rPr>
                    <w:t>-225</w:t>
                  </w:r>
                </w:p>
              </w:tc>
              <w:tc>
                <w:tcPr>
                  <w:tcW w:w="649" w:type="pct"/>
                  <w:tcBorders>
                    <w:top w:val="nil"/>
                    <w:left w:val="nil"/>
                    <w:bottom w:val="single" w:sz="13" w:space="0" w:color="000000"/>
                    <w:right w:val="nil"/>
                  </w:tcBorders>
                  <w:shd w:val="clear" w:color="auto" w:fill="auto"/>
                </w:tcPr>
                <w:p w14:paraId="46773B2F" w14:textId="77777777" w:rsidR="00994F93" w:rsidRPr="00B03B51" w:rsidRDefault="00994F93" w:rsidP="009C7585">
                  <w:pPr>
                    <w:jc w:val="right"/>
                    <w:rPr>
                      <w:rFonts w:ascii="Times New Roman" w:hAnsi="Times New Roman" w:cs="Times New Roman"/>
                      <w:noProof/>
                      <w:sz w:val="24"/>
                    </w:rPr>
                  </w:pPr>
                </w:p>
              </w:tc>
              <w:tc>
                <w:tcPr>
                  <w:tcW w:w="385" w:type="pct"/>
                  <w:tcBorders>
                    <w:top w:val="nil"/>
                    <w:left w:val="nil"/>
                    <w:bottom w:val="single" w:sz="13" w:space="0" w:color="000000"/>
                    <w:right w:val="nil"/>
                  </w:tcBorders>
                  <w:shd w:val="clear" w:color="auto" w:fill="auto"/>
                </w:tcPr>
                <w:p w14:paraId="67264EF7" w14:textId="77777777" w:rsidR="00994F93" w:rsidRPr="00B03B51" w:rsidRDefault="00994F93" w:rsidP="009C7585">
                  <w:pPr>
                    <w:pStyle w:val="TableParagraph"/>
                    <w:jc w:val="right"/>
                    <w:rPr>
                      <w:rFonts w:ascii="Times New Roman" w:hAnsi="Times New Roman" w:cs="Times New Roman"/>
                      <w:noProof/>
                      <w:sz w:val="24"/>
                    </w:rPr>
                  </w:pPr>
                  <w:r w:rsidRPr="00B03B51">
                    <w:rPr>
                      <w:rFonts w:ascii="Times New Roman" w:hAnsi="Times New Roman" w:cs="Times New Roman"/>
                      <w:sz w:val="24"/>
                    </w:rPr>
                    <w:t>1403</w:t>
                  </w:r>
                </w:p>
              </w:tc>
            </w:tr>
            <w:tr w:rsidR="00994F93" w:rsidRPr="00B03B51" w14:paraId="5E59BBEE" w14:textId="77777777" w:rsidTr="001C4B02">
              <w:tc>
                <w:tcPr>
                  <w:tcW w:w="878" w:type="pct"/>
                  <w:tcBorders>
                    <w:top w:val="single" w:sz="13" w:space="0" w:color="000000"/>
                    <w:left w:val="nil"/>
                    <w:bottom w:val="single" w:sz="13" w:space="0" w:color="000000"/>
                    <w:right w:val="nil"/>
                  </w:tcBorders>
                  <w:shd w:val="clear" w:color="auto" w:fill="auto"/>
                </w:tcPr>
                <w:p w14:paraId="5E4EE4D1" w14:textId="77777777" w:rsidR="00994F93" w:rsidRPr="00B03B51" w:rsidRDefault="00994F93" w:rsidP="001C4B02">
                  <w:pPr>
                    <w:pStyle w:val="TableParagraph"/>
                    <w:jc w:val="both"/>
                    <w:rPr>
                      <w:rFonts w:ascii="Times New Roman" w:hAnsi="Times New Roman" w:cs="Times New Roman"/>
                      <w:noProof/>
                      <w:sz w:val="24"/>
                    </w:rPr>
                  </w:pPr>
                  <w:r w:rsidRPr="00B03B51">
                    <w:rPr>
                      <w:rFonts w:ascii="Times New Roman" w:hAnsi="Times New Roman" w:cs="Times New Roman"/>
                      <w:sz w:val="24"/>
                    </w:rPr>
                    <w:t>1.–5. gads</w:t>
                  </w:r>
                </w:p>
              </w:tc>
              <w:tc>
                <w:tcPr>
                  <w:tcW w:w="1521" w:type="pct"/>
                  <w:tcBorders>
                    <w:top w:val="single" w:sz="13" w:space="0" w:color="000000"/>
                    <w:left w:val="nil"/>
                    <w:bottom w:val="single" w:sz="13" w:space="0" w:color="000000"/>
                    <w:right w:val="nil"/>
                  </w:tcBorders>
                  <w:shd w:val="clear" w:color="auto" w:fill="auto"/>
                </w:tcPr>
                <w:p w14:paraId="13AD01CA" w14:textId="77777777" w:rsidR="00994F93" w:rsidRPr="00B03B51" w:rsidRDefault="00994F93" w:rsidP="001C4B02">
                  <w:pPr>
                    <w:jc w:val="both"/>
                    <w:rPr>
                      <w:rFonts w:ascii="Times New Roman" w:hAnsi="Times New Roman" w:cs="Times New Roman"/>
                      <w:noProof/>
                      <w:sz w:val="24"/>
                    </w:rPr>
                  </w:pPr>
                </w:p>
              </w:tc>
              <w:tc>
                <w:tcPr>
                  <w:tcW w:w="596" w:type="pct"/>
                  <w:tcBorders>
                    <w:top w:val="single" w:sz="13" w:space="0" w:color="000000"/>
                    <w:left w:val="nil"/>
                    <w:bottom w:val="single" w:sz="13" w:space="0" w:color="000000"/>
                    <w:right w:val="nil"/>
                  </w:tcBorders>
                  <w:shd w:val="clear" w:color="auto" w:fill="auto"/>
                </w:tcPr>
                <w:p w14:paraId="6F2A7061" w14:textId="77777777" w:rsidR="00994F93" w:rsidRPr="00B03B51" w:rsidRDefault="00994F93" w:rsidP="009C7585">
                  <w:pPr>
                    <w:pStyle w:val="TableParagraph"/>
                    <w:jc w:val="right"/>
                    <w:rPr>
                      <w:rFonts w:ascii="Times New Roman" w:hAnsi="Times New Roman" w:cs="Times New Roman"/>
                      <w:noProof/>
                      <w:sz w:val="24"/>
                    </w:rPr>
                  </w:pPr>
                  <w:r w:rsidRPr="00B03B51">
                    <w:rPr>
                      <w:rFonts w:ascii="Times New Roman" w:hAnsi="Times New Roman" w:cs="Times New Roman"/>
                      <w:sz w:val="24"/>
                    </w:rPr>
                    <w:t>469</w:t>
                  </w:r>
                </w:p>
              </w:tc>
              <w:tc>
                <w:tcPr>
                  <w:tcW w:w="971" w:type="pct"/>
                  <w:tcBorders>
                    <w:top w:val="single" w:sz="13" w:space="0" w:color="000000"/>
                    <w:left w:val="nil"/>
                    <w:bottom w:val="single" w:sz="13" w:space="0" w:color="000000"/>
                    <w:right w:val="nil"/>
                  </w:tcBorders>
                  <w:shd w:val="clear" w:color="auto" w:fill="auto"/>
                </w:tcPr>
                <w:p w14:paraId="4A263CD0" w14:textId="77777777" w:rsidR="00994F93" w:rsidRPr="00B03B51" w:rsidRDefault="00994F93" w:rsidP="009C7585">
                  <w:pPr>
                    <w:pStyle w:val="TableParagraph"/>
                    <w:jc w:val="right"/>
                    <w:rPr>
                      <w:rFonts w:ascii="Times New Roman" w:hAnsi="Times New Roman" w:cs="Times New Roman"/>
                      <w:noProof/>
                      <w:sz w:val="24"/>
                    </w:rPr>
                  </w:pPr>
                  <w:r w:rsidRPr="00B03B51">
                    <w:rPr>
                      <w:rFonts w:ascii="Times New Roman" w:hAnsi="Times New Roman" w:cs="Times New Roman"/>
                      <w:sz w:val="24"/>
                    </w:rPr>
                    <w:t>-66</w:t>
                  </w:r>
                </w:p>
              </w:tc>
              <w:tc>
                <w:tcPr>
                  <w:tcW w:w="649" w:type="pct"/>
                  <w:tcBorders>
                    <w:top w:val="single" w:sz="13" w:space="0" w:color="000000"/>
                    <w:left w:val="nil"/>
                    <w:bottom w:val="single" w:sz="13" w:space="0" w:color="000000"/>
                    <w:right w:val="nil"/>
                  </w:tcBorders>
                  <w:shd w:val="clear" w:color="auto" w:fill="auto"/>
                </w:tcPr>
                <w:p w14:paraId="37F7CFE7" w14:textId="77777777" w:rsidR="00994F93" w:rsidRPr="00B03B51" w:rsidRDefault="00994F93" w:rsidP="001C4B02">
                  <w:pPr>
                    <w:jc w:val="both"/>
                    <w:rPr>
                      <w:rFonts w:ascii="Times New Roman" w:hAnsi="Times New Roman" w:cs="Times New Roman"/>
                      <w:noProof/>
                      <w:sz w:val="24"/>
                    </w:rPr>
                  </w:pPr>
                </w:p>
              </w:tc>
              <w:tc>
                <w:tcPr>
                  <w:tcW w:w="385" w:type="pct"/>
                  <w:tcBorders>
                    <w:top w:val="single" w:sz="13" w:space="0" w:color="000000"/>
                    <w:left w:val="nil"/>
                    <w:bottom w:val="single" w:sz="13" w:space="0" w:color="000000"/>
                    <w:right w:val="nil"/>
                  </w:tcBorders>
                  <w:shd w:val="clear" w:color="auto" w:fill="auto"/>
                </w:tcPr>
                <w:p w14:paraId="38EFB0AD" w14:textId="77777777" w:rsidR="00994F93" w:rsidRPr="00B03B51" w:rsidRDefault="00994F93" w:rsidP="001C4B02">
                  <w:pPr>
                    <w:jc w:val="both"/>
                    <w:rPr>
                      <w:rFonts w:ascii="Times New Roman" w:hAnsi="Times New Roman" w:cs="Times New Roman"/>
                      <w:noProof/>
                      <w:sz w:val="24"/>
                    </w:rPr>
                  </w:pPr>
                </w:p>
              </w:tc>
            </w:tr>
          </w:tbl>
          <w:p w14:paraId="338B868F" w14:textId="77777777" w:rsidR="00994F93" w:rsidRPr="00B03B51" w:rsidRDefault="00994F93" w:rsidP="001C4B02">
            <w:pPr>
              <w:pStyle w:val="BodyText"/>
              <w:tabs>
                <w:tab w:val="left" w:pos="919"/>
              </w:tabs>
              <w:spacing w:before="0"/>
              <w:ind w:left="0" w:firstLine="0"/>
              <w:jc w:val="both"/>
              <w:rPr>
                <w:rFonts w:ascii="Times New Roman" w:hAnsi="Times New Roman" w:cs="Times New Roman"/>
                <w:noProof/>
                <w:sz w:val="24"/>
              </w:rPr>
            </w:pPr>
          </w:p>
          <w:p w14:paraId="0AB5E169" w14:textId="77777777" w:rsidR="00994F93" w:rsidRPr="00B03B51" w:rsidRDefault="00994F93" w:rsidP="001C4B02">
            <w:pPr>
              <w:pStyle w:val="BodyText"/>
              <w:tabs>
                <w:tab w:val="left" w:pos="919"/>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Piezīmes.</w:t>
            </w:r>
          </w:p>
          <w:p w14:paraId="7E953B3A" w14:textId="77777777" w:rsidR="00994F93" w:rsidRPr="00B03B51" w:rsidRDefault="00994F93" w:rsidP="001C4B02">
            <w:pPr>
              <w:pStyle w:val="BodyText"/>
              <w:tabs>
                <w:tab w:val="left" w:pos="919"/>
              </w:tabs>
              <w:spacing w:before="0"/>
              <w:ind w:left="0" w:firstLine="0"/>
              <w:jc w:val="both"/>
              <w:rPr>
                <w:rFonts w:ascii="Times New Roman" w:hAnsi="Times New Roman" w:cs="Times New Roman"/>
                <w:noProof/>
                <w:sz w:val="24"/>
              </w:rPr>
            </w:pPr>
          </w:p>
          <w:p w14:paraId="3E0E2837" w14:textId="77777777" w:rsidR="00994F93" w:rsidRPr="00B03B51" w:rsidRDefault="00994F93" w:rsidP="00994F93">
            <w:pPr>
              <w:pStyle w:val="BodyText"/>
              <w:numPr>
                <w:ilvl w:val="2"/>
                <w:numId w:val="20"/>
              </w:numPr>
              <w:spacing w:before="0"/>
              <w:ind w:left="709" w:hanging="425"/>
              <w:jc w:val="both"/>
              <w:rPr>
                <w:rFonts w:ascii="Times New Roman" w:hAnsi="Times New Roman" w:cs="Times New Roman"/>
                <w:noProof/>
                <w:sz w:val="24"/>
              </w:rPr>
            </w:pPr>
            <w:r w:rsidRPr="00B03B51">
              <w:rPr>
                <w:rFonts w:ascii="Times New Roman" w:hAnsi="Times New Roman" w:cs="Times New Roman"/>
                <w:sz w:val="24"/>
              </w:rPr>
              <w:t>Kopējais vērtības pieaugums piecu gadu periodā (t. i., 469 - 66 = 403) ir noteikts, pamatojoties uz indeksa vērtības maiņu (t. i., 40,3 procentu pieaugums).</w:t>
            </w:r>
          </w:p>
          <w:p w14:paraId="4029A178" w14:textId="77777777" w:rsidR="00994F93" w:rsidRPr="00B03B51" w:rsidRDefault="00994F93" w:rsidP="00994F93">
            <w:pPr>
              <w:pStyle w:val="BodyText"/>
              <w:numPr>
                <w:ilvl w:val="2"/>
                <w:numId w:val="20"/>
              </w:numPr>
              <w:spacing w:before="0"/>
              <w:ind w:left="709" w:hanging="425"/>
              <w:jc w:val="both"/>
              <w:rPr>
                <w:rFonts w:ascii="Times New Roman" w:hAnsi="Times New Roman" w:cs="Times New Roman"/>
                <w:noProof/>
                <w:sz w:val="24"/>
              </w:rPr>
            </w:pPr>
            <w:r w:rsidRPr="00B03B51">
              <w:rPr>
                <w:rFonts w:ascii="Times New Roman" w:hAnsi="Times New Roman" w:cs="Times New Roman"/>
                <w:sz w:val="24"/>
              </w:rPr>
              <w:t>Saskaņā ar debitora pieeju procentus katrā periodā fiksē saskaņā ar sākotnējo procentu likmi. 1. gadā procentu apmērs ir 80 (8 procenti no 1000), 2. gadā tie ir 86 (8 procenti no 1000 + 80), 3. gadā tie ir 93 (8 procenti no 1000 + 80 + 86) utt.</w:t>
            </w:r>
          </w:p>
          <w:p w14:paraId="18244A1E" w14:textId="77777777" w:rsidR="00994F93" w:rsidRPr="00B03B51" w:rsidRDefault="00994F93" w:rsidP="00994F93">
            <w:pPr>
              <w:pStyle w:val="BodyText"/>
              <w:numPr>
                <w:ilvl w:val="2"/>
                <w:numId w:val="20"/>
              </w:numPr>
              <w:spacing w:before="0"/>
              <w:ind w:left="709" w:hanging="425"/>
              <w:jc w:val="both"/>
              <w:rPr>
                <w:rFonts w:ascii="Times New Roman" w:hAnsi="Times New Roman" w:cs="Times New Roman"/>
                <w:noProof/>
                <w:sz w:val="24"/>
              </w:rPr>
            </w:pPr>
            <w:r w:rsidRPr="00B03B51">
              <w:rPr>
                <w:rFonts w:ascii="Times New Roman" w:hAnsi="Times New Roman" w:cs="Times New Roman"/>
                <w:sz w:val="24"/>
              </w:rPr>
              <w:t>Pārvērtēšana attiecībā uz visu obligācijas darbības laiku ir jāveic tāpēc, ka indeksa pieaugums atšķiras no saliktā pieauguma, kas varētu būt radies saskaņā ar procentu tirgus likmi. (Obligācijas darbības laikā pārvērtēšana notiek arī atsevišķos periodos tirgus apstākļu izmaiņu dēļ, piemēram, tādēļ, ka mainās tirgus procentu likmes, kredītvērtējums un prognozes par turpmāko indeksa attīstību.)</w:t>
            </w:r>
          </w:p>
          <w:p w14:paraId="433C2C5A" w14:textId="77777777" w:rsidR="00994F93" w:rsidRPr="00B03B51" w:rsidRDefault="00994F93" w:rsidP="00994F93">
            <w:pPr>
              <w:pStyle w:val="BodyText"/>
              <w:numPr>
                <w:ilvl w:val="2"/>
                <w:numId w:val="20"/>
              </w:numPr>
              <w:spacing w:before="0"/>
              <w:ind w:left="709" w:hanging="425"/>
              <w:jc w:val="both"/>
              <w:rPr>
                <w:rFonts w:ascii="Times New Roman" w:hAnsi="Times New Roman" w:cs="Times New Roman"/>
                <w:noProof/>
                <w:sz w:val="24"/>
              </w:rPr>
            </w:pPr>
            <w:r w:rsidRPr="00B03B51">
              <w:rPr>
                <w:rFonts w:ascii="Times New Roman" w:hAnsi="Times New Roman" w:cs="Times New Roman"/>
                <w:sz w:val="24"/>
              </w:rPr>
              <w:t>Tirgus procentu likmju vērtību maiņa izraisa izmaiņas obligācijas vērtībā, taču procentu aprēķins paliek neskarts.</w:t>
            </w:r>
          </w:p>
        </w:tc>
      </w:tr>
    </w:tbl>
    <w:p w14:paraId="66AFC942" w14:textId="77777777" w:rsidR="00994F93" w:rsidRPr="00B03B51" w:rsidRDefault="00994F93" w:rsidP="00994F93">
      <w:pPr>
        <w:jc w:val="both"/>
        <w:rPr>
          <w:rFonts w:ascii="Times New Roman" w:eastAsia="Arial" w:hAnsi="Times New Roman" w:cs="Times New Roman"/>
          <w:noProof/>
          <w:sz w:val="24"/>
          <w:szCs w:val="26"/>
        </w:rPr>
      </w:pPr>
    </w:p>
    <w:p w14:paraId="00C8E271" w14:textId="77777777" w:rsidR="00994F93" w:rsidRPr="00B03B51" w:rsidRDefault="00994F93" w:rsidP="00994F93">
      <w:pPr>
        <w:pStyle w:val="Heading6"/>
        <w:tabs>
          <w:tab w:val="left" w:pos="1411"/>
        </w:tabs>
        <w:ind w:left="0" w:firstLine="0"/>
        <w:jc w:val="both"/>
        <w:rPr>
          <w:rFonts w:ascii="Times New Roman" w:hAnsi="Times New Roman" w:cs="Times New Roman"/>
          <w:noProof/>
          <w:sz w:val="24"/>
        </w:rPr>
      </w:pPr>
      <w:bookmarkStart w:id="141" w:name="2.4.3.12_Short-term_negotiable_instrumen"/>
      <w:bookmarkEnd w:id="141"/>
      <w:r w:rsidRPr="00B03B51">
        <w:rPr>
          <w:rFonts w:ascii="Times New Roman" w:hAnsi="Times New Roman" w:cs="Times New Roman"/>
          <w:sz w:val="24"/>
        </w:rPr>
        <w:t>2.4.3.12. ĪSTERMIŅA APGROZĀMIE INSTRUMENTI</w:t>
      </w:r>
    </w:p>
    <w:p w14:paraId="35A3A706"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624B5DD5"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46. EKS 2010 5.1. pielikumā “Finanšu darījumu klasifikācija” 5.A1.14. punktā ir precīzi noteikts, ka par īsu atmaksāšanas termiņu ir uzskatāms termiņš, kas nav ilgāks par vienu gadu. Atmaksāšanas termiņš šajā gadījumā ir instrumenta termiņš vai paziņojuma periods, kad var veikt instrumentu atmaksāšanu pēc kreditora pieprasījuma. Lielākā daļa centrālo valdību emitē valsts kases parādzīmes uz šādu termiņu. Kā norādīts iepriekš, šie instrumenti ir izdoti ar diskontu (vai prēmiju), kas tiek traktēts kā instrumenta darbības laikā uzkrātie procenti. Kopumā kopējā summa, ko valdība emitējusi ar šiem īstermiņa instrumentiem, var ievērojami atšķirties gadu no gada tirgus apstākļu nepastāvības dēļ. Līdz ar to valdības īstermiņa finanšu statistikā ir svarīgi spēt pareizi iekļaut uzkrātos procentus attiecīgajā fiskālajā gadā vai ceturksnī.</w:t>
      </w:r>
    </w:p>
    <w:p w14:paraId="005B92B8" w14:textId="77777777" w:rsidR="00994F93" w:rsidRPr="00B03B51" w:rsidRDefault="00994F93" w:rsidP="00994F93">
      <w:pPr>
        <w:jc w:val="both"/>
        <w:rPr>
          <w:rFonts w:ascii="Times New Roman" w:eastAsia="Arial" w:hAnsi="Times New Roman" w:cs="Times New Roman"/>
          <w:noProof/>
          <w:sz w:val="24"/>
          <w:szCs w:val="15"/>
        </w:rPr>
      </w:pPr>
    </w:p>
    <w:p w14:paraId="54184441" w14:textId="77777777" w:rsidR="00994F93" w:rsidRPr="00B03B51" w:rsidRDefault="00994F93" w:rsidP="00994F93">
      <w:pPr>
        <w:pStyle w:val="Heading6"/>
        <w:tabs>
          <w:tab w:val="left" w:pos="1411"/>
          <w:tab w:val="left" w:pos="3228"/>
          <w:tab w:val="left" w:pos="4024"/>
          <w:tab w:val="left" w:pos="5210"/>
          <w:tab w:val="left" w:pos="6534"/>
          <w:tab w:val="left" w:pos="7237"/>
          <w:tab w:val="left" w:pos="9060"/>
        </w:tabs>
        <w:ind w:left="0" w:firstLine="0"/>
        <w:jc w:val="both"/>
        <w:rPr>
          <w:rFonts w:ascii="Times New Roman" w:hAnsi="Times New Roman" w:cs="Times New Roman"/>
          <w:noProof/>
          <w:sz w:val="24"/>
        </w:rPr>
      </w:pPr>
      <w:bookmarkStart w:id="142" w:name="2.4.3.13_Instruments_with_step-up_intere"/>
      <w:bookmarkEnd w:id="142"/>
      <w:r w:rsidRPr="00B03B51">
        <w:rPr>
          <w:rFonts w:ascii="Times New Roman" w:hAnsi="Times New Roman" w:cs="Times New Roman"/>
          <w:sz w:val="24"/>
        </w:rPr>
        <w:t>2.4.3.13. INSTRUMENTI AR PIEAUGOŠU PROCENTU LIKMI UN INSTRUMENTI AR ATVIEGLOJUMU PERIODU</w:t>
      </w:r>
    </w:p>
    <w:p w14:paraId="41FF6049" w14:textId="77777777" w:rsidR="00994F93" w:rsidRPr="00B03B51" w:rsidRDefault="00994F93" w:rsidP="00994F93">
      <w:pPr>
        <w:pStyle w:val="BodyText"/>
        <w:spacing w:before="0"/>
        <w:ind w:left="0" w:firstLine="0"/>
        <w:jc w:val="both"/>
        <w:rPr>
          <w:rFonts w:ascii="Times New Roman" w:hAnsi="Times New Roman" w:cs="Times New Roman"/>
          <w:noProof/>
          <w:sz w:val="24"/>
        </w:rPr>
      </w:pPr>
    </w:p>
    <w:p w14:paraId="7D1D9D3E" w14:textId="77777777" w:rsidR="00994F93" w:rsidRPr="00B03B51" w:rsidRDefault="00994F93" w:rsidP="00994F93">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t xml:space="preserve">47. Īpaša kārtība paredzēta attiecībā uz instrumentiem ar “pieaugošu procentu likmi”'. Valdība var turēt vai emitēt vērtspapīrus vai citus parāda vērtspapīrus, kad kupons vai līgumsaistībās noteikts procentu maksājumu profils (regulāri maksājumi noteiktos datumos) apliecina “pieauguma” (vai otrādi – “samazinājuma”) profilu, pamatojoties uz nemainīgu procentu likmju sēriju, kas noteikta sākumā attiecībā uz secīgiem periodiem (piemēram, </w:t>
      </w:r>
      <w:r w:rsidRPr="00B03B51">
        <w:rPr>
          <w:rFonts w:ascii="Times New Roman" w:hAnsi="Times New Roman" w:cs="Times New Roman"/>
          <w:i/>
          <w:iCs/>
          <w:sz w:val="24"/>
        </w:rPr>
        <w:t>x</w:t>
      </w:r>
      <w:r w:rsidRPr="00B03B51">
        <w:rPr>
          <w:rFonts w:ascii="Times New Roman" w:hAnsi="Times New Roman" w:cs="Times New Roman"/>
          <w:sz w:val="24"/>
        </w:rPr>
        <w:t xml:space="preserve"> % 1.–4. gadā, </w:t>
      </w:r>
      <w:r w:rsidRPr="00B03B51">
        <w:rPr>
          <w:rFonts w:ascii="Times New Roman" w:hAnsi="Times New Roman" w:cs="Times New Roman"/>
          <w:i/>
          <w:iCs/>
          <w:sz w:val="24"/>
        </w:rPr>
        <w:t>x</w:t>
      </w:r>
      <w:r w:rsidRPr="00B03B51">
        <w:rPr>
          <w:rFonts w:ascii="Times New Roman" w:hAnsi="Times New Roman" w:cs="Times New Roman"/>
          <w:sz w:val="24"/>
        </w:rPr>
        <w:t>+1 % 5.–8. gadā u. tml.). Turklāt šādus instrumentus var emitēt ar diskontu, kas tiek uzskatīts par procentiem, kuri sadalīti pa visu instrumenta darbības laiku (skat. EKS 2010 4.46. punktu un iepriekš 2.4.3.6. apakšiedaļu “Instrumenti, kas emitēti ar diskontu”).</w:t>
      </w:r>
    </w:p>
    <w:p w14:paraId="742653B9"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7D66D850"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lastRenderedPageBreak/>
        <w:t xml:space="preserve">48. Kā minēts EKS 2010 20.180. punktā, kā arī </w:t>
      </w:r>
      <w:r w:rsidRPr="00B03B51">
        <w:rPr>
          <w:rFonts w:ascii="Times New Roman" w:hAnsi="Times New Roman" w:cs="Times New Roman"/>
          <w:i/>
          <w:iCs/>
          <w:sz w:val="24"/>
        </w:rPr>
        <w:t>MGDD</w:t>
      </w:r>
      <w:r w:rsidRPr="00B03B51">
        <w:rPr>
          <w:rFonts w:ascii="Times New Roman" w:hAnsi="Times New Roman" w:cs="Times New Roman"/>
          <w:sz w:val="24"/>
        </w:rPr>
        <w:t xml:space="preserve"> 2.4.3.2. apakšiedaļā “Debitora pieeja”, uzkrātos procentus EKS 2010 nosaka saskaņā ar debitora pieeju, pamatojoties uz “aizņemšanās izmaksām”, kas konstatētas laikā, kad izveidots instruments. Līdz ar to procenti jāuzkrāj, izmantojot novērojamo tirgus likmi (ienesīgums līdz termiņa beigām) vai līgumā noteikto iekšējo peļņas normu instrumenta darbības laika sākumā. Konkrētajā periodā faktiski nesamaksātos procentus tomēr uzkrāj un uzskata, ka tie ir atkārtoti ieguldīti instrumentā. Tādējādi instrumentam ir tā pati procentu likme (skat. iepriekš 2.4.3.3. un 2.4.3.4. apakšiedaļu) neatkarīgi no tā, kurā brīdī kuponi tiek faktiski izmaksāti (skat. 2. ierāmējumu “Pieaugums un atvieglojumu periods”).</w:t>
      </w:r>
    </w:p>
    <w:p w14:paraId="6D857BDB"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34ED7812"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49. Dažos finanšu instrumentos var būt iekļauts procentu atvieglojumu periods parasti attiecībā uz pirmajiem gadiem, kuru laikā debitoram nav jāmaksā kreditoram(-iem) procenti. Šādi instrumenti parasti ir valdības finanšu aktīvi, piemēram, aizdevumi, taču ES ir novēroti arī gadījumi (lai arī ne bieži), kad šādu atvieglojumu periodu piemēro attiecībā uz valdības saistībām. Šis gadījums ir minēts EKS 2010 20.241. punktā, taču procentu ierakstīšana tajā nav norādīta.</w:t>
      </w:r>
    </w:p>
    <w:p w14:paraId="15241997"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24F68189"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50. Debitora pieeja principā nozīmē to, ka procenti gan par aktīviem, gan saistībām jāuzkrāj visā instrumenta darbības laikā, tostarp atvieglojumu periodā, pamatojoties uz attiecīgo tirgus likmi, kas novērota sākumā (ienesīgums līdz termiņa beigām), vai līgumā noteikto likmi, kas pieejama sākumā (skat. 2. ierāmējumu “Pieaugums un atvieglojumu periods”).</w:t>
      </w:r>
    </w:p>
    <w:p w14:paraId="1FD429C8"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29539C4C"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51. Tādējādi atvieglojuma periods tiek pieņemts kā vienkāršs un konkrēts “pieaugošas procentu likmes” parāda instrumenta gadījums, kurā pirmo izmaksāto kuponu vērtība vienāda ar nulli.</w:t>
      </w:r>
    </w:p>
    <w:p w14:paraId="079FE3C2"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1BF13C48"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52. Tomēr izņēmuma kārtā atvieglojumu periodā procenti nav jāuzkrāj, ja tiek precīzi un kopīgi izpildīti abi turpmāk minētie nosacījumi:</w:t>
      </w:r>
    </w:p>
    <w:p w14:paraId="10A24F7B" w14:textId="77777777" w:rsidR="00994F93" w:rsidRPr="00B03B51" w:rsidRDefault="00994F93" w:rsidP="00994F93">
      <w:pPr>
        <w:pStyle w:val="BodyText"/>
        <w:tabs>
          <w:tab w:val="left" w:pos="1126"/>
        </w:tabs>
        <w:spacing w:before="0"/>
        <w:ind w:left="0" w:firstLine="0"/>
        <w:jc w:val="both"/>
        <w:rPr>
          <w:rFonts w:ascii="Times New Roman" w:hAnsi="Times New Roman" w:cs="Times New Roman"/>
          <w:noProof/>
          <w:sz w:val="24"/>
        </w:rPr>
      </w:pPr>
    </w:p>
    <w:p w14:paraId="3DCFD370" w14:textId="77777777" w:rsidR="00994F93" w:rsidRPr="00B03B51" w:rsidRDefault="00994F93" w:rsidP="00994F93">
      <w:pPr>
        <w:pStyle w:val="BodyText"/>
        <w:tabs>
          <w:tab w:val="left" w:pos="1126"/>
        </w:tabs>
        <w:spacing w:before="0"/>
        <w:ind w:left="284" w:firstLine="0"/>
        <w:jc w:val="both"/>
        <w:rPr>
          <w:rFonts w:ascii="Times New Roman" w:hAnsi="Times New Roman" w:cs="Times New Roman"/>
          <w:noProof/>
          <w:sz w:val="24"/>
        </w:rPr>
      </w:pPr>
      <w:r w:rsidRPr="00B03B51">
        <w:rPr>
          <w:rFonts w:ascii="Times New Roman" w:hAnsi="Times New Roman" w:cs="Times New Roman"/>
          <w:sz w:val="24"/>
        </w:rPr>
        <w:t>a) atvieglojumu periodā emitentam/debitoram ir tiesības izpirkt instrumenta pamatsummu (iespējams, tostarp arī proporcionālu diskontu maksājumu). Saistībā ar šo pirmstermiņa izpirkšanu nav jāparedz nekādi citi papildmaksājumi, izņemot parastās paredzētās izpirkšanas maksas vai soda naudas, kas ir uzskatāmas par atlīdzības veidu (skat. 2.4.3.16. apakšiedaļu);</w:t>
      </w:r>
    </w:p>
    <w:p w14:paraId="68EF3A8A" w14:textId="77777777" w:rsidR="00994F93" w:rsidRPr="00B03B51" w:rsidRDefault="00994F93" w:rsidP="00994F93">
      <w:pPr>
        <w:pStyle w:val="BodyText"/>
        <w:tabs>
          <w:tab w:val="left" w:pos="1126"/>
        </w:tabs>
        <w:spacing w:before="0"/>
        <w:ind w:left="284" w:firstLine="0"/>
        <w:jc w:val="both"/>
        <w:rPr>
          <w:rFonts w:ascii="Times New Roman" w:hAnsi="Times New Roman" w:cs="Times New Roman"/>
          <w:noProof/>
          <w:sz w:val="24"/>
        </w:rPr>
      </w:pPr>
    </w:p>
    <w:p w14:paraId="3CA5AB95" w14:textId="77777777" w:rsidR="00994F93" w:rsidRPr="00B03B51" w:rsidRDefault="00994F93" w:rsidP="00994F93">
      <w:pPr>
        <w:pStyle w:val="BodyText"/>
        <w:tabs>
          <w:tab w:val="left" w:pos="1126"/>
        </w:tabs>
        <w:spacing w:before="0"/>
        <w:ind w:left="284" w:firstLine="0"/>
        <w:jc w:val="both"/>
        <w:rPr>
          <w:rFonts w:ascii="Times New Roman" w:hAnsi="Times New Roman" w:cs="Times New Roman"/>
          <w:noProof/>
          <w:sz w:val="24"/>
        </w:rPr>
      </w:pPr>
      <w:r w:rsidRPr="00B03B51">
        <w:rPr>
          <w:rFonts w:ascii="Times New Roman" w:hAnsi="Times New Roman" w:cs="Times New Roman"/>
          <w:sz w:val="24"/>
        </w:rPr>
        <w:t>b) pēc atvieglojumu perioda debitors nekompensē procentu maksājumu neveikšanu atvieglojumu perioda laikā. Šāda kompensācija var būt regulāro procentu maksājumu palielināšana par iepriekš neizmaksātajām summām vai augstākas kupona likmes piemērošana salīdzinājumā ar līdzīgiem instrumentiem, attiecībā uz kuriem tajā pašā laikā netika piemērots atvieglojumu periods.</w:t>
      </w:r>
    </w:p>
    <w:p w14:paraId="3AB438BD" w14:textId="77777777" w:rsidR="00994F93" w:rsidRPr="00B03B51" w:rsidRDefault="00994F93" w:rsidP="00994F93">
      <w:pPr>
        <w:jc w:val="both"/>
        <w:rPr>
          <w:rFonts w:ascii="Times New Roman" w:eastAsia="Arial" w:hAnsi="Times New Roman" w:cs="Times New Roman"/>
          <w:noProof/>
          <w:sz w:val="24"/>
          <w:szCs w:val="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892"/>
        <w:gridCol w:w="1111"/>
        <w:gridCol w:w="1645"/>
        <w:gridCol w:w="1118"/>
        <w:gridCol w:w="4295"/>
      </w:tblGrid>
      <w:tr w:rsidR="00994F93" w:rsidRPr="00B03B51" w14:paraId="5D42D4DF" w14:textId="77777777" w:rsidTr="009C7585">
        <w:tc>
          <w:tcPr>
            <w:tcW w:w="5000" w:type="pct"/>
            <w:gridSpan w:val="5"/>
            <w:tcBorders>
              <w:bottom w:val="nil"/>
            </w:tcBorders>
            <w:shd w:val="clear" w:color="auto" w:fill="auto"/>
          </w:tcPr>
          <w:p w14:paraId="2EF17AAF" w14:textId="77777777" w:rsidR="00994F93" w:rsidRPr="00B03B51" w:rsidRDefault="00994F93" w:rsidP="001C4B02">
            <w:pPr>
              <w:jc w:val="both"/>
              <w:rPr>
                <w:rFonts w:ascii="Times New Roman" w:eastAsia="Arial" w:hAnsi="Times New Roman" w:cs="Times New Roman"/>
                <w:noProof/>
                <w:sz w:val="24"/>
                <w:szCs w:val="24"/>
              </w:rPr>
            </w:pPr>
            <w:r w:rsidRPr="00B03B51">
              <w:rPr>
                <w:rFonts w:ascii="Times New Roman" w:hAnsi="Times New Roman" w:cs="Times New Roman"/>
                <w:b/>
                <w:bCs/>
                <w:sz w:val="24"/>
                <w:szCs w:val="24"/>
              </w:rPr>
              <w:t>2. ierāmējums. Pieaugums un atvieglojumu periods</w:t>
            </w:r>
          </w:p>
          <w:p w14:paraId="00FC651E" w14:textId="77777777" w:rsidR="00994F93" w:rsidRPr="00B03B51" w:rsidRDefault="00994F93" w:rsidP="001C4B02">
            <w:pPr>
              <w:jc w:val="both"/>
              <w:rPr>
                <w:rFonts w:ascii="Times New Roman" w:hAnsi="Times New Roman" w:cs="Times New Roman"/>
                <w:noProof/>
                <w:sz w:val="24"/>
                <w:szCs w:val="24"/>
              </w:rPr>
            </w:pPr>
          </w:p>
          <w:p w14:paraId="6DBFE5B2" w14:textId="77777777" w:rsidR="00994F93" w:rsidRPr="00B03B51" w:rsidRDefault="00994F93" w:rsidP="001C4B02">
            <w:pPr>
              <w:jc w:val="both"/>
              <w:rPr>
                <w:rFonts w:ascii="Times New Roman" w:eastAsia="Arial" w:hAnsi="Times New Roman" w:cs="Times New Roman"/>
                <w:noProof/>
                <w:sz w:val="24"/>
                <w:szCs w:val="24"/>
              </w:rPr>
            </w:pPr>
            <w:r w:rsidRPr="00B03B51">
              <w:rPr>
                <w:rFonts w:ascii="Times New Roman" w:hAnsi="Times New Roman" w:cs="Times New Roman"/>
                <w:sz w:val="24"/>
                <w:szCs w:val="24"/>
              </w:rPr>
              <w:t>Šis piemērs vienlaikus ir attiecināms uz jautājumiem, kas apspriesti 50. un 51. rindkopā. Aizdevumu gadījums ir apspriests otrajā daļā.</w:t>
            </w:r>
          </w:p>
          <w:p w14:paraId="75DBC789" w14:textId="77777777" w:rsidR="00994F93" w:rsidRPr="00B03B51" w:rsidRDefault="00994F93" w:rsidP="001C4B02">
            <w:pPr>
              <w:jc w:val="both"/>
              <w:rPr>
                <w:rFonts w:ascii="Times New Roman" w:eastAsia="Arial" w:hAnsi="Times New Roman" w:cs="Times New Roman"/>
                <w:noProof/>
                <w:sz w:val="24"/>
                <w:szCs w:val="24"/>
              </w:rPr>
            </w:pPr>
          </w:p>
          <w:p w14:paraId="0B82D17A" w14:textId="77777777" w:rsidR="00994F93" w:rsidRPr="00B03B51" w:rsidRDefault="00994F93" w:rsidP="001C4B02">
            <w:pPr>
              <w:jc w:val="both"/>
              <w:rPr>
                <w:rFonts w:ascii="Times New Roman" w:eastAsia="Arial" w:hAnsi="Times New Roman" w:cs="Times New Roman"/>
                <w:noProof/>
                <w:sz w:val="24"/>
                <w:szCs w:val="24"/>
              </w:rPr>
            </w:pPr>
            <w:r w:rsidRPr="00B03B51">
              <w:rPr>
                <w:rFonts w:ascii="Times New Roman" w:hAnsi="Times New Roman" w:cs="Times New Roman"/>
                <w:sz w:val="24"/>
                <w:szCs w:val="24"/>
              </w:rPr>
              <w:t>Valdība 0. gada beigās ir emitējusi 15 gadu parāda vērtspapīru 100 naudas vienību vērtībā. Tam ir šāda kuponu shēma – pirmos piecus gadus ir atvieglojumu periods, kurā netiek veikti maksājumi, 6.–10. gadā 4 % un 11.–15. gadā 10 %. Pieņemsim, ka nav izpildīts neviens no 52. rindkopā minētajiem diviem nosacījumiem.</w:t>
            </w:r>
          </w:p>
          <w:p w14:paraId="34AAEECB" w14:textId="77777777" w:rsidR="00994F93" w:rsidRPr="00B03B51" w:rsidRDefault="00994F93" w:rsidP="001C4B02">
            <w:pPr>
              <w:jc w:val="both"/>
              <w:rPr>
                <w:rFonts w:ascii="Times New Roman" w:eastAsia="Arial" w:hAnsi="Times New Roman" w:cs="Times New Roman"/>
                <w:noProof/>
                <w:sz w:val="24"/>
                <w:szCs w:val="24"/>
              </w:rPr>
            </w:pPr>
          </w:p>
          <w:p w14:paraId="1C97A170" w14:textId="77777777" w:rsidR="00994F93" w:rsidRPr="00B03B51" w:rsidRDefault="00994F93" w:rsidP="001C4B02">
            <w:pPr>
              <w:jc w:val="both"/>
              <w:rPr>
                <w:rFonts w:ascii="Times New Roman" w:eastAsia="Arial" w:hAnsi="Times New Roman" w:cs="Times New Roman"/>
                <w:noProof/>
                <w:sz w:val="24"/>
                <w:szCs w:val="24"/>
              </w:rPr>
            </w:pPr>
            <w:r w:rsidRPr="00B03B51">
              <w:rPr>
                <w:rFonts w:ascii="Times New Roman" w:hAnsi="Times New Roman" w:cs="Times New Roman"/>
                <w:sz w:val="24"/>
                <w:szCs w:val="24"/>
              </w:rPr>
              <w:t xml:space="preserve">Emisijas brīdī tirgus procentu likme ir nedaudz virs 4 % (4,0165 %). Vienkāršības labad vērtība </w:t>
            </w:r>
            <w:r w:rsidRPr="00B03B51">
              <w:rPr>
                <w:rFonts w:ascii="Times New Roman" w:hAnsi="Times New Roman" w:cs="Times New Roman"/>
                <w:sz w:val="24"/>
                <w:szCs w:val="24"/>
              </w:rPr>
              <w:lastRenderedPageBreak/>
              <w:t>100 ir arī izpirkšanas vērtība (nav diskonta vai prēmijas) un paliek nemainīga visā 15 gadu periodā. Vienkāršības labad pieņemsim, ka tirgus svārstības notiek tikai attiecībā uz procentiem. Tādējādi obligācijas tirgus vērtība svārstās tikai attiecībā uz uzkrātajiem procentiem. Saskaņā ar “debitora pieeju” (skat. 2.4.3.2. apakšiedaļu) procentu uzkrāšanai visā vērtspapīra darbības laikā jāizmanto sākotnējā tirgus likme (kas atšķiras no “kupona likmes”).</w:t>
            </w:r>
          </w:p>
          <w:p w14:paraId="0019084E" w14:textId="77777777" w:rsidR="00994F93" w:rsidRPr="00B03B51" w:rsidRDefault="00994F93" w:rsidP="001C4B02">
            <w:pPr>
              <w:jc w:val="both"/>
              <w:rPr>
                <w:rFonts w:ascii="Times New Roman" w:hAnsi="Times New Roman" w:cs="Times New Roman"/>
                <w:noProof/>
                <w:sz w:val="24"/>
                <w:szCs w:val="24"/>
              </w:rPr>
            </w:pPr>
          </w:p>
          <w:p w14:paraId="5B6037CE" w14:textId="77777777" w:rsidR="00994F93" w:rsidRPr="00B03B51" w:rsidRDefault="00994F93" w:rsidP="001C4B02">
            <w:pPr>
              <w:jc w:val="both"/>
              <w:rPr>
                <w:rFonts w:ascii="Times New Roman" w:eastAsia="Arial" w:hAnsi="Times New Roman" w:cs="Times New Roman"/>
                <w:noProof/>
                <w:sz w:val="24"/>
                <w:szCs w:val="24"/>
              </w:rPr>
            </w:pPr>
            <w:r w:rsidRPr="00B03B51">
              <w:rPr>
                <w:rFonts w:ascii="Times New Roman" w:hAnsi="Times New Roman" w:cs="Times New Roman"/>
                <w:sz w:val="24"/>
                <w:szCs w:val="24"/>
              </w:rPr>
              <w:t>Tirgus vērtība (vai neto pašreizējā vērtība), kas jāieraksta valdības EKS bilancē, šajā vienkāršotajā piemērā ir vienāda ar emisijas vērtību, kurai pieskaitīti uzkrātie procenti (līdzīgi piemērotā kupona atkārtotai ieguldīšanai), taču nav izmaksāti katrā periodā, tirgus likmei nemainoties attiecībā uz līdzīgām obligācijām, ko emitējusi šī vienība.</w:t>
            </w:r>
          </w:p>
          <w:p w14:paraId="1549BEC5" w14:textId="77777777" w:rsidR="00994F93" w:rsidRPr="00B03B51" w:rsidRDefault="00994F93" w:rsidP="001C4B02">
            <w:pPr>
              <w:jc w:val="both"/>
              <w:rPr>
                <w:rFonts w:ascii="Times New Roman" w:hAnsi="Times New Roman" w:cs="Times New Roman"/>
                <w:noProof/>
                <w:sz w:val="24"/>
                <w:szCs w:val="24"/>
              </w:rPr>
            </w:pPr>
          </w:p>
          <w:p w14:paraId="49284004" w14:textId="77777777" w:rsidR="00994F93" w:rsidRPr="00B03B51" w:rsidRDefault="00994F93" w:rsidP="001C4B02">
            <w:pPr>
              <w:jc w:val="both"/>
              <w:rPr>
                <w:rFonts w:ascii="Times New Roman" w:eastAsia="Arial" w:hAnsi="Times New Roman" w:cs="Times New Roman"/>
                <w:noProof/>
                <w:sz w:val="24"/>
                <w:szCs w:val="24"/>
              </w:rPr>
            </w:pPr>
            <w:r w:rsidRPr="00B03B51">
              <w:rPr>
                <w:rFonts w:ascii="Times New Roman" w:hAnsi="Times New Roman" w:cs="Times New Roman"/>
                <w:sz w:val="24"/>
                <w:szCs w:val="24"/>
              </w:rPr>
              <w:t>Šajā gadījumā uzkrātie procenti, kas ierakstīti EKS katrā periodā, nav vienādi ar kupona maksājumiem. Kupona maksājumi ir finanšu darījumi ar pamatā esošo instrumentu, jo uzkrātos procentus ieraksta kā atkārtotu ieguldījumu instrumentā. Izmantotā procentu metode ir saliktie procenti, jo tas ir ilgtermiņa vērtspapīrs.</w:t>
            </w:r>
          </w:p>
          <w:p w14:paraId="282CB8FD" w14:textId="77777777" w:rsidR="00994F93" w:rsidRPr="00B03B51" w:rsidRDefault="00994F93" w:rsidP="001C4B02">
            <w:pPr>
              <w:jc w:val="both"/>
              <w:rPr>
                <w:rFonts w:ascii="Times New Roman" w:eastAsia="Arial" w:hAnsi="Times New Roman" w:cs="Times New Roman"/>
                <w:noProof/>
                <w:sz w:val="24"/>
                <w:szCs w:val="24"/>
              </w:rPr>
            </w:pPr>
          </w:p>
          <w:p w14:paraId="56C18C17" w14:textId="77777777" w:rsidR="00994F93" w:rsidRPr="00B03B51" w:rsidRDefault="00994F93" w:rsidP="001C4B02">
            <w:pPr>
              <w:jc w:val="both"/>
              <w:rPr>
                <w:rFonts w:ascii="Times New Roman" w:eastAsia="Arial" w:hAnsi="Times New Roman" w:cs="Times New Roman"/>
                <w:noProof/>
                <w:sz w:val="24"/>
                <w:szCs w:val="24"/>
              </w:rPr>
            </w:pPr>
            <w:r w:rsidRPr="00B03B51">
              <w:rPr>
                <w:rFonts w:ascii="Times New Roman" w:hAnsi="Times New Roman" w:cs="Times New Roman"/>
                <w:sz w:val="24"/>
                <w:szCs w:val="24"/>
              </w:rPr>
              <w:t xml:space="preserve">Turpmākajā tabulā AF.32 slejā (saistības) norādīta parāda vērtspapīru “tirgus vērtība” katra gada beigās, kas jāieraksta valdības EKS bilancē. </w:t>
            </w:r>
            <w:r w:rsidRPr="00B03B51">
              <w:rPr>
                <w:rFonts w:ascii="Times New Roman" w:hAnsi="Times New Roman" w:cs="Times New Roman"/>
                <w:sz w:val="24"/>
              </w:rPr>
              <w:t>Procenti (D.41) ir summa, kas valdībai ir jāmaksā parāda vērtspapīra turētājam uzskaites periodā, nesamazinot neatmaksāto pamatsummu. Šis ir vispārīgs princips, kas tiek piemērots attiecībā uz visiem finanšu instrumentiem.</w:t>
            </w:r>
          </w:p>
          <w:p w14:paraId="5A282173" w14:textId="77777777" w:rsidR="00994F93" w:rsidRPr="00B03B51" w:rsidRDefault="00994F93" w:rsidP="001C4B02">
            <w:pPr>
              <w:pStyle w:val="TableParagraph"/>
              <w:jc w:val="both"/>
              <w:rPr>
                <w:rFonts w:ascii="Times New Roman" w:hAnsi="Times New Roman" w:cs="Times New Roman"/>
                <w:noProof/>
                <w:sz w:val="24"/>
              </w:rPr>
            </w:pPr>
          </w:p>
          <w:p w14:paraId="50982379" w14:textId="77777777" w:rsidR="00994F93" w:rsidRPr="00B03B51" w:rsidRDefault="00994F93" w:rsidP="001C4B02">
            <w:pPr>
              <w:pStyle w:val="TableParagraph"/>
              <w:jc w:val="both"/>
              <w:rPr>
                <w:rFonts w:ascii="Times New Roman" w:hAnsi="Times New Roman" w:cs="Times New Roman"/>
                <w:noProof/>
                <w:sz w:val="24"/>
              </w:rPr>
            </w:pPr>
            <w:r w:rsidRPr="00B03B51">
              <w:rPr>
                <w:rFonts w:ascii="Times New Roman" w:hAnsi="Times New Roman" w:cs="Times New Roman"/>
                <w:sz w:val="24"/>
              </w:rPr>
              <w:t>Līdz ar to procentiem (D.41) attiecībā uz parāda vērtspapīriem (F.3) katrā uzskaites periodā ir divi komponenti (skat. EKS 2010 4.46. punkta b) apakšpunktu):</w:t>
            </w:r>
          </w:p>
          <w:p w14:paraId="7795CBF8" w14:textId="77777777" w:rsidR="00994F93" w:rsidRPr="00B03B51" w:rsidRDefault="00994F93" w:rsidP="001C4B02">
            <w:pPr>
              <w:pStyle w:val="TableParagraph"/>
              <w:jc w:val="both"/>
              <w:rPr>
                <w:rFonts w:ascii="Times New Roman" w:hAnsi="Times New Roman" w:cs="Times New Roman"/>
                <w:noProof/>
                <w:sz w:val="24"/>
              </w:rPr>
            </w:pPr>
          </w:p>
          <w:p w14:paraId="48BEE254" w14:textId="77777777" w:rsidR="00994F93" w:rsidRPr="00B03B51" w:rsidRDefault="00994F93" w:rsidP="00267CE5">
            <w:pPr>
              <w:pStyle w:val="ListParagraph"/>
              <w:numPr>
                <w:ilvl w:val="0"/>
                <w:numId w:val="74"/>
              </w:numPr>
              <w:ind w:left="709" w:hanging="425"/>
              <w:jc w:val="both"/>
              <w:rPr>
                <w:rFonts w:ascii="Times New Roman" w:hAnsi="Times New Roman" w:cs="Times New Roman"/>
                <w:noProof/>
                <w:sz w:val="24"/>
              </w:rPr>
            </w:pPr>
            <w:r w:rsidRPr="00B03B51">
              <w:rPr>
                <w:rFonts w:ascii="Times New Roman" w:hAnsi="Times New Roman" w:cs="Times New Roman"/>
                <w:sz w:val="24"/>
              </w:rPr>
              <w:t>procenti, kas valdībai jāmaksā no kupona maksājumiem attiecīgajā uzskaites periodā;</w:t>
            </w:r>
          </w:p>
          <w:p w14:paraId="5DFD8675" w14:textId="77777777" w:rsidR="00994F93" w:rsidRPr="00B03B51" w:rsidRDefault="00994F93" w:rsidP="00267CE5">
            <w:pPr>
              <w:pStyle w:val="ListParagraph"/>
              <w:numPr>
                <w:ilvl w:val="0"/>
                <w:numId w:val="74"/>
              </w:numPr>
              <w:ind w:left="709" w:hanging="425"/>
              <w:jc w:val="both"/>
              <w:rPr>
                <w:rFonts w:ascii="Times New Roman" w:hAnsi="Times New Roman" w:cs="Times New Roman"/>
                <w:noProof/>
                <w:sz w:val="24"/>
              </w:rPr>
            </w:pPr>
            <w:r w:rsidRPr="00B03B51">
              <w:rPr>
                <w:rFonts w:ascii="Times New Roman" w:hAnsi="Times New Roman" w:cs="Times New Roman"/>
                <w:sz w:val="24"/>
              </w:rPr>
              <w:t>procentu summa, kas uzkrājas attiecīgajā laika posmā un ir attiecināma uz starpību starp izpirkšanas cenu maksājuma termiņa beigās un emisijas cenu, ko aprēķina tāpat kā bezkupona obligācijām, proti, saskaņā ar debitora pieeju.</w:t>
            </w:r>
          </w:p>
          <w:p w14:paraId="621C1D74" w14:textId="77777777" w:rsidR="00994F93" w:rsidRPr="00B03B51" w:rsidRDefault="00994F93" w:rsidP="001C4B02">
            <w:pPr>
              <w:pStyle w:val="TableParagraph"/>
              <w:jc w:val="both"/>
              <w:rPr>
                <w:rFonts w:ascii="Times New Roman" w:hAnsi="Times New Roman" w:cs="Times New Roman"/>
                <w:noProof/>
                <w:sz w:val="24"/>
              </w:rPr>
            </w:pPr>
          </w:p>
          <w:p w14:paraId="6BA2DB02" w14:textId="77777777" w:rsidR="00994F93" w:rsidRPr="00B03B51" w:rsidRDefault="00994F93" w:rsidP="001C4B02">
            <w:pPr>
              <w:pStyle w:val="TableParagraph"/>
              <w:jc w:val="both"/>
              <w:rPr>
                <w:rFonts w:ascii="Times New Roman" w:hAnsi="Times New Roman" w:cs="Times New Roman"/>
                <w:noProof/>
                <w:sz w:val="24"/>
              </w:rPr>
            </w:pPr>
            <w:r w:rsidRPr="00B03B51">
              <w:rPr>
                <w:rFonts w:ascii="Times New Roman" w:hAnsi="Times New Roman" w:cs="Times New Roman"/>
                <w:sz w:val="24"/>
              </w:rPr>
              <w:t>Šajā saistībā katrā periodā uzkrātie procenti (D.41, maksājamie) ir vienādi ar izmaksātā kupona summu, kurai pieskaitīta parāda vērtspapīra tirgus vērtības maiņa tajā pašā laika posmā.</w:t>
            </w:r>
          </w:p>
          <w:p w14:paraId="61B8BCD5" w14:textId="77777777" w:rsidR="00994F93" w:rsidRPr="00B03B51" w:rsidRDefault="00994F93" w:rsidP="001C4B02">
            <w:pPr>
              <w:pStyle w:val="TableParagraph"/>
              <w:jc w:val="both"/>
              <w:rPr>
                <w:rFonts w:ascii="Times New Roman" w:hAnsi="Times New Roman" w:cs="Times New Roman"/>
                <w:b/>
                <w:noProof/>
                <w:sz w:val="24"/>
              </w:rPr>
            </w:pPr>
          </w:p>
          <w:p w14:paraId="073120CF" w14:textId="77777777" w:rsidR="00994F93" w:rsidRPr="00B03B51" w:rsidRDefault="00994F93" w:rsidP="001C4B02">
            <w:pPr>
              <w:pStyle w:val="TableParagraph"/>
              <w:jc w:val="both"/>
              <w:rPr>
                <w:rFonts w:ascii="Times New Roman" w:hAnsi="Times New Roman" w:cs="Times New Roman"/>
                <w:b/>
                <w:noProof/>
                <w:sz w:val="24"/>
              </w:rPr>
            </w:pPr>
            <w:r w:rsidRPr="00B03B51">
              <w:rPr>
                <w:rFonts w:ascii="Times New Roman" w:hAnsi="Times New Roman" w:cs="Times New Roman"/>
                <w:b/>
                <w:sz w:val="24"/>
              </w:rPr>
              <w:t>Atvieglojumu perioda/pieaugošas procentu likmes piemērs attiecībā uz vērtspapīru</w:t>
            </w:r>
          </w:p>
          <w:p w14:paraId="02C4481F" w14:textId="77777777" w:rsidR="00994F93" w:rsidRPr="00B03B51" w:rsidRDefault="00994F93" w:rsidP="001C4B02">
            <w:pPr>
              <w:pStyle w:val="TableParagraph"/>
              <w:jc w:val="both"/>
              <w:rPr>
                <w:rFonts w:ascii="Times New Roman" w:hAnsi="Times New Roman" w:cs="Times New Roman"/>
                <w:noProof/>
                <w:sz w:val="24"/>
              </w:rPr>
            </w:pPr>
          </w:p>
          <w:p w14:paraId="3F0F731A" w14:textId="77777777" w:rsidR="00994F93" w:rsidRPr="00B03B51" w:rsidRDefault="00994F93" w:rsidP="001C4B02">
            <w:pPr>
              <w:pStyle w:val="TableParagraph"/>
              <w:jc w:val="both"/>
              <w:rPr>
                <w:rFonts w:ascii="Times New Roman" w:hAnsi="Times New Roman" w:cs="Times New Roman"/>
                <w:noProof/>
                <w:sz w:val="24"/>
              </w:rPr>
            </w:pPr>
            <w:r w:rsidRPr="00B03B51">
              <w:rPr>
                <w:rFonts w:ascii="Times New Roman" w:hAnsi="Times New Roman" w:cs="Times New Roman"/>
                <w:sz w:val="24"/>
              </w:rPr>
              <w:t>Pamatsumma: 100 (emisijas un izpirkšanas vērtība).</w:t>
            </w:r>
          </w:p>
          <w:p w14:paraId="4EBF7BDF" w14:textId="77777777" w:rsidR="00994F93" w:rsidRPr="00B03B51" w:rsidRDefault="00994F93" w:rsidP="001C4B02">
            <w:pPr>
              <w:pStyle w:val="TableParagraph"/>
              <w:jc w:val="both"/>
              <w:rPr>
                <w:rFonts w:ascii="Times New Roman" w:hAnsi="Times New Roman" w:cs="Times New Roman"/>
                <w:noProof/>
                <w:sz w:val="24"/>
              </w:rPr>
            </w:pPr>
          </w:p>
          <w:p w14:paraId="22FFF92C" w14:textId="77777777" w:rsidR="00994F93" w:rsidRPr="00B03B51" w:rsidRDefault="00994F93" w:rsidP="001C4B02">
            <w:pPr>
              <w:pStyle w:val="TableParagraph"/>
              <w:jc w:val="both"/>
              <w:rPr>
                <w:rFonts w:ascii="Times New Roman" w:eastAsia="Arial" w:hAnsi="Times New Roman" w:cs="Times New Roman"/>
                <w:noProof/>
                <w:sz w:val="24"/>
                <w:szCs w:val="19"/>
              </w:rPr>
            </w:pPr>
            <w:r w:rsidRPr="00B03B51">
              <w:rPr>
                <w:rFonts w:ascii="Times New Roman" w:hAnsi="Times New Roman" w:cs="Times New Roman"/>
                <w:sz w:val="24"/>
                <w:szCs w:val="19"/>
              </w:rPr>
              <w:t>Sākotnējā tirgus procentu likme: 4,0165 % (nemainās visā periodā)</w:t>
            </w:r>
            <w:r w:rsidRPr="00B03B51">
              <w:rPr>
                <w:rFonts w:ascii="Times New Roman" w:hAnsi="Times New Roman" w:cs="Times New Roman"/>
                <w:sz w:val="24"/>
                <w:szCs w:val="19"/>
              </w:rPr>
              <w:br/>
              <w:t>Kuponi: 1.–5. gadā 0 %; 6.–10. gadā 4 %; 11.–15. gadā 10 %.</w:t>
            </w:r>
          </w:p>
          <w:p w14:paraId="5106DAAF" w14:textId="77777777" w:rsidR="00994F93" w:rsidRPr="00B03B51" w:rsidRDefault="00994F93" w:rsidP="001C4B02">
            <w:pPr>
              <w:pStyle w:val="TableParagraph"/>
              <w:jc w:val="both"/>
              <w:rPr>
                <w:rFonts w:ascii="Times New Roman" w:eastAsia="Arial" w:hAnsi="Times New Roman" w:cs="Times New Roman"/>
                <w:noProof/>
                <w:sz w:val="24"/>
                <w:szCs w:val="19"/>
              </w:rPr>
            </w:pPr>
          </w:p>
          <w:p w14:paraId="0F005347" w14:textId="77777777" w:rsidR="00994F93" w:rsidRPr="00B03B51" w:rsidRDefault="00994F93" w:rsidP="001C4B02">
            <w:pPr>
              <w:pStyle w:val="TableParagraph"/>
              <w:jc w:val="both"/>
              <w:rPr>
                <w:rFonts w:ascii="Times New Roman" w:hAnsi="Times New Roman" w:cs="Times New Roman"/>
                <w:noProof/>
                <w:sz w:val="24"/>
              </w:rPr>
            </w:pPr>
            <w:r w:rsidRPr="00B03B51">
              <w:rPr>
                <w:rFonts w:ascii="Times New Roman" w:hAnsi="Times New Roman" w:cs="Times New Roman"/>
                <w:sz w:val="24"/>
              </w:rPr>
              <w:t>D.41, maksājamā summa tiek iegūta, kupona summai pieskaitot instrumenta tirgus vērtības pieaugumu no iepriekšējā perioda.</w:t>
            </w:r>
          </w:p>
          <w:p w14:paraId="1A878D42" w14:textId="77777777" w:rsidR="00994F93" w:rsidRPr="00B03B51" w:rsidRDefault="00994F93" w:rsidP="001C4B02">
            <w:pPr>
              <w:pStyle w:val="TableParagraph"/>
              <w:tabs>
                <w:tab w:val="left" w:pos="1043"/>
                <w:tab w:val="left" w:pos="2141"/>
                <w:tab w:val="left" w:pos="3754"/>
                <w:tab w:val="left" w:pos="4978"/>
              </w:tabs>
              <w:jc w:val="both"/>
              <w:rPr>
                <w:rFonts w:ascii="Times New Roman" w:hAnsi="Times New Roman" w:cs="Times New Roman"/>
                <w:noProof/>
                <w:sz w:val="24"/>
              </w:rPr>
            </w:pPr>
          </w:p>
        </w:tc>
      </w:tr>
      <w:tr w:rsidR="00994F93" w:rsidRPr="00B03B51" w14:paraId="17F64381" w14:textId="77777777" w:rsidTr="009C7585">
        <w:tc>
          <w:tcPr>
            <w:tcW w:w="5000" w:type="pct"/>
            <w:gridSpan w:val="5"/>
            <w:tcBorders>
              <w:top w:val="nil"/>
              <w:bottom w:val="nil"/>
            </w:tcBorders>
            <w:shd w:val="clear" w:color="auto" w:fill="auto"/>
          </w:tcPr>
          <w:p w14:paraId="67ED5C2E" w14:textId="77777777" w:rsidR="00994F93" w:rsidRPr="00B03B51" w:rsidRDefault="00994F93" w:rsidP="001C4B02">
            <w:pPr>
              <w:pStyle w:val="TableParagraph"/>
              <w:jc w:val="both"/>
              <w:rPr>
                <w:rFonts w:ascii="Times New Roman" w:hAnsi="Times New Roman" w:cs="Times New Roman"/>
                <w:noProof/>
                <w:sz w:val="24"/>
              </w:rPr>
            </w:pPr>
          </w:p>
        </w:tc>
      </w:tr>
      <w:tr w:rsidR="00994F93" w:rsidRPr="00B03B51" w14:paraId="16AEB374" w14:textId="77777777" w:rsidTr="009C7585">
        <w:tc>
          <w:tcPr>
            <w:tcW w:w="492" w:type="pct"/>
            <w:tcBorders>
              <w:top w:val="nil"/>
              <w:left w:val="single" w:sz="4" w:space="0" w:color="auto"/>
              <w:bottom w:val="nil"/>
              <w:right w:val="nil"/>
            </w:tcBorders>
            <w:shd w:val="clear" w:color="auto" w:fill="auto"/>
          </w:tcPr>
          <w:p w14:paraId="5D8869D4" w14:textId="77777777" w:rsidR="00994F93" w:rsidRPr="00B03B51" w:rsidRDefault="00994F93" w:rsidP="001C4B02">
            <w:pPr>
              <w:pStyle w:val="TableParagraph"/>
              <w:jc w:val="both"/>
              <w:rPr>
                <w:rFonts w:ascii="Times New Roman" w:hAnsi="Times New Roman" w:cs="Times New Roman"/>
                <w:noProof/>
                <w:sz w:val="24"/>
              </w:rPr>
            </w:pPr>
            <w:r w:rsidRPr="00B03B51">
              <w:rPr>
                <w:rFonts w:ascii="Times New Roman" w:hAnsi="Times New Roman" w:cs="Times New Roman"/>
                <w:sz w:val="24"/>
              </w:rPr>
              <w:t>Gads</w:t>
            </w:r>
          </w:p>
        </w:tc>
        <w:tc>
          <w:tcPr>
            <w:tcW w:w="613" w:type="pct"/>
            <w:tcBorders>
              <w:top w:val="nil"/>
              <w:left w:val="nil"/>
              <w:bottom w:val="nil"/>
              <w:right w:val="nil"/>
            </w:tcBorders>
            <w:shd w:val="clear" w:color="auto" w:fill="auto"/>
          </w:tcPr>
          <w:p w14:paraId="5550CC2C" w14:textId="77777777" w:rsidR="00994F93" w:rsidRPr="00B03B51" w:rsidRDefault="00994F93" w:rsidP="001C4B02">
            <w:pPr>
              <w:pStyle w:val="TableParagraph"/>
              <w:jc w:val="both"/>
              <w:rPr>
                <w:rFonts w:ascii="Times New Roman" w:hAnsi="Times New Roman" w:cs="Times New Roman"/>
                <w:noProof/>
                <w:sz w:val="24"/>
              </w:rPr>
            </w:pPr>
            <w:r w:rsidRPr="00B03B51">
              <w:rPr>
                <w:rFonts w:ascii="Times New Roman" w:hAnsi="Times New Roman" w:cs="Times New Roman"/>
                <w:sz w:val="24"/>
              </w:rPr>
              <w:t>Kuponi:</w:t>
            </w:r>
          </w:p>
        </w:tc>
        <w:tc>
          <w:tcPr>
            <w:tcW w:w="908" w:type="pct"/>
            <w:tcBorders>
              <w:top w:val="nil"/>
              <w:left w:val="nil"/>
              <w:bottom w:val="nil"/>
              <w:right w:val="nil"/>
            </w:tcBorders>
            <w:shd w:val="clear" w:color="auto" w:fill="auto"/>
          </w:tcPr>
          <w:p w14:paraId="17B58BE1" w14:textId="77777777" w:rsidR="00994F93" w:rsidRPr="00B03B51" w:rsidRDefault="00994F93" w:rsidP="001C4B02">
            <w:pPr>
              <w:pStyle w:val="TableParagraph"/>
              <w:jc w:val="both"/>
              <w:rPr>
                <w:rFonts w:ascii="Times New Roman" w:hAnsi="Times New Roman" w:cs="Times New Roman"/>
                <w:noProof/>
                <w:sz w:val="24"/>
              </w:rPr>
            </w:pPr>
            <w:r w:rsidRPr="00B03B51">
              <w:rPr>
                <w:rFonts w:ascii="Times New Roman" w:hAnsi="Times New Roman" w:cs="Times New Roman"/>
                <w:sz w:val="24"/>
              </w:rPr>
              <w:t>D.41 maksājamā vērtība</w:t>
            </w:r>
          </w:p>
        </w:tc>
        <w:tc>
          <w:tcPr>
            <w:tcW w:w="617" w:type="pct"/>
            <w:tcBorders>
              <w:top w:val="nil"/>
              <w:left w:val="nil"/>
              <w:bottom w:val="nil"/>
              <w:right w:val="nil"/>
            </w:tcBorders>
            <w:shd w:val="clear" w:color="auto" w:fill="auto"/>
          </w:tcPr>
          <w:p w14:paraId="2AC3ECB0" w14:textId="77777777" w:rsidR="00994F93" w:rsidRPr="00B03B51" w:rsidRDefault="00994F93" w:rsidP="001C4B02">
            <w:pPr>
              <w:pStyle w:val="TableParagraph"/>
              <w:jc w:val="both"/>
              <w:rPr>
                <w:rFonts w:ascii="Times New Roman" w:hAnsi="Times New Roman" w:cs="Times New Roman"/>
                <w:noProof/>
                <w:sz w:val="24"/>
              </w:rPr>
            </w:pPr>
            <w:r w:rsidRPr="00B03B51">
              <w:rPr>
                <w:rFonts w:ascii="Times New Roman" w:hAnsi="Times New Roman" w:cs="Times New Roman"/>
                <w:sz w:val="24"/>
              </w:rPr>
              <w:t>F.32</w:t>
            </w:r>
          </w:p>
        </w:tc>
        <w:tc>
          <w:tcPr>
            <w:tcW w:w="2371" w:type="pct"/>
            <w:tcBorders>
              <w:top w:val="nil"/>
              <w:left w:val="nil"/>
              <w:bottom w:val="nil"/>
              <w:right w:val="single" w:sz="4" w:space="0" w:color="auto"/>
            </w:tcBorders>
            <w:shd w:val="clear" w:color="auto" w:fill="auto"/>
          </w:tcPr>
          <w:p w14:paraId="395BED63" w14:textId="77777777" w:rsidR="00994F93" w:rsidRPr="00B03B51" w:rsidRDefault="00994F93" w:rsidP="001C4B02">
            <w:pPr>
              <w:pStyle w:val="TableParagraph"/>
              <w:jc w:val="both"/>
              <w:rPr>
                <w:rFonts w:ascii="Times New Roman" w:hAnsi="Times New Roman" w:cs="Times New Roman"/>
                <w:noProof/>
                <w:sz w:val="24"/>
              </w:rPr>
            </w:pPr>
            <w:r w:rsidRPr="00B03B51">
              <w:rPr>
                <w:rFonts w:ascii="Times New Roman" w:hAnsi="Times New Roman" w:cs="Times New Roman"/>
                <w:sz w:val="24"/>
              </w:rPr>
              <w:t>AF.32</w:t>
            </w:r>
          </w:p>
        </w:tc>
      </w:tr>
      <w:tr w:rsidR="00994F93" w:rsidRPr="00B03B51" w14:paraId="5AF81857" w14:textId="77777777" w:rsidTr="009C7585">
        <w:tc>
          <w:tcPr>
            <w:tcW w:w="492" w:type="pct"/>
            <w:tcBorders>
              <w:top w:val="nil"/>
              <w:left w:val="single" w:sz="4" w:space="0" w:color="auto"/>
              <w:bottom w:val="nil"/>
              <w:right w:val="nil"/>
            </w:tcBorders>
            <w:shd w:val="clear" w:color="auto" w:fill="auto"/>
          </w:tcPr>
          <w:p w14:paraId="47271D5E" w14:textId="77777777" w:rsidR="00994F93" w:rsidRPr="00B03B51" w:rsidRDefault="00994F93" w:rsidP="001C4B02">
            <w:pPr>
              <w:pStyle w:val="TableParagraph"/>
              <w:jc w:val="both"/>
              <w:rPr>
                <w:rFonts w:ascii="Times New Roman" w:hAnsi="Times New Roman" w:cs="Times New Roman"/>
                <w:noProof/>
                <w:sz w:val="24"/>
              </w:rPr>
            </w:pPr>
            <w:r w:rsidRPr="00B03B51">
              <w:rPr>
                <w:rFonts w:ascii="Times New Roman" w:hAnsi="Times New Roman" w:cs="Times New Roman"/>
                <w:sz w:val="24"/>
              </w:rPr>
              <w:t>0</w:t>
            </w:r>
          </w:p>
        </w:tc>
        <w:tc>
          <w:tcPr>
            <w:tcW w:w="613" w:type="pct"/>
            <w:tcBorders>
              <w:top w:val="nil"/>
              <w:left w:val="nil"/>
              <w:bottom w:val="nil"/>
              <w:right w:val="nil"/>
            </w:tcBorders>
            <w:shd w:val="clear" w:color="auto" w:fill="auto"/>
          </w:tcPr>
          <w:p w14:paraId="429E69C7" w14:textId="77777777" w:rsidR="00994F93" w:rsidRPr="00B03B51" w:rsidRDefault="00994F93" w:rsidP="001C4B02">
            <w:pPr>
              <w:pStyle w:val="TableParagraph"/>
              <w:jc w:val="both"/>
              <w:rPr>
                <w:rFonts w:ascii="Times New Roman" w:hAnsi="Times New Roman" w:cs="Times New Roman"/>
                <w:noProof/>
                <w:sz w:val="24"/>
              </w:rPr>
            </w:pPr>
          </w:p>
        </w:tc>
        <w:tc>
          <w:tcPr>
            <w:tcW w:w="908" w:type="pct"/>
            <w:tcBorders>
              <w:top w:val="nil"/>
              <w:left w:val="nil"/>
              <w:bottom w:val="nil"/>
              <w:right w:val="nil"/>
            </w:tcBorders>
            <w:shd w:val="clear" w:color="auto" w:fill="auto"/>
          </w:tcPr>
          <w:p w14:paraId="524CCDD6" w14:textId="77777777" w:rsidR="00994F93" w:rsidRPr="00B03B51" w:rsidRDefault="00994F93" w:rsidP="001C4B02">
            <w:pPr>
              <w:pStyle w:val="TableParagraph"/>
              <w:jc w:val="both"/>
              <w:rPr>
                <w:rFonts w:ascii="Times New Roman" w:hAnsi="Times New Roman" w:cs="Times New Roman"/>
                <w:noProof/>
                <w:sz w:val="24"/>
              </w:rPr>
            </w:pPr>
          </w:p>
        </w:tc>
        <w:tc>
          <w:tcPr>
            <w:tcW w:w="617" w:type="pct"/>
            <w:tcBorders>
              <w:top w:val="nil"/>
              <w:left w:val="nil"/>
              <w:bottom w:val="nil"/>
              <w:right w:val="nil"/>
            </w:tcBorders>
            <w:shd w:val="clear" w:color="auto" w:fill="auto"/>
          </w:tcPr>
          <w:p w14:paraId="67815CB6" w14:textId="77777777" w:rsidR="00994F93" w:rsidRPr="00B03B51" w:rsidRDefault="00994F93" w:rsidP="001C4B02">
            <w:pPr>
              <w:pStyle w:val="TableParagraph"/>
              <w:jc w:val="both"/>
              <w:rPr>
                <w:rFonts w:ascii="Times New Roman" w:hAnsi="Times New Roman" w:cs="Times New Roman"/>
                <w:noProof/>
                <w:sz w:val="24"/>
              </w:rPr>
            </w:pPr>
          </w:p>
        </w:tc>
        <w:tc>
          <w:tcPr>
            <w:tcW w:w="2371" w:type="pct"/>
            <w:tcBorders>
              <w:top w:val="nil"/>
              <w:left w:val="nil"/>
              <w:bottom w:val="nil"/>
              <w:right w:val="single" w:sz="4" w:space="0" w:color="auto"/>
            </w:tcBorders>
            <w:shd w:val="clear" w:color="auto" w:fill="auto"/>
          </w:tcPr>
          <w:p w14:paraId="68CEA761" w14:textId="77777777" w:rsidR="00994F93" w:rsidRPr="00B03B51" w:rsidRDefault="00994F93" w:rsidP="001C4B02">
            <w:pPr>
              <w:pStyle w:val="TableParagraph"/>
              <w:jc w:val="both"/>
              <w:rPr>
                <w:rFonts w:ascii="Times New Roman" w:hAnsi="Times New Roman" w:cs="Times New Roman"/>
                <w:noProof/>
                <w:sz w:val="24"/>
              </w:rPr>
            </w:pPr>
          </w:p>
        </w:tc>
      </w:tr>
      <w:tr w:rsidR="00994F93" w:rsidRPr="00B03B51" w14:paraId="3E941DD7" w14:textId="77777777" w:rsidTr="009C7585">
        <w:tc>
          <w:tcPr>
            <w:tcW w:w="492" w:type="pct"/>
            <w:tcBorders>
              <w:top w:val="nil"/>
              <w:left w:val="single" w:sz="4" w:space="0" w:color="auto"/>
              <w:bottom w:val="nil"/>
              <w:right w:val="nil"/>
            </w:tcBorders>
            <w:shd w:val="clear" w:color="auto" w:fill="auto"/>
          </w:tcPr>
          <w:p w14:paraId="7ACAB537" w14:textId="77777777" w:rsidR="00994F93" w:rsidRPr="00B03B51" w:rsidRDefault="00994F93" w:rsidP="001C4B02">
            <w:pPr>
              <w:pStyle w:val="TableParagraph"/>
              <w:jc w:val="both"/>
              <w:rPr>
                <w:rFonts w:ascii="Times New Roman" w:hAnsi="Times New Roman" w:cs="Times New Roman"/>
                <w:noProof/>
                <w:sz w:val="24"/>
              </w:rPr>
            </w:pPr>
            <w:r w:rsidRPr="00B03B51">
              <w:rPr>
                <w:rFonts w:ascii="Times New Roman" w:hAnsi="Times New Roman" w:cs="Times New Roman"/>
                <w:sz w:val="24"/>
              </w:rPr>
              <w:t>1</w:t>
            </w:r>
          </w:p>
        </w:tc>
        <w:tc>
          <w:tcPr>
            <w:tcW w:w="613" w:type="pct"/>
            <w:tcBorders>
              <w:top w:val="nil"/>
              <w:left w:val="nil"/>
              <w:bottom w:val="nil"/>
              <w:right w:val="nil"/>
            </w:tcBorders>
            <w:shd w:val="clear" w:color="auto" w:fill="auto"/>
          </w:tcPr>
          <w:p w14:paraId="4D970999" w14:textId="77777777" w:rsidR="00994F93" w:rsidRPr="00B03B51" w:rsidRDefault="00994F93" w:rsidP="001C4B02">
            <w:pPr>
              <w:pStyle w:val="TableParagraph"/>
              <w:jc w:val="both"/>
              <w:rPr>
                <w:rFonts w:ascii="Times New Roman" w:hAnsi="Times New Roman" w:cs="Times New Roman"/>
                <w:noProof/>
                <w:sz w:val="24"/>
              </w:rPr>
            </w:pPr>
            <w:r w:rsidRPr="00B03B51">
              <w:rPr>
                <w:rFonts w:ascii="Times New Roman" w:hAnsi="Times New Roman" w:cs="Times New Roman"/>
                <w:sz w:val="24"/>
              </w:rPr>
              <w:t>0</w:t>
            </w:r>
          </w:p>
        </w:tc>
        <w:tc>
          <w:tcPr>
            <w:tcW w:w="908" w:type="pct"/>
            <w:tcBorders>
              <w:top w:val="nil"/>
              <w:left w:val="nil"/>
              <w:bottom w:val="nil"/>
              <w:right w:val="nil"/>
            </w:tcBorders>
            <w:shd w:val="clear" w:color="auto" w:fill="auto"/>
          </w:tcPr>
          <w:p w14:paraId="36580DEC" w14:textId="77777777" w:rsidR="00994F93" w:rsidRPr="00B03B51" w:rsidRDefault="00994F93" w:rsidP="001C4B02">
            <w:pPr>
              <w:pStyle w:val="TableParagraph"/>
              <w:jc w:val="both"/>
              <w:rPr>
                <w:rFonts w:ascii="Times New Roman" w:hAnsi="Times New Roman" w:cs="Times New Roman"/>
                <w:noProof/>
                <w:sz w:val="24"/>
              </w:rPr>
            </w:pPr>
            <w:r w:rsidRPr="00B03B51">
              <w:rPr>
                <w:rFonts w:ascii="Times New Roman" w:hAnsi="Times New Roman" w:cs="Times New Roman"/>
                <w:sz w:val="24"/>
              </w:rPr>
              <w:t>4,02</w:t>
            </w:r>
          </w:p>
        </w:tc>
        <w:tc>
          <w:tcPr>
            <w:tcW w:w="617" w:type="pct"/>
            <w:tcBorders>
              <w:top w:val="nil"/>
              <w:left w:val="nil"/>
              <w:bottom w:val="nil"/>
              <w:right w:val="nil"/>
            </w:tcBorders>
            <w:shd w:val="clear" w:color="auto" w:fill="auto"/>
          </w:tcPr>
          <w:p w14:paraId="6B1ADA51" w14:textId="77777777" w:rsidR="00994F93" w:rsidRPr="00B03B51" w:rsidRDefault="00994F93" w:rsidP="001C4B02">
            <w:pPr>
              <w:pStyle w:val="TableParagraph"/>
              <w:jc w:val="both"/>
              <w:rPr>
                <w:rFonts w:ascii="Times New Roman" w:hAnsi="Times New Roman" w:cs="Times New Roman"/>
                <w:noProof/>
                <w:sz w:val="24"/>
              </w:rPr>
            </w:pPr>
            <w:r w:rsidRPr="00B03B51">
              <w:rPr>
                <w:rFonts w:ascii="Times New Roman" w:hAnsi="Times New Roman" w:cs="Times New Roman"/>
                <w:sz w:val="24"/>
              </w:rPr>
              <w:t>4,02</w:t>
            </w:r>
          </w:p>
        </w:tc>
        <w:tc>
          <w:tcPr>
            <w:tcW w:w="2371" w:type="pct"/>
            <w:tcBorders>
              <w:top w:val="nil"/>
              <w:left w:val="nil"/>
              <w:bottom w:val="nil"/>
              <w:right w:val="single" w:sz="4" w:space="0" w:color="auto"/>
            </w:tcBorders>
            <w:shd w:val="clear" w:color="auto" w:fill="auto"/>
          </w:tcPr>
          <w:p w14:paraId="00364F7D" w14:textId="77777777" w:rsidR="00994F93" w:rsidRPr="00B03B51" w:rsidRDefault="00994F93" w:rsidP="001C4B02">
            <w:pPr>
              <w:pStyle w:val="TableParagraph"/>
              <w:jc w:val="both"/>
              <w:rPr>
                <w:rFonts w:ascii="Times New Roman" w:hAnsi="Times New Roman" w:cs="Times New Roman"/>
                <w:noProof/>
                <w:sz w:val="24"/>
              </w:rPr>
            </w:pPr>
            <w:r w:rsidRPr="00B03B51">
              <w:rPr>
                <w:rFonts w:ascii="Times New Roman" w:hAnsi="Times New Roman" w:cs="Times New Roman"/>
                <w:sz w:val="24"/>
              </w:rPr>
              <w:t>104,02</w:t>
            </w:r>
          </w:p>
        </w:tc>
      </w:tr>
      <w:tr w:rsidR="00994F93" w:rsidRPr="00B03B51" w14:paraId="2502C5EC" w14:textId="77777777" w:rsidTr="009C7585">
        <w:tc>
          <w:tcPr>
            <w:tcW w:w="492" w:type="pct"/>
            <w:tcBorders>
              <w:top w:val="nil"/>
              <w:left w:val="single" w:sz="4" w:space="0" w:color="auto"/>
              <w:bottom w:val="nil"/>
              <w:right w:val="nil"/>
            </w:tcBorders>
            <w:shd w:val="clear" w:color="auto" w:fill="auto"/>
          </w:tcPr>
          <w:p w14:paraId="53499A1F" w14:textId="77777777" w:rsidR="00994F93" w:rsidRPr="00B03B51" w:rsidRDefault="00994F93" w:rsidP="001C4B02">
            <w:pPr>
              <w:pStyle w:val="TableParagraph"/>
              <w:jc w:val="both"/>
              <w:rPr>
                <w:rFonts w:ascii="Times New Roman" w:hAnsi="Times New Roman" w:cs="Times New Roman"/>
                <w:noProof/>
                <w:sz w:val="24"/>
              </w:rPr>
            </w:pPr>
            <w:r w:rsidRPr="00B03B51">
              <w:rPr>
                <w:rFonts w:ascii="Times New Roman" w:hAnsi="Times New Roman" w:cs="Times New Roman"/>
                <w:sz w:val="24"/>
              </w:rPr>
              <w:t>2</w:t>
            </w:r>
          </w:p>
        </w:tc>
        <w:tc>
          <w:tcPr>
            <w:tcW w:w="613" w:type="pct"/>
            <w:tcBorders>
              <w:top w:val="nil"/>
              <w:left w:val="nil"/>
              <w:bottom w:val="nil"/>
              <w:right w:val="nil"/>
            </w:tcBorders>
            <w:shd w:val="clear" w:color="auto" w:fill="auto"/>
          </w:tcPr>
          <w:p w14:paraId="49AA7765" w14:textId="77777777" w:rsidR="00994F93" w:rsidRPr="00B03B51" w:rsidRDefault="00994F93" w:rsidP="001C4B02">
            <w:pPr>
              <w:pStyle w:val="TableParagraph"/>
              <w:jc w:val="both"/>
              <w:rPr>
                <w:rFonts w:ascii="Times New Roman" w:hAnsi="Times New Roman" w:cs="Times New Roman"/>
                <w:noProof/>
                <w:sz w:val="24"/>
              </w:rPr>
            </w:pPr>
            <w:r w:rsidRPr="00B03B51">
              <w:rPr>
                <w:rFonts w:ascii="Times New Roman" w:hAnsi="Times New Roman" w:cs="Times New Roman"/>
                <w:sz w:val="24"/>
              </w:rPr>
              <w:t>0</w:t>
            </w:r>
          </w:p>
        </w:tc>
        <w:tc>
          <w:tcPr>
            <w:tcW w:w="908" w:type="pct"/>
            <w:tcBorders>
              <w:top w:val="nil"/>
              <w:left w:val="nil"/>
              <w:bottom w:val="nil"/>
              <w:right w:val="nil"/>
            </w:tcBorders>
            <w:shd w:val="clear" w:color="auto" w:fill="auto"/>
          </w:tcPr>
          <w:p w14:paraId="2BB33941" w14:textId="77777777" w:rsidR="00994F93" w:rsidRPr="00B03B51" w:rsidRDefault="00994F93" w:rsidP="001C4B02">
            <w:pPr>
              <w:pStyle w:val="TableParagraph"/>
              <w:jc w:val="both"/>
              <w:rPr>
                <w:rFonts w:ascii="Times New Roman" w:hAnsi="Times New Roman" w:cs="Times New Roman"/>
                <w:noProof/>
                <w:sz w:val="24"/>
              </w:rPr>
            </w:pPr>
            <w:r w:rsidRPr="00B03B51">
              <w:rPr>
                <w:rFonts w:ascii="Times New Roman" w:hAnsi="Times New Roman" w:cs="Times New Roman"/>
                <w:sz w:val="24"/>
              </w:rPr>
              <w:t>4,18</w:t>
            </w:r>
          </w:p>
        </w:tc>
        <w:tc>
          <w:tcPr>
            <w:tcW w:w="617" w:type="pct"/>
            <w:tcBorders>
              <w:top w:val="nil"/>
              <w:left w:val="nil"/>
              <w:bottom w:val="nil"/>
              <w:right w:val="nil"/>
            </w:tcBorders>
            <w:shd w:val="clear" w:color="auto" w:fill="auto"/>
          </w:tcPr>
          <w:p w14:paraId="15A84B1B" w14:textId="77777777" w:rsidR="00994F93" w:rsidRPr="00B03B51" w:rsidRDefault="00994F93" w:rsidP="001C4B02">
            <w:pPr>
              <w:pStyle w:val="TableParagraph"/>
              <w:jc w:val="both"/>
              <w:rPr>
                <w:rFonts w:ascii="Times New Roman" w:hAnsi="Times New Roman" w:cs="Times New Roman"/>
                <w:noProof/>
                <w:sz w:val="24"/>
              </w:rPr>
            </w:pPr>
            <w:r w:rsidRPr="00B03B51">
              <w:rPr>
                <w:rFonts w:ascii="Times New Roman" w:hAnsi="Times New Roman" w:cs="Times New Roman"/>
                <w:sz w:val="24"/>
              </w:rPr>
              <w:t>4,18</w:t>
            </w:r>
          </w:p>
        </w:tc>
        <w:tc>
          <w:tcPr>
            <w:tcW w:w="2371" w:type="pct"/>
            <w:tcBorders>
              <w:top w:val="nil"/>
              <w:left w:val="nil"/>
              <w:bottom w:val="nil"/>
              <w:right w:val="single" w:sz="4" w:space="0" w:color="auto"/>
            </w:tcBorders>
            <w:shd w:val="clear" w:color="auto" w:fill="auto"/>
          </w:tcPr>
          <w:p w14:paraId="74561223" w14:textId="77777777" w:rsidR="00994F93" w:rsidRPr="00B03B51" w:rsidRDefault="00994F93" w:rsidP="001C4B02">
            <w:pPr>
              <w:pStyle w:val="TableParagraph"/>
              <w:jc w:val="both"/>
              <w:rPr>
                <w:rFonts w:ascii="Times New Roman" w:hAnsi="Times New Roman" w:cs="Times New Roman"/>
                <w:noProof/>
                <w:sz w:val="24"/>
              </w:rPr>
            </w:pPr>
            <w:r w:rsidRPr="00B03B51">
              <w:rPr>
                <w:rFonts w:ascii="Times New Roman" w:hAnsi="Times New Roman" w:cs="Times New Roman"/>
                <w:sz w:val="24"/>
              </w:rPr>
              <w:t>108,19</w:t>
            </w:r>
          </w:p>
        </w:tc>
      </w:tr>
      <w:tr w:rsidR="00994F93" w:rsidRPr="00B03B51" w14:paraId="462F7454" w14:textId="77777777" w:rsidTr="009C7585">
        <w:tc>
          <w:tcPr>
            <w:tcW w:w="492" w:type="pct"/>
            <w:tcBorders>
              <w:top w:val="nil"/>
              <w:left w:val="single" w:sz="4" w:space="0" w:color="auto"/>
              <w:bottom w:val="nil"/>
              <w:right w:val="nil"/>
            </w:tcBorders>
            <w:shd w:val="clear" w:color="auto" w:fill="auto"/>
          </w:tcPr>
          <w:p w14:paraId="766FB64A" w14:textId="77777777" w:rsidR="00994F93" w:rsidRPr="00B03B51" w:rsidRDefault="00994F93" w:rsidP="001C4B02">
            <w:pPr>
              <w:pStyle w:val="TableParagraph"/>
              <w:jc w:val="both"/>
              <w:rPr>
                <w:rFonts w:ascii="Times New Roman" w:hAnsi="Times New Roman" w:cs="Times New Roman"/>
                <w:noProof/>
                <w:sz w:val="24"/>
              </w:rPr>
            </w:pPr>
            <w:r w:rsidRPr="00B03B51">
              <w:rPr>
                <w:rFonts w:ascii="Times New Roman" w:hAnsi="Times New Roman" w:cs="Times New Roman"/>
                <w:sz w:val="24"/>
              </w:rPr>
              <w:t>3</w:t>
            </w:r>
          </w:p>
        </w:tc>
        <w:tc>
          <w:tcPr>
            <w:tcW w:w="613" w:type="pct"/>
            <w:tcBorders>
              <w:top w:val="nil"/>
              <w:left w:val="nil"/>
              <w:bottom w:val="nil"/>
              <w:right w:val="nil"/>
            </w:tcBorders>
            <w:shd w:val="clear" w:color="auto" w:fill="auto"/>
          </w:tcPr>
          <w:p w14:paraId="36B120A1" w14:textId="77777777" w:rsidR="00994F93" w:rsidRPr="00B03B51" w:rsidRDefault="00994F93" w:rsidP="001C4B02">
            <w:pPr>
              <w:pStyle w:val="TableParagraph"/>
              <w:jc w:val="both"/>
              <w:rPr>
                <w:rFonts w:ascii="Times New Roman" w:hAnsi="Times New Roman" w:cs="Times New Roman"/>
                <w:noProof/>
                <w:sz w:val="24"/>
              </w:rPr>
            </w:pPr>
            <w:r w:rsidRPr="00B03B51">
              <w:rPr>
                <w:rFonts w:ascii="Times New Roman" w:hAnsi="Times New Roman" w:cs="Times New Roman"/>
                <w:sz w:val="24"/>
              </w:rPr>
              <w:t>0</w:t>
            </w:r>
          </w:p>
        </w:tc>
        <w:tc>
          <w:tcPr>
            <w:tcW w:w="908" w:type="pct"/>
            <w:tcBorders>
              <w:top w:val="nil"/>
              <w:left w:val="nil"/>
              <w:bottom w:val="nil"/>
              <w:right w:val="nil"/>
            </w:tcBorders>
            <w:shd w:val="clear" w:color="auto" w:fill="auto"/>
          </w:tcPr>
          <w:p w14:paraId="443DA21F" w14:textId="77777777" w:rsidR="00994F93" w:rsidRPr="00B03B51" w:rsidRDefault="00994F93" w:rsidP="001C4B02">
            <w:pPr>
              <w:pStyle w:val="TableParagraph"/>
              <w:jc w:val="both"/>
              <w:rPr>
                <w:rFonts w:ascii="Times New Roman" w:hAnsi="Times New Roman" w:cs="Times New Roman"/>
                <w:noProof/>
                <w:sz w:val="24"/>
              </w:rPr>
            </w:pPr>
            <w:r w:rsidRPr="00B03B51">
              <w:rPr>
                <w:rFonts w:ascii="Times New Roman" w:hAnsi="Times New Roman" w:cs="Times New Roman"/>
                <w:sz w:val="24"/>
              </w:rPr>
              <w:t>4,35</w:t>
            </w:r>
          </w:p>
        </w:tc>
        <w:tc>
          <w:tcPr>
            <w:tcW w:w="617" w:type="pct"/>
            <w:tcBorders>
              <w:top w:val="nil"/>
              <w:left w:val="nil"/>
              <w:bottom w:val="nil"/>
              <w:right w:val="nil"/>
            </w:tcBorders>
            <w:shd w:val="clear" w:color="auto" w:fill="auto"/>
          </w:tcPr>
          <w:p w14:paraId="0B814CBE" w14:textId="77777777" w:rsidR="00994F93" w:rsidRPr="00B03B51" w:rsidRDefault="00994F93" w:rsidP="001C4B02">
            <w:pPr>
              <w:pStyle w:val="TableParagraph"/>
              <w:jc w:val="both"/>
              <w:rPr>
                <w:rFonts w:ascii="Times New Roman" w:hAnsi="Times New Roman" w:cs="Times New Roman"/>
                <w:noProof/>
                <w:sz w:val="24"/>
              </w:rPr>
            </w:pPr>
            <w:r w:rsidRPr="00B03B51">
              <w:rPr>
                <w:rFonts w:ascii="Times New Roman" w:hAnsi="Times New Roman" w:cs="Times New Roman"/>
                <w:sz w:val="24"/>
              </w:rPr>
              <w:t>4,35</w:t>
            </w:r>
          </w:p>
        </w:tc>
        <w:tc>
          <w:tcPr>
            <w:tcW w:w="2371" w:type="pct"/>
            <w:tcBorders>
              <w:top w:val="nil"/>
              <w:left w:val="nil"/>
              <w:bottom w:val="nil"/>
              <w:right w:val="single" w:sz="4" w:space="0" w:color="auto"/>
            </w:tcBorders>
            <w:shd w:val="clear" w:color="auto" w:fill="auto"/>
          </w:tcPr>
          <w:p w14:paraId="7A69C174" w14:textId="77777777" w:rsidR="00994F93" w:rsidRPr="00B03B51" w:rsidRDefault="00994F93" w:rsidP="001C4B02">
            <w:pPr>
              <w:pStyle w:val="TableParagraph"/>
              <w:jc w:val="both"/>
              <w:rPr>
                <w:rFonts w:ascii="Times New Roman" w:hAnsi="Times New Roman" w:cs="Times New Roman"/>
                <w:noProof/>
                <w:sz w:val="24"/>
              </w:rPr>
            </w:pPr>
            <w:r w:rsidRPr="00B03B51">
              <w:rPr>
                <w:rFonts w:ascii="Times New Roman" w:hAnsi="Times New Roman" w:cs="Times New Roman"/>
                <w:sz w:val="24"/>
              </w:rPr>
              <w:t>112,54</w:t>
            </w:r>
          </w:p>
        </w:tc>
      </w:tr>
      <w:tr w:rsidR="00994F93" w:rsidRPr="00B03B51" w14:paraId="39BBACA3" w14:textId="77777777" w:rsidTr="009C7585">
        <w:tc>
          <w:tcPr>
            <w:tcW w:w="492" w:type="pct"/>
            <w:tcBorders>
              <w:top w:val="nil"/>
              <w:left w:val="single" w:sz="4" w:space="0" w:color="auto"/>
              <w:bottom w:val="nil"/>
              <w:right w:val="nil"/>
            </w:tcBorders>
            <w:shd w:val="clear" w:color="auto" w:fill="auto"/>
          </w:tcPr>
          <w:p w14:paraId="258E97A7" w14:textId="77777777" w:rsidR="00994F93" w:rsidRPr="00B03B51" w:rsidRDefault="00994F93" w:rsidP="001C4B02">
            <w:pPr>
              <w:pStyle w:val="TableParagraph"/>
              <w:jc w:val="both"/>
              <w:rPr>
                <w:rFonts w:ascii="Times New Roman" w:hAnsi="Times New Roman" w:cs="Times New Roman"/>
                <w:noProof/>
                <w:sz w:val="24"/>
              </w:rPr>
            </w:pPr>
            <w:r w:rsidRPr="00B03B51">
              <w:rPr>
                <w:rFonts w:ascii="Times New Roman" w:hAnsi="Times New Roman" w:cs="Times New Roman"/>
                <w:sz w:val="24"/>
              </w:rPr>
              <w:t>4</w:t>
            </w:r>
          </w:p>
        </w:tc>
        <w:tc>
          <w:tcPr>
            <w:tcW w:w="613" w:type="pct"/>
            <w:tcBorders>
              <w:top w:val="nil"/>
              <w:left w:val="nil"/>
              <w:bottom w:val="nil"/>
              <w:right w:val="nil"/>
            </w:tcBorders>
            <w:shd w:val="clear" w:color="auto" w:fill="auto"/>
          </w:tcPr>
          <w:p w14:paraId="6A5CB30A" w14:textId="77777777" w:rsidR="00994F93" w:rsidRPr="00B03B51" w:rsidRDefault="00994F93" w:rsidP="001C4B02">
            <w:pPr>
              <w:pStyle w:val="TableParagraph"/>
              <w:jc w:val="both"/>
              <w:rPr>
                <w:rFonts w:ascii="Times New Roman" w:hAnsi="Times New Roman" w:cs="Times New Roman"/>
                <w:noProof/>
                <w:sz w:val="24"/>
              </w:rPr>
            </w:pPr>
            <w:r w:rsidRPr="00B03B51">
              <w:rPr>
                <w:rFonts w:ascii="Times New Roman" w:hAnsi="Times New Roman" w:cs="Times New Roman"/>
                <w:sz w:val="24"/>
              </w:rPr>
              <w:t>0</w:t>
            </w:r>
          </w:p>
        </w:tc>
        <w:tc>
          <w:tcPr>
            <w:tcW w:w="908" w:type="pct"/>
            <w:tcBorders>
              <w:top w:val="nil"/>
              <w:left w:val="nil"/>
              <w:bottom w:val="nil"/>
              <w:right w:val="nil"/>
            </w:tcBorders>
            <w:shd w:val="clear" w:color="auto" w:fill="auto"/>
          </w:tcPr>
          <w:p w14:paraId="014D6A84" w14:textId="77777777" w:rsidR="00994F93" w:rsidRPr="00B03B51" w:rsidRDefault="00994F93" w:rsidP="001C4B02">
            <w:pPr>
              <w:pStyle w:val="TableParagraph"/>
              <w:jc w:val="both"/>
              <w:rPr>
                <w:rFonts w:ascii="Times New Roman" w:hAnsi="Times New Roman" w:cs="Times New Roman"/>
                <w:noProof/>
                <w:sz w:val="24"/>
              </w:rPr>
            </w:pPr>
            <w:r w:rsidRPr="00B03B51">
              <w:rPr>
                <w:rFonts w:ascii="Times New Roman" w:hAnsi="Times New Roman" w:cs="Times New Roman"/>
                <w:sz w:val="24"/>
              </w:rPr>
              <w:t>4,52</w:t>
            </w:r>
          </w:p>
        </w:tc>
        <w:tc>
          <w:tcPr>
            <w:tcW w:w="617" w:type="pct"/>
            <w:tcBorders>
              <w:top w:val="nil"/>
              <w:left w:val="nil"/>
              <w:bottom w:val="nil"/>
              <w:right w:val="nil"/>
            </w:tcBorders>
            <w:shd w:val="clear" w:color="auto" w:fill="auto"/>
          </w:tcPr>
          <w:p w14:paraId="11FC024D" w14:textId="77777777" w:rsidR="00994F93" w:rsidRPr="00B03B51" w:rsidRDefault="00994F93" w:rsidP="001C4B02">
            <w:pPr>
              <w:pStyle w:val="TableParagraph"/>
              <w:jc w:val="both"/>
              <w:rPr>
                <w:rFonts w:ascii="Times New Roman" w:hAnsi="Times New Roman" w:cs="Times New Roman"/>
                <w:noProof/>
                <w:sz w:val="24"/>
              </w:rPr>
            </w:pPr>
            <w:r w:rsidRPr="00B03B51">
              <w:rPr>
                <w:rFonts w:ascii="Times New Roman" w:hAnsi="Times New Roman" w:cs="Times New Roman"/>
                <w:sz w:val="24"/>
              </w:rPr>
              <w:t>4,52</w:t>
            </w:r>
          </w:p>
        </w:tc>
        <w:tc>
          <w:tcPr>
            <w:tcW w:w="2371" w:type="pct"/>
            <w:tcBorders>
              <w:top w:val="nil"/>
              <w:left w:val="nil"/>
              <w:bottom w:val="nil"/>
              <w:right w:val="single" w:sz="4" w:space="0" w:color="auto"/>
            </w:tcBorders>
            <w:shd w:val="clear" w:color="auto" w:fill="auto"/>
          </w:tcPr>
          <w:p w14:paraId="0BF10E3B" w14:textId="77777777" w:rsidR="00994F93" w:rsidRPr="00B03B51" w:rsidRDefault="00994F93" w:rsidP="001C4B02">
            <w:pPr>
              <w:pStyle w:val="TableParagraph"/>
              <w:jc w:val="both"/>
              <w:rPr>
                <w:rFonts w:ascii="Times New Roman" w:hAnsi="Times New Roman" w:cs="Times New Roman"/>
                <w:noProof/>
                <w:sz w:val="24"/>
              </w:rPr>
            </w:pPr>
            <w:r w:rsidRPr="00B03B51">
              <w:rPr>
                <w:rFonts w:ascii="Times New Roman" w:hAnsi="Times New Roman" w:cs="Times New Roman"/>
                <w:sz w:val="24"/>
              </w:rPr>
              <w:t>117,06</w:t>
            </w:r>
          </w:p>
        </w:tc>
      </w:tr>
      <w:tr w:rsidR="00994F93" w:rsidRPr="00B03B51" w14:paraId="4F089356" w14:textId="77777777" w:rsidTr="009C7585">
        <w:tc>
          <w:tcPr>
            <w:tcW w:w="492" w:type="pct"/>
            <w:tcBorders>
              <w:top w:val="nil"/>
              <w:left w:val="single" w:sz="4" w:space="0" w:color="auto"/>
              <w:bottom w:val="nil"/>
              <w:right w:val="nil"/>
            </w:tcBorders>
            <w:shd w:val="clear" w:color="auto" w:fill="auto"/>
          </w:tcPr>
          <w:p w14:paraId="6FDAB813" w14:textId="77777777" w:rsidR="00994F93" w:rsidRPr="00B03B51" w:rsidRDefault="00994F93" w:rsidP="001C4B02">
            <w:pPr>
              <w:pStyle w:val="TableParagraph"/>
              <w:jc w:val="both"/>
              <w:rPr>
                <w:rFonts w:ascii="Times New Roman" w:hAnsi="Times New Roman" w:cs="Times New Roman"/>
                <w:noProof/>
                <w:sz w:val="24"/>
              </w:rPr>
            </w:pPr>
            <w:r w:rsidRPr="00B03B51">
              <w:rPr>
                <w:rFonts w:ascii="Times New Roman" w:hAnsi="Times New Roman" w:cs="Times New Roman"/>
                <w:sz w:val="24"/>
              </w:rPr>
              <w:lastRenderedPageBreak/>
              <w:t>5</w:t>
            </w:r>
          </w:p>
        </w:tc>
        <w:tc>
          <w:tcPr>
            <w:tcW w:w="613" w:type="pct"/>
            <w:tcBorders>
              <w:top w:val="nil"/>
              <w:left w:val="nil"/>
              <w:bottom w:val="nil"/>
              <w:right w:val="nil"/>
            </w:tcBorders>
            <w:shd w:val="clear" w:color="auto" w:fill="auto"/>
          </w:tcPr>
          <w:p w14:paraId="34D4A4BE" w14:textId="77777777" w:rsidR="00994F93" w:rsidRPr="00B03B51" w:rsidRDefault="00994F93" w:rsidP="001C4B02">
            <w:pPr>
              <w:pStyle w:val="TableParagraph"/>
              <w:jc w:val="both"/>
              <w:rPr>
                <w:rFonts w:ascii="Times New Roman" w:hAnsi="Times New Roman" w:cs="Times New Roman"/>
                <w:noProof/>
                <w:sz w:val="24"/>
              </w:rPr>
            </w:pPr>
            <w:r w:rsidRPr="00B03B51">
              <w:rPr>
                <w:rFonts w:ascii="Times New Roman" w:hAnsi="Times New Roman" w:cs="Times New Roman"/>
                <w:sz w:val="24"/>
              </w:rPr>
              <w:t>0</w:t>
            </w:r>
          </w:p>
        </w:tc>
        <w:tc>
          <w:tcPr>
            <w:tcW w:w="908" w:type="pct"/>
            <w:tcBorders>
              <w:top w:val="nil"/>
              <w:left w:val="nil"/>
              <w:bottom w:val="nil"/>
              <w:right w:val="nil"/>
            </w:tcBorders>
            <w:shd w:val="clear" w:color="auto" w:fill="auto"/>
          </w:tcPr>
          <w:p w14:paraId="5CC0DFF8" w14:textId="77777777" w:rsidR="00994F93" w:rsidRPr="00B03B51" w:rsidRDefault="00994F93" w:rsidP="001C4B02">
            <w:pPr>
              <w:pStyle w:val="TableParagraph"/>
              <w:jc w:val="both"/>
              <w:rPr>
                <w:rFonts w:ascii="Times New Roman" w:hAnsi="Times New Roman" w:cs="Times New Roman"/>
                <w:noProof/>
                <w:sz w:val="24"/>
              </w:rPr>
            </w:pPr>
            <w:r w:rsidRPr="00B03B51">
              <w:rPr>
                <w:rFonts w:ascii="Times New Roman" w:hAnsi="Times New Roman" w:cs="Times New Roman"/>
                <w:sz w:val="24"/>
              </w:rPr>
              <w:t>4,70</w:t>
            </w:r>
          </w:p>
        </w:tc>
        <w:tc>
          <w:tcPr>
            <w:tcW w:w="617" w:type="pct"/>
            <w:tcBorders>
              <w:top w:val="nil"/>
              <w:left w:val="nil"/>
              <w:bottom w:val="nil"/>
              <w:right w:val="nil"/>
            </w:tcBorders>
            <w:shd w:val="clear" w:color="auto" w:fill="auto"/>
          </w:tcPr>
          <w:p w14:paraId="6E5D09DA" w14:textId="77777777" w:rsidR="00994F93" w:rsidRPr="00B03B51" w:rsidRDefault="00994F93" w:rsidP="001C4B02">
            <w:pPr>
              <w:pStyle w:val="TableParagraph"/>
              <w:jc w:val="both"/>
              <w:rPr>
                <w:rFonts w:ascii="Times New Roman" w:hAnsi="Times New Roman" w:cs="Times New Roman"/>
                <w:noProof/>
                <w:sz w:val="24"/>
              </w:rPr>
            </w:pPr>
            <w:r w:rsidRPr="00B03B51">
              <w:rPr>
                <w:rFonts w:ascii="Times New Roman" w:hAnsi="Times New Roman" w:cs="Times New Roman"/>
                <w:sz w:val="24"/>
              </w:rPr>
              <w:t>4,70</w:t>
            </w:r>
          </w:p>
        </w:tc>
        <w:tc>
          <w:tcPr>
            <w:tcW w:w="2371" w:type="pct"/>
            <w:tcBorders>
              <w:top w:val="nil"/>
              <w:left w:val="nil"/>
              <w:bottom w:val="nil"/>
              <w:right w:val="single" w:sz="4" w:space="0" w:color="auto"/>
            </w:tcBorders>
            <w:shd w:val="clear" w:color="auto" w:fill="auto"/>
          </w:tcPr>
          <w:p w14:paraId="024FEB75" w14:textId="77777777" w:rsidR="00994F93" w:rsidRPr="00B03B51" w:rsidRDefault="00994F93" w:rsidP="001C4B02">
            <w:pPr>
              <w:pStyle w:val="TableParagraph"/>
              <w:jc w:val="both"/>
              <w:rPr>
                <w:rFonts w:ascii="Times New Roman" w:hAnsi="Times New Roman" w:cs="Times New Roman"/>
                <w:noProof/>
                <w:sz w:val="24"/>
              </w:rPr>
            </w:pPr>
            <w:r w:rsidRPr="00B03B51">
              <w:rPr>
                <w:rFonts w:ascii="Times New Roman" w:hAnsi="Times New Roman" w:cs="Times New Roman"/>
                <w:sz w:val="24"/>
              </w:rPr>
              <w:t>121,76</w:t>
            </w:r>
          </w:p>
        </w:tc>
      </w:tr>
      <w:tr w:rsidR="00994F93" w:rsidRPr="00B03B51" w14:paraId="529AD149" w14:textId="77777777" w:rsidTr="009C7585">
        <w:tc>
          <w:tcPr>
            <w:tcW w:w="492" w:type="pct"/>
            <w:tcBorders>
              <w:top w:val="nil"/>
              <w:left w:val="single" w:sz="4" w:space="0" w:color="auto"/>
              <w:bottom w:val="nil"/>
              <w:right w:val="nil"/>
            </w:tcBorders>
            <w:shd w:val="clear" w:color="auto" w:fill="auto"/>
          </w:tcPr>
          <w:p w14:paraId="17092E0D" w14:textId="77777777" w:rsidR="00994F93" w:rsidRPr="00B03B51" w:rsidRDefault="00994F93" w:rsidP="001C4B02">
            <w:pPr>
              <w:pStyle w:val="TableParagraph"/>
              <w:jc w:val="both"/>
              <w:rPr>
                <w:rFonts w:ascii="Times New Roman" w:hAnsi="Times New Roman" w:cs="Times New Roman"/>
                <w:noProof/>
                <w:sz w:val="24"/>
              </w:rPr>
            </w:pPr>
            <w:r w:rsidRPr="00B03B51">
              <w:rPr>
                <w:rFonts w:ascii="Times New Roman" w:hAnsi="Times New Roman" w:cs="Times New Roman"/>
                <w:sz w:val="24"/>
              </w:rPr>
              <w:t>6</w:t>
            </w:r>
          </w:p>
        </w:tc>
        <w:tc>
          <w:tcPr>
            <w:tcW w:w="613" w:type="pct"/>
            <w:tcBorders>
              <w:top w:val="nil"/>
              <w:left w:val="nil"/>
              <w:bottom w:val="nil"/>
              <w:right w:val="nil"/>
            </w:tcBorders>
            <w:shd w:val="clear" w:color="auto" w:fill="auto"/>
          </w:tcPr>
          <w:p w14:paraId="5638711A" w14:textId="77777777" w:rsidR="00994F93" w:rsidRPr="00B03B51" w:rsidRDefault="00994F93" w:rsidP="001C4B02">
            <w:pPr>
              <w:pStyle w:val="TableParagraph"/>
              <w:jc w:val="both"/>
              <w:rPr>
                <w:rFonts w:ascii="Times New Roman" w:hAnsi="Times New Roman" w:cs="Times New Roman"/>
                <w:noProof/>
                <w:sz w:val="24"/>
              </w:rPr>
            </w:pPr>
            <w:r w:rsidRPr="00B03B51">
              <w:rPr>
                <w:rFonts w:ascii="Times New Roman" w:hAnsi="Times New Roman" w:cs="Times New Roman"/>
                <w:sz w:val="24"/>
              </w:rPr>
              <w:t>4</w:t>
            </w:r>
          </w:p>
        </w:tc>
        <w:tc>
          <w:tcPr>
            <w:tcW w:w="908" w:type="pct"/>
            <w:tcBorders>
              <w:top w:val="nil"/>
              <w:left w:val="nil"/>
              <w:bottom w:val="nil"/>
              <w:right w:val="nil"/>
            </w:tcBorders>
            <w:shd w:val="clear" w:color="auto" w:fill="auto"/>
          </w:tcPr>
          <w:p w14:paraId="4E57DE1E" w14:textId="77777777" w:rsidR="00994F93" w:rsidRPr="00B03B51" w:rsidRDefault="00994F93" w:rsidP="001C4B02">
            <w:pPr>
              <w:pStyle w:val="TableParagraph"/>
              <w:jc w:val="both"/>
              <w:rPr>
                <w:rFonts w:ascii="Times New Roman" w:hAnsi="Times New Roman" w:cs="Times New Roman"/>
                <w:noProof/>
                <w:sz w:val="24"/>
              </w:rPr>
            </w:pPr>
            <w:r w:rsidRPr="00B03B51">
              <w:rPr>
                <w:rFonts w:ascii="Times New Roman" w:hAnsi="Times New Roman" w:cs="Times New Roman"/>
                <w:sz w:val="24"/>
              </w:rPr>
              <w:t>4,89</w:t>
            </w:r>
          </w:p>
        </w:tc>
        <w:tc>
          <w:tcPr>
            <w:tcW w:w="617" w:type="pct"/>
            <w:tcBorders>
              <w:top w:val="nil"/>
              <w:left w:val="nil"/>
              <w:bottom w:val="nil"/>
              <w:right w:val="nil"/>
            </w:tcBorders>
            <w:shd w:val="clear" w:color="auto" w:fill="auto"/>
          </w:tcPr>
          <w:p w14:paraId="1BF0FF6A" w14:textId="77777777" w:rsidR="00994F93" w:rsidRPr="00B03B51" w:rsidRDefault="00994F93" w:rsidP="001C4B02">
            <w:pPr>
              <w:pStyle w:val="TableParagraph"/>
              <w:jc w:val="both"/>
              <w:rPr>
                <w:rFonts w:ascii="Times New Roman" w:hAnsi="Times New Roman" w:cs="Times New Roman"/>
                <w:noProof/>
                <w:sz w:val="24"/>
              </w:rPr>
            </w:pPr>
            <w:r w:rsidRPr="00B03B51">
              <w:rPr>
                <w:rFonts w:ascii="Times New Roman" w:hAnsi="Times New Roman" w:cs="Times New Roman"/>
                <w:sz w:val="24"/>
              </w:rPr>
              <w:t>0,89</w:t>
            </w:r>
          </w:p>
        </w:tc>
        <w:tc>
          <w:tcPr>
            <w:tcW w:w="2371" w:type="pct"/>
            <w:tcBorders>
              <w:top w:val="nil"/>
              <w:left w:val="nil"/>
              <w:bottom w:val="nil"/>
              <w:right w:val="single" w:sz="4" w:space="0" w:color="auto"/>
            </w:tcBorders>
            <w:shd w:val="clear" w:color="auto" w:fill="auto"/>
          </w:tcPr>
          <w:p w14:paraId="0783492C" w14:textId="77777777" w:rsidR="00994F93" w:rsidRPr="00B03B51" w:rsidRDefault="00994F93" w:rsidP="001C4B02">
            <w:pPr>
              <w:pStyle w:val="TableParagraph"/>
              <w:jc w:val="both"/>
              <w:rPr>
                <w:rFonts w:ascii="Times New Roman" w:hAnsi="Times New Roman" w:cs="Times New Roman"/>
                <w:noProof/>
                <w:sz w:val="24"/>
              </w:rPr>
            </w:pPr>
            <w:r w:rsidRPr="00B03B51">
              <w:rPr>
                <w:rFonts w:ascii="Times New Roman" w:hAnsi="Times New Roman" w:cs="Times New Roman"/>
                <w:sz w:val="24"/>
              </w:rPr>
              <w:t>122,65</w:t>
            </w:r>
          </w:p>
        </w:tc>
      </w:tr>
      <w:tr w:rsidR="00994F93" w:rsidRPr="00B03B51" w14:paraId="2583858B" w14:textId="77777777" w:rsidTr="009C7585">
        <w:tc>
          <w:tcPr>
            <w:tcW w:w="492" w:type="pct"/>
            <w:tcBorders>
              <w:top w:val="nil"/>
              <w:left w:val="single" w:sz="4" w:space="0" w:color="auto"/>
              <w:bottom w:val="nil"/>
              <w:right w:val="nil"/>
            </w:tcBorders>
            <w:shd w:val="clear" w:color="auto" w:fill="auto"/>
          </w:tcPr>
          <w:p w14:paraId="185BAF1F" w14:textId="77777777" w:rsidR="00994F93" w:rsidRPr="00B03B51" w:rsidRDefault="00994F93" w:rsidP="001C4B02">
            <w:pPr>
              <w:pStyle w:val="TableParagraph"/>
              <w:jc w:val="both"/>
              <w:rPr>
                <w:rFonts w:ascii="Times New Roman" w:hAnsi="Times New Roman" w:cs="Times New Roman"/>
                <w:noProof/>
                <w:sz w:val="24"/>
              </w:rPr>
            </w:pPr>
            <w:r w:rsidRPr="00B03B51">
              <w:rPr>
                <w:rFonts w:ascii="Times New Roman" w:hAnsi="Times New Roman" w:cs="Times New Roman"/>
                <w:sz w:val="24"/>
              </w:rPr>
              <w:t>7</w:t>
            </w:r>
          </w:p>
        </w:tc>
        <w:tc>
          <w:tcPr>
            <w:tcW w:w="613" w:type="pct"/>
            <w:tcBorders>
              <w:top w:val="nil"/>
              <w:left w:val="nil"/>
              <w:bottom w:val="nil"/>
              <w:right w:val="nil"/>
            </w:tcBorders>
            <w:shd w:val="clear" w:color="auto" w:fill="auto"/>
          </w:tcPr>
          <w:p w14:paraId="1059E453" w14:textId="77777777" w:rsidR="00994F93" w:rsidRPr="00B03B51" w:rsidRDefault="00994F93" w:rsidP="001C4B02">
            <w:pPr>
              <w:pStyle w:val="TableParagraph"/>
              <w:jc w:val="both"/>
              <w:rPr>
                <w:rFonts w:ascii="Times New Roman" w:hAnsi="Times New Roman" w:cs="Times New Roman"/>
                <w:noProof/>
                <w:sz w:val="24"/>
              </w:rPr>
            </w:pPr>
            <w:r w:rsidRPr="00B03B51">
              <w:rPr>
                <w:rFonts w:ascii="Times New Roman" w:hAnsi="Times New Roman" w:cs="Times New Roman"/>
                <w:sz w:val="24"/>
              </w:rPr>
              <w:t>4</w:t>
            </w:r>
          </w:p>
        </w:tc>
        <w:tc>
          <w:tcPr>
            <w:tcW w:w="908" w:type="pct"/>
            <w:tcBorders>
              <w:top w:val="nil"/>
              <w:left w:val="nil"/>
              <w:bottom w:val="nil"/>
              <w:right w:val="nil"/>
            </w:tcBorders>
            <w:shd w:val="clear" w:color="auto" w:fill="auto"/>
          </w:tcPr>
          <w:p w14:paraId="6398F022" w14:textId="77777777" w:rsidR="00994F93" w:rsidRPr="00B03B51" w:rsidRDefault="00994F93" w:rsidP="001C4B02">
            <w:pPr>
              <w:pStyle w:val="TableParagraph"/>
              <w:jc w:val="both"/>
              <w:rPr>
                <w:rFonts w:ascii="Times New Roman" w:hAnsi="Times New Roman" w:cs="Times New Roman"/>
                <w:noProof/>
                <w:sz w:val="24"/>
              </w:rPr>
            </w:pPr>
            <w:r w:rsidRPr="00B03B51">
              <w:rPr>
                <w:rFonts w:ascii="Times New Roman" w:hAnsi="Times New Roman" w:cs="Times New Roman"/>
                <w:sz w:val="24"/>
              </w:rPr>
              <w:t>4,93</w:t>
            </w:r>
          </w:p>
        </w:tc>
        <w:tc>
          <w:tcPr>
            <w:tcW w:w="617" w:type="pct"/>
            <w:tcBorders>
              <w:top w:val="nil"/>
              <w:left w:val="nil"/>
              <w:bottom w:val="nil"/>
              <w:right w:val="nil"/>
            </w:tcBorders>
            <w:shd w:val="clear" w:color="auto" w:fill="auto"/>
          </w:tcPr>
          <w:p w14:paraId="7D413A17" w14:textId="77777777" w:rsidR="00994F93" w:rsidRPr="00B03B51" w:rsidRDefault="00994F93" w:rsidP="001C4B02">
            <w:pPr>
              <w:pStyle w:val="TableParagraph"/>
              <w:jc w:val="both"/>
              <w:rPr>
                <w:rFonts w:ascii="Times New Roman" w:hAnsi="Times New Roman" w:cs="Times New Roman"/>
                <w:noProof/>
                <w:sz w:val="24"/>
              </w:rPr>
            </w:pPr>
            <w:r w:rsidRPr="00B03B51">
              <w:rPr>
                <w:rFonts w:ascii="Times New Roman" w:hAnsi="Times New Roman" w:cs="Times New Roman"/>
                <w:sz w:val="24"/>
              </w:rPr>
              <w:t>0,93</w:t>
            </w:r>
          </w:p>
        </w:tc>
        <w:tc>
          <w:tcPr>
            <w:tcW w:w="2371" w:type="pct"/>
            <w:tcBorders>
              <w:top w:val="nil"/>
              <w:left w:val="nil"/>
              <w:bottom w:val="nil"/>
              <w:right w:val="single" w:sz="4" w:space="0" w:color="auto"/>
            </w:tcBorders>
            <w:shd w:val="clear" w:color="auto" w:fill="auto"/>
          </w:tcPr>
          <w:p w14:paraId="4A5E7A38" w14:textId="77777777" w:rsidR="00994F93" w:rsidRPr="00B03B51" w:rsidRDefault="00994F93" w:rsidP="001C4B02">
            <w:pPr>
              <w:pStyle w:val="TableParagraph"/>
              <w:jc w:val="both"/>
              <w:rPr>
                <w:rFonts w:ascii="Times New Roman" w:hAnsi="Times New Roman" w:cs="Times New Roman"/>
                <w:noProof/>
                <w:sz w:val="24"/>
              </w:rPr>
            </w:pPr>
            <w:r w:rsidRPr="00B03B51">
              <w:rPr>
                <w:rFonts w:ascii="Times New Roman" w:hAnsi="Times New Roman" w:cs="Times New Roman"/>
                <w:sz w:val="24"/>
              </w:rPr>
              <w:t>123,58</w:t>
            </w:r>
          </w:p>
        </w:tc>
      </w:tr>
      <w:tr w:rsidR="00994F93" w:rsidRPr="00B03B51" w14:paraId="51BAB6E7" w14:textId="77777777" w:rsidTr="009C7585">
        <w:tc>
          <w:tcPr>
            <w:tcW w:w="492" w:type="pct"/>
            <w:tcBorders>
              <w:top w:val="nil"/>
              <w:left w:val="single" w:sz="4" w:space="0" w:color="auto"/>
              <w:bottom w:val="nil"/>
              <w:right w:val="nil"/>
            </w:tcBorders>
            <w:shd w:val="clear" w:color="auto" w:fill="auto"/>
          </w:tcPr>
          <w:p w14:paraId="41A6FF1C" w14:textId="77777777" w:rsidR="00994F93" w:rsidRPr="00B03B51" w:rsidRDefault="00994F93" w:rsidP="001C4B02">
            <w:pPr>
              <w:pStyle w:val="TableParagraph"/>
              <w:jc w:val="both"/>
              <w:rPr>
                <w:rFonts w:ascii="Times New Roman" w:hAnsi="Times New Roman" w:cs="Times New Roman"/>
                <w:noProof/>
                <w:sz w:val="24"/>
              </w:rPr>
            </w:pPr>
            <w:r w:rsidRPr="00B03B51">
              <w:rPr>
                <w:rFonts w:ascii="Times New Roman" w:hAnsi="Times New Roman" w:cs="Times New Roman"/>
                <w:sz w:val="24"/>
              </w:rPr>
              <w:t>8</w:t>
            </w:r>
          </w:p>
        </w:tc>
        <w:tc>
          <w:tcPr>
            <w:tcW w:w="613" w:type="pct"/>
            <w:tcBorders>
              <w:top w:val="nil"/>
              <w:left w:val="nil"/>
              <w:bottom w:val="nil"/>
              <w:right w:val="nil"/>
            </w:tcBorders>
            <w:shd w:val="clear" w:color="auto" w:fill="auto"/>
          </w:tcPr>
          <w:p w14:paraId="3E95B84D" w14:textId="77777777" w:rsidR="00994F93" w:rsidRPr="00B03B51" w:rsidRDefault="00994F93" w:rsidP="001C4B02">
            <w:pPr>
              <w:pStyle w:val="TableParagraph"/>
              <w:jc w:val="both"/>
              <w:rPr>
                <w:rFonts w:ascii="Times New Roman" w:hAnsi="Times New Roman" w:cs="Times New Roman"/>
                <w:noProof/>
                <w:sz w:val="24"/>
              </w:rPr>
            </w:pPr>
            <w:r w:rsidRPr="00B03B51">
              <w:rPr>
                <w:rFonts w:ascii="Times New Roman" w:hAnsi="Times New Roman" w:cs="Times New Roman"/>
                <w:sz w:val="24"/>
              </w:rPr>
              <w:t>4</w:t>
            </w:r>
          </w:p>
        </w:tc>
        <w:tc>
          <w:tcPr>
            <w:tcW w:w="908" w:type="pct"/>
            <w:tcBorders>
              <w:top w:val="nil"/>
              <w:left w:val="nil"/>
              <w:bottom w:val="nil"/>
              <w:right w:val="nil"/>
            </w:tcBorders>
            <w:shd w:val="clear" w:color="auto" w:fill="auto"/>
          </w:tcPr>
          <w:p w14:paraId="10CC47BA" w14:textId="77777777" w:rsidR="00994F93" w:rsidRPr="00B03B51" w:rsidRDefault="00994F93" w:rsidP="001C4B02">
            <w:pPr>
              <w:pStyle w:val="TableParagraph"/>
              <w:jc w:val="both"/>
              <w:rPr>
                <w:rFonts w:ascii="Times New Roman" w:hAnsi="Times New Roman" w:cs="Times New Roman"/>
                <w:noProof/>
                <w:sz w:val="24"/>
              </w:rPr>
            </w:pPr>
            <w:r w:rsidRPr="00B03B51">
              <w:rPr>
                <w:rFonts w:ascii="Times New Roman" w:hAnsi="Times New Roman" w:cs="Times New Roman"/>
                <w:sz w:val="24"/>
              </w:rPr>
              <w:t>4,96</w:t>
            </w:r>
          </w:p>
        </w:tc>
        <w:tc>
          <w:tcPr>
            <w:tcW w:w="617" w:type="pct"/>
            <w:tcBorders>
              <w:top w:val="nil"/>
              <w:left w:val="nil"/>
              <w:bottom w:val="nil"/>
              <w:right w:val="nil"/>
            </w:tcBorders>
            <w:shd w:val="clear" w:color="auto" w:fill="auto"/>
          </w:tcPr>
          <w:p w14:paraId="07E877AD" w14:textId="77777777" w:rsidR="00994F93" w:rsidRPr="00B03B51" w:rsidRDefault="00994F93" w:rsidP="001C4B02">
            <w:pPr>
              <w:pStyle w:val="TableParagraph"/>
              <w:jc w:val="both"/>
              <w:rPr>
                <w:rFonts w:ascii="Times New Roman" w:hAnsi="Times New Roman" w:cs="Times New Roman"/>
                <w:noProof/>
                <w:sz w:val="24"/>
              </w:rPr>
            </w:pPr>
            <w:r w:rsidRPr="00B03B51">
              <w:rPr>
                <w:rFonts w:ascii="Times New Roman" w:hAnsi="Times New Roman" w:cs="Times New Roman"/>
                <w:sz w:val="24"/>
              </w:rPr>
              <w:t>0,96</w:t>
            </w:r>
          </w:p>
        </w:tc>
        <w:tc>
          <w:tcPr>
            <w:tcW w:w="2371" w:type="pct"/>
            <w:tcBorders>
              <w:top w:val="nil"/>
              <w:left w:val="nil"/>
              <w:bottom w:val="nil"/>
              <w:right w:val="single" w:sz="4" w:space="0" w:color="auto"/>
            </w:tcBorders>
            <w:shd w:val="clear" w:color="auto" w:fill="auto"/>
          </w:tcPr>
          <w:p w14:paraId="7C43D7CC" w14:textId="77777777" w:rsidR="00994F93" w:rsidRPr="00B03B51" w:rsidRDefault="00994F93" w:rsidP="001C4B02">
            <w:pPr>
              <w:pStyle w:val="TableParagraph"/>
              <w:jc w:val="both"/>
              <w:rPr>
                <w:rFonts w:ascii="Times New Roman" w:hAnsi="Times New Roman" w:cs="Times New Roman"/>
                <w:noProof/>
                <w:sz w:val="24"/>
              </w:rPr>
            </w:pPr>
            <w:r w:rsidRPr="00B03B51">
              <w:rPr>
                <w:rFonts w:ascii="Times New Roman" w:hAnsi="Times New Roman" w:cs="Times New Roman"/>
                <w:sz w:val="24"/>
              </w:rPr>
              <w:t>124,54</w:t>
            </w:r>
          </w:p>
        </w:tc>
      </w:tr>
      <w:tr w:rsidR="00994F93" w:rsidRPr="00B03B51" w14:paraId="2FA9280A" w14:textId="77777777" w:rsidTr="009C7585">
        <w:tc>
          <w:tcPr>
            <w:tcW w:w="492" w:type="pct"/>
            <w:tcBorders>
              <w:top w:val="nil"/>
              <w:left w:val="single" w:sz="4" w:space="0" w:color="auto"/>
              <w:bottom w:val="nil"/>
              <w:right w:val="nil"/>
            </w:tcBorders>
            <w:shd w:val="clear" w:color="auto" w:fill="auto"/>
          </w:tcPr>
          <w:p w14:paraId="03079742" w14:textId="77777777" w:rsidR="00994F93" w:rsidRPr="00B03B51" w:rsidRDefault="00994F93" w:rsidP="001C4B02">
            <w:pPr>
              <w:pStyle w:val="TableParagraph"/>
              <w:jc w:val="both"/>
              <w:rPr>
                <w:rFonts w:ascii="Times New Roman" w:hAnsi="Times New Roman" w:cs="Times New Roman"/>
                <w:noProof/>
                <w:sz w:val="24"/>
              </w:rPr>
            </w:pPr>
            <w:r w:rsidRPr="00B03B51">
              <w:rPr>
                <w:rFonts w:ascii="Times New Roman" w:hAnsi="Times New Roman" w:cs="Times New Roman"/>
                <w:sz w:val="24"/>
              </w:rPr>
              <w:t>9</w:t>
            </w:r>
          </w:p>
        </w:tc>
        <w:tc>
          <w:tcPr>
            <w:tcW w:w="613" w:type="pct"/>
            <w:tcBorders>
              <w:top w:val="nil"/>
              <w:left w:val="nil"/>
              <w:bottom w:val="nil"/>
              <w:right w:val="nil"/>
            </w:tcBorders>
            <w:shd w:val="clear" w:color="auto" w:fill="auto"/>
          </w:tcPr>
          <w:p w14:paraId="55428290" w14:textId="77777777" w:rsidR="00994F93" w:rsidRPr="00B03B51" w:rsidRDefault="00994F93" w:rsidP="001C4B02">
            <w:pPr>
              <w:pStyle w:val="TableParagraph"/>
              <w:jc w:val="both"/>
              <w:rPr>
                <w:rFonts w:ascii="Times New Roman" w:hAnsi="Times New Roman" w:cs="Times New Roman"/>
                <w:noProof/>
                <w:sz w:val="24"/>
              </w:rPr>
            </w:pPr>
            <w:r w:rsidRPr="00B03B51">
              <w:rPr>
                <w:rFonts w:ascii="Times New Roman" w:hAnsi="Times New Roman" w:cs="Times New Roman"/>
                <w:sz w:val="24"/>
              </w:rPr>
              <w:t>4</w:t>
            </w:r>
          </w:p>
        </w:tc>
        <w:tc>
          <w:tcPr>
            <w:tcW w:w="908" w:type="pct"/>
            <w:tcBorders>
              <w:top w:val="nil"/>
              <w:left w:val="nil"/>
              <w:bottom w:val="nil"/>
              <w:right w:val="nil"/>
            </w:tcBorders>
            <w:shd w:val="clear" w:color="auto" w:fill="auto"/>
          </w:tcPr>
          <w:p w14:paraId="7397A202" w14:textId="77777777" w:rsidR="00994F93" w:rsidRPr="00B03B51" w:rsidRDefault="00994F93" w:rsidP="001C4B02">
            <w:pPr>
              <w:pStyle w:val="TableParagraph"/>
              <w:jc w:val="both"/>
              <w:rPr>
                <w:rFonts w:ascii="Times New Roman" w:hAnsi="Times New Roman" w:cs="Times New Roman"/>
                <w:noProof/>
                <w:sz w:val="24"/>
              </w:rPr>
            </w:pPr>
            <w:r w:rsidRPr="00B03B51">
              <w:rPr>
                <w:rFonts w:ascii="Times New Roman" w:hAnsi="Times New Roman" w:cs="Times New Roman"/>
                <w:sz w:val="24"/>
              </w:rPr>
              <w:t>5,00</w:t>
            </w:r>
          </w:p>
        </w:tc>
        <w:tc>
          <w:tcPr>
            <w:tcW w:w="617" w:type="pct"/>
            <w:tcBorders>
              <w:top w:val="nil"/>
              <w:left w:val="nil"/>
              <w:bottom w:val="nil"/>
              <w:right w:val="nil"/>
            </w:tcBorders>
            <w:shd w:val="clear" w:color="auto" w:fill="auto"/>
          </w:tcPr>
          <w:p w14:paraId="1B2F1373" w14:textId="77777777" w:rsidR="00994F93" w:rsidRPr="00B03B51" w:rsidRDefault="00994F93" w:rsidP="001C4B02">
            <w:pPr>
              <w:pStyle w:val="TableParagraph"/>
              <w:jc w:val="both"/>
              <w:rPr>
                <w:rFonts w:ascii="Times New Roman" w:hAnsi="Times New Roman" w:cs="Times New Roman"/>
                <w:noProof/>
                <w:sz w:val="24"/>
              </w:rPr>
            </w:pPr>
            <w:r w:rsidRPr="00B03B51">
              <w:rPr>
                <w:rFonts w:ascii="Times New Roman" w:hAnsi="Times New Roman" w:cs="Times New Roman"/>
                <w:sz w:val="24"/>
              </w:rPr>
              <w:t>1.00</w:t>
            </w:r>
          </w:p>
        </w:tc>
        <w:tc>
          <w:tcPr>
            <w:tcW w:w="2371" w:type="pct"/>
            <w:tcBorders>
              <w:top w:val="nil"/>
              <w:left w:val="nil"/>
              <w:bottom w:val="nil"/>
              <w:right w:val="single" w:sz="4" w:space="0" w:color="auto"/>
            </w:tcBorders>
            <w:shd w:val="clear" w:color="auto" w:fill="auto"/>
          </w:tcPr>
          <w:p w14:paraId="7809EBD4" w14:textId="77777777" w:rsidR="00994F93" w:rsidRPr="00B03B51" w:rsidRDefault="00994F93" w:rsidP="001C4B02">
            <w:pPr>
              <w:pStyle w:val="TableParagraph"/>
              <w:jc w:val="both"/>
              <w:rPr>
                <w:rFonts w:ascii="Times New Roman" w:hAnsi="Times New Roman" w:cs="Times New Roman"/>
                <w:noProof/>
                <w:sz w:val="24"/>
              </w:rPr>
            </w:pPr>
            <w:r w:rsidRPr="00B03B51">
              <w:rPr>
                <w:rFonts w:ascii="Times New Roman" w:hAnsi="Times New Roman" w:cs="Times New Roman"/>
                <w:sz w:val="24"/>
              </w:rPr>
              <w:t>125,55</w:t>
            </w:r>
          </w:p>
        </w:tc>
      </w:tr>
      <w:tr w:rsidR="00994F93" w:rsidRPr="00B03B51" w14:paraId="47CBDF68" w14:textId="77777777" w:rsidTr="009C7585">
        <w:tc>
          <w:tcPr>
            <w:tcW w:w="492" w:type="pct"/>
            <w:tcBorders>
              <w:top w:val="nil"/>
              <w:left w:val="single" w:sz="4" w:space="0" w:color="auto"/>
              <w:bottom w:val="nil"/>
              <w:right w:val="nil"/>
            </w:tcBorders>
            <w:shd w:val="clear" w:color="auto" w:fill="auto"/>
          </w:tcPr>
          <w:p w14:paraId="0771E393" w14:textId="77777777" w:rsidR="00994F93" w:rsidRPr="00B03B51" w:rsidRDefault="00994F93" w:rsidP="001C4B02">
            <w:pPr>
              <w:pStyle w:val="TableParagraph"/>
              <w:jc w:val="both"/>
              <w:rPr>
                <w:rFonts w:ascii="Times New Roman" w:hAnsi="Times New Roman" w:cs="Times New Roman"/>
                <w:noProof/>
                <w:sz w:val="24"/>
              </w:rPr>
            </w:pPr>
            <w:r w:rsidRPr="00B03B51">
              <w:rPr>
                <w:rFonts w:ascii="Times New Roman" w:hAnsi="Times New Roman" w:cs="Times New Roman"/>
                <w:sz w:val="24"/>
              </w:rPr>
              <w:t>10</w:t>
            </w:r>
          </w:p>
        </w:tc>
        <w:tc>
          <w:tcPr>
            <w:tcW w:w="613" w:type="pct"/>
            <w:tcBorders>
              <w:top w:val="nil"/>
              <w:left w:val="nil"/>
              <w:bottom w:val="nil"/>
              <w:right w:val="nil"/>
            </w:tcBorders>
            <w:shd w:val="clear" w:color="auto" w:fill="auto"/>
          </w:tcPr>
          <w:p w14:paraId="37342D02" w14:textId="77777777" w:rsidR="00994F93" w:rsidRPr="00B03B51" w:rsidRDefault="00994F93" w:rsidP="001C4B02">
            <w:pPr>
              <w:pStyle w:val="TableParagraph"/>
              <w:jc w:val="both"/>
              <w:rPr>
                <w:rFonts w:ascii="Times New Roman" w:hAnsi="Times New Roman" w:cs="Times New Roman"/>
                <w:noProof/>
                <w:sz w:val="24"/>
              </w:rPr>
            </w:pPr>
            <w:r w:rsidRPr="00B03B51">
              <w:rPr>
                <w:rFonts w:ascii="Times New Roman" w:hAnsi="Times New Roman" w:cs="Times New Roman"/>
                <w:sz w:val="24"/>
              </w:rPr>
              <w:t>4</w:t>
            </w:r>
          </w:p>
        </w:tc>
        <w:tc>
          <w:tcPr>
            <w:tcW w:w="908" w:type="pct"/>
            <w:tcBorders>
              <w:top w:val="nil"/>
              <w:left w:val="nil"/>
              <w:bottom w:val="nil"/>
              <w:right w:val="nil"/>
            </w:tcBorders>
            <w:shd w:val="clear" w:color="auto" w:fill="auto"/>
          </w:tcPr>
          <w:p w14:paraId="67AF7ED0" w14:textId="77777777" w:rsidR="00994F93" w:rsidRPr="00B03B51" w:rsidRDefault="00994F93" w:rsidP="001C4B02">
            <w:pPr>
              <w:pStyle w:val="TableParagraph"/>
              <w:jc w:val="both"/>
              <w:rPr>
                <w:rFonts w:ascii="Times New Roman" w:hAnsi="Times New Roman" w:cs="Times New Roman"/>
                <w:noProof/>
                <w:sz w:val="24"/>
              </w:rPr>
            </w:pPr>
            <w:r w:rsidRPr="00B03B51">
              <w:rPr>
                <w:rFonts w:ascii="Times New Roman" w:hAnsi="Times New Roman" w:cs="Times New Roman"/>
                <w:sz w:val="24"/>
              </w:rPr>
              <w:t>5,05</w:t>
            </w:r>
          </w:p>
        </w:tc>
        <w:tc>
          <w:tcPr>
            <w:tcW w:w="617" w:type="pct"/>
            <w:tcBorders>
              <w:top w:val="nil"/>
              <w:left w:val="nil"/>
              <w:bottom w:val="nil"/>
              <w:right w:val="nil"/>
            </w:tcBorders>
            <w:shd w:val="clear" w:color="auto" w:fill="auto"/>
          </w:tcPr>
          <w:p w14:paraId="52A0F0A4" w14:textId="77777777" w:rsidR="00994F93" w:rsidRPr="00B03B51" w:rsidRDefault="00994F93" w:rsidP="001C4B02">
            <w:pPr>
              <w:pStyle w:val="TableParagraph"/>
              <w:jc w:val="both"/>
              <w:rPr>
                <w:rFonts w:ascii="Times New Roman" w:hAnsi="Times New Roman" w:cs="Times New Roman"/>
                <w:noProof/>
                <w:sz w:val="24"/>
              </w:rPr>
            </w:pPr>
            <w:r w:rsidRPr="00B03B51">
              <w:rPr>
                <w:rFonts w:ascii="Times New Roman" w:hAnsi="Times New Roman" w:cs="Times New Roman"/>
                <w:sz w:val="24"/>
              </w:rPr>
              <w:t>1,05</w:t>
            </w:r>
          </w:p>
        </w:tc>
        <w:tc>
          <w:tcPr>
            <w:tcW w:w="2371" w:type="pct"/>
            <w:tcBorders>
              <w:top w:val="nil"/>
              <w:left w:val="nil"/>
              <w:bottom w:val="nil"/>
              <w:right w:val="single" w:sz="4" w:space="0" w:color="auto"/>
            </w:tcBorders>
            <w:shd w:val="clear" w:color="auto" w:fill="auto"/>
          </w:tcPr>
          <w:p w14:paraId="033C9FD2" w14:textId="77777777" w:rsidR="00994F93" w:rsidRPr="00B03B51" w:rsidRDefault="00994F93" w:rsidP="001C4B02">
            <w:pPr>
              <w:pStyle w:val="TableParagraph"/>
              <w:jc w:val="both"/>
              <w:rPr>
                <w:rFonts w:ascii="Times New Roman" w:hAnsi="Times New Roman" w:cs="Times New Roman"/>
                <w:noProof/>
                <w:sz w:val="24"/>
              </w:rPr>
            </w:pPr>
            <w:r w:rsidRPr="00B03B51">
              <w:rPr>
                <w:rFonts w:ascii="Times New Roman" w:hAnsi="Times New Roman" w:cs="Times New Roman"/>
                <w:sz w:val="24"/>
              </w:rPr>
              <w:t>126,59</w:t>
            </w:r>
          </w:p>
        </w:tc>
      </w:tr>
      <w:tr w:rsidR="00994F93" w:rsidRPr="00B03B51" w14:paraId="7167BA18" w14:textId="77777777" w:rsidTr="009C7585">
        <w:tc>
          <w:tcPr>
            <w:tcW w:w="492" w:type="pct"/>
            <w:tcBorders>
              <w:top w:val="nil"/>
              <w:left w:val="single" w:sz="4" w:space="0" w:color="auto"/>
              <w:bottom w:val="nil"/>
              <w:right w:val="nil"/>
            </w:tcBorders>
            <w:shd w:val="clear" w:color="auto" w:fill="auto"/>
          </w:tcPr>
          <w:p w14:paraId="73466163" w14:textId="77777777" w:rsidR="00994F93" w:rsidRPr="00B03B51" w:rsidRDefault="00994F93" w:rsidP="001C4B02">
            <w:pPr>
              <w:pStyle w:val="TableParagraph"/>
              <w:jc w:val="both"/>
              <w:rPr>
                <w:rFonts w:ascii="Times New Roman" w:hAnsi="Times New Roman" w:cs="Times New Roman"/>
                <w:noProof/>
                <w:sz w:val="24"/>
              </w:rPr>
            </w:pPr>
            <w:r w:rsidRPr="00B03B51">
              <w:rPr>
                <w:rFonts w:ascii="Times New Roman" w:hAnsi="Times New Roman" w:cs="Times New Roman"/>
                <w:sz w:val="24"/>
              </w:rPr>
              <w:t>11</w:t>
            </w:r>
          </w:p>
        </w:tc>
        <w:tc>
          <w:tcPr>
            <w:tcW w:w="613" w:type="pct"/>
            <w:tcBorders>
              <w:top w:val="nil"/>
              <w:left w:val="nil"/>
              <w:bottom w:val="nil"/>
              <w:right w:val="nil"/>
            </w:tcBorders>
            <w:shd w:val="clear" w:color="auto" w:fill="auto"/>
          </w:tcPr>
          <w:p w14:paraId="6E13042E" w14:textId="77777777" w:rsidR="00994F93" w:rsidRPr="00B03B51" w:rsidRDefault="00994F93" w:rsidP="001C4B02">
            <w:pPr>
              <w:pStyle w:val="TableParagraph"/>
              <w:jc w:val="both"/>
              <w:rPr>
                <w:rFonts w:ascii="Times New Roman" w:hAnsi="Times New Roman" w:cs="Times New Roman"/>
                <w:noProof/>
                <w:sz w:val="24"/>
              </w:rPr>
            </w:pPr>
            <w:r w:rsidRPr="00B03B51">
              <w:rPr>
                <w:rFonts w:ascii="Times New Roman" w:hAnsi="Times New Roman" w:cs="Times New Roman"/>
                <w:sz w:val="24"/>
              </w:rPr>
              <w:t>10</w:t>
            </w:r>
          </w:p>
        </w:tc>
        <w:tc>
          <w:tcPr>
            <w:tcW w:w="908" w:type="pct"/>
            <w:tcBorders>
              <w:top w:val="nil"/>
              <w:left w:val="nil"/>
              <w:bottom w:val="nil"/>
              <w:right w:val="nil"/>
            </w:tcBorders>
            <w:shd w:val="clear" w:color="auto" w:fill="auto"/>
          </w:tcPr>
          <w:p w14:paraId="6A94443B" w14:textId="77777777" w:rsidR="00994F93" w:rsidRPr="00B03B51" w:rsidRDefault="00994F93" w:rsidP="001C4B02">
            <w:pPr>
              <w:pStyle w:val="TableParagraph"/>
              <w:jc w:val="both"/>
              <w:rPr>
                <w:rFonts w:ascii="Times New Roman" w:hAnsi="Times New Roman" w:cs="Times New Roman"/>
                <w:noProof/>
                <w:sz w:val="24"/>
              </w:rPr>
            </w:pPr>
            <w:r w:rsidRPr="00B03B51">
              <w:rPr>
                <w:rFonts w:ascii="Times New Roman" w:hAnsi="Times New Roman" w:cs="Times New Roman"/>
                <w:sz w:val="24"/>
              </w:rPr>
              <w:t>5,09</w:t>
            </w:r>
          </w:p>
        </w:tc>
        <w:tc>
          <w:tcPr>
            <w:tcW w:w="617" w:type="pct"/>
            <w:tcBorders>
              <w:top w:val="nil"/>
              <w:left w:val="nil"/>
              <w:bottom w:val="nil"/>
              <w:right w:val="nil"/>
            </w:tcBorders>
            <w:shd w:val="clear" w:color="auto" w:fill="auto"/>
          </w:tcPr>
          <w:p w14:paraId="550A7E73" w14:textId="77777777" w:rsidR="00994F93" w:rsidRPr="00B03B51" w:rsidRDefault="00994F93" w:rsidP="001C4B02">
            <w:pPr>
              <w:pStyle w:val="TableParagraph"/>
              <w:jc w:val="both"/>
              <w:rPr>
                <w:rFonts w:ascii="Times New Roman" w:hAnsi="Times New Roman" w:cs="Times New Roman"/>
                <w:noProof/>
                <w:sz w:val="24"/>
              </w:rPr>
            </w:pPr>
            <w:r w:rsidRPr="00B03B51">
              <w:rPr>
                <w:rFonts w:ascii="Times New Roman" w:hAnsi="Times New Roman" w:cs="Times New Roman"/>
                <w:sz w:val="24"/>
              </w:rPr>
              <w:t>-4,91</w:t>
            </w:r>
          </w:p>
        </w:tc>
        <w:tc>
          <w:tcPr>
            <w:tcW w:w="2371" w:type="pct"/>
            <w:tcBorders>
              <w:top w:val="nil"/>
              <w:left w:val="nil"/>
              <w:bottom w:val="nil"/>
              <w:right w:val="single" w:sz="4" w:space="0" w:color="auto"/>
            </w:tcBorders>
            <w:shd w:val="clear" w:color="auto" w:fill="auto"/>
          </w:tcPr>
          <w:p w14:paraId="0EA1D4A7" w14:textId="77777777" w:rsidR="00994F93" w:rsidRPr="00B03B51" w:rsidRDefault="00994F93" w:rsidP="001C4B02">
            <w:pPr>
              <w:pStyle w:val="TableParagraph"/>
              <w:jc w:val="both"/>
              <w:rPr>
                <w:rFonts w:ascii="Times New Roman" w:hAnsi="Times New Roman" w:cs="Times New Roman"/>
                <w:noProof/>
                <w:sz w:val="24"/>
              </w:rPr>
            </w:pPr>
            <w:r w:rsidRPr="00B03B51">
              <w:rPr>
                <w:rFonts w:ascii="Times New Roman" w:hAnsi="Times New Roman" w:cs="Times New Roman"/>
                <w:sz w:val="24"/>
              </w:rPr>
              <w:t>121,68</w:t>
            </w:r>
          </w:p>
        </w:tc>
      </w:tr>
      <w:tr w:rsidR="00994F93" w:rsidRPr="00B03B51" w14:paraId="584B2184" w14:textId="77777777" w:rsidTr="009C7585">
        <w:tc>
          <w:tcPr>
            <w:tcW w:w="492" w:type="pct"/>
            <w:tcBorders>
              <w:top w:val="nil"/>
              <w:left w:val="single" w:sz="4" w:space="0" w:color="auto"/>
              <w:bottom w:val="nil"/>
              <w:right w:val="nil"/>
            </w:tcBorders>
            <w:shd w:val="clear" w:color="auto" w:fill="auto"/>
          </w:tcPr>
          <w:p w14:paraId="335B2A19" w14:textId="77777777" w:rsidR="00994F93" w:rsidRPr="00B03B51" w:rsidRDefault="00994F93" w:rsidP="001C4B02">
            <w:pPr>
              <w:pStyle w:val="TableParagraph"/>
              <w:jc w:val="both"/>
              <w:rPr>
                <w:rFonts w:ascii="Times New Roman" w:hAnsi="Times New Roman" w:cs="Times New Roman"/>
                <w:noProof/>
                <w:sz w:val="24"/>
              </w:rPr>
            </w:pPr>
            <w:r w:rsidRPr="00B03B51">
              <w:rPr>
                <w:rFonts w:ascii="Times New Roman" w:hAnsi="Times New Roman" w:cs="Times New Roman"/>
                <w:sz w:val="24"/>
              </w:rPr>
              <w:t>12</w:t>
            </w:r>
          </w:p>
        </w:tc>
        <w:tc>
          <w:tcPr>
            <w:tcW w:w="613" w:type="pct"/>
            <w:tcBorders>
              <w:top w:val="nil"/>
              <w:left w:val="nil"/>
              <w:bottom w:val="nil"/>
              <w:right w:val="nil"/>
            </w:tcBorders>
            <w:shd w:val="clear" w:color="auto" w:fill="auto"/>
          </w:tcPr>
          <w:p w14:paraId="4B6AD2D4" w14:textId="77777777" w:rsidR="00994F93" w:rsidRPr="00B03B51" w:rsidRDefault="00994F93" w:rsidP="001C4B02">
            <w:pPr>
              <w:pStyle w:val="TableParagraph"/>
              <w:jc w:val="both"/>
              <w:rPr>
                <w:rFonts w:ascii="Times New Roman" w:hAnsi="Times New Roman" w:cs="Times New Roman"/>
                <w:noProof/>
                <w:sz w:val="24"/>
              </w:rPr>
            </w:pPr>
            <w:r w:rsidRPr="00B03B51">
              <w:rPr>
                <w:rFonts w:ascii="Times New Roman" w:hAnsi="Times New Roman" w:cs="Times New Roman"/>
                <w:sz w:val="24"/>
              </w:rPr>
              <w:t>10</w:t>
            </w:r>
          </w:p>
        </w:tc>
        <w:tc>
          <w:tcPr>
            <w:tcW w:w="908" w:type="pct"/>
            <w:tcBorders>
              <w:top w:val="nil"/>
              <w:left w:val="nil"/>
              <w:bottom w:val="nil"/>
              <w:right w:val="nil"/>
            </w:tcBorders>
            <w:shd w:val="clear" w:color="auto" w:fill="auto"/>
          </w:tcPr>
          <w:p w14:paraId="5C26EF5F" w14:textId="77777777" w:rsidR="00994F93" w:rsidRPr="00B03B51" w:rsidRDefault="00994F93" w:rsidP="001C4B02">
            <w:pPr>
              <w:pStyle w:val="TableParagraph"/>
              <w:jc w:val="both"/>
              <w:rPr>
                <w:rFonts w:ascii="Times New Roman" w:hAnsi="Times New Roman" w:cs="Times New Roman"/>
                <w:noProof/>
                <w:sz w:val="24"/>
              </w:rPr>
            </w:pPr>
            <w:r w:rsidRPr="00B03B51">
              <w:rPr>
                <w:rFonts w:ascii="Times New Roman" w:hAnsi="Times New Roman" w:cs="Times New Roman"/>
                <w:sz w:val="24"/>
              </w:rPr>
              <w:t>4,89</w:t>
            </w:r>
          </w:p>
        </w:tc>
        <w:tc>
          <w:tcPr>
            <w:tcW w:w="617" w:type="pct"/>
            <w:tcBorders>
              <w:top w:val="nil"/>
              <w:left w:val="nil"/>
              <w:bottom w:val="nil"/>
              <w:right w:val="nil"/>
            </w:tcBorders>
            <w:shd w:val="clear" w:color="auto" w:fill="auto"/>
          </w:tcPr>
          <w:p w14:paraId="5CB9FFFA" w14:textId="77777777" w:rsidR="00994F93" w:rsidRPr="00B03B51" w:rsidRDefault="00994F93" w:rsidP="001C4B02">
            <w:pPr>
              <w:pStyle w:val="TableParagraph"/>
              <w:jc w:val="both"/>
              <w:rPr>
                <w:rFonts w:ascii="Times New Roman" w:hAnsi="Times New Roman" w:cs="Times New Roman"/>
                <w:noProof/>
                <w:sz w:val="24"/>
              </w:rPr>
            </w:pPr>
            <w:r w:rsidRPr="00B03B51">
              <w:rPr>
                <w:rFonts w:ascii="Times New Roman" w:hAnsi="Times New Roman" w:cs="Times New Roman"/>
                <w:sz w:val="24"/>
              </w:rPr>
              <w:t>-5,11</w:t>
            </w:r>
          </w:p>
        </w:tc>
        <w:tc>
          <w:tcPr>
            <w:tcW w:w="2371" w:type="pct"/>
            <w:tcBorders>
              <w:top w:val="nil"/>
              <w:left w:val="nil"/>
              <w:bottom w:val="nil"/>
              <w:right w:val="single" w:sz="4" w:space="0" w:color="auto"/>
            </w:tcBorders>
            <w:shd w:val="clear" w:color="auto" w:fill="auto"/>
          </w:tcPr>
          <w:p w14:paraId="669E0C4F" w14:textId="77777777" w:rsidR="00994F93" w:rsidRPr="00B03B51" w:rsidRDefault="00994F93" w:rsidP="001C4B02">
            <w:pPr>
              <w:pStyle w:val="TableParagraph"/>
              <w:jc w:val="both"/>
              <w:rPr>
                <w:rFonts w:ascii="Times New Roman" w:hAnsi="Times New Roman" w:cs="Times New Roman"/>
                <w:noProof/>
                <w:sz w:val="24"/>
              </w:rPr>
            </w:pPr>
            <w:r w:rsidRPr="00B03B51">
              <w:rPr>
                <w:rFonts w:ascii="Times New Roman" w:hAnsi="Times New Roman" w:cs="Times New Roman"/>
                <w:sz w:val="24"/>
              </w:rPr>
              <w:t>116,58</w:t>
            </w:r>
          </w:p>
        </w:tc>
      </w:tr>
      <w:tr w:rsidR="00994F93" w:rsidRPr="00B03B51" w14:paraId="5FBB8D1E" w14:textId="77777777" w:rsidTr="009C7585">
        <w:tc>
          <w:tcPr>
            <w:tcW w:w="492" w:type="pct"/>
            <w:tcBorders>
              <w:top w:val="nil"/>
              <w:left w:val="single" w:sz="4" w:space="0" w:color="auto"/>
              <w:bottom w:val="nil"/>
              <w:right w:val="nil"/>
            </w:tcBorders>
            <w:shd w:val="clear" w:color="auto" w:fill="auto"/>
          </w:tcPr>
          <w:p w14:paraId="5551B798" w14:textId="77777777" w:rsidR="00994F93" w:rsidRPr="00B03B51" w:rsidRDefault="00994F93" w:rsidP="001C4B02">
            <w:pPr>
              <w:pStyle w:val="TableParagraph"/>
              <w:jc w:val="both"/>
              <w:rPr>
                <w:rFonts w:ascii="Times New Roman" w:hAnsi="Times New Roman" w:cs="Times New Roman"/>
                <w:noProof/>
                <w:sz w:val="24"/>
              </w:rPr>
            </w:pPr>
            <w:r w:rsidRPr="00B03B51">
              <w:rPr>
                <w:rFonts w:ascii="Times New Roman" w:hAnsi="Times New Roman" w:cs="Times New Roman"/>
                <w:sz w:val="24"/>
              </w:rPr>
              <w:t>13</w:t>
            </w:r>
          </w:p>
        </w:tc>
        <w:tc>
          <w:tcPr>
            <w:tcW w:w="613" w:type="pct"/>
            <w:tcBorders>
              <w:top w:val="nil"/>
              <w:left w:val="nil"/>
              <w:bottom w:val="nil"/>
              <w:right w:val="nil"/>
            </w:tcBorders>
            <w:shd w:val="clear" w:color="auto" w:fill="auto"/>
          </w:tcPr>
          <w:p w14:paraId="3AFD189D" w14:textId="77777777" w:rsidR="00994F93" w:rsidRPr="00B03B51" w:rsidRDefault="00994F93" w:rsidP="001C4B02">
            <w:pPr>
              <w:pStyle w:val="TableParagraph"/>
              <w:jc w:val="both"/>
              <w:rPr>
                <w:rFonts w:ascii="Times New Roman" w:hAnsi="Times New Roman" w:cs="Times New Roman"/>
                <w:noProof/>
                <w:sz w:val="24"/>
              </w:rPr>
            </w:pPr>
            <w:r w:rsidRPr="00B03B51">
              <w:rPr>
                <w:rFonts w:ascii="Times New Roman" w:hAnsi="Times New Roman" w:cs="Times New Roman"/>
                <w:sz w:val="24"/>
              </w:rPr>
              <w:t>10</w:t>
            </w:r>
          </w:p>
        </w:tc>
        <w:tc>
          <w:tcPr>
            <w:tcW w:w="908" w:type="pct"/>
            <w:tcBorders>
              <w:top w:val="nil"/>
              <w:left w:val="nil"/>
              <w:bottom w:val="nil"/>
              <w:right w:val="nil"/>
            </w:tcBorders>
            <w:shd w:val="clear" w:color="auto" w:fill="auto"/>
          </w:tcPr>
          <w:p w14:paraId="1AA60313" w14:textId="77777777" w:rsidR="00994F93" w:rsidRPr="00B03B51" w:rsidRDefault="00994F93" w:rsidP="001C4B02">
            <w:pPr>
              <w:pStyle w:val="TableParagraph"/>
              <w:jc w:val="both"/>
              <w:rPr>
                <w:rFonts w:ascii="Times New Roman" w:hAnsi="Times New Roman" w:cs="Times New Roman"/>
                <w:noProof/>
                <w:sz w:val="24"/>
              </w:rPr>
            </w:pPr>
            <w:r w:rsidRPr="00B03B51">
              <w:rPr>
                <w:rFonts w:ascii="Times New Roman" w:hAnsi="Times New Roman" w:cs="Times New Roman"/>
                <w:sz w:val="24"/>
              </w:rPr>
              <w:t>4,69</w:t>
            </w:r>
          </w:p>
        </w:tc>
        <w:tc>
          <w:tcPr>
            <w:tcW w:w="617" w:type="pct"/>
            <w:tcBorders>
              <w:top w:val="nil"/>
              <w:left w:val="nil"/>
              <w:bottom w:val="nil"/>
              <w:right w:val="nil"/>
            </w:tcBorders>
            <w:shd w:val="clear" w:color="auto" w:fill="auto"/>
          </w:tcPr>
          <w:p w14:paraId="6DD0A0AE" w14:textId="77777777" w:rsidR="00994F93" w:rsidRPr="00B03B51" w:rsidRDefault="00994F93" w:rsidP="001C4B02">
            <w:pPr>
              <w:pStyle w:val="TableParagraph"/>
              <w:jc w:val="both"/>
              <w:rPr>
                <w:rFonts w:ascii="Times New Roman" w:hAnsi="Times New Roman" w:cs="Times New Roman"/>
                <w:noProof/>
                <w:sz w:val="24"/>
              </w:rPr>
            </w:pPr>
            <w:r w:rsidRPr="00B03B51">
              <w:rPr>
                <w:rFonts w:ascii="Times New Roman" w:hAnsi="Times New Roman" w:cs="Times New Roman"/>
                <w:sz w:val="24"/>
              </w:rPr>
              <w:t>-5,31</w:t>
            </w:r>
          </w:p>
        </w:tc>
        <w:tc>
          <w:tcPr>
            <w:tcW w:w="2371" w:type="pct"/>
            <w:tcBorders>
              <w:top w:val="nil"/>
              <w:left w:val="nil"/>
              <w:bottom w:val="nil"/>
              <w:right w:val="single" w:sz="4" w:space="0" w:color="auto"/>
            </w:tcBorders>
            <w:shd w:val="clear" w:color="auto" w:fill="auto"/>
          </w:tcPr>
          <w:p w14:paraId="77B11690" w14:textId="77777777" w:rsidR="00994F93" w:rsidRPr="00B03B51" w:rsidRDefault="00994F93" w:rsidP="001C4B02">
            <w:pPr>
              <w:pStyle w:val="TableParagraph"/>
              <w:jc w:val="both"/>
              <w:rPr>
                <w:rFonts w:ascii="Times New Roman" w:hAnsi="Times New Roman" w:cs="Times New Roman"/>
                <w:noProof/>
                <w:sz w:val="24"/>
              </w:rPr>
            </w:pPr>
            <w:r w:rsidRPr="00B03B51">
              <w:rPr>
                <w:rFonts w:ascii="Times New Roman" w:hAnsi="Times New Roman" w:cs="Times New Roman"/>
                <w:sz w:val="24"/>
              </w:rPr>
              <w:t>111,26</w:t>
            </w:r>
          </w:p>
        </w:tc>
      </w:tr>
      <w:tr w:rsidR="00994F93" w:rsidRPr="00B03B51" w14:paraId="6553CEEB" w14:textId="77777777" w:rsidTr="009C7585">
        <w:tc>
          <w:tcPr>
            <w:tcW w:w="492" w:type="pct"/>
            <w:tcBorders>
              <w:top w:val="nil"/>
              <w:left w:val="single" w:sz="4" w:space="0" w:color="auto"/>
              <w:bottom w:val="nil"/>
              <w:right w:val="nil"/>
            </w:tcBorders>
            <w:shd w:val="clear" w:color="auto" w:fill="auto"/>
          </w:tcPr>
          <w:p w14:paraId="3921AD03" w14:textId="77777777" w:rsidR="00994F93" w:rsidRPr="00B03B51" w:rsidRDefault="00994F93" w:rsidP="001C4B02">
            <w:pPr>
              <w:pStyle w:val="TableParagraph"/>
              <w:jc w:val="both"/>
              <w:rPr>
                <w:rFonts w:ascii="Times New Roman" w:hAnsi="Times New Roman" w:cs="Times New Roman"/>
                <w:noProof/>
                <w:sz w:val="24"/>
              </w:rPr>
            </w:pPr>
            <w:r w:rsidRPr="00B03B51">
              <w:rPr>
                <w:rFonts w:ascii="Times New Roman" w:hAnsi="Times New Roman" w:cs="Times New Roman"/>
                <w:sz w:val="24"/>
              </w:rPr>
              <w:t>14</w:t>
            </w:r>
          </w:p>
        </w:tc>
        <w:tc>
          <w:tcPr>
            <w:tcW w:w="613" w:type="pct"/>
            <w:tcBorders>
              <w:top w:val="nil"/>
              <w:left w:val="nil"/>
              <w:bottom w:val="nil"/>
              <w:right w:val="nil"/>
            </w:tcBorders>
            <w:shd w:val="clear" w:color="auto" w:fill="auto"/>
          </w:tcPr>
          <w:p w14:paraId="5BF72242" w14:textId="77777777" w:rsidR="00994F93" w:rsidRPr="00B03B51" w:rsidRDefault="00994F93" w:rsidP="001C4B02">
            <w:pPr>
              <w:pStyle w:val="TableParagraph"/>
              <w:jc w:val="both"/>
              <w:rPr>
                <w:rFonts w:ascii="Times New Roman" w:hAnsi="Times New Roman" w:cs="Times New Roman"/>
                <w:noProof/>
                <w:sz w:val="24"/>
              </w:rPr>
            </w:pPr>
            <w:r w:rsidRPr="00B03B51">
              <w:rPr>
                <w:rFonts w:ascii="Times New Roman" w:hAnsi="Times New Roman" w:cs="Times New Roman"/>
                <w:sz w:val="24"/>
              </w:rPr>
              <w:t>10</w:t>
            </w:r>
          </w:p>
        </w:tc>
        <w:tc>
          <w:tcPr>
            <w:tcW w:w="908" w:type="pct"/>
            <w:tcBorders>
              <w:top w:val="nil"/>
              <w:left w:val="nil"/>
              <w:bottom w:val="nil"/>
              <w:right w:val="nil"/>
            </w:tcBorders>
            <w:shd w:val="clear" w:color="auto" w:fill="auto"/>
          </w:tcPr>
          <w:p w14:paraId="32EA1379" w14:textId="77777777" w:rsidR="00994F93" w:rsidRPr="00B03B51" w:rsidRDefault="00994F93" w:rsidP="001C4B02">
            <w:pPr>
              <w:pStyle w:val="TableParagraph"/>
              <w:jc w:val="both"/>
              <w:rPr>
                <w:rFonts w:ascii="Times New Roman" w:hAnsi="Times New Roman" w:cs="Times New Roman"/>
                <w:noProof/>
                <w:sz w:val="24"/>
              </w:rPr>
            </w:pPr>
            <w:r w:rsidRPr="00B03B51">
              <w:rPr>
                <w:rFonts w:ascii="Times New Roman" w:hAnsi="Times New Roman" w:cs="Times New Roman"/>
                <w:sz w:val="24"/>
              </w:rPr>
              <w:t>4,48</w:t>
            </w:r>
          </w:p>
        </w:tc>
        <w:tc>
          <w:tcPr>
            <w:tcW w:w="617" w:type="pct"/>
            <w:tcBorders>
              <w:top w:val="nil"/>
              <w:left w:val="nil"/>
              <w:bottom w:val="nil"/>
              <w:right w:val="nil"/>
            </w:tcBorders>
            <w:shd w:val="clear" w:color="auto" w:fill="auto"/>
          </w:tcPr>
          <w:p w14:paraId="58F9C619" w14:textId="77777777" w:rsidR="00994F93" w:rsidRPr="00B03B51" w:rsidRDefault="00994F93" w:rsidP="001C4B02">
            <w:pPr>
              <w:pStyle w:val="TableParagraph"/>
              <w:jc w:val="both"/>
              <w:rPr>
                <w:rFonts w:ascii="Times New Roman" w:hAnsi="Times New Roman" w:cs="Times New Roman"/>
                <w:noProof/>
                <w:sz w:val="24"/>
              </w:rPr>
            </w:pPr>
            <w:r w:rsidRPr="00B03B51">
              <w:rPr>
                <w:rFonts w:ascii="Times New Roman" w:hAnsi="Times New Roman" w:cs="Times New Roman"/>
                <w:sz w:val="24"/>
              </w:rPr>
              <w:t>-5,52</w:t>
            </w:r>
          </w:p>
        </w:tc>
        <w:tc>
          <w:tcPr>
            <w:tcW w:w="2371" w:type="pct"/>
            <w:tcBorders>
              <w:top w:val="nil"/>
              <w:left w:val="nil"/>
              <w:bottom w:val="nil"/>
              <w:right w:val="single" w:sz="4" w:space="0" w:color="auto"/>
            </w:tcBorders>
            <w:shd w:val="clear" w:color="auto" w:fill="auto"/>
          </w:tcPr>
          <w:p w14:paraId="01318F51" w14:textId="77777777" w:rsidR="00994F93" w:rsidRPr="00B03B51" w:rsidRDefault="00994F93" w:rsidP="001C4B02">
            <w:pPr>
              <w:pStyle w:val="TableParagraph"/>
              <w:jc w:val="both"/>
              <w:rPr>
                <w:rFonts w:ascii="Times New Roman" w:hAnsi="Times New Roman" w:cs="Times New Roman"/>
                <w:noProof/>
                <w:sz w:val="24"/>
              </w:rPr>
            </w:pPr>
            <w:r w:rsidRPr="00B03B51">
              <w:rPr>
                <w:rFonts w:ascii="Times New Roman" w:hAnsi="Times New Roman" w:cs="Times New Roman"/>
                <w:sz w:val="24"/>
              </w:rPr>
              <w:t>105,74</w:t>
            </w:r>
          </w:p>
        </w:tc>
      </w:tr>
      <w:tr w:rsidR="00994F93" w:rsidRPr="00B03B51" w14:paraId="4A9F719C" w14:textId="77777777" w:rsidTr="009C7585">
        <w:tc>
          <w:tcPr>
            <w:tcW w:w="492" w:type="pct"/>
            <w:tcBorders>
              <w:top w:val="nil"/>
              <w:left w:val="single" w:sz="4" w:space="0" w:color="auto"/>
              <w:bottom w:val="nil"/>
              <w:right w:val="nil"/>
            </w:tcBorders>
            <w:shd w:val="clear" w:color="auto" w:fill="auto"/>
          </w:tcPr>
          <w:p w14:paraId="5B360BED" w14:textId="77777777" w:rsidR="00994F93" w:rsidRPr="00B03B51" w:rsidRDefault="00994F93" w:rsidP="001C4B02">
            <w:pPr>
              <w:pStyle w:val="TableParagraph"/>
              <w:jc w:val="both"/>
              <w:rPr>
                <w:rFonts w:ascii="Times New Roman" w:hAnsi="Times New Roman" w:cs="Times New Roman"/>
                <w:noProof/>
                <w:sz w:val="24"/>
              </w:rPr>
            </w:pPr>
            <w:r w:rsidRPr="00B03B51">
              <w:rPr>
                <w:rFonts w:ascii="Times New Roman" w:hAnsi="Times New Roman" w:cs="Times New Roman"/>
                <w:sz w:val="24"/>
              </w:rPr>
              <w:t>15</w:t>
            </w:r>
          </w:p>
        </w:tc>
        <w:tc>
          <w:tcPr>
            <w:tcW w:w="613" w:type="pct"/>
            <w:tcBorders>
              <w:top w:val="nil"/>
              <w:left w:val="nil"/>
              <w:bottom w:val="nil"/>
              <w:right w:val="nil"/>
            </w:tcBorders>
            <w:shd w:val="clear" w:color="auto" w:fill="auto"/>
          </w:tcPr>
          <w:p w14:paraId="43746062" w14:textId="77777777" w:rsidR="00994F93" w:rsidRPr="00B03B51" w:rsidRDefault="00994F93" w:rsidP="001C4B02">
            <w:pPr>
              <w:pStyle w:val="TableParagraph"/>
              <w:jc w:val="both"/>
              <w:rPr>
                <w:rFonts w:ascii="Times New Roman" w:hAnsi="Times New Roman" w:cs="Times New Roman"/>
                <w:noProof/>
                <w:sz w:val="24"/>
              </w:rPr>
            </w:pPr>
            <w:r w:rsidRPr="00B03B51">
              <w:rPr>
                <w:rFonts w:ascii="Times New Roman" w:hAnsi="Times New Roman" w:cs="Times New Roman"/>
                <w:sz w:val="24"/>
              </w:rPr>
              <w:t>10</w:t>
            </w:r>
          </w:p>
        </w:tc>
        <w:tc>
          <w:tcPr>
            <w:tcW w:w="908" w:type="pct"/>
            <w:tcBorders>
              <w:top w:val="nil"/>
              <w:left w:val="nil"/>
              <w:bottom w:val="nil"/>
              <w:right w:val="nil"/>
            </w:tcBorders>
            <w:shd w:val="clear" w:color="auto" w:fill="auto"/>
          </w:tcPr>
          <w:p w14:paraId="62A26EE9" w14:textId="77777777" w:rsidR="00994F93" w:rsidRPr="00B03B51" w:rsidRDefault="00994F93" w:rsidP="001C4B02">
            <w:pPr>
              <w:pStyle w:val="TableParagraph"/>
              <w:jc w:val="both"/>
              <w:rPr>
                <w:rFonts w:ascii="Times New Roman" w:hAnsi="Times New Roman" w:cs="Times New Roman"/>
                <w:noProof/>
                <w:sz w:val="24"/>
              </w:rPr>
            </w:pPr>
            <w:r w:rsidRPr="00B03B51">
              <w:rPr>
                <w:rFonts w:ascii="Times New Roman" w:hAnsi="Times New Roman" w:cs="Times New Roman"/>
                <w:sz w:val="24"/>
              </w:rPr>
              <w:t>4,26</w:t>
            </w:r>
          </w:p>
        </w:tc>
        <w:tc>
          <w:tcPr>
            <w:tcW w:w="617" w:type="pct"/>
            <w:tcBorders>
              <w:top w:val="nil"/>
              <w:left w:val="nil"/>
              <w:bottom w:val="nil"/>
              <w:right w:val="nil"/>
            </w:tcBorders>
            <w:shd w:val="clear" w:color="auto" w:fill="auto"/>
          </w:tcPr>
          <w:p w14:paraId="0C85BC49" w14:textId="77777777" w:rsidR="00994F93" w:rsidRPr="00B03B51" w:rsidRDefault="00994F93" w:rsidP="001C4B02">
            <w:pPr>
              <w:pStyle w:val="TableParagraph"/>
              <w:jc w:val="both"/>
              <w:rPr>
                <w:rFonts w:ascii="Times New Roman" w:hAnsi="Times New Roman" w:cs="Times New Roman"/>
                <w:noProof/>
                <w:sz w:val="24"/>
              </w:rPr>
            </w:pPr>
            <w:r w:rsidRPr="00B03B51">
              <w:rPr>
                <w:rFonts w:ascii="Times New Roman" w:hAnsi="Times New Roman" w:cs="Times New Roman"/>
                <w:sz w:val="24"/>
              </w:rPr>
              <w:t>-5,74</w:t>
            </w:r>
          </w:p>
        </w:tc>
        <w:tc>
          <w:tcPr>
            <w:tcW w:w="2371" w:type="pct"/>
            <w:tcBorders>
              <w:top w:val="nil"/>
              <w:left w:val="nil"/>
              <w:bottom w:val="nil"/>
              <w:right w:val="single" w:sz="4" w:space="0" w:color="auto"/>
            </w:tcBorders>
            <w:shd w:val="clear" w:color="auto" w:fill="auto"/>
          </w:tcPr>
          <w:p w14:paraId="0194F59E" w14:textId="77777777" w:rsidR="00994F93" w:rsidRPr="00B03B51" w:rsidRDefault="00994F93" w:rsidP="001C4B02">
            <w:pPr>
              <w:pStyle w:val="TableParagraph"/>
              <w:jc w:val="both"/>
              <w:rPr>
                <w:rFonts w:ascii="Times New Roman" w:hAnsi="Times New Roman" w:cs="Times New Roman"/>
                <w:noProof/>
                <w:sz w:val="24"/>
              </w:rPr>
            </w:pPr>
            <w:r w:rsidRPr="00B03B51">
              <w:rPr>
                <w:rFonts w:ascii="Times New Roman" w:hAnsi="Times New Roman" w:cs="Times New Roman"/>
                <w:sz w:val="24"/>
              </w:rPr>
              <w:t>100</w:t>
            </w:r>
          </w:p>
        </w:tc>
      </w:tr>
      <w:tr w:rsidR="00994F93" w:rsidRPr="00B03B51" w14:paraId="29B658E8" w14:textId="77777777" w:rsidTr="009C7585">
        <w:tc>
          <w:tcPr>
            <w:tcW w:w="492" w:type="pct"/>
            <w:tcBorders>
              <w:top w:val="nil"/>
              <w:left w:val="single" w:sz="4" w:space="0" w:color="auto"/>
              <w:bottom w:val="single" w:sz="4" w:space="0" w:color="auto"/>
              <w:right w:val="nil"/>
            </w:tcBorders>
            <w:shd w:val="clear" w:color="auto" w:fill="auto"/>
          </w:tcPr>
          <w:p w14:paraId="61D644E3" w14:textId="77777777" w:rsidR="00994F93" w:rsidRPr="00B03B51" w:rsidRDefault="00994F93" w:rsidP="001C4B02">
            <w:pPr>
              <w:pStyle w:val="TableParagraph"/>
              <w:jc w:val="both"/>
              <w:rPr>
                <w:rFonts w:ascii="Times New Roman" w:hAnsi="Times New Roman" w:cs="Times New Roman"/>
                <w:b/>
                <w:noProof/>
                <w:sz w:val="24"/>
              </w:rPr>
            </w:pPr>
            <w:r w:rsidRPr="00B03B51">
              <w:rPr>
                <w:rFonts w:ascii="Times New Roman" w:hAnsi="Times New Roman" w:cs="Times New Roman"/>
                <w:b/>
                <w:sz w:val="24"/>
              </w:rPr>
              <w:t>Kopā</w:t>
            </w:r>
          </w:p>
        </w:tc>
        <w:tc>
          <w:tcPr>
            <w:tcW w:w="613" w:type="pct"/>
            <w:tcBorders>
              <w:top w:val="nil"/>
              <w:left w:val="nil"/>
              <w:bottom w:val="single" w:sz="4" w:space="0" w:color="auto"/>
              <w:right w:val="nil"/>
            </w:tcBorders>
            <w:shd w:val="clear" w:color="auto" w:fill="auto"/>
          </w:tcPr>
          <w:p w14:paraId="741DAE40" w14:textId="77777777" w:rsidR="00994F93" w:rsidRPr="00B03B51" w:rsidRDefault="00994F93" w:rsidP="001C4B02">
            <w:pPr>
              <w:pStyle w:val="TableParagraph"/>
              <w:jc w:val="both"/>
              <w:rPr>
                <w:rFonts w:ascii="Times New Roman" w:hAnsi="Times New Roman" w:cs="Times New Roman"/>
                <w:noProof/>
                <w:sz w:val="24"/>
              </w:rPr>
            </w:pPr>
            <w:r w:rsidRPr="00B03B51">
              <w:rPr>
                <w:rFonts w:ascii="Times New Roman" w:hAnsi="Times New Roman" w:cs="Times New Roman"/>
                <w:sz w:val="24"/>
              </w:rPr>
              <w:t>70</w:t>
            </w:r>
          </w:p>
        </w:tc>
        <w:tc>
          <w:tcPr>
            <w:tcW w:w="908" w:type="pct"/>
            <w:tcBorders>
              <w:top w:val="nil"/>
              <w:left w:val="nil"/>
              <w:bottom w:val="single" w:sz="4" w:space="0" w:color="auto"/>
              <w:right w:val="nil"/>
            </w:tcBorders>
            <w:shd w:val="clear" w:color="auto" w:fill="auto"/>
          </w:tcPr>
          <w:p w14:paraId="31B2BBC5" w14:textId="77777777" w:rsidR="00994F93" w:rsidRPr="00B03B51" w:rsidRDefault="00994F93" w:rsidP="001C4B02">
            <w:pPr>
              <w:pStyle w:val="TableParagraph"/>
              <w:jc w:val="both"/>
              <w:rPr>
                <w:rFonts w:ascii="Times New Roman" w:hAnsi="Times New Roman" w:cs="Times New Roman"/>
                <w:noProof/>
                <w:sz w:val="24"/>
              </w:rPr>
            </w:pPr>
            <w:r w:rsidRPr="00B03B51">
              <w:rPr>
                <w:rFonts w:ascii="Times New Roman" w:hAnsi="Times New Roman" w:cs="Times New Roman"/>
                <w:sz w:val="24"/>
              </w:rPr>
              <w:t>70</w:t>
            </w:r>
          </w:p>
        </w:tc>
        <w:tc>
          <w:tcPr>
            <w:tcW w:w="617" w:type="pct"/>
            <w:tcBorders>
              <w:top w:val="nil"/>
              <w:left w:val="nil"/>
              <w:bottom w:val="single" w:sz="4" w:space="0" w:color="auto"/>
              <w:right w:val="nil"/>
            </w:tcBorders>
            <w:shd w:val="clear" w:color="auto" w:fill="auto"/>
          </w:tcPr>
          <w:p w14:paraId="30DA4B69" w14:textId="77777777" w:rsidR="00994F93" w:rsidRPr="00B03B51" w:rsidRDefault="00994F93" w:rsidP="001C4B02">
            <w:pPr>
              <w:jc w:val="both"/>
              <w:rPr>
                <w:rFonts w:ascii="Times New Roman" w:hAnsi="Times New Roman" w:cs="Times New Roman"/>
                <w:noProof/>
                <w:sz w:val="24"/>
              </w:rPr>
            </w:pPr>
          </w:p>
        </w:tc>
        <w:tc>
          <w:tcPr>
            <w:tcW w:w="2371" w:type="pct"/>
            <w:tcBorders>
              <w:top w:val="nil"/>
              <w:left w:val="nil"/>
              <w:bottom w:val="single" w:sz="4" w:space="0" w:color="auto"/>
              <w:right w:val="single" w:sz="4" w:space="0" w:color="auto"/>
            </w:tcBorders>
            <w:shd w:val="clear" w:color="auto" w:fill="auto"/>
          </w:tcPr>
          <w:p w14:paraId="418BC2A0" w14:textId="77777777" w:rsidR="00994F93" w:rsidRPr="00B03B51" w:rsidRDefault="00994F93" w:rsidP="001C4B02">
            <w:pPr>
              <w:jc w:val="both"/>
              <w:rPr>
                <w:rFonts w:ascii="Times New Roman" w:hAnsi="Times New Roman" w:cs="Times New Roman"/>
                <w:noProof/>
                <w:sz w:val="24"/>
              </w:rPr>
            </w:pPr>
          </w:p>
        </w:tc>
      </w:tr>
    </w:tbl>
    <w:p w14:paraId="537D7B85" w14:textId="77777777" w:rsidR="00994F93" w:rsidRPr="00B03B51" w:rsidRDefault="00994F93" w:rsidP="00994F93">
      <w:pPr>
        <w:jc w:val="both"/>
        <w:rPr>
          <w:rFonts w:ascii="Times New Roman" w:eastAsia="Arial" w:hAnsi="Times New Roman" w:cs="Times New Roman"/>
          <w:noProof/>
          <w:sz w:val="24"/>
          <w:szCs w:val="10"/>
        </w:rPr>
      </w:pPr>
    </w:p>
    <w:p w14:paraId="0FF882D9" w14:textId="77777777" w:rsidR="00994F93" w:rsidRPr="00B03B51" w:rsidRDefault="00994F93" w:rsidP="00994F93">
      <w:pPr>
        <w:pStyle w:val="Heading6"/>
        <w:tabs>
          <w:tab w:val="left" w:pos="1411"/>
          <w:tab w:val="left" w:pos="2715"/>
          <w:tab w:val="left" w:pos="4012"/>
          <w:tab w:val="left" w:pos="4550"/>
          <w:tab w:val="left" w:pos="6346"/>
          <w:tab w:val="left" w:pos="8191"/>
          <w:tab w:val="left" w:pos="8620"/>
        </w:tabs>
        <w:ind w:left="0" w:firstLine="0"/>
        <w:jc w:val="both"/>
        <w:rPr>
          <w:rFonts w:ascii="Times New Roman" w:hAnsi="Times New Roman" w:cs="Times New Roman"/>
          <w:noProof/>
          <w:sz w:val="24"/>
        </w:rPr>
      </w:pPr>
      <w:bookmarkStart w:id="143" w:name="2.4.3.14_Accrued_interest_on_instruments"/>
      <w:bookmarkEnd w:id="143"/>
      <w:r w:rsidRPr="00B03B51">
        <w:rPr>
          <w:rFonts w:ascii="Times New Roman" w:hAnsi="Times New Roman" w:cs="Times New Roman"/>
          <w:sz w:val="24"/>
        </w:rPr>
        <w:t>2.4.3.14. UZKRĀTIE PROCENTI PAR ĀRVALSTU VALŪTĀS IZTEIKTIEM INSTRUMENTIEM</w:t>
      </w:r>
    </w:p>
    <w:p w14:paraId="4BC07707"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31A32A3A"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53. Attiecībā uz šādiem finanšu aktīviem un saistībām piemēro parastos noteikumus par uzkrātajiem procentiem, taču īpaša uzmanība ir jāpievērš jautājumam par pārvēršanu valsts valūtā. EKS 2010 10.27. punktā noteikts, ka “nominālie turēšanas guvumi un zaudējumi (K.7), kas attiecas uz aktīvu, neatkarīgi no tā, vai tie ir vai nav realizēti, ir aktīva vērtības pieaugums vai samazinājums, kas rodas tā ekonomiskajam īpašniekam un izriet no aktīva cenas pieauguma vai samazinājuma, tostarp no valūtas kursu svārstībām”. EKS 2010 6.64. punktā ir noteikts:</w:t>
      </w:r>
    </w:p>
    <w:p w14:paraId="5B97AF03"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6521EBEA" w14:textId="77777777" w:rsidR="00994F93" w:rsidRPr="00B03B51" w:rsidRDefault="00994F93" w:rsidP="00A70719">
      <w:pPr>
        <w:pStyle w:val="BodyText"/>
        <w:numPr>
          <w:ilvl w:val="0"/>
          <w:numId w:val="13"/>
        </w:numPr>
        <w:spacing w:before="0"/>
        <w:ind w:left="426" w:hanging="425"/>
        <w:jc w:val="both"/>
        <w:rPr>
          <w:rFonts w:ascii="Times New Roman" w:hAnsi="Times New Roman" w:cs="Times New Roman"/>
          <w:noProof/>
          <w:sz w:val="24"/>
        </w:rPr>
      </w:pPr>
      <w:r w:rsidRPr="00B03B51">
        <w:rPr>
          <w:rFonts w:ascii="Times New Roman" w:hAnsi="Times New Roman" w:cs="Times New Roman"/>
          <w:sz w:val="24"/>
        </w:rPr>
        <w:t>“Tādēļ nominālie turēšanas guvumi un zaudējumi var rasties gan aktīva cenas pārmaiņu dēļ, gan valūtas kursa svārstību dēļ”;</w:t>
      </w:r>
    </w:p>
    <w:p w14:paraId="61646A70" w14:textId="77777777" w:rsidR="00994F93" w:rsidRPr="00B03B51" w:rsidRDefault="00994F93" w:rsidP="00A70719">
      <w:pPr>
        <w:pStyle w:val="BodyText"/>
        <w:numPr>
          <w:ilvl w:val="0"/>
          <w:numId w:val="13"/>
        </w:numPr>
        <w:spacing w:before="0"/>
        <w:ind w:left="426" w:hanging="425"/>
        <w:jc w:val="both"/>
        <w:rPr>
          <w:rFonts w:ascii="Times New Roman" w:hAnsi="Times New Roman" w:cs="Times New Roman"/>
          <w:noProof/>
          <w:sz w:val="24"/>
        </w:rPr>
      </w:pPr>
      <w:r w:rsidRPr="00B03B51">
        <w:rPr>
          <w:rFonts w:ascii="Times New Roman" w:hAnsi="Times New Roman" w:cs="Times New Roman"/>
          <w:sz w:val="24"/>
        </w:rPr>
        <w:t>“ārvalstu valūtā denominētiem aktīviem un saistībām vērtību mēra pēc to faktiskās tirgus vērtības ārvalstu valūtā, kas konvertēta nacionālajā valūtā pēc faktiskā valūtas kursa”.</w:t>
      </w:r>
    </w:p>
    <w:p w14:paraId="6454433F" w14:textId="77777777" w:rsidR="00994F93" w:rsidRPr="00B03B51" w:rsidRDefault="00994F93" w:rsidP="00A70719">
      <w:pPr>
        <w:pStyle w:val="BodyText"/>
        <w:numPr>
          <w:ilvl w:val="0"/>
          <w:numId w:val="13"/>
        </w:numPr>
        <w:spacing w:before="0"/>
        <w:ind w:left="426" w:hanging="425"/>
        <w:jc w:val="both"/>
        <w:rPr>
          <w:rFonts w:ascii="Times New Roman" w:hAnsi="Times New Roman" w:cs="Times New Roman"/>
          <w:noProof/>
          <w:sz w:val="24"/>
        </w:rPr>
      </w:pPr>
      <w:r w:rsidRPr="00B03B51">
        <w:rPr>
          <w:rFonts w:ascii="Times New Roman" w:hAnsi="Times New Roman" w:cs="Times New Roman"/>
          <w:sz w:val="24"/>
        </w:rPr>
        <w:t>“Darījumus ar aktīviem un saistībām, kas denominēti ārvalstu valūtā, konvertē nacionālajā valūtā, izmantojot valūtas kursus laikā, kad šie darījumi notiek”.</w:t>
      </w:r>
    </w:p>
    <w:p w14:paraId="0FA4ABB2" w14:textId="77777777" w:rsidR="00994F93" w:rsidRPr="00B03B51" w:rsidRDefault="00994F93" w:rsidP="00994F93">
      <w:pPr>
        <w:pStyle w:val="BodyText"/>
        <w:spacing w:before="0"/>
        <w:ind w:left="0" w:firstLine="0"/>
        <w:jc w:val="both"/>
        <w:rPr>
          <w:rFonts w:ascii="Times New Roman" w:hAnsi="Times New Roman" w:cs="Times New Roman"/>
          <w:noProof/>
          <w:sz w:val="24"/>
        </w:rPr>
      </w:pPr>
    </w:p>
    <w:p w14:paraId="3B5B7D0B" w14:textId="77777777" w:rsidR="00994F93" w:rsidRPr="00B03B51" w:rsidRDefault="00994F93" w:rsidP="00994F93">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t>Attiecīgi nominālie turēšanas guvumi un zaudējumi var rasties tāpēc, ka darījumos izmantotie valūtas kursi atšķiras no bilancēs izmantotajiem valūtas kursiem.</w:t>
      </w:r>
    </w:p>
    <w:p w14:paraId="3FD8DD5F" w14:textId="77777777" w:rsidR="00994F93" w:rsidRPr="00B03B51" w:rsidRDefault="00994F93" w:rsidP="00994F93">
      <w:pPr>
        <w:jc w:val="both"/>
        <w:rPr>
          <w:rFonts w:ascii="Times New Roman" w:hAnsi="Times New Roman" w:cs="Times New Roman"/>
          <w:noProof/>
          <w:sz w:val="24"/>
        </w:rPr>
      </w:pPr>
    </w:p>
    <w:p w14:paraId="7DB15F33"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54. Ja procenti ir izteikti ārvalstu valūtā, tie jākonvertē valsts valūtā pēc valūtas kursa, kas ir spēkā procentu uzkrāšanas brīdī. Ideālā gadījumā procenti jāuzkrāj katru dienu, un tas jādara, izmantojot dienas valūtas kursu. Praksē šāds aprēķins tiek veikts par periodu, pamatojoties uz vidējo valūtas kursu, kas novērots šajā periodā (nevis izmantojot “tūlītēju” valūtas kursu, kas novērots tikai kādā konkrētā brīdī). Ja procentus uzkrāj ar salikto metodi, teorētiski šāds vidējais maiņas kurss jāizvērtē salīdzinājumā ar uzkrāto procentu summām katrā laikā šajā periodā. Tomēr vienkāršs aritmētisks vidējais, šķiet, ir pieņemams aizstājējs.</w:t>
      </w:r>
    </w:p>
    <w:p w14:paraId="189E11A1"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031708C3"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55. Faktisks procentu maksājums ir darījums ar pamatā esošo instrumentu, kura ekvivalents ir “valūta un noguldījumi” (F.2) un kuram izmanto valūtas kursu datumā, kad ir faktiski veikts maksājums. Lai gan uzkrāto procentu summa ir pilnīgi vienāda ar ārvalstu valūtu katrā periodā, uzkrātās un izmaksātās procentu summas valsts valūtā var atšķirties valūtas kursa svārstību dēļ. Tādēļ pārvērtēšanas kontā ir jāveic korekcija, ņemot vērā atšķirības starp “tūlītējo” valūtas kursu, kas novērots šajā laikā (un izmantots nenomaksātās summas konversijai), un vidējo likmi, kas izmantota procentiem, kuri uzkrāti pēdējā periodā, vai “tūlītējo” likmi, kas novērota iepriekšējā perioda beigās procentiem, kuri iepriekš uzkrāti, bet nav nomaksāti pēdējā periodā.</w:t>
      </w:r>
    </w:p>
    <w:p w14:paraId="25B7C7F4"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167EAE71"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 xml:space="preserve">56. Būtībā valūtas kursa sekas ir atšķirīgas no gadījuma ar instrumentiem, kam ir mainīga </w:t>
      </w:r>
      <w:r w:rsidRPr="00B03B51">
        <w:rPr>
          <w:rFonts w:ascii="Times New Roman" w:hAnsi="Times New Roman" w:cs="Times New Roman"/>
          <w:sz w:val="24"/>
        </w:rPr>
        <w:lastRenderedPageBreak/>
        <w:t>procentu likme, kuriem uzkrāto un atkārtoti ieguldīto procentu summas korekciju var veikt, kad ir zināma precīza procentu likme. Gadījumā ar ārvalstu valūtās izteiktiem instrumentiem korekcija nav aplēses kļūdas rezultāts, bet izriet no tā, ka darījumi tiek veikti dažādā laikā. Vēlāk, kad notiek šo procentu faktiskais maksājums, pārvērtēšanas kontā tiek veikta jauna korekcija, kuras nepieciešamību, no vienas puses, nosaka starpība starp valūtas kursu šajā laikā un kursu, kas izmantots pēdējā perioda beigās, un, no otras puses, starpība starp likmi, kura izmantota uzkrāšanai kopš perioda sākuma, un likmi maksājuma brīdī.</w:t>
      </w:r>
    </w:p>
    <w:p w14:paraId="14F6E485"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5EA97005"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57. Dažreiz, piemēram, kad gada pārskatus kompilē attiecībā uz procentiem, kas tiek maksāti reizi trijos vai sešos mēnešos, vai diskontētiem instrumentiem ar īsāku maksājuma termiņu, uzkrāšanas periods un maksājuma periods “nepārklājas”. Principā vajadzīga tikai viena korekcija, kā norādīts iepriekšējās rindkopas beigās. Šādā gadījumā visus procentus uzkrāj un maksā tajā pašā kompilācijas periodā. Jauno prasījumu/saistības, kas izriet no uzkrāto procentu atkārtotas ieguldīšanas, rada un dzēš tajā pašā periodā. Šādā laika mērogā uzkrāto procentu jēdzienu var aplūkot kā diezgan teorētisku. Tādējādi vienkāršošanas nolūkā varētu būt pieņemami valsts valūtā konvertētā faktiskā maksājuma summu ierakstīt tieši īpašuma ienākumā, izvairoties no jebkādas korekcijas.</w:t>
      </w:r>
    </w:p>
    <w:p w14:paraId="253B6861"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73200EAD"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58. No ekonomiskā viedokļa šiem ierakstiem ir būtiska nozīme. Vispār šādu korekciju bieži novēro attiecībā uz finanšu instrumentiem, kuri izteikti ārvalstu valūtā un kuriem darījumus ar pretējām zīmēm (kā saistību rašanās/izbeigšanās) par vienādām summām oriģinālajā valūtā nevar atlīdzināt pēc pārrēķināšanas valsts valūtā.</w:t>
      </w:r>
    </w:p>
    <w:p w14:paraId="2FE000F4" w14:textId="77777777" w:rsidR="00994F93" w:rsidRPr="00B03B51" w:rsidRDefault="00994F93" w:rsidP="00994F93">
      <w:pPr>
        <w:jc w:val="both"/>
        <w:rPr>
          <w:rFonts w:ascii="Times New Roman" w:eastAsia="Arial" w:hAnsi="Times New Roman" w:cs="Times New Roman"/>
          <w:noProof/>
          <w:sz w:val="24"/>
          <w:szCs w:val="15"/>
        </w:rPr>
      </w:pPr>
    </w:p>
    <w:p w14:paraId="3F915F17" w14:textId="77777777" w:rsidR="00994F93" w:rsidRPr="00B03B51" w:rsidRDefault="00994F93" w:rsidP="00994F93">
      <w:pPr>
        <w:pStyle w:val="Heading6"/>
        <w:tabs>
          <w:tab w:val="left" w:pos="1411"/>
        </w:tabs>
        <w:ind w:left="0" w:firstLine="0"/>
        <w:jc w:val="both"/>
        <w:rPr>
          <w:rFonts w:ascii="Times New Roman" w:hAnsi="Times New Roman" w:cs="Times New Roman"/>
          <w:noProof/>
          <w:sz w:val="24"/>
        </w:rPr>
      </w:pPr>
      <w:bookmarkStart w:id="144" w:name="2.4.3.15_Income_of_mutual_funds"/>
      <w:bookmarkEnd w:id="144"/>
      <w:r w:rsidRPr="00B03B51">
        <w:rPr>
          <w:rFonts w:ascii="Times New Roman" w:hAnsi="Times New Roman" w:cs="Times New Roman"/>
          <w:sz w:val="24"/>
        </w:rPr>
        <w:t>2.4.3.15. KOPFONDU IENĀKUMS</w:t>
      </w:r>
    </w:p>
    <w:p w14:paraId="46F9D603"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79941710"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59. Vispārējās valdības sektorā klasificētām vienībām var piederēt akcijas, kuras emitējuši kopfondi. Šajā nodaļā ir aprakstīts, kā ieraksta kopfondā saņemto ienākumu atbilstoši uzkrāšanas principam saskaņā ar EKS 2010 noteikumiem. Šā ienākuma summu un laiku arī ieraksta kā kopfonda akcionāru/ieguldītāju ienākuma summu un laiku, atņemot kopfonda pakalpojuma maksu. Akcionāriem šo ienākumu ieraksta kā atkārtotu ieguldījumu kopfondā. Kopfonda faktiskos maksājumus akcionāriem/ieguldītājiem ieraksta kā finanšu darījumus, proti, akcionāri/ieguldītāji izņem ieguldītos līdzekļus. Kopfondu pakalpojuma maksu ieraksta kā pakalpojuma pārdošanu (akcionāru patēriņš), nevis kā sadales darījumu vai kā finanšu darījumu.</w:t>
      </w:r>
    </w:p>
    <w:p w14:paraId="4145C92F" w14:textId="77777777" w:rsidR="00994F93" w:rsidRPr="00B03B51" w:rsidRDefault="00994F93" w:rsidP="00994F93">
      <w:pPr>
        <w:jc w:val="both"/>
        <w:rPr>
          <w:rFonts w:ascii="Times New Roman" w:eastAsia="Arial" w:hAnsi="Times New Roman" w:cs="Times New Roman"/>
          <w:noProof/>
          <w:sz w:val="24"/>
          <w:szCs w:val="15"/>
        </w:rPr>
      </w:pPr>
    </w:p>
    <w:p w14:paraId="2D43DA08" w14:textId="77777777" w:rsidR="00994F93" w:rsidRPr="00B03B51" w:rsidRDefault="00994F93" w:rsidP="00994F93">
      <w:pPr>
        <w:pStyle w:val="Heading6"/>
        <w:tabs>
          <w:tab w:val="left" w:pos="1411"/>
          <w:tab w:val="left" w:pos="2595"/>
          <w:tab w:val="left" w:pos="4510"/>
          <w:tab w:val="left" w:pos="5258"/>
          <w:tab w:val="left" w:pos="6297"/>
          <w:tab w:val="left" w:pos="8329"/>
        </w:tabs>
        <w:ind w:left="0" w:firstLine="0"/>
        <w:jc w:val="both"/>
        <w:rPr>
          <w:rFonts w:ascii="Times New Roman" w:hAnsi="Times New Roman" w:cs="Times New Roman"/>
          <w:noProof/>
          <w:sz w:val="24"/>
        </w:rPr>
      </w:pPr>
      <w:bookmarkStart w:id="145" w:name="2.4.3.16_Early_redemption_of_debt_instru"/>
      <w:bookmarkEnd w:id="145"/>
      <w:r w:rsidRPr="00B03B51">
        <w:rPr>
          <w:rFonts w:ascii="Times New Roman" w:hAnsi="Times New Roman" w:cs="Times New Roman"/>
          <w:sz w:val="24"/>
        </w:rPr>
        <w:t>2.4.3.16. PARĀDA INSTRUMENTU PIRMSTERMIŅA IZPIRKŠANA (TOSTARP APMAIŅA)</w:t>
      </w:r>
    </w:p>
    <w:p w14:paraId="1F102319" w14:textId="77777777" w:rsidR="00994F93" w:rsidRPr="00B03B51" w:rsidRDefault="00994F93" w:rsidP="00994F93">
      <w:pPr>
        <w:pStyle w:val="BodyText"/>
        <w:spacing w:before="0"/>
        <w:ind w:left="0" w:firstLine="0"/>
        <w:jc w:val="both"/>
        <w:rPr>
          <w:rFonts w:ascii="Times New Roman" w:hAnsi="Times New Roman" w:cs="Times New Roman"/>
          <w:noProof/>
          <w:sz w:val="24"/>
        </w:rPr>
      </w:pPr>
    </w:p>
    <w:p w14:paraId="491F46C8" w14:textId="77777777" w:rsidR="00994F93" w:rsidRPr="00B03B51" w:rsidRDefault="00994F93" w:rsidP="00994F93">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t>60. Debitoram var būt tiesības lauzt sākotnējo līgumu un atlīdzināt savu parādu pirms sākumā saskaņotā maksājuma termiņa. Dažkārt ir jādod konkrēts paziņošanas termiņš. Parasti kreditoriem ir tiesības uz kompensāciju.</w:t>
      </w:r>
    </w:p>
    <w:p w14:paraId="4FEB322F"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0CF11283"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 xml:space="preserve">61. Vērtspapīru gadījumā pirmstermiņa izpirkšana var notikt kā atpirkšana tirgū, ko veic emitents. Tā arī var tikt īstenota vērtspapīru apmaiņas rezultātā. Emitents pieprasa kādas īpašas obligācijas un apmaiņā sniedz jaunu vērtspapīru vai jaunu iepriekš emitēta vērtspapīra laidienu. Tiek ņemta vērā starpība, ko dažkārt dēvē par prēmiju, starp nominālo vērtību un reālo izpirkuma vērtību. Ja šī starpība ir pozitīva, tad turētājam tie ir turēšanas guvumi, bet emitentam – turēšanas zaudējumi, ko ieraksta attiecīgajos pārvērtēšanas kontos. Saskaņā ar EKS 2010 dažu veidu finanšu instrumentus vērtē pašreizējās cenās, jo īpaši attiecībā uz parāda vērtspapīriem. Tādējādi ienākumi/zaudējumi ir vienādi ar starpību starp nenomaksātās summas vērtību iepriekšējā perioda beigās un apmaiņas cenu. Šādas obligāciju maiņas traktējums ļoti </w:t>
      </w:r>
      <w:r w:rsidRPr="00B03B51">
        <w:rPr>
          <w:rFonts w:ascii="Times New Roman" w:hAnsi="Times New Roman" w:cs="Times New Roman"/>
          <w:sz w:val="24"/>
        </w:rPr>
        <w:lastRenderedPageBreak/>
        <w:t>līdzinās tādiem darījumiem ar obligācijām otrreizējos tirgos, kas notiek starp vērtspapīru turētājiem.</w:t>
      </w:r>
    </w:p>
    <w:p w14:paraId="175FF27A"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56E5DF5A"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62. Veicot apmaiņu, emitenta izpirktās summas tirgus vērtība ir tāda pati kā jaunā emitētā summa, un, iespējams, ir jāveic skaidras naudas maksājums par jebkādu vērtības maksimālo starpību. Attiecībā uz obligācijām ar regulāriem procentu maksājumiem emitents papildus vēl arī maksā par uzkrāto kuponu. Šāda apmaiņa var notikt saistībā ar īpašām darbībām, kuru mērķis ir mazināt nominālo parādu. Neatkarīgi no apmaiņas procedūras, apmaiņas laikā netiek ietekmēts neto aizņēmums/aizdevums (B.9).</w:t>
      </w:r>
    </w:p>
    <w:p w14:paraId="4BB65FE7"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2E8A0373"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63. Pirmstermiņa izpirkšana iespējama arī aizdevumu gadījumā. Debitoram var būt atļauts atmaksāt aizdevumu pirms galīgā atmaksāšanas termiņa, un bieži vien kreditoram tiesību aktos ir piešķirtas tiesības pieprasīt kompensāciju. Nacionālajos kontos šo kompensāciju nevar uzskatīt par kapitāla pārvedumu. Jautājums ir, vai šī kompensācija ir kreditora ienākums (debitora izdevumi), vai arī tā jāieraksta finanšu kontos (atainojot to, ka debitors nokārto turēšanas zaudējumus).</w:t>
      </w:r>
    </w:p>
    <w:p w14:paraId="7FB32725" w14:textId="77777777" w:rsidR="00994F93" w:rsidRPr="00B03B51" w:rsidRDefault="00994F93" w:rsidP="00994F93">
      <w:pPr>
        <w:tabs>
          <w:tab w:val="left" w:pos="843"/>
        </w:tabs>
        <w:jc w:val="both"/>
        <w:rPr>
          <w:rFonts w:ascii="Times New Roman" w:hAnsi="Times New Roman" w:cs="Times New Roman"/>
          <w:noProof/>
          <w:sz w:val="24"/>
        </w:rPr>
      </w:pPr>
    </w:p>
    <w:p w14:paraId="16F1A484" w14:textId="77777777" w:rsidR="00994F93" w:rsidRPr="00B03B51" w:rsidRDefault="00994F93" w:rsidP="00994F93">
      <w:pPr>
        <w:tabs>
          <w:tab w:val="left" w:pos="843"/>
        </w:tabs>
        <w:jc w:val="both"/>
        <w:rPr>
          <w:rFonts w:ascii="Times New Roman" w:hAnsi="Times New Roman" w:cs="Times New Roman"/>
          <w:noProof/>
          <w:sz w:val="24"/>
        </w:rPr>
      </w:pPr>
      <w:r w:rsidRPr="00B03B51">
        <w:rPr>
          <w:rFonts w:ascii="Times New Roman" w:hAnsi="Times New Roman" w:cs="Times New Roman"/>
          <w:sz w:val="24"/>
        </w:rPr>
        <w:t xml:space="preserve">64. EKS 2010 20.228. punktā ir minēts, ka nodevas vai soda naudas par aizdevuma pirmstermiņa izpirkšanu ir ienākums, sīkāk nenorādot tā veidu: </w:t>
      </w:r>
      <w:r w:rsidRPr="00B03B51">
        <w:rPr>
          <w:rFonts w:ascii="Times New Roman" w:hAnsi="Times New Roman" w:cs="Times New Roman"/>
          <w:i/>
          <w:iCs/>
          <w:sz w:val="24"/>
        </w:rPr>
        <w:t>Ja saskaņā ar līgumu par pirmstermiņa izpirkšanu jāmaksā soda nauda vai nodeva aizdevējam, šo summu ieraksta kā aizdevēja ienākumu</w:t>
      </w:r>
      <w:r w:rsidRPr="00B03B51">
        <w:rPr>
          <w:rFonts w:ascii="Times New Roman" w:hAnsi="Times New Roman" w:cs="Times New Roman"/>
          <w:sz w:val="24"/>
        </w:rPr>
        <w:t xml:space="preserve">. Ar šo teikumu ir īpaši paredzēts uzsvērt, ka šīs soda naudas nav kapitāla pārveduma izdevumi, ņemot vērā, ka iepriekšējais teikums ir šāds: </w:t>
      </w:r>
      <w:r w:rsidRPr="00B03B51">
        <w:rPr>
          <w:rFonts w:ascii="Times New Roman" w:hAnsi="Times New Roman" w:cs="Times New Roman"/>
          <w:i/>
          <w:iCs/>
          <w:sz w:val="24"/>
        </w:rPr>
        <w:t>Ja debitoru valdības piedāvā atmaksāt parādu iepriekš par vērtību, kas ir zemāka par pamatvērtību, kas ietver kavētos procentu maksājumus, to ieraksta kapitāla kontā ar ietekmi uz valdības neto aizdevumiem/neto aizņēmumiem, jo tiek pieņemts, ka pastāv kreditora dotācija.</w:t>
      </w:r>
      <w:r w:rsidRPr="00B03B51">
        <w:rPr>
          <w:rFonts w:ascii="Times New Roman" w:hAnsi="Times New Roman" w:cs="Times New Roman"/>
          <w:i/>
          <w:sz w:val="24"/>
        </w:rPr>
        <w:t xml:space="preserve"> </w:t>
      </w:r>
      <w:r w:rsidRPr="00B03B51">
        <w:rPr>
          <w:rFonts w:ascii="Times New Roman" w:hAnsi="Times New Roman" w:cs="Times New Roman"/>
          <w:sz w:val="24"/>
        </w:rPr>
        <w:t>Šis pēdējais teikums jo īpaši attiecas uz starpvaldību aizdevumiem. Maksas vai soda naudas par pirmstermiņa (vai kavētu) atmaksu ir skaidri izteiktu maksājumu tipiski piemēri finanšu pakalpojumu jomā.</w:t>
      </w:r>
    </w:p>
    <w:p w14:paraId="4F4108FC"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0D028BC2"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 xml:space="preserve">65. EKS 2010 20.228. punktā sniegto atsauci </w:t>
      </w:r>
      <w:r w:rsidRPr="00B03B51">
        <w:rPr>
          <w:rFonts w:ascii="Times New Roman" w:hAnsi="Times New Roman" w:cs="Times New Roman"/>
          <w:i/>
          <w:iCs/>
          <w:sz w:val="24"/>
        </w:rPr>
        <w:t>saskaņā ar līgumu</w:t>
      </w:r>
      <w:r w:rsidRPr="00B03B51">
        <w:rPr>
          <w:rFonts w:ascii="Times New Roman" w:hAnsi="Times New Roman" w:cs="Times New Roman"/>
          <w:sz w:val="24"/>
        </w:rPr>
        <w:t xml:space="preserve"> ir nepieciešams nedaudz interpretēt. Varētu uzdot jautājumu, kāpēc lai debitors piekristu maksāt lielāku soda naudu nekā tā, kas paredzēta saskaņā ar līgumu. Ja tas tā tomēr ir, varētu pieņemt, ka tas pat vēl vairāk atbilst ienākuma plūsmai kreditora labā, proti, tas ir sava veida maksājums par pakalpojumu, ko kreditors ir sniedzis debitoram. Turklāt dažās jurisdikcijās šīs nodevas var tikt regulētas tiesību aktos vai nolikumos tādējādi, ka šādas līguma klauzulas ir vai nu nevajadzīgas, vai spēkā neesošas. Kopumā var pieņemt, ka šīs atsauces mērķis ir vien atgādināt, ka līgumos parasti ir atļauts veikt šādas pirmstermiņa atmaksas par maksu.</w:t>
      </w:r>
    </w:p>
    <w:p w14:paraId="35B84DA5"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7A87874F"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 xml:space="preserve">66. EKS 2010 20.228. punkta pēdējā teikumā </w:t>
      </w:r>
      <w:r w:rsidRPr="00B03B51">
        <w:rPr>
          <w:rFonts w:ascii="Times New Roman" w:hAnsi="Times New Roman" w:cs="Times New Roman"/>
          <w:i/>
          <w:iCs/>
          <w:sz w:val="24"/>
        </w:rPr>
        <w:t>attiecībā uz vērtspapīriem atpakaļpirkumu tirgū ieraksta pārvērtēšanas kontos, ja vien vērtspapīru turētajam nepieprasa veikt pirmstermiņa izpirkšanu</w:t>
      </w:r>
      <w:r w:rsidRPr="00B03B51">
        <w:rPr>
          <w:rFonts w:ascii="Times New Roman" w:hAnsi="Times New Roman" w:cs="Times New Roman"/>
          <w:sz w:val="24"/>
        </w:rPr>
        <w:t xml:space="preserve"> tiek nošķirti parāda vērtspapīru brīvprātīgi norēķini, kuri jāieraksta finanšu kontos (tie ir turēšanas zaudējumi/guvumi, skat. iepriekš 61. rindkopu), no citu parādu norēķiniem vai no nosacītiem norēķiniem. Tirgū iegādātus aizdevumus un vērtspapīrus traktē atšķirīgi tāda iemesla dēļ, ka aizdevumu gadījumā debitoram ir jāvienojas ar kreditoru par saistību dzēšanu. Vērtspapīru gadījumā tas tā nav, jo debitors var iegādāties tirgū vērtspapīrus, kurus tas vēlas dzēst (pārdevējs vienīgi piekrīt pārdot vērtspapīrus par noteiktu cenu, bet ne obligāti piekrīt pircēja galīgajam mērķim, proti, saistību dzēšanai).</w:t>
      </w:r>
    </w:p>
    <w:p w14:paraId="3C5ECFC5" w14:textId="77777777" w:rsidR="00994F93" w:rsidRPr="00B03B51" w:rsidRDefault="00994F93" w:rsidP="00994F93">
      <w:pPr>
        <w:tabs>
          <w:tab w:val="left" w:pos="843"/>
        </w:tabs>
        <w:jc w:val="both"/>
        <w:rPr>
          <w:rFonts w:ascii="Times New Roman" w:hAnsi="Times New Roman" w:cs="Times New Roman"/>
          <w:noProof/>
          <w:sz w:val="24"/>
        </w:rPr>
      </w:pPr>
    </w:p>
    <w:p w14:paraId="1C558BF7" w14:textId="77777777" w:rsidR="00994F93" w:rsidRPr="00B03B51" w:rsidRDefault="00994F93" w:rsidP="00994F93">
      <w:pPr>
        <w:tabs>
          <w:tab w:val="left" w:pos="843"/>
        </w:tabs>
        <w:jc w:val="both"/>
        <w:rPr>
          <w:rFonts w:ascii="Times New Roman" w:eastAsia="Arial" w:hAnsi="Times New Roman" w:cs="Times New Roman"/>
          <w:noProof/>
          <w:sz w:val="24"/>
          <w:szCs w:val="19"/>
        </w:rPr>
      </w:pPr>
      <w:r w:rsidRPr="00B03B51">
        <w:rPr>
          <w:rFonts w:ascii="Times New Roman" w:hAnsi="Times New Roman" w:cs="Times New Roman"/>
          <w:sz w:val="24"/>
        </w:rPr>
        <w:t xml:space="preserve">67. Tomēr kompensācijas maksājumu, kas paredzēts, lai parādītu diskonta likmes izmaiņas, piemēram, bezriska likmes, varētu traktēt atšķirīgi. Piemēram, EKS 2010 20.231. punktā ir noteikts izņēmums tam, kā tiek veikts ieraksts saskaņā ar EKS 2010 20.229. punktu, kad zaudējumi parāda </w:t>
      </w:r>
      <w:r w:rsidRPr="00B03B51">
        <w:rPr>
          <w:rFonts w:ascii="Times New Roman" w:hAnsi="Times New Roman" w:cs="Times New Roman"/>
          <w:i/>
          <w:iCs/>
          <w:sz w:val="24"/>
        </w:rPr>
        <w:t>pārmaiņas tirgus procentu likmēs, nevis pārmaiņas kredīta vērtībā</w:t>
      </w:r>
      <w:r w:rsidRPr="00B03B51">
        <w:rPr>
          <w:rFonts w:ascii="Times New Roman" w:hAnsi="Times New Roman" w:cs="Times New Roman"/>
          <w:sz w:val="24"/>
        </w:rPr>
        <w:t>.</w:t>
      </w:r>
    </w:p>
    <w:p w14:paraId="18E73C94"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7A0BB5EE"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68. Visbeidzot, aizdevumos var būt iekļauts nodalāms atvasināts instruments (skat. 2.4.3.17. apakšiedaļu) vai arī tas var būt indeksēts ar šauru indeksu (skat. 2.4.3.11. apakšiedaļu). Šādos gadījumos norēķinu maksājums var parādīt vien attiecīgā atvasinātā instrumenta patieso vērtību vai indeksa ietekmi atkārtotu sarunu laikā. Šajā gadījumā to maksājumu daļu, kas parāda šo pēdējo minēto vērtību, parasti ieraksta finanšu kontos.</w:t>
      </w:r>
    </w:p>
    <w:p w14:paraId="2E4F6632"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37105405"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69. Ņemot to visu vērā, jebkurai samaksātai summai, kas ir virs pamatsummas un uzkrātajiem nenomaksātajiem procentiem (“summa, kas pienākas”), lai arī kā šis maksājums sauktos (nodeva, soda nauda, kompensācija vai kā citādi), pareizs traktējums ir atkarīgs no aizdevuma veida:</w:t>
      </w:r>
    </w:p>
    <w:p w14:paraId="08742514" w14:textId="77777777" w:rsidR="00994F93" w:rsidRPr="00B03B51" w:rsidRDefault="00994F93" w:rsidP="00994F93">
      <w:pPr>
        <w:pStyle w:val="BodyText"/>
        <w:tabs>
          <w:tab w:val="left" w:pos="1126"/>
        </w:tabs>
        <w:spacing w:before="0"/>
        <w:ind w:left="0" w:firstLine="0"/>
        <w:jc w:val="both"/>
        <w:rPr>
          <w:rFonts w:ascii="Times New Roman" w:hAnsi="Times New Roman" w:cs="Times New Roman"/>
          <w:noProof/>
          <w:sz w:val="24"/>
        </w:rPr>
      </w:pPr>
    </w:p>
    <w:p w14:paraId="6ABF1AE6" w14:textId="77777777" w:rsidR="00994F93" w:rsidRPr="00B03B51" w:rsidRDefault="00994F93" w:rsidP="00994F93">
      <w:pPr>
        <w:pStyle w:val="BodyText"/>
        <w:tabs>
          <w:tab w:val="left" w:pos="1126"/>
        </w:tabs>
        <w:spacing w:before="0"/>
        <w:ind w:left="284" w:firstLine="0"/>
        <w:jc w:val="both"/>
        <w:rPr>
          <w:rFonts w:ascii="Times New Roman" w:hAnsi="Times New Roman" w:cs="Times New Roman"/>
          <w:noProof/>
          <w:sz w:val="24"/>
        </w:rPr>
      </w:pPr>
      <w:r w:rsidRPr="00B03B51">
        <w:rPr>
          <w:rFonts w:ascii="Times New Roman" w:hAnsi="Times New Roman" w:cs="Times New Roman"/>
          <w:sz w:val="24"/>
        </w:rPr>
        <w:t>a) ja aizdevums ir regulārs vai standarta veida aizdevums, kas ir visbiežākais gadījums un kas var būt ar fiksētu likmi, brīvi svārstīgu likmi vai indeksēts ar vispārējo cenu indeksu, summa ir jāieraksta kā ienākuma maksājumi (skaidras pakalpojuma maksas), izņemot, ja vien var konstatēt, ka kompensācija (vai tās daļa) vispārēji atspoguļo “tirgus procentu likmju” (t. i., tīru bezriska likmju vai vismaz tādu likmju, kas neatspoguļo atsevišķas “pārmaiņas kredīta vērtībā”, skat. EKS 2010 20.231. punktu) svārstības;</w:t>
      </w:r>
    </w:p>
    <w:p w14:paraId="4077D0F5" w14:textId="77777777" w:rsidR="00994F93" w:rsidRPr="00B03B51" w:rsidRDefault="00994F93" w:rsidP="00994F93">
      <w:pPr>
        <w:pStyle w:val="BodyText"/>
        <w:tabs>
          <w:tab w:val="left" w:pos="1126"/>
        </w:tabs>
        <w:spacing w:before="0"/>
        <w:ind w:left="284" w:firstLine="0"/>
        <w:jc w:val="both"/>
        <w:rPr>
          <w:rFonts w:ascii="Times New Roman" w:hAnsi="Times New Roman" w:cs="Times New Roman"/>
          <w:noProof/>
          <w:sz w:val="24"/>
        </w:rPr>
      </w:pPr>
    </w:p>
    <w:p w14:paraId="4F9813F4" w14:textId="77777777" w:rsidR="00994F93" w:rsidRPr="00B03B51" w:rsidRDefault="00994F93" w:rsidP="00994F93">
      <w:pPr>
        <w:pStyle w:val="BodyText"/>
        <w:tabs>
          <w:tab w:val="left" w:pos="1126"/>
        </w:tabs>
        <w:spacing w:before="0"/>
        <w:ind w:left="284" w:firstLine="0"/>
        <w:jc w:val="both"/>
        <w:rPr>
          <w:rFonts w:ascii="Times New Roman" w:hAnsi="Times New Roman" w:cs="Times New Roman"/>
          <w:noProof/>
          <w:sz w:val="24"/>
        </w:rPr>
      </w:pPr>
      <w:r w:rsidRPr="00B03B51">
        <w:rPr>
          <w:rFonts w:ascii="Times New Roman" w:hAnsi="Times New Roman" w:cs="Times New Roman"/>
          <w:sz w:val="24"/>
        </w:rPr>
        <w:t>b) ja instruments ietver aizdevumu un atvasināto instrumentu, kas ir atdalāms (skat. 2.4.3.17. apakšiedaļu), summu ieraksta kā turēšanas zaudējumus (atvasināto instrumentu turēšanas zaudējumus), ja vien soda nauda nepārsniedz nenomaksāto atvasināto instrumentu patieso vērtību vai ja vien soda nauda nav iepriekš noteikts maksājums, kas izteikts vai nu kā vienreizējs maksājums, vai kā nemainīta procentuālā daļa no nenomaksātās pamatsummas. Abos pēdējos minētajos gadījumos debitors ieraksta izdevumos to maksājuma daļu, kas pārsniedz atvasinātā instrumenta patieso vērtību, vai fiksētu summu;</w:t>
      </w:r>
    </w:p>
    <w:p w14:paraId="18426663" w14:textId="77777777" w:rsidR="00994F93" w:rsidRPr="00B03B51" w:rsidRDefault="00994F93" w:rsidP="00994F93">
      <w:pPr>
        <w:pStyle w:val="BodyText"/>
        <w:tabs>
          <w:tab w:val="left" w:pos="1126"/>
        </w:tabs>
        <w:spacing w:before="0"/>
        <w:ind w:left="284" w:firstLine="0"/>
        <w:jc w:val="both"/>
        <w:rPr>
          <w:rFonts w:ascii="Times New Roman" w:hAnsi="Times New Roman" w:cs="Times New Roman"/>
          <w:noProof/>
          <w:sz w:val="24"/>
        </w:rPr>
      </w:pPr>
    </w:p>
    <w:p w14:paraId="465EA946" w14:textId="77777777" w:rsidR="00994F93" w:rsidRPr="00B03B51" w:rsidRDefault="00994F93" w:rsidP="00994F93">
      <w:pPr>
        <w:pStyle w:val="BodyText"/>
        <w:tabs>
          <w:tab w:val="left" w:pos="1126"/>
        </w:tabs>
        <w:spacing w:before="0"/>
        <w:ind w:left="284" w:firstLine="0"/>
        <w:jc w:val="both"/>
        <w:rPr>
          <w:rFonts w:ascii="Times New Roman" w:hAnsi="Times New Roman" w:cs="Times New Roman"/>
          <w:noProof/>
          <w:sz w:val="24"/>
        </w:rPr>
      </w:pPr>
      <w:r w:rsidRPr="00B03B51">
        <w:rPr>
          <w:rFonts w:ascii="Times New Roman" w:hAnsi="Times New Roman" w:cs="Times New Roman"/>
          <w:sz w:val="24"/>
        </w:rPr>
        <w:t>c) ja aizdevums ir indeksēts ar šauro indeksu (skat. 2.4.3.11. apakšiedaļu), summu ieraksta kā ienākumu, ja tā paredzēts līgumā, un nesaistīti ar indeksu. Pretējā gadījumā saskaņā ar iepriekšējā punktā minēto atdalāmo atvasināto instrumentu gadījumu vai pēc analoģijas ar to maksājums atspoguļo ar aizdevumiem saistītos debitora turēšanas zaudējumus (kreditora turēšanas guvumus).</w:t>
      </w:r>
    </w:p>
    <w:p w14:paraId="3890BCF2"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23AD5394"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70. Kompensācijas maksu, ko ieraksta nefinanšu kontos, nacionālajos kontos nevar uzskatīt par kapitāla pārvedumu un ir jāuzskata par pakalpojuma maksu (P.1) vai gadījumā, ja kreditors ir finanšu iestāde, par kompensācijas pārvedumu (D.75).</w:t>
      </w:r>
    </w:p>
    <w:p w14:paraId="4B6C0911"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0AA4A2C7"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71. Soda sankcijas saistībā ar atkārtotām sarunām ir līdzīgas maksājumiem par pirmstermiņa izpirkšanu. Var apgalvot, ka atkārtotas sarunas/pārstrukturēšana neatšķiras no situācijas, kad tiek izbeigts viens līgums un vienlaikus stājas spēkā jauns līgums. Saskaņā ar iepriekšējiem punktiem maksas par atkārtotām sarunām ieraksta tad, kad tās tiek veiktas. Izņēmuma gadījumos, piemēram, kad atkārtotajās sarunās saskaņotie noteikumi nav tajā laikā tirgus noteikumi (un tādējādi var pieņemt, ka maksa par atkārtotajām sarunām ietver arī kompensāciju par ārpustirgus noteikumiem), var gadīties, ka daļa no šīs maksas nav jāsadala uz visu instrumenta darbības laiku. Šajā gadījumā varētu gadīties, ka maksa ir jāsadala divos komponentos, no kuriem viens ir kompensācija par pirmstermiņa izpirkšanu un otrs ir vērtība, kas izsaka starpību starp tirgus noteikumiem atkārtotu sarunu laikā un jaunajiem saskaņotajiem noteikumiem, kur pirmo minēto vērtību ieraksta vienošanās brīdī un otro sadala uz jauno periodu.</w:t>
      </w:r>
    </w:p>
    <w:p w14:paraId="69055859"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0D1B470C"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 xml:space="preserve">72. Dažu termiņnoguldījumu vai krājnoguldījumu gadījumā attiecīgo procentu likmi var maksāt </w:t>
      </w:r>
      <w:r w:rsidRPr="00B03B51">
        <w:rPr>
          <w:rFonts w:ascii="Times New Roman" w:hAnsi="Times New Roman" w:cs="Times New Roman"/>
          <w:sz w:val="24"/>
        </w:rPr>
        <w:lastRenderedPageBreak/>
        <w:t>vienīgi saskaņā ar noteikumu par minimālo noguldījuma termiņu. Pirmstermiņa likvidēšanu, ja vien līgumā tāda ir atļauta, līdzsvaro, samazinot turētājam izmaksājamo procentu likmi. Lai ierakstītu procentus atbilstoši uzkrāšanas principam, vērā ņemtā procentu likme ir maksimālā likme, ko noguldītājs varētu saņemt līguma standarta izpildes gaitā, t. i., ja tiek ievēroti noteikumi attiecībā uz atmaksāšanas termiņu un paziņojumu sniegšanu. Ja tā nav, iepriekš uzkrāto procentu summu koriģē atbilstoši galīgajai likmei. Tā kā, visticamāk, šī summa kopumā ir ļoti maza salīdzinājumā ar kopējiem procentiem par noguldījumiem, praktisku apsvērumu dēļ kopsummas korekciju var ierakstīt tikai pašā pēdējā periodā.</w:t>
      </w:r>
    </w:p>
    <w:p w14:paraId="6A813C5F" w14:textId="77777777" w:rsidR="00994F93" w:rsidRPr="00B03B51" w:rsidRDefault="00994F93" w:rsidP="00994F93">
      <w:pPr>
        <w:jc w:val="both"/>
        <w:rPr>
          <w:rFonts w:ascii="Times New Roman" w:eastAsia="Arial" w:hAnsi="Times New Roman" w:cs="Times New Roman"/>
          <w:noProof/>
          <w:sz w:val="24"/>
          <w:szCs w:val="15"/>
        </w:rPr>
      </w:pPr>
    </w:p>
    <w:p w14:paraId="7AF5FE5F" w14:textId="77777777" w:rsidR="00994F93" w:rsidRPr="00B03B51" w:rsidRDefault="00994F93" w:rsidP="00994F93">
      <w:pPr>
        <w:pStyle w:val="Heading6"/>
        <w:tabs>
          <w:tab w:val="left" w:pos="1411"/>
        </w:tabs>
        <w:ind w:left="0" w:firstLine="0"/>
        <w:jc w:val="both"/>
        <w:rPr>
          <w:rFonts w:ascii="Times New Roman" w:hAnsi="Times New Roman" w:cs="Times New Roman"/>
          <w:noProof/>
          <w:sz w:val="24"/>
        </w:rPr>
      </w:pPr>
      <w:bookmarkStart w:id="146" w:name="2.4.3.17_Recording_interest_when_there_i"/>
      <w:bookmarkEnd w:id="146"/>
      <w:r w:rsidRPr="00B03B51">
        <w:rPr>
          <w:rFonts w:ascii="Times New Roman" w:hAnsi="Times New Roman" w:cs="Times New Roman"/>
          <w:sz w:val="24"/>
        </w:rPr>
        <w:t>2.4.3.17. PROCENTU IERAKSTĪŠANA, KAD PARĀDA INSTRUMENTS SATUR ATVASINĀTU INSTRUMENTU</w:t>
      </w:r>
    </w:p>
    <w:p w14:paraId="4A2C7800" w14:textId="77777777" w:rsidR="00994F93" w:rsidRPr="00B03B51" w:rsidRDefault="00994F93" w:rsidP="00994F93">
      <w:pPr>
        <w:jc w:val="both"/>
        <w:rPr>
          <w:rFonts w:ascii="Times New Roman" w:eastAsia="Arial" w:hAnsi="Times New Roman" w:cs="Times New Roman"/>
          <w:b/>
          <w:bCs/>
          <w:noProof/>
          <w:sz w:val="24"/>
          <w:szCs w:val="21"/>
        </w:rPr>
      </w:pPr>
    </w:p>
    <w:p w14:paraId="27046AA6" w14:textId="77777777" w:rsidR="00994F93" w:rsidRPr="00B03B51" w:rsidRDefault="00994F93" w:rsidP="00994F93">
      <w:pPr>
        <w:jc w:val="both"/>
        <w:rPr>
          <w:rFonts w:ascii="Times New Roman" w:hAnsi="Times New Roman" w:cs="Times New Roman"/>
          <w:b/>
          <w:noProof/>
          <w:sz w:val="24"/>
        </w:rPr>
      </w:pPr>
      <w:r w:rsidRPr="00B03B51">
        <w:rPr>
          <w:rFonts w:ascii="Times New Roman" w:hAnsi="Times New Roman" w:cs="Times New Roman"/>
          <w:b/>
          <w:sz w:val="24"/>
        </w:rPr>
        <w:t>Vispārīgs princips</w:t>
      </w:r>
    </w:p>
    <w:p w14:paraId="6F7C2331" w14:textId="77777777" w:rsidR="00994F93" w:rsidRPr="00B03B51" w:rsidRDefault="00994F93" w:rsidP="00994F93">
      <w:pPr>
        <w:jc w:val="both"/>
        <w:rPr>
          <w:rFonts w:ascii="Times New Roman" w:eastAsia="Arial" w:hAnsi="Times New Roman" w:cs="Times New Roman"/>
          <w:b/>
          <w:bCs/>
          <w:noProof/>
          <w:sz w:val="24"/>
          <w:szCs w:val="21"/>
        </w:rPr>
      </w:pPr>
    </w:p>
    <w:p w14:paraId="085EF42F"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73. Kad ir uzskatāms, ka parāda instruments</w:t>
      </w:r>
      <w:r w:rsidRPr="00B03B51">
        <w:rPr>
          <w:rStyle w:val="FootnoteReference"/>
          <w:rFonts w:ascii="Times New Roman" w:hAnsi="Times New Roman" w:cs="Times New Roman"/>
          <w:noProof/>
          <w:sz w:val="24"/>
        </w:rPr>
        <w:footnoteReference w:id="131"/>
      </w:r>
      <w:r w:rsidRPr="00B03B51">
        <w:rPr>
          <w:rFonts w:ascii="Times New Roman" w:hAnsi="Times New Roman" w:cs="Times New Roman"/>
          <w:sz w:val="24"/>
        </w:rPr>
        <w:t xml:space="preserve"> satur atdalāmu atvasināto instrumentu, uzkrātajiem procentiem ir jāparāda divi komponenti: a) komponents, kas aprēķināts par parāda instrumentu, kurā neietilpst atvasinātais instruments, saskaņā ar rezultātā iegūto instrumentu būtību pēc minētā atvasinātā instrumenta atdalīšanas, un b) vēl viens komponents, kas ietver minēto atvasināto instrumentu patieso vērtību instrumenta darbības sākumā. Abus šos komponentus sadala laikā saskaņā ar uzkrāšanas principu.</w:t>
      </w:r>
    </w:p>
    <w:p w14:paraId="3DCA5969"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16D4DCAD"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74. Attiecīgais atvasinātais instruments var būt ārpusbiržas nākotnes atvasinātais instruments vai iespējas atvasinātais instruments. Iespējas atvasinātie instrumenti var tikt vienkāršoti, kļūstot par (asimetrisku) ārpusbiržas nākotnes atvasināto instrumentu, ja svārstīgums samazinās līdz nullei.</w:t>
      </w:r>
    </w:p>
    <w:p w14:paraId="7F228FEB"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6BF8179D"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 xml:space="preserve">75. Pieņemsim, ka ir 100 vienību aizņēmuma līgums uz 10 gadiem ar fiksētu procentu likmi 4 % gadā, kā arī papildu summas, kas ir atkarīgas no kādas formulas, kas atkārtojama ar iespējas līgumu vai iespēju līgumu grozu (debitoram ir pārdošanas postenis). Pieņemsim, ka iespēju līgumi ir kompensējami, to novērojamā patiesā vērtība ir 15. Tad kopējie “procenti”(D.41 plus </w:t>
      </w:r>
      <w:r w:rsidRPr="00B03B51">
        <w:rPr>
          <w:rFonts w:ascii="Times New Roman" w:hAnsi="Times New Roman" w:cs="Times New Roman"/>
          <w:i/>
          <w:iCs/>
          <w:sz w:val="24"/>
        </w:rPr>
        <w:t>FISIM</w:t>
      </w:r>
      <w:r w:rsidRPr="00B03B51">
        <w:rPr>
          <w:rFonts w:ascii="Times New Roman" w:hAnsi="Times New Roman" w:cs="Times New Roman"/>
          <w:sz w:val="24"/>
        </w:rPr>
        <w:t>), kas jāieraksta nacionālajos kontos attiecībā uz šo instrumentu, ir 55 = 4 x 10 +15. Tie ir līdzvērtīgi 5,5 [procentiem] gadā, ja tiek sadalīti lineāri, vai kādai zemākai summai pirmajā gadā (apmēram 5,13), kas laika gaitā pieaug (līdz 5,93 [procentiem] 10. gadā), ja izmanto pašreizējās vērtības/salikto procentu pieeju. Var redzēt, ka pašreizējās vērtības/salikto procentu pieeju rada vai nu tas, ka debitors gūst procentus, vai ka laika gaitā pieaug saistības (skat. turpmāk “atvasināto instrumentu traktējums”). Parāda instrumenta ienesīgums ir apmēram 6,04 % (6,04 % x (100 - 15) = 5,13), kas būtiski atšķiras no pirmā tuvinājuma, kas ir 5,5 %.</w:t>
      </w:r>
    </w:p>
    <w:p w14:paraId="27AEDBF2" w14:textId="77777777" w:rsidR="00994F93" w:rsidRPr="00B03B51" w:rsidRDefault="00994F93" w:rsidP="00994F93">
      <w:pPr>
        <w:jc w:val="both"/>
        <w:rPr>
          <w:rFonts w:ascii="Times New Roman" w:eastAsia="Arial" w:hAnsi="Times New Roman" w:cs="Times New Roman"/>
          <w:noProof/>
          <w:sz w:val="24"/>
          <w:szCs w:val="20"/>
        </w:rPr>
      </w:pPr>
    </w:p>
    <w:p w14:paraId="7A389AC4" w14:textId="75EDB540" w:rsidR="00994F93" w:rsidRPr="00B03B51" w:rsidRDefault="007578E7" w:rsidP="007578E7">
      <w:pPr>
        <w:jc w:val="center"/>
        <w:rPr>
          <w:rFonts w:ascii="Times New Roman" w:eastAsia="Arial" w:hAnsi="Times New Roman" w:cs="Times New Roman"/>
          <w:noProof/>
          <w:sz w:val="24"/>
          <w:szCs w:val="18"/>
        </w:rPr>
      </w:pPr>
      <w:r w:rsidRPr="00B03B51">
        <w:rPr>
          <w:rFonts w:ascii="Times New Roman" w:eastAsia="Arial" w:hAnsi="Times New Roman" w:cs="Times New Roman"/>
          <w:noProof/>
          <w:sz w:val="24"/>
          <w:szCs w:val="18"/>
        </w:rPr>
        <w:lastRenderedPageBreak/>
        <w:drawing>
          <wp:inline distT="0" distB="0" distL="0" distR="0" wp14:anchorId="1DA58AA7" wp14:editId="404D70D0">
            <wp:extent cx="5760085" cy="4874895"/>
            <wp:effectExtent l="0" t="0" r="0" b="1905"/>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760085" cy="4874895"/>
                    </a:xfrm>
                    <a:prstGeom prst="rect">
                      <a:avLst/>
                    </a:prstGeom>
                    <a:noFill/>
                    <a:ln>
                      <a:noFill/>
                    </a:ln>
                  </pic:spPr>
                </pic:pic>
              </a:graphicData>
            </a:graphic>
          </wp:inline>
        </w:drawing>
      </w:r>
    </w:p>
    <w:p w14:paraId="7E548E84" w14:textId="77777777" w:rsidR="00994F93" w:rsidRPr="00B03B51" w:rsidRDefault="00994F93" w:rsidP="00994F93">
      <w:pPr>
        <w:jc w:val="both"/>
        <w:rPr>
          <w:rFonts w:ascii="Times New Roman" w:eastAsia="Arial" w:hAnsi="Times New Roman" w:cs="Times New Roman"/>
          <w:noProof/>
          <w:sz w:val="24"/>
          <w:szCs w:val="24"/>
        </w:rPr>
      </w:pPr>
    </w:p>
    <w:p w14:paraId="0CEC474E" w14:textId="5D76132A" w:rsidR="00994F93" w:rsidRPr="00B03B51" w:rsidRDefault="00994F93" w:rsidP="00994F93">
      <w:pPr>
        <w:jc w:val="both"/>
        <w:rPr>
          <w:rFonts w:ascii="Times New Roman" w:hAnsi="Times New Roman" w:cs="Times New Roman"/>
          <w:b/>
          <w:sz w:val="24"/>
        </w:rPr>
      </w:pPr>
      <w:r w:rsidRPr="00B03B51">
        <w:rPr>
          <w:rFonts w:ascii="Times New Roman" w:hAnsi="Times New Roman" w:cs="Times New Roman"/>
          <w:b/>
          <w:sz w:val="24"/>
        </w:rPr>
        <w:t>Atvasinātā instrumenta atzīšana</w:t>
      </w:r>
    </w:p>
    <w:p w14:paraId="15CA1936" w14:textId="77777777" w:rsidR="00AB2630" w:rsidRPr="00B03B51" w:rsidRDefault="00AB2630" w:rsidP="00994F93">
      <w:pPr>
        <w:jc w:val="both"/>
        <w:rPr>
          <w:rFonts w:ascii="Times New Roman" w:hAnsi="Times New Roman" w:cs="Times New Roman"/>
          <w:b/>
          <w:noProof/>
          <w:sz w:val="24"/>
        </w:rPr>
      </w:pPr>
    </w:p>
    <w:p w14:paraId="5F783DCC"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76. EKS 2010 5.220. punkta b) apakšpunktā ir minēts “strukturēto parāda vērtspapīru” gadījums, kurā parāda vērtspapīrs ir apvienots ar atvasināto instrumentu. Ja abi ir “nodalāmi”, katru attiecīgi klasificē. Ja abi nav nodalāmi, instrumentu klasificē atbilstīgi “sākotnēji ieguldītās pamatsummas” relatīvajam lielumam salīdzinājumā ar “gaidāmo ieņēmumu”. Ja relatīvais lielums ir mazs, instrumentu klasificē kā atvasināto instrumentu.</w:t>
      </w:r>
    </w:p>
    <w:p w14:paraId="22E7995F"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29F39852"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77. Lai arī EKS 2010 5.220. punkta b) apakšpunkts attiecas vien uz parāda vērtspapīriem, saskaņā ar satura pār formu principu ir jānodala atvasinātie instrumenti arī citiem instrumentiem, piemēram, aizdevumiem, ja tiek izpildīti kritēriji. Taču, ja atvasinātais instruments nav nodalāms, pieņem, ka aizdevuma instrumentu nevar pārklasificēt par atvasināto instrumentu, jo tas nav tirgojams (un nav kompensējams).</w:t>
      </w:r>
    </w:p>
    <w:p w14:paraId="01274E38"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5BF0784F"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78. EKS 2010 20.133. punktā ir paredzēts, ka ārpustirgus mijmaiņas darījumus ieraksta, instrumentu sadalot kā aizdevuma komponentu (AF.4) un parasto mijmaiņas darījumu (AF.7) (skat. 2.4.3.18. apakšiedaļu).</w:t>
      </w:r>
    </w:p>
    <w:p w14:paraId="334450DC" w14:textId="77777777" w:rsidR="00994F93" w:rsidRPr="00B03B51" w:rsidRDefault="00994F93" w:rsidP="00994F93">
      <w:pPr>
        <w:tabs>
          <w:tab w:val="left" w:pos="843"/>
        </w:tabs>
        <w:jc w:val="both"/>
        <w:rPr>
          <w:rFonts w:ascii="Times New Roman" w:hAnsi="Times New Roman" w:cs="Times New Roman"/>
          <w:noProof/>
          <w:sz w:val="24"/>
        </w:rPr>
      </w:pPr>
    </w:p>
    <w:p w14:paraId="5EDEC4E9" w14:textId="77777777" w:rsidR="00994F93" w:rsidRPr="00B03B51" w:rsidRDefault="00994F93" w:rsidP="00994F93">
      <w:pPr>
        <w:tabs>
          <w:tab w:val="left" w:pos="843"/>
        </w:tabs>
        <w:jc w:val="both"/>
        <w:rPr>
          <w:rFonts w:ascii="Times New Roman" w:hAnsi="Times New Roman" w:cs="Times New Roman"/>
          <w:i/>
          <w:noProof/>
          <w:sz w:val="24"/>
        </w:rPr>
      </w:pPr>
      <w:r w:rsidRPr="00B03B51">
        <w:rPr>
          <w:rFonts w:ascii="Times New Roman" w:hAnsi="Times New Roman" w:cs="Times New Roman"/>
          <w:sz w:val="24"/>
        </w:rPr>
        <w:t xml:space="preserve">79. Lai atzītu atvasināto instrumentu, tam ir jāatbilst EKS 2010 5.199. punktā noteiktajam definīciju kopumam: </w:t>
      </w:r>
      <w:r w:rsidRPr="00B03B51">
        <w:rPr>
          <w:rFonts w:ascii="Times New Roman" w:hAnsi="Times New Roman" w:cs="Times New Roman"/>
          <w:i/>
          <w:sz w:val="24"/>
        </w:rPr>
        <w:t xml:space="preserve">atvasinātie finanšu instrumenti ir finanšu instrumenti, kas ir piesaistīti kādam konkrētam finanšu instrumentam, rādītājam vai precei, ar kura starpniecību konkrētus finanšu riskus kā tādus var tirgot finanšu tirgū. Atvasinātie finanšu instrumenti atbilst šādiem </w:t>
      </w:r>
      <w:r w:rsidRPr="00B03B51">
        <w:rPr>
          <w:rFonts w:ascii="Times New Roman" w:hAnsi="Times New Roman" w:cs="Times New Roman"/>
          <w:i/>
          <w:sz w:val="24"/>
        </w:rPr>
        <w:lastRenderedPageBreak/>
        <w:t>nosacījumiem:</w:t>
      </w:r>
    </w:p>
    <w:p w14:paraId="2335194E" w14:textId="77777777" w:rsidR="00994F93" w:rsidRPr="00B03B51" w:rsidRDefault="00994F93" w:rsidP="00994F93">
      <w:pPr>
        <w:jc w:val="both"/>
        <w:rPr>
          <w:rFonts w:ascii="Times New Roman" w:hAnsi="Times New Roman" w:cs="Times New Roman"/>
          <w:i/>
          <w:noProof/>
          <w:sz w:val="24"/>
        </w:rPr>
      </w:pPr>
    </w:p>
    <w:p w14:paraId="47188613" w14:textId="77777777" w:rsidR="00994F93" w:rsidRPr="00B03B51" w:rsidRDefault="00994F93" w:rsidP="00994F93">
      <w:pPr>
        <w:tabs>
          <w:tab w:val="left" w:pos="1126"/>
        </w:tabs>
        <w:ind w:left="284"/>
        <w:jc w:val="both"/>
        <w:rPr>
          <w:rFonts w:ascii="Times New Roman" w:hAnsi="Times New Roman" w:cs="Times New Roman"/>
          <w:i/>
          <w:noProof/>
          <w:sz w:val="24"/>
        </w:rPr>
      </w:pPr>
      <w:r w:rsidRPr="00B03B51">
        <w:rPr>
          <w:rFonts w:ascii="Times New Roman" w:hAnsi="Times New Roman" w:cs="Times New Roman"/>
          <w:i/>
          <w:sz w:val="24"/>
        </w:rPr>
        <w:t>a) tie ir saistīti ar kādu finanšu vai nefinanšu aktīvu, aktīvu grupu vai indeksu;</w:t>
      </w:r>
    </w:p>
    <w:p w14:paraId="12DC5E59" w14:textId="77777777" w:rsidR="00994F93" w:rsidRPr="00B03B51" w:rsidRDefault="00994F93" w:rsidP="00994F93">
      <w:pPr>
        <w:tabs>
          <w:tab w:val="left" w:pos="1126"/>
        </w:tabs>
        <w:ind w:left="284"/>
        <w:jc w:val="both"/>
        <w:rPr>
          <w:rFonts w:ascii="Times New Roman" w:hAnsi="Times New Roman" w:cs="Times New Roman"/>
          <w:i/>
          <w:noProof/>
          <w:sz w:val="24"/>
        </w:rPr>
      </w:pPr>
    </w:p>
    <w:p w14:paraId="2B1C2ED6" w14:textId="77777777" w:rsidR="00994F93" w:rsidRPr="00B03B51" w:rsidRDefault="00994F93" w:rsidP="00994F93">
      <w:pPr>
        <w:tabs>
          <w:tab w:val="left" w:pos="1126"/>
        </w:tabs>
        <w:ind w:left="284"/>
        <w:jc w:val="both"/>
        <w:rPr>
          <w:rFonts w:ascii="Times New Roman" w:hAnsi="Times New Roman" w:cs="Times New Roman"/>
          <w:i/>
          <w:noProof/>
          <w:sz w:val="24"/>
        </w:rPr>
      </w:pPr>
      <w:r w:rsidRPr="00B03B51">
        <w:rPr>
          <w:rFonts w:ascii="Times New Roman" w:hAnsi="Times New Roman" w:cs="Times New Roman"/>
          <w:i/>
          <w:sz w:val="24"/>
        </w:rPr>
        <w:t>b) tie ir apgrozāmi vai tos var kompensēt tirgū, un</w:t>
      </w:r>
    </w:p>
    <w:p w14:paraId="733D8B8D" w14:textId="77777777" w:rsidR="00994F93" w:rsidRPr="00B03B51" w:rsidRDefault="00994F93" w:rsidP="00994F93">
      <w:pPr>
        <w:tabs>
          <w:tab w:val="left" w:pos="1126"/>
        </w:tabs>
        <w:ind w:left="284"/>
        <w:jc w:val="both"/>
        <w:rPr>
          <w:rFonts w:ascii="Times New Roman" w:hAnsi="Times New Roman" w:cs="Times New Roman"/>
          <w:i/>
          <w:noProof/>
          <w:sz w:val="24"/>
        </w:rPr>
      </w:pPr>
    </w:p>
    <w:p w14:paraId="1B1F88D3" w14:textId="77777777" w:rsidR="00994F93" w:rsidRPr="00B03B51" w:rsidRDefault="00994F93" w:rsidP="00994F93">
      <w:pPr>
        <w:tabs>
          <w:tab w:val="left" w:pos="1126"/>
        </w:tabs>
        <w:ind w:left="284"/>
        <w:jc w:val="both"/>
        <w:rPr>
          <w:rFonts w:ascii="Times New Roman" w:hAnsi="Times New Roman" w:cs="Times New Roman"/>
          <w:i/>
          <w:noProof/>
          <w:sz w:val="24"/>
        </w:rPr>
      </w:pPr>
      <w:r w:rsidRPr="00B03B51">
        <w:rPr>
          <w:rFonts w:ascii="Times New Roman" w:hAnsi="Times New Roman" w:cs="Times New Roman"/>
          <w:i/>
          <w:sz w:val="24"/>
        </w:rPr>
        <w:t>c) netiek avansā izmaksāta pamatsumma, kas jāatmaksā.</w:t>
      </w:r>
    </w:p>
    <w:p w14:paraId="23D0D002"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1CC8AFE6"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80. Praktisku iemeslu dēļ, ja statistikas veidotājiem nav pieejama informācija, uzskatāms, ka atvasinātais instruments ir nedalāms. Lai tas būtu nodalāms, ir nepieciešams, lai tas būtu kompensējams, un attiecīgi ir nepieciešams liels informācijas apjoms (piemēram, mikrodati).</w:t>
      </w:r>
    </w:p>
    <w:p w14:paraId="5A10D5DB"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52E92174" w14:textId="77777777" w:rsidR="00994F93" w:rsidRPr="00B03B51" w:rsidRDefault="00994F93" w:rsidP="00994F93">
      <w:pPr>
        <w:jc w:val="both"/>
        <w:rPr>
          <w:rFonts w:ascii="Times New Roman" w:hAnsi="Times New Roman" w:cs="Times New Roman"/>
          <w:b/>
          <w:noProof/>
          <w:sz w:val="24"/>
        </w:rPr>
      </w:pPr>
      <w:r w:rsidRPr="00B03B51">
        <w:rPr>
          <w:rFonts w:ascii="Times New Roman" w:hAnsi="Times New Roman" w:cs="Times New Roman"/>
          <w:b/>
          <w:sz w:val="24"/>
        </w:rPr>
        <w:t>Saikne ar indeksētiem parādiem</w:t>
      </w:r>
    </w:p>
    <w:p w14:paraId="54B53263"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465AD23C"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81. Var uzskatīt, ka indeksētie parādi, kuru traktējums ir sniegts 2.4.3.11. apakšiedaļā, ir līdzīgi (no instrumenta atdeves viedokļa) tāda veida parādam ar atvasināto instrumentu, kuram ir raksturīgs tas, ka tam ir tikai ārpusbiržas nākotnes līgums un nav “sviras efekta”.</w:t>
      </w:r>
    </w:p>
    <w:p w14:paraId="25403292"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2AE0DEA9"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82. Ja indekss ir šaurs, EKS 2010 un NKS 2008 tiek ņemts vērā spekulācijas motīvs un tiek atzīti turēšanas guvumi un zaudējumi visā instrumenta darbības laikā (attiecīgā negaidītā peļņa). Tas atbilst strukturētajiem instrumentiem, kuriem ir atdalāmie atvasinātie instrumenti, kur turēšanas guvumi un zaudējumi rodas apvienotā instrumenta visā darbības laikā un kas tiek ziņoti kā atvasināto instrumentu pārvērtēšana.</w:t>
      </w:r>
    </w:p>
    <w:p w14:paraId="0FCAC826"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716D099B"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83. Ja indekss ir šaurs, procenti, kas uzkrājas indeksētajam instrumentam, būs tādi paši kā procenti, kas jāieraksta instrumentam, kuram ir atdalāms atvasinātais instruments (ārpusbiržas nākotnes līguma veids), izmantojot kristalizācijas metodi (skat. arī 71.–73. rindkopu).</w:t>
      </w:r>
    </w:p>
    <w:p w14:paraId="7F167B29" w14:textId="77777777" w:rsidR="00994F93" w:rsidRPr="00B03B51" w:rsidRDefault="00994F93" w:rsidP="00994F93">
      <w:pPr>
        <w:jc w:val="both"/>
        <w:rPr>
          <w:rFonts w:ascii="Times New Roman" w:hAnsi="Times New Roman" w:cs="Times New Roman"/>
          <w:b/>
          <w:noProof/>
          <w:sz w:val="24"/>
        </w:rPr>
      </w:pPr>
    </w:p>
    <w:p w14:paraId="1C7FDDD7" w14:textId="77777777" w:rsidR="00994F93" w:rsidRPr="00B03B51" w:rsidRDefault="00994F93" w:rsidP="00994F93">
      <w:pPr>
        <w:jc w:val="both"/>
        <w:rPr>
          <w:rFonts w:ascii="Times New Roman" w:hAnsi="Times New Roman" w:cs="Times New Roman"/>
          <w:b/>
          <w:noProof/>
          <w:sz w:val="24"/>
        </w:rPr>
      </w:pPr>
      <w:r w:rsidRPr="00B03B51">
        <w:rPr>
          <w:rFonts w:ascii="Times New Roman" w:hAnsi="Times New Roman" w:cs="Times New Roman"/>
          <w:b/>
          <w:sz w:val="24"/>
        </w:rPr>
        <w:t>Atvasinātā instrumenta traktējums</w:t>
      </w:r>
    </w:p>
    <w:p w14:paraId="706E4404"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51342F29"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84. Ja identificētais atvasinātais instruments ir ārpusbiržas nākotnes līgums, atvasinātā instrumenta patiesā vērtība darbības sākumā ir nulle, pretējā gadījumā ir jāatzīst, ka tas ir ārpustirgus mijmaiņas darījums (vai cits atvasinātais instruments) (skat. 2.4.3.18. apakšiedaļu par ārpustirgus mijmaiņas darījumiem).</w:t>
      </w:r>
    </w:p>
    <w:p w14:paraId="5A020C56"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1BA03448"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85. Ja identificētais atvasinātais instruments ir iespējas līgums, aizņēmēja saistību pusē (AF.7) ieraksta iespējas līguma patieso vērtību, saskaņojot to ar ierakstu citās debitoru saistībās (AF.8), nevis samazinot aizņemto summu (AF.4 saistības):</w:t>
      </w:r>
    </w:p>
    <w:p w14:paraId="6C027D5A"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368FE5AC" w14:textId="77777777" w:rsidR="00994F93" w:rsidRPr="00B03B51" w:rsidRDefault="00994F93" w:rsidP="00994F93">
      <w:pPr>
        <w:pStyle w:val="BodyText"/>
        <w:tabs>
          <w:tab w:val="left" w:pos="1126"/>
        </w:tabs>
        <w:spacing w:before="0"/>
        <w:ind w:left="284" w:firstLine="0"/>
        <w:jc w:val="both"/>
        <w:rPr>
          <w:rFonts w:ascii="Times New Roman" w:hAnsi="Times New Roman" w:cs="Times New Roman"/>
          <w:noProof/>
          <w:sz w:val="24"/>
        </w:rPr>
      </w:pPr>
      <w:r w:rsidRPr="00B03B51">
        <w:rPr>
          <w:rFonts w:ascii="Times New Roman" w:hAnsi="Times New Roman" w:cs="Times New Roman"/>
          <w:sz w:val="24"/>
        </w:rPr>
        <w:t xml:space="preserve">a) ierakstāmie D.41 (attiecīgā gadījumā pirms </w:t>
      </w:r>
      <w:r w:rsidRPr="00B03B51">
        <w:rPr>
          <w:rFonts w:ascii="Times New Roman" w:hAnsi="Times New Roman" w:cs="Times New Roman"/>
          <w:i/>
          <w:iCs/>
          <w:sz w:val="24"/>
        </w:rPr>
        <w:t>FISIM</w:t>
      </w:r>
      <w:r w:rsidRPr="00B03B51">
        <w:rPr>
          <w:rFonts w:ascii="Times New Roman" w:hAnsi="Times New Roman" w:cs="Times New Roman"/>
          <w:sz w:val="24"/>
        </w:rPr>
        <w:t>) atbilst procentu likmei par instrumenta AF.4 komponentu, izmantojot konvencionālo metodi, kuriem pieskaita samazinājumu AF.8, kas sadalīts uz visu līguma darbības laiku;</w:t>
      </w:r>
    </w:p>
    <w:p w14:paraId="496ADA9D" w14:textId="77777777" w:rsidR="00994F93" w:rsidRPr="00B03B51" w:rsidRDefault="00994F93" w:rsidP="00994F93">
      <w:pPr>
        <w:pStyle w:val="BodyText"/>
        <w:tabs>
          <w:tab w:val="left" w:pos="1126"/>
        </w:tabs>
        <w:spacing w:before="0"/>
        <w:ind w:left="284" w:firstLine="0"/>
        <w:jc w:val="both"/>
        <w:rPr>
          <w:rFonts w:ascii="Times New Roman" w:hAnsi="Times New Roman" w:cs="Times New Roman"/>
          <w:noProof/>
          <w:sz w:val="24"/>
        </w:rPr>
      </w:pPr>
    </w:p>
    <w:p w14:paraId="23519ECA" w14:textId="77777777" w:rsidR="00994F93" w:rsidRPr="00B03B51" w:rsidRDefault="00994F93" w:rsidP="00994F93">
      <w:pPr>
        <w:pStyle w:val="BodyText"/>
        <w:tabs>
          <w:tab w:val="left" w:pos="1126"/>
        </w:tabs>
        <w:spacing w:before="0"/>
        <w:ind w:left="284" w:firstLine="0"/>
        <w:jc w:val="both"/>
        <w:rPr>
          <w:rFonts w:ascii="Times New Roman" w:hAnsi="Times New Roman" w:cs="Times New Roman"/>
          <w:noProof/>
          <w:sz w:val="24"/>
        </w:rPr>
      </w:pPr>
      <w:r w:rsidRPr="00B03B51">
        <w:rPr>
          <w:rFonts w:ascii="Times New Roman" w:hAnsi="Times New Roman" w:cs="Times New Roman"/>
          <w:sz w:val="24"/>
        </w:rPr>
        <w:t>b) konceptuāli AF.8 kopumā būtu uzskatāmas kā procentu uzkrāšana (valdības ieņēmumi) par summām, kas samazinās laika gaitā, reizē ar AF.8 posteņa pakāpenisku likvidāciju. Tomēr vienkāršāks ieraksta veids ir neņemt vērā procentu uzkrāšanu AF.8 pusē, un tā vietā šīs summas atskaitīt izdevumu pusē, proti, ierakstīt laika gaitā augošu procentu izdevumu plūsmu līdzīgi kā instrumentam, kas emitēts ar diskontu;</w:t>
      </w:r>
    </w:p>
    <w:p w14:paraId="0D45787D" w14:textId="77777777" w:rsidR="00994F93" w:rsidRPr="00B03B51" w:rsidRDefault="00994F93" w:rsidP="00994F93">
      <w:pPr>
        <w:pStyle w:val="BodyText"/>
        <w:tabs>
          <w:tab w:val="left" w:pos="1126"/>
        </w:tabs>
        <w:spacing w:before="0"/>
        <w:ind w:left="284" w:firstLine="0"/>
        <w:jc w:val="both"/>
        <w:rPr>
          <w:rFonts w:ascii="Times New Roman" w:hAnsi="Times New Roman" w:cs="Times New Roman"/>
          <w:noProof/>
          <w:sz w:val="24"/>
        </w:rPr>
      </w:pPr>
    </w:p>
    <w:p w14:paraId="3D2C035D" w14:textId="77777777" w:rsidR="00994F93" w:rsidRPr="00B03B51" w:rsidRDefault="00994F93" w:rsidP="00994F93">
      <w:pPr>
        <w:pStyle w:val="BodyText"/>
        <w:tabs>
          <w:tab w:val="left" w:pos="1126"/>
        </w:tabs>
        <w:spacing w:before="0"/>
        <w:ind w:left="284" w:firstLine="0"/>
        <w:jc w:val="both"/>
        <w:rPr>
          <w:rFonts w:ascii="Times New Roman" w:hAnsi="Times New Roman" w:cs="Times New Roman"/>
          <w:noProof/>
          <w:sz w:val="24"/>
        </w:rPr>
      </w:pPr>
      <w:r w:rsidRPr="00B03B51">
        <w:rPr>
          <w:rFonts w:ascii="Times New Roman" w:hAnsi="Times New Roman" w:cs="Times New Roman"/>
          <w:sz w:val="24"/>
        </w:rPr>
        <w:t>c) Māstrihtas parāds paliek atmaksājamā parāda summa.</w:t>
      </w:r>
    </w:p>
    <w:p w14:paraId="5C89EA37" w14:textId="77777777" w:rsidR="00994F93" w:rsidRPr="00B03B51" w:rsidRDefault="00994F93" w:rsidP="00994F93">
      <w:pPr>
        <w:jc w:val="both"/>
        <w:rPr>
          <w:rFonts w:ascii="Times New Roman" w:hAnsi="Times New Roman" w:cs="Times New Roman"/>
          <w:b/>
          <w:i/>
          <w:noProof/>
          <w:sz w:val="24"/>
        </w:rPr>
      </w:pPr>
    </w:p>
    <w:p w14:paraId="31EB1B3F" w14:textId="77777777" w:rsidR="00994F93" w:rsidRPr="00B03B51" w:rsidRDefault="00994F93" w:rsidP="00AB2630">
      <w:pPr>
        <w:keepNext/>
        <w:jc w:val="both"/>
        <w:rPr>
          <w:rFonts w:ascii="Times New Roman" w:eastAsia="Arial" w:hAnsi="Times New Roman" w:cs="Times New Roman"/>
          <w:noProof/>
          <w:sz w:val="24"/>
          <w:szCs w:val="19"/>
        </w:rPr>
      </w:pPr>
      <w:r w:rsidRPr="00B03B51">
        <w:rPr>
          <w:rFonts w:ascii="Times New Roman" w:hAnsi="Times New Roman" w:cs="Times New Roman"/>
          <w:b/>
          <w:sz w:val="24"/>
        </w:rPr>
        <w:lastRenderedPageBreak/>
        <w:t xml:space="preserve">Atvasinātā instrumenta </w:t>
      </w:r>
      <w:r w:rsidRPr="00B03B51">
        <w:rPr>
          <w:rFonts w:ascii="Times New Roman" w:hAnsi="Times New Roman" w:cs="Times New Roman"/>
          <w:b/>
          <w:i/>
          <w:iCs/>
          <w:sz w:val="24"/>
        </w:rPr>
        <w:t>ex post</w:t>
      </w:r>
      <w:r w:rsidRPr="00B03B51">
        <w:rPr>
          <w:rFonts w:ascii="Times New Roman" w:hAnsi="Times New Roman" w:cs="Times New Roman"/>
          <w:b/>
          <w:sz w:val="24"/>
        </w:rPr>
        <w:t xml:space="preserve"> atzīšana</w:t>
      </w:r>
    </w:p>
    <w:p w14:paraId="2380FC81" w14:textId="77777777" w:rsidR="00994F93" w:rsidRPr="00B03B51" w:rsidRDefault="00994F93" w:rsidP="00AB2630">
      <w:pPr>
        <w:pStyle w:val="BodyText"/>
        <w:keepNext/>
        <w:tabs>
          <w:tab w:val="left" w:pos="843"/>
        </w:tabs>
        <w:spacing w:before="0"/>
        <w:ind w:left="0" w:firstLine="0"/>
        <w:jc w:val="both"/>
        <w:rPr>
          <w:rFonts w:ascii="Times New Roman" w:hAnsi="Times New Roman" w:cs="Times New Roman"/>
          <w:noProof/>
          <w:sz w:val="24"/>
        </w:rPr>
      </w:pPr>
    </w:p>
    <w:p w14:paraId="2663B8AE"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 xml:space="preserve">86. Ja statistikas veidotāji </w:t>
      </w:r>
      <w:r w:rsidRPr="00B03B51">
        <w:rPr>
          <w:rFonts w:ascii="Times New Roman" w:hAnsi="Times New Roman" w:cs="Times New Roman"/>
          <w:i/>
          <w:sz w:val="24"/>
        </w:rPr>
        <w:t xml:space="preserve">a posteriori </w:t>
      </w:r>
      <w:r w:rsidRPr="00B03B51">
        <w:rPr>
          <w:rFonts w:ascii="Times New Roman" w:hAnsi="Times New Roman" w:cs="Times New Roman"/>
          <w:sz w:val="24"/>
        </w:rPr>
        <w:t>konstatē atvasinātā instrumenta esamību līgumā, ir nepieciešama saskanīga traktēšana. Ierakstīšanas izmaiņas ir piemērojamas, kad ir piemērojami visi nosacījumi:</w:t>
      </w:r>
    </w:p>
    <w:p w14:paraId="5AB0C08E"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49D7DD27" w14:textId="77777777" w:rsidR="00994F93" w:rsidRPr="00B03B51" w:rsidRDefault="00994F93" w:rsidP="00994F93">
      <w:pPr>
        <w:pStyle w:val="BodyText"/>
        <w:tabs>
          <w:tab w:val="left" w:pos="1126"/>
        </w:tabs>
        <w:spacing w:before="0"/>
        <w:ind w:left="284" w:firstLine="0"/>
        <w:jc w:val="both"/>
        <w:rPr>
          <w:rFonts w:ascii="Times New Roman" w:hAnsi="Times New Roman" w:cs="Times New Roman"/>
          <w:noProof/>
          <w:sz w:val="24"/>
        </w:rPr>
      </w:pPr>
      <w:r w:rsidRPr="00B03B51">
        <w:rPr>
          <w:rFonts w:ascii="Times New Roman" w:hAnsi="Times New Roman" w:cs="Times New Roman"/>
          <w:sz w:val="24"/>
        </w:rPr>
        <w:t>a) ienākuma plūsmas ir pārskatītas visā līguma darbības laikā;</w:t>
      </w:r>
    </w:p>
    <w:p w14:paraId="794C0BA3" w14:textId="77777777" w:rsidR="00994F93" w:rsidRPr="00B03B51" w:rsidRDefault="00994F93" w:rsidP="00994F93">
      <w:pPr>
        <w:pStyle w:val="BodyText"/>
        <w:tabs>
          <w:tab w:val="left" w:pos="1126"/>
        </w:tabs>
        <w:spacing w:before="0"/>
        <w:ind w:left="284" w:firstLine="0"/>
        <w:jc w:val="both"/>
        <w:rPr>
          <w:rFonts w:ascii="Times New Roman" w:hAnsi="Times New Roman" w:cs="Times New Roman"/>
          <w:noProof/>
          <w:sz w:val="24"/>
        </w:rPr>
      </w:pPr>
    </w:p>
    <w:p w14:paraId="756770AF" w14:textId="77777777" w:rsidR="00994F93" w:rsidRPr="00B03B51" w:rsidRDefault="00994F93" w:rsidP="00994F93">
      <w:pPr>
        <w:pStyle w:val="BodyText"/>
        <w:tabs>
          <w:tab w:val="left" w:pos="1126"/>
        </w:tabs>
        <w:spacing w:before="0"/>
        <w:ind w:left="284" w:firstLine="0"/>
        <w:jc w:val="both"/>
        <w:rPr>
          <w:rFonts w:ascii="Times New Roman" w:hAnsi="Times New Roman" w:cs="Times New Roman"/>
          <w:noProof/>
          <w:sz w:val="24"/>
        </w:rPr>
      </w:pPr>
      <w:r w:rsidRPr="00B03B51">
        <w:rPr>
          <w:rFonts w:ascii="Times New Roman" w:hAnsi="Times New Roman" w:cs="Times New Roman"/>
          <w:sz w:val="24"/>
        </w:rPr>
        <w:t>b) visi līdzīgi līgumi tiek traktēti vienādā veidā;</w:t>
      </w:r>
    </w:p>
    <w:p w14:paraId="1C5AEF2D" w14:textId="77777777" w:rsidR="00994F93" w:rsidRPr="00B03B51" w:rsidRDefault="00994F93" w:rsidP="00994F93">
      <w:pPr>
        <w:pStyle w:val="BodyText"/>
        <w:tabs>
          <w:tab w:val="left" w:pos="1126"/>
        </w:tabs>
        <w:spacing w:before="0"/>
        <w:ind w:left="284" w:firstLine="0"/>
        <w:jc w:val="both"/>
        <w:rPr>
          <w:rFonts w:ascii="Times New Roman" w:hAnsi="Times New Roman" w:cs="Times New Roman"/>
          <w:noProof/>
          <w:sz w:val="24"/>
        </w:rPr>
      </w:pPr>
    </w:p>
    <w:p w14:paraId="67963FBA" w14:textId="77777777" w:rsidR="00994F93" w:rsidRPr="00B03B51" w:rsidRDefault="00994F93" w:rsidP="00994F93">
      <w:pPr>
        <w:pStyle w:val="BodyText"/>
        <w:tabs>
          <w:tab w:val="left" w:pos="1126"/>
        </w:tabs>
        <w:spacing w:before="0"/>
        <w:ind w:left="284" w:firstLine="0"/>
        <w:jc w:val="both"/>
        <w:rPr>
          <w:rFonts w:ascii="Times New Roman" w:hAnsi="Times New Roman" w:cs="Times New Roman"/>
          <w:noProof/>
          <w:sz w:val="24"/>
        </w:rPr>
      </w:pPr>
      <w:r w:rsidRPr="00B03B51">
        <w:rPr>
          <w:rFonts w:ascii="Times New Roman" w:hAnsi="Times New Roman" w:cs="Times New Roman"/>
          <w:sz w:val="24"/>
        </w:rPr>
        <w:t>c) ir pieejama kāda “mikroinformācija” saistībā ar konkrētiem līgumiem, vismaz attiecībā uz to reprezentatīviem paraugiem.</w:t>
      </w:r>
    </w:p>
    <w:p w14:paraId="0A17AD1F"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49593CFA"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87. Ja statistikas veidotājs nevar to nodrošināt, uzskatāms, ka atdalāmu atvasināto instrumentu nevar atzīt. Tādējādi instruments tiek traktēts kā brīvi svārstīgas likmes veida instruments, kam ir mainīga likme. Kupona maksājumi sekotu katru gadu faktiski samaksātajai naudai (attiecīgā gadījumā pienācīgi sadalīti pa secīgiem gadiem). Piemēram, ja atvasinātais instruments bija iespējas līgums un nav īstenots, ieraksta līguma fiksēto zemo kupona maksājumu; bet, ja iespējas līgums ir īstenots, šajā periodā ieraksta augstāku kupona maksājumu par šo periodu (attiecīgā gadījumā to sadalot).</w:t>
      </w:r>
    </w:p>
    <w:p w14:paraId="7F851DEE" w14:textId="77777777" w:rsidR="00994F93" w:rsidRPr="00B03B51" w:rsidRDefault="00994F93" w:rsidP="00994F93">
      <w:pPr>
        <w:jc w:val="both"/>
        <w:rPr>
          <w:rFonts w:ascii="Times New Roman" w:hAnsi="Times New Roman" w:cs="Times New Roman"/>
          <w:noProof/>
          <w:sz w:val="24"/>
        </w:rPr>
      </w:pPr>
    </w:p>
    <w:p w14:paraId="30DA2EDE" w14:textId="0535F620" w:rsidR="00994F93" w:rsidRPr="00B03B51" w:rsidRDefault="00994F93" w:rsidP="00994F93">
      <w:pPr>
        <w:pStyle w:val="Heading6"/>
        <w:tabs>
          <w:tab w:val="left" w:pos="1411"/>
        </w:tabs>
        <w:ind w:left="0" w:firstLine="0"/>
        <w:jc w:val="both"/>
        <w:rPr>
          <w:rFonts w:ascii="Times New Roman" w:hAnsi="Times New Roman" w:cs="Times New Roman"/>
          <w:noProof/>
          <w:sz w:val="24"/>
        </w:rPr>
      </w:pPr>
      <w:r w:rsidRPr="00B03B51">
        <w:rPr>
          <w:rFonts w:ascii="Times New Roman" w:hAnsi="Times New Roman" w:cs="Times New Roman"/>
          <w:sz w:val="24"/>
        </w:rPr>
        <w:t>2.4.3.18. PROCENTI PAR ĀRPU</w:t>
      </w:r>
      <w:r w:rsidR="00AB2630" w:rsidRPr="00B03B51">
        <w:rPr>
          <w:rFonts w:ascii="Times New Roman" w:hAnsi="Times New Roman" w:cs="Times New Roman"/>
          <w:sz w:val="24"/>
        </w:rPr>
        <w:t>S</w:t>
      </w:r>
      <w:r w:rsidRPr="00B03B51">
        <w:rPr>
          <w:rFonts w:ascii="Times New Roman" w:hAnsi="Times New Roman" w:cs="Times New Roman"/>
          <w:sz w:val="24"/>
        </w:rPr>
        <w:t>TIRGUS MIJMAIŅAS DARĪJUMIEM</w:t>
      </w:r>
    </w:p>
    <w:p w14:paraId="3D44DAC8"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158A0639"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88. Instrumentiem, kas ir atvasinātie finanšu instrumenti, neuzkrājas īpašuma ienākums. Tā rezultātā maksājumu plūsmas, kas attiecas uz mijmaiņas darījumiem, proti, procentu likmju mijmaiņas darījumus (</w:t>
      </w:r>
      <w:r w:rsidRPr="00B03B51">
        <w:rPr>
          <w:rFonts w:ascii="Times New Roman" w:hAnsi="Times New Roman" w:cs="Times New Roman"/>
          <w:i/>
          <w:iCs/>
          <w:sz w:val="24"/>
        </w:rPr>
        <w:t>IRS</w:t>
      </w:r>
      <w:r w:rsidRPr="00B03B51">
        <w:rPr>
          <w:rFonts w:ascii="Times New Roman" w:hAnsi="Times New Roman" w:cs="Times New Roman"/>
          <w:sz w:val="24"/>
        </w:rPr>
        <w:t>), starpvalūtu mijmaiņas darījumus (</w:t>
      </w:r>
      <w:r w:rsidRPr="00B03B51">
        <w:rPr>
          <w:rFonts w:ascii="Times New Roman" w:hAnsi="Times New Roman" w:cs="Times New Roman"/>
          <w:i/>
          <w:iCs/>
          <w:sz w:val="24"/>
        </w:rPr>
        <w:t>CCS</w:t>
      </w:r>
      <w:r w:rsidRPr="00B03B51">
        <w:rPr>
          <w:rFonts w:ascii="Times New Roman" w:hAnsi="Times New Roman" w:cs="Times New Roman"/>
          <w:sz w:val="24"/>
        </w:rPr>
        <w:t xml:space="preserve">) vai </w:t>
      </w:r>
      <w:r w:rsidRPr="00B03B51">
        <w:rPr>
          <w:rFonts w:ascii="Times New Roman" w:hAnsi="Times New Roman" w:cs="Times New Roman"/>
          <w:i/>
          <w:iCs/>
          <w:sz w:val="24"/>
        </w:rPr>
        <w:t>FRA</w:t>
      </w:r>
      <w:r w:rsidRPr="00B03B51">
        <w:rPr>
          <w:rFonts w:ascii="Times New Roman" w:hAnsi="Times New Roman" w:cs="Times New Roman"/>
          <w:sz w:val="24"/>
        </w:rPr>
        <w:t xml:space="preserve"> utt. ieraksta finanšu kontos (F.7) un nevis kā procentus (D.41).</w:t>
      </w:r>
    </w:p>
    <w:p w14:paraId="6B1D6AD5"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62985B12"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89. Tomēr EKS 2010 20.133. punktā ir paredzēts, ka vienreizēji maksājumi, kas saņemti par ārpustirgus mijmaiņas darījumiem, ir jāieraksta kā parāds (aizdevums, AF.4). Ārpustirgus mijmaiņas darījumus sadala kā aizdevuma komponentu un aktīva vērtībai atbilstoša mijmaiņas darījuma komponentu.</w:t>
      </w:r>
    </w:p>
    <w:p w14:paraId="09EABEBF"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0DA46CDF"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90. Pats aizdevuma komponents uzkrāj procentus, pamatojoties uz fiksētu likmi, par kādu aizņēmējs spētu aizņemties uz tikpat ilgu mijmaiņas darījumu. Ja nav nekādas ticamas informācijas, statistikas veidotāji var izmantot ilgtermiņa tirgus likmi. Nav atbilstīgi izmantot paša mijmaiņas darījuma (ja tāds pastāv) fiksēto likmi vai mainīgo likmi, jo tieši šīs likmes ir tikai nosacītas un var būt pilnīgi mākslīgas, jo mijmaiņas darījums ir ārpustirgus darījums. Šī piezīme attiecas arī uz tradicionālajiem mijmaiņas darījumiem (kad mijmaiņas darījums nav ārpustirgus darījums), proti, formula, ko izmanto jebkurai daļai, var tikt samazināta vai palielināta par jebkuru summu, ņemot vērā, ka vienīgais, kas nepieciešams, ir to pašu darīt ar otru daļu (skat. 8.3.3. iedaļas 34. rindkopu).</w:t>
      </w:r>
    </w:p>
    <w:p w14:paraId="77F1656D" w14:textId="77777777" w:rsidR="00994F93" w:rsidRPr="00B03B51" w:rsidRDefault="00994F93" w:rsidP="00994F93">
      <w:pPr>
        <w:jc w:val="both"/>
        <w:rPr>
          <w:rFonts w:ascii="Times New Roman" w:eastAsia="Arial" w:hAnsi="Times New Roman" w:cs="Times New Roman"/>
          <w:noProof/>
          <w:sz w:val="24"/>
          <w:szCs w:val="15"/>
        </w:rPr>
      </w:pPr>
    </w:p>
    <w:p w14:paraId="02CCEC34" w14:textId="77777777" w:rsidR="00994F93" w:rsidRPr="00B03B51" w:rsidRDefault="00994F93" w:rsidP="00994F93">
      <w:pPr>
        <w:pStyle w:val="Heading6"/>
        <w:tabs>
          <w:tab w:val="left" w:pos="1411"/>
        </w:tabs>
        <w:ind w:left="0" w:firstLine="0"/>
        <w:jc w:val="both"/>
        <w:rPr>
          <w:rFonts w:ascii="Times New Roman" w:hAnsi="Times New Roman" w:cs="Times New Roman"/>
          <w:noProof/>
          <w:sz w:val="24"/>
        </w:rPr>
      </w:pPr>
      <w:r w:rsidRPr="00B03B51">
        <w:rPr>
          <w:rFonts w:ascii="Times New Roman" w:hAnsi="Times New Roman" w:cs="Times New Roman"/>
          <w:sz w:val="24"/>
        </w:rPr>
        <w:t>2.4.3.19. PROCENTI, KAS UZKRĀTI PAR STRĪDĪGIEM STARPVALDĪBU AIZDEVUMIEM</w:t>
      </w:r>
    </w:p>
    <w:p w14:paraId="0A8E460F"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0F2265A7"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91. Procenti tiek uzkrāti saskaņā ar “debitora pieeju”, izmantojot procentu likmi, par kuru debitors un kreditors ir sākotnēji vienojušies, tādējādi šī pieeja ir piemērojama aizdevumiem, ko valdības izsniedz citām valstīm, galvenokārt saistībā ar attīstības programmām un sadarbību.</w:t>
      </w:r>
    </w:p>
    <w:p w14:paraId="35A2649E"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31FACB64"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 xml:space="preserve">92. Dažādu iemeslu dēļ debitors vēlāk var apstrīdēt uzkrāto procentu aprēķinu, piemēram, var </w:t>
      </w:r>
      <w:r w:rsidRPr="00B03B51">
        <w:rPr>
          <w:rFonts w:ascii="Times New Roman" w:hAnsi="Times New Roman" w:cs="Times New Roman"/>
          <w:sz w:val="24"/>
        </w:rPr>
        <w:lastRenderedPageBreak/>
        <w:t>rasties strīds par vienkāršo vai salikto procentu piemērošanu.</w:t>
      </w:r>
    </w:p>
    <w:p w14:paraId="7D599025"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6FFBCCF5"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93. Piesardzības labad, ja rodas domstarpības par starpvaldības aizdevumu procentu aprēķināšanu, kamēr abas puses nav panākušas galīgo vienošanos, uzkrātie procenti (D.41), ko ieraksta nacionālajos kontos, ir procenti, kurus atzinis debitors, nevis tie, kurus ir gaidījis kreditors (kuri varētu būt augstāki), pieņemot, ka debitoram ir nopietns pamats analīzei.</w:t>
      </w:r>
    </w:p>
    <w:p w14:paraId="29F2B40A"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5EF19FCC"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94. Kad ir panākta galīgā vienošanās, prasījuma vērtību vajadzības gadījumā pārrēķina atpakaļ, tostarp labo par pamatsummu uzkrātos procentus. Šāda ierakstīšana nozīmē, ka galīgās vienošanās noslēgšanas brīdī netiek ietekmēti valdības neto aizdevumi/aizņēmumi (B.9), izņemot procentu labojumus konkrētajā periodā, ne arī ietekmētas citas prasījuma apjoma pārmaiņas.</w:t>
      </w:r>
    </w:p>
    <w:p w14:paraId="768C4FD7"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7FDFD92C"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95. Ja procentu aprēķināšanas metodi apstrīd viena no pusēm, šādā situācijā nedrīkst nekonsekventi ierakstīt uzkrātos procentus kreditora un debitora kontos. Šeit paredzētais traktējums, ko piemēro līdz brīdim, kad tiek panākta galīgā vienošanās, nozīmē, ka kreditora kontā ieraksta uzkrāto procentu ieņēmumus tikai par to summu, kuru ir atzinis debitors un kura tāpēc, visticamāk, tiks saņemta.</w:t>
      </w:r>
    </w:p>
    <w:p w14:paraId="499B66BE" w14:textId="77777777" w:rsidR="00994F93" w:rsidRPr="00B03B51" w:rsidRDefault="00994F93" w:rsidP="00994F93">
      <w:pPr>
        <w:jc w:val="both"/>
        <w:rPr>
          <w:rFonts w:ascii="Times New Roman" w:eastAsia="Arial" w:hAnsi="Times New Roman" w:cs="Times New Roman"/>
          <w:noProof/>
          <w:sz w:val="24"/>
          <w:szCs w:val="15"/>
        </w:rPr>
      </w:pPr>
    </w:p>
    <w:p w14:paraId="69C1674E" w14:textId="77777777" w:rsidR="00994F93" w:rsidRPr="00B03B51" w:rsidRDefault="00994F93" w:rsidP="00994F93">
      <w:pPr>
        <w:pStyle w:val="Heading6"/>
        <w:tabs>
          <w:tab w:val="left" w:pos="1411"/>
        </w:tabs>
        <w:ind w:left="0" w:firstLine="0"/>
        <w:jc w:val="both"/>
        <w:rPr>
          <w:rFonts w:ascii="Times New Roman" w:hAnsi="Times New Roman" w:cs="Times New Roman"/>
          <w:noProof/>
          <w:sz w:val="24"/>
        </w:rPr>
      </w:pPr>
      <w:r w:rsidRPr="00B03B51">
        <w:rPr>
          <w:rFonts w:ascii="Times New Roman" w:hAnsi="Times New Roman" w:cs="Times New Roman"/>
          <w:sz w:val="24"/>
        </w:rPr>
        <w:t>2.4.3.20. PROCENTI, KAS UZKRĀTI PAR STARPVALDĪBU AIZDEVUMIEM, KURI, VISTICAMĀK, NETIKS APMAKSĀTI</w:t>
      </w:r>
    </w:p>
    <w:p w14:paraId="3BA504D6"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44B755FE"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96. Jo īpaši starpvaldību aizdevumu gadījumā var būt tādi aizdevumi, kas netiek atmaksāti ilgu laiku, tādējādi smagākajos gadījumos kļūstot par ieņēmumus nenesošiem aizdevumiem. Tipiski piemēri ir aizdevumi, ko valdība izsniegusi trešām valstīm (tostarp tie, kas izsniegti saskaņā ar bijušo Savstarpējās ekonomiskās palīdzības padomi (</w:t>
      </w:r>
      <w:r w:rsidRPr="00B03B51">
        <w:rPr>
          <w:rFonts w:ascii="Times New Roman" w:hAnsi="Times New Roman" w:cs="Times New Roman"/>
          <w:i/>
          <w:iCs/>
          <w:sz w:val="24"/>
        </w:rPr>
        <w:t>CMEA</w:t>
      </w:r>
      <w:r w:rsidRPr="00B03B51">
        <w:rPr>
          <w:rFonts w:ascii="Times New Roman" w:hAnsi="Times New Roman" w:cs="Times New Roman"/>
          <w:sz w:val="24"/>
        </w:rPr>
        <w:t>)), un aizdevumi, kas apspriesti saistībā ar Parīzes klubu, attiecībā uz kuriem ir paredzama maza iespēja, ka tie būs atgūstami.</w:t>
      </w:r>
    </w:p>
    <w:p w14:paraId="486AB95B"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4155A7DC" w14:textId="55394831"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 xml:space="preserve">97. Procentu ieņēmumi (D.41), kas uzkrāti par starpvaldību prasījumiem, kuru atmaksa ir uzskatāma par maz ticamu, tiek neitralizēti, ierakstot maksājamo kapitāla pārvedumu (D.99) šo summu apmērā analoģiski parāda </w:t>
      </w:r>
      <w:r w:rsidR="00B3177B" w:rsidRPr="00B03B51">
        <w:rPr>
          <w:rFonts w:ascii="Times New Roman" w:hAnsi="Times New Roman" w:cs="Times New Roman"/>
          <w:sz w:val="24"/>
        </w:rPr>
        <w:t>anulēšanai</w:t>
      </w:r>
      <w:r w:rsidRPr="00B03B51">
        <w:rPr>
          <w:rFonts w:ascii="Times New Roman" w:hAnsi="Times New Roman" w:cs="Times New Roman"/>
          <w:sz w:val="24"/>
        </w:rPr>
        <w:t>. Tādējādi nacionālajos kontos būtu jāieraksta turpmāk norādītie četri kompensējoši ieraksti, kas kopumā neietekmē neto aizdevumu/aizņēmumu (B.9) un bilances. Proti:</w:t>
      </w:r>
    </w:p>
    <w:p w14:paraId="0E15678F"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66329B1C" w14:textId="77777777" w:rsidR="00994F93" w:rsidRPr="00B03B51" w:rsidRDefault="00994F93" w:rsidP="00A70719">
      <w:pPr>
        <w:pStyle w:val="BodyText"/>
        <w:numPr>
          <w:ilvl w:val="0"/>
          <w:numId w:val="75"/>
        </w:numPr>
        <w:spacing w:before="0"/>
        <w:ind w:left="426" w:hanging="425"/>
        <w:jc w:val="both"/>
        <w:rPr>
          <w:rFonts w:ascii="Times New Roman" w:hAnsi="Times New Roman" w:cs="Times New Roman"/>
          <w:noProof/>
          <w:sz w:val="24"/>
        </w:rPr>
      </w:pPr>
      <w:r w:rsidRPr="00B03B51">
        <w:rPr>
          <w:rFonts w:ascii="Times New Roman" w:hAnsi="Times New Roman" w:cs="Times New Roman"/>
          <w:sz w:val="24"/>
        </w:rPr>
        <w:t>debitora uzkrātie procenti (D.41) kreditoram;</w:t>
      </w:r>
    </w:p>
    <w:p w14:paraId="3E7569EC" w14:textId="77777777" w:rsidR="00994F93" w:rsidRPr="00B03B51" w:rsidRDefault="00994F93" w:rsidP="00A70719">
      <w:pPr>
        <w:pStyle w:val="BodyText"/>
        <w:numPr>
          <w:ilvl w:val="0"/>
          <w:numId w:val="75"/>
        </w:numPr>
        <w:spacing w:before="0"/>
        <w:ind w:left="426" w:hanging="425"/>
        <w:jc w:val="both"/>
        <w:rPr>
          <w:rFonts w:ascii="Times New Roman" w:hAnsi="Times New Roman" w:cs="Times New Roman"/>
          <w:noProof/>
          <w:sz w:val="24"/>
        </w:rPr>
      </w:pPr>
      <w:r w:rsidRPr="00B03B51">
        <w:rPr>
          <w:rFonts w:ascii="Times New Roman" w:hAnsi="Times New Roman" w:cs="Times New Roman"/>
          <w:sz w:val="24"/>
        </w:rPr>
        <w:t>uzskatāms, ka kreditors atkārtoti iegulda procentus debitoram izsniegtajā aizdevumā, tādējādi kreditora un debitora bilancēs palielinās aizdevuma (F.4) vērtība;</w:t>
      </w:r>
    </w:p>
    <w:p w14:paraId="396D5A07" w14:textId="77777777" w:rsidR="00994F93" w:rsidRPr="00B03B51" w:rsidRDefault="00994F93" w:rsidP="00A70719">
      <w:pPr>
        <w:pStyle w:val="BodyText"/>
        <w:numPr>
          <w:ilvl w:val="0"/>
          <w:numId w:val="75"/>
        </w:numPr>
        <w:spacing w:before="0"/>
        <w:ind w:left="426" w:hanging="425"/>
        <w:jc w:val="both"/>
        <w:rPr>
          <w:rFonts w:ascii="Times New Roman" w:hAnsi="Times New Roman" w:cs="Times New Roman"/>
          <w:noProof/>
          <w:sz w:val="24"/>
        </w:rPr>
      </w:pPr>
      <w:r w:rsidRPr="00B03B51">
        <w:rPr>
          <w:rFonts w:ascii="Times New Roman" w:hAnsi="Times New Roman" w:cs="Times New Roman"/>
          <w:sz w:val="24"/>
        </w:rPr>
        <w:t>kreditora kapitāla pārvedums (D.99) debitoram ir vienāds ar uzkrāto procentu apmēru;</w:t>
      </w:r>
    </w:p>
    <w:p w14:paraId="33238979" w14:textId="77777777" w:rsidR="00994F93" w:rsidRPr="00B03B51" w:rsidRDefault="00994F93" w:rsidP="00A70719">
      <w:pPr>
        <w:pStyle w:val="BodyText"/>
        <w:numPr>
          <w:ilvl w:val="0"/>
          <w:numId w:val="75"/>
        </w:numPr>
        <w:spacing w:before="0"/>
        <w:ind w:left="426" w:hanging="425"/>
        <w:jc w:val="both"/>
        <w:rPr>
          <w:rFonts w:ascii="Times New Roman" w:hAnsi="Times New Roman" w:cs="Times New Roman"/>
          <w:noProof/>
          <w:sz w:val="24"/>
        </w:rPr>
      </w:pPr>
      <w:r w:rsidRPr="00B03B51">
        <w:rPr>
          <w:rFonts w:ascii="Times New Roman" w:hAnsi="Times New Roman" w:cs="Times New Roman"/>
          <w:sz w:val="24"/>
        </w:rPr>
        <w:t>uzskatāms, ka debitors izmanto kapitāla pārvedumu, lai atmaksātu aizdevumu tādas summas apmērā, kas ir vienāda ar kapitāla pārveduma apmēru, tādējādi kreditora un debitora bilancēs samazinās aizdevuma (F.4) vērtība.</w:t>
      </w:r>
    </w:p>
    <w:p w14:paraId="755DB302"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26A93B94"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98. Šāds traktējums tiek piemērots no brīža, kad pirmo reizi tiek uzskatīts, ka prasījums, visticamāk, netiks atmaksāts, un to turpina piemērot līdz brīdim, kad ir būtiskas liecības, ka prasījums atkal tiek pildīts, par ko liecina tas, ka debitors veic regulāras aizdevuma atmaksas (jebkādā veidā). Par ierosinājumu sākt šo ierakstīšanu varētu liecināt, piemēram, kāds no šiem rādītājiem:</w:t>
      </w:r>
    </w:p>
    <w:p w14:paraId="455F6D50"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78F17A04" w14:textId="77777777" w:rsidR="00994F93" w:rsidRPr="00B03B51" w:rsidRDefault="00994F93" w:rsidP="00A70719">
      <w:pPr>
        <w:pStyle w:val="BodyText"/>
        <w:numPr>
          <w:ilvl w:val="0"/>
          <w:numId w:val="75"/>
        </w:numPr>
        <w:spacing w:before="0"/>
        <w:ind w:left="426" w:hanging="425"/>
        <w:jc w:val="both"/>
        <w:rPr>
          <w:rFonts w:ascii="Times New Roman" w:hAnsi="Times New Roman" w:cs="Times New Roman"/>
          <w:sz w:val="24"/>
        </w:rPr>
      </w:pPr>
      <w:r w:rsidRPr="00B03B51">
        <w:rPr>
          <w:rFonts w:ascii="Times New Roman" w:hAnsi="Times New Roman" w:cs="Times New Roman"/>
          <w:sz w:val="24"/>
        </w:rPr>
        <w:t>debitors nav veicis trīs secīgus (ikgadējos) atmaksājumus pēc kārtas jebkādā veidā (naudā vai natūrā);</w:t>
      </w:r>
    </w:p>
    <w:p w14:paraId="62E2D121" w14:textId="77777777" w:rsidR="00994F93" w:rsidRPr="00B03B51" w:rsidRDefault="00994F93" w:rsidP="00A70719">
      <w:pPr>
        <w:pStyle w:val="BodyText"/>
        <w:numPr>
          <w:ilvl w:val="0"/>
          <w:numId w:val="75"/>
        </w:numPr>
        <w:spacing w:before="0"/>
        <w:ind w:left="426" w:hanging="425"/>
        <w:jc w:val="both"/>
        <w:rPr>
          <w:rFonts w:ascii="Times New Roman" w:hAnsi="Times New Roman" w:cs="Times New Roman"/>
          <w:sz w:val="24"/>
        </w:rPr>
      </w:pPr>
      <w:r w:rsidRPr="00B03B51">
        <w:rPr>
          <w:rFonts w:ascii="Times New Roman" w:hAnsi="Times New Roman" w:cs="Times New Roman"/>
          <w:sz w:val="24"/>
        </w:rPr>
        <w:t xml:space="preserve">mazas izredzes uz atmaksu, uz ko norāda zaudējumu nodrošinājumu ieraksti publiskajos </w:t>
      </w:r>
      <w:r w:rsidRPr="00B03B51">
        <w:rPr>
          <w:rFonts w:ascii="Times New Roman" w:hAnsi="Times New Roman" w:cs="Times New Roman"/>
          <w:sz w:val="24"/>
        </w:rPr>
        <w:lastRenderedPageBreak/>
        <w:t>kontos;</w:t>
      </w:r>
    </w:p>
    <w:p w14:paraId="327DCB8F" w14:textId="77777777" w:rsidR="00994F93" w:rsidRPr="00B03B51" w:rsidRDefault="00994F93" w:rsidP="00A70719">
      <w:pPr>
        <w:pStyle w:val="BodyText"/>
        <w:numPr>
          <w:ilvl w:val="0"/>
          <w:numId w:val="75"/>
        </w:numPr>
        <w:spacing w:before="0"/>
        <w:ind w:left="426" w:hanging="425"/>
        <w:jc w:val="both"/>
        <w:rPr>
          <w:rFonts w:ascii="Times New Roman" w:hAnsi="Times New Roman" w:cs="Times New Roman"/>
          <w:sz w:val="24"/>
        </w:rPr>
      </w:pPr>
      <w:r w:rsidRPr="00B03B51">
        <w:rPr>
          <w:rFonts w:ascii="Times New Roman" w:hAnsi="Times New Roman" w:cs="Times New Roman"/>
          <w:sz w:val="24"/>
        </w:rPr>
        <w:t>kvalificēta eksperta novērtējums par mazām izredzēm atgūt līdzekļus;</w:t>
      </w:r>
    </w:p>
    <w:p w14:paraId="1EF70E5C" w14:textId="77777777" w:rsidR="00994F93" w:rsidRPr="00B03B51" w:rsidRDefault="00994F93" w:rsidP="00A70719">
      <w:pPr>
        <w:pStyle w:val="BodyText"/>
        <w:numPr>
          <w:ilvl w:val="0"/>
          <w:numId w:val="75"/>
        </w:numPr>
        <w:spacing w:before="0"/>
        <w:ind w:left="426" w:hanging="425"/>
        <w:jc w:val="both"/>
        <w:rPr>
          <w:rFonts w:ascii="Times New Roman" w:hAnsi="Times New Roman" w:cs="Times New Roman"/>
          <w:sz w:val="24"/>
        </w:rPr>
      </w:pPr>
      <w:r w:rsidRPr="00B03B51">
        <w:rPr>
          <w:rFonts w:ascii="Times New Roman" w:hAnsi="Times New Roman" w:cs="Times New Roman"/>
          <w:sz w:val="24"/>
        </w:rPr>
        <w:t>ilgstošas nesekmīgas sarunas par prasījuma norēķiniem.</w:t>
      </w:r>
    </w:p>
    <w:p w14:paraId="06EE97FF"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0A49CA70"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99. Katrs rādītājs atsevišķi var nebūt pietiekams, lai noteiktu, ka prasījums, visticamāk, netiks atmaksāts. Bieži vien ir nepieciešams vairāku rādītāju apvienojums, lai būtu pietiekamas liecības.</w:t>
      </w:r>
    </w:p>
    <w:p w14:paraId="4BE7D206" w14:textId="77777777" w:rsidR="00994F93" w:rsidRPr="00B03B51" w:rsidRDefault="00994F93" w:rsidP="00994F93">
      <w:pPr>
        <w:pStyle w:val="BodyText"/>
        <w:tabs>
          <w:tab w:val="left" w:pos="987"/>
        </w:tabs>
        <w:spacing w:before="0"/>
        <w:ind w:left="0" w:firstLine="0"/>
        <w:jc w:val="both"/>
        <w:rPr>
          <w:rFonts w:ascii="Times New Roman" w:hAnsi="Times New Roman" w:cs="Times New Roman"/>
          <w:noProof/>
          <w:sz w:val="24"/>
        </w:rPr>
      </w:pPr>
    </w:p>
    <w:p w14:paraId="177117E2" w14:textId="77777777" w:rsidR="00994F93" w:rsidRPr="00B03B51" w:rsidRDefault="00994F93" w:rsidP="00994F93">
      <w:pPr>
        <w:pStyle w:val="BodyText"/>
        <w:tabs>
          <w:tab w:val="left" w:pos="987"/>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100. Vēlāk parāda atlaišanas gadījumā ir uzskatāms, ka kapitāla pārvedums (D.99) tādējādi (daļēji) sedz krājumus, kas pastāv finanšu kontos, proti, nenomaksāto pamatsummu un uzkrātos procentus, kas ir uzkrājušies pēc procentu ieņēmumu neitralizācijas ierakstīšanas izdevumu veidā.</w:t>
      </w:r>
    </w:p>
    <w:p w14:paraId="68ADFB90" w14:textId="77777777" w:rsidR="00994F93" w:rsidRPr="00B03B51" w:rsidRDefault="00994F93" w:rsidP="00994F93">
      <w:pPr>
        <w:pStyle w:val="BodyText"/>
        <w:tabs>
          <w:tab w:val="left" w:pos="987"/>
        </w:tabs>
        <w:spacing w:before="0"/>
        <w:ind w:left="0" w:firstLine="0"/>
        <w:jc w:val="both"/>
        <w:rPr>
          <w:rFonts w:ascii="Times New Roman" w:hAnsi="Times New Roman" w:cs="Times New Roman"/>
          <w:noProof/>
          <w:sz w:val="24"/>
        </w:rPr>
      </w:pPr>
    </w:p>
    <w:p w14:paraId="7598A192" w14:textId="77777777" w:rsidR="00994F93" w:rsidRPr="00B03B51" w:rsidRDefault="00994F93" w:rsidP="00994F93">
      <w:pPr>
        <w:pStyle w:val="BodyText"/>
        <w:tabs>
          <w:tab w:val="left" w:pos="987"/>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101. Kapitāla pārvedumu, kas kompensē uzkrātos procentus, ieraksta tāpēc, lai novērstu procentu uzkrāšanās praksi, kas palielina, visticamāk, neatmaksājamo starpvaldību aizdevumu krājumus, ja netiek saņemti nekādi naudas atmaksājumi vai citi norēķini no debitora. Tādējādi neto aizdevumus/aizņēmumus (B.9) neietekmē uzkrāto procentu ieņēmumi, kas galu galā varētu netikt iekasēti no debitora.</w:t>
      </w:r>
    </w:p>
    <w:p w14:paraId="7B7B4B35" w14:textId="77777777" w:rsidR="00994F93" w:rsidRPr="00B03B51" w:rsidRDefault="00994F93" w:rsidP="00994F93">
      <w:pPr>
        <w:pStyle w:val="BodyText"/>
        <w:tabs>
          <w:tab w:val="left" w:pos="987"/>
        </w:tabs>
        <w:spacing w:before="0"/>
        <w:ind w:left="0" w:firstLine="0"/>
        <w:jc w:val="both"/>
        <w:rPr>
          <w:rFonts w:ascii="Times New Roman" w:hAnsi="Times New Roman" w:cs="Times New Roman"/>
          <w:noProof/>
          <w:sz w:val="24"/>
        </w:rPr>
      </w:pPr>
    </w:p>
    <w:p w14:paraId="4401231E" w14:textId="77777777" w:rsidR="00994F93" w:rsidRPr="00B03B51" w:rsidRDefault="00994F93" w:rsidP="00994F93">
      <w:pPr>
        <w:pStyle w:val="BodyText"/>
        <w:tabs>
          <w:tab w:val="left" w:pos="987"/>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102. Ja debitors atsāk atmaksu pēc nemaksāšanas perioda, uzskatāms, ka debitora atmaksājumi vispirms ir prasījuma nominālvērtības (bilancē ierakstītās pamatsummas un uzkrāto procentu) atmaksa. Papildus atgūtie līdzekļi tad tiek ierakstīti kā saņemamais kapitāla pārvedums (D.99).</w:t>
      </w:r>
    </w:p>
    <w:p w14:paraId="7AAD2144" w14:textId="77777777" w:rsidR="00994F93" w:rsidRPr="00B03B51" w:rsidRDefault="00994F93" w:rsidP="00994F93">
      <w:pPr>
        <w:jc w:val="both"/>
        <w:rPr>
          <w:rFonts w:ascii="Times New Roman" w:eastAsia="Arial" w:hAnsi="Times New Roman" w:cs="Times New Roman"/>
          <w:noProof/>
          <w:sz w:val="24"/>
          <w:szCs w:val="20"/>
        </w:rPr>
      </w:pPr>
    </w:p>
    <w:p w14:paraId="5EE23911" w14:textId="77777777" w:rsidR="00994F93" w:rsidRPr="00B03B51" w:rsidRDefault="00994F93" w:rsidP="00994F93">
      <w:pPr>
        <w:pStyle w:val="Heading3"/>
        <w:ind w:left="0" w:firstLine="0"/>
        <w:jc w:val="both"/>
        <w:rPr>
          <w:rFonts w:ascii="Times New Roman" w:hAnsi="Times New Roman" w:cs="Times New Roman"/>
          <w:noProof/>
          <w:sz w:val="24"/>
        </w:rPr>
      </w:pPr>
      <w:bookmarkStart w:id="147" w:name="_Toc67565067"/>
      <w:r w:rsidRPr="00B03B51">
        <w:rPr>
          <w:rFonts w:ascii="Times New Roman" w:hAnsi="Times New Roman" w:cs="Times New Roman"/>
          <w:sz w:val="24"/>
        </w:rPr>
        <w:t>2.4.4. Uzskaites piemēri</w:t>
      </w:r>
      <w:bookmarkEnd w:id="147"/>
    </w:p>
    <w:p w14:paraId="27B43BAF" w14:textId="77777777" w:rsidR="00994F93" w:rsidRPr="00B03B51" w:rsidRDefault="00994F93" w:rsidP="00994F93">
      <w:pPr>
        <w:jc w:val="both"/>
        <w:rPr>
          <w:rFonts w:ascii="Times New Roman" w:hAnsi="Times New Roman" w:cs="Times New Roman"/>
          <w:b/>
          <w:noProof/>
          <w:sz w:val="24"/>
        </w:rPr>
      </w:pPr>
    </w:p>
    <w:p w14:paraId="486281BD" w14:textId="77777777" w:rsidR="00994F93" w:rsidRPr="00B03B51" w:rsidRDefault="00994F93" w:rsidP="00994F93">
      <w:pPr>
        <w:jc w:val="both"/>
        <w:rPr>
          <w:rFonts w:ascii="Times New Roman" w:hAnsi="Times New Roman" w:cs="Times New Roman"/>
          <w:b/>
          <w:noProof/>
          <w:sz w:val="24"/>
        </w:rPr>
      </w:pPr>
      <w:r w:rsidRPr="00B03B51">
        <w:rPr>
          <w:rFonts w:ascii="Times New Roman" w:hAnsi="Times New Roman" w:cs="Times New Roman"/>
          <w:b/>
          <w:sz w:val="24"/>
        </w:rPr>
        <w:t>Instruments, kas emitēts atbilstoši nominālvērtībai, un regulāri kuponu/procentu maksājumi</w:t>
      </w:r>
    </w:p>
    <w:p w14:paraId="06180F59" w14:textId="77777777" w:rsidR="00994F93" w:rsidRPr="00B03B51" w:rsidRDefault="00994F93" w:rsidP="00994F93">
      <w:pPr>
        <w:pStyle w:val="BodyText"/>
        <w:spacing w:before="0"/>
        <w:ind w:left="0" w:firstLine="0"/>
        <w:jc w:val="both"/>
        <w:rPr>
          <w:rFonts w:ascii="Times New Roman" w:hAnsi="Times New Roman" w:cs="Times New Roman"/>
          <w:noProof/>
          <w:sz w:val="24"/>
        </w:rPr>
      </w:pPr>
    </w:p>
    <w:p w14:paraId="64117B15" w14:textId="77777777" w:rsidR="00994F93" w:rsidRPr="00B03B51" w:rsidRDefault="00994F93" w:rsidP="00994F93">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t>Pirmā gada 1. jūlijā centrālā valdība emitē obligāciju par 1000 vienībām, katru gadu šajā datumā tiek maksāta gada likme 5 % apmērā, maksājumu termiņš ir 10 gadi, un pilns izpirkums jāveic tajā pašā laikā. Pirmā gada beigās tirgus cena ir 1045 (tostarp 25 par uzkrātajiem, taču vēl nesamaksātajiem procentiem). Pirmā gada beigās tirgus cena ir 1075 (tostarp 25 par uzkrātajiem, taču vēl nesamaksātajiem procentiem).</w:t>
      </w:r>
    </w:p>
    <w:p w14:paraId="0DABC5D9" w14:textId="77777777" w:rsidR="00994F93" w:rsidRPr="00B03B51" w:rsidRDefault="00994F93" w:rsidP="00994F93">
      <w:pPr>
        <w:jc w:val="both"/>
        <w:rPr>
          <w:rFonts w:ascii="Times New Roman" w:eastAsia="Arial" w:hAnsi="Times New Roman" w:cs="Times New Roman"/>
          <w:noProof/>
          <w:sz w:val="24"/>
          <w:szCs w:val="20"/>
        </w:rPr>
      </w:pPr>
    </w:p>
    <w:p w14:paraId="11D1DAEB" w14:textId="19E38DD2" w:rsidR="00994F93" w:rsidRPr="00B03B51" w:rsidRDefault="00B05520" w:rsidP="00A70719">
      <w:pPr>
        <w:jc w:val="center"/>
        <w:rPr>
          <w:rFonts w:ascii="Times New Roman" w:eastAsia="Arial" w:hAnsi="Times New Roman" w:cs="Times New Roman"/>
          <w:noProof/>
          <w:sz w:val="24"/>
          <w:szCs w:val="20"/>
        </w:rPr>
      </w:pPr>
      <w:r w:rsidRPr="00B03B51">
        <w:rPr>
          <w:rFonts w:ascii="Times New Roman" w:eastAsia="Arial" w:hAnsi="Times New Roman" w:cs="Times New Roman"/>
          <w:noProof/>
          <w:sz w:val="24"/>
          <w:szCs w:val="20"/>
        </w:rPr>
        <w:lastRenderedPageBreak/>
        <w:drawing>
          <wp:inline distT="0" distB="0" distL="0" distR="0" wp14:anchorId="6F96E816" wp14:editId="37E7B03B">
            <wp:extent cx="5760085" cy="3300095"/>
            <wp:effectExtent l="0" t="0" r="0"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760085" cy="3300095"/>
                    </a:xfrm>
                    <a:prstGeom prst="rect">
                      <a:avLst/>
                    </a:prstGeom>
                    <a:noFill/>
                    <a:ln>
                      <a:noFill/>
                    </a:ln>
                  </pic:spPr>
                </pic:pic>
              </a:graphicData>
            </a:graphic>
          </wp:inline>
        </w:drawing>
      </w:r>
    </w:p>
    <w:p w14:paraId="4EDE2DDD" w14:textId="77777777" w:rsidR="00994F93" w:rsidRPr="00B03B51" w:rsidRDefault="00994F93" w:rsidP="00994F93">
      <w:pPr>
        <w:jc w:val="both"/>
        <w:rPr>
          <w:rFonts w:ascii="Times New Roman" w:eastAsia="Arial" w:hAnsi="Times New Roman" w:cs="Times New Roman"/>
          <w:noProof/>
          <w:sz w:val="24"/>
          <w:szCs w:val="20"/>
        </w:rPr>
      </w:pPr>
    </w:p>
    <w:p w14:paraId="3C9268BA" w14:textId="2CDC1944" w:rsidR="00994F93" w:rsidRPr="00B03B51" w:rsidRDefault="00B05520" w:rsidP="00A70719">
      <w:pPr>
        <w:jc w:val="center"/>
        <w:rPr>
          <w:rFonts w:ascii="Times New Roman" w:eastAsia="Arial" w:hAnsi="Times New Roman" w:cs="Times New Roman"/>
          <w:noProof/>
          <w:sz w:val="24"/>
          <w:szCs w:val="20"/>
        </w:rPr>
      </w:pPr>
      <w:r w:rsidRPr="00B03B51">
        <w:rPr>
          <w:rFonts w:ascii="Times New Roman" w:eastAsia="Arial" w:hAnsi="Times New Roman" w:cs="Times New Roman"/>
          <w:noProof/>
          <w:sz w:val="24"/>
          <w:szCs w:val="20"/>
        </w:rPr>
        <w:drawing>
          <wp:inline distT="0" distB="0" distL="0" distR="0" wp14:anchorId="1F152768" wp14:editId="1964258B">
            <wp:extent cx="5760085" cy="1989455"/>
            <wp:effectExtent l="0" t="0" r="0" b="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760085" cy="1989455"/>
                    </a:xfrm>
                    <a:prstGeom prst="rect">
                      <a:avLst/>
                    </a:prstGeom>
                    <a:noFill/>
                    <a:ln>
                      <a:noFill/>
                    </a:ln>
                  </pic:spPr>
                </pic:pic>
              </a:graphicData>
            </a:graphic>
          </wp:inline>
        </w:drawing>
      </w:r>
    </w:p>
    <w:p w14:paraId="08F18BDE" w14:textId="77777777" w:rsidR="00994F93" w:rsidRPr="00B03B51" w:rsidRDefault="00994F93" w:rsidP="00994F93">
      <w:pPr>
        <w:jc w:val="both"/>
        <w:rPr>
          <w:rFonts w:ascii="Times New Roman" w:eastAsia="Arial" w:hAnsi="Times New Roman" w:cs="Times New Roman"/>
          <w:noProof/>
          <w:sz w:val="24"/>
          <w:szCs w:val="21"/>
        </w:rPr>
      </w:pPr>
    </w:p>
    <w:p w14:paraId="358F8B0E" w14:textId="77777777" w:rsidR="00994F93" w:rsidRPr="00B03B51" w:rsidRDefault="00994F93" w:rsidP="00994F93">
      <w:pPr>
        <w:jc w:val="both"/>
        <w:rPr>
          <w:rFonts w:ascii="Times New Roman" w:hAnsi="Times New Roman" w:cs="Times New Roman"/>
          <w:b/>
          <w:noProof/>
          <w:sz w:val="24"/>
        </w:rPr>
      </w:pPr>
      <w:r w:rsidRPr="00B03B51">
        <w:rPr>
          <w:rFonts w:ascii="Times New Roman" w:hAnsi="Times New Roman" w:cs="Times New Roman"/>
          <w:b/>
          <w:sz w:val="24"/>
        </w:rPr>
        <w:t>Instruments, kas emitēts ar diskontu, ar regulāriem kupona maksājumiem</w:t>
      </w:r>
    </w:p>
    <w:p w14:paraId="5ED675E5" w14:textId="77777777" w:rsidR="00994F93" w:rsidRPr="00B03B51" w:rsidRDefault="00994F93" w:rsidP="00994F93">
      <w:pPr>
        <w:pStyle w:val="BodyText"/>
        <w:spacing w:before="0"/>
        <w:ind w:left="0" w:firstLine="0"/>
        <w:jc w:val="both"/>
        <w:rPr>
          <w:rFonts w:ascii="Times New Roman" w:hAnsi="Times New Roman" w:cs="Times New Roman"/>
          <w:noProof/>
          <w:sz w:val="24"/>
        </w:rPr>
      </w:pPr>
    </w:p>
    <w:p w14:paraId="6475BBEA" w14:textId="77777777" w:rsidR="00994F93" w:rsidRPr="00B03B51" w:rsidRDefault="00994F93" w:rsidP="00994F93">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t>Pirmā gada 1. oktobrī centrālā valdība emitē jaunu obligācijas daļu (pamatsumma – 1000, procentu likme – 5 %, maksājuma termiņš – 10 gadi, maksājuma diena – 1. jūlijs, izpirkšana par soda naudu). Emisijas cena ir 95 % (ienesīgums – aptuveni 6 %). Diskonts par 50 tiek sadalīts šādi: pirmajā gadā – 1, otrajā gadā – 4 un desmitajā gadā – 3. Vienkāršošanas nolūkā obligāciju perioda beigās vienmēr uzskata par 100 % (skaitļi ir noapaļoti).</w:t>
      </w:r>
    </w:p>
    <w:p w14:paraId="13B6E52A" w14:textId="77777777" w:rsidR="00994F93" w:rsidRPr="00B03B51" w:rsidRDefault="00994F93" w:rsidP="00994F93">
      <w:pPr>
        <w:jc w:val="both"/>
        <w:rPr>
          <w:rFonts w:ascii="Times New Roman" w:eastAsia="Arial" w:hAnsi="Times New Roman" w:cs="Times New Roman"/>
          <w:noProof/>
          <w:sz w:val="24"/>
          <w:szCs w:val="20"/>
        </w:rPr>
      </w:pPr>
    </w:p>
    <w:p w14:paraId="6A8237F9" w14:textId="74AAB0B5" w:rsidR="00994F93" w:rsidRPr="00B03B51" w:rsidRDefault="006E7283" w:rsidP="00A70719">
      <w:pPr>
        <w:jc w:val="center"/>
        <w:rPr>
          <w:rFonts w:ascii="Times New Roman" w:eastAsia="Arial" w:hAnsi="Times New Roman" w:cs="Times New Roman"/>
          <w:noProof/>
          <w:sz w:val="24"/>
          <w:szCs w:val="19"/>
        </w:rPr>
      </w:pPr>
      <w:r w:rsidRPr="00B03B51">
        <w:rPr>
          <w:rFonts w:ascii="Times New Roman" w:eastAsia="Arial" w:hAnsi="Times New Roman" w:cs="Times New Roman"/>
          <w:noProof/>
          <w:sz w:val="24"/>
          <w:szCs w:val="19"/>
        </w:rPr>
        <w:lastRenderedPageBreak/>
        <w:drawing>
          <wp:inline distT="0" distB="0" distL="0" distR="0" wp14:anchorId="045C7EA5" wp14:editId="5CE79FA1">
            <wp:extent cx="5760085" cy="3837305"/>
            <wp:effectExtent l="0" t="0" r="0" b="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760085" cy="3837305"/>
                    </a:xfrm>
                    <a:prstGeom prst="rect">
                      <a:avLst/>
                    </a:prstGeom>
                    <a:noFill/>
                    <a:ln>
                      <a:noFill/>
                    </a:ln>
                  </pic:spPr>
                </pic:pic>
              </a:graphicData>
            </a:graphic>
          </wp:inline>
        </w:drawing>
      </w:r>
    </w:p>
    <w:p w14:paraId="20AA42BF" w14:textId="77777777" w:rsidR="00994F93" w:rsidRPr="00B03B51" w:rsidRDefault="00994F93" w:rsidP="00994F93">
      <w:pPr>
        <w:jc w:val="both"/>
        <w:rPr>
          <w:rFonts w:ascii="Times New Roman" w:eastAsia="Arial" w:hAnsi="Times New Roman" w:cs="Times New Roman"/>
          <w:noProof/>
          <w:sz w:val="24"/>
          <w:szCs w:val="19"/>
        </w:rPr>
      </w:pPr>
    </w:p>
    <w:p w14:paraId="3ECF5375" w14:textId="77777777" w:rsidR="00994F93" w:rsidRPr="00B03B51" w:rsidRDefault="00994F93" w:rsidP="00994F93">
      <w:pPr>
        <w:jc w:val="both"/>
        <w:rPr>
          <w:rFonts w:ascii="Times New Roman" w:hAnsi="Times New Roman" w:cs="Times New Roman"/>
          <w:b/>
          <w:noProof/>
          <w:sz w:val="24"/>
        </w:rPr>
      </w:pPr>
      <w:r w:rsidRPr="00B03B51">
        <w:rPr>
          <w:rFonts w:ascii="Times New Roman" w:hAnsi="Times New Roman" w:cs="Times New Roman"/>
          <w:b/>
          <w:sz w:val="24"/>
        </w:rPr>
        <w:t>Instruments, kas emitēts ar diskontu, bez regulāriem kupona maksājumiem</w:t>
      </w:r>
    </w:p>
    <w:p w14:paraId="32C18094" w14:textId="77777777" w:rsidR="00994F93" w:rsidRPr="00B03B51" w:rsidRDefault="00994F93" w:rsidP="00994F93">
      <w:pPr>
        <w:pStyle w:val="BodyText"/>
        <w:spacing w:before="0"/>
        <w:ind w:left="0" w:firstLine="0"/>
        <w:jc w:val="both"/>
        <w:rPr>
          <w:rFonts w:ascii="Times New Roman" w:hAnsi="Times New Roman" w:cs="Times New Roman"/>
          <w:noProof/>
          <w:sz w:val="24"/>
        </w:rPr>
      </w:pPr>
    </w:p>
    <w:p w14:paraId="446E75C6" w14:textId="77777777" w:rsidR="00994F93" w:rsidRPr="00B03B51" w:rsidRDefault="00994F93" w:rsidP="00994F93">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t>Centrālā valdība 1. jūlijā emitē bezkupona obligāciju uz 3 gadiem par 75 (nominālvērtība ir 100). Netiešā procentu likme ir 10 % (skaitļi ir noapaļoti, tirgus procentu likme nemainās).</w:t>
      </w:r>
    </w:p>
    <w:p w14:paraId="5CA8F5C2" w14:textId="77777777" w:rsidR="00994F93" w:rsidRPr="00B03B51" w:rsidRDefault="00994F93" w:rsidP="00994F93">
      <w:pPr>
        <w:jc w:val="both"/>
        <w:rPr>
          <w:rFonts w:ascii="Times New Roman" w:eastAsia="Arial" w:hAnsi="Times New Roman" w:cs="Times New Roman"/>
          <w:noProof/>
          <w:sz w:val="24"/>
          <w:szCs w:val="20"/>
        </w:rPr>
      </w:pPr>
    </w:p>
    <w:p w14:paraId="58E90298" w14:textId="7BA460E0" w:rsidR="00994F93" w:rsidRPr="00B03B51" w:rsidRDefault="007F20E8" w:rsidP="00A70719">
      <w:pPr>
        <w:jc w:val="center"/>
        <w:rPr>
          <w:rFonts w:ascii="Times New Roman" w:eastAsia="Arial" w:hAnsi="Times New Roman" w:cs="Times New Roman"/>
          <w:noProof/>
          <w:sz w:val="24"/>
          <w:szCs w:val="20"/>
        </w:rPr>
      </w:pPr>
      <w:r w:rsidRPr="00B03B51">
        <w:rPr>
          <w:rFonts w:ascii="Times New Roman" w:eastAsia="Arial" w:hAnsi="Times New Roman" w:cs="Times New Roman"/>
          <w:noProof/>
          <w:sz w:val="24"/>
          <w:szCs w:val="20"/>
        </w:rPr>
        <w:lastRenderedPageBreak/>
        <w:drawing>
          <wp:inline distT="0" distB="0" distL="0" distR="0" wp14:anchorId="736DD40F" wp14:editId="588E3D7C">
            <wp:extent cx="5760085" cy="8689340"/>
            <wp:effectExtent l="0" t="0" r="0" b="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760085" cy="8689340"/>
                    </a:xfrm>
                    <a:prstGeom prst="rect">
                      <a:avLst/>
                    </a:prstGeom>
                    <a:noFill/>
                    <a:ln>
                      <a:noFill/>
                    </a:ln>
                  </pic:spPr>
                </pic:pic>
              </a:graphicData>
            </a:graphic>
          </wp:inline>
        </w:drawing>
      </w:r>
    </w:p>
    <w:p w14:paraId="73CC5194" w14:textId="77777777" w:rsidR="00994F93" w:rsidRPr="00B03B51" w:rsidRDefault="00994F93" w:rsidP="00994F93">
      <w:pPr>
        <w:jc w:val="both"/>
        <w:rPr>
          <w:rFonts w:ascii="Times New Roman" w:eastAsia="Arial" w:hAnsi="Times New Roman" w:cs="Times New Roman"/>
          <w:noProof/>
          <w:sz w:val="24"/>
          <w:szCs w:val="20"/>
        </w:rPr>
      </w:pPr>
    </w:p>
    <w:p w14:paraId="00628DDC" w14:textId="59ECE2AA" w:rsidR="00994F93" w:rsidRPr="00B03B51" w:rsidRDefault="007F20E8" w:rsidP="00A70719">
      <w:pPr>
        <w:jc w:val="center"/>
        <w:rPr>
          <w:rFonts w:ascii="Times New Roman" w:eastAsia="Arial" w:hAnsi="Times New Roman" w:cs="Times New Roman"/>
          <w:noProof/>
          <w:sz w:val="24"/>
          <w:szCs w:val="20"/>
        </w:rPr>
      </w:pPr>
      <w:r w:rsidRPr="00B03B51">
        <w:rPr>
          <w:rFonts w:ascii="Times New Roman" w:eastAsia="Arial" w:hAnsi="Times New Roman" w:cs="Times New Roman"/>
          <w:noProof/>
          <w:sz w:val="24"/>
          <w:szCs w:val="20"/>
        </w:rPr>
        <w:lastRenderedPageBreak/>
        <w:drawing>
          <wp:inline distT="0" distB="0" distL="0" distR="0" wp14:anchorId="5E44C8AA" wp14:editId="77C3A0AD">
            <wp:extent cx="5760085" cy="2805430"/>
            <wp:effectExtent l="0" t="0" r="0" b="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760085" cy="2805430"/>
                    </a:xfrm>
                    <a:prstGeom prst="rect">
                      <a:avLst/>
                    </a:prstGeom>
                    <a:noFill/>
                    <a:ln>
                      <a:noFill/>
                    </a:ln>
                  </pic:spPr>
                </pic:pic>
              </a:graphicData>
            </a:graphic>
          </wp:inline>
        </w:drawing>
      </w:r>
    </w:p>
    <w:p w14:paraId="5FE8EFEF" w14:textId="77777777" w:rsidR="00994F93" w:rsidRPr="00B03B51" w:rsidRDefault="00994F93" w:rsidP="00994F93">
      <w:pPr>
        <w:jc w:val="both"/>
        <w:rPr>
          <w:rFonts w:ascii="Times New Roman" w:eastAsia="Arial" w:hAnsi="Times New Roman" w:cs="Times New Roman"/>
          <w:noProof/>
          <w:sz w:val="24"/>
          <w:szCs w:val="21"/>
        </w:rPr>
      </w:pPr>
    </w:p>
    <w:p w14:paraId="06499AD1" w14:textId="77777777" w:rsidR="00994F93" w:rsidRPr="00B03B51" w:rsidRDefault="00994F93" w:rsidP="00994F93">
      <w:pPr>
        <w:jc w:val="both"/>
        <w:rPr>
          <w:rFonts w:ascii="Times New Roman" w:hAnsi="Times New Roman" w:cs="Times New Roman"/>
          <w:b/>
          <w:noProof/>
          <w:sz w:val="24"/>
        </w:rPr>
      </w:pPr>
      <w:r w:rsidRPr="00B03B51">
        <w:rPr>
          <w:rFonts w:ascii="Times New Roman" w:hAnsi="Times New Roman" w:cs="Times New Roman"/>
          <w:b/>
          <w:sz w:val="24"/>
        </w:rPr>
        <w:t>Ar pārmaiņām tirgus likmē</w:t>
      </w:r>
    </w:p>
    <w:p w14:paraId="50C4F082" w14:textId="77777777" w:rsidR="00994F93" w:rsidRPr="00B03B51" w:rsidRDefault="00994F93" w:rsidP="00994F93">
      <w:pPr>
        <w:pStyle w:val="BodyText"/>
        <w:spacing w:before="0"/>
        <w:ind w:left="0" w:firstLine="0"/>
        <w:jc w:val="both"/>
        <w:rPr>
          <w:rFonts w:ascii="Times New Roman" w:hAnsi="Times New Roman" w:cs="Times New Roman"/>
          <w:noProof/>
          <w:sz w:val="24"/>
        </w:rPr>
      </w:pPr>
    </w:p>
    <w:p w14:paraId="2E4B87FD" w14:textId="77777777" w:rsidR="00994F93" w:rsidRPr="00B03B51" w:rsidRDefault="00994F93" w:rsidP="00994F93">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t>Nākamā gada sākumā procentu likme tiek palielināta līdz 15 % divarpus gadus ilgam atmaksāšanas termiņam (un pēc tam vairs nemainās). Cena tirgū krītas līdz 70 (skaitļi ir noapaļoti).</w:t>
      </w:r>
    </w:p>
    <w:p w14:paraId="22ACC9CE" w14:textId="77777777" w:rsidR="00994F93" w:rsidRPr="00B03B51" w:rsidRDefault="00994F93" w:rsidP="00994F93">
      <w:pPr>
        <w:jc w:val="both"/>
        <w:rPr>
          <w:rFonts w:ascii="Times New Roman" w:eastAsia="Arial" w:hAnsi="Times New Roman" w:cs="Times New Roman"/>
          <w:noProof/>
          <w:sz w:val="24"/>
          <w:szCs w:val="8"/>
        </w:rPr>
      </w:pPr>
    </w:p>
    <w:p w14:paraId="59C6B5F5" w14:textId="26B1E9B6" w:rsidR="00994F93" w:rsidRPr="00B03B51" w:rsidRDefault="002771E9" w:rsidP="00A70719">
      <w:pPr>
        <w:jc w:val="center"/>
        <w:rPr>
          <w:rFonts w:ascii="Times New Roman" w:hAnsi="Times New Roman" w:cs="Times New Roman"/>
          <w:noProof/>
          <w:sz w:val="24"/>
        </w:rPr>
      </w:pPr>
      <w:r w:rsidRPr="00B03B51">
        <w:rPr>
          <w:rFonts w:ascii="Times New Roman" w:hAnsi="Times New Roman" w:cs="Times New Roman"/>
          <w:noProof/>
          <w:sz w:val="24"/>
        </w:rPr>
        <w:drawing>
          <wp:inline distT="0" distB="0" distL="0" distR="0" wp14:anchorId="5E6AE254" wp14:editId="0BF91DE5">
            <wp:extent cx="5760085" cy="4871085"/>
            <wp:effectExtent l="0" t="0" r="0" b="5715"/>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760085" cy="4871085"/>
                    </a:xfrm>
                    <a:prstGeom prst="rect">
                      <a:avLst/>
                    </a:prstGeom>
                    <a:noFill/>
                    <a:ln>
                      <a:noFill/>
                    </a:ln>
                  </pic:spPr>
                </pic:pic>
              </a:graphicData>
            </a:graphic>
          </wp:inline>
        </w:drawing>
      </w:r>
    </w:p>
    <w:p w14:paraId="373F54D7" w14:textId="77777777" w:rsidR="00994F93" w:rsidRPr="00B03B51" w:rsidRDefault="00994F93" w:rsidP="00994F93">
      <w:pPr>
        <w:jc w:val="both"/>
        <w:rPr>
          <w:rFonts w:ascii="Times New Roman" w:hAnsi="Times New Roman" w:cs="Times New Roman"/>
          <w:noProof/>
          <w:sz w:val="24"/>
        </w:rPr>
      </w:pPr>
    </w:p>
    <w:p w14:paraId="13A697F8" w14:textId="77777777" w:rsidR="00994F93" w:rsidRPr="00B03B51" w:rsidRDefault="00994F93" w:rsidP="00994F93">
      <w:pPr>
        <w:jc w:val="both"/>
        <w:rPr>
          <w:rFonts w:ascii="Times New Roman" w:hAnsi="Times New Roman" w:cs="Times New Roman"/>
          <w:b/>
          <w:noProof/>
          <w:sz w:val="24"/>
        </w:rPr>
      </w:pPr>
      <w:r w:rsidRPr="00B03B51">
        <w:rPr>
          <w:rFonts w:ascii="Times New Roman" w:hAnsi="Times New Roman" w:cs="Times New Roman"/>
          <w:b/>
          <w:sz w:val="24"/>
        </w:rPr>
        <w:t>Pamatsummas un procentu atdalīšana</w:t>
      </w:r>
    </w:p>
    <w:p w14:paraId="7920D317" w14:textId="77777777" w:rsidR="00994F93" w:rsidRPr="00B03B51" w:rsidRDefault="00994F93" w:rsidP="00994F93">
      <w:pPr>
        <w:pStyle w:val="BodyText"/>
        <w:spacing w:before="0"/>
        <w:ind w:left="0" w:firstLine="0"/>
        <w:jc w:val="both"/>
        <w:rPr>
          <w:rFonts w:ascii="Times New Roman" w:hAnsi="Times New Roman" w:cs="Times New Roman"/>
          <w:noProof/>
          <w:sz w:val="24"/>
        </w:rPr>
      </w:pPr>
    </w:p>
    <w:p w14:paraId="7B4F1CED" w14:textId="77777777" w:rsidR="00994F93" w:rsidRPr="00B03B51" w:rsidRDefault="00994F93" w:rsidP="00994F93">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t>Centrālā valdība ir emitējusi šādu obligāciju: nemainīga procentu likme – 15 %, pamatsumma – 1000, izpirkšana parāda atmaksāšanas termiņā, maksājuma datums – 1. jūlijs. Kad līdz maksājuma termiņa beigām ir palikuši 3 gadi, ir nolemts izveidot četrus pamatsummas un procentu atdalīšanas darījumus.</w:t>
      </w:r>
    </w:p>
    <w:p w14:paraId="2515AECE" w14:textId="77777777" w:rsidR="00994F93" w:rsidRPr="00B03B51" w:rsidRDefault="00994F93" w:rsidP="00994F93">
      <w:pPr>
        <w:jc w:val="both"/>
        <w:rPr>
          <w:rFonts w:ascii="Times New Roman" w:hAnsi="Times New Roman" w:cs="Times New Roman"/>
          <w:b/>
          <w:noProof/>
          <w:sz w:val="24"/>
        </w:rPr>
      </w:pPr>
    </w:p>
    <w:p w14:paraId="4BDFCE4E" w14:textId="77777777" w:rsidR="00994F93" w:rsidRPr="00B03B51" w:rsidRDefault="00994F93" w:rsidP="00994F93">
      <w:pPr>
        <w:jc w:val="both"/>
        <w:rPr>
          <w:rFonts w:ascii="Times New Roman" w:hAnsi="Times New Roman" w:cs="Times New Roman"/>
          <w:b/>
          <w:noProof/>
          <w:sz w:val="24"/>
        </w:rPr>
      </w:pPr>
      <w:r w:rsidRPr="00B03B51">
        <w:rPr>
          <w:rFonts w:ascii="Times New Roman" w:hAnsi="Times New Roman" w:cs="Times New Roman"/>
          <w:b/>
          <w:sz w:val="24"/>
        </w:rPr>
        <w:t>Pamatojoties uz sākotnējiem procentiem</w:t>
      </w:r>
    </w:p>
    <w:p w14:paraId="63FA6C63" w14:textId="77777777" w:rsidR="00994F93" w:rsidRPr="00B03B51" w:rsidRDefault="00994F93" w:rsidP="00994F93">
      <w:pPr>
        <w:pStyle w:val="BodyText"/>
        <w:spacing w:before="0"/>
        <w:ind w:left="0" w:firstLine="0"/>
        <w:jc w:val="both"/>
        <w:rPr>
          <w:rFonts w:ascii="Times New Roman" w:hAnsi="Times New Roman" w:cs="Times New Roman"/>
          <w:noProof/>
          <w:sz w:val="24"/>
        </w:rPr>
      </w:pPr>
    </w:p>
    <w:p w14:paraId="191CFAF1" w14:textId="77777777" w:rsidR="00994F93" w:rsidRPr="00B03B51" w:rsidRDefault="00994F93" w:rsidP="00994F93">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t>Tā kā procentu likme nemainās, obligācijas tirgus cena ir vienāda ar nominālvērtību. Tiek izveidoti trīs kuponu sertifikāti katram gada procentu maksājumam (novērtēti attiecīgi ar 99, 113, 130, pamatojoties uz cenu, kas vienāda ar 65,8 %, 75,7 % un 87 % no nominālvērtības, kas ir 150) un viens sertifikāts pamatsummas galīgajai atmaksai (novērtēts ar 658, jo cena ir 65,8 % no nominālvērtības, kura ir 1000). Četru sertifikātu kopējā tirgus vērtība vienmēr ir vienāda ar nominālvērtību. Uzkrātos procentus var aprēķināt, pamatojoties uz iepriekšējo obligācijas formu % vai laiku, kad veikta pamatsummas un procentu atdalīšana, kā starpību starp bezkuponu vērtspapīru tirgus cenu (citi faktori to neietekmē), t. i., 49, 10, 9 un 7 summu. Gada beigās četru sertifikātu tirgus vērtību summa ir 1075: 707+106+122+140 jeb 1000 (pamatsumma) un 75 (sešos mēnešos uzkrātie procenti) summa. Minētais piemērs skaidri atspoguļo valdības (EDP) parāda gadījumu, kas ierakstīts nominālvērtībā/norādītajā vērtībā, un tādējādi tajā nav ņemta vērā nekāda pamatsummas un procentu atdalīšanas ietekme uz sākotnējo parādu (skaitļi ir noapaļoti).</w:t>
      </w:r>
    </w:p>
    <w:p w14:paraId="07D3B563" w14:textId="77777777" w:rsidR="00994F93" w:rsidRPr="00B03B51" w:rsidRDefault="00994F93" w:rsidP="00994F93">
      <w:pPr>
        <w:jc w:val="both"/>
        <w:rPr>
          <w:rFonts w:ascii="Times New Roman" w:eastAsia="Arial" w:hAnsi="Times New Roman" w:cs="Times New Roman"/>
          <w:noProof/>
          <w:sz w:val="24"/>
          <w:szCs w:val="20"/>
        </w:rPr>
      </w:pPr>
    </w:p>
    <w:p w14:paraId="5FE25587" w14:textId="383E0D2A" w:rsidR="00994F93" w:rsidRPr="00B03B51" w:rsidRDefault="00F27871" w:rsidP="00994F93">
      <w:pPr>
        <w:jc w:val="center"/>
        <w:rPr>
          <w:rFonts w:ascii="Times New Roman" w:eastAsia="Arial" w:hAnsi="Times New Roman" w:cs="Times New Roman"/>
          <w:noProof/>
          <w:sz w:val="24"/>
          <w:szCs w:val="20"/>
        </w:rPr>
      </w:pPr>
      <w:r w:rsidRPr="00B03B51">
        <w:rPr>
          <w:rFonts w:ascii="Times New Roman" w:eastAsia="Arial" w:hAnsi="Times New Roman" w:cs="Times New Roman"/>
          <w:noProof/>
          <w:sz w:val="24"/>
          <w:szCs w:val="20"/>
        </w:rPr>
        <w:drawing>
          <wp:inline distT="0" distB="0" distL="0" distR="0" wp14:anchorId="095801CB" wp14:editId="0EE31234">
            <wp:extent cx="3457575" cy="333375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457575" cy="3333750"/>
                    </a:xfrm>
                    <a:prstGeom prst="rect">
                      <a:avLst/>
                    </a:prstGeom>
                    <a:noFill/>
                    <a:ln>
                      <a:noFill/>
                    </a:ln>
                  </pic:spPr>
                </pic:pic>
              </a:graphicData>
            </a:graphic>
          </wp:inline>
        </w:drawing>
      </w:r>
    </w:p>
    <w:p w14:paraId="08F80F96" w14:textId="77777777" w:rsidR="00994F93" w:rsidRPr="00B03B51" w:rsidRDefault="00994F93" w:rsidP="00994F93">
      <w:pPr>
        <w:jc w:val="both"/>
        <w:rPr>
          <w:rFonts w:ascii="Times New Roman" w:eastAsia="Arial" w:hAnsi="Times New Roman" w:cs="Times New Roman"/>
          <w:noProof/>
          <w:sz w:val="24"/>
          <w:szCs w:val="15"/>
        </w:rPr>
      </w:pPr>
    </w:p>
    <w:p w14:paraId="2F7AA46A" w14:textId="77777777" w:rsidR="00994F93" w:rsidRPr="00B03B51" w:rsidRDefault="00994F93" w:rsidP="00994F93">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t>Arī otrajā gadā uzkrātie procenti nemainās salīdzinājumā ar obligācijas iepriekšējo formu. Tie ir vienādi arī ar sertifikātu cenas starpību starp gada sākumu un pirmā kupona sertifikāta izpirkuma laiku un pārējo trīs (10, 106, 16, 18) sertifikātu izpirkuma laiku gada beigās. Gada beigās 1075 ir trīs sertifikātu (813, 122, 140) tirgus vērtību summa, un tā joprojām ir vienāda ar summu, ko veido 1000 (nominālvērtība) un 75 (sešu mēnešu laikā uzkrātie procenti).</w:t>
      </w:r>
    </w:p>
    <w:p w14:paraId="0F0255D2" w14:textId="77777777" w:rsidR="00994F93" w:rsidRPr="00B03B51" w:rsidRDefault="00994F93" w:rsidP="00994F93">
      <w:pPr>
        <w:jc w:val="both"/>
        <w:rPr>
          <w:rFonts w:ascii="Times New Roman" w:eastAsia="Arial" w:hAnsi="Times New Roman" w:cs="Times New Roman"/>
          <w:noProof/>
          <w:sz w:val="24"/>
          <w:szCs w:val="20"/>
        </w:rPr>
      </w:pPr>
    </w:p>
    <w:p w14:paraId="67A30E90" w14:textId="574B773E" w:rsidR="00994F93" w:rsidRPr="00B03B51" w:rsidRDefault="00F27871" w:rsidP="00994F93">
      <w:pPr>
        <w:jc w:val="center"/>
        <w:rPr>
          <w:rFonts w:ascii="Times New Roman" w:eastAsia="Arial" w:hAnsi="Times New Roman" w:cs="Times New Roman"/>
          <w:noProof/>
          <w:sz w:val="24"/>
          <w:szCs w:val="27"/>
        </w:rPr>
      </w:pPr>
      <w:r w:rsidRPr="00B03B51">
        <w:rPr>
          <w:rFonts w:ascii="Times New Roman" w:eastAsia="Arial" w:hAnsi="Times New Roman" w:cs="Times New Roman"/>
          <w:noProof/>
          <w:sz w:val="24"/>
          <w:szCs w:val="27"/>
        </w:rPr>
        <w:lastRenderedPageBreak/>
        <w:drawing>
          <wp:inline distT="0" distB="0" distL="0" distR="0" wp14:anchorId="2463760B" wp14:editId="46AC33C9">
            <wp:extent cx="3343275" cy="1695450"/>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343275" cy="1695450"/>
                    </a:xfrm>
                    <a:prstGeom prst="rect">
                      <a:avLst/>
                    </a:prstGeom>
                    <a:noFill/>
                    <a:ln>
                      <a:noFill/>
                    </a:ln>
                  </pic:spPr>
                </pic:pic>
              </a:graphicData>
            </a:graphic>
          </wp:inline>
        </w:drawing>
      </w:r>
    </w:p>
    <w:p w14:paraId="757289C5" w14:textId="4503CCAD" w:rsidR="00994F93" w:rsidRPr="00B03B51" w:rsidRDefault="00F27871" w:rsidP="00994F93">
      <w:pPr>
        <w:jc w:val="center"/>
        <w:rPr>
          <w:rFonts w:ascii="Times New Roman" w:eastAsia="Arial" w:hAnsi="Times New Roman" w:cs="Times New Roman"/>
          <w:noProof/>
          <w:sz w:val="24"/>
          <w:szCs w:val="27"/>
        </w:rPr>
      </w:pPr>
      <w:r w:rsidRPr="00B03B51">
        <w:rPr>
          <w:rFonts w:ascii="Times New Roman" w:eastAsia="Arial" w:hAnsi="Times New Roman" w:cs="Times New Roman"/>
          <w:noProof/>
          <w:sz w:val="24"/>
          <w:szCs w:val="27"/>
        </w:rPr>
        <w:drawing>
          <wp:inline distT="0" distB="0" distL="0" distR="0" wp14:anchorId="53DF8CE4" wp14:editId="55E4C91A">
            <wp:extent cx="3381375" cy="1457325"/>
            <wp:effectExtent l="0" t="0" r="9525"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381375" cy="1457325"/>
                    </a:xfrm>
                    <a:prstGeom prst="rect">
                      <a:avLst/>
                    </a:prstGeom>
                    <a:noFill/>
                    <a:ln>
                      <a:noFill/>
                    </a:ln>
                  </pic:spPr>
                </pic:pic>
              </a:graphicData>
            </a:graphic>
          </wp:inline>
        </w:drawing>
      </w:r>
    </w:p>
    <w:p w14:paraId="461C3424" w14:textId="77777777" w:rsidR="00994F93" w:rsidRPr="00B03B51" w:rsidRDefault="00994F93" w:rsidP="00994F93">
      <w:pPr>
        <w:jc w:val="both"/>
        <w:rPr>
          <w:rFonts w:ascii="Times New Roman" w:eastAsia="Arial" w:hAnsi="Times New Roman" w:cs="Times New Roman"/>
          <w:noProof/>
          <w:sz w:val="24"/>
          <w:szCs w:val="27"/>
        </w:rPr>
      </w:pPr>
    </w:p>
    <w:p w14:paraId="4309205F" w14:textId="77777777" w:rsidR="00994F93" w:rsidRPr="00B03B51" w:rsidRDefault="00994F93" w:rsidP="00994F93">
      <w:pPr>
        <w:jc w:val="both"/>
        <w:rPr>
          <w:rFonts w:ascii="Times New Roman" w:hAnsi="Times New Roman" w:cs="Times New Roman"/>
          <w:b/>
          <w:noProof/>
          <w:sz w:val="24"/>
        </w:rPr>
      </w:pPr>
      <w:r w:rsidRPr="00B03B51">
        <w:rPr>
          <w:rFonts w:ascii="Times New Roman" w:hAnsi="Times New Roman" w:cs="Times New Roman"/>
          <w:b/>
          <w:sz w:val="24"/>
        </w:rPr>
        <w:t>Ar pārmaiņām procentu likmē</w:t>
      </w:r>
    </w:p>
    <w:p w14:paraId="502BA770" w14:textId="77777777" w:rsidR="00994F93" w:rsidRPr="00B03B51" w:rsidRDefault="00994F93" w:rsidP="00994F93">
      <w:pPr>
        <w:pStyle w:val="BodyText"/>
        <w:spacing w:before="0"/>
        <w:ind w:left="0" w:firstLine="0"/>
        <w:jc w:val="both"/>
        <w:rPr>
          <w:rFonts w:ascii="Times New Roman" w:hAnsi="Times New Roman" w:cs="Times New Roman"/>
          <w:noProof/>
          <w:sz w:val="24"/>
        </w:rPr>
      </w:pPr>
    </w:p>
    <w:p w14:paraId="35C3661B" w14:textId="77777777" w:rsidR="00994F93" w:rsidRPr="00B03B51" w:rsidRDefault="00994F93" w:rsidP="00994F93">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t>Pamatsummas un procentu atdalīšanu īsteno jaunos tirgus apstākļos, piemēram, kad tirgus likme ir samazinājusies līdz 10 %. Pašreizējā obligācijas cena ir 1125. Šoreiz pamatsummas un procentu atdalīšanas darījumu vērtība ir 113, 124, 136 un 752 (pamatojoties uz cenām procentos 75,2, 82,7 un 90,8). Gada beigās šo četru sertifikātu tirgus vērtību summa ir 1182 (790, 119, 130, 143), kas ir arī nomināla tirgus vērtības (1107) jeb “tīrās cenas” un uzkrāto procentu (vienmēr 75) summa.</w:t>
      </w:r>
    </w:p>
    <w:p w14:paraId="2430DB4C" w14:textId="77777777" w:rsidR="00994F93" w:rsidRPr="00B03B51" w:rsidRDefault="00994F93" w:rsidP="00994F93">
      <w:pPr>
        <w:jc w:val="both"/>
        <w:rPr>
          <w:rFonts w:ascii="Times New Roman" w:eastAsia="Arial" w:hAnsi="Times New Roman" w:cs="Times New Roman"/>
          <w:noProof/>
          <w:sz w:val="24"/>
          <w:szCs w:val="20"/>
        </w:rPr>
      </w:pPr>
    </w:p>
    <w:p w14:paraId="0159C303" w14:textId="77777777" w:rsidR="00994F93" w:rsidRPr="00B03B51" w:rsidRDefault="00994F93" w:rsidP="00994F93">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t>Ierakstot aktīvu un saistību pusi, nebūtu asimetrijas. Tomēr minētais piemērs skaidri parāda, ka atšķirības tirgus cenās nevar izmantot attiecībā uz uzkrātajiem procentiem (summa pusgadam būtu 57 pret 75, kas ir sākotnējā likme). Tādējādi uzkrātie procenti jāaprēķina, pamatojoties uz iepriekšējo obligācijas formu, nevis uz turētāju sniegto informāciju. Precizējumu ieraksta pārvērtēšanas kontā. Zaudējums (pašreizējā saistību cena ir augstāka par “teorētisko” cenu) ir ienākums darījuma partneru kontos.</w:t>
      </w:r>
    </w:p>
    <w:p w14:paraId="6B9AF9BE" w14:textId="77777777" w:rsidR="00994F93" w:rsidRPr="00B03B51" w:rsidRDefault="00994F93" w:rsidP="00994F93">
      <w:pPr>
        <w:jc w:val="both"/>
        <w:rPr>
          <w:rFonts w:ascii="Times New Roman" w:eastAsia="Arial" w:hAnsi="Times New Roman" w:cs="Times New Roman"/>
          <w:noProof/>
          <w:sz w:val="24"/>
          <w:szCs w:val="20"/>
        </w:rPr>
      </w:pPr>
    </w:p>
    <w:p w14:paraId="336BDBF2" w14:textId="6AA50B84" w:rsidR="00994F93" w:rsidRPr="00B03B51" w:rsidRDefault="0026685E" w:rsidP="00994F93">
      <w:pPr>
        <w:jc w:val="center"/>
        <w:rPr>
          <w:rFonts w:ascii="Times New Roman" w:eastAsia="Arial" w:hAnsi="Times New Roman" w:cs="Times New Roman"/>
          <w:noProof/>
          <w:sz w:val="24"/>
          <w:szCs w:val="20"/>
        </w:rPr>
      </w:pPr>
      <w:r w:rsidRPr="00B03B51">
        <w:rPr>
          <w:rFonts w:ascii="Times New Roman" w:eastAsia="Arial" w:hAnsi="Times New Roman" w:cs="Times New Roman"/>
          <w:noProof/>
          <w:sz w:val="24"/>
          <w:szCs w:val="20"/>
        </w:rPr>
        <w:lastRenderedPageBreak/>
        <w:drawing>
          <wp:inline distT="0" distB="0" distL="0" distR="0" wp14:anchorId="348CF991" wp14:editId="7263684B">
            <wp:extent cx="3495675" cy="4514850"/>
            <wp:effectExtent l="0" t="0" r="952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495675" cy="4514850"/>
                    </a:xfrm>
                    <a:prstGeom prst="rect">
                      <a:avLst/>
                    </a:prstGeom>
                    <a:noFill/>
                    <a:ln>
                      <a:noFill/>
                    </a:ln>
                  </pic:spPr>
                </pic:pic>
              </a:graphicData>
            </a:graphic>
          </wp:inline>
        </w:drawing>
      </w:r>
    </w:p>
    <w:p w14:paraId="4BE1A3E9" w14:textId="77777777" w:rsidR="00994F93" w:rsidRPr="00B03B51" w:rsidRDefault="00994F93" w:rsidP="00994F93">
      <w:pPr>
        <w:jc w:val="both"/>
        <w:rPr>
          <w:rFonts w:ascii="Times New Roman" w:eastAsia="Arial" w:hAnsi="Times New Roman" w:cs="Times New Roman"/>
          <w:noProof/>
          <w:sz w:val="24"/>
          <w:szCs w:val="17"/>
        </w:rPr>
      </w:pPr>
    </w:p>
    <w:p w14:paraId="2A5A090C" w14:textId="77777777" w:rsidR="00994F93" w:rsidRPr="00B03B51" w:rsidRDefault="00994F93" w:rsidP="00994F93">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t>Uzkrāto procentu novērtējums kopš iepriekšējā gada nav mainījies. Trīs atlikušo sertifikātu tirgus vērtību (869, 131, 143) summa ir 1143, un tā ir arī pamatsummas (1068) tirgus vērtība, kura pieaugusi par sešu mēnešu laikā uzkrāto procentu vērtību (75). Šoreiz precizējums pārvērtēšanas kontā ir ienākums emitentam, un to aprēķina, pamatojoties vienīgi uz pašreizējām cenām perioda sākumā un beigās.</w:t>
      </w:r>
    </w:p>
    <w:p w14:paraId="5B19DE4F" w14:textId="77777777" w:rsidR="00994F93" w:rsidRPr="00B03B51" w:rsidRDefault="00994F93" w:rsidP="00994F93">
      <w:pPr>
        <w:jc w:val="both"/>
        <w:rPr>
          <w:rFonts w:ascii="Times New Roman" w:hAnsi="Times New Roman" w:cs="Times New Roman"/>
          <w:noProof/>
          <w:sz w:val="24"/>
        </w:rPr>
      </w:pPr>
    </w:p>
    <w:p w14:paraId="0A726B72" w14:textId="059ED9EB" w:rsidR="00994F93" w:rsidRPr="00B03B51" w:rsidRDefault="0026685E" w:rsidP="00994F93">
      <w:pPr>
        <w:jc w:val="center"/>
        <w:rPr>
          <w:rFonts w:ascii="Times New Roman" w:eastAsia="Arial" w:hAnsi="Times New Roman" w:cs="Times New Roman"/>
          <w:noProof/>
          <w:sz w:val="24"/>
          <w:szCs w:val="19"/>
        </w:rPr>
      </w:pPr>
      <w:r w:rsidRPr="00B03B51">
        <w:rPr>
          <w:rFonts w:ascii="Times New Roman" w:eastAsia="Arial" w:hAnsi="Times New Roman" w:cs="Times New Roman"/>
          <w:noProof/>
          <w:sz w:val="24"/>
          <w:szCs w:val="19"/>
        </w:rPr>
        <w:lastRenderedPageBreak/>
        <w:drawing>
          <wp:inline distT="0" distB="0" distL="0" distR="0" wp14:anchorId="14ADCCFD" wp14:editId="6C7C854E">
            <wp:extent cx="3343275" cy="453932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344569" cy="4541077"/>
                    </a:xfrm>
                    <a:prstGeom prst="rect">
                      <a:avLst/>
                    </a:prstGeom>
                    <a:noFill/>
                    <a:ln>
                      <a:noFill/>
                    </a:ln>
                  </pic:spPr>
                </pic:pic>
              </a:graphicData>
            </a:graphic>
          </wp:inline>
        </w:drawing>
      </w:r>
      <w:r w:rsidR="00994F93" w:rsidRPr="00B03B51">
        <w:rPr>
          <w:rFonts w:ascii="Times New Roman" w:hAnsi="Times New Roman" w:cs="Times New Roman"/>
          <w:noProof/>
          <w:sz w:val="24"/>
        </w:rPr>
        <mc:AlternateContent>
          <mc:Choice Requires="wpg">
            <w:drawing>
              <wp:anchor distT="0" distB="0" distL="114300" distR="114300" simplePos="0" relativeHeight="251659264" behindDoc="1" locked="0" layoutInCell="1" allowOverlap="1" wp14:anchorId="154883DB" wp14:editId="1A803C50">
                <wp:simplePos x="0" y="0"/>
                <wp:positionH relativeFrom="page">
                  <wp:posOffset>3778885</wp:posOffset>
                </wp:positionH>
                <wp:positionV relativeFrom="page">
                  <wp:posOffset>4749165</wp:posOffset>
                </wp:positionV>
                <wp:extent cx="1270" cy="139065"/>
                <wp:effectExtent l="6985" t="5715" r="10795" b="762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139065"/>
                          <a:chOff x="5951" y="7479"/>
                          <a:chExt cx="2" cy="219"/>
                        </a:xfrm>
                      </wpg:grpSpPr>
                      <wps:wsp>
                        <wps:cNvPr id="4" name="Freeform 3"/>
                        <wps:cNvSpPr>
                          <a:spLocks/>
                        </wps:cNvSpPr>
                        <wps:spPr bwMode="auto">
                          <a:xfrm>
                            <a:off x="5951" y="7479"/>
                            <a:ext cx="2" cy="219"/>
                          </a:xfrm>
                          <a:custGeom>
                            <a:avLst/>
                            <a:gdLst>
                              <a:gd name="T0" fmla="+- 0 7479 7479"/>
                              <a:gd name="T1" fmla="*/ 7479 h 219"/>
                              <a:gd name="T2" fmla="+- 0 7698 7479"/>
                              <a:gd name="T3" fmla="*/ 7698 h 219"/>
                            </a:gdLst>
                            <a:ahLst/>
                            <a:cxnLst>
                              <a:cxn ang="0">
                                <a:pos x="0" y="T1"/>
                              </a:cxn>
                              <a:cxn ang="0">
                                <a:pos x="0" y="T3"/>
                              </a:cxn>
                            </a:cxnLst>
                            <a:rect l="0" t="0" r="r" b="b"/>
                            <a:pathLst>
                              <a:path h="219">
                                <a:moveTo>
                                  <a:pt x="0" y="0"/>
                                </a:moveTo>
                                <a:lnTo>
                                  <a:pt x="0" y="219"/>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48C5B97" id="Group 2" o:spid="_x0000_s1026" style="position:absolute;margin-left:297.55pt;margin-top:373.95pt;width:.1pt;height:10.95pt;z-index:-251657216;mso-position-horizontal-relative:page;mso-position-vertical-relative:page" coordorigin="5951,7479" coordsize="2,2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">
                <v:shape id="Freeform 3" o:spid="_x0000_s1027" style="position:absolute;left:5951;top:7479;width:2;height:219;visibility:visible;mso-wrap-style:square;v-text-anchor:top" coordsize="2,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" path="m,l,219e" filled="f" strokeweight=".82pt">
                  <v:path arrowok="t" o:connecttype="custom" o:connectlocs="0,7479;0,7698" o:connectangles="0,0"/>
                </v:shape>
                <w10:wrap anchorx="page" anchory="page"/>
              </v:group>
            </w:pict>
          </mc:Fallback>
        </mc:AlternateContent>
      </w:r>
    </w:p>
    <w:p w14:paraId="6531C8B8" w14:textId="77777777" w:rsidR="00994F93" w:rsidRPr="00B03B51" w:rsidRDefault="00994F93" w:rsidP="00994F93">
      <w:pPr>
        <w:rPr>
          <w:rFonts w:ascii="Times New Roman" w:eastAsia="Arial" w:hAnsi="Times New Roman" w:cs="Times New Roman"/>
          <w:noProof/>
          <w:sz w:val="24"/>
          <w:szCs w:val="19"/>
        </w:rPr>
      </w:pPr>
      <w:r w:rsidRPr="00B03B51">
        <w:rPr>
          <w:rFonts w:ascii="Times New Roman" w:hAnsi="Times New Roman" w:cs="Times New Roman"/>
        </w:rPr>
        <w:br w:type="page"/>
      </w:r>
    </w:p>
    <w:p w14:paraId="41EE24DE" w14:textId="77777777" w:rsidR="00994F93" w:rsidRPr="00B03B51" w:rsidRDefault="00994F93" w:rsidP="00994F93">
      <w:pPr>
        <w:jc w:val="both"/>
        <w:rPr>
          <w:rFonts w:ascii="Times New Roman" w:eastAsia="Times New Roman" w:hAnsi="Times New Roman" w:cs="Times New Roman"/>
          <w:noProof/>
          <w:sz w:val="24"/>
          <w:szCs w:val="19"/>
        </w:rPr>
      </w:pPr>
    </w:p>
    <w:p w14:paraId="6809334F" w14:textId="77777777" w:rsidR="00994F93" w:rsidRPr="00B03B51" w:rsidRDefault="00994F93" w:rsidP="00994F93">
      <w:pPr>
        <w:pStyle w:val="Heading2"/>
        <w:tabs>
          <w:tab w:val="left" w:pos="1279"/>
        </w:tabs>
        <w:spacing w:before="0"/>
        <w:ind w:left="0" w:firstLine="0"/>
        <w:jc w:val="both"/>
        <w:rPr>
          <w:rFonts w:ascii="Times New Roman" w:hAnsi="Times New Roman" w:cs="Times New Roman"/>
          <w:noProof/>
          <w:sz w:val="28"/>
          <w:szCs w:val="44"/>
        </w:rPr>
      </w:pPr>
      <w:bookmarkStart w:id="148" w:name="2.5_Military_expenditure"/>
      <w:bookmarkStart w:id="149" w:name="_bookmark16"/>
      <w:bookmarkStart w:id="150" w:name="_Toc67565068"/>
      <w:bookmarkEnd w:id="148"/>
      <w:bookmarkEnd w:id="149"/>
      <w:r w:rsidRPr="00B03B51">
        <w:rPr>
          <w:rFonts w:ascii="Times New Roman" w:hAnsi="Times New Roman" w:cs="Times New Roman"/>
          <w:sz w:val="28"/>
          <w:szCs w:val="44"/>
        </w:rPr>
        <w:t>2.5. Militārie izdevumi</w:t>
      </w:r>
      <w:bookmarkEnd w:id="150"/>
    </w:p>
    <w:p w14:paraId="440255A9" w14:textId="77777777" w:rsidR="00994F93" w:rsidRPr="00D06C6B" w:rsidRDefault="00994F93" w:rsidP="00E843F0">
      <w:pPr>
        <w:rPr>
          <w:rFonts w:ascii="Times New Roman" w:hAnsi="Times New Roman" w:cs="Times New Roman"/>
          <w:noProof/>
          <w:sz w:val="24"/>
          <w:szCs w:val="24"/>
        </w:rPr>
      </w:pPr>
      <w:bookmarkStart w:id="151" w:name="2.5.1_Background"/>
      <w:bookmarkEnd w:id="151"/>
    </w:p>
    <w:p w14:paraId="289D06D1" w14:textId="77777777" w:rsidR="00994F93" w:rsidRPr="00B03B51" w:rsidRDefault="00994F93" w:rsidP="00994F93">
      <w:pPr>
        <w:pStyle w:val="Heading3"/>
        <w:tabs>
          <w:tab w:val="left" w:pos="1267"/>
        </w:tabs>
        <w:ind w:left="0" w:firstLine="0"/>
        <w:jc w:val="both"/>
        <w:rPr>
          <w:rFonts w:ascii="Times New Roman" w:hAnsi="Times New Roman" w:cs="Times New Roman"/>
          <w:noProof/>
          <w:sz w:val="24"/>
        </w:rPr>
      </w:pPr>
      <w:bookmarkStart w:id="152" w:name="_Toc67565069"/>
      <w:r w:rsidRPr="00B03B51">
        <w:rPr>
          <w:rFonts w:ascii="Times New Roman" w:hAnsi="Times New Roman" w:cs="Times New Roman"/>
          <w:sz w:val="24"/>
        </w:rPr>
        <w:t>2.5.1. Vispārīga informācija</w:t>
      </w:r>
      <w:bookmarkEnd w:id="152"/>
    </w:p>
    <w:p w14:paraId="2B1B5246"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523012CF"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 Militārie izdevumi ir īpaša tādu valdības izdevumu kategorija, kuri bieži vien rodas saskaņā ar īpašiem iepirkuma līgumiem (tostarp dažkārt arī saistībā ar augstvērtīga aprīkojuma nomāšanu).</w:t>
      </w:r>
    </w:p>
    <w:p w14:paraId="194E5EB3"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6E93C826"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2. Pēc būtības militārais aprīkojums parasti tiek iekļauts sarežģītās tehnoloģijas kategorijā. No tā izriet trīs dažādas sekas. Pirmkārt, militārais aprīkojums var būt veidots no daudziem dažādiem komponentiem, kurus bieži vien ražo dažādi piegādātāji. Otrkārt, ražošanas process var ilgt vairākus gadus. Treškārt, līgumos bieži vien iekļauti arī tehniskās apkopes noteikumi, lai nodrošinātu aprīkojuma atbilstību ekspluatācijas nosacījumiem. Tāpēc šī nodaļa ir veltīta jo īpaši jautājumam par valdības militārā aprīkojuma izdevumu ierakstīšanas laiku nacionālajos kontos.</w:t>
      </w:r>
    </w:p>
    <w:p w14:paraId="367252D1" w14:textId="77777777" w:rsidR="00994F93" w:rsidRPr="00B03B51" w:rsidRDefault="00994F93" w:rsidP="00994F93">
      <w:pPr>
        <w:jc w:val="both"/>
        <w:rPr>
          <w:rFonts w:ascii="Times New Roman" w:eastAsia="Arial" w:hAnsi="Times New Roman" w:cs="Times New Roman"/>
          <w:noProof/>
          <w:sz w:val="24"/>
          <w:szCs w:val="18"/>
        </w:rPr>
      </w:pPr>
    </w:p>
    <w:p w14:paraId="5ADFDCE3" w14:textId="77777777" w:rsidR="00994F93" w:rsidRPr="00B03B51" w:rsidRDefault="00994F93" w:rsidP="00994F93">
      <w:pPr>
        <w:pStyle w:val="Heading3"/>
        <w:tabs>
          <w:tab w:val="left" w:pos="1267"/>
        </w:tabs>
        <w:ind w:left="0" w:firstLine="0"/>
        <w:jc w:val="both"/>
        <w:rPr>
          <w:rFonts w:ascii="Times New Roman" w:hAnsi="Times New Roman" w:cs="Times New Roman"/>
          <w:noProof/>
          <w:sz w:val="24"/>
        </w:rPr>
      </w:pPr>
      <w:bookmarkStart w:id="153" w:name="2.5.2_Treatment_in_national_accounts"/>
      <w:bookmarkStart w:id="154" w:name="_Toc67565070"/>
      <w:bookmarkEnd w:id="153"/>
      <w:r w:rsidRPr="00B03B51">
        <w:rPr>
          <w:rFonts w:ascii="Times New Roman" w:hAnsi="Times New Roman" w:cs="Times New Roman"/>
          <w:sz w:val="24"/>
        </w:rPr>
        <w:t>2.5.2. Traktējums nacionālajos kontos</w:t>
      </w:r>
      <w:bookmarkEnd w:id="154"/>
    </w:p>
    <w:p w14:paraId="5929DCCF" w14:textId="77777777" w:rsidR="00994F93" w:rsidRPr="00453D55" w:rsidRDefault="00994F93" w:rsidP="00453D55">
      <w:pPr>
        <w:rPr>
          <w:rFonts w:ascii="Times New Roman" w:hAnsi="Times New Roman" w:cs="Times New Roman"/>
          <w:noProof/>
          <w:sz w:val="24"/>
          <w:szCs w:val="24"/>
        </w:rPr>
      </w:pPr>
      <w:bookmarkStart w:id="155" w:name="2.5.2.1_Identification_of_military_equip"/>
      <w:bookmarkEnd w:id="155"/>
    </w:p>
    <w:p w14:paraId="3608E411" w14:textId="77777777" w:rsidR="00994F93" w:rsidRPr="00B03B51" w:rsidRDefault="00994F93" w:rsidP="00994F93">
      <w:pPr>
        <w:pStyle w:val="Heading6"/>
        <w:tabs>
          <w:tab w:val="left" w:pos="1267"/>
        </w:tabs>
        <w:ind w:left="0" w:firstLine="0"/>
        <w:jc w:val="both"/>
        <w:rPr>
          <w:rFonts w:ascii="Times New Roman" w:hAnsi="Times New Roman" w:cs="Times New Roman"/>
          <w:noProof/>
          <w:sz w:val="24"/>
        </w:rPr>
      </w:pPr>
      <w:r w:rsidRPr="00B03B51">
        <w:rPr>
          <w:rFonts w:ascii="Times New Roman" w:hAnsi="Times New Roman" w:cs="Times New Roman"/>
          <w:sz w:val="24"/>
        </w:rPr>
        <w:t>2.5.2.1. MILITĀRĀ APRĪKOJUMA IDENTIFIKĀCIJA</w:t>
      </w:r>
    </w:p>
    <w:p w14:paraId="0E22251D"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4EF68135"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3. EKS 2010 ir noteikts stingrs dalījums starp “ieroču sistēmām” un citiem priekšmetiem, ko izmanto bruņotie spēki. EKS 2010 (skat. 7. nodaļu un 7.1. pielikumu) ir noteikts, ka ieroču sistēmas (AN.114) ir pamatlīdzekļi – “transportlīdzekļi un citas iekārtas, piemēram, karakuģi, zemūdenes, militārās lidmašīnas, tanki, bumbvedēji, ložmetēji utt.” Šis saraksts nav pilnīgs, taču tas skaidri atspoguļo šāda aprīkojuma būtību. Daudzi ieroči, kas tiek piegādāti saskaņā ar šo sistēmu, tiek klasificēti kā militārie krājumi (AN.124), bet citi, piemēram, ballistiskās raķetes, kurām piemīt augsta iznīcināšanas spēja un kas nodrošina nepārtrauktu preventīvu aizsardzību pret agresoriem, klasificē kā pamatlīdzekļus. Klasifikācijas pamatojums ir tāds, ka šos ieročus principā nav paredzēts izmantot (un līdz ar to iznīcināt) un tie kalpo nepārtrauktas preventīvās aizsardzības nodrošināšanai.</w:t>
      </w:r>
    </w:p>
    <w:p w14:paraId="61C7A685"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434C151B"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4. Attiecīgi šādu ieroču sistēmu iegāde tiek ierakstīta kā bruto pamatkapitāla veidošana un ir atkarīga no pamatkapitāla patēriņa līdzīgi jebkuram citam pamatlīdzeklim, ko iegādājušies bruņotie spēki. EKS 2010 (skat. 7.nodaļu un 7.1. pielikumu) ir noteikts, ka “militārajiem nolūkiem iegādātas mašīnas un iekārtas, kas nav ieroču sistēmas, iekļauj” kategorijā AN.113 “Mašīnas un iekārtas”, taču atsevišķi nenorāda kā šādas mašīnas un iekārtas. Militārajā bruto pamatkapitāla veidošanā (</w:t>
      </w:r>
      <w:r w:rsidRPr="00B03B51">
        <w:rPr>
          <w:rFonts w:ascii="Times New Roman" w:hAnsi="Times New Roman" w:cs="Times New Roman"/>
          <w:i/>
          <w:iCs/>
          <w:sz w:val="24"/>
        </w:rPr>
        <w:t>GFCF</w:t>
      </w:r>
      <w:r w:rsidRPr="00B03B51">
        <w:rPr>
          <w:rFonts w:ascii="Times New Roman" w:hAnsi="Times New Roman" w:cs="Times New Roman"/>
          <w:sz w:val="24"/>
        </w:rPr>
        <w:t>, P.51) ir iekļauti arī izdevumi par militāro pamatlīdzekļu uzlabošanu, piemēram, par “kapitālremontu”, kas paildzina to ekspluatācijas laiku, un par “modernizāciju”. Kategorija “militārie krājumi” (AN.124) ir īpaši paredzēta “munīcijai, reaktīvajiem šāviņiem</w:t>
      </w:r>
      <w:r w:rsidRPr="00B03B51">
        <w:rPr>
          <w:rStyle w:val="FootnoteReference"/>
          <w:rFonts w:ascii="Times New Roman" w:hAnsi="Times New Roman" w:cs="Times New Roman"/>
          <w:noProof/>
          <w:sz w:val="24"/>
        </w:rPr>
        <w:footnoteReference w:id="132"/>
      </w:r>
      <w:r w:rsidRPr="00B03B51">
        <w:rPr>
          <w:rFonts w:ascii="Times New Roman" w:hAnsi="Times New Roman" w:cs="Times New Roman"/>
          <w:sz w:val="24"/>
        </w:rPr>
        <w:t>, raķetēm, bumbām un citām vienreizējas lietošanas militārām lietām, kuras nogādā ieroči vai ieroču sistēmas”. Kad militārie krājumi ir izlietoti, tos ieraksta kā krājumu samazinājumu (P.52) un starppatēriņu (P.2), tādējādi neietekmējot valdības neto aizdevumu (B.9).</w:t>
      </w:r>
    </w:p>
    <w:p w14:paraId="58D29003" w14:textId="77777777" w:rsidR="00994F93" w:rsidRPr="00B03B51" w:rsidRDefault="00994F93" w:rsidP="00994F93">
      <w:pPr>
        <w:jc w:val="both"/>
        <w:rPr>
          <w:rFonts w:ascii="Times New Roman" w:hAnsi="Times New Roman" w:cs="Times New Roman"/>
          <w:noProof/>
          <w:sz w:val="24"/>
        </w:rPr>
      </w:pPr>
    </w:p>
    <w:p w14:paraId="20EBAFD0" w14:textId="77777777" w:rsidR="00994F93" w:rsidRPr="00B03B51" w:rsidRDefault="00994F93" w:rsidP="00994F93">
      <w:pPr>
        <w:pStyle w:val="Heading6"/>
        <w:tabs>
          <w:tab w:val="left" w:pos="1267"/>
        </w:tabs>
        <w:ind w:left="0" w:firstLine="0"/>
        <w:jc w:val="both"/>
        <w:rPr>
          <w:rFonts w:ascii="Times New Roman" w:hAnsi="Times New Roman" w:cs="Times New Roman"/>
          <w:noProof/>
          <w:sz w:val="24"/>
        </w:rPr>
      </w:pPr>
      <w:bookmarkStart w:id="156" w:name="2.5.2.2_The_time_of_recording_of_militar"/>
      <w:bookmarkEnd w:id="156"/>
      <w:r w:rsidRPr="00B03B51">
        <w:rPr>
          <w:rFonts w:ascii="Times New Roman" w:hAnsi="Times New Roman" w:cs="Times New Roman"/>
          <w:sz w:val="24"/>
        </w:rPr>
        <w:t>2.5.2.2. IZDEVUMU MILITĀRAJAM APRĪKOJUMAM IERAKSTĪŠANAS LAIKS VISPĀRĪGS NOTEIKUMS</w:t>
      </w:r>
    </w:p>
    <w:p w14:paraId="0CC4878C"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6A90B630"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 xml:space="preserve">5. Saskaņā ar vispārējiem nacionālo kontu principiem valdības izdevumi par aprīkojumu </w:t>
      </w:r>
      <w:r w:rsidRPr="00B03B51">
        <w:rPr>
          <w:rFonts w:ascii="Times New Roman" w:hAnsi="Times New Roman" w:cs="Times New Roman"/>
          <w:sz w:val="24"/>
        </w:rPr>
        <w:lastRenderedPageBreak/>
        <w:t>jāieraksta tā piegādes laikā, kas iezīmē ekonomisko īpašumtiesību maiņu. Tas attiecas ne tikai uz militāro aprīkojumu.</w:t>
      </w:r>
    </w:p>
    <w:p w14:paraId="4CAA2F58"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37E72FFD"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6. Pieņem, ka piegāde ir notikusi brīdī, kad bruņotie spēki ir pārņēmuši aprīkojumu savā īpašumā no ekonomiskā viedokļa, proti, ir uzņēmušies ar aprīkojuma ekonomiskajām īpašumtiesībām saistītos riskus un tā sniegtās priekšrocības. Tas attiecas uz jebkuru saistīto darbību, kas faktiski īstenota ar šo aprīkojumu, piemēram, uz apmācību vai faktiskām militārajām misijām. Pēc piegādes bruņotie spēki parasti ir tiesīgi izmantot militāros aktīvus bez ierobežojuma jebkurai darbībai. Attiecībā uz noteiktām iekārtām tiek piemērots testēšanas periods, jo īpaši iekārtām, kurās iekļautas augstās tehnoloģijas, to piegāde bieži vien notiek ilgu laika posmu, tostarp iekārtai laika gaitā veic būtiskus uzlabojumus (ko bieži vien dēvē par “standartu”). Testēšana kopumā notiek militāros objektos, tomēr būvētājs parasti joprojām ir atbildīgs par iekārtu. Tomēr dažkārt iekārta ir jāuzlabo būvētāja telpās, un tāpēc tā to nodod atpakaļ ražotājam (vai montētājam). Praktiski piegādes laiks būtu jānosaka kā brīdis, kad militārie spēki pirmo reizi uzņemas atbildību par iekārtu</w:t>
      </w:r>
      <w:r w:rsidRPr="00B03B51">
        <w:rPr>
          <w:rStyle w:val="FootnoteReference"/>
          <w:rFonts w:ascii="Times New Roman" w:hAnsi="Times New Roman" w:cs="Times New Roman"/>
          <w:noProof/>
          <w:sz w:val="24"/>
        </w:rPr>
        <w:footnoteReference w:id="133"/>
      </w:r>
      <w:r w:rsidRPr="00B03B51">
        <w:rPr>
          <w:rFonts w:ascii="Times New Roman" w:hAnsi="Times New Roman" w:cs="Times New Roman"/>
          <w:sz w:val="24"/>
        </w:rPr>
        <w:t>, kas parasti varētu būt pēc pirmās testēšanas un pēc iekārtas iespējamās pieregulēšanas/pielāgošanas. Tas neizslēdz iespēju, ka būvētājam varētu prasīt, lai pēc iekārtas pirmās oficiālās pieņemšanas tai veiktu turpmākas modifikācijas, par ko atbildība atkal tiek nodota būvētājam garantijas saistību veidā. Būtisks kritērijs attiecībā uz ierakstīšanas laika noteikšanu ir apdrošināšanas līgums, jo parasti militāro aprīkojumu, kad tas tiek faktiski lietots, pašapdrošina valdība. Piegādes laiks var atšķirties no laika, kad notiek attiecīgās naudas plūsmas. Šajā saistībā parasti pilnīga norēķināšanās par dārgu “smago” aprīkojumu nenotiek tā piegādes laikā. Bieži vien valdība pirms piegādes veic arī avansa maksājumus.</w:t>
      </w:r>
    </w:p>
    <w:p w14:paraId="3B28E1C4"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2A69E26A"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7. Dažādu iemeslu dēļ (piemēram, vienoto izmaksu palielināšanās, piegāžu kavējumu dēļ utt.) var gadīties, ka iekārtu piegādes līgumi, kas parasti ir spēkā ilgu laiku, tiek atkārtoti pārskatīti un grozīti. Tā var būt arī gadījumos, kad iekārtai ir veikti būtiski jauninājumi. Līguma kopējo vērtību var pārskatīt arī jau pēc dažu iekārtu piegādes. Šādos gadījumos izdevumi, kas jau iepriekš ir ierakstīti nacionālajos kontos, nav jāpārskata. Līguma sākotnējās un jaunās vērtības starpību proporcionāli sadala uz atlikušajām turpmākajām piegādēm. Dažkārt piegādājamo vienību skaits tiek samazināts tādējādi, ka būtu jāmaina turpmāk piegādājamo vienību vidējā cena. Nacionālajos kontos iepriekšējie dati nebūtu jāpārskata.</w:t>
      </w:r>
    </w:p>
    <w:p w14:paraId="3B1FB78D"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4AD17B28"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8. Gadījumos, kad iekārtu piegāde ir papildināta ar pakalpojumu tūlītēju vai vēlāku sniegšanu, ar šiem pakalpojumiem saistītie izdevumi ir jāidentificē atsevišķi un jāieraksta kā starppatēriņš brīdī, kad pakalpojums tiek sniegts. To nepiemēro ar īpašumtiesību nodošanu saistītajām izmaksām, kuras rodas jaunajam īpašniekam un ir noteiktas EKS 2010 3.133. punktā. Šo izmaksu tvērums ir visnotaļ ierobežots, un tajās neietilpst, piemēram, testēšanas izmaksas un kalibrēšana, kas nepieciešama ļoti sarežģītam militārajam aprīkojumam.</w:t>
      </w:r>
    </w:p>
    <w:p w14:paraId="616E8CB0" w14:textId="77777777" w:rsidR="00994F93" w:rsidRPr="00B03B51" w:rsidRDefault="00994F93" w:rsidP="00994F93">
      <w:pPr>
        <w:jc w:val="both"/>
        <w:rPr>
          <w:rFonts w:ascii="Times New Roman" w:eastAsia="Arial" w:hAnsi="Times New Roman" w:cs="Times New Roman"/>
          <w:noProof/>
          <w:sz w:val="24"/>
          <w:szCs w:val="15"/>
        </w:rPr>
      </w:pPr>
    </w:p>
    <w:p w14:paraId="69183000" w14:textId="77777777" w:rsidR="00994F93" w:rsidRPr="00B03B51" w:rsidRDefault="00994F93" w:rsidP="00994F93">
      <w:pPr>
        <w:pStyle w:val="Heading6"/>
        <w:tabs>
          <w:tab w:val="left" w:pos="1267"/>
        </w:tabs>
        <w:ind w:left="0" w:firstLine="0"/>
        <w:jc w:val="both"/>
        <w:rPr>
          <w:rFonts w:ascii="Times New Roman" w:hAnsi="Times New Roman" w:cs="Times New Roman"/>
          <w:noProof/>
          <w:sz w:val="24"/>
        </w:rPr>
      </w:pPr>
      <w:bookmarkStart w:id="157" w:name="2.5.2.3_The_time_of_recording_of_the_exp"/>
      <w:bookmarkEnd w:id="157"/>
      <w:r w:rsidRPr="00B03B51">
        <w:rPr>
          <w:rFonts w:ascii="Times New Roman" w:hAnsi="Times New Roman" w:cs="Times New Roman"/>
          <w:sz w:val="24"/>
        </w:rPr>
        <w:t>2.5.2.3. IZDEVUMU PAR MILITĀRO APRĪKOJUMU IERAKSTĪŠANAS LAIKS SAISTĪBĀ AR ILGTERMIŅA LĪGUMIEM</w:t>
      </w:r>
    </w:p>
    <w:p w14:paraId="5FF657B3"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088F56DB"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9. Līgumiem, ko valdības iestādes parakstījušas, lai iegādātos militāro aprīkojumu, bieži piemīt šādas iezīmes:</w:t>
      </w:r>
    </w:p>
    <w:p w14:paraId="7E03C774"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72079A4F" w14:textId="77777777" w:rsidR="00994F93" w:rsidRPr="00B03B51" w:rsidRDefault="00994F93" w:rsidP="00E761B2">
      <w:pPr>
        <w:pStyle w:val="BodyText"/>
        <w:numPr>
          <w:ilvl w:val="1"/>
          <w:numId w:val="10"/>
        </w:numPr>
        <w:spacing w:before="0"/>
        <w:ind w:left="426" w:hanging="425"/>
        <w:jc w:val="both"/>
        <w:rPr>
          <w:rFonts w:ascii="Times New Roman" w:hAnsi="Times New Roman" w:cs="Times New Roman"/>
          <w:noProof/>
          <w:sz w:val="24"/>
        </w:rPr>
      </w:pPr>
      <w:r w:rsidRPr="00B03B51">
        <w:rPr>
          <w:rFonts w:ascii="Times New Roman" w:hAnsi="Times New Roman" w:cs="Times New Roman"/>
          <w:sz w:val="24"/>
        </w:rPr>
        <w:t>daudzi ražojumi tiek piegādāti vairākus gadus ilgā laika posmā;</w:t>
      </w:r>
    </w:p>
    <w:p w14:paraId="28B7BB91" w14:textId="77777777" w:rsidR="00994F93" w:rsidRPr="00B03B51" w:rsidRDefault="00994F93" w:rsidP="00E761B2">
      <w:pPr>
        <w:pStyle w:val="BodyText"/>
        <w:numPr>
          <w:ilvl w:val="1"/>
          <w:numId w:val="10"/>
        </w:numPr>
        <w:spacing w:before="0"/>
        <w:ind w:left="426" w:hanging="425"/>
        <w:jc w:val="both"/>
        <w:rPr>
          <w:rFonts w:ascii="Times New Roman" w:hAnsi="Times New Roman" w:cs="Times New Roman"/>
          <w:noProof/>
          <w:sz w:val="24"/>
        </w:rPr>
      </w:pPr>
      <w:r w:rsidRPr="00B03B51">
        <w:rPr>
          <w:rFonts w:ascii="Times New Roman" w:hAnsi="Times New Roman" w:cs="Times New Roman"/>
          <w:sz w:val="24"/>
        </w:rPr>
        <w:t>pakalpojumi (piemēram, tehniskā apkope) tiek sniegti vairāku gadu garumā;</w:t>
      </w:r>
    </w:p>
    <w:p w14:paraId="2BA36EB0" w14:textId="77777777" w:rsidR="00994F93" w:rsidRPr="00B03B51" w:rsidRDefault="00994F93" w:rsidP="00E761B2">
      <w:pPr>
        <w:pStyle w:val="BodyText"/>
        <w:numPr>
          <w:ilvl w:val="1"/>
          <w:numId w:val="10"/>
        </w:numPr>
        <w:spacing w:before="0"/>
        <w:ind w:left="426" w:hanging="425"/>
        <w:jc w:val="both"/>
        <w:rPr>
          <w:rFonts w:ascii="Times New Roman" w:hAnsi="Times New Roman" w:cs="Times New Roman"/>
          <w:noProof/>
          <w:sz w:val="24"/>
        </w:rPr>
      </w:pPr>
      <w:r w:rsidRPr="00B03B51">
        <w:rPr>
          <w:rFonts w:ascii="Times New Roman" w:hAnsi="Times New Roman" w:cs="Times New Roman"/>
          <w:sz w:val="24"/>
        </w:rPr>
        <w:lastRenderedPageBreak/>
        <w:t>lai sarežģītas iekārtas padarītu pilnīgi izmantojamas militārajās misijās, nepieciešama galīgo detaļu piegāde. Piemēram, elektroniskais aprīkojums un ieroču sistēmas iznīcinātājiem, ko bieži vien piegādā citi uzņēmumi, nevis galvenais piegādātājs, un kas tiek montētas militārajos objektos. Šis gadījums ir skaidri jānošķir no gadījuma, kad detaļas, kas iegūtas no vairākiem apakšuzņēmējiem, montē būvētājs/ražotājs, bet rezultātā tiek nodrošināta viena piegāde (un izdots viens rēķins) valdībai.</w:t>
      </w:r>
    </w:p>
    <w:p w14:paraId="37DA1494"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445445E9"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10. Turpmāk norādīts laiks, kad ieraksta valdības neto aizdevumu/aizņēmumu (B.9) ietekmējošos valdības izdevumus:</w:t>
      </w:r>
    </w:p>
    <w:p w14:paraId="700AD4CE"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6A92E8E1" w14:textId="77777777" w:rsidR="00994F93" w:rsidRPr="00B03B51" w:rsidRDefault="00994F93" w:rsidP="00E761B2">
      <w:pPr>
        <w:pStyle w:val="BodyText"/>
        <w:numPr>
          <w:ilvl w:val="1"/>
          <w:numId w:val="10"/>
        </w:numPr>
        <w:spacing w:before="0"/>
        <w:ind w:left="426" w:hanging="425"/>
        <w:jc w:val="both"/>
        <w:rPr>
          <w:rFonts w:ascii="Times New Roman" w:hAnsi="Times New Roman" w:cs="Times New Roman"/>
          <w:noProof/>
          <w:sz w:val="24"/>
        </w:rPr>
      </w:pPr>
      <w:r w:rsidRPr="00B03B51">
        <w:rPr>
          <w:rFonts w:ascii="Times New Roman" w:hAnsi="Times New Roman" w:cs="Times New Roman"/>
          <w:sz w:val="24"/>
        </w:rPr>
        <w:t>ja ilgtermiņa līgumi paredz identisku ražojumu (vai “principā” identisku ražojumu, kā tas ir lidaparātu “standartu” gadījumā) piegādi ilgā laika posmā, valdības izdevumus ieraksta katras vienības faktiskās piegādes brīdī;</w:t>
      </w:r>
    </w:p>
    <w:p w14:paraId="20FCFE4B" w14:textId="77777777" w:rsidR="00994F93" w:rsidRPr="00B03B51" w:rsidRDefault="00994F93" w:rsidP="00E761B2">
      <w:pPr>
        <w:pStyle w:val="BodyText"/>
        <w:numPr>
          <w:ilvl w:val="1"/>
          <w:numId w:val="10"/>
        </w:numPr>
        <w:spacing w:before="0"/>
        <w:ind w:left="426" w:hanging="425"/>
        <w:jc w:val="both"/>
        <w:rPr>
          <w:rFonts w:ascii="Times New Roman" w:hAnsi="Times New Roman" w:cs="Times New Roman"/>
          <w:noProof/>
          <w:sz w:val="24"/>
        </w:rPr>
      </w:pPr>
      <w:r w:rsidRPr="00B03B51">
        <w:rPr>
          <w:rFonts w:ascii="Times New Roman" w:hAnsi="Times New Roman" w:cs="Times New Roman"/>
          <w:sz w:val="24"/>
        </w:rPr>
        <w:t>ja ilgtermiņa līgumi paredz arī pakalpojumu sniegšanu ilgā laika posmā (piemēram, tehnisko apkopi vai tehnisko uzraudzību), valdības izdevumi jāieraksta pakalpojumu sniegšanas laikā; standarta analītiskās uzskaites paņēmieni ļauj sadalīt izdevumus starp precēm un pakalpojumiem, kas tiek attiecīgi piegādātas un sniegtas saskaņā ar līgumiem;</w:t>
      </w:r>
    </w:p>
    <w:p w14:paraId="24B45512" w14:textId="77777777" w:rsidR="00994F93" w:rsidRPr="00B03B51" w:rsidRDefault="00994F93" w:rsidP="00E761B2">
      <w:pPr>
        <w:pStyle w:val="BodyText"/>
        <w:numPr>
          <w:ilvl w:val="1"/>
          <w:numId w:val="10"/>
        </w:numPr>
        <w:spacing w:before="0"/>
        <w:ind w:left="426" w:hanging="425"/>
        <w:jc w:val="both"/>
        <w:rPr>
          <w:rFonts w:ascii="Times New Roman" w:hAnsi="Times New Roman" w:cs="Times New Roman"/>
          <w:noProof/>
          <w:sz w:val="24"/>
        </w:rPr>
      </w:pPr>
      <w:r w:rsidRPr="00B03B51">
        <w:rPr>
          <w:rFonts w:ascii="Times New Roman" w:hAnsi="Times New Roman" w:cs="Times New Roman"/>
          <w:sz w:val="24"/>
        </w:rPr>
        <w:t>ja ilgtermiņa līgumos paredzēta kompleksu sistēmu piegāde, valdības izdevumus ieraksta tad, kad tiek piegādāts katrs atsevišķais sistēmu veidojošais aprīkojuma elements (kas ir arī gatavs ekspluatācijai, proti, atsevišķais aprīkojuma elements atbilst visiem nepieciešamajiem tehniskajiem datiem, lai tas būtu pilnīgi darbspējīgs, tiklīdz tas tiks savienots ar citiem kompleksas sistēmas elementiem), nevis tad, kad ir piegādātas visas līgumā paredzētās daļas. Piemērs ir kuģis, kura korpusu un dzinējus nodrošina kuģu būvētava, bet specifiskāku militāro aprīkojumu – citi specializēti piegādātāji (iespējams, citā piegādes vietā).</w:t>
      </w:r>
    </w:p>
    <w:p w14:paraId="35305481" w14:textId="77777777" w:rsidR="00994F93" w:rsidRPr="00B03B51" w:rsidRDefault="00994F93" w:rsidP="00E761B2">
      <w:pPr>
        <w:pStyle w:val="BodyText"/>
        <w:numPr>
          <w:ilvl w:val="1"/>
          <w:numId w:val="10"/>
        </w:numPr>
        <w:spacing w:before="0"/>
        <w:ind w:left="426" w:hanging="425"/>
        <w:jc w:val="both"/>
        <w:rPr>
          <w:rFonts w:ascii="Times New Roman" w:hAnsi="Times New Roman" w:cs="Times New Roman"/>
          <w:noProof/>
          <w:sz w:val="24"/>
        </w:rPr>
      </w:pPr>
      <w:r w:rsidRPr="00B03B51">
        <w:rPr>
          <w:rFonts w:ascii="Times New Roman" w:hAnsi="Times New Roman" w:cs="Times New Roman"/>
          <w:sz w:val="24"/>
        </w:rPr>
        <w:t>ja rezerves daļas tehniskās apkopes un remonta vajadzībām tiek piegādātas vienlaikus ar aprīkojumu, tās tiek ierakstītas tajā pašā laikā kā galvenā bruto pamatkapitāla veidošana. Ja rezerves daļas ir paredzētas identificējamā tehniskās apkopes līgumā, tās ieraksta tad, kad tās tiek atsevišķi piegādātas bruņotajiem spēkiem. Var gadīties, ka globālā ilgtermiņa līgumā var nebūt sīkas informācijas par šo rezerves daļu precīzu piegādes laiku, kurām faktiskā summa var atšķirties katrā piegādē. Šādā gadījumā rezerves daļu piegādi var arī ierakstīt pēc tādas pašas shēmas, kā tiek ierakstīts galvenais piegādājamais militārais aprīkojums.</w:t>
      </w:r>
    </w:p>
    <w:p w14:paraId="1A269ED9" w14:textId="77777777" w:rsidR="00994F93" w:rsidRPr="00B03B51" w:rsidRDefault="00994F93" w:rsidP="00994F93">
      <w:pPr>
        <w:jc w:val="both"/>
        <w:rPr>
          <w:rFonts w:ascii="Times New Roman" w:eastAsia="Arial" w:hAnsi="Times New Roman" w:cs="Times New Roman"/>
          <w:noProof/>
          <w:sz w:val="24"/>
          <w:szCs w:val="15"/>
        </w:rPr>
      </w:pPr>
    </w:p>
    <w:p w14:paraId="56A8B755" w14:textId="77777777" w:rsidR="00994F93" w:rsidRPr="00B03B51" w:rsidRDefault="00994F93" w:rsidP="00994F93">
      <w:pPr>
        <w:pStyle w:val="Heading6"/>
        <w:tabs>
          <w:tab w:val="left" w:pos="1267"/>
        </w:tabs>
        <w:ind w:left="0" w:firstLine="0"/>
        <w:jc w:val="both"/>
        <w:rPr>
          <w:rFonts w:ascii="Times New Roman" w:hAnsi="Times New Roman" w:cs="Times New Roman"/>
          <w:noProof/>
          <w:sz w:val="24"/>
        </w:rPr>
      </w:pPr>
      <w:bookmarkStart w:id="158" w:name="2.5.2.4_Military_equipment_built_over_ma"/>
      <w:bookmarkEnd w:id="158"/>
      <w:r w:rsidRPr="00B03B51">
        <w:rPr>
          <w:rFonts w:ascii="Times New Roman" w:hAnsi="Times New Roman" w:cs="Times New Roman"/>
          <w:sz w:val="24"/>
        </w:rPr>
        <w:t>2.5.2.4. MILITĀRAIS APRĪKOJUMS, KURA BŪVNIECĪBA NORIS DAUDZUS GADUS</w:t>
      </w:r>
    </w:p>
    <w:p w14:paraId="218E232E"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64E85361"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11. Militāros aktīvus, kuru būvniecība noris daudzus gadus, piemēram, lielos kuģus vai zemūdenes, traktē kā pamatlīdzekļus. Šajā saistībā nav iemesla piemērot īpašus noteikumus, kas atšķirtos no EKS 2010 noteikumiem attiecībā uz pamatlīdzekļiem. EKS 2010 vispārīgais noteikums attiecībā uz pamatlīdzekļu būvniecību paredz to, ka nepabeigtas preces ir daļa no darba procesa, kas tiek ierakstīts ražotāja krājumos un ko samazina, kad ražošanas process ir pabeigts un ekonomiskās īpašumtiesības nodotas klientiem (skat. EKS 2010 3.148. punktu).</w:t>
      </w:r>
    </w:p>
    <w:p w14:paraId="3FD3AEDE"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36E85370"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 xml:space="preserve">12. Izņēmums ir “nepabeigtās struktūras” (ēkas un citi nekustamie aktīvi, kas nav mājokļi), kas iegūtas, pamatojoties uz iepriekš noslēgtu pārdošanas līgumu. Tās ir jātraktē kā pircēja bruto pamatkapitāla veidošana. Pamatojums šādam risinājumam ir tas, ka pircējs ir apņēmies pārņemt struktūru ar nosacījumu, ka tā atbilst prasītajai specifikācijai. Šajā gadījumā tiek pieņemts, ka īpašumtiesības tiek nodotas pakāpeniski. Praksē bruto pamatkapitāla veidošana tiktu ierakstīta atbilstīgi starpposma maksājumiem, vai, ja tādu nav, tad atbilstīgi citiem rādītājiem, piemēram, atbilstīgi izmaksām, kuras radušās būvētājam attiecīgajā gadā. Pamatojums ir tas, ka pastāv </w:t>
      </w:r>
      <w:r w:rsidRPr="00B03B51">
        <w:rPr>
          <w:rFonts w:ascii="Times New Roman" w:hAnsi="Times New Roman" w:cs="Times New Roman"/>
          <w:sz w:val="24"/>
        </w:rPr>
        <w:lastRenderedPageBreak/>
        <w:t>augsta varbūtība, ka pasūtītāja vienība iegādāsies šo struktūru.</w:t>
      </w:r>
    </w:p>
    <w:p w14:paraId="09D5D2E5"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6B08618C"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szCs w:val="12"/>
        </w:rPr>
      </w:pPr>
      <w:r w:rsidRPr="00B03B51">
        <w:rPr>
          <w:rFonts w:ascii="Times New Roman" w:hAnsi="Times New Roman" w:cs="Times New Roman"/>
          <w:sz w:val="24"/>
        </w:rPr>
        <w:t>13. Iepriekš minētais noteikums netiek piemērots attiecībā uz “nepabeigtiem citiem pamatlīdzekļiem”. EKS 2010 3.148. punktā kā piemērs ir minēti kuģi. Līdz ar to tas neparedz nekādu izņēmumu attiecībā uz militāro aprīkojumu, kas ierakstīts kā aktīvi. Šajā gadījumā nepabeigtie produkti tiek ierakstīti tā ražotāja krājumos līdz brīdim, kad tie tiek nodoti pircējam. Šādos apstākļos militārais aprīkojums tiktu ierakstīts īpašumtiesību nodošanas laikā, pamatojoties uz piegādi, tāpat kā jebkurš cits pamatlīdzeklis, attiecībā uz kuru netiek piemērots izņēmums.</w:t>
      </w:r>
      <w:r w:rsidRPr="00B03B51">
        <w:rPr>
          <w:rStyle w:val="FootnoteReference"/>
          <w:rFonts w:ascii="Times New Roman" w:hAnsi="Times New Roman" w:cs="Times New Roman"/>
          <w:noProof/>
          <w:sz w:val="24"/>
        </w:rPr>
        <w:footnoteReference w:id="134"/>
      </w:r>
    </w:p>
    <w:p w14:paraId="3B932734" w14:textId="77777777" w:rsidR="00994F93" w:rsidRPr="00453D55" w:rsidRDefault="00994F93" w:rsidP="00453D55">
      <w:pPr>
        <w:rPr>
          <w:rFonts w:ascii="Times New Roman" w:hAnsi="Times New Roman" w:cs="Times New Roman"/>
          <w:noProof/>
          <w:sz w:val="24"/>
          <w:szCs w:val="24"/>
        </w:rPr>
      </w:pPr>
      <w:bookmarkStart w:id="159" w:name="2.5.2.5_The_treatment_of_leases_relating"/>
      <w:bookmarkEnd w:id="159"/>
    </w:p>
    <w:p w14:paraId="1753CCBC" w14:textId="77777777" w:rsidR="00994F93" w:rsidRPr="00B03B51" w:rsidRDefault="00994F93" w:rsidP="00994F93">
      <w:pPr>
        <w:pStyle w:val="Heading6"/>
        <w:tabs>
          <w:tab w:val="left" w:pos="1267"/>
        </w:tabs>
        <w:ind w:left="0" w:firstLine="0"/>
        <w:jc w:val="both"/>
        <w:rPr>
          <w:rFonts w:ascii="Times New Roman" w:hAnsi="Times New Roman" w:cs="Times New Roman"/>
          <w:noProof/>
          <w:sz w:val="24"/>
        </w:rPr>
      </w:pPr>
      <w:r w:rsidRPr="00B03B51">
        <w:rPr>
          <w:rFonts w:ascii="Times New Roman" w:hAnsi="Times New Roman" w:cs="Times New Roman"/>
          <w:sz w:val="24"/>
        </w:rPr>
        <w:t>2.5.2.5. MILITĀRĀ APRĪKOJUMA NOMAS TRAKTĒJUMS</w:t>
      </w:r>
    </w:p>
    <w:p w14:paraId="04E20FC8"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6F842A12"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14. Daži militārā aprīkojuma ražotāji (dažkārt pēc valdības ierosmes) piedāvā līgumus, ar kuriem aprīkojums tiek iznomāts. Dažās ES dalībvalstīs šāda prakse tiek piemērota attiecībā uz iznīcinātājiem. Rodas jautājums, vai nacionālajos kontos šāda noma jāuzskata par finanšu nomu vai operatīvo nomu.</w:t>
      </w:r>
    </w:p>
    <w:p w14:paraId="3C4EDA24"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38137C9B"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15. Uzskatāms, ka militārā aprīkojuma noma ir finanšu noma, un tāpēc tā jāieraksta kā aprīkojuma ekonomiskā iegāde, ko veic valdība (kā nomnieks), uzņemoties atbilstošas saistības pret iznomātāju atbilstīgi tam, kā noteikts EKS 2010 20.192. punktā.</w:t>
      </w:r>
    </w:p>
    <w:p w14:paraId="5EA024DE"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40B33B54"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16. Līdz ar to valdības neto aizdevums/aizņēmums (B.9) tiek ietekmēts brīdī, kad preces nodod militāro iestāžu rīcībā saskaņā ar turpmāk aprakstītajiem nosacījumiem, nevis ar nomu saistīto maksājumu veikšanas brīdī. Tā kā atbilstošās saistības ir nosacītais aizdevums, tad tajā pašā brīdī tiek ietekmēts arī valdības parāds. Tiek uzskatīts, ka maksājumi tiek veikti par parāda apkalpošanu un nosacītā aizdevuma sadalīšanu procentos un pamatsummas maksājumos.</w:t>
      </w:r>
    </w:p>
    <w:p w14:paraId="36F7E7D3"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5F85491D"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17. Daži nomas līgumi attiecas uz civilo aprīkojumu, ko var izmantot arī militāro darbību atbalstam, iespējams, ātri pievienojot vieglus tehniskos instrumentus. Piemēri ir liduzpildes gaisa kuģi un gaisa kravas. Bieži vien tos nav iespējams nošķirt no līdzīgajiem aktīviem, kurus izmanto civilās vienības. Tos var traktēt kā operatīvo nomu tikai tad, ja ir pierādījumi, kas apliecina to, ka aprīkojums lielākoties tiks izmantots vienīgi civilām vajadzībām. Tomēr, ja iekārtu pastāvīgi izmanto vienīgi militārie spēki, tā ir jāieraksta kā finanšu noma. Piemēram, ja noteikts flotes vienību daudzums pastāvīgi atrodas vienīgi bruņoto spēku rīcībā (kas tās pilnīgi izmanto pēc saviem ieskatiem) un tās skar apdraudējums, kad, piemēram, tās tiek izmantotas galvenokārt militārajās misijās (iznīcinātāju liduzpilde, karaspēka transportēšana uz karadarbības zonām). Šis noteikums attiecas arī uz transportlīdzekļiem un sakaru iekārtām (tostarp satelītiem), kuras var izmantot civiliem mērķiem.</w:t>
      </w:r>
    </w:p>
    <w:p w14:paraId="1752D7F9" w14:textId="77777777" w:rsidR="00994F93" w:rsidRPr="00B03B51" w:rsidRDefault="00994F93" w:rsidP="00994F93">
      <w:pPr>
        <w:jc w:val="both"/>
        <w:rPr>
          <w:rFonts w:ascii="Times New Roman" w:eastAsia="Arial" w:hAnsi="Times New Roman" w:cs="Times New Roman"/>
          <w:noProof/>
          <w:sz w:val="24"/>
          <w:szCs w:val="15"/>
        </w:rPr>
      </w:pPr>
    </w:p>
    <w:p w14:paraId="6034174A" w14:textId="77777777" w:rsidR="00994F93" w:rsidRPr="00B03B51" w:rsidRDefault="00994F93" w:rsidP="00994F93">
      <w:pPr>
        <w:pStyle w:val="Heading6"/>
        <w:tabs>
          <w:tab w:val="left" w:pos="1267"/>
        </w:tabs>
        <w:ind w:left="0" w:firstLine="0"/>
        <w:jc w:val="both"/>
        <w:rPr>
          <w:rFonts w:ascii="Times New Roman" w:hAnsi="Times New Roman" w:cs="Times New Roman"/>
          <w:noProof/>
          <w:sz w:val="24"/>
        </w:rPr>
      </w:pPr>
      <w:bookmarkStart w:id="160" w:name="2.5.2.6_Recording_of_military_research_a"/>
      <w:bookmarkEnd w:id="160"/>
      <w:r w:rsidRPr="00B03B51">
        <w:rPr>
          <w:rFonts w:ascii="Times New Roman" w:hAnsi="Times New Roman" w:cs="Times New Roman"/>
          <w:sz w:val="24"/>
        </w:rPr>
        <w:t>2.5.2.6. MILITĀRĀS PĒTNIECĪBAS UN IZSTRĀDES IERAKSTĪŠANA</w:t>
      </w:r>
    </w:p>
    <w:p w14:paraId="496E55B0" w14:textId="77777777" w:rsidR="00994F93" w:rsidRPr="00B03B51" w:rsidRDefault="00994F93" w:rsidP="00994F93">
      <w:pPr>
        <w:tabs>
          <w:tab w:val="left" w:pos="843"/>
        </w:tabs>
        <w:jc w:val="both"/>
        <w:rPr>
          <w:rFonts w:ascii="Times New Roman" w:eastAsia="Arial" w:hAnsi="Times New Roman" w:cs="Times New Roman"/>
          <w:noProof/>
          <w:sz w:val="24"/>
          <w:szCs w:val="19"/>
        </w:rPr>
      </w:pPr>
    </w:p>
    <w:p w14:paraId="28DA18AE" w14:textId="77777777" w:rsidR="00994F93" w:rsidRPr="00B03B51" w:rsidRDefault="00994F93" w:rsidP="00994F93">
      <w:pPr>
        <w:tabs>
          <w:tab w:val="left" w:pos="843"/>
        </w:tabs>
        <w:jc w:val="both"/>
        <w:rPr>
          <w:rFonts w:ascii="Times New Roman" w:eastAsia="Arial" w:hAnsi="Times New Roman" w:cs="Times New Roman"/>
          <w:noProof/>
          <w:sz w:val="24"/>
          <w:szCs w:val="19"/>
        </w:rPr>
      </w:pPr>
      <w:r w:rsidRPr="00B03B51">
        <w:rPr>
          <w:rFonts w:ascii="Times New Roman" w:hAnsi="Times New Roman" w:cs="Times New Roman"/>
          <w:sz w:val="24"/>
          <w:szCs w:val="19"/>
        </w:rPr>
        <w:t xml:space="preserve">18. EKS 2010 ir veikti būtiski grozījumi salīdzinājumā ar iepriekšējām redakcijām attiecībā uz pētniecību un izstrādi (P&amp;I). EKS 2010 3.127. punktā ir norādīts, ka P&amp;I ir bruto pamatkapitāla veidošana, </w:t>
      </w:r>
      <w:r w:rsidRPr="00B03B51">
        <w:rPr>
          <w:rFonts w:ascii="Times New Roman" w:hAnsi="Times New Roman" w:cs="Times New Roman"/>
          <w:i/>
          <w:iCs/>
          <w:sz w:val="24"/>
          <w:szCs w:val="19"/>
        </w:rPr>
        <w:t>(..) ieskaitot brīvi pieejamo pētniecību un izstrādi</w:t>
      </w:r>
      <w:r w:rsidRPr="00B03B51">
        <w:rPr>
          <w:rFonts w:ascii="Times New Roman" w:hAnsi="Times New Roman" w:cs="Times New Roman"/>
          <w:sz w:val="24"/>
          <w:szCs w:val="19"/>
        </w:rPr>
        <w:t xml:space="preserve">. Tomēr EKS 2010 (7. nodaļā un </w:t>
      </w:r>
      <w:r w:rsidRPr="00B03B51">
        <w:rPr>
          <w:rFonts w:ascii="Times New Roman" w:hAnsi="Times New Roman" w:cs="Times New Roman"/>
          <w:sz w:val="24"/>
          <w:szCs w:val="19"/>
        </w:rPr>
        <w:lastRenderedPageBreak/>
        <w:t xml:space="preserve">7.1. pielikumā) ir norādīts, ka: </w:t>
      </w:r>
      <w:r w:rsidRPr="00B03B51">
        <w:rPr>
          <w:rFonts w:ascii="Times New Roman" w:hAnsi="Times New Roman" w:cs="Times New Roman"/>
          <w:i/>
          <w:iCs/>
          <w:sz w:val="24"/>
          <w:szCs w:val="19"/>
        </w:rPr>
        <w:t>Pētniecību un izstrādi, no kā īpašnieks negūst labumu, neklasificē kā aktīvu, bet ieraksta kā starppatēriņu</w:t>
      </w:r>
      <w:r w:rsidRPr="00B03B51">
        <w:rPr>
          <w:rFonts w:ascii="Times New Roman" w:hAnsi="Times New Roman" w:cs="Times New Roman"/>
          <w:sz w:val="24"/>
          <w:szCs w:val="19"/>
        </w:rPr>
        <w:t>. Tāpēc jautājums ir par to, vai valdība gūst labumu no pētniecības un izstrādes izdevumiem, ko tā veic militārajām vajadzībām. Tas tā varētu būt saistībā ar “novatoriska” aprīkojuma vai ieroču sistēmu pētniecību un izstrādi, jo īpaši programmas sākuma posmos, kas pēc tam var tikt apturēta. Katrs šāds gadījums ir jāanalizē atsevišķi.</w:t>
      </w:r>
    </w:p>
    <w:p w14:paraId="51F19996"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3C9DE92F"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19. Ja P&amp;I tiek īstenota neatkarīgi no gala produkta vai to nav paredzēts atlīdzināt gadījumā, ja netiek iegūti “apmierinoši rezultāti” un tā faktiski nav saistīta ar kādu īpašu piegādājamu militāru aprīkojumu, atbilstīgos izdevumus ieraksta, kad tiek īstenots pētniecības un izstrādes darbs.</w:t>
      </w:r>
      <w:r w:rsidRPr="00B03B51">
        <w:rPr>
          <w:rStyle w:val="FootnoteReference"/>
          <w:rFonts w:ascii="Times New Roman" w:hAnsi="Times New Roman" w:cs="Times New Roman"/>
          <w:noProof/>
          <w:sz w:val="24"/>
        </w:rPr>
        <w:footnoteReference w:id="135"/>
      </w:r>
      <w:r w:rsidRPr="00B03B51">
        <w:rPr>
          <w:rFonts w:ascii="Times New Roman" w:hAnsi="Times New Roman" w:cs="Times New Roman"/>
          <w:sz w:val="24"/>
        </w:rPr>
        <w:t xml:space="preserve"> Kas attiecas uz ierakstīšanu bruto ieguldījumos pamatkapitālā, jānošķir vairāki gadījumi.</w:t>
      </w:r>
    </w:p>
    <w:p w14:paraId="110773D0"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65F2ADD4"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20. Ja P&amp;I izdevumi nav saistīti ar iekārtas ražošanu</w:t>
      </w:r>
      <w:r w:rsidRPr="00B03B51">
        <w:rPr>
          <w:rStyle w:val="FootnoteReference"/>
          <w:rFonts w:ascii="Times New Roman" w:hAnsi="Times New Roman" w:cs="Times New Roman"/>
          <w:noProof/>
          <w:sz w:val="24"/>
        </w:rPr>
        <w:footnoteReference w:id="136"/>
      </w:r>
      <w:r w:rsidRPr="00B03B51">
        <w:rPr>
          <w:rFonts w:ascii="Times New Roman" w:hAnsi="Times New Roman" w:cs="Times New Roman"/>
          <w:sz w:val="24"/>
        </w:rPr>
        <w:t>, vismaz ne šajā pētniecības posmā:</w:t>
      </w:r>
    </w:p>
    <w:p w14:paraId="2A0391DB"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65FF515A" w14:textId="77777777" w:rsidR="00994F93" w:rsidRPr="00B03B51" w:rsidRDefault="00994F93" w:rsidP="00E761B2">
      <w:pPr>
        <w:pStyle w:val="BodyText"/>
        <w:numPr>
          <w:ilvl w:val="1"/>
          <w:numId w:val="10"/>
        </w:numPr>
        <w:spacing w:before="0"/>
        <w:ind w:left="426" w:hanging="425"/>
        <w:jc w:val="both"/>
        <w:rPr>
          <w:rFonts w:ascii="Times New Roman" w:hAnsi="Times New Roman" w:cs="Times New Roman"/>
          <w:noProof/>
          <w:sz w:val="24"/>
        </w:rPr>
      </w:pPr>
      <w:r w:rsidRPr="00B03B51">
        <w:rPr>
          <w:rFonts w:ascii="Times New Roman" w:hAnsi="Times New Roman" w:cs="Times New Roman"/>
          <w:sz w:val="24"/>
        </w:rPr>
        <w:t>vai nu pastāv pierādījumi tam, ka labumu “piesavinājusies” valdība (kas, iespējams, ir vienīgā labuma guvēja no pētniecības rezultātiem), vai ka šie rezultāti “altruistiski” darīti brīvi pieejami jebkurai citai vienībai (kas ir maz ticams gadījumā, ja P&amp;I pasākums ir ar augstu konfidencialitātes pakāpi); uzskata, ka izdevumi ir bruto pamatkapitāla veidošana intelektuālā īpašuma produktos (AN.117), un to ieraksta laikā, kad tiek veikts maksājums;</w:t>
      </w:r>
    </w:p>
    <w:p w14:paraId="0EE0DEE3" w14:textId="77777777" w:rsidR="00994F93" w:rsidRPr="00B03B51" w:rsidRDefault="00994F93" w:rsidP="00E761B2">
      <w:pPr>
        <w:pStyle w:val="BodyText"/>
        <w:numPr>
          <w:ilvl w:val="1"/>
          <w:numId w:val="10"/>
        </w:numPr>
        <w:spacing w:before="0"/>
        <w:ind w:left="426" w:hanging="425"/>
        <w:jc w:val="both"/>
        <w:rPr>
          <w:rFonts w:ascii="Times New Roman" w:hAnsi="Times New Roman" w:cs="Times New Roman"/>
          <w:noProof/>
          <w:sz w:val="24"/>
        </w:rPr>
      </w:pPr>
      <w:r w:rsidRPr="00B03B51">
        <w:rPr>
          <w:rFonts w:ascii="Times New Roman" w:hAnsi="Times New Roman" w:cs="Times New Roman"/>
          <w:sz w:val="24"/>
        </w:rPr>
        <w:t>vai arī iespējamo labumu no valdības finansētas P&amp;I pilnīgi un ekskluzīvi pārņem vienība, kas uzņēmusies šo P&amp;I (iespējamo “blakusproduktu” veidā saistībā ar citiem saviem produktiem vai ar patentu starpniecību); tā kā maksājošā valdība labumu negūst, izdevumi valdības kontos jāieraksta kā ieguldījumu dotācija (D.92), jo rezultātā intelektuālā īpašuma produktus (AN.117) maksājuma veikšanas brīdī iegūst vienība, kas uzņēmusies P&amp;I.</w:t>
      </w:r>
    </w:p>
    <w:p w14:paraId="63D3613C"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3F463288"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21. Citos gadījumos visi P&amp;I izdevumi vai to daļa (skaidri identificēta) ir cieši saistīta ar līgumu, kas paredz noteikta identisku militārā aprīkojuma vienību daudzuma ražošanu, pamatojoties uz militārā aprīkojuma galīgo pasūtījumu (pat ja tas, iespējams, ir pārskatīts). Šajā gadījumā atbilstošie izdevumi ir jāattiecina uz piegādājamajiem aktīviem un jāieraksta vēlāk. Ja valdība par P&amp;I maksā citā laikā, nevis iekārtas piegādes brīdī, šī starpība ir jāuzskaita kā aizdevums (AF.42) ilgtermiņa līgumu gadījumā vai kā tirdzniecības kredīti un avansi (AF.81) īstermiņa līgumu gadījumā.</w:t>
      </w:r>
      <w:r w:rsidRPr="00B03B51">
        <w:rPr>
          <w:rStyle w:val="FootnoteReference"/>
          <w:rFonts w:ascii="Times New Roman" w:hAnsi="Times New Roman" w:cs="Times New Roman"/>
          <w:noProof/>
          <w:sz w:val="24"/>
        </w:rPr>
        <w:footnoteReference w:id="137"/>
      </w:r>
      <w:r w:rsidRPr="00B03B51">
        <w:rPr>
          <w:rFonts w:ascii="Times New Roman" w:hAnsi="Times New Roman" w:cs="Times New Roman"/>
          <w:sz w:val="24"/>
        </w:rPr>
        <w:t xml:space="preserve"> Katras atsevišķas aprīkojuma vienības piegādes laikā atbilstoša AF.42/AF.81 daļa tiek pārnesta uz valdības iegūtā ieroču sistēmu aktīva (AN.114) vērtību.</w:t>
      </w:r>
      <w:r w:rsidRPr="00B03B51">
        <w:rPr>
          <w:rStyle w:val="FootnoteReference"/>
          <w:rFonts w:ascii="Times New Roman" w:hAnsi="Times New Roman" w:cs="Times New Roman"/>
          <w:noProof/>
          <w:sz w:val="24"/>
        </w:rPr>
        <w:footnoteReference w:id="138"/>
      </w:r>
    </w:p>
    <w:p w14:paraId="030D6F4A"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3573223B"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22. Ja sākotnējā līgumā tika noteikts, ka kāda šo P&amp;I izdevumu daļa netiks iekļauta līgumu rūpniecības posmā piegādājamo atsevišķo vienību cenās, šī daļa jāieraksta kā bruto pamatkapitāla veidošana intelektuālā īpašuma produktos (AN.117).</w:t>
      </w:r>
    </w:p>
    <w:p w14:paraId="1CF4FBB1"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7D688000"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23. Var gadīties, ka P&amp;I faktiski ir saistīta ar turpmākā militārā aprīkojuma nodrošināšanu, taču attiecas uz vairākiem dažādiem projektiem, kas nav atsevišķi identificēti publiskajos kontos, tādējādi nav iespējams izveidot tiešu saikni starp militāro ražojumu piegādēm un attiecīgo P&amp;I. Šajā gadījumā P&amp;I izdevumus varētu ierakstīt kā bruto pamatkapitāla veidošanu pēc uzkrājuma principa.</w:t>
      </w:r>
    </w:p>
    <w:p w14:paraId="2D0383E0" w14:textId="77777777" w:rsidR="00994F93" w:rsidRPr="00B03B51" w:rsidRDefault="00994F93" w:rsidP="00994F93">
      <w:pPr>
        <w:jc w:val="both"/>
        <w:rPr>
          <w:rFonts w:ascii="Times New Roman" w:eastAsia="Arial" w:hAnsi="Times New Roman" w:cs="Times New Roman"/>
          <w:noProof/>
          <w:sz w:val="24"/>
          <w:szCs w:val="19"/>
        </w:rPr>
      </w:pPr>
    </w:p>
    <w:p w14:paraId="7AE6F639" w14:textId="445E0DA8" w:rsidR="00994F93" w:rsidRPr="00B03B51" w:rsidRDefault="00453D55" w:rsidP="00994F93">
      <w:pPr>
        <w:pStyle w:val="Heading3"/>
        <w:tabs>
          <w:tab w:val="left" w:pos="1267"/>
        </w:tabs>
        <w:ind w:left="0" w:firstLine="0"/>
        <w:jc w:val="both"/>
        <w:rPr>
          <w:rFonts w:ascii="Times New Roman" w:hAnsi="Times New Roman" w:cs="Times New Roman"/>
          <w:noProof/>
          <w:sz w:val="24"/>
        </w:rPr>
      </w:pPr>
      <w:bookmarkStart w:id="161" w:name="2.5.3_Rationale_of_the_treatment"/>
      <w:bookmarkStart w:id="162" w:name="_Toc67565071"/>
      <w:bookmarkEnd w:id="161"/>
      <w:r>
        <w:rPr>
          <w:rFonts w:ascii="Times New Roman" w:hAnsi="Times New Roman" w:cs="Times New Roman"/>
          <w:sz w:val="24"/>
        </w:rPr>
        <w:t>2</w:t>
      </w:r>
      <w:r w:rsidR="00994F93" w:rsidRPr="00B03B51">
        <w:rPr>
          <w:rFonts w:ascii="Times New Roman" w:hAnsi="Times New Roman" w:cs="Times New Roman"/>
          <w:sz w:val="24"/>
        </w:rPr>
        <w:t>.5.</w:t>
      </w:r>
      <w:r>
        <w:rPr>
          <w:rFonts w:ascii="Times New Roman" w:hAnsi="Times New Roman" w:cs="Times New Roman"/>
          <w:sz w:val="24"/>
        </w:rPr>
        <w:t>3</w:t>
      </w:r>
      <w:r w:rsidR="00994F93" w:rsidRPr="00B03B51">
        <w:rPr>
          <w:rFonts w:ascii="Times New Roman" w:hAnsi="Times New Roman" w:cs="Times New Roman"/>
          <w:sz w:val="24"/>
        </w:rPr>
        <w:t>. Traktējuma pamatojums</w:t>
      </w:r>
      <w:bookmarkEnd w:id="162"/>
    </w:p>
    <w:p w14:paraId="0980DE59" w14:textId="77777777" w:rsidR="00994F93" w:rsidRPr="00453D55" w:rsidRDefault="00994F93" w:rsidP="00453D55">
      <w:pPr>
        <w:rPr>
          <w:rFonts w:ascii="Times New Roman" w:hAnsi="Times New Roman" w:cs="Times New Roman"/>
          <w:noProof/>
          <w:sz w:val="24"/>
          <w:szCs w:val="24"/>
        </w:rPr>
      </w:pPr>
      <w:bookmarkStart w:id="163" w:name="2.5.3.1_The_time_of_recording_of_militar"/>
      <w:bookmarkEnd w:id="163"/>
    </w:p>
    <w:p w14:paraId="2FDEB6B4" w14:textId="77777777" w:rsidR="00994F93" w:rsidRPr="00B03B51" w:rsidRDefault="00994F93" w:rsidP="00994F93">
      <w:pPr>
        <w:pStyle w:val="Heading6"/>
        <w:tabs>
          <w:tab w:val="left" w:pos="1267"/>
          <w:tab w:val="left" w:pos="1914"/>
          <w:tab w:val="left" w:pos="2645"/>
          <w:tab w:val="left" w:pos="3158"/>
          <w:tab w:val="left" w:pos="4711"/>
          <w:tab w:val="left" w:pos="5224"/>
          <w:tab w:val="left" w:pos="6467"/>
          <w:tab w:val="left" w:pos="7983"/>
        </w:tabs>
        <w:ind w:left="0" w:firstLine="0"/>
        <w:jc w:val="both"/>
        <w:rPr>
          <w:rFonts w:ascii="Times New Roman" w:hAnsi="Times New Roman" w:cs="Times New Roman"/>
          <w:noProof/>
          <w:sz w:val="24"/>
        </w:rPr>
      </w:pPr>
      <w:r w:rsidRPr="00B03B51">
        <w:rPr>
          <w:rFonts w:ascii="Times New Roman" w:hAnsi="Times New Roman" w:cs="Times New Roman"/>
          <w:sz w:val="24"/>
        </w:rPr>
        <w:t>2.5.3.1. IZDEVUMU MILITĀRAJAM APRĪKOJUMAM IERAKSTĪŠANAS LAIKS: VISPĀRĪGS NOTEIKUMS</w:t>
      </w:r>
    </w:p>
    <w:p w14:paraId="0E13DDFA"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2B377758"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24. Principā nacionālajos kontos pieņem, ka preču iegādes ierakstīšanas laiks ir laiks, kad notikusi ekonomisko īpašumtiesību maiņa. Saistībā ar militārā aprīkojuma ilgtermiņa līgumiem ir iespējami vairāki notikumi, kas var atbilst īpašumtiesību maiņai, piemēram, līguma parakstīšanas laiks (ņemot vērā augsto varbūtību, ka valdība visbeidzot pieņems aprīkojuma piegādi vai vismaz nodrošinās finansējumu atbilstīgo pētniecības un izstrādes izmaksu segšanai), norādītais piegādes laiks, skaidras naudas maksājuma veikšanas laiks vai laiks, kad izpildītas līguma saistības (kad par aprīkojumu atbildību uzņemas bruņotie spēki).</w:t>
      </w:r>
    </w:p>
    <w:p w14:paraId="09EA354D"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790B85A3"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 xml:space="preserve">25. Dažos atsevišķos gadījumos EKS 2010 paredz, ka izdevumus ieraksta pirms preču piegādes pabeigšanas, piemēram, attiecībā uz būvniecības projektiem saskaņā ar iepriekš saskaņotu pārdošanas līgumu, kā arī būvniecībā, kas tiek veikta par pašu līdzekļiem. Attiecībā uz “Mašīnām un iekārtām” (AN.113) ierakstīšanas laiks ir īpašumtiesību maiņas laiks, kas ekonomiskā izpratnē ir piegāde (var atšķirties no “fiziskās piegādes” laika), un ietver arī tos gadījumus, kad produkcija tiek sadalīta pa vairākiem uzskaites periodiem. Tas, ka militārais aprīkojums saskaņā ar definīciju ir aktīvu kategorija </w:t>
      </w:r>
      <w:r w:rsidRPr="00B03B51">
        <w:rPr>
          <w:rFonts w:ascii="Times New Roman" w:hAnsi="Times New Roman" w:cs="Times New Roman"/>
          <w:i/>
          <w:iCs/>
          <w:sz w:val="24"/>
        </w:rPr>
        <w:t>sui generis</w:t>
      </w:r>
      <w:r w:rsidRPr="00B03B51">
        <w:rPr>
          <w:rFonts w:ascii="Times New Roman" w:hAnsi="Times New Roman" w:cs="Times New Roman"/>
          <w:sz w:val="24"/>
        </w:rPr>
        <w:t>, kas klasificēta kā ieroču sistēmas (AN.114), ar augstu specifiku, un pārliecība par to, ka pasūtītāja valdības vienība faktiski pārņems šo aprīkojumu, nozīmē, ka izstrādes procesā esošo aprīkojumu nedrīkst uzskatīt par piegādātu valdībai pirms tā pilnīgas pabeigšanas.</w:t>
      </w:r>
    </w:p>
    <w:p w14:paraId="4A12C709"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4D6A71D2"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26. Priekšmaksājumi par militārā aprīkojuma un citu preču piegādēm (kas var daļēji segt ar programmu saistītās P&amp;I izmaksas) ir jāieraksta kā finanšu darījumi (attiecīgi kā aizdevumi (F.42) vai kā finanšu avansi (AF.81), valdības aktīvs, atkarībā no tā, vai ir ilgtermiņa vai īstermiņa līgums), savukārt sekojošās piegādes ieraksta kā izdevumus ar pretējo finanšu darījumu, ar kuru tiek mazināts valdības finanšu aktīvs.</w:t>
      </w:r>
    </w:p>
    <w:p w14:paraId="079D5F0F"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3B5466CA"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27. Ja maksājumus veic pēc militārā aprīkojuma piegādes, valdības izdevumus ieraksta militārā aprīkojuma piegādes laikā un saskaņo ar finanšu darījumu (F.42 vai F.81 valdības saistības, atkarībā no tā, vai ir ilgtermiņa vai īstermiņa līgums). Kad vēlāk tiek veikts norēķins skaidrā naudā, tas tiek ierakstīts kā finanšu darījumi (t. i., viens skaidrā naudā un viens, ar ko tiek mazinātas valdības saistības).</w:t>
      </w:r>
    </w:p>
    <w:p w14:paraId="2FF830E5" w14:textId="77777777" w:rsidR="00994F93" w:rsidRPr="00B03B51" w:rsidRDefault="00994F93" w:rsidP="00994F93">
      <w:pPr>
        <w:jc w:val="both"/>
        <w:rPr>
          <w:rFonts w:ascii="Times New Roman" w:eastAsia="Arial" w:hAnsi="Times New Roman" w:cs="Times New Roman"/>
          <w:noProof/>
          <w:sz w:val="24"/>
          <w:szCs w:val="15"/>
        </w:rPr>
      </w:pPr>
    </w:p>
    <w:p w14:paraId="5F788F0A" w14:textId="77777777" w:rsidR="00994F93" w:rsidRPr="00B03B51" w:rsidRDefault="00994F93" w:rsidP="00994F93">
      <w:pPr>
        <w:pStyle w:val="Heading6"/>
        <w:tabs>
          <w:tab w:val="left" w:pos="1267"/>
        </w:tabs>
        <w:ind w:left="0" w:firstLine="0"/>
        <w:jc w:val="both"/>
        <w:rPr>
          <w:rFonts w:ascii="Times New Roman" w:hAnsi="Times New Roman" w:cs="Times New Roman"/>
          <w:noProof/>
          <w:sz w:val="24"/>
        </w:rPr>
      </w:pPr>
      <w:bookmarkStart w:id="164" w:name="2.5.3.2_Time_of_recording_of_government_"/>
      <w:bookmarkEnd w:id="164"/>
      <w:r w:rsidRPr="00B03B51">
        <w:rPr>
          <w:rFonts w:ascii="Times New Roman" w:hAnsi="Times New Roman" w:cs="Times New Roman"/>
          <w:sz w:val="24"/>
        </w:rPr>
        <w:t>2.5.3.2. VALDĪBAS IZDEVUMU PAR MILITĀRO APRĪKOJUMU IERAKSTĪŠANAS LAIKS SAISTĪBĀ AR ILGTERMIŅA LĪGUMIEM</w:t>
      </w:r>
    </w:p>
    <w:p w14:paraId="2F146846"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3CF0FFA6"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28. Līgumos bieži paredzēta līdzīgu ražojumu pakāpeniska piegāde daudzu gadu laikā. Kā piemēru var minēt iznīcinātājus, kurus piegādā partijās noteiktā laika posmā, vai karakuģu sēriju, ko piegādā vairāku gadu laikā.</w:t>
      </w:r>
    </w:p>
    <w:p w14:paraId="048C6251"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18A47D31"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 xml:space="preserve">29. Uzkrāšanas noteikuma piemērošana attiecībā uz militāro preču iegādes ierakstīšanu nozīmē </w:t>
      </w:r>
      <w:r w:rsidRPr="00B03B51">
        <w:rPr>
          <w:rFonts w:ascii="Times New Roman" w:hAnsi="Times New Roman" w:cs="Times New Roman"/>
          <w:sz w:val="24"/>
        </w:rPr>
        <w:lastRenderedPageBreak/>
        <w:t>to, ka šādas pakāpeniskas piegādes jāieraksta kā valdības bruto pamatkapitāla veidošana, tiklīdz tas rodas. Standarta analītiskās uzskaites metodēm jānodrošina iespēja noskaidrot daļējo piegāžu vērtību. Konfidencialitāte nav svarīgākais jautājums, jo nacionālo kontu datos netiek precīzi atklāta aprīkojuma būtība. Tādējādi valdības neto aizdevums/aizņēmums (B.9) netiek ietekmēts līguma saistību izpildes vai maksājuma veikšanas brīdī, bet gan atbilstoši piegāžu shēmai. Pamatojums ir tas, ka katra detaļa (vai kopā piegādātu detaļu komplekts) ir jāvērtē atsevišķi attiecībā uz riskiem un priekšrocībām, kuras ir ar to saistītas.</w:t>
      </w:r>
    </w:p>
    <w:p w14:paraId="79638A61"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7AC0934F"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30. Sarežģīta militārā aprīkojuma piegāde bieži ir saistīta ar apmācības un saistīto pakalpojumu nodrošināšanu. Tā kā īpašu augsto tehnoloģiju iekārtu tehniskajai apkopei ir nepieciešamas īpašas prasmes, arvien biežāk piegādātājuzņēmumi tiek cieši sasaistīti ar šiem uzdevumiem, bieži vien saskaņā ar vienu līgumu, kas paredz gan iekārtas piegādi, gan tās turpmāko tehnisko apkopi. Uzkrāšanas princips nozīmē, ka valdības izdevumi par pakalpojumiem ir jāuzskaita tad, kad tie ir reāli sniegti un ierakstīti starppatēriņā. Standarta analītiskās uzskaites paņēmieni ļauj arī sadalīt ar sniegtajiem pakalpojumiem saistītos izdevumus pa visu laika posmu, būtiskajai informācijai, visticamāk, esot pieejamai līgumā.</w:t>
      </w:r>
    </w:p>
    <w:p w14:paraId="48E04971" w14:textId="77777777" w:rsidR="00994F93" w:rsidRPr="00B03B51" w:rsidRDefault="00994F93" w:rsidP="00994F93">
      <w:pPr>
        <w:jc w:val="both"/>
        <w:rPr>
          <w:rFonts w:ascii="Times New Roman" w:hAnsi="Times New Roman" w:cs="Times New Roman"/>
          <w:noProof/>
          <w:sz w:val="24"/>
        </w:rPr>
      </w:pPr>
    </w:p>
    <w:p w14:paraId="5F6E44BF"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31. Kompleksu sistēmu gadījumā pēc piegādes nereti ir jāveic noteikti pasākumi, lai sagatavotu aprīkojumu ekspluatācijai. Militārajam aprīkojumam parasti nepieciešama īpaša sagatavošana, tostarp papildu detaļas. Piegādātais aprīkojums var nebūt pilnīgi gatavs ekspluatācijai, kamēr nav pabeigts vai samontēts kāds cits aprīkojums (piemēram, elektroniskās ieroču sistēmas).</w:t>
      </w:r>
    </w:p>
    <w:p w14:paraId="24504548"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367E923B"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32. Dažas militārās programmas, kurām ir piešķirtas ievērojamas naudas summas, ir saistītas ar vairāku veidu komponentu apvienošanu, kurus var pabeigt atšķirīgos termiņos, sadalot izdevumus pa vairākiem finanšu gadiem pirms sistēmas pilnīgas nodošanas ekspluatācijā. Šajā saistībā rodas jautājums, vai uzdevumi, kas veicami pēc piegādes, ietilpst iestāžu/bruņoto spēku atbildībā vai tomēr piegādātāju atbildībā.</w:t>
      </w:r>
    </w:p>
    <w:p w14:paraId="30BCA851"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5091FED2"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33. Ja pēc piegādes veicamie uzdevumi pilnīgi ietilpst piegādātāja atbildībā, tas nozīmē, ka piegādātājs vēl nav izpildījis līgumā noteiktos pienākumus, un aprīkojuma piegādi ieraksta tikai tajā brīdī, kad šie pienākumi ir izpildīti.</w:t>
      </w:r>
    </w:p>
    <w:p w14:paraId="0BE99E80"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1C7250AB"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34. Ja pilnu atbildību par visiem šiem uzdevumiem (un jo īpaši par to izpildes grafiku) uzņemas valdības iestādes/ bruņotie spēki, tiek pieņemts, ka komponentu piegādātājs ir izpildījis savas līgumsaistības. Līdz ar to preču piegādes ierakstīšanas laiks nav brīdis, kad tiek pilnīgi izpildītas visas līgumsaistības, un to nosaka atbilstoši piegādei vai, iespējams, atbilstoši īpašumtiesību pakāpeniskai nodošanai.</w:t>
      </w:r>
    </w:p>
    <w:p w14:paraId="688D847D" w14:textId="77777777" w:rsidR="00994F93" w:rsidRPr="00B03B51" w:rsidRDefault="00994F93" w:rsidP="00994F93">
      <w:pPr>
        <w:jc w:val="both"/>
        <w:rPr>
          <w:rFonts w:ascii="Times New Roman" w:eastAsia="Arial" w:hAnsi="Times New Roman" w:cs="Times New Roman"/>
          <w:noProof/>
          <w:sz w:val="24"/>
          <w:szCs w:val="15"/>
        </w:rPr>
      </w:pPr>
    </w:p>
    <w:p w14:paraId="18209D7C" w14:textId="77777777" w:rsidR="00994F93" w:rsidRPr="00B03B51" w:rsidRDefault="00994F93" w:rsidP="00994F93">
      <w:pPr>
        <w:pStyle w:val="Heading6"/>
        <w:tabs>
          <w:tab w:val="left" w:pos="1267"/>
        </w:tabs>
        <w:ind w:left="0" w:firstLine="0"/>
        <w:jc w:val="both"/>
        <w:rPr>
          <w:rFonts w:ascii="Times New Roman" w:hAnsi="Times New Roman" w:cs="Times New Roman"/>
          <w:noProof/>
          <w:sz w:val="24"/>
        </w:rPr>
      </w:pPr>
      <w:bookmarkStart w:id="165" w:name="2.5.3.3_The_treatment_of_leases_relating"/>
      <w:bookmarkEnd w:id="165"/>
      <w:r w:rsidRPr="00B03B51">
        <w:rPr>
          <w:rFonts w:ascii="Times New Roman" w:hAnsi="Times New Roman" w:cs="Times New Roman"/>
          <w:sz w:val="24"/>
        </w:rPr>
        <w:t>2.5.3.3. AR MILITĀRAJĀM PRECĒM SAISTĪTĀS NOMAS TRAKTĒJUMS</w:t>
      </w:r>
    </w:p>
    <w:p w14:paraId="36464B01"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41B83E9A"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35. Tā vietā, lai militāro aprīkojumu iegādātos, to var nomāt. Tam, vai līgumā noma ir nodēvēta par operatīvo nomu vai finanšu nomu, nav būtiskas nozīmes. Rodas jautājums par šādas nomas pareizu klasifikāciju nacionālajos kontos.</w:t>
      </w:r>
    </w:p>
    <w:p w14:paraId="54468099"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2FC04194"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36. Jāatgādina, ka tas, vai nacionālajos kontos noma tiks klasificēta kā finanšu noma vai operatīvā noma, ir atkarīgs galvenokārt no riska nodošanas (EKS 2010 15.05. punkts), un klasifikācija nav atkarīga no līgumā lietotās juridiskās terminoloģijas.</w:t>
      </w:r>
    </w:p>
    <w:p w14:paraId="7DA095FD"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14A71934"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 xml:space="preserve">37. Viens jautājums ir par to, vai operatīvo nomu vai finanšu nomu ir iespējams ierakstīt attiecībā uz preci, kas saskaņā ar EKS 2010 nav pamatlīdzeklis. Atbilde ir tāda, ka nacionālajos kontos var ierakstīt abas nomas neatkarīgi no tā, vai prece ir ekonomiskais aktīvs. Piemēram, </w:t>
      </w:r>
      <w:r w:rsidRPr="00B03B51">
        <w:rPr>
          <w:rFonts w:ascii="Times New Roman" w:hAnsi="Times New Roman" w:cs="Times New Roman"/>
          <w:sz w:val="24"/>
        </w:rPr>
        <w:lastRenderedPageBreak/>
        <w:t>nacionālo kontu sistēmā automobiļus pieņemts neuzskatīt par mājsaimniecību ekonomiskajiem aktīviem, taču finanšu noma attiecībā uz automobiļiem ir plaši izplatīta un tiek šādi ierakstīta.</w:t>
      </w:r>
    </w:p>
    <w:p w14:paraId="697E90F7"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378C52F6"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38. Militārā aprīkojuma gadījumā riska nodošana, tādējādi nododot arī ekonomiskās īpašumtiesības, notiek, kad bruņotie spēki iegūst aprīkojumu savā īpašumā un sāk pieņemt lēmumus attiecībā uz tā izmantošanu. Tie uzņemsies visus riskus, kuri var būt saistīti ar militārajām misijām.</w:t>
      </w:r>
    </w:p>
    <w:p w14:paraId="1D576B2E"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3DB785F3"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39. Militāro misiju īpatnība ir militārā aprīkojuma apzināta pakļaušana riskam, turpretī citās saimnieciskajās darbībās preču pakļaušana riskam parasti netiek pieļauta vai arī tiek veikti pasākumi, lai nodrošinātos pret šādiem riskiem. Militārais aprīkojums pēc būtības ir paredzēts izmantošanai misijās, kurās to visticamāk mēģinās iznīcināt vai samazināt tā darbspēju. Vēl viens jautājums ir saistīts ar šāda aprīkojuma iespējamo ātro nolietošanos, kad tā nomaiņa nepieciešama ātrāk, nekā paredzēts.</w:t>
      </w:r>
    </w:p>
    <w:p w14:paraId="449A84A2"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76DF0E05"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40. Ņemot vērā iepriekš minētos apstākļus, ar militāro aprīkojumu saistītie riski pēc būtības ietilpst valdības iestāžu/militāro spēku atbildībā, un tikai šādas iestādes ir kompetentas lemt par to, vai izmantot šādu aprīkojumu konfliktos un kad to izmantot, tādējādi apzināti pakļaujot preces iespējamiem bojājumiem.</w:t>
      </w:r>
    </w:p>
    <w:p w14:paraId="6629C77B"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6BD6A8A6"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 xml:space="preserve">41. Šajā saistībā visus militārā aprīkojuma nomas līgumus (kas noteikti iepriekš) nacionālajos kontos traktē kā finanšu nomu, pat ja līgumā šāda noma ir dēvēta par operatīvo nomu. Līdz ar to militārā aprīkojuma iegūšanas ierakstīšanas laiks būs brīdis, kad bruņotie spēki uzņemas pilnu atbildību par tā izmantošanu. Saistības, ko nomnieks uzņemas finanšu nomā, nacionālajos kontos ir klasificētas kā aizdevumi (F.4), un līdz ar to ir valdības </w:t>
      </w:r>
      <w:r w:rsidRPr="00B03B51">
        <w:rPr>
          <w:rFonts w:ascii="Times New Roman" w:hAnsi="Times New Roman" w:cs="Times New Roman"/>
          <w:i/>
          <w:iCs/>
          <w:sz w:val="24"/>
        </w:rPr>
        <w:t>(EDP</w:t>
      </w:r>
      <w:r w:rsidRPr="00B03B51">
        <w:rPr>
          <w:rFonts w:ascii="Times New Roman" w:hAnsi="Times New Roman" w:cs="Times New Roman"/>
          <w:sz w:val="24"/>
        </w:rPr>
        <w:t>) parāda komponente, ja nomnieks ir valdība.</w:t>
      </w:r>
    </w:p>
    <w:p w14:paraId="2510E8E2" w14:textId="77777777" w:rsidR="00994F93" w:rsidRPr="00B03B51" w:rsidRDefault="00994F93" w:rsidP="00994F93">
      <w:pPr>
        <w:jc w:val="both"/>
        <w:rPr>
          <w:rFonts w:ascii="Times New Roman" w:eastAsia="Arial" w:hAnsi="Times New Roman" w:cs="Times New Roman"/>
          <w:noProof/>
          <w:sz w:val="24"/>
          <w:szCs w:val="15"/>
        </w:rPr>
      </w:pPr>
    </w:p>
    <w:p w14:paraId="14C2F441" w14:textId="77777777" w:rsidR="00994F93" w:rsidRPr="00B03B51" w:rsidRDefault="00994F93" w:rsidP="00994F93">
      <w:pPr>
        <w:pStyle w:val="Heading6"/>
        <w:tabs>
          <w:tab w:val="left" w:pos="1267"/>
        </w:tabs>
        <w:ind w:left="0" w:firstLine="0"/>
        <w:jc w:val="both"/>
        <w:rPr>
          <w:rFonts w:ascii="Times New Roman" w:hAnsi="Times New Roman" w:cs="Times New Roman"/>
          <w:noProof/>
          <w:sz w:val="24"/>
        </w:rPr>
      </w:pPr>
      <w:bookmarkStart w:id="166" w:name="2.5.3.4_Research_and_development"/>
      <w:bookmarkEnd w:id="166"/>
      <w:r w:rsidRPr="00B03B51">
        <w:rPr>
          <w:rFonts w:ascii="Times New Roman" w:hAnsi="Times New Roman" w:cs="Times New Roman"/>
          <w:sz w:val="24"/>
        </w:rPr>
        <w:t>2.5.3.4. PĒTNIECĪBA UN IZSTRĀDE</w:t>
      </w:r>
    </w:p>
    <w:p w14:paraId="16212666" w14:textId="77777777" w:rsidR="00994F93" w:rsidRPr="00B03B51" w:rsidRDefault="00994F93" w:rsidP="00994F93">
      <w:pPr>
        <w:pStyle w:val="BodyText"/>
        <w:spacing w:before="0"/>
        <w:ind w:left="0" w:firstLine="0"/>
        <w:jc w:val="both"/>
        <w:rPr>
          <w:rFonts w:ascii="Times New Roman" w:hAnsi="Times New Roman" w:cs="Times New Roman"/>
          <w:noProof/>
          <w:sz w:val="24"/>
        </w:rPr>
      </w:pPr>
    </w:p>
    <w:p w14:paraId="10CAE728" w14:textId="77777777" w:rsidR="00994F93" w:rsidRPr="00B03B51" w:rsidRDefault="00994F93" w:rsidP="00994F93">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t>42. Grūtības var rasties gadījumā, ja līgumā ir noteikts, ka izdevumi ir radušies saistībā ar pētniecību un izstrādi iepriekšējos līguma darbības gados, proti, ievērojamu laika posmu pirms faktiskajām piegādēm. Šādā gadījumā ir svarīgi noskaidrot šādu P&amp;I izdevumu būtību.</w:t>
      </w:r>
    </w:p>
    <w:p w14:paraId="5312A3AD"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0D1DFBE4"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43. Ja P&amp;I ir īstenota neatkarīgi no gala produkta (bet var būt izmantota prototipu izstrādē) vai arī finansējums tiek pilnīgi iztērēts (un netiek atlīdzināts nevienā formā) un P&amp;I faktiski nav saistāma vienīgi ar īpašu piegādājamo militāro aprīkojumu, attiecīgos izdevumus tāpat kā jebkuru citu valsts iepirkto P&amp;I darbību ieraksta, kad notiek darbs vai kad valdība veic pārskaitījumu šāda darba finansēšanai. Parasti saskaņā ar EKS 2010 tas tiek ierakstīts kā bruto pamatkapitāla veidošana saistībā ar intelektuālā īpašuma produktiem (AN.117). Ja tomēr skaidrs labums valdībai nav paredzams (tostarp iespēja nodot rezultātus plašākai sabiedrībai) vai ja iespējamie rezultāti nonāktu vienīgi finansējuma saņēmēja rīcībā, izdevumus ieraksta kā starpposma patēriņu, nevis kā bruto pamatkapitāla veidošanu.</w:t>
      </w:r>
    </w:p>
    <w:p w14:paraId="52551DB6"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2661BEB0"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44. Dažos gadījumos pētniecība un izstrāde tiek paredzēta līgumā, kurā tiek pasūtīta vismaz pirmā aprīkojuma vienību sērija, neatkarīgi no tā, cik ilgi ilgst pētniecības un izstrādes posms pirms ražošanas posma uzsākšanas. Tā kā P&amp;I tiks iekļauta atsevišķo aprīkojuma vienību cenā, tā jāieraksta kā finanšu avanss, kas piešķirts ieroču sistēmu (AN.114) aktīvu turpmākajām piegādēm. Šis traktējums tiek piemērots vienīgi tad, ja līgumā tiek paredzēti kopējie izdevumi par piegādājamo aprīkojumu, nevis gadījumos, kad aprīkojuma pasūtījums atkarīgs no P&amp;I rezultātiem.</w:t>
      </w:r>
    </w:p>
    <w:p w14:paraId="0EDD2B2D" w14:textId="77777777" w:rsidR="00994F93" w:rsidRPr="00B03B51" w:rsidRDefault="00994F93" w:rsidP="00994F93">
      <w:pPr>
        <w:jc w:val="both"/>
        <w:rPr>
          <w:rFonts w:ascii="Times New Roman" w:eastAsia="Arial" w:hAnsi="Times New Roman" w:cs="Times New Roman"/>
          <w:noProof/>
          <w:sz w:val="24"/>
          <w:szCs w:val="19"/>
        </w:rPr>
      </w:pPr>
    </w:p>
    <w:p w14:paraId="55CE0A87" w14:textId="77777777" w:rsidR="00994F93" w:rsidRPr="00B03B51" w:rsidRDefault="00994F93" w:rsidP="00994F93">
      <w:pPr>
        <w:pStyle w:val="Heading3"/>
        <w:tabs>
          <w:tab w:val="left" w:pos="1267"/>
        </w:tabs>
        <w:ind w:left="0" w:firstLine="0"/>
        <w:jc w:val="both"/>
        <w:rPr>
          <w:rFonts w:ascii="Times New Roman" w:hAnsi="Times New Roman" w:cs="Times New Roman"/>
          <w:noProof/>
          <w:sz w:val="24"/>
        </w:rPr>
      </w:pPr>
      <w:bookmarkStart w:id="167" w:name="2.5.4_Accounting_examples"/>
      <w:bookmarkStart w:id="168" w:name="_Toc67565072"/>
      <w:bookmarkEnd w:id="167"/>
      <w:r w:rsidRPr="00B03B51">
        <w:rPr>
          <w:rFonts w:ascii="Times New Roman" w:hAnsi="Times New Roman" w:cs="Times New Roman"/>
          <w:sz w:val="24"/>
        </w:rPr>
        <w:lastRenderedPageBreak/>
        <w:t>2.5.4. Uzskaites piemēri</w:t>
      </w:r>
      <w:bookmarkEnd w:id="168"/>
    </w:p>
    <w:p w14:paraId="5C76CB30" w14:textId="77777777" w:rsidR="00994F93" w:rsidRPr="00B03B51" w:rsidRDefault="00994F93" w:rsidP="00994F93">
      <w:pPr>
        <w:jc w:val="both"/>
        <w:rPr>
          <w:rFonts w:ascii="Times New Roman" w:hAnsi="Times New Roman" w:cs="Times New Roman"/>
          <w:b/>
          <w:noProof/>
          <w:sz w:val="24"/>
        </w:rPr>
      </w:pPr>
    </w:p>
    <w:p w14:paraId="545DCABA" w14:textId="77777777" w:rsidR="00994F93" w:rsidRPr="00B03B51" w:rsidRDefault="00994F93" w:rsidP="00994F93">
      <w:pPr>
        <w:jc w:val="both"/>
        <w:rPr>
          <w:rFonts w:ascii="Times New Roman" w:hAnsi="Times New Roman" w:cs="Times New Roman"/>
          <w:b/>
          <w:noProof/>
          <w:sz w:val="24"/>
        </w:rPr>
      </w:pPr>
      <w:r w:rsidRPr="00B03B51">
        <w:rPr>
          <w:rFonts w:ascii="Times New Roman" w:hAnsi="Times New Roman" w:cs="Times New Roman"/>
          <w:b/>
          <w:sz w:val="24"/>
        </w:rPr>
        <w:t>1. piemērs</w:t>
      </w:r>
    </w:p>
    <w:p w14:paraId="2D3716B1" w14:textId="77777777" w:rsidR="00994F93" w:rsidRPr="00B03B51" w:rsidRDefault="00994F93" w:rsidP="00994F93">
      <w:pPr>
        <w:jc w:val="both"/>
        <w:rPr>
          <w:rFonts w:ascii="Times New Roman" w:eastAsia="Arial" w:hAnsi="Times New Roman" w:cs="Times New Roman"/>
          <w:b/>
          <w:bCs/>
          <w:noProof/>
          <w:sz w:val="24"/>
        </w:rPr>
      </w:pPr>
    </w:p>
    <w:p w14:paraId="356E44F7" w14:textId="77777777" w:rsidR="00994F93" w:rsidRPr="00B03B51" w:rsidRDefault="00994F93" w:rsidP="00994F93">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t>Valdība pasūta militāro starppatēriņa preci, kuras vērtība ir 100. Pirmajā gadā tā samaksā 45. Otrajā gadā preci piegādā, un bruņotie spēki to nekavējoties izmanto, savukārt valdība samaksā 30. Trešajā gadā valdība samaksā atlikušo summu (vienkāršības labad piegādātāja izmaksas netiek norādītas).</w:t>
      </w:r>
    </w:p>
    <w:p w14:paraId="62588834" w14:textId="77777777" w:rsidR="00994F93" w:rsidRPr="00B03B51" w:rsidRDefault="00994F93" w:rsidP="00994F93">
      <w:pPr>
        <w:jc w:val="both"/>
        <w:rPr>
          <w:rFonts w:ascii="Times New Roman" w:eastAsia="Arial" w:hAnsi="Times New Roman" w:cs="Times New Roman"/>
          <w:noProof/>
          <w:sz w:val="24"/>
          <w:szCs w:val="8"/>
        </w:rPr>
      </w:pPr>
    </w:p>
    <w:p w14:paraId="796E0FE0" w14:textId="69FDF59D" w:rsidR="00994F93" w:rsidRPr="00B03B51" w:rsidRDefault="002315AB" w:rsidP="00116E46">
      <w:pPr>
        <w:jc w:val="center"/>
        <w:rPr>
          <w:rFonts w:ascii="Times New Roman" w:eastAsia="Arial" w:hAnsi="Times New Roman" w:cs="Times New Roman"/>
          <w:noProof/>
          <w:sz w:val="24"/>
          <w:szCs w:val="17"/>
        </w:rPr>
      </w:pPr>
      <w:r w:rsidRPr="00B03B51">
        <w:rPr>
          <w:rFonts w:ascii="Times New Roman" w:eastAsia="Arial" w:hAnsi="Times New Roman" w:cs="Times New Roman"/>
          <w:noProof/>
          <w:sz w:val="24"/>
          <w:szCs w:val="17"/>
        </w:rPr>
        <w:drawing>
          <wp:inline distT="0" distB="0" distL="0" distR="0" wp14:anchorId="7293CE97" wp14:editId="35A2B8ED">
            <wp:extent cx="5760085" cy="4545965"/>
            <wp:effectExtent l="0" t="0" r="0" b="698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760085" cy="4545965"/>
                    </a:xfrm>
                    <a:prstGeom prst="rect">
                      <a:avLst/>
                    </a:prstGeom>
                    <a:noFill/>
                    <a:ln>
                      <a:noFill/>
                    </a:ln>
                  </pic:spPr>
                </pic:pic>
              </a:graphicData>
            </a:graphic>
          </wp:inline>
        </w:drawing>
      </w:r>
    </w:p>
    <w:p w14:paraId="0E63EE2D" w14:textId="05544D18" w:rsidR="00994F93" w:rsidRPr="00B03B51" w:rsidRDefault="002315AB" w:rsidP="00116E46">
      <w:pPr>
        <w:jc w:val="center"/>
        <w:rPr>
          <w:rFonts w:ascii="Times New Roman" w:eastAsia="Arial" w:hAnsi="Times New Roman" w:cs="Times New Roman"/>
          <w:noProof/>
          <w:sz w:val="24"/>
          <w:szCs w:val="17"/>
        </w:rPr>
      </w:pPr>
      <w:r w:rsidRPr="00B03B51">
        <w:rPr>
          <w:rFonts w:ascii="Times New Roman" w:eastAsia="Arial" w:hAnsi="Times New Roman" w:cs="Times New Roman"/>
          <w:noProof/>
          <w:sz w:val="24"/>
          <w:szCs w:val="17"/>
        </w:rPr>
        <w:lastRenderedPageBreak/>
        <w:drawing>
          <wp:inline distT="0" distB="0" distL="0" distR="0" wp14:anchorId="4150342B" wp14:editId="1486E4C9">
            <wp:extent cx="5760085" cy="3801110"/>
            <wp:effectExtent l="0" t="0" r="0" b="889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760085" cy="3801110"/>
                    </a:xfrm>
                    <a:prstGeom prst="rect">
                      <a:avLst/>
                    </a:prstGeom>
                    <a:noFill/>
                    <a:ln>
                      <a:noFill/>
                    </a:ln>
                  </pic:spPr>
                </pic:pic>
              </a:graphicData>
            </a:graphic>
          </wp:inline>
        </w:drawing>
      </w:r>
    </w:p>
    <w:p w14:paraId="25DDA001" w14:textId="77777777" w:rsidR="00994F93" w:rsidRPr="00B03B51" w:rsidRDefault="00994F93" w:rsidP="00994F93">
      <w:pPr>
        <w:jc w:val="both"/>
        <w:rPr>
          <w:rFonts w:ascii="Times New Roman" w:eastAsia="Arial" w:hAnsi="Times New Roman" w:cs="Times New Roman"/>
          <w:noProof/>
          <w:sz w:val="24"/>
          <w:szCs w:val="17"/>
        </w:rPr>
      </w:pPr>
    </w:p>
    <w:p w14:paraId="425009F3" w14:textId="77777777" w:rsidR="00994F93" w:rsidRPr="00B03B51" w:rsidRDefault="00994F93" w:rsidP="00994F93">
      <w:pPr>
        <w:jc w:val="both"/>
        <w:rPr>
          <w:rFonts w:ascii="Times New Roman" w:hAnsi="Times New Roman" w:cs="Times New Roman"/>
          <w:b/>
          <w:noProof/>
          <w:sz w:val="24"/>
        </w:rPr>
      </w:pPr>
      <w:r w:rsidRPr="00B03B51">
        <w:rPr>
          <w:rFonts w:ascii="Times New Roman" w:hAnsi="Times New Roman" w:cs="Times New Roman"/>
          <w:b/>
          <w:sz w:val="24"/>
        </w:rPr>
        <w:t>2. piemērs</w:t>
      </w:r>
    </w:p>
    <w:p w14:paraId="139A82FA" w14:textId="77777777" w:rsidR="00994F93" w:rsidRPr="00B03B51" w:rsidRDefault="00994F93" w:rsidP="00994F93">
      <w:pPr>
        <w:jc w:val="both"/>
        <w:rPr>
          <w:rFonts w:ascii="Times New Roman" w:eastAsia="Arial" w:hAnsi="Times New Roman" w:cs="Times New Roman"/>
          <w:b/>
          <w:bCs/>
          <w:noProof/>
          <w:sz w:val="24"/>
        </w:rPr>
      </w:pPr>
    </w:p>
    <w:p w14:paraId="299F602D" w14:textId="77777777" w:rsidR="00994F93" w:rsidRPr="00B03B51" w:rsidRDefault="00994F93" w:rsidP="00994F93">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t>Valdība noslēdz nomas līgumu ar militārā aprīkojuma preces piegādātāju. Līgumā ir paredzēts, ka preces vērtība ir 100 un ka valdība 1. gadā veiks 10 gada maksājumus no 14 (kas atbilst apmēram 6,6 gada procentu maksājumiem) no piegādes brīža. Prece ir izmantojama uzreiz pēc piegādes (vienkāršības labad piegādātāja izmaksas netiek norādītas). Jāņem vērā arī tas, ka ierakstītie procenti perioda laikā faktiski samazināsies. Kapitālpreces ekspluatācijas laiks ir 25 gadi.</w:t>
      </w:r>
    </w:p>
    <w:p w14:paraId="62397064" w14:textId="77777777" w:rsidR="00994F93" w:rsidRPr="00B03B51" w:rsidRDefault="00994F93" w:rsidP="00994F93">
      <w:pPr>
        <w:jc w:val="both"/>
        <w:rPr>
          <w:rFonts w:ascii="Times New Roman" w:eastAsia="Arial" w:hAnsi="Times New Roman" w:cs="Times New Roman"/>
          <w:noProof/>
          <w:sz w:val="24"/>
          <w:szCs w:val="20"/>
        </w:rPr>
      </w:pPr>
    </w:p>
    <w:p w14:paraId="5099A88F" w14:textId="7850102E" w:rsidR="00994F93" w:rsidRPr="00B03B51" w:rsidRDefault="002315AB" w:rsidP="00116E46">
      <w:pPr>
        <w:jc w:val="center"/>
        <w:rPr>
          <w:rFonts w:ascii="Times New Roman" w:eastAsia="Arial" w:hAnsi="Times New Roman" w:cs="Times New Roman"/>
          <w:noProof/>
          <w:sz w:val="24"/>
          <w:szCs w:val="20"/>
        </w:rPr>
      </w:pPr>
      <w:r w:rsidRPr="00B03B51">
        <w:rPr>
          <w:rFonts w:ascii="Times New Roman" w:eastAsia="Arial" w:hAnsi="Times New Roman" w:cs="Times New Roman"/>
          <w:noProof/>
          <w:sz w:val="24"/>
          <w:szCs w:val="20"/>
        </w:rPr>
        <w:drawing>
          <wp:inline distT="0" distB="0" distL="0" distR="0" wp14:anchorId="66A689BB" wp14:editId="0DE95FB9">
            <wp:extent cx="5760085" cy="3251200"/>
            <wp:effectExtent l="0" t="0" r="0" b="635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760085" cy="3251200"/>
                    </a:xfrm>
                    <a:prstGeom prst="rect">
                      <a:avLst/>
                    </a:prstGeom>
                    <a:noFill/>
                    <a:ln>
                      <a:noFill/>
                    </a:ln>
                  </pic:spPr>
                </pic:pic>
              </a:graphicData>
            </a:graphic>
          </wp:inline>
        </w:drawing>
      </w:r>
    </w:p>
    <w:p w14:paraId="31E455EF" w14:textId="097AE96E" w:rsidR="00994F93" w:rsidRPr="00B03B51" w:rsidRDefault="00361392" w:rsidP="00116E46">
      <w:pPr>
        <w:jc w:val="center"/>
        <w:rPr>
          <w:rFonts w:ascii="Times New Roman" w:eastAsia="Arial" w:hAnsi="Times New Roman" w:cs="Times New Roman"/>
          <w:noProof/>
          <w:sz w:val="24"/>
          <w:szCs w:val="20"/>
        </w:rPr>
      </w:pPr>
      <w:r w:rsidRPr="00B03B51">
        <w:rPr>
          <w:rFonts w:ascii="Times New Roman" w:eastAsia="Arial" w:hAnsi="Times New Roman" w:cs="Times New Roman"/>
          <w:noProof/>
          <w:sz w:val="24"/>
          <w:szCs w:val="20"/>
        </w:rPr>
        <w:lastRenderedPageBreak/>
        <w:drawing>
          <wp:inline distT="0" distB="0" distL="0" distR="0" wp14:anchorId="4D268AAE" wp14:editId="3B855A3A">
            <wp:extent cx="5760085" cy="3467735"/>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760085" cy="3467735"/>
                    </a:xfrm>
                    <a:prstGeom prst="rect">
                      <a:avLst/>
                    </a:prstGeom>
                    <a:noFill/>
                    <a:ln>
                      <a:noFill/>
                    </a:ln>
                  </pic:spPr>
                </pic:pic>
              </a:graphicData>
            </a:graphic>
          </wp:inline>
        </w:drawing>
      </w:r>
    </w:p>
    <w:p w14:paraId="6E5F996A" w14:textId="77777777" w:rsidR="00994F93" w:rsidRPr="00B03B51" w:rsidRDefault="00994F93" w:rsidP="00994F93">
      <w:pPr>
        <w:jc w:val="both"/>
        <w:rPr>
          <w:rFonts w:ascii="Times New Roman" w:eastAsia="Arial" w:hAnsi="Times New Roman" w:cs="Times New Roman"/>
          <w:noProof/>
          <w:sz w:val="24"/>
          <w:szCs w:val="19"/>
        </w:rPr>
      </w:pPr>
    </w:p>
    <w:p w14:paraId="648D5F82" w14:textId="77777777" w:rsidR="00994F93" w:rsidRPr="00B03B51" w:rsidRDefault="00994F93" w:rsidP="00994F93">
      <w:pPr>
        <w:jc w:val="both"/>
        <w:rPr>
          <w:rFonts w:ascii="Times New Roman" w:hAnsi="Times New Roman" w:cs="Times New Roman"/>
          <w:b/>
          <w:noProof/>
          <w:sz w:val="24"/>
        </w:rPr>
      </w:pPr>
      <w:r w:rsidRPr="00B03B51">
        <w:rPr>
          <w:rFonts w:ascii="Times New Roman" w:hAnsi="Times New Roman" w:cs="Times New Roman"/>
          <w:b/>
          <w:sz w:val="24"/>
        </w:rPr>
        <w:t>3. piemērs</w:t>
      </w:r>
    </w:p>
    <w:p w14:paraId="1E95DC90" w14:textId="77777777" w:rsidR="00994F93" w:rsidRPr="00B03B51" w:rsidRDefault="00994F93" w:rsidP="00994F93">
      <w:pPr>
        <w:jc w:val="both"/>
        <w:rPr>
          <w:rFonts w:ascii="Times New Roman" w:eastAsia="Arial" w:hAnsi="Times New Roman" w:cs="Times New Roman"/>
          <w:b/>
          <w:bCs/>
          <w:noProof/>
          <w:sz w:val="24"/>
          <w:szCs w:val="21"/>
        </w:rPr>
      </w:pPr>
    </w:p>
    <w:p w14:paraId="763B4E16" w14:textId="77777777" w:rsidR="00994F93" w:rsidRPr="00B03B51" w:rsidRDefault="00994F93" w:rsidP="00994F93">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t>Valdība 1. gadā pasūta militāro kapitālieguldījumu preci, kuras vērtība ir 100, un tās piegādei ir nepieciešami četri gadi. Valdība maksā 10 naudas vienības katrā no pirmajiem trīs gadiem un atlikušo summu nomaksā piegādes brīdī 4. gadā. Pieņem, ka prece ir izmantojama uzreiz pēc piegādes. Vienkāršības labad piegādātāja izmaksas netiek norādītas.</w:t>
      </w:r>
    </w:p>
    <w:p w14:paraId="5C2F90A9" w14:textId="77777777" w:rsidR="00994F93" w:rsidRPr="00B03B51" w:rsidRDefault="00994F93" w:rsidP="00994F93">
      <w:pPr>
        <w:jc w:val="both"/>
        <w:rPr>
          <w:rFonts w:ascii="Times New Roman" w:eastAsia="Arial" w:hAnsi="Times New Roman" w:cs="Times New Roman"/>
          <w:noProof/>
          <w:sz w:val="24"/>
          <w:szCs w:val="18"/>
        </w:rPr>
      </w:pPr>
    </w:p>
    <w:p w14:paraId="27CD882D" w14:textId="47ECBA92" w:rsidR="00994F93" w:rsidRPr="00B03B51" w:rsidRDefault="00BB494B" w:rsidP="00116E46">
      <w:pPr>
        <w:jc w:val="center"/>
        <w:rPr>
          <w:rFonts w:ascii="Times New Roman" w:eastAsia="Arial" w:hAnsi="Times New Roman" w:cs="Times New Roman"/>
          <w:noProof/>
          <w:sz w:val="24"/>
          <w:szCs w:val="18"/>
        </w:rPr>
      </w:pPr>
      <w:r w:rsidRPr="00B03B51">
        <w:rPr>
          <w:rFonts w:ascii="Times New Roman" w:eastAsia="Arial" w:hAnsi="Times New Roman" w:cs="Times New Roman"/>
          <w:noProof/>
          <w:sz w:val="24"/>
          <w:szCs w:val="18"/>
        </w:rPr>
        <w:drawing>
          <wp:inline distT="0" distB="0" distL="0" distR="0" wp14:anchorId="0DA8EF47" wp14:editId="63D389BD">
            <wp:extent cx="5446315" cy="4067175"/>
            <wp:effectExtent l="0" t="0" r="254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450587" cy="4070366"/>
                    </a:xfrm>
                    <a:prstGeom prst="rect">
                      <a:avLst/>
                    </a:prstGeom>
                    <a:noFill/>
                    <a:ln>
                      <a:noFill/>
                    </a:ln>
                  </pic:spPr>
                </pic:pic>
              </a:graphicData>
            </a:graphic>
          </wp:inline>
        </w:drawing>
      </w:r>
    </w:p>
    <w:p w14:paraId="12EDE597" w14:textId="5335092C" w:rsidR="00994F93" w:rsidRPr="00B03B51" w:rsidRDefault="00BB494B" w:rsidP="00116E46">
      <w:pPr>
        <w:jc w:val="center"/>
        <w:rPr>
          <w:rFonts w:ascii="Times New Roman" w:eastAsia="Arial" w:hAnsi="Times New Roman" w:cs="Times New Roman"/>
          <w:noProof/>
          <w:sz w:val="24"/>
          <w:szCs w:val="18"/>
        </w:rPr>
      </w:pPr>
      <w:r w:rsidRPr="00B03B51">
        <w:rPr>
          <w:rFonts w:ascii="Times New Roman" w:eastAsia="Arial" w:hAnsi="Times New Roman" w:cs="Times New Roman"/>
          <w:noProof/>
          <w:sz w:val="24"/>
          <w:szCs w:val="18"/>
        </w:rPr>
        <w:lastRenderedPageBreak/>
        <w:drawing>
          <wp:inline distT="0" distB="0" distL="0" distR="0" wp14:anchorId="32A32621" wp14:editId="35491505">
            <wp:extent cx="5760085" cy="7610475"/>
            <wp:effectExtent l="0" t="0" r="0" b="952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760085" cy="7610475"/>
                    </a:xfrm>
                    <a:prstGeom prst="rect">
                      <a:avLst/>
                    </a:prstGeom>
                    <a:noFill/>
                    <a:ln>
                      <a:noFill/>
                    </a:ln>
                  </pic:spPr>
                </pic:pic>
              </a:graphicData>
            </a:graphic>
          </wp:inline>
        </w:drawing>
      </w:r>
    </w:p>
    <w:p w14:paraId="4B8D9105" w14:textId="77777777" w:rsidR="00994F93" w:rsidRPr="00B03B51" w:rsidRDefault="00994F93" w:rsidP="00994F93">
      <w:pPr>
        <w:jc w:val="both"/>
        <w:rPr>
          <w:rFonts w:ascii="Times New Roman" w:eastAsia="Arial" w:hAnsi="Times New Roman" w:cs="Times New Roman"/>
          <w:noProof/>
          <w:sz w:val="24"/>
          <w:szCs w:val="18"/>
        </w:rPr>
      </w:pPr>
    </w:p>
    <w:p w14:paraId="11014B61" w14:textId="77777777" w:rsidR="00994F93" w:rsidRPr="00B03B51" w:rsidRDefault="00994F93" w:rsidP="00994F93">
      <w:pPr>
        <w:rPr>
          <w:rFonts w:ascii="Times New Roman" w:eastAsia="Arial" w:hAnsi="Times New Roman" w:cs="Times New Roman"/>
          <w:noProof/>
          <w:sz w:val="24"/>
          <w:szCs w:val="18"/>
        </w:rPr>
      </w:pPr>
      <w:r w:rsidRPr="00B03B51">
        <w:rPr>
          <w:rFonts w:ascii="Times New Roman" w:hAnsi="Times New Roman" w:cs="Times New Roman"/>
        </w:rPr>
        <w:br w:type="page"/>
      </w:r>
    </w:p>
    <w:p w14:paraId="79B5848D" w14:textId="77777777" w:rsidR="00994F93" w:rsidRPr="00B03B51" w:rsidRDefault="00994F93" w:rsidP="00994F93">
      <w:pPr>
        <w:jc w:val="both"/>
        <w:rPr>
          <w:rFonts w:ascii="Times New Roman" w:eastAsia="Arial" w:hAnsi="Times New Roman" w:cs="Times New Roman"/>
          <w:noProof/>
          <w:sz w:val="24"/>
          <w:szCs w:val="18"/>
        </w:rPr>
      </w:pPr>
    </w:p>
    <w:p w14:paraId="43AB1DE4" w14:textId="77777777" w:rsidR="00994F93" w:rsidRPr="00B03B51" w:rsidRDefault="00994F93" w:rsidP="00994F93">
      <w:pPr>
        <w:pStyle w:val="Heading2"/>
        <w:tabs>
          <w:tab w:val="left" w:pos="1267"/>
        </w:tabs>
        <w:spacing w:before="0"/>
        <w:ind w:left="0" w:firstLine="0"/>
        <w:jc w:val="both"/>
        <w:rPr>
          <w:rFonts w:ascii="Times New Roman" w:hAnsi="Times New Roman" w:cs="Times New Roman"/>
          <w:noProof/>
          <w:sz w:val="28"/>
          <w:szCs w:val="44"/>
        </w:rPr>
      </w:pPr>
      <w:bookmarkStart w:id="169" w:name="2.6_Grants_from_and_contributions_to_the"/>
      <w:bookmarkStart w:id="170" w:name="_bookmark17"/>
      <w:bookmarkStart w:id="171" w:name="_Toc67565073"/>
      <w:bookmarkEnd w:id="169"/>
      <w:bookmarkEnd w:id="170"/>
      <w:r w:rsidRPr="00B03B51">
        <w:rPr>
          <w:rFonts w:ascii="Times New Roman" w:hAnsi="Times New Roman" w:cs="Times New Roman"/>
          <w:sz w:val="28"/>
          <w:szCs w:val="44"/>
        </w:rPr>
        <w:t>2.6. Dotācijas no ES budžeta un iemaksas ES budžetā</w:t>
      </w:r>
      <w:bookmarkEnd w:id="171"/>
    </w:p>
    <w:p w14:paraId="16A699A9" w14:textId="77777777" w:rsidR="00994F93" w:rsidRPr="00100B51" w:rsidRDefault="00994F93" w:rsidP="00100B51">
      <w:pPr>
        <w:rPr>
          <w:rFonts w:ascii="Times New Roman" w:hAnsi="Times New Roman" w:cs="Times New Roman"/>
          <w:noProof/>
          <w:sz w:val="24"/>
          <w:szCs w:val="24"/>
        </w:rPr>
      </w:pPr>
      <w:bookmarkStart w:id="172" w:name="2.6.1_Grants_from_the_EU_budget"/>
      <w:bookmarkEnd w:id="172"/>
    </w:p>
    <w:p w14:paraId="1061961B" w14:textId="77777777" w:rsidR="00994F93" w:rsidRPr="00B03B51" w:rsidRDefault="00994F93" w:rsidP="00994F93">
      <w:pPr>
        <w:pStyle w:val="Heading3"/>
        <w:tabs>
          <w:tab w:val="left" w:pos="1267"/>
        </w:tabs>
        <w:ind w:left="0" w:firstLine="0"/>
        <w:jc w:val="both"/>
        <w:rPr>
          <w:rFonts w:ascii="Times New Roman" w:hAnsi="Times New Roman" w:cs="Times New Roman"/>
          <w:noProof/>
          <w:sz w:val="24"/>
        </w:rPr>
      </w:pPr>
      <w:bookmarkStart w:id="173" w:name="_Toc67565074"/>
      <w:r w:rsidRPr="00B03B51">
        <w:rPr>
          <w:rFonts w:ascii="Times New Roman" w:hAnsi="Times New Roman" w:cs="Times New Roman"/>
          <w:sz w:val="24"/>
        </w:rPr>
        <w:t>2.6.1. Dotācijas no ES budžeta</w:t>
      </w:r>
      <w:bookmarkEnd w:id="173"/>
    </w:p>
    <w:p w14:paraId="0AC835A5" w14:textId="77777777" w:rsidR="00994F93" w:rsidRPr="00453D55" w:rsidRDefault="00994F93" w:rsidP="00453D55">
      <w:pPr>
        <w:rPr>
          <w:rFonts w:ascii="Times New Roman" w:hAnsi="Times New Roman" w:cs="Times New Roman"/>
          <w:noProof/>
          <w:sz w:val="24"/>
          <w:szCs w:val="24"/>
        </w:rPr>
      </w:pPr>
      <w:bookmarkStart w:id="174" w:name="2.6.1.1_Background"/>
      <w:bookmarkEnd w:id="174"/>
    </w:p>
    <w:p w14:paraId="3DBEB862" w14:textId="77777777" w:rsidR="00994F93" w:rsidRPr="00B03B51" w:rsidRDefault="00994F93" w:rsidP="00994F93">
      <w:pPr>
        <w:pStyle w:val="Heading6"/>
        <w:tabs>
          <w:tab w:val="left" w:pos="1267"/>
        </w:tabs>
        <w:ind w:left="0" w:firstLine="0"/>
        <w:jc w:val="both"/>
        <w:rPr>
          <w:rFonts w:ascii="Times New Roman" w:hAnsi="Times New Roman" w:cs="Times New Roman"/>
          <w:noProof/>
          <w:sz w:val="24"/>
        </w:rPr>
      </w:pPr>
      <w:r w:rsidRPr="00B03B51">
        <w:rPr>
          <w:rFonts w:ascii="Times New Roman" w:hAnsi="Times New Roman" w:cs="Times New Roman"/>
          <w:sz w:val="24"/>
        </w:rPr>
        <w:t>2.6.1.1. VISPĀRĪGA INFORMĀCIJA</w:t>
      </w:r>
    </w:p>
    <w:p w14:paraId="58B45F57"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1ABA8159"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 Eiropas iestādes veic ievērojamus pārskaitījumus dalībvalstīm no ES budžeta dažādiem kopējiem politiskiem mērķiem, galvenokārt kopējai lauksaimniecības politikai un struktūrfondiem. Šīs naudas plūsmas var būt ļoti dažādas, turpretim galasaņēmēji var būt valdības sektoram nepiederošas vienības (tas attiecas uz lielāko daļu pārskaitījumu, ko veic kopējās lauksaimniecības politikas mērķiem) vai arī valdības vienības (tas attiecas uz lielāko daļu pārskaitījumu, ko veic saistībā ar struktūrfondiem).</w:t>
      </w:r>
    </w:p>
    <w:p w14:paraId="0000E6AA"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3D9DA521"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2. Praksē pastāv divi galvenie ES dotāciju veidi, kuriem jāpievērš īpaša uzmanība, tos ierakstot nacionālajos kontos. Pirmkārt, ir dotācijas, kuras maksā no Eiropas Lauksaimniecības garantiju fonda (ELGF). Šīs galvenokārt ir subsīdijas, kuras tiek izmaksātas valdības sektoram nepiederošām vienībām kā galasaņēmējām. Otrkārt, ir dotācijas, kuras izmaksā saistībā ar kohēzijas politiku no struktūrfondiem (un Eiropas Lauksaimniecības fonda lauku attīstībai (ELFLA), Zivsaimniecības vadības finansēšanas instrumenta (ZVFI), Eiropas Sociālā fonda (ESF) un Eiropas Reģionālās attīstības fonda (ERAF)) un Kohēzijas fonda. Tie galvenokārt ir kārtējie pārskaitījumi vai kapitāla pārvedumi, ko saņem gan valdības vienības, gan valdības sektoram nepiederošas vienības. Eiropas iestāžu kārtējā budžetā ir iekļauti arī citi izdevumi. Aizvien lielāka daļa šādu izdevumu tiek paredzēta pētniecības un izstrādes atbalstam ES. Parasti ES dotāciju saņēmēji ir valdības sektoram nepiederošas vienības, bet tās var saņemt arī valdības vienības.</w:t>
      </w:r>
    </w:p>
    <w:p w14:paraId="63D4C49F"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7487E306"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3. Papildus iepriekš minētajam ir būtiski norādīt vēl trīs svarīgus dotāciju veidus: Šengenas konvencijas finanšu programma, pārejas instruments un naudas plūsmas instruments, no kuriem sniedz pagaidu finanšu palīdzību dalībvalstīm, kas ir nesen pievienojušās ES. Šengenas konvencijas finanšu programmas un pārejas instrumentu gadījumā ES nosaka pasākumus, kuriem ES dalībvalstis var izmantot šo instrumentu finansējumu. Šie pasākumi skar dažādas ES kopīgās politikas jomas un iniciatīvas (piemēram, Šengenas zonu, muitas savienību, kā arī kopējās lauksaimniecības politikas valsts pārvaldes struktūras), tāpēc šajā nodaļā izklāstītie noteikumi attiecas arī uz šiem diviem instrumentiem. Savukārt naudas plūsmas instrumenta līdzekļus ES piešķir bez nosacījumiem, nenorādot jomas, kurās šos līdzekļus drīkst tērēt. Eiropas iestādes neuzrauga, kā saņēmējas dalībvalstis izmanto šos naudas līdzekļus. ES nav arī tiesību apturēt savus ikmēneša maksājumus vai pieprasīt atmaksāt ES budžetā jebkādas summas, tādējādi naudas plūsmas instrumenta līdzekļiem drīzāk ir kārtējo pārskaitījumu pazīmes starptautiskās sadarbības kontekstā, kā ir definēts EKS 2010 4.121.–4.124. punktā.</w:t>
      </w:r>
    </w:p>
    <w:p w14:paraId="1C1D402A"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29333CCA"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4. Pārskaitījumi ir sadales darījumu veids, kuros bieži ir iesaistītas tikai divas puses – maksātājs un saņēmējs. Taču gadījumā, ja pārskaitījumus veic Eiropas iestādes, praksē tajos var būt iesaistītas trīs vai pat vairāk puses. Papildus jānorāda, ka parasti šādi maksājumi tiek nodoti ar valdības starpniecību pat tad, ja galasaņēmēji ir valdības sektoram nepiederošas vienības (parasti saistībā ar līdzfinansēšanas procedūru, kad Eiropas iestādes atbalsta valdības ieguldījumu pasākumus, taču neaizstāj tos).</w:t>
      </w:r>
    </w:p>
    <w:p w14:paraId="2DAFC755"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4B7ED953"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 xml:space="preserve">5. Praktiski Eiropas iestādes veic maksājumus galasaņēmējiem, pamatojoties uz informāciju, kuru tās saņem no valstu valdībām. Lielākā daļa maksājumu tiek virzīti caur valdību kontiem </w:t>
      </w:r>
      <w:r w:rsidRPr="00B03B51">
        <w:rPr>
          <w:rFonts w:ascii="Times New Roman" w:hAnsi="Times New Roman" w:cs="Times New Roman"/>
          <w:sz w:val="24"/>
        </w:rPr>
        <w:lastRenderedPageBreak/>
        <w:t>(atsevišķi izņēmumi pastāv tikai ar lauksaimniecības politiku saistīto maksājumu gadījumā), pat ja šajā gadījumā valstu valdības netiek iesaistītas tajā ekonomiskajā lēmumā, ar ko nosaka ES maksājumu. Tas, ka naudas pārskaitījumi no ES fondiem nonāk īpašos kontos, kurus šajās valstīs pārvalda valdības vienības, protams, ir jāuzskata par pozitīvu faktoru saistībā ar tās informācijas pieejamību, kas ir nepieciešama nacionālo kontu speciālistiem. Dažās valstīs visiem maksājumiem, ko ES dalībvalsts veic Eiropas institūcijām, un maksājumiem, ko Eiropas iestādes veic ES dalībvalstij, var būt izmantots tikai vienu konts. Šādos gadījumos ir pareizi jānovērtē no ES ienākošo plūsmu (piemēram, avansa maksājumu daudzgadu programmas sākumā) ietekme uz neto aizdevumu/aizņēmumu (B.9).</w:t>
      </w:r>
    </w:p>
    <w:p w14:paraId="5C643000"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0A924A98"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6. Neatkarīgi no jautājumiem, kas rodas sakarā ar atšķirību starp datu avotiem (ES budžets, maksājumu bilance), kuriem ir nepieciešama īpaša izpēte laikā, kad tiek apkopoti dati nacionālajos kontos, ir jāizskata divi svarīgi jautājumi – pirmkārt, ierakstīšanas laiks, un, otrkārt, konkrēta darījuma klasificēšana nacionālajos kontos.</w:t>
      </w:r>
    </w:p>
    <w:p w14:paraId="29444D7C"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3C5D6497"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7. Darījumu nacionālajos kontos var klasificēt vienā no turpmāk minētajām formām vai kā šādu darījumu apvienojumu:</w:t>
      </w:r>
    </w:p>
    <w:p w14:paraId="65E8C6D3"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2E2081EB" w14:textId="77777777" w:rsidR="00994F93" w:rsidRPr="00B03B51" w:rsidRDefault="00994F93" w:rsidP="00116E46">
      <w:pPr>
        <w:pStyle w:val="BodyText"/>
        <w:numPr>
          <w:ilvl w:val="1"/>
          <w:numId w:val="9"/>
        </w:numPr>
        <w:spacing w:before="0"/>
        <w:ind w:left="426" w:hanging="425"/>
        <w:jc w:val="both"/>
        <w:rPr>
          <w:rFonts w:ascii="Times New Roman" w:hAnsi="Times New Roman" w:cs="Times New Roman"/>
          <w:noProof/>
          <w:sz w:val="24"/>
        </w:rPr>
      </w:pPr>
      <w:r w:rsidRPr="00B03B51">
        <w:rPr>
          <w:rFonts w:ascii="Times New Roman" w:hAnsi="Times New Roman" w:cs="Times New Roman"/>
          <w:sz w:val="24"/>
        </w:rPr>
        <w:t>subsīdijas (D.3);</w:t>
      </w:r>
    </w:p>
    <w:p w14:paraId="3024D21D" w14:textId="77777777" w:rsidR="00994F93" w:rsidRPr="00B03B51" w:rsidRDefault="00994F93" w:rsidP="00116E46">
      <w:pPr>
        <w:pStyle w:val="BodyText"/>
        <w:numPr>
          <w:ilvl w:val="1"/>
          <w:numId w:val="9"/>
        </w:numPr>
        <w:spacing w:before="0"/>
        <w:ind w:left="426" w:hanging="425"/>
        <w:jc w:val="both"/>
        <w:rPr>
          <w:rFonts w:ascii="Times New Roman" w:hAnsi="Times New Roman" w:cs="Times New Roman"/>
          <w:noProof/>
          <w:sz w:val="24"/>
        </w:rPr>
      </w:pPr>
      <w:r w:rsidRPr="00B03B51">
        <w:rPr>
          <w:rFonts w:ascii="Times New Roman" w:hAnsi="Times New Roman" w:cs="Times New Roman"/>
          <w:sz w:val="24"/>
        </w:rPr>
        <w:t>citi kārtējie pārvedumi (D.7);</w:t>
      </w:r>
    </w:p>
    <w:p w14:paraId="0F9D6FCA" w14:textId="77777777" w:rsidR="00994F93" w:rsidRPr="00B03B51" w:rsidRDefault="00994F93" w:rsidP="00116E46">
      <w:pPr>
        <w:pStyle w:val="BodyText"/>
        <w:numPr>
          <w:ilvl w:val="1"/>
          <w:numId w:val="9"/>
        </w:numPr>
        <w:spacing w:before="0"/>
        <w:ind w:left="426" w:hanging="425"/>
        <w:jc w:val="both"/>
        <w:rPr>
          <w:rFonts w:ascii="Times New Roman" w:hAnsi="Times New Roman" w:cs="Times New Roman"/>
          <w:noProof/>
          <w:sz w:val="24"/>
        </w:rPr>
      </w:pPr>
      <w:r w:rsidRPr="00B03B51">
        <w:rPr>
          <w:rFonts w:ascii="Times New Roman" w:hAnsi="Times New Roman" w:cs="Times New Roman"/>
          <w:sz w:val="24"/>
        </w:rPr>
        <w:t>kapitāla pārvedumi (D.9).</w:t>
      </w:r>
    </w:p>
    <w:p w14:paraId="25D65647"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2AB8969E"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 xml:space="preserve">8. Tā kā šāda klasifikācija var ietekmēt dažus kopsavilkuma rādītājus vai bilances posteņus nacionālajos kontos (bet ne neto aizņēmumu/aizdevumu (B.9), kas ir izšķiroši saistībā ar </w:t>
      </w:r>
      <w:r w:rsidRPr="00B03B51">
        <w:rPr>
          <w:rFonts w:ascii="Times New Roman" w:hAnsi="Times New Roman" w:cs="Times New Roman"/>
          <w:i/>
          <w:iCs/>
          <w:sz w:val="24"/>
        </w:rPr>
        <w:t>EDP</w:t>
      </w:r>
      <w:r w:rsidRPr="00B03B51">
        <w:rPr>
          <w:rFonts w:ascii="Times New Roman" w:hAnsi="Times New Roman" w:cs="Times New Roman"/>
          <w:sz w:val="24"/>
        </w:rPr>
        <w:t>), līdzīgi darījumi būtu jāklasificē tajās pašās (iepriekš minētajās) EKS 2010 kategorijās, lai nodrošinātu salīdzināmību. Šajā nodaļā nav sniegtas norādes par šādu darījumu klasifikāciju.</w:t>
      </w:r>
    </w:p>
    <w:p w14:paraId="0677076A"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1F642315"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9. ES budžeta noteikumi ir sarežģīti. Tie ievērojami atšķiras lauksaimniecības maksājumu gadījumā (kas galvenokārt ir subsīdijas) un struktūrfondu kohēzijas politikas maksājumu gadījumā (kas galvenokārt ir kārtējie vai kapitāla pārvedumi), tostarp pastāv arī iepriekšējie maksājumi, starpposma maksājumi un gala maksājumi, un šos maksājumus, kā jau iepriekš minēts, nereti veic nevis galasaņēmējam, bet gan valdības aģentūrai, kura pēc tam veic maksājumu galasaņēmējam.</w:t>
      </w:r>
    </w:p>
    <w:p w14:paraId="5FA2B199"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7F8413AB"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10. Kohēzijas politikas maksājumus piešķir atbilstoši septiņus gadus ilgiem plānošanas periodiem. Tiklīdz ir pieņemtas obligātās valsts programmas, ES dalībvalstis saņem avansa maksājumus par visu periodu. Plānošanas perioda laikā Eiropas iestādes veic starpposma maksājumus, lai atlīdzinātu ES dalībvalstu apliecinātos faktiskos izdevumus līdz pat 95 % (tostarp avansa maksājumu plānošanas perioda sākumā). Atlikumu 5 % apmērā samaksā programmas slēgšanas brīdī, tiklīdz iestādēm ir iesniegti un apstiprināti visi dokumenti.</w:t>
      </w:r>
    </w:p>
    <w:p w14:paraId="08F38634"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01702EC5"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11. Pastāv jautājums par ierakstīšanas laiku, kas var tieši ietekmēt neto aizdevumu/aizņēmumu (B.9). Tiklīdz galasaņēmējam ir radušies izdevumi (parasti ar ļoti nelielu aizkavēšanos), pārvaldības iestāde nosūta Eiropas iestādei visus attiecīgos dokumentus, lai nodrošinātu atbilstošās (un likumīgās) summas atmaksāšanu. Eiropas iestādes apstiprina un veic maksājumus saņēmējiem tikai pēc tam, kad, pamatojoties uz saņemtajiem apliecinošajiem dokumentiem, ir pārbaudījušas atbilstību noteikumiem un nosacījumiem, par kuriem panākta vienošanās. Parasti no apliecinošo dokumentu saņemšanas brīža līdz maksājuma apstiprināšanai aizrit ne vairāk par diviem mēnešiem.</w:t>
      </w:r>
    </w:p>
    <w:p w14:paraId="47BEDFAF"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0098052F"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 xml:space="preserve">12. Šādos apstākļos katra gada beigās tiek novērotas neatbilstības (galvenokārt administratīvo </w:t>
      </w:r>
      <w:r w:rsidRPr="00B03B51">
        <w:rPr>
          <w:rFonts w:ascii="Times New Roman" w:hAnsi="Times New Roman" w:cs="Times New Roman"/>
          <w:sz w:val="24"/>
        </w:rPr>
        <w:lastRenderedPageBreak/>
        <w:t>kavējumu dēļ), un ir bijuši arī gadījumi, kuros ES pārskaitījums ir ticis atteikts vai atcelts, piemēram, krāpšanas gadījumā. Maksājumus atsaka, ja valdība ir izmaksājusi subsīdijas vai veikusi citus pārskaitījumus ES vārdā, taču pēc veiktās revīzijas ES neapstiprina daļu izdevumu vai visus izdevumus un atsakās atmaksāt vismaz daļu no tiem.</w:t>
      </w:r>
    </w:p>
    <w:p w14:paraId="630B9B63"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4F551176"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 xml:space="preserve">13. Daži šo ES dotāciju maksājumu aspektiem var ievērojami ietekmēt valdības neto aizdevumu/aizņēmumu (B.9). Var rasties situācija, kad valdības izmaksā lauksaimniecības subsīdijas avansā (piemēram, </w:t>
      </w:r>
      <w:r w:rsidRPr="00B03B51">
        <w:rPr>
          <w:rFonts w:ascii="Times New Roman" w:hAnsi="Times New Roman" w:cs="Times New Roman"/>
          <w:i/>
          <w:iCs/>
          <w:sz w:val="24"/>
        </w:rPr>
        <w:t>t</w:t>
      </w:r>
      <w:r w:rsidRPr="00B03B51">
        <w:rPr>
          <w:rFonts w:ascii="Times New Roman" w:hAnsi="Times New Roman" w:cs="Times New Roman"/>
          <w:sz w:val="24"/>
        </w:rPr>
        <w:t xml:space="preserve"> gada septembrī), kamēr to atmaksa no Eiropas Lauksaimniecības garantiju fonda (ELGF) tiek veikta tikai vēlāk (piemēram, </w:t>
      </w:r>
      <w:r w:rsidRPr="00B03B51">
        <w:rPr>
          <w:rFonts w:ascii="Times New Roman" w:hAnsi="Times New Roman" w:cs="Times New Roman"/>
          <w:i/>
          <w:iCs/>
          <w:sz w:val="24"/>
        </w:rPr>
        <w:t>t+1</w:t>
      </w:r>
      <w:r w:rsidRPr="00B03B51">
        <w:rPr>
          <w:rFonts w:ascii="Times New Roman" w:hAnsi="Times New Roman" w:cs="Times New Roman"/>
          <w:sz w:val="24"/>
        </w:rPr>
        <w:t> gada janvārī). Līdzīgi arī no struktūrfondiem var veikt priekšmaksājumus valdībām programmas perioda sākumā.</w:t>
      </w:r>
    </w:p>
    <w:p w14:paraId="0D8BC1C6"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45957D9B"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14. Šajā nodaļā sniegti norādījumi par ES dotāciju vienveidīgu ierakstīšanu ES dalībvalstīs un ar ES saistīto plūsmu ietekmes uz laiku neitralizēšanu. Tā kā valdība, pārskaitot dotācijas galasaņēmējiem, rīkojas kā Eiropas iestāžu deleģēta pārstāve, tad tas, kāda metode tiks izmantota, ietekmē ne tikai pārējās pasaules kontus, bet arī valdības kontu.</w:t>
      </w:r>
    </w:p>
    <w:p w14:paraId="13007163"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130AA0C9"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15. Attiecīgie norādījumi par to, kā ierakstāmas tirgu regulējošo institūciju krājumu pārmaiņas, ir sniegti 1.4. nodaļā “Tirgu regulējošās institūcijas lauksaimniecības nozarē”, tāpēc šajā nodaļā šis jautājums netiek analizēts.</w:t>
      </w:r>
    </w:p>
    <w:p w14:paraId="19C6ECE1"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7F7A2D81"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16. Visbeidzot, šajā nodaļā ir aplūkots jautājums par dalībvalstu iemaksām ES budžetā (skat. 2.6.2. iedaļu).</w:t>
      </w:r>
    </w:p>
    <w:p w14:paraId="0D30AFCB" w14:textId="77777777" w:rsidR="00994F93" w:rsidRPr="00B03B51" w:rsidRDefault="00994F93" w:rsidP="00994F93">
      <w:pPr>
        <w:jc w:val="both"/>
        <w:rPr>
          <w:rFonts w:ascii="Times New Roman" w:hAnsi="Times New Roman" w:cs="Times New Roman"/>
          <w:noProof/>
          <w:sz w:val="24"/>
        </w:rPr>
      </w:pPr>
    </w:p>
    <w:p w14:paraId="1FD4B106" w14:textId="77777777" w:rsidR="00994F93" w:rsidRPr="00B03B51" w:rsidRDefault="00994F93" w:rsidP="00994F93">
      <w:pPr>
        <w:pStyle w:val="Heading6"/>
        <w:tabs>
          <w:tab w:val="left" w:pos="1267"/>
        </w:tabs>
        <w:ind w:left="0" w:firstLine="0"/>
        <w:jc w:val="both"/>
        <w:rPr>
          <w:rFonts w:ascii="Times New Roman" w:hAnsi="Times New Roman" w:cs="Times New Roman"/>
          <w:noProof/>
          <w:sz w:val="24"/>
        </w:rPr>
      </w:pPr>
      <w:bookmarkStart w:id="175" w:name="2.6.1.2_Treatment_in_national_accounts"/>
      <w:bookmarkEnd w:id="175"/>
      <w:r w:rsidRPr="00B03B51">
        <w:rPr>
          <w:rFonts w:ascii="Times New Roman" w:hAnsi="Times New Roman" w:cs="Times New Roman"/>
          <w:sz w:val="24"/>
        </w:rPr>
        <w:t>2.6.1.2. TRAKTĒJUMS NACIONĀLAJOS KONTOS</w:t>
      </w:r>
    </w:p>
    <w:p w14:paraId="3D980873" w14:textId="77777777" w:rsidR="00994F93" w:rsidRPr="00B03B51" w:rsidRDefault="00994F93" w:rsidP="00994F93">
      <w:pPr>
        <w:jc w:val="both"/>
        <w:rPr>
          <w:rFonts w:ascii="Times New Roman" w:eastAsia="Arial" w:hAnsi="Times New Roman" w:cs="Times New Roman"/>
          <w:b/>
          <w:bCs/>
          <w:noProof/>
          <w:sz w:val="24"/>
          <w:szCs w:val="21"/>
        </w:rPr>
      </w:pPr>
    </w:p>
    <w:p w14:paraId="0C88F261" w14:textId="77777777" w:rsidR="00994F93" w:rsidRPr="00B03B51" w:rsidRDefault="00994F93" w:rsidP="00994F93">
      <w:pPr>
        <w:jc w:val="both"/>
        <w:rPr>
          <w:rFonts w:ascii="Times New Roman" w:hAnsi="Times New Roman" w:cs="Times New Roman"/>
          <w:b/>
          <w:noProof/>
          <w:sz w:val="24"/>
        </w:rPr>
      </w:pPr>
      <w:r w:rsidRPr="00B03B51">
        <w:rPr>
          <w:rFonts w:ascii="Times New Roman" w:hAnsi="Times New Roman" w:cs="Times New Roman"/>
          <w:b/>
          <w:sz w:val="24"/>
        </w:rPr>
        <w:t>Vispārīgs noteikums</w:t>
      </w:r>
    </w:p>
    <w:p w14:paraId="7CC73B77" w14:textId="77777777" w:rsidR="00994F93" w:rsidRPr="00B03B51" w:rsidRDefault="00994F93" w:rsidP="00994F93">
      <w:pPr>
        <w:jc w:val="both"/>
        <w:rPr>
          <w:rFonts w:ascii="Times New Roman" w:eastAsia="Arial" w:hAnsi="Times New Roman" w:cs="Times New Roman"/>
          <w:b/>
          <w:bCs/>
          <w:noProof/>
          <w:sz w:val="24"/>
        </w:rPr>
      </w:pPr>
    </w:p>
    <w:p w14:paraId="02414855"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17. Parasti ES pārskaitījumi to veikšanas brīdī nekādi neietekmē valdības neto aizdevumu/aizņēmumu (B.9). Proti, iespējamā laika nobīde starp ieņēmumu un izdevumu plūsmām vai šo darījumu finansējumā neizraisa vispārējās valdības neto aizdevuma/aizņēmuma (B.9) stāvokļa uzlabošanos vai pasliktināšanos nacionālajos kontos.</w:t>
      </w:r>
    </w:p>
    <w:p w14:paraId="1D80A159"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6ABA9D36"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18. Traktējums nacionālajos kontos ir atkarīgs no šo ES dotāciju galasaņēmēja (proti, no vienības, kas veic darbību, attiecībā uz kuru var piešķirt ES dotāciju). Dotācijas, kuras valdības vienība saņem kā galasaņēmēja, traktē atšķirīgi no dotācijām, kuru galasaņēmējs ir valdības sektoram nepiederoša vienība.</w:t>
      </w:r>
    </w:p>
    <w:p w14:paraId="142E1535" w14:textId="77777777" w:rsidR="00994F93" w:rsidRPr="00453D55" w:rsidRDefault="00994F93" w:rsidP="00453D55">
      <w:pPr>
        <w:rPr>
          <w:rFonts w:ascii="Times New Roman" w:hAnsi="Times New Roman" w:cs="Times New Roman"/>
          <w:noProof/>
          <w:sz w:val="24"/>
          <w:szCs w:val="24"/>
        </w:rPr>
      </w:pPr>
    </w:p>
    <w:p w14:paraId="46F05E02" w14:textId="77777777" w:rsidR="00994F93" w:rsidRPr="00B03B51" w:rsidRDefault="00994F93" w:rsidP="00994F93">
      <w:pPr>
        <w:pStyle w:val="Heading6"/>
        <w:tabs>
          <w:tab w:val="left" w:pos="1692"/>
        </w:tabs>
        <w:ind w:left="0" w:firstLine="0"/>
        <w:jc w:val="both"/>
        <w:rPr>
          <w:rFonts w:ascii="Times New Roman" w:hAnsi="Times New Roman" w:cs="Times New Roman"/>
          <w:noProof/>
          <w:sz w:val="24"/>
        </w:rPr>
      </w:pPr>
      <w:r w:rsidRPr="00B03B51">
        <w:rPr>
          <w:rFonts w:ascii="Times New Roman" w:hAnsi="Times New Roman" w:cs="Times New Roman"/>
          <w:sz w:val="24"/>
        </w:rPr>
        <w:t>2.6.1.2.1. ES dotāciju saņēmējs nav valdības vienība</w:t>
      </w:r>
    </w:p>
    <w:p w14:paraId="0E533EB5" w14:textId="77777777" w:rsidR="00994F93" w:rsidRPr="00B03B51" w:rsidRDefault="00994F93" w:rsidP="00994F93">
      <w:pPr>
        <w:jc w:val="both"/>
        <w:rPr>
          <w:rFonts w:ascii="Times New Roman" w:eastAsia="Arial" w:hAnsi="Times New Roman" w:cs="Times New Roman"/>
          <w:b/>
          <w:bCs/>
          <w:noProof/>
          <w:sz w:val="24"/>
          <w:szCs w:val="20"/>
        </w:rPr>
      </w:pPr>
    </w:p>
    <w:p w14:paraId="2A996046" w14:textId="77777777" w:rsidR="00994F93" w:rsidRPr="00B03B51" w:rsidRDefault="00994F93" w:rsidP="00994F93">
      <w:pPr>
        <w:jc w:val="both"/>
        <w:rPr>
          <w:rFonts w:ascii="Times New Roman" w:hAnsi="Times New Roman" w:cs="Times New Roman"/>
          <w:b/>
          <w:noProof/>
          <w:sz w:val="24"/>
        </w:rPr>
      </w:pPr>
      <w:r w:rsidRPr="00B03B51">
        <w:rPr>
          <w:rFonts w:ascii="Times New Roman" w:hAnsi="Times New Roman" w:cs="Times New Roman"/>
          <w:b/>
          <w:sz w:val="24"/>
        </w:rPr>
        <w:t>Vispārīgs noteikums</w:t>
      </w:r>
    </w:p>
    <w:p w14:paraId="590F31F3" w14:textId="77777777" w:rsidR="00994F93" w:rsidRPr="00B03B51" w:rsidRDefault="00994F93" w:rsidP="00994F93">
      <w:pPr>
        <w:jc w:val="both"/>
        <w:rPr>
          <w:rFonts w:ascii="Times New Roman" w:eastAsia="Arial" w:hAnsi="Times New Roman" w:cs="Times New Roman"/>
          <w:b/>
          <w:bCs/>
          <w:noProof/>
          <w:sz w:val="24"/>
        </w:rPr>
      </w:pPr>
    </w:p>
    <w:p w14:paraId="36FC0CEC"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19. Ja galasaņēmējs nav valdība, pārskaitījumu ieraksta galasaņēmēja kontos saskaņā ar EKS 2010 noteikumiem, bet saistītos darījumus ieraksta tikai vispārējās valdības finanšu kontos bez jebkādas ietekmes uz valdības neto aizdevumu/aizņēmumu (B.9).</w:t>
      </w:r>
    </w:p>
    <w:p w14:paraId="7E8884CF"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565BF98D"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 xml:space="preserve">20. Nacionālajos kontos šie pārskaitījumi ir jāieraksta kā sadales darījumi tieši starp Eiropas iestādēm (izlietojums) un valdības sektoram nepiederošiem saņēmējiem (resursi). Subsīdiju (D.3) gadījumā summas ieraksta tajā uzskaites periodā, kad notiek darījums vai notikums (ražošana, pārdošana, ievešana utt.), kas tiek izmantots par pamatu subsīdijai. Tas ir vispārīgs noteikums (EKS 2010 4.39. punkts), kas jāievēro, ciktāl tas vien ir iespējams. Taču atsevišķos </w:t>
      </w:r>
      <w:r w:rsidRPr="00B03B51">
        <w:rPr>
          <w:rFonts w:ascii="Times New Roman" w:hAnsi="Times New Roman" w:cs="Times New Roman"/>
          <w:sz w:val="24"/>
        </w:rPr>
        <w:lastRenderedPageBreak/>
        <w:t>ļoti īpašos izņēmuma gadījumos var būt sarežģīti iegūt informāciju par precīzu periodu, kurā attiecīgā saimnieciskā darbība ir notikusi. Ir vispārpieņemts, ka ierakstīšanā, ko veic atbilstoši uzkrāšanas principam, par aizstājējperiodu var uzskatīt laiku, kad tiek veikts naudas maksājums (vai nu no Eiropas iestādēm, vai arī no valdības avansa veidā, skat. turpmāk). Tomēr statistikas iestādēm jādara viss iespējamais, lai iegūtu atbilstošu informāciju vai piemērotas aplēses metodes attiecībā uz lielāko daļu darījumu, kuros laika nobīde starp saimniecisko darbību un maksājumu var būt par iemeslu nepareizam atspoguļojumam valdības bilancē.</w:t>
      </w:r>
    </w:p>
    <w:p w14:paraId="218175E9" w14:textId="77777777" w:rsidR="00994F93" w:rsidRPr="00B03B51" w:rsidRDefault="00994F93" w:rsidP="00994F93">
      <w:pPr>
        <w:tabs>
          <w:tab w:val="left" w:pos="843"/>
        </w:tabs>
        <w:jc w:val="both"/>
        <w:rPr>
          <w:rFonts w:ascii="Times New Roman" w:hAnsi="Times New Roman" w:cs="Times New Roman"/>
          <w:noProof/>
          <w:sz w:val="24"/>
        </w:rPr>
      </w:pPr>
    </w:p>
    <w:p w14:paraId="7E951D65" w14:textId="77777777" w:rsidR="00994F93" w:rsidRPr="00B03B51" w:rsidRDefault="00994F93" w:rsidP="00994F93">
      <w:pPr>
        <w:tabs>
          <w:tab w:val="left" w:pos="843"/>
        </w:tabs>
        <w:jc w:val="both"/>
        <w:rPr>
          <w:rFonts w:ascii="Times New Roman" w:eastAsia="Arial" w:hAnsi="Times New Roman" w:cs="Times New Roman"/>
          <w:noProof/>
          <w:sz w:val="24"/>
          <w:szCs w:val="19"/>
        </w:rPr>
      </w:pPr>
      <w:r w:rsidRPr="00B03B51">
        <w:rPr>
          <w:rFonts w:ascii="Times New Roman" w:hAnsi="Times New Roman" w:cs="Times New Roman"/>
          <w:sz w:val="24"/>
        </w:rPr>
        <w:t xml:space="preserve">21. Citu kārtējo pārvedumu (D.7) gadījumā summas ieraksta tajā pārskata periodā, kurā rodas maksājuma saistības (EKS 2010 4.123. punkts: </w:t>
      </w:r>
      <w:r w:rsidRPr="00B03B51">
        <w:rPr>
          <w:rFonts w:ascii="Times New Roman" w:hAnsi="Times New Roman" w:cs="Times New Roman"/>
          <w:i/>
          <w:iCs/>
          <w:sz w:val="24"/>
        </w:rPr>
        <w:t>ieraksta tad, kad spēkā esošais regulējums paredz veikt pārvedumus obligāto pārvedumu gadījumā vai kad veic pārvedumus brīvprātīgo pārvedumu gadījumā</w:t>
      </w:r>
      <w:r w:rsidRPr="00B03B51">
        <w:rPr>
          <w:rFonts w:ascii="Times New Roman" w:hAnsi="Times New Roman" w:cs="Times New Roman"/>
          <w:sz w:val="24"/>
        </w:rPr>
        <w:t>).</w:t>
      </w:r>
    </w:p>
    <w:p w14:paraId="39959CE9"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3BB15BCE"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 xml:space="preserve">22. Kapitāla pārvedumu (ieguldījumu dotācijas D.92) gadījumā summas ieraksta periodā, kad </w:t>
      </w:r>
      <w:r w:rsidRPr="00B03B51">
        <w:rPr>
          <w:rFonts w:ascii="Times New Roman" w:hAnsi="Times New Roman" w:cs="Times New Roman"/>
          <w:i/>
          <w:iCs/>
          <w:sz w:val="24"/>
        </w:rPr>
        <w:t>jāveic maksājums</w:t>
      </w:r>
      <w:r w:rsidRPr="00B03B51">
        <w:rPr>
          <w:rFonts w:ascii="Times New Roman" w:hAnsi="Times New Roman" w:cs="Times New Roman"/>
          <w:sz w:val="24"/>
        </w:rPr>
        <w:t xml:space="preserve"> (EKS 2010 4.162. punkts).</w:t>
      </w:r>
    </w:p>
    <w:p w14:paraId="1E1BBA6A" w14:textId="77777777" w:rsidR="00994F93" w:rsidRPr="00B03B51" w:rsidRDefault="00994F93" w:rsidP="00994F93">
      <w:pPr>
        <w:jc w:val="both"/>
        <w:rPr>
          <w:rFonts w:ascii="Times New Roman" w:eastAsia="Arial" w:hAnsi="Times New Roman" w:cs="Times New Roman"/>
          <w:noProof/>
          <w:sz w:val="24"/>
        </w:rPr>
      </w:pPr>
    </w:p>
    <w:p w14:paraId="28CB4069"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 xml:space="preserve">23. Piemēram, aplūkosim gadījumu, kad Eiropas iestādes noteiktajā termiņā </w:t>
      </w:r>
      <w:r w:rsidRPr="00B03B51">
        <w:rPr>
          <w:rFonts w:ascii="Times New Roman" w:hAnsi="Times New Roman" w:cs="Times New Roman"/>
          <w:i/>
          <w:iCs/>
          <w:sz w:val="24"/>
        </w:rPr>
        <w:t>t+1</w:t>
      </w:r>
      <w:r w:rsidRPr="00B03B51">
        <w:rPr>
          <w:rFonts w:ascii="Times New Roman" w:hAnsi="Times New Roman" w:cs="Times New Roman"/>
          <w:sz w:val="24"/>
        </w:rPr>
        <w:t xml:space="preserve"> gada februārī veic maksājumu valdības sektoram nepiederošai vienībai par </w:t>
      </w:r>
      <w:r w:rsidRPr="00B03B51">
        <w:rPr>
          <w:rFonts w:ascii="Times New Roman" w:hAnsi="Times New Roman" w:cs="Times New Roman"/>
          <w:i/>
          <w:iCs/>
          <w:sz w:val="24"/>
        </w:rPr>
        <w:t>t </w:t>
      </w:r>
      <w:r w:rsidRPr="00B03B51">
        <w:rPr>
          <w:rFonts w:ascii="Times New Roman" w:hAnsi="Times New Roman" w:cs="Times New Roman"/>
          <w:sz w:val="24"/>
        </w:rPr>
        <w:t xml:space="preserve">gada ceturto ceturksni. Ja šis maksājums ir subsīdija, tā jāieraksta </w:t>
      </w:r>
      <w:r w:rsidRPr="00B03B51">
        <w:rPr>
          <w:rFonts w:ascii="Times New Roman" w:hAnsi="Times New Roman" w:cs="Times New Roman"/>
          <w:i/>
          <w:iCs/>
          <w:sz w:val="24"/>
        </w:rPr>
        <w:t>t</w:t>
      </w:r>
      <w:r w:rsidRPr="00B03B51">
        <w:rPr>
          <w:rFonts w:ascii="Times New Roman" w:hAnsi="Times New Roman" w:cs="Times New Roman"/>
          <w:sz w:val="24"/>
        </w:rPr>
        <w:t xml:space="preserve"> gada kontos kā valdības sektoram nepiederošas vienības resurss, kuru izmanto pārējās pasaules kontiem. Ja tas ir kapitāla pārvedums, tas ir jāieraksta kā ieņēmumi, ko valdības sektoram nepiederoša vienība guvusi līdz </w:t>
      </w:r>
      <w:r w:rsidRPr="00B03B51">
        <w:rPr>
          <w:rFonts w:ascii="Times New Roman" w:hAnsi="Times New Roman" w:cs="Times New Roman"/>
          <w:i/>
          <w:iCs/>
          <w:sz w:val="24"/>
        </w:rPr>
        <w:t>t+1</w:t>
      </w:r>
      <w:r w:rsidRPr="00B03B51">
        <w:rPr>
          <w:rFonts w:ascii="Times New Roman" w:hAnsi="Times New Roman" w:cs="Times New Roman"/>
          <w:sz w:val="24"/>
        </w:rPr>
        <w:t> gadam, kad Eiropas iestādēm ir jāveic maksājums, neatkarīgi no tā, kurā periodā šie kapitālizdevumi ir radušies.</w:t>
      </w:r>
    </w:p>
    <w:p w14:paraId="1872D610" w14:textId="77777777" w:rsidR="00994F93" w:rsidRPr="00B03B51" w:rsidRDefault="00994F93" w:rsidP="00994F93">
      <w:pPr>
        <w:jc w:val="both"/>
        <w:rPr>
          <w:rFonts w:ascii="Times New Roman" w:eastAsia="Arial" w:hAnsi="Times New Roman" w:cs="Times New Roman"/>
          <w:noProof/>
          <w:sz w:val="24"/>
          <w:szCs w:val="18"/>
        </w:rPr>
      </w:pPr>
    </w:p>
    <w:p w14:paraId="088AD618" w14:textId="77777777" w:rsidR="00994F93" w:rsidRPr="00B03B51" w:rsidRDefault="00994F93" w:rsidP="00994F93">
      <w:pPr>
        <w:jc w:val="both"/>
        <w:rPr>
          <w:rFonts w:ascii="Times New Roman" w:hAnsi="Times New Roman" w:cs="Times New Roman"/>
          <w:b/>
          <w:noProof/>
          <w:sz w:val="24"/>
        </w:rPr>
      </w:pPr>
      <w:r w:rsidRPr="00B03B51">
        <w:rPr>
          <w:rFonts w:ascii="Times New Roman" w:hAnsi="Times New Roman" w:cs="Times New Roman"/>
          <w:b/>
          <w:sz w:val="24"/>
        </w:rPr>
        <w:t>Īpašs gadījums, kad valdība veic avansa maksājumu</w:t>
      </w:r>
    </w:p>
    <w:p w14:paraId="514405A0" w14:textId="77777777" w:rsidR="00994F93" w:rsidRPr="00B03B51" w:rsidRDefault="00994F93" w:rsidP="00994F93">
      <w:pPr>
        <w:jc w:val="both"/>
        <w:rPr>
          <w:rFonts w:ascii="Times New Roman" w:eastAsia="Arial" w:hAnsi="Times New Roman" w:cs="Times New Roman"/>
          <w:b/>
          <w:bCs/>
          <w:noProof/>
          <w:sz w:val="24"/>
        </w:rPr>
      </w:pPr>
    </w:p>
    <w:p w14:paraId="399899BA"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24. Bieži valdība veic avansa maksājumus valdības sektoram nepiederošai vienībai, kurai ir tiesības saņemt pārskaitījumus no Eiropas iestādēm (galvenokārt tiktāl, ciktāl tas attiecas uz lauksaimniekiem). Tas tiek darīts, lai samazinātu saņēmējiem finanšu slogu; viņi saņem naudu tuvāk tam laikam, kad tie īsteno attiecīgo saimniecisko darbību.</w:t>
      </w:r>
    </w:p>
    <w:p w14:paraId="2E4E3CCD"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0A7F6236"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25. Jebkurš šāds avansa maksājums neatkarīgi no tā pamatā esošā darījuma klasifikācijas nacionālajos kontos (D.3, D.7 vai D.9) ir jāieraksta kā finanšu darījums (valdības finanšu aktīva un attiecīgu pārējās pasaules saistību rašanās AF.7 kategorijā) laikā, kad valdība šo maksājumu ir veikusi, vai, ja izmanto saistību uzskaites sistēmu, laikā, kad kompetentā iestāde ir izsniegusi maksājuma uzdevumu.</w:t>
      </w:r>
    </w:p>
    <w:p w14:paraId="53E76E02" w14:textId="77777777" w:rsidR="00994F93" w:rsidRPr="00B03B51" w:rsidRDefault="00994F93" w:rsidP="00994F93">
      <w:pPr>
        <w:jc w:val="both"/>
        <w:rPr>
          <w:rFonts w:ascii="Times New Roman" w:hAnsi="Times New Roman" w:cs="Times New Roman"/>
          <w:noProof/>
          <w:sz w:val="24"/>
        </w:rPr>
      </w:pPr>
    </w:p>
    <w:p w14:paraId="70742C00"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26. Traktējot šādi, tas neiespaido valdības neto aizdevumu/aizņēmumu (B.9), jo šādus pārvedumus no ES institūcijām neuzskata par valdības izdevumiem, bet gan par ES izdevumiem. Vienīgie izdevumi, kas rodas valdībai, ir avansa maksājuma finansēšanas izmaksas.</w:t>
      </w:r>
    </w:p>
    <w:p w14:paraId="33C8DDB5"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b/>
          <w:noProof/>
          <w:sz w:val="24"/>
        </w:rPr>
      </w:pPr>
    </w:p>
    <w:p w14:paraId="3BEE3D33"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bCs/>
          <w:sz w:val="24"/>
        </w:rPr>
        <w:t xml:space="preserve">27. </w:t>
      </w:r>
      <w:r w:rsidRPr="00B03B51">
        <w:rPr>
          <w:rFonts w:ascii="Times New Roman" w:hAnsi="Times New Roman" w:cs="Times New Roman"/>
          <w:b/>
          <w:bCs/>
          <w:sz w:val="24"/>
        </w:rPr>
        <w:t>Piemēram</w:t>
      </w:r>
      <w:r w:rsidRPr="00B03B51">
        <w:rPr>
          <w:rFonts w:ascii="Times New Roman" w:hAnsi="Times New Roman" w:cs="Times New Roman"/>
          <w:sz w:val="24"/>
        </w:rPr>
        <w:t xml:space="preserve">, valdība ES vārdā veic maksājumu valdības sektoram nepiederošai vienībai </w:t>
      </w:r>
      <w:r w:rsidRPr="00B03B51">
        <w:rPr>
          <w:rFonts w:ascii="Times New Roman" w:hAnsi="Times New Roman" w:cs="Times New Roman"/>
          <w:i/>
          <w:iCs/>
          <w:sz w:val="24"/>
        </w:rPr>
        <w:t>t</w:t>
      </w:r>
      <w:r w:rsidRPr="00B03B51">
        <w:rPr>
          <w:rFonts w:ascii="Times New Roman" w:hAnsi="Times New Roman" w:cs="Times New Roman"/>
          <w:sz w:val="24"/>
        </w:rPr>
        <w:t xml:space="preserve"> gada septembrī. Tas ir jāieraksta tajā pašā pārskata periodā, kad tiek ierakstīti valdības sektoram nepiederošas vienības ieņēmumi, kas saņemti no pārējās pasaules (to neuzskata par valdības izdevumiem). Šis valdības maksājums rada pamatu finanšu prasījumam pret Eiropas iestādēm (AF.89 aktīvs valdībai). Pēc pārbaudes procedūras Eiropas iestādes to samaksā valdībai </w:t>
      </w:r>
      <w:r w:rsidRPr="00B03B51">
        <w:rPr>
          <w:rFonts w:ascii="Times New Roman" w:hAnsi="Times New Roman" w:cs="Times New Roman"/>
          <w:i/>
          <w:iCs/>
          <w:sz w:val="24"/>
        </w:rPr>
        <w:t>t+1</w:t>
      </w:r>
      <w:r w:rsidRPr="00B03B51">
        <w:rPr>
          <w:rFonts w:ascii="Times New Roman" w:hAnsi="Times New Roman" w:cs="Times New Roman"/>
          <w:sz w:val="24"/>
        </w:rPr>
        <w:t> gada janvārī. Ar šādu maksājumu valdības prasījums tiek likvidēts maksājuma izdarīšanas brīdī. Tādējādi valsts maksājumu nevalstiskai vienībai ES vārdā ieraksta kā finanšu darījumu bez jebkādas ietekmes uz valsts neto aizdevumu/aizņēmumu (B.9).</w:t>
      </w:r>
    </w:p>
    <w:p w14:paraId="3DAE9C34" w14:textId="77777777" w:rsidR="00994F93" w:rsidRPr="00C143EC" w:rsidRDefault="00994F93" w:rsidP="00C143EC">
      <w:pPr>
        <w:rPr>
          <w:rFonts w:ascii="Times New Roman" w:hAnsi="Times New Roman" w:cs="Times New Roman"/>
          <w:noProof/>
          <w:sz w:val="24"/>
          <w:szCs w:val="24"/>
        </w:rPr>
      </w:pPr>
    </w:p>
    <w:p w14:paraId="6EAB4616" w14:textId="77777777" w:rsidR="00994F93" w:rsidRPr="00B03B51" w:rsidRDefault="00994F93" w:rsidP="00DA39FD">
      <w:pPr>
        <w:pStyle w:val="Heading6"/>
        <w:keepNext/>
        <w:tabs>
          <w:tab w:val="left" w:pos="1692"/>
        </w:tabs>
        <w:ind w:left="0" w:firstLine="0"/>
        <w:jc w:val="both"/>
        <w:rPr>
          <w:rFonts w:ascii="Times New Roman" w:hAnsi="Times New Roman" w:cs="Times New Roman"/>
          <w:noProof/>
          <w:sz w:val="24"/>
        </w:rPr>
      </w:pPr>
      <w:r w:rsidRPr="00B03B51">
        <w:rPr>
          <w:rFonts w:ascii="Times New Roman" w:hAnsi="Times New Roman" w:cs="Times New Roman"/>
          <w:sz w:val="24"/>
        </w:rPr>
        <w:lastRenderedPageBreak/>
        <w:t>2.6.1.2.2. ES dotāciju saņēmējs ir valdības vienība</w:t>
      </w:r>
    </w:p>
    <w:p w14:paraId="3BACB9F8" w14:textId="77777777" w:rsidR="00994F93" w:rsidRPr="00B03B51" w:rsidRDefault="00994F93" w:rsidP="00DA39FD">
      <w:pPr>
        <w:pStyle w:val="BodyText"/>
        <w:keepNext/>
        <w:spacing w:before="0"/>
        <w:ind w:left="0" w:firstLine="0"/>
        <w:jc w:val="both"/>
        <w:rPr>
          <w:rFonts w:ascii="Times New Roman" w:hAnsi="Times New Roman" w:cs="Times New Roman"/>
          <w:noProof/>
          <w:sz w:val="24"/>
        </w:rPr>
      </w:pPr>
    </w:p>
    <w:p w14:paraId="6C674239" w14:textId="77777777" w:rsidR="00994F93" w:rsidRPr="00B03B51" w:rsidRDefault="00994F93" w:rsidP="00DA39FD">
      <w:pPr>
        <w:pStyle w:val="BodyText"/>
        <w:keepNext/>
        <w:spacing w:before="0"/>
        <w:ind w:left="0" w:firstLine="0"/>
        <w:jc w:val="both"/>
        <w:rPr>
          <w:rFonts w:ascii="Times New Roman" w:hAnsi="Times New Roman" w:cs="Times New Roman"/>
          <w:noProof/>
          <w:sz w:val="24"/>
        </w:rPr>
      </w:pPr>
      <w:r w:rsidRPr="00B03B51">
        <w:rPr>
          <w:rFonts w:ascii="Times New Roman" w:hAnsi="Times New Roman" w:cs="Times New Roman"/>
          <w:sz w:val="24"/>
        </w:rPr>
        <w:t>28. ES pārveduma gala saņēmējs ir valdības sektora vienība, ja šis pārvedums sedz valdības sektora vienības izdevumus kādam no šādiem mērķiem: sociālā palīdzība, mācības, izglītība, vai valsts īpašumā esošo pamatlīdzekļu palielinājums. Valdības vienība, kura pieņem ekonomisku lēmumu (projekta vadītājs), ir jānošķir no tās valdības vienības, kura saņem un pārdala ES līdzekļus (naudas pārvaldītājs). Nacionālo kontu gadījumā tas ir būtiski tad, ja šīs vienības atrodas dažādos apakšsektoros.</w:t>
      </w:r>
    </w:p>
    <w:p w14:paraId="50646A76" w14:textId="77777777" w:rsidR="00994F93" w:rsidRPr="00B03B51" w:rsidRDefault="00994F93" w:rsidP="00994F93">
      <w:pPr>
        <w:jc w:val="both"/>
        <w:rPr>
          <w:rFonts w:ascii="Times New Roman" w:eastAsia="Arial" w:hAnsi="Times New Roman" w:cs="Times New Roman"/>
          <w:noProof/>
          <w:sz w:val="24"/>
          <w:szCs w:val="19"/>
        </w:rPr>
      </w:pPr>
    </w:p>
    <w:p w14:paraId="3754FE1E" w14:textId="77777777" w:rsidR="00994F93" w:rsidRPr="00B03B51" w:rsidRDefault="00994F93" w:rsidP="00994F93">
      <w:pPr>
        <w:jc w:val="both"/>
        <w:rPr>
          <w:rFonts w:ascii="Times New Roman" w:hAnsi="Times New Roman" w:cs="Times New Roman"/>
          <w:b/>
          <w:noProof/>
          <w:sz w:val="24"/>
        </w:rPr>
      </w:pPr>
      <w:r w:rsidRPr="00B03B51">
        <w:rPr>
          <w:rFonts w:ascii="Times New Roman" w:hAnsi="Times New Roman" w:cs="Times New Roman"/>
          <w:b/>
          <w:sz w:val="24"/>
        </w:rPr>
        <w:t>Vispārīgs noteikums</w:t>
      </w:r>
    </w:p>
    <w:p w14:paraId="52A5A927" w14:textId="77777777" w:rsidR="00994F93" w:rsidRPr="00B03B51" w:rsidRDefault="00994F93" w:rsidP="00994F93">
      <w:pPr>
        <w:jc w:val="both"/>
        <w:rPr>
          <w:rFonts w:ascii="Times New Roman" w:eastAsia="Arial" w:hAnsi="Times New Roman" w:cs="Times New Roman"/>
          <w:b/>
          <w:bCs/>
          <w:noProof/>
          <w:sz w:val="24"/>
        </w:rPr>
      </w:pPr>
    </w:p>
    <w:p w14:paraId="3857185B"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29. Kopumā valdības ieņēmumus, ko tā saņēmusi no ES, ieraksta tajā pašā laikā, kad ieraksta valdības izdevumus, kas tiek segti ar ES dotāciju. Tas tiek darīts praktisku apsvērumu dēļ, lai nodrošinātu, ka šie darījumi neietekmē valdības budžeta neto aizdevumu/aizņēmumu (B.9).</w:t>
      </w:r>
    </w:p>
    <w:p w14:paraId="004E3713"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b/>
          <w:noProof/>
          <w:sz w:val="24"/>
        </w:rPr>
      </w:pPr>
    </w:p>
    <w:p w14:paraId="53A3897A"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bCs/>
          <w:sz w:val="24"/>
        </w:rPr>
        <w:t xml:space="preserve">30. </w:t>
      </w:r>
      <w:r w:rsidRPr="00B03B51">
        <w:rPr>
          <w:rFonts w:ascii="Times New Roman" w:hAnsi="Times New Roman" w:cs="Times New Roman"/>
          <w:b/>
          <w:sz w:val="24"/>
        </w:rPr>
        <w:t>Piemēram</w:t>
      </w:r>
      <w:r w:rsidRPr="00B03B51">
        <w:rPr>
          <w:rFonts w:ascii="Times New Roman" w:hAnsi="Times New Roman" w:cs="Times New Roman"/>
          <w:sz w:val="24"/>
        </w:rPr>
        <w:t xml:space="preserve">, valdība </w:t>
      </w:r>
      <w:r w:rsidRPr="00B03B51">
        <w:rPr>
          <w:rFonts w:ascii="Times New Roman" w:hAnsi="Times New Roman" w:cs="Times New Roman"/>
          <w:i/>
          <w:iCs/>
          <w:sz w:val="24"/>
        </w:rPr>
        <w:t>t</w:t>
      </w:r>
      <w:r w:rsidRPr="00B03B51">
        <w:rPr>
          <w:rFonts w:ascii="Times New Roman" w:hAnsi="Times New Roman" w:cs="Times New Roman"/>
          <w:sz w:val="24"/>
        </w:rPr>
        <w:t xml:space="preserve"> gada oktobrī projektā iztērē summu, kas atbilst 100 naudas vienībām. Pēc tam valdība </w:t>
      </w:r>
      <w:r w:rsidRPr="00B03B51">
        <w:rPr>
          <w:rFonts w:ascii="Times New Roman" w:hAnsi="Times New Roman" w:cs="Times New Roman"/>
          <w:i/>
          <w:iCs/>
          <w:sz w:val="24"/>
        </w:rPr>
        <w:t>t</w:t>
      </w:r>
      <w:r w:rsidRPr="00B03B51">
        <w:rPr>
          <w:rFonts w:ascii="Times New Roman" w:hAnsi="Times New Roman" w:cs="Times New Roman"/>
          <w:sz w:val="24"/>
        </w:rPr>
        <w:t xml:space="preserve"> gada novembrī nosūta Eiropas iestādei attiecīgus dokumentus. Oktobrī valdība ieraksta pārvedumu no pārējās pasaules kā valdības ieņēmumus, kodējot to atbilstīgi darījuma būtībai (kas neiespaido ierakstīšanas laiku). Valdības finanšu kontā (F.89 aktīvi) kā ekvivalentu ieraksta prasījumu pret ES. Pēc tam Eiropas iestāde </w:t>
      </w:r>
      <w:r w:rsidRPr="00B03B51">
        <w:rPr>
          <w:rFonts w:ascii="Times New Roman" w:hAnsi="Times New Roman" w:cs="Times New Roman"/>
          <w:i/>
          <w:iCs/>
          <w:sz w:val="24"/>
        </w:rPr>
        <w:t>t+1</w:t>
      </w:r>
      <w:r w:rsidRPr="00B03B51">
        <w:rPr>
          <w:rFonts w:ascii="Times New Roman" w:hAnsi="Times New Roman" w:cs="Times New Roman"/>
          <w:sz w:val="24"/>
        </w:rPr>
        <w:t> gada februārī atmaksā 100 vienības. Šajā brīdī šo prasījumu dzēš.</w:t>
      </w:r>
    </w:p>
    <w:p w14:paraId="43DDE24A"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323F185C"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31. Ja Eiropas iestāde vēlāk nolemj neveikt valdībai atmaksu, ko tā pieprasījusi, un laika nobīde ir īsa (parasti ne ilgāka par vienu gadu), var pārskatīt iepriekšējos kontus, lai dzēstu valdības ieņēmumus un citas debitoru saistības vai to daļu.</w:t>
      </w:r>
    </w:p>
    <w:p w14:paraId="39965558" w14:textId="77777777" w:rsidR="00994F93" w:rsidRPr="00B03B51" w:rsidRDefault="00994F93" w:rsidP="00994F93">
      <w:pPr>
        <w:jc w:val="both"/>
        <w:rPr>
          <w:rFonts w:ascii="Times New Roman" w:eastAsia="Arial" w:hAnsi="Times New Roman" w:cs="Times New Roman"/>
          <w:noProof/>
          <w:sz w:val="24"/>
          <w:szCs w:val="18"/>
        </w:rPr>
      </w:pPr>
    </w:p>
    <w:p w14:paraId="5754D53A" w14:textId="77777777" w:rsidR="00994F93" w:rsidRPr="00B03B51" w:rsidRDefault="00994F93" w:rsidP="00994F93">
      <w:pPr>
        <w:jc w:val="both"/>
        <w:rPr>
          <w:rFonts w:ascii="Times New Roman" w:hAnsi="Times New Roman" w:cs="Times New Roman"/>
          <w:b/>
          <w:noProof/>
          <w:sz w:val="24"/>
        </w:rPr>
      </w:pPr>
      <w:r w:rsidRPr="00B03B51">
        <w:rPr>
          <w:rFonts w:ascii="Times New Roman" w:hAnsi="Times New Roman" w:cs="Times New Roman"/>
          <w:b/>
          <w:sz w:val="24"/>
        </w:rPr>
        <w:t>Īpašs gadījums</w:t>
      </w:r>
    </w:p>
    <w:p w14:paraId="6C84FE1D" w14:textId="77777777" w:rsidR="00994F93" w:rsidRPr="00B03B51" w:rsidRDefault="00994F93" w:rsidP="00994F93">
      <w:pPr>
        <w:jc w:val="both"/>
        <w:rPr>
          <w:rFonts w:ascii="Times New Roman" w:eastAsia="Arial" w:hAnsi="Times New Roman" w:cs="Times New Roman"/>
          <w:b/>
          <w:bCs/>
          <w:noProof/>
          <w:sz w:val="24"/>
        </w:rPr>
      </w:pPr>
    </w:p>
    <w:p w14:paraId="45159BE4"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32. Var gadīties, ka izdevumu laiks būtiski atšķiras no laika, kad iesniegti prasījumi Eiropas iestādēm, jo izdevumu rašanās laikā vēl nebija zināms nodoms par prasījuma iesniegšanu. Šādā gadījumā izdevumu rašanās brīdi var aizstāt ar prasījumu iesniegšanas laiku, lai noteiktu ierakstīšanas laiku, atkarībā no tā, kāda informācija ir pieejama par izdevumiem, iesaistīto summu un laika nobīdi starp izdevumu rašanās brīdi un prasījumu iesniegšanas brīdi. Tomēr prasību iesniegšanas laiku var izmantot kā ierakstīšanas laiku tikai pamatotos gadījumos.</w:t>
      </w:r>
    </w:p>
    <w:p w14:paraId="690A4F52"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4B91E04B"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33. Saskaņā ar 32. punktu ierakstīšanas laiks ir prasību iesniegšanas laiks, ja nav pieejama nekāda ticama informācija par izdevumu rašanās datumu; vai gadījumā, ja ir iesaistītas ļoti nelielas naudas summas; vai gadījumā, ja ir iesaistītas lielas naudas summas, bet laikposms starp izdevumu rašanās brīdi un prasību iesniegšanas brīdi ir ļoti īss (elastīgas pieejas iespēja).</w:t>
      </w:r>
    </w:p>
    <w:p w14:paraId="36567F7A"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2F654A2E"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34. Pēc prasījumu nosūtīšanas, gaidot maksājumu no Eiropas iestādēm, ieraksta ekvivalentu valdības ieņēmumu finanšu darījumu citu debitoru saistību veidā (prasījums pret Eiropas iestādēm), ko kodē kā AF.8. To dzēš brīdī, kad saņemts maksājums no Eiropas iestādēm.</w:t>
      </w:r>
    </w:p>
    <w:p w14:paraId="5BDB9EE6" w14:textId="77777777" w:rsidR="00994F93" w:rsidRPr="00C143EC" w:rsidRDefault="00994F93" w:rsidP="00C143EC">
      <w:pPr>
        <w:rPr>
          <w:rFonts w:ascii="Times New Roman" w:hAnsi="Times New Roman" w:cs="Times New Roman"/>
          <w:noProof/>
          <w:sz w:val="24"/>
          <w:szCs w:val="24"/>
        </w:rPr>
      </w:pPr>
    </w:p>
    <w:p w14:paraId="136BD5BE" w14:textId="77777777" w:rsidR="00994F93" w:rsidRPr="00B03B51" w:rsidRDefault="00994F93" w:rsidP="00994F93">
      <w:pPr>
        <w:pStyle w:val="Heading6"/>
        <w:tabs>
          <w:tab w:val="left" w:pos="1692"/>
        </w:tabs>
        <w:ind w:left="0" w:firstLine="0"/>
        <w:jc w:val="both"/>
        <w:rPr>
          <w:rFonts w:ascii="Times New Roman" w:hAnsi="Times New Roman" w:cs="Times New Roman"/>
          <w:noProof/>
          <w:sz w:val="24"/>
        </w:rPr>
      </w:pPr>
      <w:r w:rsidRPr="00B03B51">
        <w:rPr>
          <w:rFonts w:ascii="Times New Roman" w:hAnsi="Times New Roman" w:cs="Times New Roman"/>
          <w:sz w:val="24"/>
        </w:rPr>
        <w:t>2.6.1.2.3. Eiropas iestāžu sākotnējais avansa maksājums</w:t>
      </w:r>
    </w:p>
    <w:p w14:paraId="2AF39AFD"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5E8DA1E4"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35. Visi maksājumi, kurus valdības saņem no Eiropas iestādēm daudzgadu plānošanas periodu sākumā, jātraktē kā finanšu avansi (AF.8), valdības saistības. Attiecīgi netiek ietekmēts valdības neto aizdevums/aizņēmums (B.9).</w:t>
      </w:r>
    </w:p>
    <w:p w14:paraId="7A889AB1" w14:textId="77777777" w:rsidR="00994F93" w:rsidRPr="00B03B51" w:rsidRDefault="00994F93" w:rsidP="00994F93">
      <w:pPr>
        <w:jc w:val="both"/>
        <w:rPr>
          <w:rFonts w:ascii="Times New Roman" w:hAnsi="Times New Roman" w:cs="Times New Roman"/>
          <w:noProof/>
          <w:sz w:val="24"/>
        </w:rPr>
      </w:pPr>
    </w:p>
    <w:p w14:paraId="65A36399"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 xml:space="preserve">36. Šī saistība paliek bez izmaiņām līdz brīdim, kad kopējie Eiropas iestāžu maksājumi ir </w:t>
      </w:r>
      <w:r w:rsidRPr="00B03B51">
        <w:rPr>
          <w:rFonts w:ascii="Times New Roman" w:hAnsi="Times New Roman" w:cs="Times New Roman"/>
          <w:sz w:val="24"/>
        </w:rPr>
        <w:lastRenderedPageBreak/>
        <w:t>sasnieguši aprēķināto robežvērtību 95 % apmērā no kopsummas, kuru Eiropas iestādes ir saskaņojušas visiem daudzgadu periodiem, atņemot sākotnējo avansa maksājumu summu. Pēc tam līdz robežvērtības procentuālās attiecības sasniegšanas brīdim (parasti 95 %, jo būtībā Eiropas iestādes patur 5 % no kopējās saskaņotās summas) gala saņēmēju izdevumu atmaksu ieraksta kā ieņēmumus par tādu pašu summu ar ekvivalentu finanšu darījumu valsts saņemtā avansa samazinājuma veidā.</w:t>
      </w:r>
    </w:p>
    <w:p w14:paraId="4830C29E"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11A6FFAB"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37. Galasaņēmējam ir jānodrošina priekšfinansējums atlikušajai (5 %) projekta izdevumu daļai (ko traktē kā citas debitora saistības (F.89)), un ES atmaksās šos izdevumus tikai vēlāk (kad tiks neitralizētas visas citas debitoru saistības).</w:t>
      </w:r>
    </w:p>
    <w:p w14:paraId="4EAAF58C"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0F9ADF11"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38. Ja daudzgadu perioda beigās kopējie valsts izdevumi nesasniedz maksimālo procentuālo daļu no perioda kopējās saskaņotās summas, tad daļa no šī avansa, ko valsts nav “izmantojusi”, tiek atmaksāta Eiropas iestādēm, neietekmējot valdības ieņēmumus un ietekmējot tikai finanšu kontus.</w:t>
      </w:r>
    </w:p>
    <w:p w14:paraId="436C5589" w14:textId="77777777" w:rsidR="00994F93" w:rsidRPr="00C143EC" w:rsidRDefault="00994F93" w:rsidP="00C143EC">
      <w:pPr>
        <w:rPr>
          <w:rFonts w:ascii="Times New Roman" w:hAnsi="Times New Roman" w:cs="Times New Roman"/>
          <w:noProof/>
          <w:sz w:val="24"/>
          <w:szCs w:val="24"/>
        </w:rPr>
      </w:pPr>
    </w:p>
    <w:p w14:paraId="2E1A31C0" w14:textId="77777777" w:rsidR="00994F93" w:rsidRPr="00B03B51" w:rsidRDefault="00994F93" w:rsidP="00994F93">
      <w:pPr>
        <w:pStyle w:val="Heading6"/>
        <w:tabs>
          <w:tab w:val="left" w:pos="1692"/>
        </w:tabs>
        <w:ind w:left="0" w:firstLine="0"/>
        <w:jc w:val="both"/>
        <w:rPr>
          <w:rFonts w:ascii="Times New Roman" w:hAnsi="Times New Roman" w:cs="Times New Roman"/>
          <w:noProof/>
          <w:sz w:val="24"/>
        </w:rPr>
      </w:pPr>
      <w:r w:rsidRPr="00B03B51">
        <w:rPr>
          <w:rFonts w:ascii="Times New Roman" w:hAnsi="Times New Roman" w:cs="Times New Roman"/>
          <w:sz w:val="24"/>
        </w:rPr>
        <w:t>2.6.1.2.4. Pasākumi attiecībā uz iztrūkumu ES dalībvalstīs</w:t>
      </w:r>
    </w:p>
    <w:p w14:paraId="3DF36971" w14:textId="77777777" w:rsidR="00994F93" w:rsidRPr="00B03B51" w:rsidRDefault="00994F93" w:rsidP="00994F93">
      <w:pPr>
        <w:jc w:val="both"/>
        <w:rPr>
          <w:rFonts w:ascii="Times New Roman" w:eastAsia="Arial" w:hAnsi="Times New Roman" w:cs="Times New Roman"/>
          <w:b/>
          <w:bCs/>
          <w:noProof/>
          <w:sz w:val="24"/>
          <w:szCs w:val="20"/>
        </w:rPr>
      </w:pPr>
    </w:p>
    <w:p w14:paraId="3E20F3F6" w14:textId="77777777" w:rsidR="00994F93" w:rsidRPr="00B03B51" w:rsidRDefault="00994F93" w:rsidP="00994F93">
      <w:pPr>
        <w:jc w:val="both"/>
        <w:rPr>
          <w:rFonts w:ascii="Times New Roman" w:hAnsi="Times New Roman" w:cs="Times New Roman"/>
          <w:b/>
          <w:noProof/>
          <w:sz w:val="24"/>
        </w:rPr>
      </w:pPr>
      <w:r w:rsidRPr="00B03B51">
        <w:rPr>
          <w:rFonts w:ascii="Times New Roman" w:hAnsi="Times New Roman" w:cs="Times New Roman"/>
          <w:b/>
          <w:sz w:val="24"/>
        </w:rPr>
        <w:t>Maksājumu atteikums</w:t>
      </w:r>
    </w:p>
    <w:p w14:paraId="113BEB07" w14:textId="77777777" w:rsidR="00994F93" w:rsidRPr="00B03B51" w:rsidRDefault="00994F93" w:rsidP="00994F93">
      <w:pPr>
        <w:jc w:val="both"/>
        <w:rPr>
          <w:rFonts w:ascii="Times New Roman" w:eastAsia="Arial" w:hAnsi="Times New Roman" w:cs="Times New Roman"/>
          <w:b/>
          <w:bCs/>
          <w:noProof/>
          <w:sz w:val="24"/>
        </w:rPr>
      </w:pPr>
    </w:p>
    <w:p w14:paraId="42B42A09"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39. Var rasties situācijas, kad Eiropas iestādes nolemj, ka daļa no summas, kuru valsts ES vārdā ir izmaksājusi galasaņēmējiem, ir izmaksāta nepamatoti, vai arī ka ES dalībvalstij ir jāmaksā soda nauda (piemēram, par lauksaimniecības pārprodukciju). Šādā gadījumā Eiropas iestādes piemēros sankcijas, ieturot atmaksu nākamajā periodā pēc maksājumu veikšanas galasaņēmējiem vai ieturot konkrēto summu no turpmākā maksājuma. Šajā saistībā pastāv trīs galvenie jautājumi, proti, ierakstīšanas laiks, sektori, kuros jāveic ieraksti, un ierakstāmā informācija.</w:t>
      </w:r>
    </w:p>
    <w:p w14:paraId="14BD617B"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405166BA"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40. Ierakstīšanas laiks ir brīdis, kad Komisija pieņem lēmumu par daļēju to summu atmaksu, kuras ES dalībvalstu maksājumu aģentūras ir izmaksājušas gala saņēmējiem.</w:t>
      </w:r>
    </w:p>
    <w:p w14:paraId="0DDECC82"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37585006"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41. Pretvērtību sektors ir atkarīgs no tā, vai gala saņēmējam ir atļauts paturēt maksājumu, savukārt pārprodukcijas dēļ piemērotas sankcijas gadījumā – vai valstij ir atļauts veikt maksājumu tā sektora vārdā, kuram ir piemērots sods (piemēram, ja to neuzskata par ES iekšējā tirgus konkurences kropļošanu).</w:t>
      </w:r>
    </w:p>
    <w:p w14:paraId="5202C3E1"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4F217670"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42. Ja galasaņēmējiem noteikti bija iespēja iegūt no valdības avansa maksājumu (valdībai bija atļauts pabeigt ES atbalsta sniegšanu), tad brīdī, kad Eiropas iestāde pieņem lēmumu par galīgo atmaksāšanu (vai neatmaksāšanu), sākotnējā summa ir jāieraksta kā kapitāla pārvedums (D.9) no valdības galasaņēmējam un vienlaikus kā galasaņēmēja pārvedums pārējās pasaules sektoram (Eiropas iestādēm).</w:t>
      </w:r>
    </w:p>
    <w:p w14:paraId="51C98F83"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3C9372DA"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43. Ja galasaņēmēji nevar paturēt valdības avansa maksājumu (valdībai nav atļauts izmaksāt vairāk, kā ir noteikts ES noteikumos), ir jānošķir divi gadījumi.</w:t>
      </w:r>
    </w:p>
    <w:p w14:paraId="7FA9DC00"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3269DECB"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44. Ja galasaņēmējs spēj atmaksāt valdībai avansa maksājumu, par atmaksāto summu aprēķina atmaksu no galasaņēmēja pārējās pasaules (</w:t>
      </w:r>
      <w:r w:rsidRPr="00B03B51">
        <w:rPr>
          <w:rFonts w:ascii="Times New Roman" w:hAnsi="Times New Roman" w:cs="Times New Roman"/>
          <w:i/>
          <w:iCs/>
          <w:sz w:val="24"/>
        </w:rPr>
        <w:t>RoW</w:t>
      </w:r>
      <w:r w:rsidRPr="00B03B51">
        <w:rPr>
          <w:rFonts w:ascii="Times New Roman" w:hAnsi="Times New Roman" w:cs="Times New Roman"/>
          <w:sz w:val="24"/>
        </w:rPr>
        <w:t>) sektoram un atmaksas summu ieraksta valdības finanšu kontos Eiropas iestāžu lēmuma pieņemšanas brīdī.</w:t>
      </w:r>
    </w:p>
    <w:p w14:paraId="2294CFB7"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41F15B46"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 xml:space="preserve">45. Ja no galasaņēmēja nav saņemta pilna atmaksa un Eiropas iestāde piemēro valdībai sodu, valdība ieraksta kārtējo pārvedumu no vispārējās valdības uz pārējās pasaules sektoru (Eiropas </w:t>
      </w:r>
      <w:r w:rsidRPr="00B03B51">
        <w:rPr>
          <w:rFonts w:ascii="Times New Roman" w:hAnsi="Times New Roman" w:cs="Times New Roman"/>
          <w:sz w:val="24"/>
        </w:rPr>
        <w:lastRenderedPageBreak/>
        <w:t>iestādēm) Eiropas iestādes lēmuma pieņemšanas brīdī.</w:t>
      </w:r>
    </w:p>
    <w:p w14:paraId="63476452" w14:textId="77777777" w:rsidR="00994F93" w:rsidRPr="00B03B51" w:rsidRDefault="00994F93" w:rsidP="00994F93">
      <w:pPr>
        <w:jc w:val="both"/>
        <w:rPr>
          <w:rFonts w:ascii="Times New Roman" w:eastAsia="Arial" w:hAnsi="Times New Roman" w:cs="Times New Roman"/>
          <w:noProof/>
          <w:sz w:val="24"/>
          <w:szCs w:val="18"/>
        </w:rPr>
      </w:pPr>
    </w:p>
    <w:p w14:paraId="44E07A1A" w14:textId="77777777" w:rsidR="00994F93" w:rsidRPr="00B03B51" w:rsidRDefault="00994F93" w:rsidP="00994F93">
      <w:pPr>
        <w:jc w:val="both"/>
        <w:rPr>
          <w:rFonts w:ascii="Times New Roman" w:hAnsi="Times New Roman" w:cs="Times New Roman"/>
          <w:b/>
          <w:noProof/>
          <w:sz w:val="24"/>
        </w:rPr>
      </w:pPr>
      <w:r w:rsidRPr="00B03B51">
        <w:rPr>
          <w:rFonts w:ascii="Times New Roman" w:hAnsi="Times New Roman" w:cs="Times New Roman"/>
          <w:b/>
          <w:sz w:val="24"/>
        </w:rPr>
        <w:t>Maksājuma termiņa pārtraukšana, maksājumu atlikšana, finanšu korekcijas</w:t>
      </w:r>
    </w:p>
    <w:p w14:paraId="72B908E4" w14:textId="77777777" w:rsidR="00994F93" w:rsidRPr="00B03B51" w:rsidRDefault="00994F93" w:rsidP="00994F93">
      <w:pPr>
        <w:jc w:val="both"/>
        <w:rPr>
          <w:rFonts w:ascii="Times New Roman" w:eastAsia="Arial" w:hAnsi="Times New Roman" w:cs="Times New Roman"/>
          <w:b/>
          <w:bCs/>
          <w:noProof/>
          <w:sz w:val="24"/>
        </w:rPr>
      </w:pPr>
    </w:p>
    <w:p w14:paraId="3F96FDAD"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46. Komisija var pagarināt maksājumu termiņu uz laiku, kas nepārsniedz 6 mēnešus (oficiāli to dēvē par maksājuma termiņa pārtraukšanu), lai veiktu papildu pārbaudes attiecībā uz apstiprināto izdevumu pārskatu (Eiropas Savienībai nosūtīto prasījumu). Tas nedrīkst ietekmēt ierakstu nacionālajos kontos, proti, ES dalībvalsts ieraksta ienākumus un iesniedz prasījumu (F.8) Eiropas Savienībai. Taču naudas saņemšanai (F.2) un prasījuma dzēšanai (F.8) var būt nepieciešams ilgāks laiks.</w:t>
      </w:r>
    </w:p>
    <w:p w14:paraId="1E8EB097"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6319430E"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47. Komisija var arī atlikt visus starpposma maksājumus vai to daļu prioritāšu vai programmu līmenī, ja pastāv būtiski vadības vai kontroles sistēmas trūkumi un būtiskas nepilnības, kuras nav novērstas, vai ja ES dalībvalsts nav izpildījusi savas saistības (maksājumu atlikšana). Gadījumā, ja ES dalībvalsts ir veikusi nepieciešamos pasākumus (parasti 2 mēnešu laikā), šī atlikšana tiek pārtraukta. Ja ES dalībvalsts nav veikusi nepieciešamos pasākumus, Komisija var pieņemt lēmumu, ar kuru tiek atceltas visas kopienas iemaksas darbības programmā vai kāda to daļa (finanšu korekcijas).</w:t>
      </w:r>
    </w:p>
    <w:p w14:paraId="5B2E64BF"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1DDBEC79"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48. Līdzīgi kā maksājuma termiņa pārtraukšanai, arī maksājumu atlikšanai nav tiešas ietekmes uz ierakstīšanu nacionālajos kontos. Tomēr gadījumā, ja pēc maksājuma atlikšanas seko finanšu korekcija (proti, ja tiek atcelts ES finansējums), tas ir jāatspoguļo nacionālajos kontos līdzīgi 39. rindkopā minētajam gadījumam, kad maksājums tiek atteikts. Jāņem vērā, ka finanšu korekcijas var tikt veiktas arī tad, kad maksājumi netiek atcelti.</w:t>
      </w:r>
    </w:p>
    <w:p w14:paraId="190BA5D1"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6EE4FDD1"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49. Ar iepriekšējiem izdevumiem saistītu finanšu korekciju ierakstīšanas laiks ir brīdis, kad ES dalībvalsts apstiprina ES ierosināto finanšu korekciju vai kad Komisija pieņem lēmumu, atkarībā no tā, kurš no šiem notikumiem notiek agrāk. Ja finanšu korekcijā ietilpst arī finansējuma atcelšana turpmākajiem projektiem, tad ierakstīšanas laiks ir faktisko turpmāko izdevumu brīdis.</w:t>
      </w:r>
    </w:p>
    <w:p w14:paraId="61EA3249"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709801FE"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50. Valdības izdevumu pretvērtības sektors ir Eiropas Savienības iestādes un struktūras (S.212).</w:t>
      </w:r>
    </w:p>
    <w:p w14:paraId="1291678F" w14:textId="77777777" w:rsidR="00994F93" w:rsidRPr="00B03B51" w:rsidRDefault="00994F93" w:rsidP="00994F93">
      <w:pPr>
        <w:jc w:val="both"/>
        <w:rPr>
          <w:rFonts w:ascii="Times New Roman" w:eastAsia="Arial" w:hAnsi="Times New Roman" w:cs="Times New Roman"/>
          <w:noProof/>
          <w:sz w:val="24"/>
          <w:szCs w:val="15"/>
        </w:rPr>
      </w:pPr>
    </w:p>
    <w:p w14:paraId="6F3E9D35" w14:textId="77777777" w:rsidR="00994F93" w:rsidRPr="00B03B51" w:rsidRDefault="00994F93" w:rsidP="00994F93">
      <w:pPr>
        <w:pStyle w:val="Heading6"/>
        <w:tabs>
          <w:tab w:val="left" w:pos="1267"/>
        </w:tabs>
        <w:ind w:left="0" w:firstLine="0"/>
        <w:jc w:val="both"/>
        <w:rPr>
          <w:rFonts w:ascii="Times New Roman" w:hAnsi="Times New Roman" w:cs="Times New Roman"/>
          <w:noProof/>
          <w:sz w:val="24"/>
        </w:rPr>
      </w:pPr>
      <w:r w:rsidRPr="00B03B51">
        <w:rPr>
          <w:rFonts w:ascii="Times New Roman" w:hAnsi="Times New Roman" w:cs="Times New Roman"/>
          <w:sz w:val="24"/>
        </w:rPr>
        <w:t>2.6.1.3. TRAKTĒJUMA PAMATOJUMS</w:t>
      </w:r>
    </w:p>
    <w:p w14:paraId="5021E64D" w14:textId="77777777" w:rsidR="00994F93" w:rsidRPr="00B03B51" w:rsidRDefault="00994F93" w:rsidP="00994F93">
      <w:pPr>
        <w:tabs>
          <w:tab w:val="left" w:pos="1692"/>
        </w:tabs>
        <w:jc w:val="both"/>
        <w:rPr>
          <w:rFonts w:ascii="Times New Roman" w:hAnsi="Times New Roman" w:cs="Times New Roman"/>
          <w:b/>
          <w:noProof/>
          <w:sz w:val="24"/>
        </w:rPr>
      </w:pPr>
    </w:p>
    <w:p w14:paraId="3F8CEF1D" w14:textId="77777777" w:rsidR="00994F93" w:rsidRPr="00C143EC" w:rsidRDefault="00994F93" w:rsidP="00C143EC">
      <w:pPr>
        <w:pStyle w:val="Heading6"/>
        <w:tabs>
          <w:tab w:val="left" w:pos="1692"/>
        </w:tabs>
        <w:ind w:left="0" w:firstLine="0"/>
        <w:jc w:val="both"/>
        <w:rPr>
          <w:rFonts w:ascii="Times New Roman" w:hAnsi="Times New Roman" w:cs="Times New Roman"/>
          <w:sz w:val="24"/>
        </w:rPr>
      </w:pPr>
      <w:r w:rsidRPr="00B03B51">
        <w:rPr>
          <w:rFonts w:ascii="Times New Roman" w:hAnsi="Times New Roman" w:cs="Times New Roman"/>
          <w:sz w:val="24"/>
        </w:rPr>
        <w:t>2.6.1.3.1. Valdības sektoram nepiederoša vienība kā saņēmējs</w:t>
      </w:r>
    </w:p>
    <w:p w14:paraId="1CBE0EE4"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424E151F"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51. Valdība nav galasaņēmējs, jo vai nu subsīdija ir saistīta ar valdības sektorā neietilpstošu vienību saimniecisko darbību, vai pārskaitījums acīmredzami palielina tieši valdības sektorā neietilpstošas vienības ieņēmumus, vai arī ar šo pārskaitījumu sedz kādu kapitāla darījumu, kas paredzēts valdības sektorā neietilpstošas vienības veiktas nefinanšu aktīvu iegādes pilnīgai vai daļējai finansēšanai. Te ietilpst arī gadījums, kad maksājumi tiek veikti regulējošajām vienībām, kuras ir klasificētas kā tirgus ražotāji, kas atrodas ārpus vispārējās valdības sektora (skat. šīs rokasgrāmatas 1. daļu “Vispārējās valdības sektora norobežošana”). Šis gadījums galvenokārt ir saistīts ar kopējo lauksaimniecības politiku, taču tas varētu būt saistīts arī ar atsevišķiem maksājumiem no citiem struktūrfondiem (jo īpaši no Sociālā fonda un Kohēzijas fonda).</w:t>
      </w:r>
    </w:p>
    <w:p w14:paraId="488D2D5D"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6B122039"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 xml:space="preserve">52. Traktējums atbilst EKS 2010 noteikumiem attiecībā uz laiku, kad veicama ierakstīšana atbilstīgi “uzkrāšanas” principam. Subsīdijas ieraksta tad, kad notiek darījums vai notikums (ražošana, pārdošana, imports u. tml.), kas rada pamatu subsīdijai (EKS 2010 4.39. punkts). </w:t>
      </w:r>
      <w:r w:rsidRPr="00B03B51">
        <w:rPr>
          <w:rFonts w:ascii="Times New Roman" w:hAnsi="Times New Roman" w:cs="Times New Roman"/>
          <w:sz w:val="24"/>
        </w:rPr>
        <w:lastRenderedPageBreak/>
        <w:t>Šāds notikums var būt, piemēram, lauksaimnieciskā ražošana vai preču eksports. Citu kārtējo pārvedumu (skaidrā naudā) ierakstīšanas laiks ir brīdis, kad spēkā esošais regulējums (vai līgumiska vienošanās) paredz veikt pārvedumus (EKS 2010 4.123. punkts). Ieguldījumu dotācijas naudā ieraksta, kad ir jāveic maksājums vienībai, kura izdevumus bruto ieguldījumiem pamatkapitālā ieraksta savos kontos (EKS 2010 4.162. punkts).</w:t>
      </w:r>
    </w:p>
    <w:p w14:paraId="316B29F0"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7734A025"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53. Praksē summas nevalstiskiem gala saņēmējiem parasti novirza ar valdības kontu starpniecību. Tomēr ir tieši jāieraksta, ka šīs ir abu iesaistīto pušu (ES un valdības sektoram nepiederošā saņēmēja) savstarpējās nefinanšu plūsmas, un valdības loma tiek ierakstīta vien finanšu kontos. Iemesls ir tāds, ka EKS 2010 4.122. punkta b) apakšpunktā noteikts, ka kārtējos pārvedumus, kurus Eiropas Savienība veic tirgus ražotājiem rezidentiem, uzrāda kā pārējās pasaules izmaksātās subsīdijas. Līdzīgs princips ir noteikts EKS 2010 4.152. punktā attiecībā uz ieguldījumu dotācijām.</w:t>
      </w:r>
    </w:p>
    <w:p w14:paraId="38F0A1FB"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0282DB73"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54. Ciktāl tas skar darījumu ierakstīšanas laiku, var rasties laika starpība attiecībā uz to brīdi, kad saistība tiek atzīta, un brīdi, kad Eiropas iestāde veic maksājumu. Tomēr praksē pēc tam, kad Eiropas iestādes ir pieņēmušas lēmumu par samaksu, šo naudas līdzekļu faktiskā pārveduma kavējums ir ļoti neliels. Turklāt dažām valstīm informācija tiešā veidā ir pieejama tikai no kases datiem pārskatu sistēmās.</w:t>
      </w:r>
    </w:p>
    <w:p w14:paraId="71298645"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6110E773"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55. Ja valdība ES vārdā izmaksā avansu valdības sektorā neietilpstošam saņēmējam, 254. rindkopā minētais traktējums no ekonomiskā viedokļa ir pamatots, jo galasaņēmēja finansiālais stāvoklis tiek ietekmēts laikā, kad valdība šo avansu izmaksā, un tas skar saņēmēja saimniecisko rīcību. Šajā gadījumā valsts rīkojas Eiropas iestāžu “vārdā”. Nacionālajos kontos ir jāieraksta valdības finanšu prasījums pret Eiropas iestādēm.</w:t>
      </w:r>
    </w:p>
    <w:p w14:paraId="608C0436"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768A78DC"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56. Praksē naudas summa, kuru valdība ir izmaksājusi saņēmējiem, atšķirsies no galīgā maksājuma, ko veikušas Eiropas iestādes, tikai izņēmuma gadījumos – galvenokārt kļūdu un krāpniecisku darbību dēļ. Tomēr daudz biežāk gadās, ka Eiropas iestādes pieprasa papildu dokumentāciju, un līdz ar to atmaksa tiek aizkavēta.</w:t>
      </w:r>
    </w:p>
    <w:p w14:paraId="394B89AE" w14:textId="77777777" w:rsidR="00994F93" w:rsidRPr="00B03B51" w:rsidRDefault="00994F93" w:rsidP="00994F93">
      <w:pPr>
        <w:jc w:val="both"/>
        <w:rPr>
          <w:rFonts w:ascii="Times New Roman" w:hAnsi="Times New Roman" w:cs="Times New Roman"/>
          <w:noProof/>
          <w:sz w:val="24"/>
        </w:rPr>
      </w:pPr>
    </w:p>
    <w:p w14:paraId="21EDB87F" w14:textId="77777777" w:rsidR="00994F93" w:rsidRPr="00B03B51" w:rsidRDefault="00994F93" w:rsidP="00994F93">
      <w:pPr>
        <w:pStyle w:val="Heading6"/>
        <w:tabs>
          <w:tab w:val="left" w:pos="1692"/>
        </w:tabs>
        <w:ind w:left="0" w:firstLine="0"/>
        <w:jc w:val="both"/>
        <w:rPr>
          <w:rFonts w:ascii="Times New Roman" w:hAnsi="Times New Roman" w:cs="Times New Roman"/>
          <w:noProof/>
          <w:sz w:val="24"/>
        </w:rPr>
      </w:pPr>
      <w:r w:rsidRPr="00B03B51">
        <w:rPr>
          <w:rFonts w:ascii="Times New Roman" w:hAnsi="Times New Roman" w:cs="Times New Roman"/>
          <w:sz w:val="24"/>
        </w:rPr>
        <w:t>2.6.1.3.2. Valdības vienība kā galasaņēmējs</w:t>
      </w:r>
    </w:p>
    <w:p w14:paraId="37CBA346"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1A4384AE"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57. Dažādās ES shēmās valdības vienības var būt galasaņēmēji. Tas īpaši attiecas uz reģionālās attīstības un sociālajiem fondiem, kad valdības vienība pārvalda projektu saskaņā ar vienošanos ar Eiropas iestādēm, taču tai ir noteikta autonomija attiecībā uz konkrētā projekta pabeigšanu. Valdības izdevumi pēc būtības var būt dažādi: P.2, P.5, P.7, D.1 un, iespējams, citi sadales darījumi (D.3, D.7 un D.9). Šķiet, ka ļoti īpašos gadījumos valdība var arī iegādāties akcijas.</w:t>
      </w:r>
    </w:p>
    <w:p w14:paraId="2B45CF4B"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302E400C"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58. Tiklīdz valdībai ir radušies izdevumi, tā (parasti ar nelielu aizkavēšanos) nosūta Eiropas iestādēm visus attiecīgos dokumentus, kas nepieciešami atlīdzinājuma saņemšanai. Tomēr valdības nodoms ne vienmēr ir zināms izdevumu rašanās brīdī.</w:t>
      </w:r>
    </w:p>
    <w:p w14:paraId="795BD0FE" w14:textId="77777777" w:rsidR="00994F93" w:rsidRPr="00B03B51" w:rsidRDefault="00994F93" w:rsidP="00994F93">
      <w:pPr>
        <w:jc w:val="both"/>
        <w:rPr>
          <w:rFonts w:ascii="Times New Roman" w:eastAsia="Arial" w:hAnsi="Times New Roman" w:cs="Times New Roman"/>
          <w:noProof/>
          <w:sz w:val="24"/>
          <w:szCs w:val="18"/>
        </w:rPr>
      </w:pPr>
    </w:p>
    <w:p w14:paraId="526D88CC" w14:textId="77777777" w:rsidR="00994F93" w:rsidRPr="00B03B51" w:rsidRDefault="00994F93" w:rsidP="00994F93">
      <w:pPr>
        <w:jc w:val="both"/>
        <w:rPr>
          <w:rFonts w:ascii="Times New Roman" w:hAnsi="Times New Roman" w:cs="Times New Roman"/>
          <w:b/>
          <w:noProof/>
          <w:sz w:val="24"/>
        </w:rPr>
      </w:pPr>
      <w:r w:rsidRPr="00B03B51">
        <w:rPr>
          <w:rFonts w:ascii="Times New Roman" w:hAnsi="Times New Roman" w:cs="Times New Roman"/>
          <w:b/>
          <w:sz w:val="24"/>
        </w:rPr>
        <w:t>Īpašs gadījums, kad prasījuma iesniegšanas nodoms nav zināms izdevumu rašanās brīdī</w:t>
      </w:r>
    </w:p>
    <w:p w14:paraId="4F25E2EF" w14:textId="77777777" w:rsidR="00994F93" w:rsidRPr="00B03B51" w:rsidRDefault="00994F93" w:rsidP="00994F93">
      <w:pPr>
        <w:jc w:val="both"/>
        <w:rPr>
          <w:rFonts w:ascii="Times New Roman" w:eastAsia="Arial" w:hAnsi="Times New Roman" w:cs="Times New Roman"/>
          <w:b/>
          <w:bCs/>
          <w:noProof/>
          <w:sz w:val="24"/>
        </w:rPr>
      </w:pPr>
    </w:p>
    <w:p w14:paraId="7B7FC915"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59. Tikai šajā iepriekš minētajā gadījumā, lai labāk atspoguļotu ekonomisko realitāti, praktisku apsvērumu dēļ valdības ieņēmumus būtu atbilstošāk ierakstīt brīdī, kad valdība nosūta dokumentus Eiropas iestādēm.</w:t>
      </w:r>
    </w:p>
    <w:p w14:paraId="705217CC"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1867DFFA"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 xml:space="preserve">60. Šeit paredzētā traktējuma pamatā ir pieredze, kas apliecina to, ka Eiropas iestādes gandrīz vienmēr samaksā to, kas ir faktiski deklarēts. Gadījumi, kad ES pilnībā neatmaksā valdības </w:t>
      </w:r>
      <w:r w:rsidRPr="00B03B51">
        <w:rPr>
          <w:rFonts w:ascii="Times New Roman" w:hAnsi="Times New Roman" w:cs="Times New Roman"/>
          <w:sz w:val="24"/>
        </w:rPr>
        <w:lastRenderedPageBreak/>
        <w:t>izdevumus, faktiski ir ļoti reti (un salīdzinājumā ar kopējo naudas summu parasti neatmaksātās naudas summas ir ļoti mazas).</w:t>
      </w:r>
    </w:p>
    <w:p w14:paraId="64083ED4"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2B5F3005"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61. Ņemot vērā vienošanās ar ES, valsts izdevumiem vienmēr ir jāatbilst precīzām prasībām un valstīm nebūtu jāmēģina iegūt neatbilstošus ieņēmumus. Papildus tam Eiropas iestādes veic arī vietējos kontroles pasākumus, tāpēc finanšu līdzekļu nepareiza izmantošana, programmu nepabeigšana, krāpšanas gadījumi u. tml. gadījumi notiek ļoti reti. Ja tomēr Eiropas iestādes neatmaksā valdībai izdevumus (ņemot vērā, ka laika nobīde parasti ir neliela), Eiropas iestādēm būtu jāveic atbilstoša valdības ienākumu atpakaļvērstā pārskatīšana.</w:t>
      </w:r>
    </w:p>
    <w:p w14:paraId="7DC203F5"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171ECD89"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62. Piedāvātais traktējums atbilst arī EKS 2010 4.162. punktam, kurā ir noteikts, ka ieguldījumu dotācijas skaidrā naudā ieraksta brīdī, kad jāveic maksājums. Frāze “kad jāveic maksājums” liecina par to, ka valdība paredz, ka tiks saņemta atmaksa. Ja izdevumu rašanās brīdī nav bijušas nekādas prognozes attiecībā uz izdevumu atmaksāšanu, ieņēmumu ierakstīšanas laiks nav izdevumu rašanās brīdis. Valdības ieņēmumi tiek ierakstīti brīdī, kad pamatoti rodas atmaksas prognozes, proti, brīdī, kad tiek iesniegts prasījums. Tas atbilst šajā nodaļā izklāstītajiem principiem.</w:t>
      </w:r>
    </w:p>
    <w:p w14:paraId="13BFBA3E" w14:textId="77777777" w:rsidR="00994F93" w:rsidRPr="00B03B51" w:rsidRDefault="00994F93" w:rsidP="00994F93">
      <w:pPr>
        <w:jc w:val="both"/>
        <w:rPr>
          <w:rFonts w:ascii="Times New Roman" w:eastAsia="Arial" w:hAnsi="Times New Roman" w:cs="Times New Roman"/>
          <w:noProof/>
          <w:sz w:val="24"/>
          <w:szCs w:val="19"/>
        </w:rPr>
      </w:pPr>
    </w:p>
    <w:p w14:paraId="3D589C37" w14:textId="77777777" w:rsidR="00994F93" w:rsidRPr="00B03B51" w:rsidRDefault="00994F93" w:rsidP="00994F93">
      <w:pPr>
        <w:jc w:val="both"/>
        <w:rPr>
          <w:rFonts w:ascii="Times New Roman" w:hAnsi="Times New Roman" w:cs="Times New Roman"/>
          <w:b/>
          <w:noProof/>
          <w:sz w:val="24"/>
        </w:rPr>
      </w:pPr>
      <w:r w:rsidRPr="00B03B51">
        <w:rPr>
          <w:rFonts w:ascii="Times New Roman" w:hAnsi="Times New Roman" w:cs="Times New Roman"/>
          <w:b/>
          <w:sz w:val="24"/>
        </w:rPr>
        <w:t>Īpašs gadījums, kad izdevumu rašanās brīdī nav zināma precīza paredzamās atmaksas summa</w:t>
      </w:r>
    </w:p>
    <w:p w14:paraId="0B6DAC98" w14:textId="77777777" w:rsidR="00994F93" w:rsidRPr="00B03B51" w:rsidRDefault="00994F93" w:rsidP="00994F93">
      <w:pPr>
        <w:jc w:val="both"/>
        <w:rPr>
          <w:rFonts w:ascii="Times New Roman" w:eastAsia="Arial" w:hAnsi="Times New Roman" w:cs="Times New Roman"/>
          <w:b/>
          <w:bCs/>
          <w:noProof/>
          <w:sz w:val="24"/>
        </w:rPr>
      </w:pPr>
    </w:p>
    <w:p w14:paraId="0983090E"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63. Ja atmaksa tiek prognozēta projekta izdevumu rašanās brīdī, taču nav zināma precīza paredzamās atmaksas summa (procentuāla daļa no izdevumu summas), ir jāveic piesardzīga paredzamā Eiropas iestāžu sākotnējā maksājuma aplēse.</w:t>
      </w:r>
    </w:p>
    <w:p w14:paraId="02FF1CA8" w14:textId="77777777" w:rsidR="00994F93" w:rsidRPr="00C143EC" w:rsidRDefault="00994F93" w:rsidP="00C143EC">
      <w:pPr>
        <w:rPr>
          <w:rFonts w:ascii="Times New Roman" w:hAnsi="Times New Roman" w:cs="Times New Roman"/>
          <w:noProof/>
          <w:sz w:val="24"/>
          <w:szCs w:val="24"/>
        </w:rPr>
      </w:pPr>
    </w:p>
    <w:p w14:paraId="0FFAFFD9" w14:textId="77777777" w:rsidR="00994F93" w:rsidRPr="00B03B51" w:rsidRDefault="00994F93" w:rsidP="00994F93">
      <w:pPr>
        <w:pStyle w:val="Heading6"/>
        <w:tabs>
          <w:tab w:val="left" w:pos="1692"/>
        </w:tabs>
        <w:ind w:left="0" w:firstLine="0"/>
        <w:jc w:val="both"/>
        <w:rPr>
          <w:rFonts w:ascii="Times New Roman" w:hAnsi="Times New Roman" w:cs="Times New Roman"/>
          <w:noProof/>
          <w:sz w:val="24"/>
        </w:rPr>
      </w:pPr>
      <w:r w:rsidRPr="00B03B51">
        <w:rPr>
          <w:rFonts w:ascii="Times New Roman" w:hAnsi="Times New Roman" w:cs="Times New Roman"/>
          <w:sz w:val="24"/>
        </w:rPr>
        <w:t>2.6.1.3.3. Eiropas iestāžu sākotnējais maksājums</w:t>
      </w:r>
    </w:p>
    <w:p w14:paraId="2B35DEC2"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4CAF886D"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64. Nacionālajos kontos Eiropas iestāžu sākotnējo maksājumu var traktēt vienīgi kā finanšu avansu bez jebkādas ietekmes uz valdības neto aizdevumu/aizņēmumu (B.9).</w:t>
      </w:r>
    </w:p>
    <w:p w14:paraId="0511902C"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0DD4A1E8"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65. Šāda traktējuma pamatā ir fakts, ka ES noteikumi nosaka, ka valdība drīkst pieprasīt Eiropas iestādēm veikt atmaksu saskaņā ar iepriekš noteiktiem nosacījumiem vienīgi tad, kad valdībai ir radušies izdevumi. Līdz ar to avansu nevar ierakstīt kā ieņēmumus līdz brīdim, kad rodas atbilstošie izdevumi.</w:t>
      </w:r>
    </w:p>
    <w:p w14:paraId="3154046B" w14:textId="77777777" w:rsidR="00994F93" w:rsidRPr="00B03B51" w:rsidRDefault="00994F93" w:rsidP="00994F93">
      <w:pPr>
        <w:jc w:val="both"/>
        <w:rPr>
          <w:rFonts w:ascii="Times New Roman" w:eastAsia="Arial" w:hAnsi="Times New Roman" w:cs="Times New Roman"/>
          <w:noProof/>
          <w:sz w:val="24"/>
          <w:szCs w:val="19"/>
        </w:rPr>
      </w:pPr>
    </w:p>
    <w:p w14:paraId="7F3A4D1E" w14:textId="77777777" w:rsidR="00994F93" w:rsidRPr="00B03B51" w:rsidRDefault="00994F93" w:rsidP="00994F93">
      <w:pPr>
        <w:pStyle w:val="Heading3"/>
        <w:tabs>
          <w:tab w:val="left" w:pos="1267"/>
        </w:tabs>
        <w:ind w:left="0" w:firstLine="0"/>
        <w:jc w:val="both"/>
        <w:rPr>
          <w:rFonts w:ascii="Times New Roman" w:hAnsi="Times New Roman" w:cs="Times New Roman"/>
          <w:noProof/>
          <w:sz w:val="24"/>
        </w:rPr>
      </w:pPr>
      <w:bookmarkStart w:id="176" w:name="_Toc67565075"/>
      <w:r w:rsidRPr="00B03B51">
        <w:rPr>
          <w:rFonts w:ascii="Times New Roman" w:hAnsi="Times New Roman" w:cs="Times New Roman"/>
          <w:sz w:val="24"/>
        </w:rPr>
        <w:t>2.6.2. ES dalībvalstu iemaksas ES budžetā</w:t>
      </w:r>
      <w:bookmarkEnd w:id="176"/>
    </w:p>
    <w:p w14:paraId="7AAD6657"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693C0DEA"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66. EKS 2010 ir noteikts, kā nacionālajos kontos ir traktējamas dažādas ES dalībvalstu veiktās iemaksas ES budžetā.</w:t>
      </w:r>
    </w:p>
    <w:p w14:paraId="3FEEC304"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45BC57B4"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67. Muitas un lauksaimniecības nodevas, kas piemērotas uz Eiropas Savienības ārējām robežām, klasificē kā importa nodokļus un nodevas, izņemot PVN (D.212). Tos ieraksta saskaņā ar šīs rokasgrāmatas 2.2. nodaļā “Nodokļu un sociālo iemaksu ierakstīšana” aprakstītajiem noteikumiem pēc bruto principa, kuros iekļauj iekasēšanas izmaksas. Muitas un lauksaimniecības nodevas iekasē ES iestāžu vārdā, un tās nedrīkst ierakstīt kā valdības ieņēmumus. Tikai iekasēšanas izmaksas ieraksta valdības finanšu statistikā</w:t>
      </w:r>
      <w:r w:rsidRPr="00B03B51">
        <w:rPr>
          <w:rStyle w:val="FootnoteReference"/>
          <w:rFonts w:ascii="Times New Roman" w:hAnsi="Times New Roman" w:cs="Times New Roman"/>
          <w:noProof/>
          <w:sz w:val="24"/>
        </w:rPr>
        <w:footnoteReference w:id="139"/>
      </w:r>
      <w:r w:rsidRPr="00B03B51">
        <w:rPr>
          <w:rFonts w:ascii="Times New Roman" w:hAnsi="Times New Roman" w:cs="Times New Roman"/>
          <w:sz w:val="24"/>
        </w:rPr>
        <w:t>, un praktisku apsvērumu dēļ ir ieteicams tās ierakstīt tad, kad summas ir atskaitītas no maksājumiem ES iestādēm.</w:t>
      </w:r>
    </w:p>
    <w:p w14:paraId="657D79C4"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19B54B31"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lastRenderedPageBreak/>
        <w:t>68. Ražošanas maksas, kuras piemēro par cukura, izoglikozes un inulīna sīrupa kvotām, ko tur ražotāji, tiek klasificētās kā “produktu nodokļi, izņemot PVN un importa nodokļus” (D.214) pēc bruto principa. Ievēro to pašu ierakstīšanas principu, kāds ir muitas un lauksaimniecības nodevu ierakstīšanai (t. i., valdības kontos ieraksta tikai iekasēšanas izmaksas).</w:t>
      </w:r>
    </w:p>
    <w:p w14:paraId="5B125B5C"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6A47B9FA"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69. Kontā “uz PVN un NKI balstīti ES pašu resursi” (D.76) ietver maksājumus par kārtējā gada PVN un NKI resursiem, kā arī bilanci par iepriekšējiem gadiem un budžeta nelīdzsvarotības korekciju, ko samaksājušas citas dalībvalstis attiecīgajām valstīm.</w:t>
      </w:r>
    </w:p>
    <w:p w14:paraId="5CB698B1"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640C9537"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70. Maksājumus par kārtējā gada PVN un NKI resursiem veic kā ikmēneša maksājumus ES budžetā</w:t>
      </w:r>
      <w:r w:rsidRPr="00B03B51">
        <w:rPr>
          <w:rStyle w:val="FootnoteReference"/>
          <w:rFonts w:ascii="Times New Roman" w:hAnsi="Times New Roman" w:cs="Times New Roman"/>
          <w:noProof/>
          <w:sz w:val="24"/>
        </w:rPr>
        <w:footnoteReference w:id="140"/>
      </w:r>
      <w:r w:rsidRPr="00B03B51">
        <w:rPr>
          <w:rFonts w:ascii="Times New Roman" w:hAnsi="Times New Roman" w:cs="Times New Roman"/>
          <w:sz w:val="24"/>
        </w:rPr>
        <w:t>, kurus aprēķina kā 1/12 daļu no gada summas, kas iekļauta sākotnējā ES gada budžetā. Sākotnējā ES gada budžetā iekļautās gada summas gada laikā var tikt palielinātas vai samazinātas (piemēram, kad iekļauj ES budžeta pārpalikumu no iepriekšējā gada), veicot ES budžeta grozījumus, kā rezultātā mainās ikmēneša maksājumi. Ja ES budžeta grozījumi gadā tiek apstiprināti pārāk vēlu, lai tos atspoguļotu ikmēneša maksājumos, gadā uzkrātā summa ir tā, kas norādīta budžeta grozījumos, nevis divpadsmit mēnešu maksājumu summa.</w:t>
      </w:r>
    </w:p>
    <w:p w14:paraId="51C553CB"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1A2C7368"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71. Bilanci par iepriekšējo gadu Eiropas Komisija paziņo oktobrī, un maksājums ir jāveic decembra pirmajā darba dienā. Tādēļ summas tiek atzītas tajā pašā gadā, kad tās tiek maksātas. Tomēr izņēmuma apstākļos</w:t>
      </w:r>
      <w:r w:rsidRPr="00B03B51">
        <w:rPr>
          <w:rStyle w:val="FootnoteReference"/>
          <w:rFonts w:ascii="Times New Roman" w:hAnsi="Times New Roman" w:cs="Times New Roman"/>
          <w:noProof/>
          <w:sz w:val="24"/>
        </w:rPr>
        <w:footnoteReference w:id="141"/>
      </w:r>
      <w:r w:rsidRPr="00B03B51">
        <w:rPr>
          <w:rFonts w:ascii="Times New Roman" w:hAnsi="Times New Roman" w:cs="Times New Roman"/>
          <w:sz w:val="24"/>
        </w:rPr>
        <w:t xml:space="preserve"> dalībvalstis var maksājumu atlikt līdz nākamā gada septembrim, taču, tā kā pastāv saistības un summa ir zināma, to uzkrāj kārtējā gadā, izdarot attiecīgu ierakstu maksājamās summās. Ņemot vērā, ka ES darbojas, pamatojoties uz sabalansētu naudas budžetu, atliktie maksājumi, ko izvēlējušās dažas dalībvalstis, samazina ES naudas ieņēmumus kārtējā gadā un palielina ES naudas ieņēmumus nākamajā gadā. Tas savukārt nozīmē, ka ES samazina atmaksas (vai palielina papildmaksājumus) kārtējā gadā, ko ir parādā citām dalībvalstīm (vai ko citas dalībvalstis ir parādā ES), un atmaksā tās nākamajā gadā. Tādējādi citas dalībvalstis iegūst saņemamās summas no ES, kas precīzi atbilst iepriekš minētajām maksājamām summām.</w:t>
      </w:r>
    </w:p>
    <w:p w14:paraId="36541C65"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53D230B2"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72. Budžeta nelīdzsvarotības korekcijas, ko maksā citas dalībvalstis noteiktām valstīm, uzkrāj tajā gadā, kurā ir izdarītas korekcijas, neatkarīgi no tā, uz kuriem gadiem attiecas dati, kas izmantoti šo korekciju aprēķināšanai.</w:t>
      </w:r>
    </w:p>
    <w:p w14:paraId="41A30CFB" w14:textId="77777777" w:rsidR="00994F93" w:rsidRPr="00B03B51" w:rsidRDefault="00994F93" w:rsidP="00994F93">
      <w:pPr>
        <w:jc w:val="both"/>
        <w:rPr>
          <w:rFonts w:ascii="Times New Roman" w:eastAsia="Arial" w:hAnsi="Times New Roman" w:cs="Times New Roman"/>
          <w:noProof/>
          <w:sz w:val="24"/>
          <w:szCs w:val="19"/>
        </w:rPr>
      </w:pPr>
    </w:p>
    <w:p w14:paraId="2735DDBD" w14:textId="77777777" w:rsidR="00994F93" w:rsidRPr="00B03B51" w:rsidRDefault="00994F93" w:rsidP="00994F93">
      <w:pPr>
        <w:pStyle w:val="Heading3"/>
        <w:tabs>
          <w:tab w:val="left" w:pos="1267"/>
          <w:tab w:val="left" w:pos="3178"/>
          <w:tab w:val="left" w:pos="4814"/>
          <w:tab w:val="left" w:pos="5361"/>
          <w:tab w:val="left" w:pos="6074"/>
          <w:tab w:val="left" w:pos="7640"/>
          <w:tab w:val="left" w:pos="8319"/>
        </w:tabs>
        <w:ind w:left="0" w:firstLine="0"/>
        <w:jc w:val="both"/>
        <w:rPr>
          <w:rFonts w:ascii="Times New Roman" w:hAnsi="Times New Roman" w:cs="Times New Roman"/>
          <w:noProof/>
          <w:sz w:val="24"/>
        </w:rPr>
      </w:pPr>
      <w:bookmarkStart w:id="177" w:name="_Toc67565076"/>
      <w:r w:rsidRPr="00B03B51">
        <w:rPr>
          <w:rFonts w:ascii="Times New Roman" w:hAnsi="Times New Roman" w:cs="Times New Roman"/>
          <w:sz w:val="24"/>
        </w:rPr>
        <w:t>2.6.3. Tā saucamo ES “finanšu instrumentu” grāmatvedības traktējums</w:t>
      </w:r>
      <w:bookmarkEnd w:id="177"/>
    </w:p>
    <w:p w14:paraId="58886C5B"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04B1D0F4"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73. ES sniedz finanšu atbalsta pasākumus no ES strukturālajiem un investīciju fondiem, izmantojot juridiski tā saucamos “finanšu instrumentus”.</w:t>
      </w:r>
      <w:r w:rsidRPr="00B03B51">
        <w:rPr>
          <w:rStyle w:val="FootnoteReference"/>
          <w:rFonts w:ascii="Times New Roman" w:hAnsi="Times New Roman" w:cs="Times New Roman"/>
          <w:noProof/>
          <w:sz w:val="24"/>
        </w:rPr>
        <w:footnoteReference w:id="142"/>
      </w:r>
      <w:r w:rsidRPr="00B03B51">
        <w:rPr>
          <w:rFonts w:ascii="Times New Roman" w:hAnsi="Times New Roman" w:cs="Times New Roman"/>
          <w:sz w:val="24"/>
        </w:rPr>
        <w:t xml:space="preserve"> Šie instrumenti var būt “pašu kapitāla vai pašu kapitālam pielīdzināmi ieguldījumi, aizdevumi vai garantijas” un paredzēti tādu darbību atbalstīšanai, kuras radīs ienākumus vai ļaus turpmāk ietaupīt izdevumus. Pretēji dotācijām šie instrumenti nav dāvana galasaņēmējam, kurš parasti ir mazs vai vidējs uzņēmums (MVU), jo normālos apstākļos tiek gaidīts, ka līdzekļi tiks atmaksāti kreditoram un ir jāgūst </w:t>
      </w:r>
      <w:r w:rsidRPr="00B03B51">
        <w:rPr>
          <w:rFonts w:ascii="Times New Roman" w:hAnsi="Times New Roman" w:cs="Times New Roman"/>
          <w:sz w:val="24"/>
        </w:rPr>
        <w:lastRenderedPageBreak/>
        <w:t>peļņa no ieguldījuma (piemēram, aizdevuma procenti vai peļņa no pašu kapitāla turpmākās pārdošanas). ES tiesību aktos</w:t>
      </w:r>
      <w:r w:rsidRPr="00B03B51">
        <w:rPr>
          <w:rStyle w:val="FootnoteReference"/>
          <w:rFonts w:ascii="Times New Roman" w:hAnsi="Times New Roman" w:cs="Times New Roman"/>
          <w:noProof/>
          <w:sz w:val="24"/>
        </w:rPr>
        <w:footnoteReference w:id="143"/>
      </w:r>
      <w:r w:rsidRPr="00B03B51">
        <w:rPr>
          <w:rFonts w:ascii="Times New Roman" w:hAnsi="Times New Roman" w:cs="Times New Roman"/>
          <w:sz w:val="24"/>
        </w:rPr>
        <w:t xml:space="preserve"> ir atļauts izvēlēties, kā šie finanšu instrumenti tiek īstenoti valsts līmenī, proti, īstenošanas iestādes var izvēlēties, vai piešķirt īstenošanas uzdevumu jaunizveidotam subjektam vai noslēgt līgumu par pārvaldību ar EIF/EIB vai ar esošam finanšu iestādēm.</w:t>
      </w:r>
    </w:p>
    <w:p w14:paraId="34A9D7B7" w14:textId="77777777" w:rsidR="00994F93" w:rsidRPr="00B03B51" w:rsidRDefault="00994F93" w:rsidP="00994F93">
      <w:pPr>
        <w:jc w:val="both"/>
        <w:rPr>
          <w:rFonts w:ascii="Times New Roman" w:eastAsia="Arial" w:hAnsi="Times New Roman" w:cs="Times New Roman"/>
          <w:noProof/>
          <w:sz w:val="24"/>
          <w:szCs w:val="14"/>
        </w:rPr>
      </w:pPr>
    </w:p>
    <w:p w14:paraId="72C54E5C"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74. Vienība, kurai uzdots īstenot finanšu instrumentu vai pārvaldīt starpfondu ieguldījumu fondu, ir uzskatāma par “labuma guvēju”, ievērojot B.9 neitralitātes principu attiecībā uz ES plūsmu ierakstīšanu. Labuma guvējs tiek nošķirts no galasaņēmēja, proti, no subjekta, kas saņem finanšu atbalstu no finanšu instrumenta (piemēram, MVU, kam piešķirts aizdevums vai kas saņem garantiju). Iespējams, ka labuma guvējs un galasaņēmējs – viens no tiem, abi vai neviens – var būt vienība, kas klasificēta vispārējās valdības sektorā.</w:t>
      </w:r>
    </w:p>
    <w:p w14:paraId="165C192F"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663ED9FE"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75. Ja labuma guvēja vienība ir klasificēta ārpus vispārējās valdības sektora, visi līdzekļi no ES, kas tiek virzīti ar valdības/Valsts kases starpniecību, tiek ierakstīti kā finanšu darījumi (F.2 aktīvi naudas plūsmai, F.89 saistības, pretējā puse), neietekmējot valdības ieņēmumus/izdevumus, proti, kad Valsts kase veic avansa maksājumu vai kad šie līdzekļi vienīgi iziet cauri Valsts kasei vai citiem valdības kontiem. Ja līdzekļu plūsmā valdība nav iesaistīta kā galasaņēmējs, labuma guvējs vai kā līdzekļu virzītājs, valdības kontos nav nepieciešams ieraksts.</w:t>
      </w:r>
    </w:p>
    <w:p w14:paraId="143DCEC7"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2232522E" w14:textId="0B13C61A"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 xml:space="preserve">76. Ja labuma guvējs ir vienība, kas klasificēta vispārējās valdības sektorā, nauda, kas saņemta, lai veidotu līdzekļus finanšu instrumentam, tiek ierakstītā kā “labuma guvēja” maksājamā summa (F.89) Eiropas Savienībai, nevis kā valdības ieņēmumi. Maksājamā summa samazinās, kad tiek uzskatīts, ka līdzekļi ir zuduši (piemēram, kad aizdevumi, ko labuma guvējs piešķīris galasaņēmējam, ir atcelti vai ir pieprasīta garantija) attiecībā uz valdības ieņēmumiem no ES (kas tādējādi neitralizē kapitāla pārvedumu par aizdevuma </w:t>
      </w:r>
      <w:r w:rsidR="00AE7172" w:rsidRPr="00B03B51">
        <w:rPr>
          <w:rFonts w:ascii="Times New Roman" w:hAnsi="Times New Roman" w:cs="Times New Roman"/>
          <w:sz w:val="24"/>
        </w:rPr>
        <w:t>anulēšanu</w:t>
      </w:r>
      <w:r w:rsidRPr="00B03B51">
        <w:rPr>
          <w:rFonts w:ascii="Times New Roman" w:hAnsi="Times New Roman" w:cs="Times New Roman"/>
          <w:sz w:val="24"/>
        </w:rPr>
        <w:t xml:space="preserve"> vai garantijas pieprasījumu). Maksājamā summa palielinās par uzkrāto procentu un maksu un saņemto dividenžu summu.</w:t>
      </w:r>
    </w:p>
    <w:p w14:paraId="7F8776CA"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0AE5198C"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77. AF.89 maksājamā summa Eiropas Savienībai paliks sistēmā, līdz tiks pieņemts lēmums par šo līdzekļu galīgo apropriāciju.</w:t>
      </w:r>
    </w:p>
    <w:p w14:paraId="1211D492"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5114AE2B"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78. Gadījumos, kad Valsts kase nodrošina labuma guvējam naudu avansā, pārvedumu ieraksta kā Valsts kases saņemamo summu (F.8) pret ES, kopā ar to, ka saņēmējs uzņemas maksājamo summu (F.8) pret ES. Kad tiek saņemts ES maksājums, Valsts kases saņemamā summa tiek dzēsta.</w:t>
      </w:r>
    </w:p>
    <w:p w14:paraId="216A8C41"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0F934AEB"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79. Saskaņā ar šo ierakstīšanas veidu ES korekcija tiek īstenota tikai labuma guvēja līmenī (t. i., fonda pārvaldītāja līmenī). Plūsmas saņēmēja virzienā, izmantojot “finanšu instrumentus”, ir uzskatāmas nevis par ES strukturālo un investīciju fondu izdevumiem, bet par finansējumu un ir jāieraksta, izmantojot parastos EKS noteikumus. Tas nozīmē, ka gadījumā, ja galasaņēmējs ir klasificēts vispārējās valdības sektorā, B.9 ietekmi ieraksta attiecībā uz visiem izdevumiem, kas finansēti ar aizdevumu no “labuma guvēja”, vai procentiem, kas samaksāti par aizdevumu.</w:t>
      </w:r>
    </w:p>
    <w:p w14:paraId="20ADE0C8" w14:textId="77777777" w:rsidR="00994F93" w:rsidRPr="00B03B51" w:rsidRDefault="00994F93" w:rsidP="00994F93">
      <w:pPr>
        <w:jc w:val="both"/>
        <w:rPr>
          <w:rFonts w:ascii="Times New Roman" w:eastAsia="Arial" w:hAnsi="Times New Roman" w:cs="Times New Roman"/>
          <w:noProof/>
          <w:sz w:val="24"/>
          <w:szCs w:val="18"/>
        </w:rPr>
      </w:pPr>
    </w:p>
    <w:p w14:paraId="4995101A" w14:textId="77777777" w:rsidR="00994F93" w:rsidRPr="00B03B51" w:rsidRDefault="00994F93" w:rsidP="00DA39FD">
      <w:pPr>
        <w:pStyle w:val="Heading3"/>
        <w:keepNext/>
        <w:tabs>
          <w:tab w:val="left" w:pos="1267"/>
        </w:tabs>
        <w:ind w:left="0" w:firstLine="0"/>
        <w:jc w:val="both"/>
        <w:rPr>
          <w:rFonts w:ascii="Times New Roman" w:hAnsi="Times New Roman" w:cs="Times New Roman"/>
          <w:noProof/>
          <w:sz w:val="24"/>
        </w:rPr>
      </w:pPr>
      <w:bookmarkStart w:id="178" w:name="_Toc67565077"/>
      <w:r w:rsidRPr="00B03B51">
        <w:rPr>
          <w:rFonts w:ascii="Times New Roman" w:hAnsi="Times New Roman" w:cs="Times New Roman"/>
          <w:sz w:val="24"/>
        </w:rPr>
        <w:lastRenderedPageBreak/>
        <w:t>2.6.4. Uzskaites piemēri</w:t>
      </w:r>
      <w:bookmarkEnd w:id="178"/>
    </w:p>
    <w:p w14:paraId="76979F2B" w14:textId="77777777" w:rsidR="00994F93" w:rsidRPr="00B03B51" w:rsidRDefault="00994F93" w:rsidP="00DA39FD">
      <w:pPr>
        <w:keepNext/>
        <w:tabs>
          <w:tab w:val="left" w:pos="770"/>
        </w:tabs>
        <w:jc w:val="both"/>
        <w:rPr>
          <w:rFonts w:ascii="Times New Roman" w:hAnsi="Times New Roman" w:cs="Times New Roman"/>
          <w:b/>
          <w:noProof/>
          <w:sz w:val="24"/>
        </w:rPr>
      </w:pPr>
    </w:p>
    <w:p w14:paraId="31C219C7" w14:textId="77777777" w:rsidR="00994F93" w:rsidRPr="00B03B51" w:rsidRDefault="00994F93" w:rsidP="00DA39FD">
      <w:pPr>
        <w:keepNext/>
        <w:tabs>
          <w:tab w:val="left" w:pos="770"/>
        </w:tabs>
        <w:jc w:val="both"/>
        <w:rPr>
          <w:rFonts w:ascii="Times New Roman" w:hAnsi="Times New Roman" w:cs="Times New Roman"/>
          <w:b/>
          <w:noProof/>
          <w:sz w:val="24"/>
        </w:rPr>
      </w:pPr>
      <w:r w:rsidRPr="00B03B51">
        <w:rPr>
          <w:rFonts w:ascii="Times New Roman" w:hAnsi="Times New Roman" w:cs="Times New Roman"/>
          <w:b/>
          <w:sz w:val="24"/>
        </w:rPr>
        <w:t>1. Galasaņēmējs nav valdības vienība (valsts avansa gadījums)</w:t>
      </w:r>
    </w:p>
    <w:p w14:paraId="7E63A328" w14:textId="77777777" w:rsidR="00994F93" w:rsidRPr="00B03B51" w:rsidRDefault="00994F93" w:rsidP="00DA39FD">
      <w:pPr>
        <w:keepNext/>
        <w:jc w:val="both"/>
        <w:rPr>
          <w:rFonts w:ascii="Times New Roman" w:eastAsia="Arial" w:hAnsi="Times New Roman" w:cs="Times New Roman"/>
          <w:b/>
          <w:bCs/>
          <w:noProof/>
          <w:sz w:val="24"/>
        </w:rPr>
      </w:pPr>
    </w:p>
    <w:p w14:paraId="4F773AC1" w14:textId="77777777" w:rsidR="00994F93" w:rsidRPr="00B03B51" w:rsidRDefault="00994F93" w:rsidP="00DA39FD">
      <w:pPr>
        <w:pStyle w:val="BodyText"/>
        <w:keepNext/>
        <w:spacing w:before="0"/>
        <w:ind w:left="0" w:firstLine="0"/>
        <w:jc w:val="both"/>
        <w:rPr>
          <w:rFonts w:ascii="Times New Roman" w:hAnsi="Times New Roman" w:cs="Times New Roman"/>
          <w:noProof/>
          <w:sz w:val="24"/>
        </w:rPr>
      </w:pPr>
      <w:r w:rsidRPr="00B03B51">
        <w:rPr>
          <w:rFonts w:ascii="Times New Roman" w:hAnsi="Times New Roman" w:cs="Times New Roman"/>
          <w:sz w:val="24"/>
        </w:rPr>
        <w:t xml:space="preserve">Valdības sektoram nepiederošam ražotājam ir tiesības saņemt 1000 vienības no Eiropas iestādes kā ieguldījumu atbalstu </w:t>
      </w:r>
      <w:r w:rsidRPr="00B03B51">
        <w:rPr>
          <w:rFonts w:ascii="Times New Roman" w:hAnsi="Times New Roman" w:cs="Times New Roman"/>
          <w:i/>
          <w:iCs/>
          <w:sz w:val="24"/>
        </w:rPr>
        <w:t>t</w:t>
      </w:r>
      <w:r w:rsidRPr="00B03B51">
        <w:rPr>
          <w:rFonts w:ascii="Times New Roman" w:hAnsi="Times New Roman" w:cs="Times New Roman"/>
          <w:sz w:val="24"/>
        </w:rPr>
        <w:t xml:space="preserve"> gadā. Tas šo summu </w:t>
      </w:r>
      <w:r w:rsidRPr="00B03B51">
        <w:rPr>
          <w:rFonts w:ascii="Times New Roman" w:hAnsi="Times New Roman" w:cs="Times New Roman"/>
          <w:i/>
          <w:iCs/>
          <w:sz w:val="24"/>
        </w:rPr>
        <w:t>t</w:t>
      </w:r>
      <w:r w:rsidRPr="00B03B51">
        <w:rPr>
          <w:rFonts w:ascii="Times New Roman" w:hAnsi="Times New Roman" w:cs="Times New Roman"/>
          <w:sz w:val="24"/>
        </w:rPr>
        <w:t xml:space="preserve"> gadā saņem no valsts, taču Eiropas iestāde atmaksas maksājumu 1000 apmērā veic vēlāk </w:t>
      </w:r>
      <w:r w:rsidRPr="00B03B51">
        <w:rPr>
          <w:rFonts w:ascii="Times New Roman" w:hAnsi="Times New Roman" w:cs="Times New Roman"/>
          <w:i/>
          <w:iCs/>
          <w:sz w:val="24"/>
        </w:rPr>
        <w:t>t+1</w:t>
      </w:r>
      <w:r w:rsidRPr="00B03B51">
        <w:rPr>
          <w:rFonts w:ascii="Times New Roman" w:hAnsi="Times New Roman" w:cs="Times New Roman"/>
          <w:sz w:val="24"/>
        </w:rPr>
        <w:t> gadā.</w:t>
      </w:r>
    </w:p>
    <w:p w14:paraId="2C15D675" w14:textId="77777777" w:rsidR="00994F93" w:rsidRPr="00B03B51" w:rsidRDefault="00994F93" w:rsidP="00994F93">
      <w:pPr>
        <w:jc w:val="both"/>
        <w:rPr>
          <w:rFonts w:ascii="Times New Roman" w:eastAsia="Arial" w:hAnsi="Times New Roman" w:cs="Times New Roman"/>
          <w:noProof/>
          <w:sz w:val="24"/>
          <w:szCs w:val="18"/>
        </w:rPr>
      </w:pPr>
    </w:p>
    <w:p w14:paraId="5CD0FFE6" w14:textId="7265EB4B" w:rsidR="00994F93" w:rsidRPr="00B03B51" w:rsidRDefault="001A1FF6" w:rsidP="00281D6D">
      <w:pPr>
        <w:jc w:val="center"/>
        <w:rPr>
          <w:rFonts w:ascii="Times New Roman" w:eastAsia="Arial" w:hAnsi="Times New Roman" w:cs="Times New Roman"/>
          <w:noProof/>
          <w:sz w:val="24"/>
          <w:szCs w:val="18"/>
        </w:rPr>
      </w:pPr>
      <w:r w:rsidRPr="00B03B51">
        <w:rPr>
          <w:rFonts w:ascii="Times New Roman" w:eastAsia="Arial" w:hAnsi="Times New Roman" w:cs="Times New Roman"/>
          <w:noProof/>
          <w:sz w:val="24"/>
          <w:szCs w:val="18"/>
        </w:rPr>
        <w:drawing>
          <wp:inline distT="0" distB="0" distL="0" distR="0" wp14:anchorId="6EC81374" wp14:editId="38118EEB">
            <wp:extent cx="5760085" cy="2925445"/>
            <wp:effectExtent l="0" t="0" r="0" b="825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760085" cy="2925445"/>
                    </a:xfrm>
                    <a:prstGeom prst="rect">
                      <a:avLst/>
                    </a:prstGeom>
                    <a:noFill/>
                    <a:ln>
                      <a:noFill/>
                    </a:ln>
                  </pic:spPr>
                </pic:pic>
              </a:graphicData>
            </a:graphic>
          </wp:inline>
        </w:drawing>
      </w:r>
    </w:p>
    <w:p w14:paraId="58F5F9A3" w14:textId="19518887" w:rsidR="00994F93" w:rsidRPr="00B03B51" w:rsidRDefault="001A1FF6" w:rsidP="00CB1E01">
      <w:pPr>
        <w:jc w:val="center"/>
        <w:rPr>
          <w:rFonts w:ascii="Times New Roman" w:eastAsia="Arial" w:hAnsi="Times New Roman" w:cs="Times New Roman"/>
          <w:noProof/>
          <w:sz w:val="24"/>
          <w:szCs w:val="18"/>
        </w:rPr>
      </w:pPr>
      <w:r w:rsidRPr="00B03B51">
        <w:rPr>
          <w:rFonts w:ascii="Times New Roman" w:eastAsia="Arial" w:hAnsi="Times New Roman" w:cs="Times New Roman"/>
          <w:noProof/>
          <w:sz w:val="24"/>
          <w:szCs w:val="18"/>
        </w:rPr>
        <w:lastRenderedPageBreak/>
        <w:drawing>
          <wp:inline distT="0" distB="0" distL="0" distR="0" wp14:anchorId="3E1511A5" wp14:editId="2299B7F5">
            <wp:extent cx="5760085" cy="4939665"/>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760085" cy="4939665"/>
                    </a:xfrm>
                    <a:prstGeom prst="rect">
                      <a:avLst/>
                    </a:prstGeom>
                    <a:noFill/>
                    <a:ln>
                      <a:noFill/>
                    </a:ln>
                  </pic:spPr>
                </pic:pic>
              </a:graphicData>
            </a:graphic>
          </wp:inline>
        </w:drawing>
      </w:r>
    </w:p>
    <w:p w14:paraId="2D8914E6" w14:textId="77777777" w:rsidR="00994F93" w:rsidRPr="00B03B51" w:rsidRDefault="00994F93" w:rsidP="00994F93">
      <w:pPr>
        <w:jc w:val="both"/>
        <w:rPr>
          <w:rFonts w:ascii="Times New Roman" w:eastAsia="Arial" w:hAnsi="Times New Roman" w:cs="Times New Roman"/>
          <w:noProof/>
          <w:sz w:val="24"/>
          <w:szCs w:val="18"/>
        </w:rPr>
      </w:pPr>
    </w:p>
    <w:p w14:paraId="7EF393D1" w14:textId="77777777" w:rsidR="00994F93" w:rsidRPr="00B03B51" w:rsidRDefault="00994F93" w:rsidP="00994F93">
      <w:pPr>
        <w:tabs>
          <w:tab w:val="left" w:pos="770"/>
        </w:tabs>
        <w:jc w:val="both"/>
        <w:rPr>
          <w:rFonts w:ascii="Times New Roman" w:hAnsi="Times New Roman" w:cs="Times New Roman"/>
          <w:b/>
          <w:noProof/>
          <w:sz w:val="24"/>
        </w:rPr>
      </w:pPr>
      <w:r w:rsidRPr="00B03B51">
        <w:rPr>
          <w:rFonts w:ascii="Times New Roman" w:hAnsi="Times New Roman" w:cs="Times New Roman"/>
          <w:b/>
          <w:sz w:val="24"/>
        </w:rPr>
        <w:t>2. Galasaņēmējs ir valdības vienība</w:t>
      </w:r>
    </w:p>
    <w:p w14:paraId="617AB814" w14:textId="77777777" w:rsidR="00994F93" w:rsidRPr="00B03B51" w:rsidRDefault="00994F93" w:rsidP="00994F93">
      <w:pPr>
        <w:jc w:val="both"/>
        <w:rPr>
          <w:rFonts w:ascii="Times New Roman" w:eastAsia="Arial" w:hAnsi="Times New Roman" w:cs="Times New Roman"/>
          <w:b/>
          <w:bCs/>
          <w:noProof/>
          <w:sz w:val="24"/>
        </w:rPr>
      </w:pPr>
    </w:p>
    <w:p w14:paraId="3BF4BA8C" w14:textId="77777777" w:rsidR="00994F93" w:rsidRPr="00B03B51" w:rsidRDefault="00994F93" w:rsidP="00994F93">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t xml:space="preserve">Valdības vienība </w:t>
      </w:r>
      <w:r w:rsidRPr="00B03B51">
        <w:rPr>
          <w:rFonts w:ascii="Times New Roman" w:hAnsi="Times New Roman" w:cs="Times New Roman"/>
          <w:i/>
          <w:iCs/>
          <w:sz w:val="24"/>
        </w:rPr>
        <w:t>t</w:t>
      </w:r>
      <w:r w:rsidRPr="00B03B51">
        <w:rPr>
          <w:rFonts w:ascii="Times New Roman" w:hAnsi="Times New Roman" w:cs="Times New Roman"/>
          <w:sz w:val="24"/>
        </w:rPr>
        <w:t xml:space="preserve"> gadā ir iztērējusi 2000 vienību (šajā gadījumā kā bruto pamatkapitāla veidošanu) projektā, kurā līdzfinansējums ir līdz 50 %. Attiecīgie dokumenti tiek nosūtīti Eiropas iestādei, tomēr tā atmaksā 1000 vienības tikai nākamā </w:t>
      </w:r>
      <w:r w:rsidRPr="00B03B51">
        <w:rPr>
          <w:rFonts w:ascii="Times New Roman" w:hAnsi="Times New Roman" w:cs="Times New Roman"/>
          <w:i/>
          <w:iCs/>
          <w:sz w:val="24"/>
        </w:rPr>
        <w:t>t+1</w:t>
      </w:r>
      <w:r w:rsidRPr="00B03B51">
        <w:rPr>
          <w:rFonts w:ascii="Times New Roman" w:hAnsi="Times New Roman" w:cs="Times New Roman"/>
          <w:sz w:val="24"/>
        </w:rPr>
        <w:t> gada laikā.</w:t>
      </w:r>
    </w:p>
    <w:p w14:paraId="36A55A30" w14:textId="77777777" w:rsidR="00994F93" w:rsidRPr="00B03B51" w:rsidRDefault="00994F93" w:rsidP="00994F93">
      <w:pPr>
        <w:jc w:val="both"/>
        <w:rPr>
          <w:rFonts w:ascii="Times New Roman" w:eastAsia="Arial" w:hAnsi="Times New Roman" w:cs="Times New Roman"/>
          <w:noProof/>
          <w:sz w:val="24"/>
          <w:szCs w:val="18"/>
        </w:rPr>
      </w:pPr>
    </w:p>
    <w:p w14:paraId="0081A84D" w14:textId="35917A58" w:rsidR="00994F93" w:rsidRPr="00B03B51" w:rsidRDefault="00DA6690" w:rsidP="00DA6690">
      <w:pPr>
        <w:jc w:val="center"/>
        <w:rPr>
          <w:rFonts w:ascii="Times New Roman" w:eastAsia="Arial" w:hAnsi="Times New Roman" w:cs="Times New Roman"/>
          <w:noProof/>
          <w:sz w:val="24"/>
          <w:szCs w:val="18"/>
        </w:rPr>
      </w:pPr>
      <w:r w:rsidRPr="00B03B51">
        <w:rPr>
          <w:rFonts w:ascii="Times New Roman" w:eastAsia="Arial" w:hAnsi="Times New Roman" w:cs="Times New Roman"/>
          <w:noProof/>
          <w:sz w:val="24"/>
          <w:szCs w:val="18"/>
        </w:rPr>
        <w:drawing>
          <wp:inline distT="0" distB="0" distL="0" distR="0" wp14:anchorId="6EA73FC9" wp14:editId="160614E1">
            <wp:extent cx="5760085" cy="2378710"/>
            <wp:effectExtent l="0" t="0" r="0" b="254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760085" cy="2378710"/>
                    </a:xfrm>
                    <a:prstGeom prst="rect">
                      <a:avLst/>
                    </a:prstGeom>
                    <a:noFill/>
                    <a:ln>
                      <a:noFill/>
                    </a:ln>
                  </pic:spPr>
                </pic:pic>
              </a:graphicData>
            </a:graphic>
          </wp:inline>
        </w:drawing>
      </w:r>
    </w:p>
    <w:p w14:paraId="092242AE" w14:textId="4C56D61D" w:rsidR="00994F93" w:rsidRPr="00B03B51" w:rsidRDefault="00DA6690" w:rsidP="00587E78">
      <w:pPr>
        <w:jc w:val="center"/>
        <w:rPr>
          <w:rFonts w:ascii="Times New Roman" w:eastAsia="Arial" w:hAnsi="Times New Roman" w:cs="Times New Roman"/>
          <w:noProof/>
          <w:sz w:val="24"/>
          <w:szCs w:val="18"/>
        </w:rPr>
      </w:pPr>
      <w:r w:rsidRPr="00B03B51">
        <w:rPr>
          <w:rFonts w:ascii="Times New Roman" w:eastAsia="Arial" w:hAnsi="Times New Roman" w:cs="Times New Roman"/>
          <w:noProof/>
          <w:sz w:val="24"/>
          <w:szCs w:val="18"/>
        </w:rPr>
        <w:lastRenderedPageBreak/>
        <w:drawing>
          <wp:inline distT="0" distB="0" distL="0" distR="0" wp14:anchorId="3635AB9A" wp14:editId="6ED707A1">
            <wp:extent cx="5760085" cy="395097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760085" cy="3950970"/>
                    </a:xfrm>
                    <a:prstGeom prst="rect">
                      <a:avLst/>
                    </a:prstGeom>
                    <a:noFill/>
                    <a:ln>
                      <a:noFill/>
                    </a:ln>
                  </pic:spPr>
                </pic:pic>
              </a:graphicData>
            </a:graphic>
          </wp:inline>
        </w:drawing>
      </w:r>
    </w:p>
    <w:p w14:paraId="2B2F085D" w14:textId="77777777" w:rsidR="00994F93" w:rsidRPr="00B03B51" w:rsidRDefault="00994F93" w:rsidP="00994F93">
      <w:pPr>
        <w:jc w:val="both"/>
        <w:rPr>
          <w:rFonts w:ascii="Times New Roman" w:eastAsia="Arial" w:hAnsi="Times New Roman" w:cs="Times New Roman"/>
          <w:noProof/>
          <w:sz w:val="24"/>
          <w:szCs w:val="18"/>
        </w:rPr>
      </w:pPr>
    </w:p>
    <w:p w14:paraId="4660AF27" w14:textId="77777777" w:rsidR="00994F93" w:rsidRPr="00B03B51" w:rsidRDefault="00994F93" w:rsidP="00994F93">
      <w:pPr>
        <w:tabs>
          <w:tab w:val="left" w:pos="775"/>
        </w:tabs>
        <w:jc w:val="both"/>
        <w:rPr>
          <w:rFonts w:ascii="Times New Roman" w:hAnsi="Times New Roman" w:cs="Times New Roman"/>
          <w:b/>
          <w:noProof/>
          <w:sz w:val="24"/>
        </w:rPr>
      </w:pPr>
      <w:r w:rsidRPr="00B03B51">
        <w:rPr>
          <w:rFonts w:ascii="Times New Roman" w:hAnsi="Times New Roman" w:cs="Times New Roman"/>
          <w:b/>
          <w:sz w:val="24"/>
        </w:rPr>
        <w:t>3. Lauksaimniecības maksājumu atteikumi, kuru gadījumā valdībai ir atļauts papildināt sākotnējo maksājumu</w:t>
      </w:r>
    </w:p>
    <w:p w14:paraId="062C3D12" w14:textId="77777777" w:rsidR="00994F93" w:rsidRPr="00B03B51" w:rsidRDefault="00994F93" w:rsidP="00994F93">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t>(42. rindkopa)</w:t>
      </w:r>
    </w:p>
    <w:p w14:paraId="6A2F7D1B" w14:textId="77777777" w:rsidR="00994F93" w:rsidRPr="00B03B51" w:rsidRDefault="00994F93" w:rsidP="00994F93">
      <w:pPr>
        <w:jc w:val="both"/>
        <w:rPr>
          <w:rFonts w:ascii="Times New Roman" w:eastAsia="Arial" w:hAnsi="Times New Roman" w:cs="Times New Roman"/>
          <w:noProof/>
          <w:sz w:val="24"/>
        </w:rPr>
      </w:pPr>
    </w:p>
    <w:p w14:paraId="3ADF5D09" w14:textId="77777777" w:rsidR="00994F93" w:rsidRPr="00B03B51" w:rsidRDefault="00994F93" w:rsidP="00994F93">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t xml:space="preserve">Valdība nosūta Eiropas iestādēm prasījumu par 1000 vienībām ar lūgumu atmaksāt </w:t>
      </w:r>
      <w:r w:rsidRPr="00B03B51">
        <w:rPr>
          <w:rFonts w:ascii="Times New Roman" w:hAnsi="Times New Roman" w:cs="Times New Roman"/>
          <w:i/>
          <w:iCs/>
          <w:sz w:val="24"/>
        </w:rPr>
        <w:t>t</w:t>
      </w:r>
      <w:r w:rsidRPr="00B03B51">
        <w:rPr>
          <w:rFonts w:ascii="Times New Roman" w:hAnsi="Times New Roman" w:cs="Times New Roman"/>
          <w:sz w:val="24"/>
        </w:rPr>
        <w:t xml:space="preserve"> gada novembrī izmaksātās subsīdijas, taču Eiropas iestādes atmaksā tikai 800 vienības </w:t>
      </w:r>
      <w:r w:rsidRPr="00B03B51">
        <w:rPr>
          <w:rFonts w:ascii="Times New Roman" w:hAnsi="Times New Roman" w:cs="Times New Roman"/>
          <w:i/>
          <w:iCs/>
          <w:sz w:val="24"/>
        </w:rPr>
        <w:t>t+1</w:t>
      </w:r>
      <w:r w:rsidRPr="00B03B51">
        <w:rPr>
          <w:rFonts w:ascii="Times New Roman" w:hAnsi="Times New Roman" w:cs="Times New Roman"/>
          <w:sz w:val="24"/>
        </w:rPr>
        <w:t> gada janvārī, jo 200 vienības tiek ieturētas kā soda nauda par neatbilstošiem prasījumiem iepriekšējos periodos (</w:t>
      </w:r>
      <w:r w:rsidRPr="00B03B51">
        <w:rPr>
          <w:rFonts w:ascii="Times New Roman" w:hAnsi="Times New Roman" w:cs="Times New Roman"/>
          <w:i/>
          <w:iCs/>
          <w:sz w:val="24"/>
        </w:rPr>
        <w:t>t-1</w:t>
      </w:r>
      <w:r w:rsidRPr="00B03B51">
        <w:rPr>
          <w:rFonts w:ascii="Times New Roman" w:hAnsi="Times New Roman" w:cs="Times New Roman"/>
          <w:sz w:val="24"/>
        </w:rPr>
        <w:t> gadā vai pirms tam). Galasaņēmējs patur sākotnējo subsīdiju.</w:t>
      </w:r>
    </w:p>
    <w:p w14:paraId="2600EF26" w14:textId="77777777" w:rsidR="00994F93" w:rsidRPr="00B03B51" w:rsidRDefault="00994F93" w:rsidP="00994F93">
      <w:pPr>
        <w:jc w:val="both"/>
        <w:rPr>
          <w:rFonts w:ascii="Times New Roman" w:eastAsia="Arial" w:hAnsi="Times New Roman" w:cs="Times New Roman"/>
          <w:b/>
          <w:bCs/>
          <w:noProof/>
          <w:sz w:val="24"/>
          <w:szCs w:val="24"/>
        </w:rPr>
      </w:pPr>
    </w:p>
    <w:p w14:paraId="0CE34638" w14:textId="7EE3A8FF" w:rsidR="00994F93" w:rsidRPr="00B03B51" w:rsidRDefault="009A2A25" w:rsidP="00587E78">
      <w:pPr>
        <w:jc w:val="center"/>
        <w:rPr>
          <w:rFonts w:ascii="Times New Roman" w:eastAsia="Arial" w:hAnsi="Times New Roman" w:cs="Times New Roman"/>
          <w:b/>
          <w:bCs/>
          <w:noProof/>
          <w:sz w:val="24"/>
          <w:szCs w:val="24"/>
        </w:rPr>
      </w:pPr>
      <w:r w:rsidRPr="00B03B51">
        <w:rPr>
          <w:rFonts w:ascii="Times New Roman" w:eastAsia="Arial" w:hAnsi="Times New Roman" w:cs="Times New Roman"/>
          <w:b/>
          <w:bCs/>
          <w:noProof/>
          <w:sz w:val="24"/>
          <w:szCs w:val="24"/>
        </w:rPr>
        <w:drawing>
          <wp:inline distT="0" distB="0" distL="0" distR="0" wp14:anchorId="712062EB" wp14:editId="58461E8A">
            <wp:extent cx="5760085" cy="3027045"/>
            <wp:effectExtent l="0" t="0" r="0" b="190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760085" cy="3027045"/>
                    </a:xfrm>
                    <a:prstGeom prst="rect">
                      <a:avLst/>
                    </a:prstGeom>
                    <a:noFill/>
                    <a:ln>
                      <a:noFill/>
                    </a:ln>
                  </pic:spPr>
                </pic:pic>
              </a:graphicData>
            </a:graphic>
          </wp:inline>
        </w:drawing>
      </w:r>
    </w:p>
    <w:p w14:paraId="06099BC7" w14:textId="0D7A8E06" w:rsidR="00994F93" w:rsidRPr="00B03B51" w:rsidRDefault="009A2A25" w:rsidP="00587E78">
      <w:pPr>
        <w:jc w:val="center"/>
        <w:rPr>
          <w:rFonts w:ascii="Times New Roman" w:eastAsia="Arial" w:hAnsi="Times New Roman" w:cs="Times New Roman"/>
          <w:b/>
          <w:bCs/>
          <w:noProof/>
          <w:sz w:val="24"/>
          <w:szCs w:val="24"/>
        </w:rPr>
      </w:pPr>
      <w:r w:rsidRPr="00B03B51">
        <w:rPr>
          <w:rFonts w:ascii="Times New Roman" w:eastAsia="Arial" w:hAnsi="Times New Roman" w:cs="Times New Roman"/>
          <w:b/>
          <w:bCs/>
          <w:noProof/>
          <w:sz w:val="24"/>
          <w:szCs w:val="24"/>
        </w:rPr>
        <w:lastRenderedPageBreak/>
        <w:drawing>
          <wp:inline distT="0" distB="0" distL="0" distR="0" wp14:anchorId="65F1FCF2" wp14:editId="58FDE172">
            <wp:extent cx="5760085" cy="566039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760085" cy="5660390"/>
                    </a:xfrm>
                    <a:prstGeom prst="rect">
                      <a:avLst/>
                    </a:prstGeom>
                    <a:noFill/>
                    <a:ln>
                      <a:noFill/>
                    </a:ln>
                  </pic:spPr>
                </pic:pic>
              </a:graphicData>
            </a:graphic>
          </wp:inline>
        </w:drawing>
      </w:r>
    </w:p>
    <w:p w14:paraId="19462043" w14:textId="77777777" w:rsidR="00994F93" w:rsidRPr="00B03B51" w:rsidRDefault="00994F93" w:rsidP="00994F93">
      <w:pPr>
        <w:jc w:val="both"/>
        <w:rPr>
          <w:rFonts w:ascii="Times New Roman" w:eastAsia="Arial" w:hAnsi="Times New Roman" w:cs="Times New Roman"/>
          <w:b/>
          <w:bCs/>
          <w:noProof/>
          <w:sz w:val="24"/>
          <w:szCs w:val="24"/>
        </w:rPr>
      </w:pPr>
    </w:p>
    <w:p w14:paraId="32506383" w14:textId="77777777" w:rsidR="00994F93" w:rsidRPr="00B03B51" w:rsidRDefault="00994F93" w:rsidP="00994F93">
      <w:pPr>
        <w:tabs>
          <w:tab w:val="left" w:pos="816"/>
        </w:tabs>
        <w:jc w:val="both"/>
        <w:rPr>
          <w:rFonts w:ascii="Times New Roman" w:eastAsia="Arial" w:hAnsi="Times New Roman" w:cs="Times New Roman"/>
          <w:noProof/>
          <w:sz w:val="24"/>
          <w:szCs w:val="19"/>
        </w:rPr>
      </w:pPr>
      <w:r w:rsidRPr="00B03B51">
        <w:rPr>
          <w:rFonts w:ascii="Times New Roman" w:hAnsi="Times New Roman" w:cs="Times New Roman"/>
          <w:b/>
          <w:sz w:val="24"/>
        </w:rPr>
        <w:t xml:space="preserve">4. </w:t>
      </w:r>
      <w:r w:rsidRPr="00B03B51">
        <w:rPr>
          <w:rFonts w:ascii="Times New Roman" w:hAnsi="Times New Roman" w:cs="Times New Roman"/>
          <w:b/>
          <w:bCs/>
          <w:sz w:val="24"/>
        </w:rPr>
        <w:t>Lauksaimniecības maksājumu atteikumi, kuru gadījumā valdībai nav atļauts pabeigt sākotnējo maksājumu un gala saņēmējs nespēj atmaksāt pilnu summu</w:t>
      </w:r>
      <w:r w:rsidRPr="00B03B51">
        <w:rPr>
          <w:rFonts w:ascii="Times New Roman" w:hAnsi="Times New Roman" w:cs="Times New Roman"/>
          <w:sz w:val="24"/>
        </w:rPr>
        <w:t xml:space="preserve"> (45. rindkopa)</w:t>
      </w:r>
    </w:p>
    <w:p w14:paraId="510662C5" w14:textId="77777777" w:rsidR="00994F93" w:rsidRPr="00B03B51" w:rsidRDefault="00994F93" w:rsidP="00994F93">
      <w:pPr>
        <w:jc w:val="both"/>
        <w:rPr>
          <w:rFonts w:ascii="Times New Roman" w:eastAsia="Arial" w:hAnsi="Times New Roman" w:cs="Times New Roman"/>
          <w:noProof/>
          <w:sz w:val="24"/>
        </w:rPr>
      </w:pPr>
    </w:p>
    <w:p w14:paraId="7D07F2A9" w14:textId="77777777" w:rsidR="00994F93" w:rsidRPr="00B03B51" w:rsidRDefault="00994F93" w:rsidP="00994F93">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t xml:space="preserve">Valdība nosūta Eiropas iestādēm prasību par 1000 vienībām ar lūgumu atmaksāt </w:t>
      </w:r>
      <w:r w:rsidRPr="00B03B51">
        <w:rPr>
          <w:rFonts w:ascii="Times New Roman" w:hAnsi="Times New Roman" w:cs="Times New Roman"/>
          <w:i/>
          <w:iCs/>
          <w:sz w:val="24"/>
        </w:rPr>
        <w:t>t</w:t>
      </w:r>
      <w:r w:rsidRPr="00B03B51">
        <w:rPr>
          <w:rFonts w:ascii="Times New Roman" w:hAnsi="Times New Roman" w:cs="Times New Roman"/>
          <w:sz w:val="24"/>
        </w:rPr>
        <w:t xml:space="preserve"> gada novembrī izmaksātās subsīdijas, taču Eiropas iestādes atmaksā tikai 800 vienības </w:t>
      </w:r>
      <w:r w:rsidRPr="00B03B51">
        <w:rPr>
          <w:rFonts w:ascii="Times New Roman" w:hAnsi="Times New Roman" w:cs="Times New Roman"/>
          <w:i/>
          <w:iCs/>
          <w:sz w:val="24"/>
        </w:rPr>
        <w:t>t+1</w:t>
      </w:r>
      <w:r w:rsidRPr="00B03B51">
        <w:rPr>
          <w:rFonts w:ascii="Times New Roman" w:hAnsi="Times New Roman" w:cs="Times New Roman"/>
          <w:sz w:val="24"/>
        </w:rPr>
        <w:t> gada janvārī, jo 200 vienības tiek ieturētas kā soda nauda par neatbilstošiem prasījumiem iepriekšējos periodos. Galasaņēmējs nevar paturēt sākotnējo soda naudu, taču vienlaikus galasaņēmējs arī nespēj to atmaksāt.</w:t>
      </w:r>
    </w:p>
    <w:p w14:paraId="34F52818" w14:textId="77777777" w:rsidR="00994F93" w:rsidRPr="00B03B51" w:rsidRDefault="00994F93" w:rsidP="00994F93">
      <w:pPr>
        <w:jc w:val="both"/>
        <w:rPr>
          <w:rFonts w:ascii="Times New Roman" w:eastAsia="Arial" w:hAnsi="Times New Roman" w:cs="Times New Roman"/>
          <w:b/>
          <w:bCs/>
          <w:noProof/>
          <w:sz w:val="24"/>
          <w:szCs w:val="18"/>
        </w:rPr>
      </w:pPr>
    </w:p>
    <w:p w14:paraId="3C0FED5F" w14:textId="5CF630C2" w:rsidR="00994F93" w:rsidRPr="00B03B51" w:rsidRDefault="00CB4C2E" w:rsidP="00587E78">
      <w:pPr>
        <w:jc w:val="center"/>
        <w:rPr>
          <w:rFonts w:ascii="Times New Roman" w:eastAsia="Arial" w:hAnsi="Times New Roman" w:cs="Times New Roman"/>
          <w:b/>
          <w:bCs/>
          <w:noProof/>
          <w:sz w:val="24"/>
          <w:szCs w:val="18"/>
        </w:rPr>
      </w:pPr>
      <w:r w:rsidRPr="00B03B51">
        <w:rPr>
          <w:rFonts w:ascii="Times New Roman" w:eastAsia="Arial" w:hAnsi="Times New Roman" w:cs="Times New Roman"/>
          <w:b/>
          <w:bCs/>
          <w:noProof/>
          <w:sz w:val="24"/>
          <w:szCs w:val="18"/>
        </w:rPr>
        <w:drawing>
          <wp:inline distT="0" distB="0" distL="0" distR="0" wp14:anchorId="03A0CE45" wp14:editId="55BA6CA4">
            <wp:extent cx="5760085" cy="135763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760085" cy="1357630"/>
                    </a:xfrm>
                    <a:prstGeom prst="rect">
                      <a:avLst/>
                    </a:prstGeom>
                    <a:noFill/>
                    <a:ln>
                      <a:noFill/>
                    </a:ln>
                  </pic:spPr>
                </pic:pic>
              </a:graphicData>
            </a:graphic>
          </wp:inline>
        </w:drawing>
      </w:r>
    </w:p>
    <w:p w14:paraId="3692BB99" w14:textId="77777777" w:rsidR="00587E78" w:rsidRPr="00B03B51" w:rsidRDefault="00CB4C2E" w:rsidP="00587E78">
      <w:pPr>
        <w:jc w:val="center"/>
        <w:rPr>
          <w:rFonts w:ascii="Times New Roman" w:hAnsi="Times New Roman" w:cs="Times New Roman"/>
        </w:rPr>
      </w:pPr>
      <w:r w:rsidRPr="00B03B51">
        <w:rPr>
          <w:rFonts w:ascii="Times New Roman" w:hAnsi="Times New Roman" w:cs="Times New Roman"/>
          <w:noProof/>
        </w:rPr>
        <w:lastRenderedPageBreak/>
        <w:drawing>
          <wp:inline distT="0" distB="0" distL="0" distR="0" wp14:anchorId="2A831B6A" wp14:editId="6E728853">
            <wp:extent cx="5760085" cy="6990080"/>
            <wp:effectExtent l="0" t="0" r="0" b="127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760085" cy="6990080"/>
                    </a:xfrm>
                    <a:prstGeom prst="rect">
                      <a:avLst/>
                    </a:prstGeom>
                    <a:noFill/>
                    <a:ln>
                      <a:noFill/>
                    </a:ln>
                  </pic:spPr>
                </pic:pic>
              </a:graphicData>
            </a:graphic>
          </wp:inline>
        </w:drawing>
      </w:r>
    </w:p>
    <w:p w14:paraId="4A122862" w14:textId="27605B13" w:rsidR="00994F93" w:rsidRPr="00B03B51" w:rsidRDefault="00994F93" w:rsidP="00587E78">
      <w:pPr>
        <w:rPr>
          <w:rFonts w:ascii="Times New Roman" w:eastAsia="Arial" w:hAnsi="Times New Roman" w:cs="Times New Roman"/>
          <w:b/>
          <w:bCs/>
          <w:noProof/>
          <w:sz w:val="24"/>
          <w:szCs w:val="18"/>
        </w:rPr>
      </w:pPr>
      <w:r w:rsidRPr="00B03B51">
        <w:rPr>
          <w:rFonts w:ascii="Times New Roman" w:hAnsi="Times New Roman" w:cs="Times New Roman"/>
        </w:rPr>
        <w:br w:type="page"/>
      </w:r>
    </w:p>
    <w:p w14:paraId="35A40D65" w14:textId="77777777" w:rsidR="00994F93" w:rsidRPr="00B03B51" w:rsidRDefault="00994F93" w:rsidP="00994F93">
      <w:pPr>
        <w:jc w:val="both"/>
        <w:rPr>
          <w:rFonts w:ascii="Times New Roman" w:eastAsia="Arial" w:hAnsi="Times New Roman" w:cs="Times New Roman"/>
          <w:b/>
          <w:bCs/>
          <w:noProof/>
          <w:sz w:val="24"/>
          <w:szCs w:val="18"/>
        </w:rPr>
      </w:pPr>
    </w:p>
    <w:p w14:paraId="71A2B4B4" w14:textId="77777777" w:rsidR="00994F93" w:rsidRPr="00B03B51" w:rsidRDefault="00994F93" w:rsidP="00994F93">
      <w:pPr>
        <w:pStyle w:val="Heading2"/>
        <w:tabs>
          <w:tab w:val="left" w:pos="1279"/>
        </w:tabs>
        <w:spacing w:before="0"/>
        <w:ind w:left="0" w:firstLine="0"/>
        <w:jc w:val="both"/>
        <w:rPr>
          <w:rFonts w:ascii="Times New Roman" w:hAnsi="Times New Roman" w:cs="Times New Roman"/>
          <w:noProof/>
          <w:sz w:val="28"/>
          <w:szCs w:val="44"/>
        </w:rPr>
      </w:pPr>
      <w:bookmarkStart w:id="179" w:name="2.7_Court_decisions_with_retroactive_eff"/>
      <w:bookmarkStart w:id="180" w:name="_bookmark18"/>
      <w:bookmarkStart w:id="181" w:name="_Toc67565078"/>
      <w:bookmarkEnd w:id="179"/>
      <w:bookmarkEnd w:id="180"/>
      <w:r w:rsidRPr="00B03B51">
        <w:rPr>
          <w:rFonts w:ascii="Times New Roman" w:hAnsi="Times New Roman" w:cs="Times New Roman"/>
          <w:sz w:val="28"/>
          <w:szCs w:val="44"/>
        </w:rPr>
        <w:t>2.7. Tiesas nolēmumi ar atpakaļejošu spēku</w:t>
      </w:r>
      <w:bookmarkEnd w:id="181"/>
    </w:p>
    <w:p w14:paraId="09FB5581" w14:textId="77777777" w:rsidR="00994F93" w:rsidRPr="00B03B51" w:rsidRDefault="00994F93" w:rsidP="00994F93">
      <w:pPr>
        <w:tabs>
          <w:tab w:val="left" w:pos="1267"/>
        </w:tabs>
        <w:jc w:val="both"/>
        <w:rPr>
          <w:rFonts w:ascii="Times New Roman" w:hAnsi="Times New Roman" w:cs="Times New Roman"/>
          <w:b/>
          <w:noProof/>
          <w:sz w:val="24"/>
        </w:rPr>
      </w:pPr>
      <w:bookmarkStart w:id="182" w:name="2.7.1_Background"/>
      <w:bookmarkEnd w:id="182"/>
    </w:p>
    <w:p w14:paraId="0A0BEFF0" w14:textId="77777777" w:rsidR="00994F93" w:rsidRPr="00D460B8" w:rsidRDefault="00994F93" w:rsidP="00D460B8">
      <w:pPr>
        <w:pStyle w:val="Heading3"/>
        <w:tabs>
          <w:tab w:val="left" w:pos="1267"/>
        </w:tabs>
        <w:ind w:left="0" w:firstLine="0"/>
        <w:jc w:val="both"/>
        <w:rPr>
          <w:rFonts w:ascii="Times New Roman" w:hAnsi="Times New Roman" w:cs="Times New Roman"/>
          <w:sz w:val="24"/>
        </w:rPr>
      </w:pPr>
      <w:r w:rsidRPr="00B03B51">
        <w:rPr>
          <w:rFonts w:ascii="Times New Roman" w:hAnsi="Times New Roman" w:cs="Times New Roman"/>
          <w:sz w:val="24"/>
        </w:rPr>
        <w:t>2.7.1. Vispārīga informācija</w:t>
      </w:r>
    </w:p>
    <w:p w14:paraId="070074E7"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37916390"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 Kad pastāv domstarpības par prasījumiem/saistībām, var būt nepieciešams tiesas nolēmums vai kāds no citiem atzītiem strīda risināšanas paņēmieniem (arbitrāža), lai izšķirtu strīdu un noteiktu neapstrīdamās prasītāju tiesības uz noteikto summu attiecībā pret valdību. Šādam spriedumam jābūt galīgam un līdz ar to tieši piemērojamam attiecībā uz pusēm, kuras izsmēlušas visas pārsūdzības iespējas (vēršanos tiesā).</w:t>
      </w:r>
    </w:p>
    <w:p w14:paraId="5FA55424"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6499D832"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2. Dažkārt valstij ir bijis jāizmaksā naudas līdzekļus jau vairākus gadus, bet tā to nav darījusi domstarpību dēļ. Tiesvedībai var būt nepieciešams ļoti ilgs laiks, jo īpaši ņemot vērā dažādos tiesvedības līmeņus, ko puses var izmantot.</w:t>
      </w:r>
    </w:p>
    <w:p w14:paraId="7D07DE50"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31E88F56"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3. Tāpēc būtisks jautājums ir par to, kad šie prasījumi un saistības ir jāieraksta, jo teorētiski to var veikt:</w:t>
      </w:r>
    </w:p>
    <w:p w14:paraId="41CF9BDA"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549ACA38" w14:textId="77777777" w:rsidR="00994F93" w:rsidRPr="00B03B51" w:rsidRDefault="00994F93" w:rsidP="00587E78">
      <w:pPr>
        <w:pStyle w:val="BodyText"/>
        <w:numPr>
          <w:ilvl w:val="1"/>
          <w:numId w:val="8"/>
        </w:numPr>
        <w:tabs>
          <w:tab w:val="left" w:pos="1126"/>
        </w:tabs>
        <w:spacing w:before="0"/>
        <w:ind w:left="426" w:hanging="425"/>
        <w:jc w:val="both"/>
        <w:rPr>
          <w:rFonts w:ascii="Times New Roman" w:hAnsi="Times New Roman" w:cs="Times New Roman"/>
          <w:noProof/>
          <w:sz w:val="24"/>
        </w:rPr>
      </w:pPr>
      <w:r w:rsidRPr="00B03B51">
        <w:rPr>
          <w:rFonts w:ascii="Times New Roman" w:hAnsi="Times New Roman" w:cs="Times New Roman"/>
          <w:sz w:val="24"/>
        </w:rPr>
        <w:t>brīdī, kad tie uzkrājas vai ir jāizmaksā;</w:t>
      </w:r>
    </w:p>
    <w:p w14:paraId="514C9FE2" w14:textId="77777777" w:rsidR="00994F93" w:rsidRPr="00B03B51" w:rsidRDefault="00994F93" w:rsidP="00587E78">
      <w:pPr>
        <w:pStyle w:val="BodyText"/>
        <w:numPr>
          <w:ilvl w:val="1"/>
          <w:numId w:val="8"/>
        </w:numPr>
        <w:tabs>
          <w:tab w:val="left" w:pos="1126"/>
        </w:tabs>
        <w:spacing w:before="0"/>
        <w:ind w:left="426" w:hanging="425"/>
        <w:jc w:val="both"/>
        <w:rPr>
          <w:rFonts w:ascii="Times New Roman" w:hAnsi="Times New Roman" w:cs="Times New Roman"/>
          <w:noProof/>
          <w:sz w:val="24"/>
        </w:rPr>
      </w:pPr>
      <w:r w:rsidRPr="00B03B51">
        <w:rPr>
          <w:rFonts w:ascii="Times New Roman" w:hAnsi="Times New Roman" w:cs="Times New Roman"/>
          <w:sz w:val="24"/>
        </w:rPr>
        <w:t>brīdī, kad strīds tiek atrisināts ar tiesas nolēmumu, kurā negrozāmi noteiktas summas.</w:t>
      </w:r>
    </w:p>
    <w:p w14:paraId="039E7D44" w14:textId="77777777" w:rsidR="00994F93" w:rsidRPr="00B03B51" w:rsidRDefault="00994F93" w:rsidP="00994F93">
      <w:pPr>
        <w:jc w:val="both"/>
        <w:rPr>
          <w:rFonts w:ascii="Times New Roman" w:eastAsia="Arial" w:hAnsi="Times New Roman" w:cs="Times New Roman"/>
          <w:noProof/>
          <w:sz w:val="24"/>
          <w:szCs w:val="19"/>
        </w:rPr>
      </w:pPr>
    </w:p>
    <w:p w14:paraId="72385D36" w14:textId="77777777" w:rsidR="00994F93" w:rsidRPr="00B03B51" w:rsidRDefault="00994F93" w:rsidP="00994F93">
      <w:pPr>
        <w:pStyle w:val="Heading3"/>
        <w:tabs>
          <w:tab w:val="left" w:pos="1267"/>
        </w:tabs>
        <w:ind w:left="0" w:firstLine="0"/>
        <w:jc w:val="both"/>
        <w:rPr>
          <w:rFonts w:ascii="Times New Roman" w:hAnsi="Times New Roman" w:cs="Times New Roman"/>
          <w:noProof/>
          <w:sz w:val="24"/>
        </w:rPr>
      </w:pPr>
      <w:bookmarkStart w:id="183" w:name="2.7.2_Treatment_in_national_accounts"/>
      <w:bookmarkStart w:id="184" w:name="_Toc67565079"/>
      <w:bookmarkEnd w:id="183"/>
      <w:r w:rsidRPr="00B03B51">
        <w:rPr>
          <w:rFonts w:ascii="Times New Roman" w:hAnsi="Times New Roman" w:cs="Times New Roman"/>
          <w:sz w:val="24"/>
        </w:rPr>
        <w:t>2.7.2. Traktējums nacionālajos kontos</w:t>
      </w:r>
      <w:bookmarkEnd w:id="184"/>
    </w:p>
    <w:p w14:paraId="775CD3B4"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3F32A098"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4. EKS 2010 20.189. punktā noteikts, ka gadījumā, ja tiesa galīgā spriedumā nolemj, ka jāmaksā kompensācija vai jāveic reverss darījums, izdevumus vai ieņēmumus ieraksta brīdī, kad vienai pusei tiek piešķirtas neapstrīdamas tiesības (un attiecīgi noteiktas saistības otrai pusei), ja ir precīzi noteikta izmaksājamā (vai atdodamā) summa. Tas var būt brīdī, kad tiesa pieņem lēmumu, ja vien šāds lēmums ir jāpiemēro nekavējoties. Pienākums veikt maksājumu valdībai var būt noteikts ar laika nobīdi. Atsevišķos gadījumos tiesa ir skaidri noteikusi savā lēmumā, ka maksājumi, kas jāveic valdībai vai ko valdībai ir tiesības saņemt, ir jāsadala.</w:t>
      </w:r>
      <w:r w:rsidRPr="00B03B51">
        <w:rPr>
          <w:rStyle w:val="FootnoteReference"/>
          <w:rFonts w:ascii="Times New Roman" w:hAnsi="Times New Roman" w:cs="Times New Roman"/>
          <w:noProof/>
          <w:sz w:val="24"/>
        </w:rPr>
        <w:footnoteReference w:id="144"/>
      </w:r>
    </w:p>
    <w:p w14:paraId="1447B8F8"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1E8FBC17"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5. Ja tiesa ir noteikusi vienīgi kompensācijas principu, bet nav noteikusi precīzu summu, atstājot to noteikšanai citā lēmumā (piemēram, citas tiesas ziņā), vai ja tiesības uz kompensāciju saistītas ar turpmākām pārbaudēm/novērtēšanu, kas prasītājam jāpieprasa īpašā pieteikumā (kā tas var būt “kopdarbības” gadījumā), tad izdevumus vai ienākumus ieraksta tikai brīdī, kad ir skaidri noteikta prasījumu/saistību summa.</w:t>
      </w:r>
    </w:p>
    <w:p w14:paraId="0B2F8877"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3992E2FF"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 xml:space="preserve">6. Lai tiesas nolēmumu varētu īstenot, tam jābūt “galīgam”, t. i., tādam, ko puses vairs nevar pārsūdzēt. Tas ietver dažādus valsts tiesu sistēmas līmeņus, ES Tiesas instances un dažos gadījumos arī privātas “šķīrējtiesas”. Šo nosacījumu var piemērot arī tad, ja strīdā iesaistītās puses atklāti vai faktiski atsakās no pārsūdzības (kas parasti ir jāiesniedz, precīzi ievērojot noteikto termiņu). Dažkārt tiesa galīgajā nolēmumā var būt noteikusi, ka pusei ir tiesības uz kompensāciju, taču strīda izšķiršanu atstājusi zemākas instances tiesai. Šāda jauna vēršanās tiesā var notikt automātiski, </w:t>
      </w:r>
      <w:r w:rsidRPr="00B03B51">
        <w:rPr>
          <w:rFonts w:ascii="Times New Roman" w:hAnsi="Times New Roman" w:cs="Times New Roman"/>
          <w:i/>
          <w:iCs/>
          <w:sz w:val="24"/>
        </w:rPr>
        <w:t>de iure</w:t>
      </w:r>
      <w:r w:rsidRPr="00B03B51">
        <w:rPr>
          <w:rFonts w:ascii="Times New Roman" w:hAnsi="Times New Roman" w:cs="Times New Roman"/>
          <w:sz w:val="24"/>
        </w:rPr>
        <w:t xml:space="preserve"> vai arī brīvprātīgas rīcības rezultātā. Šādā gadījumā ierakstīšanas laiks būtu laiks, kad nolēmumu(-us) pieņēmusi tiesa, kas rīkojas kā otrās instances tiesa.</w:t>
      </w:r>
    </w:p>
    <w:p w14:paraId="531B1917"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519E79FF"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lastRenderedPageBreak/>
        <w:t>7. Jebkurā gadījumā summa ir jāieraksta citās kreditoru/debitoru saistībās (F.8) līdz brīdim, kad veikts faktiskais maksājums naudā. Summas nav jāsadala pa iepriekšējiem periodiem, kurās tās uzkrātas, izņemot par to prasījumu daļu, kuri nebija strīda priekšmets.</w:t>
      </w:r>
    </w:p>
    <w:p w14:paraId="47BB0207"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6C49B0F0"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8. Tas, ka valdība vienkārši atliek maksājumus, neapstrīdot maksāšanas pienākumu, neliedz ierakstīt maksājumus brīdī, kad ir pienācis to maksājuma termiņš (skat. 2.3. nodaļu “Maksājuma termiņa maiņa”), veicot ierakstus citās debitoru/kreditoru saistībās (F.8) par uzkrātajām, taču vēl nesamaksātajām summām.</w:t>
      </w:r>
    </w:p>
    <w:p w14:paraId="6215E4B1" w14:textId="77777777" w:rsidR="00994F93" w:rsidRPr="00B03B51" w:rsidRDefault="00994F93" w:rsidP="00994F93">
      <w:pPr>
        <w:jc w:val="both"/>
        <w:rPr>
          <w:rFonts w:ascii="Times New Roman" w:hAnsi="Times New Roman" w:cs="Times New Roman"/>
          <w:noProof/>
          <w:sz w:val="24"/>
        </w:rPr>
      </w:pPr>
    </w:p>
    <w:p w14:paraId="7CF33DBA"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9. Kompensācijas summas parasti tiek ierakstītas kā citi kapitāla pārvedumi (D.99), kas attiecas uz summām, kuras būtu uzkrātas vairākus gadus ilgā laika posmā, taču daļu var ierakstīt arī kā naudas sodu (D.759).</w:t>
      </w:r>
    </w:p>
    <w:p w14:paraId="1A940A33" w14:textId="77777777" w:rsidR="00994F93" w:rsidRPr="00B03B51" w:rsidRDefault="00994F93" w:rsidP="00994F93">
      <w:pPr>
        <w:jc w:val="both"/>
        <w:rPr>
          <w:rFonts w:ascii="Times New Roman" w:eastAsia="Arial" w:hAnsi="Times New Roman" w:cs="Times New Roman"/>
          <w:noProof/>
          <w:sz w:val="24"/>
          <w:szCs w:val="18"/>
        </w:rPr>
      </w:pPr>
    </w:p>
    <w:p w14:paraId="3C58034B" w14:textId="77777777" w:rsidR="00994F93" w:rsidRPr="00B03B51" w:rsidRDefault="00994F93" w:rsidP="00994F93">
      <w:pPr>
        <w:pStyle w:val="Heading3"/>
        <w:tabs>
          <w:tab w:val="left" w:pos="1267"/>
        </w:tabs>
        <w:ind w:left="0" w:firstLine="0"/>
        <w:jc w:val="both"/>
        <w:rPr>
          <w:rFonts w:ascii="Times New Roman" w:hAnsi="Times New Roman" w:cs="Times New Roman"/>
          <w:noProof/>
          <w:sz w:val="24"/>
        </w:rPr>
      </w:pPr>
      <w:bookmarkStart w:id="185" w:name="2.7.3_Rationale_of_the_treatment"/>
      <w:bookmarkStart w:id="186" w:name="_Toc67565080"/>
      <w:bookmarkEnd w:id="185"/>
      <w:r w:rsidRPr="00B03B51">
        <w:rPr>
          <w:rFonts w:ascii="Times New Roman" w:hAnsi="Times New Roman" w:cs="Times New Roman"/>
          <w:sz w:val="24"/>
        </w:rPr>
        <w:t>2.7.3. Traktējuma pamatojums</w:t>
      </w:r>
      <w:bookmarkEnd w:id="186"/>
    </w:p>
    <w:p w14:paraId="17833A00" w14:textId="77777777" w:rsidR="00994F93" w:rsidRPr="00B03B51" w:rsidRDefault="00994F93" w:rsidP="00994F93">
      <w:pPr>
        <w:pStyle w:val="BodyText"/>
        <w:spacing w:before="0"/>
        <w:ind w:left="0" w:firstLine="0"/>
        <w:jc w:val="both"/>
        <w:rPr>
          <w:rFonts w:ascii="Times New Roman" w:hAnsi="Times New Roman" w:cs="Times New Roman"/>
          <w:noProof/>
          <w:sz w:val="24"/>
        </w:rPr>
      </w:pPr>
    </w:p>
    <w:p w14:paraId="2054DF1A" w14:textId="77777777" w:rsidR="00994F93" w:rsidRPr="00B03B51" w:rsidRDefault="00994F93" w:rsidP="00994F93">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t>10. Sadales darījumu (plašākā izpratnē – prasījumus un saistības) var ierakstīt kontos tad, kad tas ir noteikts ar pietiekamu pārliecību un kad tas zināms abām pusēm un tās abas to ir atzinušas (pat gadījumos, kad tas noteikts tiesību aktos, piemēram, nodokļu un sociālo iemaksu gadījumā).</w:t>
      </w:r>
    </w:p>
    <w:p w14:paraId="72FFBEC3"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58462245"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11. Atsevišķos gadījumos, proti, kad tiek radīta jauna situācija (piemēram, jaunas tiesības un saistības), pretrunas un strīdu iespējams atrisināt vienīgi ar tiesas nolēmumu, kurā tiek noteikts pienākums veikt maksājumu un norādīta precīza maksājamā summa vai nosacījumi, saskaņā ar kuriem šī summa vēlāk tiek noteikta. Tāpēc laiks, kad jāieraksta darījumi, ir maksājuma veikšanas pienākuma datums.</w:t>
      </w:r>
    </w:p>
    <w:p w14:paraId="159D8C68"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5820355E"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12. Minētais attiecas arī uz visiem tiesas noteiktajiem sodiem un procentu maksājumiem.</w:t>
      </w:r>
    </w:p>
    <w:p w14:paraId="66AC2AD7" w14:textId="77777777" w:rsidR="00994F93" w:rsidRPr="00B03B51" w:rsidRDefault="00994F93" w:rsidP="00994F93">
      <w:pPr>
        <w:rPr>
          <w:rFonts w:ascii="Times New Roman" w:hAnsi="Times New Roman" w:cs="Times New Roman"/>
          <w:noProof/>
          <w:sz w:val="24"/>
        </w:rPr>
      </w:pPr>
      <w:r w:rsidRPr="00B03B51">
        <w:rPr>
          <w:rFonts w:ascii="Times New Roman" w:hAnsi="Times New Roman" w:cs="Times New Roman"/>
        </w:rPr>
        <w:br w:type="page"/>
      </w:r>
    </w:p>
    <w:p w14:paraId="75F4762F" w14:textId="77777777" w:rsidR="00994F93" w:rsidRPr="00B03B51" w:rsidRDefault="00994F93" w:rsidP="00994F93">
      <w:pPr>
        <w:jc w:val="both"/>
        <w:rPr>
          <w:rFonts w:ascii="Times New Roman" w:eastAsia="Arial" w:hAnsi="Times New Roman" w:cs="Times New Roman"/>
          <w:noProof/>
          <w:sz w:val="24"/>
          <w:szCs w:val="28"/>
        </w:rPr>
      </w:pPr>
    </w:p>
    <w:p w14:paraId="3E66E17C" w14:textId="77777777" w:rsidR="00994F93" w:rsidRPr="00B03B51" w:rsidRDefault="00994F93" w:rsidP="00994F93">
      <w:pPr>
        <w:pStyle w:val="Heading2"/>
        <w:spacing w:before="0"/>
        <w:ind w:left="0" w:firstLine="0"/>
        <w:jc w:val="both"/>
        <w:rPr>
          <w:rFonts w:ascii="Times New Roman" w:hAnsi="Times New Roman" w:cs="Times New Roman"/>
          <w:noProof/>
          <w:sz w:val="28"/>
          <w:szCs w:val="44"/>
        </w:rPr>
      </w:pPr>
      <w:bookmarkStart w:id="187" w:name="2.8_Keywords_and_accounting_references"/>
      <w:bookmarkStart w:id="188" w:name="_bookmark19"/>
      <w:bookmarkStart w:id="189" w:name="_Toc67565081"/>
      <w:bookmarkEnd w:id="187"/>
      <w:bookmarkEnd w:id="188"/>
      <w:r w:rsidRPr="00B03B51">
        <w:rPr>
          <w:rFonts w:ascii="Times New Roman" w:hAnsi="Times New Roman" w:cs="Times New Roman"/>
          <w:sz w:val="28"/>
          <w:szCs w:val="44"/>
        </w:rPr>
        <w:t>2.8. Atslēgvārdi un atsauces</w:t>
      </w:r>
      <w:bookmarkEnd w:id="189"/>
    </w:p>
    <w:p w14:paraId="713BFBDC" w14:textId="77777777" w:rsidR="00994F93" w:rsidRPr="00B03B51" w:rsidRDefault="00994F93" w:rsidP="00994F93">
      <w:pPr>
        <w:jc w:val="both"/>
        <w:rPr>
          <w:rFonts w:ascii="Times New Roman" w:eastAsia="Arial" w:hAnsi="Times New Roman" w:cs="Times New Roman"/>
          <w:noProof/>
          <w:sz w:val="24"/>
          <w:szCs w:val="23"/>
        </w:rPr>
      </w:pPr>
    </w:p>
    <w:tbl>
      <w:tblPr>
        <w:tblW w:w="5000" w:type="pct"/>
        <w:tblCellMar>
          <w:top w:w="28" w:type="dxa"/>
          <w:left w:w="28" w:type="dxa"/>
          <w:bottom w:w="28" w:type="dxa"/>
          <w:right w:w="28" w:type="dxa"/>
        </w:tblCellMar>
        <w:tblLook w:val="01E0" w:firstRow="1" w:lastRow="1" w:firstColumn="1" w:lastColumn="1" w:noHBand="0" w:noVBand="0"/>
      </w:tblPr>
      <w:tblGrid>
        <w:gridCol w:w="5461"/>
        <w:gridCol w:w="3610"/>
      </w:tblGrid>
      <w:tr w:rsidR="00994F93" w:rsidRPr="00B03B51" w14:paraId="684C98B4" w14:textId="77777777" w:rsidTr="008A7C35">
        <w:tc>
          <w:tcPr>
            <w:tcW w:w="3010" w:type="pct"/>
            <w:tcBorders>
              <w:top w:val="nil"/>
              <w:left w:val="nil"/>
              <w:bottom w:val="nil"/>
              <w:right w:val="nil"/>
            </w:tcBorders>
          </w:tcPr>
          <w:p w14:paraId="253A16CB" w14:textId="77777777" w:rsidR="00994F93" w:rsidRPr="00B03B51" w:rsidRDefault="00994F93" w:rsidP="001C4B02">
            <w:pPr>
              <w:pStyle w:val="TableParagraph"/>
              <w:jc w:val="both"/>
              <w:rPr>
                <w:rFonts w:ascii="Times New Roman" w:hAnsi="Times New Roman" w:cs="Times New Roman"/>
                <w:noProof/>
                <w:sz w:val="24"/>
              </w:rPr>
            </w:pPr>
            <w:r w:rsidRPr="00B03B51">
              <w:rPr>
                <w:rFonts w:ascii="Times New Roman" w:hAnsi="Times New Roman" w:cs="Times New Roman"/>
                <w:sz w:val="24"/>
              </w:rPr>
              <w:t>Uzkrātie procenti</w:t>
            </w:r>
          </w:p>
        </w:tc>
        <w:tc>
          <w:tcPr>
            <w:tcW w:w="1990" w:type="pct"/>
            <w:tcBorders>
              <w:top w:val="nil"/>
              <w:left w:val="nil"/>
              <w:bottom w:val="nil"/>
              <w:right w:val="nil"/>
            </w:tcBorders>
          </w:tcPr>
          <w:p w14:paraId="40892491" w14:textId="77777777" w:rsidR="00994F93" w:rsidRPr="00B03B51" w:rsidRDefault="00994F93" w:rsidP="001C4B02">
            <w:pPr>
              <w:pStyle w:val="TableParagraph"/>
              <w:jc w:val="both"/>
              <w:rPr>
                <w:rFonts w:ascii="Times New Roman" w:hAnsi="Times New Roman" w:cs="Times New Roman"/>
                <w:noProof/>
                <w:sz w:val="24"/>
              </w:rPr>
            </w:pPr>
            <w:r w:rsidRPr="00B03B51">
              <w:rPr>
                <w:rFonts w:ascii="Times New Roman" w:hAnsi="Times New Roman" w:cs="Times New Roman"/>
                <w:sz w:val="24"/>
              </w:rPr>
              <w:t>EKS 2010, 4.50. punkts</w:t>
            </w:r>
          </w:p>
        </w:tc>
      </w:tr>
      <w:tr w:rsidR="00994F93" w:rsidRPr="00B03B51" w14:paraId="20398B66" w14:textId="77777777" w:rsidTr="008A7C35">
        <w:tc>
          <w:tcPr>
            <w:tcW w:w="3010" w:type="pct"/>
            <w:tcBorders>
              <w:top w:val="nil"/>
              <w:left w:val="nil"/>
              <w:bottom w:val="nil"/>
              <w:right w:val="nil"/>
            </w:tcBorders>
          </w:tcPr>
          <w:p w14:paraId="5D8B1CE9" w14:textId="77777777" w:rsidR="00994F93" w:rsidRPr="00B03B51" w:rsidRDefault="00994F93" w:rsidP="001C4B02">
            <w:pPr>
              <w:pStyle w:val="TableParagraph"/>
              <w:jc w:val="both"/>
              <w:rPr>
                <w:rFonts w:ascii="Times New Roman" w:hAnsi="Times New Roman" w:cs="Times New Roman"/>
                <w:noProof/>
                <w:sz w:val="24"/>
              </w:rPr>
            </w:pPr>
            <w:r w:rsidRPr="00B03B51">
              <w:rPr>
                <w:rFonts w:ascii="Times New Roman" w:hAnsi="Times New Roman" w:cs="Times New Roman"/>
                <w:sz w:val="24"/>
              </w:rPr>
              <w:t>Nokavēti maksājumi</w:t>
            </w:r>
          </w:p>
        </w:tc>
        <w:tc>
          <w:tcPr>
            <w:tcW w:w="1990" w:type="pct"/>
            <w:tcBorders>
              <w:top w:val="nil"/>
              <w:left w:val="nil"/>
              <w:bottom w:val="nil"/>
              <w:right w:val="nil"/>
            </w:tcBorders>
          </w:tcPr>
          <w:p w14:paraId="3CE10996" w14:textId="77777777" w:rsidR="00994F93" w:rsidRPr="00B03B51" w:rsidRDefault="00994F93" w:rsidP="001C4B02">
            <w:pPr>
              <w:pStyle w:val="TableParagraph"/>
              <w:jc w:val="both"/>
              <w:rPr>
                <w:rFonts w:ascii="Times New Roman" w:hAnsi="Times New Roman" w:cs="Times New Roman"/>
                <w:noProof/>
                <w:sz w:val="24"/>
              </w:rPr>
            </w:pPr>
            <w:r w:rsidRPr="00B03B51">
              <w:rPr>
                <w:rFonts w:ascii="Times New Roman" w:hAnsi="Times New Roman" w:cs="Times New Roman"/>
                <w:sz w:val="24"/>
              </w:rPr>
              <w:t>EKS 2010, 5.242. punkts</w:t>
            </w:r>
          </w:p>
        </w:tc>
      </w:tr>
      <w:tr w:rsidR="00994F93" w:rsidRPr="00B03B51" w14:paraId="6EB45C8B" w14:textId="77777777" w:rsidTr="008A7C35">
        <w:tc>
          <w:tcPr>
            <w:tcW w:w="3010" w:type="pct"/>
            <w:tcBorders>
              <w:top w:val="nil"/>
              <w:left w:val="nil"/>
              <w:bottom w:val="nil"/>
              <w:right w:val="nil"/>
            </w:tcBorders>
          </w:tcPr>
          <w:p w14:paraId="5AA57B9B" w14:textId="77777777" w:rsidR="00994F93" w:rsidRPr="00B03B51" w:rsidRDefault="00994F93" w:rsidP="001C4B02">
            <w:pPr>
              <w:pStyle w:val="TableParagraph"/>
              <w:jc w:val="both"/>
              <w:rPr>
                <w:rFonts w:ascii="Times New Roman" w:hAnsi="Times New Roman" w:cs="Times New Roman"/>
                <w:noProof/>
                <w:sz w:val="24"/>
              </w:rPr>
            </w:pPr>
            <w:r w:rsidRPr="00B03B51">
              <w:rPr>
                <w:rFonts w:ascii="Times New Roman" w:hAnsi="Times New Roman" w:cs="Times New Roman"/>
                <w:sz w:val="24"/>
              </w:rPr>
              <w:t>Kārtējā starptautiskā sadarbība</w:t>
            </w:r>
          </w:p>
        </w:tc>
        <w:tc>
          <w:tcPr>
            <w:tcW w:w="1990" w:type="pct"/>
            <w:tcBorders>
              <w:top w:val="nil"/>
              <w:left w:val="nil"/>
              <w:bottom w:val="nil"/>
              <w:right w:val="nil"/>
            </w:tcBorders>
          </w:tcPr>
          <w:p w14:paraId="1983C1F4" w14:textId="77777777" w:rsidR="00994F93" w:rsidRPr="00B03B51" w:rsidRDefault="00994F93" w:rsidP="001C4B02">
            <w:pPr>
              <w:pStyle w:val="TableParagraph"/>
              <w:jc w:val="both"/>
              <w:rPr>
                <w:rFonts w:ascii="Times New Roman" w:hAnsi="Times New Roman" w:cs="Times New Roman"/>
                <w:noProof/>
                <w:sz w:val="24"/>
              </w:rPr>
            </w:pPr>
            <w:r w:rsidRPr="00B03B51">
              <w:rPr>
                <w:rFonts w:ascii="Times New Roman" w:hAnsi="Times New Roman" w:cs="Times New Roman"/>
                <w:sz w:val="24"/>
              </w:rPr>
              <w:t>EKS 2010, 4.123. punkts</w:t>
            </w:r>
          </w:p>
        </w:tc>
      </w:tr>
      <w:tr w:rsidR="00994F93" w:rsidRPr="00B03B51" w14:paraId="162054B1" w14:textId="77777777" w:rsidTr="008A7C35">
        <w:tc>
          <w:tcPr>
            <w:tcW w:w="3010" w:type="pct"/>
            <w:tcBorders>
              <w:top w:val="nil"/>
              <w:left w:val="nil"/>
              <w:bottom w:val="nil"/>
              <w:right w:val="nil"/>
            </w:tcBorders>
          </w:tcPr>
          <w:p w14:paraId="184F3576" w14:textId="77777777" w:rsidR="00994F93" w:rsidRPr="00B03B51" w:rsidRDefault="00994F93" w:rsidP="001C4B02">
            <w:pPr>
              <w:pStyle w:val="TableParagraph"/>
              <w:jc w:val="both"/>
              <w:rPr>
                <w:rFonts w:ascii="Times New Roman" w:hAnsi="Times New Roman" w:cs="Times New Roman"/>
                <w:noProof/>
                <w:sz w:val="24"/>
              </w:rPr>
            </w:pPr>
            <w:r w:rsidRPr="00B03B51">
              <w:rPr>
                <w:rFonts w:ascii="Times New Roman" w:hAnsi="Times New Roman" w:cs="Times New Roman"/>
                <w:sz w:val="24"/>
              </w:rPr>
              <w:t>Diskonta obligācijas</w:t>
            </w:r>
          </w:p>
        </w:tc>
        <w:tc>
          <w:tcPr>
            <w:tcW w:w="1990" w:type="pct"/>
            <w:tcBorders>
              <w:top w:val="nil"/>
              <w:left w:val="nil"/>
              <w:bottom w:val="nil"/>
              <w:right w:val="nil"/>
            </w:tcBorders>
          </w:tcPr>
          <w:p w14:paraId="31C2B82D" w14:textId="77777777" w:rsidR="00994F93" w:rsidRPr="00B03B51" w:rsidRDefault="00994F93" w:rsidP="001C4B02">
            <w:pPr>
              <w:pStyle w:val="TableParagraph"/>
              <w:jc w:val="both"/>
              <w:rPr>
                <w:rFonts w:ascii="Times New Roman" w:hAnsi="Times New Roman" w:cs="Times New Roman"/>
                <w:noProof/>
                <w:sz w:val="24"/>
              </w:rPr>
            </w:pPr>
            <w:r w:rsidRPr="00B03B51">
              <w:rPr>
                <w:rFonts w:ascii="Times New Roman" w:hAnsi="Times New Roman" w:cs="Times New Roman"/>
                <w:sz w:val="24"/>
              </w:rPr>
              <w:t>EKS 2010, 4.46., 5.96. punkts</w:t>
            </w:r>
          </w:p>
        </w:tc>
      </w:tr>
      <w:tr w:rsidR="00994F93" w:rsidRPr="00B03B51" w14:paraId="199DF246" w14:textId="77777777" w:rsidTr="008A7C35">
        <w:tc>
          <w:tcPr>
            <w:tcW w:w="3010" w:type="pct"/>
            <w:tcBorders>
              <w:top w:val="nil"/>
              <w:left w:val="nil"/>
              <w:bottom w:val="nil"/>
              <w:right w:val="nil"/>
            </w:tcBorders>
          </w:tcPr>
          <w:p w14:paraId="715DC292" w14:textId="77777777" w:rsidR="00994F93" w:rsidRPr="00B03B51" w:rsidRDefault="00994F93" w:rsidP="001C4B02">
            <w:pPr>
              <w:pStyle w:val="TableParagraph"/>
              <w:jc w:val="both"/>
              <w:rPr>
                <w:rFonts w:ascii="Times New Roman" w:hAnsi="Times New Roman" w:cs="Times New Roman"/>
                <w:noProof/>
                <w:sz w:val="24"/>
              </w:rPr>
            </w:pPr>
            <w:r w:rsidRPr="00B03B51">
              <w:rPr>
                <w:rFonts w:ascii="Times New Roman" w:hAnsi="Times New Roman" w:cs="Times New Roman"/>
                <w:sz w:val="24"/>
              </w:rPr>
              <w:t>ES subsīdijas</w:t>
            </w:r>
          </w:p>
        </w:tc>
        <w:tc>
          <w:tcPr>
            <w:tcW w:w="1990" w:type="pct"/>
            <w:tcBorders>
              <w:top w:val="nil"/>
              <w:left w:val="nil"/>
              <w:bottom w:val="nil"/>
              <w:right w:val="nil"/>
            </w:tcBorders>
          </w:tcPr>
          <w:p w14:paraId="34FE44B0" w14:textId="77777777" w:rsidR="00994F93" w:rsidRPr="00B03B51" w:rsidRDefault="00994F93" w:rsidP="001C4B02">
            <w:pPr>
              <w:pStyle w:val="TableParagraph"/>
              <w:jc w:val="both"/>
              <w:rPr>
                <w:rFonts w:ascii="Times New Roman" w:hAnsi="Times New Roman" w:cs="Times New Roman"/>
                <w:noProof/>
                <w:sz w:val="24"/>
              </w:rPr>
            </w:pPr>
            <w:r w:rsidRPr="00B03B51">
              <w:rPr>
                <w:rFonts w:ascii="Times New Roman" w:hAnsi="Times New Roman" w:cs="Times New Roman"/>
                <w:sz w:val="24"/>
              </w:rPr>
              <w:t>EKS 2010, 4.31. punkts</w:t>
            </w:r>
          </w:p>
        </w:tc>
      </w:tr>
      <w:tr w:rsidR="00994F93" w:rsidRPr="00B03B51" w14:paraId="4CEE24A7" w14:textId="77777777" w:rsidTr="008A7C35">
        <w:tc>
          <w:tcPr>
            <w:tcW w:w="3010" w:type="pct"/>
            <w:tcBorders>
              <w:top w:val="nil"/>
              <w:left w:val="nil"/>
              <w:bottom w:val="nil"/>
              <w:right w:val="nil"/>
            </w:tcBorders>
          </w:tcPr>
          <w:p w14:paraId="5B643534" w14:textId="77777777" w:rsidR="00994F93" w:rsidRPr="00B03B51" w:rsidRDefault="00994F93" w:rsidP="001C4B02">
            <w:pPr>
              <w:pStyle w:val="TableParagraph"/>
              <w:jc w:val="both"/>
              <w:rPr>
                <w:rFonts w:ascii="Times New Roman" w:hAnsi="Times New Roman" w:cs="Times New Roman"/>
                <w:noProof/>
                <w:sz w:val="24"/>
              </w:rPr>
            </w:pPr>
            <w:r w:rsidRPr="00B03B51">
              <w:rPr>
                <w:rFonts w:ascii="Times New Roman" w:hAnsi="Times New Roman" w:cs="Times New Roman"/>
                <w:sz w:val="24"/>
              </w:rPr>
              <w:t>Vispārējais uzkrāšanas princips</w:t>
            </w:r>
          </w:p>
        </w:tc>
        <w:tc>
          <w:tcPr>
            <w:tcW w:w="1990" w:type="pct"/>
            <w:tcBorders>
              <w:top w:val="nil"/>
              <w:left w:val="nil"/>
              <w:bottom w:val="nil"/>
              <w:right w:val="nil"/>
            </w:tcBorders>
          </w:tcPr>
          <w:p w14:paraId="2E59FA90" w14:textId="77777777" w:rsidR="00994F93" w:rsidRPr="00B03B51" w:rsidRDefault="00994F93" w:rsidP="001C4B02">
            <w:pPr>
              <w:pStyle w:val="TableParagraph"/>
              <w:jc w:val="both"/>
              <w:rPr>
                <w:rFonts w:ascii="Times New Roman" w:hAnsi="Times New Roman" w:cs="Times New Roman"/>
                <w:noProof/>
                <w:sz w:val="24"/>
              </w:rPr>
            </w:pPr>
            <w:r w:rsidRPr="00B03B51">
              <w:rPr>
                <w:rFonts w:ascii="Times New Roman" w:hAnsi="Times New Roman" w:cs="Times New Roman"/>
                <w:sz w:val="24"/>
              </w:rPr>
              <w:t>EKS 2010, 1.101. punkts</w:t>
            </w:r>
          </w:p>
        </w:tc>
      </w:tr>
      <w:tr w:rsidR="00994F93" w:rsidRPr="00B03B51" w14:paraId="72B0F9F2" w14:textId="77777777" w:rsidTr="008A7C35">
        <w:tc>
          <w:tcPr>
            <w:tcW w:w="3010" w:type="pct"/>
            <w:tcBorders>
              <w:top w:val="nil"/>
              <w:left w:val="nil"/>
              <w:bottom w:val="nil"/>
              <w:right w:val="nil"/>
            </w:tcBorders>
          </w:tcPr>
          <w:p w14:paraId="6700F94D" w14:textId="77777777" w:rsidR="00994F93" w:rsidRPr="00B03B51" w:rsidRDefault="00994F93" w:rsidP="001C4B02">
            <w:pPr>
              <w:pStyle w:val="TableParagraph"/>
              <w:jc w:val="both"/>
              <w:rPr>
                <w:rFonts w:ascii="Times New Roman" w:hAnsi="Times New Roman" w:cs="Times New Roman"/>
                <w:noProof/>
                <w:sz w:val="24"/>
              </w:rPr>
            </w:pPr>
            <w:r w:rsidRPr="00B03B51">
              <w:rPr>
                <w:rFonts w:ascii="Times New Roman" w:hAnsi="Times New Roman" w:cs="Times New Roman"/>
                <w:sz w:val="24"/>
              </w:rPr>
              <w:t>Indeksētie vērtspapīri</w:t>
            </w:r>
          </w:p>
        </w:tc>
        <w:tc>
          <w:tcPr>
            <w:tcW w:w="1990" w:type="pct"/>
            <w:tcBorders>
              <w:top w:val="nil"/>
              <w:left w:val="nil"/>
              <w:bottom w:val="nil"/>
              <w:right w:val="nil"/>
            </w:tcBorders>
          </w:tcPr>
          <w:p w14:paraId="2B68E8A0" w14:textId="77777777" w:rsidR="00994F93" w:rsidRPr="00B03B51" w:rsidRDefault="00994F93" w:rsidP="001C4B02">
            <w:pPr>
              <w:pStyle w:val="TableParagraph"/>
              <w:jc w:val="both"/>
              <w:rPr>
                <w:rFonts w:ascii="Times New Roman" w:hAnsi="Times New Roman" w:cs="Times New Roman"/>
                <w:noProof/>
                <w:sz w:val="24"/>
              </w:rPr>
            </w:pPr>
            <w:r w:rsidRPr="00B03B51">
              <w:rPr>
                <w:rFonts w:ascii="Times New Roman" w:hAnsi="Times New Roman" w:cs="Times New Roman"/>
                <w:sz w:val="24"/>
              </w:rPr>
              <w:t>EKS 2010, 4.46. un 5.100. punkts</w:t>
            </w:r>
          </w:p>
        </w:tc>
      </w:tr>
      <w:tr w:rsidR="00994F93" w:rsidRPr="00B03B51" w14:paraId="38BA835F" w14:textId="77777777" w:rsidTr="008A7C35">
        <w:tc>
          <w:tcPr>
            <w:tcW w:w="3010" w:type="pct"/>
            <w:tcBorders>
              <w:top w:val="nil"/>
              <w:left w:val="nil"/>
              <w:bottom w:val="nil"/>
              <w:right w:val="nil"/>
            </w:tcBorders>
          </w:tcPr>
          <w:p w14:paraId="0A719F1F" w14:textId="77777777" w:rsidR="00994F93" w:rsidRPr="00B03B51" w:rsidRDefault="00994F93" w:rsidP="001C4B02">
            <w:pPr>
              <w:pStyle w:val="TableParagraph"/>
              <w:jc w:val="both"/>
              <w:rPr>
                <w:rFonts w:ascii="Times New Roman" w:hAnsi="Times New Roman" w:cs="Times New Roman"/>
                <w:noProof/>
                <w:sz w:val="24"/>
              </w:rPr>
            </w:pPr>
            <w:r w:rsidRPr="00B03B51">
              <w:rPr>
                <w:rFonts w:ascii="Times New Roman" w:hAnsi="Times New Roman" w:cs="Times New Roman"/>
                <w:sz w:val="24"/>
              </w:rPr>
              <w:t>Ārvalstu valūtās izteikti instrumenti</w:t>
            </w:r>
          </w:p>
        </w:tc>
        <w:tc>
          <w:tcPr>
            <w:tcW w:w="1990" w:type="pct"/>
            <w:tcBorders>
              <w:top w:val="nil"/>
              <w:left w:val="nil"/>
              <w:bottom w:val="nil"/>
              <w:right w:val="nil"/>
            </w:tcBorders>
          </w:tcPr>
          <w:p w14:paraId="43F21272" w14:textId="77777777" w:rsidR="00994F93" w:rsidRPr="00B03B51" w:rsidRDefault="00994F93" w:rsidP="001C4B02">
            <w:pPr>
              <w:pStyle w:val="TableParagraph"/>
              <w:jc w:val="both"/>
              <w:rPr>
                <w:rFonts w:ascii="Times New Roman" w:hAnsi="Times New Roman" w:cs="Times New Roman"/>
                <w:noProof/>
                <w:sz w:val="24"/>
              </w:rPr>
            </w:pPr>
            <w:r w:rsidRPr="00B03B51">
              <w:rPr>
                <w:rFonts w:ascii="Times New Roman" w:hAnsi="Times New Roman" w:cs="Times New Roman"/>
                <w:sz w:val="24"/>
              </w:rPr>
              <w:t>EKS 2010, 6.64. punkts</w:t>
            </w:r>
          </w:p>
        </w:tc>
      </w:tr>
      <w:tr w:rsidR="00994F93" w:rsidRPr="00B03B51" w14:paraId="5A5DAD3E" w14:textId="77777777" w:rsidTr="008A7C35">
        <w:tc>
          <w:tcPr>
            <w:tcW w:w="3010" w:type="pct"/>
            <w:tcBorders>
              <w:top w:val="nil"/>
              <w:left w:val="nil"/>
              <w:bottom w:val="nil"/>
              <w:right w:val="nil"/>
            </w:tcBorders>
          </w:tcPr>
          <w:p w14:paraId="664E92D3" w14:textId="77777777" w:rsidR="00994F93" w:rsidRPr="00B03B51" w:rsidRDefault="00994F93" w:rsidP="001C4B02">
            <w:pPr>
              <w:pStyle w:val="TableParagraph"/>
              <w:jc w:val="both"/>
              <w:rPr>
                <w:rFonts w:ascii="Times New Roman" w:hAnsi="Times New Roman" w:cs="Times New Roman"/>
                <w:noProof/>
                <w:sz w:val="24"/>
              </w:rPr>
            </w:pPr>
            <w:r w:rsidRPr="00B03B51">
              <w:rPr>
                <w:rFonts w:ascii="Times New Roman" w:hAnsi="Times New Roman" w:cs="Times New Roman"/>
                <w:sz w:val="24"/>
              </w:rPr>
              <w:t>Procenti un finanšu darījums</w:t>
            </w:r>
          </w:p>
        </w:tc>
        <w:tc>
          <w:tcPr>
            <w:tcW w:w="1990" w:type="pct"/>
            <w:tcBorders>
              <w:top w:val="nil"/>
              <w:left w:val="nil"/>
              <w:bottom w:val="nil"/>
              <w:right w:val="nil"/>
            </w:tcBorders>
          </w:tcPr>
          <w:p w14:paraId="6F639525" w14:textId="77777777" w:rsidR="00994F93" w:rsidRPr="00B03B51" w:rsidRDefault="00994F93" w:rsidP="001C4B02">
            <w:pPr>
              <w:pStyle w:val="TableParagraph"/>
              <w:jc w:val="both"/>
              <w:rPr>
                <w:rFonts w:ascii="Times New Roman" w:hAnsi="Times New Roman" w:cs="Times New Roman"/>
                <w:noProof/>
                <w:sz w:val="24"/>
              </w:rPr>
            </w:pPr>
            <w:r w:rsidRPr="00B03B51">
              <w:rPr>
                <w:rFonts w:ascii="Times New Roman" w:hAnsi="Times New Roman" w:cs="Times New Roman"/>
                <w:sz w:val="24"/>
              </w:rPr>
              <w:t>EKS 2010, 5.41.–5.44. punkts</w:t>
            </w:r>
          </w:p>
        </w:tc>
      </w:tr>
      <w:tr w:rsidR="00994F93" w:rsidRPr="00B03B51" w14:paraId="598A6E56" w14:textId="77777777" w:rsidTr="008A7C35">
        <w:tc>
          <w:tcPr>
            <w:tcW w:w="3010" w:type="pct"/>
            <w:tcBorders>
              <w:top w:val="nil"/>
              <w:left w:val="nil"/>
              <w:bottom w:val="nil"/>
              <w:right w:val="nil"/>
            </w:tcBorders>
          </w:tcPr>
          <w:p w14:paraId="56CC06A7" w14:textId="77777777" w:rsidR="00994F93" w:rsidRPr="00B03B51" w:rsidRDefault="00994F93" w:rsidP="001C4B02">
            <w:pPr>
              <w:pStyle w:val="TableParagraph"/>
              <w:jc w:val="both"/>
              <w:rPr>
                <w:rFonts w:ascii="Times New Roman" w:hAnsi="Times New Roman" w:cs="Times New Roman"/>
                <w:noProof/>
                <w:sz w:val="24"/>
              </w:rPr>
            </w:pPr>
            <w:r w:rsidRPr="00B03B51">
              <w:rPr>
                <w:rFonts w:ascii="Times New Roman" w:hAnsi="Times New Roman" w:cs="Times New Roman"/>
                <w:sz w:val="24"/>
              </w:rPr>
              <w:t>Kopfondu akcijas</w:t>
            </w:r>
          </w:p>
        </w:tc>
        <w:tc>
          <w:tcPr>
            <w:tcW w:w="1990" w:type="pct"/>
            <w:tcBorders>
              <w:top w:val="nil"/>
              <w:left w:val="nil"/>
              <w:bottom w:val="nil"/>
              <w:right w:val="nil"/>
            </w:tcBorders>
          </w:tcPr>
          <w:p w14:paraId="6C281A6B" w14:textId="77777777" w:rsidR="00994F93" w:rsidRPr="00B03B51" w:rsidRDefault="00994F93" w:rsidP="001C4B02">
            <w:pPr>
              <w:pStyle w:val="TableParagraph"/>
              <w:jc w:val="both"/>
              <w:rPr>
                <w:rFonts w:ascii="Times New Roman" w:hAnsi="Times New Roman" w:cs="Times New Roman"/>
                <w:noProof/>
                <w:sz w:val="24"/>
              </w:rPr>
            </w:pPr>
            <w:r w:rsidRPr="00B03B51">
              <w:rPr>
                <w:rFonts w:ascii="Times New Roman" w:hAnsi="Times New Roman" w:cs="Times New Roman"/>
                <w:sz w:val="24"/>
              </w:rPr>
              <w:t>EKS 2010, 5.160.–5.166. punkts</w:t>
            </w:r>
          </w:p>
        </w:tc>
      </w:tr>
      <w:tr w:rsidR="00994F93" w:rsidRPr="00B03B51" w14:paraId="584AA264" w14:textId="77777777" w:rsidTr="008A7C35">
        <w:tc>
          <w:tcPr>
            <w:tcW w:w="3010" w:type="pct"/>
            <w:tcBorders>
              <w:top w:val="nil"/>
              <w:left w:val="nil"/>
              <w:bottom w:val="nil"/>
              <w:right w:val="nil"/>
            </w:tcBorders>
          </w:tcPr>
          <w:p w14:paraId="2EB7AFA3" w14:textId="77777777" w:rsidR="00994F93" w:rsidRPr="00B03B51" w:rsidRDefault="00994F93" w:rsidP="001C4B02">
            <w:pPr>
              <w:pStyle w:val="TableParagraph"/>
              <w:jc w:val="both"/>
              <w:rPr>
                <w:rFonts w:ascii="Times New Roman" w:hAnsi="Times New Roman" w:cs="Times New Roman"/>
                <w:noProof/>
                <w:sz w:val="24"/>
              </w:rPr>
            </w:pPr>
            <w:r w:rsidRPr="00B03B51">
              <w:rPr>
                <w:rFonts w:ascii="Times New Roman" w:hAnsi="Times New Roman" w:cs="Times New Roman"/>
                <w:sz w:val="24"/>
              </w:rPr>
              <w:t>Nominālie turēšanas guvumi</w:t>
            </w:r>
          </w:p>
        </w:tc>
        <w:tc>
          <w:tcPr>
            <w:tcW w:w="1990" w:type="pct"/>
            <w:tcBorders>
              <w:top w:val="nil"/>
              <w:left w:val="nil"/>
              <w:bottom w:val="nil"/>
              <w:right w:val="nil"/>
            </w:tcBorders>
          </w:tcPr>
          <w:p w14:paraId="57D9C440" w14:textId="77777777" w:rsidR="00994F93" w:rsidRPr="00B03B51" w:rsidRDefault="00994F93" w:rsidP="001C4B02">
            <w:pPr>
              <w:pStyle w:val="TableParagraph"/>
              <w:jc w:val="both"/>
              <w:rPr>
                <w:rFonts w:ascii="Times New Roman" w:hAnsi="Times New Roman" w:cs="Times New Roman"/>
                <w:noProof/>
                <w:sz w:val="24"/>
              </w:rPr>
            </w:pPr>
            <w:r w:rsidRPr="00B03B51">
              <w:rPr>
                <w:rFonts w:ascii="Times New Roman" w:hAnsi="Times New Roman" w:cs="Times New Roman"/>
                <w:sz w:val="24"/>
              </w:rPr>
              <w:t>EKS 2010, 6.27.–6.36. punkts</w:t>
            </w:r>
          </w:p>
        </w:tc>
      </w:tr>
      <w:tr w:rsidR="00994F93" w:rsidRPr="00B03B51" w14:paraId="0FD625C1" w14:textId="77777777" w:rsidTr="008A7C35">
        <w:tc>
          <w:tcPr>
            <w:tcW w:w="3010" w:type="pct"/>
            <w:tcBorders>
              <w:top w:val="nil"/>
              <w:left w:val="nil"/>
              <w:bottom w:val="nil"/>
              <w:right w:val="nil"/>
            </w:tcBorders>
          </w:tcPr>
          <w:p w14:paraId="4244B9AF" w14:textId="77777777" w:rsidR="00994F93" w:rsidRPr="00B03B51" w:rsidRDefault="00994F93" w:rsidP="001C4B02">
            <w:pPr>
              <w:pStyle w:val="TableParagraph"/>
              <w:jc w:val="both"/>
              <w:rPr>
                <w:rFonts w:ascii="Times New Roman" w:hAnsi="Times New Roman" w:cs="Times New Roman"/>
                <w:noProof/>
                <w:sz w:val="24"/>
              </w:rPr>
            </w:pPr>
            <w:r w:rsidRPr="00B03B51">
              <w:rPr>
                <w:rFonts w:ascii="Times New Roman" w:hAnsi="Times New Roman" w:cs="Times New Roman"/>
                <w:sz w:val="24"/>
              </w:rPr>
              <w:t>Citas debitoru/kreditoru saistības (AF.8)</w:t>
            </w:r>
          </w:p>
        </w:tc>
        <w:tc>
          <w:tcPr>
            <w:tcW w:w="1990" w:type="pct"/>
            <w:tcBorders>
              <w:top w:val="nil"/>
              <w:left w:val="nil"/>
              <w:bottom w:val="nil"/>
              <w:right w:val="nil"/>
            </w:tcBorders>
          </w:tcPr>
          <w:p w14:paraId="619442DE" w14:textId="77777777" w:rsidR="00994F93" w:rsidRPr="00B03B51" w:rsidRDefault="00994F93" w:rsidP="001C4B02">
            <w:pPr>
              <w:pStyle w:val="TableParagraph"/>
              <w:jc w:val="both"/>
              <w:rPr>
                <w:rFonts w:ascii="Times New Roman" w:hAnsi="Times New Roman" w:cs="Times New Roman"/>
                <w:noProof/>
                <w:sz w:val="24"/>
              </w:rPr>
            </w:pPr>
            <w:r w:rsidRPr="00B03B51">
              <w:rPr>
                <w:rFonts w:ascii="Times New Roman" w:hAnsi="Times New Roman" w:cs="Times New Roman"/>
                <w:sz w:val="24"/>
              </w:rPr>
              <w:t>EKS 2010, 5.230.–5.244. punkts</w:t>
            </w:r>
          </w:p>
        </w:tc>
      </w:tr>
      <w:tr w:rsidR="00994F93" w:rsidRPr="00B03B51" w14:paraId="3B47D1EF" w14:textId="77777777" w:rsidTr="008A7C35">
        <w:tc>
          <w:tcPr>
            <w:tcW w:w="3010" w:type="pct"/>
            <w:tcBorders>
              <w:top w:val="nil"/>
              <w:left w:val="nil"/>
              <w:bottom w:val="nil"/>
              <w:right w:val="nil"/>
            </w:tcBorders>
          </w:tcPr>
          <w:p w14:paraId="25730E31" w14:textId="77777777" w:rsidR="00994F93" w:rsidRPr="00B03B51" w:rsidRDefault="00994F93" w:rsidP="001C4B02">
            <w:pPr>
              <w:pStyle w:val="TableParagraph"/>
              <w:jc w:val="both"/>
              <w:rPr>
                <w:rFonts w:ascii="Times New Roman" w:hAnsi="Times New Roman" w:cs="Times New Roman"/>
                <w:noProof/>
                <w:sz w:val="24"/>
              </w:rPr>
            </w:pPr>
            <w:r w:rsidRPr="00B03B51">
              <w:rPr>
                <w:rFonts w:ascii="Times New Roman" w:hAnsi="Times New Roman" w:cs="Times New Roman"/>
                <w:sz w:val="24"/>
              </w:rPr>
              <w:t>Citi kārtējie pārvedumi (ierakstīšanas laiks)</w:t>
            </w:r>
          </w:p>
        </w:tc>
        <w:tc>
          <w:tcPr>
            <w:tcW w:w="1990" w:type="pct"/>
            <w:tcBorders>
              <w:top w:val="nil"/>
              <w:left w:val="nil"/>
              <w:bottom w:val="nil"/>
              <w:right w:val="nil"/>
            </w:tcBorders>
          </w:tcPr>
          <w:p w14:paraId="49F446AA" w14:textId="77777777" w:rsidR="00994F93" w:rsidRPr="00B03B51" w:rsidRDefault="00994F93" w:rsidP="001C4B02">
            <w:pPr>
              <w:pStyle w:val="TableParagraph"/>
              <w:jc w:val="both"/>
              <w:rPr>
                <w:rFonts w:ascii="Times New Roman" w:hAnsi="Times New Roman" w:cs="Times New Roman"/>
                <w:noProof/>
                <w:sz w:val="24"/>
              </w:rPr>
            </w:pPr>
            <w:r w:rsidRPr="00B03B51">
              <w:rPr>
                <w:rFonts w:ascii="Times New Roman" w:hAnsi="Times New Roman" w:cs="Times New Roman"/>
                <w:sz w:val="24"/>
              </w:rPr>
              <w:t>EKS 2010, 4.166. punkts</w:t>
            </w:r>
          </w:p>
        </w:tc>
      </w:tr>
      <w:tr w:rsidR="00994F93" w:rsidRPr="00B03B51" w14:paraId="19EAD7CB" w14:textId="77777777" w:rsidTr="008A7C35">
        <w:tc>
          <w:tcPr>
            <w:tcW w:w="3010" w:type="pct"/>
            <w:tcBorders>
              <w:top w:val="nil"/>
              <w:left w:val="nil"/>
              <w:bottom w:val="nil"/>
              <w:right w:val="nil"/>
            </w:tcBorders>
          </w:tcPr>
          <w:p w14:paraId="4D4D800F" w14:textId="77777777" w:rsidR="00994F93" w:rsidRPr="00B03B51" w:rsidRDefault="00994F93" w:rsidP="001C4B02">
            <w:pPr>
              <w:pStyle w:val="TableParagraph"/>
              <w:jc w:val="both"/>
              <w:rPr>
                <w:rFonts w:ascii="Times New Roman" w:hAnsi="Times New Roman" w:cs="Times New Roman"/>
                <w:noProof/>
                <w:sz w:val="24"/>
              </w:rPr>
            </w:pPr>
            <w:r w:rsidRPr="00B03B51">
              <w:rPr>
                <w:rFonts w:ascii="Times New Roman" w:hAnsi="Times New Roman" w:cs="Times New Roman"/>
                <w:sz w:val="24"/>
              </w:rPr>
              <w:t>Sociālās iemaksas</w:t>
            </w:r>
          </w:p>
        </w:tc>
        <w:tc>
          <w:tcPr>
            <w:tcW w:w="1990" w:type="pct"/>
            <w:tcBorders>
              <w:top w:val="nil"/>
              <w:left w:val="nil"/>
              <w:bottom w:val="nil"/>
              <w:right w:val="nil"/>
            </w:tcBorders>
          </w:tcPr>
          <w:p w14:paraId="3136AF2B" w14:textId="77777777" w:rsidR="00994F93" w:rsidRPr="00B03B51" w:rsidRDefault="00994F93" w:rsidP="001C4B02">
            <w:pPr>
              <w:pStyle w:val="TableParagraph"/>
              <w:jc w:val="both"/>
              <w:rPr>
                <w:rFonts w:ascii="Times New Roman" w:hAnsi="Times New Roman" w:cs="Times New Roman"/>
                <w:noProof/>
                <w:sz w:val="24"/>
              </w:rPr>
            </w:pPr>
            <w:r w:rsidRPr="00B03B51">
              <w:rPr>
                <w:rFonts w:ascii="Times New Roman" w:hAnsi="Times New Roman" w:cs="Times New Roman"/>
                <w:sz w:val="24"/>
              </w:rPr>
              <w:t>EKS 2010, 4.96. punkts</w:t>
            </w:r>
          </w:p>
        </w:tc>
      </w:tr>
      <w:tr w:rsidR="00994F93" w:rsidRPr="00B03B51" w14:paraId="1349E1DD" w14:textId="77777777" w:rsidTr="008A7C35">
        <w:tc>
          <w:tcPr>
            <w:tcW w:w="3010" w:type="pct"/>
            <w:tcBorders>
              <w:top w:val="nil"/>
              <w:left w:val="nil"/>
              <w:bottom w:val="nil"/>
              <w:right w:val="nil"/>
            </w:tcBorders>
          </w:tcPr>
          <w:p w14:paraId="6165520C" w14:textId="77777777" w:rsidR="00994F93" w:rsidRPr="00B03B51" w:rsidRDefault="00994F93" w:rsidP="001C4B02">
            <w:pPr>
              <w:pStyle w:val="TableParagraph"/>
              <w:jc w:val="both"/>
              <w:rPr>
                <w:rFonts w:ascii="Times New Roman" w:hAnsi="Times New Roman" w:cs="Times New Roman"/>
                <w:noProof/>
                <w:sz w:val="24"/>
              </w:rPr>
            </w:pPr>
            <w:r w:rsidRPr="00B03B51">
              <w:rPr>
                <w:rFonts w:ascii="Times New Roman" w:hAnsi="Times New Roman" w:cs="Times New Roman"/>
                <w:sz w:val="24"/>
              </w:rPr>
              <w:t>Subsīdijas (ierakstīšanas laiks)</w:t>
            </w:r>
          </w:p>
        </w:tc>
        <w:tc>
          <w:tcPr>
            <w:tcW w:w="1990" w:type="pct"/>
            <w:tcBorders>
              <w:top w:val="nil"/>
              <w:left w:val="nil"/>
              <w:bottom w:val="nil"/>
              <w:right w:val="nil"/>
            </w:tcBorders>
          </w:tcPr>
          <w:p w14:paraId="07098542" w14:textId="77777777" w:rsidR="00994F93" w:rsidRPr="00B03B51" w:rsidRDefault="00994F93" w:rsidP="001C4B02">
            <w:pPr>
              <w:pStyle w:val="TableParagraph"/>
              <w:jc w:val="both"/>
              <w:rPr>
                <w:rFonts w:ascii="Times New Roman" w:hAnsi="Times New Roman" w:cs="Times New Roman"/>
                <w:noProof/>
                <w:sz w:val="24"/>
              </w:rPr>
            </w:pPr>
            <w:r w:rsidRPr="00B03B51">
              <w:rPr>
                <w:rFonts w:ascii="Times New Roman" w:hAnsi="Times New Roman" w:cs="Times New Roman"/>
                <w:sz w:val="24"/>
              </w:rPr>
              <w:t>EKS 2010, 4.39. punkts</w:t>
            </w:r>
          </w:p>
        </w:tc>
      </w:tr>
      <w:tr w:rsidR="00994F93" w:rsidRPr="00B03B51" w14:paraId="5999D405" w14:textId="77777777" w:rsidTr="008A7C35">
        <w:tc>
          <w:tcPr>
            <w:tcW w:w="3010" w:type="pct"/>
            <w:tcBorders>
              <w:top w:val="nil"/>
              <w:left w:val="nil"/>
              <w:bottom w:val="nil"/>
              <w:right w:val="nil"/>
            </w:tcBorders>
          </w:tcPr>
          <w:p w14:paraId="146A8732" w14:textId="77777777" w:rsidR="00994F93" w:rsidRPr="00B03B51" w:rsidRDefault="00994F93" w:rsidP="001C4B02">
            <w:pPr>
              <w:pStyle w:val="TableParagraph"/>
              <w:jc w:val="both"/>
              <w:rPr>
                <w:rFonts w:ascii="Times New Roman" w:hAnsi="Times New Roman" w:cs="Times New Roman"/>
                <w:noProof/>
                <w:sz w:val="24"/>
              </w:rPr>
            </w:pPr>
            <w:r w:rsidRPr="00B03B51">
              <w:rPr>
                <w:rFonts w:ascii="Times New Roman" w:hAnsi="Times New Roman" w:cs="Times New Roman"/>
                <w:sz w:val="24"/>
              </w:rPr>
              <w:t>Ienākuma un mantas nodokļi</w:t>
            </w:r>
          </w:p>
        </w:tc>
        <w:tc>
          <w:tcPr>
            <w:tcW w:w="1990" w:type="pct"/>
            <w:tcBorders>
              <w:top w:val="nil"/>
              <w:left w:val="nil"/>
              <w:bottom w:val="nil"/>
              <w:right w:val="nil"/>
            </w:tcBorders>
          </w:tcPr>
          <w:p w14:paraId="55D14D93" w14:textId="77777777" w:rsidR="00994F93" w:rsidRPr="00B03B51" w:rsidRDefault="00994F93" w:rsidP="001C4B02">
            <w:pPr>
              <w:pStyle w:val="TableParagraph"/>
              <w:jc w:val="both"/>
              <w:rPr>
                <w:rFonts w:ascii="Times New Roman" w:hAnsi="Times New Roman" w:cs="Times New Roman"/>
                <w:noProof/>
                <w:sz w:val="24"/>
              </w:rPr>
            </w:pPr>
            <w:r w:rsidRPr="00B03B51">
              <w:rPr>
                <w:rFonts w:ascii="Times New Roman" w:hAnsi="Times New Roman" w:cs="Times New Roman"/>
                <w:sz w:val="24"/>
              </w:rPr>
              <w:t>EKS 2010, 4.80.–4.82. punkts</w:t>
            </w:r>
          </w:p>
        </w:tc>
      </w:tr>
      <w:tr w:rsidR="00994F93" w:rsidRPr="00B03B51" w14:paraId="000AEE23" w14:textId="77777777" w:rsidTr="008A7C35">
        <w:tc>
          <w:tcPr>
            <w:tcW w:w="3010" w:type="pct"/>
            <w:tcBorders>
              <w:top w:val="nil"/>
              <w:left w:val="nil"/>
              <w:bottom w:val="nil"/>
              <w:right w:val="nil"/>
            </w:tcBorders>
          </w:tcPr>
          <w:p w14:paraId="7D67B8ED" w14:textId="77777777" w:rsidR="00994F93" w:rsidRPr="00B03B51" w:rsidRDefault="00994F93" w:rsidP="001C4B02">
            <w:pPr>
              <w:pStyle w:val="TableParagraph"/>
              <w:jc w:val="both"/>
              <w:rPr>
                <w:rFonts w:ascii="Times New Roman" w:hAnsi="Times New Roman" w:cs="Times New Roman"/>
                <w:noProof/>
                <w:sz w:val="24"/>
              </w:rPr>
            </w:pPr>
            <w:r w:rsidRPr="00B03B51">
              <w:rPr>
                <w:rFonts w:ascii="Times New Roman" w:hAnsi="Times New Roman" w:cs="Times New Roman"/>
                <w:sz w:val="24"/>
              </w:rPr>
              <w:t>Ražošanas nodokļi (citi)</w:t>
            </w:r>
          </w:p>
        </w:tc>
        <w:tc>
          <w:tcPr>
            <w:tcW w:w="1990" w:type="pct"/>
            <w:tcBorders>
              <w:top w:val="nil"/>
              <w:left w:val="nil"/>
              <w:bottom w:val="nil"/>
              <w:right w:val="nil"/>
            </w:tcBorders>
          </w:tcPr>
          <w:p w14:paraId="0F2E58A2" w14:textId="77777777" w:rsidR="00994F93" w:rsidRPr="00B03B51" w:rsidRDefault="00994F93" w:rsidP="001C4B02">
            <w:pPr>
              <w:pStyle w:val="TableParagraph"/>
              <w:jc w:val="both"/>
              <w:rPr>
                <w:rFonts w:ascii="Times New Roman" w:hAnsi="Times New Roman" w:cs="Times New Roman"/>
                <w:noProof/>
                <w:sz w:val="24"/>
              </w:rPr>
            </w:pPr>
            <w:r w:rsidRPr="00B03B51">
              <w:rPr>
                <w:rFonts w:ascii="Times New Roman" w:hAnsi="Times New Roman" w:cs="Times New Roman"/>
                <w:sz w:val="24"/>
              </w:rPr>
              <w:t>EKS 2010, 4.26.–4.27. punkts</w:t>
            </w:r>
          </w:p>
        </w:tc>
      </w:tr>
      <w:tr w:rsidR="00994F93" w:rsidRPr="00B03B51" w14:paraId="56401986" w14:textId="77777777" w:rsidTr="008A7C35">
        <w:tc>
          <w:tcPr>
            <w:tcW w:w="3010" w:type="pct"/>
            <w:tcBorders>
              <w:top w:val="nil"/>
              <w:left w:val="nil"/>
              <w:bottom w:val="nil"/>
              <w:right w:val="nil"/>
            </w:tcBorders>
          </w:tcPr>
          <w:p w14:paraId="3E5E596E" w14:textId="77777777" w:rsidR="00994F93" w:rsidRPr="00B03B51" w:rsidRDefault="00994F93" w:rsidP="001C4B02">
            <w:pPr>
              <w:pStyle w:val="TableParagraph"/>
              <w:jc w:val="both"/>
              <w:rPr>
                <w:rFonts w:ascii="Times New Roman" w:hAnsi="Times New Roman" w:cs="Times New Roman"/>
                <w:noProof/>
                <w:sz w:val="24"/>
              </w:rPr>
            </w:pPr>
            <w:r w:rsidRPr="00B03B51">
              <w:rPr>
                <w:rFonts w:ascii="Times New Roman" w:hAnsi="Times New Roman" w:cs="Times New Roman"/>
                <w:sz w:val="24"/>
              </w:rPr>
              <w:t>Procentu ierakstīšanas laiks</w:t>
            </w:r>
          </w:p>
        </w:tc>
        <w:tc>
          <w:tcPr>
            <w:tcW w:w="1990" w:type="pct"/>
            <w:tcBorders>
              <w:top w:val="nil"/>
              <w:left w:val="nil"/>
              <w:bottom w:val="nil"/>
              <w:right w:val="nil"/>
            </w:tcBorders>
          </w:tcPr>
          <w:p w14:paraId="4499AAF4" w14:textId="77777777" w:rsidR="00994F93" w:rsidRPr="00B03B51" w:rsidRDefault="00994F93" w:rsidP="001C4B02">
            <w:pPr>
              <w:pStyle w:val="TableParagraph"/>
              <w:jc w:val="both"/>
              <w:rPr>
                <w:rFonts w:ascii="Times New Roman" w:hAnsi="Times New Roman" w:cs="Times New Roman"/>
                <w:noProof/>
                <w:sz w:val="24"/>
              </w:rPr>
            </w:pPr>
            <w:r w:rsidRPr="00B03B51">
              <w:rPr>
                <w:rFonts w:ascii="Times New Roman" w:hAnsi="Times New Roman" w:cs="Times New Roman"/>
                <w:sz w:val="24"/>
              </w:rPr>
              <w:t>EKS 2010, 4.50. punkts</w:t>
            </w:r>
          </w:p>
        </w:tc>
      </w:tr>
      <w:tr w:rsidR="00994F93" w:rsidRPr="00B03B51" w14:paraId="5323EEB4" w14:textId="77777777" w:rsidTr="008A7C35">
        <w:tc>
          <w:tcPr>
            <w:tcW w:w="3010" w:type="pct"/>
            <w:tcBorders>
              <w:top w:val="nil"/>
              <w:left w:val="nil"/>
              <w:bottom w:val="nil"/>
              <w:right w:val="nil"/>
            </w:tcBorders>
          </w:tcPr>
          <w:p w14:paraId="741FFD12" w14:textId="77777777" w:rsidR="00994F93" w:rsidRPr="00B03B51" w:rsidRDefault="00994F93" w:rsidP="001C4B02">
            <w:pPr>
              <w:pStyle w:val="TableParagraph"/>
              <w:jc w:val="both"/>
              <w:rPr>
                <w:rFonts w:ascii="Times New Roman" w:hAnsi="Times New Roman" w:cs="Times New Roman"/>
                <w:noProof/>
                <w:sz w:val="24"/>
              </w:rPr>
            </w:pPr>
            <w:r w:rsidRPr="00B03B51">
              <w:rPr>
                <w:rFonts w:ascii="Times New Roman" w:hAnsi="Times New Roman" w:cs="Times New Roman"/>
                <w:sz w:val="24"/>
              </w:rPr>
              <w:t>Sociālo pabalstu ierakstīšanas laiks</w:t>
            </w:r>
          </w:p>
        </w:tc>
        <w:tc>
          <w:tcPr>
            <w:tcW w:w="1990" w:type="pct"/>
            <w:tcBorders>
              <w:top w:val="nil"/>
              <w:left w:val="nil"/>
              <w:bottom w:val="nil"/>
              <w:right w:val="nil"/>
            </w:tcBorders>
          </w:tcPr>
          <w:p w14:paraId="0A3CA21D" w14:textId="77777777" w:rsidR="00994F93" w:rsidRPr="00B03B51" w:rsidRDefault="00994F93" w:rsidP="001C4B02">
            <w:pPr>
              <w:pStyle w:val="TableParagraph"/>
              <w:jc w:val="both"/>
              <w:rPr>
                <w:rFonts w:ascii="Times New Roman" w:hAnsi="Times New Roman" w:cs="Times New Roman"/>
                <w:noProof/>
                <w:sz w:val="24"/>
              </w:rPr>
            </w:pPr>
            <w:r w:rsidRPr="00B03B51">
              <w:rPr>
                <w:rFonts w:ascii="Times New Roman" w:hAnsi="Times New Roman" w:cs="Times New Roman"/>
                <w:sz w:val="24"/>
              </w:rPr>
              <w:t>EKS 2010, 4.106. punkts</w:t>
            </w:r>
          </w:p>
        </w:tc>
      </w:tr>
    </w:tbl>
    <w:p w14:paraId="40F9578C" w14:textId="77777777" w:rsidR="00994F93" w:rsidRPr="00B03B51" w:rsidRDefault="00994F93" w:rsidP="00994F93">
      <w:pPr>
        <w:rPr>
          <w:rFonts w:ascii="Times New Roman" w:eastAsia="Arial" w:hAnsi="Times New Roman" w:cs="Times New Roman"/>
          <w:b/>
          <w:bCs/>
          <w:noProof/>
          <w:sz w:val="24"/>
          <w:szCs w:val="20"/>
        </w:rPr>
      </w:pPr>
      <w:r w:rsidRPr="00B03B51">
        <w:rPr>
          <w:rFonts w:ascii="Times New Roman" w:hAnsi="Times New Roman" w:cs="Times New Roman"/>
        </w:rPr>
        <w:br w:type="page"/>
      </w:r>
    </w:p>
    <w:p w14:paraId="38A0692E" w14:textId="77777777" w:rsidR="00994F93" w:rsidRPr="00B03B51" w:rsidRDefault="00994F93" w:rsidP="00994F93">
      <w:pPr>
        <w:jc w:val="both"/>
        <w:rPr>
          <w:rFonts w:ascii="Times New Roman" w:eastAsia="Arial" w:hAnsi="Times New Roman" w:cs="Times New Roman"/>
          <w:b/>
          <w:bCs/>
          <w:noProof/>
          <w:sz w:val="24"/>
        </w:rPr>
      </w:pPr>
    </w:p>
    <w:p w14:paraId="7CEFE2F2" w14:textId="77777777" w:rsidR="00994F93" w:rsidRPr="00B03B51" w:rsidRDefault="00994F93" w:rsidP="00994F93">
      <w:pPr>
        <w:pStyle w:val="Heading1"/>
        <w:ind w:left="0"/>
        <w:jc w:val="both"/>
        <w:rPr>
          <w:rFonts w:ascii="Times New Roman" w:hAnsi="Times New Roman" w:cs="Times New Roman"/>
          <w:noProof/>
          <w:sz w:val="28"/>
          <w:szCs w:val="72"/>
        </w:rPr>
      </w:pPr>
      <w:bookmarkStart w:id="190" w:name="3._General_government_and_entities_contr"/>
      <w:bookmarkStart w:id="191" w:name="_bookmark20"/>
      <w:bookmarkStart w:id="192" w:name="_Toc67565082"/>
      <w:bookmarkEnd w:id="190"/>
      <w:bookmarkEnd w:id="191"/>
      <w:r w:rsidRPr="00B03B51">
        <w:rPr>
          <w:rFonts w:ascii="Times New Roman" w:hAnsi="Times New Roman" w:cs="Times New Roman"/>
          <w:sz w:val="28"/>
          <w:szCs w:val="72"/>
        </w:rPr>
        <w:t>3. Vispārējā valdība un valdības kontrolēti subjekti</w:t>
      </w:r>
      <w:bookmarkEnd w:id="192"/>
    </w:p>
    <w:p w14:paraId="19E26AEF" w14:textId="77777777" w:rsidR="00994F93" w:rsidRPr="00B03B51" w:rsidRDefault="00994F93" w:rsidP="00994F93">
      <w:pPr>
        <w:jc w:val="both"/>
        <w:rPr>
          <w:rFonts w:ascii="Times New Roman" w:eastAsia="Arial" w:hAnsi="Times New Roman" w:cs="Times New Roman"/>
          <w:b/>
          <w:bCs/>
          <w:noProof/>
          <w:sz w:val="24"/>
          <w:szCs w:val="24"/>
        </w:rPr>
      </w:pPr>
    </w:p>
    <w:p w14:paraId="1E2D009C" w14:textId="77777777" w:rsidR="00994F93" w:rsidRPr="00B03B51" w:rsidRDefault="00994F93" w:rsidP="00994F93">
      <w:pPr>
        <w:pStyle w:val="Heading2"/>
        <w:tabs>
          <w:tab w:val="left" w:pos="2139"/>
        </w:tabs>
        <w:spacing w:before="0"/>
        <w:ind w:left="0" w:firstLine="0"/>
        <w:jc w:val="both"/>
        <w:rPr>
          <w:rFonts w:ascii="Times New Roman" w:hAnsi="Times New Roman" w:cs="Times New Roman"/>
          <w:noProof/>
          <w:sz w:val="28"/>
          <w:szCs w:val="44"/>
        </w:rPr>
      </w:pPr>
      <w:bookmarkStart w:id="193" w:name="3.1_Overview"/>
      <w:bookmarkStart w:id="194" w:name="_bookmark21"/>
      <w:bookmarkStart w:id="195" w:name="_Toc67565083"/>
      <w:bookmarkEnd w:id="193"/>
      <w:bookmarkEnd w:id="194"/>
      <w:r w:rsidRPr="00B03B51">
        <w:rPr>
          <w:rFonts w:ascii="Times New Roman" w:hAnsi="Times New Roman" w:cs="Times New Roman"/>
          <w:sz w:val="28"/>
          <w:szCs w:val="44"/>
        </w:rPr>
        <w:t>3.1. Pārskats</w:t>
      </w:r>
      <w:bookmarkEnd w:id="195"/>
    </w:p>
    <w:p w14:paraId="3F7D1379" w14:textId="77777777" w:rsidR="00994F93" w:rsidRPr="00B03B51" w:rsidRDefault="00994F93" w:rsidP="00994F93">
      <w:pPr>
        <w:pStyle w:val="BodyText"/>
        <w:tabs>
          <w:tab w:val="left" w:pos="1703"/>
        </w:tabs>
        <w:spacing w:before="0"/>
        <w:ind w:left="0" w:firstLine="0"/>
        <w:jc w:val="both"/>
        <w:rPr>
          <w:rFonts w:ascii="Times New Roman" w:hAnsi="Times New Roman" w:cs="Times New Roman"/>
          <w:noProof/>
          <w:sz w:val="24"/>
        </w:rPr>
      </w:pPr>
    </w:p>
    <w:p w14:paraId="3C60E8A4" w14:textId="77777777" w:rsidR="00994F93" w:rsidRPr="00B03B51" w:rsidRDefault="00994F93" w:rsidP="00994F93">
      <w:pPr>
        <w:pStyle w:val="BodyText"/>
        <w:tabs>
          <w:tab w:val="left" w:pos="170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 Darījumu starp valdību un publisku subjektu var būt sarežģīti klasificēt, jo valdība ekonomikā veic dažādus pienākumus. Darījumu var veikt dažādu iemeslu dēļ saistībā ar atšķirīgiem valdības darbības mērķiem. Šādas darbības ietver turpmāk minētos valdības pienākumus.</w:t>
      </w:r>
    </w:p>
    <w:p w14:paraId="6CC9B3B1" w14:textId="77777777" w:rsidR="00994F93" w:rsidRPr="00B03B51" w:rsidRDefault="00994F93" w:rsidP="00994F93">
      <w:pPr>
        <w:pStyle w:val="BodyText"/>
        <w:tabs>
          <w:tab w:val="left" w:pos="1703"/>
        </w:tabs>
        <w:spacing w:before="0"/>
        <w:ind w:left="0" w:firstLine="0"/>
        <w:jc w:val="both"/>
        <w:rPr>
          <w:rFonts w:ascii="Times New Roman" w:hAnsi="Times New Roman" w:cs="Times New Roman"/>
          <w:noProof/>
          <w:sz w:val="24"/>
        </w:rPr>
      </w:pPr>
    </w:p>
    <w:p w14:paraId="10FF7E85" w14:textId="77777777" w:rsidR="00994F93" w:rsidRPr="00B03B51" w:rsidRDefault="00994F93" w:rsidP="008A7C35">
      <w:pPr>
        <w:numPr>
          <w:ilvl w:val="1"/>
          <w:numId w:val="7"/>
        </w:numPr>
        <w:ind w:left="426" w:hanging="425"/>
        <w:jc w:val="both"/>
        <w:rPr>
          <w:rFonts w:ascii="Times New Roman" w:eastAsia="Arial" w:hAnsi="Times New Roman" w:cs="Times New Roman"/>
          <w:noProof/>
          <w:sz w:val="24"/>
          <w:szCs w:val="19"/>
        </w:rPr>
      </w:pPr>
      <w:r w:rsidRPr="00B03B51">
        <w:rPr>
          <w:rFonts w:ascii="Times New Roman" w:hAnsi="Times New Roman" w:cs="Times New Roman"/>
          <w:sz w:val="24"/>
        </w:rPr>
        <w:t xml:space="preserve">Kā </w:t>
      </w:r>
      <w:r w:rsidRPr="00B03B51">
        <w:rPr>
          <w:rFonts w:ascii="Times New Roman" w:hAnsi="Times New Roman" w:cs="Times New Roman"/>
          <w:b/>
          <w:sz w:val="24"/>
        </w:rPr>
        <w:t>finanšu aktīvu īpašniece</w:t>
      </w:r>
      <w:r w:rsidRPr="00B03B51">
        <w:rPr>
          <w:rFonts w:ascii="Times New Roman" w:hAnsi="Times New Roman" w:cs="Times New Roman"/>
          <w:sz w:val="24"/>
        </w:rPr>
        <w:t>:</w:t>
      </w:r>
    </w:p>
    <w:p w14:paraId="34A5797A" w14:textId="77777777" w:rsidR="00994F93" w:rsidRPr="00B03B51" w:rsidRDefault="00994F93" w:rsidP="008A7C35">
      <w:pPr>
        <w:pStyle w:val="BodyText"/>
        <w:numPr>
          <w:ilvl w:val="2"/>
          <w:numId w:val="7"/>
        </w:numPr>
        <w:spacing w:before="0"/>
        <w:ind w:left="851" w:hanging="425"/>
        <w:jc w:val="both"/>
        <w:rPr>
          <w:rFonts w:ascii="Times New Roman" w:hAnsi="Times New Roman" w:cs="Times New Roman"/>
          <w:noProof/>
          <w:sz w:val="24"/>
        </w:rPr>
      </w:pPr>
      <w:r w:rsidRPr="00B03B51">
        <w:rPr>
          <w:rFonts w:ascii="Times New Roman" w:hAnsi="Times New Roman" w:cs="Times New Roman"/>
          <w:sz w:val="24"/>
        </w:rPr>
        <w:t>līdzīgi ilgtermiņa ieguldītājam cenšas nodrošināt ieguldījuma atdevi;</w:t>
      </w:r>
    </w:p>
    <w:p w14:paraId="4B3209E6" w14:textId="77777777" w:rsidR="00994F93" w:rsidRPr="00B03B51" w:rsidRDefault="00994F93" w:rsidP="008A7C35">
      <w:pPr>
        <w:pStyle w:val="BodyText"/>
        <w:numPr>
          <w:ilvl w:val="2"/>
          <w:numId w:val="7"/>
        </w:numPr>
        <w:spacing w:before="0"/>
        <w:ind w:left="851" w:hanging="425"/>
        <w:jc w:val="both"/>
        <w:rPr>
          <w:rFonts w:ascii="Times New Roman" w:hAnsi="Times New Roman" w:cs="Times New Roman"/>
          <w:noProof/>
          <w:sz w:val="24"/>
        </w:rPr>
      </w:pPr>
      <w:r w:rsidRPr="00B03B51">
        <w:rPr>
          <w:rFonts w:ascii="Times New Roman" w:hAnsi="Times New Roman" w:cs="Times New Roman"/>
          <w:sz w:val="24"/>
        </w:rPr>
        <w:t>pārvalda Valsts kasi.</w:t>
      </w:r>
    </w:p>
    <w:p w14:paraId="59B28875" w14:textId="77777777" w:rsidR="00994F93" w:rsidRPr="00B03B51" w:rsidRDefault="00994F93" w:rsidP="008A7C35">
      <w:pPr>
        <w:numPr>
          <w:ilvl w:val="1"/>
          <w:numId w:val="7"/>
        </w:numPr>
        <w:ind w:left="426" w:hanging="425"/>
        <w:jc w:val="both"/>
        <w:rPr>
          <w:rFonts w:ascii="Times New Roman" w:hAnsi="Times New Roman" w:cs="Times New Roman"/>
          <w:b/>
          <w:noProof/>
          <w:sz w:val="24"/>
        </w:rPr>
      </w:pPr>
      <w:r w:rsidRPr="00B03B51">
        <w:rPr>
          <w:rFonts w:ascii="Times New Roman" w:hAnsi="Times New Roman" w:cs="Times New Roman"/>
          <w:b/>
          <w:sz w:val="24"/>
        </w:rPr>
        <w:t>Darbojoties ar mērķi īstenot valsts politiku un veicinot ekonomiskās un sociālās politikas īstenošanu:</w:t>
      </w:r>
    </w:p>
    <w:p w14:paraId="3129CA6B" w14:textId="77777777" w:rsidR="00994F93" w:rsidRPr="00B03B51" w:rsidRDefault="00994F93" w:rsidP="008A7C35">
      <w:pPr>
        <w:pStyle w:val="BodyText"/>
        <w:numPr>
          <w:ilvl w:val="2"/>
          <w:numId w:val="7"/>
        </w:numPr>
        <w:spacing w:before="0"/>
        <w:ind w:left="851" w:hanging="425"/>
        <w:jc w:val="both"/>
        <w:rPr>
          <w:rFonts w:ascii="Times New Roman" w:hAnsi="Times New Roman" w:cs="Times New Roman"/>
          <w:noProof/>
          <w:sz w:val="24"/>
        </w:rPr>
      </w:pPr>
      <w:r w:rsidRPr="00B03B51">
        <w:rPr>
          <w:rFonts w:ascii="Times New Roman" w:hAnsi="Times New Roman" w:cs="Times New Roman"/>
          <w:sz w:val="24"/>
        </w:rPr>
        <w:t>izmaksā subsīdijas un ieguldījumu dotācijas;</w:t>
      </w:r>
    </w:p>
    <w:p w14:paraId="2B474383" w14:textId="77777777" w:rsidR="00994F93" w:rsidRPr="00B03B51" w:rsidRDefault="00994F93" w:rsidP="008A7C35">
      <w:pPr>
        <w:pStyle w:val="BodyText"/>
        <w:numPr>
          <w:ilvl w:val="2"/>
          <w:numId w:val="7"/>
        </w:numPr>
        <w:spacing w:before="0"/>
        <w:ind w:left="851" w:hanging="425"/>
        <w:jc w:val="both"/>
        <w:rPr>
          <w:rFonts w:ascii="Times New Roman" w:hAnsi="Times New Roman" w:cs="Times New Roman"/>
          <w:noProof/>
          <w:sz w:val="24"/>
        </w:rPr>
      </w:pPr>
      <w:r w:rsidRPr="00B03B51">
        <w:rPr>
          <w:rFonts w:ascii="Times New Roman" w:hAnsi="Times New Roman" w:cs="Times New Roman"/>
          <w:sz w:val="24"/>
        </w:rPr>
        <w:t>izmanto publiskas vienības, lai palīdzētu īstenot ar sabiedrības interesēm saistītu politiku, piemēram, nodrošināt sabiedriskā transporta pakalpojumus;</w:t>
      </w:r>
    </w:p>
    <w:p w14:paraId="67F5CDDB" w14:textId="77777777" w:rsidR="00994F93" w:rsidRPr="00B03B51" w:rsidRDefault="00994F93" w:rsidP="008A7C35">
      <w:pPr>
        <w:pStyle w:val="BodyText"/>
        <w:numPr>
          <w:ilvl w:val="2"/>
          <w:numId w:val="7"/>
        </w:numPr>
        <w:spacing w:before="0"/>
        <w:ind w:left="851" w:hanging="425"/>
        <w:jc w:val="both"/>
        <w:rPr>
          <w:rFonts w:ascii="Times New Roman" w:hAnsi="Times New Roman" w:cs="Times New Roman"/>
          <w:noProof/>
          <w:sz w:val="24"/>
        </w:rPr>
      </w:pPr>
      <w:r w:rsidRPr="00B03B51">
        <w:rPr>
          <w:rFonts w:ascii="Times New Roman" w:hAnsi="Times New Roman" w:cs="Times New Roman"/>
          <w:sz w:val="24"/>
        </w:rPr>
        <w:t>pārstrukturē publiskas vienības.</w:t>
      </w:r>
    </w:p>
    <w:p w14:paraId="5BE73F85" w14:textId="77777777" w:rsidR="00994F93" w:rsidRPr="00B03B51" w:rsidRDefault="00994F93" w:rsidP="008A7C35">
      <w:pPr>
        <w:numPr>
          <w:ilvl w:val="1"/>
          <w:numId w:val="7"/>
        </w:numPr>
        <w:ind w:left="426" w:hanging="425"/>
        <w:jc w:val="both"/>
        <w:rPr>
          <w:rFonts w:ascii="Times New Roman" w:eastAsia="Arial" w:hAnsi="Times New Roman" w:cs="Times New Roman"/>
          <w:noProof/>
          <w:sz w:val="24"/>
          <w:szCs w:val="19"/>
        </w:rPr>
      </w:pPr>
      <w:r w:rsidRPr="00B03B51">
        <w:rPr>
          <w:rFonts w:ascii="Times New Roman" w:hAnsi="Times New Roman" w:cs="Times New Roman"/>
          <w:sz w:val="24"/>
        </w:rPr>
        <w:t xml:space="preserve">Īstenojot </w:t>
      </w:r>
      <w:r w:rsidRPr="00B03B51">
        <w:rPr>
          <w:rFonts w:ascii="Times New Roman" w:hAnsi="Times New Roman" w:cs="Times New Roman"/>
          <w:b/>
          <w:bCs/>
          <w:sz w:val="24"/>
        </w:rPr>
        <w:t>budžetu</w:t>
      </w:r>
      <w:r w:rsidRPr="00B03B51">
        <w:rPr>
          <w:rFonts w:ascii="Times New Roman" w:hAnsi="Times New Roman" w:cs="Times New Roman"/>
          <w:sz w:val="24"/>
        </w:rPr>
        <w:t>, valdība:</w:t>
      </w:r>
    </w:p>
    <w:p w14:paraId="517CBFE9" w14:textId="77777777" w:rsidR="00994F93" w:rsidRPr="00B03B51" w:rsidRDefault="00994F93" w:rsidP="008A7C35">
      <w:pPr>
        <w:pStyle w:val="BodyText"/>
        <w:numPr>
          <w:ilvl w:val="2"/>
          <w:numId w:val="7"/>
        </w:numPr>
        <w:spacing w:before="0"/>
        <w:ind w:left="851" w:hanging="425"/>
        <w:jc w:val="both"/>
        <w:rPr>
          <w:rFonts w:ascii="Times New Roman" w:hAnsi="Times New Roman" w:cs="Times New Roman"/>
          <w:noProof/>
          <w:sz w:val="24"/>
        </w:rPr>
      </w:pPr>
      <w:r w:rsidRPr="00B03B51">
        <w:rPr>
          <w:rFonts w:ascii="Times New Roman" w:hAnsi="Times New Roman" w:cs="Times New Roman"/>
          <w:sz w:val="24"/>
        </w:rPr>
        <w:t>iekasē nodokļus un sociālās iemaksas;</w:t>
      </w:r>
    </w:p>
    <w:p w14:paraId="39DB2B61" w14:textId="77777777" w:rsidR="00994F93" w:rsidRPr="00B03B51" w:rsidRDefault="00994F93" w:rsidP="008A7C35">
      <w:pPr>
        <w:pStyle w:val="BodyText"/>
        <w:numPr>
          <w:ilvl w:val="2"/>
          <w:numId w:val="7"/>
        </w:numPr>
        <w:spacing w:before="0"/>
        <w:ind w:left="851" w:hanging="425"/>
        <w:jc w:val="both"/>
        <w:rPr>
          <w:rFonts w:ascii="Times New Roman" w:hAnsi="Times New Roman" w:cs="Times New Roman"/>
          <w:noProof/>
          <w:sz w:val="24"/>
        </w:rPr>
      </w:pPr>
      <w:r w:rsidRPr="00B03B51">
        <w:rPr>
          <w:rFonts w:ascii="Times New Roman" w:hAnsi="Times New Roman" w:cs="Times New Roman"/>
          <w:sz w:val="24"/>
        </w:rPr>
        <w:t>nodrošina optimālu finansējumu;</w:t>
      </w:r>
    </w:p>
    <w:p w14:paraId="281C0AFF" w14:textId="77777777" w:rsidR="00994F93" w:rsidRPr="00B03B51" w:rsidRDefault="00994F93" w:rsidP="008A7C35">
      <w:pPr>
        <w:pStyle w:val="BodyText"/>
        <w:numPr>
          <w:ilvl w:val="2"/>
          <w:numId w:val="7"/>
        </w:numPr>
        <w:spacing w:before="0"/>
        <w:ind w:left="851" w:hanging="425"/>
        <w:jc w:val="both"/>
        <w:rPr>
          <w:rFonts w:ascii="Times New Roman" w:hAnsi="Times New Roman" w:cs="Times New Roman"/>
          <w:noProof/>
          <w:sz w:val="24"/>
        </w:rPr>
      </w:pPr>
      <w:r w:rsidRPr="00B03B51">
        <w:rPr>
          <w:rFonts w:ascii="Times New Roman" w:hAnsi="Times New Roman" w:cs="Times New Roman"/>
          <w:sz w:val="24"/>
        </w:rPr>
        <w:t>uzņemas pensiju saistības.</w:t>
      </w:r>
    </w:p>
    <w:p w14:paraId="56DE9B8C" w14:textId="77777777" w:rsidR="00994F93" w:rsidRPr="00B03B51" w:rsidRDefault="00994F93" w:rsidP="00994F93">
      <w:pPr>
        <w:pStyle w:val="BodyText"/>
        <w:tabs>
          <w:tab w:val="left" w:pos="1703"/>
        </w:tabs>
        <w:spacing w:before="0"/>
        <w:ind w:left="0" w:firstLine="0"/>
        <w:jc w:val="both"/>
        <w:rPr>
          <w:rFonts w:ascii="Times New Roman" w:hAnsi="Times New Roman" w:cs="Times New Roman"/>
          <w:noProof/>
          <w:sz w:val="24"/>
        </w:rPr>
      </w:pPr>
    </w:p>
    <w:p w14:paraId="35022B91" w14:textId="77777777" w:rsidR="00994F93" w:rsidRPr="00B03B51" w:rsidRDefault="00994F93" w:rsidP="00994F93">
      <w:pPr>
        <w:pStyle w:val="BodyText"/>
        <w:tabs>
          <w:tab w:val="left" w:pos="170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2. Robežgadījumos, nosakot darījuma klasifikāciju, jāapsver tas, kuru pienākumu valdība pilda konkrētajā darījumā, un jāpiemēro tāda uzskaite, kurā ir atpazīta darījuma ekonomiskā būtība, ja tā atšķiras no tā juridiskās formas. Dažos gadījumos pastāv atbilstība vairākām pienākumu jomām; šādos gadījumos jāapsver, kurš pienākums ir svarīgāks, lai visprecīzāk ierakstītu darījuma ekonomisko realitāti.</w:t>
      </w:r>
    </w:p>
    <w:p w14:paraId="2F4E2E1F" w14:textId="77777777" w:rsidR="00994F93" w:rsidRPr="00B03B51" w:rsidRDefault="00994F93" w:rsidP="00994F93">
      <w:pPr>
        <w:pStyle w:val="BodyText"/>
        <w:tabs>
          <w:tab w:val="left" w:pos="1703"/>
        </w:tabs>
        <w:spacing w:before="0"/>
        <w:ind w:left="0" w:firstLine="0"/>
        <w:jc w:val="both"/>
        <w:rPr>
          <w:rFonts w:ascii="Times New Roman" w:hAnsi="Times New Roman" w:cs="Times New Roman"/>
          <w:noProof/>
          <w:sz w:val="24"/>
        </w:rPr>
      </w:pPr>
    </w:p>
    <w:p w14:paraId="654C29EF" w14:textId="77777777" w:rsidR="00994F93" w:rsidRPr="00B03B51" w:rsidRDefault="00994F93" w:rsidP="00994F93">
      <w:pPr>
        <w:pStyle w:val="BodyText"/>
        <w:tabs>
          <w:tab w:val="left" w:pos="170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3. Dažām darbībām raksturīgs tas, ka tās vienmēr veic valdība, bet nekad neveic tirgus vienības, proti, valdība rīkojas ne tikai kā aktīvu pārvaldniece, kas cenšas gūt finansiālu peļņu. Valdība var arī zināmā mērā pārvaldīt aktīvus, lai atbalstītu saimniecisko darbību un īstenotu sociālos mērķus. Vienīgi valdība spēj veikt lielus pārskaitījumus citiem ekonomikas dalībniekiem.</w:t>
      </w:r>
    </w:p>
    <w:p w14:paraId="35F1AB63" w14:textId="77777777" w:rsidR="00994F93" w:rsidRPr="00B03B51" w:rsidRDefault="00994F93" w:rsidP="00994F93">
      <w:pPr>
        <w:pStyle w:val="BodyText"/>
        <w:tabs>
          <w:tab w:val="left" w:pos="1703"/>
        </w:tabs>
        <w:spacing w:before="0"/>
        <w:ind w:left="0" w:firstLine="0"/>
        <w:jc w:val="both"/>
        <w:rPr>
          <w:rFonts w:ascii="Times New Roman" w:hAnsi="Times New Roman" w:cs="Times New Roman"/>
          <w:noProof/>
          <w:sz w:val="24"/>
        </w:rPr>
      </w:pPr>
    </w:p>
    <w:p w14:paraId="1348CE95" w14:textId="77777777" w:rsidR="00994F93" w:rsidRPr="00B03B51" w:rsidRDefault="00994F93" w:rsidP="00994F93">
      <w:pPr>
        <w:pStyle w:val="BodyText"/>
        <w:tabs>
          <w:tab w:val="left" w:pos="170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4. Tas nozīmē, ka plūsmas uz publiskām sabiedrībām un no tām ne vienmēr tiek ierakstītas simetriski. Piemēram, neatlīdzināms maksājums, kas ierakstīts kā “ieguldījumu dotācija” jeb nefinanšu darījums (“kaut kas pret neko”, kā noteikts EKS 2010 1. nodaļā “Vispārējs raksturojums un pamatprincipi”), var būtiski uzlabot uzņēmuma mantisko stāvokli vidējā termiņā. Ja publisks uzņēmums pēc tam veiktu ārkārtas maksājumu no pašu līdzekļiem, to pamatoti varētu ierakstīt kā pašu kapitāla izņemšanu (daļēju aktīvu dzēšanu).</w:t>
      </w:r>
    </w:p>
    <w:p w14:paraId="6B29E6E5" w14:textId="77777777" w:rsidR="00994F93" w:rsidRPr="00B03B51" w:rsidRDefault="00994F93" w:rsidP="00994F93">
      <w:pPr>
        <w:pStyle w:val="BodyText"/>
        <w:tabs>
          <w:tab w:val="left" w:pos="1703"/>
        </w:tabs>
        <w:spacing w:before="0"/>
        <w:ind w:left="0" w:firstLine="0"/>
        <w:jc w:val="both"/>
        <w:rPr>
          <w:rFonts w:ascii="Times New Roman" w:hAnsi="Times New Roman" w:cs="Times New Roman"/>
          <w:noProof/>
          <w:sz w:val="24"/>
        </w:rPr>
      </w:pPr>
    </w:p>
    <w:p w14:paraId="418BC4F2" w14:textId="77777777" w:rsidR="00994F93" w:rsidRPr="00B03B51" w:rsidRDefault="00994F93" w:rsidP="00994F93">
      <w:pPr>
        <w:pStyle w:val="BodyText"/>
        <w:tabs>
          <w:tab w:val="left" w:pos="170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5. Lai klasificētu vienības un darījumus, nacionālo kontu speciālisti rūpīgi apsver to ekonomisko kontekstu. Tomēr dažkārt ir svarīgi izvērtēt institucionālas vienības vai saimnieciskas plūsmas juridisko formu, kā arī ziņot par ekonomisko realitāti. Tas attiecas gan uz vienību, gan plūsmu klasificēšanu.</w:t>
      </w:r>
    </w:p>
    <w:p w14:paraId="2A0F452B" w14:textId="77777777" w:rsidR="00994F93" w:rsidRPr="00B03B51" w:rsidRDefault="00994F93" w:rsidP="00994F93">
      <w:pPr>
        <w:pStyle w:val="BodyText"/>
        <w:spacing w:before="0"/>
        <w:ind w:left="0" w:firstLine="0"/>
        <w:jc w:val="both"/>
        <w:rPr>
          <w:rFonts w:ascii="Times New Roman" w:hAnsi="Times New Roman" w:cs="Times New Roman"/>
          <w:noProof/>
          <w:sz w:val="24"/>
        </w:rPr>
      </w:pPr>
    </w:p>
    <w:p w14:paraId="26DD4084" w14:textId="77777777" w:rsidR="00994F93" w:rsidRPr="00B03B51" w:rsidRDefault="00994F93" w:rsidP="00994F93">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t>6.</w:t>
      </w:r>
    </w:p>
    <w:p w14:paraId="1100BCC8" w14:textId="77777777" w:rsidR="00994F93" w:rsidRPr="00B03B51" w:rsidRDefault="00994F93" w:rsidP="00994F93">
      <w:pPr>
        <w:jc w:val="both"/>
        <w:rPr>
          <w:rFonts w:ascii="Times New Roman" w:eastAsia="Arial" w:hAnsi="Times New Roman" w:cs="Times New Roman"/>
          <w:noProof/>
          <w:sz w:val="24"/>
          <w:szCs w:val="13"/>
        </w:rPr>
      </w:pPr>
    </w:p>
    <w:p w14:paraId="6456FA4E" w14:textId="77777777" w:rsidR="00994F93" w:rsidRPr="00B03B51" w:rsidRDefault="00994F93" w:rsidP="00DA39FD">
      <w:pPr>
        <w:keepNext/>
        <w:jc w:val="both"/>
        <w:rPr>
          <w:rFonts w:ascii="Times New Roman" w:hAnsi="Times New Roman" w:cs="Times New Roman"/>
          <w:b/>
          <w:noProof/>
          <w:sz w:val="24"/>
        </w:rPr>
      </w:pPr>
      <w:r w:rsidRPr="00B03B51">
        <w:rPr>
          <w:rFonts w:ascii="Times New Roman" w:hAnsi="Times New Roman" w:cs="Times New Roman"/>
          <w:b/>
          <w:sz w:val="24"/>
        </w:rPr>
        <w:lastRenderedPageBreak/>
        <w:t>Turpmāk ir sniegti piemēri.</w:t>
      </w:r>
    </w:p>
    <w:p w14:paraId="77CD5E45" w14:textId="77777777" w:rsidR="00994F93" w:rsidRPr="00B03B51" w:rsidRDefault="00994F93" w:rsidP="00DA39FD">
      <w:pPr>
        <w:keepNext/>
        <w:jc w:val="both"/>
        <w:rPr>
          <w:rFonts w:ascii="Times New Roman" w:eastAsia="Arial" w:hAnsi="Times New Roman" w:cs="Times New Roman"/>
          <w:b/>
          <w:bCs/>
          <w:noProof/>
          <w:sz w:val="24"/>
        </w:rPr>
      </w:pPr>
    </w:p>
    <w:p w14:paraId="1CA67867" w14:textId="77777777" w:rsidR="00994F93" w:rsidRPr="00B03B51" w:rsidRDefault="00994F93" w:rsidP="00DA39FD">
      <w:pPr>
        <w:pStyle w:val="BodyText"/>
        <w:keepNext/>
        <w:tabs>
          <w:tab w:val="left" w:pos="1126"/>
        </w:tabs>
        <w:spacing w:before="0"/>
        <w:ind w:left="284" w:firstLine="0"/>
        <w:jc w:val="both"/>
        <w:rPr>
          <w:rFonts w:ascii="Times New Roman" w:hAnsi="Times New Roman" w:cs="Times New Roman"/>
          <w:noProof/>
          <w:sz w:val="24"/>
        </w:rPr>
      </w:pPr>
      <w:r w:rsidRPr="00B03B51">
        <w:rPr>
          <w:rFonts w:ascii="Times New Roman" w:hAnsi="Times New Roman" w:cs="Times New Roman"/>
          <w:sz w:val="24"/>
        </w:rPr>
        <w:t>a) Vienība var uzņemties valdības vienībai raksturīgas darbības, bet nebūt iekļauta valdības kontos. Šādas darbības, piemēram, var būt neatlīdzināmu maksājumu veikšana citām vienībām, nodevu iekasēšana no noteiktām nozarēm, nodrošinājumu piešķiršana zemas kvalitātes aizdevumiem, galvojumu piešķiršana aizdevumiem, sabiedriskās infrastruktūras būvniecība u. tml. Pirmais jautājums ir par to, vai vienība jāklasificē kā vispārējā valdība (pat ja to dēvē par sabiedrību vai parasti neuzskata par valdības daļu).</w:t>
      </w:r>
    </w:p>
    <w:p w14:paraId="3965BA4C" w14:textId="77777777" w:rsidR="00994F93" w:rsidRPr="00B03B51" w:rsidRDefault="00994F93" w:rsidP="00994F93">
      <w:pPr>
        <w:pStyle w:val="BodyText"/>
        <w:tabs>
          <w:tab w:val="left" w:pos="1126"/>
        </w:tabs>
        <w:spacing w:before="0"/>
        <w:ind w:left="284" w:firstLine="0"/>
        <w:jc w:val="both"/>
        <w:rPr>
          <w:rFonts w:ascii="Times New Roman" w:hAnsi="Times New Roman" w:cs="Times New Roman"/>
          <w:noProof/>
          <w:sz w:val="24"/>
        </w:rPr>
      </w:pPr>
    </w:p>
    <w:p w14:paraId="0EA8B5E7" w14:textId="77777777" w:rsidR="00994F93" w:rsidRPr="00B03B51" w:rsidRDefault="00994F93" w:rsidP="00994F93">
      <w:pPr>
        <w:pStyle w:val="BodyText"/>
        <w:tabs>
          <w:tab w:val="left" w:pos="1126"/>
        </w:tabs>
        <w:spacing w:before="0"/>
        <w:ind w:left="284" w:firstLine="0"/>
        <w:jc w:val="both"/>
        <w:rPr>
          <w:rFonts w:ascii="Times New Roman" w:hAnsi="Times New Roman" w:cs="Times New Roman"/>
          <w:noProof/>
          <w:sz w:val="24"/>
        </w:rPr>
      </w:pPr>
      <w:r w:rsidRPr="00B03B51">
        <w:rPr>
          <w:rFonts w:ascii="Times New Roman" w:hAnsi="Times New Roman" w:cs="Times New Roman"/>
          <w:sz w:val="24"/>
        </w:rPr>
        <w:t>b) Ja vienība ir pareizi klasificēta kā tirgus vienība, rodas nākamais jautājums, proti, vai līdzvērtīgi un pretēji maksājumi ir jāvirza caur valdību (ko dēvē arī par pārvirzīšanu), lai apliecinātu, ka daži no vienības darījumiem ir veikti valdības vārdā. Piemēram, to var attiecināt uz jebkādiem neatlīdzināmiem maksājumiem (piemēram, subsīdijām), ko veic citām vienībām – tie tiktu ierakstīti kā valdības veikti maksājumi ar korekciju attiecībā uz citiem darījumiem starp vienību un valdību, lai līdzsvarotu kontus.</w:t>
      </w:r>
    </w:p>
    <w:p w14:paraId="79570C8C" w14:textId="77777777" w:rsidR="00994F93" w:rsidRPr="00B03B51" w:rsidRDefault="00994F93" w:rsidP="00994F93">
      <w:pPr>
        <w:pStyle w:val="BodyText"/>
        <w:tabs>
          <w:tab w:val="left" w:pos="1126"/>
        </w:tabs>
        <w:spacing w:before="0"/>
        <w:ind w:left="284" w:firstLine="0"/>
        <w:jc w:val="both"/>
        <w:rPr>
          <w:rFonts w:ascii="Times New Roman" w:hAnsi="Times New Roman" w:cs="Times New Roman"/>
          <w:noProof/>
          <w:sz w:val="24"/>
        </w:rPr>
      </w:pPr>
    </w:p>
    <w:p w14:paraId="1B894874" w14:textId="77777777" w:rsidR="00994F93" w:rsidRPr="00B03B51" w:rsidRDefault="00994F93" w:rsidP="00994F93">
      <w:pPr>
        <w:pStyle w:val="BodyText"/>
        <w:tabs>
          <w:tab w:val="left" w:pos="1126"/>
        </w:tabs>
        <w:spacing w:before="0"/>
        <w:ind w:left="284" w:firstLine="0"/>
        <w:jc w:val="both"/>
        <w:rPr>
          <w:rFonts w:ascii="Times New Roman" w:hAnsi="Times New Roman" w:cs="Times New Roman"/>
          <w:noProof/>
          <w:sz w:val="24"/>
        </w:rPr>
      </w:pPr>
      <w:r w:rsidRPr="00B03B51">
        <w:rPr>
          <w:rFonts w:ascii="Times New Roman" w:hAnsi="Times New Roman" w:cs="Times New Roman"/>
          <w:sz w:val="24"/>
        </w:rPr>
        <w:t>c) Pārvirzīšana var būt piemērota netiešas privatizācijas gadījumos, kad ieņēmumus patur publiska sabiedrība, lai finansētu citām vienībām veiktus neatlīdzināmos maksājumus (skat. 5.2. nodaļu “Finanšu un nefinanšu aktīvu pārdošana”) vai lai finansētu vienības darbības, kas rada zaudējumus, saskaņā ar valdības norādījumiem kā daļu no valdības ekonomikas un sociālās politikas (sabiedrības, kuras veic noteiktu ārpustirgus darbību). Šādos gadījumos maksājumus, kas pārvirzīti caur valdību, uzrāda kā tādus, kurus finansē no maksājumiem, ko publiska vienība veic valdībai par netiešu privatizāciju.</w:t>
      </w:r>
    </w:p>
    <w:p w14:paraId="7CAD4BB3" w14:textId="77777777" w:rsidR="00994F93" w:rsidRPr="00B03B51" w:rsidRDefault="00994F93" w:rsidP="00994F93">
      <w:pPr>
        <w:pStyle w:val="BodyText"/>
        <w:tabs>
          <w:tab w:val="left" w:pos="1126"/>
        </w:tabs>
        <w:spacing w:before="0"/>
        <w:ind w:left="284" w:firstLine="0"/>
        <w:jc w:val="both"/>
        <w:rPr>
          <w:rFonts w:ascii="Times New Roman" w:hAnsi="Times New Roman" w:cs="Times New Roman"/>
          <w:noProof/>
          <w:sz w:val="24"/>
        </w:rPr>
      </w:pPr>
    </w:p>
    <w:p w14:paraId="1F3E0FC2" w14:textId="77777777" w:rsidR="00994F93" w:rsidRPr="00B03B51" w:rsidRDefault="00994F93" w:rsidP="00994F93">
      <w:pPr>
        <w:pStyle w:val="BodyText"/>
        <w:tabs>
          <w:tab w:val="left" w:pos="1126"/>
        </w:tabs>
        <w:spacing w:before="0"/>
        <w:ind w:left="284" w:firstLine="0"/>
        <w:jc w:val="both"/>
        <w:rPr>
          <w:rFonts w:ascii="Times New Roman" w:hAnsi="Times New Roman" w:cs="Times New Roman"/>
          <w:noProof/>
          <w:sz w:val="24"/>
        </w:rPr>
      </w:pPr>
      <w:r w:rsidRPr="00B03B51">
        <w:rPr>
          <w:rFonts w:ascii="Times New Roman" w:hAnsi="Times New Roman" w:cs="Times New Roman"/>
          <w:sz w:val="24"/>
        </w:rPr>
        <w:t>d) Klasificējot darījumu nacionālajos kontos, nosaukums, kas darījumam piešķirts publiskajos kontos vai uzņēmumu grāmatvedībā, nav obligāti jāņem vērā. Piemēram, dažos konkrētos gadījumos to, ko nodokļu tiesību aktos dēvē par nodokli vai par dividendi sabiedrību kontos, nacionālajos kontos būtu atbilstošāk ierakstīt kā finanšu darījumu.</w:t>
      </w:r>
    </w:p>
    <w:p w14:paraId="2AEF5786" w14:textId="77777777" w:rsidR="00994F93" w:rsidRPr="00B03B51" w:rsidRDefault="00994F93" w:rsidP="00994F93">
      <w:pPr>
        <w:pStyle w:val="BodyText"/>
        <w:tabs>
          <w:tab w:val="left" w:pos="1126"/>
        </w:tabs>
        <w:spacing w:before="0"/>
        <w:ind w:left="284" w:firstLine="0"/>
        <w:jc w:val="both"/>
        <w:rPr>
          <w:rFonts w:ascii="Times New Roman" w:hAnsi="Times New Roman" w:cs="Times New Roman"/>
          <w:noProof/>
          <w:sz w:val="24"/>
        </w:rPr>
      </w:pPr>
    </w:p>
    <w:p w14:paraId="3AFD858C" w14:textId="77777777" w:rsidR="00994F93" w:rsidRPr="00B03B51" w:rsidRDefault="00994F93" w:rsidP="00994F93">
      <w:pPr>
        <w:pStyle w:val="BodyText"/>
        <w:tabs>
          <w:tab w:val="left" w:pos="1126"/>
        </w:tabs>
        <w:spacing w:before="0"/>
        <w:ind w:left="284" w:firstLine="0"/>
        <w:jc w:val="both"/>
        <w:rPr>
          <w:rFonts w:ascii="Times New Roman" w:hAnsi="Times New Roman" w:cs="Times New Roman"/>
          <w:noProof/>
          <w:sz w:val="24"/>
        </w:rPr>
      </w:pPr>
      <w:r w:rsidRPr="00B03B51">
        <w:rPr>
          <w:rFonts w:ascii="Times New Roman" w:hAnsi="Times New Roman" w:cs="Times New Roman"/>
          <w:sz w:val="24"/>
        </w:rPr>
        <w:t>e) No otras puses, dažas plūsmas, kuru juridiskais nosaukums ir ieguldījums pašu kapitālā, nacionālajos kontos var klasificēt kā kapitāla pārvedumus vai nu tāpēc, ka no ieguldījumiem pašu kapitālā patiesībā netiek gaidīts nekāds ekonomiskais ieguvums (piemēram, palielinātas dividendes), vai tāpēc, ka šis ieguvums ir saistīts ar pamatlīdzekļu iegādi (un tādēļ to uzskata par ieguldījumu dotāciju). Šajā saistībā ir svarīgi nošķirt no citiem maksājumu veidiem plūsmas, kas ienākumus novirza no valsts komercsabiedrībām valdībai. Šādas ienākumu novirzīšanas plūsmas neapšaubāmi jāklasificē kā nefinanšu darījumi. Otrajā kategorijā jo īpaši ietilpst lieli maksājumi, ko publiskās sabiedrības ir veikušas no aktīvu pārdošanas ieņēmumiem. Tie jāklasificē kā finanšu darījumi (skat. lēmumu pieņemšanas shēmu 3.2. nodaļā “Kapitāla iepludināšana publiskās sabiedrībās”).</w:t>
      </w:r>
    </w:p>
    <w:p w14:paraId="2AF92BD8" w14:textId="77777777" w:rsidR="00994F93" w:rsidRPr="00B03B51" w:rsidRDefault="00994F93" w:rsidP="00994F93">
      <w:pPr>
        <w:pStyle w:val="BodyText"/>
        <w:tabs>
          <w:tab w:val="left" w:pos="1126"/>
        </w:tabs>
        <w:spacing w:before="0"/>
        <w:ind w:left="284" w:firstLine="0"/>
        <w:jc w:val="both"/>
        <w:rPr>
          <w:rFonts w:ascii="Times New Roman" w:hAnsi="Times New Roman" w:cs="Times New Roman"/>
          <w:noProof/>
          <w:sz w:val="24"/>
        </w:rPr>
      </w:pPr>
    </w:p>
    <w:p w14:paraId="3413CB18" w14:textId="77777777" w:rsidR="00994F93" w:rsidRPr="00B03B51" w:rsidRDefault="00994F93" w:rsidP="00994F93">
      <w:pPr>
        <w:pStyle w:val="BodyText"/>
        <w:tabs>
          <w:tab w:val="left" w:pos="1126"/>
        </w:tabs>
        <w:spacing w:before="0"/>
        <w:ind w:left="284" w:firstLine="0"/>
        <w:jc w:val="both"/>
        <w:rPr>
          <w:rFonts w:ascii="Times New Roman" w:hAnsi="Times New Roman" w:cs="Times New Roman"/>
          <w:noProof/>
          <w:sz w:val="24"/>
        </w:rPr>
      </w:pPr>
      <w:r w:rsidRPr="00B03B51">
        <w:rPr>
          <w:rFonts w:ascii="Times New Roman" w:hAnsi="Times New Roman" w:cs="Times New Roman"/>
          <w:sz w:val="24"/>
        </w:rPr>
        <w:t>f) Kopumā principus, kas attiecas uz darījumiem starp vispārējo valdību un publiskām sabiedrībām, piemēro arī attiecībā uz darījumiem starp valdību un privātajām sabiedrībām, kā arī starp valdību un citām valdībām. Daži privātie uzņēmumi var būt “pārāk lieli, lai sabruktu”, vai arī tiem var būt izšķirīga nozīme tautsaimniecībā, piemēram, tiem pieder vai to lietošanā atrodas svarīga infrastruktūra un komunālā saimniecība, tāpēc valdība ir spiesta turpināt nodrošināt šādu uzņēmumu pastāvēšanu, kārtojot ar tiem darījumus. Šādos gadījumos maksājumus šiem uzņēmumiem, kurus uzrāda kā finanšu darījumus (kapitāla vai pašu kapitāla iepludināšana), ekonomikas izpratnē var uzskatīt par dotācijām.</w:t>
      </w:r>
    </w:p>
    <w:p w14:paraId="76633873" w14:textId="77777777" w:rsidR="00994F93" w:rsidRPr="00B03B51" w:rsidRDefault="00994F93" w:rsidP="00994F93">
      <w:pPr>
        <w:rPr>
          <w:rFonts w:ascii="Times New Roman" w:hAnsi="Times New Roman" w:cs="Times New Roman"/>
          <w:noProof/>
          <w:sz w:val="24"/>
        </w:rPr>
      </w:pPr>
      <w:r w:rsidRPr="00B03B51">
        <w:rPr>
          <w:rFonts w:ascii="Times New Roman" w:hAnsi="Times New Roman" w:cs="Times New Roman"/>
        </w:rPr>
        <w:br w:type="page"/>
      </w:r>
    </w:p>
    <w:p w14:paraId="577980B9" w14:textId="77777777" w:rsidR="00994F93" w:rsidRPr="00B03B51" w:rsidRDefault="00994F93" w:rsidP="00994F93">
      <w:pPr>
        <w:jc w:val="both"/>
        <w:rPr>
          <w:rFonts w:ascii="Times New Roman" w:eastAsia="Arial" w:hAnsi="Times New Roman" w:cs="Times New Roman"/>
          <w:noProof/>
          <w:sz w:val="24"/>
          <w:szCs w:val="18"/>
        </w:rPr>
      </w:pPr>
    </w:p>
    <w:p w14:paraId="6B4C173D" w14:textId="77777777" w:rsidR="00994F93" w:rsidRPr="00B03B51" w:rsidRDefault="00994F93" w:rsidP="00994F93">
      <w:pPr>
        <w:pStyle w:val="Heading2"/>
        <w:tabs>
          <w:tab w:val="left" w:pos="1267"/>
        </w:tabs>
        <w:spacing w:before="0"/>
        <w:ind w:left="0" w:firstLine="0"/>
        <w:jc w:val="both"/>
        <w:rPr>
          <w:rFonts w:ascii="Times New Roman" w:hAnsi="Times New Roman" w:cs="Times New Roman"/>
          <w:noProof/>
          <w:sz w:val="28"/>
          <w:szCs w:val="44"/>
        </w:rPr>
      </w:pPr>
      <w:bookmarkStart w:id="196" w:name="3.2_Capital_injections_into_public_corpo"/>
      <w:bookmarkStart w:id="197" w:name="_bookmark22"/>
      <w:bookmarkStart w:id="198" w:name="_Toc67565084"/>
      <w:bookmarkEnd w:id="196"/>
      <w:bookmarkEnd w:id="197"/>
      <w:r w:rsidRPr="00B03B51">
        <w:rPr>
          <w:rFonts w:ascii="Times New Roman" w:hAnsi="Times New Roman" w:cs="Times New Roman"/>
          <w:sz w:val="28"/>
          <w:szCs w:val="44"/>
        </w:rPr>
        <w:t>3.2. Kapitāla iepludināšana publiskās sabiedrībās</w:t>
      </w:r>
      <w:bookmarkEnd w:id="198"/>
    </w:p>
    <w:p w14:paraId="61247DCA" w14:textId="77777777" w:rsidR="00994F93" w:rsidRPr="00100B51" w:rsidRDefault="00994F93" w:rsidP="00100B51">
      <w:pPr>
        <w:rPr>
          <w:rFonts w:ascii="Times New Roman" w:hAnsi="Times New Roman" w:cs="Times New Roman"/>
          <w:noProof/>
          <w:sz w:val="24"/>
          <w:szCs w:val="24"/>
        </w:rPr>
      </w:pPr>
      <w:bookmarkStart w:id="199" w:name="3.2.1_Background"/>
      <w:bookmarkEnd w:id="199"/>
    </w:p>
    <w:p w14:paraId="4FFA8752" w14:textId="77777777" w:rsidR="00994F93" w:rsidRPr="00B03B51" w:rsidRDefault="00994F93" w:rsidP="00994F93">
      <w:pPr>
        <w:pStyle w:val="Heading3"/>
        <w:tabs>
          <w:tab w:val="left" w:pos="1267"/>
        </w:tabs>
        <w:ind w:left="0" w:firstLine="0"/>
        <w:jc w:val="both"/>
        <w:rPr>
          <w:rFonts w:ascii="Times New Roman" w:hAnsi="Times New Roman" w:cs="Times New Roman"/>
          <w:noProof/>
          <w:sz w:val="24"/>
        </w:rPr>
      </w:pPr>
      <w:bookmarkStart w:id="200" w:name="_Toc67565085"/>
      <w:r w:rsidRPr="00B03B51">
        <w:rPr>
          <w:rFonts w:ascii="Times New Roman" w:hAnsi="Times New Roman" w:cs="Times New Roman"/>
          <w:sz w:val="24"/>
        </w:rPr>
        <w:t>3.2.1. Vispārīga informācija</w:t>
      </w:r>
      <w:bookmarkEnd w:id="200"/>
    </w:p>
    <w:p w14:paraId="592645EE"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2C559FF1"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 Analītiķi plašsaziņas līdzekļos par “kapitāla iepludināšanu” publiskā sabiedrībā parasti runā, ja sabiedrībai ir sniegts ievērojams finansiāls atbalsts, cenšoties kapitalizēt vai rekapitalizēt sabiedrību.</w:t>
      </w:r>
    </w:p>
    <w:p w14:paraId="6BE5AA47"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64C25BCE" w14:textId="2B888B76"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 xml:space="preserve">2. EKS 2010 un SNA 2008 tiek izmantots vispārējs apzīmējums “kapitāla iepludināšana”, un tāpat kā plašsaziņas līdzekļos to var attiecināt uz dažādiem maksājumu veidiem, ko valdība veic publiskai sabiedrībai un ko nacionālajos kontos klasificē dažādās kategorijās kā kapitāla pārvedumus vai finanšu darījumus. Piemēram, šī terminoloģija ietver darījumus, kurus publiskajos kontos varētu norādīt kā ieguldījumu dotācijas, kapitāla dotācijas, parāda apkalpošanas dotācijas, aizdevumus un ieguldījumus pašu kapitālā, akciju kapitāla iegādi. Par kapitāla iepludināšanu var uzskatīt arī citas atbalsta formas, piemēram, parāda uzņemšanos, </w:t>
      </w:r>
      <w:r w:rsidR="00AE7172" w:rsidRPr="00B03B51">
        <w:rPr>
          <w:rFonts w:ascii="Times New Roman" w:hAnsi="Times New Roman" w:cs="Times New Roman"/>
          <w:sz w:val="24"/>
        </w:rPr>
        <w:t>anulēšanu</w:t>
      </w:r>
      <w:r w:rsidRPr="00B03B51">
        <w:rPr>
          <w:rFonts w:ascii="Times New Roman" w:hAnsi="Times New Roman" w:cs="Times New Roman"/>
          <w:sz w:val="24"/>
        </w:rPr>
        <w:t xml:space="preserve"> un pārstrukturizāciju (skat. 7.2. nodaļu “Parāda pārņemšana un parāda </w:t>
      </w:r>
      <w:r w:rsidR="00AE7172" w:rsidRPr="00B03B51">
        <w:rPr>
          <w:rFonts w:ascii="Times New Roman" w:hAnsi="Times New Roman" w:cs="Times New Roman"/>
          <w:sz w:val="24"/>
        </w:rPr>
        <w:t>anulēšana</w:t>
      </w:r>
      <w:r w:rsidRPr="00B03B51">
        <w:rPr>
          <w:rFonts w:ascii="Times New Roman" w:hAnsi="Times New Roman" w:cs="Times New Roman"/>
          <w:sz w:val="24"/>
        </w:rPr>
        <w:t>”).</w:t>
      </w:r>
    </w:p>
    <w:p w14:paraId="0F48CAFA"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769F83D3"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3. Maksājums no valdības, ko parasti dēvē par “kapitāla iepludināšanu”, jāieraksta nacionālajos kontos kā:</w:t>
      </w:r>
    </w:p>
    <w:p w14:paraId="60913FE5"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3F4D12FA" w14:textId="77777777" w:rsidR="00994F93" w:rsidRPr="00B03B51" w:rsidRDefault="00994F93" w:rsidP="008A7C35">
      <w:pPr>
        <w:pStyle w:val="BodyText"/>
        <w:numPr>
          <w:ilvl w:val="1"/>
          <w:numId w:val="6"/>
        </w:numPr>
        <w:spacing w:before="0"/>
        <w:ind w:left="426" w:hanging="425"/>
        <w:jc w:val="both"/>
        <w:rPr>
          <w:rFonts w:ascii="Times New Roman" w:hAnsi="Times New Roman" w:cs="Times New Roman"/>
          <w:noProof/>
          <w:sz w:val="24"/>
        </w:rPr>
      </w:pPr>
      <w:r w:rsidRPr="00B03B51">
        <w:rPr>
          <w:rFonts w:ascii="Times New Roman" w:hAnsi="Times New Roman" w:cs="Times New Roman"/>
          <w:sz w:val="24"/>
        </w:rPr>
        <w:t>finanšu darījumu – vispārīgā gadījumā tas attiecas uz pašu kapitāla palielināšanu, bet citos gadījumos – uz aizdevumiem vai vērtspapīriem, izņemot akcijas, kurus ieraksta finanšu kontos bez jebkādas ietekmes uz valdības neto aizdevumu/aizņēmumu (B.9); vai</w:t>
      </w:r>
    </w:p>
    <w:p w14:paraId="0ADDD20C" w14:textId="77777777" w:rsidR="00994F93" w:rsidRPr="00B03B51" w:rsidRDefault="00994F93" w:rsidP="008A7C35">
      <w:pPr>
        <w:pStyle w:val="BodyText"/>
        <w:numPr>
          <w:ilvl w:val="1"/>
          <w:numId w:val="6"/>
        </w:numPr>
        <w:spacing w:before="0"/>
        <w:ind w:left="426" w:hanging="425"/>
        <w:jc w:val="both"/>
        <w:rPr>
          <w:rFonts w:ascii="Times New Roman" w:hAnsi="Times New Roman" w:cs="Times New Roman"/>
          <w:noProof/>
          <w:sz w:val="24"/>
        </w:rPr>
      </w:pPr>
      <w:r w:rsidRPr="00B03B51">
        <w:rPr>
          <w:rFonts w:ascii="Times New Roman" w:hAnsi="Times New Roman" w:cs="Times New Roman"/>
          <w:sz w:val="24"/>
        </w:rPr>
        <w:t>nefinanšu darījumu – pieņemot, ka tas ir neatlīdzināms maksājums, tas būtu kapitāla pārvedums jeb valdības izdevumi ar negatīvu ietekmi uz neto aizdevumu/aizņēmumu (B.9).</w:t>
      </w:r>
    </w:p>
    <w:p w14:paraId="7ACFC5F0"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0FE96F24"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4. Retos gadījumos maksājumam var būt abu iepriekš minēto gadījumu pazīmes (skat. 3.2. nodaļas “Kapitāla iepludināšana publiskās sabiedrībās” 3.2.2. iedaļu “Traktējums nacionālajos kontos”).</w:t>
      </w:r>
    </w:p>
    <w:p w14:paraId="095981BC"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49D2D1FA"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5. Kapitāla iepludināšanu visbiežāk veic naudā, taču to var veikt arī natūrā. Šajā nodaļā ir apspriesta naudas iepludināšana. Iepludināšana natūrā ir apspriesta citā nodaļā (skat. 3.4. nodaļu “Kapitāla iepludināšana natūrā”). Iepludināšana natūrā ir ļoti īpašs gadījums, kas neatbilst dažām no naudas iepludināšanas (ko ieraksta kā finanšu darījumus) pazīmēm, jo īpaši tas attiecas uz noteiktu sabiedrības rīcības brīvību attiecībā uz iepludināto līdzekļu izlietojumu (skat. arī 3.2. nodaļas “Kapitāla iepludināšana publiskās sabiedrībās” 3.2.3. iedaļu “Traktējuma pamatojums”).</w:t>
      </w:r>
    </w:p>
    <w:p w14:paraId="37CE4501"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7F3A0164"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6. Šajā nodaļā ir apspriests tikai darījuma gadījums, t. i., ekonomiska plūsma, kas rodas divu institucionālu vienību mijiedarbībā pēc to savstarpējas vienošanās (vai darbība institucionālas vienības iekšienē, ko ir lietderīgi uzskatīt par darījumu; skat. EKS 2010 1.66. punktu). Tādējādi tiek izslēgts uzņēmuma pārstrukturizācijas gadījums, kas ietver aktīvu un saistību pārstrukturizāciju vai vienību pārklasificēšanu.</w:t>
      </w:r>
    </w:p>
    <w:p w14:paraId="6F5444D9"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0EE22BDA"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 xml:space="preserve">7. Šajā nodaļā ir apspriesta tikai valdības kapitāla iepludināšana publiskās sabiedrībās (kuras pieder (kaut vai tikai daļēji) vispārējai valdībai vai atrodas tās kontrolē), tostarp centrālajā bankā. Kapitāla iepludināšana publiskās kvazisabiedrībās ir apspriesta turpmāk 3.3. nodaļā. To var attiecināt arī uz kapitāla iepludināšanu valdības nekontrolētās sabiedrībās, ja pēc kapitāla </w:t>
      </w:r>
      <w:r w:rsidRPr="00B03B51">
        <w:rPr>
          <w:rFonts w:ascii="Times New Roman" w:hAnsi="Times New Roman" w:cs="Times New Roman"/>
          <w:sz w:val="24"/>
        </w:rPr>
        <w:lastRenderedPageBreak/>
        <w:t>iepludināšanas valdībai ir ievērojama ietekme sabiedrībā (kas pārsniedz jebkura cita privāta akcionāra ietekmi) vai tā šādu ietekmi iegūst.</w:t>
      </w:r>
    </w:p>
    <w:p w14:paraId="15B8F6C8"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73E00D0D"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8. Valdība veic kapitāla iepludināšanu arī publiskās un privātās finanšu iestādēs, jo īpaši saistībā ar finanšu krīzi, un dažos gadījumos šādi ieguldījumi sasniedz ievērojamu apmēru. Attiecībā uz šādu operāciju klasifikāciju piemēro tos pašus pamatprincipus. Tomēr ir jāņem vērā īpaši apsvērumi, jo attiecībā uz banku sektoru (tāpat kā attiecībā uz apdrošināšanas sektoru) piemēro īpašus noteikumus (piemēram, minimālā kapitāla pietiekamība), kurus nepiemēro attiecībā uz nefinanšu sabiedrībām.</w:t>
      </w:r>
      <w:r w:rsidRPr="00B03B51">
        <w:rPr>
          <w:rStyle w:val="FootnoteReference"/>
          <w:rFonts w:ascii="Times New Roman" w:hAnsi="Times New Roman" w:cs="Times New Roman"/>
          <w:noProof/>
          <w:sz w:val="24"/>
        </w:rPr>
        <w:footnoteReference w:id="145"/>
      </w:r>
    </w:p>
    <w:p w14:paraId="7561A6FA" w14:textId="77777777" w:rsidR="00994F93" w:rsidRPr="00B03B51" w:rsidRDefault="00994F93" w:rsidP="00994F93">
      <w:pPr>
        <w:jc w:val="both"/>
        <w:rPr>
          <w:rFonts w:ascii="Times New Roman" w:hAnsi="Times New Roman" w:cs="Times New Roman"/>
          <w:noProof/>
          <w:sz w:val="24"/>
        </w:rPr>
      </w:pPr>
    </w:p>
    <w:p w14:paraId="3E4FBD61" w14:textId="77777777" w:rsidR="00994F93" w:rsidRPr="00B03B51" w:rsidRDefault="00994F93" w:rsidP="00994F93">
      <w:pPr>
        <w:pStyle w:val="Heading3"/>
        <w:tabs>
          <w:tab w:val="left" w:pos="1267"/>
        </w:tabs>
        <w:ind w:left="0" w:firstLine="0"/>
        <w:jc w:val="both"/>
        <w:rPr>
          <w:rFonts w:ascii="Times New Roman" w:hAnsi="Times New Roman" w:cs="Times New Roman"/>
          <w:noProof/>
          <w:sz w:val="24"/>
        </w:rPr>
      </w:pPr>
      <w:bookmarkStart w:id="201" w:name="3.2.2_Treatment_in_national_accounts"/>
      <w:bookmarkStart w:id="202" w:name="_Toc67565086"/>
      <w:bookmarkEnd w:id="201"/>
      <w:r w:rsidRPr="00B03B51">
        <w:rPr>
          <w:rFonts w:ascii="Times New Roman" w:hAnsi="Times New Roman" w:cs="Times New Roman"/>
          <w:sz w:val="24"/>
        </w:rPr>
        <w:t>3.2.2. Traktējums nacionālajos kontos</w:t>
      </w:r>
      <w:bookmarkEnd w:id="202"/>
    </w:p>
    <w:p w14:paraId="1421161F" w14:textId="77777777" w:rsidR="00994F93" w:rsidRPr="00D460B8" w:rsidRDefault="00994F93" w:rsidP="00D460B8">
      <w:pPr>
        <w:rPr>
          <w:rFonts w:ascii="Times New Roman" w:hAnsi="Times New Roman" w:cs="Times New Roman"/>
          <w:noProof/>
          <w:sz w:val="24"/>
          <w:szCs w:val="24"/>
        </w:rPr>
      </w:pPr>
      <w:bookmarkStart w:id="203" w:name="3.2.2.1_General_principle"/>
      <w:bookmarkEnd w:id="203"/>
    </w:p>
    <w:p w14:paraId="545A5B9B" w14:textId="77777777" w:rsidR="00994F93" w:rsidRPr="00B03B51" w:rsidRDefault="00994F93" w:rsidP="00994F93">
      <w:pPr>
        <w:pStyle w:val="Heading6"/>
        <w:tabs>
          <w:tab w:val="left" w:pos="1267"/>
        </w:tabs>
        <w:ind w:left="0" w:firstLine="0"/>
        <w:jc w:val="both"/>
        <w:rPr>
          <w:rFonts w:ascii="Times New Roman" w:hAnsi="Times New Roman" w:cs="Times New Roman"/>
          <w:noProof/>
          <w:sz w:val="24"/>
        </w:rPr>
      </w:pPr>
      <w:r w:rsidRPr="00B03B51">
        <w:rPr>
          <w:rFonts w:ascii="Times New Roman" w:hAnsi="Times New Roman" w:cs="Times New Roman"/>
          <w:sz w:val="24"/>
        </w:rPr>
        <w:t>3.2.2.1. VISPĀRĪGS PRINCIPS</w:t>
      </w:r>
    </w:p>
    <w:p w14:paraId="297939ED"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2AB0132A"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9. Turpmāk izklāstīts vispārīgs princips, kuru dēvē arī par “kapitāla iepludināšanas testu”.</w:t>
      </w:r>
    </w:p>
    <w:p w14:paraId="3FDBF279" w14:textId="77777777" w:rsidR="00994F93" w:rsidRPr="00B03B51" w:rsidRDefault="00994F93" w:rsidP="00994F93">
      <w:pPr>
        <w:jc w:val="both"/>
        <w:rPr>
          <w:rFonts w:ascii="Times New Roman" w:eastAsia="Arial" w:hAnsi="Times New Roman" w:cs="Times New Roman"/>
          <w:noProof/>
          <w:sz w:val="24"/>
          <w:szCs w:val="14"/>
        </w:rPr>
      </w:pPr>
    </w:p>
    <w:p w14:paraId="73F1D8FB" w14:textId="77777777" w:rsidR="00994F93" w:rsidRPr="00B03B51" w:rsidRDefault="00994F93" w:rsidP="008A7C35">
      <w:pPr>
        <w:pStyle w:val="BodyText"/>
        <w:numPr>
          <w:ilvl w:val="1"/>
          <w:numId w:val="6"/>
        </w:numPr>
        <w:spacing w:before="0"/>
        <w:ind w:left="426" w:hanging="425"/>
        <w:jc w:val="both"/>
        <w:rPr>
          <w:rFonts w:ascii="Times New Roman" w:hAnsi="Times New Roman" w:cs="Times New Roman"/>
          <w:noProof/>
          <w:sz w:val="24"/>
        </w:rPr>
      </w:pPr>
      <w:r w:rsidRPr="00B03B51">
        <w:rPr>
          <w:rFonts w:ascii="Times New Roman" w:hAnsi="Times New Roman" w:cs="Times New Roman"/>
          <w:sz w:val="24"/>
        </w:rPr>
        <w:t>Ja valdība, rīkojoties tādā pašā statusā kā privāts akcionārs, nodrošina līdzekļus, atbilstoši līgumam saņemot kaut ko pretī (parasti tādus finanšu instrumentus kā akcijas vai parāda vērtspapīrus) tādā pašā vērtībā un cerot nopelnīt pietiekamu peļņas normu no sava ieguldījuma (galvenokārt dividenžu un procentu formā) un uz augstāku tā finanšu instrumenta vērtību, kas apliecina valdības īpašumtiesības uz sabiedrību, kapitāla iepludināšanu ieraksta kā finanšu darījumu ar akcijām un citu pašu kapitālu (skat. arī 3.2.3. iedaļas “Traktējuma pamatojums” 2. ierāmējumu). Nacionālo kontu izpratnē šāds finanšu darījums nekādi neietekmē valdības neto aizņēmumu/aizdevumu (B.9).</w:t>
      </w:r>
    </w:p>
    <w:p w14:paraId="201E0AE6" w14:textId="77777777" w:rsidR="00994F93" w:rsidRPr="00B03B51" w:rsidRDefault="00994F93" w:rsidP="008A7C35">
      <w:pPr>
        <w:pStyle w:val="BodyText"/>
        <w:numPr>
          <w:ilvl w:val="1"/>
          <w:numId w:val="6"/>
        </w:numPr>
        <w:spacing w:before="0"/>
        <w:ind w:left="426" w:hanging="425"/>
        <w:jc w:val="both"/>
        <w:rPr>
          <w:rFonts w:ascii="Times New Roman" w:hAnsi="Times New Roman" w:cs="Times New Roman"/>
          <w:noProof/>
          <w:sz w:val="24"/>
        </w:rPr>
      </w:pPr>
      <w:r w:rsidRPr="00B03B51">
        <w:rPr>
          <w:rFonts w:ascii="Times New Roman" w:hAnsi="Times New Roman" w:cs="Times New Roman"/>
          <w:sz w:val="24"/>
        </w:rPr>
        <w:t>Bieži valdība pārvalda līdzekļus ar nolūku sasniegt sociālās vai kopējās politikas mērķus, kuru īstenošanai var nebūt pieejams privātais kapitāls, nevis ar mērķi iegūt ienesīgus aktīvus (kā to dara privātie akcionāri). Šāda rīcība ir aktīvu pārvaldība ar nolūku īstenot valsts politikas mērķus. Tāpēc kapitāla iepludināšana ir jāieraksta kā kapitāla pārvedums, ja līdzekļi ir piešķirti vienā no šādiem gadījumiem:</w:t>
      </w:r>
    </w:p>
    <w:p w14:paraId="3B94DAD1" w14:textId="77777777" w:rsidR="00994F93" w:rsidRPr="00B03B51" w:rsidRDefault="00994F93" w:rsidP="008A7C35">
      <w:pPr>
        <w:pStyle w:val="BodyText"/>
        <w:numPr>
          <w:ilvl w:val="2"/>
          <w:numId w:val="6"/>
        </w:numPr>
        <w:spacing w:before="0"/>
        <w:ind w:left="851" w:hanging="425"/>
        <w:jc w:val="both"/>
        <w:rPr>
          <w:rFonts w:ascii="Times New Roman" w:hAnsi="Times New Roman" w:cs="Times New Roman"/>
          <w:noProof/>
          <w:sz w:val="24"/>
        </w:rPr>
      </w:pPr>
      <w:r w:rsidRPr="00B03B51">
        <w:rPr>
          <w:rFonts w:ascii="Times New Roman" w:hAnsi="Times New Roman" w:cs="Times New Roman"/>
          <w:sz w:val="24"/>
        </w:rPr>
        <w:t>līdzekļi ir piešķirti, apmaiņā nesaņemot neko ar tādu pašu vērtību;</w:t>
      </w:r>
    </w:p>
    <w:p w14:paraId="589B65C8" w14:textId="77777777" w:rsidR="00994F93" w:rsidRPr="00B03B51" w:rsidRDefault="00994F93" w:rsidP="008A7C35">
      <w:pPr>
        <w:pStyle w:val="BodyText"/>
        <w:numPr>
          <w:ilvl w:val="2"/>
          <w:numId w:val="6"/>
        </w:numPr>
        <w:spacing w:before="0"/>
        <w:ind w:left="851" w:hanging="425"/>
        <w:jc w:val="both"/>
        <w:rPr>
          <w:rFonts w:ascii="Times New Roman" w:hAnsi="Times New Roman" w:cs="Times New Roman"/>
          <w:noProof/>
          <w:sz w:val="24"/>
        </w:rPr>
      </w:pPr>
      <w:r w:rsidRPr="00B03B51">
        <w:rPr>
          <w:rFonts w:ascii="Times New Roman" w:hAnsi="Times New Roman" w:cs="Times New Roman"/>
          <w:sz w:val="24"/>
        </w:rPr>
        <w:t>līdzekļi ir piešķirti, negaidot pietiekamu peļņas normu no ieguldījuma;</w:t>
      </w:r>
    </w:p>
    <w:p w14:paraId="5C9C8C09" w14:textId="77777777" w:rsidR="00994F93" w:rsidRPr="00B03B51" w:rsidRDefault="00994F93" w:rsidP="008A7C35">
      <w:pPr>
        <w:pStyle w:val="BodyText"/>
        <w:numPr>
          <w:ilvl w:val="2"/>
          <w:numId w:val="6"/>
        </w:numPr>
        <w:spacing w:before="0"/>
        <w:ind w:left="851" w:hanging="425"/>
        <w:jc w:val="both"/>
        <w:rPr>
          <w:rFonts w:ascii="Times New Roman" w:hAnsi="Times New Roman" w:cs="Times New Roman"/>
          <w:noProof/>
          <w:sz w:val="24"/>
        </w:rPr>
      </w:pPr>
      <w:r w:rsidRPr="00B03B51">
        <w:rPr>
          <w:rFonts w:ascii="Times New Roman" w:hAnsi="Times New Roman" w:cs="Times New Roman"/>
          <w:sz w:val="24"/>
        </w:rPr>
        <w:t>līdzekļi ir piešķirti sabiedrībai, kas nesenā pagātnē ir cietusi zaudējumus.</w:t>
      </w:r>
    </w:p>
    <w:p w14:paraId="7CB52210"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4BE8B620"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szCs w:val="12"/>
        </w:rPr>
      </w:pPr>
      <w:r w:rsidRPr="00B03B51">
        <w:rPr>
          <w:rFonts w:ascii="Times New Roman" w:hAnsi="Times New Roman" w:cs="Times New Roman"/>
          <w:sz w:val="24"/>
        </w:rPr>
        <w:t>10. Kapitāla iepludināšana, kuru ieraksta kā kapitāla pārvedumu (nefinanšu darījumu), ietekmē valdības neto aizdevumu/aizņēmumu (B.9), t. i., palielinās deficīts vai samazinās pārpalikums). Valdības neto vērtības iespējamās pārmaiņas būs atkarīgas no tā, vai kapitāla iepludināšana rada pamatu sabiedrības aktīvu pārvērtēšanai (atšķirība starp aktīvu novērtēšanu saskaņā ar “darbības turpināšanas” principu un “darbības neturpināšanas” principu). Attiecīgi palielināsies valdības pašu kapitāla aktīvu vērtība. Ņemot vērā valdības specifiku, pietiekamai prognozētajai peļņas normai no ieguldītajiem līdzekļiem (skat. arī 3.2.3. iedaļas “Traktējuma pamatojums” 2. ierāmējumu) būtu vismaz jāatbilst ilgtermiņa (10 gadu)</w:t>
      </w:r>
      <w:r w:rsidRPr="00B03B51">
        <w:rPr>
          <w:rStyle w:val="FootnoteReference"/>
          <w:rFonts w:ascii="Times New Roman" w:hAnsi="Times New Roman" w:cs="Times New Roman"/>
          <w:noProof/>
          <w:sz w:val="24"/>
        </w:rPr>
        <w:footnoteReference w:id="146"/>
      </w:r>
      <w:r w:rsidRPr="00B03B51">
        <w:rPr>
          <w:rFonts w:ascii="Times New Roman" w:hAnsi="Times New Roman" w:cs="Times New Roman"/>
          <w:sz w:val="24"/>
        </w:rPr>
        <w:t xml:space="preserve"> valsts obligāciju likmēm</w:t>
      </w:r>
      <w:r w:rsidRPr="00B03B51">
        <w:rPr>
          <w:rStyle w:val="FootnoteReference"/>
          <w:rFonts w:ascii="Times New Roman" w:hAnsi="Times New Roman" w:cs="Times New Roman"/>
          <w:noProof/>
          <w:sz w:val="24"/>
        </w:rPr>
        <w:footnoteReference w:id="147"/>
      </w:r>
      <w:r w:rsidRPr="00B03B51">
        <w:rPr>
          <w:rFonts w:ascii="Times New Roman" w:hAnsi="Times New Roman" w:cs="Times New Roman"/>
          <w:sz w:val="24"/>
        </w:rPr>
        <w:t xml:space="preserve"> vai atsevišķos gadījumos (jo īpaši, kad valdība veic ieguldījumus kopā ar citiem ieguldītājiem) ar risku koriģētajām minimālajām peļņas normām (kas parasti tiek dēvētas par pašu kapitāla atdevi), kuras privāti ieguldītāji parasti pieprasa no līdzīgiem ieguldījumiem pašu kapitālā tajā </w:t>
      </w:r>
      <w:r w:rsidRPr="00B03B51">
        <w:rPr>
          <w:rFonts w:ascii="Times New Roman" w:hAnsi="Times New Roman" w:cs="Times New Roman"/>
          <w:sz w:val="24"/>
        </w:rPr>
        <w:lastRenderedPageBreak/>
        <w:t>pašā darbības sektorā.</w:t>
      </w:r>
      <w:r w:rsidRPr="00B03B51">
        <w:rPr>
          <w:rStyle w:val="FootnoteReference"/>
          <w:rFonts w:ascii="Times New Roman" w:hAnsi="Times New Roman" w:cs="Times New Roman"/>
          <w:noProof/>
          <w:sz w:val="24"/>
        </w:rPr>
        <w:footnoteReference w:id="148"/>
      </w:r>
    </w:p>
    <w:p w14:paraId="399FBC46"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40068A51"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11. Kopumā turpmākos nosacījumus iespējams īstenot vienīgi tad, ja katrs gadījums tiek analizēts atsevišķi, pamatojoties uz pieejamo informāciju. Lai veiktu šādu analīzi, kā darbības norādījumi ir jāizskata turpmākie pamatjautājumi.</w:t>
      </w:r>
    </w:p>
    <w:p w14:paraId="55F52ACE"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3977F176" w14:textId="77777777" w:rsidR="00994F93" w:rsidRPr="00B03B51" w:rsidRDefault="00994F93" w:rsidP="008A7C35">
      <w:pPr>
        <w:pStyle w:val="BodyText"/>
        <w:numPr>
          <w:ilvl w:val="1"/>
          <w:numId w:val="6"/>
        </w:numPr>
        <w:spacing w:before="0"/>
        <w:ind w:left="426" w:hanging="425"/>
        <w:jc w:val="both"/>
        <w:rPr>
          <w:rFonts w:ascii="Times New Roman" w:hAnsi="Times New Roman" w:cs="Times New Roman"/>
          <w:noProof/>
          <w:sz w:val="24"/>
        </w:rPr>
      </w:pPr>
      <w:r w:rsidRPr="00B03B51">
        <w:rPr>
          <w:rFonts w:ascii="Times New Roman" w:hAnsi="Times New Roman" w:cs="Times New Roman"/>
          <w:sz w:val="24"/>
        </w:rPr>
        <w:t>Vai valdība rīkojas viena (iespējams, kopā ar vienu vai vairākām publiskām sabiedrībām, kuru dalība ir maznozīmīga) vai kopā ar privātiem akcionāriem (kā noteikts EKS 2010 2. nodaļā “Vienības un vienību grupējumi”), kuri piedalās iepludināšanā?</w:t>
      </w:r>
    </w:p>
    <w:p w14:paraId="4977006D" w14:textId="77777777" w:rsidR="00994F93" w:rsidRPr="00B03B51" w:rsidRDefault="00994F93" w:rsidP="008A7C35">
      <w:pPr>
        <w:pStyle w:val="BodyText"/>
        <w:numPr>
          <w:ilvl w:val="1"/>
          <w:numId w:val="6"/>
        </w:numPr>
        <w:spacing w:before="0"/>
        <w:ind w:left="426" w:hanging="425"/>
        <w:jc w:val="both"/>
        <w:rPr>
          <w:rFonts w:ascii="Times New Roman" w:hAnsi="Times New Roman" w:cs="Times New Roman"/>
          <w:noProof/>
          <w:sz w:val="24"/>
          <w:szCs w:val="12"/>
        </w:rPr>
      </w:pPr>
      <w:r w:rsidRPr="00B03B51">
        <w:rPr>
          <w:rFonts w:ascii="Times New Roman" w:hAnsi="Times New Roman" w:cs="Times New Roman"/>
          <w:sz w:val="24"/>
        </w:rPr>
        <w:t>Vai publiskā sabiedrība (un dažos gadījumos, iespējams, arī privātā sabiedrība</w:t>
      </w:r>
      <w:r w:rsidRPr="00B03B51">
        <w:rPr>
          <w:rStyle w:val="FootnoteReference"/>
          <w:rFonts w:ascii="Times New Roman" w:hAnsi="Times New Roman" w:cs="Times New Roman"/>
          <w:noProof/>
          <w:sz w:val="24"/>
        </w:rPr>
        <w:footnoteReference w:id="149"/>
      </w:r>
      <w:r w:rsidRPr="00B03B51">
        <w:rPr>
          <w:rFonts w:ascii="Times New Roman" w:hAnsi="Times New Roman" w:cs="Times New Roman"/>
          <w:sz w:val="24"/>
        </w:rPr>
        <w:t>) ir uzkrājusi neto zaudējumus vairāku gadu laikā vai pēdējās darbības laikā (ko dēvē par “vienreizēju zaudējumu” pretstatā “ārkārtas zaudējumiem”), kas ierakstīti atbilstīgi nacionālajiem kontiem (piemēram, neto uzkrājumi) atbilstīgi vispārpieņemtam uzskaites principam, vai pamatojoties uz citiem pierādījumiem, piemēram, uz negatīvu tendenci pašas sabiedrības finanšu līdzekļos?</w:t>
      </w:r>
      <w:r w:rsidRPr="00B03B51">
        <w:rPr>
          <w:rStyle w:val="FootnoteReference"/>
          <w:rFonts w:ascii="Times New Roman" w:hAnsi="Times New Roman" w:cs="Times New Roman"/>
          <w:noProof/>
          <w:sz w:val="24"/>
        </w:rPr>
        <w:footnoteReference w:id="150"/>
      </w:r>
    </w:p>
    <w:p w14:paraId="75583727" w14:textId="77777777" w:rsidR="00994F93" w:rsidRPr="00B03B51" w:rsidRDefault="00994F93" w:rsidP="008A7C35">
      <w:pPr>
        <w:pStyle w:val="BodyText"/>
        <w:numPr>
          <w:ilvl w:val="1"/>
          <w:numId w:val="6"/>
        </w:numPr>
        <w:spacing w:before="0"/>
        <w:ind w:left="426" w:hanging="425"/>
        <w:jc w:val="both"/>
        <w:rPr>
          <w:rFonts w:ascii="Times New Roman" w:hAnsi="Times New Roman" w:cs="Times New Roman"/>
          <w:noProof/>
          <w:sz w:val="24"/>
        </w:rPr>
      </w:pPr>
      <w:r w:rsidRPr="00B03B51">
        <w:rPr>
          <w:rFonts w:ascii="Times New Roman" w:hAnsi="Times New Roman" w:cs="Times New Roman"/>
          <w:sz w:val="24"/>
        </w:rPr>
        <w:t>Vai ir ticams, ka valdība saņems pietiekamu peļņas normu no sava ieguldījuma?</w:t>
      </w:r>
    </w:p>
    <w:p w14:paraId="5448C00A" w14:textId="77777777" w:rsidR="00994F93" w:rsidRPr="00B03B51" w:rsidRDefault="00994F93" w:rsidP="00994F93">
      <w:pPr>
        <w:jc w:val="both"/>
        <w:rPr>
          <w:rFonts w:ascii="Times New Roman" w:eastAsia="Arial" w:hAnsi="Times New Roman" w:cs="Times New Roman"/>
          <w:noProof/>
          <w:sz w:val="24"/>
          <w:szCs w:val="14"/>
        </w:rPr>
      </w:pPr>
    </w:p>
    <w:p w14:paraId="05FC16A1" w14:textId="77777777" w:rsidR="00994F93" w:rsidRPr="00B03B51" w:rsidRDefault="00994F93" w:rsidP="00994F93">
      <w:pPr>
        <w:pStyle w:val="Heading6"/>
        <w:tabs>
          <w:tab w:val="left" w:pos="1267"/>
        </w:tabs>
        <w:ind w:left="0" w:firstLine="0"/>
        <w:jc w:val="both"/>
        <w:rPr>
          <w:rFonts w:ascii="Times New Roman" w:hAnsi="Times New Roman" w:cs="Times New Roman"/>
          <w:noProof/>
          <w:sz w:val="24"/>
        </w:rPr>
      </w:pPr>
      <w:bookmarkStart w:id="204" w:name="3.2.2.2_There_are_no_private_shareholder"/>
      <w:bookmarkEnd w:id="204"/>
      <w:r w:rsidRPr="00B03B51">
        <w:rPr>
          <w:rFonts w:ascii="Times New Roman" w:hAnsi="Times New Roman" w:cs="Times New Roman"/>
          <w:sz w:val="24"/>
        </w:rPr>
        <w:t>3.2.2.2. PRIVĀTIE AKCIONĀRI NEVEIC IEGULDĪJUMUS</w:t>
      </w:r>
    </w:p>
    <w:p w14:paraId="32FCCD8B" w14:textId="77777777" w:rsidR="00994F93" w:rsidRPr="00B03B51" w:rsidRDefault="00994F93" w:rsidP="00994F93">
      <w:pPr>
        <w:tabs>
          <w:tab w:val="left" w:pos="1692"/>
        </w:tabs>
        <w:jc w:val="both"/>
        <w:rPr>
          <w:rFonts w:ascii="Times New Roman" w:hAnsi="Times New Roman" w:cs="Times New Roman"/>
          <w:b/>
          <w:noProof/>
          <w:sz w:val="24"/>
        </w:rPr>
      </w:pPr>
      <w:bookmarkStart w:id="205" w:name="3.2.2.2.1._The_corporation_has_accumulat"/>
      <w:bookmarkEnd w:id="205"/>
    </w:p>
    <w:p w14:paraId="27662A09" w14:textId="77777777" w:rsidR="00994F93" w:rsidRPr="00B03B51" w:rsidRDefault="00994F93" w:rsidP="00994F93">
      <w:pPr>
        <w:tabs>
          <w:tab w:val="left" w:pos="1692"/>
        </w:tabs>
        <w:jc w:val="both"/>
        <w:rPr>
          <w:rFonts w:ascii="Times New Roman" w:hAnsi="Times New Roman" w:cs="Times New Roman"/>
          <w:b/>
          <w:noProof/>
          <w:sz w:val="24"/>
        </w:rPr>
      </w:pPr>
      <w:r w:rsidRPr="00B03B51">
        <w:rPr>
          <w:rFonts w:ascii="Times New Roman" w:hAnsi="Times New Roman" w:cs="Times New Roman"/>
          <w:b/>
          <w:sz w:val="24"/>
        </w:rPr>
        <w:t>3.2.2.2.1. Sabiedrība ir uzkrājusi neto zaudējumus, vai tai ir radušies vienreizēji ārkārtas zaudējumi</w:t>
      </w:r>
    </w:p>
    <w:p w14:paraId="15675B43"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3924D176"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12. Ja sabiedrība ir uzkrājusi neto zaudējumus vai tai ir radušies “vienreizēji” zaudējumi, tad saskaņā ar vispārpieņemtu praksi kapitāla iepludināšanu traktē kā nefinanšu darījumu par pilnu ieguldījuma summu.</w:t>
      </w:r>
    </w:p>
    <w:p w14:paraId="54847794"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78EC4F30"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13. Īpašs gadījums (darījuma sadalīšana): ja kapitāla iepludināšana pārsniedz zaudējumu neto summu un:</w:t>
      </w:r>
    </w:p>
    <w:p w14:paraId="1CA6F042"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4B5BC55B" w14:textId="77777777" w:rsidR="00994F93" w:rsidRPr="00B03B51" w:rsidRDefault="00994F93" w:rsidP="00994F93">
      <w:pPr>
        <w:pStyle w:val="BodyText"/>
        <w:spacing w:before="0"/>
        <w:ind w:left="284" w:firstLine="0"/>
        <w:jc w:val="both"/>
        <w:rPr>
          <w:rFonts w:ascii="Times New Roman" w:hAnsi="Times New Roman" w:cs="Times New Roman"/>
          <w:noProof/>
          <w:sz w:val="24"/>
        </w:rPr>
      </w:pPr>
      <w:r w:rsidRPr="00B03B51">
        <w:rPr>
          <w:rFonts w:ascii="Times New Roman" w:hAnsi="Times New Roman" w:cs="Times New Roman"/>
          <w:sz w:val="24"/>
        </w:rPr>
        <w:t>a) valdība var pierādīt, ka šādiem pārsnieguma līdzekļiem būs pietiekama peļņas norma (piemēram, tos izmanto īpaši tam, lai veiktu turpmākus ieguldījumus peļņu nesošās sabiedrības darbības jomās, ko apliecina iepriekšējie rezultāti, vai arī saistībā ar plānoto uzņēmuma privatizāciju), vai</w:t>
      </w:r>
    </w:p>
    <w:p w14:paraId="1AAF0270" w14:textId="77777777" w:rsidR="00994F93" w:rsidRPr="00B03B51" w:rsidRDefault="00994F93" w:rsidP="00994F93">
      <w:pPr>
        <w:pStyle w:val="BodyText"/>
        <w:spacing w:before="0"/>
        <w:ind w:left="284" w:firstLine="0"/>
        <w:jc w:val="both"/>
        <w:rPr>
          <w:rFonts w:ascii="Times New Roman" w:hAnsi="Times New Roman" w:cs="Times New Roman"/>
          <w:noProof/>
          <w:sz w:val="24"/>
        </w:rPr>
      </w:pPr>
    </w:p>
    <w:p w14:paraId="46FD3603" w14:textId="77777777" w:rsidR="00994F93" w:rsidRPr="00B03B51" w:rsidRDefault="00994F93" w:rsidP="00994F93">
      <w:pPr>
        <w:pStyle w:val="BodyText"/>
        <w:spacing w:before="0"/>
        <w:ind w:left="284" w:firstLine="0"/>
        <w:jc w:val="both"/>
        <w:rPr>
          <w:rFonts w:ascii="Times New Roman" w:hAnsi="Times New Roman" w:cs="Times New Roman"/>
          <w:noProof/>
          <w:sz w:val="24"/>
        </w:rPr>
      </w:pPr>
      <w:r w:rsidRPr="00B03B51">
        <w:rPr>
          <w:rFonts w:ascii="Times New Roman" w:hAnsi="Times New Roman" w:cs="Times New Roman"/>
          <w:sz w:val="24"/>
        </w:rPr>
        <w:t xml:space="preserve">b) notiek acīmredzama pilnīga sabiedrības pārstrukturizācija, lai nepieļautu jaunus zaudējumus un atgrieztos pie ilgtspējīga ienesīguma pēc jauna uzņēmējdarbības plāna pilnīgas ieviešanas, un var pamatoti uzskatīt, ka valdībai būs nodrošināta pietiekama peļņas norma no tās jaunā ieguldījuma. Ir jābūt vispārējai vienprātībai par to, ka pārstrukturizācija būs efektīva. Iepriekš minēto nepiemēro, ja joprojām nav zināma peļņas norma no jaunā ieguldījuma (pārstrukturizācijas plānu lielā mērā uzskata par neefektīvu attiecībā uz galvenajiem zaudējumu cēloņiem, un/vai ienesīguma atjaunošana galvenokārt ir atkarīga no faktoriem, kurus sabiedrība nespēj kontrolēt), kā rezultātā uzkrāto zaudējumu atgūšanai būs </w:t>
      </w:r>
      <w:r w:rsidRPr="00B03B51">
        <w:rPr>
          <w:rFonts w:ascii="Times New Roman" w:hAnsi="Times New Roman" w:cs="Times New Roman"/>
          <w:sz w:val="24"/>
        </w:rPr>
        <w:lastRenderedPageBreak/>
        <w:t>nepieciešams laiks.</w:t>
      </w:r>
    </w:p>
    <w:p w14:paraId="7B0DFB2F"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626A4211"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14. Šajā īpašajā gadījumā kapitāla ieguldījumu uzskata par nefinanšu darījumu zaudējumu maksimālās summas apmērā un par finanšu darījumu, kas pārsniedz šo summu.</w:t>
      </w:r>
    </w:p>
    <w:p w14:paraId="21757A18"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32D99E1F"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15. Šajā īpašajā gadījumā darbības norādījumi var būt parāda vērtības noteikšana vai vērtības mainīšana (jo īpaši ilgtermiņa parādam), pārvaldības reorganizācijas būtiskā nozīme, darbības virzienu maiņa, konkurētspēja tirgū u. c.</w:t>
      </w:r>
    </w:p>
    <w:p w14:paraId="6193D5F7" w14:textId="77777777" w:rsidR="00994F93" w:rsidRPr="00D460B8" w:rsidRDefault="00994F93" w:rsidP="00D460B8">
      <w:pPr>
        <w:rPr>
          <w:rFonts w:ascii="Times New Roman" w:hAnsi="Times New Roman" w:cs="Times New Roman"/>
          <w:noProof/>
          <w:sz w:val="24"/>
          <w:szCs w:val="24"/>
        </w:rPr>
      </w:pPr>
      <w:bookmarkStart w:id="206" w:name="3.2.2.2.2._The_corporation_has_not_accum"/>
      <w:bookmarkEnd w:id="206"/>
    </w:p>
    <w:p w14:paraId="7F84423D" w14:textId="037AC6DC" w:rsidR="00994F93" w:rsidRPr="00B03B51" w:rsidRDefault="00994F93" w:rsidP="00994F93">
      <w:pPr>
        <w:pStyle w:val="Heading6"/>
        <w:tabs>
          <w:tab w:val="left" w:pos="1692"/>
        </w:tabs>
        <w:ind w:left="0" w:firstLine="0"/>
        <w:jc w:val="both"/>
        <w:rPr>
          <w:rFonts w:ascii="Times New Roman" w:hAnsi="Times New Roman" w:cs="Times New Roman"/>
          <w:noProof/>
          <w:sz w:val="24"/>
        </w:rPr>
      </w:pPr>
      <w:r w:rsidRPr="00B03B51">
        <w:rPr>
          <w:rFonts w:ascii="Times New Roman" w:hAnsi="Times New Roman" w:cs="Times New Roman"/>
          <w:sz w:val="24"/>
        </w:rPr>
        <w:t>3.2.2.</w:t>
      </w:r>
      <w:r w:rsidR="00DD269F">
        <w:rPr>
          <w:rFonts w:ascii="Times New Roman" w:hAnsi="Times New Roman" w:cs="Times New Roman"/>
          <w:sz w:val="24"/>
        </w:rPr>
        <w:t>3</w:t>
      </w:r>
      <w:r w:rsidRPr="00B03B51">
        <w:rPr>
          <w:rFonts w:ascii="Times New Roman" w:hAnsi="Times New Roman" w:cs="Times New Roman"/>
          <w:sz w:val="24"/>
        </w:rPr>
        <w:t>. Sabiedrībai nav uzkrātu neto zaudējumu</w:t>
      </w:r>
    </w:p>
    <w:p w14:paraId="0FEE1261"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3B43BC3A"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16. Parasti tas nozīmē, ka sabiedrība regulāri gūst peļņu, kuru vai nu sadala, vai atkal iegulda.</w:t>
      </w:r>
    </w:p>
    <w:p w14:paraId="3098BE42"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6EC7C4DD"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17. Ja valdība rīkojas līdzīgi privātajam daļu turētājam, kas nozīmē, ka tā piešķir līdzekļus, pretī saņemot finanšu aktīvus, un gaida no sava ieguldījuma pietiekamu peļņas normu (dividenžu vai augstākas tā finanšu instrumenta vērtības veidā, kas apliecina valdības īpašumtiesības sabiedrībā).</w:t>
      </w:r>
    </w:p>
    <w:p w14:paraId="00D838CB"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02076372"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18. Kapitāla ieguldījumu ieraksta kā finanšu darījumu ar akcijām un citu pašu kapitālu par pilnu ieguldījuma summu.</w:t>
      </w:r>
    </w:p>
    <w:p w14:paraId="707EB985"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48A015FE"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19. Ja kapitāla iepludināšanu veic ar nolūku īstenot konkrētus valsts politikas mērķus vai saistībā ar būtiskām izmaiņām apstākļos, kuros tiek veiktas darbības un kurus noteikusi valdība, ir rūpīgi jāpārbauda jaunā valdības ieguldījuma nākotnes ienesīgums. Šādos gadījumos:</w:t>
      </w:r>
    </w:p>
    <w:p w14:paraId="4078875E"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6AEDEFAC" w14:textId="77777777" w:rsidR="00994F93" w:rsidRPr="00B03B51" w:rsidRDefault="00994F93" w:rsidP="008A7C35">
      <w:pPr>
        <w:pStyle w:val="BodyText"/>
        <w:numPr>
          <w:ilvl w:val="1"/>
          <w:numId w:val="6"/>
        </w:numPr>
        <w:spacing w:before="0"/>
        <w:ind w:left="426" w:hanging="425"/>
        <w:jc w:val="both"/>
        <w:rPr>
          <w:rFonts w:ascii="Times New Roman" w:hAnsi="Times New Roman" w:cs="Times New Roman"/>
          <w:noProof/>
          <w:sz w:val="24"/>
        </w:rPr>
      </w:pPr>
      <w:r w:rsidRPr="00B03B51">
        <w:rPr>
          <w:rFonts w:ascii="Times New Roman" w:hAnsi="Times New Roman" w:cs="Times New Roman"/>
          <w:sz w:val="24"/>
        </w:rPr>
        <w:t>ja gaidāmā pietiekamā peļņas norma joprojām ir ļoti ticama, kapitāla iepludināšanu traktē kā finanšu darījumu par pilnu ieguldījuma summu;</w:t>
      </w:r>
    </w:p>
    <w:p w14:paraId="4510811C" w14:textId="77777777" w:rsidR="00994F93" w:rsidRPr="00B03B51" w:rsidRDefault="00994F93" w:rsidP="008A7C35">
      <w:pPr>
        <w:pStyle w:val="BodyText"/>
        <w:numPr>
          <w:ilvl w:val="1"/>
          <w:numId w:val="6"/>
        </w:numPr>
        <w:spacing w:before="0"/>
        <w:ind w:left="426" w:hanging="425"/>
        <w:jc w:val="both"/>
        <w:rPr>
          <w:rFonts w:ascii="Times New Roman" w:hAnsi="Times New Roman" w:cs="Times New Roman"/>
          <w:noProof/>
          <w:sz w:val="24"/>
        </w:rPr>
      </w:pPr>
      <w:r w:rsidRPr="00B03B51">
        <w:rPr>
          <w:rFonts w:ascii="Times New Roman" w:hAnsi="Times New Roman" w:cs="Times New Roman"/>
          <w:sz w:val="24"/>
        </w:rPr>
        <w:t>ja pietiekama peļņas norma ir maz ticama, kapitāla iepludināšanu traktē kā nefinanšu darījumu par pilnu ieguldījuma summu.</w:t>
      </w:r>
    </w:p>
    <w:p w14:paraId="2535F11B"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216F5BCC"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20. Dažām publiskām sabiedrībām var būt noteikts pienākums ievērot obligātu noteikumu, saskaņā ar kuru to ieņēmumi var būt vienādi ar kopējām izmaksām, taču nedrīkst tās pārsniegt (tas, piemēram, var attiekties uz tirgus bezpeļņas organizācijām, kuras klasificē nefinanšu sabiedrību sektorā). Šādas organizācijas pēc būtības nevar nodrošināt tirgus ienesīgumu, un valdība, veicot ieguldījumus šādās vienībās, nerīkojas tāpat kā privātais akcionārs. Šādi gadījumi ir jāpielīdzina kapitāla iepludināšanai, ko veic ar nolūku īstenot valsts politikas mērķus.</w:t>
      </w:r>
    </w:p>
    <w:p w14:paraId="4821636C" w14:textId="77777777" w:rsidR="00994F93" w:rsidRPr="00B03B51" w:rsidRDefault="00994F93" w:rsidP="00994F93">
      <w:pPr>
        <w:jc w:val="both"/>
        <w:rPr>
          <w:rFonts w:ascii="Times New Roman" w:hAnsi="Times New Roman" w:cs="Times New Roman"/>
          <w:noProof/>
          <w:sz w:val="24"/>
        </w:rPr>
      </w:pPr>
    </w:p>
    <w:p w14:paraId="43EFF68F" w14:textId="77777777" w:rsidR="00994F93" w:rsidRPr="00B03B51" w:rsidRDefault="00994F93" w:rsidP="00994F93">
      <w:pPr>
        <w:tabs>
          <w:tab w:val="left" w:pos="1267"/>
        </w:tabs>
        <w:jc w:val="both"/>
        <w:rPr>
          <w:rFonts w:ascii="Times New Roman" w:hAnsi="Times New Roman" w:cs="Times New Roman"/>
          <w:b/>
          <w:noProof/>
          <w:sz w:val="24"/>
        </w:rPr>
      </w:pPr>
      <w:bookmarkStart w:id="207" w:name="3.2.2.3_There_are_private_shareholders_i"/>
      <w:bookmarkEnd w:id="207"/>
      <w:r w:rsidRPr="00B03B51">
        <w:rPr>
          <w:rFonts w:ascii="Times New Roman" w:hAnsi="Times New Roman" w:cs="Times New Roman"/>
          <w:b/>
          <w:sz w:val="24"/>
        </w:rPr>
        <w:t>3.2.2.3. PRIVĀTIE AKCIONĀRI VEIC IEGULDĪJUMUS</w:t>
      </w:r>
    </w:p>
    <w:p w14:paraId="67D29AFF" w14:textId="77777777" w:rsidR="00994F93" w:rsidRPr="00B03B51" w:rsidRDefault="00994F93" w:rsidP="00994F93">
      <w:pPr>
        <w:tabs>
          <w:tab w:val="left" w:pos="1692"/>
        </w:tabs>
        <w:jc w:val="both"/>
        <w:rPr>
          <w:rFonts w:ascii="Times New Roman" w:hAnsi="Times New Roman" w:cs="Times New Roman"/>
          <w:b/>
          <w:noProof/>
          <w:sz w:val="24"/>
        </w:rPr>
      </w:pPr>
      <w:bookmarkStart w:id="208" w:name="3.2.2.3.1._Private_shareholders_particip"/>
      <w:bookmarkEnd w:id="208"/>
    </w:p>
    <w:p w14:paraId="15911AAE" w14:textId="77777777" w:rsidR="00994F93" w:rsidRPr="00721944" w:rsidRDefault="00994F93" w:rsidP="00721944">
      <w:pPr>
        <w:pStyle w:val="Heading6"/>
        <w:tabs>
          <w:tab w:val="left" w:pos="1692"/>
        </w:tabs>
        <w:ind w:left="0" w:firstLine="0"/>
        <w:jc w:val="both"/>
        <w:rPr>
          <w:rFonts w:ascii="Times New Roman" w:hAnsi="Times New Roman" w:cs="Times New Roman"/>
          <w:sz w:val="24"/>
        </w:rPr>
      </w:pPr>
      <w:r w:rsidRPr="00B03B51">
        <w:rPr>
          <w:rFonts w:ascii="Times New Roman" w:hAnsi="Times New Roman" w:cs="Times New Roman"/>
          <w:sz w:val="24"/>
        </w:rPr>
        <w:t>3.2.2.3.1. Privātie akcionāri piedalās kapitāla iepludināšanā nekotētajās akcijās</w:t>
      </w:r>
    </w:p>
    <w:p w14:paraId="7AB94A37"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31612B59"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21. Privātajiem akcionāriem jau var piederēt sabiedrības pašu kapitāls. Šis gadījums ietver arī privāto akcionāru sākotnējo iesaistīšanu kārtējās iepludināšanas pasākumā, piemēram, pārstrukturizācijas procesa laikā.</w:t>
      </w:r>
    </w:p>
    <w:p w14:paraId="77C8C979"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6CE6267C"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22. Ja privātie ieguldītāji:</w:t>
      </w:r>
    </w:p>
    <w:p w14:paraId="545F42E1" w14:textId="77777777" w:rsidR="00994F93" w:rsidRPr="00B03B51" w:rsidRDefault="00994F93" w:rsidP="00994F93">
      <w:pPr>
        <w:pStyle w:val="BodyText"/>
        <w:tabs>
          <w:tab w:val="left" w:pos="1126"/>
        </w:tabs>
        <w:spacing w:before="0"/>
        <w:ind w:left="0" w:firstLine="0"/>
        <w:jc w:val="both"/>
        <w:rPr>
          <w:rFonts w:ascii="Times New Roman" w:hAnsi="Times New Roman" w:cs="Times New Roman"/>
          <w:noProof/>
          <w:sz w:val="24"/>
        </w:rPr>
      </w:pPr>
    </w:p>
    <w:p w14:paraId="659597DD" w14:textId="77777777" w:rsidR="00994F93" w:rsidRPr="00B03B51" w:rsidRDefault="00994F93" w:rsidP="00994F93">
      <w:pPr>
        <w:pStyle w:val="BodyText"/>
        <w:tabs>
          <w:tab w:val="left" w:pos="1126"/>
        </w:tabs>
        <w:spacing w:before="0"/>
        <w:ind w:left="284" w:firstLine="0"/>
        <w:jc w:val="both"/>
        <w:rPr>
          <w:rFonts w:ascii="Times New Roman" w:hAnsi="Times New Roman" w:cs="Times New Roman"/>
          <w:noProof/>
          <w:sz w:val="24"/>
        </w:rPr>
      </w:pPr>
      <w:r w:rsidRPr="00B03B51">
        <w:rPr>
          <w:rFonts w:ascii="Times New Roman" w:hAnsi="Times New Roman" w:cs="Times New Roman"/>
          <w:sz w:val="24"/>
        </w:rPr>
        <w:t>a) kapitāla iepludināšanas laikā saņem ievērojamu pašu kapitāla daļu proporcionāli daļām, kas tiem jau pieder (attiecīgajā gadījumā), tajā pašā laikā, kad valdība veic kapitāla iepludināšanu;</w:t>
      </w:r>
    </w:p>
    <w:p w14:paraId="36EFE93B" w14:textId="77777777" w:rsidR="00994F93" w:rsidRPr="00B03B51" w:rsidRDefault="00994F93" w:rsidP="00994F93">
      <w:pPr>
        <w:pStyle w:val="BodyText"/>
        <w:tabs>
          <w:tab w:val="left" w:pos="1126"/>
        </w:tabs>
        <w:spacing w:before="0"/>
        <w:ind w:left="284" w:firstLine="0"/>
        <w:jc w:val="both"/>
        <w:rPr>
          <w:rFonts w:ascii="Times New Roman" w:hAnsi="Times New Roman" w:cs="Times New Roman"/>
          <w:noProof/>
          <w:sz w:val="24"/>
        </w:rPr>
      </w:pPr>
    </w:p>
    <w:p w14:paraId="2CD33E26" w14:textId="77777777" w:rsidR="00994F93" w:rsidRPr="00B03B51" w:rsidRDefault="00994F93" w:rsidP="00994F93">
      <w:pPr>
        <w:pStyle w:val="BodyText"/>
        <w:tabs>
          <w:tab w:val="left" w:pos="1126"/>
        </w:tabs>
        <w:spacing w:before="0"/>
        <w:ind w:left="284" w:firstLine="0"/>
        <w:jc w:val="both"/>
        <w:rPr>
          <w:rFonts w:ascii="Times New Roman" w:hAnsi="Times New Roman" w:cs="Times New Roman"/>
          <w:noProof/>
          <w:sz w:val="24"/>
        </w:rPr>
      </w:pPr>
      <w:r w:rsidRPr="00B03B51">
        <w:rPr>
          <w:rFonts w:ascii="Times New Roman" w:hAnsi="Times New Roman" w:cs="Times New Roman"/>
          <w:sz w:val="24"/>
        </w:rPr>
        <w:t>b) realizē parasto mazākuma akcionāru ietekmi saskaņā ar tiesībām, kas paredzētas spēkā esošajos korporatīvajos tiesību aktos;</w:t>
      </w:r>
    </w:p>
    <w:p w14:paraId="3F03F6BF" w14:textId="77777777" w:rsidR="00994F93" w:rsidRPr="00B03B51" w:rsidRDefault="00994F93" w:rsidP="00994F93">
      <w:pPr>
        <w:pStyle w:val="BodyText"/>
        <w:tabs>
          <w:tab w:val="left" w:pos="1126"/>
        </w:tabs>
        <w:spacing w:before="0"/>
        <w:ind w:left="284" w:firstLine="0"/>
        <w:jc w:val="both"/>
        <w:rPr>
          <w:rFonts w:ascii="Times New Roman" w:hAnsi="Times New Roman" w:cs="Times New Roman"/>
          <w:noProof/>
          <w:sz w:val="24"/>
        </w:rPr>
      </w:pPr>
    </w:p>
    <w:p w14:paraId="161DC70B" w14:textId="77777777" w:rsidR="00994F93" w:rsidRPr="00B03B51" w:rsidRDefault="00994F93" w:rsidP="00994F93">
      <w:pPr>
        <w:pStyle w:val="BodyText"/>
        <w:tabs>
          <w:tab w:val="left" w:pos="1126"/>
        </w:tabs>
        <w:spacing w:before="0"/>
        <w:ind w:left="284" w:firstLine="0"/>
        <w:jc w:val="both"/>
        <w:rPr>
          <w:rFonts w:ascii="Times New Roman" w:hAnsi="Times New Roman" w:cs="Times New Roman"/>
          <w:noProof/>
          <w:sz w:val="24"/>
        </w:rPr>
      </w:pPr>
      <w:r w:rsidRPr="00B03B51">
        <w:rPr>
          <w:rFonts w:ascii="Times New Roman" w:hAnsi="Times New Roman" w:cs="Times New Roman"/>
          <w:sz w:val="24"/>
        </w:rPr>
        <w:t>c) līdzīgi valdībai uzņemas riskus un priekšrocības, piemēram, attiecībā uz savām tiesībām uz neto aktīviem likvidācijas gadījumā (EKS 2010 5.148. punkts), –</w:t>
      </w:r>
    </w:p>
    <w:p w14:paraId="0F69B9AE" w14:textId="77777777" w:rsidR="00994F93" w:rsidRPr="00B03B51" w:rsidRDefault="00994F93" w:rsidP="00994F93">
      <w:pPr>
        <w:pStyle w:val="BodyText"/>
        <w:spacing w:before="0"/>
        <w:ind w:left="0" w:firstLine="0"/>
        <w:jc w:val="both"/>
        <w:rPr>
          <w:rFonts w:ascii="Times New Roman" w:hAnsi="Times New Roman" w:cs="Times New Roman"/>
          <w:noProof/>
          <w:sz w:val="24"/>
        </w:rPr>
      </w:pPr>
    </w:p>
    <w:p w14:paraId="66050307" w14:textId="77777777" w:rsidR="00994F93" w:rsidRPr="00B03B51" w:rsidRDefault="00994F93" w:rsidP="00994F93">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t>kapitāla iepludināšanu traktē kā finanšu darījumu par pilnu ieguldījuma summu.</w:t>
      </w:r>
    </w:p>
    <w:p w14:paraId="695213EF"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0CD3A35A"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23. Ja privātie ieguldītāji neatbilst kādam no iepriekš minētajiem nosacījumiem, kapitāla iepludināšana jātraktē atbilstoši noteikumiem, kas paredzēti gadījumiem, kuros nav privāto akcionāru.</w:t>
      </w:r>
    </w:p>
    <w:p w14:paraId="2E2E59E9" w14:textId="77777777" w:rsidR="00994F93" w:rsidRPr="00721944" w:rsidRDefault="00994F93" w:rsidP="00721944">
      <w:pPr>
        <w:rPr>
          <w:rFonts w:ascii="Times New Roman" w:hAnsi="Times New Roman" w:cs="Times New Roman"/>
          <w:noProof/>
          <w:sz w:val="24"/>
          <w:szCs w:val="24"/>
        </w:rPr>
      </w:pPr>
      <w:bookmarkStart w:id="209" w:name="3.2.2.3.2._Private_shareholders_particip"/>
      <w:bookmarkEnd w:id="209"/>
    </w:p>
    <w:p w14:paraId="433C0B8C" w14:textId="77777777" w:rsidR="00994F93" w:rsidRPr="00B03B51" w:rsidRDefault="00994F93" w:rsidP="00994F93">
      <w:pPr>
        <w:pStyle w:val="Heading6"/>
        <w:tabs>
          <w:tab w:val="left" w:pos="1692"/>
        </w:tabs>
        <w:ind w:left="0" w:firstLine="0"/>
        <w:jc w:val="both"/>
        <w:rPr>
          <w:rFonts w:ascii="Times New Roman" w:hAnsi="Times New Roman" w:cs="Times New Roman"/>
          <w:noProof/>
          <w:sz w:val="24"/>
        </w:rPr>
      </w:pPr>
      <w:r w:rsidRPr="00B03B51">
        <w:rPr>
          <w:rFonts w:ascii="Times New Roman" w:hAnsi="Times New Roman" w:cs="Times New Roman"/>
          <w:sz w:val="24"/>
        </w:rPr>
        <w:t>3.2.2.3.2. Privātie akcionāri piedalās kapitāla iepludināšanā kotētajās akcijās</w:t>
      </w:r>
    </w:p>
    <w:p w14:paraId="7193D3C5"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4F302B92"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24. Ja apmaiņā pret savu maksājumu sabiedrībai valdība iegūst kotētās akcijas, kuras tā nekavējoties varētu pārdot par samaksāto cenu, tad darījums būtībā ir finanšu darījums ar akcijām un citu pašu kapitālu (F.511).</w:t>
      </w:r>
      <w:r w:rsidRPr="00B03B51">
        <w:rPr>
          <w:rStyle w:val="FootnoteReference"/>
          <w:rFonts w:ascii="Times New Roman" w:hAnsi="Times New Roman" w:cs="Times New Roman"/>
          <w:noProof/>
          <w:sz w:val="24"/>
        </w:rPr>
        <w:footnoteReference w:id="151"/>
      </w:r>
    </w:p>
    <w:p w14:paraId="06045563" w14:textId="77777777" w:rsidR="00994F93" w:rsidRPr="00721944" w:rsidRDefault="00994F93" w:rsidP="00721944">
      <w:pPr>
        <w:rPr>
          <w:rFonts w:ascii="Times New Roman" w:hAnsi="Times New Roman" w:cs="Times New Roman"/>
          <w:noProof/>
          <w:sz w:val="24"/>
          <w:szCs w:val="24"/>
        </w:rPr>
      </w:pPr>
      <w:bookmarkStart w:id="210" w:name="3.2.2.3.3._Special_case:_It_is_a_new_cor"/>
      <w:bookmarkEnd w:id="210"/>
    </w:p>
    <w:p w14:paraId="6F4C662B" w14:textId="77777777" w:rsidR="00994F93" w:rsidRPr="00B03B51" w:rsidRDefault="00994F93" w:rsidP="00994F93">
      <w:pPr>
        <w:pStyle w:val="Heading6"/>
        <w:tabs>
          <w:tab w:val="left" w:pos="1692"/>
        </w:tabs>
        <w:ind w:left="0" w:firstLine="0"/>
        <w:jc w:val="both"/>
        <w:rPr>
          <w:rFonts w:ascii="Times New Roman" w:hAnsi="Times New Roman" w:cs="Times New Roman"/>
          <w:noProof/>
          <w:sz w:val="24"/>
        </w:rPr>
      </w:pPr>
      <w:r w:rsidRPr="00B03B51">
        <w:rPr>
          <w:rFonts w:ascii="Times New Roman" w:hAnsi="Times New Roman" w:cs="Times New Roman"/>
          <w:sz w:val="24"/>
        </w:rPr>
        <w:t>3.2.2.3.3. Īpašs gadījums. Tā ir jauna sabiedrība, vai tiek apsvērta jauna darbība/aktīvi</w:t>
      </w:r>
    </w:p>
    <w:p w14:paraId="60F86A18"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350AF8E8"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25. Traktējums būs atkarīgs no īpašas izpētes, pamatojoties uz dažādiem rādītājiem, kurus parasti izmanto ieguldījumu analīzē. Būtisks rādītājs varētu būt arī privāto ieguldītāju esamība. Jebkurā gadījumā jābūt skaidram, ka valdība jauno vienību plāno izmantot ne tikai valsts politikas mērķiem.</w:t>
      </w:r>
    </w:p>
    <w:p w14:paraId="00FB9C20"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4FA121CF"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26. Līdz ar to:</w:t>
      </w:r>
    </w:p>
    <w:p w14:paraId="739AE627"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187C5750" w14:textId="77777777" w:rsidR="00994F93" w:rsidRPr="00B03B51" w:rsidRDefault="00994F93" w:rsidP="008A7C35">
      <w:pPr>
        <w:pStyle w:val="BodyText"/>
        <w:numPr>
          <w:ilvl w:val="1"/>
          <w:numId w:val="6"/>
        </w:numPr>
        <w:spacing w:before="0"/>
        <w:ind w:left="426" w:hanging="425"/>
        <w:jc w:val="both"/>
        <w:rPr>
          <w:rFonts w:ascii="Times New Roman" w:hAnsi="Times New Roman" w:cs="Times New Roman"/>
          <w:noProof/>
          <w:sz w:val="24"/>
        </w:rPr>
      </w:pPr>
      <w:r w:rsidRPr="00B03B51">
        <w:rPr>
          <w:rFonts w:ascii="Times New Roman" w:hAnsi="Times New Roman" w:cs="Times New Roman"/>
          <w:sz w:val="24"/>
        </w:rPr>
        <w:t>ja apstākļi apstiprina secinājumu, ka pēc “parasta” īslaicīga zaudējumu perioda (ko bieži var novērot arī līdzīgu privātu ieguldījumu gadījumā) sabiedrība kļūs strukturāli ienesīga, nodrošinot kopumā atbilstošu peļņas normu, valdības kapitāla iepludināšanu traktē kā finanšu darījumu par pilnu ieguldījuma summu;</w:t>
      </w:r>
    </w:p>
    <w:p w14:paraId="752E5653" w14:textId="77777777" w:rsidR="00994F93" w:rsidRPr="00B03B51" w:rsidRDefault="00994F93" w:rsidP="008A7C35">
      <w:pPr>
        <w:pStyle w:val="BodyText"/>
        <w:numPr>
          <w:ilvl w:val="1"/>
          <w:numId w:val="6"/>
        </w:numPr>
        <w:spacing w:before="0"/>
        <w:ind w:left="426" w:hanging="425"/>
        <w:jc w:val="both"/>
        <w:rPr>
          <w:rFonts w:ascii="Times New Roman" w:hAnsi="Times New Roman" w:cs="Times New Roman"/>
          <w:noProof/>
          <w:sz w:val="24"/>
        </w:rPr>
      </w:pPr>
      <w:r w:rsidRPr="00B03B51">
        <w:rPr>
          <w:rFonts w:ascii="Times New Roman" w:hAnsi="Times New Roman" w:cs="Times New Roman"/>
          <w:sz w:val="24"/>
        </w:rPr>
        <w:t>ja savukārt dažādu faktoru dēļ (nenoteikta ekonomiskā vide, darbības un nozares būtība, atsevišķu valdības noteiktu izmaksu neatlīdzināšana, neatkarīgu dažādu jomu, piemēram, grāmatvedības, ekonomikas, finanšu analīzes u. c., ekspertu vienprātīgs atzinums) pastāv šaubas par projekta ilgtermiņa ienesīgumu, kapitāla iepludināšanu traktē kā nefinanšu darījumu par pilnu ieguldījuma summu.</w:t>
      </w:r>
    </w:p>
    <w:p w14:paraId="0DB2AC2F"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1A844EA2"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27. Ja peļņa no kapitāla iepludināšanas ievērojami atšķiras no sākotnēji prognozētās peļņas (piemēram, plānoto zaudējumu vietā tiek gūta peļņa vai citi ieņēmumi vai paredzētās peļņas vietā rodas zaudējumi), kapitāla iepludināšanas uzskaite netiek pārskatīta, kad tiek saņemta jauna informācija vai rodas jauni apstākļi, ja vien sākotnējais plāns nav bijis maldinošs un nav nepareizi atspoguļojis ekonomisko realitāti (skat. 2. ierāmējumu 3.2.3. iedaļā). Neieraksta nekādus ieņēmumus vai izdevumus, lai atspoguļotu šīs atšķirības; tā vietā šādas atšķirības starp realitāti un prognozēm atspoguļo pārvērtēšanas kontos.</w:t>
      </w:r>
    </w:p>
    <w:p w14:paraId="60C9623C"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28CA7948"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 xml:space="preserve">28. Proti, gadījumā, ja valdībai naudu atmaksā subjekts, kurā iepriekšējos gados ir iepludināts </w:t>
      </w:r>
      <w:r w:rsidRPr="00B03B51">
        <w:rPr>
          <w:rFonts w:ascii="Times New Roman" w:hAnsi="Times New Roman" w:cs="Times New Roman"/>
          <w:sz w:val="24"/>
        </w:rPr>
        <w:lastRenderedPageBreak/>
        <w:t>kapitāls, ierakstot to kā valdības izdevumus par kapitāla pārvedumu, tas nav obligāti jāieraksta kā valdības ieņēmumi. Tā vietā attiecībā uz valdības iekasētajiem ienākumiem veic superdividenžu testu, lai noteiktu, vai šie ienākumi ir valdības ieņēmumi vai tomēr pašu kapitāla izņemšana.</w:t>
      </w:r>
    </w:p>
    <w:p w14:paraId="7A9B7EB1" w14:textId="77777777" w:rsidR="00994F93" w:rsidRPr="00B03B51" w:rsidRDefault="00994F93" w:rsidP="00994F93">
      <w:pPr>
        <w:jc w:val="both"/>
        <w:rPr>
          <w:rFonts w:ascii="Times New Roman" w:eastAsia="Arial" w:hAnsi="Times New Roman" w:cs="Times New Roman"/>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1"/>
      </w:tblGrid>
      <w:tr w:rsidR="00994F93" w:rsidRPr="00B03B51" w14:paraId="6A614FD2" w14:textId="77777777" w:rsidTr="001C4B02">
        <w:tc>
          <w:tcPr>
            <w:tcW w:w="9281" w:type="dxa"/>
          </w:tcPr>
          <w:p w14:paraId="3A584DB4" w14:textId="77777777" w:rsidR="00994F93" w:rsidRPr="00B03B51" w:rsidRDefault="00994F93" w:rsidP="001C4B02">
            <w:pPr>
              <w:pStyle w:val="Heading3"/>
              <w:ind w:left="0" w:firstLine="0"/>
              <w:jc w:val="both"/>
              <w:outlineLvl w:val="2"/>
              <w:rPr>
                <w:rFonts w:ascii="Times New Roman" w:hAnsi="Times New Roman" w:cs="Times New Roman"/>
                <w:noProof/>
                <w:sz w:val="24"/>
              </w:rPr>
            </w:pPr>
            <w:bookmarkStart w:id="211" w:name="_Toc67565087"/>
            <w:r w:rsidRPr="00B03B51">
              <w:rPr>
                <w:rFonts w:ascii="Times New Roman" w:hAnsi="Times New Roman" w:cs="Times New Roman"/>
                <w:sz w:val="24"/>
              </w:rPr>
              <w:t>1. ierāmējums. Darījumu ierakstīšana: vienkārši gadījumi un sarežģītas jomas</w:t>
            </w:r>
            <w:bookmarkEnd w:id="211"/>
          </w:p>
          <w:p w14:paraId="68A9C08A" w14:textId="77777777" w:rsidR="00994F93" w:rsidRPr="00B03B51" w:rsidRDefault="00994F93" w:rsidP="001C4B02">
            <w:pPr>
              <w:pStyle w:val="BodyText"/>
              <w:spacing w:before="0"/>
              <w:ind w:left="0" w:firstLine="0"/>
              <w:jc w:val="both"/>
              <w:rPr>
                <w:rFonts w:ascii="Times New Roman" w:hAnsi="Times New Roman" w:cs="Times New Roman"/>
                <w:noProof/>
                <w:sz w:val="24"/>
              </w:rPr>
            </w:pPr>
          </w:p>
          <w:p w14:paraId="534C5948" w14:textId="77777777" w:rsidR="00994F93" w:rsidRPr="00B03B51" w:rsidRDefault="00994F93" w:rsidP="001C4B02">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t>Praksē statistikas veidotāji var saskarties ar vienkāršiem gadījumiem, attiecībā uz kuriem iespējams skaidrs statistiskais traktējums, vai ar robežgadījumiem, attiecībā uz kuriem ir jāveic padziļināta izpēte un jāizmanto dažādi testi.</w:t>
            </w:r>
          </w:p>
          <w:p w14:paraId="3309EF41" w14:textId="77777777" w:rsidR="00994F93" w:rsidRPr="00B03B51" w:rsidRDefault="00994F93" w:rsidP="001C4B02">
            <w:pPr>
              <w:jc w:val="both"/>
              <w:rPr>
                <w:rFonts w:ascii="Times New Roman" w:hAnsi="Times New Roman" w:cs="Times New Roman"/>
                <w:b/>
                <w:noProof/>
                <w:sz w:val="24"/>
              </w:rPr>
            </w:pPr>
          </w:p>
          <w:p w14:paraId="1F2C7120" w14:textId="77777777" w:rsidR="00994F93" w:rsidRPr="00B03B51" w:rsidRDefault="00994F93" w:rsidP="001C4B02">
            <w:pPr>
              <w:jc w:val="both"/>
              <w:rPr>
                <w:rFonts w:ascii="Times New Roman" w:hAnsi="Times New Roman" w:cs="Times New Roman"/>
                <w:b/>
                <w:noProof/>
                <w:sz w:val="24"/>
              </w:rPr>
            </w:pPr>
            <w:r w:rsidRPr="00B03B51">
              <w:rPr>
                <w:rFonts w:ascii="Times New Roman" w:hAnsi="Times New Roman" w:cs="Times New Roman"/>
                <w:b/>
                <w:sz w:val="24"/>
              </w:rPr>
              <w:t>Vienkārši gadījumi</w:t>
            </w:r>
          </w:p>
          <w:p w14:paraId="06FC8A4E" w14:textId="77777777" w:rsidR="00994F93" w:rsidRPr="00B03B51" w:rsidRDefault="00994F93" w:rsidP="001C4B02">
            <w:pPr>
              <w:tabs>
                <w:tab w:val="left" w:pos="780"/>
              </w:tabs>
              <w:jc w:val="both"/>
              <w:rPr>
                <w:rFonts w:ascii="Times New Roman" w:hAnsi="Times New Roman" w:cs="Times New Roman"/>
                <w:b/>
                <w:noProof/>
                <w:sz w:val="24"/>
              </w:rPr>
            </w:pPr>
          </w:p>
          <w:p w14:paraId="21529639" w14:textId="77777777" w:rsidR="00994F93" w:rsidRPr="00B03B51" w:rsidRDefault="00994F93" w:rsidP="001C4B02">
            <w:pPr>
              <w:tabs>
                <w:tab w:val="left" w:pos="780"/>
              </w:tabs>
              <w:jc w:val="both"/>
              <w:rPr>
                <w:rFonts w:ascii="Times New Roman" w:hAnsi="Times New Roman" w:cs="Times New Roman"/>
                <w:b/>
                <w:noProof/>
                <w:sz w:val="24"/>
              </w:rPr>
            </w:pPr>
            <w:r w:rsidRPr="00B03B51">
              <w:rPr>
                <w:rFonts w:ascii="Times New Roman" w:hAnsi="Times New Roman" w:cs="Times New Roman"/>
                <w:b/>
                <w:sz w:val="24"/>
              </w:rPr>
              <w:t>a) Ieguldījumu dotācija D.92</w:t>
            </w:r>
          </w:p>
          <w:p w14:paraId="7859D1E9" w14:textId="77777777" w:rsidR="00994F93" w:rsidRPr="00B03B51" w:rsidRDefault="00994F93" w:rsidP="001C4B02">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t>Kapitāla iepludināšanu, kas “veidota no kapitāla pārvedumiem skaidrā naudā vai natūrā, ko valdība (..) veic citām institucionālām rezidentvienībām (..), lai finansētu visas izmaksas vai to daļu, tām iegādājoties pamatlīdzekļus”, ieraksta kā ieguldījumu dotāciju (D.92) (EKS 2010 4.152. punkts).</w:t>
            </w:r>
          </w:p>
          <w:p w14:paraId="28D6C33E" w14:textId="77777777" w:rsidR="00994F93" w:rsidRPr="00B03B51" w:rsidRDefault="00994F93" w:rsidP="001C4B02">
            <w:pPr>
              <w:tabs>
                <w:tab w:val="left" w:pos="790"/>
              </w:tabs>
              <w:jc w:val="both"/>
              <w:rPr>
                <w:rFonts w:ascii="Times New Roman" w:hAnsi="Times New Roman" w:cs="Times New Roman"/>
                <w:b/>
                <w:noProof/>
                <w:sz w:val="24"/>
              </w:rPr>
            </w:pPr>
          </w:p>
          <w:p w14:paraId="520CF511" w14:textId="77777777" w:rsidR="00994F93" w:rsidRPr="00B03B51" w:rsidRDefault="00994F93" w:rsidP="001C4B02">
            <w:pPr>
              <w:tabs>
                <w:tab w:val="left" w:pos="790"/>
              </w:tabs>
              <w:jc w:val="both"/>
              <w:rPr>
                <w:rFonts w:ascii="Times New Roman" w:hAnsi="Times New Roman" w:cs="Times New Roman"/>
                <w:b/>
                <w:noProof/>
                <w:sz w:val="24"/>
              </w:rPr>
            </w:pPr>
            <w:r w:rsidRPr="00B03B51">
              <w:rPr>
                <w:rFonts w:ascii="Times New Roman" w:hAnsi="Times New Roman" w:cs="Times New Roman"/>
                <w:b/>
                <w:sz w:val="24"/>
              </w:rPr>
              <w:t>b) Iepriekšējie zaudējumi D.99</w:t>
            </w:r>
          </w:p>
          <w:p w14:paraId="56227B52" w14:textId="77777777" w:rsidR="00994F93" w:rsidRPr="00B03B51" w:rsidRDefault="00994F93" w:rsidP="001C4B02">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t>Kapitāla iepludināšanu, kas veikta, lai segtu uzkrātos zaudējumus, ieraksta kā kapitāla pārvedumu (D.99) (EKS 2010 4.165. punkta b) apakšpunkts).</w:t>
            </w:r>
          </w:p>
          <w:p w14:paraId="03E1D315" w14:textId="77777777" w:rsidR="00994F93" w:rsidRPr="00B03B51" w:rsidRDefault="00994F93" w:rsidP="001C4B02">
            <w:pPr>
              <w:tabs>
                <w:tab w:val="left" w:pos="783"/>
              </w:tabs>
              <w:jc w:val="both"/>
              <w:rPr>
                <w:rFonts w:ascii="Times New Roman" w:hAnsi="Times New Roman" w:cs="Times New Roman"/>
                <w:b/>
                <w:noProof/>
                <w:sz w:val="24"/>
              </w:rPr>
            </w:pPr>
          </w:p>
          <w:p w14:paraId="096B7B63" w14:textId="77777777" w:rsidR="00994F93" w:rsidRPr="00B03B51" w:rsidRDefault="00994F93" w:rsidP="001C4B02">
            <w:pPr>
              <w:tabs>
                <w:tab w:val="left" w:pos="783"/>
              </w:tabs>
              <w:jc w:val="both"/>
              <w:rPr>
                <w:rFonts w:ascii="Times New Roman" w:hAnsi="Times New Roman" w:cs="Times New Roman"/>
                <w:b/>
                <w:noProof/>
                <w:sz w:val="24"/>
              </w:rPr>
            </w:pPr>
            <w:r w:rsidRPr="00B03B51">
              <w:rPr>
                <w:rFonts w:ascii="Times New Roman" w:hAnsi="Times New Roman" w:cs="Times New Roman"/>
                <w:b/>
                <w:sz w:val="24"/>
              </w:rPr>
              <w:t>c) Kotēto akciju iegāde F.5</w:t>
            </w:r>
          </w:p>
          <w:p w14:paraId="7B6945A0" w14:textId="77777777" w:rsidR="00994F93" w:rsidRPr="00B03B51" w:rsidRDefault="00994F93" w:rsidP="001C4B02">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t>Kapitāla iepludināšanu, kas izriet no tā, ka valdība iegādājas kotētas akcijas tādā pašā vērtībā, ieraksta kā darījumu ar akcijām un citu pašu kapitālu (F.5).</w:t>
            </w:r>
          </w:p>
          <w:p w14:paraId="10A101F7" w14:textId="77777777" w:rsidR="00994F93" w:rsidRPr="00B03B51" w:rsidRDefault="00994F93" w:rsidP="001C4B02">
            <w:pPr>
              <w:tabs>
                <w:tab w:val="left" w:pos="790"/>
              </w:tabs>
              <w:jc w:val="both"/>
              <w:rPr>
                <w:rFonts w:ascii="Times New Roman" w:hAnsi="Times New Roman" w:cs="Times New Roman"/>
                <w:b/>
                <w:noProof/>
                <w:sz w:val="24"/>
              </w:rPr>
            </w:pPr>
          </w:p>
          <w:p w14:paraId="0BD51782" w14:textId="77777777" w:rsidR="00994F93" w:rsidRPr="00B03B51" w:rsidRDefault="00994F93" w:rsidP="001C4B02">
            <w:pPr>
              <w:tabs>
                <w:tab w:val="left" w:pos="790"/>
              </w:tabs>
              <w:jc w:val="both"/>
              <w:rPr>
                <w:rFonts w:ascii="Times New Roman" w:hAnsi="Times New Roman" w:cs="Times New Roman"/>
                <w:b/>
                <w:noProof/>
                <w:sz w:val="24"/>
              </w:rPr>
            </w:pPr>
            <w:r w:rsidRPr="00B03B51">
              <w:rPr>
                <w:rFonts w:ascii="Times New Roman" w:hAnsi="Times New Roman" w:cs="Times New Roman"/>
                <w:b/>
                <w:sz w:val="24"/>
              </w:rPr>
              <w:t>d) Aizdevumi un obligācijas (F.3 un F.4)</w:t>
            </w:r>
          </w:p>
          <w:p w14:paraId="08F3813D" w14:textId="77777777" w:rsidR="00994F93" w:rsidRPr="00B03B51" w:rsidRDefault="00994F93" w:rsidP="001C4B02">
            <w:pPr>
              <w:tabs>
                <w:tab w:val="left" w:pos="790"/>
              </w:tabs>
              <w:jc w:val="both"/>
              <w:rPr>
                <w:rFonts w:ascii="Times New Roman" w:hAnsi="Times New Roman" w:cs="Times New Roman"/>
                <w:b/>
                <w:noProof/>
                <w:sz w:val="24"/>
              </w:rPr>
            </w:pPr>
          </w:p>
          <w:p w14:paraId="00B1BEAE" w14:textId="77777777" w:rsidR="00994F93" w:rsidRPr="00B03B51" w:rsidRDefault="00994F93" w:rsidP="00994F93">
            <w:pPr>
              <w:pStyle w:val="BodyText"/>
              <w:numPr>
                <w:ilvl w:val="2"/>
                <w:numId w:val="20"/>
              </w:numPr>
              <w:tabs>
                <w:tab w:val="left" w:pos="843"/>
              </w:tabs>
              <w:spacing w:before="0"/>
              <w:ind w:left="709" w:hanging="425"/>
              <w:jc w:val="both"/>
              <w:rPr>
                <w:rFonts w:ascii="Times New Roman" w:hAnsi="Times New Roman" w:cs="Times New Roman"/>
                <w:noProof/>
                <w:sz w:val="24"/>
              </w:rPr>
            </w:pPr>
            <w:r w:rsidRPr="00B03B51">
              <w:rPr>
                <w:rFonts w:ascii="Times New Roman" w:hAnsi="Times New Roman" w:cs="Times New Roman"/>
                <w:sz w:val="24"/>
              </w:rPr>
              <w:t>Aizdevumi – līdzekļu piešķīrumu aizdevuma veidā, ko apstiprina juridisks dokuments, kurā norādītas aizdevuma ņēmēja saistības (pamatsummas izpirkšanas datums un maksājamie procenti), ieraksta kā darījumu pozīcijā F.4.</w:t>
            </w:r>
          </w:p>
          <w:p w14:paraId="3DECD18F" w14:textId="77777777" w:rsidR="00994F93" w:rsidRPr="00B03B51" w:rsidRDefault="00994F93" w:rsidP="00994F93">
            <w:pPr>
              <w:pStyle w:val="BodyText"/>
              <w:numPr>
                <w:ilvl w:val="2"/>
                <w:numId w:val="20"/>
              </w:numPr>
              <w:tabs>
                <w:tab w:val="left" w:pos="843"/>
              </w:tabs>
              <w:spacing w:before="0"/>
              <w:ind w:left="709" w:hanging="425"/>
              <w:jc w:val="both"/>
              <w:rPr>
                <w:rFonts w:ascii="Times New Roman" w:hAnsi="Times New Roman" w:cs="Times New Roman"/>
                <w:noProof/>
                <w:sz w:val="24"/>
              </w:rPr>
            </w:pPr>
            <w:r w:rsidRPr="00B03B51">
              <w:rPr>
                <w:rFonts w:ascii="Times New Roman" w:hAnsi="Times New Roman" w:cs="Times New Roman"/>
                <w:sz w:val="24"/>
              </w:rPr>
              <w:t>Obligācijas – valdības piešķirtos līdzekļus sabiedrības emitēto obligāciju iegādei (arī šajā gadījumā jābūt apliecinošam juridiskam dokumentam) ieraksta kā darījumu pozīcijā F.3.</w:t>
            </w:r>
          </w:p>
          <w:p w14:paraId="41302534" w14:textId="77777777" w:rsidR="00994F93" w:rsidRPr="00B03B51" w:rsidRDefault="00994F93" w:rsidP="001C4B02">
            <w:pPr>
              <w:tabs>
                <w:tab w:val="left" w:pos="780"/>
              </w:tabs>
              <w:jc w:val="both"/>
              <w:rPr>
                <w:rFonts w:ascii="Times New Roman" w:hAnsi="Times New Roman" w:cs="Times New Roman"/>
                <w:b/>
                <w:noProof/>
                <w:sz w:val="24"/>
              </w:rPr>
            </w:pPr>
          </w:p>
          <w:p w14:paraId="6F10216A" w14:textId="6C7E48E5" w:rsidR="00994F93" w:rsidRPr="00B03B51" w:rsidRDefault="00994F93" w:rsidP="001C4B02">
            <w:pPr>
              <w:tabs>
                <w:tab w:val="left" w:pos="780"/>
              </w:tabs>
              <w:jc w:val="both"/>
              <w:rPr>
                <w:rFonts w:ascii="Times New Roman" w:hAnsi="Times New Roman" w:cs="Times New Roman"/>
                <w:b/>
                <w:noProof/>
                <w:sz w:val="24"/>
              </w:rPr>
            </w:pPr>
            <w:r w:rsidRPr="00B03B51">
              <w:rPr>
                <w:rFonts w:ascii="Times New Roman" w:hAnsi="Times New Roman" w:cs="Times New Roman"/>
                <w:b/>
                <w:sz w:val="24"/>
              </w:rPr>
              <w:t xml:space="preserve">e) Parāda </w:t>
            </w:r>
            <w:r w:rsidR="004A07B4" w:rsidRPr="00B03B51">
              <w:rPr>
                <w:rFonts w:ascii="Times New Roman" w:hAnsi="Times New Roman" w:cs="Times New Roman"/>
                <w:b/>
                <w:sz w:val="24"/>
              </w:rPr>
              <w:t>anulēšana</w:t>
            </w:r>
            <w:r w:rsidRPr="00B03B51">
              <w:rPr>
                <w:rFonts w:ascii="Times New Roman" w:hAnsi="Times New Roman" w:cs="Times New Roman"/>
                <w:b/>
                <w:sz w:val="24"/>
              </w:rPr>
              <w:t>/uzņemšanās</w:t>
            </w:r>
          </w:p>
          <w:p w14:paraId="58DEE46E" w14:textId="752709CB" w:rsidR="00994F93" w:rsidRPr="00B03B51" w:rsidRDefault="00994F93" w:rsidP="001C4B02">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t xml:space="preserve">Parāda </w:t>
            </w:r>
            <w:r w:rsidR="004A07B4" w:rsidRPr="00B03B51">
              <w:rPr>
                <w:rFonts w:ascii="Times New Roman" w:hAnsi="Times New Roman" w:cs="Times New Roman"/>
                <w:sz w:val="24"/>
              </w:rPr>
              <w:t>anulēšana</w:t>
            </w:r>
            <w:r w:rsidRPr="00B03B51">
              <w:rPr>
                <w:rFonts w:ascii="Times New Roman" w:hAnsi="Times New Roman" w:cs="Times New Roman"/>
                <w:sz w:val="24"/>
              </w:rPr>
              <w:t xml:space="preserve"> vai parāda uzņemšanās nozīmē kapitāla pārvedumu vai to, ka vienību privatizē, nepārsniedzot privatizācijas ieņēmumu summu (EKS 2010 20.227. punkts).</w:t>
            </w:r>
          </w:p>
          <w:p w14:paraId="79EE32CA" w14:textId="77777777" w:rsidR="00994F93" w:rsidRPr="00B03B51" w:rsidRDefault="00994F93" w:rsidP="001C4B02">
            <w:pPr>
              <w:tabs>
                <w:tab w:val="left" w:pos="737"/>
              </w:tabs>
              <w:jc w:val="both"/>
              <w:rPr>
                <w:rFonts w:ascii="Times New Roman" w:hAnsi="Times New Roman" w:cs="Times New Roman"/>
                <w:b/>
                <w:noProof/>
                <w:sz w:val="24"/>
              </w:rPr>
            </w:pPr>
          </w:p>
          <w:p w14:paraId="421F5FA0" w14:textId="77777777" w:rsidR="00994F93" w:rsidRPr="00B03B51" w:rsidRDefault="00994F93" w:rsidP="001C4B02">
            <w:pPr>
              <w:tabs>
                <w:tab w:val="left" w:pos="737"/>
              </w:tabs>
              <w:jc w:val="both"/>
              <w:rPr>
                <w:rFonts w:ascii="Times New Roman" w:hAnsi="Times New Roman" w:cs="Times New Roman"/>
                <w:b/>
                <w:noProof/>
                <w:sz w:val="24"/>
              </w:rPr>
            </w:pPr>
            <w:r w:rsidRPr="00B03B51">
              <w:rPr>
                <w:rFonts w:ascii="Times New Roman" w:hAnsi="Times New Roman" w:cs="Times New Roman"/>
                <w:b/>
                <w:sz w:val="24"/>
              </w:rPr>
              <w:t>f) Privatizācija F.5</w:t>
            </w:r>
          </w:p>
          <w:p w14:paraId="48A45ADC" w14:textId="3FE30597" w:rsidR="00994F93" w:rsidRPr="00B03B51" w:rsidRDefault="00994F93" w:rsidP="001C4B02">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t>Kapitāla iepludināšanu, ko veic kā daļu no privatizācijas procesa īstermiņā (mazāk nekā viens gads), kad valdība plāno saņemt atpakaļ savu naudu, ieraksta pozīcijā F.5 privatizācijas ieņēmumu summas robežās (saskaņā ar EKS 2010 20.227. punktā sniegto pamatojumu parāda</w:t>
            </w:r>
            <w:r w:rsidR="00A51C3F" w:rsidRPr="00B03B51">
              <w:rPr>
                <w:rFonts w:ascii="Times New Roman" w:hAnsi="Times New Roman" w:cs="Times New Roman"/>
                <w:sz w:val="24"/>
              </w:rPr>
              <w:t xml:space="preserve"> anulēšanas</w:t>
            </w:r>
            <w:r w:rsidRPr="00B03B51">
              <w:rPr>
                <w:rFonts w:ascii="Times New Roman" w:hAnsi="Times New Roman" w:cs="Times New Roman"/>
                <w:sz w:val="24"/>
              </w:rPr>
              <w:t>/uzņemšanās gadījumā; skat. arī iepriekš e) punktu).</w:t>
            </w:r>
          </w:p>
          <w:p w14:paraId="643E8CAD" w14:textId="77777777" w:rsidR="00994F93" w:rsidRPr="00B03B51" w:rsidRDefault="00994F93" w:rsidP="001C4B02">
            <w:pPr>
              <w:jc w:val="both"/>
              <w:rPr>
                <w:rFonts w:ascii="Times New Roman" w:eastAsia="Arial" w:hAnsi="Times New Roman" w:cs="Times New Roman"/>
                <w:noProof/>
                <w:sz w:val="24"/>
                <w:szCs w:val="20"/>
              </w:rPr>
            </w:pPr>
          </w:p>
          <w:p w14:paraId="4EA7B21F" w14:textId="77777777" w:rsidR="00994F93" w:rsidRPr="00B03B51" w:rsidRDefault="00994F93" w:rsidP="001C4B02">
            <w:pPr>
              <w:jc w:val="both"/>
              <w:rPr>
                <w:rFonts w:ascii="Times New Roman" w:hAnsi="Times New Roman" w:cs="Times New Roman"/>
                <w:b/>
                <w:noProof/>
                <w:sz w:val="24"/>
              </w:rPr>
            </w:pPr>
            <w:r w:rsidRPr="00B03B51">
              <w:rPr>
                <w:rFonts w:ascii="Times New Roman" w:hAnsi="Times New Roman" w:cs="Times New Roman"/>
                <w:b/>
                <w:sz w:val="24"/>
              </w:rPr>
              <w:t>Robežgadījumi</w:t>
            </w:r>
          </w:p>
          <w:p w14:paraId="126930F9" w14:textId="77777777" w:rsidR="00994F93" w:rsidRPr="00B03B51" w:rsidRDefault="00994F93" w:rsidP="001C4B02">
            <w:pPr>
              <w:pStyle w:val="BodyText"/>
              <w:spacing w:before="0"/>
              <w:ind w:left="0" w:firstLine="0"/>
              <w:jc w:val="both"/>
              <w:rPr>
                <w:rFonts w:ascii="Times New Roman" w:hAnsi="Times New Roman" w:cs="Times New Roman"/>
                <w:noProof/>
                <w:sz w:val="24"/>
              </w:rPr>
            </w:pPr>
          </w:p>
          <w:p w14:paraId="68886E89" w14:textId="77777777" w:rsidR="00994F93" w:rsidRPr="00B03B51" w:rsidRDefault="00994F93" w:rsidP="001C4B02">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t>Turpmāk minētajās sarežģītajās jomās ir ļoti lietderīgi ievērot šādas divas vadlīnijas:</w:t>
            </w:r>
          </w:p>
          <w:p w14:paraId="550572CE" w14:textId="77777777" w:rsidR="00994F93" w:rsidRPr="00B03B51" w:rsidRDefault="00994F93" w:rsidP="001C4B02">
            <w:pPr>
              <w:pStyle w:val="BodyText"/>
              <w:spacing w:before="0"/>
              <w:ind w:left="0" w:firstLine="0"/>
              <w:jc w:val="both"/>
              <w:rPr>
                <w:rFonts w:ascii="Times New Roman" w:hAnsi="Times New Roman" w:cs="Times New Roman"/>
                <w:noProof/>
                <w:sz w:val="24"/>
              </w:rPr>
            </w:pPr>
          </w:p>
          <w:p w14:paraId="4D123E66" w14:textId="77777777" w:rsidR="00994F93" w:rsidRPr="00B03B51" w:rsidRDefault="00994F93" w:rsidP="00994F93">
            <w:pPr>
              <w:pStyle w:val="BodyText"/>
              <w:numPr>
                <w:ilvl w:val="2"/>
                <w:numId w:val="20"/>
              </w:numPr>
              <w:spacing w:before="0"/>
              <w:ind w:left="709" w:hanging="425"/>
              <w:jc w:val="both"/>
              <w:rPr>
                <w:rFonts w:ascii="Times New Roman" w:hAnsi="Times New Roman" w:cs="Times New Roman"/>
                <w:noProof/>
                <w:sz w:val="24"/>
              </w:rPr>
            </w:pPr>
            <w:r w:rsidRPr="00B03B51">
              <w:rPr>
                <w:rFonts w:ascii="Times New Roman" w:hAnsi="Times New Roman" w:cs="Times New Roman"/>
                <w:sz w:val="24"/>
              </w:rPr>
              <w:lastRenderedPageBreak/>
              <w:t>atkārtoti maksājumi liecina par neatlīdzināmiem pārvedumiem, tāpēc tos ieraksta kā kapitāla pārvedumu;</w:t>
            </w:r>
          </w:p>
          <w:p w14:paraId="4FF0A8AB" w14:textId="77777777" w:rsidR="00994F93" w:rsidRPr="00B03B51" w:rsidRDefault="00994F93" w:rsidP="00994F93">
            <w:pPr>
              <w:pStyle w:val="BodyText"/>
              <w:numPr>
                <w:ilvl w:val="2"/>
                <w:numId w:val="20"/>
              </w:numPr>
              <w:spacing w:before="0"/>
              <w:ind w:left="709" w:hanging="425"/>
              <w:jc w:val="both"/>
              <w:rPr>
                <w:rFonts w:ascii="Times New Roman" w:hAnsi="Times New Roman" w:cs="Times New Roman"/>
                <w:noProof/>
                <w:sz w:val="24"/>
              </w:rPr>
            </w:pPr>
            <w:r w:rsidRPr="00B03B51">
              <w:rPr>
                <w:rFonts w:ascii="Times New Roman" w:hAnsi="Times New Roman" w:cs="Times New Roman"/>
                <w:sz w:val="24"/>
              </w:rPr>
              <w:t>ja Eiropas Komisija klasificē valdības veiktos maksājumus kā “valsts atbalstu”, tas statistikas traktējumā jāņem vērā kā analītisks rādītājs. Plūsmas, kuras uzskata par valsts atbalstu, jāieraksta kā kapitāla pārvedumi.</w:t>
            </w:r>
          </w:p>
          <w:p w14:paraId="5E838B40" w14:textId="77777777" w:rsidR="00994F93" w:rsidRPr="00B03B51" w:rsidRDefault="00994F93" w:rsidP="001C4B02">
            <w:pPr>
              <w:tabs>
                <w:tab w:val="left" w:pos="780"/>
              </w:tabs>
              <w:jc w:val="both"/>
              <w:rPr>
                <w:rFonts w:ascii="Times New Roman" w:hAnsi="Times New Roman" w:cs="Times New Roman"/>
                <w:b/>
                <w:noProof/>
                <w:sz w:val="24"/>
              </w:rPr>
            </w:pPr>
          </w:p>
          <w:p w14:paraId="7781FC00" w14:textId="77777777" w:rsidR="00994F93" w:rsidRPr="00B03B51" w:rsidRDefault="00994F93" w:rsidP="001C4B02">
            <w:pPr>
              <w:tabs>
                <w:tab w:val="left" w:pos="780"/>
              </w:tabs>
              <w:jc w:val="both"/>
              <w:rPr>
                <w:rFonts w:ascii="Times New Roman" w:hAnsi="Times New Roman" w:cs="Times New Roman"/>
                <w:b/>
                <w:noProof/>
                <w:sz w:val="24"/>
              </w:rPr>
            </w:pPr>
            <w:r w:rsidRPr="00B03B51">
              <w:rPr>
                <w:rFonts w:ascii="Times New Roman" w:hAnsi="Times New Roman" w:cs="Times New Roman"/>
                <w:b/>
                <w:sz w:val="24"/>
              </w:rPr>
              <w:t>a) Paredzami turpmāki zaudējumi/ atkārtoti zaudējumi D.9</w:t>
            </w:r>
          </w:p>
          <w:p w14:paraId="50AD7F77" w14:textId="77777777" w:rsidR="00994F93" w:rsidRPr="00B03B51" w:rsidRDefault="00994F93" w:rsidP="001C4B02">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t>Kapitāla iepludināšana, kas veikta, lai segtu prognozētos zaudējumus, kā arī, iespējams, lai samazinātu sabiedrības aizņēmumu izmaksas, jāieraksta kā kapitāla pārvedums (D.9), pat ja tiek emitētas akcijas (vai to ekvivalents). Šajā saistībā pastāv augsta varbūtība, ka īpašo darbības apstākļu dēļ sabiedrība ilgstoši negūs peļņu. Ja ir emitētas akcijas, var pieņemt, ka tām nav nekādas vērtības.</w:t>
            </w:r>
          </w:p>
          <w:p w14:paraId="2AFFCEA0" w14:textId="77777777" w:rsidR="00994F93" w:rsidRPr="00B03B51" w:rsidRDefault="00994F93" w:rsidP="001C4B02">
            <w:pPr>
              <w:tabs>
                <w:tab w:val="left" w:pos="792"/>
              </w:tabs>
              <w:jc w:val="both"/>
              <w:rPr>
                <w:rFonts w:ascii="Times New Roman" w:hAnsi="Times New Roman" w:cs="Times New Roman"/>
                <w:b/>
                <w:noProof/>
                <w:sz w:val="24"/>
              </w:rPr>
            </w:pPr>
          </w:p>
          <w:p w14:paraId="32A69429" w14:textId="77777777" w:rsidR="00994F93" w:rsidRPr="00B03B51" w:rsidRDefault="00994F93" w:rsidP="001C4B02">
            <w:pPr>
              <w:tabs>
                <w:tab w:val="left" w:pos="792"/>
              </w:tabs>
              <w:jc w:val="both"/>
              <w:rPr>
                <w:rFonts w:ascii="Times New Roman" w:hAnsi="Times New Roman" w:cs="Times New Roman"/>
                <w:b/>
                <w:noProof/>
                <w:sz w:val="24"/>
              </w:rPr>
            </w:pPr>
            <w:r w:rsidRPr="00B03B51">
              <w:rPr>
                <w:rFonts w:ascii="Times New Roman" w:hAnsi="Times New Roman" w:cs="Times New Roman"/>
                <w:b/>
                <w:sz w:val="24"/>
              </w:rPr>
              <w:t>b) Prognozēts ienesīgs ieguldījums F.5</w:t>
            </w:r>
          </w:p>
          <w:p w14:paraId="3B8EC009" w14:textId="77777777" w:rsidR="00994F93" w:rsidRPr="00B03B51" w:rsidRDefault="00994F93" w:rsidP="001C4B02">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t>Kapitāla iepludināšanu publiskā sabiedrībā, ko veic, lai palielinātu valdībai turpmāk izmaksājamās dividendes, ieraksta pozīcijā F.5. To ievēro gadījumā, ja sabiedrība var brīvi izmantot līdzekļus peļņas palielināšanai un valdība prognozē peļņas normu no sava ieguldījuma, t. i., peļņu apmērā, kas līdzīgs tam, kādu tā varētu saņemt, iegādājoties tirgū kotētas akcijas.</w:t>
            </w:r>
          </w:p>
          <w:p w14:paraId="6E69FC9F" w14:textId="77777777" w:rsidR="00994F93" w:rsidRPr="00B03B51" w:rsidRDefault="00994F93" w:rsidP="001C4B02">
            <w:pPr>
              <w:tabs>
                <w:tab w:val="left" w:pos="329"/>
              </w:tabs>
              <w:jc w:val="both"/>
              <w:rPr>
                <w:rFonts w:ascii="Times New Roman" w:hAnsi="Times New Roman" w:cs="Times New Roman"/>
                <w:b/>
                <w:noProof/>
                <w:sz w:val="24"/>
                <w:szCs w:val="24"/>
              </w:rPr>
            </w:pPr>
          </w:p>
          <w:p w14:paraId="730D5A6B" w14:textId="77777777" w:rsidR="00994F93" w:rsidRPr="00B03B51" w:rsidRDefault="00994F93" w:rsidP="001C4B02">
            <w:pPr>
              <w:tabs>
                <w:tab w:val="left" w:pos="329"/>
              </w:tabs>
              <w:jc w:val="both"/>
              <w:rPr>
                <w:rFonts w:ascii="Times New Roman" w:hAnsi="Times New Roman" w:cs="Times New Roman"/>
                <w:b/>
                <w:noProof/>
                <w:sz w:val="24"/>
                <w:szCs w:val="24"/>
              </w:rPr>
            </w:pPr>
            <w:r w:rsidRPr="00B03B51">
              <w:rPr>
                <w:rFonts w:ascii="Times New Roman" w:hAnsi="Times New Roman" w:cs="Times New Roman"/>
                <w:b/>
                <w:sz w:val="24"/>
                <w:szCs w:val="24"/>
              </w:rPr>
              <w:t>c) Sadarbība ar partneri no privātā sektora F.5</w:t>
            </w:r>
          </w:p>
          <w:p w14:paraId="6252A20C" w14:textId="77777777" w:rsidR="00994F93" w:rsidRPr="00B03B51" w:rsidRDefault="00994F93" w:rsidP="001C4B02">
            <w:pPr>
              <w:jc w:val="both"/>
              <w:rPr>
                <w:rFonts w:ascii="Times New Roman" w:hAnsi="Times New Roman" w:cs="Times New Roman"/>
                <w:noProof/>
                <w:sz w:val="24"/>
                <w:szCs w:val="24"/>
              </w:rPr>
            </w:pPr>
            <w:r w:rsidRPr="00B03B51">
              <w:rPr>
                <w:rFonts w:ascii="Times New Roman" w:hAnsi="Times New Roman" w:cs="Times New Roman"/>
                <w:sz w:val="24"/>
                <w:szCs w:val="24"/>
              </w:rPr>
              <w:t>Ja valdība kopīgi ar privātu partneri veic kapitāla iepludināšanu vienībā, kā rezultātā īpašumtiesības, tostarp tiesības uz īpašuma ienākumu, tiek mainītas proporcionāli ieguldījuma vērtībai, tas liecina, ka ieguldījums paredzams kā ienesīgs un to var ierakstīt pozīcijā F.5.</w:t>
            </w:r>
          </w:p>
          <w:p w14:paraId="171F84D9" w14:textId="77777777" w:rsidR="00994F93" w:rsidRPr="00B03B51" w:rsidRDefault="00994F93" w:rsidP="001C4B02">
            <w:pPr>
              <w:jc w:val="both"/>
              <w:rPr>
                <w:rFonts w:ascii="Times New Roman" w:hAnsi="Times New Roman" w:cs="Times New Roman"/>
                <w:noProof/>
                <w:sz w:val="24"/>
                <w:szCs w:val="24"/>
              </w:rPr>
            </w:pPr>
            <w:r w:rsidRPr="00B03B51">
              <w:rPr>
                <w:rFonts w:ascii="Times New Roman" w:hAnsi="Times New Roman" w:cs="Times New Roman"/>
                <w:sz w:val="24"/>
                <w:szCs w:val="24"/>
              </w:rPr>
              <w:t>Ja šāda proporcionalitāte nepastāv (īpašumtiesības nemainās tādā pašā proporcijā), tas var liecināt, ka valdība tiecas sasniegt valsts politikas mērķus un veic neatlīdzināmu pārvedumu. Šādā gadījumā ieguldījumu ieraksta kā kapitāla pārvedumu.</w:t>
            </w:r>
          </w:p>
          <w:p w14:paraId="2F382E2F" w14:textId="77777777" w:rsidR="00994F93" w:rsidRPr="00B03B51" w:rsidRDefault="00994F93" w:rsidP="001C4B02">
            <w:pPr>
              <w:tabs>
                <w:tab w:val="left" w:pos="339"/>
              </w:tabs>
              <w:jc w:val="both"/>
              <w:rPr>
                <w:rFonts w:ascii="Times New Roman" w:hAnsi="Times New Roman" w:cs="Times New Roman"/>
                <w:b/>
                <w:noProof/>
                <w:sz w:val="24"/>
                <w:szCs w:val="24"/>
              </w:rPr>
            </w:pPr>
          </w:p>
          <w:p w14:paraId="19508124" w14:textId="77777777" w:rsidR="00994F93" w:rsidRPr="00B03B51" w:rsidRDefault="00994F93" w:rsidP="001C4B02">
            <w:pPr>
              <w:tabs>
                <w:tab w:val="left" w:pos="339"/>
              </w:tabs>
              <w:jc w:val="both"/>
              <w:rPr>
                <w:rFonts w:ascii="Times New Roman" w:hAnsi="Times New Roman" w:cs="Times New Roman"/>
                <w:b/>
                <w:noProof/>
                <w:sz w:val="24"/>
                <w:szCs w:val="24"/>
              </w:rPr>
            </w:pPr>
            <w:r w:rsidRPr="00B03B51">
              <w:rPr>
                <w:rFonts w:ascii="Times New Roman" w:hAnsi="Times New Roman" w:cs="Times New Roman"/>
                <w:b/>
                <w:sz w:val="24"/>
                <w:szCs w:val="24"/>
              </w:rPr>
              <w:t>d) Struktūra pārvalda finanšu aktīvus valdības vārdā F.5</w:t>
            </w:r>
          </w:p>
          <w:p w14:paraId="4077012B" w14:textId="77777777" w:rsidR="00994F93" w:rsidRPr="00B03B51" w:rsidRDefault="00994F93" w:rsidP="001C4B02">
            <w:pPr>
              <w:jc w:val="both"/>
              <w:rPr>
                <w:rFonts w:ascii="Times New Roman" w:hAnsi="Times New Roman" w:cs="Times New Roman"/>
                <w:noProof/>
                <w:sz w:val="24"/>
                <w:szCs w:val="24"/>
              </w:rPr>
            </w:pPr>
            <w:r w:rsidRPr="00B03B51">
              <w:rPr>
                <w:rFonts w:ascii="Times New Roman" w:hAnsi="Times New Roman" w:cs="Times New Roman"/>
                <w:sz w:val="24"/>
                <w:szCs w:val="24"/>
              </w:rPr>
              <w:t>Kapitāla iepludināšanu publiskā kontrolakciju sabiedrībā/centrālajā birojā vai finanšu sabiedrībā, kas valdības vārdā rentabli pārvalda aktīvus, lai iegūtu vairāk finanšu aktīvu, var ierakstīt kā darījumu pozīcijā F.5. Šajā gadījumā piemēro šādu nosacījumu – aktīvi tiek pārvaldīti, lai palielinātu valdības peļņu, un tiek prognozētas lielākas dividendes.</w:t>
            </w:r>
          </w:p>
          <w:p w14:paraId="3074A637" w14:textId="77777777" w:rsidR="00994F93" w:rsidRPr="00B03B51" w:rsidRDefault="00994F93" w:rsidP="001C4B02">
            <w:pPr>
              <w:jc w:val="both"/>
              <w:rPr>
                <w:rFonts w:ascii="Times New Roman" w:hAnsi="Times New Roman" w:cs="Times New Roman"/>
                <w:b/>
                <w:noProof/>
                <w:sz w:val="24"/>
                <w:szCs w:val="24"/>
              </w:rPr>
            </w:pPr>
          </w:p>
          <w:p w14:paraId="06194C6C" w14:textId="77777777" w:rsidR="00994F93" w:rsidRPr="00B03B51" w:rsidRDefault="00994F93" w:rsidP="001C4B02">
            <w:pPr>
              <w:jc w:val="both"/>
              <w:rPr>
                <w:rFonts w:ascii="Times New Roman" w:hAnsi="Times New Roman" w:cs="Times New Roman"/>
                <w:b/>
                <w:noProof/>
                <w:sz w:val="24"/>
                <w:szCs w:val="24"/>
              </w:rPr>
            </w:pPr>
            <w:r w:rsidRPr="00B03B51">
              <w:rPr>
                <w:rFonts w:ascii="Times New Roman" w:hAnsi="Times New Roman" w:cs="Times New Roman"/>
                <w:b/>
                <w:sz w:val="24"/>
                <w:szCs w:val="24"/>
              </w:rPr>
              <w:t>e) Aizdevumi, ko piešķir noteiktos apstākļos</w:t>
            </w:r>
          </w:p>
          <w:p w14:paraId="139586CE" w14:textId="77777777" w:rsidR="00994F93" w:rsidRPr="00B03B51" w:rsidRDefault="00994F93" w:rsidP="001C4B02">
            <w:pPr>
              <w:jc w:val="both"/>
              <w:rPr>
                <w:rFonts w:ascii="Times New Roman" w:eastAsia="Arial" w:hAnsi="Times New Roman" w:cs="Times New Roman"/>
                <w:noProof/>
                <w:sz w:val="24"/>
                <w:szCs w:val="24"/>
              </w:rPr>
            </w:pPr>
            <w:r w:rsidRPr="00B03B51">
              <w:rPr>
                <w:rFonts w:ascii="Times New Roman" w:hAnsi="Times New Roman" w:cs="Times New Roman"/>
                <w:sz w:val="24"/>
                <w:szCs w:val="24"/>
              </w:rPr>
              <w:t>Noteiktos apstākļos (piemēram, finanšu darījumu anulēšana, uzņēmējdarbības glābšana, eksporta apdrošināšana u. c.) rūpīgi jāpārbauda valdības piešķirto aizdevumu (un līgumsaistību) pazīmes, lai noteiktu, vai ir iespējama to klasifikācija aizdevumu pozīcijā F.4. Īpašā gadījumā, kurā aizdevumu saņēmusī publiskā sabiedrība atrodas finanšu grūtībās un nespēj atmaksāt aizdevumu, līdzekļu piešķīrumu ieraksta kā kapitāla pārvedumu (D.99). Ja publiska sabiedrība (un, iespējams, dažos gadījumos arī privāta sabiedrība) spēj atmaksāt lielāko aizdevuma daļu, taču ne visu aizdevumu, tad aizdevumu var sadalīt starp F.4 pozīciju un citu kapitāla pārvedumu pozīciju (D.99) (skat. EKS 2010 1.72. punktu un 1.76.–1.77. punktu).</w:t>
            </w:r>
          </w:p>
        </w:tc>
      </w:tr>
    </w:tbl>
    <w:p w14:paraId="324013F7" w14:textId="77777777" w:rsidR="00994F93" w:rsidRPr="00B03B51" w:rsidRDefault="00994F93" w:rsidP="00994F93">
      <w:pPr>
        <w:jc w:val="both"/>
        <w:rPr>
          <w:rFonts w:ascii="Times New Roman" w:eastAsia="Arial" w:hAnsi="Times New Roman" w:cs="Times New Roman"/>
          <w:noProof/>
          <w:sz w:val="24"/>
          <w:szCs w:val="18"/>
        </w:rPr>
      </w:pPr>
    </w:p>
    <w:p w14:paraId="5F4ABB0D" w14:textId="77777777" w:rsidR="00994F93" w:rsidRPr="00B03B51" w:rsidRDefault="00994F93" w:rsidP="00C171EC">
      <w:pPr>
        <w:pStyle w:val="Heading3"/>
        <w:keepNext/>
        <w:keepLines/>
        <w:tabs>
          <w:tab w:val="left" w:pos="1267"/>
        </w:tabs>
        <w:ind w:left="0" w:firstLine="0"/>
        <w:jc w:val="both"/>
        <w:rPr>
          <w:rFonts w:ascii="Times New Roman" w:hAnsi="Times New Roman" w:cs="Times New Roman"/>
          <w:noProof/>
          <w:sz w:val="24"/>
        </w:rPr>
      </w:pPr>
      <w:bookmarkStart w:id="212" w:name="3.2.3_Rationale_of_the_treatment"/>
      <w:bookmarkStart w:id="213" w:name="_Toc67565088"/>
      <w:bookmarkEnd w:id="212"/>
      <w:r w:rsidRPr="00B03B51">
        <w:rPr>
          <w:rFonts w:ascii="Times New Roman" w:hAnsi="Times New Roman" w:cs="Times New Roman"/>
          <w:sz w:val="24"/>
        </w:rPr>
        <w:lastRenderedPageBreak/>
        <w:t>3.2.3. Traktējuma pamatojums</w:t>
      </w:r>
      <w:bookmarkEnd w:id="213"/>
    </w:p>
    <w:p w14:paraId="50F6D722" w14:textId="77777777" w:rsidR="00994F93" w:rsidRPr="00721944" w:rsidRDefault="00994F93" w:rsidP="00C171EC">
      <w:pPr>
        <w:keepNext/>
        <w:rPr>
          <w:rFonts w:ascii="Times New Roman" w:hAnsi="Times New Roman" w:cs="Times New Roman"/>
          <w:noProof/>
          <w:sz w:val="24"/>
          <w:szCs w:val="24"/>
        </w:rPr>
      </w:pPr>
      <w:bookmarkStart w:id="214" w:name="3.2.3.1_Three_common_ways_of_providing_f"/>
      <w:bookmarkEnd w:id="214"/>
    </w:p>
    <w:p w14:paraId="28A82565" w14:textId="77777777" w:rsidR="00994F93" w:rsidRPr="00B03B51" w:rsidRDefault="00994F93" w:rsidP="00C171EC">
      <w:pPr>
        <w:pStyle w:val="Heading6"/>
        <w:keepNext/>
        <w:keepLines/>
        <w:tabs>
          <w:tab w:val="left" w:pos="1267"/>
        </w:tabs>
        <w:ind w:left="0" w:firstLine="0"/>
        <w:jc w:val="both"/>
        <w:rPr>
          <w:rFonts w:ascii="Times New Roman" w:hAnsi="Times New Roman" w:cs="Times New Roman"/>
          <w:noProof/>
          <w:sz w:val="24"/>
        </w:rPr>
      </w:pPr>
      <w:r w:rsidRPr="00B03B51">
        <w:rPr>
          <w:rFonts w:ascii="Times New Roman" w:hAnsi="Times New Roman" w:cs="Times New Roman"/>
          <w:sz w:val="24"/>
        </w:rPr>
        <w:t>3.2.3.1. TRĪS IZPLATĪTI VEIDI, KĀ PUBLISKĀM SABIEDRĪBĀM PIEŠĶIR LĪDZEKĻUS</w:t>
      </w:r>
    </w:p>
    <w:p w14:paraId="55AF58B3" w14:textId="77777777" w:rsidR="00994F93" w:rsidRPr="00B03B51" w:rsidRDefault="00994F93" w:rsidP="00C171EC">
      <w:pPr>
        <w:pStyle w:val="BodyText"/>
        <w:keepNext/>
        <w:keepLines/>
        <w:tabs>
          <w:tab w:val="left" w:pos="843"/>
        </w:tabs>
        <w:spacing w:before="0"/>
        <w:ind w:left="0" w:firstLine="0"/>
        <w:jc w:val="both"/>
        <w:rPr>
          <w:rFonts w:ascii="Times New Roman" w:hAnsi="Times New Roman" w:cs="Times New Roman"/>
          <w:noProof/>
          <w:sz w:val="24"/>
        </w:rPr>
      </w:pPr>
    </w:p>
    <w:p w14:paraId="42EAB008" w14:textId="77777777" w:rsidR="00994F93" w:rsidRPr="00B03B51" w:rsidRDefault="00994F93" w:rsidP="00C171EC">
      <w:pPr>
        <w:pStyle w:val="BodyText"/>
        <w:keepN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29. Valdība noteiktā brīdī var palielināt publiskas sabiedrības finanšu aktīvus (parasti – naudas līdzekļus), parasti izmantojot kādu no šādiem trīs veidiem: a) piešķirot dotāciju; b) piešķirot pašu kapitālu; c) piešķirot aizdevuma kapitālu. Nacionālajos kontos šos veidus ir būtiski skaidri nošķirt, jo saskaņā ar EKS 2010 paredzēto darījumu un aktīvu klasifikāciju tie tiek traktēti atšķirīgi.</w:t>
      </w:r>
    </w:p>
    <w:p w14:paraId="406FF70D"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226586E4" w14:textId="77777777" w:rsidR="00994F93" w:rsidRPr="00B03B51" w:rsidRDefault="00994F93" w:rsidP="00994F93">
      <w:pPr>
        <w:pStyle w:val="BodyText"/>
        <w:tabs>
          <w:tab w:val="left" w:pos="1126"/>
        </w:tabs>
        <w:spacing w:before="0"/>
        <w:ind w:left="284" w:firstLine="0"/>
        <w:jc w:val="both"/>
        <w:rPr>
          <w:rFonts w:ascii="Times New Roman" w:hAnsi="Times New Roman" w:cs="Times New Roman"/>
          <w:noProof/>
          <w:sz w:val="24"/>
        </w:rPr>
      </w:pPr>
      <w:r w:rsidRPr="00B03B51">
        <w:rPr>
          <w:rFonts w:ascii="Times New Roman" w:hAnsi="Times New Roman" w:cs="Times New Roman"/>
          <w:bCs/>
          <w:sz w:val="24"/>
        </w:rPr>
        <w:t xml:space="preserve">a) </w:t>
      </w:r>
      <w:r w:rsidRPr="00B03B51">
        <w:rPr>
          <w:rFonts w:ascii="Times New Roman" w:hAnsi="Times New Roman" w:cs="Times New Roman"/>
          <w:b/>
          <w:bCs/>
          <w:sz w:val="24"/>
        </w:rPr>
        <w:t>Dotācijas (t. i., dāvinājuma) piešķiršana</w:t>
      </w:r>
      <w:r w:rsidRPr="00B03B51">
        <w:rPr>
          <w:rFonts w:ascii="Times New Roman" w:hAnsi="Times New Roman" w:cs="Times New Roman"/>
          <w:bCs/>
          <w:sz w:val="24"/>
        </w:rPr>
        <w:t> – nacionālo kontu izpratnē tas ir kapitāla pārvedums.</w:t>
      </w:r>
      <w:r w:rsidRPr="00B03B51">
        <w:rPr>
          <w:rFonts w:ascii="Times New Roman" w:hAnsi="Times New Roman" w:cs="Times New Roman"/>
          <w:sz w:val="24"/>
        </w:rPr>
        <w:t xml:space="preserve"> Tas var mainīt neto aizdevumu/aizņēmumu (B.9), kā arī neto vērtību uzkrājuma un kapitāla pārvedumu dēļ (B.10.1.) un tādējādi sabiedrības pašu līdzekļus. Šādu kapitāla pārvedumu būtiska pazīme ir tā, ka tie ir darījumi, kādus parasti veic vienīgi valdība. Šādu pārvedumu saņēmēji parasti ir uzņēmumi, kuri nestrādā tirgū konkurences apstākļos. Šādi rīkojoties, valdība negaida no sava ieguldījuma nekādu peļņu dividenžu veidā (šādus pārvedumus saņemošais uzņēmums lielāko daļu laika nemaksā dividendes) vai citu ieņēmumu veidā, kuri parasti tiek gūti privatizācijā. Valdības rīkojas ar nolūku īstenot valsts politikas mērķus un gaida vienīgi to, ka izlietotie līdzekļi dos noteiktus rezultātus ekonomikas vai sociālajā jomā.</w:t>
      </w:r>
    </w:p>
    <w:p w14:paraId="2BF49226" w14:textId="77777777" w:rsidR="00994F93" w:rsidRPr="00B03B51" w:rsidRDefault="00994F93" w:rsidP="00994F93">
      <w:pPr>
        <w:pStyle w:val="BodyText"/>
        <w:tabs>
          <w:tab w:val="left" w:pos="1126"/>
        </w:tabs>
        <w:spacing w:before="0"/>
        <w:ind w:left="284" w:firstLine="0"/>
        <w:jc w:val="both"/>
        <w:rPr>
          <w:rFonts w:ascii="Times New Roman" w:hAnsi="Times New Roman" w:cs="Times New Roman"/>
          <w:b/>
          <w:noProof/>
          <w:sz w:val="24"/>
        </w:rPr>
      </w:pPr>
    </w:p>
    <w:p w14:paraId="609793EB" w14:textId="77777777" w:rsidR="00994F93" w:rsidRPr="00B03B51" w:rsidRDefault="00994F93" w:rsidP="00994F93">
      <w:pPr>
        <w:pStyle w:val="BodyText"/>
        <w:tabs>
          <w:tab w:val="left" w:pos="1126"/>
        </w:tabs>
        <w:spacing w:before="0"/>
        <w:ind w:left="284" w:firstLine="0"/>
        <w:jc w:val="both"/>
        <w:rPr>
          <w:rFonts w:ascii="Times New Roman" w:hAnsi="Times New Roman" w:cs="Times New Roman"/>
          <w:noProof/>
          <w:sz w:val="24"/>
        </w:rPr>
      </w:pPr>
      <w:r w:rsidRPr="00B03B51">
        <w:rPr>
          <w:rFonts w:ascii="Times New Roman" w:hAnsi="Times New Roman" w:cs="Times New Roman"/>
          <w:bCs/>
          <w:sz w:val="24"/>
        </w:rPr>
        <w:t xml:space="preserve">b) </w:t>
      </w:r>
      <w:r w:rsidRPr="00B03B51">
        <w:rPr>
          <w:rFonts w:ascii="Times New Roman" w:hAnsi="Times New Roman" w:cs="Times New Roman"/>
          <w:b/>
          <w:bCs/>
          <w:sz w:val="24"/>
        </w:rPr>
        <w:t>Pašu kapitāla piešķiršana</w:t>
      </w:r>
      <w:r w:rsidRPr="00B03B51">
        <w:rPr>
          <w:rFonts w:ascii="Times New Roman" w:hAnsi="Times New Roman" w:cs="Times New Roman"/>
          <w:bCs/>
          <w:sz w:val="24"/>
        </w:rPr>
        <w:t> – tas ir finanšu darījums ar akcijām un citu pašu kapitālu.</w:t>
      </w:r>
      <w:r w:rsidRPr="00B03B51">
        <w:rPr>
          <w:rFonts w:ascii="Times New Roman" w:hAnsi="Times New Roman" w:cs="Times New Roman"/>
          <w:sz w:val="24"/>
        </w:rPr>
        <w:t xml:space="preserve"> Neto aizdevums/aizņēmums (B.9) un neto vērtība nemainās (bet pašu kapitāla palielināšanas dēļ mainās pašu līdzekļi). Parasti sabiedrības, kuras palielina pašu kapitālu, konkurē tirgos, un tām ir jāstiprina savs finanšu stāvoklis, palielinot pašu līdzekļus, lai plānotu ieguldījumus u. tml. Piešķirot sabiedrībai pašu kapitālu, valdība rīkojas līdzīgi privātam akcionāram, pamatoti gaidot pietiekamu peļņu no ieguldījuma. Šajā saistībā faktiskie dividenžu maksājumi akcionāriem un/vai pozitīva akciju vērtības tendence ir izšķirīgi kritēriji, lai iepludināšanu traktētu kā pašu kapitāla palielinājumu. Turklāt, kā parādīts lēmumu pieņemšanas shēmā (skat. šīs nodaļās beigās), privāto akcionāru dalība uzņēmumā arī ir spēcīgs rādītājs ierakstīšanai pašu kapitālā, jo īpaši tad, ja akcijas tiek kotētas biržā. Tomēr privāto ieguldītāju daļa sabiedrības pašu kapitālā nedrīkst mazināties līdz ar valdības veiktu jaunu akciju iegādi (kas samazinātu privāto ieguldītāju līdzdalību tiktāl, ka tie vairs nevarētu realizēt savu ietekmi). Viņiem arī jāuzņemas tādi paši riski un jāsaņem priekšrocības, kādus attiecīgi uzņemas un saņem valdība, jo īpaši saistībā ar tiesībām uz sabiedrības neto aktīviem likvidācijas gadījumā (gadījums, kad tiek emitētas akcijas ar īpašām tiesībām).</w:t>
      </w:r>
    </w:p>
    <w:p w14:paraId="32128F97" w14:textId="77777777" w:rsidR="00994F93" w:rsidRPr="00B03B51" w:rsidRDefault="00994F93" w:rsidP="00994F93">
      <w:pPr>
        <w:pStyle w:val="BodyText"/>
        <w:tabs>
          <w:tab w:val="left" w:pos="1126"/>
        </w:tabs>
        <w:spacing w:before="0"/>
        <w:ind w:left="284" w:firstLine="0"/>
        <w:jc w:val="both"/>
        <w:rPr>
          <w:rFonts w:ascii="Times New Roman" w:hAnsi="Times New Roman" w:cs="Times New Roman"/>
          <w:b/>
          <w:noProof/>
          <w:sz w:val="24"/>
        </w:rPr>
      </w:pPr>
    </w:p>
    <w:p w14:paraId="0D1B58F1" w14:textId="77777777" w:rsidR="00994F93" w:rsidRPr="00B03B51" w:rsidRDefault="00994F93" w:rsidP="00994F93">
      <w:pPr>
        <w:pStyle w:val="BodyText"/>
        <w:tabs>
          <w:tab w:val="left" w:pos="1126"/>
        </w:tabs>
        <w:spacing w:before="0"/>
        <w:ind w:left="284" w:firstLine="0"/>
        <w:jc w:val="both"/>
        <w:rPr>
          <w:rFonts w:ascii="Times New Roman" w:hAnsi="Times New Roman" w:cs="Times New Roman"/>
          <w:noProof/>
          <w:sz w:val="24"/>
        </w:rPr>
      </w:pPr>
      <w:r w:rsidRPr="00B03B51">
        <w:rPr>
          <w:rFonts w:ascii="Times New Roman" w:hAnsi="Times New Roman" w:cs="Times New Roman"/>
          <w:sz w:val="24"/>
        </w:rPr>
        <w:t xml:space="preserve">c) </w:t>
      </w:r>
      <w:r w:rsidRPr="00B03B51">
        <w:rPr>
          <w:rFonts w:ascii="Times New Roman" w:hAnsi="Times New Roman" w:cs="Times New Roman"/>
          <w:b/>
          <w:bCs/>
          <w:sz w:val="24"/>
        </w:rPr>
        <w:t>Aizdevuma kapitāla piešķiršana (vai, iespējams, sabiedrības obligāciju iegāde)</w:t>
      </w:r>
      <w:r w:rsidRPr="00B03B51">
        <w:rPr>
          <w:rFonts w:ascii="Times New Roman" w:hAnsi="Times New Roman" w:cs="Times New Roman"/>
          <w:sz w:val="24"/>
        </w:rPr>
        <w:t> – kopumā tas ir finanšu darījums. Šajā gadījumā nemainās ne valdības, ne komercsabiedrības neto aizdevums/aizņēmums (B.9), ne arī tīrā vērtība (B.90), un nemainās arī pašu līdzekļi. Valdība kā aizdevēja gaida, ka publiska sabiedrība kā aizdevuma ņēmēja spēs atmaksāt aizdevumus atbilstoši sākotnēji saskaņotajam grafikam.</w:t>
      </w:r>
    </w:p>
    <w:p w14:paraId="6D2FDB28" w14:textId="77777777" w:rsidR="00994F93" w:rsidRPr="00B03B51" w:rsidRDefault="00994F93" w:rsidP="00994F93">
      <w:pPr>
        <w:jc w:val="both"/>
        <w:rPr>
          <w:rFonts w:ascii="Times New Roman" w:hAnsi="Times New Roman" w:cs="Times New Roman"/>
          <w:noProof/>
          <w:sz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1"/>
      </w:tblGrid>
      <w:tr w:rsidR="00994F93" w:rsidRPr="00B03B51" w14:paraId="5729C39B" w14:textId="77777777" w:rsidTr="001C4B02">
        <w:tc>
          <w:tcPr>
            <w:tcW w:w="9281" w:type="dxa"/>
          </w:tcPr>
          <w:p w14:paraId="5FF783EB" w14:textId="77777777" w:rsidR="00994F93" w:rsidRPr="00B03B51" w:rsidRDefault="00994F93" w:rsidP="001C4B02">
            <w:pPr>
              <w:pStyle w:val="Heading3"/>
              <w:ind w:left="0" w:firstLine="0"/>
              <w:jc w:val="both"/>
              <w:outlineLvl w:val="2"/>
              <w:rPr>
                <w:rFonts w:ascii="Times New Roman" w:hAnsi="Times New Roman" w:cs="Times New Roman"/>
                <w:noProof/>
                <w:sz w:val="24"/>
              </w:rPr>
            </w:pPr>
            <w:bookmarkStart w:id="215" w:name="_Toc67565089"/>
            <w:r w:rsidRPr="00B03B51">
              <w:rPr>
                <w:rFonts w:ascii="Times New Roman" w:hAnsi="Times New Roman" w:cs="Times New Roman"/>
                <w:sz w:val="24"/>
              </w:rPr>
              <w:t>2. ierāmējums. Pietiekama peļņas norma</w:t>
            </w:r>
            <w:bookmarkEnd w:id="215"/>
          </w:p>
          <w:p w14:paraId="358CA7E9" w14:textId="77777777" w:rsidR="00994F93" w:rsidRPr="00B03B51" w:rsidRDefault="00994F93" w:rsidP="001C4B02">
            <w:pPr>
              <w:pStyle w:val="BodyText"/>
              <w:spacing w:before="0"/>
              <w:ind w:left="0" w:firstLine="0"/>
              <w:jc w:val="both"/>
              <w:rPr>
                <w:rFonts w:ascii="Times New Roman" w:hAnsi="Times New Roman" w:cs="Times New Roman"/>
                <w:noProof/>
                <w:sz w:val="24"/>
              </w:rPr>
            </w:pPr>
          </w:p>
          <w:p w14:paraId="701271CE" w14:textId="77777777" w:rsidR="00994F93" w:rsidRPr="00B03B51" w:rsidRDefault="00994F93" w:rsidP="001C4B02">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t>Lai noskaidrotu, vai valdība rīkojas tāpat kā privātais ieguldītājs/akcionārs, lai kapitāla ieguldījumu varētu traktēt kā pašu kapitāla palielinājumu (F.5), izšķirīgs rādītājs ir no ieguldījuma gaidāmā peļņa (ko parasti dēvē par pašu kapitāla atdevi (</w:t>
            </w:r>
            <w:r w:rsidRPr="00B03B51">
              <w:rPr>
                <w:rFonts w:ascii="Times New Roman" w:hAnsi="Times New Roman" w:cs="Times New Roman"/>
                <w:i/>
                <w:iCs/>
                <w:sz w:val="24"/>
              </w:rPr>
              <w:t>RoE</w:t>
            </w:r>
            <w:r w:rsidRPr="00B03B51">
              <w:rPr>
                <w:rFonts w:ascii="Times New Roman" w:hAnsi="Times New Roman" w:cs="Times New Roman"/>
                <w:sz w:val="24"/>
              </w:rPr>
              <w:t xml:space="preserve">)). Šāda atdeve dividenžu vai turēšanas guvumu veidā liecina par to, ka juridisks finanšu instruments </w:t>
            </w:r>
            <w:r w:rsidRPr="00B03B51">
              <w:rPr>
                <w:rFonts w:ascii="Times New Roman" w:hAnsi="Times New Roman" w:cs="Times New Roman"/>
                <w:sz w:val="24"/>
              </w:rPr>
              <w:lastRenderedPageBreak/>
              <w:t>(piemēram, akcijas), kas izsniegts tā īpašniekiem apmaiņā pret ieguldītajiem līdzekļiem, ir nākotnes ekonomisko labumu avots (kas tādējādi atbilst EKS 2010 noteiktajai aktīva pamatdefinīcijai) un ka tam ir tirgus vērtība.</w:t>
            </w:r>
          </w:p>
          <w:p w14:paraId="0EA4D5B7" w14:textId="77777777" w:rsidR="00994F93" w:rsidRPr="00B03B51" w:rsidRDefault="00994F93" w:rsidP="001C4B02">
            <w:pPr>
              <w:pStyle w:val="BodyText"/>
              <w:spacing w:before="0"/>
              <w:ind w:left="0" w:firstLine="0"/>
              <w:jc w:val="both"/>
              <w:rPr>
                <w:rFonts w:ascii="Times New Roman" w:hAnsi="Times New Roman" w:cs="Times New Roman"/>
                <w:noProof/>
                <w:sz w:val="24"/>
              </w:rPr>
            </w:pPr>
          </w:p>
          <w:p w14:paraId="64A773EB" w14:textId="77777777" w:rsidR="00994F93" w:rsidRPr="00B03B51" w:rsidRDefault="00994F93" w:rsidP="001C4B02">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t>Šādu gaidāmo “atbilstošo atdeves normu” vai “tirgus atdeves normu” valsts finanšu statistikā var uzskatīt par “pietiekamu atdeves normu” (skat. 3.2.2.1. apakšiedaļu).</w:t>
            </w:r>
          </w:p>
          <w:p w14:paraId="0716DF2F" w14:textId="77777777" w:rsidR="00994F93" w:rsidRPr="00B03B51" w:rsidRDefault="00994F93" w:rsidP="001C4B02">
            <w:pPr>
              <w:pStyle w:val="BodyText"/>
              <w:spacing w:before="0"/>
              <w:ind w:left="0" w:firstLine="0"/>
              <w:jc w:val="both"/>
              <w:rPr>
                <w:rFonts w:ascii="Times New Roman" w:hAnsi="Times New Roman" w:cs="Times New Roman"/>
                <w:noProof/>
                <w:sz w:val="24"/>
              </w:rPr>
            </w:pPr>
          </w:p>
          <w:p w14:paraId="137CB544" w14:textId="77777777" w:rsidR="00994F93" w:rsidRPr="00B03B51" w:rsidRDefault="00994F93" w:rsidP="001C4B02">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t>Valdībai ekonomikā ir ļoti specifiskas funkcijas. Tai ir jārisina kopējās problēmas un jāmazina ārēju faktoru ietekme, lai ilgtermiņā nodrošinātu sabiedrības labklājību un pārticību (sabiedrības veselību un izglītību, sabiedrisko kārtību un drošību, sabiedrisko infrastruktūru, apkārtējo vidi u. c.), un tādējādi tā galvenokārt rīkojas kā ārpustirgus ražotājs. Līdzekļi, kas šādā saistībā ieguldīti, tiek nodrošināti ar nolūku īstenot valsts politikas mērķus, negaidot nekādu tiešu finansiālu peļņu: nacionālajos kontos šādus ieguldītos līdzekļus ieraksta kā kapitāla pārvedumus (D.9).</w:t>
            </w:r>
          </w:p>
          <w:p w14:paraId="3242A51B" w14:textId="77777777" w:rsidR="00994F93" w:rsidRPr="00B03B51" w:rsidRDefault="00994F93" w:rsidP="001C4B02">
            <w:pPr>
              <w:pStyle w:val="BodyText"/>
              <w:spacing w:before="0"/>
              <w:ind w:left="0" w:firstLine="0"/>
              <w:jc w:val="both"/>
              <w:rPr>
                <w:rFonts w:ascii="Times New Roman" w:hAnsi="Times New Roman" w:cs="Times New Roman"/>
                <w:noProof/>
                <w:sz w:val="24"/>
              </w:rPr>
            </w:pPr>
          </w:p>
          <w:p w14:paraId="41C4C783" w14:textId="77777777" w:rsidR="00994F93" w:rsidRPr="00B03B51" w:rsidRDefault="00994F93" w:rsidP="001C4B02">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t>Tomēr valdība arī tieši iesaistās ekonomikā tāpat kā citi ieguldītāji un akcionāri, piemēram, ar publisko sabiedrību starpniecību, tiecoties tās padarīt iespējami efektīvākas un ienesīgākas, lai tās būtu arī ieņēmumu avots vai sniegtu citus labumus.</w:t>
            </w:r>
          </w:p>
          <w:p w14:paraId="3526CA1A" w14:textId="77777777" w:rsidR="00994F93" w:rsidRPr="00B03B51" w:rsidRDefault="00994F93" w:rsidP="001C4B02">
            <w:pPr>
              <w:pStyle w:val="BodyText"/>
              <w:spacing w:before="0"/>
              <w:ind w:left="0" w:firstLine="0"/>
              <w:jc w:val="both"/>
              <w:rPr>
                <w:rFonts w:ascii="Times New Roman" w:hAnsi="Times New Roman" w:cs="Times New Roman"/>
                <w:noProof/>
                <w:sz w:val="24"/>
              </w:rPr>
            </w:pPr>
          </w:p>
          <w:p w14:paraId="2C24154C" w14:textId="77777777" w:rsidR="00994F93" w:rsidRPr="00B03B51" w:rsidRDefault="00994F93" w:rsidP="001C4B02">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t>Valdības ieguldītajam kapitālam vienmēr ir alternatīvās izmaksas. Līdz ar to, kad valdība veic ieguldījumus, vēloties saņemt peļņu no sava ieguldījuma, ideālos apstākļos līdzīgai peļņai būtu jābūt sagaidāmai arī no salīdzināmiem privātiem ieguldījumiem. Tas nozīmē, ka tirgus peļņas normas ir jāizmanto kā salīdzināšanas rādītāji. Tomēr var pastāvēt iemesli, kuru dēļ valdība tiecas gūt no ieguldījuma atšķirīgu nepieciešamo gaidāmo peļņu. Kapitāla tirgos var rasties sarežģījumi, tāpēc tirgus peļņas normās var nebūt atspoguļotas pareizās alternatīvās izmaksas. Turklāt valdība nereti iegulda jomās vai rūpnieciskās ražošanas posmos, kuros privāti ieguldītāji neiesaistās, un tas attiecīgi apgrūtina salīdzināšanu ar privātā sektora peļņu.</w:t>
            </w:r>
          </w:p>
          <w:p w14:paraId="7F51D3E1" w14:textId="77777777" w:rsidR="00994F93" w:rsidRPr="00B03B51" w:rsidRDefault="00994F93" w:rsidP="001C4B02">
            <w:pPr>
              <w:pStyle w:val="BodyText"/>
              <w:spacing w:before="0"/>
              <w:ind w:left="0" w:firstLine="0"/>
              <w:jc w:val="both"/>
              <w:rPr>
                <w:rFonts w:ascii="Times New Roman" w:hAnsi="Times New Roman" w:cs="Times New Roman"/>
                <w:noProof/>
                <w:sz w:val="24"/>
              </w:rPr>
            </w:pPr>
          </w:p>
          <w:p w14:paraId="013A65B0" w14:textId="77777777" w:rsidR="00994F93" w:rsidRPr="00B03B51" w:rsidRDefault="00994F93" w:rsidP="001C4B02">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t>Lai noteiktu atbilstošu minimālo peļņu no ieguldījuma, finanšu teorijā ir zināmas vairākas standarta metodes. Šajās metodēs bieži izmanto alternatīvo izmaksu pieeju, ņemot vērā likmes, kuras piemēro alternatīviem ieguldījumiem vai finansējuma izmaksām (t. i., citām alternatīvām). Šīs metodes izmanto, lai, izpētot uzņēmuma aktīvus (ieguldījumus) un saistības (finansējumu), aprēķinātu no ieguldījuma gaidāmo peļņas normu. Viena plaši izmantota metode ir kapitāla aktīvu cenas noteikšanas modelis [</w:t>
            </w:r>
            <w:r w:rsidRPr="00B03B51">
              <w:rPr>
                <w:rFonts w:ascii="Times New Roman" w:hAnsi="Times New Roman" w:cs="Times New Roman"/>
                <w:i/>
                <w:iCs/>
                <w:sz w:val="24"/>
              </w:rPr>
              <w:t>Capital Asset Pricing Model</w:t>
            </w:r>
            <w:r w:rsidRPr="00B03B51">
              <w:rPr>
                <w:rFonts w:ascii="Times New Roman" w:hAnsi="Times New Roman" w:cs="Times New Roman"/>
                <w:sz w:val="24"/>
              </w:rPr>
              <w:t>, (</w:t>
            </w:r>
            <w:r w:rsidRPr="00B03B51">
              <w:rPr>
                <w:rFonts w:ascii="Times New Roman" w:hAnsi="Times New Roman" w:cs="Times New Roman"/>
                <w:i/>
                <w:iCs/>
                <w:sz w:val="24"/>
              </w:rPr>
              <w:t>CAPM</w:t>
            </w:r>
            <w:r w:rsidRPr="00B03B51">
              <w:rPr>
                <w:rFonts w:ascii="Times New Roman" w:hAnsi="Times New Roman" w:cs="Times New Roman"/>
                <w:sz w:val="24"/>
              </w:rPr>
              <w:t>)], ko var būt atbilstoši piemērot noteiktos gadījumos. Saskaņā ar šo modeli novērtē peļņu no aktīviem, un tas nozīmē, ka novērtē arī atbilstoši riskam koriģēto peļņas normu. Tas ietver nepieciešamās minimālās, no ieguldījuma gaidāmās peļņas normas aprēķināšanu, pamatojoties uz pastāvošo risku, kad peļņu var aprēķināt, izmantojot vienādojumu ar riska neietekmēto procentu likmi, vidējo tirgus peļņu un rādītāju, kas izsaka konkrētajai aktīvu kategorijai raksturīgo risku.</w:t>
            </w:r>
          </w:p>
          <w:p w14:paraId="385BC9A9" w14:textId="77777777" w:rsidR="00994F93" w:rsidRPr="00B03B51" w:rsidRDefault="00994F93" w:rsidP="001C4B02">
            <w:pPr>
              <w:pStyle w:val="BodyText"/>
              <w:spacing w:before="0"/>
              <w:ind w:left="0" w:firstLine="0"/>
              <w:jc w:val="both"/>
              <w:rPr>
                <w:rFonts w:ascii="Times New Roman" w:hAnsi="Times New Roman" w:cs="Times New Roman"/>
                <w:noProof/>
                <w:sz w:val="24"/>
              </w:rPr>
            </w:pPr>
          </w:p>
          <w:p w14:paraId="34541F21" w14:textId="77777777" w:rsidR="00994F93" w:rsidRPr="00B03B51" w:rsidRDefault="00994F93" w:rsidP="001C4B02">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t>Praksē gaidāmās pietiekamās peļņas normas noteikšanai var izmantot iepriekš novēroto peļņu (ja vien ir pamats uzskatīt, ka turpmāk tā nemainīsies), jo īpaši gadījumā, ja nav veikta uzņēmējdarbības plāna analīze.</w:t>
            </w:r>
          </w:p>
          <w:p w14:paraId="1A3B05EA" w14:textId="77777777" w:rsidR="00994F93" w:rsidRPr="00B03B51" w:rsidRDefault="00994F93" w:rsidP="001C4B02">
            <w:pPr>
              <w:pStyle w:val="BodyText"/>
              <w:spacing w:before="0"/>
              <w:ind w:left="0" w:firstLine="0"/>
              <w:jc w:val="both"/>
              <w:rPr>
                <w:rFonts w:ascii="Times New Roman" w:hAnsi="Times New Roman" w:cs="Times New Roman"/>
                <w:noProof/>
                <w:sz w:val="24"/>
              </w:rPr>
            </w:pPr>
          </w:p>
          <w:p w14:paraId="655E9C13" w14:textId="77777777" w:rsidR="00994F93" w:rsidRPr="00B03B51" w:rsidRDefault="00994F93" w:rsidP="001C4B02">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t>Ņemot vērā īpatnības, kas valdībām piemīt ieguldītāja statusā, “pietiekamu peļņas normu” izmanto kā gaidāmās tirgus peļņas tuvinājumu rādītāju vispusīgam salīdzinājumam, lai noteiktu atbilstošu no valdības ieguldījumiem gaidāmo peļņu.</w:t>
            </w:r>
          </w:p>
          <w:p w14:paraId="79967C56" w14:textId="77777777" w:rsidR="00994F93" w:rsidRPr="00B03B51" w:rsidRDefault="00994F93" w:rsidP="001C4B02">
            <w:pPr>
              <w:jc w:val="both"/>
              <w:rPr>
                <w:rFonts w:ascii="Times New Roman" w:eastAsia="Arial" w:hAnsi="Times New Roman" w:cs="Times New Roman"/>
                <w:noProof/>
                <w:sz w:val="24"/>
                <w:szCs w:val="24"/>
              </w:rPr>
            </w:pPr>
          </w:p>
          <w:p w14:paraId="1D2CDD9D" w14:textId="77777777" w:rsidR="00994F93" w:rsidRPr="00B03B51" w:rsidRDefault="00994F93" w:rsidP="001C4B02">
            <w:pPr>
              <w:jc w:val="both"/>
              <w:rPr>
                <w:rFonts w:ascii="Times New Roman" w:eastAsia="Arial" w:hAnsi="Times New Roman" w:cs="Times New Roman"/>
                <w:noProof/>
                <w:sz w:val="24"/>
                <w:szCs w:val="24"/>
              </w:rPr>
            </w:pPr>
            <w:r w:rsidRPr="00B03B51">
              <w:rPr>
                <w:rFonts w:ascii="Times New Roman" w:hAnsi="Times New Roman" w:cs="Times New Roman"/>
                <w:sz w:val="24"/>
                <w:szCs w:val="24"/>
              </w:rPr>
              <w:t xml:space="preserve">Tādējādi, ievērojot valdības īpatnības, no ieguldītajiem līdzekļiem gaidāmajai “pietiekamai </w:t>
            </w:r>
            <w:r w:rsidRPr="00B03B51">
              <w:rPr>
                <w:rFonts w:ascii="Times New Roman" w:hAnsi="Times New Roman" w:cs="Times New Roman"/>
                <w:sz w:val="24"/>
                <w:szCs w:val="24"/>
              </w:rPr>
              <w:lastRenderedPageBreak/>
              <w:t>peļņas normai” ir jāatbilst vismaz turpmāk norādītajām peļņas normām:</w:t>
            </w:r>
          </w:p>
          <w:p w14:paraId="5D3E98F0" w14:textId="77777777" w:rsidR="00994F93" w:rsidRPr="00B03B51" w:rsidRDefault="00994F93" w:rsidP="001C4B02">
            <w:pPr>
              <w:jc w:val="both"/>
              <w:rPr>
                <w:rFonts w:ascii="Times New Roman" w:eastAsia="Arial" w:hAnsi="Times New Roman" w:cs="Times New Roman"/>
                <w:noProof/>
                <w:sz w:val="24"/>
                <w:szCs w:val="24"/>
              </w:rPr>
            </w:pPr>
          </w:p>
          <w:p w14:paraId="457E2546" w14:textId="77777777" w:rsidR="00994F93" w:rsidRPr="00B03B51" w:rsidRDefault="00994F93" w:rsidP="00994F93">
            <w:pPr>
              <w:numPr>
                <w:ilvl w:val="0"/>
                <w:numId w:val="5"/>
              </w:numPr>
              <w:ind w:left="709" w:hanging="425"/>
              <w:jc w:val="both"/>
              <w:rPr>
                <w:rFonts w:ascii="Times New Roman" w:eastAsia="Arial" w:hAnsi="Times New Roman" w:cs="Times New Roman"/>
                <w:noProof/>
                <w:sz w:val="24"/>
                <w:szCs w:val="24"/>
              </w:rPr>
            </w:pPr>
            <w:r w:rsidRPr="00B03B51">
              <w:rPr>
                <w:rFonts w:ascii="Times New Roman" w:hAnsi="Times New Roman" w:cs="Times New Roman"/>
                <w:sz w:val="24"/>
                <w:szCs w:val="24"/>
              </w:rPr>
              <w:t>ja valdība ir vienīgais sabiedrības ieguldītājs, tai principā jāatbilst ilgtermiņa (10 gadu)</w:t>
            </w:r>
            <w:r w:rsidRPr="00B03B51">
              <w:rPr>
                <w:rStyle w:val="FootnoteReference"/>
                <w:rFonts w:ascii="Times New Roman" w:hAnsi="Times New Roman" w:cs="Times New Roman"/>
                <w:noProof/>
                <w:sz w:val="24"/>
                <w:szCs w:val="24"/>
              </w:rPr>
              <w:footnoteReference w:id="152"/>
            </w:r>
            <w:r w:rsidRPr="00B03B51">
              <w:rPr>
                <w:rFonts w:ascii="Times New Roman" w:hAnsi="Times New Roman" w:cs="Times New Roman"/>
                <w:sz w:val="24"/>
                <w:szCs w:val="24"/>
              </w:rPr>
              <w:t xml:space="preserve"> valdības obligāciju likmēm, kas savukārt nozīmē, ka valdība neplāno saņemt peļņu, kas būtu zemāka par tās aizņemšanās izmaksām;</w:t>
            </w:r>
          </w:p>
          <w:p w14:paraId="1368D276" w14:textId="77777777" w:rsidR="00994F93" w:rsidRPr="00B03B51" w:rsidRDefault="00994F93" w:rsidP="00994F93">
            <w:pPr>
              <w:numPr>
                <w:ilvl w:val="0"/>
                <w:numId w:val="5"/>
              </w:numPr>
              <w:ind w:left="709" w:hanging="425"/>
              <w:jc w:val="both"/>
              <w:rPr>
                <w:rFonts w:ascii="Times New Roman" w:hAnsi="Times New Roman" w:cs="Times New Roman"/>
                <w:noProof/>
                <w:sz w:val="24"/>
                <w:szCs w:val="24"/>
              </w:rPr>
            </w:pPr>
            <w:r w:rsidRPr="00B03B51">
              <w:rPr>
                <w:rFonts w:ascii="Times New Roman" w:hAnsi="Times New Roman" w:cs="Times New Roman"/>
                <w:sz w:val="24"/>
                <w:szCs w:val="24"/>
              </w:rPr>
              <w:t>ja valdība veic ieguldījumu kopā ar privātiem ieguldītājiem (neatkarīgi no to īpašumtiesību daļas sabiedrībā), tai jāatbilst atbilstoši riskam koriģētajām peļņas normām, ko privātie ieguldītāji vidēji un atbilstošā laika posmā vēlētos iegūt no līdzīgiem ieguldījumiem pašu kapitālā tajā pašā darbības jomā; praksē kā tuvinājumu var izmantot vidējo pašu kapitāla atdevi, kas konkrētajā brīdī tiek novērota (līdzīga lieluma) sabiedrību sektorā (nozarē), ja šāds rādītājs ir pieejams.</w:t>
            </w:r>
            <w:r w:rsidRPr="00B03B51">
              <w:rPr>
                <w:rStyle w:val="FootnoteReference"/>
                <w:rFonts w:ascii="Times New Roman" w:hAnsi="Times New Roman" w:cs="Times New Roman"/>
                <w:noProof/>
                <w:sz w:val="24"/>
                <w:szCs w:val="24"/>
              </w:rPr>
              <w:footnoteReference w:id="153"/>
            </w:r>
          </w:p>
          <w:p w14:paraId="375EBF27" w14:textId="77777777" w:rsidR="00994F93" w:rsidRPr="00B03B51" w:rsidRDefault="00994F93" w:rsidP="001C4B02">
            <w:pPr>
              <w:jc w:val="both"/>
              <w:rPr>
                <w:rFonts w:ascii="Times New Roman" w:hAnsi="Times New Roman" w:cs="Times New Roman"/>
                <w:noProof/>
                <w:sz w:val="24"/>
                <w:szCs w:val="24"/>
              </w:rPr>
            </w:pPr>
          </w:p>
          <w:p w14:paraId="48D7FD2E" w14:textId="77777777" w:rsidR="00994F93" w:rsidRPr="00B03B51" w:rsidRDefault="00994F93" w:rsidP="001C4B02">
            <w:pPr>
              <w:jc w:val="both"/>
              <w:rPr>
                <w:rFonts w:ascii="Times New Roman" w:hAnsi="Times New Roman" w:cs="Times New Roman"/>
                <w:noProof/>
                <w:sz w:val="24"/>
                <w:szCs w:val="24"/>
              </w:rPr>
            </w:pPr>
            <w:r w:rsidRPr="00B03B51">
              <w:rPr>
                <w:rFonts w:ascii="Times New Roman" w:hAnsi="Times New Roman" w:cs="Times New Roman"/>
                <w:sz w:val="24"/>
                <w:szCs w:val="24"/>
              </w:rPr>
              <w:t>Jāsalīdzina likmes, kurām ir vienots pamats, proti, reālās likmes jāsalīdzina ar reālajām likmēm un nominālās likmes ar nominālajām likmēm.</w:t>
            </w:r>
          </w:p>
          <w:p w14:paraId="2118A887" w14:textId="77777777" w:rsidR="00994F93" w:rsidRPr="00B03B51" w:rsidRDefault="00994F93" w:rsidP="001C4B02">
            <w:pPr>
              <w:jc w:val="both"/>
              <w:rPr>
                <w:rFonts w:ascii="Times New Roman" w:hAnsi="Times New Roman" w:cs="Times New Roman"/>
                <w:noProof/>
                <w:sz w:val="24"/>
                <w:szCs w:val="24"/>
              </w:rPr>
            </w:pPr>
          </w:p>
          <w:p w14:paraId="4A05FC37" w14:textId="77777777" w:rsidR="00994F93" w:rsidRPr="00B03B51" w:rsidRDefault="00994F93" w:rsidP="001C4B02">
            <w:pPr>
              <w:jc w:val="both"/>
              <w:rPr>
                <w:rFonts w:ascii="Times New Roman" w:hAnsi="Times New Roman" w:cs="Times New Roman"/>
                <w:noProof/>
                <w:sz w:val="24"/>
                <w:szCs w:val="24"/>
              </w:rPr>
            </w:pPr>
            <w:r w:rsidRPr="00B03B51">
              <w:rPr>
                <w:rFonts w:ascii="Times New Roman" w:hAnsi="Times New Roman" w:cs="Times New Roman"/>
                <w:sz w:val="24"/>
                <w:szCs w:val="24"/>
              </w:rPr>
              <w:t>Valdības vai starptautisku organizāciju veikti pārveduma maksājumi ražotājiem subsīdiju veidā zaudējumu segšanai, citi kārtējie pārvedumi vai kapitāla pārvedumi (kas nav tieši produkcijas iepirkumi) nav jāiekļauj ieguldījuma peļņas aprēķinā (t. i., tie jāņem vērā kā negatīvi diskontētas naudas plūsmas). Šādus maksājumus kopā ar pārējiem maksājumiem, ko veic vispārējā deficīta segšanai, nedrīkst iekļaut ieguldītā kapitāla aprēķinā. Tomēr atsevišķus maksājumus, piemēram, maksājumus, kas piešķirti kādam ražotājam konkrētajā darbības jomā (ja ir konstatēts, ka tajā ir gan publiskie, gan privātie saņēmēji), tostarp visus ar produkcijas apjomu vai vērtību saistītos maksājumus, var iekļaut peļņas normas aprēķinā.</w:t>
            </w:r>
          </w:p>
          <w:p w14:paraId="62A99428" w14:textId="77777777" w:rsidR="00994F93" w:rsidRPr="00B03B51" w:rsidRDefault="00994F93" w:rsidP="001C4B02">
            <w:pPr>
              <w:jc w:val="both"/>
              <w:rPr>
                <w:rFonts w:ascii="Times New Roman" w:hAnsi="Times New Roman" w:cs="Times New Roman"/>
                <w:noProof/>
                <w:sz w:val="24"/>
                <w:szCs w:val="24"/>
              </w:rPr>
            </w:pPr>
          </w:p>
          <w:p w14:paraId="1EA5BBFE" w14:textId="77777777" w:rsidR="00994F93" w:rsidRPr="00B03B51" w:rsidRDefault="00994F93" w:rsidP="001C4B02">
            <w:pPr>
              <w:jc w:val="both"/>
              <w:rPr>
                <w:rFonts w:ascii="Times New Roman" w:hAnsi="Times New Roman" w:cs="Times New Roman"/>
                <w:noProof/>
                <w:sz w:val="24"/>
                <w:szCs w:val="24"/>
              </w:rPr>
            </w:pPr>
            <w:r w:rsidRPr="00B03B51">
              <w:rPr>
                <w:rFonts w:ascii="Times New Roman" w:hAnsi="Times New Roman" w:cs="Times New Roman"/>
                <w:sz w:val="24"/>
                <w:szCs w:val="24"/>
              </w:rPr>
              <w:t>Gadījums, kad ir izmantots uzņēmējdarbības plāns: iepludināšanas darījuma sākotnējā klasifikācija nav jāpārskata, pat ja sākotnējā situācija ir mainījusies turpmāku ekonomikas norišu dēļ. Ja tomēr pēc tam publicētie gada pārskati, precizētie uzņēmējdarbības plāni vai revīzijas atskaites liecina par to, ka sākotnējais uzņēmējdarbības plāns ir bijis nepareizs vai nepareizi interpretēts, sākotnējā statistiskā klasifikācija ir jāpārvērtē un pēc tam jāpārskata arī dati.</w:t>
            </w:r>
          </w:p>
        </w:tc>
      </w:tr>
    </w:tbl>
    <w:p w14:paraId="78420452" w14:textId="77777777" w:rsidR="00994F93" w:rsidRPr="00B03B51" w:rsidRDefault="00994F93" w:rsidP="00994F93">
      <w:pPr>
        <w:jc w:val="both"/>
        <w:rPr>
          <w:rFonts w:ascii="Times New Roman" w:eastAsia="Arial" w:hAnsi="Times New Roman" w:cs="Times New Roman"/>
          <w:noProof/>
          <w:sz w:val="24"/>
          <w:szCs w:val="20"/>
        </w:rPr>
      </w:pPr>
    </w:p>
    <w:p w14:paraId="17ACB707" w14:textId="77777777" w:rsidR="00994F93" w:rsidRPr="00B03B51" w:rsidRDefault="00994F93" w:rsidP="00994F93">
      <w:pPr>
        <w:pStyle w:val="Heading6"/>
        <w:tabs>
          <w:tab w:val="left" w:pos="1267"/>
        </w:tabs>
        <w:ind w:left="0" w:firstLine="0"/>
        <w:jc w:val="both"/>
        <w:rPr>
          <w:rFonts w:ascii="Times New Roman" w:hAnsi="Times New Roman" w:cs="Times New Roman"/>
          <w:noProof/>
          <w:sz w:val="24"/>
        </w:rPr>
      </w:pPr>
      <w:bookmarkStart w:id="216" w:name="3.2.3.2_Characteristics_of_financial_and"/>
      <w:bookmarkEnd w:id="216"/>
      <w:r w:rsidRPr="00B03B51">
        <w:rPr>
          <w:rFonts w:ascii="Times New Roman" w:hAnsi="Times New Roman" w:cs="Times New Roman"/>
          <w:sz w:val="24"/>
        </w:rPr>
        <w:t>3.2.3.2. IESAISTĪTO FINANŠU UN NEFINANŠU DARĪJUMU ĪPAŠĪBAS</w:t>
      </w:r>
    </w:p>
    <w:p w14:paraId="57F6371F" w14:textId="77777777" w:rsidR="00994F93" w:rsidRPr="00B03B51" w:rsidRDefault="00994F93" w:rsidP="00994F93">
      <w:pPr>
        <w:tabs>
          <w:tab w:val="left" w:pos="1692"/>
        </w:tabs>
        <w:jc w:val="both"/>
        <w:rPr>
          <w:rFonts w:ascii="Times New Roman" w:hAnsi="Times New Roman" w:cs="Times New Roman"/>
          <w:b/>
          <w:noProof/>
          <w:sz w:val="24"/>
        </w:rPr>
      </w:pPr>
      <w:bookmarkStart w:id="217" w:name="3.2.3.2.1._Recording_a_financial_transac"/>
      <w:bookmarkEnd w:id="217"/>
    </w:p>
    <w:p w14:paraId="1BAD8737" w14:textId="77777777" w:rsidR="00994F93" w:rsidRPr="00721944" w:rsidRDefault="00994F93" w:rsidP="00721944">
      <w:pPr>
        <w:pStyle w:val="Heading6"/>
        <w:tabs>
          <w:tab w:val="left" w:pos="1692"/>
        </w:tabs>
        <w:ind w:left="0" w:firstLine="0"/>
        <w:jc w:val="both"/>
        <w:rPr>
          <w:rFonts w:ascii="Times New Roman" w:hAnsi="Times New Roman" w:cs="Times New Roman"/>
          <w:sz w:val="24"/>
        </w:rPr>
      </w:pPr>
      <w:r w:rsidRPr="00B03B51">
        <w:rPr>
          <w:rFonts w:ascii="Times New Roman" w:hAnsi="Times New Roman" w:cs="Times New Roman"/>
          <w:sz w:val="24"/>
        </w:rPr>
        <w:t>3.2.3.2.1. Finanšu darījuma ierakstīšana pašu kapitālā</w:t>
      </w:r>
    </w:p>
    <w:p w14:paraId="6B29127C" w14:textId="77777777" w:rsidR="00994F93" w:rsidRPr="00B03B51" w:rsidRDefault="00994F93" w:rsidP="00994F93">
      <w:pPr>
        <w:pStyle w:val="BodyText"/>
        <w:spacing w:before="0"/>
        <w:ind w:left="0" w:firstLine="0"/>
        <w:jc w:val="both"/>
        <w:rPr>
          <w:rFonts w:ascii="Times New Roman" w:hAnsi="Times New Roman" w:cs="Times New Roman"/>
          <w:noProof/>
          <w:sz w:val="24"/>
        </w:rPr>
      </w:pPr>
    </w:p>
    <w:p w14:paraId="21B70028" w14:textId="77777777" w:rsidR="00994F93" w:rsidRPr="00B03B51" w:rsidRDefault="00994F93" w:rsidP="00994F93">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t>30. Kapitāla iepludināšanu ieraksta kā finanšu darījumu tikai tad, ja valdība pretī saņem finanšu aktīvu, kur vērtība atbilst maksājuma vērtībai. Tā ir būtiska finanšu darījuma pazīme. Turēšanas guvumi no akcijām un cita pašu kapitāla, kas, iespējams, ierakstīti pēc kapitāla iepludināšanas, ir nevis “pretī saņemts finanšu aktīvs”, bet “cita plūsma”.</w:t>
      </w:r>
    </w:p>
    <w:p w14:paraId="048DC199"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4D48AD80"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31. Lielākajā daļā gadījumu iesaistītie finanšu instrumenti ir akcijas un cits pašu kapitāls (AF.5). Darījums ar pašu kapitālu šajā saistībā ir darbība, ar ko “nodod līdzekļus sabiedrību rīcībā” (EKS 2010 4.53. punkts), palielinot pašu kapitālu. Nacionālajos kontos to ieraksta kā finanšu darījumu ar akcijām un citu pašu kapitālu (F.5). Saskaņā ar EKS 2010 4.53. un 5.142. punktu šis darījums palielina sabiedrības akcionāru īpašumtiesības. Ieguldījumu galvenokārt veic tirgus apstākļos un ne tikai valsts politikas mērķu sasniegšanai.</w:t>
      </w:r>
    </w:p>
    <w:p w14:paraId="7834D3B3"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1DAA6FD1"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lastRenderedPageBreak/>
        <w:t>32. Īpaši jāuzsver, ka, piešķirot sabiedrībai pašu kapitālu, valdība rīkojas kā akcionārs atbilstoši tirgus apstākļiem, parasti pretī vēloties saņemt dividendes. Faktiskais dividenžu maksājums akcionāram ir būtisks kritērijs tam, lai ieguldījumu traktētu kā pašu kapitālu.</w:t>
      </w:r>
    </w:p>
    <w:p w14:paraId="2E906D15"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75B59565"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33. Turklāt kapitāla iepludināšanu, ko privatizācijas procesā veic īsā termiņā (kas mazāks par vienu gadu), valdībai plānojot saņemt savu naudu atpakaļ, ieraksta pozīcijā F.5 privatizācijas ieņēmumu summas robežās (atbilstoši EKS 2010 20.201. punktam). Šis gadījums un arī citi šajā nodaļā minētie gadījumi ir jāuzskata par izņēmumiem no noteikuma, kas paredz, ka tādas plūsmas ierakstīšana nacionālajos kontos, kura palielina kotētas sabiedrības akcijas un citu pašu kapitālu (F.5), parasti jāattiecina uz jaunu akciju faktisko emisiju.</w:t>
      </w:r>
    </w:p>
    <w:p w14:paraId="52312A91" w14:textId="77777777" w:rsidR="00994F93" w:rsidRPr="00B03B51" w:rsidRDefault="00994F93" w:rsidP="00994F93">
      <w:pPr>
        <w:jc w:val="both"/>
        <w:rPr>
          <w:rFonts w:ascii="Times New Roman" w:hAnsi="Times New Roman" w:cs="Times New Roman"/>
          <w:noProof/>
          <w:sz w:val="24"/>
        </w:rPr>
      </w:pPr>
    </w:p>
    <w:p w14:paraId="433AE5A7"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34. Ir jānošķir divi gadījumi, kas izklāstīti turpmāk.</w:t>
      </w:r>
    </w:p>
    <w:p w14:paraId="4588FD80"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3371FC6E" w14:textId="77777777" w:rsidR="00994F93" w:rsidRPr="00B03B51" w:rsidRDefault="00994F93" w:rsidP="008A7C35">
      <w:pPr>
        <w:pStyle w:val="BodyText"/>
        <w:numPr>
          <w:ilvl w:val="1"/>
          <w:numId w:val="4"/>
        </w:numPr>
        <w:spacing w:before="0"/>
        <w:ind w:left="426" w:hanging="425"/>
        <w:jc w:val="both"/>
        <w:rPr>
          <w:rFonts w:ascii="Times New Roman" w:hAnsi="Times New Roman" w:cs="Times New Roman"/>
          <w:noProof/>
          <w:sz w:val="24"/>
        </w:rPr>
      </w:pPr>
      <w:r w:rsidRPr="00B03B51">
        <w:rPr>
          <w:rFonts w:ascii="Times New Roman" w:hAnsi="Times New Roman" w:cs="Times New Roman"/>
          <w:sz w:val="24"/>
        </w:rPr>
        <w:t>Kotēto akciju gadījums. Kapitāla iepludināšana, kuras rezultātā valdība iegūst kotētas akcijas tādā pašā vērtībā, ir vienkāršs gadījums. To parasti ieraksta kā pašu kapitāla iegādi (F.5). Fakts, ka akcijas tiek kotētas, nozīmē to, ka akcijas tirgū var tirgot privāti ieguldītāji (kā noteikts EKS 2010 2. nodaļā “Vienības un vienību grupējumi”) un ka līdz ar to sabiedrība ilgtermiņā ievēro noteiktas minimālās tirgus prasības.</w:t>
      </w:r>
    </w:p>
    <w:p w14:paraId="36EDD523" w14:textId="77777777" w:rsidR="00994F93" w:rsidRPr="00B03B51" w:rsidRDefault="00994F93" w:rsidP="008A7C35">
      <w:pPr>
        <w:pStyle w:val="BodyText"/>
        <w:numPr>
          <w:ilvl w:val="1"/>
          <w:numId w:val="4"/>
        </w:numPr>
        <w:spacing w:before="0"/>
        <w:ind w:left="426" w:hanging="425"/>
        <w:jc w:val="both"/>
        <w:rPr>
          <w:rFonts w:ascii="Times New Roman" w:hAnsi="Times New Roman" w:cs="Times New Roman"/>
          <w:noProof/>
          <w:sz w:val="24"/>
        </w:rPr>
      </w:pPr>
      <w:r w:rsidRPr="00B03B51">
        <w:rPr>
          <w:rFonts w:ascii="Times New Roman" w:hAnsi="Times New Roman" w:cs="Times New Roman"/>
          <w:sz w:val="24"/>
        </w:rPr>
        <w:t>Nekotēta pašu kapitāla gadījums. Ja kapitāla iepludināšana ir veikta biržas sarakstā neiekļautā publiskajā sabiedrībā, kapitāla iepludināšanu ieraksta pozīcijā F.5 tikai tad, ja valdības mērķis ir palielināt savu bagātību dividenžu vai saņemtā ekvivalentā finanšu instrumenta paaugstinātas vērtības veidā (vai arī īstermiņā tās vērtība sasniegs vismaz summu, kas iepludināta privatizācijas procesa laikā).</w:t>
      </w:r>
    </w:p>
    <w:p w14:paraId="5D167D00"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42C6484F"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35. Parasti ievēro nosacījumu, kas paredz, ka publiskai sabiedrībai nav uzkrātu neto zaudējumu, kas būtu ierakstīti tās bilancē saskaņā ar vispārpieņemtiem uzskaites standartiem vai ko apliecinātu, piemēram, negatīvas tendences pašu līdzekļos. Tomēr pat šādos gadījumos kā finanšu darījumu (parasti F.5 pozīcijā) var ierakstīt jebkuru iepludinātā kapitāla daļu (kas pārsniedz uzkrātos zaudējumus), kuru izmanto ieguldījumiem ienesīgās darbības jomās, no kā valdība gūs atbilstošu peļņu no sava ieguldījuma.</w:t>
      </w:r>
    </w:p>
    <w:p w14:paraId="4BD0DA56"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2654F4B4"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36. Kapitāla iepludināšanu var ierakstīt kā finanšu darījumu arī divos īpašos gadījumos, kas minēti turpmāk.</w:t>
      </w:r>
    </w:p>
    <w:p w14:paraId="243C609A"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3B52CB2A" w14:textId="77777777" w:rsidR="00994F93" w:rsidRPr="00B03B51" w:rsidRDefault="00994F93" w:rsidP="008A7C35">
      <w:pPr>
        <w:pStyle w:val="BodyText"/>
        <w:numPr>
          <w:ilvl w:val="1"/>
          <w:numId w:val="4"/>
        </w:numPr>
        <w:spacing w:before="0"/>
        <w:ind w:left="426" w:hanging="425"/>
        <w:jc w:val="both"/>
        <w:rPr>
          <w:rFonts w:ascii="Times New Roman" w:hAnsi="Times New Roman" w:cs="Times New Roman"/>
          <w:noProof/>
          <w:sz w:val="24"/>
        </w:rPr>
      </w:pPr>
      <w:r w:rsidRPr="00B03B51">
        <w:rPr>
          <w:rFonts w:ascii="Times New Roman" w:hAnsi="Times New Roman" w:cs="Times New Roman"/>
          <w:sz w:val="24"/>
        </w:rPr>
        <w:t>Jaunas sabiedrības vai kvazisabiedrības (jaunuzņēmumi). Ja valdība izveido jaunu tirgus vienību, kura nav radusies esošu sabiedrību pārstrukturēšanas rezultātā, traktējums ir atkarīgs no sīkākas projekta izpētes, izmantojot dažādus rādītājus, kas līdzinās ieguldījumu analīzei, un ņemot vērā citus ar darījumu saistītus aspektus. Līdz ar to atkarībā no analīzes rezultātiem darījumu pilnā tā apmērā var uzskatīt par finanšu darījumu vai nefinanšu darījumu. Tas attiecas arī uz gadījumu, kad esoša sabiedrība sāk pilnīgi jaunu darbību vai iegūst jauna veida aktīvus par lielām summām.</w:t>
      </w:r>
    </w:p>
    <w:p w14:paraId="7248CE37" w14:textId="77777777" w:rsidR="00994F93" w:rsidRPr="00B03B51" w:rsidRDefault="00994F93" w:rsidP="008A7C35">
      <w:pPr>
        <w:pStyle w:val="BodyText"/>
        <w:numPr>
          <w:ilvl w:val="1"/>
          <w:numId w:val="4"/>
        </w:numPr>
        <w:spacing w:before="0"/>
        <w:ind w:left="426" w:hanging="425"/>
        <w:jc w:val="both"/>
        <w:rPr>
          <w:rFonts w:ascii="Times New Roman" w:hAnsi="Times New Roman" w:cs="Times New Roman"/>
          <w:noProof/>
          <w:sz w:val="24"/>
        </w:rPr>
      </w:pPr>
      <w:r w:rsidRPr="00B03B51">
        <w:rPr>
          <w:rFonts w:ascii="Times New Roman" w:hAnsi="Times New Roman" w:cs="Times New Roman"/>
          <w:sz w:val="24"/>
        </w:rPr>
        <w:t>Struktūras, kuras pārvalda finanšu aktīvus valdības vārdā. Kapitāla iepludināšanu publiskā kontrolakciju sabiedrībā/centrālajā birojā vai finanšu sabiedrībā, kas valdības vārdā rentabli pārvalda aktīvus, lai iegūtu vairāk finanšu aktīvu, var ierakstīt kā darījumu pozīcijā F.5. Šajā gadījumā ievēro šādu noteikumu – aktīvi tiek pārvaldīti, lai palielinātu valdības peļņu, un tiek plānots saņemt lielākas dividendes vai lielāku pašu kapitālu.</w:t>
      </w:r>
    </w:p>
    <w:p w14:paraId="6E1C0A84" w14:textId="77777777" w:rsidR="00994F93" w:rsidRPr="00721944" w:rsidRDefault="00994F93" w:rsidP="00721944">
      <w:pPr>
        <w:rPr>
          <w:rFonts w:ascii="Times New Roman" w:hAnsi="Times New Roman" w:cs="Times New Roman"/>
          <w:noProof/>
          <w:sz w:val="24"/>
          <w:szCs w:val="24"/>
        </w:rPr>
      </w:pPr>
      <w:bookmarkStart w:id="218" w:name="3.2.3.2.2._Special_cases_—_transactions_"/>
      <w:bookmarkEnd w:id="218"/>
    </w:p>
    <w:p w14:paraId="44CC5194" w14:textId="77777777" w:rsidR="00994F93" w:rsidRPr="00B03B51" w:rsidRDefault="00994F93" w:rsidP="00994F93">
      <w:pPr>
        <w:pStyle w:val="Heading6"/>
        <w:tabs>
          <w:tab w:val="left" w:pos="1692"/>
        </w:tabs>
        <w:ind w:left="0" w:firstLine="0"/>
        <w:jc w:val="both"/>
        <w:rPr>
          <w:rFonts w:ascii="Times New Roman" w:hAnsi="Times New Roman" w:cs="Times New Roman"/>
          <w:noProof/>
          <w:sz w:val="24"/>
        </w:rPr>
      </w:pPr>
      <w:r w:rsidRPr="00B03B51">
        <w:rPr>
          <w:rFonts w:ascii="Times New Roman" w:hAnsi="Times New Roman" w:cs="Times New Roman"/>
          <w:sz w:val="24"/>
        </w:rPr>
        <w:t>3.2.3.2.2. Īpaši gadījumi. Darījumi ar citiem finanšu instrumentiem</w:t>
      </w:r>
    </w:p>
    <w:p w14:paraId="6D627CB2"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7656A203"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 xml:space="preserve">37. Ne katrs līdzekļu piešķīrums, kas ierakstīts kā finanšu darījums, notiek pašu kapitāla iegādes veidā (F.5); pastāv arī citas iespējas – aizdevuma piešķiršana (F.4) vai obligāciju </w:t>
      </w:r>
      <w:r w:rsidRPr="00B03B51">
        <w:rPr>
          <w:rFonts w:ascii="Times New Roman" w:hAnsi="Times New Roman" w:cs="Times New Roman"/>
          <w:sz w:val="24"/>
        </w:rPr>
        <w:lastRenderedPageBreak/>
        <w:t>pirkšana (F.3).</w:t>
      </w:r>
    </w:p>
    <w:p w14:paraId="749235E9"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282B3058"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38. Aizdevumi – parasti līdzekļu piešķīrums aizdevuma veidā, ko apstiprina juridisks dokuments, kurā norādītas aizdevuma ņēmēja saistības (pamatsummas izpirkšanas datums un maksājamie procenti), jāieraksta kā darījums F.4 pozīcijā.</w:t>
      </w:r>
    </w:p>
    <w:p w14:paraId="1BEA6DD2"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0B83E091" w14:textId="517F2ACB"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39. Viens izņēmums ir gadījums, kad valdība piešķir aizdevumu zaudējumus nesošai publiskai sabiedrībai situācijā, kurā sabiedrība, visticamāk, nespēs atmaksāt lielāko daļu aizdevuma savu periodisko zaudējumu dēļ (un nevis ārkārtas zaudējumu dēļ, kuri radušies gadā, kad piešķirts aizdevums) un tāpēc, ka ienesīguma atjaunošanās pirms atmaksas termiņa(-iem) nav paredzama. Šajā gadījumā līdzekļus, kurus valdība ir pārskaitījusi sabiedrībai, ieraksta kā nefinanšu darījumu par pilnu summu, ja vien nav pieejamas pamatotas zaudējumu aplēses, kuras ļauj sadalīt aizdevumu. Ja būtu iespējams prognozēt, ka aizdevuma ņēmējs spēs pats</w:t>
      </w:r>
      <w:r w:rsidRPr="00B03B51">
        <w:rPr>
          <w:rStyle w:val="FootnoteReference"/>
          <w:rFonts w:ascii="Times New Roman" w:hAnsi="Times New Roman" w:cs="Times New Roman"/>
          <w:noProof/>
          <w:sz w:val="24"/>
        </w:rPr>
        <w:footnoteReference w:id="154"/>
      </w:r>
      <w:r w:rsidRPr="00B03B51">
        <w:rPr>
          <w:rFonts w:ascii="Times New Roman" w:hAnsi="Times New Roman" w:cs="Times New Roman"/>
          <w:sz w:val="24"/>
        </w:rPr>
        <w:t xml:space="preserve"> atmaksāt lielāko daļu aizdevuma, tad uz šo gadījumu attiektos aizdevuma sadalīšana, un to daļu, kas atbilst paredzamajiem zaudējumiem, aizdevuma piešķiršanas brīdī ierakstītu kā kapitāla pārvedumu. Bilancē iekļaujamais aizdevumu fonds jāpalielina par summu, kas atbilst ierakstītā aizdevuma darījuma vērtībai. Ja valdība pēc tam atzīst jebkādus aizdevumus vai to daļas, kuras netiks atmaksātas, tas jātraktē saskaņā ar 7.2. nodaļā “Parāda pārņemšana un parāda </w:t>
      </w:r>
      <w:r w:rsidR="004D44FD" w:rsidRPr="00B03B51">
        <w:rPr>
          <w:rFonts w:ascii="Times New Roman" w:hAnsi="Times New Roman" w:cs="Times New Roman"/>
          <w:sz w:val="24"/>
        </w:rPr>
        <w:t>anulēšana</w:t>
      </w:r>
      <w:r w:rsidRPr="00B03B51">
        <w:rPr>
          <w:rFonts w:ascii="Times New Roman" w:hAnsi="Times New Roman" w:cs="Times New Roman"/>
          <w:sz w:val="24"/>
        </w:rPr>
        <w:t>” sniegtajām vadlīnijām.</w:t>
      </w:r>
    </w:p>
    <w:p w14:paraId="5D4AD4E5"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1AD63434"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40. Tādējādi noteiktos īpašos apstākļos (finanšu darījumu anulēšana, uzņēmējdarbības glābšana, eksporta apdrošināšana un citi apstākļi) rūpīgi jāpārbauda valdības piešķirto aizdevumu (un līgumsaistību) pazīmes, lai noteiktu, vai ir pareizi tos klasificēt pozīcijā F.4.</w:t>
      </w:r>
    </w:p>
    <w:p w14:paraId="269D6EA8" w14:textId="77777777" w:rsidR="00994F93" w:rsidRPr="00B03B51" w:rsidRDefault="00994F93" w:rsidP="00994F93">
      <w:pPr>
        <w:jc w:val="both"/>
        <w:rPr>
          <w:rFonts w:ascii="Times New Roman" w:eastAsia="Arial" w:hAnsi="Times New Roman" w:cs="Times New Roman"/>
          <w:noProof/>
          <w:sz w:val="24"/>
          <w:szCs w:val="14"/>
        </w:rPr>
      </w:pPr>
    </w:p>
    <w:p w14:paraId="00AAEC9D"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41. Parāda instrumenti – līdzekļu piešķīrumu, valdībai iegādājoties sabiedrības emitētas obligācijas, parādzīmes vai hibrīdu instrumentus</w:t>
      </w:r>
      <w:r w:rsidRPr="00B03B51">
        <w:rPr>
          <w:rStyle w:val="FootnoteReference"/>
          <w:rFonts w:ascii="Times New Roman" w:hAnsi="Times New Roman" w:cs="Times New Roman"/>
          <w:noProof/>
          <w:sz w:val="24"/>
        </w:rPr>
        <w:footnoteReference w:id="155"/>
      </w:r>
      <w:r w:rsidRPr="00B03B51">
        <w:rPr>
          <w:rFonts w:ascii="Times New Roman" w:hAnsi="Times New Roman" w:cs="Times New Roman"/>
          <w:sz w:val="24"/>
        </w:rPr>
        <w:t xml:space="preserve"> (tam ir jābūt arī apstiprinātam ar juridisku dokumentu), ieraksta kā darījumu parāda vērtspapīru pozīcijā (F.3).</w:t>
      </w:r>
    </w:p>
    <w:p w14:paraId="384404C0"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2476F8B1"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42. Ja tomēr sabiedrībai ir uzkrāti ievērojami zaudējumi un valdība ir faktiski vienīgais obligāciju pircējs, šādu valdības veikto iegādi uzskata par nefinanšu darījumu.</w:t>
      </w:r>
    </w:p>
    <w:p w14:paraId="032F736C"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4E6BB6E6"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43. Turklāt rūpīgi jāizpēta gadījums, kad obligācijas emitē sabiedrība ar parādsaistību nepildīšanas vēsturi, kas nozīmē to, ka privātajiem ieguldītājiem obligācijas varētu pārdot tikai ar pilnu valdības galvojumu (ar ieguldītāju atzinumu kā apliecinājumu). Lai to ierakstītu kā darījumu parāda vērtspapīru (F.3) pozīcijā, darījuma laikā jānodrošina ticamība, ka sabiedrība spēs izpildīt savas parādsaistības (samaksāt procentus un pamatsummu) saskaņā ar līgumā noteikto maksājumu grafiku.</w:t>
      </w:r>
    </w:p>
    <w:p w14:paraId="15546608" w14:textId="77777777" w:rsidR="00994F93" w:rsidRPr="00721944" w:rsidRDefault="00994F93" w:rsidP="00721944">
      <w:pPr>
        <w:rPr>
          <w:rFonts w:ascii="Times New Roman" w:hAnsi="Times New Roman" w:cs="Times New Roman"/>
          <w:noProof/>
          <w:sz w:val="24"/>
          <w:szCs w:val="24"/>
        </w:rPr>
      </w:pPr>
      <w:bookmarkStart w:id="219" w:name="3.2.3.2.3._Recording_a_non-financial_tra"/>
      <w:bookmarkEnd w:id="219"/>
    </w:p>
    <w:p w14:paraId="61DB0E88" w14:textId="77777777" w:rsidR="00994F93" w:rsidRPr="00B03B51" w:rsidRDefault="00994F93" w:rsidP="00497519">
      <w:pPr>
        <w:pStyle w:val="Heading6"/>
        <w:keepNext/>
        <w:tabs>
          <w:tab w:val="left" w:pos="1692"/>
        </w:tabs>
        <w:ind w:left="0" w:firstLine="0"/>
        <w:jc w:val="both"/>
        <w:rPr>
          <w:rFonts w:ascii="Times New Roman" w:hAnsi="Times New Roman" w:cs="Times New Roman"/>
          <w:noProof/>
          <w:sz w:val="24"/>
        </w:rPr>
      </w:pPr>
      <w:r w:rsidRPr="00B03B51">
        <w:rPr>
          <w:rFonts w:ascii="Times New Roman" w:hAnsi="Times New Roman" w:cs="Times New Roman"/>
          <w:sz w:val="24"/>
        </w:rPr>
        <w:lastRenderedPageBreak/>
        <w:t>3.2.3.2.3. Nefinanšu darījuma ierakstīšana</w:t>
      </w:r>
    </w:p>
    <w:p w14:paraId="2BC95824" w14:textId="77777777" w:rsidR="00994F93" w:rsidRPr="00B03B51" w:rsidRDefault="00994F93" w:rsidP="00497519">
      <w:pPr>
        <w:pStyle w:val="BodyText"/>
        <w:keepNext/>
        <w:tabs>
          <w:tab w:val="left" w:pos="843"/>
        </w:tabs>
        <w:spacing w:before="0"/>
        <w:ind w:left="0" w:firstLine="0"/>
        <w:jc w:val="both"/>
        <w:rPr>
          <w:rFonts w:ascii="Times New Roman" w:hAnsi="Times New Roman" w:cs="Times New Roman"/>
          <w:noProof/>
          <w:sz w:val="24"/>
        </w:rPr>
      </w:pPr>
    </w:p>
    <w:p w14:paraId="664723A9"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44. Izņemot subsīdijas (D.3), skat. EKS 2010 4.30. punktu un turpmākos punktus, un citus kārtējos pārvedumus (D.75), skat. jo īpaši EKS 2010 4.138. punkta b) apakšpunktu, ar kapitāla iepludināšanu saistītais nefinanšu darījums ir kapitāla pārvedums.</w:t>
      </w:r>
    </w:p>
    <w:p w14:paraId="522FE847"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12EEDC7D"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45. Kapitāla ieguldījumu natūrā gadījums (piemēram, pamatlīdzekļu nodošana) ir aplūkots šīs rokasgrāmatas 3.4. nodaļā, bet šeit ir aprakstīti tikai kapitāla pārvedumi naudā.</w:t>
      </w:r>
    </w:p>
    <w:p w14:paraId="708D6214"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7AF87BB8"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46. Kapitāla iepludināšanu uzskata par nefinanšu darījumu, ja līdzekļu piešķiršana ir neatlīdzināms darījums. Valdība apmaiņā nesaņem tādas pašas vērtības finanšu aktīvu, un jebkāda iespējamā ietekme uz valdības pašu kapitālu ir netieša, dažkārt arī tā nav tūlītēja, ir nenoteikta un atšķiras pēc sava apmēra. Šāda veida maksājumu ieraksta kā kapitāla pārvedumu (D.9), proti, vai nu kā ieguldījumu dotāciju (D.92) vai kā citu kapitāla pārvedumu (D.99).</w:t>
      </w:r>
    </w:p>
    <w:p w14:paraId="29AF35C2"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41AE2D51"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47. Parasti kapitāla pārvedumi ir valdības darījumi, kurus tā veic ar nolūku īstenot valsts politikas mērķus, kas ir svarīga kapitāla pārvedumu pazīme. Šādi rīkojoties, valdība neplāno pretī saņemt dividendes (parasti uzņēmumi, kas saņem šādus pārvedumus, dividendes nemaksā), bet vēlas vienīgi uzlabot sabiedrības finanšu stāvokli un nodrošināt noteiktas sociālās vajadzības (sabiedriskā infrastruktūra, nodarbinātība u. tml.).</w:t>
      </w:r>
    </w:p>
    <w:p w14:paraId="520D4E19" w14:textId="77777777" w:rsidR="00994F93" w:rsidRPr="00B03B51" w:rsidRDefault="00994F93" w:rsidP="00994F93">
      <w:pPr>
        <w:pStyle w:val="BodyText"/>
        <w:tabs>
          <w:tab w:val="left" w:pos="1126"/>
        </w:tabs>
        <w:spacing w:before="0"/>
        <w:ind w:left="0" w:firstLine="0"/>
        <w:jc w:val="both"/>
        <w:rPr>
          <w:rFonts w:ascii="Times New Roman" w:hAnsi="Times New Roman" w:cs="Times New Roman"/>
          <w:noProof/>
          <w:sz w:val="24"/>
        </w:rPr>
      </w:pPr>
    </w:p>
    <w:p w14:paraId="6379EE78" w14:textId="77777777" w:rsidR="00994F93" w:rsidRPr="00B03B51" w:rsidRDefault="00994F93" w:rsidP="00994F93">
      <w:pPr>
        <w:pStyle w:val="BodyText"/>
        <w:tabs>
          <w:tab w:val="left" w:pos="1126"/>
        </w:tabs>
        <w:spacing w:before="0"/>
        <w:ind w:left="284" w:firstLine="0"/>
        <w:jc w:val="both"/>
        <w:rPr>
          <w:rFonts w:ascii="Times New Roman" w:hAnsi="Times New Roman" w:cs="Times New Roman"/>
          <w:noProof/>
          <w:sz w:val="24"/>
        </w:rPr>
      </w:pPr>
      <w:r w:rsidRPr="00B03B51">
        <w:rPr>
          <w:rFonts w:ascii="Times New Roman" w:hAnsi="Times New Roman" w:cs="Times New Roman"/>
          <w:sz w:val="24"/>
        </w:rPr>
        <w:t>a) Ieguldījumu dotācijas (D.92).</w:t>
      </w:r>
    </w:p>
    <w:p w14:paraId="57BE662E" w14:textId="77777777" w:rsidR="00994F93" w:rsidRPr="00B03B51" w:rsidRDefault="00994F93" w:rsidP="00994F93">
      <w:pPr>
        <w:pStyle w:val="BodyText"/>
        <w:spacing w:before="0"/>
        <w:ind w:left="284" w:firstLine="0"/>
        <w:jc w:val="both"/>
        <w:rPr>
          <w:rFonts w:ascii="Times New Roman" w:hAnsi="Times New Roman" w:cs="Times New Roman"/>
          <w:noProof/>
          <w:sz w:val="24"/>
        </w:rPr>
      </w:pPr>
    </w:p>
    <w:p w14:paraId="3E62E4D4" w14:textId="77777777" w:rsidR="00994F93" w:rsidRPr="00B03B51" w:rsidRDefault="00994F93" w:rsidP="00994F93">
      <w:pPr>
        <w:pStyle w:val="BodyText"/>
        <w:spacing w:before="0"/>
        <w:ind w:left="284" w:firstLine="0"/>
        <w:jc w:val="both"/>
        <w:rPr>
          <w:rFonts w:ascii="Times New Roman" w:hAnsi="Times New Roman" w:cs="Times New Roman"/>
          <w:noProof/>
          <w:sz w:val="24"/>
        </w:rPr>
      </w:pPr>
      <w:r w:rsidRPr="00B03B51">
        <w:rPr>
          <w:rFonts w:ascii="Times New Roman" w:hAnsi="Times New Roman" w:cs="Times New Roman"/>
          <w:sz w:val="24"/>
        </w:rPr>
        <w:t>Kapitāla iepludināšanu, kas “veidota no kapitāla pārvedumiem skaidrā naudā vai natūrā, ko valdība (..) veic citām institucionālām rezidentvienībām (..), lai finansētu visas izmaksas vai to daļu, tām iegādājoties pamatlīdzekļus”, ieraksta kā ieguldījumu dotāciju (D.92).</w:t>
      </w:r>
    </w:p>
    <w:p w14:paraId="72F164FD" w14:textId="77777777" w:rsidR="00994F93" w:rsidRPr="00B03B51" w:rsidRDefault="00994F93" w:rsidP="00994F93">
      <w:pPr>
        <w:pStyle w:val="BodyText"/>
        <w:tabs>
          <w:tab w:val="left" w:pos="1126"/>
        </w:tabs>
        <w:spacing w:before="0"/>
        <w:ind w:left="284" w:firstLine="0"/>
        <w:jc w:val="both"/>
        <w:rPr>
          <w:rFonts w:ascii="Times New Roman" w:hAnsi="Times New Roman" w:cs="Times New Roman"/>
          <w:noProof/>
          <w:sz w:val="24"/>
        </w:rPr>
      </w:pPr>
    </w:p>
    <w:p w14:paraId="31BC4528" w14:textId="77777777" w:rsidR="00994F93" w:rsidRPr="00B03B51" w:rsidRDefault="00994F93" w:rsidP="00994F93">
      <w:pPr>
        <w:pStyle w:val="BodyText"/>
        <w:tabs>
          <w:tab w:val="left" w:pos="1126"/>
        </w:tabs>
        <w:spacing w:before="0"/>
        <w:ind w:left="284" w:firstLine="0"/>
        <w:jc w:val="both"/>
        <w:rPr>
          <w:rFonts w:ascii="Times New Roman" w:hAnsi="Times New Roman" w:cs="Times New Roman"/>
          <w:noProof/>
          <w:sz w:val="24"/>
        </w:rPr>
      </w:pPr>
      <w:r w:rsidRPr="00B03B51">
        <w:rPr>
          <w:rFonts w:ascii="Times New Roman" w:hAnsi="Times New Roman" w:cs="Times New Roman"/>
          <w:sz w:val="24"/>
        </w:rPr>
        <w:t>b) Citi kapitāla pārvedumi (D.99) par uzkrātajiem zaudējumiem.</w:t>
      </w:r>
    </w:p>
    <w:p w14:paraId="1EB5E421" w14:textId="77777777" w:rsidR="00994F93" w:rsidRPr="00B03B51" w:rsidRDefault="00994F93" w:rsidP="00994F93">
      <w:pPr>
        <w:pStyle w:val="BodyText"/>
        <w:spacing w:before="0"/>
        <w:ind w:left="284" w:firstLine="0"/>
        <w:jc w:val="both"/>
        <w:rPr>
          <w:rFonts w:ascii="Times New Roman" w:hAnsi="Times New Roman" w:cs="Times New Roman"/>
          <w:noProof/>
          <w:sz w:val="24"/>
        </w:rPr>
      </w:pPr>
    </w:p>
    <w:p w14:paraId="42FD7C3D" w14:textId="77777777" w:rsidR="00994F93" w:rsidRPr="00B03B51" w:rsidRDefault="00994F93" w:rsidP="00994F93">
      <w:pPr>
        <w:pStyle w:val="BodyText"/>
        <w:spacing w:before="0"/>
        <w:ind w:left="284" w:firstLine="0"/>
        <w:jc w:val="both"/>
        <w:rPr>
          <w:rFonts w:ascii="Times New Roman" w:hAnsi="Times New Roman" w:cs="Times New Roman"/>
          <w:noProof/>
          <w:sz w:val="24"/>
        </w:rPr>
      </w:pPr>
      <w:r w:rsidRPr="00B03B51">
        <w:rPr>
          <w:rFonts w:ascii="Times New Roman" w:hAnsi="Times New Roman" w:cs="Times New Roman"/>
          <w:sz w:val="24"/>
        </w:rPr>
        <w:t>Kapitāla iepludināšanu, kura veikta, lai segtu uzkrātos zaudējumus (radušos vai nu regulāri dažu pēdējo finanšu gadu laikā, vai arī neregulāri, bet tādā apmērā, ka tos nav iespējams nosegt ar peļņu), kas ierakstīti saskaņā ar vispārpieņemtiem uzskaites principiem un par ko liecina, piemēram, sabiedrības pašu līdzekļu tendence, parasti uzskata par nefinanšu darījumu par pilnu tā summu (uzskatot to par kapitāla pārvedumu D.99), pat ja ir emitēti noteikti vērtspapīri (akcijas vai to ekvivalents).</w:t>
      </w:r>
    </w:p>
    <w:p w14:paraId="1193F71F"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747C1442"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48. Tāpat arī kapitāla iepludināšanu, kuru veic, lai kompensētu kapitāla īpašniekiem preces, kas iznīcinātas karadarbības, citu politisku notikumu vai dabas katastrofu dēļ, ieraksta kā kapitāla pārvedumus (D.99).</w:t>
      </w:r>
    </w:p>
    <w:p w14:paraId="57222A6D" w14:textId="77777777" w:rsidR="00994F93" w:rsidRPr="00B03B51" w:rsidRDefault="00994F93" w:rsidP="00994F93">
      <w:pPr>
        <w:jc w:val="both"/>
        <w:rPr>
          <w:rFonts w:ascii="Times New Roman" w:eastAsia="Arial" w:hAnsi="Times New Roman" w:cs="Times New Roman"/>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1"/>
      </w:tblGrid>
      <w:tr w:rsidR="00994F93" w:rsidRPr="00B03B51" w14:paraId="457ACBEE" w14:textId="77777777" w:rsidTr="001C4B02">
        <w:tc>
          <w:tcPr>
            <w:tcW w:w="9281" w:type="dxa"/>
          </w:tcPr>
          <w:p w14:paraId="54C27A94" w14:textId="77777777" w:rsidR="00994F93" w:rsidRPr="00B03B51" w:rsidRDefault="00994F93" w:rsidP="001C4B02">
            <w:pPr>
              <w:pStyle w:val="Heading3"/>
              <w:ind w:left="0" w:firstLine="0"/>
              <w:jc w:val="both"/>
              <w:outlineLvl w:val="2"/>
              <w:rPr>
                <w:rFonts w:ascii="Times New Roman" w:hAnsi="Times New Roman" w:cs="Times New Roman"/>
                <w:noProof/>
                <w:sz w:val="24"/>
              </w:rPr>
            </w:pPr>
            <w:bookmarkStart w:id="220" w:name="_Toc67565090"/>
            <w:r w:rsidRPr="00B03B51">
              <w:rPr>
                <w:rFonts w:ascii="Times New Roman" w:hAnsi="Times New Roman" w:cs="Times New Roman"/>
                <w:sz w:val="24"/>
              </w:rPr>
              <w:t>3. ierāmējums. EKS jēdzieni</w:t>
            </w:r>
            <w:bookmarkEnd w:id="220"/>
          </w:p>
          <w:p w14:paraId="43E55795" w14:textId="77777777" w:rsidR="00994F93" w:rsidRPr="00B03B51" w:rsidRDefault="00994F93" w:rsidP="001C4B02">
            <w:pPr>
              <w:jc w:val="both"/>
              <w:rPr>
                <w:rFonts w:ascii="Times New Roman" w:eastAsia="Arial" w:hAnsi="Times New Roman" w:cs="Times New Roman"/>
                <w:b/>
                <w:bCs/>
                <w:noProof/>
                <w:sz w:val="24"/>
                <w:szCs w:val="24"/>
              </w:rPr>
            </w:pPr>
          </w:p>
          <w:p w14:paraId="505DC479" w14:textId="77777777" w:rsidR="00994F93" w:rsidRPr="00B03B51" w:rsidRDefault="00994F93" w:rsidP="00994F93">
            <w:pPr>
              <w:numPr>
                <w:ilvl w:val="2"/>
                <w:numId w:val="20"/>
              </w:numPr>
              <w:ind w:left="284" w:hanging="284"/>
              <w:jc w:val="both"/>
              <w:rPr>
                <w:rFonts w:ascii="Times New Roman" w:hAnsi="Times New Roman" w:cs="Times New Roman"/>
                <w:b/>
                <w:noProof/>
                <w:sz w:val="24"/>
              </w:rPr>
            </w:pPr>
            <w:r w:rsidRPr="00B03B51">
              <w:rPr>
                <w:rFonts w:ascii="Times New Roman" w:hAnsi="Times New Roman" w:cs="Times New Roman"/>
                <w:b/>
                <w:sz w:val="24"/>
              </w:rPr>
              <w:t>Pašu līdzekļi un pašu kapitāls</w:t>
            </w:r>
          </w:p>
          <w:p w14:paraId="38472B87" w14:textId="77777777" w:rsidR="00994F93" w:rsidRPr="00B03B51" w:rsidRDefault="00994F93" w:rsidP="001C4B02">
            <w:pPr>
              <w:jc w:val="both"/>
              <w:rPr>
                <w:rFonts w:ascii="Times New Roman" w:hAnsi="Times New Roman" w:cs="Times New Roman"/>
                <w:noProof/>
                <w:sz w:val="24"/>
              </w:rPr>
            </w:pPr>
          </w:p>
          <w:p w14:paraId="1D5D9E28" w14:textId="77777777" w:rsidR="00994F93" w:rsidRPr="00B03B51" w:rsidRDefault="00994F93" w:rsidP="001C4B02">
            <w:pPr>
              <w:jc w:val="both"/>
              <w:rPr>
                <w:rFonts w:ascii="Times New Roman" w:eastAsia="Arial" w:hAnsi="Times New Roman" w:cs="Times New Roman"/>
                <w:noProof/>
                <w:sz w:val="24"/>
                <w:szCs w:val="19"/>
              </w:rPr>
            </w:pPr>
            <w:r w:rsidRPr="00B03B51">
              <w:rPr>
                <w:rFonts w:ascii="Times New Roman" w:hAnsi="Times New Roman" w:cs="Times New Roman"/>
                <w:sz w:val="24"/>
              </w:rPr>
              <w:t xml:space="preserve">EKS 2010 7.07. punktā ir sniegta šāda pašu līdzekļu definīcija: </w:t>
            </w:r>
            <w:r w:rsidRPr="00B03B51">
              <w:rPr>
                <w:rFonts w:ascii="Times New Roman" w:hAnsi="Times New Roman" w:cs="Times New Roman"/>
                <w:i/>
                <w:iCs/>
                <w:sz w:val="24"/>
              </w:rPr>
              <w:t>Pašu līdzekļi ir summa, ko veido neto vērtība (B.90) un pašu kapitāla un ieguldījumu fondu apliecību vērtība (AF.5) un kas bilancē ir saistības</w:t>
            </w:r>
            <w:r w:rsidRPr="00B03B51">
              <w:rPr>
                <w:rFonts w:ascii="Times New Roman" w:hAnsi="Times New Roman" w:cs="Times New Roman"/>
                <w:sz w:val="24"/>
              </w:rPr>
              <w:t>.</w:t>
            </w:r>
          </w:p>
          <w:p w14:paraId="2B891C48" w14:textId="77777777" w:rsidR="00994F93" w:rsidRPr="00B03B51" w:rsidRDefault="00994F93" w:rsidP="001C4B02">
            <w:pPr>
              <w:pStyle w:val="BodyText"/>
              <w:spacing w:before="0"/>
              <w:ind w:left="0" w:firstLine="0"/>
              <w:jc w:val="both"/>
              <w:rPr>
                <w:rFonts w:ascii="Times New Roman" w:hAnsi="Times New Roman" w:cs="Times New Roman"/>
                <w:noProof/>
                <w:sz w:val="24"/>
              </w:rPr>
            </w:pPr>
          </w:p>
          <w:p w14:paraId="460EAF07" w14:textId="77777777" w:rsidR="00994F93" w:rsidRPr="00B03B51" w:rsidRDefault="00994F93" w:rsidP="001C4B02">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t>“Sabiedrības palielina pašu kapitālu, lai stiprinātu tirgū savu finansiālo stāvokli, palielinot pašu līdzekļus. Tādējādi pašu kapitāls ir daļa no pašu līdzekļiem, jo to izsaka, emitējot akcijas”.</w:t>
            </w:r>
          </w:p>
          <w:p w14:paraId="3C5D7436" w14:textId="77777777" w:rsidR="00994F93" w:rsidRPr="00B03B51" w:rsidRDefault="00994F93" w:rsidP="001C4B02">
            <w:pPr>
              <w:pStyle w:val="BodyText"/>
              <w:spacing w:before="0"/>
              <w:ind w:left="0" w:firstLine="0"/>
              <w:jc w:val="both"/>
              <w:rPr>
                <w:rFonts w:ascii="Times New Roman" w:hAnsi="Times New Roman" w:cs="Times New Roman"/>
                <w:noProof/>
                <w:sz w:val="24"/>
              </w:rPr>
            </w:pPr>
          </w:p>
          <w:p w14:paraId="68401F32" w14:textId="77777777" w:rsidR="00994F93" w:rsidRPr="00B03B51" w:rsidRDefault="00994F93" w:rsidP="001C4B02">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t>Pašu kapitāla nodrošināšanas un pašu līdzekļu palielināšanas tūlītējs rezultāts ir tāds, ka sabiedrība ir labākā stāvoklī, lai finansētu ieguldījumu, atmaksātu esošu parādu vai vajadzības gadījumā aizņemtos papildu līdzekļus (garantijas kreditoriem sniedz sabiedrības maksātspēja) un, visbeidzot, gūtu un sadalītu peļņu. Akcijas un citu pašu kapitālu (AF.5) korporatīvā uzņēmuma bilancē ieraksta tāpat kā lielāko daļu aktīvu un saistību nacionālajos kontos, proti, atbilstoši tirgus vērtībai (EKS 2010 7.34., 7.25. un 7.71. punkts).</w:t>
            </w:r>
          </w:p>
          <w:p w14:paraId="7EF9AA5C" w14:textId="77777777" w:rsidR="00994F93" w:rsidRPr="00B03B51" w:rsidRDefault="00994F93" w:rsidP="001C4B02">
            <w:pPr>
              <w:pStyle w:val="BodyText"/>
              <w:spacing w:before="0"/>
              <w:ind w:left="0" w:firstLine="0"/>
              <w:jc w:val="both"/>
              <w:rPr>
                <w:rFonts w:ascii="Times New Roman" w:hAnsi="Times New Roman" w:cs="Times New Roman"/>
                <w:noProof/>
                <w:sz w:val="24"/>
              </w:rPr>
            </w:pPr>
          </w:p>
          <w:p w14:paraId="4B098C86" w14:textId="77777777" w:rsidR="00994F93" w:rsidRPr="00B03B51" w:rsidRDefault="00994F93" w:rsidP="00994F93">
            <w:pPr>
              <w:numPr>
                <w:ilvl w:val="2"/>
                <w:numId w:val="20"/>
              </w:numPr>
              <w:ind w:left="284" w:hanging="284"/>
              <w:jc w:val="both"/>
              <w:rPr>
                <w:rFonts w:ascii="Times New Roman" w:hAnsi="Times New Roman" w:cs="Times New Roman"/>
                <w:b/>
                <w:noProof/>
                <w:sz w:val="24"/>
              </w:rPr>
            </w:pPr>
            <w:r w:rsidRPr="00B03B51">
              <w:rPr>
                <w:rFonts w:ascii="Times New Roman" w:hAnsi="Times New Roman" w:cs="Times New Roman"/>
                <w:b/>
                <w:sz w:val="24"/>
              </w:rPr>
              <w:t>Dividendes (D.421)</w:t>
            </w:r>
          </w:p>
          <w:p w14:paraId="4860C952" w14:textId="77777777" w:rsidR="00994F93" w:rsidRPr="00B03B51" w:rsidRDefault="00994F93" w:rsidP="001C4B02">
            <w:pPr>
              <w:pStyle w:val="BodyText"/>
              <w:spacing w:before="0"/>
              <w:ind w:left="0" w:firstLine="0"/>
              <w:jc w:val="both"/>
              <w:rPr>
                <w:rFonts w:ascii="Times New Roman" w:hAnsi="Times New Roman" w:cs="Times New Roman"/>
                <w:noProof/>
                <w:sz w:val="24"/>
              </w:rPr>
            </w:pPr>
          </w:p>
          <w:p w14:paraId="4418240F" w14:textId="77777777" w:rsidR="00994F93" w:rsidRPr="00B03B51" w:rsidRDefault="00994F93" w:rsidP="001C4B02">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t>“Dividendes (D.421) ir īpašuma ienākuma veids, ko saņem akciju (AF.5) īpašnieki, uz kuriem viņi iegūst tiesības tā rezultātā, ka nodod līdzekļus sabiedrību rīcībā. Pašu kapitāla palielināšana, emitējot akcijas, ir alternatīvs veids, kā piesaistīt līdzekļus, izmantojot aizņemšanos. Pretstatā aizdevuma kapitālam pašu kapitāls tomēr nerada naudas izteiksmē fiksētas saistības un nedod sabiedrības akciju turētājiem tiesības saņemt fiksētu vai iepriekšnoteiktu ienākumu” (EKS 2010 4.53. punkts).</w:t>
            </w:r>
          </w:p>
          <w:p w14:paraId="6D2C220C" w14:textId="77777777" w:rsidR="00994F93" w:rsidRPr="00B03B51" w:rsidRDefault="00994F93" w:rsidP="001C4B02">
            <w:pPr>
              <w:pStyle w:val="BodyText"/>
              <w:spacing w:before="0"/>
              <w:ind w:left="0" w:firstLine="0"/>
              <w:jc w:val="both"/>
              <w:rPr>
                <w:rFonts w:ascii="Times New Roman" w:hAnsi="Times New Roman" w:cs="Times New Roman"/>
                <w:noProof/>
                <w:sz w:val="24"/>
              </w:rPr>
            </w:pPr>
          </w:p>
          <w:p w14:paraId="512314F4" w14:textId="77777777" w:rsidR="00994F93" w:rsidRPr="00B03B51" w:rsidRDefault="00994F93" w:rsidP="00994F93">
            <w:pPr>
              <w:numPr>
                <w:ilvl w:val="2"/>
                <w:numId w:val="20"/>
              </w:numPr>
              <w:ind w:left="284" w:hanging="284"/>
              <w:jc w:val="both"/>
              <w:rPr>
                <w:rFonts w:ascii="Times New Roman" w:hAnsi="Times New Roman" w:cs="Times New Roman"/>
                <w:b/>
                <w:noProof/>
                <w:sz w:val="24"/>
              </w:rPr>
            </w:pPr>
            <w:r w:rsidRPr="00B03B51">
              <w:rPr>
                <w:rFonts w:ascii="Times New Roman" w:hAnsi="Times New Roman" w:cs="Times New Roman"/>
                <w:b/>
                <w:sz w:val="24"/>
              </w:rPr>
              <w:t>Akcijas un cits pašu kapitāls (F.5)</w:t>
            </w:r>
          </w:p>
          <w:p w14:paraId="49E7B260" w14:textId="77777777" w:rsidR="00994F93" w:rsidRPr="00B03B51" w:rsidRDefault="00994F93" w:rsidP="001C4B02">
            <w:pPr>
              <w:pStyle w:val="BodyText"/>
              <w:spacing w:before="0"/>
              <w:ind w:left="0" w:firstLine="0"/>
              <w:jc w:val="both"/>
              <w:rPr>
                <w:rFonts w:ascii="Times New Roman" w:hAnsi="Times New Roman" w:cs="Times New Roman"/>
                <w:noProof/>
                <w:sz w:val="24"/>
              </w:rPr>
            </w:pPr>
          </w:p>
          <w:p w14:paraId="58B2EFA1" w14:textId="77777777" w:rsidR="00994F93" w:rsidRPr="00B03B51" w:rsidRDefault="00994F93" w:rsidP="001C4B02">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t>Kategorija “akcijas un cits pašu kapitāls” (F.5) sastāv no visiem darījumiem ar akcijām un citu pašu kapitālu (AF.5), kas ir finanšu aktīvi, kuri apliecina īpašumtiesības uz sabiedrībām vai kvazisabiedrībām. Šādi finanšu aktīvi parasti dod to turētājiem tiesības uz daļu no sabiedrību vai kvazisabiedrību peļņas un uz daļu no pašu tīrajiem aktīviem sabiedrības likvidācijas gadījumā (EKS 2010 5.142. punkts). Tādējādi darījumiem ar akcijām un citu pašu kapitālu, piemēram, kapitāla iepludināšanai, kas sabiedrībai nodrošina pašu kapitālu, ir spēcīgs juridiskais pamats, jo šie finanšu aktīvi apliecina īpašumtiesības uz sabiedrību.</w:t>
            </w:r>
          </w:p>
          <w:p w14:paraId="639FDCC3" w14:textId="77777777" w:rsidR="00994F93" w:rsidRPr="00B03B51" w:rsidRDefault="00994F93" w:rsidP="001C4B02">
            <w:pPr>
              <w:pStyle w:val="BodyText"/>
              <w:spacing w:before="0"/>
              <w:ind w:left="0" w:firstLine="0"/>
              <w:jc w:val="both"/>
              <w:rPr>
                <w:rFonts w:ascii="Times New Roman" w:hAnsi="Times New Roman" w:cs="Times New Roman"/>
                <w:noProof/>
                <w:sz w:val="24"/>
              </w:rPr>
            </w:pPr>
          </w:p>
          <w:p w14:paraId="06E5068D" w14:textId="77777777" w:rsidR="00994F93" w:rsidRPr="00B03B51" w:rsidRDefault="00994F93" w:rsidP="001C4B02">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t>Darījumam ar pašu kapitālu parasti ir trīs pazīmes:</w:t>
            </w:r>
          </w:p>
          <w:p w14:paraId="1B38FD4E" w14:textId="77777777" w:rsidR="00994F93" w:rsidRPr="00B03B51" w:rsidRDefault="00994F93" w:rsidP="00994F93">
            <w:pPr>
              <w:pStyle w:val="BodyText"/>
              <w:numPr>
                <w:ilvl w:val="3"/>
                <w:numId w:val="20"/>
              </w:numPr>
              <w:spacing w:before="0"/>
              <w:ind w:left="709" w:hanging="425"/>
              <w:jc w:val="both"/>
              <w:rPr>
                <w:rFonts w:ascii="Times New Roman" w:hAnsi="Times New Roman" w:cs="Times New Roman"/>
                <w:noProof/>
                <w:sz w:val="24"/>
              </w:rPr>
            </w:pPr>
            <w:r w:rsidRPr="00B03B51">
              <w:rPr>
                <w:rFonts w:ascii="Times New Roman" w:hAnsi="Times New Roman" w:cs="Times New Roman"/>
                <w:sz w:val="24"/>
              </w:rPr>
              <w:t>līdzekļus nodod sabiedrības rīcībā, un tā var ļoti brīvi ar tiem rīkoties;</w:t>
            </w:r>
          </w:p>
          <w:p w14:paraId="745A6802" w14:textId="77777777" w:rsidR="00994F93" w:rsidRPr="00B03B51" w:rsidRDefault="00994F93" w:rsidP="00994F93">
            <w:pPr>
              <w:pStyle w:val="BodyText"/>
              <w:numPr>
                <w:ilvl w:val="3"/>
                <w:numId w:val="20"/>
              </w:numPr>
              <w:spacing w:before="0"/>
              <w:ind w:left="709" w:hanging="425"/>
              <w:jc w:val="both"/>
              <w:rPr>
                <w:rFonts w:ascii="Times New Roman" w:hAnsi="Times New Roman" w:cs="Times New Roman"/>
                <w:noProof/>
                <w:sz w:val="24"/>
              </w:rPr>
            </w:pPr>
            <w:r w:rsidRPr="00B03B51">
              <w:rPr>
                <w:rFonts w:ascii="Times New Roman" w:hAnsi="Times New Roman" w:cs="Times New Roman"/>
                <w:sz w:val="24"/>
              </w:rPr>
              <w:t>akcionāriem ir tiesības saņemt peļņu no saviem ieguldījumiem;</w:t>
            </w:r>
          </w:p>
          <w:p w14:paraId="4B550A4A" w14:textId="77777777" w:rsidR="00994F93" w:rsidRPr="00B03B51" w:rsidRDefault="00994F93" w:rsidP="00994F93">
            <w:pPr>
              <w:pStyle w:val="BodyText"/>
              <w:numPr>
                <w:ilvl w:val="3"/>
                <w:numId w:val="20"/>
              </w:numPr>
              <w:spacing w:before="0"/>
              <w:ind w:left="709" w:hanging="425"/>
              <w:jc w:val="both"/>
              <w:rPr>
                <w:rFonts w:ascii="Times New Roman" w:hAnsi="Times New Roman" w:cs="Times New Roman"/>
                <w:noProof/>
                <w:sz w:val="24"/>
              </w:rPr>
            </w:pPr>
            <w:r w:rsidRPr="00B03B51">
              <w:rPr>
                <w:rFonts w:ascii="Times New Roman" w:hAnsi="Times New Roman" w:cs="Times New Roman"/>
                <w:sz w:val="24"/>
              </w:rPr>
              <w:t>ja sabiedrības juridiskais statuss ir “akciju sabiedrība”, emitē jaunas akcijas (par summu, kas vienāda ar piešķirtajiem līdzekļiem vai saistīta ar to).</w:t>
            </w:r>
          </w:p>
          <w:p w14:paraId="18789293" w14:textId="77777777" w:rsidR="00994F93" w:rsidRPr="00B03B51" w:rsidRDefault="00994F93" w:rsidP="001C4B02">
            <w:pPr>
              <w:pStyle w:val="BodyText"/>
              <w:spacing w:before="0"/>
              <w:ind w:left="0" w:firstLine="0"/>
              <w:jc w:val="both"/>
              <w:rPr>
                <w:rFonts w:ascii="Times New Roman" w:hAnsi="Times New Roman" w:cs="Times New Roman"/>
                <w:noProof/>
                <w:sz w:val="24"/>
              </w:rPr>
            </w:pPr>
          </w:p>
          <w:p w14:paraId="649BD523" w14:textId="77777777" w:rsidR="00994F93" w:rsidRPr="00B03B51" w:rsidRDefault="00994F93" w:rsidP="001C4B02">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t>Līdz ar to nacionālajos kontos akcijas un cits pašu kapitāls jānovērtē pēc tirgus vērtības, kas atspoguļo cerības uz peļņu gan turētāja, gan emitenta nacionālo kontu bilancē, turpretim paša emitenta bilancē tos parasti reģistrē atbilstoši vēsturiskajai vērtībai (vai uzskaites vērtībai). Ja akcijas ir iekļautas tirgus sarakstā, to vērtība ir novērotā cena. Ja pašu kapitālu neveido akcijas vai tas veidots no akcijām, kuras nav tirgojamas tirgū, kā tas bieži ir publisku sabiedrību gadījumā, nacionālajos kontos jāievieš tirgus aizstājējvērtība (skat. EKS 2010 7.73. punktu un turpmākos punktus).</w:t>
            </w:r>
          </w:p>
          <w:p w14:paraId="494C8159" w14:textId="77777777" w:rsidR="00994F93" w:rsidRPr="00B03B51" w:rsidRDefault="00994F93" w:rsidP="001C4B02">
            <w:pPr>
              <w:pStyle w:val="BodyText"/>
              <w:spacing w:before="0"/>
              <w:ind w:left="0" w:firstLine="0"/>
              <w:jc w:val="both"/>
              <w:rPr>
                <w:rFonts w:ascii="Times New Roman" w:hAnsi="Times New Roman" w:cs="Times New Roman"/>
                <w:noProof/>
                <w:sz w:val="24"/>
              </w:rPr>
            </w:pPr>
          </w:p>
          <w:p w14:paraId="170B00D0" w14:textId="77777777" w:rsidR="00994F93" w:rsidRPr="00B03B51" w:rsidRDefault="00994F93" w:rsidP="00994F93">
            <w:pPr>
              <w:numPr>
                <w:ilvl w:val="2"/>
                <w:numId w:val="20"/>
              </w:numPr>
              <w:ind w:left="284" w:hanging="284"/>
              <w:jc w:val="both"/>
              <w:rPr>
                <w:rFonts w:ascii="Times New Roman" w:hAnsi="Times New Roman" w:cs="Times New Roman"/>
                <w:b/>
                <w:noProof/>
                <w:sz w:val="24"/>
              </w:rPr>
            </w:pPr>
            <w:r w:rsidRPr="00B03B51">
              <w:rPr>
                <w:rFonts w:ascii="Times New Roman" w:hAnsi="Times New Roman" w:cs="Times New Roman"/>
                <w:b/>
                <w:sz w:val="24"/>
              </w:rPr>
              <w:t>Kapitāla pārvedumi (D.9)</w:t>
            </w:r>
          </w:p>
          <w:p w14:paraId="1C2AD7FF" w14:textId="77777777" w:rsidR="00994F93" w:rsidRPr="00B03B51" w:rsidRDefault="00994F93" w:rsidP="001C4B02">
            <w:pPr>
              <w:pStyle w:val="BodyText"/>
              <w:spacing w:before="0"/>
              <w:ind w:left="0" w:firstLine="0"/>
              <w:jc w:val="both"/>
              <w:rPr>
                <w:rFonts w:ascii="Times New Roman" w:hAnsi="Times New Roman" w:cs="Times New Roman"/>
                <w:noProof/>
                <w:sz w:val="24"/>
              </w:rPr>
            </w:pPr>
          </w:p>
          <w:p w14:paraId="32AD2076" w14:textId="77777777" w:rsidR="00994F93" w:rsidRPr="00B03B51" w:rsidRDefault="00994F93" w:rsidP="001C4B02">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t>Kapitāla pārveduma jēdziens ir izklāstīts EKS 2010 4. nodaļā “Sadales darījumi”. Kapitāla pārvedums nozīmē brīvprātīgu bagātības nodošanu starp divām vienībām (kaut kas pret neko). Kapitāla pārvedumiem ir trīs galvenās pazīmes (skat. SNA 2008 8.10. punktu):</w:t>
            </w:r>
          </w:p>
          <w:p w14:paraId="36C32C01" w14:textId="77777777" w:rsidR="00994F93" w:rsidRPr="00B03B51" w:rsidRDefault="00994F93" w:rsidP="00994F93">
            <w:pPr>
              <w:pStyle w:val="BodyText"/>
              <w:numPr>
                <w:ilvl w:val="3"/>
                <w:numId w:val="20"/>
              </w:numPr>
              <w:tabs>
                <w:tab w:val="left" w:pos="1126"/>
              </w:tabs>
              <w:spacing w:before="0"/>
              <w:ind w:left="709" w:hanging="425"/>
              <w:jc w:val="both"/>
              <w:rPr>
                <w:rFonts w:ascii="Times New Roman" w:hAnsi="Times New Roman" w:cs="Times New Roman"/>
                <w:noProof/>
                <w:sz w:val="24"/>
              </w:rPr>
            </w:pPr>
            <w:r w:rsidRPr="00B03B51">
              <w:rPr>
                <w:rFonts w:ascii="Times New Roman" w:hAnsi="Times New Roman" w:cs="Times New Roman"/>
                <w:sz w:val="24"/>
              </w:rPr>
              <w:t>tie ir darījumi, kurus veic saskaņā ar divu vienību savstarpēju vienošanos (atšķirībā no citām izmaiņām aktīvos);</w:t>
            </w:r>
          </w:p>
          <w:p w14:paraId="787BF3BB" w14:textId="77777777" w:rsidR="00994F93" w:rsidRPr="00B03B51" w:rsidRDefault="00994F93" w:rsidP="00994F93">
            <w:pPr>
              <w:numPr>
                <w:ilvl w:val="0"/>
                <w:numId w:val="3"/>
              </w:numPr>
              <w:tabs>
                <w:tab w:val="left" w:pos="675"/>
              </w:tabs>
              <w:ind w:left="709" w:hanging="425"/>
              <w:jc w:val="both"/>
              <w:rPr>
                <w:rFonts w:ascii="Times New Roman" w:hAnsi="Times New Roman" w:cs="Times New Roman"/>
                <w:noProof/>
                <w:sz w:val="24"/>
                <w:szCs w:val="24"/>
              </w:rPr>
            </w:pPr>
            <w:r w:rsidRPr="00B03B51">
              <w:rPr>
                <w:rFonts w:ascii="Times New Roman" w:hAnsi="Times New Roman" w:cs="Times New Roman"/>
                <w:sz w:val="24"/>
                <w:szCs w:val="24"/>
              </w:rPr>
              <w:t>pretī nesaņem nekādu ekvivalentu;</w:t>
            </w:r>
          </w:p>
          <w:p w14:paraId="4642572D" w14:textId="77777777" w:rsidR="00994F93" w:rsidRPr="00B03B51" w:rsidRDefault="00994F93" w:rsidP="00994F93">
            <w:pPr>
              <w:numPr>
                <w:ilvl w:val="0"/>
                <w:numId w:val="3"/>
              </w:numPr>
              <w:tabs>
                <w:tab w:val="left" w:pos="675"/>
              </w:tabs>
              <w:ind w:left="709" w:hanging="425"/>
              <w:jc w:val="both"/>
              <w:rPr>
                <w:rFonts w:ascii="Times New Roman" w:hAnsi="Times New Roman" w:cs="Times New Roman"/>
                <w:noProof/>
                <w:sz w:val="24"/>
                <w:szCs w:val="24"/>
              </w:rPr>
            </w:pPr>
            <w:r w:rsidRPr="00B03B51">
              <w:rPr>
                <w:rFonts w:ascii="Times New Roman" w:hAnsi="Times New Roman" w:cs="Times New Roman"/>
                <w:sz w:val="24"/>
                <w:szCs w:val="24"/>
              </w:rPr>
              <w:t xml:space="preserve">tie ir saistīti ar proporcionālām izmaiņām īpašumtiesībās uz aktīviem (vai ar saistību </w:t>
            </w:r>
            <w:r w:rsidRPr="00B03B51">
              <w:rPr>
                <w:rFonts w:ascii="Times New Roman" w:hAnsi="Times New Roman" w:cs="Times New Roman"/>
                <w:sz w:val="24"/>
                <w:szCs w:val="24"/>
              </w:rPr>
              <w:lastRenderedPageBreak/>
              <w:t>dzēšanu, ko veic kreditors) starp abām pusēm vai ar aktīvu iegādi vai realizāciju.</w:t>
            </w:r>
          </w:p>
          <w:p w14:paraId="7A173821" w14:textId="77777777" w:rsidR="00994F93" w:rsidRPr="00B03B51" w:rsidRDefault="00994F93" w:rsidP="001C4B02">
            <w:pPr>
              <w:jc w:val="both"/>
              <w:rPr>
                <w:rFonts w:ascii="Times New Roman" w:hAnsi="Times New Roman" w:cs="Times New Roman"/>
                <w:noProof/>
                <w:sz w:val="24"/>
                <w:szCs w:val="24"/>
              </w:rPr>
            </w:pPr>
          </w:p>
          <w:p w14:paraId="67D14192" w14:textId="77777777" w:rsidR="00994F93" w:rsidRPr="00B03B51" w:rsidRDefault="00994F93" w:rsidP="001C4B02">
            <w:pPr>
              <w:jc w:val="both"/>
              <w:rPr>
                <w:rFonts w:ascii="Times New Roman" w:hAnsi="Times New Roman" w:cs="Times New Roman"/>
                <w:noProof/>
                <w:sz w:val="24"/>
                <w:szCs w:val="24"/>
              </w:rPr>
            </w:pPr>
            <w:r w:rsidRPr="00B03B51">
              <w:rPr>
                <w:rFonts w:ascii="Times New Roman" w:hAnsi="Times New Roman" w:cs="Times New Roman"/>
                <w:sz w:val="24"/>
                <w:szCs w:val="24"/>
              </w:rPr>
              <w:t>Pirmās divas īpašības ir kopīgas visiem pārvedumiem (kārtējiem pārvedumiem un kapitāla pārvedumiem). Turklāt visus pārvedumus var veikt naudā vai natūrā.</w:t>
            </w:r>
          </w:p>
          <w:p w14:paraId="61CD7A58" w14:textId="77777777" w:rsidR="00994F93" w:rsidRPr="00B03B51" w:rsidRDefault="00994F93" w:rsidP="001C4B02">
            <w:pPr>
              <w:jc w:val="both"/>
              <w:rPr>
                <w:rFonts w:ascii="Times New Roman" w:hAnsi="Times New Roman" w:cs="Times New Roman"/>
                <w:noProof/>
                <w:sz w:val="24"/>
                <w:szCs w:val="24"/>
              </w:rPr>
            </w:pPr>
          </w:p>
          <w:p w14:paraId="22DB68EC" w14:textId="77777777" w:rsidR="00994F93" w:rsidRPr="00B03B51" w:rsidRDefault="00994F93" w:rsidP="001C4B02">
            <w:pPr>
              <w:jc w:val="both"/>
              <w:rPr>
                <w:rFonts w:ascii="Times New Roman" w:hAnsi="Times New Roman" w:cs="Times New Roman"/>
                <w:noProof/>
                <w:sz w:val="24"/>
                <w:szCs w:val="24"/>
              </w:rPr>
            </w:pPr>
            <w:r w:rsidRPr="00B03B51">
              <w:rPr>
                <w:rFonts w:ascii="Times New Roman" w:hAnsi="Times New Roman" w:cs="Times New Roman"/>
                <w:sz w:val="24"/>
                <w:szCs w:val="24"/>
              </w:rPr>
              <w:t>Vēl viena kapitāla pārvedumu pazīme ir tā, ka tie mēdz būt apjomīgi un reti. Izšķir divu veidu kapitāla pārvedumus (EKS 2010 4.146. punkts).</w:t>
            </w:r>
          </w:p>
          <w:p w14:paraId="5654EF3D" w14:textId="77777777" w:rsidR="00994F93" w:rsidRPr="00B03B51" w:rsidRDefault="00994F93" w:rsidP="00994F93">
            <w:pPr>
              <w:numPr>
                <w:ilvl w:val="0"/>
                <w:numId w:val="3"/>
              </w:numPr>
              <w:ind w:left="709" w:hanging="425"/>
              <w:jc w:val="both"/>
              <w:rPr>
                <w:rFonts w:ascii="Times New Roman" w:hAnsi="Times New Roman" w:cs="Times New Roman"/>
                <w:noProof/>
                <w:sz w:val="24"/>
                <w:szCs w:val="24"/>
              </w:rPr>
            </w:pPr>
            <w:r w:rsidRPr="00B03B51">
              <w:rPr>
                <w:rFonts w:ascii="Times New Roman" w:hAnsi="Times New Roman" w:cs="Times New Roman"/>
                <w:sz w:val="24"/>
                <w:szCs w:val="24"/>
              </w:rPr>
              <w:t>Kapitāla pārvedumi naudā – tie ietver naudas pārvedumus ar aktīvu īpašumtiesību maiņu. Saņēmējam bieži ir pienākums izmantot skaidru naudu, lai iegādātos aktīvus, un tas ir nosacījums pārveduma veikšanai (piemēram, ieguldījumu dotācija), skat. EKS 2010 4.146. punktu.</w:t>
            </w:r>
          </w:p>
          <w:p w14:paraId="136AD845" w14:textId="009E1156" w:rsidR="00994F93" w:rsidRPr="00B03B51" w:rsidRDefault="00994F93" w:rsidP="00994F93">
            <w:pPr>
              <w:numPr>
                <w:ilvl w:val="0"/>
                <w:numId w:val="3"/>
              </w:numPr>
              <w:ind w:left="709" w:hanging="425"/>
              <w:jc w:val="both"/>
              <w:rPr>
                <w:rFonts w:ascii="Times New Roman" w:hAnsi="Times New Roman" w:cs="Times New Roman"/>
                <w:noProof/>
                <w:sz w:val="24"/>
                <w:szCs w:val="24"/>
              </w:rPr>
            </w:pPr>
            <w:r w:rsidRPr="00B03B51">
              <w:rPr>
                <w:rFonts w:ascii="Times New Roman" w:hAnsi="Times New Roman" w:cs="Times New Roman"/>
                <w:sz w:val="24"/>
                <w:szCs w:val="24"/>
              </w:rPr>
              <w:t xml:space="preserve">Kapitāla pārvedumi natūrā – citi aktīvu īpašumtiesību nodošanas gadījumi, izņemot naudu, kā arī parāda </w:t>
            </w:r>
            <w:r w:rsidR="000820B6" w:rsidRPr="00B03B51">
              <w:rPr>
                <w:rFonts w:ascii="Times New Roman" w:hAnsi="Times New Roman" w:cs="Times New Roman"/>
                <w:sz w:val="24"/>
                <w:szCs w:val="24"/>
              </w:rPr>
              <w:t>anulēšana</w:t>
            </w:r>
            <w:r w:rsidRPr="00B03B51">
              <w:rPr>
                <w:rFonts w:ascii="Times New Roman" w:hAnsi="Times New Roman" w:cs="Times New Roman"/>
                <w:sz w:val="24"/>
                <w:szCs w:val="24"/>
              </w:rPr>
              <w:t xml:space="preserve"> vai uzņemšanās bez ekvivalenta saņemšanas.</w:t>
            </w:r>
          </w:p>
          <w:p w14:paraId="04F79222" w14:textId="77777777" w:rsidR="00994F93" w:rsidRPr="00B03B51" w:rsidRDefault="00994F93" w:rsidP="001C4B02">
            <w:pPr>
              <w:jc w:val="both"/>
              <w:rPr>
                <w:rFonts w:ascii="Times New Roman" w:hAnsi="Times New Roman" w:cs="Times New Roman"/>
                <w:noProof/>
                <w:sz w:val="24"/>
                <w:szCs w:val="24"/>
              </w:rPr>
            </w:pPr>
          </w:p>
          <w:p w14:paraId="28ADC545" w14:textId="77777777" w:rsidR="00994F93" w:rsidRPr="00B03B51" w:rsidRDefault="00994F93" w:rsidP="001C4B02">
            <w:pPr>
              <w:jc w:val="both"/>
              <w:rPr>
                <w:rFonts w:ascii="Times New Roman" w:hAnsi="Times New Roman" w:cs="Times New Roman"/>
                <w:noProof/>
                <w:sz w:val="24"/>
                <w:szCs w:val="24"/>
              </w:rPr>
            </w:pPr>
            <w:r w:rsidRPr="00B03B51">
              <w:rPr>
                <w:rFonts w:ascii="Times New Roman" w:hAnsi="Times New Roman" w:cs="Times New Roman"/>
                <w:sz w:val="24"/>
                <w:szCs w:val="24"/>
              </w:rPr>
              <w:t>Kapitāla pārvedumi parasti ir valdības darījumi; valsts politikas mērķu dēļ valdībai var būt vajadzība veikt pārvedumus sabiedrībām bez ekvivalenta saņemšanas. Kapitāla pārveduma paredzamā ietekme uz pašu kapitāla vērtību (piemēram, tirgus reakcijas dēļ) nav pamatots iemesls, lai šo darījumu uzskatītu par finanšu darījumu; arī šajā gadījumā nav skaidri zināms ne tas, kāda būs ietekme, ne arī tās apmērs.</w:t>
            </w:r>
          </w:p>
          <w:p w14:paraId="2D75B445" w14:textId="77777777" w:rsidR="00994F93" w:rsidRPr="00B03B51" w:rsidRDefault="00994F93" w:rsidP="001C4B02">
            <w:pPr>
              <w:jc w:val="both"/>
              <w:rPr>
                <w:rFonts w:ascii="Times New Roman" w:eastAsia="Arial" w:hAnsi="Times New Roman" w:cs="Times New Roman"/>
                <w:noProof/>
                <w:sz w:val="24"/>
                <w:szCs w:val="24"/>
              </w:rPr>
            </w:pPr>
          </w:p>
          <w:p w14:paraId="17918A7E" w14:textId="77777777" w:rsidR="00994F93" w:rsidRPr="00B03B51" w:rsidRDefault="00994F93" w:rsidP="001C4B02">
            <w:pPr>
              <w:jc w:val="both"/>
              <w:rPr>
                <w:rFonts w:ascii="Times New Roman" w:eastAsia="Arial" w:hAnsi="Times New Roman" w:cs="Times New Roman"/>
                <w:noProof/>
                <w:sz w:val="24"/>
                <w:szCs w:val="24"/>
              </w:rPr>
            </w:pPr>
            <w:r w:rsidRPr="00B03B51">
              <w:rPr>
                <w:rFonts w:ascii="Times New Roman" w:hAnsi="Times New Roman" w:cs="Times New Roman"/>
                <w:sz w:val="24"/>
                <w:szCs w:val="24"/>
              </w:rPr>
              <w:t>Tāpēc atšķirībā no finanšu darījumiem kapitāla pārvedumi ir ekvivalentā plūsma “vienvirziena” izmaiņām aktīvos vai saistībās, un tas nozīmē, ka saņēmējs ir kļuvis bagātāks, savukārt otra puse – nabadzīgāka. To izsaka ar neto vērtības pieaugumu pirmās puses bilancē un neto vērtības samazinājumu otras puses bilancē.</w:t>
            </w:r>
          </w:p>
        </w:tc>
      </w:tr>
    </w:tbl>
    <w:p w14:paraId="5922D7F2" w14:textId="77777777" w:rsidR="00994F93" w:rsidRPr="00B03B51" w:rsidRDefault="00994F93" w:rsidP="00994F93">
      <w:pPr>
        <w:rPr>
          <w:rFonts w:ascii="Times New Roman" w:eastAsia="Arial" w:hAnsi="Times New Roman" w:cs="Times New Roman"/>
          <w:noProof/>
          <w:sz w:val="24"/>
          <w:szCs w:val="20"/>
        </w:rPr>
      </w:pPr>
      <w:r w:rsidRPr="00B03B51">
        <w:rPr>
          <w:rFonts w:ascii="Times New Roman" w:hAnsi="Times New Roman" w:cs="Times New Roman"/>
        </w:rPr>
        <w:lastRenderedPageBreak/>
        <w:br w:type="page"/>
      </w:r>
    </w:p>
    <w:p w14:paraId="28C347D1" w14:textId="77777777" w:rsidR="00994F93" w:rsidRPr="00B03B51" w:rsidRDefault="00994F93" w:rsidP="00994F93">
      <w:pPr>
        <w:jc w:val="both"/>
        <w:rPr>
          <w:rFonts w:ascii="Times New Roman" w:eastAsia="Times New Roman" w:hAnsi="Times New Roman" w:cs="Times New Roman"/>
          <w:noProof/>
          <w:sz w:val="24"/>
          <w:szCs w:val="19"/>
        </w:rPr>
      </w:pPr>
    </w:p>
    <w:p w14:paraId="66A6DBCA" w14:textId="77777777" w:rsidR="00994F93" w:rsidRPr="00B03B51" w:rsidRDefault="00994F93" w:rsidP="00994F93">
      <w:pPr>
        <w:jc w:val="both"/>
        <w:rPr>
          <w:rFonts w:ascii="Times New Roman" w:hAnsi="Times New Roman" w:cs="Times New Roman"/>
          <w:b/>
          <w:noProof/>
          <w:sz w:val="24"/>
        </w:rPr>
      </w:pPr>
      <w:r w:rsidRPr="00B03B51">
        <w:rPr>
          <w:rFonts w:ascii="Times New Roman" w:hAnsi="Times New Roman" w:cs="Times New Roman"/>
          <w:b/>
          <w:sz w:val="24"/>
        </w:rPr>
        <w:t>Lēmuma pieņemšanas shēma attiecībā uz kapitāla iepludināšanu</w:t>
      </w:r>
    </w:p>
    <w:p w14:paraId="2A4ABD6F" w14:textId="77777777" w:rsidR="00994F93" w:rsidRPr="00B03B51" w:rsidRDefault="00994F93" w:rsidP="00994F93">
      <w:pPr>
        <w:jc w:val="both"/>
        <w:rPr>
          <w:rFonts w:ascii="Times New Roman" w:hAnsi="Times New Roman" w:cs="Times New Roman"/>
          <w:b/>
          <w:noProof/>
          <w:sz w:val="24"/>
        </w:rPr>
      </w:pPr>
      <w:r w:rsidRPr="00B03B51">
        <w:rPr>
          <w:rFonts w:ascii="Times New Roman" w:hAnsi="Times New Roman" w:cs="Times New Roman"/>
          <w:b/>
          <w:sz w:val="24"/>
        </w:rPr>
        <w:t>(izņemot ieguldījumu dotācijas (D.92))</w:t>
      </w:r>
    </w:p>
    <w:p w14:paraId="10521821" w14:textId="77777777" w:rsidR="00994F93" w:rsidRPr="00B03B51" w:rsidRDefault="00994F93" w:rsidP="00994F93">
      <w:pPr>
        <w:jc w:val="both"/>
        <w:rPr>
          <w:rFonts w:ascii="Times New Roman" w:eastAsia="Arial" w:hAnsi="Times New Roman" w:cs="Times New Roman"/>
          <w:b/>
          <w:bCs/>
          <w:noProof/>
          <w:sz w:val="24"/>
          <w:szCs w:val="20"/>
        </w:rPr>
      </w:pPr>
    </w:p>
    <w:p w14:paraId="3874646F" w14:textId="53476BE2" w:rsidR="00994F93" w:rsidRPr="00B03B51" w:rsidRDefault="005F7E5D" w:rsidP="008A7C35">
      <w:pPr>
        <w:jc w:val="center"/>
        <w:rPr>
          <w:rFonts w:ascii="Times New Roman" w:eastAsia="Arial" w:hAnsi="Times New Roman" w:cs="Times New Roman"/>
          <w:b/>
          <w:bCs/>
          <w:noProof/>
          <w:sz w:val="24"/>
          <w:szCs w:val="20"/>
        </w:rPr>
      </w:pPr>
      <w:r w:rsidRPr="00B03B51">
        <w:rPr>
          <w:rFonts w:ascii="Times New Roman" w:eastAsia="Arial" w:hAnsi="Times New Roman" w:cs="Times New Roman"/>
          <w:b/>
          <w:bCs/>
          <w:noProof/>
          <w:sz w:val="24"/>
          <w:szCs w:val="20"/>
        </w:rPr>
        <w:drawing>
          <wp:inline distT="0" distB="0" distL="0" distR="0" wp14:anchorId="49F9D09F" wp14:editId="0085E143">
            <wp:extent cx="5760085" cy="4161155"/>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760085" cy="4161155"/>
                    </a:xfrm>
                    <a:prstGeom prst="rect">
                      <a:avLst/>
                    </a:prstGeom>
                    <a:noFill/>
                    <a:ln>
                      <a:noFill/>
                    </a:ln>
                  </pic:spPr>
                </pic:pic>
              </a:graphicData>
            </a:graphic>
          </wp:inline>
        </w:drawing>
      </w:r>
    </w:p>
    <w:p w14:paraId="037AFCBF" w14:textId="77777777" w:rsidR="00994F93" w:rsidRPr="00B03B51" w:rsidRDefault="00994F93" w:rsidP="00994F93">
      <w:pPr>
        <w:rPr>
          <w:rFonts w:ascii="Times New Roman" w:eastAsia="Arial" w:hAnsi="Times New Roman" w:cs="Times New Roman"/>
          <w:b/>
          <w:bCs/>
          <w:noProof/>
          <w:sz w:val="24"/>
          <w:szCs w:val="20"/>
        </w:rPr>
      </w:pPr>
      <w:r w:rsidRPr="00B03B51">
        <w:rPr>
          <w:rFonts w:ascii="Times New Roman" w:hAnsi="Times New Roman" w:cs="Times New Roman"/>
        </w:rPr>
        <w:br w:type="page"/>
      </w:r>
    </w:p>
    <w:p w14:paraId="203EE0E3" w14:textId="77777777" w:rsidR="00994F93" w:rsidRPr="00B03B51" w:rsidRDefault="00994F93" w:rsidP="00994F93">
      <w:pPr>
        <w:jc w:val="both"/>
        <w:rPr>
          <w:rFonts w:ascii="Times New Roman" w:eastAsia="Arial" w:hAnsi="Times New Roman" w:cs="Times New Roman"/>
          <w:noProof/>
          <w:sz w:val="24"/>
          <w:szCs w:val="29"/>
        </w:rPr>
      </w:pPr>
    </w:p>
    <w:p w14:paraId="27463278" w14:textId="77777777" w:rsidR="00994F93" w:rsidRPr="00B03B51" w:rsidRDefault="00994F93" w:rsidP="00994F93">
      <w:pPr>
        <w:pStyle w:val="Heading2"/>
        <w:tabs>
          <w:tab w:val="left" w:pos="1267"/>
        </w:tabs>
        <w:spacing w:before="0"/>
        <w:ind w:left="0" w:firstLine="0"/>
        <w:jc w:val="both"/>
        <w:rPr>
          <w:rFonts w:ascii="Times New Roman" w:hAnsi="Times New Roman" w:cs="Times New Roman"/>
          <w:noProof/>
          <w:sz w:val="28"/>
          <w:szCs w:val="44"/>
        </w:rPr>
      </w:pPr>
      <w:bookmarkStart w:id="221" w:name="3.3_Capital_injections_into_public_quasi"/>
      <w:bookmarkStart w:id="222" w:name="_bookmark23"/>
      <w:bookmarkStart w:id="223" w:name="_Toc67565091"/>
      <w:bookmarkEnd w:id="221"/>
      <w:bookmarkEnd w:id="222"/>
      <w:r w:rsidRPr="00B03B51">
        <w:rPr>
          <w:rFonts w:ascii="Times New Roman" w:hAnsi="Times New Roman" w:cs="Times New Roman"/>
          <w:sz w:val="28"/>
          <w:szCs w:val="44"/>
        </w:rPr>
        <w:t>3.3. Kapitāla iepludināšana publiskās kvazisabiedrībās</w:t>
      </w:r>
      <w:bookmarkEnd w:id="223"/>
    </w:p>
    <w:p w14:paraId="4B0ADC71" w14:textId="77777777" w:rsidR="00994F93" w:rsidRPr="00100B51" w:rsidRDefault="00994F93" w:rsidP="00100B51">
      <w:pPr>
        <w:rPr>
          <w:rFonts w:ascii="Times New Roman" w:hAnsi="Times New Roman" w:cs="Times New Roman"/>
          <w:noProof/>
          <w:sz w:val="24"/>
          <w:szCs w:val="24"/>
        </w:rPr>
      </w:pPr>
      <w:bookmarkStart w:id="224" w:name="3.3.1_Background"/>
      <w:bookmarkEnd w:id="224"/>
    </w:p>
    <w:p w14:paraId="7AB7B363" w14:textId="77777777" w:rsidR="00994F93" w:rsidRPr="00B03B51" w:rsidRDefault="00994F93" w:rsidP="00994F93">
      <w:pPr>
        <w:pStyle w:val="Heading3"/>
        <w:tabs>
          <w:tab w:val="left" w:pos="1267"/>
        </w:tabs>
        <w:ind w:left="0" w:firstLine="0"/>
        <w:jc w:val="both"/>
        <w:rPr>
          <w:rFonts w:ascii="Times New Roman" w:hAnsi="Times New Roman" w:cs="Times New Roman"/>
          <w:noProof/>
          <w:sz w:val="24"/>
        </w:rPr>
      </w:pPr>
      <w:bookmarkStart w:id="225" w:name="_Toc67565092"/>
      <w:r w:rsidRPr="00B03B51">
        <w:rPr>
          <w:rFonts w:ascii="Times New Roman" w:hAnsi="Times New Roman" w:cs="Times New Roman"/>
          <w:sz w:val="24"/>
        </w:rPr>
        <w:t>3.3.1. Vispārīga informācija</w:t>
      </w:r>
      <w:bookmarkEnd w:id="225"/>
    </w:p>
    <w:p w14:paraId="7469E315"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1D39A23A"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 Viens no nacionālo kontu pamatelementiem ir institucionālo vienību jēdziens un šo vienību apvienošana institucionālajos sektoros. Tā kā sistēmas mērķis ekonomiskās analīzes pamatošanai ir aprakstīt saimnieciskās darbības subjektu mijiedarbību, tad galvenā pazīme, saskaņā ar kuru saimnieciskās darbības subjektu var atzīt par institucionālu vienību, ir tā spēja pieņemt autonomus ekonomiskos lēmumus attiecībā uz tā galvenās funkcijas īstenošanu, nevis kādi citi apsvērumi, piemēram, juridiskais statuss.</w:t>
      </w:r>
    </w:p>
    <w:p w14:paraId="47115FD0"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0095991D"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2. Publisku kvazisabiedrību jēdziens ir paredzēts ar mērķi nošķirt publiskus subjektus no to valdības īpašniekiem, jo tās ir iesaistītas tirgus darbībā tādā veidā, kas atbilst tirgus ražotāja kritērijiem, uzskatot, ka tām ir lēmumu pieņemšanas autonomija. Pat ja tām nav juridiskā statusa, tās tomēr ir pietiekami neatkarīgas un rīkojas atšķirīgi no to īpašniekiem un līdzīgi sabiedrībām. Proti, tām var piederēt aktīvi, tās var pieņemt ekonomiskus lēmumus, slēgt līgumus un uzņemties saistības (EKS 2010 2.12. punkts). Publiskām kvazisabiedrībām ir jāuztur pilns kontu komplekts, vai vajadzības gadījumā jābūt iespējai apkopot šādu pilnu komplektu, kas būtu jēgpilns no ekonomiskā un juridiskā viedokļa; pretējā gadījumā no uzskaites viedokļa šādas sabiedrības, visticamāk, nebūtu iespējams atšķirt no to īpašniekiem (EKS 2010 2.13. punkta f) apakšpunkts). Lai varētu uzskatīt, ka vienībai ir pilnīgs kontu komplekts, tai jāveic uzskaite, kas aptver visus tās ekonomiskos un finanšu darījumus, kurus tā veikusi uzskaites periodā, kā arī jāveido aktīvu un saistību bilance.</w:t>
      </w:r>
    </w:p>
    <w:p w14:paraId="061FAC41"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081FEE5E"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3. Tā kā publiskas kvazisabiedrības nacionālajos kontos ir atzītas kā institucionālas vienības un tirgus ražotājas (t. i., tās piemēro ekonomiski nozīmīgas cenas), tās būtu jātraktē tāpat kā jebkura cita sabiedrība, kā noteikts EKS 2010 20.193. punktā. Šīs nodaļas mērķis ir sniegt īsus, taču vispusīgus norādījumus par to, kādos gadījumos valdības iepludinātais kapitāls vai citi pārvedumi to kvazisabiedrībām jāieraksta kā finanšu vai nefinanšu darījumi.</w:t>
      </w:r>
    </w:p>
    <w:p w14:paraId="4C084653" w14:textId="77777777" w:rsidR="00994F93" w:rsidRPr="00B03B51" w:rsidRDefault="00994F93" w:rsidP="00994F93">
      <w:pPr>
        <w:jc w:val="both"/>
        <w:rPr>
          <w:rFonts w:ascii="Times New Roman" w:eastAsia="Arial" w:hAnsi="Times New Roman" w:cs="Times New Roman"/>
          <w:noProof/>
          <w:sz w:val="24"/>
          <w:szCs w:val="19"/>
        </w:rPr>
      </w:pPr>
    </w:p>
    <w:p w14:paraId="747EC53B" w14:textId="77777777" w:rsidR="00994F93" w:rsidRPr="00B03B51" w:rsidRDefault="00994F93" w:rsidP="00994F93">
      <w:pPr>
        <w:pStyle w:val="Heading3"/>
        <w:tabs>
          <w:tab w:val="left" w:pos="1267"/>
        </w:tabs>
        <w:ind w:left="0" w:firstLine="0"/>
        <w:jc w:val="both"/>
        <w:rPr>
          <w:rFonts w:ascii="Times New Roman" w:hAnsi="Times New Roman" w:cs="Times New Roman"/>
          <w:noProof/>
          <w:sz w:val="24"/>
        </w:rPr>
      </w:pPr>
      <w:bookmarkStart w:id="226" w:name="3.3.2_Treatment_in_national_accounts"/>
      <w:bookmarkStart w:id="227" w:name="_Toc67565093"/>
      <w:bookmarkEnd w:id="226"/>
      <w:r w:rsidRPr="00B03B51">
        <w:rPr>
          <w:rFonts w:ascii="Times New Roman" w:hAnsi="Times New Roman" w:cs="Times New Roman"/>
          <w:sz w:val="24"/>
        </w:rPr>
        <w:t>3.3.2. Traktējums nacionālajos kontos</w:t>
      </w:r>
      <w:bookmarkEnd w:id="227"/>
    </w:p>
    <w:p w14:paraId="3E616E1B"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3AC9DD72"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4. Ierakstot nacionālajos kontos valdības pārvedumu publiskajām kvazisabiedrībām, kopumā jāievēro tie paši noteikumi, ko piemēro attiecībā uz citām publiskajām sabiedrībām (skat. 3.2. nodaļu “Kapitāla iepludināšana publiskās sabiedrībās”), ja vien EKS 2010 nav skaidri noteikts citādi. Kapitāla iepludināšanas tests, kas noteikts šīs rokasgrāmatas 3.2.2. apakšiedaļā, jāpiemēro atkarībā no tā, kā kvazisabiedrības strādā – ar zaudējumiem vai ar peļņu.</w:t>
      </w:r>
    </w:p>
    <w:p w14:paraId="6D413DDF"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7AEF7D95"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5. Jāievēro turpmāk minētie darbības norādījumi:</w:t>
      </w:r>
    </w:p>
    <w:p w14:paraId="50B1BAC8"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4D577C06" w14:textId="77777777" w:rsidR="00994F93" w:rsidRPr="00B03B51" w:rsidRDefault="00994F93" w:rsidP="00994F93">
      <w:pPr>
        <w:pStyle w:val="BodyText"/>
        <w:tabs>
          <w:tab w:val="left" w:pos="1126"/>
        </w:tabs>
        <w:spacing w:before="0"/>
        <w:ind w:left="284" w:firstLine="0"/>
        <w:jc w:val="both"/>
        <w:rPr>
          <w:rFonts w:ascii="Times New Roman" w:hAnsi="Times New Roman" w:cs="Times New Roman"/>
          <w:noProof/>
          <w:sz w:val="24"/>
        </w:rPr>
      </w:pPr>
      <w:r w:rsidRPr="00B03B51">
        <w:rPr>
          <w:rFonts w:ascii="Times New Roman" w:hAnsi="Times New Roman" w:cs="Times New Roman"/>
          <w:sz w:val="24"/>
        </w:rPr>
        <w:t>a) ja publiska kvazisabiedrība gūst peļņu un plāno arī turpmāk gūt pietiekamu peļņu, valdības veikti kapitāla pārvedumi, piemēram, aktīvu iegādes vai saistību samazināšanas nolūkā, jāieraksta kā finanšu darījumi, cits pašu kapitāls (F.519) (EKS 2010 5.154. punkta f) apakšpunkts), bet citos gadījumos tie jāieraksta kā kapitāla pārvedums;</w:t>
      </w:r>
    </w:p>
    <w:p w14:paraId="303DC534" w14:textId="77777777" w:rsidR="00994F93" w:rsidRPr="00B03B51" w:rsidRDefault="00994F93" w:rsidP="00994F93">
      <w:pPr>
        <w:pStyle w:val="BodyText"/>
        <w:tabs>
          <w:tab w:val="left" w:pos="1126"/>
        </w:tabs>
        <w:spacing w:before="0"/>
        <w:ind w:left="284" w:firstLine="0"/>
        <w:jc w:val="both"/>
        <w:rPr>
          <w:rFonts w:ascii="Times New Roman" w:hAnsi="Times New Roman" w:cs="Times New Roman"/>
          <w:noProof/>
          <w:sz w:val="24"/>
        </w:rPr>
      </w:pPr>
    </w:p>
    <w:p w14:paraId="4CC31942" w14:textId="77777777" w:rsidR="00994F93" w:rsidRPr="00B03B51" w:rsidRDefault="00994F93" w:rsidP="00994F93">
      <w:pPr>
        <w:pStyle w:val="BodyText"/>
        <w:tabs>
          <w:tab w:val="left" w:pos="1126"/>
        </w:tabs>
        <w:spacing w:before="0"/>
        <w:ind w:left="284" w:firstLine="0"/>
        <w:jc w:val="both"/>
        <w:rPr>
          <w:rFonts w:ascii="Times New Roman" w:hAnsi="Times New Roman" w:cs="Times New Roman"/>
          <w:noProof/>
          <w:sz w:val="24"/>
        </w:rPr>
      </w:pPr>
      <w:r w:rsidRPr="00B03B51">
        <w:rPr>
          <w:rFonts w:ascii="Times New Roman" w:hAnsi="Times New Roman" w:cs="Times New Roman"/>
          <w:sz w:val="24"/>
        </w:rPr>
        <w:t xml:space="preserve">b) ja valdības vai Eiropas apzinātas ekonomiskās un sociālās politikas dēļ publiska kvazisabiedrība saskaras ar pastāvīgu darbības deficītu, attiecībā uz galalietotājiem piemērojot nepietiekami augstu cenu, regulāri valdības pārvedumi ir jāieraksta kā citas produktu subsīdijas (D.319) (EKS 2010 4.35. punkta c) apakšpunkts un EKS 2010 </w:t>
      </w:r>
      <w:r w:rsidRPr="00B03B51">
        <w:rPr>
          <w:rFonts w:ascii="Times New Roman" w:hAnsi="Times New Roman" w:cs="Times New Roman"/>
          <w:sz w:val="24"/>
        </w:rPr>
        <w:lastRenderedPageBreak/>
        <w:t>4.61. punkts);</w:t>
      </w:r>
    </w:p>
    <w:p w14:paraId="73ACC9BF" w14:textId="77777777" w:rsidR="00994F93" w:rsidRPr="00B03B51" w:rsidRDefault="00994F93" w:rsidP="00994F93">
      <w:pPr>
        <w:pStyle w:val="BodyText"/>
        <w:tabs>
          <w:tab w:val="left" w:pos="1126"/>
        </w:tabs>
        <w:spacing w:before="0"/>
        <w:ind w:left="284" w:firstLine="0"/>
        <w:jc w:val="both"/>
        <w:rPr>
          <w:rFonts w:ascii="Times New Roman" w:hAnsi="Times New Roman" w:cs="Times New Roman"/>
          <w:noProof/>
          <w:sz w:val="24"/>
        </w:rPr>
      </w:pPr>
    </w:p>
    <w:p w14:paraId="46C49D3F" w14:textId="77777777" w:rsidR="00994F93" w:rsidRPr="00B03B51" w:rsidRDefault="00994F93" w:rsidP="00994F93">
      <w:pPr>
        <w:pStyle w:val="BodyText"/>
        <w:tabs>
          <w:tab w:val="left" w:pos="1126"/>
        </w:tabs>
        <w:spacing w:before="0"/>
        <w:ind w:left="284" w:firstLine="0"/>
        <w:jc w:val="both"/>
        <w:rPr>
          <w:rFonts w:ascii="Times New Roman" w:hAnsi="Times New Roman" w:cs="Times New Roman"/>
          <w:noProof/>
          <w:sz w:val="24"/>
        </w:rPr>
      </w:pPr>
      <w:r w:rsidRPr="00B03B51">
        <w:rPr>
          <w:rFonts w:ascii="Times New Roman" w:hAnsi="Times New Roman" w:cs="Times New Roman"/>
          <w:sz w:val="24"/>
        </w:rPr>
        <w:t>c) ja publiska kvazisabiedrība saņem pārvedumus no valdības, lai segtu uzkrātos zaudējumus vai ārkārtas zaudējumus, kuru iemeslus tā nespēj kontrolēt, tos ieraksta kā citus kapitāla pārvedumus (D.99) (EKS 2010 4.165. punkta b) apakšpunkts). Tomēr jebkuru iepludinātā kapitāla daļu, kas pārsniedz uzkrātos zaudējumus, var ierakstīt kā finanšu darījumu (F.519), ja vien tas ir atbilstoši dokumentēts. Maksājumus, kas paredzēti turpmāko zaudējumu segšanai, arī traktē kā citus kapitāla pārvedumus (D.99);</w:t>
      </w:r>
    </w:p>
    <w:p w14:paraId="7FD15346" w14:textId="77777777" w:rsidR="00994F93" w:rsidRPr="00B03B51" w:rsidRDefault="00994F93" w:rsidP="00994F93">
      <w:pPr>
        <w:ind w:left="284"/>
        <w:jc w:val="both"/>
        <w:rPr>
          <w:rFonts w:ascii="Times New Roman" w:hAnsi="Times New Roman" w:cs="Times New Roman"/>
          <w:noProof/>
          <w:sz w:val="24"/>
        </w:rPr>
      </w:pPr>
    </w:p>
    <w:p w14:paraId="1C749905" w14:textId="77777777" w:rsidR="00994F93" w:rsidRPr="00B03B51" w:rsidRDefault="00994F93" w:rsidP="00994F93">
      <w:pPr>
        <w:pStyle w:val="BodyText"/>
        <w:tabs>
          <w:tab w:val="left" w:pos="1126"/>
        </w:tabs>
        <w:spacing w:before="0"/>
        <w:ind w:left="284" w:firstLine="0"/>
        <w:jc w:val="both"/>
        <w:rPr>
          <w:rFonts w:ascii="Times New Roman" w:hAnsi="Times New Roman" w:cs="Times New Roman"/>
          <w:noProof/>
          <w:sz w:val="24"/>
        </w:rPr>
      </w:pPr>
      <w:r w:rsidRPr="00B03B51">
        <w:rPr>
          <w:rFonts w:ascii="Times New Roman" w:hAnsi="Times New Roman" w:cs="Times New Roman"/>
          <w:sz w:val="24"/>
        </w:rPr>
        <w:t>d) ja valdības īpašnieks dzēš finanšu prasījumus pret publisku kvazisabiedrību vai uzņemas tās saistības, jāieraksta finanšu darījumi pozīcijā “cits pašu kapitāls” (F.519) (EKS 2010 4.165. punkta f) apakšpunkts), ja vien operācija netiek veikta ar mērķi segt uzkrātos zaudējumus vai ārkārtīgi lielu zaudējumu, kas nav ietverts c) apakšpunktā minētajā gadījumā, ierakstot citus kapitāla pārvedumus (D.99) (EKS 2010 5.37. punkts). Arī turpmāko gaidāmo zaudējumu gadījumā to var traktēt kā citus kapitāla pārvedumus (D.99) (EKS 2010 4.165. punkta b) apakšpunkts);</w:t>
      </w:r>
    </w:p>
    <w:p w14:paraId="401F2092" w14:textId="77777777" w:rsidR="00994F93" w:rsidRPr="00B03B51" w:rsidRDefault="00994F93" w:rsidP="00994F93">
      <w:pPr>
        <w:pStyle w:val="BodyText"/>
        <w:tabs>
          <w:tab w:val="left" w:pos="1126"/>
        </w:tabs>
        <w:spacing w:before="0"/>
        <w:ind w:left="284" w:firstLine="0"/>
        <w:jc w:val="both"/>
        <w:rPr>
          <w:rFonts w:ascii="Times New Roman" w:hAnsi="Times New Roman" w:cs="Times New Roman"/>
          <w:noProof/>
          <w:sz w:val="24"/>
        </w:rPr>
      </w:pPr>
    </w:p>
    <w:p w14:paraId="05314D05" w14:textId="77777777" w:rsidR="00994F93" w:rsidRPr="00B03B51" w:rsidRDefault="00994F93" w:rsidP="00994F93">
      <w:pPr>
        <w:pStyle w:val="BodyText"/>
        <w:tabs>
          <w:tab w:val="left" w:pos="1126"/>
        </w:tabs>
        <w:spacing w:before="0"/>
        <w:ind w:left="284" w:firstLine="0"/>
        <w:jc w:val="both"/>
        <w:rPr>
          <w:rFonts w:ascii="Times New Roman" w:hAnsi="Times New Roman" w:cs="Times New Roman"/>
          <w:noProof/>
          <w:sz w:val="24"/>
        </w:rPr>
      </w:pPr>
      <w:r w:rsidRPr="00B03B51">
        <w:rPr>
          <w:rFonts w:ascii="Times New Roman" w:hAnsi="Times New Roman" w:cs="Times New Roman"/>
          <w:sz w:val="24"/>
        </w:rPr>
        <w:t>e) ja valdība veic pārvedumus publiskām kvazisabiedrībām, lai pilnībā vai daļēji finansētu tām ar pamatlīdzekļu iegādi saistītās izmaksas, tos ieraksta kā ieguldījumu dotāciju (D.92) (EKS 2010 4.157. un 20.42. punkts). Šajā gadījumā ir skaidri jānorāda, ka ar līdzekļu piešķiršanu tiek finansēta konkrētu pamatlīdzekļu iegāde vai to būtiska uzlabošana, nevis tiek veikta “vispārīga”, nenoteikta līdzekļu piešķiršana kvazisabiedrībai.</w:t>
      </w:r>
    </w:p>
    <w:p w14:paraId="4F647356"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5BA97EC3"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6. Šādos apstākļos līdzekļu pieplūdums peļņu nenesošai publiskai kvazisabiedrībai no valdības naudā vai natūrā jāieraksta kā nefinanšu darījums (šādos gadījumos piemēro EKS 2010 4.165. punkta b) apakšpunktu, nevis f) apakšpunktu), kā norādīts EKS 2010 5.37. punktā. Līdzekļu pieplūdumu no valdības, kas pārsniedz uzkrātos vai paredzamos zaudējumus, var ierakstīt kā finanšu darījumus.</w:t>
      </w:r>
    </w:p>
    <w:p w14:paraId="1070D47C" w14:textId="77777777" w:rsidR="00994F93" w:rsidRPr="00B03B51" w:rsidRDefault="00994F93" w:rsidP="00994F93">
      <w:pPr>
        <w:jc w:val="both"/>
        <w:rPr>
          <w:rFonts w:ascii="Times New Roman" w:eastAsia="Arial" w:hAnsi="Times New Roman" w:cs="Times New Roman"/>
          <w:noProof/>
          <w:sz w:val="24"/>
          <w:szCs w:val="18"/>
        </w:rPr>
      </w:pPr>
    </w:p>
    <w:p w14:paraId="53946420" w14:textId="77777777" w:rsidR="00994F93" w:rsidRPr="00B03B51" w:rsidRDefault="00994F93" w:rsidP="00994F93">
      <w:pPr>
        <w:pStyle w:val="Heading3"/>
        <w:tabs>
          <w:tab w:val="left" w:pos="1267"/>
        </w:tabs>
        <w:ind w:left="0" w:firstLine="0"/>
        <w:jc w:val="both"/>
        <w:rPr>
          <w:rFonts w:ascii="Times New Roman" w:hAnsi="Times New Roman" w:cs="Times New Roman"/>
          <w:noProof/>
          <w:sz w:val="24"/>
        </w:rPr>
      </w:pPr>
      <w:bookmarkStart w:id="228" w:name="3.3.3_Rationale_of_the_treatment"/>
      <w:bookmarkStart w:id="229" w:name="_Toc67565094"/>
      <w:bookmarkEnd w:id="228"/>
      <w:r w:rsidRPr="00B03B51">
        <w:rPr>
          <w:rFonts w:ascii="Times New Roman" w:hAnsi="Times New Roman" w:cs="Times New Roman"/>
          <w:sz w:val="24"/>
        </w:rPr>
        <w:t>3.3.3. Traktējuma pamatojums</w:t>
      </w:r>
      <w:bookmarkEnd w:id="229"/>
    </w:p>
    <w:p w14:paraId="7ED1F99C"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5861DBA4"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7. Publisku kvazisabiedrību jēdziens ir ieviests nacionālo kontu sistēmā tāpēc, ka to darbība atšķiras no to valdības īpašnieku darbības un līdzinās sabiedrību darbībai; tāpēc tās ir atzītas kā institucionālas vienības un tirgus ražotāji. Līdz ar to nacionālajos kontos cenšas atspoguļot kvazisabiedrību un to valdības īpašnieku savstarpējo darījumu ekonomisko būtību. Publisku kvazisabiedrību traktējumu ir pamatoti pielīdzināt citu publisku sabiedrību traktējumam, ņemot vērā līdzības, kas pastāv abu šādu vienību darbībā.</w:t>
      </w:r>
    </w:p>
    <w:p w14:paraId="3D341A17"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12D9B355"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8. Lai publiska kvazisabiedrība tiktu atzīta nacionālajos kontos, valdībai ir jāpiešķir uzņēmuma vadībai ievērojama rīcības brīvība attiecībā uz ražošanas procesa vadību un pašu līdzekļu izmantošanu, kā definēts EKS 2010 7.07. punktā, kā arī jābūt ievērotam lēmumu pieņemšanas autonomijas kritērijam (EKS 2010 2.12. punkts). Publiskām kvazisabiedrībām jāspēj uzturēt savu budžeta deficītu/pārpalikumu un uzņēmējdarbības kredītu, kā arī jāspēj finansēt dažus vai visus savus kapitālieguldījumus no saviem uzkrājumiem, rezervēm vai aizņēmumiem. Tas, ka starp kvazisabiedrībām un valdību ir iespējams nošķirt ienākumu un kapitāla plūsmas, nozīmē to, ka praksē kvazisabiedrību darbību un finansēšanas darījumus finanšu statistikā vajadzētu būt iespējams pilnīgi nošķirt no valdības ienākumiem, lai arī tās nav atsevišķas juridiskas personas. Publiskas kvazisabiedrības neto darbības pārpalikums neietilpst valdības ienākumos, un valdības kontos ieraksta tikai ienākumu un kapitāla plūsmas starp kvazisabiedrību un valdību. Ja šajā ziņā subjektus nav iespējams nodalīt no valdības īpašniekiem, tos nevar traktēt kā kvazisabiedrības.</w:t>
      </w:r>
    </w:p>
    <w:p w14:paraId="44C18897"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4FA1D1FC"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9. Nulles neto vērtības nosacījums (t. i., EKS 2010 7.09. punktā noteikts, ka attiecībā uz kvazisabiedrībām pieņem, ka īpašnieka pašu kapitāls ir vienāds ar tās neto aktīviem) dažkārt tiek uzsvērts kā konceptuāls pamatojums tam, lai noteiktu to, kā jāieraksta darījumi starp valdību un tās kvazisabiedrībām (kā darījumi ar pašu kapitālu). Tomēr fakts, ka kvazisabiedrību neto vērtība ir nulle, praksē nesniedz pietiekamu pamatu tam, lai darījumus traktētu kā finanšu darījumus, nevis nefinanšu darījumus, jo iepludinātā kapitāla neto vērtība saņēmējiem kopumā ir neitrāla tāpēc, ka to pašu kapitāla saistību novērtējums parasti tiek palielināts par saņemto summu (EKS 2010 20.200. punkts). Piemēram, nekotētu publisku sabiedrību pašu kapitālu saskaņā ar ierasto praksi var novērtēt kā neto aktīvus, taču tas neliegtu piemērot kapitāla iepludināšanas testu. Šādos gadījumos ierakstot kapitāla iepludināšanu kā nefinanšu darījumu, ieraksts jāveic pārvērtēšanas kontā. Ierakstot darījumus starp valdībām un tās kvazisabiedrībām, jāatspoguļo darījuma ekonomiskā būtība neatkarīgi no izmantotās pašu kapitāla novērtēšanas metodes.</w:t>
      </w:r>
    </w:p>
    <w:p w14:paraId="0E01952E"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6DC4B703"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10. Ja valdības maksājumi publiskām sabiedrībām un publiskām kvazisabiedrībām ir paredzēti uzkrāto vai paredzamo zaudējumu segšanai, tos traktē kā kapitāla pārvedumus saskaņā ar EKS 2010 4.165. punkta b) apakšpunktu, kā sīkāk paskaidrots 3.2. nodaļā “Kapitāla iepludināšana publiskās sabiedrībās”. Ja regulārus valdības pārvedumus veic publiskām kvazisabiedrībām, kurām pastāvīgi ir darbības deficīts, subsīdijas ieraksta kā citas produktu subsīdijas (D.319) saskaņā ar EKS 2010 4.61. punktu un 4.35. punkta c) apakšpunktu.</w:t>
      </w:r>
    </w:p>
    <w:p w14:paraId="2EADDBDC" w14:textId="77777777" w:rsidR="00994F93" w:rsidRPr="00B03B51" w:rsidRDefault="00994F93" w:rsidP="00994F93">
      <w:pPr>
        <w:jc w:val="both"/>
        <w:rPr>
          <w:rFonts w:ascii="Times New Roman" w:hAnsi="Times New Roman" w:cs="Times New Roman"/>
          <w:noProof/>
          <w:sz w:val="24"/>
        </w:rPr>
      </w:pPr>
    </w:p>
    <w:p w14:paraId="5ED864CE" w14:textId="3723B6DE"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 xml:space="preserve">11. Ja valdības </w:t>
      </w:r>
      <w:r w:rsidR="0024682A" w:rsidRPr="00B03B51">
        <w:rPr>
          <w:rFonts w:ascii="Times New Roman" w:hAnsi="Times New Roman" w:cs="Times New Roman"/>
          <w:sz w:val="24"/>
        </w:rPr>
        <w:t>anulē</w:t>
      </w:r>
      <w:r w:rsidRPr="00B03B51">
        <w:rPr>
          <w:rFonts w:ascii="Times New Roman" w:hAnsi="Times New Roman" w:cs="Times New Roman"/>
          <w:sz w:val="24"/>
        </w:rPr>
        <w:t xml:space="preserve"> parādu vai uzņemas parādu savu kvazisabiedrību labā, darījumus pieņemts ierakstīt kā finanšu darījumus atbilstoši EKS 2010 4.165. punkta f) apakšpunktam, atkāpjoties no vispārējās ierakstīšanas prakses, ko piemēro attiecībā uz sabiedrībām (kapitāla pārvedums), taču, ja darījums ir paredzēts zaudējumu segšanai, tad piemēro EKS 2010 4.165. punkta b) apakšpunktu, kā norādīts EKS 2010 5.37. punktā. EKS 2010 4.165. punkta b) apakšpunktu piemēro attiecībā uz parāda </w:t>
      </w:r>
      <w:r w:rsidR="00AB24E2" w:rsidRPr="00B03B51">
        <w:rPr>
          <w:rFonts w:ascii="Times New Roman" w:hAnsi="Times New Roman" w:cs="Times New Roman"/>
          <w:sz w:val="24"/>
        </w:rPr>
        <w:t>anulēšanas</w:t>
      </w:r>
      <w:r w:rsidRPr="00B03B51">
        <w:rPr>
          <w:rFonts w:ascii="Times New Roman" w:hAnsi="Times New Roman" w:cs="Times New Roman"/>
          <w:sz w:val="24"/>
        </w:rPr>
        <w:t>/ parāda uzņemšanās gadījumiem, kā arī attiecībā uz naudas pārvedumiem, jo līdzekļiem, kas naudas vai citu finanšu aktīvu/saistību izteiksmē paredzēti subjektu rekapitalizācijai, parasti nevajadzētu mainīt konkrētā darījuma uzskaites ierakstu.</w:t>
      </w:r>
    </w:p>
    <w:p w14:paraId="2EA02388"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507FD313"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 xml:space="preserve">12. Ja valdība sniedz līdzekļus kvazisabiedrībai pamatlīdzekļu iegādei, tos ieraksta kā ieguldījumu dotācijas (D.92) saskaņā ar EKS 2010 4.157. punktu, kurā nenošķir sabiedrības un publiskās sabiedrības. Tas ir arī skaidri pateikts EKS 2010 20.42. punktā, kas formulēts šādi: </w:t>
      </w:r>
      <w:r w:rsidRPr="00B03B51">
        <w:rPr>
          <w:rFonts w:ascii="Times New Roman" w:hAnsi="Times New Roman" w:cs="Times New Roman"/>
          <w:i/>
          <w:iCs/>
          <w:sz w:val="24"/>
        </w:rPr>
        <w:t>proti, ieguldījumu dotācijas ieraksta kā kapitāla pārvedumus</w:t>
      </w:r>
      <w:r w:rsidRPr="00B03B51">
        <w:rPr>
          <w:rFonts w:ascii="Times New Roman" w:hAnsi="Times New Roman" w:cs="Times New Roman"/>
          <w:sz w:val="24"/>
        </w:rPr>
        <w:t>. Šī klasifikācija nav atkarīga no kvazisabiedrības finanšu stāvokļa, no tā, vai tā ir rentabla vai zaudējumus nesoša, bet gan veidota, pamatojoties uz maksājuma mērķi. Ieguldījumu dotācija ir naudas pārvedums (dažos drīzāk izņēmuma gadījumos – pārvedums natūrā kāda esoša aktīva veidā), lai iegādātos pamatlīdzekli (iegādātos vai ražotu kapitāla pašveidošanos) vai lai to būtiski uzlabotu. Aktīva veidu nosaka tā piešķīrējs, un kopumā saņēmējam ir jāizpilda precīzas prasības (aktīva galvenās iezīmes, tā lietošana, realizācijas laiks utt.); pretējā gadījumā viņam var uzlikt par pienākumu līdzekļus atdot atpakaļ. Nav nozīmes, vai pārvedumu veic vienība, kurai pieder kvazisabiedrība (no kuras tā tika atdalīta nacionālajos kontos, lai arī tai nav neatkarīga juridiskā statusa), vai arī cita valdības vienība, piemēram, saistībā ar īpašām ieguldījumu programmām, ko šī vienība ir izstrādājusi (ilustratīvs piemērs ir vietējā kvazisabiedrība un centrālā valdība). Šādus pārvedumus valdība var piešķirt tiešā veidā vai ar attīstības vai attīstību veicinošu banku starpniecību, kas darbojas valdības vārdā (pārvirzīšana). Turklāt nav nozīmes, vai ieguldījumu dotācija tiek īstenota vispārējas shēmas ietvaros, aptverot publiskus vai privātus subjektus, vai arī ir izstrādāta konkrēti publiskiem subjektiem, kas ir iesaistīti darbībās, ko valdība ir paredzējusi atbalstīt/attīstīt.</w:t>
      </w:r>
    </w:p>
    <w:p w14:paraId="52D1625B"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45B730D3"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13. Šajā saistībā ieguldījumu dotācija visai atšķiras no līdzekļu piešķiršanas, ko veic kvazisabiedrības īpašnieks, nesniedzot precīzu norādi par konkrēto aktīva veidu. Kvazisabiedrība drīkst izmantot līdzekļus dažādos veidos (piemēram, akciju iegādei) un pati var noteikt ieguldījumu programmu (piemēram, gadījumā, ja kvazisabiedrība ir iesaistīta sociālo mājokļu būvniecībā). Šajā gadījumā ierakstīšanu nacionālajos kontos veic, ievērojot parasto kārtību, pamatojoties uz to, vai kvazisabiedrība ir vai nav rentabla (saskaņā ar paredzēšanas pieeju) (pašu kapitāls AF.519 vai kapitāla pārvedums D.99). Var gadīties, ka statistiķiem nav pieejama visa informācija par līdzekļu sniegšanu. Šādā gadījumā, ja kvazisabiedrība parasti parāda kapitāla veidošanu un nevis gandrīz vienīgi pakalpojumu sniegšanu, līdzekļu sniegšanu ieteicams ierakstīt kā ieguldījumu dotāciju (D.92).</w:t>
      </w:r>
    </w:p>
    <w:p w14:paraId="1FD8DA7B" w14:textId="77777777" w:rsidR="00994F93" w:rsidRPr="00B03B51" w:rsidRDefault="00994F93" w:rsidP="00994F93">
      <w:pPr>
        <w:jc w:val="both"/>
        <w:rPr>
          <w:rFonts w:ascii="Times New Roman" w:eastAsia="Arial" w:hAnsi="Times New Roman" w:cs="Times New Roman"/>
          <w:noProof/>
          <w:sz w:val="24"/>
          <w:szCs w:val="18"/>
        </w:rPr>
      </w:pPr>
    </w:p>
    <w:p w14:paraId="5D4273A1" w14:textId="77777777" w:rsidR="00994F93" w:rsidRPr="00B03B51" w:rsidRDefault="00994F93" w:rsidP="00994F93">
      <w:pPr>
        <w:pStyle w:val="Heading3"/>
        <w:tabs>
          <w:tab w:val="left" w:pos="1267"/>
        </w:tabs>
        <w:ind w:left="0" w:firstLine="0"/>
        <w:jc w:val="both"/>
        <w:rPr>
          <w:rFonts w:ascii="Times New Roman" w:hAnsi="Times New Roman" w:cs="Times New Roman"/>
          <w:noProof/>
          <w:sz w:val="24"/>
        </w:rPr>
      </w:pPr>
      <w:bookmarkStart w:id="230" w:name="3.3.4_Accounting_examples"/>
      <w:bookmarkStart w:id="231" w:name="_Toc67565095"/>
      <w:bookmarkEnd w:id="230"/>
      <w:r w:rsidRPr="00B03B51">
        <w:rPr>
          <w:rFonts w:ascii="Times New Roman" w:hAnsi="Times New Roman" w:cs="Times New Roman"/>
          <w:sz w:val="24"/>
        </w:rPr>
        <w:t>3.3.4. Uzskaites piemēri</w:t>
      </w:r>
      <w:bookmarkEnd w:id="231"/>
    </w:p>
    <w:p w14:paraId="595AC440" w14:textId="77777777" w:rsidR="00994F93" w:rsidRPr="00B03B51" w:rsidRDefault="00994F93" w:rsidP="00994F93">
      <w:pPr>
        <w:jc w:val="both"/>
        <w:rPr>
          <w:rFonts w:ascii="Times New Roman" w:hAnsi="Times New Roman" w:cs="Times New Roman"/>
          <w:b/>
          <w:noProof/>
          <w:sz w:val="24"/>
        </w:rPr>
      </w:pPr>
    </w:p>
    <w:p w14:paraId="0A27A026" w14:textId="77777777" w:rsidR="00994F93" w:rsidRPr="00B03B51" w:rsidRDefault="00994F93" w:rsidP="00994F93">
      <w:pPr>
        <w:jc w:val="both"/>
        <w:rPr>
          <w:rFonts w:ascii="Times New Roman" w:hAnsi="Times New Roman" w:cs="Times New Roman"/>
          <w:b/>
          <w:noProof/>
          <w:sz w:val="24"/>
        </w:rPr>
      </w:pPr>
      <w:r w:rsidRPr="00B03B51">
        <w:rPr>
          <w:rFonts w:ascii="Times New Roman" w:hAnsi="Times New Roman" w:cs="Times New Roman"/>
          <w:b/>
          <w:sz w:val="24"/>
        </w:rPr>
        <w:t>1. piemērs</w:t>
      </w:r>
    </w:p>
    <w:p w14:paraId="2D377D90" w14:textId="77777777" w:rsidR="00994F93" w:rsidRPr="00B03B51" w:rsidRDefault="00994F93" w:rsidP="00994F93">
      <w:pPr>
        <w:jc w:val="both"/>
        <w:rPr>
          <w:rFonts w:ascii="Times New Roman" w:eastAsia="Arial" w:hAnsi="Times New Roman" w:cs="Times New Roman"/>
          <w:b/>
          <w:bCs/>
          <w:noProof/>
          <w:sz w:val="24"/>
          <w:szCs w:val="21"/>
        </w:rPr>
      </w:pPr>
    </w:p>
    <w:p w14:paraId="44D8DA26" w14:textId="77777777" w:rsidR="00994F93" w:rsidRPr="00B03B51" w:rsidRDefault="00994F93" w:rsidP="00994F93">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t>Valdība kvazisabiedrībā iepludina naudu 100 vienību apmērā, lai finansētu pamatlīdzekļus.</w:t>
      </w:r>
      <w:r w:rsidRPr="00B03B51">
        <w:rPr>
          <w:rStyle w:val="FootnoteReference"/>
          <w:rFonts w:ascii="Times New Roman" w:hAnsi="Times New Roman" w:cs="Times New Roman"/>
          <w:noProof/>
          <w:sz w:val="24"/>
        </w:rPr>
        <w:footnoteReference w:id="156"/>
      </w:r>
    </w:p>
    <w:p w14:paraId="4E35BFAB" w14:textId="77777777" w:rsidR="00994F93" w:rsidRPr="00B03B51" w:rsidRDefault="00994F93" w:rsidP="00994F93">
      <w:pPr>
        <w:jc w:val="both"/>
        <w:rPr>
          <w:rFonts w:ascii="Times New Roman" w:hAnsi="Times New Roman" w:cs="Times New Roman"/>
          <w:noProof/>
          <w:sz w:val="24"/>
        </w:rPr>
      </w:pPr>
    </w:p>
    <w:p w14:paraId="7F06D11E" w14:textId="4E593359" w:rsidR="00994F93" w:rsidRPr="00B03B51" w:rsidRDefault="005F7E5D" w:rsidP="008A7C35">
      <w:pPr>
        <w:jc w:val="center"/>
        <w:rPr>
          <w:rFonts w:ascii="Times New Roman" w:eastAsia="Arial" w:hAnsi="Times New Roman" w:cs="Times New Roman"/>
          <w:noProof/>
          <w:sz w:val="24"/>
          <w:szCs w:val="20"/>
        </w:rPr>
      </w:pPr>
      <w:r w:rsidRPr="00B03B51">
        <w:rPr>
          <w:rFonts w:ascii="Times New Roman" w:eastAsia="Arial" w:hAnsi="Times New Roman" w:cs="Times New Roman"/>
          <w:noProof/>
          <w:sz w:val="24"/>
          <w:szCs w:val="20"/>
        </w:rPr>
        <w:drawing>
          <wp:inline distT="0" distB="0" distL="0" distR="0" wp14:anchorId="25EE4E75" wp14:editId="496A5123">
            <wp:extent cx="5760085" cy="1483995"/>
            <wp:effectExtent l="0" t="0" r="0" b="190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760085" cy="1483995"/>
                    </a:xfrm>
                    <a:prstGeom prst="rect">
                      <a:avLst/>
                    </a:prstGeom>
                    <a:noFill/>
                    <a:ln>
                      <a:noFill/>
                    </a:ln>
                  </pic:spPr>
                </pic:pic>
              </a:graphicData>
            </a:graphic>
          </wp:inline>
        </w:drawing>
      </w:r>
    </w:p>
    <w:p w14:paraId="43916F79" w14:textId="14B711B1" w:rsidR="00994F93" w:rsidRPr="00B03B51" w:rsidRDefault="005F7E5D" w:rsidP="008A7C35">
      <w:pPr>
        <w:jc w:val="center"/>
        <w:rPr>
          <w:rFonts w:ascii="Times New Roman" w:eastAsia="Arial" w:hAnsi="Times New Roman" w:cs="Times New Roman"/>
          <w:noProof/>
          <w:sz w:val="24"/>
          <w:szCs w:val="20"/>
        </w:rPr>
      </w:pPr>
      <w:r w:rsidRPr="00B03B51">
        <w:rPr>
          <w:rFonts w:ascii="Times New Roman" w:eastAsia="Arial" w:hAnsi="Times New Roman" w:cs="Times New Roman"/>
          <w:noProof/>
          <w:sz w:val="24"/>
          <w:szCs w:val="20"/>
        </w:rPr>
        <w:drawing>
          <wp:inline distT="0" distB="0" distL="0" distR="0" wp14:anchorId="5214958D" wp14:editId="1AB52D87">
            <wp:extent cx="5760085" cy="3442970"/>
            <wp:effectExtent l="0" t="0" r="0" b="508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760085" cy="3442970"/>
                    </a:xfrm>
                    <a:prstGeom prst="rect">
                      <a:avLst/>
                    </a:prstGeom>
                    <a:noFill/>
                    <a:ln>
                      <a:noFill/>
                    </a:ln>
                  </pic:spPr>
                </pic:pic>
              </a:graphicData>
            </a:graphic>
          </wp:inline>
        </w:drawing>
      </w:r>
    </w:p>
    <w:p w14:paraId="50BC46A3" w14:textId="77777777" w:rsidR="00994F93" w:rsidRPr="00B03B51" w:rsidRDefault="00994F93" w:rsidP="00994F93">
      <w:pPr>
        <w:jc w:val="both"/>
        <w:rPr>
          <w:rFonts w:ascii="Times New Roman" w:eastAsia="Arial" w:hAnsi="Times New Roman" w:cs="Times New Roman"/>
          <w:noProof/>
          <w:sz w:val="24"/>
          <w:szCs w:val="19"/>
        </w:rPr>
      </w:pPr>
    </w:p>
    <w:p w14:paraId="61EEBD72" w14:textId="77777777" w:rsidR="00994F93" w:rsidRPr="00B03B51" w:rsidRDefault="00994F93" w:rsidP="00497519">
      <w:pPr>
        <w:keepNext/>
        <w:jc w:val="both"/>
        <w:rPr>
          <w:rFonts w:ascii="Times New Roman" w:hAnsi="Times New Roman" w:cs="Times New Roman"/>
          <w:b/>
          <w:noProof/>
          <w:sz w:val="24"/>
        </w:rPr>
      </w:pPr>
      <w:r w:rsidRPr="00B03B51">
        <w:rPr>
          <w:rFonts w:ascii="Times New Roman" w:hAnsi="Times New Roman" w:cs="Times New Roman"/>
          <w:b/>
          <w:sz w:val="24"/>
        </w:rPr>
        <w:lastRenderedPageBreak/>
        <w:t>2. piemērs</w:t>
      </w:r>
    </w:p>
    <w:p w14:paraId="1EE69D47" w14:textId="77777777" w:rsidR="00994F93" w:rsidRPr="00B03B51" w:rsidRDefault="00994F93" w:rsidP="00497519">
      <w:pPr>
        <w:keepNext/>
        <w:jc w:val="both"/>
        <w:rPr>
          <w:rFonts w:ascii="Times New Roman" w:eastAsia="Arial" w:hAnsi="Times New Roman" w:cs="Times New Roman"/>
          <w:b/>
          <w:bCs/>
          <w:noProof/>
          <w:sz w:val="24"/>
          <w:szCs w:val="21"/>
        </w:rPr>
      </w:pPr>
    </w:p>
    <w:p w14:paraId="102C5EA0" w14:textId="77777777" w:rsidR="00994F93" w:rsidRPr="00B03B51" w:rsidRDefault="00994F93" w:rsidP="00497519">
      <w:pPr>
        <w:pStyle w:val="BodyText"/>
        <w:keepNext/>
        <w:spacing w:before="0"/>
        <w:ind w:left="0" w:firstLine="0"/>
        <w:jc w:val="both"/>
        <w:rPr>
          <w:rFonts w:ascii="Times New Roman" w:hAnsi="Times New Roman" w:cs="Times New Roman"/>
          <w:noProof/>
          <w:sz w:val="24"/>
        </w:rPr>
      </w:pPr>
      <w:r w:rsidRPr="00B03B51">
        <w:rPr>
          <w:rFonts w:ascii="Times New Roman" w:hAnsi="Times New Roman" w:cs="Times New Roman"/>
          <w:sz w:val="24"/>
        </w:rPr>
        <w:t>Valdība 2. periodā iepludina naudu 100 vienību apmērā peļņu nesošā kvazisabiedrībā, kura var brīvi izlietot attiecīgos līdzekļus (nav pienākuma iegādāties konkrētus pamatlīdzekļus, ko noteicis līdzekļu devējs).</w:t>
      </w:r>
    </w:p>
    <w:p w14:paraId="1136CB96" w14:textId="77777777" w:rsidR="00994F93" w:rsidRPr="00B03B51" w:rsidRDefault="00994F93" w:rsidP="00994F93">
      <w:pPr>
        <w:jc w:val="both"/>
        <w:rPr>
          <w:rFonts w:ascii="Times New Roman" w:eastAsia="Arial" w:hAnsi="Times New Roman" w:cs="Times New Roman"/>
          <w:noProof/>
          <w:sz w:val="24"/>
          <w:szCs w:val="20"/>
        </w:rPr>
      </w:pPr>
    </w:p>
    <w:p w14:paraId="7E2CFA74" w14:textId="0C1399D8" w:rsidR="00994F93" w:rsidRPr="00B03B51" w:rsidRDefault="005F7E5D" w:rsidP="008A7C35">
      <w:pPr>
        <w:jc w:val="center"/>
        <w:rPr>
          <w:rFonts w:ascii="Times New Roman" w:eastAsia="Arial" w:hAnsi="Times New Roman" w:cs="Times New Roman"/>
          <w:noProof/>
          <w:sz w:val="24"/>
          <w:szCs w:val="19"/>
        </w:rPr>
      </w:pPr>
      <w:r w:rsidRPr="00B03B51">
        <w:rPr>
          <w:rFonts w:ascii="Times New Roman" w:eastAsia="Arial" w:hAnsi="Times New Roman" w:cs="Times New Roman"/>
          <w:noProof/>
          <w:sz w:val="24"/>
          <w:szCs w:val="19"/>
        </w:rPr>
        <w:drawing>
          <wp:inline distT="0" distB="0" distL="0" distR="0" wp14:anchorId="58937696" wp14:editId="0F12C501">
            <wp:extent cx="5760085" cy="4646930"/>
            <wp:effectExtent l="0" t="0" r="0" b="127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760085" cy="4646930"/>
                    </a:xfrm>
                    <a:prstGeom prst="rect">
                      <a:avLst/>
                    </a:prstGeom>
                    <a:noFill/>
                    <a:ln>
                      <a:noFill/>
                    </a:ln>
                  </pic:spPr>
                </pic:pic>
              </a:graphicData>
            </a:graphic>
          </wp:inline>
        </w:drawing>
      </w:r>
    </w:p>
    <w:p w14:paraId="1E91207D" w14:textId="77777777" w:rsidR="00994F93" w:rsidRPr="00B03B51" w:rsidRDefault="00994F93" w:rsidP="00994F93">
      <w:pPr>
        <w:rPr>
          <w:rFonts w:ascii="Times New Roman" w:eastAsia="Arial" w:hAnsi="Times New Roman" w:cs="Times New Roman"/>
          <w:noProof/>
          <w:sz w:val="24"/>
          <w:szCs w:val="19"/>
        </w:rPr>
      </w:pPr>
      <w:r w:rsidRPr="00B03B51">
        <w:rPr>
          <w:rFonts w:ascii="Times New Roman" w:hAnsi="Times New Roman" w:cs="Times New Roman"/>
        </w:rPr>
        <w:br w:type="page"/>
      </w:r>
    </w:p>
    <w:p w14:paraId="40982810" w14:textId="77777777" w:rsidR="00994F93" w:rsidRPr="00B03B51" w:rsidRDefault="00994F93" w:rsidP="00994F93">
      <w:pPr>
        <w:jc w:val="both"/>
        <w:rPr>
          <w:rFonts w:ascii="Times New Roman" w:eastAsia="Arial" w:hAnsi="Times New Roman" w:cs="Times New Roman"/>
          <w:noProof/>
          <w:sz w:val="24"/>
          <w:szCs w:val="18"/>
        </w:rPr>
      </w:pPr>
    </w:p>
    <w:p w14:paraId="2845C0AF" w14:textId="77777777" w:rsidR="00994F93" w:rsidRPr="00B03B51" w:rsidRDefault="00994F93" w:rsidP="00994F93">
      <w:pPr>
        <w:pStyle w:val="Heading2"/>
        <w:tabs>
          <w:tab w:val="left" w:pos="1279"/>
        </w:tabs>
        <w:spacing w:before="0"/>
        <w:ind w:left="0" w:firstLine="0"/>
        <w:jc w:val="both"/>
        <w:rPr>
          <w:rFonts w:ascii="Times New Roman" w:hAnsi="Times New Roman" w:cs="Times New Roman"/>
          <w:noProof/>
          <w:sz w:val="28"/>
          <w:szCs w:val="44"/>
        </w:rPr>
      </w:pPr>
      <w:bookmarkStart w:id="232" w:name="3.4_Capital_injections_in_kind"/>
      <w:bookmarkStart w:id="233" w:name="_bookmark24"/>
      <w:bookmarkStart w:id="234" w:name="_Toc67565096"/>
      <w:bookmarkEnd w:id="232"/>
      <w:bookmarkEnd w:id="233"/>
      <w:r w:rsidRPr="00B03B51">
        <w:rPr>
          <w:rFonts w:ascii="Times New Roman" w:hAnsi="Times New Roman" w:cs="Times New Roman"/>
          <w:sz w:val="28"/>
          <w:szCs w:val="44"/>
        </w:rPr>
        <w:t>3.4. Kapitāla iepludināšana natūrā</w:t>
      </w:r>
      <w:bookmarkEnd w:id="234"/>
    </w:p>
    <w:p w14:paraId="16FDCF5F" w14:textId="77777777" w:rsidR="00994F93" w:rsidRPr="00100B51" w:rsidRDefault="00994F93" w:rsidP="00100B51">
      <w:pPr>
        <w:rPr>
          <w:rFonts w:ascii="Times New Roman" w:hAnsi="Times New Roman" w:cs="Times New Roman"/>
          <w:noProof/>
          <w:sz w:val="24"/>
          <w:szCs w:val="24"/>
        </w:rPr>
      </w:pPr>
      <w:bookmarkStart w:id="235" w:name="3.4.1_Background"/>
      <w:bookmarkEnd w:id="235"/>
    </w:p>
    <w:p w14:paraId="2209222A" w14:textId="77777777" w:rsidR="00994F93" w:rsidRPr="00B03B51" w:rsidRDefault="00994F93" w:rsidP="00994F93">
      <w:pPr>
        <w:pStyle w:val="Heading3"/>
        <w:tabs>
          <w:tab w:val="left" w:pos="1267"/>
        </w:tabs>
        <w:ind w:left="0" w:firstLine="0"/>
        <w:jc w:val="both"/>
        <w:rPr>
          <w:rFonts w:ascii="Times New Roman" w:hAnsi="Times New Roman" w:cs="Times New Roman"/>
          <w:noProof/>
          <w:sz w:val="24"/>
        </w:rPr>
      </w:pPr>
      <w:bookmarkStart w:id="236" w:name="_Toc67565097"/>
      <w:r w:rsidRPr="00B03B51">
        <w:rPr>
          <w:rFonts w:ascii="Times New Roman" w:hAnsi="Times New Roman" w:cs="Times New Roman"/>
          <w:sz w:val="24"/>
        </w:rPr>
        <w:t>3.4.1. Vispārīga informācija</w:t>
      </w:r>
      <w:bookmarkEnd w:id="236"/>
    </w:p>
    <w:p w14:paraId="53707701"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1C9241B9"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 Dažkārt valdības nodod pamatlīdzekļus (piemēram, ēkas) un/vai neražotus nefinanšu aktīvus (piemēram, zemi) publiskai vai privātai sabiedrībai, kas jau eksistē vai tiek dibināta ar mērķi turēt šādus aktīvus. Šādā gadījumā kapitāla iepludināšana nav parastā finanšu aktīvu plūsma (kas parasti notiek naudā, AF.2), bet gan nefinanšu aktīvu plūsma. Parasti tas tiek darīts tādēļ, lai uzņēmums šos aktīvus varētu izmantot ražošanas procesā, jo tiek pieņemts, ka uzņēmuma stāvoklis ir vairāk piemērots šādas saimnieciskās darbības veikšanai nekā valdības stāvoklis.</w:t>
      </w:r>
    </w:p>
    <w:p w14:paraId="31F02050"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64146930"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2. Dažos gadījumos valdība no aktīva nodošanas plāno iegūt kādu tiešu labumu īpašuma ienākuma plūsmu (piemēram, dividendes) vai sabiedrības ekonomiskās vērtības pieauguma veidā. Citos gadījumos valdību apmierina tas, ka valsts kopumā gūst pietiekamus saimnieciskos un sociālos labumus, kas atsver valdības zaudēto aktīvu. Dažās valstīs šāda nodošana var notikt kā “komunālās saimniecības koncesija”, kurā publisku infrastruktūru, pamatojoties uz terminētu līgumu (ar samērā ilgu darbības termiņu), pārvalda “koncesionārs”, kas dažos gadījumos var būt publiska sabiedrība, taču biežāk ir privāta vienība (skat. 6.4. nodaļu “Publiskas un privātas partnerības (PPP)”). Tādējādi piemērojamos noteikumus var attiecināt arī uz darījumiem ar privātām sabiedrībām.</w:t>
      </w:r>
    </w:p>
    <w:p w14:paraId="7E144541" w14:textId="77777777" w:rsidR="00994F93" w:rsidRPr="00B03B51" w:rsidRDefault="00994F93" w:rsidP="00994F93">
      <w:pPr>
        <w:jc w:val="both"/>
        <w:rPr>
          <w:rFonts w:ascii="Times New Roman" w:eastAsia="Arial" w:hAnsi="Times New Roman" w:cs="Times New Roman"/>
          <w:noProof/>
          <w:sz w:val="24"/>
          <w:szCs w:val="19"/>
        </w:rPr>
      </w:pPr>
    </w:p>
    <w:p w14:paraId="6AB1C140" w14:textId="77777777" w:rsidR="00994F93" w:rsidRPr="00B03B51" w:rsidRDefault="00994F93" w:rsidP="00994F93">
      <w:pPr>
        <w:pStyle w:val="Heading3"/>
        <w:tabs>
          <w:tab w:val="left" w:pos="1267"/>
        </w:tabs>
        <w:ind w:left="0" w:firstLine="0"/>
        <w:jc w:val="both"/>
        <w:rPr>
          <w:rFonts w:ascii="Times New Roman" w:hAnsi="Times New Roman" w:cs="Times New Roman"/>
          <w:noProof/>
          <w:sz w:val="24"/>
        </w:rPr>
      </w:pPr>
      <w:bookmarkStart w:id="237" w:name="3.4.2_Treatment_in_national_accounts"/>
      <w:bookmarkStart w:id="238" w:name="_Toc67565098"/>
      <w:bookmarkEnd w:id="237"/>
      <w:r w:rsidRPr="00B03B51">
        <w:rPr>
          <w:rFonts w:ascii="Times New Roman" w:hAnsi="Times New Roman" w:cs="Times New Roman"/>
          <w:sz w:val="24"/>
        </w:rPr>
        <w:t>3.4.2. Traktējums nacionālajos kontos</w:t>
      </w:r>
      <w:bookmarkEnd w:id="238"/>
    </w:p>
    <w:p w14:paraId="404FB128" w14:textId="77777777" w:rsidR="00994F93" w:rsidRPr="00721944" w:rsidRDefault="00994F93" w:rsidP="00721944">
      <w:pPr>
        <w:rPr>
          <w:rFonts w:ascii="Times New Roman" w:hAnsi="Times New Roman" w:cs="Times New Roman"/>
          <w:noProof/>
          <w:sz w:val="24"/>
          <w:szCs w:val="24"/>
        </w:rPr>
      </w:pPr>
      <w:bookmarkStart w:id="239" w:name="3.4.2.1_No_expectations_of_return"/>
      <w:bookmarkEnd w:id="239"/>
    </w:p>
    <w:p w14:paraId="4C4C1D81" w14:textId="77777777" w:rsidR="00994F93" w:rsidRPr="00B03B51" w:rsidRDefault="00994F93" w:rsidP="00994F93">
      <w:pPr>
        <w:pStyle w:val="Heading6"/>
        <w:tabs>
          <w:tab w:val="left" w:pos="1267"/>
        </w:tabs>
        <w:ind w:left="0" w:firstLine="0"/>
        <w:jc w:val="both"/>
        <w:rPr>
          <w:rFonts w:ascii="Times New Roman" w:hAnsi="Times New Roman" w:cs="Times New Roman"/>
          <w:noProof/>
          <w:sz w:val="24"/>
        </w:rPr>
      </w:pPr>
      <w:r w:rsidRPr="00B03B51">
        <w:rPr>
          <w:rFonts w:ascii="Times New Roman" w:hAnsi="Times New Roman" w:cs="Times New Roman"/>
          <w:sz w:val="24"/>
        </w:rPr>
        <w:t>3.4.2.1. PEĻŅA NAV GAIDĀMA</w:t>
      </w:r>
    </w:p>
    <w:p w14:paraId="1F14ACC4"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773498F1"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3. Nefinanšu aktīva tiešs pārvedums bez jebkādu citu tiesību vai pienākumu noteikšanas un bez jaunu vienību izveidošanas ir valdības “dāvinājums” sabiedrībai, un tāpēc tas ir jāieraksta kā nefinanšu darījums.</w:t>
      </w:r>
    </w:p>
    <w:p w14:paraId="37DC492A"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18EFB497"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4. Šajā saistībā nefinanšu aktīvu pārvedums ir tāda valdības veikta ieguldījumu dotācija natūrā (D.92), kas tiek līdzsvarota ar samazinājumu bruto pamatkapitāla veidošanā (P.51g) un/vai NP, ja ir iesaistīta zeme (EKS 2010 20.203. punkts).</w:t>
      </w:r>
    </w:p>
    <w:p w14:paraId="3EEFC0A6"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0EBE7833"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5. Ja nefinanšu kontā ieraksta divas vienāda apmēra plūsmas, tad neto aizdevums/aizņēmums (B.9) netiek ietekmēts.</w:t>
      </w:r>
    </w:p>
    <w:p w14:paraId="3C15F27A"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310403C5"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6. Kapitāla pārveduma (ieguldījuma dotācijas) dēļ palielinās sabiedrības neto vērtība un simetriski samazinās valdības neto vērtība. Atkarībā no metodes, ko nacionālajos kontos izmanto, lai novērtētu valdības pašu kapitālu sabiedrībā, iespējams, jāpieņem, ka vispārējās valdības pašu kapitāla vērtība publiskā uzņēmumā atspoguļo šā uzņēmuma neto vērtības pieaugumu. Ja tā ir, tad pozitīvās neto vērtības (B.90) transformāciju pašu kapitālā (F.5) uzņēmuma kontā var aprakstīt pārvērtēšanas kontā, izmantojot turēšanas guvumu (K.7).</w:t>
      </w:r>
    </w:p>
    <w:p w14:paraId="0211610E" w14:textId="77777777" w:rsidR="00994F93" w:rsidRPr="00B03B51" w:rsidRDefault="00994F93" w:rsidP="00994F93">
      <w:pPr>
        <w:jc w:val="both"/>
        <w:rPr>
          <w:rFonts w:ascii="Times New Roman" w:eastAsia="Arial" w:hAnsi="Times New Roman" w:cs="Times New Roman"/>
          <w:noProof/>
          <w:sz w:val="24"/>
          <w:szCs w:val="15"/>
        </w:rPr>
      </w:pPr>
    </w:p>
    <w:p w14:paraId="6FC50A4F" w14:textId="77777777" w:rsidR="00994F93" w:rsidRPr="00B03B51" w:rsidRDefault="00994F93" w:rsidP="00994F93">
      <w:pPr>
        <w:pStyle w:val="Heading6"/>
        <w:tabs>
          <w:tab w:val="left" w:pos="1267"/>
        </w:tabs>
        <w:ind w:left="0" w:firstLine="0"/>
        <w:jc w:val="both"/>
        <w:rPr>
          <w:rFonts w:ascii="Times New Roman" w:hAnsi="Times New Roman" w:cs="Times New Roman"/>
          <w:noProof/>
          <w:sz w:val="24"/>
        </w:rPr>
      </w:pPr>
      <w:bookmarkStart w:id="240" w:name="3.4.2.2_Expectation_of_higher_return"/>
      <w:bookmarkEnd w:id="240"/>
      <w:r w:rsidRPr="00B03B51">
        <w:rPr>
          <w:rFonts w:ascii="Times New Roman" w:hAnsi="Times New Roman" w:cs="Times New Roman"/>
          <w:sz w:val="24"/>
        </w:rPr>
        <w:t>3.4.2.2. CERĪBAS UZ LIELĀKU PEĻŅU</w:t>
      </w:r>
    </w:p>
    <w:p w14:paraId="752969B1"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50C898EC"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 xml:space="preserve">7. Tā vietā, lai valdības pašas tieši izmantotu aktīvus, tās var nodot nefinanšu aktīvus publiskai sabiedrībai, cerot tādējādi saņemt lielāku ekonomisko peļņu, jo tiek uzskatīts, ka sabiedrība spēs efektīvāk pārvaldīt šos aktīvus. Turklāt šī nodošana var ietilpt plašākā pasākumu pakotnē, ar kuriem tiek mainīti daži aspekti attiecībās starp valdību un sabiedrību (piemēram, tiek ieviesti </w:t>
      </w:r>
      <w:r w:rsidRPr="00B03B51">
        <w:rPr>
          <w:rFonts w:ascii="Times New Roman" w:hAnsi="Times New Roman" w:cs="Times New Roman"/>
          <w:sz w:val="24"/>
        </w:rPr>
        <w:lastRenderedPageBreak/>
        <w:t>jauni pienākumi, tiesības un prasības) vai izveidotas jaunas vienības.</w:t>
      </w:r>
    </w:p>
    <w:p w14:paraId="3A9F65AF"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100CBD26"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8. Šo situāciju var uzskatīt par nefinanšu aktīva maiņu pret finanšu aktīvu (valdības pašu kapitāls publiskā sabiedrībā). Iepriekš izklāstītajā gadījumā darījums nav jāieraksta. Tā vietā nodotais aktīvs ir jāieraksta sabiedrības bilancē (un attiecīgi jādzēš no valdības bilances), šim nolūkam izmantojot kontu, kurā reģistrē citas pārmaiņas aktīvu apjomā (K.61), skat. EKS 2010 20.203. punktu un EKS 2010 6.19. punktu.</w:t>
      </w:r>
    </w:p>
    <w:p w14:paraId="53C114B9"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3144E6B5"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9. Šajā gadījumā, tāpat kā iepriekš minētajā gadījumā, neto aizdevums/aizņēmums (B.9) netiek ietekmēts. Arī neto vērtība netiek ietekmēta, jo ieraksta divas vienāda apmēra plūsmas, kuras līdzsvaro kontā “Citas aktīvu pārmaiņas”.</w:t>
      </w:r>
    </w:p>
    <w:p w14:paraId="3B537E01" w14:textId="77777777" w:rsidR="00994F93" w:rsidRPr="00B03B51" w:rsidRDefault="00994F93" w:rsidP="00994F93">
      <w:pPr>
        <w:jc w:val="both"/>
        <w:rPr>
          <w:rFonts w:ascii="Times New Roman" w:hAnsi="Times New Roman" w:cs="Times New Roman"/>
          <w:noProof/>
          <w:sz w:val="24"/>
        </w:rPr>
      </w:pPr>
    </w:p>
    <w:p w14:paraId="0D15B473" w14:textId="77777777" w:rsidR="00994F93" w:rsidRPr="00B03B51" w:rsidRDefault="00994F93" w:rsidP="00994F93">
      <w:pPr>
        <w:pStyle w:val="Heading3"/>
        <w:tabs>
          <w:tab w:val="left" w:pos="1267"/>
        </w:tabs>
        <w:ind w:left="0" w:firstLine="0"/>
        <w:jc w:val="both"/>
        <w:rPr>
          <w:rFonts w:ascii="Times New Roman" w:hAnsi="Times New Roman" w:cs="Times New Roman"/>
          <w:noProof/>
          <w:sz w:val="24"/>
        </w:rPr>
      </w:pPr>
      <w:bookmarkStart w:id="241" w:name="3.4.3_Rationale_of_the_treatment"/>
      <w:bookmarkStart w:id="242" w:name="_Toc67565099"/>
      <w:bookmarkEnd w:id="241"/>
      <w:r w:rsidRPr="00B03B51">
        <w:rPr>
          <w:rFonts w:ascii="Times New Roman" w:hAnsi="Times New Roman" w:cs="Times New Roman"/>
          <w:sz w:val="24"/>
        </w:rPr>
        <w:t>3.4.3. Traktējuma pamatojums</w:t>
      </w:r>
      <w:bookmarkEnd w:id="242"/>
    </w:p>
    <w:p w14:paraId="14B84937" w14:textId="77777777" w:rsidR="00994F93" w:rsidRPr="00721944" w:rsidRDefault="00994F93" w:rsidP="00721944">
      <w:pPr>
        <w:rPr>
          <w:rFonts w:ascii="Times New Roman" w:hAnsi="Times New Roman" w:cs="Times New Roman"/>
          <w:noProof/>
          <w:sz w:val="24"/>
          <w:szCs w:val="24"/>
        </w:rPr>
      </w:pPr>
      <w:bookmarkStart w:id="243" w:name="3.4.3.1_For_treatment_as_investment_gran"/>
      <w:bookmarkEnd w:id="243"/>
    </w:p>
    <w:p w14:paraId="7CDD879D" w14:textId="77777777" w:rsidR="00994F93" w:rsidRPr="00B03B51" w:rsidRDefault="00994F93" w:rsidP="00994F93">
      <w:pPr>
        <w:pStyle w:val="Heading6"/>
        <w:tabs>
          <w:tab w:val="left" w:pos="1267"/>
        </w:tabs>
        <w:ind w:left="0" w:firstLine="0"/>
        <w:jc w:val="both"/>
        <w:rPr>
          <w:rFonts w:ascii="Times New Roman" w:hAnsi="Times New Roman" w:cs="Times New Roman"/>
          <w:noProof/>
          <w:sz w:val="24"/>
        </w:rPr>
      </w:pPr>
      <w:r w:rsidRPr="00B03B51">
        <w:rPr>
          <w:rFonts w:ascii="Times New Roman" w:hAnsi="Times New Roman" w:cs="Times New Roman"/>
          <w:sz w:val="24"/>
        </w:rPr>
        <w:t>3.4.3.1. LAI TRAKTĒTU KĀ IEGULDĪJUMU DOTĀCIJU</w:t>
      </w:r>
    </w:p>
    <w:p w14:paraId="59A87A8F" w14:textId="77777777" w:rsidR="00994F93" w:rsidRPr="00B03B51" w:rsidRDefault="00994F93" w:rsidP="00994F93">
      <w:pPr>
        <w:tabs>
          <w:tab w:val="left" w:pos="843"/>
        </w:tabs>
        <w:jc w:val="both"/>
        <w:rPr>
          <w:rFonts w:ascii="Times New Roman" w:hAnsi="Times New Roman" w:cs="Times New Roman"/>
          <w:b/>
          <w:noProof/>
          <w:sz w:val="24"/>
        </w:rPr>
      </w:pPr>
    </w:p>
    <w:p w14:paraId="2F72A8C6" w14:textId="77777777" w:rsidR="00994F93" w:rsidRPr="00B03B51" w:rsidRDefault="00994F93" w:rsidP="00994F93">
      <w:pPr>
        <w:tabs>
          <w:tab w:val="left" w:pos="843"/>
        </w:tabs>
        <w:jc w:val="both"/>
        <w:rPr>
          <w:rFonts w:ascii="Times New Roman" w:hAnsi="Times New Roman" w:cs="Times New Roman"/>
          <w:i/>
          <w:noProof/>
          <w:sz w:val="24"/>
        </w:rPr>
      </w:pPr>
      <w:r w:rsidRPr="00B03B51">
        <w:rPr>
          <w:rFonts w:ascii="Times New Roman" w:hAnsi="Times New Roman" w:cs="Times New Roman"/>
          <w:bCs/>
          <w:sz w:val="24"/>
        </w:rPr>
        <w:t xml:space="preserve">10. </w:t>
      </w:r>
      <w:r w:rsidRPr="00B03B51">
        <w:rPr>
          <w:rFonts w:ascii="Times New Roman" w:hAnsi="Times New Roman" w:cs="Times New Roman"/>
          <w:b/>
          <w:sz w:val="24"/>
        </w:rPr>
        <w:t xml:space="preserve">EKS 2010 1.70. punktā noteikts: </w:t>
      </w:r>
      <w:r w:rsidRPr="00B03B51">
        <w:rPr>
          <w:rFonts w:ascii="Times New Roman" w:hAnsi="Times New Roman" w:cs="Times New Roman"/>
          <w:i/>
          <w:sz w:val="24"/>
        </w:rPr>
        <w:t>Sistēma visus darījumus ieraksta naudas izteiksmē. Tāpēc vērtības, kas jāieraksta par beznaudas darījumiem, jāmēra netieši vai jāaplēš citā veidā.</w:t>
      </w:r>
    </w:p>
    <w:p w14:paraId="5CC19230" w14:textId="77777777" w:rsidR="00994F93" w:rsidRPr="00B03B51" w:rsidRDefault="00994F93" w:rsidP="00994F93">
      <w:pPr>
        <w:tabs>
          <w:tab w:val="left" w:pos="843"/>
        </w:tabs>
        <w:jc w:val="both"/>
        <w:rPr>
          <w:rFonts w:ascii="Times New Roman" w:hAnsi="Times New Roman" w:cs="Times New Roman"/>
          <w:b/>
          <w:noProof/>
          <w:sz w:val="24"/>
        </w:rPr>
      </w:pPr>
    </w:p>
    <w:p w14:paraId="0912289D" w14:textId="77777777" w:rsidR="00994F93" w:rsidRPr="00B03B51" w:rsidRDefault="00994F93" w:rsidP="00994F93">
      <w:pPr>
        <w:tabs>
          <w:tab w:val="left" w:pos="843"/>
        </w:tabs>
        <w:jc w:val="both"/>
        <w:rPr>
          <w:rFonts w:ascii="Times New Roman" w:eastAsia="Arial" w:hAnsi="Times New Roman" w:cs="Times New Roman"/>
          <w:noProof/>
          <w:sz w:val="24"/>
          <w:szCs w:val="19"/>
        </w:rPr>
      </w:pPr>
      <w:r w:rsidRPr="00B03B51">
        <w:rPr>
          <w:rFonts w:ascii="Times New Roman" w:hAnsi="Times New Roman" w:cs="Times New Roman"/>
          <w:bCs/>
          <w:sz w:val="24"/>
        </w:rPr>
        <w:t xml:space="preserve">11. </w:t>
      </w:r>
      <w:r w:rsidRPr="00B03B51">
        <w:rPr>
          <w:rFonts w:ascii="Times New Roman" w:hAnsi="Times New Roman" w:cs="Times New Roman"/>
          <w:b/>
          <w:bCs/>
          <w:sz w:val="24"/>
        </w:rPr>
        <w:t>EKS 2010 4.145. punkts:</w:t>
      </w:r>
      <w:r w:rsidRPr="00B03B51">
        <w:rPr>
          <w:rFonts w:ascii="Times New Roman" w:hAnsi="Times New Roman" w:cs="Times New Roman"/>
          <w:sz w:val="24"/>
        </w:rPr>
        <w:t xml:space="preserve"> </w:t>
      </w:r>
      <w:r w:rsidRPr="00B03B51">
        <w:rPr>
          <w:rFonts w:ascii="Times New Roman" w:hAnsi="Times New Roman" w:cs="Times New Roman"/>
          <w:i/>
          <w:sz w:val="24"/>
        </w:rPr>
        <w:t xml:space="preserve">Kapitāla pārvedumiem nepieciešams, lai vismaz viena darījumā iesaistītā puse iegādājas vai atsavina aktīvu vai aktīvus. </w:t>
      </w:r>
      <w:r w:rsidRPr="00B03B51">
        <w:rPr>
          <w:rFonts w:ascii="Times New Roman" w:hAnsi="Times New Roman" w:cs="Times New Roman"/>
          <w:i/>
          <w:iCs/>
          <w:sz w:val="24"/>
        </w:rPr>
        <w:t>Neatkarīgi no tā, vai tie veikti naudā vai natūrā, kapitāla pārvedumu rezultātā rodas samērīgas pārmaiņas finanšu vai nefinanšu aktīvos, kas tiek uzrādītas vienas vai abu darījumā iesaistīto pušu bilancēs</w:t>
      </w:r>
      <w:r w:rsidRPr="00B03B51">
        <w:rPr>
          <w:rFonts w:ascii="Times New Roman" w:hAnsi="Times New Roman" w:cs="Times New Roman"/>
          <w:sz w:val="24"/>
        </w:rPr>
        <w:t>.</w:t>
      </w:r>
    </w:p>
    <w:p w14:paraId="18ACB51A" w14:textId="77777777" w:rsidR="00994F93" w:rsidRPr="00B03B51" w:rsidRDefault="00994F93" w:rsidP="00994F93">
      <w:pPr>
        <w:tabs>
          <w:tab w:val="left" w:pos="843"/>
        </w:tabs>
        <w:jc w:val="both"/>
        <w:rPr>
          <w:rFonts w:ascii="Times New Roman" w:hAnsi="Times New Roman" w:cs="Times New Roman"/>
          <w:b/>
          <w:noProof/>
          <w:sz w:val="24"/>
        </w:rPr>
      </w:pPr>
    </w:p>
    <w:p w14:paraId="34AC6469" w14:textId="77777777" w:rsidR="00994F93" w:rsidRPr="00B03B51" w:rsidRDefault="00994F93" w:rsidP="00994F93">
      <w:pPr>
        <w:tabs>
          <w:tab w:val="left" w:pos="843"/>
        </w:tabs>
        <w:jc w:val="both"/>
        <w:rPr>
          <w:rFonts w:ascii="Times New Roman" w:eastAsia="Arial" w:hAnsi="Times New Roman" w:cs="Times New Roman"/>
          <w:noProof/>
          <w:sz w:val="24"/>
          <w:szCs w:val="19"/>
        </w:rPr>
      </w:pPr>
      <w:r w:rsidRPr="00B03B51">
        <w:rPr>
          <w:rFonts w:ascii="Times New Roman" w:hAnsi="Times New Roman" w:cs="Times New Roman"/>
          <w:bCs/>
          <w:sz w:val="24"/>
        </w:rPr>
        <w:t xml:space="preserve">12. </w:t>
      </w:r>
      <w:r w:rsidRPr="00B03B51">
        <w:rPr>
          <w:rFonts w:ascii="Times New Roman" w:hAnsi="Times New Roman" w:cs="Times New Roman"/>
          <w:b/>
          <w:bCs/>
          <w:sz w:val="24"/>
        </w:rPr>
        <w:t>EKS 2010 4.146. punkts:</w:t>
      </w:r>
      <w:r w:rsidRPr="00B03B51">
        <w:rPr>
          <w:rFonts w:ascii="Times New Roman" w:hAnsi="Times New Roman" w:cs="Times New Roman"/>
          <w:sz w:val="24"/>
        </w:rPr>
        <w:t xml:space="preserve"> </w:t>
      </w:r>
      <w:r w:rsidRPr="00B03B51">
        <w:rPr>
          <w:rFonts w:ascii="Times New Roman" w:hAnsi="Times New Roman" w:cs="Times New Roman"/>
          <w:i/>
          <w:iCs/>
          <w:sz w:val="24"/>
        </w:rPr>
        <w:t>Kapitāla pārvedumu natūrā veido aktīva (izņemot inventāra un naudas) īpašumtiesību maiņa vai kreditora anulētas saistības, par to nesaņemot nekādu pretvērtību</w:t>
      </w:r>
      <w:r w:rsidRPr="00B03B51">
        <w:rPr>
          <w:rFonts w:ascii="Times New Roman" w:hAnsi="Times New Roman" w:cs="Times New Roman"/>
          <w:sz w:val="24"/>
        </w:rPr>
        <w:t>.</w:t>
      </w:r>
    </w:p>
    <w:p w14:paraId="5494F24D" w14:textId="77777777" w:rsidR="00994F93" w:rsidRPr="00B03B51" w:rsidRDefault="00994F93" w:rsidP="00994F93">
      <w:pPr>
        <w:tabs>
          <w:tab w:val="left" w:pos="843"/>
        </w:tabs>
        <w:jc w:val="both"/>
        <w:rPr>
          <w:rFonts w:ascii="Times New Roman" w:hAnsi="Times New Roman" w:cs="Times New Roman"/>
          <w:b/>
          <w:noProof/>
          <w:sz w:val="24"/>
        </w:rPr>
      </w:pPr>
    </w:p>
    <w:p w14:paraId="71204BDC" w14:textId="77777777" w:rsidR="00994F93" w:rsidRPr="00B03B51" w:rsidRDefault="00994F93" w:rsidP="00994F93">
      <w:pPr>
        <w:tabs>
          <w:tab w:val="left" w:pos="843"/>
        </w:tabs>
        <w:jc w:val="both"/>
        <w:rPr>
          <w:rFonts w:ascii="Times New Roman" w:eastAsia="Arial" w:hAnsi="Times New Roman" w:cs="Times New Roman"/>
          <w:noProof/>
          <w:sz w:val="24"/>
          <w:szCs w:val="19"/>
        </w:rPr>
      </w:pPr>
      <w:r w:rsidRPr="00B03B51">
        <w:rPr>
          <w:rFonts w:ascii="Times New Roman" w:hAnsi="Times New Roman" w:cs="Times New Roman"/>
          <w:bCs/>
          <w:sz w:val="24"/>
        </w:rPr>
        <w:t xml:space="preserve">13. </w:t>
      </w:r>
      <w:r w:rsidRPr="00B03B51">
        <w:rPr>
          <w:rFonts w:ascii="Times New Roman" w:hAnsi="Times New Roman" w:cs="Times New Roman"/>
          <w:b/>
          <w:bCs/>
          <w:sz w:val="24"/>
        </w:rPr>
        <w:t>EKS 2010 4.153. punkts:</w:t>
      </w:r>
      <w:r w:rsidRPr="00B03B51">
        <w:rPr>
          <w:rFonts w:ascii="Times New Roman" w:hAnsi="Times New Roman" w:cs="Times New Roman"/>
          <w:sz w:val="24"/>
        </w:rPr>
        <w:t xml:space="preserve"> </w:t>
      </w:r>
      <w:r w:rsidRPr="00B03B51">
        <w:rPr>
          <w:rFonts w:ascii="Times New Roman" w:hAnsi="Times New Roman" w:cs="Times New Roman"/>
          <w:i/>
          <w:iCs/>
          <w:sz w:val="24"/>
        </w:rPr>
        <w:t>Ieguldījumu dotācijas natūrā veido valdību veikti transportlīdzekļu, mašīnu un citu iekārtu pārvedumi citām rezidentu vai nerezidentu vienībām, kā arī tieša ēku un citu celtņu nodrošināšana rezidentu vai nerezidentu vienībām</w:t>
      </w:r>
      <w:r w:rsidRPr="00B03B51">
        <w:rPr>
          <w:rFonts w:ascii="Times New Roman" w:hAnsi="Times New Roman" w:cs="Times New Roman"/>
          <w:sz w:val="24"/>
        </w:rPr>
        <w:t>.</w:t>
      </w:r>
    </w:p>
    <w:p w14:paraId="7F0B3998"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6CAD7407"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14. Iepriekš minētie punkti norāda, ka atbilstoši EKS 2010 pamatlīdzekļa dāvinājumu var ierakstīt kā kapitāla pārvedumu natūrā (var izmantot arī pieeju, kas ir līdzvērtīga saistībā ar ietekmi uz uzskaiti, proti, kapitāla pārvedumu uzskata par nosacītu līdzekļu plūsmu, ko sabiedrība izmanto, lai iegādātos aktīvus no valdības).</w:t>
      </w:r>
    </w:p>
    <w:p w14:paraId="55491B77" w14:textId="77777777" w:rsidR="00994F93" w:rsidRPr="00B03B51" w:rsidRDefault="00994F93" w:rsidP="00994F93">
      <w:pPr>
        <w:jc w:val="both"/>
        <w:rPr>
          <w:rFonts w:ascii="Times New Roman" w:eastAsia="Arial" w:hAnsi="Times New Roman" w:cs="Times New Roman"/>
          <w:noProof/>
          <w:sz w:val="24"/>
          <w:szCs w:val="15"/>
        </w:rPr>
      </w:pPr>
    </w:p>
    <w:p w14:paraId="70AF85DC" w14:textId="77777777" w:rsidR="00994F93" w:rsidRPr="00B03B51" w:rsidRDefault="00994F93" w:rsidP="00994F93">
      <w:pPr>
        <w:pStyle w:val="Heading6"/>
        <w:tabs>
          <w:tab w:val="left" w:pos="1267"/>
        </w:tabs>
        <w:ind w:left="0" w:firstLine="0"/>
        <w:jc w:val="both"/>
        <w:rPr>
          <w:rFonts w:ascii="Times New Roman" w:hAnsi="Times New Roman" w:cs="Times New Roman"/>
          <w:noProof/>
          <w:sz w:val="24"/>
        </w:rPr>
      </w:pPr>
      <w:bookmarkStart w:id="244" w:name="3.4.3.2_For_treatment_in_other_flow_acco"/>
      <w:bookmarkEnd w:id="244"/>
      <w:r w:rsidRPr="00B03B51">
        <w:rPr>
          <w:rFonts w:ascii="Times New Roman" w:hAnsi="Times New Roman" w:cs="Times New Roman"/>
          <w:sz w:val="24"/>
        </w:rPr>
        <w:t>3.4.3.2. LAI TRAKTĒTU CITOS PLŪSMAS KONTOS</w:t>
      </w:r>
    </w:p>
    <w:p w14:paraId="18AF3CC4"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15BAD7CA"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15. Aktīvu un saistību pārstrukturēšana, šim nolūkam izmantojot ievērojamu aktīvu pārvedumu, atšķiras no darījumiem šā termina ierastajā nozīmē un, jebkurā gadījumā, no vienkāršas aktīva piešķiršanas.</w:t>
      </w:r>
    </w:p>
    <w:p w14:paraId="3BF516C8" w14:textId="77777777" w:rsidR="00994F93" w:rsidRPr="00B03B51" w:rsidRDefault="00994F93" w:rsidP="00994F93">
      <w:pPr>
        <w:tabs>
          <w:tab w:val="left" w:pos="843"/>
        </w:tabs>
        <w:jc w:val="both"/>
        <w:rPr>
          <w:rFonts w:ascii="Times New Roman" w:hAnsi="Times New Roman" w:cs="Times New Roman"/>
          <w:b/>
          <w:noProof/>
          <w:sz w:val="24"/>
        </w:rPr>
      </w:pPr>
    </w:p>
    <w:p w14:paraId="4477CB8D" w14:textId="77777777" w:rsidR="00994F93" w:rsidRPr="00B03B51" w:rsidRDefault="00994F93" w:rsidP="00994F93">
      <w:pPr>
        <w:tabs>
          <w:tab w:val="left" w:pos="843"/>
        </w:tabs>
        <w:jc w:val="both"/>
        <w:rPr>
          <w:rFonts w:ascii="Times New Roman" w:eastAsia="Arial" w:hAnsi="Times New Roman" w:cs="Times New Roman"/>
          <w:noProof/>
          <w:sz w:val="24"/>
          <w:szCs w:val="19"/>
        </w:rPr>
      </w:pPr>
      <w:r w:rsidRPr="00B03B51">
        <w:rPr>
          <w:rFonts w:ascii="Times New Roman" w:hAnsi="Times New Roman" w:cs="Times New Roman"/>
          <w:bCs/>
          <w:sz w:val="24"/>
        </w:rPr>
        <w:t xml:space="preserve">16. </w:t>
      </w:r>
      <w:r w:rsidRPr="00B03B51">
        <w:rPr>
          <w:rFonts w:ascii="Times New Roman" w:hAnsi="Times New Roman" w:cs="Times New Roman"/>
          <w:b/>
          <w:bCs/>
          <w:sz w:val="24"/>
        </w:rPr>
        <w:t>EKS 2010 6.20. punkts:</w:t>
      </w:r>
      <w:r w:rsidRPr="00B03B51">
        <w:rPr>
          <w:rFonts w:ascii="Times New Roman" w:hAnsi="Times New Roman" w:cs="Times New Roman"/>
          <w:sz w:val="24"/>
        </w:rPr>
        <w:t xml:space="preserve"> </w:t>
      </w:r>
      <w:r w:rsidRPr="00B03B51">
        <w:rPr>
          <w:rFonts w:ascii="Times New Roman" w:hAnsi="Times New Roman" w:cs="Times New Roman"/>
          <w:i/>
          <w:iCs/>
          <w:sz w:val="24"/>
        </w:rPr>
        <w:t>Ja sabiedrību juridiski sadala divās vai vairākās institucionālās vienībās, finanšu aktīvu un saistību rašanos ieraksta kā sektoru klasifikācijas un struktūras pārmaiņas</w:t>
      </w:r>
      <w:r w:rsidRPr="00B03B51">
        <w:rPr>
          <w:rFonts w:ascii="Times New Roman" w:hAnsi="Times New Roman" w:cs="Times New Roman"/>
          <w:sz w:val="24"/>
        </w:rPr>
        <w:t>.</w:t>
      </w:r>
    </w:p>
    <w:p w14:paraId="42C8B258" w14:textId="77777777" w:rsidR="00994F93" w:rsidRPr="00B03B51" w:rsidRDefault="00994F93" w:rsidP="00994F93">
      <w:pPr>
        <w:tabs>
          <w:tab w:val="left" w:pos="843"/>
        </w:tabs>
        <w:jc w:val="both"/>
        <w:rPr>
          <w:rFonts w:ascii="Times New Roman" w:hAnsi="Times New Roman" w:cs="Times New Roman"/>
          <w:b/>
          <w:noProof/>
          <w:sz w:val="24"/>
        </w:rPr>
      </w:pPr>
    </w:p>
    <w:p w14:paraId="286EB6CF" w14:textId="77777777" w:rsidR="00994F93" w:rsidRPr="00B03B51" w:rsidRDefault="00994F93" w:rsidP="00994F93">
      <w:pPr>
        <w:tabs>
          <w:tab w:val="left" w:pos="843"/>
        </w:tabs>
        <w:jc w:val="both"/>
        <w:rPr>
          <w:rFonts w:ascii="Times New Roman" w:eastAsia="Arial" w:hAnsi="Times New Roman" w:cs="Times New Roman"/>
          <w:noProof/>
          <w:sz w:val="24"/>
          <w:szCs w:val="19"/>
        </w:rPr>
      </w:pPr>
      <w:r w:rsidRPr="00B03B51">
        <w:rPr>
          <w:rFonts w:ascii="Times New Roman" w:hAnsi="Times New Roman" w:cs="Times New Roman"/>
          <w:bCs/>
          <w:sz w:val="24"/>
        </w:rPr>
        <w:t xml:space="preserve">17. </w:t>
      </w:r>
      <w:r w:rsidRPr="00B03B51">
        <w:rPr>
          <w:rFonts w:ascii="Times New Roman" w:hAnsi="Times New Roman" w:cs="Times New Roman"/>
          <w:b/>
          <w:bCs/>
          <w:sz w:val="24"/>
        </w:rPr>
        <w:t>EKS 2010 6.19. punkts:</w:t>
      </w:r>
      <w:r w:rsidRPr="00B03B51">
        <w:rPr>
          <w:rFonts w:ascii="Times New Roman" w:hAnsi="Times New Roman" w:cs="Times New Roman"/>
          <w:sz w:val="24"/>
        </w:rPr>
        <w:t xml:space="preserve"> </w:t>
      </w:r>
      <w:r w:rsidRPr="00B03B51">
        <w:rPr>
          <w:rFonts w:ascii="Times New Roman" w:hAnsi="Times New Roman" w:cs="Times New Roman"/>
          <w:i/>
          <w:iCs/>
          <w:sz w:val="24"/>
        </w:rPr>
        <w:t>Institucionālo vienību struktūras pārmaiņas ietver noteiktu finanšu aktīvu un saistību rašanos un izzušanu, kas rodas no uzņēmumu pārstrukturēšanas</w:t>
      </w:r>
      <w:r w:rsidRPr="00B03B51">
        <w:rPr>
          <w:rFonts w:ascii="Times New Roman" w:hAnsi="Times New Roman" w:cs="Times New Roman"/>
          <w:sz w:val="24"/>
        </w:rPr>
        <w:t>.</w:t>
      </w:r>
    </w:p>
    <w:p w14:paraId="3A67D8B3"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3CF11907"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 xml:space="preserve">18. Pozīcija “Sektoru klasifikācijas un struktūras pārmaiņas” (K.61), šķiet, arī ir piemērojama </w:t>
      </w:r>
      <w:r w:rsidRPr="00B03B51">
        <w:rPr>
          <w:rFonts w:ascii="Times New Roman" w:hAnsi="Times New Roman" w:cs="Times New Roman"/>
          <w:sz w:val="24"/>
        </w:rPr>
        <w:lastRenderedPageBreak/>
        <w:t>nefinanšu aktīviem. Pieņem, ka “struktūras pārmaiņas” ietver būtiskas izmaiņas vienības bilancē, ja tās sakrīt ar citām izmaiņām, piemēram, ar izmaiņām vienības funkcijās.</w:t>
      </w:r>
    </w:p>
    <w:p w14:paraId="0859FEC2" w14:textId="77777777" w:rsidR="00994F93" w:rsidRPr="00B03B51" w:rsidRDefault="00994F93" w:rsidP="00994F93">
      <w:pPr>
        <w:jc w:val="both"/>
        <w:rPr>
          <w:rFonts w:ascii="Times New Roman" w:eastAsia="Arial" w:hAnsi="Times New Roman" w:cs="Times New Roman"/>
          <w:noProof/>
          <w:sz w:val="24"/>
          <w:szCs w:val="15"/>
        </w:rPr>
      </w:pPr>
    </w:p>
    <w:p w14:paraId="7F8F0A73" w14:textId="77777777" w:rsidR="00994F93" w:rsidRPr="00B03B51" w:rsidRDefault="00994F93" w:rsidP="00994F93">
      <w:pPr>
        <w:pStyle w:val="Heading6"/>
        <w:tabs>
          <w:tab w:val="left" w:pos="1267"/>
        </w:tabs>
        <w:ind w:left="0" w:firstLine="0"/>
        <w:jc w:val="both"/>
        <w:rPr>
          <w:rFonts w:ascii="Times New Roman" w:hAnsi="Times New Roman" w:cs="Times New Roman"/>
          <w:noProof/>
          <w:sz w:val="24"/>
        </w:rPr>
      </w:pPr>
      <w:bookmarkStart w:id="245" w:name="3.4.3.3_Comment_on_recording_the_event_a"/>
      <w:bookmarkEnd w:id="245"/>
      <w:r w:rsidRPr="00B03B51">
        <w:rPr>
          <w:rFonts w:ascii="Times New Roman" w:hAnsi="Times New Roman" w:cs="Times New Roman"/>
          <w:sz w:val="24"/>
        </w:rPr>
        <w:t>3.4.3.3. KOMENTĀRS PAR DARĪJUMA IERAKSTĪŠANU POZĪCIJĀ F.5 KĀ IEGULDĪJUMU CITĀ PAŠU KAPITĀLĀ</w:t>
      </w:r>
    </w:p>
    <w:p w14:paraId="2D90E3E7" w14:textId="77777777" w:rsidR="00994F93" w:rsidRPr="00B03B51" w:rsidRDefault="00994F93" w:rsidP="00994F93">
      <w:pPr>
        <w:pStyle w:val="BodyText"/>
        <w:tabs>
          <w:tab w:val="left" w:pos="919"/>
        </w:tabs>
        <w:spacing w:before="0"/>
        <w:ind w:left="0" w:firstLine="0"/>
        <w:jc w:val="both"/>
        <w:rPr>
          <w:rFonts w:ascii="Times New Roman" w:hAnsi="Times New Roman" w:cs="Times New Roman"/>
          <w:noProof/>
          <w:sz w:val="24"/>
        </w:rPr>
      </w:pPr>
    </w:p>
    <w:p w14:paraId="2A83CDCA" w14:textId="77777777" w:rsidR="00994F93" w:rsidRPr="00B03B51" w:rsidRDefault="00994F93" w:rsidP="00994F93">
      <w:pPr>
        <w:pStyle w:val="BodyText"/>
        <w:tabs>
          <w:tab w:val="left" w:pos="919"/>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19. Citu ieguldījumu pašu kapitālā nav atbilstoši ierakstīt finanšu kontā. Pozīciju F.519 (cits pašu kapitāls = kapitāls, kas nav apliecināts ar akcijām) nacionālajos kontos drīkst izmantot tikai dažos skaidri noteiktos gadījumos. Šāds traktējums mākslīgi uzlabotu valdības neto aizdevumu/aizņēmumu (B.9) (ar ekvivalentu darījuma starpniecību pozīcijās P.51g vai NP).</w:t>
      </w:r>
    </w:p>
    <w:p w14:paraId="1D7A930E" w14:textId="77777777" w:rsidR="00994F93" w:rsidRPr="00B03B51" w:rsidRDefault="00994F93" w:rsidP="00994F93">
      <w:pPr>
        <w:pStyle w:val="BodyText"/>
        <w:tabs>
          <w:tab w:val="left" w:pos="919"/>
        </w:tabs>
        <w:spacing w:before="0"/>
        <w:ind w:left="0" w:firstLine="0"/>
        <w:jc w:val="both"/>
        <w:rPr>
          <w:rFonts w:ascii="Times New Roman" w:hAnsi="Times New Roman" w:cs="Times New Roman"/>
          <w:noProof/>
          <w:sz w:val="24"/>
        </w:rPr>
      </w:pPr>
    </w:p>
    <w:p w14:paraId="02683D4E" w14:textId="77777777" w:rsidR="00994F93" w:rsidRPr="00B03B51" w:rsidRDefault="00994F93" w:rsidP="00994F93">
      <w:pPr>
        <w:pStyle w:val="BodyText"/>
        <w:tabs>
          <w:tab w:val="left" w:pos="919"/>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20. Turklāt, pat ja no uzskaites viedokļa šāda rīcība nebūtu nepareiza, tai nebūtu ekonomiska satura. Faktiski, ja vienībai ir neto aizņēmums (deficīts), tas nozīmē, ka ir pastāvējis līdzekļu iztrūkums, kas, iespējams, bijis jāfinansē, samazinot vienības aktīvus. Šajā situācijā cita pašu kapitāla rašanās ir diezgan automātiska, un to atbilstošāk ir ierakstīt kontā “Citas pārmaiņas aktīvu apjomā”.</w:t>
      </w:r>
    </w:p>
    <w:p w14:paraId="74049C2B" w14:textId="77777777" w:rsidR="00994F93" w:rsidRPr="00B03B51" w:rsidRDefault="00994F93" w:rsidP="00994F93">
      <w:pPr>
        <w:jc w:val="both"/>
        <w:rPr>
          <w:rFonts w:ascii="Times New Roman" w:eastAsia="Arial" w:hAnsi="Times New Roman" w:cs="Times New Roman"/>
          <w:noProof/>
          <w:sz w:val="24"/>
          <w:szCs w:val="20"/>
        </w:rPr>
      </w:pPr>
    </w:p>
    <w:p w14:paraId="6FE81EB9" w14:textId="77777777" w:rsidR="00994F93" w:rsidRPr="00B03B51" w:rsidRDefault="00994F93" w:rsidP="00994F93">
      <w:pPr>
        <w:pStyle w:val="Heading3"/>
        <w:tabs>
          <w:tab w:val="left" w:pos="1267"/>
        </w:tabs>
        <w:ind w:left="0" w:firstLine="0"/>
        <w:jc w:val="both"/>
        <w:rPr>
          <w:rFonts w:ascii="Times New Roman" w:hAnsi="Times New Roman" w:cs="Times New Roman"/>
          <w:noProof/>
          <w:sz w:val="24"/>
        </w:rPr>
      </w:pPr>
      <w:bookmarkStart w:id="246" w:name="3.4.4_Accounting_examples"/>
      <w:bookmarkStart w:id="247" w:name="_Toc67565100"/>
      <w:bookmarkEnd w:id="246"/>
      <w:r w:rsidRPr="00B03B51">
        <w:rPr>
          <w:rFonts w:ascii="Times New Roman" w:hAnsi="Times New Roman" w:cs="Times New Roman"/>
          <w:sz w:val="24"/>
        </w:rPr>
        <w:t>3.4.4. Uzskaites piemēri</w:t>
      </w:r>
      <w:bookmarkEnd w:id="247"/>
    </w:p>
    <w:p w14:paraId="36EF8EC7" w14:textId="77777777" w:rsidR="00994F93" w:rsidRPr="00B03B51" w:rsidRDefault="00994F93" w:rsidP="00994F93">
      <w:pPr>
        <w:pStyle w:val="BodyText"/>
        <w:spacing w:before="0"/>
        <w:ind w:left="0" w:firstLine="0"/>
        <w:jc w:val="both"/>
        <w:rPr>
          <w:rFonts w:ascii="Times New Roman" w:hAnsi="Times New Roman" w:cs="Times New Roman"/>
          <w:noProof/>
          <w:sz w:val="24"/>
        </w:rPr>
      </w:pPr>
    </w:p>
    <w:p w14:paraId="1F452D9B" w14:textId="77777777" w:rsidR="00994F93" w:rsidRPr="00B03B51" w:rsidRDefault="00994F93" w:rsidP="00994F93">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t>Turpmākajā piemērā tiek pieņemts, ka valdība nodod publiskai sabiedrībai ēku, kuras vērtība ir 100. Pirmajā gadījumā tas nepārprotami ir dāvinājums un nav nekādu saistītu notikumu, un valsts arī necer uz īpašuma ienākuma palielināšanos, kas varētu rasties šā aktīva nodošanas rezultātā. Otrajā gadījumā šā aktīva nodošana ir daļa no dažu tādu pakalpojumu sniegšanas reorganizācijas, kuros sabiedrība ir iesaistīta.</w:t>
      </w:r>
    </w:p>
    <w:p w14:paraId="3BF34776" w14:textId="77777777" w:rsidR="00994F93" w:rsidRPr="00B03B51" w:rsidRDefault="00994F93" w:rsidP="00994F93">
      <w:pPr>
        <w:jc w:val="both"/>
        <w:rPr>
          <w:rFonts w:ascii="Times New Roman" w:hAnsi="Times New Roman" w:cs="Times New Roman"/>
          <w:noProof/>
          <w:sz w:val="24"/>
        </w:rPr>
      </w:pPr>
    </w:p>
    <w:p w14:paraId="7F093D86" w14:textId="77777777" w:rsidR="00994F93" w:rsidRPr="00B03B51" w:rsidRDefault="00994F93" w:rsidP="00994F93">
      <w:pPr>
        <w:jc w:val="both"/>
        <w:rPr>
          <w:rFonts w:ascii="Times New Roman" w:hAnsi="Times New Roman" w:cs="Times New Roman"/>
          <w:b/>
          <w:noProof/>
          <w:sz w:val="24"/>
        </w:rPr>
      </w:pPr>
      <w:r w:rsidRPr="00B03B51">
        <w:rPr>
          <w:rFonts w:ascii="Times New Roman" w:hAnsi="Times New Roman" w:cs="Times New Roman"/>
          <w:b/>
          <w:sz w:val="24"/>
        </w:rPr>
        <w:t>Kapitāla pārveduma un kapitāla veidošanas ierakstīšana</w:t>
      </w:r>
    </w:p>
    <w:p w14:paraId="208A3EB5" w14:textId="77777777" w:rsidR="00994F93" w:rsidRPr="00B03B51" w:rsidRDefault="00994F93" w:rsidP="00994F93">
      <w:pPr>
        <w:jc w:val="both"/>
        <w:rPr>
          <w:rFonts w:ascii="Times New Roman" w:eastAsia="Arial" w:hAnsi="Times New Roman" w:cs="Times New Roman"/>
          <w:b/>
          <w:bCs/>
          <w:noProof/>
          <w:sz w:val="24"/>
          <w:szCs w:val="21"/>
        </w:rPr>
      </w:pPr>
    </w:p>
    <w:p w14:paraId="7294777F" w14:textId="77777777" w:rsidR="00994F93" w:rsidRPr="00B03B51" w:rsidRDefault="00994F93" w:rsidP="00994F93">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t>Turpmākajā piemērā tiek pieņemts, ka kapitāla pārveduma dēļ, pirmkārt, palielinās publiska uzņēmuma neto vērtība. Pēc tam ir iespējams pieņemt, ka šo neto vērtības palielinājumu ar pārvērtēšanas konta starpniecību “absorbē” ekvivalents palielinājums valdības pašu kapitālā, kas tai pieder publiskajā uzņēmumā; šis otrais solis šeit nav apspriests. Turklāt beigu bilancē pārmaiņas ir uzrādītas vienīgi neto vērtībā.</w:t>
      </w:r>
    </w:p>
    <w:p w14:paraId="44B949DC" w14:textId="77777777" w:rsidR="00994F93" w:rsidRPr="00B03B51" w:rsidRDefault="00994F93" w:rsidP="00994F93">
      <w:pPr>
        <w:jc w:val="both"/>
        <w:rPr>
          <w:rFonts w:ascii="Times New Roman" w:eastAsia="Arial" w:hAnsi="Times New Roman" w:cs="Times New Roman"/>
          <w:noProof/>
          <w:sz w:val="24"/>
          <w:szCs w:val="20"/>
        </w:rPr>
      </w:pPr>
    </w:p>
    <w:p w14:paraId="1353472E" w14:textId="75E95FA4" w:rsidR="00994F93" w:rsidRPr="00B03B51" w:rsidRDefault="00A330D7" w:rsidP="008A7C35">
      <w:pPr>
        <w:jc w:val="center"/>
        <w:rPr>
          <w:rFonts w:ascii="Times New Roman" w:eastAsia="Arial" w:hAnsi="Times New Roman" w:cs="Times New Roman"/>
          <w:noProof/>
          <w:sz w:val="24"/>
          <w:szCs w:val="20"/>
        </w:rPr>
      </w:pPr>
      <w:r w:rsidRPr="00B03B51">
        <w:rPr>
          <w:rFonts w:ascii="Times New Roman" w:eastAsia="Arial" w:hAnsi="Times New Roman" w:cs="Times New Roman"/>
          <w:noProof/>
          <w:sz w:val="24"/>
          <w:szCs w:val="20"/>
        </w:rPr>
        <w:lastRenderedPageBreak/>
        <w:drawing>
          <wp:inline distT="0" distB="0" distL="0" distR="0" wp14:anchorId="0294EB7D" wp14:editId="1CE202B2">
            <wp:extent cx="5760085" cy="6276340"/>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760085" cy="6276340"/>
                    </a:xfrm>
                    <a:prstGeom prst="rect">
                      <a:avLst/>
                    </a:prstGeom>
                    <a:noFill/>
                    <a:ln>
                      <a:noFill/>
                    </a:ln>
                  </pic:spPr>
                </pic:pic>
              </a:graphicData>
            </a:graphic>
          </wp:inline>
        </w:drawing>
      </w:r>
    </w:p>
    <w:p w14:paraId="3492A555" w14:textId="77777777" w:rsidR="00994F93" w:rsidRPr="00B03B51" w:rsidRDefault="00994F93" w:rsidP="00994F93">
      <w:pPr>
        <w:rPr>
          <w:rFonts w:ascii="Times New Roman" w:eastAsia="Arial" w:hAnsi="Times New Roman" w:cs="Times New Roman"/>
          <w:noProof/>
          <w:sz w:val="24"/>
          <w:szCs w:val="20"/>
        </w:rPr>
      </w:pPr>
      <w:r w:rsidRPr="00B03B51">
        <w:rPr>
          <w:rFonts w:ascii="Times New Roman" w:hAnsi="Times New Roman" w:cs="Times New Roman"/>
        </w:rPr>
        <w:br w:type="page"/>
      </w:r>
    </w:p>
    <w:p w14:paraId="78DD73EF" w14:textId="77777777" w:rsidR="00994F93" w:rsidRPr="00B03B51" w:rsidRDefault="00994F93" w:rsidP="00994F93">
      <w:pPr>
        <w:jc w:val="both"/>
        <w:rPr>
          <w:rFonts w:ascii="Times New Roman" w:eastAsia="Arial" w:hAnsi="Times New Roman" w:cs="Times New Roman"/>
          <w:noProof/>
          <w:sz w:val="24"/>
          <w:szCs w:val="20"/>
        </w:rPr>
      </w:pPr>
    </w:p>
    <w:p w14:paraId="62B591A8" w14:textId="77777777" w:rsidR="00994F93" w:rsidRPr="00B03B51" w:rsidRDefault="00994F93" w:rsidP="00994F93">
      <w:pPr>
        <w:pStyle w:val="Heading2"/>
        <w:tabs>
          <w:tab w:val="left" w:pos="1267"/>
        </w:tabs>
        <w:spacing w:before="0"/>
        <w:ind w:left="0" w:firstLine="0"/>
        <w:jc w:val="both"/>
        <w:rPr>
          <w:rFonts w:ascii="Times New Roman" w:hAnsi="Times New Roman" w:cs="Times New Roman"/>
          <w:noProof/>
          <w:sz w:val="28"/>
          <w:szCs w:val="44"/>
        </w:rPr>
      </w:pPr>
      <w:bookmarkStart w:id="248" w:name="3.5_Dividends,_super-dividends,_interim_"/>
      <w:bookmarkStart w:id="249" w:name="_bookmark25"/>
      <w:bookmarkStart w:id="250" w:name="_Toc67565101"/>
      <w:bookmarkEnd w:id="248"/>
      <w:bookmarkEnd w:id="249"/>
      <w:r w:rsidRPr="00B03B51">
        <w:rPr>
          <w:rFonts w:ascii="Times New Roman" w:hAnsi="Times New Roman" w:cs="Times New Roman"/>
          <w:sz w:val="28"/>
          <w:szCs w:val="44"/>
        </w:rPr>
        <w:t>3.5. Dividendes, superdividendes, starpperioda dividendes</w:t>
      </w:r>
      <w:bookmarkEnd w:id="250"/>
    </w:p>
    <w:p w14:paraId="6AA1C15B" w14:textId="77777777" w:rsidR="00994F93" w:rsidRPr="00100B51" w:rsidRDefault="00994F93" w:rsidP="00100B51">
      <w:pPr>
        <w:rPr>
          <w:rFonts w:ascii="Times New Roman" w:hAnsi="Times New Roman" w:cs="Times New Roman"/>
          <w:noProof/>
          <w:sz w:val="24"/>
          <w:szCs w:val="24"/>
        </w:rPr>
      </w:pPr>
      <w:bookmarkStart w:id="251" w:name="3.5.1_Background"/>
      <w:bookmarkEnd w:id="251"/>
    </w:p>
    <w:p w14:paraId="5A83AC67" w14:textId="77777777" w:rsidR="00994F93" w:rsidRPr="00B03B51" w:rsidRDefault="00994F93" w:rsidP="00994F93">
      <w:pPr>
        <w:pStyle w:val="Heading3"/>
        <w:tabs>
          <w:tab w:val="left" w:pos="1267"/>
        </w:tabs>
        <w:ind w:left="0" w:firstLine="0"/>
        <w:jc w:val="both"/>
        <w:rPr>
          <w:rFonts w:ascii="Times New Roman" w:hAnsi="Times New Roman" w:cs="Times New Roman"/>
          <w:noProof/>
          <w:sz w:val="24"/>
        </w:rPr>
      </w:pPr>
      <w:bookmarkStart w:id="252" w:name="_Toc67565102"/>
      <w:r w:rsidRPr="00B03B51">
        <w:rPr>
          <w:rFonts w:ascii="Times New Roman" w:hAnsi="Times New Roman" w:cs="Times New Roman"/>
          <w:sz w:val="24"/>
        </w:rPr>
        <w:t>3.5.1. Vispārīga informācija</w:t>
      </w:r>
      <w:bookmarkEnd w:id="252"/>
    </w:p>
    <w:p w14:paraId="0879DE49"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46515B74"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szCs w:val="12"/>
        </w:rPr>
      </w:pPr>
      <w:r w:rsidRPr="00B03B51">
        <w:rPr>
          <w:rFonts w:ascii="Times New Roman" w:hAnsi="Times New Roman" w:cs="Times New Roman"/>
          <w:sz w:val="24"/>
        </w:rPr>
        <w:t>1. Maksājumus, kurus valsts komercsabiedrības veic valdībai kā akcionāram, parasti dēvē par “dividendēm”, atsaucoties uz komerctiesībām un saimnieciskās darbības grāmatvedības uzskaiti.</w:t>
      </w:r>
      <w:r w:rsidRPr="00B03B51">
        <w:rPr>
          <w:rStyle w:val="FootnoteReference"/>
          <w:rFonts w:ascii="Times New Roman" w:hAnsi="Times New Roman" w:cs="Times New Roman"/>
          <w:noProof/>
          <w:sz w:val="24"/>
        </w:rPr>
        <w:footnoteReference w:id="157"/>
      </w:r>
      <w:r w:rsidRPr="00B03B51">
        <w:rPr>
          <w:rFonts w:ascii="Times New Roman" w:hAnsi="Times New Roman" w:cs="Times New Roman"/>
          <w:sz w:val="24"/>
          <w:szCs w:val="12"/>
        </w:rPr>
        <w:t xml:space="preserve"> </w:t>
      </w:r>
      <w:r w:rsidRPr="00B03B51">
        <w:rPr>
          <w:rFonts w:ascii="Times New Roman" w:hAnsi="Times New Roman" w:cs="Times New Roman"/>
          <w:sz w:val="24"/>
        </w:rPr>
        <w:t>Lielākajā daļā gadījumu EKS šos starpposma maksājumus ieraksta arī kā īpašuma ienākumu (dividendes, D.42). Šajā nodaļā apspriests jautājums par to, vai pastāv tādi publisku sabiedrību veikti maksājumi valdībai, kuriem saistībā ar makroekonomikas statistiku ir nepieciešams atšķirīgs traktējums EKS, lai arī saimnieciskās darbības grāmatvedības uzskaitē tos var kvalificēt kā dividendes, t. i., vai tie ir jāieraksta atšķirīgi no īpašuma ienākuma. Turpmākos noteikumus parasti nepiemēro attiecībā uz privātu sabiedrību veiktiem dividenžu maksājumiem, kad valdība ir mazākuma akcionārs, ja vien nav pierādījumu, ka valdībai ir bijusi izšķiroša ietekme uz ienākumu piešķiršanu un sadali.</w:t>
      </w:r>
      <w:r w:rsidRPr="00B03B51">
        <w:rPr>
          <w:rStyle w:val="FootnoteReference"/>
          <w:rFonts w:ascii="Times New Roman" w:hAnsi="Times New Roman" w:cs="Times New Roman"/>
          <w:noProof/>
          <w:sz w:val="24"/>
        </w:rPr>
        <w:footnoteReference w:id="158"/>
      </w:r>
    </w:p>
    <w:p w14:paraId="3A2E4F2D"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1DA0499E"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2. Īpaši svarīgi var būt divi jautājumi, kas skar darījuma būtību un attiecīgi arī EKS paredzēto maksājuma klasifikāciju: maksājuma lielums saistībā ar sabiedrības uzkrāto peļņu un maksājuma laiks, turklāt dažkārt ir jāņem vērā abi šie jautājumi.</w:t>
      </w:r>
    </w:p>
    <w:p w14:paraId="2934E4D4"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6D3B55DB"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3. Dividendes tiek izmaksātas un ierakstītas sabiedrības kontos, kad to nolemj sabiedrības īpašnieki (parasti tam nepieciešams valdes priekšlikums un lielākās akcionāru sapulces daļas apstiprinājums), parasti pamatojoties uz pārskata gadā gūtajiem ienākumiem. Šāds lēmums parasti tiek pieņemts nākamajā gadā pēc gūto ienākumu pārskata gada, kad attiecībā uz šo gadu ir apstiprināti pārskati. Tomēr nereti (jo īpaši tādu lielu sabiedrību gadījumā, kas sagatavo pusgada vai ceturkšņa pārskatus vai regulāri publicē paziņojumus par ienākumiem) starpperioda dividendes tiek izmaksātas pārskata gadā, pirms ir zināmi galīgie gada ienākumi. Komercuzņēmumu grāmatvedībā šī ir bieži izmantota prakse. Līdzīga prakse ir arī dažām publiskām sabiedrībām (tostarp centrālajām bankām) ES. EKS 2010 ir skaidri izskatīts jautājums par starpperioda dividendēm.</w:t>
      </w:r>
    </w:p>
    <w:p w14:paraId="18599F48"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41405636"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4. Vēl viens jautājums ir par maksājuma apmēru. Saskaņā ar ienākuma definīciju nacionālajos kontos lielu maksājumu var veikt kā atskaitījumu no sabiedrības iepriekš uzkrātajām rezervēm, kas iekļautas tās pašu līdzekļos, nevis no tās gada peļņas. Maksājumi, kurus veic valdībai gan pēc tam, kad ir zināma sabiedrības gada peļņa, gan arī pirms tam (starpposma maksājumi), ir rūpīgi jāanalizē, lai noteiktu, kā ierakstīt darījumus nacionālajos kontos.</w:t>
      </w:r>
    </w:p>
    <w:p w14:paraId="5C383347" w14:textId="77777777" w:rsidR="00994F93" w:rsidRPr="00B03B51" w:rsidRDefault="00994F93" w:rsidP="00994F93">
      <w:pPr>
        <w:jc w:val="both"/>
        <w:rPr>
          <w:rFonts w:ascii="Times New Roman" w:eastAsia="Arial" w:hAnsi="Times New Roman" w:cs="Times New Roman"/>
          <w:noProof/>
          <w:sz w:val="24"/>
          <w:szCs w:val="18"/>
        </w:rPr>
      </w:pPr>
    </w:p>
    <w:p w14:paraId="73140694" w14:textId="77777777" w:rsidR="00994F93" w:rsidRPr="00B03B51" w:rsidRDefault="00994F93" w:rsidP="00994F93">
      <w:pPr>
        <w:pStyle w:val="Heading3"/>
        <w:tabs>
          <w:tab w:val="left" w:pos="1267"/>
        </w:tabs>
        <w:ind w:left="0" w:firstLine="0"/>
        <w:jc w:val="both"/>
        <w:rPr>
          <w:rFonts w:ascii="Times New Roman" w:hAnsi="Times New Roman" w:cs="Times New Roman"/>
          <w:noProof/>
          <w:sz w:val="24"/>
        </w:rPr>
      </w:pPr>
      <w:bookmarkStart w:id="253" w:name="3.5.2_Treatment_in_national_accounts"/>
      <w:bookmarkStart w:id="254" w:name="_Toc67565103"/>
      <w:bookmarkEnd w:id="253"/>
      <w:r w:rsidRPr="00B03B51">
        <w:rPr>
          <w:rFonts w:ascii="Times New Roman" w:hAnsi="Times New Roman" w:cs="Times New Roman"/>
          <w:sz w:val="24"/>
        </w:rPr>
        <w:t>3.5.2. Traktējums nacionālajos kontos</w:t>
      </w:r>
      <w:bookmarkEnd w:id="254"/>
    </w:p>
    <w:p w14:paraId="624D4929" w14:textId="77777777" w:rsidR="00994F93" w:rsidRPr="00721944" w:rsidRDefault="00994F93" w:rsidP="00721944">
      <w:pPr>
        <w:rPr>
          <w:rFonts w:ascii="Times New Roman" w:hAnsi="Times New Roman" w:cs="Times New Roman"/>
          <w:noProof/>
          <w:sz w:val="24"/>
          <w:szCs w:val="24"/>
        </w:rPr>
      </w:pPr>
      <w:bookmarkStart w:id="255" w:name="3.5.2.1_Dividends_and_super-dividends:_d"/>
      <w:bookmarkEnd w:id="255"/>
    </w:p>
    <w:p w14:paraId="49FC8B3A" w14:textId="77777777" w:rsidR="00994F93" w:rsidRPr="00B03B51" w:rsidRDefault="00994F93" w:rsidP="00994F93">
      <w:pPr>
        <w:pStyle w:val="Heading6"/>
        <w:tabs>
          <w:tab w:val="left" w:pos="1267"/>
        </w:tabs>
        <w:ind w:left="0" w:firstLine="0"/>
        <w:jc w:val="both"/>
        <w:rPr>
          <w:rFonts w:ascii="Times New Roman" w:hAnsi="Times New Roman" w:cs="Times New Roman"/>
          <w:noProof/>
          <w:sz w:val="24"/>
        </w:rPr>
      </w:pPr>
      <w:r w:rsidRPr="00B03B51">
        <w:rPr>
          <w:rFonts w:ascii="Times New Roman" w:hAnsi="Times New Roman" w:cs="Times New Roman"/>
          <w:sz w:val="24"/>
        </w:rPr>
        <w:t>3.5.2.1. DIVIDENDES UN SUPERDIVIDENDES. DEFINĪCIJAS</w:t>
      </w:r>
    </w:p>
    <w:p w14:paraId="78760808" w14:textId="77777777" w:rsidR="00994F93" w:rsidRPr="00B03B51" w:rsidRDefault="00994F93" w:rsidP="00994F93">
      <w:pPr>
        <w:tabs>
          <w:tab w:val="left" w:pos="843"/>
        </w:tabs>
        <w:jc w:val="both"/>
        <w:rPr>
          <w:rFonts w:ascii="Times New Roman" w:hAnsi="Times New Roman" w:cs="Times New Roman"/>
          <w:noProof/>
          <w:sz w:val="24"/>
        </w:rPr>
      </w:pPr>
    </w:p>
    <w:p w14:paraId="631F248C" w14:textId="77777777" w:rsidR="00994F93" w:rsidRPr="00B03B51" w:rsidRDefault="00994F93" w:rsidP="00994F93">
      <w:pPr>
        <w:tabs>
          <w:tab w:val="left" w:pos="843"/>
        </w:tabs>
        <w:jc w:val="both"/>
        <w:rPr>
          <w:rFonts w:ascii="Times New Roman" w:eastAsia="Arial" w:hAnsi="Times New Roman" w:cs="Times New Roman"/>
          <w:noProof/>
          <w:sz w:val="24"/>
          <w:szCs w:val="19"/>
        </w:rPr>
      </w:pPr>
      <w:r w:rsidRPr="00B03B51">
        <w:rPr>
          <w:rFonts w:ascii="Times New Roman" w:hAnsi="Times New Roman" w:cs="Times New Roman"/>
          <w:sz w:val="24"/>
        </w:rPr>
        <w:t xml:space="preserve">5. Dividendes. EKS 2010 4.53. punktā noteikts: </w:t>
      </w:r>
      <w:r w:rsidRPr="00B03B51">
        <w:rPr>
          <w:rFonts w:ascii="Times New Roman" w:hAnsi="Times New Roman" w:cs="Times New Roman"/>
          <w:i/>
          <w:sz w:val="24"/>
        </w:rPr>
        <w:t>Dividendes (D.421) ir īpašuma ienākuma veids, ko ir tiesības saņemt akciju īpašniekiem (AF.5), piemēram, par sabiedrību rīcībā nodotajiem līdzekļiem</w:t>
      </w:r>
      <w:r w:rsidRPr="00B03B51">
        <w:rPr>
          <w:rFonts w:ascii="Times New Roman" w:hAnsi="Times New Roman" w:cs="Times New Roman"/>
          <w:sz w:val="24"/>
        </w:rPr>
        <w:t>.</w:t>
      </w:r>
    </w:p>
    <w:p w14:paraId="3CCA02A0"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2CD37FF4"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6. EKS 2010 ir noteikti turpmākie principi.</w:t>
      </w:r>
    </w:p>
    <w:p w14:paraId="48E08696"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68980540" w14:textId="77777777" w:rsidR="00994F93" w:rsidRPr="00B03B51" w:rsidRDefault="00994F93" w:rsidP="008A7C35">
      <w:pPr>
        <w:pStyle w:val="BodyText"/>
        <w:numPr>
          <w:ilvl w:val="1"/>
          <w:numId w:val="2"/>
        </w:numPr>
        <w:spacing w:before="0"/>
        <w:ind w:left="426" w:hanging="425"/>
        <w:jc w:val="both"/>
        <w:rPr>
          <w:rFonts w:ascii="Times New Roman" w:hAnsi="Times New Roman" w:cs="Times New Roman"/>
          <w:noProof/>
          <w:sz w:val="24"/>
        </w:rPr>
      </w:pPr>
      <w:r w:rsidRPr="00B03B51">
        <w:rPr>
          <w:rFonts w:ascii="Times New Roman" w:hAnsi="Times New Roman" w:cs="Times New Roman"/>
          <w:sz w:val="24"/>
        </w:rPr>
        <w:t>Līdzekļi, kas vienībai (sabiedrībai) ir pieejami sadalei kā dividendes, (..) ir vienības sadalāmie ienākumi, kas atbilst uzņēmējdarbības ienākumiem (B.4), kam pieskaita visus saņemamos kārtējos pārvedumus un no kā atskaita visus maksājamos kārtējos pārvedumus un korekciju saistībā ar pensiju tiesību pārmaiņām (EKS 2010 4.55. punkts).</w:t>
      </w:r>
    </w:p>
    <w:p w14:paraId="2B0E6382" w14:textId="77777777" w:rsidR="00994F93" w:rsidRPr="00B03B51" w:rsidRDefault="00994F93" w:rsidP="008A7C35">
      <w:pPr>
        <w:pStyle w:val="BodyText"/>
        <w:numPr>
          <w:ilvl w:val="1"/>
          <w:numId w:val="2"/>
        </w:numPr>
        <w:spacing w:before="0"/>
        <w:ind w:left="426" w:hanging="425"/>
        <w:jc w:val="both"/>
        <w:rPr>
          <w:rFonts w:ascii="Times New Roman" w:hAnsi="Times New Roman" w:cs="Times New Roman"/>
          <w:noProof/>
          <w:sz w:val="24"/>
        </w:rPr>
      </w:pPr>
      <w:r w:rsidRPr="00B03B51">
        <w:rPr>
          <w:rFonts w:ascii="Times New Roman" w:hAnsi="Times New Roman" w:cs="Times New Roman"/>
          <w:sz w:val="24"/>
        </w:rPr>
        <w:t>Ievērojot šādu loģiku, līdzekļos, no kuriem jāizmaksā dividendes, neiekļauj ne aktīvu pārdošanas ieņēmumus, ne turēšanas guvumus (..), kuri neietilpst sadalāmajos ienākumos.</w:t>
      </w:r>
    </w:p>
    <w:p w14:paraId="620C4459" w14:textId="77777777" w:rsidR="00994F93" w:rsidRPr="00B03B51" w:rsidRDefault="00994F93" w:rsidP="008A7C35">
      <w:pPr>
        <w:pStyle w:val="BodyText"/>
        <w:numPr>
          <w:ilvl w:val="1"/>
          <w:numId w:val="2"/>
        </w:numPr>
        <w:spacing w:before="0"/>
        <w:ind w:left="426" w:hanging="425"/>
        <w:jc w:val="both"/>
        <w:rPr>
          <w:rFonts w:ascii="Times New Roman" w:hAnsi="Times New Roman" w:cs="Times New Roman"/>
          <w:noProof/>
          <w:sz w:val="24"/>
        </w:rPr>
      </w:pPr>
      <w:r w:rsidRPr="00B03B51">
        <w:rPr>
          <w:rFonts w:ascii="Times New Roman" w:hAnsi="Times New Roman" w:cs="Times New Roman"/>
          <w:sz w:val="24"/>
        </w:rPr>
        <w:t>No rezervēm veikts liels maksājums, samazinot komercsabiedrības pašu līdzekļus, nav ienākuma sadale. Šāds maksājums būtībā ir kapitāla izņemšana, ko ieraksta kā darījumu ar akcijām un citu pašu kapitālu.</w:t>
      </w:r>
    </w:p>
    <w:p w14:paraId="0BA6E72C" w14:textId="77777777" w:rsidR="00994F93" w:rsidRPr="00B03B51" w:rsidRDefault="00994F93" w:rsidP="008A7C35">
      <w:pPr>
        <w:pStyle w:val="BodyText"/>
        <w:numPr>
          <w:ilvl w:val="1"/>
          <w:numId w:val="2"/>
        </w:numPr>
        <w:spacing w:before="0"/>
        <w:ind w:left="426" w:hanging="425"/>
        <w:jc w:val="both"/>
        <w:rPr>
          <w:rFonts w:ascii="Times New Roman" w:hAnsi="Times New Roman" w:cs="Times New Roman"/>
          <w:noProof/>
          <w:sz w:val="24"/>
        </w:rPr>
      </w:pPr>
      <w:r w:rsidRPr="00B03B51">
        <w:rPr>
          <w:rFonts w:ascii="Times New Roman" w:hAnsi="Times New Roman" w:cs="Times New Roman"/>
          <w:sz w:val="24"/>
        </w:rPr>
        <w:t>Praksē</w:t>
      </w:r>
      <w:r w:rsidRPr="00B03B51">
        <w:rPr>
          <w:rStyle w:val="FootnoteReference"/>
          <w:rFonts w:ascii="Times New Roman" w:hAnsi="Times New Roman" w:cs="Times New Roman"/>
          <w:noProof/>
          <w:sz w:val="24"/>
        </w:rPr>
        <w:footnoteReference w:id="159"/>
      </w:r>
      <w:r w:rsidRPr="00B03B51">
        <w:rPr>
          <w:rFonts w:ascii="Times New Roman" w:hAnsi="Times New Roman" w:cs="Times New Roman"/>
          <w:sz w:val="24"/>
        </w:rPr>
        <w:t xml:space="preserve"> attiecībā uz uzņēmējdarbības ienākumiem kā tuvinājumu var izmantot sabiedrības pamatdarbības peļņu vai pārpalikumu (tostarp neto procentu maksājumus, lai nodrošinātu atbilstību “B.4” jēdzienam, kas noteikts EKS 2010 8.26.–8.27. punktā).</w:t>
      </w:r>
      <w:r w:rsidRPr="00B03B51">
        <w:rPr>
          <w:rStyle w:val="FootnoteReference"/>
          <w:rFonts w:ascii="Times New Roman" w:hAnsi="Times New Roman" w:cs="Times New Roman"/>
          <w:noProof/>
          <w:sz w:val="24"/>
        </w:rPr>
        <w:footnoteReference w:id="160"/>
      </w:r>
    </w:p>
    <w:p w14:paraId="1CFF387C"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0626BB0D"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7. Sabiedrības var izlīdzināt dividenžu summas, kuras tās izmaksā katru gadu. Vienā gadā tās var novirzīt daļu peļņas rezervēs un izmantot to nākamajā gadā, lai nodrošinātu akcionāriem kaut cik regulāru ienākumu no saviem ieguldījumiem (dividenžu izlīdzināšanu). Konceptuāli nacionālo kontu sistēmā ir pieņemami šādus izlīdzinātus maksājumus uzskatīt par dividendēm, jo tie faktiski iegūti no sadalāmiem ienākumiem (ar nosacījumu, ka sabiedrības akcionāru sapulce ir to skaidri apstiprinājusi iepriekšējā gadā un tas ir ierakstīts identificētā rezervē, kas izveidota vienīgi šim nolūkam). Tomēr lielu maksājumu gadījumā, kuri pārsniedz īstermiņa koriģēšanai izveidoto speciālo rezervi un attiecībā uz kuriem ir pierādījumi, ka tie veidoti no rezervēm, kas uzkrātas no vairāk nekā viena iepriekšējā gada, tos pēc būtības uzskata par kapitāla izņemšanu, kas nacionālajos kontos ieraksta kā finanšu darījums ar akcijām un citu pašu kapitālu.</w:t>
      </w:r>
    </w:p>
    <w:p w14:paraId="16E29893"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0E03F162"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8. Superdividendes pēc savas būtības atšķiras no dividendēm, jo tās tiek izmaksātas no uzkrātajām rezervēm, kuras ir reģistrētas sabiedrības pašu līdzekļos. Jebkādus atvilkumus no pašu līdzekļiem ieraksta kā pašu kapitāla izņemšanu (F.5) vismaz attiecībā uz to summu, kas pārsniedz pārskata gada sadalāmos ienākumus.</w:t>
      </w:r>
    </w:p>
    <w:p w14:paraId="484FF5FF"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3E9D16B9"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9. Lai arī EKS 2010 4.55. punktā ir prasīts veikt ticamības pārbaudi dividendēm, kuru sadale ir būtiski lielāka salīdzinājumā ar ienākumu</w:t>
      </w:r>
      <w:r w:rsidRPr="00B03B51">
        <w:rPr>
          <w:rStyle w:val="FootnoteReference"/>
          <w:rFonts w:ascii="Times New Roman" w:hAnsi="Times New Roman" w:cs="Times New Roman"/>
          <w:noProof/>
          <w:sz w:val="24"/>
        </w:rPr>
        <w:footnoteReference w:id="161"/>
      </w:r>
      <w:r w:rsidRPr="00B03B51">
        <w:rPr>
          <w:rFonts w:ascii="Times New Roman" w:hAnsi="Times New Roman" w:cs="Times New Roman"/>
          <w:sz w:val="24"/>
        </w:rPr>
        <w:t xml:space="preserve">, attiecībā uz sadali, ko veic publiskās sabiedrības, to darīt nav lielas nozīmes. Tas tā ir tāpēc, ka EKS 2010 4.56. punktā ir iekļauti īpaši noteikumi attiecībā uz publiskām sabiedrībām, kas nosaka, ka superdividendes ir lieli un neregulāri maksājumi vai maksājumi, kas pārsniedz ienākumu attiecīgajā uzskaites periodā. EKS 2010 4.55. punktā ir minēts jēdziens “sadalāmais ienākums” attiecībā uz privātām sabiedrībām, savukārt 4.56. punktā ir minēts jēdziens “uzņēmējdarbības ienākums” attiecībā uz publiskām sabiedrībām. Visticamāk, ir paredzēts, ka tie abi ietver vienu principu un praksi, nevis šajā ziņā būtiski nošķir publiskās un privātās sabiedrības. Tāpēc skaidrības labad, norādot šo jēdzienu, turpmāk tekstā tiks izmantots termins “sadalāmais/uzņēmējdarbības ienākums”. Statistikas veidotājiem, vērtējot valdības saņemtās dividendes, ir jāizvērtē nepieciešamās korekcijas, </w:t>
      </w:r>
      <w:r w:rsidRPr="00B03B51">
        <w:rPr>
          <w:rFonts w:ascii="Times New Roman" w:hAnsi="Times New Roman" w:cs="Times New Roman"/>
          <w:sz w:val="24"/>
        </w:rPr>
        <w:lastRenderedPageBreak/>
        <w:t>pamatojoties uz izmantoto ienākumu.</w:t>
      </w:r>
    </w:p>
    <w:p w14:paraId="2B7D7DF1"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08554C03"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10. EKS 2010 20.206.–20.207. punktā noteiktais “superdividenžu tests” ir jāpiemēro attiecībā uz visiem lielajiem maksājumiem, kas ievērojami atšķiras no parastajām dividenžu summām un/vai kuriem ir neparasti augsta dividenžu izmaksu attiecība (kas nozīmē, ka dividenžu attiecība proporcionāli neatbilst vidējiem sadalāmajiem ienākumiem, kas gūti nesenā pagātnē). Kā īpašuma ienākumus var ierakstīt tikai to daļu, kas ir vienāda ar sadalāmajiem/uzņēmējdarbības ienākumiem. Pārsnieguma summa jāieraksta kā darījums ar pašu kapitālu (F.5). Šis ieteikums attiecas uz visām sabiedrībām, tostarp centrālo banku, lai arī attiecībā uz šo īpašo gadījumu EKS 2010 20.217. punktā sadalāmais/uzņēmējdarbības ienākums ir aizstāts ar neto darbības ienākumu.</w:t>
      </w:r>
    </w:p>
    <w:p w14:paraId="4B51D12D"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1CD28D22"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11. Gadījumā, ja maksājumus ir veicis kontrolakciju subjekts</w:t>
      </w:r>
      <w:r w:rsidRPr="00B03B51">
        <w:rPr>
          <w:rStyle w:val="FootnoteReference"/>
          <w:rFonts w:ascii="Times New Roman" w:hAnsi="Times New Roman" w:cs="Times New Roman"/>
          <w:noProof/>
          <w:sz w:val="24"/>
        </w:rPr>
        <w:footnoteReference w:id="162"/>
      </w:r>
      <w:r w:rsidRPr="00B03B51">
        <w:rPr>
          <w:rFonts w:ascii="Times New Roman" w:hAnsi="Times New Roman" w:cs="Times New Roman"/>
          <w:sz w:val="24"/>
        </w:rPr>
        <w:t>, dažkārt ir grūti noteikt šīs vienības sadalāmo/uzņēmējdarbības ienākumu, jo tās uzņēmējdarbības kontos deklarēto ienākumu lielā mērā var veidot dividendes, kas saņemtas no meitasuzņēmumiem. Šīs dividendes nav uzskatāmas par mātes/kontrolakciju subjekta darbības ienākumu tīri to formas dēļ (dividendes), jo var gadīties, ka meitasuzņēmumi ir izmaksājuši dividendes, kas pārsniedz pašu sadalāmo/uzņēmējdarbības ienākumu (piemēram, aktīvu vai uzņēmuma pārvērtēšanas vai realizācijas dēļ). Šis jautājums ir piemērojams visām sabiedrībām, kurām ir meitasuzņēmumi. Tas nozīmē, ka ir rūpīgi jāanalizē katras grupā iekļautās vienības finanšu pārskati, kas var būt laikietilpīgi un ko ir grūti skaitliski novērtēt. Pragmatisks risinājums statistikas veidotājiem tādējādi būtu izmantot konsolidētos kontus, kas palīdz atklāt (būtiskus) neparastus meitasuzņēmumu darījumus. Ievērojot šo pieeju, statistikas veidotājiem ir jāizmanto auditēti/konsolidēti konti un tie konsekventi visu laiku jāpiemēro visiem maksājumiem, ko veikušas attiecīgās kontrolakciju sabiedrības.</w:t>
      </w:r>
    </w:p>
    <w:p w14:paraId="547D0666"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5B6B67F8"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12. Ja kontrolakciju subjektu klasificē valdības sektorā, tā [ienākuma] sadali akcionāriem parasti uzskata par D.73 (kārtējie pārvedumi vispārējās valdības sektorā), ja vien (izņēmuma gadījumos) kontrolakciju subjekta pašu kapitāla daļa nav skaidri parādīta finanšu kontos (nevis atmesta). Pēdējais minētais gadījums var būt jo īpaši tad, ja kontrolakciju subjektam ir kādi akcionāri, kas nav klasificēti valdības sektorā.</w:t>
      </w:r>
    </w:p>
    <w:p w14:paraId="42808B08"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586287FF"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13. Iespējamais sadales veids ir akciju atpirkšanas programmas, kuras publiskās sabiedrības izmanto, lai iegādātos pašas savas akcijas ar mērķi mazināt nenomaksāto akciju skaitu. Akciju atpirkšanas programmas ekonomiski rada tādu pašu ietekmi kā dividendes. Saskaņā ar satura pār formu principu (EKS 2010 20.164. punkts) divi ekonomiski līdzīgi darījumi ir jāieraksta vienādā veidā. Tomēr EKS 2010 5.151. punktā ir norādīts, ka “akciju atpirkumu ieraksta kā finanšu darījumu, kas nodrošina naudu esošajiem akcionāriem apmaiņā pret daļu no sabiedrības emitētā pašu kapitāla. Tas nozīmē, ka naudu apmaina pret emitētā, bet neizpirktā akciju skaita samazinājumu”, un tas varētu nozīmēt, ka dividendes un akciju atpirkšanu ieraksta atšķirīgi.</w:t>
      </w:r>
    </w:p>
    <w:p w14:paraId="57083686" w14:textId="77777777" w:rsidR="00994F93" w:rsidRPr="00B03B51" w:rsidRDefault="00994F93" w:rsidP="00994F93">
      <w:pPr>
        <w:jc w:val="both"/>
        <w:rPr>
          <w:rFonts w:ascii="Times New Roman" w:eastAsia="Arial" w:hAnsi="Times New Roman" w:cs="Times New Roman"/>
          <w:noProof/>
          <w:sz w:val="24"/>
          <w:szCs w:val="15"/>
        </w:rPr>
      </w:pPr>
    </w:p>
    <w:p w14:paraId="71209A4E" w14:textId="77777777" w:rsidR="00994F93" w:rsidRPr="00B03B51" w:rsidRDefault="00994F93" w:rsidP="00994F93">
      <w:pPr>
        <w:pStyle w:val="Heading6"/>
        <w:tabs>
          <w:tab w:val="left" w:pos="1267"/>
        </w:tabs>
        <w:ind w:left="0" w:firstLine="0"/>
        <w:jc w:val="both"/>
        <w:rPr>
          <w:rFonts w:ascii="Times New Roman" w:hAnsi="Times New Roman" w:cs="Times New Roman"/>
          <w:noProof/>
          <w:sz w:val="24"/>
        </w:rPr>
      </w:pPr>
      <w:bookmarkStart w:id="256" w:name="3.5.2.2_Time_of_recording"/>
      <w:bookmarkEnd w:id="256"/>
      <w:r w:rsidRPr="00B03B51">
        <w:rPr>
          <w:rFonts w:ascii="Times New Roman" w:hAnsi="Times New Roman" w:cs="Times New Roman"/>
          <w:sz w:val="24"/>
        </w:rPr>
        <w:t>3.5.2.2. IERAKSTĪŠANAS LAIKS</w:t>
      </w:r>
    </w:p>
    <w:p w14:paraId="0ACC8432"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62F82E54"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14. EKS 2010 ir sniegti turpmāk izklāstītie norādījumi.</w:t>
      </w:r>
    </w:p>
    <w:p w14:paraId="6616473F"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7FB829F4" w14:textId="77777777" w:rsidR="00994F93" w:rsidRPr="00B03B51" w:rsidRDefault="00994F93" w:rsidP="008A7C35">
      <w:pPr>
        <w:numPr>
          <w:ilvl w:val="1"/>
          <w:numId w:val="2"/>
        </w:numPr>
        <w:ind w:left="426" w:hanging="425"/>
        <w:jc w:val="both"/>
        <w:rPr>
          <w:rFonts w:ascii="Times New Roman" w:eastAsia="Arial" w:hAnsi="Times New Roman" w:cs="Times New Roman"/>
          <w:noProof/>
          <w:sz w:val="24"/>
          <w:szCs w:val="19"/>
        </w:rPr>
      </w:pPr>
      <w:r w:rsidRPr="00B03B51">
        <w:rPr>
          <w:rFonts w:ascii="Times New Roman" w:hAnsi="Times New Roman" w:cs="Times New Roman"/>
          <w:sz w:val="24"/>
        </w:rPr>
        <w:t xml:space="preserve">Attiecībā uz dividendēm (D.421), kas saistītas ar kotētajām akcijām, EKS 2010 </w:t>
      </w:r>
      <w:r w:rsidRPr="00B03B51">
        <w:rPr>
          <w:rFonts w:ascii="Times New Roman" w:hAnsi="Times New Roman" w:cs="Times New Roman"/>
          <w:sz w:val="24"/>
        </w:rPr>
        <w:lastRenderedPageBreak/>
        <w:t xml:space="preserve">4.57. punktā ir noteikts, ka </w:t>
      </w:r>
      <w:r w:rsidRPr="00B03B51">
        <w:rPr>
          <w:rFonts w:ascii="Times New Roman" w:hAnsi="Times New Roman" w:cs="Times New Roman"/>
          <w:i/>
          <w:iCs/>
          <w:sz w:val="24"/>
        </w:rPr>
        <w:t>dividenžu ierakstīšana notiek laikā, kad akciju cenu sāk kotēt bez dividendēm, nevis par cenu, kurā ietvertas dividendes</w:t>
      </w:r>
      <w:r w:rsidRPr="00B03B51">
        <w:rPr>
          <w:rFonts w:ascii="Times New Roman" w:hAnsi="Times New Roman" w:cs="Times New Roman"/>
          <w:sz w:val="24"/>
        </w:rPr>
        <w:t>. Praksē tas ir ļoti tuvu brīdim, kad tās tiek faktiski izmaksātas akcionāriem. Nekotētu akciju gadījumā tas ir brīdis, kad dividende ir jāizmaksā.</w:t>
      </w:r>
      <w:r w:rsidRPr="00B03B51">
        <w:rPr>
          <w:rStyle w:val="FootnoteReference"/>
          <w:rFonts w:ascii="Times New Roman" w:hAnsi="Times New Roman" w:cs="Times New Roman"/>
          <w:noProof/>
          <w:sz w:val="24"/>
        </w:rPr>
        <w:footnoteReference w:id="163"/>
      </w:r>
      <w:r w:rsidRPr="00B03B51">
        <w:rPr>
          <w:rFonts w:ascii="Times New Roman" w:hAnsi="Times New Roman" w:cs="Times New Roman"/>
          <w:sz w:val="24"/>
        </w:rPr>
        <w:t xml:space="preserve"> Līdz ar to tas acīmredzami nav brīdis, kad tiek pieņemts/apstiprināts galīgais lēmums par sadali</w:t>
      </w:r>
      <w:r w:rsidRPr="00B03B51">
        <w:rPr>
          <w:rStyle w:val="FootnoteReference"/>
          <w:rFonts w:ascii="Times New Roman" w:hAnsi="Times New Roman" w:cs="Times New Roman"/>
          <w:noProof/>
          <w:sz w:val="24"/>
        </w:rPr>
        <w:footnoteReference w:id="164"/>
      </w:r>
      <w:r w:rsidRPr="00B03B51">
        <w:rPr>
          <w:rFonts w:ascii="Times New Roman" w:hAnsi="Times New Roman" w:cs="Times New Roman"/>
          <w:sz w:val="24"/>
        </w:rPr>
        <w:t>, un tas atbilst kotēto akciju bez dividenžu novērtēšanas principam.</w:t>
      </w:r>
    </w:p>
    <w:p w14:paraId="572E6F53" w14:textId="77777777" w:rsidR="00994F93" w:rsidRPr="00B03B51" w:rsidRDefault="00994F93" w:rsidP="008A7C35">
      <w:pPr>
        <w:pStyle w:val="BodyText"/>
        <w:numPr>
          <w:ilvl w:val="1"/>
          <w:numId w:val="2"/>
        </w:numPr>
        <w:spacing w:before="0"/>
        <w:ind w:left="426" w:hanging="425"/>
        <w:jc w:val="both"/>
        <w:rPr>
          <w:rFonts w:ascii="Times New Roman" w:hAnsi="Times New Roman" w:cs="Times New Roman"/>
          <w:noProof/>
          <w:sz w:val="24"/>
        </w:rPr>
      </w:pPr>
      <w:r w:rsidRPr="00B03B51">
        <w:rPr>
          <w:rFonts w:ascii="Times New Roman" w:hAnsi="Times New Roman" w:cs="Times New Roman"/>
          <w:sz w:val="24"/>
        </w:rPr>
        <w:t>Attiecībā uz atvilkumiem no kvazisabiedrību ienākuma (D.422) EKS 2010 4.62. punktā ir noteikts, ka ierakstīšanas laiks ir tad, “kad tos veic īpašnieki”. Līdz ar to tie tiek ierakstīti saskaņā ar naudas plūsmas principu.</w:t>
      </w:r>
    </w:p>
    <w:p w14:paraId="2B719C65" w14:textId="77777777" w:rsidR="00994F93" w:rsidRPr="00B03B51" w:rsidRDefault="00994F93" w:rsidP="00994F93">
      <w:pPr>
        <w:jc w:val="both"/>
        <w:rPr>
          <w:rFonts w:ascii="Times New Roman" w:eastAsia="Arial" w:hAnsi="Times New Roman" w:cs="Times New Roman"/>
          <w:noProof/>
          <w:sz w:val="24"/>
          <w:szCs w:val="16"/>
        </w:rPr>
      </w:pPr>
    </w:p>
    <w:p w14:paraId="40898EFB" w14:textId="77777777" w:rsidR="00994F93" w:rsidRPr="00B03B51" w:rsidRDefault="00994F93" w:rsidP="00994F93">
      <w:pPr>
        <w:pStyle w:val="Heading6"/>
        <w:tabs>
          <w:tab w:val="left" w:pos="1267"/>
        </w:tabs>
        <w:ind w:left="0" w:firstLine="0"/>
        <w:jc w:val="both"/>
        <w:rPr>
          <w:rFonts w:ascii="Times New Roman" w:hAnsi="Times New Roman" w:cs="Times New Roman"/>
          <w:noProof/>
          <w:sz w:val="24"/>
        </w:rPr>
      </w:pPr>
      <w:bookmarkStart w:id="257" w:name="3.5.2.3_The_case_of_interim_dividends"/>
      <w:bookmarkEnd w:id="257"/>
      <w:r w:rsidRPr="00B03B51">
        <w:rPr>
          <w:rFonts w:ascii="Times New Roman" w:hAnsi="Times New Roman" w:cs="Times New Roman"/>
          <w:sz w:val="24"/>
        </w:rPr>
        <w:t>3.5.2.3. STARPPERIODA DIVIDENŽU GADĪJUMS</w:t>
      </w:r>
    </w:p>
    <w:p w14:paraId="783F072D"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25033AF1"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15. Iepriekš jau tika minēts, ka “starpperioda dividende” attiecas uz gadījumu, kad sabiedrība veic maksājumu akcionāram pārskata gadā, pirms galīgo sabiedrības gada rezultātu uzzināšanas. Informācija par tām ir sniegta EKS 2010 20.207. punktā.</w:t>
      </w:r>
    </w:p>
    <w:p w14:paraId="07F8F11E"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7446BCE6"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16. Parasti atbilstīgi superdividendēm starpposma maksājumus, ko publiskas sabiedrības, tostarp centrālā banka, veic valdībai, ir jānovērtē katrā atsevišķā gadījumā, lai noteiktu, vai tie ir ierakstīti kā īpašuma ienākums vai kā finanšu avansi.</w:t>
      </w:r>
    </w:p>
    <w:p w14:paraId="58C9BBD0"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4E3708EE"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17. Starpposma dividenžu maksājums nacionālajos kontos ir ierakstīts kā īpašuma ienākums (D.42), ja tiek izpildīti divi nosacījumi. Pirmkārt, izmaksātās dividendes summa ir noteikta, pamatojoties uz publiski pieejamiem pārskatiem par īsiem laika posmiem, kas ietver vismaz divus ceturkšņus (līdz ar to jābūt pierādījumiem, ka dividendes ir iespējams finansēt no sadalāmā/uzņēmējdarbības ienākuma (vai no darbības pārpalikuma uzņēmuma grāmatvedībā kā tuvinājuma)). Otrkārt, starpposma dividendei ir jāatbilst iepriekšējos gados novērotajai dividenžu sadalei, ņemot vērā uzņēmuma ienesīguma tendences.</w:t>
      </w:r>
    </w:p>
    <w:p w14:paraId="305E81A8"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34A0D2CA"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18. Ja neviens no šiem nosacījumiem nav izpildīts, starpposma maksājums jāieraksta kā finanšu avanss (attiecībā uz valdību F.8 pozīcijā “citas kreditoru saistības”). Tādējādi, piemērojot “superdividenžu testu”, visas dividendes nacionālajos kontos ieraksta kā īpašuma ienākumu (D.42) tikai tad, kad akcionāriem ir nodota pēdējā dividende, kas notiek tikai pēc tam, kad ir skaidri zināmi sabiedrības gada darbības rezultāti (nākamajā gadā).</w:t>
      </w:r>
    </w:p>
    <w:p w14:paraId="18C3512C" w14:textId="77777777" w:rsidR="00994F93" w:rsidRPr="00B03B51" w:rsidRDefault="00994F93" w:rsidP="00994F93">
      <w:pPr>
        <w:jc w:val="both"/>
        <w:rPr>
          <w:rFonts w:ascii="Times New Roman" w:hAnsi="Times New Roman" w:cs="Times New Roman"/>
          <w:noProof/>
          <w:sz w:val="24"/>
        </w:rPr>
      </w:pPr>
    </w:p>
    <w:p w14:paraId="180DCAE5" w14:textId="77777777" w:rsidR="00994F93" w:rsidRPr="00B03B51" w:rsidRDefault="00994F93" w:rsidP="00994F93">
      <w:pPr>
        <w:pStyle w:val="Heading6"/>
        <w:tabs>
          <w:tab w:val="left" w:pos="1267"/>
        </w:tabs>
        <w:ind w:left="0" w:firstLine="0"/>
        <w:jc w:val="both"/>
        <w:rPr>
          <w:rFonts w:ascii="Times New Roman" w:hAnsi="Times New Roman" w:cs="Times New Roman"/>
          <w:noProof/>
          <w:sz w:val="24"/>
        </w:rPr>
      </w:pPr>
      <w:bookmarkStart w:id="258" w:name="3.5.2.4_Rules_to_orecord_and_partition_t"/>
      <w:bookmarkEnd w:id="258"/>
      <w:r w:rsidRPr="00B03B51">
        <w:rPr>
          <w:rFonts w:ascii="Times New Roman" w:hAnsi="Times New Roman" w:cs="Times New Roman"/>
          <w:sz w:val="24"/>
        </w:rPr>
        <w:t>3.5.2.4. NOTEIKUMI PAR DARĪJUMA IERAKSTĪŠANU UN SADALĪŠANU</w:t>
      </w:r>
    </w:p>
    <w:p w14:paraId="642D78B9"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3F7D40A0"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19. Lai pieņemtu lēmumu par to, kā sadalīt starpposma dividendes starp dividendēm un finanšu komponentiem, sadalīto summu salīdzina ar sadalāmo/uzņēmējdarbības ienākumu (kas praksē ir darbības pārpalikums) par laika posmu no pārskata gada sākumā līdz brīdim, kad tas tika paziņots. Ja šie ienākumi ir lielāki par sadalīto summu, visu summu ieraksta kā dividendes. Jebkuru sadales pārsniegumu virs sadalāmā/uzņēmējdarbības ienākuma, kas jau ir publicēts pārskatos</w:t>
      </w:r>
      <w:r w:rsidRPr="00B03B51">
        <w:rPr>
          <w:rStyle w:val="FootnoteReference"/>
          <w:rFonts w:ascii="Times New Roman" w:hAnsi="Times New Roman" w:cs="Times New Roman"/>
          <w:noProof/>
          <w:sz w:val="24"/>
        </w:rPr>
        <w:footnoteReference w:id="165"/>
      </w:r>
      <w:r w:rsidRPr="00B03B51">
        <w:rPr>
          <w:rFonts w:ascii="Times New Roman" w:hAnsi="Times New Roman" w:cs="Times New Roman"/>
          <w:sz w:val="24"/>
        </w:rPr>
        <w:t xml:space="preserve">, ieraksta kā citas valdības kreditoru saistības, kamēr tiek gaidīti galīgie gada </w:t>
      </w:r>
      <w:r w:rsidRPr="00B03B51">
        <w:rPr>
          <w:rFonts w:ascii="Times New Roman" w:hAnsi="Times New Roman" w:cs="Times New Roman"/>
          <w:sz w:val="24"/>
        </w:rPr>
        <w:lastRenderedPageBreak/>
        <w:t>rezultāti. Galīgajā novērtēšanā šī plūsma tiks konvertēta vai nu dividendēs, vai arī pašu kapitāla izņemšanā (superdividenžu gadījumā).</w:t>
      </w:r>
    </w:p>
    <w:p w14:paraId="432517C9"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010E55D0"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20. Vispārīgā pieeja galīgo dividenžu vai superdividenžu sadalīšanai starp dividendēm un finanšu komponentiem paredz, ka tiek salīdzināts sadalāmais/uzņēmējdarbības ienākums (kas praksē ir darbības pārpalikums) par attiecīgo laika posmu, atskaitot visas summas, kuras ir ierakstītas kā dividendes saistībā ar starpperioda dividendēm, kas ir izmaksātas kopš brīža, kad tika izmaksātas pēdējās gada dividendes.</w:t>
      </w:r>
    </w:p>
    <w:p w14:paraId="1DFEAD3C"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4E4891C4"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21. Ja sadalāmais/uzņēmējdarbības ienākums pārsniedz sadalīto summu, visu summu ieraksta kā dividendes. Jebkuru sadales pārsniegumu virs saistītā sadalāmā/uzņēmējdarbības ienākuma ieraksta kā pašu kapitāla izņemšanu. Tā kā galīgās dividendes parasti ir saistītas ar ienākumiem, kas gūti sabiedrības pārskata gadā pirms maksājuma veikšanas, tas ir atbilstošais sadalāmā/uzņēmējdarbības ienākuma periods.</w:t>
      </w:r>
    </w:p>
    <w:p w14:paraId="510CEFAB" w14:textId="77777777" w:rsidR="00994F93" w:rsidRPr="00B03B51" w:rsidRDefault="00994F93" w:rsidP="00994F93">
      <w:pPr>
        <w:jc w:val="both"/>
        <w:rPr>
          <w:rFonts w:ascii="Times New Roman" w:eastAsia="Arial" w:hAnsi="Times New Roman" w:cs="Times New Roman"/>
          <w:noProof/>
          <w:sz w:val="24"/>
          <w:szCs w:val="18"/>
        </w:rPr>
      </w:pPr>
    </w:p>
    <w:p w14:paraId="78536502" w14:textId="77777777" w:rsidR="00994F93" w:rsidRPr="00B03B51" w:rsidRDefault="00994F93" w:rsidP="00994F93">
      <w:pPr>
        <w:pStyle w:val="Heading3"/>
        <w:tabs>
          <w:tab w:val="left" w:pos="1267"/>
        </w:tabs>
        <w:ind w:left="0" w:firstLine="0"/>
        <w:jc w:val="both"/>
        <w:rPr>
          <w:rFonts w:ascii="Times New Roman" w:hAnsi="Times New Roman" w:cs="Times New Roman"/>
          <w:noProof/>
          <w:sz w:val="24"/>
        </w:rPr>
      </w:pPr>
      <w:bookmarkStart w:id="259" w:name="3.5.3_Rationale_of_the_treatment"/>
      <w:bookmarkStart w:id="260" w:name="_Toc67565104"/>
      <w:bookmarkEnd w:id="259"/>
      <w:r w:rsidRPr="00B03B51">
        <w:rPr>
          <w:rFonts w:ascii="Times New Roman" w:hAnsi="Times New Roman" w:cs="Times New Roman"/>
          <w:sz w:val="24"/>
        </w:rPr>
        <w:t>3.5.3. Traktējuma pamatojums</w:t>
      </w:r>
      <w:bookmarkEnd w:id="260"/>
    </w:p>
    <w:p w14:paraId="32570187"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4EE25F00"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22. Pamatojums tam, ka sadale tiek ierakstīta kā dividendes, ir tas, ka šādai sadalei jāizriet no sabiedrības sadalāmā/uzņēmējdarbības ienākuma, kas uzkrāts periodā, uz kuru attiecas minētās dividendes. Šādā gadījumā pastāv cieša saistība starp dividenžu maksājumu un sabiedrības uzkrātajiem (kārtējiem) ienākumiem.</w:t>
      </w:r>
    </w:p>
    <w:p w14:paraId="5D635D5D"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480194DF"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23. Pamatojums tam, ka superdividendes tiek ierakstītas kā finanšu darījumi, ir tas, ka superdividendes pēc būtības atšķiras no dividendēm, proti, dividendes atbilst ienākuma sadalei, savukārt superdividendes atbilst sabiedrības bagātības sadalei, samazinot sabiedrības pašu līdzekļus. Ja tiek veikti lieli maksājumi no uzkrātajām rezervēm, nepastāv nekāda saistība ar ienākumiem, ko sabiedrība ir uzkrājusi attiecīgajā pārskata gadā. Nacionālajos kontos kā īpašuma ienākumus (D.42) var sadalīt tikai sadalāmo/uzņēmējdarbības ienākumu.</w:t>
      </w:r>
    </w:p>
    <w:p w14:paraId="7FB911EA"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79F13537"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24. Iespēja ierakstīt starpposma dividendes kā īpašuma ienākumu pamatojama ar to, ka noteiktos apstākļos, pamatojoties uz atsevišķiem kritērijiem (novērotie ienākumi, sadales attiecība un sabiedrības ieņēmumu pieauguma tendence), starpposma maksājumu var uzskatīt par uzkrātā ienākuma pārvedumu. Šajā gadījumā īpašuma ienākuma ierakstīšana, pirms ir zināmi gada rezultāti, nav pretrunā statistikas un grāmatvedības pamatnoteikumiem.</w:t>
      </w:r>
    </w:p>
    <w:p w14:paraId="35937EE2"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76778056"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25. Ja starpposma maksājuma veikšanas brīdī nav izpildīti dividenžu ierakstīšanas kritēriji un nosacījumi, šo maksājumu ieraksta kā finanšu avansu, atsaucoties uz EKS 2010 5.240. punktu, proti, citas debitoru/kreditoru saistības, izņemot tirdzniecības kredītus un avansus (F.89), ir “finanšu prasības, ko rada laika starpības starp sadales darījumiem (..) un atbilstošo maksājumu”. Dividendes ir minētas kā piemērs 5.241. punktā. Finanšu avansa ierakstīšanas pamatojums ir šāds – kamēr nav skaidri zināmi gada rezultāti un sadalāmais/uzņēmējdarbības ienākums, pastāv risks, ka maksājums var būt lielāks par sadalāmo/uzņēmējdarbības ienākumu, kas tādējādi ietver superdividenžu elementu.</w:t>
      </w:r>
    </w:p>
    <w:p w14:paraId="61835415" w14:textId="77777777" w:rsidR="00994F93" w:rsidRPr="00B03B51" w:rsidRDefault="00994F93" w:rsidP="00994F93">
      <w:pPr>
        <w:rPr>
          <w:rFonts w:ascii="Times New Roman" w:eastAsia="Arial" w:hAnsi="Times New Roman" w:cs="Times New Roman"/>
          <w:noProof/>
          <w:sz w:val="24"/>
          <w:szCs w:val="20"/>
        </w:rPr>
      </w:pPr>
      <w:r w:rsidRPr="00B03B51">
        <w:rPr>
          <w:rFonts w:ascii="Times New Roman" w:hAnsi="Times New Roman" w:cs="Times New Roman"/>
        </w:rPr>
        <w:br w:type="page"/>
      </w:r>
    </w:p>
    <w:p w14:paraId="063D98C0" w14:textId="77777777" w:rsidR="00994F93" w:rsidRPr="00B03B51" w:rsidRDefault="00994F93" w:rsidP="00994F93">
      <w:pPr>
        <w:jc w:val="both"/>
        <w:rPr>
          <w:rFonts w:ascii="Times New Roman" w:hAnsi="Times New Roman" w:cs="Times New Roman"/>
          <w:noProof/>
          <w:sz w:val="24"/>
        </w:rPr>
      </w:pPr>
    </w:p>
    <w:p w14:paraId="0419BF8B" w14:textId="77777777" w:rsidR="00994F93" w:rsidRPr="00B03B51" w:rsidRDefault="00994F93" w:rsidP="00994F93">
      <w:pPr>
        <w:pStyle w:val="Heading2"/>
        <w:tabs>
          <w:tab w:val="left" w:pos="1267"/>
        </w:tabs>
        <w:spacing w:before="0"/>
        <w:ind w:left="0" w:firstLine="0"/>
        <w:jc w:val="both"/>
        <w:rPr>
          <w:rFonts w:ascii="Times New Roman" w:hAnsi="Times New Roman" w:cs="Times New Roman"/>
          <w:noProof/>
          <w:sz w:val="28"/>
          <w:szCs w:val="44"/>
        </w:rPr>
      </w:pPr>
      <w:bookmarkStart w:id="261" w:name="3.6_Impact_on_government_accounts_of_tra"/>
      <w:bookmarkStart w:id="262" w:name="_bookmark26"/>
      <w:bookmarkStart w:id="263" w:name="_Toc67565105"/>
      <w:bookmarkEnd w:id="261"/>
      <w:bookmarkEnd w:id="262"/>
      <w:r w:rsidRPr="00B03B51">
        <w:rPr>
          <w:rFonts w:ascii="Times New Roman" w:hAnsi="Times New Roman" w:cs="Times New Roman"/>
          <w:sz w:val="28"/>
          <w:szCs w:val="44"/>
        </w:rPr>
        <w:t>3.6. Pensiju saistību nodošanas ietekme uz valdības kontiem</w:t>
      </w:r>
      <w:bookmarkEnd w:id="263"/>
    </w:p>
    <w:p w14:paraId="6AD5D70A" w14:textId="77777777" w:rsidR="00994F93" w:rsidRPr="00100B51" w:rsidRDefault="00994F93" w:rsidP="00100B51">
      <w:pPr>
        <w:rPr>
          <w:rFonts w:ascii="Times New Roman" w:hAnsi="Times New Roman" w:cs="Times New Roman"/>
          <w:noProof/>
          <w:sz w:val="24"/>
          <w:szCs w:val="24"/>
        </w:rPr>
      </w:pPr>
      <w:bookmarkStart w:id="264" w:name="3.6.1_Background"/>
      <w:bookmarkEnd w:id="264"/>
    </w:p>
    <w:p w14:paraId="28A78688" w14:textId="77777777" w:rsidR="00994F93" w:rsidRPr="00B03B51" w:rsidRDefault="00994F93" w:rsidP="00994F93">
      <w:pPr>
        <w:pStyle w:val="Heading3"/>
        <w:tabs>
          <w:tab w:val="left" w:pos="1267"/>
        </w:tabs>
        <w:ind w:left="0" w:firstLine="0"/>
        <w:jc w:val="both"/>
        <w:rPr>
          <w:rFonts w:ascii="Times New Roman" w:hAnsi="Times New Roman" w:cs="Times New Roman"/>
          <w:noProof/>
          <w:sz w:val="24"/>
        </w:rPr>
      </w:pPr>
      <w:bookmarkStart w:id="265" w:name="_Toc67565106"/>
      <w:r w:rsidRPr="00B03B51">
        <w:rPr>
          <w:rFonts w:ascii="Times New Roman" w:hAnsi="Times New Roman" w:cs="Times New Roman"/>
          <w:sz w:val="24"/>
        </w:rPr>
        <w:t>3.6.1. Vispārīga informācija</w:t>
      </w:r>
      <w:bookmarkEnd w:id="265"/>
    </w:p>
    <w:p w14:paraId="3DE0D876"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75DD0486" w14:textId="7C79B8E6"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 xml:space="preserve">1. Šajā nodaļā apspriests vienīgi jautājums par tādu ieņēmumu ierakstīšanu, ko valdība saņem no publiskas sabiedrības un, iespējams, arī no privātas sabiedrības (un ko bieži vien dēvē par “vienreizēju </w:t>
      </w:r>
      <w:r w:rsidR="00CF2842" w:rsidRPr="00B03B51">
        <w:rPr>
          <w:rFonts w:ascii="Times New Roman" w:hAnsi="Times New Roman" w:cs="Times New Roman"/>
          <w:sz w:val="24"/>
        </w:rPr>
        <w:t>maksājumu</w:t>
      </w:r>
      <w:r w:rsidRPr="00B03B51">
        <w:rPr>
          <w:rFonts w:ascii="Times New Roman" w:hAnsi="Times New Roman" w:cs="Times New Roman"/>
          <w:sz w:val="24"/>
        </w:rPr>
        <w:t>”) saistībā ar pensiju saistību nodošanu valdībai vienreizējās operācijās.</w:t>
      </w:r>
    </w:p>
    <w:p w14:paraId="3B038AD5" w14:textId="77777777" w:rsidR="00994F93" w:rsidRPr="00721944" w:rsidRDefault="00994F93" w:rsidP="00721944">
      <w:pPr>
        <w:rPr>
          <w:rFonts w:ascii="Times New Roman" w:hAnsi="Times New Roman" w:cs="Times New Roman"/>
          <w:noProof/>
          <w:sz w:val="24"/>
          <w:szCs w:val="24"/>
        </w:rPr>
      </w:pPr>
      <w:bookmarkStart w:id="266" w:name="3.6.1.1_Employers’_pension_schemes(166)"/>
      <w:bookmarkEnd w:id="266"/>
    </w:p>
    <w:p w14:paraId="11F1D47D" w14:textId="77777777" w:rsidR="00994F93" w:rsidRPr="00B03B51" w:rsidRDefault="00994F93" w:rsidP="00994F93">
      <w:pPr>
        <w:pStyle w:val="Heading6"/>
        <w:tabs>
          <w:tab w:val="left" w:pos="1267"/>
        </w:tabs>
        <w:ind w:left="0" w:firstLine="0"/>
        <w:jc w:val="both"/>
        <w:rPr>
          <w:rFonts w:ascii="Times New Roman" w:hAnsi="Times New Roman" w:cs="Times New Roman"/>
          <w:b w:val="0"/>
          <w:bCs w:val="0"/>
          <w:noProof/>
          <w:sz w:val="24"/>
          <w:szCs w:val="14"/>
        </w:rPr>
      </w:pPr>
      <w:r w:rsidRPr="00B03B51">
        <w:rPr>
          <w:rFonts w:ascii="Times New Roman" w:hAnsi="Times New Roman" w:cs="Times New Roman"/>
          <w:sz w:val="24"/>
        </w:rPr>
        <w:t>3.6.1.1. DARBA DEVĒJU PENSIJU SHĒMAS</w:t>
      </w:r>
      <w:r w:rsidRPr="00B03B51">
        <w:rPr>
          <w:rStyle w:val="FootnoteReference"/>
          <w:rFonts w:ascii="Times New Roman" w:hAnsi="Times New Roman" w:cs="Times New Roman"/>
          <w:noProof/>
          <w:sz w:val="24"/>
        </w:rPr>
        <w:footnoteReference w:id="166"/>
      </w:r>
    </w:p>
    <w:p w14:paraId="0571815A" w14:textId="77777777" w:rsidR="00994F93" w:rsidRPr="00B03B51" w:rsidRDefault="00994F93" w:rsidP="00994F93">
      <w:pPr>
        <w:tabs>
          <w:tab w:val="left" w:pos="843"/>
        </w:tabs>
        <w:jc w:val="both"/>
        <w:rPr>
          <w:rFonts w:ascii="Times New Roman" w:eastAsia="Arial" w:hAnsi="Times New Roman" w:cs="Times New Roman"/>
          <w:noProof/>
          <w:sz w:val="24"/>
          <w:szCs w:val="19"/>
        </w:rPr>
      </w:pPr>
    </w:p>
    <w:p w14:paraId="6E7C072D" w14:textId="20A80231" w:rsidR="00994F93" w:rsidRPr="00B03B51" w:rsidRDefault="00994F93" w:rsidP="00994F93">
      <w:pPr>
        <w:tabs>
          <w:tab w:val="left" w:pos="843"/>
        </w:tabs>
        <w:jc w:val="both"/>
        <w:rPr>
          <w:rFonts w:ascii="Times New Roman" w:eastAsia="Arial" w:hAnsi="Times New Roman" w:cs="Times New Roman"/>
          <w:noProof/>
          <w:sz w:val="24"/>
          <w:szCs w:val="19"/>
        </w:rPr>
      </w:pPr>
      <w:r w:rsidRPr="00B03B51">
        <w:rPr>
          <w:rFonts w:ascii="Times New Roman" w:hAnsi="Times New Roman" w:cs="Times New Roman"/>
          <w:sz w:val="24"/>
          <w:szCs w:val="19"/>
        </w:rPr>
        <w:t xml:space="preserve">2. Vairākās ES dalībvalstīs institucionālas vienības, tostarp publiskas sabiedrības un valdība, drīkst veidot pensiju shēmas, kas paredzētas vienīgi to darbiniekiem. EKS 2010 4.89. punkta b) apakšpunktā noteikts, ka šīs ir otrā veida sociālās apdrošināšanas shēmas: </w:t>
      </w:r>
      <w:r w:rsidRPr="00B03B51">
        <w:rPr>
          <w:rFonts w:ascii="Times New Roman" w:hAnsi="Times New Roman" w:cs="Times New Roman"/>
          <w:i/>
          <w:sz w:val="24"/>
          <w:szCs w:val="19"/>
        </w:rPr>
        <w:t>Otrā veida shēmas veido citas ar nodarbinātību saistītas shēmas. Šādas shēmas rodas darba devēja un darba ņēmēja attiecību rezultātā, nodrošinot pensiju un varbūtējas citas tiesības, kas ir daļa no nodarbinātības nosacījumiem, un ja atbildība par pabalstu nodrošināšanu netiek nodota vispārējai valdībai saskaņā ar sociālā nodrošinā</w:t>
      </w:r>
      <w:r w:rsidR="00C0571D" w:rsidRPr="00B03B51">
        <w:rPr>
          <w:rFonts w:ascii="Times New Roman" w:hAnsi="Times New Roman" w:cs="Times New Roman"/>
          <w:i/>
          <w:sz w:val="24"/>
          <w:szCs w:val="19"/>
        </w:rPr>
        <w:t>juma</w:t>
      </w:r>
      <w:r w:rsidRPr="00B03B51">
        <w:rPr>
          <w:rFonts w:ascii="Times New Roman" w:hAnsi="Times New Roman" w:cs="Times New Roman"/>
          <w:i/>
          <w:sz w:val="24"/>
          <w:szCs w:val="19"/>
        </w:rPr>
        <w:t xml:space="preserve"> noteikumiem</w:t>
      </w:r>
      <w:r w:rsidRPr="00B03B51">
        <w:rPr>
          <w:rFonts w:ascii="Times New Roman" w:hAnsi="Times New Roman" w:cs="Times New Roman"/>
          <w:sz w:val="24"/>
          <w:szCs w:val="19"/>
        </w:rPr>
        <w:t>. Saskaņā ar EKS 2010 šāda atbildība tiek uzticēta “pensiju pārvaldītājam” (“sponsoram” saskaņā ar EKS 2010), nevis “pensiju administratoram”, kurš rīkojas vienīgi minētā pārvaldītāja vārdā. Šādas shēmas var būt organizētas atsevišķi no mātesvienības (EKS 2010 2.106. punktā dēvētas par “autonomām” vai “neautonomām” pensiju shēmām), un šādos gadījumos tās ir klasificētas pensiju fondu apakšsektorā (S.129) vai pat apdrošināšanas sabiedrību apakšsektorā (S.128). Vienība tās var organizēt tieši kā atsevišķi nodalītu rezervi, vai, piemērojot uzskaites principus, tiek atzīts ekvivalents. Šajā gadījumā nacionālajos kontos tās netiek uzskatītas par institucionālām vienībām un nacionālajos kontos tās tiek ierakstītas attiecīgajā vienībā.</w:t>
      </w:r>
    </w:p>
    <w:p w14:paraId="272C2D01"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64C74951" w14:textId="49C16E1D"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 xml:space="preserve">3. Nacionālajos kontos šādas darba devēju pensiju shēmas netiek traktētas kā sociālā </w:t>
      </w:r>
      <w:r w:rsidR="0002159B" w:rsidRPr="00B03B51">
        <w:rPr>
          <w:rFonts w:ascii="Times New Roman" w:hAnsi="Times New Roman" w:cs="Times New Roman"/>
          <w:sz w:val="24"/>
        </w:rPr>
        <w:t>no</w:t>
      </w:r>
      <w:r w:rsidRPr="00B03B51">
        <w:rPr>
          <w:rFonts w:ascii="Times New Roman" w:hAnsi="Times New Roman" w:cs="Times New Roman"/>
          <w:sz w:val="24"/>
        </w:rPr>
        <w:t>droš</w:t>
      </w:r>
      <w:r w:rsidR="008D5B54" w:rsidRPr="00B03B51">
        <w:rPr>
          <w:rFonts w:ascii="Times New Roman" w:hAnsi="Times New Roman" w:cs="Times New Roman"/>
          <w:sz w:val="24"/>
        </w:rPr>
        <w:t>inājuma</w:t>
      </w:r>
      <w:r w:rsidRPr="00B03B51">
        <w:rPr>
          <w:rFonts w:ascii="Times New Roman" w:hAnsi="Times New Roman" w:cs="Times New Roman"/>
          <w:sz w:val="24"/>
        </w:rPr>
        <w:t xml:space="preserve"> shēmas, t. i., iemaksu (darba devēju un/vai darba ņēmēju) un pensiju pabalstu plūsmas nav daļa no valdības ieņēmumiem vai izdevumiem. Līdz ar to plūsmas un uzkrājumi tiek iekļauti pensiju fonda apakšsektorā, dzīvības apdrošinātāja apakšsektorā vai sektorā, kurā klasificēts darba devējs, kas organizē/pārvalda shēmu (sektors S.11 attiecībā uz nefinanšu sabiedrībām vai sektors S.12 attiecībā uz finanšu sabiedrībām). Sabiedrības, kuras organizē shēmu, var būt publiskas vai privātas sabiedrības.</w:t>
      </w:r>
    </w:p>
    <w:p w14:paraId="4C548CFB"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62B149E1"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4. Ja shēma ir klasificēta apakšsektorā S.129 vai S.128, tā saskaņā ar definīciju ir fondēta shēma. Ja shēma ir klasificēta darba devēju sektorā, tā var būt fondēta vai nefondēta shēma.</w:t>
      </w:r>
    </w:p>
    <w:p w14:paraId="466C2EA1"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3F45B3ED"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5. Darba devēja shēma ir fondēta shēma, ja darba devējs izveido atsevišķi nodalītu rezervi savā bilancē (neatkarīgi no tā, vai darba devējs šādi rīkojas tiesisku saistību, īpašu noteikumu, līgumsaistību vai grāmatvedības standartu dēļ vai brīvprātīgi), kas atspoguļo pensiju saistības (atbilstīgi uzkrāšanas principam) attiecībā pret saņēmējiem. Šī rezerve un ar to saistītie, noteiktam mērķim paredzētie aktīvi nodrošina būtisku saņēmēju pensiju tiesību aizsardzību; tas jo īpaši attiecas uz darba devēja apvienošanas vai bankrota gadījumiem (tā tiek uzskatīta par saņēmēju īpašumu).</w:t>
      </w:r>
    </w:p>
    <w:p w14:paraId="701451FA"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5699DD94"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 xml:space="preserve">6. Nefondēta darba devēju pensiju shēma ir tāda shēma, kurā aktīvi netiek turēti ar konkrētu </w:t>
      </w:r>
      <w:r w:rsidRPr="00B03B51">
        <w:rPr>
          <w:rFonts w:ascii="Times New Roman" w:hAnsi="Times New Roman" w:cs="Times New Roman"/>
          <w:sz w:val="24"/>
        </w:rPr>
        <w:lastRenderedPageBreak/>
        <w:t>mērķi izpildīt pensiju saistības. Šādas shēmas bieži vien tiek dēvētas arī par “paaudžu solidaritātes” (</w:t>
      </w:r>
      <w:r w:rsidRPr="00B03B51">
        <w:rPr>
          <w:rFonts w:ascii="Times New Roman" w:hAnsi="Times New Roman" w:cs="Times New Roman"/>
          <w:i/>
          <w:iCs/>
          <w:sz w:val="24"/>
        </w:rPr>
        <w:t>PAYG</w:t>
      </w:r>
      <w:r w:rsidRPr="00B03B51">
        <w:rPr>
          <w:rFonts w:ascii="Times New Roman" w:hAnsi="Times New Roman" w:cs="Times New Roman"/>
          <w:sz w:val="24"/>
        </w:rPr>
        <w:t>) shēmām. Šādās shēmās pensiju pabalsti, kas jāizmaksā konkrētajā gadā, tiek finansēti no tajā pašā gadā uzkrātajām iemaksām un iespējamiem papildu maksājumiem. Vismaz dažu sabiedrību gadījumā (jo īpaši to, kuras ir kotētas biržā) uzņēmējdarbības pārskatos ir jābūt atzītām saistībām, tostarp tām, kuras ir uzkrājuma formā (ņemot vērā, ka maksājuma veikšana tiek uzskatīta par neizbēgamu). Citos gadījumos tā var būt vienīgi papildu informācija, kas tiek sniegta sabiedrības gada pārskatā. EKS 2010 pamatkontos atzīst darba devēju pensiju shēmu pensiju saistības S.11 un S.12 sektorā.</w:t>
      </w:r>
    </w:p>
    <w:p w14:paraId="67D6570C"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24D650DC"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7. Pensiju saistības attiecībā pret saņēmējiem EKS 2010 tiek ierakstītas kā pensiju tiesības (AF.63). Ja darba devēja shēmā nav pietiekami daudz līdzekļu, darba devēja saistības attiecībā pret pensiju administratoru tiek ierakstītas kā “pensiju fondu prasības pret pensiju pārvaldītājiem” (AF.64), bet tikai tad, ja shēma nav ierakstīta attiecīgā darba devēja sektorā, sedzot iztrūkumu, kas pastāv starp saistību pret saņēmējiem pašreizējām vērtībām, kas ierakstītas kā AF.63, un īpašam nolūkam paredzētiem aktīviem. Jāatceras, ka noteiktu pabalstu fondētās shēmas gadījumā (pensijas tiek noteiktas saskaņā ar formulu, kurā tās tiek saistītas ar algu) šīs saistības tiek noteiktas kā darba devēja neizmaksāto pensiju neto saistību pašreizējā vērtība. Noteiktu iemaksu shēmu gadījumā neizmaksāto pensiju saistību vērtība atbilst ieguldījumu tirgus vērtībai, jo šajā gadījumā pārvaldītājs parasti neuzņemas nekādu risku attiecībā uz pensiju saistībām un līdz ar to nebūtu atbilstoši attiecībā uz darba devēju, kurš veic pārvaldītāja funkcijas, ierakstīt AF.63 saistības.</w:t>
      </w:r>
    </w:p>
    <w:p w14:paraId="4CE8D82B" w14:textId="77777777" w:rsidR="00994F93" w:rsidRPr="00B03B51" w:rsidRDefault="00994F93" w:rsidP="00994F93">
      <w:pPr>
        <w:jc w:val="both"/>
        <w:rPr>
          <w:rFonts w:ascii="Times New Roman" w:eastAsia="Arial" w:hAnsi="Times New Roman" w:cs="Times New Roman"/>
          <w:noProof/>
          <w:sz w:val="24"/>
          <w:szCs w:val="15"/>
        </w:rPr>
      </w:pPr>
    </w:p>
    <w:p w14:paraId="1BB9D811" w14:textId="77777777" w:rsidR="00994F93" w:rsidRPr="00B03B51" w:rsidRDefault="00994F93" w:rsidP="00994F93">
      <w:pPr>
        <w:pStyle w:val="Heading6"/>
        <w:tabs>
          <w:tab w:val="left" w:pos="1267"/>
        </w:tabs>
        <w:ind w:left="0" w:firstLine="0"/>
        <w:jc w:val="both"/>
        <w:rPr>
          <w:rFonts w:ascii="Times New Roman" w:hAnsi="Times New Roman" w:cs="Times New Roman"/>
          <w:noProof/>
          <w:sz w:val="24"/>
        </w:rPr>
      </w:pPr>
      <w:bookmarkStart w:id="267" w:name="3.6.1.2_Transfer_of_employers’_pension_o"/>
      <w:bookmarkEnd w:id="267"/>
      <w:r w:rsidRPr="00B03B51">
        <w:rPr>
          <w:rFonts w:ascii="Times New Roman" w:hAnsi="Times New Roman" w:cs="Times New Roman"/>
          <w:sz w:val="24"/>
        </w:rPr>
        <w:t>3.6.1.2. DARBA DEVĒJU PENSIJU SAISTĪBU NODOŠANA VALDĪBAI</w:t>
      </w:r>
    </w:p>
    <w:p w14:paraId="43A2D3F9"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58AAE274" w14:textId="37D55B81"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 xml:space="preserve">8. Valdība dažādu iemeslu dēļ var pārņemt šīs pensiju saistības. Piemēri ir plāni attiecībā uz (pilnīgu vai daļēju) privatizāciju vai jaunu biržas kotāciju. Valdība kā publisku sabiedrību īpašniece (vai saistībā ar atbalstu privātam uzņēmumam) var vēlēties uzlabot to finanšu stāvokli, “dzēšot” saistības no to bilances. Piemēram, plānotas privatizācijas gadījumā ieguldītāji var nevēlēties pirkt tādas sabiedrības pašu kapitālu, kura ir uzņēmusies pensiju saistības, jo īpaši līdzekļu nepietiekamības gadījumā (kad shēmas aktīvu vērtība ir zemāka par to saistību vērtību un darba devējs ir uzņēmies segt iztrūkumu). Privātas sabiedrības gadījumā iemesls var būt arī uzlabot sabiedrības situāciju un, iespējams, arī paplašināt sociālā </w:t>
      </w:r>
      <w:r w:rsidR="008D5B54" w:rsidRPr="00B03B51">
        <w:rPr>
          <w:rFonts w:ascii="Times New Roman" w:hAnsi="Times New Roman" w:cs="Times New Roman"/>
          <w:sz w:val="24"/>
        </w:rPr>
        <w:t>no</w:t>
      </w:r>
      <w:r w:rsidRPr="00B03B51">
        <w:rPr>
          <w:rFonts w:ascii="Times New Roman" w:hAnsi="Times New Roman" w:cs="Times New Roman"/>
          <w:sz w:val="24"/>
        </w:rPr>
        <w:t>droš</w:t>
      </w:r>
      <w:r w:rsidR="008D5B54" w:rsidRPr="00B03B51">
        <w:rPr>
          <w:rFonts w:ascii="Times New Roman" w:hAnsi="Times New Roman" w:cs="Times New Roman"/>
          <w:sz w:val="24"/>
        </w:rPr>
        <w:t>inājuma</w:t>
      </w:r>
      <w:r w:rsidRPr="00B03B51">
        <w:rPr>
          <w:rFonts w:ascii="Times New Roman" w:hAnsi="Times New Roman" w:cs="Times New Roman"/>
          <w:sz w:val="24"/>
        </w:rPr>
        <w:t xml:space="preserve"> tvērumu.</w:t>
      </w:r>
    </w:p>
    <w:p w14:paraId="2EBE64AB" w14:textId="77777777" w:rsidR="00994F93" w:rsidRPr="00B03B51" w:rsidRDefault="00994F93" w:rsidP="00994F93">
      <w:pPr>
        <w:jc w:val="both"/>
        <w:rPr>
          <w:rFonts w:ascii="Times New Roman" w:eastAsia="Arial" w:hAnsi="Times New Roman" w:cs="Times New Roman"/>
          <w:noProof/>
          <w:sz w:val="24"/>
          <w:szCs w:val="15"/>
        </w:rPr>
      </w:pPr>
    </w:p>
    <w:p w14:paraId="5928B682" w14:textId="77777777" w:rsidR="00994F93" w:rsidRPr="00B03B51" w:rsidRDefault="00994F93" w:rsidP="00994F93">
      <w:pPr>
        <w:pStyle w:val="Heading6"/>
        <w:tabs>
          <w:tab w:val="left" w:pos="1267"/>
        </w:tabs>
        <w:ind w:left="0" w:firstLine="0"/>
        <w:jc w:val="both"/>
        <w:rPr>
          <w:rFonts w:ascii="Times New Roman" w:hAnsi="Times New Roman" w:cs="Times New Roman"/>
          <w:noProof/>
          <w:sz w:val="24"/>
        </w:rPr>
      </w:pPr>
      <w:bookmarkStart w:id="268" w:name="3.6.1.3_The_key_issue_in_national_accoun"/>
      <w:bookmarkEnd w:id="268"/>
      <w:r w:rsidRPr="00B03B51">
        <w:rPr>
          <w:rFonts w:ascii="Times New Roman" w:hAnsi="Times New Roman" w:cs="Times New Roman"/>
          <w:sz w:val="24"/>
        </w:rPr>
        <w:t>3.6.1.3. GALVENĀ PROBLĒMA NACIONĀLAJOS KONTOS</w:t>
      </w:r>
    </w:p>
    <w:p w14:paraId="09EE7086"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1B5F693F" w14:textId="799FC471"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 xml:space="preserve">9. Nododot pensiju saistības valdībai, sabiedrībai ir jāsamaksā (iespējams, vairākos maksājumos noteiktā laika posmā) </w:t>
      </w:r>
      <w:r w:rsidR="00C8200B" w:rsidRPr="00B03B51">
        <w:rPr>
          <w:rFonts w:ascii="Times New Roman" w:hAnsi="Times New Roman" w:cs="Times New Roman"/>
          <w:sz w:val="24"/>
        </w:rPr>
        <w:t>vienreizējs maksājums</w:t>
      </w:r>
      <w:r w:rsidRPr="00B03B51">
        <w:rPr>
          <w:rFonts w:ascii="Times New Roman" w:hAnsi="Times New Roman" w:cs="Times New Roman"/>
          <w:sz w:val="24"/>
        </w:rPr>
        <w:t xml:space="preserve"> (naudā vai citos finanšu aktīvos, piemēram, vērtspapīros</w:t>
      </w:r>
      <w:r w:rsidRPr="00B03B51">
        <w:rPr>
          <w:rStyle w:val="FootnoteReference"/>
          <w:rFonts w:ascii="Times New Roman" w:hAnsi="Times New Roman" w:cs="Times New Roman"/>
          <w:noProof/>
          <w:sz w:val="24"/>
        </w:rPr>
        <w:footnoteReference w:id="167"/>
      </w:r>
      <w:r w:rsidRPr="00B03B51">
        <w:rPr>
          <w:rFonts w:ascii="Times New Roman" w:hAnsi="Times New Roman" w:cs="Times New Roman"/>
          <w:sz w:val="24"/>
        </w:rPr>
        <w:t xml:space="preserve">), lai kompensētu valdībai atbildības uzņemšanos par pensiju apkalpošanu (gan attiecībā uz pensionētajām personām, gan turpmākajiem saņēmējiem, kuri vēl darbojas darba tirgū), ņemot vērā, ka lielākajā daļā gadījumu uz sabiedrības darba ņēmējiem tiks attiecinātas “parastās” sociālā </w:t>
      </w:r>
      <w:r w:rsidR="00FC2434" w:rsidRPr="00B03B51">
        <w:rPr>
          <w:rFonts w:ascii="Times New Roman" w:hAnsi="Times New Roman" w:cs="Times New Roman"/>
          <w:sz w:val="24"/>
        </w:rPr>
        <w:t>no</w:t>
      </w:r>
      <w:r w:rsidRPr="00B03B51">
        <w:rPr>
          <w:rFonts w:ascii="Times New Roman" w:hAnsi="Times New Roman" w:cs="Times New Roman"/>
          <w:sz w:val="24"/>
        </w:rPr>
        <w:t>droš</w:t>
      </w:r>
      <w:r w:rsidR="00FC2434" w:rsidRPr="00B03B51">
        <w:rPr>
          <w:rFonts w:ascii="Times New Roman" w:hAnsi="Times New Roman" w:cs="Times New Roman"/>
          <w:sz w:val="24"/>
        </w:rPr>
        <w:t>inājuma</w:t>
      </w:r>
      <w:r w:rsidRPr="00B03B51">
        <w:rPr>
          <w:rFonts w:ascii="Times New Roman" w:hAnsi="Times New Roman" w:cs="Times New Roman"/>
          <w:sz w:val="24"/>
        </w:rPr>
        <w:t xml:space="preserve"> shēmas saistības, pamatojoties uz </w:t>
      </w:r>
      <w:r w:rsidRPr="00B03B51">
        <w:rPr>
          <w:rFonts w:ascii="Times New Roman" w:hAnsi="Times New Roman" w:cs="Times New Roman"/>
          <w:i/>
          <w:iCs/>
          <w:sz w:val="24"/>
        </w:rPr>
        <w:t>PAYG</w:t>
      </w:r>
      <w:r w:rsidRPr="00B03B51">
        <w:rPr>
          <w:rFonts w:ascii="Times New Roman" w:hAnsi="Times New Roman" w:cs="Times New Roman"/>
          <w:sz w:val="24"/>
        </w:rPr>
        <w:t xml:space="preserve"> sistēmu. Tas nozīmē, ka ar šādu nodošanu jebkura fondēta shēma tajā pat brīdī tiktu pārveidota par nefondētu shēmu. No analītiskā viedokļa var uzskatīt, ka valdība pārņem pensiju saistības, kas tiks uzskatītas par nefondēto shēmu (EKS 2010 nav paredzētas AF.63 saistības) neatkarīgi no tās shēmas būtības, kurā šīs saistības tika atzītas. Dažas operācijas var notikt pirms nodošanas, taču tās skars vienīgi sabiedrības, mājsaimniecību, kā arī, iespējams, pensiju shēmas vai apdrošināšanas sabiedrības, kontus, taču ne valdību (skat. turpmāk). Iespējami arī gadījumi, </w:t>
      </w:r>
      <w:r w:rsidRPr="00B03B51">
        <w:rPr>
          <w:rFonts w:ascii="Times New Roman" w:hAnsi="Times New Roman" w:cs="Times New Roman"/>
          <w:sz w:val="24"/>
        </w:rPr>
        <w:lastRenderedPageBreak/>
        <w:t>kad izmaiņas notiek vienīgi fondētās shēmas pārvaldībā bez izmaiņām shēmas būtībā (t. i., tās izzušana, aizvietojot to ar nefondētu shēmu attiecībā uz tā paša līmeņa pensiju tiesībām).</w:t>
      </w:r>
    </w:p>
    <w:p w14:paraId="365561F1"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049B1C0B"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10. Kad aktīvu vērtība atbilst pensiju saistību vērtībai, tas jāuzskata par finanšu darījumu bez ietekmes uz valdības neto aizdevumu/aizņēmumu (B.9). Aktīvu pārvedums tiek līdzsvarots ar saistībām. Saskaņā ar EKS 2010 20.273.–20.275. punktu tas jāuztver kā finanšu avanss, sociālo iemaksu priekšmaksājums. Šie jaunie dalībnieki, kuri turpmāk veiks parastās iemaksas valdībai tik ilgi, kamēr būs darbspējas vecumā, ir ieguvuši tiesības uz pensijām, lai arī pirms nodošanas nav veikuši iemaksas šajā shēmā. Tas attiecas arī uz personām, kuras nodošanas laikā jau bija kļuvušas par saņēmējiem. Jāatzīmē, ka gadījumā, ja ar kompensācijas pakotni tiktu nodoti kādi nefinanšu aktīvi (piemēram, ēkas), valdības neto aizdevums/aizņēmums (B.9) tiktu ietekmēts, pieaugot bruto pamatkapitāla veidošanai.</w:t>
      </w:r>
    </w:p>
    <w:p w14:paraId="4D8F7C08" w14:textId="77777777" w:rsidR="00994F93" w:rsidRPr="00B03B51" w:rsidRDefault="00994F93" w:rsidP="00994F93">
      <w:pPr>
        <w:jc w:val="both"/>
        <w:rPr>
          <w:rFonts w:ascii="Times New Roman" w:eastAsia="Arial" w:hAnsi="Times New Roman" w:cs="Times New Roman"/>
          <w:noProof/>
          <w:sz w:val="24"/>
          <w:szCs w:val="19"/>
        </w:rPr>
      </w:pPr>
    </w:p>
    <w:p w14:paraId="149614ED" w14:textId="77777777" w:rsidR="00994F93" w:rsidRPr="00B03B51" w:rsidRDefault="00994F93" w:rsidP="00994F93">
      <w:pPr>
        <w:pStyle w:val="Heading3"/>
        <w:tabs>
          <w:tab w:val="left" w:pos="1267"/>
        </w:tabs>
        <w:ind w:left="0" w:firstLine="0"/>
        <w:jc w:val="both"/>
        <w:rPr>
          <w:rFonts w:ascii="Times New Roman" w:hAnsi="Times New Roman" w:cs="Times New Roman"/>
          <w:noProof/>
          <w:sz w:val="24"/>
        </w:rPr>
      </w:pPr>
      <w:bookmarkStart w:id="269" w:name="3.6.2_Treatment_in_national_accounts"/>
      <w:bookmarkStart w:id="270" w:name="_Toc67565107"/>
      <w:bookmarkEnd w:id="269"/>
      <w:r w:rsidRPr="00B03B51">
        <w:rPr>
          <w:rFonts w:ascii="Times New Roman" w:hAnsi="Times New Roman" w:cs="Times New Roman"/>
          <w:sz w:val="24"/>
        </w:rPr>
        <w:t>3.6.2. Traktējums nacionālajos kontos</w:t>
      </w:r>
      <w:bookmarkEnd w:id="270"/>
    </w:p>
    <w:p w14:paraId="5CAD8FA7" w14:textId="77777777" w:rsidR="00994F93" w:rsidRPr="00721944" w:rsidRDefault="00994F93" w:rsidP="00721944">
      <w:pPr>
        <w:rPr>
          <w:rFonts w:ascii="Times New Roman" w:hAnsi="Times New Roman" w:cs="Times New Roman"/>
          <w:noProof/>
          <w:sz w:val="24"/>
          <w:szCs w:val="24"/>
        </w:rPr>
      </w:pPr>
      <w:bookmarkStart w:id="271" w:name="3.6.2.1_Case_1_—_The_pension_obligations"/>
      <w:bookmarkEnd w:id="271"/>
    </w:p>
    <w:p w14:paraId="096CE56B" w14:textId="77777777" w:rsidR="00994F93" w:rsidRPr="00B03B51" w:rsidRDefault="00994F93" w:rsidP="00994F93">
      <w:pPr>
        <w:pStyle w:val="Heading6"/>
        <w:tabs>
          <w:tab w:val="left" w:pos="1267"/>
          <w:tab w:val="left" w:pos="2077"/>
          <w:tab w:val="left" w:pos="2401"/>
          <w:tab w:val="left" w:pos="2827"/>
          <w:tab w:val="left" w:pos="3467"/>
          <w:tab w:val="left" w:pos="4661"/>
          <w:tab w:val="left" w:pos="6396"/>
          <w:tab w:val="left" w:pos="7056"/>
          <w:tab w:val="left" w:pos="9406"/>
        </w:tabs>
        <w:ind w:left="0" w:firstLine="0"/>
        <w:jc w:val="both"/>
        <w:rPr>
          <w:rFonts w:ascii="Times New Roman" w:hAnsi="Times New Roman" w:cs="Times New Roman"/>
          <w:noProof/>
          <w:sz w:val="24"/>
        </w:rPr>
      </w:pPr>
      <w:r w:rsidRPr="00B03B51">
        <w:rPr>
          <w:rFonts w:ascii="Times New Roman" w:hAnsi="Times New Roman" w:cs="Times New Roman"/>
          <w:sz w:val="24"/>
        </w:rPr>
        <w:t>3.6.2.1. PIRMAIS GADĪJUMS – PENSIJU SAISTĪBAS NETIEK ATZĪTAS VALDĪBAS KONTOS</w:t>
      </w:r>
    </w:p>
    <w:p w14:paraId="31A9F4FE" w14:textId="77777777" w:rsidR="00994F93" w:rsidRPr="00B03B51" w:rsidRDefault="00994F93" w:rsidP="00994F93">
      <w:pPr>
        <w:pStyle w:val="BodyText"/>
        <w:spacing w:before="0"/>
        <w:ind w:left="0" w:firstLine="0"/>
        <w:jc w:val="both"/>
        <w:rPr>
          <w:rFonts w:ascii="Times New Roman" w:hAnsi="Times New Roman" w:cs="Times New Roman"/>
          <w:noProof/>
          <w:sz w:val="24"/>
        </w:rPr>
      </w:pPr>
    </w:p>
    <w:p w14:paraId="602873D0" w14:textId="27211284" w:rsidR="00994F93" w:rsidRPr="00B03B51" w:rsidRDefault="00994F93" w:rsidP="00994F93">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t>11. Pirmais gadījums ir darba devēja pensiju saistību nodošana nefondētajai shēmai valdības atbildībā, t. i., sociālā nodrošinā</w:t>
      </w:r>
      <w:r w:rsidR="0029364E" w:rsidRPr="00B03B51">
        <w:rPr>
          <w:rFonts w:ascii="Times New Roman" w:hAnsi="Times New Roman" w:cs="Times New Roman"/>
          <w:sz w:val="24"/>
        </w:rPr>
        <w:t>juma</w:t>
      </w:r>
      <w:r w:rsidRPr="00B03B51">
        <w:rPr>
          <w:rFonts w:ascii="Times New Roman" w:hAnsi="Times New Roman" w:cs="Times New Roman"/>
          <w:sz w:val="24"/>
        </w:rPr>
        <w:t xml:space="preserve"> shēmai. Saistības (to pašreizējā vērtība) jāaprēķina, pamatojoties uz dažādiem pensiju parametriem, kas novēroti konkrētā nodošanas brīdī, nevis uz noteiktiem valdības turpmākajiem lēmumiem, ar ko tiek mainīti atsevišķi šajā aprēķinā izmantotie parametri, piemēram, diskonta likme.</w:t>
      </w:r>
      <w:r w:rsidRPr="00B03B51">
        <w:rPr>
          <w:rStyle w:val="FootnoteReference"/>
          <w:rFonts w:ascii="Times New Roman" w:hAnsi="Times New Roman" w:cs="Times New Roman"/>
          <w:noProof/>
          <w:sz w:val="24"/>
        </w:rPr>
        <w:footnoteReference w:id="168"/>
      </w:r>
      <w:r w:rsidRPr="00B03B51">
        <w:rPr>
          <w:rFonts w:ascii="Times New Roman" w:hAnsi="Times New Roman" w:cs="Times New Roman"/>
          <w:sz w:val="24"/>
        </w:rPr>
        <w:t xml:space="preserve"> Pat tad, ja neilgi pēc nodošanas valdība mainītu dažus parametrus (piemēram, pensiju līmeni vai noteikto iemaksu veikšanas laiku), piemēram, pielīdzinot tos valdības shēmas parametriem, tas tiktu apsvērts neatkarīgi no sākotnējiem apstākļiem, kādos nodošana tika veikta. Darba devēja pensiju shēma faktiski tiktu “likvidēta” tieši pirms nodošanas un ierakstīta vienīgi sabiedrību un mājsaimniecību kontos (kas skartu shēmas un mājsaimniecību kontus vienīgi kā K.62 cita plūsma tādā apjomā, kāds atbilst dzēstajām AF.63 saistībām), un šajā gadījumā tiktu uzskatīts, ka aktīvi no mājsaimniecībām ir nodoti valdībai. Tas nemaina ietekmi uz valdības kontiem, bet vienīgi partnersektoru.</w:t>
      </w:r>
    </w:p>
    <w:p w14:paraId="0AEFCD9B"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2CAF5B06" w14:textId="7055134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12. Principā šajā gadījumā tiek pieņemts, ka parasti “vienreizēj</w:t>
      </w:r>
      <w:r w:rsidR="0029364E" w:rsidRPr="00B03B51">
        <w:rPr>
          <w:rFonts w:ascii="Times New Roman" w:hAnsi="Times New Roman" w:cs="Times New Roman"/>
          <w:sz w:val="24"/>
        </w:rPr>
        <w:t>ais</w:t>
      </w:r>
      <w:r w:rsidR="002E6ABB" w:rsidRPr="00B03B51">
        <w:rPr>
          <w:rFonts w:ascii="Times New Roman" w:hAnsi="Times New Roman" w:cs="Times New Roman"/>
          <w:sz w:val="24"/>
        </w:rPr>
        <w:t xml:space="preserve"> maksājums</w:t>
      </w:r>
      <w:r w:rsidRPr="00B03B51">
        <w:rPr>
          <w:rFonts w:ascii="Times New Roman" w:hAnsi="Times New Roman" w:cs="Times New Roman"/>
          <w:sz w:val="24"/>
        </w:rPr>
        <w:t>”, kas tiek maksāt</w:t>
      </w:r>
      <w:r w:rsidR="002E6ABB" w:rsidRPr="00B03B51">
        <w:rPr>
          <w:rFonts w:ascii="Times New Roman" w:hAnsi="Times New Roman" w:cs="Times New Roman"/>
          <w:sz w:val="24"/>
        </w:rPr>
        <w:t>s</w:t>
      </w:r>
      <w:r w:rsidRPr="00B03B51">
        <w:rPr>
          <w:rFonts w:ascii="Times New Roman" w:hAnsi="Times New Roman" w:cs="Times New Roman"/>
          <w:sz w:val="24"/>
        </w:rPr>
        <w:t xml:space="preserve"> valdībai, atbilst vai atbildīs</w:t>
      </w:r>
      <w:r w:rsidRPr="00B03B51">
        <w:rPr>
          <w:rStyle w:val="FootnoteReference"/>
          <w:rFonts w:ascii="Times New Roman" w:hAnsi="Times New Roman" w:cs="Times New Roman"/>
          <w:noProof/>
          <w:sz w:val="24"/>
        </w:rPr>
        <w:footnoteReference w:id="169"/>
      </w:r>
      <w:r w:rsidRPr="00B03B51">
        <w:rPr>
          <w:rFonts w:ascii="Times New Roman" w:hAnsi="Times New Roman" w:cs="Times New Roman"/>
          <w:sz w:val="24"/>
        </w:rPr>
        <w:t xml:space="preserve"> pensiju saistībām, ko valdība uzņemas. Valdības bilancē nav jāieraksta AF.63 saistības, bet gan vienīgi AF.89 saistības atbilstoši pretī saņemto aktīvu vērtībai. Nodošanas laikā tas neietekmē valdības neto aizdevumu/aizņēmumu (B.9) (ja vien netiek nodoti arī nefinanšu aktīvi). Ietekme uz valdības neto aizdevumu/aizņēmumu (B.9) parādītos tikai pēc šo AF.8 saistību dzēšanas.</w:t>
      </w:r>
    </w:p>
    <w:p w14:paraId="5E43B2FE"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6636B4DB"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13. Izņēmuma gadījumos var pastāvēt pierādījumi, pamatojoties uz noteiktu publiski pieejamu informāciju un ekspertu un/vai parlamentārā apspriedē panāktu vienprātību, ka neto faktisko pensiju saistību novērtējums ir zemāks par to patieso vērtību</w:t>
      </w:r>
      <w:r w:rsidRPr="00B03B51">
        <w:rPr>
          <w:rStyle w:val="FootnoteReference"/>
          <w:rFonts w:ascii="Times New Roman" w:hAnsi="Times New Roman" w:cs="Times New Roman"/>
          <w:noProof/>
          <w:sz w:val="24"/>
        </w:rPr>
        <w:footnoteReference w:id="170"/>
      </w:r>
      <w:r w:rsidRPr="00B03B51">
        <w:rPr>
          <w:rFonts w:ascii="Times New Roman" w:hAnsi="Times New Roman" w:cs="Times New Roman"/>
          <w:sz w:val="24"/>
        </w:rPr>
        <w:t xml:space="preserve"> vai ka valdība apmaiņā pret šādu pensiju saistību pārņemšanu nav saņēmusi pietiekami daudz aktīvu, novērtējot šos aktīvus </w:t>
      </w:r>
      <w:r w:rsidRPr="00B03B51">
        <w:rPr>
          <w:rFonts w:ascii="Times New Roman" w:hAnsi="Times New Roman" w:cs="Times New Roman"/>
          <w:sz w:val="24"/>
        </w:rPr>
        <w:lastRenderedPageBreak/>
        <w:t>ar vispārpieņemtiem aprēķināšanas paņēmieniem. Šādos gadījumos atkārtoti jānovērtē iepriekš minētās AF.89 saistības un konkrētajā brīdī jāieraksta ikviena atšķirība starp šo jauno saistību summu un visu to aktīvu vērtību, kas saņemti kā kompensācija un kapitāla pārvedums un uzreiz ietekmē valdības neto aizdevumu/aizņēmumu (B.9). Šajā gadījumā tiktu uzskatīts, ka valdība ir apzināti piekritusi nelīdzsvarotam darījumam ar skaidru nolūku sniegt atbalstu sabiedrībai.</w:t>
      </w:r>
    </w:p>
    <w:p w14:paraId="5BC515B1" w14:textId="77777777" w:rsidR="00994F93" w:rsidRPr="00B03B51" w:rsidRDefault="00994F93" w:rsidP="00994F93">
      <w:pPr>
        <w:jc w:val="both"/>
        <w:rPr>
          <w:rFonts w:ascii="Times New Roman" w:hAnsi="Times New Roman" w:cs="Times New Roman"/>
          <w:noProof/>
          <w:sz w:val="24"/>
        </w:rPr>
      </w:pPr>
    </w:p>
    <w:p w14:paraId="32DE02DD" w14:textId="77777777" w:rsidR="00994F93" w:rsidRPr="00B03B51" w:rsidRDefault="00994F93" w:rsidP="00994F93">
      <w:pPr>
        <w:pStyle w:val="Heading6"/>
        <w:tabs>
          <w:tab w:val="left" w:pos="1267"/>
        </w:tabs>
        <w:ind w:left="0" w:firstLine="0"/>
        <w:jc w:val="both"/>
        <w:rPr>
          <w:rFonts w:ascii="Times New Roman" w:hAnsi="Times New Roman" w:cs="Times New Roman"/>
          <w:noProof/>
          <w:sz w:val="24"/>
        </w:rPr>
      </w:pPr>
      <w:bookmarkStart w:id="272" w:name="3.6.2.2_Case_2_—_The_pension_obligations"/>
      <w:bookmarkEnd w:id="272"/>
      <w:r w:rsidRPr="00B03B51">
        <w:rPr>
          <w:rFonts w:ascii="Times New Roman" w:hAnsi="Times New Roman" w:cs="Times New Roman"/>
          <w:sz w:val="24"/>
        </w:rPr>
        <w:t>3.6.2.2. OTRAIS GADĪJUMS – PENSIJU SAISTĪBAS TIEK ATZĪTAS VALDĪBAS KONTOS</w:t>
      </w:r>
    </w:p>
    <w:p w14:paraId="0A20B0C7"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232A89A0"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14. Šajā gadījumā pensiju saistības tiek nodotas valdībai, kas vismaz pirmajā periodā ievieto tās shēmā, kur saņēmēju tiesības tiek atzītas nacionālajos pamatkontos ar AF.63 saistībām valdības kontos. Tomēr valdība visticamāk nepārņems pensiju administratora pienākumus, tāpēc shēma tiks klasificēta kā S.129 vai S.128.</w:t>
      </w:r>
    </w:p>
    <w:p w14:paraId="31EE95F8" w14:textId="77777777" w:rsidR="00994F93" w:rsidRPr="00B03B51" w:rsidRDefault="00994F93" w:rsidP="00994F93">
      <w:pPr>
        <w:pStyle w:val="BodyText"/>
        <w:spacing w:before="0"/>
        <w:ind w:left="0" w:firstLine="0"/>
        <w:jc w:val="both"/>
        <w:rPr>
          <w:rFonts w:ascii="Times New Roman" w:hAnsi="Times New Roman" w:cs="Times New Roman"/>
          <w:noProof/>
          <w:sz w:val="24"/>
        </w:rPr>
      </w:pPr>
    </w:p>
    <w:p w14:paraId="28FC1294" w14:textId="77777777" w:rsidR="00994F93" w:rsidRPr="00B03B51" w:rsidRDefault="00994F93" w:rsidP="00994F93">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t>Ja shēma nacionālajos kontos tomēr tiktu klasificēta pensiju apakšsektorā, valdībai no sabiedrības pārņemot “pārvaldītāja” pienākumus, taču ne “administratora” pienākumus, šo izmaiņu laikā sabiedrībai tiktu sniegts līdzekļu prasījums, ja shēmas finansējums nebūtu pietiekams (EKS 2010 ierakstīts kā AF.64). Atbilstošā summa jāuztver kā parādsaistību uzņemšanās, tāpēc kapitāla pārvedums sabiedrībai no valdības jāieraksta neatkarīgi no tā, ka valdība pēc pārveduma veic pasākumus, lai uzlabotu fonda neto stāvokli.</w:t>
      </w:r>
    </w:p>
    <w:p w14:paraId="6961762E" w14:textId="77777777" w:rsidR="00994F93" w:rsidRPr="00B03B51" w:rsidRDefault="00994F93" w:rsidP="00994F93">
      <w:pPr>
        <w:pStyle w:val="BodyText"/>
        <w:spacing w:before="0"/>
        <w:ind w:left="0" w:firstLine="0"/>
        <w:jc w:val="both"/>
        <w:rPr>
          <w:rFonts w:ascii="Times New Roman" w:hAnsi="Times New Roman" w:cs="Times New Roman"/>
          <w:noProof/>
          <w:sz w:val="24"/>
        </w:rPr>
      </w:pPr>
    </w:p>
    <w:p w14:paraId="5AFFA850" w14:textId="77777777" w:rsidR="00994F93" w:rsidRPr="00B03B51" w:rsidRDefault="00994F93" w:rsidP="00994F93">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t>Kopumā pamatpieņēmums ir tas, ka valdībai nodoto aktīvu tirgus vērtība (skaidra nauda, akcijas, parāda vērtspapīri un, iespējams, arī nefinanšu aktīvi) atbilst tajā laikā nodoto pensiju saistību (kas nacionālajos kontos ierakstītas kā AF.63) vērtībai. Līdz ar to šī ekvivalence neietekmē valdības neto aizdevumu/aizņēmumu (B.9) (izņemot nefinanšu aktīvus atbilstīgi tam, kā minēts iepriekš). Ja tomēr finanšu aktīvu tirgus vērtība atšķiras no saistību vērtības (kā minēts iepriekš, tas nav attiecināms uz noteiktu iemaksu shēmu), pārveduma laikā pastāvošā starpība jāieraksta kā kapitāla pārvedums, kas ietekmē neto aizdevumu/aizņēmumu (B.9), lai atspoguļotu nelīdzsvarota darījuma radīto valdības neto vērtības samazinājumu.</w:t>
      </w:r>
    </w:p>
    <w:p w14:paraId="1CE8EA98" w14:textId="77777777" w:rsidR="00994F93" w:rsidRPr="00B03B51" w:rsidRDefault="00994F93" w:rsidP="00994F93">
      <w:pPr>
        <w:jc w:val="both"/>
        <w:rPr>
          <w:rFonts w:ascii="Times New Roman" w:eastAsia="Arial" w:hAnsi="Times New Roman" w:cs="Times New Roman"/>
          <w:noProof/>
          <w:sz w:val="24"/>
          <w:szCs w:val="15"/>
        </w:rPr>
      </w:pPr>
    </w:p>
    <w:p w14:paraId="2E7C816B" w14:textId="77777777" w:rsidR="00994F93" w:rsidRPr="00B03B51" w:rsidRDefault="00994F93" w:rsidP="00994F93">
      <w:pPr>
        <w:pStyle w:val="Heading6"/>
        <w:tabs>
          <w:tab w:val="left" w:pos="1267"/>
        </w:tabs>
        <w:ind w:left="0" w:firstLine="0"/>
        <w:jc w:val="both"/>
        <w:rPr>
          <w:rFonts w:ascii="Times New Roman" w:hAnsi="Times New Roman" w:cs="Times New Roman"/>
          <w:noProof/>
          <w:sz w:val="24"/>
        </w:rPr>
      </w:pPr>
      <w:bookmarkStart w:id="273" w:name="3.6.2.3_The_recording_of_transactions_af"/>
      <w:bookmarkEnd w:id="273"/>
      <w:r w:rsidRPr="00B03B51">
        <w:rPr>
          <w:rFonts w:ascii="Times New Roman" w:hAnsi="Times New Roman" w:cs="Times New Roman"/>
          <w:sz w:val="24"/>
        </w:rPr>
        <w:t>3.6.2.3. DARĪJUMU IERAKSTĪŠANA PĒC NODOŠANAS</w:t>
      </w:r>
    </w:p>
    <w:p w14:paraId="797DA22F"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63C3EDBE"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15. Pēc nodošanas tas, ka valdība pārvalda shēmu (proti, saņem sociālos maksājumus un izmaksā pensiju pabalstus, tos abus ierakstot atbilstoši uzkrāšanas principam), nedrīkst skart valdības neto aizdevumu/aizņēmumu (B.9) līdz brīdim, kad tiek pilnīgi dzēstas AF.8 saistības. Tas nozīmē maksājumu avansā, kas ir “jāamortizē” D.759 nosacīto ieņēmumu formā, kompensējot pabalstu faktisko izmaksāšanu bijušās darba devēja shēmas pensionāriem. Šī pakāpeniskā saistību dzēšana var tikt īstenota saskaņā ar plānotu pabalsta maksājumu grafiku vai praktisku iemeslu dēļ būt veidota kā lineāra trūkstošās vērtības aprēķināšana attiecībā uz konkrēto laika posmu (piemēram, 20–25 gadiem). Svarīgi atzīmēt, ka nav būtiski pārbaudīt, vai pensiju izmaksa bijušajiem sabiedrības darbiniekiem precīzi atbilst tam, kas bija paredzēts nodošanas brīdī. Citiem vārdiem sakot, realitātē valdība, visticamāk, varētu faktiski izmaksāt summu, kas aptuveni atbilst tai, kura bija paredzēta nodošanas laikā</w:t>
      </w:r>
      <w:r w:rsidRPr="00B03B51">
        <w:rPr>
          <w:rStyle w:val="FootnoteReference"/>
          <w:rFonts w:ascii="Times New Roman" w:hAnsi="Times New Roman" w:cs="Times New Roman"/>
          <w:noProof/>
          <w:sz w:val="24"/>
        </w:rPr>
        <w:footnoteReference w:id="171"/>
      </w:r>
      <w:r w:rsidRPr="00B03B51">
        <w:rPr>
          <w:rFonts w:ascii="Times New Roman" w:hAnsi="Times New Roman" w:cs="Times New Roman"/>
          <w:sz w:val="24"/>
        </w:rPr>
        <w:t>, un tas netieši ietekmētu valdības neto aizdevumu/aizņēmumu (B.9). Šāds gadījums rastos jo īpaši tādēļ, ka tiek pārskatīti daži parametri.</w:t>
      </w:r>
    </w:p>
    <w:p w14:paraId="6E8477D9"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6AF6BA43" w14:textId="0E6BD1C6"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szCs w:val="12"/>
        </w:rPr>
      </w:pPr>
      <w:r w:rsidRPr="00B03B51">
        <w:rPr>
          <w:rFonts w:ascii="Times New Roman" w:hAnsi="Times New Roman" w:cs="Times New Roman"/>
          <w:sz w:val="24"/>
        </w:rPr>
        <w:t xml:space="preserve">16. Tomēr saistībā ar laika ekvivalenci šī situācija pabalstu faktiskās izmaksāšanas brīdī ir jāpagriež pretējā virzienā, jo saistības tiek aprēķinātas izrietoši no pastāvošajiem apstākļiem </w:t>
      </w:r>
      <w:r w:rsidRPr="00B03B51">
        <w:rPr>
          <w:rFonts w:ascii="Times New Roman" w:hAnsi="Times New Roman" w:cs="Times New Roman"/>
          <w:sz w:val="24"/>
        </w:rPr>
        <w:lastRenderedPageBreak/>
        <w:t xml:space="preserve">(visiem izdevumiem nākotnē ir zemāka faktiskā vērtība). Šā iemesla dēļ arī procentu izdevumi ir jāpiedēvē valdības nefinanšu kontam. Šajā saistībā var izmantot diskonta likmi, kas izmantota tam, lai aprēķinātu pensiju saistības brīdī, kad tās tiek nodotas valdībai, vai valdības ilgtermiņa procentu pamatlikmi. </w:t>
      </w:r>
      <w:r w:rsidR="00F80FC3" w:rsidRPr="00B03B51">
        <w:rPr>
          <w:rFonts w:ascii="Times New Roman" w:hAnsi="Times New Roman" w:cs="Times New Roman"/>
          <w:sz w:val="24"/>
        </w:rPr>
        <w:t>Vienreizējā maksājumā</w:t>
      </w:r>
      <w:r w:rsidRPr="00B03B51">
        <w:rPr>
          <w:rFonts w:ascii="Times New Roman" w:hAnsi="Times New Roman" w:cs="Times New Roman"/>
          <w:sz w:val="24"/>
        </w:rPr>
        <w:t xml:space="preserve"> var ieguldīt īpašam mērķim paredzētus aktīvus (darījuma konts), no kuriem gūtie ieņēmumi tiks izmantoti saistību vērtības palielināšanai (no neto pašreizējās vērtības līdz faktiskajai vērtībai). Parasti valdība tā nerīkojas, </w:t>
      </w:r>
      <w:r w:rsidR="00DD4B3F" w:rsidRPr="00B03B51">
        <w:rPr>
          <w:rFonts w:ascii="Times New Roman" w:hAnsi="Times New Roman" w:cs="Times New Roman"/>
          <w:sz w:val="24"/>
        </w:rPr>
        <w:t>vienreizējo maksājumu</w:t>
      </w:r>
      <w:r w:rsidRPr="00B03B51">
        <w:rPr>
          <w:rFonts w:ascii="Times New Roman" w:hAnsi="Times New Roman" w:cs="Times New Roman"/>
          <w:sz w:val="24"/>
        </w:rPr>
        <w:t xml:space="preserve"> izmantojot tam, lai samazinātu tās aizņemšanās vajadzības nodošanas gadā. Tomēr šajā gadījumā, samazinoties aizņēmumam, valdībai rodas “neplānots guvums”, un konceptuāli tas būtu līdzvērtīgs ieguldījumam aktīvos.</w:t>
      </w:r>
      <w:r w:rsidRPr="00B03B51">
        <w:rPr>
          <w:rStyle w:val="FootnoteReference"/>
          <w:rFonts w:ascii="Times New Roman" w:hAnsi="Times New Roman" w:cs="Times New Roman"/>
          <w:noProof/>
          <w:sz w:val="24"/>
        </w:rPr>
        <w:footnoteReference w:id="172"/>
      </w:r>
    </w:p>
    <w:p w14:paraId="1654950D" w14:textId="77777777" w:rsidR="00994F93" w:rsidRPr="00B03B51" w:rsidRDefault="00994F93" w:rsidP="00994F93">
      <w:pPr>
        <w:jc w:val="both"/>
        <w:rPr>
          <w:rFonts w:ascii="Times New Roman" w:hAnsi="Times New Roman" w:cs="Times New Roman"/>
          <w:noProof/>
          <w:sz w:val="24"/>
          <w:szCs w:val="12"/>
        </w:rPr>
      </w:pPr>
    </w:p>
    <w:p w14:paraId="45E6DF2D" w14:textId="77777777" w:rsidR="00994F93" w:rsidRPr="00B03B51" w:rsidRDefault="00994F93" w:rsidP="00994F93">
      <w:pPr>
        <w:pStyle w:val="Heading3"/>
        <w:tabs>
          <w:tab w:val="left" w:pos="1267"/>
        </w:tabs>
        <w:ind w:left="0" w:firstLine="0"/>
        <w:jc w:val="both"/>
        <w:rPr>
          <w:rFonts w:ascii="Times New Roman" w:hAnsi="Times New Roman" w:cs="Times New Roman"/>
          <w:noProof/>
          <w:sz w:val="24"/>
        </w:rPr>
      </w:pPr>
      <w:bookmarkStart w:id="274" w:name="3.6.3_Rationale_of_the_treatment"/>
      <w:bookmarkStart w:id="275" w:name="_Toc67565108"/>
      <w:bookmarkEnd w:id="274"/>
      <w:r w:rsidRPr="00B03B51">
        <w:rPr>
          <w:rFonts w:ascii="Times New Roman" w:hAnsi="Times New Roman" w:cs="Times New Roman"/>
          <w:sz w:val="24"/>
        </w:rPr>
        <w:t>3.6.3. Traktējuma pamatojums</w:t>
      </w:r>
      <w:bookmarkEnd w:id="275"/>
    </w:p>
    <w:p w14:paraId="450C97D1"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0F28F7EF"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17. Turpmāk sniegtas galvenās atsauces uz EKS 2010.</w:t>
      </w:r>
    </w:p>
    <w:p w14:paraId="31BC387C" w14:textId="77777777" w:rsidR="00994F93" w:rsidRPr="00B03B51" w:rsidRDefault="00994F93" w:rsidP="00994F93">
      <w:pPr>
        <w:jc w:val="both"/>
        <w:rPr>
          <w:rFonts w:ascii="Times New Roman" w:hAnsi="Times New Roman" w:cs="Times New Roman"/>
          <w:noProof/>
          <w:sz w:val="24"/>
        </w:rPr>
      </w:pPr>
    </w:p>
    <w:p w14:paraId="1CCFAA6A" w14:textId="77777777" w:rsidR="00994F93" w:rsidRPr="00B03B51" w:rsidRDefault="00994F93" w:rsidP="00994F93">
      <w:pPr>
        <w:jc w:val="both"/>
        <w:rPr>
          <w:rFonts w:ascii="Times New Roman" w:hAnsi="Times New Roman" w:cs="Times New Roman"/>
          <w:i/>
          <w:noProof/>
          <w:sz w:val="24"/>
        </w:rPr>
      </w:pPr>
      <w:r w:rsidRPr="00B03B51">
        <w:rPr>
          <w:rFonts w:ascii="Times New Roman" w:hAnsi="Times New Roman" w:cs="Times New Roman"/>
          <w:sz w:val="24"/>
        </w:rPr>
        <w:t xml:space="preserve">EKS 2010 20.273. punkts: </w:t>
      </w:r>
      <w:r w:rsidRPr="00B03B51">
        <w:rPr>
          <w:rFonts w:ascii="Times New Roman" w:hAnsi="Times New Roman" w:cs="Times New Roman"/>
          <w:i/>
          <w:sz w:val="24"/>
        </w:rPr>
        <w:t>Atsevišķos gadījumos vienības var maksāt vienreizēju maksājumu valdībai par atsevišķu to pensiju saistību pārņemšanu. Šādi lieli vienreizēji darījumi notiek starp valdību un citu vienību, parasti publisku sabiedrību, un tie bieži ir saistīti ar pārmaiņām sabiedrības statusā vai ar tās privatizāciju. Valdība parasti pārņem attiecīgās saistības apmaiņā pret maksājumu naudā, kas sedz paredzamo pārveduma radīto neto aizņēmumu (deficītu)</w:t>
      </w:r>
      <w:r w:rsidRPr="00B03B51">
        <w:rPr>
          <w:rFonts w:ascii="Times New Roman" w:hAnsi="Times New Roman" w:cs="Times New Roman"/>
          <w:sz w:val="24"/>
        </w:rPr>
        <w:t>.</w:t>
      </w:r>
    </w:p>
    <w:p w14:paraId="65C97547" w14:textId="77777777" w:rsidR="00994F93" w:rsidRPr="00B03B51" w:rsidRDefault="00994F93" w:rsidP="00994F93">
      <w:pPr>
        <w:tabs>
          <w:tab w:val="left" w:pos="843"/>
        </w:tabs>
        <w:jc w:val="both"/>
        <w:rPr>
          <w:rFonts w:ascii="Times New Roman" w:hAnsi="Times New Roman" w:cs="Times New Roman"/>
          <w:noProof/>
          <w:sz w:val="24"/>
        </w:rPr>
      </w:pPr>
    </w:p>
    <w:p w14:paraId="7CA51DA6" w14:textId="71EEA77B" w:rsidR="00994F93" w:rsidRPr="00B03B51" w:rsidRDefault="00994F93" w:rsidP="00994F93">
      <w:pPr>
        <w:tabs>
          <w:tab w:val="left" w:pos="843"/>
        </w:tabs>
        <w:jc w:val="both"/>
        <w:rPr>
          <w:rFonts w:ascii="Times New Roman" w:hAnsi="Times New Roman" w:cs="Times New Roman"/>
          <w:noProof/>
          <w:sz w:val="24"/>
        </w:rPr>
      </w:pPr>
      <w:r w:rsidRPr="00B03B51">
        <w:rPr>
          <w:rFonts w:ascii="Times New Roman" w:hAnsi="Times New Roman" w:cs="Times New Roman"/>
          <w:sz w:val="24"/>
        </w:rPr>
        <w:t xml:space="preserve">18. EKS 2010 20.274. punkts: </w:t>
      </w:r>
      <w:r w:rsidRPr="00B03B51">
        <w:rPr>
          <w:rFonts w:ascii="Times New Roman" w:hAnsi="Times New Roman" w:cs="Times New Roman"/>
          <w:i/>
          <w:sz w:val="24"/>
        </w:rPr>
        <w:t>Tā kā konceptuāli darījums ir līdzvērtīgs naudas apmaiņai pret pienākuma pārņemšanu, kas ir saistība, darījumam nevajadzētu ietekmēt neto vērtības un finanšu neto vērtības mērus, ne arī izmainīt valdības neto aizdevumus/aizņēmumus (B.9). Tomēr pensiju saistības var neparādīties kā saistības nevienas vienības (ne tās, kas nodod, ne tās, kas pārņem saistības) bilancē. Piemēram, pensiju saistības, ja tās nodod valdībai, var tikt apvienotas ar sociālā nodrošinā</w:t>
      </w:r>
      <w:r w:rsidR="003815B2" w:rsidRPr="00B03B51">
        <w:rPr>
          <w:rFonts w:ascii="Times New Roman" w:hAnsi="Times New Roman" w:cs="Times New Roman"/>
          <w:i/>
          <w:sz w:val="24"/>
        </w:rPr>
        <w:t>juma</w:t>
      </w:r>
      <w:r w:rsidRPr="00B03B51">
        <w:rPr>
          <w:rFonts w:ascii="Times New Roman" w:hAnsi="Times New Roman" w:cs="Times New Roman"/>
          <w:i/>
          <w:sz w:val="24"/>
        </w:rPr>
        <w:t xml:space="preserve"> shēmu, kurai neatzīst saistības</w:t>
      </w:r>
      <w:r w:rsidRPr="00B03B51">
        <w:rPr>
          <w:rStyle w:val="FootnoteReference"/>
          <w:rFonts w:ascii="Times New Roman" w:hAnsi="Times New Roman" w:cs="Times New Roman"/>
          <w:noProof/>
          <w:sz w:val="24"/>
        </w:rPr>
        <w:footnoteReference w:id="173"/>
      </w:r>
      <w:r w:rsidRPr="00B03B51">
        <w:rPr>
          <w:rFonts w:ascii="Times New Roman" w:hAnsi="Times New Roman" w:cs="Times New Roman"/>
          <w:i/>
          <w:sz w:val="24"/>
        </w:rPr>
        <w:t>.</w:t>
      </w:r>
    </w:p>
    <w:p w14:paraId="656F68FB" w14:textId="77777777" w:rsidR="00994F93" w:rsidRPr="00B03B51" w:rsidRDefault="00994F93" w:rsidP="00994F93">
      <w:pPr>
        <w:tabs>
          <w:tab w:val="left" w:pos="843"/>
        </w:tabs>
        <w:jc w:val="both"/>
        <w:rPr>
          <w:rFonts w:ascii="Times New Roman" w:hAnsi="Times New Roman" w:cs="Times New Roman"/>
          <w:noProof/>
          <w:sz w:val="24"/>
        </w:rPr>
      </w:pPr>
    </w:p>
    <w:p w14:paraId="7E1B52CD" w14:textId="77777777" w:rsidR="00994F93" w:rsidRPr="00B03B51" w:rsidRDefault="00994F93" w:rsidP="00994F93">
      <w:pPr>
        <w:tabs>
          <w:tab w:val="left" w:pos="843"/>
        </w:tabs>
        <w:jc w:val="both"/>
        <w:rPr>
          <w:rFonts w:ascii="Times New Roman" w:eastAsia="Arial" w:hAnsi="Times New Roman" w:cs="Times New Roman"/>
          <w:noProof/>
          <w:sz w:val="24"/>
          <w:szCs w:val="19"/>
        </w:rPr>
      </w:pPr>
      <w:r w:rsidRPr="00B03B51">
        <w:rPr>
          <w:rFonts w:ascii="Times New Roman" w:hAnsi="Times New Roman" w:cs="Times New Roman"/>
          <w:sz w:val="24"/>
        </w:rPr>
        <w:t xml:space="preserve">19. EKS 2010 20.275. punktā noteikts: </w:t>
      </w:r>
      <w:r w:rsidRPr="00B03B51">
        <w:rPr>
          <w:rFonts w:ascii="Times New Roman" w:hAnsi="Times New Roman" w:cs="Times New Roman"/>
          <w:i/>
          <w:sz w:val="24"/>
        </w:rPr>
        <w:t>Šajā kontekstā šādu vienreizēju maksājumu uzskata par sociālo iemaksu priekšapmaksu. Ņemot vērā dažādas praksē novērotas vienošanās un lai izvairītos no jebkādiem sagrozījumiem dažu agregātu, piemēram, darbaspēka izmaksu un obligāto nodevu, aprēķinā, vienreizēju maksājumu ieraksta kā finanšu avansu (F.8) – dažādu kārtējo pārvedumu (D.75) priekšapmaksu, ko ierakstīs nākotnē proporcionāli attiecīgajiem pensiju maksājumiem. Rezultātā vienreizējs maksājums neietekmē vispārējās valdības neto aizdevumus/aizņēmumus (B.9) gadā, kurā tiek nodotas saistības</w:t>
      </w:r>
      <w:r w:rsidRPr="00B03B51">
        <w:rPr>
          <w:rFonts w:ascii="Times New Roman" w:hAnsi="Times New Roman" w:cs="Times New Roman"/>
          <w:sz w:val="24"/>
        </w:rPr>
        <w:t>.</w:t>
      </w:r>
    </w:p>
    <w:p w14:paraId="794478B5"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52D7A9DE"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 xml:space="preserve">20. Gadījumā, ja saistības, ko valdība uzņemas, nav atzītas tās bilancē, kapitāla pārvedumu parasti neieraksta. Tiek pieņemts, ka šādi pārvedumi parasti notiek saskaņā ar procedūru, ar kuru nodrošina, ka valdība saņem “godīgu” kompensāciju. Pastāv demokrātijas kontrole, ko īsteno parlaments, un tādiem gadījumiem, kad valdība faktiski saņem būtiski nepietiekamu kompensāciju un iesaistās “neizdevīgā darījumā”, ko apliecinātu neatkarīgi eksperti, būtu jānotiek ārkārtīgi reti. Turklāt parasti būtu nepieciešama Eiropas Komisijas piekrišana, jo pensiju saistību nepietiekamu samazināšanu bez atbilstoša samazinājuma sabiedrības aktīvos, sniedzot kompensāciju valdībai, atbilstīgi konkurences noteikumiem varētu uzskatīt par izkropļojuma avotu, šādiem nelīdzsvarotiem darījumiem nekavējoties uzlabojot sabiedrības finanšu stāvokli (kas atbilstīgi tam, kā minēts iepriekš, parasti ir iemesls šādas operācijas </w:t>
      </w:r>
      <w:r w:rsidRPr="00B03B51">
        <w:rPr>
          <w:rFonts w:ascii="Times New Roman" w:hAnsi="Times New Roman" w:cs="Times New Roman"/>
          <w:sz w:val="24"/>
        </w:rPr>
        <w:lastRenderedPageBreak/>
        <w:t>īstenošanai). Tas tiktu uzskatīts par nepārprotamu valdības atbalstu sabiedrībai, kas pārredzamības nodrošināšanas nolūkā un pēc būtības ir jāieraksta nacionālajos kontos.</w:t>
      </w:r>
    </w:p>
    <w:p w14:paraId="369C9C11"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311BF9AA"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21. Tomēr šādi nelīdzsvarotas kompensācijas gadījumi faktiski var notikt īpašu apstākļu ietekmē un dažādu iemeslu dēļ (piemēram, uz sabiedrībām nav attiecināmi konkurences noteikumi, ņemot vērā to darbības jomu vai to, ka tajā brīdī tiek īstenots privatizācijas plāns). Tāpēc šajā rokasgrāmatā ir jāpapildina EKS 2010, jo iepriekš minētajā gadījumā tiktu ietekmēta gan valdības neto vērtība (negatīva ietekme), gan darījumā iesaistītās sabiedrības neto vērtība (pozitīva ietekme).</w:t>
      </w:r>
    </w:p>
    <w:p w14:paraId="1945BF29"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23C3378D"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 xml:space="preserve">22. Saskaņā ar vispārīgu principu kapitāla pārvedums jāieraksta nacionālajos kontos, kad valdība īsteno nevienlīdzīgu darījumu un ir pierādījumi, ka tas netiek darīts “tikai komerciālos nolūkos”, kas nozīmētu, ka abiem darījuma posmiem jābūt savstarpējā līdzsvarā. EKS 2010 5.21. punktā noteikts, ka finanšu darījuma (pilnīga vai daļēja) pretējā pārveduma gadījumā </w:t>
      </w:r>
      <w:r w:rsidRPr="00B03B51">
        <w:rPr>
          <w:rFonts w:ascii="Times New Roman" w:hAnsi="Times New Roman" w:cs="Times New Roman"/>
          <w:i/>
          <w:sz w:val="24"/>
        </w:rPr>
        <w:t>par darījuma vērtību uzskata iesaistīto finanšu aktīvu un/vai saistību pašreizējo tirgus vērtību</w:t>
      </w:r>
      <w:r w:rsidRPr="00B03B51">
        <w:rPr>
          <w:rFonts w:ascii="Times New Roman" w:hAnsi="Times New Roman" w:cs="Times New Roman"/>
          <w:sz w:val="24"/>
        </w:rPr>
        <w:t>. Citiem vārdiem sakot, finanšu darījums tiek ierakstīts par summu, kas augstāka par novēroto summu, un tajā iekļauta pārveduma komponente, kura ir pievienota to aktīvu faktiskajai summai, ar kuriem puses apmainās.</w:t>
      </w:r>
    </w:p>
    <w:p w14:paraId="1336E3C8" w14:textId="77777777" w:rsidR="00994F93" w:rsidRPr="00B03B51" w:rsidRDefault="00994F93" w:rsidP="00994F93">
      <w:pPr>
        <w:jc w:val="both"/>
        <w:rPr>
          <w:rFonts w:ascii="Times New Roman" w:eastAsia="Arial" w:hAnsi="Times New Roman" w:cs="Times New Roman"/>
          <w:iCs/>
          <w:noProof/>
          <w:sz w:val="24"/>
          <w:szCs w:val="19"/>
        </w:rPr>
      </w:pPr>
    </w:p>
    <w:p w14:paraId="3BCD350A" w14:textId="4433D37C" w:rsidR="00994F93" w:rsidRPr="00B03B51" w:rsidRDefault="00994F93" w:rsidP="00994F93">
      <w:pPr>
        <w:jc w:val="both"/>
        <w:rPr>
          <w:rFonts w:ascii="Times New Roman" w:eastAsia="Arial" w:hAnsi="Times New Roman" w:cs="Times New Roman"/>
          <w:noProof/>
          <w:sz w:val="24"/>
          <w:szCs w:val="19"/>
        </w:rPr>
      </w:pPr>
      <w:r w:rsidRPr="00B03B51">
        <w:rPr>
          <w:rFonts w:ascii="Times New Roman" w:hAnsi="Times New Roman" w:cs="Times New Roman"/>
          <w:sz w:val="24"/>
          <w:szCs w:val="19"/>
        </w:rPr>
        <w:t>23.</w:t>
      </w:r>
      <w:r w:rsidRPr="00B03B51">
        <w:rPr>
          <w:rFonts w:ascii="Times New Roman" w:hAnsi="Times New Roman" w:cs="Times New Roman"/>
          <w:i/>
          <w:sz w:val="24"/>
          <w:szCs w:val="19"/>
        </w:rPr>
        <w:t xml:space="preserve"> </w:t>
      </w:r>
      <w:r w:rsidRPr="00B03B51">
        <w:rPr>
          <w:rFonts w:ascii="Times New Roman" w:hAnsi="Times New Roman" w:cs="Times New Roman"/>
          <w:sz w:val="24"/>
          <w:szCs w:val="19"/>
        </w:rPr>
        <w:t xml:space="preserve">Attiecībā uz gadījumu, kad tiek nodotas pensiju saistības, NKS 2008 17.188. punktā ir skaidri noteikts tas, kā jāieraksta atšķirība starp </w:t>
      </w:r>
      <w:r w:rsidR="00EB757D" w:rsidRPr="00B03B51">
        <w:rPr>
          <w:rFonts w:ascii="Times New Roman" w:hAnsi="Times New Roman" w:cs="Times New Roman"/>
          <w:sz w:val="24"/>
          <w:szCs w:val="19"/>
        </w:rPr>
        <w:t>vienreizējo maksājumu</w:t>
      </w:r>
      <w:r w:rsidRPr="00B03B51">
        <w:rPr>
          <w:rFonts w:ascii="Times New Roman" w:hAnsi="Times New Roman" w:cs="Times New Roman"/>
          <w:sz w:val="24"/>
          <w:szCs w:val="19"/>
        </w:rPr>
        <w:t xml:space="preserve"> un pensiju saistībām: </w:t>
      </w:r>
      <w:r w:rsidRPr="00B03B51">
        <w:rPr>
          <w:rFonts w:ascii="Times New Roman" w:hAnsi="Times New Roman" w:cs="Times New Roman"/>
          <w:i/>
          <w:sz w:val="24"/>
          <w:szCs w:val="19"/>
        </w:rPr>
        <w:t>Ja valdība uzņemas atbildību par pensiju nodrošināšanu ar valdību nesaistītas vienības darba ņēmējiem, veicot skaidri izteiktu darījumu, pensiju saistības ir jāieraksta valdības bilancē. Ja valdība pretī nesaņem atbilstošus aktīvus, atšķirība starp valdības saistību pieaugumu un saņemtajiem aktīviem tiek norādīta kā kapitāla pārvedums ar valdību nesaistītam darba devējam</w:t>
      </w:r>
      <w:r w:rsidRPr="00B03B51">
        <w:rPr>
          <w:rFonts w:ascii="Times New Roman" w:hAnsi="Times New Roman" w:cs="Times New Roman"/>
          <w:sz w:val="24"/>
          <w:szCs w:val="19"/>
        </w:rPr>
        <w:t>.</w:t>
      </w:r>
    </w:p>
    <w:p w14:paraId="4A78A21D"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10F01871" w14:textId="7D5BF10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 xml:space="preserve">24. Atšķirībā no NKS 2008 EKS 2010 neatzīst pensiju saistības valdības bilancē, jo īpaši attiecībā uz sociālā </w:t>
      </w:r>
      <w:r w:rsidR="006D285C" w:rsidRPr="00B03B51">
        <w:rPr>
          <w:rFonts w:ascii="Times New Roman" w:hAnsi="Times New Roman" w:cs="Times New Roman"/>
          <w:sz w:val="24"/>
        </w:rPr>
        <w:t>no</w:t>
      </w:r>
      <w:r w:rsidRPr="00B03B51">
        <w:rPr>
          <w:rFonts w:ascii="Times New Roman" w:hAnsi="Times New Roman" w:cs="Times New Roman"/>
          <w:sz w:val="24"/>
        </w:rPr>
        <w:t>droš</w:t>
      </w:r>
      <w:r w:rsidR="006D285C" w:rsidRPr="00B03B51">
        <w:rPr>
          <w:rFonts w:ascii="Times New Roman" w:hAnsi="Times New Roman" w:cs="Times New Roman"/>
          <w:sz w:val="24"/>
        </w:rPr>
        <w:t>inājuma</w:t>
      </w:r>
      <w:r w:rsidRPr="00B03B51">
        <w:rPr>
          <w:rFonts w:ascii="Times New Roman" w:hAnsi="Times New Roman" w:cs="Times New Roman"/>
          <w:sz w:val="24"/>
        </w:rPr>
        <w:t xml:space="preserve"> shēmām vai tās pašas darba devēja pensiju shēmām. Tieši tādēļ valdības kontos iespējams ierakstīt vienīgi AF.8 saistības (nevis AF.63). Tomēr abos gadījumos, pārņemot pensiju saistības, valdība uzņemas nākotnes saistības, un ir skaidrs, ka valdība nav iesaistījusies darījumā ar mērķi saņemt pilnu kompensāciju par pārņemtajām saistībām. Tā ir apzināti piekritusi iesaistīties darījumā, attiecībā uz kuru ir pierādījumi, ka tajā ietilpst neatlīdzināms elements. No ekonomiskā viedokļa būtība ir visnotaļ līdzīga.</w:t>
      </w:r>
    </w:p>
    <w:p w14:paraId="65E65BB9"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5159BCA5"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25. Šādos apstākļos nacionālo kontu speciālistiem, kuriem ir jāsniedz tāds apraksts, kas ir “piemērots ekonomiskajai analīzei un ekonomiskās politikas novērtēšanai” (EKS 2010 1.25. punkta d) apakšpunkts), jāpieņem, ka saistību kodifikācija ir konvencionāla, un jāuztver tā kā otršķirīgs tehnisks aspekts. Tas jo īpaši attiecas uz gadījumiem, kuros varētu būt apsverams nelīdzsvarots darījums; valdība pat varētu nolemt pārņemt no sabiedrības pensiju saistības pilnīgi bez maksas vai par simbolisku samaksu.</w:t>
      </w:r>
    </w:p>
    <w:p w14:paraId="7AA6EA1E"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70707B7A"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 xml:space="preserve">26. Līdz ar to neatkarīgi no vienošanās par to, kā nacionālajos kontos tiek ierakstītas pensiju saistības, attiecībā uz darījumu ekonomisko būtību nav atšķirības starp NKS 2008 un EKS 2010, kas ir juridiski saistoša Eiropas Savienībai. Abos gadījumos valdības bilancē jābūt norādītām saistībām precīzā to vērtībā. Tas nozīmē, ka gadījumā, ja darījums kāda iemesla dēļ nav līdzsvarots, t. i., pensiju saistības pārsniedz pretī saņemto aktīvu vērtību, darījums ir “jāpārlīdzsvaro”, un saskaņā ar EKS 2010 vienīgais veids, kā to paveikt, ir koriģēt saistības nacionālajos kontos neatkarīgi no šo saistību kodifikācijas. Tādējādi tiks radīts iztrūkums starp aktīviem, ko valdība saņēmusi darījumā, un “galīgo” saistību summu, kas ierakstīta bilancē. Saskaņā ar nacionālo kontu pamatprincipu tas jāieraksta kā kapitāla pārvedums ar ietekmi uz </w:t>
      </w:r>
      <w:r w:rsidRPr="00B03B51">
        <w:rPr>
          <w:rFonts w:ascii="Times New Roman" w:hAnsi="Times New Roman" w:cs="Times New Roman"/>
          <w:sz w:val="24"/>
        </w:rPr>
        <w:lastRenderedPageBreak/>
        <w:t>valdības neto aizdevumu/aizņēmumu (B.9).</w:t>
      </w:r>
    </w:p>
    <w:p w14:paraId="263DFDD2"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333F1690"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27. Tas nav atkarīgs no neviena pasākuma (kura ietekme un laiks nav zināms un paredzams darījuma laikā), ko valdība varētu piemērot nākotnē, lai segtu iztrūkumu. Citos gadījumos kapitāla pārvedums tiek ierakstīts, pamatojoties vienīgi uz ietekmi uz valdības finanšu stāvokli, kas novērots darījuma brīdī, nevis uz informāciju par iespējamajām (taču pilnīgi nenoteiktajām un visnotaļ neparedzamajām) valdības turpmākajām darbībām vai turpmākajiem notikumiem.</w:t>
      </w:r>
    </w:p>
    <w:p w14:paraId="165171C6" w14:textId="77777777" w:rsidR="00994F93" w:rsidRPr="00B03B51" w:rsidRDefault="00994F93" w:rsidP="00994F93">
      <w:pPr>
        <w:jc w:val="both"/>
        <w:rPr>
          <w:rFonts w:ascii="Times New Roman" w:hAnsi="Times New Roman" w:cs="Times New Roman"/>
          <w:noProof/>
          <w:sz w:val="24"/>
        </w:rPr>
      </w:pPr>
    </w:p>
    <w:p w14:paraId="4D867C24" w14:textId="77777777" w:rsidR="00994F93" w:rsidRPr="00B03B51" w:rsidRDefault="00994F93" w:rsidP="00994F93">
      <w:pPr>
        <w:pStyle w:val="Heading3"/>
        <w:tabs>
          <w:tab w:val="left" w:pos="1267"/>
        </w:tabs>
        <w:ind w:left="0" w:firstLine="0"/>
        <w:jc w:val="both"/>
        <w:rPr>
          <w:rFonts w:ascii="Times New Roman" w:hAnsi="Times New Roman" w:cs="Times New Roman"/>
          <w:b w:val="0"/>
          <w:bCs w:val="0"/>
          <w:noProof/>
          <w:sz w:val="24"/>
          <w:szCs w:val="19"/>
        </w:rPr>
      </w:pPr>
      <w:bookmarkStart w:id="276" w:name="3.6.4_Accounting_examples_(simplified)(1"/>
      <w:bookmarkStart w:id="277" w:name="_Toc67565109"/>
      <w:bookmarkEnd w:id="276"/>
      <w:r w:rsidRPr="00B03B51">
        <w:rPr>
          <w:rFonts w:ascii="Times New Roman" w:hAnsi="Times New Roman" w:cs="Times New Roman"/>
          <w:sz w:val="24"/>
        </w:rPr>
        <w:t>3.6.4. Uzskaites piemēri (vienkāršoti)</w:t>
      </w:r>
      <w:r w:rsidRPr="00B03B51">
        <w:rPr>
          <w:rStyle w:val="FootnoteReference"/>
          <w:rFonts w:ascii="Times New Roman" w:hAnsi="Times New Roman" w:cs="Times New Roman"/>
          <w:noProof/>
          <w:sz w:val="24"/>
        </w:rPr>
        <w:footnoteReference w:id="174"/>
      </w:r>
      <w:bookmarkEnd w:id="277"/>
    </w:p>
    <w:p w14:paraId="3B55484C" w14:textId="77777777" w:rsidR="00994F93" w:rsidRPr="00B03B51" w:rsidRDefault="00994F93" w:rsidP="00994F93">
      <w:pPr>
        <w:jc w:val="both"/>
        <w:rPr>
          <w:rFonts w:ascii="Times New Roman" w:hAnsi="Times New Roman" w:cs="Times New Roman"/>
          <w:b/>
          <w:noProof/>
          <w:sz w:val="24"/>
        </w:rPr>
      </w:pPr>
    </w:p>
    <w:p w14:paraId="51C34F92" w14:textId="77777777" w:rsidR="00994F93" w:rsidRPr="00B03B51" w:rsidRDefault="00994F93" w:rsidP="00994F93">
      <w:pPr>
        <w:jc w:val="both"/>
        <w:rPr>
          <w:rFonts w:ascii="Times New Roman" w:hAnsi="Times New Roman" w:cs="Times New Roman"/>
          <w:b/>
          <w:noProof/>
          <w:sz w:val="24"/>
        </w:rPr>
      </w:pPr>
      <w:r w:rsidRPr="00B03B51">
        <w:rPr>
          <w:rFonts w:ascii="Times New Roman" w:hAnsi="Times New Roman" w:cs="Times New Roman"/>
          <w:b/>
          <w:sz w:val="24"/>
        </w:rPr>
        <w:t>Pirmais gadījums – pensiju saistības netiek atzītas valdības kontos</w:t>
      </w:r>
    </w:p>
    <w:p w14:paraId="4CD06436" w14:textId="77777777" w:rsidR="00994F93" w:rsidRPr="00B03B51" w:rsidRDefault="00994F93" w:rsidP="00994F93">
      <w:pPr>
        <w:jc w:val="both"/>
        <w:rPr>
          <w:rFonts w:ascii="Times New Roman" w:eastAsia="Arial" w:hAnsi="Times New Roman" w:cs="Times New Roman"/>
          <w:b/>
          <w:bCs/>
          <w:noProof/>
          <w:sz w:val="24"/>
          <w:szCs w:val="21"/>
        </w:rPr>
      </w:pPr>
    </w:p>
    <w:p w14:paraId="71A15317" w14:textId="568C8BC7" w:rsidR="00994F93" w:rsidRPr="00B03B51" w:rsidRDefault="00994F93" w:rsidP="00994F93">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t xml:space="preserve">Publiska sabiedrība nodod valdībai savas saistības attiecībā uz sabiedrības darbinieku pensijām, kuras sabiedrība ir organizējusi saviem spēkiem (nacionālajos kontos ierakstītas kā pensiju tiesības (AF.63)). Valdība piekrīt maksāt turpmākās pensijas no “vispārējām” sociālā </w:t>
      </w:r>
      <w:r w:rsidR="008B4E0E" w:rsidRPr="00B03B51">
        <w:rPr>
          <w:rFonts w:ascii="Times New Roman" w:hAnsi="Times New Roman" w:cs="Times New Roman"/>
          <w:sz w:val="24"/>
        </w:rPr>
        <w:t>no</w:t>
      </w:r>
      <w:r w:rsidRPr="00B03B51">
        <w:rPr>
          <w:rFonts w:ascii="Times New Roman" w:hAnsi="Times New Roman" w:cs="Times New Roman"/>
          <w:sz w:val="24"/>
        </w:rPr>
        <w:t>droš</w:t>
      </w:r>
      <w:r w:rsidR="008B4E0E" w:rsidRPr="00B03B51">
        <w:rPr>
          <w:rFonts w:ascii="Times New Roman" w:hAnsi="Times New Roman" w:cs="Times New Roman"/>
          <w:sz w:val="24"/>
        </w:rPr>
        <w:t>inājuma</w:t>
      </w:r>
      <w:r w:rsidRPr="00B03B51">
        <w:rPr>
          <w:rFonts w:ascii="Times New Roman" w:hAnsi="Times New Roman" w:cs="Times New Roman"/>
          <w:sz w:val="24"/>
        </w:rPr>
        <w:t xml:space="preserve"> shēmām. Nolemts (un turpmāk vairs netiek apspriests), ka pensiju saistību neto pašreizējā vērtība ir 1000. Konkrētā gadā tālākā nākotnē (</w:t>
      </w:r>
      <w:r w:rsidRPr="00B03B51">
        <w:rPr>
          <w:rFonts w:ascii="Times New Roman" w:hAnsi="Times New Roman" w:cs="Times New Roman"/>
          <w:i/>
          <w:iCs/>
          <w:sz w:val="24"/>
        </w:rPr>
        <w:t>t+20</w:t>
      </w:r>
      <w:r w:rsidRPr="00B03B51">
        <w:rPr>
          <w:rFonts w:ascii="Times New Roman" w:hAnsi="Times New Roman" w:cs="Times New Roman"/>
          <w:sz w:val="24"/>
        </w:rPr>
        <w:t> gadā) pensijas bijušajiem sabiedrības darbiniekiem (pieņemot, ka viņi ir identificējami) jāizmaksā 50 vienību apmērā, lai gan nodošanas laikā tika paredzēts, ka pensijas būs jāizmaksā 40 vienību apmērā atbilstīgi grafikam, kas pieejams šajā laikā, un pēc pārrēķināšanas uz faktisko vērtību (piemērojot vienkāršošanu, procentu likme attiecībā uz valdības turējumiem atbilst diskonta likmei un sabiedrība un mājsaimniecības tiek atspoguļotas konsolidētā veidā.)</w:t>
      </w:r>
    </w:p>
    <w:p w14:paraId="54FD93A3" w14:textId="77777777" w:rsidR="00994F93" w:rsidRPr="00B03B51" w:rsidRDefault="00994F93" w:rsidP="00994F93">
      <w:pPr>
        <w:jc w:val="both"/>
        <w:rPr>
          <w:rFonts w:ascii="Times New Roman" w:eastAsia="Arial" w:hAnsi="Times New Roman" w:cs="Times New Roman"/>
          <w:noProof/>
          <w:sz w:val="24"/>
          <w:szCs w:val="20"/>
        </w:rPr>
      </w:pPr>
    </w:p>
    <w:p w14:paraId="1F15BED7" w14:textId="77777777" w:rsidR="00994F93" w:rsidRPr="00B03B51" w:rsidRDefault="00994F93" w:rsidP="00994F93">
      <w:pPr>
        <w:tabs>
          <w:tab w:val="left" w:pos="919"/>
        </w:tabs>
        <w:jc w:val="both"/>
        <w:rPr>
          <w:rFonts w:ascii="Times New Roman" w:hAnsi="Times New Roman" w:cs="Times New Roman"/>
          <w:b/>
          <w:noProof/>
          <w:sz w:val="24"/>
        </w:rPr>
      </w:pPr>
      <w:r w:rsidRPr="00B03B51">
        <w:rPr>
          <w:rFonts w:ascii="Times New Roman" w:hAnsi="Times New Roman" w:cs="Times New Roman"/>
          <w:b/>
          <w:sz w:val="24"/>
        </w:rPr>
        <w:t>a) Darījums ir līdzsvarots</w:t>
      </w:r>
    </w:p>
    <w:p w14:paraId="204703CB" w14:textId="77777777" w:rsidR="00994F93" w:rsidRPr="00B03B51" w:rsidRDefault="00994F93" w:rsidP="00994F93">
      <w:pPr>
        <w:jc w:val="both"/>
        <w:rPr>
          <w:rFonts w:ascii="Times New Roman" w:eastAsia="Arial" w:hAnsi="Times New Roman" w:cs="Times New Roman"/>
          <w:b/>
          <w:bCs/>
          <w:noProof/>
          <w:sz w:val="24"/>
          <w:szCs w:val="21"/>
        </w:rPr>
      </w:pPr>
    </w:p>
    <w:p w14:paraId="5F69335F" w14:textId="77777777" w:rsidR="00994F93" w:rsidRPr="00B03B51" w:rsidRDefault="00994F93" w:rsidP="00994F93">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t>Valdība pretī saņem skaidras naudas maksājumu 1000 vienību apmērā, kas atbilst pārņemtajām pensiju saistībām, un nekavējoties iegulda to vērtspapīros. Ietekmi uz neto aizdevumu/aizņēmumu (B.9) iespējams konstatēt vienīgi tad, kad ir dzēstas AF.89 saistības, kas šajā gadījumā nav paredzams pēc 20 gadiem, pat ja faktiskie maksājumi neatbilst paredzētajai summai.</w:t>
      </w:r>
    </w:p>
    <w:p w14:paraId="61E4BF4B" w14:textId="77777777" w:rsidR="00994F93" w:rsidRPr="00B03B51" w:rsidRDefault="00994F93" w:rsidP="00994F93">
      <w:pPr>
        <w:jc w:val="both"/>
        <w:rPr>
          <w:rFonts w:ascii="Times New Roman" w:hAnsi="Times New Roman" w:cs="Times New Roman"/>
          <w:noProof/>
          <w:sz w:val="24"/>
        </w:rPr>
      </w:pPr>
    </w:p>
    <w:p w14:paraId="1F8B7CC9" w14:textId="43B6534F" w:rsidR="00994F93" w:rsidRPr="00B03B51" w:rsidRDefault="000E669F" w:rsidP="003E20F3">
      <w:pPr>
        <w:jc w:val="center"/>
        <w:rPr>
          <w:rFonts w:ascii="Times New Roman" w:hAnsi="Times New Roman" w:cs="Times New Roman"/>
          <w:noProof/>
          <w:sz w:val="24"/>
        </w:rPr>
      </w:pPr>
      <w:r w:rsidRPr="00B03B51">
        <w:rPr>
          <w:rFonts w:ascii="Times New Roman" w:hAnsi="Times New Roman" w:cs="Times New Roman"/>
          <w:noProof/>
          <w:sz w:val="24"/>
        </w:rPr>
        <w:lastRenderedPageBreak/>
        <w:drawing>
          <wp:inline distT="0" distB="0" distL="0" distR="0" wp14:anchorId="1CF64A83" wp14:editId="63B3886F">
            <wp:extent cx="5760085" cy="5238115"/>
            <wp:effectExtent l="0" t="0" r="0" b="63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760085" cy="5238115"/>
                    </a:xfrm>
                    <a:prstGeom prst="rect">
                      <a:avLst/>
                    </a:prstGeom>
                    <a:noFill/>
                    <a:ln>
                      <a:noFill/>
                    </a:ln>
                  </pic:spPr>
                </pic:pic>
              </a:graphicData>
            </a:graphic>
          </wp:inline>
        </w:drawing>
      </w:r>
    </w:p>
    <w:p w14:paraId="1BD096F0" w14:textId="77777777" w:rsidR="00994F93" w:rsidRPr="00B03B51" w:rsidRDefault="00994F93" w:rsidP="00994F93">
      <w:pPr>
        <w:jc w:val="both"/>
        <w:rPr>
          <w:rFonts w:ascii="Times New Roman" w:eastAsia="Arial" w:hAnsi="Times New Roman" w:cs="Times New Roman"/>
          <w:noProof/>
          <w:sz w:val="24"/>
          <w:szCs w:val="14"/>
        </w:rPr>
      </w:pPr>
    </w:p>
    <w:p w14:paraId="2C3B3CF8" w14:textId="77777777" w:rsidR="00994F93" w:rsidRPr="00B03B51" w:rsidRDefault="00994F93" w:rsidP="00994F93">
      <w:pPr>
        <w:tabs>
          <w:tab w:val="left" w:pos="919"/>
        </w:tabs>
        <w:jc w:val="both"/>
        <w:rPr>
          <w:rFonts w:ascii="Times New Roman" w:hAnsi="Times New Roman" w:cs="Times New Roman"/>
          <w:b/>
          <w:noProof/>
          <w:sz w:val="24"/>
        </w:rPr>
      </w:pPr>
      <w:r w:rsidRPr="00B03B51">
        <w:rPr>
          <w:rFonts w:ascii="Times New Roman" w:hAnsi="Times New Roman" w:cs="Times New Roman"/>
          <w:b/>
          <w:sz w:val="24"/>
        </w:rPr>
        <w:t>b) Darījums nav līdzsvarots</w:t>
      </w:r>
    </w:p>
    <w:p w14:paraId="779ED061" w14:textId="77777777" w:rsidR="00994F93" w:rsidRPr="00B03B51" w:rsidRDefault="00994F93" w:rsidP="00994F93">
      <w:pPr>
        <w:jc w:val="both"/>
        <w:rPr>
          <w:rFonts w:ascii="Times New Roman" w:eastAsia="Arial" w:hAnsi="Times New Roman" w:cs="Times New Roman"/>
          <w:b/>
          <w:bCs/>
          <w:noProof/>
          <w:sz w:val="24"/>
          <w:szCs w:val="21"/>
        </w:rPr>
      </w:pPr>
    </w:p>
    <w:p w14:paraId="22AD14B9" w14:textId="6F7EF7F4" w:rsidR="00994F93" w:rsidRPr="00B03B51" w:rsidRDefault="00994F93" w:rsidP="00994F93">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t>Valdība pretī saņem skaidras naudas maksājumu 500 vienību apmērā, kas ir mazāk par pārņemtajām pensiju saistībām (1000), un nekavējoties iegulda to vērtspapīros. Kapitāla pārvedums tiek ierakstīts attiecībā uz iztrūkumu, ievērojot to, ka AF.89 neatbilst darījumā saņemtajiem aktīviem. Tas ietekmē valdības neto aizdevumu/aizņēmumu (B.9) tajā gadā, kad notiek nodošana, taču ne turpmākajos gados, kamēr nav dzēstas AF.89 saistības. Atšķirība no iepriekšējā gadījuma ir tāda, ka tas notiek pirms 20. gada (</w:t>
      </w:r>
      <w:r w:rsidR="00C55DCA" w:rsidRPr="00B03B51">
        <w:rPr>
          <w:rFonts w:ascii="Times New Roman" w:hAnsi="Times New Roman" w:cs="Times New Roman"/>
          <w:sz w:val="24"/>
        </w:rPr>
        <w:t>beigu</w:t>
      </w:r>
      <w:r w:rsidRPr="00B03B51">
        <w:rPr>
          <w:rFonts w:ascii="Times New Roman" w:hAnsi="Times New Roman" w:cs="Times New Roman"/>
          <w:sz w:val="24"/>
        </w:rPr>
        <w:t xml:space="preserve"> bilance gadā </w:t>
      </w:r>
      <w:r w:rsidRPr="00B03B51">
        <w:rPr>
          <w:rFonts w:ascii="Times New Roman" w:hAnsi="Times New Roman" w:cs="Times New Roman"/>
          <w:i/>
          <w:iCs/>
          <w:sz w:val="24"/>
        </w:rPr>
        <w:t>t+20</w:t>
      </w:r>
      <w:r w:rsidRPr="00B03B51">
        <w:rPr>
          <w:rFonts w:ascii="Times New Roman" w:hAnsi="Times New Roman" w:cs="Times New Roman"/>
          <w:sz w:val="24"/>
        </w:rPr>
        <w:t xml:space="preserve"> nav atspoguļota, jo vairs nepastāv saistība ar sākotnējo darījumu).</w:t>
      </w:r>
    </w:p>
    <w:p w14:paraId="6500BDDE" w14:textId="77777777" w:rsidR="00994F93" w:rsidRPr="00B03B51" w:rsidRDefault="00994F93" w:rsidP="00994F93">
      <w:pPr>
        <w:jc w:val="both"/>
        <w:rPr>
          <w:rFonts w:ascii="Times New Roman" w:eastAsia="Arial" w:hAnsi="Times New Roman" w:cs="Times New Roman"/>
          <w:noProof/>
          <w:sz w:val="24"/>
          <w:szCs w:val="20"/>
        </w:rPr>
      </w:pPr>
    </w:p>
    <w:p w14:paraId="6880E47C" w14:textId="3CCE7D86" w:rsidR="00994F93" w:rsidRPr="00B03B51" w:rsidRDefault="000E669F" w:rsidP="003E20F3">
      <w:pPr>
        <w:jc w:val="center"/>
        <w:rPr>
          <w:rFonts w:ascii="Times New Roman" w:eastAsia="Arial" w:hAnsi="Times New Roman" w:cs="Times New Roman"/>
          <w:b/>
          <w:bCs/>
          <w:noProof/>
          <w:sz w:val="24"/>
          <w:szCs w:val="20"/>
        </w:rPr>
      </w:pPr>
      <w:r w:rsidRPr="00B03B51">
        <w:rPr>
          <w:rFonts w:ascii="Times New Roman" w:eastAsia="Arial" w:hAnsi="Times New Roman" w:cs="Times New Roman"/>
          <w:b/>
          <w:bCs/>
          <w:noProof/>
          <w:sz w:val="24"/>
          <w:szCs w:val="20"/>
        </w:rPr>
        <w:lastRenderedPageBreak/>
        <w:drawing>
          <wp:inline distT="0" distB="0" distL="0" distR="0" wp14:anchorId="6938B4CE" wp14:editId="24EF7FBB">
            <wp:extent cx="5760085" cy="5560060"/>
            <wp:effectExtent l="0" t="0" r="0" b="254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760085" cy="5560060"/>
                    </a:xfrm>
                    <a:prstGeom prst="rect">
                      <a:avLst/>
                    </a:prstGeom>
                    <a:noFill/>
                    <a:ln>
                      <a:noFill/>
                    </a:ln>
                  </pic:spPr>
                </pic:pic>
              </a:graphicData>
            </a:graphic>
          </wp:inline>
        </w:drawing>
      </w:r>
    </w:p>
    <w:p w14:paraId="33CA4609" w14:textId="77777777" w:rsidR="00994F93" w:rsidRPr="00B03B51" w:rsidRDefault="00994F93" w:rsidP="00994F93">
      <w:pPr>
        <w:jc w:val="both"/>
        <w:rPr>
          <w:rFonts w:ascii="Times New Roman" w:eastAsia="Arial" w:hAnsi="Times New Roman" w:cs="Times New Roman"/>
          <w:b/>
          <w:bCs/>
          <w:noProof/>
          <w:sz w:val="24"/>
          <w:szCs w:val="17"/>
        </w:rPr>
      </w:pPr>
    </w:p>
    <w:p w14:paraId="71ED8AB4" w14:textId="77777777" w:rsidR="00994F93" w:rsidRPr="00B03B51" w:rsidRDefault="00994F93" w:rsidP="00994F93">
      <w:pPr>
        <w:jc w:val="both"/>
        <w:rPr>
          <w:rFonts w:ascii="Times New Roman" w:hAnsi="Times New Roman" w:cs="Times New Roman"/>
          <w:b/>
          <w:noProof/>
          <w:sz w:val="24"/>
        </w:rPr>
      </w:pPr>
      <w:r w:rsidRPr="00B03B51">
        <w:rPr>
          <w:rFonts w:ascii="Times New Roman" w:hAnsi="Times New Roman" w:cs="Times New Roman"/>
          <w:b/>
          <w:sz w:val="24"/>
        </w:rPr>
        <w:t>Otrais gadījums – pensiju saistības tiek atzītas valdības kontos pēc saistību nodošanas</w:t>
      </w:r>
    </w:p>
    <w:p w14:paraId="40EF0783" w14:textId="77777777" w:rsidR="00994F93" w:rsidRPr="00B03B51" w:rsidRDefault="00994F93" w:rsidP="00994F93">
      <w:pPr>
        <w:jc w:val="both"/>
        <w:rPr>
          <w:rFonts w:ascii="Times New Roman" w:eastAsia="Arial" w:hAnsi="Times New Roman" w:cs="Times New Roman"/>
          <w:b/>
          <w:bCs/>
          <w:noProof/>
          <w:sz w:val="24"/>
          <w:szCs w:val="21"/>
        </w:rPr>
      </w:pPr>
    </w:p>
    <w:p w14:paraId="2D000AA0" w14:textId="77777777" w:rsidR="00994F93" w:rsidRPr="00B03B51" w:rsidRDefault="00994F93" w:rsidP="00994F93">
      <w:pPr>
        <w:tabs>
          <w:tab w:val="left" w:pos="919"/>
        </w:tabs>
        <w:jc w:val="both"/>
        <w:rPr>
          <w:rFonts w:ascii="Times New Roman" w:hAnsi="Times New Roman" w:cs="Times New Roman"/>
          <w:b/>
          <w:noProof/>
          <w:sz w:val="24"/>
        </w:rPr>
      </w:pPr>
      <w:r w:rsidRPr="00B03B51">
        <w:rPr>
          <w:rFonts w:ascii="Times New Roman" w:hAnsi="Times New Roman" w:cs="Times New Roman"/>
          <w:b/>
          <w:sz w:val="24"/>
        </w:rPr>
        <w:t>a) Darījums ir līdzsvarots</w:t>
      </w:r>
    </w:p>
    <w:p w14:paraId="75A47463" w14:textId="77777777" w:rsidR="00994F93" w:rsidRPr="00B03B51" w:rsidRDefault="00994F93" w:rsidP="00994F93">
      <w:pPr>
        <w:jc w:val="both"/>
        <w:rPr>
          <w:rFonts w:ascii="Times New Roman" w:eastAsia="Arial" w:hAnsi="Times New Roman" w:cs="Times New Roman"/>
          <w:b/>
          <w:bCs/>
          <w:noProof/>
          <w:sz w:val="24"/>
          <w:szCs w:val="21"/>
        </w:rPr>
      </w:pPr>
    </w:p>
    <w:p w14:paraId="4111F91E" w14:textId="77777777" w:rsidR="00994F93" w:rsidRPr="00B03B51" w:rsidRDefault="00994F93" w:rsidP="00994F93">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t>Gadā</w:t>
      </w:r>
      <w:r w:rsidRPr="00B03B51">
        <w:rPr>
          <w:rFonts w:ascii="Times New Roman" w:hAnsi="Times New Roman" w:cs="Times New Roman"/>
          <w:i/>
          <w:iCs/>
          <w:sz w:val="24"/>
        </w:rPr>
        <w:t> t</w:t>
      </w:r>
      <w:r w:rsidRPr="00B03B51">
        <w:rPr>
          <w:rFonts w:ascii="Times New Roman" w:hAnsi="Times New Roman" w:cs="Times New Roman"/>
          <w:sz w:val="24"/>
        </w:rPr>
        <w:t xml:space="preserve"> publiskā sabiedrība nodod valdībai AF.63 pensiju saistības attiecībā uz tās pašreizējiem un bijušajiem darbiniekiem. Valdība pensijas nākotnē maksās no shēmas, attiecībā uz kuru AF.63 pensiju saistības joprojām ir atzītas nacionālajos kontos (un šeit ierakstītas valdībā). Valdība pretī saņem naudu 1000 vienību apmērā un nekavējoties iegulda to F.3 (vai visticamāk tieši F.3 vai F.5 aktīvos – šajā vienkāršotajā piemērā cena nemainās). Konkrētā gadā tālākā nākotnē (gadā </w:t>
      </w:r>
      <w:r w:rsidRPr="00B03B51">
        <w:rPr>
          <w:rFonts w:ascii="Times New Roman" w:hAnsi="Times New Roman" w:cs="Times New Roman"/>
          <w:i/>
          <w:iCs/>
          <w:sz w:val="24"/>
        </w:rPr>
        <w:t>t+20</w:t>
      </w:r>
      <w:r w:rsidRPr="00B03B51">
        <w:rPr>
          <w:rFonts w:ascii="Times New Roman" w:hAnsi="Times New Roman" w:cs="Times New Roman"/>
          <w:sz w:val="24"/>
        </w:rPr>
        <w:t>) ir jāizmaksā pensijas 50 vienību apmērā, un tās tiek maksātas no nodotajiem aktīviem. Ietekmes uz valdības neto aizdevumu/aizņēmumu (B.9) nav, jo nav jāņem aizdevums, lai varētu izmaksāt pensijas (korekcija nefinanšu kontos ir ierakstīta kā D.75).</w:t>
      </w:r>
    </w:p>
    <w:p w14:paraId="698ED72D" w14:textId="77777777" w:rsidR="00994F93" w:rsidRPr="00B03B51" w:rsidRDefault="00994F93" w:rsidP="00994F93">
      <w:pPr>
        <w:jc w:val="both"/>
        <w:rPr>
          <w:rFonts w:ascii="Times New Roman" w:eastAsia="Arial" w:hAnsi="Times New Roman" w:cs="Times New Roman"/>
          <w:noProof/>
          <w:sz w:val="24"/>
          <w:szCs w:val="14"/>
        </w:rPr>
      </w:pPr>
    </w:p>
    <w:p w14:paraId="27E1CD0A" w14:textId="2A86822D" w:rsidR="00994F93" w:rsidRPr="00B03B51" w:rsidRDefault="000E669F" w:rsidP="003E20F3">
      <w:pPr>
        <w:jc w:val="center"/>
        <w:rPr>
          <w:rFonts w:ascii="Times New Roman" w:hAnsi="Times New Roman" w:cs="Times New Roman"/>
          <w:b/>
          <w:noProof/>
          <w:sz w:val="24"/>
        </w:rPr>
      </w:pPr>
      <w:r w:rsidRPr="00B03B51">
        <w:rPr>
          <w:rFonts w:ascii="Times New Roman" w:hAnsi="Times New Roman" w:cs="Times New Roman"/>
          <w:b/>
          <w:noProof/>
          <w:sz w:val="24"/>
        </w:rPr>
        <w:lastRenderedPageBreak/>
        <w:drawing>
          <wp:inline distT="0" distB="0" distL="0" distR="0" wp14:anchorId="35094F8D" wp14:editId="23E94376">
            <wp:extent cx="5760085" cy="5450205"/>
            <wp:effectExtent l="0" t="0" r="0" b="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760085" cy="5450205"/>
                    </a:xfrm>
                    <a:prstGeom prst="rect">
                      <a:avLst/>
                    </a:prstGeom>
                    <a:noFill/>
                    <a:ln>
                      <a:noFill/>
                    </a:ln>
                  </pic:spPr>
                </pic:pic>
              </a:graphicData>
            </a:graphic>
          </wp:inline>
        </w:drawing>
      </w:r>
    </w:p>
    <w:p w14:paraId="1C83BD7F" w14:textId="77777777" w:rsidR="00994F93" w:rsidRPr="00B03B51" w:rsidRDefault="00994F93" w:rsidP="00994F93">
      <w:pPr>
        <w:jc w:val="both"/>
        <w:rPr>
          <w:rFonts w:ascii="Times New Roman" w:eastAsia="Arial" w:hAnsi="Times New Roman" w:cs="Times New Roman"/>
          <w:noProof/>
          <w:sz w:val="24"/>
        </w:rPr>
      </w:pPr>
    </w:p>
    <w:p w14:paraId="050961D8" w14:textId="77777777" w:rsidR="00994F93" w:rsidRPr="00B03B51" w:rsidRDefault="00994F93" w:rsidP="00994F93">
      <w:pPr>
        <w:tabs>
          <w:tab w:val="left" w:pos="919"/>
        </w:tabs>
        <w:jc w:val="both"/>
        <w:rPr>
          <w:rFonts w:ascii="Times New Roman" w:hAnsi="Times New Roman" w:cs="Times New Roman"/>
          <w:b/>
          <w:noProof/>
          <w:sz w:val="24"/>
        </w:rPr>
      </w:pPr>
      <w:r w:rsidRPr="00B03B51">
        <w:rPr>
          <w:rFonts w:ascii="Times New Roman" w:hAnsi="Times New Roman" w:cs="Times New Roman"/>
          <w:b/>
          <w:sz w:val="24"/>
        </w:rPr>
        <w:t>b) Darījums nav līdzsvarots</w:t>
      </w:r>
    </w:p>
    <w:p w14:paraId="53FB517E" w14:textId="77777777" w:rsidR="00994F93" w:rsidRPr="00B03B51" w:rsidRDefault="00994F93" w:rsidP="00994F93">
      <w:pPr>
        <w:jc w:val="both"/>
        <w:rPr>
          <w:rFonts w:ascii="Times New Roman" w:eastAsia="Arial" w:hAnsi="Times New Roman" w:cs="Times New Roman"/>
          <w:b/>
          <w:bCs/>
          <w:noProof/>
          <w:sz w:val="24"/>
          <w:szCs w:val="21"/>
        </w:rPr>
      </w:pPr>
    </w:p>
    <w:p w14:paraId="6B722730" w14:textId="77777777" w:rsidR="00994F93" w:rsidRPr="00B03B51" w:rsidRDefault="00994F93" w:rsidP="00994F93">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t>Tajā pašā operācijā, pensiju saistību vērtībai atbilstot 1000 vienībām, valdība pretī saņem naudu 500 vienību apmērā un nekavējoties iegulda to F.3 (vai visticamāk tieši F.3 vai F.5 aktīvos – šajā vienkāršotajā piemērā cena nemainās). Šis iztrūkums tiek atspoguļots kā kapitāla pārvedums, jo valdība ir faktiski uzņēmusies sabiedrības netiešas AF.64 saistības mājsaimniecībām (kas neparādās piemērā, jo sabiedrību sektors ir konsolidēts ar mājsaimniecību sektoru). Atšķirībā no iepriekšējā piemēra šajā gadījumā gadā </w:t>
      </w:r>
      <w:r w:rsidRPr="00B03B51">
        <w:rPr>
          <w:rFonts w:ascii="Times New Roman" w:hAnsi="Times New Roman" w:cs="Times New Roman"/>
          <w:i/>
          <w:iCs/>
          <w:sz w:val="24"/>
        </w:rPr>
        <w:t>t+20</w:t>
      </w:r>
      <w:r w:rsidRPr="00B03B51">
        <w:rPr>
          <w:rFonts w:ascii="Times New Roman" w:hAnsi="Times New Roman" w:cs="Times New Roman"/>
          <w:sz w:val="24"/>
        </w:rPr>
        <w:t xml:space="preserve"> izmaksājamo pensiju vērtība atbilst 50 vienībām, taču valdībai vairs nav aktīvu, no kuriem tā varētu finansēt šīs pensijas, tāpēc tai jāņem jauni aizņēmumi, kas aizstātu AF.63 (tas varētu ietekmēt valdības (</w:t>
      </w:r>
      <w:r w:rsidRPr="00B03B51">
        <w:rPr>
          <w:rFonts w:ascii="Times New Roman" w:hAnsi="Times New Roman" w:cs="Times New Roman"/>
          <w:i/>
          <w:iCs/>
          <w:sz w:val="24"/>
        </w:rPr>
        <w:t>EDP</w:t>
      </w:r>
      <w:r w:rsidRPr="00B03B51">
        <w:rPr>
          <w:rFonts w:ascii="Times New Roman" w:hAnsi="Times New Roman" w:cs="Times New Roman"/>
          <w:sz w:val="24"/>
        </w:rPr>
        <w:t>) parādu, jo pretēji AF.6 tas ir instruments, kurš tajā ir iekļauts).</w:t>
      </w:r>
    </w:p>
    <w:p w14:paraId="1556432B" w14:textId="77777777" w:rsidR="00994F93" w:rsidRPr="00B03B51" w:rsidRDefault="00994F93" w:rsidP="00994F93">
      <w:pPr>
        <w:jc w:val="both"/>
        <w:rPr>
          <w:rFonts w:ascii="Times New Roman" w:eastAsia="Arial" w:hAnsi="Times New Roman" w:cs="Times New Roman"/>
          <w:noProof/>
          <w:sz w:val="24"/>
          <w:szCs w:val="20"/>
        </w:rPr>
      </w:pPr>
    </w:p>
    <w:p w14:paraId="295B7D4C" w14:textId="417C57DC" w:rsidR="00994F93" w:rsidRPr="00B03B51" w:rsidRDefault="000E669F" w:rsidP="00994F93">
      <w:pPr>
        <w:jc w:val="both"/>
        <w:rPr>
          <w:rFonts w:ascii="Times New Roman" w:eastAsia="Arial" w:hAnsi="Times New Roman" w:cs="Times New Roman"/>
          <w:noProof/>
          <w:sz w:val="24"/>
          <w:szCs w:val="29"/>
        </w:rPr>
      </w:pPr>
      <w:r w:rsidRPr="00B03B51">
        <w:rPr>
          <w:rFonts w:ascii="Times New Roman" w:eastAsia="Arial" w:hAnsi="Times New Roman" w:cs="Times New Roman"/>
          <w:noProof/>
          <w:sz w:val="24"/>
          <w:szCs w:val="29"/>
        </w:rPr>
        <w:lastRenderedPageBreak/>
        <w:drawing>
          <wp:inline distT="0" distB="0" distL="0" distR="0" wp14:anchorId="33BA1043" wp14:editId="27C0AC7B">
            <wp:extent cx="5760085" cy="1367155"/>
            <wp:effectExtent l="0" t="0" r="0" b="4445"/>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760085" cy="1367155"/>
                    </a:xfrm>
                    <a:prstGeom prst="rect">
                      <a:avLst/>
                    </a:prstGeom>
                    <a:noFill/>
                    <a:ln>
                      <a:noFill/>
                    </a:ln>
                  </pic:spPr>
                </pic:pic>
              </a:graphicData>
            </a:graphic>
          </wp:inline>
        </w:drawing>
      </w:r>
    </w:p>
    <w:p w14:paraId="35E29AB0" w14:textId="596F7D07" w:rsidR="00994F93" w:rsidRPr="00B03B51" w:rsidRDefault="000E669F" w:rsidP="003E20F3">
      <w:pPr>
        <w:jc w:val="center"/>
        <w:rPr>
          <w:rFonts w:ascii="Times New Roman" w:eastAsia="Arial" w:hAnsi="Times New Roman" w:cs="Times New Roman"/>
          <w:noProof/>
          <w:sz w:val="24"/>
          <w:szCs w:val="29"/>
        </w:rPr>
      </w:pPr>
      <w:r w:rsidRPr="00B03B51">
        <w:rPr>
          <w:rFonts w:ascii="Times New Roman" w:eastAsia="Arial" w:hAnsi="Times New Roman" w:cs="Times New Roman"/>
          <w:noProof/>
          <w:sz w:val="24"/>
          <w:szCs w:val="29"/>
        </w:rPr>
        <w:drawing>
          <wp:inline distT="0" distB="0" distL="0" distR="0" wp14:anchorId="4A92A8DD" wp14:editId="0D0C74EE">
            <wp:extent cx="5760085" cy="4859655"/>
            <wp:effectExtent l="0" t="0" r="0" b="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760085" cy="4859655"/>
                    </a:xfrm>
                    <a:prstGeom prst="rect">
                      <a:avLst/>
                    </a:prstGeom>
                    <a:noFill/>
                    <a:ln>
                      <a:noFill/>
                    </a:ln>
                  </pic:spPr>
                </pic:pic>
              </a:graphicData>
            </a:graphic>
          </wp:inline>
        </w:drawing>
      </w:r>
    </w:p>
    <w:p w14:paraId="3837E13A" w14:textId="77777777" w:rsidR="00994F93" w:rsidRPr="00B03B51" w:rsidRDefault="00994F93" w:rsidP="00994F93">
      <w:pPr>
        <w:rPr>
          <w:rFonts w:ascii="Times New Roman" w:eastAsia="Arial" w:hAnsi="Times New Roman" w:cs="Times New Roman"/>
          <w:noProof/>
          <w:sz w:val="24"/>
          <w:szCs w:val="29"/>
        </w:rPr>
      </w:pPr>
      <w:r w:rsidRPr="00B03B51">
        <w:rPr>
          <w:rFonts w:ascii="Times New Roman" w:hAnsi="Times New Roman" w:cs="Times New Roman"/>
        </w:rPr>
        <w:br w:type="page"/>
      </w:r>
    </w:p>
    <w:p w14:paraId="52C844E9" w14:textId="77777777" w:rsidR="00994F93" w:rsidRPr="00B03B51" w:rsidRDefault="00994F93" w:rsidP="00994F93">
      <w:pPr>
        <w:jc w:val="both"/>
        <w:rPr>
          <w:rFonts w:ascii="Times New Roman" w:eastAsia="Arial" w:hAnsi="Times New Roman" w:cs="Times New Roman"/>
          <w:noProof/>
          <w:sz w:val="24"/>
          <w:szCs w:val="29"/>
        </w:rPr>
      </w:pPr>
    </w:p>
    <w:p w14:paraId="68088C7D" w14:textId="77777777" w:rsidR="00994F93" w:rsidRPr="00B03B51" w:rsidRDefault="00994F93" w:rsidP="00994F93">
      <w:pPr>
        <w:pStyle w:val="Heading2"/>
        <w:spacing w:before="0"/>
        <w:ind w:left="0" w:firstLine="0"/>
        <w:jc w:val="both"/>
        <w:rPr>
          <w:rFonts w:ascii="Times New Roman" w:hAnsi="Times New Roman" w:cs="Times New Roman"/>
          <w:noProof/>
          <w:sz w:val="28"/>
          <w:szCs w:val="44"/>
        </w:rPr>
      </w:pPr>
      <w:bookmarkStart w:id="278" w:name="3.7_Impact_on_government_accounts_of__tr"/>
      <w:bookmarkStart w:id="279" w:name="_bookmark27"/>
      <w:bookmarkStart w:id="280" w:name="_Toc67565110"/>
      <w:bookmarkEnd w:id="278"/>
      <w:bookmarkEnd w:id="279"/>
      <w:r w:rsidRPr="00B03B51">
        <w:rPr>
          <w:rFonts w:ascii="Times New Roman" w:hAnsi="Times New Roman" w:cs="Times New Roman"/>
          <w:sz w:val="28"/>
          <w:szCs w:val="44"/>
        </w:rPr>
        <w:t>3.7. Ekspluatācijas pārtraukšanas izmaksu pārneses ietekme uz valdības kontiem</w:t>
      </w:r>
      <w:bookmarkEnd w:id="280"/>
    </w:p>
    <w:p w14:paraId="2B027C31" w14:textId="77777777" w:rsidR="00994F93" w:rsidRPr="00100B51" w:rsidRDefault="00994F93" w:rsidP="00100B51">
      <w:pPr>
        <w:rPr>
          <w:rFonts w:ascii="Times New Roman" w:hAnsi="Times New Roman" w:cs="Times New Roman"/>
          <w:noProof/>
          <w:sz w:val="24"/>
          <w:szCs w:val="24"/>
        </w:rPr>
      </w:pPr>
      <w:bookmarkStart w:id="281" w:name="3.7.1_Background"/>
      <w:bookmarkEnd w:id="281"/>
    </w:p>
    <w:p w14:paraId="1963230B" w14:textId="77777777" w:rsidR="00994F93" w:rsidRPr="00B03B51" w:rsidRDefault="00994F93" w:rsidP="00994F93">
      <w:pPr>
        <w:pStyle w:val="Heading3"/>
        <w:ind w:left="0" w:firstLine="0"/>
        <w:jc w:val="both"/>
        <w:rPr>
          <w:rFonts w:ascii="Times New Roman" w:hAnsi="Times New Roman" w:cs="Times New Roman"/>
          <w:noProof/>
          <w:sz w:val="24"/>
        </w:rPr>
      </w:pPr>
      <w:bookmarkStart w:id="282" w:name="_Toc67565111"/>
      <w:r w:rsidRPr="00B03B51">
        <w:rPr>
          <w:rFonts w:ascii="Times New Roman" w:hAnsi="Times New Roman" w:cs="Times New Roman"/>
          <w:sz w:val="24"/>
        </w:rPr>
        <w:t>3.7.1. Vispārīga informācija</w:t>
      </w:r>
      <w:bookmarkEnd w:id="282"/>
    </w:p>
    <w:p w14:paraId="0B441C2A"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4EF92F74"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 Ekspluatācijas pārtraukšana ir darbība, kas ietver ražošanas/rūpniecības vietas demontāžu (nojaukšanu), lai to sakārtotu tā, lai šī vieta vai teritorija ap to būtu pieejama turpmākai izmantošanai. Mērķis varētu būt atkārtoti izmantot ēkas un/vai citas ietaises vai pilnībā pārveidot šo vietu citiem nolūkiem (piemēram, pārveidot to par parku).</w:t>
      </w:r>
    </w:p>
    <w:p w14:paraId="489E57D2"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7D9BF597"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2. Šajā nodaļā tiek skatīts galvenokārt jautājums par ekspluatācijas pārtraukšanas ierakstīšanu gadījumos, kad no ekspluatācijas noņemamais aktīvs tiek nodots valdībai, kas pārņems turpmākās ekspluatācijas pārtraukšanas izmaksas. Šis gadījums atšķiras no tā, kad valdībai jau no paša sākuma pieder aktīvs, kura ekspluatācija būs kādreiz nākotnē jāpārtrauc. Ir vairāki šādi situāciju piemēri, piemēram, “eksperimentālās” iekārtas (piemēram, kodolenerģētikas jomā), militārās bāzes, laboratorijas, citas ļoti nozīmīgas ietaises utt. Tas atšķiras arī no gadījuma, kurā publiska sabiedrība tur tikai no ekspluatācijas noņemamos aktīvus, un tā būtu pārklasificējama vispārējās valdības sektorā, tiklīdz tā vairs neatbilst tirgus vienības kritērijam, kas notiks vēlākais tad, kad vienība vairs nenodarbosies ar ražojošu darbību (piemēram, spēkstacija tiek atvienota no elektroenerģijas tīkla).</w:t>
      </w:r>
    </w:p>
    <w:p w14:paraId="6329AE0B"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5106D681"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3. Šajā nodaļā tiek skatīts jautājums arī par iemaksām ekspluatācijas pārtraukšanas fondos, ko klasificē vispārējās valdības sektorā. Šie fondi ietver visu veidu aktīvus, kas īpaši paredzēti ietaišu ekspluatācijas pārtraukšanai nepieciešamo izdevumu segšanai, un parasti tos pārvalda iecelta struktūra, kas pieņem lēmumus neatkarīgi no subjektiem, kas veic iemaksas šajā fondā un kas var būt publiski vai privāti subjekti.</w:t>
      </w:r>
    </w:p>
    <w:p w14:paraId="0E5FEC08"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10EEA83B"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4. Ekspluatācijas pārtraukšanas process var attiekties uz šādiem aktīviem: kodolspēkstacijām, naftas urbjtorņiem, raktuvēm, karjeriem, kompleksām ražošanas rūpnīcām (ķīmijas, pārstrādes utt.), pildizgāztuvēm u. c. Šis saraksts ir nepilnīgs. Dažu aktīvu ekspluatācijas pārtraukšana var ilgt vairākus gadus. Tas jo īpaši tā ir kodolspēkstaciju gadījumā, kad esošā radioaktivitātes līmeņa dēļ būtiskas darbības ar reaktora serdi drīkst veikt tikai tad, kad radioaktivitātes līmenis ir ievērojami samazinājies. Citos gadījumos šīs darbības var veikt salīdzinoši īsākā laikā.</w:t>
      </w:r>
    </w:p>
    <w:p w14:paraId="2EB89130"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79A6A94A"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5. Izmaksas var būt ļoti dažādas, sākot no visai niecīgām salīdzinājumā ar pamatlīdzekļu sākotnējo vērtību līdz pat ļoti būtiskām, jo īpaši, ja ir jānodrošina vides aizsardzība. Praksē ekspluatācijas pārtraukšanas projekts var iekļaut arī būtiskas izmaksas, kas ir saistītas ar ilgtermiņa atkritumu apsaimniekošanas darbībām, piemēram, bieži vien kodolspēkstaciju gadījumā projekta kopējām izmaksām varētu pievienot kodolatkritumu turpmākās apstrādes un/vai uzglabāšanas izmaksas (t. i., pēc to drošas aizvākšanas no kodolspēkstacijas). Vienkāršības labad ekspluatācijas pārtraukšanas un ilgtermiņa atkritumu apsaimniekošanas apvienotās izmaksas šajā dokumentā norāda kā ekspluatācijas pārtraukšanas izmaksas.</w:t>
      </w:r>
    </w:p>
    <w:p w14:paraId="09B96755"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28BDEDA4"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 xml:space="preserve">6. Kopumā šādas ražošanas vietas parasti pieder sabiedrībām, kas tiek uzskatītas par tirgus ražotājiem, ko klasificē nefinanšu sabiedrību sektorā (S.11), un kas arī ir atbildīgas par izbeigšanas (ekspluatācijas pārtraukšanas) izmaksām, valdībai tieši finansiāli neiesaistoties. Dažām no tām (jo īpaši, kad tās ir kotētas sabiedrības) uzņēmējdarbības struktūra un grāmatvedības prasības var uzlikt par pienākumu izstrādāt noteikumus, lai arī ir skaidrs, ka būs nepieciešami turpmākie izdevumi, precīzas summas nav skaidras un tiek noteiktas, balstoties </w:t>
      </w:r>
      <w:r w:rsidRPr="00B03B51">
        <w:rPr>
          <w:rFonts w:ascii="Times New Roman" w:hAnsi="Times New Roman" w:cs="Times New Roman"/>
          <w:sz w:val="24"/>
        </w:rPr>
        <w:lastRenderedPageBreak/>
        <w:t>uz aplēsēm. Ņemot vērā, ka ir iespējamas papildu sekas, var būt arī īpaši starptautiski nolīgumi dažās ražošanas jomās, kā tas ir attiecībā uz kodolenerģiju.</w:t>
      </w:r>
    </w:p>
    <w:p w14:paraId="1952642D"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08D9E3A6"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7. Valdība var iesaistīties ekspluatācijas pārtraukšanas darbībās dažādos veidos. Valdības vienībai var piederēt šādi aktīvi jau no to ekspluatācijas laika sākuma vai arī tā var tos iegādāties vēlāk dažādos veidos. Valdība var arī finansēt ekspluatācijas pārtraukšanas izmaksas par aktīviem, kas pieder sabiedrībām, ar dotāciju (D.92) starpniecību, ja tiek uzskatīts, ka izmaksas ir būtiskas, vai arī kādu citu iemeslu dēļ, piemēram, ja valdība ir atbildīga par vides aizsardzību.</w:t>
      </w:r>
    </w:p>
    <w:p w14:paraId="29FF0DDB"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38C34707"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8. Valdība var arī pieprasīt īpašu fondu izveidi, zinot, ka nefinanšu sabiedrību sektorā ir iekārtas, kuras nākotnē būs jāizņem no ekspluatācijas. Šos fondus var pat nodot valdības pārziņā, lai nodrošinātu to pieejamību un pietiekamību. Var veikt regulāras iemaksas fondos (piemēram, gada maksājumus) vai arī izmantot vienreizējus maksājumus. Atbildība par iespējamu turpmāko fonda nepietiekamību būs atkarīga no valsts tiesiskā un normatīvā regulējuma.</w:t>
      </w:r>
    </w:p>
    <w:p w14:paraId="3688A16C" w14:textId="77777777" w:rsidR="00994F93" w:rsidRPr="00B03B51" w:rsidRDefault="00994F93" w:rsidP="00994F93">
      <w:pPr>
        <w:jc w:val="both"/>
        <w:rPr>
          <w:rFonts w:ascii="Times New Roman" w:eastAsia="Arial" w:hAnsi="Times New Roman" w:cs="Times New Roman"/>
          <w:noProof/>
          <w:sz w:val="24"/>
          <w:szCs w:val="15"/>
        </w:rPr>
      </w:pPr>
    </w:p>
    <w:p w14:paraId="32A589D2" w14:textId="77777777" w:rsidR="00994F93" w:rsidRPr="00B03B51" w:rsidRDefault="00994F93" w:rsidP="00994F93">
      <w:pPr>
        <w:pStyle w:val="Heading6"/>
        <w:ind w:left="0" w:firstLine="0"/>
        <w:jc w:val="both"/>
        <w:rPr>
          <w:rFonts w:ascii="Times New Roman" w:hAnsi="Times New Roman" w:cs="Times New Roman"/>
          <w:noProof/>
          <w:sz w:val="24"/>
        </w:rPr>
      </w:pPr>
      <w:bookmarkStart w:id="283" w:name="3.7.1.1_Overview_of_the_treatment_in_nat"/>
      <w:bookmarkEnd w:id="283"/>
      <w:r w:rsidRPr="00B03B51">
        <w:rPr>
          <w:rFonts w:ascii="Times New Roman" w:hAnsi="Times New Roman" w:cs="Times New Roman"/>
          <w:sz w:val="24"/>
        </w:rPr>
        <w:t>3.7.1.1. PĀRSKATS PAR TRAKTĒJUMU NACIONĀLAJOS KONTOS</w:t>
      </w:r>
    </w:p>
    <w:p w14:paraId="13A5121C"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3EB48753"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 xml:space="preserve">9. Noteikumi par ekspluatācijas pārtraukšanas izmaksām tika ieviesti 2008 NKS un EKS 2010. Atzīstot praktiskas grūtības NKS 2008 pieejas vispārējā piemērošanā, rokasgrāmatā </w:t>
      </w:r>
      <w:r w:rsidRPr="00B03B51">
        <w:rPr>
          <w:rFonts w:ascii="Times New Roman" w:hAnsi="Times New Roman" w:cs="Times New Roman"/>
          <w:i/>
          <w:iCs/>
          <w:sz w:val="24"/>
        </w:rPr>
        <w:t>Manual on the changes between ESA 95 and ESA 2010</w:t>
      </w:r>
      <w:r w:rsidRPr="00B03B51">
        <w:rPr>
          <w:rFonts w:ascii="Times New Roman" w:hAnsi="Times New Roman" w:cs="Times New Roman"/>
          <w:sz w:val="24"/>
        </w:rPr>
        <w:t xml:space="preserve"> [Rokasgrāmata par izmaiņām EKS 2010 attiecībā pret EKS 95] sniegts ieteikums izmantot praktisku pieeju.</w:t>
      </w:r>
    </w:p>
    <w:p w14:paraId="2EB85C1C"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71B279A8"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10. Praktiska pieeja nozīmē, ka ekspluatācijas pārtraukšanas izmaksas var parādīt pamatkapitāla patēriņā (P.51c) aktīva ekspluatācijas termiņa beigās (brīdī, kad rodas faktiskie izdevumi). Vai arī gaidāmās ekspluatācijas pārtraukšanas izmaksas var parādīt pamatkapitāla patēriņā visā aktīva ekspluatācijas periodā, kas ir NKS teorētiskā pieeja, ja ir pieejama uzticama informācija. Ir pieļaujami abi traktējuma veidi.</w:t>
      </w:r>
    </w:p>
    <w:p w14:paraId="66F219EA"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70D917D2"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11. EKS 2010 3.129. punkta h) apakšpunktā norādīts, ka gala izmaksas, t. i., lielas izmaksas, kas saistītas ar likvidāciju, piemēram, kodolspēkstaciju ekspluatācijas pārtraukšanas izmaksas vai pildizgāztuvju uzkopšanas izmaksas, tiek uzskatītas par bruto pamatkapitāla veidošanu (</w:t>
      </w:r>
      <w:r w:rsidRPr="00B03B51">
        <w:rPr>
          <w:rFonts w:ascii="Times New Roman" w:hAnsi="Times New Roman" w:cs="Times New Roman"/>
          <w:i/>
          <w:iCs/>
          <w:sz w:val="24"/>
        </w:rPr>
        <w:t>GFCF</w:t>
      </w:r>
      <w:r w:rsidRPr="00B03B51">
        <w:rPr>
          <w:rFonts w:ascii="Times New Roman" w:hAnsi="Times New Roman" w:cs="Times New Roman"/>
          <w:sz w:val="24"/>
        </w:rPr>
        <w:t xml:space="preserve">, P.51g) periodā, kurā tās faktiski notiek. Tomēr sliekšņa noteikšana šādām “lielām” izmaksām varētu būt visai patvaļīga. Attiecīgi nav ieteicams ekspluatācijas pārtraukšanas izmaksu vērtību uzskatīt par operatīvu kritēriju attiecībā uz šo izmaksu klasificēšanu kā </w:t>
      </w:r>
      <w:r w:rsidRPr="00B03B51">
        <w:rPr>
          <w:rFonts w:ascii="Times New Roman" w:hAnsi="Times New Roman" w:cs="Times New Roman"/>
          <w:i/>
          <w:iCs/>
          <w:sz w:val="24"/>
        </w:rPr>
        <w:t>GFCF</w:t>
      </w:r>
      <w:r w:rsidRPr="00B03B51">
        <w:rPr>
          <w:rFonts w:ascii="Times New Roman" w:hAnsi="Times New Roman" w:cs="Times New Roman"/>
          <w:sz w:val="24"/>
        </w:rPr>
        <w:t xml:space="preserve">, jo tas var mazināt ES dalībvalstu datu salīdzināmību. Tā vietā pieņemamāka alternatīva varētu būt kā kritēriju izmantot periodu, kas nepieciešams ekspluatācijas pārtraukšanai, t. i., “vairāk vai mazāk par vienu gadu”, lai izlemtu, vai ar ekspluatācijas pārtraukšanas darbību saistītās izmaksas ir ierakstāmas kā </w:t>
      </w:r>
      <w:r w:rsidRPr="00B03B51">
        <w:rPr>
          <w:rFonts w:ascii="Times New Roman" w:hAnsi="Times New Roman" w:cs="Times New Roman"/>
          <w:i/>
          <w:iCs/>
          <w:sz w:val="24"/>
        </w:rPr>
        <w:t>GFCF</w:t>
      </w:r>
      <w:r w:rsidRPr="00B03B51">
        <w:rPr>
          <w:rFonts w:ascii="Times New Roman" w:hAnsi="Times New Roman" w:cs="Times New Roman"/>
          <w:sz w:val="24"/>
        </w:rPr>
        <w:t xml:space="preserve">. Tomēr kā iespējamais izņēmums varētu būt arī gadījumi, kad nozīmīgi ekspluatācijas pārtraukšanas izdevumi notiek periodā, kas ir īsāks par vienu gadu, tomēr joprojām tiek uzskatīti par </w:t>
      </w:r>
      <w:r w:rsidRPr="00B03B51">
        <w:rPr>
          <w:rFonts w:ascii="Times New Roman" w:hAnsi="Times New Roman" w:cs="Times New Roman"/>
          <w:i/>
          <w:iCs/>
          <w:sz w:val="24"/>
        </w:rPr>
        <w:t>GFCF</w:t>
      </w:r>
      <w:r w:rsidRPr="00B03B51">
        <w:rPr>
          <w:rFonts w:ascii="Times New Roman" w:hAnsi="Times New Roman" w:cs="Times New Roman"/>
          <w:sz w:val="24"/>
        </w:rPr>
        <w:t>.</w:t>
      </w:r>
    </w:p>
    <w:p w14:paraId="5373D01E"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1D04006B"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 xml:space="preserve">12. Izmaksas, kas nav kvalificējamas kā ekspluatācijas pārtraukšanas izmaksas, traktē nevis kā </w:t>
      </w:r>
      <w:r w:rsidRPr="00B03B51">
        <w:rPr>
          <w:rFonts w:ascii="Times New Roman" w:hAnsi="Times New Roman" w:cs="Times New Roman"/>
          <w:i/>
          <w:iCs/>
          <w:sz w:val="24"/>
        </w:rPr>
        <w:t>GFCF</w:t>
      </w:r>
      <w:r w:rsidRPr="00B03B51">
        <w:rPr>
          <w:rFonts w:ascii="Times New Roman" w:hAnsi="Times New Roman" w:cs="Times New Roman"/>
          <w:sz w:val="24"/>
        </w:rPr>
        <w:t>, bet kopumā kā starppatēriņu (P.2).</w:t>
      </w:r>
    </w:p>
    <w:p w14:paraId="3D90C377" w14:textId="77777777" w:rsidR="00994F93" w:rsidRPr="00B03B51" w:rsidRDefault="00994F93" w:rsidP="00994F93">
      <w:pPr>
        <w:jc w:val="both"/>
        <w:rPr>
          <w:rFonts w:ascii="Times New Roman" w:eastAsia="Arial" w:hAnsi="Times New Roman" w:cs="Times New Roman"/>
          <w:noProof/>
          <w:sz w:val="24"/>
          <w:szCs w:val="18"/>
        </w:rPr>
      </w:pPr>
    </w:p>
    <w:p w14:paraId="75A787B7" w14:textId="77777777" w:rsidR="00994F93" w:rsidRPr="00B03B51" w:rsidRDefault="00994F93" w:rsidP="00994F93">
      <w:pPr>
        <w:pStyle w:val="Heading3"/>
        <w:tabs>
          <w:tab w:val="left" w:pos="1267"/>
        </w:tabs>
        <w:ind w:left="0" w:firstLine="0"/>
        <w:jc w:val="both"/>
        <w:rPr>
          <w:rFonts w:ascii="Times New Roman" w:hAnsi="Times New Roman" w:cs="Times New Roman"/>
          <w:noProof/>
          <w:sz w:val="24"/>
        </w:rPr>
      </w:pPr>
      <w:bookmarkStart w:id="284" w:name="3.7.2_Treatment_in_national_accounts"/>
      <w:bookmarkStart w:id="285" w:name="_Toc67565112"/>
      <w:bookmarkEnd w:id="284"/>
      <w:r w:rsidRPr="00B03B51">
        <w:rPr>
          <w:rFonts w:ascii="Times New Roman" w:hAnsi="Times New Roman" w:cs="Times New Roman"/>
          <w:sz w:val="24"/>
        </w:rPr>
        <w:t>3.7.2. Traktējums nacionālajos kontos</w:t>
      </w:r>
      <w:bookmarkEnd w:id="285"/>
    </w:p>
    <w:p w14:paraId="370E6F5E" w14:textId="77777777" w:rsidR="00994F93" w:rsidRPr="00186A44" w:rsidRDefault="00994F93" w:rsidP="00186A44">
      <w:pPr>
        <w:rPr>
          <w:rFonts w:ascii="Times New Roman" w:hAnsi="Times New Roman" w:cs="Times New Roman"/>
          <w:noProof/>
          <w:sz w:val="24"/>
          <w:szCs w:val="24"/>
        </w:rPr>
      </w:pPr>
      <w:bookmarkStart w:id="286" w:name="3.7.2.1_Transfer_of_assets_to_government"/>
      <w:bookmarkEnd w:id="286"/>
    </w:p>
    <w:p w14:paraId="3FD3349A" w14:textId="77777777" w:rsidR="00994F93" w:rsidRPr="00B03B51" w:rsidRDefault="00994F93" w:rsidP="00994F93">
      <w:pPr>
        <w:pStyle w:val="Heading6"/>
        <w:tabs>
          <w:tab w:val="left" w:pos="1267"/>
        </w:tabs>
        <w:ind w:left="0" w:firstLine="0"/>
        <w:jc w:val="both"/>
        <w:rPr>
          <w:rFonts w:ascii="Times New Roman" w:hAnsi="Times New Roman" w:cs="Times New Roman"/>
          <w:noProof/>
          <w:sz w:val="24"/>
        </w:rPr>
      </w:pPr>
      <w:r w:rsidRPr="00B03B51">
        <w:rPr>
          <w:rFonts w:ascii="Times New Roman" w:hAnsi="Times New Roman" w:cs="Times New Roman"/>
          <w:sz w:val="24"/>
        </w:rPr>
        <w:t>3.7.2.1. AKTĪVU PĀRVEDUMS VALDĪBAI</w:t>
      </w:r>
    </w:p>
    <w:p w14:paraId="2495CE6A"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221C8383"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 xml:space="preserve">13. </w:t>
      </w:r>
      <w:r w:rsidRPr="00B03B51">
        <w:rPr>
          <w:rFonts w:ascii="Times New Roman" w:hAnsi="Times New Roman" w:cs="Times New Roman"/>
          <w:i/>
          <w:iCs/>
          <w:sz w:val="24"/>
        </w:rPr>
        <w:t>GFCF</w:t>
      </w:r>
      <w:r w:rsidRPr="00B03B51">
        <w:rPr>
          <w:rFonts w:ascii="Times New Roman" w:hAnsi="Times New Roman" w:cs="Times New Roman"/>
          <w:sz w:val="24"/>
        </w:rPr>
        <w:t xml:space="preserve"> postenī ir jāieraksta darījuma novērotā summa. Ja aktīvs tiek pārnests bez maksas, valdības </w:t>
      </w:r>
      <w:r w:rsidRPr="00B03B51">
        <w:rPr>
          <w:rFonts w:ascii="Times New Roman" w:hAnsi="Times New Roman" w:cs="Times New Roman"/>
          <w:i/>
          <w:iCs/>
          <w:sz w:val="24"/>
        </w:rPr>
        <w:t>GFCF</w:t>
      </w:r>
      <w:r w:rsidRPr="00B03B51">
        <w:rPr>
          <w:rFonts w:ascii="Times New Roman" w:hAnsi="Times New Roman" w:cs="Times New Roman"/>
          <w:sz w:val="24"/>
        </w:rPr>
        <w:t xml:space="preserve"> palielinājums būtu jākompensē ar kapitāla pārvedumu (natūrā), neietekmējot </w:t>
      </w:r>
      <w:r w:rsidRPr="00B03B51">
        <w:rPr>
          <w:rFonts w:ascii="Times New Roman" w:hAnsi="Times New Roman" w:cs="Times New Roman"/>
          <w:sz w:val="24"/>
        </w:rPr>
        <w:lastRenderedPageBreak/>
        <w:t>valdības neto aizdevumu/aizņēmumu (B.9).</w:t>
      </w:r>
    </w:p>
    <w:p w14:paraId="3AEE0B9C"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59404366"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14. Kad aktīvs tiek pārnests valdībai, būtībā pārvedumā iekļauj arī ar aktīva ekspluatācijas pārtraukšanu saistītās saistības. Pārnesot aktīvu, valdībai līdztekus var veikt vienu vai vairākus secīgus vienreizējus maksājumus.</w:t>
      </w:r>
    </w:p>
    <w:p w14:paraId="11669732"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27C3054C"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15. Ja valdībai tiek sniegts vienreizējs maksājums, kas paredzēts kādu turpmāko ekspluatācijas pārtraukšanas izmaksu segšanai, šī summa ir jāieraksta nevis kā valdības ieņēmumi, bet gan kā finanšu avanss valdībai. Nodotā aktīva sākotnējais īpašnieks vairs nebūs iesaistīts turpmākajā ekspluatācijas pārtraukšanas procesā, tādējādi tas kompensē valdībai to, ka tā uzņemas šo atbildību. Finanšu aktīvu pārvedums “vienreizēja maksājuma” veidā, kas atbilst noteiktai uzkrātai rezervei, ir finanšu darījums ar atbilstošu ierakstu citās kreditoru saistībās (F.8).</w:t>
      </w:r>
    </w:p>
    <w:p w14:paraId="7FAF0DEC"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79B6045A"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16. Ja ir uzskatāms, ka pieejamā informācija ir uzticama, sākumā ir jāsalīdzina ekspluatācijas pārtraukšanas provizoriskās izmaksas un saņemtais vienreizējais maksājums.</w:t>
      </w:r>
    </w:p>
    <w:p w14:paraId="56D1E702"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4D980A5F"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17. Var gadīties, ka spēkā esošās ekspluatācijas pārtraukšanas neto saistības ir zemākas par to patieso vērtību; tādējādi valdība saņem nepietiekamus aktīvus apmaiņā pret to, ka pārņem ekspluatācijas pārtraukšanas saistības, kuru vērtība ir noteikta saskaņā ar vispārpieņemtām aprēķina metodēm. Šādos gadījumos minētās AF.8 saistības palielina līdz pareizai vērtībai un šīs vērtības un nodoto aktīvu vērtības starpību izlīdzina, izmantojot D.99 kapitāla pārvedumu, tādējādi uzreiz tiek ietekmēts valdības neto aizdevums/aizņēmums (B.9). Uzskatāms, ka valdība ir apzināti piekritusi nelīdzsvarotam darījumam, lai sniegtu atbalstu sabiedrībai.</w:t>
      </w:r>
    </w:p>
    <w:p w14:paraId="5CD2C5C3"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1CF9AF38"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18. Kad valdībai rodas ekspluatācijas pārtraukšanas izdevumi, tā tos ieraksta kā finansētus no paredzētajām rezervēm, kas tādējādi nozīmē, ka tiek samazinātas citas kreditoru saistības (F.8) līdz pilnīgai summas izsmelšanai. Tā kā vienreizējs maksājums ir diskontētas vērtības veidā (t. i., tiek ņemts vērā tas, ka izdevumi rodas kādā laikposmā), tas ir atbilstīgi jāpārvērtē, izmantojot īpašuma ienākumu.</w:t>
      </w:r>
    </w:p>
    <w:p w14:paraId="31C3C7F8"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3EDB39A7"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19. Tādējādi līdzīgi kā pensiju saistību nodošanas gadījumā tiklīdz rodas ar ekspluatācijas pārtraukšanu saistītie izdevumi, ietekmi uz valdības neto aizdevumu/aizņēmumu (B.9) neitralizē ar nosacītu ierakstu (ieņēmumiem) valdībai. Šādu ieņēmumu ieraksta vai nu kā saņemamo kapitāla pārvedumu (D.99) (kapitālizdevumiem, kas attiecas uz aktīviem), vai kā saņemamo kārtējo pārvedumu (D.75) (starppatēriņa izdevumiem) par tādu pašu summu, kāda ir ekspluatācijas pārtraukšanas izdevumu summa. Lai arī sākotnējais aktīvu īpašnieks (sabiedrība) šajā laikā varētu jau būt izzudis, tas neliedz īstenot minēto neitralizācijas noteikumu. Tādējādi pēc rezervju (AF.8) izsīkšanas rodas negatīva ietekme uz valdības neto aizdevumu/aizņēmumu (B.9).</w:t>
      </w:r>
    </w:p>
    <w:p w14:paraId="7B3F9D39" w14:textId="77777777" w:rsidR="00994F93" w:rsidRPr="00B03B51" w:rsidRDefault="00994F93" w:rsidP="00994F93">
      <w:pPr>
        <w:jc w:val="both"/>
        <w:rPr>
          <w:rFonts w:ascii="Times New Roman" w:eastAsia="Arial" w:hAnsi="Times New Roman" w:cs="Times New Roman"/>
          <w:noProof/>
          <w:sz w:val="24"/>
          <w:szCs w:val="15"/>
        </w:rPr>
      </w:pPr>
    </w:p>
    <w:p w14:paraId="527F8094" w14:textId="77777777" w:rsidR="00994F93" w:rsidRPr="00B03B51" w:rsidRDefault="00994F93" w:rsidP="00994F93">
      <w:pPr>
        <w:pStyle w:val="Heading6"/>
        <w:tabs>
          <w:tab w:val="left" w:pos="1267"/>
        </w:tabs>
        <w:ind w:left="0" w:firstLine="0"/>
        <w:jc w:val="both"/>
        <w:rPr>
          <w:rFonts w:ascii="Times New Roman" w:hAnsi="Times New Roman" w:cs="Times New Roman"/>
          <w:noProof/>
          <w:sz w:val="24"/>
        </w:rPr>
      </w:pPr>
      <w:bookmarkStart w:id="287" w:name="3.7.2.2_Payments_to_government_with_no_o"/>
      <w:bookmarkEnd w:id="287"/>
      <w:r w:rsidRPr="00B03B51">
        <w:rPr>
          <w:rFonts w:ascii="Times New Roman" w:hAnsi="Times New Roman" w:cs="Times New Roman"/>
          <w:sz w:val="24"/>
        </w:rPr>
        <w:t>3.7.2.2. MAKSĀJUMI VALDĪBAI, NEVEICOT CITUS AKTĪVU PĀRVEDUMUS</w:t>
      </w:r>
    </w:p>
    <w:p w14:paraId="007484C3"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1115DBE6"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20. Var gadīties, ka valdība saņem vienu vai vairākus maksājumus apmaiņā pret to, ka uzņemas turpmākās ekspluatācijas pārtraukšanas saistības, taču attiecīgo iekārtu īpašumtiesības nemainās.</w:t>
      </w:r>
    </w:p>
    <w:p w14:paraId="0EA1BCBB"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6DD21D6C"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 xml:space="preserve">21. Var arī gadīties, ka normatīvā vide paredz, ka aktīva ekspluatanti regulāri veic iemaksas neatkarīgi pārvaldītā fondā, parasti saskaņā ar stingriem valdības izstrādātiem noteikumiem, tādējādi valdība </w:t>
      </w:r>
      <w:r w:rsidRPr="00B03B51">
        <w:rPr>
          <w:rFonts w:ascii="Times New Roman" w:hAnsi="Times New Roman" w:cs="Times New Roman"/>
          <w:i/>
          <w:iCs/>
          <w:sz w:val="24"/>
        </w:rPr>
        <w:t>de facto</w:t>
      </w:r>
      <w:r w:rsidRPr="00B03B51">
        <w:rPr>
          <w:rFonts w:ascii="Times New Roman" w:hAnsi="Times New Roman" w:cs="Times New Roman"/>
          <w:sz w:val="24"/>
        </w:rPr>
        <w:t xml:space="preserve"> kontrolē fondu. Šāda regulējuma mērķis ir nodrošināt fondu pieejamību vajadzīgajā brīdī neatkarīgi no tā, vai par ekspluatācijas pārtraukšanas darbībām joprojām ir atbildīgs ekspluatants.</w:t>
      </w:r>
    </w:p>
    <w:p w14:paraId="30BFA55E"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4337E363"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22. Abos gadījumos šo grāmatvedības traktējumu var pielāgot situācijai, kad aktīvu (piemēram, kodolspēkstaciju) arī nodod valdībai, lai arī šajā gadījumā aktīvs attiecas uz saņemto naudu vai citiem finanšu aktīviem, nevis uz pašu aprīkojumu.</w:t>
      </w:r>
    </w:p>
    <w:p w14:paraId="521B1771"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745F3904"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23. Kā minēts iepriekš, ja īpašnieks sniedz valdībai vienreizēju maksājumu (vai vairākus secīgus maksājumus), kas paredzēts kādu turpmāko ekspluatācijas pārtraukšanas izmaksu segšanai, šo summu ieraksta kā finanšu avansu valdībai. Finanšu aktīvu pārvedums ir finanšu darījums, kuram atbilstošais ieraksts tiek veikts citās kreditoru saistībās (F.8). Ja līdzekļu pārvedums nozīmē, ka tiek nodota atbildība par ekspluatācijas pārtraukšanas darbību veikšanu, un ja pieejamā informācija ir uzskatāma par ticamu, sākumā ir jāsalīdzina ekspluatācijas pārtraukšanas provizoriskās izmaksas un saņemtais vienreizējais maksājums (ja tiek veikts viens maksājums) vai saņemamie maksājumi (ja tiek veikti vairāki secīgi maksājumi).</w:t>
      </w:r>
    </w:p>
    <w:p w14:paraId="041B4F09"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26B3B40F"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24. Ja uzņēmums, pārskaitot līdzekļus īpaši paredzētam fondam, nenodod atbildību (piemēram, gadījumā, kad naudu uzkrāj papildu garantiju fondā), attiecīgās summas ieraksta kā finanšu avansu. Vēlāk no šā fonda izņemtos līdzekļus ierakstīs finanšu kontos.</w:t>
      </w:r>
    </w:p>
    <w:p w14:paraId="570F683B" w14:textId="77777777" w:rsidR="00994F93" w:rsidRPr="00B03B51" w:rsidRDefault="00994F93" w:rsidP="00994F93">
      <w:pPr>
        <w:jc w:val="both"/>
        <w:rPr>
          <w:rFonts w:ascii="Times New Roman" w:eastAsia="Arial" w:hAnsi="Times New Roman" w:cs="Times New Roman"/>
          <w:noProof/>
          <w:sz w:val="24"/>
          <w:szCs w:val="18"/>
        </w:rPr>
      </w:pPr>
    </w:p>
    <w:p w14:paraId="051E95E6" w14:textId="77777777" w:rsidR="00994F93" w:rsidRPr="00B03B51" w:rsidRDefault="00994F93" w:rsidP="00994F93">
      <w:pPr>
        <w:pStyle w:val="Heading3"/>
        <w:tabs>
          <w:tab w:val="left" w:pos="1267"/>
        </w:tabs>
        <w:ind w:left="0" w:firstLine="0"/>
        <w:jc w:val="both"/>
        <w:rPr>
          <w:rFonts w:ascii="Times New Roman" w:hAnsi="Times New Roman" w:cs="Times New Roman"/>
          <w:noProof/>
          <w:sz w:val="24"/>
        </w:rPr>
      </w:pPr>
      <w:bookmarkStart w:id="288" w:name="3.7.3_Rationale_of_the_treatment"/>
      <w:bookmarkStart w:id="289" w:name="_Toc67565113"/>
      <w:bookmarkEnd w:id="288"/>
      <w:r w:rsidRPr="00B03B51">
        <w:rPr>
          <w:rFonts w:ascii="Times New Roman" w:hAnsi="Times New Roman" w:cs="Times New Roman"/>
          <w:sz w:val="24"/>
        </w:rPr>
        <w:t>3.7.3. Traktējuma pamatojums</w:t>
      </w:r>
      <w:bookmarkEnd w:id="289"/>
    </w:p>
    <w:p w14:paraId="016952B4"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40967512"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25. Pastāv stingra analoģija ar pensiju saistību nodošanu, lai arī kopumā provizoriskās turpmākās izmaksas pensiju saistību gadījumā ir ticamākas (skat. šīs rokasgrāmatas 3.6. nodaļu). Tādējādi var izmantot līdzīgu pamatojumu (EKS 2010 20.273. un 20.274. punkts), t. i., tiek uzskatīts, ka darījums ir līdzvērtīgs finanšu aktīvu apmaiņai pret pienākuma uzņemšanos, kas ir saistība, un tādējādi “darījumam nevajadzētu ietekmēt neto vērtības un finanšu neto vērtības mērus”. Identiska situācija pastāv saistībā ar noteikumiem par EKS 2010 aktīvu/saistību robežu. Tā kā nacionālajos kontos ekspluatācijas pārtraukšanas saistības netiek uzskatītas par rezervju nodrošinājuma posteni, tās var ierakstīt tikai kā citas kreditoru saistības (F.8).</w:t>
      </w:r>
    </w:p>
    <w:p w14:paraId="6715F76C"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50C1E544"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26. Lai nacionālajos kontos nodrošinātu vispārēju atbilstību (“četrkāršā ieraksta” principu), maksājamā summa valdības sektorā ir jālīdzsvaro, ierakstot saņemamo summu nefinanšu sabiedrību sektorā. Ja aktīva iepriekšējais īpašnieks vairs nav institucionāla vienība likvidācijas, apvienošanas/iegādes u. c. iemeslu dēļ (pat ja tiesību pārņēmējs neatzīst šādu debitoru saistību aktīvu savā uzņēmējdarbības grāmatvedības bilancē), saņemamā summa joprojām ir jāieraksta sektora kontos kā šā sektora nosacītā vienība. Lai arī statistikas veidotājiem dažkārt ir grūti savākt datus no saviem parastajiem datu avotiem par šādu trūkstošo vērtību aprēķināšanu, tā ir nepieciešama ierakstīšanas sastāvdaļa.</w:t>
      </w:r>
    </w:p>
    <w:p w14:paraId="39854549" w14:textId="77777777" w:rsidR="00994F93" w:rsidRPr="00B03B51" w:rsidRDefault="00994F93" w:rsidP="00994F93">
      <w:pPr>
        <w:jc w:val="both"/>
        <w:rPr>
          <w:rFonts w:ascii="Times New Roman" w:hAnsi="Times New Roman" w:cs="Times New Roman"/>
          <w:noProof/>
          <w:sz w:val="24"/>
        </w:rPr>
      </w:pPr>
    </w:p>
    <w:p w14:paraId="48BFC45B" w14:textId="77777777" w:rsidR="00994F93" w:rsidRPr="00B03B51" w:rsidRDefault="00994F93" w:rsidP="00994F93">
      <w:pPr>
        <w:pStyle w:val="Heading3"/>
        <w:tabs>
          <w:tab w:val="left" w:pos="1267"/>
        </w:tabs>
        <w:ind w:left="0" w:firstLine="0"/>
        <w:jc w:val="both"/>
        <w:rPr>
          <w:rFonts w:ascii="Times New Roman" w:hAnsi="Times New Roman" w:cs="Times New Roman"/>
          <w:noProof/>
          <w:sz w:val="24"/>
        </w:rPr>
      </w:pPr>
      <w:bookmarkStart w:id="290" w:name="3.7.4_Accounting_example_(simplified)"/>
      <w:bookmarkStart w:id="291" w:name="_Toc67565114"/>
      <w:bookmarkEnd w:id="290"/>
      <w:r w:rsidRPr="00B03B51">
        <w:rPr>
          <w:rFonts w:ascii="Times New Roman" w:hAnsi="Times New Roman" w:cs="Times New Roman"/>
          <w:sz w:val="24"/>
        </w:rPr>
        <w:t>3.7.4. Uzskaites piemērs (vienkāršots)</w:t>
      </w:r>
      <w:bookmarkEnd w:id="291"/>
    </w:p>
    <w:p w14:paraId="7FDCB1CB"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509DB7AD"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 xml:space="preserve">27. Tieši pirms </w:t>
      </w:r>
      <w:r w:rsidRPr="00B03B51">
        <w:rPr>
          <w:rFonts w:ascii="Times New Roman" w:hAnsi="Times New Roman" w:cs="Times New Roman"/>
          <w:i/>
          <w:iCs/>
          <w:sz w:val="24"/>
        </w:rPr>
        <w:t>t </w:t>
      </w:r>
      <w:r w:rsidRPr="00B03B51">
        <w:rPr>
          <w:rFonts w:ascii="Times New Roman" w:hAnsi="Times New Roman" w:cs="Times New Roman"/>
          <w:sz w:val="24"/>
        </w:rPr>
        <w:t>gada beigām valdība īsteno jaunu enerģētikas politiku, kas paredz slēgt kodolstacijas 5 gadu laikā. Tā ir aplēsusi, ka visu kodolspēkstaciju ekspluatācijas pārtraukšanas kopējās izmaksas varētu būt 25 miljardi EUR. Sākotnēji tika uzskatīts, ka par procesu atbildīgi būs enerģētikas uzņēmumi. Valdība uzskata, ka tas ir pārāk augsts risks privātiem enerģijas ražotājiem, un nolemj pārņemt ar kodolenerģiju saistītās saistības apmaiņā pret 20 miljardiem EUR (tā ir summa, kas enerģētikas uzņēmumiem bija grāmatvedības noteikumos uz nolīguma noslēgšanas dienu).</w:t>
      </w:r>
    </w:p>
    <w:p w14:paraId="4D9C364C"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7CDBE243"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 xml:space="preserve">28. Vienlaikus valdība izveido kodolatkritumu apsaimniekošanas fondu, lai risinātu turpmākās izmaksas saistībā ar komerciālās kodolenerģijas ražošanas procesā radīto radioaktīvo materiālu </w:t>
      </w:r>
      <w:r w:rsidRPr="00B03B51">
        <w:rPr>
          <w:rFonts w:ascii="Times New Roman" w:hAnsi="Times New Roman" w:cs="Times New Roman"/>
          <w:sz w:val="24"/>
        </w:rPr>
        <w:lastRenderedPageBreak/>
        <w:t>drošu utilizāciju. Fonds saņem 20 miljardus EUR naudā no enerģētikas uzņēmumiem. Fonda valde apstiprina ieguldījuma stratēģiju finanšu aktīvos, kuriem ir ļoti zems svārstīgums, iegūstot ilgtermiņa peļņu 1,7 % apmērā, tādējādi pārveduma nosacītā vērtība ir 23 miljardi EUR (nevis 20 miljardi EUR).</w:t>
      </w:r>
    </w:p>
    <w:p w14:paraId="1A8430AF"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5C4C654A"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29. Ekspluatācijas pārtraukšanas un atkritumu apsaimniekošanas darbības sākas uzreiz pēc ražotņu slēgšanas (</w:t>
      </w:r>
      <w:r w:rsidRPr="00B03B51">
        <w:rPr>
          <w:rFonts w:ascii="Times New Roman" w:hAnsi="Times New Roman" w:cs="Times New Roman"/>
          <w:i/>
          <w:iCs/>
          <w:sz w:val="24"/>
        </w:rPr>
        <w:t>t+5</w:t>
      </w:r>
      <w:r w:rsidRPr="00B03B51">
        <w:rPr>
          <w:rFonts w:ascii="Times New Roman" w:hAnsi="Times New Roman" w:cs="Times New Roman"/>
          <w:sz w:val="24"/>
        </w:rPr>
        <w:t xml:space="preserve"> gada beigās). Vienkāršības labad pieņemsim, ka tās tiek pabeigtas viena gada laikā un ka inflācijas līmenis ir 0 %. Ienākošās naudas plūsmas laikposmā no </w:t>
      </w:r>
      <w:r w:rsidRPr="00B03B51">
        <w:rPr>
          <w:rFonts w:ascii="Times New Roman" w:hAnsi="Times New Roman" w:cs="Times New Roman"/>
          <w:i/>
          <w:iCs/>
          <w:sz w:val="24"/>
        </w:rPr>
        <w:t>t+1</w:t>
      </w:r>
      <w:r w:rsidRPr="00B03B51">
        <w:rPr>
          <w:rFonts w:ascii="Times New Roman" w:hAnsi="Times New Roman" w:cs="Times New Roman"/>
          <w:sz w:val="24"/>
        </w:rPr>
        <w:t xml:space="preserve"> gada līdz </w:t>
      </w:r>
      <w:r w:rsidRPr="00B03B51">
        <w:rPr>
          <w:rFonts w:ascii="Times New Roman" w:hAnsi="Times New Roman" w:cs="Times New Roman"/>
          <w:i/>
          <w:iCs/>
          <w:sz w:val="24"/>
        </w:rPr>
        <w:t>t+5</w:t>
      </w:r>
      <w:r w:rsidRPr="00B03B51">
        <w:rPr>
          <w:rFonts w:ascii="Times New Roman" w:hAnsi="Times New Roman" w:cs="Times New Roman"/>
          <w:sz w:val="24"/>
        </w:rPr>
        <w:t> gadam ietver procentus par finanšu aktīviem.</w:t>
      </w:r>
    </w:p>
    <w:p w14:paraId="79D6BF2A" w14:textId="77777777" w:rsidR="00994F93" w:rsidRPr="00B03B51" w:rsidRDefault="00994F93" w:rsidP="00994F93">
      <w:pPr>
        <w:pStyle w:val="BodyText"/>
        <w:tabs>
          <w:tab w:val="left" w:pos="843"/>
        </w:tabs>
        <w:spacing w:before="0"/>
        <w:ind w:left="0" w:firstLine="0"/>
        <w:jc w:val="both"/>
        <w:rPr>
          <w:rFonts w:ascii="Times New Roman" w:hAnsi="Times New Roman" w:cs="Times New Roman"/>
          <w:noProof/>
          <w:sz w:val="24"/>
        </w:rPr>
      </w:pPr>
    </w:p>
    <w:p w14:paraId="3E70B50E" w14:textId="77777777" w:rsidR="00994F93" w:rsidRPr="00B03B51" w:rsidRDefault="00994F93" w:rsidP="00994F93">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t>Valdības naudas plūsmas mlj. EUR</w:t>
      </w:r>
    </w:p>
    <w:p w14:paraId="04DEAB3D" w14:textId="77777777" w:rsidR="00994F93" w:rsidRPr="00B03B51" w:rsidRDefault="00994F93" w:rsidP="00994F93">
      <w:pPr>
        <w:jc w:val="both"/>
        <w:rPr>
          <w:rFonts w:ascii="Times New Roman" w:eastAsia="Arial" w:hAnsi="Times New Roman" w:cs="Times New Roman"/>
          <w:noProof/>
          <w:sz w:val="24"/>
          <w:szCs w:val="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1808"/>
        <w:gridCol w:w="1049"/>
        <w:gridCol w:w="1049"/>
        <w:gridCol w:w="1049"/>
        <w:gridCol w:w="1049"/>
        <w:gridCol w:w="1049"/>
        <w:gridCol w:w="2008"/>
      </w:tblGrid>
      <w:tr w:rsidR="00994F93" w:rsidRPr="00B03B51" w14:paraId="6B3DDE33" w14:textId="77777777" w:rsidTr="003E20F3">
        <w:tc>
          <w:tcPr>
            <w:tcW w:w="997" w:type="pct"/>
            <w:vAlign w:val="center"/>
          </w:tcPr>
          <w:p w14:paraId="6D5BEBC5" w14:textId="77777777" w:rsidR="00994F93" w:rsidRPr="00B03B51" w:rsidRDefault="00994F93" w:rsidP="001C4B02">
            <w:pPr>
              <w:pStyle w:val="TableParagraph"/>
              <w:tabs>
                <w:tab w:val="left" w:pos="774"/>
              </w:tabs>
              <w:jc w:val="center"/>
              <w:rPr>
                <w:rFonts w:ascii="Times New Roman" w:hAnsi="Times New Roman" w:cs="Times New Roman"/>
                <w:noProof/>
                <w:sz w:val="24"/>
              </w:rPr>
            </w:pPr>
            <w:r w:rsidRPr="00B03B51">
              <w:rPr>
                <w:rFonts w:ascii="Times New Roman" w:hAnsi="Times New Roman" w:cs="Times New Roman"/>
                <w:sz w:val="24"/>
              </w:rPr>
              <w:t xml:space="preserve">Gads </w:t>
            </w:r>
            <w:r w:rsidRPr="00B03B51">
              <w:rPr>
                <w:rFonts w:ascii="Times New Roman" w:hAnsi="Times New Roman" w:cs="Times New Roman"/>
                <w:i/>
                <w:iCs/>
                <w:sz w:val="24"/>
              </w:rPr>
              <w:t>t</w:t>
            </w:r>
          </w:p>
        </w:tc>
        <w:tc>
          <w:tcPr>
            <w:tcW w:w="579" w:type="pct"/>
          </w:tcPr>
          <w:p w14:paraId="7A70CFA3" w14:textId="77777777" w:rsidR="00994F93" w:rsidRPr="00B03B51" w:rsidRDefault="00994F93" w:rsidP="001C4B02">
            <w:pPr>
              <w:pStyle w:val="TableParagraph"/>
              <w:jc w:val="center"/>
              <w:rPr>
                <w:rFonts w:ascii="Times New Roman" w:hAnsi="Times New Roman" w:cs="Times New Roman"/>
                <w:noProof/>
                <w:sz w:val="24"/>
              </w:rPr>
            </w:pPr>
            <w:r w:rsidRPr="00B03B51">
              <w:rPr>
                <w:rFonts w:ascii="Times New Roman" w:hAnsi="Times New Roman" w:cs="Times New Roman"/>
                <w:i/>
                <w:iCs/>
                <w:sz w:val="24"/>
              </w:rPr>
              <w:t>t+1</w:t>
            </w:r>
          </w:p>
        </w:tc>
        <w:tc>
          <w:tcPr>
            <w:tcW w:w="579" w:type="pct"/>
            <w:vAlign w:val="center"/>
          </w:tcPr>
          <w:p w14:paraId="54DA8FC8" w14:textId="77777777" w:rsidR="00994F93" w:rsidRPr="00B03B51" w:rsidRDefault="00994F93" w:rsidP="001C4B02">
            <w:pPr>
              <w:pStyle w:val="TableParagraph"/>
              <w:jc w:val="center"/>
              <w:rPr>
                <w:rFonts w:ascii="Times New Roman" w:hAnsi="Times New Roman" w:cs="Times New Roman"/>
                <w:noProof/>
                <w:sz w:val="24"/>
              </w:rPr>
            </w:pPr>
            <w:r w:rsidRPr="00B03B51">
              <w:rPr>
                <w:rFonts w:ascii="Times New Roman" w:hAnsi="Times New Roman" w:cs="Times New Roman"/>
                <w:i/>
                <w:iCs/>
                <w:sz w:val="24"/>
              </w:rPr>
              <w:t>t+2</w:t>
            </w:r>
          </w:p>
        </w:tc>
        <w:tc>
          <w:tcPr>
            <w:tcW w:w="579" w:type="pct"/>
            <w:vAlign w:val="center"/>
          </w:tcPr>
          <w:p w14:paraId="5FCAD754" w14:textId="77777777" w:rsidR="00994F93" w:rsidRPr="00B03B51" w:rsidRDefault="00994F93" w:rsidP="001C4B02">
            <w:pPr>
              <w:pStyle w:val="TableParagraph"/>
              <w:jc w:val="center"/>
              <w:rPr>
                <w:rFonts w:ascii="Times New Roman" w:hAnsi="Times New Roman" w:cs="Times New Roman"/>
                <w:noProof/>
                <w:sz w:val="24"/>
              </w:rPr>
            </w:pPr>
            <w:r w:rsidRPr="00B03B51">
              <w:rPr>
                <w:rFonts w:ascii="Times New Roman" w:hAnsi="Times New Roman" w:cs="Times New Roman"/>
                <w:i/>
                <w:iCs/>
                <w:sz w:val="24"/>
              </w:rPr>
              <w:t>t+3</w:t>
            </w:r>
          </w:p>
        </w:tc>
        <w:tc>
          <w:tcPr>
            <w:tcW w:w="579" w:type="pct"/>
            <w:vAlign w:val="center"/>
          </w:tcPr>
          <w:p w14:paraId="03B38C08" w14:textId="77777777" w:rsidR="00994F93" w:rsidRPr="00B03B51" w:rsidRDefault="00994F93" w:rsidP="001C4B02">
            <w:pPr>
              <w:pStyle w:val="TableParagraph"/>
              <w:jc w:val="center"/>
              <w:rPr>
                <w:rFonts w:ascii="Times New Roman" w:hAnsi="Times New Roman" w:cs="Times New Roman"/>
                <w:noProof/>
                <w:sz w:val="24"/>
              </w:rPr>
            </w:pPr>
            <w:r w:rsidRPr="00B03B51">
              <w:rPr>
                <w:rFonts w:ascii="Times New Roman" w:hAnsi="Times New Roman" w:cs="Times New Roman"/>
                <w:i/>
                <w:iCs/>
                <w:sz w:val="24"/>
              </w:rPr>
              <w:t>t+4</w:t>
            </w:r>
          </w:p>
        </w:tc>
        <w:tc>
          <w:tcPr>
            <w:tcW w:w="579" w:type="pct"/>
            <w:vAlign w:val="center"/>
          </w:tcPr>
          <w:p w14:paraId="1A0FD292" w14:textId="77777777" w:rsidR="00994F93" w:rsidRPr="00B03B51" w:rsidRDefault="00994F93" w:rsidP="001C4B02">
            <w:pPr>
              <w:pStyle w:val="TableParagraph"/>
              <w:jc w:val="center"/>
              <w:rPr>
                <w:rFonts w:ascii="Times New Roman" w:hAnsi="Times New Roman" w:cs="Times New Roman"/>
                <w:noProof/>
                <w:sz w:val="24"/>
              </w:rPr>
            </w:pPr>
            <w:r w:rsidRPr="00B03B51">
              <w:rPr>
                <w:rFonts w:ascii="Times New Roman" w:hAnsi="Times New Roman" w:cs="Times New Roman"/>
                <w:i/>
                <w:iCs/>
                <w:sz w:val="24"/>
              </w:rPr>
              <w:t>t+5</w:t>
            </w:r>
          </w:p>
        </w:tc>
        <w:tc>
          <w:tcPr>
            <w:tcW w:w="1108" w:type="pct"/>
            <w:vAlign w:val="center"/>
          </w:tcPr>
          <w:p w14:paraId="6C0DDF56" w14:textId="77777777" w:rsidR="00994F93" w:rsidRPr="00B03B51" w:rsidRDefault="00994F93" w:rsidP="001C4B02">
            <w:pPr>
              <w:pStyle w:val="TableParagraph"/>
              <w:jc w:val="center"/>
              <w:rPr>
                <w:rFonts w:ascii="Times New Roman" w:hAnsi="Times New Roman" w:cs="Times New Roman"/>
                <w:noProof/>
                <w:sz w:val="24"/>
              </w:rPr>
            </w:pPr>
            <w:r w:rsidRPr="00B03B51">
              <w:rPr>
                <w:rFonts w:ascii="Times New Roman" w:hAnsi="Times New Roman" w:cs="Times New Roman"/>
                <w:i/>
                <w:iCs/>
                <w:sz w:val="24"/>
              </w:rPr>
              <w:t>t+6</w:t>
            </w:r>
          </w:p>
        </w:tc>
      </w:tr>
      <w:tr w:rsidR="00994F93" w:rsidRPr="00B03B51" w14:paraId="5444916F" w14:textId="77777777" w:rsidTr="003E20F3">
        <w:tc>
          <w:tcPr>
            <w:tcW w:w="997" w:type="pct"/>
            <w:vAlign w:val="center"/>
          </w:tcPr>
          <w:p w14:paraId="3F824363" w14:textId="77777777" w:rsidR="00994F93" w:rsidRPr="00B03B51" w:rsidRDefault="00994F93" w:rsidP="001C4B02">
            <w:pPr>
              <w:pStyle w:val="TableParagraph"/>
              <w:jc w:val="center"/>
              <w:rPr>
                <w:rFonts w:ascii="Times New Roman" w:hAnsi="Times New Roman" w:cs="Times New Roman"/>
                <w:noProof/>
                <w:sz w:val="24"/>
              </w:rPr>
            </w:pPr>
            <w:r w:rsidRPr="00B03B51">
              <w:rPr>
                <w:rFonts w:ascii="Times New Roman" w:hAnsi="Times New Roman" w:cs="Times New Roman"/>
                <w:sz w:val="24"/>
              </w:rPr>
              <w:t>20 000</w:t>
            </w:r>
          </w:p>
        </w:tc>
        <w:tc>
          <w:tcPr>
            <w:tcW w:w="579" w:type="pct"/>
          </w:tcPr>
          <w:p w14:paraId="0360065C" w14:textId="77777777" w:rsidR="00994F93" w:rsidRPr="00B03B51" w:rsidRDefault="00994F93" w:rsidP="001C4B02">
            <w:pPr>
              <w:pStyle w:val="TableParagraph"/>
              <w:jc w:val="center"/>
              <w:rPr>
                <w:rFonts w:ascii="Times New Roman" w:hAnsi="Times New Roman" w:cs="Times New Roman"/>
                <w:noProof/>
                <w:sz w:val="24"/>
              </w:rPr>
            </w:pPr>
            <w:r w:rsidRPr="00B03B51">
              <w:rPr>
                <w:rFonts w:ascii="Times New Roman" w:hAnsi="Times New Roman" w:cs="Times New Roman"/>
                <w:sz w:val="24"/>
              </w:rPr>
              <w:t>340</w:t>
            </w:r>
          </w:p>
        </w:tc>
        <w:tc>
          <w:tcPr>
            <w:tcW w:w="579" w:type="pct"/>
            <w:vAlign w:val="center"/>
          </w:tcPr>
          <w:p w14:paraId="15E09F49" w14:textId="77777777" w:rsidR="00994F93" w:rsidRPr="00B03B51" w:rsidRDefault="00994F93" w:rsidP="001C4B02">
            <w:pPr>
              <w:pStyle w:val="TableParagraph"/>
              <w:jc w:val="center"/>
              <w:rPr>
                <w:rFonts w:ascii="Times New Roman" w:hAnsi="Times New Roman" w:cs="Times New Roman"/>
                <w:noProof/>
                <w:sz w:val="24"/>
              </w:rPr>
            </w:pPr>
            <w:r w:rsidRPr="00B03B51">
              <w:rPr>
                <w:rFonts w:ascii="Times New Roman" w:hAnsi="Times New Roman" w:cs="Times New Roman"/>
                <w:sz w:val="24"/>
              </w:rPr>
              <w:t>346</w:t>
            </w:r>
          </w:p>
        </w:tc>
        <w:tc>
          <w:tcPr>
            <w:tcW w:w="579" w:type="pct"/>
            <w:vAlign w:val="center"/>
          </w:tcPr>
          <w:p w14:paraId="654B7F45" w14:textId="77777777" w:rsidR="00994F93" w:rsidRPr="00B03B51" w:rsidRDefault="00994F93" w:rsidP="001C4B02">
            <w:pPr>
              <w:pStyle w:val="TableParagraph"/>
              <w:jc w:val="center"/>
              <w:rPr>
                <w:rFonts w:ascii="Times New Roman" w:hAnsi="Times New Roman" w:cs="Times New Roman"/>
                <w:noProof/>
                <w:sz w:val="24"/>
              </w:rPr>
            </w:pPr>
            <w:r w:rsidRPr="00B03B51">
              <w:rPr>
                <w:rFonts w:ascii="Times New Roman" w:hAnsi="Times New Roman" w:cs="Times New Roman"/>
                <w:sz w:val="24"/>
              </w:rPr>
              <w:t>352</w:t>
            </w:r>
          </w:p>
        </w:tc>
        <w:tc>
          <w:tcPr>
            <w:tcW w:w="579" w:type="pct"/>
            <w:vAlign w:val="center"/>
          </w:tcPr>
          <w:p w14:paraId="1C5E6C69" w14:textId="77777777" w:rsidR="00994F93" w:rsidRPr="00B03B51" w:rsidRDefault="00994F93" w:rsidP="001C4B02">
            <w:pPr>
              <w:pStyle w:val="TableParagraph"/>
              <w:jc w:val="center"/>
              <w:rPr>
                <w:rFonts w:ascii="Times New Roman" w:hAnsi="Times New Roman" w:cs="Times New Roman"/>
                <w:noProof/>
                <w:sz w:val="24"/>
              </w:rPr>
            </w:pPr>
            <w:r w:rsidRPr="00B03B51">
              <w:rPr>
                <w:rFonts w:ascii="Times New Roman" w:hAnsi="Times New Roman" w:cs="Times New Roman"/>
                <w:sz w:val="24"/>
              </w:rPr>
              <w:t>358</w:t>
            </w:r>
          </w:p>
        </w:tc>
        <w:tc>
          <w:tcPr>
            <w:tcW w:w="579" w:type="pct"/>
            <w:vAlign w:val="center"/>
          </w:tcPr>
          <w:p w14:paraId="6D71B2A9" w14:textId="77777777" w:rsidR="00994F93" w:rsidRPr="00B03B51" w:rsidRDefault="00994F93" w:rsidP="001C4B02">
            <w:pPr>
              <w:pStyle w:val="TableParagraph"/>
              <w:jc w:val="center"/>
              <w:rPr>
                <w:rFonts w:ascii="Times New Roman" w:hAnsi="Times New Roman" w:cs="Times New Roman"/>
                <w:noProof/>
                <w:sz w:val="24"/>
              </w:rPr>
            </w:pPr>
            <w:r w:rsidRPr="00B03B51">
              <w:rPr>
                <w:rFonts w:ascii="Times New Roman" w:hAnsi="Times New Roman" w:cs="Times New Roman"/>
                <w:sz w:val="24"/>
              </w:rPr>
              <w:t>364</w:t>
            </w:r>
          </w:p>
        </w:tc>
        <w:tc>
          <w:tcPr>
            <w:tcW w:w="1108" w:type="pct"/>
            <w:vAlign w:val="center"/>
          </w:tcPr>
          <w:p w14:paraId="3DDFF847" w14:textId="77777777" w:rsidR="00994F93" w:rsidRPr="00B03B51" w:rsidRDefault="00994F93" w:rsidP="001C4B02">
            <w:pPr>
              <w:pStyle w:val="TableParagraph"/>
              <w:jc w:val="center"/>
              <w:rPr>
                <w:rFonts w:ascii="Times New Roman" w:eastAsia="Arial" w:hAnsi="Times New Roman" w:cs="Times New Roman"/>
                <w:noProof/>
                <w:sz w:val="24"/>
                <w:szCs w:val="19"/>
              </w:rPr>
            </w:pPr>
            <w:r w:rsidRPr="00B03B51">
              <w:rPr>
                <w:rFonts w:ascii="Times New Roman" w:hAnsi="Times New Roman" w:cs="Times New Roman"/>
                <w:sz w:val="24"/>
                <w:szCs w:val="19"/>
              </w:rPr>
              <w:t>-25 000</w:t>
            </w:r>
          </w:p>
        </w:tc>
      </w:tr>
    </w:tbl>
    <w:p w14:paraId="658C40C4" w14:textId="77777777" w:rsidR="00994F93" w:rsidRPr="00B03B51" w:rsidRDefault="00994F93" w:rsidP="00994F93">
      <w:pPr>
        <w:jc w:val="both"/>
        <w:rPr>
          <w:rFonts w:ascii="Times New Roman" w:eastAsia="Arial" w:hAnsi="Times New Roman" w:cs="Times New Roman"/>
          <w:noProof/>
          <w:sz w:val="24"/>
          <w:szCs w:val="26"/>
        </w:rPr>
      </w:pPr>
    </w:p>
    <w:p w14:paraId="509D7931" w14:textId="77777777" w:rsidR="00994F93" w:rsidRPr="00B03B51" w:rsidRDefault="00994F93" w:rsidP="00994F93">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t>Procentu pieaugums un galīgais saldo (noapaļots) AF.89 mlj. EUR</w:t>
      </w:r>
    </w:p>
    <w:p w14:paraId="443F2C69" w14:textId="77777777" w:rsidR="00994F93" w:rsidRPr="00B03B51" w:rsidRDefault="00994F93" w:rsidP="00994F93">
      <w:pPr>
        <w:jc w:val="both"/>
        <w:rPr>
          <w:rFonts w:ascii="Times New Roman" w:eastAsia="Arial" w:hAnsi="Times New Roman" w:cs="Times New Roman"/>
          <w:noProof/>
          <w:sz w:val="24"/>
          <w:szCs w:val="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1596"/>
        <w:gridCol w:w="929"/>
        <w:gridCol w:w="930"/>
        <w:gridCol w:w="930"/>
        <w:gridCol w:w="930"/>
        <w:gridCol w:w="930"/>
        <w:gridCol w:w="2816"/>
      </w:tblGrid>
      <w:tr w:rsidR="00994F93" w:rsidRPr="00B03B51" w14:paraId="41519013" w14:textId="77777777" w:rsidTr="003E20F3">
        <w:tc>
          <w:tcPr>
            <w:tcW w:w="881" w:type="pct"/>
            <w:vAlign w:val="center"/>
          </w:tcPr>
          <w:p w14:paraId="4697894B" w14:textId="77777777" w:rsidR="00994F93" w:rsidRPr="00B03B51" w:rsidRDefault="00994F93" w:rsidP="001C4B02">
            <w:pPr>
              <w:pStyle w:val="TableParagraph"/>
              <w:tabs>
                <w:tab w:val="left" w:pos="774"/>
              </w:tabs>
              <w:jc w:val="center"/>
              <w:rPr>
                <w:rFonts w:ascii="Times New Roman" w:hAnsi="Times New Roman" w:cs="Times New Roman"/>
                <w:noProof/>
                <w:sz w:val="24"/>
              </w:rPr>
            </w:pPr>
            <w:r w:rsidRPr="00B03B51">
              <w:rPr>
                <w:rFonts w:ascii="Times New Roman" w:hAnsi="Times New Roman" w:cs="Times New Roman"/>
                <w:sz w:val="24"/>
              </w:rPr>
              <w:t xml:space="preserve">Gads </w:t>
            </w:r>
            <w:r w:rsidRPr="00B03B51">
              <w:rPr>
                <w:rFonts w:ascii="Times New Roman" w:hAnsi="Times New Roman" w:cs="Times New Roman"/>
                <w:i/>
                <w:iCs/>
                <w:sz w:val="24"/>
              </w:rPr>
              <w:t>t</w:t>
            </w:r>
          </w:p>
        </w:tc>
        <w:tc>
          <w:tcPr>
            <w:tcW w:w="513" w:type="pct"/>
          </w:tcPr>
          <w:p w14:paraId="3E7AD139" w14:textId="77777777" w:rsidR="00994F93" w:rsidRPr="00B03B51" w:rsidRDefault="00994F93" w:rsidP="001C4B02">
            <w:pPr>
              <w:pStyle w:val="TableParagraph"/>
              <w:jc w:val="center"/>
              <w:rPr>
                <w:rFonts w:ascii="Times New Roman" w:hAnsi="Times New Roman" w:cs="Times New Roman"/>
                <w:noProof/>
                <w:sz w:val="24"/>
              </w:rPr>
            </w:pPr>
            <w:r w:rsidRPr="00B03B51">
              <w:rPr>
                <w:rFonts w:ascii="Times New Roman" w:hAnsi="Times New Roman" w:cs="Times New Roman"/>
                <w:i/>
                <w:iCs/>
                <w:sz w:val="24"/>
              </w:rPr>
              <w:t>t+1</w:t>
            </w:r>
          </w:p>
        </w:tc>
        <w:tc>
          <w:tcPr>
            <w:tcW w:w="513" w:type="pct"/>
            <w:vAlign w:val="center"/>
          </w:tcPr>
          <w:p w14:paraId="08B93C6C" w14:textId="77777777" w:rsidR="00994F93" w:rsidRPr="00B03B51" w:rsidRDefault="00994F93" w:rsidP="001C4B02">
            <w:pPr>
              <w:pStyle w:val="TableParagraph"/>
              <w:jc w:val="center"/>
              <w:rPr>
                <w:rFonts w:ascii="Times New Roman" w:hAnsi="Times New Roman" w:cs="Times New Roman"/>
                <w:noProof/>
                <w:sz w:val="24"/>
              </w:rPr>
            </w:pPr>
            <w:r w:rsidRPr="00B03B51">
              <w:rPr>
                <w:rFonts w:ascii="Times New Roman" w:hAnsi="Times New Roman" w:cs="Times New Roman"/>
                <w:i/>
                <w:iCs/>
                <w:sz w:val="24"/>
              </w:rPr>
              <w:t>t+1</w:t>
            </w:r>
          </w:p>
        </w:tc>
        <w:tc>
          <w:tcPr>
            <w:tcW w:w="513" w:type="pct"/>
            <w:vAlign w:val="center"/>
          </w:tcPr>
          <w:p w14:paraId="454F9E00" w14:textId="77777777" w:rsidR="00994F93" w:rsidRPr="00B03B51" w:rsidRDefault="00994F93" w:rsidP="001C4B02">
            <w:pPr>
              <w:pStyle w:val="TableParagraph"/>
              <w:jc w:val="center"/>
              <w:rPr>
                <w:rFonts w:ascii="Times New Roman" w:hAnsi="Times New Roman" w:cs="Times New Roman"/>
                <w:noProof/>
                <w:sz w:val="24"/>
              </w:rPr>
            </w:pPr>
            <w:r w:rsidRPr="00B03B51">
              <w:rPr>
                <w:rFonts w:ascii="Times New Roman" w:hAnsi="Times New Roman" w:cs="Times New Roman"/>
                <w:i/>
                <w:iCs/>
                <w:sz w:val="24"/>
              </w:rPr>
              <w:t>t+1</w:t>
            </w:r>
          </w:p>
        </w:tc>
        <w:tc>
          <w:tcPr>
            <w:tcW w:w="513" w:type="pct"/>
            <w:vAlign w:val="center"/>
          </w:tcPr>
          <w:p w14:paraId="1A6D4AA2" w14:textId="77777777" w:rsidR="00994F93" w:rsidRPr="00B03B51" w:rsidRDefault="00994F93" w:rsidP="001C4B02">
            <w:pPr>
              <w:pStyle w:val="TableParagraph"/>
              <w:jc w:val="center"/>
              <w:rPr>
                <w:rFonts w:ascii="Times New Roman" w:hAnsi="Times New Roman" w:cs="Times New Roman"/>
                <w:noProof/>
                <w:sz w:val="24"/>
              </w:rPr>
            </w:pPr>
            <w:r w:rsidRPr="00B03B51">
              <w:rPr>
                <w:rFonts w:ascii="Times New Roman" w:hAnsi="Times New Roman" w:cs="Times New Roman"/>
                <w:i/>
                <w:iCs/>
                <w:sz w:val="24"/>
              </w:rPr>
              <w:t>t+1</w:t>
            </w:r>
          </w:p>
        </w:tc>
        <w:tc>
          <w:tcPr>
            <w:tcW w:w="513" w:type="pct"/>
            <w:vAlign w:val="center"/>
          </w:tcPr>
          <w:p w14:paraId="6DD4DA27" w14:textId="77777777" w:rsidR="00994F93" w:rsidRPr="00B03B51" w:rsidRDefault="00994F93" w:rsidP="001C4B02">
            <w:pPr>
              <w:pStyle w:val="TableParagraph"/>
              <w:jc w:val="center"/>
              <w:rPr>
                <w:rFonts w:ascii="Times New Roman" w:hAnsi="Times New Roman" w:cs="Times New Roman"/>
                <w:noProof/>
                <w:sz w:val="24"/>
              </w:rPr>
            </w:pPr>
            <w:r w:rsidRPr="00B03B51">
              <w:rPr>
                <w:rFonts w:ascii="Times New Roman" w:hAnsi="Times New Roman" w:cs="Times New Roman"/>
                <w:i/>
                <w:iCs/>
                <w:sz w:val="24"/>
              </w:rPr>
              <w:t>t+1</w:t>
            </w:r>
          </w:p>
        </w:tc>
        <w:tc>
          <w:tcPr>
            <w:tcW w:w="1556" w:type="pct"/>
            <w:vAlign w:val="center"/>
          </w:tcPr>
          <w:p w14:paraId="19C1F7F1" w14:textId="77777777" w:rsidR="00994F93" w:rsidRPr="00B03B51" w:rsidRDefault="00994F93" w:rsidP="001C4B02">
            <w:pPr>
              <w:pStyle w:val="TableParagraph"/>
              <w:jc w:val="center"/>
              <w:rPr>
                <w:rFonts w:ascii="Times New Roman" w:hAnsi="Times New Roman" w:cs="Times New Roman"/>
                <w:noProof/>
                <w:sz w:val="24"/>
              </w:rPr>
            </w:pPr>
            <w:r w:rsidRPr="00B03B51">
              <w:rPr>
                <w:rFonts w:ascii="Times New Roman" w:hAnsi="Times New Roman" w:cs="Times New Roman"/>
                <w:sz w:val="24"/>
              </w:rPr>
              <w:t>Gala summa</w:t>
            </w:r>
          </w:p>
        </w:tc>
      </w:tr>
      <w:tr w:rsidR="00994F93" w:rsidRPr="00B03B51" w14:paraId="43E778D1" w14:textId="77777777" w:rsidTr="003E20F3">
        <w:tc>
          <w:tcPr>
            <w:tcW w:w="881" w:type="pct"/>
            <w:vAlign w:val="center"/>
          </w:tcPr>
          <w:p w14:paraId="7110F33B" w14:textId="77777777" w:rsidR="00994F93" w:rsidRPr="00B03B51" w:rsidRDefault="00994F93" w:rsidP="001C4B02">
            <w:pPr>
              <w:pStyle w:val="TableParagraph"/>
              <w:jc w:val="center"/>
              <w:rPr>
                <w:rFonts w:ascii="Times New Roman" w:hAnsi="Times New Roman" w:cs="Times New Roman"/>
                <w:noProof/>
                <w:sz w:val="24"/>
              </w:rPr>
            </w:pPr>
            <w:r w:rsidRPr="00B03B51">
              <w:rPr>
                <w:rFonts w:ascii="Times New Roman" w:hAnsi="Times New Roman" w:cs="Times New Roman"/>
                <w:sz w:val="24"/>
              </w:rPr>
              <w:t>23 000</w:t>
            </w:r>
          </w:p>
        </w:tc>
        <w:tc>
          <w:tcPr>
            <w:tcW w:w="513" w:type="pct"/>
          </w:tcPr>
          <w:p w14:paraId="324FFF78" w14:textId="77777777" w:rsidR="00994F93" w:rsidRPr="00B03B51" w:rsidRDefault="00994F93" w:rsidP="001C4B02">
            <w:pPr>
              <w:pStyle w:val="TableParagraph"/>
              <w:jc w:val="center"/>
              <w:rPr>
                <w:rFonts w:ascii="Times New Roman" w:hAnsi="Times New Roman" w:cs="Times New Roman"/>
                <w:noProof/>
                <w:sz w:val="24"/>
              </w:rPr>
            </w:pPr>
            <w:r w:rsidRPr="00B03B51">
              <w:rPr>
                <w:rFonts w:ascii="Times New Roman" w:hAnsi="Times New Roman" w:cs="Times New Roman"/>
                <w:sz w:val="24"/>
              </w:rPr>
              <w:t>390</w:t>
            </w:r>
          </w:p>
        </w:tc>
        <w:tc>
          <w:tcPr>
            <w:tcW w:w="513" w:type="pct"/>
            <w:vAlign w:val="center"/>
          </w:tcPr>
          <w:p w14:paraId="42085AC3" w14:textId="77777777" w:rsidR="00994F93" w:rsidRPr="00B03B51" w:rsidRDefault="00994F93" w:rsidP="001C4B02">
            <w:pPr>
              <w:pStyle w:val="TableParagraph"/>
              <w:jc w:val="center"/>
              <w:rPr>
                <w:rFonts w:ascii="Times New Roman" w:hAnsi="Times New Roman" w:cs="Times New Roman"/>
                <w:noProof/>
                <w:sz w:val="24"/>
              </w:rPr>
            </w:pPr>
            <w:r w:rsidRPr="00B03B51">
              <w:rPr>
                <w:rFonts w:ascii="Times New Roman" w:hAnsi="Times New Roman" w:cs="Times New Roman"/>
                <w:sz w:val="24"/>
              </w:rPr>
              <w:t>394</w:t>
            </w:r>
          </w:p>
        </w:tc>
        <w:tc>
          <w:tcPr>
            <w:tcW w:w="513" w:type="pct"/>
            <w:vAlign w:val="center"/>
          </w:tcPr>
          <w:p w14:paraId="558EBF35" w14:textId="77777777" w:rsidR="00994F93" w:rsidRPr="00B03B51" w:rsidRDefault="00994F93" w:rsidP="001C4B02">
            <w:pPr>
              <w:pStyle w:val="TableParagraph"/>
              <w:jc w:val="center"/>
              <w:rPr>
                <w:rFonts w:ascii="Times New Roman" w:hAnsi="Times New Roman" w:cs="Times New Roman"/>
                <w:noProof/>
                <w:sz w:val="24"/>
              </w:rPr>
            </w:pPr>
            <w:r w:rsidRPr="00B03B51">
              <w:rPr>
                <w:rFonts w:ascii="Times New Roman" w:hAnsi="Times New Roman" w:cs="Times New Roman"/>
                <w:sz w:val="24"/>
              </w:rPr>
              <w:t>402</w:t>
            </w:r>
          </w:p>
        </w:tc>
        <w:tc>
          <w:tcPr>
            <w:tcW w:w="513" w:type="pct"/>
            <w:vAlign w:val="center"/>
          </w:tcPr>
          <w:p w14:paraId="604A4252" w14:textId="77777777" w:rsidR="00994F93" w:rsidRPr="00B03B51" w:rsidRDefault="00994F93" w:rsidP="001C4B02">
            <w:pPr>
              <w:pStyle w:val="TableParagraph"/>
              <w:jc w:val="center"/>
              <w:rPr>
                <w:rFonts w:ascii="Times New Roman" w:hAnsi="Times New Roman" w:cs="Times New Roman"/>
                <w:noProof/>
                <w:sz w:val="24"/>
              </w:rPr>
            </w:pPr>
            <w:r w:rsidRPr="00B03B51">
              <w:rPr>
                <w:rFonts w:ascii="Times New Roman" w:hAnsi="Times New Roman" w:cs="Times New Roman"/>
                <w:sz w:val="24"/>
              </w:rPr>
              <w:t>408</w:t>
            </w:r>
          </w:p>
        </w:tc>
        <w:tc>
          <w:tcPr>
            <w:tcW w:w="513" w:type="pct"/>
            <w:vAlign w:val="center"/>
          </w:tcPr>
          <w:p w14:paraId="1BDF3D7A" w14:textId="77777777" w:rsidR="00994F93" w:rsidRPr="00B03B51" w:rsidRDefault="00994F93" w:rsidP="001C4B02">
            <w:pPr>
              <w:pStyle w:val="TableParagraph"/>
              <w:jc w:val="center"/>
              <w:rPr>
                <w:rFonts w:ascii="Times New Roman" w:hAnsi="Times New Roman" w:cs="Times New Roman"/>
                <w:noProof/>
                <w:sz w:val="24"/>
              </w:rPr>
            </w:pPr>
            <w:r w:rsidRPr="00B03B51">
              <w:rPr>
                <w:rFonts w:ascii="Times New Roman" w:hAnsi="Times New Roman" w:cs="Times New Roman"/>
                <w:sz w:val="24"/>
              </w:rPr>
              <w:t>406</w:t>
            </w:r>
          </w:p>
        </w:tc>
        <w:tc>
          <w:tcPr>
            <w:tcW w:w="1556" w:type="pct"/>
            <w:vAlign w:val="center"/>
          </w:tcPr>
          <w:p w14:paraId="5E462432" w14:textId="77777777" w:rsidR="00994F93" w:rsidRPr="00B03B51" w:rsidRDefault="00994F93" w:rsidP="001C4B02">
            <w:pPr>
              <w:pStyle w:val="TableParagraph"/>
              <w:jc w:val="center"/>
              <w:rPr>
                <w:rFonts w:ascii="Times New Roman" w:hAnsi="Times New Roman" w:cs="Times New Roman"/>
                <w:noProof/>
                <w:sz w:val="24"/>
              </w:rPr>
            </w:pPr>
            <w:r w:rsidRPr="00B03B51">
              <w:rPr>
                <w:rFonts w:ascii="Times New Roman" w:hAnsi="Times New Roman" w:cs="Times New Roman"/>
                <w:sz w:val="24"/>
              </w:rPr>
              <w:t>25 000</w:t>
            </w:r>
          </w:p>
        </w:tc>
      </w:tr>
    </w:tbl>
    <w:p w14:paraId="2212BDEC" w14:textId="77777777" w:rsidR="00994F93" w:rsidRPr="00B03B51" w:rsidRDefault="00994F93" w:rsidP="00994F93">
      <w:pPr>
        <w:pStyle w:val="BodyText"/>
        <w:spacing w:before="0"/>
        <w:ind w:left="0" w:firstLine="0"/>
        <w:jc w:val="both"/>
        <w:rPr>
          <w:rFonts w:ascii="Times New Roman" w:hAnsi="Times New Roman" w:cs="Times New Roman"/>
          <w:noProof/>
          <w:sz w:val="24"/>
        </w:rPr>
      </w:pPr>
    </w:p>
    <w:p w14:paraId="440CD1F6" w14:textId="77777777" w:rsidR="00994F93" w:rsidRPr="00B03B51" w:rsidRDefault="00994F93" w:rsidP="00994F93">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t>Ekspluatācijas pārtraukšanas turpmāko izmaksu neto pašreizējā vērtība (mlj. EUR) ir:</w:t>
      </w:r>
    </w:p>
    <w:p w14:paraId="3ADFB24B" w14:textId="77777777" w:rsidR="00994F93" w:rsidRPr="00B03B51" w:rsidRDefault="00994F93" w:rsidP="00994F93">
      <w:pPr>
        <w:pStyle w:val="BodyText"/>
        <w:spacing w:before="0"/>
        <w:ind w:left="0" w:firstLine="0"/>
        <w:jc w:val="both"/>
        <w:rPr>
          <w:rFonts w:ascii="Times New Roman" w:hAnsi="Times New Roman" w:cs="Times New Roman"/>
          <w:noProof/>
          <w:sz w:val="24"/>
        </w:rPr>
      </w:pPr>
    </w:p>
    <w:p w14:paraId="32C7BE9D" w14:textId="77777777" w:rsidR="00994F93" w:rsidRPr="00B03B51" w:rsidRDefault="00994F93" w:rsidP="00994F93">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i/>
          <w:iCs/>
          <w:sz w:val="24"/>
        </w:rPr>
        <w:t>NPV</w:t>
      </w:r>
      <w:r w:rsidRPr="00B03B51">
        <w:rPr>
          <w:rFonts w:ascii="Times New Roman" w:hAnsi="Times New Roman" w:cs="Times New Roman"/>
          <w:sz w:val="24"/>
        </w:rPr>
        <w:t>: €25 000 ∕ (1+1,7 %)5 ≈ 23 000 EUR</w:t>
      </w:r>
    </w:p>
    <w:p w14:paraId="33E85EEF" w14:textId="77777777" w:rsidR="00994F93" w:rsidRPr="00B03B51" w:rsidRDefault="00994F93" w:rsidP="00994F93">
      <w:pPr>
        <w:jc w:val="both"/>
        <w:rPr>
          <w:rFonts w:ascii="Times New Roman" w:eastAsia="Arial" w:hAnsi="Times New Roman" w:cs="Times New Roman"/>
          <w:noProof/>
          <w:sz w:val="24"/>
          <w:szCs w:val="29"/>
        </w:rPr>
      </w:pPr>
    </w:p>
    <w:p w14:paraId="748EBEC1" w14:textId="0C16DD79" w:rsidR="00994F93" w:rsidRPr="00B03B51" w:rsidRDefault="00595E94" w:rsidP="003E20F3">
      <w:pPr>
        <w:jc w:val="center"/>
        <w:rPr>
          <w:rFonts w:ascii="Times New Roman" w:eastAsia="Arial" w:hAnsi="Times New Roman" w:cs="Times New Roman"/>
          <w:noProof/>
          <w:sz w:val="24"/>
          <w:szCs w:val="29"/>
        </w:rPr>
      </w:pPr>
      <w:r w:rsidRPr="00B03B51">
        <w:rPr>
          <w:rFonts w:ascii="Times New Roman" w:eastAsia="Arial" w:hAnsi="Times New Roman" w:cs="Times New Roman"/>
          <w:noProof/>
          <w:sz w:val="24"/>
          <w:szCs w:val="29"/>
        </w:rPr>
        <w:drawing>
          <wp:inline distT="0" distB="0" distL="0" distR="0" wp14:anchorId="1E511D83" wp14:editId="77A3AF77">
            <wp:extent cx="5760085" cy="3454400"/>
            <wp:effectExtent l="0" t="0" r="0" b="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760085" cy="3454400"/>
                    </a:xfrm>
                    <a:prstGeom prst="rect">
                      <a:avLst/>
                    </a:prstGeom>
                    <a:noFill/>
                    <a:ln>
                      <a:noFill/>
                    </a:ln>
                  </pic:spPr>
                </pic:pic>
              </a:graphicData>
            </a:graphic>
          </wp:inline>
        </w:drawing>
      </w:r>
    </w:p>
    <w:p w14:paraId="2338DA57" w14:textId="57B3625A" w:rsidR="00994F93" w:rsidRPr="00B03B51" w:rsidRDefault="00595E94" w:rsidP="003E20F3">
      <w:pPr>
        <w:jc w:val="center"/>
        <w:rPr>
          <w:rFonts w:ascii="Times New Roman" w:eastAsia="Arial" w:hAnsi="Times New Roman" w:cs="Times New Roman"/>
          <w:noProof/>
          <w:sz w:val="24"/>
          <w:szCs w:val="29"/>
        </w:rPr>
      </w:pPr>
      <w:r w:rsidRPr="00B03B51">
        <w:rPr>
          <w:rFonts w:ascii="Times New Roman" w:eastAsia="Arial" w:hAnsi="Times New Roman" w:cs="Times New Roman"/>
          <w:noProof/>
          <w:sz w:val="24"/>
          <w:szCs w:val="29"/>
        </w:rPr>
        <w:lastRenderedPageBreak/>
        <w:drawing>
          <wp:inline distT="0" distB="0" distL="0" distR="0" wp14:anchorId="2B45AFFB" wp14:editId="7ADEACC7">
            <wp:extent cx="5760085" cy="8491220"/>
            <wp:effectExtent l="0" t="0" r="0" b="508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760085" cy="8491220"/>
                    </a:xfrm>
                    <a:prstGeom prst="rect">
                      <a:avLst/>
                    </a:prstGeom>
                    <a:noFill/>
                    <a:ln>
                      <a:noFill/>
                    </a:ln>
                  </pic:spPr>
                </pic:pic>
              </a:graphicData>
            </a:graphic>
          </wp:inline>
        </w:drawing>
      </w:r>
    </w:p>
    <w:p w14:paraId="571D088E" w14:textId="50D6D345" w:rsidR="00994F93" w:rsidRPr="00B03B51" w:rsidRDefault="00595E94" w:rsidP="003E20F3">
      <w:pPr>
        <w:jc w:val="center"/>
        <w:rPr>
          <w:rFonts w:ascii="Times New Roman" w:eastAsia="Arial" w:hAnsi="Times New Roman" w:cs="Times New Roman"/>
          <w:noProof/>
          <w:sz w:val="24"/>
          <w:szCs w:val="29"/>
        </w:rPr>
      </w:pPr>
      <w:r w:rsidRPr="00B03B51">
        <w:rPr>
          <w:rFonts w:ascii="Times New Roman" w:eastAsia="Arial" w:hAnsi="Times New Roman" w:cs="Times New Roman"/>
          <w:noProof/>
          <w:sz w:val="24"/>
          <w:szCs w:val="29"/>
        </w:rPr>
        <w:lastRenderedPageBreak/>
        <w:drawing>
          <wp:inline distT="0" distB="0" distL="0" distR="0" wp14:anchorId="7383A078" wp14:editId="4E4DE6D4">
            <wp:extent cx="5760085" cy="5292725"/>
            <wp:effectExtent l="0" t="0" r="0" b="3175"/>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760085" cy="5292725"/>
                    </a:xfrm>
                    <a:prstGeom prst="rect">
                      <a:avLst/>
                    </a:prstGeom>
                    <a:noFill/>
                    <a:ln>
                      <a:noFill/>
                    </a:ln>
                  </pic:spPr>
                </pic:pic>
              </a:graphicData>
            </a:graphic>
          </wp:inline>
        </w:drawing>
      </w:r>
    </w:p>
    <w:p w14:paraId="12E5997F" w14:textId="77777777" w:rsidR="00994F93" w:rsidRPr="00B03B51" w:rsidRDefault="00994F93" w:rsidP="00994F93">
      <w:pPr>
        <w:rPr>
          <w:rFonts w:ascii="Times New Roman" w:eastAsia="Arial" w:hAnsi="Times New Roman" w:cs="Times New Roman"/>
          <w:noProof/>
          <w:sz w:val="24"/>
          <w:szCs w:val="29"/>
        </w:rPr>
      </w:pPr>
      <w:r w:rsidRPr="00B03B51">
        <w:rPr>
          <w:rFonts w:ascii="Times New Roman" w:hAnsi="Times New Roman" w:cs="Times New Roman"/>
        </w:rPr>
        <w:br w:type="page"/>
      </w:r>
    </w:p>
    <w:p w14:paraId="0D3E502B" w14:textId="77777777" w:rsidR="00994F93" w:rsidRPr="00B03B51" w:rsidRDefault="00994F93" w:rsidP="00994F93">
      <w:pPr>
        <w:jc w:val="both"/>
        <w:rPr>
          <w:rFonts w:ascii="Times New Roman" w:eastAsia="Arial" w:hAnsi="Times New Roman" w:cs="Times New Roman"/>
          <w:noProof/>
          <w:sz w:val="24"/>
          <w:szCs w:val="29"/>
        </w:rPr>
      </w:pPr>
    </w:p>
    <w:p w14:paraId="2A96297C" w14:textId="77777777" w:rsidR="00994F93" w:rsidRPr="00B03B51" w:rsidRDefault="00994F93" w:rsidP="00994F93">
      <w:pPr>
        <w:pStyle w:val="Heading2"/>
        <w:tabs>
          <w:tab w:val="left" w:pos="1279"/>
        </w:tabs>
        <w:spacing w:before="0"/>
        <w:ind w:left="0" w:firstLine="0"/>
        <w:jc w:val="both"/>
        <w:rPr>
          <w:rFonts w:ascii="Times New Roman" w:hAnsi="Times New Roman" w:cs="Times New Roman"/>
          <w:noProof/>
          <w:sz w:val="28"/>
          <w:szCs w:val="44"/>
        </w:rPr>
      </w:pPr>
      <w:bookmarkStart w:id="292" w:name="3.8_Annex:_selected_ESA_2010_transaction"/>
      <w:bookmarkStart w:id="293" w:name="_bookmark28"/>
      <w:bookmarkStart w:id="294" w:name="_Toc67565115"/>
      <w:bookmarkEnd w:id="292"/>
      <w:bookmarkEnd w:id="293"/>
      <w:r w:rsidRPr="00B03B51">
        <w:rPr>
          <w:rFonts w:ascii="Times New Roman" w:hAnsi="Times New Roman" w:cs="Times New Roman"/>
          <w:sz w:val="28"/>
          <w:szCs w:val="44"/>
        </w:rPr>
        <w:t>3.8. Pielikums. EKS 2010 darījumu izlase</w:t>
      </w:r>
      <w:bookmarkEnd w:id="294"/>
    </w:p>
    <w:p w14:paraId="5DC245CC" w14:textId="77777777" w:rsidR="00994F93" w:rsidRPr="00B03B51" w:rsidRDefault="00994F93" w:rsidP="00994F93">
      <w:pPr>
        <w:tabs>
          <w:tab w:val="left" w:pos="1267"/>
        </w:tabs>
        <w:jc w:val="both"/>
        <w:rPr>
          <w:rFonts w:ascii="Times New Roman" w:hAnsi="Times New Roman" w:cs="Times New Roman"/>
          <w:b/>
          <w:noProof/>
          <w:sz w:val="24"/>
        </w:rPr>
      </w:pPr>
      <w:bookmarkStart w:id="295" w:name="3.8.1_Payments_by_public_corporations_to"/>
      <w:bookmarkEnd w:id="295"/>
    </w:p>
    <w:p w14:paraId="00FC9574" w14:textId="77777777" w:rsidR="00994F93" w:rsidRPr="00186A44" w:rsidRDefault="00994F93" w:rsidP="00186A44">
      <w:pPr>
        <w:pStyle w:val="Heading3"/>
        <w:tabs>
          <w:tab w:val="left" w:pos="1267"/>
        </w:tabs>
        <w:ind w:left="0" w:firstLine="0"/>
        <w:jc w:val="both"/>
        <w:rPr>
          <w:rFonts w:ascii="Times New Roman" w:hAnsi="Times New Roman" w:cs="Times New Roman"/>
          <w:sz w:val="24"/>
        </w:rPr>
      </w:pPr>
      <w:r w:rsidRPr="00B03B51">
        <w:rPr>
          <w:rFonts w:ascii="Times New Roman" w:hAnsi="Times New Roman" w:cs="Times New Roman"/>
          <w:sz w:val="24"/>
        </w:rPr>
        <w:t>3.8.1. Publisku sabiedrību maksājumi valdībai</w:t>
      </w:r>
    </w:p>
    <w:p w14:paraId="74FE3DA8" w14:textId="77777777" w:rsidR="00994F93" w:rsidRPr="00B03B51" w:rsidRDefault="00994F93" w:rsidP="00994F93">
      <w:pPr>
        <w:tabs>
          <w:tab w:val="left" w:pos="843"/>
        </w:tabs>
        <w:jc w:val="both"/>
        <w:rPr>
          <w:rFonts w:ascii="Times New Roman" w:hAnsi="Times New Roman" w:cs="Times New Roman"/>
          <w:b/>
          <w:noProof/>
          <w:sz w:val="24"/>
        </w:rPr>
      </w:pPr>
    </w:p>
    <w:p w14:paraId="589050EA" w14:textId="77777777" w:rsidR="00994F93" w:rsidRPr="00B03B51" w:rsidRDefault="00994F93" w:rsidP="00994F93">
      <w:pPr>
        <w:tabs>
          <w:tab w:val="left" w:pos="843"/>
        </w:tabs>
        <w:jc w:val="both"/>
        <w:rPr>
          <w:rFonts w:ascii="Times New Roman" w:hAnsi="Times New Roman" w:cs="Times New Roman"/>
          <w:b/>
          <w:noProof/>
          <w:sz w:val="24"/>
        </w:rPr>
      </w:pPr>
      <w:r w:rsidRPr="00B03B51">
        <w:rPr>
          <w:rFonts w:ascii="Times New Roman" w:hAnsi="Times New Roman" w:cs="Times New Roman"/>
          <w:b/>
          <w:sz w:val="24"/>
        </w:rPr>
        <w:t>1. Citi ražošanas nodokļi (D.29)</w:t>
      </w:r>
    </w:p>
    <w:p w14:paraId="337D0231" w14:textId="77777777" w:rsidR="00994F93" w:rsidRPr="00B03B51" w:rsidRDefault="00994F93" w:rsidP="00994F93">
      <w:pPr>
        <w:pStyle w:val="BodyText"/>
        <w:spacing w:before="0"/>
        <w:ind w:left="0" w:firstLine="0"/>
        <w:jc w:val="both"/>
        <w:rPr>
          <w:rFonts w:ascii="Times New Roman" w:hAnsi="Times New Roman" w:cs="Times New Roman"/>
          <w:noProof/>
          <w:sz w:val="24"/>
        </w:rPr>
      </w:pPr>
    </w:p>
    <w:p w14:paraId="5DC9DBD4" w14:textId="77777777" w:rsidR="00994F93" w:rsidRPr="00B03B51" w:rsidRDefault="00994F93" w:rsidP="00994F93">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t>Šajā kategorijā ietilpst visi nodokļi, kas uzņēmumiem jāmaksā, nodarbojoties ar ražošanu. Tie var būt maksājami par zemi, pamatlīdzekļiem vai darbaspēku, kas nodarbināts ražošanas procesā, vai par noteiktām darbībām vai darījumiem. Tie ir būtiska daļa no maksājumiem, ko sabiedrības maksā valdībai.</w:t>
      </w:r>
    </w:p>
    <w:p w14:paraId="24033F8A" w14:textId="77777777" w:rsidR="00994F93" w:rsidRPr="00B03B51" w:rsidRDefault="00994F93" w:rsidP="00994F93">
      <w:pPr>
        <w:tabs>
          <w:tab w:val="left" w:pos="843"/>
        </w:tabs>
        <w:jc w:val="both"/>
        <w:rPr>
          <w:rFonts w:ascii="Times New Roman" w:hAnsi="Times New Roman" w:cs="Times New Roman"/>
          <w:b/>
          <w:noProof/>
          <w:sz w:val="24"/>
        </w:rPr>
      </w:pPr>
    </w:p>
    <w:p w14:paraId="2BA95DB6" w14:textId="77777777" w:rsidR="00994F93" w:rsidRPr="00B03B51" w:rsidRDefault="00994F93" w:rsidP="00994F93">
      <w:pPr>
        <w:tabs>
          <w:tab w:val="left" w:pos="843"/>
        </w:tabs>
        <w:jc w:val="both"/>
        <w:rPr>
          <w:rFonts w:ascii="Times New Roman" w:hAnsi="Times New Roman" w:cs="Times New Roman"/>
          <w:b/>
          <w:noProof/>
          <w:sz w:val="24"/>
        </w:rPr>
      </w:pPr>
      <w:r w:rsidRPr="00B03B51">
        <w:rPr>
          <w:rFonts w:ascii="Times New Roman" w:hAnsi="Times New Roman" w:cs="Times New Roman"/>
          <w:b/>
          <w:sz w:val="24"/>
        </w:rPr>
        <w:t>2. Ienākuma un mantas kārtējie nodokļi (D.5) un kapitāla nodokļi (D.91)</w:t>
      </w:r>
    </w:p>
    <w:p w14:paraId="1B7CDB06" w14:textId="77777777" w:rsidR="00994F93" w:rsidRPr="00B03B51" w:rsidRDefault="00994F93" w:rsidP="00994F93">
      <w:pPr>
        <w:pStyle w:val="BodyText"/>
        <w:spacing w:before="0"/>
        <w:ind w:left="0" w:firstLine="0"/>
        <w:jc w:val="both"/>
        <w:rPr>
          <w:rFonts w:ascii="Times New Roman" w:hAnsi="Times New Roman" w:cs="Times New Roman"/>
          <w:noProof/>
          <w:sz w:val="24"/>
        </w:rPr>
      </w:pPr>
    </w:p>
    <w:p w14:paraId="1FEB28BC" w14:textId="77777777" w:rsidR="00994F93" w:rsidRPr="00B03B51" w:rsidRDefault="00994F93" w:rsidP="00994F93">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t>Kopumā jābūt skaidrībai par to, kas ir nodoklis un ka publiskas sabiedrības nodokļus maksā tāpat kā citi. Tomēr klasifikācijas jautājumu gadījumos valdības funkcija nodokļu iekasēšanas jomā var būt pretrunā tās kā publiskas vienības īpašnieces funkcijai, un tāpēc nodokļu maksājumus ir pareizāk traktēt kā pašu kapitāla izņemšanu. Tas visticamāk attieksies uz nodokļiem, ko piemēro attiecībā uz valdības ierosinātajiem darījumiem.</w:t>
      </w:r>
    </w:p>
    <w:p w14:paraId="1B866694" w14:textId="77777777" w:rsidR="00994F93" w:rsidRPr="00B03B51" w:rsidRDefault="00994F93" w:rsidP="00994F93">
      <w:pPr>
        <w:pStyle w:val="BodyText"/>
        <w:spacing w:before="0"/>
        <w:ind w:left="0" w:firstLine="0"/>
        <w:jc w:val="both"/>
        <w:rPr>
          <w:rFonts w:ascii="Times New Roman" w:hAnsi="Times New Roman" w:cs="Times New Roman"/>
          <w:noProof/>
          <w:sz w:val="24"/>
        </w:rPr>
      </w:pPr>
    </w:p>
    <w:p w14:paraId="0E19EAAD" w14:textId="77777777" w:rsidR="00994F93" w:rsidRPr="00B03B51" w:rsidRDefault="00994F93" w:rsidP="00994F93">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t>Attiecīgie piemēri ir lieli ar privatizāciju saistīti maksājumi un lieli maksājumi, kas saistīti ar ārvalstu aktīvu rezervju ārkārtas pārdošanu vai pārvērtēšanu.</w:t>
      </w:r>
    </w:p>
    <w:p w14:paraId="134C9716" w14:textId="77777777" w:rsidR="00994F93" w:rsidRPr="00B03B51" w:rsidRDefault="00994F93" w:rsidP="00994F93">
      <w:pPr>
        <w:tabs>
          <w:tab w:val="left" w:pos="843"/>
        </w:tabs>
        <w:jc w:val="both"/>
        <w:rPr>
          <w:rFonts w:ascii="Times New Roman" w:hAnsi="Times New Roman" w:cs="Times New Roman"/>
          <w:b/>
          <w:noProof/>
          <w:sz w:val="24"/>
        </w:rPr>
      </w:pPr>
    </w:p>
    <w:p w14:paraId="7C4CEF38" w14:textId="77777777" w:rsidR="00994F93" w:rsidRPr="00B03B51" w:rsidRDefault="00994F93" w:rsidP="00994F93">
      <w:pPr>
        <w:tabs>
          <w:tab w:val="left" w:pos="843"/>
        </w:tabs>
        <w:jc w:val="both"/>
        <w:rPr>
          <w:rFonts w:ascii="Times New Roman" w:hAnsi="Times New Roman" w:cs="Times New Roman"/>
          <w:b/>
          <w:noProof/>
          <w:sz w:val="24"/>
        </w:rPr>
      </w:pPr>
      <w:r w:rsidRPr="00B03B51">
        <w:rPr>
          <w:rFonts w:ascii="Times New Roman" w:hAnsi="Times New Roman" w:cs="Times New Roman"/>
          <w:b/>
          <w:sz w:val="24"/>
        </w:rPr>
        <w:t>3. Dažādi kārtējie pārvedumi (D.75)</w:t>
      </w:r>
    </w:p>
    <w:p w14:paraId="2E823B72" w14:textId="77777777" w:rsidR="00994F93" w:rsidRPr="00B03B51" w:rsidRDefault="00994F93" w:rsidP="00994F93">
      <w:pPr>
        <w:pStyle w:val="BodyText"/>
        <w:spacing w:before="0"/>
        <w:ind w:left="0" w:firstLine="0"/>
        <w:jc w:val="both"/>
        <w:rPr>
          <w:rFonts w:ascii="Times New Roman" w:hAnsi="Times New Roman" w:cs="Times New Roman"/>
          <w:noProof/>
          <w:sz w:val="24"/>
        </w:rPr>
      </w:pPr>
    </w:p>
    <w:p w14:paraId="552F40E1" w14:textId="77777777" w:rsidR="00994F93" w:rsidRPr="00B03B51" w:rsidRDefault="00994F93" w:rsidP="00994F93">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t>Šajā kategorijā ietilpst naudas sodu maksājumi, ja tie nav nošķirami no nodokļiem.</w:t>
      </w:r>
      <w:r w:rsidRPr="00B03B51">
        <w:rPr>
          <w:rStyle w:val="FootnoteReference"/>
          <w:rFonts w:ascii="Times New Roman" w:hAnsi="Times New Roman" w:cs="Times New Roman"/>
          <w:noProof/>
          <w:sz w:val="24"/>
        </w:rPr>
        <w:footnoteReference w:id="175"/>
      </w:r>
    </w:p>
    <w:p w14:paraId="10D8E7FC" w14:textId="77777777" w:rsidR="00994F93" w:rsidRPr="00B03B51" w:rsidRDefault="00994F93" w:rsidP="00994F93">
      <w:pPr>
        <w:tabs>
          <w:tab w:val="left" w:pos="843"/>
        </w:tabs>
        <w:jc w:val="both"/>
        <w:rPr>
          <w:rFonts w:ascii="Times New Roman" w:hAnsi="Times New Roman" w:cs="Times New Roman"/>
          <w:b/>
          <w:noProof/>
          <w:sz w:val="24"/>
        </w:rPr>
      </w:pPr>
    </w:p>
    <w:p w14:paraId="6C4865C4" w14:textId="77777777" w:rsidR="00994F93" w:rsidRPr="00B03B51" w:rsidRDefault="00994F93" w:rsidP="00994F93">
      <w:pPr>
        <w:tabs>
          <w:tab w:val="left" w:pos="843"/>
        </w:tabs>
        <w:jc w:val="both"/>
        <w:rPr>
          <w:rFonts w:ascii="Times New Roman" w:hAnsi="Times New Roman" w:cs="Times New Roman"/>
          <w:b/>
          <w:noProof/>
          <w:sz w:val="24"/>
        </w:rPr>
      </w:pPr>
      <w:r w:rsidRPr="00B03B51">
        <w:rPr>
          <w:rFonts w:ascii="Times New Roman" w:hAnsi="Times New Roman" w:cs="Times New Roman"/>
          <w:b/>
          <w:sz w:val="24"/>
        </w:rPr>
        <w:t>4. Dividendes (D.421)</w:t>
      </w:r>
    </w:p>
    <w:p w14:paraId="30750B63" w14:textId="77777777" w:rsidR="00994F93" w:rsidRPr="00B03B51" w:rsidRDefault="00994F93" w:rsidP="00994F93">
      <w:pPr>
        <w:pStyle w:val="BodyText"/>
        <w:spacing w:before="0"/>
        <w:ind w:left="0" w:firstLine="0"/>
        <w:jc w:val="both"/>
        <w:rPr>
          <w:rFonts w:ascii="Times New Roman" w:hAnsi="Times New Roman" w:cs="Times New Roman"/>
          <w:noProof/>
          <w:sz w:val="24"/>
        </w:rPr>
      </w:pPr>
    </w:p>
    <w:p w14:paraId="1542A01F" w14:textId="77777777" w:rsidR="00994F93" w:rsidRPr="00B03B51" w:rsidRDefault="00994F93" w:rsidP="00994F93">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t>Dividendes izriet no īpašumtiesībām uz vienību. Tās šajā gadījumā attiecas uz maksājumiem, kurus vienība veic valdībai no vienības ienākumiem. EKS 2010 ir noteikts, ka dividendes neattiecas uz maksājumiem, kurus finansē no aktīvu tirdzniecības, kapitāla pieauguma vai vairāku gadu laikā uzkrātajām rezervēm (izņemot dividenžu izlīdzināšanai paredzētos maksājumus), pat ja vienības kontos šādus maksājumus atzīmē kā dividendes. Pozīcijā F.5 šādus maksājumus ieraksta kā pašu kapitāla izņemšanu. Skat. iepriekš 3.5. nodaļu par jēdzieniem “ienākumi” un “dividendes”.</w:t>
      </w:r>
    </w:p>
    <w:p w14:paraId="38057FDB" w14:textId="77777777" w:rsidR="00994F93" w:rsidRPr="00B03B51" w:rsidRDefault="00994F93" w:rsidP="00994F93">
      <w:pPr>
        <w:tabs>
          <w:tab w:val="left" w:pos="843"/>
        </w:tabs>
        <w:jc w:val="both"/>
        <w:rPr>
          <w:rFonts w:ascii="Times New Roman" w:hAnsi="Times New Roman" w:cs="Times New Roman"/>
          <w:b/>
          <w:noProof/>
          <w:sz w:val="24"/>
        </w:rPr>
      </w:pPr>
    </w:p>
    <w:p w14:paraId="4606D00C" w14:textId="77777777" w:rsidR="00994F93" w:rsidRPr="00B03B51" w:rsidRDefault="00994F93" w:rsidP="00994F93">
      <w:pPr>
        <w:tabs>
          <w:tab w:val="left" w:pos="843"/>
        </w:tabs>
        <w:jc w:val="both"/>
        <w:rPr>
          <w:rFonts w:ascii="Times New Roman" w:hAnsi="Times New Roman" w:cs="Times New Roman"/>
          <w:b/>
          <w:noProof/>
          <w:sz w:val="24"/>
        </w:rPr>
      </w:pPr>
      <w:r w:rsidRPr="00B03B51">
        <w:rPr>
          <w:rFonts w:ascii="Times New Roman" w:hAnsi="Times New Roman" w:cs="Times New Roman"/>
          <w:b/>
          <w:sz w:val="24"/>
        </w:rPr>
        <w:t>5. Citi kapitāla pārvedumi (D.99)</w:t>
      </w:r>
    </w:p>
    <w:p w14:paraId="0E682DE2" w14:textId="77777777" w:rsidR="00994F93" w:rsidRPr="00B03B51" w:rsidRDefault="00994F93" w:rsidP="00994F93">
      <w:pPr>
        <w:pStyle w:val="BodyText"/>
        <w:spacing w:before="0"/>
        <w:ind w:left="0" w:firstLine="0"/>
        <w:jc w:val="both"/>
        <w:rPr>
          <w:rFonts w:ascii="Times New Roman" w:hAnsi="Times New Roman" w:cs="Times New Roman"/>
          <w:noProof/>
          <w:sz w:val="24"/>
        </w:rPr>
      </w:pPr>
    </w:p>
    <w:p w14:paraId="4DB5028E" w14:textId="77777777" w:rsidR="00994F93" w:rsidRPr="00B03B51" w:rsidRDefault="00994F93" w:rsidP="00994F93">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t>Kapitāla dotācijas ir neatlīdzināmi maksājumi, tāpēc ir grūti paredzēt apstākļus, kuros pozīciju D.99 varētu piemērot, lai klasificētu maksājumu, ko tirgus vienība veic valdībai, jo nav paredzēts, ka sabiedrības atdod savu naudu, pretī neko nesaņemot. EKS 2010 ir uzskaitītas tostarp šādas iespējas:</w:t>
      </w:r>
    </w:p>
    <w:p w14:paraId="342FD80E" w14:textId="77777777" w:rsidR="00994F93" w:rsidRPr="00B03B51" w:rsidRDefault="00994F93" w:rsidP="00994F93">
      <w:pPr>
        <w:pStyle w:val="BodyText"/>
        <w:spacing w:before="0"/>
        <w:ind w:left="0" w:firstLine="0"/>
        <w:jc w:val="both"/>
        <w:rPr>
          <w:rFonts w:ascii="Times New Roman" w:hAnsi="Times New Roman" w:cs="Times New Roman"/>
          <w:noProof/>
          <w:sz w:val="24"/>
        </w:rPr>
      </w:pPr>
    </w:p>
    <w:p w14:paraId="2A805C17" w14:textId="77777777" w:rsidR="00994F93" w:rsidRPr="00B03B51" w:rsidRDefault="00994F93" w:rsidP="009534B7">
      <w:pPr>
        <w:pStyle w:val="BodyText"/>
        <w:numPr>
          <w:ilvl w:val="1"/>
          <w:numId w:val="1"/>
        </w:numPr>
        <w:spacing w:before="0"/>
        <w:ind w:left="426" w:hanging="425"/>
        <w:jc w:val="both"/>
        <w:rPr>
          <w:rFonts w:ascii="Times New Roman" w:hAnsi="Times New Roman" w:cs="Times New Roman"/>
          <w:noProof/>
          <w:sz w:val="24"/>
        </w:rPr>
      </w:pPr>
      <w:r w:rsidRPr="00B03B51">
        <w:rPr>
          <w:rFonts w:ascii="Times New Roman" w:hAnsi="Times New Roman" w:cs="Times New Roman"/>
          <w:sz w:val="24"/>
        </w:rPr>
        <w:t xml:space="preserve">EKS 2010 4.165. punkta h) apakšpunkts “Lieli maksājumi, lai atlīdzinātu būtisku kaitējumu vai miesas bojājumus, ko nesedz apdrošināšanas polises” (izņemot maksājumus, ko vispārējā valdība vai pārējā pasaule maksā kapitālpreču īpašniekiem par precēm, kas iznīcinātas vai bojātas karadarbības, citu politisku notikumu vai dabas katastrofu (plūdu utt.) dēļ). Maksājumus var piešķirt ar tiesas lēmumu vai nokārtot ārpustiesas kārtībā (skat. </w:t>
      </w:r>
      <w:r w:rsidRPr="00B03B51">
        <w:rPr>
          <w:rFonts w:ascii="Times New Roman" w:hAnsi="Times New Roman" w:cs="Times New Roman"/>
          <w:sz w:val="24"/>
        </w:rPr>
        <w:lastRenderedPageBreak/>
        <w:t>EKS 2010 4.165. punkta h) apakšpunktu). Piemēram, kompensācijas maksājumi par kaitējumu, ko radījuši lieli sprādzieni, naftas noplūde, medikamentu blakusiedarbība utt.;</w:t>
      </w:r>
    </w:p>
    <w:p w14:paraId="1959B161" w14:textId="77777777" w:rsidR="00994F93" w:rsidRPr="00B03B51" w:rsidRDefault="00994F93" w:rsidP="009534B7">
      <w:pPr>
        <w:pStyle w:val="BodyText"/>
        <w:numPr>
          <w:ilvl w:val="1"/>
          <w:numId w:val="1"/>
        </w:numPr>
        <w:spacing w:before="0"/>
        <w:ind w:left="426" w:hanging="425"/>
        <w:jc w:val="both"/>
        <w:rPr>
          <w:rFonts w:ascii="Times New Roman" w:hAnsi="Times New Roman" w:cs="Times New Roman"/>
          <w:noProof/>
          <w:sz w:val="24"/>
        </w:rPr>
      </w:pPr>
      <w:r w:rsidRPr="00B03B51">
        <w:rPr>
          <w:rFonts w:ascii="Times New Roman" w:hAnsi="Times New Roman" w:cs="Times New Roman"/>
          <w:sz w:val="24"/>
        </w:rPr>
        <w:t>EKS 2010 4.165. punkta i) apakšpunkts. Ārkārtas maksājumi sociālās apdrošināšanas fondos, ko veic darba devēji (tostarp valdība) vai valdība (kā daļu savas sociālās funkcijas) tiktāl, ciktāl tādi maksājumi ir paredzēti tādu fondu aktuāru rezervju palielināšanai. Šādas iespējas īstenošanai vajadzīgs tāds faktisks aktīvu fonds sociālo pabalstu finansēšanai, kura rīcībā ir aktīvi un saistības, kas ierakstītas kā AF.6. Tas neattiecas uz valdības pārvaldītām nefondētām sociālās apdrošināšanas shēmām; gadījums, kad sākotnējais debitors atmaksā līdzekļus valdībai par iepriekš pieprasītu garantiju (jāveic superdividenžu tests, kā noteikts EKS 2010 20.259. punktā).</w:t>
      </w:r>
    </w:p>
    <w:p w14:paraId="20F6939B" w14:textId="77777777" w:rsidR="00994F93" w:rsidRPr="00B03B51" w:rsidRDefault="00994F93" w:rsidP="00994F93">
      <w:pPr>
        <w:tabs>
          <w:tab w:val="left" w:pos="843"/>
        </w:tabs>
        <w:jc w:val="both"/>
        <w:rPr>
          <w:rFonts w:ascii="Times New Roman" w:hAnsi="Times New Roman" w:cs="Times New Roman"/>
          <w:b/>
          <w:noProof/>
          <w:sz w:val="24"/>
        </w:rPr>
      </w:pPr>
    </w:p>
    <w:p w14:paraId="2E897215" w14:textId="77777777" w:rsidR="00994F93" w:rsidRPr="00B03B51" w:rsidRDefault="00994F93" w:rsidP="00994F93">
      <w:pPr>
        <w:tabs>
          <w:tab w:val="left" w:pos="843"/>
        </w:tabs>
        <w:jc w:val="both"/>
        <w:rPr>
          <w:rFonts w:ascii="Times New Roman" w:hAnsi="Times New Roman" w:cs="Times New Roman"/>
          <w:b/>
          <w:noProof/>
          <w:sz w:val="24"/>
        </w:rPr>
      </w:pPr>
      <w:r w:rsidRPr="00B03B51">
        <w:rPr>
          <w:rFonts w:ascii="Times New Roman" w:hAnsi="Times New Roman" w:cs="Times New Roman"/>
          <w:b/>
          <w:sz w:val="24"/>
        </w:rPr>
        <w:t>6. Standartizētās garantiju shēmas (F.66)</w:t>
      </w:r>
    </w:p>
    <w:p w14:paraId="69EA621F" w14:textId="77777777" w:rsidR="00994F93" w:rsidRPr="00B03B51" w:rsidRDefault="00994F93" w:rsidP="00994F93">
      <w:pPr>
        <w:pStyle w:val="BodyText"/>
        <w:spacing w:before="0"/>
        <w:ind w:left="0" w:firstLine="0"/>
        <w:jc w:val="both"/>
        <w:rPr>
          <w:rFonts w:ascii="Times New Roman" w:hAnsi="Times New Roman" w:cs="Times New Roman"/>
          <w:noProof/>
          <w:sz w:val="24"/>
        </w:rPr>
      </w:pPr>
    </w:p>
    <w:p w14:paraId="5FC33EF0" w14:textId="77777777" w:rsidR="00994F93" w:rsidRPr="00B03B51" w:rsidRDefault="00994F93" w:rsidP="00994F93">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t>F.66 pozīcijā “uzkrājumi standarta garantiju prasījumiem” iekļauj paredzamo zaudējumu summas, ko valdība paredz saistībā ar garantijām, kas izsniegtas šādās shēmās. Ekvivalents ir kapitāla pārvedums, skat. 7.4. nodaļu “Valdības garantijas”.</w:t>
      </w:r>
    </w:p>
    <w:p w14:paraId="60526ACE" w14:textId="77777777" w:rsidR="00994F93" w:rsidRPr="00B03B51" w:rsidRDefault="00994F93" w:rsidP="00994F93">
      <w:pPr>
        <w:jc w:val="both"/>
        <w:rPr>
          <w:rFonts w:ascii="Times New Roman" w:eastAsia="Arial" w:hAnsi="Times New Roman" w:cs="Times New Roman"/>
          <w:noProof/>
          <w:sz w:val="24"/>
          <w:szCs w:val="14"/>
        </w:rPr>
      </w:pPr>
    </w:p>
    <w:p w14:paraId="54D85712" w14:textId="77777777" w:rsidR="00994F93" w:rsidRPr="00B03B51" w:rsidRDefault="00994F93" w:rsidP="00994F93">
      <w:pPr>
        <w:tabs>
          <w:tab w:val="left" w:pos="843"/>
        </w:tabs>
        <w:jc w:val="both"/>
        <w:rPr>
          <w:rFonts w:ascii="Times New Roman" w:hAnsi="Times New Roman" w:cs="Times New Roman"/>
          <w:b/>
          <w:noProof/>
          <w:sz w:val="24"/>
        </w:rPr>
      </w:pPr>
      <w:r w:rsidRPr="00B03B51">
        <w:rPr>
          <w:rFonts w:ascii="Times New Roman" w:hAnsi="Times New Roman" w:cs="Times New Roman"/>
          <w:b/>
          <w:sz w:val="24"/>
        </w:rPr>
        <w:t>7. Aizdevumi (F.4)</w:t>
      </w:r>
    </w:p>
    <w:p w14:paraId="0A913F82" w14:textId="77777777" w:rsidR="00994F93" w:rsidRPr="00B03B51" w:rsidRDefault="00994F93" w:rsidP="00994F93">
      <w:pPr>
        <w:pStyle w:val="BodyText"/>
        <w:spacing w:before="0"/>
        <w:ind w:left="0" w:firstLine="0"/>
        <w:jc w:val="both"/>
        <w:rPr>
          <w:rFonts w:ascii="Times New Roman" w:hAnsi="Times New Roman" w:cs="Times New Roman"/>
          <w:noProof/>
          <w:sz w:val="24"/>
        </w:rPr>
      </w:pPr>
    </w:p>
    <w:p w14:paraId="013E1C45" w14:textId="27E9DFDF" w:rsidR="00994F93" w:rsidRPr="00B03B51" w:rsidRDefault="00994F93" w:rsidP="00994F93">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t xml:space="preserve">Tas ietver aizdevuma faktisko atmaksu un nosacītās atmaksas, kas saistītas ar parāda </w:t>
      </w:r>
      <w:r w:rsidR="0024656E" w:rsidRPr="00B03B51">
        <w:rPr>
          <w:rFonts w:ascii="Times New Roman" w:hAnsi="Times New Roman" w:cs="Times New Roman"/>
          <w:sz w:val="24"/>
        </w:rPr>
        <w:t>anulēšanu</w:t>
      </w:r>
      <w:r w:rsidRPr="00B03B51">
        <w:rPr>
          <w:rFonts w:ascii="Times New Roman" w:hAnsi="Times New Roman" w:cs="Times New Roman"/>
          <w:sz w:val="24"/>
        </w:rPr>
        <w:t xml:space="preserve">. Vairumā gadījumu parāda </w:t>
      </w:r>
      <w:r w:rsidR="002C6576" w:rsidRPr="00B03B51">
        <w:rPr>
          <w:rFonts w:ascii="Times New Roman" w:hAnsi="Times New Roman" w:cs="Times New Roman"/>
          <w:sz w:val="24"/>
        </w:rPr>
        <w:t>anulēšana</w:t>
      </w:r>
      <w:r w:rsidRPr="00B03B51">
        <w:rPr>
          <w:rFonts w:ascii="Times New Roman" w:hAnsi="Times New Roman" w:cs="Times New Roman"/>
          <w:sz w:val="24"/>
        </w:rPr>
        <w:t xml:space="preserve"> ir jāieraksta kā darījums pozīcijā F.4. Ekvivalents parasti ir kapitāla pārvedums no valdības, ko veic valdība (D.99), izņemot gadījumu, ja privatizācija ir nenovēršama, tādā gadījumā ekvivalents ir darījums ar pašu kapitālu (F.5).</w:t>
      </w:r>
    </w:p>
    <w:p w14:paraId="46CF45D4" w14:textId="77777777" w:rsidR="00994F93" w:rsidRPr="00B03B51" w:rsidRDefault="00994F93" w:rsidP="00994F93">
      <w:pPr>
        <w:pStyle w:val="BodyText"/>
        <w:spacing w:before="0"/>
        <w:ind w:left="0" w:firstLine="0"/>
        <w:jc w:val="both"/>
        <w:rPr>
          <w:rFonts w:ascii="Times New Roman" w:hAnsi="Times New Roman" w:cs="Times New Roman"/>
          <w:noProof/>
          <w:sz w:val="24"/>
        </w:rPr>
      </w:pPr>
    </w:p>
    <w:p w14:paraId="18B6A9CA" w14:textId="77777777" w:rsidR="00994F93" w:rsidRPr="00B03B51" w:rsidRDefault="00994F93" w:rsidP="00994F93">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t>Dažos gadījumos parāda norakstīšana tiek ierakstīta kā citur neklasificētas citas apjoma pārmaiņas (K.5). To varētu ierakstīt arī kā sektoru klasifikācijas un institucionālās vienības struktūras pārmaiņas (K.61), bet tikai tad, ja norakstīšana ir saistīta ar vienību parādīšanos un izzušanu.</w:t>
      </w:r>
    </w:p>
    <w:p w14:paraId="329C6C2C" w14:textId="77777777" w:rsidR="00994F93" w:rsidRPr="00B03B51" w:rsidRDefault="00994F93" w:rsidP="00994F93">
      <w:pPr>
        <w:tabs>
          <w:tab w:val="left" w:pos="843"/>
        </w:tabs>
        <w:jc w:val="both"/>
        <w:rPr>
          <w:rFonts w:ascii="Times New Roman" w:hAnsi="Times New Roman" w:cs="Times New Roman"/>
          <w:b/>
          <w:noProof/>
          <w:sz w:val="24"/>
        </w:rPr>
      </w:pPr>
    </w:p>
    <w:p w14:paraId="35EE99E5" w14:textId="77777777" w:rsidR="00994F93" w:rsidRPr="00B03B51" w:rsidRDefault="00994F93" w:rsidP="00994F93">
      <w:pPr>
        <w:tabs>
          <w:tab w:val="left" w:pos="843"/>
        </w:tabs>
        <w:jc w:val="both"/>
        <w:rPr>
          <w:rFonts w:ascii="Times New Roman" w:hAnsi="Times New Roman" w:cs="Times New Roman"/>
          <w:b/>
          <w:noProof/>
          <w:sz w:val="24"/>
        </w:rPr>
      </w:pPr>
      <w:r w:rsidRPr="00B03B51">
        <w:rPr>
          <w:rFonts w:ascii="Times New Roman" w:hAnsi="Times New Roman" w:cs="Times New Roman"/>
          <w:b/>
          <w:sz w:val="24"/>
        </w:rPr>
        <w:t>8. Cits pašu kapitāls (F.519)</w:t>
      </w:r>
    </w:p>
    <w:p w14:paraId="1D92ABBA" w14:textId="77777777" w:rsidR="00994F93" w:rsidRPr="00B03B51" w:rsidRDefault="00994F93" w:rsidP="00994F93">
      <w:pPr>
        <w:tabs>
          <w:tab w:val="left" w:pos="843"/>
        </w:tabs>
        <w:jc w:val="both"/>
        <w:rPr>
          <w:rFonts w:ascii="Times New Roman" w:hAnsi="Times New Roman" w:cs="Times New Roman"/>
          <w:b/>
          <w:noProof/>
          <w:sz w:val="24"/>
        </w:rPr>
      </w:pPr>
    </w:p>
    <w:p w14:paraId="1ED2C7A1" w14:textId="77777777" w:rsidR="00994F93" w:rsidRPr="00B03B51" w:rsidRDefault="00994F93" w:rsidP="00994F93">
      <w:pPr>
        <w:tabs>
          <w:tab w:val="left" w:pos="843"/>
        </w:tabs>
        <w:jc w:val="both"/>
        <w:rPr>
          <w:rFonts w:ascii="Times New Roman" w:hAnsi="Times New Roman" w:cs="Times New Roman"/>
          <w:b/>
          <w:noProof/>
          <w:sz w:val="24"/>
        </w:rPr>
      </w:pPr>
      <w:r w:rsidRPr="00B03B51">
        <w:rPr>
          <w:rFonts w:ascii="Times New Roman" w:hAnsi="Times New Roman" w:cs="Times New Roman"/>
          <w:b/>
          <w:sz w:val="24"/>
        </w:rPr>
        <w:t>Pašu kapitāla izņemšana</w:t>
      </w:r>
    </w:p>
    <w:p w14:paraId="174122CA" w14:textId="77777777" w:rsidR="00994F93" w:rsidRPr="00B03B51" w:rsidRDefault="00994F93" w:rsidP="00994F93">
      <w:pPr>
        <w:pStyle w:val="BodyText"/>
        <w:spacing w:before="0"/>
        <w:ind w:left="0" w:firstLine="0"/>
        <w:jc w:val="both"/>
        <w:rPr>
          <w:rFonts w:ascii="Times New Roman" w:hAnsi="Times New Roman" w:cs="Times New Roman"/>
          <w:noProof/>
          <w:sz w:val="24"/>
        </w:rPr>
      </w:pPr>
    </w:p>
    <w:p w14:paraId="38E054CF" w14:textId="77777777" w:rsidR="00994F93" w:rsidRPr="00B03B51" w:rsidRDefault="00994F93" w:rsidP="00994F93">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t>Šeit ietilpst nozīmīgi valdībai veikti vienreizēji maksājumi, kad šāds maksājums tiek finansēts, likvidējot aktīvus, piemēram, no uzkrātajām rezervēm, finanšu vai nefinanšu aktīvu tirdzniecības vai kapitāla pieauguma realizācijas. Šeit neiekļauj maksājumus, kas klasificējami kā dividendes.</w:t>
      </w:r>
    </w:p>
    <w:p w14:paraId="1122503C" w14:textId="77777777" w:rsidR="00994F93" w:rsidRPr="00B03B51" w:rsidRDefault="00994F93" w:rsidP="00994F93">
      <w:pPr>
        <w:pStyle w:val="BodyText"/>
        <w:spacing w:before="0"/>
        <w:ind w:left="0" w:firstLine="0"/>
        <w:jc w:val="both"/>
        <w:rPr>
          <w:rFonts w:ascii="Times New Roman" w:hAnsi="Times New Roman" w:cs="Times New Roman"/>
          <w:noProof/>
          <w:sz w:val="24"/>
        </w:rPr>
      </w:pPr>
    </w:p>
    <w:p w14:paraId="6C6CC8C3" w14:textId="77777777" w:rsidR="00994F93" w:rsidRPr="00B03B51" w:rsidRDefault="00994F93" w:rsidP="00994F93">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t>Maksājumus, kas veikti valdībai un izriet no ievērojamas aktīvu tirdzniecības pēc valdības pieprasījuma vai radušies saistībā ar valdības politiku, ieraksta kā pašu kapitāla izņemšanu, nevis kā dividendes vai citus nefinanšu darījumus.</w:t>
      </w:r>
    </w:p>
    <w:p w14:paraId="245EDF2C" w14:textId="77777777" w:rsidR="00994F93" w:rsidRPr="00B03B51" w:rsidRDefault="00994F93" w:rsidP="00994F93">
      <w:pPr>
        <w:pStyle w:val="BodyText"/>
        <w:spacing w:before="0"/>
        <w:ind w:left="0" w:firstLine="0"/>
        <w:jc w:val="both"/>
        <w:rPr>
          <w:rFonts w:ascii="Times New Roman" w:hAnsi="Times New Roman" w:cs="Times New Roman"/>
          <w:noProof/>
          <w:sz w:val="24"/>
        </w:rPr>
      </w:pPr>
    </w:p>
    <w:p w14:paraId="66A4580D" w14:textId="77777777" w:rsidR="00994F93" w:rsidRPr="00B03B51" w:rsidRDefault="00994F93" w:rsidP="00994F93">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t>Šāda klasifikācija ir atbilstoša pat tad, ja vienības publiskajos kontos minētais darījums ir norādīts kā kaut kas cits, piemēram, kā dividende vai dažos gadījumos kā nodoklis.</w:t>
      </w:r>
    </w:p>
    <w:p w14:paraId="49D2C5FC" w14:textId="77777777" w:rsidR="00994F93" w:rsidRPr="00B03B51" w:rsidRDefault="00994F93" w:rsidP="00994F93">
      <w:pPr>
        <w:pStyle w:val="BodyText"/>
        <w:spacing w:before="0"/>
        <w:ind w:left="0" w:firstLine="0"/>
        <w:jc w:val="both"/>
        <w:rPr>
          <w:rFonts w:ascii="Times New Roman" w:hAnsi="Times New Roman" w:cs="Times New Roman"/>
          <w:noProof/>
          <w:sz w:val="24"/>
        </w:rPr>
      </w:pPr>
    </w:p>
    <w:p w14:paraId="36023787" w14:textId="77777777" w:rsidR="00994F93" w:rsidRPr="00B03B51" w:rsidRDefault="00994F93" w:rsidP="00994F93">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t xml:space="preserve">Šis traktējums attiecas uz netiešo privatizāciju (skat. 5.2. nodaļu “Finanšu un nefinanšu aktīvu pārdošana”). Privatizācijas ieņēmumi nacionālajos kontos tiek traktēti kā valdības pašu kapitāla pārdošana apmaiņā pret cita veida finanšu aktīviem (kopumā pret likvīdiem aktīviem). Ievērojot šādu loģiku, privatizācijas ieņēmumi nesamazina valdības neto aizdevumu/aizņēmumu (B.9), bet maina tā finansējumu. Valdības jaunajiem likvīdajiem aktīviem būtu jāsamazina valdības parāds vai nu tieši, atpērkot valdības parāda vērtspapīrus, vai netieši, samazinot vajadzību pēc </w:t>
      </w:r>
      <w:r w:rsidRPr="00B03B51">
        <w:rPr>
          <w:rFonts w:ascii="Times New Roman" w:hAnsi="Times New Roman" w:cs="Times New Roman"/>
          <w:sz w:val="24"/>
        </w:rPr>
        <w:lastRenderedPageBreak/>
        <w:t>jaunas parāda vērtspapīru emisijas.</w:t>
      </w:r>
    </w:p>
    <w:p w14:paraId="0E190DDD" w14:textId="77777777" w:rsidR="00994F93" w:rsidRPr="00B03B51" w:rsidRDefault="00994F93" w:rsidP="00994F93">
      <w:pPr>
        <w:pStyle w:val="BodyText"/>
        <w:spacing w:before="0"/>
        <w:ind w:left="0" w:firstLine="0"/>
        <w:jc w:val="both"/>
        <w:rPr>
          <w:rFonts w:ascii="Times New Roman" w:hAnsi="Times New Roman" w:cs="Times New Roman"/>
          <w:noProof/>
          <w:sz w:val="24"/>
        </w:rPr>
      </w:pPr>
    </w:p>
    <w:p w14:paraId="72358643" w14:textId="77777777" w:rsidR="00994F93" w:rsidRPr="00B03B51" w:rsidRDefault="00994F93" w:rsidP="00994F93">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t>Lai garantētu konsekvenci un pārredzamību, tiešas privatizācijas traktējumu attiecina arī uz netiešu privatizāciju, kad valdības pašu kapitālu pārdod starpnieks, parasti centrālais birojs, un pārdošanas ieņēmumus nodod valdībai. Tas tā ir neatkarīgi no tā, kāda ir šīs atmaksas valdībai juridiskā forma – dividendes, nodoklis, pārvedums utt.</w:t>
      </w:r>
    </w:p>
    <w:p w14:paraId="0A6CB446" w14:textId="77777777" w:rsidR="00994F93" w:rsidRPr="00B03B51" w:rsidRDefault="00994F93" w:rsidP="00994F93">
      <w:pPr>
        <w:pStyle w:val="BodyText"/>
        <w:spacing w:before="0"/>
        <w:ind w:left="0" w:firstLine="0"/>
        <w:jc w:val="both"/>
        <w:rPr>
          <w:rFonts w:ascii="Times New Roman" w:hAnsi="Times New Roman" w:cs="Times New Roman"/>
          <w:noProof/>
          <w:sz w:val="24"/>
        </w:rPr>
      </w:pPr>
    </w:p>
    <w:p w14:paraId="074CA5B1" w14:textId="77777777" w:rsidR="00994F93" w:rsidRPr="00B03B51" w:rsidRDefault="00994F93" w:rsidP="00994F93">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t>Lai nodrošinātu konsekvenci ar finanšu aktīvu tirdzniecību, šo traktējumu attiecina arī uz ievērojamu nefinanšu aktīvu netiešo tirdzniecību (bez ietekmes uz neto aizdevumu/aizņēmumu (B.9)).</w:t>
      </w:r>
    </w:p>
    <w:p w14:paraId="227D3CFC" w14:textId="77777777" w:rsidR="00994F93" w:rsidRPr="00B03B51" w:rsidRDefault="00994F93" w:rsidP="00994F93">
      <w:pPr>
        <w:jc w:val="both"/>
        <w:rPr>
          <w:rFonts w:ascii="Times New Roman" w:hAnsi="Times New Roman" w:cs="Times New Roman"/>
          <w:b/>
          <w:noProof/>
          <w:sz w:val="24"/>
        </w:rPr>
      </w:pPr>
    </w:p>
    <w:p w14:paraId="3999668A" w14:textId="77777777" w:rsidR="00994F93" w:rsidRPr="00B03B51" w:rsidRDefault="00994F93" w:rsidP="00994F93">
      <w:pPr>
        <w:jc w:val="both"/>
        <w:rPr>
          <w:rFonts w:ascii="Times New Roman" w:hAnsi="Times New Roman" w:cs="Times New Roman"/>
          <w:b/>
          <w:noProof/>
          <w:sz w:val="24"/>
        </w:rPr>
      </w:pPr>
      <w:r w:rsidRPr="00B03B51">
        <w:rPr>
          <w:rFonts w:ascii="Times New Roman" w:hAnsi="Times New Roman" w:cs="Times New Roman"/>
          <w:b/>
          <w:sz w:val="24"/>
        </w:rPr>
        <w:t>Pašu kapitāla izņemšana natūrā</w:t>
      </w:r>
    </w:p>
    <w:p w14:paraId="4CFF918D" w14:textId="77777777" w:rsidR="00994F93" w:rsidRPr="00B03B51" w:rsidRDefault="00994F93" w:rsidP="00994F93">
      <w:pPr>
        <w:pStyle w:val="BodyText"/>
        <w:spacing w:before="0"/>
        <w:ind w:left="0" w:firstLine="0"/>
        <w:jc w:val="both"/>
        <w:rPr>
          <w:rFonts w:ascii="Times New Roman" w:hAnsi="Times New Roman" w:cs="Times New Roman"/>
          <w:noProof/>
          <w:sz w:val="24"/>
        </w:rPr>
      </w:pPr>
    </w:p>
    <w:p w14:paraId="037FAAC3" w14:textId="77777777" w:rsidR="00994F93" w:rsidRPr="00B03B51" w:rsidRDefault="00994F93" w:rsidP="00994F93">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t>Maksājumi valdībai natūrā ir sarežģīts gadījums, jo pastāv pretrunīga vēlme ievērot konsekvenci gan attiecībā uz nefinanšu aktīvu netiešās tirdzniecības traktējumu (traktēts kā F.5), gan attiecībā uz vēlmi ievērot simetriju ar maksājumiem natūrā, kurus valdība veic publiskai sabiedrībai (skat. D.9 turpmāk).</w:t>
      </w:r>
    </w:p>
    <w:p w14:paraId="53C6BAD4" w14:textId="77777777" w:rsidR="00994F93" w:rsidRPr="00B03B51" w:rsidRDefault="00994F93" w:rsidP="00994F93">
      <w:pPr>
        <w:pStyle w:val="BodyText"/>
        <w:spacing w:before="0"/>
        <w:ind w:left="0" w:firstLine="0"/>
        <w:jc w:val="both"/>
        <w:rPr>
          <w:rFonts w:ascii="Times New Roman" w:hAnsi="Times New Roman" w:cs="Times New Roman"/>
          <w:noProof/>
          <w:sz w:val="24"/>
        </w:rPr>
      </w:pPr>
    </w:p>
    <w:p w14:paraId="09FA3581" w14:textId="77777777" w:rsidR="00994F93" w:rsidRPr="00B03B51" w:rsidRDefault="00994F93" w:rsidP="00994F93">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t>Ja aktīvu pārvedums starp publisku sabiedrību un valdību ir saistīts ar citu pārstrukturēšanos un pārmaiņām funkcijās un pienākumos, tad ir atbilstoši šos pārvedumus natūrā ierakstīt kā klasifikācijas un struktūras pārmaiņas (K.12) kontā “Citas aktīvu apjoma pārmaiņas”.</w:t>
      </w:r>
    </w:p>
    <w:p w14:paraId="5EE34B36" w14:textId="77777777" w:rsidR="00994F93" w:rsidRPr="00B03B51" w:rsidRDefault="00994F93" w:rsidP="00994F93">
      <w:pPr>
        <w:jc w:val="both"/>
        <w:rPr>
          <w:rFonts w:ascii="Times New Roman" w:hAnsi="Times New Roman" w:cs="Times New Roman"/>
          <w:b/>
          <w:noProof/>
          <w:sz w:val="24"/>
        </w:rPr>
      </w:pPr>
    </w:p>
    <w:p w14:paraId="50C93D0B" w14:textId="77777777" w:rsidR="00994F93" w:rsidRPr="00B03B51" w:rsidRDefault="00994F93" w:rsidP="00994F93">
      <w:pPr>
        <w:jc w:val="both"/>
        <w:rPr>
          <w:rFonts w:ascii="Times New Roman" w:hAnsi="Times New Roman" w:cs="Times New Roman"/>
          <w:b/>
          <w:noProof/>
          <w:sz w:val="24"/>
        </w:rPr>
      </w:pPr>
      <w:r w:rsidRPr="00B03B51">
        <w:rPr>
          <w:rFonts w:ascii="Times New Roman" w:hAnsi="Times New Roman" w:cs="Times New Roman"/>
          <w:b/>
          <w:sz w:val="24"/>
        </w:rPr>
        <w:t>Pašu kapitāla izņemšana no centrālās bankas</w:t>
      </w:r>
    </w:p>
    <w:p w14:paraId="5337B473" w14:textId="77777777" w:rsidR="00994F93" w:rsidRPr="00B03B51" w:rsidRDefault="00994F93" w:rsidP="00994F93">
      <w:pPr>
        <w:pStyle w:val="BodyText"/>
        <w:spacing w:before="0"/>
        <w:ind w:left="0" w:firstLine="0"/>
        <w:jc w:val="both"/>
        <w:rPr>
          <w:rFonts w:ascii="Times New Roman" w:hAnsi="Times New Roman" w:cs="Times New Roman"/>
          <w:noProof/>
          <w:sz w:val="24"/>
        </w:rPr>
      </w:pPr>
    </w:p>
    <w:p w14:paraId="1B12775F" w14:textId="77777777" w:rsidR="00994F93" w:rsidRPr="00B03B51" w:rsidRDefault="00994F93" w:rsidP="00994F93">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t>Klasifikācija pozīcijā F.5 attiecas arī uz dažiem darījumiem starp valdību un centrālajām bankām. Tas tā ir, jo centrālās bankas aktīvus nacionālajos kontos traktē kā publisko īpašumu. Piemēram, samazinoties centrālās bankas zelta un ārvalsts valūtu rezervēm, varētu samazināties valdības pašu kapitāla vērtība centrālajā bankā.</w:t>
      </w:r>
    </w:p>
    <w:p w14:paraId="2E7A37F4" w14:textId="77777777" w:rsidR="00994F93" w:rsidRPr="00B03B51" w:rsidRDefault="00994F93" w:rsidP="00994F93">
      <w:pPr>
        <w:tabs>
          <w:tab w:val="left" w:pos="843"/>
        </w:tabs>
        <w:jc w:val="both"/>
        <w:rPr>
          <w:rFonts w:ascii="Times New Roman" w:hAnsi="Times New Roman" w:cs="Times New Roman"/>
          <w:b/>
          <w:noProof/>
          <w:sz w:val="24"/>
        </w:rPr>
      </w:pPr>
    </w:p>
    <w:p w14:paraId="21C14736" w14:textId="77777777" w:rsidR="00994F93" w:rsidRPr="00B03B51" w:rsidRDefault="00994F93" w:rsidP="00994F93">
      <w:pPr>
        <w:tabs>
          <w:tab w:val="left" w:pos="843"/>
        </w:tabs>
        <w:jc w:val="both"/>
        <w:rPr>
          <w:rFonts w:ascii="Times New Roman" w:hAnsi="Times New Roman" w:cs="Times New Roman"/>
          <w:b/>
          <w:noProof/>
          <w:sz w:val="24"/>
        </w:rPr>
      </w:pPr>
      <w:r w:rsidRPr="00B03B51">
        <w:rPr>
          <w:rFonts w:ascii="Times New Roman" w:hAnsi="Times New Roman" w:cs="Times New Roman"/>
          <w:b/>
          <w:sz w:val="24"/>
        </w:rPr>
        <w:t>9. Izmaiņas sektoru klasifikācijā un institucionālās vienības struktūrā (K.61)</w:t>
      </w:r>
    </w:p>
    <w:p w14:paraId="0ED5A59B" w14:textId="77777777" w:rsidR="00994F93" w:rsidRPr="00B03B51" w:rsidRDefault="00994F93" w:rsidP="00994F93">
      <w:pPr>
        <w:pStyle w:val="BodyText"/>
        <w:spacing w:before="0"/>
        <w:ind w:left="0" w:firstLine="0"/>
        <w:jc w:val="both"/>
        <w:rPr>
          <w:rFonts w:ascii="Times New Roman" w:hAnsi="Times New Roman" w:cs="Times New Roman"/>
          <w:noProof/>
          <w:sz w:val="24"/>
        </w:rPr>
      </w:pPr>
    </w:p>
    <w:p w14:paraId="353EED9F" w14:textId="77777777" w:rsidR="00994F93" w:rsidRPr="00B03B51" w:rsidRDefault="00994F93" w:rsidP="00994F93">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t>Attiecas uz gadījumiem, kad dibina, slēdz vai apvieno vienības vai kad veic tādas būtiskas izmaiņas vienību funkcijās un atbildībā, kuras nevar atbilstoši ierakstīt darījumu kontos. Šī kategorija attiecas arī uz gadījumiem, kad aktīvus atdod valdības īpašumā pēc perioda, kurā tos bija atļauts izmantot publiskai sabiedrībai (skat. 6.3. nodaļu par līgumiem saistībā ar pamatlīdzekļiem, piemēram, koncesijas līgumiem).</w:t>
      </w:r>
    </w:p>
    <w:p w14:paraId="4A2EBD16" w14:textId="77777777" w:rsidR="00994F93" w:rsidRPr="00B03B51" w:rsidRDefault="00994F93" w:rsidP="00994F93">
      <w:pPr>
        <w:jc w:val="both"/>
        <w:rPr>
          <w:rFonts w:ascii="Times New Roman" w:hAnsi="Times New Roman" w:cs="Times New Roman"/>
          <w:noProof/>
          <w:sz w:val="24"/>
        </w:rPr>
      </w:pPr>
    </w:p>
    <w:p w14:paraId="7E18C40A" w14:textId="77777777" w:rsidR="00994F93" w:rsidRPr="00B03B51" w:rsidRDefault="00994F93" w:rsidP="00994F93">
      <w:pPr>
        <w:pStyle w:val="Heading3"/>
        <w:tabs>
          <w:tab w:val="left" w:pos="1267"/>
        </w:tabs>
        <w:ind w:left="0" w:firstLine="0"/>
        <w:jc w:val="both"/>
        <w:rPr>
          <w:rFonts w:ascii="Times New Roman" w:hAnsi="Times New Roman" w:cs="Times New Roman"/>
          <w:noProof/>
          <w:sz w:val="24"/>
        </w:rPr>
      </w:pPr>
      <w:bookmarkStart w:id="296" w:name="3.8.2_Payments_by_government_to_public_u"/>
      <w:bookmarkStart w:id="297" w:name="_Toc67565116"/>
      <w:bookmarkEnd w:id="296"/>
      <w:r w:rsidRPr="00B03B51">
        <w:rPr>
          <w:rFonts w:ascii="Times New Roman" w:hAnsi="Times New Roman" w:cs="Times New Roman"/>
          <w:sz w:val="24"/>
        </w:rPr>
        <w:t>3.8.2. Valdības veiktie maksājumi publiskām vienībām</w:t>
      </w:r>
      <w:bookmarkEnd w:id="297"/>
    </w:p>
    <w:p w14:paraId="1725A5AD" w14:textId="77777777" w:rsidR="00994F93" w:rsidRPr="00B03B51" w:rsidRDefault="00994F93" w:rsidP="00994F93">
      <w:pPr>
        <w:pStyle w:val="BodyText"/>
        <w:tabs>
          <w:tab w:val="left" w:pos="919"/>
        </w:tabs>
        <w:spacing w:before="0"/>
        <w:ind w:left="0" w:firstLine="0"/>
        <w:jc w:val="both"/>
        <w:rPr>
          <w:rFonts w:ascii="Times New Roman" w:hAnsi="Times New Roman" w:cs="Times New Roman"/>
          <w:noProof/>
          <w:sz w:val="24"/>
        </w:rPr>
      </w:pPr>
    </w:p>
    <w:p w14:paraId="1A51A302" w14:textId="77777777" w:rsidR="00994F93" w:rsidRPr="00B03B51" w:rsidRDefault="00994F93" w:rsidP="00994F93">
      <w:pPr>
        <w:pStyle w:val="BodyText"/>
        <w:tabs>
          <w:tab w:val="left" w:pos="919"/>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10. Vairākos šādos gadījumos ir svarīgi apsvērt, vai valdība veic maksājumu, lai palielinātu savus ieguldījumus finanšu aktīvos, kā to darītu ikviens racionāls ieguldītājs, vai arī tā cenšas atbalstīt noteiktu veidu saimniecisko darbību. Frāzi “kapitāla iepludināšana” bieži lieto, lai aprakstītu lielus maksājumus, ko valdība veic publiskām sabiedrībām. Tas nav nacionālo kontu jēdziens. Nacionālajos kontos tas varētu būt vai nu kapitāla pārvedums, vai darījums ar pašu kapitālu, vai šo abu sadalīšana.</w:t>
      </w:r>
    </w:p>
    <w:p w14:paraId="48E7504E" w14:textId="77777777" w:rsidR="00994F93" w:rsidRPr="00B03B51" w:rsidRDefault="00994F93" w:rsidP="00994F93">
      <w:pPr>
        <w:tabs>
          <w:tab w:val="left" w:pos="843"/>
        </w:tabs>
        <w:jc w:val="both"/>
        <w:rPr>
          <w:rFonts w:ascii="Times New Roman" w:hAnsi="Times New Roman" w:cs="Times New Roman"/>
          <w:b/>
          <w:noProof/>
          <w:sz w:val="24"/>
        </w:rPr>
      </w:pPr>
    </w:p>
    <w:p w14:paraId="6D008C3C" w14:textId="77777777" w:rsidR="00994F93" w:rsidRPr="00B03B51" w:rsidRDefault="00994F93" w:rsidP="00994F93">
      <w:pPr>
        <w:tabs>
          <w:tab w:val="left" w:pos="843"/>
        </w:tabs>
        <w:jc w:val="both"/>
        <w:rPr>
          <w:rFonts w:ascii="Times New Roman" w:hAnsi="Times New Roman" w:cs="Times New Roman"/>
          <w:b/>
          <w:noProof/>
          <w:sz w:val="24"/>
        </w:rPr>
      </w:pPr>
      <w:r w:rsidRPr="00B03B51">
        <w:rPr>
          <w:rFonts w:ascii="Times New Roman" w:hAnsi="Times New Roman" w:cs="Times New Roman"/>
          <w:bCs/>
          <w:sz w:val="24"/>
        </w:rPr>
        <w:t>11.</w:t>
      </w:r>
      <w:r w:rsidRPr="00B03B51">
        <w:rPr>
          <w:rFonts w:ascii="Times New Roman" w:hAnsi="Times New Roman" w:cs="Times New Roman"/>
          <w:b/>
          <w:sz w:val="24"/>
        </w:rPr>
        <w:t xml:space="preserve"> Subsīdijas (D.3)</w:t>
      </w:r>
    </w:p>
    <w:p w14:paraId="4910DA13" w14:textId="77777777" w:rsidR="00994F93" w:rsidRPr="00B03B51" w:rsidRDefault="00994F93" w:rsidP="00994F93">
      <w:pPr>
        <w:pStyle w:val="BodyText"/>
        <w:spacing w:before="0"/>
        <w:ind w:left="0" w:firstLine="0"/>
        <w:jc w:val="both"/>
        <w:rPr>
          <w:rFonts w:ascii="Times New Roman" w:hAnsi="Times New Roman" w:cs="Times New Roman"/>
          <w:noProof/>
          <w:sz w:val="24"/>
        </w:rPr>
      </w:pPr>
    </w:p>
    <w:p w14:paraId="268AE38B" w14:textId="77777777" w:rsidR="00994F93" w:rsidRPr="00B03B51" w:rsidRDefault="00994F93" w:rsidP="00994F93">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t xml:space="preserve">Subsīdijas ir regulāri maksājumi, ko valdība veic, lai samazinātu vienības noteiktās cenas un segtu zaudējumus. Ir neatbilstoši šādus maksājumus uzskatīt par ieguldījumiem pašu kapitālā (F.5), jo ar tiem finansē kārtējos izdevumus, un bieži šos maksājumus veic atkarībā no vienības, </w:t>
      </w:r>
      <w:r w:rsidRPr="00B03B51">
        <w:rPr>
          <w:rFonts w:ascii="Times New Roman" w:hAnsi="Times New Roman" w:cs="Times New Roman"/>
          <w:sz w:val="24"/>
        </w:rPr>
        <w:lastRenderedPageBreak/>
        <w:t>kura darbojas kādā konkrētā veidā, piemēram, nosakot zemas cenas, kas var samazināt pašu kapitāla vērtību.</w:t>
      </w:r>
    </w:p>
    <w:p w14:paraId="394820C4" w14:textId="77777777" w:rsidR="00994F93" w:rsidRPr="00B03B51" w:rsidRDefault="00994F93" w:rsidP="00994F93">
      <w:pPr>
        <w:tabs>
          <w:tab w:val="left" w:pos="843"/>
        </w:tabs>
        <w:jc w:val="both"/>
        <w:rPr>
          <w:rFonts w:ascii="Times New Roman" w:hAnsi="Times New Roman" w:cs="Times New Roman"/>
          <w:b/>
          <w:noProof/>
          <w:sz w:val="24"/>
        </w:rPr>
      </w:pPr>
    </w:p>
    <w:p w14:paraId="1F1DCDCE" w14:textId="77777777" w:rsidR="00994F93" w:rsidRPr="00B03B51" w:rsidRDefault="00994F93" w:rsidP="00994F93">
      <w:pPr>
        <w:tabs>
          <w:tab w:val="left" w:pos="843"/>
        </w:tabs>
        <w:jc w:val="both"/>
        <w:rPr>
          <w:rFonts w:ascii="Times New Roman" w:hAnsi="Times New Roman" w:cs="Times New Roman"/>
          <w:b/>
          <w:noProof/>
          <w:sz w:val="24"/>
        </w:rPr>
      </w:pPr>
      <w:r w:rsidRPr="00B03B51">
        <w:rPr>
          <w:rFonts w:ascii="Times New Roman" w:hAnsi="Times New Roman" w:cs="Times New Roman"/>
          <w:bCs/>
          <w:sz w:val="24"/>
        </w:rPr>
        <w:t xml:space="preserve">12. </w:t>
      </w:r>
      <w:r w:rsidRPr="00B03B51">
        <w:rPr>
          <w:rFonts w:ascii="Times New Roman" w:hAnsi="Times New Roman" w:cs="Times New Roman"/>
          <w:b/>
          <w:sz w:val="24"/>
        </w:rPr>
        <w:t>Citi kārtējie pārvedumi (D.7)</w:t>
      </w:r>
    </w:p>
    <w:p w14:paraId="556D2011" w14:textId="77777777" w:rsidR="00994F93" w:rsidRPr="00B03B51" w:rsidRDefault="00994F93" w:rsidP="00994F93">
      <w:pPr>
        <w:pStyle w:val="BodyText"/>
        <w:spacing w:before="0"/>
        <w:ind w:left="0" w:firstLine="0"/>
        <w:jc w:val="both"/>
        <w:rPr>
          <w:rFonts w:ascii="Times New Roman" w:hAnsi="Times New Roman" w:cs="Times New Roman"/>
          <w:noProof/>
          <w:sz w:val="24"/>
        </w:rPr>
      </w:pPr>
    </w:p>
    <w:p w14:paraId="567409E9" w14:textId="77777777" w:rsidR="00994F93" w:rsidRPr="00B03B51" w:rsidRDefault="00994F93" w:rsidP="00994F93">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t>Normai neatbilstoši pensiju maksājumi tiktu iekļauti dažādos kārtējos pārvedumos (D.75), skat. EKS 2010 4.138. punkta b) apakšpunktu.</w:t>
      </w:r>
    </w:p>
    <w:p w14:paraId="3CAD1267" w14:textId="77777777" w:rsidR="00994F93" w:rsidRPr="00B03B51" w:rsidRDefault="00994F93" w:rsidP="00994F93">
      <w:pPr>
        <w:tabs>
          <w:tab w:val="left" w:pos="843"/>
        </w:tabs>
        <w:jc w:val="both"/>
        <w:rPr>
          <w:rFonts w:ascii="Times New Roman" w:hAnsi="Times New Roman" w:cs="Times New Roman"/>
          <w:b/>
          <w:noProof/>
          <w:sz w:val="24"/>
        </w:rPr>
      </w:pPr>
    </w:p>
    <w:p w14:paraId="56A7BC54" w14:textId="77777777" w:rsidR="00994F93" w:rsidRPr="00B03B51" w:rsidRDefault="00994F93" w:rsidP="00994F93">
      <w:pPr>
        <w:tabs>
          <w:tab w:val="left" w:pos="843"/>
        </w:tabs>
        <w:jc w:val="both"/>
        <w:rPr>
          <w:rFonts w:ascii="Times New Roman" w:hAnsi="Times New Roman" w:cs="Times New Roman"/>
          <w:b/>
          <w:noProof/>
          <w:sz w:val="24"/>
        </w:rPr>
      </w:pPr>
      <w:r w:rsidRPr="00B03B51">
        <w:rPr>
          <w:rFonts w:ascii="Times New Roman" w:hAnsi="Times New Roman" w:cs="Times New Roman"/>
          <w:bCs/>
          <w:sz w:val="24"/>
        </w:rPr>
        <w:t xml:space="preserve">13. </w:t>
      </w:r>
      <w:r w:rsidRPr="00B03B51">
        <w:rPr>
          <w:rFonts w:ascii="Times New Roman" w:hAnsi="Times New Roman" w:cs="Times New Roman"/>
          <w:b/>
          <w:sz w:val="24"/>
        </w:rPr>
        <w:t>Ieguldījumu dotācijas (D.92)</w:t>
      </w:r>
    </w:p>
    <w:p w14:paraId="7BF0C438" w14:textId="77777777" w:rsidR="00994F93" w:rsidRPr="00B03B51" w:rsidRDefault="00994F93" w:rsidP="00994F93">
      <w:pPr>
        <w:pStyle w:val="BodyText"/>
        <w:spacing w:before="0"/>
        <w:ind w:left="0" w:firstLine="0"/>
        <w:jc w:val="both"/>
        <w:rPr>
          <w:rFonts w:ascii="Times New Roman" w:hAnsi="Times New Roman" w:cs="Times New Roman"/>
          <w:noProof/>
          <w:sz w:val="24"/>
        </w:rPr>
      </w:pPr>
    </w:p>
    <w:p w14:paraId="5EA49326" w14:textId="77777777" w:rsidR="00994F93" w:rsidRPr="00B03B51" w:rsidRDefault="00994F93" w:rsidP="00994F93">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t>Šī pozīcija attiecas uz visiem publiskām vienībām veiktiem neatlīdzināmiem maksājumiem, kurus izmanto ieguldījumiem pamatkapitālā, nevis kārtējo izdevumu segšanai.</w:t>
      </w:r>
    </w:p>
    <w:p w14:paraId="6AAE0DEA" w14:textId="77777777" w:rsidR="00994F93" w:rsidRPr="00B03B51" w:rsidRDefault="00994F93" w:rsidP="00994F93">
      <w:pPr>
        <w:pStyle w:val="BodyText"/>
        <w:spacing w:before="0"/>
        <w:ind w:left="0" w:firstLine="0"/>
        <w:jc w:val="both"/>
        <w:rPr>
          <w:rFonts w:ascii="Times New Roman" w:hAnsi="Times New Roman" w:cs="Times New Roman"/>
          <w:noProof/>
          <w:sz w:val="24"/>
        </w:rPr>
      </w:pPr>
    </w:p>
    <w:p w14:paraId="3258C68A" w14:textId="77777777" w:rsidR="00994F93" w:rsidRPr="00B03B51" w:rsidRDefault="00994F93" w:rsidP="00994F93">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t>Kapitālizdevumi, kurus finansē ar valdības veiktajiem maksājumiem, sākumā veicina valdības pašu kapitāla vērtības pieaugumu publiskā sabiedrībā. Tomēr tas nav pietiekams iemesls, lai šo maksājumu klasificētu kā ieguldījumu pašu kapitālā (F.5), skat. EKS 2010 20.200. punktu, jo īpaši tāpēc, ka nav pārliecības par to, ka valdības pašu kapitāla vērtība palielināsies tādā pašā apmērā. Sabiedrība kapitālieguldījumus var izmantot tam, lai īstenotu valdības ekonomisko un sociālo politiku (piemēram, dzelzceļa līniju būvniecībai vai slimnīcu celtniecībai), nevis ienesīguma palielināšanai. Proti, veicot “kapitāla iepludināšanu” publiskā sabiedrībā, ir svarīgi apsvērt valdības noteiktos mērķus.</w:t>
      </w:r>
    </w:p>
    <w:p w14:paraId="12C571A1" w14:textId="77777777" w:rsidR="00994F93" w:rsidRPr="00B03B51" w:rsidRDefault="00994F93" w:rsidP="00994F93">
      <w:pPr>
        <w:pStyle w:val="BodyText"/>
        <w:spacing w:before="0"/>
        <w:ind w:left="0" w:firstLine="0"/>
        <w:jc w:val="both"/>
        <w:rPr>
          <w:rFonts w:ascii="Times New Roman" w:hAnsi="Times New Roman" w:cs="Times New Roman"/>
          <w:noProof/>
          <w:sz w:val="24"/>
        </w:rPr>
      </w:pPr>
    </w:p>
    <w:p w14:paraId="3BA4EAA1" w14:textId="77777777" w:rsidR="00994F93" w:rsidRPr="00B03B51" w:rsidRDefault="00994F93" w:rsidP="00994F93">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t>“Kapitāla iepludināšana natūrā” ir valdības pamatkapitāla aktīvu īpašumtiesību nodošana kādai publiskai sabiedrībai (skat. 3.3. nodaļu “Kapitāla iepludināšana publiskās kvazisabiedrībās” un 3.3.2. iedaļu “Traktējums nacionālajos kontos”). Vienkāršu gadījumu, kad valdība nodod pamatlīdzekļu dāvinājumu sabiedrībai, pārkārto kā ieguldījumu dotācijas un atbilstīgās summas ieraksta kā aktīvu iegādi pozīcijā “bruto pamatkapitāla veidošana”. Tas neietekmē valdības neto aizdevumu/neto aizņēmumu (B.9).</w:t>
      </w:r>
    </w:p>
    <w:p w14:paraId="40CA04B8" w14:textId="77777777" w:rsidR="00994F93" w:rsidRPr="00B03B51" w:rsidRDefault="00994F93" w:rsidP="00994F93">
      <w:pPr>
        <w:pStyle w:val="BodyText"/>
        <w:spacing w:before="0"/>
        <w:ind w:left="0" w:firstLine="0"/>
        <w:jc w:val="both"/>
        <w:rPr>
          <w:rFonts w:ascii="Times New Roman" w:hAnsi="Times New Roman" w:cs="Times New Roman"/>
          <w:noProof/>
          <w:sz w:val="24"/>
        </w:rPr>
      </w:pPr>
    </w:p>
    <w:p w14:paraId="2123E5B5" w14:textId="77777777" w:rsidR="00994F93" w:rsidRPr="00B03B51" w:rsidRDefault="00994F93" w:rsidP="00994F93">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t>Sarežģītākos gadījumos, kad ieguldījumi natūrā ir saistīti ar citu aktīvu un saistību pārstrukturēšanu un, iespējams, jaunu vienību dibināšanu, rezultātu labāk ierakstīt kontā “Citas aktīvu apjoma pārmaiņas” (K.5) vai kontā “Izmaiņas klasifikācijā un struktūrā” (K.61) atbilstīgi uzkrājumiem, kas saistīti ar šīm plūsmām. Tādējādi arī valdības neto aizdevums/neto aizņēmums (B.9) paliek nemainīgs.</w:t>
      </w:r>
    </w:p>
    <w:p w14:paraId="79300294" w14:textId="77777777" w:rsidR="00994F93" w:rsidRPr="00B03B51" w:rsidRDefault="00994F93" w:rsidP="00994F93">
      <w:pPr>
        <w:tabs>
          <w:tab w:val="left" w:pos="843"/>
        </w:tabs>
        <w:jc w:val="both"/>
        <w:rPr>
          <w:rFonts w:ascii="Times New Roman" w:hAnsi="Times New Roman" w:cs="Times New Roman"/>
          <w:b/>
          <w:noProof/>
          <w:sz w:val="24"/>
        </w:rPr>
      </w:pPr>
    </w:p>
    <w:p w14:paraId="41DFDFF3" w14:textId="77777777" w:rsidR="00994F93" w:rsidRPr="00B03B51" w:rsidRDefault="00994F93" w:rsidP="00994F93">
      <w:pPr>
        <w:tabs>
          <w:tab w:val="left" w:pos="843"/>
        </w:tabs>
        <w:jc w:val="both"/>
        <w:rPr>
          <w:rFonts w:ascii="Times New Roman" w:hAnsi="Times New Roman" w:cs="Times New Roman"/>
          <w:b/>
          <w:noProof/>
          <w:sz w:val="24"/>
        </w:rPr>
      </w:pPr>
      <w:r w:rsidRPr="00B03B51">
        <w:rPr>
          <w:rFonts w:ascii="Times New Roman" w:hAnsi="Times New Roman" w:cs="Times New Roman"/>
          <w:bCs/>
          <w:sz w:val="24"/>
        </w:rPr>
        <w:t xml:space="preserve">14. </w:t>
      </w:r>
      <w:r w:rsidRPr="00B03B51">
        <w:rPr>
          <w:rFonts w:ascii="Times New Roman" w:hAnsi="Times New Roman" w:cs="Times New Roman"/>
          <w:b/>
          <w:sz w:val="24"/>
        </w:rPr>
        <w:t>Citi kapitāla pārvedumi (D.99)</w:t>
      </w:r>
    </w:p>
    <w:p w14:paraId="449F549A" w14:textId="77777777" w:rsidR="00994F93" w:rsidRPr="00B03B51" w:rsidRDefault="00994F93" w:rsidP="00994F93">
      <w:pPr>
        <w:pStyle w:val="BodyText"/>
        <w:spacing w:before="0"/>
        <w:ind w:left="0" w:firstLine="0"/>
        <w:jc w:val="both"/>
        <w:rPr>
          <w:rFonts w:ascii="Times New Roman" w:hAnsi="Times New Roman" w:cs="Times New Roman"/>
          <w:noProof/>
          <w:sz w:val="24"/>
        </w:rPr>
      </w:pPr>
    </w:p>
    <w:p w14:paraId="2F7D844B" w14:textId="77777777" w:rsidR="00994F93" w:rsidRPr="00B03B51" w:rsidRDefault="00994F93" w:rsidP="00994F93">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t>EKS 2010 4.165. punktā ir noteikts, ka D.99 ir piemērojams attiecībā uz šādiem gadījumiem:</w:t>
      </w:r>
    </w:p>
    <w:p w14:paraId="7D48FDBF" w14:textId="77777777" w:rsidR="00994F93" w:rsidRPr="00B03B51" w:rsidRDefault="00994F93" w:rsidP="00994F93">
      <w:pPr>
        <w:pStyle w:val="BodyText"/>
        <w:spacing w:before="0"/>
        <w:ind w:left="0" w:firstLine="0"/>
        <w:jc w:val="both"/>
        <w:rPr>
          <w:rFonts w:ascii="Times New Roman" w:hAnsi="Times New Roman" w:cs="Times New Roman"/>
          <w:noProof/>
          <w:sz w:val="24"/>
        </w:rPr>
      </w:pPr>
    </w:p>
    <w:p w14:paraId="743B73AE" w14:textId="77777777" w:rsidR="00994F93" w:rsidRPr="00B03B51" w:rsidRDefault="00994F93" w:rsidP="009534B7">
      <w:pPr>
        <w:pStyle w:val="BodyText"/>
        <w:numPr>
          <w:ilvl w:val="1"/>
          <w:numId w:val="1"/>
        </w:numPr>
        <w:spacing w:before="0"/>
        <w:ind w:left="426" w:hanging="425"/>
        <w:jc w:val="both"/>
        <w:rPr>
          <w:rFonts w:ascii="Times New Roman" w:hAnsi="Times New Roman" w:cs="Times New Roman"/>
          <w:noProof/>
          <w:sz w:val="24"/>
        </w:rPr>
      </w:pPr>
      <w:r w:rsidRPr="00B03B51">
        <w:rPr>
          <w:rFonts w:ascii="Times New Roman" w:hAnsi="Times New Roman" w:cs="Times New Roman"/>
          <w:sz w:val="24"/>
        </w:rPr>
        <w:t>kaitējuma atlīdzībai;</w:t>
      </w:r>
    </w:p>
    <w:p w14:paraId="27D1DE9C" w14:textId="77777777" w:rsidR="00994F93" w:rsidRPr="00B03B51" w:rsidRDefault="00994F93" w:rsidP="009534B7">
      <w:pPr>
        <w:pStyle w:val="BodyText"/>
        <w:numPr>
          <w:ilvl w:val="1"/>
          <w:numId w:val="1"/>
        </w:numPr>
        <w:spacing w:before="0"/>
        <w:ind w:left="426" w:hanging="425"/>
        <w:jc w:val="both"/>
        <w:rPr>
          <w:rFonts w:ascii="Times New Roman" w:hAnsi="Times New Roman" w:cs="Times New Roman"/>
          <w:noProof/>
          <w:sz w:val="24"/>
        </w:rPr>
      </w:pPr>
      <w:r w:rsidRPr="00B03B51">
        <w:rPr>
          <w:rFonts w:ascii="Times New Roman" w:hAnsi="Times New Roman" w:cs="Times New Roman"/>
          <w:sz w:val="24"/>
        </w:rPr>
        <w:t>maksājumiem, lai segtu zaudējumus, kas radušies vairākos gados, vai ārkārtas zaudējumiem;</w:t>
      </w:r>
    </w:p>
    <w:p w14:paraId="3955DF03" w14:textId="0A527A35" w:rsidR="00994F93" w:rsidRPr="00B03B51" w:rsidRDefault="00994F93" w:rsidP="009534B7">
      <w:pPr>
        <w:pStyle w:val="BodyText"/>
        <w:numPr>
          <w:ilvl w:val="1"/>
          <w:numId w:val="1"/>
        </w:numPr>
        <w:spacing w:before="0"/>
        <w:ind w:left="426" w:hanging="425"/>
        <w:jc w:val="both"/>
        <w:rPr>
          <w:rFonts w:ascii="Times New Roman" w:hAnsi="Times New Roman" w:cs="Times New Roman"/>
          <w:noProof/>
          <w:sz w:val="24"/>
        </w:rPr>
      </w:pPr>
      <w:r w:rsidRPr="00B03B51">
        <w:rPr>
          <w:rFonts w:ascii="Times New Roman" w:hAnsi="Times New Roman" w:cs="Times New Roman"/>
          <w:sz w:val="24"/>
        </w:rPr>
        <w:t xml:space="preserve">ekvivalentu parādu </w:t>
      </w:r>
      <w:r w:rsidR="002C6576" w:rsidRPr="00B03B51">
        <w:rPr>
          <w:rFonts w:ascii="Times New Roman" w:hAnsi="Times New Roman" w:cs="Times New Roman"/>
          <w:sz w:val="24"/>
        </w:rPr>
        <w:t>anulēšanas</w:t>
      </w:r>
      <w:r w:rsidRPr="00B03B51">
        <w:rPr>
          <w:rFonts w:ascii="Times New Roman" w:hAnsi="Times New Roman" w:cs="Times New Roman"/>
          <w:sz w:val="24"/>
        </w:rPr>
        <w:t xml:space="preserve"> darījumiem, izņemot, ja minētais ir daļa no privatizācijas (ierakstīts pozīcijā F.5).</w:t>
      </w:r>
    </w:p>
    <w:p w14:paraId="2E5955D9" w14:textId="77777777" w:rsidR="00994F93" w:rsidRPr="00B03B51" w:rsidRDefault="00994F93" w:rsidP="00994F93">
      <w:pPr>
        <w:pStyle w:val="BodyText"/>
        <w:spacing w:before="0"/>
        <w:ind w:left="0" w:firstLine="0"/>
        <w:jc w:val="both"/>
        <w:rPr>
          <w:rFonts w:ascii="Times New Roman" w:hAnsi="Times New Roman" w:cs="Times New Roman"/>
          <w:noProof/>
          <w:sz w:val="24"/>
        </w:rPr>
      </w:pPr>
    </w:p>
    <w:p w14:paraId="343F44EB" w14:textId="77777777" w:rsidR="00994F93" w:rsidRPr="00B03B51" w:rsidRDefault="00994F93" w:rsidP="00994F93">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t xml:space="preserve">Pozīcija D.99 attiecas arī uz gadījumiem, kad valdības veiktais finanšu aktīvu iegādes darījums notiek nevis par tirgus cenām, bet galvenokārt tāpēc, lai atbalstītu konkrēto vienību. Piemēram, valdība varētu nopirkt bezcerīgos parādus, piešķirt aizdevumus ar atvieglotiem nosacījumiem vai piešķirt no ienākumiem atkarīgus aizdevumus (skat. 4.7. nodaļu). Šādos gadījumos ir jānovērtē starpība starp iegūto finanšu aktīvu tirgus vērtību un valdības samaksāto cenu. Minēto starpību ieraksta kā valdības kapitāla pārvedumu vienībai. Būtībā šo maksājumu, ko veic </w:t>
      </w:r>
      <w:r w:rsidRPr="00B03B51">
        <w:rPr>
          <w:rFonts w:ascii="Times New Roman" w:hAnsi="Times New Roman" w:cs="Times New Roman"/>
          <w:sz w:val="24"/>
        </w:rPr>
        <w:lastRenderedPageBreak/>
        <w:t>valdība, traktē daļēji kā finanšu aktīvu iegādi un daļēji kā dāvinājumu. Šāds traktējums bieži ir atbilstošs finanšu darījumu anulēšanas struktūrvienībām, kas izveidotas banku glābšanai.</w:t>
      </w:r>
    </w:p>
    <w:p w14:paraId="7A43B21A" w14:textId="77777777" w:rsidR="00994F93" w:rsidRPr="00B03B51" w:rsidRDefault="00994F93" w:rsidP="00994F93">
      <w:pPr>
        <w:jc w:val="both"/>
        <w:rPr>
          <w:rFonts w:ascii="Times New Roman" w:hAnsi="Times New Roman" w:cs="Times New Roman"/>
          <w:noProof/>
          <w:sz w:val="24"/>
        </w:rPr>
      </w:pPr>
    </w:p>
    <w:p w14:paraId="12147B45" w14:textId="77777777" w:rsidR="00994F93" w:rsidRPr="00B03B51" w:rsidRDefault="00994F93" w:rsidP="00994F93">
      <w:pPr>
        <w:tabs>
          <w:tab w:val="left" w:pos="843"/>
        </w:tabs>
        <w:jc w:val="both"/>
        <w:rPr>
          <w:rFonts w:ascii="Times New Roman" w:hAnsi="Times New Roman" w:cs="Times New Roman"/>
          <w:b/>
          <w:noProof/>
          <w:sz w:val="24"/>
        </w:rPr>
      </w:pPr>
      <w:r w:rsidRPr="00B03B51">
        <w:rPr>
          <w:rFonts w:ascii="Times New Roman" w:hAnsi="Times New Roman" w:cs="Times New Roman"/>
          <w:bCs/>
          <w:sz w:val="24"/>
        </w:rPr>
        <w:t>15.</w:t>
      </w:r>
      <w:r w:rsidRPr="00B03B51">
        <w:rPr>
          <w:rFonts w:ascii="Times New Roman" w:hAnsi="Times New Roman" w:cs="Times New Roman"/>
          <w:b/>
          <w:sz w:val="24"/>
        </w:rPr>
        <w:t xml:space="preserve"> Aizdevumi (F.4)</w:t>
      </w:r>
    </w:p>
    <w:p w14:paraId="36C9C83B" w14:textId="77777777" w:rsidR="00994F93" w:rsidRPr="00B03B51" w:rsidRDefault="00994F93" w:rsidP="00994F93">
      <w:pPr>
        <w:pStyle w:val="BodyText"/>
        <w:spacing w:before="0"/>
        <w:ind w:left="0" w:firstLine="0"/>
        <w:jc w:val="both"/>
        <w:rPr>
          <w:rFonts w:ascii="Times New Roman" w:hAnsi="Times New Roman" w:cs="Times New Roman"/>
          <w:noProof/>
          <w:sz w:val="24"/>
        </w:rPr>
      </w:pPr>
    </w:p>
    <w:p w14:paraId="761341D1" w14:textId="77777777" w:rsidR="00994F93" w:rsidRPr="00B03B51" w:rsidRDefault="00994F93" w:rsidP="00994F93">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t>Gadījumos, kad maksājumus publiskām vienībām klasificē kā aizdevumus, ir svarīgi pārbaudīt atmaksas iespējamību, kā arī atmaksas un procentu maksājumu komerciālos noteikumus. Gadījumos, kad atmaksa ir nenoteikta, aizdevumus var būt atbilstošāk ierakstīt kā kapitāla pārvedumus vai, ja nav noteikti procentu maksājumi, ierakstīt tos kā cita pašu kapitāla iegādi.</w:t>
      </w:r>
    </w:p>
    <w:p w14:paraId="5BD0EC94" w14:textId="77777777" w:rsidR="00994F93" w:rsidRPr="00B03B51" w:rsidRDefault="00994F93" w:rsidP="00994F93">
      <w:pPr>
        <w:pStyle w:val="BodyText"/>
        <w:spacing w:before="0"/>
        <w:ind w:left="0" w:firstLine="0"/>
        <w:jc w:val="both"/>
        <w:rPr>
          <w:rFonts w:ascii="Times New Roman" w:hAnsi="Times New Roman" w:cs="Times New Roman"/>
          <w:noProof/>
          <w:sz w:val="24"/>
        </w:rPr>
      </w:pPr>
    </w:p>
    <w:p w14:paraId="7910DB21" w14:textId="77777777" w:rsidR="00994F93" w:rsidRPr="00B03B51" w:rsidRDefault="00994F93" w:rsidP="00994F93">
      <w:pPr>
        <w:tabs>
          <w:tab w:val="left" w:pos="843"/>
        </w:tabs>
        <w:jc w:val="both"/>
        <w:rPr>
          <w:rFonts w:ascii="Times New Roman" w:hAnsi="Times New Roman" w:cs="Times New Roman"/>
          <w:b/>
          <w:noProof/>
          <w:sz w:val="24"/>
        </w:rPr>
      </w:pPr>
      <w:r w:rsidRPr="00B03B51">
        <w:rPr>
          <w:rFonts w:ascii="Times New Roman" w:hAnsi="Times New Roman" w:cs="Times New Roman"/>
          <w:bCs/>
          <w:sz w:val="24"/>
        </w:rPr>
        <w:t xml:space="preserve">16. </w:t>
      </w:r>
      <w:r w:rsidRPr="00B03B51">
        <w:rPr>
          <w:rFonts w:ascii="Times New Roman" w:hAnsi="Times New Roman" w:cs="Times New Roman"/>
          <w:b/>
          <w:sz w:val="24"/>
        </w:rPr>
        <w:t>Pašu kapitāls un ieguldījumu fondu apliecības vai daļas (F.5)</w:t>
      </w:r>
    </w:p>
    <w:p w14:paraId="16B37A60" w14:textId="77777777" w:rsidR="00994F93" w:rsidRPr="00B03B51" w:rsidRDefault="00994F93" w:rsidP="00994F93">
      <w:pPr>
        <w:pStyle w:val="BodyText"/>
        <w:spacing w:before="0"/>
        <w:ind w:left="0" w:firstLine="0"/>
        <w:jc w:val="both"/>
        <w:rPr>
          <w:rFonts w:ascii="Times New Roman" w:hAnsi="Times New Roman" w:cs="Times New Roman"/>
          <w:noProof/>
          <w:sz w:val="24"/>
        </w:rPr>
      </w:pPr>
    </w:p>
    <w:p w14:paraId="7E6A723D" w14:textId="77777777" w:rsidR="00994F93" w:rsidRPr="00B03B51" w:rsidRDefault="00994F93" w:rsidP="00994F93">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t>Pašu kapitāla iegāde publiskās sabiedrībās – šajā kategorijā neietilpst maksājumi, ko veic saistībā ar pamatkapitāla iegādi, un maksājumi natūrā: tie jāieraksta kā ieguldījumu dotācijas. Svarīga pazīme ieguldījumam pašu kapitālā ir tā, ka publiskai vienībai jābūt rīcības brīvībai izmantot līdzekļus tā, kā tās skatījumā tie vislabāk palielinātu uzņēmuma vērtību. Ir trīs gadījumi.</w:t>
      </w:r>
    </w:p>
    <w:p w14:paraId="54AD854C" w14:textId="77777777" w:rsidR="00994F93" w:rsidRPr="00B03B51" w:rsidRDefault="00994F93" w:rsidP="00994F93">
      <w:pPr>
        <w:jc w:val="both"/>
        <w:rPr>
          <w:rFonts w:ascii="Times New Roman" w:hAnsi="Times New Roman" w:cs="Times New Roman"/>
          <w:b/>
          <w:noProof/>
          <w:sz w:val="24"/>
        </w:rPr>
      </w:pPr>
    </w:p>
    <w:p w14:paraId="1FDF8742" w14:textId="77777777" w:rsidR="00994F93" w:rsidRPr="00B03B51" w:rsidRDefault="00994F93" w:rsidP="00994F93">
      <w:pPr>
        <w:jc w:val="both"/>
        <w:rPr>
          <w:rFonts w:ascii="Times New Roman" w:hAnsi="Times New Roman" w:cs="Times New Roman"/>
          <w:b/>
          <w:noProof/>
          <w:sz w:val="24"/>
        </w:rPr>
      </w:pPr>
      <w:r w:rsidRPr="00B03B51">
        <w:rPr>
          <w:rFonts w:ascii="Times New Roman" w:hAnsi="Times New Roman" w:cs="Times New Roman"/>
          <w:b/>
          <w:sz w:val="24"/>
        </w:rPr>
        <w:t>Valdība ir vienīgais publiskas vienības akcionārs</w:t>
      </w:r>
    </w:p>
    <w:p w14:paraId="5D54AFDD" w14:textId="77777777" w:rsidR="00994F93" w:rsidRPr="00B03B51" w:rsidRDefault="00994F93" w:rsidP="00994F93">
      <w:pPr>
        <w:pStyle w:val="BodyText"/>
        <w:spacing w:before="0"/>
        <w:ind w:left="0" w:firstLine="0"/>
        <w:jc w:val="both"/>
        <w:rPr>
          <w:rFonts w:ascii="Times New Roman" w:hAnsi="Times New Roman" w:cs="Times New Roman"/>
          <w:noProof/>
          <w:sz w:val="24"/>
        </w:rPr>
      </w:pPr>
    </w:p>
    <w:p w14:paraId="14EB96AB" w14:textId="77777777" w:rsidR="00994F93" w:rsidRPr="00B03B51" w:rsidRDefault="00994F93" w:rsidP="00994F93">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t>Dažus valdības veiktus maksājumus varētu būt atbilstoši klasificēt kategorijā F.51 (pašu kapitāls), bet tikai tad, ja tiek piemēroti stingri nosacījumi. Maksājumi ir jāveic finansiālu apsvērumu dēļ ar tādiem pašiem mērķiem, kādi būtu privātam ieguldītājam, ieguldot līdzekļus kādā uzņēmumā.</w:t>
      </w:r>
    </w:p>
    <w:p w14:paraId="2CFFC862" w14:textId="77777777" w:rsidR="00994F93" w:rsidRPr="00B03B51" w:rsidRDefault="00994F93" w:rsidP="00994F93">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t>Proti, valdībai ir jāgūst peļņa atbilstoši tirgus likmēm, piemēram, jāsaņem lielākas dividendes no sava ieguldījuma, vai arī jāgūst augstāka pašu kapitāla vērtība. Maksājumi, kas vienībai veikti citos nolūkos (piemēram, zaudējumu segšanai), jāklasificē kā kapitāla pārvedumi.</w:t>
      </w:r>
    </w:p>
    <w:p w14:paraId="6BB71C29" w14:textId="77777777" w:rsidR="00994F93" w:rsidRPr="00B03B51" w:rsidRDefault="00994F93" w:rsidP="00994F93">
      <w:pPr>
        <w:jc w:val="both"/>
        <w:rPr>
          <w:rFonts w:ascii="Times New Roman" w:hAnsi="Times New Roman" w:cs="Times New Roman"/>
          <w:b/>
          <w:noProof/>
          <w:sz w:val="24"/>
        </w:rPr>
      </w:pPr>
    </w:p>
    <w:p w14:paraId="6AC03273" w14:textId="77777777" w:rsidR="00994F93" w:rsidRPr="00B03B51" w:rsidRDefault="00994F93" w:rsidP="00994F93">
      <w:pPr>
        <w:jc w:val="both"/>
        <w:rPr>
          <w:rFonts w:ascii="Times New Roman" w:hAnsi="Times New Roman" w:cs="Times New Roman"/>
          <w:b/>
          <w:noProof/>
          <w:sz w:val="24"/>
        </w:rPr>
      </w:pPr>
      <w:r w:rsidRPr="00B03B51">
        <w:rPr>
          <w:rFonts w:ascii="Times New Roman" w:hAnsi="Times New Roman" w:cs="Times New Roman"/>
          <w:b/>
          <w:sz w:val="24"/>
        </w:rPr>
        <w:t>Valdība un dažas citas vienības ir īpašumtiesību partneri</w:t>
      </w:r>
    </w:p>
    <w:p w14:paraId="6A5C52CC" w14:textId="77777777" w:rsidR="00994F93" w:rsidRPr="00B03B51" w:rsidRDefault="00994F93" w:rsidP="00994F93">
      <w:pPr>
        <w:pStyle w:val="BodyText"/>
        <w:spacing w:before="0"/>
        <w:ind w:left="0" w:firstLine="0"/>
        <w:jc w:val="both"/>
        <w:rPr>
          <w:rFonts w:ascii="Times New Roman" w:hAnsi="Times New Roman" w:cs="Times New Roman"/>
          <w:noProof/>
          <w:sz w:val="24"/>
        </w:rPr>
      </w:pPr>
    </w:p>
    <w:p w14:paraId="72E140F6" w14:textId="77777777" w:rsidR="00994F93" w:rsidRPr="00B03B51" w:rsidRDefault="00994F93" w:rsidP="00994F93">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t>Daži valdībai veiktie maksājumi dod tai tiesības saņemt lielāku vienības akciju un paredzamās peļņas daļu. Ja vienība saimnieciski darbojas tā, ka valdība varētu saņemt ienākumus no saviem ieguldījumiem, to būtu atbilstoši klasificēt pozīcijā F.5.</w:t>
      </w:r>
    </w:p>
    <w:p w14:paraId="468609F0" w14:textId="77777777" w:rsidR="00994F93" w:rsidRPr="00B03B51" w:rsidRDefault="00994F93" w:rsidP="00994F93">
      <w:pPr>
        <w:pStyle w:val="BodyText"/>
        <w:spacing w:before="0"/>
        <w:ind w:left="0" w:firstLine="0"/>
        <w:jc w:val="both"/>
        <w:rPr>
          <w:rFonts w:ascii="Times New Roman" w:hAnsi="Times New Roman" w:cs="Times New Roman"/>
          <w:noProof/>
          <w:sz w:val="24"/>
        </w:rPr>
      </w:pPr>
    </w:p>
    <w:p w14:paraId="1F381DAC" w14:textId="77777777" w:rsidR="00994F93" w:rsidRPr="00B03B51" w:rsidRDefault="00994F93" w:rsidP="00994F93">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t>Ja mērķis palielināt valdības akciju daļas nesniedz tai finansiālu labumu (iespējams, tādēļ, ka vienības mērķis ir atbalstīt valdības ekonomisko un sociālo politiku, nevis gūt peļņu), piemērotāk būtu to klasificēt kā kapitāla pārvedumu.</w:t>
      </w:r>
    </w:p>
    <w:p w14:paraId="46D70F06" w14:textId="77777777" w:rsidR="00994F93" w:rsidRPr="00B03B51" w:rsidRDefault="00994F93" w:rsidP="00994F93">
      <w:pPr>
        <w:jc w:val="both"/>
        <w:rPr>
          <w:rFonts w:ascii="Times New Roman" w:hAnsi="Times New Roman" w:cs="Times New Roman"/>
          <w:b/>
          <w:noProof/>
          <w:sz w:val="24"/>
        </w:rPr>
      </w:pPr>
    </w:p>
    <w:p w14:paraId="43683438" w14:textId="77777777" w:rsidR="00994F93" w:rsidRPr="00B03B51" w:rsidRDefault="00994F93" w:rsidP="00994F93">
      <w:pPr>
        <w:jc w:val="both"/>
        <w:rPr>
          <w:rFonts w:ascii="Times New Roman" w:hAnsi="Times New Roman" w:cs="Times New Roman"/>
          <w:b/>
          <w:noProof/>
          <w:sz w:val="24"/>
        </w:rPr>
      </w:pPr>
      <w:r w:rsidRPr="00B03B51">
        <w:rPr>
          <w:rFonts w:ascii="Times New Roman" w:hAnsi="Times New Roman" w:cs="Times New Roman"/>
          <w:b/>
          <w:sz w:val="24"/>
        </w:rPr>
        <w:t>Valdībai publiskajā vienībā pieder tirgojamas akcijas</w:t>
      </w:r>
    </w:p>
    <w:p w14:paraId="0FA8166C" w14:textId="77777777" w:rsidR="00994F93" w:rsidRPr="00B03B51" w:rsidRDefault="00994F93" w:rsidP="00994F93">
      <w:pPr>
        <w:pStyle w:val="BodyText"/>
        <w:spacing w:before="0"/>
        <w:ind w:left="0" w:firstLine="0"/>
        <w:jc w:val="both"/>
        <w:rPr>
          <w:rFonts w:ascii="Times New Roman" w:hAnsi="Times New Roman" w:cs="Times New Roman"/>
          <w:noProof/>
          <w:sz w:val="24"/>
        </w:rPr>
      </w:pPr>
    </w:p>
    <w:p w14:paraId="3E70EB0D" w14:textId="77777777" w:rsidR="00994F93" w:rsidRPr="00B03B51" w:rsidRDefault="00994F93" w:rsidP="00994F93">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t>Ja valdība apmaiņā pret savu maksājumu iegūst tirgojamas akcijas, ko tā nekavējoties varētu pārdot par samaksāto cenu, to ir pareizi klasificēt kā akciju iegādi.</w:t>
      </w:r>
    </w:p>
    <w:p w14:paraId="0CF625F2" w14:textId="77777777" w:rsidR="00994F93" w:rsidRPr="00B03B51" w:rsidRDefault="00994F93" w:rsidP="00994F93">
      <w:pPr>
        <w:rPr>
          <w:rFonts w:ascii="Times New Roman" w:hAnsi="Times New Roman" w:cs="Times New Roman"/>
          <w:noProof/>
          <w:sz w:val="24"/>
        </w:rPr>
      </w:pPr>
      <w:r w:rsidRPr="00B03B51">
        <w:rPr>
          <w:rFonts w:ascii="Times New Roman" w:hAnsi="Times New Roman" w:cs="Times New Roman"/>
        </w:rPr>
        <w:br w:type="page"/>
      </w:r>
    </w:p>
    <w:p w14:paraId="5A1A6EAF" w14:textId="77777777" w:rsidR="00994F93" w:rsidRPr="00B03B51" w:rsidRDefault="00994F93" w:rsidP="00994F93">
      <w:pPr>
        <w:jc w:val="both"/>
        <w:rPr>
          <w:rFonts w:ascii="Times New Roman" w:eastAsia="Arial" w:hAnsi="Times New Roman" w:cs="Times New Roman"/>
          <w:noProof/>
          <w:sz w:val="24"/>
          <w:szCs w:val="29"/>
        </w:rPr>
      </w:pPr>
    </w:p>
    <w:p w14:paraId="43150B23" w14:textId="77777777" w:rsidR="00994F93" w:rsidRPr="00B03B51" w:rsidRDefault="00994F93" w:rsidP="00994F93">
      <w:pPr>
        <w:pStyle w:val="Heading2"/>
        <w:tabs>
          <w:tab w:val="left" w:pos="1279"/>
        </w:tabs>
        <w:spacing w:before="0"/>
        <w:ind w:left="0" w:firstLine="0"/>
        <w:jc w:val="both"/>
        <w:rPr>
          <w:rFonts w:ascii="Times New Roman" w:hAnsi="Times New Roman" w:cs="Times New Roman"/>
          <w:noProof/>
          <w:sz w:val="28"/>
          <w:szCs w:val="44"/>
        </w:rPr>
      </w:pPr>
      <w:bookmarkStart w:id="298" w:name="3.9_Keywords_and_accounting_references"/>
      <w:bookmarkStart w:id="299" w:name="_bookmark29"/>
      <w:bookmarkStart w:id="300" w:name="_Toc67565117"/>
      <w:bookmarkEnd w:id="298"/>
      <w:bookmarkEnd w:id="299"/>
      <w:r w:rsidRPr="00B03B51">
        <w:rPr>
          <w:rFonts w:ascii="Times New Roman" w:hAnsi="Times New Roman" w:cs="Times New Roman"/>
          <w:sz w:val="28"/>
          <w:szCs w:val="44"/>
        </w:rPr>
        <w:t>3.9. Atslēgvārdi un atsauces</w:t>
      </w:r>
      <w:bookmarkEnd w:id="300"/>
    </w:p>
    <w:p w14:paraId="19591635" w14:textId="77777777" w:rsidR="00994F93" w:rsidRPr="00B03B51" w:rsidRDefault="00994F93" w:rsidP="00994F93">
      <w:pPr>
        <w:jc w:val="both"/>
        <w:rPr>
          <w:rFonts w:ascii="Times New Roman" w:eastAsia="Arial" w:hAnsi="Times New Roman" w:cs="Times New Roman"/>
          <w:noProof/>
          <w:sz w:val="24"/>
          <w:szCs w:val="23"/>
        </w:rPr>
      </w:pPr>
    </w:p>
    <w:tbl>
      <w:tblPr>
        <w:tblW w:w="5000" w:type="pct"/>
        <w:tblCellMar>
          <w:top w:w="28" w:type="dxa"/>
          <w:left w:w="28" w:type="dxa"/>
          <w:bottom w:w="28" w:type="dxa"/>
          <w:right w:w="28" w:type="dxa"/>
        </w:tblCellMar>
        <w:tblLook w:val="01E0" w:firstRow="1" w:lastRow="1" w:firstColumn="1" w:lastColumn="1" w:noHBand="0" w:noVBand="0"/>
      </w:tblPr>
      <w:tblGrid>
        <w:gridCol w:w="5103"/>
        <w:gridCol w:w="3968"/>
      </w:tblGrid>
      <w:tr w:rsidR="00994F93" w:rsidRPr="00B03B51" w14:paraId="45FDFDB9" w14:textId="77777777" w:rsidTr="009534B7">
        <w:tc>
          <w:tcPr>
            <w:tcW w:w="2813" w:type="pct"/>
            <w:tcBorders>
              <w:top w:val="nil"/>
              <w:left w:val="nil"/>
              <w:bottom w:val="nil"/>
              <w:right w:val="nil"/>
            </w:tcBorders>
          </w:tcPr>
          <w:p w14:paraId="09B5B697" w14:textId="77777777" w:rsidR="00994F93" w:rsidRPr="00B03B51" w:rsidRDefault="00994F93" w:rsidP="001C4B02">
            <w:pPr>
              <w:pStyle w:val="TableParagraph"/>
              <w:jc w:val="both"/>
              <w:rPr>
                <w:rFonts w:ascii="Times New Roman" w:hAnsi="Times New Roman" w:cs="Times New Roman"/>
                <w:noProof/>
                <w:sz w:val="24"/>
              </w:rPr>
            </w:pPr>
            <w:r w:rsidRPr="00B03B51">
              <w:rPr>
                <w:rFonts w:ascii="Times New Roman" w:hAnsi="Times New Roman" w:cs="Times New Roman"/>
                <w:sz w:val="24"/>
              </w:rPr>
              <w:t>Kapitāla pārvedumi</w:t>
            </w:r>
          </w:p>
        </w:tc>
        <w:tc>
          <w:tcPr>
            <w:tcW w:w="2187" w:type="pct"/>
            <w:tcBorders>
              <w:top w:val="nil"/>
              <w:left w:val="nil"/>
              <w:bottom w:val="nil"/>
              <w:right w:val="nil"/>
            </w:tcBorders>
          </w:tcPr>
          <w:p w14:paraId="1B2A6F56" w14:textId="77777777" w:rsidR="00994F93" w:rsidRPr="00B03B51" w:rsidRDefault="00994F93" w:rsidP="001C4B02">
            <w:pPr>
              <w:pStyle w:val="TableParagraph"/>
              <w:jc w:val="both"/>
              <w:rPr>
                <w:rFonts w:ascii="Times New Roman" w:hAnsi="Times New Roman" w:cs="Times New Roman"/>
                <w:noProof/>
                <w:sz w:val="24"/>
              </w:rPr>
            </w:pPr>
            <w:r w:rsidRPr="00B03B51">
              <w:rPr>
                <w:rFonts w:ascii="Times New Roman" w:hAnsi="Times New Roman" w:cs="Times New Roman"/>
                <w:sz w:val="24"/>
              </w:rPr>
              <w:t>EKS 2010 4.145. punkts un turpmākie punkti</w:t>
            </w:r>
          </w:p>
        </w:tc>
      </w:tr>
      <w:tr w:rsidR="00994F93" w:rsidRPr="00B03B51" w14:paraId="45FA3255" w14:textId="77777777" w:rsidTr="009534B7">
        <w:tc>
          <w:tcPr>
            <w:tcW w:w="2813" w:type="pct"/>
            <w:tcBorders>
              <w:top w:val="nil"/>
              <w:left w:val="nil"/>
              <w:bottom w:val="nil"/>
              <w:right w:val="nil"/>
            </w:tcBorders>
          </w:tcPr>
          <w:p w14:paraId="3BFB86FC" w14:textId="77777777" w:rsidR="00994F93" w:rsidRPr="00B03B51" w:rsidRDefault="00994F93" w:rsidP="001C4B02">
            <w:pPr>
              <w:pStyle w:val="TableParagraph"/>
              <w:jc w:val="both"/>
              <w:rPr>
                <w:rFonts w:ascii="Times New Roman" w:hAnsi="Times New Roman" w:cs="Times New Roman"/>
                <w:noProof/>
                <w:sz w:val="24"/>
              </w:rPr>
            </w:pPr>
            <w:r w:rsidRPr="00B03B51">
              <w:rPr>
                <w:rFonts w:ascii="Times New Roman" w:hAnsi="Times New Roman" w:cs="Times New Roman"/>
                <w:sz w:val="24"/>
              </w:rPr>
              <w:t>Kapitāla pārvedumi natūrā</w:t>
            </w:r>
          </w:p>
        </w:tc>
        <w:tc>
          <w:tcPr>
            <w:tcW w:w="2187" w:type="pct"/>
            <w:tcBorders>
              <w:top w:val="nil"/>
              <w:left w:val="nil"/>
              <w:bottom w:val="nil"/>
              <w:right w:val="nil"/>
            </w:tcBorders>
          </w:tcPr>
          <w:p w14:paraId="3B765726" w14:textId="77777777" w:rsidR="00994F93" w:rsidRPr="00B03B51" w:rsidRDefault="00994F93" w:rsidP="001C4B02">
            <w:pPr>
              <w:pStyle w:val="TableParagraph"/>
              <w:jc w:val="both"/>
              <w:rPr>
                <w:rFonts w:ascii="Times New Roman" w:hAnsi="Times New Roman" w:cs="Times New Roman"/>
                <w:noProof/>
                <w:sz w:val="24"/>
              </w:rPr>
            </w:pPr>
            <w:r w:rsidRPr="00B03B51">
              <w:rPr>
                <w:rFonts w:ascii="Times New Roman" w:hAnsi="Times New Roman" w:cs="Times New Roman"/>
                <w:sz w:val="24"/>
              </w:rPr>
              <w:t>EKS 2010 4.146. punkts</w:t>
            </w:r>
          </w:p>
        </w:tc>
      </w:tr>
      <w:tr w:rsidR="00994F93" w:rsidRPr="00B03B51" w14:paraId="3AC0C474" w14:textId="77777777" w:rsidTr="009534B7">
        <w:tc>
          <w:tcPr>
            <w:tcW w:w="2813" w:type="pct"/>
            <w:tcBorders>
              <w:top w:val="nil"/>
              <w:left w:val="nil"/>
              <w:bottom w:val="nil"/>
              <w:right w:val="nil"/>
            </w:tcBorders>
          </w:tcPr>
          <w:p w14:paraId="2A69C571" w14:textId="77777777" w:rsidR="00994F93" w:rsidRPr="00B03B51" w:rsidRDefault="00994F93" w:rsidP="001C4B02">
            <w:pPr>
              <w:pStyle w:val="TableParagraph"/>
              <w:jc w:val="both"/>
              <w:rPr>
                <w:rFonts w:ascii="Times New Roman" w:hAnsi="Times New Roman" w:cs="Times New Roman"/>
                <w:noProof/>
                <w:sz w:val="24"/>
              </w:rPr>
            </w:pPr>
            <w:r w:rsidRPr="00B03B51">
              <w:rPr>
                <w:rFonts w:ascii="Times New Roman" w:hAnsi="Times New Roman" w:cs="Times New Roman"/>
                <w:sz w:val="24"/>
              </w:rPr>
              <w:t>Klasifikācijas un struktūras pārmaiņas</w:t>
            </w:r>
          </w:p>
        </w:tc>
        <w:tc>
          <w:tcPr>
            <w:tcW w:w="2187" w:type="pct"/>
            <w:tcBorders>
              <w:top w:val="nil"/>
              <w:left w:val="nil"/>
              <w:bottom w:val="nil"/>
              <w:right w:val="nil"/>
            </w:tcBorders>
          </w:tcPr>
          <w:p w14:paraId="36C83C5E" w14:textId="77777777" w:rsidR="00994F93" w:rsidRPr="00B03B51" w:rsidRDefault="00994F93" w:rsidP="001C4B02">
            <w:pPr>
              <w:pStyle w:val="TableParagraph"/>
              <w:jc w:val="both"/>
              <w:rPr>
                <w:rFonts w:ascii="Times New Roman" w:hAnsi="Times New Roman" w:cs="Times New Roman"/>
                <w:noProof/>
                <w:sz w:val="24"/>
              </w:rPr>
            </w:pPr>
            <w:r w:rsidRPr="00B03B51">
              <w:rPr>
                <w:rFonts w:ascii="Times New Roman" w:hAnsi="Times New Roman" w:cs="Times New Roman"/>
                <w:sz w:val="24"/>
              </w:rPr>
              <w:t>EKS 2010 6.17.–6.20. punkts</w:t>
            </w:r>
          </w:p>
        </w:tc>
      </w:tr>
      <w:tr w:rsidR="00994F93" w:rsidRPr="00B03B51" w14:paraId="5104F674" w14:textId="77777777" w:rsidTr="009534B7">
        <w:tc>
          <w:tcPr>
            <w:tcW w:w="2813" w:type="pct"/>
            <w:tcBorders>
              <w:top w:val="nil"/>
              <w:left w:val="nil"/>
              <w:bottom w:val="nil"/>
              <w:right w:val="nil"/>
            </w:tcBorders>
          </w:tcPr>
          <w:p w14:paraId="103D7BF9" w14:textId="77777777" w:rsidR="00994F93" w:rsidRPr="00B03B51" w:rsidRDefault="00994F93" w:rsidP="001C4B02">
            <w:pPr>
              <w:pStyle w:val="TableParagraph"/>
              <w:jc w:val="both"/>
              <w:rPr>
                <w:rFonts w:ascii="Times New Roman" w:hAnsi="Times New Roman" w:cs="Times New Roman"/>
                <w:noProof/>
                <w:sz w:val="24"/>
              </w:rPr>
            </w:pPr>
            <w:r w:rsidRPr="00B03B51">
              <w:rPr>
                <w:rFonts w:ascii="Times New Roman" w:hAnsi="Times New Roman" w:cs="Times New Roman"/>
                <w:sz w:val="24"/>
              </w:rPr>
              <w:t>Sabiedrības pārstrukturēšana</w:t>
            </w:r>
          </w:p>
        </w:tc>
        <w:tc>
          <w:tcPr>
            <w:tcW w:w="2187" w:type="pct"/>
            <w:tcBorders>
              <w:top w:val="nil"/>
              <w:left w:val="nil"/>
              <w:bottom w:val="nil"/>
              <w:right w:val="nil"/>
            </w:tcBorders>
          </w:tcPr>
          <w:p w14:paraId="21C9AD2A" w14:textId="77777777" w:rsidR="00994F93" w:rsidRPr="00B03B51" w:rsidRDefault="00994F93" w:rsidP="001C4B02">
            <w:pPr>
              <w:pStyle w:val="TableParagraph"/>
              <w:jc w:val="both"/>
              <w:rPr>
                <w:rFonts w:ascii="Times New Roman" w:hAnsi="Times New Roman" w:cs="Times New Roman"/>
                <w:noProof/>
                <w:sz w:val="24"/>
              </w:rPr>
            </w:pPr>
            <w:r w:rsidRPr="00B03B51">
              <w:rPr>
                <w:rFonts w:ascii="Times New Roman" w:hAnsi="Times New Roman" w:cs="Times New Roman"/>
                <w:sz w:val="24"/>
              </w:rPr>
              <w:t>EKS 2010 6.19.–6.20. punkts</w:t>
            </w:r>
          </w:p>
        </w:tc>
      </w:tr>
      <w:tr w:rsidR="00994F93" w:rsidRPr="00B03B51" w14:paraId="1BFCC569" w14:textId="77777777" w:rsidTr="009534B7">
        <w:tc>
          <w:tcPr>
            <w:tcW w:w="2813" w:type="pct"/>
            <w:tcBorders>
              <w:top w:val="nil"/>
              <w:left w:val="nil"/>
              <w:bottom w:val="nil"/>
              <w:right w:val="nil"/>
            </w:tcBorders>
          </w:tcPr>
          <w:p w14:paraId="466FA3F2" w14:textId="12EFC715" w:rsidR="00994F93" w:rsidRPr="00B03B51" w:rsidRDefault="00994F93" w:rsidP="001C4B02">
            <w:pPr>
              <w:pStyle w:val="TableParagraph"/>
              <w:jc w:val="both"/>
              <w:rPr>
                <w:rFonts w:ascii="Times New Roman" w:hAnsi="Times New Roman" w:cs="Times New Roman"/>
                <w:noProof/>
                <w:sz w:val="24"/>
              </w:rPr>
            </w:pPr>
            <w:r w:rsidRPr="00B03B51">
              <w:rPr>
                <w:rFonts w:ascii="Times New Roman" w:hAnsi="Times New Roman" w:cs="Times New Roman"/>
                <w:sz w:val="24"/>
              </w:rPr>
              <w:t xml:space="preserve">Parāda </w:t>
            </w:r>
            <w:r w:rsidR="00C566C3" w:rsidRPr="00B03B51">
              <w:rPr>
                <w:rFonts w:ascii="Times New Roman" w:hAnsi="Times New Roman" w:cs="Times New Roman"/>
                <w:sz w:val="24"/>
              </w:rPr>
              <w:t>anulēšana</w:t>
            </w:r>
            <w:r w:rsidRPr="00B03B51">
              <w:rPr>
                <w:rFonts w:ascii="Times New Roman" w:hAnsi="Times New Roman" w:cs="Times New Roman"/>
                <w:sz w:val="24"/>
              </w:rPr>
              <w:t>, saistību uzņemšanās</w:t>
            </w:r>
          </w:p>
        </w:tc>
        <w:tc>
          <w:tcPr>
            <w:tcW w:w="2187" w:type="pct"/>
            <w:tcBorders>
              <w:top w:val="nil"/>
              <w:left w:val="nil"/>
              <w:bottom w:val="nil"/>
              <w:right w:val="nil"/>
            </w:tcBorders>
          </w:tcPr>
          <w:p w14:paraId="43F152A8" w14:textId="77777777" w:rsidR="00994F93" w:rsidRPr="00B03B51" w:rsidRDefault="00994F93" w:rsidP="001C4B02">
            <w:pPr>
              <w:pStyle w:val="TableParagraph"/>
              <w:jc w:val="both"/>
              <w:rPr>
                <w:rFonts w:ascii="Times New Roman" w:hAnsi="Times New Roman" w:cs="Times New Roman"/>
                <w:noProof/>
                <w:sz w:val="24"/>
              </w:rPr>
            </w:pPr>
            <w:r w:rsidRPr="00B03B51">
              <w:rPr>
                <w:rFonts w:ascii="Times New Roman" w:hAnsi="Times New Roman" w:cs="Times New Roman"/>
                <w:sz w:val="24"/>
              </w:rPr>
              <w:t>EKS 2010 5.36.–5.39. punkts</w:t>
            </w:r>
          </w:p>
        </w:tc>
      </w:tr>
      <w:tr w:rsidR="00994F93" w:rsidRPr="00B03B51" w14:paraId="087C98F0" w14:textId="77777777" w:rsidTr="009534B7">
        <w:tc>
          <w:tcPr>
            <w:tcW w:w="2813" w:type="pct"/>
            <w:tcBorders>
              <w:top w:val="nil"/>
              <w:left w:val="nil"/>
              <w:bottom w:val="nil"/>
              <w:right w:val="nil"/>
            </w:tcBorders>
          </w:tcPr>
          <w:p w14:paraId="4B2E0078" w14:textId="77777777" w:rsidR="00994F93" w:rsidRPr="00B03B51" w:rsidRDefault="00994F93" w:rsidP="001C4B02">
            <w:pPr>
              <w:pStyle w:val="TableParagraph"/>
              <w:jc w:val="both"/>
              <w:rPr>
                <w:rFonts w:ascii="Times New Roman" w:hAnsi="Times New Roman" w:cs="Times New Roman"/>
                <w:noProof/>
                <w:sz w:val="24"/>
              </w:rPr>
            </w:pPr>
            <w:r w:rsidRPr="00B03B51">
              <w:rPr>
                <w:rFonts w:ascii="Times New Roman" w:hAnsi="Times New Roman" w:cs="Times New Roman"/>
                <w:sz w:val="24"/>
              </w:rPr>
              <w:t>Dividendes</w:t>
            </w:r>
          </w:p>
        </w:tc>
        <w:tc>
          <w:tcPr>
            <w:tcW w:w="2187" w:type="pct"/>
            <w:tcBorders>
              <w:top w:val="nil"/>
              <w:left w:val="nil"/>
              <w:bottom w:val="nil"/>
              <w:right w:val="nil"/>
            </w:tcBorders>
          </w:tcPr>
          <w:p w14:paraId="3ED4E5B1" w14:textId="77777777" w:rsidR="00994F93" w:rsidRPr="00B03B51" w:rsidRDefault="00994F93" w:rsidP="001C4B02">
            <w:pPr>
              <w:pStyle w:val="TableParagraph"/>
              <w:jc w:val="both"/>
              <w:rPr>
                <w:rFonts w:ascii="Times New Roman" w:hAnsi="Times New Roman" w:cs="Times New Roman"/>
                <w:noProof/>
                <w:sz w:val="24"/>
              </w:rPr>
            </w:pPr>
            <w:r w:rsidRPr="00B03B51">
              <w:rPr>
                <w:rFonts w:ascii="Times New Roman" w:hAnsi="Times New Roman" w:cs="Times New Roman"/>
                <w:sz w:val="24"/>
              </w:rPr>
              <w:t>EKS 2010 4.53. punkts</w:t>
            </w:r>
          </w:p>
        </w:tc>
      </w:tr>
      <w:tr w:rsidR="00994F93" w:rsidRPr="00B03B51" w14:paraId="79ACC663" w14:textId="77777777" w:rsidTr="009534B7">
        <w:tc>
          <w:tcPr>
            <w:tcW w:w="2813" w:type="pct"/>
            <w:tcBorders>
              <w:top w:val="nil"/>
              <w:left w:val="nil"/>
              <w:bottom w:val="nil"/>
              <w:right w:val="nil"/>
            </w:tcBorders>
          </w:tcPr>
          <w:p w14:paraId="2F03D64D" w14:textId="77777777" w:rsidR="00994F93" w:rsidRPr="00B03B51" w:rsidRDefault="00994F93" w:rsidP="001C4B02">
            <w:pPr>
              <w:pStyle w:val="TableParagraph"/>
              <w:jc w:val="both"/>
              <w:rPr>
                <w:rFonts w:ascii="Times New Roman" w:hAnsi="Times New Roman" w:cs="Times New Roman"/>
                <w:noProof/>
                <w:sz w:val="24"/>
              </w:rPr>
            </w:pPr>
            <w:r w:rsidRPr="00B03B51">
              <w:rPr>
                <w:rFonts w:ascii="Times New Roman" w:hAnsi="Times New Roman" w:cs="Times New Roman"/>
                <w:sz w:val="24"/>
              </w:rPr>
              <w:t>Uzņēmējdarbības ienākumi</w:t>
            </w:r>
          </w:p>
        </w:tc>
        <w:tc>
          <w:tcPr>
            <w:tcW w:w="2187" w:type="pct"/>
            <w:tcBorders>
              <w:top w:val="nil"/>
              <w:left w:val="nil"/>
              <w:bottom w:val="nil"/>
              <w:right w:val="nil"/>
            </w:tcBorders>
          </w:tcPr>
          <w:p w14:paraId="41411AC5" w14:textId="77777777" w:rsidR="00994F93" w:rsidRPr="00B03B51" w:rsidRDefault="00994F93" w:rsidP="001C4B02">
            <w:pPr>
              <w:pStyle w:val="TableParagraph"/>
              <w:jc w:val="both"/>
              <w:rPr>
                <w:rFonts w:ascii="Times New Roman" w:hAnsi="Times New Roman" w:cs="Times New Roman"/>
                <w:noProof/>
                <w:sz w:val="24"/>
              </w:rPr>
            </w:pPr>
            <w:r w:rsidRPr="00B03B51">
              <w:rPr>
                <w:rFonts w:ascii="Times New Roman" w:hAnsi="Times New Roman" w:cs="Times New Roman"/>
                <w:sz w:val="24"/>
              </w:rPr>
              <w:t>EKS 2010 8.26.–8.28. punkts</w:t>
            </w:r>
          </w:p>
        </w:tc>
      </w:tr>
      <w:tr w:rsidR="00994F93" w:rsidRPr="00B03B51" w14:paraId="4E0F64C5" w14:textId="77777777" w:rsidTr="009534B7">
        <w:tc>
          <w:tcPr>
            <w:tcW w:w="2813" w:type="pct"/>
            <w:tcBorders>
              <w:top w:val="nil"/>
              <w:left w:val="nil"/>
              <w:bottom w:val="nil"/>
              <w:right w:val="nil"/>
            </w:tcBorders>
          </w:tcPr>
          <w:p w14:paraId="7443C776" w14:textId="77777777" w:rsidR="00994F93" w:rsidRPr="00B03B51" w:rsidRDefault="00994F93" w:rsidP="001C4B02">
            <w:pPr>
              <w:pStyle w:val="TableParagraph"/>
              <w:jc w:val="both"/>
              <w:rPr>
                <w:rFonts w:ascii="Times New Roman" w:hAnsi="Times New Roman" w:cs="Times New Roman"/>
                <w:noProof/>
                <w:sz w:val="24"/>
              </w:rPr>
            </w:pPr>
            <w:r w:rsidRPr="00B03B51">
              <w:rPr>
                <w:rFonts w:ascii="Times New Roman" w:hAnsi="Times New Roman" w:cs="Times New Roman"/>
                <w:sz w:val="24"/>
              </w:rPr>
              <w:t>Pašu kapitāls</w:t>
            </w:r>
          </w:p>
        </w:tc>
        <w:tc>
          <w:tcPr>
            <w:tcW w:w="2187" w:type="pct"/>
            <w:tcBorders>
              <w:top w:val="nil"/>
              <w:left w:val="nil"/>
              <w:bottom w:val="nil"/>
              <w:right w:val="nil"/>
            </w:tcBorders>
          </w:tcPr>
          <w:p w14:paraId="6747F1AD" w14:textId="77777777" w:rsidR="00994F93" w:rsidRPr="00B03B51" w:rsidRDefault="00994F93" w:rsidP="001C4B02">
            <w:pPr>
              <w:pStyle w:val="TableParagraph"/>
              <w:jc w:val="both"/>
              <w:rPr>
                <w:rFonts w:ascii="Times New Roman" w:hAnsi="Times New Roman" w:cs="Times New Roman"/>
                <w:noProof/>
                <w:sz w:val="24"/>
              </w:rPr>
            </w:pPr>
            <w:r w:rsidRPr="00B03B51">
              <w:rPr>
                <w:rFonts w:ascii="Times New Roman" w:hAnsi="Times New Roman" w:cs="Times New Roman"/>
                <w:sz w:val="24"/>
              </w:rPr>
              <w:t>EKS 2010 5.141. un turpmākie punkti</w:t>
            </w:r>
          </w:p>
        </w:tc>
      </w:tr>
      <w:tr w:rsidR="00994F93" w:rsidRPr="00B03B51" w14:paraId="7FE2CC44" w14:textId="77777777" w:rsidTr="009534B7">
        <w:tc>
          <w:tcPr>
            <w:tcW w:w="2813" w:type="pct"/>
            <w:tcBorders>
              <w:top w:val="nil"/>
              <w:left w:val="nil"/>
              <w:bottom w:val="nil"/>
              <w:right w:val="nil"/>
            </w:tcBorders>
          </w:tcPr>
          <w:p w14:paraId="3F99BB20" w14:textId="77777777" w:rsidR="00994F93" w:rsidRPr="00B03B51" w:rsidRDefault="00994F93" w:rsidP="001C4B02">
            <w:pPr>
              <w:pStyle w:val="TableParagraph"/>
              <w:jc w:val="both"/>
              <w:rPr>
                <w:rFonts w:ascii="Times New Roman" w:hAnsi="Times New Roman" w:cs="Times New Roman"/>
                <w:noProof/>
                <w:sz w:val="24"/>
              </w:rPr>
            </w:pPr>
            <w:r w:rsidRPr="00B03B51">
              <w:rPr>
                <w:rFonts w:ascii="Times New Roman" w:hAnsi="Times New Roman" w:cs="Times New Roman"/>
                <w:sz w:val="24"/>
              </w:rPr>
              <w:t>Pašu kapitāls</w:t>
            </w:r>
          </w:p>
        </w:tc>
        <w:tc>
          <w:tcPr>
            <w:tcW w:w="2187" w:type="pct"/>
            <w:tcBorders>
              <w:top w:val="nil"/>
              <w:left w:val="nil"/>
              <w:bottom w:val="nil"/>
              <w:right w:val="nil"/>
            </w:tcBorders>
          </w:tcPr>
          <w:p w14:paraId="07AC8123" w14:textId="77777777" w:rsidR="00994F93" w:rsidRPr="00B03B51" w:rsidRDefault="00994F93" w:rsidP="001C4B02">
            <w:pPr>
              <w:pStyle w:val="TableParagraph"/>
              <w:jc w:val="both"/>
              <w:rPr>
                <w:rFonts w:ascii="Times New Roman" w:hAnsi="Times New Roman" w:cs="Times New Roman"/>
                <w:noProof/>
                <w:sz w:val="24"/>
              </w:rPr>
            </w:pPr>
            <w:r w:rsidRPr="00B03B51">
              <w:rPr>
                <w:rFonts w:ascii="Times New Roman" w:hAnsi="Times New Roman" w:cs="Times New Roman"/>
                <w:sz w:val="24"/>
              </w:rPr>
              <w:t>EKS 2010 5.148. punkts</w:t>
            </w:r>
          </w:p>
        </w:tc>
      </w:tr>
      <w:tr w:rsidR="00994F93" w:rsidRPr="00B03B51" w14:paraId="183F3786" w14:textId="77777777" w:rsidTr="009534B7">
        <w:tc>
          <w:tcPr>
            <w:tcW w:w="2813" w:type="pct"/>
            <w:tcBorders>
              <w:top w:val="nil"/>
              <w:left w:val="nil"/>
              <w:bottom w:val="nil"/>
              <w:right w:val="nil"/>
            </w:tcBorders>
          </w:tcPr>
          <w:p w14:paraId="3AC34184" w14:textId="77777777" w:rsidR="00994F93" w:rsidRPr="00B03B51" w:rsidRDefault="00994F93" w:rsidP="001C4B02">
            <w:pPr>
              <w:pStyle w:val="TableParagraph"/>
              <w:jc w:val="both"/>
              <w:rPr>
                <w:rFonts w:ascii="Times New Roman" w:hAnsi="Times New Roman" w:cs="Times New Roman"/>
                <w:noProof/>
                <w:sz w:val="24"/>
              </w:rPr>
            </w:pPr>
            <w:r w:rsidRPr="00B03B51">
              <w:rPr>
                <w:rFonts w:ascii="Times New Roman" w:hAnsi="Times New Roman" w:cs="Times New Roman"/>
                <w:sz w:val="24"/>
              </w:rPr>
              <w:t>Finanšu darījumi</w:t>
            </w:r>
          </w:p>
        </w:tc>
        <w:tc>
          <w:tcPr>
            <w:tcW w:w="2187" w:type="pct"/>
            <w:tcBorders>
              <w:top w:val="nil"/>
              <w:left w:val="nil"/>
              <w:bottom w:val="nil"/>
              <w:right w:val="nil"/>
            </w:tcBorders>
          </w:tcPr>
          <w:p w14:paraId="6FB545AF" w14:textId="77777777" w:rsidR="00994F93" w:rsidRPr="00B03B51" w:rsidRDefault="00994F93" w:rsidP="001C4B02">
            <w:pPr>
              <w:pStyle w:val="TableParagraph"/>
              <w:jc w:val="both"/>
              <w:rPr>
                <w:rFonts w:ascii="Times New Roman" w:hAnsi="Times New Roman" w:cs="Times New Roman"/>
                <w:noProof/>
                <w:sz w:val="24"/>
              </w:rPr>
            </w:pPr>
            <w:r w:rsidRPr="00B03B51">
              <w:rPr>
                <w:rFonts w:ascii="Times New Roman" w:hAnsi="Times New Roman" w:cs="Times New Roman"/>
                <w:sz w:val="24"/>
              </w:rPr>
              <w:t>EKS 2010 5.17., 5.19.–5.22., 5.32.–5.35. punkts</w:t>
            </w:r>
          </w:p>
        </w:tc>
      </w:tr>
      <w:tr w:rsidR="00994F93" w:rsidRPr="00B03B51" w14:paraId="44CA7928" w14:textId="77777777" w:rsidTr="009534B7">
        <w:tc>
          <w:tcPr>
            <w:tcW w:w="2813" w:type="pct"/>
            <w:tcBorders>
              <w:top w:val="nil"/>
              <w:left w:val="nil"/>
              <w:bottom w:val="nil"/>
              <w:right w:val="nil"/>
            </w:tcBorders>
          </w:tcPr>
          <w:p w14:paraId="4C41C75A" w14:textId="77777777" w:rsidR="00994F93" w:rsidRPr="00B03B51" w:rsidRDefault="00994F93" w:rsidP="001C4B02">
            <w:pPr>
              <w:pStyle w:val="TableParagraph"/>
              <w:jc w:val="both"/>
              <w:rPr>
                <w:rFonts w:ascii="Times New Roman" w:hAnsi="Times New Roman" w:cs="Times New Roman"/>
                <w:noProof/>
                <w:sz w:val="24"/>
              </w:rPr>
            </w:pPr>
            <w:r w:rsidRPr="00B03B51">
              <w:rPr>
                <w:rFonts w:ascii="Times New Roman" w:hAnsi="Times New Roman" w:cs="Times New Roman"/>
                <w:sz w:val="24"/>
              </w:rPr>
              <w:t>Institucionālā vienība</w:t>
            </w:r>
          </w:p>
        </w:tc>
        <w:tc>
          <w:tcPr>
            <w:tcW w:w="2187" w:type="pct"/>
            <w:tcBorders>
              <w:top w:val="nil"/>
              <w:left w:val="nil"/>
              <w:bottom w:val="nil"/>
              <w:right w:val="nil"/>
            </w:tcBorders>
          </w:tcPr>
          <w:p w14:paraId="12899FF7" w14:textId="77777777" w:rsidR="00994F93" w:rsidRPr="00B03B51" w:rsidRDefault="00994F93" w:rsidP="001C4B02">
            <w:pPr>
              <w:pStyle w:val="TableParagraph"/>
              <w:jc w:val="both"/>
              <w:rPr>
                <w:rFonts w:ascii="Times New Roman" w:hAnsi="Times New Roman" w:cs="Times New Roman"/>
                <w:noProof/>
                <w:sz w:val="24"/>
              </w:rPr>
            </w:pPr>
            <w:r w:rsidRPr="00B03B51">
              <w:rPr>
                <w:rFonts w:ascii="Times New Roman" w:hAnsi="Times New Roman" w:cs="Times New Roman"/>
                <w:sz w:val="24"/>
              </w:rPr>
              <w:t>EKS 2010 2.12. punkts</w:t>
            </w:r>
          </w:p>
        </w:tc>
      </w:tr>
      <w:tr w:rsidR="00994F93" w:rsidRPr="00B03B51" w14:paraId="651DA3CB" w14:textId="77777777" w:rsidTr="009534B7">
        <w:tc>
          <w:tcPr>
            <w:tcW w:w="2813" w:type="pct"/>
            <w:tcBorders>
              <w:top w:val="nil"/>
              <w:left w:val="nil"/>
              <w:bottom w:val="nil"/>
              <w:right w:val="nil"/>
            </w:tcBorders>
          </w:tcPr>
          <w:p w14:paraId="2696D6BD" w14:textId="77777777" w:rsidR="00994F93" w:rsidRPr="00B03B51" w:rsidRDefault="00994F93" w:rsidP="001C4B02">
            <w:pPr>
              <w:pStyle w:val="TableParagraph"/>
              <w:jc w:val="both"/>
              <w:rPr>
                <w:rFonts w:ascii="Times New Roman" w:hAnsi="Times New Roman" w:cs="Times New Roman"/>
                <w:noProof/>
                <w:sz w:val="24"/>
              </w:rPr>
            </w:pPr>
            <w:r w:rsidRPr="00B03B51">
              <w:rPr>
                <w:rFonts w:ascii="Times New Roman" w:hAnsi="Times New Roman" w:cs="Times New Roman"/>
                <w:sz w:val="24"/>
              </w:rPr>
              <w:t>Ieguldījumu dotācijas</w:t>
            </w:r>
          </w:p>
        </w:tc>
        <w:tc>
          <w:tcPr>
            <w:tcW w:w="2187" w:type="pct"/>
            <w:tcBorders>
              <w:top w:val="nil"/>
              <w:left w:val="nil"/>
              <w:bottom w:val="nil"/>
              <w:right w:val="nil"/>
            </w:tcBorders>
          </w:tcPr>
          <w:p w14:paraId="03B8D706" w14:textId="77777777" w:rsidR="00994F93" w:rsidRPr="00B03B51" w:rsidRDefault="00994F93" w:rsidP="001C4B02">
            <w:pPr>
              <w:pStyle w:val="TableParagraph"/>
              <w:jc w:val="both"/>
              <w:rPr>
                <w:rFonts w:ascii="Times New Roman" w:hAnsi="Times New Roman" w:cs="Times New Roman"/>
                <w:noProof/>
                <w:sz w:val="24"/>
              </w:rPr>
            </w:pPr>
            <w:r w:rsidRPr="00B03B51">
              <w:rPr>
                <w:rFonts w:ascii="Times New Roman" w:hAnsi="Times New Roman" w:cs="Times New Roman"/>
                <w:sz w:val="24"/>
              </w:rPr>
              <w:t>EKS 2010, 4.152.–4.163. punkts</w:t>
            </w:r>
          </w:p>
        </w:tc>
      </w:tr>
      <w:tr w:rsidR="00994F93" w:rsidRPr="00B03B51" w14:paraId="654A8542" w14:textId="77777777" w:rsidTr="009534B7">
        <w:tc>
          <w:tcPr>
            <w:tcW w:w="2813" w:type="pct"/>
            <w:tcBorders>
              <w:top w:val="nil"/>
              <w:left w:val="nil"/>
              <w:bottom w:val="nil"/>
              <w:right w:val="nil"/>
            </w:tcBorders>
          </w:tcPr>
          <w:p w14:paraId="3D219FCD" w14:textId="77777777" w:rsidR="00994F93" w:rsidRPr="00B03B51" w:rsidRDefault="00994F93" w:rsidP="001C4B02">
            <w:pPr>
              <w:pStyle w:val="TableParagraph"/>
              <w:jc w:val="both"/>
              <w:rPr>
                <w:rFonts w:ascii="Times New Roman" w:hAnsi="Times New Roman" w:cs="Times New Roman"/>
                <w:noProof/>
                <w:sz w:val="24"/>
              </w:rPr>
            </w:pPr>
            <w:r w:rsidRPr="00B03B51">
              <w:rPr>
                <w:rFonts w:ascii="Times New Roman" w:hAnsi="Times New Roman" w:cs="Times New Roman"/>
                <w:sz w:val="24"/>
              </w:rPr>
              <w:t>Neto vērtība</w:t>
            </w:r>
          </w:p>
        </w:tc>
        <w:tc>
          <w:tcPr>
            <w:tcW w:w="2187" w:type="pct"/>
            <w:tcBorders>
              <w:top w:val="nil"/>
              <w:left w:val="nil"/>
              <w:bottom w:val="nil"/>
              <w:right w:val="nil"/>
            </w:tcBorders>
          </w:tcPr>
          <w:p w14:paraId="4DFC5B61" w14:textId="77777777" w:rsidR="00994F93" w:rsidRPr="00B03B51" w:rsidRDefault="00994F93" w:rsidP="001C4B02">
            <w:pPr>
              <w:pStyle w:val="TableParagraph"/>
              <w:jc w:val="both"/>
              <w:rPr>
                <w:rFonts w:ascii="Times New Roman" w:hAnsi="Times New Roman" w:cs="Times New Roman"/>
                <w:noProof/>
                <w:sz w:val="24"/>
              </w:rPr>
            </w:pPr>
            <w:r w:rsidRPr="00B03B51">
              <w:rPr>
                <w:rFonts w:ascii="Times New Roman" w:hAnsi="Times New Roman" w:cs="Times New Roman"/>
                <w:sz w:val="24"/>
              </w:rPr>
              <w:t>EKS 2010 7.01. punkts</w:t>
            </w:r>
          </w:p>
        </w:tc>
      </w:tr>
      <w:tr w:rsidR="00994F93" w:rsidRPr="00B03B51" w14:paraId="3C8D49F9" w14:textId="77777777" w:rsidTr="009534B7">
        <w:tc>
          <w:tcPr>
            <w:tcW w:w="2813" w:type="pct"/>
            <w:tcBorders>
              <w:top w:val="nil"/>
              <w:left w:val="nil"/>
              <w:bottom w:val="nil"/>
              <w:right w:val="nil"/>
            </w:tcBorders>
          </w:tcPr>
          <w:p w14:paraId="76E719D4" w14:textId="77777777" w:rsidR="00994F93" w:rsidRPr="00B03B51" w:rsidRDefault="00994F93" w:rsidP="001C4B02">
            <w:pPr>
              <w:pStyle w:val="TableParagraph"/>
              <w:jc w:val="both"/>
              <w:rPr>
                <w:rFonts w:ascii="Times New Roman" w:hAnsi="Times New Roman" w:cs="Times New Roman"/>
                <w:noProof/>
                <w:sz w:val="24"/>
              </w:rPr>
            </w:pPr>
            <w:r w:rsidRPr="00B03B51">
              <w:rPr>
                <w:rFonts w:ascii="Times New Roman" w:hAnsi="Times New Roman" w:cs="Times New Roman"/>
                <w:sz w:val="24"/>
              </w:rPr>
              <w:t>Beznaudas darījumi</w:t>
            </w:r>
          </w:p>
        </w:tc>
        <w:tc>
          <w:tcPr>
            <w:tcW w:w="2187" w:type="pct"/>
            <w:tcBorders>
              <w:top w:val="nil"/>
              <w:left w:val="nil"/>
              <w:bottom w:val="nil"/>
              <w:right w:val="nil"/>
            </w:tcBorders>
          </w:tcPr>
          <w:p w14:paraId="1AD6C697" w14:textId="77777777" w:rsidR="00994F93" w:rsidRPr="00B03B51" w:rsidRDefault="00994F93" w:rsidP="001C4B02">
            <w:pPr>
              <w:pStyle w:val="TableParagraph"/>
              <w:jc w:val="both"/>
              <w:rPr>
                <w:rFonts w:ascii="Times New Roman" w:hAnsi="Times New Roman" w:cs="Times New Roman"/>
                <w:noProof/>
                <w:sz w:val="24"/>
              </w:rPr>
            </w:pPr>
            <w:r w:rsidRPr="00B03B51">
              <w:rPr>
                <w:rFonts w:ascii="Times New Roman" w:hAnsi="Times New Roman" w:cs="Times New Roman"/>
                <w:sz w:val="24"/>
              </w:rPr>
              <w:t>EKS 2010 1.70. punkts</w:t>
            </w:r>
          </w:p>
        </w:tc>
      </w:tr>
      <w:tr w:rsidR="00994F93" w:rsidRPr="00B03B51" w14:paraId="5938E3F1" w14:textId="77777777" w:rsidTr="009534B7">
        <w:tc>
          <w:tcPr>
            <w:tcW w:w="2813" w:type="pct"/>
            <w:tcBorders>
              <w:top w:val="nil"/>
              <w:left w:val="nil"/>
              <w:bottom w:val="nil"/>
              <w:right w:val="nil"/>
            </w:tcBorders>
          </w:tcPr>
          <w:p w14:paraId="135BBB5D" w14:textId="77777777" w:rsidR="00994F93" w:rsidRPr="00B03B51" w:rsidRDefault="00994F93" w:rsidP="001C4B02">
            <w:pPr>
              <w:pStyle w:val="TableParagraph"/>
              <w:jc w:val="both"/>
              <w:rPr>
                <w:rFonts w:ascii="Times New Roman" w:hAnsi="Times New Roman" w:cs="Times New Roman"/>
                <w:noProof/>
                <w:sz w:val="24"/>
              </w:rPr>
            </w:pPr>
            <w:r w:rsidRPr="00B03B51">
              <w:rPr>
                <w:rFonts w:ascii="Times New Roman" w:hAnsi="Times New Roman" w:cs="Times New Roman"/>
                <w:sz w:val="24"/>
              </w:rPr>
              <w:t>Citas debitoru un kreditoru saistības</w:t>
            </w:r>
          </w:p>
        </w:tc>
        <w:tc>
          <w:tcPr>
            <w:tcW w:w="2187" w:type="pct"/>
            <w:tcBorders>
              <w:top w:val="nil"/>
              <w:left w:val="nil"/>
              <w:bottom w:val="nil"/>
              <w:right w:val="nil"/>
            </w:tcBorders>
          </w:tcPr>
          <w:p w14:paraId="412F9376" w14:textId="77777777" w:rsidR="00994F93" w:rsidRPr="00B03B51" w:rsidRDefault="00994F93" w:rsidP="001C4B02">
            <w:pPr>
              <w:pStyle w:val="TableParagraph"/>
              <w:jc w:val="both"/>
              <w:rPr>
                <w:rFonts w:ascii="Times New Roman" w:hAnsi="Times New Roman" w:cs="Times New Roman"/>
                <w:noProof/>
                <w:sz w:val="24"/>
              </w:rPr>
            </w:pPr>
            <w:r w:rsidRPr="00B03B51">
              <w:rPr>
                <w:rFonts w:ascii="Times New Roman" w:hAnsi="Times New Roman" w:cs="Times New Roman"/>
                <w:sz w:val="24"/>
              </w:rPr>
              <w:t>EKS 2010 5.230.–5.244. punkts</w:t>
            </w:r>
          </w:p>
        </w:tc>
      </w:tr>
      <w:tr w:rsidR="00994F93" w:rsidRPr="00B03B51" w14:paraId="17F1224E" w14:textId="77777777" w:rsidTr="009534B7">
        <w:tc>
          <w:tcPr>
            <w:tcW w:w="2813" w:type="pct"/>
            <w:tcBorders>
              <w:top w:val="nil"/>
              <w:left w:val="nil"/>
              <w:bottom w:val="nil"/>
              <w:right w:val="nil"/>
            </w:tcBorders>
          </w:tcPr>
          <w:p w14:paraId="768D78BA" w14:textId="77777777" w:rsidR="00994F93" w:rsidRPr="00B03B51" w:rsidRDefault="00994F93" w:rsidP="001C4B02">
            <w:pPr>
              <w:pStyle w:val="TableParagraph"/>
              <w:jc w:val="both"/>
              <w:rPr>
                <w:rFonts w:ascii="Times New Roman" w:hAnsi="Times New Roman" w:cs="Times New Roman"/>
                <w:noProof/>
                <w:sz w:val="24"/>
              </w:rPr>
            </w:pPr>
            <w:r w:rsidRPr="00B03B51">
              <w:rPr>
                <w:rFonts w:ascii="Times New Roman" w:hAnsi="Times New Roman" w:cs="Times New Roman"/>
                <w:sz w:val="24"/>
              </w:rPr>
              <w:t>Citi kapitāla pārvedumi</w:t>
            </w:r>
          </w:p>
        </w:tc>
        <w:tc>
          <w:tcPr>
            <w:tcW w:w="2187" w:type="pct"/>
            <w:tcBorders>
              <w:top w:val="nil"/>
              <w:left w:val="nil"/>
              <w:bottom w:val="nil"/>
              <w:right w:val="nil"/>
            </w:tcBorders>
          </w:tcPr>
          <w:p w14:paraId="2C5D7228" w14:textId="77777777" w:rsidR="00994F93" w:rsidRPr="00B03B51" w:rsidRDefault="00994F93" w:rsidP="001C4B02">
            <w:pPr>
              <w:pStyle w:val="TableParagraph"/>
              <w:jc w:val="both"/>
              <w:rPr>
                <w:rFonts w:ascii="Times New Roman" w:hAnsi="Times New Roman" w:cs="Times New Roman"/>
                <w:noProof/>
                <w:sz w:val="24"/>
              </w:rPr>
            </w:pPr>
            <w:r w:rsidRPr="00B03B51">
              <w:rPr>
                <w:rFonts w:ascii="Times New Roman" w:hAnsi="Times New Roman" w:cs="Times New Roman"/>
                <w:sz w:val="24"/>
              </w:rPr>
              <w:t>EKS 2010 4.164.–4.167. punkts</w:t>
            </w:r>
          </w:p>
        </w:tc>
      </w:tr>
      <w:tr w:rsidR="00994F93" w:rsidRPr="00B03B51" w14:paraId="6E74A8AB" w14:textId="77777777" w:rsidTr="009534B7">
        <w:tc>
          <w:tcPr>
            <w:tcW w:w="2813" w:type="pct"/>
            <w:tcBorders>
              <w:top w:val="nil"/>
              <w:left w:val="nil"/>
              <w:bottom w:val="nil"/>
              <w:right w:val="nil"/>
            </w:tcBorders>
          </w:tcPr>
          <w:p w14:paraId="18BDBF8A" w14:textId="77777777" w:rsidR="00994F93" w:rsidRPr="00B03B51" w:rsidRDefault="00994F93" w:rsidP="001C4B02">
            <w:pPr>
              <w:pStyle w:val="TableParagraph"/>
              <w:jc w:val="both"/>
              <w:rPr>
                <w:rFonts w:ascii="Times New Roman" w:hAnsi="Times New Roman" w:cs="Times New Roman"/>
                <w:noProof/>
                <w:sz w:val="24"/>
              </w:rPr>
            </w:pPr>
            <w:r w:rsidRPr="00B03B51">
              <w:rPr>
                <w:rFonts w:ascii="Times New Roman" w:hAnsi="Times New Roman" w:cs="Times New Roman"/>
                <w:sz w:val="24"/>
              </w:rPr>
              <w:t>Pašu līdzekļi</w:t>
            </w:r>
          </w:p>
        </w:tc>
        <w:tc>
          <w:tcPr>
            <w:tcW w:w="2187" w:type="pct"/>
            <w:tcBorders>
              <w:top w:val="nil"/>
              <w:left w:val="nil"/>
              <w:bottom w:val="nil"/>
              <w:right w:val="nil"/>
            </w:tcBorders>
          </w:tcPr>
          <w:p w14:paraId="4269C343" w14:textId="77777777" w:rsidR="00994F93" w:rsidRPr="00B03B51" w:rsidRDefault="00994F93" w:rsidP="001C4B02">
            <w:pPr>
              <w:pStyle w:val="TableParagraph"/>
              <w:jc w:val="both"/>
              <w:rPr>
                <w:rFonts w:ascii="Times New Roman" w:hAnsi="Times New Roman" w:cs="Times New Roman"/>
                <w:noProof/>
                <w:sz w:val="24"/>
              </w:rPr>
            </w:pPr>
            <w:r w:rsidRPr="00B03B51">
              <w:rPr>
                <w:rFonts w:ascii="Times New Roman" w:hAnsi="Times New Roman" w:cs="Times New Roman"/>
                <w:sz w:val="24"/>
              </w:rPr>
              <w:t>EKS 2010 7.07. punkts</w:t>
            </w:r>
          </w:p>
        </w:tc>
      </w:tr>
      <w:tr w:rsidR="00994F93" w:rsidRPr="00B03B51" w14:paraId="70FC5149" w14:textId="77777777" w:rsidTr="009534B7">
        <w:tc>
          <w:tcPr>
            <w:tcW w:w="2813" w:type="pct"/>
            <w:tcBorders>
              <w:top w:val="nil"/>
              <w:left w:val="nil"/>
              <w:bottom w:val="nil"/>
              <w:right w:val="nil"/>
            </w:tcBorders>
          </w:tcPr>
          <w:p w14:paraId="0C77A554" w14:textId="77777777" w:rsidR="00994F93" w:rsidRPr="00B03B51" w:rsidRDefault="00994F93" w:rsidP="001C4B02">
            <w:pPr>
              <w:pStyle w:val="TableParagraph"/>
              <w:jc w:val="both"/>
              <w:rPr>
                <w:rFonts w:ascii="Times New Roman" w:hAnsi="Times New Roman" w:cs="Times New Roman"/>
                <w:noProof/>
                <w:sz w:val="24"/>
              </w:rPr>
            </w:pPr>
            <w:r w:rsidRPr="00B03B51">
              <w:rPr>
                <w:rFonts w:ascii="Times New Roman" w:hAnsi="Times New Roman" w:cs="Times New Roman"/>
                <w:sz w:val="24"/>
              </w:rPr>
              <w:t>Pastāvīgi zaudējumi</w:t>
            </w:r>
          </w:p>
        </w:tc>
        <w:tc>
          <w:tcPr>
            <w:tcW w:w="2187" w:type="pct"/>
            <w:tcBorders>
              <w:top w:val="nil"/>
              <w:left w:val="nil"/>
              <w:bottom w:val="nil"/>
              <w:right w:val="nil"/>
            </w:tcBorders>
          </w:tcPr>
          <w:p w14:paraId="650E4F12" w14:textId="77777777" w:rsidR="00994F93" w:rsidRPr="00B03B51" w:rsidRDefault="00994F93" w:rsidP="001C4B02">
            <w:pPr>
              <w:pStyle w:val="TableParagraph"/>
              <w:jc w:val="both"/>
              <w:rPr>
                <w:rFonts w:ascii="Times New Roman" w:hAnsi="Times New Roman" w:cs="Times New Roman"/>
                <w:noProof/>
                <w:sz w:val="24"/>
              </w:rPr>
            </w:pPr>
            <w:r w:rsidRPr="00B03B51">
              <w:rPr>
                <w:rFonts w:ascii="Times New Roman" w:hAnsi="Times New Roman" w:cs="Times New Roman"/>
                <w:sz w:val="24"/>
              </w:rPr>
              <w:t>EKS 2010 4.35. punkta c) apakšpunkts, 4.61. punkts</w:t>
            </w:r>
          </w:p>
        </w:tc>
      </w:tr>
      <w:tr w:rsidR="00994F93" w:rsidRPr="00B03B51" w14:paraId="79D300D3" w14:textId="77777777" w:rsidTr="009534B7">
        <w:tc>
          <w:tcPr>
            <w:tcW w:w="2813" w:type="pct"/>
            <w:tcBorders>
              <w:top w:val="nil"/>
              <w:left w:val="nil"/>
              <w:bottom w:val="nil"/>
              <w:right w:val="nil"/>
            </w:tcBorders>
          </w:tcPr>
          <w:p w14:paraId="1AC73F01" w14:textId="77777777" w:rsidR="00994F93" w:rsidRPr="00B03B51" w:rsidRDefault="00994F93" w:rsidP="001C4B02">
            <w:pPr>
              <w:pStyle w:val="TableParagraph"/>
              <w:jc w:val="both"/>
              <w:rPr>
                <w:rFonts w:ascii="Times New Roman" w:hAnsi="Times New Roman" w:cs="Times New Roman"/>
                <w:noProof/>
                <w:sz w:val="24"/>
              </w:rPr>
            </w:pPr>
            <w:r w:rsidRPr="00B03B51">
              <w:rPr>
                <w:rFonts w:ascii="Times New Roman" w:hAnsi="Times New Roman" w:cs="Times New Roman"/>
                <w:sz w:val="24"/>
              </w:rPr>
              <w:t>Īpašuma ienākums</w:t>
            </w:r>
          </w:p>
        </w:tc>
        <w:tc>
          <w:tcPr>
            <w:tcW w:w="2187" w:type="pct"/>
            <w:tcBorders>
              <w:top w:val="nil"/>
              <w:left w:val="nil"/>
              <w:bottom w:val="nil"/>
              <w:right w:val="nil"/>
            </w:tcBorders>
          </w:tcPr>
          <w:p w14:paraId="68C8C8FA" w14:textId="77777777" w:rsidR="00994F93" w:rsidRPr="00B03B51" w:rsidRDefault="00994F93" w:rsidP="001C4B02">
            <w:pPr>
              <w:pStyle w:val="TableParagraph"/>
              <w:jc w:val="both"/>
              <w:rPr>
                <w:rFonts w:ascii="Times New Roman" w:hAnsi="Times New Roman" w:cs="Times New Roman"/>
                <w:noProof/>
                <w:sz w:val="24"/>
              </w:rPr>
            </w:pPr>
            <w:r w:rsidRPr="00B03B51">
              <w:rPr>
                <w:rFonts w:ascii="Times New Roman" w:hAnsi="Times New Roman" w:cs="Times New Roman"/>
                <w:sz w:val="24"/>
              </w:rPr>
              <w:t>EKS 2010 4.41. punkts</w:t>
            </w:r>
          </w:p>
        </w:tc>
      </w:tr>
      <w:tr w:rsidR="00994F93" w:rsidRPr="00B03B51" w14:paraId="505C24DF" w14:textId="77777777" w:rsidTr="009534B7">
        <w:tc>
          <w:tcPr>
            <w:tcW w:w="2813" w:type="pct"/>
            <w:tcBorders>
              <w:top w:val="nil"/>
              <w:left w:val="nil"/>
              <w:bottom w:val="nil"/>
              <w:right w:val="nil"/>
            </w:tcBorders>
          </w:tcPr>
          <w:p w14:paraId="2ED38EF9" w14:textId="77777777" w:rsidR="00994F93" w:rsidRPr="00B03B51" w:rsidRDefault="00994F93" w:rsidP="001C4B02">
            <w:pPr>
              <w:pStyle w:val="TableParagraph"/>
              <w:jc w:val="both"/>
              <w:rPr>
                <w:rFonts w:ascii="Times New Roman" w:hAnsi="Times New Roman" w:cs="Times New Roman"/>
                <w:noProof/>
                <w:sz w:val="24"/>
              </w:rPr>
            </w:pPr>
            <w:r w:rsidRPr="00B03B51">
              <w:rPr>
                <w:rFonts w:ascii="Times New Roman" w:hAnsi="Times New Roman" w:cs="Times New Roman"/>
                <w:sz w:val="24"/>
              </w:rPr>
              <w:t>Kvazisabiedrība</w:t>
            </w:r>
          </w:p>
        </w:tc>
        <w:tc>
          <w:tcPr>
            <w:tcW w:w="2187" w:type="pct"/>
            <w:tcBorders>
              <w:top w:val="nil"/>
              <w:left w:val="nil"/>
              <w:bottom w:val="nil"/>
              <w:right w:val="nil"/>
            </w:tcBorders>
          </w:tcPr>
          <w:p w14:paraId="0520A4BA" w14:textId="77777777" w:rsidR="00994F93" w:rsidRPr="00B03B51" w:rsidRDefault="00994F93" w:rsidP="001C4B02">
            <w:pPr>
              <w:pStyle w:val="TableParagraph"/>
              <w:jc w:val="both"/>
              <w:rPr>
                <w:rFonts w:ascii="Times New Roman" w:hAnsi="Times New Roman" w:cs="Times New Roman"/>
                <w:noProof/>
                <w:sz w:val="24"/>
              </w:rPr>
            </w:pPr>
            <w:r w:rsidRPr="00B03B51">
              <w:rPr>
                <w:rFonts w:ascii="Times New Roman" w:hAnsi="Times New Roman" w:cs="Times New Roman"/>
                <w:sz w:val="24"/>
              </w:rPr>
              <w:t>EKS 2010 2.13. punkts</w:t>
            </w:r>
          </w:p>
        </w:tc>
      </w:tr>
      <w:tr w:rsidR="00994F93" w:rsidRPr="00B03B51" w14:paraId="45BA48F4" w14:textId="77777777" w:rsidTr="009534B7">
        <w:tc>
          <w:tcPr>
            <w:tcW w:w="2813" w:type="pct"/>
            <w:tcBorders>
              <w:top w:val="nil"/>
              <w:left w:val="nil"/>
              <w:bottom w:val="nil"/>
              <w:right w:val="nil"/>
            </w:tcBorders>
          </w:tcPr>
          <w:p w14:paraId="79FF6CC7" w14:textId="77777777" w:rsidR="00994F93" w:rsidRPr="00B03B51" w:rsidRDefault="00994F93" w:rsidP="001C4B02">
            <w:pPr>
              <w:pStyle w:val="TableParagraph"/>
              <w:jc w:val="both"/>
              <w:rPr>
                <w:rFonts w:ascii="Times New Roman" w:hAnsi="Times New Roman" w:cs="Times New Roman"/>
                <w:noProof/>
                <w:sz w:val="24"/>
              </w:rPr>
            </w:pPr>
            <w:r w:rsidRPr="00B03B51">
              <w:rPr>
                <w:rFonts w:ascii="Times New Roman" w:hAnsi="Times New Roman" w:cs="Times New Roman"/>
                <w:sz w:val="24"/>
              </w:rPr>
              <w:t>Subsīdijas</w:t>
            </w:r>
          </w:p>
        </w:tc>
        <w:tc>
          <w:tcPr>
            <w:tcW w:w="2187" w:type="pct"/>
            <w:tcBorders>
              <w:top w:val="nil"/>
              <w:left w:val="nil"/>
              <w:bottom w:val="nil"/>
              <w:right w:val="nil"/>
            </w:tcBorders>
          </w:tcPr>
          <w:p w14:paraId="56FD1277" w14:textId="77777777" w:rsidR="00994F93" w:rsidRPr="00B03B51" w:rsidRDefault="00994F93" w:rsidP="001C4B02">
            <w:pPr>
              <w:pStyle w:val="TableParagraph"/>
              <w:jc w:val="both"/>
              <w:rPr>
                <w:rFonts w:ascii="Times New Roman" w:hAnsi="Times New Roman" w:cs="Times New Roman"/>
                <w:noProof/>
                <w:sz w:val="24"/>
              </w:rPr>
            </w:pPr>
            <w:r w:rsidRPr="00B03B51">
              <w:rPr>
                <w:rFonts w:ascii="Times New Roman" w:hAnsi="Times New Roman" w:cs="Times New Roman"/>
                <w:sz w:val="24"/>
              </w:rPr>
              <w:t>EKS 2010 4.30. punkts</w:t>
            </w:r>
          </w:p>
        </w:tc>
      </w:tr>
      <w:tr w:rsidR="00994F93" w:rsidRPr="00B03B51" w14:paraId="4C6ED3F0" w14:textId="77777777" w:rsidTr="009534B7">
        <w:tc>
          <w:tcPr>
            <w:tcW w:w="2813" w:type="pct"/>
            <w:tcBorders>
              <w:top w:val="nil"/>
              <w:left w:val="nil"/>
              <w:bottom w:val="nil"/>
              <w:right w:val="nil"/>
            </w:tcBorders>
          </w:tcPr>
          <w:p w14:paraId="168D9DCC" w14:textId="77777777" w:rsidR="00994F93" w:rsidRPr="00B03B51" w:rsidRDefault="00994F93" w:rsidP="001C4B02">
            <w:pPr>
              <w:pStyle w:val="TableParagraph"/>
              <w:jc w:val="both"/>
              <w:rPr>
                <w:rFonts w:ascii="Times New Roman" w:hAnsi="Times New Roman" w:cs="Times New Roman"/>
                <w:noProof/>
                <w:sz w:val="24"/>
              </w:rPr>
            </w:pPr>
            <w:r w:rsidRPr="00B03B51">
              <w:rPr>
                <w:rFonts w:ascii="Times New Roman" w:hAnsi="Times New Roman" w:cs="Times New Roman"/>
                <w:sz w:val="24"/>
              </w:rPr>
              <w:t>Gala (piem., ekspluatācijas pārtraukšanas) izmaksas</w:t>
            </w:r>
          </w:p>
        </w:tc>
        <w:tc>
          <w:tcPr>
            <w:tcW w:w="2187" w:type="pct"/>
            <w:tcBorders>
              <w:top w:val="nil"/>
              <w:left w:val="nil"/>
              <w:bottom w:val="nil"/>
              <w:right w:val="nil"/>
            </w:tcBorders>
          </w:tcPr>
          <w:p w14:paraId="51EB56D4" w14:textId="77777777" w:rsidR="00994F93" w:rsidRPr="00B03B51" w:rsidRDefault="00994F93" w:rsidP="001C4B02">
            <w:pPr>
              <w:pStyle w:val="TableParagraph"/>
              <w:jc w:val="both"/>
              <w:rPr>
                <w:rFonts w:ascii="Times New Roman" w:hAnsi="Times New Roman" w:cs="Times New Roman"/>
                <w:noProof/>
                <w:sz w:val="24"/>
              </w:rPr>
            </w:pPr>
            <w:r w:rsidRPr="00B03B51">
              <w:rPr>
                <w:rFonts w:ascii="Times New Roman" w:hAnsi="Times New Roman" w:cs="Times New Roman"/>
                <w:sz w:val="24"/>
              </w:rPr>
              <w:t>EKS 2010 3.129. punkta h) apakšpunkts</w:t>
            </w:r>
          </w:p>
        </w:tc>
      </w:tr>
      <w:tr w:rsidR="00994F93" w:rsidRPr="00B03B51" w14:paraId="34EA5BC0" w14:textId="77777777" w:rsidTr="009534B7">
        <w:tc>
          <w:tcPr>
            <w:tcW w:w="2813" w:type="pct"/>
            <w:tcBorders>
              <w:top w:val="nil"/>
              <w:left w:val="nil"/>
              <w:bottom w:val="nil"/>
              <w:right w:val="nil"/>
            </w:tcBorders>
          </w:tcPr>
          <w:p w14:paraId="52C57E9F" w14:textId="77777777" w:rsidR="00994F93" w:rsidRPr="00B03B51" w:rsidRDefault="00994F93" w:rsidP="001C4B02">
            <w:pPr>
              <w:pStyle w:val="TableParagraph"/>
              <w:jc w:val="both"/>
              <w:rPr>
                <w:rFonts w:ascii="Times New Roman" w:hAnsi="Times New Roman" w:cs="Times New Roman"/>
                <w:noProof/>
                <w:sz w:val="24"/>
              </w:rPr>
            </w:pPr>
            <w:r w:rsidRPr="00B03B51">
              <w:rPr>
                <w:rFonts w:ascii="Times New Roman" w:hAnsi="Times New Roman" w:cs="Times New Roman"/>
                <w:sz w:val="24"/>
              </w:rPr>
              <w:t>Pamatkapitāla patēriņš gala izmaksām</w:t>
            </w:r>
          </w:p>
        </w:tc>
        <w:tc>
          <w:tcPr>
            <w:tcW w:w="2187" w:type="pct"/>
            <w:tcBorders>
              <w:top w:val="nil"/>
              <w:left w:val="nil"/>
              <w:bottom w:val="nil"/>
              <w:right w:val="nil"/>
            </w:tcBorders>
          </w:tcPr>
          <w:p w14:paraId="7D976AD5" w14:textId="77777777" w:rsidR="00994F93" w:rsidRPr="00B03B51" w:rsidRDefault="00994F93" w:rsidP="001C4B02">
            <w:pPr>
              <w:pStyle w:val="TableParagraph"/>
              <w:jc w:val="both"/>
              <w:rPr>
                <w:rFonts w:ascii="Times New Roman" w:hAnsi="Times New Roman" w:cs="Times New Roman"/>
                <w:noProof/>
                <w:sz w:val="24"/>
              </w:rPr>
            </w:pPr>
            <w:r w:rsidRPr="00B03B51">
              <w:rPr>
                <w:rFonts w:ascii="Times New Roman" w:hAnsi="Times New Roman" w:cs="Times New Roman"/>
                <w:sz w:val="24"/>
              </w:rPr>
              <w:t>EKS 2010 3.139. punkts</w:t>
            </w:r>
          </w:p>
        </w:tc>
      </w:tr>
    </w:tbl>
    <w:p w14:paraId="56640D09" w14:textId="1503EBBC" w:rsidR="00443399" w:rsidRPr="00B03B51" w:rsidRDefault="00443399">
      <w:pPr>
        <w:widowControl/>
        <w:spacing w:after="160" w:line="259" w:lineRule="auto"/>
        <w:rPr>
          <w:rFonts w:ascii="Times New Roman" w:hAnsi="Times New Roman" w:cs="Times New Roman"/>
          <w:sz w:val="24"/>
        </w:rPr>
      </w:pPr>
      <w:r w:rsidRPr="00B03B51">
        <w:rPr>
          <w:rFonts w:ascii="Times New Roman" w:hAnsi="Times New Roman" w:cs="Times New Roman"/>
          <w:sz w:val="24"/>
        </w:rPr>
        <w:br w:type="page"/>
      </w:r>
    </w:p>
    <w:p w14:paraId="43C70291" w14:textId="77777777" w:rsidR="00443399" w:rsidRPr="00B03B51" w:rsidRDefault="00443399" w:rsidP="00443399">
      <w:pPr>
        <w:jc w:val="both"/>
        <w:rPr>
          <w:rFonts w:ascii="Times New Roman" w:eastAsia="Arial" w:hAnsi="Times New Roman" w:cs="Times New Roman"/>
          <w:b/>
          <w:bCs/>
          <w:noProof/>
          <w:sz w:val="24"/>
          <w:szCs w:val="26"/>
        </w:rPr>
      </w:pPr>
    </w:p>
    <w:p w14:paraId="44BA5376" w14:textId="77777777" w:rsidR="00443399" w:rsidRPr="00B03B51" w:rsidRDefault="00443399" w:rsidP="00443399">
      <w:pPr>
        <w:pStyle w:val="Heading1"/>
        <w:ind w:left="0"/>
        <w:jc w:val="both"/>
        <w:rPr>
          <w:rFonts w:ascii="Times New Roman" w:hAnsi="Times New Roman" w:cs="Times New Roman"/>
          <w:noProof/>
          <w:sz w:val="28"/>
          <w:szCs w:val="72"/>
        </w:rPr>
      </w:pPr>
      <w:bookmarkStart w:id="301" w:name="4._Relations_between_government_and_the"/>
      <w:bookmarkStart w:id="302" w:name="_bookmark30"/>
      <w:bookmarkStart w:id="303" w:name="_Toc67565118"/>
      <w:bookmarkEnd w:id="301"/>
      <w:bookmarkEnd w:id="302"/>
      <w:r w:rsidRPr="00B03B51">
        <w:rPr>
          <w:rFonts w:ascii="Times New Roman" w:hAnsi="Times New Roman" w:cs="Times New Roman"/>
          <w:sz w:val="28"/>
          <w:szCs w:val="72"/>
        </w:rPr>
        <w:t>4. Attiecības starp valdību un finanšu sektoru</w:t>
      </w:r>
      <w:bookmarkEnd w:id="303"/>
    </w:p>
    <w:p w14:paraId="3B20A717" w14:textId="77777777" w:rsidR="00443399" w:rsidRPr="00B03B51" w:rsidRDefault="00443399" w:rsidP="00443399">
      <w:pPr>
        <w:jc w:val="both"/>
        <w:rPr>
          <w:rFonts w:ascii="Times New Roman" w:eastAsia="Arial" w:hAnsi="Times New Roman" w:cs="Times New Roman"/>
          <w:b/>
          <w:bCs/>
          <w:noProof/>
          <w:sz w:val="24"/>
          <w:szCs w:val="24"/>
        </w:rPr>
      </w:pPr>
    </w:p>
    <w:p w14:paraId="6EB6F34C" w14:textId="77777777" w:rsidR="00443399" w:rsidRPr="00B03B51" w:rsidRDefault="00443399" w:rsidP="00443399">
      <w:pPr>
        <w:pStyle w:val="Heading2"/>
        <w:spacing w:before="0"/>
        <w:ind w:left="0" w:firstLine="0"/>
        <w:jc w:val="both"/>
        <w:rPr>
          <w:rFonts w:ascii="Times New Roman" w:hAnsi="Times New Roman" w:cs="Times New Roman"/>
          <w:noProof/>
          <w:sz w:val="28"/>
          <w:szCs w:val="44"/>
        </w:rPr>
      </w:pPr>
      <w:bookmarkStart w:id="304" w:name="4.1_Overview"/>
      <w:bookmarkStart w:id="305" w:name="_bookmark31"/>
      <w:bookmarkStart w:id="306" w:name="_Toc67565119"/>
      <w:bookmarkEnd w:id="304"/>
      <w:bookmarkEnd w:id="305"/>
      <w:r w:rsidRPr="00B03B51">
        <w:rPr>
          <w:rFonts w:ascii="Times New Roman" w:hAnsi="Times New Roman" w:cs="Times New Roman"/>
          <w:sz w:val="28"/>
          <w:szCs w:val="44"/>
        </w:rPr>
        <w:t>4.1. Pārskats</w:t>
      </w:r>
      <w:bookmarkEnd w:id="306"/>
    </w:p>
    <w:p w14:paraId="7BA0918F" w14:textId="77777777" w:rsidR="00443399" w:rsidRPr="00B03B51" w:rsidRDefault="00443399" w:rsidP="00443399">
      <w:pPr>
        <w:pStyle w:val="BodyText"/>
        <w:tabs>
          <w:tab w:val="left" w:pos="1986"/>
        </w:tabs>
        <w:spacing w:before="0"/>
        <w:ind w:left="0" w:firstLine="0"/>
        <w:jc w:val="both"/>
        <w:rPr>
          <w:rFonts w:ascii="Times New Roman" w:hAnsi="Times New Roman" w:cs="Times New Roman"/>
          <w:noProof/>
          <w:sz w:val="24"/>
        </w:rPr>
      </w:pPr>
    </w:p>
    <w:p w14:paraId="59FD0AF7" w14:textId="77777777" w:rsidR="00443399" w:rsidRPr="00B03B51" w:rsidRDefault="00443399" w:rsidP="00443399">
      <w:pPr>
        <w:pStyle w:val="BodyText"/>
        <w:tabs>
          <w:tab w:val="left" w:pos="1986"/>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 Šajā daļā ir aprakstīta valdības un valsts centrālās bankas (VCB), kā arī valdības un citu finanšu iestāžu, savstarpējo attiecību ierakstīšana saistībā ar tām sniegto valsts atbalstu.</w:t>
      </w:r>
    </w:p>
    <w:p w14:paraId="5B9A94D9" w14:textId="77777777" w:rsidR="00443399" w:rsidRPr="00B03B51" w:rsidRDefault="00443399" w:rsidP="00443399">
      <w:pPr>
        <w:pStyle w:val="BodyText"/>
        <w:tabs>
          <w:tab w:val="left" w:pos="1986"/>
        </w:tabs>
        <w:spacing w:before="0"/>
        <w:ind w:left="0" w:firstLine="0"/>
        <w:jc w:val="both"/>
        <w:rPr>
          <w:rFonts w:ascii="Times New Roman" w:hAnsi="Times New Roman" w:cs="Times New Roman"/>
          <w:noProof/>
          <w:sz w:val="24"/>
        </w:rPr>
      </w:pPr>
    </w:p>
    <w:p w14:paraId="544D30FB" w14:textId="77777777" w:rsidR="00443399" w:rsidRPr="00B03B51" w:rsidRDefault="00443399" w:rsidP="00443399">
      <w:pPr>
        <w:pStyle w:val="BodyText"/>
        <w:tabs>
          <w:tab w:val="left" w:pos="1986"/>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2. Ir konstatēts, ka dažas VCB veic ievērojamus maksājumus valdībai. Ja šādus maksājumus ieraksta kā nefinanšu darījumus, tie samazina valdības neto aizdevumu/aizņēmumu (B.9). Ne vienmēr ir viegli noteikt, vai šādi maksājumi ir finanšu darījumi vai tomēr nefinanšu darījumi, jo valdība zināmā mērā ir valsts centrālās bankas īpašniece un var to ietekmēt, uzdodot veikt darījumus, lai samazinātu valdības neto aizdevumu/aizņēmumu (B.9). Galvenā problēma ir noteikt, vai valdības ieņēmumi no VCB, kurus apzīmē kā dividendes vai nodokļus, būtu jāieraksta nacionālajos kontos kā pašu kapitāla izņemšana, jo tas labāk atspoguļo ekonomisko realitāti (taču nesamazina valdības neto aizdevumu/aizņēmumu (B.9)).</w:t>
      </w:r>
    </w:p>
    <w:p w14:paraId="305CF975" w14:textId="77777777" w:rsidR="00443399" w:rsidRPr="00B03B51" w:rsidRDefault="00443399" w:rsidP="00443399">
      <w:pPr>
        <w:pStyle w:val="BodyText"/>
        <w:tabs>
          <w:tab w:val="left" w:pos="1986"/>
        </w:tabs>
        <w:spacing w:before="0"/>
        <w:ind w:left="0" w:firstLine="0"/>
        <w:jc w:val="both"/>
        <w:rPr>
          <w:rFonts w:ascii="Times New Roman" w:hAnsi="Times New Roman" w:cs="Times New Roman"/>
          <w:noProof/>
          <w:sz w:val="24"/>
        </w:rPr>
      </w:pPr>
    </w:p>
    <w:p w14:paraId="79DAC309" w14:textId="77777777" w:rsidR="00443399" w:rsidRPr="00B03B51" w:rsidRDefault="00443399" w:rsidP="00443399">
      <w:pPr>
        <w:pStyle w:val="BodyText"/>
        <w:tabs>
          <w:tab w:val="left" w:pos="1986"/>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 xml:space="preserve">3. Šajā rokasgrāmatā nav aplūkots valdības atbalsts finanšu iestādēm smagu finanšu krīžu laikā, taču uz to attiecas atsevišķas </w:t>
      </w:r>
      <w:r w:rsidRPr="00B03B51">
        <w:rPr>
          <w:rFonts w:ascii="Times New Roman" w:hAnsi="Times New Roman" w:cs="Times New Roman"/>
          <w:i/>
          <w:iCs/>
          <w:sz w:val="24"/>
        </w:rPr>
        <w:t>Eurostat</w:t>
      </w:r>
      <w:r w:rsidRPr="00B03B51">
        <w:rPr>
          <w:rFonts w:ascii="Times New Roman" w:hAnsi="Times New Roman" w:cs="Times New Roman"/>
          <w:sz w:val="24"/>
        </w:rPr>
        <w:t xml:space="preserve"> izstrādātas vienošanās par uzskaiti. Citi finanšu atbalsta gadījumi, kad nav šādu krīžu un kurus dažkārt dēvē par “finanšu sanāciju”, ir apspriesti 4.5. nodaļā.</w:t>
      </w:r>
    </w:p>
    <w:p w14:paraId="58791FB0" w14:textId="77777777" w:rsidR="00443399" w:rsidRPr="00B03B51" w:rsidRDefault="00443399" w:rsidP="00443399">
      <w:pPr>
        <w:rPr>
          <w:rFonts w:ascii="Times New Roman" w:hAnsi="Times New Roman" w:cs="Times New Roman"/>
          <w:noProof/>
          <w:sz w:val="24"/>
        </w:rPr>
      </w:pPr>
      <w:r w:rsidRPr="00B03B51">
        <w:rPr>
          <w:rFonts w:ascii="Times New Roman" w:hAnsi="Times New Roman" w:cs="Times New Roman"/>
        </w:rPr>
        <w:br w:type="page"/>
      </w:r>
    </w:p>
    <w:p w14:paraId="39C180AC" w14:textId="77777777" w:rsidR="00443399" w:rsidRPr="00B03B51" w:rsidRDefault="00443399" w:rsidP="00443399">
      <w:pPr>
        <w:jc w:val="both"/>
        <w:rPr>
          <w:rFonts w:ascii="Times New Roman" w:eastAsia="Arial" w:hAnsi="Times New Roman" w:cs="Times New Roman"/>
          <w:noProof/>
          <w:sz w:val="24"/>
          <w:szCs w:val="29"/>
        </w:rPr>
      </w:pPr>
    </w:p>
    <w:p w14:paraId="4F72293D" w14:textId="77777777" w:rsidR="00443399" w:rsidRPr="00B03B51" w:rsidRDefault="00443399" w:rsidP="00443399">
      <w:pPr>
        <w:pStyle w:val="Heading2"/>
        <w:tabs>
          <w:tab w:val="left" w:pos="1135"/>
        </w:tabs>
        <w:spacing w:before="0"/>
        <w:ind w:left="0" w:firstLine="0"/>
        <w:jc w:val="both"/>
        <w:rPr>
          <w:rFonts w:ascii="Times New Roman" w:hAnsi="Times New Roman" w:cs="Times New Roman"/>
          <w:noProof/>
          <w:sz w:val="28"/>
          <w:szCs w:val="44"/>
        </w:rPr>
      </w:pPr>
      <w:bookmarkStart w:id="307" w:name="4.2_Payments_between_the_central_bank_an"/>
      <w:bookmarkStart w:id="308" w:name="_bookmark32"/>
      <w:bookmarkStart w:id="309" w:name="_Toc67565120"/>
      <w:bookmarkEnd w:id="307"/>
      <w:bookmarkEnd w:id="308"/>
      <w:r w:rsidRPr="00B03B51">
        <w:rPr>
          <w:rFonts w:ascii="Times New Roman" w:hAnsi="Times New Roman" w:cs="Times New Roman"/>
          <w:sz w:val="28"/>
          <w:szCs w:val="44"/>
        </w:rPr>
        <w:t>4.2. Maksājumi starp centrālo banku un valdību</w:t>
      </w:r>
      <w:bookmarkEnd w:id="309"/>
    </w:p>
    <w:p w14:paraId="69A4F26F" w14:textId="77777777" w:rsidR="00443399" w:rsidRPr="00B03B51" w:rsidRDefault="00443399" w:rsidP="00443399">
      <w:pPr>
        <w:tabs>
          <w:tab w:val="left" w:pos="1267"/>
        </w:tabs>
        <w:jc w:val="both"/>
        <w:rPr>
          <w:rFonts w:ascii="Times New Roman" w:hAnsi="Times New Roman" w:cs="Times New Roman"/>
          <w:b/>
          <w:noProof/>
          <w:sz w:val="24"/>
        </w:rPr>
      </w:pPr>
      <w:bookmarkStart w:id="310" w:name="4.2.1_Background"/>
      <w:bookmarkEnd w:id="310"/>
    </w:p>
    <w:p w14:paraId="77F56E07" w14:textId="77777777" w:rsidR="00443399" w:rsidRPr="00186A44" w:rsidRDefault="00443399" w:rsidP="00186A44">
      <w:pPr>
        <w:pStyle w:val="Heading3"/>
        <w:ind w:left="0" w:firstLine="0"/>
        <w:jc w:val="both"/>
        <w:rPr>
          <w:rFonts w:ascii="Times New Roman" w:hAnsi="Times New Roman" w:cs="Times New Roman"/>
          <w:sz w:val="24"/>
        </w:rPr>
      </w:pPr>
      <w:r w:rsidRPr="00B03B51">
        <w:rPr>
          <w:rFonts w:ascii="Times New Roman" w:hAnsi="Times New Roman" w:cs="Times New Roman"/>
          <w:sz w:val="24"/>
        </w:rPr>
        <w:t>4.2.1. Vispārīga informācija</w:t>
      </w:r>
    </w:p>
    <w:p w14:paraId="1D8AFD5A"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78263471"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 Aktīvu portfeļu pārvaldība un intervence ārvalstu valūtu tirgos ar nolūku īstenot monetārās politikas mērķus var radīt centrālajām bankām kapitāla pieaugumu, ko var izmaksāt vispārējai valdībai galvenokārt dividenžu veidā. Iesaistītās summas dažkārt var būt ļoti lielas.</w:t>
      </w:r>
    </w:p>
    <w:p w14:paraId="6CB6CF94"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3C465CC6"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2. Kapitāla pieaugumu nacionālajos kontos neuzskata par ienākumiem, un attiecīgi no kapitāla pieauguma finansētus maksājumus valdībai nevar ierakstīt kā īpašuma ienākumus. Šajā nodaļā ir izklāstīts, kā nepieļaut to, ka no centrālās bankas gūtais kapitāla pieaugums tiek ierakstīts valdības kontos kā īpašuma ienākumi. Šeit ir arī ierosināts piemērot noteikumus par kapitāla iepludināšanu, kad valdība veic maksājumu centrālajai bankai. Valdība šādus maksājumus var veikt, lai segtu centrālajai bankai radušos zaudējumus. Kapitāla zaudējumi var rasties ārvalstu valūtu turēšanas zaudējumu dēļ. Pamatdarbības zaudējumi var rasties tādēļ, ka procenti un citi pamatdarbības ienākumi nesedz centrālās bankas pamatdarbības izmaksas.</w:t>
      </w:r>
      <w:r w:rsidRPr="00B03B51">
        <w:rPr>
          <w:rStyle w:val="FootnoteReference"/>
          <w:rFonts w:ascii="Times New Roman" w:hAnsi="Times New Roman" w:cs="Times New Roman"/>
          <w:noProof/>
          <w:sz w:val="24"/>
        </w:rPr>
        <w:footnoteReference w:id="176"/>
      </w:r>
    </w:p>
    <w:p w14:paraId="7261E314" w14:textId="77777777" w:rsidR="00443399" w:rsidRPr="00B03B51" w:rsidRDefault="00443399" w:rsidP="00443399">
      <w:pPr>
        <w:jc w:val="both"/>
        <w:rPr>
          <w:rFonts w:ascii="Times New Roman" w:hAnsi="Times New Roman" w:cs="Times New Roman"/>
          <w:noProof/>
          <w:sz w:val="24"/>
        </w:rPr>
      </w:pPr>
    </w:p>
    <w:p w14:paraId="30517D96" w14:textId="77777777" w:rsidR="00443399" w:rsidRPr="00186A44" w:rsidRDefault="00443399" w:rsidP="00186A44">
      <w:pPr>
        <w:pStyle w:val="Heading3"/>
        <w:ind w:left="0" w:firstLine="0"/>
        <w:jc w:val="both"/>
        <w:rPr>
          <w:rFonts w:ascii="Times New Roman" w:hAnsi="Times New Roman" w:cs="Times New Roman"/>
          <w:sz w:val="24"/>
        </w:rPr>
      </w:pPr>
      <w:bookmarkStart w:id="311" w:name="4.2.2_Treatment_in_national_accounts"/>
      <w:bookmarkEnd w:id="311"/>
      <w:r w:rsidRPr="00B03B51">
        <w:rPr>
          <w:rFonts w:ascii="Times New Roman" w:hAnsi="Times New Roman" w:cs="Times New Roman"/>
          <w:sz w:val="24"/>
        </w:rPr>
        <w:t>4.2.2. Traktējums nacionālajos kontos</w:t>
      </w:r>
    </w:p>
    <w:p w14:paraId="414BBF21"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11F03473"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3. Nacionālajos kontos kapitāla pieaugums ir jāizslēdz no centrālās bankas sadalāmajiem ienākumiem, kas līdz ar to galvenokārt izriet no neto procentu ieņēmumiem (no ārvalstu valūtas, banku sistēmā veiktajām naudas operācijām un citiem aktīviem un saistībām), no vienas puses, un centrālo banku darbības izmaksām, no otras puses. Tāpat ieņēmumi dažādās proporcionālās daļās var būt gūti arī no noteiktu pakalpojumu pārdošanas (tostarp valdībai). Šajā saistībā var piemērot praktisku metodi, izmantojot vispārēju pieejamo informāciju par centrālās bankas peļņu, zaudējumiem un maksājumiem starp centrālo banku un valdību. Tās pamatā ir divu šādu summu salīdzināšana:</w:t>
      </w:r>
    </w:p>
    <w:p w14:paraId="4718E2FD" w14:textId="77777777" w:rsidR="00443399" w:rsidRPr="00B03B51" w:rsidRDefault="00443399" w:rsidP="00443399">
      <w:pPr>
        <w:pStyle w:val="BodyText"/>
        <w:tabs>
          <w:tab w:val="left" w:pos="1126"/>
        </w:tabs>
        <w:spacing w:before="0"/>
        <w:ind w:left="0" w:firstLine="0"/>
        <w:jc w:val="both"/>
        <w:rPr>
          <w:rFonts w:ascii="Times New Roman" w:hAnsi="Times New Roman" w:cs="Times New Roman"/>
          <w:noProof/>
          <w:sz w:val="24"/>
        </w:rPr>
      </w:pPr>
    </w:p>
    <w:p w14:paraId="20C8DB21" w14:textId="77777777" w:rsidR="00443399" w:rsidRPr="00B03B51" w:rsidRDefault="00443399" w:rsidP="00443399">
      <w:pPr>
        <w:pStyle w:val="BodyText"/>
        <w:tabs>
          <w:tab w:val="left" w:pos="1126"/>
        </w:tabs>
        <w:spacing w:before="0"/>
        <w:ind w:left="284" w:firstLine="0"/>
        <w:jc w:val="both"/>
        <w:rPr>
          <w:rFonts w:ascii="Times New Roman" w:hAnsi="Times New Roman" w:cs="Times New Roman"/>
          <w:noProof/>
          <w:sz w:val="24"/>
        </w:rPr>
      </w:pPr>
      <w:r w:rsidRPr="00B03B51">
        <w:rPr>
          <w:rFonts w:ascii="Times New Roman" w:hAnsi="Times New Roman" w:cs="Times New Roman"/>
          <w:sz w:val="24"/>
        </w:rPr>
        <w:t>a) pamatdarbības peļņas/zaudējumu summa – šī summa ir vienāda ar VCB kopējo peļņu/zaudējumiem pirms sadales, atņemot kopējā peļņā/zaudējumos iekļauto kapitāla pieaugumu/zaudējumus. Tādējādi tā ir vienāda ar neto procentu ienākumu un citiem pamatdarbības ienākumiem, no kuriem atņem pamatdarbības izmaksas, piemēram, personāla izmaksas;</w:t>
      </w:r>
    </w:p>
    <w:p w14:paraId="548B44F3" w14:textId="77777777" w:rsidR="00443399" w:rsidRPr="00B03B51" w:rsidRDefault="00443399" w:rsidP="00443399">
      <w:pPr>
        <w:pStyle w:val="BodyText"/>
        <w:tabs>
          <w:tab w:val="left" w:pos="1126"/>
        </w:tabs>
        <w:spacing w:before="0"/>
        <w:ind w:left="284" w:firstLine="0"/>
        <w:jc w:val="both"/>
        <w:rPr>
          <w:rFonts w:ascii="Times New Roman" w:hAnsi="Times New Roman" w:cs="Times New Roman"/>
          <w:noProof/>
          <w:sz w:val="24"/>
        </w:rPr>
      </w:pPr>
    </w:p>
    <w:p w14:paraId="7DE0EE72" w14:textId="77777777" w:rsidR="00443399" w:rsidRPr="00B03B51" w:rsidRDefault="00443399" w:rsidP="00443399">
      <w:pPr>
        <w:pStyle w:val="BodyText"/>
        <w:tabs>
          <w:tab w:val="left" w:pos="1126"/>
        </w:tabs>
        <w:spacing w:before="0"/>
        <w:ind w:left="284" w:firstLine="0"/>
        <w:jc w:val="both"/>
        <w:rPr>
          <w:rFonts w:ascii="Times New Roman" w:hAnsi="Times New Roman" w:cs="Times New Roman"/>
          <w:noProof/>
          <w:sz w:val="24"/>
        </w:rPr>
      </w:pPr>
      <w:r w:rsidRPr="00B03B51">
        <w:rPr>
          <w:rFonts w:ascii="Times New Roman" w:hAnsi="Times New Roman" w:cs="Times New Roman"/>
          <w:sz w:val="24"/>
        </w:rPr>
        <w:t>b) summa, kas izmaksāta vispārējai valdībai kā daļa no sadalītās peļņas.</w:t>
      </w:r>
    </w:p>
    <w:p w14:paraId="39289941"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658C269B"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 xml:space="preserve">4. Centrālajām bankām, kuras piemēro Eirosistēmas uzskaites noteikumus (tostarp daudzām ES dalībvalstīm, kas neietilpst eirozonā), postenis “Finanšu operāciju, norakstījumu un riska uzkrājumu neto rezultāts” (Pamatnostādņu ECB/2010/20 IX pielikumā iekļautā peļņas un zaudējumu pārskata 2.1., 2.2. un 2.3. postenis) ir jāatņem no gada kopējās peļņas/zaudējumiem, tādējādi iegūstot pamatdarbības peļņu/zaudējumus. Finanšu operāciju neto rezultāts ietver realizētos turēšanas guvumus/zaudējumus, kas izriet no finanšu operācijām, kā arī nerealizētos turēšanas zaudējumus (ko dēvē par “norakstījumiem”) un pārskaitījumus uz valūtas kursa un procentu likmes riska uzkrājumu un pārskaitījumus no tā. Lai pamatdarbības peļņas/zaudējumu </w:t>
      </w:r>
      <w:r w:rsidRPr="00B03B51">
        <w:rPr>
          <w:rFonts w:ascii="Times New Roman" w:hAnsi="Times New Roman" w:cs="Times New Roman"/>
          <w:sz w:val="24"/>
        </w:rPr>
        <w:lastRenderedPageBreak/>
        <w:t>aprēķins ES dalībvalstīs būtu saskaņots, nerealizētos guvumus no finanšu aktīviem, kas ir daļa no kopējās peļņas, kuru ir guvušas Eirosistēmā neietilpstošas centrālās bankas, vajadzētu atskaitīt no kopējās peļņas kopā ar jebkādiem realizētajiem turēšanas guvumiem un (ne)realizētajiem zaudējumiem, kas iekļauti kopējā peļņā.</w:t>
      </w:r>
    </w:p>
    <w:p w14:paraId="4CB1F9E6"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62CCD47A"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5. Piemēro turpmākos noteikumus.</w:t>
      </w:r>
    </w:p>
    <w:p w14:paraId="67004A0C" w14:textId="77777777" w:rsidR="00443399" w:rsidRPr="00B03B51" w:rsidRDefault="00443399" w:rsidP="00443399">
      <w:pPr>
        <w:pStyle w:val="BodyText"/>
        <w:tabs>
          <w:tab w:val="left" w:pos="1126"/>
        </w:tabs>
        <w:spacing w:before="0"/>
        <w:ind w:left="0" w:firstLine="0"/>
        <w:jc w:val="both"/>
        <w:rPr>
          <w:rFonts w:ascii="Times New Roman" w:hAnsi="Times New Roman" w:cs="Times New Roman"/>
          <w:noProof/>
          <w:sz w:val="24"/>
        </w:rPr>
      </w:pPr>
    </w:p>
    <w:p w14:paraId="1125A69F" w14:textId="77777777" w:rsidR="00443399" w:rsidRPr="00B03B51" w:rsidRDefault="00443399" w:rsidP="00443399">
      <w:pPr>
        <w:pStyle w:val="BodyText"/>
        <w:tabs>
          <w:tab w:val="left" w:pos="1126"/>
        </w:tabs>
        <w:spacing w:before="0"/>
        <w:ind w:left="284" w:firstLine="0"/>
        <w:jc w:val="both"/>
        <w:rPr>
          <w:rFonts w:ascii="Times New Roman" w:hAnsi="Times New Roman" w:cs="Times New Roman"/>
          <w:noProof/>
          <w:sz w:val="24"/>
        </w:rPr>
      </w:pPr>
      <w:r w:rsidRPr="00B03B51">
        <w:rPr>
          <w:rFonts w:ascii="Times New Roman" w:hAnsi="Times New Roman" w:cs="Times New Roman"/>
          <w:sz w:val="24"/>
        </w:rPr>
        <w:t>1) Ja maksājums valdībai (B) ir vienāds ar pamatdarbības peļņu (A), visu maksājumu valdībai (B) ieraksta kā īpašuma ienākumu (D.4) valdības kontos.</w:t>
      </w:r>
    </w:p>
    <w:p w14:paraId="6C75E9B1" w14:textId="77777777" w:rsidR="00443399" w:rsidRPr="00B03B51" w:rsidRDefault="00443399" w:rsidP="00443399">
      <w:pPr>
        <w:pStyle w:val="BodyText"/>
        <w:tabs>
          <w:tab w:val="left" w:pos="1126"/>
        </w:tabs>
        <w:spacing w:before="0"/>
        <w:ind w:left="284" w:firstLine="0"/>
        <w:jc w:val="both"/>
        <w:rPr>
          <w:rFonts w:ascii="Times New Roman" w:hAnsi="Times New Roman" w:cs="Times New Roman"/>
          <w:noProof/>
          <w:sz w:val="24"/>
        </w:rPr>
      </w:pPr>
    </w:p>
    <w:p w14:paraId="02931388" w14:textId="77777777" w:rsidR="00443399" w:rsidRPr="00B03B51" w:rsidRDefault="00443399" w:rsidP="00443399">
      <w:pPr>
        <w:pStyle w:val="BodyText"/>
        <w:tabs>
          <w:tab w:val="left" w:pos="1126"/>
        </w:tabs>
        <w:spacing w:before="0"/>
        <w:ind w:left="284" w:firstLine="0"/>
        <w:jc w:val="both"/>
        <w:rPr>
          <w:rFonts w:ascii="Times New Roman" w:hAnsi="Times New Roman" w:cs="Times New Roman"/>
          <w:noProof/>
          <w:sz w:val="24"/>
        </w:rPr>
      </w:pPr>
      <w:r w:rsidRPr="00B03B51">
        <w:rPr>
          <w:rFonts w:ascii="Times New Roman" w:hAnsi="Times New Roman" w:cs="Times New Roman"/>
          <w:sz w:val="24"/>
        </w:rPr>
        <w:t>2) Ja maksājums valdībai (B) ir mazāks par pamatdarbības peļņu (A), visu maksājumu valdībai (B) arī ieraksta kā īpašuma ienākumu valdības kontos. Tas attiecas uz visiem gadījumiem, kuros maksājums valdībai (B) ir mazāks par pamatdarbības peļņu (A) saistībā ar kapitāla zaudējumu vai arī iekļaušanu centrālās bankas rezervēs.</w:t>
      </w:r>
    </w:p>
    <w:p w14:paraId="5F60EEFE" w14:textId="77777777" w:rsidR="00443399" w:rsidRPr="00B03B51" w:rsidRDefault="00443399" w:rsidP="00443399">
      <w:pPr>
        <w:pStyle w:val="BodyText"/>
        <w:tabs>
          <w:tab w:val="left" w:pos="1126"/>
        </w:tabs>
        <w:spacing w:before="0"/>
        <w:ind w:left="284" w:firstLine="0"/>
        <w:jc w:val="both"/>
        <w:rPr>
          <w:rFonts w:ascii="Times New Roman" w:hAnsi="Times New Roman" w:cs="Times New Roman"/>
          <w:noProof/>
          <w:sz w:val="24"/>
        </w:rPr>
      </w:pPr>
    </w:p>
    <w:p w14:paraId="24BD7506" w14:textId="77777777" w:rsidR="00443399" w:rsidRPr="00B03B51" w:rsidRDefault="00443399" w:rsidP="00443399">
      <w:pPr>
        <w:pStyle w:val="BodyText"/>
        <w:tabs>
          <w:tab w:val="left" w:pos="1126"/>
        </w:tabs>
        <w:spacing w:before="0"/>
        <w:ind w:left="284" w:firstLine="0"/>
        <w:jc w:val="both"/>
        <w:rPr>
          <w:rFonts w:ascii="Times New Roman" w:hAnsi="Times New Roman" w:cs="Times New Roman"/>
          <w:noProof/>
          <w:sz w:val="24"/>
        </w:rPr>
      </w:pPr>
      <w:r w:rsidRPr="00B03B51">
        <w:rPr>
          <w:rFonts w:ascii="Times New Roman" w:hAnsi="Times New Roman" w:cs="Times New Roman"/>
          <w:sz w:val="24"/>
        </w:rPr>
        <w:t>3) Ja maksājums valdībai netiek veikts, valdības kontos īpašuma ienākumus neieraksta.</w:t>
      </w:r>
    </w:p>
    <w:p w14:paraId="133F1D22" w14:textId="77777777" w:rsidR="00443399" w:rsidRPr="00B03B51" w:rsidRDefault="00443399" w:rsidP="00443399">
      <w:pPr>
        <w:pStyle w:val="BodyText"/>
        <w:tabs>
          <w:tab w:val="left" w:pos="1126"/>
        </w:tabs>
        <w:spacing w:before="0"/>
        <w:ind w:left="284" w:firstLine="0"/>
        <w:jc w:val="both"/>
        <w:rPr>
          <w:rFonts w:ascii="Times New Roman" w:hAnsi="Times New Roman" w:cs="Times New Roman"/>
          <w:noProof/>
          <w:sz w:val="24"/>
        </w:rPr>
      </w:pPr>
    </w:p>
    <w:p w14:paraId="774D4C6F" w14:textId="77777777" w:rsidR="00443399" w:rsidRPr="00B03B51" w:rsidRDefault="00443399" w:rsidP="00443399">
      <w:pPr>
        <w:pStyle w:val="BodyText"/>
        <w:tabs>
          <w:tab w:val="left" w:pos="1126"/>
        </w:tabs>
        <w:spacing w:before="0"/>
        <w:ind w:left="284" w:firstLine="0"/>
        <w:jc w:val="both"/>
        <w:rPr>
          <w:rFonts w:ascii="Times New Roman" w:hAnsi="Times New Roman" w:cs="Times New Roman"/>
          <w:noProof/>
          <w:sz w:val="24"/>
        </w:rPr>
      </w:pPr>
      <w:r w:rsidRPr="00B03B51">
        <w:rPr>
          <w:rFonts w:ascii="Times New Roman" w:hAnsi="Times New Roman" w:cs="Times New Roman"/>
          <w:sz w:val="24"/>
        </w:rPr>
        <w:t>4) Ja maksājums valdībai (B) ir lielāks par pamatdarbības peļņu (A), summu, kas ir vienāda ar (A), ieraksta kā īpašuma ienākumu. Starpību starp (B) un (A) ieraksta kā valdības veiktu pašu kapitāla izņemšanu.</w:t>
      </w:r>
    </w:p>
    <w:p w14:paraId="6B7A292B" w14:textId="77777777" w:rsidR="00443399" w:rsidRPr="00B03B51" w:rsidRDefault="00443399" w:rsidP="00443399">
      <w:pPr>
        <w:pStyle w:val="BodyText"/>
        <w:tabs>
          <w:tab w:val="left" w:pos="1126"/>
        </w:tabs>
        <w:spacing w:before="0"/>
        <w:ind w:left="284" w:firstLine="0"/>
        <w:jc w:val="both"/>
        <w:rPr>
          <w:rFonts w:ascii="Times New Roman" w:hAnsi="Times New Roman" w:cs="Times New Roman"/>
          <w:noProof/>
          <w:sz w:val="24"/>
        </w:rPr>
      </w:pPr>
    </w:p>
    <w:p w14:paraId="488A57B9" w14:textId="77777777" w:rsidR="00443399" w:rsidRPr="00B03B51" w:rsidRDefault="00443399" w:rsidP="00443399">
      <w:pPr>
        <w:pStyle w:val="BodyText"/>
        <w:tabs>
          <w:tab w:val="left" w:pos="1126"/>
        </w:tabs>
        <w:spacing w:before="0"/>
        <w:ind w:left="284" w:firstLine="0"/>
        <w:jc w:val="both"/>
        <w:rPr>
          <w:rFonts w:ascii="Times New Roman" w:hAnsi="Times New Roman" w:cs="Times New Roman"/>
          <w:noProof/>
          <w:sz w:val="24"/>
        </w:rPr>
      </w:pPr>
      <w:r w:rsidRPr="00B03B51">
        <w:rPr>
          <w:rFonts w:ascii="Times New Roman" w:hAnsi="Times New Roman" w:cs="Times New Roman"/>
          <w:sz w:val="24"/>
        </w:rPr>
        <w:t>5) Ja pamatdarbības peļņa (A) ir nulle vai ja ir pamatdarbības zaudējumi, nevienu summu neieraksta kā īpašuma ienākumus un visu maksājumu (B) ieraksta kā valdības īstenotu pašu kapitāla izņemšanu (F.5).</w:t>
      </w:r>
    </w:p>
    <w:p w14:paraId="7E542CD8"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7E495619"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6. Šie noteikumi attiecas uz maksājumiem, kurus valdība saņem kā centrālās bankas akcionāre. Regulāros uzņēmuma peļņas nodokļus (kurus iekasē arī no citu sabiedrības peļņas), ko centrālā banka maksā valdībai, ieraksta kā kārtējo ienākuma un mantas nodokli.</w:t>
      </w:r>
    </w:p>
    <w:p w14:paraId="5E78F232"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60F03E68"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7. Ja valdība nav vienīgais centrālās bankas peļņas saņēmējs un peļņu sadala vairākiem īpašniekiem, 4.2.2. iedaļā izklāstītos noteikumus izmanto, lai noteiktu, kāda kopējās sadalāmās peļņas daļa būtu jāieraksta kā īpašuma ienākums, kuru centrālā banka maksā visiem īpašniekiem, un kāda tās daļa būtu jāieraksta kā visu īpašnieku veikta kapitāla izņemšana. Ja valdība saņem daļu no sadalāmās peļņas, tad tādu pašu kopējā īpašuma ienākuma daļu var ierakstīt valdības kontos kā īpašuma ienākumu un tāda pati no pašu kapitāla izņemtās kopsummas daļa ir jāieraksta valdības kontos kā valdības veikta pašu kapitāla izņemšana.</w:t>
      </w:r>
    </w:p>
    <w:p w14:paraId="7B96F83D" w14:textId="77777777" w:rsidR="00443399" w:rsidRPr="00B03B51" w:rsidRDefault="00443399" w:rsidP="00443399">
      <w:pPr>
        <w:jc w:val="both"/>
        <w:rPr>
          <w:rFonts w:ascii="Times New Roman" w:eastAsia="Arial" w:hAnsi="Times New Roman" w:cs="Times New Roman"/>
          <w:noProof/>
          <w:sz w:val="24"/>
          <w:szCs w:val="18"/>
        </w:rPr>
      </w:pPr>
    </w:p>
    <w:p w14:paraId="69BE41E8" w14:textId="77777777" w:rsidR="00443399" w:rsidRPr="00B03B51" w:rsidRDefault="00443399" w:rsidP="00443399">
      <w:pPr>
        <w:pStyle w:val="Heading3"/>
        <w:ind w:left="0" w:firstLine="0"/>
        <w:jc w:val="both"/>
        <w:rPr>
          <w:rFonts w:ascii="Times New Roman" w:hAnsi="Times New Roman" w:cs="Times New Roman"/>
          <w:noProof/>
          <w:sz w:val="24"/>
        </w:rPr>
      </w:pPr>
      <w:bookmarkStart w:id="312" w:name="4.2.3_Rationale_of_the_treatment"/>
      <w:bookmarkStart w:id="313" w:name="_Toc67565121"/>
      <w:bookmarkEnd w:id="312"/>
      <w:r w:rsidRPr="00B03B51">
        <w:rPr>
          <w:rFonts w:ascii="Times New Roman" w:hAnsi="Times New Roman" w:cs="Times New Roman"/>
          <w:sz w:val="24"/>
        </w:rPr>
        <w:t>4.2.3. Traktējuma pamatojums</w:t>
      </w:r>
      <w:bookmarkEnd w:id="313"/>
    </w:p>
    <w:p w14:paraId="42F343F6"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098316AD"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 xml:space="preserve">8. Turēšanas guvumi un zaudējumi rodas aktīvu cenu pārmaiņu dēļ. Tie nav ražošanas vai ražošanas ienākuma sadalīšanas rezultāts, un tos ieraksta kontā “Citas aktīvu pārmaiņas”, proti, kā aktīvu un saistību vērtības pārmaiņas (skat. EKS 2010 1.80. un 1.81. punktu). Tā kā turēšanas guvumi nav sadales darījumi, tos nevar ierakstīt kā īpašuma ienākumu (skat. EKS 2010 4.01. punktu). Centrālo banku kapitāla pieaugums, kas norādīts privātajā grāmatvedībā, konceptuāli neatšķiras no turēšanas guvumiem tādā izpratnē, kāda tiek pieņemta nacionālajos kontos – vienīgā atšķirība ir to aprēķināšanas veids. Piemēram, Eirosistēmā ietilpstošo centrālo banku grāmatvedībā kopējā peļņā kā kapitāla pieaugums/zaudējumi tiek iekļauti realizētie turēšanas guvumi, kā arī realizētie un nerealizētie turēšanas zaudējumi. Dažas Eirosistēmā neietilpstošas centrālās bankas savā kopējā peļņā var iekļaut arī nerealizētos </w:t>
      </w:r>
      <w:r w:rsidRPr="00B03B51">
        <w:rPr>
          <w:rFonts w:ascii="Times New Roman" w:hAnsi="Times New Roman" w:cs="Times New Roman"/>
          <w:sz w:val="24"/>
        </w:rPr>
        <w:lastRenderedPageBreak/>
        <w:t>turēšanas guvumus.</w:t>
      </w:r>
      <w:r w:rsidRPr="00B03B51">
        <w:rPr>
          <w:rStyle w:val="FootnoteReference"/>
          <w:rFonts w:ascii="Times New Roman" w:hAnsi="Times New Roman" w:cs="Times New Roman"/>
          <w:noProof/>
          <w:sz w:val="24"/>
        </w:rPr>
        <w:footnoteReference w:id="177"/>
      </w:r>
      <w:r w:rsidRPr="00B03B51">
        <w:rPr>
          <w:rFonts w:ascii="Times New Roman" w:hAnsi="Times New Roman" w:cs="Times New Roman"/>
          <w:sz w:val="24"/>
        </w:rPr>
        <w:t xml:space="preserve"> Kapitāla ienākumi nav daļa no ienākuma neatkarīgi no to aprēķināšanas metodes.</w:t>
      </w:r>
    </w:p>
    <w:p w14:paraId="0509AA51"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5ED79321"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9. Ja kapitāla zaudējumu dēļ centrālās bankas maksājums valdībai (B) ir mazāks par pamatdarbības peļņu (A), kopējo maksājumu (B) ieraksta kā īpašuma ienākumu (skat. 2. noteikumu iepriekšējās 4.2.2. iedaļas 5. punktā). Šādā gadījumā nav atļauts ierakstīt summu (A) kā īpašuma ienākumus un starpību starp (B) un (A) kā valdības veiktu centrālās bankas pašu kapitāla iegādi. Tādējādi kapitāla pieauguma un zaudējumu traktējums zināmā mērā nav simetrisks. Šis jautājums ir izskatīts sīkāk 1. tabulā.</w:t>
      </w:r>
    </w:p>
    <w:p w14:paraId="0F34518D"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65294BA9" w14:textId="77777777" w:rsidR="00443399" w:rsidRPr="00B03B51" w:rsidRDefault="00443399" w:rsidP="00443399">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t>Turpmāk 1. tabulā ir minēti šādi divi gadījumi:</w:t>
      </w:r>
    </w:p>
    <w:p w14:paraId="7C48907F" w14:textId="77777777" w:rsidR="00443399" w:rsidRPr="00B03B51" w:rsidRDefault="00443399" w:rsidP="00443399">
      <w:pPr>
        <w:pStyle w:val="BodyText"/>
        <w:spacing w:before="0"/>
        <w:ind w:left="0" w:firstLine="0"/>
        <w:jc w:val="both"/>
        <w:rPr>
          <w:rFonts w:ascii="Times New Roman" w:hAnsi="Times New Roman" w:cs="Times New Roman"/>
          <w:noProof/>
          <w:sz w:val="24"/>
        </w:rPr>
      </w:pPr>
    </w:p>
    <w:p w14:paraId="06DC4CE1" w14:textId="77777777" w:rsidR="00443399" w:rsidRPr="00B03B51" w:rsidRDefault="00443399" w:rsidP="009534B7">
      <w:pPr>
        <w:pStyle w:val="BodyText"/>
        <w:numPr>
          <w:ilvl w:val="0"/>
          <w:numId w:val="69"/>
        </w:numPr>
        <w:spacing w:before="0"/>
        <w:ind w:left="426" w:hanging="425"/>
        <w:jc w:val="both"/>
        <w:rPr>
          <w:rFonts w:ascii="Times New Roman" w:hAnsi="Times New Roman" w:cs="Times New Roman"/>
          <w:noProof/>
          <w:sz w:val="24"/>
        </w:rPr>
      </w:pPr>
      <w:r w:rsidRPr="00B03B51">
        <w:rPr>
          <w:rFonts w:ascii="Times New Roman" w:hAnsi="Times New Roman" w:cs="Times New Roman"/>
          <w:i/>
          <w:iCs/>
          <w:sz w:val="24"/>
        </w:rPr>
        <w:t>X</w:t>
      </w:r>
      <w:r w:rsidRPr="00B03B51">
        <w:rPr>
          <w:rFonts w:ascii="Times New Roman" w:hAnsi="Times New Roman" w:cs="Times New Roman"/>
          <w:sz w:val="24"/>
        </w:rPr>
        <w:t> gadījums – centrālā banka cieš kapitāla zaudējumus;</w:t>
      </w:r>
    </w:p>
    <w:p w14:paraId="4C7E0737" w14:textId="77777777" w:rsidR="00443399" w:rsidRPr="00B03B51" w:rsidRDefault="00443399" w:rsidP="009534B7">
      <w:pPr>
        <w:pStyle w:val="BodyText"/>
        <w:numPr>
          <w:ilvl w:val="0"/>
          <w:numId w:val="69"/>
        </w:numPr>
        <w:spacing w:before="0"/>
        <w:ind w:left="426" w:hanging="425"/>
        <w:jc w:val="both"/>
        <w:rPr>
          <w:rFonts w:ascii="Times New Roman" w:hAnsi="Times New Roman" w:cs="Times New Roman"/>
          <w:noProof/>
          <w:sz w:val="24"/>
        </w:rPr>
      </w:pPr>
      <w:r w:rsidRPr="00B03B51">
        <w:rPr>
          <w:rFonts w:ascii="Times New Roman" w:hAnsi="Times New Roman" w:cs="Times New Roman"/>
          <w:i/>
          <w:iCs/>
          <w:sz w:val="24"/>
        </w:rPr>
        <w:t>Y</w:t>
      </w:r>
      <w:r w:rsidRPr="00B03B51">
        <w:rPr>
          <w:rFonts w:ascii="Times New Roman" w:hAnsi="Times New Roman" w:cs="Times New Roman"/>
          <w:sz w:val="24"/>
        </w:rPr>
        <w:t> gadījums – centrālajai bankai ir kapitāla pieaugums.</w:t>
      </w:r>
    </w:p>
    <w:p w14:paraId="19E79AA8" w14:textId="77777777" w:rsidR="00443399" w:rsidRPr="00B03B51" w:rsidRDefault="00443399" w:rsidP="00443399">
      <w:pPr>
        <w:jc w:val="both"/>
        <w:rPr>
          <w:rFonts w:ascii="Times New Roman" w:hAnsi="Times New Roman" w:cs="Times New Roman"/>
          <w:noProof/>
          <w:sz w:val="24"/>
        </w:rPr>
      </w:pPr>
    </w:p>
    <w:p w14:paraId="6524D20E" w14:textId="77777777" w:rsidR="00443399" w:rsidRPr="00B03B51" w:rsidRDefault="00443399" w:rsidP="00443399">
      <w:pPr>
        <w:jc w:val="both"/>
        <w:rPr>
          <w:rFonts w:ascii="Times New Roman" w:hAnsi="Times New Roman" w:cs="Times New Roman"/>
          <w:b/>
          <w:noProof/>
          <w:sz w:val="24"/>
        </w:rPr>
      </w:pPr>
      <w:r w:rsidRPr="00B03B51">
        <w:rPr>
          <w:rFonts w:ascii="Times New Roman" w:hAnsi="Times New Roman" w:cs="Times New Roman"/>
          <w:b/>
          <w:sz w:val="24"/>
        </w:rPr>
        <w:t>1. tabula. Centrālās bankas un valdības gada pārskati</w:t>
      </w:r>
    </w:p>
    <w:p w14:paraId="509B57AC" w14:textId="77777777" w:rsidR="00443399" w:rsidRPr="00B03B51" w:rsidRDefault="00443399" w:rsidP="00443399">
      <w:pPr>
        <w:jc w:val="both"/>
        <w:rPr>
          <w:rFonts w:ascii="Times New Roman" w:eastAsia="Arial" w:hAnsi="Times New Roman" w:cs="Times New Roman"/>
          <w:b/>
          <w:bCs/>
          <w:noProof/>
          <w:sz w:val="24"/>
          <w:szCs w:val="20"/>
        </w:rPr>
      </w:pPr>
    </w:p>
    <w:tbl>
      <w:tblPr>
        <w:tblW w:w="5000" w:type="pct"/>
        <w:tblCellMar>
          <w:top w:w="28" w:type="dxa"/>
          <w:left w:w="28" w:type="dxa"/>
          <w:bottom w:w="28" w:type="dxa"/>
          <w:right w:w="28" w:type="dxa"/>
        </w:tblCellMar>
        <w:tblLook w:val="01E0" w:firstRow="1" w:lastRow="1" w:firstColumn="1" w:lastColumn="1" w:noHBand="0" w:noVBand="0"/>
      </w:tblPr>
      <w:tblGrid>
        <w:gridCol w:w="5051"/>
        <w:gridCol w:w="1926"/>
        <w:gridCol w:w="2082"/>
      </w:tblGrid>
      <w:tr w:rsidR="00443399" w:rsidRPr="00B03B51" w14:paraId="6F067DA8" w14:textId="77777777" w:rsidTr="009534B7">
        <w:tc>
          <w:tcPr>
            <w:tcW w:w="2788" w:type="pct"/>
            <w:tcBorders>
              <w:top w:val="single" w:sz="5" w:space="0" w:color="000000"/>
              <w:left w:val="single" w:sz="5" w:space="0" w:color="000000"/>
              <w:bottom w:val="single" w:sz="5" w:space="0" w:color="000000"/>
              <w:right w:val="single" w:sz="5" w:space="0" w:color="000000"/>
            </w:tcBorders>
          </w:tcPr>
          <w:p w14:paraId="727F5399" w14:textId="77777777" w:rsidR="00443399" w:rsidRPr="00B03B51" w:rsidRDefault="00443399" w:rsidP="0054365B">
            <w:pPr>
              <w:pStyle w:val="TableParagraph"/>
              <w:jc w:val="both"/>
              <w:rPr>
                <w:rFonts w:ascii="Times New Roman" w:eastAsia="Arial" w:hAnsi="Times New Roman" w:cs="Times New Roman"/>
                <w:b/>
                <w:bCs/>
                <w:noProof/>
                <w:sz w:val="24"/>
                <w:szCs w:val="19"/>
              </w:rPr>
            </w:pPr>
            <w:r w:rsidRPr="00B03B51">
              <w:rPr>
                <w:rFonts w:ascii="Times New Roman" w:hAnsi="Times New Roman" w:cs="Times New Roman"/>
                <w:b/>
                <w:bCs/>
                <w:sz w:val="24"/>
                <w:szCs w:val="19"/>
              </w:rPr>
              <w:t>Ierakstīšana centrālās bankas grāmatvedībā</w:t>
            </w:r>
          </w:p>
        </w:tc>
        <w:tc>
          <w:tcPr>
            <w:tcW w:w="1063" w:type="pct"/>
            <w:tcBorders>
              <w:top w:val="single" w:sz="5" w:space="0" w:color="000000"/>
              <w:left w:val="single" w:sz="5" w:space="0" w:color="000000"/>
              <w:bottom w:val="single" w:sz="5" w:space="0" w:color="000000"/>
              <w:right w:val="single" w:sz="5" w:space="0" w:color="000000"/>
            </w:tcBorders>
          </w:tcPr>
          <w:p w14:paraId="19B706ED" w14:textId="77777777" w:rsidR="00443399" w:rsidRPr="00B03B51" w:rsidRDefault="00443399" w:rsidP="0054365B">
            <w:pPr>
              <w:pStyle w:val="TableParagraph"/>
              <w:jc w:val="center"/>
              <w:rPr>
                <w:rFonts w:ascii="Times New Roman" w:hAnsi="Times New Roman" w:cs="Times New Roman"/>
                <w:b/>
                <w:noProof/>
                <w:sz w:val="24"/>
              </w:rPr>
            </w:pPr>
            <w:r w:rsidRPr="00B03B51">
              <w:rPr>
                <w:rFonts w:ascii="Times New Roman" w:hAnsi="Times New Roman" w:cs="Times New Roman"/>
                <w:b/>
                <w:i/>
                <w:iCs/>
                <w:sz w:val="24"/>
              </w:rPr>
              <w:t>X</w:t>
            </w:r>
            <w:r w:rsidRPr="00B03B51">
              <w:rPr>
                <w:rFonts w:ascii="Times New Roman" w:hAnsi="Times New Roman" w:cs="Times New Roman"/>
                <w:b/>
                <w:sz w:val="24"/>
              </w:rPr>
              <w:t> gadījums</w:t>
            </w:r>
          </w:p>
        </w:tc>
        <w:tc>
          <w:tcPr>
            <w:tcW w:w="1149" w:type="pct"/>
            <w:tcBorders>
              <w:top w:val="single" w:sz="5" w:space="0" w:color="000000"/>
              <w:left w:val="single" w:sz="5" w:space="0" w:color="000000"/>
              <w:bottom w:val="single" w:sz="5" w:space="0" w:color="000000"/>
              <w:right w:val="single" w:sz="5" w:space="0" w:color="000000"/>
            </w:tcBorders>
          </w:tcPr>
          <w:p w14:paraId="1D916CC5" w14:textId="77777777" w:rsidR="00443399" w:rsidRPr="00B03B51" w:rsidRDefault="00443399" w:rsidP="0054365B">
            <w:pPr>
              <w:pStyle w:val="TableParagraph"/>
              <w:jc w:val="center"/>
              <w:rPr>
                <w:rFonts w:ascii="Times New Roman" w:hAnsi="Times New Roman" w:cs="Times New Roman"/>
                <w:b/>
                <w:noProof/>
                <w:sz w:val="24"/>
              </w:rPr>
            </w:pPr>
            <w:r w:rsidRPr="00B03B51">
              <w:rPr>
                <w:rFonts w:ascii="Times New Roman" w:hAnsi="Times New Roman" w:cs="Times New Roman"/>
                <w:b/>
                <w:i/>
                <w:iCs/>
                <w:sz w:val="24"/>
              </w:rPr>
              <w:t>Y</w:t>
            </w:r>
            <w:r w:rsidRPr="00B03B51">
              <w:rPr>
                <w:rFonts w:ascii="Times New Roman" w:hAnsi="Times New Roman" w:cs="Times New Roman"/>
                <w:b/>
                <w:sz w:val="24"/>
              </w:rPr>
              <w:t> gadījums</w:t>
            </w:r>
          </w:p>
        </w:tc>
      </w:tr>
      <w:tr w:rsidR="00443399" w:rsidRPr="00B03B51" w14:paraId="75187300" w14:textId="77777777" w:rsidTr="009534B7">
        <w:tc>
          <w:tcPr>
            <w:tcW w:w="2788" w:type="pct"/>
            <w:tcBorders>
              <w:top w:val="single" w:sz="5" w:space="0" w:color="000000"/>
              <w:left w:val="single" w:sz="5" w:space="0" w:color="000000"/>
              <w:bottom w:val="single" w:sz="5" w:space="0" w:color="000000"/>
              <w:right w:val="single" w:sz="5" w:space="0" w:color="000000"/>
            </w:tcBorders>
          </w:tcPr>
          <w:p w14:paraId="670F89CB" w14:textId="77777777" w:rsidR="00443399" w:rsidRPr="00B03B51" w:rsidRDefault="00443399" w:rsidP="0054365B">
            <w:pPr>
              <w:pStyle w:val="TableParagraph"/>
              <w:jc w:val="both"/>
              <w:rPr>
                <w:rFonts w:ascii="Times New Roman" w:hAnsi="Times New Roman" w:cs="Times New Roman"/>
                <w:noProof/>
                <w:sz w:val="24"/>
              </w:rPr>
            </w:pPr>
            <w:r w:rsidRPr="00B03B51">
              <w:rPr>
                <w:rFonts w:ascii="Times New Roman" w:hAnsi="Times New Roman" w:cs="Times New Roman"/>
                <w:sz w:val="24"/>
              </w:rPr>
              <w:t>Pamatdarbības peļņa (a)</w:t>
            </w:r>
          </w:p>
        </w:tc>
        <w:tc>
          <w:tcPr>
            <w:tcW w:w="1063" w:type="pct"/>
            <w:tcBorders>
              <w:top w:val="single" w:sz="5" w:space="0" w:color="000000"/>
              <w:left w:val="single" w:sz="5" w:space="0" w:color="000000"/>
              <w:bottom w:val="single" w:sz="5" w:space="0" w:color="000000"/>
              <w:right w:val="single" w:sz="5" w:space="0" w:color="000000"/>
            </w:tcBorders>
          </w:tcPr>
          <w:p w14:paraId="5A262303"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100</w:t>
            </w:r>
          </w:p>
        </w:tc>
        <w:tc>
          <w:tcPr>
            <w:tcW w:w="1149" w:type="pct"/>
            <w:tcBorders>
              <w:top w:val="single" w:sz="5" w:space="0" w:color="000000"/>
              <w:left w:val="single" w:sz="5" w:space="0" w:color="000000"/>
              <w:bottom w:val="single" w:sz="5" w:space="0" w:color="000000"/>
              <w:right w:val="single" w:sz="5" w:space="0" w:color="000000"/>
            </w:tcBorders>
          </w:tcPr>
          <w:p w14:paraId="041A0402"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100</w:t>
            </w:r>
          </w:p>
        </w:tc>
      </w:tr>
      <w:tr w:rsidR="00443399" w:rsidRPr="00B03B51" w14:paraId="030B7708" w14:textId="77777777" w:rsidTr="009534B7">
        <w:tc>
          <w:tcPr>
            <w:tcW w:w="2788" w:type="pct"/>
            <w:tcBorders>
              <w:top w:val="single" w:sz="5" w:space="0" w:color="000000"/>
              <w:left w:val="single" w:sz="5" w:space="0" w:color="000000"/>
              <w:bottom w:val="single" w:sz="5" w:space="0" w:color="000000"/>
              <w:right w:val="single" w:sz="5" w:space="0" w:color="000000"/>
            </w:tcBorders>
          </w:tcPr>
          <w:p w14:paraId="4600C2A2" w14:textId="77777777" w:rsidR="00443399" w:rsidRPr="00B03B51" w:rsidRDefault="00443399" w:rsidP="0054365B">
            <w:pPr>
              <w:pStyle w:val="TableParagraph"/>
              <w:jc w:val="both"/>
              <w:rPr>
                <w:rFonts w:ascii="Times New Roman" w:hAnsi="Times New Roman" w:cs="Times New Roman"/>
                <w:noProof/>
                <w:sz w:val="24"/>
              </w:rPr>
            </w:pPr>
            <w:r w:rsidRPr="00B03B51">
              <w:rPr>
                <w:rFonts w:ascii="Times New Roman" w:hAnsi="Times New Roman" w:cs="Times New Roman"/>
                <w:sz w:val="24"/>
              </w:rPr>
              <w:t>Kapitāla pieaugums/zaudējumi (d)</w:t>
            </w:r>
          </w:p>
        </w:tc>
        <w:tc>
          <w:tcPr>
            <w:tcW w:w="1063" w:type="pct"/>
            <w:tcBorders>
              <w:top w:val="single" w:sz="5" w:space="0" w:color="000000"/>
              <w:left w:val="single" w:sz="5" w:space="0" w:color="000000"/>
              <w:bottom w:val="single" w:sz="5" w:space="0" w:color="000000"/>
              <w:right w:val="single" w:sz="5" w:space="0" w:color="000000"/>
            </w:tcBorders>
          </w:tcPr>
          <w:p w14:paraId="26378F9A"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–20</w:t>
            </w:r>
          </w:p>
        </w:tc>
        <w:tc>
          <w:tcPr>
            <w:tcW w:w="1149" w:type="pct"/>
            <w:tcBorders>
              <w:top w:val="single" w:sz="5" w:space="0" w:color="000000"/>
              <w:left w:val="single" w:sz="5" w:space="0" w:color="000000"/>
              <w:bottom w:val="single" w:sz="5" w:space="0" w:color="000000"/>
              <w:right w:val="single" w:sz="5" w:space="0" w:color="000000"/>
            </w:tcBorders>
          </w:tcPr>
          <w:p w14:paraId="3C8CDD1D"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20</w:t>
            </w:r>
          </w:p>
        </w:tc>
      </w:tr>
      <w:tr w:rsidR="00443399" w:rsidRPr="00B03B51" w14:paraId="5A5954F7" w14:textId="77777777" w:rsidTr="009534B7">
        <w:tc>
          <w:tcPr>
            <w:tcW w:w="2788" w:type="pct"/>
            <w:tcBorders>
              <w:top w:val="single" w:sz="5" w:space="0" w:color="000000"/>
              <w:left w:val="single" w:sz="5" w:space="0" w:color="000000"/>
              <w:bottom w:val="single" w:sz="5" w:space="0" w:color="000000"/>
              <w:right w:val="single" w:sz="5" w:space="0" w:color="000000"/>
            </w:tcBorders>
          </w:tcPr>
          <w:p w14:paraId="69E22B0C" w14:textId="77777777" w:rsidR="00443399" w:rsidRPr="00B03B51" w:rsidRDefault="00443399" w:rsidP="0054365B">
            <w:pPr>
              <w:pStyle w:val="TableParagraph"/>
              <w:jc w:val="both"/>
              <w:rPr>
                <w:rFonts w:ascii="Times New Roman" w:hAnsi="Times New Roman" w:cs="Times New Roman"/>
                <w:noProof/>
                <w:sz w:val="24"/>
              </w:rPr>
            </w:pPr>
            <w:r w:rsidRPr="00B03B51">
              <w:rPr>
                <w:rFonts w:ascii="Times New Roman" w:hAnsi="Times New Roman" w:cs="Times New Roman"/>
                <w:sz w:val="24"/>
              </w:rPr>
              <w:t>Kopējā peļņa (e) = (a) + (d)</w:t>
            </w:r>
          </w:p>
        </w:tc>
        <w:tc>
          <w:tcPr>
            <w:tcW w:w="1063" w:type="pct"/>
            <w:tcBorders>
              <w:top w:val="single" w:sz="5" w:space="0" w:color="000000"/>
              <w:left w:val="single" w:sz="5" w:space="0" w:color="000000"/>
              <w:bottom w:val="single" w:sz="5" w:space="0" w:color="000000"/>
              <w:right w:val="single" w:sz="5" w:space="0" w:color="000000"/>
            </w:tcBorders>
          </w:tcPr>
          <w:p w14:paraId="249A4D98"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80</w:t>
            </w:r>
          </w:p>
        </w:tc>
        <w:tc>
          <w:tcPr>
            <w:tcW w:w="1149" w:type="pct"/>
            <w:tcBorders>
              <w:top w:val="single" w:sz="5" w:space="0" w:color="000000"/>
              <w:left w:val="single" w:sz="5" w:space="0" w:color="000000"/>
              <w:bottom w:val="single" w:sz="5" w:space="0" w:color="000000"/>
              <w:right w:val="single" w:sz="5" w:space="0" w:color="000000"/>
            </w:tcBorders>
          </w:tcPr>
          <w:p w14:paraId="4E9F8FB8"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120</w:t>
            </w:r>
          </w:p>
        </w:tc>
      </w:tr>
      <w:tr w:rsidR="00443399" w:rsidRPr="00B03B51" w14:paraId="5A5287E0" w14:textId="77777777" w:rsidTr="009534B7">
        <w:tc>
          <w:tcPr>
            <w:tcW w:w="2788" w:type="pct"/>
            <w:tcBorders>
              <w:top w:val="single" w:sz="5" w:space="0" w:color="000000"/>
              <w:left w:val="single" w:sz="5" w:space="0" w:color="000000"/>
              <w:bottom w:val="single" w:sz="5" w:space="0" w:color="000000"/>
              <w:right w:val="single" w:sz="5" w:space="0" w:color="000000"/>
            </w:tcBorders>
          </w:tcPr>
          <w:p w14:paraId="301D80BE" w14:textId="77777777" w:rsidR="00443399" w:rsidRPr="00B03B51" w:rsidRDefault="00443399" w:rsidP="0054365B">
            <w:pPr>
              <w:pStyle w:val="TableParagraph"/>
              <w:jc w:val="both"/>
              <w:rPr>
                <w:rFonts w:ascii="Times New Roman" w:hAnsi="Times New Roman" w:cs="Times New Roman"/>
                <w:noProof/>
                <w:sz w:val="24"/>
              </w:rPr>
            </w:pPr>
            <w:r w:rsidRPr="00B03B51">
              <w:rPr>
                <w:rFonts w:ascii="Times New Roman" w:hAnsi="Times New Roman" w:cs="Times New Roman"/>
                <w:sz w:val="24"/>
              </w:rPr>
              <w:t>Maksājums valdībai (b)</w:t>
            </w:r>
          </w:p>
        </w:tc>
        <w:tc>
          <w:tcPr>
            <w:tcW w:w="1063" w:type="pct"/>
            <w:tcBorders>
              <w:top w:val="single" w:sz="5" w:space="0" w:color="000000"/>
              <w:left w:val="single" w:sz="5" w:space="0" w:color="000000"/>
              <w:bottom w:val="single" w:sz="5" w:space="0" w:color="000000"/>
              <w:right w:val="single" w:sz="5" w:space="0" w:color="000000"/>
            </w:tcBorders>
          </w:tcPr>
          <w:p w14:paraId="76E0B9E9"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80</w:t>
            </w:r>
          </w:p>
        </w:tc>
        <w:tc>
          <w:tcPr>
            <w:tcW w:w="1149" w:type="pct"/>
            <w:tcBorders>
              <w:top w:val="single" w:sz="5" w:space="0" w:color="000000"/>
              <w:left w:val="single" w:sz="5" w:space="0" w:color="000000"/>
              <w:bottom w:val="single" w:sz="5" w:space="0" w:color="000000"/>
              <w:right w:val="single" w:sz="5" w:space="0" w:color="000000"/>
            </w:tcBorders>
          </w:tcPr>
          <w:p w14:paraId="26490506"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120</w:t>
            </w:r>
          </w:p>
        </w:tc>
      </w:tr>
      <w:tr w:rsidR="00443399" w:rsidRPr="00B03B51" w14:paraId="088F13EA" w14:textId="77777777" w:rsidTr="009534B7">
        <w:tc>
          <w:tcPr>
            <w:tcW w:w="2788" w:type="pct"/>
            <w:tcBorders>
              <w:top w:val="single" w:sz="5" w:space="0" w:color="000000"/>
              <w:left w:val="single" w:sz="5" w:space="0" w:color="000000"/>
              <w:bottom w:val="single" w:sz="5" w:space="0" w:color="000000"/>
              <w:right w:val="single" w:sz="5" w:space="0" w:color="000000"/>
            </w:tcBorders>
          </w:tcPr>
          <w:p w14:paraId="2B338E45" w14:textId="77777777" w:rsidR="00443399" w:rsidRPr="00B03B51" w:rsidRDefault="00443399" w:rsidP="0054365B">
            <w:pPr>
              <w:pStyle w:val="TableParagraph"/>
              <w:jc w:val="both"/>
              <w:rPr>
                <w:rFonts w:ascii="Times New Roman" w:hAnsi="Times New Roman" w:cs="Times New Roman"/>
                <w:b/>
                <w:noProof/>
                <w:sz w:val="24"/>
              </w:rPr>
            </w:pPr>
            <w:r w:rsidRPr="00B03B51">
              <w:rPr>
                <w:rFonts w:ascii="Times New Roman" w:hAnsi="Times New Roman" w:cs="Times New Roman"/>
                <w:b/>
                <w:sz w:val="24"/>
              </w:rPr>
              <w:t>Maksājuma ierakstīšana valdības kontos</w:t>
            </w:r>
          </w:p>
        </w:tc>
        <w:tc>
          <w:tcPr>
            <w:tcW w:w="1063" w:type="pct"/>
            <w:tcBorders>
              <w:top w:val="single" w:sz="5" w:space="0" w:color="000000"/>
              <w:left w:val="single" w:sz="5" w:space="0" w:color="000000"/>
              <w:bottom w:val="single" w:sz="5" w:space="0" w:color="000000"/>
              <w:right w:val="single" w:sz="5" w:space="0" w:color="000000"/>
            </w:tcBorders>
          </w:tcPr>
          <w:p w14:paraId="73E5A423" w14:textId="77777777" w:rsidR="00443399" w:rsidRPr="00B03B51" w:rsidRDefault="00443399" w:rsidP="0054365B">
            <w:pPr>
              <w:pStyle w:val="TableParagraph"/>
              <w:jc w:val="center"/>
              <w:rPr>
                <w:rFonts w:ascii="Times New Roman" w:hAnsi="Times New Roman" w:cs="Times New Roman"/>
                <w:b/>
                <w:noProof/>
                <w:sz w:val="24"/>
              </w:rPr>
            </w:pPr>
            <w:r w:rsidRPr="00B03B51">
              <w:rPr>
                <w:rFonts w:ascii="Times New Roman" w:hAnsi="Times New Roman" w:cs="Times New Roman"/>
                <w:b/>
                <w:i/>
                <w:iCs/>
                <w:sz w:val="24"/>
              </w:rPr>
              <w:t>X</w:t>
            </w:r>
            <w:r w:rsidRPr="00B03B51">
              <w:rPr>
                <w:rFonts w:ascii="Times New Roman" w:hAnsi="Times New Roman" w:cs="Times New Roman"/>
                <w:b/>
                <w:sz w:val="24"/>
              </w:rPr>
              <w:t> gadījums</w:t>
            </w:r>
          </w:p>
        </w:tc>
        <w:tc>
          <w:tcPr>
            <w:tcW w:w="1149" w:type="pct"/>
            <w:tcBorders>
              <w:top w:val="single" w:sz="5" w:space="0" w:color="000000"/>
              <w:left w:val="single" w:sz="5" w:space="0" w:color="000000"/>
              <w:bottom w:val="single" w:sz="5" w:space="0" w:color="000000"/>
              <w:right w:val="single" w:sz="5" w:space="0" w:color="000000"/>
            </w:tcBorders>
          </w:tcPr>
          <w:p w14:paraId="4BD6BFF6" w14:textId="77777777" w:rsidR="00443399" w:rsidRPr="00B03B51" w:rsidRDefault="00443399" w:rsidP="0054365B">
            <w:pPr>
              <w:pStyle w:val="TableParagraph"/>
              <w:jc w:val="center"/>
              <w:rPr>
                <w:rFonts w:ascii="Times New Roman" w:hAnsi="Times New Roman" w:cs="Times New Roman"/>
                <w:b/>
                <w:noProof/>
                <w:sz w:val="24"/>
              </w:rPr>
            </w:pPr>
            <w:r w:rsidRPr="00B03B51">
              <w:rPr>
                <w:rFonts w:ascii="Times New Roman" w:hAnsi="Times New Roman" w:cs="Times New Roman"/>
                <w:b/>
                <w:i/>
                <w:iCs/>
                <w:sz w:val="24"/>
              </w:rPr>
              <w:t>Y</w:t>
            </w:r>
            <w:r w:rsidRPr="00B03B51">
              <w:rPr>
                <w:rFonts w:ascii="Times New Roman" w:hAnsi="Times New Roman" w:cs="Times New Roman"/>
                <w:b/>
                <w:sz w:val="24"/>
              </w:rPr>
              <w:t> gadījums</w:t>
            </w:r>
          </w:p>
        </w:tc>
      </w:tr>
      <w:tr w:rsidR="00443399" w:rsidRPr="00B03B51" w14:paraId="5D103BD7" w14:textId="77777777" w:rsidTr="009534B7">
        <w:tc>
          <w:tcPr>
            <w:tcW w:w="2788" w:type="pct"/>
            <w:tcBorders>
              <w:top w:val="single" w:sz="5" w:space="0" w:color="000000"/>
              <w:left w:val="single" w:sz="5" w:space="0" w:color="000000"/>
              <w:bottom w:val="single" w:sz="5" w:space="0" w:color="000000"/>
              <w:right w:val="single" w:sz="5" w:space="0" w:color="000000"/>
            </w:tcBorders>
          </w:tcPr>
          <w:p w14:paraId="73FBBFC9" w14:textId="77777777" w:rsidR="00443399" w:rsidRPr="00B03B51" w:rsidRDefault="00443399" w:rsidP="0054365B">
            <w:pPr>
              <w:pStyle w:val="TableParagraph"/>
              <w:jc w:val="both"/>
              <w:rPr>
                <w:rFonts w:ascii="Times New Roman" w:hAnsi="Times New Roman" w:cs="Times New Roman"/>
                <w:noProof/>
                <w:sz w:val="24"/>
              </w:rPr>
            </w:pPr>
            <w:r w:rsidRPr="00B03B51">
              <w:rPr>
                <w:rFonts w:ascii="Times New Roman" w:hAnsi="Times New Roman" w:cs="Times New Roman"/>
                <w:sz w:val="24"/>
              </w:rPr>
              <w:t>D.4R Īpašuma ienākums</w:t>
            </w:r>
          </w:p>
        </w:tc>
        <w:tc>
          <w:tcPr>
            <w:tcW w:w="1063" w:type="pct"/>
            <w:tcBorders>
              <w:top w:val="single" w:sz="5" w:space="0" w:color="000000"/>
              <w:left w:val="single" w:sz="5" w:space="0" w:color="000000"/>
              <w:bottom w:val="single" w:sz="5" w:space="0" w:color="000000"/>
              <w:right w:val="single" w:sz="5" w:space="0" w:color="000000"/>
            </w:tcBorders>
          </w:tcPr>
          <w:p w14:paraId="1BF982AD"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80</w:t>
            </w:r>
          </w:p>
        </w:tc>
        <w:tc>
          <w:tcPr>
            <w:tcW w:w="1149" w:type="pct"/>
            <w:tcBorders>
              <w:top w:val="single" w:sz="5" w:space="0" w:color="000000"/>
              <w:left w:val="single" w:sz="5" w:space="0" w:color="000000"/>
              <w:bottom w:val="single" w:sz="5" w:space="0" w:color="000000"/>
              <w:right w:val="single" w:sz="5" w:space="0" w:color="000000"/>
            </w:tcBorders>
          </w:tcPr>
          <w:p w14:paraId="4E16D5AD"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100</w:t>
            </w:r>
          </w:p>
        </w:tc>
      </w:tr>
      <w:tr w:rsidR="00443399" w:rsidRPr="00B03B51" w14:paraId="5F7ED3A5" w14:textId="77777777" w:rsidTr="009534B7">
        <w:tc>
          <w:tcPr>
            <w:tcW w:w="2788" w:type="pct"/>
            <w:tcBorders>
              <w:top w:val="single" w:sz="5" w:space="0" w:color="000000"/>
              <w:left w:val="single" w:sz="5" w:space="0" w:color="000000"/>
              <w:bottom w:val="single" w:sz="5" w:space="0" w:color="000000"/>
              <w:right w:val="single" w:sz="5" w:space="0" w:color="000000"/>
            </w:tcBorders>
          </w:tcPr>
          <w:p w14:paraId="52D499D2" w14:textId="77777777" w:rsidR="00443399" w:rsidRPr="00B03B51" w:rsidRDefault="00443399" w:rsidP="0054365B">
            <w:pPr>
              <w:pStyle w:val="TableParagraph"/>
              <w:jc w:val="both"/>
              <w:rPr>
                <w:rFonts w:ascii="Times New Roman" w:hAnsi="Times New Roman" w:cs="Times New Roman"/>
                <w:noProof/>
                <w:sz w:val="24"/>
              </w:rPr>
            </w:pPr>
            <w:r w:rsidRPr="00B03B51">
              <w:rPr>
                <w:rFonts w:ascii="Times New Roman" w:hAnsi="Times New Roman" w:cs="Times New Roman"/>
                <w:sz w:val="24"/>
              </w:rPr>
              <w:t>B.9 Neto aizdevums/aizņēmums</w:t>
            </w:r>
          </w:p>
        </w:tc>
        <w:tc>
          <w:tcPr>
            <w:tcW w:w="1063" w:type="pct"/>
            <w:tcBorders>
              <w:top w:val="single" w:sz="5" w:space="0" w:color="000000"/>
              <w:left w:val="single" w:sz="5" w:space="0" w:color="000000"/>
              <w:bottom w:val="single" w:sz="5" w:space="0" w:color="000000"/>
              <w:right w:val="single" w:sz="5" w:space="0" w:color="000000"/>
            </w:tcBorders>
          </w:tcPr>
          <w:p w14:paraId="411DEAA6"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80</w:t>
            </w:r>
          </w:p>
        </w:tc>
        <w:tc>
          <w:tcPr>
            <w:tcW w:w="1149" w:type="pct"/>
            <w:tcBorders>
              <w:top w:val="single" w:sz="5" w:space="0" w:color="000000"/>
              <w:left w:val="single" w:sz="5" w:space="0" w:color="000000"/>
              <w:bottom w:val="single" w:sz="5" w:space="0" w:color="000000"/>
              <w:right w:val="single" w:sz="5" w:space="0" w:color="000000"/>
            </w:tcBorders>
          </w:tcPr>
          <w:p w14:paraId="33BFC895"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100</w:t>
            </w:r>
          </w:p>
        </w:tc>
      </w:tr>
      <w:tr w:rsidR="00443399" w:rsidRPr="00B03B51" w14:paraId="4C7DB1BA" w14:textId="77777777" w:rsidTr="009534B7">
        <w:tc>
          <w:tcPr>
            <w:tcW w:w="2788" w:type="pct"/>
            <w:tcBorders>
              <w:top w:val="single" w:sz="5" w:space="0" w:color="000000"/>
              <w:left w:val="single" w:sz="5" w:space="0" w:color="000000"/>
              <w:bottom w:val="single" w:sz="5" w:space="0" w:color="000000"/>
              <w:right w:val="single" w:sz="5" w:space="0" w:color="000000"/>
            </w:tcBorders>
          </w:tcPr>
          <w:p w14:paraId="1F8A40C7" w14:textId="77777777" w:rsidR="00443399" w:rsidRPr="00B03B51" w:rsidRDefault="00443399" w:rsidP="0054365B">
            <w:pPr>
              <w:pStyle w:val="TableParagraph"/>
              <w:jc w:val="both"/>
              <w:rPr>
                <w:rFonts w:ascii="Times New Roman" w:hAnsi="Times New Roman" w:cs="Times New Roman"/>
                <w:noProof/>
                <w:sz w:val="24"/>
              </w:rPr>
            </w:pPr>
            <w:r w:rsidRPr="00B03B51">
              <w:rPr>
                <w:rFonts w:ascii="Times New Roman" w:hAnsi="Times New Roman" w:cs="Times New Roman"/>
                <w:sz w:val="24"/>
              </w:rPr>
              <w:t>F.2. Valūta un noguldījumi</w:t>
            </w:r>
          </w:p>
        </w:tc>
        <w:tc>
          <w:tcPr>
            <w:tcW w:w="1063" w:type="pct"/>
            <w:tcBorders>
              <w:top w:val="single" w:sz="5" w:space="0" w:color="000000"/>
              <w:left w:val="single" w:sz="5" w:space="0" w:color="000000"/>
              <w:bottom w:val="single" w:sz="5" w:space="0" w:color="000000"/>
              <w:right w:val="single" w:sz="5" w:space="0" w:color="000000"/>
            </w:tcBorders>
          </w:tcPr>
          <w:p w14:paraId="15E3D1FC"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80</w:t>
            </w:r>
          </w:p>
        </w:tc>
        <w:tc>
          <w:tcPr>
            <w:tcW w:w="1149" w:type="pct"/>
            <w:tcBorders>
              <w:top w:val="single" w:sz="5" w:space="0" w:color="000000"/>
              <w:left w:val="single" w:sz="5" w:space="0" w:color="000000"/>
              <w:bottom w:val="single" w:sz="5" w:space="0" w:color="000000"/>
              <w:right w:val="single" w:sz="5" w:space="0" w:color="000000"/>
            </w:tcBorders>
          </w:tcPr>
          <w:p w14:paraId="5FFB7328"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120</w:t>
            </w:r>
          </w:p>
        </w:tc>
      </w:tr>
      <w:tr w:rsidR="00443399" w:rsidRPr="00B03B51" w14:paraId="7950C1BB" w14:textId="77777777" w:rsidTr="009534B7">
        <w:tc>
          <w:tcPr>
            <w:tcW w:w="2788" w:type="pct"/>
            <w:tcBorders>
              <w:top w:val="single" w:sz="5" w:space="0" w:color="000000"/>
              <w:left w:val="single" w:sz="5" w:space="0" w:color="000000"/>
              <w:bottom w:val="single" w:sz="5" w:space="0" w:color="000000"/>
              <w:right w:val="single" w:sz="5" w:space="0" w:color="000000"/>
            </w:tcBorders>
          </w:tcPr>
          <w:p w14:paraId="0D181181" w14:textId="77777777" w:rsidR="00443399" w:rsidRPr="00B03B51" w:rsidRDefault="00443399" w:rsidP="0054365B">
            <w:pPr>
              <w:pStyle w:val="TableParagraph"/>
              <w:jc w:val="both"/>
              <w:rPr>
                <w:rFonts w:ascii="Times New Roman" w:hAnsi="Times New Roman" w:cs="Times New Roman"/>
                <w:noProof/>
                <w:sz w:val="24"/>
              </w:rPr>
            </w:pPr>
            <w:r w:rsidRPr="00B03B51">
              <w:rPr>
                <w:rFonts w:ascii="Times New Roman" w:hAnsi="Times New Roman" w:cs="Times New Roman"/>
                <w:sz w:val="24"/>
              </w:rPr>
              <w:t>F.5. Pašu kapitāla iepludināšana</w:t>
            </w:r>
          </w:p>
        </w:tc>
        <w:tc>
          <w:tcPr>
            <w:tcW w:w="1063" w:type="pct"/>
            <w:tcBorders>
              <w:top w:val="single" w:sz="5" w:space="0" w:color="000000"/>
              <w:left w:val="single" w:sz="5" w:space="0" w:color="000000"/>
              <w:bottom w:val="single" w:sz="5" w:space="0" w:color="000000"/>
              <w:right w:val="single" w:sz="5" w:space="0" w:color="000000"/>
            </w:tcBorders>
          </w:tcPr>
          <w:p w14:paraId="6F6428AC"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0</w:t>
            </w:r>
          </w:p>
        </w:tc>
        <w:tc>
          <w:tcPr>
            <w:tcW w:w="1149" w:type="pct"/>
            <w:tcBorders>
              <w:top w:val="single" w:sz="5" w:space="0" w:color="000000"/>
              <w:left w:val="single" w:sz="5" w:space="0" w:color="000000"/>
              <w:bottom w:val="single" w:sz="5" w:space="0" w:color="000000"/>
              <w:right w:val="single" w:sz="5" w:space="0" w:color="000000"/>
            </w:tcBorders>
          </w:tcPr>
          <w:p w14:paraId="70795221" w14:textId="77777777" w:rsidR="00443399" w:rsidRPr="00B03B51" w:rsidRDefault="00443399" w:rsidP="0054365B">
            <w:pPr>
              <w:jc w:val="center"/>
              <w:rPr>
                <w:rFonts w:ascii="Times New Roman" w:hAnsi="Times New Roman" w:cs="Times New Roman"/>
                <w:noProof/>
                <w:sz w:val="24"/>
              </w:rPr>
            </w:pPr>
          </w:p>
        </w:tc>
      </w:tr>
      <w:tr w:rsidR="00443399" w:rsidRPr="00B03B51" w14:paraId="39A6A51A" w14:textId="77777777" w:rsidTr="009534B7">
        <w:tc>
          <w:tcPr>
            <w:tcW w:w="2788" w:type="pct"/>
            <w:tcBorders>
              <w:top w:val="single" w:sz="5" w:space="0" w:color="000000"/>
              <w:left w:val="single" w:sz="5" w:space="0" w:color="000000"/>
              <w:bottom w:val="single" w:sz="5" w:space="0" w:color="000000"/>
              <w:right w:val="single" w:sz="5" w:space="0" w:color="000000"/>
            </w:tcBorders>
          </w:tcPr>
          <w:p w14:paraId="2A252BFB" w14:textId="77777777" w:rsidR="00443399" w:rsidRPr="00B03B51" w:rsidRDefault="00443399" w:rsidP="0054365B">
            <w:pPr>
              <w:pStyle w:val="TableParagraph"/>
              <w:jc w:val="both"/>
              <w:rPr>
                <w:rFonts w:ascii="Times New Roman" w:hAnsi="Times New Roman" w:cs="Times New Roman"/>
                <w:noProof/>
                <w:sz w:val="24"/>
              </w:rPr>
            </w:pPr>
            <w:r w:rsidRPr="00B03B51">
              <w:rPr>
                <w:rFonts w:ascii="Times New Roman" w:hAnsi="Times New Roman" w:cs="Times New Roman"/>
                <w:sz w:val="24"/>
              </w:rPr>
              <w:t>F.5. Pašu kapitāla izņemšana</w:t>
            </w:r>
          </w:p>
        </w:tc>
        <w:tc>
          <w:tcPr>
            <w:tcW w:w="1063" w:type="pct"/>
            <w:tcBorders>
              <w:top w:val="single" w:sz="5" w:space="0" w:color="000000"/>
              <w:left w:val="single" w:sz="5" w:space="0" w:color="000000"/>
              <w:bottom w:val="single" w:sz="5" w:space="0" w:color="000000"/>
              <w:right w:val="single" w:sz="5" w:space="0" w:color="000000"/>
            </w:tcBorders>
          </w:tcPr>
          <w:p w14:paraId="6F14F833" w14:textId="77777777" w:rsidR="00443399" w:rsidRPr="00B03B51" w:rsidRDefault="00443399" w:rsidP="0054365B">
            <w:pPr>
              <w:jc w:val="center"/>
              <w:rPr>
                <w:rFonts w:ascii="Times New Roman" w:hAnsi="Times New Roman" w:cs="Times New Roman"/>
                <w:noProof/>
                <w:sz w:val="24"/>
              </w:rPr>
            </w:pPr>
          </w:p>
        </w:tc>
        <w:tc>
          <w:tcPr>
            <w:tcW w:w="1149" w:type="pct"/>
            <w:tcBorders>
              <w:top w:val="single" w:sz="5" w:space="0" w:color="000000"/>
              <w:left w:val="single" w:sz="5" w:space="0" w:color="000000"/>
              <w:bottom w:val="single" w:sz="5" w:space="0" w:color="000000"/>
              <w:right w:val="single" w:sz="5" w:space="0" w:color="000000"/>
            </w:tcBorders>
          </w:tcPr>
          <w:p w14:paraId="1282A954"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–20</w:t>
            </w:r>
          </w:p>
        </w:tc>
      </w:tr>
      <w:tr w:rsidR="00443399" w:rsidRPr="00B03B51" w14:paraId="05A2515D" w14:textId="77777777" w:rsidTr="009534B7">
        <w:tc>
          <w:tcPr>
            <w:tcW w:w="2788" w:type="pct"/>
            <w:tcBorders>
              <w:top w:val="single" w:sz="5" w:space="0" w:color="000000"/>
              <w:left w:val="single" w:sz="5" w:space="0" w:color="000000"/>
              <w:bottom w:val="single" w:sz="5" w:space="0" w:color="000000"/>
              <w:right w:val="single" w:sz="5" w:space="0" w:color="000000"/>
            </w:tcBorders>
          </w:tcPr>
          <w:p w14:paraId="4918A904" w14:textId="77777777" w:rsidR="00443399" w:rsidRPr="00B03B51" w:rsidRDefault="00443399" w:rsidP="0054365B">
            <w:pPr>
              <w:pStyle w:val="TableParagraph"/>
              <w:jc w:val="both"/>
              <w:rPr>
                <w:rFonts w:ascii="Times New Roman" w:hAnsi="Times New Roman" w:cs="Times New Roman"/>
                <w:noProof/>
                <w:sz w:val="24"/>
              </w:rPr>
            </w:pPr>
            <w:r w:rsidRPr="00B03B51">
              <w:rPr>
                <w:rFonts w:ascii="Times New Roman" w:hAnsi="Times New Roman" w:cs="Times New Roman"/>
                <w:sz w:val="24"/>
              </w:rPr>
              <w:t>F.5. Pārvērtēšana</w:t>
            </w:r>
          </w:p>
        </w:tc>
        <w:tc>
          <w:tcPr>
            <w:tcW w:w="1063" w:type="pct"/>
            <w:tcBorders>
              <w:top w:val="single" w:sz="5" w:space="0" w:color="000000"/>
              <w:left w:val="single" w:sz="5" w:space="0" w:color="000000"/>
              <w:bottom w:val="single" w:sz="5" w:space="0" w:color="000000"/>
              <w:right w:val="single" w:sz="5" w:space="0" w:color="000000"/>
            </w:tcBorders>
          </w:tcPr>
          <w:p w14:paraId="5218DEBC"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0</w:t>
            </w:r>
          </w:p>
        </w:tc>
        <w:tc>
          <w:tcPr>
            <w:tcW w:w="1149" w:type="pct"/>
            <w:tcBorders>
              <w:top w:val="single" w:sz="5" w:space="0" w:color="000000"/>
              <w:left w:val="single" w:sz="5" w:space="0" w:color="000000"/>
              <w:bottom w:val="single" w:sz="5" w:space="0" w:color="000000"/>
              <w:right w:val="single" w:sz="5" w:space="0" w:color="000000"/>
            </w:tcBorders>
          </w:tcPr>
          <w:p w14:paraId="1F25BBCC"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20</w:t>
            </w:r>
          </w:p>
        </w:tc>
      </w:tr>
    </w:tbl>
    <w:p w14:paraId="3F17FE81" w14:textId="77777777" w:rsidR="00443399" w:rsidRPr="00B03B51" w:rsidRDefault="00443399" w:rsidP="00443399">
      <w:pPr>
        <w:jc w:val="both"/>
        <w:rPr>
          <w:rFonts w:ascii="Times New Roman" w:eastAsia="Arial" w:hAnsi="Times New Roman" w:cs="Times New Roman"/>
          <w:b/>
          <w:bCs/>
          <w:noProof/>
          <w:sz w:val="24"/>
          <w:szCs w:val="14"/>
        </w:rPr>
      </w:pPr>
    </w:p>
    <w:p w14:paraId="168B6AAA"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10. Abos gadījumos kopējā peļņa tiek izmaksāta valdībai. Tabulas augšējā daļā ir attēlota uzskaite centrālās bankas grāmatvedības sistēmā.</w:t>
      </w:r>
    </w:p>
    <w:p w14:paraId="7D87C064" w14:textId="77777777" w:rsidR="00443399" w:rsidRPr="00B03B51" w:rsidRDefault="00443399" w:rsidP="00443399">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t xml:space="preserve">Pirmās tabulas apakšējā daļā ir attēlota </w:t>
      </w:r>
      <w:r w:rsidRPr="00B03B51">
        <w:rPr>
          <w:rFonts w:ascii="Times New Roman" w:hAnsi="Times New Roman" w:cs="Times New Roman"/>
          <w:i/>
          <w:iCs/>
          <w:sz w:val="24"/>
        </w:rPr>
        <w:t>X</w:t>
      </w:r>
      <w:r w:rsidRPr="00B03B51">
        <w:rPr>
          <w:rFonts w:ascii="Times New Roman" w:hAnsi="Times New Roman" w:cs="Times New Roman"/>
          <w:sz w:val="24"/>
        </w:rPr>
        <w:t xml:space="preserve"> un </w:t>
      </w:r>
      <w:r w:rsidRPr="00B03B51">
        <w:rPr>
          <w:rFonts w:ascii="Times New Roman" w:hAnsi="Times New Roman" w:cs="Times New Roman"/>
          <w:i/>
          <w:iCs/>
          <w:sz w:val="24"/>
        </w:rPr>
        <w:t>Y</w:t>
      </w:r>
      <w:r w:rsidRPr="00B03B51">
        <w:rPr>
          <w:rFonts w:ascii="Times New Roman" w:hAnsi="Times New Roman" w:cs="Times New Roman"/>
          <w:sz w:val="24"/>
        </w:rPr>
        <w:t> gadījuma uzskaite saskaņā ar 4.2.2. iedaļā “Traktējums nacionālajos kontos” izklāstītajiem noteikumiem.</w:t>
      </w:r>
    </w:p>
    <w:p w14:paraId="5BECA4DA"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207D2806"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 xml:space="preserve">11. Saskaņā ar 4.2.2. iedaļā minēto 2. noteikumu </w:t>
      </w:r>
      <w:r w:rsidRPr="00B03B51">
        <w:rPr>
          <w:rFonts w:ascii="Times New Roman" w:hAnsi="Times New Roman" w:cs="Times New Roman"/>
          <w:i/>
          <w:iCs/>
          <w:sz w:val="24"/>
        </w:rPr>
        <w:t>X</w:t>
      </w:r>
      <w:r w:rsidRPr="00B03B51">
        <w:rPr>
          <w:rFonts w:ascii="Times New Roman" w:hAnsi="Times New Roman" w:cs="Times New Roman"/>
          <w:sz w:val="24"/>
        </w:rPr>
        <w:t xml:space="preserve"> gadījumā viss maksājums jāieraksta kā īpašuma ienākumi. Savukārt 4. noteikums paredz to, ka </w:t>
      </w:r>
      <w:r w:rsidRPr="00B03B51">
        <w:rPr>
          <w:rFonts w:ascii="Times New Roman" w:hAnsi="Times New Roman" w:cs="Times New Roman"/>
          <w:i/>
          <w:iCs/>
          <w:sz w:val="24"/>
        </w:rPr>
        <w:t>Y</w:t>
      </w:r>
      <w:r w:rsidRPr="00B03B51">
        <w:rPr>
          <w:rFonts w:ascii="Times New Roman" w:hAnsi="Times New Roman" w:cs="Times New Roman"/>
          <w:sz w:val="24"/>
        </w:rPr>
        <w:t xml:space="preserve"> gadījumā daļa no maksājuma jāieraksta kā īpašuma ienākumi un ka daļa no maksājuma jāieraksta kā pašu kapitāla izņemšana. </w:t>
      </w:r>
      <w:r w:rsidRPr="00B03B51">
        <w:rPr>
          <w:rFonts w:ascii="Times New Roman" w:hAnsi="Times New Roman" w:cs="Times New Roman"/>
          <w:i/>
          <w:iCs/>
          <w:sz w:val="24"/>
        </w:rPr>
        <w:t>X</w:t>
      </w:r>
      <w:r w:rsidRPr="00B03B51">
        <w:rPr>
          <w:rFonts w:ascii="Times New Roman" w:hAnsi="Times New Roman" w:cs="Times New Roman"/>
          <w:sz w:val="24"/>
        </w:rPr>
        <w:t> gadījumā kapitāla pieauguma un zaudējumu simetriska ierakstīšana nozīmētu to, ka 100 tiktu ierakstīts kā īpašuma ienākumi un 20 kā valdības pašu kapitāla iepludināšana. Šāds traktējums būtu piemērots saistībā ar atkārtoti ieguldītu peļņu, taču šāda pieeja starptautiskajos uzskaites standartos (EKS 2010, SVF Maksājumu bilances rokasgrāmata) tiek pieņemta vienīgi tieša ārvalstu ieguldījuma gadījumā.</w:t>
      </w:r>
    </w:p>
    <w:p w14:paraId="7C752613" w14:textId="77777777" w:rsidR="00443399" w:rsidRPr="00B03B51" w:rsidRDefault="00443399" w:rsidP="00443399">
      <w:pPr>
        <w:jc w:val="both"/>
        <w:rPr>
          <w:rFonts w:ascii="Times New Roman" w:eastAsia="Arial" w:hAnsi="Times New Roman" w:cs="Times New Roman"/>
          <w:noProof/>
          <w:sz w:val="24"/>
          <w:szCs w:val="15"/>
        </w:rPr>
      </w:pPr>
    </w:p>
    <w:p w14:paraId="35429413" w14:textId="77777777" w:rsidR="00443399" w:rsidRPr="00B03B51" w:rsidRDefault="00443399" w:rsidP="00443399">
      <w:pPr>
        <w:pStyle w:val="Heading6"/>
        <w:tabs>
          <w:tab w:val="left" w:pos="1267"/>
        </w:tabs>
        <w:ind w:left="0" w:firstLine="0"/>
        <w:jc w:val="both"/>
        <w:rPr>
          <w:rFonts w:ascii="Times New Roman" w:hAnsi="Times New Roman" w:cs="Times New Roman"/>
          <w:sz w:val="24"/>
        </w:rPr>
      </w:pPr>
      <w:bookmarkStart w:id="314" w:name="4.2.3.1_Legal_and_economic_ownership"/>
      <w:bookmarkEnd w:id="314"/>
      <w:r w:rsidRPr="00B03B51">
        <w:rPr>
          <w:rFonts w:ascii="Times New Roman" w:hAnsi="Times New Roman" w:cs="Times New Roman"/>
          <w:sz w:val="24"/>
        </w:rPr>
        <w:lastRenderedPageBreak/>
        <w:t>4.2.3.1. JURIDISKĀS UN EKONOMISKĀS ĪPAŠUMTIESĪBAS</w:t>
      </w:r>
    </w:p>
    <w:p w14:paraId="56376967"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26D37FB8"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12. Noteikumi, kas minēti 4.2.2. iedaļā, attiecas tikai uz maksājumiem, kas veikti valdībai kā centrālās bankas akcionārei. Pat ja no juridiskā viedokļa starp valdību un centrālo banku nepastāv īpašumtiesību attiecības, nacionālajos kontos ir jāieraksta pašu kapitāls, lai atspoguļotu faktu, ka centrālā banka tautas un valdības vārdā tur un pārvalda rezervju aktīvus. Turklāt, ja valdība regulāri saņem daļu peļņas vai tai ir tiesības uz neto aktīviem likvidācijas gadījumā, arī tas liecina, ka valdība ir centrālās bankas ekonomiskā īpašniece. Šādos gadījumos, ja valdībai ir ekonomiskās īpašumtiesības, pat ja tā nav juridiskā īpašniece, valdības īpašumtiesības centrālajā bankā ieraksta nacionālajos kontos kā “citu pašu kapitālu”.</w:t>
      </w:r>
    </w:p>
    <w:p w14:paraId="1AD76D85" w14:textId="77777777" w:rsidR="00443399" w:rsidRPr="00B03B51" w:rsidRDefault="00443399" w:rsidP="00443399">
      <w:pPr>
        <w:jc w:val="both"/>
        <w:rPr>
          <w:rFonts w:ascii="Times New Roman" w:eastAsia="Arial" w:hAnsi="Times New Roman" w:cs="Times New Roman"/>
          <w:noProof/>
          <w:sz w:val="24"/>
          <w:szCs w:val="15"/>
        </w:rPr>
      </w:pPr>
    </w:p>
    <w:p w14:paraId="55913938" w14:textId="77777777" w:rsidR="00443399" w:rsidRPr="00B03B51" w:rsidRDefault="00443399" w:rsidP="00443399">
      <w:pPr>
        <w:pStyle w:val="Heading6"/>
        <w:tabs>
          <w:tab w:val="left" w:pos="1267"/>
        </w:tabs>
        <w:ind w:left="0" w:firstLine="0"/>
        <w:jc w:val="both"/>
        <w:rPr>
          <w:rFonts w:ascii="Times New Roman" w:hAnsi="Times New Roman" w:cs="Times New Roman"/>
          <w:noProof/>
          <w:sz w:val="24"/>
        </w:rPr>
      </w:pPr>
      <w:bookmarkStart w:id="315" w:name="4.2.3.2_Valuation_of_government_equity"/>
      <w:bookmarkEnd w:id="315"/>
      <w:r w:rsidRPr="00B03B51">
        <w:rPr>
          <w:rFonts w:ascii="Times New Roman" w:hAnsi="Times New Roman" w:cs="Times New Roman"/>
          <w:sz w:val="24"/>
        </w:rPr>
        <w:t>4.2.3.2. VALDĪBAS PAŠU KAPITĀLA NOVĒRTĒŠANA</w:t>
      </w:r>
    </w:p>
    <w:p w14:paraId="3F4CF222"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05F1E58F"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13. Valdības pašu kapitāla daļu centrālajā bankā novērtē atbilstoši neto aktīviem. Tā ietver pašu kapitālu (emitēto), pārvērtēšanas rezerves (jo īpaši zeltu un ārvalstu valūtas), juridiskās un speciālās rezerves un paturētos ieņēmumus.</w:t>
      </w:r>
    </w:p>
    <w:p w14:paraId="2C00654F" w14:textId="77777777" w:rsidR="00443399" w:rsidRPr="00B03B51" w:rsidRDefault="00443399" w:rsidP="00443399">
      <w:pPr>
        <w:jc w:val="both"/>
        <w:rPr>
          <w:rFonts w:ascii="Times New Roman" w:eastAsia="Arial" w:hAnsi="Times New Roman" w:cs="Times New Roman"/>
          <w:noProof/>
          <w:sz w:val="24"/>
          <w:szCs w:val="15"/>
        </w:rPr>
      </w:pPr>
    </w:p>
    <w:p w14:paraId="263B50AE" w14:textId="77777777" w:rsidR="00443399" w:rsidRPr="00B03B51" w:rsidRDefault="00443399" w:rsidP="00443399">
      <w:pPr>
        <w:pStyle w:val="Heading6"/>
        <w:tabs>
          <w:tab w:val="left" w:pos="1267"/>
        </w:tabs>
        <w:ind w:left="0" w:firstLine="0"/>
        <w:jc w:val="both"/>
        <w:rPr>
          <w:rFonts w:ascii="Times New Roman" w:hAnsi="Times New Roman" w:cs="Times New Roman"/>
          <w:noProof/>
          <w:sz w:val="24"/>
        </w:rPr>
      </w:pPr>
      <w:bookmarkStart w:id="316" w:name="4.2.3.3_Other_payments"/>
      <w:bookmarkEnd w:id="316"/>
      <w:r w:rsidRPr="00B03B51">
        <w:rPr>
          <w:rFonts w:ascii="Times New Roman" w:hAnsi="Times New Roman" w:cs="Times New Roman"/>
          <w:sz w:val="24"/>
        </w:rPr>
        <w:t>4.2.3.3. CITI MAKSĀJUMI</w:t>
      </w:r>
    </w:p>
    <w:p w14:paraId="4C92F9E7"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3D89F2D4"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14. Iepriekš minētie noteikumi neattiecas uz maksājumiem, kurus centrālā banka ir veikusi par valdības sniegtajiem pakalpojumiem vai saistībā ar nodokļu nomaksu. Arī citām komercsabiedrībām piemērojamos regulāros uzņēmuma nodokļus, kurus centrālā banka ir samaksājusi valdībai, ieraksta kā ienākuma nodokli (D.51), izņemot nodokļus, kas ir samaksāti par izņēmuma darījumiem (skat. 4.3. nodaļu “Zelta tirdzniecība un ārvalstu valūtu maiņa centrālajā bankā”). Sarežģījumus nerada arī tas, ka kapitāla pieaugumu var aplikt ar nodokli. Saskaņā ar EKS 2010 ienākuma nodokļus iekasē ne tikai par ienākumiem, bet arī par peļņu un kapitāla pieaugumu (skat. EKS 2010 4.78. punktu).</w:t>
      </w:r>
    </w:p>
    <w:p w14:paraId="703575AC" w14:textId="77777777" w:rsidR="00443399" w:rsidRPr="00B03B51" w:rsidRDefault="00443399" w:rsidP="00443399">
      <w:pPr>
        <w:jc w:val="both"/>
        <w:rPr>
          <w:rFonts w:ascii="Times New Roman" w:hAnsi="Times New Roman" w:cs="Times New Roman"/>
          <w:noProof/>
          <w:sz w:val="24"/>
        </w:rPr>
      </w:pPr>
    </w:p>
    <w:p w14:paraId="4DF02C56" w14:textId="77777777" w:rsidR="00443399" w:rsidRPr="00B03B51" w:rsidRDefault="00443399" w:rsidP="00443399">
      <w:pPr>
        <w:pStyle w:val="Heading3"/>
        <w:tabs>
          <w:tab w:val="left" w:pos="1267"/>
        </w:tabs>
        <w:ind w:left="0" w:firstLine="0"/>
        <w:jc w:val="both"/>
        <w:rPr>
          <w:rFonts w:ascii="Times New Roman" w:hAnsi="Times New Roman" w:cs="Times New Roman"/>
          <w:noProof/>
          <w:sz w:val="24"/>
        </w:rPr>
      </w:pPr>
      <w:bookmarkStart w:id="317" w:name="4.2.4_Accounting_examples"/>
      <w:bookmarkStart w:id="318" w:name="_Toc67565122"/>
      <w:bookmarkEnd w:id="317"/>
      <w:r w:rsidRPr="00B03B51">
        <w:rPr>
          <w:rFonts w:ascii="Times New Roman" w:hAnsi="Times New Roman" w:cs="Times New Roman"/>
          <w:sz w:val="24"/>
        </w:rPr>
        <w:t>4.2.4. Uzskaites piemēri</w:t>
      </w:r>
      <w:bookmarkEnd w:id="318"/>
    </w:p>
    <w:p w14:paraId="11E1CBF7" w14:textId="77777777" w:rsidR="00443399" w:rsidRPr="00B03B51" w:rsidRDefault="00443399" w:rsidP="00443399">
      <w:pPr>
        <w:pStyle w:val="BodyText"/>
        <w:spacing w:before="0"/>
        <w:ind w:left="0" w:firstLine="0"/>
        <w:jc w:val="both"/>
        <w:rPr>
          <w:rFonts w:ascii="Times New Roman" w:hAnsi="Times New Roman" w:cs="Times New Roman"/>
          <w:noProof/>
          <w:sz w:val="24"/>
        </w:rPr>
      </w:pPr>
    </w:p>
    <w:p w14:paraId="1E5A8BB7" w14:textId="77777777" w:rsidR="00443399" w:rsidRPr="00B03B51" w:rsidRDefault="00443399" w:rsidP="00443399">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t>Turpmāk tabulā ir iekļauti daži tipiski piemēri attiecībā uz centrālās bankas gada peļņas un zaudējumu pārskatu un maksājumiem valdībai. Atbilstošu ierakstīšanu valsts kontos var noteikt, salīdzinot maksājumu valdībai (B) ar pamatdarbības peļņu/zaudējumiem (A). Vispārējās valdības turēšanas guvumus/zaudējumus F.5 aprēķina, no kopējās peļņas atskaitot samaksāto īpašuma ienākumu summu.</w:t>
      </w:r>
    </w:p>
    <w:p w14:paraId="12AE9BD0" w14:textId="77777777" w:rsidR="00443399" w:rsidRPr="00B03B51" w:rsidRDefault="00443399" w:rsidP="00443399">
      <w:pPr>
        <w:jc w:val="both"/>
        <w:rPr>
          <w:rFonts w:ascii="Times New Roman" w:hAnsi="Times New Roman" w:cs="Times New Roman"/>
          <w:b/>
          <w:noProof/>
          <w:sz w:val="24"/>
        </w:rPr>
      </w:pPr>
    </w:p>
    <w:p w14:paraId="4F9C341B" w14:textId="77777777" w:rsidR="00443399" w:rsidRPr="00B03B51" w:rsidRDefault="00443399" w:rsidP="00443399">
      <w:pPr>
        <w:jc w:val="both"/>
        <w:rPr>
          <w:rFonts w:ascii="Times New Roman" w:hAnsi="Times New Roman" w:cs="Times New Roman"/>
          <w:b/>
          <w:noProof/>
          <w:sz w:val="24"/>
        </w:rPr>
      </w:pPr>
      <w:r w:rsidRPr="00B03B51">
        <w:rPr>
          <w:rFonts w:ascii="Times New Roman" w:hAnsi="Times New Roman" w:cs="Times New Roman"/>
          <w:b/>
          <w:sz w:val="24"/>
        </w:rPr>
        <w:t>2. tabula. Centrālās bankas maksājumi valdībai un to ierakstīšana nacionālajos kontos</w:t>
      </w:r>
    </w:p>
    <w:p w14:paraId="3687DCD5" w14:textId="77777777" w:rsidR="00443399" w:rsidRPr="00B03B51" w:rsidRDefault="00443399" w:rsidP="00443399">
      <w:pPr>
        <w:jc w:val="both"/>
        <w:rPr>
          <w:rFonts w:ascii="Times New Roman" w:eastAsia="Arial" w:hAnsi="Times New Roman" w:cs="Times New Roman"/>
          <w:b/>
          <w:bCs/>
          <w:noProof/>
          <w:sz w:val="24"/>
          <w:szCs w:val="12"/>
        </w:rPr>
      </w:pPr>
    </w:p>
    <w:tbl>
      <w:tblPr>
        <w:tblW w:w="5000" w:type="pct"/>
        <w:tblCellMar>
          <w:top w:w="28" w:type="dxa"/>
          <w:left w:w="28" w:type="dxa"/>
          <w:bottom w:w="28" w:type="dxa"/>
          <w:right w:w="28" w:type="dxa"/>
        </w:tblCellMar>
        <w:tblLook w:val="01E0" w:firstRow="1" w:lastRow="1" w:firstColumn="1" w:lastColumn="1" w:noHBand="0" w:noVBand="0"/>
      </w:tblPr>
      <w:tblGrid>
        <w:gridCol w:w="5197"/>
        <w:gridCol w:w="466"/>
        <w:gridCol w:w="466"/>
        <w:gridCol w:w="466"/>
        <w:gridCol w:w="466"/>
        <w:gridCol w:w="466"/>
        <w:gridCol w:w="466"/>
        <w:gridCol w:w="466"/>
        <w:gridCol w:w="600"/>
      </w:tblGrid>
      <w:tr w:rsidR="00443399" w:rsidRPr="00B03B51" w14:paraId="20751604" w14:textId="77777777" w:rsidTr="00422349">
        <w:tc>
          <w:tcPr>
            <w:tcW w:w="2868" w:type="pct"/>
            <w:tcBorders>
              <w:top w:val="single" w:sz="5" w:space="0" w:color="000000"/>
              <w:left w:val="single" w:sz="5" w:space="0" w:color="000000"/>
              <w:bottom w:val="single" w:sz="5" w:space="0" w:color="000000"/>
              <w:right w:val="single" w:sz="5" w:space="0" w:color="000000"/>
            </w:tcBorders>
          </w:tcPr>
          <w:p w14:paraId="152F95DF" w14:textId="77777777" w:rsidR="00443399" w:rsidRPr="00B03B51" w:rsidRDefault="00443399" w:rsidP="0054365B">
            <w:pPr>
              <w:jc w:val="both"/>
              <w:rPr>
                <w:rFonts w:ascii="Times New Roman" w:hAnsi="Times New Roman" w:cs="Times New Roman"/>
                <w:noProof/>
                <w:sz w:val="24"/>
              </w:rPr>
            </w:pPr>
          </w:p>
        </w:tc>
        <w:tc>
          <w:tcPr>
            <w:tcW w:w="257" w:type="pct"/>
            <w:tcBorders>
              <w:top w:val="single" w:sz="5" w:space="0" w:color="000000"/>
              <w:left w:val="single" w:sz="5" w:space="0" w:color="000000"/>
              <w:bottom w:val="single" w:sz="5" w:space="0" w:color="000000"/>
              <w:right w:val="single" w:sz="5" w:space="0" w:color="000000"/>
            </w:tcBorders>
          </w:tcPr>
          <w:p w14:paraId="5D955238" w14:textId="77777777" w:rsidR="00443399" w:rsidRPr="00B03B51" w:rsidRDefault="00443399" w:rsidP="0054365B">
            <w:pPr>
              <w:pStyle w:val="TableParagraph"/>
              <w:jc w:val="center"/>
              <w:rPr>
                <w:rFonts w:ascii="Times New Roman" w:hAnsi="Times New Roman" w:cs="Times New Roman"/>
                <w:b/>
                <w:noProof/>
                <w:sz w:val="24"/>
              </w:rPr>
            </w:pPr>
            <w:r w:rsidRPr="00B03B51">
              <w:rPr>
                <w:rFonts w:ascii="Times New Roman" w:hAnsi="Times New Roman" w:cs="Times New Roman"/>
                <w:b/>
                <w:sz w:val="24"/>
              </w:rPr>
              <w:t>1</w:t>
            </w:r>
          </w:p>
        </w:tc>
        <w:tc>
          <w:tcPr>
            <w:tcW w:w="257" w:type="pct"/>
            <w:tcBorders>
              <w:top w:val="single" w:sz="5" w:space="0" w:color="000000"/>
              <w:left w:val="single" w:sz="5" w:space="0" w:color="000000"/>
              <w:bottom w:val="single" w:sz="5" w:space="0" w:color="000000"/>
              <w:right w:val="single" w:sz="5" w:space="0" w:color="000000"/>
            </w:tcBorders>
          </w:tcPr>
          <w:p w14:paraId="44800FC0" w14:textId="77777777" w:rsidR="00443399" w:rsidRPr="00B03B51" w:rsidRDefault="00443399" w:rsidP="0054365B">
            <w:pPr>
              <w:pStyle w:val="TableParagraph"/>
              <w:jc w:val="center"/>
              <w:rPr>
                <w:rFonts w:ascii="Times New Roman" w:hAnsi="Times New Roman" w:cs="Times New Roman"/>
                <w:b/>
                <w:noProof/>
                <w:sz w:val="24"/>
              </w:rPr>
            </w:pPr>
            <w:r w:rsidRPr="00B03B51">
              <w:rPr>
                <w:rFonts w:ascii="Times New Roman" w:hAnsi="Times New Roman" w:cs="Times New Roman"/>
                <w:b/>
                <w:sz w:val="24"/>
              </w:rPr>
              <w:t>2</w:t>
            </w:r>
          </w:p>
        </w:tc>
        <w:tc>
          <w:tcPr>
            <w:tcW w:w="257" w:type="pct"/>
            <w:tcBorders>
              <w:top w:val="single" w:sz="5" w:space="0" w:color="000000"/>
              <w:left w:val="single" w:sz="5" w:space="0" w:color="000000"/>
              <w:bottom w:val="single" w:sz="5" w:space="0" w:color="000000"/>
              <w:right w:val="single" w:sz="5" w:space="0" w:color="000000"/>
            </w:tcBorders>
          </w:tcPr>
          <w:p w14:paraId="7FE917AE" w14:textId="77777777" w:rsidR="00443399" w:rsidRPr="00B03B51" w:rsidRDefault="00443399" w:rsidP="0054365B">
            <w:pPr>
              <w:pStyle w:val="TableParagraph"/>
              <w:jc w:val="center"/>
              <w:rPr>
                <w:rFonts w:ascii="Times New Roman" w:hAnsi="Times New Roman" w:cs="Times New Roman"/>
                <w:b/>
                <w:noProof/>
                <w:sz w:val="24"/>
              </w:rPr>
            </w:pPr>
            <w:r w:rsidRPr="00B03B51">
              <w:rPr>
                <w:rFonts w:ascii="Times New Roman" w:hAnsi="Times New Roman" w:cs="Times New Roman"/>
                <w:b/>
                <w:sz w:val="24"/>
              </w:rPr>
              <w:t>3</w:t>
            </w:r>
          </w:p>
        </w:tc>
        <w:tc>
          <w:tcPr>
            <w:tcW w:w="257" w:type="pct"/>
            <w:tcBorders>
              <w:top w:val="single" w:sz="5" w:space="0" w:color="000000"/>
              <w:left w:val="single" w:sz="5" w:space="0" w:color="000000"/>
              <w:bottom w:val="single" w:sz="5" w:space="0" w:color="000000"/>
              <w:right w:val="single" w:sz="5" w:space="0" w:color="000000"/>
            </w:tcBorders>
          </w:tcPr>
          <w:p w14:paraId="2C3E73BC" w14:textId="77777777" w:rsidR="00443399" w:rsidRPr="00B03B51" w:rsidRDefault="00443399" w:rsidP="0054365B">
            <w:pPr>
              <w:pStyle w:val="TableParagraph"/>
              <w:jc w:val="center"/>
              <w:rPr>
                <w:rFonts w:ascii="Times New Roman" w:hAnsi="Times New Roman" w:cs="Times New Roman"/>
                <w:b/>
                <w:noProof/>
                <w:sz w:val="24"/>
              </w:rPr>
            </w:pPr>
            <w:r w:rsidRPr="00B03B51">
              <w:rPr>
                <w:rFonts w:ascii="Times New Roman" w:hAnsi="Times New Roman" w:cs="Times New Roman"/>
                <w:b/>
                <w:sz w:val="24"/>
              </w:rPr>
              <w:t>4</w:t>
            </w:r>
          </w:p>
        </w:tc>
        <w:tc>
          <w:tcPr>
            <w:tcW w:w="257" w:type="pct"/>
            <w:tcBorders>
              <w:top w:val="single" w:sz="5" w:space="0" w:color="000000"/>
              <w:left w:val="single" w:sz="5" w:space="0" w:color="000000"/>
              <w:bottom w:val="single" w:sz="5" w:space="0" w:color="000000"/>
              <w:right w:val="single" w:sz="5" w:space="0" w:color="000000"/>
            </w:tcBorders>
          </w:tcPr>
          <w:p w14:paraId="72EAC125" w14:textId="77777777" w:rsidR="00443399" w:rsidRPr="00B03B51" w:rsidRDefault="00443399" w:rsidP="0054365B">
            <w:pPr>
              <w:pStyle w:val="TableParagraph"/>
              <w:jc w:val="center"/>
              <w:rPr>
                <w:rFonts w:ascii="Times New Roman" w:hAnsi="Times New Roman" w:cs="Times New Roman"/>
                <w:b/>
                <w:noProof/>
                <w:sz w:val="24"/>
              </w:rPr>
            </w:pPr>
            <w:r w:rsidRPr="00B03B51">
              <w:rPr>
                <w:rFonts w:ascii="Times New Roman" w:hAnsi="Times New Roman" w:cs="Times New Roman"/>
                <w:b/>
                <w:sz w:val="24"/>
              </w:rPr>
              <w:t>5</w:t>
            </w:r>
          </w:p>
        </w:tc>
        <w:tc>
          <w:tcPr>
            <w:tcW w:w="257" w:type="pct"/>
            <w:tcBorders>
              <w:top w:val="single" w:sz="5" w:space="0" w:color="000000"/>
              <w:left w:val="single" w:sz="5" w:space="0" w:color="000000"/>
              <w:bottom w:val="single" w:sz="5" w:space="0" w:color="000000"/>
              <w:right w:val="single" w:sz="5" w:space="0" w:color="000000"/>
            </w:tcBorders>
          </w:tcPr>
          <w:p w14:paraId="33009E14" w14:textId="77777777" w:rsidR="00443399" w:rsidRPr="00B03B51" w:rsidRDefault="00443399" w:rsidP="0054365B">
            <w:pPr>
              <w:pStyle w:val="TableParagraph"/>
              <w:jc w:val="center"/>
              <w:rPr>
                <w:rFonts w:ascii="Times New Roman" w:hAnsi="Times New Roman" w:cs="Times New Roman"/>
                <w:b/>
                <w:noProof/>
                <w:sz w:val="24"/>
              </w:rPr>
            </w:pPr>
            <w:r w:rsidRPr="00B03B51">
              <w:rPr>
                <w:rFonts w:ascii="Times New Roman" w:hAnsi="Times New Roman" w:cs="Times New Roman"/>
                <w:b/>
                <w:sz w:val="24"/>
              </w:rPr>
              <w:t>6</w:t>
            </w:r>
          </w:p>
        </w:tc>
        <w:tc>
          <w:tcPr>
            <w:tcW w:w="257" w:type="pct"/>
            <w:tcBorders>
              <w:top w:val="single" w:sz="5" w:space="0" w:color="000000"/>
              <w:left w:val="single" w:sz="5" w:space="0" w:color="000000"/>
              <w:bottom w:val="single" w:sz="5" w:space="0" w:color="000000"/>
              <w:right w:val="single" w:sz="5" w:space="0" w:color="000000"/>
            </w:tcBorders>
          </w:tcPr>
          <w:p w14:paraId="39BD4600" w14:textId="77777777" w:rsidR="00443399" w:rsidRPr="00B03B51" w:rsidRDefault="00443399" w:rsidP="0054365B">
            <w:pPr>
              <w:pStyle w:val="TableParagraph"/>
              <w:jc w:val="center"/>
              <w:rPr>
                <w:rFonts w:ascii="Times New Roman" w:hAnsi="Times New Roman" w:cs="Times New Roman"/>
                <w:b/>
                <w:noProof/>
                <w:sz w:val="24"/>
              </w:rPr>
            </w:pPr>
            <w:r w:rsidRPr="00B03B51">
              <w:rPr>
                <w:rFonts w:ascii="Times New Roman" w:hAnsi="Times New Roman" w:cs="Times New Roman"/>
                <w:b/>
                <w:sz w:val="24"/>
              </w:rPr>
              <w:t>7</w:t>
            </w:r>
          </w:p>
        </w:tc>
        <w:tc>
          <w:tcPr>
            <w:tcW w:w="331" w:type="pct"/>
            <w:tcBorders>
              <w:top w:val="single" w:sz="5" w:space="0" w:color="000000"/>
              <w:left w:val="single" w:sz="5" w:space="0" w:color="000000"/>
              <w:bottom w:val="single" w:sz="5" w:space="0" w:color="000000"/>
              <w:right w:val="single" w:sz="5" w:space="0" w:color="000000"/>
            </w:tcBorders>
          </w:tcPr>
          <w:p w14:paraId="2D333495" w14:textId="77777777" w:rsidR="00443399" w:rsidRPr="00B03B51" w:rsidRDefault="00443399" w:rsidP="0054365B">
            <w:pPr>
              <w:pStyle w:val="TableParagraph"/>
              <w:jc w:val="center"/>
              <w:rPr>
                <w:rFonts w:ascii="Times New Roman" w:hAnsi="Times New Roman" w:cs="Times New Roman"/>
                <w:b/>
                <w:noProof/>
                <w:sz w:val="24"/>
              </w:rPr>
            </w:pPr>
            <w:r w:rsidRPr="00B03B51">
              <w:rPr>
                <w:rFonts w:ascii="Times New Roman" w:hAnsi="Times New Roman" w:cs="Times New Roman"/>
                <w:b/>
                <w:sz w:val="24"/>
              </w:rPr>
              <w:t>8</w:t>
            </w:r>
          </w:p>
        </w:tc>
      </w:tr>
      <w:tr w:rsidR="00443399" w:rsidRPr="00B03B51" w14:paraId="04CAD7E4" w14:textId="77777777" w:rsidTr="00422349">
        <w:tc>
          <w:tcPr>
            <w:tcW w:w="2868" w:type="pct"/>
            <w:tcBorders>
              <w:top w:val="single" w:sz="5" w:space="0" w:color="000000"/>
              <w:left w:val="single" w:sz="5" w:space="0" w:color="000000"/>
              <w:bottom w:val="single" w:sz="5" w:space="0" w:color="000000"/>
              <w:right w:val="single" w:sz="5" w:space="0" w:color="000000"/>
            </w:tcBorders>
          </w:tcPr>
          <w:p w14:paraId="46DA61C8" w14:textId="77777777" w:rsidR="00443399" w:rsidRPr="00B03B51" w:rsidRDefault="00443399" w:rsidP="0054365B">
            <w:pPr>
              <w:pStyle w:val="TableParagraph"/>
              <w:jc w:val="both"/>
              <w:rPr>
                <w:rFonts w:ascii="Times New Roman" w:hAnsi="Times New Roman" w:cs="Times New Roman"/>
                <w:noProof/>
                <w:sz w:val="24"/>
              </w:rPr>
            </w:pPr>
            <w:r w:rsidRPr="00B03B51">
              <w:rPr>
                <w:rFonts w:ascii="Times New Roman" w:hAnsi="Times New Roman" w:cs="Times New Roman"/>
                <w:sz w:val="24"/>
              </w:rPr>
              <w:t>Kopējā peļņa (+)/zaudējumi (–)</w:t>
            </w:r>
          </w:p>
        </w:tc>
        <w:tc>
          <w:tcPr>
            <w:tcW w:w="257" w:type="pct"/>
            <w:tcBorders>
              <w:top w:val="single" w:sz="5" w:space="0" w:color="000000"/>
              <w:left w:val="single" w:sz="5" w:space="0" w:color="000000"/>
              <w:bottom w:val="single" w:sz="5" w:space="0" w:color="000000"/>
              <w:right w:val="single" w:sz="5" w:space="0" w:color="000000"/>
            </w:tcBorders>
          </w:tcPr>
          <w:p w14:paraId="42E616B0"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100</w:t>
            </w:r>
          </w:p>
        </w:tc>
        <w:tc>
          <w:tcPr>
            <w:tcW w:w="257" w:type="pct"/>
            <w:tcBorders>
              <w:top w:val="single" w:sz="5" w:space="0" w:color="000000"/>
              <w:left w:val="single" w:sz="5" w:space="0" w:color="000000"/>
              <w:bottom w:val="single" w:sz="5" w:space="0" w:color="000000"/>
              <w:right w:val="single" w:sz="5" w:space="0" w:color="000000"/>
            </w:tcBorders>
          </w:tcPr>
          <w:p w14:paraId="10014066"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150</w:t>
            </w:r>
          </w:p>
        </w:tc>
        <w:tc>
          <w:tcPr>
            <w:tcW w:w="257" w:type="pct"/>
            <w:tcBorders>
              <w:top w:val="single" w:sz="5" w:space="0" w:color="000000"/>
              <w:left w:val="single" w:sz="5" w:space="0" w:color="000000"/>
              <w:bottom w:val="single" w:sz="5" w:space="0" w:color="000000"/>
              <w:right w:val="single" w:sz="5" w:space="0" w:color="000000"/>
            </w:tcBorders>
          </w:tcPr>
          <w:p w14:paraId="1B103018"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150</w:t>
            </w:r>
          </w:p>
        </w:tc>
        <w:tc>
          <w:tcPr>
            <w:tcW w:w="257" w:type="pct"/>
            <w:tcBorders>
              <w:top w:val="single" w:sz="5" w:space="0" w:color="000000"/>
              <w:left w:val="single" w:sz="5" w:space="0" w:color="000000"/>
              <w:bottom w:val="single" w:sz="5" w:space="0" w:color="000000"/>
              <w:right w:val="single" w:sz="5" w:space="0" w:color="000000"/>
            </w:tcBorders>
          </w:tcPr>
          <w:p w14:paraId="5711D48C"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100</w:t>
            </w:r>
          </w:p>
        </w:tc>
        <w:tc>
          <w:tcPr>
            <w:tcW w:w="257" w:type="pct"/>
            <w:tcBorders>
              <w:top w:val="single" w:sz="5" w:space="0" w:color="000000"/>
              <w:left w:val="single" w:sz="5" w:space="0" w:color="000000"/>
              <w:bottom w:val="single" w:sz="5" w:space="0" w:color="000000"/>
              <w:right w:val="single" w:sz="5" w:space="0" w:color="000000"/>
            </w:tcBorders>
          </w:tcPr>
          <w:p w14:paraId="6213D1CE"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100</w:t>
            </w:r>
          </w:p>
        </w:tc>
        <w:tc>
          <w:tcPr>
            <w:tcW w:w="257" w:type="pct"/>
            <w:tcBorders>
              <w:top w:val="single" w:sz="5" w:space="0" w:color="000000"/>
              <w:left w:val="single" w:sz="5" w:space="0" w:color="000000"/>
              <w:bottom w:val="single" w:sz="5" w:space="0" w:color="000000"/>
              <w:right w:val="single" w:sz="5" w:space="0" w:color="000000"/>
            </w:tcBorders>
          </w:tcPr>
          <w:p w14:paraId="2D64A899"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150</w:t>
            </w:r>
          </w:p>
        </w:tc>
        <w:tc>
          <w:tcPr>
            <w:tcW w:w="257" w:type="pct"/>
            <w:tcBorders>
              <w:top w:val="single" w:sz="5" w:space="0" w:color="000000"/>
              <w:left w:val="single" w:sz="5" w:space="0" w:color="000000"/>
              <w:bottom w:val="single" w:sz="5" w:space="0" w:color="000000"/>
              <w:right w:val="single" w:sz="5" w:space="0" w:color="000000"/>
            </w:tcBorders>
          </w:tcPr>
          <w:p w14:paraId="09A4CA7B"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50</w:t>
            </w:r>
          </w:p>
        </w:tc>
        <w:tc>
          <w:tcPr>
            <w:tcW w:w="331" w:type="pct"/>
            <w:tcBorders>
              <w:top w:val="single" w:sz="5" w:space="0" w:color="000000"/>
              <w:left w:val="single" w:sz="5" w:space="0" w:color="000000"/>
              <w:bottom w:val="single" w:sz="5" w:space="0" w:color="000000"/>
              <w:right w:val="single" w:sz="5" w:space="0" w:color="000000"/>
            </w:tcBorders>
          </w:tcPr>
          <w:p w14:paraId="11F87C72"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50</w:t>
            </w:r>
          </w:p>
        </w:tc>
      </w:tr>
      <w:tr w:rsidR="00443399" w:rsidRPr="00B03B51" w14:paraId="18A5076A" w14:textId="77777777" w:rsidTr="00422349">
        <w:tc>
          <w:tcPr>
            <w:tcW w:w="2868" w:type="pct"/>
            <w:tcBorders>
              <w:top w:val="single" w:sz="5" w:space="0" w:color="000000"/>
              <w:left w:val="single" w:sz="5" w:space="0" w:color="000000"/>
              <w:bottom w:val="single" w:sz="5" w:space="0" w:color="000000"/>
              <w:right w:val="single" w:sz="5" w:space="0" w:color="000000"/>
            </w:tcBorders>
          </w:tcPr>
          <w:p w14:paraId="74C8FB53" w14:textId="77777777" w:rsidR="00443399" w:rsidRPr="00B03B51" w:rsidRDefault="00443399" w:rsidP="0054365B">
            <w:pPr>
              <w:pStyle w:val="TableParagraph"/>
              <w:jc w:val="both"/>
              <w:rPr>
                <w:rFonts w:ascii="Times New Roman" w:hAnsi="Times New Roman" w:cs="Times New Roman"/>
                <w:noProof/>
                <w:sz w:val="24"/>
              </w:rPr>
            </w:pPr>
            <w:r w:rsidRPr="00B03B51">
              <w:rPr>
                <w:rFonts w:ascii="Times New Roman" w:hAnsi="Times New Roman" w:cs="Times New Roman"/>
                <w:sz w:val="24"/>
              </w:rPr>
              <w:t>Pamatdarbības peļņa (+)/zaudējumi (–)</w:t>
            </w:r>
          </w:p>
        </w:tc>
        <w:tc>
          <w:tcPr>
            <w:tcW w:w="257" w:type="pct"/>
            <w:tcBorders>
              <w:top w:val="single" w:sz="5" w:space="0" w:color="000000"/>
              <w:left w:val="single" w:sz="5" w:space="0" w:color="000000"/>
              <w:bottom w:val="single" w:sz="5" w:space="0" w:color="000000"/>
              <w:right w:val="single" w:sz="5" w:space="0" w:color="000000"/>
            </w:tcBorders>
          </w:tcPr>
          <w:p w14:paraId="5D5E9384"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100</w:t>
            </w:r>
          </w:p>
        </w:tc>
        <w:tc>
          <w:tcPr>
            <w:tcW w:w="257" w:type="pct"/>
            <w:tcBorders>
              <w:top w:val="single" w:sz="5" w:space="0" w:color="000000"/>
              <w:left w:val="single" w:sz="5" w:space="0" w:color="000000"/>
              <w:bottom w:val="single" w:sz="5" w:space="0" w:color="000000"/>
              <w:right w:val="single" w:sz="5" w:space="0" w:color="000000"/>
            </w:tcBorders>
          </w:tcPr>
          <w:p w14:paraId="104E0C3E"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100</w:t>
            </w:r>
          </w:p>
        </w:tc>
        <w:tc>
          <w:tcPr>
            <w:tcW w:w="257" w:type="pct"/>
            <w:tcBorders>
              <w:top w:val="single" w:sz="5" w:space="0" w:color="000000"/>
              <w:left w:val="single" w:sz="5" w:space="0" w:color="000000"/>
              <w:bottom w:val="single" w:sz="5" w:space="0" w:color="000000"/>
              <w:right w:val="single" w:sz="5" w:space="0" w:color="000000"/>
            </w:tcBorders>
          </w:tcPr>
          <w:p w14:paraId="1D385F79"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100</w:t>
            </w:r>
          </w:p>
        </w:tc>
        <w:tc>
          <w:tcPr>
            <w:tcW w:w="257" w:type="pct"/>
            <w:tcBorders>
              <w:top w:val="single" w:sz="5" w:space="0" w:color="000000"/>
              <w:left w:val="single" w:sz="5" w:space="0" w:color="000000"/>
              <w:bottom w:val="single" w:sz="5" w:space="0" w:color="000000"/>
              <w:right w:val="single" w:sz="5" w:space="0" w:color="000000"/>
            </w:tcBorders>
          </w:tcPr>
          <w:p w14:paraId="16B35A3C"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150</w:t>
            </w:r>
          </w:p>
        </w:tc>
        <w:tc>
          <w:tcPr>
            <w:tcW w:w="257" w:type="pct"/>
            <w:tcBorders>
              <w:top w:val="single" w:sz="5" w:space="0" w:color="000000"/>
              <w:left w:val="single" w:sz="5" w:space="0" w:color="000000"/>
              <w:bottom w:val="single" w:sz="5" w:space="0" w:color="000000"/>
              <w:right w:val="single" w:sz="5" w:space="0" w:color="000000"/>
            </w:tcBorders>
          </w:tcPr>
          <w:p w14:paraId="799968E4"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150</w:t>
            </w:r>
          </w:p>
        </w:tc>
        <w:tc>
          <w:tcPr>
            <w:tcW w:w="257" w:type="pct"/>
            <w:tcBorders>
              <w:top w:val="single" w:sz="5" w:space="0" w:color="000000"/>
              <w:left w:val="single" w:sz="5" w:space="0" w:color="000000"/>
              <w:bottom w:val="single" w:sz="5" w:space="0" w:color="000000"/>
              <w:right w:val="single" w:sz="5" w:space="0" w:color="000000"/>
            </w:tcBorders>
          </w:tcPr>
          <w:p w14:paraId="0D59DC68"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100</w:t>
            </w:r>
          </w:p>
        </w:tc>
        <w:tc>
          <w:tcPr>
            <w:tcW w:w="257" w:type="pct"/>
            <w:tcBorders>
              <w:top w:val="single" w:sz="5" w:space="0" w:color="000000"/>
              <w:left w:val="single" w:sz="5" w:space="0" w:color="000000"/>
              <w:bottom w:val="single" w:sz="5" w:space="0" w:color="000000"/>
              <w:right w:val="single" w:sz="5" w:space="0" w:color="000000"/>
            </w:tcBorders>
          </w:tcPr>
          <w:p w14:paraId="4B6932B6"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–50</w:t>
            </w:r>
          </w:p>
        </w:tc>
        <w:tc>
          <w:tcPr>
            <w:tcW w:w="331" w:type="pct"/>
            <w:tcBorders>
              <w:top w:val="single" w:sz="5" w:space="0" w:color="000000"/>
              <w:left w:val="single" w:sz="5" w:space="0" w:color="000000"/>
              <w:bottom w:val="single" w:sz="5" w:space="0" w:color="000000"/>
              <w:right w:val="single" w:sz="5" w:space="0" w:color="000000"/>
            </w:tcBorders>
          </w:tcPr>
          <w:p w14:paraId="1DCB3B0C"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–50</w:t>
            </w:r>
          </w:p>
        </w:tc>
      </w:tr>
      <w:tr w:rsidR="00443399" w:rsidRPr="00B03B51" w14:paraId="171A1B5E" w14:textId="77777777" w:rsidTr="00422349">
        <w:tc>
          <w:tcPr>
            <w:tcW w:w="2868" w:type="pct"/>
            <w:tcBorders>
              <w:top w:val="single" w:sz="5" w:space="0" w:color="000000"/>
              <w:left w:val="single" w:sz="5" w:space="0" w:color="000000"/>
              <w:bottom w:val="single" w:sz="5" w:space="0" w:color="000000"/>
              <w:right w:val="single" w:sz="5" w:space="0" w:color="000000"/>
            </w:tcBorders>
          </w:tcPr>
          <w:p w14:paraId="0E1A2F00" w14:textId="77777777" w:rsidR="00443399" w:rsidRPr="00B03B51" w:rsidRDefault="00443399" w:rsidP="0054365B">
            <w:pPr>
              <w:pStyle w:val="TableParagraph"/>
              <w:jc w:val="both"/>
              <w:rPr>
                <w:rFonts w:ascii="Times New Roman" w:hAnsi="Times New Roman" w:cs="Times New Roman"/>
                <w:noProof/>
                <w:sz w:val="24"/>
              </w:rPr>
            </w:pPr>
            <w:r w:rsidRPr="00B03B51">
              <w:rPr>
                <w:rFonts w:ascii="Times New Roman" w:hAnsi="Times New Roman" w:cs="Times New Roman"/>
                <w:sz w:val="24"/>
              </w:rPr>
              <w:t>Kapitāla pieaugums (+)/zaudējumi (–)</w:t>
            </w:r>
          </w:p>
        </w:tc>
        <w:tc>
          <w:tcPr>
            <w:tcW w:w="257" w:type="pct"/>
            <w:tcBorders>
              <w:top w:val="single" w:sz="5" w:space="0" w:color="000000"/>
              <w:left w:val="single" w:sz="5" w:space="0" w:color="000000"/>
              <w:bottom w:val="single" w:sz="5" w:space="0" w:color="000000"/>
              <w:right w:val="single" w:sz="5" w:space="0" w:color="000000"/>
            </w:tcBorders>
          </w:tcPr>
          <w:p w14:paraId="1D89BD0A"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0</w:t>
            </w:r>
          </w:p>
        </w:tc>
        <w:tc>
          <w:tcPr>
            <w:tcW w:w="257" w:type="pct"/>
            <w:tcBorders>
              <w:top w:val="single" w:sz="5" w:space="0" w:color="000000"/>
              <w:left w:val="single" w:sz="5" w:space="0" w:color="000000"/>
              <w:bottom w:val="single" w:sz="5" w:space="0" w:color="000000"/>
              <w:right w:val="single" w:sz="5" w:space="0" w:color="000000"/>
            </w:tcBorders>
          </w:tcPr>
          <w:p w14:paraId="4825D849"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50</w:t>
            </w:r>
          </w:p>
        </w:tc>
        <w:tc>
          <w:tcPr>
            <w:tcW w:w="257" w:type="pct"/>
            <w:tcBorders>
              <w:top w:val="single" w:sz="5" w:space="0" w:color="000000"/>
              <w:left w:val="single" w:sz="5" w:space="0" w:color="000000"/>
              <w:bottom w:val="single" w:sz="5" w:space="0" w:color="000000"/>
              <w:right w:val="single" w:sz="5" w:space="0" w:color="000000"/>
            </w:tcBorders>
          </w:tcPr>
          <w:p w14:paraId="6EE75670"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50</w:t>
            </w:r>
          </w:p>
        </w:tc>
        <w:tc>
          <w:tcPr>
            <w:tcW w:w="257" w:type="pct"/>
            <w:tcBorders>
              <w:top w:val="single" w:sz="5" w:space="0" w:color="000000"/>
              <w:left w:val="single" w:sz="5" w:space="0" w:color="000000"/>
              <w:bottom w:val="single" w:sz="5" w:space="0" w:color="000000"/>
              <w:right w:val="single" w:sz="5" w:space="0" w:color="000000"/>
            </w:tcBorders>
          </w:tcPr>
          <w:p w14:paraId="3BEBF26F"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–50</w:t>
            </w:r>
          </w:p>
        </w:tc>
        <w:tc>
          <w:tcPr>
            <w:tcW w:w="257" w:type="pct"/>
            <w:tcBorders>
              <w:top w:val="single" w:sz="5" w:space="0" w:color="000000"/>
              <w:left w:val="single" w:sz="5" w:space="0" w:color="000000"/>
              <w:bottom w:val="single" w:sz="5" w:space="0" w:color="000000"/>
              <w:right w:val="single" w:sz="5" w:space="0" w:color="000000"/>
            </w:tcBorders>
          </w:tcPr>
          <w:p w14:paraId="65C06DF4"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–50</w:t>
            </w:r>
          </w:p>
        </w:tc>
        <w:tc>
          <w:tcPr>
            <w:tcW w:w="257" w:type="pct"/>
            <w:tcBorders>
              <w:top w:val="single" w:sz="5" w:space="0" w:color="000000"/>
              <w:left w:val="single" w:sz="5" w:space="0" w:color="000000"/>
              <w:bottom w:val="single" w:sz="5" w:space="0" w:color="000000"/>
              <w:right w:val="single" w:sz="5" w:space="0" w:color="000000"/>
            </w:tcBorders>
          </w:tcPr>
          <w:p w14:paraId="22471D7B"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50</w:t>
            </w:r>
          </w:p>
        </w:tc>
        <w:tc>
          <w:tcPr>
            <w:tcW w:w="257" w:type="pct"/>
            <w:tcBorders>
              <w:top w:val="single" w:sz="5" w:space="0" w:color="000000"/>
              <w:left w:val="single" w:sz="5" w:space="0" w:color="000000"/>
              <w:bottom w:val="single" w:sz="5" w:space="0" w:color="000000"/>
              <w:right w:val="single" w:sz="5" w:space="0" w:color="000000"/>
            </w:tcBorders>
          </w:tcPr>
          <w:p w14:paraId="1D42CA7B"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100</w:t>
            </w:r>
          </w:p>
        </w:tc>
        <w:tc>
          <w:tcPr>
            <w:tcW w:w="331" w:type="pct"/>
            <w:tcBorders>
              <w:top w:val="single" w:sz="5" w:space="0" w:color="000000"/>
              <w:left w:val="single" w:sz="5" w:space="0" w:color="000000"/>
              <w:bottom w:val="single" w:sz="5" w:space="0" w:color="000000"/>
              <w:right w:val="single" w:sz="5" w:space="0" w:color="000000"/>
            </w:tcBorders>
          </w:tcPr>
          <w:p w14:paraId="265E9F83"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100</w:t>
            </w:r>
          </w:p>
        </w:tc>
      </w:tr>
      <w:tr w:rsidR="00443399" w:rsidRPr="00B03B51" w14:paraId="491D78F3" w14:textId="77777777" w:rsidTr="00422349">
        <w:tc>
          <w:tcPr>
            <w:tcW w:w="2868" w:type="pct"/>
            <w:tcBorders>
              <w:top w:val="single" w:sz="5" w:space="0" w:color="000000"/>
              <w:left w:val="single" w:sz="5" w:space="0" w:color="000000"/>
              <w:bottom w:val="single" w:sz="5" w:space="0" w:color="000000"/>
              <w:right w:val="single" w:sz="5" w:space="0" w:color="000000"/>
            </w:tcBorders>
          </w:tcPr>
          <w:p w14:paraId="5F989028" w14:textId="77777777" w:rsidR="00443399" w:rsidRPr="00B03B51" w:rsidRDefault="00443399" w:rsidP="0054365B">
            <w:pPr>
              <w:pStyle w:val="TableParagraph"/>
              <w:jc w:val="both"/>
              <w:rPr>
                <w:rFonts w:ascii="Times New Roman" w:hAnsi="Times New Roman" w:cs="Times New Roman"/>
                <w:noProof/>
                <w:sz w:val="24"/>
              </w:rPr>
            </w:pPr>
            <w:r w:rsidRPr="00B03B51">
              <w:rPr>
                <w:rFonts w:ascii="Times New Roman" w:hAnsi="Times New Roman" w:cs="Times New Roman"/>
                <w:sz w:val="24"/>
              </w:rPr>
              <w:t>VCB maksājums valdībai</w:t>
            </w:r>
          </w:p>
        </w:tc>
        <w:tc>
          <w:tcPr>
            <w:tcW w:w="257" w:type="pct"/>
            <w:tcBorders>
              <w:top w:val="single" w:sz="5" w:space="0" w:color="000000"/>
              <w:left w:val="single" w:sz="5" w:space="0" w:color="000000"/>
              <w:bottom w:val="single" w:sz="5" w:space="0" w:color="000000"/>
              <w:right w:val="single" w:sz="5" w:space="0" w:color="000000"/>
            </w:tcBorders>
          </w:tcPr>
          <w:p w14:paraId="7ADF3268"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100</w:t>
            </w:r>
          </w:p>
        </w:tc>
        <w:tc>
          <w:tcPr>
            <w:tcW w:w="257" w:type="pct"/>
            <w:tcBorders>
              <w:top w:val="single" w:sz="5" w:space="0" w:color="000000"/>
              <w:left w:val="single" w:sz="5" w:space="0" w:color="000000"/>
              <w:bottom w:val="single" w:sz="5" w:space="0" w:color="000000"/>
              <w:right w:val="single" w:sz="5" w:space="0" w:color="000000"/>
            </w:tcBorders>
          </w:tcPr>
          <w:p w14:paraId="5F9DC4DA"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100</w:t>
            </w:r>
          </w:p>
        </w:tc>
        <w:tc>
          <w:tcPr>
            <w:tcW w:w="257" w:type="pct"/>
            <w:tcBorders>
              <w:top w:val="single" w:sz="5" w:space="0" w:color="000000"/>
              <w:left w:val="single" w:sz="5" w:space="0" w:color="000000"/>
              <w:bottom w:val="single" w:sz="5" w:space="0" w:color="000000"/>
              <w:right w:val="single" w:sz="5" w:space="0" w:color="000000"/>
            </w:tcBorders>
          </w:tcPr>
          <w:p w14:paraId="4295CFD0"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50</w:t>
            </w:r>
          </w:p>
        </w:tc>
        <w:tc>
          <w:tcPr>
            <w:tcW w:w="257" w:type="pct"/>
            <w:tcBorders>
              <w:top w:val="single" w:sz="5" w:space="0" w:color="000000"/>
              <w:left w:val="single" w:sz="5" w:space="0" w:color="000000"/>
              <w:bottom w:val="single" w:sz="5" w:space="0" w:color="000000"/>
              <w:right w:val="single" w:sz="5" w:space="0" w:color="000000"/>
            </w:tcBorders>
          </w:tcPr>
          <w:p w14:paraId="085238A1"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100</w:t>
            </w:r>
          </w:p>
        </w:tc>
        <w:tc>
          <w:tcPr>
            <w:tcW w:w="257" w:type="pct"/>
            <w:tcBorders>
              <w:top w:val="single" w:sz="5" w:space="0" w:color="000000"/>
              <w:left w:val="single" w:sz="5" w:space="0" w:color="000000"/>
              <w:bottom w:val="single" w:sz="5" w:space="0" w:color="000000"/>
              <w:right w:val="single" w:sz="5" w:space="0" w:color="000000"/>
            </w:tcBorders>
          </w:tcPr>
          <w:p w14:paraId="555338B3"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150</w:t>
            </w:r>
          </w:p>
        </w:tc>
        <w:tc>
          <w:tcPr>
            <w:tcW w:w="257" w:type="pct"/>
            <w:tcBorders>
              <w:top w:val="single" w:sz="5" w:space="0" w:color="000000"/>
              <w:left w:val="single" w:sz="5" w:space="0" w:color="000000"/>
              <w:bottom w:val="single" w:sz="5" w:space="0" w:color="000000"/>
              <w:right w:val="single" w:sz="5" w:space="0" w:color="000000"/>
            </w:tcBorders>
          </w:tcPr>
          <w:p w14:paraId="74B31E6A"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150</w:t>
            </w:r>
          </w:p>
        </w:tc>
        <w:tc>
          <w:tcPr>
            <w:tcW w:w="257" w:type="pct"/>
            <w:tcBorders>
              <w:top w:val="single" w:sz="5" w:space="0" w:color="000000"/>
              <w:left w:val="single" w:sz="5" w:space="0" w:color="000000"/>
              <w:bottom w:val="single" w:sz="5" w:space="0" w:color="000000"/>
              <w:right w:val="single" w:sz="5" w:space="0" w:color="000000"/>
            </w:tcBorders>
          </w:tcPr>
          <w:p w14:paraId="16A2BE39"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50</w:t>
            </w:r>
          </w:p>
        </w:tc>
        <w:tc>
          <w:tcPr>
            <w:tcW w:w="331" w:type="pct"/>
            <w:tcBorders>
              <w:top w:val="single" w:sz="5" w:space="0" w:color="000000"/>
              <w:left w:val="single" w:sz="5" w:space="0" w:color="000000"/>
              <w:bottom w:val="single" w:sz="5" w:space="0" w:color="000000"/>
              <w:right w:val="single" w:sz="5" w:space="0" w:color="000000"/>
            </w:tcBorders>
          </w:tcPr>
          <w:p w14:paraId="7C6851F7"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100</w:t>
            </w:r>
          </w:p>
        </w:tc>
      </w:tr>
      <w:tr w:rsidR="00443399" w:rsidRPr="00B03B51" w14:paraId="5B6056D4" w14:textId="77777777" w:rsidTr="00422349">
        <w:tc>
          <w:tcPr>
            <w:tcW w:w="2868" w:type="pct"/>
            <w:tcBorders>
              <w:top w:val="single" w:sz="5" w:space="0" w:color="000000"/>
              <w:left w:val="single" w:sz="5" w:space="0" w:color="000000"/>
              <w:bottom w:val="single" w:sz="5" w:space="0" w:color="000000"/>
              <w:right w:val="single" w:sz="5" w:space="0" w:color="000000"/>
            </w:tcBorders>
          </w:tcPr>
          <w:p w14:paraId="0AB5E4D0" w14:textId="77777777" w:rsidR="00443399" w:rsidRPr="00B03B51" w:rsidRDefault="00443399" w:rsidP="0054365B">
            <w:pPr>
              <w:pStyle w:val="TableParagraph"/>
              <w:jc w:val="both"/>
              <w:rPr>
                <w:rFonts w:ascii="Times New Roman" w:hAnsi="Times New Roman" w:cs="Times New Roman"/>
                <w:noProof/>
                <w:sz w:val="24"/>
              </w:rPr>
            </w:pPr>
            <w:r w:rsidRPr="00B03B51">
              <w:rPr>
                <w:rFonts w:ascii="Times New Roman" w:hAnsi="Times New Roman" w:cs="Times New Roman"/>
                <w:sz w:val="24"/>
              </w:rPr>
              <w:t>Pārmaiņas rezervēs ieņēmumu paturēšanas dēļ*</w:t>
            </w:r>
          </w:p>
        </w:tc>
        <w:tc>
          <w:tcPr>
            <w:tcW w:w="257" w:type="pct"/>
            <w:tcBorders>
              <w:top w:val="single" w:sz="5" w:space="0" w:color="000000"/>
              <w:left w:val="single" w:sz="5" w:space="0" w:color="000000"/>
              <w:bottom w:val="single" w:sz="5" w:space="0" w:color="000000"/>
              <w:right w:val="single" w:sz="5" w:space="0" w:color="000000"/>
            </w:tcBorders>
          </w:tcPr>
          <w:p w14:paraId="7F17AD91"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0</w:t>
            </w:r>
          </w:p>
        </w:tc>
        <w:tc>
          <w:tcPr>
            <w:tcW w:w="257" w:type="pct"/>
            <w:tcBorders>
              <w:top w:val="single" w:sz="5" w:space="0" w:color="000000"/>
              <w:left w:val="single" w:sz="5" w:space="0" w:color="000000"/>
              <w:bottom w:val="single" w:sz="5" w:space="0" w:color="000000"/>
              <w:right w:val="single" w:sz="5" w:space="0" w:color="000000"/>
            </w:tcBorders>
          </w:tcPr>
          <w:p w14:paraId="4A6A81BF"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50</w:t>
            </w:r>
          </w:p>
        </w:tc>
        <w:tc>
          <w:tcPr>
            <w:tcW w:w="257" w:type="pct"/>
            <w:tcBorders>
              <w:top w:val="single" w:sz="5" w:space="0" w:color="000000"/>
              <w:left w:val="single" w:sz="5" w:space="0" w:color="000000"/>
              <w:bottom w:val="single" w:sz="5" w:space="0" w:color="000000"/>
              <w:right w:val="single" w:sz="5" w:space="0" w:color="000000"/>
            </w:tcBorders>
          </w:tcPr>
          <w:p w14:paraId="73004FC7"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100</w:t>
            </w:r>
          </w:p>
        </w:tc>
        <w:tc>
          <w:tcPr>
            <w:tcW w:w="257" w:type="pct"/>
            <w:tcBorders>
              <w:top w:val="single" w:sz="5" w:space="0" w:color="000000"/>
              <w:left w:val="single" w:sz="5" w:space="0" w:color="000000"/>
              <w:bottom w:val="single" w:sz="5" w:space="0" w:color="000000"/>
              <w:right w:val="single" w:sz="5" w:space="0" w:color="000000"/>
            </w:tcBorders>
          </w:tcPr>
          <w:p w14:paraId="6E018BDD"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0</w:t>
            </w:r>
          </w:p>
        </w:tc>
        <w:tc>
          <w:tcPr>
            <w:tcW w:w="257" w:type="pct"/>
            <w:tcBorders>
              <w:top w:val="single" w:sz="5" w:space="0" w:color="000000"/>
              <w:left w:val="single" w:sz="5" w:space="0" w:color="000000"/>
              <w:bottom w:val="single" w:sz="5" w:space="0" w:color="000000"/>
              <w:right w:val="single" w:sz="5" w:space="0" w:color="000000"/>
            </w:tcBorders>
          </w:tcPr>
          <w:p w14:paraId="4C5F7FD1"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–50</w:t>
            </w:r>
          </w:p>
        </w:tc>
        <w:tc>
          <w:tcPr>
            <w:tcW w:w="257" w:type="pct"/>
            <w:tcBorders>
              <w:top w:val="single" w:sz="5" w:space="0" w:color="000000"/>
              <w:left w:val="single" w:sz="5" w:space="0" w:color="000000"/>
              <w:bottom w:val="single" w:sz="5" w:space="0" w:color="000000"/>
              <w:right w:val="single" w:sz="5" w:space="0" w:color="000000"/>
            </w:tcBorders>
          </w:tcPr>
          <w:p w14:paraId="06B74960"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0</w:t>
            </w:r>
          </w:p>
        </w:tc>
        <w:tc>
          <w:tcPr>
            <w:tcW w:w="257" w:type="pct"/>
            <w:tcBorders>
              <w:top w:val="single" w:sz="5" w:space="0" w:color="000000"/>
              <w:left w:val="single" w:sz="5" w:space="0" w:color="000000"/>
              <w:bottom w:val="single" w:sz="5" w:space="0" w:color="000000"/>
              <w:right w:val="single" w:sz="5" w:space="0" w:color="000000"/>
            </w:tcBorders>
          </w:tcPr>
          <w:p w14:paraId="40869030"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0</w:t>
            </w:r>
          </w:p>
        </w:tc>
        <w:tc>
          <w:tcPr>
            <w:tcW w:w="331" w:type="pct"/>
            <w:tcBorders>
              <w:top w:val="single" w:sz="5" w:space="0" w:color="000000"/>
              <w:left w:val="single" w:sz="5" w:space="0" w:color="000000"/>
              <w:bottom w:val="single" w:sz="5" w:space="0" w:color="000000"/>
              <w:right w:val="single" w:sz="5" w:space="0" w:color="000000"/>
            </w:tcBorders>
          </w:tcPr>
          <w:p w14:paraId="055650A4"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–50</w:t>
            </w:r>
          </w:p>
        </w:tc>
      </w:tr>
      <w:tr w:rsidR="00443399" w:rsidRPr="00B03B51" w14:paraId="067F3E90" w14:textId="77777777" w:rsidTr="00422349">
        <w:tc>
          <w:tcPr>
            <w:tcW w:w="2868" w:type="pct"/>
            <w:tcBorders>
              <w:top w:val="single" w:sz="5" w:space="0" w:color="000000"/>
              <w:left w:val="single" w:sz="5" w:space="0" w:color="000000"/>
              <w:bottom w:val="single" w:sz="5" w:space="0" w:color="000000"/>
              <w:right w:val="single" w:sz="5" w:space="0" w:color="000000"/>
            </w:tcBorders>
          </w:tcPr>
          <w:p w14:paraId="19EFE626" w14:textId="77777777" w:rsidR="00443399" w:rsidRPr="00B03B51" w:rsidRDefault="00443399" w:rsidP="0054365B">
            <w:pPr>
              <w:pStyle w:val="TableParagraph"/>
              <w:jc w:val="both"/>
              <w:rPr>
                <w:rFonts w:ascii="Times New Roman" w:hAnsi="Times New Roman" w:cs="Times New Roman"/>
                <w:b/>
                <w:noProof/>
                <w:sz w:val="24"/>
              </w:rPr>
            </w:pPr>
            <w:r w:rsidRPr="00B03B51">
              <w:rPr>
                <w:rFonts w:ascii="Times New Roman" w:hAnsi="Times New Roman" w:cs="Times New Roman"/>
                <w:b/>
                <w:sz w:val="24"/>
              </w:rPr>
              <w:t>Ierakstīšana valdības kontos</w:t>
            </w:r>
          </w:p>
        </w:tc>
        <w:tc>
          <w:tcPr>
            <w:tcW w:w="257" w:type="pct"/>
            <w:tcBorders>
              <w:top w:val="single" w:sz="5" w:space="0" w:color="000000"/>
              <w:left w:val="single" w:sz="5" w:space="0" w:color="000000"/>
              <w:bottom w:val="single" w:sz="5" w:space="0" w:color="000000"/>
              <w:right w:val="single" w:sz="5" w:space="0" w:color="000000"/>
            </w:tcBorders>
          </w:tcPr>
          <w:p w14:paraId="235CFF32" w14:textId="77777777" w:rsidR="00443399" w:rsidRPr="00B03B51" w:rsidRDefault="00443399" w:rsidP="0054365B">
            <w:pPr>
              <w:jc w:val="center"/>
              <w:rPr>
                <w:rFonts w:ascii="Times New Roman" w:hAnsi="Times New Roman" w:cs="Times New Roman"/>
                <w:noProof/>
                <w:sz w:val="24"/>
              </w:rPr>
            </w:pPr>
          </w:p>
        </w:tc>
        <w:tc>
          <w:tcPr>
            <w:tcW w:w="257" w:type="pct"/>
            <w:tcBorders>
              <w:top w:val="single" w:sz="5" w:space="0" w:color="000000"/>
              <w:left w:val="single" w:sz="5" w:space="0" w:color="000000"/>
              <w:bottom w:val="single" w:sz="5" w:space="0" w:color="000000"/>
              <w:right w:val="single" w:sz="5" w:space="0" w:color="000000"/>
            </w:tcBorders>
          </w:tcPr>
          <w:p w14:paraId="41B6EE44" w14:textId="77777777" w:rsidR="00443399" w:rsidRPr="00B03B51" w:rsidRDefault="00443399" w:rsidP="0054365B">
            <w:pPr>
              <w:jc w:val="center"/>
              <w:rPr>
                <w:rFonts w:ascii="Times New Roman" w:hAnsi="Times New Roman" w:cs="Times New Roman"/>
                <w:noProof/>
                <w:sz w:val="24"/>
              </w:rPr>
            </w:pPr>
          </w:p>
        </w:tc>
        <w:tc>
          <w:tcPr>
            <w:tcW w:w="257" w:type="pct"/>
            <w:tcBorders>
              <w:top w:val="single" w:sz="5" w:space="0" w:color="000000"/>
              <w:left w:val="single" w:sz="5" w:space="0" w:color="000000"/>
              <w:bottom w:val="single" w:sz="5" w:space="0" w:color="000000"/>
              <w:right w:val="single" w:sz="5" w:space="0" w:color="000000"/>
            </w:tcBorders>
          </w:tcPr>
          <w:p w14:paraId="21DF7D06" w14:textId="77777777" w:rsidR="00443399" w:rsidRPr="00B03B51" w:rsidRDefault="00443399" w:rsidP="0054365B">
            <w:pPr>
              <w:jc w:val="center"/>
              <w:rPr>
                <w:rFonts w:ascii="Times New Roman" w:hAnsi="Times New Roman" w:cs="Times New Roman"/>
                <w:noProof/>
                <w:sz w:val="24"/>
              </w:rPr>
            </w:pPr>
          </w:p>
        </w:tc>
        <w:tc>
          <w:tcPr>
            <w:tcW w:w="257" w:type="pct"/>
            <w:tcBorders>
              <w:top w:val="single" w:sz="5" w:space="0" w:color="000000"/>
              <w:left w:val="single" w:sz="5" w:space="0" w:color="000000"/>
              <w:bottom w:val="single" w:sz="5" w:space="0" w:color="000000"/>
              <w:right w:val="single" w:sz="5" w:space="0" w:color="000000"/>
            </w:tcBorders>
          </w:tcPr>
          <w:p w14:paraId="15CC0C40" w14:textId="77777777" w:rsidR="00443399" w:rsidRPr="00B03B51" w:rsidRDefault="00443399" w:rsidP="0054365B">
            <w:pPr>
              <w:jc w:val="center"/>
              <w:rPr>
                <w:rFonts w:ascii="Times New Roman" w:hAnsi="Times New Roman" w:cs="Times New Roman"/>
                <w:noProof/>
                <w:sz w:val="24"/>
              </w:rPr>
            </w:pPr>
          </w:p>
        </w:tc>
        <w:tc>
          <w:tcPr>
            <w:tcW w:w="257" w:type="pct"/>
            <w:tcBorders>
              <w:top w:val="single" w:sz="5" w:space="0" w:color="000000"/>
              <w:left w:val="single" w:sz="5" w:space="0" w:color="000000"/>
              <w:bottom w:val="single" w:sz="5" w:space="0" w:color="000000"/>
              <w:right w:val="single" w:sz="5" w:space="0" w:color="000000"/>
            </w:tcBorders>
          </w:tcPr>
          <w:p w14:paraId="4FFEA826" w14:textId="77777777" w:rsidR="00443399" w:rsidRPr="00B03B51" w:rsidRDefault="00443399" w:rsidP="0054365B">
            <w:pPr>
              <w:jc w:val="center"/>
              <w:rPr>
                <w:rFonts w:ascii="Times New Roman" w:hAnsi="Times New Roman" w:cs="Times New Roman"/>
                <w:noProof/>
                <w:sz w:val="24"/>
              </w:rPr>
            </w:pPr>
          </w:p>
        </w:tc>
        <w:tc>
          <w:tcPr>
            <w:tcW w:w="257" w:type="pct"/>
            <w:tcBorders>
              <w:top w:val="single" w:sz="5" w:space="0" w:color="000000"/>
              <w:left w:val="single" w:sz="5" w:space="0" w:color="000000"/>
              <w:bottom w:val="single" w:sz="5" w:space="0" w:color="000000"/>
              <w:right w:val="single" w:sz="5" w:space="0" w:color="000000"/>
            </w:tcBorders>
          </w:tcPr>
          <w:p w14:paraId="77859CC8" w14:textId="77777777" w:rsidR="00443399" w:rsidRPr="00B03B51" w:rsidRDefault="00443399" w:rsidP="0054365B">
            <w:pPr>
              <w:jc w:val="center"/>
              <w:rPr>
                <w:rFonts w:ascii="Times New Roman" w:hAnsi="Times New Roman" w:cs="Times New Roman"/>
                <w:noProof/>
                <w:sz w:val="24"/>
              </w:rPr>
            </w:pPr>
          </w:p>
        </w:tc>
        <w:tc>
          <w:tcPr>
            <w:tcW w:w="257" w:type="pct"/>
            <w:tcBorders>
              <w:top w:val="single" w:sz="5" w:space="0" w:color="000000"/>
              <w:left w:val="single" w:sz="5" w:space="0" w:color="000000"/>
              <w:bottom w:val="single" w:sz="5" w:space="0" w:color="000000"/>
              <w:right w:val="single" w:sz="5" w:space="0" w:color="000000"/>
            </w:tcBorders>
          </w:tcPr>
          <w:p w14:paraId="5BDCA2D6" w14:textId="77777777" w:rsidR="00443399" w:rsidRPr="00B03B51" w:rsidRDefault="00443399" w:rsidP="0054365B">
            <w:pPr>
              <w:jc w:val="center"/>
              <w:rPr>
                <w:rFonts w:ascii="Times New Roman" w:hAnsi="Times New Roman" w:cs="Times New Roman"/>
                <w:noProof/>
                <w:sz w:val="24"/>
              </w:rPr>
            </w:pPr>
          </w:p>
        </w:tc>
        <w:tc>
          <w:tcPr>
            <w:tcW w:w="331" w:type="pct"/>
            <w:tcBorders>
              <w:top w:val="single" w:sz="5" w:space="0" w:color="000000"/>
              <w:left w:val="single" w:sz="5" w:space="0" w:color="000000"/>
              <w:bottom w:val="single" w:sz="5" w:space="0" w:color="000000"/>
              <w:right w:val="single" w:sz="5" w:space="0" w:color="000000"/>
            </w:tcBorders>
          </w:tcPr>
          <w:p w14:paraId="3A5FC116" w14:textId="77777777" w:rsidR="00443399" w:rsidRPr="00B03B51" w:rsidRDefault="00443399" w:rsidP="0054365B">
            <w:pPr>
              <w:jc w:val="center"/>
              <w:rPr>
                <w:rFonts w:ascii="Times New Roman" w:hAnsi="Times New Roman" w:cs="Times New Roman"/>
                <w:noProof/>
                <w:sz w:val="24"/>
              </w:rPr>
            </w:pPr>
          </w:p>
        </w:tc>
      </w:tr>
      <w:tr w:rsidR="00443399" w:rsidRPr="00B03B51" w14:paraId="0A54D1AB" w14:textId="77777777" w:rsidTr="00422349">
        <w:tc>
          <w:tcPr>
            <w:tcW w:w="2868" w:type="pct"/>
            <w:tcBorders>
              <w:top w:val="single" w:sz="5" w:space="0" w:color="000000"/>
              <w:left w:val="single" w:sz="5" w:space="0" w:color="000000"/>
              <w:bottom w:val="single" w:sz="5" w:space="0" w:color="000000"/>
              <w:right w:val="single" w:sz="5" w:space="0" w:color="000000"/>
            </w:tcBorders>
          </w:tcPr>
          <w:p w14:paraId="5A8FDE6C" w14:textId="77777777" w:rsidR="00443399" w:rsidRPr="00B03B51" w:rsidRDefault="00443399" w:rsidP="0054365B">
            <w:pPr>
              <w:pStyle w:val="TableParagraph"/>
              <w:jc w:val="both"/>
              <w:rPr>
                <w:rFonts w:ascii="Times New Roman" w:hAnsi="Times New Roman" w:cs="Times New Roman"/>
                <w:noProof/>
                <w:sz w:val="24"/>
              </w:rPr>
            </w:pPr>
            <w:r w:rsidRPr="00B03B51">
              <w:rPr>
                <w:rFonts w:ascii="Times New Roman" w:hAnsi="Times New Roman" w:cs="Times New Roman"/>
                <w:sz w:val="24"/>
              </w:rPr>
              <w:t>Saņemtais D.4R īpašuma ienākums</w:t>
            </w:r>
          </w:p>
        </w:tc>
        <w:tc>
          <w:tcPr>
            <w:tcW w:w="257" w:type="pct"/>
            <w:tcBorders>
              <w:top w:val="single" w:sz="5" w:space="0" w:color="000000"/>
              <w:left w:val="single" w:sz="5" w:space="0" w:color="000000"/>
              <w:bottom w:val="single" w:sz="5" w:space="0" w:color="000000"/>
              <w:right w:val="single" w:sz="5" w:space="0" w:color="000000"/>
            </w:tcBorders>
          </w:tcPr>
          <w:p w14:paraId="5C54B358"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100</w:t>
            </w:r>
          </w:p>
        </w:tc>
        <w:tc>
          <w:tcPr>
            <w:tcW w:w="257" w:type="pct"/>
            <w:tcBorders>
              <w:top w:val="single" w:sz="5" w:space="0" w:color="000000"/>
              <w:left w:val="single" w:sz="5" w:space="0" w:color="000000"/>
              <w:bottom w:val="single" w:sz="5" w:space="0" w:color="000000"/>
              <w:right w:val="single" w:sz="5" w:space="0" w:color="000000"/>
            </w:tcBorders>
          </w:tcPr>
          <w:p w14:paraId="38711634"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100</w:t>
            </w:r>
          </w:p>
        </w:tc>
        <w:tc>
          <w:tcPr>
            <w:tcW w:w="257" w:type="pct"/>
            <w:tcBorders>
              <w:top w:val="single" w:sz="5" w:space="0" w:color="000000"/>
              <w:left w:val="single" w:sz="5" w:space="0" w:color="000000"/>
              <w:bottom w:val="single" w:sz="5" w:space="0" w:color="000000"/>
              <w:right w:val="single" w:sz="5" w:space="0" w:color="000000"/>
            </w:tcBorders>
          </w:tcPr>
          <w:p w14:paraId="656D9D8F"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50</w:t>
            </w:r>
          </w:p>
        </w:tc>
        <w:tc>
          <w:tcPr>
            <w:tcW w:w="257" w:type="pct"/>
            <w:tcBorders>
              <w:top w:val="single" w:sz="5" w:space="0" w:color="000000"/>
              <w:left w:val="single" w:sz="5" w:space="0" w:color="000000"/>
              <w:bottom w:val="single" w:sz="5" w:space="0" w:color="000000"/>
              <w:right w:val="single" w:sz="5" w:space="0" w:color="000000"/>
            </w:tcBorders>
          </w:tcPr>
          <w:p w14:paraId="39425A88"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100</w:t>
            </w:r>
          </w:p>
        </w:tc>
        <w:tc>
          <w:tcPr>
            <w:tcW w:w="257" w:type="pct"/>
            <w:tcBorders>
              <w:top w:val="single" w:sz="5" w:space="0" w:color="000000"/>
              <w:left w:val="single" w:sz="5" w:space="0" w:color="000000"/>
              <w:bottom w:val="single" w:sz="5" w:space="0" w:color="000000"/>
              <w:right w:val="single" w:sz="5" w:space="0" w:color="000000"/>
            </w:tcBorders>
          </w:tcPr>
          <w:p w14:paraId="4197D63E"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150</w:t>
            </w:r>
          </w:p>
        </w:tc>
        <w:tc>
          <w:tcPr>
            <w:tcW w:w="257" w:type="pct"/>
            <w:tcBorders>
              <w:top w:val="single" w:sz="5" w:space="0" w:color="000000"/>
              <w:left w:val="single" w:sz="5" w:space="0" w:color="000000"/>
              <w:bottom w:val="single" w:sz="5" w:space="0" w:color="000000"/>
              <w:right w:val="single" w:sz="5" w:space="0" w:color="000000"/>
            </w:tcBorders>
          </w:tcPr>
          <w:p w14:paraId="7902E342"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100</w:t>
            </w:r>
          </w:p>
        </w:tc>
        <w:tc>
          <w:tcPr>
            <w:tcW w:w="257" w:type="pct"/>
            <w:tcBorders>
              <w:top w:val="single" w:sz="5" w:space="0" w:color="000000"/>
              <w:left w:val="single" w:sz="5" w:space="0" w:color="000000"/>
              <w:bottom w:val="single" w:sz="5" w:space="0" w:color="000000"/>
              <w:right w:val="single" w:sz="5" w:space="0" w:color="000000"/>
            </w:tcBorders>
          </w:tcPr>
          <w:p w14:paraId="7ED559E7" w14:textId="77777777" w:rsidR="00443399" w:rsidRPr="00B03B51" w:rsidRDefault="00443399" w:rsidP="0054365B">
            <w:pPr>
              <w:jc w:val="center"/>
              <w:rPr>
                <w:rFonts w:ascii="Times New Roman" w:hAnsi="Times New Roman" w:cs="Times New Roman"/>
                <w:noProof/>
                <w:sz w:val="24"/>
              </w:rPr>
            </w:pPr>
          </w:p>
        </w:tc>
        <w:tc>
          <w:tcPr>
            <w:tcW w:w="331" w:type="pct"/>
            <w:tcBorders>
              <w:top w:val="single" w:sz="5" w:space="0" w:color="000000"/>
              <w:left w:val="single" w:sz="5" w:space="0" w:color="000000"/>
              <w:bottom w:val="single" w:sz="5" w:space="0" w:color="000000"/>
              <w:right w:val="single" w:sz="5" w:space="0" w:color="000000"/>
            </w:tcBorders>
          </w:tcPr>
          <w:p w14:paraId="59E6E7BB" w14:textId="77777777" w:rsidR="00443399" w:rsidRPr="00B03B51" w:rsidRDefault="00443399" w:rsidP="0054365B">
            <w:pPr>
              <w:jc w:val="center"/>
              <w:rPr>
                <w:rFonts w:ascii="Times New Roman" w:hAnsi="Times New Roman" w:cs="Times New Roman"/>
                <w:noProof/>
                <w:sz w:val="24"/>
              </w:rPr>
            </w:pPr>
          </w:p>
        </w:tc>
      </w:tr>
      <w:tr w:rsidR="00443399" w:rsidRPr="00B03B51" w14:paraId="55415B5F" w14:textId="77777777" w:rsidTr="00422349">
        <w:tc>
          <w:tcPr>
            <w:tcW w:w="2868" w:type="pct"/>
            <w:tcBorders>
              <w:top w:val="single" w:sz="5" w:space="0" w:color="000000"/>
              <w:left w:val="single" w:sz="5" w:space="0" w:color="000000"/>
              <w:bottom w:val="single" w:sz="5" w:space="0" w:color="000000"/>
              <w:right w:val="single" w:sz="5" w:space="0" w:color="000000"/>
            </w:tcBorders>
          </w:tcPr>
          <w:p w14:paraId="72FC53B3" w14:textId="77777777" w:rsidR="00443399" w:rsidRPr="00B03B51" w:rsidRDefault="00443399" w:rsidP="0054365B">
            <w:pPr>
              <w:pStyle w:val="TableParagraph"/>
              <w:jc w:val="both"/>
              <w:rPr>
                <w:rFonts w:ascii="Times New Roman" w:hAnsi="Times New Roman" w:cs="Times New Roman"/>
                <w:noProof/>
                <w:sz w:val="24"/>
              </w:rPr>
            </w:pPr>
            <w:r w:rsidRPr="00B03B51">
              <w:rPr>
                <w:rFonts w:ascii="Times New Roman" w:hAnsi="Times New Roman" w:cs="Times New Roman"/>
                <w:sz w:val="24"/>
              </w:rPr>
              <w:t>Ietekme uz B.9 neto aizdevumu (+)</w:t>
            </w:r>
          </w:p>
        </w:tc>
        <w:tc>
          <w:tcPr>
            <w:tcW w:w="257" w:type="pct"/>
            <w:tcBorders>
              <w:top w:val="single" w:sz="5" w:space="0" w:color="000000"/>
              <w:left w:val="single" w:sz="5" w:space="0" w:color="000000"/>
              <w:bottom w:val="single" w:sz="5" w:space="0" w:color="000000"/>
              <w:right w:val="single" w:sz="5" w:space="0" w:color="000000"/>
            </w:tcBorders>
          </w:tcPr>
          <w:p w14:paraId="5523FE46"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100</w:t>
            </w:r>
          </w:p>
        </w:tc>
        <w:tc>
          <w:tcPr>
            <w:tcW w:w="257" w:type="pct"/>
            <w:tcBorders>
              <w:top w:val="single" w:sz="5" w:space="0" w:color="000000"/>
              <w:left w:val="single" w:sz="5" w:space="0" w:color="000000"/>
              <w:bottom w:val="single" w:sz="5" w:space="0" w:color="000000"/>
              <w:right w:val="single" w:sz="5" w:space="0" w:color="000000"/>
            </w:tcBorders>
          </w:tcPr>
          <w:p w14:paraId="60DEB432"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100</w:t>
            </w:r>
          </w:p>
        </w:tc>
        <w:tc>
          <w:tcPr>
            <w:tcW w:w="257" w:type="pct"/>
            <w:tcBorders>
              <w:top w:val="single" w:sz="5" w:space="0" w:color="000000"/>
              <w:left w:val="single" w:sz="5" w:space="0" w:color="000000"/>
              <w:bottom w:val="single" w:sz="5" w:space="0" w:color="000000"/>
              <w:right w:val="single" w:sz="5" w:space="0" w:color="000000"/>
            </w:tcBorders>
          </w:tcPr>
          <w:p w14:paraId="5AB3CA2A"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50</w:t>
            </w:r>
          </w:p>
        </w:tc>
        <w:tc>
          <w:tcPr>
            <w:tcW w:w="257" w:type="pct"/>
            <w:tcBorders>
              <w:top w:val="single" w:sz="5" w:space="0" w:color="000000"/>
              <w:left w:val="single" w:sz="5" w:space="0" w:color="000000"/>
              <w:bottom w:val="single" w:sz="5" w:space="0" w:color="000000"/>
              <w:right w:val="single" w:sz="5" w:space="0" w:color="000000"/>
            </w:tcBorders>
          </w:tcPr>
          <w:p w14:paraId="3E5F8B98"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100</w:t>
            </w:r>
          </w:p>
        </w:tc>
        <w:tc>
          <w:tcPr>
            <w:tcW w:w="257" w:type="pct"/>
            <w:tcBorders>
              <w:top w:val="single" w:sz="5" w:space="0" w:color="000000"/>
              <w:left w:val="single" w:sz="5" w:space="0" w:color="000000"/>
              <w:bottom w:val="single" w:sz="5" w:space="0" w:color="000000"/>
              <w:right w:val="single" w:sz="5" w:space="0" w:color="000000"/>
            </w:tcBorders>
          </w:tcPr>
          <w:p w14:paraId="727B13FE"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150</w:t>
            </w:r>
          </w:p>
        </w:tc>
        <w:tc>
          <w:tcPr>
            <w:tcW w:w="257" w:type="pct"/>
            <w:tcBorders>
              <w:top w:val="single" w:sz="5" w:space="0" w:color="000000"/>
              <w:left w:val="single" w:sz="5" w:space="0" w:color="000000"/>
              <w:bottom w:val="single" w:sz="5" w:space="0" w:color="000000"/>
              <w:right w:val="single" w:sz="5" w:space="0" w:color="000000"/>
            </w:tcBorders>
          </w:tcPr>
          <w:p w14:paraId="76BAE5F1"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100</w:t>
            </w:r>
          </w:p>
        </w:tc>
        <w:tc>
          <w:tcPr>
            <w:tcW w:w="257" w:type="pct"/>
            <w:tcBorders>
              <w:top w:val="single" w:sz="5" w:space="0" w:color="000000"/>
              <w:left w:val="single" w:sz="5" w:space="0" w:color="000000"/>
              <w:bottom w:val="single" w:sz="5" w:space="0" w:color="000000"/>
              <w:right w:val="single" w:sz="5" w:space="0" w:color="000000"/>
            </w:tcBorders>
          </w:tcPr>
          <w:p w14:paraId="7B143353" w14:textId="77777777" w:rsidR="00443399" w:rsidRPr="00B03B51" w:rsidRDefault="00443399" w:rsidP="0054365B">
            <w:pPr>
              <w:jc w:val="center"/>
              <w:rPr>
                <w:rFonts w:ascii="Times New Roman" w:hAnsi="Times New Roman" w:cs="Times New Roman"/>
                <w:noProof/>
                <w:sz w:val="24"/>
              </w:rPr>
            </w:pPr>
          </w:p>
        </w:tc>
        <w:tc>
          <w:tcPr>
            <w:tcW w:w="331" w:type="pct"/>
            <w:tcBorders>
              <w:top w:val="single" w:sz="5" w:space="0" w:color="000000"/>
              <w:left w:val="single" w:sz="5" w:space="0" w:color="000000"/>
              <w:bottom w:val="single" w:sz="5" w:space="0" w:color="000000"/>
              <w:right w:val="single" w:sz="5" w:space="0" w:color="000000"/>
            </w:tcBorders>
          </w:tcPr>
          <w:p w14:paraId="51020331" w14:textId="77777777" w:rsidR="00443399" w:rsidRPr="00B03B51" w:rsidRDefault="00443399" w:rsidP="0054365B">
            <w:pPr>
              <w:jc w:val="center"/>
              <w:rPr>
                <w:rFonts w:ascii="Times New Roman" w:hAnsi="Times New Roman" w:cs="Times New Roman"/>
                <w:noProof/>
                <w:sz w:val="24"/>
              </w:rPr>
            </w:pPr>
          </w:p>
        </w:tc>
      </w:tr>
      <w:tr w:rsidR="00443399" w:rsidRPr="00B03B51" w14:paraId="752EFDD6" w14:textId="77777777" w:rsidTr="00422349">
        <w:tc>
          <w:tcPr>
            <w:tcW w:w="2868" w:type="pct"/>
            <w:tcBorders>
              <w:top w:val="single" w:sz="5" w:space="0" w:color="000000"/>
              <w:left w:val="single" w:sz="5" w:space="0" w:color="000000"/>
              <w:bottom w:val="single" w:sz="5" w:space="0" w:color="000000"/>
              <w:right w:val="single" w:sz="5" w:space="0" w:color="000000"/>
            </w:tcBorders>
          </w:tcPr>
          <w:p w14:paraId="475B2CEB" w14:textId="77777777" w:rsidR="00443399" w:rsidRPr="00B03B51" w:rsidRDefault="00443399" w:rsidP="0054365B">
            <w:pPr>
              <w:pStyle w:val="TableParagraph"/>
              <w:jc w:val="both"/>
              <w:rPr>
                <w:rFonts w:ascii="Times New Roman" w:hAnsi="Times New Roman" w:cs="Times New Roman"/>
                <w:noProof/>
                <w:sz w:val="24"/>
              </w:rPr>
            </w:pPr>
            <w:r w:rsidRPr="00B03B51">
              <w:rPr>
                <w:rFonts w:ascii="Times New Roman" w:hAnsi="Times New Roman" w:cs="Times New Roman"/>
                <w:sz w:val="24"/>
              </w:rPr>
              <w:t>Pašu kapitāla iegāde F.5 A</w:t>
            </w:r>
          </w:p>
        </w:tc>
        <w:tc>
          <w:tcPr>
            <w:tcW w:w="257" w:type="pct"/>
            <w:tcBorders>
              <w:top w:val="single" w:sz="5" w:space="0" w:color="000000"/>
              <w:left w:val="single" w:sz="5" w:space="0" w:color="000000"/>
              <w:bottom w:val="single" w:sz="5" w:space="0" w:color="000000"/>
              <w:right w:val="single" w:sz="5" w:space="0" w:color="000000"/>
            </w:tcBorders>
          </w:tcPr>
          <w:p w14:paraId="0FD7124F" w14:textId="77777777" w:rsidR="00443399" w:rsidRPr="00B03B51" w:rsidRDefault="00443399" w:rsidP="0054365B">
            <w:pPr>
              <w:jc w:val="center"/>
              <w:rPr>
                <w:rFonts w:ascii="Times New Roman" w:hAnsi="Times New Roman" w:cs="Times New Roman"/>
                <w:noProof/>
                <w:sz w:val="24"/>
              </w:rPr>
            </w:pPr>
          </w:p>
        </w:tc>
        <w:tc>
          <w:tcPr>
            <w:tcW w:w="257" w:type="pct"/>
            <w:tcBorders>
              <w:top w:val="single" w:sz="5" w:space="0" w:color="000000"/>
              <w:left w:val="single" w:sz="5" w:space="0" w:color="000000"/>
              <w:bottom w:val="single" w:sz="5" w:space="0" w:color="000000"/>
              <w:right w:val="single" w:sz="5" w:space="0" w:color="000000"/>
            </w:tcBorders>
          </w:tcPr>
          <w:p w14:paraId="48E6197F" w14:textId="77777777" w:rsidR="00443399" w:rsidRPr="00B03B51" w:rsidRDefault="00443399" w:rsidP="0054365B">
            <w:pPr>
              <w:jc w:val="center"/>
              <w:rPr>
                <w:rFonts w:ascii="Times New Roman" w:hAnsi="Times New Roman" w:cs="Times New Roman"/>
                <w:noProof/>
                <w:sz w:val="24"/>
              </w:rPr>
            </w:pPr>
          </w:p>
        </w:tc>
        <w:tc>
          <w:tcPr>
            <w:tcW w:w="257" w:type="pct"/>
            <w:tcBorders>
              <w:top w:val="single" w:sz="5" w:space="0" w:color="000000"/>
              <w:left w:val="single" w:sz="5" w:space="0" w:color="000000"/>
              <w:bottom w:val="single" w:sz="5" w:space="0" w:color="000000"/>
              <w:right w:val="single" w:sz="5" w:space="0" w:color="000000"/>
            </w:tcBorders>
          </w:tcPr>
          <w:p w14:paraId="3E6CEAD6" w14:textId="77777777" w:rsidR="00443399" w:rsidRPr="00B03B51" w:rsidRDefault="00443399" w:rsidP="0054365B">
            <w:pPr>
              <w:jc w:val="center"/>
              <w:rPr>
                <w:rFonts w:ascii="Times New Roman" w:hAnsi="Times New Roman" w:cs="Times New Roman"/>
                <w:noProof/>
                <w:sz w:val="24"/>
              </w:rPr>
            </w:pPr>
          </w:p>
        </w:tc>
        <w:tc>
          <w:tcPr>
            <w:tcW w:w="257" w:type="pct"/>
            <w:tcBorders>
              <w:top w:val="single" w:sz="5" w:space="0" w:color="000000"/>
              <w:left w:val="single" w:sz="5" w:space="0" w:color="000000"/>
              <w:bottom w:val="single" w:sz="5" w:space="0" w:color="000000"/>
              <w:right w:val="single" w:sz="5" w:space="0" w:color="000000"/>
            </w:tcBorders>
          </w:tcPr>
          <w:p w14:paraId="7379FB71" w14:textId="77777777" w:rsidR="00443399" w:rsidRPr="00B03B51" w:rsidRDefault="00443399" w:rsidP="0054365B">
            <w:pPr>
              <w:jc w:val="center"/>
              <w:rPr>
                <w:rFonts w:ascii="Times New Roman" w:hAnsi="Times New Roman" w:cs="Times New Roman"/>
                <w:noProof/>
                <w:sz w:val="24"/>
              </w:rPr>
            </w:pPr>
          </w:p>
        </w:tc>
        <w:tc>
          <w:tcPr>
            <w:tcW w:w="257" w:type="pct"/>
            <w:tcBorders>
              <w:top w:val="single" w:sz="5" w:space="0" w:color="000000"/>
              <w:left w:val="single" w:sz="5" w:space="0" w:color="000000"/>
              <w:bottom w:val="single" w:sz="5" w:space="0" w:color="000000"/>
              <w:right w:val="single" w:sz="5" w:space="0" w:color="000000"/>
            </w:tcBorders>
          </w:tcPr>
          <w:p w14:paraId="29B006E1" w14:textId="77777777" w:rsidR="00443399" w:rsidRPr="00B03B51" w:rsidRDefault="00443399" w:rsidP="0054365B">
            <w:pPr>
              <w:jc w:val="center"/>
              <w:rPr>
                <w:rFonts w:ascii="Times New Roman" w:hAnsi="Times New Roman" w:cs="Times New Roman"/>
                <w:noProof/>
                <w:sz w:val="24"/>
              </w:rPr>
            </w:pPr>
          </w:p>
        </w:tc>
        <w:tc>
          <w:tcPr>
            <w:tcW w:w="257" w:type="pct"/>
            <w:tcBorders>
              <w:top w:val="single" w:sz="5" w:space="0" w:color="000000"/>
              <w:left w:val="single" w:sz="5" w:space="0" w:color="000000"/>
              <w:bottom w:val="single" w:sz="5" w:space="0" w:color="000000"/>
              <w:right w:val="single" w:sz="5" w:space="0" w:color="000000"/>
            </w:tcBorders>
          </w:tcPr>
          <w:p w14:paraId="61049DB5" w14:textId="77777777" w:rsidR="00443399" w:rsidRPr="00B03B51" w:rsidRDefault="00443399" w:rsidP="0054365B">
            <w:pPr>
              <w:jc w:val="center"/>
              <w:rPr>
                <w:rFonts w:ascii="Times New Roman" w:hAnsi="Times New Roman" w:cs="Times New Roman"/>
                <w:noProof/>
                <w:sz w:val="24"/>
              </w:rPr>
            </w:pPr>
          </w:p>
        </w:tc>
        <w:tc>
          <w:tcPr>
            <w:tcW w:w="257" w:type="pct"/>
            <w:tcBorders>
              <w:top w:val="single" w:sz="5" w:space="0" w:color="000000"/>
              <w:left w:val="single" w:sz="5" w:space="0" w:color="000000"/>
              <w:bottom w:val="single" w:sz="5" w:space="0" w:color="000000"/>
              <w:right w:val="single" w:sz="5" w:space="0" w:color="000000"/>
            </w:tcBorders>
          </w:tcPr>
          <w:p w14:paraId="09231CE5" w14:textId="77777777" w:rsidR="00443399" w:rsidRPr="00B03B51" w:rsidRDefault="00443399" w:rsidP="0054365B">
            <w:pPr>
              <w:jc w:val="center"/>
              <w:rPr>
                <w:rFonts w:ascii="Times New Roman" w:hAnsi="Times New Roman" w:cs="Times New Roman"/>
                <w:noProof/>
                <w:sz w:val="24"/>
              </w:rPr>
            </w:pPr>
          </w:p>
        </w:tc>
        <w:tc>
          <w:tcPr>
            <w:tcW w:w="331" w:type="pct"/>
            <w:tcBorders>
              <w:top w:val="single" w:sz="5" w:space="0" w:color="000000"/>
              <w:left w:val="single" w:sz="5" w:space="0" w:color="000000"/>
              <w:bottom w:val="single" w:sz="5" w:space="0" w:color="000000"/>
              <w:right w:val="single" w:sz="5" w:space="0" w:color="000000"/>
            </w:tcBorders>
          </w:tcPr>
          <w:p w14:paraId="23184580" w14:textId="77777777" w:rsidR="00443399" w:rsidRPr="00B03B51" w:rsidRDefault="00443399" w:rsidP="0054365B">
            <w:pPr>
              <w:jc w:val="center"/>
              <w:rPr>
                <w:rFonts w:ascii="Times New Roman" w:hAnsi="Times New Roman" w:cs="Times New Roman"/>
                <w:noProof/>
                <w:sz w:val="24"/>
              </w:rPr>
            </w:pPr>
          </w:p>
        </w:tc>
      </w:tr>
      <w:tr w:rsidR="00443399" w:rsidRPr="00B03B51" w14:paraId="35FD4B29" w14:textId="77777777" w:rsidTr="00422349">
        <w:tc>
          <w:tcPr>
            <w:tcW w:w="2868" w:type="pct"/>
            <w:tcBorders>
              <w:top w:val="single" w:sz="5" w:space="0" w:color="000000"/>
              <w:left w:val="single" w:sz="5" w:space="0" w:color="000000"/>
              <w:bottom w:val="single" w:sz="5" w:space="0" w:color="000000"/>
              <w:right w:val="single" w:sz="5" w:space="0" w:color="000000"/>
            </w:tcBorders>
          </w:tcPr>
          <w:p w14:paraId="26CCFFBE" w14:textId="77777777" w:rsidR="00443399" w:rsidRPr="00B03B51" w:rsidRDefault="00443399" w:rsidP="0054365B">
            <w:pPr>
              <w:pStyle w:val="TableParagraph"/>
              <w:jc w:val="both"/>
              <w:rPr>
                <w:rFonts w:ascii="Times New Roman" w:hAnsi="Times New Roman" w:cs="Times New Roman"/>
                <w:noProof/>
                <w:sz w:val="24"/>
              </w:rPr>
            </w:pPr>
            <w:r w:rsidRPr="00B03B51">
              <w:rPr>
                <w:rFonts w:ascii="Times New Roman" w:hAnsi="Times New Roman" w:cs="Times New Roman"/>
                <w:sz w:val="24"/>
              </w:rPr>
              <w:lastRenderedPageBreak/>
              <w:t>Pašu kapitāla izņemšana F.5 A</w:t>
            </w:r>
          </w:p>
        </w:tc>
        <w:tc>
          <w:tcPr>
            <w:tcW w:w="257" w:type="pct"/>
            <w:tcBorders>
              <w:top w:val="single" w:sz="5" w:space="0" w:color="000000"/>
              <w:left w:val="single" w:sz="5" w:space="0" w:color="000000"/>
              <w:bottom w:val="single" w:sz="5" w:space="0" w:color="000000"/>
              <w:right w:val="single" w:sz="5" w:space="0" w:color="000000"/>
            </w:tcBorders>
          </w:tcPr>
          <w:p w14:paraId="217BDF63" w14:textId="77777777" w:rsidR="00443399" w:rsidRPr="00B03B51" w:rsidRDefault="00443399" w:rsidP="0054365B">
            <w:pPr>
              <w:jc w:val="center"/>
              <w:rPr>
                <w:rFonts w:ascii="Times New Roman" w:hAnsi="Times New Roman" w:cs="Times New Roman"/>
                <w:noProof/>
                <w:sz w:val="24"/>
              </w:rPr>
            </w:pPr>
          </w:p>
        </w:tc>
        <w:tc>
          <w:tcPr>
            <w:tcW w:w="257" w:type="pct"/>
            <w:tcBorders>
              <w:top w:val="single" w:sz="5" w:space="0" w:color="000000"/>
              <w:left w:val="single" w:sz="5" w:space="0" w:color="000000"/>
              <w:bottom w:val="single" w:sz="5" w:space="0" w:color="000000"/>
              <w:right w:val="single" w:sz="5" w:space="0" w:color="000000"/>
            </w:tcBorders>
          </w:tcPr>
          <w:p w14:paraId="283597C2" w14:textId="77777777" w:rsidR="00443399" w:rsidRPr="00B03B51" w:rsidRDefault="00443399" w:rsidP="0054365B">
            <w:pPr>
              <w:jc w:val="center"/>
              <w:rPr>
                <w:rFonts w:ascii="Times New Roman" w:hAnsi="Times New Roman" w:cs="Times New Roman"/>
                <w:noProof/>
                <w:sz w:val="24"/>
              </w:rPr>
            </w:pPr>
          </w:p>
        </w:tc>
        <w:tc>
          <w:tcPr>
            <w:tcW w:w="257" w:type="pct"/>
            <w:tcBorders>
              <w:top w:val="single" w:sz="5" w:space="0" w:color="000000"/>
              <w:left w:val="single" w:sz="5" w:space="0" w:color="000000"/>
              <w:bottom w:val="single" w:sz="5" w:space="0" w:color="000000"/>
              <w:right w:val="single" w:sz="5" w:space="0" w:color="000000"/>
            </w:tcBorders>
          </w:tcPr>
          <w:p w14:paraId="2B0BA932" w14:textId="77777777" w:rsidR="00443399" w:rsidRPr="00B03B51" w:rsidRDefault="00443399" w:rsidP="0054365B">
            <w:pPr>
              <w:jc w:val="center"/>
              <w:rPr>
                <w:rFonts w:ascii="Times New Roman" w:hAnsi="Times New Roman" w:cs="Times New Roman"/>
                <w:noProof/>
                <w:sz w:val="24"/>
              </w:rPr>
            </w:pPr>
          </w:p>
        </w:tc>
        <w:tc>
          <w:tcPr>
            <w:tcW w:w="257" w:type="pct"/>
            <w:tcBorders>
              <w:top w:val="single" w:sz="5" w:space="0" w:color="000000"/>
              <w:left w:val="single" w:sz="5" w:space="0" w:color="000000"/>
              <w:bottom w:val="single" w:sz="5" w:space="0" w:color="000000"/>
              <w:right w:val="single" w:sz="5" w:space="0" w:color="000000"/>
            </w:tcBorders>
          </w:tcPr>
          <w:p w14:paraId="7966B415" w14:textId="77777777" w:rsidR="00443399" w:rsidRPr="00B03B51" w:rsidRDefault="00443399" w:rsidP="0054365B">
            <w:pPr>
              <w:jc w:val="center"/>
              <w:rPr>
                <w:rFonts w:ascii="Times New Roman" w:hAnsi="Times New Roman" w:cs="Times New Roman"/>
                <w:noProof/>
                <w:sz w:val="24"/>
              </w:rPr>
            </w:pPr>
          </w:p>
        </w:tc>
        <w:tc>
          <w:tcPr>
            <w:tcW w:w="257" w:type="pct"/>
            <w:tcBorders>
              <w:top w:val="single" w:sz="5" w:space="0" w:color="000000"/>
              <w:left w:val="single" w:sz="5" w:space="0" w:color="000000"/>
              <w:bottom w:val="single" w:sz="5" w:space="0" w:color="000000"/>
              <w:right w:val="single" w:sz="5" w:space="0" w:color="000000"/>
            </w:tcBorders>
          </w:tcPr>
          <w:p w14:paraId="7417906C" w14:textId="77777777" w:rsidR="00443399" w:rsidRPr="00B03B51" w:rsidRDefault="00443399" w:rsidP="0054365B">
            <w:pPr>
              <w:jc w:val="center"/>
              <w:rPr>
                <w:rFonts w:ascii="Times New Roman" w:hAnsi="Times New Roman" w:cs="Times New Roman"/>
                <w:noProof/>
                <w:sz w:val="24"/>
              </w:rPr>
            </w:pPr>
          </w:p>
        </w:tc>
        <w:tc>
          <w:tcPr>
            <w:tcW w:w="257" w:type="pct"/>
            <w:tcBorders>
              <w:top w:val="single" w:sz="5" w:space="0" w:color="000000"/>
              <w:left w:val="single" w:sz="5" w:space="0" w:color="000000"/>
              <w:bottom w:val="single" w:sz="5" w:space="0" w:color="000000"/>
              <w:right w:val="single" w:sz="5" w:space="0" w:color="000000"/>
            </w:tcBorders>
          </w:tcPr>
          <w:p w14:paraId="470C76BF"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–50</w:t>
            </w:r>
          </w:p>
        </w:tc>
        <w:tc>
          <w:tcPr>
            <w:tcW w:w="257" w:type="pct"/>
            <w:tcBorders>
              <w:top w:val="single" w:sz="5" w:space="0" w:color="000000"/>
              <w:left w:val="single" w:sz="5" w:space="0" w:color="000000"/>
              <w:bottom w:val="single" w:sz="5" w:space="0" w:color="000000"/>
              <w:right w:val="single" w:sz="5" w:space="0" w:color="000000"/>
            </w:tcBorders>
          </w:tcPr>
          <w:p w14:paraId="44344C70"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–50</w:t>
            </w:r>
          </w:p>
        </w:tc>
        <w:tc>
          <w:tcPr>
            <w:tcW w:w="331" w:type="pct"/>
            <w:tcBorders>
              <w:top w:val="single" w:sz="5" w:space="0" w:color="000000"/>
              <w:left w:val="single" w:sz="5" w:space="0" w:color="000000"/>
              <w:bottom w:val="single" w:sz="5" w:space="0" w:color="000000"/>
              <w:right w:val="single" w:sz="5" w:space="0" w:color="000000"/>
            </w:tcBorders>
          </w:tcPr>
          <w:p w14:paraId="2565305E"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–100</w:t>
            </w:r>
          </w:p>
        </w:tc>
      </w:tr>
      <w:tr w:rsidR="00443399" w:rsidRPr="00B03B51" w14:paraId="4B2508C5" w14:textId="77777777" w:rsidTr="00422349">
        <w:tc>
          <w:tcPr>
            <w:tcW w:w="2868" w:type="pct"/>
            <w:tcBorders>
              <w:top w:val="single" w:sz="5" w:space="0" w:color="000000"/>
              <w:left w:val="single" w:sz="5" w:space="0" w:color="000000"/>
              <w:bottom w:val="single" w:sz="5" w:space="0" w:color="000000"/>
              <w:right w:val="single" w:sz="5" w:space="0" w:color="000000"/>
            </w:tcBorders>
          </w:tcPr>
          <w:p w14:paraId="51392289" w14:textId="77777777" w:rsidR="00443399" w:rsidRPr="00B03B51" w:rsidRDefault="00443399" w:rsidP="0054365B">
            <w:pPr>
              <w:pStyle w:val="TableParagraph"/>
              <w:jc w:val="both"/>
              <w:rPr>
                <w:rFonts w:ascii="Times New Roman" w:hAnsi="Times New Roman" w:cs="Times New Roman"/>
                <w:noProof/>
                <w:sz w:val="24"/>
              </w:rPr>
            </w:pPr>
            <w:r w:rsidRPr="00B03B51">
              <w:rPr>
                <w:rFonts w:ascii="Times New Roman" w:hAnsi="Times New Roman" w:cs="Times New Roman"/>
                <w:sz w:val="24"/>
              </w:rPr>
              <w:t>Turēšanas guvums (+) zaudējumi (–) F.5 A</w:t>
            </w:r>
          </w:p>
        </w:tc>
        <w:tc>
          <w:tcPr>
            <w:tcW w:w="257" w:type="pct"/>
            <w:tcBorders>
              <w:top w:val="single" w:sz="5" w:space="0" w:color="000000"/>
              <w:left w:val="single" w:sz="5" w:space="0" w:color="000000"/>
              <w:bottom w:val="single" w:sz="5" w:space="0" w:color="000000"/>
              <w:right w:val="single" w:sz="5" w:space="0" w:color="000000"/>
            </w:tcBorders>
          </w:tcPr>
          <w:p w14:paraId="17EEB5EB" w14:textId="77777777" w:rsidR="00443399" w:rsidRPr="00B03B51" w:rsidRDefault="00443399" w:rsidP="0054365B">
            <w:pPr>
              <w:jc w:val="center"/>
              <w:rPr>
                <w:rFonts w:ascii="Times New Roman" w:hAnsi="Times New Roman" w:cs="Times New Roman"/>
                <w:noProof/>
                <w:sz w:val="24"/>
              </w:rPr>
            </w:pPr>
          </w:p>
        </w:tc>
        <w:tc>
          <w:tcPr>
            <w:tcW w:w="257" w:type="pct"/>
            <w:tcBorders>
              <w:top w:val="single" w:sz="5" w:space="0" w:color="000000"/>
              <w:left w:val="single" w:sz="5" w:space="0" w:color="000000"/>
              <w:bottom w:val="single" w:sz="5" w:space="0" w:color="000000"/>
              <w:right w:val="single" w:sz="5" w:space="0" w:color="000000"/>
            </w:tcBorders>
          </w:tcPr>
          <w:p w14:paraId="3BC5AB2C"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50</w:t>
            </w:r>
          </w:p>
        </w:tc>
        <w:tc>
          <w:tcPr>
            <w:tcW w:w="257" w:type="pct"/>
            <w:tcBorders>
              <w:top w:val="single" w:sz="5" w:space="0" w:color="000000"/>
              <w:left w:val="single" w:sz="5" w:space="0" w:color="000000"/>
              <w:bottom w:val="single" w:sz="5" w:space="0" w:color="000000"/>
              <w:right w:val="single" w:sz="5" w:space="0" w:color="000000"/>
            </w:tcBorders>
          </w:tcPr>
          <w:p w14:paraId="294496AB"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100</w:t>
            </w:r>
          </w:p>
        </w:tc>
        <w:tc>
          <w:tcPr>
            <w:tcW w:w="257" w:type="pct"/>
            <w:tcBorders>
              <w:top w:val="single" w:sz="5" w:space="0" w:color="000000"/>
              <w:left w:val="single" w:sz="5" w:space="0" w:color="000000"/>
              <w:bottom w:val="single" w:sz="5" w:space="0" w:color="000000"/>
              <w:right w:val="single" w:sz="5" w:space="0" w:color="000000"/>
            </w:tcBorders>
          </w:tcPr>
          <w:p w14:paraId="4754F63D"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0</w:t>
            </w:r>
          </w:p>
        </w:tc>
        <w:tc>
          <w:tcPr>
            <w:tcW w:w="257" w:type="pct"/>
            <w:tcBorders>
              <w:top w:val="single" w:sz="5" w:space="0" w:color="000000"/>
              <w:left w:val="single" w:sz="5" w:space="0" w:color="000000"/>
              <w:bottom w:val="single" w:sz="5" w:space="0" w:color="000000"/>
              <w:right w:val="single" w:sz="5" w:space="0" w:color="000000"/>
            </w:tcBorders>
          </w:tcPr>
          <w:p w14:paraId="21774D04"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–50</w:t>
            </w:r>
          </w:p>
        </w:tc>
        <w:tc>
          <w:tcPr>
            <w:tcW w:w="257" w:type="pct"/>
            <w:tcBorders>
              <w:top w:val="single" w:sz="5" w:space="0" w:color="000000"/>
              <w:left w:val="single" w:sz="5" w:space="0" w:color="000000"/>
              <w:bottom w:val="single" w:sz="5" w:space="0" w:color="000000"/>
              <w:right w:val="single" w:sz="5" w:space="0" w:color="000000"/>
            </w:tcBorders>
          </w:tcPr>
          <w:p w14:paraId="78D25789"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50</w:t>
            </w:r>
          </w:p>
        </w:tc>
        <w:tc>
          <w:tcPr>
            <w:tcW w:w="257" w:type="pct"/>
            <w:tcBorders>
              <w:top w:val="single" w:sz="5" w:space="0" w:color="000000"/>
              <w:left w:val="single" w:sz="5" w:space="0" w:color="000000"/>
              <w:bottom w:val="single" w:sz="5" w:space="0" w:color="000000"/>
              <w:right w:val="single" w:sz="5" w:space="0" w:color="000000"/>
            </w:tcBorders>
          </w:tcPr>
          <w:p w14:paraId="38750EBE"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50</w:t>
            </w:r>
          </w:p>
        </w:tc>
        <w:tc>
          <w:tcPr>
            <w:tcW w:w="331" w:type="pct"/>
            <w:tcBorders>
              <w:top w:val="single" w:sz="5" w:space="0" w:color="000000"/>
              <w:left w:val="single" w:sz="5" w:space="0" w:color="000000"/>
              <w:bottom w:val="single" w:sz="5" w:space="0" w:color="000000"/>
              <w:right w:val="single" w:sz="5" w:space="0" w:color="000000"/>
            </w:tcBorders>
          </w:tcPr>
          <w:p w14:paraId="7DC35F1E"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50</w:t>
            </w:r>
          </w:p>
        </w:tc>
      </w:tr>
    </w:tbl>
    <w:p w14:paraId="66CE459B" w14:textId="77777777" w:rsidR="00443399" w:rsidRPr="00B03B51" w:rsidRDefault="00443399" w:rsidP="00443399">
      <w:pPr>
        <w:jc w:val="both"/>
        <w:rPr>
          <w:rFonts w:ascii="Times New Roman" w:hAnsi="Times New Roman" w:cs="Times New Roman"/>
          <w:noProof/>
          <w:sz w:val="20"/>
          <w:szCs w:val="18"/>
        </w:rPr>
      </w:pPr>
      <w:r w:rsidRPr="00B03B51">
        <w:rPr>
          <w:rFonts w:ascii="Times New Roman" w:hAnsi="Times New Roman" w:cs="Times New Roman"/>
          <w:sz w:val="20"/>
          <w:szCs w:val="18"/>
        </w:rPr>
        <w:t>* Šajos piemēros nav ņemtas vērā izmaiņas rezervēs, kas radušās citu iemeslu dēļ (likumīgās un īpašam nolūkam paredzētās rezervēs).</w:t>
      </w:r>
    </w:p>
    <w:p w14:paraId="1251358F" w14:textId="77777777" w:rsidR="00443399" w:rsidRPr="00B03B51" w:rsidRDefault="00443399" w:rsidP="00443399">
      <w:pPr>
        <w:jc w:val="both"/>
        <w:rPr>
          <w:rFonts w:ascii="Times New Roman" w:eastAsia="Arial" w:hAnsi="Times New Roman" w:cs="Times New Roman"/>
          <w:noProof/>
          <w:sz w:val="24"/>
          <w:szCs w:val="18"/>
        </w:rPr>
      </w:pPr>
    </w:p>
    <w:p w14:paraId="50807827" w14:textId="77777777" w:rsidR="00443399" w:rsidRPr="00B03B51" w:rsidRDefault="00443399" w:rsidP="00443399">
      <w:pPr>
        <w:jc w:val="both"/>
        <w:rPr>
          <w:rFonts w:ascii="Times New Roman" w:hAnsi="Times New Roman" w:cs="Times New Roman"/>
          <w:b/>
          <w:noProof/>
          <w:sz w:val="24"/>
        </w:rPr>
      </w:pPr>
      <w:r w:rsidRPr="00B03B51">
        <w:rPr>
          <w:rFonts w:ascii="Times New Roman" w:hAnsi="Times New Roman" w:cs="Times New Roman"/>
          <w:b/>
          <w:sz w:val="24"/>
        </w:rPr>
        <w:t>3. tabula. Centrālās bankas peļņas un zaudējumu pārskats</w:t>
      </w:r>
    </w:p>
    <w:p w14:paraId="6B8E5BC3" w14:textId="77777777" w:rsidR="00443399" w:rsidRPr="00B03B51" w:rsidRDefault="00443399" w:rsidP="00443399">
      <w:pPr>
        <w:pStyle w:val="BodyText"/>
        <w:spacing w:before="0"/>
        <w:ind w:left="0" w:firstLine="0"/>
        <w:jc w:val="both"/>
        <w:rPr>
          <w:rFonts w:ascii="Times New Roman" w:hAnsi="Times New Roman" w:cs="Times New Roman"/>
          <w:noProof/>
          <w:sz w:val="24"/>
        </w:rPr>
      </w:pPr>
    </w:p>
    <w:p w14:paraId="4F6341BF" w14:textId="77777777" w:rsidR="00443399" w:rsidRPr="00B03B51" w:rsidRDefault="00443399" w:rsidP="00443399">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t>Turpmāk 3. tabulā ir attēloti tādas centrālās bankas publicētie peļņas un zaudējumu pārskati, kura piemēro Eirosistēmas grāmatvedības noteikumus.</w:t>
      </w:r>
    </w:p>
    <w:p w14:paraId="2DDE2A9C" w14:textId="77777777" w:rsidR="00443399" w:rsidRPr="00B03B51" w:rsidRDefault="00443399" w:rsidP="00443399">
      <w:pPr>
        <w:jc w:val="both"/>
        <w:rPr>
          <w:rFonts w:ascii="Times New Roman" w:eastAsia="Arial" w:hAnsi="Times New Roman" w:cs="Times New Roman"/>
          <w:noProof/>
          <w:sz w:val="24"/>
          <w:szCs w:val="8"/>
        </w:rPr>
      </w:pPr>
    </w:p>
    <w:tbl>
      <w:tblPr>
        <w:tblW w:w="5000" w:type="pct"/>
        <w:tblCellMar>
          <w:top w:w="28" w:type="dxa"/>
          <w:left w:w="28" w:type="dxa"/>
          <w:bottom w:w="28" w:type="dxa"/>
          <w:right w:w="28" w:type="dxa"/>
        </w:tblCellMar>
        <w:tblLook w:val="01E0" w:firstRow="1" w:lastRow="1" w:firstColumn="1" w:lastColumn="1" w:noHBand="0" w:noVBand="0"/>
      </w:tblPr>
      <w:tblGrid>
        <w:gridCol w:w="9059"/>
      </w:tblGrid>
      <w:tr w:rsidR="00443399" w:rsidRPr="00B03B51" w14:paraId="31B354AD" w14:textId="77777777" w:rsidTr="00422349">
        <w:tc>
          <w:tcPr>
            <w:tcW w:w="5000" w:type="pct"/>
            <w:tcBorders>
              <w:top w:val="single" w:sz="5" w:space="0" w:color="000000"/>
              <w:left w:val="single" w:sz="5" w:space="0" w:color="000000"/>
              <w:bottom w:val="single" w:sz="5" w:space="0" w:color="000000"/>
              <w:right w:val="single" w:sz="5" w:space="0" w:color="000000"/>
            </w:tcBorders>
          </w:tcPr>
          <w:p w14:paraId="3F155D91" w14:textId="77777777" w:rsidR="00443399" w:rsidRPr="00B03B51" w:rsidRDefault="00443399" w:rsidP="0054365B">
            <w:pPr>
              <w:pStyle w:val="TableParagraph"/>
              <w:jc w:val="both"/>
              <w:rPr>
                <w:rFonts w:ascii="Times New Roman" w:hAnsi="Times New Roman" w:cs="Times New Roman"/>
                <w:noProof/>
                <w:sz w:val="24"/>
              </w:rPr>
            </w:pPr>
            <w:r w:rsidRPr="00B03B51">
              <w:rPr>
                <w:rFonts w:ascii="Times New Roman" w:hAnsi="Times New Roman" w:cs="Times New Roman"/>
                <w:sz w:val="24"/>
              </w:rPr>
              <w:t>1.1. Procentu ienākumi</w:t>
            </w:r>
          </w:p>
        </w:tc>
      </w:tr>
      <w:tr w:rsidR="00443399" w:rsidRPr="00B03B51" w14:paraId="4CBA9E6A" w14:textId="77777777" w:rsidTr="00422349">
        <w:tc>
          <w:tcPr>
            <w:tcW w:w="5000" w:type="pct"/>
            <w:tcBorders>
              <w:top w:val="single" w:sz="5" w:space="0" w:color="000000"/>
              <w:left w:val="single" w:sz="5" w:space="0" w:color="000000"/>
              <w:bottom w:val="single" w:sz="5" w:space="0" w:color="000000"/>
              <w:right w:val="single" w:sz="5" w:space="0" w:color="000000"/>
            </w:tcBorders>
          </w:tcPr>
          <w:p w14:paraId="47C431E3" w14:textId="77777777" w:rsidR="00443399" w:rsidRPr="00B03B51" w:rsidRDefault="00443399" w:rsidP="0054365B">
            <w:pPr>
              <w:pStyle w:val="TableParagraph"/>
              <w:jc w:val="both"/>
              <w:rPr>
                <w:rFonts w:ascii="Times New Roman" w:hAnsi="Times New Roman" w:cs="Times New Roman"/>
                <w:noProof/>
                <w:sz w:val="24"/>
              </w:rPr>
            </w:pPr>
            <w:r w:rsidRPr="00B03B51">
              <w:rPr>
                <w:rFonts w:ascii="Times New Roman" w:hAnsi="Times New Roman" w:cs="Times New Roman"/>
                <w:sz w:val="24"/>
              </w:rPr>
              <w:t>1.2. Procentu izdevumi</w:t>
            </w:r>
          </w:p>
        </w:tc>
      </w:tr>
      <w:tr w:rsidR="00443399" w:rsidRPr="00B03B51" w14:paraId="22C07DED" w14:textId="77777777" w:rsidTr="00422349">
        <w:tc>
          <w:tcPr>
            <w:tcW w:w="5000" w:type="pct"/>
            <w:tcBorders>
              <w:top w:val="single" w:sz="5" w:space="0" w:color="000000"/>
              <w:left w:val="single" w:sz="5" w:space="0" w:color="000000"/>
              <w:bottom w:val="single" w:sz="5" w:space="0" w:color="000000"/>
              <w:right w:val="single" w:sz="5" w:space="0" w:color="000000"/>
            </w:tcBorders>
          </w:tcPr>
          <w:p w14:paraId="2E5C3741" w14:textId="77777777" w:rsidR="00443399" w:rsidRPr="00B03B51" w:rsidRDefault="00443399" w:rsidP="0054365B">
            <w:pPr>
              <w:pStyle w:val="TableParagraph"/>
              <w:jc w:val="both"/>
              <w:rPr>
                <w:rFonts w:ascii="Times New Roman" w:hAnsi="Times New Roman" w:cs="Times New Roman"/>
                <w:noProof/>
                <w:sz w:val="24"/>
              </w:rPr>
            </w:pPr>
            <w:r w:rsidRPr="00B03B51">
              <w:rPr>
                <w:rFonts w:ascii="Times New Roman" w:hAnsi="Times New Roman" w:cs="Times New Roman"/>
                <w:sz w:val="24"/>
              </w:rPr>
              <w:t>1. Neto procentu ienākumi</w:t>
            </w:r>
          </w:p>
        </w:tc>
      </w:tr>
      <w:tr w:rsidR="00443399" w:rsidRPr="00B03B51" w14:paraId="4C55D7E9" w14:textId="77777777" w:rsidTr="00422349">
        <w:tc>
          <w:tcPr>
            <w:tcW w:w="5000" w:type="pct"/>
            <w:tcBorders>
              <w:top w:val="single" w:sz="5" w:space="0" w:color="000000"/>
              <w:left w:val="single" w:sz="5" w:space="0" w:color="000000"/>
              <w:bottom w:val="single" w:sz="5" w:space="0" w:color="000000"/>
              <w:right w:val="single" w:sz="5" w:space="0" w:color="000000"/>
            </w:tcBorders>
          </w:tcPr>
          <w:p w14:paraId="4DABA13F" w14:textId="77777777" w:rsidR="00443399" w:rsidRPr="00B03B51" w:rsidRDefault="00443399" w:rsidP="0054365B">
            <w:pPr>
              <w:pStyle w:val="TableParagraph"/>
              <w:jc w:val="both"/>
              <w:rPr>
                <w:rFonts w:ascii="Times New Roman" w:hAnsi="Times New Roman" w:cs="Times New Roman"/>
                <w:noProof/>
                <w:sz w:val="24"/>
              </w:rPr>
            </w:pPr>
            <w:r w:rsidRPr="00B03B51">
              <w:rPr>
                <w:rFonts w:ascii="Times New Roman" w:hAnsi="Times New Roman" w:cs="Times New Roman"/>
                <w:sz w:val="24"/>
              </w:rPr>
              <w:t>2.1. Realizētie guvumi/zaudējumi no finanšu operācijām</w:t>
            </w:r>
          </w:p>
        </w:tc>
      </w:tr>
      <w:tr w:rsidR="00443399" w:rsidRPr="00B03B51" w14:paraId="4AD2084C" w14:textId="77777777" w:rsidTr="00422349">
        <w:tc>
          <w:tcPr>
            <w:tcW w:w="5000" w:type="pct"/>
            <w:tcBorders>
              <w:top w:val="single" w:sz="5" w:space="0" w:color="000000"/>
              <w:left w:val="single" w:sz="5" w:space="0" w:color="000000"/>
              <w:bottom w:val="single" w:sz="5" w:space="0" w:color="000000"/>
              <w:right w:val="single" w:sz="5" w:space="0" w:color="000000"/>
            </w:tcBorders>
          </w:tcPr>
          <w:p w14:paraId="1448E050" w14:textId="77777777" w:rsidR="00443399" w:rsidRPr="00B03B51" w:rsidRDefault="00443399" w:rsidP="0054365B">
            <w:pPr>
              <w:pStyle w:val="TableParagraph"/>
              <w:jc w:val="both"/>
              <w:rPr>
                <w:rFonts w:ascii="Times New Roman" w:hAnsi="Times New Roman" w:cs="Times New Roman"/>
                <w:noProof/>
                <w:sz w:val="24"/>
              </w:rPr>
            </w:pPr>
            <w:r w:rsidRPr="00B03B51">
              <w:rPr>
                <w:rFonts w:ascii="Times New Roman" w:hAnsi="Times New Roman" w:cs="Times New Roman"/>
                <w:sz w:val="24"/>
              </w:rPr>
              <w:t>2.2. Finanšu aktīvu un uzkrājumu norakstīšana</w:t>
            </w:r>
          </w:p>
        </w:tc>
      </w:tr>
      <w:tr w:rsidR="00443399" w:rsidRPr="00B03B51" w14:paraId="51ADEB40" w14:textId="77777777" w:rsidTr="00422349">
        <w:tc>
          <w:tcPr>
            <w:tcW w:w="5000" w:type="pct"/>
            <w:tcBorders>
              <w:top w:val="single" w:sz="5" w:space="0" w:color="000000"/>
              <w:left w:val="single" w:sz="5" w:space="0" w:color="000000"/>
              <w:bottom w:val="single" w:sz="5" w:space="0" w:color="000000"/>
              <w:right w:val="single" w:sz="5" w:space="0" w:color="000000"/>
            </w:tcBorders>
          </w:tcPr>
          <w:p w14:paraId="76951E07" w14:textId="77777777" w:rsidR="00443399" w:rsidRPr="00B03B51" w:rsidRDefault="00443399" w:rsidP="0054365B">
            <w:pPr>
              <w:pStyle w:val="TableParagraph"/>
              <w:jc w:val="both"/>
              <w:rPr>
                <w:rFonts w:ascii="Times New Roman" w:hAnsi="Times New Roman" w:cs="Times New Roman"/>
                <w:noProof/>
                <w:sz w:val="24"/>
              </w:rPr>
            </w:pPr>
            <w:r w:rsidRPr="00B03B51">
              <w:rPr>
                <w:rFonts w:ascii="Times New Roman" w:hAnsi="Times New Roman" w:cs="Times New Roman"/>
                <w:sz w:val="24"/>
              </w:rPr>
              <w:t>2.3. Pārskaitījumi uzkrājumiem un no tiem atbilstīgi ārvalstu valūtas kursam, procentu likme, kredīta un zelta likmes riskiem</w:t>
            </w:r>
          </w:p>
        </w:tc>
      </w:tr>
      <w:tr w:rsidR="00443399" w:rsidRPr="00B03B51" w14:paraId="27A1AAA5" w14:textId="77777777" w:rsidTr="00422349">
        <w:tc>
          <w:tcPr>
            <w:tcW w:w="5000" w:type="pct"/>
            <w:tcBorders>
              <w:top w:val="single" w:sz="5" w:space="0" w:color="000000"/>
              <w:left w:val="single" w:sz="5" w:space="0" w:color="000000"/>
              <w:bottom w:val="single" w:sz="5" w:space="0" w:color="000000"/>
              <w:right w:val="single" w:sz="5" w:space="0" w:color="000000"/>
            </w:tcBorders>
          </w:tcPr>
          <w:p w14:paraId="1826E812" w14:textId="77777777" w:rsidR="00443399" w:rsidRPr="00B03B51" w:rsidRDefault="00443399" w:rsidP="0054365B">
            <w:pPr>
              <w:pStyle w:val="TableParagraph"/>
              <w:jc w:val="both"/>
              <w:rPr>
                <w:rFonts w:ascii="Times New Roman" w:hAnsi="Times New Roman" w:cs="Times New Roman"/>
                <w:noProof/>
                <w:sz w:val="24"/>
              </w:rPr>
            </w:pPr>
            <w:r w:rsidRPr="00B03B51">
              <w:rPr>
                <w:rFonts w:ascii="Times New Roman" w:hAnsi="Times New Roman" w:cs="Times New Roman"/>
                <w:sz w:val="24"/>
              </w:rPr>
              <w:t>2. Finanšu operāciju, norakstījumu un riska uzkrājumu neto rezultāts</w:t>
            </w:r>
          </w:p>
        </w:tc>
      </w:tr>
      <w:tr w:rsidR="00443399" w:rsidRPr="00B03B51" w14:paraId="57DA84EF" w14:textId="77777777" w:rsidTr="00422349">
        <w:tc>
          <w:tcPr>
            <w:tcW w:w="5000" w:type="pct"/>
            <w:tcBorders>
              <w:top w:val="single" w:sz="5" w:space="0" w:color="000000"/>
              <w:left w:val="single" w:sz="5" w:space="0" w:color="000000"/>
              <w:bottom w:val="single" w:sz="5" w:space="0" w:color="000000"/>
              <w:right w:val="single" w:sz="5" w:space="0" w:color="000000"/>
            </w:tcBorders>
          </w:tcPr>
          <w:p w14:paraId="001C46F3" w14:textId="77777777" w:rsidR="00443399" w:rsidRPr="00B03B51" w:rsidRDefault="00443399" w:rsidP="0054365B">
            <w:pPr>
              <w:pStyle w:val="TableParagraph"/>
              <w:jc w:val="both"/>
              <w:rPr>
                <w:rFonts w:ascii="Times New Roman" w:hAnsi="Times New Roman" w:cs="Times New Roman"/>
                <w:noProof/>
                <w:sz w:val="24"/>
              </w:rPr>
            </w:pPr>
            <w:r w:rsidRPr="00B03B51">
              <w:rPr>
                <w:rFonts w:ascii="Times New Roman" w:hAnsi="Times New Roman" w:cs="Times New Roman"/>
                <w:sz w:val="24"/>
              </w:rPr>
              <w:t>3.1. Ienākumi no maksājumiem un komisijas maksām</w:t>
            </w:r>
          </w:p>
        </w:tc>
      </w:tr>
      <w:tr w:rsidR="00443399" w:rsidRPr="00B03B51" w14:paraId="00912EC0" w14:textId="77777777" w:rsidTr="00422349">
        <w:tc>
          <w:tcPr>
            <w:tcW w:w="5000" w:type="pct"/>
            <w:tcBorders>
              <w:top w:val="single" w:sz="5" w:space="0" w:color="000000"/>
              <w:left w:val="single" w:sz="5" w:space="0" w:color="000000"/>
              <w:bottom w:val="single" w:sz="5" w:space="0" w:color="000000"/>
              <w:right w:val="single" w:sz="5" w:space="0" w:color="000000"/>
            </w:tcBorders>
          </w:tcPr>
          <w:p w14:paraId="752AA88D" w14:textId="77777777" w:rsidR="00443399" w:rsidRPr="00B03B51" w:rsidRDefault="00443399" w:rsidP="0054365B">
            <w:pPr>
              <w:pStyle w:val="TableParagraph"/>
              <w:jc w:val="both"/>
              <w:rPr>
                <w:rFonts w:ascii="Times New Roman" w:hAnsi="Times New Roman" w:cs="Times New Roman"/>
                <w:noProof/>
                <w:sz w:val="24"/>
              </w:rPr>
            </w:pPr>
            <w:r w:rsidRPr="00B03B51">
              <w:rPr>
                <w:rFonts w:ascii="Times New Roman" w:hAnsi="Times New Roman" w:cs="Times New Roman"/>
                <w:sz w:val="24"/>
              </w:rPr>
              <w:t>3.2. Izdevumi par maksājumiem un komisijas maksām</w:t>
            </w:r>
          </w:p>
        </w:tc>
      </w:tr>
      <w:tr w:rsidR="00443399" w:rsidRPr="00B03B51" w14:paraId="1243AA70" w14:textId="77777777" w:rsidTr="00422349">
        <w:tc>
          <w:tcPr>
            <w:tcW w:w="5000" w:type="pct"/>
            <w:tcBorders>
              <w:top w:val="single" w:sz="5" w:space="0" w:color="000000"/>
              <w:left w:val="single" w:sz="5" w:space="0" w:color="000000"/>
              <w:bottom w:val="single" w:sz="5" w:space="0" w:color="000000"/>
              <w:right w:val="single" w:sz="5" w:space="0" w:color="000000"/>
            </w:tcBorders>
          </w:tcPr>
          <w:p w14:paraId="5CBB233C" w14:textId="77777777" w:rsidR="00443399" w:rsidRPr="00B03B51" w:rsidRDefault="00443399" w:rsidP="0054365B">
            <w:pPr>
              <w:pStyle w:val="TableParagraph"/>
              <w:jc w:val="both"/>
              <w:rPr>
                <w:rFonts w:ascii="Times New Roman" w:hAnsi="Times New Roman" w:cs="Times New Roman"/>
                <w:noProof/>
                <w:sz w:val="24"/>
              </w:rPr>
            </w:pPr>
            <w:r w:rsidRPr="00B03B51">
              <w:rPr>
                <w:rFonts w:ascii="Times New Roman" w:hAnsi="Times New Roman" w:cs="Times New Roman"/>
                <w:sz w:val="24"/>
              </w:rPr>
              <w:t>3. Maksājumu un komisijas maksu neto ienākumi/izdevumi</w:t>
            </w:r>
          </w:p>
        </w:tc>
      </w:tr>
      <w:tr w:rsidR="00443399" w:rsidRPr="00B03B51" w14:paraId="798E2380" w14:textId="77777777" w:rsidTr="00422349">
        <w:tc>
          <w:tcPr>
            <w:tcW w:w="5000" w:type="pct"/>
            <w:tcBorders>
              <w:top w:val="single" w:sz="5" w:space="0" w:color="000000"/>
              <w:left w:val="single" w:sz="5" w:space="0" w:color="000000"/>
              <w:bottom w:val="single" w:sz="5" w:space="0" w:color="000000"/>
              <w:right w:val="single" w:sz="5" w:space="0" w:color="000000"/>
            </w:tcBorders>
          </w:tcPr>
          <w:p w14:paraId="48EE505F" w14:textId="77777777" w:rsidR="00443399" w:rsidRPr="00B03B51" w:rsidRDefault="00443399" w:rsidP="0054365B">
            <w:pPr>
              <w:pStyle w:val="TableParagraph"/>
              <w:jc w:val="both"/>
              <w:rPr>
                <w:rFonts w:ascii="Times New Roman" w:hAnsi="Times New Roman" w:cs="Times New Roman"/>
                <w:noProof/>
                <w:sz w:val="24"/>
              </w:rPr>
            </w:pPr>
            <w:r w:rsidRPr="00B03B51">
              <w:rPr>
                <w:rFonts w:ascii="Times New Roman" w:hAnsi="Times New Roman" w:cs="Times New Roman"/>
                <w:sz w:val="24"/>
              </w:rPr>
              <w:t>4. Ienākumi no akcijām un līdzdalības daļām</w:t>
            </w:r>
          </w:p>
        </w:tc>
      </w:tr>
      <w:tr w:rsidR="00443399" w:rsidRPr="00B03B51" w14:paraId="397363B2" w14:textId="77777777" w:rsidTr="00422349">
        <w:tc>
          <w:tcPr>
            <w:tcW w:w="5000" w:type="pct"/>
            <w:tcBorders>
              <w:top w:val="single" w:sz="5" w:space="0" w:color="000000"/>
              <w:left w:val="single" w:sz="5" w:space="0" w:color="000000"/>
              <w:bottom w:val="single" w:sz="5" w:space="0" w:color="000000"/>
              <w:right w:val="single" w:sz="5" w:space="0" w:color="000000"/>
            </w:tcBorders>
          </w:tcPr>
          <w:p w14:paraId="5CF4E148" w14:textId="77777777" w:rsidR="00443399" w:rsidRPr="00B03B51" w:rsidRDefault="00443399" w:rsidP="0054365B">
            <w:pPr>
              <w:pStyle w:val="TableParagraph"/>
              <w:jc w:val="both"/>
              <w:rPr>
                <w:rFonts w:ascii="Times New Roman" w:hAnsi="Times New Roman" w:cs="Times New Roman"/>
                <w:noProof/>
                <w:sz w:val="24"/>
              </w:rPr>
            </w:pPr>
            <w:r w:rsidRPr="00B03B51">
              <w:rPr>
                <w:rFonts w:ascii="Times New Roman" w:hAnsi="Times New Roman" w:cs="Times New Roman"/>
                <w:sz w:val="24"/>
              </w:rPr>
              <w:t>5. Monetārā ienākuma apvienošanas kopējā fondā neto rezultāts</w:t>
            </w:r>
          </w:p>
        </w:tc>
      </w:tr>
      <w:tr w:rsidR="00443399" w:rsidRPr="00B03B51" w14:paraId="7B2FDC26" w14:textId="77777777" w:rsidTr="00422349">
        <w:tc>
          <w:tcPr>
            <w:tcW w:w="5000" w:type="pct"/>
            <w:tcBorders>
              <w:top w:val="single" w:sz="5" w:space="0" w:color="000000"/>
              <w:left w:val="single" w:sz="5" w:space="0" w:color="000000"/>
              <w:bottom w:val="single" w:sz="5" w:space="0" w:color="000000"/>
              <w:right w:val="single" w:sz="5" w:space="0" w:color="000000"/>
            </w:tcBorders>
          </w:tcPr>
          <w:p w14:paraId="1AC463A8" w14:textId="77777777" w:rsidR="00443399" w:rsidRPr="00B03B51" w:rsidRDefault="00443399" w:rsidP="0054365B">
            <w:pPr>
              <w:pStyle w:val="TableParagraph"/>
              <w:jc w:val="both"/>
              <w:rPr>
                <w:rFonts w:ascii="Times New Roman" w:hAnsi="Times New Roman" w:cs="Times New Roman"/>
                <w:noProof/>
                <w:sz w:val="24"/>
              </w:rPr>
            </w:pPr>
            <w:r w:rsidRPr="00B03B51">
              <w:rPr>
                <w:rFonts w:ascii="Times New Roman" w:hAnsi="Times New Roman" w:cs="Times New Roman"/>
                <w:sz w:val="24"/>
              </w:rPr>
              <w:t>6. Citi ienākumi</w:t>
            </w:r>
          </w:p>
        </w:tc>
      </w:tr>
      <w:tr w:rsidR="00443399" w:rsidRPr="00B03B51" w14:paraId="698B612A" w14:textId="77777777" w:rsidTr="00422349">
        <w:tc>
          <w:tcPr>
            <w:tcW w:w="5000" w:type="pct"/>
            <w:tcBorders>
              <w:top w:val="single" w:sz="5" w:space="0" w:color="000000"/>
              <w:left w:val="single" w:sz="5" w:space="0" w:color="000000"/>
              <w:bottom w:val="single" w:sz="5" w:space="0" w:color="000000"/>
              <w:right w:val="single" w:sz="5" w:space="0" w:color="000000"/>
            </w:tcBorders>
          </w:tcPr>
          <w:p w14:paraId="761D9FE1" w14:textId="77777777" w:rsidR="00443399" w:rsidRPr="00B03B51" w:rsidRDefault="00443399" w:rsidP="0054365B">
            <w:pPr>
              <w:pStyle w:val="TableParagraph"/>
              <w:jc w:val="right"/>
              <w:rPr>
                <w:rFonts w:ascii="Times New Roman" w:hAnsi="Times New Roman" w:cs="Times New Roman"/>
                <w:b/>
                <w:noProof/>
                <w:sz w:val="24"/>
              </w:rPr>
            </w:pPr>
            <w:r w:rsidRPr="00B03B51">
              <w:rPr>
                <w:rFonts w:ascii="Times New Roman" w:hAnsi="Times New Roman" w:cs="Times New Roman"/>
                <w:b/>
                <w:sz w:val="24"/>
              </w:rPr>
              <w:t>Kopējais neto ienākums</w:t>
            </w:r>
          </w:p>
        </w:tc>
      </w:tr>
      <w:tr w:rsidR="00443399" w:rsidRPr="00B03B51" w14:paraId="6E4F9694" w14:textId="77777777" w:rsidTr="00422349">
        <w:tc>
          <w:tcPr>
            <w:tcW w:w="5000" w:type="pct"/>
            <w:tcBorders>
              <w:top w:val="single" w:sz="5" w:space="0" w:color="000000"/>
              <w:left w:val="single" w:sz="5" w:space="0" w:color="000000"/>
              <w:bottom w:val="single" w:sz="5" w:space="0" w:color="000000"/>
              <w:right w:val="single" w:sz="5" w:space="0" w:color="000000"/>
            </w:tcBorders>
          </w:tcPr>
          <w:p w14:paraId="231B6DCA" w14:textId="77777777" w:rsidR="00443399" w:rsidRPr="00B03B51" w:rsidRDefault="00443399" w:rsidP="0054365B">
            <w:pPr>
              <w:pStyle w:val="TableParagraph"/>
              <w:jc w:val="both"/>
              <w:rPr>
                <w:rFonts w:ascii="Times New Roman" w:hAnsi="Times New Roman" w:cs="Times New Roman"/>
                <w:noProof/>
                <w:sz w:val="24"/>
              </w:rPr>
            </w:pPr>
            <w:r w:rsidRPr="00B03B51">
              <w:rPr>
                <w:rFonts w:ascii="Times New Roman" w:hAnsi="Times New Roman" w:cs="Times New Roman"/>
                <w:sz w:val="24"/>
              </w:rPr>
              <w:t>7. Personāla izmaksas</w:t>
            </w:r>
          </w:p>
        </w:tc>
      </w:tr>
      <w:tr w:rsidR="00443399" w:rsidRPr="00B03B51" w14:paraId="73758DCB" w14:textId="77777777" w:rsidTr="00422349">
        <w:tc>
          <w:tcPr>
            <w:tcW w:w="5000" w:type="pct"/>
            <w:tcBorders>
              <w:top w:val="single" w:sz="5" w:space="0" w:color="000000"/>
              <w:left w:val="single" w:sz="5" w:space="0" w:color="000000"/>
              <w:bottom w:val="single" w:sz="5" w:space="0" w:color="000000"/>
              <w:right w:val="single" w:sz="5" w:space="0" w:color="000000"/>
            </w:tcBorders>
          </w:tcPr>
          <w:p w14:paraId="7E508E71" w14:textId="77777777" w:rsidR="00443399" w:rsidRPr="00B03B51" w:rsidRDefault="00443399" w:rsidP="0054365B">
            <w:pPr>
              <w:pStyle w:val="TableParagraph"/>
              <w:jc w:val="both"/>
              <w:rPr>
                <w:rFonts w:ascii="Times New Roman" w:hAnsi="Times New Roman" w:cs="Times New Roman"/>
                <w:noProof/>
                <w:sz w:val="24"/>
              </w:rPr>
            </w:pPr>
            <w:r w:rsidRPr="00B03B51">
              <w:rPr>
                <w:rFonts w:ascii="Times New Roman" w:hAnsi="Times New Roman" w:cs="Times New Roman"/>
                <w:sz w:val="24"/>
              </w:rPr>
              <w:t>8. Administratīvie izdevumi</w:t>
            </w:r>
          </w:p>
        </w:tc>
      </w:tr>
      <w:tr w:rsidR="00443399" w:rsidRPr="00B03B51" w14:paraId="0C583165" w14:textId="77777777" w:rsidTr="00422349">
        <w:tc>
          <w:tcPr>
            <w:tcW w:w="5000" w:type="pct"/>
            <w:tcBorders>
              <w:top w:val="single" w:sz="5" w:space="0" w:color="000000"/>
              <w:left w:val="single" w:sz="5" w:space="0" w:color="000000"/>
              <w:bottom w:val="single" w:sz="5" w:space="0" w:color="000000"/>
              <w:right w:val="single" w:sz="5" w:space="0" w:color="000000"/>
            </w:tcBorders>
          </w:tcPr>
          <w:p w14:paraId="7FCD919D" w14:textId="77777777" w:rsidR="00443399" w:rsidRPr="00B03B51" w:rsidRDefault="00443399" w:rsidP="0054365B">
            <w:pPr>
              <w:pStyle w:val="TableParagraph"/>
              <w:jc w:val="both"/>
              <w:rPr>
                <w:rFonts w:ascii="Times New Roman" w:hAnsi="Times New Roman" w:cs="Times New Roman"/>
                <w:noProof/>
                <w:sz w:val="24"/>
              </w:rPr>
            </w:pPr>
            <w:r w:rsidRPr="00B03B51">
              <w:rPr>
                <w:rFonts w:ascii="Times New Roman" w:hAnsi="Times New Roman" w:cs="Times New Roman"/>
                <w:sz w:val="24"/>
              </w:rPr>
              <w:t>9. Materiālo un nemateriālo pamatlīdzekļu nolietojums</w:t>
            </w:r>
          </w:p>
        </w:tc>
      </w:tr>
      <w:tr w:rsidR="00443399" w:rsidRPr="00B03B51" w14:paraId="71B8C1CB" w14:textId="77777777" w:rsidTr="00422349">
        <w:trPr>
          <w:trHeight w:hRule="exact" w:val="312"/>
        </w:trPr>
        <w:tc>
          <w:tcPr>
            <w:tcW w:w="5000" w:type="pct"/>
            <w:tcBorders>
              <w:top w:val="single" w:sz="5" w:space="0" w:color="000000"/>
              <w:left w:val="single" w:sz="5" w:space="0" w:color="000000"/>
              <w:bottom w:val="single" w:sz="5" w:space="0" w:color="000000"/>
              <w:right w:val="single" w:sz="5" w:space="0" w:color="000000"/>
            </w:tcBorders>
          </w:tcPr>
          <w:p w14:paraId="2E6B9ED3" w14:textId="77777777" w:rsidR="00443399" w:rsidRPr="00B03B51" w:rsidRDefault="00443399" w:rsidP="0054365B">
            <w:pPr>
              <w:pStyle w:val="TableParagraph"/>
              <w:jc w:val="both"/>
              <w:rPr>
                <w:rFonts w:ascii="Times New Roman" w:hAnsi="Times New Roman" w:cs="Times New Roman"/>
                <w:noProof/>
                <w:sz w:val="24"/>
              </w:rPr>
            </w:pPr>
            <w:r w:rsidRPr="00B03B51">
              <w:rPr>
                <w:rFonts w:ascii="Times New Roman" w:hAnsi="Times New Roman" w:cs="Times New Roman"/>
                <w:sz w:val="24"/>
              </w:rPr>
              <w:t>10. Banknošu ražošanas pakalpojumi</w:t>
            </w:r>
          </w:p>
        </w:tc>
      </w:tr>
      <w:tr w:rsidR="00443399" w:rsidRPr="00B03B51" w14:paraId="16E7D7C2" w14:textId="77777777" w:rsidTr="00422349">
        <w:trPr>
          <w:trHeight w:hRule="exact" w:val="312"/>
        </w:trPr>
        <w:tc>
          <w:tcPr>
            <w:tcW w:w="5000" w:type="pct"/>
            <w:tcBorders>
              <w:top w:val="single" w:sz="5" w:space="0" w:color="000000"/>
              <w:left w:val="single" w:sz="5" w:space="0" w:color="000000"/>
              <w:bottom w:val="single" w:sz="5" w:space="0" w:color="000000"/>
              <w:right w:val="single" w:sz="5" w:space="0" w:color="000000"/>
            </w:tcBorders>
          </w:tcPr>
          <w:p w14:paraId="57EF6AFA" w14:textId="77777777" w:rsidR="00443399" w:rsidRPr="00B03B51" w:rsidRDefault="00443399" w:rsidP="0054365B">
            <w:pPr>
              <w:pStyle w:val="TableParagraph"/>
              <w:jc w:val="both"/>
              <w:rPr>
                <w:rFonts w:ascii="Times New Roman" w:hAnsi="Times New Roman" w:cs="Times New Roman"/>
                <w:noProof/>
                <w:sz w:val="24"/>
              </w:rPr>
            </w:pPr>
            <w:r w:rsidRPr="00B03B51">
              <w:rPr>
                <w:rFonts w:ascii="Times New Roman" w:hAnsi="Times New Roman" w:cs="Times New Roman"/>
                <w:sz w:val="24"/>
              </w:rPr>
              <w:t>11. Citi izdevumi</w:t>
            </w:r>
          </w:p>
        </w:tc>
      </w:tr>
      <w:tr w:rsidR="00443399" w:rsidRPr="00B03B51" w14:paraId="3C2AD922" w14:textId="77777777" w:rsidTr="00422349">
        <w:trPr>
          <w:trHeight w:hRule="exact" w:val="312"/>
        </w:trPr>
        <w:tc>
          <w:tcPr>
            <w:tcW w:w="5000" w:type="pct"/>
            <w:tcBorders>
              <w:top w:val="single" w:sz="5" w:space="0" w:color="000000"/>
              <w:left w:val="single" w:sz="5" w:space="0" w:color="000000"/>
              <w:bottom w:val="single" w:sz="5" w:space="0" w:color="000000"/>
              <w:right w:val="single" w:sz="5" w:space="0" w:color="000000"/>
            </w:tcBorders>
          </w:tcPr>
          <w:p w14:paraId="574CE645" w14:textId="77777777" w:rsidR="00443399" w:rsidRPr="00B03B51" w:rsidRDefault="00443399" w:rsidP="0054365B">
            <w:pPr>
              <w:pStyle w:val="TableParagraph"/>
              <w:jc w:val="both"/>
              <w:rPr>
                <w:rFonts w:ascii="Times New Roman" w:hAnsi="Times New Roman" w:cs="Times New Roman"/>
                <w:noProof/>
                <w:sz w:val="24"/>
              </w:rPr>
            </w:pPr>
            <w:r w:rsidRPr="00B03B51">
              <w:rPr>
                <w:rFonts w:ascii="Times New Roman" w:hAnsi="Times New Roman" w:cs="Times New Roman"/>
                <w:sz w:val="24"/>
              </w:rPr>
              <w:t>12. Ienākuma nodoklis un citi maksājumi valstij par ienākumiem</w:t>
            </w:r>
          </w:p>
        </w:tc>
      </w:tr>
      <w:tr w:rsidR="00443399" w:rsidRPr="00B03B51" w14:paraId="5DB27EC3" w14:textId="77777777" w:rsidTr="00422349">
        <w:trPr>
          <w:trHeight w:hRule="exact" w:val="312"/>
        </w:trPr>
        <w:tc>
          <w:tcPr>
            <w:tcW w:w="5000" w:type="pct"/>
            <w:tcBorders>
              <w:top w:val="single" w:sz="5" w:space="0" w:color="000000"/>
              <w:left w:val="single" w:sz="5" w:space="0" w:color="000000"/>
              <w:bottom w:val="single" w:sz="5" w:space="0" w:color="000000"/>
              <w:right w:val="single" w:sz="5" w:space="0" w:color="000000"/>
            </w:tcBorders>
          </w:tcPr>
          <w:p w14:paraId="52D8AEB0" w14:textId="77777777" w:rsidR="00443399" w:rsidRPr="00B03B51" w:rsidRDefault="00443399" w:rsidP="0054365B">
            <w:pPr>
              <w:pStyle w:val="TableParagraph"/>
              <w:jc w:val="right"/>
              <w:rPr>
                <w:rFonts w:ascii="Times New Roman" w:hAnsi="Times New Roman" w:cs="Times New Roman"/>
                <w:b/>
                <w:noProof/>
                <w:sz w:val="24"/>
              </w:rPr>
            </w:pPr>
            <w:r w:rsidRPr="00B03B51">
              <w:rPr>
                <w:rFonts w:ascii="Times New Roman" w:hAnsi="Times New Roman" w:cs="Times New Roman"/>
                <w:b/>
                <w:sz w:val="24"/>
              </w:rPr>
              <w:t>Gada (zaudējumi)/peļņa</w:t>
            </w:r>
          </w:p>
        </w:tc>
      </w:tr>
    </w:tbl>
    <w:p w14:paraId="23B5DD1A" w14:textId="77777777" w:rsidR="00443399" w:rsidRPr="00B03B51" w:rsidRDefault="00443399" w:rsidP="00443399">
      <w:pPr>
        <w:jc w:val="both"/>
        <w:rPr>
          <w:rFonts w:ascii="Times New Roman" w:eastAsia="Arial" w:hAnsi="Times New Roman" w:cs="Times New Roman"/>
          <w:noProof/>
          <w:sz w:val="24"/>
          <w:szCs w:val="14"/>
        </w:rPr>
      </w:pPr>
    </w:p>
    <w:p w14:paraId="12EFF541" w14:textId="77777777" w:rsidR="00443399" w:rsidRPr="00B03B51" w:rsidRDefault="00443399" w:rsidP="00443399">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t>Pamatdarbības peļņu/zaudējumus parasti var aprēķināt, atņemot peļņas un zaudējumu pārskata 2. posteni “Finanšu operāciju, norakstījumu un riska uzkrājumu neto rezultāts” no gada kopējās peļņas/zaudējumiem, iegūstot pamatdarbības peļņu/zaudējumus, kā arī atņemot visus pārējos 2. postenī neierakstītos uzkrājumus un rezerves, jo nav iespējams pilnīgi izslēgt, izņemot 2. posteni, ka arī citi centrālās bankas peļņas un zaudējumu pārskata posteņi nesatur uzkrājumus un rezerves (piemēram, 5. postenis). Arī šādi uzkrājumi un rezerves ir jāatņem no kopējās peļņas/zaudējumiem, lai iegūtu pamatdarbības peļņu/zaudējumus.</w:t>
      </w:r>
    </w:p>
    <w:p w14:paraId="1AA08B0B" w14:textId="77777777" w:rsidR="00443399" w:rsidRPr="00B03B51" w:rsidRDefault="00443399" w:rsidP="00443399">
      <w:pPr>
        <w:jc w:val="both"/>
        <w:rPr>
          <w:rFonts w:ascii="Times New Roman" w:eastAsia="Arial" w:hAnsi="Times New Roman" w:cs="Times New Roman"/>
          <w:noProof/>
          <w:sz w:val="24"/>
          <w:szCs w:val="19"/>
        </w:rPr>
      </w:pPr>
    </w:p>
    <w:p w14:paraId="1C02E2F7" w14:textId="77777777" w:rsidR="00443399" w:rsidRPr="00B03B51" w:rsidRDefault="00443399" w:rsidP="000F6153">
      <w:pPr>
        <w:pStyle w:val="Heading3"/>
        <w:keepNext/>
        <w:tabs>
          <w:tab w:val="left" w:pos="1267"/>
        </w:tabs>
        <w:ind w:left="0" w:firstLine="0"/>
        <w:jc w:val="both"/>
        <w:rPr>
          <w:rFonts w:ascii="Times New Roman" w:hAnsi="Times New Roman" w:cs="Times New Roman"/>
          <w:noProof/>
          <w:sz w:val="24"/>
        </w:rPr>
      </w:pPr>
      <w:bookmarkStart w:id="319" w:name="4.2.5_Annex:_Bookkeeping_in_central_bank"/>
      <w:bookmarkStart w:id="320" w:name="_Toc67565123"/>
      <w:bookmarkEnd w:id="319"/>
      <w:r w:rsidRPr="00B03B51">
        <w:rPr>
          <w:rFonts w:ascii="Times New Roman" w:hAnsi="Times New Roman" w:cs="Times New Roman"/>
          <w:sz w:val="24"/>
        </w:rPr>
        <w:lastRenderedPageBreak/>
        <w:t>4.2.5. Pielikums. Grāmatvedība centrālajās bankās</w:t>
      </w:r>
      <w:bookmarkEnd w:id="320"/>
    </w:p>
    <w:p w14:paraId="35C9D986" w14:textId="77777777" w:rsidR="00443399" w:rsidRPr="00186A44" w:rsidRDefault="00443399" w:rsidP="000F6153">
      <w:pPr>
        <w:keepNext/>
        <w:rPr>
          <w:rFonts w:ascii="Times New Roman" w:hAnsi="Times New Roman" w:cs="Times New Roman"/>
          <w:noProof/>
          <w:sz w:val="24"/>
          <w:szCs w:val="24"/>
        </w:rPr>
      </w:pPr>
      <w:bookmarkStart w:id="321" w:name="4.2.5.1_Introduction"/>
      <w:bookmarkEnd w:id="321"/>
    </w:p>
    <w:p w14:paraId="1BAAC193" w14:textId="77777777" w:rsidR="00443399" w:rsidRPr="00B03B51" w:rsidRDefault="00443399" w:rsidP="000F6153">
      <w:pPr>
        <w:pStyle w:val="Heading6"/>
        <w:keepNext/>
        <w:tabs>
          <w:tab w:val="left" w:pos="1267"/>
        </w:tabs>
        <w:ind w:left="0" w:firstLine="0"/>
        <w:jc w:val="both"/>
        <w:rPr>
          <w:rFonts w:ascii="Times New Roman" w:hAnsi="Times New Roman" w:cs="Times New Roman"/>
          <w:noProof/>
          <w:sz w:val="24"/>
        </w:rPr>
      </w:pPr>
      <w:r w:rsidRPr="00B03B51">
        <w:rPr>
          <w:rFonts w:ascii="Times New Roman" w:hAnsi="Times New Roman" w:cs="Times New Roman"/>
          <w:sz w:val="24"/>
        </w:rPr>
        <w:t>4.2.5.1. IEVADS</w:t>
      </w:r>
    </w:p>
    <w:p w14:paraId="00D0DA5B" w14:textId="77777777" w:rsidR="00443399" w:rsidRPr="00B03B51" w:rsidRDefault="00443399" w:rsidP="000F6153">
      <w:pPr>
        <w:pStyle w:val="BodyText"/>
        <w:keepNext/>
        <w:tabs>
          <w:tab w:val="left" w:pos="843"/>
        </w:tabs>
        <w:spacing w:before="0"/>
        <w:ind w:left="0" w:firstLine="0"/>
        <w:jc w:val="both"/>
        <w:rPr>
          <w:rFonts w:ascii="Times New Roman" w:hAnsi="Times New Roman" w:cs="Times New Roman"/>
          <w:noProof/>
          <w:sz w:val="24"/>
        </w:rPr>
      </w:pPr>
    </w:p>
    <w:p w14:paraId="67558024" w14:textId="77777777" w:rsidR="00443399" w:rsidRPr="00B03B51" w:rsidRDefault="00443399" w:rsidP="000F6153">
      <w:pPr>
        <w:pStyle w:val="BodyText"/>
        <w:keepN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15. Pēc eirozonas izveides Eiropas Centrālo banku sistēma (ECBS) ir saskaņojusi savu uzskaites praksi visos centrālo banku darbības pasākumos saistībā ar Eirosistēmas finanšu pārskatiem. Saskaņošanas noteikumi ir izklāstīti ECB 2010. gada 11. novembra pamatnostādnēs par Eiropas Centrālo banku sistēmas tiesisko regulējumu un finanšu pārskatiem (ECB/2010/20) un grozošajās ECB 2012. gada 10. decembra pamatnostādnēs (ECB/2012/29).</w:t>
      </w:r>
    </w:p>
    <w:p w14:paraId="5621CFED"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6A329D26"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 xml:space="preserve">16. ECB pamatnostādnes ir juridiski saistošas eirozonas VCB (Eirosistēmai), taču lielākā daļa tajā neietilpstošo ES dalībvalstu VCB arī ir saskaņojušas savu praksi ar pamatnostādnēm, tādējādi gatavojoties iespējamai </w:t>
      </w:r>
      <w:r w:rsidRPr="00B03B51">
        <w:rPr>
          <w:rFonts w:ascii="Times New Roman" w:hAnsi="Times New Roman" w:cs="Times New Roman"/>
          <w:i/>
          <w:iCs/>
          <w:sz w:val="24"/>
        </w:rPr>
        <w:t>euro</w:t>
      </w:r>
      <w:r w:rsidRPr="00B03B51">
        <w:rPr>
          <w:rFonts w:ascii="Times New Roman" w:hAnsi="Times New Roman" w:cs="Times New Roman"/>
          <w:sz w:val="24"/>
        </w:rPr>
        <w:t xml:space="preserve"> ieviešanai. Pamatnostādnes nav obligātas attiecībā uz dažiem posteņiem (“Citi aktīvi”), attiecībā uz kuriem noteikumiem ir tikai ieteikuma raksturs. Gadījumos, kad kāds postenis nav apspriests pamatnostādnēs, centrālās bankas rīkojas saskaņā ar starptautiskajiem finanšu standartiem vai valsts tiesību aktiem.</w:t>
      </w:r>
    </w:p>
    <w:p w14:paraId="32C3A3C8"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166EF57E"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17. Ieviešot iepriekš minētās ECB pamatnostādnes, tika saskaņots ienākumu un zaudējumu uzskaites traktējums Eirosistēmā. Tomēr iepriekš minētās pamatnostādnes nenosaka VCB peļņas sadali, jo šo jautājumu reglamentē valsts tiesību akti vai līgums ar finanšu ministriju, un šie nosacījumi katrā valstī joprojām ievērojami atšķiras.</w:t>
      </w:r>
    </w:p>
    <w:p w14:paraId="39CCA157" w14:textId="77777777" w:rsidR="00443399" w:rsidRPr="00B03B51" w:rsidRDefault="00443399" w:rsidP="00443399">
      <w:pPr>
        <w:jc w:val="both"/>
        <w:rPr>
          <w:rFonts w:ascii="Times New Roman" w:eastAsia="Arial" w:hAnsi="Times New Roman" w:cs="Times New Roman"/>
          <w:noProof/>
          <w:sz w:val="24"/>
          <w:szCs w:val="15"/>
        </w:rPr>
      </w:pPr>
    </w:p>
    <w:p w14:paraId="7A5653C7" w14:textId="77777777" w:rsidR="00443399" w:rsidRPr="00B03B51" w:rsidRDefault="00443399" w:rsidP="00443399">
      <w:pPr>
        <w:pStyle w:val="Heading6"/>
        <w:tabs>
          <w:tab w:val="left" w:pos="1267"/>
        </w:tabs>
        <w:ind w:left="0" w:firstLine="0"/>
        <w:jc w:val="both"/>
        <w:rPr>
          <w:rFonts w:ascii="Times New Roman" w:hAnsi="Times New Roman" w:cs="Times New Roman"/>
          <w:noProof/>
          <w:sz w:val="24"/>
        </w:rPr>
      </w:pPr>
      <w:bookmarkStart w:id="322" w:name="4.2.5.2_Recording_capital_gains/losses"/>
      <w:bookmarkEnd w:id="322"/>
      <w:r w:rsidRPr="00B03B51">
        <w:rPr>
          <w:rFonts w:ascii="Times New Roman" w:hAnsi="Times New Roman" w:cs="Times New Roman"/>
          <w:sz w:val="24"/>
        </w:rPr>
        <w:t>4.2.5.2. KAPITĀLA PIEAUGUMA/ZAUDĒJUMU IERAKSTĪŠANA</w:t>
      </w:r>
    </w:p>
    <w:p w14:paraId="5CD8FCF1"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0B6C88F0"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18. Realizētie ienākumi vai zaudējumi rodas, tiklīdz tiek pārdoti finanšu aktīvi, savukārt nerealizētos ienākumus vai zaudējumus rada finanšu aktīvu saglabāšana grāmatvedības uzskaitē un to pārvērtēšana. Šajā pielikumā ir aplūkots, pirmkārt, gan realizēto, gan nerealizēto guvumu un zaudējumu traktējums Eirosistēmas grāmatvedībā un, otrkārt, pastāvošā prakse attiecībā uz ES VCB peļņas sadali. Izmantotie Eirosistēmas uzskaites jēdzieni var neatbilst nacionālajos kontos izmantotajiem formulējumiem (piemēram, ienākumi).</w:t>
      </w:r>
    </w:p>
    <w:p w14:paraId="5DCE1B6E" w14:textId="77777777" w:rsidR="00443399" w:rsidRPr="00BE27DC" w:rsidRDefault="00443399" w:rsidP="00BE27DC">
      <w:pPr>
        <w:rPr>
          <w:rFonts w:ascii="Times New Roman" w:hAnsi="Times New Roman" w:cs="Times New Roman"/>
          <w:noProof/>
          <w:sz w:val="24"/>
          <w:szCs w:val="24"/>
        </w:rPr>
      </w:pPr>
      <w:bookmarkStart w:id="323" w:name="4.2.5.2.1._Income_recognition_and_balanc"/>
      <w:bookmarkEnd w:id="323"/>
    </w:p>
    <w:p w14:paraId="46FF264C" w14:textId="77777777" w:rsidR="00443399" w:rsidRPr="00B03B51" w:rsidRDefault="00443399" w:rsidP="00443399">
      <w:pPr>
        <w:pStyle w:val="Heading6"/>
        <w:tabs>
          <w:tab w:val="left" w:pos="1692"/>
        </w:tabs>
        <w:ind w:left="0" w:firstLine="0"/>
        <w:jc w:val="both"/>
        <w:rPr>
          <w:rFonts w:ascii="Times New Roman" w:hAnsi="Times New Roman" w:cs="Times New Roman"/>
          <w:noProof/>
          <w:sz w:val="24"/>
        </w:rPr>
      </w:pPr>
      <w:r w:rsidRPr="00B03B51">
        <w:rPr>
          <w:rFonts w:ascii="Times New Roman" w:hAnsi="Times New Roman" w:cs="Times New Roman"/>
          <w:sz w:val="24"/>
        </w:rPr>
        <w:t>4.2.5.2.1. Eirosistēmas noteikumi attiecībā uz ienākumu atzīšanu un bilances novērtēšanu</w:t>
      </w:r>
    </w:p>
    <w:p w14:paraId="456D1B8F"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05C710A6"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19. Ienākumu atzīšanas un bilances novērtēšanas noteikumu pamatā ir piesardzīga uzskaites pieeja, kurā nerealizētais kapitāla pieaugums netiek uzskatīts par ienākumiem (un līdz ar to netiek sadalīts). Piemēro šādus galvenos noteikumus:</w:t>
      </w:r>
    </w:p>
    <w:p w14:paraId="40D65FA9"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7B20A870" w14:textId="77777777" w:rsidR="00443399" w:rsidRPr="00B03B51" w:rsidRDefault="00443399" w:rsidP="00422349">
      <w:pPr>
        <w:pStyle w:val="BodyText"/>
        <w:numPr>
          <w:ilvl w:val="0"/>
          <w:numId w:val="68"/>
        </w:numPr>
        <w:tabs>
          <w:tab w:val="left" w:pos="1126"/>
        </w:tabs>
        <w:spacing w:before="0"/>
        <w:ind w:left="426" w:hanging="425"/>
        <w:jc w:val="both"/>
        <w:rPr>
          <w:rFonts w:ascii="Times New Roman" w:hAnsi="Times New Roman" w:cs="Times New Roman"/>
          <w:noProof/>
          <w:sz w:val="24"/>
        </w:rPr>
      </w:pPr>
      <w:r w:rsidRPr="00B03B51">
        <w:rPr>
          <w:rFonts w:ascii="Times New Roman" w:hAnsi="Times New Roman" w:cs="Times New Roman"/>
          <w:sz w:val="24"/>
        </w:rPr>
        <w:t>realizētos guvumus un zaudējumus iekļauj peļņas un zaudējumu pārskatā;</w:t>
      </w:r>
    </w:p>
    <w:p w14:paraId="2EEACCEC" w14:textId="77777777" w:rsidR="00443399" w:rsidRPr="00B03B51" w:rsidRDefault="00443399" w:rsidP="00422349">
      <w:pPr>
        <w:pStyle w:val="BodyText"/>
        <w:numPr>
          <w:ilvl w:val="0"/>
          <w:numId w:val="68"/>
        </w:numPr>
        <w:tabs>
          <w:tab w:val="left" w:pos="1126"/>
        </w:tabs>
        <w:spacing w:before="0"/>
        <w:ind w:left="426" w:hanging="425"/>
        <w:jc w:val="both"/>
        <w:rPr>
          <w:rFonts w:ascii="Times New Roman" w:hAnsi="Times New Roman" w:cs="Times New Roman"/>
          <w:noProof/>
          <w:sz w:val="24"/>
        </w:rPr>
      </w:pPr>
      <w:r w:rsidRPr="00B03B51">
        <w:rPr>
          <w:rFonts w:ascii="Times New Roman" w:hAnsi="Times New Roman" w:cs="Times New Roman"/>
          <w:sz w:val="24"/>
        </w:rPr>
        <w:t>nerealizētos guvumus neatzīst par ienākumiem peļņas un zaudējumu kontā, taču ieraksta bilancē pārvērtēšanas kontā;</w:t>
      </w:r>
    </w:p>
    <w:p w14:paraId="00C43382" w14:textId="77777777" w:rsidR="00443399" w:rsidRPr="00B03B51" w:rsidRDefault="00443399" w:rsidP="00422349">
      <w:pPr>
        <w:pStyle w:val="BodyText"/>
        <w:numPr>
          <w:ilvl w:val="0"/>
          <w:numId w:val="68"/>
        </w:numPr>
        <w:tabs>
          <w:tab w:val="left" w:pos="1126"/>
        </w:tabs>
        <w:spacing w:before="0"/>
        <w:ind w:left="426" w:hanging="425"/>
        <w:jc w:val="both"/>
        <w:rPr>
          <w:rFonts w:ascii="Times New Roman" w:hAnsi="Times New Roman" w:cs="Times New Roman"/>
          <w:noProof/>
          <w:sz w:val="24"/>
        </w:rPr>
      </w:pPr>
      <w:r w:rsidRPr="00B03B51">
        <w:rPr>
          <w:rFonts w:ascii="Times New Roman" w:hAnsi="Times New Roman" w:cs="Times New Roman"/>
          <w:sz w:val="24"/>
        </w:rPr>
        <w:t>nerealizētos zaudējumus gada beigās iekļauj peļņas un zaudējumu pārskatā, ja tie pārsniedz pārvērtēšanas kontā reģistrētos iepriekšējos pārvērtēšanas ienākumus; peļņas un zaudējumu pārskatā iekļautos nerealizētos zaudējumus turpmākajos gados neapvērš, pamatojoties uz jauniem nerealizētajiem ienākumiem;</w:t>
      </w:r>
    </w:p>
    <w:p w14:paraId="01F8B76E" w14:textId="77777777" w:rsidR="00443399" w:rsidRPr="00B03B51" w:rsidRDefault="00443399" w:rsidP="00422349">
      <w:pPr>
        <w:pStyle w:val="BodyText"/>
        <w:numPr>
          <w:ilvl w:val="0"/>
          <w:numId w:val="68"/>
        </w:numPr>
        <w:tabs>
          <w:tab w:val="left" w:pos="1126"/>
        </w:tabs>
        <w:spacing w:before="0"/>
        <w:ind w:left="426" w:hanging="425"/>
        <w:jc w:val="both"/>
        <w:rPr>
          <w:rFonts w:ascii="Times New Roman" w:hAnsi="Times New Roman" w:cs="Times New Roman"/>
          <w:noProof/>
          <w:sz w:val="24"/>
        </w:rPr>
      </w:pPr>
      <w:r w:rsidRPr="00B03B51">
        <w:rPr>
          <w:rFonts w:ascii="Times New Roman" w:hAnsi="Times New Roman" w:cs="Times New Roman"/>
          <w:sz w:val="24"/>
        </w:rPr>
        <w:t>netiek veikts nekāds nerealizēto zaudējumu ieskaits jebkādā vērtspapīrā, valūtā vai zelta krājumos pret nerealizētajiem ienākumiem citos vērtspapīros, valūtā vai zeltā.</w:t>
      </w:r>
    </w:p>
    <w:p w14:paraId="3DA1A917"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7DE0AA2F"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 xml:space="preserve">20. Šie noteikumi attiecas uz zeltu, aktīviem un saistībām ārvalstu valūtā, tirgojamiem vērtspapīriem, kas nav līdz termiņa beigām turēti vērtspapīri, un tirgojamiem pašu kapitāla instrumentiem, kas nav dalības tiesības un netiek turēti kā pastāvīgi ieguldījumi, un </w:t>
      </w:r>
      <w:r w:rsidRPr="00B03B51">
        <w:rPr>
          <w:rFonts w:ascii="Times New Roman" w:hAnsi="Times New Roman" w:cs="Times New Roman"/>
          <w:sz w:val="24"/>
        </w:rPr>
        <w:lastRenderedPageBreak/>
        <w:t>ārpusbilances instrumentiem. Līdz termiņa beigām turēti vērtspapīri un netirgojami vērtspapīri tiek uzrādīti ar amortizētajām izmaksām atbilstīgi vērtības samazinājumam. Nelikvīdas pašu kapitāla daļas, dalības tiesības un citas kapitāla daļas, kas tiek turētas kā pastāvīgs ieguldījums, arī tiek novērtētas ar izmaksām atbilstīgi vērtības samazinājumam, savukārt aizdevumi tiek uzrādīti nominālvērtībā (vai ar izmaksām).</w:t>
      </w:r>
    </w:p>
    <w:p w14:paraId="2EEDC1F7" w14:textId="77777777" w:rsidR="00443399" w:rsidRPr="00BE27DC" w:rsidRDefault="00443399" w:rsidP="00BE27DC">
      <w:pPr>
        <w:rPr>
          <w:rFonts w:ascii="Times New Roman" w:hAnsi="Times New Roman" w:cs="Times New Roman"/>
          <w:noProof/>
          <w:sz w:val="24"/>
          <w:szCs w:val="24"/>
        </w:rPr>
      </w:pPr>
      <w:bookmarkStart w:id="324" w:name="4.2.5.2.2._Other_systems"/>
      <w:bookmarkEnd w:id="324"/>
    </w:p>
    <w:p w14:paraId="7236E1FE" w14:textId="77777777" w:rsidR="00443399" w:rsidRPr="00B03B51" w:rsidRDefault="00443399" w:rsidP="00BC7838">
      <w:pPr>
        <w:pStyle w:val="Heading6"/>
        <w:tabs>
          <w:tab w:val="left" w:pos="1692"/>
        </w:tabs>
        <w:ind w:left="0" w:firstLine="0"/>
        <w:jc w:val="both"/>
        <w:rPr>
          <w:rFonts w:ascii="Times New Roman" w:hAnsi="Times New Roman" w:cs="Times New Roman"/>
          <w:noProof/>
          <w:sz w:val="24"/>
        </w:rPr>
      </w:pPr>
      <w:r w:rsidRPr="00B03B51">
        <w:rPr>
          <w:rFonts w:ascii="Times New Roman" w:hAnsi="Times New Roman" w:cs="Times New Roman"/>
          <w:sz w:val="24"/>
        </w:rPr>
        <w:t>4.2.5.2.2. Citas sistēmas</w:t>
      </w:r>
    </w:p>
    <w:p w14:paraId="3E88AF21" w14:textId="77777777" w:rsidR="00443399" w:rsidRPr="00B03B51" w:rsidRDefault="00443399" w:rsidP="00BC7838">
      <w:pPr>
        <w:pStyle w:val="BodyText"/>
        <w:tabs>
          <w:tab w:val="left" w:pos="843"/>
        </w:tabs>
        <w:spacing w:before="0"/>
        <w:ind w:left="0" w:firstLine="0"/>
        <w:jc w:val="both"/>
        <w:rPr>
          <w:rFonts w:ascii="Times New Roman" w:hAnsi="Times New Roman" w:cs="Times New Roman"/>
          <w:noProof/>
          <w:sz w:val="24"/>
        </w:rPr>
      </w:pPr>
    </w:p>
    <w:p w14:paraId="1CB36785"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21. Tām valstu centrālajām bankām, kuras vēl nav ieviesušas ECBS pamatnostādnes, var būt pieejams arī bilances pārvērtēšanas postenis, kas ietver nerealizētos guvumus. Tomēr atsevišķos gadījumos visus novērtējamos ieņēmumus un zaudējumus uzskaita peļņas un zaudējumu pārskatā.</w:t>
      </w:r>
    </w:p>
    <w:p w14:paraId="29972DB0" w14:textId="77777777" w:rsidR="00443399" w:rsidRPr="00B03B51" w:rsidRDefault="00443399" w:rsidP="00443399">
      <w:pPr>
        <w:jc w:val="both"/>
        <w:rPr>
          <w:rFonts w:ascii="Times New Roman" w:eastAsia="Arial" w:hAnsi="Times New Roman" w:cs="Times New Roman"/>
          <w:noProof/>
          <w:sz w:val="24"/>
          <w:szCs w:val="15"/>
        </w:rPr>
      </w:pPr>
    </w:p>
    <w:p w14:paraId="27C080A5" w14:textId="77777777" w:rsidR="00443399" w:rsidRPr="00B03B51" w:rsidRDefault="00443399" w:rsidP="00443399">
      <w:pPr>
        <w:pStyle w:val="Heading6"/>
        <w:tabs>
          <w:tab w:val="left" w:pos="1267"/>
        </w:tabs>
        <w:ind w:left="0" w:firstLine="0"/>
        <w:jc w:val="both"/>
        <w:rPr>
          <w:rFonts w:ascii="Times New Roman" w:hAnsi="Times New Roman" w:cs="Times New Roman"/>
          <w:noProof/>
          <w:sz w:val="24"/>
        </w:rPr>
      </w:pPr>
      <w:bookmarkStart w:id="325" w:name="4.2.5.3_Recording_distribution_of_profit"/>
      <w:bookmarkEnd w:id="325"/>
      <w:r w:rsidRPr="00B03B51">
        <w:rPr>
          <w:rFonts w:ascii="Times New Roman" w:hAnsi="Times New Roman" w:cs="Times New Roman"/>
          <w:sz w:val="24"/>
        </w:rPr>
        <w:t>4.2.5.3. PEĻŅAS SADALES IERAKSTĪŠANA</w:t>
      </w:r>
    </w:p>
    <w:p w14:paraId="1F140D44"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5F4D9C94"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22. Valdības parasti ir valstu centrālo banku galvenās akcionāres un attiecīgi arī galvenās to sadalītās peļņas saņēmējas. Tomēr noteikumi, saskaņā ar kuriem VCB peļņu sadala un izmaksā attiecīgajām valdībām, katrā ES dalībvalstī atšķiras, jo tos nosaka katrā valstī pastāvošā prakse.</w:t>
      </w:r>
    </w:p>
    <w:p w14:paraId="3F7CC06B"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2FEE9CDE"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23. Lielākajā daļā gadījumu VCB peļņas izmaksa ir reglamentēta valsts tiesību aktos, taču dažos gadījumus peļņu sadala saskaņā ar centrālās bankas un Finanšu ministrijas līgumu. Gadījumā, kad valdība juridiski nav akcionāre, lielākā daļa VCB peļņas tiek nodota valdībai. Šajā gadījumā valdības ekonomiskās īpašumtiesības uz VCB nacionālajos kontos ir atzītas, ierakstot valdību kā “cita pašu kapitāla” turētāju VCB.</w:t>
      </w:r>
    </w:p>
    <w:p w14:paraId="7004BBE0"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00A8684E"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24. Akcionāriem izmaksātās peļņas apmērs ECBS atšķiras. Dažos gadījumus peļņu sadala vienādās daļās starp VCB un akcionāriem, savukārt citos gadījumos akcionāri (galvenokārt valdība) saņem lielāko daļu no tīrās peļņas. Dažas VCB sadala iepriekš noteiktu tīrās peļņas procentuālo daļu, savukārt citas VCB ierobežo peļņas sadali atkarībā no rezervju un uzkrājumu līmeņa.</w:t>
      </w:r>
    </w:p>
    <w:p w14:paraId="57B6296A"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025FA061"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25. Lai pasargātu sevi no ārvalstu valūtu maiņas kursa un procentu likmju riska, virkne VCB var novirzīt daļu peļņas uzkrājumos un rezervēs. Peļņas izmaksa valdībai ir asimetriska, jo peļņas gadījumā valdība saņem vismaz nepilnus maksājumus, savukārt zaudējumu gadījumā valdība ne vienmēr veic maksājumu VCB (valdība šādu maksājumu veic tikai izņēmuma gadījumos). Lai segtu iespējamos zaudējumus to rašanās gadījumā, finanšu drošības nolūkā var izveidot vispārējus riska uzkrājumus un rezerves.</w:t>
      </w:r>
    </w:p>
    <w:p w14:paraId="29985227" w14:textId="77777777" w:rsidR="00443399" w:rsidRPr="00B03B51" w:rsidRDefault="00443399" w:rsidP="00443399">
      <w:pPr>
        <w:tabs>
          <w:tab w:val="left" w:pos="843"/>
        </w:tabs>
        <w:jc w:val="both"/>
        <w:rPr>
          <w:rFonts w:ascii="Times New Roman" w:eastAsia="Arial" w:hAnsi="Times New Roman" w:cs="Times New Roman"/>
          <w:noProof/>
          <w:sz w:val="24"/>
          <w:szCs w:val="19"/>
        </w:rPr>
      </w:pPr>
    </w:p>
    <w:p w14:paraId="53945C64" w14:textId="77777777" w:rsidR="00443399" w:rsidRPr="00B03B51" w:rsidRDefault="00443399" w:rsidP="00443399">
      <w:pPr>
        <w:tabs>
          <w:tab w:val="left" w:pos="843"/>
        </w:tabs>
        <w:jc w:val="both"/>
        <w:rPr>
          <w:rFonts w:ascii="Times New Roman" w:eastAsia="Arial" w:hAnsi="Times New Roman" w:cs="Times New Roman"/>
          <w:noProof/>
          <w:sz w:val="24"/>
          <w:szCs w:val="19"/>
        </w:rPr>
      </w:pPr>
      <w:r w:rsidRPr="00B03B51">
        <w:rPr>
          <w:rFonts w:ascii="Times New Roman" w:hAnsi="Times New Roman" w:cs="Times New Roman"/>
          <w:sz w:val="24"/>
          <w:szCs w:val="19"/>
        </w:rPr>
        <w:t xml:space="preserve">26. ECB Pamatnostādnēs ECB/2012/29 tika iekļauta šāda jauna rindkopa: </w:t>
      </w:r>
      <w:r w:rsidRPr="00B03B51">
        <w:rPr>
          <w:rFonts w:ascii="Times New Roman" w:hAnsi="Times New Roman" w:cs="Times New Roman"/>
          <w:i/>
          <w:sz w:val="24"/>
          <w:szCs w:val="19"/>
        </w:rPr>
        <w:t xml:space="preserve">Ņemot vērā valsts centrālo banku darbības būtību, valsts centrālā banka var izveidot savā bilancē uzkrājumu attiecībā uz ārvalstu valūtas kursu, procentu likmes, kredīta un zelta cenu riskiem. </w:t>
      </w:r>
      <w:r w:rsidRPr="00B03B51">
        <w:rPr>
          <w:rFonts w:ascii="Times New Roman" w:hAnsi="Times New Roman" w:cs="Times New Roman"/>
          <w:i/>
          <w:iCs/>
          <w:sz w:val="24"/>
          <w:szCs w:val="19"/>
        </w:rPr>
        <w:t>VCB ir jānosaka uzkrājuma apmērs un izmantošana, pamatojoties uz argumentētu VCB riska līmeņa novērtējumu.</w:t>
      </w:r>
      <w:r w:rsidRPr="00B03B51">
        <w:rPr>
          <w:rFonts w:ascii="Times New Roman" w:hAnsi="Times New Roman" w:cs="Times New Roman"/>
          <w:sz w:val="24"/>
          <w:szCs w:val="19"/>
        </w:rPr>
        <w:t xml:space="preserve"> Tomēr ar šo normu nevar aizstāt valsts tiesību aktus, un uzkrājumi un rezerves kopumā joprojām jāveido saskaņā ar valsts tiesību aktiem. Turpmāk sniegta šo abu jēdzienu vispārpieņemta definīcija (šīs definīcijas tiek izmantotas ECBS uzskaites pamatnostādnēs).</w:t>
      </w:r>
    </w:p>
    <w:p w14:paraId="7DA937F9" w14:textId="77777777" w:rsidR="00443399" w:rsidRPr="00B03B51" w:rsidRDefault="00443399" w:rsidP="00443399">
      <w:pPr>
        <w:tabs>
          <w:tab w:val="left" w:pos="843"/>
        </w:tabs>
        <w:jc w:val="both"/>
        <w:rPr>
          <w:rFonts w:ascii="Times New Roman" w:eastAsia="Arial" w:hAnsi="Times New Roman" w:cs="Times New Roman"/>
          <w:noProof/>
          <w:sz w:val="24"/>
          <w:szCs w:val="19"/>
        </w:rPr>
      </w:pPr>
    </w:p>
    <w:p w14:paraId="5FD54EE1" w14:textId="77777777" w:rsidR="00443399" w:rsidRPr="00B03B51" w:rsidRDefault="00443399" w:rsidP="00422349">
      <w:pPr>
        <w:pStyle w:val="BodyText"/>
        <w:numPr>
          <w:ilvl w:val="0"/>
          <w:numId w:val="67"/>
        </w:numPr>
        <w:spacing w:before="0"/>
        <w:ind w:left="426" w:hanging="425"/>
        <w:jc w:val="both"/>
        <w:rPr>
          <w:rFonts w:ascii="Times New Roman" w:hAnsi="Times New Roman" w:cs="Times New Roman"/>
          <w:noProof/>
          <w:sz w:val="24"/>
        </w:rPr>
      </w:pPr>
      <w:r w:rsidRPr="00B03B51">
        <w:rPr>
          <w:rFonts w:ascii="Times New Roman" w:hAnsi="Times New Roman" w:cs="Times New Roman"/>
          <w:sz w:val="24"/>
        </w:rPr>
        <w:t>“</w:t>
      </w:r>
      <w:r w:rsidRPr="00B03B51">
        <w:rPr>
          <w:rFonts w:ascii="Times New Roman" w:hAnsi="Times New Roman" w:cs="Times New Roman"/>
          <w:b/>
          <w:bCs/>
          <w:sz w:val="24"/>
        </w:rPr>
        <w:t>Uzkrājumi</w:t>
      </w:r>
      <w:r w:rsidRPr="00B03B51">
        <w:rPr>
          <w:rFonts w:ascii="Times New Roman" w:hAnsi="Times New Roman" w:cs="Times New Roman"/>
          <w:sz w:val="24"/>
        </w:rPr>
        <w:t xml:space="preserve"> ir summas, kas atskaitītas pirms peļņas vai zaudējumu aprēķināšanas, lai nodrošinātos pret jebkādu zināmu vai gaidāmu saistību vai risku, kura izmaksas nevar precīzi noteikt.”</w:t>
      </w:r>
    </w:p>
    <w:p w14:paraId="153FFEA8" w14:textId="77777777" w:rsidR="00443399" w:rsidRPr="00B03B51" w:rsidRDefault="00443399" w:rsidP="00422349">
      <w:pPr>
        <w:pStyle w:val="BodyText"/>
        <w:numPr>
          <w:ilvl w:val="0"/>
          <w:numId w:val="67"/>
        </w:numPr>
        <w:spacing w:before="0"/>
        <w:ind w:left="426" w:hanging="425"/>
        <w:jc w:val="both"/>
        <w:rPr>
          <w:rFonts w:ascii="Times New Roman" w:hAnsi="Times New Roman" w:cs="Times New Roman"/>
          <w:noProof/>
          <w:sz w:val="24"/>
        </w:rPr>
      </w:pPr>
      <w:r w:rsidRPr="00B03B51">
        <w:rPr>
          <w:rFonts w:ascii="Times New Roman" w:hAnsi="Times New Roman" w:cs="Times New Roman"/>
          <w:sz w:val="24"/>
        </w:rPr>
        <w:t>“</w:t>
      </w:r>
      <w:r w:rsidRPr="00B03B51">
        <w:rPr>
          <w:rFonts w:ascii="Times New Roman" w:hAnsi="Times New Roman" w:cs="Times New Roman"/>
          <w:b/>
          <w:bCs/>
          <w:sz w:val="24"/>
        </w:rPr>
        <w:t>Rezerves</w:t>
      </w:r>
      <w:r w:rsidRPr="00B03B51">
        <w:rPr>
          <w:rFonts w:ascii="Times New Roman" w:hAnsi="Times New Roman" w:cs="Times New Roman"/>
          <w:sz w:val="24"/>
        </w:rPr>
        <w:t xml:space="preserve"> ir summas, kuras atskaitītas no sadalāmās peļņas un kuras nav paredzētas tam, lai segtu jebkādas īpašas saistības, neparedzētus izdevumus vai gaidāmu aktīvu vērtības </w:t>
      </w:r>
      <w:r w:rsidRPr="00B03B51">
        <w:rPr>
          <w:rFonts w:ascii="Times New Roman" w:hAnsi="Times New Roman" w:cs="Times New Roman"/>
          <w:sz w:val="24"/>
        </w:rPr>
        <w:lastRenderedPageBreak/>
        <w:t>samazināšanos, kas pastāv bilances datumā.”</w:t>
      </w:r>
    </w:p>
    <w:p w14:paraId="5319429B" w14:textId="77777777" w:rsidR="00443399" w:rsidRPr="00B03B51" w:rsidRDefault="00443399" w:rsidP="00443399">
      <w:pPr>
        <w:jc w:val="both"/>
        <w:rPr>
          <w:rFonts w:ascii="Times New Roman" w:eastAsia="Arial" w:hAnsi="Times New Roman" w:cs="Times New Roman"/>
          <w:noProof/>
          <w:sz w:val="24"/>
          <w:szCs w:val="16"/>
        </w:rPr>
      </w:pPr>
    </w:p>
    <w:p w14:paraId="0B1D0A68" w14:textId="77777777" w:rsidR="00443399" w:rsidRPr="00B03B51" w:rsidRDefault="00443399" w:rsidP="00443399">
      <w:pPr>
        <w:pStyle w:val="Heading6"/>
        <w:tabs>
          <w:tab w:val="left" w:pos="1267"/>
        </w:tabs>
        <w:ind w:left="0" w:firstLine="0"/>
        <w:jc w:val="both"/>
        <w:rPr>
          <w:rFonts w:ascii="Times New Roman" w:hAnsi="Times New Roman" w:cs="Times New Roman"/>
          <w:noProof/>
          <w:sz w:val="24"/>
        </w:rPr>
      </w:pPr>
      <w:bookmarkStart w:id="326" w:name="4.2.5.4_Special_transitional_rules_for_c"/>
      <w:bookmarkEnd w:id="326"/>
      <w:r w:rsidRPr="00B03B51">
        <w:rPr>
          <w:rFonts w:ascii="Times New Roman" w:hAnsi="Times New Roman" w:cs="Times New Roman"/>
          <w:sz w:val="24"/>
        </w:rPr>
        <w:t>4.2.5.4. ĪPAŠI PĀREJAS NOTEIKUMI VALSTĪM, KAS PIEVIENOJAS EIROZONAI</w:t>
      </w:r>
    </w:p>
    <w:p w14:paraId="7424DFF1"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45B0082D"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27. VCB pārvērtē visus finanšu aktīvus un saistības datumā, kad tās kļūst par Eirosistēmas dalībniecēm. Nerealizētos guvumus, kas radušies pirms iestāšanās eirozonā, nodala no tiem nerealizētajiem novērtēšanas guvumiem, kas radušies pēc iestāšanās eirozonā. ECB Uzskaites pamatnostādnēs VCB ir ieteikts nesadalīt nerealizētos guvumus pārejas periodā, pēc kura notiek iestāšanās Eirosistēmā. Šajā gadījumā nerealizētos guvumus, kas radušies pirms iestāšanās eirozonā, var sadalīt, tiklīdz tie ir faktiski realizēti darījumos, kas veikti pēc iestāšanās eirozonā.</w:t>
      </w:r>
    </w:p>
    <w:p w14:paraId="3331723F" w14:textId="77777777" w:rsidR="000F6153" w:rsidRDefault="000F6153">
      <w:pPr>
        <w:widowControl/>
        <w:spacing w:after="160" w:line="259" w:lineRule="auto"/>
        <w:rPr>
          <w:rFonts w:ascii="Times New Roman" w:eastAsia="Arial" w:hAnsi="Times New Roman" w:cs="Times New Roman"/>
          <w:b/>
          <w:bCs/>
          <w:sz w:val="28"/>
          <w:szCs w:val="44"/>
        </w:rPr>
      </w:pPr>
      <w:bookmarkStart w:id="327" w:name="4.3_The_sale_of_gold_and_foreign_exchang"/>
      <w:bookmarkStart w:id="328" w:name="_bookmark33"/>
      <w:bookmarkStart w:id="329" w:name="_Toc67565124"/>
      <w:bookmarkEnd w:id="327"/>
      <w:bookmarkEnd w:id="328"/>
      <w:r>
        <w:rPr>
          <w:rFonts w:ascii="Times New Roman" w:hAnsi="Times New Roman" w:cs="Times New Roman"/>
          <w:sz w:val="28"/>
          <w:szCs w:val="44"/>
        </w:rPr>
        <w:br w:type="page"/>
      </w:r>
    </w:p>
    <w:p w14:paraId="0016F525" w14:textId="5F5AA324" w:rsidR="00443399" w:rsidRPr="00B03B51" w:rsidRDefault="00443399" w:rsidP="00BC7838">
      <w:pPr>
        <w:pStyle w:val="Heading2"/>
        <w:tabs>
          <w:tab w:val="left" w:pos="1135"/>
        </w:tabs>
        <w:spacing w:before="0"/>
        <w:ind w:left="0" w:firstLine="0"/>
        <w:jc w:val="both"/>
        <w:rPr>
          <w:rFonts w:ascii="Times New Roman" w:hAnsi="Times New Roman" w:cs="Times New Roman"/>
          <w:noProof/>
          <w:sz w:val="28"/>
          <w:szCs w:val="44"/>
        </w:rPr>
      </w:pPr>
      <w:r w:rsidRPr="00B03B51">
        <w:rPr>
          <w:rFonts w:ascii="Times New Roman" w:hAnsi="Times New Roman" w:cs="Times New Roman"/>
          <w:sz w:val="28"/>
          <w:szCs w:val="44"/>
        </w:rPr>
        <w:lastRenderedPageBreak/>
        <w:t>4.3. Zelta tirdzniecība un ārvalstu valūtu maiņa centrālajā bankā</w:t>
      </w:r>
      <w:bookmarkEnd w:id="329"/>
    </w:p>
    <w:p w14:paraId="0BC74EC2" w14:textId="77777777" w:rsidR="00443399" w:rsidRPr="00100B51" w:rsidRDefault="00443399" w:rsidP="00100B51">
      <w:pPr>
        <w:rPr>
          <w:rFonts w:ascii="Times New Roman" w:hAnsi="Times New Roman" w:cs="Times New Roman"/>
          <w:noProof/>
          <w:sz w:val="24"/>
          <w:szCs w:val="24"/>
        </w:rPr>
      </w:pPr>
      <w:bookmarkStart w:id="330" w:name="4.3.1_Background"/>
      <w:bookmarkEnd w:id="330"/>
    </w:p>
    <w:p w14:paraId="7825126F" w14:textId="77777777" w:rsidR="00443399" w:rsidRPr="00B03B51" w:rsidRDefault="00443399" w:rsidP="00BC7838">
      <w:pPr>
        <w:pStyle w:val="Heading3"/>
        <w:tabs>
          <w:tab w:val="left" w:pos="1267"/>
        </w:tabs>
        <w:ind w:left="0" w:firstLine="0"/>
        <w:jc w:val="both"/>
        <w:rPr>
          <w:rFonts w:ascii="Times New Roman" w:hAnsi="Times New Roman" w:cs="Times New Roman"/>
          <w:noProof/>
          <w:sz w:val="24"/>
        </w:rPr>
      </w:pPr>
      <w:bookmarkStart w:id="331" w:name="_Toc67565125"/>
      <w:r w:rsidRPr="00B03B51">
        <w:rPr>
          <w:rFonts w:ascii="Times New Roman" w:hAnsi="Times New Roman" w:cs="Times New Roman"/>
          <w:sz w:val="24"/>
        </w:rPr>
        <w:t>4.3.1. Vispārīga informācija</w:t>
      </w:r>
      <w:bookmarkEnd w:id="331"/>
    </w:p>
    <w:p w14:paraId="41412F65"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7CC3FBE5"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 Ieņēmumi no centrālās bankas zelta vai citu rezervju aktīvu pārdošanas var tikt nodoti valdībai. Šajā nodaļā paskaidrots, kāpēc šāds pārvedums neietekmē valdības neto aizdevumu/aizņēmumu, jo tas tiek uzskatīts par pašu kapitāla izņemšanu. Šis traktējums ir īsi pieminēts EKS 2010 20.217. punktā.</w:t>
      </w:r>
    </w:p>
    <w:p w14:paraId="05A387F7" w14:textId="77777777" w:rsidR="00443399" w:rsidRPr="00B03B51" w:rsidRDefault="00443399" w:rsidP="00443399">
      <w:pPr>
        <w:tabs>
          <w:tab w:val="left" w:pos="843"/>
        </w:tabs>
        <w:jc w:val="both"/>
        <w:rPr>
          <w:rFonts w:ascii="Times New Roman" w:eastAsia="Arial" w:hAnsi="Times New Roman" w:cs="Times New Roman"/>
          <w:noProof/>
          <w:sz w:val="24"/>
          <w:szCs w:val="19"/>
        </w:rPr>
      </w:pPr>
    </w:p>
    <w:p w14:paraId="6DA3C74D" w14:textId="77777777" w:rsidR="00443399" w:rsidRPr="00B03B51" w:rsidRDefault="00443399" w:rsidP="00443399">
      <w:pPr>
        <w:tabs>
          <w:tab w:val="left" w:pos="843"/>
        </w:tabs>
        <w:jc w:val="both"/>
        <w:rPr>
          <w:rFonts w:ascii="Times New Roman" w:eastAsia="Arial" w:hAnsi="Times New Roman" w:cs="Times New Roman"/>
          <w:noProof/>
          <w:sz w:val="24"/>
          <w:szCs w:val="19"/>
        </w:rPr>
      </w:pPr>
      <w:r w:rsidRPr="00B03B51">
        <w:rPr>
          <w:rFonts w:ascii="Times New Roman" w:hAnsi="Times New Roman" w:cs="Times New Roman"/>
          <w:sz w:val="24"/>
          <w:szCs w:val="19"/>
        </w:rPr>
        <w:t xml:space="preserve">2. Pirmkārt, ir lietderīgi sniegt rezervju aktīvu definīciju. Šāda definīcija ir sniegta SVF Maksājumu bilances rokasgrāmatā: </w:t>
      </w:r>
      <w:r w:rsidRPr="00B03B51">
        <w:rPr>
          <w:rFonts w:ascii="Times New Roman" w:hAnsi="Times New Roman" w:cs="Times New Roman"/>
          <w:i/>
          <w:iCs/>
          <w:sz w:val="24"/>
          <w:szCs w:val="19"/>
        </w:rPr>
        <w:t>Rezervju aktīvi ir tādi monetārajām iestādēm nekavējoties pieejami un to kontrolē esoši ārējie aktīvi, kurus tās izmanto maksājumu bilances finansēšanas vajadzībām, intervencei valūtas maiņas tirgos nolūkā ietekmēt valūtas kursu un citiem saistītiem mērķiem (piemēram, lai uzturētu uzticību valūtai un tautsaimniecībai un izmantotu par pamatu ārvalstu aizņēmumu saņemšanai).</w:t>
      </w:r>
      <w:r w:rsidRPr="00B03B51">
        <w:rPr>
          <w:rFonts w:ascii="Times New Roman" w:hAnsi="Times New Roman" w:cs="Times New Roman"/>
          <w:sz w:val="24"/>
          <w:szCs w:val="19"/>
        </w:rPr>
        <w:t xml:space="preserve"> Rezervju aktīvi ir ārvalstu valūtu aktīvi un reāli pastāvoši aktīvi. Iespējamie aktīvi netiek iekļauti. Rezerves aktīvu jēdziena pamatā ir tādi jēdzieni kā monetāro iestāžu “kontrole” un “pieejamība izmantošanai” šādām iestādēm.</w:t>
      </w:r>
      <w:r w:rsidRPr="00B03B51">
        <w:rPr>
          <w:rStyle w:val="FootnoteReference"/>
          <w:rFonts w:ascii="Times New Roman" w:eastAsia="Arial" w:hAnsi="Times New Roman" w:cs="Times New Roman"/>
          <w:noProof/>
          <w:sz w:val="24"/>
          <w:szCs w:val="19"/>
        </w:rPr>
        <w:footnoteReference w:id="178"/>
      </w:r>
      <w:r w:rsidRPr="00B03B51">
        <w:rPr>
          <w:rFonts w:ascii="Times New Roman" w:hAnsi="Times New Roman" w:cs="Times New Roman"/>
          <w:sz w:val="24"/>
          <w:szCs w:val="12"/>
        </w:rPr>
        <w:t xml:space="preserve"> </w:t>
      </w:r>
      <w:r w:rsidRPr="00B03B51">
        <w:rPr>
          <w:rFonts w:ascii="Times New Roman" w:hAnsi="Times New Roman" w:cs="Times New Roman"/>
          <w:sz w:val="24"/>
          <w:szCs w:val="19"/>
        </w:rPr>
        <w:t>Rezerves aktīvi ir monetārais zelts, speciālo aizņēmuma tiesību (</w:t>
      </w:r>
      <w:r w:rsidRPr="00B03B51">
        <w:rPr>
          <w:rFonts w:ascii="Times New Roman" w:hAnsi="Times New Roman" w:cs="Times New Roman"/>
          <w:i/>
          <w:iCs/>
          <w:sz w:val="24"/>
          <w:szCs w:val="19"/>
        </w:rPr>
        <w:t>SDR</w:t>
      </w:r>
      <w:r w:rsidRPr="00B03B51">
        <w:rPr>
          <w:rFonts w:ascii="Times New Roman" w:hAnsi="Times New Roman" w:cs="Times New Roman"/>
          <w:sz w:val="24"/>
          <w:szCs w:val="19"/>
        </w:rPr>
        <w:t>) turējumi, rezerves posteņi SVF, valūta un noguldījumi, vērtspapīri (tostarp parāda un pašu kapitāla vērtspapīri), atvasinātie finanšu instrumenti un citi prasījumi (aizdevumi un citi finanšu instrumenti).</w:t>
      </w:r>
      <w:r w:rsidRPr="00B03B51">
        <w:rPr>
          <w:rStyle w:val="FootnoteReference"/>
          <w:rFonts w:ascii="Times New Roman" w:eastAsia="Arial" w:hAnsi="Times New Roman" w:cs="Times New Roman"/>
          <w:noProof/>
          <w:sz w:val="24"/>
          <w:szCs w:val="19"/>
        </w:rPr>
        <w:footnoteReference w:id="179"/>
      </w:r>
      <w:r w:rsidRPr="00B03B51">
        <w:rPr>
          <w:rFonts w:ascii="Times New Roman" w:hAnsi="Times New Roman" w:cs="Times New Roman"/>
          <w:sz w:val="24"/>
          <w:szCs w:val="12"/>
        </w:rPr>
        <w:t xml:space="preserve"> </w:t>
      </w:r>
      <w:r w:rsidRPr="00B03B51">
        <w:rPr>
          <w:rFonts w:ascii="Times New Roman" w:hAnsi="Times New Roman" w:cs="Times New Roman"/>
          <w:sz w:val="24"/>
          <w:szCs w:val="19"/>
        </w:rPr>
        <w:t>Turpmākajās sadaļās ir aplūkots tikai zelts un ārvalstu valūtu aktīvi.</w:t>
      </w:r>
    </w:p>
    <w:p w14:paraId="3F21B422" w14:textId="77777777" w:rsidR="00443399" w:rsidRPr="00B03B51" w:rsidRDefault="00443399" w:rsidP="00443399">
      <w:pPr>
        <w:jc w:val="both"/>
        <w:rPr>
          <w:rFonts w:ascii="Times New Roman" w:eastAsia="Arial" w:hAnsi="Times New Roman" w:cs="Times New Roman"/>
          <w:noProof/>
          <w:sz w:val="24"/>
          <w:szCs w:val="19"/>
        </w:rPr>
      </w:pPr>
    </w:p>
    <w:p w14:paraId="0B084A35" w14:textId="77777777" w:rsidR="00443399" w:rsidRPr="00B03B51" w:rsidRDefault="00443399" w:rsidP="00443399">
      <w:pPr>
        <w:pStyle w:val="Heading3"/>
        <w:tabs>
          <w:tab w:val="left" w:pos="1267"/>
        </w:tabs>
        <w:ind w:left="0" w:firstLine="0"/>
        <w:jc w:val="both"/>
        <w:rPr>
          <w:rFonts w:ascii="Times New Roman" w:hAnsi="Times New Roman" w:cs="Times New Roman"/>
          <w:noProof/>
          <w:sz w:val="24"/>
        </w:rPr>
      </w:pPr>
      <w:bookmarkStart w:id="332" w:name="4.3.2_Treatment_in_national_accounts"/>
      <w:bookmarkStart w:id="333" w:name="_Toc67565126"/>
      <w:bookmarkEnd w:id="332"/>
      <w:r w:rsidRPr="00B03B51">
        <w:rPr>
          <w:rFonts w:ascii="Times New Roman" w:hAnsi="Times New Roman" w:cs="Times New Roman"/>
          <w:sz w:val="24"/>
        </w:rPr>
        <w:t>4.3.2. Traktējums nacionālajos kontos</w:t>
      </w:r>
      <w:bookmarkEnd w:id="333"/>
    </w:p>
    <w:p w14:paraId="58137C2A"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7E8F37D6"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3. Centrālā banka var pārdot ievērojamu daļu no saviem rezervju aktīviem un pārskaitīt valdībai visus ieņēmumus vai to daļu. Šādā gadījumā ieņēmumu maksājumu valdībai pilnīgi ieraksta valsts un centrālās bankas finanšu kontos. To ieraksta kā valdības veiktu akciju vai cita pašu kapitāla (F.5) izņemšanu no centrālās bankas ar pretēju ierakstu valdības turēto finanšu aktīvu palielināšanai (lielākoties noguldījumi (F.2)) vai, iespējams, valdības finanšu prasījuma pret centrālo banku samazināšanai (piemēram, aizdevumi (F.4)).</w:t>
      </w:r>
    </w:p>
    <w:p w14:paraId="575E121D"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4EE9C8A9"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4. Šāds traktējums nacionālajos kontos jāievēro neatkarīgi no tā, kā šis maksājums ir nosaukts centrālās bankas grāmatvedībā vai publiskajos kontos, piemēram, vai kā dividendes vai nodokļi. Lielu ar zelta vai ārvalstu valūtu rezervju ārkārtas pārdevumu saistītu maksājumu gadījumā nodokļu maksājumu ieraksta kā pašu kapitāla izņemšanu (skatīt 4.2. nodaļu “Maksājumi starp centrālo banku un valdību”).</w:t>
      </w:r>
    </w:p>
    <w:p w14:paraId="79C3EB56"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6C282A51"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5. Nacionālajos kontos zelta pārdevuma pareiza ierakstīšana VCB kontos ir atkarīga no tā, kāds zelts ir pārdots – monetārais vai nemonetārais. Monetārais zelts ir finanšu aktīvs, un monetārajām iestādēm (vai citām iestādēm, kuras atrodas faktiskā monetāro iestāžu kontrolē) pieder īpašumtiesības uz šādu zeltu, un tas tiek turēts kā rezervju aktīvi. Nemonetārais zelts ir dārgmetāls un tātad nefinanšu aktīvs. Monetārā zelta pārdošana nekādi neietekmēs centrālās bankas neto aizdevumu/aizņēmumu (B.9). Nemonetārā zelta (t. i., demonetizēta monetārā zelta) pārdevums ietekmēs centrālās bankas neto aizdevumu/aizņēmumu (B.9). Abos gadījumos centrālās bankas ieņēmumu maksājums valdībai neietekmē valdības neto aizdevumu/aizņēmumu (B.9).</w:t>
      </w:r>
    </w:p>
    <w:p w14:paraId="5BEC4ACD" w14:textId="77777777" w:rsidR="00443399" w:rsidRPr="00B03B51" w:rsidRDefault="00443399" w:rsidP="00443399">
      <w:pPr>
        <w:jc w:val="both"/>
        <w:rPr>
          <w:rFonts w:ascii="Times New Roman" w:eastAsia="Arial" w:hAnsi="Times New Roman" w:cs="Times New Roman"/>
          <w:noProof/>
          <w:sz w:val="24"/>
          <w:szCs w:val="18"/>
        </w:rPr>
      </w:pPr>
    </w:p>
    <w:p w14:paraId="12FE9189" w14:textId="77777777" w:rsidR="00443399" w:rsidRPr="00B03B51" w:rsidRDefault="00443399" w:rsidP="00443399">
      <w:pPr>
        <w:pStyle w:val="Heading3"/>
        <w:tabs>
          <w:tab w:val="left" w:pos="1267"/>
        </w:tabs>
        <w:ind w:left="0" w:firstLine="0"/>
        <w:jc w:val="both"/>
        <w:rPr>
          <w:rFonts w:ascii="Times New Roman" w:hAnsi="Times New Roman" w:cs="Times New Roman"/>
          <w:noProof/>
          <w:sz w:val="24"/>
        </w:rPr>
      </w:pPr>
      <w:bookmarkStart w:id="334" w:name="4.3.3_Rationale_of_the_treatment"/>
      <w:bookmarkStart w:id="335" w:name="_Toc67565127"/>
      <w:bookmarkEnd w:id="334"/>
      <w:r w:rsidRPr="00B03B51">
        <w:rPr>
          <w:rFonts w:ascii="Times New Roman" w:hAnsi="Times New Roman" w:cs="Times New Roman"/>
          <w:sz w:val="24"/>
        </w:rPr>
        <w:t>4.3.3. Traktējuma pamatojums</w:t>
      </w:r>
      <w:bookmarkEnd w:id="335"/>
    </w:p>
    <w:p w14:paraId="4B22004C" w14:textId="77777777" w:rsidR="00443399" w:rsidRPr="00BE27DC" w:rsidRDefault="00443399" w:rsidP="00BE27DC">
      <w:pPr>
        <w:rPr>
          <w:rFonts w:ascii="Times New Roman" w:hAnsi="Times New Roman" w:cs="Times New Roman"/>
          <w:noProof/>
          <w:sz w:val="24"/>
          <w:szCs w:val="24"/>
        </w:rPr>
      </w:pPr>
      <w:bookmarkStart w:id="336" w:name="4.3.3.1_The_specific_nature_of_reserve_a"/>
      <w:bookmarkEnd w:id="336"/>
    </w:p>
    <w:p w14:paraId="7272410B" w14:textId="77777777" w:rsidR="00443399" w:rsidRPr="00B03B51" w:rsidRDefault="00443399" w:rsidP="00443399">
      <w:pPr>
        <w:pStyle w:val="Heading6"/>
        <w:tabs>
          <w:tab w:val="left" w:pos="1267"/>
        </w:tabs>
        <w:ind w:left="0" w:firstLine="0"/>
        <w:jc w:val="both"/>
        <w:rPr>
          <w:rFonts w:ascii="Times New Roman" w:hAnsi="Times New Roman" w:cs="Times New Roman"/>
          <w:noProof/>
          <w:sz w:val="24"/>
        </w:rPr>
      </w:pPr>
      <w:r w:rsidRPr="00B03B51">
        <w:rPr>
          <w:rFonts w:ascii="Times New Roman" w:hAnsi="Times New Roman" w:cs="Times New Roman"/>
          <w:sz w:val="24"/>
        </w:rPr>
        <w:t>4.3.3.1. REZERVJU AKTĪVU ĪPAŠĀS IEZĪMES</w:t>
      </w:r>
    </w:p>
    <w:p w14:paraId="2436303E"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4DE58E11"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6. Salīdzinājumā ar citiem finanšu aktīviem rezervju aktīviem ir īpašas iezīmes. Lai gan centrālajai bankai ir pilnīga autonomija attiecībā uz aktīvu pārvaldību, šī iestāde nerīkojas savās interesēs kā sabiedrība, piemēram, palielinot savu akcionāru peļņu vai bagātību. Centrālās bankas uzdevums ārvalstu aktīvu pārvaldības jomā ir noteikts īpašos tiesību aktos. Tos atbilstoši monetārajai politikai pārvalda ar nolūku īstenot makroekonomikas mērķus un sabiedrības intereses. Tādējādi šie aktīvi faktiski nav to vienību īpašums, kuras tos pārvalda. Tie pieder valstij, ko nacionālajos kontos pārstāv vispārējā valdība.</w:t>
      </w:r>
    </w:p>
    <w:p w14:paraId="7A881051" w14:textId="77777777" w:rsidR="00443399" w:rsidRPr="00B03B51" w:rsidRDefault="00443399" w:rsidP="00443399">
      <w:pPr>
        <w:jc w:val="both"/>
        <w:rPr>
          <w:rFonts w:ascii="Times New Roman" w:eastAsia="Arial" w:hAnsi="Times New Roman" w:cs="Times New Roman"/>
          <w:noProof/>
          <w:sz w:val="24"/>
          <w:szCs w:val="15"/>
        </w:rPr>
      </w:pPr>
    </w:p>
    <w:p w14:paraId="50E6F414" w14:textId="77777777" w:rsidR="00443399" w:rsidRPr="00B03B51" w:rsidRDefault="00443399" w:rsidP="00443399">
      <w:pPr>
        <w:pStyle w:val="Heading6"/>
        <w:tabs>
          <w:tab w:val="left" w:pos="1267"/>
        </w:tabs>
        <w:ind w:left="0" w:firstLine="0"/>
        <w:jc w:val="both"/>
        <w:rPr>
          <w:rFonts w:ascii="Times New Roman" w:hAnsi="Times New Roman" w:cs="Times New Roman"/>
          <w:noProof/>
          <w:sz w:val="24"/>
        </w:rPr>
      </w:pPr>
      <w:bookmarkStart w:id="337" w:name="4.3.3.2_The_recording_of_foreign_exchang"/>
      <w:bookmarkEnd w:id="337"/>
      <w:r w:rsidRPr="00B03B51">
        <w:rPr>
          <w:rFonts w:ascii="Times New Roman" w:hAnsi="Times New Roman" w:cs="Times New Roman"/>
          <w:sz w:val="24"/>
        </w:rPr>
        <w:t>4.3.3.2. ĀRVALSTU VALŪTU IERAKSTĪŠANA CENTRĀLĀS BANKAS BILANCĒ</w:t>
      </w:r>
    </w:p>
    <w:p w14:paraId="472E7875"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5CD00E7F"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7. Iepriekš minētās centrālās bankas īpašumā esošo ārvalstu valūtu īpašās iezīmes jāatspoguļo nacionālajos kontos kā pašu kapitāls, kas ierakstīts vispārējās valdības aktīva pusē un centrālās bankas pasīva pusē. Statistiskā traktējuma vienveidīgumam un apsvērumiem visās ES dalībvalstīs ir lielāka nozīme nekā centrālās bankas juridiskajam statusam. Pat ja juridiskā izpratnē starp valdību un centrālo banku nav nekādu īpašumtiesību attiecību, pašu kapitāls ir jāieraksta nacionālajos kontos, lai atspoguļotu faktu, ka centrālā banka tur un pārvalda rezervju aktīvus valsts un attiecīgi valdības vārdā vai ka valdība ir centrālās bankas ekonomiskā īpašniece, jo tai ir tiesības uz neto aktīviem likvidācijas gadījumā vai arī tai regulāri izmaksā daļu peļņas (EKS 2010 5.148. punkts).</w:t>
      </w:r>
    </w:p>
    <w:p w14:paraId="34C910DA"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2098588F"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8. Jautājums ir par to, kā novērtēt valdības pašu kapitālu centrālajā bankā attiecībā uz rezervju aktīvu turējumu. Lai atbildētu uz šo jautājumu, ir lietderīgi izvērtēt naudas rašanās procesu ārvalstu darījumu rezultātā, proti, laikā, kad centrālā banka iegūst rezervju aktīvus, visticamāk, tās bilancē veic pretēju ierakstu pasīva pusē, lai ierakstītu (pamata) naudas emisiju. Turēšanas guvumi rodas tad, kad palielinās šādi iegūto rezervju aktīvu tirgus cena. Nacionālo kontu bilancēs turēšanas guvumi izraisa instrumenta vērtības palielināšanos centrālās bankas bilances aktīva pusē. Šādam palielinājumam aktīva pusē ir ekvivalents pasīva pusē: valdības pašu kapitāla palielināšanās.</w:t>
      </w:r>
    </w:p>
    <w:p w14:paraId="0F8A25DE"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41DB66CD"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9. Tādējādi kādā konkrētā brīdī valdības pašu kapitāla vērtība centrālās bankas bilancē attiecībā uz rezervju aktīviem tiks atspoguļota ar starpību starp cenām, par kurām centrālā banka iegādājās šos aktīvus, un to pašreizējām tirgus cenām. Precīzāk, tā ir vienāda ar turēšanas guvumu/zaudējumu uzkrājumu, no kā atņem valdības izņemto pašu kapitālu. Šajā posmā ir lietderīgi nošķirt monetāro zeltu un ārvalstu valūtas aktīvus.</w:t>
      </w:r>
    </w:p>
    <w:p w14:paraId="1903A64F"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3C0FE464"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10. Parasti centrālās bankas zeltu ir iegādājušās ļoti sen, un zelta cenas kopš tā brīža ir ievērojami pieaugušas. Tādējādi valdības pašu kapitāls attiecībā uz monetārā zelta turējumiem ir kopumā svarīgs tiktāl, ciktāl centrālās bankas ir paturējušas rezervju aktīvus saskaņā ar šo formu.</w:t>
      </w:r>
    </w:p>
    <w:p w14:paraId="48B992F0"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1246ED63"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11. Grūtāk ir izdarīt pārliecinošus secinājumus par pašu kapitālu, kas saistīts ar ārvalstu valūtu aktīviem; valūtas kursu svārstību galīgā ietekme ir atkarīga no ļoti daudziem faktoriem, piemēram, no ietekmes uz importu un eksportu, norēķinu valūtu u. c. Iespējams, ka turēšanas zaudējumu dēļ pašu kapitāla vērtība krīt vai pat kļūst negatīva.</w:t>
      </w:r>
    </w:p>
    <w:p w14:paraId="460DAD88"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15C70796"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 xml:space="preserve">12. Tomēr tas, ka valdībai ir maksājumi, kas saistīti ar ārvalstu valūtu aktīviem, nozīmē, ka </w:t>
      </w:r>
      <w:r w:rsidRPr="00B03B51">
        <w:rPr>
          <w:rFonts w:ascii="Times New Roman" w:hAnsi="Times New Roman" w:cs="Times New Roman"/>
          <w:sz w:val="24"/>
        </w:rPr>
        <w:lastRenderedPageBreak/>
        <w:t>pastāv pozitīva starpība starp ārvalstu valūtu pašreizējo tirgus vērtību un to iegādes cenu – ja būtu radušies zaudējumi, nebūtu iespējams veikt maksājumus no centrālās bankas valdībai. Tātad šeit aplūkotajos gadījumos pastāv turēšanas guvums, un tādējādi valdības pašu kapitāla vērtība centrālajā bankā attiecībā uz ārvalstu valūtu aktīviem ir palielinājusies.</w:t>
      </w:r>
    </w:p>
    <w:p w14:paraId="0F7ABC6B"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729B0DD0"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13. Visi centrālās bankas maksājumi valdībai saistībā ar rezervju aktīvu turēšanu un pārvaldību notiek tāpēc, ka valdībai pieder pašu kapitāls centrālajā bankā attiecībā uz šādiem rezervju aktīviem. Tādējādi tos traktē kā akciju un cita pašu kapitāla izņemšanu (F.5).</w:t>
      </w:r>
    </w:p>
    <w:p w14:paraId="416DE690" w14:textId="77777777" w:rsidR="00443399" w:rsidRPr="00B03B51" w:rsidRDefault="00443399" w:rsidP="00443399">
      <w:pPr>
        <w:jc w:val="both"/>
        <w:rPr>
          <w:rFonts w:ascii="Times New Roman" w:eastAsia="Arial" w:hAnsi="Times New Roman" w:cs="Times New Roman"/>
          <w:noProof/>
          <w:sz w:val="24"/>
          <w:szCs w:val="15"/>
        </w:rPr>
      </w:pPr>
    </w:p>
    <w:p w14:paraId="303301D9" w14:textId="77777777" w:rsidR="00443399" w:rsidRPr="00B03B51" w:rsidRDefault="00443399" w:rsidP="00443399">
      <w:pPr>
        <w:pStyle w:val="Heading6"/>
        <w:tabs>
          <w:tab w:val="left" w:pos="1267"/>
        </w:tabs>
        <w:ind w:left="0" w:firstLine="0"/>
        <w:jc w:val="both"/>
        <w:rPr>
          <w:rFonts w:ascii="Times New Roman" w:hAnsi="Times New Roman" w:cs="Times New Roman"/>
          <w:noProof/>
          <w:sz w:val="24"/>
        </w:rPr>
      </w:pPr>
      <w:bookmarkStart w:id="338" w:name="4.3.3.3_Monetary_vs._non-monetary_gold"/>
      <w:bookmarkEnd w:id="338"/>
      <w:r w:rsidRPr="00B03B51">
        <w:rPr>
          <w:rFonts w:ascii="Times New Roman" w:hAnsi="Times New Roman" w:cs="Times New Roman"/>
          <w:sz w:val="24"/>
        </w:rPr>
        <w:t>4.3.3.3. MONETĀRAIS UN NEMONETĀRAIS ZELTS</w:t>
      </w:r>
    </w:p>
    <w:p w14:paraId="2FDAAC03"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7305C22F"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14. Monetārā zelta pārdevuma uzskaite VCB kontos atšķiras no nemonetārā zelta pārdevuma uzskaites. Monetārais zelts ir finanšu aktīvs, kuru tur monetārās iestādes (centrālā banka vai dažās valstīs – centrālā valdība) kā daļu no ārvalstu rezervēm (skat. EKS 2010 5.57. punktu). Ja VCB pārdod zeltu citām (t. i., ārvalstu) monetārajām iestādēm, to ieraksta iekšzemes centrālās bankas finanšu kontos kā finanšu aktīvu samazinājumu ar ekvivalentu samazinājuma ierakstu centrālās bankas pasīvā attiecībā pret ārvalstu monetārajām iestādēm (vai kā centrālās bankas finanšu prasību pieaugumu pret ārvalstu monetārajām iestādēm). Ja zeltu pārdod nemonetārajām iestādēm, to traktē kā dārgmetāla realizāciju. Pirms šāda pārdevuma monetāro zeltu centrālās bankas kontos demonetizē.</w:t>
      </w:r>
    </w:p>
    <w:p w14:paraId="3EF76FC6" w14:textId="77777777" w:rsidR="00443399" w:rsidRPr="00B03B51" w:rsidRDefault="00443399" w:rsidP="00443399">
      <w:pPr>
        <w:jc w:val="both"/>
        <w:rPr>
          <w:rFonts w:ascii="Times New Roman" w:eastAsia="Arial" w:hAnsi="Times New Roman" w:cs="Times New Roman"/>
          <w:noProof/>
          <w:sz w:val="24"/>
        </w:rPr>
      </w:pPr>
    </w:p>
    <w:p w14:paraId="3587CB95"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15. Demonetizāciju, proti, monetārā zelta pārklasificēšanu par nemonetāro zeltu, ieraksta centrālās bankas aktīvu un saistību klasifikācijas pārmaiņas kontos (K.62), skat. EKS 2010 6.22.–6.24. punktu.</w:t>
      </w:r>
      <w:r w:rsidRPr="00B03B51">
        <w:rPr>
          <w:rStyle w:val="FootnoteReference"/>
          <w:rFonts w:ascii="Times New Roman" w:hAnsi="Times New Roman" w:cs="Times New Roman"/>
          <w:noProof/>
          <w:sz w:val="24"/>
        </w:rPr>
        <w:footnoteReference w:id="180"/>
      </w:r>
      <w:r w:rsidRPr="00B03B51">
        <w:rPr>
          <w:rFonts w:ascii="Times New Roman" w:hAnsi="Times New Roman" w:cs="Times New Roman"/>
          <w:sz w:val="24"/>
          <w:szCs w:val="12"/>
        </w:rPr>
        <w:t xml:space="preserve"> </w:t>
      </w:r>
      <w:r w:rsidRPr="00B03B51">
        <w:rPr>
          <w:rFonts w:ascii="Times New Roman" w:hAnsi="Times New Roman" w:cs="Times New Roman"/>
          <w:sz w:val="24"/>
        </w:rPr>
        <w:t>Lai gan nemonetārā zelta pārdevumu centrālās bankas kontā ieraksta atšķirīgi no monetārā zelta pārdevuma, ieņēmumu pārvedumu abos gadījumos ieraksta kā pašu kapitāla izņemšanu, jo abos gadījumos zeltu pārvalda centrālā banka tautas un attiecīgi valdības vārdā.</w:t>
      </w:r>
    </w:p>
    <w:p w14:paraId="3599E600"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6C1963CA"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16. Turklāt zelta pārdevums neietekmē centrālās bankas pamatdarbības peļņu. Tādējādi pārdevuma ieņēmumu pārvedumu valdībai nevar ierakstīt kā īpašuma ienākumu valdības kontos neatkarīgi no tā, kam ir pārdots zelts – monetārajām iestādēm vai citiem institucionālajiem sektoriem. Šis nemonetārā zelta pārdevuma traktējums atbilst nefinanšu aktīvu netiešo pārdevumu uzskaitei (skat. 5.2.2.4. apakšiedaļu “Nefinanšu aktīvu netieša pārdošana”).</w:t>
      </w:r>
    </w:p>
    <w:p w14:paraId="25163BC3"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60FF7996"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17. Līgums par zelta pārdošanu 5 gadus ilgā laika posmā starp vairākām Eiropas centrālajām bankām tika atjaunots 2009. gadā, un tajā bija ierosināta saskaņota pārdošanas programma attiecībā uz 5 gadus ilgu laika posmu un maksimālais pieļaujamais pārdošanas apjoms – kopā ne vairāk par 500 tonnām katru gadu.</w:t>
      </w:r>
      <w:r w:rsidRPr="00B03B51">
        <w:rPr>
          <w:rStyle w:val="FootnoteReference"/>
          <w:rFonts w:ascii="Times New Roman" w:hAnsi="Times New Roman" w:cs="Times New Roman"/>
          <w:noProof/>
          <w:sz w:val="24"/>
        </w:rPr>
        <w:footnoteReference w:id="181"/>
      </w:r>
    </w:p>
    <w:p w14:paraId="43E84FDA" w14:textId="77777777" w:rsidR="00443399" w:rsidRPr="00BE27DC" w:rsidRDefault="00443399" w:rsidP="00BE27DC">
      <w:pPr>
        <w:rPr>
          <w:rFonts w:ascii="Times New Roman" w:hAnsi="Times New Roman" w:cs="Times New Roman"/>
          <w:noProof/>
          <w:sz w:val="24"/>
          <w:szCs w:val="24"/>
        </w:rPr>
      </w:pPr>
      <w:bookmarkStart w:id="339" w:name="4.3.3.4_Accounting_examples"/>
      <w:bookmarkEnd w:id="339"/>
    </w:p>
    <w:p w14:paraId="424C284D" w14:textId="77777777" w:rsidR="00443399" w:rsidRPr="00B03B51" w:rsidRDefault="00443399" w:rsidP="00443399">
      <w:pPr>
        <w:pStyle w:val="Heading6"/>
        <w:tabs>
          <w:tab w:val="left" w:pos="1267"/>
        </w:tabs>
        <w:ind w:left="0" w:firstLine="0"/>
        <w:jc w:val="both"/>
        <w:rPr>
          <w:rFonts w:ascii="Times New Roman" w:hAnsi="Times New Roman" w:cs="Times New Roman"/>
          <w:noProof/>
          <w:sz w:val="24"/>
        </w:rPr>
      </w:pPr>
      <w:r w:rsidRPr="00B03B51">
        <w:rPr>
          <w:rFonts w:ascii="Times New Roman" w:hAnsi="Times New Roman" w:cs="Times New Roman"/>
          <w:sz w:val="24"/>
        </w:rPr>
        <w:t>4.3.3.4. UZSKAITES PIEMĒRI</w:t>
      </w:r>
    </w:p>
    <w:p w14:paraId="7EB2DE19" w14:textId="77777777" w:rsidR="00443399" w:rsidRPr="00B03B51" w:rsidRDefault="00443399" w:rsidP="00443399">
      <w:pPr>
        <w:jc w:val="both"/>
        <w:rPr>
          <w:rFonts w:ascii="Times New Roman" w:eastAsia="Arial" w:hAnsi="Times New Roman" w:cs="Times New Roman"/>
          <w:b/>
          <w:bCs/>
          <w:noProof/>
          <w:sz w:val="24"/>
          <w:szCs w:val="20"/>
        </w:rPr>
      </w:pPr>
    </w:p>
    <w:p w14:paraId="2EFF53E7" w14:textId="77777777" w:rsidR="00443399" w:rsidRPr="00B03B51" w:rsidRDefault="00443399" w:rsidP="00443399">
      <w:pPr>
        <w:jc w:val="both"/>
        <w:rPr>
          <w:rFonts w:ascii="Times New Roman" w:hAnsi="Times New Roman" w:cs="Times New Roman"/>
          <w:b/>
          <w:noProof/>
          <w:sz w:val="24"/>
        </w:rPr>
      </w:pPr>
      <w:r w:rsidRPr="00B03B51">
        <w:rPr>
          <w:rFonts w:ascii="Times New Roman" w:hAnsi="Times New Roman" w:cs="Times New Roman"/>
          <w:b/>
          <w:sz w:val="24"/>
        </w:rPr>
        <w:t>1. piemērs</w:t>
      </w:r>
    </w:p>
    <w:p w14:paraId="14429146" w14:textId="77777777" w:rsidR="00443399" w:rsidRPr="00B03B51" w:rsidRDefault="00443399" w:rsidP="00443399">
      <w:pPr>
        <w:jc w:val="both"/>
        <w:rPr>
          <w:rFonts w:ascii="Times New Roman" w:eastAsia="Arial" w:hAnsi="Times New Roman" w:cs="Times New Roman"/>
          <w:b/>
          <w:bCs/>
          <w:noProof/>
          <w:sz w:val="24"/>
        </w:rPr>
      </w:pPr>
    </w:p>
    <w:p w14:paraId="58CBE16D" w14:textId="77777777" w:rsidR="00443399" w:rsidRPr="00B03B51" w:rsidRDefault="00443399" w:rsidP="00422349">
      <w:pPr>
        <w:pStyle w:val="BodyText"/>
        <w:numPr>
          <w:ilvl w:val="4"/>
          <w:numId w:val="66"/>
        </w:numPr>
        <w:spacing w:before="0"/>
        <w:ind w:left="426" w:hanging="425"/>
        <w:jc w:val="both"/>
        <w:rPr>
          <w:rFonts w:ascii="Times New Roman" w:hAnsi="Times New Roman" w:cs="Times New Roman"/>
          <w:noProof/>
          <w:sz w:val="24"/>
        </w:rPr>
      </w:pPr>
      <w:r w:rsidRPr="00B03B51">
        <w:rPr>
          <w:rFonts w:ascii="Times New Roman" w:hAnsi="Times New Roman" w:cs="Times New Roman"/>
          <w:sz w:val="24"/>
        </w:rPr>
        <w:t xml:space="preserve">Pieņemsim, ka centrālā banka tur monetāro zeltu, kura vērtība 1. gadā palielinās par 100 miljoniem </w:t>
      </w:r>
      <w:r w:rsidRPr="00B03B51">
        <w:rPr>
          <w:rFonts w:ascii="Times New Roman" w:hAnsi="Times New Roman" w:cs="Times New Roman"/>
          <w:i/>
          <w:iCs/>
          <w:sz w:val="24"/>
        </w:rPr>
        <w:t>euro</w:t>
      </w:r>
      <w:r w:rsidRPr="00B03B51">
        <w:rPr>
          <w:rFonts w:ascii="Times New Roman" w:hAnsi="Times New Roman" w:cs="Times New Roman"/>
          <w:sz w:val="24"/>
        </w:rPr>
        <w:t>.</w:t>
      </w:r>
    </w:p>
    <w:p w14:paraId="2093F8E1" w14:textId="77777777" w:rsidR="00443399" w:rsidRPr="00B03B51" w:rsidRDefault="00443399" w:rsidP="00422349">
      <w:pPr>
        <w:pStyle w:val="BodyText"/>
        <w:numPr>
          <w:ilvl w:val="4"/>
          <w:numId w:val="66"/>
        </w:numPr>
        <w:spacing w:before="0"/>
        <w:ind w:left="426" w:hanging="425"/>
        <w:jc w:val="both"/>
        <w:rPr>
          <w:rFonts w:ascii="Times New Roman" w:hAnsi="Times New Roman" w:cs="Times New Roman"/>
          <w:noProof/>
          <w:sz w:val="24"/>
        </w:rPr>
      </w:pPr>
      <w:r w:rsidRPr="00B03B51">
        <w:rPr>
          <w:rFonts w:ascii="Times New Roman" w:hAnsi="Times New Roman" w:cs="Times New Roman"/>
          <w:sz w:val="24"/>
        </w:rPr>
        <w:t xml:space="preserve">Otrajā gadā centrālā banka pārdod ārvalstu monetārajām iestādēm zeltu 90 miljonu </w:t>
      </w:r>
      <w:r w:rsidRPr="00B03B51">
        <w:rPr>
          <w:rFonts w:ascii="Times New Roman" w:hAnsi="Times New Roman" w:cs="Times New Roman"/>
          <w:i/>
          <w:iCs/>
          <w:sz w:val="24"/>
        </w:rPr>
        <w:t>euro</w:t>
      </w:r>
      <w:r w:rsidRPr="00B03B51">
        <w:rPr>
          <w:rFonts w:ascii="Times New Roman" w:hAnsi="Times New Roman" w:cs="Times New Roman"/>
          <w:sz w:val="24"/>
        </w:rPr>
        <w:t xml:space="preserve"> </w:t>
      </w:r>
      <w:r w:rsidRPr="00B03B51">
        <w:rPr>
          <w:rFonts w:ascii="Times New Roman" w:hAnsi="Times New Roman" w:cs="Times New Roman"/>
          <w:sz w:val="24"/>
        </w:rPr>
        <w:lastRenderedPageBreak/>
        <w:t>vērtībā.</w:t>
      </w:r>
    </w:p>
    <w:p w14:paraId="67BF80E4" w14:textId="419DBD9F" w:rsidR="00443399" w:rsidRPr="00B03B51" w:rsidRDefault="00443399" w:rsidP="00422349">
      <w:pPr>
        <w:pStyle w:val="BodyText"/>
        <w:numPr>
          <w:ilvl w:val="4"/>
          <w:numId w:val="66"/>
        </w:numPr>
        <w:spacing w:before="0"/>
        <w:ind w:left="426" w:hanging="425"/>
        <w:jc w:val="both"/>
        <w:rPr>
          <w:rFonts w:ascii="Times New Roman" w:hAnsi="Times New Roman" w:cs="Times New Roman"/>
          <w:noProof/>
          <w:sz w:val="24"/>
        </w:rPr>
      </w:pPr>
      <w:r w:rsidRPr="00B03B51">
        <w:rPr>
          <w:rFonts w:ascii="Times New Roman" w:hAnsi="Times New Roman" w:cs="Times New Roman"/>
          <w:sz w:val="24"/>
        </w:rPr>
        <w:t>3. gadā ieņēmumus pārskaita valdībai.</w:t>
      </w:r>
    </w:p>
    <w:p w14:paraId="5B804A16" w14:textId="77777777" w:rsidR="00500EA4" w:rsidRPr="00B03B51" w:rsidRDefault="00500EA4" w:rsidP="00500EA4">
      <w:pPr>
        <w:pStyle w:val="BodyText"/>
        <w:spacing w:before="0"/>
        <w:ind w:left="1" w:firstLine="0"/>
        <w:jc w:val="both"/>
        <w:rPr>
          <w:rFonts w:ascii="Times New Roman" w:hAnsi="Times New Roman" w:cs="Times New Roman"/>
          <w:noProof/>
          <w:sz w:val="24"/>
        </w:rPr>
      </w:pPr>
    </w:p>
    <w:p w14:paraId="38C08AAA" w14:textId="77777777" w:rsidR="00443399" w:rsidRPr="00B03B51" w:rsidRDefault="00443399" w:rsidP="00500EA4">
      <w:pPr>
        <w:jc w:val="center"/>
        <w:rPr>
          <w:rFonts w:ascii="Times New Roman" w:eastAsia="Arial" w:hAnsi="Times New Roman" w:cs="Times New Roman"/>
          <w:noProof/>
          <w:sz w:val="24"/>
          <w:szCs w:val="2"/>
        </w:rPr>
      </w:pPr>
      <w:r w:rsidRPr="00B03B51">
        <w:rPr>
          <w:rFonts w:ascii="Times New Roman" w:hAnsi="Times New Roman" w:cs="Times New Roman"/>
          <w:noProof/>
          <w:sz w:val="24"/>
          <w:szCs w:val="24"/>
        </w:rPr>
        <w:drawing>
          <wp:inline distT="0" distB="0" distL="0" distR="0" wp14:anchorId="247A1D37" wp14:editId="7BBF8192">
            <wp:extent cx="5756275" cy="4579620"/>
            <wp:effectExtent l="0" t="0" r="0" b="0"/>
            <wp:docPr id="18" name="Attēls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5756275" cy="4579620"/>
                    </a:xfrm>
                    <a:prstGeom prst="rect">
                      <a:avLst/>
                    </a:prstGeom>
                  </pic:spPr>
                </pic:pic>
              </a:graphicData>
            </a:graphic>
          </wp:inline>
        </w:drawing>
      </w:r>
    </w:p>
    <w:p w14:paraId="4D945B72" w14:textId="77777777" w:rsidR="00443399" w:rsidRPr="00B03B51" w:rsidRDefault="00443399" w:rsidP="00500EA4">
      <w:pPr>
        <w:jc w:val="center"/>
        <w:rPr>
          <w:rFonts w:ascii="Times New Roman" w:eastAsia="Arial" w:hAnsi="Times New Roman" w:cs="Times New Roman"/>
          <w:noProof/>
          <w:sz w:val="24"/>
          <w:szCs w:val="2"/>
        </w:rPr>
      </w:pPr>
      <w:r w:rsidRPr="00B03B51">
        <w:rPr>
          <w:rFonts w:ascii="Times New Roman" w:hAnsi="Times New Roman" w:cs="Times New Roman"/>
          <w:noProof/>
        </w:rPr>
        <w:lastRenderedPageBreak/>
        <w:drawing>
          <wp:inline distT="0" distB="0" distL="0" distR="0" wp14:anchorId="7CDABFE3" wp14:editId="6F005F6C">
            <wp:extent cx="5756275" cy="4556760"/>
            <wp:effectExtent l="0" t="0" r="0" b="0"/>
            <wp:docPr id="20" name="Attēls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5756275" cy="4556760"/>
                    </a:xfrm>
                    <a:prstGeom prst="rect">
                      <a:avLst/>
                    </a:prstGeom>
                  </pic:spPr>
                </pic:pic>
              </a:graphicData>
            </a:graphic>
          </wp:inline>
        </w:drawing>
      </w:r>
    </w:p>
    <w:p w14:paraId="4F850D63" w14:textId="77777777" w:rsidR="00443399" w:rsidRPr="00B03B51" w:rsidRDefault="00443399" w:rsidP="00443399">
      <w:pPr>
        <w:jc w:val="both"/>
        <w:rPr>
          <w:rFonts w:ascii="Times New Roman" w:eastAsia="Arial" w:hAnsi="Times New Roman" w:cs="Times New Roman"/>
          <w:noProof/>
          <w:sz w:val="24"/>
          <w:szCs w:val="20"/>
        </w:rPr>
      </w:pPr>
    </w:p>
    <w:p w14:paraId="3E5F7B29" w14:textId="77777777" w:rsidR="00443399" w:rsidRPr="00B03B51" w:rsidRDefault="00443399" w:rsidP="00443399">
      <w:pPr>
        <w:jc w:val="both"/>
        <w:rPr>
          <w:rFonts w:ascii="Times New Roman" w:hAnsi="Times New Roman" w:cs="Times New Roman"/>
          <w:b/>
          <w:noProof/>
          <w:sz w:val="24"/>
        </w:rPr>
      </w:pPr>
      <w:r w:rsidRPr="00B03B51">
        <w:rPr>
          <w:rFonts w:ascii="Times New Roman" w:hAnsi="Times New Roman" w:cs="Times New Roman"/>
          <w:b/>
          <w:sz w:val="24"/>
        </w:rPr>
        <w:t>2. piemērs</w:t>
      </w:r>
    </w:p>
    <w:p w14:paraId="7004B8D2" w14:textId="77777777" w:rsidR="00443399" w:rsidRPr="00B03B51" w:rsidRDefault="00443399" w:rsidP="00443399">
      <w:pPr>
        <w:jc w:val="both"/>
        <w:rPr>
          <w:rFonts w:ascii="Times New Roman" w:eastAsia="Arial" w:hAnsi="Times New Roman" w:cs="Times New Roman"/>
          <w:b/>
          <w:bCs/>
          <w:noProof/>
          <w:sz w:val="24"/>
        </w:rPr>
      </w:pPr>
    </w:p>
    <w:p w14:paraId="003343D5" w14:textId="77777777" w:rsidR="00443399" w:rsidRPr="00B03B51" w:rsidRDefault="00443399" w:rsidP="00500EA4">
      <w:pPr>
        <w:pStyle w:val="BodyText"/>
        <w:numPr>
          <w:ilvl w:val="0"/>
          <w:numId w:val="33"/>
        </w:numPr>
        <w:spacing w:before="0"/>
        <w:ind w:left="426" w:hanging="425"/>
        <w:jc w:val="both"/>
        <w:rPr>
          <w:rFonts w:ascii="Times New Roman" w:hAnsi="Times New Roman" w:cs="Times New Roman"/>
          <w:noProof/>
          <w:sz w:val="24"/>
        </w:rPr>
      </w:pPr>
      <w:r w:rsidRPr="00B03B51">
        <w:rPr>
          <w:rFonts w:ascii="Times New Roman" w:hAnsi="Times New Roman" w:cs="Times New Roman"/>
          <w:sz w:val="24"/>
        </w:rPr>
        <w:t xml:space="preserve">Pieņemsim, ka centrālā banka tur monetāro zeltu, kura vērtība 1. gadā palielinās par 100 miljoniem </w:t>
      </w:r>
      <w:r w:rsidRPr="00B03B51">
        <w:rPr>
          <w:rFonts w:ascii="Times New Roman" w:hAnsi="Times New Roman" w:cs="Times New Roman"/>
          <w:i/>
          <w:iCs/>
          <w:sz w:val="24"/>
        </w:rPr>
        <w:t>euro</w:t>
      </w:r>
      <w:r w:rsidRPr="00B03B51">
        <w:rPr>
          <w:rFonts w:ascii="Times New Roman" w:hAnsi="Times New Roman" w:cs="Times New Roman"/>
          <w:sz w:val="24"/>
        </w:rPr>
        <w:t>.</w:t>
      </w:r>
    </w:p>
    <w:p w14:paraId="49BDF973" w14:textId="77777777" w:rsidR="00443399" w:rsidRPr="00B03B51" w:rsidRDefault="00443399" w:rsidP="00500EA4">
      <w:pPr>
        <w:pStyle w:val="BodyText"/>
        <w:numPr>
          <w:ilvl w:val="0"/>
          <w:numId w:val="33"/>
        </w:numPr>
        <w:spacing w:before="0"/>
        <w:ind w:left="426" w:hanging="425"/>
        <w:jc w:val="both"/>
        <w:rPr>
          <w:rFonts w:ascii="Times New Roman" w:hAnsi="Times New Roman" w:cs="Times New Roman"/>
          <w:noProof/>
          <w:sz w:val="24"/>
        </w:rPr>
      </w:pPr>
      <w:r w:rsidRPr="00B03B51">
        <w:rPr>
          <w:rFonts w:ascii="Times New Roman" w:hAnsi="Times New Roman" w:cs="Times New Roman"/>
          <w:sz w:val="24"/>
        </w:rPr>
        <w:t xml:space="preserve">Otrajā gadā centrālā banka pārdod finanšu sabiedrībām zeltu 90 miljonu </w:t>
      </w:r>
      <w:r w:rsidRPr="00B03B51">
        <w:rPr>
          <w:rFonts w:ascii="Times New Roman" w:hAnsi="Times New Roman" w:cs="Times New Roman"/>
          <w:i/>
          <w:iCs/>
          <w:sz w:val="24"/>
        </w:rPr>
        <w:t>euro</w:t>
      </w:r>
      <w:r w:rsidRPr="00B03B51">
        <w:rPr>
          <w:rFonts w:ascii="Times New Roman" w:hAnsi="Times New Roman" w:cs="Times New Roman"/>
          <w:sz w:val="24"/>
        </w:rPr>
        <w:t xml:space="preserve"> vērtībā. Pirms faktiskā pārdevuma zeltu demonetizē.</w:t>
      </w:r>
    </w:p>
    <w:p w14:paraId="18179E07" w14:textId="77777777" w:rsidR="00443399" w:rsidRPr="00B03B51" w:rsidRDefault="00443399" w:rsidP="00500EA4">
      <w:pPr>
        <w:pStyle w:val="BodyText"/>
        <w:numPr>
          <w:ilvl w:val="0"/>
          <w:numId w:val="33"/>
        </w:numPr>
        <w:spacing w:before="0"/>
        <w:ind w:left="426" w:hanging="425"/>
        <w:jc w:val="both"/>
        <w:rPr>
          <w:rFonts w:ascii="Times New Roman" w:hAnsi="Times New Roman" w:cs="Times New Roman"/>
          <w:noProof/>
          <w:sz w:val="24"/>
        </w:rPr>
      </w:pPr>
      <w:r w:rsidRPr="00B03B51">
        <w:rPr>
          <w:rFonts w:ascii="Times New Roman" w:hAnsi="Times New Roman" w:cs="Times New Roman"/>
          <w:sz w:val="24"/>
        </w:rPr>
        <w:t>3. gadā ieņēmumus pārskaita valdībai.</w:t>
      </w:r>
    </w:p>
    <w:p w14:paraId="5D162DF6" w14:textId="77777777" w:rsidR="00443399" w:rsidRPr="00B03B51" w:rsidRDefault="00443399" w:rsidP="00443399">
      <w:pPr>
        <w:jc w:val="both"/>
        <w:rPr>
          <w:rFonts w:ascii="Times New Roman" w:eastAsia="Arial" w:hAnsi="Times New Roman" w:cs="Times New Roman"/>
          <w:noProof/>
          <w:sz w:val="24"/>
          <w:szCs w:val="20"/>
        </w:rPr>
      </w:pPr>
    </w:p>
    <w:p w14:paraId="36EE11C8" w14:textId="77777777" w:rsidR="00443399" w:rsidRPr="00B03B51" w:rsidRDefault="00443399" w:rsidP="00500EA4">
      <w:pPr>
        <w:jc w:val="center"/>
        <w:rPr>
          <w:rFonts w:ascii="Times New Roman" w:eastAsia="Arial" w:hAnsi="Times New Roman" w:cs="Times New Roman"/>
          <w:noProof/>
          <w:sz w:val="24"/>
          <w:szCs w:val="20"/>
        </w:rPr>
      </w:pPr>
      <w:r w:rsidRPr="00B03B51">
        <w:rPr>
          <w:rFonts w:ascii="Times New Roman" w:hAnsi="Times New Roman" w:cs="Times New Roman"/>
          <w:noProof/>
        </w:rPr>
        <w:drawing>
          <wp:inline distT="0" distB="0" distL="0" distR="0" wp14:anchorId="7C59AB17" wp14:editId="1705911C">
            <wp:extent cx="5756275" cy="2125345"/>
            <wp:effectExtent l="0" t="0" r="0" b="8255"/>
            <wp:docPr id="21" name="Attēls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5756275" cy="2125345"/>
                    </a:xfrm>
                    <a:prstGeom prst="rect">
                      <a:avLst/>
                    </a:prstGeom>
                  </pic:spPr>
                </pic:pic>
              </a:graphicData>
            </a:graphic>
          </wp:inline>
        </w:drawing>
      </w:r>
    </w:p>
    <w:p w14:paraId="662CF035" w14:textId="77777777" w:rsidR="00443399" w:rsidRPr="00B03B51" w:rsidRDefault="00443399" w:rsidP="00443399">
      <w:pPr>
        <w:jc w:val="both"/>
        <w:rPr>
          <w:rFonts w:ascii="Times New Roman" w:eastAsia="Arial" w:hAnsi="Times New Roman" w:cs="Times New Roman"/>
          <w:noProof/>
          <w:sz w:val="24"/>
          <w:szCs w:val="20"/>
        </w:rPr>
      </w:pPr>
    </w:p>
    <w:p w14:paraId="65081730" w14:textId="77777777" w:rsidR="00443399" w:rsidRPr="00B03B51" w:rsidRDefault="00443399" w:rsidP="00443399">
      <w:pPr>
        <w:jc w:val="center"/>
        <w:rPr>
          <w:rFonts w:ascii="Times New Roman" w:eastAsia="Arial" w:hAnsi="Times New Roman" w:cs="Times New Roman"/>
          <w:noProof/>
          <w:sz w:val="24"/>
          <w:szCs w:val="20"/>
        </w:rPr>
      </w:pPr>
      <w:r w:rsidRPr="00B03B51">
        <w:rPr>
          <w:rFonts w:ascii="Times New Roman" w:hAnsi="Times New Roman" w:cs="Times New Roman"/>
          <w:noProof/>
        </w:rPr>
        <w:lastRenderedPageBreak/>
        <w:drawing>
          <wp:inline distT="0" distB="0" distL="0" distR="0" wp14:anchorId="4B9CAD79" wp14:editId="54B7CDAD">
            <wp:extent cx="5756275" cy="5300980"/>
            <wp:effectExtent l="0" t="0" r="0" b="0"/>
            <wp:docPr id="23" name="Attēls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stretch>
                      <a:fillRect/>
                    </a:stretch>
                  </pic:blipFill>
                  <pic:spPr>
                    <a:xfrm>
                      <a:off x="0" y="0"/>
                      <a:ext cx="5756275" cy="5300980"/>
                    </a:xfrm>
                    <a:prstGeom prst="rect">
                      <a:avLst/>
                    </a:prstGeom>
                  </pic:spPr>
                </pic:pic>
              </a:graphicData>
            </a:graphic>
          </wp:inline>
        </w:drawing>
      </w:r>
    </w:p>
    <w:p w14:paraId="026E88E6" w14:textId="77777777" w:rsidR="00443399" w:rsidRPr="00B03B51" w:rsidRDefault="00443399" w:rsidP="00443399">
      <w:pPr>
        <w:jc w:val="center"/>
        <w:rPr>
          <w:rFonts w:ascii="Times New Roman" w:eastAsia="Arial" w:hAnsi="Times New Roman" w:cs="Times New Roman"/>
          <w:noProof/>
          <w:sz w:val="24"/>
          <w:szCs w:val="20"/>
        </w:rPr>
      </w:pPr>
      <w:r w:rsidRPr="00B03B51">
        <w:rPr>
          <w:rFonts w:ascii="Times New Roman" w:hAnsi="Times New Roman" w:cs="Times New Roman"/>
          <w:noProof/>
        </w:rPr>
        <w:drawing>
          <wp:inline distT="0" distB="0" distL="0" distR="0" wp14:anchorId="2A5A5412" wp14:editId="6657F16E">
            <wp:extent cx="5756275" cy="3130550"/>
            <wp:effectExtent l="0" t="0" r="0" b="0"/>
            <wp:docPr id="24" name="Attēls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5756275" cy="3130550"/>
                    </a:xfrm>
                    <a:prstGeom prst="rect">
                      <a:avLst/>
                    </a:prstGeom>
                  </pic:spPr>
                </pic:pic>
              </a:graphicData>
            </a:graphic>
          </wp:inline>
        </w:drawing>
      </w:r>
    </w:p>
    <w:p w14:paraId="658687B7" w14:textId="0AF8B062" w:rsidR="000F6153" w:rsidRDefault="000F6153">
      <w:pPr>
        <w:widowControl/>
        <w:spacing w:after="160" w:line="259" w:lineRule="auto"/>
        <w:rPr>
          <w:rFonts w:ascii="Times New Roman" w:eastAsia="Arial" w:hAnsi="Times New Roman" w:cs="Times New Roman"/>
          <w:noProof/>
          <w:sz w:val="24"/>
          <w:szCs w:val="20"/>
        </w:rPr>
      </w:pPr>
      <w:r>
        <w:rPr>
          <w:rFonts w:ascii="Times New Roman" w:eastAsia="Arial" w:hAnsi="Times New Roman" w:cs="Times New Roman"/>
          <w:noProof/>
          <w:sz w:val="24"/>
          <w:szCs w:val="20"/>
        </w:rPr>
        <w:br w:type="page"/>
      </w:r>
    </w:p>
    <w:p w14:paraId="367A87AB" w14:textId="77777777" w:rsidR="00443399" w:rsidRPr="00B03B51" w:rsidRDefault="00443399" w:rsidP="00500EA4">
      <w:pPr>
        <w:pStyle w:val="Heading2"/>
        <w:keepNext/>
        <w:tabs>
          <w:tab w:val="left" w:pos="1135"/>
        </w:tabs>
        <w:spacing w:before="0"/>
        <w:ind w:left="0" w:firstLine="0"/>
        <w:jc w:val="both"/>
        <w:rPr>
          <w:rFonts w:ascii="Times New Roman" w:hAnsi="Times New Roman" w:cs="Times New Roman"/>
          <w:noProof/>
          <w:sz w:val="28"/>
          <w:szCs w:val="44"/>
        </w:rPr>
      </w:pPr>
      <w:bookmarkStart w:id="340" w:name="4.4_Non-returned_banknotes_and_coins_aft"/>
      <w:bookmarkStart w:id="341" w:name="_bookmark34"/>
      <w:bookmarkStart w:id="342" w:name="_Toc67565128"/>
      <w:bookmarkEnd w:id="340"/>
      <w:bookmarkEnd w:id="341"/>
      <w:r w:rsidRPr="00B03B51">
        <w:rPr>
          <w:rFonts w:ascii="Times New Roman" w:hAnsi="Times New Roman" w:cs="Times New Roman"/>
          <w:sz w:val="28"/>
          <w:szCs w:val="44"/>
        </w:rPr>
        <w:lastRenderedPageBreak/>
        <w:t>4.4. Neatgūtās banknotes un monētas pēc naudas nomaiņas</w:t>
      </w:r>
      <w:bookmarkEnd w:id="342"/>
    </w:p>
    <w:p w14:paraId="15B38483" w14:textId="77777777" w:rsidR="00443399" w:rsidRPr="00B03B51" w:rsidRDefault="00443399" w:rsidP="00500EA4">
      <w:pPr>
        <w:keepNext/>
        <w:tabs>
          <w:tab w:val="left" w:pos="1267"/>
        </w:tabs>
        <w:jc w:val="both"/>
        <w:rPr>
          <w:rFonts w:ascii="Times New Roman" w:hAnsi="Times New Roman" w:cs="Times New Roman"/>
          <w:b/>
          <w:noProof/>
          <w:sz w:val="24"/>
        </w:rPr>
      </w:pPr>
      <w:bookmarkStart w:id="343" w:name="4.4.1_Background"/>
      <w:bookmarkEnd w:id="343"/>
    </w:p>
    <w:p w14:paraId="22EF63D1" w14:textId="77777777" w:rsidR="00443399" w:rsidRPr="00BE27DC" w:rsidRDefault="00443399" w:rsidP="00BE27DC">
      <w:pPr>
        <w:pStyle w:val="Heading3"/>
        <w:tabs>
          <w:tab w:val="left" w:pos="1267"/>
        </w:tabs>
        <w:ind w:left="0" w:firstLine="0"/>
        <w:jc w:val="both"/>
        <w:rPr>
          <w:rFonts w:ascii="Times New Roman" w:hAnsi="Times New Roman" w:cs="Times New Roman"/>
          <w:sz w:val="24"/>
        </w:rPr>
      </w:pPr>
      <w:r w:rsidRPr="00B03B51">
        <w:rPr>
          <w:rFonts w:ascii="Times New Roman" w:hAnsi="Times New Roman" w:cs="Times New Roman"/>
          <w:sz w:val="24"/>
        </w:rPr>
        <w:t>4.4.1. Vispārīga informācija</w:t>
      </w:r>
    </w:p>
    <w:p w14:paraId="54D514AD" w14:textId="77777777" w:rsidR="00443399" w:rsidRPr="00B03B51" w:rsidRDefault="00443399" w:rsidP="00500EA4">
      <w:pPr>
        <w:pStyle w:val="BodyText"/>
        <w:keepNext/>
        <w:tabs>
          <w:tab w:val="left" w:pos="843"/>
        </w:tabs>
        <w:spacing w:before="0"/>
        <w:ind w:left="0" w:firstLine="0"/>
        <w:jc w:val="both"/>
        <w:rPr>
          <w:rFonts w:ascii="Times New Roman" w:hAnsi="Times New Roman" w:cs="Times New Roman"/>
          <w:noProof/>
          <w:sz w:val="24"/>
        </w:rPr>
      </w:pPr>
    </w:p>
    <w:p w14:paraId="0D872331" w14:textId="77777777" w:rsidR="00443399" w:rsidRPr="00B03B51" w:rsidRDefault="00443399" w:rsidP="00500EA4">
      <w:pPr>
        <w:pStyle w:val="BodyText"/>
        <w:keepN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 Naudas nomaiņas laikā apgrozībā esošās valsts valūtas banknotes un monētas nodod atpakaļ to attiecīgajiem emitentiem, kas banknošu gadījumā ir valstu centrālās bankas, bet monētu gadījumā tās parasti ir valdības. Tomēr daļa no iepriekš apgrozībā bijušās valsts valūtas nekad netiks saņemta atpakaļ, jo tā ir tikusi iznīcināta vai nozaudēta, vai arī tāpēc, ka turētāji ir nolēmuši to paturēt savā kolekcijā vai citiem mērķiem.</w:t>
      </w:r>
    </w:p>
    <w:p w14:paraId="145DC953"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6D01234E"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2. Tiklīdz VCB vairs nemaina vai neplāno mainīt vecās valsts valūtas banknotes, tā noraksta saistību. Šo norakstīšanu pēc tam ieraksta kā peļņu VCB peļņas un zaudējumu pārskatā. Valdībai pēc tam var uzkrāties peļņa no valsts valūtas banknošu nesaņemšanas vai nu kā valstu centrālo banku (VCB) veikts atsevišķs maksājums, vai kā daļa no regulāriem dividenžu un/vai ienākuma nodokļa maksājumiem. Jautājums ir par to, ciktāl šāds maksājums ietekmē valdības neto aizņēmumu/aizdevumu (B.9).</w:t>
      </w:r>
    </w:p>
    <w:p w14:paraId="5FB46357"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2653F220"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3. EKS 2010 ierakstīšanas noteikumi attiecas tikai uz krājumu un plūsmu ierakstīšanu nacionālajos kontos, un tajos nekas nav paredzēts attiecībā uz VCB faktiski kārtoto grāmatvedību. ECB Pamatnostādnes 2006/16 nosaka tiesisko regulējumu uzskaitei un finanšu ziņojumu sniegšanai Eiropas Centrālo banku sistēmā.</w:t>
      </w:r>
    </w:p>
    <w:p w14:paraId="7D7C7037"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29E9EFD5"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4. Kopumā monētas ir valdības saistības, un rodas jautājums, vai to neatgūšana ietekmē valdības neto aizdevumu/aizņēmumu (B.9) un parādu (skat. turpmāk 4.4.2.2. apakšiedaļas “Neatgūtās monētas” traktējumu, par kuru panākta vienošanās EKS 2010).</w:t>
      </w:r>
    </w:p>
    <w:p w14:paraId="0EA28FFB"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0D7A3C3F"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 xml:space="preserve">5. Šajā nodaļā izklāstītos ierakstīšanas principus piemēro ne tikai attiecībā uz naudas nomaiņu uz </w:t>
      </w:r>
      <w:r w:rsidRPr="00B03B51">
        <w:rPr>
          <w:rFonts w:ascii="Times New Roman" w:hAnsi="Times New Roman" w:cs="Times New Roman"/>
          <w:i/>
          <w:iCs/>
          <w:sz w:val="24"/>
        </w:rPr>
        <w:t>euro</w:t>
      </w:r>
      <w:r w:rsidRPr="00B03B51">
        <w:rPr>
          <w:rFonts w:ascii="Times New Roman" w:hAnsi="Times New Roman" w:cs="Times New Roman"/>
          <w:sz w:val="24"/>
        </w:rPr>
        <w:t>, bet arī attiecībā uz citiem gadījumiem, kad esošās monētu un banknošu sērijas aizstāj ar jaunām monētu un banknošu sērijām, piemēram, banknošu noformējuma maiņas dēļ.</w:t>
      </w:r>
    </w:p>
    <w:p w14:paraId="2565E8DF" w14:textId="77777777" w:rsidR="00443399" w:rsidRPr="00B03B51" w:rsidRDefault="00443399" w:rsidP="00443399">
      <w:pPr>
        <w:jc w:val="both"/>
        <w:rPr>
          <w:rFonts w:ascii="Times New Roman" w:eastAsia="Arial" w:hAnsi="Times New Roman" w:cs="Times New Roman"/>
          <w:noProof/>
          <w:sz w:val="24"/>
          <w:szCs w:val="18"/>
        </w:rPr>
      </w:pPr>
    </w:p>
    <w:p w14:paraId="51A37E64" w14:textId="77777777" w:rsidR="00443399" w:rsidRPr="00B03B51" w:rsidRDefault="00443399" w:rsidP="009A567F">
      <w:pPr>
        <w:pStyle w:val="Heading3"/>
        <w:tabs>
          <w:tab w:val="left" w:pos="1267"/>
        </w:tabs>
        <w:ind w:left="0" w:firstLine="0"/>
        <w:jc w:val="both"/>
        <w:rPr>
          <w:rFonts w:ascii="Times New Roman" w:hAnsi="Times New Roman" w:cs="Times New Roman"/>
          <w:noProof/>
          <w:sz w:val="24"/>
        </w:rPr>
      </w:pPr>
      <w:bookmarkStart w:id="344" w:name="4.4.2_Treatment_in_national_accounts"/>
      <w:bookmarkStart w:id="345" w:name="_Toc67565129"/>
      <w:bookmarkEnd w:id="344"/>
      <w:r w:rsidRPr="00B03B51">
        <w:rPr>
          <w:rFonts w:ascii="Times New Roman" w:hAnsi="Times New Roman" w:cs="Times New Roman"/>
          <w:sz w:val="24"/>
        </w:rPr>
        <w:t>4.4.2. Traktējums nacionālajos kontos</w:t>
      </w:r>
      <w:bookmarkEnd w:id="345"/>
    </w:p>
    <w:p w14:paraId="083491D5" w14:textId="77777777" w:rsidR="00443399" w:rsidRPr="00BE27DC" w:rsidRDefault="00443399" w:rsidP="00BE27DC">
      <w:pPr>
        <w:rPr>
          <w:rFonts w:ascii="Times New Roman" w:hAnsi="Times New Roman" w:cs="Times New Roman"/>
          <w:noProof/>
          <w:sz w:val="24"/>
          <w:szCs w:val="24"/>
        </w:rPr>
      </w:pPr>
      <w:bookmarkStart w:id="346" w:name="4.4.2.1_Non-returned_banknotes"/>
      <w:bookmarkEnd w:id="346"/>
    </w:p>
    <w:p w14:paraId="63CB4123" w14:textId="77777777" w:rsidR="00443399" w:rsidRPr="00B03B51" w:rsidRDefault="00443399" w:rsidP="009A567F">
      <w:pPr>
        <w:pStyle w:val="Heading6"/>
        <w:tabs>
          <w:tab w:val="left" w:pos="1267"/>
        </w:tabs>
        <w:ind w:left="0" w:firstLine="0"/>
        <w:jc w:val="both"/>
        <w:rPr>
          <w:rFonts w:ascii="Times New Roman" w:hAnsi="Times New Roman" w:cs="Times New Roman"/>
          <w:noProof/>
          <w:sz w:val="24"/>
        </w:rPr>
      </w:pPr>
      <w:r w:rsidRPr="00B03B51">
        <w:rPr>
          <w:rFonts w:ascii="Times New Roman" w:hAnsi="Times New Roman" w:cs="Times New Roman"/>
          <w:sz w:val="24"/>
        </w:rPr>
        <w:t>4.4.2.1. NEATGŪTĀS BANKNOTES</w:t>
      </w:r>
    </w:p>
    <w:p w14:paraId="078ED4BA" w14:textId="77777777" w:rsidR="00443399" w:rsidRPr="00B03B51" w:rsidRDefault="00443399" w:rsidP="009A567F">
      <w:pPr>
        <w:pStyle w:val="BodyText"/>
        <w:tabs>
          <w:tab w:val="left" w:pos="843"/>
        </w:tabs>
        <w:spacing w:before="0"/>
        <w:ind w:left="0" w:firstLine="0"/>
        <w:jc w:val="both"/>
        <w:rPr>
          <w:rFonts w:ascii="Times New Roman" w:hAnsi="Times New Roman" w:cs="Times New Roman"/>
          <w:noProof/>
          <w:sz w:val="24"/>
        </w:rPr>
      </w:pPr>
    </w:p>
    <w:p w14:paraId="0D83A476" w14:textId="77777777" w:rsidR="00443399" w:rsidRPr="00B03B51" w:rsidRDefault="00443399" w:rsidP="009A567F">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6. Ienākumi no neatgūtajām banknotēm nekādi neietekmē valdības neto aizdevumu/aizņēmumu (B.9). Apgrozībā esošās banknotes uzrāda VCB bilances postenī “Valūta un noguldījumi” (AF.2). Naudas nomaiņas gadījumā vecās valsts valūtas banknotes, kuras vairs nav likumīgs maksāšanas līdzeklis un nav atdotas VCB, klasificē VCB bilancē kā citas kreditoru saistības (AF.8). Kad banknotes, kuras vairs nav likumīgs maksāšanas līdzeklis, apmaina pret jaunām banknotēm, posteņa “Citas kreditoru saistības” samazinājumu ieraksta ar pretēju ierakstu postenī “Valūta un noguldījumi”.</w:t>
      </w:r>
    </w:p>
    <w:p w14:paraId="0E4901E3"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21DA0BBA"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7. Neatgūtās valsts valūtas banknotes noraksta no VCB bilances nacionālajos kontos, tiklīdz VCB vairs neveic to apmaiņu pret jaunām banknotēm. Valstīs, kurās vecās nacionālās valūtas banknotes var apmainīt pret jaunajām banknotēm neierobežotu laiku, vecās banknotes noraksta no VCB bilances brīdī, kad ir skaidrs, ka tās vairs netiks atgūtas, pat ja joprojām pastāv juridisks pienākums tās apmainīt. Šķiet, ka praksē tiek ievērota piesardzīga pieeja, saskaņā ar kuru statistiķi vairs neatzīst VCB saistības finanšu kontu veidošanas mērķiem, lai gan VCB grāmatveži vēl joprojām to dara. Šādu norakstīšanu ieraksta kā citas apjoma pārmaiņas VCB postenī “Citas kreditoru saistības”.</w:t>
      </w:r>
    </w:p>
    <w:p w14:paraId="4500A321"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447F0A8C"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8. Valdībai piederošā pašu kapitāla vērtība palielināsies par summu, kas atbilst norakstītajai summai, pieņemot, ka valdība ir vienīgā akcionāre, kam ir tiesības uz ienākumiem no neatgūtajām banknotēm. Šādu palielinājumu ieraksta gan VCB, gan valdības kontā “Citas aktīvu pārmaiņas”. Ja ienākumus no neatgūtajām banknotēm izmaksā valdībai, izmaksātās summas ieraksta kā finanšu darījumus (valdības veikta pašu kapitāla izņemšana (F.5)), nevis kā valdības ieņēmumus (dividendes, peļņas nodokļus vai kapitāla pārvedumus). Atsevišķās valstīs valdība juridiski nav VCB akcionāre, tomēr saskaņā ar tiesību aktiem valdībai ir tiesības saņemt ieņēmumus no neatgūtajām banknotēm. Šādos gadījumos nacionālajos kontos atzīst valdības ekonomiskās īpašumtiesības un ieraksta valdības pašu kapitāla daļu (F.519) VCB.</w:t>
      </w:r>
    </w:p>
    <w:p w14:paraId="58C4635E" w14:textId="77777777" w:rsidR="00443399" w:rsidRPr="00B03B51" w:rsidRDefault="00443399" w:rsidP="00443399">
      <w:pPr>
        <w:jc w:val="both"/>
        <w:rPr>
          <w:rFonts w:ascii="Times New Roman" w:hAnsi="Times New Roman" w:cs="Times New Roman"/>
          <w:noProof/>
          <w:sz w:val="24"/>
        </w:rPr>
      </w:pPr>
    </w:p>
    <w:p w14:paraId="0124E412"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9. Ja VCB veic maksājumus valdībai, paredzot neatgūto banknošu norakstīšanu, maksājumus nacionālajos kontos uzskata par avansa maksājumiem. Maksājumus ieraksta kā citas kreditoru saistības (F.8) valdības kontos un kā citas debitoru saistības (F.8) VCB kontos ar pretējiem ierakstiem postenī “Valūta un noguldījumi” (F.2.). Tiklīdz notiek faktiska norakstīšana, F.8 iepriekš ierakstītās summas pārvērš par valdības veiktu pašu kapitāla izņemšanu.</w:t>
      </w:r>
    </w:p>
    <w:p w14:paraId="7F4E2E9F" w14:textId="77777777" w:rsidR="00443399" w:rsidRPr="00B03B51" w:rsidRDefault="00443399" w:rsidP="00443399">
      <w:pPr>
        <w:jc w:val="both"/>
        <w:rPr>
          <w:rFonts w:ascii="Times New Roman" w:eastAsia="Arial" w:hAnsi="Times New Roman" w:cs="Times New Roman"/>
          <w:noProof/>
          <w:sz w:val="24"/>
          <w:szCs w:val="15"/>
        </w:rPr>
      </w:pPr>
    </w:p>
    <w:p w14:paraId="755F90C8" w14:textId="77777777" w:rsidR="00443399" w:rsidRPr="00B03B51" w:rsidRDefault="00443399" w:rsidP="00443399">
      <w:pPr>
        <w:pStyle w:val="Heading6"/>
        <w:tabs>
          <w:tab w:val="left" w:pos="1267"/>
        </w:tabs>
        <w:ind w:left="0" w:firstLine="0"/>
        <w:jc w:val="both"/>
        <w:rPr>
          <w:rFonts w:ascii="Times New Roman" w:hAnsi="Times New Roman" w:cs="Times New Roman"/>
          <w:noProof/>
          <w:sz w:val="24"/>
        </w:rPr>
      </w:pPr>
      <w:bookmarkStart w:id="347" w:name="4.4.2.2_Non-returned_coins"/>
      <w:bookmarkEnd w:id="347"/>
      <w:r w:rsidRPr="00B03B51">
        <w:rPr>
          <w:rFonts w:ascii="Times New Roman" w:hAnsi="Times New Roman" w:cs="Times New Roman"/>
          <w:sz w:val="24"/>
        </w:rPr>
        <w:t>4.4.2.2. NEATGŪTĀS MONĒTAS</w:t>
      </w:r>
    </w:p>
    <w:p w14:paraId="6E423A2C"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7DBE8B03"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10. Neatgūtās monētas ietekmē valsts parādu atbilstīgi tam, kā noteikts attiecībā uz pārmērīga budžeta deficīta novēršanas procedūru, bet neietekmē valdības neto aizdevumu/aizņēmumu (B.9). Traktējums nacionālajos kontos ir tāds pats kā attiecībā uz neatgūtajām naudaszīmēm.</w:t>
      </w:r>
    </w:p>
    <w:p w14:paraId="11E7FAFD"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0B9469FF"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11. Apgrozībā esošās monētas publiskajos kontos ir centrālās valdības saistības, nevis centrālās bankas saistības, tāpēc centrālā banka samaksā centrālajai valdībai emitēto monētu nominālvērtību. Tomēr monētas ir daļa no naudas rādītājiem un saistības, kas atbilst emitētajai summai, ir pieņemts norādīt kategorijā “Apgrozībā esošā valūta” centrālās bankas bilancē ar nosacītu prasījumu (AF.29) pret centrālo valdību un ar saistībām (AF.29) valdības kontos (skat. EKS 2010 5. nodaļas B.5.2. ierāmējumu un šīs rokasgrāmatas 8.2. nodaļu “Vispārējās valdības parāda aprēķināšana”).</w:t>
      </w:r>
    </w:p>
    <w:p w14:paraId="57B303F2" w14:textId="77777777" w:rsidR="00443399" w:rsidRPr="00B03B51" w:rsidRDefault="00443399" w:rsidP="00443399">
      <w:pPr>
        <w:pStyle w:val="BodyText"/>
        <w:spacing w:before="0"/>
        <w:ind w:left="0" w:firstLine="0"/>
        <w:jc w:val="both"/>
        <w:rPr>
          <w:rFonts w:ascii="Times New Roman" w:hAnsi="Times New Roman" w:cs="Times New Roman"/>
          <w:noProof/>
          <w:sz w:val="24"/>
        </w:rPr>
      </w:pPr>
    </w:p>
    <w:p w14:paraId="09AB507B" w14:textId="77777777" w:rsidR="00443399" w:rsidRPr="00B03B51" w:rsidRDefault="00443399" w:rsidP="00443399">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t>Naudas maiņas laikā vecās valsts valūtas monētas, kuras vairs nav likumīgs maksāšanas līdzeklis un vēl nav atdotas valdībai, taču kuras joprojām var apmainīt pret likumīgu maksāšanas līdzekli, pārklasificē kā citas kreditoru saistības (F.8) konta “Citas aktīvu pārmaiņas” postenī “Citas apjoma pārmaiņas” (K.5). Tas samazina parāda uzkrājumu, tiklīdz vecā valūta vairs nav likumīgs maksāšanas līdzeklis, jo citas kreditoru saistības nav daļa no valsts parāda. Ja veco valūtu apmaina pret jaunām monētām, valdības parāds palielinās, jo palielinās apgrozībā esošo monētu summa.</w:t>
      </w:r>
    </w:p>
    <w:p w14:paraId="0C3B31F0"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55F780F4"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12. Neatgūtās valsts valūtas monētas valdības bilancē noraksta brīdī, kad valdība vairs nemaina vecās valsts valūtas monētas pret jaunu likumīgo maksāšanas līdzekli vai arī kad kļuvis skaidrs, ka tās vairs netiks atgūtas. Nacionālajos kontos to ieraksta kā citas apjoma pārmaiņas (K.5), neietekmējot valdības neto aizdevumu/aizņēmumu (B.9).</w:t>
      </w:r>
    </w:p>
    <w:p w14:paraId="131AF665" w14:textId="77777777" w:rsidR="00443399" w:rsidRPr="00B03B51" w:rsidRDefault="00443399" w:rsidP="00443399">
      <w:pPr>
        <w:jc w:val="both"/>
        <w:rPr>
          <w:rFonts w:ascii="Times New Roman" w:eastAsia="Arial" w:hAnsi="Times New Roman" w:cs="Times New Roman"/>
          <w:noProof/>
          <w:sz w:val="24"/>
          <w:szCs w:val="18"/>
        </w:rPr>
      </w:pPr>
    </w:p>
    <w:p w14:paraId="0C6B4DCC" w14:textId="77777777" w:rsidR="00443399" w:rsidRPr="00B03B51" w:rsidRDefault="00443399" w:rsidP="00443399">
      <w:pPr>
        <w:pStyle w:val="Heading3"/>
        <w:tabs>
          <w:tab w:val="left" w:pos="1267"/>
        </w:tabs>
        <w:ind w:left="0" w:firstLine="0"/>
        <w:jc w:val="both"/>
        <w:rPr>
          <w:rFonts w:ascii="Times New Roman" w:hAnsi="Times New Roman" w:cs="Times New Roman"/>
          <w:noProof/>
          <w:sz w:val="24"/>
        </w:rPr>
      </w:pPr>
      <w:bookmarkStart w:id="348" w:name="4.4.3_Rationale_of_the_treatment"/>
      <w:bookmarkStart w:id="349" w:name="_Toc67565130"/>
      <w:bookmarkEnd w:id="348"/>
      <w:r w:rsidRPr="00B03B51">
        <w:rPr>
          <w:rFonts w:ascii="Times New Roman" w:hAnsi="Times New Roman" w:cs="Times New Roman"/>
          <w:sz w:val="24"/>
        </w:rPr>
        <w:t>4.4.3. Traktējuma pamatojums</w:t>
      </w:r>
      <w:bookmarkEnd w:id="349"/>
    </w:p>
    <w:p w14:paraId="0B943B11"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50AAB83E"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 xml:space="preserve">13. EKS 2010 kategorijā “Valūta” (F.12) ietilpst monētas un banknotes, kuras plaši izmanto norēķiniem (skat. EKS 2010 5.76.–5.78. punktu). Tiklīdz vecās valsts valūtas banknotes un monētas vairs nav likumīgs maksāšanas līdzeklis, tās vairs nevar izmantot norēķiniem un attiecīgi tās ir jāizslēdz no EKS 2010 aktīvu kategorijas “Valūta” (F.21). Tā nav institucionālo vienību sadarbība uz savstarpējas vienošanās pamata un tāpēc to neieraksta kā finanšu darījumu </w:t>
      </w:r>
      <w:r w:rsidRPr="00B03B51">
        <w:rPr>
          <w:rFonts w:ascii="Times New Roman" w:hAnsi="Times New Roman" w:cs="Times New Roman"/>
          <w:sz w:val="24"/>
        </w:rPr>
        <w:lastRenderedPageBreak/>
        <w:t xml:space="preserve">(skat. EKS 2010 1.66. punktu). Tā vietā aktīva pārklasificēšanu, izņemot zelta (de)monetizāciju (K.62), ieraksta (EKS 2010 6.24. punktā) gan debitora, gan kreditora kontā “Citas aktīvu pārmaiņas”. Tik ilgi, kamēr vecās monētas un banknotes var apmainīt pret jaunām, tās ir uzskatāmas par finanšu prasījumiem pret emitentiem un attiecīgi arī par finanšu aktīviem (atšķirībā no dārgmetāliem), tāpēc tās ir jāpārklasificē EKS 2010 kategorijā “Citas debitoru/kreditoru saistības”. Tās </w:t>
      </w:r>
      <w:r w:rsidRPr="00B03B51">
        <w:rPr>
          <w:rFonts w:ascii="Times New Roman" w:hAnsi="Times New Roman" w:cs="Times New Roman"/>
          <w:i/>
          <w:iCs/>
          <w:sz w:val="24"/>
        </w:rPr>
        <w:t>de facto</w:t>
      </w:r>
      <w:r w:rsidRPr="00B03B51">
        <w:rPr>
          <w:rFonts w:ascii="Times New Roman" w:hAnsi="Times New Roman" w:cs="Times New Roman"/>
          <w:sz w:val="24"/>
        </w:rPr>
        <w:t xml:space="preserve"> pilda vērtību uzkrāšanas funkciju to turētājiem, savukārt to emitentam ir saistības, jo šo instrumentu uzrādīšanas gadījumā tie ir jāizpērk.</w:t>
      </w:r>
    </w:p>
    <w:p w14:paraId="406AFDC9"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6396EAFF"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14. Tiklīdz vecās valsts valūtas banknotes un monētas vairs nevar apmainīt pret jauno valūtu un tādējādi tās vairs neveido prasījumu pret to emitentu, ir jāieraksta citas finanšu aktīvu un saistību apjoma pārmaiņas (K.5) gan debitora, gan kreditora kontā “Citas aktīvu pārmaiņas”, jo šādas pārmaiņas nav radušās ne savstarpējas vienošanās, ne arī finanšu darījuma vai kapitāla pārveduma rezultātā. Praksē grāmatveži arī noraksta veco valūtu, tiklīdz ir (gandrīz pilnīgi) skaidrs, ka vecās banknotes un monētas vairs netiks mainītas, pat ja joprojām pastāv juridisks pienākums tās apmainīt. Grāmatveži no pieredzes zina, ka ne visas vecās banknotes un monētas tiks apmainītas vai nu ārkārtas zaudējumu dēļ (skat. EKS 2010 6.14. punkta a) apakšpunktu), vai arī tāpēc, ka vecās banknotes un monētas tiek paturētas kolekcionēšanai. Šādā gadījumā statistiķi ievēro tādu pašu pieeju kā grāmatveži un arī ieraksta norakstīšanu nacionālajos kontos, lai atspoguļotu ekonomisko, nevis juridisko realitāti. Ja norakstītās vecās banknotes un monētas pretēji gaidītajam tomēr nodod apmaiņai pret jaunām banknotēm un monētām, norakstīšanu apvērš gan debitora, gan kreditora kontā “Citas aktīvu pārmaiņas”.</w:t>
      </w:r>
    </w:p>
    <w:p w14:paraId="2FC236D1" w14:textId="77777777" w:rsidR="00443399" w:rsidRPr="00B03B51" w:rsidRDefault="00443399" w:rsidP="00443399">
      <w:pPr>
        <w:jc w:val="both"/>
        <w:rPr>
          <w:rFonts w:ascii="Times New Roman" w:hAnsi="Times New Roman" w:cs="Times New Roman"/>
          <w:noProof/>
          <w:sz w:val="24"/>
        </w:rPr>
      </w:pPr>
    </w:p>
    <w:p w14:paraId="48BDC545"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15. Banknošu norakstīšanas dēļ palielināsies valdībai piederošā VCB pašu kapitāla vērtība, jo samazināsies VCB nenokārtoto saistību summa. Arī pārmaiņas pašu kapitāla novērtējumā ir jāieraksta kontā “Citas aktīvu pārmaiņas” (pārvērtēšanas kontā).</w:t>
      </w:r>
    </w:p>
    <w:p w14:paraId="3345BDA3"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1588DA54"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16. Maksājumus, kurus VCB veic valdībai pēc ienākumu no neatgrieztajām banknotēm gūšanas, nevar ierakstīt kā dividenžu ienākumus (ņemot vērā, ka pašu kapitālu novērtē pēc VCB neto aktīviem). Šie ienākumi ir gūti norakstīšanas rezultātā, nevis ražošanas vai ražošanas pārdales rezultātā, un tāpēc tie nevar būt daļa no VCB pamatdarbības peļņas. Šā iemesla dēļ maksājums valdībai ir jāieraksta kā valdības veikta pašu kapitāla izņemšana bez izmaiņām valdības neto aizdevumā/aizņēmumā (B.9).</w:t>
      </w:r>
    </w:p>
    <w:p w14:paraId="3E2C8043"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4C416993"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17. Pārklasificēšana vai veco monētu norakstīšana arī nerada nekādas izmaiņas neto aizdevumā/aizņēmumā (B.9). Saskaņā ar definīciju, ko izmanto pārmērīga budžeta deficīta novēršanas procedūrā, valdības parādā ietilpst valūtas un noguldījumi (F.2), parāda vērtspapīri (F.3) un aizdevumi (F.4). Veco monētu pārklasificēšana no valūtas un noguldījumiem uz citām kreditoru saistībām, tiklīdz tās vairs nav likumīgs maksāšanas līdzeklis, samazina parāda uzkrājumu, jo citas kreditoru saistības nav daļa no valdības parāda. Ja veco valūtu apmaina pret jaunām monētām, valdības parāds palielinās, jo palielinās apgrozībā esošo monētu summa.</w:t>
      </w:r>
    </w:p>
    <w:p w14:paraId="047C0113" w14:textId="77777777" w:rsidR="00443399" w:rsidRPr="00B03B51" w:rsidRDefault="00443399" w:rsidP="00443399">
      <w:pPr>
        <w:jc w:val="both"/>
        <w:rPr>
          <w:rFonts w:ascii="Times New Roman" w:eastAsia="Arial" w:hAnsi="Times New Roman" w:cs="Times New Roman"/>
          <w:noProof/>
          <w:sz w:val="24"/>
          <w:szCs w:val="18"/>
        </w:rPr>
      </w:pPr>
    </w:p>
    <w:p w14:paraId="2441F31F" w14:textId="77777777" w:rsidR="00443399" w:rsidRPr="00B03B51" w:rsidRDefault="00443399" w:rsidP="00443399">
      <w:pPr>
        <w:pStyle w:val="Heading3"/>
        <w:tabs>
          <w:tab w:val="left" w:pos="1267"/>
        </w:tabs>
        <w:ind w:left="0" w:firstLine="0"/>
        <w:jc w:val="both"/>
        <w:rPr>
          <w:rFonts w:ascii="Times New Roman" w:hAnsi="Times New Roman" w:cs="Times New Roman"/>
          <w:noProof/>
          <w:sz w:val="24"/>
        </w:rPr>
      </w:pPr>
      <w:bookmarkStart w:id="350" w:name="4.4.4_Accounting_examples"/>
      <w:bookmarkStart w:id="351" w:name="_Toc67565131"/>
      <w:bookmarkEnd w:id="350"/>
      <w:r w:rsidRPr="00B03B51">
        <w:rPr>
          <w:rFonts w:ascii="Times New Roman" w:hAnsi="Times New Roman" w:cs="Times New Roman"/>
          <w:sz w:val="24"/>
        </w:rPr>
        <w:t>4.4.4. Uzskaites piemēri</w:t>
      </w:r>
      <w:bookmarkEnd w:id="351"/>
    </w:p>
    <w:p w14:paraId="1118AF1A" w14:textId="77777777" w:rsidR="00443399" w:rsidRPr="00B03B51" w:rsidRDefault="00443399" w:rsidP="00443399">
      <w:pPr>
        <w:jc w:val="both"/>
        <w:rPr>
          <w:rFonts w:ascii="Times New Roman" w:hAnsi="Times New Roman" w:cs="Times New Roman"/>
          <w:b/>
          <w:noProof/>
          <w:sz w:val="24"/>
        </w:rPr>
      </w:pPr>
    </w:p>
    <w:p w14:paraId="7B022CD1" w14:textId="77777777" w:rsidR="00443399" w:rsidRPr="00B03B51" w:rsidRDefault="00443399" w:rsidP="00443399">
      <w:pPr>
        <w:jc w:val="both"/>
        <w:rPr>
          <w:rFonts w:ascii="Times New Roman" w:hAnsi="Times New Roman" w:cs="Times New Roman"/>
          <w:b/>
          <w:noProof/>
          <w:sz w:val="24"/>
        </w:rPr>
      </w:pPr>
      <w:r w:rsidRPr="00B03B51">
        <w:rPr>
          <w:rFonts w:ascii="Times New Roman" w:hAnsi="Times New Roman" w:cs="Times New Roman"/>
          <w:b/>
          <w:sz w:val="24"/>
        </w:rPr>
        <w:t>1. piemērs</w:t>
      </w:r>
    </w:p>
    <w:p w14:paraId="1D7E4CDB" w14:textId="77777777" w:rsidR="00443399" w:rsidRPr="00B03B51" w:rsidRDefault="00443399" w:rsidP="00443399">
      <w:pPr>
        <w:jc w:val="both"/>
        <w:rPr>
          <w:rFonts w:ascii="Times New Roman" w:eastAsia="Arial" w:hAnsi="Times New Roman" w:cs="Times New Roman"/>
          <w:b/>
          <w:bCs/>
          <w:noProof/>
          <w:sz w:val="24"/>
        </w:rPr>
      </w:pPr>
    </w:p>
    <w:p w14:paraId="11573C03" w14:textId="77777777" w:rsidR="00443399" w:rsidRPr="00B03B51" w:rsidRDefault="00443399" w:rsidP="00500EA4">
      <w:pPr>
        <w:pStyle w:val="BodyText"/>
        <w:numPr>
          <w:ilvl w:val="2"/>
          <w:numId w:val="20"/>
        </w:numPr>
        <w:spacing w:before="0"/>
        <w:ind w:left="426" w:hanging="425"/>
        <w:jc w:val="both"/>
        <w:rPr>
          <w:rFonts w:ascii="Times New Roman" w:hAnsi="Times New Roman" w:cs="Times New Roman"/>
          <w:noProof/>
          <w:sz w:val="24"/>
        </w:rPr>
      </w:pPr>
      <w:r w:rsidRPr="00B03B51">
        <w:rPr>
          <w:rFonts w:ascii="Times New Roman" w:hAnsi="Times New Roman" w:cs="Times New Roman"/>
          <w:i/>
          <w:iCs/>
          <w:sz w:val="24"/>
        </w:rPr>
        <w:t>Euro</w:t>
      </w:r>
      <w:r w:rsidRPr="00B03B51">
        <w:rPr>
          <w:rFonts w:ascii="Times New Roman" w:hAnsi="Times New Roman" w:cs="Times New Roman"/>
          <w:sz w:val="24"/>
        </w:rPr>
        <w:t xml:space="preserve"> ievieš 1. gada 1. dienā.</w:t>
      </w:r>
    </w:p>
    <w:p w14:paraId="5AA5F962" w14:textId="77777777" w:rsidR="00443399" w:rsidRPr="00B03B51" w:rsidRDefault="00443399" w:rsidP="00500EA4">
      <w:pPr>
        <w:pStyle w:val="BodyText"/>
        <w:numPr>
          <w:ilvl w:val="2"/>
          <w:numId w:val="20"/>
        </w:numPr>
        <w:spacing w:before="0"/>
        <w:ind w:left="426" w:hanging="425"/>
        <w:jc w:val="both"/>
        <w:rPr>
          <w:rFonts w:ascii="Times New Roman" w:hAnsi="Times New Roman" w:cs="Times New Roman"/>
          <w:noProof/>
          <w:sz w:val="24"/>
        </w:rPr>
      </w:pPr>
      <w:r w:rsidRPr="00B03B51">
        <w:rPr>
          <w:rFonts w:ascii="Times New Roman" w:hAnsi="Times New Roman" w:cs="Times New Roman"/>
          <w:sz w:val="24"/>
        </w:rPr>
        <w:t xml:space="preserve">Pēc pusgada vecās nacionālās valūtas banknotes vairs nepieņem kā likumīgu maksāšanas līdzekli. Līdz 1. gada beigām pret </w:t>
      </w:r>
      <w:r w:rsidRPr="00B03B51">
        <w:rPr>
          <w:rFonts w:ascii="Times New Roman" w:hAnsi="Times New Roman" w:cs="Times New Roman"/>
          <w:i/>
          <w:iCs/>
          <w:sz w:val="24"/>
        </w:rPr>
        <w:t>euro</w:t>
      </w:r>
      <w:r w:rsidRPr="00B03B51">
        <w:rPr>
          <w:rFonts w:ascii="Times New Roman" w:hAnsi="Times New Roman" w:cs="Times New Roman"/>
          <w:sz w:val="24"/>
        </w:rPr>
        <w:t xml:space="preserve"> vēl nav apmainītas vecās banknotes 100 miljonu </w:t>
      </w:r>
      <w:r w:rsidRPr="00B03B51">
        <w:rPr>
          <w:rFonts w:ascii="Times New Roman" w:hAnsi="Times New Roman" w:cs="Times New Roman"/>
          <w:i/>
          <w:iCs/>
          <w:sz w:val="24"/>
        </w:rPr>
        <w:t>euro</w:t>
      </w:r>
      <w:r w:rsidRPr="00B03B51">
        <w:rPr>
          <w:rFonts w:ascii="Times New Roman" w:hAnsi="Times New Roman" w:cs="Times New Roman"/>
          <w:sz w:val="24"/>
        </w:rPr>
        <w:t xml:space="preserve"> vērtībā.</w:t>
      </w:r>
    </w:p>
    <w:p w14:paraId="2C5D0A95" w14:textId="77777777" w:rsidR="00443399" w:rsidRPr="00B03B51" w:rsidRDefault="00443399" w:rsidP="00500EA4">
      <w:pPr>
        <w:pStyle w:val="BodyText"/>
        <w:numPr>
          <w:ilvl w:val="2"/>
          <w:numId w:val="20"/>
        </w:numPr>
        <w:spacing w:before="0"/>
        <w:ind w:left="426" w:hanging="425"/>
        <w:jc w:val="both"/>
        <w:rPr>
          <w:rFonts w:ascii="Times New Roman" w:hAnsi="Times New Roman" w:cs="Times New Roman"/>
          <w:noProof/>
          <w:sz w:val="24"/>
        </w:rPr>
      </w:pPr>
      <w:r w:rsidRPr="00B03B51">
        <w:rPr>
          <w:rFonts w:ascii="Times New Roman" w:hAnsi="Times New Roman" w:cs="Times New Roman"/>
          <w:sz w:val="24"/>
        </w:rPr>
        <w:t xml:space="preserve">Pēc pusotra gada vecās banknotes vairs nevar apmainīt pret </w:t>
      </w:r>
      <w:r w:rsidRPr="00B03B51">
        <w:rPr>
          <w:rFonts w:ascii="Times New Roman" w:hAnsi="Times New Roman" w:cs="Times New Roman"/>
          <w:i/>
          <w:iCs/>
          <w:sz w:val="24"/>
        </w:rPr>
        <w:t>euro</w:t>
      </w:r>
      <w:r w:rsidRPr="00B03B51">
        <w:rPr>
          <w:rFonts w:ascii="Times New Roman" w:hAnsi="Times New Roman" w:cs="Times New Roman"/>
          <w:sz w:val="24"/>
        </w:rPr>
        <w:t xml:space="preserve">. Līdz 2. gada beigām pret </w:t>
      </w:r>
      <w:r w:rsidRPr="00B03B51">
        <w:rPr>
          <w:rFonts w:ascii="Times New Roman" w:hAnsi="Times New Roman" w:cs="Times New Roman"/>
          <w:i/>
          <w:iCs/>
          <w:sz w:val="24"/>
        </w:rPr>
        <w:t>euro</w:t>
      </w:r>
      <w:r w:rsidRPr="00B03B51">
        <w:rPr>
          <w:rFonts w:ascii="Times New Roman" w:hAnsi="Times New Roman" w:cs="Times New Roman"/>
          <w:sz w:val="24"/>
        </w:rPr>
        <w:t xml:space="preserve"> vēl nav apmainītas vecās banknotes 15 miljonu </w:t>
      </w:r>
      <w:r w:rsidRPr="00B03B51">
        <w:rPr>
          <w:rFonts w:ascii="Times New Roman" w:hAnsi="Times New Roman" w:cs="Times New Roman"/>
          <w:i/>
          <w:iCs/>
          <w:sz w:val="24"/>
        </w:rPr>
        <w:t>euro</w:t>
      </w:r>
      <w:r w:rsidRPr="00B03B51">
        <w:rPr>
          <w:rFonts w:ascii="Times New Roman" w:hAnsi="Times New Roman" w:cs="Times New Roman"/>
          <w:sz w:val="24"/>
        </w:rPr>
        <w:t xml:space="preserve"> vērtībā, kuras attiecīgi tiek </w:t>
      </w:r>
      <w:r w:rsidRPr="00B03B51">
        <w:rPr>
          <w:rFonts w:ascii="Times New Roman" w:hAnsi="Times New Roman" w:cs="Times New Roman"/>
          <w:sz w:val="24"/>
        </w:rPr>
        <w:lastRenderedPageBreak/>
        <w:t>norakstītas.</w:t>
      </w:r>
    </w:p>
    <w:p w14:paraId="086BB1C7" w14:textId="77777777" w:rsidR="00443399" w:rsidRPr="00B03B51" w:rsidRDefault="00443399" w:rsidP="00500EA4">
      <w:pPr>
        <w:pStyle w:val="BodyText"/>
        <w:numPr>
          <w:ilvl w:val="2"/>
          <w:numId w:val="20"/>
        </w:numPr>
        <w:spacing w:before="0"/>
        <w:ind w:left="426" w:hanging="425"/>
        <w:jc w:val="both"/>
        <w:rPr>
          <w:rFonts w:ascii="Times New Roman" w:hAnsi="Times New Roman" w:cs="Times New Roman"/>
          <w:noProof/>
          <w:sz w:val="24"/>
        </w:rPr>
      </w:pPr>
      <w:r w:rsidRPr="00B03B51">
        <w:rPr>
          <w:rFonts w:ascii="Times New Roman" w:hAnsi="Times New Roman" w:cs="Times New Roman"/>
          <w:sz w:val="24"/>
        </w:rPr>
        <w:t xml:space="preserve">Otrā gada otrajā pusē VCB samaksā valdībai summu 15 miljonu </w:t>
      </w:r>
      <w:r w:rsidRPr="00B03B51">
        <w:rPr>
          <w:rFonts w:ascii="Times New Roman" w:hAnsi="Times New Roman" w:cs="Times New Roman"/>
          <w:i/>
          <w:iCs/>
          <w:sz w:val="24"/>
        </w:rPr>
        <w:t>euro</w:t>
      </w:r>
      <w:r w:rsidRPr="00B03B51">
        <w:rPr>
          <w:rFonts w:ascii="Times New Roman" w:hAnsi="Times New Roman" w:cs="Times New Roman"/>
          <w:sz w:val="24"/>
        </w:rPr>
        <w:t xml:space="preserve"> apmērā.</w:t>
      </w:r>
    </w:p>
    <w:p w14:paraId="268FC2E3" w14:textId="77777777" w:rsidR="00443399" w:rsidRPr="00B03B51" w:rsidRDefault="00443399" w:rsidP="00500EA4">
      <w:pPr>
        <w:pStyle w:val="BodyText"/>
        <w:numPr>
          <w:ilvl w:val="2"/>
          <w:numId w:val="20"/>
        </w:numPr>
        <w:spacing w:before="0"/>
        <w:ind w:left="426" w:hanging="425"/>
        <w:jc w:val="both"/>
        <w:rPr>
          <w:rFonts w:ascii="Times New Roman" w:hAnsi="Times New Roman" w:cs="Times New Roman"/>
          <w:noProof/>
          <w:sz w:val="24"/>
        </w:rPr>
      </w:pPr>
      <w:r w:rsidRPr="00B03B51">
        <w:rPr>
          <w:rFonts w:ascii="Times New Roman" w:hAnsi="Times New Roman" w:cs="Times New Roman"/>
          <w:sz w:val="24"/>
        </w:rPr>
        <w:t>Vienkāršošanas nolūkā tiek pieņemts, ka vecās banknotes apmaina pret jaunām banknotēm, nevis pret monētām vai noguldījumiem.</w:t>
      </w:r>
    </w:p>
    <w:p w14:paraId="74343CA7" w14:textId="77777777" w:rsidR="00443399" w:rsidRPr="00B03B51" w:rsidRDefault="00443399" w:rsidP="00443399">
      <w:pPr>
        <w:jc w:val="both"/>
        <w:rPr>
          <w:rFonts w:ascii="Times New Roman" w:eastAsia="Arial" w:hAnsi="Times New Roman" w:cs="Times New Roman"/>
          <w:noProof/>
          <w:sz w:val="24"/>
          <w:szCs w:val="29"/>
        </w:rPr>
      </w:pPr>
    </w:p>
    <w:p w14:paraId="1307C9BB" w14:textId="77777777" w:rsidR="00443399" w:rsidRPr="00B03B51" w:rsidRDefault="00443399" w:rsidP="00500EA4">
      <w:pPr>
        <w:jc w:val="center"/>
        <w:rPr>
          <w:rFonts w:ascii="Times New Roman" w:eastAsia="Arial" w:hAnsi="Times New Roman" w:cs="Times New Roman"/>
          <w:noProof/>
          <w:sz w:val="24"/>
          <w:szCs w:val="29"/>
        </w:rPr>
      </w:pPr>
      <w:r w:rsidRPr="00B03B51">
        <w:rPr>
          <w:rFonts w:ascii="Times New Roman" w:hAnsi="Times New Roman" w:cs="Times New Roman"/>
          <w:noProof/>
        </w:rPr>
        <w:drawing>
          <wp:inline distT="0" distB="0" distL="0" distR="0" wp14:anchorId="56D60052" wp14:editId="6AD73130">
            <wp:extent cx="5756275" cy="3684270"/>
            <wp:effectExtent l="0" t="0" r="0" b="0"/>
            <wp:docPr id="17" name="Attēls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stretch>
                      <a:fillRect/>
                    </a:stretch>
                  </pic:blipFill>
                  <pic:spPr>
                    <a:xfrm>
                      <a:off x="0" y="0"/>
                      <a:ext cx="5756275" cy="3684270"/>
                    </a:xfrm>
                    <a:prstGeom prst="rect">
                      <a:avLst/>
                    </a:prstGeom>
                  </pic:spPr>
                </pic:pic>
              </a:graphicData>
            </a:graphic>
          </wp:inline>
        </w:drawing>
      </w:r>
    </w:p>
    <w:p w14:paraId="2CD2D68A" w14:textId="77777777" w:rsidR="00443399" w:rsidRPr="00B03B51" w:rsidRDefault="00443399" w:rsidP="00443399">
      <w:pPr>
        <w:jc w:val="both"/>
        <w:rPr>
          <w:rFonts w:ascii="Times New Roman" w:eastAsia="Arial" w:hAnsi="Times New Roman" w:cs="Times New Roman"/>
          <w:noProof/>
          <w:sz w:val="24"/>
          <w:szCs w:val="29"/>
        </w:rPr>
      </w:pPr>
    </w:p>
    <w:p w14:paraId="2F7D2A2D" w14:textId="77777777" w:rsidR="00443399" w:rsidRPr="00B03B51" w:rsidRDefault="00443399" w:rsidP="00500EA4">
      <w:pPr>
        <w:jc w:val="center"/>
        <w:rPr>
          <w:rFonts w:ascii="Times New Roman" w:eastAsia="Arial" w:hAnsi="Times New Roman" w:cs="Times New Roman"/>
          <w:noProof/>
          <w:sz w:val="24"/>
          <w:szCs w:val="29"/>
        </w:rPr>
      </w:pPr>
      <w:r w:rsidRPr="00B03B51">
        <w:rPr>
          <w:rFonts w:ascii="Times New Roman" w:hAnsi="Times New Roman" w:cs="Times New Roman"/>
          <w:noProof/>
        </w:rPr>
        <w:lastRenderedPageBreak/>
        <w:drawing>
          <wp:inline distT="0" distB="0" distL="0" distR="0" wp14:anchorId="5C86F1C0" wp14:editId="3FF54192">
            <wp:extent cx="5756275" cy="5078095"/>
            <wp:effectExtent l="0" t="0" r="0" b="8255"/>
            <wp:docPr id="19" name="Attēls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stretch>
                      <a:fillRect/>
                    </a:stretch>
                  </pic:blipFill>
                  <pic:spPr>
                    <a:xfrm>
                      <a:off x="0" y="0"/>
                      <a:ext cx="5756275" cy="5078095"/>
                    </a:xfrm>
                    <a:prstGeom prst="rect">
                      <a:avLst/>
                    </a:prstGeom>
                  </pic:spPr>
                </pic:pic>
              </a:graphicData>
            </a:graphic>
          </wp:inline>
        </w:drawing>
      </w:r>
    </w:p>
    <w:p w14:paraId="6FC7C31B" w14:textId="77777777" w:rsidR="00443399" w:rsidRPr="00B03B51" w:rsidRDefault="00443399" w:rsidP="00443399">
      <w:pPr>
        <w:jc w:val="both"/>
        <w:rPr>
          <w:rFonts w:ascii="Times New Roman" w:eastAsia="Arial" w:hAnsi="Times New Roman" w:cs="Times New Roman"/>
          <w:noProof/>
          <w:sz w:val="24"/>
          <w:szCs w:val="20"/>
        </w:rPr>
      </w:pPr>
    </w:p>
    <w:p w14:paraId="5D94DCF1" w14:textId="77777777" w:rsidR="00443399" w:rsidRPr="00B03B51" w:rsidRDefault="00443399" w:rsidP="00443399">
      <w:pPr>
        <w:jc w:val="both"/>
        <w:rPr>
          <w:rFonts w:ascii="Times New Roman" w:hAnsi="Times New Roman" w:cs="Times New Roman"/>
          <w:b/>
          <w:noProof/>
          <w:sz w:val="24"/>
        </w:rPr>
      </w:pPr>
      <w:r w:rsidRPr="00B03B51">
        <w:rPr>
          <w:rFonts w:ascii="Times New Roman" w:hAnsi="Times New Roman" w:cs="Times New Roman"/>
          <w:b/>
          <w:sz w:val="24"/>
        </w:rPr>
        <w:t>2. piemērs</w:t>
      </w:r>
    </w:p>
    <w:p w14:paraId="32ECE663" w14:textId="77777777" w:rsidR="00443399" w:rsidRPr="00B03B51" w:rsidRDefault="00443399" w:rsidP="00443399">
      <w:pPr>
        <w:jc w:val="both"/>
        <w:rPr>
          <w:rFonts w:ascii="Times New Roman" w:eastAsia="Arial" w:hAnsi="Times New Roman" w:cs="Times New Roman"/>
          <w:b/>
          <w:bCs/>
          <w:noProof/>
          <w:sz w:val="24"/>
        </w:rPr>
      </w:pPr>
    </w:p>
    <w:p w14:paraId="454F3FD4" w14:textId="77777777" w:rsidR="00443399" w:rsidRPr="00B03B51" w:rsidRDefault="00443399" w:rsidP="00500EA4">
      <w:pPr>
        <w:pStyle w:val="BodyText"/>
        <w:numPr>
          <w:ilvl w:val="2"/>
          <w:numId w:val="20"/>
        </w:numPr>
        <w:spacing w:before="0"/>
        <w:ind w:left="426" w:hanging="425"/>
        <w:jc w:val="both"/>
        <w:rPr>
          <w:rFonts w:ascii="Times New Roman" w:hAnsi="Times New Roman" w:cs="Times New Roman"/>
          <w:noProof/>
          <w:sz w:val="24"/>
        </w:rPr>
      </w:pPr>
      <w:r w:rsidRPr="00B03B51">
        <w:rPr>
          <w:rFonts w:ascii="Times New Roman" w:hAnsi="Times New Roman" w:cs="Times New Roman"/>
          <w:i/>
          <w:iCs/>
          <w:sz w:val="24"/>
        </w:rPr>
        <w:t>Euro</w:t>
      </w:r>
      <w:r w:rsidRPr="00B03B51">
        <w:rPr>
          <w:rFonts w:ascii="Times New Roman" w:hAnsi="Times New Roman" w:cs="Times New Roman"/>
          <w:sz w:val="24"/>
        </w:rPr>
        <w:t xml:space="preserve"> ievieš 1. gada 1. dienā.</w:t>
      </w:r>
    </w:p>
    <w:p w14:paraId="0C507605" w14:textId="77777777" w:rsidR="00443399" w:rsidRPr="00B03B51" w:rsidRDefault="00443399" w:rsidP="00500EA4">
      <w:pPr>
        <w:pStyle w:val="BodyText"/>
        <w:numPr>
          <w:ilvl w:val="2"/>
          <w:numId w:val="20"/>
        </w:numPr>
        <w:spacing w:before="0"/>
        <w:ind w:left="426" w:hanging="425"/>
        <w:jc w:val="both"/>
        <w:rPr>
          <w:rFonts w:ascii="Times New Roman" w:hAnsi="Times New Roman" w:cs="Times New Roman"/>
          <w:noProof/>
          <w:sz w:val="24"/>
        </w:rPr>
      </w:pPr>
      <w:r w:rsidRPr="00B03B51">
        <w:rPr>
          <w:rFonts w:ascii="Times New Roman" w:hAnsi="Times New Roman" w:cs="Times New Roman"/>
          <w:sz w:val="24"/>
        </w:rPr>
        <w:t xml:space="preserve">Pēc pusgada vecās nacionālās valūtas banknotes vairs nepieņem kā likumīgu maksāšanas līdzekli. Līdz 1. gada beigām pret </w:t>
      </w:r>
      <w:r w:rsidRPr="00B03B51">
        <w:rPr>
          <w:rFonts w:ascii="Times New Roman" w:hAnsi="Times New Roman" w:cs="Times New Roman"/>
          <w:i/>
          <w:iCs/>
          <w:sz w:val="24"/>
        </w:rPr>
        <w:t>euro</w:t>
      </w:r>
      <w:r w:rsidRPr="00B03B51">
        <w:rPr>
          <w:rFonts w:ascii="Times New Roman" w:hAnsi="Times New Roman" w:cs="Times New Roman"/>
          <w:sz w:val="24"/>
        </w:rPr>
        <w:t xml:space="preserve"> vēl nav apmainītas vecās banknotes 100 miljonu </w:t>
      </w:r>
      <w:r w:rsidRPr="00B03B51">
        <w:rPr>
          <w:rFonts w:ascii="Times New Roman" w:hAnsi="Times New Roman" w:cs="Times New Roman"/>
          <w:i/>
          <w:iCs/>
          <w:sz w:val="24"/>
        </w:rPr>
        <w:t>euro</w:t>
      </w:r>
      <w:r w:rsidRPr="00B03B51">
        <w:rPr>
          <w:rFonts w:ascii="Times New Roman" w:hAnsi="Times New Roman" w:cs="Times New Roman"/>
          <w:sz w:val="24"/>
        </w:rPr>
        <w:t xml:space="preserve"> vērtībā.</w:t>
      </w:r>
    </w:p>
    <w:p w14:paraId="05CC54AB" w14:textId="77777777" w:rsidR="00443399" w:rsidRPr="00B03B51" w:rsidRDefault="00443399" w:rsidP="00500EA4">
      <w:pPr>
        <w:pStyle w:val="BodyText"/>
        <w:numPr>
          <w:ilvl w:val="2"/>
          <w:numId w:val="20"/>
        </w:numPr>
        <w:spacing w:before="0"/>
        <w:ind w:left="426" w:hanging="425"/>
        <w:jc w:val="both"/>
        <w:rPr>
          <w:rFonts w:ascii="Times New Roman" w:hAnsi="Times New Roman" w:cs="Times New Roman"/>
          <w:noProof/>
          <w:sz w:val="24"/>
        </w:rPr>
      </w:pPr>
      <w:r w:rsidRPr="00B03B51">
        <w:rPr>
          <w:rFonts w:ascii="Times New Roman" w:hAnsi="Times New Roman" w:cs="Times New Roman"/>
          <w:sz w:val="24"/>
        </w:rPr>
        <w:t xml:space="preserve">Pēc pusotra gada vecās banknotes vairs nevar apmainīt pret </w:t>
      </w:r>
      <w:r w:rsidRPr="00B03B51">
        <w:rPr>
          <w:rFonts w:ascii="Times New Roman" w:hAnsi="Times New Roman" w:cs="Times New Roman"/>
          <w:i/>
          <w:iCs/>
          <w:sz w:val="24"/>
        </w:rPr>
        <w:t>euro</w:t>
      </w:r>
      <w:r w:rsidRPr="00B03B51">
        <w:rPr>
          <w:rFonts w:ascii="Times New Roman" w:hAnsi="Times New Roman" w:cs="Times New Roman"/>
          <w:sz w:val="24"/>
        </w:rPr>
        <w:t xml:space="preserve">. Otrajā gadā no VCB bilances noraksta vecās banknotes 15 miljonu </w:t>
      </w:r>
      <w:r w:rsidRPr="00B03B51">
        <w:rPr>
          <w:rFonts w:ascii="Times New Roman" w:hAnsi="Times New Roman" w:cs="Times New Roman"/>
          <w:i/>
          <w:iCs/>
          <w:sz w:val="24"/>
        </w:rPr>
        <w:t>euro</w:t>
      </w:r>
      <w:r w:rsidRPr="00B03B51">
        <w:rPr>
          <w:rFonts w:ascii="Times New Roman" w:hAnsi="Times New Roman" w:cs="Times New Roman"/>
          <w:sz w:val="24"/>
        </w:rPr>
        <w:t xml:space="preserve"> vērtībā. Pirmā gada laikā VCB samaksā valdībai avansā summu 15 miljonu </w:t>
      </w:r>
      <w:r w:rsidRPr="00B03B51">
        <w:rPr>
          <w:rFonts w:ascii="Times New Roman" w:hAnsi="Times New Roman" w:cs="Times New Roman"/>
          <w:i/>
          <w:iCs/>
          <w:sz w:val="24"/>
        </w:rPr>
        <w:t>euro</w:t>
      </w:r>
      <w:r w:rsidRPr="00B03B51">
        <w:rPr>
          <w:rFonts w:ascii="Times New Roman" w:hAnsi="Times New Roman" w:cs="Times New Roman"/>
          <w:sz w:val="24"/>
        </w:rPr>
        <w:t xml:space="preserve"> apmērā.</w:t>
      </w:r>
    </w:p>
    <w:p w14:paraId="0AD8D61A" w14:textId="77777777" w:rsidR="00443399" w:rsidRPr="00B03B51" w:rsidRDefault="00443399" w:rsidP="00500EA4">
      <w:pPr>
        <w:pStyle w:val="BodyText"/>
        <w:numPr>
          <w:ilvl w:val="2"/>
          <w:numId w:val="20"/>
        </w:numPr>
        <w:spacing w:before="0"/>
        <w:ind w:left="426" w:hanging="425"/>
        <w:jc w:val="both"/>
        <w:rPr>
          <w:rFonts w:ascii="Times New Roman" w:hAnsi="Times New Roman" w:cs="Times New Roman"/>
          <w:noProof/>
          <w:sz w:val="24"/>
        </w:rPr>
      </w:pPr>
      <w:r w:rsidRPr="00B03B51">
        <w:rPr>
          <w:rFonts w:ascii="Times New Roman" w:hAnsi="Times New Roman" w:cs="Times New Roman"/>
          <w:sz w:val="24"/>
        </w:rPr>
        <w:t>Vienkāršošanas nolūkā tiek pieņemts, ka vecās banknotes apmaina pret jaunām banknotēm, nevis pret monētām vai noguldījumiem.</w:t>
      </w:r>
    </w:p>
    <w:p w14:paraId="3B9A5CD7" w14:textId="77777777" w:rsidR="00443399" w:rsidRPr="00B03B51" w:rsidRDefault="00443399" w:rsidP="00443399">
      <w:pPr>
        <w:jc w:val="both"/>
        <w:rPr>
          <w:rFonts w:ascii="Times New Roman" w:hAnsi="Times New Roman" w:cs="Times New Roman"/>
          <w:noProof/>
          <w:sz w:val="24"/>
        </w:rPr>
      </w:pPr>
    </w:p>
    <w:p w14:paraId="2BE88331" w14:textId="77777777" w:rsidR="00443399" w:rsidRPr="00B03B51" w:rsidRDefault="00443399" w:rsidP="00443399">
      <w:pPr>
        <w:jc w:val="center"/>
        <w:rPr>
          <w:rFonts w:ascii="Times New Roman" w:eastAsia="Arial" w:hAnsi="Times New Roman" w:cs="Times New Roman"/>
          <w:noProof/>
          <w:sz w:val="24"/>
          <w:szCs w:val="20"/>
        </w:rPr>
      </w:pPr>
      <w:r w:rsidRPr="00B03B51">
        <w:rPr>
          <w:rFonts w:ascii="Times New Roman" w:hAnsi="Times New Roman" w:cs="Times New Roman"/>
          <w:noProof/>
        </w:rPr>
        <w:lastRenderedPageBreak/>
        <w:drawing>
          <wp:inline distT="0" distB="0" distL="0" distR="0" wp14:anchorId="3EE14A51" wp14:editId="63ECDBD1">
            <wp:extent cx="5756275" cy="8320405"/>
            <wp:effectExtent l="0" t="0" r="0" b="4445"/>
            <wp:docPr id="22" name="Attēls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stretch>
                      <a:fillRect/>
                    </a:stretch>
                  </pic:blipFill>
                  <pic:spPr>
                    <a:xfrm>
                      <a:off x="0" y="0"/>
                      <a:ext cx="5756275" cy="8320405"/>
                    </a:xfrm>
                    <a:prstGeom prst="rect">
                      <a:avLst/>
                    </a:prstGeom>
                  </pic:spPr>
                </pic:pic>
              </a:graphicData>
            </a:graphic>
          </wp:inline>
        </w:drawing>
      </w:r>
    </w:p>
    <w:p w14:paraId="11FDB589" w14:textId="77777777" w:rsidR="00443399" w:rsidRPr="00B03B51" w:rsidRDefault="00443399" w:rsidP="00443399">
      <w:pPr>
        <w:jc w:val="center"/>
        <w:rPr>
          <w:rFonts w:ascii="Times New Roman" w:eastAsia="Arial" w:hAnsi="Times New Roman" w:cs="Times New Roman"/>
          <w:noProof/>
          <w:sz w:val="24"/>
          <w:szCs w:val="20"/>
        </w:rPr>
      </w:pPr>
      <w:r w:rsidRPr="00B03B51">
        <w:rPr>
          <w:rFonts w:ascii="Times New Roman" w:hAnsi="Times New Roman" w:cs="Times New Roman"/>
          <w:noProof/>
        </w:rPr>
        <w:lastRenderedPageBreak/>
        <w:drawing>
          <wp:inline distT="0" distB="0" distL="0" distR="0" wp14:anchorId="10B9CB54" wp14:editId="42BA064B">
            <wp:extent cx="5756275" cy="953770"/>
            <wp:effectExtent l="0" t="0" r="0" b="0"/>
            <wp:docPr id="108" name="Attēls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a:stretch>
                      <a:fillRect/>
                    </a:stretch>
                  </pic:blipFill>
                  <pic:spPr>
                    <a:xfrm>
                      <a:off x="0" y="0"/>
                      <a:ext cx="5756275" cy="953770"/>
                    </a:xfrm>
                    <a:prstGeom prst="rect">
                      <a:avLst/>
                    </a:prstGeom>
                  </pic:spPr>
                </pic:pic>
              </a:graphicData>
            </a:graphic>
          </wp:inline>
        </w:drawing>
      </w:r>
    </w:p>
    <w:p w14:paraId="4D2A0E3A" w14:textId="77777777" w:rsidR="00443399" w:rsidRPr="00B03B51" w:rsidRDefault="00443399" w:rsidP="00443399">
      <w:pPr>
        <w:jc w:val="both"/>
        <w:rPr>
          <w:rFonts w:ascii="Times New Roman" w:eastAsia="Arial" w:hAnsi="Times New Roman" w:cs="Times New Roman"/>
          <w:noProof/>
          <w:sz w:val="24"/>
          <w:szCs w:val="17"/>
        </w:rPr>
      </w:pPr>
    </w:p>
    <w:p w14:paraId="6170AF85" w14:textId="77777777" w:rsidR="00443399" w:rsidRPr="00B03B51" w:rsidRDefault="00443399" w:rsidP="00443399">
      <w:pPr>
        <w:jc w:val="both"/>
        <w:rPr>
          <w:rFonts w:ascii="Times New Roman" w:hAnsi="Times New Roman" w:cs="Times New Roman"/>
          <w:b/>
          <w:noProof/>
          <w:sz w:val="24"/>
        </w:rPr>
      </w:pPr>
      <w:r w:rsidRPr="00B03B51">
        <w:rPr>
          <w:rFonts w:ascii="Times New Roman" w:hAnsi="Times New Roman" w:cs="Times New Roman"/>
          <w:b/>
          <w:sz w:val="24"/>
        </w:rPr>
        <w:t>3. piemērs</w:t>
      </w:r>
    </w:p>
    <w:p w14:paraId="3B0A6319" w14:textId="77777777" w:rsidR="00443399" w:rsidRPr="00B03B51" w:rsidRDefault="00443399" w:rsidP="00443399">
      <w:pPr>
        <w:jc w:val="both"/>
        <w:rPr>
          <w:rFonts w:ascii="Times New Roman" w:eastAsia="Arial" w:hAnsi="Times New Roman" w:cs="Times New Roman"/>
          <w:b/>
          <w:bCs/>
          <w:noProof/>
          <w:sz w:val="24"/>
        </w:rPr>
      </w:pPr>
    </w:p>
    <w:p w14:paraId="1888917F" w14:textId="77777777" w:rsidR="00443399" w:rsidRPr="00B03B51" w:rsidRDefault="00443399" w:rsidP="00500EA4">
      <w:pPr>
        <w:pStyle w:val="BodyText"/>
        <w:numPr>
          <w:ilvl w:val="2"/>
          <w:numId w:val="20"/>
        </w:numPr>
        <w:spacing w:before="0"/>
        <w:ind w:left="426" w:hanging="425"/>
        <w:jc w:val="both"/>
        <w:rPr>
          <w:rFonts w:ascii="Times New Roman" w:hAnsi="Times New Roman" w:cs="Times New Roman"/>
          <w:noProof/>
          <w:sz w:val="24"/>
        </w:rPr>
      </w:pPr>
      <w:r w:rsidRPr="00B03B51">
        <w:rPr>
          <w:rFonts w:ascii="Times New Roman" w:hAnsi="Times New Roman" w:cs="Times New Roman"/>
          <w:i/>
          <w:iCs/>
          <w:sz w:val="24"/>
        </w:rPr>
        <w:t>Euro</w:t>
      </w:r>
      <w:r w:rsidRPr="00B03B51">
        <w:rPr>
          <w:rFonts w:ascii="Times New Roman" w:hAnsi="Times New Roman" w:cs="Times New Roman"/>
          <w:sz w:val="24"/>
        </w:rPr>
        <w:t xml:space="preserve"> ievieš 1. gada 1. dienā. Monētas ir valdības saistības.</w:t>
      </w:r>
    </w:p>
    <w:p w14:paraId="4A427FB1" w14:textId="77777777" w:rsidR="00443399" w:rsidRPr="00B03B51" w:rsidRDefault="00443399" w:rsidP="00500EA4">
      <w:pPr>
        <w:pStyle w:val="BodyText"/>
        <w:numPr>
          <w:ilvl w:val="2"/>
          <w:numId w:val="20"/>
        </w:numPr>
        <w:spacing w:before="0"/>
        <w:ind w:left="426" w:hanging="425"/>
        <w:jc w:val="both"/>
        <w:rPr>
          <w:rFonts w:ascii="Times New Roman" w:hAnsi="Times New Roman" w:cs="Times New Roman"/>
          <w:noProof/>
          <w:sz w:val="24"/>
        </w:rPr>
      </w:pPr>
      <w:r w:rsidRPr="00B03B51">
        <w:rPr>
          <w:rFonts w:ascii="Times New Roman" w:hAnsi="Times New Roman" w:cs="Times New Roman"/>
          <w:sz w:val="24"/>
        </w:rPr>
        <w:t xml:space="preserve">Pēc pusgada vecās valsts valūtas monētas vairs nepieņem kā likumīgu maksāšanas līdzekli. Līdz 1. gada beigām pret </w:t>
      </w:r>
      <w:r w:rsidRPr="00B03B51">
        <w:rPr>
          <w:rFonts w:ascii="Times New Roman" w:hAnsi="Times New Roman" w:cs="Times New Roman"/>
          <w:i/>
          <w:iCs/>
          <w:sz w:val="24"/>
        </w:rPr>
        <w:t>euro</w:t>
      </w:r>
      <w:r w:rsidRPr="00B03B51">
        <w:rPr>
          <w:rFonts w:ascii="Times New Roman" w:hAnsi="Times New Roman" w:cs="Times New Roman"/>
          <w:sz w:val="24"/>
        </w:rPr>
        <w:t xml:space="preserve"> vēl nav apmainītas vecās monētas 100 miljonu </w:t>
      </w:r>
      <w:r w:rsidRPr="00B03B51">
        <w:rPr>
          <w:rFonts w:ascii="Times New Roman" w:hAnsi="Times New Roman" w:cs="Times New Roman"/>
          <w:i/>
          <w:iCs/>
          <w:sz w:val="24"/>
        </w:rPr>
        <w:t>euro</w:t>
      </w:r>
      <w:r w:rsidRPr="00B03B51">
        <w:rPr>
          <w:rFonts w:ascii="Times New Roman" w:hAnsi="Times New Roman" w:cs="Times New Roman"/>
          <w:sz w:val="24"/>
        </w:rPr>
        <w:t xml:space="preserve"> vērtībā.</w:t>
      </w:r>
    </w:p>
    <w:p w14:paraId="742978DF" w14:textId="77777777" w:rsidR="00443399" w:rsidRPr="00B03B51" w:rsidRDefault="00443399" w:rsidP="00500EA4">
      <w:pPr>
        <w:pStyle w:val="BodyText"/>
        <w:numPr>
          <w:ilvl w:val="2"/>
          <w:numId w:val="20"/>
        </w:numPr>
        <w:spacing w:before="0"/>
        <w:ind w:left="426" w:hanging="425"/>
        <w:jc w:val="both"/>
        <w:rPr>
          <w:rFonts w:ascii="Times New Roman" w:hAnsi="Times New Roman" w:cs="Times New Roman"/>
          <w:noProof/>
          <w:sz w:val="24"/>
        </w:rPr>
      </w:pPr>
      <w:r w:rsidRPr="00B03B51">
        <w:rPr>
          <w:rFonts w:ascii="Times New Roman" w:hAnsi="Times New Roman" w:cs="Times New Roman"/>
          <w:sz w:val="24"/>
        </w:rPr>
        <w:t xml:space="preserve">Pēc pusotra gada vecās monētas vairs nevar apmainīt pret </w:t>
      </w:r>
      <w:r w:rsidRPr="00B03B51">
        <w:rPr>
          <w:rFonts w:ascii="Times New Roman" w:hAnsi="Times New Roman" w:cs="Times New Roman"/>
          <w:i/>
          <w:iCs/>
          <w:sz w:val="24"/>
        </w:rPr>
        <w:t>euro</w:t>
      </w:r>
      <w:r w:rsidRPr="00B03B51">
        <w:rPr>
          <w:rFonts w:ascii="Times New Roman" w:hAnsi="Times New Roman" w:cs="Times New Roman"/>
          <w:sz w:val="24"/>
        </w:rPr>
        <w:t xml:space="preserve">. Līdz konkrētajam datumam pret </w:t>
      </w:r>
      <w:r w:rsidRPr="00B03B51">
        <w:rPr>
          <w:rFonts w:ascii="Times New Roman" w:hAnsi="Times New Roman" w:cs="Times New Roman"/>
          <w:i/>
          <w:iCs/>
          <w:sz w:val="24"/>
        </w:rPr>
        <w:t>euro</w:t>
      </w:r>
      <w:r w:rsidRPr="00B03B51">
        <w:rPr>
          <w:rFonts w:ascii="Times New Roman" w:hAnsi="Times New Roman" w:cs="Times New Roman"/>
          <w:sz w:val="24"/>
        </w:rPr>
        <w:t xml:space="preserve"> nav apmainītas vecās monētas 15 miljonu </w:t>
      </w:r>
      <w:r w:rsidRPr="00B03B51">
        <w:rPr>
          <w:rFonts w:ascii="Times New Roman" w:hAnsi="Times New Roman" w:cs="Times New Roman"/>
          <w:i/>
          <w:iCs/>
          <w:sz w:val="24"/>
        </w:rPr>
        <w:t>euro</w:t>
      </w:r>
      <w:r w:rsidRPr="00B03B51">
        <w:rPr>
          <w:rFonts w:ascii="Times New Roman" w:hAnsi="Times New Roman" w:cs="Times New Roman"/>
          <w:sz w:val="24"/>
        </w:rPr>
        <w:t xml:space="preserve"> vērtībā. No 85 miljoniem veco monētu, kas tika apmainītas bankās, 40 miljoni tika apmainīti pret jaunajām </w:t>
      </w:r>
      <w:r w:rsidRPr="00B03B51">
        <w:rPr>
          <w:rFonts w:ascii="Times New Roman" w:hAnsi="Times New Roman" w:cs="Times New Roman"/>
          <w:i/>
          <w:iCs/>
          <w:sz w:val="24"/>
        </w:rPr>
        <w:t>euro</w:t>
      </w:r>
      <w:r w:rsidRPr="00B03B51">
        <w:rPr>
          <w:rFonts w:ascii="Times New Roman" w:hAnsi="Times New Roman" w:cs="Times New Roman"/>
          <w:sz w:val="24"/>
        </w:rPr>
        <w:t xml:space="preserve"> monētām. Bankas kontos tika noguldītas vecās monētas 45 miljonu </w:t>
      </w:r>
      <w:r w:rsidRPr="00B03B51">
        <w:rPr>
          <w:rFonts w:ascii="Times New Roman" w:hAnsi="Times New Roman" w:cs="Times New Roman"/>
          <w:i/>
          <w:iCs/>
          <w:sz w:val="24"/>
        </w:rPr>
        <w:t>euro</w:t>
      </w:r>
      <w:r w:rsidRPr="00B03B51">
        <w:rPr>
          <w:rFonts w:ascii="Times New Roman" w:hAnsi="Times New Roman" w:cs="Times New Roman"/>
          <w:sz w:val="24"/>
        </w:rPr>
        <w:t xml:space="preserve"> apmērā.</w:t>
      </w:r>
    </w:p>
    <w:p w14:paraId="760EFF77" w14:textId="77777777" w:rsidR="00443399" w:rsidRPr="00B03B51" w:rsidRDefault="00443399" w:rsidP="00443399">
      <w:pPr>
        <w:pStyle w:val="BodyText"/>
        <w:spacing w:before="0"/>
        <w:ind w:left="0" w:firstLine="0"/>
        <w:jc w:val="both"/>
        <w:rPr>
          <w:rFonts w:ascii="Times New Roman" w:hAnsi="Times New Roman" w:cs="Times New Roman"/>
          <w:noProof/>
          <w:sz w:val="24"/>
        </w:rPr>
      </w:pPr>
    </w:p>
    <w:p w14:paraId="386B6D32" w14:textId="77777777" w:rsidR="00443399" w:rsidRPr="00B03B51" w:rsidRDefault="00443399" w:rsidP="00443399">
      <w:pPr>
        <w:pStyle w:val="BodyText"/>
        <w:spacing w:before="0"/>
        <w:ind w:left="0" w:firstLine="0"/>
        <w:jc w:val="center"/>
        <w:rPr>
          <w:rFonts w:ascii="Times New Roman" w:hAnsi="Times New Roman" w:cs="Times New Roman"/>
          <w:noProof/>
          <w:sz w:val="24"/>
        </w:rPr>
      </w:pPr>
      <w:r w:rsidRPr="00B03B51">
        <w:rPr>
          <w:rFonts w:ascii="Times New Roman" w:hAnsi="Times New Roman" w:cs="Times New Roman"/>
          <w:noProof/>
        </w:rPr>
        <w:drawing>
          <wp:inline distT="0" distB="0" distL="0" distR="0" wp14:anchorId="75904E99" wp14:editId="3C243E3D">
            <wp:extent cx="5756275" cy="4283710"/>
            <wp:effectExtent l="0" t="0" r="0" b="2540"/>
            <wp:docPr id="109" name="Attēls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a:stretch>
                      <a:fillRect/>
                    </a:stretch>
                  </pic:blipFill>
                  <pic:spPr>
                    <a:xfrm>
                      <a:off x="0" y="0"/>
                      <a:ext cx="5756275" cy="4283710"/>
                    </a:xfrm>
                    <a:prstGeom prst="rect">
                      <a:avLst/>
                    </a:prstGeom>
                  </pic:spPr>
                </pic:pic>
              </a:graphicData>
            </a:graphic>
          </wp:inline>
        </w:drawing>
      </w:r>
    </w:p>
    <w:p w14:paraId="0C48DF79" w14:textId="77777777" w:rsidR="00443399" w:rsidRPr="00B03B51" w:rsidRDefault="00443399" w:rsidP="00443399">
      <w:pPr>
        <w:pStyle w:val="BodyText"/>
        <w:spacing w:before="0"/>
        <w:ind w:left="0" w:firstLine="0"/>
        <w:jc w:val="both"/>
        <w:rPr>
          <w:rFonts w:ascii="Times New Roman" w:hAnsi="Times New Roman" w:cs="Times New Roman"/>
          <w:noProof/>
          <w:sz w:val="24"/>
        </w:rPr>
      </w:pPr>
    </w:p>
    <w:p w14:paraId="62B1E34C" w14:textId="77777777" w:rsidR="00443399" w:rsidRPr="00B03B51" w:rsidRDefault="00443399" w:rsidP="00443399">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t>Jāņem vērā, ka 1. gada beigās valdības parāds ir samazinājies par 100 veco nacionālās valūtas monētu pārklasificēšanas dēļ.</w:t>
      </w:r>
    </w:p>
    <w:p w14:paraId="5D69B93E" w14:textId="77777777" w:rsidR="00443399" w:rsidRPr="00B03B51" w:rsidRDefault="00443399" w:rsidP="00443399">
      <w:pPr>
        <w:jc w:val="both"/>
        <w:rPr>
          <w:rFonts w:ascii="Times New Roman" w:hAnsi="Times New Roman" w:cs="Times New Roman"/>
          <w:noProof/>
          <w:sz w:val="24"/>
        </w:rPr>
      </w:pPr>
    </w:p>
    <w:p w14:paraId="3BF4692C" w14:textId="77777777" w:rsidR="00443399" w:rsidRPr="00B03B51" w:rsidRDefault="00443399" w:rsidP="00443399">
      <w:pPr>
        <w:pStyle w:val="BodyText"/>
        <w:spacing w:before="0"/>
        <w:ind w:left="0" w:firstLine="0"/>
        <w:jc w:val="center"/>
        <w:rPr>
          <w:rFonts w:ascii="Times New Roman" w:hAnsi="Times New Roman" w:cs="Times New Roman"/>
          <w:noProof/>
          <w:sz w:val="24"/>
        </w:rPr>
      </w:pPr>
      <w:r w:rsidRPr="00B03B51">
        <w:rPr>
          <w:rFonts w:ascii="Times New Roman" w:hAnsi="Times New Roman" w:cs="Times New Roman"/>
          <w:noProof/>
        </w:rPr>
        <w:lastRenderedPageBreak/>
        <w:drawing>
          <wp:inline distT="0" distB="0" distL="0" distR="0" wp14:anchorId="55749156" wp14:editId="73F86EA6">
            <wp:extent cx="5756275" cy="5114925"/>
            <wp:effectExtent l="0" t="0" r="0" b="9525"/>
            <wp:docPr id="110" name="Attēls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a:stretch>
                      <a:fillRect/>
                    </a:stretch>
                  </pic:blipFill>
                  <pic:spPr>
                    <a:xfrm>
                      <a:off x="0" y="0"/>
                      <a:ext cx="5756275" cy="5114925"/>
                    </a:xfrm>
                    <a:prstGeom prst="rect">
                      <a:avLst/>
                    </a:prstGeom>
                  </pic:spPr>
                </pic:pic>
              </a:graphicData>
            </a:graphic>
          </wp:inline>
        </w:drawing>
      </w:r>
    </w:p>
    <w:p w14:paraId="2A739B2C" w14:textId="77777777" w:rsidR="00443399" w:rsidRPr="00B03B51" w:rsidRDefault="00443399" w:rsidP="00443399">
      <w:pPr>
        <w:pStyle w:val="BodyText"/>
        <w:spacing w:before="0"/>
        <w:ind w:left="0" w:firstLine="0"/>
        <w:jc w:val="both"/>
        <w:rPr>
          <w:rFonts w:ascii="Times New Roman" w:hAnsi="Times New Roman" w:cs="Times New Roman"/>
          <w:noProof/>
          <w:sz w:val="24"/>
        </w:rPr>
      </w:pPr>
    </w:p>
    <w:p w14:paraId="3014A6D3" w14:textId="77777777" w:rsidR="00443399" w:rsidRPr="00B03B51" w:rsidRDefault="00443399" w:rsidP="00443399">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t>Galīgā ietekme uz valdības parādu līdz 2. gada beigām naudas nomaiņas dēļ ir mazāka nekā ietekme pēc 1. gada, jo liels daudzums veco monētu ir apmainīts pret jauno likumīgo maksāšanas līdzekli.</w:t>
      </w:r>
    </w:p>
    <w:p w14:paraId="2350BD34" w14:textId="77777777" w:rsidR="00443399" w:rsidRPr="00B03B51" w:rsidRDefault="00443399" w:rsidP="00443399">
      <w:pPr>
        <w:rPr>
          <w:rFonts w:ascii="Times New Roman" w:hAnsi="Times New Roman" w:cs="Times New Roman"/>
          <w:noProof/>
          <w:sz w:val="24"/>
        </w:rPr>
      </w:pPr>
      <w:r w:rsidRPr="00B03B51">
        <w:rPr>
          <w:rFonts w:ascii="Times New Roman" w:hAnsi="Times New Roman" w:cs="Times New Roman"/>
        </w:rPr>
        <w:br w:type="page"/>
      </w:r>
    </w:p>
    <w:p w14:paraId="6B77317B" w14:textId="77777777" w:rsidR="00443399" w:rsidRPr="00B03B51" w:rsidRDefault="00443399" w:rsidP="00443399">
      <w:pPr>
        <w:jc w:val="both"/>
        <w:rPr>
          <w:rFonts w:ascii="Times New Roman" w:eastAsia="Arial" w:hAnsi="Times New Roman" w:cs="Times New Roman"/>
          <w:noProof/>
          <w:sz w:val="24"/>
          <w:szCs w:val="29"/>
        </w:rPr>
      </w:pPr>
    </w:p>
    <w:p w14:paraId="56B2215C" w14:textId="77777777" w:rsidR="00443399" w:rsidRPr="00B03B51" w:rsidRDefault="00443399" w:rsidP="00443399">
      <w:pPr>
        <w:pStyle w:val="Heading2"/>
        <w:tabs>
          <w:tab w:val="left" w:pos="1135"/>
        </w:tabs>
        <w:spacing w:before="0"/>
        <w:ind w:left="0" w:firstLine="0"/>
        <w:jc w:val="both"/>
        <w:rPr>
          <w:rFonts w:ascii="Times New Roman" w:hAnsi="Times New Roman" w:cs="Times New Roman"/>
          <w:noProof/>
          <w:sz w:val="28"/>
          <w:szCs w:val="44"/>
        </w:rPr>
      </w:pPr>
      <w:bookmarkStart w:id="352" w:name="4.5_Financial_defeasance"/>
      <w:bookmarkStart w:id="353" w:name="_bookmark35"/>
      <w:bookmarkStart w:id="354" w:name="_Toc67565132"/>
      <w:bookmarkEnd w:id="352"/>
      <w:bookmarkEnd w:id="353"/>
      <w:r w:rsidRPr="00B03B51">
        <w:rPr>
          <w:rFonts w:ascii="Times New Roman" w:hAnsi="Times New Roman" w:cs="Times New Roman"/>
          <w:sz w:val="28"/>
          <w:szCs w:val="44"/>
        </w:rPr>
        <w:t>4.5. Finanšu sanācija</w:t>
      </w:r>
      <w:bookmarkEnd w:id="354"/>
    </w:p>
    <w:p w14:paraId="0AB6B2FF" w14:textId="77777777" w:rsidR="00443399" w:rsidRPr="00100B51" w:rsidRDefault="00443399" w:rsidP="00100B51">
      <w:pPr>
        <w:rPr>
          <w:rFonts w:ascii="Times New Roman" w:hAnsi="Times New Roman" w:cs="Times New Roman"/>
          <w:noProof/>
          <w:sz w:val="24"/>
          <w:szCs w:val="24"/>
        </w:rPr>
      </w:pPr>
      <w:bookmarkStart w:id="355" w:name="4.5.1_Background"/>
      <w:bookmarkEnd w:id="355"/>
    </w:p>
    <w:p w14:paraId="1DFD9BAF" w14:textId="77777777" w:rsidR="00443399" w:rsidRPr="00B03B51" w:rsidRDefault="00443399" w:rsidP="00443399">
      <w:pPr>
        <w:pStyle w:val="Heading3"/>
        <w:tabs>
          <w:tab w:val="left" w:pos="1267"/>
        </w:tabs>
        <w:ind w:left="0" w:firstLine="0"/>
        <w:jc w:val="both"/>
        <w:rPr>
          <w:rFonts w:ascii="Times New Roman" w:hAnsi="Times New Roman" w:cs="Times New Roman"/>
          <w:noProof/>
          <w:sz w:val="24"/>
        </w:rPr>
      </w:pPr>
      <w:bookmarkStart w:id="356" w:name="_Toc67565133"/>
      <w:r w:rsidRPr="00B03B51">
        <w:rPr>
          <w:rFonts w:ascii="Times New Roman" w:hAnsi="Times New Roman" w:cs="Times New Roman"/>
          <w:sz w:val="24"/>
        </w:rPr>
        <w:t>4.5.1. Vispārīga informācija</w:t>
      </w:r>
      <w:bookmarkEnd w:id="356"/>
    </w:p>
    <w:p w14:paraId="254A4126"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2CB2079A"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 Šis jautājums ir apspriests EKS 2010 20.46. punktā (sanācijas vienību klasifikācija) un EKS 2010 20.243.–20.248. punktā (noteiktu valdības intervences pasākumu, jo īpaši finanšu iestāžu “glābšanas”, ietekme uz valdības kontiem).</w:t>
      </w:r>
    </w:p>
    <w:p w14:paraId="44DA6CA5"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0A86DDA5"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2. Atbilstīgi Eiropas pieredzei 20. gadsimta 90. gados un kopš 2008. gada finanšu sanācija ir atzīta kā to finanšu iestāžu problemātisko (slikto) aktīvu pārvaldība, kuriem ir ievērojami nelabvēlīga ietekme uz tās rentabilitāti un bieži vien arī uz tās maksātspēju. Šajā saistībā valdības iesaistīšanās parasti ir galvenā finanšu sanācijas pazīme.</w:t>
      </w:r>
    </w:p>
    <w:p w14:paraId="72F1C566" w14:textId="77777777" w:rsidR="00443399" w:rsidRPr="00B03B51" w:rsidRDefault="00443399" w:rsidP="00443399">
      <w:pPr>
        <w:pStyle w:val="BodyText"/>
        <w:spacing w:before="0"/>
        <w:ind w:left="0" w:firstLine="0"/>
        <w:jc w:val="both"/>
        <w:rPr>
          <w:rFonts w:ascii="Times New Roman" w:hAnsi="Times New Roman" w:cs="Times New Roman"/>
          <w:noProof/>
          <w:sz w:val="24"/>
        </w:rPr>
      </w:pPr>
    </w:p>
    <w:p w14:paraId="402EDEAE" w14:textId="77777777" w:rsidR="00443399" w:rsidRPr="00B03B51" w:rsidRDefault="00443399" w:rsidP="00443399">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t>Ar valsts politiku saistītu iemeslu dēļ valdība uzņemas galvenos riskus, kas saistīti ar aktīviem, un/vai nodrošina šādu aktīvu ilgtermiņa pārvaldību. Publisku vienību gadījumā valdība pārņem subjektu savā īpašumā (nacionalizācija) un īsteno tiešus intervences pasākumus (kapitāla iepludināšana zaudējumu segšanai, aizdevumi u. c.) vai netiešus intervences pasākumus, piešķirot garantijas un dažkārt izmantojot valdībai tieši vai netieši (ar noteiktu publisku finanšu sabiedrību starpniecību) piederošu publisku subjektu starpniecību.</w:t>
      </w:r>
    </w:p>
    <w:p w14:paraId="6121802B" w14:textId="77777777" w:rsidR="00443399" w:rsidRPr="00B03B51" w:rsidRDefault="00443399" w:rsidP="00443399">
      <w:pPr>
        <w:pStyle w:val="BodyText"/>
        <w:spacing w:before="0"/>
        <w:ind w:left="0" w:firstLine="0"/>
        <w:jc w:val="both"/>
        <w:rPr>
          <w:rFonts w:ascii="Times New Roman" w:hAnsi="Times New Roman" w:cs="Times New Roman"/>
          <w:noProof/>
          <w:sz w:val="24"/>
        </w:rPr>
      </w:pPr>
    </w:p>
    <w:p w14:paraId="5D3ECBFC" w14:textId="77777777" w:rsidR="00443399" w:rsidRPr="00B03B51" w:rsidRDefault="00443399" w:rsidP="00443399">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t>Šajā rokasgrāmatā un nacionālajos kontos šāda iesaistīšanās tiks noteikta kā finanšu iestāžu glābšanas process, kuram ir šādas trīs galvenās pazīmes:</w:t>
      </w:r>
    </w:p>
    <w:p w14:paraId="4D245EA2" w14:textId="77777777" w:rsidR="00443399" w:rsidRPr="00B03B51" w:rsidRDefault="00443399" w:rsidP="00443399">
      <w:pPr>
        <w:pStyle w:val="BodyText"/>
        <w:spacing w:before="0"/>
        <w:ind w:left="0" w:firstLine="0"/>
        <w:jc w:val="both"/>
        <w:rPr>
          <w:rFonts w:ascii="Times New Roman" w:hAnsi="Times New Roman" w:cs="Times New Roman"/>
          <w:noProof/>
          <w:sz w:val="24"/>
        </w:rPr>
      </w:pPr>
    </w:p>
    <w:p w14:paraId="074F4FC3" w14:textId="77777777" w:rsidR="00443399" w:rsidRPr="00B03B51" w:rsidRDefault="00443399" w:rsidP="00500EA4">
      <w:pPr>
        <w:pStyle w:val="BodyText"/>
        <w:numPr>
          <w:ilvl w:val="1"/>
          <w:numId w:val="65"/>
        </w:numPr>
        <w:spacing w:before="0"/>
        <w:ind w:left="426" w:hanging="425"/>
        <w:jc w:val="both"/>
        <w:rPr>
          <w:rFonts w:ascii="Times New Roman" w:hAnsi="Times New Roman" w:cs="Times New Roman"/>
          <w:noProof/>
          <w:sz w:val="24"/>
        </w:rPr>
      </w:pPr>
      <w:r w:rsidRPr="00B03B51">
        <w:rPr>
          <w:rFonts w:ascii="Times New Roman" w:hAnsi="Times New Roman" w:cs="Times New Roman"/>
          <w:sz w:val="24"/>
        </w:rPr>
        <w:t>finanšu iestāde ir nonākusi finanšu grūtībās, jo ir saistīta ar ievērojamiem problemātiskajiem (“sliktajiem” vai “ienākumus nenesošiem”) aktīviem;</w:t>
      </w:r>
    </w:p>
    <w:p w14:paraId="08B39654" w14:textId="77777777" w:rsidR="00443399" w:rsidRPr="00B03B51" w:rsidRDefault="00443399" w:rsidP="00500EA4">
      <w:pPr>
        <w:pStyle w:val="BodyText"/>
        <w:numPr>
          <w:ilvl w:val="1"/>
          <w:numId w:val="65"/>
        </w:numPr>
        <w:spacing w:before="0"/>
        <w:ind w:left="426" w:hanging="425"/>
        <w:jc w:val="both"/>
        <w:rPr>
          <w:rFonts w:ascii="Times New Roman" w:hAnsi="Times New Roman" w:cs="Times New Roman"/>
          <w:noProof/>
          <w:sz w:val="24"/>
        </w:rPr>
      </w:pPr>
      <w:r w:rsidRPr="00B03B51">
        <w:rPr>
          <w:rFonts w:ascii="Times New Roman" w:hAnsi="Times New Roman" w:cs="Times New Roman"/>
          <w:sz w:val="24"/>
        </w:rPr>
        <w:t>lielākajā daļā gadījumu (taču ne vienmēr) glābšanas process paredz tāda subjekta izveidi, kura uzdevums ir pārvaldīt problemātiskos aktīvus (sanācijas struktūra) un kuru mēdz dēvēt arī par “slikto banku”, savukārt “normālā” komercdarbība, kura tiek uzskatīta par rentablu, tiek uzticēta pašai finanšu iestādei;</w:t>
      </w:r>
    </w:p>
    <w:p w14:paraId="6C9AC79D" w14:textId="77777777" w:rsidR="00443399" w:rsidRPr="00B03B51" w:rsidRDefault="00443399" w:rsidP="00500EA4">
      <w:pPr>
        <w:pStyle w:val="BodyText"/>
        <w:numPr>
          <w:ilvl w:val="1"/>
          <w:numId w:val="65"/>
        </w:numPr>
        <w:spacing w:before="0"/>
        <w:ind w:left="426" w:hanging="425"/>
        <w:jc w:val="both"/>
        <w:rPr>
          <w:rFonts w:ascii="Times New Roman" w:hAnsi="Times New Roman" w:cs="Times New Roman"/>
          <w:noProof/>
          <w:sz w:val="24"/>
        </w:rPr>
      </w:pPr>
      <w:r w:rsidRPr="00B03B51">
        <w:rPr>
          <w:rFonts w:ascii="Times New Roman" w:hAnsi="Times New Roman" w:cs="Times New Roman"/>
          <w:sz w:val="24"/>
        </w:rPr>
        <w:t>valdība ir tieši vai netieši iesaistīta glābšanas procesā dažādos veidos, piemēram, kapitāla iepludināšanā ar mērķi segt turpmākos zaudējumus, ko rada problemātiskie aktīvi (norakstīšana, realizētie zaudējumi), finansējuma piešķiršana saskaņā ar īpašiem nosacījumiem, garantiju piešķiršana vai nacionalizācija, un šādu iesaistīšanos var uzskatīt par kontroles vai riska uzņemšanos (faktiski uzņemoties lielāko daļu galīgā riska, kas piemīt sliktas kvalitātes aktīviem, lai arī tai var tikt piešķirtas tiesības uz iespējamo atlīdzību).</w:t>
      </w:r>
    </w:p>
    <w:p w14:paraId="08E8CD98"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662407EC"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3. Svarīgi atzīmēt, ka dažos gadījumos var būt apdraudēta (privātas un/vai publiskas) bankas likviditāte un valdībai un/vai centrālajai bankai var būt jāiesaistās, parasti sniedzot nodrošinājumu/likviditāti īpašās shēmās. Šāda veida glābšanas operācija netiks dēvēta par “sanāciju”, jo finanšu iestāde netiek atbrīvota no tās problemātisko aktīvu negatīvās ietekmes. Tomēr šiem gadījumiem var būt kopīgas iezīmes, un attiecībā uz to ierakstīšanu var sniegt līdzīgus ieteikumus (piemēram, atzīstot valdības īpašo nozīmi sanācijas procesā un jo īpaši attiecībā uz uzņemtajiem riskiem, skat. 4.5.2.6. apakšiedaļu).</w:t>
      </w:r>
    </w:p>
    <w:p w14:paraId="0F50E26C"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2D0AFC1D"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 xml:space="preserve">4. Būtisks aspekts ir problemātisko aktīvu pastāvēšana, un problemātiskie aktīvi ir precīzi jānosaka. Saskaņā ar vispārēju definīciju problemātiskie aktīvi ir tie ieņēmumus nenesošie aktīvi (finanšu aktīvi un mazākā mērā arī nefinanšu aktīvi), kas nelabvēlīgi ietekmē tā finanšu starpnieka ienesīgumu, kurš tur šos aktīvus, un kuru apjoms ir pietiekami liels, lai apdraudētu </w:t>
      </w:r>
      <w:r w:rsidRPr="00B03B51">
        <w:rPr>
          <w:rFonts w:ascii="Times New Roman" w:hAnsi="Times New Roman" w:cs="Times New Roman"/>
          <w:sz w:val="24"/>
        </w:rPr>
        <w:lastRenderedPageBreak/>
        <w:t>vienības maksātspēju. Tie ir aktīvi, no kuriem “parasts” finanšu starpnieks parasti būtu jāatbrīvo. Šādus aktīvus var nodot tirgus darījumos, tomēr šādā gadījumā vienībai rastos tūlītēji un bieži vien ievērojami zaudējumi, kurus nebūtu iespējams dzēst, izmantojot pašas vienības absorbcijas mehānismu. Kā norādīts turpmāk, par problemātiskiem aktīviem uzskata samazinātas vērtības aktīvus un nelikvīdus aktīvus.</w:t>
      </w:r>
    </w:p>
    <w:p w14:paraId="1976A4D4"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779E06A5"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 xml:space="preserve">5. Uzņēmuma bilancē novērtēts, ka samazinātas vērtības aktīvi pārsniegs to ilgtermiņa tirgus vērtību vai patieso vērtību, un tāpēc prognozēts, ka turpmāk tiks ciesti zaudējumi. Šādu samazinātas vērtības aktīvu vērtība var jau būt samazināta (vai daļēji norakstīta) proporcionāli neparasti augstā līmenī salīdzinājumā ar ierasto praksi (kas novērota līdzīgu tirgū esošu konkurentu vidū), un tas nozīmē, ka tie pēc būtības atšķiras no tirgū pastāvošajiem standartiem, un problemātiskos aktīvus nenosaka ierakstīto vai paredzamo vērtības samazinājumu minimālā daļa). Taču parasti tiek paredzēti arī turpmāki zaudējumi, un finanšu iestāde nespēs segt šos zaudējumus, izmantojot savu zaudējumu absorbēšanas mehānismu. Tirgus aktīvu gadījumā vienība nevar tos realizēt īsā laika posmā, neciešot zaudējumus, tāpēc tā ir </w:t>
      </w:r>
      <w:r w:rsidRPr="00B03B51">
        <w:rPr>
          <w:rFonts w:ascii="Times New Roman" w:hAnsi="Times New Roman" w:cs="Times New Roman"/>
          <w:i/>
          <w:iCs/>
          <w:sz w:val="24"/>
        </w:rPr>
        <w:t>de facto</w:t>
      </w:r>
      <w:r w:rsidRPr="00B03B51">
        <w:rPr>
          <w:rFonts w:ascii="Times New Roman" w:hAnsi="Times New Roman" w:cs="Times New Roman"/>
          <w:sz w:val="24"/>
        </w:rPr>
        <w:t xml:space="preserve"> spiesta tos paturēt un piespiedu kārtā tiek pakļauta tirgus riskam.</w:t>
      </w:r>
    </w:p>
    <w:p w14:paraId="0471D989"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1EB31E56"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6. Dažos gadījumos problemātiskie aktīvi var būt nelikvīdie aktīvi. Šajā rokasgrāmatā tiek pieņemts, ka tie ir tirgojami aktīvi, kuriem nav iespējams noteikt pienācīgu cenu un realizēt īsā laika posmā, jo nav tirgus, kas darbotos normālos apstākļos. Līdz ar to pastāv liela neskaidrība par turpmāko tirgus vērtību un vienīgais veids, kā aktīvu turētājs var cīnīties pret risku, kas to apdraud, ir nodot aktīvus sanācijas struktūrai. Tāpēc, lai nodrošinātu konsekventu traktējumu visās valstīs, šādu veidu aktīvi ir iekļauti šajā nodaļā izmantotajā problemātisko aktīvu definīcijā.</w:t>
      </w:r>
    </w:p>
    <w:p w14:paraId="589F7A3E"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792194C8"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7. Šajā saistībā vispārējā valdība var izmantot dažādu veidu tiešas intervences pasākumus:</w:t>
      </w:r>
    </w:p>
    <w:p w14:paraId="1855AAF4"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298C1481" w14:textId="77777777" w:rsidR="00443399" w:rsidRPr="00B03B51" w:rsidRDefault="00443399" w:rsidP="00500EA4">
      <w:pPr>
        <w:pStyle w:val="BodyText"/>
        <w:numPr>
          <w:ilvl w:val="1"/>
          <w:numId w:val="65"/>
        </w:numPr>
        <w:spacing w:before="0"/>
        <w:ind w:left="426" w:hanging="425"/>
        <w:jc w:val="both"/>
        <w:rPr>
          <w:rFonts w:ascii="Times New Roman" w:hAnsi="Times New Roman" w:cs="Times New Roman"/>
          <w:noProof/>
          <w:sz w:val="24"/>
        </w:rPr>
      </w:pPr>
      <w:r w:rsidRPr="00B03B51">
        <w:rPr>
          <w:rFonts w:ascii="Times New Roman" w:hAnsi="Times New Roman" w:cs="Times New Roman"/>
          <w:sz w:val="24"/>
        </w:rPr>
        <w:t>valdība sniedz grūtībās nonākušajām finanšu iestādēm garantiju, kas tiks pieprasīta, kad šīs iestādes savos pārskatos ierakstīs problemātisko aktīvu radītos zaudējumus;</w:t>
      </w:r>
    </w:p>
    <w:p w14:paraId="7DFB65BC" w14:textId="77777777" w:rsidR="00443399" w:rsidRPr="00B03B51" w:rsidRDefault="00443399" w:rsidP="00500EA4">
      <w:pPr>
        <w:pStyle w:val="BodyText"/>
        <w:numPr>
          <w:ilvl w:val="1"/>
          <w:numId w:val="65"/>
        </w:numPr>
        <w:spacing w:before="0"/>
        <w:ind w:left="426" w:hanging="425"/>
        <w:jc w:val="both"/>
        <w:rPr>
          <w:rFonts w:ascii="Times New Roman" w:hAnsi="Times New Roman" w:cs="Times New Roman"/>
          <w:noProof/>
          <w:sz w:val="24"/>
        </w:rPr>
      </w:pPr>
      <w:r w:rsidRPr="00B03B51">
        <w:rPr>
          <w:rFonts w:ascii="Times New Roman" w:hAnsi="Times New Roman" w:cs="Times New Roman"/>
          <w:sz w:val="24"/>
        </w:rPr>
        <w:t>valdība tieši nopērk problemātiskos aktīvus no finanšu iestādēm;</w:t>
      </w:r>
    </w:p>
    <w:p w14:paraId="307AEB70" w14:textId="77777777" w:rsidR="00443399" w:rsidRPr="00B03B51" w:rsidRDefault="00443399" w:rsidP="00500EA4">
      <w:pPr>
        <w:pStyle w:val="BodyText"/>
        <w:numPr>
          <w:ilvl w:val="1"/>
          <w:numId w:val="65"/>
        </w:numPr>
        <w:spacing w:before="0"/>
        <w:ind w:left="426" w:hanging="425"/>
        <w:jc w:val="both"/>
        <w:rPr>
          <w:rFonts w:ascii="Times New Roman" w:hAnsi="Times New Roman" w:cs="Times New Roman"/>
          <w:noProof/>
          <w:sz w:val="24"/>
        </w:rPr>
      </w:pPr>
      <w:r w:rsidRPr="00B03B51">
        <w:rPr>
          <w:rFonts w:ascii="Times New Roman" w:hAnsi="Times New Roman" w:cs="Times New Roman"/>
          <w:sz w:val="24"/>
        </w:rPr>
        <w:t>valdība izveido publiskas struktūras, kas turēs sliktās kvalitātes aktīvus.</w:t>
      </w:r>
    </w:p>
    <w:p w14:paraId="76A6F130"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7D7FC5E8"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8. Praksē var pastāvēt sarežģītāki pasākumi, valdībai īstenojot netiešāku intervenci ar tādu vienību starpniecību, kuras atrodas tās kontrolē vai ietekmē, piemēram, ar noteiktu publisku finanšu sabiedrību starpniecību. Ir jānoskaidro valdības pienākumi šādās situācijās, ņemot vērā garantijas, kurus dažas valdības vienības parasti piešķir kādam no glābšanas procesā iesaistītiem subjektiem. Parasti šīs ir konkrēti noteiktas garantijas, taču dažos gadījumos vienībai ir netieša valdības garantija tās publiskā juridiskā statusa dēļ.</w:t>
      </w:r>
    </w:p>
    <w:p w14:paraId="29D83EB5" w14:textId="77777777" w:rsidR="00443399" w:rsidRPr="00B03B51" w:rsidRDefault="00443399" w:rsidP="00443399">
      <w:pPr>
        <w:jc w:val="both"/>
        <w:rPr>
          <w:rFonts w:ascii="Times New Roman" w:eastAsia="Arial" w:hAnsi="Times New Roman" w:cs="Times New Roman"/>
          <w:noProof/>
          <w:sz w:val="24"/>
          <w:szCs w:val="18"/>
        </w:rPr>
      </w:pPr>
    </w:p>
    <w:p w14:paraId="67EA6F1B" w14:textId="77777777" w:rsidR="00443399" w:rsidRPr="00B03B51" w:rsidRDefault="00443399" w:rsidP="00443399">
      <w:pPr>
        <w:pStyle w:val="Heading3"/>
        <w:tabs>
          <w:tab w:val="left" w:pos="1267"/>
        </w:tabs>
        <w:ind w:left="0" w:firstLine="0"/>
        <w:jc w:val="both"/>
        <w:rPr>
          <w:rFonts w:ascii="Times New Roman" w:hAnsi="Times New Roman" w:cs="Times New Roman"/>
          <w:noProof/>
          <w:sz w:val="24"/>
        </w:rPr>
      </w:pPr>
      <w:bookmarkStart w:id="357" w:name="4.5.2_Treatment_in_national_accounts"/>
      <w:bookmarkStart w:id="358" w:name="_Toc67565134"/>
      <w:bookmarkEnd w:id="357"/>
      <w:r w:rsidRPr="00B03B51">
        <w:rPr>
          <w:rFonts w:ascii="Times New Roman" w:hAnsi="Times New Roman" w:cs="Times New Roman"/>
          <w:sz w:val="24"/>
        </w:rPr>
        <w:t>4.5.2. Traktējums nacionālajos kontos</w:t>
      </w:r>
      <w:bookmarkEnd w:id="358"/>
    </w:p>
    <w:p w14:paraId="27B55858" w14:textId="77777777" w:rsidR="00443399" w:rsidRPr="00BE27DC" w:rsidRDefault="00443399" w:rsidP="00BE27DC">
      <w:pPr>
        <w:rPr>
          <w:rFonts w:ascii="Times New Roman" w:hAnsi="Times New Roman" w:cs="Times New Roman"/>
          <w:noProof/>
          <w:sz w:val="24"/>
          <w:szCs w:val="24"/>
        </w:rPr>
      </w:pPr>
      <w:bookmarkStart w:id="359" w:name="4.5.2.1_Sector_classification_—_general_"/>
      <w:bookmarkEnd w:id="359"/>
    </w:p>
    <w:p w14:paraId="730AF345" w14:textId="77777777" w:rsidR="00443399" w:rsidRPr="00B03B51" w:rsidRDefault="00443399" w:rsidP="00443399">
      <w:pPr>
        <w:pStyle w:val="Heading6"/>
        <w:tabs>
          <w:tab w:val="left" w:pos="1267"/>
        </w:tabs>
        <w:ind w:left="0" w:firstLine="0"/>
        <w:jc w:val="both"/>
        <w:rPr>
          <w:rFonts w:ascii="Times New Roman" w:hAnsi="Times New Roman" w:cs="Times New Roman"/>
          <w:noProof/>
          <w:sz w:val="24"/>
        </w:rPr>
      </w:pPr>
      <w:r w:rsidRPr="00B03B51">
        <w:rPr>
          <w:rFonts w:ascii="Times New Roman" w:hAnsi="Times New Roman" w:cs="Times New Roman"/>
          <w:sz w:val="24"/>
        </w:rPr>
        <w:t>4.5.2.1. SEKTORA KLASIFIKĀCIJA – VISPĀRĒJI NOTEIKUMI</w:t>
      </w:r>
    </w:p>
    <w:p w14:paraId="06238CF7"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1CE38C9D"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9. Problemātiskus aktīvus var konstatēt jebkurā finanšu iestādē, un daudzos gadījumos tie neapdraud iestādes turpmāko darbību. Svarīgi nošķirt finanšu starpniekus, kas noteikti EKS 2010 2.55.–2.58. punktā, no tiem, kuriem ir finanšu sanācijas struktūrām raksturīgas pazīmes, neatkarīgi no to juridiskā statusa.</w:t>
      </w:r>
    </w:p>
    <w:p w14:paraId="6096354E" w14:textId="77777777" w:rsidR="00443399" w:rsidRPr="00B03B51" w:rsidRDefault="00443399" w:rsidP="00443399">
      <w:pPr>
        <w:pStyle w:val="BodyText"/>
        <w:spacing w:before="0"/>
        <w:ind w:left="0" w:firstLine="0"/>
        <w:jc w:val="both"/>
        <w:rPr>
          <w:rFonts w:ascii="Times New Roman" w:hAnsi="Times New Roman" w:cs="Times New Roman"/>
          <w:noProof/>
          <w:sz w:val="24"/>
        </w:rPr>
      </w:pPr>
    </w:p>
    <w:p w14:paraId="7D87DC1B" w14:textId="77777777" w:rsidR="00443399" w:rsidRPr="00B03B51" w:rsidRDefault="00443399" w:rsidP="00443399">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t xml:space="preserve">Finanšu sanācijas struktūra ir institucionāla vienība, kurai ir ievērojams daudzums problemātisko aktīvu un kuru pamatdarbība ir šo aktīvu sadalīšana parasti ilgākā laika posmā, nevis finanšu starpniecības pakalpojumu sniegšana. Šāda institucionāla vienība nav EKS 2010 </w:t>
      </w:r>
      <w:r w:rsidRPr="00B03B51">
        <w:rPr>
          <w:rFonts w:ascii="Times New Roman" w:hAnsi="Times New Roman" w:cs="Times New Roman"/>
          <w:sz w:val="24"/>
        </w:rPr>
        <w:lastRenderedPageBreak/>
        <w:t>noteiktais finanšu starpnieks.</w:t>
      </w:r>
    </w:p>
    <w:p w14:paraId="6013F1CA" w14:textId="77777777" w:rsidR="00443399" w:rsidRPr="00B03B51" w:rsidRDefault="00443399" w:rsidP="00443399">
      <w:pPr>
        <w:pStyle w:val="BodyText"/>
        <w:spacing w:before="0"/>
        <w:ind w:left="0" w:firstLine="0"/>
        <w:jc w:val="both"/>
        <w:rPr>
          <w:rFonts w:ascii="Times New Roman" w:hAnsi="Times New Roman" w:cs="Times New Roman"/>
          <w:noProof/>
          <w:sz w:val="24"/>
        </w:rPr>
      </w:pPr>
    </w:p>
    <w:p w14:paraId="782FC77E" w14:textId="77777777" w:rsidR="00443399" w:rsidRPr="00B03B51" w:rsidRDefault="00443399" w:rsidP="00443399">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t>Visas turpmāk sniegtajā sarakstā norādītās iezīmes vai dažas no tām liecina par to, ka vienība pēc būtības ir sanācijas struktūra, jo tās liek apšaubīt to, ka attiecīgo iestādi varētu klasificēt kā finanšu starpnieku.</w:t>
      </w:r>
    </w:p>
    <w:p w14:paraId="5C05294E" w14:textId="77777777" w:rsidR="00443399" w:rsidRPr="00B03B51" w:rsidRDefault="00443399" w:rsidP="00443399">
      <w:pPr>
        <w:pStyle w:val="BodyText"/>
        <w:spacing w:before="0"/>
        <w:ind w:left="0" w:firstLine="0"/>
        <w:jc w:val="both"/>
        <w:rPr>
          <w:rFonts w:ascii="Times New Roman" w:hAnsi="Times New Roman" w:cs="Times New Roman"/>
          <w:noProof/>
          <w:sz w:val="24"/>
        </w:rPr>
      </w:pPr>
    </w:p>
    <w:p w14:paraId="4D0E6AFA" w14:textId="77777777" w:rsidR="00443399" w:rsidRPr="00B03B51" w:rsidRDefault="00443399" w:rsidP="00500EA4">
      <w:pPr>
        <w:pStyle w:val="BodyText"/>
        <w:numPr>
          <w:ilvl w:val="1"/>
          <w:numId w:val="65"/>
        </w:numPr>
        <w:spacing w:before="0"/>
        <w:ind w:left="426" w:hanging="425"/>
        <w:jc w:val="both"/>
        <w:rPr>
          <w:rFonts w:ascii="Times New Roman" w:hAnsi="Times New Roman" w:cs="Times New Roman"/>
          <w:noProof/>
          <w:sz w:val="24"/>
        </w:rPr>
      </w:pPr>
      <w:r w:rsidRPr="00B03B51">
        <w:rPr>
          <w:rFonts w:ascii="Times New Roman" w:hAnsi="Times New Roman" w:cs="Times New Roman"/>
          <w:sz w:val="24"/>
        </w:rPr>
        <w:t>Vienība ir slēgta jauniem noguldījumiem vai arī atvērta šādiem noguldījumiem tikai daļēji un saskaņā ar ierobežojumiem. Tas ietver arī noguldījumu pieņemšanas pārtraukšanu no iedzīvotājiem vai noteiktām un samērā lielām sabiedrības apakšgrupām. Proti, noguldījumu pieņemšana no valdības un konkrētām publiskām sabiedrībām nav pietiekams pamatojums, lai varētu secināt, ka iestāde ir iesaistīta finanšu starpniecībā.</w:t>
      </w:r>
    </w:p>
    <w:p w14:paraId="3D2AEA43" w14:textId="77777777" w:rsidR="00443399" w:rsidRPr="00B03B51" w:rsidRDefault="00443399" w:rsidP="00500EA4">
      <w:pPr>
        <w:pStyle w:val="BodyText"/>
        <w:numPr>
          <w:ilvl w:val="1"/>
          <w:numId w:val="65"/>
        </w:numPr>
        <w:spacing w:before="0"/>
        <w:ind w:left="426" w:hanging="425"/>
        <w:jc w:val="both"/>
        <w:rPr>
          <w:rFonts w:ascii="Times New Roman" w:hAnsi="Times New Roman" w:cs="Times New Roman"/>
          <w:noProof/>
          <w:sz w:val="24"/>
        </w:rPr>
      </w:pPr>
      <w:r w:rsidRPr="00B03B51">
        <w:rPr>
          <w:rFonts w:ascii="Times New Roman" w:hAnsi="Times New Roman" w:cs="Times New Roman"/>
          <w:sz w:val="24"/>
        </w:rPr>
        <w:t>Vienība ir slēgta jauniem aizdevumiem vai arī atvērta šādiem aizdevumiem tikai daļēji un saskaņā ar ierobežojumiem. Tādu aizdevumu termiņa pagarināšana, kuri saistīti ar pastāvošo aktīvu pārvaldību, nav pietiekams pamatojums secinājumam, ka iestāde ir iesaistīta finanšu starpniecībā.</w:t>
      </w:r>
    </w:p>
    <w:p w14:paraId="3269E654" w14:textId="77777777" w:rsidR="00443399" w:rsidRPr="00B03B51" w:rsidRDefault="00443399" w:rsidP="00500EA4">
      <w:pPr>
        <w:pStyle w:val="BodyText"/>
        <w:numPr>
          <w:ilvl w:val="1"/>
          <w:numId w:val="65"/>
        </w:numPr>
        <w:spacing w:before="0"/>
        <w:ind w:left="426" w:hanging="425"/>
        <w:jc w:val="both"/>
        <w:rPr>
          <w:rFonts w:ascii="Times New Roman" w:hAnsi="Times New Roman" w:cs="Times New Roman"/>
          <w:noProof/>
          <w:sz w:val="24"/>
        </w:rPr>
      </w:pPr>
      <w:r w:rsidRPr="00B03B51">
        <w:rPr>
          <w:rFonts w:ascii="Times New Roman" w:hAnsi="Times New Roman" w:cs="Times New Roman"/>
          <w:sz w:val="24"/>
        </w:rPr>
        <w:t>Stingri, ārēji noteikti ierobežojumi attiecībā uz konkurēšanu banku un finanšu tirgos.</w:t>
      </w:r>
    </w:p>
    <w:p w14:paraId="23B60420" w14:textId="77777777" w:rsidR="00443399" w:rsidRPr="00B03B51" w:rsidRDefault="00443399" w:rsidP="00500EA4">
      <w:pPr>
        <w:pStyle w:val="BodyText"/>
        <w:numPr>
          <w:ilvl w:val="1"/>
          <w:numId w:val="65"/>
        </w:numPr>
        <w:spacing w:before="0"/>
        <w:ind w:left="426" w:hanging="425"/>
        <w:jc w:val="both"/>
        <w:rPr>
          <w:rFonts w:ascii="Times New Roman" w:hAnsi="Times New Roman" w:cs="Times New Roman"/>
          <w:noProof/>
          <w:sz w:val="24"/>
        </w:rPr>
      </w:pPr>
      <w:r w:rsidRPr="00B03B51">
        <w:rPr>
          <w:rFonts w:ascii="Times New Roman" w:hAnsi="Times New Roman" w:cs="Times New Roman"/>
          <w:sz w:val="24"/>
        </w:rPr>
        <w:t>Lielākajā daļā gadījumu paredzēts ierobežots darbības laiks, kas saistīts ar aktīvu pakāpenisku likvidāciju, veicot piedziņu vai pārdodot tos tirgū.</w:t>
      </w:r>
    </w:p>
    <w:p w14:paraId="18C910C6"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74954AE7"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10. Attiecībā uz tām iestādēm, kuras neatbilst finanšu starpnieku klasifikācijas prasībām (neuzņemas risku, skat. EKS 2010 2.57. punktu), iespējams izšķirt vairākus gadījumus:</w:t>
      </w:r>
    </w:p>
    <w:p w14:paraId="1E676AFE"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00805B7C" w14:textId="77777777" w:rsidR="00443399" w:rsidRPr="00B03B51" w:rsidRDefault="00443399" w:rsidP="00443399">
      <w:pPr>
        <w:pStyle w:val="BodyText"/>
        <w:tabs>
          <w:tab w:val="left" w:pos="1126"/>
        </w:tabs>
        <w:spacing w:before="0"/>
        <w:ind w:left="284" w:firstLine="0"/>
        <w:jc w:val="both"/>
        <w:rPr>
          <w:rFonts w:ascii="Times New Roman" w:hAnsi="Times New Roman" w:cs="Times New Roman"/>
          <w:noProof/>
          <w:sz w:val="24"/>
        </w:rPr>
      </w:pPr>
      <w:r w:rsidRPr="00B03B51">
        <w:rPr>
          <w:rFonts w:ascii="Times New Roman" w:hAnsi="Times New Roman" w:cs="Times New Roman"/>
          <w:sz w:val="24"/>
        </w:rPr>
        <w:t>1. valdība izveido publisku struktūru ar skaidru mērķi uzticēt tai problemātiskos aktīvus bieži vien līdz to pilnīgai likvidēšanai un tieši uzņemties zaudējumus, ko “normāli” tirgus subjekti nevar atļauties;</w:t>
      </w:r>
    </w:p>
    <w:p w14:paraId="574242EB" w14:textId="77777777" w:rsidR="00443399" w:rsidRPr="00B03B51" w:rsidRDefault="00443399" w:rsidP="00443399">
      <w:pPr>
        <w:ind w:left="284"/>
        <w:jc w:val="both"/>
        <w:rPr>
          <w:rFonts w:ascii="Times New Roman" w:hAnsi="Times New Roman" w:cs="Times New Roman"/>
          <w:noProof/>
          <w:sz w:val="24"/>
        </w:rPr>
      </w:pPr>
    </w:p>
    <w:p w14:paraId="240E04EB" w14:textId="77777777" w:rsidR="00443399" w:rsidRPr="00B03B51" w:rsidRDefault="00443399" w:rsidP="00443399">
      <w:pPr>
        <w:pStyle w:val="BodyText"/>
        <w:tabs>
          <w:tab w:val="left" w:pos="1126"/>
        </w:tabs>
        <w:spacing w:before="0"/>
        <w:ind w:left="284" w:firstLine="0"/>
        <w:jc w:val="both"/>
        <w:rPr>
          <w:rFonts w:ascii="Times New Roman" w:hAnsi="Times New Roman" w:cs="Times New Roman"/>
          <w:noProof/>
          <w:sz w:val="24"/>
        </w:rPr>
      </w:pPr>
      <w:r w:rsidRPr="00B03B51">
        <w:rPr>
          <w:rFonts w:ascii="Times New Roman" w:hAnsi="Times New Roman" w:cs="Times New Roman"/>
          <w:sz w:val="24"/>
        </w:rPr>
        <w:t>2. citos gadījumos aktīvi tiek piešķirti subjektam, kas pieder valdībai vai ko valdība cieši kontrolē (iepriekšējiem akcionāriem saglabājot ierobežotas tiesības vai nesaglabājot tās vispār) un kas izveidota saistībā ar problemātiskos aktīvus turošās finanšu iestādes pārstrukturēšanu; tas var notikt vairākos veidos, atbilstīgi tam, kā tiek piešķirti problemātiskie aktīvi:</w:t>
      </w:r>
    </w:p>
    <w:p w14:paraId="48DF7E9E" w14:textId="77777777" w:rsidR="00443399" w:rsidRPr="00B03B51" w:rsidRDefault="00443399" w:rsidP="00443399">
      <w:pPr>
        <w:pStyle w:val="BodyText"/>
        <w:tabs>
          <w:tab w:val="left" w:pos="1126"/>
        </w:tabs>
        <w:spacing w:before="0"/>
        <w:ind w:left="0" w:firstLine="0"/>
        <w:jc w:val="both"/>
        <w:rPr>
          <w:rFonts w:ascii="Times New Roman" w:hAnsi="Times New Roman" w:cs="Times New Roman"/>
          <w:noProof/>
          <w:sz w:val="24"/>
        </w:rPr>
      </w:pPr>
    </w:p>
    <w:p w14:paraId="410945AC" w14:textId="77777777" w:rsidR="00443399" w:rsidRPr="00B03B51" w:rsidRDefault="00443399" w:rsidP="00443399">
      <w:pPr>
        <w:pStyle w:val="BodyText"/>
        <w:tabs>
          <w:tab w:val="left" w:pos="1411"/>
        </w:tabs>
        <w:spacing w:before="0"/>
        <w:ind w:left="709" w:firstLine="0"/>
        <w:jc w:val="both"/>
        <w:rPr>
          <w:rFonts w:ascii="Times New Roman" w:hAnsi="Times New Roman" w:cs="Times New Roman"/>
          <w:noProof/>
          <w:sz w:val="24"/>
        </w:rPr>
      </w:pPr>
      <w:r w:rsidRPr="00B03B51">
        <w:rPr>
          <w:rFonts w:ascii="Times New Roman" w:hAnsi="Times New Roman" w:cs="Times New Roman"/>
          <w:sz w:val="24"/>
        </w:rPr>
        <w:t>a) finanšu iestāde tiek sadalīta starp jaunu subjektu, kas pieder valdībai un ko valdība kontrolē, ar mērķi uzticēt tam problemātisko aktīvu pārvaldību, un atlikušo subjektu(-iem), kas, iespējams, ar jaunu nosaukumu turpinās nodarboties ar finanšu starpniecību, konkurējot banku/finanšu tirgū;</w:t>
      </w:r>
    </w:p>
    <w:p w14:paraId="1BC29BE5" w14:textId="77777777" w:rsidR="00443399" w:rsidRPr="00B03B51" w:rsidRDefault="00443399" w:rsidP="00443399">
      <w:pPr>
        <w:pStyle w:val="BodyText"/>
        <w:tabs>
          <w:tab w:val="left" w:pos="1411"/>
        </w:tabs>
        <w:spacing w:before="0"/>
        <w:ind w:left="709" w:firstLine="0"/>
        <w:jc w:val="both"/>
        <w:rPr>
          <w:rFonts w:ascii="Times New Roman" w:hAnsi="Times New Roman" w:cs="Times New Roman"/>
          <w:noProof/>
          <w:sz w:val="24"/>
        </w:rPr>
      </w:pPr>
    </w:p>
    <w:p w14:paraId="13E373D0" w14:textId="77777777" w:rsidR="00443399" w:rsidRPr="00B03B51" w:rsidRDefault="00443399" w:rsidP="00443399">
      <w:pPr>
        <w:pStyle w:val="BodyText"/>
        <w:tabs>
          <w:tab w:val="left" w:pos="1411"/>
        </w:tabs>
        <w:spacing w:before="0"/>
        <w:ind w:left="709" w:firstLine="0"/>
        <w:jc w:val="both"/>
        <w:rPr>
          <w:rFonts w:ascii="Times New Roman" w:hAnsi="Times New Roman" w:cs="Times New Roman"/>
          <w:noProof/>
          <w:sz w:val="24"/>
        </w:rPr>
      </w:pPr>
      <w:r w:rsidRPr="00B03B51">
        <w:rPr>
          <w:rFonts w:ascii="Times New Roman" w:hAnsi="Times New Roman" w:cs="Times New Roman"/>
          <w:sz w:val="24"/>
        </w:rPr>
        <w:t>b) finanšu iestāde, piemērojot dažādas procedūras, nodod savu “komerciāli ienesīgo darbību” (piemēram, noguldījumu pieņemšanu, kvalitatīvos aktīvus, zema riska aizdevumus); tādējādi vienības pārvaldībā paliek visi problemātiskie aktīvi vai to lielākā daļa, kas līdz ar to kļūst par vienības galveno nodarbošanos, un tas tiek panākts ar stingru valdības atbalstu un valdības kontrolē (valdībai tieši vai netieši (ar citu publisku struktūru starpniecību) esot galvenajam akcionāram).</w:t>
      </w:r>
    </w:p>
    <w:p w14:paraId="17DEC151"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57AAF03B"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 xml:space="preserve">11. Ja ir pierādījumi, kas liecina par to, ka valdība uzņemas visu risku vai lielāko tā daļu un atlīdzību, kas saistīta ar valdības kontrolētās sanācijas struktūras īstenotajām darbībām, kuras minētas iepriekš, šī struktūra jāklasificē vispārējās valdības sektorā neatkarīgi no tās juridiskā statusa. Piemēram, valdība apņemas segt lielāko daļu no aktīvu radītajiem zaudējumiem, sniedzot garantijas attiecībā uz tā subjekta finansēšanu, kurš tur problemātiskos aktīvus, un maksa par garantiju neatbilst pastāvošajiem riskiem vai galvenais finansējuma avots ir publiskais sektors. Minētais subjekts ir jāklasificē vispārējās valdības sektorā vai nu no brīža, </w:t>
      </w:r>
      <w:r w:rsidRPr="00B03B51">
        <w:rPr>
          <w:rFonts w:ascii="Times New Roman" w:hAnsi="Times New Roman" w:cs="Times New Roman"/>
          <w:sz w:val="24"/>
        </w:rPr>
        <w:lastRenderedPageBreak/>
        <w:t>kad tas ticis izveidots (1. gadījumā, kas minēts iepriekš) vai kad tas ir pārklasificēts (2. gadījumā).</w:t>
      </w:r>
    </w:p>
    <w:p w14:paraId="53CEDCED" w14:textId="77777777" w:rsidR="00443399" w:rsidRPr="00B03B51" w:rsidRDefault="00443399" w:rsidP="00443399">
      <w:pPr>
        <w:jc w:val="both"/>
        <w:rPr>
          <w:rFonts w:ascii="Times New Roman" w:eastAsia="Arial" w:hAnsi="Times New Roman" w:cs="Times New Roman"/>
          <w:noProof/>
          <w:sz w:val="24"/>
          <w:szCs w:val="15"/>
        </w:rPr>
      </w:pPr>
    </w:p>
    <w:p w14:paraId="41FE539A" w14:textId="77777777" w:rsidR="00443399" w:rsidRPr="00B03B51" w:rsidRDefault="00443399" w:rsidP="00443399">
      <w:pPr>
        <w:pStyle w:val="Heading6"/>
        <w:tabs>
          <w:tab w:val="left" w:pos="1267"/>
        </w:tabs>
        <w:ind w:left="0" w:firstLine="0"/>
        <w:jc w:val="both"/>
        <w:rPr>
          <w:rFonts w:ascii="Times New Roman" w:hAnsi="Times New Roman" w:cs="Times New Roman"/>
          <w:noProof/>
          <w:sz w:val="24"/>
        </w:rPr>
      </w:pPr>
      <w:bookmarkStart w:id="360" w:name="4.5.2.2_Sector_classification_—_implemen"/>
      <w:bookmarkEnd w:id="360"/>
      <w:r w:rsidRPr="00B03B51">
        <w:rPr>
          <w:rFonts w:ascii="Times New Roman" w:hAnsi="Times New Roman" w:cs="Times New Roman"/>
          <w:sz w:val="24"/>
        </w:rPr>
        <w:t>4.5.2.2. SEKTORA KLASIFIKĀCIJA – ĪSTENOŠANAS JAUTĀJUMI</w:t>
      </w:r>
    </w:p>
    <w:p w14:paraId="54DA1D2D"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4E9E2635"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12. Visos gadījumos lēmums jautājumā par tādas valdības kontrolētas sanācijas struktūras sektora klasifikāciju, kuras turētie problemātiskie aktīvi veidos lielāko daļu no tās aktīviem, ir jāpieņem, analizējot valdības finansiālās līdzdalības līmeni glābšanas procesā. “Lielākā daļa” nozīmē, ka to aktīvu uzskaites vērtība, attiecībā uz kuriem ir ierakstīti ārkārtēji zaudējumi (skat. iepriekš) un joprojām paredzami arī turpmāki zaudējumi, veido lielāko daļu (dažkārt pat 100 %) no subjekta turētajiem “pelnošajiem aktīviem”.</w:t>
      </w:r>
    </w:p>
    <w:p w14:paraId="242C9772"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5DBAC23C"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 xml:space="preserve">13. Iespējami robežgadījumi, kad subjekti, kuri atbilst lielākajai daļai no iepriekš minētajām sanācijas struktūras pamatpazīmēm, joprojām tiek paturēti monetāro finanšu iestāžu (MFI) sarakstā (ko izmanto, lai sagatavotu ECB monetāro finanšu iestāžu sarakstu, pamatojoties uz Eirosistēmas minimālajām rezervēm, kā arī to darījumu partneru sarakstu, kam ir tiesības uz Eirosistēmas operācijām). Šos gadījumus analizēs </w:t>
      </w:r>
      <w:r w:rsidRPr="00B03B51">
        <w:rPr>
          <w:rFonts w:ascii="Times New Roman" w:hAnsi="Times New Roman" w:cs="Times New Roman"/>
          <w:i/>
          <w:iCs/>
          <w:sz w:val="24"/>
        </w:rPr>
        <w:t>Eurostat</w:t>
      </w:r>
      <w:r w:rsidRPr="00B03B51">
        <w:rPr>
          <w:rFonts w:ascii="Times New Roman" w:hAnsi="Times New Roman" w:cs="Times New Roman"/>
          <w:sz w:val="24"/>
        </w:rPr>
        <w:t xml:space="preserve"> un valsts statistikas institūts (kas atbild par vienību sektora klasifikāciju nacionālajos kontos), iespējams, ciešā sadarbībā ar ECB un centrālo banku, neierobežojot to, kas noteikts EKS 2010 2.67., 2.68. un 2.75. punktā (kuros definētas monetārās finanšu iestādes, citas monetārās finanšu iestādes un noguldījumus pieņemošas sabiedrības, izņemot centrālo banku), no vienas puses, un EKS 2010 20.46. un 20.248. punktā (kuros definētas sanācijas struktūras/ “sliktās bankas”, kas klasificētas vispārējās valdības sektorā), no otras puses.</w:t>
      </w:r>
    </w:p>
    <w:p w14:paraId="60BA5F1F"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68E0149B"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14. Var gadīties, ka grūtībās nonākušas publiskas finanšu sabiedrības likvidāciju sāk saskaņā ar “parasto” procedūru, ko piemēro jebkurai ekonomikas vienībai, kuru necenšas atgūt (jo īpaši ar valdības atbalstu). Šādai vienībai var būt vairums finanšu sanācijas struktūras pazīmju, jo īpaši tai var būt problemātiski aktīvi, tā ir slēgta jaunai uzņēmējdarbībai un tai ir ierobežots darbības laiks. Šī likvidējamā vienība var būt arī atlikusī daļa no grūtībās nonākušas finanšu iestādes, kas ir pārstrukturēta. Tas, ka šī vienība</w:t>
      </w:r>
      <w:r w:rsidRPr="00B03B51">
        <w:rPr>
          <w:rStyle w:val="FootnoteReference"/>
          <w:rFonts w:ascii="Times New Roman" w:hAnsi="Times New Roman" w:cs="Times New Roman"/>
          <w:noProof/>
          <w:sz w:val="24"/>
        </w:rPr>
        <w:footnoteReference w:id="182"/>
      </w:r>
      <w:r w:rsidRPr="00B03B51">
        <w:rPr>
          <w:rFonts w:ascii="Times New Roman" w:hAnsi="Times New Roman" w:cs="Times New Roman"/>
          <w:sz w:val="24"/>
        </w:rPr>
        <w:t xml:space="preserve"> tiek likvidēta, nenozīmē, ka to nedrīkst klasificēt vispārējās valdības sektorā, ja valdība </w:t>
      </w:r>
      <w:r w:rsidRPr="00B03B51">
        <w:rPr>
          <w:rFonts w:ascii="Times New Roman" w:hAnsi="Times New Roman" w:cs="Times New Roman"/>
          <w:i/>
          <w:iCs/>
          <w:sz w:val="24"/>
        </w:rPr>
        <w:t>de iure</w:t>
      </w:r>
      <w:r w:rsidRPr="00B03B51">
        <w:rPr>
          <w:rFonts w:ascii="Times New Roman" w:hAnsi="Times New Roman" w:cs="Times New Roman"/>
          <w:sz w:val="24"/>
        </w:rPr>
        <w:t xml:space="preserve"> vai </w:t>
      </w:r>
      <w:r w:rsidRPr="00B03B51">
        <w:rPr>
          <w:rFonts w:ascii="Times New Roman" w:hAnsi="Times New Roman" w:cs="Times New Roman"/>
          <w:i/>
          <w:iCs/>
          <w:sz w:val="24"/>
        </w:rPr>
        <w:t>de facto</w:t>
      </w:r>
      <w:r w:rsidRPr="00B03B51">
        <w:rPr>
          <w:rFonts w:ascii="Times New Roman" w:hAnsi="Times New Roman" w:cs="Times New Roman"/>
          <w:sz w:val="24"/>
        </w:rPr>
        <w:t xml:space="preserve"> kontrolē likvidācijas procesu (piemēram, īstenojot dominējošo ietekmi pār kreditoru komiteju), un/vai ir gaidāms, ka tā uzņemsies vairumu likvidācijas procesā gaidāmo zaudējumu, jo tai ir nozīmīgas prasības pret vienību (ņemot vērā tās stāvokli citu kreditoru vidū) un/vai atbalsta dēļ, kas piešķirts saistībā ar glābšanas procesa vadību.</w:t>
      </w:r>
    </w:p>
    <w:p w14:paraId="7783712C"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08999049"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 xml:space="preserve">15. Ja glābšanas struktūra ir īpašam nolūkam izveidota sabiedrība, kas neuzņemas lielāko daļu risku un nerīkojas kā privāts ieguldītājs, uzskata, ka šāda struktūra rīkojas valdības vārdā. Tādējādi to uzskata par valdības finansētu sanācijas struktūru, un tāpēc tā ir jāklasificē vispārējās valdības sektorā, izņemot gadījumus, kas norādīti </w:t>
      </w:r>
      <w:r w:rsidRPr="00B03B51">
        <w:rPr>
          <w:rFonts w:ascii="Times New Roman" w:hAnsi="Times New Roman" w:cs="Times New Roman"/>
          <w:i/>
          <w:iCs/>
          <w:sz w:val="24"/>
        </w:rPr>
        <w:t>Eurostat</w:t>
      </w:r>
      <w:r w:rsidRPr="00B03B51">
        <w:rPr>
          <w:rFonts w:ascii="Times New Roman" w:hAnsi="Times New Roman" w:cs="Times New Roman"/>
          <w:sz w:val="24"/>
        </w:rPr>
        <w:t xml:space="preserve"> 2009. gada jūlija norādījumos</w:t>
      </w:r>
      <w:r w:rsidRPr="00B03B51">
        <w:rPr>
          <w:rStyle w:val="FootnoteReference"/>
          <w:rFonts w:ascii="Times New Roman" w:hAnsi="Times New Roman" w:cs="Times New Roman"/>
          <w:noProof/>
          <w:sz w:val="24"/>
        </w:rPr>
        <w:footnoteReference w:id="183"/>
      </w:r>
      <w:r w:rsidRPr="00B03B51">
        <w:rPr>
          <w:rFonts w:ascii="Times New Roman" w:hAnsi="Times New Roman" w:cs="Times New Roman"/>
          <w:sz w:val="24"/>
        </w:rPr>
        <w:t>, kas būs spēkā līdz finanšu krīzes beigām.</w:t>
      </w:r>
    </w:p>
    <w:p w14:paraId="0640F832" w14:textId="77777777" w:rsidR="00443399" w:rsidRPr="00B03B51" w:rsidRDefault="00443399" w:rsidP="00443399">
      <w:pPr>
        <w:jc w:val="both"/>
        <w:rPr>
          <w:rFonts w:ascii="Times New Roman" w:eastAsia="Arial" w:hAnsi="Times New Roman" w:cs="Times New Roman"/>
          <w:noProof/>
          <w:sz w:val="24"/>
          <w:szCs w:val="16"/>
        </w:rPr>
      </w:pPr>
    </w:p>
    <w:p w14:paraId="057E4812" w14:textId="77777777" w:rsidR="00443399" w:rsidRPr="00B03B51" w:rsidRDefault="00443399" w:rsidP="00500EA4">
      <w:pPr>
        <w:pStyle w:val="Heading6"/>
        <w:keepNext/>
        <w:tabs>
          <w:tab w:val="left" w:pos="1267"/>
        </w:tabs>
        <w:ind w:left="0" w:firstLine="0"/>
        <w:jc w:val="both"/>
        <w:rPr>
          <w:rFonts w:ascii="Times New Roman" w:hAnsi="Times New Roman" w:cs="Times New Roman"/>
          <w:noProof/>
          <w:sz w:val="24"/>
        </w:rPr>
      </w:pPr>
      <w:bookmarkStart w:id="361" w:name="4.5.2.3_Impact_on_net_lending/borrowing_"/>
      <w:bookmarkEnd w:id="361"/>
      <w:r w:rsidRPr="00B03B51">
        <w:rPr>
          <w:rFonts w:ascii="Times New Roman" w:hAnsi="Times New Roman" w:cs="Times New Roman"/>
          <w:sz w:val="24"/>
        </w:rPr>
        <w:lastRenderedPageBreak/>
        <w:t>4.5.2.3. IETEKME UZ NETO AIZDEVUMU/AIZŅĒMUMU (B.9) UN PARĀDU</w:t>
      </w:r>
    </w:p>
    <w:p w14:paraId="589F8CF7" w14:textId="77777777" w:rsidR="00443399" w:rsidRPr="00B03B51" w:rsidRDefault="00443399" w:rsidP="00500EA4">
      <w:pPr>
        <w:pStyle w:val="BodyText"/>
        <w:keepNext/>
        <w:tabs>
          <w:tab w:val="left" w:pos="843"/>
        </w:tabs>
        <w:spacing w:before="0"/>
        <w:ind w:left="0" w:firstLine="0"/>
        <w:jc w:val="both"/>
        <w:rPr>
          <w:rFonts w:ascii="Times New Roman" w:hAnsi="Times New Roman" w:cs="Times New Roman"/>
          <w:noProof/>
          <w:sz w:val="24"/>
        </w:rPr>
      </w:pPr>
    </w:p>
    <w:p w14:paraId="7BEFC2EF" w14:textId="77777777" w:rsidR="00443399" w:rsidRPr="00B03B51" w:rsidRDefault="00443399" w:rsidP="00500EA4">
      <w:pPr>
        <w:pStyle w:val="BodyText"/>
        <w:keepN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16. Kas attiecas uz ietekmi uz neto aizdevumu/aizņēmumu (B.9), ja pārklasificēšana nozīmē aktīvu nodošanu par summu, kas pārsniedz tirgus vērtību, kuru iespējams neatkarīgi aprēķināt, tad neatkarīgi no konkrētā gadījuma (gadījums, kad valdība izveido subjektu, iepriekš minētais a) gadījums vai b) gadījums, vai ĪNDS gadījums) jāuzskata, ka šī starpība ir kapitāla pārvedums, aktīvus to tirgus vērtībā pievienojot valdības bilancei. Visi turpmākie turēšanas guvumi/zaudējumi, kas izriet no šiem aktīviem, tiks ierakstīti pārvērtēšanas kontos.</w:t>
      </w:r>
    </w:p>
    <w:p w14:paraId="3816378C" w14:textId="77777777" w:rsidR="00443399" w:rsidRPr="00B03B51" w:rsidRDefault="00443399" w:rsidP="00443399">
      <w:pPr>
        <w:pStyle w:val="BodyText"/>
        <w:spacing w:before="0"/>
        <w:ind w:left="0" w:firstLine="0"/>
        <w:jc w:val="both"/>
        <w:rPr>
          <w:rFonts w:ascii="Times New Roman" w:hAnsi="Times New Roman" w:cs="Times New Roman"/>
          <w:noProof/>
          <w:sz w:val="24"/>
        </w:rPr>
      </w:pPr>
    </w:p>
    <w:p w14:paraId="475DBEEA" w14:textId="77777777" w:rsidR="00443399" w:rsidRPr="00B03B51" w:rsidRDefault="00443399" w:rsidP="00443399">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t>Gadījumā, ja sanācijas struktūra tiek izveidota, pārstrukturējot finanšu starpnieku, kurš pēc tam turpina darboties, taču ar izmaiņām tā darbības jomā (iepriekš minētais b) gadījums), operācija ir jāsadala divos posmos:</w:t>
      </w:r>
    </w:p>
    <w:p w14:paraId="7271F4AA" w14:textId="77777777" w:rsidR="00443399" w:rsidRPr="00B03B51" w:rsidRDefault="00443399" w:rsidP="00443399">
      <w:pPr>
        <w:pStyle w:val="BodyText"/>
        <w:spacing w:before="0"/>
        <w:ind w:left="0" w:firstLine="0"/>
        <w:jc w:val="both"/>
        <w:rPr>
          <w:rFonts w:ascii="Times New Roman" w:hAnsi="Times New Roman" w:cs="Times New Roman"/>
          <w:noProof/>
          <w:sz w:val="24"/>
        </w:rPr>
      </w:pPr>
    </w:p>
    <w:p w14:paraId="18C41FE9" w14:textId="77777777" w:rsidR="00443399" w:rsidRPr="00B03B51" w:rsidRDefault="00443399" w:rsidP="00500EA4">
      <w:pPr>
        <w:pStyle w:val="BodyText"/>
        <w:numPr>
          <w:ilvl w:val="1"/>
          <w:numId w:val="65"/>
        </w:numPr>
        <w:spacing w:before="0"/>
        <w:ind w:left="426" w:hanging="425"/>
        <w:jc w:val="both"/>
        <w:rPr>
          <w:rFonts w:ascii="Times New Roman" w:hAnsi="Times New Roman" w:cs="Times New Roman"/>
          <w:noProof/>
          <w:sz w:val="24"/>
        </w:rPr>
      </w:pPr>
      <w:r w:rsidRPr="00B03B51">
        <w:rPr>
          <w:rFonts w:ascii="Times New Roman" w:hAnsi="Times New Roman" w:cs="Times New Roman"/>
          <w:sz w:val="24"/>
        </w:rPr>
        <w:t>pirmkārt, lai ņemtu vērā atbalstu, kas finanšu starpniekam sniegts saistībā ar operāciju, atšķirība starp nodoto aktīvu darījuma vērtību un to tirgus vērtību ir ierakstīta kā kapitāla nodošana sanācijas struktūras debitoriem;</w:t>
      </w:r>
    </w:p>
    <w:p w14:paraId="3708F4C1" w14:textId="77777777" w:rsidR="00443399" w:rsidRPr="00B03B51" w:rsidRDefault="00443399" w:rsidP="00500EA4">
      <w:pPr>
        <w:pStyle w:val="BodyText"/>
        <w:numPr>
          <w:ilvl w:val="1"/>
          <w:numId w:val="65"/>
        </w:numPr>
        <w:spacing w:before="0"/>
        <w:ind w:left="426" w:hanging="425"/>
        <w:jc w:val="both"/>
        <w:rPr>
          <w:rFonts w:ascii="Times New Roman" w:hAnsi="Times New Roman" w:cs="Times New Roman"/>
          <w:noProof/>
          <w:sz w:val="24"/>
        </w:rPr>
      </w:pPr>
      <w:r w:rsidRPr="00B03B51">
        <w:rPr>
          <w:rFonts w:ascii="Times New Roman" w:hAnsi="Times New Roman" w:cs="Times New Roman"/>
          <w:sz w:val="24"/>
        </w:rPr>
        <w:t>tad sanācijas struktūras klasifikācija valdības sektorā ir jāieraksta kā “citu aktīvu apjoma pārmaiņu konts” (sektoru klasifikācijas un institucionālās vienības struktūras pārmaiņas (K.61)).</w:t>
      </w:r>
    </w:p>
    <w:p w14:paraId="6DA2520C"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07329092"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17. Kas attiecas uz ietekmi un valdības parādu, gadījumā, ja pārstrukturēšana tiek veikta iepriekš minētajos a) un b) gadījumos vai ĪNDS gadījumā, šo subjektu klasifikācija valdības sektorā nozīmē to, ka to aktīvi un saistības tiek iekļautas valdības bilancē un tāpēc attiecīgie subjektu parāda instrumenti ietilps valdības bruto parādā.</w:t>
      </w:r>
    </w:p>
    <w:p w14:paraId="39E0EE68" w14:textId="77777777" w:rsidR="00443399" w:rsidRPr="00B03B51" w:rsidRDefault="00443399" w:rsidP="00443399">
      <w:pPr>
        <w:jc w:val="both"/>
        <w:rPr>
          <w:rFonts w:ascii="Times New Roman" w:eastAsia="Arial" w:hAnsi="Times New Roman" w:cs="Times New Roman"/>
          <w:noProof/>
          <w:sz w:val="24"/>
          <w:szCs w:val="15"/>
        </w:rPr>
      </w:pPr>
    </w:p>
    <w:p w14:paraId="0526DC8F" w14:textId="77777777" w:rsidR="00443399" w:rsidRPr="00B03B51" w:rsidRDefault="00443399" w:rsidP="00443399">
      <w:pPr>
        <w:pStyle w:val="Heading6"/>
        <w:tabs>
          <w:tab w:val="left" w:pos="1267"/>
        </w:tabs>
        <w:ind w:left="0" w:firstLine="0"/>
        <w:jc w:val="both"/>
        <w:rPr>
          <w:rFonts w:ascii="Times New Roman" w:hAnsi="Times New Roman" w:cs="Times New Roman"/>
          <w:noProof/>
          <w:sz w:val="24"/>
        </w:rPr>
      </w:pPr>
      <w:bookmarkStart w:id="362" w:name="4.5.2.4_Treatments_to_be_followed_when_g"/>
      <w:bookmarkEnd w:id="362"/>
      <w:r w:rsidRPr="00B03B51">
        <w:rPr>
          <w:rFonts w:ascii="Times New Roman" w:hAnsi="Times New Roman" w:cs="Times New Roman"/>
          <w:sz w:val="24"/>
        </w:rPr>
        <w:t>4.5.2.4. TRAKTĒJUMI, KAS JĀIEVĒRO, JA VALDĪBA IESAISTĀS TIKAI KĀ GALVOTĀJA</w:t>
      </w:r>
    </w:p>
    <w:p w14:paraId="3EE80615"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663E2CF1"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18. Finanšu iestādes vai īpašas šo finanšu iestāžu kontrolētas vienības, kas klasificētas ārpus valdības sektora, var saņemt valdības garantiju attiecībā uz visiem problemātiskajiem/samazinātas vērtības aktīviem, kuri skaidri norādīti to portfelī, vai kādu to daļu.</w:t>
      </w:r>
    </w:p>
    <w:p w14:paraId="7A4F072B" w14:textId="77777777" w:rsidR="00443399" w:rsidRPr="00B03B51" w:rsidRDefault="00443399" w:rsidP="00443399">
      <w:pPr>
        <w:pStyle w:val="BodyText"/>
        <w:spacing w:before="0"/>
        <w:ind w:left="0" w:firstLine="0"/>
        <w:jc w:val="both"/>
        <w:rPr>
          <w:rFonts w:ascii="Times New Roman" w:hAnsi="Times New Roman" w:cs="Times New Roman"/>
          <w:noProof/>
          <w:sz w:val="24"/>
        </w:rPr>
      </w:pPr>
    </w:p>
    <w:p w14:paraId="44D2F2DC" w14:textId="77777777" w:rsidR="00443399" w:rsidRPr="00B03B51" w:rsidRDefault="00443399" w:rsidP="00443399">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t>Ja pastāv šādi galvojumi, tad rīkojas, kā norādīts turpmāk.</w:t>
      </w:r>
    </w:p>
    <w:p w14:paraId="6BBBADAC" w14:textId="77777777" w:rsidR="00443399" w:rsidRPr="00B03B51" w:rsidRDefault="00443399" w:rsidP="00443399">
      <w:pPr>
        <w:pStyle w:val="BodyText"/>
        <w:spacing w:before="0"/>
        <w:ind w:left="0" w:firstLine="0"/>
        <w:jc w:val="both"/>
        <w:rPr>
          <w:rFonts w:ascii="Times New Roman" w:hAnsi="Times New Roman" w:cs="Times New Roman"/>
          <w:noProof/>
          <w:sz w:val="24"/>
        </w:rPr>
      </w:pPr>
    </w:p>
    <w:p w14:paraId="1A0291D4" w14:textId="77777777" w:rsidR="00443399" w:rsidRPr="00B03B51" w:rsidRDefault="00443399" w:rsidP="00500EA4">
      <w:pPr>
        <w:pStyle w:val="BodyText"/>
        <w:numPr>
          <w:ilvl w:val="1"/>
          <w:numId w:val="65"/>
        </w:numPr>
        <w:spacing w:before="0"/>
        <w:ind w:left="426" w:hanging="425"/>
        <w:jc w:val="both"/>
        <w:rPr>
          <w:rFonts w:ascii="Times New Roman" w:hAnsi="Times New Roman" w:cs="Times New Roman"/>
          <w:noProof/>
          <w:sz w:val="24"/>
        </w:rPr>
      </w:pPr>
      <w:r w:rsidRPr="00B03B51">
        <w:rPr>
          <w:rFonts w:ascii="Times New Roman" w:hAnsi="Times New Roman" w:cs="Times New Roman"/>
          <w:sz w:val="24"/>
        </w:rPr>
        <w:t>Ja valdība uzņemas visus riskus vai to lielāko daļu un izsniedz atlīdzību tiešā saistībā ar problemātiskajiem aktīviem, tad valdību uzskata par šo aktīvu ekonomisko īpašnieci un valdības kontos jāieraksta finanšu aktīva iegūšana, kā pretvērtības darījumu ierakstot finanšu iestādes aizdevumu valdībai. Ja valdība iegādājas aktīvus virs to tirgus cenas vai patiesās vērtības, attiecībā uz tirgus cenas vai patiesās vērtības pārsniegumu jāieraksta valdības kapitāla pārvedums (skat. uzskaites piemēru).</w:t>
      </w:r>
    </w:p>
    <w:p w14:paraId="6FA12CAF" w14:textId="77777777" w:rsidR="00443399" w:rsidRPr="00B03B51" w:rsidRDefault="00443399" w:rsidP="00500EA4">
      <w:pPr>
        <w:pStyle w:val="BodyText"/>
        <w:numPr>
          <w:ilvl w:val="1"/>
          <w:numId w:val="65"/>
        </w:numPr>
        <w:spacing w:before="0"/>
        <w:ind w:left="426" w:hanging="425"/>
        <w:jc w:val="both"/>
        <w:rPr>
          <w:rFonts w:ascii="Times New Roman" w:hAnsi="Times New Roman" w:cs="Times New Roman"/>
          <w:noProof/>
          <w:sz w:val="24"/>
        </w:rPr>
      </w:pPr>
      <w:r w:rsidRPr="00B03B51">
        <w:rPr>
          <w:rFonts w:ascii="Times New Roman" w:hAnsi="Times New Roman" w:cs="Times New Roman"/>
          <w:sz w:val="24"/>
        </w:rPr>
        <w:t>Ja tā vietā valdības garantija sedz vienīgi problemātisko aktīvu radītos zaudējumus, traktējumam nacionālajos kontos jāievēro vispārējie noteikumi attiecībā uz garantijām, kas noteikti šīs rokasgrāmatas 7.4. nodaļā, izņemot to, ka problemātisko aktīvu gadījumā nepiemēro noteikumu, kas attiecas uz atkārtotiem prasījumiem.</w:t>
      </w:r>
    </w:p>
    <w:p w14:paraId="153C1808" w14:textId="77777777" w:rsidR="00443399" w:rsidRPr="00B03B51" w:rsidRDefault="00443399" w:rsidP="00443399">
      <w:pPr>
        <w:pStyle w:val="BodyText"/>
        <w:spacing w:before="0"/>
        <w:ind w:left="0" w:firstLine="0"/>
        <w:jc w:val="both"/>
        <w:rPr>
          <w:rFonts w:ascii="Times New Roman" w:hAnsi="Times New Roman" w:cs="Times New Roman"/>
          <w:noProof/>
          <w:sz w:val="24"/>
        </w:rPr>
      </w:pPr>
    </w:p>
    <w:p w14:paraId="3D72B875" w14:textId="77777777" w:rsidR="00443399" w:rsidRPr="00B03B51" w:rsidRDefault="00443399" w:rsidP="00500EA4">
      <w:pPr>
        <w:pStyle w:val="BodyText"/>
        <w:spacing w:before="0"/>
        <w:ind w:left="426" w:firstLine="0"/>
        <w:jc w:val="both"/>
        <w:rPr>
          <w:rFonts w:ascii="Times New Roman" w:hAnsi="Times New Roman" w:cs="Times New Roman"/>
          <w:noProof/>
          <w:sz w:val="24"/>
        </w:rPr>
      </w:pPr>
      <w:r w:rsidRPr="00B03B51">
        <w:rPr>
          <w:rFonts w:ascii="Times New Roman" w:hAnsi="Times New Roman" w:cs="Times New Roman"/>
          <w:sz w:val="24"/>
        </w:rPr>
        <w:t>Jāizvērtē dažādi gadījumi.</w:t>
      </w:r>
    </w:p>
    <w:p w14:paraId="751B3A44" w14:textId="77777777" w:rsidR="00443399" w:rsidRPr="00B03B51" w:rsidRDefault="00443399" w:rsidP="00500EA4">
      <w:pPr>
        <w:pStyle w:val="BodyText"/>
        <w:spacing w:before="0"/>
        <w:ind w:left="426" w:firstLine="0"/>
        <w:jc w:val="both"/>
        <w:rPr>
          <w:rFonts w:ascii="Times New Roman" w:hAnsi="Times New Roman" w:cs="Times New Roman"/>
          <w:noProof/>
          <w:sz w:val="24"/>
        </w:rPr>
      </w:pPr>
    </w:p>
    <w:p w14:paraId="309733C5" w14:textId="77777777" w:rsidR="00443399" w:rsidRPr="00B03B51" w:rsidRDefault="00443399" w:rsidP="00500EA4">
      <w:pPr>
        <w:pStyle w:val="BodyText"/>
        <w:numPr>
          <w:ilvl w:val="2"/>
          <w:numId w:val="65"/>
        </w:numPr>
        <w:spacing w:before="0"/>
        <w:ind w:left="851" w:hanging="425"/>
        <w:jc w:val="both"/>
        <w:rPr>
          <w:rFonts w:ascii="Times New Roman" w:hAnsi="Times New Roman" w:cs="Times New Roman"/>
          <w:noProof/>
          <w:sz w:val="24"/>
        </w:rPr>
      </w:pPr>
      <w:r w:rsidRPr="00B03B51">
        <w:rPr>
          <w:rFonts w:ascii="Times New Roman" w:hAnsi="Times New Roman" w:cs="Times New Roman"/>
          <w:sz w:val="24"/>
        </w:rPr>
        <w:t xml:space="preserve">Pirmkārt, problemātiska aktīva garantijas prasījums, ja prasījums ir daļējs un aktīvs tiek uzskatīts vismaz par daļēji atgūstamu (t. i., tas paliek bilancē), tādā gadījumā kapitāla pārvedumu (valdības izdevumus) ieraksta garantijas prasījuma summas </w:t>
      </w:r>
      <w:r w:rsidRPr="00B03B51">
        <w:rPr>
          <w:rFonts w:ascii="Times New Roman" w:hAnsi="Times New Roman" w:cs="Times New Roman"/>
          <w:sz w:val="24"/>
        </w:rPr>
        <w:lastRenderedPageBreak/>
        <w:t>apmērā prasījuma iesniegšanas brīdī.</w:t>
      </w:r>
    </w:p>
    <w:p w14:paraId="33A9EA27" w14:textId="77777777" w:rsidR="00443399" w:rsidRPr="00B03B51" w:rsidRDefault="00443399" w:rsidP="00500EA4">
      <w:pPr>
        <w:pStyle w:val="BodyText"/>
        <w:numPr>
          <w:ilvl w:val="2"/>
          <w:numId w:val="65"/>
        </w:numPr>
        <w:spacing w:before="0"/>
        <w:ind w:left="851" w:hanging="425"/>
        <w:jc w:val="both"/>
        <w:rPr>
          <w:rFonts w:ascii="Times New Roman" w:hAnsi="Times New Roman" w:cs="Times New Roman"/>
          <w:noProof/>
          <w:sz w:val="24"/>
        </w:rPr>
      </w:pPr>
      <w:r w:rsidRPr="00B03B51">
        <w:rPr>
          <w:rFonts w:ascii="Times New Roman" w:hAnsi="Times New Roman" w:cs="Times New Roman"/>
          <w:sz w:val="24"/>
        </w:rPr>
        <w:t>Otrkārt, problemātiska aktīva garantijas prasījums, ja nav gaidāms kaut ko turpmāk atgūt (taču aktīvs paliek bilancē), ir ierakstāms kā kapitāla pārvedums (valdības izdevumi) prasījuma iesniegšanas brīdī par pilnu prasījuma summu. Jebkādas negaidītas atmaksas ir ierakstāmas kā pretējs kapitāla pārvedums (valdības ieņēmumi).</w:t>
      </w:r>
    </w:p>
    <w:p w14:paraId="1888AEFD" w14:textId="77777777" w:rsidR="00443399" w:rsidRPr="00B03B51" w:rsidRDefault="00443399" w:rsidP="00500EA4">
      <w:pPr>
        <w:pStyle w:val="BodyText"/>
        <w:numPr>
          <w:ilvl w:val="2"/>
          <w:numId w:val="65"/>
        </w:numPr>
        <w:spacing w:before="0"/>
        <w:ind w:left="851" w:hanging="425"/>
        <w:jc w:val="both"/>
        <w:rPr>
          <w:rFonts w:ascii="Times New Roman" w:hAnsi="Times New Roman" w:cs="Times New Roman"/>
          <w:noProof/>
          <w:sz w:val="24"/>
        </w:rPr>
      </w:pPr>
      <w:r w:rsidRPr="00B03B51">
        <w:rPr>
          <w:rFonts w:ascii="Times New Roman" w:hAnsi="Times New Roman" w:cs="Times New Roman"/>
          <w:sz w:val="24"/>
        </w:rPr>
        <w:t>Treškārt, ja finanšu iestāde ir pārdevusi problemātisko aktīvu ar zaudējumiem un tiek pieprasīta garantija, kapitāla pārvedumu (valdības izdevumus) ieraksta garantijas prasījuma summas apmērā prasījuma iesniegšanas brīdī.</w:t>
      </w:r>
    </w:p>
    <w:p w14:paraId="4EADEB10" w14:textId="77777777" w:rsidR="00443399" w:rsidRPr="00B03B51" w:rsidRDefault="00443399" w:rsidP="00500EA4">
      <w:pPr>
        <w:pStyle w:val="BodyText"/>
        <w:numPr>
          <w:ilvl w:val="2"/>
          <w:numId w:val="65"/>
        </w:numPr>
        <w:spacing w:before="0"/>
        <w:ind w:left="851" w:hanging="425"/>
        <w:jc w:val="both"/>
        <w:rPr>
          <w:rFonts w:ascii="Times New Roman" w:hAnsi="Times New Roman" w:cs="Times New Roman"/>
          <w:noProof/>
          <w:sz w:val="24"/>
        </w:rPr>
      </w:pPr>
      <w:r w:rsidRPr="00B03B51">
        <w:rPr>
          <w:rFonts w:ascii="Times New Roman" w:hAnsi="Times New Roman" w:cs="Times New Roman"/>
          <w:sz w:val="24"/>
        </w:rPr>
        <w:t>Ceturtkārt, var būt īpaša kārtība, saskaņā ar kuru, ja netiek veikts maksājums, kas jāveic par problemātiskajiem aktīviem, ko garantējusi valdība, var tikt ierosināts aktīva pārvedums valdībai. To ieraksta valdības kontos kā kapitāla pārvedumu (valdības izdevumus). Tikai gadījumā, ja var ticami aprēķināt, ka kādas summas var atgūt (neatkarīga struktūra), atgūstamo daļu varētu ierakstīt kā finanšu darījumu.</w:t>
      </w:r>
    </w:p>
    <w:p w14:paraId="011FA5C6" w14:textId="77777777" w:rsidR="00443399" w:rsidRPr="00B03B51" w:rsidRDefault="00443399" w:rsidP="00443399">
      <w:pPr>
        <w:jc w:val="both"/>
        <w:rPr>
          <w:rFonts w:ascii="Times New Roman" w:eastAsia="Arial" w:hAnsi="Times New Roman" w:cs="Times New Roman"/>
          <w:noProof/>
          <w:sz w:val="24"/>
          <w:szCs w:val="15"/>
        </w:rPr>
      </w:pPr>
    </w:p>
    <w:p w14:paraId="3627520E" w14:textId="77777777" w:rsidR="00443399" w:rsidRPr="00B03B51" w:rsidRDefault="00443399" w:rsidP="00443399">
      <w:pPr>
        <w:pStyle w:val="Heading6"/>
        <w:tabs>
          <w:tab w:val="left" w:pos="1267"/>
          <w:tab w:val="left" w:pos="3008"/>
          <w:tab w:val="left" w:pos="3552"/>
          <w:tab w:val="left" w:pos="4099"/>
          <w:tab w:val="left" w:pos="5601"/>
          <w:tab w:val="left" w:pos="6513"/>
          <w:tab w:val="left" w:pos="8331"/>
          <w:tab w:val="left" w:pos="9185"/>
        </w:tabs>
        <w:ind w:left="0" w:firstLine="0"/>
        <w:jc w:val="both"/>
        <w:rPr>
          <w:rFonts w:ascii="Times New Roman" w:hAnsi="Times New Roman" w:cs="Times New Roman"/>
          <w:noProof/>
          <w:sz w:val="24"/>
        </w:rPr>
      </w:pPr>
      <w:bookmarkStart w:id="363" w:name="4.5.2.5_Treatments_to_be_followed_when_g"/>
      <w:bookmarkEnd w:id="363"/>
      <w:r w:rsidRPr="00B03B51">
        <w:rPr>
          <w:rFonts w:ascii="Times New Roman" w:hAnsi="Times New Roman" w:cs="Times New Roman"/>
          <w:sz w:val="24"/>
        </w:rPr>
        <w:t>4.5.2.5. TRAKTĒJUMI, KAS JĀIEVĒRO, JA VALDĪBA PĒRK PROBLEMĀTISKOS AKTĪVUS</w:t>
      </w:r>
    </w:p>
    <w:p w14:paraId="1D83B49D"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60B49B96"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19. Valdība var arī pirkt (vai pārņemt) problemātiskos aktīvus. Tā to dara tiešā veidā vai ar tādu īpaši izveidotu vienību starpniecību, kuras uzskata par daļu no valdības sektora. Šajā punktā pieņem, ka abos šajos gadījumos pirkumu ir veikusi valdība. Galvenais apsvērums ir tas, ka valdība pērk (vai pārņem) problemātiskos aktīvus no finanšu iestādes par cenu, kas konkrētajā brīdī var atšķirties no tirgus cenas (vai patiesās vērtības) vai būt augstāka par to.</w:t>
      </w:r>
    </w:p>
    <w:p w14:paraId="0BC1BE4F" w14:textId="77777777" w:rsidR="00443399" w:rsidRPr="00B03B51" w:rsidRDefault="00443399" w:rsidP="00443399">
      <w:pPr>
        <w:jc w:val="both"/>
        <w:rPr>
          <w:rFonts w:ascii="Times New Roman" w:eastAsia="Arial" w:hAnsi="Times New Roman" w:cs="Times New Roman"/>
          <w:noProof/>
          <w:sz w:val="24"/>
          <w:szCs w:val="18"/>
        </w:rPr>
      </w:pPr>
    </w:p>
    <w:p w14:paraId="22AE96FF" w14:textId="77777777" w:rsidR="00443399" w:rsidRPr="00B03B51" w:rsidRDefault="00443399" w:rsidP="00443399">
      <w:pPr>
        <w:tabs>
          <w:tab w:val="left" w:pos="919"/>
        </w:tabs>
        <w:jc w:val="both"/>
        <w:rPr>
          <w:rFonts w:ascii="Times New Roman" w:hAnsi="Times New Roman" w:cs="Times New Roman"/>
          <w:b/>
          <w:noProof/>
          <w:sz w:val="24"/>
        </w:rPr>
      </w:pPr>
      <w:r w:rsidRPr="00B03B51">
        <w:rPr>
          <w:rFonts w:ascii="Times New Roman" w:hAnsi="Times New Roman" w:cs="Times New Roman"/>
          <w:b/>
          <w:sz w:val="24"/>
        </w:rPr>
        <w:t>a) Ieraksti sanācijas procesa sākumā</w:t>
      </w:r>
    </w:p>
    <w:p w14:paraId="1EE37441" w14:textId="77777777" w:rsidR="00443399" w:rsidRPr="00B03B51" w:rsidRDefault="00443399" w:rsidP="00443399">
      <w:pPr>
        <w:jc w:val="both"/>
        <w:rPr>
          <w:rFonts w:ascii="Times New Roman" w:eastAsia="Arial" w:hAnsi="Times New Roman" w:cs="Times New Roman"/>
          <w:b/>
          <w:bCs/>
          <w:noProof/>
          <w:sz w:val="24"/>
        </w:rPr>
      </w:pPr>
    </w:p>
    <w:p w14:paraId="16EF9D42"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20. Kopumā pieņemts uzskatīt, ka aktīvu iegāde ir finanšu darījums, taču iepriekš minētajos apstākļos jāieraksta kapitāla pārvedums, ja valdība pērk aktīvus no finanšu iestādes. Kapitāla pārveduma summai, kas veikta šādai finanšu iestādei, ir jābūt vienādai ar starpību starp summu, kas ir samaksāta par aktīviem, un to tirgus vērtību. Ir lietderīgi nošķirt dažādus aktīvu veidus.</w:t>
      </w:r>
    </w:p>
    <w:p w14:paraId="0170B6EF" w14:textId="77777777" w:rsidR="00443399" w:rsidRPr="00B03B51" w:rsidRDefault="00443399" w:rsidP="00443399">
      <w:pPr>
        <w:pStyle w:val="BodyText"/>
        <w:spacing w:before="0"/>
        <w:ind w:left="0" w:firstLine="0"/>
        <w:jc w:val="both"/>
        <w:rPr>
          <w:rFonts w:ascii="Times New Roman" w:hAnsi="Times New Roman" w:cs="Times New Roman"/>
          <w:noProof/>
          <w:sz w:val="24"/>
        </w:rPr>
      </w:pPr>
    </w:p>
    <w:p w14:paraId="5C26AD03" w14:textId="77777777" w:rsidR="00443399" w:rsidRPr="00B03B51" w:rsidRDefault="00443399" w:rsidP="00443399">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t>Jebkurā gadījumā ietekme uz neto aizdevumu/aizņēmumu (B.9) būs vienāda ar kapitāla pārveduma summu brīdī, kad aktīvi tiek nodoti valdības sanācijas struktūrai vai citai valdības vienībai. Ja aktīvu nodošana notiek saistībā ar sanācijas vienības klasifikācijas maiņu, kura izriet no pastāvošas finanšu iestādes pārstrukturēšanas atbilstīgi tam, kā noteikts iepriekš, ietekme uz parādu ir vienāda ar valdības pārņemtajām saistībām.</w:t>
      </w:r>
    </w:p>
    <w:p w14:paraId="52C84327"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67C50628"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21. Lielākajai daļai aktīvu, kurus regulāri piedāvā tirgū, var konstatēt tirgus cenu. Tā tas ir vērtspapīru un kotēto akciju gadījumā un mazākā mērā (atkarībā no dažiem īpašiem apstākļiem) arī nekustamā īpašuma gadījumā. Ja (kā to var pieņemt) cena, par kādu šie aktīvi tiek pārdoti sanācijas struktūrai, atšķiras no šīs tirgus vērtības, kapitāla pārveduma summa ir vienāda ar starpību starp aktīvu pārdošanas cenu un tirgus vērtību.</w:t>
      </w:r>
    </w:p>
    <w:p w14:paraId="0C8A2851"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2B39619A" w14:textId="77777777" w:rsidR="00443399" w:rsidRPr="00B03B51" w:rsidRDefault="00443399" w:rsidP="00500EA4">
      <w:pPr>
        <w:pStyle w:val="BodyText"/>
        <w:numPr>
          <w:ilvl w:val="1"/>
          <w:numId w:val="65"/>
        </w:numPr>
        <w:spacing w:before="0"/>
        <w:ind w:left="426" w:hanging="425"/>
        <w:jc w:val="both"/>
        <w:rPr>
          <w:rFonts w:ascii="Times New Roman" w:hAnsi="Times New Roman" w:cs="Times New Roman"/>
          <w:noProof/>
          <w:sz w:val="24"/>
        </w:rPr>
      </w:pPr>
      <w:r w:rsidRPr="00B03B51">
        <w:rPr>
          <w:rFonts w:ascii="Times New Roman" w:hAnsi="Times New Roman" w:cs="Times New Roman"/>
          <w:sz w:val="24"/>
        </w:rPr>
        <w:t>Saistībā ar nekustamā īpašuma aktīviem finanšu iestādes var būt nonākušas grūtībās tādēļ, ka tirgū samazinās nekustamā īpašuma cenas. Lai aprēķinātu nekustamā īpašuma aktīvu tirgus vērtību, attiecībā uz to pārdošanas cenu var piemērot nekustamo īpašumu cenu indeksus.</w:t>
      </w:r>
    </w:p>
    <w:p w14:paraId="536210EF" w14:textId="77777777" w:rsidR="00443399" w:rsidRPr="00B03B51" w:rsidRDefault="00443399" w:rsidP="00500EA4">
      <w:pPr>
        <w:pStyle w:val="BodyText"/>
        <w:numPr>
          <w:ilvl w:val="1"/>
          <w:numId w:val="65"/>
        </w:numPr>
        <w:spacing w:before="0"/>
        <w:ind w:left="426" w:hanging="425"/>
        <w:jc w:val="both"/>
        <w:rPr>
          <w:rFonts w:ascii="Times New Roman" w:hAnsi="Times New Roman" w:cs="Times New Roman"/>
          <w:noProof/>
          <w:sz w:val="24"/>
        </w:rPr>
      </w:pPr>
      <w:r w:rsidRPr="00B03B51">
        <w:rPr>
          <w:rFonts w:ascii="Times New Roman" w:hAnsi="Times New Roman" w:cs="Times New Roman"/>
          <w:sz w:val="24"/>
        </w:rPr>
        <w:t>Vērtspapīru un akciju gadījumā, izņemot funkcionējoša tirgus pastāvīga trūkuma gadījumus, tirgus cenas iespējams noskaidrot, pamatojoties uz biržas informāciju par kotētajiem instrumentiem. Nekotēto akciju cena jāatvasina no kotēto akciju tendencēm līdzīgā sektorā.</w:t>
      </w:r>
    </w:p>
    <w:p w14:paraId="74307F4E" w14:textId="77777777" w:rsidR="00443399" w:rsidRPr="00B03B51" w:rsidRDefault="00443399" w:rsidP="00500EA4">
      <w:pPr>
        <w:pStyle w:val="BodyText"/>
        <w:numPr>
          <w:ilvl w:val="1"/>
          <w:numId w:val="65"/>
        </w:numPr>
        <w:spacing w:before="0"/>
        <w:ind w:left="426" w:hanging="425"/>
        <w:jc w:val="both"/>
        <w:rPr>
          <w:rFonts w:ascii="Times New Roman" w:hAnsi="Times New Roman" w:cs="Times New Roman"/>
          <w:noProof/>
          <w:sz w:val="24"/>
        </w:rPr>
      </w:pPr>
      <w:r w:rsidRPr="00B03B51">
        <w:rPr>
          <w:rFonts w:ascii="Times New Roman" w:hAnsi="Times New Roman" w:cs="Times New Roman"/>
          <w:sz w:val="24"/>
        </w:rPr>
        <w:t xml:space="preserve">Problemātisko aizdevumu gadījumā patiesā vērtība (pašreizējā brīdī paredzamā izpirkšanas </w:t>
      </w:r>
      <w:r w:rsidRPr="00B03B51">
        <w:rPr>
          <w:rFonts w:ascii="Times New Roman" w:hAnsi="Times New Roman" w:cs="Times New Roman"/>
          <w:sz w:val="24"/>
        </w:rPr>
        <w:lastRenderedPageBreak/>
        <w:t>vērtība) būs mazāka par pamatsummu, kāda debitoriem jāmaksā. Finanšu iestādes tos parasti nodod par neatmaksāto pamatsummu (līgumā noteikto sākotnējo izpirkšanas vērtību). Tā kā aizdevumi pēc būtības nav pastāvošajos tirgos apgrozāmi instrumenti, tiem nav tirgus vērtības, tāpēc gadījumā, ja tiek īstenota ievērojama nodošana valdībai, to patiesā vērtība jāaprēķina neatkarīgai struktūrai, pamatojoties uz “reālistiskiem pieņēmumiem”. Nepastāvot nekādām pārrunām ar debitoriem, netiek veiktas izmaiņas to sākotnējās saistībās. Līdz ar to bilancē jāreģistrē aizdevumu nominālvērtība. Darījums netiek īstenots tīri komerciālu apsvērumu dēļ (t. i., cerot gūt peļņu pēc tā, skat. EKS 2010 5.21. punktu, kurā noteikts, ka starpība starp darījuma cenu un tirgus cenu ir jānosaka kā kapitāla pārvedums). Ja tomēr ir ticama informācija, ka daži aizdevumi ir pilnīgi vai gandrīz pilnīgi neatgūstami (jo, piemēram, ir pazudis debitors), jāpieņem, ka to patiesā vērtība ir vienāda ar nulli un kapitāla pārvedums jāieraksta pilnā aizdevuma apmērā, kāds pastāv brīdī, kad tiek veikts darījums ar sanācijas struktūru. Parasti sanācijas struktūrai šādi aizdevumi pēc darījuma ir jānoraksta.</w:t>
      </w:r>
    </w:p>
    <w:p w14:paraId="0390D56A" w14:textId="77777777" w:rsidR="00443399" w:rsidRPr="00B03B51" w:rsidRDefault="00443399" w:rsidP="00443399">
      <w:pPr>
        <w:jc w:val="both"/>
        <w:rPr>
          <w:rFonts w:ascii="Times New Roman" w:hAnsi="Times New Roman" w:cs="Times New Roman"/>
          <w:noProof/>
          <w:sz w:val="24"/>
        </w:rPr>
      </w:pPr>
    </w:p>
    <w:p w14:paraId="66580392" w14:textId="77777777" w:rsidR="00443399" w:rsidRPr="00B03B51" w:rsidRDefault="00443399" w:rsidP="00443399">
      <w:pPr>
        <w:tabs>
          <w:tab w:val="left" w:pos="919"/>
        </w:tabs>
        <w:jc w:val="both"/>
        <w:rPr>
          <w:rFonts w:ascii="Times New Roman" w:hAnsi="Times New Roman" w:cs="Times New Roman"/>
          <w:b/>
          <w:noProof/>
          <w:sz w:val="24"/>
        </w:rPr>
      </w:pPr>
      <w:r w:rsidRPr="00B03B51">
        <w:rPr>
          <w:rFonts w:ascii="Times New Roman" w:hAnsi="Times New Roman" w:cs="Times New Roman"/>
          <w:b/>
          <w:sz w:val="24"/>
        </w:rPr>
        <w:t>b) Ieraksti sanācijas procesa laikā</w:t>
      </w:r>
    </w:p>
    <w:p w14:paraId="598DDD7E" w14:textId="77777777" w:rsidR="00443399" w:rsidRPr="00B03B51" w:rsidRDefault="00443399" w:rsidP="00443399">
      <w:pPr>
        <w:jc w:val="both"/>
        <w:rPr>
          <w:rFonts w:ascii="Times New Roman" w:eastAsia="Arial" w:hAnsi="Times New Roman" w:cs="Times New Roman"/>
          <w:b/>
          <w:bCs/>
          <w:noProof/>
          <w:sz w:val="24"/>
        </w:rPr>
      </w:pPr>
    </w:p>
    <w:p w14:paraId="3277025E"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22. Arī šajā gadījumā jāņem vērā nodoto aktīvu dalījums.</w:t>
      </w:r>
    </w:p>
    <w:p w14:paraId="1AA29097"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6991AC6C" w14:textId="77777777" w:rsidR="00443399" w:rsidRPr="00B03B51" w:rsidRDefault="00443399" w:rsidP="00500EA4">
      <w:pPr>
        <w:pStyle w:val="BodyText"/>
        <w:numPr>
          <w:ilvl w:val="1"/>
          <w:numId w:val="65"/>
        </w:numPr>
        <w:spacing w:before="0"/>
        <w:ind w:left="426" w:hanging="425"/>
        <w:jc w:val="both"/>
        <w:rPr>
          <w:rFonts w:ascii="Times New Roman" w:hAnsi="Times New Roman" w:cs="Times New Roman"/>
          <w:noProof/>
          <w:sz w:val="24"/>
        </w:rPr>
      </w:pPr>
      <w:r w:rsidRPr="00B03B51">
        <w:rPr>
          <w:rFonts w:ascii="Times New Roman" w:hAnsi="Times New Roman" w:cs="Times New Roman"/>
          <w:sz w:val="24"/>
        </w:rPr>
        <w:t>Nefinanšu aktīvu, piemēram, ēku, gadījumā vai, vispārīgi runājot, nekustamā īpašuma gadījumā tirgus vērtība var mainīties laikā, kad šādus aktīvus tur vienība, kuru var uzskatīt par sanācijas struktūru. Izmaiņas jāieraksta pārvērtēšanas kontā, neietekmējot valdības neto aizdevumu/aizņēmumu (B.9). Ja nekustamo īpašumu pārdod vienībām, kuras klasificētas ārpus vispārējās valdības sektora, to pārdošanu ieraksta kā nefinanšu aktīvu realizāciju ar labvēlīgu ietekmi uz valdības aizdevumu/aizņēmumu (B.9) (un, iespējams, arī ar pārvērtēšanu, ja cena augstāka par bilancē ierakstīto vērtību).</w:t>
      </w:r>
    </w:p>
    <w:p w14:paraId="14909496" w14:textId="77777777" w:rsidR="00443399" w:rsidRPr="00B03B51" w:rsidRDefault="00443399" w:rsidP="00500EA4">
      <w:pPr>
        <w:pStyle w:val="BodyText"/>
        <w:numPr>
          <w:ilvl w:val="1"/>
          <w:numId w:val="65"/>
        </w:numPr>
        <w:spacing w:before="0"/>
        <w:ind w:left="426" w:hanging="425"/>
        <w:jc w:val="both"/>
        <w:rPr>
          <w:rFonts w:ascii="Times New Roman" w:hAnsi="Times New Roman" w:cs="Times New Roman"/>
          <w:noProof/>
          <w:sz w:val="24"/>
        </w:rPr>
      </w:pPr>
      <w:r w:rsidRPr="00B03B51">
        <w:rPr>
          <w:rFonts w:ascii="Times New Roman" w:hAnsi="Times New Roman" w:cs="Times New Roman"/>
          <w:sz w:val="24"/>
        </w:rPr>
        <w:t>Tas pats attiecas uz vērtspapīriem un aktīviem, izņemot to, ka to pārdošana neietekmē valdības neto aizdevumu/aizņēmumu, jo pēc būtības tas ir finanšu darījums.</w:t>
      </w:r>
    </w:p>
    <w:p w14:paraId="09A100CF" w14:textId="77777777" w:rsidR="00443399" w:rsidRPr="00B03B51" w:rsidRDefault="00443399" w:rsidP="00500EA4">
      <w:pPr>
        <w:pStyle w:val="BodyText"/>
        <w:numPr>
          <w:ilvl w:val="1"/>
          <w:numId w:val="65"/>
        </w:numPr>
        <w:spacing w:before="0"/>
        <w:ind w:left="426" w:hanging="425"/>
        <w:jc w:val="both"/>
        <w:rPr>
          <w:rFonts w:ascii="Times New Roman" w:hAnsi="Times New Roman" w:cs="Times New Roman"/>
          <w:noProof/>
          <w:sz w:val="24"/>
        </w:rPr>
      </w:pPr>
      <w:r w:rsidRPr="00B03B51">
        <w:rPr>
          <w:rFonts w:ascii="Times New Roman" w:hAnsi="Times New Roman" w:cs="Times New Roman"/>
          <w:sz w:val="24"/>
        </w:rPr>
        <w:t>Attiecībā uz aizdevumiem, kas netiek atmaksāti pilnas pamatvērtības apmērā, kuru ierakstījusi pircēja valdības vienība, var piemērot divas procedūras – atcelšanu, kas nozīmē kapitāla pārvedumu, ja debitors joprojām pastāv, vai (ļoti retos izņēmuma gadījumos) norakstīšanu, kas ierakstāma kontā “Citas aktīvu apjoma pārmaiņas”, ja debitors vairs nepastāv un galvotāja vienība nespēj atmaksāt parādu.</w:t>
      </w:r>
    </w:p>
    <w:p w14:paraId="00A8AF2A" w14:textId="77777777" w:rsidR="00443399" w:rsidRPr="00B03B51" w:rsidRDefault="00443399" w:rsidP="00443399">
      <w:pPr>
        <w:jc w:val="both"/>
        <w:rPr>
          <w:rFonts w:ascii="Times New Roman" w:eastAsia="Arial" w:hAnsi="Times New Roman" w:cs="Times New Roman"/>
          <w:noProof/>
          <w:sz w:val="24"/>
          <w:szCs w:val="15"/>
        </w:rPr>
      </w:pPr>
    </w:p>
    <w:p w14:paraId="625486F1" w14:textId="77777777" w:rsidR="00443399" w:rsidRPr="00B03B51" w:rsidRDefault="00443399" w:rsidP="00443399">
      <w:pPr>
        <w:pStyle w:val="Heading6"/>
        <w:tabs>
          <w:tab w:val="left" w:pos="1267"/>
        </w:tabs>
        <w:ind w:left="0" w:firstLine="0"/>
        <w:jc w:val="both"/>
        <w:rPr>
          <w:rFonts w:ascii="Times New Roman" w:hAnsi="Times New Roman" w:cs="Times New Roman"/>
          <w:noProof/>
          <w:sz w:val="24"/>
        </w:rPr>
      </w:pPr>
      <w:r w:rsidRPr="00B03B51">
        <w:rPr>
          <w:rFonts w:ascii="Times New Roman" w:hAnsi="Times New Roman" w:cs="Times New Roman"/>
          <w:sz w:val="24"/>
        </w:rPr>
        <w:t>4.5.2.6. GADĪJUMS, KAD VALDĪBA SNIEDZ TIEŠU FINANSĒJUMU</w:t>
      </w:r>
    </w:p>
    <w:p w14:paraId="5FC9BD97" w14:textId="77777777" w:rsidR="00443399" w:rsidRPr="00B03B51" w:rsidRDefault="00443399" w:rsidP="00443399">
      <w:pPr>
        <w:pStyle w:val="BodyText"/>
        <w:spacing w:before="0"/>
        <w:ind w:left="0" w:firstLine="0"/>
        <w:jc w:val="both"/>
        <w:rPr>
          <w:rFonts w:ascii="Times New Roman" w:hAnsi="Times New Roman" w:cs="Times New Roman"/>
          <w:noProof/>
          <w:sz w:val="24"/>
        </w:rPr>
      </w:pPr>
    </w:p>
    <w:p w14:paraId="597B40B1" w14:textId="77777777" w:rsidR="00443399" w:rsidRPr="00B03B51" w:rsidRDefault="00443399" w:rsidP="00443399">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t xml:space="preserve">23. Vienība, kas nav pārklasificēta valdības sektorā un tur problemātiskos aktīvus vai piedalās ar problemātiskajiem aktīviem saistītā atbalsta operācijā, var saņemt valdības tiešu finanšu atbalstu, lai īstenotu īpašus darījumus pēc valdības ierosmes, ko parasts privāts ieguldītājs neuzņemtos un kas neietilpst tās ierastajā darbības jomā. Valdība jāuzskata par galveno attiecīgajā darījumā iesaistīto pusi, un darījums ir jāpārvirza caur valdības kontiem (EKS 2010 1.73.–1.75. punkts). Ja saistībā ar pārvirzītajiem darījumiem paredzēts, ka finanšu starpnieks valdības vārdā iepludinās kapitālu finanšu vai nefinanšu sabiedrībā, šī kapitāla iepludināšana jāieraksta atbilstīgi tam, kā noteikts šīs rokasgrāmatas 3.2. nodaļā vai </w:t>
      </w:r>
      <w:r w:rsidRPr="00B03B51">
        <w:rPr>
          <w:rFonts w:ascii="Times New Roman" w:hAnsi="Times New Roman" w:cs="Times New Roman"/>
          <w:i/>
          <w:iCs/>
          <w:sz w:val="24"/>
        </w:rPr>
        <w:t>Eurostat</w:t>
      </w:r>
      <w:r w:rsidRPr="00B03B51">
        <w:rPr>
          <w:rFonts w:ascii="Times New Roman" w:hAnsi="Times New Roman" w:cs="Times New Roman"/>
          <w:sz w:val="24"/>
        </w:rPr>
        <w:t xml:space="preserve"> 2009. gada jūlija lēmumā par to, </w:t>
      </w:r>
      <w:r w:rsidRPr="00B03B51">
        <w:rPr>
          <w:rFonts w:ascii="Times New Roman" w:hAnsi="Times New Roman" w:cs="Times New Roman"/>
          <w:i/>
          <w:iCs/>
          <w:sz w:val="24"/>
        </w:rPr>
        <w:t>kā statistikā reģistrē valsts atbalstu finanšu iestādēm un finanšu tirgiem finanšu krīzes laikā</w:t>
      </w:r>
      <w:r w:rsidRPr="00B03B51">
        <w:rPr>
          <w:rFonts w:ascii="Times New Roman" w:hAnsi="Times New Roman" w:cs="Times New Roman"/>
          <w:sz w:val="24"/>
        </w:rPr>
        <w:t>.</w:t>
      </w:r>
    </w:p>
    <w:p w14:paraId="686DA349" w14:textId="77777777" w:rsidR="00443399" w:rsidRPr="00B03B51" w:rsidRDefault="00443399" w:rsidP="00443399">
      <w:pPr>
        <w:jc w:val="both"/>
        <w:rPr>
          <w:rFonts w:ascii="Times New Roman" w:eastAsia="Arial" w:hAnsi="Times New Roman" w:cs="Times New Roman"/>
          <w:noProof/>
          <w:sz w:val="24"/>
          <w:szCs w:val="18"/>
        </w:rPr>
      </w:pPr>
    </w:p>
    <w:p w14:paraId="511E1151" w14:textId="77777777" w:rsidR="00443399" w:rsidRPr="00B03B51" w:rsidRDefault="00443399" w:rsidP="000F6153">
      <w:pPr>
        <w:pStyle w:val="Heading3"/>
        <w:keepNext/>
        <w:tabs>
          <w:tab w:val="left" w:pos="1267"/>
        </w:tabs>
        <w:ind w:left="0" w:firstLine="0"/>
        <w:jc w:val="both"/>
        <w:rPr>
          <w:rFonts w:ascii="Times New Roman" w:hAnsi="Times New Roman" w:cs="Times New Roman"/>
          <w:noProof/>
          <w:sz w:val="24"/>
        </w:rPr>
      </w:pPr>
      <w:bookmarkStart w:id="364" w:name="_Toc67565135"/>
      <w:r w:rsidRPr="00B03B51">
        <w:rPr>
          <w:rFonts w:ascii="Times New Roman" w:hAnsi="Times New Roman" w:cs="Times New Roman"/>
          <w:sz w:val="24"/>
        </w:rPr>
        <w:lastRenderedPageBreak/>
        <w:t>4.5.3. Traktējuma pamatojums</w:t>
      </w:r>
      <w:bookmarkEnd w:id="364"/>
    </w:p>
    <w:p w14:paraId="098B3C8D" w14:textId="77777777" w:rsidR="00443399" w:rsidRPr="00BE27DC" w:rsidRDefault="00443399" w:rsidP="000F6153">
      <w:pPr>
        <w:keepNext/>
        <w:rPr>
          <w:rFonts w:ascii="Times New Roman" w:hAnsi="Times New Roman" w:cs="Times New Roman"/>
          <w:noProof/>
          <w:sz w:val="24"/>
          <w:szCs w:val="24"/>
        </w:rPr>
      </w:pPr>
    </w:p>
    <w:p w14:paraId="3D9EA4D2" w14:textId="77777777" w:rsidR="00443399" w:rsidRPr="00B03B51" w:rsidRDefault="00443399" w:rsidP="000F6153">
      <w:pPr>
        <w:pStyle w:val="Heading6"/>
        <w:keepNext/>
        <w:tabs>
          <w:tab w:val="left" w:pos="1267"/>
        </w:tabs>
        <w:ind w:left="0" w:firstLine="0"/>
        <w:jc w:val="both"/>
        <w:rPr>
          <w:rFonts w:ascii="Times New Roman" w:hAnsi="Times New Roman" w:cs="Times New Roman"/>
          <w:noProof/>
          <w:sz w:val="24"/>
        </w:rPr>
      </w:pPr>
      <w:r w:rsidRPr="00B03B51">
        <w:rPr>
          <w:rFonts w:ascii="Times New Roman" w:hAnsi="Times New Roman" w:cs="Times New Roman"/>
          <w:sz w:val="24"/>
        </w:rPr>
        <w:t>4.5.3.1. KLASIFIKĀCIJAS PROBLĒMAS</w:t>
      </w:r>
    </w:p>
    <w:p w14:paraId="0A25DD97" w14:textId="77777777" w:rsidR="00443399" w:rsidRPr="00B03B51" w:rsidRDefault="00443399" w:rsidP="000F6153">
      <w:pPr>
        <w:pStyle w:val="BodyText"/>
        <w:keepNext/>
        <w:tabs>
          <w:tab w:val="left" w:pos="843"/>
        </w:tabs>
        <w:spacing w:before="0"/>
        <w:ind w:left="0" w:firstLine="0"/>
        <w:jc w:val="both"/>
        <w:rPr>
          <w:rFonts w:ascii="Times New Roman" w:hAnsi="Times New Roman" w:cs="Times New Roman"/>
          <w:noProof/>
          <w:sz w:val="24"/>
        </w:rPr>
      </w:pPr>
    </w:p>
    <w:p w14:paraId="69B2A067" w14:textId="77777777" w:rsidR="00443399" w:rsidRPr="00B03B51" w:rsidRDefault="00443399" w:rsidP="000F6153">
      <w:pPr>
        <w:pStyle w:val="BodyText"/>
        <w:keepN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24. Sanācijas struktūras šķietami veic finanšu darbību – tās ir aizņēmušās līdzekļus (nodotus vai izdotus no jauna), lai finansētu savus samazinātās vērtības aktīvus. Tomēr šīs struktūras nevar uzskatīt par īstiem finanšu starpniekiem, jo faktiski tās neuzņemas risku, kurš saistīts ar finanšu aktīvu iegādi un saistību uzņemšanos savā vārdā, kas atbilstīgi tam, kā norādīts EKS 2010 2.57. punktā, ir tipiska finanšu starpnieku pazīme. Gluži pretēji, tās rīkojas valdības vārdā. Tādēļ šīs struktūras klasificē vispārējās valdības sektorā. Šādos apstākļos kompetentajām iestādēm ir rūpīgi jāizskata iepriekš minētie izņēmuma gadījumi.</w:t>
      </w:r>
    </w:p>
    <w:p w14:paraId="04C07241" w14:textId="77777777" w:rsidR="00443399" w:rsidRPr="00B03B51" w:rsidRDefault="00443399" w:rsidP="00443399">
      <w:pPr>
        <w:jc w:val="both"/>
        <w:rPr>
          <w:rFonts w:ascii="Times New Roman" w:eastAsia="Arial" w:hAnsi="Times New Roman" w:cs="Times New Roman"/>
          <w:noProof/>
          <w:sz w:val="24"/>
          <w:szCs w:val="15"/>
        </w:rPr>
      </w:pPr>
    </w:p>
    <w:p w14:paraId="65EBCB21" w14:textId="77777777" w:rsidR="00443399" w:rsidRPr="00B03B51" w:rsidRDefault="00443399" w:rsidP="00443399">
      <w:pPr>
        <w:pStyle w:val="Heading6"/>
        <w:tabs>
          <w:tab w:val="left" w:pos="1267"/>
        </w:tabs>
        <w:ind w:left="0" w:firstLine="0"/>
        <w:jc w:val="both"/>
        <w:rPr>
          <w:rFonts w:ascii="Times New Roman" w:hAnsi="Times New Roman" w:cs="Times New Roman"/>
          <w:noProof/>
          <w:sz w:val="24"/>
        </w:rPr>
      </w:pPr>
      <w:r w:rsidRPr="00B03B51">
        <w:rPr>
          <w:rFonts w:ascii="Times New Roman" w:hAnsi="Times New Roman" w:cs="Times New Roman"/>
          <w:sz w:val="24"/>
        </w:rPr>
        <w:t>4.5.3.2. VISPĀRĒJS KAPITĀLA PĀRVEDUMU IERAKSTĪŠANAS PRINCIPS</w:t>
      </w:r>
    </w:p>
    <w:p w14:paraId="21DC8E93"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25567239"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25. No valdības saņemtu kapitāla pārvedumu, kas ietekmē valdības neto aizdevumu/aizņēmumu (B.9), var ierakstīt vienā no četriem laika posmiem:</w:t>
      </w:r>
    </w:p>
    <w:p w14:paraId="0068BFDD"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4D953BE1" w14:textId="77777777" w:rsidR="00443399" w:rsidRPr="00B03B51" w:rsidRDefault="00443399" w:rsidP="00500EA4">
      <w:pPr>
        <w:pStyle w:val="BodyText"/>
        <w:numPr>
          <w:ilvl w:val="1"/>
          <w:numId w:val="64"/>
        </w:numPr>
        <w:spacing w:before="0"/>
        <w:ind w:left="426" w:hanging="425"/>
        <w:jc w:val="both"/>
        <w:rPr>
          <w:rFonts w:ascii="Times New Roman" w:hAnsi="Times New Roman" w:cs="Times New Roman"/>
          <w:noProof/>
          <w:sz w:val="24"/>
        </w:rPr>
      </w:pPr>
      <w:r w:rsidRPr="00B03B51">
        <w:rPr>
          <w:rFonts w:ascii="Times New Roman" w:hAnsi="Times New Roman" w:cs="Times New Roman"/>
          <w:sz w:val="24"/>
        </w:rPr>
        <w:t>laikā, kad tiek sagatavots sanācijas process un valdība pērk (vai pārņem) attiecīgos aktīvus par summu, kas pārsniedz to tirgus vērtību vai patieso vērtību, kura pastāv pārveduma laikā;</w:t>
      </w:r>
    </w:p>
    <w:p w14:paraId="71270239" w14:textId="77777777" w:rsidR="00443399" w:rsidRPr="00B03B51" w:rsidRDefault="00443399" w:rsidP="00500EA4">
      <w:pPr>
        <w:pStyle w:val="BodyText"/>
        <w:numPr>
          <w:ilvl w:val="1"/>
          <w:numId w:val="64"/>
        </w:numPr>
        <w:spacing w:before="0"/>
        <w:ind w:left="426" w:hanging="425"/>
        <w:jc w:val="both"/>
        <w:rPr>
          <w:rFonts w:ascii="Times New Roman" w:hAnsi="Times New Roman" w:cs="Times New Roman"/>
          <w:noProof/>
          <w:sz w:val="24"/>
        </w:rPr>
      </w:pPr>
      <w:r w:rsidRPr="00B03B51">
        <w:rPr>
          <w:rFonts w:ascii="Times New Roman" w:hAnsi="Times New Roman" w:cs="Times New Roman"/>
          <w:sz w:val="24"/>
        </w:rPr>
        <w:t>sanācijas pārvaldības laikā, kad valdība (parasti – ar garantijas izmantošanas pieprasījumiem attiecībā uz aktīviem vai noteiktām saistībām) uzņemas zaudējumus no finanšu iestādēm vai citām vienībām, kas klasificētas ārpus vispārējās valdības sektora;</w:t>
      </w:r>
    </w:p>
    <w:p w14:paraId="008D4AFC" w14:textId="77777777" w:rsidR="00443399" w:rsidRPr="00B03B51" w:rsidRDefault="00443399" w:rsidP="00500EA4">
      <w:pPr>
        <w:pStyle w:val="BodyText"/>
        <w:numPr>
          <w:ilvl w:val="1"/>
          <w:numId w:val="64"/>
        </w:numPr>
        <w:spacing w:before="0"/>
        <w:ind w:left="426" w:hanging="425"/>
        <w:jc w:val="both"/>
        <w:rPr>
          <w:rFonts w:ascii="Times New Roman" w:hAnsi="Times New Roman" w:cs="Times New Roman"/>
          <w:noProof/>
          <w:sz w:val="24"/>
        </w:rPr>
      </w:pPr>
      <w:r w:rsidRPr="00B03B51">
        <w:rPr>
          <w:rFonts w:ascii="Times New Roman" w:hAnsi="Times New Roman" w:cs="Times New Roman"/>
          <w:sz w:val="24"/>
        </w:rPr>
        <w:t>sanācijas pārvaldības laikā, kad valdība iepludina kapitālu vienībā, lai segtu zaudējumus vai/un nodrošinātu nepieciešamos finanšu līdzekļus;</w:t>
      </w:r>
    </w:p>
    <w:p w14:paraId="478245D7" w14:textId="77777777" w:rsidR="00443399" w:rsidRPr="00B03B51" w:rsidRDefault="00443399" w:rsidP="00500EA4">
      <w:pPr>
        <w:pStyle w:val="BodyText"/>
        <w:numPr>
          <w:ilvl w:val="1"/>
          <w:numId w:val="64"/>
        </w:numPr>
        <w:spacing w:before="0"/>
        <w:ind w:left="426" w:hanging="425"/>
        <w:jc w:val="both"/>
        <w:rPr>
          <w:rFonts w:ascii="Times New Roman" w:hAnsi="Times New Roman" w:cs="Times New Roman"/>
          <w:noProof/>
          <w:sz w:val="24"/>
        </w:rPr>
      </w:pPr>
      <w:r w:rsidRPr="00B03B51">
        <w:rPr>
          <w:rFonts w:ascii="Times New Roman" w:hAnsi="Times New Roman" w:cs="Times New Roman"/>
          <w:sz w:val="24"/>
        </w:rPr>
        <w:t>sanācijas pārvaldības laikā, kad valdība atceļ aizdevumus, ko tā piešķīrusi vienībai.</w:t>
      </w:r>
    </w:p>
    <w:p w14:paraId="6BBE2DF5"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79F60809"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26. Šajos gadījumos ieraksta kapitāla pārvedumu, jo starp dažādajām iesaistītajām vienībām tiek pārdalīta bagātība. Tas atbilst jēdziena “citi kapitāla pārvedumi” (D.99) definīcijai, kas sniegta EKS 2010 4.164. punktā.</w:t>
      </w:r>
    </w:p>
    <w:p w14:paraId="6E9F412B"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6E941138" w14:textId="4765F9F9"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 xml:space="preserve">27. Kapitāla pārvedumu ieraksta laikā, kad notiek bagātības pārvedums. Gadījumā, ja aktīvus pārņem valdība, to var veikt brīdī, kad puses vienojas par šo operāciju. Citos gadījumos to ieraksta brīdī, kad valdība veic tādu summu pārvedumu, kas atbilst parāda pārņemšanai vai </w:t>
      </w:r>
      <w:r w:rsidR="00843ACE" w:rsidRPr="00B03B51">
        <w:rPr>
          <w:rFonts w:ascii="Times New Roman" w:hAnsi="Times New Roman" w:cs="Times New Roman"/>
          <w:sz w:val="24"/>
        </w:rPr>
        <w:t>anulēšanai</w:t>
      </w:r>
      <w:r w:rsidRPr="00B03B51">
        <w:rPr>
          <w:rFonts w:ascii="Times New Roman" w:hAnsi="Times New Roman" w:cs="Times New Roman"/>
          <w:sz w:val="24"/>
        </w:rPr>
        <w:t xml:space="preserve"> vai iepludinātajam kapitālam.</w:t>
      </w:r>
    </w:p>
    <w:p w14:paraId="41658243" w14:textId="77777777" w:rsidR="00443399" w:rsidRPr="00B03B51" w:rsidRDefault="00443399" w:rsidP="00443399">
      <w:pPr>
        <w:jc w:val="both"/>
        <w:rPr>
          <w:rFonts w:ascii="Times New Roman" w:eastAsia="Arial" w:hAnsi="Times New Roman" w:cs="Times New Roman"/>
          <w:noProof/>
          <w:sz w:val="24"/>
          <w:szCs w:val="15"/>
        </w:rPr>
      </w:pPr>
    </w:p>
    <w:p w14:paraId="6E4313FC" w14:textId="77777777" w:rsidR="00443399" w:rsidRPr="00B03B51" w:rsidRDefault="00443399" w:rsidP="00443399">
      <w:pPr>
        <w:pStyle w:val="Heading6"/>
        <w:tabs>
          <w:tab w:val="left" w:pos="1267"/>
        </w:tabs>
        <w:ind w:left="0" w:firstLine="0"/>
        <w:jc w:val="both"/>
        <w:rPr>
          <w:rFonts w:ascii="Times New Roman" w:hAnsi="Times New Roman" w:cs="Times New Roman"/>
          <w:noProof/>
          <w:sz w:val="24"/>
        </w:rPr>
      </w:pPr>
      <w:r w:rsidRPr="00B03B51">
        <w:rPr>
          <w:rFonts w:ascii="Times New Roman" w:hAnsi="Times New Roman" w:cs="Times New Roman"/>
          <w:sz w:val="24"/>
        </w:rPr>
        <w:t>4.5.3.3. VĒRTĪBAS NOTEIKŠANAS PROBLĒMAS SAISTĪBĀ AR AKTĪVIEM, KAS NAV AIZDEVUMI</w:t>
      </w:r>
    </w:p>
    <w:p w14:paraId="1E62ADF9"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4AB8F403"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28. Vispārējs noteikums attiecībā uz šādu veidu aktīvu novērtēšanu nacionālajos kontos paredz, ka tie jāieraksta to tirgus vērtībā (patiesajā vērtībā), kas atbilst starptautiskajos grāmatvedības standartos (</w:t>
      </w:r>
      <w:r w:rsidRPr="00B03B51">
        <w:rPr>
          <w:rFonts w:ascii="Times New Roman" w:hAnsi="Times New Roman" w:cs="Times New Roman"/>
          <w:i/>
          <w:iCs/>
          <w:sz w:val="24"/>
        </w:rPr>
        <w:t>IFRS</w:t>
      </w:r>
      <w:r w:rsidRPr="00B03B51">
        <w:rPr>
          <w:rFonts w:ascii="Times New Roman" w:hAnsi="Times New Roman" w:cs="Times New Roman"/>
          <w:sz w:val="24"/>
        </w:rPr>
        <w:t xml:space="preserve">, </w:t>
      </w:r>
      <w:r w:rsidRPr="00B03B51">
        <w:rPr>
          <w:rFonts w:ascii="Times New Roman" w:hAnsi="Times New Roman" w:cs="Times New Roman"/>
          <w:i/>
          <w:iCs/>
          <w:sz w:val="24"/>
        </w:rPr>
        <w:t>IPSAS</w:t>
      </w:r>
      <w:r w:rsidRPr="00B03B51">
        <w:rPr>
          <w:rFonts w:ascii="Times New Roman" w:hAnsi="Times New Roman" w:cs="Times New Roman"/>
          <w:sz w:val="24"/>
        </w:rPr>
        <w:t>) noteiktam pamatprincipam. Kopumā finanšu iestādes, piemēram, bankas, var rīkoties saskaņā ar īpašiem noteikumiem, ievērojot uzraudzības noteikumus.</w:t>
      </w:r>
    </w:p>
    <w:p w14:paraId="3475E6AA"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2A1EDDDA"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29. Finanšu iestāžu iekšējā grāmatvedībā dažus samazinātas vērtības aktīvus var novērtēt atbilstīgi to iegādes cenai. Citiem vārdiem sakot, šo aktīvu “uzskaites vērtība” neatbilst to tirgus vērtībai vai patiesajai vērtībai. Lai arī bankām saskaņā ar piesardzības pieeju būtu jāparedz iespējamie zaudējumi saistībā ar atsevišķiem aktīviem, ierakstot uzkrājumus, tās bieži vien mēdz nepietiekami novērtēt šādu ietekmi un nogaidīt, cik ilgi vien tas ir iespējams, ja vien tās nav saņēmušas skaidrus rīkojumus no uzraudzības iestādēm.</w:t>
      </w:r>
    </w:p>
    <w:p w14:paraId="7D31C2B7"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7907F477"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lastRenderedPageBreak/>
        <w:t>30. Fakts, ka šādi aktīvi tiek nodoti sanācijai, nozīmē to, ka paredzamā realizācijas vērtība ir ievērojami zemāka par uzskaites vērtību. Ja tos pārved ar šādu uzskaites vērtību, nacionālajos kontos ir jāieraksta kapitāla pārvedums, lai atspoguļotu šo starpību starp uzskaites vērtību un tirgus (patieso) vērtību. Gadījumā, ja šādu vērtību nav iespējams noskaidrot, taču paredzamos zaudējumus var aprēķināt neatkarīga struktūra, pamatojoties uz parastajiem cenas noteikšanas paņēmieniem, šo aprēķināto vērtību var izmantot kā tuvinājumu starpībai starp uzskaites vērtību un tirgus vērtību.</w:t>
      </w:r>
    </w:p>
    <w:p w14:paraId="413A8186"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7C87DB1A"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31. Ja notiek turpmākas šo aktīvu tirgus (patiesās) cenas pārmaiņas laikā, kad šos aktīvus tur vispārējās valdības sektorā klasificētas vienības, tās ir jāieraksta kā turēšanas guvumi/zaudējumi, kas neietekmē neto aizdevumu/aizņēmumu.</w:t>
      </w:r>
    </w:p>
    <w:p w14:paraId="02ED6418" w14:textId="77777777" w:rsidR="00443399" w:rsidRPr="00B03B51" w:rsidRDefault="00443399" w:rsidP="00443399">
      <w:pPr>
        <w:jc w:val="both"/>
        <w:rPr>
          <w:rFonts w:ascii="Times New Roman" w:eastAsia="Arial" w:hAnsi="Times New Roman" w:cs="Times New Roman"/>
          <w:noProof/>
          <w:sz w:val="24"/>
          <w:szCs w:val="15"/>
        </w:rPr>
      </w:pPr>
    </w:p>
    <w:p w14:paraId="682592B5" w14:textId="77777777" w:rsidR="00443399" w:rsidRPr="00B03B51" w:rsidRDefault="00443399" w:rsidP="00443399">
      <w:pPr>
        <w:pStyle w:val="Heading6"/>
        <w:tabs>
          <w:tab w:val="left" w:pos="1267"/>
        </w:tabs>
        <w:ind w:left="0" w:firstLine="0"/>
        <w:jc w:val="both"/>
        <w:rPr>
          <w:rFonts w:ascii="Times New Roman" w:hAnsi="Times New Roman" w:cs="Times New Roman"/>
          <w:noProof/>
          <w:sz w:val="24"/>
        </w:rPr>
      </w:pPr>
      <w:r w:rsidRPr="00B03B51">
        <w:rPr>
          <w:rFonts w:ascii="Times New Roman" w:hAnsi="Times New Roman" w:cs="Times New Roman"/>
          <w:sz w:val="24"/>
        </w:rPr>
        <w:t>4.5.3.4. AIZDEVUMU GADĪJUMS</w:t>
      </w:r>
    </w:p>
    <w:p w14:paraId="047A071F"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586FE0D0"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32. Aizdevumu novērtējums ir apspriests EKS 2010 7.70. punktā. Saskaņā ar vispārēju noteikumu gan kreditoru, gan debitoru bilancē ieraksta “pamatsummas, kas debitoriem pēc līguma jāatmaksā kreditoriem pat tādos gadījumos, kad aizdevums tika tirgots ar diskontu vai prēmiju”. Šī ir nenomaksātā pamatsumma (līgumā noteiktā sākotnējā izpirkšanas vērtība). Tā ir arī summa, attiecībā uz kuru tiek uzkrāti procenti. Līdz ar to atšķirībā no uzņēmējdarbības un banku uzskaites sistēmām nacionālo kontu sistēmā jēdziens “patiesā vērtība” (jeb tirgus vērtība) netiek atzīts bilancēs attiecībā uz aizdevumiem.</w:t>
      </w:r>
    </w:p>
    <w:p w14:paraId="57108060"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2F19C389"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33. EKS 2010 5.122. punktā un EKS 2010 6.58. punktā sniegti turpmāki norādījumi attiecībā uz gadījumiem, kad aizdevumus tirgo (izņēmuma kārtā) par cenu, kas atšķiras no izpirkuma vērtības. Pārdevējam un pircējam darījums jāieraksta to finanšu kontos atbilstīgi tā faktiskajai cenai, taču attiecībā uz starpību starp darījuma vērtību un izpirkuma vērtību (ko ieraksta bilancē) pirms (pārdevējs) un pēc (pircējs) darījuma jāizmanto pārvērtēšanas konts. Pamatojums ir tas, ka pārdošanas brīdī aktīvi uz īsu brīdi tiek uzskatīti par tirgus aktīviem.</w:t>
      </w:r>
    </w:p>
    <w:p w14:paraId="0A6F1E63"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63ED779B"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34. Finanšu sanācijas gadījumā, kad finanšu iestādes pārdod/nodod aizdevumus īpašai valdības vienībai, darījuma vērtība bieži ir vienāda ar aizdevumu izpirkuma vērtību. Tomēr ir visnotaļ pamatoti uzskatīt, ka sanācijai nodotie aizdevumi netiks atgūti iepriekš paredzētajā vērtībā. Tā kā saskaņā ar pieejamajiem pierādījumiem valdība darījumu veic tādu iemeslu dēļ, kam nav izteikts komerciāls raksturs (skat. EKS 2010 5.21. punktu), lai šajā konkrētajā gadījumā atbalstītu grūtībās nonākušo finanšu iestādi, darījuma vērtības būtu jānorāda kā aizdevumu “pašreizējās tirgus (patiesās) vērtības”, kuras nav iespējams novērot praksē. Tomēr daudzos gadījumos kā samaksātās summas un patiesās/tirgus vērtības starpības tuvinājumu var izmantot pieejamās paredzamo zaudējumu aplēses (skat. arī 4.5.3.3. apakšiedaļu). Turklāt finanšu iestāžu grāmatvedības uzskaitē (bieži vien atbilstīgi uzraudzības iestāžu norādījumiem) attiecībā uz aizdevumu portfeļiem visticamāk būs piemēroti uzkrājumi (vērtības samazinājumi). Tas var sniegt papildu informāciju par ierakstāmā kapitāla pārveduma iespējamo apmēru. Tomēr EKS 2010 paredz, ka uzkrājumi bezcerīgajiem parādiem sistēmā nekur neparādās (4.165. punkta f) apakšpunkts).</w:t>
      </w:r>
    </w:p>
    <w:p w14:paraId="281265A1"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64D18FAD"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35. Turklāt gadījumā, ja, pamatojoties uz nodotajiem aktīviem, pieejama ticama informācija, ka daži aizdevumi nekad netiks atmaksāti, kapitāla pārvedums finanšu iestādei, ar kuru šie aizdevumi tiek realizēti, jāuzskaita šādu aizdevumu pilnā vērtībā. Pēc tam tie jāsvītro (jānoraksta) no saņēmējas sanācijas vienības bilances, ievērojot minētos nosacījumus. To ieraksta finanšu iestāžu kontā “Citas aktīvu apjoma pārmaiņas”.</w:t>
      </w:r>
    </w:p>
    <w:p w14:paraId="5681D6E8" w14:textId="77777777" w:rsidR="00443399" w:rsidRPr="00B03B51" w:rsidRDefault="00443399" w:rsidP="00443399">
      <w:pPr>
        <w:jc w:val="both"/>
        <w:rPr>
          <w:rFonts w:ascii="Times New Roman" w:eastAsia="Arial" w:hAnsi="Times New Roman" w:cs="Times New Roman"/>
          <w:noProof/>
          <w:sz w:val="24"/>
          <w:szCs w:val="15"/>
        </w:rPr>
      </w:pPr>
    </w:p>
    <w:p w14:paraId="4E1E742C" w14:textId="77777777" w:rsidR="00443399" w:rsidRPr="00B03B51" w:rsidRDefault="00443399" w:rsidP="009A567F">
      <w:pPr>
        <w:pStyle w:val="Heading6"/>
        <w:keepNext/>
        <w:tabs>
          <w:tab w:val="left" w:pos="1267"/>
        </w:tabs>
        <w:ind w:left="0" w:firstLine="0"/>
        <w:jc w:val="both"/>
        <w:rPr>
          <w:rFonts w:ascii="Times New Roman" w:hAnsi="Times New Roman" w:cs="Times New Roman"/>
          <w:noProof/>
          <w:sz w:val="24"/>
        </w:rPr>
      </w:pPr>
      <w:r w:rsidRPr="00B03B51">
        <w:rPr>
          <w:rFonts w:ascii="Times New Roman" w:hAnsi="Times New Roman" w:cs="Times New Roman"/>
          <w:sz w:val="24"/>
        </w:rPr>
        <w:lastRenderedPageBreak/>
        <w:t>4.5.3.5. TRAKTĒJUMU VISPĀRĒJS NOVĒRTĒJUMS</w:t>
      </w:r>
    </w:p>
    <w:p w14:paraId="015B996D" w14:textId="77777777" w:rsidR="00443399" w:rsidRPr="00B03B51" w:rsidRDefault="00443399" w:rsidP="009A567F">
      <w:pPr>
        <w:pStyle w:val="BodyText"/>
        <w:keepNext/>
        <w:tabs>
          <w:tab w:val="left" w:pos="843"/>
        </w:tabs>
        <w:spacing w:before="0"/>
        <w:ind w:left="0" w:firstLine="0"/>
        <w:jc w:val="both"/>
        <w:rPr>
          <w:rFonts w:ascii="Times New Roman" w:hAnsi="Times New Roman" w:cs="Times New Roman"/>
          <w:noProof/>
          <w:sz w:val="24"/>
        </w:rPr>
      </w:pPr>
    </w:p>
    <w:p w14:paraId="32198B1E"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36. Valdības veiktas sanācijas rezultātā samazinās vispārējās valdības rīcībā esošie līdzekļi. Atbilstīgi iepriekš minētajiem noteikumiem šāda situācija var rasties trīs veidos:</w:t>
      </w:r>
    </w:p>
    <w:p w14:paraId="18FAD14C"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693C15F4" w14:textId="77777777" w:rsidR="00443399" w:rsidRPr="00B03B51" w:rsidRDefault="00443399" w:rsidP="00500EA4">
      <w:pPr>
        <w:pStyle w:val="BodyText"/>
        <w:numPr>
          <w:ilvl w:val="1"/>
          <w:numId w:val="64"/>
        </w:numPr>
        <w:spacing w:before="0"/>
        <w:ind w:left="426" w:hanging="425"/>
        <w:jc w:val="both"/>
        <w:rPr>
          <w:rFonts w:ascii="Times New Roman" w:hAnsi="Times New Roman" w:cs="Times New Roman"/>
          <w:noProof/>
          <w:sz w:val="24"/>
        </w:rPr>
      </w:pPr>
      <w:r w:rsidRPr="00B03B51">
        <w:rPr>
          <w:rFonts w:ascii="Times New Roman" w:hAnsi="Times New Roman" w:cs="Times New Roman"/>
          <w:sz w:val="24"/>
        </w:rPr>
        <w:t>kapitāla pārvedums tiek ierakstīts laikā, kad valdības vienība nopērk attiecīgos aktīvus vai tieši sedz ar šādiem aktīviem saistītos zaudējumus: tas tieši ietekmē vispārējās valdības neto aizdevumu/aizņēmumu brīdī, kad tiek ierakstīts pārvedums;</w:t>
      </w:r>
    </w:p>
    <w:p w14:paraId="412322D2" w14:textId="77777777" w:rsidR="00443399" w:rsidRPr="00B03B51" w:rsidRDefault="00443399" w:rsidP="00500EA4">
      <w:pPr>
        <w:pStyle w:val="BodyText"/>
        <w:numPr>
          <w:ilvl w:val="1"/>
          <w:numId w:val="64"/>
        </w:numPr>
        <w:spacing w:before="0"/>
        <w:ind w:left="426" w:hanging="425"/>
        <w:jc w:val="both"/>
        <w:rPr>
          <w:rFonts w:ascii="Times New Roman" w:hAnsi="Times New Roman" w:cs="Times New Roman"/>
          <w:noProof/>
          <w:sz w:val="24"/>
        </w:rPr>
      </w:pPr>
      <w:r w:rsidRPr="00B03B51">
        <w:rPr>
          <w:rFonts w:ascii="Times New Roman" w:hAnsi="Times New Roman" w:cs="Times New Roman"/>
          <w:sz w:val="24"/>
        </w:rPr>
        <w:t>valdība rīkojas, izmantojot savu garantiju: tas ietekmē tās neto aizdevumu/aizņēmumu garantijas izmantošanas pieprasīšanas brīdī atbilstīgi tam, kā noteikts 7.4. nodaļā “Valdības garantijas”;</w:t>
      </w:r>
    </w:p>
    <w:p w14:paraId="7BFBA71B" w14:textId="77777777" w:rsidR="00443399" w:rsidRPr="00B03B51" w:rsidRDefault="00443399" w:rsidP="00500EA4">
      <w:pPr>
        <w:pStyle w:val="BodyText"/>
        <w:numPr>
          <w:ilvl w:val="1"/>
          <w:numId w:val="64"/>
        </w:numPr>
        <w:spacing w:before="0"/>
        <w:ind w:left="426" w:hanging="425"/>
        <w:jc w:val="both"/>
        <w:rPr>
          <w:rFonts w:ascii="Times New Roman" w:hAnsi="Times New Roman" w:cs="Times New Roman"/>
          <w:noProof/>
          <w:sz w:val="24"/>
        </w:rPr>
      </w:pPr>
      <w:r w:rsidRPr="00B03B51">
        <w:rPr>
          <w:rFonts w:ascii="Times New Roman" w:hAnsi="Times New Roman" w:cs="Times New Roman"/>
          <w:sz w:val="24"/>
        </w:rPr>
        <w:t>valdības vienības iegādātie aktīvi ir aizdevumi, kuri ir nodoti, neierakstot kapitāla pārvedumu. Tas ietekmē valdības neto aizdevumu/aizņēmumu kā citas pārmaiņas aktīvu apjomā, ja aizdevumi tiek atcelti par labu parādniekam un ja (dažos izņēmuma gadījumos) ir pierādījumi tam, ka debitors beidzis pastāvēt un nav nevienas citas vienības, kas būtu atbildīga par tā parādu.</w:t>
      </w:r>
    </w:p>
    <w:p w14:paraId="0046A854"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31B45930"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37. Par sanācijas procesu atbildīgo vienību klasifikācija vispārējās valdības sektorā var ietekmēt valdības parādu arī ar to saistību summu. Tādā gadījumā tā ietekmēs vispārējās valdības neto aizdevumu/aizņēmumu arī ar parāda finansēšanas izmaksām (procentiem).</w:t>
      </w:r>
    </w:p>
    <w:p w14:paraId="6ECE4287" w14:textId="77777777" w:rsidR="00443399" w:rsidRPr="00B03B51" w:rsidRDefault="00443399" w:rsidP="00443399">
      <w:pPr>
        <w:jc w:val="both"/>
        <w:rPr>
          <w:rFonts w:ascii="Times New Roman" w:eastAsia="Arial" w:hAnsi="Times New Roman" w:cs="Times New Roman"/>
          <w:noProof/>
          <w:sz w:val="24"/>
          <w:szCs w:val="19"/>
        </w:rPr>
      </w:pPr>
    </w:p>
    <w:p w14:paraId="79DB3731" w14:textId="77777777" w:rsidR="00443399" w:rsidRPr="00B03B51" w:rsidRDefault="00443399" w:rsidP="00443399">
      <w:pPr>
        <w:pStyle w:val="Heading3"/>
        <w:tabs>
          <w:tab w:val="left" w:pos="1267"/>
        </w:tabs>
        <w:ind w:left="0" w:firstLine="0"/>
        <w:jc w:val="both"/>
        <w:rPr>
          <w:rFonts w:ascii="Times New Roman" w:hAnsi="Times New Roman" w:cs="Times New Roman"/>
          <w:noProof/>
          <w:sz w:val="24"/>
        </w:rPr>
      </w:pPr>
      <w:bookmarkStart w:id="365" w:name="_Toc67565136"/>
      <w:r w:rsidRPr="00B03B51">
        <w:rPr>
          <w:rFonts w:ascii="Times New Roman" w:hAnsi="Times New Roman" w:cs="Times New Roman"/>
          <w:sz w:val="24"/>
        </w:rPr>
        <w:t>4.5.4. Uzskaites piemēri</w:t>
      </w:r>
      <w:bookmarkEnd w:id="365"/>
    </w:p>
    <w:p w14:paraId="69E14045" w14:textId="77777777" w:rsidR="00443399" w:rsidRPr="00B03B51" w:rsidRDefault="00443399" w:rsidP="00443399">
      <w:pPr>
        <w:pStyle w:val="BodyText"/>
        <w:spacing w:before="0"/>
        <w:ind w:left="0" w:firstLine="0"/>
        <w:jc w:val="both"/>
        <w:rPr>
          <w:rFonts w:ascii="Times New Roman" w:hAnsi="Times New Roman" w:cs="Times New Roman"/>
          <w:noProof/>
          <w:sz w:val="24"/>
        </w:rPr>
      </w:pPr>
    </w:p>
    <w:p w14:paraId="016B7F72" w14:textId="77777777" w:rsidR="00443399" w:rsidRPr="00B03B51" w:rsidRDefault="00443399" w:rsidP="00443399">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t>Šeit sniegtajā piemērā apspriests tāds gadījums, kurā vienība, kas klasificēta vispārējās valdības sektorā, no finanšu iestādes pērk bezcerīgos aktīvus par to grāmatvedības uzskaites vērtību. Valdības pašu kapitāls finanšu iestādē nav uzrādīts.</w:t>
      </w:r>
    </w:p>
    <w:p w14:paraId="1404ECDE" w14:textId="77777777" w:rsidR="00443399" w:rsidRPr="00B03B51" w:rsidRDefault="00443399" w:rsidP="00443399">
      <w:pPr>
        <w:jc w:val="both"/>
        <w:rPr>
          <w:rFonts w:ascii="Times New Roman" w:eastAsia="Arial" w:hAnsi="Times New Roman" w:cs="Times New Roman"/>
          <w:noProof/>
          <w:sz w:val="24"/>
          <w:szCs w:val="18"/>
        </w:rPr>
      </w:pPr>
    </w:p>
    <w:p w14:paraId="1BFFB9D3" w14:textId="77777777" w:rsidR="00443399" w:rsidRPr="00B03B51" w:rsidRDefault="00443399" w:rsidP="00443399">
      <w:pPr>
        <w:jc w:val="both"/>
        <w:rPr>
          <w:rFonts w:ascii="Times New Roman" w:hAnsi="Times New Roman" w:cs="Times New Roman"/>
          <w:b/>
          <w:noProof/>
          <w:sz w:val="24"/>
        </w:rPr>
      </w:pPr>
      <w:r w:rsidRPr="00B03B51">
        <w:rPr>
          <w:rFonts w:ascii="Times New Roman" w:hAnsi="Times New Roman" w:cs="Times New Roman"/>
          <w:b/>
          <w:sz w:val="24"/>
        </w:rPr>
        <w:t>Sanācijas sagatavošana</w:t>
      </w:r>
    </w:p>
    <w:p w14:paraId="3C8882F8" w14:textId="77777777" w:rsidR="00443399" w:rsidRPr="00B03B51" w:rsidRDefault="00443399" w:rsidP="00443399">
      <w:pPr>
        <w:jc w:val="both"/>
        <w:rPr>
          <w:rFonts w:ascii="Times New Roman" w:eastAsia="Arial" w:hAnsi="Times New Roman" w:cs="Times New Roman"/>
          <w:b/>
          <w:bCs/>
          <w:noProof/>
          <w:sz w:val="24"/>
        </w:rPr>
      </w:pPr>
    </w:p>
    <w:p w14:paraId="5C1545D6" w14:textId="77777777" w:rsidR="00443399" w:rsidRPr="00B03B51" w:rsidRDefault="00443399" w:rsidP="00443399">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t>Finanšu iestādes nodod par sanāciju atbildīgajai publiskajai vienībai šādus aktīvus:</w:t>
      </w:r>
    </w:p>
    <w:p w14:paraId="37250DE4" w14:textId="77777777" w:rsidR="00443399" w:rsidRPr="00B03B51" w:rsidRDefault="00443399" w:rsidP="00443399">
      <w:pPr>
        <w:pStyle w:val="BodyText"/>
        <w:spacing w:before="0"/>
        <w:ind w:left="0" w:firstLine="0"/>
        <w:jc w:val="both"/>
        <w:rPr>
          <w:rFonts w:ascii="Times New Roman" w:hAnsi="Times New Roman" w:cs="Times New Roman"/>
          <w:noProof/>
          <w:sz w:val="24"/>
        </w:rPr>
      </w:pPr>
    </w:p>
    <w:p w14:paraId="2392B3EE" w14:textId="77777777" w:rsidR="00443399" w:rsidRPr="00B03B51" w:rsidRDefault="00443399" w:rsidP="00500EA4">
      <w:pPr>
        <w:pStyle w:val="BodyText"/>
        <w:numPr>
          <w:ilvl w:val="2"/>
          <w:numId w:val="20"/>
        </w:numPr>
        <w:spacing w:before="0"/>
        <w:ind w:left="426" w:hanging="425"/>
        <w:jc w:val="both"/>
        <w:rPr>
          <w:rFonts w:ascii="Times New Roman" w:hAnsi="Times New Roman" w:cs="Times New Roman"/>
          <w:noProof/>
          <w:sz w:val="24"/>
        </w:rPr>
      </w:pPr>
      <w:r w:rsidRPr="00B03B51">
        <w:rPr>
          <w:rFonts w:ascii="Times New Roman" w:hAnsi="Times New Roman" w:cs="Times New Roman"/>
          <w:sz w:val="24"/>
        </w:rPr>
        <w:t>vērtspapīrus/akcijas, kuru grāmatvedības uzskaites vērtība ir 40 naudas vienības un tirgus vērtība ir 25 naudas vienības (vērtība sākuma bilancē);</w:t>
      </w:r>
    </w:p>
    <w:p w14:paraId="4E0D6B9B" w14:textId="77777777" w:rsidR="00443399" w:rsidRPr="00B03B51" w:rsidRDefault="00443399" w:rsidP="00500EA4">
      <w:pPr>
        <w:pStyle w:val="BodyText"/>
        <w:numPr>
          <w:ilvl w:val="2"/>
          <w:numId w:val="20"/>
        </w:numPr>
        <w:spacing w:before="0"/>
        <w:ind w:left="426" w:hanging="425"/>
        <w:jc w:val="both"/>
        <w:rPr>
          <w:rFonts w:ascii="Times New Roman" w:hAnsi="Times New Roman" w:cs="Times New Roman"/>
          <w:noProof/>
          <w:sz w:val="24"/>
        </w:rPr>
      </w:pPr>
      <w:r w:rsidRPr="00B03B51">
        <w:rPr>
          <w:rFonts w:ascii="Times New Roman" w:hAnsi="Times New Roman" w:cs="Times New Roman"/>
          <w:sz w:val="24"/>
        </w:rPr>
        <w:t>ēkas, kuru grāmatvedības uzskaites vērtība ir 10 naudas vienības un tirgus vērtība ir 5 naudas vienības (sākuma bilancē);</w:t>
      </w:r>
    </w:p>
    <w:p w14:paraId="73E5F159" w14:textId="77777777" w:rsidR="00443399" w:rsidRPr="00B03B51" w:rsidRDefault="00443399" w:rsidP="00500EA4">
      <w:pPr>
        <w:pStyle w:val="BodyText"/>
        <w:numPr>
          <w:ilvl w:val="2"/>
          <w:numId w:val="20"/>
        </w:numPr>
        <w:spacing w:before="0"/>
        <w:ind w:left="426" w:hanging="425"/>
        <w:jc w:val="both"/>
        <w:rPr>
          <w:rFonts w:ascii="Times New Roman" w:hAnsi="Times New Roman" w:cs="Times New Roman"/>
          <w:noProof/>
          <w:sz w:val="24"/>
        </w:rPr>
      </w:pPr>
      <w:r w:rsidRPr="00B03B51">
        <w:rPr>
          <w:rFonts w:ascii="Times New Roman" w:hAnsi="Times New Roman" w:cs="Times New Roman"/>
          <w:sz w:val="24"/>
        </w:rPr>
        <w:t>aizdevumus, kuru izpirkuma vērtība ir 50 naudas vienības (sākuma bilancē): gada laikā un sanācijas sagatavošanas laikā dažus aizdevumus, kuru summa ir 10 naudas vienības, uzskata par neatgūstamiem.</w:t>
      </w:r>
    </w:p>
    <w:p w14:paraId="5768CD94" w14:textId="77777777" w:rsidR="00443399" w:rsidRPr="00B03B51" w:rsidRDefault="00443399" w:rsidP="00443399">
      <w:pPr>
        <w:pStyle w:val="BodyText"/>
        <w:spacing w:before="0"/>
        <w:ind w:left="0" w:firstLine="0"/>
        <w:jc w:val="both"/>
        <w:rPr>
          <w:rFonts w:ascii="Times New Roman" w:hAnsi="Times New Roman" w:cs="Times New Roman"/>
          <w:noProof/>
          <w:sz w:val="24"/>
        </w:rPr>
      </w:pPr>
    </w:p>
    <w:p w14:paraId="6AA3967B" w14:textId="77777777" w:rsidR="00443399" w:rsidRPr="00B03B51" w:rsidRDefault="00443399" w:rsidP="00443399">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t>Tā kā šo aktīvu grāmatvedības uzskaites vērtība ir 100 naudas vienības (10+40+50) un tirgus vērtība ir nokritusies līdz 70 naudas vienībām (5+25+40), tiek ierakstīts kapitāla pārvedums par 30 naudas vienībām. Pieņem, ka valdības vienība ir aizņēmusies visus savus finanšu līdzekļus.</w:t>
      </w:r>
    </w:p>
    <w:p w14:paraId="20D0E638" w14:textId="77777777" w:rsidR="00443399" w:rsidRPr="00B03B51" w:rsidRDefault="00443399" w:rsidP="00443399">
      <w:pPr>
        <w:jc w:val="both"/>
        <w:rPr>
          <w:rFonts w:ascii="Times New Roman" w:hAnsi="Times New Roman" w:cs="Times New Roman"/>
          <w:b/>
          <w:noProof/>
          <w:sz w:val="24"/>
        </w:rPr>
      </w:pPr>
    </w:p>
    <w:p w14:paraId="091CBDA6" w14:textId="77777777" w:rsidR="00443399" w:rsidRPr="00B03B51" w:rsidRDefault="00443399" w:rsidP="00443399">
      <w:pPr>
        <w:jc w:val="center"/>
        <w:rPr>
          <w:rFonts w:ascii="Times New Roman" w:hAnsi="Times New Roman" w:cs="Times New Roman"/>
          <w:b/>
          <w:noProof/>
          <w:sz w:val="24"/>
        </w:rPr>
      </w:pPr>
      <w:r w:rsidRPr="00B03B51">
        <w:rPr>
          <w:rFonts w:ascii="Times New Roman" w:hAnsi="Times New Roman" w:cs="Times New Roman"/>
          <w:noProof/>
        </w:rPr>
        <w:lastRenderedPageBreak/>
        <w:drawing>
          <wp:inline distT="0" distB="0" distL="0" distR="0" wp14:anchorId="1CB9D16A" wp14:editId="1FA393C5">
            <wp:extent cx="5756275" cy="5117465"/>
            <wp:effectExtent l="0" t="0" r="0" b="6985"/>
            <wp:docPr id="111" name="Attēls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a:stretch>
                      <a:fillRect/>
                    </a:stretch>
                  </pic:blipFill>
                  <pic:spPr>
                    <a:xfrm>
                      <a:off x="0" y="0"/>
                      <a:ext cx="5756275" cy="5117465"/>
                    </a:xfrm>
                    <a:prstGeom prst="rect">
                      <a:avLst/>
                    </a:prstGeom>
                  </pic:spPr>
                </pic:pic>
              </a:graphicData>
            </a:graphic>
          </wp:inline>
        </w:drawing>
      </w:r>
    </w:p>
    <w:p w14:paraId="2EA451D6" w14:textId="77777777" w:rsidR="00443399" w:rsidRPr="00B03B51" w:rsidRDefault="00443399" w:rsidP="00443399">
      <w:pPr>
        <w:jc w:val="both"/>
        <w:rPr>
          <w:rFonts w:ascii="Times New Roman" w:eastAsia="Arial" w:hAnsi="Times New Roman" w:cs="Times New Roman"/>
          <w:noProof/>
          <w:sz w:val="24"/>
          <w:szCs w:val="23"/>
        </w:rPr>
      </w:pPr>
    </w:p>
    <w:p w14:paraId="70E451FC" w14:textId="77777777" w:rsidR="00443399" w:rsidRPr="00B03B51" w:rsidRDefault="00443399" w:rsidP="00443399">
      <w:pPr>
        <w:jc w:val="both"/>
        <w:rPr>
          <w:rFonts w:ascii="Times New Roman" w:hAnsi="Times New Roman" w:cs="Times New Roman"/>
          <w:b/>
          <w:noProof/>
          <w:sz w:val="24"/>
        </w:rPr>
      </w:pPr>
      <w:r w:rsidRPr="00B03B51">
        <w:rPr>
          <w:rFonts w:ascii="Times New Roman" w:hAnsi="Times New Roman" w:cs="Times New Roman"/>
          <w:b/>
          <w:sz w:val="24"/>
        </w:rPr>
        <w:t>Sanācijas pārvaldība</w:t>
      </w:r>
    </w:p>
    <w:p w14:paraId="022A292F" w14:textId="77777777" w:rsidR="00443399" w:rsidRPr="00B03B51" w:rsidRDefault="00443399" w:rsidP="00443399">
      <w:pPr>
        <w:jc w:val="both"/>
        <w:rPr>
          <w:rFonts w:ascii="Times New Roman" w:eastAsia="Arial" w:hAnsi="Times New Roman" w:cs="Times New Roman"/>
          <w:b/>
          <w:bCs/>
          <w:noProof/>
          <w:sz w:val="24"/>
        </w:rPr>
      </w:pPr>
    </w:p>
    <w:p w14:paraId="267AB4A3" w14:textId="77777777" w:rsidR="00443399" w:rsidRPr="00B03B51" w:rsidRDefault="00443399" w:rsidP="00443399">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t>No sanācijas sākuma līdz brīdim, kad tiek likvidēta par aktīvu pārvaldību atbildīgā vienība, veic šādus pasākumus:</w:t>
      </w:r>
    </w:p>
    <w:p w14:paraId="4C708C69" w14:textId="77777777" w:rsidR="00443399" w:rsidRPr="00B03B51" w:rsidRDefault="00443399" w:rsidP="00443399">
      <w:pPr>
        <w:pStyle w:val="BodyText"/>
        <w:spacing w:before="0"/>
        <w:ind w:left="0" w:firstLine="0"/>
        <w:jc w:val="both"/>
        <w:rPr>
          <w:rFonts w:ascii="Times New Roman" w:hAnsi="Times New Roman" w:cs="Times New Roman"/>
          <w:noProof/>
          <w:sz w:val="24"/>
        </w:rPr>
      </w:pPr>
    </w:p>
    <w:p w14:paraId="14C775A8" w14:textId="77777777" w:rsidR="00443399" w:rsidRPr="00B03B51" w:rsidRDefault="00443399" w:rsidP="00500EA4">
      <w:pPr>
        <w:pStyle w:val="BodyText"/>
        <w:numPr>
          <w:ilvl w:val="2"/>
          <w:numId w:val="20"/>
        </w:numPr>
        <w:spacing w:before="0"/>
        <w:ind w:left="426" w:hanging="425"/>
        <w:jc w:val="both"/>
        <w:rPr>
          <w:rFonts w:ascii="Times New Roman" w:hAnsi="Times New Roman" w:cs="Times New Roman"/>
          <w:noProof/>
          <w:sz w:val="24"/>
        </w:rPr>
      </w:pPr>
      <w:r w:rsidRPr="00B03B51">
        <w:rPr>
          <w:rFonts w:ascii="Times New Roman" w:hAnsi="Times New Roman" w:cs="Times New Roman"/>
          <w:sz w:val="24"/>
        </w:rPr>
        <w:t>vērtspapīrus pārdod par 30 naudas vienībām;</w:t>
      </w:r>
    </w:p>
    <w:p w14:paraId="42F97BE2" w14:textId="77777777" w:rsidR="00443399" w:rsidRPr="00B03B51" w:rsidRDefault="00443399" w:rsidP="00500EA4">
      <w:pPr>
        <w:pStyle w:val="BodyText"/>
        <w:numPr>
          <w:ilvl w:val="2"/>
          <w:numId w:val="20"/>
        </w:numPr>
        <w:spacing w:before="0"/>
        <w:ind w:left="426" w:hanging="425"/>
        <w:jc w:val="both"/>
        <w:rPr>
          <w:rFonts w:ascii="Times New Roman" w:hAnsi="Times New Roman" w:cs="Times New Roman"/>
          <w:noProof/>
          <w:sz w:val="24"/>
        </w:rPr>
      </w:pPr>
      <w:r w:rsidRPr="00B03B51">
        <w:rPr>
          <w:rFonts w:ascii="Times New Roman" w:hAnsi="Times New Roman" w:cs="Times New Roman"/>
          <w:sz w:val="24"/>
        </w:rPr>
        <w:t>ēkas pārdod par 8 naudas vienībām;</w:t>
      </w:r>
    </w:p>
    <w:p w14:paraId="78125C5F" w14:textId="77777777" w:rsidR="00443399" w:rsidRPr="00B03B51" w:rsidRDefault="00443399" w:rsidP="00500EA4">
      <w:pPr>
        <w:pStyle w:val="BodyText"/>
        <w:numPr>
          <w:ilvl w:val="2"/>
          <w:numId w:val="20"/>
        </w:numPr>
        <w:spacing w:before="0"/>
        <w:ind w:left="426" w:hanging="425"/>
        <w:jc w:val="both"/>
        <w:rPr>
          <w:rFonts w:ascii="Times New Roman" w:hAnsi="Times New Roman" w:cs="Times New Roman"/>
          <w:noProof/>
          <w:sz w:val="24"/>
        </w:rPr>
      </w:pPr>
      <w:r w:rsidRPr="00B03B51">
        <w:rPr>
          <w:rFonts w:ascii="Times New Roman" w:hAnsi="Times New Roman" w:cs="Times New Roman"/>
          <w:sz w:val="24"/>
        </w:rPr>
        <w:t>no kopējās aizdevumu summas (40 naudas vienības): 30 naudas vienības noslēgumā tiek atmaksātas, 6 tiek norakstītas un 4 – atceltas saskaņā ar savstarpēju vienošanos.</w:t>
      </w:r>
    </w:p>
    <w:p w14:paraId="736EAF74" w14:textId="77777777" w:rsidR="00443399" w:rsidRPr="00B03B51" w:rsidRDefault="00443399" w:rsidP="00443399">
      <w:pPr>
        <w:pStyle w:val="BodyText"/>
        <w:spacing w:before="0"/>
        <w:ind w:left="0" w:firstLine="0"/>
        <w:jc w:val="both"/>
        <w:rPr>
          <w:rFonts w:ascii="Times New Roman" w:hAnsi="Times New Roman" w:cs="Times New Roman"/>
          <w:noProof/>
          <w:sz w:val="24"/>
        </w:rPr>
      </w:pPr>
    </w:p>
    <w:p w14:paraId="784DFA96" w14:textId="77777777" w:rsidR="00443399" w:rsidRPr="00B03B51" w:rsidRDefault="00443399" w:rsidP="00443399">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t>Atmaksu, ko vienība veica par iegūto aizdevumu, kā arī procentu maksājumus neuzrāda.</w:t>
      </w:r>
    </w:p>
    <w:p w14:paraId="629339A9" w14:textId="77777777" w:rsidR="00443399" w:rsidRPr="00B03B51" w:rsidRDefault="00443399" w:rsidP="00443399">
      <w:pPr>
        <w:jc w:val="both"/>
        <w:rPr>
          <w:rFonts w:ascii="Times New Roman" w:eastAsia="Arial" w:hAnsi="Times New Roman" w:cs="Times New Roman"/>
          <w:noProof/>
          <w:sz w:val="24"/>
          <w:szCs w:val="16"/>
        </w:rPr>
      </w:pPr>
    </w:p>
    <w:p w14:paraId="4517FB42" w14:textId="77777777" w:rsidR="00443399" w:rsidRPr="00B03B51" w:rsidRDefault="00443399" w:rsidP="00443399">
      <w:pPr>
        <w:jc w:val="center"/>
        <w:rPr>
          <w:rFonts w:ascii="Times New Roman" w:eastAsia="Arial" w:hAnsi="Times New Roman" w:cs="Times New Roman"/>
          <w:noProof/>
          <w:sz w:val="24"/>
          <w:szCs w:val="16"/>
        </w:rPr>
      </w:pPr>
      <w:r w:rsidRPr="00B03B51">
        <w:rPr>
          <w:rFonts w:ascii="Times New Roman" w:hAnsi="Times New Roman" w:cs="Times New Roman"/>
          <w:noProof/>
        </w:rPr>
        <w:lastRenderedPageBreak/>
        <w:drawing>
          <wp:inline distT="0" distB="0" distL="0" distR="0" wp14:anchorId="6168B23F" wp14:editId="088B183F">
            <wp:extent cx="3409950" cy="1581150"/>
            <wp:effectExtent l="0" t="0" r="0" b="0"/>
            <wp:docPr id="112" name="Attēls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a:stretch>
                      <a:fillRect/>
                    </a:stretch>
                  </pic:blipFill>
                  <pic:spPr>
                    <a:xfrm>
                      <a:off x="0" y="0"/>
                      <a:ext cx="3409950" cy="1581150"/>
                    </a:xfrm>
                    <a:prstGeom prst="rect">
                      <a:avLst/>
                    </a:prstGeom>
                  </pic:spPr>
                </pic:pic>
              </a:graphicData>
            </a:graphic>
          </wp:inline>
        </w:drawing>
      </w:r>
    </w:p>
    <w:p w14:paraId="440EFE46" w14:textId="77777777" w:rsidR="00443399" w:rsidRPr="00B03B51" w:rsidRDefault="00443399" w:rsidP="00443399">
      <w:pPr>
        <w:jc w:val="center"/>
        <w:rPr>
          <w:rFonts w:ascii="Times New Roman" w:eastAsia="Arial" w:hAnsi="Times New Roman" w:cs="Times New Roman"/>
          <w:noProof/>
          <w:sz w:val="24"/>
          <w:szCs w:val="16"/>
        </w:rPr>
      </w:pPr>
      <w:r w:rsidRPr="00B03B51">
        <w:rPr>
          <w:rFonts w:ascii="Times New Roman" w:hAnsi="Times New Roman" w:cs="Times New Roman"/>
          <w:noProof/>
        </w:rPr>
        <w:drawing>
          <wp:inline distT="0" distB="0" distL="0" distR="0" wp14:anchorId="5B2DD7F1" wp14:editId="08C21517">
            <wp:extent cx="3495675" cy="5210175"/>
            <wp:effectExtent l="0" t="0" r="9525" b="9525"/>
            <wp:docPr id="113" name="Attēls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a:stretch>
                      <a:fillRect/>
                    </a:stretch>
                  </pic:blipFill>
                  <pic:spPr>
                    <a:xfrm>
                      <a:off x="0" y="0"/>
                      <a:ext cx="3495675" cy="5210175"/>
                    </a:xfrm>
                    <a:prstGeom prst="rect">
                      <a:avLst/>
                    </a:prstGeom>
                  </pic:spPr>
                </pic:pic>
              </a:graphicData>
            </a:graphic>
          </wp:inline>
        </w:drawing>
      </w:r>
    </w:p>
    <w:p w14:paraId="0E3DA178" w14:textId="77777777" w:rsidR="00443399" w:rsidRPr="00B03B51" w:rsidRDefault="00443399" w:rsidP="00443399">
      <w:pPr>
        <w:jc w:val="both"/>
        <w:rPr>
          <w:rFonts w:ascii="Times New Roman" w:eastAsia="Arial" w:hAnsi="Times New Roman" w:cs="Times New Roman"/>
          <w:noProof/>
          <w:sz w:val="24"/>
          <w:szCs w:val="16"/>
        </w:rPr>
      </w:pPr>
    </w:p>
    <w:p w14:paraId="6D682A7E" w14:textId="77777777" w:rsidR="00443399" w:rsidRPr="00B03B51" w:rsidRDefault="00443399" w:rsidP="00443399">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t>Šajā piemērā valdība uzņemas risku un kompensē finanšu iestāžu turētos problemātiskos aktīvus (“ekonomisko īpašumtiesību” gadījums).</w:t>
      </w:r>
    </w:p>
    <w:p w14:paraId="503322ED" w14:textId="77777777" w:rsidR="00443399" w:rsidRPr="00B03B51" w:rsidRDefault="00443399" w:rsidP="00443399">
      <w:pPr>
        <w:jc w:val="both"/>
        <w:rPr>
          <w:rFonts w:ascii="Times New Roman" w:eastAsia="Arial" w:hAnsi="Times New Roman" w:cs="Times New Roman"/>
          <w:noProof/>
          <w:sz w:val="24"/>
          <w:szCs w:val="18"/>
        </w:rPr>
      </w:pPr>
    </w:p>
    <w:p w14:paraId="54CFC160" w14:textId="77777777" w:rsidR="00443399" w:rsidRPr="00B03B51" w:rsidRDefault="00443399" w:rsidP="00443399">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t>1. Problemātisko aktīvu uzskaites vērtība ir 50 naudas vienības, proti, tā ir vienāda ar aktīvu tirgus/patieso vērtību.</w:t>
      </w:r>
    </w:p>
    <w:p w14:paraId="413A7391" w14:textId="77777777" w:rsidR="00443399" w:rsidRPr="00B03B51" w:rsidRDefault="00443399" w:rsidP="00443399">
      <w:pPr>
        <w:jc w:val="both"/>
        <w:rPr>
          <w:rFonts w:ascii="Times New Roman" w:eastAsia="Arial" w:hAnsi="Times New Roman" w:cs="Times New Roman"/>
          <w:b/>
          <w:bCs/>
          <w:noProof/>
          <w:sz w:val="24"/>
          <w:szCs w:val="20"/>
        </w:rPr>
      </w:pPr>
    </w:p>
    <w:p w14:paraId="7A704688" w14:textId="77777777" w:rsidR="00443399" w:rsidRPr="00B03B51" w:rsidRDefault="00443399" w:rsidP="00443399">
      <w:pPr>
        <w:jc w:val="center"/>
        <w:rPr>
          <w:rFonts w:ascii="Times New Roman" w:eastAsia="Arial" w:hAnsi="Times New Roman" w:cs="Times New Roman"/>
          <w:b/>
          <w:bCs/>
          <w:noProof/>
          <w:sz w:val="24"/>
          <w:szCs w:val="20"/>
        </w:rPr>
      </w:pPr>
      <w:r w:rsidRPr="00B03B51">
        <w:rPr>
          <w:rFonts w:ascii="Times New Roman" w:hAnsi="Times New Roman" w:cs="Times New Roman"/>
          <w:noProof/>
        </w:rPr>
        <w:lastRenderedPageBreak/>
        <w:drawing>
          <wp:inline distT="0" distB="0" distL="0" distR="0" wp14:anchorId="18AFD359" wp14:editId="2C4BB574">
            <wp:extent cx="5756275" cy="3300730"/>
            <wp:effectExtent l="0" t="0" r="0" b="0"/>
            <wp:docPr id="114" name="Attēls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4"/>
                    <a:stretch>
                      <a:fillRect/>
                    </a:stretch>
                  </pic:blipFill>
                  <pic:spPr>
                    <a:xfrm>
                      <a:off x="0" y="0"/>
                      <a:ext cx="5756275" cy="3300730"/>
                    </a:xfrm>
                    <a:prstGeom prst="rect">
                      <a:avLst/>
                    </a:prstGeom>
                  </pic:spPr>
                </pic:pic>
              </a:graphicData>
            </a:graphic>
          </wp:inline>
        </w:drawing>
      </w:r>
    </w:p>
    <w:p w14:paraId="404ECCD6" w14:textId="77777777" w:rsidR="00443399" w:rsidRPr="00B03B51" w:rsidRDefault="00443399" w:rsidP="00443399">
      <w:pPr>
        <w:jc w:val="center"/>
        <w:rPr>
          <w:rFonts w:ascii="Times New Roman" w:eastAsia="Arial" w:hAnsi="Times New Roman" w:cs="Times New Roman"/>
          <w:b/>
          <w:bCs/>
          <w:noProof/>
          <w:sz w:val="24"/>
          <w:szCs w:val="20"/>
        </w:rPr>
      </w:pPr>
      <w:r w:rsidRPr="00B03B51">
        <w:rPr>
          <w:rFonts w:ascii="Times New Roman" w:hAnsi="Times New Roman" w:cs="Times New Roman"/>
          <w:noProof/>
        </w:rPr>
        <w:drawing>
          <wp:inline distT="0" distB="0" distL="0" distR="0" wp14:anchorId="6F7CFEDA" wp14:editId="2949D7A0">
            <wp:extent cx="5756275" cy="612140"/>
            <wp:effectExtent l="0" t="0" r="0" b="0"/>
            <wp:docPr id="115" name="Attēls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5"/>
                    <a:stretch>
                      <a:fillRect/>
                    </a:stretch>
                  </pic:blipFill>
                  <pic:spPr>
                    <a:xfrm>
                      <a:off x="0" y="0"/>
                      <a:ext cx="5756275" cy="612140"/>
                    </a:xfrm>
                    <a:prstGeom prst="rect">
                      <a:avLst/>
                    </a:prstGeom>
                  </pic:spPr>
                </pic:pic>
              </a:graphicData>
            </a:graphic>
          </wp:inline>
        </w:drawing>
      </w:r>
    </w:p>
    <w:p w14:paraId="2A150A48" w14:textId="77777777" w:rsidR="00443399" w:rsidRPr="00B03B51" w:rsidRDefault="00443399" w:rsidP="00443399">
      <w:pPr>
        <w:jc w:val="both"/>
        <w:rPr>
          <w:rFonts w:ascii="Times New Roman" w:eastAsia="Arial" w:hAnsi="Times New Roman" w:cs="Times New Roman"/>
          <w:b/>
          <w:bCs/>
          <w:noProof/>
          <w:sz w:val="24"/>
          <w:szCs w:val="20"/>
        </w:rPr>
      </w:pPr>
    </w:p>
    <w:p w14:paraId="04382C26" w14:textId="77777777" w:rsidR="00443399" w:rsidRPr="00B03B51" w:rsidRDefault="00443399" w:rsidP="00443399">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t>2.a) Problemātiskie aktīvi tiek segti no valdības atbalsta shēmas (riski un priekšrocības) 50 naudas vienību apmērā, taču to tirgus/patiesā vērtība tiek novērtēta ar 40 naudas vienībām, ko apliecina ieraksts finanšu iestādes bilancē.</w:t>
      </w:r>
    </w:p>
    <w:p w14:paraId="7A0265EC" w14:textId="77777777" w:rsidR="00443399" w:rsidRPr="00B03B51" w:rsidRDefault="00443399" w:rsidP="00443399">
      <w:pPr>
        <w:jc w:val="both"/>
        <w:rPr>
          <w:rFonts w:ascii="Times New Roman" w:eastAsia="Arial" w:hAnsi="Times New Roman" w:cs="Times New Roman"/>
          <w:noProof/>
          <w:sz w:val="24"/>
          <w:szCs w:val="23"/>
        </w:rPr>
      </w:pPr>
    </w:p>
    <w:p w14:paraId="490D10CF" w14:textId="77777777" w:rsidR="00443399" w:rsidRPr="00B03B51" w:rsidRDefault="00443399" w:rsidP="00443399">
      <w:pPr>
        <w:jc w:val="center"/>
        <w:rPr>
          <w:rFonts w:ascii="Times New Roman" w:eastAsia="Arial" w:hAnsi="Times New Roman" w:cs="Times New Roman"/>
          <w:noProof/>
          <w:sz w:val="24"/>
          <w:szCs w:val="23"/>
        </w:rPr>
      </w:pPr>
      <w:r w:rsidRPr="00B03B51">
        <w:rPr>
          <w:rFonts w:ascii="Times New Roman" w:hAnsi="Times New Roman" w:cs="Times New Roman"/>
          <w:noProof/>
        </w:rPr>
        <w:lastRenderedPageBreak/>
        <w:drawing>
          <wp:inline distT="0" distB="0" distL="0" distR="0" wp14:anchorId="10E1D44B" wp14:editId="4299F971">
            <wp:extent cx="5756275" cy="4435475"/>
            <wp:effectExtent l="0" t="0" r="0" b="3175"/>
            <wp:docPr id="116" name="Attēls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
                    <a:stretch>
                      <a:fillRect/>
                    </a:stretch>
                  </pic:blipFill>
                  <pic:spPr>
                    <a:xfrm>
                      <a:off x="0" y="0"/>
                      <a:ext cx="5756275" cy="4435475"/>
                    </a:xfrm>
                    <a:prstGeom prst="rect">
                      <a:avLst/>
                    </a:prstGeom>
                  </pic:spPr>
                </pic:pic>
              </a:graphicData>
            </a:graphic>
          </wp:inline>
        </w:drawing>
      </w:r>
    </w:p>
    <w:p w14:paraId="154ABBA1" w14:textId="77777777" w:rsidR="00443399" w:rsidRPr="00B03B51" w:rsidRDefault="00443399" w:rsidP="00443399">
      <w:pPr>
        <w:jc w:val="both"/>
        <w:rPr>
          <w:rFonts w:ascii="Times New Roman" w:eastAsia="Arial" w:hAnsi="Times New Roman" w:cs="Times New Roman"/>
          <w:noProof/>
          <w:sz w:val="24"/>
          <w:szCs w:val="23"/>
        </w:rPr>
      </w:pPr>
    </w:p>
    <w:p w14:paraId="6F0CCE93" w14:textId="77777777" w:rsidR="00443399" w:rsidRPr="00B03B51" w:rsidRDefault="00443399" w:rsidP="00443399">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t>2.b) Valdības bilancē tiek ierakstīti aktīvu turēšanas zaudējumi 10 vienību apmērā. Valdībai ir jāpārskaita 10 naudas vienības finanšu iestādei (piemēram, finansējot tos no aizdevuma, kas saņemts tirgū, emitējot parāda vērtspapīrus).</w:t>
      </w:r>
    </w:p>
    <w:p w14:paraId="595DDB5B" w14:textId="77777777" w:rsidR="00443399" w:rsidRPr="00B03B51" w:rsidRDefault="00443399" w:rsidP="00443399">
      <w:pPr>
        <w:jc w:val="both"/>
        <w:rPr>
          <w:rFonts w:ascii="Times New Roman" w:eastAsia="Arial" w:hAnsi="Times New Roman" w:cs="Times New Roman"/>
          <w:noProof/>
          <w:sz w:val="24"/>
          <w:szCs w:val="20"/>
        </w:rPr>
      </w:pPr>
    </w:p>
    <w:p w14:paraId="00B518F0" w14:textId="77777777" w:rsidR="00443399" w:rsidRPr="00B03B51" w:rsidRDefault="00443399" w:rsidP="00443399">
      <w:pPr>
        <w:jc w:val="center"/>
        <w:rPr>
          <w:rFonts w:ascii="Times New Roman" w:eastAsia="Arial" w:hAnsi="Times New Roman" w:cs="Times New Roman"/>
          <w:noProof/>
          <w:sz w:val="24"/>
          <w:szCs w:val="20"/>
        </w:rPr>
      </w:pPr>
      <w:r w:rsidRPr="00B03B51">
        <w:rPr>
          <w:rFonts w:ascii="Times New Roman" w:hAnsi="Times New Roman" w:cs="Times New Roman"/>
          <w:noProof/>
        </w:rPr>
        <w:drawing>
          <wp:inline distT="0" distB="0" distL="0" distR="0" wp14:anchorId="280346BC" wp14:editId="20BD563E">
            <wp:extent cx="5756275" cy="2207895"/>
            <wp:effectExtent l="0" t="0" r="0" b="1905"/>
            <wp:docPr id="117" name="Attēls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7"/>
                    <a:stretch>
                      <a:fillRect/>
                    </a:stretch>
                  </pic:blipFill>
                  <pic:spPr>
                    <a:xfrm>
                      <a:off x="0" y="0"/>
                      <a:ext cx="5756275" cy="2207895"/>
                    </a:xfrm>
                    <a:prstGeom prst="rect">
                      <a:avLst/>
                    </a:prstGeom>
                  </pic:spPr>
                </pic:pic>
              </a:graphicData>
            </a:graphic>
          </wp:inline>
        </w:drawing>
      </w:r>
    </w:p>
    <w:p w14:paraId="3E8A71B9" w14:textId="77777777" w:rsidR="00443399" w:rsidRPr="00B03B51" w:rsidRDefault="00443399" w:rsidP="00500EA4">
      <w:pPr>
        <w:jc w:val="center"/>
        <w:rPr>
          <w:rFonts w:ascii="Times New Roman" w:eastAsia="Arial" w:hAnsi="Times New Roman" w:cs="Times New Roman"/>
          <w:noProof/>
          <w:sz w:val="24"/>
          <w:szCs w:val="20"/>
        </w:rPr>
      </w:pPr>
      <w:r w:rsidRPr="00B03B51">
        <w:rPr>
          <w:rFonts w:ascii="Times New Roman" w:hAnsi="Times New Roman" w:cs="Times New Roman"/>
          <w:noProof/>
        </w:rPr>
        <w:lastRenderedPageBreak/>
        <w:drawing>
          <wp:inline distT="0" distB="0" distL="0" distR="0" wp14:anchorId="1AA247FE" wp14:editId="5EB088FA">
            <wp:extent cx="5756275" cy="2712085"/>
            <wp:effectExtent l="0" t="0" r="0" b="0"/>
            <wp:docPr id="118" name="Attēls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8"/>
                    <a:stretch>
                      <a:fillRect/>
                    </a:stretch>
                  </pic:blipFill>
                  <pic:spPr>
                    <a:xfrm>
                      <a:off x="0" y="0"/>
                      <a:ext cx="5756275" cy="2712085"/>
                    </a:xfrm>
                    <a:prstGeom prst="rect">
                      <a:avLst/>
                    </a:prstGeom>
                  </pic:spPr>
                </pic:pic>
              </a:graphicData>
            </a:graphic>
          </wp:inline>
        </w:drawing>
      </w:r>
    </w:p>
    <w:p w14:paraId="6039AB6F" w14:textId="77777777" w:rsidR="00443399" w:rsidRPr="00B03B51" w:rsidRDefault="00443399" w:rsidP="00443399">
      <w:pPr>
        <w:jc w:val="both"/>
        <w:rPr>
          <w:rFonts w:ascii="Times New Roman" w:eastAsia="Arial" w:hAnsi="Times New Roman" w:cs="Times New Roman"/>
          <w:b/>
          <w:bCs/>
          <w:noProof/>
          <w:sz w:val="24"/>
        </w:rPr>
      </w:pPr>
    </w:p>
    <w:p w14:paraId="1F72B5D7" w14:textId="77777777" w:rsidR="00443399" w:rsidRPr="00B03B51" w:rsidRDefault="00443399" w:rsidP="00443399">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t>2.c) Aktīvu darbības termiņa beigās galīgais aktīvu turēšanas guvums ir 5 naudas vienības (valdība saņem 35 naudas vienības, nevis 30 naudas vienības). Valdība aizņemas tirgū 5 naudas vienības (piemēram, emitējot parāda vērtspapīrus), lai atmaksātu aizdevumu 40 naudas vienību apmērā.</w:t>
      </w:r>
    </w:p>
    <w:p w14:paraId="0EB6BDE5" w14:textId="77777777" w:rsidR="00443399" w:rsidRPr="00B03B51" w:rsidRDefault="00443399" w:rsidP="00443399">
      <w:pPr>
        <w:jc w:val="both"/>
        <w:rPr>
          <w:rFonts w:ascii="Times New Roman" w:eastAsia="Arial" w:hAnsi="Times New Roman" w:cs="Times New Roman"/>
          <w:noProof/>
          <w:sz w:val="24"/>
          <w:szCs w:val="20"/>
        </w:rPr>
      </w:pPr>
    </w:p>
    <w:p w14:paraId="139FA3EE" w14:textId="77777777" w:rsidR="00443399" w:rsidRPr="00B03B51" w:rsidRDefault="00443399" w:rsidP="00443399">
      <w:pPr>
        <w:jc w:val="center"/>
        <w:rPr>
          <w:rFonts w:ascii="Times New Roman" w:eastAsia="Arial" w:hAnsi="Times New Roman" w:cs="Times New Roman"/>
          <w:noProof/>
          <w:sz w:val="24"/>
          <w:szCs w:val="20"/>
        </w:rPr>
      </w:pPr>
      <w:r w:rsidRPr="00B03B51">
        <w:rPr>
          <w:rFonts w:ascii="Times New Roman" w:hAnsi="Times New Roman" w:cs="Times New Roman"/>
          <w:noProof/>
        </w:rPr>
        <w:drawing>
          <wp:inline distT="0" distB="0" distL="0" distR="0" wp14:anchorId="3583D762" wp14:editId="1DEA880C">
            <wp:extent cx="5756275" cy="4688205"/>
            <wp:effectExtent l="0" t="0" r="0" b="0"/>
            <wp:docPr id="119" name="Attēls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9"/>
                    <a:stretch>
                      <a:fillRect/>
                    </a:stretch>
                  </pic:blipFill>
                  <pic:spPr>
                    <a:xfrm>
                      <a:off x="0" y="0"/>
                      <a:ext cx="5756275" cy="4688205"/>
                    </a:xfrm>
                    <a:prstGeom prst="rect">
                      <a:avLst/>
                    </a:prstGeom>
                  </pic:spPr>
                </pic:pic>
              </a:graphicData>
            </a:graphic>
          </wp:inline>
        </w:drawing>
      </w:r>
    </w:p>
    <w:p w14:paraId="73297DA7" w14:textId="77777777" w:rsidR="00443399" w:rsidRPr="00B03B51" w:rsidRDefault="00443399" w:rsidP="00443399">
      <w:pPr>
        <w:rPr>
          <w:rFonts w:ascii="Times New Roman" w:eastAsia="Arial" w:hAnsi="Times New Roman" w:cs="Times New Roman"/>
          <w:noProof/>
          <w:sz w:val="24"/>
          <w:szCs w:val="29"/>
        </w:rPr>
      </w:pPr>
      <w:r w:rsidRPr="00B03B51">
        <w:rPr>
          <w:rFonts w:ascii="Times New Roman" w:hAnsi="Times New Roman" w:cs="Times New Roman"/>
        </w:rPr>
        <w:br w:type="page"/>
      </w:r>
    </w:p>
    <w:p w14:paraId="19C66635" w14:textId="77777777" w:rsidR="00443399" w:rsidRPr="00B03B51" w:rsidRDefault="00443399" w:rsidP="00443399">
      <w:pPr>
        <w:jc w:val="both"/>
        <w:rPr>
          <w:rFonts w:ascii="Times New Roman" w:eastAsia="Arial" w:hAnsi="Times New Roman" w:cs="Times New Roman"/>
          <w:noProof/>
          <w:sz w:val="24"/>
          <w:szCs w:val="29"/>
        </w:rPr>
      </w:pPr>
    </w:p>
    <w:p w14:paraId="6B4BC084" w14:textId="77777777" w:rsidR="00443399" w:rsidRPr="00B03B51" w:rsidRDefault="00443399" w:rsidP="00443399">
      <w:pPr>
        <w:pStyle w:val="Heading2"/>
        <w:tabs>
          <w:tab w:val="left" w:pos="1135"/>
        </w:tabs>
        <w:spacing w:before="0"/>
        <w:ind w:left="0" w:firstLine="0"/>
        <w:jc w:val="both"/>
        <w:rPr>
          <w:rFonts w:ascii="Times New Roman" w:hAnsi="Times New Roman" w:cs="Times New Roman"/>
          <w:noProof/>
          <w:sz w:val="28"/>
          <w:szCs w:val="44"/>
        </w:rPr>
      </w:pPr>
      <w:bookmarkStart w:id="366" w:name="4.6_Capital_increases_in_multilateral_de"/>
      <w:bookmarkStart w:id="367" w:name="_bookmark36"/>
      <w:bookmarkStart w:id="368" w:name="_Toc67565137"/>
      <w:bookmarkEnd w:id="366"/>
      <w:bookmarkEnd w:id="367"/>
      <w:r w:rsidRPr="00B03B51">
        <w:rPr>
          <w:rFonts w:ascii="Times New Roman" w:hAnsi="Times New Roman" w:cs="Times New Roman"/>
          <w:sz w:val="28"/>
          <w:szCs w:val="44"/>
        </w:rPr>
        <w:t>4.6. Kapitāla pieaugums daudzpusējās attīstības bankās</w:t>
      </w:r>
      <w:bookmarkEnd w:id="368"/>
    </w:p>
    <w:p w14:paraId="542569CF" w14:textId="77777777" w:rsidR="00443399" w:rsidRPr="00B03B51" w:rsidRDefault="00443399" w:rsidP="00443399">
      <w:pPr>
        <w:tabs>
          <w:tab w:val="left" w:pos="1267"/>
        </w:tabs>
        <w:jc w:val="both"/>
        <w:rPr>
          <w:rFonts w:ascii="Times New Roman" w:hAnsi="Times New Roman" w:cs="Times New Roman"/>
          <w:b/>
          <w:noProof/>
          <w:sz w:val="24"/>
        </w:rPr>
      </w:pPr>
      <w:bookmarkStart w:id="369" w:name="4.6.1_Background"/>
      <w:bookmarkEnd w:id="369"/>
    </w:p>
    <w:p w14:paraId="3A590CBB" w14:textId="77777777" w:rsidR="00443399" w:rsidRPr="00BE27DC" w:rsidRDefault="00443399" w:rsidP="00BE27DC">
      <w:pPr>
        <w:pStyle w:val="Heading3"/>
        <w:tabs>
          <w:tab w:val="left" w:pos="1267"/>
        </w:tabs>
        <w:ind w:left="0" w:firstLine="0"/>
        <w:jc w:val="both"/>
        <w:rPr>
          <w:rFonts w:ascii="Times New Roman" w:hAnsi="Times New Roman" w:cs="Times New Roman"/>
          <w:sz w:val="24"/>
        </w:rPr>
      </w:pPr>
      <w:r w:rsidRPr="00B03B51">
        <w:rPr>
          <w:rFonts w:ascii="Times New Roman" w:hAnsi="Times New Roman" w:cs="Times New Roman"/>
          <w:sz w:val="24"/>
        </w:rPr>
        <w:t>4.6.1. Vispārīga informācija</w:t>
      </w:r>
    </w:p>
    <w:p w14:paraId="054A364F"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0B12160C"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 Daudzpusējas attīstības bankas ir iestādes, kas sniedz finanšu atbalstu un profesionālus ieteikumus attiecībā uz ekonomiskās un sociālās attīstības pasākumiem attīstības valstīs. Terminu “daudzpusējās attīstības bankas” (DAB) parasti attiecina uz Pasaules Bankas grupu (jo īpaši uz Starptautisko rekonstrukcijas un attīstības banku (</w:t>
      </w:r>
      <w:r w:rsidRPr="00B03B51">
        <w:rPr>
          <w:rFonts w:ascii="Times New Roman" w:hAnsi="Times New Roman" w:cs="Times New Roman"/>
          <w:i/>
          <w:iCs/>
          <w:sz w:val="24"/>
        </w:rPr>
        <w:t>IBRD</w:t>
      </w:r>
      <w:r w:rsidRPr="00B03B51">
        <w:rPr>
          <w:rFonts w:ascii="Times New Roman" w:hAnsi="Times New Roman" w:cs="Times New Roman"/>
          <w:sz w:val="24"/>
        </w:rPr>
        <w:t>) un Starptautisko attīstības aģentūru (</w:t>
      </w:r>
      <w:r w:rsidRPr="00B03B51">
        <w:rPr>
          <w:rFonts w:ascii="Times New Roman" w:hAnsi="Times New Roman" w:cs="Times New Roman"/>
          <w:i/>
          <w:iCs/>
          <w:sz w:val="24"/>
        </w:rPr>
        <w:t>IDA</w:t>
      </w:r>
      <w:r w:rsidRPr="00B03B51">
        <w:rPr>
          <w:rFonts w:ascii="Times New Roman" w:hAnsi="Times New Roman" w:cs="Times New Roman"/>
          <w:sz w:val="24"/>
        </w:rPr>
        <w:t>)) un četrām reģionālās attīstības bankām:</w:t>
      </w:r>
    </w:p>
    <w:p w14:paraId="4FE47751"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0AC237AB" w14:textId="77777777" w:rsidR="00443399" w:rsidRPr="00B03B51" w:rsidRDefault="00443399" w:rsidP="00500EA4">
      <w:pPr>
        <w:pStyle w:val="BodyText"/>
        <w:numPr>
          <w:ilvl w:val="1"/>
          <w:numId w:val="63"/>
        </w:numPr>
        <w:spacing w:before="0"/>
        <w:ind w:left="426" w:hanging="425"/>
        <w:jc w:val="both"/>
        <w:rPr>
          <w:rFonts w:ascii="Times New Roman" w:hAnsi="Times New Roman" w:cs="Times New Roman"/>
          <w:noProof/>
          <w:sz w:val="24"/>
        </w:rPr>
      </w:pPr>
      <w:r w:rsidRPr="00B03B51">
        <w:rPr>
          <w:rFonts w:ascii="Times New Roman" w:hAnsi="Times New Roman" w:cs="Times New Roman"/>
          <w:sz w:val="24"/>
        </w:rPr>
        <w:t>Āfrikas Attīstības banku (</w:t>
      </w:r>
      <w:r w:rsidRPr="00B03B51">
        <w:rPr>
          <w:rFonts w:ascii="Times New Roman" w:hAnsi="Times New Roman" w:cs="Times New Roman"/>
          <w:i/>
          <w:iCs/>
          <w:sz w:val="24"/>
        </w:rPr>
        <w:t>AfDB</w:t>
      </w:r>
      <w:r w:rsidRPr="00B03B51">
        <w:rPr>
          <w:rFonts w:ascii="Times New Roman" w:hAnsi="Times New Roman" w:cs="Times New Roman"/>
          <w:sz w:val="24"/>
        </w:rPr>
        <w:t>);</w:t>
      </w:r>
    </w:p>
    <w:p w14:paraId="57DE5B69" w14:textId="77777777" w:rsidR="00443399" w:rsidRPr="00B03B51" w:rsidRDefault="00443399" w:rsidP="00500EA4">
      <w:pPr>
        <w:pStyle w:val="BodyText"/>
        <w:numPr>
          <w:ilvl w:val="1"/>
          <w:numId w:val="63"/>
        </w:numPr>
        <w:spacing w:before="0"/>
        <w:ind w:left="426" w:hanging="425"/>
        <w:jc w:val="both"/>
        <w:rPr>
          <w:rFonts w:ascii="Times New Roman" w:hAnsi="Times New Roman" w:cs="Times New Roman"/>
          <w:noProof/>
          <w:sz w:val="24"/>
        </w:rPr>
      </w:pPr>
      <w:r w:rsidRPr="00B03B51">
        <w:rPr>
          <w:rFonts w:ascii="Times New Roman" w:hAnsi="Times New Roman" w:cs="Times New Roman"/>
          <w:sz w:val="24"/>
        </w:rPr>
        <w:t>Āzijas Attīstības banku (</w:t>
      </w:r>
      <w:r w:rsidRPr="00B03B51">
        <w:rPr>
          <w:rFonts w:ascii="Times New Roman" w:hAnsi="Times New Roman" w:cs="Times New Roman"/>
          <w:i/>
          <w:iCs/>
          <w:sz w:val="24"/>
        </w:rPr>
        <w:t>AsDB</w:t>
      </w:r>
      <w:r w:rsidRPr="00B03B51">
        <w:rPr>
          <w:rFonts w:ascii="Times New Roman" w:hAnsi="Times New Roman" w:cs="Times New Roman"/>
          <w:sz w:val="24"/>
        </w:rPr>
        <w:t>);</w:t>
      </w:r>
    </w:p>
    <w:p w14:paraId="08659F25" w14:textId="77777777" w:rsidR="00443399" w:rsidRPr="00B03B51" w:rsidRDefault="00443399" w:rsidP="00500EA4">
      <w:pPr>
        <w:pStyle w:val="BodyText"/>
        <w:numPr>
          <w:ilvl w:val="1"/>
          <w:numId w:val="63"/>
        </w:numPr>
        <w:spacing w:before="0"/>
        <w:ind w:left="426" w:hanging="425"/>
        <w:jc w:val="both"/>
        <w:rPr>
          <w:rFonts w:ascii="Times New Roman" w:hAnsi="Times New Roman" w:cs="Times New Roman"/>
          <w:noProof/>
          <w:sz w:val="24"/>
        </w:rPr>
      </w:pPr>
      <w:r w:rsidRPr="00B03B51">
        <w:rPr>
          <w:rFonts w:ascii="Times New Roman" w:hAnsi="Times New Roman" w:cs="Times New Roman"/>
          <w:sz w:val="24"/>
        </w:rPr>
        <w:t>Eiropas Rekonstrukcijas un attīstības banku (ERAB);</w:t>
      </w:r>
    </w:p>
    <w:p w14:paraId="3D96F34E" w14:textId="77777777" w:rsidR="00443399" w:rsidRPr="00B03B51" w:rsidRDefault="00443399" w:rsidP="00500EA4">
      <w:pPr>
        <w:pStyle w:val="BodyText"/>
        <w:numPr>
          <w:ilvl w:val="1"/>
          <w:numId w:val="63"/>
        </w:numPr>
        <w:spacing w:before="0"/>
        <w:ind w:left="426" w:hanging="425"/>
        <w:jc w:val="both"/>
        <w:rPr>
          <w:rFonts w:ascii="Times New Roman" w:hAnsi="Times New Roman" w:cs="Times New Roman"/>
          <w:noProof/>
          <w:sz w:val="24"/>
        </w:rPr>
      </w:pPr>
      <w:r w:rsidRPr="00B03B51">
        <w:rPr>
          <w:rFonts w:ascii="Times New Roman" w:hAnsi="Times New Roman" w:cs="Times New Roman"/>
          <w:sz w:val="24"/>
        </w:rPr>
        <w:t>Amerikas Attīstības bankas grupu (</w:t>
      </w:r>
      <w:r w:rsidRPr="00B03B51">
        <w:rPr>
          <w:rFonts w:ascii="Times New Roman" w:hAnsi="Times New Roman" w:cs="Times New Roman"/>
          <w:i/>
          <w:iCs/>
          <w:sz w:val="24"/>
        </w:rPr>
        <w:t>IDB</w:t>
      </w:r>
      <w:r w:rsidRPr="00B03B51">
        <w:rPr>
          <w:rFonts w:ascii="Times New Roman" w:hAnsi="Times New Roman" w:cs="Times New Roman"/>
          <w:sz w:val="24"/>
        </w:rPr>
        <w:t>).</w:t>
      </w:r>
    </w:p>
    <w:p w14:paraId="6300DF42"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3381E4B5"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2. DAB raksturīga plaša līdzdalība, sākot no attīstības valstīm, kuras ņem aizdevumus, līdz attīstītajām valstīm, kuras piešķir finansējumu, un tā netiek ierobežota līdz dalībvalstīm no konkrētās reģionālās attīstības bankas reģiona. Katrai bankai ir neatkarīgs juridiskais un darbības statuss, lai gan, ņemot vērā līdzīgo pilnvarojumu un ievērojamo kopējo īpašnieku skaitu, DAB cieši sadarbojas viena ar otru.</w:t>
      </w:r>
    </w:p>
    <w:p w14:paraId="192FC5A7"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58BE5F99"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3. Lielākajai daļai DAB ir pieejami divu veidu finanšu līdzekļi, ko bieži vien dēvē par “aizdevuma logiem” vai “aizdevuma mehānismiem”. Viena veida aizdevumu logs tiek izmantots, lai piešķirtu aizdevumus ar tirgum atbilstošām procentu likmēm. Atkarībā no DAB šādi nekoncesionāli aizdevumi tiek darīti pieejami valdībām un privātiem uzņēmumiem vidēji augstu ienākumu grupā un dažām kredītspējīgām valstīm zemu ienākumu grupā. Otrs aizdevuma loga veids tiek izmantots, lai valstīm ar zemiem ienākumiem piešķirtu aizdevumus ar procentu likmēm, kas ir (ievērojami) zemākas par tirgus procentu likmēm (koncesionālie aizdevumi).</w:t>
      </w:r>
    </w:p>
    <w:p w14:paraId="1A6658CF"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6369CA13"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4. Lai izsniegtu nekoncesionālus aizdevumus, DAB aizņemas naudu starptautiskajos kapitāla tirgos un tad aizdod to attīstības valstīm. DAB spēj aizņemties starptautiskajos kapitāla tirgos, jo ir saņēmušas garantijas no savu dalībvalstu valdībām. Tas tiek nodrošināts, izmantojot īpašuma daļas, ko dalībvalstis paraksta katrā bankā. Tikai neliela daļa (parasti mazāk par 5–10 %) no šo kapitāldaļu vērtības tiek faktiski iemaksāta DAB (“apmaksātais kapitāls”). Vairums šo daļu tiek nodrošinātas garantijas veidā, kuras apliecina, ka donori ir gatavi vajadzības gadījumā sniegt bankai finansējumu. To dēvē par “pieprasāmo kapitālu”, jo donors faktiski nepārskaita finansējumu DAB, ja vien banka nepieprasa šādu finansējumu, jo tā ir izsmēlusi tai pieejamos finanšu līdzekļus, bet joprojām nav veikusi visus maksājumus obligāciju turētājiem.</w:t>
      </w:r>
    </w:p>
    <w:p w14:paraId="6C7A22AD"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249136A5"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5. Ja donori atzīst, ka turpmāk aizdevumu pieprasījums no DAB visticamāk pieaugs, tie regulāri palielina savu parakstīto kapitālu attiecībā uz DAB nekoncesionālo aizdevumu logu, lai ļautu DAB palielināt savu aizdevuma apjomu.</w:t>
      </w:r>
    </w:p>
    <w:p w14:paraId="71EA0BB7"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3AD05907"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 xml:space="preserve">6. DAB paplašinot savus nekoncesionālos aizdevumus un dotācijas valstīm ar zemiem ienākumiem, tiek sistemātiski izsmelti aizdevumu logu līdzekļi, kas pieejami šādiem pasākumiem. Donorvalstis regulāri tiekas, lai papildinātu šos līdzekļus. Tāpēc šādu līdzekļu palielināšanu sauc par “papildinājumiem”, un lielākā to daļa tiek piešķirta saskaņā ar plānveida </w:t>
      </w:r>
      <w:r w:rsidRPr="00B03B51">
        <w:rPr>
          <w:rFonts w:ascii="Times New Roman" w:hAnsi="Times New Roman" w:cs="Times New Roman"/>
          <w:sz w:val="24"/>
        </w:rPr>
        <w:lastRenderedPageBreak/>
        <w:t>grafiku vienu reizi 3–5 gados. Ja šie mehānismi netiek papildināti pienācīgā laikā, tie tiks izsmelti un būs ievērojami jāsamazina to darbības līmenis.</w:t>
      </w:r>
    </w:p>
    <w:p w14:paraId="65F42A99"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63130D3E"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 xml:space="preserve">7. Dažas DAB piedāvā vienīgi vai galvenokārt koncesionālus aizdevumus (un tās ir </w:t>
      </w:r>
      <w:r w:rsidRPr="00B03B51">
        <w:rPr>
          <w:rFonts w:ascii="Times New Roman" w:hAnsi="Times New Roman" w:cs="Times New Roman"/>
          <w:i/>
          <w:iCs/>
          <w:sz w:val="24"/>
        </w:rPr>
        <w:t>IDA</w:t>
      </w:r>
      <w:r w:rsidRPr="00B03B51">
        <w:rPr>
          <w:rFonts w:ascii="Times New Roman" w:hAnsi="Times New Roman" w:cs="Times New Roman"/>
          <w:sz w:val="24"/>
        </w:rPr>
        <w:t xml:space="preserve">, </w:t>
      </w:r>
      <w:r w:rsidRPr="00B03B51">
        <w:rPr>
          <w:rFonts w:ascii="Times New Roman" w:hAnsi="Times New Roman" w:cs="Times New Roman"/>
          <w:i/>
          <w:iCs/>
          <w:sz w:val="24"/>
        </w:rPr>
        <w:t>IDB</w:t>
      </w:r>
      <w:r w:rsidRPr="00B03B51">
        <w:rPr>
          <w:rFonts w:ascii="Times New Roman" w:hAnsi="Times New Roman" w:cs="Times New Roman"/>
          <w:sz w:val="24"/>
        </w:rPr>
        <w:t xml:space="preserve"> Īpašo operāciju fonds (</w:t>
      </w:r>
      <w:r w:rsidRPr="00B03B51">
        <w:rPr>
          <w:rFonts w:ascii="Times New Roman" w:hAnsi="Times New Roman" w:cs="Times New Roman"/>
          <w:i/>
          <w:iCs/>
          <w:sz w:val="24"/>
        </w:rPr>
        <w:t>FSO</w:t>
      </w:r>
      <w:r w:rsidRPr="00B03B51">
        <w:rPr>
          <w:rFonts w:ascii="Times New Roman" w:hAnsi="Times New Roman" w:cs="Times New Roman"/>
          <w:sz w:val="24"/>
        </w:rPr>
        <w:t xml:space="preserve">), </w:t>
      </w:r>
      <w:r w:rsidRPr="00B03B51">
        <w:rPr>
          <w:rFonts w:ascii="Times New Roman" w:hAnsi="Times New Roman" w:cs="Times New Roman"/>
          <w:i/>
          <w:iCs/>
          <w:sz w:val="24"/>
        </w:rPr>
        <w:t>AfDF</w:t>
      </w:r>
      <w:r w:rsidRPr="00B03B51">
        <w:rPr>
          <w:rFonts w:ascii="Times New Roman" w:hAnsi="Times New Roman" w:cs="Times New Roman"/>
          <w:sz w:val="24"/>
        </w:rPr>
        <w:t xml:space="preserve"> un </w:t>
      </w:r>
      <w:r w:rsidRPr="00B03B51">
        <w:rPr>
          <w:rFonts w:ascii="Times New Roman" w:hAnsi="Times New Roman" w:cs="Times New Roman"/>
          <w:i/>
          <w:iCs/>
          <w:sz w:val="24"/>
        </w:rPr>
        <w:t>AsDF</w:t>
      </w:r>
      <w:r w:rsidRPr="00B03B51">
        <w:rPr>
          <w:rFonts w:ascii="Times New Roman" w:hAnsi="Times New Roman" w:cs="Times New Roman"/>
          <w:sz w:val="24"/>
        </w:rPr>
        <w:t xml:space="preserve">), un līdz ar to tās galvenokārt tiek finansētas no savu bagātāko dalībvalstu veiktajām iemaksām vai no citiem DAB ienākumiem (piemēram, </w:t>
      </w:r>
      <w:r w:rsidRPr="00B03B51">
        <w:rPr>
          <w:rFonts w:ascii="Times New Roman" w:hAnsi="Times New Roman" w:cs="Times New Roman"/>
          <w:i/>
          <w:iCs/>
          <w:sz w:val="24"/>
        </w:rPr>
        <w:t>IDA</w:t>
      </w:r>
      <w:r w:rsidRPr="00B03B51">
        <w:rPr>
          <w:rFonts w:ascii="Times New Roman" w:hAnsi="Times New Roman" w:cs="Times New Roman"/>
          <w:sz w:val="24"/>
        </w:rPr>
        <w:t xml:space="preserve"> saņem papildu līdzekļus no </w:t>
      </w:r>
      <w:r w:rsidRPr="00B03B51">
        <w:rPr>
          <w:rFonts w:ascii="Times New Roman" w:hAnsi="Times New Roman" w:cs="Times New Roman"/>
          <w:i/>
          <w:iCs/>
          <w:sz w:val="24"/>
        </w:rPr>
        <w:t>IBRD</w:t>
      </w:r>
      <w:r w:rsidRPr="00B03B51">
        <w:rPr>
          <w:rFonts w:ascii="Times New Roman" w:hAnsi="Times New Roman" w:cs="Times New Roman"/>
          <w:sz w:val="24"/>
        </w:rPr>
        <w:t xml:space="preserve"> un </w:t>
      </w:r>
      <w:r w:rsidRPr="00B03B51">
        <w:rPr>
          <w:rFonts w:ascii="Times New Roman" w:hAnsi="Times New Roman" w:cs="Times New Roman"/>
          <w:i/>
          <w:iCs/>
          <w:sz w:val="24"/>
        </w:rPr>
        <w:t>IFC</w:t>
      </w:r>
      <w:r w:rsidRPr="00B03B51">
        <w:rPr>
          <w:rFonts w:ascii="Times New Roman" w:hAnsi="Times New Roman" w:cs="Times New Roman"/>
          <w:sz w:val="24"/>
        </w:rPr>
        <w:t xml:space="preserve"> ienākumiem) un no aizdevumu ņēmēju iepriekš ņemto kredītu atmaksājumiem.</w:t>
      </w:r>
    </w:p>
    <w:p w14:paraId="6CEFDF4F"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4956C718"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 xml:space="preserve">8. DAB koncesionālajiem aizdevumiem ir ļoti raksturīga ļoti zema procentu likme un ilgs atmaksāšanas termiņš ar atvieglojumu periodiem. </w:t>
      </w:r>
      <w:r w:rsidRPr="00B03B51">
        <w:rPr>
          <w:rFonts w:ascii="Times New Roman" w:hAnsi="Times New Roman" w:cs="Times New Roman"/>
          <w:i/>
          <w:iCs/>
          <w:sz w:val="24"/>
        </w:rPr>
        <w:t>IDA</w:t>
      </w:r>
      <w:r w:rsidRPr="00B03B51">
        <w:rPr>
          <w:rFonts w:ascii="Times New Roman" w:hAnsi="Times New Roman" w:cs="Times New Roman"/>
          <w:sz w:val="24"/>
        </w:rPr>
        <w:t xml:space="preserve"> kredītus parasti izsniedz uz 35–40 gadiem ar 10 gadus ilgu atvieglojumu periodu pamatsummas atmaksāšanai. Procentu maksa netiek iekasēta, taču attiecībā uz kredītiem tiek piemērota neliela maksa par pakalpojumu 0,75 % apmērā no izmaksātajām summām. Šīs likmes ne tikai ir zemākas par tirgus procentu likmēm, bet arī nesedz finansēšanas un administratīvās izmaksas.</w:t>
      </w:r>
    </w:p>
    <w:p w14:paraId="2120C50E" w14:textId="77777777" w:rsidR="00443399" w:rsidRPr="00B03B51" w:rsidRDefault="00443399" w:rsidP="00443399">
      <w:pPr>
        <w:jc w:val="both"/>
        <w:rPr>
          <w:rFonts w:ascii="Times New Roman" w:eastAsia="Arial" w:hAnsi="Times New Roman" w:cs="Times New Roman"/>
          <w:noProof/>
          <w:sz w:val="24"/>
          <w:szCs w:val="19"/>
        </w:rPr>
      </w:pPr>
    </w:p>
    <w:p w14:paraId="01345BB1" w14:textId="77777777" w:rsidR="00443399" w:rsidRPr="00B03B51" w:rsidRDefault="00443399" w:rsidP="00443399">
      <w:pPr>
        <w:pStyle w:val="Heading3"/>
        <w:tabs>
          <w:tab w:val="left" w:pos="1267"/>
        </w:tabs>
        <w:ind w:left="0" w:firstLine="0"/>
        <w:jc w:val="both"/>
        <w:rPr>
          <w:rFonts w:ascii="Times New Roman" w:hAnsi="Times New Roman" w:cs="Times New Roman"/>
          <w:noProof/>
          <w:sz w:val="24"/>
        </w:rPr>
      </w:pPr>
      <w:bookmarkStart w:id="370" w:name="4.6.2_Treatment_in_national_accounts"/>
      <w:bookmarkStart w:id="371" w:name="_Toc67565138"/>
      <w:bookmarkEnd w:id="370"/>
      <w:r w:rsidRPr="00B03B51">
        <w:rPr>
          <w:rFonts w:ascii="Times New Roman" w:hAnsi="Times New Roman" w:cs="Times New Roman"/>
          <w:sz w:val="24"/>
        </w:rPr>
        <w:t>4.6.2. Traktējums nacionālajos kontos</w:t>
      </w:r>
      <w:bookmarkEnd w:id="371"/>
    </w:p>
    <w:p w14:paraId="50AE5237"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4A94FBAC"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9. Tas, kā nacionālos kontos tiks traktēts finansējums, ko valdība iepludinājusi DAB, ir atkarīgs no tā, kāda veida aizdevumus DAB izsniedz. Finansējuma iepludināšana tādu DAB mehānismos, kuru galvenais vai vienīgais mērķis ir sniegt koncesionālus aizdevumus ar nelielu vai nulles procentu likmi, jāieraksta kā kapitāla pārvedums, savukārt ieguldījums tādu DAB mehānismos, kuri sniedz nekoncesionālus aizdevumus, jāieraksta kā cita pašu kapitāla iegāde, kā noteikts EKS 2010 5.154. punkta d) apakšpunktā, proti, “valdības ieguldījumus starptautisku un pārnacionālu organizāciju kapitālā, izņemot SVF, pat ja juridiski tās ir sabiedrības ar akciju kapitālu (piemēram, Eiropas Investīciju banka)” ieraksta kā AF.519, citu pašu kapitālu.</w:t>
      </w:r>
    </w:p>
    <w:p w14:paraId="5087C5CF"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03BC6541" w14:textId="77777777" w:rsidR="00443399" w:rsidRPr="00B03B51" w:rsidRDefault="00443399" w:rsidP="00443399">
      <w:pPr>
        <w:jc w:val="both"/>
        <w:rPr>
          <w:rFonts w:ascii="Times New Roman" w:hAnsi="Times New Roman" w:cs="Times New Roman"/>
          <w:b/>
          <w:noProof/>
          <w:sz w:val="24"/>
        </w:rPr>
      </w:pPr>
      <w:r w:rsidRPr="00B03B51">
        <w:rPr>
          <w:rFonts w:ascii="Times New Roman" w:hAnsi="Times New Roman" w:cs="Times New Roman"/>
          <w:b/>
          <w:sz w:val="24"/>
        </w:rPr>
        <w:t>DAB kapitāla pieauguma traktējums</w:t>
      </w:r>
    </w:p>
    <w:p w14:paraId="6D8513ED" w14:textId="77777777" w:rsidR="00443399" w:rsidRPr="00B03B51" w:rsidRDefault="00443399" w:rsidP="00443399">
      <w:pPr>
        <w:jc w:val="both"/>
        <w:rPr>
          <w:rFonts w:ascii="Times New Roman" w:hAnsi="Times New Roman" w:cs="Times New Roman"/>
          <w:b/>
          <w:noProof/>
          <w:sz w:val="24"/>
        </w:rPr>
      </w:pPr>
    </w:p>
    <w:tbl>
      <w:tblPr>
        <w:tblW w:w="5000" w:type="pct"/>
        <w:tblCellMar>
          <w:top w:w="28" w:type="dxa"/>
          <w:left w:w="28" w:type="dxa"/>
          <w:bottom w:w="28" w:type="dxa"/>
          <w:right w:w="28" w:type="dxa"/>
        </w:tblCellMar>
        <w:tblLook w:val="01E0" w:firstRow="1" w:lastRow="1" w:firstColumn="1" w:lastColumn="1" w:noHBand="0" w:noVBand="0"/>
      </w:tblPr>
      <w:tblGrid>
        <w:gridCol w:w="62"/>
        <w:gridCol w:w="1534"/>
        <w:gridCol w:w="62"/>
        <w:gridCol w:w="1249"/>
        <w:gridCol w:w="1319"/>
        <w:gridCol w:w="1263"/>
        <w:gridCol w:w="1390"/>
        <w:gridCol w:w="1044"/>
        <w:gridCol w:w="1136"/>
      </w:tblGrid>
      <w:tr w:rsidR="00443399" w:rsidRPr="00B03B51" w14:paraId="7DB64AE7" w14:textId="77777777" w:rsidTr="00500EA4">
        <w:tc>
          <w:tcPr>
            <w:tcW w:w="34" w:type="pct"/>
            <w:tcBorders>
              <w:top w:val="single" w:sz="5" w:space="0" w:color="000000"/>
              <w:left w:val="single" w:sz="5" w:space="0" w:color="000000"/>
              <w:bottom w:val="single" w:sz="5" w:space="0" w:color="000000"/>
              <w:right w:val="nil"/>
            </w:tcBorders>
            <w:shd w:val="clear" w:color="auto" w:fill="DFDFDF"/>
          </w:tcPr>
          <w:p w14:paraId="255A5679" w14:textId="77777777" w:rsidR="00443399" w:rsidRPr="00B03B51" w:rsidRDefault="00443399" w:rsidP="0054365B">
            <w:pPr>
              <w:jc w:val="both"/>
              <w:rPr>
                <w:rFonts w:ascii="Times New Roman" w:hAnsi="Times New Roman" w:cs="Times New Roman"/>
                <w:noProof/>
                <w:sz w:val="20"/>
                <w:szCs w:val="18"/>
              </w:rPr>
            </w:pPr>
          </w:p>
        </w:tc>
        <w:tc>
          <w:tcPr>
            <w:tcW w:w="847" w:type="pct"/>
            <w:tcBorders>
              <w:top w:val="single" w:sz="5" w:space="0" w:color="000000"/>
              <w:left w:val="nil"/>
              <w:bottom w:val="single" w:sz="5" w:space="0" w:color="000000"/>
              <w:right w:val="nil"/>
            </w:tcBorders>
            <w:shd w:val="clear" w:color="auto" w:fill="DFDFDF"/>
          </w:tcPr>
          <w:p w14:paraId="15B41EAD" w14:textId="77777777" w:rsidR="00443399" w:rsidRPr="00B03B51" w:rsidRDefault="00443399" w:rsidP="0054365B">
            <w:pPr>
              <w:pStyle w:val="TableParagraph"/>
              <w:jc w:val="both"/>
              <w:rPr>
                <w:rFonts w:ascii="Times New Roman" w:hAnsi="Times New Roman" w:cs="Times New Roman"/>
                <w:b/>
                <w:noProof/>
                <w:sz w:val="20"/>
                <w:szCs w:val="18"/>
              </w:rPr>
            </w:pPr>
            <w:r w:rsidRPr="00B03B51">
              <w:rPr>
                <w:rFonts w:ascii="Times New Roman" w:hAnsi="Times New Roman" w:cs="Times New Roman"/>
                <w:b/>
                <w:sz w:val="20"/>
                <w:szCs w:val="18"/>
              </w:rPr>
              <w:t>Iepludinātā kapitāla veids / DAB mehānisma veids</w:t>
            </w:r>
          </w:p>
        </w:tc>
        <w:tc>
          <w:tcPr>
            <w:tcW w:w="34" w:type="pct"/>
            <w:tcBorders>
              <w:top w:val="single" w:sz="5" w:space="0" w:color="000000"/>
              <w:left w:val="nil"/>
              <w:bottom w:val="single" w:sz="5" w:space="0" w:color="000000"/>
              <w:right w:val="single" w:sz="5" w:space="0" w:color="000000"/>
            </w:tcBorders>
            <w:shd w:val="clear" w:color="auto" w:fill="DFDFDF"/>
          </w:tcPr>
          <w:p w14:paraId="3A098799" w14:textId="77777777" w:rsidR="00443399" w:rsidRPr="00B03B51" w:rsidRDefault="00443399" w:rsidP="0054365B">
            <w:pPr>
              <w:jc w:val="both"/>
              <w:rPr>
                <w:rFonts w:ascii="Times New Roman" w:hAnsi="Times New Roman" w:cs="Times New Roman"/>
                <w:noProof/>
                <w:sz w:val="20"/>
                <w:szCs w:val="18"/>
              </w:rPr>
            </w:pPr>
          </w:p>
        </w:tc>
        <w:tc>
          <w:tcPr>
            <w:tcW w:w="690" w:type="pct"/>
            <w:tcBorders>
              <w:top w:val="single" w:sz="5" w:space="0" w:color="000000"/>
              <w:left w:val="single" w:sz="5" w:space="0" w:color="000000"/>
              <w:bottom w:val="single" w:sz="5" w:space="0" w:color="000000"/>
              <w:right w:val="single" w:sz="5" w:space="0" w:color="000000"/>
            </w:tcBorders>
            <w:shd w:val="clear" w:color="auto" w:fill="DFDFDF"/>
          </w:tcPr>
          <w:p w14:paraId="1AA3CDA1" w14:textId="77777777" w:rsidR="00443399" w:rsidRPr="00B03B51" w:rsidRDefault="00443399" w:rsidP="0054365B">
            <w:pPr>
              <w:pStyle w:val="TableParagraph"/>
              <w:jc w:val="both"/>
              <w:rPr>
                <w:rFonts w:ascii="Times New Roman" w:hAnsi="Times New Roman" w:cs="Times New Roman"/>
                <w:b/>
                <w:noProof/>
                <w:sz w:val="20"/>
                <w:szCs w:val="18"/>
              </w:rPr>
            </w:pPr>
            <w:r w:rsidRPr="00B03B51">
              <w:rPr>
                <w:rFonts w:ascii="Times New Roman" w:hAnsi="Times New Roman" w:cs="Times New Roman"/>
                <w:b/>
                <w:sz w:val="20"/>
                <w:szCs w:val="18"/>
              </w:rPr>
              <w:t>Apmaksātais kapitāls</w:t>
            </w:r>
          </w:p>
        </w:tc>
        <w:tc>
          <w:tcPr>
            <w:tcW w:w="728" w:type="pct"/>
            <w:tcBorders>
              <w:top w:val="single" w:sz="5" w:space="0" w:color="000000"/>
              <w:left w:val="single" w:sz="5" w:space="0" w:color="000000"/>
              <w:bottom w:val="single" w:sz="5" w:space="0" w:color="000000"/>
              <w:right w:val="single" w:sz="5" w:space="0" w:color="000000"/>
            </w:tcBorders>
            <w:shd w:val="clear" w:color="auto" w:fill="DFDFDF"/>
          </w:tcPr>
          <w:p w14:paraId="19145330" w14:textId="77777777" w:rsidR="00443399" w:rsidRPr="00B03B51" w:rsidRDefault="00443399" w:rsidP="0054365B">
            <w:pPr>
              <w:pStyle w:val="TableParagraph"/>
              <w:jc w:val="both"/>
              <w:rPr>
                <w:rFonts w:ascii="Times New Roman" w:hAnsi="Times New Roman" w:cs="Times New Roman"/>
                <w:b/>
                <w:noProof/>
                <w:sz w:val="20"/>
                <w:szCs w:val="18"/>
              </w:rPr>
            </w:pPr>
            <w:r w:rsidRPr="00B03B51">
              <w:rPr>
                <w:rFonts w:ascii="Times New Roman" w:hAnsi="Times New Roman" w:cs="Times New Roman"/>
                <w:b/>
                <w:sz w:val="20"/>
                <w:szCs w:val="18"/>
              </w:rPr>
              <w:t>Pieprasāmais kapitāls</w:t>
            </w:r>
          </w:p>
        </w:tc>
        <w:tc>
          <w:tcPr>
            <w:tcW w:w="697" w:type="pct"/>
            <w:tcBorders>
              <w:top w:val="single" w:sz="5" w:space="0" w:color="000000"/>
              <w:left w:val="single" w:sz="5" w:space="0" w:color="000000"/>
              <w:bottom w:val="single" w:sz="5" w:space="0" w:color="000000"/>
              <w:right w:val="single" w:sz="5" w:space="0" w:color="000000"/>
            </w:tcBorders>
            <w:shd w:val="clear" w:color="auto" w:fill="DFDFDF"/>
          </w:tcPr>
          <w:p w14:paraId="3BC806AB" w14:textId="77777777" w:rsidR="00443399" w:rsidRPr="00B03B51" w:rsidRDefault="00443399" w:rsidP="0054365B">
            <w:pPr>
              <w:pStyle w:val="TableParagraph"/>
              <w:jc w:val="both"/>
              <w:rPr>
                <w:rFonts w:ascii="Times New Roman" w:hAnsi="Times New Roman" w:cs="Times New Roman"/>
                <w:b/>
                <w:noProof/>
                <w:sz w:val="20"/>
                <w:szCs w:val="18"/>
              </w:rPr>
            </w:pPr>
            <w:r w:rsidRPr="00B03B51">
              <w:rPr>
                <w:rFonts w:ascii="Times New Roman" w:hAnsi="Times New Roman" w:cs="Times New Roman"/>
                <w:b/>
                <w:sz w:val="20"/>
                <w:szCs w:val="18"/>
              </w:rPr>
              <w:t>Rezervju konversija apmaksātajā kapitālā</w:t>
            </w:r>
          </w:p>
        </w:tc>
        <w:tc>
          <w:tcPr>
            <w:tcW w:w="767" w:type="pct"/>
            <w:tcBorders>
              <w:top w:val="single" w:sz="5" w:space="0" w:color="000000"/>
              <w:left w:val="single" w:sz="5" w:space="0" w:color="000000"/>
              <w:bottom w:val="single" w:sz="5" w:space="0" w:color="000000"/>
              <w:right w:val="single" w:sz="5" w:space="0" w:color="000000"/>
            </w:tcBorders>
            <w:shd w:val="clear" w:color="auto" w:fill="DFDFDF"/>
          </w:tcPr>
          <w:p w14:paraId="03B4AABD" w14:textId="77777777" w:rsidR="00443399" w:rsidRPr="00B03B51" w:rsidRDefault="00443399" w:rsidP="0054365B">
            <w:pPr>
              <w:pStyle w:val="TableParagraph"/>
              <w:jc w:val="both"/>
              <w:rPr>
                <w:rFonts w:ascii="Times New Roman" w:hAnsi="Times New Roman" w:cs="Times New Roman"/>
                <w:b/>
                <w:noProof/>
                <w:sz w:val="20"/>
                <w:szCs w:val="18"/>
              </w:rPr>
            </w:pPr>
            <w:r w:rsidRPr="00B03B51">
              <w:rPr>
                <w:rFonts w:ascii="Times New Roman" w:hAnsi="Times New Roman" w:cs="Times New Roman"/>
                <w:b/>
                <w:sz w:val="20"/>
                <w:szCs w:val="18"/>
              </w:rPr>
              <w:t>Hibrīdkapitāla pieaugums</w:t>
            </w:r>
          </w:p>
        </w:tc>
        <w:tc>
          <w:tcPr>
            <w:tcW w:w="576" w:type="pct"/>
            <w:tcBorders>
              <w:top w:val="single" w:sz="5" w:space="0" w:color="000000"/>
              <w:left w:val="single" w:sz="5" w:space="0" w:color="000000"/>
              <w:bottom w:val="single" w:sz="5" w:space="0" w:color="000000"/>
              <w:right w:val="single" w:sz="5" w:space="0" w:color="000000"/>
            </w:tcBorders>
            <w:shd w:val="clear" w:color="auto" w:fill="DFDFDF"/>
          </w:tcPr>
          <w:p w14:paraId="4506B541" w14:textId="77777777" w:rsidR="00443399" w:rsidRPr="00B03B51" w:rsidRDefault="00443399" w:rsidP="0054365B">
            <w:pPr>
              <w:pStyle w:val="TableParagraph"/>
              <w:jc w:val="both"/>
              <w:rPr>
                <w:rFonts w:ascii="Times New Roman" w:hAnsi="Times New Roman" w:cs="Times New Roman"/>
                <w:b/>
                <w:noProof/>
                <w:sz w:val="20"/>
                <w:szCs w:val="18"/>
              </w:rPr>
            </w:pPr>
            <w:r w:rsidRPr="00B03B51">
              <w:rPr>
                <w:rFonts w:ascii="Times New Roman" w:hAnsi="Times New Roman" w:cs="Times New Roman"/>
                <w:b/>
                <w:sz w:val="20"/>
                <w:szCs w:val="18"/>
              </w:rPr>
              <w:t>Pagaidu pieaugums</w:t>
            </w:r>
          </w:p>
        </w:tc>
        <w:tc>
          <w:tcPr>
            <w:tcW w:w="628" w:type="pct"/>
            <w:tcBorders>
              <w:top w:val="single" w:sz="5" w:space="0" w:color="000000"/>
              <w:left w:val="single" w:sz="5" w:space="0" w:color="000000"/>
              <w:bottom w:val="single" w:sz="5" w:space="0" w:color="000000"/>
              <w:right w:val="single" w:sz="5" w:space="0" w:color="000000"/>
            </w:tcBorders>
            <w:shd w:val="clear" w:color="auto" w:fill="DFDFDF"/>
          </w:tcPr>
          <w:p w14:paraId="2D6458FA" w14:textId="77777777" w:rsidR="00443399" w:rsidRPr="00B03B51" w:rsidRDefault="00443399" w:rsidP="0054365B">
            <w:pPr>
              <w:pStyle w:val="TableParagraph"/>
              <w:jc w:val="both"/>
              <w:rPr>
                <w:rFonts w:ascii="Times New Roman" w:hAnsi="Times New Roman" w:cs="Times New Roman"/>
                <w:b/>
                <w:noProof/>
                <w:sz w:val="20"/>
                <w:szCs w:val="18"/>
              </w:rPr>
            </w:pPr>
            <w:r w:rsidRPr="00B03B51">
              <w:rPr>
                <w:rFonts w:ascii="Times New Roman" w:hAnsi="Times New Roman" w:cs="Times New Roman"/>
                <w:b/>
                <w:sz w:val="20"/>
                <w:szCs w:val="18"/>
              </w:rPr>
              <w:t>Iekasēšanas periods</w:t>
            </w:r>
          </w:p>
        </w:tc>
      </w:tr>
      <w:tr w:rsidR="00443399" w:rsidRPr="00B03B51" w14:paraId="7EBBF155" w14:textId="77777777" w:rsidTr="00500EA4">
        <w:tc>
          <w:tcPr>
            <w:tcW w:w="34" w:type="pct"/>
            <w:tcBorders>
              <w:top w:val="single" w:sz="5" w:space="0" w:color="000000"/>
              <w:left w:val="single" w:sz="5" w:space="0" w:color="000000"/>
              <w:bottom w:val="single" w:sz="5" w:space="0" w:color="000000"/>
              <w:right w:val="nil"/>
            </w:tcBorders>
            <w:shd w:val="clear" w:color="auto" w:fill="E6E6E6"/>
          </w:tcPr>
          <w:p w14:paraId="55648930" w14:textId="77777777" w:rsidR="00443399" w:rsidRPr="00B03B51" w:rsidRDefault="00443399" w:rsidP="0054365B">
            <w:pPr>
              <w:jc w:val="both"/>
              <w:rPr>
                <w:rFonts w:ascii="Times New Roman" w:hAnsi="Times New Roman" w:cs="Times New Roman"/>
                <w:noProof/>
                <w:sz w:val="20"/>
                <w:szCs w:val="18"/>
              </w:rPr>
            </w:pPr>
          </w:p>
        </w:tc>
        <w:tc>
          <w:tcPr>
            <w:tcW w:w="847" w:type="pct"/>
            <w:tcBorders>
              <w:top w:val="single" w:sz="5" w:space="0" w:color="000000"/>
              <w:left w:val="nil"/>
              <w:bottom w:val="single" w:sz="5" w:space="0" w:color="000000"/>
              <w:right w:val="nil"/>
            </w:tcBorders>
            <w:shd w:val="clear" w:color="auto" w:fill="E6E6E6"/>
          </w:tcPr>
          <w:p w14:paraId="0CEFC74A" w14:textId="77777777" w:rsidR="00443399" w:rsidRPr="00B03B51" w:rsidRDefault="00443399" w:rsidP="0054365B">
            <w:pPr>
              <w:pStyle w:val="TableParagraph"/>
              <w:jc w:val="both"/>
              <w:rPr>
                <w:rFonts w:ascii="Times New Roman" w:hAnsi="Times New Roman" w:cs="Times New Roman"/>
                <w:b/>
                <w:noProof/>
                <w:sz w:val="20"/>
                <w:szCs w:val="18"/>
              </w:rPr>
            </w:pPr>
            <w:r w:rsidRPr="00B03B51">
              <w:rPr>
                <w:rFonts w:ascii="Times New Roman" w:hAnsi="Times New Roman" w:cs="Times New Roman"/>
                <w:b/>
                <w:sz w:val="20"/>
                <w:szCs w:val="18"/>
              </w:rPr>
              <w:t>DAB mehānismi, no kuriem tiek piešķirti nekoncesionāli aizdevumi</w:t>
            </w:r>
          </w:p>
        </w:tc>
        <w:tc>
          <w:tcPr>
            <w:tcW w:w="34" w:type="pct"/>
            <w:tcBorders>
              <w:top w:val="single" w:sz="5" w:space="0" w:color="000000"/>
              <w:left w:val="nil"/>
              <w:bottom w:val="single" w:sz="5" w:space="0" w:color="000000"/>
              <w:right w:val="single" w:sz="5" w:space="0" w:color="000000"/>
            </w:tcBorders>
            <w:shd w:val="clear" w:color="auto" w:fill="E6E6E6"/>
          </w:tcPr>
          <w:p w14:paraId="65BD14FB" w14:textId="77777777" w:rsidR="00443399" w:rsidRPr="00B03B51" w:rsidRDefault="00443399" w:rsidP="0054365B">
            <w:pPr>
              <w:jc w:val="both"/>
              <w:rPr>
                <w:rFonts w:ascii="Times New Roman" w:hAnsi="Times New Roman" w:cs="Times New Roman"/>
                <w:noProof/>
                <w:sz w:val="20"/>
                <w:szCs w:val="18"/>
              </w:rPr>
            </w:pPr>
          </w:p>
        </w:tc>
        <w:tc>
          <w:tcPr>
            <w:tcW w:w="690" w:type="pct"/>
            <w:tcBorders>
              <w:top w:val="single" w:sz="5" w:space="0" w:color="000000"/>
              <w:left w:val="single" w:sz="5" w:space="0" w:color="000000"/>
              <w:bottom w:val="single" w:sz="5" w:space="0" w:color="000000"/>
              <w:right w:val="single" w:sz="5" w:space="0" w:color="000000"/>
            </w:tcBorders>
          </w:tcPr>
          <w:p w14:paraId="21DADCBE" w14:textId="77777777" w:rsidR="00443399" w:rsidRPr="00B03B51" w:rsidRDefault="00443399" w:rsidP="0054365B">
            <w:pPr>
              <w:pStyle w:val="TableParagraph"/>
              <w:jc w:val="both"/>
              <w:rPr>
                <w:rFonts w:ascii="Times New Roman" w:hAnsi="Times New Roman" w:cs="Times New Roman"/>
                <w:noProof/>
                <w:sz w:val="20"/>
                <w:szCs w:val="18"/>
              </w:rPr>
            </w:pPr>
            <w:r w:rsidRPr="00B03B51">
              <w:rPr>
                <w:rFonts w:ascii="Times New Roman" w:hAnsi="Times New Roman" w:cs="Times New Roman"/>
                <w:sz w:val="20"/>
                <w:szCs w:val="18"/>
              </w:rPr>
              <w:t>Akcijas un cits pašu kapitāls F.5/F.513</w:t>
            </w:r>
          </w:p>
        </w:tc>
        <w:tc>
          <w:tcPr>
            <w:tcW w:w="728" w:type="pct"/>
            <w:tcBorders>
              <w:top w:val="single" w:sz="5" w:space="0" w:color="000000"/>
              <w:left w:val="single" w:sz="5" w:space="0" w:color="000000"/>
              <w:bottom w:val="single" w:sz="5" w:space="0" w:color="000000"/>
              <w:right w:val="single" w:sz="5" w:space="0" w:color="000000"/>
            </w:tcBorders>
          </w:tcPr>
          <w:p w14:paraId="64532CA7" w14:textId="77777777" w:rsidR="00443399" w:rsidRPr="00B03B51" w:rsidRDefault="00443399" w:rsidP="0054365B">
            <w:pPr>
              <w:pStyle w:val="TableParagraph"/>
              <w:jc w:val="both"/>
              <w:rPr>
                <w:rFonts w:ascii="Times New Roman" w:hAnsi="Times New Roman" w:cs="Times New Roman"/>
                <w:noProof/>
                <w:sz w:val="20"/>
                <w:szCs w:val="18"/>
              </w:rPr>
            </w:pPr>
            <w:r w:rsidRPr="00B03B51">
              <w:rPr>
                <w:rFonts w:ascii="Times New Roman" w:hAnsi="Times New Roman" w:cs="Times New Roman"/>
                <w:sz w:val="20"/>
                <w:szCs w:val="18"/>
              </w:rPr>
              <w:t>Neko neieraksta, kamēr nav saņemts pieprasījums</w:t>
            </w:r>
          </w:p>
        </w:tc>
        <w:tc>
          <w:tcPr>
            <w:tcW w:w="697" w:type="pct"/>
            <w:tcBorders>
              <w:top w:val="single" w:sz="5" w:space="0" w:color="000000"/>
              <w:left w:val="single" w:sz="5" w:space="0" w:color="000000"/>
              <w:bottom w:val="single" w:sz="5" w:space="0" w:color="000000"/>
              <w:right w:val="single" w:sz="5" w:space="0" w:color="000000"/>
            </w:tcBorders>
          </w:tcPr>
          <w:p w14:paraId="65E4F562" w14:textId="77777777" w:rsidR="00443399" w:rsidRPr="00B03B51" w:rsidRDefault="00443399" w:rsidP="0054365B">
            <w:pPr>
              <w:pStyle w:val="TableParagraph"/>
              <w:jc w:val="both"/>
              <w:rPr>
                <w:rFonts w:ascii="Times New Roman" w:hAnsi="Times New Roman" w:cs="Times New Roman"/>
                <w:noProof/>
                <w:sz w:val="20"/>
                <w:szCs w:val="18"/>
              </w:rPr>
            </w:pPr>
            <w:r w:rsidRPr="00B03B51">
              <w:rPr>
                <w:rFonts w:ascii="Times New Roman" w:hAnsi="Times New Roman" w:cs="Times New Roman"/>
                <w:sz w:val="20"/>
                <w:szCs w:val="18"/>
              </w:rPr>
              <w:t>Nav saistības</w:t>
            </w:r>
          </w:p>
        </w:tc>
        <w:tc>
          <w:tcPr>
            <w:tcW w:w="767" w:type="pct"/>
            <w:tcBorders>
              <w:top w:val="single" w:sz="5" w:space="0" w:color="000000"/>
              <w:left w:val="single" w:sz="5" w:space="0" w:color="000000"/>
              <w:bottom w:val="single" w:sz="5" w:space="0" w:color="000000"/>
              <w:right w:val="single" w:sz="5" w:space="0" w:color="000000"/>
            </w:tcBorders>
          </w:tcPr>
          <w:p w14:paraId="1BA68DF7" w14:textId="77777777" w:rsidR="00443399" w:rsidRPr="00B03B51" w:rsidRDefault="00443399" w:rsidP="0054365B">
            <w:pPr>
              <w:pStyle w:val="TableParagraph"/>
              <w:jc w:val="both"/>
              <w:rPr>
                <w:rFonts w:ascii="Times New Roman" w:hAnsi="Times New Roman" w:cs="Times New Roman"/>
                <w:noProof/>
                <w:sz w:val="20"/>
                <w:szCs w:val="18"/>
              </w:rPr>
            </w:pPr>
            <w:r w:rsidRPr="00B03B51">
              <w:rPr>
                <w:rFonts w:ascii="Times New Roman" w:hAnsi="Times New Roman" w:cs="Times New Roman"/>
                <w:sz w:val="20"/>
                <w:szCs w:val="18"/>
              </w:rPr>
              <w:t>Nosaka katrā gadījumā atsevišķi</w:t>
            </w:r>
          </w:p>
        </w:tc>
        <w:tc>
          <w:tcPr>
            <w:tcW w:w="576" w:type="pct"/>
            <w:tcBorders>
              <w:top w:val="single" w:sz="5" w:space="0" w:color="000000"/>
              <w:left w:val="single" w:sz="5" w:space="0" w:color="000000"/>
              <w:bottom w:val="single" w:sz="5" w:space="0" w:color="000000"/>
              <w:right w:val="single" w:sz="5" w:space="0" w:color="000000"/>
            </w:tcBorders>
          </w:tcPr>
          <w:p w14:paraId="5FA0FCA5" w14:textId="77777777" w:rsidR="00443399" w:rsidRPr="00B03B51" w:rsidRDefault="00443399" w:rsidP="0054365B">
            <w:pPr>
              <w:pStyle w:val="TableParagraph"/>
              <w:jc w:val="both"/>
              <w:rPr>
                <w:rFonts w:ascii="Times New Roman" w:hAnsi="Times New Roman" w:cs="Times New Roman"/>
                <w:noProof/>
                <w:sz w:val="20"/>
                <w:szCs w:val="18"/>
              </w:rPr>
            </w:pPr>
            <w:r w:rsidRPr="00B03B51">
              <w:rPr>
                <w:rFonts w:ascii="Times New Roman" w:hAnsi="Times New Roman" w:cs="Times New Roman"/>
                <w:sz w:val="20"/>
                <w:szCs w:val="18"/>
              </w:rPr>
              <w:t>Aizdevumi (F.4), ja atcelts D.9</w:t>
            </w:r>
          </w:p>
        </w:tc>
        <w:tc>
          <w:tcPr>
            <w:tcW w:w="628" w:type="pct"/>
            <w:tcBorders>
              <w:top w:val="single" w:sz="5" w:space="0" w:color="000000"/>
              <w:left w:val="single" w:sz="5" w:space="0" w:color="000000"/>
              <w:bottom w:val="single" w:sz="5" w:space="0" w:color="000000"/>
              <w:right w:val="single" w:sz="5" w:space="0" w:color="000000"/>
            </w:tcBorders>
          </w:tcPr>
          <w:p w14:paraId="3E091D75" w14:textId="77777777" w:rsidR="00443399" w:rsidRPr="00B03B51" w:rsidRDefault="00443399" w:rsidP="0054365B">
            <w:pPr>
              <w:pStyle w:val="TableParagraph"/>
              <w:jc w:val="both"/>
              <w:rPr>
                <w:rFonts w:ascii="Times New Roman" w:hAnsi="Times New Roman" w:cs="Times New Roman"/>
                <w:noProof/>
                <w:sz w:val="20"/>
                <w:szCs w:val="18"/>
              </w:rPr>
            </w:pPr>
            <w:r w:rsidRPr="00B03B51">
              <w:rPr>
                <w:rFonts w:ascii="Times New Roman" w:hAnsi="Times New Roman" w:cs="Times New Roman"/>
                <w:sz w:val="20"/>
                <w:szCs w:val="18"/>
              </w:rPr>
              <w:t>F.5 sākumā</w:t>
            </w:r>
          </w:p>
        </w:tc>
      </w:tr>
      <w:tr w:rsidR="00443399" w:rsidRPr="00B03B51" w14:paraId="048AE168" w14:textId="77777777" w:rsidTr="00500EA4">
        <w:tc>
          <w:tcPr>
            <w:tcW w:w="34" w:type="pct"/>
            <w:tcBorders>
              <w:top w:val="single" w:sz="5" w:space="0" w:color="000000"/>
              <w:left w:val="single" w:sz="5" w:space="0" w:color="000000"/>
              <w:bottom w:val="single" w:sz="5" w:space="0" w:color="000000"/>
              <w:right w:val="nil"/>
            </w:tcBorders>
            <w:shd w:val="clear" w:color="auto" w:fill="E6E6E6"/>
          </w:tcPr>
          <w:p w14:paraId="0B26564C" w14:textId="77777777" w:rsidR="00443399" w:rsidRPr="00B03B51" w:rsidRDefault="00443399" w:rsidP="0054365B">
            <w:pPr>
              <w:jc w:val="both"/>
              <w:rPr>
                <w:rFonts w:ascii="Times New Roman" w:hAnsi="Times New Roman" w:cs="Times New Roman"/>
                <w:noProof/>
                <w:sz w:val="20"/>
                <w:szCs w:val="18"/>
              </w:rPr>
            </w:pPr>
          </w:p>
        </w:tc>
        <w:tc>
          <w:tcPr>
            <w:tcW w:w="847" w:type="pct"/>
            <w:tcBorders>
              <w:top w:val="single" w:sz="5" w:space="0" w:color="000000"/>
              <w:left w:val="nil"/>
              <w:bottom w:val="single" w:sz="5" w:space="0" w:color="000000"/>
              <w:right w:val="nil"/>
            </w:tcBorders>
            <w:shd w:val="clear" w:color="auto" w:fill="E6E6E6"/>
          </w:tcPr>
          <w:p w14:paraId="58C9645F" w14:textId="77777777" w:rsidR="00443399" w:rsidRPr="00B03B51" w:rsidRDefault="00443399" w:rsidP="0054365B">
            <w:pPr>
              <w:pStyle w:val="TableParagraph"/>
              <w:jc w:val="both"/>
              <w:rPr>
                <w:rFonts w:ascii="Times New Roman" w:hAnsi="Times New Roman" w:cs="Times New Roman"/>
                <w:b/>
                <w:noProof/>
                <w:sz w:val="20"/>
                <w:szCs w:val="18"/>
              </w:rPr>
            </w:pPr>
            <w:r w:rsidRPr="00B03B51">
              <w:rPr>
                <w:rFonts w:ascii="Times New Roman" w:hAnsi="Times New Roman" w:cs="Times New Roman"/>
                <w:b/>
                <w:sz w:val="20"/>
                <w:szCs w:val="18"/>
              </w:rPr>
              <w:t>DAB mehānismi, no kuriem tiek piešķirti galvenokārt koncesionāli aizdevumi</w:t>
            </w:r>
          </w:p>
        </w:tc>
        <w:tc>
          <w:tcPr>
            <w:tcW w:w="34" w:type="pct"/>
            <w:tcBorders>
              <w:top w:val="single" w:sz="5" w:space="0" w:color="000000"/>
              <w:left w:val="nil"/>
              <w:bottom w:val="single" w:sz="5" w:space="0" w:color="000000"/>
              <w:right w:val="single" w:sz="5" w:space="0" w:color="000000"/>
            </w:tcBorders>
            <w:shd w:val="clear" w:color="auto" w:fill="E6E6E6"/>
          </w:tcPr>
          <w:p w14:paraId="411C6448" w14:textId="77777777" w:rsidR="00443399" w:rsidRPr="00B03B51" w:rsidRDefault="00443399" w:rsidP="0054365B">
            <w:pPr>
              <w:jc w:val="both"/>
              <w:rPr>
                <w:rFonts w:ascii="Times New Roman" w:hAnsi="Times New Roman" w:cs="Times New Roman"/>
                <w:noProof/>
                <w:sz w:val="20"/>
                <w:szCs w:val="18"/>
              </w:rPr>
            </w:pPr>
          </w:p>
        </w:tc>
        <w:tc>
          <w:tcPr>
            <w:tcW w:w="690" w:type="pct"/>
            <w:tcBorders>
              <w:top w:val="single" w:sz="5" w:space="0" w:color="000000"/>
              <w:left w:val="single" w:sz="5" w:space="0" w:color="000000"/>
              <w:bottom w:val="single" w:sz="5" w:space="0" w:color="000000"/>
              <w:right w:val="single" w:sz="5" w:space="0" w:color="000000"/>
            </w:tcBorders>
          </w:tcPr>
          <w:p w14:paraId="793FFAD7" w14:textId="77777777" w:rsidR="00443399" w:rsidRPr="00B03B51" w:rsidRDefault="00443399" w:rsidP="0054365B">
            <w:pPr>
              <w:pStyle w:val="TableParagraph"/>
              <w:jc w:val="both"/>
              <w:rPr>
                <w:rFonts w:ascii="Times New Roman" w:hAnsi="Times New Roman" w:cs="Times New Roman"/>
                <w:noProof/>
                <w:sz w:val="20"/>
                <w:szCs w:val="18"/>
              </w:rPr>
            </w:pPr>
            <w:r w:rsidRPr="00B03B51">
              <w:rPr>
                <w:rFonts w:ascii="Times New Roman" w:hAnsi="Times New Roman" w:cs="Times New Roman"/>
                <w:sz w:val="20"/>
                <w:szCs w:val="18"/>
              </w:rPr>
              <w:t>D.9</w:t>
            </w:r>
          </w:p>
        </w:tc>
        <w:tc>
          <w:tcPr>
            <w:tcW w:w="728" w:type="pct"/>
            <w:tcBorders>
              <w:top w:val="single" w:sz="5" w:space="0" w:color="000000"/>
              <w:left w:val="single" w:sz="5" w:space="0" w:color="000000"/>
              <w:bottom w:val="single" w:sz="5" w:space="0" w:color="000000"/>
              <w:right w:val="single" w:sz="5" w:space="0" w:color="000000"/>
            </w:tcBorders>
          </w:tcPr>
          <w:p w14:paraId="2686FE65" w14:textId="77777777" w:rsidR="00443399" w:rsidRPr="00B03B51" w:rsidRDefault="00443399" w:rsidP="0054365B">
            <w:pPr>
              <w:pStyle w:val="TableParagraph"/>
              <w:jc w:val="both"/>
              <w:rPr>
                <w:rFonts w:ascii="Times New Roman" w:hAnsi="Times New Roman" w:cs="Times New Roman"/>
                <w:noProof/>
                <w:sz w:val="20"/>
                <w:szCs w:val="18"/>
              </w:rPr>
            </w:pPr>
            <w:r w:rsidRPr="00B03B51">
              <w:rPr>
                <w:rFonts w:ascii="Times New Roman" w:hAnsi="Times New Roman" w:cs="Times New Roman"/>
                <w:sz w:val="20"/>
                <w:szCs w:val="18"/>
              </w:rPr>
              <w:t>Neko neieraksta, kamēr nav saņemts pieprasījums</w:t>
            </w:r>
          </w:p>
        </w:tc>
        <w:tc>
          <w:tcPr>
            <w:tcW w:w="697" w:type="pct"/>
            <w:tcBorders>
              <w:top w:val="single" w:sz="5" w:space="0" w:color="000000"/>
              <w:left w:val="single" w:sz="5" w:space="0" w:color="000000"/>
              <w:bottom w:val="single" w:sz="5" w:space="0" w:color="000000"/>
              <w:right w:val="single" w:sz="5" w:space="0" w:color="000000"/>
            </w:tcBorders>
          </w:tcPr>
          <w:p w14:paraId="23DA3EF0" w14:textId="77777777" w:rsidR="00443399" w:rsidRPr="00B03B51" w:rsidRDefault="00443399" w:rsidP="0054365B">
            <w:pPr>
              <w:pStyle w:val="TableParagraph"/>
              <w:jc w:val="both"/>
              <w:rPr>
                <w:rFonts w:ascii="Times New Roman" w:hAnsi="Times New Roman" w:cs="Times New Roman"/>
                <w:noProof/>
                <w:sz w:val="20"/>
                <w:szCs w:val="18"/>
              </w:rPr>
            </w:pPr>
            <w:r w:rsidRPr="00B03B51">
              <w:rPr>
                <w:rFonts w:ascii="Times New Roman" w:hAnsi="Times New Roman" w:cs="Times New Roman"/>
                <w:sz w:val="20"/>
                <w:szCs w:val="18"/>
              </w:rPr>
              <w:t>Nepiemēro</w:t>
            </w:r>
          </w:p>
        </w:tc>
        <w:tc>
          <w:tcPr>
            <w:tcW w:w="767" w:type="pct"/>
            <w:tcBorders>
              <w:top w:val="single" w:sz="5" w:space="0" w:color="000000"/>
              <w:left w:val="single" w:sz="5" w:space="0" w:color="000000"/>
              <w:bottom w:val="single" w:sz="5" w:space="0" w:color="000000"/>
              <w:right w:val="single" w:sz="5" w:space="0" w:color="000000"/>
            </w:tcBorders>
          </w:tcPr>
          <w:p w14:paraId="06AD334A" w14:textId="77777777" w:rsidR="00443399" w:rsidRPr="00B03B51" w:rsidRDefault="00443399" w:rsidP="0054365B">
            <w:pPr>
              <w:pStyle w:val="TableParagraph"/>
              <w:jc w:val="both"/>
              <w:rPr>
                <w:rFonts w:ascii="Times New Roman" w:hAnsi="Times New Roman" w:cs="Times New Roman"/>
                <w:noProof/>
                <w:sz w:val="20"/>
                <w:szCs w:val="18"/>
              </w:rPr>
            </w:pPr>
            <w:r w:rsidRPr="00B03B51">
              <w:rPr>
                <w:rFonts w:ascii="Times New Roman" w:hAnsi="Times New Roman" w:cs="Times New Roman"/>
                <w:sz w:val="20"/>
                <w:szCs w:val="18"/>
              </w:rPr>
              <w:t>Nosaka katrā gadījumā atsevišķi</w:t>
            </w:r>
          </w:p>
        </w:tc>
        <w:tc>
          <w:tcPr>
            <w:tcW w:w="576" w:type="pct"/>
            <w:tcBorders>
              <w:top w:val="single" w:sz="5" w:space="0" w:color="000000"/>
              <w:left w:val="single" w:sz="5" w:space="0" w:color="000000"/>
              <w:bottom w:val="single" w:sz="5" w:space="0" w:color="000000"/>
              <w:right w:val="single" w:sz="5" w:space="0" w:color="000000"/>
            </w:tcBorders>
          </w:tcPr>
          <w:p w14:paraId="3D9556E7" w14:textId="77777777" w:rsidR="00443399" w:rsidRPr="00B03B51" w:rsidRDefault="00443399" w:rsidP="0054365B">
            <w:pPr>
              <w:pStyle w:val="TableParagraph"/>
              <w:jc w:val="both"/>
              <w:rPr>
                <w:rFonts w:ascii="Times New Roman" w:hAnsi="Times New Roman" w:cs="Times New Roman"/>
                <w:noProof/>
                <w:sz w:val="20"/>
                <w:szCs w:val="18"/>
              </w:rPr>
            </w:pPr>
            <w:r w:rsidRPr="00B03B51">
              <w:rPr>
                <w:rFonts w:ascii="Times New Roman" w:hAnsi="Times New Roman" w:cs="Times New Roman"/>
                <w:sz w:val="20"/>
                <w:szCs w:val="18"/>
              </w:rPr>
              <w:t>Aizdevumi (F.4), ja atcelts D.9</w:t>
            </w:r>
          </w:p>
        </w:tc>
        <w:tc>
          <w:tcPr>
            <w:tcW w:w="628" w:type="pct"/>
            <w:tcBorders>
              <w:top w:val="single" w:sz="5" w:space="0" w:color="000000"/>
              <w:left w:val="single" w:sz="5" w:space="0" w:color="000000"/>
              <w:bottom w:val="single" w:sz="5" w:space="0" w:color="000000"/>
              <w:right w:val="single" w:sz="5" w:space="0" w:color="000000"/>
            </w:tcBorders>
          </w:tcPr>
          <w:p w14:paraId="2533BE87" w14:textId="77777777" w:rsidR="00443399" w:rsidRPr="00B03B51" w:rsidRDefault="00443399" w:rsidP="0054365B">
            <w:pPr>
              <w:pStyle w:val="TableParagraph"/>
              <w:jc w:val="both"/>
              <w:rPr>
                <w:rFonts w:ascii="Times New Roman" w:hAnsi="Times New Roman" w:cs="Times New Roman"/>
                <w:noProof/>
                <w:sz w:val="20"/>
                <w:szCs w:val="18"/>
              </w:rPr>
            </w:pPr>
            <w:r w:rsidRPr="00B03B51">
              <w:rPr>
                <w:rFonts w:ascii="Times New Roman" w:hAnsi="Times New Roman" w:cs="Times New Roman"/>
                <w:sz w:val="20"/>
                <w:szCs w:val="18"/>
              </w:rPr>
              <w:t>D.9,</w:t>
            </w:r>
          </w:p>
          <w:p w14:paraId="4D20F604" w14:textId="77777777" w:rsidR="00443399" w:rsidRPr="00B03B51" w:rsidRDefault="00443399" w:rsidP="0054365B">
            <w:pPr>
              <w:pStyle w:val="TableParagraph"/>
              <w:jc w:val="both"/>
              <w:rPr>
                <w:rFonts w:ascii="Times New Roman" w:hAnsi="Times New Roman" w:cs="Times New Roman"/>
                <w:noProof/>
                <w:sz w:val="20"/>
                <w:szCs w:val="18"/>
              </w:rPr>
            </w:pPr>
            <w:r w:rsidRPr="00B03B51">
              <w:rPr>
                <w:rFonts w:ascii="Times New Roman" w:hAnsi="Times New Roman" w:cs="Times New Roman"/>
                <w:sz w:val="20"/>
                <w:szCs w:val="18"/>
              </w:rPr>
              <w:t>kad sasniegts maksājuma termiņš</w:t>
            </w:r>
          </w:p>
        </w:tc>
      </w:tr>
    </w:tbl>
    <w:p w14:paraId="5EF6001C" w14:textId="77777777" w:rsidR="00443399" w:rsidRPr="00B03B51" w:rsidRDefault="00443399" w:rsidP="00443399">
      <w:pPr>
        <w:jc w:val="both"/>
        <w:rPr>
          <w:rFonts w:ascii="Times New Roman" w:eastAsia="Arial" w:hAnsi="Times New Roman" w:cs="Times New Roman"/>
          <w:b/>
          <w:bCs/>
          <w:noProof/>
          <w:sz w:val="24"/>
          <w:szCs w:val="15"/>
        </w:rPr>
      </w:pPr>
    </w:p>
    <w:p w14:paraId="1E6F2E41" w14:textId="77777777" w:rsidR="00443399" w:rsidRPr="00BE27DC" w:rsidRDefault="00443399" w:rsidP="00BE27DC">
      <w:pPr>
        <w:pStyle w:val="Heading3"/>
        <w:tabs>
          <w:tab w:val="left" w:pos="1267"/>
        </w:tabs>
        <w:ind w:left="0" w:firstLine="0"/>
        <w:jc w:val="both"/>
        <w:rPr>
          <w:rFonts w:ascii="Times New Roman" w:hAnsi="Times New Roman" w:cs="Times New Roman"/>
          <w:sz w:val="24"/>
        </w:rPr>
      </w:pPr>
      <w:bookmarkStart w:id="372" w:name="4.6.3_Rationale_of_the_treatment"/>
      <w:bookmarkEnd w:id="372"/>
      <w:r w:rsidRPr="00B03B51">
        <w:rPr>
          <w:rFonts w:ascii="Times New Roman" w:hAnsi="Times New Roman" w:cs="Times New Roman"/>
          <w:sz w:val="24"/>
        </w:rPr>
        <w:t>4.6.3. Traktējuma pamatojums</w:t>
      </w:r>
    </w:p>
    <w:p w14:paraId="2A4E45A9"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17D33A44"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 xml:space="preserve">10. DAB var būt divu veidu aizdevuma mehānismi vai “aizdevuma logi”. Koncesionāli aizdevumi ir bezprocentu aizdevumi vai aizdevumi, kuru procentu likme ir ievērojami zemāka par tirgus procentu likmi. Parasti šie ir ilgtermiņa aizdevumi, un tiem ir ilgi atvieglojumu periodi. Lai arī DAB mehānismi, no kuriem tiek piešķirti koncesionāli aizdevumi, paredz </w:t>
      </w:r>
      <w:r w:rsidRPr="00B03B51">
        <w:rPr>
          <w:rFonts w:ascii="Times New Roman" w:hAnsi="Times New Roman" w:cs="Times New Roman"/>
          <w:sz w:val="24"/>
        </w:rPr>
        <w:lastRenderedPageBreak/>
        <w:t>nelielu maksu par pakalpojumu, tomēr ar to nav iespējams segt finansēšanas un/vai administratīvās izmaksas un līdz ar to šo mehānismu finansēšanas līdzekļi ar laiku izsīkst. Lai nodrošinātu savas darbības vismaz nemainīgā līmenī, DAB mehānismiem, no kuriem tiek piešķirti koncesionālie aizdevumi, ir nepieciešami papildinājumi no to donoriem. Jau no paša sākuma ir skaidrs, ka DAB mehānismi, no kuriem tiek piešķirti koncesionāli aizdevumi, nesniegs peļņu, un šie finanšu līdzekļu papildinājumi pēc būtības ir līdzīgi kapitāla iepludināšanai, ko veic ar nolūku segt zaudējumus. Tāpēc saskaņā ar kapitāla iepludināšanas noteikumiem finanšu līdzekļi, ko valdības iepludina DAB mehānismos, no kuriem tiek piešķirti koncesionāli aizdevumi, jātraktē kā kapitāla pārvedums.</w:t>
      </w:r>
    </w:p>
    <w:p w14:paraId="1D6EFC53"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45D2C9C7"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11. Nekoncesionālus aizdevumus izsniedz ar tirgus procentu likmi, un tas nozīmē, ka tiek paredzēta peļņa vai vismaz tas, ka tiks segtas aizņemšanās izmaksas un/vai DAB mehānisma administratīvās izmaksas. Ja DAB mehānismos, no kuriem tiek piešķirti nekoncesionāli aizdevumi, tiek uzkrātas rezerves, tās vēlāk var konvertēt kapitālā un izmantot turpmākām operācijām. Tāpēc praksē nav bieži tādi gadījumi, kad DAB izsmeļ savu pieprasāmo kapitālu. Faktiski donorvalstu valdībām parasti ir jāpalielina kapitāls saistībā ar jauniem pasākumiem vai pasākumu paplašināšanu. Līdz ar to valdības īstenota finansējuma iepludināšana tādos DAB mehānismos, no kuriem tiek piešķirti nekoncesionāli aizdevumi, jātraktē saskaņā ar EKS 2010 5.154. punkta c) apakšpunktu kā cits pašu kapitāls AF.519.</w:t>
      </w:r>
    </w:p>
    <w:p w14:paraId="4293B807"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3807AB20"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12. DAB gadījumā valdību īstenotā kapitāla palielināšana parasti notiek atbilstīgi vienam no šādiem veidiem: apmaksātais kapitāls, pieprasāmais kapitāls, rezervju konversija iemaksājumos pamatkapitālā, hibrīdkapitāla palielināšana, pagaidu palielināšana un iekasēšanas periods.</w:t>
      </w:r>
    </w:p>
    <w:p w14:paraId="193CC883" w14:textId="77777777" w:rsidR="00443399" w:rsidRPr="00B03B51" w:rsidRDefault="00443399" w:rsidP="00443399">
      <w:pPr>
        <w:jc w:val="both"/>
        <w:rPr>
          <w:rFonts w:ascii="Times New Roman" w:eastAsia="Arial" w:hAnsi="Times New Roman" w:cs="Times New Roman"/>
          <w:noProof/>
          <w:sz w:val="24"/>
          <w:szCs w:val="15"/>
        </w:rPr>
      </w:pPr>
    </w:p>
    <w:p w14:paraId="4BE513EB" w14:textId="77777777" w:rsidR="00443399" w:rsidRPr="00B03B51" w:rsidRDefault="00443399" w:rsidP="00443399">
      <w:pPr>
        <w:pStyle w:val="Heading6"/>
        <w:tabs>
          <w:tab w:val="left" w:pos="1267"/>
        </w:tabs>
        <w:ind w:left="0" w:firstLine="0"/>
        <w:jc w:val="both"/>
        <w:rPr>
          <w:rFonts w:ascii="Times New Roman" w:hAnsi="Times New Roman" w:cs="Times New Roman"/>
          <w:sz w:val="24"/>
        </w:rPr>
      </w:pPr>
      <w:bookmarkStart w:id="373" w:name="4.6.3.1_Paid-in_capital"/>
      <w:bookmarkEnd w:id="373"/>
      <w:r w:rsidRPr="00B03B51">
        <w:rPr>
          <w:rFonts w:ascii="Times New Roman" w:hAnsi="Times New Roman" w:cs="Times New Roman"/>
          <w:sz w:val="24"/>
        </w:rPr>
        <w:t>4.6.3.1. APMAKSĀTAIS KAPITĀLS</w:t>
      </w:r>
    </w:p>
    <w:p w14:paraId="2E39FF68"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0207F4E1"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13. Lielākajā daļā DAB mehānismu, no kuriem tiek piešķirti nekoncesionāli aizdevumi, jauns apmaksātais kapitāls veido tikai daļu no to kopējā kapitāla. Šādā gadījumā apmaksātā daļa tiks uzskatīta par finanšu darījumu (pašu kapitāla iegāde), kas neietekmē valdības neto aizdevumu/aizņēmumu (B.9).</w:t>
      </w:r>
    </w:p>
    <w:p w14:paraId="064A02C8" w14:textId="77777777" w:rsidR="00443399" w:rsidRPr="00B03B51" w:rsidRDefault="00443399" w:rsidP="00443399">
      <w:pPr>
        <w:jc w:val="both"/>
        <w:rPr>
          <w:rFonts w:ascii="Times New Roman" w:hAnsi="Times New Roman" w:cs="Times New Roman"/>
          <w:noProof/>
          <w:sz w:val="24"/>
        </w:rPr>
      </w:pPr>
    </w:p>
    <w:p w14:paraId="6059581F"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14. Gadījumā, ja šāds apmaksātais kapitāls tiek veikts tādiem DAB mehānismiem, no kuriem tiek piešķirtas galvenokārt vai vienīgi koncesionālas dotācijas vai aizdevumi, iepludināto kapitālu ieraksta kā kapitāla pārvedumu.</w:t>
      </w:r>
    </w:p>
    <w:p w14:paraId="5E968733" w14:textId="77777777" w:rsidR="00443399" w:rsidRPr="00B03B51" w:rsidRDefault="00443399" w:rsidP="00443399">
      <w:pPr>
        <w:jc w:val="both"/>
        <w:rPr>
          <w:rFonts w:ascii="Times New Roman" w:eastAsia="Arial" w:hAnsi="Times New Roman" w:cs="Times New Roman"/>
          <w:noProof/>
          <w:sz w:val="24"/>
          <w:szCs w:val="15"/>
        </w:rPr>
      </w:pPr>
    </w:p>
    <w:p w14:paraId="4FCD9A4D" w14:textId="77777777" w:rsidR="00443399" w:rsidRPr="00B03B51" w:rsidRDefault="00443399" w:rsidP="00443399">
      <w:pPr>
        <w:pStyle w:val="Heading6"/>
        <w:tabs>
          <w:tab w:val="left" w:pos="1267"/>
        </w:tabs>
        <w:ind w:left="0" w:firstLine="0"/>
        <w:jc w:val="both"/>
        <w:rPr>
          <w:rFonts w:ascii="Times New Roman" w:hAnsi="Times New Roman" w:cs="Times New Roman"/>
          <w:noProof/>
          <w:sz w:val="24"/>
        </w:rPr>
      </w:pPr>
      <w:bookmarkStart w:id="374" w:name="4.6.3.2_Callable_capital"/>
      <w:bookmarkEnd w:id="374"/>
      <w:r w:rsidRPr="00B03B51">
        <w:rPr>
          <w:rFonts w:ascii="Times New Roman" w:hAnsi="Times New Roman" w:cs="Times New Roman"/>
          <w:sz w:val="24"/>
        </w:rPr>
        <w:t>4.6.3.2. PIEPRASĀMAIS KAPITĀLS</w:t>
      </w:r>
    </w:p>
    <w:p w14:paraId="1DA54F98" w14:textId="77777777" w:rsidR="00443399" w:rsidRPr="00B03B51" w:rsidRDefault="00443399" w:rsidP="00443399">
      <w:pPr>
        <w:pStyle w:val="BodyText"/>
        <w:spacing w:before="0"/>
        <w:ind w:left="0" w:firstLine="0"/>
        <w:jc w:val="both"/>
        <w:rPr>
          <w:rFonts w:ascii="Times New Roman" w:hAnsi="Times New Roman" w:cs="Times New Roman"/>
          <w:noProof/>
          <w:sz w:val="24"/>
        </w:rPr>
      </w:pPr>
    </w:p>
    <w:p w14:paraId="69EB48F7" w14:textId="77777777" w:rsidR="00443399" w:rsidRPr="00B03B51" w:rsidRDefault="00443399" w:rsidP="00443399">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t>15. Liela daļa no DAB kapitāla palielinājuma parasti ir strukturēta kā pieprasāmais kapitāls, proti, kapitāls, kas nav faktiski apmaksāts. Statistikā to traktē šādi: pieprasāmā daļa tiek uzskatīta par iespējamo darījumu, kas nav jāieraksta nacionālo kontu sistēmā. Tas attiecināms uz abiem DAB mehānismu veidiem. Protams, tiklīdz kapitāls tiek pieprasīts, tas jāanalizē kā apmaksātais kapitāls.</w:t>
      </w:r>
    </w:p>
    <w:p w14:paraId="025B2844" w14:textId="77777777" w:rsidR="00443399" w:rsidRPr="00B03B51" w:rsidRDefault="00443399" w:rsidP="00443399">
      <w:pPr>
        <w:jc w:val="both"/>
        <w:rPr>
          <w:rFonts w:ascii="Times New Roman" w:eastAsia="Arial" w:hAnsi="Times New Roman" w:cs="Times New Roman"/>
          <w:noProof/>
          <w:sz w:val="24"/>
          <w:szCs w:val="15"/>
        </w:rPr>
      </w:pPr>
    </w:p>
    <w:p w14:paraId="7E2467D4" w14:textId="77777777" w:rsidR="00443399" w:rsidRPr="00B03B51" w:rsidRDefault="00443399" w:rsidP="00443399">
      <w:pPr>
        <w:pStyle w:val="Heading6"/>
        <w:tabs>
          <w:tab w:val="left" w:pos="1267"/>
        </w:tabs>
        <w:ind w:left="0" w:firstLine="0"/>
        <w:jc w:val="both"/>
        <w:rPr>
          <w:rFonts w:ascii="Times New Roman" w:hAnsi="Times New Roman" w:cs="Times New Roman"/>
          <w:noProof/>
          <w:sz w:val="24"/>
        </w:rPr>
      </w:pPr>
      <w:bookmarkStart w:id="375" w:name="4.6.3.3_Conversion_of_reserves_into_paid"/>
      <w:bookmarkEnd w:id="375"/>
      <w:r w:rsidRPr="00B03B51">
        <w:rPr>
          <w:rFonts w:ascii="Times New Roman" w:hAnsi="Times New Roman" w:cs="Times New Roman"/>
          <w:sz w:val="24"/>
        </w:rPr>
        <w:t>4.6.3.3. REZERVJU KONVERSIJA APMAKSĀTAJĀ KAPITĀLĀ</w:t>
      </w:r>
    </w:p>
    <w:p w14:paraId="55B039E3" w14:textId="77777777" w:rsidR="00443399" w:rsidRPr="00B03B51" w:rsidRDefault="00443399" w:rsidP="00443399">
      <w:pPr>
        <w:pStyle w:val="BodyText"/>
        <w:spacing w:before="0"/>
        <w:ind w:left="0" w:firstLine="0"/>
        <w:jc w:val="both"/>
        <w:rPr>
          <w:rFonts w:ascii="Times New Roman" w:hAnsi="Times New Roman" w:cs="Times New Roman"/>
          <w:noProof/>
          <w:sz w:val="24"/>
        </w:rPr>
      </w:pPr>
    </w:p>
    <w:p w14:paraId="64A98C69" w14:textId="77777777" w:rsidR="00443399" w:rsidRPr="00B03B51" w:rsidRDefault="00443399" w:rsidP="00443399">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t>16. Kapitāla pieaugumu (tā daļu) var nodrošināt, pārveidojot uzkrātās rezerves patstāvīgā apmaksātajā kapitālā, nesaņemot naudas pārskaitījumus no akcionāriem. Statistikā traktējums ir šāds: EKS 2010 tas nav pārbaudāmo akciju skaits, bet gan to vērtība. Ja daļa no rezervēm ir jākonvertē akcijās, tad akciju daļas vērtība joprojām paliktu nemainīga. Līdz ar to nepastāvētu tieša ietekme uz kontiem un valdības neto aizdevumu/aizņēmumu (B.9) un parādu.</w:t>
      </w:r>
    </w:p>
    <w:p w14:paraId="577C74E8" w14:textId="77777777" w:rsidR="00443399" w:rsidRPr="00B03B51" w:rsidRDefault="00443399" w:rsidP="00443399">
      <w:pPr>
        <w:pStyle w:val="BodyText"/>
        <w:spacing w:before="0"/>
        <w:ind w:left="0" w:firstLine="0"/>
        <w:jc w:val="both"/>
        <w:rPr>
          <w:rFonts w:ascii="Times New Roman" w:hAnsi="Times New Roman" w:cs="Times New Roman"/>
          <w:noProof/>
          <w:sz w:val="24"/>
        </w:rPr>
      </w:pPr>
    </w:p>
    <w:p w14:paraId="5C9DBD2C" w14:textId="77777777" w:rsidR="00443399" w:rsidRPr="00B03B51" w:rsidRDefault="00443399" w:rsidP="00443399">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t>17. DAB mehānismiem, no kuriem galvenokārt tiek izsniegti koncesionālie aizdevumi un dotācijas, parasti nav uzkrātu rezervju, jo visi tiem pieejamie līdzekļi tiek iztērēti. Līdz ar to šis gadījums uz šādiem mehānismiem neattiecas.</w:t>
      </w:r>
    </w:p>
    <w:p w14:paraId="2A6F3979" w14:textId="77777777" w:rsidR="00443399" w:rsidRPr="00B03B51" w:rsidRDefault="00443399" w:rsidP="00443399">
      <w:pPr>
        <w:jc w:val="both"/>
        <w:rPr>
          <w:rFonts w:ascii="Times New Roman" w:eastAsia="Arial" w:hAnsi="Times New Roman" w:cs="Times New Roman"/>
          <w:noProof/>
          <w:sz w:val="24"/>
          <w:szCs w:val="15"/>
        </w:rPr>
      </w:pPr>
    </w:p>
    <w:p w14:paraId="07FC8D6F" w14:textId="77777777" w:rsidR="00443399" w:rsidRPr="00B03B51" w:rsidRDefault="00443399" w:rsidP="00443399">
      <w:pPr>
        <w:pStyle w:val="Heading6"/>
        <w:tabs>
          <w:tab w:val="left" w:pos="1267"/>
        </w:tabs>
        <w:ind w:left="0" w:firstLine="0"/>
        <w:jc w:val="both"/>
        <w:rPr>
          <w:rFonts w:ascii="Times New Roman" w:hAnsi="Times New Roman" w:cs="Times New Roman"/>
          <w:noProof/>
          <w:sz w:val="24"/>
        </w:rPr>
      </w:pPr>
      <w:bookmarkStart w:id="376" w:name="4.6.3.4_Hybrid_capital_increase"/>
      <w:bookmarkEnd w:id="376"/>
      <w:r w:rsidRPr="00B03B51">
        <w:rPr>
          <w:rFonts w:ascii="Times New Roman" w:hAnsi="Times New Roman" w:cs="Times New Roman"/>
          <w:sz w:val="24"/>
        </w:rPr>
        <w:t>4.6.3.4. HIBRĪDKAPITĀLA PIEAUGUMS</w:t>
      </w:r>
    </w:p>
    <w:p w14:paraId="7ECA90D2" w14:textId="77777777" w:rsidR="00443399" w:rsidRPr="00B03B51" w:rsidRDefault="00443399" w:rsidP="00443399">
      <w:pPr>
        <w:pStyle w:val="BodyText"/>
        <w:spacing w:before="0"/>
        <w:ind w:left="0" w:firstLine="0"/>
        <w:jc w:val="both"/>
        <w:rPr>
          <w:rFonts w:ascii="Times New Roman" w:hAnsi="Times New Roman" w:cs="Times New Roman"/>
          <w:noProof/>
          <w:sz w:val="24"/>
        </w:rPr>
      </w:pPr>
    </w:p>
    <w:p w14:paraId="3C22BCA7" w14:textId="77777777" w:rsidR="00443399" w:rsidRPr="00B03B51" w:rsidRDefault="00443399" w:rsidP="00443399">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t>18. Kapitāla pieaugumu (tā daļu) var arī nodrošināt, emitējot hibrīdkapitāla instrumentu (apvienojumā ar pieprasāmo kapitālu) ar parāda un pašu kapitāla iezīmēm. Par statistikas traktējumu nevar spriest vispārīgi; precīzi apstākļi jāapsver katrā gadījumā atsevišķi.</w:t>
      </w:r>
    </w:p>
    <w:p w14:paraId="1BAC2FF5" w14:textId="77777777" w:rsidR="00443399" w:rsidRPr="00B03B51" w:rsidRDefault="00443399" w:rsidP="00443399">
      <w:pPr>
        <w:jc w:val="both"/>
        <w:rPr>
          <w:rFonts w:ascii="Times New Roman" w:eastAsia="Arial" w:hAnsi="Times New Roman" w:cs="Times New Roman"/>
          <w:noProof/>
          <w:sz w:val="24"/>
          <w:szCs w:val="15"/>
        </w:rPr>
      </w:pPr>
    </w:p>
    <w:p w14:paraId="37B882F3" w14:textId="77777777" w:rsidR="00443399" w:rsidRPr="00B03B51" w:rsidRDefault="00443399" w:rsidP="00443399">
      <w:pPr>
        <w:pStyle w:val="Heading6"/>
        <w:tabs>
          <w:tab w:val="left" w:pos="1267"/>
        </w:tabs>
        <w:ind w:left="0" w:firstLine="0"/>
        <w:jc w:val="both"/>
        <w:rPr>
          <w:rFonts w:ascii="Times New Roman" w:hAnsi="Times New Roman" w:cs="Times New Roman"/>
          <w:noProof/>
          <w:sz w:val="24"/>
        </w:rPr>
      </w:pPr>
      <w:bookmarkStart w:id="377" w:name="4.6.3.5_Temporary_increase"/>
      <w:bookmarkEnd w:id="377"/>
      <w:r w:rsidRPr="00B03B51">
        <w:rPr>
          <w:rFonts w:ascii="Times New Roman" w:hAnsi="Times New Roman" w:cs="Times New Roman"/>
          <w:sz w:val="24"/>
        </w:rPr>
        <w:t>4.6.3.5. PAGAIDU PIEAUGUMS</w:t>
      </w:r>
    </w:p>
    <w:p w14:paraId="3C847FEA"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422C1377"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19. Atšķirībā no patstāvīga pieauguma kapitāla pieaugumu var norādīt vienīgi attiecībā uz pagaidu periodu, un pēc noteikta laika posma tas (daļa no tā) tiek atmaksāta dalībniekiem (piemēram, pēc tam, kad beigusies krīze un aizdevuma darbības tiek atkal īstenotas parastajā līmenī). Statistikā traktējums ir šāds: pagaidu pieaugums ar grafikā noteiktu atmaksāšanu tiek uzskatīts par aizdevumu pat tad, ja tiek piemērota nulles procentu likme. Grafikā noteiktā atmaksāšana pakāpeniski samazinās aizdevuma neatmaksāto summu.</w:t>
      </w:r>
    </w:p>
    <w:p w14:paraId="2FF3A5CE"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312CA70E"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20. Sākotnējais aizdevuma traktējums ir piemērojams attiecībā uz abiem DAB mehānismu gadījumiem. Ja pēc tam aizdevums tiek atcelts, tas jāieraksta kā kapitāla pārvedums.</w:t>
      </w:r>
    </w:p>
    <w:p w14:paraId="1911880C" w14:textId="77777777" w:rsidR="00443399" w:rsidRPr="00B03B51" w:rsidRDefault="00443399" w:rsidP="00443399">
      <w:pPr>
        <w:jc w:val="both"/>
        <w:rPr>
          <w:rFonts w:ascii="Times New Roman" w:eastAsia="Arial" w:hAnsi="Times New Roman" w:cs="Times New Roman"/>
          <w:noProof/>
          <w:sz w:val="24"/>
          <w:szCs w:val="15"/>
        </w:rPr>
      </w:pPr>
    </w:p>
    <w:p w14:paraId="509D0488" w14:textId="77777777" w:rsidR="00443399" w:rsidRPr="00B03B51" w:rsidRDefault="00443399" w:rsidP="00443399">
      <w:pPr>
        <w:pStyle w:val="Heading6"/>
        <w:tabs>
          <w:tab w:val="left" w:pos="1267"/>
        </w:tabs>
        <w:ind w:left="0" w:firstLine="0"/>
        <w:jc w:val="both"/>
        <w:rPr>
          <w:rFonts w:ascii="Times New Roman" w:hAnsi="Times New Roman" w:cs="Times New Roman"/>
          <w:noProof/>
          <w:sz w:val="24"/>
        </w:rPr>
      </w:pPr>
      <w:bookmarkStart w:id="378" w:name="4.6.3.6_Encashment_period"/>
      <w:bookmarkEnd w:id="378"/>
      <w:r w:rsidRPr="00B03B51">
        <w:rPr>
          <w:rFonts w:ascii="Times New Roman" w:hAnsi="Times New Roman" w:cs="Times New Roman"/>
          <w:sz w:val="24"/>
        </w:rPr>
        <w:t>4.6.3.6. IEKASĒŠANAS PERIODS</w:t>
      </w:r>
    </w:p>
    <w:p w14:paraId="32C3BCE2"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1A31FE06"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21. Faktisko naudas maksājumu, ko dalībnieki nodrošina kā kapitāla pieauguma apmaksāto daļu, var nolemt pagarināt uz ilgāku laika posmu un sadalīt vairākos maksājumos (līdz pat 10 gadiem). Šajā ziņā divi minētie DAB mehānismi atšķiras.</w:t>
      </w:r>
    </w:p>
    <w:p w14:paraId="0AEAF071"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7216E4BB"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22. Attiecībā uz DAB mehānismu, no kura tiek piešķirti galvenokārt nekoncesionāli aizdevumi, statistikas traktējumā pieņem, ka lēmums par kapitāla pieaugumu tiek pieņemts sākumā (t. i., viens lēmums par kapitāla pieaugumu, lai arī ar atliktiem maksājumiem, nevis daudz lēmumu par atsevišķiem kapitāla palielināšanas maksājumiem daudzus gadus ilgā laika posmā). Pašu kapitāla iegūšana tiek ierakstīta pašā sākumā par pilnu apmaksātā kapitāla summu. To, kā ierakstāmas tādu summu finanšu pretvērtības, kuras sākotnēji netiek samaksātas naudā, lemj, pamatojoties uz laika posmu, kurā maksājumi ir jāveic. Ja tie ir jāveic ātri, proti, viena gada laikā, to daļu, kas vēl nav samaksāta, ieraksta kā citas kreditoru saistības (AF.8) bez ietekmes uz valdības (</w:t>
      </w:r>
      <w:r w:rsidRPr="00B03B51">
        <w:rPr>
          <w:rFonts w:ascii="Times New Roman" w:hAnsi="Times New Roman" w:cs="Times New Roman"/>
          <w:i/>
          <w:iCs/>
          <w:sz w:val="24"/>
        </w:rPr>
        <w:t>EDP</w:t>
      </w:r>
      <w:r w:rsidRPr="00B03B51">
        <w:rPr>
          <w:rFonts w:ascii="Times New Roman" w:hAnsi="Times New Roman" w:cs="Times New Roman"/>
          <w:sz w:val="24"/>
        </w:rPr>
        <w:t>) parādu. Turklāt pretvērtību ieraksta kā bankas aizdevumu valdībai (AF.4) ar ietekmi uz valdības (</w:t>
      </w:r>
      <w:r w:rsidRPr="00B03B51">
        <w:rPr>
          <w:rFonts w:ascii="Times New Roman" w:hAnsi="Times New Roman" w:cs="Times New Roman"/>
          <w:i/>
          <w:iCs/>
          <w:sz w:val="24"/>
        </w:rPr>
        <w:t>EDP</w:t>
      </w:r>
      <w:r w:rsidRPr="00B03B51">
        <w:rPr>
          <w:rFonts w:ascii="Times New Roman" w:hAnsi="Times New Roman" w:cs="Times New Roman"/>
          <w:sz w:val="24"/>
        </w:rPr>
        <w:t>) parādu.</w:t>
      </w:r>
    </w:p>
    <w:p w14:paraId="7351D749"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25BD0761"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23. Attiecībā uz DAB mehānismiem, no kuriem tiek piešķirti galvenokārt koncesionāli aizdevumi un dotācijas, šie maksājumi jāieraksta kā finanšu pārvedumi. Ierakstīšanas laikam būtu jāatbilst EKS 2010 4.166. punktam, proti, ierakstīšana jāveic laikā, kad ir jāveic maksājums.</w:t>
      </w:r>
    </w:p>
    <w:p w14:paraId="5FD0D174" w14:textId="77777777" w:rsidR="00443399" w:rsidRPr="00B03B51" w:rsidRDefault="00443399" w:rsidP="00443399">
      <w:pPr>
        <w:rPr>
          <w:rFonts w:ascii="Times New Roman" w:hAnsi="Times New Roman" w:cs="Times New Roman"/>
          <w:noProof/>
          <w:sz w:val="24"/>
        </w:rPr>
      </w:pPr>
      <w:r w:rsidRPr="00B03B51">
        <w:rPr>
          <w:rFonts w:ascii="Times New Roman" w:hAnsi="Times New Roman" w:cs="Times New Roman"/>
        </w:rPr>
        <w:br w:type="page"/>
      </w:r>
    </w:p>
    <w:p w14:paraId="69003856" w14:textId="77777777" w:rsidR="00443399" w:rsidRPr="00B03B51" w:rsidRDefault="00443399" w:rsidP="00443399">
      <w:pPr>
        <w:jc w:val="both"/>
        <w:rPr>
          <w:rFonts w:ascii="Times New Roman" w:hAnsi="Times New Roman" w:cs="Times New Roman"/>
          <w:noProof/>
          <w:sz w:val="24"/>
        </w:rPr>
      </w:pPr>
    </w:p>
    <w:p w14:paraId="487E3C58" w14:textId="77777777" w:rsidR="00443399" w:rsidRPr="00B03B51" w:rsidRDefault="00443399" w:rsidP="00443399">
      <w:pPr>
        <w:pStyle w:val="Heading2"/>
        <w:tabs>
          <w:tab w:val="left" w:pos="1135"/>
        </w:tabs>
        <w:spacing w:before="0"/>
        <w:ind w:left="0" w:firstLine="0"/>
        <w:jc w:val="both"/>
        <w:rPr>
          <w:rFonts w:ascii="Times New Roman" w:hAnsi="Times New Roman" w:cs="Times New Roman"/>
          <w:noProof/>
          <w:sz w:val="28"/>
          <w:szCs w:val="44"/>
        </w:rPr>
      </w:pPr>
      <w:bookmarkStart w:id="379" w:name="_Toc67565139"/>
      <w:r w:rsidRPr="00B03B51">
        <w:rPr>
          <w:rFonts w:ascii="Times New Roman" w:hAnsi="Times New Roman" w:cs="Times New Roman"/>
          <w:sz w:val="28"/>
          <w:szCs w:val="44"/>
        </w:rPr>
        <w:t>4.7. No ienākumiem atkarīgu aizdevumu ierakstīšana</w:t>
      </w:r>
      <w:bookmarkEnd w:id="379"/>
    </w:p>
    <w:p w14:paraId="2DDDD489" w14:textId="77777777" w:rsidR="00443399" w:rsidRPr="00100B51" w:rsidRDefault="00443399" w:rsidP="00100B51">
      <w:pPr>
        <w:rPr>
          <w:rFonts w:ascii="Times New Roman" w:hAnsi="Times New Roman" w:cs="Times New Roman"/>
          <w:noProof/>
          <w:sz w:val="24"/>
          <w:szCs w:val="24"/>
        </w:rPr>
      </w:pPr>
      <w:bookmarkStart w:id="380" w:name="4.7.1_Background"/>
      <w:bookmarkEnd w:id="380"/>
    </w:p>
    <w:p w14:paraId="322F5A12" w14:textId="77777777" w:rsidR="00443399" w:rsidRPr="00B03B51" w:rsidRDefault="00443399" w:rsidP="00443399">
      <w:pPr>
        <w:pStyle w:val="Heading3"/>
        <w:tabs>
          <w:tab w:val="left" w:pos="1267"/>
        </w:tabs>
        <w:ind w:left="0" w:firstLine="0"/>
        <w:jc w:val="both"/>
        <w:rPr>
          <w:rFonts w:ascii="Times New Roman" w:hAnsi="Times New Roman" w:cs="Times New Roman"/>
          <w:noProof/>
          <w:sz w:val="24"/>
        </w:rPr>
      </w:pPr>
      <w:bookmarkStart w:id="381" w:name="_Toc67565140"/>
      <w:r w:rsidRPr="00B03B51">
        <w:rPr>
          <w:rFonts w:ascii="Times New Roman" w:hAnsi="Times New Roman" w:cs="Times New Roman"/>
          <w:sz w:val="24"/>
        </w:rPr>
        <w:t>4.7.1. Vispārīga informācija</w:t>
      </w:r>
      <w:bookmarkEnd w:id="381"/>
    </w:p>
    <w:p w14:paraId="5D9F3742"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4017CD32"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 Šajā nodaļā ir aplūkots gadījums, kad valdība sniedz naudas līdzekļus (tiešā veidā vai ar īpaša publiskā sektora subjekta starpniecību) likumīga aizdevuma veidā un tā atmaksa ir atkarīga no finansēšanas līgumā vai tiesību aktos definētiem elementiem. Šie iespējamie elementi, kas ļauj debitoram (pilnībā vai daļēji) neatmaksāt līdzekļus, var būt dažādi, piemēram, finansējuma saņēmēja ienākumi nākotnē, atmaksas perioda ierobežojums vai citi elementi, ko puses pilnībā nekontrolē. Gadījumos, kad valdība izsniedz aizdevumu ar iespēju pilnībā to anulēt tādu notikumu dēļ, kas ir atkarīgi vienīgi no aizņēmēja lēmuma vai kas ir vienīgi tā kontrolē, var būt nepieciešami citi noteikumi nekā šajā nodaļā aplūkotie.</w:t>
      </w:r>
    </w:p>
    <w:p w14:paraId="6C27D86B"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4FA6783B"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2. Šī nodaļa, kurā ir aplūkoti no ienākumiem atkarīgi aizdevumi, ir piemērojama arī situācijās, kas varētu būt pielīdzināmas šādiem aizdevumiem, t. i., aizdevumiem, kuriem ir vērā ņemami citi ar ienākumiem nesaistīti iespējamības elementi, piemēram, ar programmas sniegumu vai debitora nāvi saistīti iespējamības elementi.</w:t>
      </w:r>
    </w:p>
    <w:p w14:paraId="405F56E9"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2495FC91"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3. Šādu finansējumu valdība parasti sniedz mājsaimniecībām, bet var sniegt arī citām institucionālām vienībām. Tā mērķis ir atbalstīt valsts politiku, tādējādi saņēmējiem nosacījumi būs izdevīgāki nekā gadījumos, kad aizdevumu izsniedz finanšu iestāde.</w:t>
      </w:r>
    </w:p>
    <w:p w14:paraId="29070AF0"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0E3B5EE0"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4. Kopumā šādu finansējumu sauc par aizdevumiem, kas ir atkarīgi no ienākumiem. Tas ne vienmēr atbilst kritērijiem, lai to varētu uzskatīt par aizdevumu, kā minēts nacionālajos kontos, jo netiek izveidots beznosacījumu parāds, kā prasīts EKS 2010 5.113. punktā.</w:t>
      </w:r>
    </w:p>
    <w:p w14:paraId="16B36802"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7BA9C3C7"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5. No ienākumiem atkarīgos aizdevumus valdības parasti izsniedz samērā nelielās summās lielam debitoru skaitam saskaņā ar standarta nosacījumiem. Tāpēc nacionālajos kontos analīzi var piemērot visam aizdevumu portfelim, nevis katram atsevišķam piešķirtajam aizdevumam.</w:t>
      </w:r>
    </w:p>
    <w:p w14:paraId="3AC8AC31"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3F82BA3A"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6. Šajā nodaļā netiek aplūkotas tādas valsts shēmas, kurās privātu finanšu iestāžu sniegtajiem no ienākumiem atkarīgiem aizdevumiem iespējamības elementus garantē valdība, jo parasti tādiem aizdevumiem ir standartizēto garantiju īpašības (skat. 7.4.3. iedaļu).</w:t>
      </w:r>
    </w:p>
    <w:p w14:paraId="152F2887"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4D327445"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7. Šādiem aizņēmumiem parasti ir ilgs atmaksas termiņš (līdz 30 gadiem vai pat ilgāk) un tiek piemēroti procenti. Procenti var tikt vai netikt kapitalizēti un tiem var piemērot tirgus likmi vai labvēlīgāku likmi. Izsniedzot no ienākumiem atkarīgos aizdevumus, parasti ietver nosacījumus, kas ļauj parādniekam neatmaksāt parādu termiņa beigās vai kad ir pienācis aizdevuma daļas atmaksas termiņš. Atkarībā no vairākiem nosacījumiem (piemēram, vecuma, ienākuma, fiziskām spējām, laika ierobežojuma u. c.) kreditors (valdība) var ierosināt visa aizņēmuma vai tā daļas dzēšanu.</w:t>
      </w:r>
    </w:p>
    <w:p w14:paraId="23A361DF"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4DEE6394"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8. Tādējādi no ienākumiem atkarīgi aizdevumi var ietekmēt valdības ieņēmumus un izdevumus, proti:</w:t>
      </w:r>
    </w:p>
    <w:p w14:paraId="4D6F0E1D"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387D5736" w14:textId="77777777" w:rsidR="00443399" w:rsidRPr="00B03B51" w:rsidRDefault="00443399" w:rsidP="00500EA4">
      <w:pPr>
        <w:pStyle w:val="BodyText"/>
        <w:numPr>
          <w:ilvl w:val="1"/>
          <w:numId w:val="62"/>
        </w:numPr>
        <w:spacing w:before="0"/>
        <w:ind w:left="426" w:hanging="425"/>
        <w:jc w:val="both"/>
        <w:rPr>
          <w:rFonts w:ascii="Times New Roman" w:hAnsi="Times New Roman" w:cs="Times New Roman"/>
          <w:noProof/>
          <w:sz w:val="24"/>
        </w:rPr>
      </w:pPr>
      <w:r w:rsidRPr="00B03B51">
        <w:rPr>
          <w:rFonts w:ascii="Times New Roman" w:hAnsi="Times New Roman" w:cs="Times New Roman"/>
          <w:sz w:val="24"/>
        </w:rPr>
        <w:t xml:space="preserve">šīs rokasgrāmatas 8.2.2.2. apakšiedaļā ir noteikts, ka nacionālajos kontos procentus ieraksta, kad tie uzkrājas, neatkarīgi no tā, vai tie tiek vai netiek samaksāti. Tāpēc uzkrātie procenti ietekmē neto aizdevumu/aizņēmumu (B.9), lai arī var gadīties, ka tie faktiski nekad netiek atmaksāti, jo netiek sasniegts nosacītais slieksnis atmaksas veikšanai, tādējādi </w:t>
      </w:r>
      <w:r w:rsidRPr="00B03B51">
        <w:rPr>
          <w:rFonts w:ascii="Times New Roman" w:hAnsi="Times New Roman" w:cs="Times New Roman"/>
          <w:sz w:val="24"/>
        </w:rPr>
        <w:lastRenderedPageBreak/>
        <w:t>iespējami kropļojot valdības izdevumu/ieņēmumu pārskatus,</w:t>
      </w:r>
    </w:p>
    <w:p w14:paraId="3B8782F1" w14:textId="0E675BA5" w:rsidR="00443399" w:rsidRPr="00B03B51" w:rsidRDefault="00443399" w:rsidP="00500EA4">
      <w:pPr>
        <w:pStyle w:val="BodyText"/>
        <w:numPr>
          <w:ilvl w:val="1"/>
          <w:numId w:val="62"/>
        </w:numPr>
        <w:spacing w:before="0"/>
        <w:ind w:left="426" w:hanging="425"/>
        <w:jc w:val="both"/>
        <w:rPr>
          <w:rFonts w:ascii="Times New Roman" w:hAnsi="Times New Roman" w:cs="Times New Roman"/>
          <w:noProof/>
          <w:sz w:val="24"/>
        </w:rPr>
      </w:pPr>
      <w:r w:rsidRPr="00B03B51">
        <w:rPr>
          <w:rFonts w:ascii="Times New Roman" w:hAnsi="Times New Roman" w:cs="Times New Roman"/>
          <w:sz w:val="24"/>
        </w:rPr>
        <w:t xml:space="preserve">jo aizdevumam ir ilgtermiņa būtība, norakstīšana un/vai parāda </w:t>
      </w:r>
      <w:r w:rsidR="00E52E0E" w:rsidRPr="00B03B51">
        <w:rPr>
          <w:rFonts w:ascii="Times New Roman" w:hAnsi="Times New Roman" w:cs="Times New Roman"/>
          <w:sz w:val="24"/>
        </w:rPr>
        <w:t>anulēšana</w:t>
      </w:r>
      <w:r w:rsidRPr="00B03B51">
        <w:rPr>
          <w:rFonts w:ascii="Times New Roman" w:hAnsi="Times New Roman" w:cs="Times New Roman"/>
          <w:sz w:val="24"/>
        </w:rPr>
        <w:t xml:space="preserve"> notiks tikai pēc ilga laika, kad iespējamības elements tiks noskaidrots, un tādējādi iespējamo zaudējumu atzīšana varētu tikt pārnesta uz tālu nākotni.</w:t>
      </w:r>
    </w:p>
    <w:p w14:paraId="58B72699" w14:textId="77777777" w:rsidR="00443399" w:rsidRPr="00B03B51" w:rsidRDefault="00443399" w:rsidP="00443399">
      <w:pPr>
        <w:jc w:val="both"/>
        <w:rPr>
          <w:rFonts w:ascii="Times New Roman" w:eastAsia="Arial" w:hAnsi="Times New Roman" w:cs="Times New Roman"/>
          <w:noProof/>
          <w:sz w:val="24"/>
          <w:szCs w:val="19"/>
        </w:rPr>
      </w:pPr>
    </w:p>
    <w:p w14:paraId="0550ADA0" w14:textId="77777777" w:rsidR="00443399" w:rsidRPr="00B03B51" w:rsidRDefault="00443399" w:rsidP="00443399">
      <w:pPr>
        <w:pStyle w:val="Heading3"/>
        <w:tabs>
          <w:tab w:val="left" w:pos="1267"/>
        </w:tabs>
        <w:ind w:left="0" w:firstLine="0"/>
        <w:jc w:val="both"/>
        <w:rPr>
          <w:rFonts w:ascii="Times New Roman" w:hAnsi="Times New Roman" w:cs="Times New Roman"/>
          <w:noProof/>
          <w:sz w:val="24"/>
        </w:rPr>
      </w:pPr>
      <w:bookmarkStart w:id="382" w:name="4.7.2_Treatment_in_national_accounts"/>
      <w:bookmarkStart w:id="383" w:name="_Toc67565141"/>
      <w:bookmarkEnd w:id="382"/>
      <w:r w:rsidRPr="00B03B51">
        <w:rPr>
          <w:rFonts w:ascii="Times New Roman" w:hAnsi="Times New Roman" w:cs="Times New Roman"/>
          <w:sz w:val="24"/>
        </w:rPr>
        <w:t>4.7.2. Traktējums nacionālajos kontos</w:t>
      </w:r>
      <w:bookmarkEnd w:id="383"/>
    </w:p>
    <w:p w14:paraId="03219823"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3AD6355B"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9. Saskaņā tostarp ar EKS 2010 20.121. punktu ir jānovērtē, vai valdības aizdevumi, visticamāk, tiks vai netiks atmaksāti. Ņemot vērā no ienākumiem atkarīgo aizdevumu iespējamības elementu, sākumā līdz ar to ir jānosaka gaidāmie zaudējumi.</w:t>
      </w:r>
    </w:p>
    <w:p w14:paraId="46C9B835" w14:textId="77777777" w:rsidR="00443399" w:rsidRPr="00B03B51" w:rsidRDefault="00443399" w:rsidP="00443399">
      <w:pPr>
        <w:jc w:val="both"/>
        <w:rPr>
          <w:rFonts w:ascii="Times New Roman" w:hAnsi="Times New Roman" w:cs="Times New Roman"/>
          <w:noProof/>
          <w:sz w:val="24"/>
        </w:rPr>
      </w:pPr>
    </w:p>
    <w:p w14:paraId="43AC930F"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10. Gaidāmo zaudējumu varbūtību var novērtēt dažādos veidos, piemēram:</w:t>
      </w:r>
    </w:p>
    <w:p w14:paraId="4E927D11" w14:textId="77777777" w:rsidR="00443399" w:rsidRPr="00B03B51" w:rsidRDefault="00443399" w:rsidP="00443399">
      <w:pPr>
        <w:pStyle w:val="BodyText"/>
        <w:tabs>
          <w:tab w:val="left" w:pos="1126"/>
        </w:tabs>
        <w:spacing w:before="0"/>
        <w:ind w:left="0" w:firstLine="0"/>
        <w:jc w:val="both"/>
        <w:rPr>
          <w:rFonts w:ascii="Times New Roman" w:hAnsi="Times New Roman" w:cs="Times New Roman"/>
          <w:noProof/>
          <w:sz w:val="24"/>
        </w:rPr>
      </w:pPr>
    </w:p>
    <w:p w14:paraId="64D4CE1D" w14:textId="77777777" w:rsidR="00443399" w:rsidRPr="00B03B51" w:rsidRDefault="00443399" w:rsidP="00443399">
      <w:pPr>
        <w:pStyle w:val="BodyText"/>
        <w:tabs>
          <w:tab w:val="left" w:pos="1126"/>
        </w:tabs>
        <w:spacing w:before="0"/>
        <w:ind w:left="284" w:firstLine="0"/>
        <w:jc w:val="both"/>
        <w:rPr>
          <w:rFonts w:ascii="Times New Roman" w:hAnsi="Times New Roman" w:cs="Times New Roman"/>
          <w:noProof/>
          <w:sz w:val="24"/>
        </w:rPr>
      </w:pPr>
      <w:r w:rsidRPr="00B03B51">
        <w:rPr>
          <w:rFonts w:ascii="Times New Roman" w:hAnsi="Times New Roman" w:cs="Times New Roman"/>
          <w:sz w:val="24"/>
        </w:rPr>
        <w:t>a) kādi ir novērotie zaudējumi līdzīgu aizdevumu gadījumā;</w:t>
      </w:r>
    </w:p>
    <w:p w14:paraId="52F41FAD" w14:textId="77777777" w:rsidR="00443399" w:rsidRPr="00B03B51" w:rsidRDefault="00443399" w:rsidP="00443399">
      <w:pPr>
        <w:pStyle w:val="BodyText"/>
        <w:tabs>
          <w:tab w:val="left" w:pos="1126"/>
        </w:tabs>
        <w:spacing w:before="0"/>
        <w:ind w:left="284" w:firstLine="0"/>
        <w:jc w:val="both"/>
        <w:rPr>
          <w:rFonts w:ascii="Times New Roman" w:hAnsi="Times New Roman" w:cs="Times New Roman"/>
          <w:noProof/>
          <w:sz w:val="24"/>
        </w:rPr>
      </w:pPr>
    </w:p>
    <w:p w14:paraId="7A701453" w14:textId="77777777" w:rsidR="00443399" w:rsidRPr="00B03B51" w:rsidRDefault="00443399" w:rsidP="00443399">
      <w:pPr>
        <w:pStyle w:val="BodyText"/>
        <w:tabs>
          <w:tab w:val="left" w:pos="1126"/>
        </w:tabs>
        <w:spacing w:before="0"/>
        <w:ind w:left="284" w:firstLine="0"/>
        <w:jc w:val="both"/>
        <w:rPr>
          <w:rFonts w:ascii="Times New Roman" w:hAnsi="Times New Roman" w:cs="Times New Roman"/>
          <w:noProof/>
          <w:sz w:val="24"/>
        </w:rPr>
      </w:pPr>
      <w:r w:rsidRPr="00B03B51">
        <w:rPr>
          <w:rFonts w:ascii="Times New Roman" w:hAnsi="Times New Roman" w:cs="Times New Roman"/>
          <w:sz w:val="24"/>
        </w:rPr>
        <w:t>b) gaidāmie zaudējumi tiek novērtēti, pamatojoties uz to, kāda ir varbūtība, ka debitoram iestāsies iespējamības notikums.</w:t>
      </w:r>
    </w:p>
    <w:p w14:paraId="38C8A43F"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0451D48A"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11. Ņemot vērā šādu aizdevumu lielo skaitu (neatkarīgi no tā, ka ar valdības lēmumu var mainīties šo aizdevumu iespējamības elementu vispārējās iezīmes), piemērota pieeja ir analizēt saskanīgus apakšportfeļus (t. i., aizdevumus, kas piešķirti konkrētajā gadā vai izmantojot konkrētu aizdevuma shēmu).</w:t>
      </w:r>
    </w:p>
    <w:p w14:paraId="525368D4"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64E97DC8"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12. Ja izrādās, ka ir pieejama pietiekama informācija, lai apmierinoši noteiktu no ienākumiem atkarīgo aizdevumu portfeļa iespējamos zaudējumus, var identificēt trīs no ienākumiem atkarīgo aizdevumu kategorijas, lai tos varētu statistikā traktēt dažādos veidos:</w:t>
      </w:r>
    </w:p>
    <w:p w14:paraId="6C8B49A8" w14:textId="77777777" w:rsidR="00443399" w:rsidRPr="00B03B51" w:rsidRDefault="00443399" w:rsidP="00443399">
      <w:pPr>
        <w:pStyle w:val="BodyText"/>
        <w:tabs>
          <w:tab w:val="left" w:pos="1126"/>
        </w:tabs>
        <w:spacing w:before="0"/>
        <w:ind w:left="0" w:firstLine="0"/>
        <w:jc w:val="both"/>
        <w:rPr>
          <w:rFonts w:ascii="Times New Roman" w:hAnsi="Times New Roman" w:cs="Times New Roman"/>
          <w:noProof/>
          <w:sz w:val="24"/>
        </w:rPr>
      </w:pPr>
    </w:p>
    <w:p w14:paraId="3695905E" w14:textId="77777777" w:rsidR="00443399" w:rsidRPr="00B03B51" w:rsidRDefault="00443399" w:rsidP="00443399">
      <w:pPr>
        <w:pStyle w:val="BodyText"/>
        <w:tabs>
          <w:tab w:val="left" w:pos="1126"/>
        </w:tabs>
        <w:spacing w:before="0"/>
        <w:ind w:left="284" w:firstLine="0"/>
        <w:jc w:val="both"/>
        <w:rPr>
          <w:rFonts w:ascii="Times New Roman" w:hAnsi="Times New Roman" w:cs="Times New Roman"/>
          <w:noProof/>
          <w:sz w:val="24"/>
        </w:rPr>
      </w:pPr>
      <w:r w:rsidRPr="00B03B51">
        <w:rPr>
          <w:rFonts w:ascii="Times New Roman" w:hAnsi="Times New Roman" w:cs="Times New Roman"/>
          <w:sz w:val="24"/>
        </w:rPr>
        <w:t>a) sākumā iespējamības elementu dēļ radušies gaidāmie zaudējumi ir zemi, piemēram, maza daļa no izsniegtajiem līdzekļiem;</w:t>
      </w:r>
    </w:p>
    <w:p w14:paraId="22D03400" w14:textId="77777777" w:rsidR="00443399" w:rsidRPr="00B03B51" w:rsidRDefault="00443399" w:rsidP="00443399">
      <w:pPr>
        <w:pStyle w:val="BodyText"/>
        <w:tabs>
          <w:tab w:val="left" w:pos="1126"/>
        </w:tabs>
        <w:spacing w:before="0"/>
        <w:ind w:left="284" w:firstLine="0"/>
        <w:jc w:val="both"/>
        <w:rPr>
          <w:rFonts w:ascii="Times New Roman" w:hAnsi="Times New Roman" w:cs="Times New Roman"/>
          <w:noProof/>
          <w:sz w:val="24"/>
        </w:rPr>
      </w:pPr>
    </w:p>
    <w:p w14:paraId="2867B347" w14:textId="77777777" w:rsidR="00443399" w:rsidRPr="00B03B51" w:rsidRDefault="00443399" w:rsidP="00443399">
      <w:pPr>
        <w:pStyle w:val="BodyText"/>
        <w:tabs>
          <w:tab w:val="left" w:pos="1126"/>
        </w:tabs>
        <w:spacing w:before="0"/>
        <w:ind w:left="284" w:firstLine="0"/>
        <w:jc w:val="both"/>
        <w:rPr>
          <w:rFonts w:ascii="Times New Roman" w:hAnsi="Times New Roman" w:cs="Times New Roman"/>
          <w:noProof/>
          <w:sz w:val="24"/>
        </w:rPr>
      </w:pPr>
      <w:r w:rsidRPr="00B03B51">
        <w:rPr>
          <w:rFonts w:ascii="Times New Roman" w:hAnsi="Times New Roman" w:cs="Times New Roman"/>
          <w:sz w:val="24"/>
        </w:rPr>
        <w:t>b) sākumā iespējamības elementu dēļ radušies gaidāmie zaudējumi ir ļoti lieli, piemēram, gandrīz visi izsniegtie līdzekļi;</w:t>
      </w:r>
    </w:p>
    <w:p w14:paraId="2D556504" w14:textId="77777777" w:rsidR="00443399" w:rsidRPr="00B03B51" w:rsidRDefault="00443399" w:rsidP="00443399">
      <w:pPr>
        <w:pStyle w:val="BodyText"/>
        <w:tabs>
          <w:tab w:val="left" w:pos="1126"/>
        </w:tabs>
        <w:spacing w:before="0"/>
        <w:ind w:left="284" w:firstLine="0"/>
        <w:jc w:val="both"/>
        <w:rPr>
          <w:rFonts w:ascii="Times New Roman" w:hAnsi="Times New Roman" w:cs="Times New Roman"/>
          <w:noProof/>
          <w:sz w:val="24"/>
        </w:rPr>
      </w:pPr>
    </w:p>
    <w:p w14:paraId="40110319" w14:textId="77777777" w:rsidR="00443399" w:rsidRPr="00B03B51" w:rsidRDefault="00443399" w:rsidP="00443399">
      <w:pPr>
        <w:pStyle w:val="BodyText"/>
        <w:tabs>
          <w:tab w:val="left" w:pos="1126"/>
        </w:tabs>
        <w:spacing w:before="0"/>
        <w:ind w:left="284" w:firstLine="0"/>
        <w:jc w:val="both"/>
        <w:rPr>
          <w:rFonts w:ascii="Times New Roman" w:hAnsi="Times New Roman" w:cs="Times New Roman"/>
          <w:noProof/>
          <w:sz w:val="24"/>
        </w:rPr>
      </w:pPr>
      <w:r w:rsidRPr="00B03B51">
        <w:rPr>
          <w:rFonts w:ascii="Times New Roman" w:hAnsi="Times New Roman" w:cs="Times New Roman"/>
          <w:sz w:val="24"/>
        </w:rPr>
        <w:t>c) sākumā iespējamības elementu dēļ radušies gaidāmie zaudējumi ir būtiski, piemēram, liela daļa no izsniegtajiem līdzekļiem.</w:t>
      </w:r>
    </w:p>
    <w:p w14:paraId="67B0BC35" w14:textId="77777777" w:rsidR="00443399" w:rsidRPr="00B03B51" w:rsidRDefault="00443399" w:rsidP="00443399">
      <w:pPr>
        <w:pStyle w:val="BodyText"/>
        <w:tabs>
          <w:tab w:val="left" w:pos="1126"/>
        </w:tabs>
        <w:spacing w:before="0"/>
        <w:ind w:left="0" w:firstLine="0"/>
        <w:jc w:val="both"/>
        <w:rPr>
          <w:rFonts w:ascii="Times New Roman" w:hAnsi="Times New Roman" w:cs="Times New Roman"/>
          <w:noProof/>
          <w:sz w:val="24"/>
        </w:rPr>
      </w:pPr>
    </w:p>
    <w:p w14:paraId="02312D33"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13. Attiecībā uz a) apakšpunkta kategoriju no ienākumiem atkarīgos aizdevumus sākumā var ierakstīt kā aizdevumus, norādot to pilnu vērtību.</w:t>
      </w:r>
    </w:p>
    <w:p w14:paraId="339FBF3E"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12786C78"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14. Attiecībā uz b) apakšpunkta kategoriju no ienākumiem atkarīgos aizdevumus sākumā var ierakstīt kā valdības izdevumus, norādot to pilno vērtību, un turpmākās atmaksas (ja tādas ir) ierakstīt kā valsts ieņēmumus.</w:t>
      </w:r>
    </w:p>
    <w:p w14:paraId="30E5F1E4"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007D7772"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15. Attiecībā uz c) apakšpunkta kategoriju finansējums ir jāsadala daļās. Daļa no valdības piešķirtā finansējuma ir jāieraksta kā aizdevums, t. i., kā finanšu darījums, kas neietekmē valdības neto aizņēmumu/neto aizdevumu (B.9), un daļa kā valdības izdevumi. Summu, ko ieraksta kā valdības izdevumus, provizoriski nosaka, pamatojoties uz iespējamības elementa radītiem gaidāmajiem zaudējumiem un izmantojot atbilstošu diskonta koeficientu, piemēram, aizņēmuma izmaksas valdībai.</w:t>
      </w:r>
    </w:p>
    <w:p w14:paraId="685C0C0E"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2E476568"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 xml:space="preserve">16. Šīs iedaļas 15. punktā minēto pieeju var izmantot visiem no ienākumiem atkarīgajiem </w:t>
      </w:r>
      <w:r w:rsidRPr="00B03B51">
        <w:rPr>
          <w:rFonts w:ascii="Times New Roman" w:hAnsi="Times New Roman" w:cs="Times New Roman"/>
          <w:sz w:val="24"/>
        </w:rPr>
        <w:lastRenderedPageBreak/>
        <w:t>aizdevumiem, t. i., pat tad, ja gaidāmie zaudējumi ir ļoti zemi vai ļoti lieli, ja statistikas iestādes uzskata, ka tā ir vispiemērotākā pieeja.</w:t>
      </w:r>
    </w:p>
    <w:p w14:paraId="040A1071"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1125615F"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17. Ja izrādās, ka nav pietiekamas informācijas, lai apmierinoši noteiktu no ienākumiem atkarīgo aizdevumu portfeļa iespējamos zaudējumus, šādu aizdevumu portfeli parasti ieraksta kā valdības izdevumus (turpmāk ierakstot valdības ieņēmumus, kad debitors veic atmaksu), piemērojot 12. punkta b) apakšpunktā minēto traktējumu. Ja iespējamības vispārējā ietekme varētu būt visai maza, aizdevumu var ierakstīt kā aizdevumu, piemērojot 12. punkta a) apakšpunktā minēto traktējumu, bet tikai tad, ja ir pamatots iemesls to darīt.</w:t>
      </w:r>
    </w:p>
    <w:p w14:paraId="62153454"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62856AE8"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18. Valdības piešķirto no ienākumiem atkarīgo aizdevumu vērtību ietekmē tas, kā mainās aizņēmēja ieņēmumu izredzes, kā arī kā valdības politikā mainās no ienākumiem atkarīgo aizdevumu shēmas raksturlielumi. Ja izredzes mainās tiktāl, ka ir būtiski jāpārvērtē aizdevumu portfeļa (vai attiecīgā apakšportfeļa) gaidāmie zudumi, ir jāieraksta valdības izdevumi (vai negatīvie izdevumi).</w:t>
      </w:r>
      <w:r w:rsidRPr="00B03B51">
        <w:rPr>
          <w:rStyle w:val="FootnoteReference"/>
          <w:rFonts w:ascii="Times New Roman" w:hAnsi="Times New Roman" w:cs="Times New Roman"/>
          <w:noProof/>
          <w:sz w:val="24"/>
        </w:rPr>
        <w:footnoteReference w:id="184"/>
      </w:r>
      <w:r w:rsidRPr="00B03B51">
        <w:rPr>
          <w:rFonts w:ascii="Times New Roman" w:hAnsi="Times New Roman" w:cs="Times New Roman"/>
          <w:sz w:val="24"/>
        </w:rPr>
        <w:t xml:space="preserve"> Ne vienmēr ir nepieciešams ierakstīt valdības izdevumus, kad tiek pārvērtēti gaidāmie zaudējumi regulāri atjaunināto prognožu izmaiņu dēļ, ja izmaiņas nav būtiskas.</w:t>
      </w:r>
    </w:p>
    <w:p w14:paraId="336331CE"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7F7A7869"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19. Dažas valdības aktīvi pārvalda savus aizdevumu portfeļus, pārdodot visus šādus aizdevumus vai to daļu privātiem ieguldītājiem saskaņā ar kārtējā brīža tirgus nosacījumiem. No ienākumiem atkarīgo aizdevumu portfeļa tirgus vērtība var atšķirties no vērtības, kas ierakstīta EKS valdības bilancē:</w:t>
      </w:r>
    </w:p>
    <w:p w14:paraId="186A466A"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401C0422" w14:textId="77777777" w:rsidR="00443399" w:rsidRPr="00B03B51" w:rsidRDefault="00443399" w:rsidP="00443399">
      <w:pPr>
        <w:pStyle w:val="BodyText"/>
        <w:tabs>
          <w:tab w:val="left" w:pos="1126"/>
        </w:tabs>
        <w:spacing w:before="0"/>
        <w:ind w:left="284" w:firstLine="0"/>
        <w:jc w:val="both"/>
        <w:rPr>
          <w:rFonts w:ascii="Times New Roman" w:hAnsi="Times New Roman" w:cs="Times New Roman"/>
          <w:noProof/>
          <w:sz w:val="24"/>
        </w:rPr>
      </w:pPr>
      <w:r w:rsidRPr="00B03B51">
        <w:rPr>
          <w:rFonts w:ascii="Times New Roman" w:hAnsi="Times New Roman" w:cs="Times New Roman"/>
          <w:sz w:val="24"/>
        </w:rPr>
        <w:t>a) attiecībā uz a) kategorijas aizdevumiem starpība ir jāieraksta kā valdības izdevumi;</w:t>
      </w:r>
    </w:p>
    <w:p w14:paraId="0DD76BF7" w14:textId="77777777" w:rsidR="00443399" w:rsidRPr="00B03B51" w:rsidRDefault="00443399" w:rsidP="00443399">
      <w:pPr>
        <w:pStyle w:val="BodyText"/>
        <w:tabs>
          <w:tab w:val="left" w:pos="1126"/>
        </w:tabs>
        <w:spacing w:before="0"/>
        <w:ind w:left="284" w:firstLine="0"/>
        <w:jc w:val="both"/>
        <w:rPr>
          <w:rFonts w:ascii="Times New Roman" w:hAnsi="Times New Roman" w:cs="Times New Roman"/>
          <w:noProof/>
          <w:sz w:val="24"/>
        </w:rPr>
      </w:pPr>
    </w:p>
    <w:p w14:paraId="1C558D84" w14:textId="77777777" w:rsidR="00443399" w:rsidRPr="00B03B51" w:rsidRDefault="00443399" w:rsidP="00443399">
      <w:pPr>
        <w:pStyle w:val="BodyText"/>
        <w:tabs>
          <w:tab w:val="left" w:pos="1126"/>
        </w:tabs>
        <w:spacing w:before="0"/>
        <w:ind w:left="284" w:firstLine="0"/>
        <w:jc w:val="both"/>
        <w:rPr>
          <w:rFonts w:ascii="Times New Roman" w:hAnsi="Times New Roman" w:cs="Times New Roman"/>
          <w:noProof/>
          <w:sz w:val="24"/>
        </w:rPr>
      </w:pPr>
      <w:r w:rsidRPr="00B03B51">
        <w:rPr>
          <w:rFonts w:ascii="Times New Roman" w:hAnsi="Times New Roman" w:cs="Times New Roman"/>
          <w:sz w:val="24"/>
        </w:rPr>
        <w:t>b) attiecībā uz b) kategorijas aizdevumiem pārdošana ir jāieraksta kā valdības aizņēmums;</w:t>
      </w:r>
    </w:p>
    <w:p w14:paraId="1922CFEE" w14:textId="77777777" w:rsidR="00443399" w:rsidRPr="00B03B51" w:rsidRDefault="00443399" w:rsidP="00443399">
      <w:pPr>
        <w:pStyle w:val="BodyText"/>
        <w:tabs>
          <w:tab w:val="left" w:pos="1126"/>
        </w:tabs>
        <w:spacing w:before="0"/>
        <w:ind w:left="284" w:firstLine="0"/>
        <w:jc w:val="both"/>
        <w:rPr>
          <w:rFonts w:ascii="Times New Roman" w:hAnsi="Times New Roman" w:cs="Times New Roman"/>
          <w:noProof/>
          <w:sz w:val="24"/>
        </w:rPr>
      </w:pPr>
    </w:p>
    <w:p w14:paraId="678FA22B" w14:textId="77777777" w:rsidR="00443399" w:rsidRPr="00B03B51" w:rsidRDefault="00443399" w:rsidP="00443399">
      <w:pPr>
        <w:pStyle w:val="BodyText"/>
        <w:tabs>
          <w:tab w:val="left" w:pos="1126"/>
        </w:tabs>
        <w:spacing w:before="0"/>
        <w:ind w:left="284" w:firstLine="0"/>
        <w:jc w:val="both"/>
        <w:rPr>
          <w:rFonts w:ascii="Times New Roman" w:hAnsi="Times New Roman" w:cs="Times New Roman"/>
          <w:noProof/>
          <w:sz w:val="24"/>
        </w:rPr>
      </w:pPr>
      <w:r w:rsidRPr="00B03B51">
        <w:rPr>
          <w:rFonts w:ascii="Times New Roman" w:hAnsi="Times New Roman" w:cs="Times New Roman"/>
          <w:sz w:val="24"/>
        </w:rPr>
        <w:t>c) attiecībā uz c) kategorijas aizdevumiem, ja valdības bilancē ierakstītā vērtība (aizdevuma aktīvs plus uzkrātie procenti) būtiski atšķiras no darījuma kārtējā brīža tirgus cenas, ir jāieraksta papildu kapitāla pārvedums debitora vai valdības labā, lai nodrošinātu, ka atbilstīgi iepriekšējā punktā aprakstītajam tiek pilnībā ietverts no ienākumiem atkarīgā aizdevuma izdevumu/ieņēmumu elements.</w:t>
      </w:r>
    </w:p>
    <w:p w14:paraId="0C4D3B1E"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09E1AC2B"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20. Aizdevumiem, kas ietilpst c) kategorijā, procenti uzkrājas (izmantojot diskonta koeficientu) un tiek pievienoti pamatsummai saskaņā ar EKS noteikumiem, bet tikai tai daļai, kas tiek ierakstīta kā aizdevums. Pamatsummas un procentu atmaksu ieraksta kā instrumenta samazinājumu.</w:t>
      </w:r>
    </w:p>
    <w:p w14:paraId="31969EED" w14:textId="77777777" w:rsidR="00443399" w:rsidRPr="00B03B51" w:rsidRDefault="00443399" w:rsidP="00443399">
      <w:pPr>
        <w:jc w:val="both"/>
        <w:rPr>
          <w:rFonts w:ascii="Times New Roman" w:eastAsia="Arial" w:hAnsi="Times New Roman" w:cs="Times New Roman"/>
          <w:noProof/>
          <w:sz w:val="24"/>
          <w:szCs w:val="19"/>
        </w:rPr>
      </w:pPr>
    </w:p>
    <w:p w14:paraId="7A5BB180" w14:textId="77777777" w:rsidR="00443399" w:rsidRPr="00B03B51" w:rsidRDefault="00443399" w:rsidP="00443399">
      <w:pPr>
        <w:pStyle w:val="Heading3"/>
        <w:tabs>
          <w:tab w:val="left" w:pos="1267"/>
        </w:tabs>
        <w:ind w:left="0" w:firstLine="0"/>
        <w:jc w:val="both"/>
        <w:rPr>
          <w:rFonts w:ascii="Times New Roman" w:hAnsi="Times New Roman" w:cs="Times New Roman"/>
          <w:noProof/>
          <w:sz w:val="24"/>
        </w:rPr>
      </w:pPr>
      <w:bookmarkStart w:id="384" w:name="4.7.3_Rationale_of_the_treatment"/>
      <w:bookmarkStart w:id="385" w:name="_Toc67565142"/>
      <w:bookmarkEnd w:id="384"/>
      <w:r w:rsidRPr="00B03B51">
        <w:rPr>
          <w:rFonts w:ascii="Times New Roman" w:hAnsi="Times New Roman" w:cs="Times New Roman"/>
          <w:sz w:val="24"/>
        </w:rPr>
        <w:t>4.7.3. Traktējuma pamatojums</w:t>
      </w:r>
      <w:bookmarkEnd w:id="385"/>
    </w:p>
    <w:p w14:paraId="2AB57FAD"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0FEFD336"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21. Saskaņā ar EKS 2010 vērtības noteikšanas noteikumiem aizdevumu pārdošanu un norakstīšanu piemēro aizdevumiem, kas atbilst EKS 2010 5.113. punktā minētajām iezīmēm. Tos var piemērot arī no ienākumiem atkarīgajiem aizdevumiem, ja iespējamības elements tikai nedaudz ietekmē valdības izsniegto līdzekļu atmaksu, piemēram, ja neatmaksāto aizdevumu provizoriskais īpatsvars vai līmenis parasti ir zems, proti, 5–10 % robežās. Savukārt, ja sagaidāms, ka iespējamības elementa ietekme ir ļoti liela, proti, 90–95 % robežās, atbilstošāk būtu uzskatīt, ka finansējums ir nevis aizdevums, bet valdības izdevumi (un ieņēmumi, ja tiek saņemta kāda atmaksa).</w:t>
      </w:r>
    </w:p>
    <w:p w14:paraId="7E867D67"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0885E0DE"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22. Ja iespējamības elementa dēļ gaidāmie zaudējumi ir būtiski, visatbilstošāk būtu sadalīt instrumentu tā, lai nacionālajos kontos pareizi parādītu finansējuma faktisko veidu.</w:t>
      </w:r>
    </w:p>
    <w:p w14:paraId="13104F49"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73BE648E"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23. Savukārt, ja sākumā tiek nospriests, ka pieejamā informācija nav pietiekama, lai pienācīgi novērtētu iespējamo atmaksas likmi, no ienākumiem atkarīgo aizdevumu uzskata nevis par aizdevumu, bet kopumā ieraksta kā valdības izdevumus un, ja debitors turpmāk veic atmaksu, to ieraksta kā valdības ieņēmumus. Aizdevumu kā aizdevumu ieraksta vien tad, ja ir pamatots iemesls to darīt.</w:t>
      </w:r>
    </w:p>
    <w:p w14:paraId="6A248EE6"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178AFC60"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24. EKS 2010 20.121. punktā ir precizēts, ka “valdības aizdevumus, kuri, visticamāk, netiks atmaksāti, ieraksta EKS kā kapitāla pārvedumus”. Tas kopumā attiecas uz situāciju, kad iespējamības elements, ja ir pietiekami daudz informācijas, varētu radīt būtiskus zaudējumus, piemēram, 5–10 % līdz 90–95 % robežās no valdības izsniegtajiem finanšu līdzekļiem. Citos gadījumos statistiķi var izlemt ierakstīt izsniegto finanšu līdzekļu kopējo summu kā aizdevumu (ja iespējamības elementa dēļ gaidāmie zaudējumi tikai nedaudz ietekmē atmaksu, piemēram, netiek atmaksāts mazāk par 5–10 %) vai kā kapitāla pārvedumu (ja iespējamības elementa dēļ gaidāmie zaudējumi pārsniedz 90–95 %).</w:t>
      </w:r>
    </w:p>
    <w:p w14:paraId="4A00BB27" w14:textId="77777777" w:rsidR="00443399" w:rsidRPr="00B03B51" w:rsidRDefault="00443399" w:rsidP="00443399">
      <w:pPr>
        <w:rPr>
          <w:rFonts w:ascii="Times New Roman" w:hAnsi="Times New Roman" w:cs="Times New Roman"/>
          <w:noProof/>
          <w:sz w:val="24"/>
        </w:rPr>
      </w:pPr>
      <w:r w:rsidRPr="00B03B51">
        <w:rPr>
          <w:rFonts w:ascii="Times New Roman" w:hAnsi="Times New Roman" w:cs="Times New Roman"/>
        </w:rPr>
        <w:br w:type="page"/>
      </w:r>
    </w:p>
    <w:p w14:paraId="19189D90" w14:textId="77777777" w:rsidR="00443399" w:rsidRPr="00B03B51" w:rsidRDefault="00443399" w:rsidP="00443399">
      <w:pPr>
        <w:jc w:val="both"/>
        <w:rPr>
          <w:rFonts w:ascii="Times New Roman" w:eastAsia="Arial" w:hAnsi="Times New Roman" w:cs="Times New Roman"/>
          <w:noProof/>
          <w:sz w:val="24"/>
          <w:szCs w:val="29"/>
        </w:rPr>
      </w:pPr>
    </w:p>
    <w:p w14:paraId="60616159" w14:textId="77777777" w:rsidR="00443399" w:rsidRPr="00B03B51" w:rsidRDefault="00443399" w:rsidP="00443399">
      <w:pPr>
        <w:pStyle w:val="Heading2"/>
        <w:tabs>
          <w:tab w:val="left" w:pos="1361"/>
        </w:tabs>
        <w:spacing w:before="0"/>
        <w:ind w:left="0" w:firstLine="0"/>
        <w:jc w:val="both"/>
        <w:rPr>
          <w:rFonts w:ascii="Times New Roman" w:hAnsi="Times New Roman" w:cs="Times New Roman"/>
          <w:noProof/>
          <w:sz w:val="28"/>
          <w:szCs w:val="44"/>
        </w:rPr>
      </w:pPr>
      <w:bookmarkStart w:id="386" w:name="4.8_Keywords_and_accounting_references"/>
      <w:bookmarkStart w:id="387" w:name="_bookmark38"/>
      <w:bookmarkStart w:id="388" w:name="_Toc67565143"/>
      <w:bookmarkEnd w:id="386"/>
      <w:bookmarkEnd w:id="387"/>
      <w:r w:rsidRPr="00B03B51">
        <w:rPr>
          <w:rFonts w:ascii="Times New Roman" w:hAnsi="Times New Roman" w:cs="Times New Roman"/>
          <w:sz w:val="28"/>
          <w:szCs w:val="44"/>
        </w:rPr>
        <w:t>4.8. Atslēgvārdi un atsauces</w:t>
      </w:r>
      <w:bookmarkEnd w:id="388"/>
    </w:p>
    <w:p w14:paraId="12E06A7A" w14:textId="77777777" w:rsidR="00443399" w:rsidRPr="00B03B51" w:rsidRDefault="00443399" w:rsidP="00443399">
      <w:pPr>
        <w:jc w:val="both"/>
        <w:rPr>
          <w:rFonts w:ascii="Times New Roman" w:eastAsia="Arial" w:hAnsi="Times New Roman" w:cs="Times New Roman"/>
          <w:b/>
          <w:bCs/>
          <w:noProof/>
          <w:sz w:val="24"/>
          <w:szCs w:val="29"/>
        </w:rPr>
      </w:pPr>
    </w:p>
    <w:tbl>
      <w:tblPr>
        <w:tblW w:w="5000" w:type="pct"/>
        <w:tblCellMar>
          <w:top w:w="28" w:type="dxa"/>
          <w:left w:w="28" w:type="dxa"/>
          <w:bottom w:w="28" w:type="dxa"/>
          <w:right w:w="28" w:type="dxa"/>
        </w:tblCellMar>
        <w:tblLook w:val="01E0" w:firstRow="1" w:lastRow="1" w:firstColumn="1" w:lastColumn="1" w:noHBand="0" w:noVBand="0"/>
      </w:tblPr>
      <w:tblGrid>
        <w:gridCol w:w="4820"/>
        <w:gridCol w:w="4251"/>
      </w:tblGrid>
      <w:tr w:rsidR="00443399" w:rsidRPr="00B03B51" w14:paraId="1E62762A" w14:textId="77777777" w:rsidTr="00500EA4">
        <w:tc>
          <w:tcPr>
            <w:tcW w:w="2657" w:type="pct"/>
            <w:tcBorders>
              <w:top w:val="nil"/>
              <w:left w:val="nil"/>
              <w:bottom w:val="nil"/>
              <w:right w:val="nil"/>
            </w:tcBorders>
          </w:tcPr>
          <w:p w14:paraId="46618750" w14:textId="77777777" w:rsidR="00443399" w:rsidRPr="00B03B51" w:rsidRDefault="00443399" w:rsidP="0054365B">
            <w:pPr>
              <w:pStyle w:val="TableParagraph"/>
              <w:jc w:val="both"/>
              <w:rPr>
                <w:rFonts w:ascii="Times New Roman" w:hAnsi="Times New Roman" w:cs="Times New Roman"/>
                <w:noProof/>
                <w:sz w:val="24"/>
              </w:rPr>
            </w:pPr>
            <w:r w:rsidRPr="00B03B51">
              <w:rPr>
                <w:rFonts w:ascii="Times New Roman" w:hAnsi="Times New Roman" w:cs="Times New Roman"/>
                <w:sz w:val="24"/>
              </w:rPr>
              <w:t>Pārkārtoti darījumi</w:t>
            </w:r>
          </w:p>
        </w:tc>
        <w:tc>
          <w:tcPr>
            <w:tcW w:w="2343" w:type="pct"/>
            <w:tcBorders>
              <w:top w:val="nil"/>
              <w:left w:val="nil"/>
              <w:bottom w:val="nil"/>
              <w:right w:val="nil"/>
            </w:tcBorders>
          </w:tcPr>
          <w:p w14:paraId="2690DC5C" w14:textId="77777777" w:rsidR="00443399" w:rsidRPr="00B03B51" w:rsidRDefault="00443399" w:rsidP="0054365B">
            <w:pPr>
              <w:pStyle w:val="TableParagraph"/>
              <w:jc w:val="both"/>
              <w:rPr>
                <w:rFonts w:ascii="Times New Roman" w:hAnsi="Times New Roman" w:cs="Times New Roman"/>
                <w:noProof/>
                <w:sz w:val="24"/>
              </w:rPr>
            </w:pPr>
            <w:r w:rsidRPr="00B03B51">
              <w:rPr>
                <w:rFonts w:ascii="Times New Roman" w:hAnsi="Times New Roman" w:cs="Times New Roman"/>
                <w:sz w:val="24"/>
              </w:rPr>
              <w:t>EKS 2010 1.73.–1.78. punkts</w:t>
            </w:r>
          </w:p>
        </w:tc>
      </w:tr>
      <w:tr w:rsidR="00443399" w:rsidRPr="00B03B51" w14:paraId="55626BFB" w14:textId="77777777" w:rsidTr="00500EA4">
        <w:tc>
          <w:tcPr>
            <w:tcW w:w="2657" w:type="pct"/>
            <w:tcBorders>
              <w:top w:val="nil"/>
              <w:left w:val="nil"/>
              <w:bottom w:val="nil"/>
              <w:right w:val="nil"/>
            </w:tcBorders>
          </w:tcPr>
          <w:p w14:paraId="425BDA56" w14:textId="77777777" w:rsidR="00443399" w:rsidRPr="00B03B51" w:rsidRDefault="00443399" w:rsidP="0054365B">
            <w:pPr>
              <w:pStyle w:val="TableParagraph"/>
              <w:jc w:val="both"/>
              <w:rPr>
                <w:rFonts w:ascii="Times New Roman" w:hAnsi="Times New Roman" w:cs="Times New Roman"/>
                <w:noProof/>
                <w:sz w:val="24"/>
              </w:rPr>
            </w:pPr>
            <w:r w:rsidRPr="00B03B51">
              <w:rPr>
                <w:rFonts w:ascii="Times New Roman" w:hAnsi="Times New Roman" w:cs="Times New Roman"/>
                <w:sz w:val="24"/>
              </w:rPr>
              <w:t>Pārvirzīšana</w:t>
            </w:r>
          </w:p>
        </w:tc>
        <w:tc>
          <w:tcPr>
            <w:tcW w:w="2343" w:type="pct"/>
            <w:tcBorders>
              <w:top w:val="nil"/>
              <w:left w:val="nil"/>
              <w:bottom w:val="nil"/>
              <w:right w:val="nil"/>
            </w:tcBorders>
          </w:tcPr>
          <w:p w14:paraId="58D3EE1B" w14:textId="77777777" w:rsidR="00443399" w:rsidRPr="00B03B51" w:rsidRDefault="00443399" w:rsidP="0054365B">
            <w:pPr>
              <w:pStyle w:val="TableParagraph"/>
              <w:jc w:val="both"/>
              <w:rPr>
                <w:rFonts w:ascii="Times New Roman" w:hAnsi="Times New Roman" w:cs="Times New Roman"/>
                <w:noProof/>
                <w:sz w:val="24"/>
              </w:rPr>
            </w:pPr>
            <w:r w:rsidRPr="00B03B51">
              <w:rPr>
                <w:rFonts w:ascii="Times New Roman" w:hAnsi="Times New Roman" w:cs="Times New Roman"/>
                <w:sz w:val="24"/>
              </w:rPr>
              <w:t>EKS 2010 1.73.–1.75. punkts</w:t>
            </w:r>
          </w:p>
        </w:tc>
      </w:tr>
      <w:tr w:rsidR="00443399" w:rsidRPr="00B03B51" w14:paraId="7981020B" w14:textId="77777777" w:rsidTr="00500EA4">
        <w:tc>
          <w:tcPr>
            <w:tcW w:w="2657" w:type="pct"/>
            <w:tcBorders>
              <w:top w:val="nil"/>
              <w:left w:val="nil"/>
              <w:bottom w:val="nil"/>
              <w:right w:val="nil"/>
            </w:tcBorders>
          </w:tcPr>
          <w:p w14:paraId="3BD564C9" w14:textId="77777777" w:rsidR="00443399" w:rsidRPr="00B03B51" w:rsidRDefault="00443399" w:rsidP="0054365B">
            <w:pPr>
              <w:pStyle w:val="TableParagraph"/>
              <w:jc w:val="both"/>
              <w:rPr>
                <w:rFonts w:ascii="Times New Roman" w:hAnsi="Times New Roman" w:cs="Times New Roman"/>
                <w:noProof/>
                <w:sz w:val="24"/>
              </w:rPr>
            </w:pPr>
            <w:r w:rsidRPr="00B03B51">
              <w:rPr>
                <w:rFonts w:ascii="Times New Roman" w:hAnsi="Times New Roman" w:cs="Times New Roman"/>
                <w:sz w:val="24"/>
              </w:rPr>
              <w:t>Finanšu starpniecība/starpnieks</w:t>
            </w:r>
          </w:p>
        </w:tc>
        <w:tc>
          <w:tcPr>
            <w:tcW w:w="2343" w:type="pct"/>
            <w:tcBorders>
              <w:top w:val="nil"/>
              <w:left w:val="nil"/>
              <w:bottom w:val="nil"/>
              <w:right w:val="nil"/>
            </w:tcBorders>
          </w:tcPr>
          <w:p w14:paraId="04883C61" w14:textId="77777777" w:rsidR="00443399" w:rsidRPr="00B03B51" w:rsidRDefault="00443399" w:rsidP="0054365B">
            <w:pPr>
              <w:pStyle w:val="TableParagraph"/>
              <w:jc w:val="both"/>
              <w:rPr>
                <w:rFonts w:ascii="Times New Roman" w:hAnsi="Times New Roman" w:cs="Times New Roman"/>
                <w:noProof/>
                <w:sz w:val="24"/>
              </w:rPr>
            </w:pPr>
            <w:r w:rsidRPr="00B03B51">
              <w:rPr>
                <w:rFonts w:ascii="Times New Roman" w:hAnsi="Times New Roman" w:cs="Times New Roman"/>
                <w:sz w:val="24"/>
              </w:rPr>
              <w:t>EKS 2010 2.87.–2.88., 2.61. punkts</w:t>
            </w:r>
          </w:p>
        </w:tc>
      </w:tr>
      <w:tr w:rsidR="00443399" w:rsidRPr="00B03B51" w14:paraId="21D15D00" w14:textId="77777777" w:rsidTr="00500EA4">
        <w:tc>
          <w:tcPr>
            <w:tcW w:w="2657" w:type="pct"/>
            <w:tcBorders>
              <w:top w:val="nil"/>
              <w:left w:val="nil"/>
              <w:bottom w:val="nil"/>
              <w:right w:val="nil"/>
            </w:tcBorders>
          </w:tcPr>
          <w:p w14:paraId="653851A9" w14:textId="77777777" w:rsidR="00443399" w:rsidRPr="00B03B51" w:rsidRDefault="00443399" w:rsidP="0054365B">
            <w:pPr>
              <w:pStyle w:val="TableParagraph"/>
              <w:jc w:val="both"/>
              <w:rPr>
                <w:rFonts w:ascii="Times New Roman" w:hAnsi="Times New Roman" w:cs="Times New Roman"/>
                <w:noProof/>
                <w:sz w:val="24"/>
              </w:rPr>
            </w:pPr>
            <w:r w:rsidRPr="00B03B51">
              <w:rPr>
                <w:rFonts w:ascii="Times New Roman" w:hAnsi="Times New Roman" w:cs="Times New Roman"/>
                <w:sz w:val="24"/>
              </w:rPr>
              <w:t>Cits kapitāla pārvedums</w:t>
            </w:r>
          </w:p>
        </w:tc>
        <w:tc>
          <w:tcPr>
            <w:tcW w:w="2343" w:type="pct"/>
            <w:tcBorders>
              <w:top w:val="nil"/>
              <w:left w:val="nil"/>
              <w:bottom w:val="nil"/>
              <w:right w:val="nil"/>
            </w:tcBorders>
          </w:tcPr>
          <w:p w14:paraId="3CA1AF5D" w14:textId="77777777" w:rsidR="00443399" w:rsidRPr="00B03B51" w:rsidRDefault="00443399" w:rsidP="0054365B">
            <w:pPr>
              <w:pStyle w:val="TableParagraph"/>
              <w:jc w:val="both"/>
              <w:rPr>
                <w:rFonts w:ascii="Times New Roman" w:hAnsi="Times New Roman" w:cs="Times New Roman"/>
                <w:noProof/>
                <w:sz w:val="24"/>
              </w:rPr>
            </w:pPr>
            <w:r w:rsidRPr="00B03B51">
              <w:rPr>
                <w:rFonts w:ascii="Times New Roman" w:hAnsi="Times New Roman" w:cs="Times New Roman"/>
                <w:sz w:val="24"/>
              </w:rPr>
              <w:t>EKS 2010 4.164.–4.167. punkts</w:t>
            </w:r>
          </w:p>
        </w:tc>
      </w:tr>
      <w:tr w:rsidR="00443399" w:rsidRPr="00B03B51" w14:paraId="77FE9BE3" w14:textId="77777777" w:rsidTr="00500EA4">
        <w:tc>
          <w:tcPr>
            <w:tcW w:w="2657" w:type="pct"/>
            <w:tcBorders>
              <w:top w:val="nil"/>
              <w:left w:val="nil"/>
              <w:bottom w:val="nil"/>
              <w:right w:val="nil"/>
            </w:tcBorders>
          </w:tcPr>
          <w:p w14:paraId="77E99726" w14:textId="77777777" w:rsidR="00443399" w:rsidRPr="00B03B51" w:rsidRDefault="00443399" w:rsidP="0054365B">
            <w:pPr>
              <w:pStyle w:val="TableParagraph"/>
              <w:jc w:val="both"/>
              <w:rPr>
                <w:rFonts w:ascii="Times New Roman" w:hAnsi="Times New Roman" w:cs="Times New Roman"/>
                <w:noProof/>
                <w:sz w:val="24"/>
              </w:rPr>
            </w:pPr>
            <w:r w:rsidRPr="00B03B51">
              <w:rPr>
                <w:rFonts w:ascii="Times New Roman" w:hAnsi="Times New Roman" w:cs="Times New Roman"/>
                <w:sz w:val="24"/>
              </w:rPr>
              <w:t>Darījumu novērtējums</w:t>
            </w:r>
          </w:p>
        </w:tc>
        <w:tc>
          <w:tcPr>
            <w:tcW w:w="2343" w:type="pct"/>
            <w:tcBorders>
              <w:top w:val="nil"/>
              <w:left w:val="nil"/>
              <w:bottom w:val="nil"/>
              <w:right w:val="nil"/>
            </w:tcBorders>
          </w:tcPr>
          <w:p w14:paraId="575877F3" w14:textId="77777777" w:rsidR="00443399" w:rsidRPr="00B03B51" w:rsidRDefault="00443399" w:rsidP="0054365B">
            <w:pPr>
              <w:pStyle w:val="TableParagraph"/>
              <w:jc w:val="both"/>
              <w:rPr>
                <w:rFonts w:ascii="Times New Roman" w:hAnsi="Times New Roman" w:cs="Times New Roman"/>
                <w:noProof/>
                <w:sz w:val="24"/>
              </w:rPr>
            </w:pPr>
            <w:r w:rsidRPr="00B03B51">
              <w:rPr>
                <w:rFonts w:ascii="Times New Roman" w:hAnsi="Times New Roman" w:cs="Times New Roman"/>
                <w:sz w:val="24"/>
              </w:rPr>
              <w:t>EKS 2010 5.19.–5.22. punkts</w:t>
            </w:r>
          </w:p>
        </w:tc>
      </w:tr>
      <w:tr w:rsidR="00443399" w:rsidRPr="00B03B51" w14:paraId="21AD34DE" w14:textId="77777777" w:rsidTr="00500EA4">
        <w:tc>
          <w:tcPr>
            <w:tcW w:w="2657" w:type="pct"/>
            <w:tcBorders>
              <w:top w:val="nil"/>
              <w:left w:val="nil"/>
              <w:bottom w:val="nil"/>
              <w:right w:val="nil"/>
            </w:tcBorders>
          </w:tcPr>
          <w:p w14:paraId="7DAF41E8" w14:textId="77777777" w:rsidR="00443399" w:rsidRPr="00B03B51" w:rsidRDefault="00443399" w:rsidP="0054365B">
            <w:pPr>
              <w:pStyle w:val="TableParagraph"/>
              <w:jc w:val="both"/>
              <w:rPr>
                <w:rFonts w:ascii="Times New Roman" w:hAnsi="Times New Roman" w:cs="Times New Roman"/>
                <w:noProof/>
                <w:sz w:val="24"/>
              </w:rPr>
            </w:pPr>
            <w:r w:rsidRPr="00B03B51">
              <w:rPr>
                <w:rFonts w:ascii="Times New Roman" w:hAnsi="Times New Roman" w:cs="Times New Roman"/>
                <w:sz w:val="24"/>
              </w:rPr>
              <w:t>Aktīvu novērtējums</w:t>
            </w:r>
          </w:p>
        </w:tc>
        <w:tc>
          <w:tcPr>
            <w:tcW w:w="2343" w:type="pct"/>
            <w:tcBorders>
              <w:top w:val="nil"/>
              <w:left w:val="nil"/>
              <w:bottom w:val="nil"/>
              <w:right w:val="nil"/>
            </w:tcBorders>
          </w:tcPr>
          <w:p w14:paraId="47805798" w14:textId="77777777" w:rsidR="00443399" w:rsidRPr="00B03B51" w:rsidRDefault="00443399" w:rsidP="0054365B">
            <w:pPr>
              <w:pStyle w:val="TableParagraph"/>
              <w:jc w:val="both"/>
              <w:rPr>
                <w:rFonts w:ascii="Times New Roman" w:hAnsi="Times New Roman" w:cs="Times New Roman"/>
                <w:noProof/>
                <w:sz w:val="24"/>
              </w:rPr>
            </w:pPr>
            <w:r w:rsidRPr="00B03B51">
              <w:rPr>
                <w:rFonts w:ascii="Times New Roman" w:hAnsi="Times New Roman" w:cs="Times New Roman"/>
                <w:sz w:val="24"/>
              </w:rPr>
              <w:t>EKS 2010 7.33.–7.41., 7.61. punkts</w:t>
            </w:r>
          </w:p>
        </w:tc>
      </w:tr>
    </w:tbl>
    <w:p w14:paraId="6BF91225" w14:textId="77777777" w:rsidR="00443399" w:rsidRPr="00B03B51" w:rsidRDefault="00443399" w:rsidP="00443399">
      <w:pPr>
        <w:rPr>
          <w:rFonts w:ascii="Times New Roman" w:eastAsia="Arial" w:hAnsi="Times New Roman" w:cs="Times New Roman"/>
          <w:b/>
          <w:bCs/>
          <w:noProof/>
          <w:sz w:val="24"/>
          <w:szCs w:val="20"/>
        </w:rPr>
      </w:pPr>
      <w:r w:rsidRPr="00B03B51">
        <w:rPr>
          <w:rFonts w:ascii="Times New Roman" w:hAnsi="Times New Roman" w:cs="Times New Roman"/>
        </w:rPr>
        <w:br w:type="page"/>
      </w:r>
    </w:p>
    <w:p w14:paraId="4D3A0C6D" w14:textId="77777777" w:rsidR="00443399" w:rsidRPr="00B03B51" w:rsidRDefault="00443399" w:rsidP="00443399">
      <w:pPr>
        <w:jc w:val="both"/>
        <w:rPr>
          <w:rFonts w:ascii="Times New Roman" w:eastAsia="Arial" w:hAnsi="Times New Roman" w:cs="Times New Roman"/>
          <w:b/>
          <w:bCs/>
          <w:noProof/>
          <w:sz w:val="24"/>
          <w:szCs w:val="26"/>
        </w:rPr>
      </w:pPr>
    </w:p>
    <w:p w14:paraId="46FB9C85" w14:textId="77777777" w:rsidR="00443399" w:rsidRPr="00B03B51" w:rsidRDefault="00443399" w:rsidP="00443399">
      <w:pPr>
        <w:pStyle w:val="Heading1"/>
        <w:ind w:left="0"/>
        <w:jc w:val="both"/>
        <w:rPr>
          <w:rFonts w:ascii="Times New Roman" w:hAnsi="Times New Roman" w:cs="Times New Roman"/>
          <w:b w:val="0"/>
          <w:bCs w:val="0"/>
          <w:noProof/>
          <w:sz w:val="28"/>
          <w:szCs w:val="72"/>
        </w:rPr>
      </w:pPr>
      <w:bookmarkStart w:id="389" w:name="_Toc67565144"/>
      <w:r w:rsidRPr="00B03B51">
        <w:rPr>
          <w:rFonts w:ascii="Times New Roman" w:hAnsi="Times New Roman" w:cs="Times New Roman"/>
          <w:sz w:val="28"/>
          <w:szCs w:val="72"/>
        </w:rPr>
        <w:t>5. Aktīvu pārdošana</w:t>
      </w:r>
      <w:bookmarkEnd w:id="389"/>
    </w:p>
    <w:p w14:paraId="3DB07BE0" w14:textId="77777777" w:rsidR="00443399" w:rsidRPr="00B03B51" w:rsidRDefault="00443399" w:rsidP="00443399">
      <w:pPr>
        <w:jc w:val="both"/>
        <w:rPr>
          <w:rFonts w:ascii="Times New Roman" w:eastAsia="Arial" w:hAnsi="Times New Roman" w:cs="Times New Roman"/>
          <w:b/>
          <w:bCs/>
          <w:noProof/>
          <w:sz w:val="24"/>
          <w:szCs w:val="20"/>
        </w:rPr>
      </w:pPr>
    </w:p>
    <w:p w14:paraId="5B4DE304" w14:textId="77777777" w:rsidR="00443399" w:rsidRPr="00B03B51" w:rsidRDefault="00443399" w:rsidP="00443399">
      <w:pPr>
        <w:pStyle w:val="Heading2"/>
        <w:spacing w:before="0"/>
        <w:ind w:left="0" w:firstLine="0"/>
        <w:jc w:val="both"/>
        <w:rPr>
          <w:rFonts w:ascii="Times New Roman" w:hAnsi="Times New Roman" w:cs="Times New Roman"/>
          <w:noProof/>
          <w:sz w:val="28"/>
          <w:szCs w:val="44"/>
        </w:rPr>
      </w:pPr>
      <w:bookmarkStart w:id="390" w:name="5.1_Overview"/>
      <w:bookmarkStart w:id="391" w:name="_bookmark40"/>
      <w:bookmarkStart w:id="392" w:name="_Toc67565145"/>
      <w:bookmarkEnd w:id="390"/>
      <w:bookmarkEnd w:id="391"/>
      <w:r w:rsidRPr="00B03B51">
        <w:rPr>
          <w:rFonts w:ascii="Times New Roman" w:hAnsi="Times New Roman" w:cs="Times New Roman"/>
          <w:sz w:val="28"/>
          <w:szCs w:val="44"/>
        </w:rPr>
        <w:t>5.1. Pārskats</w:t>
      </w:r>
      <w:bookmarkEnd w:id="392"/>
    </w:p>
    <w:p w14:paraId="560B0544" w14:textId="77777777" w:rsidR="00443399" w:rsidRPr="00B03B51" w:rsidRDefault="00443399" w:rsidP="00443399">
      <w:pPr>
        <w:pStyle w:val="BodyText"/>
        <w:tabs>
          <w:tab w:val="left" w:pos="1986"/>
        </w:tabs>
        <w:spacing w:before="0"/>
        <w:ind w:left="0" w:firstLine="0"/>
        <w:jc w:val="both"/>
        <w:rPr>
          <w:rFonts w:ascii="Times New Roman" w:hAnsi="Times New Roman" w:cs="Times New Roman"/>
          <w:noProof/>
          <w:sz w:val="24"/>
        </w:rPr>
      </w:pPr>
    </w:p>
    <w:p w14:paraId="7FD5E25B" w14:textId="77777777" w:rsidR="00443399" w:rsidRPr="00B03B51" w:rsidRDefault="00443399" w:rsidP="00443399">
      <w:pPr>
        <w:pStyle w:val="BodyText"/>
        <w:tabs>
          <w:tab w:val="left" w:pos="1986"/>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 Valdības pārdod finanšu un nefinanšu aktīvus, lai piesaistītu naudas līdzekļus vai optimizētu savu aktīvu apmēru. Valdības var arī novirzīt ieņēmumu plūsmas vai uzņemties turpmākās saistības veikt maksājumus apmaiņā pret pašreiz saņemtu skaidru naudu. Lielākajā daļā gadījumu nacionālajos kontos aktīva pārdošanu ieraksta kā pārdošanu par attiecīgā darījuma summu.</w:t>
      </w:r>
    </w:p>
    <w:p w14:paraId="4B59C966" w14:textId="77777777" w:rsidR="00443399" w:rsidRPr="00B03B51" w:rsidRDefault="00443399" w:rsidP="00443399">
      <w:pPr>
        <w:pStyle w:val="BodyText"/>
        <w:tabs>
          <w:tab w:val="left" w:pos="1986"/>
        </w:tabs>
        <w:spacing w:before="0"/>
        <w:ind w:left="0" w:firstLine="0"/>
        <w:jc w:val="both"/>
        <w:rPr>
          <w:rFonts w:ascii="Times New Roman" w:hAnsi="Times New Roman" w:cs="Times New Roman"/>
          <w:noProof/>
          <w:sz w:val="24"/>
        </w:rPr>
      </w:pPr>
    </w:p>
    <w:p w14:paraId="4E903023" w14:textId="77777777" w:rsidR="00443399" w:rsidRPr="00B03B51" w:rsidRDefault="00443399" w:rsidP="00443399">
      <w:pPr>
        <w:pStyle w:val="BodyText"/>
        <w:tabs>
          <w:tab w:val="left" w:pos="1986"/>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2. Tomēr pastāv daži sarežģītāki gadījumi, jo īpaši tad, ja:</w:t>
      </w:r>
    </w:p>
    <w:p w14:paraId="0C937FA4" w14:textId="77777777" w:rsidR="00443399" w:rsidRPr="00B03B51" w:rsidRDefault="00443399" w:rsidP="00443399">
      <w:pPr>
        <w:pStyle w:val="BodyText"/>
        <w:tabs>
          <w:tab w:val="left" w:pos="1986"/>
        </w:tabs>
        <w:spacing w:before="0"/>
        <w:ind w:left="0" w:firstLine="0"/>
        <w:jc w:val="both"/>
        <w:rPr>
          <w:rFonts w:ascii="Times New Roman" w:hAnsi="Times New Roman" w:cs="Times New Roman"/>
          <w:noProof/>
          <w:sz w:val="24"/>
        </w:rPr>
      </w:pPr>
    </w:p>
    <w:p w14:paraId="119470A7" w14:textId="77777777" w:rsidR="00443399" w:rsidRPr="00B03B51" w:rsidRDefault="00443399" w:rsidP="00500EA4">
      <w:pPr>
        <w:pStyle w:val="BodyText"/>
        <w:numPr>
          <w:ilvl w:val="3"/>
          <w:numId w:val="61"/>
        </w:numPr>
        <w:spacing w:before="0"/>
        <w:ind w:left="426" w:hanging="425"/>
        <w:jc w:val="both"/>
        <w:rPr>
          <w:rFonts w:ascii="Times New Roman" w:hAnsi="Times New Roman" w:cs="Times New Roman"/>
          <w:noProof/>
          <w:sz w:val="24"/>
        </w:rPr>
      </w:pPr>
      <w:r w:rsidRPr="00B03B51">
        <w:rPr>
          <w:rFonts w:ascii="Times New Roman" w:hAnsi="Times New Roman" w:cs="Times New Roman"/>
          <w:sz w:val="24"/>
        </w:rPr>
        <w:t>pārdošana notiek ar publisku sabiedrību starpniecību;</w:t>
      </w:r>
    </w:p>
    <w:p w14:paraId="06B26162" w14:textId="77777777" w:rsidR="00443399" w:rsidRPr="00B03B51" w:rsidRDefault="00443399" w:rsidP="00500EA4">
      <w:pPr>
        <w:pStyle w:val="BodyText"/>
        <w:numPr>
          <w:ilvl w:val="3"/>
          <w:numId w:val="61"/>
        </w:numPr>
        <w:spacing w:before="0"/>
        <w:ind w:left="426" w:hanging="425"/>
        <w:jc w:val="both"/>
        <w:rPr>
          <w:rFonts w:ascii="Times New Roman" w:hAnsi="Times New Roman" w:cs="Times New Roman"/>
          <w:noProof/>
          <w:sz w:val="24"/>
        </w:rPr>
      </w:pPr>
      <w:r w:rsidRPr="00B03B51">
        <w:rPr>
          <w:rFonts w:ascii="Times New Roman" w:hAnsi="Times New Roman" w:cs="Times New Roman"/>
          <w:sz w:val="24"/>
        </w:rPr>
        <w:t>ekonomiskie riski un priekšrocības netiek pilnīgi nodotas (nav “īsta pārdošana”);</w:t>
      </w:r>
    </w:p>
    <w:p w14:paraId="044E8E40" w14:textId="77777777" w:rsidR="00443399" w:rsidRPr="00B03B51" w:rsidRDefault="00443399" w:rsidP="00500EA4">
      <w:pPr>
        <w:pStyle w:val="BodyText"/>
        <w:numPr>
          <w:ilvl w:val="3"/>
          <w:numId w:val="61"/>
        </w:numPr>
        <w:spacing w:before="0"/>
        <w:ind w:left="426" w:hanging="425"/>
        <w:jc w:val="both"/>
        <w:rPr>
          <w:rFonts w:ascii="Times New Roman" w:hAnsi="Times New Roman" w:cs="Times New Roman"/>
          <w:noProof/>
          <w:sz w:val="24"/>
        </w:rPr>
      </w:pPr>
      <w:r w:rsidRPr="00B03B51">
        <w:rPr>
          <w:rFonts w:ascii="Times New Roman" w:hAnsi="Times New Roman" w:cs="Times New Roman"/>
          <w:sz w:val="24"/>
        </w:rPr>
        <w:t>valdība par pārdošanu nesaņem atlīdzību naudā vai arī saņemtā summa atšķiras no pārdoto aktīvu tirgus/patiesās vērtības;</w:t>
      </w:r>
    </w:p>
    <w:p w14:paraId="54B3CFB7" w14:textId="77777777" w:rsidR="00443399" w:rsidRPr="00B03B51" w:rsidRDefault="00443399" w:rsidP="00500EA4">
      <w:pPr>
        <w:pStyle w:val="BodyText"/>
        <w:numPr>
          <w:ilvl w:val="3"/>
          <w:numId w:val="61"/>
        </w:numPr>
        <w:spacing w:before="0"/>
        <w:ind w:left="426" w:hanging="425"/>
        <w:jc w:val="both"/>
        <w:rPr>
          <w:rFonts w:ascii="Times New Roman" w:hAnsi="Times New Roman" w:cs="Times New Roman"/>
          <w:noProof/>
          <w:sz w:val="24"/>
        </w:rPr>
      </w:pPr>
      <w:r w:rsidRPr="00B03B51">
        <w:rPr>
          <w:rFonts w:ascii="Times New Roman" w:hAnsi="Times New Roman" w:cs="Times New Roman"/>
          <w:sz w:val="24"/>
        </w:rPr>
        <w:t>šķietami pārdotais aktīvs nacionālajos kontos nav ierakstīts valdības bilancē.</w:t>
      </w:r>
    </w:p>
    <w:p w14:paraId="11348E9A" w14:textId="77777777" w:rsidR="00443399" w:rsidRPr="00B03B51" w:rsidRDefault="00443399" w:rsidP="00443399">
      <w:pPr>
        <w:pStyle w:val="BodyText"/>
        <w:tabs>
          <w:tab w:val="left" w:pos="1986"/>
        </w:tabs>
        <w:spacing w:before="0"/>
        <w:ind w:left="0" w:firstLine="0"/>
        <w:jc w:val="both"/>
        <w:rPr>
          <w:rFonts w:ascii="Times New Roman" w:hAnsi="Times New Roman" w:cs="Times New Roman"/>
          <w:noProof/>
          <w:sz w:val="24"/>
        </w:rPr>
      </w:pPr>
    </w:p>
    <w:p w14:paraId="284F6BBC" w14:textId="77777777" w:rsidR="00443399" w:rsidRPr="00B03B51" w:rsidRDefault="00443399" w:rsidP="00443399">
      <w:pPr>
        <w:pStyle w:val="BodyText"/>
        <w:tabs>
          <w:tab w:val="left" w:pos="1986"/>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3. Turpmāk sniegtajos norādījumos galvenie piemērotie principi ir ekonomiskās būtības (nevis juridiskās formas) ierakstīšana, ekonomisko īpašumtiesību jēdziens, finanšu un nefinanšu plūsmu nošķiršana un ienākuma jēdziena ietveršana nacionālajos kontos.</w:t>
      </w:r>
    </w:p>
    <w:p w14:paraId="09E4D135" w14:textId="77777777" w:rsidR="00443399" w:rsidRPr="00B03B51" w:rsidRDefault="00443399" w:rsidP="00443399">
      <w:pPr>
        <w:rPr>
          <w:rFonts w:ascii="Times New Roman" w:hAnsi="Times New Roman" w:cs="Times New Roman"/>
          <w:noProof/>
          <w:sz w:val="24"/>
        </w:rPr>
      </w:pPr>
      <w:r w:rsidRPr="00B03B51">
        <w:rPr>
          <w:rFonts w:ascii="Times New Roman" w:hAnsi="Times New Roman" w:cs="Times New Roman"/>
        </w:rPr>
        <w:br w:type="page"/>
      </w:r>
    </w:p>
    <w:p w14:paraId="2A3AA3CA" w14:textId="77777777" w:rsidR="00443399" w:rsidRPr="00B03B51" w:rsidRDefault="00443399" w:rsidP="00443399">
      <w:pPr>
        <w:jc w:val="both"/>
        <w:rPr>
          <w:rFonts w:ascii="Times New Roman" w:eastAsia="Arial" w:hAnsi="Times New Roman" w:cs="Times New Roman"/>
          <w:noProof/>
          <w:sz w:val="24"/>
          <w:szCs w:val="29"/>
        </w:rPr>
      </w:pPr>
    </w:p>
    <w:p w14:paraId="26AA4571" w14:textId="77777777" w:rsidR="00443399" w:rsidRPr="00B03B51" w:rsidRDefault="00443399" w:rsidP="00443399">
      <w:pPr>
        <w:pStyle w:val="Heading2"/>
        <w:tabs>
          <w:tab w:val="left" w:pos="1135"/>
        </w:tabs>
        <w:spacing w:before="0"/>
        <w:ind w:left="0" w:firstLine="0"/>
        <w:jc w:val="both"/>
        <w:rPr>
          <w:rFonts w:ascii="Times New Roman" w:hAnsi="Times New Roman" w:cs="Times New Roman"/>
          <w:noProof/>
          <w:sz w:val="28"/>
          <w:szCs w:val="44"/>
        </w:rPr>
      </w:pPr>
      <w:bookmarkStart w:id="393" w:name="5.2_Sales_of_financial_and_non-financial"/>
      <w:bookmarkStart w:id="394" w:name="_bookmark41"/>
      <w:bookmarkStart w:id="395" w:name="_Toc67565146"/>
      <w:bookmarkEnd w:id="393"/>
      <w:bookmarkEnd w:id="394"/>
      <w:r w:rsidRPr="00B03B51">
        <w:rPr>
          <w:rFonts w:ascii="Times New Roman" w:hAnsi="Times New Roman" w:cs="Times New Roman"/>
          <w:sz w:val="28"/>
          <w:szCs w:val="44"/>
        </w:rPr>
        <w:t>5.2. Finanšu un nefinanšu aktīvu pārdošana</w:t>
      </w:r>
      <w:bookmarkEnd w:id="395"/>
    </w:p>
    <w:p w14:paraId="6D36B758" w14:textId="77777777" w:rsidR="00443399" w:rsidRPr="00B03B51" w:rsidRDefault="00443399" w:rsidP="00443399">
      <w:pPr>
        <w:tabs>
          <w:tab w:val="left" w:pos="1267"/>
        </w:tabs>
        <w:jc w:val="both"/>
        <w:rPr>
          <w:rFonts w:ascii="Times New Roman" w:hAnsi="Times New Roman" w:cs="Times New Roman"/>
          <w:b/>
          <w:noProof/>
          <w:sz w:val="24"/>
        </w:rPr>
      </w:pPr>
      <w:bookmarkStart w:id="396" w:name="5.2.1_Background"/>
      <w:bookmarkEnd w:id="396"/>
    </w:p>
    <w:p w14:paraId="6724AD1E" w14:textId="77777777" w:rsidR="00443399" w:rsidRPr="00B03B51" w:rsidRDefault="00443399" w:rsidP="00443399">
      <w:pPr>
        <w:pStyle w:val="Heading3"/>
        <w:tabs>
          <w:tab w:val="left" w:pos="1267"/>
        </w:tabs>
        <w:ind w:left="0" w:firstLine="0"/>
        <w:jc w:val="both"/>
        <w:rPr>
          <w:rFonts w:ascii="Times New Roman" w:hAnsi="Times New Roman" w:cs="Times New Roman"/>
          <w:sz w:val="24"/>
        </w:rPr>
      </w:pPr>
      <w:bookmarkStart w:id="397" w:name="_Toc67565147"/>
      <w:r w:rsidRPr="00B03B51">
        <w:rPr>
          <w:rFonts w:ascii="Times New Roman" w:hAnsi="Times New Roman" w:cs="Times New Roman"/>
          <w:sz w:val="24"/>
        </w:rPr>
        <w:t>5.2.1. Vispārīga informācija</w:t>
      </w:r>
      <w:bookmarkEnd w:id="397"/>
    </w:p>
    <w:p w14:paraId="0512455F"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28FC0F73"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 Parasti privatizācija nozīmē vispārējās valdības atteikšanos no kontroles pār publisku uzņēmumu, realizējot savas uzņēmuma akcijas un citu pašu kapitālu. Tomēr šis formulējums ietver ko vairāk nekā tikai minēto darbību – tas attiecas arī uz plašāku gadījumu, kad vispārējā valdība pārdod uzņēmumu akcijas un citu pašu kapitālu un šiem uzņēmumiem nav obligāti jābūt tās kontrolē vai gadījumā, ja uzņēmumi atrodas tās kontrolē, tai nav obligāti jāatsakās no šādas kontroles. Šādu pārdošanu var veikt tieši vai netieši. Šeit ir apspriesta arī nefinanšu aktīvu pārdošana.</w:t>
      </w:r>
    </w:p>
    <w:p w14:paraId="68E9829F"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6144F16A"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2. Var izšķirt četrus gadījumus:</w:t>
      </w:r>
    </w:p>
    <w:p w14:paraId="2CEE5FAD" w14:textId="77777777" w:rsidR="00443399" w:rsidRPr="00B03B51" w:rsidRDefault="00443399" w:rsidP="00443399">
      <w:pPr>
        <w:pStyle w:val="BodyText"/>
        <w:tabs>
          <w:tab w:val="left" w:pos="1126"/>
        </w:tabs>
        <w:spacing w:before="0"/>
        <w:ind w:left="0" w:firstLine="0"/>
        <w:jc w:val="both"/>
        <w:rPr>
          <w:rFonts w:ascii="Times New Roman" w:hAnsi="Times New Roman" w:cs="Times New Roman"/>
          <w:noProof/>
          <w:sz w:val="24"/>
        </w:rPr>
      </w:pPr>
    </w:p>
    <w:p w14:paraId="4FD94677" w14:textId="77777777" w:rsidR="00443399" w:rsidRPr="00B03B51" w:rsidRDefault="00443399" w:rsidP="00443399">
      <w:pPr>
        <w:pStyle w:val="BodyText"/>
        <w:tabs>
          <w:tab w:val="left" w:pos="1126"/>
        </w:tabs>
        <w:spacing w:before="0"/>
        <w:ind w:left="284" w:firstLine="0"/>
        <w:jc w:val="both"/>
        <w:rPr>
          <w:rFonts w:ascii="Times New Roman" w:hAnsi="Times New Roman" w:cs="Times New Roman"/>
          <w:noProof/>
          <w:sz w:val="24"/>
        </w:rPr>
      </w:pPr>
      <w:r w:rsidRPr="00B03B51">
        <w:rPr>
          <w:rFonts w:ascii="Times New Roman" w:hAnsi="Times New Roman" w:cs="Times New Roman"/>
          <w:sz w:val="24"/>
        </w:rPr>
        <w:t>a) valdība pārdod kāda uzņēmuma akcijas vai citu pašu kapitālu. To uzskata par “tiešu” pārdošanu;</w:t>
      </w:r>
    </w:p>
    <w:p w14:paraId="5D711C2B" w14:textId="77777777" w:rsidR="00443399" w:rsidRPr="00B03B51" w:rsidRDefault="00443399" w:rsidP="00443399">
      <w:pPr>
        <w:pStyle w:val="BodyText"/>
        <w:tabs>
          <w:tab w:val="left" w:pos="1126"/>
        </w:tabs>
        <w:spacing w:before="0"/>
        <w:ind w:left="284" w:firstLine="0"/>
        <w:jc w:val="both"/>
        <w:rPr>
          <w:rFonts w:ascii="Times New Roman" w:hAnsi="Times New Roman" w:cs="Times New Roman"/>
          <w:noProof/>
          <w:sz w:val="24"/>
        </w:rPr>
      </w:pPr>
    </w:p>
    <w:p w14:paraId="57528EC3" w14:textId="77777777" w:rsidR="00443399" w:rsidRPr="00B03B51" w:rsidRDefault="00443399" w:rsidP="00443399">
      <w:pPr>
        <w:pStyle w:val="BodyText"/>
        <w:tabs>
          <w:tab w:val="left" w:pos="1126"/>
        </w:tabs>
        <w:spacing w:before="0"/>
        <w:ind w:left="284" w:firstLine="0"/>
        <w:jc w:val="both"/>
        <w:rPr>
          <w:rFonts w:ascii="Times New Roman" w:hAnsi="Times New Roman" w:cs="Times New Roman"/>
          <w:noProof/>
          <w:sz w:val="24"/>
        </w:rPr>
      </w:pPr>
      <w:r w:rsidRPr="00B03B51">
        <w:rPr>
          <w:rFonts w:ascii="Times New Roman" w:hAnsi="Times New Roman" w:cs="Times New Roman"/>
          <w:sz w:val="24"/>
        </w:rPr>
        <w:t>b) pieņemsim, ka valdībai pieder uzņēmums A, kas pārdod akcijas vai citu pašu kapitālu uzņēmumā B un nodod valdībai pārdošanas ieņēmumus. Šādu gadījumu uzskata par valdības veiktu “netiešu” finanšu aktīvu pārdošanu;</w:t>
      </w:r>
    </w:p>
    <w:p w14:paraId="153BB352" w14:textId="77777777" w:rsidR="00443399" w:rsidRPr="00B03B51" w:rsidRDefault="00443399" w:rsidP="00443399">
      <w:pPr>
        <w:pStyle w:val="BodyText"/>
        <w:tabs>
          <w:tab w:val="left" w:pos="1126"/>
        </w:tabs>
        <w:spacing w:before="0"/>
        <w:ind w:left="284" w:firstLine="0"/>
        <w:jc w:val="both"/>
        <w:rPr>
          <w:rFonts w:ascii="Times New Roman" w:hAnsi="Times New Roman" w:cs="Times New Roman"/>
          <w:noProof/>
          <w:sz w:val="24"/>
        </w:rPr>
      </w:pPr>
    </w:p>
    <w:p w14:paraId="2E5B1A85" w14:textId="77777777" w:rsidR="00443399" w:rsidRPr="00B03B51" w:rsidRDefault="00443399" w:rsidP="00443399">
      <w:pPr>
        <w:pStyle w:val="BodyText"/>
        <w:tabs>
          <w:tab w:val="left" w:pos="1126"/>
        </w:tabs>
        <w:spacing w:before="0"/>
        <w:ind w:left="284" w:firstLine="0"/>
        <w:jc w:val="both"/>
        <w:rPr>
          <w:rFonts w:ascii="Times New Roman" w:hAnsi="Times New Roman" w:cs="Times New Roman"/>
          <w:noProof/>
          <w:sz w:val="24"/>
        </w:rPr>
      </w:pPr>
      <w:r w:rsidRPr="00B03B51">
        <w:rPr>
          <w:rFonts w:ascii="Times New Roman" w:hAnsi="Times New Roman" w:cs="Times New Roman"/>
          <w:sz w:val="24"/>
        </w:rPr>
        <w:t>c) valdība pārdod nefinanšu aktīvus. To uzskata par “tiešu” nefinanšu aktīvu pārdošanu;</w:t>
      </w:r>
    </w:p>
    <w:p w14:paraId="78152FF6" w14:textId="77777777" w:rsidR="00443399" w:rsidRPr="00B03B51" w:rsidRDefault="00443399" w:rsidP="00443399">
      <w:pPr>
        <w:pStyle w:val="BodyText"/>
        <w:tabs>
          <w:tab w:val="left" w:pos="1126"/>
        </w:tabs>
        <w:spacing w:before="0"/>
        <w:ind w:left="284" w:firstLine="0"/>
        <w:jc w:val="both"/>
        <w:rPr>
          <w:rFonts w:ascii="Times New Roman" w:hAnsi="Times New Roman" w:cs="Times New Roman"/>
          <w:noProof/>
          <w:sz w:val="24"/>
        </w:rPr>
      </w:pPr>
    </w:p>
    <w:p w14:paraId="5FDDF3CA" w14:textId="77777777" w:rsidR="00443399" w:rsidRPr="00B03B51" w:rsidRDefault="00443399" w:rsidP="00443399">
      <w:pPr>
        <w:pStyle w:val="BodyText"/>
        <w:tabs>
          <w:tab w:val="left" w:pos="1126"/>
        </w:tabs>
        <w:spacing w:before="0"/>
        <w:ind w:left="284" w:firstLine="0"/>
        <w:jc w:val="both"/>
        <w:rPr>
          <w:rFonts w:ascii="Times New Roman" w:hAnsi="Times New Roman" w:cs="Times New Roman"/>
          <w:noProof/>
          <w:sz w:val="24"/>
        </w:rPr>
      </w:pPr>
      <w:r w:rsidRPr="00B03B51">
        <w:rPr>
          <w:rFonts w:ascii="Times New Roman" w:hAnsi="Times New Roman" w:cs="Times New Roman"/>
          <w:sz w:val="24"/>
        </w:rPr>
        <w:t>d) valdībai pieder uzņēmums A, kurš pārdod nefinanšu aktīvus un pārdošanas ieņēmumus nodod valdībai. Šādu gadījumu uzskata par valdības veiktu “netiešu” nefinanšu aktīvu pārdošanu.</w:t>
      </w:r>
    </w:p>
    <w:p w14:paraId="60DE7D4C"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5279C28C"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3. Līdzekļus, kurus uzņēmums ir ieguvis netiešās pārdošanas rezultātā, valdībai var nodot ne tikai kā skaidru naudu, bet arī citādi. Piemēram, tas var notikt kā tādu naudas summu izpirkums, kuras uzņēmums ir parādā valdībai. Turpmāk ir aplūkota tikai likvīdu aktīvu piešķiršana, tomēr šis pieņēmums nemaina piedāvātos traktējumus.</w:t>
      </w:r>
    </w:p>
    <w:p w14:paraId="24294AF4" w14:textId="77777777" w:rsidR="00443399" w:rsidRPr="00B03B51" w:rsidRDefault="00443399" w:rsidP="00443399">
      <w:pPr>
        <w:jc w:val="both"/>
        <w:rPr>
          <w:rFonts w:ascii="Times New Roman" w:eastAsia="Arial" w:hAnsi="Times New Roman" w:cs="Times New Roman"/>
          <w:noProof/>
          <w:sz w:val="24"/>
          <w:szCs w:val="19"/>
        </w:rPr>
      </w:pPr>
    </w:p>
    <w:p w14:paraId="5F2D412A" w14:textId="77777777" w:rsidR="00443399" w:rsidRPr="00B03B51" w:rsidRDefault="00443399" w:rsidP="00443399">
      <w:pPr>
        <w:pStyle w:val="Heading3"/>
        <w:tabs>
          <w:tab w:val="left" w:pos="1267"/>
        </w:tabs>
        <w:ind w:left="0" w:firstLine="0"/>
        <w:jc w:val="both"/>
        <w:rPr>
          <w:rFonts w:ascii="Times New Roman" w:hAnsi="Times New Roman" w:cs="Times New Roman"/>
          <w:sz w:val="24"/>
        </w:rPr>
      </w:pPr>
      <w:bookmarkStart w:id="398" w:name="5.2.2_Treatment_in_national_accounts"/>
      <w:bookmarkStart w:id="399" w:name="_Toc67565148"/>
      <w:bookmarkEnd w:id="398"/>
      <w:r w:rsidRPr="00B03B51">
        <w:rPr>
          <w:rFonts w:ascii="Times New Roman" w:hAnsi="Times New Roman" w:cs="Times New Roman"/>
          <w:sz w:val="24"/>
        </w:rPr>
        <w:t>5.2.2. Traktējums nacionālajos kontos</w:t>
      </w:r>
      <w:bookmarkEnd w:id="399"/>
    </w:p>
    <w:p w14:paraId="6629CFE2" w14:textId="77777777" w:rsidR="00443399" w:rsidRPr="00BE27DC" w:rsidRDefault="00443399" w:rsidP="00BE27DC">
      <w:pPr>
        <w:rPr>
          <w:rFonts w:ascii="Times New Roman" w:hAnsi="Times New Roman" w:cs="Times New Roman"/>
          <w:noProof/>
          <w:sz w:val="24"/>
          <w:szCs w:val="24"/>
        </w:rPr>
      </w:pPr>
      <w:bookmarkStart w:id="400" w:name="5.2.2.1_Direct_sale_of_financial_assets"/>
      <w:bookmarkEnd w:id="400"/>
    </w:p>
    <w:p w14:paraId="6D18F2F5" w14:textId="77777777" w:rsidR="00443399" w:rsidRPr="00B03B51" w:rsidRDefault="00443399" w:rsidP="00443399">
      <w:pPr>
        <w:pStyle w:val="Heading6"/>
        <w:tabs>
          <w:tab w:val="left" w:pos="1267"/>
        </w:tabs>
        <w:ind w:left="0" w:firstLine="0"/>
        <w:jc w:val="both"/>
        <w:rPr>
          <w:rFonts w:ascii="Times New Roman" w:hAnsi="Times New Roman" w:cs="Times New Roman"/>
          <w:noProof/>
          <w:sz w:val="24"/>
        </w:rPr>
      </w:pPr>
      <w:r w:rsidRPr="00B03B51">
        <w:rPr>
          <w:rFonts w:ascii="Times New Roman" w:hAnsi="Times New Roman" w:cs="Times New Roman"/>
          <w:sz w:val="24"/>
        </w:rPr>
        <w:t>5.2.2.1. FINANŠU AKTĪVU TIEŠA PĀRDOŠANA</w:t>
      </w:r>
    </w:p>
    <w:p w14:paraId="712D8362"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7A163378"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4. Finanšu aktīvu tieša pārdošana ir pilnīgi jāieraksta vispārējās valdības un iesaistītā uzņēmuma finanšu kontos: tā ir akciju vai cita pašu kapitāla izņemšana (F.5) no uzņēmuma, kas daļēji vai pilnīgi ir piederējis valdībai, ar pretvērtības ierakstu par finanšu aktīva palielināšanu (galvenokārt likvīdi aktīvi (F.2)). Tas neietekmē vispārējās valdības neto aizdevumu/aizņēmumu (B.9).</w:t>
      </w:r>
    </w:p>
    <w:p w14:paraId="40C17FF3" w14:textId="77777777" w:rsidR="00443399" w:rsidRPr="00B03B51" w:rsidRDefault="00443399" w:rsidP="00443399">
      <w:pPr>
        <w:jc w:val="both"/>
        <w:rPr>
          <w:rFonts w:ascii="Times New Roman" w:eastAsia="Arial" w:hAnsi="Times New Roman" w:cs="Times New Roman"/>
          <w:noProof/>
          <w:sz w:val="24"/>
          <w:szCs w:val="15"/>
        </w:rPr>
      </w:pPr>
    </w:p>
    <w:p w14:paraId="5A5662C5" w14:textId="77777777" w:rsidR="00443399" w:rsidRPr="00B03B51" w:rsidRDefault="00443399" w:rsidP="00443399">
      <w:pPr>
        <w:pStyle w:val="Heading6"/>
        <w:tabs>
          <w:tab w:val="left" w:pos="1267"/>
        </w:tabs>
        <w:ind w:left="0" w:firstLine="0"/>
        <w:jc w:val="both"/>
        <w:rPr>
          <w:rFonts w:ascii="Times New Roman" w:hAnsi="Times New Roman" w:cs="Times New Roman"/>
          <w:noProof/>
          <w:sz w:val="24"/>
        </w:rPr>
      </w:pPr>
      <w:bookmarkStart w:id="401" w:name="5.2.2.2_Indirect_sale_of_financial_asset"/>
      <w:bookmarkEnd w:id="401"/>
      <w:r w:rsidRPr="00B03B51">
        <w:rPr>
          <w:rFonts w:ascii="Times New Roman" w:hAnsi="Times New Roman" w:cs="Times New Roman"/>
          <w:sz w:val="24"/>
        </w:rPr>
        <w:t>5.2.2.2. FINANŠU AKTĪVU NETIEŠA PĀRDOŠANA</w:t>
      </w:r>
    </w:p>
    <w:p w14:paraId="3F180312"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173AABC6"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 xml:space="preserve">5. Arī finanšu aktīvu netieša pārdošana ir jāieraksta vispārējās valdības un iepriekš minētā uzņēmuma A finanšu kontos: tā ir akciju vai cita pašu kapitāla izņemšana no uzņēmuma A, veicot pretvērtības ierakstu finanšu aktīva palielināšanai. Tas jāievēro neatkarīgi no tā, vai uzņēmums A savai īpašniecei, t. i., valstij, nodod visus pārdošanas ieņēmumus vai to daļu. Finanšu aktīvu netieša pārdošana neietekmē vispārējās valdības neto aizdevumu/aizņēmumu </w:t>
      </w:r>
      <w:r w:rsidRPr="00B03B51">
        <w:rPr>
          <w:rFonts w:ascii="Times New Roman" w:hAnsi="Times New Roman" w:cs="Times New Roman"/>
          <w:sz w:val="24"/>
        </w:rPr>
        <w:lastRenderedPageBreak/>
        <w:t>(B.9).</w:t>
      </w:r>
    </w:p>
    <w:p w14:paraId="40DC836D" w14:textId="77777777" w:rsidR="00443399" w:rsidRPr="00B03B51" w:rsidRDefault="00443399" w:rsidP="00443399">
      <w:pPr>
        <w:jc w:val="both"/>
        <w:rPr>
          <w:rFonts w:ascii="Times New Roman" w:eastAsia="Arial" w:hAnsi="Times New Roman" w:cs="Times New Roman"/>
          <w:noProof/>
          <w:sz w:val="24"/>
          <w:szCs w:val="15"/>
        </w:rPr>
      </w:pPr>
    </w:p>
    <w:p w14:paraId="66AAC4C9" w14:textId="77777777" w:rsidR="00443399" w:rsidRPr="00B03B51" w:rsidRDefault="00443399" w:rsidP="00443399">
      <w:pPr>
        <w:pStyle w:val="Heading6"/>
        <w:tabs>
          <w:tab w:val="left" w:pos="1267"/>
        </w:tabs>
        <w:ind w:left="0" w:firstLine="0"/>
        <w:jc w:val="both"/>
        <w:rPr>
          <w:rFonts w:ascii="Times New Roman" w:hAnsi="Times New Roman" w:cs="Times New Roman"/>
          <w:noProof/>
          <w:sz w:val="24"/>
        </w:rPr>
      </w:pPr>
      <w:bookmarkStart w:id="402" w:name="5.2.2.3_Direct_sale_of_non-financial_ass"/>
      <w:bookmarkEnd w:id="402"/>
      <w:r w:rsidRPr="00B03B51">
        <w:rPr>
          <w:rFonts w:ascii="Times New Roman" w:hAnsi="Times New Roman" w:cs="Times New Roman"/>
          <w:sz w:val="24"/>
        </w:rPr>
        <w:t>5.2.2.3. NEFINANŠU AKTĪVU TIEŠA PĀRDOŠANA</w:t>
      </w:r>
    </w:p>
    <w:p w14:paraId="404C4B34"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49EDF137"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6. Nefinanšu aktīvu tieša pārdošana jāieraksta vispārējās valdības kapitāla kontā: tā ir nefinanšu aktīvu realizācija, kas pozitīvi ietekmē vispārējās valdības neto aizdevumu/aizņēmumu (B.9). Par nefinanšu aktīviem uzskata pamatlīdzekļus, inventāru, dārgmetālus, zemi vai citus neražotus nefinanšu aktīvus.</w:t>
      </w:r>
    </w:p>
    <w:p w14:paraId="484BB754" w14:textId="77777777" w:rsidR="00443399" w:rsidRPr="00B03B51" w:rsidRDefault="00443399" w:rsidP="00443399">
      <w:pPr>
        <w:jc w:val="both"/>
        <w:rPr>
          <w:rFonts w:ascii="Times New Roman" w:eastAsia="Arial" w:hAnsi="Times New Roman" w:cs="Times New Roman"/>
          <w:noProof/>
          <w:sz w:val="24"/>
          <w:szCs w:val="15"/>
        </w:rPr>
      </w:pPr>
    </w:p>
    <w:p w14:paraId="1BC4DE05" w14:textId="77777777" w:rsidR="00443399" w:rsidRPr="00B03B51" w:rsidRDefault="00443399" w:rsidP="00443399">
      <w:pPr>
        <w:pStyle w:val="Heading6"/>
        <w:tabs>
          <w:tab w:val="left" w:pos="1267"/>
        </w:tabs>
        <w:ind w:left="0" w:firstLine="0"/>
        <w:jc w:val="both"/>
        <w:rPr>
          <w:rFonts w:ascii="Times New Roman" w:hAnsi="Times New Roman" w:cs="Times New Roman"/>
          <w:noProof/>
          <w:sz w:val="24"/>
        </w:rPr>
      </w:pPr>
      <w:bookmarkStart w:id="403" w:name="5.2.2.4_Indirect_sale_of_non-financial_a"/>
      <w:bookmarkEnd w:id="403"/>
      <w:r w:rsidRPr="00B03B51">
        <w:rPr>
          <w:rFonts w:ascii="Times New Roman" w:hAnsi="Times New Roman" w:cs="Times New Roman"/>
          <w:sz w:val="24"/>
        </w:rPr>
        <w:t>5.2.2.4. NEFINANŠU AKTĪVU NETIEŠA PĀRDOŠANA</w:t>
      </w:r>
    </w:p>
    <w:p w14:paraId="6A862AC0"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3822E5C9"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7. Nefinanšu aktīvu netiešu pārdošanu vispārējās valdības kontos ieraksta kā finanšu darījumu: tā ir akciju vai cita pašu kapitāla izņemšana no uzņēmuma A, kas daļēji vai pilnīgi ir piederējis valdībai, attiecībā uz saņemtajiem līdzekļiem veicot pretvērtības ierakstu par finanšu aktīva palielināšanu.</w:t>
      </w:r>
    </w:p>
    <w:p w14:paraId="2DD62849" w14:textId="77777777" w:rsidR="00443399" w:rsidRPr="00B03B51" w:rsidRDefault="00443399" w:rsidP="00443399">
      <w:pPr>
        <w:jc w:val="both"/>
        <w:rPr>
          <w:rFonts w:ascii="Times New Roman" w:hAnsi="Times New Roman" w:cs="Times New Roman"/>
          <w:noProof/>
          <w:sz w:val="24"/>
        </w:rPr>
      </w:pPr>
    </w:p>
    <w:p w14:paraId="0BD45150" w14:textId="77777777" w:rsidR="00443399" w:rsidRPr="00B03B51" w:rsidRDefault="00443399" w:rsidP="00443399">
      <w:pPr>
        <w:pStyle w:val="Heading6"/>
        <w:tabs>
          <w:tab w:val="left" w:pos="1267"/>
        </w:tabs>
        <w:ind w:left="0" w:firstLine="0"/>
        <w:jc w:val="both"/>
        <w:rPr>
          <w:rFonts w:ascii="Times New Roman" w:hAnsi="Times New Roman" w:cs="Times New Roman"/>
          <w:noProof/>
          <w:sz w:val="24"/>
        </w:rPr>
      </w:pPr>
      <w:bookmarkStart w:id="404" w:name="5.2.2.5_Time_of_recording,_amounts_to_be"/>
      <w:bookmarkEnd w:id="404"/>
      <w:r w:rsidRPr="00B03B51">
        <w:rPr>
          <w:rFonts w:ascii="Times New Roman" w:hAnsi="Times New Roman" w:cs="Times New Roman"/>
          <w:sz w:val="24"/>
        </w:rPr>
        <w:t>5.2.2.5. IERAKSTĪŠANAS LAIKS, IERAKSTĀMĀS SUMMAS</w:t>
      </w:r>
    </w:p>
    <w:p w14:paraId="6B4026E7"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172158A4"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8. Vispārējās valdības kontos:</w:t>
      </w:r>
    </w:p>
    <w:p w14:paraId="755254A1"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7285A882" w14:textId="77777777" w:rsidR="00443399" w:rsidRPr="00B03B51" w:rsidRDefault="00443399" w:rsidP="00500EA4">
      <w:pPr>
        <w:pStyle w:val="BodyText"/>
        <w:numPr>
          <w:ilvl w:val="0"/>
          <w:numId w:val="60"/>
        </w:numPr>
        <w:spacing w:before="0"/>
        <w:ind w:left="426" w:hanging="425"/>
        <w:jc w:val="both"/>
        <w:rPr>
          <w:rFonts w:ascii="Times New Roman" w:hAnsi="Times New Roman" w:cs="Times New Roman"/>
          <w:noProof/>
          <w:sz w:val="24"/>
        </w:rPr>
      </w:pPr>
      <w:r w:rsidRPr="00B03B51">
        <w:rPr>
          <w:rFonts w:ascii="Times New Roman" w:hAnsi="Times New Roman" w:cs="Times New Roman"/>
          <w:sz w:val="24"/>
        </w:rPr>
        <w:t>tiešas pārdošanas gadījumā darījumus ieraksta tad, kad notiek ekonomisko īpašumtiesību maiņa;</w:t>
      </w:r>
    </w:p>
    <w:p w14:paraId="0C9E8588" w14:textId="77777777" w:rsidR="00443399" w:rsidRPr="00B03B51" w:rsidRDefault="00443399" w:rsidP="00500EA4">
      <w:pPr>
        <w:pStyle w:val="BodyText"/>
        <w:numPr>
          <w:ilvl w:val="0"/>
          <w:numId w:val="60"/>
        </w:numPr>
        <w:spacing w:before="0"/>
        <w:ind w:left="426" w:hanging="425"/>
        <w:jc w:val="both"/>
        <w:rPr>
          <w:rFonts w:ascii="Times New Roman" w:hAnsi="Times New Roman" w:cs="Times New Roman"/>
          <w:noProof/>
          <w:sz w:val="24"/>
        </w:rPr>
      </w:pPr>
      <w:r w:rsidRPr="00B03B51">
        <w:rPr>
          <w:rFonts w:ascii="Times New Roman" w:hAnsi="Times New Roman" w:cs="Times New Roman"/>
          <w:sz w:val="24"/>
        </w:rPr>
        <w:t>netiešo pārdevumu gadījumos – tad, kad pārdošanas ieņēmumi tiek atmaksāti vispārējai valdībai.</w:t>
      </w:r>
    </w:p>
    <w:p w14:paraId="38756116"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0A1A690E"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9. Ieraksta pilnas pārdošanas ieņēmumu summas (netiešas pārdošanas gadījumā atņemot jebkādas uzņēmuma īpašnieka paturētās summas) tā, kā tās ir samaksājuši pircēji: aktīvu pārdošanas gadījumā tās atbilst darījuma vērtībai atbilstīgi tam, kā noteikts EKS 2010 5.19. punktā.</w:t>
      </w:r>
    </w:p>
    <w:p w14:paraId="323CEC51"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6642BC09"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10. Netiešas pārdošanas gadījumā ir iespējams, ka darījuma pušu iekšējā grāmatvedībā visus ieņēmumus vai dažas to daļas ieraksta kā dividendes, nodokļus vai cita veida plūsmu. Tomēr nacionālajos kontos tos ieraksta kā finanšu darījumus.</w:t>
      </w:r>
    </w:p>
    <w:p w14:paraId="29349297"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60E88538"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11. Ja valdībai daļēji atmaksā netiešas pārdošanas ieņēmumus, pilno maksājumu valdībai traktē kā finanšu darījumu. Praksē šādas pārdošanas nolūkā valdībai var būt jāizmanto finanšu starpnieku pakalpojumi vai citi nefinanšu pakalpojumi. Tas īpaši attiecas uz privatizāciju. Šādu pakalpojumu izmaksas ieraksta kā starpposma patēriņu. Ja tos faktiski apmaksā no pārdošanas ieņēmumiem (samazinot valdībai pārskaitāmo summu), aprēķinu veic tā, lai kopējos pārdošanas ieņēmumus ierakstītu pirms pakalpojuma maksas ieturēšanas. Protams, ja maksājumus veic vispārējai valdībai, piemēram, kā dividendes vai nodokļus, papildus aktīvu pārdošanas ieņēmumiem, tie attiecīgā gadījumā jāieraksta konkrētajos nefinanšu darījumos.</w:t>
      </w:r>
    </w:p>
    <w:p w14:paraId="534B916E"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15170BDF"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12. Gadījums, kad daļu no pārdošanas ieņēmumiem patur uzņēmums A, ir apspriests turpmāk 5.3. nodaļā “Privatizācijas ieņēmumi no publiskām sabiedrībām”.</w:t>
      </w:r>
    </w:p>
    <w:p w14:paraId="302F147F"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1932259B"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 xml:space="preserve">13. Šeit apspriestie netiešas pārdošanas gadījumi ir aktīvu pārdošana par ievērojamu summu, kas tiek atmaksāta atpakaļ vispārējai valdībai. Bieži vien šāda pārdošana ir daļa no valdības noteikta privatizācijas plāna. Tomēr uzņēmumi savas parastās darbības gaitā var pārdot dažus aktīvus un tādējādi realizēt noteiktu kapitāla pieaugumu. Šāds kapitāla pieaugums varētu tikt nodots vispārējai valdībai ar dividenžu vai īpašu nodokļu starpniecību tā, ka aktīvu pārdošanā </w:t>
      </w:r>
      <w:r w:rsidRPr="00B03B51">
        <w:rPr>
          <w:rFonts w:ascii="Times New Roman" w:hAnsi="Times New Roman" w:cs="Times New Roman"/>
          <w:sz w:val="24"/>
        </w:rPr>
        <w:lastRenderedPageBreak/>
        <w:t>gūtie ieņēmumi kļūst par daļu no valdības ieņēmumiem. Iespējamās grūtības iegūt informāciju nedrīkst būt par iemeslu tam, lai šādas plūsmas netiktu ierakstītas kā finanšu plūsmas visos gadījumos, kad tiek gūti samērā ievērojami pārdošanas ieņēmumi.</w:t>
      </w:r>
    </w:p>
    <w:p w14:paraId="33D95A24" w14:textId="77777777" w:rsidR="00443399" w:rsidRPr="00B03B51" w:rsidRDefault="00443399" w:rsidP="00443399">
      <w:pPr>
        <w:jc w:val="both"/>
        <w:rPr>
          <w:rFonts w:ascii="Times New Roman" w:eastAsia="Arial" w:hAnsi="Times New Roman" w:cs="Times New Roman"/>
          <w:noProof/>
          <w:sz w:val="24"/>
          <w:szCs w:val="18"/>
        </w:rPr>
      </w:pPr>
    </w:p>
    <w:p w14:paraId="3463DEB6" w14:textId="77777777" w:rsidR="00443399" w:rsidRPr="00B03B51" w:rsidRDefault="00443399" w:rsidP="00443399">
      <w:pPr>
        <w:pStyle w:val="Heading3"/>
        <w:tabs>
          <w:tab w:val="left" w:pos="1267"/>
        </w:tabs>
        <w:ind w:left="0" w:firstLine="0"/>
        <w:jc w:val="both"/>
        <w:rPr>
          <w:rFonts w:ascii="Times New Roman" w:hAnsi="Times New Roman" w:cs="Times New Roman"/>
          <w:noProof/>
          <w:sz w:val="24"/>
        </w:rPr>
      </w:pPr>
      <w:bookmarkStart w:id="405" w:name="5.2.3_Rationale_of_the_treatment"/>
      <w:bookmarkStart w:id="406" w:name="_Toc67565149"/>
      <w:bookmarkEnd w:id="405"/>
      <w:r w:rsidRPr="00B03B51">
        <w:rPr>
          <w:rFonts w:ascii="Times New Roman" w:hAnsi="Times New Roman" w:cs="Times New Roman"/>
          <w:sz w:val="24"/>
        </w:rPr>
        <w:t>5.2.3. Traktējuma pamatojums</w:t>
      </w:r>
      <w:bookmarkEnd w:id="406"/>
    </w:p>
    <w:p w14:paraId="7663B877"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6AA8B0F4"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14. Noteikumu pamatojums attiecībā uz tiešo pārdošanu ir vienkāršs. Finanšu aktīvu pārdošanas noteikumi izriet no finanšu darījumu definīcijas (EKS 2010 5.01. un 5.02. punkts) un finanšu kontu definīcijas (EKS 2010 8.50. punkts). Būtībā, kad valdības bilancē notiek viena finanšu aktīva tieša apmaiņa pret citu finanšu aktīvu, nenotiek ne bagātības, ne ienākuma plūsmas pārmaiņas. Nefinanšu aktīvu pārdošanas noteikumi izriet no attiecīgo aktīvu realizācijas definīcijas un kapitāla konta definīcijas (EKS 2010, 8.46. punkts).</w:t>
      </w:r>
    </w:p>
    <w:p w14:paraId="64996711"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6C13DCA0"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15. Netiešās pārdošanas traktējuma pamatā, pirmkārt, ir fakts, ka pārdošanas ieņēmumu maksājums nav ienākuma pārvedums, bet ir bagātības/aktīvu pārvedums. Tomēr to nevar uzskatīt par kapitāla pārvedumu; šādu traktējumu nepieļauj cita kapitāla pārveduma definīcija (EKS 2010, 4.165. punkts). Turklāt šajos gadījumos maksājumus veic tikai tāpēc, ka valdībai ir īpašumtiesības uz iesaistītajiem uzņēmumiem.</w:t>
      </w:r>
    </w:p>
    <w:p w14:paraId="5103E414" w14:textId="77777777" w:rsidR="00443399" w:rsidRPr="00B03B51" w:rsidRDefault="00443399" w:rsidP="00443399">
      <w:pPr>
        <w:tabs>
          <w:tab w:val="left" w:pos="843"/>
        </w:tabs>
        <w:jc w:val="both"/>
        <w:rPr>
          <w:rFonts w:ascii="Times New Roman" w:hAnsi="Times New Roman" w:cs="Times New Roman"/>
          <w:noProof/>
          <w:sz w:val="24"/>
        </w:rPr>
      </w:pPr>
    </w:p>
    <w:p w14:paraId="1D51BA25" w14:textId="77777777" w:rsidR="00443399" w:rsidRPr="00B03B51" w:rsidRDefault="00443399" w:rsidP="00443399">
      <w:pPr>
        <w:tabs>
          <w:tab w:val="left" w:pos="843"/>
        </w:tabs>
        <w:jc w:val="both"/>
        <w:rPr>
          <w:rFonts w:ascii="Times New Roman" w:eastAsia="Arial" w:hAnsi="Times New Roman" w:cs="Times New Roman"/>
          <w:noProof/>
          <w:sz w:val="24"/>
          <w:szCs w:val="19"/>
        </w:rPr>
      </w:pPr>
      <w:r w:rsidRPr="00B03B51">
        <w:rPr>
          <w:rFonts w:ascii="Times New Roman" w:hAnsi="Times New Roman" w:cs="Times New Roman"/>
          <w:sz w:val="24"/>
        </w:rPr>
        <w:t xml:space="preserve">16. Šis ir pamatojums kapitāla pārvedumu neiekļaušanai privatizācijas ieņēmumu maksājumā, kā norādīts EKS 2010 4.165. punkta g) apakšpunktā: </w:t>
      </w:r>
      <w:r w:rsidRPr="00B03B51">
        <w:rPr>
          <w:rFonts w:ascii="Times New Roman" w:hAnsi="Times New Roman" w:cs="Times New Roman"/>
          <w:i/>
          <w:iCs/>
          <w:sz w:val="24"/>
        </w:rPr>
        <w:t>Tomēr pretējos darījumus netieši veiktiem (piemēram, izmantojot kontrolakciju sabiedrību) privatizācijas ieņēmumu pārvedumiem vispārējai valdībai ieraksta kā finanšu darījumus ar pašu kapitālu un ieguldījumu fondu apliecībām vai daļām (F.5), un tie neietekmē vispārējās valdības neto aizdevumu/neto aizņēmumu līmeni.</w:t>
      </w:r>
    </w:p>
    <w:p w14:paraId="635EDFFA"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49C35F0C"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17. Pārdošanas ienākumu atmaksāšana valdībai samazina uzņēmuma A aktīvus. Tas atbilst sabiedrības daļējai likvidēšanai, jo tā samazina savu neto vērtību, kam jāatspoguļojas (samazinājums) valdībai piederošā sabiedrības pašu kapitāla vērtībā. Šis netiešās privatizācijas traktējums ir jāpiemēro attiecībā uz jebkuru gadījumu, kad sabiedrība pārdod finanšu vai nefinanšu aktīvu.</w:t>
      </w:r>
    </w:p>
    <w:p w14:paraId="67223868" w14:textId="77777777" w:rsidR="00443399" w:rsidRPr="00B03B51" w:rsidRDefault="00443399" w:rsidP="00443399">
      <w:pPr>
        <w:jc w:val="both"/>
        <w:rPr>
          <w:rFonts w:ascii="Times New Roman" w:hAnsi="Times New Roman" w:cs="Times New Roman"/>
          <w:noProof/>
          <w:sz w:val="24"/>
        </w:rPr>
      </w:pPr>
    </w:p>
    <w:p w14:paraId="26DAE0F3"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18. Dividendes jēdziens nacionālajos kontos ir nepārprotams – tas ir īpašuma ienākums. Dividendēm jārodas no ienākuma plūsmām, nevis no aktīvu pārdošanas vai pārvērtēšanas. Ienākuma sadalīšana nedrīkst samazināt uzņēmuma neto bagātību / neto aktīvus. Īpašniekiem var sadalīt ienākumus no uzņēmējdarbības (EKS 2010 8.26.–8.28. punkts).</w:t>
      </w:r>
    </w:p>
    <w:p w14:paraId="35F484B9" w14:textId="77777777" w:rsidR="00443399" w:rsidRPr="00B03B51" w:rsidRDefault="00443399" w:rsidP="00443399">
      <w:pPr>
        <w:jc w:val="both"/>
        <w:rPr>
          <w:rFonts w:ascii="Times New Roman" w:eastAsia="Arial" w:hAnsi="Times New Roman" w:cs="Times New Roman"/>
          <w:noProof/>
          <w:sz w:val="24"/>
          <w:szCs w:val="18"/>
        </w:rPr>
      </w:pPr>
    </w:p>
    <w:p w14:paraId="00947AC3" w14:textId="77777777" w:rsidR="00443399" w:rsidRPr="00B03B51" w:rsidRDefault="00443399" w:rsidP="00443399">
      <w:pPr>
        <w:pStyle w:val="Heading3"/>
        <w:tabs>
          <w:tab w:val="left" w:pos="1267"/>
        </w:tabs>
        <w:ind w:left="0" w:firstLine="0"/>
        <w:jc w:val="both"/>
        <w:rPr>
          <w:rFonts w:ascii="Times New Roman" w:hAnsi="Times New Roman" w:cs="Times New Roman"/>
          <w:noProof/>
          <w:sz w:val="24"/>
        </w:rPr>
      </w:pPr>
      <w:bookmarkStart w:id="407" w:name="5.2.4_Accounting_examples"/>
      <w:bookmarkStart w:id="408" w:name="_Toc67565150"/>
      <w:bookmarkEnd w:id="407"/>
      <w:r w:rsidRPr="00B03B51">
        <w:rPr>
          <w:rFonts w:ascii="Times New Roman" w:hAnsi="Times New Roman" w:cs="Times New Roman"/>
          <w:sz w:val="24"/>
        </w:rPr>
        <w:t>5.2.4. Uzskaites piemēri</w:t>
      </w:r>
      <w:bookmarkEnd w:id="408"/>
    </w:p>
    <w:p w14:paraId="5B363E3D" w14:textId="77777777" w:rsidR="00443399" w:rsidRPr="00B03B51" w:rsidRDefault="00443399" w:rsidP="00443399">
      <w:pPr>
        <w:pStyle w:val="BodyText"/>
        <w:spacing w:before="0"/>
        <w:ind w:left="0" w:firstLine="0"/>
        <w:jc w:val="both"/>
        <w:rPr>
          <w:rFonts w:ascii="Times New Roman" w:hAnsi="Times New Roman" w:cs="Times New Roman"/>
          <w:noProof/>
          <w:sz w:val="24"/>
        </w:rPr>
      </w:pPr>
    </w:p>
    <w:p w14:paraId="4AFE9B3A" w14:textId="77777777" w:rsidR="00443399" w:rsidRPr="00B03B51" w:rsidRDefault="00443399" w:rsidP="00443399">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t>Visos turpmāk sniegtajos piemēros pārdošanas pretvērtības plūsma ir darījums ar valūtu un noguldījumiem (AF.2). Uzņēmumu, kura akcijas vai citu pašu kapitālu pārdod vispārējā valdība vai no kura tā saņem šādus pārdošanas ieņēmumus, dēvē par publisku uzņēmumu.</w:t>
      </w:r>
    </w:p>
    <w:p w14:paraId="2495E90C" w14:textId="77777777" w:rsidR="00443399" w:rsidRPr="00B03B51" w:rsidRDefault="00443399" w:rsidP="00443399">
      <w:pPr>
        <w:jc w:val="both"/>
        <w:rPr>
          <w:rFonts w:ascii="Times New Roman" w:eastAsia="Arial" w:hAnsi="Times New Roman" w:cs="Times New Roman"/>
          <w:noProof/>
          <w:sz w:val="24"/>
          <w:szCs w:val="18"/>
        </w:rPr>
      </w:pPr>
    </w:p>
    <w:p w14:paraId="261A3732" w14:textId="77777777" w:rsidR="00443399" w:rsidRPr="00B03B51" w:rsidRDefault="00443399" w:rsidP="00443399">
      <w:pPr>
        <w:keepNext/>
        <w:jc w:val="both"/>
        <w:rPr>
          <w:rFonts w:ascii="Times New Roman" w:hAnsi="Times New Roman" w:cs="Times New Roman"/>
          <w:b/>
          <w:noProof/>
          <w:sz w:val="24"/>
        </w:rPr>
      </w:pPr>
      <w:r w:rsidRPr="00B03B51">
        <w:rPr>
          <w:rFonts w:ascii="Times New Roman" w:hAnsi="Times New Roman" w:cs="Times New Roman"/>
          <w:b/>
          <w:sz w:val="24"/>
        </w:rPr>
        <w:lastRenderedPageBreak/>
        <w:t>Finanšu aktīvu tieša pārdošana</w:t>
      </w:r>
    </w:p>
    <w:p w14:paraId="56C437BA" w14:textId="77777777" w:rsidR="00443399" w:rsidRPr="00B03B51" w:rsidRDefault="00443399" w:rsidP="00443399">
      <w:pPr>
        <w:keepNext/>
        <w:jc w:val="both"/>
        <w:rPr>
          <w:rFonts w:ascii="Times New Roman" w:eastAsia="Arial" w:hAnsi="Times New Roman" w:cs="Times New Roman"/>
          <w:b/>
          <w:bCs/>
          <w:noProof/>
          <w:sz w:val="24"/>
          <w:szCs w:val="20"/>
        </w:rPr>
      </w:pPr>
    </w:p>
    <w:p w14:paraId="409ACE1C" w14:textId="77777777" w:rsidR="00443399" w:rsidRPr="00B03B51" w:rsidRDefault="00443399" w:rsidP="00443399">
      <w:pPr>
        <w:keepNext/>
        <w:jc w:val="center"/>
        <w:rPr>
          <w:rFonts w:ascii="Times New Roman" w:eastAsia="Arial" w:hAnsi="Times New Roman" w:cs="Times New Roman"/>
          <w:b/>
          <w:bCs/>
          <w:noProof/>
          <w:sz w:val="24"/>
          <w:szCs w:val="21"/>
        </w:rPr>
      </w:pPr>
      <w:r w:rsidRPr="00B03B51">
        <w:rPr>
          <w:rFonts w:ascii="Times New Roman" w:hAnsi="Times New Roman" w:cs="Times New Roman"/>
          <w:noProof/>
        </w:rPr>
        <w:drawing>
          <wp:inline distT="0" distB="0" distL="0" distR="0" wp14:anchorId="4971E5BD" wp14:editId="31875209">
            <wp:extent cx="5756275" cy="2713990"/>
            <wp:effectExtent l="0" t="0" r="0" b="0"/>
            <wp:docPr id="120" name="Attēls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0"/>
                    <a:stretch>
                      <a:fillRect/>
                    </a:stretch>
                  </pic:blipFill>
                  <pic:spPr>
                    <a:xfrm>
                      <a:off x="0" y="0"/>
                      <a:ext cx="5756275" cy="2713990"/>
                    </a:xfrm>
                    <a:prstGeom prst="rect">
                      <a:avLst/>
                    </a:prstGeom>
                  </pic:spPr>
                </pic:pic>
              </a:graphicData>
            </a:graphic>
          </wp:inline>
        </w:drawing>
      </w:r>
    </w:p>
    <w:p w14:paraId="0DE1E576" w14:textId="77777777" w:rsidR="00443399" w:rsidRPr="00B03B51" w:rsidRDefault="00443399" w:rsidP="00443399">
      <w:pPr>
        <w:jc w:val="both"/>
        <w:rPr>
          <w:rFonts w:ascii="Times New Roman" w:eastAsia="Arial" w:hAnsi="Times New Roman" w:cs="Times New Roman"/>
          <w:b/>
          <w:bCs/>
          <w:noProof/>
          <w:sz w:val="24"/>
          <w:szCs w:val="21"/>
        </w:rPr>
      </w:pPr>
    </w:p>
    <w:p w14:paraId="2E2C98D0" w14:textId="77777777" w:rsidR="00443399" w:rsidRPr="00B03B51" w:rsidRDefault="00443399" w:rsidP="00443399">
      <w:pPr>
        <w:jc w:val="both"/>
        <w:rPr>
          <w:rFonts w:ascii="Times New Roman" w:hAnsi="Times New Roman" w:cs="Times New Roman"/>
          <w:b/>
          <w:noProof/>
          <w:sz w:val="24"/>
        </w:rPr>
      </w:pPr>
      <w:r w:rsidRPr="00B03B51">
        <w:rPr>
          <w:rFonts w:ascii="Times New Roman" w:hAnsi="Times New Roman" w:cs="Times New Roman"/>
          <w:b/>
          <w:sz w:val="24"/>
        </w:rPr>
        <w:t>Finanšu aktīvu netieša pārdošana</w:t>
      </w:r>
    </w:p>
    <w:p w14:paraId="7FEF3F32" w14:textId="77777777" w:rsidR="00443399" w:rsidRPr="00B03B51" w:rsidRDefault="00443399" w:rsidP="00443399">
      <w:pPr>
        <w:jc w:val="both"/>
        <w:rPr>
          <w:rFonts w:ascii="Times New Roman" w:eastAsia="Arial" w:hAnsi="Times New Roman" w:cs="Times New Roman"/>
          <w:b/>
          <w:bCs/>
          <w:noProof/>
          <w:sz w:val="24"/>
          <w:szCs w:val="21"/>
        </w:rPr>
      </w:pPr>
    </w:p>
    <w:p w14:paraId="185866FD" w14:textId="77777777" w:rsidR="00443399" w:rsidRPr="00B03B51" w:rsidRDefault="00443399" w:rsidP="00443399">
      <w:pPr>
        <w:jc w:val="center"/>
        <w:rPr>
          <w:rFonts w:ascii="Times New Roman" w:eastAsia="Arial" w:hAnsi="Times New Roman" w:cs="Times New Roman"/>
          <w:b/>
          <w:bCs/>
          <w:noProof/>
          <w:sz w:val="24"/>
          <w:szCs w:val="21"/>
        </w:rPr>
      </w:pPr>
      <w:r w:rsidRPr="00B03B51">
        <w:rPr>
          <w:rFonts w:ascii="Times New Roman" w:hAnsi="Times New Roman" w:cs="Times New Roman"/>
          <w:noProof/>
        </w:rPr>
        <w:drawing>
          <wp:inline distT="0" distB="0" distL="0" distR="0" wp14:anchorId="2F62FCF6" wp14:editId="038F2D1B">
            <wp:extent cx="5756275" cy="2819400"/>
            <wp:effectExtent l="0" t="0" r="0" b="0"/>
            <wp:docPr id="121" name="Attēls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1"/>
                    <a:stretch>
                      <a:fillRect/>
                    </a:stretch>
                  </pic:blipFill>
                  <pic:spPr>
                    <a:xfrm>
                      <a:off x="0" y="0"/>
                      <a:ext cx="5756275" cy="2819400"/>
                    </a:xfrm>
                    <a:prstGeom prst="rect">
                      <a:avLst/>
                    </a:prstGeom>
                  </pic:spPr>
                </pic:pic>
              </a:graphicData>
            </a:graphic>
          </wp:inline>
        </w:drawing>
      </w:r>
    </w:p>
    <w:p w14:paraId="1273BB46" w14:textId="77777777" w:rsidR="00443399" w:rsidRPr="00B03B51" w:rsidRDefault="00443399" w:rsidP="00443399">
      <w:pPr>
        <w:jc w:val="both"/>
        <w:rPr>
          <w:rFonts w:ascii="Times New Roman" w:hAnsi="Times New Roman" w:cs="Times New Roman"/>
          <w:b/>
          <w:noProof/>
          <w:sz w:val="24"/>
        </w:rPr>
      </w:pPr>
    </w:p>
    <w:p w14:paraId="7CE42B37" w14:textId="77777777" w:rsidR="00443399" w:rsidRPr="00B03B51" w:rsidRDefault="00443399" w:rsidP="00443399">
      <w:pPr>
        <w:keepNext/>
        <w:jc w:val="both"/>
        <w:rPr>
          <w:rFonts w:ascii="Times New Roman" w:hAnsi="Times New Roman" w:cs="Times New Roman"/>
          <w:b/>
          <w:noProof/>
          <w:sz w:val="24"/>
        </w:rPr>
      </w:pPr>
      <w:r w:rsidRPr="00B03B51">
        <w:rPr>
          <w:rFonts w:ascii="Times New Roman" w:hAnsi="Times New Roman" w:cs="Times New Roman"/>
          <w:b/>
          <w:sz w:val="24"/>
        </w:rPr>
        <w:lastRenderedPageBreak/>
        <w:t>Nefinanšu aktīvu tieša pārdošana</w:t>
      </w:r>
    </w:p>
    <w:p w14:paraId="585AE56C" w14:textId="77777777" w:rsidR="00443399" w:rsidRPr="00B03B51" w:rsidRDefault="00443399" w:rsidP="00443399">
      <w:pPr>
        <w:keepNext/>
        <w:jc w:val="both"/>
        <w:rPr>
          <w:rFonts w:ascii="Times New Roman" w:eastAsia="Arial" w:hAnsi="Times New Roman" w:cs="Times New Roman"/>
          <w:b/>
          <w:bCs/>
          <w:noProof/>
          <w:sz w:val="24"/>
          <w:szCs w:val="20"/>
        </w:rPr>
      </w:pPr>
    </w:p>
    <w:p w14:paraId="32205799" w14:textId="77777777" w:rsidR="00443399" w:rsidRPr="00B03B51" w:rsidRDefault="00443399" w:rsidP="00443399">
      <w:pPr>
        <w:keepNext/>
        <w:jc w:val="center"/>
        <w:rPr>
          <w:rFonts w:ascii="Times New Roman" w:eastAsia="Arial" w:hAnsi="Times New Roman" w:cs="Times New Roman"/>
          <w:b/>
          <w:bCs/>
          <w:noProof/>
          <w:sz w:val="24"/>
          <w:szCs w:val="20"/>
        </w:rPr>
      </w:pPr>
      <w:r w:rsidRPr="00B03B51">
        <w:rPr>
          <w:rFonts w:ascii="Times New Roman" w:hAnsi="Times New Roman" w:cs="Times New Roman"/>
          <w:noProof/>
        </w:rPr>
        <w:drawing>
          <wp:inline distT="0" distB="0" distL="0" distR="0" wp14:anchorId="26C22014" wp14:editId="00556CBF">
            <wp:extent cx="3048000" cy="4238625"/>
            <wp:effectExtent l="0" t="0" r="0" b="9525"/>
            <wp:docPr id="122" name="Attēls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2"/>
                    <a:stretch>
                      <a:fillRect/>
                    </a:stretch>
                  </pic:blipFill>
                  <pic:spPr>
                    <a:xfrm>
                      <a:off x="0" y="0"/>
                      <a:ext cx="3048000" cy="4238625"/>
                    </a:xfrm>
                    <a:prstGeom prst="rect">
                      <a:avLst/>
                    </a:prstGeom>
                  </pic:spPr>
                </pic:pic>
              </a:graphicData>
            </a:graphic>
          </wp:inline>
        </w:drawing>
      </w:r>
    </w:p>
    <w:p w14:paraId="1DCD499F" w14:textId="77777777" w:rsidR="00443399" w:rsidRPr="00B03B51" w:rsidRDefault="00443399" w:rsidP="00443399">
      <w:pPr>
        <w:jc w:val="both"/>
        <w:rPr>
          <w:rFonts w:ascii="Times New Roman" w:eastAsia="Arial" w:hAnsi="Times New Roman" w:cs="Times New Roman"/>
          <w:b/>
          <w:bCs/>
          <w:noProof/>
          <w:sz w:val="24"/>
          <w:szCs w:val="20"/>
        </w:rPr>
      </w:pPr>
    </w:p>
    <w:p w14:paraId="678E25B6" w14:textId="77777777" w:rsidR="00443399" w:rsidRPr="00B03B51" w:rsidRDefault="00443399" w:rsidP="00395F44">
      <w:pPr>
        <w:keepNext/>
        <w:jc w:val="both"/>
        <w:rPr>
          <w:rFonts w:ascii="Times New Roman" w:hAnsi="Times New Roman" w:cs="Times New Roman"/>
          <w:b/>
          <w:noProof/>
          <w:sz w:val="24"/>
        </w:rPr>
      </w:pPr>
      <w:r w:rsidRPr="00B03B51">
        <w:rPr>
          <w:rFonts w:ascii="Times New Roman" w:hAnsi="Times New Roman" w:cs="Times New Roman"/>
          <w:b/>
          <w:sz w:val="24"/>
        </w:rPr>
        <w:lastRenderedPageBreak/>
        <w:t>Nefinanšu aktīvu netieša pārdošana</w:t>
      </w:r>
    </w:p>
    <w:p w14:paraId="5349A5DC" w14:textId="77777777" w:rsidR="00443399" w:rsidRPr="00B03B51" w:rsidRDefault="00443399" w:rsidP="00395F44">
      <w:pPr>
        <w:keepNext/>
        <w:jc w:val="both"/>
        <w:rPr>
          <w:rFonts w:ascii="Times New Roman" w:eastAsia="Arial" w:hAnsi="Times New Roman" w:cs="Times New Roman"/>
          <w:b/>
          <w:bCs/>
          <w:noProof/>
          <w:sz w:val="24"/>
          <w:szCs w:val="18"/>
        </w:rPr>
      </w:pPr>
    </w:p>
    <w:p w14:paraId="4B6CD498" w14:textId="77777777" w:rsidR="00443399" w:rsidRPr="00B03B51" w:rsidRDefault="00443399" w:rsidP="00395F44">
      <w:pPr>
        <w:keepNext/>
        <w:jc w:val="center"/>
        <w:rPr>
          <w:rFonts w:ascii="Times New Roman" w:eastAsia="Arial" w:hAnsi="Times New Roman" w:cs="Times New Roman"/>
          <w:b/>
          <w:bCs/>
          <w:noProof/>
          <w:sz w:val="24"/>
          <w:szCs w:val="18"/>
        </w:rPr>
      </w:pPr>
      <w:r w:rsidRPr="00B03B51">
        <w:rPr>
          <w:rFonts w:ascii="Times New Roman" w:hAnsi="Times New Roman" w:cs="Times New Roman"/>
          <w:noProof/>
        </w:rPr>
        <w:drawing>
          <wp:inline distT="0" distB="0" distL="0" distR="0" wp14:anchorId="683987D1" wp14:editId="021C521F">
            <wp:extent cx="5756275" cy="4199890"/>
            <wp:effectExtent l="0" t="0" r="0" b="0"/>
            <wp:docPr id="123" name="Attēls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3"/>
                    <a:stretch>
                      <a:fillRect/>
                    </a:stretch>
                  </pic:blipFill>
                  <pic:spPr>
                    <a:xfrm>
                      <a:off x="0" y="0"/>
                      <a:ext cx="5756275" cy="4199890"/>
                    </a:xfrm>
                    <a:prstGeom prst="rect">
                      <a:avLst/>
                    </a:prstGeom>
                  </pic:spPr>
                </pic:pic>
              </a:graphicData>
            </a:graphic>
          </wp:inline>
        </w:drawing>
      </w:r>
    </w:p>
    <w:p w14:paraId="2CFB0BB0" w14:textId="77777777" w:rsidR="00500EA4" w:rsidRPr="00B03B51" w:rsidRDefault="00500EA4">
      <w:pPr>
        <w:widowControl/>
        <w:spacing w:after="160" w:line="259" w:lineRule="auto"/>
        <w:rPr>
          <w:rFonts w:ascii="Times New Roman" w:eastAsia="Arial" w:hAnsi="Times New Roman" w:cs="Times New Roman"/>
          <w:b/>
          <w:bCs/>
          <w:sz w:val="24"/>
          <w:szCs w:val="40"/>
        </w:rPr>
      </w:pPr>
      <w:bookmarkStart w:id="409" w:name="5.3_Privatisation_proceeds_from_public_c"/>
      <w:bookmarkStart w:id="410" w:name="_bookmark42"/>
      <w:bookmarkStart w:id="411" w:name="_Toc67565151"/>
      <w:bookmarkEnd w:id="409"/>
      <w:bookmarkEnd w:id="410"/>
      <w:r w:rsidRPr="00B03B51">
        <w:rPr>
          <w:rFonts w:ascii="Times New Roman" w:hAnsi="Times New Roman" w:cs="Times New Roman"/>
          <w:sz w:val="24"/>
        </w:rPr>
        <w:br w:type="page"/>
      </w:r>
    </w:p>
    <w:p w14:paraId="7DF6E0F4" w14:textId="4C38755B" w:rsidR="00443399" w:rsidRPr="00B03B51" w:rsidRDefault="00443399" w:rsidP="00443399">
      <w:pPr>
        <w:pStyle w:val="Heading2"/>
        <w:tabs>
          <w:tab w:val="left" w:pos="1135"/>
        </w:tabs>
        <w:spacing w:before="0"/>
        <w:ind w:left="0" w:firstLine="0"/>
        <w:jc w:val="both"/>
        <w:rPr>
          <w:rFonts w:ascii="Times New Roman" w:hAnsi="Times New Roman" w:cs="Times New Roman"/>
          <w:noProof/>
          <w:sz w:val="28"/>
          <w:szCs w:val="44"/>
        </w:rPr>
      </w:pPr>
      <w:r w:rsidRPr="00B03B51">
        <w:rPr>
          <w:rFonts w:ascii="Times New Roman" w:hAnsi="Times New Roman" w:cs="Times New Roman"/>
          <w:sz w:val="28"/>
          <w:szCs w:val="44"/>
        </w:rPr>
        <w:lastRenderedPageBreak/>
        <w:t>5.3. Privatizācijas ieņēmumi no publiskām sabiedrībām</w:t>
      </w:r>
      <w:bookmarkEnd w:id="411"/>
    </w:p>
    <w:p w14:paraId="0320F1AC" w14:textId="77777777" w:rsidR="00443399" w:rsidRPr="00B03B51" w:rsidRDefault="00443399" w:rsidP="00443399">
      <w:pPr>
        <w:tabs>
          <w:tab w:val="left" w:pos="1267"/>
        </w:tabs>
        <w:jc w:val="both"/>
        <w:rPr>
          <w:rFonts w:ascii="Times New Roman" w:hAnsi="Times New Roman" w:cs="Times New Roman"/>
          <w:b/>
          <w:noProof/>
          <w:sz w:val="24"/>
        </w:rPr>
      </w:pPr>
      <w:bookmarkStart w:id="412" w:name="5.3.1_Background"/>
      <w:bookmarkEnd w:id="412"/>
    </w:p>
    <w:p w14:paraId="21E3FEDF" w14:textId="77777777" w:rsidR="00443399" w:rsidRPr="00BE27DC" w:rsidRDefault="00443399" w:rsidP="00BE27DC">
      <w:pPr>
        <w:pStyle w:val="Heading3"/>
        <w:keepNext/>
        <w:tabs>
          <w:tab w:val="left" w:pos="1267"/>
        </w:tabs>
        <w:ind w:left="0" w:firstLine="0"/>
        <w:jc w:val="both"/>
        <w:rPr>
          <w:rFonts w:ascii="Times New Roman" w:hAnsi="Times New Roman" w:cs="Times New Roman"/>
          <w:sz w:val="24"/>
        </w:rPr>
      </w:pPr>
      <w:r w:rsidRPr="00B03B51">
        <w:rPr>
          <w:rFonts w:ascii="Times New Roman" w:hAnsi="Times New Roman" w:cs="Times New Roman"/>
          <w:sz w:val="24"/>
        </w:rPr>
        <w:t>5.3.1. Vispārīga informācija</w:t>
      </w:r>
    </w:p>
    <w:p w14:paraId="42B56B02"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44D70CD5"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 Dažās ES dalībvalstīs valdības ir izveidojušas centrālos birojus</w:t>
      </w:r>
      <w:r w:rsidRPr="00B03B51">
        <w:rPr>
          <w:rStyle w:val="FootnoteReference"/>
          <w:rFonts w:ascii="Times New Roman" w:hAnsi="Times New Roman" w:cs="Times New Roman"/>
          <w:noProof/>
          <w:sz w:val="24"/>
        </w:rPr>
        <w:footnoteReference w:id="185"/>
      </w:r>
      <w:r w:rsidRPr="00B03B51">
        <w:rPr>
          <w:rFonts w:ascii="Times New Roman" w:hAnsi="Times New Roman" w:cs="Times New Roman"/>
          <w:sz w:val="24"/>
        </w:rPr>
        <w:t xml:space="preserve"> atbilstīgi EKS 2010, kas vadītu un pārvaldītu komercuzņēmumu un kuru mērķi ir saistīti ar peļņas gūšanu un konkurēšanu tirgū. Šajā saistībā tie var pārstrukturēt grupu. Līdz ar to tie var organizēt privatizāciju un nodot citām publiskām sabiedrībām ieņēmumus no akciju pārdošanas (kas pieder vai nepieder centrālajam birojam), piešķirot dotācijas, aizdevumus vai veicot kapitāla iepludināšanu.</w:t>
      </w:r>
    </w:p>
    <w:p w14:paraId="091430CF"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66A1181D"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2. Citās valstīs šādas funkcijas var būt piešķirtas vienībām, kas pastāv jau ilgu laiku. Tas varētu attiekties arī uz gadījumiem, kad līdzekļus (tostarp akcijas un citu pašu kapitālu) pārvalda valdībai vai, iespējams, Eiropas iestādēm (struktūrfondu vai Kohēzijas fonda gadījumā) piederoši publiski subjekti, piemēram, reģionālās attīstības aģentūras.</w:t>
      </w:r>
    </w:p>
    <w:p w14:paraId="4D27031A"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6CAECBDE"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3. Galvenais jautājums ir šāds: kurā atbilstošā sektorā jāklasificē šāda vienība, kas vada privatizāciju un, iespējams, piešķir dotācijas citiem uzņēmumiem, un vai var uzskatīt, ka šāda darbība tiek veikta valdības vārdā?</w:t>
      </w:r>
    </w:p>
    <w:p w14:paraId="08CFF22C" w14:textId="77777777" w:rsidR="00443399" w:rsidRPr="00B03B51" w:rsidRDefault="00443399" w:rsidP="00443399">
      <w:pPr>
        <w:jc w:val="both"/>
        <w:rPr>
          <w:rFonts w:ascii="Times New Roman" w:eastAsia="Arial" w:hAnsi="Times New Roman" w:cs="Times New Roman"/>
          <w:noProof/>
          <w:sz w:val="24"/>
          <w:szCs w:val="18"/>
        </w:rPr>
      </w:pPr>
    </w:p>
    <w:p w14:paraId="2C8A3277" w14:textId="77777777" w:rsidR="00443399" w:rsidRPr="00B03B51" w:rsidRDefault="00443399" w:rsidP="00395F44">
      <w:pPr>
        <w:pStyle w:val="Heading3"/>
        <w:keepNext/>
        <w:tabs>
          <w:tab w:val="left" w:pos="1267"/>
        </w:tabs>
        <w:ind w:left="0" w:firstLine="0"/>
        <w:jc w:val="both"/>
        <w:rPr>
          <w:rFonts w:ascii="Times New Roman" w:hAnsi="Times New Roman" w:cs="Times New Roman"/>
          <w:noProof/>
          <w:sz w:val="24"/>
        </w:rPr>
      </w:pPr>
      <w:bookmarkStart w:id="413" w:name="5.3.2_Treatment_in_national_accounts"/>
      <w:bookmarkStart w:id="414" w:name="_Toc67565152"/>
      <w:bookmarkEnd w:id="413"/>
      <w:r w:rsidRPr="00B03B51">
        <w:rPr>
          <w:rFonts w:ascii="Times New Roman" w:hAnsi="Times New Roman" w:cs="Times New Roman"/>
          <w:sz w:val="24"/>
        </w:rPr>
        <w:t>5.3.2. Traktējums nacionālajos kontos</w:t>
      </w:r>
      <w:bookmarkEnd w:id="414"/>
    </w:p>
    <w:p w14:paraId="4CBEC6B6" w14:textId="77777777" w:rsidR="00443399" w:rsidRPr="00B03B51" w:rsidRDefault="00443399" w:rsidP="00395F44">
      <w:pPr>
        <w:pStyle w:val="BodyText"/>
        <w:keepNext/>
        <w:tabs>
          <w:tab w:val="left" w:pos="843"/>
        </w:tabs>
        <w:spacing w:before="0"/>
        <w:ind w:left="0" w:firstLine="0"/>
        <w:jc w:val="both"/>
        <w:rPr>
          <w:rFonts w:ascii="Times New Roman" w:hAnsi="Times New Roman" w:cs="Times New Roman"/>
          <w:noProof/>
          <w:sz w:val="24"/>
        </w:rPr>
      </w:pPr>
    </w:p>
    <w:p w14:paraId="4DDA18E5" w14:textId="77777777" w:rsidR="00443399" w:rsidRPr="00B03B51" w:rsidRDefault="00443399" w:rsidP="00395F44">
      <w:pPr>
        <w:pStyle w:val="BodyText"/>
        <w:keepN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4. Pastāv trīs iespējas.</w:t>
      </w:r>
    </w:p>
    <w:p w14:paraId="42F9EECB" w14:textId="77777777" w:rsidR="00443399" w:rsidRPr="00B03B51" w:rsidRDefault="00443399" w:rsidP="00443399">
      <w:pPr>
        <w:pStyle w:val="BodyText"/>
        <w:tabs>
          <w:tab w:val="left" w:pos="1126"/>
        </w:tabs>
        <w:spacing w:before="0"/>
        <w:ind w:left="0" w:firstLine="0"/>
        <w:jc w:val="both"/>
        <w:rPr>
          <w:rFonts w:ascii="Times New Roman" w:hAnsi="Times New Roman" w:cs="Times New Roman"/>
          <w:noProof/>
          <w:sz w:val="24"/>
        </w:rPr>
      </w:pPr>
    </w:p>
    <w:p w14:paraId="094AC747" w14:textId="77777777" w:rsidR="00443399" w:rsidRPr="00B03B51" w:rsidRDefault="00443399" w:rsidP="00443399">
      <w:pPr>
        <w:pStyle w:val="BodyText"/>
        <w:tabs>
          <w:tab w:val="left" w:pos="1126"/>
        </w:tabs>
        <w:spacing w:before="0"/>
        <w:ind w:left="284" w:firstLine="0"/>
        <w:jc w:val="both"/>
        <w:rPr>
          <w:rFonts w:ascii="Times New Roman" w:hAnsi="Times New Roman" w:cs="Times New Roman"/>
          <w:noProof/>
          <w:sz w:val="24"/>
        </w:rPr>
      </w:pPr>
      <w:r w:rsidRPr="00B03B51">
        <w:rPr>
          <w:rFonts w:ascii="Times New Roman" w:hAnsi="Times New Roman" w:cs="Times New Roman"/>
          <w:sz w:val="24"/>
        </w:rPr>
        <w:t>1. Publisks centrālais birojs ir tirgus vienība, kas pārskaita līdzekļus grupas iekšienē atbilstoši grupas saimnieciskās darbības stratēģijai tāpat, kā to darītu privāta sabiedrība.</w:t>
      </w:r>
    </w:p>
    <w:p w14:paraId="14CBA6FE" w14:textId="77777777" w:rsidR="00443399" w:rsidRPr="00B03B51" w:rsidRDefault="00443399" w:rsidP="00443399">
      <w:pPr>
        <w:pStyle w:val="BodyText"/>
        <w:spacing w:before="0"/>
        <w:ind w:left="284" w:firstLine="0"/>
        <w:jc w:val="both"/>
        <w:rPr>
          <w:rFonts w:ascii="Times New Roman" w:hAnsi="Times New Roman" w:cs="Times New Roman"/>
          <w:noProof/>
          <w:sz w:val="24"/>
        </w:rPr>
      </w:pPr>
    </w:p>
    <w:p w14:paraId="63D21A97" w14:textId="77777777" w:rsidR="00443399" w:rsidRPr="00B03B51" w:rsidRDefault="00443399" w:rsidP="00443399">
      <w:pPr>
        <w:pStyle w:val="BodyText"/>
        <w:spacing w:before="0"/>
        <w:ind w:left="284" w:firstLine="0"/>
        <w:jc w:val="both"/>
        <w:rPr>
          <w:rFonts w:ascii="Times New Roman" w:hAnsi="Times New Roman" w:cs="Times New Roman"/>
          <w:noProof/>
          <w:sz w:val="24"/>
        </w:rPr>
      </w:pPr>
      <w:r w:rsidRPr="00B03B51">
        <w:rPr>
          <w:rFonts w:ascii="Times New Roman" w:hAnsi="Times New Roman" w:cs="Times New Roman"/>
          <w:sz w:val="24"/>
        </w:rPr>
        <w:t>Valdības kontos darījums netiek ierakstīts.</w:t>
      </w:r>
    </w:p>
    <w:p w14:paraId="0E52F52A" w14:textId="77777777" w:rsidR="00443399" w:rsidRPr="00B03B51" w:rsidRDefault="00443399" w:rsidP="00443399">
      <w:pPr>
        <w:pStyle w:val="BodyText"/>
        <w:tabs>
          <w:tab w:val="left" w:pos="1126"/>
        </w:tabs>
        <w:spacing w:before="0"/>
        <w:ind w:left="284" w:firstLine="0"/>
        <w:jc w:val="both"/>
        <w:rPr>
          <w:rFonts w:ascii="Times New Roman" w:hAnsi="Times New Roman" w:cs="Times New Roman"/>
          <w:noProof/>
          <w:sz w:val="24"/>
        </w:rPr>
      </w:pPr>
    </w:p>
    <w:p w14:paraId="1F940BB9" w14:textId="77777777" w:rsidR="00443399" w:rsidRPr="00B03B51" w:rsidRDefault="00443399" w:rsidP="00443399">
      <w:pPr>
        <w:pStyle w:val="BodyText"/>
        <w:tabs>
          <w:tab w:val="left" w:pos="1126"/>
        </w:tabs>
        <w:spacing w:before="0"/>
        <w:ind w:left="284" w:firstLine="0"/>
        <w:jc w:val="both"/>
        <w:rPr>
          <w:rFonts w:ascii="Times New Roman" w:hAnsi="Times New Roman" w:cs="Times New Roman"/>
          <w:noProof/>
          <w:sz w:val="24"/>
        </w:rPr>
      </w:pPr>
      <w:r w:rsidRPr="00B03B51">
        <w:rPr>
          <w:rFonts w:ascii="Times New Roman" w:hAnsi="Times New Roman" w:cs="Times New Roman"/>
          <w:sz w:val="24"/>
        </w:rPr>
        <w:t>2. Publisks centrālais birojs ir tirgus vienība, un tā pārvieto finanšu līdzekļus grupā, lai atbalstītu zaudējumus radošās darbības, kuras ir skaidri norādītas kā tādas, kas izriet no valdības ekonomiskās un sociālās politikas, attiecīgajiem subjektiem rīkojoties valdības vārdā un saskaņā ar apliecinātiem norādījumiem.</w:t>
      </w:r>
    </w:p>
    <w:p w14:paraId="0D928C48" w14:textId="77777777" w:rsidR="00443399" w:rsidRPr="00B03B51" w:rsidRDefault="00443399" w:rsidP="00443399">
      <w:pPr>
        <w:pStyle w:val="BodyText"/>
        <w:spacing w:before="0"/>
        <w:ind w:left="284" w:firstLine="0"/>
        <w:jc w:val="both"/>
        <w:rPr>
          <w:rFonts w:ascii="Times New Roman" w:hAnsi="Times New Roman" w:cs="Times New Roman"/>
          <w:noProof/>
          <w:sz w:val="24"/>
        </w:rPr>
      </w:pPr>
    </w:p>
    <w:p w14:paraId="4A1C51FD" w14:textId="77777777" w:rsidR="00443399" w:rsidRPr="00B03B51" w:rsidRDefault="00443399" w:rsidP="00443399">
      <w:pPr>
        <w:pStyle w:val="BodyText"/>
        <w:spacing w:before="0"/>
        <w:ind w:left="284" w:firstLine="0"/>
        <w:jc w:val="both"/>
        <w:rPr>
          <w:rFonts w:ascii="Times New Roman" w:hAnsi="Times New Roman" w:cs="Times New Roman"/>
          <w:noProof/>
          <w:sz w:val="24"/>
        </w:rPr>
      </w:pPr>
      <w:r w:rsidRPr="00B03B51">
        <w:rPr>
          <w:rFonts w:ascii="Times New Roman" w:hAnsi="Times New Roman" w:cs="Times New Roman"/>
          <w:sz w:val="24"/>
        </w:rPr>
        <w:t>Darījumi tiek novirzīti caur valdību.</w:t>
      </w:r>
    </w:p>
    <w:p w14:paraId="3B823AB7" w14:textId="77777777" w:rsidR="00443399" w:rsidRPr="00B03B51" w:rsidRDefault="00443399" w:rsidP="00443399">
      <w:pPr>
        <w:pStyle w:val="BodyText"/>
        <w:tabs>
          <w:tab w:val="left" w:pos="1126"/>
        </w:tabs>
        <w:spacing w:before="0"/>
        <w:ind w:left="284" w:firstLine="0"/>
        <w:jc w:val="both"/>
        <w:rPr>
          <w:rFonts w:ascii="Times New Roman" w:hAnsi="Times New Roman" w:cs="Times New Roman"/>
          <w:noProof/>
          <w:sz w:val="24"/>
        </w:rPr>
      </w:pPr>
    </w:p>
    <w:p w14:paraId="0E13563A" w14:textId="77777777" w:rsidR="00443399" w:rsidRPr="00B03B51" w:rsidRDefault="00443399" w:rsidP="00443399">
      <w:pPr>
        <w:pStyle w:val="BodyText"/>
        <w:tabs>
          <w:tab w:val="left" w:pos="1126"/>
        </w:tabs>
        <w:spacing w:before="0"/>
        <w:ind w:left="284" w:firstLine="0"/>
        <w:jc w:val="both"/>
        <w:rPr>
          <w:rFonts w:ascii="Times New Roman" w:hAnsi="Times New Roman" w:cs="Times New Roman"/>
          <w:noProof/>
          <w:sz w:val="24"/>
        </w:rPr>
      </w:pPr>
      <w:r w:rsidRPr="00B03B51">
        <w:rPr>
          <w:rFonts w:ascii="Times New Roman" w:hAnsi="Times New Roman" w:cs="Times New Roman"/>
          <w:sz w:val="24"/>
        </w:rPr>
        <w:t>3. Publisks centrālais birojs ir tirgus vienība, kas valdības vārdā sniedz dotācijas un subsīdijas vienībām ārpus grupas.</w:t>
      </w:r>
    </w:p>
    <w:p w14:paraId="16DF9716" w14:textId="77777777" w:rsidR="00443399" w:rsidRPr="00B03B51" w:rsidRDefault="00443399" w:rsidP="00443399">
      <w:pPr>
        <w:pStyle w:val="BodyText"/>
        <w:spacing w:before="0"/>
        <w:ind w:left="284" w:firstLine="0"/>
        <w:jc w:val="both"/>
        <w:rPr>
          <w:rFonts w:ascii="Times New Roman" w:hAnsi="Times New Roman" w:cs="Times New Roman"/>
          <w:noProof/>
          <w:sz w:val="24"/>
        </w:rPr>
      </w:pPr>
    </w:p>
    <w:p w14:paraId="1AB3DA52" w14:textId="77777777" w:rsidR="00443399" w:rsidRPr="00B03B51" w:rsidRDefault="00443399" w:rsidP="00443399">
      <w:pPr>
        <w:pStyle w:val="BodyText"/>
        <w:spacing w:before="0"/>
        <w:ind w:left="284" w:firstLine="0"/>
        <w:jc w:val="both"/>
        <w:rPr>
          <w:rFonts w:ascii="Times New Roman" w:hAnsi="Times New Roman" w:cs="Times New Roman"/>
          <w:noProof/>
          <w:sz w:val="24"/>
        </w:rPr>
      </w:pPr>
      <w:r w:rsidRPr="00B03B51">
        <w:rPr>
          <w:rFonts w:ascii="Times New Roman" w:hAnsi="Times New Roman" w:cs="Times New Roman"/>
          <w:sz w:val="24"/>
        </w:rPr>
        <w:t>Visi darījumi tiek pārvirzīti caur valdību.</w:t>
      </w:r>
    </w:p>
    <w:p w14:paraId="00CB3F87" w14:textId="77777777" w:rsidR="00443399" w:rsidRPr="00B03B51" w:rsidRDefault="00443399" w:rsidP="00443399">
      <w:pPr>
        <w:jc w:val="both"/>
        <w:rPr>
          <w:rFonts w:ascii="Times New Roman" w:eastAsia="Arial" w:hAnsi="Times New Roman" w:cs="Times New Roman"/>
          <w:noProof/>
          <w:sz w:val="24"/>
          <w:szCs w:val="20"/>
        </w:rPr>
      </w:pPr>
    </w:p>
    <w:p w14:paraId="1050D951" w14:textId="77777777" w:rsidR="00443399" w:rsidRPr="00B03B51" w:rsidRDefault="00443399" w:rsidP="00443399">
      <w:pPr>
        <w:pStyle w:val="Heading3"/>
        <w:tabs>
          <w:tab w:val="left" w:pos="1267"/>
        </w:tabs>
        <w:ind w:left="0" w:firstLine="0"/>
        <w:jc w:val="both"/>
        <w:rPr>
          <w:rFonts w:ascii="Times New Roman" w:hAnsi="Times New Roman" w:cs="Times New Roman"/>
          <w:noProof/>
          <w:sz w:val="24"/>
        </w:rPr>
      </w:pPr>
      <w:bookmarkStart w:id="415" w:name="5.3.3_Rationale_of_the_treatment"/>
      <w:bookmarkStart w:id="416" w:name="_Toc67565153"/>
      <w:bookmarkEnd w:id="415"/>
      <w:r w:rsidRPr="00B03B51">
        <w:rPr>
          <w:rFonts w:ascii="Times New Roman" w:hAnsi="Times New Roman" w:cs="Times New Roman"/>
          <w:sz w:val="24"/>
        </w:rPr>
        <w:t>5.3.3. Traktējuma pamatojums</w:t>
      </w:r>
      <w:bookmarkEnd w:id="416"/>
    </w:p>
    <w:p w14:paraId="08AD9F8B" w14:textId="77777777" w:rsidR="00443399" w:rsidRPr="00B03B51" w:rsidRDefault="00443399" w:rsidP="00443399">
      <w:pPr>
        <w:tabs>
          <w:tab w:val="left" w:pos="843"/>
        </w:tabs>
        <w:jc w:val="both"/>
        <w:rPr>
          <w:rFonts w:ascii="Times New Roman" w:hAnsi="Times New Roman" w:cs="Times New Roman"/>
          <w:noProof/>
          <w:sz w:val="24"/>
        </w:rPr>
      </w:pPr>
    </w:p>
    <w:p w14:paraId="07CE4F6F" w14:textId="77777777" w:rsidR="00443399" w:rsidRPr="00B03B51" w:rsidRDefault="00443399" w:rsidP="00443399">
      <w:pPr>
        <w:tabs>
          <w:tab w:val="left" w:pos="843"/>
        </w:tabs>
        <w:jc w:val="both"/>
        <w:rPr>
          <w:rFonts w:ascii="Times New Roman" w:hAnsi="Times New Roman" w:cs="Times New Roman"/>
          <w:noProof/>
          <w:sz w:val="24"/>
        </w:rPr>
      </w:pPr>
      <w:r w:rsidRPr="00B03B51">
        <w:rPr>
          <w:rFonts w:ascii="Times New Roman" w:hAnsi="Times New Roman" w:cs="Times New Roman"/>
          <w:sz w:val="24"/>
        </w:rPr>
        <w:t xml:space="preserve">5. EKS 2010 2.14. punktā ir noteikts: </w:t>
      </w:r>
      <w:r w:rsidRPr="00B03B51">
        <w:rPr>
          <w:rFonts w:ascii="Times New Roman" w:hAnsi="Times New Roman" w:cs="Times New Roman"/>
          <w:i/>
          <w:iCs/>
          <w:sz w:val="24"/>
        </w:rPr>
        <w:t>Centrālais birojs ir vienība, kas pārvalda savus meitasuzņēmumus.</w:t>
      </w:r>
      <w:r w:rsidRPr="00B03B51">
        <w:rPr>
          <w:rFonts w:ascii="Times New Roman" w:hAnsi="Times New Roman" w:cs="Times New Roman"/>
          <w:sz w:val="24"/>
        </w:rPr>
        <w:t xml:space="preserve"> Parasti centrālos birojus atbilstoši grupas galvenajam darbības veidam var uzskatīt par nefinanšu vai finanšu tirgus ražotājiem.</w:t>
      </w:r>
    </w:p>
    <w:p w14:paraId="10CA0C70"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324BDBE0"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 xml:space="preserve">6. Problēma rodas tad, kad centrālais birojs īsteno attīstības stratēģiju attiecībā uz savām meitasvienībām (atbilstīgi grupas ilgtermiņa plānam) un veic arī dažu grupā ietilpstošu </w:t>
      </w:r>
      <w:r w:rsidRPr="00B03B51">
        <w:rPr>
          <w:rFonts w:ascii="Times New Roman" w:hAnsi="Times New Roman" w:cs="Times New Roman"/>
          <w:sz w:val="24"/>
        </w:rPr>
        <w:lastRenderedPageBreak/>
        <w:t>sabiedrību pārstrukturēšanu un īpašumtiesību statusa maiņu, kā arī organizē finanšu līdzekļu pārvedumus starp šīm vienībām un ienākumu un bagātības pārdali.</w:t>
      </w:r>
    </w:p>
    <w:p w14:paraId="233EDE88"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3DEBC170"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7. Šāds publiskā sektora reorganizācijas projekts, kas ietver aktīvu pārvaldību un ienākumu un bagātības pārdali, ir tieša centrālās valdības makroekonomiskās stratēģijas ieviešana. Daudzās ES dalībvalstīs to bieži īsteno (vai īstenoja) pati Valsts kase. Šeit aplūkotajā gadījumā Valsts kase izmanto starpnieku, kam jāpārvalda valsts aktīvi un jāpārdala līdzekļi īstermiņā vai vidējā termiņā.</w:t>
      </w:r>
    </w:p>
    <w:p w14:paraId="1868C676" w14:textId="77777777" w:rsidR="00443399" w:rsidRPr="00B03B51" w:rsidRDefault="00443399" w:rsidP="00443399">
      <w:pPr>
        <w:jc w:val="both"/>
        <w:rPr>
          <w:rFonts w:ascii="Times New Roman" w:eastAsia="Arial" w:hAnsi="Times New Roman" w:cs="Times New Roman"/>
          <w:noProof/>
          <w:sz w:val="24"/>
          <w:szCs w:val="14"/>
        </w:rPr>
      </w:pPr>
    </w:p>
    <w:p w14:paraId="069253B8"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8. Šāda darbība jāuzskata par aktīvu pārvaldību valdības vārdā ar nolūku īstenot valsts politikas mērķus.</w:t>
      </w:r>
    </w:p>
    <w:p w14:paraId="36A26BD2"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100F370D"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9. Var rasties pretrunas starp vienību savstarpējo attiecību un darījumu ekonomisko būtību, kā arī starp šo vienību juridisko pārstāvniecību un to savstarpējām attiecībām. Daži EKS 2010 noteikumi (jo īpaši 1. nodaļā) pieļauj statistikas traktējumu, kas var atšķirties no tiesiskā regulējuma.</w:t>
      </w:r>
    </w:p>
    <w:p w14:paraId="32BFA672"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7D612A25" w14:textId="77777777" w:rsidR="00443399" w:rsidRPr="00B03B51" w:rsidRDefault="00443399" w:rsidP="00500EA4">
      <w:pPr>
        <w:numPr>
          <w:ilvl w:val="0"/>
          <w:numId w:val="59"/>
        </w:numPr>
        <w:ind w:left="426" w:hanging="425"/>
        <w:jc w:val="both"/>
        <w:rPr>
          <w:rFonts w:ascii="Times New Roman" w:hAnsi="Times New Roman" w:cs="Times New Roman"/>
          <w:b/>
          <w:noProof/>
          <w:sz w:val="24"/>
        </w:rPr>
      </w:pPr>
      <w:r w:rsidRPr="00B03B51">
        <w:rPr>
          <w:rFonts w:ascii="Times New Roman" w:hAnsi="Times New Roman" w:cs="Times New Roman"/>
          <w:b/>
          <w:sz w:val="24"/>
        </w:rPr>
        <w:t>EKS 2010 1.72. punkts. Pārkārtoti darījumi</w:t>
      </w:r>
    </w:p>
    <w:p w14:paraId="139AB944" w14:textId="77777777" w:rsidR="00443399" w:rsidRPr="00B03B51" w:rsidRDefault="00443399" w:rsidP="00500EA4">
      <w:pPr>
        <w:ind w:left="426"/>
        <w:jc w:val="both"/>
        <w:rPr>
          <w:rFonts w:ascii="Times New Roman" w:eastAsia="Arial" w:hAnsi="Times New Roman" w:cs="Times New Roman"/>
          <w:noProof/>
          <w:sz w:val="24"/>
          <w:szCs w:val="19"/>
        </w:rPr>
      </w:pPr>
      <w:r w:rsidRPr="00B03B51">
        <w:rPr>
          <w:rFonts w:ascii="Times New Roman" w:hAnsi="Times New Roman" w:cs="Times New Roman"/>
          <w:i/>
          <w:sz w:val="24"/>
        </w:rPr>
        <w:t xml:space="preserve">(..) dažus darījumus pārkārto, lai skaidrāk izceltu noteicošās ekonomiskās attiecības. </w:t>
      </w:r>
      <w:r w:rsidRPr="00B03B51">
        <w:rPr>
          <w:rFonts w:ascii="Times New Roman" w:hAnsi="Times New Roman" w:cs="Times New Roman"/>
          <w:i/>
          <w:iCs/>
          <w:sz w:val="24"/>
        </w:rPr>
        <w:t>Darījumus var pārkārtot šādos trijos veidos: pārvirzot, sadalot, atpazīstot galveno darītāju.</w:t>
      </w:r>
    </w:p>
    <w:p w14:paraId="31C227DE" w14:textId="77777777" w:rsidR="00443399" w:rsidRPr="00B03B51" w:rsidRDefault="00443399" w:rsidP="00500EA4">
      <w:pPr>
        <w:numPr>
          <w:ilvl w:val="0"/>
          <w:numId w:val="59"/>
        </w:numPr>
        <w:ind w:left="426" w:hanging="425"/>
        <w:jc w:val="both"/>
        <w:rPr>
          <w:rFonts w:ascii="Times New Roman" w:hAnsi="Times New Roman" w:cs="Times New Roman"/>
          <w:b/>
          <w:noProof/>
          <w:sz w:val="24"/>
        </w:rPr>
      </w:pPr>
      <w:r w:rsidRPr="00B03B51">
        <w:rPr>
          <w:rFonts w:ascii="Times New Roman" w:hAnsi="Times New Roman" w:cs="Times New Roman"/>
          <w:b/>
          <w:sz w:val="24"/>
        </w:rPr>
        <w:t>EKS 2010 1.75. punkts. Pārvirzīšana</w:t>
      </w:r>
    </w:p>
    <w:p w14:paraId="0080320A" w14:textId="77777777" w:rsidR="00443399" w:rsidRPr="00B03B51" w:rsidRDefault="00443399" w:rsidP="00500EA4">
      <w:pPr>
        <w:ind w:left="426"/>
        <w:jc w:val="both"/>
        <w:rPr>
          <w:rFonts w:ascii="Times New Roman" w:hAnsi="Times New Roman" w:cs="Times New Roman"/>
          <w:i/>
          <w:noProof/>
          <w:sz w:val="24"/>
        </w:rPr>
      </w:pPr>
      <w:r w:rsidRPr="00B03B51">
        <w:rPr>
          <w:rFonts w:ascii="Times New Roman" w:hAnsi="Times New Roman" w:cs="Times New Roman"/>
          <w:i/>
          <w:sz w:val="24"/>
        </w:rPr>
        <w:t>(..) Cits pārvirzīšanas veids attiecas uz darījumiem, ko ieraksta kā darījumus starp divām vai vairākām institucionālām vienībām, kaut gan saskaņā ar iesaistīto personu viedokli nekāds darījums vispār nenotiek.</w:t>
      </w:r>
    </w:p>
    <w:p w14:paraId="510C5A8F" w14:textId="77777777" w:rsidR="00443399" w:rsidRPr="00B03B51" w:rsidRDefault="00443399" w:rsidP="00500EA4">
      <w:pPr>
        <w:numPr>
          <w:ilvl w:val="0"/>
          <w:numId w:val="59"/>
        </w:numPr>
        <w:ind w:left="426" w:hanging="425"/>
        <w:jc w:val="both"/>
        <w:rPr>
          <w:rFonts w:ascii="Times New Roman" w:hAnsi="Times New Roman" w:cs="Times New Roman"/>
          <w:b/>
          <w:noProof/>
          <w:sz w:val="24"/>
        </w:rPr>
      </w:pPr>
      <w:r w:rsidRPr="00B03B51">
        <w:rPr>
          <w:rFonts w:ascii="Times New Roman" w:hAnsi="Times New Roman" w:cs="Times New Roman"/>
          <w:b/>
          <w:sz w:val="24"/>
        </w:rPr>
        <w:t>EKS 2010 1.78. punkts. Galvenā darītāja atpazīšana</w:t>
      </w:r>
    </w:p>
    <w:p w14:paraId="61FB113D" w14:textId="77777777" w:rsidR="00443399" w:rsidRPr="00B03B51" w:rsidRDefault="00443399" w:rsidP="00500EA4">
      <w:pPr>
        <w:ind w:left="426"/>
        <w:jc w:val="both"/>
        <w:rPr>
          <w:rFonts w:ascii="Times New Roman" w:hAnsi="Times New Roman" w:cs="Times New Roman"/>
          <w:i/>
          <w:noProof/>
          <w:sz w:val="24"/>
        </w:rPr>
      </w:pPr>
      <w:r w:rsidRPr="00B03B51">
        <w:rPr>
          <w:rFonts w:ascii="Times New Roman" w:hAnsi="Times New Roman" w:cs="Times New Roman"/>
          <w:i/>
          <w:sz w:val="24"/>
        </w:rPr>
        <w:t>Ja vienība veic darījumu citas vienības vārdā (galvenais darītājs) un saņem finansējumu no šīs vienības, darījumu ieraksta tikai galvenā darītāja kontos.</w:t>
      </w:r>
    </w:p>
    <w:p w14:paraId="77D14F09" w14:textId="77777777" w:rsidR="00443399" w:rsidRPr="00B03B51" w:rsidRDefault="00443399" w:rsidP="00443399">
      <w:pPr>
        <w:tabs>
          <w:tab w:val="left" w:pos="843"/>
        </w:tabs>
        <w:jc w:val="both"/>
        <w:rPr>
          <w:rFonts w:ascii="Times New Roman" w:hAnsi="Times New Roman" w:cs="Times New Roman"/>
          <w:noProof/>
          <w:sz w:val="24"/>
        </w:rPr>
      </w:pPr>
    </w:p>
    <w:p w14:paraId="33D21278" w14:textId="77777777" w:rsidR="00443399" w:rsidRPr="00B03B51" w:rsidRDefault="00443399" w:rsidP="00443399">
      <w:pPr>
        <w:tabs>
          <w:tab w:val="left" w:pos="843"/>
        </w:tabs>
        <w:jc w:val="both"/>
        <w:rPr>
          <w:rFonts w:ascii="Times New Roman" w:eastAsia="Arial" w:hAnsi="Times New Roman" w:cs="Times New Roman"/>
          <w:noProof/>
          <w:sz w:val="24"/>
          <w:szCs w:val="19"/>
        </w:rPr>
      </w:pPr>
      <w:r w:rsidRPr="00B03B51">
        <w:rPr>
          <w:rFonts w:ascii="Times New Roman" w:hAnsi="Times New Roman" w:cs="Times New Roman"/>
          <w:sz w:val="24"/>
        </w:rPr>
        <w:t xml:space="preserve">10. Šīs norādes izriet no vispārēja principa, saskaņā ar kuru </w:t>
      </w:r>
      <w:r w:rsidRPr="00B03B51">
        <w:rPr>
          <w:rFonts w:ascii="Times New Roman" w:hAnsi="Times New Roman" w:cs="Times New Roman"/>
          <w:i/>
          <w:iCs/>
          <w:sz w:val="24"/>
        </w:rPr>
        <w:t>nacionālo kontu pamatprincipi paredz, ka visus darījumus, kas rodas dažādos juridiskos apstākļos, bet kam ir vienādas ekonomiskās sekas, ieraksta vienādi</w:t>
      </w:r>
      <w:r w:rsidRPr="00B03B51">
        <w:rPr>
          <w:rFonts w:ascii="Times New Roman" w:hAnsi="Times New Roman" w:cs="Times New Roman"/>
          <w:sz w:val="24"/>
        </w:rPr>
        <w:t>.</w:t>
      </w:r>
    </w:p>
    <w:p w14:paraId="1D1B455C"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3A40A401"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11. Plūsmu (aktīvu pārdošanā gūtie ieņēmumi un maksājumi publiskām sabiedrībām) pārvirzīšanai ir nozīme vienīgi tad, ja tikai nelielu daļu no tās darbības veido darbība valdības vārdā, kura tiek veikta ar nolūku īstenot valsts politikas mērķus (privatizācija, atbalsts publiskām sabiedrībām u. c.). Pretējā gadījumā tas nozīmētu, ka vienību (vairs) nevar uzskatīt par tirgus ražotāju un tā ir jā(pār)klasificē valdības sektorā. Šajā saistībā nozīme ir tam, vai maksājums tiek ierakstīts kā valdības dotācijas vai kā cita veida darījumi.</w:t>
      </w:r>
    </w:p>
    <w:p w14:paraId="5CE07C13"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2B04CA35"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12. Ja notiek finanšu darījums (piemēram, aizdevums) ar publisku sabiedrību, darījumu vispirms var ierakstīt kā darījumu starp valdību un publisku kontrolakciju sabiedrību un pēc tam kā darījumu starp publisku kontrolakciju sabiedrību un meitasvienību. Ieguldījumu dotācijas gadījumā būtu ieteicams veikt tiešu ierakstu starp valdību un publisku uzņēmumu.</w:t>
      </w:r>
    </w:p>
    <w:p w14:paraId="71CE1CE8"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0B37DF54"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13. Ja publisks centrālais birojs piešķir dotācijas vai jebkādus citus pārvedumus uzņēmumiem (privātiem vai publiskiem), kas neietilpst tā grupā, tad tas ir vēl lielāks pamatojums pieņēmumam, ka šādi minētais centrālais birojs rīkojas valdības vārdā.</w:t>
      </w:r>
    </w:p>
    <w:p w14:paraId="797F547B" w14:textId="77777777" w:rsidR="00443399" w:rsidRPr="00B03B51" w:rsidRDefault="00443399" w:rsidP="00443399">
      <w:pPr>
        <w:jc w:val="both"/>
        <w:rPr>
          <w:rFonts w:ascii="Times New Roman" w:eastAsia="Arial" w:hAnsi="Times New Roman" w:cs="Times New Roman"/>
          <w:noProof/>
          <w:sz w:val="24"/>
          <w:szCs w:val="19"/>
        </w:rPr>
      </w:pPr>
    </w:p>
    <w:p w14:paraId="24D8F104" w14:textId="77777777" w:rsidR="00443399" w:rsidRPr="00B03B51" w:rsidRDefault="00443399" w:rsidP="00500EA4">
      <w:pPr>
        <w:pStyle w:val="Heading3"/>
        <w:keepNext/>
        <w:tabs>
          <w:tab w:val="left" w:pos="1267"/>
        </w:tabs>
        <w:ind w:left="0" w:firstLine="0"/>
        <w:jc w:val="both"/>
        <w:rPr>
          <w:rFonts w:ascii="Times New Roman" w:hAnsi="Times New Roman" w:cs="Times New Roman"/>
          <w:noProof/>
          <w:sz w:val="24"/>
        </w:rPr>
      </w:pPr>
      <w:bookmarkStart w:id="417" w:name="5.3.4_Accounting_examples"/>
      <w:bookmarkStart w:id="418" w:name="_Toc67565154"/>
      <w:bookmarkEnd w:id="417"/>
      <w:r w:rsidRPr="00B03B51">
        <w:rPr>
          <w:rFonts w:ascii="Times New Roman" w:hAnsi="Times New Roman" w:cs="Times New Roman"/>
          <w:sz w:val="24"/>
        </w:rPr>
        <w:lastRenderedPageBreak/>
        <w:t>5.3.4. Uzskaites piemēri</w:t>
      </w:r>
      <w:bookmarkEnd w:id="418"/>
    </w:p>
    <w:p w14:paraId="31A2E385" w14:textId="77777777" w:rsidR="00443399" w:rsidRPr="00B03B51" w:rsidRDefault="00443399" w:rsidP="00500EA4">
      <w:pPr>
        <w:pStyle w:val="BodyText"/>
        <w:keepNext/>
        <w:spacing w:before="0"/>
        <w:ind w:left="0" w:firstLine="0"/>
        <w:jc w:val="both"/>
        <w:rPr>
          <w:rFonts w:ascii="Times New Roman" w:hAnsi="Times New Roman" w:cs="Times New Roman"/>
          <w:noProof/>
          <w:sz w:val="24"/>
        </w:rPr>
      </w:pPr>
    </w:p>
    <w:p w14:paraId="50FF4094" w14:textId="77777777" w:rsidR="00443399" w:rsidRPr="00B03B51" w:rsidRDefault="00443399" w:rsidP="00500EA4">
      <w:pPr>
        <w:pStyle w:val="BodyText"/>
        <w:keepNext/>
        <w:spacing w:before="0"/>
        <w:ind w:left="0" w:firstLine="0"/>
        <w:jc w:val="both"/>
        <w:rPr>
          <w:rFonts w:ascii="Times New Roman" w:hAnsi="Times New Roman" w:cs="Times New Roman"/>
          <w:noProof/>
          <w:sz w:val="24"/>
        </w:rPr>
      </w:pPr>
      <w:r w:rsidRPr="00B03B51">
        <w:rPr>
          <w:rFonts w:ascii="Times New Roman" w:hAnsi="Times New Roman" w:cs="Times New Roman"/>
          <w:sz w:val="24"/>
        </w:rPr>
        <w:t>Valdībai pieder nefinanšu sabiedrību sektorā klasificēts centrālais birojs. Šī kontrolakciju sabiedrība realizē tai piederošās meitasvienības A akcijas 100 naudas vienību vērtībā kā daļu no valdības noteiktas privatizācijas programmas. Centrālais birojs patur ieņēmumus no šādas atsavināšanas; no šiem ieņēmumiem tas samaksā 20 naudas vienības citai meitasvienībai B. Analīzē konstatē, ka pēc būtības šis maksājums ir valdības maksājums (piemēram, cita ražošanas subsīdija), jo apmaiņā netiek saņemts finanšu aktīvs un nav sagaidāma arī peļņa īpašuma ienākuma veidā. Perioda sākumā valdības pašu kapitāla apmērs centrālajā birojā ir </w:t>
      </w:r>
      <w:r w:rsidRPr="00B03B51">
        <w:rPr>
          <w:rFonts w:ascii="Times New Roman" w:hAnsi="Times New Roman" w:cs="Times New Roman"/>
          <w:i/>
          <w:iCs/>
          <w:sz w:val="24"/>
        </w:rPr>
        <w:t>x</w:t>
      </w:r>
      <w:r w:rsidRPr="00B03B51">
        <w:rPr>
          <w:rFonts w:ascii="Times New Roman" w:hAnsi="Times New Roman" w:cs="Times New Roman"/>
          <w:sz w:val="24"/>
        </w:rPr>
        <w:t xml:space="preserve">; centrālā biroja pašu kapitāla apmērs tā meitasvienībā B ir </w:t>
      </w:r>
      <w:r w:rsidRPr="00B03B51">
        <w:rPr>
          <w:rFonts w:ascii="Times New Roman" w:hAnsi="Times New Roman" w:cs="Times New Roman"/>
          <w:i/>
          <w:iCs/>
          <w:sz w:val="24"/>
        </w:rPr>
        <w:t>z</w:t>
      </w:r>
      <w:r w:rsidRPr="00B03B51">
        <w:rPr>
          <w:rFonts w:ascii="Times New Roman" w:hAnsi="Times New Roman" w:cs="Times New Roman"/>
          <w:sz w:val="24"/>
        </w:rPr>
        <w:t>.</w:t>
      </w:r>
    </w:p>
    <w:p w14:paraId="6B5D50BE" w14:textId="77777777" w:rsidR="00443399" w:rsidRPr="00B03B51" w:rsidRDefault="00443399" w:rsidP="00443399">
      <w:pPr>
        <w:jc w:val="both"/>
        <w:rPr>
          <w:rFonts w:ascii="Times New Roman" w:eastAsia="Arial" w:hAnsi="Times New Roman" w:cs="Times New Roman"/>
          <w:noProof/>
          <w:sz w:val="24"/>
          <w:szCs w:val="20"/>
        </w:rPr>
      </w:pPr>
    </w:p>
    <w:p w14:paraId="75EF8733" w14:textId="77777777" w:rsidR="00443399" w:rsidRPr="00B03B51" w:rsidRDefault="00443399" w:rsidP="00443399">
      <w:pPr>
        <w:jc w:val="center"/>
        <w:rPr>
          <w:rFonts w:ascii="Times New Roman" w:eastAsia="Arial" w:hAnsi="Times New Roman" w:cs="Times New Roman"/>
          <w:noProof/>
          <w:sz w:val="24"/>
          <w:szCs w:val="20"/>
        </w:rPr>
      </w:pPr>
      <w:r w:rsidRPr="00B03B51">
        <w:rPr>
          <w:rFonts w:ascii="Times New Roman" w:hAnsi="Times New Roman" w:cs="Times New Roman"/>
          <w:noProof/>
        </w:rPr>
        <w:drawing>
          <wp:inline distT="0" distB="0" distL="0" distR="0" wp14:anchorId="13870E0F" wp14:editId="3F332207">
            <wp:extent cx="5756275" cy="1089660"/>
            <wp:effectExtent l="0" t="0" r="0" b="0"/>
            <wp:docPr id="124" name="Attēls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4"/>
                    <a:stretch>
                      <a:fillRect/>
                    </a:stretch>
                  </pic:blipFill>
                  <pic:spPr>
                    <a:xfrm>
                      <a:off x="0" y="0"/>
                      <a:ext cx="5756275" cy="1089660"/>
                    </a:xfrm>
                    <a:prstGeom prst="rect">
                      <a:avLst/>
                    </a:prstGeom>
                  </pic:spPr>
                </pic:pic>
              </a:graphicData>
            </a:graphic>
          </wp:inline>
        </w:drawing>
      </w:r>
    </w:p>
    <w:p w14:paraId="0122AB3D" w14:textId="77777777" w:rsidR="00443399" w:rsidRPr="00B03B51" w:rsidRDefault="00443399" w:rsidP="00443399">
      <w:pPr>
        <w:jc w:val="both"/>
        <w:rPr>
          <w:rFonts w:ascii="Times New Roman" w:eastAsia="Arial" w:hAnsi="Times New Roman" w:cs="Times New Roman"/>
          <w:noProof/>
          <w:sz w:val="24"/>
          <w:szCs w:val="20"/>
        </w:rPr>
      </w:pPr>
    </w:p>
    <w:p w14:paraId="2A0FF271" w14:textId="77777777" w:rsidR="00443399" w:rsidRPr="00B03B51" w:rsidRDefault="00443399" w:rsidP="00443399">
      <w:pPr>
        <w:jc w:val="center"/>
        <w:rPr>
          <w:rFonts w:ascii="Times New Roman" w:eastAsia="Arial" w:hAnsi="Times New Roman" w:cs="Times New Roman"/>
          <w:noProof/>
          <w:sz w:val="24"/>
          <w:szCs w:val="18"/>
        </w:rPr>
      </w:pPr>
    </w:p>
    <w:p w14:paraId="40D4A421" w14:textId="77777777" w:rsidR="00443399" w:rsidRPr="00B03B51" w:rsidRDefault="00443399" w:rsidP="00443399">
      <w:pPr>
        <w:jc w:val="center"/>
        <w:rPr>
          <w:rFonts w:ascii="Times New Roman" w:eastAsia="Arial" w:hAnsi="Times New Roman" w:cs="Times New Roman"/>
          <w:noProof/>
          <w:sz w:val="24"/>
          <w:szCs w:val="18"/>
        </w:rPr>
      </w:pPr>
      <w:r w:rsidRPr="00B03B51">
        <w:rPr>
          <w:rFonts w:ascii="Times New Roman" w:hAnsi="Times New Roman" w:cs="Times New Roman"/>
          <w:noProof/>
        </w:rPr>
        <w:drawing>
          <wp:inline distT="0" distB="0" distL="0" distR="0" wp14:anchorId="27AD4973" wp14:editId="3DE791A0">
            <wp:extent cx="5756275" cy="3425825"/>
            <wp:effectExtent l="0" t="0" r="0" b="3175"/>
            <wp:docPr id="125" name="Attēls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5"/>
                    <a:stretch>
                      <a:fillRect/>
                    </a:stretch>
                  </pic:blipFill>
                  <pic:spPr>
                    <a:xfrm>
                      <a:off x="0" y="0"/>
                      <a:ext cx="5756275" cy="3425825"/>
                    </a:xfrm>
                    <a:prstGeom prst="rect">
                      <a:avLst/>
                    </a:prstGeom>
                  </pic:spPr>
                </pic:pic>
              </a:graphicData>
            </a:graphic>
          </wp:inline>
        </w:drawing>
      </w:r>
    </w:p>
    <w:p w14:paraId="568D159D" w14:textId="77777777" w:rsidR="00443399" w:rsidRPr="00B03B51" w:rsidRDefault="00443399" w:rsidP="00443399">
      <w:pPr>
        <w:rPr>
          <w:rFonts w:ascii="Times New Roman" w:eastAsia="Arial" w:hAnsi="Times New Roman" w:cs="Times New Roman"/>
          <w:noProof/>
          <w:sz w:val="24"/>
          <w:szCs w:val="18"/>
        </w:rPr>
      </w:pPr>
      <w:r w:rsidRPr="00B03B51">
        <w:rPr>
          <w:rFonts w:ascii="Times New Roman" w:hAnsi="Times New Roman" w:cs="Times New Roman"/>
        </w:rPr>
        <w:br w:type="page"/>
      </w:r>
    </w:p>
    <w:p w14:paraId="7D831042" w14:textId="77777777" w:rsidR="00443399" w:rsidRPr="00B03B51" w:rsidRDefault="00443399" w:rsidP="00443399">
      <w:pPr>
        <w:jc w:val="both"/>
        <w:rPr>
          <w:rFonts w:ascii="Times New Roman" w:eastAsia="Arial" w:hAnsi="Times New Roman" w:cs="Times New Roman"/>
          <w:noProof/>
          <w:sz w:val="24"/>
          <w:szCs w:val="18"/>
        </w:rPr>
      </w:pPr>
    </w:p>
    <w:p w14:paraId="2813A738" w14:textId="77777777" w:rsidR="00443399" w:rsidRPr="00B03B51" w:rsidRDefault="00443399" w:rsidP="00443399">
      <w:pPr>
        <w:pStyle w:val="Heading2"/>
        <w:spacing w:before="0"/>
        <w:ind w:left="0" w:firstLine="0"/>
        <w:jc w:val="both"/>
        <w:rPr>
          <w:rFonts w:ascii="Times New Roman" w:hAnsi="Times New Roman" w:cs="Times New Roman"/>
          <w:noProof/>
          <w:sz w:val="28"/>
          <w:szCs w:val="44"/>
        </w:rPr>
      </w:pPr>
      <w:bookmarkStart w:id="419" w:name="5.4_Restitution_and_use_of_vouchers_for_"/>
      <w:bookmarkStart w:id="420" w:name="_bookmark43"/>
      <w:bookmarkStart w:id="421" w:name="_Toc67565155"/>
      <w:bookmarkEnd w:id="419"/>
      <w:bookmarkEnd w:id="420"/>
      <w:r w:rsidRPr="00B03B51">
        <w:rPr>
          <w:rFonts w:ascii="Times New Roman" w:hAnsi="Times New Roman" w:cs="Times New Roman"/>
          <w:sz w:val="28"/>
          <w:szCs w:val="44"/>
        </w:rPr>
        <w:t>5.4. Privatizācijas sertifikātu restitūcija un izmantošana</w:t>
      </w:r>
      <w:bookmarkEnd w:id="421"/>
    </w:p>
    <w:p w14:paraId="1502D0E9" w14:textId="77777777" w:rsidR="00443399" w:rsidRPr="00100B51" w:rsidRDefault="00443399" w:rsidP="00100B51">
      <w:pPr>
        <w:rPr>
          <w:rFonts w:ascii="Times New Roman" w:hAnsi="Times New Roman" w:cs="Times New Roman"/>
          <w:noProof/>
          <w:sz w:val="24"/>
          <w:szCs w:val="24"/>
        </w:rPr>
      </w:pPr>
      <w:bookmarkStart w:id="422" w:name="5.4.1_Background"/>
      <w:bookmarkEnd w:id="422"/>
    </w:p>
    <w:p w14:paraId="28152BA6" w14:textId="77777777" w:rsidR="00443399" w:rsidRPr="00B03B51" w:rsidRDefault="00443399" w:rsidP="00443399">
      <w:pPr>
        <w:pStyle w:val="Heading3"/>
        <w:ind w:left="0" w:firstLine="0"/>
        <w:jc w:val="both"/>
        <w:rPr>
          <w:rFonts w:ascii="Times New Roman" w:hAnsi="Times New Roman" w:cs="Times New Roman"/>
          <w:noProof/>
          <w:sz w:val="24"/>
        </w:rPr>
      </w:pPr>
      <w:bookmarkStart w:id="423" w:name="_Toc67565156"/>
      <w:r w:rsidRPr="00B03B51">
        <w:rPr>
          <w:rFonts w:ascii="Times New Roman" w:hAnsi="Times New Roman" w:cs="Times New Roman"/>
          <w:sz w:val="24"/>
        </w:rPr>
        <w:t>5.4.1. Vispārīga informācija</w:t>
      </w:r>
      <w:bookmarkEnd w:id="423"/>
    </w:p>
    <w:p w14:paraId="4F385133"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3E8FFFD2"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 Pārejas ekonomikas valstīs privatizācijas jēdzienu var attiecināt arī uz ikvienu pārvedumu (realizāciju) publiskiem vai bijušajiem (privātiem) valdības aktīvu īpašniekiem, ja šie aktīvi iepriekš bija nacionalizēti vai konfiscēti. Ir identificēti trīs gadījumi.</w:t>
      </w:r>
    </w:p>
    <w:p w14:paraId="35560384" w14:textId="77777777" w:rsidR="00443399" w:rsidRPr="00B03B51" w:rsidRDefault="00443399" w:rsidP="00443399">
      <w:pPr>
        <w:jc w:val="both"/>
        <w:rPr>
          <w:rFonts w:ascii="Times New Roman" w:eastAsia="Arial" w:hAnsi="Times New Roman" w:cs="Times New Roman"/>
          <w:noProof/>
          <w:sz w:val="24"/>
          <w:szCs w:val="15"/>
        </w:rPr>
      </w:pPr>
    </w:p>
    <w:p w14:paraId="3FD1ABD4" w14:textId="77777777" w:rsidR="00443399" w:rsidRPr="00B03B51" w:rsidRDefault="00443399" w:rsidP="00443399">
      <w:pPr>
        <w:pStyle w:val="Heading6"/>
        <w:tabs>
          <w:tab w:val="left" w:pos="1267"/>
        </w:tabs>
        <w:ind w:left="0" w:firstLine="0"/>
        <w:jc w:val="both"/>
        <w:rPr>
          <w:rFonts w:ascii="Times New Roman" w:hAnsi="Times New Roman" w:cs="Times New Roman"/>
          <w:noProof/>
          <w:sz w:val="24"/>
        </w:rPr>
      </w:pPr>
      <w:bookmarkStart w:id="424" w:name="5.4.1.1_Restitution_in_kind"/>
      <w:bookmarkEnd w:id="424"/>
      <w:r w:rsidRPr="00B03B51">
        <w:rPr>
          <w:rFonts w:ascii="Times New Roman" w:hAnsi="Times New Roman" w:cs="Times New Roman"/>
          <w:sz w:val="24"/>
        </w:rPr>
        <w:t>5.4.1.1. RESTITŪCIJA NATŪRĀ</w:t>
      </w:r>
    </w:p>
    <w:p w14:paraId="69B9CBCA"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17CBF42E"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2. Restitūcija natūrā attiecas uz nefinanšu aktīvu (parasti zemes un ēku, bet dažos gadījumos arī ražotņu) atdošanu sākotnējam īpašniekam, ja valdība šos nefinanšu aktīvus iepriekš ir nacionalizējusi vai konfiscējusi un ja kopumā restitūcijas laikā tie pieder valdībai, bet dažos gadījumos – publiskām sabiedrībām. Šādi nefinanšu aktīvi var būt pamatlīdzekļi, inventārs, dārgmetāli, zeme vai citi neražoti aktīvi.</w:t>
      </w:r>
    </w:p>
    <w:p w14:paraId="06633C7D" w14:textId="77777777" w:rsidR="00443399" w:rsidRPr="00B03B51" w:rsidRDefault="00443399" w:rsidP="00443399">
      <w:pPr>
        <w:jc w:val="both"/>
        <w:rPr>
          <w:rFonts w:ascii="Times New Roman" w:eastAsia="Arial" w:hAnsi="Times New Roman" w:cs="Times New Roman"/>
          <w:noProof/>
          <w:sz w:val="24"/>
          <w:szCs w:val="15"/>
        </w:rPr>
      </w:pPr>
    </w:p>
    <w:p w14:paraId="28144E98" w14:textId="77777777" w:rsidR="00443399" w:rsidRPr="00B03B51" w:rsidRDefault="00443399" w:rsidP="00443399">
      <w:pPr>
        <w:pStyle w:val="Heading6"/>
        <w:tabs>
          <w:tab w:val="left" w:pos="1267"/>
        </w:tabs>
        <w:ind w:left="0" w:firstLine="0"/>
        <w:jc w:val="both"/>
        <w:rPr>
          <w:rFonts w:ascii="Times New Roman" w:hAnsi="Times New Roman" w:cs="Times New Roman"/>
          <w:noProof/>
          <w:sz w:val="24"/>
        </w:rPr>
      </w:pPr>
      <w:bookmarkStart w:id="425" w:name="5.4.1.2_Restitution_through_financial_co"/>
      <w:bookmarkEnd w:id="425"/>
      <w:r w:rsidRPr="00B03B51">
        <w:rPr>
          <w:rFonts w:ascii="Times New Roman" w:hAnsi="Times New Roman" w:cs="Times New Roman"/>
          <w:sz w:val="24"/>
        </w:rPr>
        <w:t>5.4.1.2. RESTITŪCIJA, IZMANTOJOT FINANŠU KOMPENSĀCIJU</w:t>
      </w:r>
    </w:p>
    <w:p w14:paraId="2E17E620"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65E42959"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3. Ja īpašums, kas jāatdod tā bijušajiem īpašniekiem, neeksistē vai to nevar atdot, ir iespējams piešķirt finanšu kompensāciju, kuru var izsniegt naudas vai citu finanšu instrumentu, piemēram, akciju vai obligāciju, veidā.</w:t>
      </w:r>
    </w:p>
    <w:p w14:paraId="7D131F5C" w14:textId="77777777" w:rsidR="00443399" w:rsidRPr="00B03B51" w:rsidRDefault="00443399" w:rsidP="00443399">
      <w:pPr>
        <w:jc w:val="both"/>
        <w:rPr>
          <w:rFonts w:ascii="Times New Roman" w:eastAsia="Arial" w:hAnsi="Times New Roman" w:cs="Times New Roman"/>
          <w:noProof/>
          <w:sz w:val="24"/>
          <w:szCs w:val="15"/>
        </w:rPr>
      </w:pPr>
    </w:p>
    <w:p w14:paraId="61A6F911" w14:textId="77777777" w:rsidR="00443399" w:rsidRPr="00B03B51" w:rsidRDefault="00443399" w:rsidP="00443399">
      <w:pPr>
        <w:pStyle w:val="Heading6"/>
        <w:tabs>
          <w:tab w:val="left" w:pos="1267"/>
        </w:tabs>
        <w:ind w:left="0" w:firstLine="0"/>
        <w:jc w:val="both"/>
        <w:rPr>
          <w:rFonts w:ascii="Times New Roman" w:hAnsi="Times New Roman" w:cs="Times New Roman"/>
          <w:noProof/>
          <w:sz w:val="24"/>
        </w:rPr>
      </w:pPr>
      <w:bookmarkStart w:id="426" w:name="5.4.1.3_Privatisation_through_the_issue_"/>
      <w:bookmarkEnd w:id="426"/>
      <w:r w:rsidRPr="00B03B51">
        <w:rPr>
          <w:rFonts w:ascii="Times New Roman" w:hAnsi="Times New Roman" w:cs="Times New Roman"/>
          <w:sz w:val="24"/>
        </w:rPr>
        <w:t>5.4.1.3. PRIVATIZĀCIJA, EMITĒJOT SERTIFIKĀTUS</w:t>
      </w:r>
    </w:p>
    <w:p w14:paraId="5DADE9B3"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73EB60C6"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4. Lai privatizētu valsts īpašumā esošus aktīvus, dažās pārejas ekonomikas valstīs valdība iedzīvotājiem ir izdalījusi sertifikātus – bez maksas vai pārdodot tos par nominālvērtību. Sertifikātu turētāji var iegūt akcijas un citu pašu kapitālu (tieši vai netieši), vai nefinanšu aktīvus.</w:t>
      </w:r>
    </w:p>
    <w:p w14:paraId="27EC8996" w14:textId="77777777" w:rsidR="00443399" w:rsidRPr="00B03B51" w:rsidRDefault="00443399" w:rsidP="00443399">
      <w:pPr>
        <w:jc w:val="both"/>
        <w:rPr>
          <w:rFonts w:ascii="Times New Roman" w:eastAsia="Arial" w:hAnsi="Times New Roman" w:cs="Times New Roman"/>
          <w:noProof/>
          <w:sz w:val="24"/>
          <w:szCs w:val="18"/>
        </w:rPr>
      </w:pPr>
    </w:p>
    <w:p w14:paraId="38670A7F" w14:textId="77777777" w:rsidR="00443399" w:rsidRPr="00B03B51" w:rsidRDefault="00443399" w:rsidP="00443399">
      <w:pPr>
        <w:pStyle w:val="Heading3"/>
        <w:tabs>
          <w:tab w:val="left" w:pos="1267"/>
        </w:tabs>
        <w:ind w:left="0" w:firstLine="0"/>
        <w:jc w:val="both"/>
        <w:rPr>
          <w:rFonts w:ascii="Times New Roman" w:hAnsi="Times New Roman" w:cs="Times New Roman"/>
          <w:noProof/>
          <w:sz w:val="24"/>
        </w:rPr>
      </w:pPr>
      <w:bookmarkStart w:id="427" w:name="5.4.2_Treatment_in_national_accounts"/>
      <w:bookmarkStart w:id="428" w:name="_Toc67565157"/>
      <w:bookmarkEnd w:id="427"/>
      <w:r w:rsidRPr="00B03B51">
        <w:rPr>
          <w:rFonts w:ascii="Times New Roman" w:hAnsi="Times New Roman" w:cs="Times New Roman"/>
          <w:sz w:val="24"/>
        </w:rPr>
        <w:t>5.4.2. Traktējums nacionālajos kontos</w:t>
      </w:r>
      <w:bookmarkEnd w:id="428"/>
    </w:p>
    <w:p w14:paraId="640A7D28" w14:textId="77777777" w:rsidR="00443399" w:rsidRPr="00BE27DC" w:rsidRDefault="00443399" w:rsidP="00BE27DC">
      <w:pPr>
        <w:rPr>
          <w:rFonts w:ascii="Times New Roman" w:hAnsi="Times New Roman" w:cs="Times New Roman"/>
          <w:noProof/>
          <w:sz w:val="24"/>
          <w:szCs w:val="24"/>
        </w:rPr>
      </w:pPr>
      <w:bookmarkStart w:id="429" w:name="5.4.2.1_Restitution_in_kind"/>
      <w:bookmarkEnd w:id="429"/>
    </w:p>
    <w:p w14:paraId="01704B44" w14:textId="77777777" w:rsidR="00443399" w:rsidRPr="00B03B51" w:rsidRDefault="00443399" w:rsidP="00443399">
      <w:pPr>
        <w:pStyle w:val="Heading6"/>
        <w:tabs>
          <w:tab w:val="left" w:pos="1267"/>
        </w:tabs>
        <w:ind w:left="0" w:firstLine="0"/>
        <w:jc w:val="both"/>
        <w:rPr>
          <w:rFonts w:ascii="Times New Roman" w:hAnsi="Times New Roman" w:cs="Times New Roman"/>
          <w:noProof/>
          <w:sz w:val="24"/>
        </w:rPr>
      </w:pPr>
      <w:r w:rsidRPr="00B03B51">
        <w:rPr>
          <w:rFonts w:ascii="Times New Roman" w:hAnsi="Times New Roman" w:cs="Times New Roman"/>
          <w:sz w:val="24"/>
        </w:rPr>
        <w:t>5.4.2.1. RESTITŪCIJA NATŪRĀ</w:t>
      </w:r>
    </w:p>
    <w:p w14:paraId="4C041A1D"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546A9D08"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5. Restitūcija natūrā ir nefinanšu aktīvu pārvedums no valdības tiem sektoriem, kuri gūst labumu no šīs restitūcijas. Var izšķirt divus gadījumus.</w:t>
      </w:r>
    </w:p>
    <w:p w14:paraId="191720B0"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274DBF2E" w14:textId="77777777" w:rsidR="00443399" w:rsidRPr="00B03B51" w:rsidRDefault="00443399" w:rsidP="00443399">
      <w:pPr>
        <w:tabs>
          <w:tab w:val="left" w:pos="1126"/>
        </w:tabs>
        <w:ind w:left="284"/>
        <w:jc w:val="both"/>
        <w:rPr>
          <w:rFonts w:ascii="Times New Roman" w:hAnsi="Times New Roman" w:cs="Times New Roman"/>
          <w:b/>
          <w:noProof/>
          <w:sz w:val="24"/>
        </w:rPr>
      </w:pPr>
      <w:r w:rsidRPr="00B03B51">
        <w:rPr>
          <w:rFonts w:ascii="Times New Roman" w:hAnsi="Times New Roman" w:cs="Times New Roman"/>
          <w:b/>
          <w:sz w:val="24"/>
        </w:rPr>
        <w:t>a) Nefinanšu aktīvs, kas jāatdod, ir aptuveni tāds pats kā tas, kurš iepriekš tika nacionalizēts vai konfiscēts. Tas var attiekties uz gadījumiem, kad jāatdod zeme vai citi neražoti aktīvi.</w:t>
      </w:r>
    </w:p>
    <w:p w14:paraId="6CAC06E0" w14:textId="77777777" w:rsidR="00443399" w:rsidRPr="00B03B51" w:rsidRDefault="00443399" w:rsidP="00443399">
      <w:pPr>
        <w:pStyle w:val="BodyText"/>
        <w:spacing w:before="0"/>
        <w:ind w:left="284" w:firstLine="0"/>
        <w:jc w:val="both"/>
        <w:rPr>
          <w:rFonts w:ascii="Times New Roman" w:hAnsi="Times New Roman" w:cs="Times New Roman"/>
          <w:noProof/>
          <w:sz w:val="24"/>
        </w:rPr>
      </w:pPr>
    </w:p>
    <w:p w14:paraId="1E909DF0" w14:textId="77777777" w:rsidR="00443399" w:rsidRPr="00B03B51" w:rsidRDefault="00443399" w:rsidP="00443399">
      <w:pPr>
        <w:pStyle w:val="BodyText"/>
        <w:spacing w:before="0"/>
        <w:ind w:left="284" w:firstLine="0"/>
        <w:jc w:val="both"/>
        <w:rPr>
          <w:rFonts w:ascii="Times New Roman" w:hAnsi="Times New Roman" w:cs="Times New Roman"/>
          <w:noProof/>
          <w:sz w:val="24"/>
        </w:rPr>
      </w:pPr>
      <w:r w:rsidRPr="00B03B51">
        <w:rPr>
          <w:rFonts w:ascii="Times New Roman" w:hAnsi="Times New Roman" w:cs="Times New Roman"/>
          <w:sz w:val="24"/>
        </w:rPr>
        <w:t>Šāda veida restitūciju var uzskatīt par pretēju darījumu nekompensētajai konfiskācijai, kas jāieraksta kontā “Citas aktīvu apjoma pārmaiņas”. Atbilstīgi EKS 2010 šādā gadījumā atdošana jāieraksta kā darījums – negatīvs kapitālieguldījums valdības kontā, kuru līdzsvaro “kapitāla pārveduma maksājums natūrā” (ar pretējām zīmēm saņemošā sektora kontos). Tomēr tas ietekmē aktīvu krājumu, kas ierakstīts bilancēs, un tāpēc palielina neto vērtību sektoriem, kuri gūst labumu no restitūcijas, un vienlaicīgi samazina vispārējās valdības neto vērtību.</w:t>
      </w:r>
    </w:p>
    <w:p w14:paraId="2D07BCA8" w14:textId="77777777" w:rsidR="00443399" w:rsidRPr="00B03B51" w:rsidRDefault="00443399" w:rsidP="00443399">
      <w:pPr>
        <w:tabs>
          <w:tab w:val="left" w:pos="1126"/>
        </w:tabs>
        <w:ind w:left="284"/>
        <w:jc w:val="both"/>
        <w:rPr>
          <w:rFonts w:ascii="Times New Roman" w:hAnsi="Times New Roman" w:cs="Times New Roman"/>
          <w:b/>
          <w:noProof/>
          <w:sz w:val="24"/>
        </w:rPr>
      </w:pPr>
    </w:p>
    <w:p w14:paraId="1CDD42EA" w14:textId="77777777" w:rsidR="00443399" w:rsidRPr="00B03B51" w:rsidRDefault="00443399" w:rsidP="00443399">
      <w:pPr>
        <w:tabs>
          <w:tab w:val="left" w:pos="1126"/>
        </w:tabs>
        <w:ind w:left="284"/>
        <w:jc w:val="both"/>
        <w:rPr>
          <w:rFonts w:ascii="Times New Roman" w:hAnsi="Times New Roman" w:cs="Times New Roman"/>
          <w:b/>
          <w:noProof/>
          <w:sz w:val="24"/>
        </w:rPr>
      </w:pPr>
      <w:r w:rsidRPr="00B03B51">
        <w:rPr>
          <w:rFonts w:ascii="Times New Roman" w:hAnsi="Times New Roman" w:cs="Times New Roman"/>
          <w:b/>
          <w:sz w:val="24"/>
        </w:rPr>
        <w:t xml:space="preserve">b) Atgūstamais nefinanšu aktīvs atšķiras (izskata un vērtības ziņā) no tā, kas iepriekš </w:t>
      </w:r>
      <w:r w:rsidRPr="00B03B51">
        <w:rPr>
          <w:rFonts w:ascii="Times New Roman" w:hAnsi="Times New Roman" w:cs="Times New Roman"/>
          <w:b/>
          <w:sz w:val="24"/>
        </w:rPr>
        <w:lastRenderedPageBreak/>
        <w:t>tika nacionalizēts vai konfiscēts. Tas var attiekties uz mājokļiem vai citiem materiāliem pamatlīdzekļiem.</w:t>
      </w:r>
    </w:p>
    <w:p w14:paraId="6F5CC23A" w14:textId="77777777" w:rsidR="00443399" w:rsidRPr="00B03B51" w:rsidRDefault="00443399" w:rsidP="00443399">
      <w:pPr>
        <w:pStyle w:val="BodyText"/>
        <w:spacing w:before="0"/>
        <w:ind w:left="284" w:firstLine="0"/>
        <w:jc w:val="both"/>
        <w:rPr>
          <w:rFonts w:ascii="Times New Roman" w:hAnsi="Times New Roman" w:cs="Times New Roman"/>
          <w:noProof/>
          <w:sz w:val="24"/>
        </w:rPr>
      </w:pPr>
    </w:p>
    <w:p w14:paraId="54942640" w14:textId="77777777" w:rsidR="00443399" w:rsidRPr="00B03B51" w:rsidRDefault="00443399" w:rsidP="00443399">
      <w:pPr>
        <w:pStyle w:val="BodyText"/>
        <w:spacing w:before="0"/>
        <w:ind w:left="284" w:firstLine="0"/>
        <w:jc w:val="both"/>
        <w:rPr>
          <w:rFonts w:ascii="Times New Roman" w:hAnsi="Times New Roman" w:cs="Times New Roman"/>
          <w:noProof/>
          <w:sz w:val="24"/>
        </w:rPr>
      </w:pPr>
      <w:r w:rsidRPr="00B03B51">
        <w:rPr>
          <w:rFonts w:ascii="Times New Roman" w:hAnsi="Times New Roman" w:cs="Times New Roman"/>
          <w:sz w:val="24"/>
        </w:rPr>
        <w:t>Šādā gadījumā atdošana jāieraksta kā darījums – negatīvs kapitālieguldījums valdības kontā, kuru līdzsvaro “kapitāla pārveduma maksājums natūrā” (ar pretējām zīmēm saņēmēja sektora kontos). Tā kā kapitāla kontā abas plūsmas tiek līdzsvarotas, vispārējās valdības neto aizdevums/aizņēmums (B.9) netiek ietekmēts. Tomēr šis kapitāla pārvedums palielina neto vērtību sektoriem, kuri gūst labumu no restitūcijas, un vienlaikus samazina valdības neto vērtību.</w:t>
      </w:r>
    </w:p>
    <w:p w14:paraId="528C56C4" w14:textId="77777777" w:rsidR="00443399" w:rsidRPr="00B03B51" w:rsidRDefault="00443399" w:rsidP="00443399">
      <w:pPr>
        <w:pStyle w:val="BodyText"/>
        <w:spacing w:before="0"/>
        <w:ind w:left="284" w:firstLine="0"/>
        <w:jc w:val="both"/>
        <w:rPr>
          <w:rFonts w:ascii="Times New Roman" w:hAnsi="Times New Roman" w:cs="Times New Roman"/>
          <w:noProof/>
          <w:sz w:val="24"/>
        </w:rPr>
      </w:pPr>
    </w:p>
    <w:p w14:paraId="6CE97E28" w14:textId="77777777" w:rsidR="00443399" w:rsidRPr="00B03B51" w:rsidRDefault="00443399" w:rsidP="00443399">
      <w:pPr>
        <w:pStyle w:val="BodyText"/>
        <w:spacing w:before="0"/>
        <w:ind w:left="284" w:firstLine="0"/>
        <w:jc w:val="both"/>
        <w:rPr>
          <w:rFonts w:ascii="Times New Roman" w:hAnsi="Times New Roman" w:cs="Times New Roman"/>
          <w:noProof/>
          <w:sz w:val="24"/>
        </w:rPr>
      </w:pPr>
      <w:r w:rsidRPr="00B03B51">
        <w:rPr>
          <w:rFonts w:ascii="Times New Roman" w:hAnsi="Times New Roman" w:cs="Times New Roman"/>
          <w:sz w:val="24"/>
        </w:rPr>
        <w:t>Abos gadījumos ierakstīšanu veic brīdī, kad mainās ekonomiskās īpašumtiesības uz aktīviem.</w:t>
      </w:r>
    </w:p>
    <w:p w14:paraId="5499C662" w14:textId="77777777" w:rsidR="00443399" w:rsidRPr="00B03B51" w:rsidRDefault="00443399" w:rsidP="00443399">
      <w:pPr>
        <w:jc w:val="both"/>
        <w:rPr>
          <w:rFonts w:ascii="Times New Roman" w:hAnsi="Times New Roman" w:cs="Times New Roman"/>
          <w:noProof/>
          <w:sz w:val="24"/>
        </w:rPr>
      </w:pPr>
    </w:p>
    <w:p w14:paraId="2A5C6F33" w14:textId="77777777" w:rsidR="00443399" w:rsidRPr="00B03B51" w:rsidRDefault="00443399" w:rsidP="00443399">
      <w:pPr>
        <w:pStyle w:val="Heading6"/>
        <w:tabs>
          <w:tab w:val="left" w:pos="1267"/>
        </w:tabs>
        <w:ind w:left="0" w:firstLine="0"/>
        <w:jc w:val="both"/>
        <w:rPr>
          <w:rFonts w:ascii="Times New Roman" w:hAnsi="Times New Roman" w:cs="Times New Roman"/>
          <w:noProof/>
          <w:sz w:val="24"/>
        </w:rPr>
      </w:pPr>
      <w:bookmarkStart w:id="430" w:name="5.4.2.2_Restitution_through_financial_co"/>
      <w:bookmarkEnd w:id="430"/>
      <w:r w:rsidRPr="00B03B51">
        <w:rPr>
          <w:rFonts w:ascii="Times New Roman" w:hAnsi="Times New Roman" w:cs="Times New Roman"/>
          <w:sz w:val="24"/>
        </w:rPr>
        <w:t>5.4.2.2. RESTITŪCIJA, IZMANTOJOT FINANŠU KOMPENSĀCIJU</w:t>
      </w:r>
    </w:p>
    <w:p w14:paraId="3722C9F3"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4CAA41A0"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6. Restitūcija, izmantojot finanšu kompensāciju, ir finanšu aktīvu pārvedums no valdības sektora tiem sektoriem, kuri gūst labumu no šīs kompensācijas. Tāpēc valdības kontos šis pārvedums jāieraksta kā finanšu aktīvu samazinājums, ko līdzsvaro kapitāla pārvedums natūrā vai skaidrā naudā (kreditora parāds), un saņēmēju sektoru kontos tas jāieraksta kā finanšu aktīvu palielinājums, kuru kompensē kapitāla pārvedums natūrā vai skaidrā naudā (debitora parāds). Šis kapitāla pārvedums negatīvi ietekmē vispārējās valdības neto aizdevumu/aizņēmumu (B.9), kā arī tās neto vērtību. Darījumu ieraksta brīdī, kad valdība atzīst saistības attiecībā uz noteiktu un neatmaksājamu summu.</w:t>
      </w:r>
    </w:p>
    <w:p w14:paraId="3AA46281" w14:textId="77777777" w:rsidR="00443399" w:rsidRPr="00B03B51" w:rsidRDefault="00443399" w:rsidP="00443399">
      <w:pPr>
        <w:jc w:val="both"/>
        <w:rPr>
          <w:rFonts w:ascii="Times New Roman" w:eastAsia="Arial" w:hAnsi="Times New Roman" w:cs="Times New Roman"/>
          <w:noProof/>
          <w:sz w:val="24"/>
          <w:szCs w:val="15"/>
        </w:rPr>
      </w:pPr>
    </w:p>
    <w:p w14:paraId="4F63BE5D" w14:textId="77777777" w:rsidR="00443399" w:rsidRPr="00B03B51" w:rsidRDefault="00443399" w:rsidP="00443399">
      <w:pPr>
        <w:pStyle w:val="Heading6"/>
        <w:tabs>
          <w:tab w:val="left" w:pos="1267"/>
        </w:tabs>
        <w:ind w:left="0" w:firstLine="0"/>
        <w:jc w:val="both"/>
        <w:rPr>
          <w:rFonts w:ascii="Times New Roman" w:hAnsi="Times New Roman" w:cs="Times New Roman"/>
          <w:noProof/>
          <w:sz w:val="24"/>
        </w:rPr>
      </w:pPr>
      <w:bookmarkStart w:id="431" w:name="5.4.2.3_Privatisation_through_the_issue_"/>
      <w:bookmarkEnd w:id="431"/>
      <w:r w:rsidRPr="00B03B51">
        <w:rPr>
          <w:rFonts w:ascii="Times New Roman" w:hAnsi="Times New Roman" w:cs="Times New Roman"/>
          <w:sz w:val="24"/>
        </w:rPr>
        <w:t>5.4.2.3. PRIVATIZĀCIJA, EMITĒJOT SERTIFIKĀTUS</w:t>
      </w:r>
    </w:p>
    <w:p w14:paraId="408AC4E9"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26B0F14B"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7. Sertifikātus izmanto (galvenokārt mājsaimniecības), lai iegūtu finanšu vai nefinanšu aktīvus, un var uzskatīt, ka valdība tādā veidā uzņemas saistības izpirkt šos sertifikātus apmaiņā pret šādiem finanšu vai nefinanšu aktīviem. Kopumā sertifikāti ir derīgi tikai finanšu un nefinanšu aktīvu iegādei un tāpēc uzskatāmi par iespējamiem aktīviem, ko neieraksta sistēmā.</w:t>
      </w:r>
    </w:p>
    <w:p w14:paraId="6D258B22"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54577CBB"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8. Sistēmā iespējamos aktīvus uzskata par finanšu aktīviem saskaņā ar šādiem nosacījumiem (EKS 2010 5.05. punkts):</w:t>
      </w:r>
    </w:p>
    <w:p w14:paraId="3B58E2A2"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5BFB2C61" w14:textId="77777777" w:rsidR="00443399" w:rsidRPr="00B03B51" w:rsidRDefault="00443399" w:rsidP="00443399">
      <w:pPr>
        <w:pStyle w:val="BodyText"/>
        <w:tabs>
          <w:tab w:val="left" w:pos="1126"/>
        </w:tabs>
        <w:spacing w:before="0"/>
        <w:ind w:left="284" w:firstLine="0"/>
        <w:jc w:val="both"/>
        <w:rPr>
          <w:rFonts w:ascii="Times New Roman" w:hAnsi="Times New Roman" w:cs="Times New Roman"/>
          <w:noProof/>
          <w:sz w:val="24"/>
        </w:rPr>
      </w:pPr>
      <w:r w:rsidRPr="00B03B51">
        <w:rPr>
          <w:rFonts w:ascii="Times New Roman" w:hAnsi="Times New Roman" w:cs="Times New Roman"/>
          <w:sz w:val="24"/>
        </w:rPr>
        <w:t>1) ja tie ir tirgojami – tirgus izveidojas, ja tos var pārdot vai kompensēt tirgū;</w:t>
      </w:r>
    </w:p>
    <w:p w14:paraId="4DE262AC" w14:textId="77777777" w:rsidR="00443399" w:rsidRPr="00B03B51" w:rsidRDefault="00443399" w:rsidP="00443399">
      <w:pPr>
        <w:pStyle w:val="BodyText"/>
        <w:tabs>
          <w:tab w:val="left" w:pos="1126"/>
        </w:tabs>
        <w:spacing w:before="0"/>
        <w:ind w:left="284" w:firstLine="0"/>
        <w:jc w:val="both"/>
        <w:rPr>
          <w:rFonts w:ascii="Times New Roman" w:hAnsi="Times New Roman" w:cs="Times New Roman"/>
          <w:noProof/>
          <w:sz w:val="24"/>
        </w:rPr>
      </w:pPr>
    </w:p>
    <w:p w14:paraId="00F04DBC" w14:textId="77777777" w:rsidR="00443399" w:rsidRPr="00B03B51" w:rsidRDefault="00443399" w:rsidP="00443399">
      <w:pPr>
        <w:pStyle w:val="BodyText"/>
        <w:tabs>
          <w:tab w:val="left" w:pos="1126"/>
        </w:tabs>
        <w:spacing w:before="0"/>
        <w:ind w:left="284" w:firstLine="0"/>
        <w:jc w:val="both"/>
        <w:rPr>
          <w:rFonts w:ascii="Times New Roman" w:hAnsi="Times New Roman" w:cs="Times New Roman"/>
          <w:noProof/>
          <w:sz w:val="24"/>
        </w:rPr>
      </w:pPr>
      <w:r w:rsidRPr="00B03B51">
        <w:rPr>
          <w:rFonts w:ascii="Times New Roman" w:hAnsi="Times New Roman" w:cs="Times New Roman"/>
          <w:sz w:val="24"/>
        </w:rPr>
        <w:t>2) ja ir pieejama informācija par sertifikātiem – par veiktajiem darījumiem un par tirgus cenām;</w:t>
      </w:r>
    </w:p>
    <w:p w14:paraId="1DE2D255" w14:textId="77777777" w:rsidR="00443399" w:rsidRPr="00B03B51" w:rsidRDefault="00443399" w:rsidP="00443399">
      <w:pPr>
        <w:pStyle w:val="BodyText"/>
        <w:tabs>
          <w:tab w:val="left" w:pos="1126"/>
        </w:tabs>
        <w:spacing w:before="0"/>
        <w:ind w:left="284" w:firstLine="0"/>
        <w:jc w:val="both"/>
        <w:rPr>
          <w:rFonts w:ascii="Times New Roman" w:hAnsi="Times New Roman" w:cs="Times New Roman"/>
          <w:noProof/>
          <w:sz w:val="24"/>
        </w:rPr>
      </w:pPr>
    </w:p>
    <w:p w14:paraId="21ABC0BA" w14:textId="77777777" w:rsidR="00443399" w:rsidRPr="00B03B51" w:rsidRDefault="00443399" w:rsidP="00443399">
      <w:pPr>
        <w:pStyle w:val="BodyText"/>
        <w:tabs>
          <w:tab w:val="left" w:pos="1126"/>
        </w:tabs>
        <w:spacing w:before="0"/>
        <w:ind w:left="284" w:firstLine="0"/>
        <w:jc w:val="both"/>
        <w:rPr>
          <w:rFonts w:ascii="Times New Roman" w:hAnsi="Times New Roman" w:cs="Times New Roman"/>
          <w:noProof/>
          <w:sz w:val="24"/>
        </w:rPr>
      </w:pPr>
      <w:r w:rsidRPr="00B03B51">
        <w:rPr>
          <w:rFonts w:ascii="Times New Roman" w:hAnsi="Times New Roman" w:cs="Times New Roman"/>
          <w:sz w:val="24"/>
        </w:rPr>
        <w:t>3) ja tirgū ir pietiekams darījumu apjoms, lai varētu noteikt kopējo tirgus vērtību;</w:t>
      </w:r>
    </w:p>
    <w:p w14:paraId="550D673D" w14:textId="77777777" w:rsidR="00443399" w:rsidRPr="00B03B51" w:rsidRDefault="00443399" w:rsidP="00443399">
      <w:pPr>
        <w:pStyle w:val="BodyText"/>
        <w:tabs>
          <w:tab w:val="left" w:pos="1126"/>
        </w:tabs>
        <w:spacing w:before="0"/>
        <w:ind w:left="284" w:firstLine="0"/>
        <w:jc w:val="both"/>
        <w:rPr>
          <w:rFonts w:ascii="Times New Roman" w:hAnsi="Times New Roman" w:cs="Times New Roman"/>
          <w:noProof/>
          <w:sz w:val="24"/>
        </w:rPr>
      </w:pPr>
    </w:p>
    <w:p w14:paraId="7E3E722D" w14:textId="77777777" w:rsidR="00443399" w:rsidRPr="00B03B51" w:rsidRDefault="00443399" w:rsidP="00443399">
      <w:pPr>
        <w:pStyle w:val="BodyText"/>
        <w:tabs>
          <w:tab w:val="left" w:pos="1126"/>
        </w:tabs>
        <w:spacing w:before="0"/>
        <w:ind w:left="284" w:firstLine="0"/>
        <w:jc w:val="both"/>
        <w:rPr>
          <w:rFonts w:ascii="Times New Roman" w:hAnsi="Times New Roman" w:cs="Times New Roman"/>
          <w:noProof/>
          <w:sz w:val="24"/>
        </w:rPr>
      </w:pPr>
      <w:r w:rsidRPr="00B03B51">
        <w:rPr>
          <w:rFonts w:ascii="Times New Roman" w:hAnsi="Times New Roman" w:cs="Times New Roman"/>
          <w:sz w:val="24"/>
        </w:rPr>
        <w:t>4) ja sertifikātus uzskata par finanšu aktīviem, tos var uzskatīt par īpaša veida atvasinātiem finanšu instrumentiem (F.71).</w:t>
      </w:r>
    </w:p>
    <w:p w14:paraId="3CAF16CB"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240A39B2"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9. Atkarībā no tā, vai sertifikātus uzskata vai neuzskata par finanšu aktīviem, var izšķirt divus turpmāk minētos gadījumus.</w:t>
      </w:r>
    </w:p>
    <w:p w14:paraId="3754343C" w14:textId="77777777" w:rsidR="00443399" w:rsidRPr="00BE27DC" w:rsidRDefault="00443399" w:rsidP="00BE27DC">
      <w:pPr>
        <w:rPr>
          <w:rFonts w:ascii="Times New Roman" w:hAnsi="Times New Roman" w:cs="Times New Roman"/>
          <w:noProof/>
          <w:sz w:val="24"/>
          <w:szCs w:val="24"/>
        </w:rPr>
      </w:pPr>
      <w:bookmarkStart w:id="432" w:name="5.4.2.3.1._Vouchers_are_considered_to_be"/>
      <w:bookmarkEnd w:id="432"/>
    </w:p>
    <w:p w14:paraId="3464C215" w14:textId="77777777" w:rsidR="00443399" w:rsidRPr="00B03B51" w:rsidRDefault="00443399" w:rsidP="00443399">
      <w:pPr>
        <w:pStyle w:val="Heading6"/>
        <w:tabs>
          <w:tab w:val="left" w:pos="1978"/>
        </w:tabs>
        <w:ind w:left="0" w:firstLine="0"/>
        <w:jc w:val="both"/>
        <w:rPr>
          <w:rFonts w:ascii="Times New Roman" w:hAnsi="Times New Roman" w:cs="Times New Roman"/>
          <w:noProof/>
          <w:sz w:val="24"/>
        </w:rPr>
      </w:pPr>
      <w:r w:rsidRPr="00B03B51">
        <w:rPr>
          <w:rFonts w:ascii="Times New Roman" w:hAnsi="Times New Roman" w:cs="Times New Roman"/>
          <w:sz w:val="24"/>
        </w:rPr>
        <w:t>5.4.2.3.1. Sertifikātus uzskata par finanšu aktīviem, kad tos emitē</w:t>
      </w:r>
    </w:p>
    <w:p w14:paraId="187662C4"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10B7C974"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10. Šādā gadījumā sertifikātus ieraksta nacionālo kontu sistēmā brīdī, kad tos emitē.</w:t>
      </w:r>
    </w:p>
    <w:p w14:paraId="75B82F38"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35F86D82" w14:textId="77777777" w:rsidR="00443399" w:rsidRPr="00B03B51" w:rsidRDefault="00443399" w:rsidP="00443399">
      <w:pPr>
        <w:tabs>
          <w:tab w:val="left" w:pos="1126"/>
        </w:tabs>
        <w:ind w:left="284"/>
        <w:jc w:val="both"/>
        <w:rPr>
          <w:rFonts w:ascii="Times New Roman" w:hAnsi="Times New Roman" w:cs="Times New Roman"/>
          <w:b/>
          <w:noProof/>
          <w:sz w:val="24"/>
        </w:rPr>
      </w:pPr>
      <w:r w:rsidRPr="00B03B51">
        <w:rPr>
          <w:rFonts w:ascii="Times New Roman" w:hAnsi="Times New Roman" w:cs="Times New Roman"/>
          <w:b/>
          <w:sz w:val="24"/>
        </w:rPr>
        <w:lastRenderedPageBreak/>
        <w:t>a) Finanšu aktīvu iegāde</w:t>
      </w:r>
    </w:p>
    <w:p w14:paraId="168DD8F0" w14:textId="77777777" w:rsidR="00443399" w:rsidRPr="00B03B51" w:rsidRDefault="00443399" w:rsidP="00443399">
      <w:pPr>
        <w:pStyle w:val="BodyText"/>
        <w:spacing w:before="0"/>
        <w:ind w:left="284" w:firstLine="0"/>
        <w:jc w:val="both"/>
        <w:rPr>
          <w:rFonts w:ascii="Times New Roman" w:hAnsi="Times New Roman" w:cs="Times New Roman"/>
          <w:noProof/>
          <w:sz w:val="24"/>
        </w:rPr>
      </w:pPr>
    </w:p>
    <w:p w14:paraId="5AC83851" w14:textId="77777777" w:rsidR="00443399" w:rsidRPr="00B03B51" w:rsidRDefault="00443399" w:rsidP="00443399">
      <w:pPr>
        <w:pStyle w:val="BodyText"/>
        <w:spacing w:before="0"/>
        <w:ind w:left="284" w:firstLine="0"/>
        <w:jc w:val="both"/>
        <w:rPr>
          <w:rFonts w:ascii="Times New Roman" w:hAnsi="Times New Roman" w:cs="Times New Roman"/>
          <w:noProof/>
          <w:sz w:val="24"/>
        </w:rPr>
      </w:pPr>
      <w:r w:rsidRPr="00B03B51">
        <w:rPr>
          <w:rFonts w:ascii="Times New Roman" w:hAnsi="Times New Roman" w:cs="Times New Roman"/>
          <w:sz w:val="24"/>
        </w:rPr>
        <w:t>Sertifikātu pārvedums jāieraksta kā finanšu darījums (pozīcijā “Atvasinātie finanšu instrumenti” (F.71)), kuru līdzsvaro kapitāla pārvedums natūrā no vispārējās valdības. Tas negatīvi ietekmē vispārējās valdības neto aizdevumu/aizņēmumu (B.9), kā arī tās neto vērtību.</w:t>
      </w:r>
    </w:p>
    <w:p w14:paraId="4E25600E" w14:textId="77777777" w:rsidR="00443399" w:rsidRPr="00B03B51" w:rsidRDefault="00443399" w:rsidP="00443399">
      <w:pPr>
        <w:pStyle w:val="BodyText"/>
        <w:spacing w:before="0"/>
        <w:ind w:left="284" w:firstLine="0"/>
        <w:jc w:val="both"/>
        <w:rPr>
          <w:rFonts w:ascii="Times New Roman" w:hAnsi="Times New Roman" w:cs="Times New Roman"/>
          <w:noProof/>
          <w:sz w:val="24"/>
        </w:rPr>
      </w:pPr>
    </w:p>
    <w:p w14:paraId="0AE2D0C1" w14:textId="77777777" w:rsidR="00443399" w:rsidRPr="00B03B51" w:rsidRDefault="00443399" w:rsidP="00443399">
      <w:pPr>
        <w:pStyle w:val="BodyText"/>
        <w:spacing w:before="0"/>
        <w:ind w:left="284" w:firstLine="0"/>
        <w:jc w:val="both"/>
        <w:rPr>
          <w:rFonts w:ascii="Times New Roman" w:hAnsi="Times New Roman" w:cs="Times New Roman"/>
          <w:noProof/>
          <w:sz w:val="24"/>
        </w:rPr>
      </w:pPr>
      <w:r w:rsidRPr="00B03B51">
        <w:rPr>
          <w:rFonts w:ascii="Times New Roman" w:hAnsi="Times New Roman" w:cs="Times New Roman"/>
          <w:sz w:val="24"/>
        </w:rPr>
        <w:t>Tirgus attīstās, un sertifikātu vērtību tajā nosaka tādā apmērā, kādā šos sertifikātus var pārdot vai kompensēt tirgū. Darījumi ar sertifikātiem jāuzskaita kā finanšu darījumi starp attiecīgajiem sektoriem. Pārmaiņas sertifikātu vērtībā vienā un tajā pašā periodā jāieraksta kā turēšanas guvumi un zaudējumi dažādo iesaistīto sektoru kontos “Citas aktīvu pārmaiņas” (pārvērtēšanas kontā).</w:t>
      </w:r>
    </w:p>
    <w:p w14:paraId="3A6F4385" w14:textId="77777777" w:rsidR="00443399" w:rsidRPr="00B03B51" w:rsidRDefault="00443399" w:rsidP="00443399">
      <w:pPr>
        <w:pStyle w:val="BodyText"/>
        <w:spacing w:before="0"/>
        <w:ind w:left="284" w:firstLine="0"/>
        <w:jc w:val="both"/>
        <w:rPr>
          <w:rFonts w:ascii="Times New Roman" w:hAnsi="Times New Roman" w:cs="Times New Roman"/>
          <w:noProof/>
          <w:sz w:val="24"/>
        </w:rPr>
      </w:pPr>
    </w:p>
    <w:p w14:paraId="597E2320" w14:textId="77777777" w:rsidR="00443399" w:rsidRPr="00B03B51" w:rsidRDefault="00443399" w:rsidP="00443399">
      <w:pPr>
        <w:pStyle w:val="BodyText"/>
        <w:spacing w:before="0"/>
        <w:ind w:left="284" w:firstLine="0"/>
        <w:jc w:val="both"/>
        <w:rPr>
          <w:rFonts w:ascii="Times New Roman" w:hAnsi="Times New Roman" w:cs="Times New Roman"/>
          <w:noProof/>
          <w:sz w:val="24"/>
        </w:rPr>
      </w:pPr>
      <w:r w:rsidRPr="00B03B51">
        <w:rPr>
          <w:rFonts w:ascii="Times New Roman" w:hAnsi="Times New Roman" w:cs="Times New Roman"/>
          <w:sz w:val="24"/>
        </w:rPr>
        <w:t>Sertifikātu maiņa pret publisku sabiedrību akcijām pilnīgi jāieraksta vispārējās valdības finanšu kontā. Tas neietekmē vispārējās valdības neto aizdevumu/aizņēmumu (B.9).</w:t>
      </w:r>
    </w:p>
    <w:p w14:paraId="57166C59" w14:textId="77777777" w:rsidR="00443399" w:rsidRPr="00B03B51" w:rsidRDefault="00443399" w:rsidP="00443399">
      <w:pPr>
        <w:tabs>
          <w:tab w:val="left" w:pos="1126"/>
        </w:tabs>
        <w:ind w:left="284"/>
        <w:jc w:val="both"/>
        <w:rPr>
          <w:rFonts w:ascii="Times New Roman" w:hAnsi="Times New Roman" w:cs="Times New Roman"/>
          <w:b/>
          <w:noProof/>
          <w:sz w:val="24"/>
        </w:rPr>
      </w:pPr>
    </w:p>
    <w:p w14:paraId="1247777D" w14:textId="77777777" w:rsidR="00443399" w:rsidRPr="00B03B51" w:rsidRDefault="00443399" w:rsidP="00443399">
      <w:pPr>
        <w:tabs>
          <w:tab w:val="left" w:pos="1126"/>
        </w:tabs>
        <w:ind w:left="284"/>
        <w:jc w:val="both"/>
        <w:rPr>
          <w:rFonts w:ascii="Times New Roman" w:hAnsi="Times New Roman" w:cs="Times New Roman"/>
          <w:b/>
          <w:noProof/>
          <w:sz w:val="24"/>
        </w:rPr>
      </w:pPr>
      <w:r w:rsidRPr="00B03B51">
        <w:rPr>
          <w:rFonts w:ascii="Times New Roman" w:hAnsi="Times New Roman" w:cs="Times New Roman"/>
          <w:b/>
          <w:sz w:val="24"/>
        </w:rPr>
        <w:t>b) Nefinanšu aktīvu iegāde</w:t>
      </w:r>
    </w:p>
    <w:p w14:paraId="5ABFB220" w14:textId="77777777" w:rsidR="00443399" w:rsidRPr="00B03B51" w:rsidRDefault="00443399" w:rsidP="00443399">
      <w:pPr>
        <w:pStyle w:val="BodyText"/>
        <w:spacing w:before="0"/>
        <w:ind w:left="284" w:firstLine="0"/>
        <w:jc w:val="both"/>
        <w:rPr>
          <w:rFonts w:ascii="Times New Roman" w:hAnsi="Times New Roman" w:cs="Times New Roman"/>
          <w:noProof/>
          <w:sz w:val="24"/>
        </w:rPr>
      </w:pPr>
    </w:p>
    <w:p w14:paraId="07216CEA" w14:textId="77777777" w:rsidR="00443399" w:rsidRPr="00B03B51" w:rsidRDefault="00443399" w:rsidP="00443399">
      <w:pPr>
        <w:pStyle w:val="BodyText"/>
        <w:spacing w:before="0"/>
        <w:ind w:left="284" w:firstLine="0"/>
        <w:jc w:val="both"/>
        <w:rPr>
          <w:rFonts w:ascii="Times New Roman" w:hAnsi="Times New Roman" w:cs="Times New Roman"/>
          <w:noProof/>
          <w:sz w:val="24"/>
        </w:rPr>
      </w:pPr>
      <w:r w:rsidRPr="00B03B51">
        <w:rPr>
          <w:rFonts w:ascii="Times New Roman" w:hAnsi="Times New Roman" w:cs="Times New Roman"/>
          <w:sz w:val="24"/>
        </w:rPr>
        <w:t>Sertifikātus maina pret nefinanšu sabiedrību pārdotajām precēm. Šīs nefinanšu sabiedrības iegūst prasījumu pret vispārējo valdību un izmanto to, lai pieteiktos izsolei uz akcijām, kuras pieder vispārējai valdībai un kuras tā pārdod.</w:t>
      </w:r>
    </w:p>
    <w:p w14:paraId="285C0714" w14:textId="77777777" w:rsidR="00443399" w:rsidRPr="00B03B51" w:rsidRDefault="00443399" w:rsidP="00443399">
      <w:pPr>
        <w:pStyle w:val="BodyText"/>
        <w:spacing w:before="0"/>
        <w:ind w:left="284" w:firstLine="0"/>
        <w:jc w:val="both"/>
        <w:rPr>
          <w:rFonts w:ascii="Times New Roman" w:hAnsi="Times New Roman" w:cs="Times New Roman"/>
          <w:noProof/>
          <w:sz w:val="24"/>
        </w:rPr>
      </w:pPr>
    </w:p>
    <w:p w14:paraId="6D885B56" w14:textId="77777777" w:rsidR="00443399" w:rsidRPr="00B03B51" w:rsidRDefault="00443399" w:rsidP="00443399">
      <w:pPr>
        <w:pStyle w:val="BodyText"/>
        <w:spacing w:before="0"/>
        <w:ind w:left="284" w:firstLine="0"/>
        <w:jc w:val="both"/>
        <w:rPr>
          <w:rFonts w:ascii="Times New Roman" w:hAnsi="Times New Roman" w:cs="Times New Roman"/>
          <w:noProof/>
          <w:sz w:val="24"/>
        </w:rPr>
      </w:pPr>
      <w:r w:rsidRPr="00B03B51">
        <w:rPr>
          <w:rFonts w:ascii="Times New Roman" w:hAnsi="Times New Roman" w:cs="Times New Roman"/>
          <w:sz w:val="24"/>
        </w:rPr>
        <w:t>Sertifikātu maiņa pret precēm jāieraksta kā galapatēriņa izdevumi (P.3), ko līdzsvaro atvasināto finanšu instrumentu (F.71) samazināšanās mājsaimniecību sektora aktīva pusē. Pasīva pusē valdībai jāieraksta atvasināto finanšu instrumentu samazināšanās un aktīva pusē jāieraksta pašu kapitāla (F.5) samazināšanās publiskās sabiedrībās. Tādējādi vispārējās valdības neto aizdevums/aizņēmums (B.9) un neto vērtība netiek ietekmēti.</w:t>
      </w:r>
    </w:p>
    <w:p w14:paraId="2324E09D" w14:textId="77777777" w:rsidR="00443399" w:rsidRPr="00B03B51" w:rsidRDefault="00443399" w:rsidP="00443399">
      <w:pPr>
        <w:pStyle w:val="BodyText"/>
        <w:spacing w:before="0"/>
        <w:ind w:left="0" w:firstLine="0"/>
        <w:jc w:val="both"/>
        <w:rPr>
          <w:rFonts w:ascii="Times New Roman" w:hAnsi="Times New Roman" w:cs="Times New Roman"/>
          <w:noProof/>
          <w:sz w:val="24"/>
        </w:rPr>
      </w:pPr>
    </w:p>
    <w:p w14:paraId="58C9AFF0" w14:textId="77777777" w:rsidR="00443399" w:rsidRPr="00B03B51" w:rsidRDefault="00443399" w:rsidP="00443399">
      <w:pPr>
        <w:pStyle w:val="Heading6"/>
        <w:tabs>
          <w:tab w:val="left" w:pos="1978"/>
        </w:tabs>
        <w:ind w:left="0" w:firstLine="0"/>
        <w:jc w:val="both"/>
        <w:rPr>
          <w:rFonts w:ascii="Times New Roman" w:hAnsi="Times New Roman" w:cs="Times New Roman"/>
          <w:noProof/>
          <w:sz w:val="24"/>
        </w:rPr>
      </w:pPr>
      <w:bookmarkStart w:id="433" w:name="5.4.2.3.2._Vouchers_are_only_contingent_"/>
      <w:bookmarkEnd w:id="433"/>
      <w:r w:rsidRPr="00B03B51">
        <w:rPr>
          <w:rFonts w:ascii="Times New Roman" w:hAnsi="Times New Roman" w:cs="Times New Roman"/>
          <w:sz w:val="24"/>
        </w:rPr>
        <w:t>5.4.2.3.2. Sertifikāti ir tikai iespējamie aktīvi</w:t>
      </w:r>
    </w:p>
    <w:p w14:paraId="4C6F8046"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6C98E175"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11. Ja sertifikātus uzskata par iespējamajiem aktīviem, tad tie nav jāieraksta sistēmā to emisijas brīdī. Tos var izmantot vienīgi finanšu vai nefinanšu aktīvu iegādei.</w:t>
      </w:r>
    </w:p>
    <w:p w14:paraId="400E3226" w14:textId="77777777" w:rsidR="00443399" w:rsidRPr="00B03B51" w:rsidRDefault="00443399" w:rsidP="00443399">
      <w:pPr>
        <w:jc w:val="both"/>
        <w:rPr>
          <w:rFonts w:ascii="Times New Roman" w:hAnsi="Times New Roman" w:cs="Times New Roman"/>
          <w:noProof/>
          <w:sz w:val="24"/>
        </w:rPr>
      </w:pPr>
    </w:p>
    <w:p w14:paraId="7BA6C454"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12. Šādā gadījumā sertifikātu emisijas brīdī tos neieraksta; sertifikātus ieraksta tikai tad, kad tos apmaina pret finanšu vai nefinanšu aktīviem.</w:t>
      </w:r>
    </w:p>
    <w:p w14:paraId="47C6B344" w14:textId="77777777" w:rsidR="00443399" w:rsidRPr="00B03B51" w:rsidRDefault="00443399" w:rsidP="00443399">
      <w:pPr>
        <w:tabs>
          <w:tab w:val="left" w:pos="1126"/>
        </w:tabs>
        <w:jc w:val="both"/>
        <w:rPr>
          <w:rFonts w:ascii="Times New Roman" w:hAnsi="Times New Roman" w:cs="Times New Roman"/>
          <w:b/>
          <w:noProof/>
          <w:sz w:val="24"/>
        </w:rPr>
      </w:pPr>
    </w:p>
    <w:p w14:paraId="2CD80F25" w14:textId="77777777" w:rsidR="00443399" w:rsidRPr="00B03B51" w:rsidRDefault="00443399" w:rsidP="00443399">
      <w:pPr>
        <w:tabs>
          <w:tab w:val="left" w:pos="1126"/>
        </w:tabs>
        <w:ind w:left="284"/>
        <w:jc w:val="both"/>
        <w:rPr>
          <w:rFonts w:ascii="Times New Roman" w:hAnsi="Times New Roman" w:cs="Times New Roman"/>
          <w:b/>
          <w:noProof/>
          <w:sz w:val="24"/>
        </w:rPr>
      </w:pPr>
      <w:r w:rsidRPr="00B03B51">
        <w:rPr>
          <w:rFonts w:ascii="Times New Roman" w:hAnsi="Times New Roman" w:cs="Times New Roman"/>
          <w:b/>
          <w:sz w:val="24"/>
        </w:rPr>
        <w:t>a) Finanšu aktīvu iegāde</w:t>
      </w:r>
    </w:p>
    <w:p w14:paraId="77C9D74E" w14:textId="77777777" w:rsidR="00443399" w:rsidRPr="00B03B51" w:rsidRDefault="00443399" w:rsidP="00443399">
      <w:pPr>
        <w:pStyle w:val="BodyText"/>
        <w:spacing w:before="0"/>
        <w:ind w:left="284" w:firstLine="0"/>
        <w:jc w:val="both"/>
        <w:rPr>
          <w:rFonts w:ascii="Times New Roman" w:hAnsi="Times New Roman" w:cs="Times New Roman"/>
          <w:noProof/>
          <w:sz w:val="24"/>
        </w:rPr>
      </w:pPr>
    </w:p>
    <w:p w14:paraId="1555B583" w14:textId="77777777" w:rsidR="00443399" w:rsidRPr="00B03B51" w:rsidRDefault="00443399" w:rsidP="00443399">
      <w:pPr>
        <w:pStyle w:val="BodyText"/>
        <w:spacing w:before="0"/>
        <w:ind w:left="284" w:firstLine="0"/>
        <w:jc w:val="both"/>
        <w:rPr>
          <w:rFonts w:ascii="Times New Roman" w:hAnsi="Times New Roman" w:cs="Times New Roman"/>
          <w:noProof/>
          <w:sz w:val="24"/>
        </w:rPr>
      </w:pPr>
      <w:r w:rsidRPr="00B03B51">
        <w:rPr>
          <w:rFonts w:ascii="Times New Roman" w:hAnsi="Times New Roman" w:cs="Times New Roman"/>
          <w:sz w:val="24"/>
        </w:rPr>
        <w:t>Sertifikātu apmaiņa pret publisku sabiedrību akcijām jāieraksta kā finanšu darījums ar akcijām un citu pašu kapitālu (F.5), ko līdzsvaro kapitāla pārvedums natūrā (D.9) no vispārējās valdības. Mājsaimniecību sektoram tas palielina akcijas un citu pašu kapitālu aktīva pusē, savukārt valdībai samazina akcijas un citu pašu kapitālu aktīva pusē. Šī apmaiņa negatīvi ietekmē vispārējās valdības neto aizdevumu/aizņēmumu (B.9), kā arī tās neto vērtību.</w:t>
      </w:r>
    </w:p>
    <w:p w14:paraId="142124E8" w14:textId="77777777" w:rsidR="00443399" w:rsidRPr="00B03B51" w:rsidRDefault="00443399" w:rsidP="00443399">
      <w:pPr>
        <w:tabs>
          <w:tab w:val="left" w:pos="1126"/>
        </w:tabs>
        <w:ind w:left="284"/>
        <w:jc w:val="both"/>
        <w:rPr>
          <w:rFonts w:ascii="Times New Roman" w:hAnsi="Times New Roman" w:cs="Times New Roman"/>
          <w:b/>
          <w:noProof/>
          <w:sz w:val="24"/>
        </w:rPr>
      </w:pPr>
    </w:p>
    <w:p w14:paraId="5691823D" w14:textId="77777777" w:rsidR="00443399" w:rsidRPr="00B03B51" w:rsidRDefault="00443399" w:rsidP="00443399">
      <w:pPr>
        <w:tabs>
          <w:tab w:val="left" w:pos="1126"/>
        </w:tabs>
        <w:ind w:left="284"/>
        <w:jc w:val="both"/>
        <w:rPr>
          <w:rFonts w:ascii="Times New Roman" w:hAnsi="Times New Roman" w:cs="Times New Roman"/>
          <w:b/>
          <w:noProof/>
          <w:sz w:val="24"/>
        </w:rPr>
      </w:pPr>
      <w:r w:rsidRPr="00B03B51">
        <w:rPr>
          <w:rFonts w:ascii="Times New Roman" w:hAnsi="Times New Roman" w:cs="Times New Roman"/>
          <w:b/>
          <w:sz w:val="24"/>
        </w:rPr>
        <w:t>b) Nefinanšu aktīvu iegāde</w:t>
      </w:r>
    </w:p>
    <w:p w14:paraId="273E5393" w14:textId="77777777" w:rsidR="00443399" w:rsidRPr="00B03B51" w:rsidRDefault="00443399" w:rsidP="00443399">
      <w:pPr>
        <w:pStyle w:val="BodyText"/>
        <w:spacing w:before="0"/>
        <w:ind w:left="284" w:firstLine="0"/>
        <w:jc w:val="both"/>
        <w:rPr>
          <w:rFonts w:ascii="Times New Roman" w:hAnsi="Times New Roman" w:cs="Times New Roman"/>
          <w:noProof/>
          <w:sz w:val="24"/>
        </w:rPr>
      </w:pPr>
    </w:p>
    <w:p w14:paraId="1D18FA15" w14:textId="77777777" w:rsidR="00443399" w:rsidRPr="00B03B51" w:rsidRDefault="00443399" w:rsidP="00443399">
      <w:pPr>
        <w:pStyle w:val="BodyText"/>
        <w:spacing w:before="0"/>
        <w:ind w:left="284" w:firstLine="0"/>
        <w:jc w:val="both"/>
        <w:rPr>
          <w:rFonts w:ascii="Times New Roman" w:hAnsi="Times New Roman" w:cs="Times New Roman"/>
          <w:noProof/>
          <w:sz w:val="24"/>
        </w:rPr>
      </w:pPr>
      <w:r w:rsidRPr="00B03B51">
        <w:rPr>
          <w:rFonts w:ascii="Times New Roman" w:hAnsi="Times New Roman" w:cs="Times New Roman"/>
          <w:sz w:val="24"/>
        </w:rPr>
        <w:t>Sertifikātu apmaiņa pret nefinanšu aktīviem jāieraksta kā negatīvs kapitālieguldījums (P.51g), ko līdzsvaro kapitāla pārvedums natūrā (D.9) no vispārējās valdības. Tas neietekmē vispārējās valdības neto aizdevumu/aizņēmumu (B.9). Tomēr šī apmaiņa samazina vispārējās valdības neto vērtību.</w:t>
      </w:r>
    </w:p>
    <w:p w14:paraId="623EBCA3" w14:textId="77777777" w:rsidR="00443399" w:rsidRPr="00B03B51" w:rsidRDefault="00443399" w:rsidP="00443399">
      <w:pPr>
        <w:jc w:val="both"/>
        <w:rPr>
          <w:rFonts w:ascii="Times New Roman" w:eastAsia="Arial" w:hAnsi="Times New Roman" w:cs="Times New Roman"/>
          <w:noProof/>
          <w:sz w:val="24"/>
          <w:szCs w:val="15"/>
        </w:rPr>
      </w:pPr>
    </w:p>
    <w:p w14:paraId="1BD79E39" w14:textId="77777777" w:rsidR="00443399" w:rsidRPr="00B03B51" w:rsidRDefault="00443399" w:rsidP="00443399">
      <w:pPr>
        <w:pStyle w:val="Heading6"/>
        <w:ind w:left="0" w:firstLine="0"/>
        <w:jc w:val="both"/>
        <w:rPr>
          <w:rFonts w:ascii="Times New Roman" w:hAnsi="Times New Roman" w:cs="Times New Roman"/>
          <w:noProof/>
          <w:sz w:val="24"/>
        </w:rPr>
      </w:pPr>
      <w:bookmarkStart w:id="434" w:name="5.4.2.4_Impact_of_vouchers_on_government"/>
      <w:bookmarkEnd w:id="434"/>
      <w:r w:rsidRPr="00B03B51">
        <w:rPr>
          <w:rFonts w:ascii="Times New Roman" w:hAnsi="Times New Roman" w:cs="Times New Roman"/>
          <w:sz w:val="24"/>
        </w:rPr>
        <w:t>5.4.2.4. SERTIFIKĀTU IETEKME UZ VALDĪBAS PARĀDU</w:t>
      </w:r>
    </w:p>
    <w:p w14:paraId="39DD9E7D"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0615FA94"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13. Atbilstoši EKS 2010 sertifikātu ierakstīšana (tiklīdz tos uzskata par finanšu saistībām) valdības bilancē palielina valdības saistību krājumu.</w:t>
      </w:r>
    </w:p>
    <w:p w14:paraId="143AB917"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2BDB591C"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14. Sertifikāti neietekmē valsts parāda aprēķināšanu (skat. 8. daļu) atbilstoši pārmērīga budžeta deficīta novēršanas procedūrai tiktāl, ciktāl var pieņemt, ka atbilstošie ierakstāmie aktīvi/saistības ir atvasināti finanšu instrumenti (F.71).</w:t>
      </w:r>
    </w:p>
    <w:p w14:paraId="18F65207" w14:textId="77777777" w:rsidR="00443399" w:rsidRPr="00B03B51" w:rsidRDefault="00443399" w:rsidP="00443399">
      <w:pPr>
        <w:jc w:val="both"/>
        <w:rPr>
          <w:rFonts w:ascii="Times New Roman" w:eastAsia="Arial" w:hAnsi="Times New Roman" w:cs="Times New Roman"/>
          <w:noProof/>
          <w:sz w:val="24"/>
          <w:szCs w:val="18"/>
        </w:rPr>
      </w:pPr>
    </w:p>
    <w:p w14:paraId="3CB59BA1" w14:textId="77777777" w:rsidR="00443399" w:rsidRPr="00B03B51" w:rsidRDefault="00443399" w:rsidP="00443399">
      <w:pPr>
        <w:pStyle w:val="Heading3"/>
        <w:tabs>
          <w:tab w:val="left" w:pos="1267"/>
        </w:tabs>
        <w:ind w:left="0" w:firstLine="0"/>
        <w:jc w:val="both"/>
        <w:rPr>
          <w:rFonts w:ascii="Times New Roman" w:hAnsi="Times New Roman" w:cs="Times New Roman"/>
          <w:noProof/>
          <w:sz w:val="24"/>
        </w:rPr>
      </w:pPr>
      <w:bookmarkStart w:id="435" w:name="5.4.3_Rationale_of_the_treatment"/>
      <w:bookmarkStart w:id="436" w:name="_Toc67565158"/>
      <w:bookmarkEnd w:id="435"/>
      <w:r w:rsidRPr="00B03B51">
        <w:rPr>
          <w:rFonts w:ascii="Times New Roman" w:hAnsi="Times New Roman" w:cs="Times New Roman"/>
          <w:sz w:val="24"/>
        </w:rPr>
        <w:t>5.4.3. Traktējuma pamatojums</w:t>
      </w:r>
      <w:bookmarkEnd w:id="436"/>
    </w:p>
    <w:p w14:paraId="1E203519" w14:textId="77777777" w:rsidR="00443399" w:rsidRPr="00BE27DC" w:rsidRDefault="00443399" w:rsidP="00BE27DC">
      <w:pPr>
        <w:rPr>
          <w:rFonts w:ascii="Times New Roman" w:hAnsi="Times New Roman" w:cs="Times New Roman"/>
          <w:noProof/>
          <w:sz w:val="24"/>
          <w:szCs w:val="24"/>
        </w:rPr>
      </w:pPr>
      <w:bookmarkStart w:id="437" w:name="5.4.3.1_Restitution_in_kind:"/>
      <w:bookmarkEnd w:id="437"/>
    </w:p>
    <w:p w14:paraId="54A1D01B" w14:textId="77777777" w:rsidR="00443399" w:rsidRPr="00B03B51" w:rsidRDefault="00443399" w:rsidP="00443399">
      <w:pPr>
        <w:pStyle w:val="Heading6"/>
        <w:tabs>
          <w:tab w:val="left" w:pos="1267"/>
        </w:tabs>
        <w:ind w:left="0" w:firstLine="0"/>
        <w:jc w:val="both"/>
        <w:rPr>
          <w:rFonts w:ascii="Times New Roman" w:hAnsi="Times New Roman" w:cs="Times New Roman"/>
          <w:noProof/>
          <w:sz w:val="24"/>
        </w:rPr>
      </w:pPr>
      <w:r w:rsidRPr="00B03B51">
        <w:rPr>
          <w:rFonts w:ascii="Times New Roman" w:hAnsi="Times New Roman" w:cs="Times New Roman"/>
          <w:sz w:val="24"/>
        </w:rPr>
        <w:t>5.4.3.1. RESTITŪCIJA NATŪRĀ</w:t>
      </w:r>
    </w:p>
    <w:p w14:paraId="5EB97559"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0BD7B37F"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15. Var dažādi analizēt divus turpmāk minētos gadījumus.</w:t>
      </w:r>
    </w:p>
    <w:p w14:paraId="6D0DD2A5" w14:textId="77777777" w:rsidR="00443399" w:rsidRPr="00B03B51" w:rsidRDefault="00443399" w:rsidP="00443399">
      <w:pPr>
        <w:pStyle w:val="BodyText"/>
        <w:tabs>
          <w:tab w:val="left" w:pos="1126"/>
        </w:tabs>
        <w:spacing w:before="0"/>
        <w:ind w:left="0" w:firstLine="0"/>
        <w:jc w:val="both"/>
        <w:rPr>
          <w:rFonts w:ascii="Times New Roman" w:hAnsi="Times New Roman" w:cs="Times New Roman"/>
          <w:noProof/>
          <w:sz w:val="24"/>
        </w:rPr>
      </w:pPr>
    </w:p>
    <w:p w14:paraId="4656F708" w14:textId="77777777" w:rsidR="00443399" w:rsidRPr="00B03B51" w:rsidRDefault="00443399" w:rsidP="00443399">
      <w:pPr>
        <w:pStyle w:val="BodyText"/>
        <w:tabs>
          <w:tab w:val="left" w:pos="1126"/>
        </w:tabs>
        <w:spacing w:before="0"/>
        <w:ind w:left="284" w:firstLine="0"/>
        <w:jc w:val="both"/>
        <w:rPr>
          <w:rFonts w:ascii="Times New Roman" w:hAnsi="Times New Roman" w:cs="Times New Roman"/>
          <w:noProof/>
          <w:sz w:val="24"/>
        </w:rPr>
      </w:pPr>
      <w:r w:rsidRPr="00B03B51">
        <w:rPr>
          <w:rFonts w:ascii="Times New Roman" w:hAnsi="Times New Roman" w:cs="Times New Roman"/>
          <w:sz w:val="24"/>
        </w:rPr>
        <w:t>1) Atgūtais aktīvs ir tas pats aktīvs, kuru valdība ir konfiscējusi. Šī ir vienpusēja bagātības restitūcija, atdodot nefinanšu aktīvu, ko valdība iepriekš ir pārņēmusi, nepiešķirot kompensāciju. Šāda vienpusējas konfiskācijas nekompensētā daļa nav kapitāla pārvedums (EKS 2010, 6.10. punkts), bet tā jāieraksta kontā “Citas aktīvu apjoma pārmaiņas” (K.4). Tomēr restitūcija netiek traktēta simetriskā veidā un tiek ierakstīta kā aktīva realizācija, kurai valdības kontos atbilst kapitāla pārveduma izdevumi.</w:t>
      </w:r>
    </w:p>
    <w:p w14:paraId="114FC7C0" w14:textId="77777777" w:rsidR="00443399" w:rsidRPr="00B03B51" w:rsidRDefault="00443399" w:rsidP="00443399">
      <w:pPr>
        <w:pStyle w:val="BodyText"/>
        <w:tabs>
          <w:tab w:val="left" w:pos="1126"/>
        </w:tabs>
        <w:spacing w:before="0"/>
        <w:ind w:left="284" w:firstLine="0"/>
        <w:jc w:val="both"/>
        <w:rPr>
          <w:rFonts w:ascii="Times New Roman" w:hAnsi="Times New Roman" w:cs="Times New Roman"/>
          <w:noProof/>
          <w:sz w:val="24"/>
        </w:rPr>
      </w:pPr>
    </w:p>
    <w:p w14:paraId="3CAEBC0F" w14:textId="77777777" w:rsidR="00443399" w:rsidRPr="00B03B51" w:rsidRDefault="00443399" w:rsidP="00443399">
      <w:pPr>
        <w:pStyle w:val="BodyText"/>
        <w:tabs>
          <w:tab w:val="left" w:pos="1126"/>
        </w:tabs>
        <w:spacing w:before="0"/>
        <w:ind w:left="284" w:firstLine="0"/>
        <w:jc w:val="both"/>
        <w:rPr>
          <w:rFonts w:ascii="Times New Roman" w:hAnsi="Times New Roman" w:cs="Times New Roman"/>
          <w:noProof/>
          <w:sz w:val="24"/>
        </w:rPr>
      </w:pPr>
      <w:r w:rsidRPr="00B03B51">
        <w:rPr>
          <w:rFonts w:ascii="Times New Roman" w:hAnsi="Times New Roman" w:cs="Times New Roman"/>
          <w:sz w:val="24"/>
        </w:rPr>
        <w:t>2) Atgūtais aktīvs ir mainījies. Restitūciju analizē kā brīvprātīgu bagātības pārvedumu, ko veic saskaņā ar savstarpēju vienošanos (pretēji citām aktīvu apjoma pārmaiņām). Par pretvērtības darījumu uzskata kapitāla pārvedumu (citi kapitāla pārvedumi (D.99), EKS 2010 4.164. punkts). To var secināt no kapitāla pārvedumu definīcijas (EKS 2010 4.146. punkts: “Kapitāla pārvedumu natūrā veido aktīva (izņemot inventāra un naudas) īpašumtiesību maiņa vai kreditora anulētas saistības, par to nesaņemot nekādu pretvērtību.” Var arī uzskatīt, ka šādam pārvedumam nepieciešams neliels valsts finansējums (skat. arī EKS 2010 6.11. punktu).</w:t>
      </w:r>
    </w:p>
    <w:p w14:paraId="167164D7" w14:textId="77777777" w:rsidR="00443399" w:rsidRPr="00B03B51" w:rsidRDefault="00443399" w:rsidP="00443399">
      <w:pPr>
        <w:jc w:val="both"/>
        <w:rPr>
          <w:rFonts w:ascii="Times New Roman" w:eastAsia="Arial" w:hAnsi="Times New Roman" w:cs="Times New Roman"/>
          <w:noProof/>
          <w:sz w:val="24"/>
          <w:szCs w:val="15"/>
        </w:rPr>
      </w:pPr>
    </w:p>
    <w:p w14:paraId="17365A55" w14:textId="77777777" w:rsidR="00443399" w:rsidRPr="00B03B51" w:rsidRDefault="00443399" w:rsidP="00443399">
      <w:pPr>
        <w:pStyle w:val="Heading6"/>
        <w:tabs>
          <w:tab w:val="left" w:pos="1267"/>
        </w:tabs>
        <w:ind w:left="0" w:firstLine="0"/>
        <w:jc w:val="both"/>
        <w:rPr>
          <w:rFonts w:ascii="Times New Roman" w:hAnsi="Times New Roman" w:cs="Times New Roman"/>
          <w:noProof/>
          <w:sz w:val="24"/>
        </w:rPr>
      </w:pPr>
      <w:bookmarkStart w:id="438" w:name="5.4.3.2_Restitution_though_financial_com"/>
      <w:bookmarkEnd w:id="438"/>
      <w:r w:rsidRPr="00B03B51">
        <w:rPr>
          <w:rFonts w:ascii="Times New Roman" w:hAnsi="Times New Roman" w:cs="Times New Roman"/>
          <w:sz w:val="24"/>
        </w:rPr>
        <w:t>5.4.3.2. RESTITŪCIJA, IZMANTOJOT FINANŠU KOMPENSĀCIJU</w:t>
      </w:r>
    </w:p>
    <w:p w14:paraId="1B343AA2"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3DBA24D4"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16. Šādu kompensāciju parasti piešķir daudzus gadus pēc konfiskācijas (bieži pēc 40–50 gadiem). Atšķirībā no restitūcijas natūrā (kad aktīvs nav mainījies) restitūcijai, izmantojot finanšu kompensāciju, vajadzīgs valdības finansējums. Tāpat kā visos tajos bagātības pārvedumu gadījumos, ko veic saskaņā ar savstarpēju vienošanos, pretvērtības darījums ir kapitāla pārvedums (citi kapitāla pārvedumi (D.99), EKS 2010 4.164. punkts).</w:t>
      </w:r>
    </w:p>
    <w:p w14:paraId="2923B9E6" w14:textId="77777777" w:rsidR="00443399" w:rsidRPr="00B03B51" w:rsidRDefault="00443399" w:rsidP="00443399">
      <w:pPr>
        <w:jc w:val="both"/>
        <w:rPr>
          <w:rFonts w:ascii="Times New Roman" w:eastAsia="Arial" w:hAnsi="Times New Roman" w:cs="Times New Roman"/>
          <w:noProof/>
          <w:sz w:val="24"/>
          <w:szCs w:val="15"/>
        </w:rPr>
      </w:pPr>
    </w:p>
    <w:p w14:paraId="5A9F8113" w14:textId="77777777" w:rsidR="00443399" w:rsidRPr="00B03B51" w:rsidRDefault="00443399" w:rsidP="00443399">
      <w:pPr>
        <w:pStyle w:val="Heading6"/>
        <w:tabs>
          <w:tab w:val="left" w:pos="1267"/>
        </w:tabs>
        <w:ind w:left="0" w:firstLine="0"/>
        <w:jc w:val="both"/>
        <w:rPr>
          <w:rFonts w:ascii="Times New Roman" w:hAnsi="Times New Roman" w:cs="Times New Roman"/>
          <w:noProof/>
          <w:sz w:val="24"/>
        </w:rPr>
      </w:pPr>
      <w:bookmarkStart w:id="439" w:name="5.4.3.3_Exchange_of_vouchers:"/>
      <w:bookmarkEnd w:id="439"/>
      <w:r w:rsidRPr="00B03B51">
        <w:rPr>
          <w:rFonts w:ascii="Times New Roman" w:hAnsi="Times New Roman" w:cs="Times New Roman"/>
          <w:sz w:val="24"/>
        </w:rPr>
        <w:t>5.4.3.3. SERTIFIKĀTU APMAIŅA</w:t>
      </w:r>
    </w:p>
    <w:p w14:paraId="34278B8C"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6C2144EF"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17. Ja sertifikātus uzskata par finanšu aktīviem, to apmaiņa pret pašu kapitālu (AF.5) izriet no finanšu darījumu definīcijas (EKS 2010 5.02. punkts) un no finanšu kontu definīcijas (EKS 2010 8.50. punkts); kad valdības bilancē vienu finanšu aktīvu tieši apmaina pret citu finanšu aktīvu, ne bagātībā, ne ienākumu plūsmā pārmaiņas nenotiek. Kas attiecas uz sertifikātu apmaiņu pret nefinanšu aktīviem, noteikumi izriet no attiecīgo aktīvu realizācijas definīcijas un kapitāla konta definīcijas (EKS 2010 8.46. punkts).</w:t>
      </w:r>
    </w:p>
    <w:p w14:paraId="535E852D" w14:textId="77777777" w:rsidR="00443399" w:rsidRPr="00B03B51" w:rsidRDefault="00443399" w:rsidP="00443399">
      <w:pPr>
        <w:jc w:val="both"/>
        <w:rPr>
          <w:rFonts w:ascii="Times New Roman" w:eastAsia="Arial" w:hAnsi="Times New Roman" w:cs="Times New Roman"/>
          <w:noProof/>
          <w:sz w:val="24"/>
          <w:szCs w:val="19"/>
        </w:rPr>
      </w:pPr>
    </w:p>
    <w:p w14:paraId="6C27EF07" w14:textId="77777777" w:rsidR="00443399" w:rsidRPr="00B03B51" w:rsidRDefault="00443399" w:rsidP="00395F44">
      <w:pPr>
        <w:pStyle w:val="Heading3"/>
        <w:keepNext/>
        <w:tabs>
          <w:tab w:val="left" w:pos="1267"/>
        </w:tabs>
        <w:ind w:left="0" w:firstLine="0"/>
        <w:jc w:val="both"/>
        <w:rPr>
          <w:rFonts w:ascii="Times New Roman" w:hAnsi="Times New Roman" w:cs="Times New Roman"/>
          <w:noProof/>
          <w:sz w:val="24"/>
        </w:rPr>
      </w:pPr>
      <w:bookmarkStart w:id="440" w:name="5.4.4_Accounting_examples"/>
      <w:bookmarkStart w:id="441" w:name="_Toc67565159"/>
      <w:bookmarkEnd w:id="440"/>
      <w:r w:rsidRPr="00B03B51">
        <w:rPr>
          <w:rFonts w:ascii="Times New Roman" w:hAnsi="Times New Roman" w:cs="Times New Roman"/>
          <w:sz w:val="24"/>
        </w:rPr>
        <w:lastRenderedPageBreak/>
        <w:t>5.4.4. Uzskaites piemēri</w:t>
      </w:r>
      <w:bookmarkEnd w:id="441"/>
    </w:p>
    <w:p w14:paraId="5309DE05" w14:textId="77777777" w:rsidR="00443399" w:rsidRPr="00B03B51" w:rsidRDefault="00443399" w:rsidP="00395F44">
      <w:pPr>
        <w:keepNext/>
        <w:tabs>
          <w:tab w:val="left" w:pos="770"/>
        </w:tabs>
        <w:jc w:val="both"/>
        <w:rPr>
          <w:rFonts w:ascii="Times New Roman" w:hAnsi="Times New Roman" w:cs="Times New Roman"/>
          <w:b/>
          <w:noProof/>
          <w:sz w:val="24"/>
        </w:rPr>
      </w:pPr>
    </w:p>
    <w:p w14:paraId="3C975709" w14:textId="77777777" w:rsidR="00443399" w:rsidRPr="00B03B51" w:rsidRDefault="00443399" w:rsidP="00395F44">
      <w:pPr>
        <w:keepNext/>
        <w:tabs>
          <w:tab w:val="left" w:pos="770"/>
        </w:tabs>
        <w:jc w:val="both"/>
        <w:rPr>
          <w:rFonts w:ascii="Times New Roman" w:hAnsi="Times New Roman" w:cs="Times New Roman"/>
          <w:b/>
          <w:noProof/>
          <w:sz w:val="24"/>
        </w:rPr>
      </w:pPr>
      <w:r w:rsidRPr="00B03B51">
        <w:rPr>
          <w:rFonts w:ascii="Times New Roman" w:hAnsi="Times New Roman" w:cs="Times New Roman"/>
          <w:b/>
          <w:sz w:val="24"/>
        </w:rPr>
        <w:t>1. Restitūcija natūrā</w:t>
      </w:r>
    </w:p>
    <w:p w14:paraId="14F2B95B" w14:textId="77777777" w:rsidR="00443399" w:rsidRPr="00B03B51" w:rsidRDefault="00443399" w:rsidP="00395F44">
      <w:pPr>
        <w:keepNext/>
        <w:tabs>
          <w:tab w:val="left" w:pos="843"/>
        </w:tabs>
        <w:jc w:val="both"/>
        <w:rPr>
          <w:rFonts w:ascii="Times New Roman" w:hAnsi="Times New Roman" w:cs="Times New Roman"/>
          <w:b/>
          <w:noProof/>
          <w:sz w:val="24"/>
        </w:rPr>
      </w:pPr>
    </w:p>
    <w:p w14:paraId="3EBD9DAB" w14:textId="77777777" w:rsidR="00443399" w:rsidRPr="00B03B51" w:rsidRDefault="00443399" w:rsidP="00443399">
      <w:pPr>
        <w:tabs>
          <w:tab w:val="left" w:pos="843"/>
        </w:tabs>
        <w:jc w:val="both"/>
        <w:rPr>
          <w:rFonts w:ascii="Times New Roman" w:hAnsi="Times New Roman" w:cs="Times New Roman"/>
          <w:b/>
          <w:noProof/>
          <w:sz w:val="24"/>
        </w:rPr>
      </w:pPr>
      <w:r w:rsidRPr="00B03B51">
        <w:rPr>
          <w:rFonts w:ascii="Times New Roman" w:hAnsi="Times New Roman" w:cs="Times New Roman"/>
          <w:b/>
          <w:sz w:val="24"/>
        </w:rPr>
        <w:t>i) Nefinanšu aktīvs, kas jāatdod, ir aptuveni tāds pats kā tas, kurš iepriekš tika nacionalizēts vai konfiscēts.</w:t>
      </w:r>
    </w:p>
    <w:p w14:paraId="0B567926" w14:textId="77777777" w:rsidR="00443399" w:rsidRPr="00B03B51" w:rsidRDefault="00443399" w:rsidP="00443399">
      <w:pPr>
        <w:pStyle w:val="BodyText"/>
        <w:spacing w:before="0"/>
        <w:ind w:left="0" w:firstLine="0"/>
        <w:jc w:val="both"/>
        <w:rPr>
          <w:rFonts w:ascii="Times New Roman" w:hAnsi="Times New Roman" w:cs="Times New Roman"/>
          <w:noProof/>
          <w:sz w:val="24"/>
        </w:rPr>
      </w:pPr>
    </w:p>
    <w:p w14:paraId="0F7259FC" w14:textId="77777777" w:rsidR="00443399" w:rsidRPr="00B03B51" w:rsidRDefault="00443399" w:rsidP="00443399">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noProof/>
          <w:sz w:val="24"/>
        </w:rPr>
        <mc:AlternateContent>
          <mc:Choice Requires="wpg">
            <w:drawing>
              <wp:anchor distT="0" distB="0" distL="114300" distR="114300" simplePos="0" relativeHeight="251661312" behindDoc="1" locked="0" layoutInCell="1" allowOverlap="1" wp14:anchorId="77CA8096" wp14:editId="2EB3F60D">
                <wp:simplePos x="0" y="0"/>
                <wp:positionH relativeFrom="page">
                  <wp:posOffset>2292985</wp:posOffset>
                </wp:positionH>
                <wp:positionV relativeFrom="paragraph">
                  <wp:posOffset>1520190</wp:posOffset>
                </wp:positionV>
                <wp:extent cx="1270" cy="139065"/>
                <wp:effectExtent l="6985" t="13335" r="10795" b="9525"/>
                <wp:wrapNone/>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139065"/>
                          <a:chOff x="3611" y="2394"/>
                          <a:chExt cx="2" cy="219"/>
                        </a:xfrm>
                      </wpg:grpSpPr>
                      <wps:wsp>
                        <wps:cNvPr id="16" name="Freeform 3"/>
                        <wps:cNvSpPr>
                          <a:spLocks/>
                        </wps:cNvSpPr>
                        <wps:spPr bwMode="auto">
                          <a:xfrm>
                            <a:off x="3611" y="2394"/>
                            <a:ext cx="2" cy="219"/>
                          </a:xfrm>
                          <a:custGeom>
                            <a:avLst/>
                            <a:gdLst>
                              <a:gd name="T0" fmla="+- 0 2394 2394"/>
                              <a:gd name="T1" fmla="*/ 2394 h 219"/>
                              <a:gd name="T2" fmla="+- 0 2612 2394"/>
                              <a:gd name="T3" fmla="*/ 2612 h 219"/>
                            </a:gdLst>
                            <a:ahLst/>
                            <a:cxnLst>
                              <a:cxn ang="0">
                                <a:pos x="0" y="T1"/>
                              </a:cxn>
                              <a:cxn ang="0">
                                <a:pos x="0" y="T3"/>
                              </a:cxn>
                            </a:cxnLst>
                            <a:rect l="0" t="0" r="r" b="b"/>
                            <a:pathLst>
                              <a:path h="219">
                                <a:moveTo>
                                  <a:pt x="0" y="0"/>
                                </a:moveTo>
                                <a:lnTo>
                                  <a:pt x="0" y="218"/>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FE6CD03" id="Group 15" o:spid="_x0000_s1026" style="position:absolute;margin-left:180.55pt;margin-top:119.7pt;width:.1pt;height:10.95pt;z-index:-251655168;mso-position-horizontal-relative:page" coordorigin="3611,2394" coordsize="2,2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">
                <v:shape id="Freeform 3" o:spid="_x0000_s1027" style="position:absolute;left:3611;top:2394;width:2;height:219;visibility:visible;mso-wrap-style:square;v-text-anchor:top" coordsize="2,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" path="m,l,218e" filled="f" strokeweight=".82pt">
                  <v:path arrowok="t" o:connecttype="custom" o:connectlocs="0,2394;0,2612" o:connectangles="0,0"/>
                </v:shape>
                <w10:wrap anchorx="page"/>
              </v:group>
            </w:pict>
          </mc:Fallback>
        </mc:AlternateContent>
      </w:r>
      <w:r w:rsidRPr="00B03B51">
        <w:rPr>
          <w:rFonts w:ascii="Times New Roman" w:hAnsi="Times New Roman" w:cs="Times New Roman"/>
          <w:noProof/>
          <w:sz w:val="24"/>
        </w:rPr>
        <mc:AlternateContent>
          <mc:Choice Requires="wpg">
            <w:drawing>
              <wp:anchor distT="0" distB="0" distL="114300" distR="114300" simplePos="0" relativeHeight="251662336" behindDoc="1" locked="0" layoutInCell="1" allowOverlap="1" wp14:anchorId="48F3186E" wp14:editId="30FD0748">
                <wp:simplePos x="0" y="0"/>
                <wp:positionH relativeFrom="page">
                  <wp:posOffset>5351780</wp:posOffset>
                </wp:positionH>
                <wp:positionV relativeFrom="paragraph">
                  <wp:posOffset>1520190</wp:posOffset>
                </wp:positionV>
                <wp:extent cx="1270" cy="139065"/>
                <wp:effectExtent l="8255" t="13335" r="9525" b="9525"/>
                <wp:wrapNone/>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139065"/>
                          <a:chOff x="8428" y="2394"/>
                          <a:chExt cx="2" cy="219"/>
                        </a:xfrm>
                      </wpg:grpSpPr>
                      <wps:wsp>
                        <wps:cNvPr id="14" name="Freeform 5"/>
                        <wps:cNvSpPr>
                          <a:spLocks/>
                        </wps:cNvSpPr>
                        <wps:spPr bwMode="auto">
                          <a:xfrm>
                            <a:off x="8428" y="2394"/>
                            <a:ext cx="2" cy="219"/>
                          </a:xfrm>
                          <a:custGeom>
                            <a:avLst/>
                            <a:gdLst>
                              <a:gd name="T0" fmla="+- 0 2394 2394"/>
                              <a:gd name="T1" fmla="*/ 2394 h 219"/>
                              <a:gd name="T2" fmla="+- 0 2612 2394"/>
                              <a:gd name="T3" fmla="*/ 2612 h 219"/>
                            </a:gdLst>
                            <a:ahLst/>
                            <a:cxnLst>
                              <a:cxn ang="0">
                                <a:pos x="0" y="T1"/>
                              </a:cxn>
                              <a:cxn ang="0">
                                <a:pos x="0" y="T3"/>
                              </a:cxn>
                            </a:cxnLst>
                            <a:rect l="0" t="0" r="r" b="b"/>
                            <a:pathLst>
                              <a:path h="219">
                                <a:moveTo>
                                  <a:pt x="0" y="0"/>
                                </a:moveTo>
                                <a:lnTo>
                                  <a:pt x="0" y="218"/>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784D1F8" id="Group 13" o:spid="_x0000_s1026" style="position:absolute;margin-left:421.4pt;margin-top:119.7pt;width:.1pt;height:10.95pt;z-index:-251654144;mso-position-horizontal-relative:page" coordorigin="8428,2394" coordsize="2,2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">
                <v:shape id="Freeform 5" o:spid="_x0000_s1027" style="position:absolute;left:8428;top:2394;width:2;height:219;visibility:visible;mso-wrap-style:square;v-text-anchor:top" coordsize="2,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" path="m,l,218e" filled="f" strokeweight=".82pt">
                  <v:path arrowok="t" o:connecttype="custom" o:connectlocs="0,2394;0,2612" o:connectangles="0,0"/>
                </v:shape>
                <w10:wrap anchorx="page"/>
              </v:group>
            </w:pict>
          </mc:Fallback>
        </mc:AlternateContent>
      </w:r>
      <w:r w:rsidRPr="00B03B51">
        <w:rPr>
          <w:rFonts w:ascii="Times New Roman" w:hAnsi="Times New Roman" w:cs="Times New Roman"/>
          <w:sz w:val="24"/>
        </w:rPr>
        <w:t>Turpmāk minētajos piemēros valdība atdod mājsaimniecību sektoram nefinanšu aktīvus (zemi), kuru vērtība ir 100 naudas vienības.</w:t>
      </w:r>
    </w:p>
    <w:p w14:paraId="30F2CE59" w14:textId="77777777" w:rsidR="00443399" w:rsidRPr="00B03B51" w:rsidRDefault="00443399" w:rsidP="00443399">
      <w:pPr>
        <w:jc w:val="both"/>
        <w:rPr>
          <w:rFonts w:ascii="Times New Roman" w:eastAsia="Arial" w:hAnsi="Times New Roman" w:cs="Times New Roman"/>
          <w:noProof/>
          <w:sz w:val="24"/>
          <w:szCs w:val="20"/>
        </w:rPr>
      </w:pPr>
    </w:p>
    <w:p w14:paraId="6DE2EFD7" w14:textId="77777777" w:rsidR="00443399" w:rsidRPr="00B03B51" w:rsidRDefault="00443399" w:rsidP="00443399">
      <w:pPr>
        <w:jc w:val="center"/>
        <w:rPr>
          <w:rFonts w:ascii="Times New Roman" w:eastAsia="Arial" w:hAnsi="Times New Roman" w:cs="Times New Roman"/>
          <w:noProof/>
          <w:sz w:val="24"/>
          <w:szCs w:val="18"/>
        </w:rPr>
      </w:pPr>
      <w:r w:rsidRPr="00B03B51">
        <w:rPr>
          <w:rFonts w:ascii="Times New Roman" w:hAnsi="Times New Roman" w:cs="Times New Roman"/>
          <w:noProof/>
        </w:rPr>
        <w:drawing>
          <wp:inline distT="0" distB="0" distL="0" distR="0" wp14:anchorId="760D2E65" wp14:editId="72B9BF57">
            <wp:extent cx="5756275" cy="3082925"/>
            <wp:effectExtent l="0" t="0" r="0" b="3175"/>
            <wp:docPr id="43" name="Attēls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6"/>
                    <a:stretch>
                      <a:fillRect/>
                    </a:stretch>
                  </pic:blipFill>
                  <pic:spPr>
                    <a:xfrm>
                      <a:off x="0" y="0"/>
                      <a:ext cx="5756275" cy="3082925"/>
                    </a:xfrm>
                    <a:prstGeom prst="rect">
                      <a:avLst/>
                    </a:prstGeom>
                  </pic:spPr>
                </pic:pic>
              </a:graphicData>
            </a:graphic>
          </wp:inline>
        </w:drawing>
      </w:r>
    </w:p>
    <w:p w14:paraId="3617FE32" w14:textId="77777777" w:rsidR="00443399" w:rsidRPr="00B03B51" w:rsidRDefault="00443399" w:rsidP="00443399">
      <w:pPr>
        <w:jc w:val="both"/>
        <w:rPr>
          <w:rFonts w:ascii="Times New Roman" w:eastAsia="Arial" w:hAnsi="Times New Roman" w:cs="Times New Roman"/>
          <w:noProof/>
          <w:sz w:val="24"/>
          <w:szCs w:val="18"/>
        </w:rPr>
      </w:pPr>
    </w:p>
    <w:p w14:paraId="517F9E01" w14:textId="77777777" w:rsidR="00443399" w:rsidRPr="00B03B51" w:rsidRDefault="00443399" w:rsidP="00443399">
      <w:pPr>
        <w:tabs>
          <w:tab w:val="left" w:pos="843"/>
        </w:tabs>
        <w:jc w:val="both"/>
        <w:rPr>
          <w:rFonts w:ascii="Times New Roman" w:hAnsi="Times New Roman" w:cs="Times New Roman"/>
          <w:b/>
          <w:noProof/>
          <w:sz w:val="24"/>
        </w:rPr>
      </w:pPr>
      <w:r w:rsidRPr="00B03B51">
        <w:rPr>
          <w:rFonts w:ascii="Times New Roman" w:hAnsi="Times New Roman" w:cs="Times New Roman"/>
          <w:b/>
          <w:sz w:val="24"/>
        </w:rPr>
        <w:t>ii) Nefinanšu aktīvs, kas jāatdod, atšķiras (izskata un vērtības ziņā) no tā, kas iepriekš tika nacionalizēts vai konfiscēts.</w:t>
      </w:r>
    </w:p>
    <w:p w14:paraId="27DD5E09" w14:textId="77777777" w:rsidR="00443399" w:rsidRPr="00B03B51" w:rsidRDefault="00443399" w:rsidP="00443399">
      <w:pPr>
        <w:pStyle w:val="BodyText"/>
        <w:spacing w:before="0"/>
        <w:ind w:left="0" w:firstLine="0"/>
        <w:jc w:val="both"/>
        <w:rPr>
          <w:rFonts w:ascii="Times New Roman" w:hAnsi="Times New Roman" w:cs="Times New Roman"/>
          <w:noProof/>
          <w:sz w:val="24"/>
        </w:rPr>
      </w:pPr>
    </w:p>
    <w:p w14:paraId="726D58A8" w14:textId="77777777" w:rsidR="00443399" w:rsidRPr="00B03B51" w:rsidRDefault="00443399" w:rsidP="00443399">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t>Turpmākajā piemērā valdības sektors atdod mājsaimniecību sektoram mājokļus, kuru vērtība ir 100 naudas vienības.</w:t>
      </w:r>
    </w:p>
    <w:p w14:paraId="67EF199E" w14:textId="77777777" w:rsidR="00443399" w:rsidRPr="00B03B51" w:rsidRDefault="00443399" w:rsidP="00443399">
      <w:pPr>
        <w:jc w:val="both"/>
        <w:rPr>
          <w:rFonts w:ascii="Times New Roman" w:eastAsia="Arial" w:hAnsi="Times New Roman" w:cs="Times New Roman"/>
          <w:noProof/>
          <w:sz w:val="24"/>
          <w:szCs w:val="20"/>
        </w:rPr>
      </w:pPr>
    </w:p>
    <w:p w14:paraId="5AB6B483" w14:textId="77777777" w:rsidR="00443399" w:rsidRPr="00B03B51" w:rsidRDefault="00443399" w:rsidP="00443399">
      <w:pPr>
        <w:jc w:val="center"/>
        <w:rPr>
          <w:rFonts w:ascii="Times New Roman" w:eastAsia="Arial" w:hAnsi="Times New Roman" w:cs="Times New Roman"/>
          <w:noProof/>
          <w:sz w:val="24"/>
          <w:szCs w:val="19"/>
        </w:rPr>
      </w:pPr>
      <w:r w:rsidRPr="00B03B51">
        <w:rPr>
          <w:rFonts w:ascii="Times New Roman" w:hAnsi="Times New Roman" w:cs="Times New Roman"/>
          <w:noProof/>
        </w:rPr>
        <w:drawing>
          <wp:inline distT="0" distB="0" distL="0" distR="0" wp14:anchorId="5AEE671D" wp14:editId="06F69CC7">
            <wp:extent cx="5756275" cy="2757170"/>
            <wp:effectExtent l="0" t="0" r="0" b="5080"/>
            <wp:docPr id="44" name="Attēls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7"/>
                    <a:stretch>
                      <a:fillRect/>
                    </a:stretch>
                  </pic:blipFill>
                  <pic:spPr>
                    <a:xfrm>
                      <a:off x="0" y="0"/>
                      <a:ext cx="5756275" cy="2757170"/>
                    </a:xfrm>
                    <a:prstGeom prst="rect">
                      <a:avLst/>
                    </a:prstGeom>
                  </pic:spPr>
                </pic:pic>
              </a:graphicData>
            </a:graphic>
          </wp:inline>
        </w:drawing>
      </w:r>
    </w:p>
    <w:p w14:paraId="2E37F7EF" w14:textId="77777777" w:rsidR="00443399" w:rsidRPr="00B03B51" w:rsidRDefault="00443399" w:rsidP="00443399">
      <w:pPr>
        <w:jc w:val="both"/>
        <w:rPr>
          <w:rFonts w:ascii="Times New Roman" w:eastAsia="Arial" w:hAnsi="Times New Roman" w:cs="Times New Roman"/>
          <w:noProof/>
          <w:sz w:val="24"/>
          <w:szCs w:val="19"/>
        </w:rPr>
      </w:pPr>
    </w:p>
    <w:p w14:paraId="342F4658" w14:textId="77777777" w:rsidR="00443399" w:rsidRPr="00B03B51" w:rsidRDefault="00443399" w:rsidP="00443399">
      <w:pPr>
        <w:tabs>
          <w:tab w:val="left" w:pos="770"/>
        </w:tabs>
        <w:jc w:val="both"/>
        <w:rPr>
          <w:rFonts w:ascii="Times New Roman" w:hAnsi="Times New Roman" w:cs="Times New Roman"/>
          <w:b/>
          <w:noProof/>
          <w:sz w:val="24"/>
        </w:rPr>
      </w:pPr>
      <w:r w:rsidRPr="00B03B51">
        <w:rPr>
          <w:rFonts w:ascii="Times New Roman" w:hAnsi="Times New Roman" w:cs="Times New Roman"/>
          <w:b/>
          <w:sz w:val="24"/>
        </w:rPr>
        <w:t>2. Restitūcija, izmantojot finanšu kompensāciju</w:t>
      </w:r>
    </w:p>
    <w:p w14:paraId="14AA727E" w14:textId="77777777" w:rsidR="00443399" w:rsidRPr="00B03B51" w:rsidRDefault="00443399" w:rsidP="00443399">
      <w:pPr>
        <w:pStyle w:val="BodyText"/>
        <w:spacing w:before="0"/>
        <w:ind w:left="0" w:firstLine="0"/>
        <w:jc w:val="both"/>
        <w:rPr>
          <w:rFonts w:ascii="Times New Roman" w:hAnsi="Times New Roman" w:cs="Times New Roman"/>
          <w:noProof/>
          <w:sz w:val="24"/>
        </w:rPr>
      </w:pPr>
    </w:p>
    <w:p w14:paraId="69F6FB0D" w14:textId="77777777" w:rsidR="00443399" w:rsidRPr="00B03B51" w:rsidRDefault="00443399" w:rsidP="00443399">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t>Turpmākajā piemērā valdība bijušajiem īpašniekiem, piemēram, zemes vai mājokļu (mājsaimniecību) īpašniekiem, kā kompensāciju piešķir akcijas, kuru vērtība ir 100.</w:t>
      </w:r>
    </w:p>
    <w:p w14:paraId="430A132A" w14:textId="77777777" w:rsidR="00443399" w:rsidRPr="00B03B51" w:rsidRDefault="00443399" w:rsidP="00443399">
      <w:pPr>
        <w:jc w:val="both"/>
        <w:rPr>
          <w:rFonts w:ascii="Times New Roman" w:eastAsia="Arial" w:hAnsi="Times New Roman" w:cs="Times New Roman"/>
          <w:noProof/>
          <w:sz w:val="24"/>
          <w:szCs w:val="20"/>
        </w:rPr>
      </w:pPr>
    </w:p>
    <w:p w14:paraId="748E0C3E" w14:textId="77777777" w:rsidR="00443399" w:rsidRPr="00B03B51" w:rsidRDefault="00443399" w:rsidP="00500EA4">
      <w:pPr>
        <w:jc w:val="center"/>
        <w:rPr>
          <w:rFonts w:ascii="Times New Roman" w:eastAsia="Arial" w:hAnsi="Times New Roman" w:cs="Times New Roman"/>
          <w:noProof/>
          <w:sz w:val="24"/>
          <w:szCs w:val="19"/>
        </w:rPr>
      </w:pPr>
      <w:r w:rsidRPr="00B03B51">
        <w:rPr>
          <w:rFonts w:ascii="Times New Roman" w:hAnsi="Times New Roman" w:cs="Times New Roman"/>
          <w:noProof/>
        </w:rPr>
        <w:drawing>
          <wp:inline distT="0" distB="0" distL="0" distR="0" wp14:anchorId="3DE93E95" wp14:editId="3812AE20">
            <wp:extent cx="5756275" cy="3567430"/>
            <wp:effectExtent l="0" t="0" r="0" b="0"/>
            <wp:docPr id="45" name="Attēls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8"/>
                    <a:stretch>
                      <a:fillRect/>
                    </a:stretch>
                  </pic:blipFill>
                  <pic:spPr>
                    <a:xfrm>
                      <a:off x="0" y="0"/>
                      <a:ext cx="5756275" cy="3567430"/>
                    </a:xfrm>
                    <a:prstGeom prst="rect">
                      <a:avLst/>
                    </a:prstGeom>
                  </pic:spPr>
                </pic:pic>
              </a:graphicData>
            </a:graphic>
          </wp:inline>
        </w:drawing>
      </w:r>
    </w:p>
    <w:p w14:paraId="0878AC80" w14:textId="77777777" w:rsidR="00443399" w:rsidRPr="00B03B51" w:rsidRDefault="00443399" w:rsidP="00443399">
      <w:pPr>
        <w:jc w:val="both"/>
        <w:rPr>
          <w:rFonts w:ascii="Times New Roman" w:eastAsia="Arial" w:hAnsi="Times New Roman" w:cs="Times New Roman"/>
          <w:noProof/>
          <w:sz w:val="24"/>
          <w:szCs w:val="21"/>
        </w:rPr>
      </w:pPr>
    </w:p>
    <w:p w14:paraId="187E5549" w14:textId="77777777" w:rsidR="00443399" w:rsidRPr="00B03B51" w:rsidRDefault="00443399" w:rsidP="00443399">
      <w:pPr>
        <w:tabs>
          <w:tab w:val="left" w:pos="770"/>
        </w:tabs>
        <w:jc w:val="both"/>
        <w:rPr>
          <w:rFonts w:ascii="Times New Roman" w:hAnsi="Times New Roman" w:cs="Times New Roman"/>
          <w:b/>
          <w:noProof/>
          <w:sz w:val="24"/>
        </w:rPr>
      </w:pPr>
      <w:r w:rsidRPr="00B03B51">
        <w:rPr>
          <w:rFonts w:ascii="Times New Roman" w:hAnsi="Times New Roman" w:cs="Times New Roman"/>
          <w:b/>
          <w:sz w:val="24"/>
        </w:rPr>
        <w:t>3. Privatizācija, emitējot sertifikātus</w:t>
      </w:r>
    </w:p>
    <w:p w14:paraId="419AA07F" w14:textId="77777777" w:rsidR="00443399" w:rsidRPr="00B03B51" w:rsidRDefault="00443399" w:rsidP="00443399">
      <w:pPr>
        <w:pStyle w:val="BodyText"/>
        <w:spacing w:before="0"/>
        <w:ind w:left="0" w:firstLine="0"/>
        <w:jc w:val="both"/>
        <w:rPr>
          <w:rFonts w:ascii="Times New Roman" w:hAnsi="Times New Roman" w:cs="Times New Roman"/>
          <w:noProof/>
          <w:sz w:val="24"/>
        </w:rPr>
      </w:pPr>
    </w:p>
    <w:p w14:paraId="640BECD8" w14:textId="77777777" w:rsidR="00443399" w:rsidRPr="00B03B51" w:rsidRDefault="00443399" w:rsidP="00443399">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t>Turpmāk minētajos piemēros privatizācijas aģentūra (kas ietilpst vispārējās valdības sektorā) emitē sertifikātus, kurus bez maksas sadala mājsaimniecību sektoram. Noteiktā laikposmā mājsaimniecības var izmantot, lai iegādātos akcijas un citu pašu kapitālu, kas publiskās sabiedrībās pieder valdībai, un/vai nefinanšu aktīvus (piemēram, pamatlīdzekļus (AN.11)).</w:t>
      </w:r>
    </w:p>
    <w:p w14:paraId="388A09F6" w14:textId="77777777" w:rsidR="00443399" w:rsidRPr="00B03B51" w:rsidRDefault="00443399" w:rsidP="00443399">
      <w:pPr>
        <w:jc w:val="both"/>
        <w:rPr>
          <w:rFonts w:ascii="Times New Roman" w:eastAsia="Arial" w:hAnsi="Times New Roman" w:cs="Times New Roman"/>
          <w:noProof/>
          <w:sz w:val="24"/>
          <w:szCs w:val="18"/>
        </w:rPr>
      </w:pPr>
    </w:p>
    <w:p w14:paraId="22AD06FF" w14:textId="77777777" w:rsidR="00443399" w:rsidRPr="00B03B51" w:rsidRDefault="00443399" w:rsidP="00B73481">
      <w:pPr>
        <w:keepNext/>
        <w:tabs>
          <w:tab w:val="left" w:pos="843"/>
        </w:tabs>
        <w:jc w:val="both"/>
        <w:rPr>
          <w:rFonts w:ascii="Times New Roman" w:hAnsi="Times New Roman" w:cs="Times New Roman"/>
          <w:b/>
          <w:noProof/>
          <w:sz w:val="24"/>
        </w:rPr>
      </w:pPr>
      <w:r w:rsidRPr="00B03B51">
        <w:rPr>
          <w:rFonts w:ascii="Times New Roman" w:hAnsi="Times New Roman" w:cs="Times New Roman"/>
          <w:b/>
          <w:sz w:val="24"/>
        </w:rPr>
        <w:lastRenderedPageBreak/>
        <w:t>i) Sertifikātus uzskata par finanšu aktīviem, kad tos emitē</w:t>
      </w:r>
    </w:p>
    <w:p w14:paraId="62F23C4D" w14:textId="77777777" w:rsidR="00443399" w:rsidRPr="00B03B51" w:rsidRDefault="00443399" w:rsidP="00B73481">
      <w:pPr>
        <w:keepNext/>
        <w:jc w:val="both"/>
        <w:rPr>
          <w:rFonts w:ascii="Times New Roman" w:hAnsi="Times New Roman" w:cs="Times New Roman"/>
          <w:b/>
          <w:noProof/>
          <w:sz w:val="24"/>
        </w:rPr>
      </w:pPr>
    </w:p>
    <w:p w14:paraId="020043BF" w14:textId="77777777" w:rsidR="00443399" w:rsidRPr="00B03B51" w:rsidRDefault="00443399" w:rsidP="00B73481">
      <w:pPr>
        <w:keepNext/>
        <w:jc w:val="center"/>
        <w:rPr>
          <w:rFonts w:ascii="Times New Roman" w:hAnsi="Times New Roman" w:cs="Times New Roman"/>
          <w:b/>
          <w:noProof/>
          <w:sz w:val="24"/>
        </w:rPr>
      </w:pPr>
      <w:r w:rsidRPr="00B03B51">
        <w:rPr>
          <w:rFonts w:ascii="Times New Roman" w:hAnsi="Times New Roman" w:cs="Times New Roman"/>
          <w:noProof/>
        </w:rPr>
        <w:drawing>
          <wp:inline distT="0" distB="0" distL="0" distR="0" wp14:anchorId="3FAECCDA" wp14:editId="2FF5AF1F">
            <wp:extent cx="5756275" cy="3300095"/>
            <wp:effectExtent l="0" t="0" r="0" b="0"/>
            <wp:docPr id="46" name="Attēls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9"/>
                    <a:stretch>
                      <a:fillRect/>
                    </a:stretch>
                  </pic:blipFill>
                  <pic:spPr>
                    <a:xfrm>
                      <a:off x="0" y="0"/>
                      <a:ext cx="5756275" cy="3300095"/>
                    </a:xfrm>
                    <a:prstGeom prst="rect">
                      <a:avLst/>
                    </a:prstGeom>
                  </pic:spPr>
                </pic:pic>
              </a:graphicData>
            </a:graphic>
          </wp:inline>
        </w:drawing>
      </w:r>
    </w:p>
    <w:p w14:paraId="5F33ADD5" w14:textId="77777777" w:rsidR="00443399" w:rsidRPr="00B03B51" w:rsidRDefault="00443399" w:rsidP="00443399">
      <w:pPr>
        <w:jc w:val="both"/>
        <w:rPr>
          <w:rFonts w:ascii="Times New Roman" w:hAnsi="Times New Roman" w:cs="Times New Roman"/>
          <w:b/>
          <w:noProof/>
          <w:sz w:val="24"/>
        </w:rPr>
      </w:pPr>
    </w:p>
    <w:p w14:paraId="5CA0AE1B" w14:textId="77777777" w:rsidR="00443399" w:rsidRPr="00B03B51" w:rsidRDefault="00443399" w:rsidP="00443399">
      <w:pPr>
        <w:keepNext/>
        <w:jc w:val="both"/>
        <w:rPr>
          <w:rFonts w:ascii="Times New Roman" w:hAnsi="Times New Roman" w:cs="Times New Roman"/>
          <w:b/>
          <w:noProof/>
          <w:sz w:val="24"/>
        </w:rPr>
      </w:pPr>
      <w:r w:rsidRPr="00B03B51">
        <w:rPr>
          <w:rFonts w:ascii="Times New Roman" w:hAnsi="Times New Roman" w:cs="Times New Roman"/>
          <w:b/>
          <w:sz w:val="24"/>
        </w:rPr>
        <w:t>Finanšu aktīvu iegāde</w:t>
      </w:r>
    </w:p>
    <w:p w14:paraId="1B44179B" w14:textId="77777777" w:rsidR="00443399" w:rsidRPr="00B03B51" w:rsidRDefault="00443399" w:rsidP="00443399">
      <w:pPr>
        <w:keepNext/>
        <w:jc w:val="both"/>
        <w:rPr>
          <w:rFonts w:ascii="Times New Roman" w:hAnsi="Times New Roman" w:cs="Times New Roman"/>
          <w:b/>
          <w:noProof/>
          <w:sz w:val="24"/>
        </w:rPr>
      </w:pPr>
    </w:p>
    <w:p w14:paraId="1E4A47F6" w14:textId="77777777" w:rsidR="00443399" w:rsidRPr="00B03B51" w:rsidRDefault="00443399" w:rsidP="00443399">
      <w:pPr>
        <w:keepNext/>
        <w:jc w:val="center"/>
        <w:rPr>
          <w:rFonts w:ascii="Times New Roman" w:hAnsi="Times New Roman" w:cs="Times New Roman"/>
          <w:b/>
          <w:noProof/>
          <w:sz w:val="24"/>
        </w:rPr>
      </w:pPr>
      <w:r w:rsidRPr="00B03B51">
        <w:rPr>
          <w:rFonts w:ascii="Times New Roman" w:hAnsi="Times New Roman" w:cs="Times New Roman"/>
          <w:noProof/>
        </w:rPr>
        <w:drawing>
          <wp:inline distT="0" distB="0" distL="0" distR="0" wp14:anchorId="7F4C0FA0" wp14:editId="24006563">
            <wp:extent cx="5756275" cy="2915920"/>
            <wp:effectExtent l="0" t="0" r="0" b="0"/>
            <wp:docPr id="47" name="Attēls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0"/>
                    <a:stretch>
                      <a:fillRect/>
                    </a:stretch>
                  </pic:blipFill>
                  <pic:spPr>
                    <a:xfrm>
                      <a:off x="0" y="0"/>
                      <a:ext cx="5756275" cy="2915920"/>
                    </a:xfrm>
                    <a:prstGeom prst="rect">
                      <a:avLst/>
                    </a:prstGeom>
                  </pic:spPr>
                </pic:pic>
              </a:graphicData>
            </a:graphic>
          </wp:inline>
        </w:drawing>
      </w:r>
    </w:p>
    <w:p w14:paraId="22B77A1E" w14:textId="77777777" w:rsidR="00443399" w:rsidRPr="00B03B51" w:rsidRDefault="00443399" w:rsidP="00443399">
      <w:pPr>
        <w:jc w:val="both"/>
        <w:rPr>
          <w:rFonts w:ascii="Times New Roman" w:eastAsia="Arial" w:hAnsi="Times New Roman" w:cs="Times New Roman"/>
          <w:noProof/>
          <w:sz w:val="24"/>
          <w:szCs w:val="21"/>
        </w:rPr>
      </w:pPr>
    </w:p>
    <w:p w14:paraId="73D48AE4" w14:textId="77777777" w:rsidR="00443399" w:rsidRPr="00B03B51" w:rsidRDefault="00443399" w:rsidP="00443399">
      <w:pPr>
        <w:tabs>
          <w:tab w:val="left" w:pos="843"/>
        </w:tabs>
        <w:jc w:val="both"/>
        <w:rPr>
          <w:rFonts w:ascii="Times New Roman" w:hAnsi="Times New Roman" w:cs="Times New Roman"/>
          <w:b/>
          <w:noProof/>
          <w:sz w:val="24"/>
        </w:rPr>
      </w:pPr>
      <w:r w:rsidRPr="00B03B51">
        <w:rPr>
          <w:rFonts w:ascii="Times New Roman" w:hAnsi="Times New Roman" w:cs="Times New Roman"/>
          <w:b/>
          <w:sz w:val="24"/>
        </w:rPr>
        <w:t>ii) Sertifikāti ir tikai iespējami aktīvi, un tāpēc emisijas brīdī tos neieraksta sistēmā. Tos var izmantot vienīgi finanšu vai nefinanšu aktīvu iegādei.</w:t>
      </w:r>
    </w:p>
    <w:p w14:paraId="3BE13D4C" w14:textId="77777777" w:rsidR="00443399" w:rsidRPr="00B03B51" w:rsidRDefault="00443399" w:rsidP="00443399">
      <w:pPr>
        <w:jc w:val="both"/>
        <w:rPr>
          <w:rFonts w:ascii="Times New Roman" w:eastAsia="Arial" w:hAnsi="Times New Roman" w:cs="Times New Roman"/>
          <w:b/>
          <w:bCs/>
          <w:noProof/>
          <w:sz w:val="24"/>
        </w:rPr>
      </w:pPr>
    </w:p>
    <w:p w14:paraId="4AF958D0" w14:textId="77777777" w:rsidR="00443399" w:rsidRPr="00B03B51" w:rsidRDefault="00443399" w:rsidP="004205D9">
      <w:pPr>
        <w:keepNext/>
        <w:jc w:val="both"/>
        <w:rPr>
          <w:rFonts w:ascii="Times New Roman" w:hAnsi="Times New Roman" w:cs="Times New Roman"/>
          <w:b/>
          <w:noProof/>
          <w:sz w:val="24"/>
        </w:rPr>
      </w:pPr>
      <w:r w:rsidRPr="00B03B51">
        <w:rPr>
          <w:rFonts w:ascii="Times New Roman" w:hAnsi="Times New Roman" w:cs="Times New Roman"/>
          <w:b/>
          <w:sz w:val="24"/>
        </w:rPr>
        <w:lastRenderedPageBreak/>
        <w:t>Finanšu aktīvu iegāde</w:t>
      </w:r>
    </w:p>
    <w:p w14:paraId="5AD0F2FC" w14:textId="77777777" w:rsidR="00443399" w:rsidRPr="00B03B51" w:rsidRDefault="00443399" w:rsidP="004205D9">
      <w:pPr>
        <w:keepNext/>
        <w:jc w:val="both"/>
        <w:rPr>
          <w:rFonts w:ascii="Times New Roman" w:eastAsia="Arial" w:hAnsi="Times New Roman" w:cs="Times New Roman"/>
          <w:b/>
          <w:bCs/>
          <w:noProof/>
          <w:sz w:val="24"/>
          <w:szCs w:val="20"/>
        </w:rPr>
      </w:pPr>
    </w:p>
    <w:p w14:paraId="1D069C12" w14:textId="77777777" w:rsidR="00443399" w:rsidRPr="00B03B51" w:rsidRDefault="00443399" w:rsidP="004205D9">
      <w:pPr>
        <w:keepNext/>
        <w:jc w:val="center"/>
        <w:rPr>
          <w:rFonts w:ascii="Times New Roman" w:eastAsia="Arial" w:hAnsi="Times New Roman" w:cs="Times New Roman"/>
          <w:b/>
          <w:bCs/>
          <w:noProof/>
          <w:sz w:val="24"/>
          <w:szCs w:val="20"/>
        </w:rPr>
      </w:pPr>
      <w:r w:rsidRPr="00B03B51">
        <w:rPr>
          <w:rFonts w:ascii="Times New Roman" w:hAnsi="Times New Roman" w:cs="Times New Roman"/>
          <w:noProof/>
        </w:rPr>
        <w:drawing>
          <wp:inline distT="0" distB="0" distL="0" distR="0" wp14:anchorId="3E3E4EF9" wp14:editId="77686F49">
            <wp:extent cx="5756275" cy="3423285"/>
            <wp:effectExtent l="0" t="0" r="0" b="5715"/>
            <wp:docPr id="48" name="Attēls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1"/>
                    <a:stretch>
                      <a:fillRect/>
                    </a:stretch>
                  </pic:blipFill>
                  <pic:spPr>
                    <a:xfrm>
                      <a:off x="0" y="0"/>
                      <a:ext cx="5756275" cy="3423285"/>
                    </a:xfrm>
                    <a:prstGeom prst="rect">
                      <a:avLst/>
                    </a:prstGeom>
                  </pic:spPr>
                </pic:pic>
              </a:graphicData>
            </a:graphic>
          </wp:inline>
        </w:drawing>
      </w:r>
    </w:p>
    <w:p w14:paraId="219E0EF2" w14:textId="77777777" w:rsidR="00443399" w:rsidRPr="00B03B51" w:rsidRDefault="00443399" w:rsidP="00443399">
      <w:pPr>
        <w:jc w:val="both"/>
        <w:rPr>
          <w:rFonts w:ascii="Times New Roman" w:hAnsi="Times New Roman" w:cs="Times New Roman"/>
          <w:b/>
          <w:noProof/>
          <w:sz w:val="24"/>
        </w:rPr>
      </w:pPr>
    </w:p>
    <w:p w14:paraId="47B01A6D" w14:textId="77777777" w:rsidR="00443399" w:rsidRPr="00B03B51" w:rsidRDefault="00443399" w:rsidP="00443399">
      <w:pPr>
        <w:keepNext/>
        <w:jc w:val="both"/>
        <w:rPr>
          <w:rFonts w:ascii="Times New Roman" w:hAnsi="Times New Roman" w:cs="Times New Roman"/>
          <w:b/>
          <w:noProof/>
          <w:sz w:val="24"/>
        </w:rPr>
      </w:pPr>
      <w:r w:rsidRPr="00B03B51">
        <w:rPr>
          <w:rFonts w:ascii="Times New Roman" w:hAnsi="Times New Roman" w:cs="Times New Roman"/>
          <w:b/>
          <w:sz w:val="24"/>
        </w:rPr>
        <w:t>Ražotu nefinanšu aktīvu iegāde</w:t>
      </w:r>
    </w:p>
    <w:p w14:paraId="49F2B07F" w14:textId="77777777" w:rsidR="00443399" w:rsidRPr="00B03B51" w:rsidRDefault="00443399" w:rsidP="00443399">
      <w:pPr>
        <w:keepNext/>
        <w:jc w:val="both"/>
        <w:rPr>
          <w:rFonts w:ascii="Times New Roman" w:eastAsia="Arial" w:hAnsi="Times New Roman" w:cs="Times New Roman"/>
          <w:b/>
          <w:bCs/>
          <w:noProof/>
          <w:sz w:val="24"/>
          <w:szCs w:val="20"/>
        </w:rPr>
      </w:pPr>
    </w:p>
    <w:p w14:paraId="7E69DD5D" w14:textId="77777777" w:rsidR="00443399" w:rsidRPr="00B03B51" w:rsidRDefault="00443399" w:rsidP="00443399">
      <w:pPr>
        <w:keepNext/>
        <w:jc w:val="center"/>
        <w:rPr>
          <w:rFonts w:ascii="Times New Roman" w:eastAsia="Arial" w:hAnsi="Times New Roman" w:cs="Times New Roman"/>
          <w:b/>
          <w:bCs/>
          <w:noProof/>
          <w:sz w:val="24"/>
          <w:szCs w:val="20"/>
        </w:rPr>
      </w:pPr>
      <w:r w:rsidRPr="00B03B51">
        <w:rPr>
          <w:rFonts w:ascii="Times New Roman" w:hAnsi="Times New Roman" w:cs="Times New Roman"/>
          <w:noProof/>
        </w:rPr>
        <w:drawing>
          <wp:inline distT="0" distB="0" distL="0" distR="0" wp14:anchorId="7C8232A3" wp14:editId="29DD7F71">
            <wp:extent cx="5756275" cy="991870"/>
            <wp:effectExtent l="0" t="0" r="0" b="0"/>
            <wp:docPr id="49" name="Attēls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2"/>
                    <a:stretch>
                      <a:fillRect/>
                    </a:stretch>
                  </pic:blipFill>
                  <pic:spPr>
                    <a:xfrm>
                      <a:off x="0" y="0"/>
                      <a:ext cx="5756275" cy="991870"/>
                    </a:xfrm>
                    <a:prstGeom prst="rect">
                      <a:avLst/>
                    </a:prstGeom>
                  </pic:spPr>
                </pic:pic>
              </a:graphicData>
            </a:graphic>
          </wp:inline>
        </w:drawing>
      </w:r>
    </w:p>
    <w:p w14:paraId="3E5E21D6" w14:textId="77777777" w:rsidR="00443399" w:rsidRPr="00B03B51" w:rsidRDefault="00443399" w:rsidP="00443399">
      <w:pPr>
        <w:keepNext/>
        <w:jc w:val="center"/>
        <w:rPr>
          <w:rFonts w:ascii="Times New Roman" w:eastAsia="Arial" w:hAnsi="Times New Roman" w:cs="Times New Roman"/>
          <w:b/>
          <w:bCs/>
          <w:noProof/>
          <w:sz w:val="24"/>
          <w:szCs w:val="20"/>
        </w:rPr>
      </w:pPr>
      <w:r w:rsidRPr="00B03B51">
        <w:rPr>
          <w:rFonts w:ascii="Times New Roman" w:hAnsi="Times New Roman" w:cs="Times New Roman"/>
          <w:noProof/>
        </w:rPr>
        <w:drawing>
          <wp:inline distT="0" distB="0" distL="0" distR="0" wp14:anchorId="316EDF01" wp14:editId="056DF1BF">
            <wp:extent cx="5756275" cy="1722120"/>
            <wp:effectExtent l="0" t="0" r="0" b="0"/>
            <wp:docPr id="50" name="Attēls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3"/>
                    <a:stretch>
                      <a:fillRect/>
                    </a:stretch>
                  </pic:blipFill>
                  <pic:spPr>
                    <a:xfrm>
                      <a:off x="0" y="0"/>
                      <a:ext cx="5756275" cy="1722120"/>
                    </a:xfrm>
                    <a:prstGeom prst="rect">
                      <a:avLst/>
                    </a:prstGeom>
                  </pic:spPr>
                </pic:pic>
              </a:graphicData>
            </a:graphic>
          </wp:inline>
        </w:drawing>
      </w:r>
    </w:p>
    <w:p w14:paraId="38AD040C" w14:textId="77777777" w:rsidR="00443399" w:rsidRPr="00B03B51" w:rsidRDefault="00443399" w:rsidP="00443399">
      <w:pPr>
        <w:rPr>
          <w:rFonts w:ascii="Times New Roman" w:eastAsia="Arial" w:hAnsi="Times New Roman" w:cs="Times New Roman"/>
          <w:b/>
          <w:bCs/>
          <w:noProof/>
          <w:sz w:val="24"/>
          <w:szCs w:val="20"/>
        </w:rPr>
      </w:pPr>
      <w:r w:rsidRPr="00B03B51">
        <w:rPr>
          <w:rFonts w:ascii="Times New Roman" w:hAnsi="Times New Roman" w:cs="Times New Roman"/>
        </w:rPr>
        <w:br w:type="page"/>
      </w:r>
    </w:p>
    <w:p w14:paraId="608105AB" w14:textId="77777777" w:rsidR="00443399" w:rsidRPr="00B03B51" w:rsidRDefault="00443399" w:rsidP="00443399">
      <w:pPr>
        <w:jc w:val="both"/>
        <w:rPr>
          <w:rFonts w:ascii="Times New Roman" w:eastAsia="Arial" w:hAnsi="Times New Roman" w:cs="Times New Roman"/>
          <w:b/>
          <w:bCs/>
          <w:noProof/>
          <w:sz w:val="24"/>
          <w:szCs w:val="20"/>
        </w:rPr>
      </w:pPr>
    </w:p>
    <w:p w14:paraId="50C34BA2" w14:textId="77777777" w:rsidR="00443399" w:rsidRPr="00B03B51" w:rsidRDefault="00443399" w:rsidP="00443399">
      <w:pPr>
        <w:pStyle w:val="Heading2"/>
        <w:spacing w:before="0"/>
        <w:ind w:left="0" w:firstLine="0"/>
        <w:jc w:val="both"/>
        <w:rPr>
          <w:rFonts w:ascii="Times New Roman" w:hAnsi="Times New Roman" w:cs="Times New Roman"/>
          <w:noProof/>
          <w:sz w:val="28"/>
          <w:szCs w:val="44"/>
        </w:rPr>
      </w:pPr>
      <w:bookmarkStart w:id="442" w:name="5.5_Securitisation_operations_undertaken"/>
      <w:bookmarkStart w:id="443" w:name="_bookmark44"/>
      <w:bookmarkStart w:id="444" w:name="_Toc67565160"/>
      <w:bookmarkEnd w:id="442"/>
      <w:bookmarkEnd w:id="443"/>
      <w:r w:rsidRPr="00B03B51">
        <w:rPr>
          <w:rFonts w:ascii="Times New Roman" w:hAnsi="Times New Roman" w:cs="Times New Roman"/>
          <w:sz w:val="28"/>
          <w:szCs w:val="44"/>
        </w:rPr>
        <w:t>5.5. Vispārējās valdības veiktās vērtspapīrošanas operācijas</w:t>
      </w:r>
      <w:bookmarkEnd w:id="444"/>
    </w:p>
    <w:p w14:paraId="6F396FDF" w14:textId="77777777" w:rsidR="00443399" w:rsidRPr="00100B51" w:rsidRDefault="00443399" w:rsidP="00100B51">
      <w:pPr>
        <w:rPr>
          <w:rFonts w:ascii="Times New Roman" w:hAnsi="Times New Roman" w:cs="Times New Roman"/>
          <w:noProof/>
          <w:sz w:val="24"/>
          <w:szCs w:val="24"/>
        </w:rPr>
      </w:pPr>
      <w:bookmarkStart w:id="445" w:name="5.5.1_Background"/>
      <w:bookmarkEnd w:id="445"/>
    </w:p>
    <w:p w14:paraId="0985BF0B" w14:textId="77777777" w:rsidR="00443399" w:rsidRPr="00B03B51" w:rsidRDefault="00443399" w:rsidP="00443399">
      <w:pPr>
        <w:pStyle w:val="Heading3"/>
        <w:ind w:left="0" w:firstLine="0"/>
        <w:jc w:val="both"/>
        <w:rPr>
          <w:rFonts w:ascii="Times New Roman" w:hAnsi="Times New Roman" w:cs="Times New Roman"/>
          <w:noProof/>
          <w:sz w:val="24"/>
        </w:rPr>
      </w:pPr>
      <w:bookmarkStart w:id="446" w:name="_Toc67565161"/>
      <w:r w:rsidRPr="00B03B51">
        <w:rPr>
          <w:rFonts w:ascii="Times New Roman" w:hAnsi="Times New Roman" w:cs="Times New Roman"/>
          <w:sz w:val="24"/>
        </w:rPr>
        <w:t>5.5.1. Vispārīga informācija</w:t>
      </w:r>
      <w:bookmarkEnd w:id="446"/>
    </w:p>
    <w:p w14:paraId="6AFEB461"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485ACD99"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 Valdības var iesaistīties vērtspapīrošanas pasākumos, ko parasti īsteno banka.</w:t>
      </w:r>
    </w:p>
    <w:p w14:paraId="5E8E30D6"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0FF45BCF"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2. Attiecībā uz valdības finanšu statistiku rodas jautājums, vai valdības veikta vērtspapīrošana nozīmē valdības aizņēmumu, kas tādējādi ietekmē valsts parādu, vai arī to var uzskatīt par valdības veiktu aktīva pārdošanu.</w:t>
      </w:r>
    </w:p>
    <w:p w14:paraId="2C72D46A" w14:textId="77777777" w:rsidR="00443399" w:rsidRPr="00B03B51" w:rsidRDefault="00443399" w:rsidP="00443399">
      <w:pPr>
        <w:jc w:val="both"/>
        <w:rPr>
          <w:rFonts w:ascii="Times New Roman" w:eastAsia="Arial" w:hAnsi="Times New Roman" w:cs="Times New Roman"/>
          <w:noProof/>
          <w:sz w:val="24"/>
          <w:szCs w:val="15"/>
        </w:rPr>
      </w:pPr>
    </w:p>
    <w:p w14:paraId="4C4BB389" w14:textId="77777777" w:rsidR="00443399" w:rsidRPr="00B03B51" w:rsidRDefault="00443399" w:rsidP="00443399">
      <w:pPr>
        <w:pStyle w:val="Heading6"/>
        <w:tabs>
          <w:tab w:val="left" w:pos="1267"/>
        </w:tabs>
        <w:ind w:left="0" w:firstLine="0"/>
        <w:jc w:val="both"/>
        <w:rPr>
          <w:rFonts w:ascii="Times New Roman" w:hAnsi="Times New Roman" w:cs="Times New Roman"/>
          <w:noProof/>
          <w:sz w:val="24"/>
        </w:rPr>
      </w:pPr>
      <w:bookmarkStart w:id="447" w:name="5.5.1.1_Securitisation_arrangements_and_"/>
      <w:bookmarkEnd w:id="447"/>
      <w:r w:rsidRPr="00B03B51">
        <w:rPr>
          <w:rFonts w:ascii="Times New Roman" w:hAnsi="Times New Roman" w:cs="Times New Roman"/>
          <w:sz w:val="24"/>
        </w:rPr>
        <w:t>5.5.1.1. VĒRTSPAPĪROŠANAS PASĀKUMI UN DEFINĪCIJA</w:t>
      </w:r>
    </w:p>
    <w:p w14:paraId="0F335E1F" w14:textId="77777777" w:rsidR="00443399" w:rsidRPr="00B03B51" w:rsidRDefault="00443399" w:rsidP="00443399">
      <w:pPr>
        <w:tabs>
          <w:tab w:val="left" w:pos="843"/>
        </w:tabs>
        <w:jc w:val="both"/>
        <w:rPr>
          <w:rFonts w:ascii="Times New Roman" w:hAnsi="Times New Roman" w:cs="Times New Roman"/>
          <w:noProof/>
          <w:sz w:val="24"/>
        </w:rPr>
      </w:pPr>
    </w:p>
    <w:p w14:paraId="40AE8C73" w14:textId="77777777" w:rsidR="00443399" w:rsidRPr="00B03B51" w:rsidRDefault="00443399" w:rsidP="00443399">
      <w:pPr>
        <w:tabs>
          <w:tab w:val="left" w:pos="843"/>
        </w:tabs>
        <w:jc w:val="both"/>
        <w:rPr>
          <w:rFonts w:ascii="Times New Roman" w:hAnsi="Times New Roman" w:cs="Times New Roman"/>
          <w:noProof/>
          <w:sz w:val="24"/>
        </w:rPr>
      </w:pPr>
      <w:r w:rsidRPr="00B03B51">
        <w:rPr>
          <w:rFonts w:ascii="Times New Roman" w:hAnsi="Times New Roman" w:cs="Times New Roman"/>
          <w:sz w:val="24"/>
        </w:rPr>
        <w:t xml:space="preserve">3. Vērtspapīrošana ir finanšu paņēmiens, kas EKS 2010 5.104. punktā ir aprakstīts šādi: </w:t>
      </w:r>
      <w:r w:rsidRPr="00B03B51">
        <w:rPr>
          <w:rFonts w:ascii="Times New Roman" w:hAnsi="Times New Roman" w:cs="Times New Roman"/>
          <w:i/>
          <w:sz w:val="24"/>
        </w:rPr>
        <w:t xml:space="preserve">Vērstpapīrošana ir tādu parāda vērtspapīru emisija, kuru kupona vai pamatsummas maksājumi ir nodrošināti ar noteiktiem aktīviem vai nākotnes ienākumu plūsmām. </w:t>
      </w:r>
      <w:r w:rsidRPr="00B03B51">
        <w:rPr>
          <w:rFonts w:ascii="Times New Roman" w:hAnsi="Times New Roman" w:cs="Times New Roman"/>
          <w:i/>
          <w:iCs/>
          <w:sz w:val="24"/>
        </w:rPr>
        <w:t>Daudzi aktīvi vai nākotnes ienākumu plūsmas var būt vērtspapīrotas, tostarp hipotekārie aizdevumi mājokļa iegādei vai komerciālie hipotekārie aizdevumi, patēriņa kredīti, korporatīvie aizdevumi, valdības aizdevumi, apdrošināšanas līgumi, kredīta atvasinātie instrumenti un nākotnes ieņēmumi</w:t>
      </w:r>
      <w:r w:rsidRPr="00B03B51">
        <w:rPr>
          <w:rFonts w:ascii="Times New Roman" w:hAnsi="Times New Roman" w:cs="Times New Roman"/>
          <w:sz w:val="24"/>
        </w:rPr>
        <w:t>.</w:t>
      </w:r>
      <w:r w:rsidRPr="00B03B51">
        <w:rPr>
          <w:rStyle w:val="FootnoteReference"/>
          <w:rFonts w:ascii="Times New Roman" w:hAnsi="Times New Roman" w:cs="Times New Roman"/>
          <w:noProof/>
          <w:sz w:val="24"/>
        </w:rPr>
        <w:footnoteReference w:id="186"/>
      </w:r>
    </w:p>
    <w:p w14:paraId="034EF2AB" w14:textId="77777777" w:rsidR="00443399" w:rsidRPr="00B03B51" w:rsidRDefault="00443399" w:rsidP="00443399">
      <w:pPr>
        <w:tabs>
          <w:tab w:val="left" w:pos="843"/>
        </w:tabs>
        <w:jc w:val="both"/>
        <w:rPr>
          <w:rFonts w:ascii="Times New Roman" w:hAnsi="Times New Roman" w:cs="Times New Roman"/>
          <w:noProof/>
          <w:sz w:val="24"/>
        </w:rPr>
      </w:pPr>
    </w:p>
    <w:p w14:paraId="06C04A43" w14:textId="77777777" w:rsidR="00443399" w:rsidRPr="00B03B51" w:rsidRDefault="00443399" w:rsidP="00443399">
      <w:pPr>
        <w:tabs>
          <w:tab w:val="left" w:pos="843"/>
        </w:tabs>
        <w:jc w:val="both"/>
        <w:rPr>
          <w:rFonts w:ascii="Times New Roman" w:eastAsia="Arial" w:hAnsi="Times New Roman" w:cs="Times New Roman"/>
          <w:noProof/>
          <w:sz w:val="24"/>
          <w:szCs w:val="19"/>
        </w:rPr>
      </w:pPr>
      <w:r w:rsidRPr="00B03B51">
        <w:rPr>
          <w:rFonts w:ascii="Times New Roman" w:hAnsi="Times New Roman" w:cs="Times New Roman"/>
          <w:sz w:val="24"/>
        </w:rPr>
        <w:t xml:space="preserve">4. EKS 2010 5.105. punktā ir arī noteikts, ka: </w:t>
      </w:r>
      <w:r w:rsidRPr="00B03B51">
        <w:rPr>
          <w:rFonts w:ascii="Times New Roman" w:hAnsi="Times New Roman" w:cs="Times New Roman"/>
          <w:i/>
          <w:sz w:val="24"/>
        </w:rPr>
        <w:t xml:space="preserve">Aktīvu vai nākotnes ienākumu plūsmu vērtspapīrošana ir svarīga finanšu inovācija, kuras rezultātā radītas un intensīvi tiek izmantotas jaunas finanšu sabiedrības, kas atvieglo parāda vērtspapīru radīšanu, tirgošanu un emitēšanu. Vērtspapīrošanu virza dažādi apsvērumi. </w:t>
      </w:r>
      <w:r w:rsidRPr="00B03B51">
        <w:rPr>
          <w:rFonts w:ascii="Times New Roman" w:hAnsi="Times New Roman" w:cs="Times New Roman"/>
          <w:i/>
          <w:iCs/>
          <w:sz w:val="24"/>
        </w:rPr>
        <w:t>Sabiedrībām tie ir šādi: finansējums ir lētāks nekā banku piedāvātās iespējas, mazākas regulatoru noteiktās kapitāla prasības, dažādu risku nodošana, piemēram, kredītriska vai apdrošināšanas riska, un finansējuma avotu dažādošana</w:t>
      </w:r>
      <w:r w:rsidRPr="00B03B51">
        <w:rPr>
          <w:rFonts w:ascii="Times New Roman" w:hAnsi="Times New Roman" w:cs="Times New Roman"/>
          <w:sz w:val="24"/>
        </w:rPr>
        <w:t>.</w:t>
      </w:r>
    </w:p>
    <w:p w14:paraId="19EDB267"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4EE1DD85"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5. Iniciators nodod juridiskās īpašumtiesības uz aktīviem un/vai konkrētām nākotnes plūsmām vērtspapīrošanas struktūrvienībai, kas apmaiņā pret to samaksā iniciatoram noteiktu naudas summu. Vērtspapīrošanas struktūrvienība finansē šādu maksājumu ar vērtspapīru emisiju, izmantojot aktīvus un/vai tiesības uz nākotnes plūsmām, kuras iniciators ir nodevis kā nodrošinājumu. Šāda vērtspapīrošanas struktūrvienība bieži, taču ne vienmēr, ir īpašam nolūkam dibināta sabiedrība (ĪNDS), kas ir izveidota vērtspapīrošanas mērķim un ir juridiski nošķirta no iniciatora (skat. turpmāk vērtspapīrošanā iesaistītās vienības klasifikāciju). Vērtspapīru emisiju var vadīt trešā puse, piemēram, privāta banka, tomēr šāda trešā puse parasti neuzņemas nekādus ar operāciju saistītus riskus vai priekšrocības.</w:t>
      </w:r>
    </w:p>
    <w:p w14:paraId="49FC062E"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6485E02F"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 xml:space="preserve">6. Investori iegādājas vērtspapīrošanas struktūrvienības emitētos vērtspapīrus, pamatojoties uz aktīvu/tiesību radītajām plūsmām, nevis uz iniciatora kredītspēju. Investoriem parasti ir tiešs </w:t>
      </w:r>
      <w:r w:rsidRPr="00B03B51">
        <w:rPr>
          <w:rFonts w:ascii="Times New Roman" w:hAnsi="Times New Roman" w:cs="Times New Roman"/>
          <w:sz w:val="24"/>
        </w:rPr>
        <w:lastRenderedPageBreak/>
        <w:t>un juridisks prasījums attiecībā uz aktīvu vai citu tiesību radītajiem ieņēmumiem gadījumā, ja vērtspapīrošanas struktūrvienība nemaksā pienākošos procentus un kapitālu.</w:t>
      </w:r>
      <w:r w:rsidRPr="00B03B51">
        <w:rPr>
          <w:rStyle w:val="FootnoteReference"/>
          <w:rFonts w:ascii="Times New Roman" w:hAnsi="Times New Roman" w:cs="Times New Roman"/>
          <w:noProof/>
          <w:sz w:val="24"/>
        </w:rPr>
        <w:footnoteReference w:id="187"/>
      </w:r>
    </w:p>
    <w:p w14:paraId="7EF6643B" w14:textId="77777777" w:rsidR="00443399" w:rsidRPr="00B03B51" w:rsidRDefault="00443399" w:rsidP="00443399">
      <w:pPr>
        <w:jc w:val="both"/>
        <w:rPr>
          <w:rFonts w:ascii="Times New Roman" w:hAnsi="Times New Roman" w:cs="Times New Roman"/>
          <w:noProof/>
          <w:sz w:val="24"/>
        </w:rPr>
      </w:pPr>
    </w:p>
    <w:p w14:paraId="4D70209F" w14:textId="77777777" w:rsidR="00443399" w:rsidRPr="00B03B51" w:rsidRDefault="00443399" w:rsidP="00443399">
      <w:pPr>
        <w:pStyle w:val="Heading6"/>
        <w:tabs>
          <w:tab w:val="left" w:pos="1267"/>
        </w:tabs>
        <w:ind w:left="0" w:firstLine="0"/>
        <w:jc w:val="both"/>
        <w:rPr>
          <w:rFonts w:ascii="Times New Roman" w:hAnsi="Times New Roman" w:cs="Times New Roman"/>
          <w:noProof/>
          <w:sz w:val="24"/>
        </w:rPr>
      </w:pPr>
      <w:bookmarkStart w:id="448" w:name="5.5.1.2_Issues_for_national_accounts"/>
      <w:bookmarkEnd w:id="448"/>
      <w:r w:rsidRPr="00B03B51">
        <w:rPr>
          <w:rFonts w:ascii="Times New Roman" w:hAnsi="Times New Roman" w:cs="Times New Roman"/>
          <w:sz w:val="24"/>
        </w:rPr>
        <w:t>5.5.1.2. AR NACIONĀLAJIEM KONTIEM SAISTĪTI JAUTĀJUMI</w:t>
      </w:r>
    </w:p>
    <w:p w14:paraId="61A050E5"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5E4C58ED"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7. Galvenais jautājums rodas saistībā ar to, kā nacionālajos kontos ierakstīt ieņēmumus, kurus valdība saņem no vērtspapīrošanas, un vai tie ietekmē valdības parādu un/vai valdības neto aizdevumu/aizņēmumu (B.9).</w:t>
      </w:r>
    </w:p>
    <w:p w14:paraId="31FC5FFA"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39FAD888"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8. Ir jānoskaidro, vai vērtspapīrošana piešķir tiesības pārdot pastāvošu EKS 2010 aktīvu vērtspapīrošanas struktūrvienībai jeb vai arī tā piešķir tiesības aizņemties, kā nodrošinājumu izmantojot turpmākos skaidras naudas ieņēmumus. Sekundārā problēma ir saistīta ar ietekmi uz valdības neto aizdevumu/aizņēmumu (B.9), ja vērtspapīrošanas operācijas objekts ir nefinanšu aktīvs.</w:t>
      </w:r>
    </w:p>
    <w:p w14:paraId="6751A3A8" w14:textId="77777777" w:rsidR="00443399" w:rsidRPr="00B03B51" w:rsidRDefault="00443399" w:rsidP="00443399">
      <w:pPr>
        <w:jc w:val="both"/>
        <w:rPr>
          <w:rFonts w:ascii="Times New Roman" w:hAnsi="Times New Roman" w:cs="Times New Roman"/>
          <w:noProof/>
          <w:sz w:val="24"/>
        </w:rPr>
      </w:pPr>
    </w:p>
    <w:p w14:paraId="42006475"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9. Vispārējai valdībai piederoša iniciatora veiktu aktīvu realizāciju nacionālajos kontos ieraksta vērtspapīrošanas operācijas veikšanas brīdī, ja:</w:t>
      </w:r>
    </w:p>
    <w:p w14:paraId="241AC315"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31BAC9A8" w14:textId="77777777" w:rsidR="00443399" w:rsidRPr="00B03B51" w:rsidRDefault="00443399" w:rsidP="004205D9">
      <w:pPr>
        <w:pStyle w:val="BodyText"/>
        <w:numPr>
          <w:ilvl w:val="1"/>
          <w:numId w:val="58"/>
        </w:numPr>
        <w:spacing w:before="0"/>
        <w:ind w:left="426" w:hanging="425"/>
        <w:jc w:val="both"/>
        <w:rPr>
          <w:rFonts w:ascii="Times New Roman" w:hAnsi="Times New Roman" w:cs="Times New Roman"/>
          <w:noProof/>
          <w:sz w:val="24"/>
        </w:rPr>
      </w:pPr>
      <w:r w:rsidRPr="00B03B51">
        <w:rPr>
          <w:rFonts w:ascii="Times New Roman" w:hAnsi="Times New Roman" w:cs="Times New Roman"/>
          <w:sz w:val="24"/>
        </w:rPr>
        <w:t>vērtspapīrošanas operācijas objekts ir aktīvi, kuri ir šādi atzīti nacionālajos kontos un šādi nododami tālāk, un</w:t>
      </w:r>
    </w:p>
    <w:p w14:paraId="65D70161" w14:textId="77777777" w:rsidR="00443399" w:rsidRPr="00B03B51" w:rsidRDefault="00443399" w:rsidP="004205D9">
      <w:pPr>
        <w:pStyle w:val="BodyText"/>
        <w:numPr>
          <w:ilvl w:val="1"/>
          <w:numId w:val="58"/>
        </w:numPr>
        <w:spacing w:before="0"/>
        <w:ind w:left="426" w:hanging="425"/>
        <w:jc w:val="both"/>
        <w:rPr>
          <w:rFonts w:ascii="Times New Roman" w:hAnsi="Times New Roman" w:cs="Times New Roman"/>
          <w:noProof/>
          <w:sz w:val="24"/>
        </w:rPr>
      </w:pPr>
      <w:r w:rsidRPr="00B03B51">
        <w:rPr>
          <w:rFonts w:ascii="Times New Roman" w:hAnsi="Times New Roman" w:cs="Times New Roman"/>
          <w:sz w:val="24"/>
        </w:rPr>
        <w:t>operāciju veic tā, lai visi ar šiem aktīviem saistītie riski</w:t>
      </w:r>
      <w:r w:rsidRPr="00B03B51">
        <w:rPr>
          <w:rStyle w:val="FootnoteReference"/>
          <w:rFonts w:ascii="Times New Roman" w:hAnsi="Times New Roman" w:cs="Times New Roman"/>
          <w:noProof/>
          <w:sz w:val="24"/>
        </w:rPr>
        <w:footnoteReference w:id="188"/>
      </w:r>
      <w:r w:rsidRPr="00B03B51">
        <w:rPr>
          <w:rFonts w:ascii="Times New Roman" w:hAnsi="Times New Roman" w:cs="Times New Roman"/>
          <w:sz w:val="24"/>
        </w:rPr>
        <w:t xml:space="preserve"> un priekšrocības tiktu pilnīgi nodoti vērtspapīrošanas struktūrvienībai, un</w:t>
      </w:r>
    </w:p>
    <w:p w14:paraId="045CCDCB" w14:textId="77777777" w:rsidR="00443399" w:rsidRPr="00B03B51" w:rsidRDefault="00443399" w:rsidP="004205D9">
      <w:pPr>
        <w:pStyle w:val="BodyText"/>
        <w:numPr>
          <w:ilvl w:val="1"/>
          <w:numId w:val="58"/>
        </w:numPr>
        <w:spacing w:before="0"/>
        <w:ind w:left="426" w:hanging="425"/>
        <w:jc w:val="both"/>
        <w:rPr>
          <w:rFonts w:ascii="Times New Roman" w:hAnsi="Times New Roman" w:cs="Times New Roman"/>
          <w:noProof/>
          <w:sz w:val="24"/>
        </w:rPr>
      </w:pPr>
      <w:r w:rsidRPr="00B03B51">
        <w:rPr>
          <w:rFonts w:ascii="Times New Roman" w:hAnsi="Times New Roman" w:cs="Times New Roman"/>
          <w:sz w:val="24"/>
        </w:rPr>
        <w:t>vērtspapīrošanas struktūrvienība, kas iegādājas aktīvus no iniciatora, ir institucionāla vienība, kas neietilpst vispārējās valdības sektorā.</w:t>
      </w:r>
    </w:p>
    <w:p w14:paraId="774F9945"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43B7D292"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10. Šīs nodaļas mērķis ir izklāstīt noteikumus attiecībā uz to, ko nacionālajos kontos var ierakstīt kā pārdošanu vērtspapīrošanas operācijā ar valdības līdzdalību. Nodaļā ir apspriesta ne tikai valdības veikta aktīvu vērtspapīrošana, bet arī gadījums, kad valdības sektoram nepiederoša organizācija pārvērš vērtspapīros tai gaidāmo maksājumu plūsmu no valdības, piemēram, dotācijas.</w:t>
      </w:r>
    </w:p>
    <w:p w14:paraId="7E15F118" w14:textId="77777777" w:rsidR="00443399" w:rsidRPr="00B03B51" w:rsidRDefault="00443399" w:rsidP="00443399">
      <w:pPr>
        <w:jc w:val="both"/>
        <w:rPr>
          <w:rFonts w:ascii="Times New Roman" w:eastAsia="Arial" w:hAnsi="Times New Roman" w:cs="Times New Roman"/>
          <w:noProof/>
          <w:sz w:val="24"/>
          <w:szCs w:val="19"/>
        </w:rPr>
      </w:pPr>
    </w:p>
    <w:p w14:paraId="2ACF1F8E" w14:textId="77777777" w:rsidR="00443399" w:rsidRPr="00B03B51" w:rsidRDefault="00443399" w:rsidP="00443399">
      <w:pPr>
        <w:pStyle w:val="Heading3"/>
        <w:ind w:left="0" w:firstLine="0"/>
        <w:jc w:val="both"/>
        <w:rPr>
          <w:rFonts w:ascii="Times New Roman" w:hAnsi="Times New Roman" w:cs="Times New Roman"/>
          <w:noProof/>
          <w:sz w:val="24"/>
        </w:rPr>
      </w:pPr>
      <w:bookmarkStart w:id="449" w:name="5.5.2_Treatment_in_national_accounts"/>
      <w:bookmarkStart w:id="450" w:name="_Toc67565162"/>
      <w:bookmarkEnd w:id="449"/>
      <w:r w:rsidRPr="00B03B51">
        <w:rPr>
          <w:rFonts w:ascii="Times New Roman" w:hAnsi="Times New Roman" w:cs="Times New Roman"/>
          <w:sz w:val="24"/>
        </w:rPr>
        <w:t>5.5.2. Traktējums nacionālajos kontos</w:t>
      </w:r>
      <w:bookmarkEnd w:id="450"/>
    </w:p>
    <w:p w14:paraId="66FA4B8C"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2B312635"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11. Pastāv divas iespējas, kā nacionālajos kontos (skat. EKS 2010 20.262.–20.271. punktu) var ierakstīt vērtspapīrošanas ieņēmumus, kurus gūst valdības sektoram piederošs iniciators:</w:t>
      </w:r>
    </w:p>
    <w:p w14:paraId="17938BC2"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1265566A" w14:textId="77777777" w:rsidR="00443399" w:rsidRPr="00B03B51" w:rsidRDefault="00443399" w:rsidP="004205D9">
      <w:pPr>
        <w:pStyle w:val="BodyText"/>
        <w:numPr>
          <w:ilvl w:val="1"/>
          <w:numId w:val="58"/>
        </w:numPr>
        <w:spacing w:before="0"/>
        <w:ind w:left="426" w:hanging="425"/>
        <w:jc w:val="both"/>
        <w:rPr>
          <w:rFonts w:ascii="Times New Roman" w:hAnsi="Times New Roman" w:cs="Times New Roman"/>
          <w:noProof/>
          <w:sz w:val="24"/>
        </w:rPr>
      </w:pPr>
      <w:r w:rsidRPr="00B03B51">
        <w:rPr>
          <w:rFonts w:ascii="Times New Roman" w:hAnsi="Times New Roman" w:cs="Times New Roman"/>
          <w:sz w:val="24"/>
        </w:rPr>
        <w:t>aktīva pārdevums, t. i., valdības veikta aktīvu ekonomisko īpašumtiesību atsavināšana apmaiņā pret naudu vai citiem aktīviem, vai</w:t>
      </w:r>
    </w:p>
    <w:p w14:paraId="54B0D82E" w14:textId="77777777" w:rsidR="00443399" w:rsidRPr="00B03B51" w:rsidRDefault="00443399" w:rsidP="004205D9">
      <w:pPr>
        <w:pStyle w:val="BodyText"/>
        <w:numPr>
          <w:ilvl w:val="1"/>
          <w:numId w:val="58"/>
        </w:numPr>
        <w:spacing w:before="0"/>
        <w:ind w:left="426" w:hanging="425"/>
        <w:jc w:val="both"/>
        <w:rPr>
          <w:rFonts w:ascii="Times New Roman" w:hAnsi="Times New Roman" w:cs="Times New Roman"/>
          <w:noProof/>
          <w:sz w:val="24"/>
        </w:rPr>
      </w:pPr>
      <w:r w:rsidRPr="00B03B51">
        <w:rPr>
          <w:rFonts w:ascii="Times New Roman" w:hAnsi="Times New Roman" w:cs="Times New Roman"/>
          <w:sz w:val="24"/>
        </w:rPr>
        <w:t>valdības aizņēmums (uzņemoties saistības).</w:t>
      </w:r>
    </w:p>
    <w:p w14:paraId="1F6234FB"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1597339D"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lastRenderedPageBreak/>
        <w:t>12. Secīgi kritēriji, kurus izmanto, lai pieņemtu lēmumu par atbilstošu uzskaiti, ir sniegti turpmāk iekļautajā lēmuma pieņemšanas shēmā.</w:t>
      </w:r>
    </w:p>
    <w:p w14:paraId="64A3CAE0" w14:textId="77777777" w:rsidR="00443399" w:rsidRPr="00B03B51" w:rsidRDefault="00443399" w:rsidP="00443399">
      <w:pPr>
        <w:jc w:val="both"/>
        <w:rPr>
          <w:rFonts w:ascii="Times New Roman" w:eastAsia="Arial" w:hAnsi="Times New Roman" w:cs="Times New Roman"/>
          <w:noProof/>
          <w:sz w:val="24"/>
          <w:szCs w:val="16"/>
        </w:rPr>
      </w:pPr>
    </w:p>
    <w:p w14:paraId="7AAAE018" w14:textId="77777777" w:rsidR="00443399" w:rsidRPr="00B03B51" w:rsidRDefault="00443399" w:rsidP="00443399">
      <w:pPr>
        <w:pStyle w:val="Heading6"/>
        <w:tabs>
          <w:tab w:val="left" w:pos="1267"/>
        </w:tabs>
        <w:ind w:left="0" w:firstLine="0"/>
        <w:jc w:val="both"/>
        <w:rPr>
          <w:rFonts w:ascii="Times New Roman" w:hAnsi="Times New Roman" w:cs="Times New Roman"/>
          <w:noProof/>
          <w:sz w:val="24"/>
        </w:rPr>
      </w:pPr>
      <w:bookmarkStart w:id="451" w:name="5.5.2.1_Recognition_of_assets_in_nationa"/>
      <w:bookmarkEnd w:id="451"/>
      <w:r w:rsidRPr="00B03B51">
        <w:rPr>
          <w:rFonts w:ascii="Times New Roman" w:hAnsi="Times New Roman" w:cs="Times New Roman"/>
          <w:sz w:val="24"/>
        </w:rPr>
        <w:t>5.5.2.1. AKTĪVU ATZĪŠANA NACIONĀLAJOS KONTOS</w:t>
      </w:r>
    </w:p>
    <w:p w14:paraId="0863E811" w14:textId="77777777" w:rsidR="00443399" w:rsidRPr="00B03B51" w:rsidRDefault="00443399" w:rsidP="00443399">
      <w:pPr>
        <w:pStyle w:val="BodyText"/>
        <w:spacing w:before="0"/>
        <w:ind w:left="0" w:firstLine="0"/>
        <w:jc w:val="both"/>
        <w:rPr>
          <w:rFonts w:ascii="Times New Roman" w:hAnsi="Times New Roman" w:cs="Times New Roman"/>
          <w:noProof/>
          <w:sz w:val="24"/>
        </w:rPr>
      </w:pPr>
    </w:p>
    <w:p w14:paraId="7BCA84A7" w14:textId="77777777" w:rsidR="00443399" w:rsidRPr="00B03B51" w:rsidRDefault="00443399" w:rsidP="00443399">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t>13. Lai vērtspapīrošanas operāciju ierakstītu kā valdības veiktu aktīvu pārdošanu, nepieciešams (lai arī nepietiekams) nosacījums ir aktīvu atzīšana nacionālajos kontos par aktīviem un attiecīgi to ierakstīšana šādā statusā nacionālajos kontos valdības bilancē brīdī, kad veic vērtspapīrošanu. Šajā saistībā ir lietderīgi piemērot dalījumu starp finanšu aktīviem un nefinanšu aktīviem, apspriežot risku un priekšrocību jēdzienu. Turpmākajos punktos ir apspriesti gadījumi, kad vērtspapīros pārvērstie līdzekļi nacionālajos kontos nav atzīti par aktīviem vai netiek uzskatīti par nododamiem. Visos šajos gadījumos vērtspapīrošanu ieraksta kā valdības aizņēmumu.</w:t>
      </w:r>
    </w:p>
    <w:p w14:paraId="234FE884" w14:textId="77777777" w:rsidR="00443399" w:rsidRPr="00B03B51" w:rsidRDefault="00443399" w:rsidP="00443399">
      <w:pPr>
        <w:jc w:val="both"/>
        <w:rPr>
          <w:rFonts w:ascii="Times New Roman" w:eastAsia="Arial" w:hAnsi="Times New Roman" w:cs="Times New Roman"/>
          <w:noProof/>
          <w:sz w:val="24"/>
          <w:szCs w:val="15"/>
        </w:rPr>
      </w:pPr>
    </w:p>
    <w:p w14:paraId="4B97CE85" w14:textId="77777777" w:rsidR="00443399" w:rsidRPr="00B03B51" w:rsidRDefault="00443399" w:rsidP="00443399">
      <w:pPr>
        <w:pStyle w:val="Heading6"/>
        <w:tabs>
          <w:tab w:val="left" w:pos="1267"/>
        </w:tabs>
        <w:ind w:left="0" w:firstLine="0"/>
        <w:jc w:val="both"/>
        <w:rPr>
          <w:rFonts w:ascii="Times New Roman" w:hAnsi="Times New Roman" w:cs="Times New Roman"/>
          <w:noProof/>
          <w:sz w:val="24"/>
        </w:rPr>
      </w:pPr>
      <w:bookmarkStart w:id="452" w:name="5.5.2.2_Securitisation_of_flows_attached"/>
      <w:bookmarkEnd w:id="452"/>
      <w:r w:rsidRPr="00B03B51">
        <w:rPr>
          <w:rFonts w:ascii="Times New Roman" w:hAnsi="Times New Roman" w:cs="Times New Roman"/>
          <w:sz w:val="24"/>
        </w:rPr>
        <w:t>5.5.2.2. NEATZĪTAM AKTĪVAM PIESAISTĪTU PLŪSMU VĒRTSPAPĪROŠANA</w:t>
      </w:r>
    </w:p>
    <w:p w14:paraId="19DA917F"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710C6C0E"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14. Valdība var pārvērst vērtspapīros nākotnes ieņēmumus, kas ir neatlīdzināmi pārvedumi, piemēram, nākotnes nodokļu ieņēmumus. Tā kā tomēr tiesības saņemt šādus pārvedumus nacionālajos kontos nav atzītas kā aktīvs, šādos gadījumos nav iespējams ierakstīt aktīva pārdošanu. Ieņēmumi vēl nav uzkrāti, iespējams, tāpēc, ka vēl nav veikta darbība, kuras rezultātā rodas nodokļu saistības, un attiecīgi nacionālo kontu bilancē nepastāv neviens aktīvs. Tāpēc valdības veiktu nākotnes nodokļu ieņēmumu vērtspapīrošanu pirms nodokļu maksātāja saistību uzkrāšanās nacionālajos kontos vienmēr ieraksta kā valdības aizņēmumu.</w:t>
      </w:r>
    </w:p>
    <w:p w14:paraId="049A5AC3"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3098A01D"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15. Tāpat (kā valdības aizņēmumu) ieraksta arī tādu pārvedumu vērtspapīrošanu, kurus valsts vienības plāno saņemt no ES iestādēm vai citām starptautiskām organizācijām, vai arī no loteriju ieņēmumiem, licenču maksām vai soda naudām. Vispārīgākā izpratnē par valdības aizņēmumu uzskata visus neatlīdzināmos sadales darījumus tiktāl, ciktāl nav paziņots neviens ieraksts nacionālo kontu bilancē.</w:t>
      </w:r>
    </w:p>
    <w:p w14:paraId="6A4357FE"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349394D9"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16. Aizdevumu aktīvus, kas sākumā nacionālajos kontos netika atzīti par aizdevuma aktīviem, jo pastāv zema varbūtība, ka tos būs iespējams atgūt, un kas līdz ar to valdības kontos tika uzskatīti par nefinanšu kapitāla pārvedumu, ieraksta kā aizņēmumu, ja tie ir vērtspapīroti.</w:t>
      </w:r>
    </w:p>
    <w:p w14:paraId="1CC2200D" w14:textId="77777777" w:rsidR="00443399" w:rsidRPr="00B03B51" w:rsidRDefault="00443399" w:rsidP="00443399">
      <w:pPr>
        <w:jc w:val="both"/>
        <w:rPr>
          <w:rFonts w:ascii="Times New Roman" w:hAnsi="Times New Roman" w:cs="Times New Roman"/>
          <w:noProof/>
          <w:sz w:val="24"/>
        </w:rPr>
      </w:pPr>
    </w:p>
    <w:p w14:paraId="5E5456AE" w14:textId="77777777" w:rsidR="00443399" w:rsidRPr="00B03B51" w:rsidRDefault="00443399" w:rsidP="00443399">
      <w:pPr>
        <w:keepNext/>
        <w:jc w:val="both"/>
        <w:rPr>
          <w:rFonts w:ascii="Times New Roman" w:hAnsi="Times New Roman" w:cs="Times New Roman"/>
          <w:b/>
          <w:noProof/>
          <w:sz w:val="24"/>
        </w:rPr>
      </w:pPr>
      <w:r w:rsidRPr="00B03B51">
        <w:rPr>
          <w:rFonts w:ascii="Times New Roman" w:hAnsi="Times New Roman" w:cs="Times New Roman"/>
          <w:b/>
          <w:sz w:val="24"/>
        </w:rPr>
        <w:lastRenderedPageBreak/>
        <w:t>Lēmuma pieņemšanas shēma: aktīva pārdošana vai valdības aizņēmums?</w:t>
      </w:r>
    </w:p>
    <w:p w14:paraId="648E47BF" w14:textId="77777777" w:rsidR="00443399" w:rsidRPr="00B03B51" w:rsidRDefault="00443399" w:rsidP="00443399">
      <w:pPr>
        <w:keepNext/>
        <w:jc w:val="both"/>
        <w:rPr>
          <w:rFonts w:ascii="Times New Roman" w:eastAsia="Arial" w:hAnsi="Times New Roman" w:cs="Times New Roman"/>
          <w:b/>
          <w:bCs/>
          <w:noProof/>
          <w:sz w:val="24"/>
          <w:szCs w:val="20"/>
        </w:rPr>
      </w:pPr>
    </w:p>
    <w:p w14:paraId="416351DD" w14:textId="77777777" w:rsidR="00443399" w:rsidRPr="00B03B51" w:rsidRDefault="00443399" w:rsidP="00443399">
      <w:pPr>
        <w:keepNext/>
        <w:jc w:val="center"/>
        <w:rPr>
          <w:rFonts w:ascii="Times New Roman" w:eastAsia="Arial" w:hAnsi="Times New Roman" w:cs="Times New Roman"/>
          <w:b/>
          <w:bCs/>
          <w:noProof/>
          <w:sz w:val="24"/>
        </w:rPr>
      </w:pPr>
      <w:r w:rsidRPr="00B03B51">
        <w:rPr>
          <w:rFonts w:ascii="Times New Roman" w:hAnsi="Times New Roman" w:cs="Times New Roman"/>
          <w:noProof/>
        </w:rPr>
        <w:drawing>
          <wp:inline distT="0" distB="0" distL="0" distR="0" wp14:anchorId="65DFF1B2" wp14:editId="5B48142D">
            <wp:extent cx="5756275" cy="7489825"/>
            <wp:effectExtent l="0" t="0" r="0" b="0"/>
            <wp:docPr id="51" name="Attēls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4"/>
                    <a:stretch>
                      <a:fillRect/>
                    </a:stretch>
                  </pic:blipFill>
                  <pic:spPr>
                    <a:xfrm>
                      <a:off x="0" y="0"/>
                      <a:ext cx="5756275" cy="7489825"/>
                    </a:xfrm>
                    <a:prstGeom prst="rect">
                      <a:avLst/>
                    </a:prstGeom>
                  </pic:spPr>
                </pic:pic>
              </a:graphicData>
            </a:graphic>
          </wp:inline>
        </w:drawing>
      </w:r>
    </w:p>
    <w:p w14:paraId="1A485F35" w14:textId="77777777" w:rsidR="00443399" w:rsidRPr="00B03B51" w:rsidRDefault="00443399" w:rsidP="00443399">
      <w:pPr>
        <w:jc w:val="both"/>
        <w:rPr>
          <w:rFonts w:ascii="Times New Roman" w:eastAsia="Arial" w:hAnsi="Times New Roman" w:cs="Times New Roman"/>
          <w:b/>
          <w:bCs/>
          <w:noProof/>
          <w:sz w:val="24"/>
          <w:szCs w:val="18"/>
        </w:rPr>
      </w:pPr>
    </w:p>
    <w:p w14:paraId="65793883" w14:textId="77777777" w:rsidR="00443399" w:rsidRPr="00BE27DC" w:rsidRDefault="00443399" w:rsidP="00BE27DC">
      <w:pPr>
        <w:pStyle w:val="Heading6"/>
        <w:tabs>
          <w:tab w:val="left" w:pos="1267"/>
        </w:tabs>
        <w:ind w:left="0" w:firstLine="0"/>
        <w:jc w:val="both"/>
        <w:rPr>
          <w:rFonts w:ascii="Times New Roman" w:hAnsi="Times New Roman" w:cs="Times New Roman"/>
          <w:sz w:val="24"/>
        </w:rPr>
      </w:pPr>
      <w:bookmarkStart w:id="453" w:name="5.5.2.3_Securitisation_of_fiscal_flows"/>
      <w:bookmarkEnd w:id="453"/>
      <w:r w:rsidRPr="00B03B51">
        <w:rPr>
          <w:rFonts w:ascii="Times New Roman" w:hAnsi="Times New Roman" w:cs="Times New Roman"/>
          <w:sz w:val="24"/>
        </w:rPr>
        <w:t>5.5.2.3. FINANŠU PLŪSMU VĒRTSPAPĪROŠANA</w:t>
      </w:r>
    </w:p>
    <w:p w14:paraId="7679E5A2"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3D6B7535"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17. Īpašumtiesības uz noteiktiem aktīviem, kas nacionālajos kontos ir ierakstīti valdības bilancē, ekonomiskā izpratnē var uzskatīt par nenododamām. Šādos gadījumos šo aktīvu vērtspapīrošanu obligāti traktē kā valdības aizņēmumu.</w:t>
      </w:r>
    </w:p>
    <w:p w14:paraId="5E7C47BF"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60D94DE4"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18. Piemērs ir finanšu prasījumi attiecībā uz nodokļiem, kas jau ir uzkrāti un nacionālo kontu bilancē ierakstīti kā finanšu aktīvi (dažkārt šādus prasījumus dēvē par “fiskālajiem prasījumiem”). Šie fiskālie prasījumi (debitoru parādi) atšķiras no tiesībām attiecībā uz nākotnes nodokļu ieņēmumiem (kas apspriesti iepriekš 5.5.2.3. apakšiedaļā “Neatzītam aktīvam piesaistītu plūsmu vērtspapīrošana”). Šie ieņēmumi ir ierakstīti nacionālajos kontos kopā ar finanšu aktīvu nacionālo kontu bilancē (fiskālie prasījumi).</w:t>
      </w:r>
    </w:p>
    <w:p w14:paraId="0B8E0610" w14:textId="77777777" w:rsidR="00443399" w:rsidRPr="00B03B51" w:rsidRDefault="00443399" w:rsidP="00443399">
      <w:pPr>
        <w:jc w:val="both"/>
        <w:rPr>
          <w:rFonts w:ascii="Times New Roman" w:hAnsi="Times New Roman" w:cs="Times New Roman"/>
          <w:noProof/>
          <w:sz w:val="24"/>
        </w:rPr>
      </w:pPr>
    </w:p>
    <w:p w14:paraId="628B4C4F"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19. Nacionālo kontu bilances ierakstu fiskālajiem prasījumiem nedrīkst sajaukt ar valdības grāmatvedības uzskaites kontiem, jo tajos neiekļauj summas, kuras uzskata par nepiedzenamām. Arī tādu summu vērtspapīrošanu, kuras uzskatāmas par nepiedzenamām, nacionālajos kontos ieraksta kā valdības aizņēmumu.</w:t>
      </w:r>
    </w:p>
    <w:p w14:paraId="14FB4AE5"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0774DEA7"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20. Pat ja valdība nodod nodokļu piedziņu ārpakalpojumu sniedzējiem, nodokļus (un obligātās sociālās iemaksas) joprojām uzskata par valdības ieņēmumiem.</w:t>
      </w:r>
    </w:p>
    <w:p w14:paraId="298E6DA2" w14:textId="77777777" w:rsidR="00443399" w:rsidRPr="00B03B51" w:rsidRDefault="00443399" w:rsidP="00443399">
      <w:pPr>
        <w:jc w:val="both"/>
        <w:rPr>
          <w:rFonts w:ascii="Times New Roman" w:eastAsia="Arial" w:hAnsi="Times New Roman" w:cs="Times New Roman"/>
          <w:noProof/>
          <w:sz w:val="24"/>
          <w:szCs w:val="15"/>
        </w:rPr>
      </w:pPr>
    </w:p>
    <w:p w14:paraId="5810A5D5" w14:textId="77777777" w:rsidR="00443399" w:rsidRPr="00B03B51" w:rsidRDefault="00443399" w:rsidP="00443399">
      <w:pPr>
        <w:pStyle w:val="Heading6"/>
        <w:tabs>
          <w:tab w:val="left" w:pos="1267"/>
        </w:tabs>
        <w:ind w:left="0" w:firstLine="0"/>
        <w:jc w:val="both"/>
        <w:rPr>
          <w:rFonts w:ascii="Times New Roman" w:hAnsi="Times New Roman" w:cs="Times New Roman"/>
          <w:noProof/>
          <w:sz w:val="24"/>
        </w:rPr>
      </w:pPr>
      <w:bookmarkStart w:id="454" w:name="5.5.2.4_Securitisation_of_flows_from_non"/>
      <w:bookmarkEnd w:id="454"/>
      <w:r w:rsidRPr="00B03B51">
        <w:rPr>
          <w:rFonts w:ascii="Times New Roman" w:hAnsi="Times New Roman" w:cs="Times New Roman"/>
          <w:sz w:val="24"/>
        </w:rPr>
        <w:t>5.5.2.4. NENODOTO AKTĪVU PLŪSMU VĒRTSPAPĪROŠANA</w:t>
      </w:r>
    </w:p>
    <w:p w14:paraId="11B6CF3F"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2D3968D2"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21. Valdība var pārvērst vērtspapīros ienākumu plūsmu, ko rada nacionālo kontu bilancē ierakstītie aktīvi. Šīs plūsmas ietver renti, nomas maksu, procentus, dividendes un citus īpašuma ienākumus (P.1 un D.4). Piemēram, nedzīvojamās ēkas nomnieki maksā par to nomas maksu.</w:t>
      </w:r>
    </w:p>
    <w:p w14:paraId="0E771E54"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0AD32E6C"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22. Ja valdība pārvērš vērtspapīros tikai dažus nomas periodus no visiem nākotnes nomas maksājumiem, kurus tā plāno saņemt, tā tomēr neatbrīvojas no visiem ar aktīviem saistītajiem riskiem un priekšrocībām un tādējādi arī no ekonomiskajām īpašumtiesībām uz pašām ēkām. Šādos gadījumos vērtspapīrošanas operāciju nacionālajos kontos ieraksta kā valdības aizņēmumu.</w:t>
      </w:r>
    </w:p>
    <w:p w14:paraId="62A897A9"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78CF1199"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23. Arī finanšu aktīvu radīto īpašuma ienākuma nākotnes plūsmu (daļēju) vērtspapīrošanu ieraksta kā valdības aizņēmumu, ja ekonomiskās īpašumtiesības uz finanšu aktīviem netiek pilnīgi nodotas. Ekonomisko īpašumtiesību noteikšanas kritēriji ir sniegti NKS 2008 3.26. punktā.</w:t>
      </w:r>
    </w:p>
    <w:p w14:paraId="3AE3074E" w14:textId="77777777" w:rsidR="00443399" w:rsidRPr="00B03B51" w:rsidRDefault="00443399" w:rsidP="00443399">
      <w:pPr>
        <w:jc w:val="both"/>
        <w:rPr>
          <w:rFonts w:ascii="Times New Roman" w:eastAsia="Arial" w:hAnsi="Times New Roman" w:cs="Times New Roman"/>
          <w:noProof/>
          <w:sz w:val="24"/>
          <w:szCs w:val="15"/>
        </w:rPr>
      </w:pPr>
    </w:p>
    <w:p w14:paraId="329C0464" w14:textId="77777777" w:rsidR="00443399" w:rsidRPr="00B03B51" w:rsidRDefault="00443399" w:rsidP="00443399">
      <w:pPr>
        <w:pStyle w:val="Heading6"/>
        <w:tabs>
          <w:tab w:val="left" w:pos="1267"/>
        </w:tabs>
        <w:ind w:left="0" w:firstLine="0"/>
        <w:jc w:val="both"/>
        <w:rPr>
          <w:rFonts w:ascii="Times New Roman" w:hAnsi="Times New Roman" w:cs="Times New Roman"/>
          <w:noProof/>
          <w:sz w:val="24"/>
        </w:rPr>
      </w:pPr>
      <w:bookmarkStart w:id="455" w:name="5.5.2.5_Transfer_of_ownership:_risks_and"/>
      <w:bookmarkEnd w:id="455"/>
      <w:r w:rsidRPr="00B03B51">
        <w:rPr>
          <w:rFonts w:ascii="Times New Roman" w:hAnsi="Times New Roman" w:cs="Times New Roman"/>
          <w:sz w:val="24"/>
        </w:rPr>
        <w:t>5.5.2.5. ĪPAŠUMTIESĪBU NODOŠANA – RISKI UN PRIEKŠROCĪBAS</w:t>
      </w:r>
    </w:p>
    <w:p w14:paraId="26614DFE"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7DF9BEB2"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24. Pieņemot, ka vērtspapīros pārvērstos līdzekļus nacionālajos kontos atzīst par nododamiem aktīviem, to pārdošanu nacionālajos kontos var ierakstīt tikai gadījumā, ja valdība pilnīgi nodod ekonomiskās īpašumtiesības vērtspapīrošanas struktūrvienībai. Ekonomiskās īpašumtiesības uz aktīviem tiek nodotas pilnīgi, ja tiek pilnīgi nodoti ar šādiem aktīviem saistītie riski un priekšrocības. Ja riskus un priekšrocības valdība nenodod pilnīgi vērtspapīrošanas struktūrvienībai, vērtspapīrošanu ieraksta kā valdības aizņēmumu.</w:t>
      </w:r>
    </w:p>
    <w:p w14:paraId="7115A00F" w14:textId="77777777" w:rsidR="00443399" w:rsidRPr="00B03B51" w:rsidRDefault="00443399" w:rsidP="00443399">
      <w:pPr>
        <w:jc w:val="both"/>
        <w:rPr>
          <w:rFonts w:ascii="Times New Roman" w:eastAsia="Arial" w:hAnsi="Times New Roman" w:cs="Times New Roman"/>
          <w:noProof/>
          <w:sz w:val="24"/>
          <w:szCs w:val="15"/>
        </w:rPr>
      </w:pPr>
    </w:p>
    <w:p w14:paraId="65AA40C7" w14:textId="77777777" w:rsidR="00443399" w:rsidRPr="00B03B51" w:rsidRDefault="00443399" w:rsidP="00443399">
      <w:pPr>
        <w:pStyle w:val="Heading6"/>
        <w:tabs>
          <w:tab w:val="left" w:pos="1267"/>
        </w:tabs>
        <w:ind w:left="0" w:firstLine="0"/>
        <w:jc w:val="both"/>
        <w:rPr>
          <w:rFonts w:ascii="Times New Roman" w:hAnsi="Times New Roman" w:cs="Times New Roman"/>
          <w:noProof/>
          <w:sz w:val="24"/>
        </w:rPr>
      </w:pPr>
      <w:bookmarkStart w:id="456" w:name="5.5.2.6_Notion_of_risks_and_rewards"/>
      <w:bookmarkEnd w:id="456"/>
      <w:r w:rsidRPr="00B03B51">
        <w:rPr>
          <w:rFonts w:ascii="Times New Roman" w:hAnsi="Times New Roman" w:cs="Times New Roman"/>
          <w:sz w:val="24"/>
        </w:rPr>
        <w:t>5.5.2.6. RISKU UN PRIEKŠROCĪBU JĒDZIENS</w:t>
      </w:r>
    </w:p>
    <w:p w14:paraId="4F8410B2" w14:textId="77777777" w:rsidR="00443399" w:rsidRPr="00B03B51" w:rsidRDefault="00443399" w:rsidP="00443399">
      <w:pPr>
        <w:jc w:val="both"/>
        <w:rPr>
          <w:rFonts w:ascii="Times New Roman" w:eastAsia="Arial" w:hAnsi="Times New Roman" w:cs="Times New Roman"/>
          <w:b/>
          <w:bCs/>
          <w:noProof/>
          <w:sz w:val="24"/>
          <w:szCs w:val="21"/>
        </w:rPr>
      </w:pPr>
    </w:p>
    <w:p w14:paraId="188166EA" w14:textId="77777777" w:rsidR="00443399" w:rsidRPr="00B03B51" w:rsidRDefault="00443399" w:rsidP="00443399">
      <w:pPr>
        <w:jc w:val="both"/>
        <w:rPr>
          <w:rFonts w:ascii="Times New Roman" w:hAnsi="Times New Roman" w:cs="Times New Roman"/>
          <w:b/>
          <w:noProof/>
          <w:sz w:val="24"/>
        </w:rPr>
      </w:pPr>
      <w:r w:rsidRPr="00B03B51">
        <w:rPr>
          <w:rFonts w:ascii="Times New Roman" w:hAnsi="Times New Roman" w:cs="Times New Roman"/>
          <w:b/>
          <w:sz w:val="24"/>
        </w:rPr>
        <w:t>Finanšu aktīvi</w:t>
      </w:r>
    </w:p>
    <w:p w14:paraId="3755E837" w14:textId="77777777" w:rsidR="00443399" w:rsidRPr="00B03B51" w:rsidRDefault="00443399" w:rsidP="00443399">
      <w:pPr>
        <w:jc w:val="both"/>
        <w:rPr>
          <w:rFonts w:ascii="Times New Roman" w:eastAsia="Arial" w:hAnsi="Times New Roman" w:cs="Times New Roman"/>
          <w:b/>
          <w:bCs/>
          <w:noProof/>
          <w:sz w:val="24"/>
        </w:rPr>
      </w:pPr>
    </w:p>
    <w:p w14:paraId="75BA4B36"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25. Ar finanšu aktīviem saistītās priekšrocības ir atlīdzība (beznosacījuma atlīdzība kā procenti vai iespējamā atlīdzība kā dividendes) un turēšanas guvumi, kas var izrietēt no to tirgus vērtības maiņas, turpretī riski galvenokārt tiek iedalīti šādi:</w:t>
      </w:r>
    </w:p>
    <w:p w14:paraId="06E45088"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7FF212E5" w14:textId="77777777" w:rsidR="00443399" w:rsidRPr="00B03B51" w:rsidRDefault="00443399" w:rsidP="004205D9">
      <w:pPr>
        <w:pStyle w:val="BodyText"/>
        <w:numPr>
          <w:ilvl w:val="1"/>
          <w:numId w:val="57"/>
        </w:numPr>
        <w:spacing w:before="0"/>
        <w:ind w:left="426" w:hanging="425"/>
        <w:jc w:val="both"/>
        <w:rPr>
          <w:rFonts w:ascii="Times New Roman" w:hAnsi="Times New Roman" w:cs="Times New Roman"/>
          <w:noProof/>
          <w:sz w:val="24"/>
        </w:rPr>
      </w:pPr>
      <w:r w:rsidRPr="00B03B51">
        <w:rPr>
          <w:rFonts w:ascii="Times New Roman" w:hAnsi="Times New Roman" w:cs="Times New Roman"/>
          <w:sz w:val="24"/>
        </w:rPr>
        <w:t xml:space="preserve">tirgus risks – portfeļa (ieguldījumu portfeļa vai tirdzniecības portfeļa) vērtības </w:t>
      </w:r>
      <w:r w:rsidRPr="00B03B51">
        <w:rPr>
          <w:rFonts w:ascii="Times New Roman" w:hAnsi="Times New Roman" w:cs="Times New Roman"/>
          <w:sz w:val="24"/>
        </w:rPr>
        <w:lastRenderedPageBreak/>
        <w:t>samazināšanās tādēļ, ka mainījusies šādu tirgus riska faktoru vērtība; pašu kapitāla risks (cenu izmaiņas), procentu likmes risks (izmaiņas ar ietekmi uz nemainīgās likmes vērtspapīru vērtību un pārfinansēšanu), valūtas riski (mainīgs valūtas kurss un atkārtota izlīdzināšana), preču risks (izmaiņas preču cenās); tajā ietilpst arī risks, ka sabiedrība nespēs nodrošināt “normālu” un pietiekamu atdeves normu no pašu kapitāla;</w:t>
      </w:r>
    </w:p>
    <w:p w14:paraId="04CBE2D1" w14:textId="77777777" w:rsidR="00443399" w:rsidRPr="00B03B51" w:rsidRDefault="00443399" w:rsidP="004205D9">
      <w:pPr>
        <w:pStyle w:val="BodyText"/>
        <w:numPr>
          <w:ilvl w:val="1"/>
          <w:numId w:val="57"/>
        </w:numPr>
        <w:spacing w:before="0"/>
        <w:ind w:left="426" w:hanging="425"/>
        <w:jc w:val="both"/>
        <w:rPr>
          <w:rFonts w:ascii="Times New Roman" w:hAnsi="Times New Roman" w:cs="Times New Roman"/>
          <w:noProof/>
          <w:sz w:val="24"/>
        </w:rPr>
      </w:pPr>
      <w:r w:rsidRPr="00B03B51">
        <w:rPr>
          <w:rFonts w:ascii="Times New Roman" w:hAnsi="Times New Roman" w:cs="Times New Roman"/>
          <w:sz w:val="24"/>
        </w:rPr>
        <w:t>kredītrisks – aizdevuma ņēmēja nespēja izpildīt savas līgumsaistības noteiktajā termiņā (kavējums vai pilnīga nespēja uz nenoteiktu laiku) vai risks, ka sabiedrība bankrotēs;</w:t>
      </w:r>
    </w:p>
    <w:p w14:paraId="1CC916B6" w14:textId="77777777" w:rsidR="00443399" w:rsidRPr="00B03B51" w:rsidRDefault="00443399" w:rsidP="004205D9">
      <w:pPr>
        <w:pStyle w:val="BodyText"/>
        <w:numPr>
          <w:ilvl w:val="1"/>
          <w:numId w:val="57"/>
        </w:numPr>
        <w:spacing w:before="0"/>
        <w:ind w:left="426" w:hanging="425"/>
        <w:jc w:val="both"/>
        <w:rPr>
          <w:rFonts w:ascii="Times New Roman" w:hAnsi="Times New Roman" w:cs="Times New Roman"/>
          <w:noProof/>
          <w:sz w:val="24"/>
        </w:rPr>
      </w:pPr>
      <w:r w:rsidRPr="00B03B51">
        <w:rPr>
          <w:rFonts w:ascii="Times New Roman" w:hAnsi="Times New Roman" w:cs="Times New Roman"/>
          <w:sz w:val="24"/>
        </w:rPr>
        <w:t>darījuma partnera risks – darījuma puses nespēja pilnīgi īstenot darījumu;</w:t>
      </w:r>
    </w:p>
    <w:p w14:paraId="69791317" w14:textId="77777777" w:rsidR="00443399" w:rsidRPr="00B03B51" w:rsidRDefault="00443399" w:rsidP="004205D9">
      <w:pPr>
        <w:pStyle w:val="BodyText"/>
        <w:numPr>
          <w:ilvl w:val="1"/>
          <w:numId w:val="57"/>
        </w:numPr>
        <w:spacing w:before="0"/>
        <w:ind w:left="426" w:hanging="425"/>
        <w:jc w:val="both"/>
        <w:rPr>
          <w:rFonts w:ascii="Times New Roman" w:hAnsi="Times New Roman" w:cs="Times New Roman"/>
          <w:noProof/>
          <w:sz w:val="24"/>
        </w:rPr>
      </w:pPr>
      <w:r w:rsidRPr="00B03B51">
        <w:rPr>
          <w:rFonts w:ascii="Times New Roman" w:hAnsi="Times New Roman" w:cs="Times New Roman"/>
          <w:sz w:val="24"/>
        </w:rPr>
        <w:t>darbības risks (skat. iepriekšējo vēri).</w:t>
      </w:r>
    </w:p>
    <w:p w14:paraId="64DE446D"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3DF3F917"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26. Dažos gadījumos valdība par noteiktu maksu rīkojas kā pārstāve, kas iekasē īpašuma ienākumu par pārdotajiem finanšu aktīviem un pēc tam nodod to pircējam. To nosaka tas, ka šādu darbību nodošana jaunajam īpašniekam var būt pārāk dārga vai arī to paredz ar aizņēmējiem noslēgta vienošanās aktīvu sākotnējās izveides laikā. Privātajā finanšu sektorā bieži var novērot, ka iekasēšanas funkciju uzņemas iniciators. Šādos apstākļos pārdošanu vēl joprojām var ierakstīt kā finanšu aktīvu realizāciju, ja vien iekasēšanas pasākums neietekmē risku un priekšrocību nodošanu vērtspapīrošanas struktūrvienībai un sedz nodoto aktīvu faktiskās pārvaldības izmaksas. Fakts, ka valdība iekasē īpašuma ienākumu, pats par sevi neietekmē ekonomisko īpašumtiesību nodošanu pircējam.</w:t>
      </w:r>
    </w:p>
    <w:p w14:paraId="53A7CBFC" w14:textId="77777777" w:rsidR="00443399" w:rsidRPr="00B03B51" w:rsidRDefault="00443399" w:rsidP="00443399">
      <w:pPr>
        <w:jc w:val="both"/>
        <w:rPr>
          <w:rFonts w:ascii="Times New Roman" w:hAnsi="Times New Roman" w:cs="Times New Roman"/>
          <w:noProof/>
          <w:sz w:val="24"/>
        </w:rPr>
      </w:pPr>
    </w:p>
    <w:p w14:paraId="67495A36" w14:textId="77777777" w:rsidR="00443399" w:rsidRPr="00B03B51" w:rsidRDefault="00443399" w:rsidP="00443399">
      <w:pPr>
        <w:jc w:val="both"/>
        <w:rPr>
          <w:rFonts w:ascii="Times New Roman" w:hAnsi="Times New Roman" w:cs="Times New Roman"/>
          <w:b/>
          <w:noProof/>
          <w:sz w:val="24"/>
        </w:rPr>
      </w:pPr>
      <w:r w:rsidRPr="00B03B51">
        <w:rPr>
          <w:rFonts w:ascii="Times New Roman" w:hAnsi="Times New Roman" w:cs="Times New Roman"/>
          <w:b/>
          <w:sz w:val="24"/>
        </w:rPr>
        <w:t>Aizdevumi</w:t>
      </w:r>
    </w:p>
    <w:p w14:paraId="0416B764" w14:textId="77777777" w:rsidR="00443399" w:rsidRPr="00B03B51" w:rsidRDefault="00443399" w:rsidP="00443399">
      <w:pPr>
        <w:jc w:val="both"/>
        <w:rPr>
          <w:rFonts w:ascii="Times New Roman" w:eastAsia="Arial" w:hAnsi="Times New Roman" w:cs="Times New Roman"/>
          <w:b/>
          <w:bCs/>
          <w:noProof/>
          <w:sz w:val="24"/>
        </w:rPr>
      </w:pPr>
    </w:p>
    <w:p w14:paraId="76862EC6"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27. Aizdevumus bieži pārdod arī kopā kā “kredītportfeli”, nevis atsevišķi. Šajā saistībā bieži notiek kredītportfeļa daļēja pārdošana, kuru var organizēt dažādi, piemēram, nejauši izvēloties (vērtspapīrošanas brīdī) aizņēmējus, kuru atmaksājamo daļu pārdod pircējam, vai arī pārdodot noteiktu daļu no portfeļa atmaksājamām summām, kuras katru dienu saņem no kredītportfeļa. Daļēju kredītportfeļa pārdošanu, pārdodot konkrēti izvēlētus prasījumus, nacionālajos kontos var ierakstīt kā aizdevumu pārdošanu. Valdības veiktu noteiktas kopējās atmaksājamās summas daļas pārdošanu bez tiešas savienošanas ar kādiem identificētiem aktīviem nacionālajos kontos nevar ierakstīt kā aizdevumu pārdošanu, un tas ir jāieraksta kā valdības aizņēmums.</w:t>
      </w:r>
    </w:p>
    <w:p w14:paraId="14BD4BA8" w14:textId="77777777" w:rsidR="00443399" w:rsidRPr="00B03B51" w:rsidRDefault="00443399" w:rsidP="00443399">
      <w:pPr>
        <w:jc w:val="both"/>
        <w:rPr>
          <w:rFonts w:ascii="Times New Roman" w:eastAsia="Arial" w:hAnsi="Times New Roman" w:cs="Times New Roman"/>
          <w:noProof/>
          <w:sz w:val="24"/>
          <w:szCs w:val="19"/>
        </w:rPr>
      </w:pPr>
    </w:p>
    <w:p w14:paraId="3D0C2AE6" w14:textId="77777777" w:rsidR="00443399" w:rsidRPr="00B03B51" w:rsidRDefault="00443399" w:rsidP="00443399">
      <w:pPr>
        <w:jc w:val="both"/>
        <w:rPr>
          <w:rFonts w:ascii="Times New Roman" w:hAnsi="Times New Roman" w:cs="Times New Roman"/>
          <w:b/>
          <w:noProof/>
          <w:sz w:val="24"/>
        </w:rPr>
      </w:pPr>
      <w:r w:rsidRPr="00B03B51">
        <w:rPr>
          <w:rFonts w:ascii="Times New Roman" w:hAnsi="Times New Roman" w:cs="Times New Roman"/>
          <w:b/>
          <w:sz w:val="24"/>
        </w:rPr>
        <w:t>Nefinanšu aktīvi</w:t>
      </w:r>
    </w:p>
    <w:p w14:paraId="16D67C3E" w14:textId="77777777" w:rsidR="00443399" w:rsidRPr="00B03B51" w:rsidRDefault="00443399" w:rsidP="00443399">
      <w:pPr>
        <w:jc w:val="both"/>
        <w:rPr>
          <w:rFonts w:ascii="Times New Roman" w:eastAsia="Arial" w:hAnsi="Times New Roman" w:cs="Times New Roman"/>
          <w:b/>
          <w:bCs/>
          <w:noProof/>
          <w:sz w:val="24"/>
        </w:rPr>
      </w:pPr>
    </w:p>
    <w:p w14:paraId="3D692353"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28. Vērtspapīrošanas struktūrvienība bieži vien nepārņem nefinanšu aktīvus ar mērķi turēt tos līdz aktīvu ekonomiskā cikla beigām; tā vietā struktūrvienības nolūks ir pārdot tos tālāk. Tādējādi papildus saistību neizpildes riskiem attiecībā uz ienākumu (nomas maksas un rente), kuri var būt saistīti ar šiem aktīviem, pastāv turēšanas zaudējumu risks, un pretēji – pastāv iespējamas priekšrocības, ja rodas turēšanas guvumi (attiecībā uz finanšu aktīviem), kā rezultātā ieņēmumi var būt mazāki vai lielāki, nekā tika plānots saņemt no galīgās aktīvu pārdošanas.</w:t>
      </w:r>
    </w:p>
    <w:p w14:paraId="057D07F7"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28A735EB"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29. Izvērtējot riska nodošanu gadījumos, kad vērtspapīrošana notiek ar nefinanšu aktīvu iesaistīšanu, ir jāapsver arī darbības risku un priekšrocību, piemēram, uzturēšanas un apdrošināšanas izmaksu mainīguma riska, nodošana.</w:t>
      </w:r>
    </w:p>
    <w:p w14:paraId="31CC5223" w14:textId="77777777" w:rsidR="00443399" w:rsidRPr="00B03B51" w:rsidRDefault="00443399" w:rsidP="00443399">
      <w:pPr>
        <w:jc w:val="both"/>
        <w:rPr>
          <w:rFonts w:ascii="Times New Roman" w:eastAsia="Arial" w:hAnsi="Times New Roman" w:cs="Times New Roman"/>
          <w:noProof/>
          <w:sz w:val="24"/>
          <w:szCs w:val="15"/>
        </w:rPr>
      </w:pPr>
    </w:p>
    <w:p w14:paraId="0677D36C" w14:textId="77777777" w:rsidR="00443399" w:rsidRPr="00B03B51" w:rsidRDefault="00443399" w:rsidP="00443399">
      <w:pPr>
        <w:pStyle w:val="Heading6"/>
        <w:tabs>
          <w:tab w:val="left" w:pos="1267"/>
        </w:tabs>
        <w:ind w:left="0" w:firstLine="0"/>
        <w:jc w:val="both"/>
        <w:rPr>
          <w:rFonts w:ascii="Times New Roman" w:hAnsi="Times New Roman" w:cs="Times New Roman"/>
          <w:noProof/>
          <w:sz w:val="24"/>
        </w:rPr>
      </w:pPr>
      <w:r w:rsidRPr="00B03B51">
        <w:rPr>
          <w:rFonts w:ascii="Times New Roman" w:hAnsi="Times New Roman" w:cs="Times New Roman"/>
          <w:sz w:val="24"/>
        </w:rPr>
        <w:t>5.5.2.7. RISKU UN PRIEKŠROCĪBU NODOŠANAS IZVĒRTĒŠANA</w:t>
      </w:r>
    </w:p>
    <w:p w14:paraId="3DF68D62"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369AB674"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30. Uzskata, ka ar aktīvu saistītie riski un priekšrocības nav pilnīgi nodoti, kā rezultātā ieraksta valdības aizņēmumu, ja ir piemērojams kāds no šādiem apstākļiem:</w:t>
      </w:r>
    </w:p>
    <w:p w14:paraId="68564F6A"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52317617" w14:textId="77777777" w:rsidR="00443399" w:rsidRPr="00B03B51" w:rsidRDefault="00443399" w:rsidP="004205D9">
      <w:pPr>
        <w:pStyle w:val="BodyText"/>
        <w:numPr>
          <w:ilvl w:val="1"/>
          <w:numId w:val="57"/>
        </w:numPr>
        <w:spacing w:before="0"/>
        <w:ind w:left="426" w:hanging="425"/>
        <w:jc w:val="both"/>
        <w:rPr>
          <w:rFonts w:ascii="Times New Roman" w:hAnsi="Times New Roman" w:cs="Times New Roman"/>
          <w:noProof/>
          <w:sz w:val="24"/>
        </w:rPr>
      </w:pPr>
      <w:r w:rsidRPr="00B03B51">
        <w:rPr>
          <w:rFonts w:ascii="Times New Roman" w:hAnsi="Times New Roman" w:cs="Times New Roman"/>
          <w:sz w:val="24"/>
        </w:rPr>
        <w:t>valdība ir ierobežojusi vērtspapīrošanas struktūrvienības tiesības veikt turpmāku aktīvu pārdošanu;</w:t>
      </w:r>
    </w:p>
    <w:p w14:paraId="4E8C2F5D" w14:textId="77777777" w:rsidR="00443399" w:rsidRPr="00B03B51" w:rsidRDefault="00443399" w:rsidP="004205D9">
      <w:pPr>
        <w:pStyle w:val="BodyText"/>
        <w:numPr>
          <w:ilvl w:val="1"/>
          <w:numId w:val="57"/>
        </w:numPr>
        <w:spacing w:before="0"/>
        <w:ind w:left="426" w:hanging="425"/>
        <w:jc w:val="both"/>
        <w:rPr>
          <w:rFonts w:ascii="Times New Roman" w:hAnsi="Times New Roman" w:cs="Times New Roman"/>
          <w:noProof/>
          <w:sz w:val="24"/>
        </w:rPr>
      </w:pPr>
      <w:r w:rsidRPr="00B03B51">
        <w:rPr>
          <w:rFonts w:ascii="Times New Roman" w:hAnsi="Times New Roman" w:cs="Times New Roman"/>
          <w:sz w:val="24"/>
        </w:rPr>
        <w:lastRenderedPageBreak/>
        <w:t>vērtspapīros pārvērstās plūsmas attiecas tikai uz daļu no plūsmām, kas ir saistīta ar konkrēto aktīvu;</w:t>
      </w:r>
    </w:p>
    <w:p w14:paraId="7301E8E9" w14:textId="77777777" w:rsidR="00443399" w:rsidRPr="00B03B51" w:rsidRDefault="00443399" w:rsidP="004205D9">
      <w:pPr>
        <w:pStyle w:val="BodyText"/>
        <w:numPr>
          <w:ilvl w:val="1"/>
          <w:numId w:val="57"/>
        </w:numPr>
        <w:spacing w:before="0"/>
        <w:ind w:left="426" w:hanging="425"/>
        <w:jc w:val="both"/>
        <w:rPr>
          <w:rFonts w:ascii="Times New Roman" w:hAnsi="Times New Roman" w:cs="Times New Roman"/>
          <w:noProof/>
          <w:sz w:val="24"/>
        </w:rPr>
      </w:pPr>
      <w:r w:rsidRPr="00B03B51">
        <w:rPr>
          <w:rFonts w:ascii="Times New Roman" w:hAnsi="Times New Roman" w:cs="Times New Roman"/>
          <w:sz w:val="24"/>
        </w:rPr>
        <w:t>pastāv “Atliktā pirkšanas cena (</w:t>
      </w:r>
      <w:r w:rsidRPr="00B03B51">
        <w:rPr>
          <w:rFonts w:ascii="Times New Roman" w:hAnsi="Times New Roman" w:cs="Times New Roman"/>
          <w:i/>
          <w:iCs/>
          <w:sz w:val="24"/>
        </w:rPr>
        <w:t>DPP</w:t>
      </w:r>
      <w:r w:rsidRPr="00B03B51">
        <w:rPr>
          <w:rFonts w:ascii="Times New Roman" w:hAnsi="Times New Roman" w:cs="Times New Roman"/>
          <w:sz w:val="24"/>
        </w:rPr>
        <w:t>)” vai līdzvērtīgs nosacījums, kas liecina par to, ka valdība daļēji saglabā īpašumtiesības;</w:t>
      </w:r>
    </w:p>
    <w:p w14:paraId="2B512297" w14:textId="77777777" w:rsidR="00443399" w:rsidRPr="00B03B51" w:rsidRDefault="00443399" w:rsidP="004205D9">
      <w:pPr>
        <w:pStyle w:val="BodyText"/>
        <w:numPr>
          <w:ilvl w:val="1"/>
          <w:numId w:val="57"/>
        </w:numPr>
        <w:spacing w:before="0"/>
        <w:ind w:left="426" w:hanging="425"/>
        <w:jc w:val="both"/>
        <w:rPr>
          <w:rFonts w:ascii="Times New Roman" w:hAnsi="Times New Roman" w:cs="Times New Roman"/>
          <w:noProof/>
          <w:sz w:val="24"/>
        </w:rPr>
      </w:pPr>
      <w:r w:rsidRPr="00B03B51">
        <w:rPr>
          <w:rFonts w:ascii="Times New Roman" w:hAnsi="Times New Roman" w:cs="Times New Roman"/>
          <w:sz w:val="24"/>
        </w:rPr>
        <w:t>valdība piešķir garantijas vai kā citādi mazina risku vērtspapīrošanas struktūrvienībām, tostarp izmantojot “aizstāšanas klauzulu” vai citus pasākumus;</w:t>
      </w:r>
    </w:p>
    <w:p w14:paraId="62A8BCB7" w14:textId="77777777" w:rsidR="00443399" w:rsidRPr="00B03B51" w:rsidRDefault="00443399" w:rsidP="004205D9">
      <w:pPr>
        <w:pStyle w:val="BodyText"/>
        <w:numPr>
          <w:ilvl w:val="1"/>
          <w:numId w:val="57"/>
        </w:numPr>
        <w:spacing w:before="0"/>
        <w:ind w:left="426" w:hanging="425"/>
        <w:jc w:val="both"/>
        <w:rPr>
          <w:rFonts w:ascii="Times New Roman" w:hAnsi="Times New Roman" w:cs="Times New Roman"/>
          <w:noProof/>
          <w:sz w:val="24"/>
        </w:rPr>
      </w:pPr>
      <w:r w:rsidRPr="00B03B51">
        <w:rPr>
          <w:rFonts w:ascii="Times New Roman" w:hAnsi="Times New Roman" w:cs="Times New Roman"/>
          <w:sz w:val="24"/>
        </w:rPr>
        <w:t>cita joprojām pastāvoša valdības līdzdalība aktīvos, kas nepieļauj risku un priekšrocību pilnīgu nodošanu.</w:t>
      </w:r>
    </w:p>
    <w:p w14:paraId="7E5CABB7" w14:textId="77777777" w:rsidR="00443399" w:rsidRPr="00B03B51" w:rsidRDefault="00443399" w:rsidP="00443399">
      <w:pPr>
        <w:jc w:val="both"/>
        <w:rPr>
          <w:rFonts w:ascii="Times New Roman" w:eastAsia="Arial" w:hAnsi="Times New Roman" w:cs="Times New Roman"/>
          <w:noProof/>
          <w:sz w:val="24"/>
          <w:szCs w:val="20"/>
        </w:rPr>
      </w:pPr>
    </w:p>
    <w:p w14:paraId="4434999F" w14:textId="77777777" w:rsidR="00443399" w:rsidRPr="00B03B51" w:rsidRDefault="00443399" w:rsidP="00443399">
      <w:pPr>
        <w:jc w:val="both"/>
        <w:rPr>
          <w:rFonts w:ascii="Times New Roman" w:hAnsi="Times New Roman" w:cs="Times New Roman"/>
          <w:b/>
          <w:noProof/>
          <w:sz w:val="24"/>
        </w:rPr>
      </w:pPr>
      <w:r w:rsidRPr="00B03B51">
        <w:rPr>
          <w:rFonts w:ascii="Times New Roman" w:hAnsi="Times New Roman" w:cs="Times New Roman"/>
          <w:b/>
          <w:sz w:val="24"/>
        </w:rPr>
        <w:t xml:space="preserve">Pašu kapitāla daļa un </w:t>
      </w:r>
      <w:r w:rsidRPr="00B03B51">
        <w:rPr>
          <w:rFonts w:ascii="Times New Roman" w:hAnsi="Times New Roman" w:cs="Times New Roman"/>
          <w:b/>
          <w:i/>
          <w:iCs/>
          <w:sz w:val="24"/>
        </w:rPr>
        <w:t>DPP</w:t>
      </w:r>
    </w:p>
    <w:p w14:paraId="30F63245" w14:textId="77777777" w:rsidR="00443399" w:rsidRPr="00B03B51" w:rsidRDefault="00443399" w:rsidP="00443399">
      <w:pPr>
        <w:jc w:val="both"/>
        <w:rPr>
          <w:rFonts w:ascii="Times New Roman" w:eastAsia="Arial" w:hAnsi="Times New Roman" w:cs="Times New Roman"/>
          <w:b/>
          <w:bCs/>
          <w:noProof/>
          <w:sz w:val="24"/>
        </w:rPr>
      </w:pPr>
    </w:p>
    <w:p w14:paraId="6FF33BCF"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31. Dažās vērtspapīrošanās dažādi emitēto vērtspapīru laidieni tiek pamatoti ar dažādām plūsmas daļām no vērtspapīros pārvērstajiem aktīviem. Tas nozīmē, ka tiek diferencēti riski un priekšrocības, ko uzņemas ieguldītāji. Izmantojot šādu procesu, ir iespējams iekļaut atsevišķus mehānismus, ar kuriem iniciators, valdība patur atlikušo risku/priekšrocības (ko dažkārt dēvē par “pašu kapitāla daļu” vai “pēdējo daļu”), lai aizsargātu ieguldītājus pret vērtspapīros pārvērsto aktīvu pārmērīgi zemiem darbības rezultātiem. Tādējādi vērtspapīri tiek padarīti pievilcīgāki ieguldītājiem. Ar šo mehānismu tiek novērsta risku pilnīga nodošana vērtspapīrošanas struktūrvienībai un panākts tas, ka vērtspapīrošanas pasākums tiek ierakstīts kā valdības aizņēmums.</w:t>
      </w:r>
    </w:p>
    <w:p w14:paraId="614A5D9F"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7CF68C7A"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32. Vērtspapīrošanas līgumā “Atliktā pirkšanas cena (</w:t>
      </w:r>
      <w:r w:rsidRPr="00B03B51">
        <w:rPr>
          <w:rFonts w:ascii="Times New Roman" w:hAnsi="Times New Roman" w:cs="Times New Roman"/>
          <w:i/>
          <w:iCs/>
          <w:sz w:val="24"/>
        </w:rPr>
        <w:t>DPP</w:t>
      </w:r>
      <w:r w:rsidRPr="00B03B51">
        <w:rPr>
          <w:rFonts w:ascii="Times New Roman" w:hAnsi="Times New Roman" w:cs="Times New Roman"/>
          <w:sz w:val="24"/>
        </w:rPr>
        <w:t xml:space="preserve">)” ir vēl viens kredīta kvalitātes uzlabošanas nosacījums, saskaņā ar kuru vērtspapīrošanas struktūrvienībai ir pienākums vēlāk samaksāt iniciatoram (atkarībā no rezultātiem) papildu ieņēmumus no pārdošanas. Ja ir paredzēts šāds noteikums, aktīvus realizē atbilstoši vērtībai (pārdošanas cenai), kas ir mazāka par aktīvu tirgus/patieso vērtību. </w:t>
      </w:r>
      <w:r w:rsidRPr="00B03B51">
        <w:rPr>
          <w:rFonts w:ascii="Times New Roman" w:hAnsi="Times New Roman" w:cs="Times New Roman"/>
          <w:i/>
          <w:iCs/>
          <w:sz w:val="24"/>
        </w:rPr>
        <w:t>DPP</w:t>
      </w:r>
      <w:r w:rsidRPr="00B03B51">
        <w:rPr>
          <w:rFonts w:ascii="Times New Roman" w:hAnsi="Times New Roman" w:cs="Times New Roman"/>
          <w:sz w:val="24"/>
        </w:rPr>
        <w:t xml:space="preserve"> nedrīkst sajaukt ar atliktu noteiktas cenas maksājumu, kuru atbilstoši uzkrāšanas principam sākumā uzrāda kā iniciatora debitoru parādus un kā vērtspapīrošanas struktūrvienības saistības.</w:t>
      </w:r>
    </w:p>
    <w:p w14:paraId="19781DDB"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301E2603"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 xml:space="preserve">33. Vērtspapīrošanas operācijas, tostarp pašu kapitāla daļas, </w:t>
      </w:r>
      <w:r w:rsidRPr="00B03B51">
        <w:rPr>
          <w:rFonts w:ascii="Times New Roman" w:hAnsi="Times New Roman" w:cs="Times New Roman"/>
          <w:i/>
          <w:iCs/>
          <w:sz w:val="24"/>
        </w:rPr>
        <w:t>DPP</w:t>
      </w:r>
      <w:r w:rsidRPr="00B03B51">
        <w:rPr>
          <w:rFonts w:ascii="Times New Roman" w:hAnsi="Times New Roman" w:cs="Times New Roman"/>
          <w:sz w:val="24"/>
        </w:rPr>
        <w:t xml:space="preserve"> vai līdzīgas klauzulas, kas aktīvu pārdevējam piešķir tiesības uz turpmākiem maksājumiem, ieraksta kā valdības aizņēmumu, jo šādas klauzulas liecina par to, ka ne visi operācijas riski un priekšrocības ir nodoti vērtspapīrošanas struktūrvienībai.</w:t>
      </w:r>
    </w:p>
    <w:p w14:paraId="0FA5178F" w14:textId="77777777" w:rsidR="00443399" w:rsidRPr="00B03B51" w:rsidRDefault="00443399" w:rsidP="00443399">
      <w:pPr>
        <w:jc w:val="both"/>
        <w:rPr>
          <w:rFonts w:ascii="Times New Roman" w:hAnsi="Times New Roman" w:cs="Times New Roman"/>
          <w:noProof/>
          <w:sz w:val="24"/>
        </w:rPr>
      </w:pPr>
    </w:p>
    <w:p w14:paraId="4B8593F4" w14:textId="77777777" w:rsidR="00443399" w:rsidRPr="00B03B51" w:rsidRDefault="00443399" w:rsidP="00443399">
      <w:pPr>
        <w:jc w:val="both"/>
        <w:rPr>
          <w:rFonts w:ascii="Times New Roman" w:hAnsi="Times New Roman" w:cs="Times New Roman"/>
          <w:b/>
          <w:noProof/>
          <w:sz w:val="24"/>
        </w:rPr>
      </w:pPr>
      <w:r w:rsidRPr="00B03B51">
        <w:rPr>
          <w:rFonts w:ascii="Times New Roman" w:hAnsi="Times New Roman" w:cs="Times New Roman"/>
          <w:b/>
          <w:sz w:val="24"/>
        </w:rPr>
        <w:t>Garantētie maksājumi pēc pārdošanas</w:t>
      </w:r>
    </w:p>
    <w:p w14:paraId="5E89CAA9" w14:textId="77777777" w:rsidR="00443399" w:rsidRPr="00B03B51" w:rsidRDefault="00443399" w:rsidP="00443399">
      <w:pPr>
        <w:jc w:val="both"/>
        <w:rPr>
          <w:rFonts w:ascii="Times New Roman" w:eastAsia="Arial" w:hAnsi="Times New Roman" w:cs="Times New Roman"/>
          <w:b/>
          <w:bCs/>
          <w:noProof/>
          <w:sz w:val="24"/>
        </w:rPr>
      </w:pPr>
    </w:p>
    <w:p w14:paraId="6730991F"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34. Valdības garantijas var piešķirt saistībā ar vērtspapīrošanu. Vērtspapīrošanas līgumā valdība var apņemties atmaksāt parādu, kas radies vērtspapīrošanas struktūrvienībai gadījumā, ja minētā struktūrvienība nespēj to atmaksāt no saviem līdzekļiem, jo tai nav pietiekami daudz peļņu nesošu aktīvu.</w:t>
      </w:r>
      <w:r w:rsidRPr="00B03B51">
        <w:rPr>
          <w:rStyle w:val="FootnoteReference"/>
          <w:rFonts w:ascii="Times New Roman" w:hAnsi="Times New Roman" w:cs="Times New Roman"/>
          <w:noProof/>
          <w:sz w:val="24"/>
        </w:rPr>
        <w:footnoteReference w:id="189"/>
      </w:r>
      <w:r w:rsidRPr="00B03B51">
        <w:rPr>
          <w:rFonts w:ascii="Times New Roman" w:hAnsi="Times New Roman" w:cs="Times New Roman"/>
          <w:sz w:val="24"/>
        </w:rPr>
        <w:t xml:space="preserve"> Valdības vērtspapīrošanas pasākumi, kuros ietilpst iepriekšējas garantijas, ieraksta kā valdības aizņēmumu. Šis noteikums neattiecas uz garantijām, kurām ir vispārīgs mērķis un kuras piedāvā citām vienībām saistībā ar līdzīgiem gadījumiem, lai pasargātu tās pret noteiktu ārēju notikumu, piemēram, dabas katastrofu, terorisma un karadarbības, izraisītām sekām.</w:t>
      </w:r>
    </w:p>
    <w:p w14:paraId="4E6F3166"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1AC6E88E"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 xml:space="preserve">35. Aizstāšanas klauzulas ir īpašs garantijas veids. Tās parasti paredz iespēju aizstāt sākotnējos aktīvus, kas nodoti vērtspapīrošanas struktūrvienībai, ar jauniem aktīviem, piemēram, ja vēlāk tiek konstatēts, ka nodotais “aktīvs” nepastāv vai to nav iespējams iekasēt. Aizstāšanas </w:t>
      </w:r>
      <w:r w:rsidRPr="00B03B51">
        <w:rPr>
          <w:rFonts w:ascii="Times New Roman" w:hAnsi="Times New Roman" w:cs="Times New Roman"/>
          <w:sz w:val="24"/>
        </w:rPr>
        <w:lastRenderedPageBreak/>
        <w:t>klauzulai ir būtiska nozīme, kad tiek spriests par risku un priekšrocību nodošanu starp valdību un vērtspapīrošanas struktūrvienību.</w:t>
      </w:r>
    </w:p>
    <w:p w14:paraId="5BD44289"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79096F63"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36. Izņemot robežgadījumus ar ierobežotu ietekmi, kuri rodas tikai tehnisku apsvērumu vai būtisku kļūdu dēļ un kuros aizstātajiem aktīviem ir tāda pati vērtība kā jaunajiem aktīviem, aizstāšanas klauzulas esamības dēļ ieraksta valdības aizņēmumu.</w:t>
      </w:r>
    </w:p>
    <w:p w14:paraId="7A031F33"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64D0D9A4"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 xml:space="preserve">37. Valdība vēlāk var izmaksāt vērtspapīrošanas struktūrvienībai kompensāciju, lai gan līgumā šāda prasība nav iekļauta. Šādu kompensāciju var izsniegt skaidrā naudā, kā parāda pārņemšanu vai kā tiešu vai netiešu garantiju, kas piešķirta, reaģējot uz nelabvēlīgām tendencēm. Nākamais solis ir valdības pieņemti vai grozīti tiesību akti, ko pēc tam izmanto kā pamatu tam, lai </w:t>
      </w:r>
      <w:r w:rsidRPr="00B03B51">
        <w:rPr>
          <w:rFonts w:ascii="Times New Roman" w:hAnsi="Times New Roman" w:cs="Times New Roman"/>
          <w:i/>
          <w:iCs/>
          <w:sz w:val="24"/>
        </w:rPr>
        <w:t>de facto</w:t>
      </w:r>
      <w:r w:rsidRPr="00B03B51">
        <w:rPr>
          <w:rFonts w:ascii="Times New Roman" w:hAnsi="Times New Roman" w:cs="Times New Roman"/>
          <w:sz w:val="24"/>
        </w:rPr>
        <w:t xml:space="preserve"> izmaksātu kompensāciju vērtspapīrošanas struktūrvienībai.</w:t>
      </w:r>
    </w:p>
    <w:p w14:paraId="3B3A5AFF"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48C1AA20"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38. Brīdī, kad pieņem lēmumu par kompensāciju, notikumu ieraksta kā valdības vienlaikus veiktu vērtspapirizēto aktīvu iegādi apmaiņā pret valdības saistību (aizdevuma) rašanos attiecībā uz vērtspapīrošanas struktūrvienību. Saistības ir vienādas ar vērtspapīrošanas struktūrvienības nenomaksāto parāda vērtspapīru summu, kuri ir emitēti, lai finansētu vērtspapīros pārvērsto aktīvu iegādi.</w:t>
      </w:r>
    </w:p>
    <w:p w14:paraId="48A85E06"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7E2BE232"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39. Ja nopirkta aktīva tirgus vērtība ir zemāka par uzņemtajām saistībām, ieraksta kapitāla pārvedumu vērtspapīrošanas vienībai no valdības par summu, kas vienāda ar šo starpību.</w:t>
      </w:r>
    </w:p>
    <w:p w14:paraId="74918615"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0DD1BF74"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40. Finanšu aktīva iegāde neietekmēs valdības neto aizdevumu/aizņēmumu (B.9), ja vien iegādāto aktīvu tirgus vērtība nav mazāka par radušos parādu.</w:t>
      </w:r>
    </w:p>
    <w:p w14:paraId="42AA874D"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23157DB9"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 xml:space="preserve">41. Nefinanšu aktīva iegāde palielina valdības budžeta deficītu (vai samazina pārpalikumu), jo nefinanšu aktīvu iegāde (negatīvs </w:t>
      </w:r>
      <w:r w:rsidRPr="00B03B51">
        <w:rPr>
          <w:rFonts w:ascii="Times New Roman" w:hAnsi="Times New Roman" w:cs="Times New Roman"/>
          <w:i/>
          <w:iCs/>
          <w:sz w:val="24"/>
        </w:rPr>
        <w:t>GFCF</w:t>
      </w:r>
      <w:r w:rsidRPr="00B03B51">
        <w:rPr>
          <w:rFonts w:ascii="Times New Roman" w:hAnsi="Times New Roman" w:cs="Times New Roman"/>
          <w:sz w:val="24"/>
        </w:rPr>
        <w:t>) ietekmē neto aizdevumu/aizņēmumu (B.9).</w:t>
      </w:r>
    </w:p>
    <w:p w14:paraId="0A84F981"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2A646E6E"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42. Šo pašu noteikumu piemēro gadījumos, kad līgumā nav iekļauta aktīvu aizstāšanas klauzula, taču praksē atklājas, ka ievērojama vērtspapīros pārvērsto aktīvu daļa ir aizstāta ar citiem aktīviem, kuru tirgus vērtība ir lielāka. Valdības saistību rašanos nosaka atbilstoši aktīva atpirkšanai brīdī, kad pieņem lēmumu par aizstāšanu.</w:t>
      </w:r>
    </w:p>
    <w:p w14:paraId="69ED3E03"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4D70E0F1"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43. Šos noteikumus nepiemēro, ja valdība izmaksā vērtspapīrošanas struktūrvienībai kompensāciju faktiska vai iespējama tiesas lēmuma dēļ, jo valdība ir pārkāpusi pārdošanas līguma noteikumus un nosacījumus.</w:t>
      </w:r>
    </w:p>
    <w:p w14:paraId="7E724DF2" w14:textId="77777777" w:rsidR="00443399" w:rsidRPr="00B03B51" w:rsidRDefault="00443399" w:rsidP="00443399">
      <w:pPr>
        <w:jc w:val="both"/>
        <w:rPr>
          <w:rFonts w:ascii="Times New Roman" w:eastAsia="Arial" w:hAnsi="Times New Roman" w:cs="Times New Roman"/>
          <w:noProof/>
          <w:sz w:val="24"/>
          <w:szCs w:val="18"/>
        </w:rPr>
      </w:pPr>
    </w:p>
    <w:p w14:paraId="0225394D" w14:textId="77777777" w:rsidR="00443399" w:rsidRPr="00B03B51" w:rsidRDefault="00443399" w:rsidP="00443399">
      <w:pPr>
        <w:jc w:val="both"/>
        <w:rPr>
          <w:rFonts w:ascii="Times New Roman" w:hAnsi="Times New Roman" w:cs="Times New Roman"/>
          <w:b/>
          <w:noProof/>
          <w:sz w:val="24"/>
        </w:rPr>
      </w:pPr>
      <w:r w:rsidRPr="00B03B51">
        <w:rPr>
          <w:rFonts w:ascii="Times New Roman" w:hAnsi="Times New Roman" w:cs="Times New Roman"/>
          <w:b/>
          <w:sz w:val="24"/>
        </w:rPr>
        <w:t>Tālākpārdošanas ierobežojumi</w:t>
      </w:r>
    </w:p>
    <w:p w14:paraId="6913E02A" w14:textId="77777777" w:rsidR="00443399" w:rsidRPr="00B03B51" w:rsidRDefault="00443399" w:rsidP="00443399">
      <w:pPr>
        <w:jc w:val="both"/>
        <w:rPr>
          <w:rFonts w:ascii="Times New Roman" w:eastAsia="Arial" w:hAnsi="Times New Roman" w:cs="Times New Roman"/>
          <w:b/>
          <w:bCs/>
          <w:noProof/>
          <w:sz w:val="24"/>
        </w:rPr>
      </w:pPr>
    </w:p>
    <w:p w14:paraId="3A8B9702"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44. Jebkādi ierobežojumi attiecībā uz iegādāto aktīvu vai citu tiesību uz nākotnes naudas plūsmām tālākpārdošanu liecina par to, ka ekonomiskās īpašumtiesības nav nodotas.</w:t>
      </w:r>
    </w:p>
    <w:p w14:paraId="182CF9DA" w14:textId="77777777" w:rsidR="00443399" w:rsidRPr="00B03B51" w:rsidRDefault="00443399" w:rsidP="00443399">
      <w:pPr>
        <w:jc w:val="both"/>
        <w:rPr>
          <w:rFonts w:ascii="Times New Roman" w:eastAsia="Arial" w:hAnsi="Times New Roman" w:cs="Times New Roman"/>
          <w:noProof/>
          <w:sz w:val="24"/>
          <w:szCs w:val="15"/>
        </w:rPr>
      </w:pPr>
    </w:p>
    <w:p w14:paraId="1079D6AC" w14:textId="77777777" w:rsidR="00443399" w:rsidRPr="00B03B51" w:rsidRDefault="00443399" w:rsidP="00443399">
      <w:pPr>
        <w:pStyle w:val="Heading6"/>
        <w:tabs>
          <w:tab w:val="left" w:pos="1267"/>
        </w:tabs>
        <w:ind w:left="0" w:firstLine="0"/>
        <w:jc w:val="both"/>
        <w:rPr>
          <w:rFonts w:ascii="Times New Roman" w:hAnsi="Times New Roman" w:cs="Times New Roman"/>
          <w:noProof/>
          <w:sz w:val="24"/>
        </w:rPr>
      </w:pPr>
      <w:r w:rsidRPr="00B03B51">
        <w:rPr>
          <w:rFonts w:ascii="Times New Roman" w:hAnsi="Times New Roman" w:cs="Times New Roman"/>
          <w:sz w:val="24"/>
        </w:rPr>
        <w:t>5.5.2.8. VĒRTSPAPĪROŠANAS STRUKTŪRVIENĪBAS KLASIFIKĀCIJA</w:t>
      </w:r>
    </w:p>
    <w:p w14:paraId="2D2D39FC" w14:textId="77777777" w:rsidR="00443399" w:rsidRPr="00B03B51" w:rsidRDefault="00443399" w:rsidP="00443399">
      <w:pPr>
        <w:tabs>
          <w:tab w:val="left" w:pos="843"/>
        </w:tabs>
        <w:jc w:val="both"/>
        <w:rPr>
          <w:rFonts w:ascii="Times New Roman" w:hAnsi="Times New Roman" w:cs="Times New Roman"/>
          <w:noProof/>
          <w:sz w:val="24"/>
        </w:rPr>
      </w:pPr>
    </w:p>
    <w:p w14:paraId="3B16468C" w14:textId="77777777" w:rsidR="00443399" w:rsidRPr="00B03B51" w:rsidRDefault="00443399" w:rsidP="00443399">
      <w:pPr>
        <w:tabs>
          <w:tab w:val="left" w:pos="843"/>
        </w:tabs>
        <w:jc w:val="both"/>
        <w:rPr>
          <w:rFonts w:ascii="Times New Roman" w:hAnsi="Times New Roman" w:cs="Times New Roman"/>
          <w:i/>
          <w:noProof/>
          <w:sz w:val="24"/>
        </w:rPr>
      </w:pPr>
      <w:r w:rsidRPr="00B03B51">
        <w:rPr>
          <w:rFonts w:ascii="Times New Roman" w:hAnsi="Times New Roman" w:cs="Times New Roman"/>
          <w:sz w:val="24"/>
        </w:rPr>
        <w:t>45. EKS 2010 5.108. punktā ir noteikts:</w:t>
      </w:r>
      <w:r w:rsidRPr="00B03B51">
        <w:rPr>
          <w:rFonts w:ascii="Times New Roman" w:hAnsi="Times New Roman" w:cs="Times New Roman"/>
          <w:i/>
          <w:sz w:val="24"/>
        </w:rPr>
        <w:t xml:space="preserve"> Jo īpaši ir svarīgi konstatēt, vai finanšu sabiedrība, kas iesaistīta aktīvu vērtspapīrošanā, aktīvi pārvalda savu portfeli, emitējot parāda vērtspapīrus, nevis vienkārši darbojas kā trasts, kas pasīvi pārvalda aktīvus un tur parāda vērtspapīrus. Ja finanšu sabiedrība ir aktīvu portfeļa tiesiskais īpašnieks, emitē parāda vērtspapīrus, kas atspoguļo līdzdalību portfelī, tai ir pilns kontu komplekts, tad tā darbojas kā finanšu starpnieks un to klasificē citu finanšu starpnieku kategorijā. Finanšu sabiedrības, kas ir iesaistītas aktīvu vērtspapīrošanā, nošķir no vienībām, kuras izveidotas vienīgi īpašu portfeļu </w:t>
      </w:r>
      <w:r w:rsidRPr="00B03B51">
        <w:rPr>
          <w:rFonts w:ascii="Times New Roman" w:hAnsi="Times New Roman" w:cs="Times New Roman"/>
          <w:i/>
          <w:sz w:val="24"/>
        </w:rPr>
        <w:lastRenderedPageBreak/>
        <w:t xml:space="preserve">turēšanai, kuros ir finanšu aktīvi un saistības. Pēdējos minētos subjektus apvieno ar mātessabiedrību, ja subjekts un mātessabiedrība ir vienas valsts rezidenti. </w:t>
      </w:r>
      <w:r w:rsidRPr="00B03B51">
        <w:rPr>
          <w:rFonts w:ascii="Times New Roman" w:hAnsi="Times New Roman" w:cs="Times New Roman"/>
          <w:i/>
          <w:iCs/>
          <w:sz w:val="24"/>
        </w:rPr>
        <w:t>Tomēr kā nerezidentvienības tās uzskata par atsevišķām institucionālajām vienībām un klasificē kā piesaistošās finanšu iestādes</w:t>
      </w:r>
      <w:r w:rsidRPr="00B03B51">
        <w:rPr>
          <w:rFonts w:ascii="Times New Roman" w:hAnsi="Times New Roman" w:cs="Times New Roman"/>
          <w:sz w:val="24"/>
        </w:rPr>
        <w:t>. Ja vērtspapīrošanas struktūrvienībai nav lēmumu pieņemšanas autonomijas attiecībā uz nodoto aktīvu vai tās saistību pārvaldību vai realizāciju, vērtspapīrošanas struktūrvienība saskaņā ar nacionālo kontu kritērijiem nav atsevišķa institucionālā vienība (kā ir noteikts EKS 2010 2.12. punktā).</w:t>
      </w:r>
    </w:p>
    <w:p w14:paraId="609D4612"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0C95F8E2"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46. Pieņemot, ka vērtspapīrošanas struktūrvienība ir izveidota, lai apkalpotu valdības vienību, par lēmumu pieņemšanas autonomijas trūkumu citu faktoru starpā var liecināt šādas pazīmes:</w:t>
      </w:r>
    </w:p>
    <w:p w14:paraId="7079AF7E"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074E7A39" w14:textId="77777777" w:rsidR="00443399" w:rsidRPr="00B03B51" w:rsidRDefault="00443399" w:rsidP="004205D9">
      <w:pPr>
        <w:pStyle w:val="BodyText"/>
        <w:numPr>
          <w:ilvl w:val="1"/>
          <w:numId w:val="57"/>
        </w:numPr>
        <w:spacing w:before="0"/>
        <w:ind w:left="426" w:hanging="425"/>
        <w:jc w:val="both"/>
        <w:rPr>
          <w:rFonts w:ascii="Times New Roman" w:hAnsi="Times New Roman" w:cs="Times New Roman"/>
          <w:noProof/>
          <w:sz w:val="24"/>
        </w:rPr>
      </w:pPr>
      <w:r w:rsidRPr="00B03B51">
        <w:rPr>
          <w:rFonts w:ascii="Times New Roman" w:hAnsi="Times New Roman" w:cs="Times New Roman"/>
          <w:sz w:val="24"/>
        </w:rPr>
        <w:t>valdība pārvalda vērtspapīrošanas struktūrvienības parādu;</w:t>
      </w:r>
    </w:p>
    <w:p w14:paraId="68B3A383" w14:textId="77777777" w:rsidR="00443399" w:rsidRPr="00B03B51" w:rsidRDefault="00443399" w:rsidP="004205D9">
      <w:pPr>
        <w:pStyle w:val="BodyText"/>
        <w:numPr>
          <w:ilvl w:val="1"/>
          <w:numId w:val="57"/>
        </w:numPr>
        <w:spacing w:before="0"/>
        <w:ind w:left="426" w:hanging="425"/>
        <w:jc w:val="both"/>
        <w:rPr>
          <w:rFonts w:ascii="Times New Roman" w:hAnsi="Times New Roman" w:cs="Times New Roman"/>
          <w:noProof/>
          <w:sz w:val="24"/>
        </w:rPr>
      </w:pPr>
      <w:r w:rsidRPr="00B03B51">
        <w:rPr>
          <w:rFonts w:ascii="Times New Roman" w:hAnsi="Times New Roman" w:cs="Times New Roman"/>
          <w:sz w:val="24"/>
        </w:rPr>
        <w:t>tiesību vai spējas neesamība aktīvi pārvaldīt savus aktīvus, reaģējot uz tirgus apstākļiem, jo valdībai ir tiesības apstiprināt jebkādu būtisku realizāciju.</w:t>
      </w:r>
    </w:p>
    <w:p w14:paraId="4E94CB61"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3D4B2C91"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47. Lielākajā daļā gadījumu vērtspapīrošanas struktūrvienību oficiāli izveidos privāta (finanšu) iestāde, lai iegādātos valsts aktīvus un pārvērstu tos vērtspapīros. Šajos gadījumos, ja vērtspapīrošanas struktūrvienībai nav lēmumu pieņemšanas autonomijas (skat. iepriekš), tā tiek klasificēta valdības sektorā, ciktāl valdībai, kas ierosina darījumu, ir tiesības pieņemt būtiskus lēmumus vērtspapīrošanas piemērošanas laikā.</w:t>
      </w:r>
    </w:p>
    <w:p w14:paraId="07F998D6" w14:textId="77777777" w:rsidR="00443399" w:rsidRPr="00B03B51" w:rsidRDefault="00443399" w:rsidP="00443399">
      <w:pPr>
        <w:tabs>
          <w:tab w:val="left" w:pos="843"/>
        </w:tabs>
        <w:jc w:val="both"/>
        <w:rPr>
          <w:rFonts w:ascii="Times New Roman" w:hAnsi="Times New Roman" w:cs="Times New Roman"/>
          <w:noProof/>
          <w:sz w:val="24"/>
        </w:rPr>
      </w:pPr>
    </w:p>
    <w:p w14:paraId="0D68FB46" w14:textId="77777777" w:rsidR="00443399" w:rsidRPr="00B03B51" w:rsidRDefault="00443399" w:rsidP="00443399">
      <w:pPr>
        <w:tabs>
          <w:tab w:val="left" w:pos="843"/>
        </w:tabs>
        <w:jc w:val="both"/>
        <w:rPr>
          <w:rFonts w:ascii="Times New Roman" w:hAnsi="Times New Roman" w:cs="Times New Roman"/>
          <w:noProof/>
          <w:sz w:val="24"/>
        </w:rPr>
      </w:pPr>
      <w:r w:rsidRPr="00B03B51">
        <w:rPr>
          <w:rFonts w:ascii="Times New Roman" w:hAnsi="Times New Roman" w:cs="Times New Roman"/>
          <w:sz w:val="24"/>
        </w:rPr>
        <w:t xml:space="preserve">48. Ja vērtspapīrošanas struktūrvienība atbilst nosacījumiem, saskaņā ar kuru to var uzskatīt par atsevišķu vienību, t. i., tā uzņemas risku un vērtspapīrošanu un pilnīgi kontrolē aktīvus un saistības visā to darbības laikā, tā ir klasificēta kā finanšu sabiedrība (S.12). EKS 2010 2.90. punkts: </w:t>
      </w:r>
      <w:r w:rsidRPr="00B03B51">
        <w:rPr>
          <w:rFonts w:ascii="Times New Roman" w:hAnsi="Times New Roman" w:cs="Times New Roman"/>
          <w:i/>
          <w:sz w:val="24"/>
        </w:rPr>
        <w:t xml:space="preserve">Finanšu instrumentsabiedrības, kas iesaistītas vērtspapīrošanas darījumos (FIS), ir uzņēmumi, kas veic vērtspapīrošanas darījumus. </w:t>
      </w:r>
      <w:r w:rsidRPr="00B03B51">
        <w:rPr>
          <w:rFonts w:ascii="Times New Roman" w:hAnsi="Times New Roman" w:cs="Times New Roman"/>
          <w:i/>
          <w:iCs/>
          <w:sz w:val="24"/>
        </w:rPr>
        <w:t>FIS, kas atbilst institucionālās vienības kritērijiem, klasificē S.125</w:t>
      </w:r>
      <w:r w:rsidRPr="00B03B51">
        <w:rPr>
          <w:rFonts w:ascii="Times New Roman" w:hAnsi="Times New Roman" w:cs="Times New Roman"/>
          <w:sz w:val="24"/>
        </w:rPr>
        <w:t>. Savukārt tas, ka uzraudzības iestādes neuzskata vērtspapīrošanas vienību par FIS, kurai jāievēro ziņošanas un regulējošie pienākumi, ko piemēro attiecībā uz šādas kategorijas finanšu vienībām, nenozīmē, ka tā automātiski jāizslēdz no vispārējās valdības sektora. Analīzei, kas tiek veikta saistībā ar nacionālajiem kontiem, jābūt pilnīgi neatkarīgai no šādiem apsvērumiem.</w:t>
      </w:r>
    </w:p>
    <w:p w14:paraId="0F7C6262" w14:textId="77777777" w:rsidR="00443399" w:rsidRPr="00B03B51" w:rsidRDefault="00443399" w:rsidP="00443399">
      <w:pPr>
        <w:jc w:val="both"/>
        <w:rPr>
          <w:rFonts w:ascii="Times New Roman" w:hAnsi="Times New Roman" w:cs="Times New Roman"/>
          <w:noProof/>
          <w:sz w:val="24"/>
        </w:rPr>
      </w:pPr>
    </w:p>
    <w:p w14:paraId="31D6F4B0" w14:textId="77777777" w:rsidR="00443399" w:rsidRPr="00B03B51" w:rsidRDefault="00443399" w:rsidP="00443399">
      <w:pPr>
        <w:pStyle w:val="Heading3"/>
        <w:tabs>
          <w:tab w:val="left" w:pos="1267"/>
        </w:tabs>
        <w:ind w:left="0" w:firstLine="0"/>
        <w:jc w:val="both"/>
        <w:rPr>
          <w:rFonts w:ascii="Times New Roman" w:hAnsi="Times New Roman" w:cs="Times New Roman"/>
          <w:noProof/>
          <w:sz w:val="24"/>
        </w:rPr>
      </w:pPr>
      <w:bookmarkStart w:id="457" w:name="_Toc67565163"/>
      <w:r w:rsidRPr="00B03B51">
        <w:rPr>
          <w:rFonts w:ascii="Times New Roman" w:hAnsi="Times New Roman" w:cs="Times New Roman"/>
          <w:sz w:val="24"/>
        </w:rPr>
        <w:t>5.5.3. Ierakstīšanas noteikumi</w:t>
      </w:r>
      <w:bookmarkEnd w:id="457"/>
    </w:p>
    <w:p w14:paraId="1E75C86D" w14:textId="77777777" w:rsidR="00443399" w:rsidRPr="00BE27DC" w:rsidRDefault="00443399" w:rsidP="00BE27DC">
      <w:pPr>
        <w:rPr>
          <w:rFonts w:ascii="Times New Roman" w:hAnsi="Times New Roman" w:cs="Times New Roman"/>
          <w:noProof/>
          <w:sz w:val="24"/>
          <w:szCs w:val="24"/>
        </w:rPr>
      </w:pPr>
    </w:p>
    <w:p w14:paraId="2796B1D3" w14:textId="77777777" w:rsidR="00443399" w:rsidRPr="00B03B51" w:rsidRDefault="00443399" w:rsidP="00443399">
      <w:pPr>
        <w:pStyle w:val="Heading6"/>
        <w:tabs>
          <w:tab w:val="left" w:pos="1267"/>
        </w:tabs>
        <w:ind w:left="0" w:firstLine="0"/>
        <w:jc w:val="both"/>
        <w:rPr>
          <w:rFonts w:ascii="Times New Roman" w:hAnsi="Times New Roman" w:cs="Times New Roman"/>
          <w:noProof/>
          <w:sz w:val="24"/>
        </w:rPr>
      </w:pPr>
      <w:r w:rsidRPr="00B03B51">
        <w:rPr>
          <w:rFonts w:ascii="Times New Roman" w:hAnsi="Times New Roman" w:cs="Times New Roman"/>
          <w:sz w:val="24"/>
        </w:rPr>
        <w:t>5.5.3.1. AKTĪVA PĀRDOŠANAS IERAKSTĪŠANA</w:t>
      </w:r>
    </w:p>
    <w:p w14:paraId="5B30B648"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76CDBEB2"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49. Darījumu ar vērtspapīrošanas struktūrvienību ieraksta kā vispārējās valdības aktīva pārdošanu ārpus vispārējās valdības sektora, ja ir izpildīti iepriekš 9. rindkopā minētie trīs nosacījumi.</w:t>
      </w:r>
    </w:p>
    <w:p w14:paraId="4E19AB00"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49C1EE0D"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50. Ja darījumu ieraksta kā aktīva pārdošanu, tas tieši neietekmē valdības parādu. Pastāvētu netieša (samazinoša) ietekme, ja ieņēmumi no vērtspapīrošanas tiktu izmantoti tieši tam, lai samazinātu valdības parādu, vai ja ar tiem aizstāts aizņēmums, kas nepieciešams pārmērīgo tēriņu finansēšanai.</w:t>
      </w:r>
    </w:p>
    <w:p w14:paraId="2FD63467" w14:textId="77777777" w:rsidR="00443399" w:rsidRPr="00B03B51" w:rsidRDefault="00443399" w:rsidP="00443399">
      <w:pPr>
        <w:jc w:val="both"/>
        <w:rPr>
          <w:rFonts w:ascii="Times New Roman" w:eastAsia="Arial" w:hAnsi="Times New Roman" w:cs="Times New Roman"/>
          <w:noProof/>
          <w:sz w:val="24"/>
          <w:szCs w:val="19"/>
        </w:rPr>
      </w:pPr>
    </w:p>
    <w:p w14:paraId="47A5186D" w14:textId="77777777" w:rsidR="00443399" w:rsidRPr="00B03B51" w:rsidRDefault="00443399" w:rsidP="00443399">
      <w:pPr>
        <w:jc w:val="both"/>
        <w:rPr>
          <w:rFonts w:ascii="Times New Roman" w:hAnsi="Times New Roman" w:cs="Times New Roman"/>
          <w:b/>
          <w:noProof/>
          <w:sz w:val="24"/>
        </w:rPr>
      </w:pPr>
      <w:r w:rsidRPr="00B03B51">
        <w:rPr>
          <w:rFonts w:ascii="Times New Roman" w:hAnsi="Times New Roman" w:cs="Times New Roman"/>
          <w:b/>
          <w:sz w:val="24"/>
        </w:rPr>
        <w:t>Finanšu aktīvi</w:t>
      </w:r>
    </w:p>
    <w:p w14:paraId="23A6F29A" w14:textId="77777777" w:rsidR="00443399" w:rsidRPr="00B03B51" w:rsidRDefault="00443399" w:rsidP="00443399">
      <w:pPr>
        <w:jc w:val="both"/>
        <w:rPr>
          <w:rFonts w:ascii="Times New Roman" w:eastAsia="Arial" w:hAnsi="Times New Roman" w:cs="Times New Roman"/>
          <w:b/>
          <w:bCs/>
          <w:noProof/>
          <w:sz w:val="24"/>
        </w:rPr>
      </w:pPr>
    </w:p>
    <w:p w14:paraId="56B5D217"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51. Finanšu aktīva pārdevums vērtspapīrošanas struktūrvienībai neietekmēs valdības neto aizdevumu/aizņēmumu (B.9). Dažos gadījumos valsts vienība par noteiktu maksu rīkojas kā neieinteresēts pārstāvis, kurš piedzen parāda atmaksu un īpašuma ienākumu par pārdotajiem finanšu aktīviem, ko pēc tam nodod pircējam. To ieraksta kā valdības produkciju.</w:t>
      </w:r>
    </w:p>
    <w:p w14:paraId="18499586" w14:textId="77777777" w:rsidR="00443399" w:rsidRPr="00B03B51" w:rsidRDefault="00443399" w:rsidP="00443399">
      <w:pPr>
        <w:jc w:val="both"/>
        <w:rPr>
          <w:rFonts w:ascii="Times New Roman" w:eastAsia="Arial" w:hAnsi="Times New Roman" w:cs="Times New Roman"/>
          <w:noProof/>
          <w:sz w:val="24"/>
          <w:szCs w:val="18"/>
        </w:rPr>
      </w:pPr>
    </w:p>
    <w:p w14:paraId="59F9EF00" w14:textId="77777777" w:rsidR="00443399" w:rsidRPr="00B03B51" w:rsidRDefault="00443399" w:rsidP="00443399">
      <w:pPr>
        <w:jc w:val="both"/>
        <w:rPr>
          <w:rFonts w:ascii="Times New Roman" w:hAnsi="Times New Roman" w:cs="Times New Roman"/>
          <w:b/>
          <w:noProof/>
          <w:sz w:val="24"/>
        </w:rPr>
      </w:pPr>
      <w:r w:rsidRPr="00B03B51">
        <w:rPr>
          <w:rFonts w:ascii="Times New Roman" w:hAnsi="Times New Roman" w:cs="Times New Roman"/>
          <w:b/>
          <w:sz w:val="24"/>
        </w:rPr>
        <w:t>Nefinanšu aktīvi</w:t>
      </w:r>
    </w:p>
    <w:p w14:paraId="6452AB1D" w14:textId="77777777" w:rsidR="00443399" w:rsidRPr="00B03B51" w:rsidRDefault="00443399" w:rsidP="00443399">
      <w:pPr>
        <w:jc w:val="both"/>
        <w:rPr>
          <w:rFonts w:ascii="Times New Roman" w:eastAsia="Arial" w:hAnsi="Times New Roman" w:cs="Times New Roman"/>
          <w:b/>
          <w:bCs/>
          <w:noProof/>
          <w:sz w:val="24"/>
        </w:rPr>
      </w:pPr>
    </w:p>
    <w:p w14:paraId="527B68C0"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52. Nefinanšu aktīva pārdošana vērtspapīrošanas struktūrvienībai samazinās valdības neto aizdevumu/aizņēmumu (B.9). Tomēr valdība var turpināt izmantot dažus nefinanšu aktīvus. Kā piemēru var minēt dzīvojamo ēku pārdošanu, kuras gadījumā vērtspapīrošanas struktūrvienība parasti iegādājas šādas ēkas ar mērķi pēc tam tās pārdot. Tomēr laika posmā starp ēku iegādi un tālākpārdošanu tās joprojām nodrošina ienākumu no nomas. Pieņemot, ka ir izpildīti visi nosacījumi attiecībā uz īpašumtiesību nodošanu, tas, ka vērtspapīrošanas struktūrvienībai ir ekonomiskās īpašumtiesības uz vērtspapīros pārvērstajām ēkām, netieši nozīmē, ka nacionālajos kontos ēku nodrošinātie darbības pārpalikumi jāieraksta pie vērtspapīrošanas struktūrvienības (skat. 6.2. nodaļu “Pārdošana un saņemšana atpakaļ nomā”).</w:t>
      </w:r>
    </w:p>
    <w:p w14:paraId="636E7932" w14:textId="77777777" w:rsidR="00443399" w:rsidRPr="00B03B51" w:rsidRDefault="00443399" w:rsidP="00443399">
      <w:pPr>
        <w:jc w:val="both"/>
        <w:rPr>
          <w:rFonts w:ascii="Times New Roman" w:hAnsi="Times New Roman" w:cs="Times New Roman"/>
          <w:noProof/>
          <w:sz w:val="24"/>
        </w:rPr>
      </w:pPr>
    </w:p>
    <w:p w14:paraId="202C5F23"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53. Ražošanas procesu, kura pamatā ir ēku ekspluatācija īrnieku izmitināšanas mērķiem, var tieši attiecināt uz vērtspapīrošanas struktūrvienību. Šis traktējums ir jāizmanto, ja struktūrvienība uzņemas visus ar ēku apsaimniekošanu saistītos ikdienas darbus un pilnīgi saņem visu nomas maksu par ēkām. Ja bijušais īpašnieks, t. i., valdība, turpina vērtspapīros pārvērsto ēku ikdienas apsaimniekošanu un patur daļu no ēku nomas maksas kā atlīdzību par apsaimniekošanu, arī šajā gadījumā lielākā daļa ienākuma joprojām ir jāpiešķir vērtspapīrošanas struktūrvienībai.</w:t>
      </w:r>
    </w:p>
    <w:p w14:paraId="614A91BD" w14:textId="77777777" w:rsidR="00443399" w:rsidRPr="00B03B51" w:rsidRDefault="00443399" w:rsidP="00443399">
      <w:pPr>
        <w:jc w:val="both"/>
        <w:rPr>
          <w:rFonts w:ascii="Times New Roman" w:eastAsia="Arial" w:hAnsi="Times New Roman" w:cs="Times New Roman"/>
          <w:noProof/>
          <w:sz w:val="24"/>
          <w:szCs w:val="18"/>
        </w:rPr>
      </w:pPr>
    </w:p>
    <w:p w14:paraId="04C5D934" w14:textId="77777777" w:rsidR="00443399" w:rsidRPr="00B03B51" w:rsidRDefault="00443399" w:rsidP="00443399">
      <w:pPr>
        <w:jc w:val="both"/>
        <w:rPr>
          <w:rFonts w:ascii="Times New Roman" w:hAnsi="Times New Roman" w:cs="Times New Roman"/>
          <w:b/>
          <w:noProof/>
          <w:sz w:val="24"/>
        </w:rPr>
      </w:pPr>
      <w:r w:rsidRPr="00B03B51">
        <w:rPr>
          <w:rFonts w:ascii="Times New Roman" w:hAnsi="Times New Roman" w:cs="Times New Roman"/>
          <w:b/>
          <w:sz w:val="24"/>
        </w:rPr>
        <w:t>Vērtspapīrošanas līgumā noteiktā cena</w:t>
      </w:r>
    </w:p>
    <w:p w14:paraId="352A55B1" w14:textId="77777777" w:rsidR="00443399" w:rsidRPr="00B03B51" w:rsidRDefault="00443399" w:rsidP="00443399">
      <w:pPr>
        <w:jc w:val="both"/>
        <w:rPr>
          <w:rFonts w:ascii="Times New Roman" w:eastAsia="Arial" w:hAnsi="Times New Roman" w:cs="Times New Roman"/>
          <w:b/>
          <w:bCs/>
          <w:noProof/>
          <w:sz w:val="24"/>
        </w:rPr>
      </w:pPr>
    </w:p>
    <w:p w14:paraId="34262AD0"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54. Nacionālajos kontos aktīvu realizāciju ieraksta atbilstoši darījuma veikšanas brīdī pastāvošajai tirgus cenai. Parasti tā ir konstatētā pārdošanas cena (līgumcena). Tomēr gadījumā, ja konstatētā pārdošanas cena ir zemāka par tirgus vērtību:</w:t>
      </w:r>
    </w:p>
    <w:p w14:paraId="37453A4A"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75DA02B8" w14:textId="77777777" w:rsidR="00443399" w:rsidRPr="00B03B51" w:rsidRDefault="00443399" w:rsidP="004205D9">
      <w:pPr>
        <w:pStyle w:val="BodyText"/>
        <w:numPr>
          <w:ilvl w:val="1"/>
          <w:numId w:val="57"/>
        </w:numPr>
        <w:spacing w:before="0"/>
        <w:ind w:left="426" w:hanging="425"/>
        <w:jc w:val="both"/>
        <w:rPr>
          <w:rFonts w:ascii="Times New Roman" w:hAnsi="Times New Roman" w:cs="Times New Roman"/>
          <w:noProof/>
          <w:sz w:val="24"/>
        </w:rPr>
      </w:pPr>
      <w:r w:rsidRPr="00B03B51">
        <w:rPr>
          <w:rFonts w:ascii="Times New Roman" w:hAnsi="Times New Roman" w:cs="Times New Roman"/>
          <w:sz w:val="24"/>
        </w:rPr>
        <w:t>tas var liecināt, ka darījums nav veikts tikai komerciālu apsvērumu dēļ un vērtspapīrošanas struktūrvienība saņem netiešu atbalstu. Šādā gadījumā ir jāieraksta kapitāla pārvedums no valdības, lai segtu starpību starp konstatēto cenu un tirgus vērtību, jo pārdošanu nacionālajos kontos ieraksta atbilstoši tirgus cenai (skat. EKS 2010 5.21. punktu);</w:t>
      </w:r>
    </w:p>
    <w:p w14:paraId="47A744E1" w14:textId="77777777" w:rsidR="00443399" w:rsidRPr="00B03B51" w:rsidRDefault="00443399" w:rsidP="004205D9">
      <w:pPr>
        <w:pStyle w:val="BodyText"/>
        <w:numPr>
          <w:ilvl w:val="1"/>
          <w:numId w:val="57"/>
        </w:numPr>
        <w:spacing w:before="0"/>
        <w:ind w:left="426" w:hanging="425"/>
        <w:jc w:val="both"/>
        <w:rPr>
          <w:rFonts w:ascii="Times New Roman" w:hAnsi="Times New Roman" w:cs="Times New Roman"/>
          <w:noProof/>
          <w:sz w:val="24"/>
        </w:rPr>
      </w:pPr>
      <w:r w:rsidRPr="00B03B51">
        <w:rPr>
          <w:rFonts w:ascii="Times New Roman" w:hAnsi="Times New Roman" w:cs="Times New Roman"/>
          <w:sz w:val="24"/>
        </w:rPr>
        <w:t xml:space="preserve">tas var būt saistīts ar </w:t>
      </w:r>
      <w:r w:rsidRPr="00B03B51">
        <w:rPr>
          <w:rFonts w:ascii="Times New Roman" w:hAnsi="Times New Roman" w:cs="Times New Roman"/>
          <w:i/>
          <w:iCs/>
          <w:sz w:val="24"/>
        </w:rPr>
        <w:t>DPP</w:t>
      </w:r>
      <w:r w:rsidRPr="00B03B51">
        <w:rPr>
          <w:rFonts w:ascii="Times New Roman" w:hAnsi="Times New Roman" w:cs="Times New Roman"/>
          <w:sz w:val="24"/>
        </w:rPr>
        <w:t xml:space="preserve"> klauzulu esamību (skat. iepriekš), un darījums jāieraksta nevis kā pārdošana, bet gan kā valdības aizņēmums.</w:t>
      </w:r>
    </w:p>
    <w:p w14:paraId="770A4546"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601090F4"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55. Ja nav skaidra tirgus cena noteiktiem aktīviem, tad, lai pasākumu varētu ierakstīt kā pārdošanu, nepieciešams neatkarīgu struktūru īstenots process, ar kuru nosaka līdzvērtīgu tirgus cenu, pamatojoties uz uzņēmējdarbības jomā parasti izmantotajām novērtēšanas metodēm.</w:t>
      </w:r>
      <w:r w:rsidRPr="00B03B51">
        <w:rPr>
          <w:rStyle w:val="FootnoteReference"/>
          <w:rFonts w:ascii="Times New Roman" w:hAnsi="Times New Roman" w:cs="Times New Roman"/>
          <w:noProof/>
          <w:sz w:val="24"/>
        </w:rPr>
        <w:footnoteReference w:id="190"/>
      </w:r>
      <w:r w:rsidRPr="00B03B51">
        <w:rPr>
          <w:rFonts w:ascii="Times New Roman" w:hAnsi="Times New Roman" w:cs="Times New Roman"/>
          <w:sz w:val="24"/>
        </w:rPr>
        <w:t xml:space="preserve"> Šāda procesa neesamību var interpretēt kā vērtspapīrošanas struktūrvienības autonomijas trūkumu, kā rezultātā to klasificē valdības sektorā.</w:t>
      </w:r>
    </w:p>
    <w:p w14:paraId="7695CAA9" w14:textId="77777777" w:rsidR="00443399" w:rsidRPr="00B03B51" w:rsidRDefault="00443399" w:rsidP="00443399">
      <w:pPr>
        <w:jc w:val="both"/>
        <w:rPr>
          <w:rFonts w:ascii="Times New Roman" w:eastAsia="Arial" w:hAnsi="Times New Roman" w:cs="Times New Roman"/>
          <w:noProof/>
          <w:sz w:val="24"/>
          <w:szCs w:val="16"/>
        </w:rPr>
      </w:pPr>
    </w:p>
    <w:p w14:paraId="6B8CB66B" w14:textId="77777777" w:rsidR="00443399" w:rsidRPr="00B03B51" w:rsidRDefault="00443399" w:rsidP="00443399">
      <w:pPr>
        <w:pStyle w:val="Heading6"/>
        <w:tabs>
          <w:tab w:val="left" w:pos="1267"/>
        </w:tabs>
        <w:ind w:left="0" w:firstLine="0"/>
        <w:jc w:val="both"/>
        <w:rPr>
          <w:rFonts w:ascii="Times New Roman" w:hAnsi="Times New Roman" w:cs="Times New Roman"/>
          <w:noProof/>
          <w:sz w:val="24"/>
        </w:rPr>
      </w:pPr>
      <w:r w:rsidRPr="00B03B51">
        <w:rPr>
          <w:rFonts w:ascii="Times New Roman" w:hAnsi="Times New Roman" w:cs="Times New Roman"/>
          <w:sz w:val="24"/>
        </w:rPr>
        <w:t>5.5.3.2. VALDĪBAS AIZŅĒMUMA IERAKSTĪŠANA</w:t>
      </w:r>
    </w:p>
    <w:p w14:paraId="103F1EFC"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6094639D"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 xml:space="preserve">56. Ja vērtspapīrošana neatbilst kritērijiem, kas jāizpilda, lai to varētu ierakstīt nacionālajos kontos kā aktīvu pārdošanu, valdības iekasētie ieņēmumi no vērtspapīrošanas jāieraksta kā valdības saistību uzņemšanās, kas ietekmē valdības parādu. Ja vērtspapīrošanas struktūrvienība ir klasificēta valdības sektorā, tās emitētie vērtspapīri (AF.33) ir daļa no valdības parāda. Ja vērtspapīrošanas struktūrvienība nav klasificēta valdības sektorā: vai nu pārdošanas darījums </w:t>
      </w:r>
      <w:r w:rsidRPr="00B03B51">
        <w:rPr>
          <w:rFonts w:ascii="Times New Roman" w:hAnsi="Times New Roman" w:cs="Times New Roman"/>
          <w:sz w:val="24"/>
        </w:rPr>
        <w:lastRenderedPageBreak/>
        <w:t>netiek atzīts un vērtspapīri (AF.33), ko vērtspapīrošanas struktūrvienība emitē, nav tieši daļa no valdības parāda, un tā vietā aizdevums no vērtspapīrošanas struktūrvienības tiek piedēvēts valdībai kā daļa no valdības parāda, vai arī tiek atzīta īsta pārdošana un ieraksts valdības parādā netiek veikts. Jo īpaši tas attiecas uz gadījumu, kad vērtspapīrošana tiek īstenota citā valstī, kur šādu darījumu tirgi ir attīstītāki un/vai efektīvāki.</w:t>
      </w:r>
    </w:p>
    <w:p w14:paraId="37BE7579"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20AD6AF7"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57. Vērtspapirizēto līdzekļu radītās naudas plūsmas (piemēram, ienākumi no ēku iznomāšanas), kuras vispirms saņem valdība un pēc tam nodod vērtspapīrošanas struktūrvienībai, turpina ierakstīt valdības kontos tā, it kā vērtspapīrošana nebūtu notikusi, proti, kā ieņēmumus vai finanšu/nefinanšu aktīva realizāciju atbilstoši konkrētajam gadījumam. Valdības maksājumus vērtspapīrošanas struktūrvienībai, ja valdība turpina pārvaldīt aktīvus, ieraksta kā valdības aizdevuma saistību apkalpošanu; tās ir nosacītās procentu un aizdevuma atmaksāšanas plūsmas. Jebkādu maksu, ko iekasē vērtspapīrošanas struktūrvienība, lai segtu savus darbības izdevumus, ieraksta kā valdības starppatēriņu. To ievēro arī gadījumā, ja maksu samaksā avansā, samazinot valdības vienībai piešķirtos līdzekļus – šādā gadījumā jāveic aprēķins.</w:t>
      </w:r>
    </w:p>
    <w:p w14:paraId="37ED4E90" w14:textId="77777777" w:rsidR="00443399" w:rsidRPr="00B03B51" w:rsidRDefault="00443399" w:rsidP="00443399">
      <w:pPr>
        <w:jc w:val="both"/>
        <w:rPr>
          <w:rFonts w:ascii="Times New Roman" w:eastAsia="Arial" w:hAnsi="Times New Roman" w:cs="Times New Roman"/>
          <w:noProof/>
          <w:sz w:val="24"/>
          <w:szCs w:val="15"/>
        </w:rPr>
      </w:pPr>
    </w:p>
    <w:p w14:paraId="25EBB312" w14:textId="77777777" w:rsidR="00443399" w:rsidRPr="00B03B51" w:rsidRDefault="00443399" w:rsidP="00443399">
      <w:pPr>
        <w:pStyle w:val="Heading6"/>
        <w:tabs>
          <w:tab w:val="left" w:pos="1267"/>
        </w:tabs>
        <w:ind w:left="0" w:firstLine="0"/>
        <w:jc w:val="both"/>
        <w:rPr>
          <w:rFonts w:ascii="Times New Roman" w:hAnsi="Times New Roman" w:cs="Times New Roman"/>
          <w:noProof/>
          <w:sz w:val="24"/>
        </w:rPr>
      </w:pPr>
      <w:r w:rsidRPr="00B03B51">
        <w:rPr>
          <w:rFonts w:ascii="Times New Roman" w:hAnsi="Times New Roman" w:cs="Times New Roman"/>
          <w:sz w:val="24"/>
        </w:rPr>
        <w:t>5.5.3.3. IERAKSTĪŠANA OPERĀCIJAS BEIGĀS</w:t>
      </w:r>
    </w:p>
    <w:p w14:paraId="5E417B53"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11250B6D"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58. Ja operācijas beigās maksājumi, kurus valdība ir veikusi vērtspapīrošanas struktūrvienībai, valdībai turpinot aktīvu pārvaldību, pārsniedz valdības saistības, tad nav iespējams ierakstīt nekādu turpmāku valdības parāda izpirkumu un maksājumus vērtspapīrošanas struktūrvienībai ieraksta kā valdības kārtējos pārveduma izdevumus.</w:t>
      </w:r>
    </w:p>
    <w:p w14:paraId="55341A21"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4ADB5368"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59. Ja maksājumus vērtspapīrošanas struktūrvienībai pārtrauc pirms valdības saistību dzēšanas, piemēram, tādēļ, ka aktīvi ir iztērēti, atlikušās saistības svītro no valdības bilances nacionālajos kontos, veicot citas apjoma pārmaiņas.</w:t>
      </w:r>
    </w:p>
    <w:p w14:paraId="5B1B9A71" w14:textId="77777777" w:rsidR="00443399" w:rsidRPr="00B03B51" w:rsidRDefault="00443399" w:rsidP="00443399">
      <w:pPr>
        <w:jc w:val="both"/>
        <w:rPr>
          <w:rFonts w:ascii="Times New Roman" w:eastAsia="Arial" w:hAnsi="Times New Roman" w:cs="Times New Roman"/>
          <w:noProof/>
          <w:sz w:val="24"/>
          <w:szCs w:val="14"/>
        </w:rPr>
      </w:pPr>
    </w:p>
    <w:p w14:paraId="4D00BCD6"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60. Ja vērtspapīrošanas operāciju traktē kā valdības aizņēmumu un vērtspapīrošanas struktūrvienība vēlāk pārdod attiecīgos (atzītos) aktīvus ārpus valdības sektora esošai vienībai, pilnīgi nododot īpašumtiesības, pārdošanu ieraksta kā vispārējās valdības veiktu aktīvu realizāciju un uzskata, ka vērtspapīrošanas struktūrvienība vienkārši rīkojas kā valdības pārstāve. Šādas operācijas mērķis ir atlikt valdības aktīvu realizāciju/pārdošanu no vērtspapīrošanas brīža līdz brīdim, kad vērtspapīrošanas struktūrvienība veiks reālu pārdošanu. Pareizs ierakstīšanas laiks ir īpaši svarīgs gadījumā, ja ir iesaistīti nefinanšu aktīvi, ņemot vērā ietekmi, kas pastāv attiecībā uz valdības neto aizdevumu/aizņēmumu (B.9).</w:t>
      </w:r>
    </w:p>
    <w:p w14:paraId="30594B24" w14:textId="77777777" w:rsidR="00443399" w:rsidRPr="00B03B51" w:rsidRDefault="00443399" w:rsidP="00443399">
      <w:pPr>
        <w:jc w:val="both"/>
        <w:rPr>
          <w:rFonts w:ascii="Times New Roman" w:eastAsia="Arial" w:hAnsi="Times New Roman" w:cs="Times New Roman"/>
          <w:noProof/>
          <w:sz w:val="24"/>
          <w:szCs w:val="15"/>
        </w:rPr>
      </w:pPr>
    </w:p>
    <w:p w14:paraId="6CA45F0B" w14:textId="77777777" w:rsidR="00443399" w:rsidRPr="00B03B51" w:rsidRDefault="00443399" w:rsidP="00443399">
      <w:pPr>
        <w:pStyle w:val="Heading6"/>
        <w:tabs>
          <w:tab w:val="left" w:pos="1267"/>
        </w:tabs>
        <w:ind w:left="0" w:firstLine="0"/>
        <w:jc w:val="both"/>
        <w:rPr>
          <w:rFonts w:ascii="Times New Roman" w:hAnsi="Times New Roman" w:cs="Times New Roman"/>
          <w:noProof/>
          <w:sz w:val="24"/>
        </w:rPr>
      </w:pPr>
      <w:r w:rsidRPr="00B03B51">
        <w:rPr>
          <w:rFonts w:ascii="Times New Roman" w:hAnsi="Times New Roman" w:cs="Times New Roman"/>
          <w:sz w:val="24"/>
        </w:rPr>
        <w:t>5.5.3.4. NO VALDĪBAS SAŅEMTU IEŅĒMUMU VĒRTSPAPĪROŠANA, KO VEIC VALDĪBAS SEKTORAM NEPIEDEROŠAS VIENĪBAS</w:t>
      </w:r>
    </w:p>
    <w:p w14:paraId="78DF2752"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23F47E96"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61. Dažos gadījumos valdības sektoram nepiederoša vienība pārvērš no valdības saņemtus regulārus ieņēmumus vērtspapīros tikai savām vajadzībām.</w:t>
      </w:r>
    </w:p>
    <w:p w14:paraId="75A8F577"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6DDDC02D"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62. Šādā gadījumā ir jāizpēta valdības līgumsaistības, lai pārbaudītu, vai, ievērojot darījuma būtību, valdībai ir radies jauns pienākums piešķirt pietiekamus finanšu līdzekļus, lai finansētu valdības sektoram nepiederošas vienības aizņēmumu.</w:t>
      </w:r>
    </w:p>
    <w:p w14:paraId="6F22788E"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1877C351"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63. Ja valdības sektoram nepiederošas vienības veiktā vērtspapīrošana neietekmē valdības līgumsaistības veikt turpmākus maksājumus, vērtspapīrošanas rezultātā nevajadzētu rasties nekādai ietekmei uz valdības sektora kontiem.</w:t>
      </w:r>
    </w:p>
    <w:p w14:paraId="458CCB46"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455F15E5"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 xml:space="preserve">64. Ja tomēr tiek radītas jaunas valdības saistības, jāieraksta valdības kapitāla pārvedums </w:t>
      </w:r>
      <w:r w:rsidRPr="00B03B51">
        <w:rPr>
          <w:rFonts w:ascii="Times New Roman" w:hAnsi="Times New Roman" w:cs="Times New Roman"/>
          <w:sz w:val="24"/>
        </w:rPr>
        <w:lastRenderedPageBreak/>
        <w:t>valdības sektoram nepiederošai vienībai, kas līdzvērtīgs visu apsolīto turpmāko maksājumu pašreizējai neto vērtībai, kā arī aizdevums tādā pašā apmērā no valdības sektoram nepiederošās vienības. Turpmākos valdības maksājumus ieraksta kā procentu maksājumus un aizdevuma atmaksu.</w:t>
      </w:r>
    </w:p>
    <w:p w14:paraId="6BD7C762" w14:textId="77777777" w:rsidR="00443399" w:rsidRPr="00B03B51" w:rsidRDefault="00443399" w:rsidP="00443399">
      <w:pPr>
        <w:jc w:val="both"/>
        <w:rPr>
          <w:rFonts w:ascii="Times New Roman" w:eastAsia="Arial" w:hAnsi="Times New Roman" w:cs="Times New Roman"/>
          <w:noProof/>
          <w:sz w:val="24"/>
          <w:szCs w:val="19"/>
        </w:rPr>
      </w:pPr>
    </w:p>
    <w:p w14:paraId="5008E898" w14:textId="77777777" w:rsidR="00443399" w:rsidRPr="00B03B51" w:rsidRDefault="00443399" w:rsidP="00443399">
      <w:pPr>
        <w:pStyle w:val="Heading3"/>
        <w:tabs>
          <w:tab w:val="left" w:pos="1267"/>
        </w:tabs>
        <w:ind w:left="0" w:firstLine="0"/>
        <w:jc w:val="both"/>
        <w:rPr>
          <w:rFonts w:ascii="Times New Roman" w:hAnsi="Times New Roman" w:cs="Times New Roman"/>
          <w:noProof/>
          <w:sz w:val="24"/>
        </w:rPr>
      </w:pPr>
      <w:bookmarkStart w:id="458" w:name="_Toc67565164"/>
      <w:r w:rsidRPr="00B03B51">
        <w:rPr>
          <w:rFonts w:ascii="Times New Roman" w:hAnsi="Times New Roman" w:cs="Times New Roman"/>
          <w:sz w:val="24"/>
        </w:rPr>
        <w:t>5.5.4. Traktējuma pamatojums</w:t>
      </w:r>
      <w:bookmarkEnd w:id="458"/>
    </w:p>
    <w:p w14:paraId="00D001F0" w14:textId="77777777" w:rsidR="00443399" w:rsidRPr="00BE27DC" w:rsidRDefault="00443399" w:rsidP="00BE27DC">
      <w:pPr>
        <w:rPr>
          <w:rFonts w:ascii="Times New Roman" w:hAnsi="Times New Roman" w:cs="Times New Roman"/>
          <w:noProof/>
          <w:sz w:val="24"/>
          <w:szCs w:val="24"/>
        </w:rPr>
      </w:pPr>
    </w:p>
    <w:p w14:paraId="46E70B2F" w14:textId="77777777" w:rsidR="00443399" w:rsidRPr="00B03B51" w:rsidRDefault="00443399" w:rsidP="00443399">
      <w:pPr>
        <w:pStyle w:val="Heading6"/>
        <w:tabs>
          <w:tab w:val="left" w:pos="1267"/>
        </w:tabs>
        <w:ind w:left="0" w:firstLine="0"/>
        <w:jc w:val="both"/>
        <w:rPr>
          <w:rFonts w:ascii="Times New Roman" w:hAnsi="Times New Roman" w:cs="Times New Roman"/>
          <w:noProof/>
          <w:sz w:val="24"/>
        </w:rPr>
      </w:pPr>
      <w:r w:rsidRPr="00B03B51">
        <w:rPr>
          <w:rFonts w:ascii="Times New Roman" w:hAnsi="Times New Roman" w:cs="Times New Roman"/>
          <w:sz w:val="24"/>
        </w:rPr>
        <w:t>5.5.4.1. NODODAMU AKTĪVU ATZĪŠANA NACIONĀLAJOS KONTOS</w:t>
      </w:r>
    </w:p>
    <w:p w14:paraId="28A4F05B"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5AA58FAD"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65. Aktīvi nerada pārvedumus, t. i., neatlīdzināmus sadales darījumus. Piemēram, valdību spēja palielināt nodokļus neveido nacionālajos kontos atzītu aktīvu. Paredzamos turpmākos ieņēmumus no starptautiskajiem pārvedumiem, loterijas biļetēm, licenču maksām vai soda naudām neklasificē kā aktīvus. Šo pārvedumu nākotnes plūsma neatbilst EKS 2010 7.15. punktā noteiktajai aktīvu definīcijai. Nav iespējams ierakstīt darījumu ar aktīviem, ja attiecīgais aktīvs sākotnēji nepastāv nacionālo kontu bilancē. Tāpēc, ņemot vērā, ka aktīvi nav atzīti nacionālajos kontos, saistībā ar šādu līdzekļu vērtspapīrošanu var ierakstīt tikai valdības aizņēmumu.</w:t>
      </w:r>
    </w:p>
    <w:p w14:paraId="1C85B7AB"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50E3CA1A"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66. Saskaņā ar EKS 2010 aktīvus neveido arī ienākumu no aktīviem nākotnes plūsmas, kuras pēc uzkrāšanās ierakstīs pozīcijā P.1 un D.4. Šādu plūsmu vērtspapīrošanu nacionālajos kontos nevar ierakstīt kā aktīvu pārdošanu, ja vien netiek uzskatīts, ka ir nodotas īpašumtiesības uz attiecīgajiem aktīviem.</w:t>
      </w:r>
    </w:p>
    <w:p w14:paraId="4DCD1D03"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50DEE690"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67. Pārdošana nevar attiekties arī uz vairākiem turpmākajiem aktīva izmantošanas periodiem, piemēram, uz vairākām īpašuma ienākuma nākotnes plūsmām, kuras tiks gūtas no finanšu aktīviem, vai vairākām nomas maksas/rentes nākotnes plūsmām, kuras nodrošinās nefinanšu aktīvu izmantošana, ja vien attiecīgie aktīvi nav pilnīgi pārdoti.</w:t>
      </w:r>
    </w:p>
    <w:p w14:paraId="1240006D" w14:textId="77777777" w:rsidR="00443399" w:rsidRPr="00B03B51" w:rsidRDefault="00443399" w:rsidP="00443399">
      <w:pPr>
        <w:jc w:val="both"/>
        <w:rPr>
          <w:rFonts w:ascii="Times New Roman" w:eastAsia="Arial" w:hAnsi="Times New Roman" w:cs="Times New Roman"/>
          <w:noProof/>
          <w:sz w:val="24"/>
          <w:szCs w:val="15"/>
        </w:rPr>
      </w:pPr>
    </w:p>
    <w:p w14:paraId="3C5D0E78" w14:textId="77777777" w:rsidR="00443399" w:rsidRPr="00B03B51" w:rsidRDefault="00443399" w:rsidP="00443399">
      <w:pPr>
        <w:pStyle w:val="Heading6"/>
        <w:tabs>
          <w:tab w:val="left" w:pos="1267"/>
        </w:tabs>
        <w:ind w:left="0" w:firstLine="0"/>
        <w:jc w:val="both"/>
        <w:rPr>
          <w:rFonts w:ascii="Times New Roman" w:hAnsi="Times New Roman" w:cs="Times New Roman"/>
          <w:noProof/>
          <w:sz w:val="24"/>
        </w:rPr>
      </w:pPr>
      <w:r w:rsidRPr="00B03B51">
        <w:rPr>
          <w:rFonts w:ascii="Times New Roman" w:hAnsi="Times New Roman" w:cs="Times New Roman"/>
          <w:sz w:val="24"/>
        </w:rPr>
        <w:t>5.5.4.2. FISKĀLO PRASĪJUMU GADĪJUMS</w:t>
      </w:r>
    </w:p>
    <w:p w14:paraId="5900E643"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128E7BEC"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68. Nodokļus var noteikt, pamatojoties vienīgi uz valdību tiesībām piemērot nodokļus, un tos var iekasēt tikai valdība vai starptautiskas organizācijas. Konkrēti nodokļu ierakstīšanas noteikumi ir noteikti EKS 2010 4.26.–4.29., 4.82. punktā un EKS 2010 20.174. punktā, kā arī 2.2. nodaļā “Nodokļu un sociālo iemaksu ierakstīšana”. Ir jānošķir nākotnes nodokļu vērtspapīrošana no iekasējamo nodokļu (fiskālo prasījumu) vērtspapīrošanas.</w:t>
      </w:r>
    </w:p>
    <w:p w14:paraId="7F34CF91"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280BEEC7"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69. Tādu nodokļu vērtspapīrošana, kas uzkrāsies nākotnē no gaidāmajiem ienākumiem vai nākotnes notikumiem, nerada pamatu aktīva realizācijai, jo nacionālajos kontos nepastāv neviens aktīvs. Tāpēc tos uzskata par aizņēmumu. Vērtspapirizētos nodokļus, kas uzkrāsies nākotnē, nacionālo kontu sistēmā attiecina uz vispārējo valdību neatkarīgi no tā, kādi ir konkrētie iekasēšanas pasākumi saskaņā ar vērtspapīrošanas nosacījumiem.</w:t>
      </w:r>
    </w:p>
    <w:p w14:paraId="6CD420EE" w14:textId="77777777" w:rsidR="00443399" w:rsidRPr="00B03B51" w:rsidRDefault="00443399" w:rsidP="00443399">
      <w:pPr>
        <w:jc w:val="both"/>
        <w:rPr>
          <w:rFonts w:ascii="Times New Roman" w:hAnsi="Times New Roman" w:cs="Times New Roman"/>
          <w:noProof/>
          <w:sz w:val="24"/>
        </w:rPr>
      </w:pPr>
    </w:p>
    <w:p w14:paraId="21004618"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 xml:space="preserve">70. Fiskālie prasījumi, kas atspoguļo iepriekš uzkrātos, bet vēl nenomaksātos nodokļus, jo vēl nav iestājies to maksājuma termiņš vai arī tos maksā pa daļām, ir finanšu aktīvi, un nacionālajos kontos tos ieraksta pozīcijā AF.8. Tomēr tos nevar nodot vienībām, kas neiekasē nodokļus, jo saskaņā ar EKS 2010 noteikumiem nodokļus var iekasēt tikai vispārējā valdība, Eiropas Savienības iestādes vai pārējā pasaule (EKS 2010 4.14. un 4.77. punkts). Saskaņā ar EKS 2010 sociālās iemaksas var uzskatīt par jebkura sektora resursu. Tomēr, ņemot vērā nodokļu un sociālo iemaksu līdzību, attiecībā uz visu fiskālo prasījumu vērtspapīrošanu piemēro vienu un to pašu noteikumu (ieraksta kā aizņēmumu) neatkarīgi no tā, vai tie ir iekasējamie nodokļi vai iekasējamas sociālās iemaksas, kuras iekasē valdība, privātas vienības vai valdības sektoram </w:t>
      </w:r>
      <w:r w:rsidRPr="00B03B51">
        <w:rPr>
          <w:rFonts w:ascii="Times New Roman" w:hAnsi="Times New Roman" w:cs="Times New Roman"/>
          <w:sz w:val="24"/>
        </w:rPr>
        <w:lastRenderedPageBreak/>
        <w:t>nepiederošas vienības (vismaz attiecībā uz obligātajām sociālajām iemaksām).</w:t>
      </w:r>
    </w:p>
    <w:p w14:paraId="228DD578" w14:textId="77777777" w:rsidR="00443399" w:rsidRPr="00B03B51" w:rsidRDefault="00443399" w:rsidP="00443399">
      <w:pPr>
        <w:jc w:val="both"/>
        <w:rPr>
          <w:rFonts w:ascii="Times New Roman" w:eastAsia="Arial" w:hAnsi="Times New Roman" w:cs="Times New Roman"/>
          <w:noProof/>
          <w:sz w:val="24"/>
          <w:szCs w:val="15"/>
        </w:rPr>
      </w:pPr>
    </w:p>
    <w:p w14:paraId="364332C3" w14:textId="77777777" w:rsidR="00443399" w:rsidRPr="00B03B51" w:rsidRDefault="00443399" w:rsidP="00443399">
      <w:pPr>
        <w:pStyle w:val="Heading6"/>
        <w:tabs>
          <w:tab w:val="left" w:pos="1267"/>
        </w:tabs>
        <w:ind w:left="0" w:firstLine="0"/>
        <w:jc w:val="both"/>
        <w:rPr>
          <w:rFonts w:ascii="Times New Roman" w:hAnsi="Times New Roman" w:cs="Times New Roman"/>
          <w:noProof/>
          <w:sz w:val="24"/>
        </w:rPr>
      </w:pPr>
      <w:r w:rsidRPr="00B03B51">
        <w:rPr>
          <w:rFonts w:ascii="Times New Roman" w:hAnsi="Times New Roman" w:cs="Times New Roman"/>
          <w:sz w:val="24"/>
        </w:rPr>
        <w:t>5.5.4.3. RISKU UN PRIEKŠROCĪBU NODOŠANA</w:t>
      </w:r>
    </w:p>
    <w:p w14:paraId="4AFF3855" w14:textId="77777777" w:rsidR="00443399" w:rsidRPr="00B03B51" w:rsidRDefault="00443399" w:rsidP="00443399">
      <w:pPr>
        <w:tabs>
          <w:tab w:val="left" w:pos="843"/>
        </w:tabs>
        <w:jc w:val="both"/>
        <w:rPr>
          <w:rFonts w:ascii="Times New Roman" w:eastAsia="Arial" w:hAnsi="Times New Roman" w:cs="Times New Roman"/>
          <w:noProof/>
          <w:sz w:val="24"/>
          <w:szCs w:val="19"/>
        </w:rPr>
      </w:pPr>
    </w:p>
    <w:p w14:paraId="3C20F862" w14:textId="77777777" w:rsidR="00443399" w:rsidRPr="00B03B51" w:rsidRDefault="00443399" w:rsidP="00443399">
      <w:pPr>
        <w:tabs>
          <w:tab w:val="left" w:pos="843"/>
        </w:tabs>
        <w:jc w:val="both"/>
        <w:rPr>
          <w:rFonts w:ascii="Times New Roman" w:eastAsia="Arial" w:hAnsi="Times New Roman" w:cs="Times New Roman"/>
          <w:noProof/>
          <w:sz w:val="24"/>
          <w:szCs w:val="19"/>
        </w:rPr>
      </w:pPr>
      <w:r w:rsidRPr="00B03B51">
        <w:rPr>
          <w:rFonts w:ascii="Times New Roman" w:hAnsi="Times New Roman" w:cs="Times New Roman"/>
          <w:sz w:val="24"/>
          <w:szCs w:val="19"/>
        </w:rPr>
        <w:t xml:space="preserve">71. Viens nosacījums, saskaņā ar kuru vērtspapīrošanu nacionālajos kontos ieraksta kā pārdošanu, ir ar aktīvu saistīto risku un priekšrocību nodošana vērtspapīrošanas struktūrvienībai. Saskaņā ar EKS 2010 7.10. punktu “ekonomiskie aktīvi ir vērtības uzkrājēji, kas parāda labumus, kas uzkrājas ekonomiskajam īpašniekam, kurš uz laiku tur vai izmanto aktīvu”. Turklāt EKS 2010 noteikumi par finanšu nomu, kas atbilst situācijai, kurā “iznomātājs ir nodevis visus īpašuma tiesību riskus un priekšrocības nomniekam </w:t>
      </w:r>
      <w:r w:rsidRPr="00B03B51">
        <w:rPr>
          <w:rFonts w:ascii="Times New Roman" w:hAnsi="Times New Roman" w:cs="Times New Roman"/>
          <w:i/>
          <w:iCs/>
          <w:sz w:val="24"/>
          <w:szCs w:val="19"/>
        </w:rPr>
        <w:t>de facto</w:t>
      </w:r>
      <w:r w:rsidRPr="00B03B51">
        <w:rPr>
          <w:rFonts w:ascii="Times New Roman" w:hAnsi="Times New Roman" w:cs="Times New Roman"/>
          <w:sz w:val="24"/>
          <w:szCs w:val="19"/>
        </w:rPr>
        <w:t xml:space="preserve">, nevis </w:t>
      </w:r>
      <w:r w:rsidRPr="00B03B51">
        <w:rPr>
          <w:rFonts w:ascii="Times New Roman" w:hAnsi="Times New Roman" w:cs="Times New Roman"/>
          <w:i/>
          <w:iCs/>
          <w:sz w:val="24"/>
          <w:szCs w:val="19"/>
        </w:rPr>
        <w:t>de iure</w:t>
      </w:r>
      <w:r w:rsidRPr="00B03B51">
        <w:rPr>
          <w:rFonts w:ascii="Times New Roman" w:hAnsi="Times New Roman" w:cs="Times New Roman"/>
          <w:sz w:val="24"/>
          <w:szCs w:val="19"/>
        </w:rPr>
        <w:t>” (skat. EKS 2010 15. nodaļu “Līgumi, nomas līgumi un licences”), liecina par to, ka ekonomiskās īpašumtiesības nosaka, pamatojoties uz īpašumtiesību risku un priekšrocību nodošanu.</w:t>
      </w:r>
    </w:p>
    <w:p w14:paraId="57E5A9D5"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20B12F3E"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 xml:space="preserve">72. Īpašumtiesības nacionālajos kontos drīzāk nosaka, pamatojoties uz ekonomisko realitāti, nevis uz juridiskajiem nosacījumiem. Lielākā daļa garantiju, aizstāšanas klauzulu, pēdējo daļu vai </w:t>
      </w:r>
      <w:r w:rsidRPr="00B03B51">
        <w:rPr>
          <w:rFonts w:ascii="Times New Roman" w:hAnsi="Times New Roman" w:cs="Times New Roman"/>
          <w:i/>
          <w:iCs/>
          <w:sz w:val="24"/>
        </w:rPr>
        <w:t>DPP</w:t>
      </w:r>
      <w:r w:rsidRPr="00B03B51">
        <w:rPr>
          <w:rFonts w:ascii="Times New Roman" w:hAnsi="Times New Roman" w:cs="Times New Roman"/>
          <w:sz w:val="24"/>
        </w:rPr>
        <w:t xml:space="preserve"> nosacījumu liecina par to, ka ar aktīvu saistītie riski un priekšrocības nav nodotas. Šādos gadījumos ieraksta valdības aizņēmumu. Turklāt jebkādus valdības noteiktus ierobežojumus vērtspapīrošanas struktūrvienības tiesībām vēlāk pārdot aktīvus trešajai pusei uzskata par apliecinājumu tam, ka nav notikusi pārdošana, jo šādā gadījumā valdība gūtu no aktīva iespējamās priekšrocības.</w:t>
      </w:r>
    </w:p>
    <w:p w14:paraId="486E0F5A" w14:textId="77777777" w:rsidR="00443399" w:rsidRPr="00B03B51" w:rsidRDefault="00443399" w:rsidP="00443399">
      <w:pPr>
        <w:jc w:val="both"/>
        <w:rPr>
          <w:rFonts w:ascii="Times New Roman" w:eastAsia="Arial" w:hAnsi="Times New Roman" w:cs="Times New Roman"/>
          <w:noProof/>
          <w:sz w:val="24"/>
          <w:szCs w:val="15"/>
        </w:rPr>
      </w:pPr>
    </w:p>
    <w:p w14:paraId="414FC184" w14:textId="77777777" w:rsidR="00443399" w:rsidRPr="00B03B51" w:rsidRDefault="00443399" w:rsidP="00443399">
      <w:pPr>
        <w:pStyle w:val="Heading6"/>
        <w:tabs>
          <w:tab w:val="left" w:pos="1267"/>
        </w:tabs>
        <w:ind w:left="0" w:firstLine="0"/>
        <w:jc w:val="both"/>
        <w:rPr>
          <w:rFonts w:ascii="Times New Roman" w:hAnsi="Times New Roman" w:cs="Times New Roman"/>
          <w:noProof/>
          <w:sz w:val="24"/>
        </w:rPr>
      </w:pPr>
      <w:r w:rsidRPr="00B03B51">
        <w:rPr>
          <w:rFonts w:ascii="Times New Roman" w:hAnsi="Times New Roman" w:cs="Times New Roman"/>
          <w:sz w:val="24"/>
        </w:rPr>
        <w:t>5.5.4.4. AR FINANŠU AKTĪVIEM SAISTĪTIE RISKI UN PRIEKŠROCĪBAS</w:t>
      </w:r>
    </w:p>
    <w:p w14:paraId="2BBFCC48"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780CAC23"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73. Ekonomiskie labumi, kurus var gūt no finanšu aktīviem, ir īpašuma ienākumi, kurus gūst no to turēšanas, un turēšanas guvumi, kuri uzkrājas par šādiem aktīviem un kurus var realizēt, kad aktīvi tiek pārdoti. Attiecīgi ir iespējami arī turēšanas zaudējumi un tādējādi arī daļa no riskiem, kas saistīti ar īpašumtiesībām.</w:t>
      </w:r>
    </w:p>
    <w:p w14:paraId="1934AD95"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14F3F224"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74. Saistībā ar vērtspapīrošanu vissvarīgākais ar finanšu aktīviem saistītais risks parasti ir kredītrisks. Kredītrisks attiecas uz iespējamu pienākošos maksājumu neveikšanu, saistībā ar ko var nošķirt procentu maksājumus un pamatsummas atmaksu. Finanšu aktīva ekonomiskā īpašniece ir vienība, kas reāli uzņemas ar konkrētajiem aktīviem saistīto kredītrisku. Ekonomiskā īpašniece pēc tam var iegādāties apdrošināšanu vai atvasinātos finanšu instrumentus, lai mazinātu risku, taču tas nemaina īpašumtiesības.</w:t>
      </w:r>
    </w:p>
    <w:p w14:paraId="6D9D0DB7" w14:textId="77777777" w:rsidR="00443399" w:rsidRPr="00B03B51" w:rsidRDefault="00443399" w:rsidP="00443399">
      <w:pPr>
        <w:jc w:val="both"/>
        <w:rPr>
          <w:rFonts w:ascii="Times New Roman" w:eastAsia="Arial" w:hAnsi="Times New Roman" w:cs="Times New Roman"/>
          <w:noProof/>
          <w:sz w:val="24"/>
          <w:szCs w:val="15"/>
        </w:rPr>
      </w:pPr>
    </w:p>
    <w:p w14:paraId="3D241FFD" w14:textId="77777777" w:rsidR="00443399" w:rsidRPr="00B03B51" w:rsidRDefault="00443399" w:rsidP="00443399">
      <w:pPr>
        <w:pStyle w:val="Heading6"/>
        <w:tabs>
          <w:tab w:val="left" w:pos="1267"/>
        </w:tabs>
        <w:ind w:left="0" w:firstLine="0"/>
        <w:jc w:val="both"/>
        <w:rPr>
          <w:rFonts w:ascii="Times New Roman" w:hAnsi="Times New Roman" w:cs="Times New Roman"/>
          <w:noProof/>
          <w:sz w:val="24"/>
        </w:rPr>
      </w:pPr>
      <w:r w:rsidRPr="00B03B51">
        <w:rPr>
          <w:rFonts w:ascii="Times New Roman" w:hAnsi="Times New Roman" w:cs="Times New Roman"/>
          <w:sz w:val="24"/>
        </w:rPr>
        <w:t>5.5.4.5. AR NEFINANŠU AKTĪVIEM SAISTĪTIE RISKI UN PRIEKŠROCĪBAS</w:t>
      </w:r>
    </w:p>
    <w:p w14:paraId="2DEC0627"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52B4C675"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75. Ar nefinanšu aktīviem saistītās priekšrocības ir darbības pārpalikumi, kas uzkrājas no pamatlīdzekļu izmantošanas, un neto rentes, kuras gūst no neražotu aktīvu nomas. Turklāt nefinanšu aktīvi var radīt turēšanas guvumus un zaudējumus, kas ir svarīga iezīme, ja tos iegādājas tālākpārdošanai. Īpašnieks uzņemas izmaksas, lai izvairītos no sliktiem aktīvu izmantošanas rezultātiem un nodrošinātu ienākumus, apņemoties uzturēt aktīvus vai iegādājoties apdrošināšanu, lai aktīvu neparedzētas pasliktināšanās, izlietošanas vai iznīcināšanas gadījumā varētu saņemt kompensāciju. Īpašumtiesību pazīmes ietver spēju lemt par:</w:t>
      </w:r>
    </w:p>
    <w:p w14:paraId="7C2E4A7F"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16ECDBBB" w14:textId="77777777" w:rsidR="00443399" w:rsidRPr="00B03B51" w:rsidRDefault="00443399" w:rsidP="004205D9">
      <w:pPr>
        <w:pStyle w:val="BodyText"/>
        <w:numPr>
          <w:ilvl w:val="1"/>
          <w:numId w:val="57"/>
        </w:numPr>
        <w:spacing w:before="0"/>
        <w:ind w:left="426" w:hanging="425"/>
        <w:jc w:val="both"/>
        <w:rPr>
          <w:rFonts w:ascii="Times New Roman" w:hAnsi="Times New Roman" w:cs="Times New Roman"/>
          <w:noProof/>
          <w:sz w:val="24"/>
        </w:rPr>
      </w:pPr>
      <w:r w:rsidRPr="00B03B51">
        <w:rPr>
          <w:rFonts w:ascii="Times New Roman" w:hAnsi="Times New Roman" w:cs="Times New Roman"/>
          <w:sz w:val="24"/>
        </w:rPr>
        <w:t>nomas maksas/rentes lielumu;</w:t>
      </w:r>
    </w:p>
    <w:p w14:paraId="17B65680" w14:textId="77777777" w:rsidR="00443399" w:rsidRPr="00B03B51" w:rsidRDefault="00443399" w:rsidP="004205D9">
      <w:pPr>
        <w:pStyle w:val="BodyText"/>
        <w:numPr>
          <w:ilvl w:val="1"/>
          <w:numId w:val="57"/>
        </w:numPr>
        <w:spacing w:before="0"/>
        <w:ind w:left="426" w:hanging="425"/>
        <w:jc w:val="both"/>
        <w:rPr>
          <w:rFonts w:ascii="Times New Roman" w:hAnsi="Times New Roman" w:cs="Times New Roman"/>
          <w:noProof/>
          <w:sz w:val="24"/>
        </w:rPr>
      </w:pPr>
      <w:r w:rsidRPr="00B03B51">
        <w:rPr>
          <w:rFonts w:ascii="Times New Roman" w:hAnsi="Times New Roman" w:cs="Times New Roman"/>
          <w:sz w:val="24"/>
        </w:rPr>
        <w:t>aktīvu pārdošanas laiku.</w:t>
      </w:r>
    </w:p>
    <w:p w14:paraId="49211D81" w14:textId="77777777" w:rsidR="00443399" w:rsidRPr="00B03B51" w:rsidRDefault="00443399" w:rsidP="00443399">
      <w:pPr>
        <w:jc w:val="both"/>
        <w:rPr>
          <w:rFonts w:ascii="Times New Roman" w:eastAsia="Arial" w:hAnsi="Times New Roman" w:cs="Times New Roman"/>
          <w:noProof/>
          <w:sz w:val="24"/>
          <w:szCs w:val="15"/>
        </w:rPr>
      </w:pPr>
    </w:p>
    <w:p w14:paraId="1675AFC3" w14:textId="77777777" w:rsidR="00443399" w:rsidRPr="00B03B51" w:rsidRDefault="00443399" w:rsidP="004205D9">
      <w:pPr>
        <w:pStyle w:val="Heading6"/>
        <w:keepNext/>
        <w:tabs>
          <w:tab w:val="left" w:pos="1267"/>
        </w:tabs>
        <w:ind w:left="0" w:firstLine="0"/>
        <w:jc w:val="both"/>
        <w:rPr>
          <w:rFonts w:ascii="Times New Roman" w:hAnsi="Times New Roman" w:cs="Times New Roman"/>
          <w:noProof/>
          <w:sz w:val="24"/>
        </w:rPr>
      </w:pPr>
      <w:r w:rsidRPr="00B03B51">
        <w:rPr>
          <w:rFonts w:ascii="Times New Roman" w:hAnsi="Times New Roman" w:cs="Times New Roman"/>
          <w:sz w:val="24"/>
        </w:rPr>
        <w:lastRenderedPageBreak/>
        <w:t>5.5.4.6. VĒRTSPAPĪROŠANAS STRUKTŪRVIENĪBAS KLASIFIKĀCIJA</w:t>
      </w:r>
    </w:p>
    <w:p w14:paraId="3BE493C6" w14:textId="77777777" w:rsidR="00443399" w:rsidRPr="00B03B51" w:rsidRDefault="00443399" w:rsidP="004205D9">
      <w:pPr>
        <w:pStyle w:val="BodyText"/>
        <w:keepNext/>
        <w:tabs>
          <w:tab w:val="left" w:pos="843"/>
        </w:tabs>
        <w:spacing w:before="0"/>
        <w:ind w:left="0" w:firstLine="0"/>
        <w:jc w:val="both"/>
        <w:rPr>
          <w:rFonts w:ascii="Times New Roman" w:hAnsi="Times New Roman" w:cs="Times New Roman"/>
          <w:noProof/>
          <w:sz w:val="24"/>
        </w:rPr>
      </w:pPr>
    </w:p>
    <w:p w14:paraId="4B05D4CB" w14:textId="77777777" w:rsidR="00443399" w:rsidRPr="00B03B51" w:rsidRDefault="00443399" w:rsidP="004205D9">
      <w:pPr>
        <w:pStyle w:val="BodyText"/>
        <w:keepN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76. Attiecībā uz vērtspapīrošanas struktūrvienības sektora klasifikāciju gadījumā, ja tā ir ĪNDS, EKS 2010 2.90. punkta f) apakšpunkts nosaka, ka tā jāklasificē kā citi finanšu starpnieki (S.125). Tā pamatā ir pieņēmums, ka šādas “sabiedrības” ir institucionālas vienības, kuras nodarbojas ar finanšu starpniecību (vai veic citas palīgdarbības).</w:t>
      </w:r>
    </w:p>
    <w:p w14:paraId="39C13CA0"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453F878A"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77. Lai sabiedrību varētu uzskatīt par atsevišķu institucionālu vienību, ir jābūt izpildītiem EKS 2010 2.12. punktā minētajiem kritērijiem. Lai ĪNDS varētu klasificēt S.125 sektorā, tai ir jābūt lēmumu pieņemšanas autonomijai attiecībā uz tās emitēto parāda vērtspapīru pārvaldību. Par to liecina vērtspapīru emisijas biežums, parāda pārvaldība, atmaksas stratēģija u. c. Ir jābūt skaidri zināmam, ka ĪNDS nerīkojas valdības vārdā. Tai nepieciešama arī pilnīga autonomija attiecībā uz tās aktīvu pārvaldību un realizāciju. Pretējā gadījumā ĪNDS nevar ierakstīt kā atsevišķu institucionālo vienību.</w:t>
      </w:r>
    </w:p>
    <w:p w14:paraId="313F8290"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6C80A873"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 xml:space="preserve">78. Attiecībā uz institucionālās vienības atzīšanu par finanšu starpnieku EKS 2010 2.57. punktā noteikts, ka </w:t>
      </w:r>
      <w:r w:rsidRPr="00B03B51">
        <w:rPr>
          <w:rFonts w:ascii="Times New Roman" w:hAnsi="Times New Roman" w:cs="Times New Roman"/>
          <w:i/>
          <w:iCs/>
          <w:sz w:val="24"/>
        </w:rPr>
        <w:t>finanšu starpnieks ne tikai darbojas kā citu institucionālo vienību aģents, bet arī pakļauj sevi riskam, savā vārdā pērkot finanšu aktīvus un uzņemoties saistības</w:t>
      </w:r>
      <w:r w:rsidRPr="00B03B51">
        <w:rPr>
          <w:rFonts w:ascii="Times New Roman" w:hAnsi="Times New Roman" w:cs="Times New Roman"/>
          <w:sz w:val="24"/>
        </w:rPr>
        <w:t>.</w:t>
      </w:r>
    </w:p>
    <w:p w14:paraId="1ECB3153"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74300634"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79. Attiecībā uz tādu jaunu finanšu aktīvu klasifikāciju, kuri izriet no vērtspapīrošanas, EKS 2010 5.104. punktā noteikts, ka vērtspapīrus, kas emitēti saistībā ar vērtspapīrošanu, klasificē kā parāda vērtspapīrus (AF.3).</w:t>
      </w:r>
    </w:p>
    <w:p w14:paraId="716AFCE9" w14:textId="77777777" w:rsidR="00443399" w:rsidRPr="00B03B51" w:rsidRDefault="00443399" w:rsidP="00443399">
      <w:pPr>
        <w:jc w:val="both"/>
        <w:rPr>
          <w:rFonts w:ascii="Times New Roman" w:eastAsia="Arial" w:hAnsi="Times New Roman" w:cs="Times New Roman"/>
          <w:noProof/>
          <w:sz w:val="24"/>
          <w:szCs w:val="15"/>
        </w:rPr>
      </w:pPr>
    </w:p>
    <w:p w14:paraId="307578F2" w14:textId="77777777" w:rsidR="00443399" w:rsidRPr="00B03B51" w:rsidRDefault="00443399" w:rsidP="00443399">
      <w:pPr>
        <w:pStyle w:val="Heading6"/>
        <w:tabs>
          <w:tab w:val="left" w:pos="1267"/>
        </w:tabs>
        <w:ind w:left="0" w:firstLine="0"/>
        <w:jc w:val="both"/>
        <w:rPr>
          <w:rFonts w:ascii="Times New Roman" w:hAnsi="Times New Roman" w:cs="Times New Roman"/>
          <w:noProof/>
          <w:sz w:val="24"/>
        </w:rPr>
      </w:pPr>
      <w:r w:rsidRPr="00B03B51">
        <w:rPr>
          <w:rFonts w:ascii="Times New Roman" w:hAnsi="Times New Roman" w:cs="Times New Roman"/>
          <w:sz w:val="24"/>
        </w:rPr>
        <w:t>5.5.4.7. NO VALDĪBAS SAŅEMTU IEŅĒMUMU VĒRTSPAPĪROŠANA, KO VEIC VALDĪBAS SEKTORAM NEPIEDEROŠA VIENĪBA</w:t>
      </w:r>
    </w:p>
    <w:p w14:paraId="25ADB0F6"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136A8711"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80. Dažos gadījumos valdības sektoram nepiederoša vienība pārvērš no valdības saņemtus ieņēmumus vērtspapīros savām vajadzībām. Lai gan sākotnēji var šķist, ka šādām vienpusējām darbībām nav ietekmes uz valdības sektora kontiem, operācija tomēr ir jāpārbauda, lai precīzi noskaidrotu valdības līgumsaistības. Ir jāpārbauda, vai līgumā, ar kuru ir apsolīti turpmākie maksājumi, valdībai ir paredzētas saistības izmaksāt pietiekamu naudas summu, lai apkalpotu tādas valdības sektoram nepiederošas vienības parādu, kura saņem šādus maksājumus.</w:t>
      </w:r>
    </w:p>
    <w:p w14:paraId="78CC4567"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4F8F8364"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81. Ja valdība nepārprotami ir uzņēmusies saistības izmaksāt pietiekamu naudas summu parāda apkalpošanas vai citu valdības sektoram nepiederošas vienības saistību segšanai, operāciju klasificē kā valdības aizņēmumu. Valdības aizņēmumu neieraksta, ja valdības pienākumi ir atkarīgi no valdības sektoram nepiederošas vienības darbības rezultātiem, ko tā uzrāda, tiecoties sasniegt valdības politikas mērķus.</w:t>
      </w:r>
    </w:p>
    <w:p w14:paraId="4FB080A6" w14:textId="77777777" w:rsidR="00443399" w:rsidRPr="00B03B51" w:rsidRDefault="00443399" w:rsidP="00443399">
      <w:pPr>
        <w:jc w:val="both"/>
        <w:rPr>
          <w:rFonts w:ascii="Times New Roman" w:eastAsia="Arial" w:hAnsi="Times New Roman" w:cs="Times New Roman"/>
          <w:noProof/>
          <w:sz w:val="24"/>
          <w:szCs w:val="19"/>
        </w:rPr>
      </w:pPr>
    </w:p>
    <w:p w14:paraId="41443AAB" w14:textId="77777777" w:rsidR="00443399" w:rsidRPr="00B03B51" w:rsidRDefault="00443399" w:rsidP="00443399">
      <w:pPr>
        <w:pStyle w:val="Heading3"/>
        <w:tabs>
          <w:tab w:val="left" w:pos="1267"/>
        </w:tabs>
        <w:ind w:left="0" w:firstLine="0"/>
        <w:jc w:val="both"/>
        <w:rPr>
          <w:rFonts w:ascii="Times New Roman" w:hAnsi="Times New Roman" w:cs="Times New Roman"/>
          <w:noProof/>
          <w:sz w:val="24"/>
        </w:rPr>
      </w:pPr>
      <w:bookmarkStart w:id="459" w:name="_Toc67565165"/>
      <w:r w:rsidRPr="00B03B51">
        <w:rPr>
          <w:rFonts w:ascii="Times New Roman" w:hAnsi="Times New Roman" w:cs="Times New Roman"/>
          <w:sz w:val="24"/>
        </w:rPr>
        <w:t>5.5.5. Uzskaites piemēri</w:t>
      </w:r>
      <w:bookmarkEnd w:id="459"/>
    </w:p>
    <w:p w14:paraId="718B8E35" w14:textId="77777777" w:rsidR="00443399" w:rsidRPr="00B03B51" w:rsidRDefault="00443399" w:rsidP="00443399">
      <w:pPr>
        <w:pStyle w:val="BodyText"/>
        <w:spacing w:before="0"/>
        <w:ind w:left="0" w:firstLine="0"/>
        <w:jc w:val="both"/>
        <w:rPr>
          <w:rFonts w:ascii="Times New Roman" w:hAnsi="Times New Roman" w:cs="Times New Roman"/>
          <w:noProof/>
          <w:sz w:val="24"/>
        </w:rPr>
      </w:pPr>
    </w:p>
    <w:p w14:paraId="11DB6A2A" w14:textId="77777777" w:rsidR="00443399" w:rsidRPr="00B03B51" w:rsidRDefault="00443399" w:rsidP="00443399">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t>Piemēros ir apspriesti tikai tādi darījumi, kas ietekmē valdības kontus.</w:t>
      </w:r>
    </w:p>
    <w:p w14:paraId="298477BE" w14:textId="77777777" w:rsidR="00443399" w:rsidRPr="00B03B51" w:rsidRDefault="00443399" w:rsidP="00443399">
      <w:pPr>
        <w:jc w:val="both"/>
        <w:rPr>
          <w:rFonts w:ascii="Times New Roman" w:hAnsi="Times New Roman" w:cs="Times New Roman"/>
          <w:b/>
          <w:noProof/>
          <w:sz w:val="24"/>
        </w:rPr>
      </w:pPr>
    </w:p>
    <w:p w14:paraId="59F28D7D" w14:textId="77777777" w:rsidR="00443399" w:rsidRPr="00B03B51" w:rsidRDefault="00443399" w:rsidP="00443399">
      <w:pPr>
        <w:jc w:val="both"/>
        <w:rPr>
          <w:rFonts w:ascii="Times New Roman" w:hAnsi="Times New Roman" w:cs="Times New Roman"/>
          <w:b/>
          <w:noProof/>
          <w:sz w:val="24"/>
        </w:rPr>
      </w:pPr>
      <w:r w:rsidRPr="00B03B51">
        <w:rPr>
          <w:rFonts w:ascii="Times New Roman" w:hAnsi="Times New Roman" w:cs="Times New Roman"/>
          <w:b/>
          <w:sz w:val="24"/>
        </w:rPr>
        <w:t>1. piemērs. Ēkas pārdošana saskaņā ar atliktās pirkšanas cenas (</w:t>
      </w:r>
      <w:r w:rsidRPr="00B03B51">
        <w:rPr>
          <w:rFonts w:ascii="Times New Roman" w:hAnsi="Times New Roman" w:cs="Times New Roman"/>
          <w:b/>
          <w:i/>
          <w:iCs/>
          <w:sz w:val="24"/>
        </w:rPr>
        <w:t>DPP</w:t>
      </w:r>
      <w:r w:rsidRPr="00B03B51">
        <w:rPr>
          <w:rFonts w:ascii="Times New Roman" w:hAnsi="Times New Roman" w:cs="Times New Roman"/>
          <w:b/>
          <w:sz w:val="24"/>
        </w:rPr>
        <w:t>) nosacījumu</w:t>
      </w:r>
    </w:p>
    <w:p w14:paraId="492AC99A" w14:textId="77777777" w:rsidR="00443399" w:rsidRPr="00B03B51" w:rsidRDefault="00443399" w:rsidP="00443399">
      <w:pPr>
        <w:pStyle w:val="BodyText"/>
        <w:spacing w:before="0"/>
        <w:ind w:left="0" w:firstLine="0"/>
        <w:jc w:val="both"/>
        <w:rPr>
          <w:rFonts w:ascii="Times New Roman" w:hAnsi="Times New Roman" w:cs="Times New Roman"/>
          <w:noProof/>
          <w:sz w:val="24"/>
        </w:rPr>
      </w:pPr>
    </w:p>
    <w:p w14:paraId="098506F2" w14:textId="77777777" w:rsidR="00443399" w:rsidRPr="00B03B51" w:rsidRDefault="00443399" w:rsidP="00443399">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t>Valdība pārdod ēkas privātai bankai, kas plāno tās pārdot tālāk nākamajā gadā, tiklīdz uzlabosies situācija tirgū. Aplēstā ēku vērtība ir 100 naudas vienības.</w:t>
      </w:r>
    </w:p>
    <w:p w14:paraId="4F6817E7" w14:textId="77777777" w:rsidR="00443399" w:rsidRPr="00B03B51" w:rsidRDefault="00443399" w:rsidP="00443399">
      <w:pPr>
        <w:pStyle w:val="BodyText"/>
        <w:spacing w:before="0"/>
        <w:ind w:left="0" w:firstLine="0"/>
        <w:jc w:val="both"/>
        <w:rPr>
          <w:rFonts w:ascii="Times New Roman" w:hAnsi="Times New Roman" w:cs="Times New Roman"/>
          <w:noProof/>
          <w:sz w:val="24"/>
        </w:rPr>
      </w:pPr>
    </w:p>
    <w:p w14:paraId="6769D647" w14:textId="77777777" w:rsidR="00443399" w:rsidRPr="00B03B51" w:rsidRDefault="00443399" w:rsidP="00443399">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t>Valdība:</w:t>
      </w:r>
    </w:p>
    <w:p w14:paraId="624E4811" w14:textId="77777777" w:rsidR="00443399" w:rsidRPr="00B03B51" w:rsidRDefault="00443399" w:rsidP="00443399">
      <w:pPr>
        <w:pStyle w:val="BodyText"/>
        <w:spacing w:before="0"/>
        <w:ind w:left="0" w:firstLine="0"/>
        <w:jc w:val="both"/>
        <w:rPr>
          <w:rFonts w:ascii="Times New Roman" w:hAnsi="Times New Roman" w:cs="Times New Roman"/>
          <w:noProof/>
          <w:sz w:val="24"/>
        </w:rPr>
      </w:pPr>
    </w:p>
    <w:p w14:paraId="702FB20D" w14:textId="77777777" w:rsidR="00443399" w:rsidRPr="00B03B51" w:rsidRDefault="00443399" w:rsidP="004205D9">
      <w:pPr>
        <w:pStyle w:val="BodyText"/>
        <w:numPr>
          <w:ilvl w:val="0"/>
          <w:numId w:val="56"/>
        </w:numPr>
        <w:spacing w:before="0"/>
        <w:ind w:left="426" w:hanging="425"/>
        <w:jc w:val="both"/>
        <w:rPr>
          <w:rFonts w:ascii="Times New Roman" w:hAnsi="Times New Roman" w:cs="Times New Roman"/>
          <w:noProof/>
          <w:sz w:val="24"/>
        </w:rPr>
      </w:pPr>
      <w:r w:rsidRPr="00B03B51">
        <w:rPr>
          <w:rFonts w:ascii="Times New Roman" w:hAnsi="Times New Roman" w:cs="Times New Roman"/>
          <w:sz w:val="24"/>
        </w:rPr>
        <w:t>par ēku pārdošanu nekavējoties saņem 90 naudas vienības;</w:t>
      </w:r>
    </w:p>
    <w:p w14:paraId="70CEA2EB" w14:textId="77777777" w:rsidR="00443399" w:rsidRPr="00B03B51" w:rsidRDefault="00443399" w:rsidP="004205D9">
      <w:pPr>
        <w:pStyle w:val="BodyText"/>
        <w:numPr>
          <w:ilvl w:val="0"/>
          <w:numId w:val="56"/>
        </w:numPr>
        <w:spacing w:before="0"/>
        <w:ind w:left="426" w:hanging="425"/>
        <w:jc w:val="both"/>
        <w:rPr>
          <w:rFonts w:ascii="Times New Roman" w:hAnsi="Times New Roman" w:cs="Times New Roman"/>
          <w:noProof/>
          <w:sz w:val="24"/>
        </w:rPr>
      </w:pPr>
      <w:r w:rsidRPr="00B03B51">
        <w:rPr>
          <w:rFonts w:ascii="Times New Roman" w:hAnsi="Times New Roman" w:cs="Times New Roman"/>
          <w:sz w:val="24"/>
        </w:rPr>
        <w:lastRenderedPageBreak/>
        <w:t xml:space="preserve">pastāv arī </w:t>
      </w:r>
      <w:r w:rsidRPr="00B03B51">
        <w:rPr>
          <w:rFonts w:ascii="Times New Roman" w:hAnsi="Times New Roman" w:cs="Times New Roman"/>
          <w:i/>
          <w:iCs/>
          <w:sz w:val="24"/>
        </w:rPr>
        <w:t>DPP</w:t>
      </w:r>
      <w:r w:rsidRPr="00B03B51">
        <w:rPr>
          <w:rFonts w:ascii="Times New Roman" w:hAnsi="Times New Roman" w:cs="Times New Roman"/>
          <w:sz w:val="24"/>
        </w:rPr>
        <w:t xml:space="preserve"> līgums, saskaņā ar kuru gadījumā, ja banka par ēku tālākpārdošanu saņem vairāk par 90 naudas vienībām, no ieņēmumiem, kas pārsniedz 90 naudas vienību līmeni, valdībai izmaksā ne vairāk kā 25 naudas vienības.</w:t>
      </w:r>
    </w:p>
    <w:p w14:paraId="424CF780" w14:textId="77777777" w:rsidR="00443399" w:rsidRPr="00B03B51" w:rsidRDefault="00443399" w:rsidP="00443399">
      <w:pPr>
        <w:pStyle w:val="BodyText"/>
        <w:spacing w:before="0"/>
        <w:ind w:left="0" w:firstLine="0"/>
        <w:jc w:val="both"/>
        <w:rPr>
          <w:rFonts w:ascii="Times New Roman" w:hAnsi="Times New Roman" w:cs="Times New Roman"/>
          <w:noProof/>
          <w:sz w:val="24"/>
        </w:rPr>
      </w:pPr>
    </w:p>
    <w:p w14:paraId="1DBFB328" w14:textId="77777777" w:rsidR="00443399" w:rsidRPr="00B03B51" w:rsidRDefault="00443399" w:rsidP="00443399">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t>Banka ar tai piederošas un tās izveidotas ĪNDS starpniecību emitē obligācijas 90 naudas vienību vērtībā.</w:t>
      </w:r>
    </w:p>
    <w:p w14:paraId="5E48CE36" w14:textId="77777777" w:rsidR="00443399" w:rsidRPr="00B03B51" w:rsidRDefault="00443399" w:rsidP="00443399">
      <w:pPr>
        <w:pStyle w:val="BodyText"/>
        <w:spacing w:before="0"/>
        <w:ind w:left="0" w:firstLine="0"/>
        <w:jc w:val="both"/>
        <w:rPr>
          <w:rFonts w:ascii="Times New Roman" w:hAnsi="Times New Roman" w:cs="Times New Roman"/>
          <w:noProof/>
          <w:sz w:val="24"/>
        </w:rPr>
      </w:pPr>
    </w:p>
    <w:p w14:paraId="2A1BCECD" w14:textId="77777777" w:rsidR="00443399" w:rsidRPr="00B03B51" w:rsidRDefault="00443399" w:rsidP="00443399">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t>Otrajā gadā ēkas pārdod tālāk par 120 naudas vienībām:</w:t>
      </w:r>
    </w:p>
    <w:p w14:paraId="07D95881" w14:textId="77777777" w:rsidR="00443399" w:rsidRPr="00B03B51" w:rsidRDefault="00443399" w:rsidP="00443399">
      <w:pPr>
        <w:pStyle w:val="BodyText"/>
        <w:spacing w:before="0"/>
        <w:ind w:left="0" w:firstLine="0"/>
        <w:jc w:val="both"/>
        <w:rPr>
          <w:rFonts w:ascii="Times New Roman" w:hAnsi="Times New Roman" w:cs="Times New Roman"/>
          <w:noProof/>
          <w:sz w:val="24"/>
        </w:rPr>
      </w:pPr>
    </w:p>
    <w:p w14:paraId="38251206" w14:textId="77777777" w:rsidR="00443399" w:rsidRPr="00B03B51" w:rsidRDefault="00443399" w:rsidP="004205D9">
      <w:pPr>
        <w:pStyle w:val="BodyText"/>
        <w:numPr>
          <w:ilvl w:val="0"/>
          <w:numId w:val="56"/>
        </w:numPr>
        <w:spacing w:before="0"/>
        <w:ind w:left="426" w:hanging="425"/>
        <w:jc w:val="both"/>
        <w:rPr>
          <w:rFonts w:ascii="Times New Roman" w:hAnsi="Times New Roman" w:cs="Times New Roman"/>
          <w:noProof/>
          <w:sz w:val="24"/>
        </w:rPr>
      </w:pPr>
      <w:r w:rsidRPr="00B03B51">
        <w:rPr>
          <w:rFonts w:ascii="Times New Roman" w:hAnsi="Times New Roman" w:cs="Times New Roman"/>
          <w:sz w:val="24"/>
        </w:rPr>
        <w:t xml:space="preserve">valdība saņem papildmaksājumu 25 naudas vienību apmērā saskaņā ar </w:t>
      </w:r>
      <w:r w:rsidRPr="00B03B51">
        <w:rPr>
          <w:rFonts w:ascii="Times New Roman" w:hAnsi="Times New Roman" w:cs="Times New Roman"/>
          <w:i/>
          <w:iCs/>
          <w:sz w:val="24"/>
        </w:rPr>
        <w:t>DPP</w:t>
      </w:r>
      <w:r w:rsidRPr="00B03B51">
        <w:rPr>
          <w:rFonts w:ascii="Times New Roman" w:hAnsi="Times New Roman" w:cs="Times New Roman"/>
          <w:sz w:val="24"/>
        </w:rPr>
        <w:t xml:space="preserve"> nosacījumu;</w:t>
      </w:r>
    </w:p>
    <w:p w14:paraId="01313CC3" w14:textId="77777777" w:rsidR="00443399" w:rsidRPr="00B03B51" w:rsidRDefault="00443399" w:rsidP="004205D9">
      <w:pPr>
        <w:pStyle w:val="BodyText"/>
        <w:numPr>
          <w:ilvl w:val="0"/>
          <w:numId w:val="56"/>
        </w:numPr>
        <w:spacing w:before="0"/>
        <w:ind w:left="426" w:hanging="425"/>
        <w:jc w:val="both"/>
        <w:rPr>
          <w:rFonts w:ascii="Times New Roman" w:hAnsi="Times New Roman" w:cs="Times New Roman"/>
          <w:noProof/>
          <w:sz w:val="24"/>
        </w:rPr>
      </w:pPr>
      <w:r w:rsidRPr="00B03B51">
        <w:rPr>
          <w:rFonts w:ascii="Times New Roman" w:hAnsi="Times New Roman" w:cs="Times New Roman"/>
          <w:sz w:val="24"/>
        </w:rPr>
        <w:t>bankas peļņa pēc tam, kad ĪNDS ir atmaksājusi savu aizņēmumu, ir 5 naudas vienības.</w:t>
      </w:r>
    </w:p>
    <w:p w14:paraId="58F4AA61" w14:textId="77777777" w:rsidR="00443399" w:rsidRPr="00B03B51" w:rsidRDefault="00443399" w:rsidP="00443399">
      <w:pPr>
        <w:jc w:val="both"/>
        <w:rPr>
          <w:rFonts w:ascii="Times New Roman" w:hAnsi="Times New Roman" w:cs="Times New Roman"/>
          <w:b/>
          <w:noProof/>
          <w:sz w:val="24"/>
        </w:rPr>
      </w:pPr>
    </w:p>
    <w:p w14:paraId="3D392527" w14:textId="77777777" w:rsidR="00443399" w:rsidRPr="00B03B51" w:rsidRDefault="00443399" w:rsidP="00443399">
      <w:pPr>
        <w:keepNext/>
        <w:jc w:val="both"/>
        <w:rPr>
          <w:rFonts w:ascii="Times New Roman" w:hAnsi="Times New Roman" w:cs="Times New Roman"/>
          <w:b/>
          <w:noProof/>
          <w:sz w:val="24"/>
        </w:rPr>
      </w:pPr>
      <w:r w:rsidRPr="00B03B51">
        <w:rPr>
          <w:rFonts w:ascii="Times New Roman" w:hAnsi="Times New Roman" w:cs="Times New Roman"/>
          <w:b/>
          <w:sz w:val="24"/>
        </w:rPr>
        <w:t>Analīze un traktējums nacionālajos kontos</w:t>
      </w:r>
    </w:p>
    <w:p w14:paraId="54532D45" w14:textId="77777777" w:rsidR="00443399" w:rsidRPr="00B03B51" w:rsidRDefault="00443399" w:rsidP="00443399">
      <w:pPr>
        <w:pStyle w:val="BodyText"/>
        <w:keepNext/>
        <w:spacing w:before="0"/>
        <w:ind w:left="0" w:firstLine="0"/>
        <w:jc w:val="both"/>
        <w:rPr>
          <w:rFonts w:ascii="Times New Roman" w:hAnsi="Times New Roman" w:cs="Times New Roman"/>
          <w:noProof/>
          <w:sz w:val="24"/>
        </w:rPr>
      </w:pPr>
    </w:p>
    <w:p w14:paraId="15FCA3AF" w14:textId="77777777" w:rsidR="00443399" w:rsidRPr="00B03B51" w:rsidRDefault="00443399" w:rsidP="00443399">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i/>
          <w:iCs/>
          <w:sz w:val="24"/>
        </w:rPr>
        <w:t>DPP</w:t>
      </w:r>
      <w:r w:rsidRPr="00B03B51">
        <w:rPr>
          <w:rFonts w:ascii="Times New Roman" w:hAnsi="Times New Roman" w:cs="Times New Roman"/>
          <w:sz w:val="24"/>
        </w:rPr>
        <w:t xml:space="preserve"> nosacījuma piemērošanas dēļ darījumu neuzskata par īstu pārdošanu.</w:t>
      </w:r>
    </w:p>
    <w:p w14:paraId="18202E78" w14:textId="77777777" w:rsidR="00443399" w:rsidRPr="00B03B51" w:rsidRDefault="00443399" w:rsidP="00443399">
      <w:pPr>
        <w:pStyle w:val="BodyText"/>
        <w:spacing w:before="0"/>
        <w:ind w:left="0" w:firstLine="0"/>
        <w:jc w:val="both"/>
        <w:rPr>
          <w:rFonts w:ascii="Times New Roman" w:hAnsi="Times New Roman" w:cs="Times New Roman"/>
          <w:noProof/>
          <w:sz w:val="24"/>
        </w:rPr>
      </w:pPr>
    </w:p>
    <w:p w14:paraId="25A3666C" w14:textId="77777777" w:rsidR="00443399" w:rsidRPr="00B03B51" w:rsidRDefault="00443399" w:rsidP="004205D9">
      <w:pPr>
        <w:pStyle w:val="BodyText"/>
        <w:numPr>
          <w:ilvl w:val="0"/>
          <w:numId w:val="56"/>
        </w:numPr>
        <w:spacing w:before="0"/>
        <w:ind w:left="426" w:hanging="425"/>
        <w:jc w:val="both"/>
        <w:rPr>
          <w:rFonts w:ascii="Times New Roman" w:hAnsi="Times New Roman" w:cs="Times New Roman"/>
          <w:noProof/>
          <w:sz w:val="24"/>
        </w:rPr>
      </w:pPr>
      <w:r w:rsidRPr="00B03B51">
        <w:rPr>
          <w:rFonts w:ascii="Times New Roman" w:hAnsi="Times New Roman" w:cs="Times New Roman"/>
          <w:sz w:val="24"/>
        </w:rPr>
        <w:t>Pirmajā gadā to ieraksta kā valdības aizņēmumu par 90 naudas vienībām.</w:t>
      </w:r>
    </w:p>
    <w:p w14:paraId="089CF2E3" w14:textId="77777777" w:rsidR="00443399" w:rsidRPr="00B03B51" w:rsidRDefault="00443399" w:rsidP="004205D9">
      <w:pPr>
        <w:pStyle w:val="BodyText"/>
        <w:numPr>
          <w:ilvl w:val="0"/>
          <w:numId w:val="56"/>
        </w:numPr>
        <w:spacing w:before="0"/>
        <w:ind w:left="426" w:hanging="425"/>
        <w:jc w:val="both"/>
        <w:rPr>
          <w:rFonts w:ascii="Times New Roman" w:hAnsi="Times New Roman" w:cs="Times New Roman"/>
          <w:noProof/>
          <w:sz w:val="24"/>
        </w:rPr>
      </w:pPr>
      <w:r w:rsidRPr="00B03B51">
        <w:rPr>
          <w:rFonts w:ascii="Times New Roman" w:hAnsi="Times New Roman" w:cs="Times New Roman"/>
          <w:sz w:val="24"/>
        </w:rPr>
        <w:t>Otrajā gadā pēc ēkas pārdošanas par tirgus cenu to uzrāda kā negatīvu valdības bruto ieguldījumu pamatkapitālā.</w:t>
      </w:r>
    </w:p>
    <w:p w14:paraId="081EA40B" w14:textId="77777777" w:rsidR="00443399" w:rsidRPr="00B03B51" w:rsidRDefault="00443399" w:rsidP="004205D9">
      <w:pPr>
        <w:pStyle w:val="BodyText"/>
        <w:numPr>
          <w:ilvl w:val="0"/>
          <w:numId w:val="56"/>
        </w:numPr>
        <w:spacing w:before="0"/>
        <w:ind w:left="426" w:hanging="425"/>
        <w:rPr>
          <w:rFonts w:ascii="Times New Roman" w:hAnsi="Times New Roman" w:cs="Times New Roman"/>
          <w:noProof/>
          <w:sz w:val="24"/>
        </w:rPr>
      </w:pPr>
      <w:r w:rsidRPr="00B03B51">
        <w:rPr>
          <w:rFonts w:ascii="Times New Roman" w:hAnsi="Times New Roman" w:cs="Times New Roman"/>
          <w:sz w:val="24"/>
        </w:rPr>
        <w:t>Bankas peļņu ieraksta kā procentu prēmiju, kas gūta par nosacīto aizdevumu, kuru pēc operācijas pabeigšanas uzrāda kā izpirktu. Uzskaites vienkāršošanas nolūkā ir norādīts, ka peļņu 2. gada beigās patur ĪNDS.</w:t>
      </w:r>
    </w:p>
    <w:p w14:paraId="1A87E89B" w14:textId="77777777" w:rsidR="00443399" w:rsidRPr="00B03B51" w:rsidRDefault="00443399" w:rsidP="00443399">
      <w:pPr>
        <w:pStyle w:val="BodyText"/>
        <w:spacing w:before="0"/>
        <w:ind w:left="0" w:firstLine="0"/>
        <w:rPr>
          <w:rFonts w:ascii="Times New Roman" w:hAnsi="Times New Roman" w:cs="Times New Roman"/>
          <w:noProof/>
          <w:sz w:val="24"/>
        </w:rPr>
      </w:pPr>
    </w:p>
    <w:p w14:paraId="6AF33508" w14:textId="77777777" w:rsidR="00443399" w:rsidRPr="00B03B51" w:rsidRDefault="00443399" w:rsidP="00443399">
      <w:pPr>
        <w:pStyle w:val="BodyText"/>
        <w:spacing w:before="0"/>
        <w:ind w:left="0" w:firstLine="0"/>
        <w:jc w:val="center"/>
        <w:rPr>
          <w:rFonts w:ascii="Times New Roman" w:hAnsi="Times New Roman" w:cs="Times New Roman"/>
          <w:noProof/>
          <w:sz w:val="24"/>
        </w:rPr>
      </w:pPr>
      <w:r w:rsidRPr="00B03B51">
        <w:rPr>
          <w:rFonts w:ascii="Times New Roman" w:hAnsi="Times New Roman" w:cs="Times New Roman"/>
          <w:noProof/>
        </w:rPr>
        <w:drawing>
          <wp:inline distT="0" distB="0" distL="0" distR="0" wp14:anchorId="773AEC5E" wp14:editId="2A8AD32D">
            <wp:extent cx="5756275" cy="3877945"/>
            <wp:effectExtent l="0" t="0" r="0" b="8255"/>
            <wp:docPr id="53" name="Attēls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5"/>
                    <a:stretch>
                      <a:fillRect/>
                    </a:stretch>
                  </pic:blipFill>
                  <pic:spPr>
                    <a:xfrm>
                      <a:off x="0" y="0"/>
                      <a:ext cx="5756275" cy="3877945"/>
                    </a:xfrm>
                    <a:prstGeom prst="rect">
                      <a:avLst/>
                    </a:prstGeom>
                  </pic:spPr>
                </pic:pic>
              </a:graphicData>
            </a:graphic>
          </wp:inline>
        </w:drawing>
      </w:r>
    </w:p>
    <w:p w14:paraId="0F4672FD" w14:textId="77777777" w:rsidR="00443399" w:rsidRPr="00B03B51" w:rsidRDefault="00443399" w:rsidP="00443399">
      <w:pPr>
        <w:pStyle w:val="BodyText"/>
        <w:spacing w:before="0"/>
        <w:ind w:left="0" w:firstLine="0"/>
        <w:rPr>
          <w:rFonts w:ascii="Times New Roman" w:hAnsi="Times New Roman" w:cs="Times New Roman"/>
          <w:noProof/>
          <w:sz w:val="24"/>
        </w:rPr>
      </w:pPr>
    </w:p>
    <w:p w14:paraId="1CB609C9" w14:textId="77777777" w:rsidR="00443399" w:rsidRPr="00B03B51" w:rsidRDefault="00443399" w:rsidP="004205D9">
      <w:pPr>
        <w:pStyle w:val="BodyText"/>
        <w:spacing w:before="0"/>
        <w:ind w:left="0" w:firstLine="0"/>
        <w:jc w:val="center"/>
        <w:rPr>
          <w:rFonts w:ascii="Times New Roman" w:hAnsi="Times New Roman" w:cs="Times New Roman"/>
          <w:noProof/>
          <w:sz w:val="24"/>
        </w:rPr>
      </w:pPr>
      <w:r w:rsidRPr="00B03B51">
        <w:rPr>
          <w:rFonts w:ascii="Times New Roman" w:hAnsi="Times New Roman" w:cs="Times New Roman"/>
          <w:noProof/>
        </w:rPr>
        <w:lastRenderedPageBreak/>
        <w:drawing>
          <wp:inline distT="0" distB="0" distL="0" distR="0" wp14:anchorId="2AD43719" wp14:editId="2A527414">
            <wp:extent cx="5756275" cy="3782695"/>
            <wp:effectExtent l="0" t="0" r="0" b="8255"/>
            <wp:docPr id="52" name="Attēls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6"/>
                    <a:srcRect t="52103"/>
                    <a:stretch/>
                  </pic:blipFill>
                  <pic:spPr bwMode="auto">
                    <a:xfrm>
                      <a:off x="0" y="0"/>
                      <a:ext cx="5756275" cy="3782695"/>
                    </a:xfrm>
                    <a:prstGeom prst="rect">
                      <a:avLst/>
                    </a:prstGeom>
                    <a:ln>
                      <a:noFill/>
                    </a:ln>
                    <a:extLst>
                      <a:ext uri="{53640926-AAD7-44D8-BBD7-CCE9431645EC}">
                        <a14:shadowObscured xmlns:a14="http://schemas.microsoft.com/office/drawing/2010/main"/>
                      </a:ext>
                    </a:extLst>
                  </pic:spPr>
                </pic:pic>
              </a:graphicData>
            </a:graphic>
          </wp:inline>
        </w:drawing>
      </w:r>
    </w:p>
    <w:p w14:paraId="0EA22E80" w14:textId="77777777" w:rsidR="00443399" w:rsidRPr="00B03B51" w:rsidRDefault="00443399" w:rsidP="00443399">
      <w:pPr>
        <w:jc w:val="both"/>
        <w:rPr>
          <w:rFonts w:ascii="Times New Roman" w:hAnsi="Times New Roman" w:cs="Times New Roman"/>
          <w:noProof/>
          <w:sz w:val="24"/>
        </w:rPr>
      </w:pPr>
    </w:p>
    <w:p w14:paraId="7EDEAD1A" w14:textId="77777777" w:rsidR="00443399" w:rsidRPr="00B03B51" w:rsidRDefault="00443399" w:rsidP="00443399">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t>Pēc pārdošanas tirgū valdība saņem 25 naudas vienības un ĪNDS saņem 95 naudas vienības, savukārt ĪNDS pēc tam izmanto 90 naudas vienības no AF.2, lai atmaksātu savas obligācijas (AF.3).</w:t>
      </w:r>
    </w:p>
    <w:p w14:paraId="3FA3BF06" w14:textId="77777777" w:rsidR="00443399" w:rsidRPr="00B03B51" w:rsidRDefault="00443399" w:rsidP="00443399">
      <w:pPr>
        <w:jc w:val="both"/>
        <w:rPr>
          <w:rFonts w:ascii="Times New Roman" w:eastAsia="Arial" w:hAnsi="Times New Roman" w:cs="Times New Roman"/>
          <w:noProof/>
          <w:sz w:val="24"/>
          <w:szCs w:val="15"/>
        </w:rPr>
      </w:pPr>
    </w:p>
    <w:p w14:paraId="07E41755" w14:textId="77777777" w:rsidR="00443399" w:rsidRPr="00B03B51" w:rsidRDefault="00443399" w:rsidP="00443399">
      <w:pPr>
        <w:jc w:val="center"/>
        <w:rPr>
          <w:rFonts w:ascii="Times New Roman" w:eastAsia="Arial" w:hAnsi="Times New Roman" w:cs="Times New Roman"/>
          <w:noProof/>
          <w:sz w:val="24"/>
          <w:szCs w:val="15"/>
        </w:rPr>
      </w:pPr>
      <w:r w:rsidRPr="00B03B51">
        <w:rPr>
          <w:rFonts w:ascii="Times New Roman" w:hAnsi="Times New Roman" w:cs="Times New Roman"/>
          <w:noProof/>
        </w:rPr>
        <w:drawing>
          <wp:inline distT="0" distB="0" distL="0" distR="0" wp14:anchorId="383BED5F" wp14:editId="6E0E21A3">
            <wp:extent cx="5756275" cy="526415"/>
            <wp:effectExtent l="0" t="0" r="0" b="6985"/>
            <wp:docPr id="54" name="Attēls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7"/>
                    <a:stretch>
                      <a:fillRect/>
                    </a:stretch>
                  </pic:blipFill>
                  <pic:spPr>
                    <a:xfrm>
                      <a:off x="0" y="0"/>
                      <a:ext cx="5756275" cy="526415"/>
                    </a:xfrm>
                    <a:prstGeom prst="rect">
                      <a:avLst/>
                    </a:prstGeom>
                  </pic:spPr>
                </pic:pic>
              </a:graphicData>
            </a:graphic>
          </wp:inline>
        </w:drawing>
      </w:r>
    </w:p>
    <w:p w14:paraId="545FDCAA" w14:textId="77777777" w:rsidR="00443399" w:rsidRPr="00B03B51" w:rsidRDefault="00443399" w:rsidP="004205D9">
      <w:pPr>
        <w:jc w:val="center"/>
        <w:rPr>
          <w:rFonts w:ascii="Times New Roman" w:eastAsia="Arial" w:hAnsi="Times New Roman" w:cs="Times New Roman"/>
          <w:noProof/>
          <w:sz w:val="24"/>
          <w:szCs w:val="15"/>
        </w:rPr>
      </w:pPr>
      <w:r w:rsidRPr="00B03B51">
        <w:rPr>
          <w:rFonts w:ascii="Times New Roman" w:hAnsi="Times New Roman" w:cs="Times New Roman"/>
          <w:noProof/>
        </w:rPr>
        <w:drawing>
          <wp:inline distT="0" distB="0" distL="0" distR="0" wp14:anchorId="2F2D5909" wp14:editId="79BD7A9E">
            <wp:extent cx="5756275" cy="623570"/>
            <wp:effectExtent l="0" t="0" r="0" b="5080"/>
            <wp:docPr id="55" name="Attēls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8"/>
                    <a:stretch>
                      <a:fillRect/>
                    </a:stretch>
                  </pic:blipFill>
                  <pic:spPr>
                    <a:xfrm>
                      <a:off x="0" y="0"/>
                      <a:ext cx="5756275" cy="623570"/>
                    </a:xfrm>
                    <a:prstGeom prst="rect">
                      <a:avLst/>
                    </a:prstGeom>
                  </pic:spPr>
                </pic:pic>
              </a:graphicData>
            </a:graphic>
          </wp:inline>
        </w:drawing>
      </w:r>
    </w:p>
    <w:p w14:paraId="7CA135DA" w14:textId="77777777" w:rsidR="00443399" w:rsidRPr="00B03B51" w:rsidRDefault="00443399" w:rsidP="00443399">
      <w:pPr>
        <w:jc w:val="both"/>
        <w:rPr>
          <w:rFonts w:ascii="Times New Roman" w:eastAsia="Arial" w:hAnsi="Times New Roman" w:cs="Times New Roman"/>
          <w:noProof/>
          <w:sz w:val="24"/>
          <w:szCs w:val="15"/>
        </w:rPr>
      </w:pPr>
    </w:p>
    <w:p w14:paraId="4F9BF311" w14:textId="77777777" w:rsidR="00443399" w:rsidRPr="00B03B51" w:rsidRDefault="00443399" w:rsidP="00443399">
      <w:pPr>
        <w:jc w:val="both"/>
        <w:rPr>
          <w:rFonts w:ascii="Times New Roman" w:hAnsi="Times New Roman" w:cs="Times New Roman"/>
          <w:b/>
          <w:noProof/>
          <w:sz w:val="24"/>
        </w:rPr>
      </w:pPr>
      <w:r w:rsidRPr="00B03B51">
        <w:rPr>
          <w:rFonts w:ascii="Times New Roman" w:hAnsi="Times New Roman" w:cs="Times New Roman"/>
          <w:b/>
          <w:sz w:val="24"/>
        </w:rPr>
        <w:t>2. piemērs. Ēkas pārdošana bez atliktās pirkšanas cenas (</w:t>
      </w:r>
      <w:r w:rsidRPr="00B03B51">
        <w:rPr>
          <w:rFonts w:ascii="Times New Roman" w:hAnsi="Times New Roman" w:cs="Times New Roman"/>
          <w:b/>
          <w:i/>
          <w:iCs/>
          <w:sz w:val="24"/>
        </w:rPr>
        <w:t>DPP</w:t>
      </w:r>
      <w:r w:rsidRPr="00B03B51">
        <w:rPr>
          <w:rFonts w:ascii="Times New Roman" w:hAnsi="Times New Roman" w:cs="Times New Roman"/>
          <w:b/>
          <w:sz w:val="24"/>
        </w:rPr>
        <w:t>) nosacījuma</w:t>
      </w:r>
    </w:p>
    <w:p w14:paraId="2CC8AB38" w14:textId="77777777" w:rsidR="00443399" w:rsidRPr="00B03B51" w:rsidRDefault="00443399" w:rsidP="00443399">
      <w:pPr>
        <w:pStyle w:val="BodyText"/>
        <w:spacing w:before="0"/>
        <w:ind w:left="0" w:firstLine="0"/>
        <w:jc w:val="both"/>
        <w:rPr>
          <w:rFonts w:ascii="Times New Roman" w:hAnsi="Times New Roman" w:cs="Times New Roman"/>
          <w:noProof/>
          <w:sz w:val="24"/>
        </w:rPr>
      </w:pPr>
    </w:p>
    <w:p w14:paraId="295D473B" w14:textId="77777777" w:rsidR="00443399" w:rsidRPr="00B03B51" w:rsidRDefault="00443399" w:rsidP="00443399">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t>Valdība pārdod ēkas privātai bankai, kas vēlas tās pārdot tālāk tirgū nākamajā gadā. Aplēstā ēku vērtība ir 100 naudas vienības, un tās pārdod par šādu cenu.</w:t>
      </w:r>
    </w:p>
    <w:p w14:paraId="7A826BA3" w14:textId="77777777" w:rsidR="00443399" w:rsidRPr="00B03B51" w:rsidRDefault="00443399" w:rsidP="00443399">
      <w:pPr>
        <w:pStyle w:val="BodyText"/>
        <w:spacing w:before="0"/>
        <w:ind w:left="0" w:firstLine="0"/>
        <w:jc w:val="both"/>
        <w:rPr>
          <w:rFonts w:ascii="Times New Roman" w:hAnsi="Times New Roman" w:cs="Times New Roman"/>
          <w:noProof/>
          <w:sz w:val="24"/>
        </w:rPr>
      </w:pPr>
    </w:p>
    <w:p w14:paraId="786837CF" w14:textId="77777777" w:rsidR="00443399" w:rsidRPr="00B03B51" w:rsidRDefault="00443399" w:rsidP="00443399">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t>Banka nodod ēkas ĪNDS, kuru tā ir izveidojusi un kura tai pieder:</w:t>
      </w:r>
    </w:p>
    <w:p w14:paraId="5131FA1B" w14:textId="77777777" w:rsidR="00443399" w:rsidRPr="00B03B51" w:rsidRDefault="00443399" w:rsidP="00443399">
      <w:pPr>
        <w:pStyle w:val="BodyText"/>
        <w:spacing w:before="0"/>
        <w:ind w:left="0" w:firstLine="0"/>
        <w:jc w:val="both"/>
        <w:rPr>
          <w:rFonts w:ascii="Times New Roman" w:hAnsi="Times New Roman" w:cs="Times New Roman"/>
          <w:noProof/>
          <w:sz w:val="24"/>
        </w:rPr>
      </w:pPr>
    </w:p>
    <w:p w14:paraId="0554CC08" w14:textId="77777777" w:rsidR="00443399" w:rsidRPr="00B03B51" w:rsidRDefault="00443399" w:rsidP="004205D9">
      <w:pPr>
        <w:pStyle w:val="BodyText"/>
        <w:numPr>
          <w:ilvl w:val="0"/>
          <w:numId w:val="56"/>
        </w:numPr>
        <w:spacing w:before="0"/>
        <w:ind w:left="426" w:hanging="425"/>
        <w:jc w:val="both"/>
        <w:rPr>
          <w:rFonts w:ascii="Times New Roman" w:hAnsi="Times New Roman" w:cs="Times New Roman"/>
          <w:noProof/>
          <w:sz w:val="24"/>
        </w:rPr>
      </w:pPr>
      <w:r w:rsidRPr="00B03B51">
        <w:rPr>
          <w:rFonts w:ascii="Times New Roman" w:hAnsi="Times New Roman" w:cs="Times New Roman"/>
          <w:sz w:val="24"/>
        </w:rPr>
        <w:t>ĪNDS emitē 5 gadu obligācijas 100 naudas vienību vērtībā;</w:t>
      </w:r>
    </w:p>
    <w:p w14:paraId="212409CD" w14:textId="77777777" w:rsidR="00443399" w:rsidRPr="00B03B51" w:rsidRDefault="00443399" w:rsidP="004205D9">
      <w:pPr>
        <w:pStyle w:val="BodyText"/>
        <w:numPr>
          <w:ilvl w:val="0"/>
          <w:numId w:val="56"/>
        </w:numPr>
        <w:spacing w:before="0"/>
        <w:ind w:left="426" w:hanging="425"/>
        <w:jc w:val="both"/>
        <w:rPr>
          <w:rFonts w:ascii="Times New Roman" w:hAnsi="Times New Roman" w:cs="Times New Roman"/>
          <w:noProof/>
          <w:sz w:val="24"/>
        </w:rPr>
      </w:pPr>
      <w:r w:rsidRPr="00B03B51">
        <w:rPr>
          <w:rFonts w:ascii="Times New Roman" w:hAnsi="Times New Roman" w:cs="Times New Roman"/>
          <w:sz w:val="24"/>
        </w:rPr>
        <w:t>nav noteikts DPP nosacījums un arī nav piešķirtas nekādas garantijas;</w:t>
      </w:r>
    </w:p>
    <w:p w14:paraId="7E98CE77" w14:textId="77777777" w:rsidR="00443399" w:rsidRPr="00B03B51" w:rsidRDefault="00443399" w:rsidP="004205D9">
      <w:pPr>
        <w:pStyle w:val="BodyText"/>
        <w:numPr>
          <w:ilvl w:val="0"/>
          <w:numId w:val="56"/>
        </w:numPr>
        <w:spacing w:before="0"/>
        <w:ind w:left="426" w:hanging="425"/>
        <w:jc w:val="both"/>
        <w:rPr>
          <w:rFonts w:ascii="Times New Roman" w:hAnsi="Times New Roman" w:cs="Times New Roman"/>
          <w:noProof/>
          <w:sz w:val="24"/>
        </w:rPr>
      </w:pPr>
      <w:r w:rsidRPr="00B03B51">
        <w:rPr>
          <w:rFonts w:ascii="Times New Roman" w:hAnsi="Times New Roman" w:cs="Times New Roman"/>
          <w:sz w:val="24"/>
        </w:rPr>
        <w:t>ĪNDS maksā aizdevuma procentus no nomas ienākumiem un pārdod ēkas par 100 naudas vienībām;</w:t>
      </w:r>
    </w:p>
    <w:p w14:paraId="4735B8FF" w14:textId="77777777" w:rsidR="00443399" w:rsidRPr="00B03B51" w:rsidRDefault="00443399" w:rsidP="004205D9">
      <w:pPr>
        <w:pStyle w:val="BodyText"/>
        <w:numPr>
          <w:ilvl w:val="0"/>
          <w:numId w:val="56"/>
        </w:numPr>
        <w:spacing w:before="0"/>
        <w:ind w:left="426" w:hanging="425"/>
        <w:jc w:val="both"/>
        <w:rPr>
          <w:rFonts w:ascii="Times New Roman" w:hAnsi="Times New Roman" w:cs="Times New Roman"/>
          <w:noProof/>
          <w:sz w:val="24"/>
        </w:rPr>
      </w:pPr>
      <w:r w:rsidRPr="00B03B51">
        <w:rPr>
          <w:rFonts w:ascii="Times New Roman" w:hAnsi="Times New Roman" w:cs="Times New Roman"/>
          <w:sz w:val="24"/>
        </w:rPr>
        <w:t>banka no ĪNDS saņem peļņu 10 naudas vienību apmērā.</w:t>
      </w:r>
    </w:p>
    <w:p w14:paraId="7306DB96" w14:textId="77777777" w:rsidR="00443399" w:rsidRPr="00B03B51" w:rsidRDefault="00443399" w:rsidP="00443399">
      <w:pPr>
        <w:jc w:val="both"/>
        <w:rPr>
          <w:rFonts w:ascii="Times New Roman" w:hAnsi="Times New Roman" w:cs="Times New Roman"/>
          <w:b/>
          <w:noProof/>
          <w:sz w:val="24"/>
        </w:rPr>
      </w:pPr>
    </w:p>
    <w:p w14:paraId="6922F83C" w14:textId="77777777" w:rsidR="00443399" w:rsidRPr="00B03B51" w:rsidRDefault="00443399" w:rsidP="00443399">
      <w:pPr>
        <w:jc w:val="both"/>
        <w:rPr>
          <w:rFonts w:ascii="Times New Roman" w:hAnsi="Times New Roman" w:cs="Times New Roman"/>
          <w:b/>
          <w:noProof/>
          <w:sz w:val="24"/>
        </w:rPr>
      </w:pPr>
      <w:r w:rsidRPr="00B03B51">
        <w:rPr>
          <w:rFonts w:ascii="Times New Roman" w:hAnsi="Times New Roman" w:cs="Times New Roman"/>
          <w:b/>
          <w:sz w:val="24"/>
        </w:rPr>
        <w:t>Analīze un traktējums nacionālajos kontos</w:t>
      </w:r>
    </w:p>
    <w:p w14:paraId="7D9A019E" w14:textId="77777777" w:rsidR="00443399" w:rsidRPr="00B03B51" w:rsidRDefault="00443399" w:rsidP="00443399">
      <w:pPr>
        <w:pStyle w:val="BodyText"/>
        <w:spacing w:before="0"/>
        <w:ind w:left="0" w:firstLine="0"/>
        <w:jc w:val="both"/>
        <w:rPr>
          <w:rFonts w:ascii="Times New Roman" w:hAnsi="Times New Roman" w:cs="Times New Roman"/>
          <w:noProof/>
          <w:sz w:val="24"/>
        </w:rPr>
      </w:pPr>
    </w:p>
    <w:p w14:paraId="183CF2DA" w14:textId="77777777" w:rsidR="00443399" w:rsidRPr="00B03B51" w:rsidRDefault="00443399" w:rsidP="00443399">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t xml:space="preserve">Šādu gadījumu ieraksta kā pārdošanu ar negatīvu valdības bruto pamatkapitāla veidošanu, jo </w:t>
      </w:r>
      <w:r w:rsidRPr="00B03B51">
        <w:rPr>
          <w:rFonts w:ascii="Times New Roman" w:hAnsi="Times New Roman" w:cs="Times New Roman"/>
          <w:sz w:val="24"/>
        </w:rPr>
        <w:lastRenderedPageBreak/>
        <w:t>valdībai vairs nav īpašumtiesību risku un priekšrocību.</w:t>
      </w:r>
    </w:p>
    <w:p w14:paraId="753D50C3" w14:textId="77777777" w:rsidR="00443399" w:rsidRPr="00B03B51" w:rsidRDefault="00443399" w:rsidP="00443399">
      <w:pPr>
        <w:jc w:val="both"/>
        <w:rPr>
          <w:rFonts w:ascii="Times New Roman" w:eastAsia="Arial" w:hAnsi="Times New Roman" w:cs="Times New Roman"/>
          <w:b/>
          <w:bCs/>
          <w:noProof/>
          <w:sz w:val="24"/>
          <w:szCs w:val="21"/>
        </w:rPr>
      </w:pPr>
    </w:p>
    <w:p w14:paraId="4C503230" w14:textId="77777777" w:rsidR="00443399" w:rsidRPr="00B03B51" w:rsidRDefault="00443399" w:rsidP="00443399">
      <w:pPr>
        <w:jc w:val="center"/>
        <w:rPr>
          <w:rFonts w:ascii="Times New Roman" w:eastAsia="Arial" w:hAnsi="Times New Roman" w:cs="Times New Roman"/>
          <w:b/>
          <w:bCs/>
          <w:noProof/>
          <w:sz w:val="24"/>
          <w:szCs w:val="21"/>
        </w:rPr>
      </w:pPr>
      <w:r w:rsidRPr="00B03B51">
        <w:rPr>
          <w:rFonts w:ascii="Times New Roman" w:hAnsi="Times New Roman" w:cs="Times New Roman"/>
          <w:noProof/>
        </w:rPr>
        <w:drawing>
          <wp:inline distT="0" distB="0" distL="0" distR="0" wp14:anchorId="7516031F" wp14:editId="6882A2B0">
            <wp:extent cx="5756275" cy="3672205"/>
            <wp:effectExtent l="0" t="0" r="0" b="4445"/>
            <wp:docPr id="56" name="Attēls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9"/>
                    <a:stretch>
                      <a:fillRect/>
                    </a:stretch>
                  </pic:blipFill>
                  <pic:spPr>
                    <a:xfrm>
                      <a:off x="0" y="0"/>
                      <a:ext cx="5756275" cy="3672205"/>
                    </a:xfrm>
                    <a:prstGeom prst="rect">
                      <a:avLst/>
                    </a:prstGeom>
                  </pic:spPr>
                </pic:pic>
              </a:graphicData>
            </a:graphic>
          </wp:inline>
        </w:drawing>
      </w:r>
    </w:p>
    <w:p w14:paraId="3BA24443" w14:textId="77777777" w:rsidR="00443399" w:rsidRPr="00B03B51" w:rsidRDefault="00443399" w:rsidP="00443399">
      <w:pPr>
        <w:jc w:val="both"/>
        <w:rPr>
          <w:rFonts w:ascii="Times New Roman" w:eastAsia="Arial" w:hAnsi="Times New Roman" w:cs="Times New Roman"/>
          <w:b/>
          <w:bCs/>
          <w:noProof/>
          <w:sz w:val="24"/>
          <w:szCs w:val="21"/>
        </w:rPr>
      </w:pPr>
    </w:p>
    <w:p w14:paraId="5B219C99" w14:textId="77777777" w:rsidR="00443399" w:rsidRPr="00B03B51" w:rsidRDefault="00443399" w:rsidP="00443399">
      <w:pPr>
        <w:jc w:val="both"/>
        <w:rPr>
          <w:rFonts w:ascii="Times New Roman" w:hAnsi="Times New Roman" w:cs="Times New Roman"/>
          <w:b/>
          <w:noProof/>
          <w:sz w:val="24"/>
        </w:rPr>
      </w:pPr>
      <w:r w:rsidRPr="00B03B51">
        <w:rPr>
          <w:rFonts w:ascii="Times New Roman" w:hAnsi="Times New Roman" w:cs="Times New Roman"/>
          <w:b/>
          <w:sz w:val="24"/>
        </w:rPr>
        <w:t>3. piemērs. Uzņēmums pārvērš vērtspapīros valdības subsīdijas</w:t>
      </w:r>
    </w:p>
    <w:p w14:paraId="338186C1" w14:textId="77777777" w:rsidR="00443399" w:rsidRPr="00B03B51" w:rsidRDefault="00443399" w:rsidP="00443399">
      <w:pPr>
        <w:pStyle w:val="BodyText"/>
        <w:spacing w:before="0"/>
        <w:ind w:left="0" w:firstLine="0"/>
        <w:jc w:val="both"/>
        <w:rPr>
          <w:rFonts w:ascii="Times New Roman" w:hAnsi="Times New Roman" w:cs="Times New Roman"/>
          <w:noProof/>
          <w:sz w:val="24"/>
        </w:rPr>
      </w:pPr>
    </w:p>
    <w:p w14:paraId="0B1B668B" w14:textId="77777777" w:rsidR="00443399" w:rsidRPr="00B03B51" w:rsidRDefault="00443399" w:rsidP="00443399">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t>Valdības vienība apsola maksāt nākotnē subsīdijas līdz pat 20 naudas vienību apmērā gadā privātam uzņēmumam vairāk nekā 5 gadus, lai tas varētu sniegt sabiedriskā transporta pakalpojumus.</w:t>
      </w:r>
    </w:p>
    <w:p w14:paraId="3539A076" w14:textId="77777777" w:rsidR="00443399" w:rsidRPr="00B03B51" w:rsidRDefault="00443399" w:rsidP="00443399">
      <w:pPr>
        <w:pStyle w:val="BodyText"/>
        <w:spacing w:before="0"/>
        <w:ind w:left="0" w:firstLine="0"/>
        <w:jc w:val="both"/>
        <w:rPr>
          <w:rFonts w:ascii="Times New Roman" w:hAnsi="Times New Roman" w:cs="Times New Roman"/>
          <w:noProof/>
          <w:sz w:val="24"/>
        </w:rPr>
      </w:pPr>
    </w:p>
    <w:p w14:paraId="7ECDB105" w14:textId="77777777" w:rsidR="00443399" w:rsidRPr="00B03B51" w:rsidRDefault="00443399" w:rsidP="00443399">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t>Ar valdības atļauju vienība turpmāku subsīdiju saņemšanai nodibina ĪNDS:</w:t>
      </w:r>
    </w:p>
    <w:p w14:paraId="340D0B12" w14:textId="77777777" w:rsidR="00443399" w:rsidRPr="00B03B51" w:rsidRDefault="00443399" w:rsidP="00443399">
      <w:pPr>
        <w:pStyle w:val="BodyText"/>
        <w:spacing w:before="0"/>
        <w:ind w:left="0" w:firstLine="0"/>
        <w:jc w:val="both"/>
        <w:rPr>
          <w:rFonts w:ascii="Times New Roman" w:hAnsi="Times New Roman" w:cs="Times New Roman"/>
          <w:noProof/>
          <w:sz w:val="24"/>
        </w:rPr>
      </w:pPr>
    </w:p>
    <w:p w14:paraId="736E8DEC" w14:textId="77777777" w:rsidR="00443399" w:rsidRPr="00B03B51" w:rsidRDefault="00443399" w:rsidP="004205D9">
      <w:pPr>
        <w:pStyle w:val="BodyText"/>
        <w:numPr>
          <w:ilvl w:val="0"/>
          <w:numId w:val="56"/>
        </w:numPr>
        <w:spacing w:before="0"/>
        <w:ind w:left="426" w:hanging="425"/>
        <w:jc w:val="both"/>
        <w:rPr>
          <w:rFonts w:ascii="Times New Roman" w:hAnsi="Times New Roman" w:cs="Times New Roman"/>
          <w:noProof/>
          <w:sz w:val="24"/>
        </w:rPr>
      </w:pPr>
      <w:r w:rsidRPr="00B03B51">
        <w:rPr>
          <w:rFonts w:ascii="Times New Roman" w:hAnsi="Times New Roman" w:cs="Times New Roman"/>
          <w:sz w:val="24"/>
        </w:rPr>
        <w:t>ĪNDS emitē obligācijas 60 naudas vienību vērtībā, kuras tā nodod uzņēmumam, lai tas varētu finansēt autobusu autoparka iegādi;</w:t>
      </w:r>
    </w:p>
    <w:p w14:paraId="73479583" w14:textId="77777777" w:rsidR="00443399" w:rsidRPr="00B03B51" w:rsidRDefault="00443399" w:rsidP="004205D9">
      <w:pPr>
        <w:pStyle w:val="BodyText"/>
        <w:numPr>
          <w:ilvl w:val="0"/>
          <w:numId w:val="56"/>
        </w:numPr>
        <w:spacing w:before="0"/>
        <w:ind w:left="426" w:hanging="425"/>
        <w:jc w:val="both"/>
        <w:rPr>
          <w:rFonts w:ascii="Times New Roman" w:hAnsi="Times New Roman" w:cs="Times New Roman"/>
          <w:noProof/>
          <w:sz w:val="24"/>
        </w:rPr>
      </w:pPr>
      <w:r w:rsidRPr="00B03B51">
        <w:rPr>
          <w:rFonts w:ascii="Times New Roman" w:hAnsi="Times New Roman" w:cs="Times New Roman"/>
          <w:sz w:val="24"/>
        </w:rPr>
        <w:t>ĪNDS izmanto subsīdiju ieņēmumus, lai vispirms finansētu savu parādu, un nodod atlikumu uzņēmumam, kas to izmanto autobusu ekspluatācijas finansēšanai.</w:t>
      </w:r>
    </w:p>
    <w:p w14:paraId="1C3FA952" w14:textId="77777777" w:rsidR="00443399" w:rsidRPr="00B03B51" w:rsidRDefault="00443399" w:rsidP="00443399">
      <w:pPr>
        <w:pStyle w:val="BodyText"/>
        <w:spacing w:before="0"/>
        <w:ind w:left="0" w:firstLine="0"/>
        <w:jc w:val="both"/>
        <w:rPr>
          <w:rFonts w:ascii="Times New Roman" w:hAnsi="Times New Roman" w:cs="Times New Roman"/>
          <w:noProof/>
          <w:sz w:val="24"/>
        </w:rPr>
      </w:pPr>
    </w:p>
    <w:p w14:paraId="514F6377" w14:textId="77777777" w:rsidR="00443399" w:rsidRPr="00B03B51" w:rsidRDefault="00443399" w:rsidP="00443399">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t>Daļa no valdības subsīdiju maksājumiem ir beznosacījuma, proti, vismaz 15 naudas vienības katru gadu ir jāsamaksā ĪNDS kontā pat tad, ja uzņēmums nesniedz sabiedriskā transporta pakalpojumus un/vai kļūst maksātnespējīgs. Atlikušie maksājumi ne vairāk kā 5 naudas vienību apmērā gadā ir atkarīgi no pasažieru autotransporta pakalpojumu sniegšanas rezultātiem. Turpmākajā piemērā katru gadu tiek izmaksāta pilna summa.</w:t>
      </w:r>
    </w:p>
    <w:p w14:paraId="6DA79A4E" w14:textId="77777777" w:rsidR="00443399" w:rsidRPr="00B03B51" w:rsidRDefault="00443399" w:rsidP="00443399">
      <w:pPr>
        <w:pStyle w:val="BodyText"/>
        <w:spacing w:before="0"/>
        <w:ind w:left="0" w:firstLine="0"/>
        <w:jc w:val="both"/>
        <w:rPr>
          <w:rFonts w:ascii="Times New Roman" w:hAnsi="Times New Roman" w:cs="Times New Roman"/>
          <w:noProof/>
          <w:sz w:val="24"/>
        </w:rPr>
      </w:pPr>
    </w:p>
    <w:p w14:paraId="51D78684" w14:textId="77777777" w:rsidR="00443399" w:rsidRPr="00B03B51" w:rsidRDefault="00443399" w:rsidP="00443399">
      <w:pPr>
        <w:jc w:val="both"/>
        <w:rPr>
          <w:rFonts w:ascii="Times New Roman" w:hAnsi="Times New Roman" w:cs="Times New Roman"/>
          <w:b/>
          <w:noProof/>
          <w:sz w:val="24"/>
        </w:rPr>
      </w:pPr>
      <w:r w:rsidRPr="00B03B51">
        <w:rPr>
          <w:rFonts w:ascii="Times New Roman" w:hAnsi="Times New Roman" w:cs="Times New Roman"/>
          <w:b/>
          <w:sz w:val="24"/>
        </w:rPr>
        <w:t>Analīze un traktējums nacionālajos kontos</w:t>
      </w:r>
    </w:p>
    <w:p w14:paraId="54504A3F" w14:textId="77777777" w:rsidR="00443399" w:rsidRPr="00B03B51" w:rsidRDefault="00443399" w:rsidP="00443399">
      <w:pPr>
        <w:pStyle w:val="BodyText"/>
        <w:spacing w:before="0"/>
        <w:ind w:left="0" w:firstLine="0"/>
        <w:jc w:val="both"/>
        <w:rPr>
          <w:rFonts w:ascii="Times New Roman" w:hAnsi="Times New Roman" w:cs="Times New Roman"/>
          <w:noProof/>
          <w:sz w:val="24"/>
        </w:rPr>
      </w:pPr>
    </w:p>
    <w:p w14:paraId="273D39FD" w14:textId="77777777" w:rsidR="00443399" w:rsidRPr="00B03B51" w:rsidRDefault="00443399" w:rsidP="00443399">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t>Darījums tiktu klasificēts kā kapitāla pārvedums autotransporta uzņēmumam un kā aizņēmums par tādu pašu summu attiecībā uz minimālajiem garantētajiem maksājumiem 15 naudas vienību apmērā, un kā gada subsīdijas par atlikušajām izmaksātajām summām. Minētās 15 vienības sadala šādi – 12 naudas vienības kapitāla atmaksai un 3 naudas vienības procentu maksājumiem. Vienkāršošanas nolūkā darījumi starp ĪNDS un autotransporta uzņēmumu turpmākajās tabulās nav uzrādīti.</w:t>
      </w:r>
    </w:p>
    <w:p w14:paraId="72E67659" w14:textId="77777777" w:rsidR="00443399" w:rsidRPr="00B03B51" w:rsidRDefault="00443399" w:rsidP="00443399">
      <w:pPr>
        <w:jc w:val="both"/>
        <w:rPr>
          <w:rFonts w:ascii="Times New Roman" w:eastAsia="Arial" w:hAnsi="Times New Roman" w:cs="Times New Roman"/>
          <w:noProof/>
          <w:sz w:val="24"/>
          <w:szCs w:val="20"/>
        </w:rPr>
      </w:pPr>
    </w:p>
    <w:p w14:paraId="0E573390" w14:textId="77777777" w:rsidR="00443399" w:rsidRPr="00B03B51" w:rsidRDefault="00443399" w:rsidP="00443399">
      <w:pPr>
        <w:jc w:val="center"/>
        <w:rPr>
          <w:rFonts w:ascii="Times New Roman" w:eastAsia="Arial" w:hAnsi="Times New Roman" w:cs="Times New Roman"/>
          <w:noProof/>
          <w:sz w:val="24"/>
          <w:szCs w:val="20"/>
        </w:rPr>
      </w:pPr>
      <w:r w:rsidRPr="00B03B51">
        <w:rPr>
          <w:rFonts w:ascii="Times New Roman" w:hAnsi="Times New Roman" w:cs="Times New Roman"/>
          <w:noProof/>
        </w:rPr>
        <w:drawing>
          <wp:inline distT="0" distB="0" distL="0" distR="0" wp14:anchorId="76A81F76" wp14:editId="2ACBF6CB">
            <wp:extent cx="5756275" cy="2207260"/>
            <wp:effectExtent l="0" t="0" r="0" b="2540"/>
            <wp:docPr id="57" name="Attēls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0"/>
                    <a:stretch>
                      <a:fillRect/>
                    </a:stretch>
                  </pic:blipFill>
                  <pic:spPr>
                    <a:xfrm>
                      <a:off x="0" y="0"/>
                      <a:ext cx="5756275" cy="2207260"/>
                    </a:xfrm>
                    <a:prstGeom prst="rect">
                      <a:avLst/>
                    </a:prstGeom>
                  </pic:spPr>
                </pic:pic>
              </a:graphicData>
            </a:graphic>
          </wp:inline>
        </w:drawing>
      </w:r>
    </w:p>
    <w:p w14:paraId="4261DF46" w14:textId="77777777" w:rsidR="00443399" w:rsidRPr="00B03B51" w:rsidRDefault="00443399" w:rsidP="00443399">
      <w:pPr>
        <w:jc w:val="both"/>
        <w:rPr>
          <w:rFonts w:ascii="Times New Roman" w:eastAsia="Arial" w:hAnsi="Times New Roman" w:cs="Times New Roman"/>
          <w:noProof/>
          <w:sz w:val="24"/>
          <w:szCs w:val="20"/>
        </w:rPr>
      </w:pPr>
    </w:p>
    <w:p w14:paraId="3FBF509A" w14:textId="77777777" w:rsidR="00443399" w:rsidRPr="00B03B51" w:rsidRDefault="00443399" w:rsidP="00443399">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t>Regulārs maksājums 20 naudas vienību apmērā: 5 vienības ir subsīdija, 12 vienības ir kapitāla atmaksa un 3 vienības ir procenti par aprēķināto aizdevumu.</w:t>
      </w:r>
    </w:p>
    <w:p w14:paraId="29840B6C" w14:textId="77777777" w:rsidR="00443399" w:rsidRPr="00B03B51" w:rsidRDefault="00443399" w:rsidP="00443399">
      <w:pPr>
        <w:jc w:val="both"/>
        <w:rPr>
          <w:rFonts w:ascii="Times New Roman" w:eastAsia="Arial" w:hAnsi="Times New Roman" w:cs="Times New Roman"/>
          <w:b/>
          <w:bCs/>
          <w:noProof/>
          <w:sz w:val="24"/>
          <w:szCs w:val="14"/>
        </w:rPr>
      </w:pPr>
    </w:p>
    <w:p w14:paraId="49B70227" w14:textId="77777777" w:rsidR="00443399" w:rsidRPr="00B03B51" w:rsidRDefault="00443399" w:rsidP="00443399">
      <w:pPr>
        <w:jc w:val="center"/>
        <w:rPr>
          <w:rFonts w:ascii="Times New Roman" w:eastAsia="Arial" w:hAnsi="Times New Roman" w:cs="Times New Roman"/>
          <w:b/>
          <w:bCs/>
          <w:noProof/>
          <w:sz w:val="24"/>
          <w:szCs w:val="14"/>
        </w:rPr>
      </w:pPr>
      <w:r w:rsidRPr="00B03B51">
        <w:rPr>
          <w:rFonts w:ascii="Times New Roman" w:hAnsi="Times New Roman" w:cs="Times New Roman"/>
          <w:noProof/>
        </w:rPr>
        <w:drawing>
          <wp:inline distT="0" distB="0" distL="0" distR="0" wp14:anchorId="6DC78636" wp14:editId="1A74B5DD">
            <wp:extent cx="5756275" cy="4500245"/>
            <wp:effectExtent l="0" t="0" r="0" b="0"/>
            <wp:docPr id="59" name="Attēls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1"/>
                    <a:stretch>
                      <a:fillRect/>
                    </a:stretch>
                  </pic:blipFill>
                  <pic:spPr>
                    <a:xfrm>
                      <a:off x="0" y="0"/>
                      <a:ext cx="5756275" cy="4500245"/>
                    </a:xfrm>
                    <a:prstGeom prst="rect">
                      <a:avLst/>
                    </a:prstGeom>
                  </pic:spPr>
                </pic:pic>
              </a:graphicData>
            </a:graphic>
          </wp:inline>
        </w:drawing>
      </w:r>
    </w:p>
    <w:p w14:paraId="0CDA7CCB" w14:textId="77777777" w:rsidR="00443399" w:rsidRPr="00B03B51" w:rsidRDefault="00443399" w:rsidP="00443399">
      <w:pPr>
        <w:jc w:val="center"/>
        <w:rPr>
          <w:rFonts w:ascii="Times New Roman" w:eastAsia="Arial" w:hAnsi="Times New Roman" w:cs="Times New Roman"/>
          <w:b/>
          <w:bCs/>
          <w:noProof/>
          <w:sz w:val="24"/>
          <w:szCs w:val="14"/>
        </w:rPr>
      </w:pPr>
      <w:r w:rsidRPr="00B03B51">
        <w:rPr>
          <w:rFonts w:ascii="Times New Roman" w:hAnsi="Times New Roman" w:cs="Times New Roman"/>
          <w:noProof/>
        </w:rPr>
        <w:lastRenderedPageBreak/>
        <w:drawing>
          <wp:inline distT="0" distB="0" distL="0" distR="0" wp14:anchorId="0A7196A9" wp14:editId="42AD8DC9">
            <wp:extent cx="5756275" cy="3341370"/>
            <wp:effectExtent l="0" t="0" r="0" b="0"/>
            <wp:docPr id="60" name="Attēls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2"/>
                    <a:stretch>
                      <a:fillRect/>
                    </a:stretch>
                  </pic:blipFill>
                  <pic:spPr>
                    <a:xfrm>
                      <a:off x="0" y="0"/>
                      <a:ext cx="5756275" cy="3341370"/>
                    </a:xfrm>
                    <a:prstGeom prst="rect">
                      <a:avLst/>
                    </a:prstGeom>
                  </pic:spPr>
                </pic:pic>
              </a:graphicData>
            </a:graphic>
          </wp:inline>
        </w:drawing>
      </w:r>
    </w:p>
    <w:p w14:paraId="34F23D6E" w14:textId="77777777" w:rsidR="00443399" w:rsidRPr="00B03B51" w:rsidRDefault="00443399" w:rsidP="00443399">
      <w:pPr>
        <w:jc w:val="both"/>
        <w:rPr>
          <w:rFonts w:ascii="Times New Roman" w:eastAsia="Arial" w:hAnsi="Times New Roman" w:cs="Times New Roman"/>
          <w:b/>
          <w:bCs/>
          <w:noProof/>
          <w:sz w:val="24"/>
          <w:szCs w:val="14"/>
        </w:rPr>
      </w:pPr>
    </w:p>
    <w:p w14:paraId="4C2B7BF4" w14:textId="77777777" w:rsidR="00443399" w:rsidRPr="00B03B51" w:rsidRDefault="00443399" w:rsidP="00443399">
      <w:pPr>
        <w:jc w:val="both"/>
        <w:rPr>
          <w:rFonts w:ascii="Times New Roman" w:hAnsi="Times New Roman" w:cs="Times New Roman"/>
          <w:b/>
          <w:noProof/>
          <w:sz w:val="24"/>
        </w:rPr>
      </w:pPr>
      <w:r w:rsidRPr="00B03B51">
        <w:rPr>
          <w:rFonts w:ascii="Times New Roman" w:hAnsi="Times New Roman" w:cs="Times New Roman"/>
          <w:b/>
          <w:sz w:val="24"/>
        </w:rPr>
        <w:t>4. piemērs. Ēka pārdota, garantijas maksājumi pēc pārdošanas</w:t>
      </w:r>
    </w:p>
    <w:p w14:paraId="3B3F150F" w14:textId="77777777" w:rsidR="00443399" w:rsidRPr="00B03B51" w:rsidRDefault="00443399" w:rsidP="00443399">
      <w:pPr>
        <w:pStyle w:val="BodyText"/>
        <w:spacing w:before="0"/>
        <w:ind w:left="0" w:firstLine="0"/>
        <w:jc w:val="both"/>
        <w:rPr>
          <w:rFonts w:ascii="Times New Roman" w:hAnsi="Times New Roman" w:cs="Times New Roman"/>
          <w:noProof/>
          <w:sz w:val="24"/>
        </w:rPr>
      </w:pPr>
    </w:p>
    <w:p w14:paraId="7E17BCFB" w14:textId="77777777" w:rsidR="00443399" w:rsidRPr="00B03B51" w:rsidRDefault="00443399" w:rsidP="00443399">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t>Pirmajā gadā valdība pārdod ĪNDS par 100 naudas vienībām biroju ēku, kuras tirgus vērtība ir 100 naudas vienības. ĪNDS emitē obligācijas 100 naudas vienību vērtībā.</w:t>
      </w:r>
    </w:p>
    <w:p w14:paraId="6FB9F5E5" w14:textId="77777777" w:rsidR="00443399" w:rsidRPr="00B03B51" w:rsidRDefault="00443399" w:rsidP="00443399">
      <w:pPr>
        <w:pStyle w:val="BodyText"/>
        <w:spacing w:before="0"/>
        <w:ind w:left="0" w:firstLine="0"/>
        <w:jc w:val="both"/>
        <w:rPr>
          <w:rFonts w:ascii="Times New Roman" w:hAnsi="Times New Roman" w:cs="Times New Roman"/>
          <w:noProof/>
          <w:sz w:val="24"/>
        </w:rPr>
      </w:pPr>
    </w:p>
    <w:p w14:paraId="4C1B5730" w14:textId="77777777" w:rsidR="00443399" w:rsidRPr="00B03B51" w:rsidRDefault="00443399" w:rsidP="00443399">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t>Otrajā gadā strauji krītas pieprasījums pēc biroju platībām un nomas maksa nav pietiekama, lai apkalpotu obligācijas. Ēkas tirgus vērtība samazinās līdz 80 naudas vienībām. Valdībai rodas bažas par īpašuma darījumus finansējošo finanšu iestāžu sabrukumu, tāpēc tā samaksā procentus 5 naudas vienību apmērā par ĪNDS obligācijām, lai gan līgumā šāds pienākums nav paredzēts.</w:t>
      </w:r>
    </w:p>
    <w:p w14:paraId="4FECB629" w14:textId="77777777" w:rsidR="00443399" w:rsidRPr="00B03B51" w:rsidRDefault="00443399" w:rsidP="00443399">
      <w:pPr>
        <w:pStyle w:val="BodyText"/>
        <w:spacing w:before="0"/>
        <w:ind w:left="0" w:firstLine="0"/>
        <w:jc w:val="both"/>
        <w:rPr>
          <w:rFonts w:ascii="Times New Roman" w:hAnsi="Times New Roman" w:cs="Times New Roman"/>
          <w:noProof/>
          <w:sz w:val="24"/>
        </w:rPr>
      </w:pPr>
    </w:p>
    <w:p w14:paraId="4715280C" w14:textId="77777777" w:rsidR="00443399" w:rsidRPr="00B03B51" w:rsidRDefault="00443399" w:rsidP="00443399">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t>Vienkāršošanas nolūkā nav ņemti vērā ieņēmumi no ēkas nomas maksas un procentu maksājumi par obligācijām.</w:t>
      </w:r>
    </w:p>
    <w:p w14:paraId="11AE3672" w14:textId="77777777" w:rsidR="00443399" w:rsidRPr="00B03B51" w:rsidRDefault="00443399" w:rsidP="00443399">
      <w:pPr>
        <w:jc w:val="both"/>
        <w:rPr>
          <w:rFonts w:ascii="Times New Roman" w:hAnsi="Times New Roman" w:cs="Times New Roman"/>
          <w:b/>
          <w:noProof/>
          <w:sz w:val="24"/>
        </w:rPr>
      </w:pPr>
    </w:p>
    <w:p w14:paraId="636B5DF9" w14:textId="77777777" w:rsidR="00443399" w:rsidRPr="00B03B51" w:rsidRDefault="00443399" w:rsidP="00443399">
      <w:pPr>
        <w:jc w:val="both"/>
        <w:rPr>
          <w:rFonts w:ascii="Times New Roman" w:hAnsi="Times New Roman" w:cs="Times New Roman"/>
          <w:b/>
          <w:noProof/>
          <w:sz w:val="24"/>
        </w:rPr>
      </w:pPr>
      <w:r w:rsidRPr="00B03B51">
        <w:rPr>
          <w:rFonts w:ascii="Times New Roman" w:hAnsi="Times New Roman" w:cs="Times New Roman"/>
          <w:b/>
          <w:sz w:val="24"/>
        </w:rPr>
        <w:t>Analīze un traktējums nacionālajos kontos</w:t>
      </w:r>
    </w:p>
    <w:p w14:paraId="2900F9E4" w14:textId="77777777" w:rsidR="00443399" w:rsidRPr="00B03B51" w:rsidRDefault="00443399" w:rsidP="00443399">
      <w:pPr>
        <w:pStyle w:val="BodyText"/>
        <w:spacing w:before="0"/>
        <w:ind w:left="0" w:firstLine="0"/>
        <w:jc w:val="both"/>
        <w:rPr>
          <w:rFonts w:ascii="Times New Roman" w:hAnsi="Times New Roman" w:cs="Times New Roman"/>
          <w:noProof/>
          <w:sz w:val="24"/>
        </w:rPr>
      </w:pPr>
    </w:p>
    <w:p w14:paraId="257F70E7" w14:textId="77777777" w:rsidR="00443399" w:rsidRPr="00B03B51" w:rsidRDefault="00443399" w:rsidP="00443399">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i/>
          <w:iCs/>
          <w:sz w:val="24"/>
        </w:rPr>
        <w:t>Ex post</w:t>
      </w:r>
      <w:r w:rsidRPr="00B03B51">
        <w:rPr>
          <w:rFonts w:ascii="Times New Roman" w:hAnsi="Times New Roman" w:cs="Times New Roman"/>
          <w:sz w:val="24"/>
        </w:rPr>
        <w:t xml:space="preserve"> garantijas aktivēšana liecina par to, ka ĪNDS parādam būtu jābūt attiecinātam uz valdību, un nebūtu uzskatāms, ka valdība ir pārdevusi ēku ĪNDS.</w:t>
      </w:r>
    </w:p>
    <w:p w14:paraId="251B15ED" w14:textId="77777777" w:rsidR="00443399" w:rsidRPr="00B03B51" w:rsidRDefault="00443399" w:rsidP="00443399">
      <w:pPr>
        <w:pStyle w:val="BodyText"/>
        <w:spacing w:before="0"/>
        <w:ind w:left="0" w:firstLine="0"/>
        <w:jc w:val="both"/>
        <w:rPr>
          <w:rFonts w:ascii="Times New Roman" w:hAnsi="Times New Roman" w:cs="Times New Roman"/>
          <w:noProof/>
          <w:sz w:val="24"/>
        </w:rPr>
      </w:pPr>
    </w:p>
    <w:p w14:paraId="1B24EDEE" w14:textId="77777777" w:rsidR="00443399" w:rsidRPr="00B03B51" w:rsidRDefault="00443399" w:rsidP="00443399">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t>Tādējādi visu ĪNDS nenomaksāto parādu un saistīto ēku 2. gadā pārceļ uz valdības bilanci līdz ar kapitāla pārvedumiem 5 un 20 naudas vienību apmērā, lai attiecīgi atspoguļotu valdības samaksātos procentus un starpību starp ĪNDS parāda un ēkas vērtību.</w:t>
      </w:r>
    </w:p>
    <w:p w14:paraId="72C88C37" w14:textId="77777777" w:rsidR="00443399" w:rsidRPr="00B03B51" w:rsidRDefault="00443399" w:rsidP="00443399">
      <w:pPr>
        <w:rPr>
          <w:rFonts w:ascii="Times New Roman" w:eastAsia="Arial" w:hAnsi="Times New Roman" w:cs="Times New Roman"/>
          <w:noProof/>
          <w:sz w:val="24"/>
          <w:szCs w:val="20"/>
        </w:rPr>
      </w:pPr>
    </w:p>
    <w:p w14:paraId="12B80222" w14:textId="77777777" w:rsidR="00443399" w:rsidRPr="00B03B51" w:rsidRDefault="00443399" w:rsidP="00443399">
      <w:pPr>
        <w:jc w:val="center"/>
        <w:rPr>
          <w:rFonts w:ascii="Times New Roman" w:eastAsia="Arial" w:hAnsi="Times New Roman" w:cs="Times New Roman"/>
          <w:noProof/>
          <w:sz w:val="24"/>
          <w:szCs w:val="20"/>
        </w:rPr>
      </w:pPr>
      <w:r w:rsidRPr="00B03B51">
        <w:rPr>
          <w:rFonts w:ascii="Times New Roman" w:hAnsi="Times New Roman" w:cs="Times New Roman"/>
          <w:noProof/>
        </w:rPr>
        <w:lastRenderedPageBreak/>
        <w:drawing>
          <wp:inline distT="0" distB="0" distL="0" distR="0" wp14:anchorId="1725414C" wp14:editId="0B46BBF5">
            <wp:extent cx="5756275" cy="2211070"/>
            <wp:effectExtent l="0" t="0" r="0" b="0"/>
            <wp:docPr id="61" name="Attēls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3"/>
                    <a:stretch>
                      <a:fillRect/>
                    </a:stretch>
                  </pic:blipFill>
                  <pic:spPr>
                    <a:xfrm>
                      <a:off x="0" y="0"/>
                      <a:ext cx="5756275" cy="2211070"/>
                    </a:xfrm>
                    <a:prstGeom prst="rect">
                      <a:avLst/>
                    </a:prstGeom>
                  </pic:spPr>
                </pic:pic>
              </a:graphicData>
            </a:graphic>
          </wp:inline>
        </w:drawing>
      </w:r>
    </w:p>
    <w:p w14:paraId="38369869" w14:textId="77777777" w:rsidR="00443399" w:rsidRPr="00B03B51" w:rsidRDefault="00443399" w:rsidP="00443399">
      <w:pPr>
        <w:jc w:val="center"/>
        <w:rPr>
          <w:rFonts w:ascii="Times New Roman" w:eastAsia="Arial" w:hAnsi="Times New Roman" w:cs="Times New Roman"/>
          <w:noProof/>
          <w:sz w:val="24"/>
          <w:szCs w:val="20"/>
        </w:rPr>
      </w:pPr>
      <w:r w:rsidRPr="00B03B51">
        <w:rPr>
          <w:rFonts w:ascii="Times New Roman" w:hAnsi="Times New Roman" w:cs="Times New Roman"/>
          <w:noProof/>
        </w:rPr>
        <w:drawing>
          <wp:inline distT="0" distB="0" distL="0" distR="0" wp14:anchorId="33A55416" wp14:editId="68979EAA">
            <wp:extent cx="5756275" cy="4795520"/>
            <wp:effectExtent l="0" t="0" r="0" b="5080"/>
            <wp:docPr id="126" name="Attēls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4"/>
                    <a:srcRect t="1564" b="1"/>
                    <a:stretch/>
                  </pic:blipFill>
                  <pic:spPr bwMode="auto">
                    <a:xfrm>
                      <a:off x="0" y="0"/>
                      <a:ext cx="5756275" cy="4795520"/>
                    </a:xfrm>
                    <a:prstGeom prst="rect">
                      <a:avLst/>
                    </a:prstGeom>
                    <a:ln>
                      <a:noFill/>
                    </a:ln>
                    <a:extLst>
                      <a:ext uri="{53640926-AAD7-44D8-BBD7-CCE9431645EC}">
                        <a14:shadowObscured xmlns:a14="http://schemas.microsoft.com/office/drawing/2010/main"/>
                      </a:ext>
                    </a:extLst>
                  </pic:spPr>
                </pic:pic>
              </a:graphicData>
            </a:graphic>
          </wp:inline>
        </w:drawing>
      </w:r>
    </w:p>
    <w:p w14:paraId="2181C79E" w14:textId="77777777" w:rsidR="00443399" w:rsidRPr="00B03B51" w:rsidRDefault="00443399" w:rsidP="00443399">
      <w:pPr>
        <w:jc w:val="both"/>
        <w:rPr>
          <w:rFonts w:ascii="Times New Roman" w:eastAsia="Arial" w:hAnsi="Times New Roman" w:cs="Times New Roman"/>
          <w:b/>
          <w:bCs/>
          <w:noProof/>
          <w:sz w:val="24"/>
          <w:szCs w:val="20"/>
        </w:rPr>
      </w:pPr>
    </w:p>
    <w:p w14:paraId="0AD3B937" w14:textId="77777777" w:rsidR="00443399" w:rsidRPr="00B03B51" w:rsidRDefault="00443399" w:rsidP="00443399">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t>D.9: naudas kompensācija 5 naudas vienību apmērā; 20 naudas vienības ir aprēķinātas par starpību starp ēkas un neatmaksātā obligācijas parāda vērtību.</w:t>
      </w:r>
    </w:p>
    <w:p w14:paraId="77752B06" w14:textId="77777777" w:rsidR="00443399" w:rsidRPr="00B03B51" w:rsidRDefault="00443399" w:rsidP="00443399">
      <w:pPr>
        <w:jc w:val="both"/>
        <w:rPr>
          <w:rFonts w:ascii="Times New Roman" w:eastAsia="Arial" w:hAnsi="Times New Roman" w:cs="Times New Roman"/>
          <w:noProof/>
          <w:sz w:val="24"/>
          <w:szCs w:val="24"/>
        </w:rPr>
      </w:pPr>
    </w:p>
    <w:p w14:paraId="65008049" w14:textId="77777777" w:rsidR="00443399" w:rsidRPr="00B03B51" w:rsidRDefault="00443399" w:rsidP="00443399">
      <w:pPr>
        <w:jc w:val="center"/>
        <w:rPr>
          <w:rFonts w:ascii="Times New Roman" w:eastAsia="Arial" w:hAnsi="Times New Roman" w:cs="Times New Roman"/>
          <w:noProof/>
          <w:sz w:val="24"/>
          <w:szCs w:val="24"/>
        </w:rPr>
      </w:pPr>
      <w:r w:rsidRPr="00B03B51">
        <w:rPr>
          <w:rFonts w:ascii="Times New Roman" w:hAnsi="Times New Roman" w:cs="Times New Roman"/>
          <w:noProof/>
        </w:rPr>
        <w:lastRenderedPageBreak/>
        <w:drawing>
          <wp:inline distT="0" distB="0" distL="0" distR="0" wp14:anchorId="1BAED553" wp14:editId="1D3A8468">
            <wp:extent cx="5756275" cy="2847975"/>
            <wp:effectExtent l="0" t="0" r="0" b="9525"/>
            <wp:docPr id="127" name="Attēls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5"/>
                    <a:stretch>
                      <a:fillRect/>
                    </a:stretch>
                  </pic:blipFill>
                  <pic:spPr>
                    <a:xfrm>
                      <a:off x="0" y="0"/>
                      <a:ext cx="5756275" cy="2847975"/>
                    </a:xfrm>
                    <a:prstGeom prst="rect">
                      <a:avLst/>
                    </a:prstGeom>
                  </pic:spPr>
                </pic:pic>
              </a:graphicData>
            </a:graphic>
          </wp:inline>
        </w:drawing>
      </w:r>
    </w:p>
    <w:p w14:paraId="5F465B24" w14:textId="77777777" w:rsidR="00443399" w:rsidRPr="00B03B51" w:rsidRDefault="00443399" w:rsidP="00443399">
      <w:pPr>
        <w:jc w:val="both"/>
        <w:rPr>
          <w:rFonts w:ascii="Times New Roman" w:eastAsia="Arial" w:hAnsi="Times New Roman" w:cs="Times New Roman"/>
          <w:noProof/>
          <w:sz w:val="24"/>
          <w:szCs w:val="25"/>
        </w:rPr>
      </w:pPr>
    </w:p>
    <w:p w14:paraId="29236020" w14:textId="77777777" w:rsidR="00443399" w:rsidRPr="00B03B51" w:rsidRDefault="00443399" w:rsidP="00443399">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t>ĪNDS skaidru naudu izmanto, lai samaksātu procentus par obligācijām.</w:t>
      </w:r>
    </w:p>
    <w:p w14:paraId="4D2B829E" w14:textId="77777777" w:rsidR="00443399" w:rsidRPr="00B03B51" w:rsidRDefault="00443399" w:rsidP="00443399">
      <w:pPr>
        <w:rPr>
          <w:rFonts w:ascii="Times New Roman" w:hAnsi="Times New Roman" w:cs="Times New Roman"/>
          <w:noProof/>
          <w:sz w:val="24"/>
        </w:rPr>
      </w:pPr>
      <w:r w:rsidRPr="00B03B51">
        <w:rPr>
          <w:rFonts w:ascii="Times New Roman" w:hAnsi="Times New Roman" w:cs="Times New Roman"/>
        </w:rPr>
        <w:br w:type="page"/>
      </w:r>
    </w:p>
    <w:p w14:paraId="193EBCD2" w14:textId="77777777" w:rsidR="00443399" w:rsidRPr="00B03B51" w:rsidRDefault="00443399" w:rsidP="00443399">
      <w:pPr>
        <w:jc w:val="both"/>
        <w:rPr>
          <w:rFonts w:ascii="Times New Roman" w:eastAsia="Arial" w:hAnsi="Times New Roman" w:cs="Times New Roman"/>
          <w:noProof/>
          <w:sz w:val="24"/>
          <w:szCs w:val="29"/>
        </w:rPr>
      </w:pPr>
    </w:p>
    <w:p w14:paraId="16DE7A77" w14:textId="77777777" w:rsidR="00443399" w:rsidRPr="00B03B51" w:rsidRDefault="00443399" w:rsidP="00443399">
      <w:pPr>
        <w:pStyle w:val="Heading2"/>
        <w:tabs>
          <w:tab w:val="left" w:pos="1135"/>
        </w:tabs>
        <w:spacing w:before="0"/>
        <w:ind w:left="0" w:firstLine="0"/>
        <w:jc w:val="both"/>
        <w:rPr>
          <w:rFonts w:ascii="Times New Roman" w:hAnsi="Times New Roman" w:cs="Times New Roman"/>
          <w:noProof/>
          <w:sz w:val="24"/>
        </w:rPr>
      </w:pPr>
      <w:bookmarkStart w:id="460" w:name="5.6_Low_interest_rate_loans_and_sale_of_"/>
      <w:bookmarkStart w:id="461" w:name="_bookmark45"/>
      <w:bookmarkStart w:id="462" w:name="_Toc67565166"/>
      <w:bookmarkEnd w:id="460"/>
      <w:bookmarkEnd w:id="461"/>
      <w:r w:rsidRPr="00B03B51">
        <w:rPr>
          <w:rFonts w:ascii="Times New Roman" w:hAnsi="Times New Roman" w:cs="Times New Roman"/>
          <w:sz w:val="28"/>
          <w:szCs w:val="44"/>
        </w:rPr>
        <w:t xml:space="preserve">5.6. </w:t>
      </w:r>
      <w:r w:rsidRPr="00B03B51">
        <w:rPr>
          <w:rFonts w:ascii="Times New Roman" w:hAnsi="Times New Roman" w:cs="Times New Roman"/>
          <w:sz w:val="28"/>
          <w:szCs w:val="28"/>
        </w:rPr>
        <w:t>Zemas procentu likmes aizdevumi un valdības zemas procentu likmes aizdevumu pārdošana trešām personām</w:t>
      </w:r>
      <w:bookmarkEnd w:id="462"/>
    </w:p>
    <w:p w14:paraId="700CE737" w14:textId="77777777" w:rsidR="00443399" w:rsidRPr="00100B51" w:rsidRDefault="00443399" w:rsidP="00100B51">
      <w:pPr>
        <w:rPr>
          <w:rFonts w:ascii="Times New Roman" w:hAnsi="Times New Roman" w:cs="Times New Roman"/>
          <w:noProof/>
          <w:sz w:val="24"/>
          <w:szCs w:val="24"/>
        </w:rPr>
      </w:pPr>
      <w:bookmarkStart w:id="463" w:name="5.6.1_Background"/>
      <w:bookmarkEnd w:id="463"/>
    </w:p>
    <w:p w14:paraId="3A0F2DD4" w14:textId="77777777" w:rsidR="00443399" w:rsidRPr="00B03B51" w:rsidRDefault="00443399" w:rsidP="00443399">
      <w:pPr>
        <w:pStyle w:val="Heading3"/>
        <w:tabs>
          <w:tab w:val="left" w:pos="1267"/>
        </w:tabs>
        <w:ind w:left="0" w:firstLine="0"/>
        <w:jc w:val="both"/>
        <w:rPr>
          <w:rFonts w:ascii="Times New Roman" w:hAnsi="Times New Roman" w:cs="Times New Roman"/>
          <w:noProof/>
          <w:sz w:val="24"/>
        </w:rPr>
      </w:pPr>
      <w:bookmarkStart w:id="464" w:name="_Toc67565167"/>
      <w:r w:rsidRPr="00B03B51">
        <w:rPr>
          <w:rFonts w:ascii="Times New Roman" w:hAnsi="Times New Roman" w:cs="Times New Roman"/>
          <w:sz w:val="24"/>
        </w:rPr>
        <w:t>5.6.1. Vispārīga informācija</w:t>
      </w:r>
      <w:bookmarkEnd w:id="464"/>
    </w:p>
    <w:p w14:paraId="735DF9CD"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77451ADD"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 Kā vienu no valsts politikas pasākumiem valdība īsteno aizdevumu piešķiršanu ar procentu likmēm, kuras zemākas par tirgus likmēm, kas novērotas aizdevuma piešķiršanas laikā (šādus aizdevumus dažkārt dēvē par “koncesionālajiem aizdevumiem”).</w:t>
      </w:r>
    </w:p>
    <w:p w14:paraId="312497FB" w14:textId="77777777" w:rsidR="00443399" w:rsidRPr="00B03B51" w:rsidRDefault="00443399" w:rsidP="00443399">
      <w:pPr>
        <w:jc w:val="both"/>
        <w:rPr>
          <w:rFonts w:ascii="Times New Roman" w:eastAsia="Arial" w:hAnsi="Times New Roman" w:cs="Times New Roman"/>
          <w:noProof/>
          <w:sz w:val="24"/>
          <w:szCs w:val="19"/>
        </w:rPr>
      </w:pPr>
    </w:p>
    <w:p w14:paraId="63E75039" w14:textId="77777777" w:rsidR="00443399" w:rsidRPr="00B03B51" w:rsidRDefault="00443399" w:rsidP="00443399">
      <w:pPr>
        <w:pStyle w:val="Heading3"/>
        <w:tabs>
          <w:tab w:val="left" w:pos="1267"/>
        </w:tabs>
        <w:ind w:left="0" w:firstLine="0"/>
        <w:jc w:val="both"/>
        <w:rPr>
          <w:rFonts w:ascii="Times New Roman" w:hAnsi="Times New Roman" w:cs="Times New Roman"/>
          <w:noProof/>
          <w:sz w:val="24"/>
        </w:rPr>
      </w:pPr>
      <w:bookmarkStart w:id="465" w:name="5.6.2_Recording_of_low_interest_rate_loa"/>
      <w:bookmarkStart w:id="466" w:name="_Toc67565168"/>
      <w:bookmarkEnd w:id="465"/>
      <w:r w:rsidRPr="00B03B51">
        <w:rPr>
          <w:rFonts w:ascii="Times New Roman" w:hAnsi="Times New Roman" w:cs="Times New Roman"/>
          <w:sz w:val="24"/>
        </w:rPr>
        <w:t>5.6.2. Zemas procentu likmes aizdevumu ierakstīšana sākumā</w:t>
      </w:r>
      <w:bookmarkEnd w:id="466"/>
    </w:p>
    <w:p w14:paraId="3BFD84F5"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07E27436"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2. Zemas procentu likmes aizdevumu piešķiršana ir īpašs valsts politikas pasākums, ko īsteno valdība un no kā bieži vien izriet darījumi, kas netiek veikti tirgus apstākļos. Tie ir aizdevumi, ko valdība tieši izsniedz studentiem ar zemu procentu likmi, nekustamā īpašuma aizdevumi, ko sniedz mājsaimniecībām īpašos apstākļos, aizdevumi jaunizveidotiem uzņēmumiem u. c.</w:t>
      </w:r>
    </w:p>
    <w:p w14:paraId="159100DB"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76DA7EBD"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3. Kad valdība piešķir aizdevumu mājsaimniecībām vai uzņēmumiem ar procentu likmi, kas zemāka par tirgus likmi, lai atbalstītu to darbības, šāda operācija sniedz labumu debitoram. Labums atbilst starpībai starp līgumā noteikto procentu likmi un tirgus procentu likmi, kas būtu jāsamaksā debitoram, ja aizdevums tiktu piešķirts atbilstīgi tirgus procentu likmei.</w:t>
      </w:r>
    </w:p>
    <w:p w14:paraId="373D06CE"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3B3AE746"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4. EKS 2010 noteikumos nav noteikts, ka nacionālajos kontos jāieraksta minētais netiešā labuma elements, t. i., starpība starp līgumā noteikto procentu likmi un tirgus procentu likmi, lai atspoguļotu visus darījumus, ko valdība veic, atsaucoties uz tirgus apstākļiem. Kā noteikts EKS 2010, procentu summa, kas ierakstīta, pamatojoties uz uzkrāšanas principu, atbilst līgumā noteiktajai procentu likmei, par kuru vienošanās starp kreditoru un debitoru tika panākta jau sākumā.</w:t>
      </w:r>
    </w:p>
    <w:p w14:paraId="5DC74B7C"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41A7B2D5"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5. Jāņem vērā, ka ietekme uz neto aizdevumu/aizņēmumu (B.9) nacionālajos kontos jau ir netieši atspoguļota kā starpība starp valdības finansējuma izmaksām un zemu procentu ieņēmumiem, ko valdība saņēmusi no aizdevumiem, kas piešķirti, īstenojot valsts politiku.</w:t>
      </w:r>
    </w:p>
    <w:p w14:paraId="5984669A"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4760F7E3"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6. Šajā saistībā procenti jāieraksta, pamatojoties uz līgumā noteikto procentu likmi. Attiecīgi nacionālajos kontos neieraksta netiešu debitora labumu.</w:t>
      </w:r>
    </w:p>
    <w:p w14:paraId="6E12A66A" w14:textId="77777777" w:rsidR="00443399" w:rsidRPr="00B03B51" w:rsidRDefault="00443399" w:rsidP="00443399">
      <w:pPr>
        <w:jc w:val="both"/>
        <w:rPr>
          <w:rFonts w:ascii="Times New Roman" w:eastAsia="Arial" w:hAnsi="Times New Roman" w:cs="Times New Roman"/>
          <w:noProof/>
          <w:sz w:val="24"/>
          <w:szCs w:val="19"/>
        </w:rPr>
      </w:pPr>
    </w:p>
    <w:p w14:paraId="5C872060" w14:textId="77777777" w:rsidR="00443399" w:rsidRPr="00B03B51" w:rsidRDefault="00443399" w:rsidP="00443399">
      <w:pPr>
        <w:pStyle w:val="Heading3"/>
        <w:tabs>
          <w:tab w:val="left" w:pos="1267"/>
        </w:tabs>
        <w:ind w:left="0" w:firstLine="0"/>
        <w:jc w:val="both"/>
        <w:rPr>
          <w:rFonts w:ascii="Times New Roman" w:hAnsi="Times New Roman" w:cs="Times New Roman"/>
          <w:noProof/>
          <w:sz w:val="24"/>
        </w:rPr>
      </w:pPr>
      <w:bookmarkStart w:id="467" w:name="5.6.3_Recording_of_sales_of_low_interest"/>
      <w:bookmarkStart w:id="468" w:name="_Toc67565169"/>
      <w:bookmarkEnd w:id="467"/>
      <w:r w:rsidRPr="00B03B51">
        <w:rPr>
          <w:rFonts w:ascii="Times New Roman" w:hAnsi="Times New Roman" w:cs="Times New Roman"/>
          <w:sz w:val="24"/>
        </w:rPr>
        <w:t>5.6.3. Zemas procentu likmes aizdevumu pārdošanas ierakstīšana</w:t>
      </w:r>
      <w:bookmarkEnd w:id="468"/>
    </w:p>
    <w:p w14:paraId="46F1E40F"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48C6DD7A"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7. Šis ir jautājums par gadījumiem, kad ieņēmumus nesoši aizdevumi, ko valdība piešķīrusi, īstenojot valsts politiku, tiek pārdoti trešai pusei ar atlaidi (t. i., par cenu, kas zemāka par to nominālvērtību). Šāda operācija ir saistīta ar likviditātes pārvaldību (pārfinansēšanas vajadzība), un tā nav daļa no valsts politikas, jo sākotnējais saņēmējs tajā nav iesaistīts. Aizdevuma pārdošanas laikā atlaide atspoguļo atšķirību starp pastāvošo tirgus procentu likmi (ko kredīta pircējs būtu varējis piemērot savās aizdošanas operācijās) un zemo procentu likmi, par ko līgumā vienojies debitors un sākotnējais kreditors laikā, kad aizdevumi piešķirti. No šā viedokļa raugoties, ciktāl tas skar pārvērtēšanas ietekmes ierakstīšanu, tādu aizdevumu pārdošanu, kurus valdība, īstenojot valsts politikas mērķus, nav piešķīrusi atbilstīgi tirgus apstākļiem, traktē līdzīgi aizdevumiem, kurus piešķīruši finanšu starpnieki, īstenojot komerciālus mērķus, atbilstīgi tirgū piemērotajām likmēm un kuri pārdoti tālāk, pamatojoties uz atšķirīgām tirgus likmēm.</w:t>
      </w:r>
    </w:p>
    <w:p w14:paraId="102B7CD8" w14:textId="77777777" w:rsidR="00443399" w:rsidRPr="00B03B51" w:rsidRDefault="00443399" w:rsidP="00443399">
      <w:pPr>
        <w:tabs>
          <w:tab w:val="left" w:pos="843"/>
        </w:tabs>
        <w:jc w:val="both"/>
        <w:rPr>
          <w:rFonts w:ascii="Times New Roman" w:eastAsia="Arial" w:hAnsi="Times New Roman" w:cs="Times New Roman"/>
          <w:noProof/>
          <w:sz w:val="24"/>
          <w:szCs w:val="19"/>
        </w:rPr>
      </w:pPr>
    </w:p>
    <w:p w14:paraId="6F61370B" w14:textId="77777777" w:rsidR="00443399" w:rsidRPr="00B03B51" w:rsidRDefault="00443399" w:rsidP="00443399">
      <w:pPr>
        <w:tabs>
          <w:tab w:val="left" w:pos="843"/>
        </w:tabs>
        <w:jc w:val="both"/>
        <w:rPr>
          <w:rFonts w:ascii="Times New Roman" w:eastAsia="Arial" w:hAnsi="Times New Roman" w:cs="Times New Roman"/>
          <w:noProof/>
          <w:sz w:val="24"/>
          <w:szCs w:val="19"/>
        </w:rPr>
      </w:pPr>
      <w:r w:rsidRPr="00B03B51">
        <w:rPr>
          <w:rFonts w:ascii="Times New Roman" w:hAnsi="Times New Roman" w:cs="Times New Roman"/>
          <w:sz w:val="24"/>
          <w:szCs w:val="19"/>
        </w:rPr>
        <w:t xml:space="preserve">8. EKS 2010 6.58. punktā noteikts, ka: </w:t>
      </w:r>
      <w:r w:rsidRPr="00B03B51">
        <w:rPr>
          <w:rFonts w:ascii="Times New Roman" w:hAnsi="Times New Roman" w:cs="Times New Roman"/>
          <w:i/>
          <w:iCs/>
          <w:sz w:val="24"/>
          <w:szCs w:val="19"/>
        </w:rPr>
        <w:t>.. kad esošo aizdevumu pārdod citai institucionālajai vienībai, aizdevuma norakstīšanu, kas ir starpība starp izpirkšanas cenu un darījuma cenu darījuma veikšanas laikā, ieraksta pārdevēja un pircēja attiecīgajā pārvērtēšanas kontā</w:t>
      </w:r>
      <w:r w:rsidRPr="00B03B51">
        <w:rPr>
          <w:rFonts w:ascii="Times New Roman" w:hAnsi="Times New Roman" w:cs="Times New Roman"/>
          <w:sz w:val="24"/>
          <w:szCs w:val="19"/>
        </w:rPr>
        <w:t>.</w:t>
      </w:r>
    </w:p>
    <w:p w14:paraId="7F899342"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5BE34B54"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9. Gadījumā, ja zemas procentu likmes aizdevumi tiek pārdoti trešai pusei par cenu, kas zemāka par aizdevuma nominālvērtību, atlaide, kas atbilst starpībai starp nominālvērtību un pārdošanas cenu, jāieraksta kā pārvērtējums. Tas attiecas tikai uz to aizdevumu pārdošanu, attiecībā uz kuriem netiek piemērota grafika pārskatīšana vai citas izmaiņas parādnieka līgumsaistībās.</w:t>
      </w:r>
    </w:p>
    <w:p w14:paraId="2F65F07F" w14:textId="77777777" w:rsidR="004205D9" w:rsidRPr="00B03B51" w:rsidRDefault="004205D9">
      <w:pPr>
        <w:widowControl/>
        <w:spacing w:after="160" w:line="259" w:lineRule="auto"/>
        <w:rPr>
          <w:rFonts w:ascii="Times New Roman" w:eastAsia="Arial" w:hAnsi="Times New Roman" w:cs="Times New Roman"/>
          <w:b/>
          <w:bCs/>
          <w:sz w:val="24"/>
          <w:szCs w:val="40"/>
        </w:rPr>
      </w:pPr>
      <w:bookmarkStart w:id="469" w:name="5.7_Keywords_and_accounting_references"/>
      <w:bookmarkStart w:id="470" w:name="_bookmark46"/>
      <w:bookmarkStart w:id="471" w:name="_Toc67565170"/>
      <w:bookmarkEnd w:id="469"/>
      <w:bookmarkEnd w:id="470"/>
      <w:r w:rsidRPr="00B03B51">
        <w:rPr>
          <w:rFonts w:ascii="Times New Roman" w:hAnsi="Times New Roman" w:cs="Times New Roman"/>
          <w:sz w:val="24"/>
        </w:rPr>
        <w:br w:type="page"/>
      </w:r>
    </w:p>
    <w:p w14:paraId="23AD3DA5" w14:textId="3B11A7FA" w:rsidR="00443399" w:rsidRPr="00B03B51" w:rsidRDefault="00443399" w:rsidP="00443399">
      <w:pPr>
        <w:pStyle w:val="Heading2"/>
        <w:spacing w:before="0"/>
        <w:ind w:left="0" w:firstLine="0"/>
        <w:jc w:val="both"/>
        <w:rPr>
          <w:rFonts w:ascii="Times New Roman" w:hAnsi="Times New Roman" w:cs="Times New Roman"/>
          <w:noProof/>
          <w:sz w:val="28"/>
          <w:szCs w:val="44"/>
        </w:rPr>
      </w:pPr>
      <w:r w:rsidRPr="00B03B51">
        <w:rPr>
          <w:rFonts w:ascii="Times New Roman" w:hAnsi="Times New Roman" w:cs="Times New Roman"/>
          <w:sz w:val="28"/>
          <w:szCs w:val="44"/>
        </w:rPr>
        <w:lastRenderedPageBreak/>
        <w:t>5.7. Atslēgvārdi un atsauces</w:t>
      </w:r>
      <w:bookmarkEnd w:id="471"/>
    </w:p>
    <w:p w14:paraId="4822ADCB" w14:textId="77777777" w:rsidR="00443399" w:rsidRPr="00B03B51" w:rsidRDefault="00443399" w:rsidP="00443399">
      <w:pPr>
        <w:jc w:val="both"/>
        <w:rPr>
          <w:rFonts w:ascii="Times New Roman" w:eastAsia="Arial" w:hAnsi="Times New Roman" w:cs="Times New Roman"/>
          <w:b/>
          <w:bCs/>
          <w:noProof/>
          <w:sz w:val="24"/>
          <w:szCs w:val="29"/>
        </w:rPr>
      </w:pPr>
    </w:p>
    <w:tbl>
      <w:tblPr>
        <w:tblW w:w="5000" w:type="pct"/>
        <w:tblCellMar>
          <w:top w:w="28" w:type="dxa"/>
          <w:left w:w="28" w:type="dxa"/>
          <w:bottom w:w="28" w:type="dxa"/>
          <w:right w:w="28" w:type="dxa"/>
        </w:tblCellMar>
        <w:tblLook w:val="01E0" w:firstRow="1" w:lastRow="1" w:firstColumn="1" w:lastColumn="1" w:noHBand="0" w:noVBand="0"/>
      </w:tblPr>
      <w:tblGrid>
        <w:gridCol w:w="4398"/>
        <w:gridCol w:w="4673"/>
      </w:tblGrid>
      <w:tr w:rsidR="00443399" w:rsidRPr="00B03B51" w14:paraId="47908307" w14:textId="77777777" w:rsidTr="0054365B">
        <w:tc>
          <w:tcPr>
            <w:tcW w:w="2424" w:type="pct"/>
            <w:tcBorders>
              <w:top w:val="nil"/>
              <w:left w:val="nil"/>
              <w:bottom w:val="nil"/>
              <w:right w:val="nil"/>
            </w:tcBorders>
          </w:tcPr>
          <w:p w14:paraId="75723031" w14:textId="77777777" w:rsidR="00443399" w:rsidRPr="00B03B51" w:rsidRDefault="00443399" w:rsidP="0054365B">
            <w:pPr>
              <w:pStyle w:val="TableParagraph"/>
              <w:jc w:val="both"/>
              <w:rPr>
                <w:rFonts w:ascii="Times New Roman" w:hAnsi="Times New Roman" w:cs="Times New Roman"/>
                <w:noProof/>
                <w:sz w:val="24"/>
              </w:rPr>
            </w:pPr>
            <w:r w:rsidRPr="00B03B51">
              <w:rPr>
                <w:rFonts w:ascii="Times New Roman" w:hAnsi="Times New Roman" w:cs="Times New Roman"/>
                <w:sz w:val="24"/>
              </w:rPr>
              <w:t>Kapitāla konts</w:t>
            </w:r>
          </w:p>
        </w:tc>
        <w:tc>
          <w:tcPr>
            <w:tcW w:w="2576" w:type="pct"/>
            <w:tcBorders>
              <w:top w:val="nil"/>
              <w:left w:val="nil"/>
              <w:bottom w:val="nil"/>
              <w:right w:val="nil"/>
            </w:tcBorders>
          </w:tcPr>
          <w:p w14:paraId="38AFB3C6" w14:textId="77777777" w:rsidR="00443399" w:rsidRPr="00B03B51" w:rsidRDefault="00443399" w:rsidP="0054365B">
            <w:pPr>
              <w:pStyle w:val="TableParagraph"/>
              <w:jc w:val="both"/>
              <w:rPr>
                <w:rFonts w:ascii="Times New Roman" w:hAnsi="Times New Roman" w:cs="Times New Roman"/>
                <w:noProof/>
                <w:sz w:val="24"/>
              </w:rPr>
            </w:pPr>
            <w:r w:rsidRPr="00B03B51">
              <w:rPr>
                <w:rFonts w:ascii="Times New Roman" w:hAnsi="Times New Roman" w:cs="Times New Roman"/>
                <w:sz w:val="24"/>
              </w:rPr>
              <w:t>ESA 2010, 8.46. punkts</w:t>
            </w:r>
          </w:p>
        </w:tc>
      </w:tr>
      <w:tr w:rsidR="00443399" w:rsidRPr="00B03B51" w14:paraId="3F982917" w14:textId="77777777" w:rsidTr="0054365B">
        <w:tc>
          <w:tcPr>
            <w:tcW w:w="2424" w:type="pct"/>
            <w:tcBorders>
              <w:top w:val="nil"/>
              <w:left w:val="nil"/>
              <w:bottom w:val="nil"/>
              <w:right w:val="nil"/>
            </w:tcBorders>
          </w:tcPr>
          <w:p w14:paraId="0DFF840E" w14:textId="77777777" w:rsidR="00443399" w:rsidRPr="00B03B51" w:rsidRDefault="00443399" w:rsidP="0054365B">
            <w:pPr>
              <w:pStyle w:val="TableParagraph"/>
              <w:jc w:val="both"/>
              <w:rPr>
                <w:rFonts w:ascii="Times New Roman" w:hAnsi="Times New Roman" w:cs="Times New Roman"/>
                <w:noProof/>
                <w:sz w:val="24"/>
              </w:rPr>
            </w:pPr>
            <w:r w:rsidRPr="00B03B51">
              <w:rPr>
                <w:rFonts w:ascii="Times New Roman" w:hAnsi="Times New Roman" w:cs="Times New Roman"/>
                <w:sz w:val="24"/>
              </w:rPr>
              <w:t>Iespējami aktīvi</w:t>
            </w:r>
          </w:p>
        </w:tc>
        <w:tc>
          <w:tcPr>
            <w:tcW w:w="2576" w:type="pct"/>
            <w:tcBorders>
              <w:top w:val="nil"/>
              <w:left w:val="nil"/>
              <w:bottom w:val="nil"/>
              <w:right w:val="nil"/>
            </w:tcBorders>
          </w:tcPr>
          <w:p w14:paraId="1E79BEC4" w14:textId="77777777" w:rsidR="00443399" w:rsidRPr="00B03B51" w:rsidRDefault="00443399" w:rsidP="0054365B">
            <w:pPr>
              <w:pStyle w:val="TableParagraph"/>
              <w:jc w:val="both"/>
              <w:rPr>
                <w:rFonts w:ascii="Times New Roman" w:hAnsi="Times New Roman" w:cs="Times New Roman"/>
                <w:noProof/>
                <w:sz w:val="24"/>
              </w:rPr>
            </w:pPr>
            <w:r w:rsidRPr="00B03B51">
              <w:rPr>
                <w:rFonts w:ascii="Times New Roman" w:hAnsi="Times New Roman" w:cs="Times New Roman"/>
                <w:sz w:val="24"/>
              </w:rPr>
              <w:t>EKS 2010, 5.08.–5.11. punkts</w:t>
            </w:r>
          </w:p>
        </w:tc>
      </w:tr>
      <w:tr w:rsidR="00443399" w:rsidRPr="00B03B51" w14:paraId="39204368" w14:textId="77777777" w:rsidTr="0054365B">
        <w:tc>
          <w:tcPr>
            <w:tcW w:w="2424" w:type="pct"/>
            <w:tcBorders>
              <w:top w:val="nil"/>
              <w:left w:val="nil"/>
              <w:bottom w:val="nil"/>
              <w:right w:val="nil"/>
            </w:tcBorders>
          </w:tcPr>
          <w:p w14:paraId="4B6D208F" w14:textId="77777777" w:rsidR="00443399" w:rsidRPr="00B03B51" w:rsidRDefault="00443399" w:rsidP="0054365B">
            <w:pPr>
              <w:pStyle w:val="TableParagraph"/>
              <w:jc w:val="both"/>
              <w:rPr>
                <w:rFonts w:ascii="Times New Roman" w:hAnsi="Times New Roman" w:cs="Times New Roman"/>
                <w:noProof/>
                <w:sz w:val="24"/>
              </w:rPr>
            </w:pPr>
            <w:r w:rsidRPr="00B03B51">
              <w:rPr>
                <w:rFonts w:ascii="Times New Roman" w:hAnsi="Times New Roman" w:cs="Times New Roman"/>
                <w:sz w:val="24"/>
              </w:rPr>
              <w:t>Uzņēmējdarbības ienākumi</w:t>
            </w:r>
          </w:p>
        </w:tc>
        <w:tc>
          <w:tcPr>
            <w:tcW w:w="2576" w:type="pct"/>
            <w:tcBorders>
              <w:top w:val="nil"/>
              <w:left w:val="nil"/>
              <w:bottom w:val="nil"/>
              <w:right w:val="nil"/>
            </w:tcBorders>
          </w:tcPr>
          <w:p w14:paraId="3486F98C" w14:textId="77777777" w:rsidR="00443399" w:rsidRPr="00B03B51" w:rsidRDefault="00443399" w:rsidP="0054365B">
            <w:pPr>
              <w:pStyle w:val="TableParagraph"/>
              <w:jc w:val="both"/>
              <w:rPr>
                <w:rFonts w:ascii="Times New Roman" w:hAnsi="Times New Roman" w:cs="Times New Roman"/>
                <w:noProof/>
                <w:sz w:val="24"/>
              </w:rPr>
            </w:pPr>
            <w:r w:rsidRPr="00B03B51">
              <w:rPr>
                <w:rFonts w:ascii="Times New Roman" w:hAnsi="Times New Roman" w:cs="Times New Roman"/>
                <w:sz w:val="24"/>
              </w:rPr>
              <w:t>EKS 2010 8.26.–8.28. punkts</w:t>
            </w:r>
          </w:p>
        </w:tc>
      </w:tr>
      <w:tr w:rsidR="00443399" w:rsidRPr="00B03B51" w14:paraId="3AE13311" w14:textId="77777777" w:rsidTr="0054365B">
        <w:tc>
          <w:tcPr>
            <w:tcW w:w="2424" w:type="pct"/>
            <w:tcBorders>
              <w:top w:val="nil"/>
              <w:left w:val="nil"/>
              <w:bottom w:val="nil"/>
              <w:right w:val="nil"/>
            </w:tcBorders>
          </w:tcPr>
          <w:p w14:paraId="25C6B491" w14:textId="77777777" w:rsidR="00443399" w:rsidRPr="00B03B51" w:rsidRDefault="00443399" w:rsidP="0054365B">
            <w:pPr>
              <w:pStyle w:val="TableParagraph"/>
              <w:jc w:val="both"/>
              <w:rPr>
                <w:rFonts w:ascii="Times New Roman" w:hAnsi="Times New Roman" w:cs="Times New Roman"/>
                <w:noProof/>
                <w:sz w:val="24"/>
              </w:rPr>
            </w:pPr>
            <w:r w:rsidRPr="00B03B51">
              <w:rPr>
                <w:rFonts w:ascii="Times New Roman" w:hAnsi="Times New Roman" w:cs="Times New Roman"/>
                <w:sz w:val="24"/>
              </w:rPr>
              <w:t>Pašu kapitāls</w:t>
            </w:r>
          </w:p>
        </w:tc>
        <w:tc>
          <w:tcPr>
            <w:tcW w:w="2576" w:type="pct"/>
            <w:tcBorders>
              <w:top w:val="nil"/>
              <w:left w:val="nil"/>
              <w:bottom w:val="nil"/>
              <w:right w:val="nil"/>
            </w:tcBorders>
          </w:tcPr>
          <w:p w14:paraId="5309D29A" w14:textId="77777777" w:rsidR="00443399" w:rsidRPr="00B03B51" w:rsidRDefault="00443399" w:rsidP="0054365B">
            <w:pPr>
              <w:pStyle w:val="TableParagraph"/>
              <w:jc w:val="both"/>
              <w:rPr>
                <w:rFonts w:ascii="Times New Roman" w:hAnsi="Times New Roman" w:cs="Times New Roman"/>
                <w:noProof/>
                <w:sz w:val="24"/>
              </w:rPr>
            </w:pPr>
            <w:r w:rsidRPr="00B03B51">
              <w:rPr>
                <w:rFonts w:ascii="Times New Roman" w:hAnsi="Times New Roman" w:cs="Times New Roman"/>
                <w:sz w:val="24"/>
              </w:rPr>
              <w:t>EKS 2010 5.151. punkts un turpmākie punkti</w:t>
            </w:r>
          </w:p>
        </w:tc>
      </w:tr>
      <w:tr w:rsidR="00443399" w:rsidRPr="00B03B51" w14:paraId="070B9DE8" w14:textId="77777777" w:rsidTr="0054365B">
        <w:tc>
          <w:tcPr>
            <w:tcW w:w="2424" w:type="pct"/>
            <w:tcBorders>
              <w:top w:val="nil"/>
              <w:left w:val="nil"/>
              <w:bottom w:val="nil"/>
              <w:right w:val="nil"/>
            </w:tcBorders>
          </w:tcPr>
          <w:p w14:paraId="6C70D3D6" w14:textId="77777777" w:rsidR="00443399" w:rsidRPr="00B03B51" w:rsidRDefault="00443399" w:rsidP="0054365B">
            <w:pPr>
              <w:pStyle w:val="TableParagraph"/>
              <w:jc w:val="both"/>
              <w:rPr>
                <w:rFonts w:ascii="Times New Roman" w:hAnsi="Times New Roman" w:cs="Times New Roman"/>
                <w:noProof/>
                <w:sz w:val="24"/>
              </w:rPr>
            </w:pPr>
            <w:r w:rsidRPr="00B03B51">
              <w:rPr>
                <w:rFonts w:ascii="Times New Roman" w:hAnsi="Times New Roman" w:cs="Times New Roman"/>
                <w:sz w:val="24"/>
              </w:rPr>
              <w:t>Finanšu konts</w:t>
            </w:r>
          </w:p>
        </w:tc>
        <w:tc>
          <w:tcPr>
            <w:tcW w:w="2576" w:type="pct"/>
            <w:tcBorders>
              <w:top w:val="nil"/>
              <w:left w:val="nil"/>
              <w:bottom w:val="nil"/>
              <w:right w:val="nil"/>
            </w:tcBorders>
          </w:tcPr>
          <w:p w14:paraId="3F7BAF94" w14:textId="77777777" w:rsidR="00443399" w:rsidRPr="00B03B51" w:rsidRDefault="00443399" w:rsidP="0054365B">
            <w:pPr>
              <w:pStyle w:val="TableParagraph"/>
              <w:jc w:val="both"/>
              <w:rPr>
                <w:rFonts w:ascii="Times New Roman" w:hAnsi="Times New Roman" w:cs="Times New Roman"/>
                <w:noProof/>
                <w:sz w:val="24"/>
              </w:rPr>
            </w:pPr>
            <w:r w:rsidRPr="00B03B51">
              <w:rPr>
                <w:rFonts w:ascii="Times New Roman" w:hAnsi="Times New Roman" w:cs="Times New Roman"/>
                <w:sz w:val="24"/>
              </w:rPr>
              <w:t>EKS 2010 8.50. punkts</w:t>
            </w:r>
          </w:p>
        </w:tc>
      </w:tr>
      <w:tr w:rsidR="00443399" w:rsidRPr="00B03B51" w14:paraId="4D0F218C" w14:textId="77777777" w:rsidTr="0054365B">
        <w:tc>
          <w:tcPr>
            <w:tcW w:w="2424" w:type="pct"/>
            <w:tcBorders>
              <w:top w:val="nil"/>
              <w:left w:val="nil"/>
              <w:bottom w:val="nil"/>
              <w:right w:val="nil"/>
            </w:tcBorders>
          </w:tcPr>
          <w:p w14:paraId="63B5784A" w14:textId="77777777" w:rsidR="00443399" w:rsidRPr="00B03B51" w:rsidRDefault="00443399" w:rsidP="0054365B">
            <w:pPr>
              <w:pStyle w:val="TableParagraph"/>
              <w:jc w:val="both"/>
              <w:rPr>
                <w:rFonts w:ascii="Times New Roman" w:hAnsi="Times New Roman" w:cs="Times New Roman"/>
                <w:noProof/>
                <w:sz w:val="24"/>
              </w:rPr>
            </w:pPr>
            <w:r w:rsidRPr="00B03B51">
              <w:rPr>
                <w:rFonts w:ascii="Times New Roman" w:hAnsi="Times New Roman" w:cs="Times New Roman"/>
                <w:sz w:val="24"/>
              </w:rPr>
              <w:t>Finanšu darījums</w:t>
            </w:r>
          </w:p>
        </w:tc>
        <w:tc>
          <w:tcPr>
            <w:tcW w:w="2576" w:type="pct"/>
            <w:tcBorders>
              <w:top w:val="nil"/>
              <w:left w:val="nil"/>
              <w:bottom w:val="nil"/>
              <w:right w:val="nil"/>
            </w:tcBorders>
          </w:tcPr>
          <w:p w14:paraId="43D492C3" w14:textId="77777777" w:rsidR="00443399" w:rsidRPr="00B03B51" w:rsidRDefault="00443399" w:rsidP="0054365B">
            <w:pPr>
              <w:pStyle w:val="TableParagraph"/>
              <w:jc w:val="both"/>
              <w:rPr>
                <w:rFonts w:ascii="Times New Roman" w:hAnsi="Times New Roman" w:cs="Times New Roman"/>
                <w:noProof/>
                <w:sz w:val="24"/>
              </w:rPr>
            </w:pPr>
            <w:r w:rsidRPr="00B03B51">
              <w:rPr>
                <w:rFonts w:ascii="Times New Roman" w:hAnsi="Times New Roman" w:cs="Times New Roman"/>
                <w:sz w:val="24"/>
              </w:rPr>
              <w:t>EKS 2010 5.16. punkts un turpmākie punkti</w:t>
            </w:r>
          </w:p>
        </w:tc>
      </w:tr>
      <w:tr w:rsidR="00443399" w:rsidRPr="00B03B51" w14:paraId="47AB182E" w14:textId="77777777" w:rsidTr="0054365B">
        <w:tc>
          <w:tcPr>
            <w:tcW w:w="2424" w:type="pct"/>
            <w:tcBorders>
              <w:top w:val="nil"/>
              <w:left w:val="nil"/>
              <w:bottom w:val="nil"/>
              <w:right w:val="nil"/>
            </w:tcBorders>
          </w:tcPr>
          <w:p w14:paraId="5886E87A" w14:textId="77777777" w:rsidR="00443399" w:rsidRPr="00B03B51" w:rsidRDefault="00443399" w:rsidP="0054365B">
            <w:pPr>
              <w:pStyle w:val="TableParagraph"/>
              <w:jc w:val="both"/>
              <w:rPr>
                <w:rFonts w:ascii="Times New Roman" w:hAnsi="Times New Roman" w:cs="Times New Roman"/>
                <w:noProof/>
                <w:sz w:val="24"/>
              </w:rPr>
            </w:pPr>
            <w:r w:rsidRPr="00B03B51">
              <w:rPr>
                <w:rFonts w:ascii="Times New Roman" w:hAnsi="Times New Roman" w:cs="Times New Roman"/>
                <w:sz w:val="24"/>
              </w:rPr>
              <w:t>Centrālais birojs</w:t>
            </w:r>
          </w:p>
        </w:tc>
        <w:tc>
          <w:tcPr>
            <w:tcW w:w="2576" w:type="pct"/>
            <w:tcBorders>
              <w:top w:val="nil"/>
              <w:left w:val="nil"/>
              <w:bottom w:val="nil"/>
              <w:right w:val="nil"/>
            </w:tcBorders>
          </w:tcPr>
          <w:p w14:paraId="4A916A62" w14:textId="77777777" w:rsidR="00443399" w:rsidRPr="00B03B51" w:rsidRDefault="00443399" w:rsidP="0054365B">
            <w:pPr>
              <w:pStyle w:val="TableParagraph"/>
              <w:jc w:val="both"/>
              <w:rPr>
                <w:rFonts w:ascii="Times New Roman" w:hAnsi="Times New Roman" w:cs="Times New Roman"/>
                <w:noProof/>
                <w:sz w:val="24"/>
              </w:rPr>
            </w:pPr>
            <w:r w:rsidRPr="00B03B51">
              <w:rPr>
                <w:rFonts w:ascii="Times New Roman" w:hAnsi="Times New Roman" w:cs="Times New Roman"/>
                <w:sz w:val="24"/>
              </w:rPr>
              <w:t>EKS 2010, 2.14. un 20.35.–20.37. punkts</w:t>
            </w:r>
          </w:p>
        </w:tc>
      </w:tr>
      <w:tr w:rsidR="00443399" w:rsidRPr="00B03B51" w14:paraId="4844FF47" w14:textId="77777777" w:rsidTr="0054365B">
        <w:tc>
          <w:tcPr>
            <w:tcW w:w="2424" w:type="pct"/>
            <w:tcBorders>
              <w:top w:val="nil"/>
              <w:left w:val="nil"/>
              <w:bottom w:val="nil"/>
              <w:right w:val="nil"/>
            </w:tcBorders>
          </w:tcPr>
          <w:p w14:paraId="09CB69BE" w14:textId="77777777" w:rsidR="00443399" w:rsidRPr="00B03B51" w:rsidRDefault="00443399" w:rsidP="0054365B">
            <w:pPr>
              <w:pStyle w:val="TableParagraph"/>
              <w:jc w:val="both"/>
              <w:rPr>
                <w:rFonts w:ascii="Times New Roman" w:hAnsi="Times New Roman" w:cs="Times New Roman"/>
                <w:noProof/>
                <w:sz w:val="24"/>
              </w:rPr>
            </w:pPr>
            <w:r w:rsidRPr="00B03B51">
              <w:rPr>
                <w:rFonts w:ascii="Times New Roman" w:hAnsi="Times New Roman" w:cs="Times New Roman"/>
                <w:sz w:val="24"/>
              </w:rPr>
              <w:t>Tirgus/ārpustirgus vienības</w:t>
            </w:r>
          </w:p>
        </w:tc>
        <w:tc>
          <w:tcPr>
            <w:tcW w:w="2576" w:type="pct"/>
            <w:tcBorders>
              <w:top w:val="nil"/>
              <w:left w:val="nil"/>
              <w:bottom w:val="nil"/>
              <w:right w:val="nil"/>
            </w:tcBorders>
          </w:tcPr>
          <w:p w14:paraId="5BA44702" w14:textId="77777777" w:rsidR="00443399" w:rsidRPr="00B03B51" w:rsidRDefault="00443399" w:rsidP="0054365B">
            <w:pPr>
              <w:pStyle w:val="TableParagraph"/>
              <w:jc w:val="both"/>
              <w:rPr>
                <w:rFonts w:ascii="Times New Roman" w:hAnsi="Times New Roman" w:cs="Times New Roman"/>
                <w:noProof/>
                <w:sz w:val="24"/>
              </w:rPr>
            </w:pPr>
            <w:r w:rsidRPr="00B03B51">
              <w:rPr>
                <w:rFonts w:ascii="Times New Roman" w:hAnsi="Times New Roman" w:cs="Times New Roman"/>
                <w:sz w:val="24"/>
              </w:rPr>
              <w:t>EKS 2010 2.19.–2.34. punkts</w:t>
            </w:r>
          </w:p>
        </w:tc>
      </w:tr>
      <w:tr w:rsidR="00443399" w:rsidRPr="00B03B51" w14:paraId="5E4F9089" w14:textId="77777777" w:rsidTr="0054365B">
        <w:tc>
          <w:tcPr>
            <w:tcW w:w="2424" w:type="pct"/>
            <w:tcBorders>
              <w:top w:val="nil"/>
              <w:left w:val="nil"/>
              <w:bottom w:val="nil"/>
              <w:right w:val="nil"/>
            </w:tcBorders>
          </w:tcPr>
          <w:p w14:paraId="1A0221AF" w14:textId="77777777" w:rsidR="00443399" w:rsidRPr="00B03B51" w:rsidRDefault="00443399" w:rsidP="0054365B">
            <w:pPr>
              <w:pStyle w:val="TableParagraph"/>
              <w:jc w:val="both"/>
              <w:rPr>
                <w:rFonts w:ascii="Times New Roman" w:hAnsi="Times New Roman" w:cs="Times New Roman"/>
                <w:noProof/>
                <w:sz w:val="24"/>
              </w:rPr>
            </w:pPr>
            <w:r w:rsidRPr="00B03B51">
              <w:rPr>
                <w:rFonts w:ascii="Times New Roman" w:hAnsi="Times New Roman" w:cs="Times New Roman"/>
                <w:sz w:val="24"/>
              </w:rPr>
              <w:t>Nefinanšu neražotie aktīvi</w:t>
            </w:r>
          </w:p>
        </w:tc>
        <w:tc>
          <w:tcPr>
            <w:tcW w:w="2576" w:type="pct"/>
            <w:tcBorders>
              <w:top w:val="nil"/>
              <w:left w:val="nil"/>
              <w:bottom w:val="nil"/>
              <w:right w:val="nil"/>
            </w:tcBorders>
          </w:tcPr>
          <w:p w14:paraId="5ED2F6B6" w14:textId="77777777" w:rsidR="00443399" w:rsidRPr="00B03B51" w:rsidRDefault="00443399" w:rsidP="0054365B">
            <w:pPr>
              <w:pStyle w:val="TableParagraph"/>
              <w:jc w:val="both"/>
              <w:rPr>
                <w:rFonts w:ascii="Times New Roman" w:hAnsi="Times New Roman" w:cs="Times New Roman"/>
                <w:noProof/>
                <w:sz w:val="24"/>
              </w:rPr>
            </w:pPr>
            <w:r w:rsidRPr="00B03B51">
              <w:rPr>
                <w:rFonts w:ascii="Times New Roman" w:hAnsi="Times New Roman" w:cs="Times New Roman"/>
                <w:sz w:val="24"/>
              </w:rPr>
              <w:t>EKS 2010 7.24. punkts</w:t>
            </w:r>
          </w:p>
        </w:tc>
      </w:tr>
      <w:tr w:rsidR="00443399" w:rsidRPr="00B03B51" w14:paraId="46FECBAC" w14:textId="77777777" w:rsidTr="0054365B">
        <w:tc>
          <w:tcPr>
            <w:tcW w:w="2424" w:type="pct"/>
            <w:tcBorders>
              <w:top w:val="nil"/>
              <w:left w:val="nil"/>
              <w:bottom w:val="nil"/>
              <w:right w:val="nil"/>
            </w:tcBorders>
          </w:tcPr>
          <w:p w14:paraId="2D68D19B" w14:textId="77777777" w:rsidR="00443399" w:rsidRPr="00B03B51" w:rsidRDefault="00443399" w:rsidP="0054365B">
            <w:pPr>
              <w:pStyle w:val="TableParagraph"/>
              <w:jc w:val="both"/>
              <w:rPr>
                <w:rFonts w:ascii="Times New Roman" w:hAnsi="Times New Roman" w:cs="Times New Roman"/>
                <w:noProof/>
                <w:sz w:val="24"/>
              </w:rPr>
            </w:pPr>
            <w:r w:rsidRPr="00B03B51">
              <w:rPr>
                <w:rFonts w:ascii="Times New Roman" w:hAnsi="Times New Roman" w:cs="Times New Roman"/>
                <w:sz w:val="24"/>
              </w:rPr>
              <w:t>Nefinanšu ražotie aktīvi</w:t>
            </w:r>
          </w:p>
        </w:tc>
        <w:tc>
          <w:tcPr>
            <w:tcW w:w="2576" w:type="pct"/>
            <w:tcBorders>
              <w:top w:val="nil"/>
              <w:left w:val="nil"/>
              <w:bottom w:val="nil"/>
              <w:right w:val="nil"/>
            </w:tcBorders>
          </w:tcPr>
          <w:p w14:paraId="293DE820" w14:textId="77777777" w:rsidR="00443399" w:rsidRPr="00B03B51" w:rsidRDefault="00443399" w:rsidP="0054365B">
            <w:pPr>
              <w:pStyle w:val="TableParagraph"/>
              <w:jc w:val="both"/>
              <w:rPr>
                <w:rFonts w:ascii="Times New Roman" w:hAnsi="Times New Roman" w:cs="Times New Roman"/>
                <w:noProof/>
                <w:sz w:val="24"/>
              </w:rPr>
            </w:pPr>
            <w:r w:rsidRPr="00B03B51">
              <w:rPr>
                <w:rFonts w:ascii="Times New Roman" w:hAnsi="Times New Roman" w:cs="Times New Roman"/>
                <w:sz w:val="24"/>
              </w:rPr>
              <w:t>EKS 2010 7.22. punkts</w:t>
            </w:r>
          </w:p>
        </w:tc>
      </w:tr>
      <w:tr w:rsidR="00443399" w:rsidRPr="00B03B51" w14:paraId="60508B7A" w14:textId="77777777" w:rsidTr="0054365B">
        <w:tc>
          <w:tcPr>
            <w:tcW w:w="2424" w:type="pct"/>
            <w:tcBorders>
              <w:top w:val="nil"/>
              <w:left w:val="nil"/>
              <w:bottom w:val="nil"/>
              <w:right w:val="nil"/>
            </w:tcBorders>
          </w:tcPr>
          <w:p w14:paraId="37D85A3B" w14:textId="77777777" w:rsidR="00443399" w:rsidRPr="00B03B51" w:rsidRDefault="00443399" w:rsidP="0054365B">
            <w:pPr>
              <w:pStyle w:val="TableParagraph"/>
              <w:jc w:val="both"/>
              <w:rPr>
                <w:rFonts w:ascii="Times New Roman" w:hAnsi="Times New Roman" w:cs="Times New Roman"/>
                <w:noProof/>
                <w:sz w:val="24"/>
              </w:rPr>
            </w:pPr>
            <w:r w:rsidRPr="00B03B51">
              <w:rPr>
                <w:rFonts w:ascii="Times New Roman" w:hAnsi="Times New Roman" w:cs="Times New Roman"/>
                <w:sz w:val="24"/>
              </w:rPr>
              <w:t>Konts “Citas aktīvu apjoma pārmaiņas”</w:t>
            </w:r>
          </w:p>
        </w:tc>
        <w:tc>
          <w:tcPr>
            <w:tcW w:w="2576" w:type="pct"/>
            <w:tcBorders>
              <w:top w:val="nil"/>
              <w:left w:val="nil"/>
              <w:bottom w:val="nil"/>
              <w:right w:val="nil"/>
            </w:tcBorders>
          </w:tcPr>
          <w:p w14:paraId="020A4D9F" w14:textId="77777777" w:rsidR="00443399" w:rsidRPr="00B03B51" w:rsidRDefault="00443399" w:rsidP="0054365B">
            <w:pPr>
              <w:pStyle w:val="TableParagraph"/>
              <w:jc w:val="both"/>
              <w:rPr>
                <w:rFonts w:ascii="Times New Roman" w:hAnsi="Times New Roman" w:cs="Times New Roman"/>
                <w:noProof/>
                <w:sz w:val="24"/>
              </w:rPr>
            </w:pPr>
            <w:r w:rsidRPr="00B03B51">
              <w:rPr>
                <w:rFonts w:ascii="Times New Roman" w:hAnsi="Times New Roman" w:cs="Times New Roman"/>
                <w:sz w:val="24"/>
              </w:rPr>
              <w:t>EKS 2010 8.53. punkts</w:t>
            </w:r>
          </w:p>
        </w:tc>
      </w:tr>
      <w:tr w:rsidR="00443399" w:rsidRPr="00B03B51" w14:paraId="1C5FDB82" w14:textId="77777777" w:rsidTr="0054365B">
        <w:tc>
          <w:tcPr>
            <w:tcW w:w="2424" w:type="pct"/>
            <w:tcBorders>
              <w:top w:val="nil"/>
              <w:left w:val="nil"/>
              <w:bottom w:val="nil"/>
              <w:right w:val="nil"/>
            </w:tcBorders>
          </w:tcPr>
          <w:p w14:paraId="0D03A270" w14:textId="77777777" w:rsidR="00443399" w:rsidRPr="00B03B51" w:rsidRDefault="00443399" w:rsidP="0054365B">
            <w:pPr>
              <w:pStyle w:val="TableParagraph"/>
              <w:jc w:val="both"/>
              <w:rPr>
                <w:rFonts w:ascii="Times New Roman" w:hAnsi="Times New Roman" w:cs="Times New Roman"/>
                <w:noProof/>
                <w:sz w:val="24"/>
              </w:rPr>
            </w:pPr>
            <w:r w:rsidRPr="00B03B51">
              <w:rPr>
                <w:rFonts w:ascii="Times New Roman" w:hAnsi="Times New Roman" w:cs="Times New Roman"/>
                <w:sz w:val="24"/>
              </w:rPr>
              <w:t>Privatizācija</w:t>
            </w:r>
          </w:p>
        </w:tc>
        <w:tc>
          <w:tcPr>
            <w:tcW w:w="2576" w:type="pct"/>
            <w:tcBorders>
              <w:top w:val="nil"/>
              <w:left w:val="nil"/>
              <w:bottom w:val="nil"/>
              <w:right w:val="nil"/>
            </w:tcBorders>
          </w:tcPr>
          <w:p w14:paraId="5F7B685F" w14:textId="77777777" w:rsidR="00443399" w:rsidRPr="00B03B51" w:rsidRDefault="00443399" w:rsidP="0054365B">
            <w:pPr>
              <w:pStyle w:val="TableParagraph"/>
              <w:jc w:val="both"/>
              <w:rPr>
                <w:rFonts w:ascii="Times New Roman" w:hAnsi="Times New Roman" w:cs="Times New Roman"/>
                <w:noProof/>
                <w:sz w:val="24"/>
              </w:rPr>
            </w:pPr>
            <w:r w:rsidRPr="00B03B51">
              <w:rPr>
                <w:rFonts w:ascii="Times New Roman" w:hAnsi="Times New Roman" w:cs="Times New Roman"/>
                <w:sz w:val="24"/>
              </w:rPr>
              <w:t>EKS 2010 20.210.–20.213. punkts</w:t>
            </w:r>
          </w:p>
        </w:tc>
      </w:tr>
      <w:tr w:rsidR="00443399" w:rsidRPr="00B03B51" w14:paraId="489CFBA7" w14:textId="77777777" w:rsidTr="0054365B">
        <w:tc>
          <w:tcPr>
            <w:tcW w:w="2424" w:type="pct"/>
            <w:tcBorders>
              <w:top w:val="nil"/>
              <w:left w:val="nil"/>
              <w:bottom w:val="nil"/>
              <w:right w:val="nil"/>
            </w:tcBorders>
          </w:tcPr>
          <w:p w14:paraId="2474B949" w14:textId="77777777" w:rsidR="00443399" w:rsidRPr="00B03B51" w:rsidRDefault="00443399" w:rsidP="0054365B">
            <w:pPr>
              <w:pStyle w:val="TableParagraph"/>
              <w:jc w:val="both"/>
              <w:rPr>
                <w:rFonts w:ascii="Times New Roman" w:hAnsi="Times New Roman" w:cs="Times New Roman"/>
                <w:noProof/>
                <w:sz w:val="24"/>
              </w:rPr>
            </w:pPr>
            <w:r w:rsidRPr="00B03B51">
              <w:rPr>
                <w:rFonts w:ascii="Times New Roman" w:hAnsi="Times New Roman" w:cs="Times New Roman"/>
                <w:sz w:val="24"/>
              </w:rPr>
              <w:t>Pārkārtoti darījumi</w:t>
            </w:r>
          </w:p>
        </w:tc>
        <w:tc>
          <w:tcPr>
            <w:tcW w:w="2576" w:type="pct"/>
            <w:tcBorders>
              <w:top w:val="nil"/>
              <w:left w:val="nil"/>
              <w:bottom w:val="nil"/>
              <w:right w:val="nil"/>
            </w:tcBorders>
          </w:tcPr>
          <w:p w14:paraId="2CF4DBB2" w14:textId="77777777" w:rsidR="00443399" w:rsidRPr="00B03B51" w:rsidRDefault="00443399" w:rsidP="0054365B">
            <w:pPr>
              <w:pStyle w:val="TableParagraph"/>
              <w:jc w:val="both"/>
              <w:rPr>
                <w:rFonts w:ascii="Times New Roman" w:hAnsi="Times New Roman" w:cs="Times New Roman"/>
                <w:noProof/>
                <w:sz w:val="24"/>
              </w:rPr>
            </w:pPr>
            <w:r w:rsidRPr="00B03B51">
              <w:rPr>
                <w:rFonts w:ascii="Times New Roman" w:hAnsi="Times New Roman" w:cs="Times New Roman"/>
                <w:sz w:val="24"/>
              </w:rPr>
              <w:t>EKS 2010 1.72.–1.78. punkts</w:t>
            </w:r>
          </w:p>
        </w:tc>
      </w:tr>
    </w:tbl>
    <w:p w14:paraId="4564F7E1" w14:textId="77777777" w:rsidR="00443399" w:rsidRPr="00B03B51" w:rsidRDefault="00443399" w:rsidP="00443399">
      <w:pPr>
        <w:rPr>
          <w:rFonts w:ascii="Times New Roman" w:eastAsia="Times New Roman" w:hAnsi="Times New Roman" w:cs="Times New Roman"/>
          <w:noProof/>
          <w:sz w:val="24"/>
          <w:szCs w:val="17"/>
        </w:rPr>
      </w:pPr>
      <w:r w:rsidRPr="00B03B51">
        <w:rPr>
          <w:rFonts w:ascii="Times New Roman" w:hAnsi="Times New Roman" w:cs="Times New Roman"/>
        </w:rPr>
        <w:br w:type="page"/>
      </w:r>
    </w:p>
    <w:p w14:paraId="4D86592A" w14:textId="77777777" w:rsidR="00443399" w:rsidRPr="00B03B51" w:rsidRDefault="00443399" w:rsidP="00443399">
      <w:pPr>
        <w:jc w:val="both"/>
        <w:rPr>
          <w:rFonts w:ascii="Times New Roman" w:eastAsia="Times New Roman" w:hAnsi="Times New Roman" w:cs="Times New Roman"/>
          <w:noProof/>
          <w:sz w:val="24"/>
          <w:szCs w:val="56"/>
        </w:rPr>
      </w:pPr>
    </w:p>
    <w:p w14:paraId="361785B6" w14:textId="77777777" w:rsidR="00443399" w:rsidRPr="00B03B51" w:rsidRDefault="00443399" w:rsidP="00443399">
      <w:pPr>
        <w:pStyle w:val="Heading1"/>
        <w:ind w:left="0"/>
        <w:jc w:val="both"/>
        <w:rPr>
          <w:rFonts w:ascii="Times New Roman" w:hAnsi="Times New Roman" w:cs="Times New Roman"/>
          <w:noProof/>
          <w:sz w:val="28"/>
          <w:szCs w:val="72"/>
        </w:rPr>
      </w:pPr>
      <w:bookmarkStart w:id="472" w:name="6._Leases,_concessions_and_PPPs"/>
      <w:bookmarkStart w:id="473" w:name="_bookmark47"/>
      <w:bookmarkStart w:id="474" w:name="_Toc67565171"/>
      <w:bookmarkEnd w:id="472"/>
      <w:bookmarkEnd w:id="473"/>
      <w:r w:rsidRPr="00B03B51">
        <w:rPr>
          <w:rFonts w:ascii="Times New Roman" w:hAnsi="Times New Roman" w:cs="Times New Roman"/>
          <w:sz w:val="28"/>
          <w:szCs w:val="72"/>
        </w:rPr>
        <w:t>6. Noma, koncesijas un PPP</w:t>
      </w:r>
      <w:bookmarkEnd w:id="474"/>
    </w:p>
    <w:p w14:paraId="3F716EB5" w14:textId="77777777" w:rsidR="00443399" w:rsidRPr="00B03B51" w:rsidRDefault="00443399" w:rsidP="00443399">
      <w:pPr>
        <w:jc w:val="both"/>
        <w:rPr>
          <w:rFonts w:ascii="Times New Roman" w:eastAsia="Arial" w:hAnsi="Times New Roman" w:cs="Times New Roman"/>
          <w:b/>
          <w:bCs/>
          <w:noProof/>
          <w:sz w:val="28"/>
        </w:rPr>
      </w:pPr>
    </w:p>
    <w:p w14:paraId="09D5B585" w14:textId="77777777" w:rsidR="00443399" w:rsidRPr="00B03B51" w:rsidRDefault="00443399" w:rsidP="00443399">
      <w:pPr>
        <w:pStyle w:val="Heading2"/>
        <w:spacing w:before="0"/>
        <w:ind w:left="0" w:firstLine="0"/>
        <w:jc w:val="both"/>
        <w:rPr>
          <w:rFonts w:ascii="Times New Roman" w:hAnsi="Times New Roman" w:cs="Times New Roman"/>
          <w:noProof/>
          <w:sz w:val="28"/>
          <w:szCs w:val="44"/>
        </w:rPr>
      </w:pPr>
      <w:bookmarkStart w:id="475" w:name="6.1_Overview"/>
      <w:bookmarkStart w:id="476" w:name="_bookmark48"/>
      <w:bookmarkStart w:id="477" w:name="_Toc67565172"/>
      <w:bookmarkEnd w:id="475"/>
      <w:bookmarkEnd w:id="476"/>
      <w:r w:rsidRPr="00B03B51">
        <w:rPr>
          <w:rFonts w:ascii="Times New Roman" w:hAnsi="Times New Roman" w:cs="Times New Roman"/>
          <w:sz w:val="28"/>
          <w:szCs w:val="44"/>
        </w:rPr>
        <w:t>6.1. Pārskats</w:t>
      </w:r>
      <w:bookmarkEnd w:id="477"/>
    </w:p>
    <w:p w14:paraId="66A17260" w14:textId="77777777" w:rsidR="00443399" w:rsidRPr="00100B51" w:rsidRDefault="00443399" w:rsidP="00100B51">
      <w:pPr>
        <w:rPr>
          <w:rFonts w:ascii="Times New Roman" w:hAnsi="Times New Roman" w:cs="Times New Roman"/>
          <w:noProof/>
          <w:sz w:val="24"/>
          <w:szCs w:val="24"/>
        </w:rPr>
      </w:pPr>
      <w:bookmarkStart w:id="478" w:name="6.1.1_Background_on_general_principles"/>
      <w:bookmarkEnd w:id="478"/>
    </w:p>
    <w:p w14:paraId="5AADBC84" w14:textId="77777777" w:rsidR="00443399" w:rsidRPr="00B03B51" w:rsidRDefault="00443399" w:rsidP="00443399">
      <w:pPr>
        <w:pStyle w:val="Heading3"/>
        <w:tabs>
          <w:tab w:val="left" w:pos="2127"/>
        </w:tabs>
        <w:ind w:left="0" w:firstLine="0"/>
        <w:jc w:val="both"/>
        <w:rPr>
          <w:rFonts w:ascii="Times New Roman" w:hAnsi="Times New Roman" w:cs="Times New Roman"/>
          <w:noProof/>
          <w:sz w:val="24"/>
        </w:rPr>
      </w:pPr>
      <w:bookmarkStart w:id="479" w:name="_Toc67565173"/>
      <w:r w:rsidRPr="00B03B51">
        <w:rPr>
          <w:rFonts w:ascii="Times New Roman" w:hAnsi="Times New Roman" w:cs="Times New Roman"/>
          <w:sz w:val="24"/>
        </w:rPr>
        <w:t>6.1.1. Vispārējo principu pamatojums</w:t>
      </w:r>
      <w:bookmarkEnd w:id="479"/>
    </w:p>
    <w:p w14:paraId="56260684" w14:textId="77777777" w:rsidR="00443399" w:rsidRPr="00B03B51" w:rsidRDefault="00443399" w:rsidP="00443399">
      <w:pPr>
        <w:pStyle w:val="BodyText"/>
        <w:tabs>
          <w:tab w:val="left" w:pos="1703"/>
        </w:tabs>
        <w:spacing w:before="0"/>
        <w:ind w:left="0" w:firstLine="0"/>
        <w:jc w:val="right"/>
        <w:rPr>
          <w:rFonts w:ascii="Times New Roman" w:hAnsi="Times New Roman" w:cs="Times New Roman"/>
          <w:noProof/>
          <w:sz w:val="24"/>
        </w:rPr>
      </w:pPr>
    </w:p>
    <w:p w14:paraId="0BD4EBBE" w14:textId="77777777" w:rsidR="00443399" w:rsidRPr="00B03B51" w:rsidRDefault="00443399" w:rsidP="00443399">
      <w:pPr>
        <w:pStyle w:val="BodyText"/>
        <w:tabs>
          <w:tab w:val="left" w:pos="170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 Valdības ieņēmumus veido tostarp rentes, nomas maksas, licences maksas, honorāri, franšīzes, ceļa nodevas, administratīvie maksājumi, koncesijas un publiskās un privātās partnerības (PPP) maksas. Nacionālajos kontos tie attiecināmi uz dažādiem darījumu veidiem, kas izskaidroti dažādās EKS 2010 nodaļās, galvenokārt 15. nodaļā “Līgumi, nomas līgumi un licences” un 20. nodaļā “Valdības konti”.</w:t>
      </w:r>
    </w:p>
    <w:p w14:paraId="0264A02F" w14:textId="77777777" w:rsidR="00443399" w:rsidRPr="00B03B51" w:rsidRDefault="00443399" w:rsidP="00443399">
      <w:pPr>
        <w:pStyle w:val="BodyText"/>
        <w:tabs>
          <w:tab w:val="left" w:pos="1703"/>
        </w:tabs>
        <w:spacing w:before="0"/>
        <w:ind w:left="0" w:firstLine="0"/>
        <w:jc w:val="both"/>
        <w:rPr>
          <w:rFonts w:ascii="Times New Roman" w:hAnsi="Times New Roman" w:cs="Times New Roman"/>
          <w:noProof/>
          <w:sz w:val="24"/>
        </w:rPr>
      </w:pPr>
    </w:p>
    <w:p w14:paraId="6961DB7A" w14:textId="77777777" w:rsidR="00443399" w:rsidRPr="00B03B51" w:rsidRDefault="00443399" w:rsidP="00443399">
      <w:pPr>
        <w:pStyle w:val="BodyText"/>
        <w:tabs>
          <w:tab w:val="left" w:pos="170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2. Rokasgrāmatas 6.1. nodaļā ir uzsvērta problēma, kā nošķirt valdības produkciju (ieņēmumus no preču un pakalpojumu pārdošanas), nodokļus, renti un aktīvu pārdošanu. Šo analīzi iedala šādās kategorijās:</w:t>
      </w:r>
    </w:p>
    <w:p w14:paraId="6A2DBE32" w14:textId="77777777" w:rsidR="00443399" w:rsidRPr="00B03B51" w:rsidRDefault="00443399" w:rsidP="00443399">
      <w:pPr>
        <w:pStyle w:val="BodyText"/>
        <w:tabs>
          <w:tab w:val="left" w:pos="1703"/>
        </w:tabs>
        <w:spacing w:before="0"/>
        <w:ind w:left="0" w:firstLine="0"/>
        <w:jc w:val="both"/>
        <w:rPr>
          <w:rFonts w:ascii="Times New Roman" w:hAnsi="Times New Roman" w:cs="Times New Roman"/>
          <w:noProof/>
          <w:sz w:val="24"/>
        </w:rPr>
      </w:pPr>
    </w:p>
    <w:p w14:paraId="77E68410" w14:textId="77777777" w:rsidR="00443399" w:rsidRPr="00B03B51" w:rsidRDefault="00443399" w:rsidP="00443399">
      <w:pPr>
        <w:pStyle w:val="BodyText"/>
        <w:tabs>
          <w:tab w:val="left" w:pos="1986"/>
        </w:tabs>
        <w:spacing w:before="0"/>
        <w:ind w:left="284" w:firstLine="0"/>
        <w:jc w:val="both"/>
        <w:rPr>
          <w:rFonts w:ascii="Times New Roman" w:hAnsi="Times New Roman" w:cs="Times New Roman"/>
          <w:noProof/>
          <w:sz w:val="24"/>
        </w:rPr>
      </w:pPr>
      <w:r w:rsidRPr="00B03B51">
        <w:rPr>
          <w:rFonts w:ascii="Times New Roman" w:hAnsi="Times New Roman" w:cs="Times New Roman"/>
          <w:sz w:val="24"/>
        </w:rPr>
        <w:t>a) ieņēmumi no valdības preču un pakalpojumu pārdošanas (ko var piegādāt citas tautsaimniecības vienības);</w:t>
      </w:r>
    </w:p>
    <w:p w14:paraId="61655C56" w14:textId="77777777" w:rsidR="00443399" w:rsidRPr="00B03B51" w:rsidRDefault="00443399" w:rsidP="00443399">
      <w:pPr>
        <w:pStyle w:val="BodyText"/>
        <w:tabs>
          <w:tab w:val="left" w:pos="1986"/>
        </w:tabs>
        <w:spacing w:before="0"/>
        <w:ind w:left="284" w:firstLine="0"/>
        <w:jc w:val="both"/>
        <w:rPr>
          <w:rFonts w:ascii="Times New Roman" w:hAnsi="Times New Roman" w:cs="Times New Roman"/>
          <w:noProof/>
          <w:sz w:val="24"/>
        </w:rPr>
      </w:pPr>
    </w:p>
    <w:p w14:paraId="08943945" w14:textId="77777777" w:rsidR="00443399" w:rsidRPr="00B03B51" w:rsidRDefault="00443399" w:rsidP="00443399">
      <w:pPr>
        <w:pStyle w:val="BodyText"/>
        <w:tabs>
          <w:tab w:val="left" w:pos="1986"/>
        </w:tabs>
        <w:spacing w:before="0"/>
        <w:ind w:left="284" w:firstLine="0"/>
        <w:jc w:val="both"/>
        <w:rPr>
          <w:rFonts w:ascii="Times New Roman" w:hAnsi="Times New Roman" w:cs="Times New Roman"/>
          <w:noProof/>
          <w:sz w:val="24"/>
        </w:rPr>
      </w:pPr>
      <w:r w:rsidRPr="00B03B51">
        <w:rPr>
          <w:rFonts w:ascii="Times New Roman" w:hAnsi="Times New Roman" w:cs="Times New Roman"/>
          <w:sz w:val="24"/>
        </w:rPr>
        <w:t>b) ieņēmumi no valdībai piederoša ražota aktīva izmantošanas;</w:t>
      </w:r>
    </w:p>
    <w:p w14:paraId="3965C05E" w14:textId="77777777" w:rsidR="00443399" w:rsidRPr="00B03B51" w:rsidRDefault="00443399" w:rsidP="00443399">
      <w:pPr>
        <w:pStyle w:val="BodyText"/>
        <w:tabs>
          <w:tab w:val="left" w:pos="1986"/>
        </w:tabs>
        <w:spacing w:before="0"/>
        <w:ind w:left="284" w:firstLine="0"/>
        <w:jc w:val="both"/>
        <w:rPr>
          <w:rFonts w:ascii="Times New Roman" w:hAnsi="Times New Roman" w:cs="Times New Roman"/>
          <w:noProof/>
          <w:sz w:val="24"/>
        </w:rPr>
      </w:pPr>
    </w:p>
    <w:p w14:paraId="0F91A7C0" w14:textId="77777777" w:rsidR="00443399" w:rsidRPr="00B03B51" w:rsidRDefault="00443399" w:rsidP="00443399">
      <w:pPr>
        <w:pStyle w:val="BodyText"/>
        <w:tabs>
          <w:tab w:val="left" w:pos="1986"/>
        </w:tabs>
        <w:spacing w:before="0"/>
        <w:ind w:left="284" w:firstLine="0"/>
        <w:jc w:val="both"/>
        <w:rPr>
          <w:rFonts w:ascii="Times New Roman" w:hAnsi="Times New Roman" w:cs="Times New Roman"/>
          <w:noProof/>
          <w:sz w:val="24"/>
        </w:rPr>
      </w:pPr>
      <w:r w:rsidRPr="00B03B51">
        <w:rPr>
          <w:rFonts w:ascii="Times New Roman" w:hAnsi="Times New Roman" w:cs="Times New Roman"/>
          <w:sz w:val="24"/>
        </w:rPr>
        <w:t>c) ieņēmumi no valdībai piederošu dabas resursu izmantošanas;</w:t>
      </w:r>
    </w:p>
    <w:p w14:paraId="61DD1CCE" w14:textId="77777777" w:rsidR="00443399" w:rsidRPr="00B03B51" w:rsidRDefault="00443399" w:rsidP="00443399">
      <w:pPr>
        <w:pStyle w:val="BodyText"/>
        <w:tabs>
          <w:tab w:val="left" w:pos="1986"/>
        </w:tabs>
        <w:spacing w:before="0"/>
        <w:ind w:left="284" w:firstLine="0"/>
        <w:jc w:val="both"/>
        <w:rPr>
          <w:rFonts w:ascii="Times New Roman" w:hAnsi="Times New Roman" w:cs="Times New Roman"/>
          <w:noProof/>
          <w:sz w:val="24"/>
        </w:rPr>
      </w:pPr>
    </w:p>
    <w:p w14:paraId="7AA7038B" w14:textId="77777777" w:rsidR="00443399" w:rsidRPr="00B03B51" w:rsidRDefault="00443399" w:rsidP="00443399">
      <w:pPr>
        <w:pStyle w:val="BodyText"/>
        <w:tabs>
          <w:tab w:val="left" w:pos="1986"/>
        </w:tabs>
        <w:spacing w:before="0"/>
        <w:ind w:left="284" w:firstLine="0"/>
        <w:jc w:val="both"/>
        <w:rPr>
          <w:rFonts w:ascii="Times New Roman" w:hAnsi="Times New Roman" w:cs="Times New Roman"/>
          <w:noProof/>
          <w:sz w:val="24"/>
        </w:rPr>
      </w:pPr>
      <w:r w:rsidRPr="00B03B51">
        <w:rPr>
          <w:rFonts w:ascii="Times New Roman" w:hAnsi="Times New Roman" w:cs="Times New Roman"/>
          <w:sz w:val="24"/>
        </w:rPr>
        <w:t>d) ieņēmumi par valdības izsniegtu atļauju veikt darbību.</w:t>
      </w:r>
    </w:p>
    <w:p w14:paraId="743FDD3C" w14:textId="77777777" w:rsidR="00443399" w:rsidRPr="00B03B51" w:rsidRDefault="00443399" w:rsidP="00443399">
      <w:pPr>
        <w:pStyle w:val="BodyText"/>
        <w:spacing w:before="0"/>
        <w:ind w:left="0" w:firstLine="0"/>
        <w:jc w:val="both"/>
        <w:rPr>
          <w:rFonts w:ascii="Times New Roman" w:hAnsi="Times New Roman" w:cs="Times New Roman"/>
          <w:noProof/>
          <w:sz w:val="24"/>
        </w:rPr>
      </w:pPr>
    </w:p>
    <w:p w14:paraId="51173CCF" w14:textId="77777777" w:rsidR="00443399" w:rsidRPr="00B03B51" w:rsidRDefault="00443399" w:rsidP="00443399">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t>Rokasgrāmatas 6.2. nodaļā ir paskaidrots, kā ierakstīt valdības nefinanšu aktīvu pārdošanu ar saņemšanu atpakaļ nomā. Tās 6.3. nodaļa ir veltīta līgumiem ar valdības sektoram nepiederošām vienībām saistībā ar pamatlīdzekļiem, tostarp koncesijām, savukārt 6.4. nodaļā ir sīkāk raksturotas PPP. Rokasgrāmatas 6.5. nodaļā ir aplūkota emisijas kvotu tirdzniecība.</w:t>
      </w:r>
    </w:p>
    <w:p w14:paraId="0384AE57" w14:textId="77777777" w:rsidR="00443399" w:rsidRPr="00B03B51" w:rsidRDefault="00443399" w:rsidP="00443399">
      <w:pPr>
        <w:jc w:val="both"/>
        <w:rPr>
          <w:rFonts w:ascii="Times New Roman" w:eastAsia="Arial" w:hAnsi="Times New Roman" w:cs="Times New Roman"/>
          <w:noProof/>
          <w:sz w:val="24"/>
          <w:szCs w:val="18"/>
        </w:rPr>
      </w:pPr>
    </w:p>
    <w:p w14:paraId="1420EA9E" w14:textId="77777777" w:rsidR="00443399" w:rsidRPr="00B03B51" w:rsidRDefault="00443399" w:rsidP="00443399">
      <w:pPr>
        <w:jc w:val="both"/>
        <w:rPr>
          <w:rFonts w:ascii="Times New Roman" w:hAnsi="Times New Roman" w:cs="Times New Roman"/>
          <w:b/>
          <w:noProof/>
          <w:sz w:val="24"/>
        </w:rPr>
      </w:pPr>
      <w:r w:rsidRPr="00B03B51">
        <w:rPr>
          <w:rFonts w:ascii="Times New Roman" w:hAnsi="Times New Roman" w:cs="Times New Roman"/>
          <w:b/>
          <w:sz w:val="24"/>
        </w:rPr>
        <w:t>Terminoloģija</w:t>
      </w:r>
    </w:p>
    <w:p w14:paraId="4DD56CEA" w14:textId="77777777" w:rsidR="00443399" w:rsidRPr="00B03B51" w:rsidRDefault="00443399" w:rsidP="00443399">
      <w:pPr>
        <w:jc w:val="both"/>
        <w:rPr>
          <w:rFonts w:ascii="Times New Roman" w:eastAsia="Arial" w:hAnsi="Times New Roman" w:cs="Times New Roman"/>
          <w:b/>
          <w:bCs/>
          <w:noProof/>
          <w:sz w:val="24"/>
        </w:rPr>
      </w:pPr>
    </w:p>
    <w:p w14:paraId="0FC02BB8" w14:textId="77777777" w:rsidR="00443399" w:rsidRPr="00B03B51" w:rsidRDefault="00443399" w:rsidP="00443399">
      <w:pPr>
        <w:pStyle w:val="BodyText"/>
        <w:tabs>
          <w:tab w:val="left" w:pos="170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3. Ņemot vērā, ka ilgtermiņa līgumi, ko slēdz valdības vienības un sabiedrības (jo īpaši “publiskās un privātās partnerības” vai “koncesiju” veidā), kļūst aizvien daudzveidīgāki, ir jāizskaidro terminoloģija, ko lieto saistībā ar nacionālajiem kontiem. Šajā rokasgrāmatā šī terminoloģija var būt izmantota atšķirīgi no tā, kā tā tiek izmantota citviet.</w:t>
      </w:r>
    </w:p>
    <w:p w14:paraId="5A59FC19" w14:textId="77777777" w:rsidR="00443399" w:rsidRPr="00B03B51" w:rsidRDefault="00443399" w:rsidP="00443399">
      <w:pPr>
        <w:pStyle w:val="BodyText"/>
        <w:tabs>
          <w:tab w:val="left" w:pos="1703"/>
        </w:tabs>
        <w:spacing w:before="0"/>
        <w:ind w:left="0" w:firstLine="0"/>
        <w:jc w:val="both"/>
        <w:rPr>
          <w:rFonts w:ascii="Times New Roman" w:hAnsi="Times New Roman" w:cs="Times New Roman"/>
          <w:noProof/>
          <w:sz w:val="24"/>
        </w:rPr>
      </w:pPr>
    </w:p>
    <w:p w14:paraId="49292525" w14:textId="77777777" w:rsidR="00443399" w:rsidRPr="00B03B51" w:rsidRDefault="00443399" w:rsidP="00443399">
      <w:pPr>
        <w:pStyle w:val="BodyText"/>
        <w:tabs>
          <w:tab w:val="left" w:pos="170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4. Koncesijas parasti ir līgumi attiecībā uz infrastruktūras objektiem, kurus var izmantot komerciāliem mērķiem. Šāda ilgtermiņa līguma gadījumā sabiedrība (vai sabiedrību grupa) ir atbildīga par aktīva būvniecību, ekspluatāciju un uzturēšanu, un atlīdzību tā saņem galvenokārt no aktīva galapatērētājiem (mājsaimniecībām, sabiedrībām u. tml.), kas maksā ceļa nodevas vai veic citus maksājumus.</w:t>
      </w:r>
    </w:p>
    <w:p w14:paraId="4A82E305" w14:textId="77777777" w:rsidR="00443399" w:rsidRPr="00B03B51" w:rsidRDefault="00443399" w:rsidP="00443399">
      <w:pPr>
        <w:jc w:val="both"/>
        <w:rPr>
          <w:rFonts w:ascii="Times New Roman" w:hAnsi="Times New Roman" w:cs="Times New Roman"/>
          <w:noProof/>
          <w:sz w:val="24"/>
        </w:rPr>
      </w:pPr>
    </w:p>
    <w:p w14:paraId="1A4C03D8"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5. PPP ir ilgtermiņa līgumi, ko valdība noslēdz ar sabiedrībām, kas būvē, ekspluatē un uztur publisko pakalpojumu nodrošināšanai paredzētos aktīvus (piemēram, valsts slimnīcas, skolas un universitātes, cietumus utt.), bet šajā gadījumā partnerim atlīdzību maksā valdība.</w:t>
      </w:r>
    </w:p>
    <w:p w14:paraId="713C44D1" w14:textId="77777777" w:rsidR="00443399" w:rsidRPr="00B03B51" w:rsidRDefault="00443399" w:rsidP="00443399">
      <w:pPr>
        <w:jc w:val="both"/>
        <w:rPr>
          <w:rFonts w:ascii="Times New Roman" w:eastAsia="Arial" w:hAnsi="Times New Roman" w:cs="Times New Roman"/>
          <w:noProof/>
          <w:sz w:val="24"/>
          <w:szCs w:val="18"/>
        </w:rPr>
      </w:pPr>
    </w:p>
    <w:p w14:paraId="3028ED7A" w14:textId="77777777" w:rsidR="00443399" w:rsidRPr="00B03B51" w:rsidRDefault="00443399" w:rsidP="00324FA9">
      <w:pPr>
        <w:pStyle w:val="Heading3"/>
        <w:keepNext/>
        <w:keepLines/>
        <w:tabs>
          <w:tab w:val="left" w:pos="1267"/>
        </w:tabs>
        <w:ind w:left="0" w:firstLine="0"/>
        <w:jc w:val="both"/>
        <w:rPr>
          <w:rFonts w:ascii="Times New Roman" w:hAnsi="Times New Roman" w:cs="Times New Roman"/>
          <w:noProof/>
          <w:sz w:val="24"/>
        </w:rPr>
      </w:pPr>
      <w:bookmarkStart w:id="480" w:name="_Toc67565174"/>
      <w:r w:rsidRPr="00B03B51">
        <w:rPr>
          <w:rFonts w:ascii="Times New Roman" w:hAnsi="Times New Roman" w:cs="Times New Roman"/>
          <w:sz w:val="24"/>
        </w:rPr>
        <w:lastRenderedPageBreak/>
        <w:t>6.1.2. Vispārējs traktējums nacionālajos kontos</w:t>
      </w:r>
      <w:bookmarkEnd w:id="480"/>
    </w:p>
    <w:p w14:paraId="2D2B3C5C" w14:textId="77777777" w:rsidR="00443399" w:rsidRPr="00BE27DC" w:rsidRDefault="00443399" w:rsidP="00324FA9">
      <w:pPr>
        <w:keepNext/>
        <w:rPr>
          <w:rFonts w:ascii="Times New Roman" w:hAnsi="Times New Roman" w:cs="Times New Roman"/>
          <w:noProof/>
          <w:sz w:val="24"/>
          <w:szCs w:val="24"/>
        </w:rPr>
      </w:pPr>
    </w:p>
    <w:p w14:paraId="6EB7637F" w14:textId="77777777" w:rsidR="00443399" w:rsidRPr="00B03B51" w:rsidRDefault="00443399" w:rsidP="00324FA9">
      <w:pPr>
        <w:pStyle w:val="Heading6"/>
        <w:keepNext/>
        <w:keepLines/>
        <w:tabs>
          <w:tab w:val="left" w:pos="1267"/>
        </w:tabs>
        <w:ind w:left="0" w:firstLine="0"/>
        <w:jc w:val="both"/>
        <w:rPr>
          <w:rFonts w:ascii="Times New Roman" w:hAnsi="Times New Roman" w:cs="Times New Roman"/>
          <w:noProof/>
          <w:sz w:val="24"/>
        </w:rPr>
      </w:pPr>
      <w:r w:rsidRPr="00B03B51">
        <w:rPr>
          <w:rFonts w:ascii="Times New Roman" w:hAnsi="Times New Roman" w:cs="Times New Roman"/>
          <w:sz w:val="24"/>
        </w:rPr>
        <w:t>6.1.2.1. VALDĪBAS IEŅĒMUMI PAR PRECĒM UN PAKALPOJUMIEM (KO VAR NODROŠINĀT CITAS VIENĪBAS)</w:t>
      </w:r>
    </w:p>
    <w:p w14:paraId="0C70E352" w14:textId="77777777" w:rsidR="00443399" w:rsidRPr="00B03B51" w:rsidRDefault="00443399" w:rsidP="00324FA9">
      <w:pPr>
        <w:pStyle w:val="BodyText"/>
        <w:keepNext/>
        <w:keepLines/>
        <w:tabs>
          <w:tab w:val="left" w:pos="843"/>
        </w:tabs>
        <w:spacing w:before="0"/>
        <w:ind w:left="0" w:firstLine="0"/>
        <w:jc w:val="both"/>
        <w:rPr>
          <w:rFonts w:ascii="Times New Roman" w:hAnsi="Times New Roman" w:cs="Times New Roman"/>
          <w:noProof/>
          <w:sz w:val="24"/>
        </w:rPr>
      </w:pPr>
    </w:p>
    <w:p w14:paraId="61CD6EB8" w14:textId="77777777" w:rsidR="00443399" w:rsidRPr="00B03B51" w:rsidRDefault="00443399" w:rsidP="00324FA9">
      <w:pPr>
        <w:pStyle w:val="BodyText"/>
        <w:keepN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6. Saņemtie maksājumi var būt mazāki par ražošanas izmaksām, vienādi ar tām vai lielāki par tām – tas neietekmē klasifikāciju.</w:t>
      </w:r>
    </w:p>
    <w:p w14:paraId="211D6FF3" w14:textId="77777777" w:rsidR="00443399" w:rsidRPr="00B03B51" w:rsidRDefault="00443399" w:rsidP="00443399">
      <w:pPr>
        <w:pStyle w:val="BodyText"/>
        <w:spacing w:before="0"/>
        <w:ind w:left="0" w:firstLine="0"/>
        <w:jc w:val="both"/>
        <w:rPr>
          <w:rFonts w:ascii="Times New Roman" w:hAnsi="Times New Roman" w:cs="Times New Roman"/>
          <w:b/>
          <w:bCs/>
          <w:noProof/>
          <w:sz w:val="24"/>
        </w:rPr>
      </w:pPr>
    </w:p>
    <w:p w14:paraId="015C6E5C" w14:textId="77777777" w:rsidR="00443399" w:rsidRPr="00B03B51" w:rsidRDefault="00443399" w:rsidP="00443399">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b/>
          <w:bCs/>
          <w:sz w:val="24"/>
        </w:rPr>
        <w:t>Traktējums:</w:t>
      </w:r>
      <w:r w:rsidRPr="00B03B51">
        <w:rPr>
          <w:rFonts w:ascii="Times New Roman" w:hAnsi="Times New Roman" w:cs="Times New Roman"/>
          <w:sz w:val="24"/>
        </w:rPr>
        <w:t xml:space="preserve"> ieraksta kā pārdošanu – produkciju (P.1), jo īpaši tirgus produkciju (P.11), ja tiek piemērotas ekonomiski nozīmīgas cenas; pretējā gadījumā ieraksta kā maksājumus par ārpustirgus produkciju (P.131). Piemēram, ieņēmumi par mācību nodrošināšanu, maksas, kas iekasētas par uzņēmumiem sniegtām konsultācijām, maksas par pētījumu līgumiem. Cits piemērs ir kādas darbības veikšanai nepieciešamās kompetences pārbaude personai (piemēram, transportlīdzekļa vadīšanas kompetences pārbaude). Vienīgi tad, ja maksas par šādām reglamentējošām darbībām ir samērīgas ar izmaksām, šādus ieņēmumus klasificē kā P.131., pretējā gadījumā tās ieraksta kā nodokļu ieņēmumus (skat. arī 6.1.2.5. apakšiedaļu “Maksājumi, ko valdība saņem par atļaujas izsniegšanu darbības veikšanai”).</w:t>
      </w:r>
    </w:p>
    <w:p w14:paraId="520271EC" w14:textId="77777777" w:rsidR="00443399" w:rsidRPr="00B03B51" w:rsidRDefault="00443399" w:rsidP="00443399">
      <w:pPr>
        <w:jc w:val="both"/>
        <w:rPr>
          <w:rFonts w:ascii="Times New Roman" w:hAnsi="Times New Roman" w:cs="Times New Roman"/>
          <w:noProof/>
          <w:sz w:val="24"/>
        </w:rPr>
      </w:pPr>
    </w:p>
    <w:p w14:paraId="42D954E9" w14:textId="77777777" w:rsidR="00443399" w:rsidRPr="00B03B51" w:rsidRDefault="00443399" w:rsidP="00443399">
      <w:pPr>
        <w:pStyle w:val="Heading6"/>
        <w:tabs>
          <w:tab w:val="left" w:pos="1267"/>
        </w:tabs>
        <w:ind w:left="0" w:firstLine="0"/>
        <w:jc w:val="both"/>
        <w:rPr>
          <w:rFonts w:ascii="Times New Roman" w:hAnsi="Times New Roman" w:cs="Times New Roman"/>
          <w:noProof/>
          <w:sz w:val="24"/>
        </w:rPr>
      </w:pPr>
      <w:r w:rsidRPr="00B03B51">
        <w:rPr>
          <w:rFonts w:ascii="Times New Roman" w:hAnsi="Times New Roman" w:cs="Times New Roman"/>
          <w:sz w:val="24"/>
        </w:rPr>
        <w:t>6.1.2.2. VALDĪBAS IEŅĒMUMI PAR RAŽOTA AKTĪVA IZMANTOŠANU</w:t>
      </w:r>
    </w:p>
    <w:p w14:paraId="269B3C59"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2C66E3AC"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7. Saņemtie maksājumi var būt mazāki par ražošanas izmaksām, vienādi ar tām vai lielāki par tām – tas neietekmē klasifikāciju.</w:t>
      </w:r>
    </w:p>
    <w:p w14:paraId="0238FFF3"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5FBFC52C"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8. Atkarībā no izmantošanas laika posma var izšķirt trīs saņemto maksājumu apakškategorijas.</w:t>
      </w:r>
    </w:p>
    <w:p w14:paraId="5AFC1628" w14:textId="77777777" w:rsidR="00443399" w:rsidRPr="00B03B51" w:rsidRDefault="00443399" w:rsidP="00443399">
      <w:pPr>
        <w:pStyle w:val="BodyText"/>
        <w:tabs>
          <w:tab w:val="left" w:pos="1126"/>
        </w:tabs>
        <w:spacing w:before="0"/>
        <w:ind w:left="0" w:firstLine="0"/>
        <w:jc w:val="both"/>
        <w:rPr>
          <w:rFonts w:ascii="Times New Roman" w:hAnsi="Times New Roman" w:cs="Times New Roman"/>
          <w:noProof/>
          <w:sz w:val="24"/>
        </w:rPr>
      </w:pPr>
    </w:p>
    <w:p w14:paraId="13EADFF7" w14:textId="77777777" w:rsidR="00443399" w:rsidRPr="00B03B51" w:rsidRDefault="00443399" w:rsidP="00443399">
      <w:pPr>
        <w:pStyle w:val="BodyText"/>
        <w:tabs>
          <w:tab w:val="left" w:pos="1126"/>
        </w:tabs>
        <w:spacing w:before="0"/>
        <w:ind w:left="284" w:firstLine="0"/>
        <w:jc w:val="both"/>
        <w:rPr>
          <w:rFonts w:ascii="Times New Roman" w:hAnsi="Times New Roman" w:cs="Times New Roman"/>
          <w:noProof/>
          <w:sz w:val="24"/>
        </w:rPr>
      </w:pPr>
      <w:r w:rsidRPr="00B03B51">
        <w:rPr>
          <w:rFonts w:ascii="Times New Roman" w:hAnsi="Times New Roman" w:cs="Times New Roman"/>
          <w:sz w:val="24"/>
        </w:rPr>
        <w:t>i) Maksājumi, kas tiek saņemti ikreiz, kad tiek izmantots aktīvs vai tiek veikts kāds maksājums, kas ļauj izmantot aktīvu laika posmā, kurš ir mazāks par vienu gadu (un nav ietverts līgumā, kurā nepieprasa maksājumus izmantošanai ilgākā laika posmā).</w:t>
      </w:r>
    </w:p>
    <w:p w14:paraId="349EBBA2" w14:textId="77777777" w:rsidR="00443399" w:rsidRPr="00B03B51" w:rsidRDefault="00443399" w:rsidP="00443399">
      <w:pPr>
        <w:pStyle w:val="BodyText"/>
        <w:spacing w:before="0"/>
        <w:ind w:left="284" w:firstLine="0"/>
        <w:jc w:val="both"/>
        <w:rPr>
          <w:rFonts w:ascii="Times New Roman" w:hAnsi="Times New Roman" w:cs="Times New Roman"/>
          <w:b/>
          <w:bCs/>
          <w:noProof/>
          <w:sz w:val="24"/>
        </w:rPr>
      </w:pPr>
    </w:p>
    <w:p w14:paraId="4890F278" w14:textId="77777777" w:rsidR="00443399" w:rsidRPr="00B03B51" w:rsidRDefault="00443399" w:rsidP="00443399">
      <w:pPr>
        <w:pStyle w:val="BodyText"/>
        <w:spacing w:before="0"/>
        <w:ind w:left="284" w:firstLine="0"/>
        <w:jc w:val="both"/>
        <w:rPr>
          <w:rFonts w:ascii="Times New Roman" w:hAnsi="Times New Roman" w:cs="Times New Roman"/>
          <w:noProof/>
          <w:sz w:val="24"/>
        </w:rPr>
      </w:pPr>
      <w:r w:rsidRPr="00B03B51">
        <w:rPr>
          <w:rFonts w:ascii="Times New Roman" w:hAnsi="Times New Roman" w:cs="Times New Roman"/>
          <w:b/>
          <w:bCs/>
          <w:sz w:val="24"/>
        </w:rPr>
        <w:t>Traktējums:</w:t>
      </w:r>
      <w:r w:rsidRPr="00B03B51">
        <w:rPr>
          <w:rFonts w:ascii="Times New Roman" w:hAnsi="Times New Roman" w:cs="Times New Roman"/>
          <w:sz w:val="24"/>
        </w:rPr>
        <w:t xml:space="preserve"> ieraksta kā pārdošanu – produkciju (P.1), proti, kā tirgus produkciju (P.11), ja tiek piemērotas ekonomiski nozīmīgas cenas, un kā maksājumus par ārpustirgus produkciju (P.131) pretējā gadījumā.</w:t>
      </w:r>
    </w:p>
    <w:p w14:paraId="7BB2BD68" w14:textId="77777777" w:rsidR="00443399" w:rsidRPr="00B03B51" w:rsidRDefault="00443399" w:rsidP="00443399">
      <w:pPr>
        <w:pStyle w:val="BodyText"/>
        <w:spacing w:before="0"/>
        <w:ind w:left="284" w:firstLine="0"/>
        <w:jc w:val="both"/>
        <w:rPr>
          <w:rFonts w:ascii="Times New Roman" w:hAnsi="Times New Roman" w:cs="Times New Roman"/>
          <w:noProof/>
          <w:sz w:val="24"/>
        </w:rPr>
      </w:pPr>
    </w:p>
    <w:p w14:paraId="13193A7E" w14:textId="77777777" w:rsidR="00443399" w:rsidRPr="00B03B51" w:rsidRDefault="00443399" w:rsidP="00443399">
      <w:pPr>
        <w:pStyle w:val="BodyText"/>
        <w:spacing w:before="0"/>
        <w:ind w:left="284" w:firstLine="0"/>
        <w:jc w:val="both"/>
        <w:rPr>
          <w:rFonts w:ascii="Times New Roman" w:hAnsi="Times New Roman" w:cs="Times New Roman"/>
          <w:noProof/>
          <w:sz w:val="24"/>
        </w:rPr>
      </w:pPr>
      <w:r w:rsidRPr="00B03B51">
        <w:rPr>
          <w:rFonts w:ascii="Times New Roman" w:hAnsi="Times New Roman" w:cs="Times New Roman"/>
          <w:sz w:val="24"/>
        </w:rPr>
        <w:t>Piemēram, valdībai piederošu ēku noma, ceļu un tiltu nodevas, konkrēta valsts ceļa izmantošanas atļauja uz noteiktu laiku, sporta centru vai peldbaseinu izmantošanas maksas, ieejas maksas sabiedriskās ēkās.</w:t>
      </w:r>
    </w:p>
    <w:p w14:paraId="49E5A30E" w14:textId="77777777" w:rsidR="00443399" w:rsidRPr="00B03B51" w:rsidRDefault="00443399" w:rsidP="00443399">
      <w:pPr>
        <w:pStyle w:val="BodyText"/>
        <w:spacing w:before="0"/>
        <w:ind w:left="284" w:firstLine="0"/>
        <w:jc w:val="both"/>
        <w:rPr>
          <w:rFonts w:ascii="Times New Roman" w:hAnsi="Times New Roman" w:cs="Times New Roman"/>
          <w:noProof/>
          <w:sz w:val="24"/>
        </w:rPr>
      </w:pPr>
    </w:p>
    <w:p w14:paraId="09AD1B2B" w14:textId="77777777" w:rsidR="00443399" w:rsidRPr="00B03B51" w:rsidRDefault="00443399" w:rsidP="00443399">
      <w:pPr>
        <w:pStyle w:val="BodyText"/>
        <w:tabs>
          <w:tab w:val="left" w:pos="1126"/>
        </w:tabs>
        <w:spacing w:before="0"/>
        <w:ind w:left="284" w:firstLine="0"/>
        <w:jc w:val="both"/>
        <w:rPr>
          <w:rFonts w:ascii="Times New Roman" w:hAnsi="Times New Roman" w:cs="Times New Roman"/>
          <w:noProof/>
          <w:sz w:val="24"/>
        </w:rPr>
      </w:pPr>
      <w:r w:rsidRPr="00B03B51">
        <w:rPr>
          <w:rFonts w:ascii="Times New Roman" w:hAnsi="Times New Roman" w:cs="Times New Roman"/>
          <w:sz w:val="24"/>
        </w:rPr>
        <w:t>ii) Maksājums ir daļa no līguma, kas pieļauj aktīva izmantošanu vairāk par vienu gadu, bet mazāk par tā ekonomisko ciklu, piemēram, koncesijas vai PPP veida līgumi. Nav svarīgi, cik daudz individuālo maksājumu ir jāveic saskaņā ar līgumu. Svarīgs ir tikai līguma darbības termiņš.</w:t>
      </w:r>
    </w:p>
    <w:p w14:paraId="50F7F43F" w14:textId="77777777" w:rsidR="00443399" w:rsidRPr="00B03B51" w:rsidRDefault="00443399" w:rsidP="00443399">
      <w:pPr>
        <w:pStyle w:val="BodyText"/>
        <w:spacing w:before="0"/>
        <w:ind w:left="284" w:firstLine="0"/>
        <w:jc w:val="both"/>
        <w:rPr>
          <w:rFonts w:ascii="Times New Roman" w:hAnsi="Times New Roman" w:cs="Times New Roman"/>
          <w:b/>
          <w:bCs/>
          <w:noProof/>
          <w:sz w:val="24"/>
        </w:rPr>
      </w:pPr>
    </w:p>
    <w:p w14:paraId="5361F47F" w14:textId="77777777" w:rsidR="00443399" w:rsidRPr="00B03B51" w:rsidRDefault="00443399" w:rsidP="00443399">
      <w:pPr>
        <w:pStyle w:val="BodyText"/>
        <w:spacing w:before="0"/>
        <w:ind w:left="284" w:firstLine="0"/>
        <w:jc w:val="both"/>
        <w:rPr>
          <w:rFonts w:ascii="Times New Roman" w:hAnsi="Times New Roman" w:cs="Times New Roman"/>
          <w:noProof/>
          <w:sz w:val="24"/>
        </w:rPr>
      </w:pPr>
      <w:r w:rsidRPr="00B03B51">
        <w:rPr>
          <w:rFonts w:ascii="Times New Roman" w:hAnsi="Times New Roman" w:cs="Times New Roman"/>
          <w:b/>
          <w:bCs/>
          <w:sz w:val="24"/>
        </w:rPr>
        <w:t>Traktējums:</w:t>
      </w:r>
      <w:r w:rsidRPr="00B03B51">
        <w:rPr>
          <w:rFonts w:ascii="Times New Roman" w:hAnsi="Times New Roman" w:cs="Times New Roman"/>
          <w:sz w:val="24"/>
        </w:rPr>
        <w:t xml:space="preserve"> piemēro operatīvās nomas/finanšu nomas testu (EKS 2010 15.11. punkts un 15.16.–15.18. punkts), bet PPP gadījumā ir jāizvērtē risku sadalījums (skat. 6.4. nodaļu “Publiskā un privātā partnerība”). Kaut arī, visticamāk, valdība neuzskatītu, ka tā nodarbojas ar finanšu nomas nodrošināšanu, būtu piemēroti ierakstīt, ka valdība pārdod esošo aktīvu, kad vienība, kura to pērk, uzņemas lielāko daļu ar īpašumtiesībām saistīto risku un priekšrocību uz līgumā noteikto laiku un ja līgumam ir skaidras finanšu nomas pazīmes.</w:t>
      </w:r>
    </w:p>
    <w:p w14:paraId="6FED7D48" w14:textId="77777777" w:rsidR="00443399" w:rsidRPr="00B03B51" w:rsidRDefault="00443399" w:rsidP="00443399">
      <w:pPr>
        <w:pStyle w:val="BodyText"/>
        <w:spacing w:before="0"/>
        <w:ind w:left="284" w:firstLine="0"/>
        <w:jc w:val="both"/>
        <w:rPr>
          <w:rFonts w:ascii="Times New Roman" w:hAnsi="Times New Roman" w:cs="Times New Roman"/>
          <w:noProof/>
          <w:sz w:val="24"/>
        </w:rPr>
      </w:pPr>
    </w:p>
    <w:p w14:paraId="04EC287F" w14:textId="77777777" w:rsidR="00443399" w:rsidRPr="00B03B51" w:rsidRDefault="00443399" w:rsidP="00443399">
      <w:pPr>
        <w:pStyle w:val="BodyText"/>
        <w:spacing w:before="0"/>
        <w:ind w:left="284" w:firstLine="0"/>
        <w:jc w:val="both"/>
        <w:rPr>
          <w:rFonts w:ascii="Times New Roman" w:hAnsi="Times New Roman" w:cs="Times New Roman"/>
          <w:noProof/>
          <w:sz w:val="24"/>
        </w:rPr>
      </w:pPr>
      <w:r w:rsidRPr="00B03B51">
        <w:rPr>
          <w:rFonts w:ascii="Times New Roman" w:hAnsi="Times New Roman" w:cs="Times New Roman"/>
          <w:sz w:val="24"/>
        </w:rPr>
        <w:t xml:space="preserve">Operatīvā noma un PPP, kad var uzskatīt, ka valdība ir aktīvu ekonomiskais īpašnieks: ieraksta kā nomas maksu (P.1) (viena sākotnējā maksājuma gadījumā būtu jāveic uzkrājumi </w:t>
      </w:r>
      <w:r w:rsidRPr="00B03B51">
        <w:rPr>
          <w:rFonts w:ascii="Times New Roman" w:hAnsi="Times New Roman" w:cs="Times New Roman"/>
          <w:sz w:val="24"/>
        </w:rPr>
        <w:lastRenderedPageBreak/>
        <w:t>līguma darbības laikā un priekšapmaksa jāieraksta kā tirdzniecības kredīti un avansi (F.81)).</w:t>
      </w:r>
    </w:p>
    <w:p w14:paraId="72DA54FE" w14:textId="77777777" w:rsidR="00443399" w:rsidRPr="00B03B51" w:rsidRDefault="00443399" w:rsidP="00443399">
      <w:pPr>
        <w:pStyle w:val="BodyText"/>
        <w:spacing w:before="0"/>
        <w:ind w:left="284" w:firstLine="0"/>
        <w:jc w:val="both"/>
        <w:rPr>
          <w:rFonts w:ascii="Times New Roman" w:hAnsi="Times New Roman" w:cs="Times New Roman"/>
          <w:noProof/>
          <w:sz w:val="24"/>
        </w:rPr>
      </w:pPr>
    </w:p>
    <w:p w14:paraId="3CFB91B4" w14:textId="77777777" w:rsidR="00443399" w:rsidRPr="00B03B51" w:rsidRDefault="00443399" w:rsidP="00443399">
      <w:pPr>
        <w:pStyle w:val="BodyText"/>
        <w:spacing w:before="0"/>
        <w:ind w:left="284" w:firstLine="0"/>
        <w:jc w:val="both"/>
        <w:rPr>
          <w:rFonts w:ascii="Times New Roman" w:hAnsi="Times New Roman" w:cs="Times New Roman"/>
          <w:noProof/>
          <w:sz w:val="24"/>
        </w:rPr>
      </w:pPr>
      <w:r w:rsidRPr="00B03B51">
        <w:rPr>
          <w:rFonts w:ascii="Times New Roman" w:hAnsi="Times New Roman" w:cs="Times New Roman"/>
          <w:sz w:val="24"/>
        </w:rPr>
        <w:t>Piemēri: viens priekšapmaksas maksājums no uzņēmuma, lai tas piecus gadus varētu izmantot valdībai piederošu ēku – ieraksta kā nomas maksu (P.1), uzkrāj piecus gadus ilgā laika posmā un pozīcijā “citas kreditoru saistības” (F.81) ieraksta finanšu saistības.</w:t>
      </w:r>
    </w:p>
    <w:p w14:paraId="1A1182EE" w14:textId="77777777" w:rsidR="00443399" w:rsidRPr="00B03B51" w:rsidRDefault="00443399" w:rsidP="00443399">
      <w:pPr>
        <w:pStyle w:val="BodyText"/>
        <w:tabs>
          <w:tab w:val="left" w:pos="1126"/>
        </w:tabs>
        <w:spacing w:before="0"/>
        <w:ind w:left="284" w:firstLine="0"/>
        <w:jc w:val="both"/>
        <w:rPr>
          <w:rFonts w:ascii="Times New Roman" w:hAnsi="Times New Roman" w:cs="Times New Roman"/>
          <w:noProof/>
          <w:sz w:val="24"/>
        </w:rPr>
      </w:pPr>
    </w:p>
    <w:p w14:paraId="2CD8A474" w14:textId="77777777" w:rsidR="00443399" w:rsidRPr="00B03B51" w:rsidRDefault="00443399" w:rsidP="00443399">
      <w:pPr>
        <w:pStyle w:val="BodyText"/>
        <w:tabs>
          <w:tab w:val="left" w:pos="1126"/>
        </w:tabs>
        <w:spacing w:before="0"/>
        <w:ind w:left="284" w:firstLine="0"/>
        <w:jc w:val="both"/>
        <w:rPr>
          <w:rFonts w:ascii="Times New Roman" w:hAnsi="Times New Roman" w:cs="Times New Roman"/>
          <w:noProof/>
          <w:sz w:val="24"/>
        </w:rPr>
      </w:pPr>
      <w:r w:rsidRPr="00B03B51">
        <w:rPr>
          <w:rFonts w:ascii="Times New Roman" w:hAnsi="Times New Roman" w:cs="Times New Roman"/>
          <w:sz w:val="24"/>
        </w:rPr>
        <w:t>iii) Maksājums ir par periodu, kas pārsniedz aktīva ekonomisko ciklu.</w:t>
      </w:r>
    </w:p>
    <w:p w14:paraId="0E29AE44" w14:textId="77777777" w:rsidR="00443399" w:rsidRPr="00B03B51" w:rsidRDefault="00443399" w:rsidP="00443399">
      <w:pPr>
        <w:pStyle w:val="BodyText"/>
        <w:spacing w:before="0"/>
        <w:ind w:left="284" w:firstLine="0"/>
        <w:jc w:val="both"/>
        <w:rPr>
          <w:rFonts w:ascii="Times New Roman" w:hAnsi="Times New Roman" w:cs="Times New Roman"/>
          <w:b/>
          <w:noProof/>
          <w:sz w:val="24"/>
        </w:rPr>
      </w:pPr>
    </w:p>
    <w:p w14:paraId="700F1C0D" w14:textId="77777777" w:rsidR="00443399" w:rsidRPr="00B03B51" w:rsidRDefault="00443399" w:rsidP="00443399">
      <w:pPr>
        <w:pStyle w:val="BodyText"/>
        <w:spacing w:before="0"/>
        <w:ind w:left="284" w:firstLine="0"/>
        <w:jc w:val="both"/>
        <w:rPr>
          <w:rFonts w:ascii="Times New Roman" w:hAnsi="Times New Roman" w:cs="Times New Roman"/>
          <w:noProof/>
          <w:sz w:val="24"/>
        </w:rPr>
      </w:pPr>
      <w:r w:rsidRPr="00B03B51">
        <w:rPr>
          <w:rFonts w:ascii="Times New Roman" w:hAnsi="Times New Roman" w:cs="Times New Roman"/>
          <w:b/>
          <w:bCs/>
          <w:sz w:val="24"/>
        </w:rPr>
        <w:t>Traktējums:</w:t>
      </w:r>
      <w:r w:rsidRPr="00B03B51">
        <w:rPr>
          <w:rFonts w:ascii="Times New Roman" w:hAnsi="Times New Roman" w:cs="Times New Roman"/>
          <w:sz w:val="24"/>
        </w:rPr>
        <w:t xml:space="preserve"> ražotā aktīva ekonomiskā pārdošana (P.51).</w:t>
      </w:r>
    </w:p>
    <w:p w14:paraId="0EB40527" w14:textId="77777777" w:rsidR="00443399" w:rsidRPr="00B03B51" w:rsidRDefault="00443399" w:rsidP="00443399">
      <w:pPr>
        <w:jc w:val="both"/>
        <w:rPr>
          <w:rFonts w:ascii="Times New Roman" w:eastAsia="Arial" w:hAnsi="Times New Roman" w:cs="Times New Roman"/>
          <w:noProof/>
          <w:sz w:val="24"/>
          <w:szCs w:val="17"/>
        </w:rPr>
      </w:pPr>
    </w:p>
    <w:p w14:paraId="2B366856" w14:textId="77777777" w:rsidR="00443399" w:rsidRPr="00B03B51" w:rsidRDefault="00443399" w:rsidP="00443399">
      <w:pPr>
        <w:pStyle w:val="Heading6"/>
        <w:tabs>
          <w:tab w:val="left" w:pos="1267"/>
        </w:tabs>
        <w:ind w:left="0" w:firstLine="0"/>
        <w:jc w:val="both"/>
        <w:rPr>
          <w:rFonts w:ascii="Times New Roman" w:hAnsi="Times New Roman" w:cs="Times New Roman"/>
          <w:noProof/>
          <w:sz w:val="24"/>
        </w:rPr>
      </w:pPr>
      <w:r w:rsidRPr="00B03B51">
        <w:rPr>
          <w:rFonts w:ascii="Times New Roman" w:hAnsi="Times New Roman" w:cs="Times New Roman"/>
          <w:sz w:val="24"/>
        </w:rPr>
        <w:t>6.1.2.3. MAKSĀJUMI, KO VALDĪBA SAŅEM PAR DABAS RESURSU IZMANTOŠANU</w:t>
      </w:r>
    </w:p>
    <w:p w14:paraId="614D6370"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70ECA25E"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9. Valdības dabas resursi (AN.21) ir zeme, zemes dzīļu aktīvi un citi materiāli dabas resursu aktīvi, attiecībā uz kuriem realizē valdības īpašumtiesības vai nu kā juridiskas īpašumtiesības, vai arī saskaņā ar starptautiskiem līgumiem vai konvencijām. Vienībām, kas ietilpst citos ekonomikas sektoros, šādi aktīvi var būt un var nebūt īpašumā un tās tos var vai nevar tirgot. Minētajā kategorijā neietilpst:</w:t>
      </w:r>
    </w:p>
    <w:p w14:paraId="411DD274"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301F91F8" w14:textId="77777777" w:rsidR="00443399" w:rsidRPr="00B03B51" w:rsidRDefault="00443399" w:rsidP="004205D9">
      <w:pPr>
        <w:pStyle w:val="BodyText"/>
        <w:numPr>
          <w:ilvl w:val="4"/>
          <w:numId w:val="55"/>
        </w:numPr>
        <w:spacing w:before="0"/>
        <w:ind w:left="426" w:hanging="425"/>
        <w:jc w:val="both"/>
        <w:rPr>
          <w:rFonts w:ascii="Times New Roman" w:hAnsi="Times New Roman" w:cs="Times New Roman"/>
          <w:noProof/>
          <w:sz w:val="24"/>
        </w:rPr>
      </w:pPr>
      <w:r w:rsidRPr="00B03B51">
        <w:rPr>
          <w:rFonts w:ascii="Times New Roman" w:hAnsi="Times New Roman" w:cs="Times New Roman"/>
          <w:sz w:val="24"/>
        </w:rPr>
        <w:t>maksājumi, ko valdība saņem par dabas resursu izmantošanu, ja šādi maksājumi izriet no īpašiem tiesību aktiem, kuros valdībai ir paredzētas tiesības tos pieprasīt, ja valdība nav šo aktīvu likumīgā vai ekonomiskā īpašniece;</w:t>
      </w:r>
    </w:p>
    <w:p w14:paraId="462FAB2A" w14:textId="77777777" w:rsidR="00443399" w:rsidRPr="00B03B51" w:rsidRDefault="00443399" w:rsidP="004205D9">
      <w:pPr>
        <w:pStyle w:val="BodyText"/>
        <w:numPr>
          <w:ilvl w:val="4"/>
          <w:numId w:val="55"/>
        </w:numPr>
        <w:spacing w:before="0"/>
        <w:ind w:left="426" w:hanging="425"/>
        <w:jc w:val="both"/>
        <w:rPr>
          <w:rFonts w:ascii="Times New Roman" w:hAnsi="Times New Roman" w:cs="Times New Roman"/>
          <w:noProof/>
          <w:sz w:val="24"/>
        </w:rPr>
      </w:pPr>
      <w:r w:rsidRPr="00B03B51">
        <w:rPr>
          <w:rFonts w:ascii="Times New Roman" w:hAnsi="Times New Roman" w:cs="Times New Roman"/>
          <w:sz w:val="24"/>
        </w:rPr>
        <w:t>maksājumi, ko valdība saņem, kad tā nav ekonomiskā īpašniece vai kad ekonomiskās īpašumtiesības nav noteiktas un nav pamata valdību uzskatīt par aktīvu ekonomisko īpašnieci;</w:t>
      </w:r>
    </w:p>
    <w:p w14:paraId="2DC63C75" w14:textId="77777777" w:rsidR="00443399" w:rsidRPr="00B03B51" w:rsidRDefault="00443399" w:rsidP="004205D9">
      <w:pPr>
        <w:pStyle w:val="BodyText"/>
        <w:numPr>
          <w:ilvl w:val="4"/>
          <w:numId w:val="55"/>
        </w:numPr>
        <w:spacing w:before="0"/>
        <w:ind w:left="426" w:hanging="425"/>
        <w:jc w:val="both"/>
        <w:rPr>
          <w:rFonts w:ascii="Times New Roman" w:hAnsi="Times New Roman" w:cs="Times New Roman"/>
          <w:noProof/>
          <w:sz w:val="24"/>
        </w:rPr>
      </w:pPr>
      <w:r w:rsidRPr="00B03B51">
        <w:rPr>
          <w:rFonts w:ascii="Times New Roman" w:hAnsi="Times New Roman" w:cs="Times New Roman"/>
          <w:sz w:val="24"/>
        </w:rPr>
        <w:t>“vides aktīvi”, kuri netiek uzskatīti par ekonomiskajiem aktīviem (skat. EKS 2010 7. nodaļas “Bilance” 7.1. pielikumu);</w:t>
      </w:r>
    </w:p>
    <w:p w14:paraId="290A11F2" w14:textId="77777777" w:rsidR="00443399" w:rsidRPr="00B03B51" w:rsidRDefault="00443399" w:rsidP="004205D9">
      <w:pPr>
        <w:pStyle w:val="BodyText"/>
        <w:numPr>
          <w:ilvl w:val="4"/>
          <w:numId w:val="55"/>
        </w:numPr>
        <w:spacing w:before="0"/>
        <w:ind w:left="426" w:hanging="425"/>
        <w:jc w:val="both"/>
        <w:rPr>
          <w:rFonts w:ascii="Times New Roman" w:hAnsi="Times New Roman" w:cs="Times New Roman"/>
          <w:noProof/>
          <w:sz w:val="24"/>
        </w:rPr>
      </w:pPr>
      <w:r w:rsidRPr="00B03B51">
        <w:rPr>
          <w:rFonts w:ascii="Times New Roman" w:hAnsi="Times New Roman" w:cs="Times New Roman"/>
          <w:sz w:val="24"/>
        </w:rPr>
        <w:t>netiešie ieņēmumi no dabas resursiem, piemēram, dividendes no publiskām sabiedrībām, kuras izmanto dabas resursus, un uzņēmumu nodoklis no sabiedrībām, kuras izmanto dabas resursus (EKS 2010 15.30. punkts).</w:t>
      </w:r>
    </w:p>
    <w:p w14:paraId="025F48A9"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1C732369"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10. Ieņēmumos no dabas resursu izmantošanas ietilpst šādi divi maksājumu veidi:</w:t>
      </w:r>
    </w:p>
    <w:p w14:paraId="0822267A"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212ACAB3" w14:textId="77777777" w:rsidR="00443399" w:rsidRPr="00B03B51" w:rsidRDefault="00443399" w:rsidP="004205D9">
      <w:pPr>
        <w:pStyle w:val="BodyText"/>
        <w:numPr>
          <w:ilvl w:val="4"/>
          <w:numId w:val="55"/>
        </w:numPr>
        <w:spacing w:before="0"/>
        <w:ind w:left="426" w:hanging="425"/>
        <w:jc w:val="both"/>
        <w:rPr>
          <w:rFonts w:ascii="Times New Roman" w:hAnsi="Times New Roman" w:cs="Times New Roman"/>
          <w:noProof/>
          <w:sz w:val="24"/>
        </w:rPr>
      </w:pPr>
      <w:r w:rsidRPr="00B03B51">
        <w:rPr>
          <w:rFonts w:ascii="Times New Roman" w:hAnsi="Times New Roman" w:cs="Times New Roman"/>
          <w:sz w:val="24"/>
        </w:rPr>
        <w:t>maksājumi, ko veic ikreiz, kad tiek izmantots aktīvs vai tiek veikts vienreizējs maksājums, kas ļauj izmantot aktīvu noteiktā laika posmā;</w:t>
      </w:r>
    </w:p>
    <w:p w14:paraId="01AEE73C" w14:textId="77777777" w:rsidR="00443399" w:rsidRPr="00B03B51" w:rsidRDefault="00443399" w:rsidP="004205D9">
      <w:pPr>
        <w:pStyle w:val="BodyText"/>
        <w:numPr>
          <w:ilvl w:val="4"/>
          <w:numId w:val="55"/>
        </w:numPr>
        <w:spacing w:before="0"/>
        <w:ind w:left="426" w:hanging="425"/>
        <w:jc w:val="both"/>
        <w:rPr>
          <w:rFonts w:ascii="Times New Roman" w:hAnsi="Times New Roman" w:cs="Times New Roman"/>
          <w:noProof/>
          <w:sz w:val="24"/>
        </w:rPr>
      </w:pPr>
      <w:r w:rsidRPr="00B03B51">
        <w:rPr>
          <w:rFonts w:ascii="Times New Roman" w:hAnsi="Times New Roman" w:cs="Times New Roman"/>
          <w:sz w:val="24"/>
        </w:rPr>
        <w:t>valdība dara pieejamus dabas resursus, izmantojot nomu, licences vai atļaujas, ko piemēro noteiktā laika posmā.</w:t>
      </w:r>
    </w:p>
    <w:p w14:paraId="2DE990BC"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74624F04" w14:textId="4B755FF6"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11. Traktējums: ieraksta kā renti (D.45). Viena sākotnējā maksājuma gadījumā tas ir jāuzkrāj līguma darbības laikā un priekšapmaksa jāieraksta kā valdības finansiāla avansa saistības (F.89). Piemēram, valdība saņem honorārus par naftas ieguvi.</w:t>
      </w:r>
    </w:p>
    <w:p w14:paraId="7A7E51AC"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5B103230"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12. Piemēram, ja uzņēmums veic vienreizēju maksājumu šelfa naftas rezervju izmantošanai uz pieciem gadiem: ieraksta renti (D.45), ko uzkrāj piecus gadus ilgā laika posmā un ieraksta kā priekšapmaksu pozīcijā F.89. Jāņem vērā, ka neražoti aktīvi (AN.22 “līgumi, nomas līgumi un licences”) tiks norādīti nomnieka uzņēmuma bilancē, ja pēc tam tirgū pastāvošais rentes līmenis pārsniedz līguma noteikto renti un minētajam uzņēmumam ir tiesības nodot tiesības trešai pusei (noma ar tiesībām nodot apakšnomā).</w:t>
      </w:r>
    </w:p>
    <w:p w14:paraId="17623B46"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2E88AC1F"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 xml:space="preserve">13. Ja valdības saņemtais maksājums par tās dabas resursu izmantošanu attiecas uz laika posmu, kas ir vienāds ar to atlikušo ekonomisko ciklu vai garāks par to, tad to ieraksta kā neražota </w:t>
      </w:r>
      <w:r w:rsidRPr="00B03B51">
        <w:rPr>
          <w:rFonts w:ascii="Times New Roman" w:hAnsi="Times New Roman" w:cs="Times New Roman"/>
          <w:sz w:val="24"/>
        </w:rPr>
        <w:lastRenderedPageBreak/>
        <w:t>aktīva ekonomisko pārdošanu (dabas resursi: NP.1). Piemēram, iznomādama zemi izmantošanai uz neierobežotu termiņu, valdība saimnieciskā ziņā faktiski rīkojas tā, it kā tā šo zemi pārdotu. Ierobežota termiņa nomas gadījumā šāda situācija iespējama reti, jo dabas resursu vērtība nesamazinās tā, kā tā samazinās ražotu aktīvu gadījumā, līdz ar to bieži vien tiem ir neierobežoti ilgs ekonomiskais cikls, taču vērtības samazinājums iespējams, piemēram, kad tiek izsmelti naftas krājumi vai noveco tehnoloģija.</w:t>
      </w:r>
    </w:p>
    <w:p w14:paraId="4C3FE3DF" w14:textId="77777777" w:rsidR="00443399" w:rsidRPr="00B03B51" w:rsidRDefault="00443399" w:rsidP="00443399">
      <w:pPr>
        <w:jc w:val="both"/>
        <w:rPr>
          <w:rFonts w:ascii="Times New Roman" w:eastAsia="Arial" w:hAnsi="Times New Roman" w:cs="Times New Roman"/>
          <w:noProof/>
          <w:sz w:val="24"/>
          <w:szCs w:val="15"/>
        </w:rPr>
      </w:pPr>
    </w:p>
    <w:p w14:paraId="4A15CE35" w14:textId="77777777" w:rsidR="00443399" w:rsidRPr="00B03B51" w:rsidRDefault="00443399" w:rsidP="00443399">
      <w:pPr>
        <w:pStyle w:val="Heading6"/>
        <w:tabs>
          <w:tab w:val="left" w:pos="1411"/>
        </w:tabs>
        <w:ind w:left="0" w:firstLine="0"/>
        <w:jc w:val="both"/>
        <w:rPr>
          <w:rFonts w:ascii="Times New Roman" w:hAnsi="Times New Roman" w:cs="Times New Roman"/>
          <w:noProof/>
          <w:sz w:val="24"/>
        </w:rPr>
      </w:pPr>
      <w:r w:rsidRPr="00B03B51">
        <w:rPr>
          <w:rFonts w:ascii="Times New Roman" w:hAnsi="Times New Roman" w:cs="Times New Roman"/>
          <w:sz w:val="24"/>
        </w:rPr>
        <w:t>6.1.2.4. PIEZĪME PAR NERAŽOTIEM AKTĪVIEM (AN.22)</w:t>
      </w:r>
    </w:p>
    <w:p w14:paraId="4194AC2F"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7F9E543F"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14. Neražotu aktīvu iegādi vai realizāciju (NP.1–NP.3) ieraksta tikai noteiktos gadījumos. Parasti maksājumus par nomu, komercpilnvarojumu vai koncesijām ieraksta kā pakalpojumu pārdošanu (“nomas maksa” P.1) vai renti (D.45), vai kā ekspluatācijā esoša ražota aktīva pārdošanu (P.51g – finanšu nomā, NP.1 – resursu nomā), ja līguma darbības termiņš aptver vismaz aktīva ekonomisko ciklu .</w:t>
      </w:r>
    </w:p>
    <w:p w14:paraId="7812F888"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0AD57F28"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15. Svarīgi zināt, ka pakalpojumu koncesijas līgumus (kā definēts EKS 2010 15.42. punktā) ieraksta, ievērojot noteikumus, kas sniegti Rokasgrāmatā par koncesijām. Šādus līgumus nevar pielīdzināt pakārtoto aktīvu (pamatlīdzekļu, zemes utt.) pārdošanai, bet tie ir jāpielīdzina darbības veikšanas atļaujas pārdošanai. Summas, kas pienākas, ieraksta kā finansiālu avansu (un kā saņemamo summu attiecībā uz starpību ar sākumā saņemto naudu). Ja koncesija ir nododama, izveido papildu neražoto aktīvu, kura vērtība sākumā ir nulle.</w:t>
      </w:r>
    </w:p>
    <w:p w14:paraId="3B7BDDD9"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19FAB024"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16. EKS 2010 6.06. punkta g) apakšpunktā noteikts gadījums, kad neražots aktīvs ir jāieraksta attiecībā uz līgumiem, nomas tiesībām, licencēm vai atļaujām – kad vienībai (otrai pusei) ir tiesības pirkt pakalpojumus vai nomāt par noteiktu cenu no pirmās puses un šī cena ir zemāka par pastāvošo tirgus cenu un vienība var nodot šīs tiesības citai vienībai (trešai pusei). Šādi aktīvi rodas, piemēram, gadījumos, kad par cenu, kas jāmaksā par pakalpojumu patērēšanu, ir panākta vienošanās, vai tā ir samaksāta iepriekš par vairākiem gadiem saskaņā ar līgumu un vēlāk faktiskā tirgus cena kļūst lielāka par līgumcenu. Darījums ar neražotu aktīvu (NP.2) notiek brīdī, kad otrā puse atkārtoti pārdod vai atkārtoti nodod nomas līgumu vai atļauju trešai pusei par summu, kas ir vienāda ar “turētāja gūt[o] labum[u], kas pārsniedz vērtību, kas uzkrājas atļaujas izsniedzējam” (EKS 2010 15.27. un 15.34. punkts).</w:t>
      </w:r>
    </w:p>
    <w:p w14:paraId="4144148B"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6BD4EC90"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17. Piemērs. Vienība (B vienība) iegādājas pakalpojumus uz pieciem gadiem no citas vienības (A vienība) par tirgus vērtību laikā, kad tiek noslēgts līgums. B vienība veic priekšapmaksu. B vienības kontos ieraksta regulārus maksājumus par pakalpojumiem un pozīcijā F.81 attiecībā uz priekšapmaksu ieraksta finanšu aktīvu, ko līguma darbības laikā pakāpeniski samazina. Pieņemsim, ka pēc diviem gadiem B vienība pārdod šīs tiesības uz pakalpojuma saņemšanu trešajai vienībai (C vienībai) par summu, kas ir lielāka par summu, ko tai vajadzētu maksāt pašai (atlikusī priekšapmaksas finanšu aktīva vērtība). B vienības kontos norāda saņemtu maksājumu, kas sadalīts starp summu, par kādu nopirkts AF.8 priekšapmaksas finanšu aktīvs, un neražota aktīva pārdošanu (AN.22), kas rodas B vienības kontos kā K.7 turēšanas guvumi un zaudējumi. Ja līguma sākumā bija noteikta pārvedama vērtība, tad AN.22 aktīvu sākotnēji norāda, izmantojot K.1 “Aktīvu iesaistīšana ekonomikā”, kontā “Citas aktīvu apjoma pārmaiņas” un ieraksta B vienības bilancē kā AN.22 aktīvu (“Līgumi, nomas līgumi un licences”). AN.22 neražotu nefinanšu aktīvu pārdošana ir ierakstīta kā NP.2. Pircēja (C vienības) bilancē būtu gan finanšu aktīvs, gan neražotais aktīvs, un pircējs par sākotnējo līgumcenu (atbilstoši finanšu aktīvam) ierakstītu maksājumus par pakalpojumiem, bet, pieņemot, ka tirgus vērtība nemainās, neražotā aktīva amortizāciju pakāpeniski ierakstītu C vienības kontos postenī K.2 “Neražoto aktīvu izslēgšana no ekonomikas” (skat. EKS 2010 6.07. punktu).</w:t>
      </w:r>
    </w:p>
    <w:p w14:paraId="628448DF"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07EC76E5"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18. Tādējādi ir iespējams ierakstīt NP.2 veida neražoto aktīvu pārdošanu valdības kontos gadījumos, kad valdība kā nomas līguma otra puse (t. i., nomnieks) pārdod vai nodod nomas līgumu trešai pusei.</w:t>
      </w:r>
    </w:p>
    <w:p w14:paraId="1599E78A" w14:textId="77777777" w:rsidR="00443399" w:rsidRPr="00B03B51" w:rsidRDefault="00443399" w:rsidP="00443399">
      <w:pPr>
        <w:jc w:val="both"/>
        <w:rPr>
          <w:rFonts w:ascii="Times New Roman" w:eastAsia="Arial" w:hAnsi="Times New Roman" w:cs="Times New Roman"/>
          <w:noProof/>
          <w:sz w:val="24"/>
          <w:szCs w:val="15"/>
        </w:rPr>
      </w:pPr>
    </w:p>
    <w:p w14:paraId="4C546363" w14:textId="77777777" w:rsidR="00443399" w:rsidRPr="00B03B51" w:rsidRDefault="00443399" w:rsidP="00443399">
      <w:pPr>
        <w:pStyle w:val="Heading6"/>
        <w:tabs>
          <w:tab w:val="left" w:pos="1267"/>
        </w:tabs>
        <w:ind w:left="0" w:firstLine="0"/>
        <w:jc w:val="both"/>
        <w:rPr>
          <w:rFonts w:ascii="Times New Roman" w:hAnsi="Times New Roman" w:cs="Times New Roman"/>
          <w:noProof/>
          <w:sz w:val="24"/>
        </w:rPr>
      </w:pPr>
      <w:r w:rsidRPr="00B03B51">
        <w:rPr>
          <w:rFonts w:ascii="Times New Roman" w:hAnsi="Times New Roman" w:cs="Times New Roman"/>
          <w:sz w:val="24"/>
        </w:rPr>
        <w:t>6.1.2.5. MAKSĀJUMI, KO VALDĪBA SAŅEM PAR ATĻAUJAS IZSNIEGŠANU DARBĪBAS VEIKŠANAI</w:t>
      </w:r>
    </w:p>
    <w:p w14:paraId="5C75A707"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28959E1F"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19. Šajā kategorijā neietilpst maksājumi par valdībai piederoša aktīva izmantošanu – šādi aktīvi jau ir apspriesti iepriekš. Tie var būt saistīti ar maksātājam piederoša aktīva izmantošanu vai tāda aktīva izmantošanu, kas nepieder ne maksātājam, ne valdībai, vai vispār var nebūt saistīti ar aktīviem. Galvenais ir tas, ka juridiski darbības veikšanai ir nepieciešama valdības atļauja un tādēļ tas nav maksājums, kuru varētu pieprasīt citas tautsaimniecības vienības. Papildus administratīvajai kārtībai, kura ir nepieciešama atļaujas izsniegšanai un noteikumu piemērošanai, valdība var sniegt (vai nesniegt) maksātājam vai sabiedrībai pakalpojumu (atbilstības novērtējumu, kvalitātes pārbaudes u. c.). To ieraksta kā pakalpojuma pārdošanu (A gadījums) vai nodokli (B gadījums) atkarībā no apstākļiem, kas izklāstīti turpmāk un EKS 2010 4.23. punkta e) apakšpunktā un 4.79. punkta d) apakšpunktā, vai īpašos gadījumos kā nefinanšu neražota aktīva pārdošanu (C gadījums).</w:t>
      </w:r>
    </w:p>
    <w:p w14:paraId="0EDFD84B" w14:textId="77777777" w:rsidR="00443399" w:rsidRPr="00B03B51" w:rsidRDefault="00443399" w:rsidP="00443399">
      <w:pPr>
        <w:jc w:val="both"/>
        <w:rPr>
          <w:rFonts w:ascii="Times New Roman" w:eastAsia="Arial" w:hAnsi="Times New Roman" w:cs="Times New Roman"/>
          <w:noProof/>
          <w:sz w:val="24"/>
          <w:szCs w:val="19"/>
        </w:rPr>
      </w:pPr>
    </w:p>
    <w:p w14:paraId="3C795E3B" w14:textId="77777777" w:rsidR="00443399" w:rsidRPr="00B03B51" w:rsidRDefault="00443399" w:rsidP="00443399">
      <w:pPr>
        <w:jc w:val="both"/>
        <w:rPr>
          <w:rFonts w:ascii="Times New Roman" w:hAnsi="Times New Roman" w:cs="Times New Roman"/>
          <w:b/>
          <w:noProof/>
          <w:sz w:val="24"/>
        </w:rPr>
      </w:pPr>
      <w:r w:rsidRPr="00B03B51">
        <w:rPr>
          <w:rFonts w:ascii="Times New Roman" w:hAnsi="Times New Roman" w:cs="Times New Roman"/>
          <w:b/>
          <w:sz w:val="24"/>
        </w:rPr>
        <w:t>Traktējums</w:t>
      </w:r>
    </w:p>
    <w:p w14:paraId="1720E4FD" w14:textId="77777777" w:rsidR="00443399" w:rsidRPr="00B03B51" w:rsidRDefault="00443399" w:rsidP="00443399">
      <w:pPr>
        <w:jc w:val="both"/>
        <w:rPr>
          <w:rFonts w:ascii="Times New Roman" w:eastAsia="Arial" w:hAnsi="Times New Roman" w:cs="Times New Roman"/>
          <w:b/>
          <w:bCs/>
          <w:noProof/>
          <w:sz w:val="24"/>
        </w:rPr>
      </w:pPr>
    </w:p>
    <w:p w14:paraId="63FD726F" w14:textId="77777777" w:rsidR="00443399" w:rsidRPr="00B03B51" w:rsidRDefault="00443399" w:rsidP="00443399">
      <w:pPr>
        <w:tabs>
          <w:tab w:val="left" w:pos="843"/>
        </w:tabs>
        <w:jc w:val="both"/>
        <w:rPr>
          <w:rFonts w:ascii="Times New Roman" w:hAnsi="Times New Roman" w:cs="Times New Roman"/>
          <w:b/>
          <w:noProof/>
          <w:sz w:val="24"/>
        </w:rPr>
      </w:pPr>
      <w:r w:rsidRPr="00B03B51">
        <w:rPr>
          <w:rFonts w:ascii="Times New Roman" w:hAnsi="Times New Roman" w:cs="Times New Roman"/>
          <w:b/>
          <w:sz w:val="24"/>
        </w:rPr>
        <w:t>a) Pakalpojuma pārdošana</w:t>
      </w:r>
    </w:p>
    <w:p w14:paraId="0D1BF2D4"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043F7514"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20. Ieraksta kā pakalpojuma pārdošanu (P.1), ja valdība uzņemas reglamentējošu darbu, kas ir jo īpaši saistīts ar maksātāju (parasti, lai novērtētu, vai maksātājam var piešķirt pieprasīto atļauju), un tiek uzskatīts, ka maksājums vienīgi sedz summu, kas nepārsniedz veiktā darba izmaksas.</w:t>
      </w:r>
    </w:p>
    <w:p w14:paraId="117B2D60"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3D887CB0"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21. Lai novērtētu, vai izmaksas nav neproporcionālas, to aprēķinā iekļauj visas izmaksas, kas privātai sabiedrībai būtu jāņem vērā, kad tā nosaka cenu, t. i., kompensāciju darbiniekiem, starppatēriņu, pamatkapitāla patēriņu un citus ar ražošanu saistītus nodokļus (skat. EKS 2010 3.33. punktu), kas tieši saistīti ar sniegto pakalpojumu. Valdības vienība var sniegt virkni līdzīgu pakalpojumu, taču noteikt tiem atšķirīgu cenu, lai atspoguļotu atšķirīgās izmaksas; piemēram, lai ietekmētu pieprasījumu tādā veidā, kas nodrošina efektīvāku pakalpojumu sniegšanu, cena var būt augstāka noteiktā diennakts laikā, kad parasti ir lielāks pieprasījums, vai arī cena par pakalpojuma sniegšanu internetā var būt zemāka nekā personiskas pakalpojuma sniegšanas gadījumā. Ja salīdzinājumā ar pakalpojuma izmaksām tiek apzināti paredzēts pārpalikums, tad jāuzskata, ka viss maksājums ir nodoklis. Lai arī EKS 2010 ir atļauts sadalīt atsevišķus darījumus (EKS 2010 1.76.–1.77. punkts), tas šajā gadījumā nav piemērojams, jo nodokļus ieraksta kā jebkura pakalpojuma elementa bruto summu. EKS 2010 4.79. punktā izmantotais termins “.. neproporcionāls” nav konkretizēts, taču šajā gadījumā ietver situācijas, kurās vienība apzināti nosaka cenas, kas ievērojami pārsniedz izmaksas, lai valdība varētu iegūt līdzekļus, kurus tā izmantos citiem mērķiem. Maksājums tiek veikts par pakalpojumu, nevis par atļauju, un tas jāieraksta laikā, kad tiek veikts darbs, neatkarīgi no tā, uz cik ilgu laika posmu tiek izsniegta atļauja. EKS 2010 4.79. punkta d) apakšpunktā tas aprakstīts sīkāk.</w:t>
      </w:r>
    </w:p>
    <w:p w14:paraId="38244A59" w14:textId="77777777" w:rsidR="00443399" w:rsidRPr="00B03B51" w:rsidRDefault="00443399" w:rsidP="00443399">
      <w:pPr>
        <w:tabs>
          <w:tab w:val="left" w:pos="843"/>
        </w:tabs>
        <w:jc w:val="both"/>
        <w:rPr>
          <w:rFonts w:ascii="Times New Roman" w:hAnsi="Times New Roman" w:cs="Times New Roman"/>
          <w:b/>
          <w:noProof/>
          <w:sz w:val="24"/>
        </w:rPr>
      </w:pPr>
    </w:p>
    <w:p w14:paraId="63450D13" w14:textId="77777777" w:rsidR="00443399" w:rsidRPr="00B03B51" w:rsidRDefault="00443399" w:rsidP="00443399">
      <w:pPr>
        <w:tabs>
          <w:tab w:val="left" w:pos="843"/>
        </w:tabs>
        <w:jc w:val="both"/>
        <w:rPr>
          <w:rFonts w:ascii="Times New Roman" w:hAnsi="Times New Roman" w:cs="Times New Roman"/>
          <w:b/>
          <w:noProof/>
          <w:sz w:val="24"/>
        </w:rPr>
      </w:pPr>
      <w:r w:rsidRPr="00B03B51">
        <w:rPr>
          <w:rFonts w:ascii="Times New Roman" w:hAnsi="Times New Roman" w:cs="Times New Roman"/>
          <w:b/>
          <w:sz w:val="24"/>
        </w:rPr>
        <w:t>b) Nodoklis</w:t>
      </w:r>
    </w:p>
    <w:p w14:paraId="6B137C73"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659A2CDB"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 xml:space="preserve">22. Ja nav izpildīti iepriekš minētie nosacījumi par pakalpojumu, ieraksta kā nodokli. Tas ir gadījumos, kad maksas, kas iekasētas par atļaujas izsniegšanu, pārsniedz ar atļaujas izsniegšanu </w:t>
      </w:r>
      <w:r w:rsidRPr="00B03B51">
        <w:rPr>
          <w:rFonts w:ascii="Times New Roman" w:hAnsi="Times New Roman" w:cs="Times New Roman"/>
          <w:sz w:val="24"/>
        </w:rPr>
        <w:lastRenderedPageBreak/>
        <w:t>saistītā saņemtā pakalpojuma izmaksas.</w:t>
      </w:r>
    </w:p>
    <w:p w14:paraId="66B7A8BF"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2ED18366"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23. Nodokli ieraksta pozīcijā D.29, ja to maksā sabiedrības, vai pozīcijā D.59, ja to maksā mājsaimniecības. Kapitāla nodokli (D.91) ieraksta, ja tas ir neregulāra nodeva par atļauju turēt aktīvu īpašumā vai nodeva par aktīva vērtības pieaugumu saistībā ar valdības atļaujas saņemšanu, piemēram, ēkas būvniecībai uz kāda īpaša zemesgabala (skat. EKS 2010 4.149. punkta b) apakšpunktu attiecībā uz nodevām par labiekārtošanu).</w:t>
      </w:r>
    </w:p>
    <w:p w14:paraId="36AABBFE"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4EFAD43E"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24. Piemēri. Ikgadējā atļauja izmantot mehānisko transportlīdzekli neatkarīgi no tā, kur un kad tas tiek izmantots; makšķerēšanas vai medību atļauja, kas nepieciešama vienmēr, kad notiek medības vai zveja; maksa par ēku vai citu aktīvu izmantošanu, kad tie nepieder valdībai; maksa par atļauju turēt īpašumā noteikta veida aktīvus; maksa, ko piemēro attiecībā uz rūpnieciskiem ražotājiem patērētāju aizsardzības vai pētniecības finansēšanai, kad darbs tiek veikts patērētāju un/vai nozares labā, nevis tādu pakalpojumu finansēšanai, kas tiek sniegti konkrētam uzņēmumam, kurš samaksā attiecīgo nodevu (EKS 2010 15.32. punkts).</w:t>
      </w:r>
    </w:p>
    <w:p w14:paraId="07AD279E" w14:textId="77777777" w:rsidR="00443399" w:rsidRPr="00B03B51" w:rsidRDefault="00443399" w:rsidP="00443399">
      <w:pPr>
        <w:tabs>
          <w:tab w:val="left" w:pos="843"/>
        </w:tabs>
        <w:jc w:val="both"/>
        <w:rPr>
          <w:rFonts w:ascii="Times New Roman" w:hAnsi="Times New Roman" w:cs="Times New Roman"/>
          <w:b/>
          <w:noProof/>
          <w:sz w:val="24"/>
        </w:rPr>
      </w:pPr>
    </w:p>
    <w:p w14:paraId="18D58AC1" w14:textId="77777777" w:rsidR="00443399" w:rsidRPr="00B03B51" w:rsidRDefault="00443399" w:rsidP="00443399">
      <w:pPr>
        <w:tabs>
          <w:tab w:val="left" w:pos="843"/>
        </w:tabs>
        <w:jc w:val="both"/>
        <w:rPr>
          <w:rFonts w:ascii="Times New Roman" w:hAnsi="Times New Roman" w:cs="Times New Roman"/>
          <w:b/>
          <w:noProof/>
          <w:sz w:val="24"/>
        </w:rPr>
      </w:pPr>
      <w:r w:rsidRPr="00B03B51">
        <w:rPr>
          <w:rFonts w:ascii="Times New Roman" w:hAnsi="Times New Roman" w:cs="Times New Roman"/>
          <w:b/>
          <w:sz w:val="24"/>
        </w:rPr>
        <w:t>c) Neražotu nefinanšu aktīvu pārdošana</w:t>
      </w:r>
    </w:p>
    <w:p w14:paraId="5338C3FC"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43C38B64"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25. Kad valdības ieņēmumu rada (ar valdībai piederošu aktīvu nesaistītas) darbības veikšanas atļaujas piešķiršana un šī atļauja tiek sniegta tikai vienai vienībai vai ierobežotam vienību skaitam, var rasties monopola stāvoklis vai gandrīz monopola stāvoklis atļaujas turētājam. Pārējās vienības šīs darbības veikšanai nevar saņemt valdības atļauju, un valdība nodrošina minētā ierobežojuma īstenošanu. Tas, ka pārējās vienības nevar saņemt atļaujas, var būt par pamatu tam, ka to vienību bilancē, kuras ir saņēmušas atļauju, tiek norādīts nefinanšu neražotais aktīvs. EKS 2010 15.37. punktā noteikti četri apstākļi, kas liecina par šādu aktīvu: netiek izmantots valdības aktīvs; attiecībā uz atļaujas saņemšanu nav noteikts neviens kvalifikācijas kritērijs; ierobežots atļauju skaits, kas ļauj monopolam (oligopolam) gūt peļņu, un iespēja pārdot atļauju trešai personai.</w:t>
      </w:r>
    </w:p>
    <w:p w14:paraId="3FC743EF"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5A860209"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26. Ja netiek izmantots neviens valdības aktīvs un ja netiek izpildīti pārējie trīs nosacījumi, kas minēti iepriekš, saņemtos maksājumus ieraksta kā nodokļus (EKS 2010 15.32. punkts).</w:t>
      </w:r>
    </w:p>
    <w:p w14:paraId="620907C8"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0F7C6ECF"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27. AN.223 aktīva parādīšanās pircēja bilancē jāuzskaita caur citām plūsmām (K.1). Pirms aktīva pārdošanas trešai personai summa, kas ir vienāda ar turētāja gūto labumu, kas pārsniedz vērtību, kas uzkrājas izsniedzējam, ir jāieraksta K.7 (skat. EKS 2010 6.06. punkta g) apakšpunktu un 7.57. punktu). Ja piešķirtajai atļaujai ir noteikts termiņš, aktīva turētāja bilancē būtu redzama neražotā aktīva vērtības samazināšanās, izmantojot pozīciju K.2 “Citas plūsmas” (aktīva amortizācija par summu, kas parādījusies no K.1), skat. EKS 2010 6.07. punkta b) apakšpunktu.</w:t>
      </w:r>
    </w:p>
    <w:p w14:paraId="33B3A4EF"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0DCB4556" w14:textId="27F9A21D"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28. Ieņēmumi, kas saistīti ar valdībai nepiederoša aktīva darbības veikšanas atļaujas piešķiršanu ir, piemēram, (oglekļa) emisiju atļaujas. Šādus ieņēmumus ieraksta kā nodokļu priekšapmaksu, savukārt neražoto aktīvu atzīst (EKS 2010 15.40. punkts) par summu, kas ir vienāda ar turētāja gūto labumu, kas pārsniedz vērtību, kura uzkrājas izsniedzējam (tas ir, šajā gadījumā – atļaujas tirgus vērtību, no kuras atņemts valdībai par atļaujas iegādi sākotnēji veiktais maksājums). Skat. 6.5. nodaļu “Emisij</w:t>
      </w:r>
      <w:r w:rsidR="003942AB" w:rsidRPr="00B03B51">
        <w:rPr>
          <w:rFonts w:ascii="Times New Roman" w:hAnsi="Times New Roman" w:cs="Times New Roman"/>
          <w:sz w:val="24"/>
        </w:rPr>
        <w:t>u</w:t>
      </w:r>
      <w:r w:rsidR="00B7287B" w:rsidRPr="00B03B51">
        <w:rPr>
          <w:rFonts w:ascii="Times New Roman" w:hAnsi="Times New Roman" w:cs="Times New Roman"/>
          <w:sz w:val="24"/>
        </w:rPr>
        <w:t xml:space="preserve"> kvotu</w:t>
      </w:r>
      <w:r w:rsidRPr="00B03B51">
        <w:rPr>
          <w:rFonts w:ascii="Times New Roman" w:hAnsi="Times New Roman" w:cs="Times New Roman"/>
          <w:sz w:val="24"/>
        </w:rPr>
        <w:t xml:space="preserve"> tirdzniecība”.</w:t>
      </w:r>
    </w:p>
    <w:p w14:paraId="4A2FA5EB" w14:textId="77777777" w:rsidR="00443399" w:rsidRPr="00B03B51" w:rsidRDefault="00443399" w:rsidP="00443399">
      <w:pPr>
        <w:jc w:val="both"/>
        <w:rPr>
          <w:rFonts w:ascii="Times New Roman" w:eastAsia="Arial" w:hAnsi="Times New Roman" w:cs="Times New Roman"/>
          <w:noProof/>
          <w:sz w:val="24"/>
          <w:szCs w:val="15"/>
        </w:rPr>
      </w:pPr>
    </w:p>
    <w:p w14:paraId="20FD129F" w14:textId="77777777" w:rsidR="00443399" w:rsidRPr="00B03B51" w:rsidRDefault="00443399" w:rsidP="00443399">
      <w:pPr>
        <w:pStyle w:val="Heading6"/>
        <w:tabs>
          <w:tab w:val="left" w:pos="1267"/>
        </w:tabs>
        <w:ind w:left="0" w:firstLine="0"/>
        <w:jc w:val="both"/>
        <w:rPr>
          <w:rFonts w:ascii="Times New Roman" w:hAnsi="Times New Roman" w:cs="Times New Roman"/>
          <w:noProof/>
          <w:sz w:val="24"/>
        </w:rPr>
      </w:pPr>
      <w:r w:rsidRPr="00B03B51">
        <w:rPr>
          <w:rFonts w:ascii="Times New Roman" w:hAnsi="Times New Roman" w:cs="Times New Roman"/>
          <w:sz w:val="24"/>
        </w:rPr>
        <w:t>6.1.2.6. IERAKSTĪŠANAS LAIKS. ĪPAŠS GADĪJUMS – ATĻAUJAS, KAS TIEK PĀRDOTAS PIRMS TO PIEEJAMĪBAS</w:t>
      </w:r>
    </w:p>
    <w:p w14:paraId="27C026F8"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11A3BD55"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 xml:space="preserve">29. Dažkārt no brīža, kad atļauja/licence tiek pārdota, izdota, nodota vai kā citādi piešķirta, līdz </w:t>
      </w:r>
      <w:r w:rsidRPr="00B03B51">
        <w:rPr>
          <w:rFonts w:ascii="Times New Roman" w:hAnsi="Times New Roman" w:cs="Times New Roman"/>
          <w:sz w:val="24"/>
        </w:rPr>
        <w:lastRenderedPageBreak/>
        <w:t>brīdim, kad var notikt atļautā/licencētā darbība, proti, licencētais aktīvs ir faktiski pieejams, rodas laika nobīde. To var novērot saistībā ar mobilo telefonu licencēm, kuras dažkārt tiek piešķirtas un tādējādi saistītais aktīvs ir iespējami nododams labu laiku pirms tam, kad frekvences faktiski kļūst pieejamas izmantošanai. Šajā laikā frekvences var izmantot kāds cits atļaujas/licences turētājs vai arī tas pats turētājs, taču saskaņā ar atsevišķu licenci.</w:t>
      </w:r>
    </w:p>
    <w:p w14:paraId="51A3130F"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781F1497"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30. Pirms izmantošanas datuma sākuma var pārdot visu veidu atļaujas/licences – pamatlīdzekļu izmantošanas atļaujas, atļaujas, lai izmantotu neražotu aktīvu, atļaujas, lai iegūtu tiesības veikt darbību (tostarp piesārņojošu darbību) vai lai iegūtu tiesības veikt darījumu saskaņā ar iepriekš noteiktu cenu.</w:t>
      </w:r>
    </w:p>
    <w:p w14:paraId="5B65E582" w14:textId="77777777" w:rsidR="00443399" w:rsidRPr="00B03B51" w:rsidRDefault="00443399" w:rsidP="00443399">
      <w:pPr>
        <w:jc w:val="both"/>
        <w:rPr>
          <w:rFonts w:ascii="Times New Roman" w:hAnsi="Times New Roman" w:cs="Times New Roman"/>
          <w:noProof/>
          <w:sz w:val="24"/>
        </w:rPr>
      </w:pPr>
    </w:p>
    <w:p w14:paraId="6F22816B"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31. Saskaņā ar uzkrāšanas principu attiecīgos ieņēmumus (renti, ražojumu vai nodokli atkarībā no tā, kā ir klasificējams aktīvs, kura izmantošanai tiek izsniegta atļauja, proti, mobilo telefonu licences gadījumā – rente) vai aktīva realizāciju (pakārtotā aktīva realizāciju, NP.1 vai P51g) var ierakstīt tikai brīdī, kad aktīvs ir izmantojams ražojošas darbības veikšanai (piemēram, mobilā telefona licenču gadījumā, kad frekvences ir pieejamas komerciālai lietošanai).</w:t>
      </w:r>
    </w:p>
    <w:p w14:paraId="19CBD3DE"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3B8BB800" w14:textId="1BDFF971"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32. Maksājumi, ko valdība saņem (izsoles vai licences piešķiršanas brīdī), pirms aktīvs ir pieejams izmantošanai, ir finansiāli avansi – priekš</w:t>
      </w:r>
      <w:r w:rsidR="00B7287B" w:rsidRPr="00B03B51">
        <w:rPr>
          <w:rFonts w:ascii="Times New Roman" w:hAnsi="Times New Roman" w:cs="Times New Roman"/>
          <w:sz w:val="24"/>
        </w:rPr>
        <w:t>ap</w:t>
      </w:r>
      <w:r w:rsidRPr="00B03B51">
        <w:rPr>
          <w:rFonts w:ascii="Times New Roman" w:hAnsi="Times New Roman" w:cs="Times New Roman"/>
          <w:sz w:val="24"/>
        </w:rPr>
        <w:t>maksu ieraksta kā citas kreditoru saistības (AF.8).</w:t>
      </w:r>
    </w:p>
    <w:p w14:paraId="7A1EB55C" w14:textId="77777777" w:rsidR="00443399" w:rsidRPr="00B03B51" w:rsidRDefault="00443399" w:rsidP="00443399">
      <w:pPr>
        <w:tabs>
          <w:tab w:val="left" w:pos="843"/>
        </w:tabs>
        <w:jc w:val="both"/>
        <w:rPr>
          <w:rFonts w:ascii="Times New Roman" w:eastAsia="Arial" w:hAnsi="Times New Roman" w:cs="Times New Roman"/>
          <w:noProof/>
          <w:sz w:val="24"/>
          <w:szCs w:val="19"/>
        </w:rPr>
      </w:pPr>
    </w:p>
    <w:p w14:paraId="072070B4" w14:textId="77777777" w:rsidR="00443399" w:rsidRPr="00B03B51" w:rsidRDefault="00443399" w:rsidP="00443399">
      <w:pPr>
        <w:tabs>
          <w:tab w:val="left" w:pos="843"/>
        </w:tabs>
        <w:jc w:val="both"/>
        <w:rPr>
          <w:rFonts w:ascii="Times New Roman" w:eastAsia="Arial" w:hAnsi="Times New Roman" w:cs="Times New Roman"/>
          <w:noProof/>
          <w:sz w:val="24"/>
          <w:szCs w:val="19"/>
        </w:rPr>
      </w:pPr>
      <w:r w:rsidRPr="00B03B51">
        <w:rPr>
          <w:rFonts w:ascii="Times New Roman" w:hAnsi="Times New Roman" w:cs="Times New Roman"/>
          <w:sz w:val="24"/>
          <w:szCs w:val="19"/>
        </w:rPr>
        <w:t xml:space="preserve">33. Ja atļauja vai licence ir nododama, pircējs savā bilancē papildus finansiālajam avansam ieraksta “līgumu, nomas līgumu un licenču” (AN.22) veida neražojošo aktīvu, kura sākotnējā vērtība ir nulle, jeb vispārīgāk – summu, kas ir vienāda ar </w:t>
      </w:r>
      <w:r w:rsidRPr="00B03B51">
        <w:rPr>
          <w:rFonts w:ascii="Times New Roman" w:hAnsi="Times New Roman" w:cs="Times New Roman"/>
          <w:i/>
          <w:iCs/>
          <w:sz w:val="24"/>
          <w:szCs w:val="19"/>
        </w:rPr>
        <w:t>labum[iem] aktīva turētājam, kas pārsniedz vērtību, kura uzkrājas izsniedzējam</w:t>
      </w:r>
      <w:r w:rsidRPr="00B03B51">
        <w:rPr>
          <w:rFonts w:ascii="Times New Roman" w:hAnsi="Times New Roman" w:cs="Times New Roman"/>
          <w:sz w:val="24"/>
          <w:szCs w:val="19"/>
        </w:rPr>
        <w:t xml:space="preserve">, saskaņā ar EKS 15.27. un 15.34. punktu (skat. arī EKS 7.57. punktu, kur noteikts, ka </w:t>
      </w:r>
      <w:r w:rsidRPr="00B03B51">
        <w:rPr>
          <w:rFonts w:ascii="Times New Roman" w:hAnsi="Times New Roman" w:cs="Times New Roman"/>
          <w:i/>
          <w:iCs/>
          <w:sz w:val="24"/>
          <w:szCs w:val="19"/>
        </w:rPr>
        <w:t>aktīva vērtība ir vienāda ar dominējošās cenas pārsniegumu pār neto faktisko līgumā noteikto cenu</w:t>
      </w:r>
      <w:r w:rsidRPr="00B03B51">
        <w:rPr>
          <w:rFonts w:ascii="Times New Roman" w:hAnsi="Times New Roman" w:cs="Times New Roman"/>
          <w:sz w:val="24"/>
          <w:szCs w:val="19"/>
        </w:rPr>
        <w:t>). Kad atļaujas/licences turētājs atkārtoti pārdod vai nodod tālāk atļauju vai licenci, tas ieraksta sava saņemamā aktīva realizāciju (F.8) par summu, kas ir uzkrājusies tā bilancē (AF.8), kā arī darījumu ar nefinanšu aktīvu (NP.2), norādot apmaiņā saņemtās atlīdzības (pirkuma cenas) patiesās vērtības starpību.</w:t>
      </w:r>
    </w:p>
    <w:p w14:paraId="02905A9F"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76F14632" w14:textId="2377E765"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 xml:space="preserve">34. Ja atļaujas vai licences piešķiršana nozīmē pakārtotā aktīva </w:t>
      </w:r>
      <w:r w:rsidRPr="00B03B51">
        <w:rPr>
          <w:rFonts w:ascii="Times New Roman" w:hAnsi="Times New Roman" w:cs="Times New Roman"/>
          <w:i/>
          <w:iCs/>
          <w:sz w:val="24"/>
        </w:rPr>
        <w:t>de facto</w:t>
      </w:r>
      <w:r w:rsidRPr="00B03B51">
        <w:rPr>
          <w:rFonts w:ascii="Times New Roman" w:hAnsi="Times New Roman" w:cs="Times New Roman"/>
          <w:sz w:val="24"/>
        </w:rPr>
        <w:t xml:space="preserve"> ekonomisko realizāciju, atļauja ir nododama pirms aktīva faktiskās pieejamības izmantošanai, pircējs savā bilancē papildus finansiālajam avansam ieraksta atvasināto finanšu instrumentu (ārpusbiržas nākotnes darījums), ja tas atbilst atvasinātā finanšu instrumenta definīcijai, līdz aktīva faktiskās pieejamības brīdim. Ar šo atvasināto instrumentu ietver tirgus cenas izmaiņas, kas var rasties laikposmā no atļaujas pārdošanas līdz pakārtotā aktīva faktiskās pieejamības brīdim. Ja atļaujas pircējs atkārtoti pārdod atļauju pirms aktīva pieejamības, notiek darījums ar atvasināto instrumentu par summu, kas ir priekšapmaksas komponenta (F.8) un tālākpārdošanas darījumā saskaņotās vērtības starpība. Kad pakārtotais aktīvs kļūst pieejams, atļaujas turētājs ieraksta pakārtotā aktīva iegādi tā tirgus vērtībā (un valdības aktīva realizāciju šajā vērtībā) un atbilstošo saņemamās summas (valdības maksājamās summas) likvidāciju un darījumu ar atvasināto instrumentu par summas starpību.</w:t>
      </w:r>
    </w:p>
    <w:p w14:paraId="211EF477"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3B952CDB"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35. Ja saskaņā ar atļauju vai licenci pakārtotais aktīvs kļūst pieejams pakāpeniski (piemēram, licence sākotnēji nodrošina tikai mazas ģeogrāfiskās teritorijas pārklājumu, bet vēlāk tā paplašinās lielākā teritorijā), ieņēmumi (piemēram, rente) jāieraksta attiecīgi pa daļām</w:t>
      </w:r>
      <w:r w:rsidRPr="00B03B51">
        <w:rPr>
          <w:rStyle w:val="FootnoteReference"/>
          <w:rFonts w:ascii="Times New Roman" w:hAnsi="Times New Roman" w:cs="Times New Roman"/>
          <w:noProof/>
          <w:sz w:val="24"/>
        </w:rPr>
        <w:footnoteReference w:id="191"/>
      </w:r>
      <w:r w:rsidRPr="00B03B51">
        <w:rPr>
          <w:rFonts w:ascii="Times New Roman" w:hAnsi="Times New Roman" w:cs="Times New Roman"/>
          <w:sz w:val="24"/>
        </w:rPr>
        <w:t>, izmantojot attiecīgos rādītājus. Mobilo telefonu gadījumā piemērots rādītājs varētu būt pārklājumā ietverto iedzīvotāju skaits vai gaidāmais/novērotais apgrozījums.</w:t>
      </w:r>
    </w:p>
    <w:p w14:paraId="64E6AD2A" w14:textId="77777777" w:rsidR="00443399" w:rsidRPr="00B03B51" w:rsidRDefault="00443399" w:rsidP="00443399">
      <w:pPr>
        <w:jc w:val="both"/>
        <w:rPr>
          <w:rFonts w:ascii="Times New Roman" w:hAnsi="Times New Roman" w:cs="Times New Roman"/>
          <w:noProof/>
          <w:sz w:val="24"/>
        </w:rPr>
      </w:pPr>
    </w:p>
    <w:p w14:paraId="008E1BC6" w14:textId="77777777" w:rsidR="00443399" w:rsidRPr="00B03B51" w:rsidRDefault="00443399" w:rsidP="00443399">
      <w:pPr>
        <w:pStyle w:val="Heading3"/>
        <w:keepNext/>
        <w:keepLines/>
        <w:tabs>
          <w:tab w:val="left" w:pos="1267"/>
        </w:tabs>
        <w:ind w:left="0" w:firstLine="0"/>
        <w:jc w:val="both"/>
        <w:rPr>
          <w:rFonts w:ascii="Times New Roman" w:hAnsi="Times New Roman" w:cs="Times New Roman"/>
          <w:noProof/>
          <w:sz w:val="24"/>
        </w:rPr>
      </w:pPr>
      <w:bookmarkStart w:id="481" w:name="_Toc67565175"/>
      <w:r w:rsidRPr="00B03B51">
        <w:rPr>
          <w:rFonts w:ascii="Times New Roman" w:hAnsi="Times New Roman" w:cs="Times New Roman"/>
          <w:sz w:val="24"/>
        </w:rPr>
        <w:t>6.1.3. Vispārējā traktējuma pamatojums</w:t>
      </w:r>
      <w:bookmarkEnd w:id="481"/>
    </w:p>
    <w:p w14:paraId="66CC238A" w14:textId="77777777" w:rsidR="00443399" w:rsidRPr="00BE27DC" w:rsidRDefault="00443399" w:rsidP="00BE27DC">
      <w:pPr>
        <w:rPr>
          <w:rFonts w:ascii="Times New Roman" w:hAnsi="Times New Roman" w:cs="Times New Roman"/>
          <w:noProof/>
          <w:sz w:val="24"/>
          <w:szCs w:val="24"/>
        </w:rPr>
      </w:pPr>
    </w:p>
    <w:p w14:paraId="407C5035" w14:textId="77777777" w:rsidR="00443399" w:rsidRPr="00B03B51" w:rsidRDefault="00443399" w:rsidP="00443399">
      <w:pPr>
        <w:pStyle w:val="Heading6"/>
        <w:keepNext/>
        <w:keepLines/>
        <w:tabs>
          <w:tab w:val="left" w:pos="1267"/>
        </w:tabs>
        <w:ind w:left="0" w:firstLine="0"/>
        <w:jc w:val="both"/>
        <w:rPr>
          <w:rFonts w:ascii="Times New Roman" w:hAnsi="Times New Roman" w:cs="Times New Roman"/>
          <w:noProof/>
          <w:sz w:val="24"/>
        </w:rPr>
      </w:pPr>
      <w:r w:rsidRPr="00B03B51">
        <w:rPr>
          <w:rFonts w:ascii="Times New Roman" w:hAnsi="Times New Roman" w:cs="Times New Roman"/>
          <w:sz w:val="24"/>
        </w:rPr>
        <w:t>6.1.3.1. MAKSĀJUMI, KO VALDĪBA SAŅEM NO PREČU UN PAKALPOJUMU PĀRDOŠANAS (KO VAR NODROŠINĀT CITAS VIENĪBAS)</w:t>
      </w:r>
    </w:p>
    <w:p w14:paraId="7C1DD5D8" w14:textId="77777777" w:rsidR="00443399" w:rsidRPr="00B03B51" w:rsidRDefault="00443399" w:rsidP="00443399">
      <w:pPr>
        <w:pStyle w:val="BodyText"/>
        <w:keepNext/>
        <w:keepLines/>
        <w:tabs>
          <w:tab w:val="left" w:pos="843"/>
        </w:tabs>
        <w:spacing w:before="0"/>
        <w:ind w:left="0" w:firstLine="0"/>
        <w:jc w:val="both"/>
        <w:rPr>
          <w:rFonts w:ascii="Times New Roman" w:hAnsi="Times New Roman" w:cs="Times New Roman"/>
          <w:noProof/>
          <w:sz w:val="24"/>
        </w:rPr>
      </w:pPr>
    </w:p>
    <w:p w14:paraId="1FA1C272" w14:textId="77777777" w:rsidR="00443399" w:rsidRPr="00B03B51" w:rsidRDefault="00443399" w:rsidP="00443399">
      <w:pPr>
        <w:pStyle w:val="BodyText"/>
        <w:keepNext/>
        <w:keepLines/>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36. Tiklīdz tiek noteikts, ka saskaņā ar traktējumu ir jāieraksta valdības produkcija (P.1), ir grūti nošķirt tirgus produkciju (P.11) no maksājumiem par ārpustirgus produkciju (P.131). Šī atšķirība ir saistīta ar ekonomiski nozīmīgas cenas jēdzienu (skat. EKS 2010 20.19.–20.34. punktu un šīs rokasgrāmatas 1. daļu “Vispārējās valdības sektora norobežošana”).</w:t>
      </w:r>
    </w:p>
    <w:p w14:paraId="1BAD5660" w14:textId="77777777" w:rsidR="00443399" w:rsidRPr="00B03B51" w:rsidRDefault="00443399" w:rsidP="00443399">
      <w:pPr>
        <w:jc w:val="both"/>
        <w:rPr>
          <w:rFonts w:ascii="Times New Roman" w:eastAsia="Arial" w:hAnsi="Times New Roman" w:cs="Times New Roman"/>
          <w:noProof/>
          <w:sz w:val="24"/>
          <w:szCs w:val="15"/>
        </w:rPr>
      </w:pPr>
    </w:p>
    <w:p w14:paraId="63D754E0" w14:textId="77777777" w:rsidR="00443399" w:rsidRPr="00B03B51" w:rsidRDefault="00443399" w:rsidP="00443399">
      <w:pPr>
        <w:pStyle w:val="Heading6"/>
        <w:tabs>
          <w:tab w:val="left" w:pos="1267"/>
        </w:tabs>
        <w:ind w:left="0" w:firstLine="0"/>
        <w:jc w:val="both"/>
        <w:rPr>
          <w:rFonts w:ascii="Times New Roman" w:hAnsi="Times New Roman" w:cs="Times New Roman"/>
          <w:noProof/>
          <w:sz w:val="24"/>
        </w:rPr>
      </w:pPr>
      <w:r w:rsidRPr="00B03B51">
        <w:rPr>
          <w:rFonts w:ascii="Times New Roman" w:hAnsi="Times New Roman" w:cs="Times New Roman"/>
          <w:sz w:val="24"/>
        </w:rPr>
        <w:t>6.1.3.2. VALDĪBAS IEŅĒMUMI PAR RAŽOTA AKTĪVA IZMANTOŠANU</w:t>
      </w:r>
    </w:p>
    <w:p w14:paraId="56DFF176"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683F1EC5"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37. Galvenā atšķirība, kas ir jāievēro, attiecas uz operatīvo nomu (produkcija, P.11) un finanšu nomu (aktīva pārdošana, P.51). Saskaņā ar EKS 2010 15. nodaļu “Līgumi, nomas līgumi un licences” jāņem vērā sekojošais.</w:t>
      </w:r>
    </w:p>
    <w:p w14:paraId="588C62C7"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1CB645C3" w14:textId="77777777" w:rsidR="00443399" w:rsidRPr="00B03B51" w:rsidRDefault="00443399" w:rsidP="00443399">
      <w:pPr>
        <w:pStyle w:val="BodyText"/>
        <w:tabs>
          <w:tab w:val="left" w:pos="1126"/>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a) Aktīva vai ilglietojuma preces operatīvā noma:</w:t>
      </w:r>
    </w:p>
    <w:p w14:paraId="179EF8AC" w14:textId="77777777" w:rsidR="00443399" w:rsidRPr="00B03B51" w:rsidRDefault="00443399" w:rsidP="00443399">
      <w:pPr>
        <w:pStyle w:val="BodyText"/>
        <w:tabs>
          <w:tab w:val="left" w:pos="1126"/>
        </w:tabs>
        <w:spacing w:before="0"/>
        <w:ind w:left="0" w:firstLine="0"/>
        <w:jc w:val="both"/>
        <w:rPr>
          <w:rFonts w:ascii="Times New Roman" w:hAnsi="Times New Roman" w:cs="Times New Roman"/>
          <w:noProof/>
          <w:sz w:val="24"/>
        </w:rPr>
      </w:pPr>
    </w:p>
    <w:p w14:paraId="48B6A61E" w14:textId="77777777" w:rsidR="00443399" w:rsidRPr="00B03B51" w:rsidRDefault="00443399" w:rsidP="007B5E80">
      <w:pPr>
        <w:pStyle w:val="BodyText"/>
        <w:numPr>
          <w:ilvl w:val="2"/>
          <w:numId w:val="54"/>
        </w:numPr>
        <w:spacing w:before="0"/>
        <w:ind w:left="426" w:hanging="425"/>
        <w:jc w:val="both"/>
        <w:rPr>
          <w:rFonts w:ascii="Times New Roman" w:hAnsi="Times New Roman" w:cs="Times New Roman"/>
          <w:noProof/>
          <w:sz w:val="24"/>
        </w:rPr>
      </w:pPr>
      <w:r w:rsidRPr="00B03B51">
        <w:rPr>
          <w:rFonts w:ascii="Times New Roman" w:hAnsi="Times New Roman" w:cs="Times New Roman"/>
          <w:sz w:val="24"/>
        </w:rPr>
        <w:t>attiecas uz konkrētu laika posmu, kas var būt ilgs vai īss un var nebūt iepriekš noteikts;</w:t>
      </w:r>
    </w:p>
    <w:p w14:paraId="220F9941" w14:textId="77777777" w:rsidR="00443399" w:rsidRPr="00B03B51" w:rsidRDefault="00443399" w:rsidP="007B5E80">
      <w:pPr>
        <w:pStyle w:val="BodyText"/>
        <w:numPr>
          <w:ilvl w:val="2"/>
          <w:numId w:val="54"/>
        </w:numPr>
        <w:spacing w:before="0"/>
        <w:ind w:left="426" w:hanging="425"/>
        <w:jc w:val="both"/>
        <w:rPr>
          <w:rFonts w:ascii="Times New Roman" w:hAnsi="Times New Roman" w:cs="Times New Roman"/>
          <w:noProof/>
          <w:sz w:val="24"/>
        </w:rPr>
      </w:pPr>
      <w:r w:rsidRPr="00B03B51">
        <w:rPr>
          <w:rFonts w:ascii="Times New Roman" w:hAnsi="Times New Roman" w:cs="Times New Roman"/>
          <w:sz w:val="24"/>
        </w:rPr>
        <w:t>neparedz ekonomisko īpašumtiesību nodošanu, juridiskie īpašnieki saglabā visus riskus un priekšrocības un viena no pazīmēm ir tā, ka juridiskie īpašnieki sniedz remonta un uzturēšanas pakalpojumus.</w:t>
      </w:r>
    </w:p>
    <w:p w14:paraId="4B77099C" w14:textId="77777777" w:rsidR="00443399" w:rsidRPr="00B03B51" w:rsidRDefault="00443399" w:rsidP="00443399">
      <w:pPr>
        <w:jc w:val="both"/>
        <w:rPr>
          <w:rFonts w:ascii="Times New Roman" w:eastAsia="Arial" w:hAnsi="Times New Roman" w:cs="Times New Roman"/>
          <w:noProof/>
          <w:sz w:val="24"/>
          <w:szCs w:val="14"/>
        </w:rPr>
      </w:pPr>
    </w:p>
    <w:p w14:paraId="30B88BF3" w14:textId="77777777" w:rsidR="00443399" w:rsidRPr="00B03B51" w:rsidRDefault="00443399" w:rsidP="00443399">
      <w:pPr>
        <w:pStyle w:val="BodyText"/>
        <w:tabs>
          <w:tab w:val="left" w:pos="1126"/>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b) Finanšu noma:</w:t>
      </w:r>
    </w:p>
    <w:p w14:paraId="32DDC0CB" w14:textId="77777777" w:rsidR="00443399" w:rsidRPr="00B03B51" w:rsidRDefault="00443399" w:rsidP="00443399">
      <w:pPr>
        <w:pStyle w:val="BodyText"/>
        <w:tabs>
          <w:tab w:val="left" w:pos="1126"/>
        </w:tabs>
        <w:spacing w:before="0"/>
        <w:ind w:left="0" w:firstLine="0"/>
        <w:jc w:val="both"/>
        <w:rPr>
          <w:rFonts w:ascii="Times New Roman" w:hAnsi="Times New Roman" w:cs="Times New Roman"/>
          <w:noProof/>
          <w:sz w:val="24"/>
        </w:rPr>
      </w:pPr>
    </w:p>
    <w:p w14:paraId="003A0B95" w14:textId="77777777" w:rsidR="00443399" w:rsidRPr="00B03B51" w:rsidRDefault="00443399" w:rsidP="007B5E80">
      <w:pPr>
        <w:pStyle w:val="BodyText"/>
        <w:numPr>
          <w:ilvl w:val="2"/>
          <w:numId w:val="54"/>
        </w:numPr>
        <w:spacing w:before="0"/>
        <w:ind w:left="426" w:hanging="425"/>
        <w:jc w:val="both"/>
        <w:rPr>
          <w:rFonts w:ascii="Times New Roman" w:hAnsi="Times New Roman" w:cs="Times New Roman"/>
          <w:noProof/>
          <w:sz w:val="24"/>
        </w:rPr>
      </w:pPr>
      <w:r w:rsidRPr="00B03B51">
        <w:rPr>
          <w:rFonts w:ascii="Times New Roman" w:hAnsi="Times New Roman" w:cs="Times New Roman"/>
          <w:sz w:val="24"/>
        </w:rPr>
        <w:t>attiecas uz iepriekš noteiktu un paildzinātu laika posmu, kas parasti atbilst visam aktīva ekonomiskajam mūžam vai tā lielākajai daļai</w:t>
      </w:r>
      <w:r w:rsidRPr="00B03B51">
        <w:rPr>
          <w:rStyle w:val="FootnoteReference"/>
          <w:rFonts w:ascii="Times New Roman" w:hAnsi="Times New Roman" w:cs="Times New Roman"/>
          <w:noProof/>
          <w:sz w:val="24"/>
        </w:rPr>
        <w:footnoteReference w:id="192"/>
      </w:r>
      <w:r w:rsidRPr="00B03B51">
        <w:rPr>
          <w:rFonts w:ascii="Times New Roman" w:hAnsi="Times New Roman" w:cs="Times New Roman"/>
          <w:sz w:val="24"/>
        </w:rPr>
        <w:t>;</w:t>
      </w:r>
    </w:p>
    <w:p w14:paraId="4DDB12D1" w14:textId="77777777" w:rsidR="00443399" w:rsidRPr="00B03B51" w:rsidRDefault="00443399" w:rsidP="007B5E80">
      <w:pPr>
        <w:pStyle w:val="BodyText"/>
        <w:numPr>
          <w:ilvl w:val="2"/>
          <w:numId w:val="54"/>
        </w:numPr>
        <w:spacing w:before="0"/>
        <w:ind w:left="426" w:hanging="425"/>
        <w:jc w:val="both"/>
        <w:rPr>
          <w:rFonts w:ascii="Times New Roman" w:hAnsi="Times New Roman" w:cs="Times New Roman"/>
          <w:noProof/>
          <w:sz w:val="24"/>
        </w:rPr>
      </w:pPr>
      <w:r w:rsidRPr="00B03B51">
        <w:rPr>
          <w:rFonts w:ascii="Times New Roman" w:hAnsi="Times New Roman" w:cs="Times New Roman"/>
          <w:sz w:val="24"/>
        </w:rPr>
        <w:t>ar aktīva izmantošanu saistītos riskus un priekšrocības iznomātājs nodod nomniekam, un viena no pazīmēm ir tā, ka remontu un tehnisko apkopi nodrošina nomnieks.</w:t>
      </w:r>
    </w:p>
    <w:p w14:paraId="686DC4E6"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5627A623"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 xml:space="preserve">38. Finanšu nomas gadījumā ir nodotas preces ekonomiskās īpašumtiesības. Iznomātājam ir tikai finansiāla nozīme. Nacionālajos kontos ir atzīta ekonomiskā realitāte, kura ir finanšu nomas pamatā, ņemot vērā to, ka iznomātājs nomniekam piešķir aizdevumu, kas dod viņam iespēju iegādāties aktīvu, par kura </w:t>
      </w:r>
      <w:r w:rsidRPr="00B03B51">
        <w:rPr>
          <w:rFonts w:ascii="Times New Roman" w:hAnsi="Times New Roman" w:cs="Times New Roman"/>
          <w:i/>
          <w:iCs/>
          <w:sz w:val="24"/>
        </w:rPr>
        <w:t>de facto</w:t>
      </w:r>
      <w:r w:rsidRPr="00B03B51">
        <w:rPr>
          <w:rFonts w:ascii="Times New Roman" w:hAnsi="Times New Roman" w:cs="Times New Roman"/>
          <w:sz w:val="24"/>
        </w:rPr>
        <w:t xml:space="preserve"> īpašnieku kļūst nomnieks.</w:t>
      </w:r>
    </w:p>
    <w:p w14:paraId="4A1D6CD9"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65E59C64"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39. Īpašajā koncesijas gadījumā saskaņā ar publisko tiesību normām attiecībā uz sabiedriskās infrastruktūras finansēšanu un izmantošanu, kā arī PPP, skat. turpmāk attiecīgi 6.3. un 6.4. nodaļu.</w:t>
      </w:r>
    </w:p>
    <w:p w14:paraId="34ADA72F" w14:textId="77777777" w:rsidR="00443399" w:rsidRPr="00B03B51" w:rsidRDefault="00443399" w:rsidP="00443399">
      <w:pPr>
        <w:jc w:val="both"/>
        <w:rPr>
          <w:rFonts w:ascii="Times New Roman" w:eastAsia="Arial" w:hAnsi="Times New Roman" w:cs="Times New Roman"/>
          <w:noProof/>
          <w:sz w:val="24"/>
          <w:szCs w:val="15"/>
        </w:rPr>
      </w:pPr>
    </w:p>
    <w:p w14:paraId="04F37D69" w14:textId="77777777" w:rsidR="00443399" w:rsidRPr="00B03B51" w:rsidRDefault="00443399" w:rsidP="00443399">
      <w:pPr>
        <w:pStyle w:val="Heading6"/>
        <w:tabs>
          <w:tab w:val="left" w:pos="1267"/>
        </w:tabs>
        <w:ind w:left="0" w:firstLine="0"/>
        <w:jc w:val="both"/>
        <w:rPr>
          <w:rFonts w:ascii="Times New Roman" w:hAnsi="Times New Roman" w:cs="Times New Roman"/>
          <w:noProof/>
          <w:sz w:val="24"/>
        </w:rPr>
      </w:pPr>
      <w:r w:rsidRPr="00B03B51">
        <w:rPr>
          <w:rFonts w:ascii="Times New Roman" w:hAnsi="Times New Roman" w:cs="Times New Roman"/>
          <w:sz w:val="24"/>
        </w:rPr>
        <w:t>6.1.3.3. MAKSĀJUMI, KO VALDĪBA SAŅEM PAR NERAŽOTA AKTĪVA IZMANTOŠANU</w:t>
      </w:r>
    </w:p>
    <w:p w14:paraId="0C1ED5A0" w14:textId="77777777" w:rsidR="00443399" w:rsidRPr="00B03B51" w:rsidRDefault="00443399" w:rsidP="00443399">
      <w:pPr>
        <w:pStyle w:val="BodyText"/>
        <w:spacing w:before="0"/>
        <w:ind w:left="0" w:firstLine="0"/>
        <w:jc w:val="both"/>
        <w:rPr>
          <w:rFonts w:ascii="Times New Roman" w:hAnsi="Times New Roman" w:cs="Times New Roman"/>
          <w:noProof/>
          <w:sz w:val="24"/>
        </w:rPr>
      </w:pPr>
    </w:p>
    <w:p w14:paraId="15F6229C" w14:textId="77777777" w:rsidR="00443399" w:rsidRPr="00B03B51" w:rsidRDefault="00443399" w:rsidP="00443399">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t>40. Parastais gadījums, kad tiek izmantots (vai ekspluatēts) neražotais aktīvs (tādi dabas resursi kā zeme, pazemes aktīvi vai citi dabas resursi – EKS 2010 4.72.–4.76. punkts) ierobežotu laika posmu (D.45 rente), jānošķir no pieejamības izmantošanai līdz aktīva ekonomiskās vērtības izsmelšanai (aktīva pārdošanai).</w:t>
      </w:r>
    </w:p>
    <w:p w14:paraId="1E9A7917" w14:textId="77777777" w:rsidR="00443399" w:rsidRPr="00B03B51" w:rsidRDefault="00443399" w:rsidP="00443399">
      <w:pPr>
        <w:jc w:val="both"/>
        <w:rPr>
          <w:rFonts w:ascii="Times New Roman" w:eastAsia="Arial" w:hAnsi="Times New Roman" w:cs="Times New Roman"/>
          <w:noProof/>
          <w:sz w:val="24"/>
          <w:szCs w:val="15"/>
        </w:rPr>
      </w:pPr>
    </w:p>
    <w:p w14:paraId="27242699" w14:textId="77777777" w:rsidR="00443399" w:rsidRPr="00B03B51" w:rsidRDefault="00443399" w:rsidP="00443399">
      <w:pPr>
        <w:pStyle w:val="Heading6"/>
        <w:keepNext/>
        <w:keepLines/>
        <w:tabs>
          <w:tab w:val="left" w:pos="1267"/>
        </w:tabs>
        <w:ind w:left="0" w:firstLine="0"/>
        <w:jc w:val="both"/>
        <w:rPr>
          <w:rFonts w:ascii="Times New Roman" w:hAnsi="Times New Roman" w:cs="Times New Roman"/>
          <w:noProof/>
          <w:sz w:val="24"/>
        </w:rPr>
      </w:pPr>
      <w:r w:rsidRPr="00B03B51">
        <w:rPr>
          <w:rFonts w:ascii="Times New Roman" w:hAnsi="Times New Roman" w:cs="Times New Roman"/>
          <w:sz w:val="24"/>
        </w:rPr>
        <w:lastRenderedPageBreak/>
        <w:t>6.1.3.4. MAKSĀJUMI, KO VALDĪBA SAŅEM PAR ATĻAUJĀM, KAS PIEŠĶIRTAS KĀDAS DARBĪBAS VEIKŠANAI</w:t>
      </w:r>
    </w:p>
    <w:p w14:paraId="30E97ABF" w14:textId="77777777" w:rsidR="00443399" w:rsidRPr="00B03B51" w:rsidRDefault="00443399" w:rsidP="00443399">
      <w:pPr>
        <w:pStyle w:val="BodyText"/>
        <w:keepNext/>
        <w:keepLines/>
        <w:spacing w:before="0"/>
        <w:ind w:left="0" w:firstLine="0"/>
        <w:jc w:val="both"/>
        <w:rPr>
          <w:rFonts w:ascii="Times New Roman" w:hAnsi="Times New Roman" w:cs="Times New Roman"/>
          <w:noProof/>
          <w:sz w:val="24"/>
        </w:rPr>
      </w:pPr>
    </w:p>
    <w:p w14:paraId="0816CFF3" w14:textId="77777777" w:rsidR="00443399" w:rsidRPr="00B03B51" w:rsidRDefault="00443399" w:rsidP="00443399">
      <w:pPr>
        <w:pStyle w:val="BodyText"/>
        <w:keepNext/>
        <w:keepLines/>
        <w:spacing w:before="0"/>
        <w:ind w:left="0" w:firstLine="0"/>
        <w:jc w:val="both"/>
        <w:rPr>
          <w:rFonts w:ascii="Times New Roman" w:hAnsi="Times New Roman" w:cs="Times New Roman"/>
          <w:noProof/>
          <w:sz w:val="24"/>
        </w:rPr>
      </w:pPr>
      <w:r w:rsidRPr="00B03B51">
        <w:rPr>
          <w:rFonts w:ascii="Times New Roman" w:hAnsi="Times New Roman" w:cs="Times New Roman"/>
          <w:sz w:val="24"/>
        </w:rPr>
        <w:t>41. Nošķir nodokļa ierakstīšanu no pakalpojumu pārdošanas ierakstīšanas (produkcija, P.1).</w:t>
      </w:r>
    </w:p>
    <w:p w14:paraId="6E345998" w14:textId="77777777" w:rsidR="00443399" w:rsidRPr="00B03B51" w:rsidRDefault="00443399" w:rsidP="00443399">
      <w:pPr>
        <w:jc w:val="both"/>
        <w:rPr>
          <w:rFonts w:ascii="Times New Roman" w:eastAsia="Arial" w:hAnsi="Times New Roman" w:cs="Times New Roman"/>
          <w:noProof/>
          <w:sz w:val="24"/>
          <w:szCs w:val="20"/>
        </w:rPr>
      </w:pPr>
    </w:p>
    <w:p w14:paraId="695DFE86" w14:textId="77777777" w:rsidR="00443399" w:rsidRPr="00B03B51" w:rsidRDefault="00443399" w:rsidP="00443399">
      <w:pPr>
        <w:jc w:val="both"/>
        <w:rPr>
          <w:rFonts w:ascii="Times New Roman" w:hAnsi="Times New Roman" w:cs="Times New Roman"/>
          <w:b/>
          <w:noProof/>
          <w:sz w:val="24"/>
        </w:rPr>
      </w:pPr>
      <w:r w:rsidRPr="00B03B51">
        <w:rPr>
          <w:rFonts w:ascii="Times New Roman" w:hAnsi="Times New Roman" w:cs="Times New Roman"/>
          <w:b/>
          <w:sz w:val="24"/>
        </w:rPr>
        <w:t>Atšķirība starp nodokļiem un pakalpojumu pārdošanu</w:t>
      </w:r>
    </w:p>
    <w:p w14:paraId="55FA4082" w14:textId="77777777" w:rsidR="00443399" w:rsidRPr="00B03B51" w:rsidRDefault="00443399" w:rsidP="00443399">
      <w:pPr>
        <w:jc w:val="both"/>
        <w:rPr>
          <w:rFonts w:ascii="Times New Roman" w:eastAsia="Arial" w:hAnsi="Times New Roman" w:cs="Times New Roman"/>
          <w:b/>
          <w:bCs/>
          <w:noProof/>
          <w:sz w:val="24"/>
        </w:rPr>
      </w:pPr>
    </w:p>
    <w:p w14:paraId="7C898F4B"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42. EKS 2010 4.79. punkta d) apakšpunktā norādīts kritērijs, ko izmanto, lai nošķirtu nodokļus no pakalpojumu pārdošanas:</w:t>
      </w:r>
    </w:p>
    <w:p w14:paraId="444B28CE"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12694AB8" w14:textId="77777777" w:rsidR="00443399" w:rsidRPr="00B03B51" w:rsidRDefault="00443399" w:rsidP="00443399">
      <w:pPr>
        <w:ind w:left="284"/>
        <w:jc w:val="both"/>
        <w:rPr>
          <w:rFonts w:ascii="Times New Roman" w:eastAsia="Arial" w:hAnsi="Times New Roman" w:cs="Times New Roman"/>
          <w:noProof/>
          <w:sz w:val="24"/>
          <w:szCs w:val="19"/>
        </w:rPr>
      </w:pPr>
      <w:r w:rsidRPr="00B03B51">
        <w:rPr>
          <w:rFonts w:ascii="Times New Roman" w:hAnsi="Times New Roman" w:cs="Times New Roman"/>
          <w:i/>
          <w:sz w:val="24"/>
        </w:rPr>
        <w:t xml:space="preserve">Iedalījumu nodokļos un pakalpojumu pirkšanā no valdības nosaka pēc tādiem pašiem kritērijiem kā uzņēmumu veikto maksājumu gadījumos, proti, ja licenču izsniegšana ir saistīta ar nelielu valdības iesaistīšanos vai valdība vispār netiek iesaistīta un licences tiek piešķirtas automātiski, samaksājot noteikto summu, iespējams, ka tās ir tikai līdzeklis ieņēmumu piesaistīšanai, pat ja valdība apmaiņā var izdot kādu apliecību vai atļauju, un šādos gadījumos maksājumu uzskata par nodokļiem. </w:t>
      </w:r>
      <w:r w:rsidRPr="00B03B51">
        <w:rPr>
          <w:rFonts w:ascii="Times New Roman" w:hAnsi="Times New Roman" w:cs="Times New Roman"/>
          <w:i/>
          <w:iCs/>
          <w:sz w:val="24"/>
        </w:rPr>
        <w:t>Tomēr, ja valdība licenču izsniegšanu izmanto, lai organizētu kādu reglamentējošu funkciju (piemēram, pārbaudītu attiecīgo darba ņēmēju kompetenci vai kvalifikāciju), veikto maksājumu uzskata par pakalpojumu pirkšanu no valdības, nevis nodokļu maksājumu, ja vien maksājumi nav nepārprotami neproporcionāli attiecībā pret izmaksām saistībā ar šādu pakalpojumu sniegšanu</w:t>
      </w:r>
      <w:r w:rsidRPr="00B03B51">
        <w:rPr>
          <w:rFonts w:ascii="Times New Roman" w:hAnsi="Times New Roman" w:cs="Times New Roman"/>
          <w:sz w:val="24"/>
        </w:rPr>
        <w:t>.</w:t>
      </w:r>
    </w:p>
    <w:p w14:paraId="6C642D30"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5A267B0E"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43. Ekonomikā valdība rīkojas divējādi.</w:t>
      </w:r>
    </w:p>
    <w:p w14:paraId="114BA23A" w14:textId="77777777" w:rsidR="00443399" w:rsidRPr="00B03B51" w:rsidRDefault="00443399" w:rsidP="00443399">
      <w:pPr>
        <w:jc w:val="both"/>
        <w:rPr>
          <w:rFonts w:ascii="Times New Roman" w:eastAsia="Arial" w:hAnsi="Times New Roman" w:cs="Times New Roman"/>
          <w:noProof/>
          <w:sz w:val="24"/>
          <w:szCs w:val="20"/>
        </w:rPr>
      </w:pPr>
    </w:p>
    <w:p w14:paraId="1D9B5241" w14:textId="77777777" w:rsidR="00443399" w:rsidRPr="00B03B51" w:rsidRDefault="00443399" w:rsidP="00443399">
      <w:pPr>
        <w:jc w:val="both"/>
        <w:rPr>
          <w:rFonts w:ascii="Times New Roman" w:hAnsi="Times New Roman" w:cs="Times New Roman"/>
          <w:b/>
          <w:noProof/>
          <w:sz w:val="24"/>
        </w:rPr>
      </w:pPr>
      <w:r w:rsidRPr="00B03B51">
        <w:rPr>
          <w:rFonts w:ascii="Times New Roman" w:hAnsi="Times New Roman" w:cs="Times New Roman"/>
          <w:b/>
          <w:sz w:val="24"/>
        </w:rPr>
        <w:t>Civilās komerctiesības</w:t>
      </w:r>
    </w:p>
    <w:p w14:paraId="6AAF5084" w14:textId="77777777" w:rsidR="00443399" w:rsidRPr="00B03B51" w:rsidRDefault="00443399" w:rsidP="00443399">
      <w:pPr>
        <w:jc w:val="both"/>
        <w:rPr>
          <w:rFonts w:ascii="Times New Roman" w:eastAsia="Arial" w:hAnsi="Times New Roman" w:cs="Times New Roman"/>
          <w:b/>
          <w:bCs/>
          <w:noProof/>
          <w:sz w:val="24"/>
        </w:rPr>
      </w:pPr>
    </w:p>
    <w:p w14:paraId="62B0CE0A" w14:textId="77777777" w:rsidR="00443399" w:rsidRPr="00B03B51" w:rsidRDefault="00443399" w:rsidP="007B5E80">
      <w:pPr>
        <w:pStyle w:val="BodyText"/>
        <w:numPr>
          <w:ilvl w:val="1"/>
          <w:numId w:val="53"/>
        </w:numPr>
        <w:spacing w:before="0"/>
        <w:ind w:left="426" w:hanging="425"/>
        <w:jc w:val="both"/>
        <w:rPr>
          <w:rFonts w:ascii="Times New Roman" w:hAnsi="Times New Roman" w:cs="Times New Roman"/>
          <w:noProof/>
          <w:sz w:val="24"/>
        </w:rPr>
      </w:pPr>
      <w:r w:rsidRPr="00B03B51">
        <w:rPr>
          <w:rFonts w:ascii="Times New Roman" w:hAnsi="Times New Roman" w:cs="Times New Roman"/>
          <w:sz w:val="24"/>
        </w:rPr>
        <w:t>Saskaņā ar civilajām komerctiesībām valdība uzņemas saimnieciskus darījumus, ko var veikt arī citas vienības. Piemēram, tā nodarbina darbiniekus, patērē preces un pakalpojumus, nomā zemi, tai pieder ieguldījumi pamatkapitālā, tā pārdod pakalpojumu produkciju, izmantojot aktīvus u. c. Valdības darījumiem saskaņā ar civiltiesībām piemēro EKS 2010 3. nodaļu, lai klasificētu valdības ražošanas darbību, savukārt 4. nodaļa attiecas uz kompensāciju darbiniekiem un īpašuma ienākuma klasifikāciju.</w:t>
      </w:r>
    </w:p>
    <w:p w14:paraId="33DD39AA" w14:textId="77777777" w:rsidR="00443399" w:rsidRPr="00B03B51" w:rsidRDefault="00443399" w:rsidP="007B5E80">
      <w:pPr>
        <w:pStyle w:val="BodyText"/>
        <w:numPr>
          <w:ilvl w:val="1"/>
          <w:numId w:val="53"/>
        </w:numPr>
        <w:spacing w:before="0"/>
        <w:ind w:left="426" w:hanging="425"/>
        <w:jc w:val="both"/>
        <w:rPr>
          <w:rFonts w:ascii="Times New Roman" w:hAnsi="Times New Roman" w:cs="Times New Roman"/>
          <w:noProof/>
          <w:sz w:val="24"/>
        </w:rPr>
      </w:pPr>
      <w:r w:rsidRPr="00B03B51">
        <w:rPr>
          <w:rFonts w:ascii="Times New Roman" w:hAnsi="Times New Roman" w:cs="Times New Roman"/>
          <w:sz w:val="24"/>
        </w:rPr>
        <w:t>EKS 2010 3.39. punktā paskaidrots, ka valdības ieņēmumus, kas gūti, pārdodot preces un pakalpojumus, klasificē kā tirgus produkciju vai kā maksājumus par ārpustirgus produkciju. Saskaņā ar EKS 2010 3.26. punktu ārpustirgus institucionālajai vienībai var būt tirgus produkcija, taču lielākā daļa no šīs produkcijas ir sniegta par brīvu vai par ekonomiski nenozīmīgām cenām. EKS 2010 4.73. punktā paskaidrots, ka maksājumus par ražotiem pamatlīdzekļiem, kuri novietoti uz zemes, traktē kā pakalpojumu pārdošanu, nevis kā renti, kā arī tas, kā jārīkojas gadījumā, kad maksājumi tiek veikti gan par zemi, gan par ēkām, un tos nav iespējams savstarpēji nodalīt. EKS 2010 6. un 15. nodaļā noteikts, kad jāieraksta darījumi līgumos, nomas līgumos un licencēs.</w:t>
      </w:r>
    </w:p>
    <w:p w14:paraId="48F9F50A" w14:textId="77777777" w:rsidR="00443399" w:rsidRPr="00B03B51" w:rsidRDefault="00443399" w:rsidP="00443399">
      <w:pPr>
        <w:jc w:val="both"/>
        <w:rPr>
          <w:rFonts w:ascii="Times New Roman" w:eastAsia="Arial" w:hAnsi="Times New Roman" w:cs="Times New Roman"/>
          <w:noProof/>
          <w:sz w:val="24"/>
          <w:szCs w:val="14"/>
        </w:rPr>
      </w:pPr>
    </w:p>
    <w:p w14:paraId="383A6902" w14:textId="77777777" w:rsidR="00443399" w:rsidRPr="00B03B51" w:rsidRDefault="00443399" w:rsidP="00443399">
      <w:pPr>
        <w:jc w:val="both"/>
        <w:rPr>
          <w:rFonts w:ascii="Times New Roman" w:hAnsi="Times New Roman" w:cs="Times New Roman"/>
          <w:b/>
          <w:noProof/>
          <w:sz w:val="24"/>
        </w:rPr>
      </w:pPr>
      <w:r w:rsidRPr="00B03B51">
        <w:rPr>
          <w:rFonts w:ascii="Times New Roman" w:hAnsi="Times New Roman" w:cs="Times New Roman"/>
          <w:b/>
          <w:sz w:val="24"/>
        </w:rPr>
        <w:t>Publiskās tiesības</w:t>
      </w:r>
    </w:p>
    <w:p w14:paraId="33DB4C8A" w14:textId="77777777" w:rsidR="00443399" w:rsidRPr="00B03B51" w:rsidRDefault="00443399" w:rsidP="00443399">
      <w:pPr>
        <w:jc w:val="both"/>
        <w:rPr>
          <w:rFonts w:ascii="Times New Roman" w:eastAsia="Arial" w:hAnsi="Times New Roman" w:cs="Times New Roman"/>
          <w:b/>
          <w:bCs/>
          <w:noProof/>
          <w:sz w:val="24"/>
        </w:rPr>
      </w:pPr>
    </w:p>
    <w:p w14:paraId="7F1429AA" w14:textId="0508499C" w:rsidR="00443399" w:rsidRPr="00B03B51" w:rsidRDefault="00443399" w:rsidP="007B5E80">
      <w:pPr>
        <w:pStyle w:val="BodyText"/>
        <w:numPr>
          <w:ilvl w:val="1"/>
          <w:numId w:val="53"/>
        </w:numPr>
        <w:spacing w:before="0"/>
        <w:ind w:left="426" w:hanging="425"/>
        <w:jc w:val="both"/>
        <w:rPr>
          <w:rFonts w:ascii="Times New Roman" w:hAnsi="Times New Roman" w:cs="Times New Roman"/>
          <w:noProof/>
          <w:sz w:val="24"/>
        </w:rPr>
      </w:pPr>
      <w:r w:rsidRPr="00B03B51">
        <w:rPr>
          <w:rFonts w:ascii="Times New Roman" w:hAnsi="Times New Roman" w:cs="Times New Roman"/>
          <w:sz w:val="24"/>
        </w:rPr>
        <w:t xml:space="preserve">Saskaņā ar publiskajām tiesībām valdība uzņemas pēc būtības unikālus ekonomiskos darījumus. Piemēram, saistībā ar valdības ieņēmumiem valdība var palielināt nodokļus, īstenot sociālā </w:t>
      </w:r>
      <w:r w:rsidR="00A3593E" w:rsidRPr="00B03B51">
        <w:rPr>
          <w:rFonts w:ascii="Times New Roman" w:hAnsi="Times New Roman" w:cs="Times New Roman"/>
          <w:sz w:val="24"/>
        </w:rPr>
        <w:t>no</w:t>
      </w:r>
      <w:r w:rsidRPr="00B03B51">
        <w:rPr>
          <w:rFonts w:ascii="Times New Roman" w:hAnsi="Times New Roman" w:cs="Times New Roman"/>
          <w:sz w:val="24"/>
        </w:rPr>
        <w:t>droš</w:t>
      </w:r>
      <w:r w:rsidR="00A3593E" w:rsidRPr="00B03B51">
        <w:rPr>
          <w:rFonts w:ascii="Times New Roman" w:hAnsi="Times New Roman" w:cs="Times New Roman"/>
          <w:sz w:val="24"/>
        </w:rPr>
        <w:t>inājuma</w:t>
      </w:r>
      <w:r w:rsidRPr="00B03B51">
        <w:rPr>
          <w:rFonts w:ascii="Times New Roman" w:hAnsi="Times New Roman" w:cs="Times New Roman"/>
          <w:sz w:val="24"/>
        </w:rPr>
        <w:t xml:space="preserve"> shēmas, piešķirt atļaujas/licences, kā arī piemērot naudas sodus.</w:t>
      </w:r>
    </w:p>
    <w:p w14:paraId="438F4F4D" w14:textId="665875DD" w:rsidR="00443399" w:rsidRPr="00B03B51" w:rsidRDefault="00443399" w:rsidP="007B5E80">
      <w:pPr>
        <w:pStyle w:val="BodyText"/>
        <w:numPr>
          <w:ilvl w:val="1"/>
          <w:numId w:val="53"/>
        </w:numPr>
        <w:spacing w:before="0"/>
        <w:ind w:left="426" w:hanging="425"/>
        <w:jc w:val="both"/>
        <w:rPr>
          <w:rFonts w:ascii="Times New Roman" w:hAnsi="Times New Roman" w:cs="Times New Roman"/>
          <w:noProof/>
          <w:sz w:val="24"/>
        </w:rPr>
      </w:pPr>
      <w:r w:rsidRPr="00B03B51">
        <w:rPr>
          <w:rFonts w:ascii="Times New Roman" w:hAnsi="Times New Roman" w:cs="Times New Roman"/>
          <w:sz w:val="24"/>
        </w:rPr>
        <w:t>Uz šo gadījumu attiecas EKS10 4. nodaļas “Sadales darījumi” iedaļa par nodokļiem un sociālā nodrošinā</w:t>
      </w:r>
      <w:r w:rsidR="00A3593E" w:rsidRPr="00B03B51">
        <w:rPr>
          <w:rFonts w:ascii="Times New Roman" w:hAnsi="Times New Roman" w:cs="Times New Roman"/>
          <w:sz w:val="24"/>
        </w:rPr>
        <w:t>juma</w:t>
      </w:r>
      <w:r w:rsidRPr="00B03B51">
        <w:rPr>
          <w:rFonts w:ascii="Times New Roman" w:hAnsi="Times New Roman" w:cs="Times New Roman"/>
          <w:sz w:val="24"/>
        </w:rPr>
        <w:t xml:space="preserve"> iemaksām. EKS 2010 4.23. punkta e) apakšpunktā un 4.79. punkta d) apakšpunktā ir skaidrotas atšķirības starp pakalpojumu pārdošanu un nodokļiem.</w:t>
      </w:r>
    </w:p>
    <w:p w14:paraId="6BE21037" w14:textId="77777777" w:rsidR="00443399" w:rsidRPr="00B03B51" w:rsidRDefault="00443399" w:rsidP="007B5E80">
      <w:pPr>
        <w:pStyle w:val="BodyText"/>
        <w:numPr>
          <w:ilvl w:val="1"/>
          <w:numId w:val="53"/>
        </w:numPr>
        <w:spacing w:before="0"/>
        <w:ind w:left="426" w:hanging="425"/>
        <w:jc w:val="both"/>
        <w:rPr>
          <w:rFonts w:ascii="Times New Roman" w:hAnsi="Times New Roman" w:cs="Times New Roman"/>
          <w:noProof/>
          <w:sz w:val="24"/>
        </w:rPr>
      </w:pPr>
      <w:r w:rsidRPr="00B03B51">
        <w:rPr>
          <w:rFonts w:ascii="Times New Roman" w:hAnsi="Times New Roman" w:cs="Times New Roman"/>
          <w:sz w:val="24"/>
        </w:rPr>
        <w:t xml:space="preserve">EKS 2010 4.79. punkta d) apakšpunkts attiecas uz mājsaimniecību maksājumiem par </w:t>
      </w:r>
      <w:r w:rsidRPr="00B03B51">
        <w:rPr>
          <w:rFonts w:ascii="Times New Roman" w:hAnsi="Times New Roman" w:cs="Times New Roman"/>
          <w:sz w:val="24"/>
        </w:rPr>
        <w:lastRenderedPageBreak/>
        <w:t>maksātājam piederošu vai maksātājam iznomātu aktīvu (transportlīdzekļu, laivu un gaisa kuģu) izmantošanu. Tas neattiecas uz maksājumiem par valdības īpašumā esošu aktīvu izmantošanu – to uzskata par produkciju (pakalpojuma pārdošana) vai renti, nevis nodokli.</w:t>
      </w:r>
    </w:p>
    <w:p w14:paraId="5A95069D" w14:textId="77777777" w:rsidR="00443399" w:rsidRPr="00B03B51" w:rsidRDefault="00443399" w:rsidP="00443399">
      <w:pPr>
        <w:jc w:val="both"/>
        <w:rPr>
          <w:rFonts w:ascii="Times New Roman" w:eastAsia="Arial" w:hAnsi="Times New Roman" w:cs="Times New Roman"/>
          <w:noProof/>
          <w:sz w:val="24"/>
          <w:szCs w:val="23"/>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1"/>
      </w:tblGrid>
      <w:tr w:rsidR="00443399" w:rsidRPr="00B03B51" w14:paraId="2B8047E9" w14:textId="77777777" w:rsidTr="0054365B">
        <w:tc>
          <w:tcPr>
            <w:tcW w:w="9281" w:type="dxa"/>
          </w:tcPr>
          <w:p w14:paraId="222B9FF6" w14:textId="77777777" w:rsidR="00443399" w:rsidRPr="00B03B51" w:rsidRDefault="00443399" w:rsidP="0054365B">
            <w:pPr>
              <w:pStyle w:val="Heading3"/>
              <w:ind w:left="0" w:firstLine="0"/>
              <w:jc w:val="both"/>
              <w:outlineLvl w:val="2"/>
              <w:rPr>
                <w:rFonts w:ascii="Times New Roman" w:hAnsi="Times New Roman" w:cs="Times New Roman"/>
                <w:noProof/>
                <w:sz w:val="24"/>
              </w:rPr>
            </w:pPr>
            <w:bookmarkStart w:id="482" w:name="_Toc67565176"/>
            <w:r w:rsidRPr="00B03B51">
              <w:rPr>
                <w:rFonts w:ascii="Times New Roman" w:hAnsi="Times New Roman" w:cs="Times New Roman"/>
                <w:sz w:val="24"/>
              </w:rPr>
              <w:t>1. ierāmējums. Mobilo telefonu licenču piešķiršana</w:t>
            </w:r>
            <w:bookmarkEnd w:id="482"/>
          </w:p>
          <w:p w14:paraId="7EA45B8F" w14:textId="77777777" w:rsidR="00443399" w:rsidRPr="00B03B51" w:rsidRDefault="00443399" w:rsidP="0054365B">
            <w:pPr>
              <w:pStyle w:val="BodyText"/>
              <w:tabs>
                <w:tab w:val="left" w:pos="801"/>
              </w:tabs>
              <w:spacing w:before="0"/>
              <w:ind w:left="0" w:firstLine="0"/>
              <w:jc w:val="both"/>
              <w:rPr>
                <w:rFonts w:ascii="Times New Roman" w:hAnsi="Times New Roman" w:cs="Times New Roman"/>
                <w:noProof/>
                <w:sz w:val="24"/>
              </w:rPr>
            </w:pPr>
          </w:p>
          <w:p w14:paraId="025969D3" w14:textId="77777777" w:rsidR="00443399" w:rsidRPr="00B03B51" w:rsidRDefault="00443399" w:rsidP="0054365B">
            <w:pPr>
              <w:pStyle w:val="BodyText"/>
              <w:tabs>
                <w:tab w:val="left" w:pos="801"/>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 Lielākajā daļā ES dalībvalstu mobilo telefonu licences (parasti UMTS (Universālā mobilo telesakaru sistēma), “3G” un nesen arī “4G” licences) ir piešķirtas operatoriem no 1999. gada atbilstīgi dažādām metodēm, kas tiek īstenotas konkrētajā valstī, tostarp bez maksas.</w:t>
            </w:r>
          </w:p>
          <w:p w14:paraId="3B3D7448" w14:textId="77777777" w:rsidR="00443399" w:rsidRPr="00B03B51" w:rsidRDefault="00443399" w:rsidP="0054365B">
            <w:pPr>
              <w:pStyle w:val="BodyText"/>
              <w:tabs>
                <w:tab w:val="left" w:pos="775"/>
              </w:tabs>
              <w:spacing w:before="0"/>
              <w:ind w:left="0" w:firstLine="0"/>
              <w:jc w:val="both"/>
              <w:rPr>
                <w:rFonts w:ascii="Times New Roman" w:hAnsi="Times New Roman" w:cs="Times New Roman"/>
                <w:noProof/>
                <w:sz w:val="24"/>
              </w:rPr>
            </w:pPr>
          </w:p>
          <w:p w14:paraId="3FA2C394" w14:textId="77777777" w:rsidR="00443399" w:rsidRPr="00B03B51" w:rsidRDefault="00443399" w:rsidP="0054365B">
            <w:pPr>
              <w:pStyle w:val="BodyText"/>
              <w:tabs>
                <w:tab w:val="left" w:pos="775"/>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2. Sākotnēji saskaņā ar EKS 1995 interpretāciju maksājumi valdībai bija jāieraksta kā rente (D.45), ja saskaņā ar vienošanos līgums tika piemērots uz pieciem gadiem vai īsāku laika posmu vai ja līgumā netika norādīta kopējā realizācijas cena, atkarībā no sabiedrības saimnieciskās darbības rezultātiem vismaz attiecībā uz lielu daļu no kopējiem ieņēmumiem līguma darbības laikā. Tika pieņemts, ka elektromagnētiskais spektrs (radioviļņi) atbilst aktīva definīcijai nacionālajos kontos.</w:t>
            </w:r>
          </w:p>
          <w:p w14:paraId="6235D1F1" w14:textId="77777777" w:rsidR="00443399" w:rsidRPr="00B03B51" w:rsidRDefault="00443399" w:rsidP="0054365B">
            <w:pPr>
              <w:pStyle w:val="BodyText"/>
              <w:tabs>
                <w:tab w:val="left" w:pos="773"/>
              </w:tabs>
              <w:spacing w:before="0"/>
              <w:ind w:left="0" w:firstLine="0"/>
              <w:jc w:val="both"/>
              <w:rPr>
                <w:rFonts w:ascii="Times New Roman" w:hAnsi="Times New Roman" w:cs="Times New Roman"/>
                <w:noProof/>
                <w:sz w:val="24"/>
              </w:rPr>
            </w:pPr>
          </w:p>
          <w:p w14:paraId="45C3E7D6" w14:textId="77777777" w:rsidR="00443399" w:rsidRPr="00B03B51" w:rsidRDefault="00443399" w:rsidP="0054365B">
            <w:pPr>
              <w:pStyle w:val="BodyText"/>
              <w:tabs>
                <w:tab w:val="left" w:pos="77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3. EKS 2010 radiospektrs ir skaidri noteikts kā dabas resurss (AN.2151). Tajā nav konkrēti pieminētas UMTS vai mobilo telefonu licences, taču 15. nodaļā (EKS 2010 15.23.–15.30. punktā) ir apspriesta dabas resursu noma, tostarp sniegta atsauce uz radiofrekvenču spektra nomu. Norādīts, ka gadījumā, ja valdība izdod atļauju, kas tās turētājam piešķir ilgstošu kontroli pār dabas resursiem kopā ar saistītajiem riskiem un priekšrocībām, licences/atļaujas turētāja kontos var ierakstīt jaunu aktīvu (AN.22 “atļaujas lietot dabas resursus”), ja vien “risku un atlīdzības pārņemšanas rezultāts ir pārvedama atļauja ar realizējamu vērtību” (EKS 2010 15.28. punkts).</w:t>
            </w:r>
          </w:p>
          <w:p w14:paraId="07A1DC0E" w14:textId="77777777" w:rsidR="00443399" w:rsidRPr="00B03B51" w:rsidRDefault="00443399" w:rsidP="0054365B">
            <w:pPr>
              <w:pStyle w:val="BodyText"/>
              <w:tabs>
                <w:tab w:val="left" w:pos="775"/>
              </w:tabs>
              <w:spacing w:before="0"/>
              <w:ind w:left="0" w:firstLine="0"/>
              <w:jc w:val="both"/>
              <w:rPr>
                <w:rFonts w:ascii="Times New Roman" w:hAnsi="Times New Roman" w:cs="Times New Roman"/>
                <w:noProof/>
                <w:sz w:val="24"/>
              </w:rPr>
            </w:pPr>
          </w:p>
          <w:p w14:paraId="6783BA5C" w14:textId="77777777" w:rsidR="00443399" w:rsidRPr="00B03B51" w:rsidRDefault="00443399" w:rsidP="0054365B">
            <w:pPr>
              <w:pStyle w:val="BodyText"/>
              <w:tabs>
                <w:tab w:val="left" w:pos="775"/>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4. Tādējādi, lai atzītu neražotu aktīvu, atļaujas/licences turētājam jāspēj visā licences darbības termiņā realizēt vērtību no atļaujas, ja tas vēlas pārtraukt attiecīgās darbības veikšanu. Lai to sasniegtu, ir jābūt iespējai licenci nodot trešai personai. Parasti šādi darījumi jāveic saskaņā ar īpašu procedūru. Līdzīgi citiem licenču vai koncesiju/PPP gadījumiem var būt nepieciešams valdības pilnvarojums, lai tālākpārdotu vai nodotu licenci, jo īpaši, lai novērtētu saņēmēja tehnisko spēju veikt attiecīgo darbību un tā finanšu stabilitāti.</w:t>
            </w:r>
          </w:p>
          <w:p w14:paraId="43913AE1" w14:textId="77777777" w:rsidR="00443399" w:rsidRPr="00B03B51" w:rsidRDefault="00443399" w:rsidP="0054365B">
            <w:pPr>
              <w:pStyle w:val="BodyText"/>
              <w:tabs>
                <w:tab w:val="left" w:pos="780"/>
              </w:tabs>
              <w:spacing w:before="0"/>
              <w:ind w:left="0" w:firstLine="0"/>
              <w:jc w:val="both"/>
              <w:rPr>
                <w:rFonts w:ascii="Times New Roman" w:hAnsi="Times New Roman" w:cs="Times New Roman"/>
                <w:noProof/>
                <w:sz w:val="24"/>
              </w:rPr>
            </w:pPr>
          </w:p>
          <w:p w14:paraId="358CB350" w14:textId="77777777" w:rsidR="00443399" w:rsidRPr="00B03B51" w:rsidRDefault="00443399" w:rsidP="0054365B">
            <w:pPr>
              <w:pStyle w:val="BodyText"/>
              <w:tabs>
                <w:tab w:val="left" w:pos="780"/>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5. Līgumā arī var būt paredzēts tas, ka darījums var notikt tikai ar valdības starpniecību, nevis tieši starp darījumā iesaistītajiem dalībniekiem. Saskaņā ar minētajiem nosacījumiem var uzskatīt, ka licence ir nododama un ka AN.22 aktīvs tādējādi tiek atzīts licences pircēja/turētāja kontos.</w:t>
            </w:r>
          </w:p>
          <w:p w14:paraId="71C7DB47" w14:textId="77777777" w:rsidR="00443399" w:rsidRPr="00B03B51" w:rsidRDefault="00443399" w:rsidP="0054365B">
            <w:pPr>
              <w:pStyle w:val="BodyText"/>
              <w:tabs>
                <w:tab w:val="left" w:pos="811"/>
              </w:tabs>
              <w:spacing w:before="0"/>
              <w:ind w:left="0" w:firstLine="0"/>
              <w:jc w:val="both"/>
              <w:rPr>
                <w:rFonts w:ascii="Times New Roman" w:hAnsi="Times New Roman" w:cs="Times New Roman"/>
                <w:noProof/>
                <w:sz w:val="24"/>
              </w:rPr>
            </w:pPr>
          </w:p>
          <w:p w14:paraId="1B341D1E" w14:textId="77777777" w:rsidR="00443399" w:rsidRPr="00B03B51" w:rsidRDefault="00443399" w:rsidP="0054365B">
            <w:pPr>
              <w:pStyle w:val="BodyText"/>
              <w:tabs>
                <w:tab w:val="left" w:pos="811"/>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6. Savukārt, ja valdībai ir tiesības kādu iemeslu dēļ nepiekrist nodošanai vai ja saskaņā ar līgumu atļaujas turētājam ir jātur licence līdz tās darbības termiņa beigām, AN.22 aktīvu neatzīst licences pircēja/turētāja kontos.</w:t>
            </w:r>
          </w:p>
          <w:p w14:paraId="394DD826" w14:textId="77777777" w:rsidR="00443399" w:rsidRPr="00B03B51" w:rsidRDefault="00443399" w:rsidP="0054365B">
            <w:pPr>
              <w:pStyle w:val="BodyText"/>
              <w:tabs>
                <w:tab w:val="left" w:pos="790"/>
              </w:tabs>
              <w:spacing w:before="0"/>
              <w:ind w:left="0" w:firstLine="0"/>
              <w:jc w:val="both"/>
              <w:rPr>
                <w:rFonts w:ascii="Times New Roman" w:hAnsi="Times New Roman" w:cs="Times New Roman"/>
                <w:noProof/>
                <w:sz w:val="24"/>
              </w:rPr>
            </w:pPr>
          </w:p>
          <w:p w14:paraId="7A69F1E2" w14:textId="77777777" w:rsidR="00443399" w:rsidRPr="00B03B51" w:rsidRDefault="00443399" w:rsidP="0054365B">
            <w:pPr>
              <w:pStyle w:val="BodyText"/>
              <w:tabs>
                <w:tab w:val="left" w:pos="790"/>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7. Valdības ieņēmumus jebkurā gadījumā ieraksta kā renti (skat. EKS 2010 15.3. tabulu “Trīs dažādu veidu dabas resursu izmantošanas atļauju ierakstīšana”).</w:t>
            </w:r>
          </w:p>
          <w:p w14:paraId="4D716143" w14:textId="77777777" w:rsidR="00443399" w:rsidRPr="00B03B51" w:rsidRDefault="00443399" w:rsidP="0054365B">
            <w:pPr>
              <w:jc w:val="both"/>
              <w:rPr>
                <w:rFonts w:ascii="Times New Roman" w:hAnsi="Times New Roman" w:cs="Times New Roman"/>
                <w:noProof/>
                <w:sz w:val="24"/>
                <w:szCs w:val="24"/>
              </w:rPr>
            </w:pPr>
          </w:p>
          <w:p w14:paraId="11AD326A" w14:textId="77777777" w:rsidR="00443399" w:rsidRPr="00B03B51" w:rsidRDefault="00443399" w:rsidP="0054365B">
            <w:pPr>
              <w:jc w:val="both"/>
              <w:rPr>
                <w:rFonts w:ascii="Times New Roman" w:hAnsi="Times New Roman" w:cs="Times New Roman"/>
                <w:noProof/>
                <w:sz w:val="24"/>
                <w:szCs w:val="24"/>
              </w:rPr>
            </w:pPr>
          </w:p>
          <w:p w14:paraId="3C73D5A3" w14:textId="77777777" w:rsidR="00443399" w:rsidRPr="00B03B51" w:rsidRDefault="00443399" w:rsidP="0054365B">
            <w:pPr>
              <w:jc w:val="both"/>
              <w:rPr>
                <w:rFonts w:ascii="Times New Roman" w:hAnsi="Times New Roman" w:cs="Times New Roman"/>
                <w:noProof/>
                <w:sz w:val="24"/>
                <w:szCs w:val="24"/>
              </w:rPr>
            </w:pPr>
            <w:r w:rsidRPr="00B03B51">
              <w:rPr>
                <w:rFonts w:ascii="Times New Roman" w:hAnsi="Times New Roman" w:cs="Times New Roman"/>
                <w:b/>
                <w:bCs/>
                <w:sz w:val="24"/>
                <w:szCs w:val="24"/>
              </w:rPr>
              <w:t>15.3. tabula.</w:t>
            </w:r>
            <w:r w:rsidRPr="00B03B51">
              <w:rPr>
                <w:rFonts w:ascii="Times New Roman" w:hAnsi="Times New Roman" w:cs="Times New Roman"/>
                <w:sz w:val="24"/>
                <w:szCs w:val="24"/>
              </w:rPr>
              <w:t xml:space="preserve"> Trīs dažādu veidu dabas resursu izmantošanas atļauju ierakstīšana</w:t>
            </w:r>
          </w:p>
          <w:p w14:paraId="42D7B2D8" w14:textId="77777777" w:rsidR="00443399" w:rsidRPr="00B03B51" w:rsidRDefault="00443399" w:rsidP="0054365B">
            <w:pPr>
              <w:jc w:val="both"/>
              <w:rPr>
                <w:rFonts w:ascii="Times New Roman" w:hAnsi="Times New Roman" w:cs="Times New Roman"/>
                <w:noProof/>
                <w:sz w:val="24"/>
                <w:szCs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4496"/>
              <w:gridCol w:w="4499"/>
            </w:tblGrid>
            <w:tr w:rsidR="00443399" w:rsidRPr="00B03B51" w14:paraId="26259113" w14:textId="77777777" w:rsidTr="0054365B">
              <w:tc>
                <w:tcPr>
                  <w:tcW w:w="4640" w:type="dxa"/>
                </w:tcPr>
                <w:p w14:paraId="67F4E022" w14:textId="77777777" w:rsidR="00443399" w:rsidRPr="00B03B51" w:rsidRDefault="00443399" w:rsidP="0054365B">
                  <w:pPr>
                    <w:jc w:val="center"/>
                    <w:rPr>
                      <w:rFonts w:ascii="Times New Roman" w:hAnsi="Times New Roman" w:cs="Times New Roman"/>
                      <w:b/>
                      <w:bCs/>
                      <w:noProof/>
                      <w:sz w:val="24"/>
                      <w:szCs w:val="24"/>
                    </w:rPr>
                  </w:pPr>
                  <w:r w:rsidRPr="00B03B51">
                    <w:rPr>
                      <w:rFonts w:ascii="Times New Roman" w:hAnsi="Times New Roman" w:cs="Times New Roman"/>
                      <w:b/>
                      <w:bCs/>
                      <w:sz w:val="24"/>
                      <w:szCs w:val="24"/>
                    </w:rPr>
                    <w:t>Lietojuma veids</w:t>
                  </w:r>
                </w:p>
              </w:tc>
              <w:tc>
                <w:tcPr>
                  <w:tcW w:w="4641" w:type="dxa"/>
                </w:tcPr>
                <w:p w14:paraId="3847661F" w14:textId="77777777" w:rsidR="00443399" w:rsidRPr="00B03B51" w:rsidRDefault="00443399" w:rsidP="0054365B">
                  <w:pPr>
                    <w:jc w:val="center"/>
                    <w:rPr>
                      <w:rFonts w:ascii="Times New Roman" w:hAnsi="Times New Roman" w:cs="Times New Roman"/>
                      <w:b/>
                      <w:bCs/>
                      <w:noProof/>
                      <w:sz w:val="24"/>
                      <w:szCs w:val="24"/>
                    </w:rPr>
                  </w:pPr>
                  <w:r w:rsidRPr="00B03B51">
                    <w:rPr>
                      <w:rFonts w:ascii="Times New Roman" w:hAnsi="Times New Roman" w:cs="Times New Roman"/>
                      <w:b/>
                      <w:bCs/>
                      <w:sz w:val="24"/>
                      <w:szCs w:val="24"/>
                    </w:rPr>
                    <w:t>Ierakstīšanas metode</w:t>
                  </w:r>
                </w:p>
              </w:tc>
            </w:tr>
            <w:tr w:rsidR="00443399" w:rsidRPr="00B03B51" w14:paraId="1E5FE7DB" w14:textId="77777777" w:rsidTr="0054365B">
              <w:tc>
                <w:tcPr>
                  <w:tcW w:w="4640" w:type="dxa"/>
                </w:tcPr>
                <w:p w14:paraId="0A3B4944" w14:textId="77777777" w:rsidR="00443399" w:rsidRPr="00B03B51" w:rsidRDefault="00443399" w:rsidP="0054365B">
                  <w:pPr>
                    <w:jc w:val="both"/>
                    <w:rPr>
                      <w:rFonts w:ascii="Times New Roman" w:hAnsi="Times New Roman" w:cs="Times New Roman"/>
                      <w:noProof/>
                      <w:sz w:val="24"/>
                      <w:szCs w:val="24"/>
                    </w:rPr>
                  </w:pPr>
                  <w:r w:rsidRPr="00B03B51">
                    <w:rPr>
                      <w:rFonts w:ascii="Times New Roman" w:hAnsi="Times New Roman" w:cs="Times New Roman"/>
                      <w:sz w:val="24"/>
                      <w:szCs w:val="24"/>
                    </w:rPr>
                    <w:t xml:space="preserve">Pagaidu izmantošanas atļauja, var būt uz ilgu </w:t>
                  </w:r>
                  <w:r w:rsidRPr="00B03B51">
                    <w:rPr>
                      <w:rFonts w:ascii="Times New Roman" w:hAnsi="Times New Roman" w:cs="Times New Roman"/>
                      <w:sz w:val="24"/>
                      <w:szCs w:val="24"/>
                    </w:rPr>
                    <w:lastRenderedPageBreak/>
                    <w:t>laiku</w:t>
                  </w:r>
                </w:p>
              </w:tc>
              <w:tc>
                <w:tcPr>
                  <w:tcW w:w="4641" w:type="dxa"/>
                </w:tcPr>
                <w:p w14:paraId="1F76747F" w14:textId="77777777" w:rsidR="00443399" w:rsidRPr="00B03B51" w:rsidRDefault="00443399" w:rsidP="0054365B">
                  <w:pPr>
                    <w:jc w:val="both"/>
                    <w:rPr>
                      <w:rFonts w:ascii="Times New Roman" w:hAnsi="Times New Roman" w:cs="Times New Roman"/>
                      <w:noProof/>
                      <w:sz w:val="24"/>
                      <w:szCs w:val="24"/>
                    </w:rPr>
                  </w:pPr>
                  <w:r w:rsidRPr="00B03B51">
                    <w:rPr>
                      <w:rFonts w:ascii="Times New Roman" w:hAnsi="Times New Roman" w:cs="Times New Roman"/>
                      <w:sz w:val="24"/>
                      <w:szCs w:val="24"/>
                    </w:rPr>
                    <w:lastRenderedPageBreak/>
                    <w:t>Resursu noma: rente (īpašuma ienākums)</w:t>
                  </w:r>
                </w:p>
              </w:tc>
            </w:tr>
            <w:tr w:rsidR="00443399" w:rsidRPr="00B03B51" w14:paraId="69F0B7F8" w14:textId="77777777" w:rsidTr="0054365B">
              <w:tc>
                <w:tcPr>
                  <w:tcW w:w="4640" w:type="dxa"/>
                </w:tcPr>
                <w:p w14:paraId="604E8D7B" w14:textId="77777777" w:rsidR="00443399" w:rsidRPr="00B03B51" w:rsidRDefault="00443399" w:rsidP="0054365B">
                  <w:pPr>
                    <w:jc w:val="both"/>
                    <w:rPr>
                      <w:rFonts w:ascii="Times New Roman" w:hAnsi="Times New Roman" w:cs="Times New Roman"/>
                      <w:noProof/>
                      <w:sz w:val="24"/>
                      <w:szCs w:val="24"/>
                    </w:rPr>
                  </w:pPr>
                  <w:r w:rsidRPr="00B03B51">
                    <w:rPr>
                      <w:rFonts w:ascii="Times New Roman" w:hAnsi="Times New Roman" w:cs="Times New Roman"/>
                      <w:sz w:val="24"/>
                      <w:szCs w:val="24"/>
                    </w:rPr>
                    <w:t>Lietotāja veikta kontrole ilgākā periodā; riski un labumi, ko uzņemas lietotājs; atļaujas pārvedamība par realizējamu vērtību</w:t>
                  </w:r>
                </w:p>
              </w:tc>
              <w:tc>
                <w:tcPr>
                  <w:tcW w:w="4641" w:type="dxa"/>
                </w:tcPr>
                <w:p w14:paraId="4096881E" w14:textId="77777777" w:rsidR="00443399" w:rsidRPr="00B03B51" w:rsidRDefault="00443399" w:rsidP="0054365B">
                  <w:pPr>
                    <w:jc w:val="both"/>
                    <w:rPr>
                      <w:rFonts w:ascii="Times New Roman" w:hAnsi="Times New Roman" w:cs="Times New Roman"/>
                      <w:noProof/>
                      <w:sz w:val="24"/>
                      <w:szCs w:val="24"/>
                    </w:rPr>
                  </w:pPr>
                  <w:r w:rsidRPr="00B03B51">
                    <w:rPr>
                      <w:rFonts w:ascii="Times New Roman" w:hAnsi="Times New Roman" w:cs="Times New Roman"/>
                      <w:sz w:val="24"/>
                      <w:szCs w:val="24"/>
                    </w:rPr>
                    <w:t>Rente un jauna aktīva izveidošana tiesībām izmantot dabas resursu</w:t>
                  </w:r>
                </w:p>
              </w:tc>
            </w:tr>
            <w:tr w:rsidR="00443399" w:rsidRPr="00B03B51" w14:paraId="345AFF92" w14:textId="77777777" w:rsidTr="0054365B">
              <w:tc>
                <w:tcPr>
                  <w:tcW w:w="4640" w:type="dxa"/>
                </w:tcPr>
                <w:p w14:paraId="52CE9376" w14:textId="77777777" w:rsidR="00443399" w:rsidRPr="00B03B51" w:rsidRDefault="00443399" w:rsidP="0054365B">
                  <w:pPr>
                    <w:jc w:val="both"/>
                    <w:rPr>
                      <w:rFonts w:ascii="Times New Roman" w:hAnsi="Times New Roman" w:cs="Times New Roman"/>
                      <w:noProof/>
                      <w:sz w:val="24"/>
                      <w:szCs w:val="24"/>
                    </w:rPr>
                  </w:pPr>
                  <w:r w:rsidRPr="00B03B51">
                    <w:rPr>
                      <w:rFonts w:ascii="Times New Roman" w:hAnsi="Times New Roman" w:cs="Times New Roman"/>
                      <w:sz w:val="24"/>
                      <w:szCs w:val="24"/>
                    </w:rPr>
                    <w:t>Izmantošana līdz izsīkšanai; pastāvīga izmantošana (visus riskus un labumus uzņemas lietotājs)</w:t>
                  </w:r>
                </w:p>
              </w:tc>
              <w:tc>
                <w:tcPr>
                  <w:tcW w:w="4641" w:type="dxa"/>
                </w:tcPr>
                <w:p w14:paraId="59FC050F" w14:textId="77777777" w:rsidR="00443399" w:rsidRPr="00B03B51" w:rsidRDefault="00443399" w:rsidP="0054365B">
                  <w:pPr>
                    <w:jc w:val="both"/>
                    <w:rPr>
                      <w:rFonts w:ascii="Times New Roman" w:hAnsi="Times New Roman" w:cs="Times New Roman"/>
                      <w:noProof/>
                      <w:sz w:val="24"/>
                      <w:szCs w:val="24"/>
                    </w:rPr>
                  </w:pPr>
                  <w:r w:rsidRPr="00B03B51">
                    <w:rPr>
                      <w:rFonts w:ascii="Times New Roman" w:hAnsi="Times New Roman" w:cs="Times New Roman"/>
                      <w:sz w:val="24"/>
                      <w:szCs w:val="24"/>
                    </w:rPr>
                    <w:t>Dabas resursa pārdošana</w:t>
                  </w:r>
                </w:p>
              </w:tc>
            </w:tr>
          </w:tbl>
          <w:p w14:paraId="220B45D4" w14:textId="77777777" w:rsidR="00443399" w:rsidRPr="00B03B51" w:rsidRDefault="00443399" w:rsidP="0054365B">
            <w:pPr>
              <w:jc w:val="both"/>
              <w:rPr>
                <w:rFonts w:ascii="Times New Roman" w:hAnsi="Times New Roman" w:cs="Times New Roman"/>
                <w:noProof/>
                <w:sz w:val="24"/>
                <w:szCs w:val="24"/>
              </w:rPr>
            </w:pPr>
          </w:p>
          <w:p w14:paraId="1EA498A2" w14:textId="77777777" w:rsidR="00443399" w:rsidRPr="00B03B51" w:rsidRDefault="00443399" w:rsidP="0054365B">
            <w:pPr>
              <w:jc w:val="both"/>
              <w:rPr>
                <w:rFonts w:ascii="Times New Roman" w:hAnsi="Times New Roman" w:cs="Times New Roman"/>
                <w:noProof/>
                <w:sz w:val="24"/>
                <w:szCs w:val="24"/>
              </w:rPr>
            </w:pPr>
            <w:r w:rsidRPr="00B03B51">
              <w:rPr>
                <w:rFonts w:ascii="Times New Roman" w:hAnsi="Times New Roman" w:cs="Times New Roman"/>
                <w:sz w:val="24"/>
                <w:szCs w:val="24"/>
              </w:rPr>
              <w:t>8. Retos gadījumos tomēr valdības kontos NP.2 ieraksta darījumus ar licenci, piemēram, kad valdības sektorā klasificēta vienība, gūstot labumu vai zaudējumus, tālākpārdod vai tālāknodod iepriekš izsolē iegūtu atļauju vai ja šādu licenci iegādājas otrreizējā tirgū (par vērtību, kas atšķiras no saņemamās summas, kas uzkrājusies pārdevēja grāmatvedības uzskaitē).</w:t>
            </w:r>
          </w:p>
        </w:tc>
      </w:tr>
    </w:tbl>
    <w:p w14:paraId="73536CF0" w14:textId="77777777" w:rsidR="00443399" w:rsidRPr="00B03B51" w:rsidRDefault="00443399" w:rsidP="00443399">
      <w:pPr>
        <w:jc w:val="both"/>
        <w:rPr>
          <w:rFonts w:ascii="Times New Roman" w:eastAsia="Arial" w:hAnsi="Times New Roman" w:cs="Times New Roman"/>
          <w:noProof/>
          <w:sz w:val="24"/>
          <w:szCs w:val="15"/>
        </w:rPr>
      </w:pPr>
    </w:p>
    <w:p w14:paraId="62873556" w14:textId="77777777" w:rsidR="00443399" w:rsidRPr="00B03B51" w:rsidRDefault="00443399" w:rsidP="00443399">
      <w:pPr>
        <w:pStyle w:val="Heading3"/>
        <w:ind w:left="0" w:firstLine="0"/>
        <w:jc w:val="both"/>
        <w:rPr>
          <w:rFonts w:ascii="Times New Roman" w:hAnsi="Times New Roman" w:cs="Times New Roman"/>
          <w:noProof/>
          <w:sz w:val="24"/>
        </w:rPr>
      </w:pPr>
      <w:bookmarkStart w:id="483" w:name="_Toc67565177"/>
      <w:r w:rsidRPr="00B03B51">
        <w:rPr>
          <w:rFonts w:ascii="Times New Roman" w:hAnsi="Times New Roman" w:cs="Times New Roman"/>
          <w:sz w:val="24"/>
        </w:rPr>
        <w:t>6.1.4. Uzskaites piemērs</w:t>
      </w:r>
      <w:bookmarkEnd w:id="483"/>
    </w:p>
    <w:p w14:paraId="781611B6" w14:textId="77777777" w:rsidR="00443399" w:rsidRPr="00B03B51" w:rsidRDefault="00443399" w:rsidP="00443399">
      <w:pPr>
        <w:pStyle w:val="BodyText"/>
        <w:spacing w:before="0"/>
        <w:ind w:left="0" w:firstLine="0"/>
        <w:jc w:val="both"/>
        <w:rPr>
          <w:rFonts w:ascii="Times New Roman" w:hAnsi="Times New Roman" w:cs="Times New Roman"/>
          <w:noProof/>
          <w:sz w:val="24"/>
        </w:rPr>
      </w:pPr>
    </w:p>
    <w:p w14:paraId="01B25B6C" w14:textId="77777777" w:rsidR="00443399" w:rsidRPr="00B03B51" w:rsidRDefault="00443399" w:rsidP="00443399">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t>Mobilā telefona licence 1. gadā ir pārdota 1. pircējam (telesakaru uzņēmumam A) par 100 naudas vienībām. Licence atļauj piekļuvi radiofrekvenču spektram uz 10 gadiem, taču tikai sākot no 2. gada sākuma. Ņemot vērā tirgus izmaiņas, šīs piekļuves tirgus cena 2. gada beigās ir nesusi guvumu 20 naudas vienību apmērā, ko ieraksta K.7 pozīcijā. Trešajā gadā 1. ceturkšņa beigās licences turētājs pārdod licenci 2. pircējam (telesakaru uzņēmumam B). Pārdošanas cena ir 107 (= 100–12,5+20–0,5=90–2,5+20–0,5). Neražojošā aktīva amortizācija ir apmēram 2 naudas vienības gadā (0,5 naudas vienības ceturksnī), ko var ierakstīt K.2 vai arī K.7 pozīcijā. Šajā piemērā licences vērtība 100 naudas vienības vienkāršības labad tiek lineāri sadalīta (nevis tiek izvērtēta darījumu pašreizējā vērtība).</w:t>
      </w:r>
    </w:p>
    <w:p w14:paraId="3269EBB8" w14:textId="77777777" w:rsidR="00443399" w:rsidRPr="00B03B51" w:rsidRDefault="00443399" w:rsidP="00443399">
      <w:pPr>
        <w:jc w:val="both"/>
        <w:rPr>
          <w:rFonts w:ascii="Times New Roman" w:eastAsia="Arial" w:hAnsi="Times New Roman" w:cs="Times New Roman"/>
          <w:noProof/>
          <w:sz w:val="24"/>
          <w:szCs w:val="19"/>
        </w:rPr>
      </w:pPr>
    </w:p>
    <w:p w14:paraId="2484AF24" w14:textId="77777777" w:rsidR="00443399" w:rsidRPr="00B03B51" w:rsidRDefault="00443399" w:rsidP="00443399">
      <w:pPr>
        <w:jc w:val="both"/>
        <w:rPr>
          <w:rFonts w:ascii="Times New Roman" w:hAnsi="Times New Roman" w:cs="Times New Roman"/>
          <w:b/>
          <w:noProof/>
          <w:sz w:val="24"/>
        </w:rPr>
      </w:pPr>
      <w:r w:rsidRPr="00B03B51">
        <w:rPr>
          <w:rFonts w:ascii="Times New Roman" w:hAnsi="Times New Roman" w:cs="Times New Roman"/>
          <w:b/>
          <w:sz w:val="24"/>
        </w:rPr>
        <w:t>Sākuma bilance 1. gadā</w:t>
      </w:r>
    </w:p>
    <w:p w14:paraId="113FB286" w14:textId="77777777" w:rsidR="00443399" w:rsidRPr="00B03B51" w:rsidRDefault="00443399" w:rsidP="00443399">
      <w:pPr>
        <w:jc w:val="both"/>
        <w:rPr>
          <w:rFonts w:ascii="Times New Roman" w:eastAsia="Calibri" w:hAnsi="Times New Roman" w:cs="Times New Roman"/>
          <w:noProof/>
          <w:sz w:val="24"/>
        </w:rPr>
      </w:pPr>
    </w:p>
    <w:p w14:paraId="53B08C3B" w14:textId="77777777" w:rsidR="00443399" w:rsidRPr="00B03B51" w:rsidRDefault="00443399" w:rsidP="00443399">
      <w:pPr>
        <w:jc w:val="center"/>
        <w:rPr>
          <w:rFonts w:ascii="Times New Roman" w:eastAsia="Calibri" w:hAnsi="Times New Roman" w:cs="Times New Roman"/>
          <w:noProof/>
          <w:sz w:val="24"/>
        </w:rPr>
      </w:pPr>
      <w:r w:rsidRPr="00B03B51">
        <w:rPr>
          <w:rFonts w:ascii="Times New Roman" w:hAnsi="Times New Roman" w:cs="Times New Roman"/>
          <w:noProof/>
        </w:rPr>
        <w:drawing>
          <wp:inline distT="0" distB="0" distL="0" distR="0" wp14:anchorId="68F6468C" wp14:editId="4AFD4E9D">
            <wp:extent cx="5756275" cy="1062355"/>
            <wp:effectExtent l="0" t="0" r="0" b="4445"/>
            <wp:docPr id="128" name="Attēls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6"/>
                    <a:stretch>
                      <a:fillRect/>
                    </a:stretch>
                  </pic:blipFill>
                  <pic:spPr>
                    <a:xfrm>
                      <a:off x="0" y="0"/>
                      <a:ext cx="5756275" cy="1062355"/>
                    </a:xfrm>
                    <a:prstGeom prst="rect">
                      <a:avLst/>
                    </a:prstGeom>
                  </pic:spPr>
                </pic:pic>
              </a:graphicData>
            </a:graphic>
          </wp:inline>
        </w:drawing>
      </w:r>
    </w:p>
    <w:p w14:paraId="37008D33" w14:textId="77777777" w:rsidR="00443399" w:rsidRPr="00B03B51" w:rsidRDefault="00443399" w:rsidP="00443399">
      <w:pPr>
        <w:jc w:val="both"/>
        <w:rPr>
          <w:rFonts w:ascii="Times New Roman" w:eastAsia="Calibri" w:hAnsi="Times New Roman" w:cs="Times New Roman"/>
          <w:noProof/>
          <w:sz w:val="24"/>
        </w:rPr>
      </w:pPr>
    </w:p>
    <w:p w14:paraId="2B35A83C" w14:textId="77777777" w:rsidR="00443399" w:rsidRPr="00B03B51" w:rsidRDefault="00443399" w:rsidP="00443399">
      <w:pPr>
        <w:jc w:val="both"/>
        <w:rPr>
          <w:rFonts w:ascii="Times New Roman" w:hAnsi="Times New Roman" w:cs="Times New Roman"/>
          <w:b/>
          <w:noProof/>
          <w:sz w:val="24"/>
        </w:rPr>
      </w:pPr>
      <w:r w:rsidRPr="00B03B51">
        <w:rPr>
          <w:rFonts w:ascii="Times New Roman" w:hAnsi="Times New Roman" w:cs="Times New Roman"/>
          <w:b/>
          <w:sz w:val="24"/>
        </w:rPr>
        <w:t>Nefinanšu konti 1. gadā</w:t>
      </w:r>
    </w:p>
    <w:p w14:paraId="4483BCF2" w14:textId="77777777" w:rsidR="00443399" w:rsidRPr="00B03B51" w:rsidRDefault="00443399" w:rsidP="00443399">
      <w:pPr>
        <w:jc w:val="both"/>
        <w:rPr>
          <w:rFonts w:ascii="Times New Roman" w:eastAsia="Arial" w:hAnsi="Times New Roman" w:cs="Times New Roman"/>
          <w:b/>
          <w:bCs/>
          <w:noProof/>
          <w:sz w:val="24"/>
          <w:szCs w:val="25"/>
        </w:rPr>
      </w:pPr>
    </w:p>
    <w:p w14:paraId="0CF45DC5" w14:textId="77777777" w:rsidR="00443399" w:rsidRPr="00B03B51" w:rsidRDefault="00443399" w:rsidP="00443399">
      <w:pPr>
        <w:jc w:val="center"/>
        <w:rPr>
          <w:rFonts w:ascii="Times New Roman" w:eastAsia="Arial" w:hAnsi="Times New Roman" w:cs="Times New Roman"/>
          <w:b/>
          <w:bCs/>
          <w:noProof/>
          <w:sz w:val="24"/>
          <w:szCs w:val="20"/>
        </w:rPr>
      </w:pPr>
      <w:r w:rsidRPr="00B03B51">
        <w:rPr>
          <w:rFonts w:ascii="Times New Roman" w:hAnsi="Times New Roman" w:cs="Times New Roman"/>
          <w:noProof/>
        </w:rPr>
        <w:drawing>
          <wp:inline distT="0" distB="0" distL="0" distR="0" wp14:anchorId="72BDAA22" wp14:editId="7134D708">
            <wp:extent cx="5756275" cy="733425"/>
            <wp:effectExtent l="0" t="0" r="0" b="9525"/>
            <wp:docPr id="129" name="Attēls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7"/>
                    <a:stretch>
                      <a:fillRect/>
                    </a:stretch>
                  </pic:blipFill>
                  <pic:spPr>
                    <a:xfrm>
                      <a:off x="0" y="0"/>
                      <a:ext cx="5756275" cy="733425"/>
                    </a:xfrm>
                    <a:prstGeom prst="rect">
                      <a:avLst/>
                    </a:prstGeom>
                  </pic:spPr>
                </pic:pic>
              </a:graphicData>
            </a:graphic>
          </wp:inline>
        </w:drawing>
      </w:r>
    </w:p>
    <w:p w14:paraId="15BDF77B" w14:textId="77777777" w:rsidR="00443399" w:rsidRPr="00B03B51" w:rsidRDefault="00443399" w:rsidP="00443399">
      <w:pPr>
        <w:jc w:val="both"/>
        <w:rPr>
          <w:rFonts w:ascii="Times New Roman" w:eastAsia="Arial" w:hAnsi="Times New Roman" w:cs="Times New Roman"/>
          <w:b/>
          <w:bCs/>
          <w:noProof/>
          <w:sz w:val="24"/>
          <w:szCs w:val="17"/>
        </w:rPr>
      </w:pPr>
    </w:p>
    <w:p w14:paraId="33CBE3E7" w14:textId="77777777" w:rsidR="00443399" w:rsidRPr="00B03B51" w:rsidRDefault="00443399" w:rsidP="00B73481">
      <w:pPr>
        <w:keepNext/>
        <w:jc w:val="both"/>
        <w:rPr>
          <w:rFonts w:ascii="Times New Roman" w:hAnsi="Times New Roman" w:cs="Times New Roman"/>
          <w:b/>
          <w:noProof/>
          <w:sz w:val="24"/>
        </w:rPr>
      </w:pPr>
      <w:r w:rsidRPr="00B03B51">
        <w:rPr>
          <w:rFonts w:ascii="Times New Roman" w:hAnsi="Times New Roman" w:cs="Times New Roman"/>
          <w:b/>
          <w:sz w:val="24"/>
        </w:rPr>
        <w:lastRenderedPageBreak/>
        <w:t>Finanšu konti 1. gadā</w:t>
      </w:r>
    </w:p>
    <w:p w14:paraId="2FF2F3EE" w14:textId="77777777" w:rsidR="00443399" w:rsidRPr="00B03B51" w:rsidRDefault="00443399" w:rsidP="00B73481">
      <w:pPr>
        <w:keepNext/>
        <w:jc w:val="both"/>
        <w:rPr>
          <w:rFonts w:ascii="Times New Roman" w:eastAsia="Arial" w:hAnsi="Times New Roman" w:cs="Times New Roman"/>
          <w:b/>
          <w:bCs/>
          <w:noProof/>
          <w:sz w:val="24"/>
          <w:szCs w:val="25"/>
        </w:rPr>
      </w:pPr>
    </w:p>
    <w:p w14:paraId="1684B13A" w14:textId="77777777" w:rsidR="00443399" w:rsidRPr="00B03B51" w:rsidRDefault="00443399" w:rsidP="00B73481">
      <w:pPr>
        <w:keepNext/>
        <w:jc w:val="center"/>
        <w:rPr>
          <w:rFonts w:ascii="Times New Roman" w:eastAsia="Arial" w:hAnsi="Times New Roman" w:cs="Times New Roman"/>
          <w:b/>
          <w:bCs/>
          <w:noProof/>
          <w:sz w:val="24"/>
          <w:szCs w:val="20"/>
        </w:rPr>
      </w:pPr>
      <w:r w:rsidRPr="00B03B51">
        <w:rPr>
          <w:rFonts w:ascii="Times New Roman" w:hAnsi="Times New Roman" w:cs="Times New Roman"/>
          <w:noProof/>
        </w:rPr>
        <w:drawing>
          <wp:inline distT="0" distB="0" distL="0" distR="0" wp14:anchorId="132A3157" wp14:editId="54B38B94">
            <wp:extent cx="5756275" cy="1165225"/>
            <wp:effectExtent l="0" t="0" r="0" b="0"/>
            <wp:docPr id="11" name="Attēl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8"/>
                    <a:stretch>
                      <a:fillRect/>
                    </a:stretch>
                  </pic:blipFill>
                  <pic:spPr>
                    <a:xfrm>
                      <a:off x="0" y="0"/>
                      <a:ext cx="5756275" cy="1165225"/>
                    </a:xfrm>
                    <a:prstGeom prst="rect">
                      <a:avLst/>
                    </a:prstGeom>
                  </pic:spPr>
                </pic:pic>
              </a:graphicData>
            </a:graphic>
          </wp:inline>
        </w:drawing>
      </w:r>
    </w:p>
    <w:p w14:paraId="7B8FC7A6" w14:textId="77777777" w:rsidR="00443399" w:rsidRPr="00B03B51" w:rsidRDefault="00443399" w:rsidP="00443399">
      <w:pPr>
        <w:jc w:val="both"/>
        <w:rPr>
          <w:rFonts w:ascii="Times New Roman" w:eastAsia="Arial" w:hAnsi="Times New Roman" w:cs="Times New Roman"/>
          <w:b/>
          <w:bCs/>
          <w:noProof/>
          <w:sz w:val="24"/>
          <w:szCs w:val="17"/>
        </w:rPr>
      </w:pPr>
    </w:p>
    <w:p w14:paraId="55EB1361" w14:textId="55E6FFA1" w:rsidR="00443399" w:rsidRPr="00B03B51" w:rsidRDefault="00A3593E" w:rsidP="00443399">
      <w:pPr>
        <w:keepNext/>
        <w:jc w:val="both"/>
        <w:rPr>
          <w:rFonts w:ascii="Times New Roman" w:hAnsi="Times New Roman" w:cs="Times New Roman"/>
          <w:b/>
          <w:noProof/>
          <w:sz w:val="24"/>
        </w:rPr>
      </w:pPr>
      <w:r w:rsidRPr="00B03B51">
        <w:rPr>
          <w:rFonts w:ascii="Times New Roman" w:hAnsi="Times New Roman" w:cs="Times New Roman"/>
          <w:b/>
          <w:sz w:val="24"/>
        </w:rPr>
        <w:t>Beigu</w:t>
      </w:r>
      <w:r w:rsidR="00443399" w:rsidRPr="00B03B51">
        <w:rPr>
          <w:rFonts w:ascii="Times New Roman" w:hAnsi="Times New Roman" w:cs="Times New Roman"/>
          <w:b/>
          <w:sz w:val="24"/>
        </w:rPr>
        <w:t xml:space="preserve"> bilance 1. gadā</w:t>
      </w:r>
    </w:p>
    <w:p w14:paraId="3653559E" w14:textId="77777777" w:rsidR="00443399" w:rsidRPr="00B03B51" w:rsidRDefault="00443399" w:rsidP="00443399">
      <w:pPr>
        <w:keepNext/>
        <w:jc w:val="both"/>
        <w:rPr>
          <w:rFonts w:ascii="Times New Roman" w:eastAsia="Arial" w:hAnsi="Times New Roman" w:cs="Times New Roman"/>
          <w:b/>
          <w:bCs/>
          <w:noProof/>
          <w:sz w:val="24"/>
          <w:szCs w:val="26"/>
        </w:rPr>
      </w:pPr>
    </w:p>
    <w:p w14:paraId="36085F06" w14:textId="77777777" w:rsidR="00443399" w:rsidRPr="00B03B51" w:rsidRDefault="00443399" w:rsidP="00443399">
      <w:pPr>
        <w:keepNext/>
        <w:jc w:val="center"/>
        <w:rPr>
          <w:rFonts w:ascii="Times New Roman" w:eastAsia="Arial" w:hAnsi="Times New Roman" w:cs="Times New Roman"/>
          <w:b/>
          <w:bCs/>
          <w:noProof/>
          <w:sz w:val="24"/>
          <w:szCs w:val="26"/>
        </w:rPr>
      </w:pPr>
      <w:r w:rsidRPr="00B03B51">
        <w:rPr>
          <w:rFonts w:ascii="Times New Roman" w:hAnsi="Times New Roman" w:cs="Times New Roman"/>
          <w:noProof/>
        </w:rPr>
        <w:drawing>
          <wp:inline distT="0" distB="0" distL="0" distR="0" wp14:anchorId="06FE96B8" wp14:editId="6FE8BE2C">
            <wp:extent cx="5756275" cy="1163955"/>
            <wp:effectExtent l="0" t="0" r="0" b="0"/>
            <wp:docPr id="58" name="Attēls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9"/>
                    <a:stretch>
                      <a:fillRect/>
                    </a:stretch>
                  </pic:blipFill>
                  <pic:spPr>
                    <a:xfrm>
                      <a:off x="0" y="0"/>
                      <a:ext cx="5756275" cy="1163955"/>
                    </a:xfrm>
                    <a:prstGeom prst="rect">
                      <a:avLst/>
                    </a:prstGeom>
                  </pic:spPr>
                </pic:pic>
              </a:graphicData>
            </a:graphic>
          </wp:inline>
        </w:drawing>
      </w:r>
    </w:p>
    <w:p w14:paraId="7A322DBC" w14:textId="77777777" w:rsidR="00443399" w:rsidRPr="00B03B51" w:rsidRDefault="00443399" w:rsidP="00443399">
      <w:pPr>
        <w:jc w:val="both"/>
        <w:rPr>
          <w:rFonts w:ascii="Times New Roman" w:eastAsia="Calibri" w:hAnsi="Times New Roman" w:cs="Times New Roman"/>
          <w:noProof/>
          <w:sz w:val="24"/>
          <w:szCs w:val="18"/>
        </w:rPr>
      </w:pPr>
    </w:p>
    <w:p w14:paraId="72118D37" w14:textId="77777777" w:rsidR="00443399" w:rsidRPr="00B03B51" w:rsidRDefault="00443399" w:rsidP="00443399">
      <w:pPr>
        <w:jc w:val="both"/>
        <w:rPr>
          <w:rFonts w:ascii="Times New Roman" w:hAnsi="Times New Roman" w:cs="Times New Roman"/>
          <w:b/>
          <w:noProof/>
          <w:sz w:val="24"/>
        </w:rPr>
      </w:pPr>
      <w:r w:rsidRPr="00B03B51">
        <w:rPr>
          <w:rFonts w:ascii="Times New Roman" w:hAnsi="Times New Roman" w:cs="Times New Roman"/>
          <w:b/>
          <w:sz w:val="24"/>
        </w:rPr>
        <w:t>Nefinanšu konti 2. gadā</w:t>
      </w:r>
    </w:p>
    <w:p w14:paraId="26636401" w14:textId="77777777" w:rsidR="00443399" w:rsidRPr="00B03B51" w:rsidRDefault="00443399" w:rsidP="00443399">
      <w:pPr>
        <w:jc w:val="both"/>
        <w:rPr>
          <w:rFonts w:ascii="Times New Roman" w:eastAsia="Arial" w:hAnsi="Times New Roman" w:cs="Times New Roman"/>
          <w:b/>
          <w:bCs/>
          <w:noProof/>
          <w:sz w:val="24"/>
          <w:szCs w:val="20"/>
        </w:rPr>
      </w:pPr>
    </w:p>
    <w:p w14:paraId="4E0038EE" w14:textId="77777777" w:rsidR="00443399" w:rsidRPr="00B03B51" w:rsidRDefault="00443399" w:rsidP="00443399">
      <w:pPr>
        <w:jc w:val="center"/>
        <w:rPr>
          <w:rFonts w:ascii="Times New Roman" w:eastAsia="Arial" w:hAnsi="Times New Roman" w:cs="Times New Roman"/>
          <w:b/>
          <w:bCs/>
          <w:noProof/>
          <w:sz w:val="24"/>
          <w:szCs w:val="20"/>
        </w:rPr>
      </w:pPr>
      <w:r w:rsidRPr="00B03B51">
        <w:rPr>
          <w:rFonts w:ascii="Times New Roman" w:hAnsi="Times New Roman" w:cs="Times New Roman"/>
          <w:noProof/>
        </w:rPr>
        <w:drawing>
          <wp:inline distT="0" distB="0" distL="0" distR="0" wp14:anchorId="4ED49A11" wp14:editId="4D275039">
            <wp:extent cx="5756275" cy="1003300"/>
            <wp:effectExtent l="0" t="0" r="0" b="6350"/>
            <wp:docPr id="130" name="Attēls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0"/>
                    <a:stretch>
                      <a:fillRect/>
                    </a:stretch>
                  </pic:blipFill>
                  <pic:spPr>
                    <a:xfrm>
                      <a:off x="0" y="0"/>
                      <a:ext cx="5756275" cy="1003300"/>
                    </a:xfrm>
                    <a:prstGeom prst="rect">
                      <a:avLst/>
                    </a:prstGeom>
                  </pic:spPr>
                </pic:pic>
              </a:graphicData>
            </a:graphic>
          </wp:inline>
        </w:drawing>
      </w:r>
    </w:p>
    <w:p w14:paraId="7994CFA2" w14:textId="77777777" w:rsidR="00443399" w:rsidRPr="00B03B51" w:rsidRDefault="00443399" w:rsidP="00443399">
      <w:pPr>
        <w:jc w:val="both"/>
        <w:rPr>
          <w:rFonts w:ascii="Times New Roman" w:eastAsia="Arial" w:hAnsi="Times New Roman" w:cs="Times New Roman"/>
          <w:b/>
          <w:bCs/>
          <w:noProof/>
          <w:sz w:val="24"/>
          <w:szCs w:val="17"/>
        </w:rPr>
      </w:pPr>
    </w:p>
    <w:p w14:paraId="5CEE7D80" w14:textId="77777777" w:rsidR="00443399" w:rsidRPr="00B03B51" w:rsidRDefault="00443399" w:rsidP="00443399">
      <w:pPr>
        <w:jc w:val="both"/>
        <w:rPr>
          <w:rFonts w:ascii="Times New Roman" w:hAnsi="Times New Roman" w:cs="Times New Roman"/>
          <w:b/>
          <w:noProof/>
          <w:sz w:val="24"/>
        </w:rPr>
      </w:pPr>
      <w:r w:rsidRPr="00B03B51">
        <w:rPr>
          <w:rFonts w:ascii="Times New Roman" w:hAnsi="Times New Roman" w:cs="Times New Roman"/>
          <w:b/>
          <w:sz w:val="24"/>
        </w:rPr>
        <w:t>Finanšu konti 2. gadā</w:t>
      </w:r>
    </w:p>
    <w:p w14:paraId="445176E2" w14:textId="77777777" w:rsidR="00443399" w:rsidRPr="00B03B51" w:rsidRDefault="00443399" w:rsidP="00443399">
      <w:pPr>
        <w:jc w:val="both"/>
        <w:rPr>
          <w:rFonts w:ascii="Times New Roman" w:eastAsia="Arial" w:hAnsi="Times New Roman" w:cs="Times New Roman"/>
          <w:b/>
          <w:bCs/>
          <w:noProof/>
          <w:sz w:val="24"/>
          <w:szCs w:val="25"/>
        </w:rPr>
      </w:pPr>
    </w:p>
    <w:p w14:paraId="044A9EB6" w14:textId="77777777" w:rsidR="00443399" w:rsidRPr="00B03B51" w:rsidRDefault="00443399" w:rsidP="007036A4">
      <w:pPr>
        <w:jc w:val="center"/>
        <w:rPr>
          <w:rFonts w:ascii="Times New Roman" w:eastAsia="Arial" w:hAnsi="Times New Roman" w:cs="Times New Roman"/>
          <w:b/>
          <w:bCs/>
          <w:noProof/>
          <w:sz w:val="24"/>
          <w:szCs w:val="20"/>
        </w:rPr>
      </w:pPr>
      <w:r w:rsidRPr="00B03B51">
        <w:rPr>
          <w:rFonts w:ascii="Times New Roman" w:hAnsi="Times New Roman" w:cs="Times New Roman"/>
          <w:noProof/>
        </w:rPr>
        <w:drawing>
          <wp:inline distT="0" distB="0" distL="0" distR="0" wp14:anchorId="783D7092" wp14:editId="68149762">
            <wp:extent cx="5756275" cy="842645"/>
            <wp:effectExtent l="0" t="0" r="0" b="0"/>
            <wp:docPr id="131" name="Attēls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1"/>
                    <a:stretch>
                      <a:fillRect/>
                    </a:stretch>
                  </pic:blipFill>
                  <pic:spPr>
                    <a:xfrm>
                      <a:off x="0" y="0"/>
                      <a:ext cx="5756275" cy="842645"/>
                    </a:xfrm>
                    <a:prstGeom prst="rect">
                      <a:avLst/>
                    </a:prstGeom>
                  </pic:spPr>
                </pic:pic>
              </a:graphicData>
            </a:graphic>
          </wp:inline>
        </w:drawing>
      </w:r>
    </w:p>
    <w:p w14:paraId="3DB76118" w14:textId="77777777" w:rsidR="00443399" w:rsidRPr="00B03B51" w:rsidRDefault="00443399" w:rsidP="00443399">
      <w:pPr>
        <w:jc w:val="both"/>
        <w:rPr>
          <w:rFonts w:ascii="Times New Roman" w:eastAsia="Arial" w:hAnsi="Times New Roman" w:cs="Times New Roman"/>
          <w:b/>
          <w:bCs/>
          <w:noProof/>
          <w:sz w:val="24"/>
          <w:szCs w:val="17"/>
        </w:rPr>
      </w:pPr>
    </w:p>
    <w:p w14:paraId="3F14994E" w14:textId="77777777" w:rsidR="00443399" w:rsidRPr="00B03B51" w:rsidRDefault="00443399" w:rsidP="00443399">
      <w:pPr>
        <w:jc w:val="both"/>
        <w:rPr>
          <w:rFonts w:ascii="Times New Roman" w:hAnsi="Times New Roman" w:cs="Times New Roman"/>
          <w:b/>
          <w:noProof/>
          <w:sz w:val="24"/>
        </w:rPr>
      </w:pPr>
      <w:r w:rsidRPr="00B03B51">
        <w:rPr>
          <w:rFonts w:ascii="Times New Roman" w:hAnsi="Times New Roman" w:cs="Times New Roman"/>
          <w:b/>
          <w:sz w:val="24"/>
        </w:rPr>
        <w:t>Citas ekonomiskās plūsmas 2. gadā</w:t>
      </w:r>
    </w:p>
    <w:p w14:paraId="144A1909" w14:textId="77777777" w:rsidR="00443399" w:rsidRPr="00B03B51" w:rsidRDefault="00443399" w:rsidP="00443399">
      <w:pPr>
        <w:jc w:val="both"/>
        <w:rPr>
          <w:rFonts w:ascii="Times New Roman" w:eastAsia="Arial" w:hAnsi="Times New Roman" w:cs="Times New Roman"/>
          <w:b/>
          <w:bCs/>
          <w:noProof/>
          <w:sz w:val="24"/>
          <w:szCs w:val="18"/>
        </w:rPr>
      </w:pPr>
    </w:p>
    <w:p w14:paraId="79AF1D9F" w14:textId="77777777" w:rsidR="00443399" w:rsidRPr="00B03B51" w:rsidRDefault="00443399" w:rsidP="007036A4">
      <w:pPr>
        <w:jc w:val="center"/>
        <w:rPr>
          <w:rFonts w:ascii="Times New Roman" w:eastAsia="Arial" w:hAnsi="Times New Roman" w:cs="Times New Roman"/>
          <w:b/>
          <w:bCs/>
          <w:noProof/>
          <w:sz w:val="24"/>
          <w:szCs w:val="18"/>
        </w:rPr>
      </w:pPr>
      <w:r w:rsidRPr="00B03B51">
        <w:rPr>
          <w:rFonts w:ascii="Times New Roman" w:hAnsi="Times New Roman" w:cs="Times New Roman"/>
          <w:noProof/>
        </w:rPr>
        <w:drawing>
          <wp:inline distT="0" distB="0" distL="0" distR="0" wp14:anchorId="79007EAA" wp14:editId="23082776">
            <wp:extent cx="5756275" cy="887095"/>
            <wp:effectExtent l="0" t="0" r="0" b="8255"/>
            <wp:docPr id="132" name="Attēls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2"/>
                    <a:stretch>
                      <a:fillRect/>
                    </a:stretch>
                  </pic:blipFill>
                  <pic:spPr>
                    <a:xfrm>
                      <a:off x="0" y="0"/>
                      <a:ext cx="5756275" cy="887095"/>
                    </a:xfrm>
                    <a:prstGeom prst="rect">
                      <a:avLst/>
                    </a:prstGeom>
                  </pic:spPr>
                </pic:pic>
              </a:graphicData>
            </a:graphic>
          </wp:inline>
        </w:drawing>
      </w:r>
    </w:p>
    <w:p w14:paraId="4E10552C" w14:textId="77777777" w:rsidR="00443399" w:rsidRPr="00B03B51" w:rsidRDefault="00443399" w:rsidP="00443399">
      <w:pPr>
        <w:jc w:val="both"/>
        <w:rPr>
          <w:rFonts w:ascii="Times New Roman" w:eastAsia="Calibri" w:hAnsi="Times New Roman" w:cs="Times New Roman"/>
          <w:noProof/>
          <w:sz w:val="24"/>
          <w:szCs w:val="28"/>
        </w:rPr>
      </w:pPr>
    </w:p>
    <w:p w14:paraId="63A04EED" w14:textId="649813F1" w:rsidR="00443399" w:rsidRPr="00B03B51" w:rsidRDefault="00A3593E" w:rsidP="00B73481">
      <w:pPr>
        <w:keepNext/>
        <w:jc w:val="both"/>
        <w:rPr>
          <w:rFonts w:ascii="Times New Roman" w:hAnsi="Times New Roman" w:cs="Times New Roman"/>
          <w:b/>
          <w:noProof/>
          <w:sz w:val="24"/>
        </w:rPr>
      </w:pPr>
      <w:r w:rsidRPr="00B03B51">
        <w:rPr>
          <w:rFonts w:ascii="Times New Roman" w:hAnsi="Times New Roman" w:cs="Times New Roman"/>
          <w:b/>
          <w:sz w:val="24"/>
        </w:rPr>
        <w:lastRenderedPageBreak/>
        <w:t>Beigu</w:t>
      </w:r>
      <w:r w:rsidR="00443399" w:rsidRPr="00B03B51">
        <w:rPr>
          <w:rFonts w:ascii="Times New Roman" w:hAnsi="Times New Roman" w:cs="Times New Roman"/>
          <w:b/>
          <w:sz w:val="24"/>
        </w:rPr>
        <w:t xml:space="preserve"> bilance 2. gadā</w:t>
      </w:r>
    </w:p>
    <w:p w14:paraId="1800C10D" w14:textId="77777777" w:rsidR="00443399" w:rsidRPr="00B03B51" w:rsidRDefault="00443399" w:rsidP="00B73481">
      <w:pPr>
        <w:keepNext/>
        <w:jc w:val="both"/>
        <w:rPr>
          <w:rFonts w:ascii="Times New Roman" w:eastAsia="Arial" w:hAnsi="Times New Roman" w:cs="Times New Roman"/>
          <w:b/>
          <w:bCs/>
          <w:noProof/>
          <w:sz w:val="24"/>
          <w:szCs w:val="26"/>
        </w:rPr>
      </w:pPr>
    </w:p>
    <w:p w14:paraId="6FFAD93A" w14:textId="77777777" w:rsidR="00443399" w:rsidRPr="00B03B51" w:rsidRDefault="00443399" w:rsidP="007036A4">
      <w:pPr>
        <w:keepNext/>
        <w:jc w:val="center"/>
        <w:rPr>
          <w:rFonts w:ascii="Times New Roman" w:eastAsia="Arial" w:hAnsi="Times New Roman" w:cs="Times New Roman"/>
          <w:b/>
          <w:bCs/>
          <w:noProof/>
          <w:sz w:val="24"/>
          <w:szCs w:val="20"/>
        </w:rPr>
      </w:pPr>
      <w:r w:rsidRPr="00B03B51">
        <w:rPr>
          <w:rFonts w:ascii="Times New Roman" w:hAnsi="Times New Roman" w:cs="Times New Roman"/>
          <w:noProof/>
        </w:rPr>
        <w:drawing>
          <wp:inline distT="0" distB="0" distL="0" distR="0" wp14:anchorId="0ADE9C55" wp14:editId="192020C7">
            <wp:extent cx="5756275" cy="1352550"/>
            <wp:effectExtent l="0" t="0" r="0" b="0"/>
            <wp:docPr id="133" name="Attēls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3"/>
                    <a:stretch>
                      <a:fillRect/>
                    </a:stretch>
                  </pic:blipFill>
                  <pic:spPr>
                    <a:xfrm>
                      <a:off x="0" y="0"/>
                      <a:ext cx="5756275" cy="1352550"/>
                    </a:xfrm>
                    <a:prstGeom prst="rect">
                      <a:avLst/>
                    </a:prstGeom>
                  </pic:spPr>
                </pic:pic>
              </a:graphicData>
            </a:graphic>
          </wp:inline>
        </w:drawing>
      </w:r>
    </w:p>
    <w:p w14:paraId="056C672E" w14:textId="77777777" w:rsidR="00443399" w:rsidRPr="00B03B51" w:rsidRDefault="00443399" w:rsidP="00443399">
      <w:pPr>
        <w:jc w:val="both"/>
        <w:rPr>
          <w:rFonts w:ascii="Times New Roman" w:eastAsia="Arial" w:hAnsi="Times New Roman" w:cs="Times New Roman"/>
          <w:b/>
          <w:bCs/>
          <w:noProof/>
          <w:sz w:val="24"/>
          <w:szCs w:val="15"/>
        </w:rPr>
      </w:pPr>
    </w:p>
    <w:p w14:paraId="2ABF12C6" w14:textId="77777777" w:rsidR="00443399" w:rsidRPr="00B03B51" w:rsidRDefault="00443399" w:rsidP="00443399">
      <w:pPr>
        <w:keepNext/>
        <w:jc w:val="both"/>
        <w:rPr>
          <w:rFonts w:ascii="Times New Roman" w:hAnsi="Times New Roman" w:cs="Times New Roman"/>
          <w:b/>
          <w:noProof/>
          <w:sz w:val="24"/>
        </w:rPr>
      </w:pPr>
      <w:r w:rsidRPr="00B03B51">
        <w:rPr>
          <w:rFonts w:ascii="Times New Roman" w:hAnsi="Times New Roman" w:cs="Times New Roman"/>
          <w:b/>
          <w:sz w:val="24"/>
        </w:rPr>
        <w:t>Nefinanšu konti 3. gadā</w:t>
      </w:r>
    </w:p>
    <w:p w14:paraId="7F3FFF35" w14:textId="77777777" w:rsidR="00443399" w:rsidRPr="00B03B51" w:rsidRDefault="00443399" w:rsidP="00443399">
      <w:pPr>
        <w:keepNext/>
        <w:jc w:val="both"/>
        <w:rPr>
          <w:rFonts w:ascii="Times New Roman" w:hAnsi="Times New Roman" w:cs="Times New Roman"/>
          <w:noProof/>
          <w:sz w:val="24"/>
        </w:rPr>
      </w:pPr>
    </w:p>
    <w:p w14:paraId="552E86D1" w14:textId="77777777" w:rsidR="00443399" w:rsidRPr="00B03B51" w:rsidRDefault="00443399" w:rsidP="007036A4">
      <w:pPr>
        <w:keepNext/>
        <w:jc w:val="center"/>
        <w:rPr>
          <w:rFonts w:ascii="Times New Roman" w:hAnsi="Times New Roman" w:cs="Times New Roman"/>
          <w:noProof/>
          <w:sz w:val="24"/>
        </w:rPr>
      </w:pPr>
      <w:r w:rsidRPr="00B03B51">
        <w:rPr>
          <w:rFonts w:ascii="Times New Roman" w:hAnsi="Times New Roman" w:cs="Times New Roman"/>
          <w:noProof/>
        </w:rPr>
        <w:drawing>
          <wp:inline distT="0" distB="0" distL="0" distR="0" wp14:anchorId="0096391B" wp14:editId="1E1966E0">
            <wp:extent cx="5756275" cy="1196340"/>
            <wp:effectExtent l="0" t="0" r="0" b="3810"/>
            <wp:docPr id="134" name="Attēls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4"/>
                    <a:stretch>
                      <a:fillRect/>
                    </a:stretch>
                  </pic:blipFill>
                  <pic:spPr>
                    <a:xfrm>
                      <a:off x="0" y="0"/>
                      <a:ext cx="5756275" cy="1196340"/>
                    </a:xfrm>
                    <a:prstGeom prst="rect">
                      <a:avLst/>
                    </a:prstGeom>
                  </pic:spPr>
                </pic:pic>
              </a:graphicData>
            </a:graphic>
          </wp:inline>
        </w:drawing>
      </w:r>
    </w:p>
    <w:p w14:paraId="74F6F5C9" w14:textId="77777777" w:rsidR="00443399" w:rsidRPr="00B03B51" w:rsidRDefault="00443399" w:rsidP="00443399">
      <w:pPr>
        <w:jc w:val="both"/>
        <w:rPr>
          <w:rFonts w:ascii="Times New Roman" w:hAnsi="Times New Roman" w:cs="Times New Roman"/>
          <w:noProof/>
          <w:sz w:val="24"/>
        </w:rPr>
      </w:pPr>
    </w:p>
    <w:p w14:paraId="41401582" w14:textId="77777777" w:rsidR="00443399" w:rsidRPr="00B03B51" w:rsidRDefault="00443399" w:rsidP="00443399">
      <w:pPr>
        <w:jc w:val="both"/>
        <w:rPr>
          <w:rFonts w:ascii="Times New Roman" w:hAnsi="Times New Roman" w:cs="Times New Roman"/>
          <w:b/>
          <w:noProof/>
          <w:sz w:val="24"/>
        </w:rPr>
      </w:pPr>
      <w:r w:rsidRPr="00B03B51">
        <w:rPr>
          <w:rFonts w:ascii="Times New Roman" w:hAnsi="Times New Roman" w:cs="Times New Roman"/>
          <w:b/>
          <w:sz w:val="24"/>
        </w:rPr>
        <w:t>Finanšu konti 3. gadā</w:t>
      </w:r>
    </w:p>
    <w:p w14:paraId="5285EEDF" w14:textId="77777777" w:rsidR="00443399" w:rsidRPr="00B03B51" w:rsidRDefault="00443399" w:rsidP="00443399">
      <w:pPr>
        <w:jc w:val="both"/>
        <w:rPr>
          <w:rFonts w:ascii="Times New Roman" w:eastAsia="Arial" w:hAnsi="Times New Roman" w:cs="Times New Roman"/>
          <w:b/>
          <w:bCs/>
          <w:noProof/>
          <w:sz w:val="24"/>
          <w:szCs w:val="18"/>
        </w:rPr>
      </w:pPr>
    </w:p>
    <w:p w14:paraId="7729C843" w14:textId="77777777" w:rsidR="00443399" w:rsidRPr="00B03B51" w:rsidRDefault="00443399" w:rsidP="007036A4">
      <w:pPr>
        <w:jc w:val="center"/>
        <w:rPr>
          <w:rFonts w:ascii="Times New Roman" w:eastAsia="Calibri" w:hAnsi="Times New Roman" w:cs="Times New Roman"/>
          <w:noProof/>
          <w:sz w:val="24"/>
        </w:rPr>
      </w:pPr>
      <w:r w:rsidRPr="00B03B51">
        <w:rPr>
          <w:rFonts w:ascii="Times New Roman" w:hAnsi="Times New Roman" w:cs="Times New Roman"/>
          <w:noProof/>
        </w:rPr>
        <w:drawing>
          <wp:inline distT="0" distB="0" distL="0" distR="0" wp14:anchorId="4F8C5D57" wp14:editId="56E5C043">
            <wp:extent cx="5756275" cy="1152525"/>
            <wp:effectExtent l="0" t="0" r="0" b="9525"/>
            <wp:docPr id="135" name="Attēls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5"/>
                    <a:stretch>
                      <a:fillRect/>
                    </a:stretch>
                  </pic:blipFill>
                  <pic:spPr>
                    <a:xfrm>
                      <a:off x="0" y="0"/>
                      <a:ext cx="5756275" cy="1152525"/>
                    </a:xfrm>
                    <a:prstGeom prst="rect">
                      <a:avLst/>
                    </a:prstGeom>
                  </pic:spPr>
                </pic:pic>
              </a:graphicData>
            </a:graphic>
          </wp:inline>
        </w:drawing>
      </w:r>
    </w:p>
    <w:p w14:paraId="18F497B8" w14:textId="77777777" w:rsidR="00443399" w:rsidRPr="00B03B51" w:rsidRDefault="00443399" w:rsidP="00443399">
      <w:pPr>
        <w:jc w:val="both"/>
        <w:rPr>
          <w:rFonts w:ascii="Times New Roman" w:eastAsia="Calibri" w:hAnsi="Times New Roman" w:cs="Times New Roman"/>
          <w:noProof/>
          <w:sz w:val="24"/>
        </w:rPr>
      </w:pPr>
    </w:p>
    <w:p w14:paraId="7A6D3E8A" w14:textId="77777777" w:rsidR="00443399" w:rsidRPr="00B03B51" w:rsidRDefault="00443399" w:rsidP="00443399">
      <w:pPr>
        <w:jc w:val="both"/>
        <w:rPr>
          <w:rFonts w:ascii="Times New Roman" w:hAnsi="Times New Roman" w:cs="Times New Roman"/>
          <w:b/>
          <w:noProof/>
          <w:sz w:val="24"/>
        </w:rPr>
      </w:pPr>
      <w:r w:rsidRPr="00B03B51">
        <w:rPr>
          <w:rFonts w:ascii="Times New Roman" w:hAnsi="Times New Roman" w:cs="Times New Roman"/>
          <w:b/>
          <w:sz w:val="24"/>
        </w:rPr>
        <w:t>Citas ekonomiskās plūsmas 3. gadā</w:t>
      </w:r>
    </w:p>
    <w:p w14:paraId="4C052606" w14:textId="77777777" w:rsidR="00443399" w:rsidRPr="00B03B51" w:rsidRDefault="00443399" w:rsidP="00443399">
      <w:pPr>
        <w:jc w:val="both"/>
        <w:rPr>
          <w:rFonts w:ascii="Times New Roman" w:hAnsi="Times New Roman" w:cs="Times New Roman"/>
          <w:noProof/>
          <w:sz w:val="24"/>
        </w:rPr>
      </w:pPr>
    </w:p>
    <w:p w14:paraId="7C90919D" w14:textId="77777777" w:rsidR="00443399" w:rsidRPr="00B03B51" w:rsidRDefault="00443399" w:rsidP="007036A4">
      <w:pPr>
        <w:jc w:val="center"/>
        <w:rPr>
          <w:rFonts w:ascii="Times New Roman" w:hAnsi="Times New Roman" w:cs="Times New Roman"/>
          <w:noProof/>
          <w:sz w:val="24"/>
        </w:rPr>
      </w:pPr>
      <w:r w:rsidRPr="00B03B51">
        <w:rPr>
          <w:rFonts w:ascii="Times New Roman" w:hAnsi="Times New Roman" w:cs="Times New Roman"/>
          <w:noProof/>
        </w:rPr>
        <w:drawing>
          <wp:inline distT="0" distB="0" distL="0" distR="0" wp14:anchorId="470DB0D7" wp14:editId="73461486">
            <wp:extent cx="5756275" cy="920750"/>
            <wp:effectExtent l="0" t="0" r="0" b="0"/>
            <wp:docPr id="136" name="Attēls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6"/>
                    <a:stretch>
                      <a:fillRect/>
                    </a:stretch>
                  </pic:blipFill>
                  <pic:spPr>
                    <a:xfrm>
                      <a:off x="0" y="0"/>
                      <a:ext cx="5756275" cy="920750"/>
                    </a:xfrm>
                    <a:prstGeom prst="rect">
                      <a:avLst/>
                    </a:prstGeom>
                  </pic:spPr>
                </pic:pic>
              </a:graphicData>
            </a:graphic>
          </wp:inline>
        </w:drawing>
      </w:r>
    </w:p>
    <w:p w14:paraId="512F2148" w14:textId="77777777" w:rsidR="00443399" w:rsidRPr="00B03B51" w:rsidRDefault="00443399" w:rsidP="00443399">
      <w:pPr>
        <w:jc w:val="both"/>
        <w:rPr>
          <w:rFonts w:ascii="Times New Roman" w:eastAsia="Calibri" w:hAnsi="Times New Roman" w:cs="Times New Roman"/>
          <w:noProof/>
          <w:sz w:val="24"/>
          <w:szCs w:val="21"/>
        </w:rPr>
      </w:pPr>
    </w:p>
    <w:p w14:paraId="181C9AB4" w14:textId="45486C63" w:rsidR="00443399" w:rsidRPr="00B03B51" w:rsidRDefault="00A3593E" w:rsidP="00443399">
      <w:pPr>
        <w:jc w:val="both"/>
        <w:rPr>
          <w:rFonts w:ascii="Times New Roman" w:hAnsi="Times New Roman" w:cs="Times New Roman"/>
          <w:b/>
          <w:noProof/>
          <w:sz w:val="24"/>
        </w:rPr>
      </w:pPr>
      <w:r w:rsidRPr="00B03B51">
        <w:rPr>
          <w:rFonts w:ascii="Times New Roman" w:hAnsi="Times New Roman" w:cs="Times New Roman"/>
          <w:b/>
          <w:sz w:val="24"/>
        </w:rPr>
        <w:t>Beigu</w:t>
      </w:r>
      <w:r w:rsidR="00443399" w:rsidRPr="00B03B51">
        <w:rPr>
          <w:rFonts w:ascii="Times New Roman" w:hAnsi="Times New Roman" w:cs="Times New Roman"/>
          <w:b/>
          <w:sz w:val="24"/>
        </w:rPr>
        <w:t xml:space="preserve"> bilance 3. gadā</w:t>
      </w:r>
    </w:p>
    <w:p w14:paraId="1C67B32D" w14:textId="77777777" w:rsidR="00443399" w:rsidRPr="00B03B51" w:rsidRDefault="00443399" w:rsidP="00443399">
      <w:pPr>
        <w:jc w:val="both"/>
        <w:rPr>
          <w:rFonts w:ascii="Times New Roman" w:eastAsia="Arial" w:hAnsi="Times New Roman" w:cs="Times New Roman"/>
          <w:b/>
          <w:bCs/>
          <w:noProof/>
          <w:sz w:val="24"/>
          <w:szCs w:val="25"/>
        </w:rPr>
      </w:pPr>
    </w:p>
    <w:p w14:paraId="51517946" w14:textId="77777777" w:rsidR="00443399" w:rsidRPr="00B03B51" w:rsidRDefault="00443399" w:rsidP="007036A4">
      <w:pPr>
        <w:jc w:val="center"/>
        <w:rPr>
          <w:rFonts w:ascii="Times New Roman" w:eastAsia="Calibri" w:hAnsi="Times New Roman" w:cs="Times New Roman"/>
          <w:noProof/>
          <w:sz w:val="24"/>
          <w:szCs w:val="18"/>
        </w:rPr>
      </w:pPr>
      <w:r w:rsidRPr="00B03B51">
        <w:rPr>
          <w:rFonts w:ascii="Times New Roman" w:hAnsi="Times New Roman" w:cs="Times New Roman"/>
          <w:noProof/>
        </w:rPr>
        <w:drawing>
          <wp:inline distT="0" distB="0" distL="0" distR="0" wp14:anchorId="628E5283" wp14:editId="090052EB">
            <wp:extent cx="5756275" cy="1397635"/>
            <wp:effectExtent l="0" t="0" r="0" b="0"/>
            <wp:docPr id="137" name="Attēls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7"/>
                    <a:stretch>
                      <a:fillRect/>
                    </a:stretch>
                  </pic:blipFill>
                  <pic:spPr>
                    <a:xfrm>
                      <a:off x="0" y="0"/>
                      <a:ext cx="5756275" cy="1397635"/>
                    </a:xfrm>
                    <a:prstGeom prst="rect">
                      <a:avLst/>
                    </a:prstGeom>
                  </pic:spPr>
                </pic:pic>
              </a:graphicData>
            </a:graphic>
          </wp:inline>
        </w:drawing>
      </w:r>
    </w:p>
    <w:p w14:paraId="2F13ACE3" w14:textId="77777777" w:rsidR="00443399" w:rsidRPr="00B03B51" w:rsidRDefault="00443399" w:rsidP="00443399">
      <w:pPr>
        <w:rPr>
          <w:rFonts w:ascii="Times New Roman" w:eastAsia="Calibri" w:hAnsi="Times New Roman" w:cs="Times New Roman"/>
          <w:noProof/>
          <w:sz w:val="24"/>
          <w:szCs w:val="18"/>
        </w:rPr>
      </w:pPr>
      <w:r w:rsidRPr="00B03B51">
        <w:rPr>
          <w:rFonts w:ascii="Times New Roman" w:hAnsi="Times New Roman" w:cs="Times New Roman"/>
        </w:rPr>
        <w:br w:type="page"/>
      </w:r>
    </w:p>
    <w:p w14:paraId="20DC50F1" w14:textId="77777777" w:rsidR="00443399" w:rsidRPr="00B03B51" w:rsidRDefault="00443399" w:rsidP="00443399">
      <w:pPr>
        <w:jc w:val="both"/>
        <w:rPr>
          <w:rFonts w:ascii="Times New Roman" w:eastAsia="Calibri" w:hAnsi="Times New Roman" w:cs="Times New Roman"/>
          <w:noProof/>
          <w:sz w:val="24"/>
          <w:szCs w:val="18"/>
        </w:rPr>
      </w:pPr>
    </w:p>
    <w:p w14:paraId="3F19E42D" w14:textId="77777777" w:rsidR="00443399" w:rsidRPr="00B03B51" w:rsidRDefault="00443399" w:rsidP="00443399">
      <w:pPr>
        <w:pStyle w:val="Heading2"/>
        <w:tabs>
          <w:tab w:val="left" w:pos="1135"/>
        </w:tabs>
        <w:spacing w:before="0"/>
        <w:ind w:left="0" w:firstLine="0"/>
        <w:jc w:val="both"/>
        <w:rPr>
          <w:rFonts w:ascii="Times New Roman" w:hAnsi="Times New Roman" w:cs="Times New Roman"/>
          <w:noProof/>
          <w:sz w:val="28"/>
          <w:szCs w:val="44"/>
        </w:rPr>
      </w:pPr>
      <w:bookmarkStart w:id="484" w:name="6.2_Sale_and_leaseback"/>
      <w:bookmarkStart w:id="485" w:name="_bookmark49"/>
      <w:bookmarkStart w:id="486" w:name="_Toc67565178"/>
      <w:bookmarkEnd w:id="484"/>
      <w:bookmarkEnd w:id="485"/>
      <w:r w:rsidRPr="00B03B51">
        <w:rPr>
          <w:rFonts w:ascii="Times New Roman" w:hAnsi="Times New Roman" w:cs="Times New Roman"/>
          <w:sz w:val="28"/>
          <w:szCs w:val="44"/>
        </w:rPr>
        <w:t>6.2. Pārdošana ar saņemšanu atpakaļ nomā</w:t>
      </w:r>
      <w:bookmarkEnd w:id="486"/>
    </w:p>
    <w:p w14:paraId="5F5355C8" w14:textId="77777777" w:rsidR="00443399" w:rsidRPr="00B03B51" w:rsidRDefault="00443399" w:rsidP="00443399">
      <w:pPr>
        <w:tabs>
          <w:tab w:val="left" w:pos="1267"/>
        </w:tabs>
        <w:jc w:val="both"/>
        <w:rPr>
          <w:rFonts w:ascii="Times New Roman" w:hAnsi="Times New Roman" w:cs="Times New Roman"/>
          <w:b/>
          <w:noProof/>
          <w:sz w:val="24"/>
        </w:rPr>
      </w:pPr>
      <w:bookmarkStart w:id="487" w:name="6.2.1_Background"/>
      <w:bookmarkEnd w:id="487"/>
    </w:p>
    <w:p w14:paraId="1B0EC5C8" w14:textId="77777777" w:rsidR="00443399" w:rsidRPr="00B03B51" w:rsidRDefault="00443399" w:rsidP="00443399">
      <w:pPr>
        <w:tabs>
          <w:tab w:val="left" w:pos="1267"/>
        </w:tabs>
        <w:jc w:val="both"/>
        <w:rPr>
          <w:rFonts w:ascii="Times New Roman" w:hAnsi="Times New Roman" w:cs="Times New Roman"/>
          <w:b/>
          <w:noProof/>
          <w:sz w:val="24"/>
        </w:rPr>
      </w:pPr>
      <w:r w:rsidRPr="00B03B51">
        <w:rPr>
          <w:rFonts w:ascii="Times New Roman" w:hAnsi="Times New Roman" w:cs="Times New Roman"/>
          <w:b/>
          <w:sz w:val="24"/>
        </w:rPr>
        <w:t>6.2.1. Vispārīga informācija</w:t>
      </w:r>
    </w:p>
    <w:p w14:paraId="20C64141"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70C22BE8"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 Pārdošana ar saņemšanu atpakaļ nomā paredz aktīva pārdošanu un tā paša aktīva saņemšanu atpakaļ nomā. Nomas maksājums un pārdošanas cena parasti ir savstarpēji saistīti, jo par tiem vienojas komplektā. Parasti pārdošanas ar saņemšanu atpakaļ nomā aktīva darījuma priekšmets ir ēka, bet tas varbūt arī cits nefinanšu aktīvs. Šādos pasākumos dažādu iemeslu dēļ var būt iesaistīta valdība (visos līmeņos – pašvaldības, pavalsts vai centrālās valdības līmenī).</w:t>
      </w:r>
    </w:p>
    <w:p w14:paraId="641B668E"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0A3A386C"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2. Pārdošanas ar saņemšanu atpakaļ nomā darījuma uzskaite parasti ir atkarīga no attiecīgā nomas veida (finanšu vai operatīvā noma). Tomēr no valdības kontu skatupunkta pārdošanas ar saņemšanu atpakaļ nomā darījuma uzskaite var raisīt divus papildu savstarpēji saistītus jautājumus:</w:t>
      </w:r>
    </w:p>
    <w:p w14:paraId="76932ABF"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06DBE557" w14:textId="77777777" w:rsidR="00443399" w:rsidRPr="00B03B51" w:rsidRDefault="00443399" w:rsidP="00443399">
      <w:pPr>
        <w:pStyle w:val="BodyText"/>
        <w:tabs>
          <w:tab w:val="left" w:pos="1126"/>
        </w:tabs>
        <w:spacing w:before="0"/>
        <w:ind w:left="284" w:firstLine="0"/>
        <w:jc w:val="both"/>
        <w:rPr>
          <w:rFonts w:ascii="Times New Roman" w:hAnsi="Times New Roman" w:cs="Times New Roman"/>
          <w:noProof/>
          <w:sz w:val="24"/>
        </w:rPr>
      </w:pPr>
      <w:r w:rsidRPr="00B03B51">
        <w:rPr>
          <w:rFonts w:ascii="Times New Roman" w:hAnsi="Times New Roman" w:cs="Times New Roman"/>
          <w:sz w:val="24"/>
        </w:rPr>
        <w:t>a) darījumā ar valdību iesaistītā subjekta sektoru klasifikācija un</w:t>
      </w:r>
    </w:p>
    <w:p w14:paraId="3CF9E923" w14:textId="77777777" w:rsidR="00443399" w:rsidRPr="00B03B51" w:rsidRDefault="00443399" w:rsidP="00443399">
      <w:pPr>
        <w:pStyle w:val="BodyText"/>
        <w:tabs>
          <w:tab w:val="left" w:pos="1126"/>
        </w:tabs>
        <w:spacing w:before="0"/>
        <w:ind w:left="284" w:firstLine="0"/>
        <w:jc w:val="both"/>
        <w:rPr>
          <w:rFonts w:ascii="Times New Roman" w:hAnsi="Times New Roman" w:cs="Times New Roman"/>
          <w:noProof/>
          <w:sz w:val="24"/>
        </w:rPr>
      </w:pPr>
    </w:p>
    <w:p w14:paraId="5A71B5D6" w14:textId="77777777" w:rsidR="00443399" w:rsidRPr="00B03B51" w:rsidRDefault="00443399" w:rsidP="00443399">
      <w:pPr>
        <w:pStyle w:val="BodyText"/>
        <w:tabs>
          <w:tab w:val="left" w:pos="1126"/>
        </w:tabs>
        <w:spacing w:before="0"/>
        <w:ind w:left="284" w:firstLine="0"/>
        <w:jc w:val="both"/>
        <w:rPr>
          <w:rFonts w:ascii="Times New Roman" w:hAnsi="Times New Roman" w:cs="Times New Roman"/>
          <w:noProof/>
          <w:sz w:val="24"/>
        </w:rPr>
      </w:pPr>
      <w:r w:rsidRPr="00B03B51">
        <w:rPr>
          <w:rFonts w:ascii="Times New Roman" w:hAnsi="Times New Roman" w:cs="Times New Roman"/>
          <w:sz w:val="24"/>
        </w:rPr>
        <w:t>b) kāds ir šā pasākuma vispārējais mērķis – vai mērķis ir privatizēt šo aktīvu pārvaldību vai veikt reorganizāciju publiskajā sektorā?</w:t>
      </w:r>
    </w:p>
    <w:p w14:paraId="5759AF94"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26B19CA1"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3. Atkarībā no atbildes var rasties jautājums par “pārdošanas” ekonomisko būtību un rasties dažādas ierakstīšanas iespējas (aktīvu pārdošana, valdības aizņēmums vai pat citas plūsmas).</w:t>
      </w:r>
    </w:p>
    <w:p w14:paraId="06D29A7E"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587D8A9F"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4. Lai rūpīgi izanalizētu visu pasākumu un lai pareizi atainotu tā būtību nacionālajos kontos, ir atsevišķi jāizvērtē abi līguma posmi – pārdošanas posms un saņemšanas atpakaļ nomā (vai nomas) posms. Šajā nodaļā ir aplūkots pārdošanas ar saņemšanu atpakaļ nomā darījuma posms “saņemšana atpakaļ nomā”.</w:t>
      </w:r>
    </w:p>
    <w:p w14:paraId="633BCE1A"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085E9B35"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5. Attiecībā uz pircējas vienības (pircējs–nomnieks) sektoru klasifikāciju piemēro principus, kas ir līdzīgi tiem, ko piemēro īpašam nolūkam dibinātām sabiedrībām (skat. EKS 2010 20.47. punktu), kas izveidotas vērtspapīrotu aktīvu iegādei.</w:t>
      </w:r>
    </w:p>
    <w:p w14:paraId="3074F8FA" w14:textId="77777777" w:rsidR="00443399" w:rsidRPr="00B03B51" w:rsidRDefault="00443399" w:rsidP="00443399">
      <w:pPr>
        <w:jc w:val="both"/>
        <w:rPr>
          <w:rFonts w:ascii="Times New Roman" w:eastAsia="Arial" w:hAnsi="Times New Roman" w:cs="Times New Roman"/>
          <w:noProof/>
          <w:sz w:val="24"/>
          <w:szCs w:val="18"/>
        </w:rPr>
      </w:pPr>
    </w:p>
    <w:p w14:paraId="1280558E" w14:textId="77777777" w:rsidR="00443399" w:rsidRPr="00B03B51" w:rsidRDefault="00443399" w:rsidP="00443399">
      <w:pPr>
        <w:pStyle w:val="Heading3"/>
        <w:tabs>
          <w:tab w:val="left" w:pos="1267"/>
        </w:tabs>
        <w:ind w:left="0" w:firstLine="0"/>
        <w:jc w:val="both"/>
        <w:rPr>
          <w:rFonts w:ascii="Times New Roman" w:hAnsi="Times New Roman" w:cs="Times New Roman"/>
          <w:noProof/>
          <w:sz w:val="24"/>
        </w:rPr>
      </w:pPr>
      <w:bookmarkStart w:id="488" w:name="6.2.2_Treatment_in_national_accounts"/>
      <w:bookmarkStart w:id="489" w:name="_Toc67565179"/>
      <w:bookmarkEnd w:id="488"/>
      <w:r w:rsidRPr="00B03B51">
        <w:rPr>
          <w:rFonts w:ascii="Times New Roman" w:hAnsi="Times New Roman" w:cs="Times New Roman"/>
          <w:sz w:val="24"/>
        </w:rPr>
        <w:t>6.2.2. Traktējums nacionālajos kontos</w:t>
      </w:r>
      <w:bookmarkEnd w:id="489"/>
    </w:p>
    <w:p w14:paraId="605EEE0B" w14:textId="77777777" w:rsidR="00443399" w:rsidRPr="00BE27DC" w:rsidRDefault="00443399" w:rsidP="00BE27DC">
      <w:pPr>
        <w:rPr>
          <w:rFonts w:ascii="Times New Roman" w:hAnsi="Times New Roman" w:cs="Times New Roman"/>
          <w:noProof/>
          <w:sz w:val="24"/>
          <w:szCs w:val="24"/>
        </w:rPr>
      </w:pPr>
      <w:bookmarkStart w:id="490" w:name="6.2.2.1_Differentiating_between_financia"/>
      <w:bookmarkEnd w:id="490"/>
    </w:p>
    <w:p w14:paraId="34DF0472" w14:textId="77777777" w:rsidR="00443399" w:rsidRPr="00B03B51" w:rsidRDefault="00443399" w:rsidP="00443399">
      <w:pPr>
        <w:pStyle w:val="Heading6"/>
        <w:tabs>
          <w:tab w:val="left" w:pos="1267"/>
        </w:tabs>
        <w:ind w:left="0" w:firstLine="0"/>
        <w:jc w:val="both"/>
        <w:rPr>
          <w:rFonts w:ascii="Times New Roman" w:hAnsi="Times New Roman" w:cs="Times New Roman"/>
          <w:noProof/>
          <w:sz w:val="24"/>
        </w:rPr>
      </w:pPr>
      <w:r w:rsidRPr="00B03B51">
        <w:rPr>
          <w:rFonts w:ascii="Times New Roman" w:hAnsi="Times New Roman" w:cs="Times New Roman"/>
          <w:sz w:val="24"/>
        </w:rPr>
        <w:t>6.2.2.1. FINANŠU UN OPERATĪVĀS NOMAS NOŠĶIRŠANA POSMĀ “SAŅEMŠANA ATPAKAĻ NOMĀ”</w:t>
      </w:r>
    </w:p>
    <w:p w14:paraId="6ABA6B31"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0CAF3894"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6. Nomu saskaņā ar EKS 2010 15.04.–15.22. punktu klasificē, pamatojoties uz to, kādā apmērā ar nomātā aktīva īpašumtiesībām saistītie riski un priekšrocības tiek nodoti nomniekam vai iznomātājam. Riski ir galvenokārt iespējamie zaudējumi, ko rada dīkstāve vai tehnoloģiska novecošanās un atdeves izmaiņas mainīgu ekonomisko apstākļu dēļ. Priekšrocības var attēlot kā rentablas darbības prognozes aktīva ekonomiskajā ciklā un kā ieguvumu no vērtības pieauguma vai no atlikušās vērtības realizācijas.</w:t>
      </w:r>
    </w:p>
    <w:p w14:paraId="391A5052"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4188295D"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7. Nomu klasificē kā finanšu nomu, ja ar īpašumtiesībām saistītos riskus un priekšrocības iznomātājs nodod nomniekam. Pretējā gadījumā nomu klasificē kā operatīvo nomu.</w:t>
      </w:r>
    </w:p>
    <w:p w14:paraId="1FA7AAE1"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7E534842"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 xml:space="preserve">8. Saskaņā ar EKS 2010 15.08., 15.13. un 20.164. punktu tas, vai noma ir finanšu noma vai operatīvā noma, ir atkarīgs no darījuma ekonomiskās būtības, nevis no līguma juridiskās </w:t>
      </w:r>
      <w:r w:rsidRPr="00B03B51">
        <w:rPr>
          <w:rFonts w:ascii="Times New Roman" w:hAnsi="Times New Roman" w:cs="Times New Roman"/>
          <w:sz w:val="24"/>
        </w:rPr>
        <w:lastRenderedPageBreak/>
        <w:t>formas. Atsevišķas vai kombinētas situācijas, kad nomu var parasti klasificēt kā finanšu nomu, ir, piemēram, šādas:</w:t>
      </w:r>
    </w:p>
    <w:p w14:paraId="5C0819F7"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3DD8FAAA" w14:textId="77777777" w:rsidR="00443399" w:rsidRPr="00B03B51" w:rsidRDefault="00443399" w:rsidP="00443399">
      <w:pPr>
        <w:pStyle w:val="BodyText"/>
        <w:tabs>
          <w:tab w:val="left" w:pos="1126"/>
        </w:tabs>
        <w:spacing w:before="0"/>
        <w:ind w:left="284" w:firstLine="0"/>
        <w:jc w:val="both"/>
        <w:rPr>
          <w:rFonts w:ascii="Times New Roman" w:hAnsi="Times New Roman" w:cs="Times New Roman"/>
          <w:noProof/>
          <w:sz w:val="24"/>
        </w:rPr>
      </w:pPr>
      <w:r w:rsidRPr="00B03B51">
        <w:rPr>
          <w:rFonts w:ascii="Times New Roman" w:hAnsi="Times New Roman" w:cs="Times New Roman"/>
          <w:sz w:val="24"/>
        </w:rPr>
        <w:t>a) nomas termiņa beigās iznomātājs aktīva likumīgās īpašuma tiesības nodod nomniekam;</w:t>
      </w:r>
    </w:p>
    <w:p w14:paraId="48150EBE" w14:textId="77777777" w:rsidR="00443399" w:rsidRPr="00B03B51" w:rsidRDefault="00443399" w:rsidP="00443399">
      <w:pPr>
        <w:pStyle w:val="BodyText"/>
        <w:tabs>
          <w:tab w:val="left" w:pos="1126"/>
        </w:tabs>
        <w:spacing w:before="0"/>
        <w:ind w:left="284" w:firstLine="0"/>
        <w:jc w:val="both"/>
        <w:rPr>
          <w:rFonts w:ascii="Times New Roman" w:hAnsi="Times New Roman" w:cs="Times New Roman"/>
          <w:noProof/>
          <w:sz w:val="24"/>
        </w:rPr>
      </w:pPr>
    </w:p>
    <w:p w14:paraId="6AE377B2" w14:textId="77777777" w:rsidR="00443399" w:rsidRPr="00B03B51" w:rsidRDefault="00443399" w:rsidP="00443399">
      <w:pPr>
        <w:pStyle w:val="BodyText"/>
        <w:tabs>
          <w:tab w:val="left" w:pos="1126"/>
        </w:tabs>
        <w:spacing w:before="0"/>
        <w:ind w:left="284" w:firstLine="0"/>
        <w:jc w:val="both"/>
        <w:rPr>
          <w:rFonts w:ascii="Times New Roman" w:hAnsi="Times New Roman" w:cs="Times New Roman"/>
          <w:noProof/>
          <w:sz w:val="24"/>
        </w:rPr>
      </w:pPr>
      <w:r w:rsidRPr="00B03B51">
        <w:rPr>
          <w:rFonts w:ascii="Times New Roman" w:hAnsi="Times New Roman" w:cs="Times New Roman"/>
          <w:sz w:val="24"/>
        </w:rPr>
        <w:t>b) nomniekam ir iespēja nopirkt aktīvu par cenu, kas ir būtiski zemāka nekā aktīva tirgus vērtība vai ir tuva šai vērtībai (piemēram, ņemot vērā, ka varēs izvairīties no noņemšanas izmaksām) brīdī, kad nomnieks var izmantot šo iespēju, tādējādi nomas sākumā ir visai droši, ka šī iespēja tiks izmantota;</w:t>
      </w:r>
    </w:p>
    <w:p w14:paraId="3373DE5A" w14:textId="77777777" w:rsidR="00443399" w:rsidRPr="00B03B51" w:rsidRDefault="00443399" w:rsidP="00443399">
      <w:pPr>
        <w:pStyle w:val="BodyText"/>
        <w:tabs>
          <w:tab w:val="left" w:pos="1126"/>
        </w:tabs>
        <w:spacing w:before="0"/>
        <w:ind w:left="284" w:firstLine="0"/>
        <w:jc w:val="both"/>
        <w:rPr>
          <w:rFonts w:ascii="Times New Roman" w:hAnsi="Times New Roman" w:cs="Times New Roman"/>
          <w:noProof/>
          <w:sz w:val="24"/>
        </w:rPr>
      </w:pPr>
    </w:p>
    <w:p w14:paraId="7F25F1BE" w14:textId="77777777" w:rsidR="00443399" w:rsidRPr="00B03B51" w:rsidRDefault="00443399" w:rsidP="00443399">
      <w:pPr>
        <w:pStyle w:val="BodyText"/>
        <w:tabs>
          <w:tab w:val="left" w:pos="1126"/>
        </w:tabs>
        <w:spacing w:before="0"/>
        <w:ind w:left="284" w:firstLine="0"/>
        <w:jc w:val="both"/>
        <w:rPr>
          <w:rFonts w:ascii="Times New Roman" w:hAnsi="Times New Roman" w:cs="Times New Roman"/>
          <w:noProof/>
          <w:sz w:val="24"/>
        </w:rPr>
      </w:pPr>
      <w:r w:rsidRPr="00B03B51">
        <w:rPr>
          <w:rFonts w:ascii="Times New Roman" w:hAnsi="Times New Roman" w:cs="Times New Roman"/>
          <w:sz w:val="24"/>
        </w:rPr>
        <w:t>c) nomas termiņš lielākoties ir aktīva ekonomiskais cikls, pat ja likumīgās īpašumtiesības netiek nodotas;</w:t>
      </w:r>
      <w:r w:rsidRPr="00B03B51">
        <w:rPr>
          <w:rStyle w:val="FootnoteReference"/>
          <w:rFonts w:ascii="Times New Roman" w:hAnsi="Times New Roman" w:cs="Times New Roman"/>
          <w:noProof/>
          <w:sz w:val="24"/>
        </w:rPr>
        <w:footnoteReference w:id="193"/>
      </w:r>
    </w:p>
    <w:p w14:paraId="6DB7F810" w14:textId="77777777" w:rsidR="00443399" w:rsidRPr="00B03B51" w:rsidRDefault="00443399" w:rsidP="00443399">
      <w:pPr>
        <w:pStyle w:val="BodyText"/>
        <w:tabs>
          <w:tab w:val="left" w:pos="1126"/>
        </w:tabs>
        <w:spacing w:before="0"/>
        <w:ind w:left="284" w:firstLine="0"/>
        <w:jc w:val="both"/>
        <w:rPr>
          <w:rFonts w:ascii="Times New Roman" w:hAnsi="Times New Roman" w:cs="Times New Roman"/>
          <w:noProof/>
          <w:sz w:val="24"/>
        </w:rPr>
      </w:pPr>
    </w:p>
    <w:p w14:paraId="45B46956" w14:textId="77777777" w:rsidR="00443399" w:rsidRPr="00B03B51" w:rsidRDefault="00443399" w:rsidP="00443399">
      <w:pPr>
        <w:pStyle w:val="BodyText"/>
        <w:tabs>
          <w:tab w:val="left" w:pos="1126"/>
        </w:tabs>
        <w:spacing w:before="0"/>
        <w:ind w:left="284" w:firstLine="0"/>
        <w:jc w:val="both"/>
        <w:rPr>
          <w:rFonts w:ascii="Times New Roman" w:hAnsi="Times New Roman" w:cs="Times New Roman"/>
          <w:noProof/>
          <w:sz w:val="24"/>
        </w:rPr>
      </w:pPr>
      <w:r w:rsidRPr="00B03B51">
        <w:rPr>
          <w:rFonts w:ascii="Times New Roman" w:hAnsi="Times New Roman" w:cs="Times New Roman"/>
          <w:sz w:val="24"/>
        </w:rPr>
        <w:t>d) nomas sākumā minimālo nomas maksājumu pašreizējā vērtība ir ļoti tuvu iznomātā aktīva tirgus vērtībai;</w:t>
      </w:r>
    </w:p>
    <w:p w14:paraId="3539D4E5" w14:textId="77777777" w:rsidR="00443399" w:rsidRPr="00B03B51" w:rsidRDefault="00443399" w:rsidP="00443399">
      <w:pPr>
        <w:pStyle w:val="BodyText"/>
        <w:tabs>
          <w:tab w:val="left" w:pos="1126"/>
        </w:tabs>
        <w:spacing w:before="0"/>
        <w:ind w:left="284" w:firstLine="0"/>
        <w:jc w:val="both"/>
        <w:rPr>
          <w:rFonts w:ascii="Times New Roman" w:hAnsi="Times New Roman" w:cs="Times New Roman"/>
          <w:noProof/>
          <w:sz w:val="24"/>
        </w:rPr>
      </w:pPr>
    </w:p>
    <w:p w14:paraId="06A92811" w14:textId="77777777" w:rsidR="00443399" w:rsidRPr="00B03B51" w:rsidRDefault="00443399" w:rsidP="00443399">
      <w:pPr>
        <w:pStyle w:val="BodyText"/>
        <w:tabs>
          <w:tab w:val="left" w:pos="1126"/>
        </w:tabs>
        <w:spacing w:before="0"/>
        <w:ind w:left="284" w:firstLine="0"/>
        <w:jc w:val="both"/>
        <w:rPr>
          <w:rFonts w:ascii="Times New Roman" w:hAnsi="Times New Roman" w:cs="Times New Roman"/>
          <w:noProof/>
          <w:sz w:val="24"/>
        </w:rPr>
      </w:pPr>
      <w:r w:rsidRPr="00B03B51">
        <w:rPr>
          <w:rFonts w:ascii="Times New Roman" w:hAnsi="Times New Roman" w:cs="Times New Roman"/>
          <w:sz w:val="24"/>
        </w:rPr>
        <w:t>e) nomāto aktīvu specifika ir tāda, ka tos bez būtiskiem pārveidojumiem var izmantot vienīgi nomnieks;</w:t>
      </w:r>
    </w:p>
    <w:p w14:paraId="2272C39C" w14:textId="77777777" w:rsidR="00443399" w:rsidRPr="00B03B51" w:rsidRDefault="00443399" w:rsidP="00443399">
      <w:pPr>
        <w:pStyle w:val="BodyText"/>
        <w:tabs>
          <w:tab w:val="left" w:pos="1126"/>
        </w:tabs>
        <w:spacing w:before="0"/>
        <w:ind w:left="284" w:firstLine="0"/>
        <w:jc w:val="both"/>
        <w:rPr>
          <w:rFonts w:ascii="Times New Roman" w:hAnsi="Times New Roman" w:cs="Times New Roman"/>
          <w:noProof/>
          <w:sz w:val="24"/>
        </w:rPr>
      </w:pPr>
    </w:p>
    <w:p w14:paraId="27C6EA53" w14:textId="77777777" w:rsidR="00443399" w:rsidRPr="00B03B51" w:rsidRDefault="00443399" w:rsidP="00443399">
      <w:pPr>
        <w:pStyle w:val="BodyText"/>
        <w:tabs>
          <w:tab w:val="left" w:pos="1126"/>
        </w:tabs>
        <w:spacing w:before="0"/>
        <w:ind w:left="284" w:firstLine="0"/>
        <w:jc w:val="both"/>
        <w:rPr>
          <w:rFonts w:ascii="Times New Roman" w:hAnsi="Times New Roman" w:cs="Times New Roman"/>
          <w:noProof/>
          <w:sz w:val="24"/>
        </w:rPr>
      </w:pPr>
      <w:r w:rsidRPr="00B03B51">
        <w:rPr>
          <w:rFonts w:ascii="Times New Roman" w:hAnsi="Times New Roman" w:cs="Times New Roman"/>
          <w:sz w:val="24"/>
        </w:rPr>
        <w:t>f) ja nomātais aktīvs ir tāds, ka iznomātājs to parasti nevarētu izmantot savā ražojošā darbībā;</w:t>
      </w:r>
    </w:p>
    <w:p w14:paraId="151843E7" w14:textId="77777777" w:rsidR="00443399" w:rsidRPr="00B03B51" w:rsidRDefault="00443399" w:rsidP="00443399">
      <w:pPr>
        <w:pStyle w:val="BodyText"/>
        <w:tabs>
          <w:tab w:val="left" w:pos="1126"/>
        </w:tabs>
        <w:spacing w:before="0"/>
        <w:ind w:left="284" w:firstLine="0"/>
        <w:jc w:val="both"/>
        <w:rPr>
          <w:rFonts w:ascii="Times New Roman" w:hAnsi="Times New Roman" w:cs="Times New Roman"/>
          <w:noProof/>
          <w:sz w:val="24"/>
        </w:rPr>
      </w:pPr>
    </w:p>
    <w:p w14:paraId="5EF1AEE9" w14:textId="77777777" w:rsidR="00443399" w:rsidRPr="00B03B51" w:rsidRDefault="00443399" w:rsidP="00443399">
      <w:pPr>
        <w:pStyle w:val="BodyText"/>
        <w:tabs>
          <w:tab w:val="left" w:pos="1126"/>
        </w:tabs>
        <w:spacing w:before="0"/>
        <w:ind w:left="284" w:firstLine="0"/>
        <w:jc w:val="both"/>
        <w:rPr>
          <w:rFonts w:ascii="Times New Roman" w:hAnsi="Times New Roman" w:cs="Times New Roman"/>
          <w:noProof/>
          <w:sz w:val="24"/>
        </w:rPr>
      </w:pPr>
      <w:r w:rsidRPr="00B03B51">
        <w:rPr>
          <w:rFonts w:ascii="Times New Roman" w:hAnsi="Times New Roman" w:cs="Times New Roman"/>
          <w:sz w:val="24"/>
        </w:rPr>
        <w:t>g) ja nomnieks var anulēt nomu, ar anulēšanu saistītos iznomātāja zaudējumus uzņemas nomnieks;</w:t>
      </w:r>
    </w:p>
    <w:p w14:paraId="78D0111C" w14:textId="77777777" w:rsidR="00443399" w:rsidRPr="00B03B51" w:rsidRDefault="00443399" w:rsidP="00443399">
      <w:pPr>
        <w:pStyle w:val="BodyText"/>
        <w:tabs>
          <w:tab w:val="left" w:pos="1126"/>
        </w:tabs>
        <w:spacing w:before="0"/>
        <w:ind w:left="284" w:firstLine="0"/>
        <w:jc w:val="both"/>
        <w:rPr>
          <w:rFonts w:ascii="Times New Roman" w:hAnsi="Times New Roman" w:cs="Times New Roman"/>
          <w:noProof/>
          <w:sz w:val="24"/>
        </w:rPr>
      </w:pPr>
    </w:p>
    <w:p w14:paraId="612D51A9" w14:textId="77777777" w:rsidR="00443399" w:rsidRPr="00B03B51" w:rsidRDefault="00443399" w:rsidP="00443399">
      <w:pPr>
        <w:pStyle w:val="BodyText"/>
        <w:tabs>
          <w:tab w:val="left" w:pos="1126"/>
        </w:tabs>
        <w:spacing w:before="0"/>
        <w:ind w:left="284" w:firstLine="0"/>
        <w:jc w:val="both"/>
        <w:rPr>
          <w:rFonts w:ascii="Times New Roman" w:hAnsi="Times New Roman" w:cs="Times New Roman"/>
          <w:noProof/>
          <w:sz w:val="24"/>
        </w:rPr>
      </w:pPr>
      <w:r w:rsidRPr="00B03B51">
        <w:rPr>
          <w:rFonts w:ascii="Times New Roman" w:hAnsi="Times New Roman" w:cs="Times New Roman"/>
          <w:sz w:val="24"/>
        </w:rPr>
        <w:t>g) nomātā aktīva atlikušās tirgus vērtības svārstību dēļ radušos guvumus vai zaudējumus uzkrāj nomnieks (piemēram, nomas maksas atlaides veidā, pielīdzinot lielāko daļu pārdošanas ieņēmumu nomas termiņa beigās);</w:t>
      </w:r>
    </w:p>
    <w:p w14:paraId="22A2AF37" w14:textId="77777777" w:rsidR="00443399" w:rsidRPr="00B03B51" w:rsidRDefault="00443399" w:rsidP="00443399">
      <w:pPr>
        <w:pStyle w:val="BodyText"/>
        <w:tabs>
          <w:tab w:val="left" w:pos="1126"/>
        </w:tabs>
        <w:spacing w:before="0"/>
        <w:ind w:left="284" w:firstLine="0"/>
        <w:jc w:val="both"/>
        <w:rPr>
          <w:rFonts w:ascii="Times New Roman" w:hAnsi="Times New Roman" w:cs="Times New Roman"/>
          <w:noProof/>
          <w:sz w:val="24"/>
        </w:rPr>
      </w:pPr>
    </w:p>
    <w:p w14:paraId="56289D42" w14:textId="77777777" w:rsidR="00443399" w:rsidRPr="00B03B51" w:rsidRDefault="00443399" w:rsidP="00443399">
      <w:pPr>
        <w:pStyle w:val="BodyText"/>
        <w:tabs>
          <w:tab w:val="left" w:pos="1126"/>
        </w:tabs>
        <w:spacing w:before="0"/>
        <w:ind w:left="284" w:firstLine="0"/>
        <w:jc w:val="both"/>
        <w:rPr>
          <w:rFonts w:ascii="Times New Roman" w:hAnsi="Times New Roman" w:cs="Times New Roman"/>
          <w:noProof/>
          <w:sz w:val="24"/>
        </w:rPr>
      </w:pPr>
      <w:r w:rsidRPr="00B03B51">
        <w:rPr>
          <w:rFonts w:ascii="Times New Roman" w:hAnsi="Times New Roman" w:cs="Times New Roman"/>
          <w:sz w:val="24"/>
        </w:rPr>
        <w:t>i) nomniekam ir iespēja turpināt nomu uz papildu laiku par nomas maksu, kas ir būtiski zemāka par tirgus likmi.</w:t>
      </w:r>
    </w:p>
    <w:p w14:paraId="6F25C35E"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16C4D78D"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9. Iepriekšējā punktā minētie piemēri un rādītāji ne vienmēr ir noteicoši. Ja citas iezīmes skaidri parāda, ka ar nomu iznomātājs nenodod ar īpašumtiesībām saistītos riskus un priekšrocības, šāda noma tiek klasificēta kā operatīvā noma. Piemēram, tas var būt gadījumā, kad nomas termiņa beigās aktīva likumīgās īpašumtiesības tiek nodotas par summu, kas ir vienāda ar tā tirgus vērtību tajā laikā. Tas var būt arī iespējamas nomas maksas gadījumā, kā rezultātā riski un priekšrocības netiek nodoti nomniekam.</w:t>
      </w:r>
    </w:p>
    <w:p w14:paraId="188DED01"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17C9FC5C" w14:textId="2F555FAC"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10. Lēmumus par nomas klasifikāciju pieņem nomas sākumā. Ja kādā laikā nomnieks un iznomātājs piekrīt mainīt nomas noteikumus kā citādi, nevis to atjaunojot, kā rezultātā varētu manīties tās klasifikācija, ja mainītie nosacījumi bija spē</w:t>
      </w:r>
      <w:r w:rsidR="00CD10FE" w:rsidRPr="00B03B51">
        <w:rPr>
          <w:rFonts w:ascii="Times New Roman" w:hAnsi="Times New Roman" w:cs="Times New Roman"/>
          <w:sz w:val="24"/>
        </w:rPr>
        <w:t>k</w:t>
      </w:r>
      <w:r w:rsidRPr="00B03B51">
        <w:rPr>
          <w:rFonts w:ascii="Times New Roman" w:hAnsi="Times New Roman" w:cs="Times New Roman"/>
          <w:sz w:val="24"/>
        </w:rPr>
        <w:t>ā nomas sākumā, uzskatāms, ka ar pārskatīto nomu tiek anulēta sākotnējā noma un tiek izveidota jauna noma, kas ir spēkā turpmāk. Tomēr, ja mainās aplēses par nomātā īpašuma ekonomisko ciklu vai tā atlikušo vērtību vai ja mainās apstākļi (piemēram, nomnieks nepilda saistības), tas nav iemesls jaunai nomas klasifikācijai.</w:t>
      </w:r>
    </w:p>
    <w:p w14:paraId="3AE3035B" w14:textId="77777777" w:rsidR="00443399" w:rsidRPr="00B03B51" w:rsidRDefault="00443399" w:rsidP="00443399">
      <w:pPr>
        <w:jc w:val="both"/>
        <w:rPr>
          <w:rFonts w:ascii="Times New Roman" w:eastAsia="Arial" w:hAnsi="Times New Roman" w:cs="Times New Roman"/>
          <w:noProof/>
          <w:sz w:val="24"/>
          <w:szCs w:val="15"/>
        </w:rPr>
      </w:pPr>
    </w:p>
    <w:p w14:paraId="32047ACC" w14:textId="77777777" w:rsidR="00443399" w:rsidRPr="00B03B51" w:rsidRDefault="00443399" w:rsidP="00443399">
      <w:pPr>
        <w:pStyle w:val="Heading6"/>
        <w:keepNext/>
        <w:keepLines/>
        <w:tabs>
          <w:tab w:val="left" w:pos="1267"/>
          <w:tab w:val="left" w:pos="2628"/>
          <w:tab w:val="left" w:pos="4398"/>
          <w:tab w:val="left" w:pos="6035"/>
          <w:tab w:val="left" w:pos="6625"/>
          <w:tab w:val="left" w:pos="7496"/>
          <w:tab w:val="left" w:pos="8251"/>
        </w:tabs>
        <w:ind w:left="0" w:firstLine="0"/>
        <w:jc w:val="both"/>
        <w:rPr>
          <w:rFonts w:ascii="Times New Roman" w:hAnsi="Times New Roman" w:cs="Times New Roman"/>
          <w:noProof/>
          <w:sz w:val="24"/>
        </w:rPr>
      </w:pPr>
      <w:bookmarkStart w:id="491" w:name="6.2.2.2_General_accounting_treatment_of_"/>
      <w:bookmarkEnd w:id="491"/>
      <w:r w:rsidRPr="00B03B51">
        <w:rPr>
          <w:rFonts w:ascii="Times New Roman" w:hAnsi="Times New Roman" w:cs="Times New Roman"/>
          <w:sz w:val="24"/>
        </w:rPr>
        <w:t>6.2.2.2. PĀRDOŠANAS AR SAŅEMŠANU ATPAKAĻ NOMĀ DARĪJUMU VISPĀRĒJA UZSKAITE</w:t>
      </w:r>
    </w:p>
    <w:p w14:paraId="70E7BB8C" w14:textId="77777777" w:rsidR="00443399" w:rsidRPr="00B03B51" w:rsidRDefault="00443399" w:rsidP="00443399">
      <w:pPr>
        <w:keepNext/>
        <w:keepLines/>
        <w:jc w:val="both"/>
        <w:rPr>
          <w:rFonts w:ascii="Times New Roman" w:hAnsi="Times New Roman" w:cs="Times New Roman"/>
          <w:b/>
          <w:noProof/>
          <w:sz w:val="24"/>
        </w:rPr>
      </w:pPr>
    </w:p>
    <w:p w14:paraId="0512E917" w14:textId="77777777" w:rsidR="00443399" w:rsidRPr="00B03B51" w:rsidRDefault="00443399" w:rsidP="00443399">
      <w:pPr>
        <w:keepNext/>
        <w:keepLines/>
        <w:jc w:val="both"/>
        <w:rPr>
          <w:rFonts w:ascii="Times New Roman" w:hAnsi="Times New Roman" w:cs="Times New Roman"/>
          <w:b/>
          <w:noProof/>
          <w:sz w:val="24"/>
        </w:rPr>
      </w:pPr>
      <w:r w:rsidRPr="00B03B51">
        <w:rPr>
          <w:rFonts w:ascii="Times New Roman" w:hAnsi="Times New Roman" w:cs="Times New Roman"/>
          <w:b/>
          <w:sz w:val="24"/>
        </w:rPr>
        <w:t>Saņemšana atpakaļ nomā ir finanšu noma</w:t>
      </w:r>
    </w:p>
    <w:p w14:paraId="4184DB51"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20DE829A"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11. Ja saņemšana atpakaļ nomā ir finanšu noma, darījuma ekonomiskā būtība ir tāda, ka aktīvs netiek realizēts un darījums ir veids, kā pircējs–iznomātājs sniedz finansējumu pārdevējam–nomniekam, izmantojot aktīvu kā garantiju.</w:t>
      </w:r>
    </w:p>
    <w:p w14:paraId="13450F10"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5B5F865E"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12. Šajā gadījumā aktīvs paliek pārdevēja–nomnieka bilancē un summa, ko tas ir saņēmis, ir jāieraksta kā aizdevuma saistības (F.4L). Nomas maksājumi, ko veicis pārdevējs–nomnieks visā nomas termiņā, attiecīgi tiek sadalīti kā aizdevuma atmaksa, procenti un pakalpojuma maksājumi.</w:t>
      </w:r>
    </w:p>
    <w:p w14:paraId="7AB2AEC5" w14:textId="77777777" w:rsidR="00443399" w:rsidRPr="00B03B51" w:rsidRDefault="00443399" w:rsidP="00443399">
      <w:pPr>
        <w:jc w:val="both"/>
        <w:rPr>
          <w:rFonts w:ascii="Times New Roman" w:hAnsi="Times New Roman" w:cs="Times New Roman"/>
          <w:b/>
          <w:noProof/>
          <w:sz w:val="24"/>
        </w:rPr>
      </w:pPr>
    </w:p>
    <w:p w14:paraId="33E7A79D" w14:textId="77777777" w:rsidR="00443399" w:rsidRPr="00B03B51" w:rsidRDefault="00443399" w:rsidP="00443399">
      <w:pPr>
        <w:jc w:val="both"/>
        <w:rPr>
          <w:rFonts w:ascii="Times New Roman" w:hAnsi="Times New Roman" w:cs="Times New Roman"/>
          <w:b/>
          <w:noProof/>
          <w:sz w:val="24"/>
        </w:rPr>
      </w:pPr>
      <w:r w:rsidRPr="00B03B51">
        <w:rPr>
          <w:rFonts w:ascii="Times New Roman" w:hAnsi="Times New Roman" w:cs="Times New Roman"/>
          <w:b/>
          <w:sz w:val="24"/>
        </w:rPr>
        <w:t>Saņemšana atpakaļ nomā ir operatīvā noma</w:t>
      </w:r>
    </w:p>
    <w:p w14:paraId="5916092D"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3D6AE6B4"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13. Ja saņemšana atpakaļ nomā ir operatīvā noma, pārdošanas ar saņemšanu atpakaļ nomā darījums ir jāieraksta kā aktīva(-u) pārdošana, kurai seko operatīvā noma, saskaņā ar EKS 2010 15.08.–15.12. punktu un 15.2. tabulu.</w:t>
      </w:r>
    </w:p>
    <w:p w14:paraId="49215BAF" w14:textId="77777777" w:rsidR="00443399" w:rsidRPr="00B03B51" w:rsidRDefault="00443399" w:rsidP="00443399">
      <w:pPr>
        <w:jc w:val="both"/>
        <w:rPr>
          <w:rFonts w:ascii="Times New Roman" w:eastAsia="Arial" w:hAnsi="Times New Roman" w:cs="Times New Roman"/>
          <w:noProof/>
          <w:sz w:val="24"/>
          <w:szCs w:val="15"/>
        </w:rPr>
      </w:pPr>
    </w:p>
    <w:p w14:paraId="1FC72FAE" w14:textId="77777777" w:rsidR="00443399" w:rsidRPr="00B03B51" w:rsidRDefault="00443399" w:rsidP="00443399">
      <w:pPr>
        <w:pStyle w:val="Heading6"/>
        <w:tabs>
          <w:tab w:val="left" w:pos="1267"/>
        </w:tabs>
        <w:ind w:left="0" w:firstLine="0"/>
        <w:jc w:val="both"/>
        <w:rPr>
          <w:rFonts w:ascii="Times New Roman" w:hAnsi="Times New Roman" w:cs="Times New Roman"/>
          <w:noProof/>
          <w:sz w:val="24"/>
        </w:rPr>
      </w:pPr>
      <w:bookmarkStart w:id="492" w:name="6.2.2.3_nature_of_the_unit_(buyer–lessor"/>
      <w:bookmarkEnd w:id="492"/>
      <w:r w:rsidRPr="00B03B51">
        <w:rPr>
          <w:rFonts w:ascii="Times New Roman" w:hAnsi="Times New Roman" w:cs="Times New Roman"/>
          <w:sz w:val="24"/>
        </w:rPr>
        <w:t>6.2.2.3. VIENĪBAS VEIDS (PIRCĒJS–IZNOMĀTĀJS)</w:t>
      </w:r>
    </w:p>
    <w:p w14:paraId="377CD74A"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4B5C0ABF"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14. Attiecībā uz pirkumu veicošās vienības (pircējs–iznomātājs) veidu, ja tiek uzskatīts, ka tā ietilpst vispārējās valdības sektorā, nebūs ietekmes uz vispārējās valdības neto aizdevumu/neto aizņēmumu (B.9). Vienīgi tad, ja vienība ir klasificēta ārpus valdības sektora, iespējams, ir jāieraksta aktīvu pārdošana, kas ietekmē valdību B.9.</w:t>
      </w:r>
    </w:p>
    <w:p w14:paraId="25152B90"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3834F58D"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15. Kopumā atkarībā no tā, kāda ir vienība, kura iesaistīta pārdošanas ar saņemšanu atpakaļ nomā darījumā ar valdību, var izšķirt trīs gadījumus:</w:t>
      </w:r>
    </w:p>
    <w:p w14:paraId="62BCEB93" w14:textId="77777777" w:rsidR="00443399" w:rsidRPr="00B03B51" w:rsidRDefault="00443399" w:rsidP="00443399">
      <w:pPr>
        <w:jc w:val="both"/>
        <w:rPr>
          <w:rFonts w:ascii="Times New Roman" w:eastAsia="Arial" w:hAnsi="Times New Roman" w:cs="Times New Roman"/>
          <w:noProof/>
          <w:sz w:val="24"/>
          <w:szCs w:val="14"/>
        </w:rPr>
      </w:pPr>
    </w:p>
    <w:p w14:paraId="04A65FF1" w14:textId="77777777" w:rsidR="00443399" w:rsidRPr="00B03B51" w:rsidRDefault="00443399" w:rsidP="00443399">
      <w:pPr>
        <w:pStyle w:val="BodyText"/>
        <w:tabs>
          <w:tab w:val="left" w:pos="1126"/>
        </w:tabs>
        <w:spacing w:before="0"/>
        <w:ind w:left="284" w:firstLine="0"/>
        <w:jc w:val="both"/>
        <w:rPr>
          <w:rFonts w:ascii="Times New Roman" w:hAnsi="Times New Roman" w:cs="Times New Roman"/>
          <w:noProof/>
          <w:sz w:val="24"/>
        </w:rPr>
      </w:pPr>
      <w:r w:rsidRPr="00B03B51">
        <w:rPr>
          <w:rFonts w:ascii="Times New Roman" w:hAnsi="Times New Roman" w:cs="Times New Roman"/>
          <w:sz w:val="24"/>
        </w:rPr>
        <w:t>a) valdība ir radījusi vienību ar noteiktu mērķi;</w:t>
      </w:r>
    </w:p>
    <w:p w14:paraId="7DBB457D" w14:textId="77777777" w:rsidR="00443399" w:rsidRPr="00B03B51" w:rsidRDefault="00443399" w:rsidP="00443399">
      <w:pPr>
        <w:pStyle w:val="BodyText"/>
        <w:tabs>
          <w:tab w:val="left" w:pos="1126"/>
        </w:tabs>
        <w:spacing w:before="0"/>
        <w:ind w:left="284" w:firstLine="0"/>
        <w:jc w:val="both"/>
        <w:rPr>
          <w:rFonts w:ascii="Times New Roman" w:hAnsi="Times New Roman" w:cs="Times New Roman"/>
          <w:noProof/>
          <w:sz w:val="24"/>
        </w:rPr>
      </w:pPr>
    </w:p>
    <w:p w14:paraId="1465BB4F" w14:textId="77777777" w:rsidR="00443399" w:rsidRPr="00B03B51" w:rsidRDefault="00443399" w:rsidP="00443399">
      <w:pPr>
        <w:pStyle w:val="BodyText"/>
        <w:tabs>
          <w:tab w:val="left" w:pos="1126"/>
        </w:tabs>
        <w:spacing w:before="0"/>
        <w:ind w:left="284" w:firstLine="0"/>
        <w:jc w:val="both"/>
        <w:rPr>
          <w:rFonts w:ascii="Times New Roman" w:hAnsi="Times New Roman" w:cs="Times New Roman"/>
          <w:noProof/>
          <w:sz w:val="24"/>
        </w:rPr>
      </w:pPr>
      <w:r w:rsidRPr="00B03B51">
        <w:rPr>
          <w:rFonts w:ascii="Times New Roman" w:hAnsi="Times New Roman" w:cs="Times New Roman"/>
          <w:sz w:val="24"/>
        </w:rPr>
        <w:t>b) vienība ir esoša publiska sabiedrība;</w:t>
      </w:r>
    </w:p>
    <w:p w14:paraId="1DCF7295" w14:textId="77777777" w:rsidR="00443399" w:rsidRPr="00B03B51" w:rsidRDefault="00443399" w:rsidP="00443399">
      <w:pPr>
        <w:pStyle w:val="BodyText"/>
        <w:tabs>
          <w:tab w:val="left" w:pos="1126"/>
        </w:tabs>
        <w:spacing w:before="0"/>
        <w:ind w:left="284" w:firstLine="0"/>
        <w:jc w:val="both"/>
        <w:rPr>
          <w:rFonts w:ascii="Times New Roman" w:hAnsi="Times New Roman" w:cs="Times New Roman"/>
          <w:noProof/>
          <w:sz w:val="24"/>
        </w:rPr>
      </w:pPr>
    </w:p>
    <w:p w14:paraId="3A6B9067" w14:textId="77777777" w:rsidR="00443399" w:rsidRPr="00B03B51" w:rsidRDefault="00443399" w:rsidP="00443399">
      <w:pPr>
        <w:pStyle w:val="BodyText"/>
        <w:tabs>
          <w:tab w:val="left" w:pos="1126"/>
        </w:tabs>
        <w:spacing w:before="0"/>
        <w:ind w:left="284" w:firstLine="0"/>
        <w:jc w:val="both"/>
        <w:rPr>
          <w:rFonts w:ascii="Times New Roman" w:hAnsi="Times New Roman" w:cs="Times New Roman"/>
          <w:noProof/>
          <w:sz w:val="24"/>
        </w:rPr>
      </w:pPr>
      <w:r w:rsidRPr="00B03B51">
        <w:rPr>
          <w:rFonts w:ascii="Times New Roman" w:hAnsi="Times New Roman" w:cs="Times New Roman"/>
          <w:sz w:val="24"/>
        </w:rPr>
        <w:t>c) vienība ir privātuzņēmējs.</w:t>
      </w:r>
    </w:p>
    <w:p w14:paraId="4B8F83D4" w14:textId="77777777" w:rsidR="00443399" w:rsidRPr="00B03B51" w:rsidRDefault="00443399" w:rsidP="00443399">
      <w:pPr>
        <w:pStyle w:val="BodyText"/>
        <w:tabs>
          <w:tab w:val="left" w:pos="1126"/>
        </w:tabs>
        <w:spacing w:before="0"/>
        <w:ind w:left="0" w:firstLine="0"/>
        <w:jc w:val="both"/>
        <w:rPr>
          <w:rFonts w:ascii="Times New Roman" w:hAnsi="Times New Roman" w:cs="Times New Roman"/>
          <w:noProof/>
          <w:sz w:val="24"/>
        </w:rPr>
      </w:pPr>
    </w:p>
    <w:p w14:paraId="5BC12FA2" w14:textId="77777777" w:rsidR="00443399" w:rsidRPr="00B03B51" w:rsidRDefault="00443399" w:rsidP="00443399">
      <w:pPr>
        <w:pStyle w:val="Heading6"/>
        <w:tabs>
          <w:tab w:val="left" w:pos="1692"/>
        </w:tabs>
        <w:ind w:left="0" w:firstLine="0"/>
        <w:jc w:val="both"/>
        <w:rPr>
          <w:rFonts w:ascii="Times New Roman" w:hAnsi="Times New Roman" w:cs="Times New Roman"/>
          <w:noProof/>
          <w:sz w:val="24"/>
        </w:rPr>
      </w:pPr>
      <w:bookmarkStart w:id="493" w:name="6.2.2.3.1._The_unit_is_created_on_purpos"/>
      <w:bookmarkEnd w:id="493"/>
      <w:r w:rsidRPr="00B03B51">
        <w:rPr>
          <w:rFonts w:ascii="Times New Roman" w:hAnsi="Times New Roman" w:cs="Times New Roman"/>
          <w:sz w:val="24"/>
        </w:rPr>
        <w:t>6.2.2.3.1. Valdība ir radījusi vienību ar noteiktu mērķi</w:t>
      </w:r>
    </w:p>
    <w:p w14:paraId="1D4D4EF8"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39DB2FE6"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16. Šajā gadījumā galvenais jautājums ir vienības sektora klasifikācija. Ja valdības noteiktam mērķim izveidotā vienība ir klasificēta valdības sektorā, “pārdošana” neietekmēs valdības neto aizdevumu/neto aizņēmumu un aktīva nodošana ir jāieraksta kontā “citas aktīvu apjoma pārmaiņas”.</w:t>
      </w:r>
    </w:p>
    <w:p w14:paraId="28C9600D"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50768FDD"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17. Kopumā, ja tās vienīgā darbība ir pakalpojumu sniegšana valdībai, uzskatāms, ka vienība veic palīgdarbību (skat. EKS 2010 2.26. un 20.24. punktu) vai ir mākslīgs meitasuzņēmums (skat. EKS 2010 2.24. punktu), vai ir īpašam nolūkam dibināta sabiedrība (skat. EKS 2010 2.17.–2.20. punktu). Tādējādi tā nav uzskatāma par atsevišķu institucionālo vienību un ir jākonsolidē ar tās mātesuzņēmumu (valdību). Nacionālajos kontos nav jāņem vērā nekādi darījumi: ne darījums ar aktīviem, ne arī kādi sekojoši darījumi ar precēm un pakalpojumiem – produkciju un starppatēriņu.</w:t>
      </w:r>
    </w:p>
    <w:p w14:paraId="6F79F383"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347FEDD0"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18. Ja vienība ir radīta, sadalot citu vienību, tās izveidi ieraksta kontā “Citas aktīvu apjoma pārmaiņas” kā pārmaiņas klasifikācijā un struktūrā (K.61). Ja vienība faktiski iegādājas aktīvu pati par saviem finanšu līdzekļiem, piemēram, aizņemoties savā vārdā, šo darījumu var traktēt kā aktīva pārdošanu, parasti kā bruto pamatkapitāla veidošanu (P.51g), no vienas vispārējās valdības daļas citai valdības daļai. Tādējādi kopumā vispārējās valdības neto aizdevums/aizņēmums (B.9) netiktu ietekmēts. Visi maksājumi, ko pēc tam valdība veic vienībai, jāieraksta kā kārtējie pārvedumi vispārējā valdībā (D.73).</w:t>
      </w:r>
    </w:p>
    <w:p w14:paraId="2AD31CE8"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0008A9AE"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19. Šo vienību klasificē vispārējās valdības sektorā tik ilgi, kamēr tās darbība galvenokārt ir saistīta ar pakalpojumu sniegšanu valdībai (piemēram, palīgtelpu noma). Iespējamā pārklasificēšanā ārpus vispārējās valdības sektora jāveic saskaņā ar noteikumiem, kas nosaka tirgus/ārpustirgus atšķirību un kontroles definīcijas.</w:t>
      </w:r>
    </w:p>
    <w:p w14:paraId="676230EE"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3CFC078F"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20. Pat ja šāda vienība izpilda kritērijus, lai tiktu uzskatīta par institucionālu vienību, maksājumus, ko valdība veic par minētās vienības sniegtajiem nomas pakalpojumiem nomas laikā, nevar uzskatīt par tirgus produkciju, jo:</w:t>
      </w:r>
    </w:p>
    <w:p w14:paraId="2BBACC0C"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3832ACB2" w14:textId="77777777" w:rsidR="00443399" w:rsidRPr="00B03B51" w:rsidRDefault="00443399" w:rsidP="00443399">
      <w:pPr>
        <w:pStyle w:val="BodyText"/>
        <w:tabs>
          <w:tab w:val="left" w:pos="1126"/>
        </w:tabs>
        <w:spacing w:before="0"/>
        <w:ind w:left="284" w:firstLine="0"/>
        <w:jc w:val="both"/>
        <w:rPr>
          <w:rFonts w:ascii="Times New Roman" w:hAnsi="Times New Roman" w:cs="Times New Roman"/>
          <w:noProof/>
          <w:sz w:val="24"/>
        </w:rPr>
      </w:pPr>
      <w:r w:rsidRPr="00B03B51">
        <w:rPr>
          <w:rFonts w:ascii="Times New Roman" w:hAnsi="Times New Roman" w:cs="Times New Roman"/>
          <w:sz w:val="24"/>
        </w:rPr>
        <w:t>a) lai ieņēmumus klasificētu kā pakalpojuma pārdošanu, maksājumam ir jābūt tādam, kas būtiski ietekmē pieprasījumu un/vai piedāvājumu;</w:t>
      </w:r>
    </w:p>
    <w:p w14:paraId="0B17F552" w14:textId="77777777" w:rsidR="00443399" w:rsidRPr="00B03B51" w:rsidRDefault="00443399" w:rsidP="00443399">
      <w:pPr>
        <w:pStyle w:val="BodyText"/>
        <w:tabs>
          <w:tab w:val="left" w:pos="1126"/>
        </w:tabs>
        <w:spacing w:before="0"/>
        <w:ind w:left="284" w:firstLine="0"/>
        <w:jc w:val="both"/>
        <w:rPr>
          <w:rFonts w:ascii="Times New Roman" w:hAnsi="Times New Roman" w:cs="Times New Roman"/>
          <w:noProof/>
          <w:sz w:val="24"/>
        </w:rPr>
      </w:pPr>
    </w:p>
    <w:p w14:paraId="312AF74C" w14:textId="77777777" w:rsidR="00443399" w:rsidRPr="00B03B51" w:rsidRDefault="00443399" w:rsidP="00443399">
      <w:pPr>
        <w:pStyle w:val="BodyText"/>
        <w:tabs>
          <w:tab w:val="left" w:pos="1126"/>
        </w:tabs>
        <w:spacing w:before="0"/>
        <w:ind w:left="284" w:firstLine="0"/>
        <w:jc w:val="both"/>
        <w:rPr>
          <w:rFonts w:ascii="Times New Roman" w:hAnsi="Times New Roman" w:cs="Times New Roman"/>
          <w:noProof/>
          <w:sz w:val="24"/>
        </w:rPr>
      </w:pPr>
      <w:r w:rsidRPr="00B03B51">
        <w:rPr>
          <w:rFonts w:ascii="Times New Roman" w:hAnsi="Times New Roman" w:cs="Times New Roman"/>
          <w:sz w:val="24"/>
        </w:rPr>
        <w:t>b) šajā gadījumā, kad valdība izveido vienību, kas apsaimnieko sabiedriskās ēkas un izmitina valdības struktūrvienības, maksājumus, kurus veic šīs struktūrvienības, kopumā nevar uzskatīt par ieņēmumiem no pārdošanas, jo, visticamāk, tie ievērojami neietekmē valdības radīto pieprasījumu, pat ja nomas maksu nosaka saskaņā ar tirgus cenām.</w:t>
      </w:r>
    </w:p>
    <w:p w14:paraId="585DF467" w14:textId="77777777" w:rsidR="00443399" w:rsidRPr="00B03B51" w:rsidRDefault="00443399" w:rsidP="00443399">
      <w:pPr>
        <w:pStyle w:val="BodyText"/>
        <w:tabs>
          <w:tab w:val="left" w:pos="1126"/>
        </w:tabs>
        <w:spacing w:before="0"/>
        <w:ind w:left="0" w:firstLine="0"/>
        <w:jc w:val="both"/>
        <w:rPr>
          <w:rFonts w:ascii="Times New Roman" w:hAnsi="Times New Roman" w:cs="Times New Roman"/>
          <w:noProof/>
          <w:sz w:val="24"/>
        </w:rPr>
      </w:pPr>
    </w:p>
    <w:p w14:paraId="2775EC6F"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21. Šī darījuma klasifikācija nav jāskata kā piezīme par efektivitāti vai arī par sabiedrisko ēku apsaimniekošanu. Tā rezultātā varētu notikt sabiedrisko ēku pārdale starp valdības struktūrvienībām tādējādi, ka dažas sabiedriskās ēkas kļūst pieejamas izmantošanai privātām vajadzībām. Pēdējā minētajā gadījumā ieņēmumi no privātajiem lietotājiem jāieraksta kā pārdošana. Aktīvu pārkārtošana valdības sektorā tomēr neatbilst tirgus darbībai.</w:t>
      </w:r>
    </w:p>
    <w:p w14:paraId="71FC3011"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72CD02E5"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22. Šī vienība, kas ir ārpustirgus vienība, jāklasificē vispārējās valdības sektorā vismaz tik ilgi, kamēr maksājumi, ko veic valdības struktūrvienības, veido tās resursu lielāko daļu.</w:t>
      </w:r>
    </w:p>
    <w:p w14:paraId="3DF4FBCF" w14:textId="77777777" w:rsidR="00443399" w:rsidRPr="00BE27DC" w:rsidRDefault="00443399" w:rsidP="00BE27DC">
      <w:pPr>
        <w:rPr>
          <w:rFonts w:ascii="Times New Roman" w:hAnsi="Times New Roman" w:cs="Times New Roman"/>
          <w:noProof/>
          <w:sz w:val="24"/>
          <w:szCs w:val="24"/>
        </w:rPr>
      </w:pPr>
      <w:bookmarkStart w:id="494" w:name="6.2.2.3.2._The_unit_is_an_existing_publi"/>
      <w:bookmarkEnd w:id="494"/>
    </w:p>
    <w:p w14:paraId="7A6D0E56" w14:textId="77777777" w:rsidR="00443399" w:rsidRPr="00B03B51" w:rsidRDefault="00443399" w:rsidP="00443399">
      <w:pPr>
        <w:pStyle w:val="Heading6"/>
        <w:tabs>
          <w:tab w:val="left" w:pos="1692"/>
        </w:tabs>
        <w:ind w:left="0" w:firstLine="0"/>
        <w:jc w:val="both"/>
        <w:rPr>
          <w:rFonts w:ascii="Times New Roman" w:hAnsi="Times New Roman" w:cs="Times New Roman"/>
          <w:noProof/>
          <w:sz w:val="24"/>
        </w:rPr>
      </w:pPr>
      <w:r w:rsidRPr="00B03B51">
        <w:rPr>
          <w:rFonts w:ascii="Times New Roman" w:hAnsi="Times New Roman" w:cs="Times New Roman"/>
          <w:sz w:val="24"/>
        </w:rPr>
        <w:t>6.2.2.3.2. Vienība ir esoša publiska sabiedrība</w:t>
      </w:r>
    </w:p>
    <w:p w14:paraId="44CBE6CA"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5D619C70"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23. Gadījumā, kad esoša publiska sabiedrība</w:t>
      </w:r>
      <w:r w:rsidRPr="00B03B51">
        <w:rPr>
          <w:rStyle w:val="FootnoteReference"/>
          <w:rFonts w:ascii="Times New Roman" w:hAnsi="Times New Roman" w:cs="Times New Roman"/>
          <w:noProof/>
          <w:sz w:val="24"/>
        </w:rPr>
        <w:footnoteReference w:id="194"/>
      </w:r>
      <w:r w:rsidRPr="00B03B51">
        <w:rPr>
          <w:rFonts w:ascii="Times New Roman" w:hAnsi="Times New Roman" w:cs="Times New Roman"/>
          <w:sz w:val="24"/>
        </w:rPr>
        <w:t xml:space="preserve"> iegādājas nefinanšu aktīvus no valdības par tirgus cenu un kad valdība un šī sabiedrība neveic citus saistītus savstarpējos darījumus, to ieraksta kā valdības nefinanšu aktīvu pārdošanu kapitāla kontā (P.51g), kas uzlabo valdības neto aizdevumu/aizņēmumu (B.9).</w:t>
      </w:r>
    </w:p>
    <w:p w14:paraId="04BB525A"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2152FC1F"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24. Tomēr dažkārt citu notikumu dēļ darījumu veids var mainīties. Piemēram, aktīvu pārvedumu var saistīt ar lielām pārmaiņām sabiedrības funkcijās, proti, tā sāk jaunu darbību un uzņemas pienākumus, kas agrāk ietilpa valdības funkcijās. Aktīvu pārvedums netiek veikts par tirgus cenu vai arī vispār netiek veikts nekāds maksājums par aktīvu, vai arī pirkumu var finansēt no aizdevuma vai valdības ieguldījuma pašu kapitālā.</w:t>
      </w:r>
    </w:p>
    <w:p w14:paraId="079EF84C"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78A83693"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lastRenderedPageBreak/>
        <w:t>25. Lai ierakstītu valdības pamatlīdzekļu nodošanu esošai publiskai sabiedrībai</w:t>
      </w:r>
      <w:r w:rsidRPr="00B03B51">
        <w:rPr>
          <w:rStyle w:val="FootnoteReference"/>
          <w:rFonts w:ascii="Times New Roman" w:hAnsi="Times New Roman" w:cs="Times New Roman"/>
          <w:noProof/>
          <w:sz w:val="24"/>
        </w:rPr>
        <w:footnoteReference w:id="195"/>
      </w:r>
      <w:r w:rsidRPr="00B03B51">
        <w:rPr>
          <w:rFonts w:ascii="Times New Roman" w:hAnsi="Times New Roman" w:cs="Times New Roman"/>
          <w:sz w:val="24"/>
        </w:rPr>
        <w:t xml:space="preserve"> kā aktīvu pārdošanu, ir jābūt izpildītiem šādiem nosacījumiem</w:t>
      </w:r>
      <w:r w:rsidRPr="00B03B51">
        <w:rPr>
          <w:rStyle w:val="FootnoteReference"/>
          <w:rFonts w:ascii="Times New Roman" w:hAnsi="Times New Roman" w:cs="Times New Roman"/>
          <w:noProof/>
          <w:sz w:val="24"/>
        </w:rPr>
        <w:footnoteReference w:id="196"/>
      </w:r>
      <w:r w:rsidRPr="00B03B51">
        <w:rPr>
          <w:rFonts w:ascii="Times New Roman" w:hAnsi="Times New Roman" w:cs="Times New Roman"/>
          <w:sz w:val="24"/>
        </w:rPr>
        <w:t>:</w:t>
      </w:r>
    </w:p>
    <w:p w14:paraId="6842A3BB"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5F90205D" w14:textId="77777777" w:rsidR="00443399" w:rsidRPr="00B03B51" w:rsidRDefault="00443399" w:rsidP="00443399">
      <w:pPr>
        <w:pStyle w:val="BodyText"/>
        <w:tabs>
          <w:tab w:val="left" w:pos="1126"/>
        </w:tabs>
        <w:spacing w:before="0"/>
        <w:ind w:left="284" w:firstLine="0"/>
        <w:jc w:val="both"/>
        <w:rPr>
          <w:rFonts w:ascii="Times New Roman" w:hAnsi="Times New Roman" w:cs="Times New Roman"/>
          <w:noProof/>
          <w:sz w:val="24"/>
        </w:rPr>
      </w:pPr>
      <w:r w:rsidRPr="00B03B51">
        <w:rPr>
          <w:rFonts w:ascii="Times New Roman" w:hAnsi="Times New Roman" w:cs="Times New Roman"/>
          <w:sz w:val="24"/>
        </w:rPr>
        <w:t>a) sabiedrībai jābūt tādai, kas ir jau iepriekš pastāvējusi, nevis izveidota konkrēti šim darījumam; parasti tai jābūt iesaistītai šāda veida darbībā (noma), apliecinot kompetenci šādu aktīvu pārvaldībā; tās lielumam jābūt samērīgam ar attiecīgo darījumu tādā ziņā, ka nodoto aktīvu vērtība nedrīkst būtiski pārsniegt esošo aktīvu pašreizējo vērtību, kuri jau pieder sabiedrībai;</w:t>
      </w:r>
    </w:p>
    <w:p w14:paraId="37366B0C" w14:textId="77777777" w:rsidR="00443399" w:rsidRPr="00B03B51" w:rsidRDefault="00443399" w:rsidP="00443399">
      <w:pPr>
        <w:pStyle w:val="BodyText"/>
        <w:tabs>
          <w:tab w:val="left" w:pos="1126"/>
        </w:tabs>
        <w:spacing w:before="0"/>
        <w:ind w:left="284" w:firstLine="0"/>
        <w:jc w:val="both"/>
        <w:rPr>
          <w:rFonts w:ascii="Times New Roman" w:hAnsi="Times New Roman" w:cs="Times New Roman"/>
          <w:noProof/>
          <w:sz w:val="24"/>
        </w:rPr>
      </w:pPr>
    </w:p>
    <w:p w14:paraId="3DB58E57" w14:textId="77777777" w:rsidR="00443399" w:rsidRPr="00B03B51" w:rsidRDefault="00443399" w:rsidP="00443399">
      <w:pPr>
        <w:pStyle w:val="BodyText"/>
        <w:tabs>
          <w:tab w:val="left" w:pos="1126"/>
        </w:tabs>
        <w:spacing w:before="0"/>
        <w:ind w:left="284" w:firstLine="0"/>
        <w:jc w:val="both"/>
        <w:rPr>
          <w:rFonts w:ascii="Times New Roman" w:hAnsi="Times New Roman" w:cs="Times New Roman"/>
          <w:noProof/>
          <w:sz w:val="24"/>
        </w:rPr>
      </w:pPr>
      <w:r w:rsidRPr="00B03B51">
        <w:rPr>
          <w:rFonts w:ascii="Times New Roman" w:hAnsi="Times New Roman" w:cs="Times New Roman"/>
          <w:sz w:val="24"/>
        </w:rPr>
        <w:t>b) sabiedrība aktīvu iegādi finansē pati no saviem līdzekļiem (piemēram, aizņemoties tirgū), nevis no valdības.</w:t>
      </w:r>
    </w:p>
    <w:p w14:paraId="7922776B" w14:textId="77777777" w:rsidR="00443399" w:rsidRPr="00B03B51" w:rsidRDefault="00443399" w:rsidP="00443399">
      <w:pPr>
        <w:pStyle w:val="BodyText"/>
        <w:tabs>
          <w:tab w:val="left" w:pos="1126"/>
        </w:tabs>
        <w:spacing w:before="0"/>
        <w:ind w:left="0" w:firstLine="0"/>
        <w:jc w:val="both"/>
        <w:rPr>
          <w:rFonts w:ascii="Times New Roman" w:hAnsi="Times New Roman" w:cs="Times New Roman"/>
          <w:noProof/>
          <w:sz w:val="24"/>
        </w:rPr>
      </w:pPr>
    </w:p>
    <w:p w14:paraId="3A4C3F94"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26. Ja viens no šiem nosacījumiem netiek izpildīts, viss process ir uzskatāms par aktīvu pārstrukturēšanu publiskajā sektorā, kā rezultātā tiek panākta efektīvāka šo aktīvu pārvaldība (neietekmējot B.9). Aktīvu nodošanu līdzīgi kā saistībā ar sabiedrības pārstrukturēšanu ieraksta kā citas plūsmas kontā “Citas aktīvu apjoma pārmaiņas” (skat. 3.4. nodaļu “Kapitāla iepludināšana natūrā” un 3.4.2. iedaļu “Traktējums nacionālajos kontos”).</w:t>
      </w:r>
    </w:p>
    <w:p w14:paraId="1A2FE669"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3AA71539"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27. Ja valdībai tiek veikts faktisks maksājums (par aktīvu “pārdošanu”), kas ar valdības aizdevumu tika finansēts publiskai sabiedrībai, visa darbība ir jāsadala divās daļās:</w:t>
      </w:r>
    </w:p>
    <w:p w14:paraId="36E605B2"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31755D46" w14:textId="77777777" w:rsidR="00443399" w:rsidRPr="00B03B51" w:rsidRDefault="00443399" w:rsidP="00443399">
      <w:pPr>
        <w:pStyle w:val="BodyText"/>
        <w:tabs>
          <w:tab w:val="left" w:pos="1126"/>
        </w:tabs>
        <w:spacing w:before="0"/>
        <w:ind w:left="284" w:firstLine="0"/>
        <w:jc w:val="both"/>
        <w:rPr>
          <w:rFonts w:ascii="Times New Roman" w:hAnsi="Times New Roman" w:cs="Times New Roman"/>
          <w:noProof/>
          <w:sz w:val="24"/>
        </w:rPr>
      </w:pPr>
      <w:r w:rsidRPr="00B03B51">
        <w:rPr>
          <w:rFonts w:ascii="Times New Roman" w:hAnsi="Times New Roman" w:cs="Times New Roman"/>
          <w:sz w:val="24"/>
        </w:rPr>
        <w:t>a) aktīvu (piemēram, ēku) pārvedums – tas palielina vienības pašu kapitālu, ko ieraksta kontā “Citas aktīvu apjoma pārmaiņas”;</w:t>
      </w:r>
    </w:p>
    <w:p w14:paraId="7E881793" w14:textId="77777777" w:rsidR="00443399" w:rsidRPr="00B03B51" w:rsidRDefault="00443399" w:rsidP="00443399">
      <w:pPr>
        <w:pStyle w:val="BodyText"/>
        <w:tabs>
          <w:tab w:val="left" w:pos="1126"/>
        </w:tabs>
        <w:spacing w:before="0"/>
        <w:ind w:left="284" w:firstLine="0"/>
        <w:jc w:val="both"/>
        <w:rPr>
          <w:rFonts w:ascii="Times New Roman" w:hAnsi="Times New Roman" w:cs="Times New Roman"/>
          <w:noProof/>
          <w:sz w:val="24"/>
        </w:rPr>
      </w:pPr>
    </w:p>
    <w:p w14:paraId="45FD57BD" w14:textId="77777777" w:rsidR="00443399" w:rsidRPr="00B03B51" w:rsidRDefault="00443399" w:rsidP="00443399">
      <w:pPr>
        <w:pStyle w:val="BodyText"/>
        <w:tabs>
          <w:tab w:val="left" w:pos="1126"/>
        </w:tabs>
        <w:spacing w:before="0"/>
        <w:ind w:left="284" w:firstLine="0"/>
        <w:jc w:val="both"/>
        <w:rPr>
          <w:rFonts w:ascii="Times New Roman" w:hAnsi="Times New Roman" w:cs="Times New Roman"/>
          <w:noProof/>
          <w:sz w:val="24"/>
        </w:rPr>
      </w:pPr>
      <w:r w:rsidRPr="00B03B51">
        <w:rPr>
          <w:rFonts w:ascii="Times New Roman" w:hAnsi="Times New Roman" w:cs="Times New Roman"/>
          <w:sz w:val="24"/>
        </w:rPr>
        <w:t>b) finanšu darījumi – vienības no valdības ņemts aizņēmums (F.4) un maksājums valdībai būtu jāieraksta kā pašu kapitāla izņemšana (F.5).</w:t>
      </w:r>
    </w:p>
    <w:p w14:paraId="231BD8E2"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7E5C2D2A"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28. Tā rezultātā šādos alternatīvos gadījumos netiek ietekmēts vispārējās valdības neto aizdevums/aizņēmums (B.9).</w:t>
      </w:r>
    </w:p>
    <w:p w14:paraId="313DA702"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253CD038" w14:textId="77777777" w:rsidR="00443399" w:rsidRPr="00B03B51" w:rsidRDefault="00443399" w:rsidP="00443399">
      <w:pPr>
        <w:pStyle w:val="Heading6"/>
        <w:tabs>
          <w:tab w:val="left" w:pos="1692"/>
        </w:tabs>
        <w:ind w:left="0" w:firstLine="0"/>
        <w:jc w:val="both"/>
        <w:rPr>
          <w:rFonts w:ascii="Times New Roman" w:hAnsi="Times New Roman" w:cs="Times New Roman"/>
          <w:noProof/>
          <w:sz w:val="24"/>
        </w:rPr>
      </w:pPr>
      <w:bookmarkStart w:id="495" w:name="6.2.2.3.3._The_unit_is_a_private_operato"/>
      <w:bookmarkEnd w:id="495"/>
      <w:r w:rsidRPr="00B03B51">
        <w:rPr>
          <w:rFonts w:ascii="Times New Roman" w:hAnsi="Times New Roman" w:cs="Times New Roman"/>
          <w:sz w:val="24"/>
        </w:rPr>
        <w:t>6.2.2.3.3. Vienība ir privāts operators</w:t>
      </w:r>
    </w:p>
    <w:p w14:paraId="290CBBAD"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6888B2B0"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29. Valdība ar privātu sabiedrību var veikt pārdošanas darījumu ar saņemšanu atpakaļ nomā vairāku iemeslu dēļ, tostarp:</w:t>
      </w:r>
    </w:p>
    <w:p w14:paraId="5F3BF7C8"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1A9D9870" w14:textId="77777777" w:rsidR="00443399" w:rsidRPr="00B03B51" w:rsidRDefault="00443399" w:rsidP="00443399">
      <w:pPr>
        <w:pStyle w:val="BodyText"/>
        <w:tabs>
          <w:tab w:val="left" w:pos="1126"/>
        </w:tabs>
        <w:spacing w:before="0"/>
        <w:ind w:left="284" w:firstLine="0"/>
        <w:jc w:val="both"/>
        <w:rPr>
          <w:rFonts w:ascii="Times New Roman" w:hAnsi="Times New Roman" w:cs="Times New Roman"/>
          <w:noProof/>
          <w:sz w:val="24"/>
        </w:rPr>
      </w:pPr>
      <w:r w:rsidRPr="00B03B51">
        <w:rPr>
          <w:rFonts w:ascii="Times New Roman" w:hAnsi="Times New Roman" w:cs="Times New Roman"/>
          <w:sz w:val="24"/>
        </w:rPr>
        <w:t>a) lai samazinātu riskus, kas saistīti ar aktīva īpašumtiesībām;</w:t>
      </w:r>
    </w:p>
    <w:p w14:paraId="2AEDBFEE" w14:textId="77777777" w:rsidR="00443399" w:rsidRPr="00B03B51" w:rsidRDefault="00443399" w:rsidP="00443399">
      <w:pPr>
        <w:pStyle w:val="BodyText"/>
        <w:tabs>
          <w:tab w:val="left" w:pos="1126"/>
        </w:tabs>
        <w:spacing w:before="0"/>
        <w:ind w:left="284" w:firstLine="0"/>
        <w:jc w:val="both"/>
        <w:rPr>
          <w:rFonts w:ascii="Times New Roman" w:hAnsi="Times New Roman" w:cs="Times New Roman"/>
          <w:noProof/>
          <w:sz w:val="24"/>
        </w:rPr>
      </w:pPr>
    </w:p>
    <w:p w14:paraId="7DE8CC9F" w14:textId="77777777" w:rsidR="00443399" w:rsidRPr="00B03B51" w:rsidRDefault="00443399" w:rsidP="00443399">
      <w:pPr>
        <w:pStyle w:val="BodyText"/>
        <w:tabs>
          <w:tab w:val="left" w:pos="1126"/>
        </w:tabs>
        <w:spacing w:before="0"/>
        <w:ind w:left="284" w:firstLine="0"/>
        <w:jc w:val="both"/>
        <w:rPr>
          <w:rFonts w:ascii="Times New Roman" w:hAnsi="Times New Roman" w:cs="Times New Roman"/>
          <w:noProof/>
          <w:sz w:val="24"/>
        </w:rPr>
      </w:pPr>
      <w:r w:rsidRPr="00B03B51">
        <w:rPr>
          <w:rFonts w:ascii="Times New Roman" w:hAnsi="Times New Roman" w:cs="Times New Roman"/>
          <w:sz w:val="24"/>
        </w:rPr>
        <w:t>b) lai gūtu labumu no privātā sektora pārvaldības;</w:t>
      </w:r>
    </w:p>
    <w:p w14:paraId="66FEF4AF" w14:textId="77777777" w:rsidR="00443399" w:rsidRPr="00B03B51" w:rsidRDefault="00443399" w:rsidP="00443399">
      <w:pPr>
        <w:pStyle w:val="BodyText"/>
        <w:tabs>
          <w:tab w:val="left" w:pos="1126"/>
        </w:tabs>
        <w:spacing w:before="0"/>
        <w:ind w:left="284" w:firstLine="0"/>
        <w:jc w:val="both"/>
        <w:rPr>
          <w:rFonts w:ascii="Times New Roman" w:hAnsi="Times New Roman" w:cs="Times New Roman"/>
          <w:noProof/>
          <w:sz w:val="24"/>
        </w:rPr>
      </w:pPr>
    </w:p>
    <w:p w14:paraId="5DFDC067" w14:textId="77777777" w:rsidR="00443399" w:rsidRPr="00B03B51" w:rsidRDefault="00443399" w:rsidP="00443399">
      <w:pPr>
        <w:pStyle w:val="BodyText"/>
        <w:tabs>
          <w:tab w:val="left" w:pos="1126"/>
        </w:tabs>
        <w:spacing w:before="0"/>
        <w:ind w:left="284" w:firstLine="0"/>
        <w:jc w:val="both"/>
        <w:rPr>
          <w:rFonts w:ascii="Times New Roman" w:hAnsi="Times New Roman" w:cs="Times New Roman"/>
          <w:noProof/>
          <w:sz w:val="24"/>
        </w:rPr>
      </w:pPr>
      <w:r w:rsidRPr="00B03B51">
        <w:rPr>
          <w:rFonts w:ascii="Times New Roman" w:hAnsi="Times New Roman" w:cs="Times New Roman"/>
          <w:sz w:val="24"/>
        </w:rPr>
        <w:t>c) naudas vienreizēja iepludināšana sava parāda samazināšanai.</w:t>
      </w:r>
    </w:p>
    <w:p w14:paraId="6ACB1FA9" w14:textId="77777777" w:rsidR="00443399" w:rsidRPr="00B03B51" w:rsidRDefault="00443399" w:rsidP="00443399">
      <w:pPr>
        <w:pStyle w:val="BodyText"/>
        <w:tabs>
          <w:tab w:val="left" w:pos="1126"/>
        </w:tabs>
        <w:spacing w:before="0"/>
        <w:ind w:left="0" w:firstLine="0"/>
        <w:jc w:val="both"/>
        <w:rPr>
          <w:rFonts w:ascii="Times New Roman" w:hAnsi="Times New Roman" w:cs="Times New Roman"/>
          <w:noProof/>
          <w:sz w:val="24"/>
        </w:rPr>
      </w:pPr>
    </w:p>
    <w:p w14:paraId="0D8A73FC"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30. Vienība paliktu klasificēta kā privāta sabiedrība, ja darbības rezultātā nemainās tas, kā tā tiek kontrolēta.</w:t>
      </w:r>
    </w:p>
    <w:p w14:paraId="13903915"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1EEA8664"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31. Ja tā ir jauna vienība, to varētu klasificēt privātajā sektorā, ja to ir izveidojušas un kontrolē citas privātas vienības, kas tajā ieguldījušas pašu kapitālu. Ir jāšaubās, vai to var klasificēt kā privātu sabiedrību, piemēram, šādos gadījumos:</w:t>
      </w:r>
    </w:p>
    <w:p w14:paraId="263260CE"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75B87455" w14:textId="77777777" w:rsidR="00443399" w:rsidRPr="00B03B51" w:rsidRDefault="00443399" w:rsidP="00443399">
      <w:pPr>
        <w:pStyle w:val="BodyText"/>
        <w:tabs>
          <w:tab w:val="left" w:pos="1126"/>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lastRenderedPageBreak/>
        <w:t>a) valdībai ir tiesības iecelt, atcelt, apstiprināt galveno personālu vai izmantot veto tiesības attiecībā uz to;</w:t>
      </w:r>
    </w:p>
    <w:p w14:paraId="4053D53E" w14:textId="77777777" w:rsidR="00443399" w:rsidRPr="00B03B51" w:rsidRDefault="00443399" w:rsidP="00443399">
      <w:pPr>
        <w:pStyle w:val="BodyText"/>
        <w:tabs>
          <w:tab w:val="left" w:pos="1126"/>
        </w:tabs>
        <w:spacing w:before="0"/>
        <w:ind w:left="0" w:firstLine="0"/>
        <w:jc w:val="both"/>
        <w:rPr>
          <w:rFonts w:ascii="Times New Roman" w:hAnsi="Times New Roman" w:cs="Times New Roman"/>
          <w:noProof/>
          <w:sz w:val="24"/>
        </w:rPr>
      </w:pPr>
    </w:p>
    <w:p w14:paraId="6B2888CF" w14:textId="77777777" w:rsidR="00443399" w:rsidRPr="00B03B51" w:rsidRDefault="00443399" w:rsidP="00443399">
      <w:pPr>
        <w:pStyle w:val="BodyText"/>
        <w:tabs>
          <w:tab w:val="left" w:pos="1126"/>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b) privātais pašu kapitāls nav pakļauts riskam;</w:t>
      </w:r>
    </w:p>
    <w:p w14:paraId="0D154C83" w14:textId="77777777" w:rsidR="00443399" w:rsidRPr="00B03B51" w:rsidRDefault="00443399" w:rsidP="00443399">
      <w:pPr>
        <w:pStyle w:val="BodyText"/>
        <w:tabs>
          <w:tab w:val="left" w:pos="1126"/>
        </w:tabs>
        <w:spacing w:before="0"/>
        <w:ind w:left="0" w:firstLine="0"/>
        <w:jc w:val="both"/>
        <w:rPr>
          <w:rFonts w:ascii="Times New Roman" w:hAnsi="Times New Roman" w:cs="Times New Roman"/>
          <w:noProof/>
          <w:sz w:val="24"/>
        </w:rPr>
      </w:pPr>
    </w:p>
    <w:p w14:paraId="0524F2DE" w14:textId="77777777" w:rsidR="00443399" w:rsidRPr="00B03B51" w:rsidRDefault="00443399" w:rsidP="00443399">
      <w:pPr>
        <w:pStyle w:val="BodyText"/>
        <w:tabs>
          <w:tab w:val="left" w:pos="1126"/>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c) valdība izsniedz garantijas attiecībā uz vienības parādiem;</w:t>
      </w:r>
    </w:p>
    <w:p w14:paraId="7585E7BE" w14:textId="77777777" w:rsidR="00443399" w:rsidRPr="00B03B51" w:rsidRDefault="00443399" w:rsidP="00443399">
      <w:pPr>
        <w:pStyle w:val="BodyText"/>
        <w:tabs>
          <w:tab w:val="left" w:pos="1126"/>
        </w:tabs>
        <w:spacing w:before="0"/>
        <w:ind w:left="0" w:firstLine="0"/>
        <w:jc w:val="both"/>
        <w:rPr>
          <w:rFonts w:ascii="Times New Roman" w:hAnsi="Times New Roman" w:cs="Times New Roman"/>
          <w:noProof/>
          <w:sz w:val="24"/>
        </w:rPr>
      </w:pPr>
    </w:p>
    <w:p w14:paraId="2D184D99" w14:textId="77777777" w:rsidR="00443399" w:rsidRPr="00B03B51" w:rsidRDefault="00443399" w:rsidP="00443399">
      <w:pPr>
        <w:pStyle w:val="BodyText"/>
        <w:tabs>
          <w:tab w:val="left" w:pos="1126"/>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d) valdība īsteno kontroli ar citiem līdzekļiem, piemēram, izmantojot pārdošanas ar saņemšanu atpakaļ nomā līgumu.</w:t>
      </w:r>
    </w:p>
    <w:p w14:paraId="1865BDE0" w14:textId="77777777" w:rsidR="00443399" w:rsidRPr="00B03B51" w:rsidRDefault="00443399" w:rsidP="00443399">
      <w:pPr>
        <w:pStyle w:val="BodyText"/>
        <w:tabs>
          <w:tab w:val="left" w:pos="1126"/>
        </w:tabs>
        <w:spacing w:before="0"/>
        <w:ind w:left="0" w:firstLine="0"/>
        <w:jc w:val="both"/>
        <w:rPr>
          <w:rFonts w:ascii="Times New Roman" w:hAnsi="Times New Roman" w:cs="Times New Roman"/>
          <w:noProof/>
          <w:sz w:val="24"/>
        </w:rPr>
      </w:pPr>
    </w:p>
    <w:p w14:paraId="1232054E"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32. Šeit nav iespējams sniegt īpašus noteikumus, kas aptvertu visas iespējas. Lai noteiktu, kura klasifikācija – “publiska sabiedrība” vai “privāta sabiedrība” – ir atbilstoša, vienības struktūra un tās darbība ir jāizvērtē kopumā. Šie jautājumi ir plaši aplūkoti 1.2. nodaļā.</w:t>
      </w:r>
    </w:p>
    <w:p w14:paraId="24024D64"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075FB6D2"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33. Pārdošanas ar saņemšanu atpakaļ nomā darījums ar privātu vienību tiek ierakstīts kā darījums, nevis kā aktīvu pārstrukturēšana citās plūsmās. Parasti tiks ierakstīts pamatlīdzekļu pārdošanas darījums (P.51g), tādējādi uzlabojot vispārējās valdības neto aizdevumu/aizņēmumu (B.9), ar nosacījumu, ka saņemšana atpakaļ nomā ir operatīvā noma. Pretējā gadījumā ir jāieraksta valdības aizņēmums.</w:t>
      </w:r>
    </w:p>
    <w:p w14:paraId="7DF54052"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44B1862C" w14:textId="77777777" w:rsidR="00443399" w:rsidRPr="00B03B51" w:rsidRDefault="00443399" w:rsidP="00443399">
      <w:pPr>
        <w:pStyle w:val="Heading6"/>
        <w:tabs>
          <w:tab w:val="left" w:pos="1692"/>
        </w:tabs>
        <w:ind w:left="0" w:firstLine="0"/>
        <w:jc w:val="both"/>
        <w:rPr>
          <w:rFonts w:ascii="Times New Roman" w:hAnsi="Times New Roman" w:cs="Times New Roman"/>
          <w:noProof/>
          <w:sz w:val="24"/>
        </w:rPr>
      </w:pPr>
      <w:bookmarkStart w:id="496" w:name="6.2.2.3.4._Sale_and_leaseback_transactio"/>
      <w:bookmarkEnd w:id="496"/>
      <w:r w:rsidRPr="00B03B51">
        <w:rPr>
          <w:rFonts w:ascii="Times New Roman" w:hAnsi="Times New Roman" w:cs="Times New Roman"/>
          <w:sz w:val="24"/>
        </w:rPr>
        <w:t>6.2.2.3.4. Pārdošanas ar saņemšanu atpakaļ nomā darījums, kurā ietverti atpakaļpirkuma komponenti</w:t>
      </w:r>
    </w:p>
    <w:p w14:paraId="69750D8A"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4A9552E1"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34. Pārdošanas ar atpirkšanu līgumi ir līgumi, kuros subjekts pārdod aktīvu pircējam, bet apsola atpirkt šo aktīvu vai arī tam ir iespēja to izdarīt. Atpirktajam aktīvam nav obligāti jābūt sākotnēji pircējam pārdotajam aktīvam; tas var būt būtībā tāds pats aktīvs vai pat tikai sākotnējā aktīva sastāvdaļa. Pārdošanas ar atpirkšanu līgumi parasti ir triju veidu atvasinātie finanšu instrumenti – ārpusbiržas nākotnes līgums (pārdevējam ir pienākums atpirkt), pirkšanas iespēju līgums (pārdevējam ir tiesības atpirkt) vai pārdošanas iespēju līgums (pārdevējam ir pienākums atpirkt pēc pircēja pieprasījuma).</w:t>
      </w:r>
    </w:p>
    <w:p w14:paraId="5D996338"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6080413F"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35. Pārdošanas ar saņemšanu atpakaļ nomā darījumi var ietvert atpakaļpirkuma komponentus, tādējādi ietekmējot nomāto aktīvu. Šādos gadījumos uzskaites traktējums ir atkarīgs no atpakaļpirkšanas komponenta veida, proti:</w:t>
      </w:r>
    </w:p>
    <w:p w14:paraId="3353E8ED"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351B9A2D" w14:textId="77777777" w:rsidR="00443399" w:rsidRPr="00B03B51" w:rsidRDefault="00443399" w:rsidP="00443399">
      <w:pPr>
        <w:pStyle w:val="BodyText"/>
        <w:tabs>
          <w:tab w:val="left" w:pos="1126"/>
        </w:tabs>
        <w:spacing w:before="0"/>
        <w:ind w:left="284" w:firstLine="0"/>
        <w:jc w:val="both"/>
        <w:rPr>
          <w:rFonts w:ascii="Times New Roman" w:hAnsi="Times New Roman" w:cs="Times New Roman"/>
          <w:noProof/>
          <w:sz w:val="24"/>
        </w:rPr>
      </w:pPr>
      <w:r w:rsidRPr="00B03B51">
        <w:rPr>
          <w:rFonts w:ascii="Times New Roman" w:hAnsi="Times New Roman" w:cs="Times New Roman"/>
          <w:sz w:val="24"/>
        </w:rPr>
        <w:t>a) ja pārdevējs–nomnieks ir piekritis nestandartizētam nākotnes darījumam, lai atpirktu aktīvu, vai tam ir pirkšanas iespēju līgums (ar fiksētu iespējas izmantošanas cenu vai kas apmierina iepriekš 8. punkta b) apakšpunktā paredzētos nosacījumus), vai</w:t>
      </w:r>
    </w:p>
    <w:p w14:paraId="7EF66E29" w14:textId="77777777" w:rsidR="00443399" w:rsidRPr="00B03B51" w:rsidRDefault="00443399" w:rsidP="00443399">
      <w:pPr>
        <w:pStyle w:val="BodyText"/>
        <w:tabs>
          <w:tab w:val="left" w:pos="1126"/>
        </w:tabs>
        <w:spacing w:before="0"/>
        <w:ind w:left="284" w:firstLine="0"/>
        <w:jc w:val="both"/>
        <w:rPr>
          <w:rFonts w:ascii="Times New Roman" w:hAnsi="Times New Roman" w:cs="Times New Roman"/>
          <w:noProof/>
          <w:sz w:val="24"/>
        </w:rPr>
      </w:pPr>
    </w:p>
    <w:p w14:paraId="4EED157A" w14:textId="77777777" w:rsidR="00443399" w:rsidRPr="00B03B51" w:rsidRDefault="00443399" w:rsidP="00443399">
      <w:pPr>
        <w:pStyle w:val="BodyText"/>
        <w:tabs>
          <w:tab w:val="left" w:pos="1126"/>
        </w:tabs>
        <w:spacing w:before="0"/>
        <w:ind w:left="284" w:firstLine="0"/>
        <w:jc w:val="both"/>
        <w:rPr>
          <w:rFonts w:ascii="Times New Roman" w:hAnsi="Times New Roman" w:cs="Times New Roman"/>
          <w:noProof/>
          <w:sz w:val="24"/>
        </w:rPr>
      </w:pPr>
      <w:r w:rsidRPr="00B03B51">
        <w:rPr>
          <w:rFonts w:ascii="Times New Roman" w:hAnsi="Times New Roman" w:cs="Times New Roman"/>
          <w:sz w:val="24"/>
        </w:rPr>
        <w:t>b) ja pircējam–aizdevējam ir pārdošanas iespēju līgums un būtisks ekonomisks stimuls</w:t>
      </w:r>
      <w:r w:rsidRPr="00B03B51">
        <w:rPr>
          <w:rStyle w:val="FootnoteReference"/>
          <w:rFonts w:ascii="Times New Roman" w:hAnsi="Times New Roman" w:cs="Times New Roman"/>
          <w:noProof/>
          <w:sz w:val="24"/>
        </w:rPr>
        <w:footnoteReference w:id="197"/>
      </w:r>
      <w:r w:rsidRPr="00B03B51">
        <w:rPr>
          <w:rFonts w:ascii="Times New Roman" w:hAnsi="Times New Roman" w:cs="Times New Roman"/>
          <w:sz w:val="24"/>
        </w:rPr>
        <w:t xml:space="preserve"> īstenot savas tiesības (pārdošanas iespēju līgums),</w:t>
      </w:r>
    </w:p>
    <w:p w14:paraId="785DC973" w14:textId="77777777" w:rsidR="00443399" w:rsidRPr="00B03B51" w:rsidRDefault="00443399" w:rsidP="00443399">
      <w:pPr>
        <w:pStyle w:val="BodyText"/>
        <w:spacing w:before="0"/>
        <w:ind w:left="284" w:firstLine="0"/>
        <w:jc w:val="both"/>
        <w:rPr>
          <w:rFonts w:ascii="Times New Roman" w:hAnsi="Times New Roman" w:cs="Times New Roman"/>
          <w:noProof/>
          <w:sz w:val="24"/>
        </w:rPr>
      </w:pPr>
    </w:p>
    <w:p w14:paraId="410642B4" w14:textId="77777777" w:rsidR="00443399" w:rsidRPr="00B03B51" w:rsidRDefault="00443399" w:rsidP="00443399">
      <w:pPr>
        <w:pStyle w:val="BodyText"/>
        <w:spacing w:before="0"/>
        <w:ind w:left="284" w:firstLine="0"/>
        <w:jc w:val="both"/>
        <w:rPr>
          <w:rFonts w:ascii="Times New Roman" w:hAnsi="Times New Roman" w:cs="Times New Roman"/>
          <w:noProof/>
          <w:sz w:val="24"/>
        </w:rPr>
      </w:pPr>
      <w:r w:rsidRPr="00B03B51">
        <w:rPr>
          <w:rFonts w:ascii="Times New Roman" w:hAnsi="Times New Roman" w:cs="Times New Roman"/>
          <w:sz w:val="24"/>
        </w:rPr>
        <w:t>uzskatāms, ka viss pārdošanas ar saņemšanu atpakaļ nomā darījums ir aizņēmums un to uzskaita kā aizdevumu saskaņā ar EKS 2010 5.134.–5.135. punktu.</w:t>
      </w:r>
    </w:p>
    <w:p w14:paraId="2839CC08"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4C55242D"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lastRenderedPageBreak/>
        <w:t>36. Pretējā gadījumā viss pārdošanas ar saņemšanu atpakaļ nomā darījums ir kvalificējams kā pārdošana un operatīvā noma (ar nosacījumu, ka risku un priekšrocību analīzes aspekti neliek secināt, ka noma ir finanšu noma). Šādā gadījumā saņemšana atpakaļ nomā ir jāieraksta kā rente vai nomas maksa saskaņā ar EKS 2010 15.10.–15.12. punktu un 15.2. tabulu un aktīva pārdošana ir jāieraksta kā atsevišķs darījums.</w:t>
      </w:r>
    </w:p>
    <w:p w14:paraId="7959A0F2" w14:textId="77777777" w:rsidR="00443399" w:rsidRPr="00B03B51" w:rsidRDefault="00443399" w:rsidP="00443399">
      <w:pPr>
        <w:jc w:val="both"/>
        <w:rPr>
          <w:rFonts w:ascii="Times New Roman" w:eastAsia="Arial" w:hAnsi="Times New Roman" w:cs="Times New Roman"/>
          <w:noProof/>
          <w:sz w:val="24"/>
          <w:szCs w:val="19"/>
        </w:rPr>
      </w:pPr>
    </w:p>
    <w:p w14:paraId="7E805281" w14:textId="77777777" w:rsidR="00443399" w:rsidRPr="00B03B51" w:rsidRDefault="00443399" w:rsidP="003E2678">
      <w:pPr>
        <w:pStyle w:val="Heading3"/>
        <w:tabs>
          <w:tab w:val="left" w:pos="1267"/>
        </w:tabs>
        <w:ind w:left="0" w:firstLine="0"/>
        <w:jc w:val="both"/>
        <w:rPr>
          <w:rFonts w:ascii="Times New Roman" w:hAnsi="Times New Roman" w:cs="Times New Roman"/>
          <w:noProof/>
          <w:sz w:val="24"/>
        </w:rPr>
      </w:pPr>
      <w:bookmarkStart w:id="497" w:name="6.2.3_Rationale_of_the_treatment"/>
      <w:bookmarkStart w:id="498" w:name="_Toc67565180"/>
      <w:bookmarkEnd w:id="497"/>
      <w:r w:rsidRPr="00B03B51">
        <w:rPr>
          <w:rFonts w:ascii="Times New Roman" w:hAnsi="Times New Roman" w:cs="Times New Roman"/>
          <w:sz w:val="24"/>
        </w:rPr>
        <w:t>6.2.3. Traktējuma pamatojums</w:t>
      </w:r>
      <w:bookmarkEnd w:id="498"/>
    </w:p>
    <w:p w14:paraId="1BEA22F7" w14:textId="77777777" w:rsidR="00443399" w:rsidRPr="005B72E7" w:rsidRDefault="00443399" w:rsidP="005B72E7">
      <w:pPr>
        <w:rPr>
          <w:rFonts w:ascii="Times New Roman" w:hAnsi="Times New Roman" w:cs="Times New Roman"/>
          <w:noProof/>
          <w:sz w:val="24"/>
          <w:szCs w:val="24"/>
        </w:rPr>
      </w:pPr>
      <w:bookmarkStart w:id="499" w:name="6.2.3.1_The_unit_is_created_on_purpose"/>
      <w:bookmarkEnd w:id="499"/>
    </w:p>
    <w:p w14:paraId="004C1A34" w14:textId="77777777" w:rsidR="00443399" w:rsidRPr="00B03B51" w:rsidRDefault="00443399" w:rsidP="003E2678">
      <w:pPr>
        <w:pStyle w:val="Heading6"/>
        <w:tabs>
          <w:tab w:val="left" w:pos="1267"/>
        </w:tabs>
        <w:ind w:left="0" w:firstLine="0"/>
        <w:jc w:val="both"/>
        <w:rPr>
          <w:rFonts w:ascii="Times New Roman" w:hAnsi="Times New Roman" w:cs="Times New Roman"/>
          <w:noProof/>
          <w:sz w:val="24"/>
        </w:rPr>
      </w:pPr>
      <w:r w:rsidRPr="00B03B51">
        <w:rPr>
          <w:rFonts w:ascii="Times New Roman" w:hAnsi="Times New Roman" w:cs="Times New Roman"/>
          <w:sz w:val="24"/>
        </w:rPr>
        <w:t>6.2.3.1. VIENĪBU RADA AR MĒRĶI</w:t>
      </w:r>
    </w:p>
    <w:p w14:paraId="0295E069" w14:textId="77777777" w:rsidR="00443399" w:rsidRPr="00B03B51" w:rsidRDefault="00443399" w:rsidP="003E2678">
      <w:pPr>
        <w:pStyle w:val="BodyText"/>
        <w:tabs>
          <w:tab w:val="left" w:pos="843"/>
        </w:tabs>
        <w:spacing w:before="0"/>
        <w:ind w:left="0" w:firstLine="0"/>
        <w:jc w:val="both"/>
        <w:rPr>
          <w:rFonts w:ascii="Times New Roman" w:hAnsi="Times New Roman" w:cs="Times New Roman"/>
          <w:noProof/>
          <w:sz w:val="24"/>
        </w:rPr>
      </w:pPr>
    </w:p>
    <w:p w14:paraId="4ACED35E"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37. Tāds pats pamatojums jāpiemēro attiecībā uz palīgpakalpojumu sniedzējiem, ko valdība izveidojusi identisku mērķu īstenošanai (proti, vienīgi tam, lai tās sniegtu pakalpojumus valdībai). Tad nacionālo kontu apkopošanas laikā visus darījumus starp valdību un šādām vienībām konsolidē.</w:t>
      </w:r>
    </w:p>
    <w:p w14:paraId="7B8FA057"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50071667"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38. Tomēr, ja uzskata, ka šāda vienība ir pilnīgi institucionāla vienība, maksājumus, ko valdība veic par minētās vienības sniegtajiem nomas pakalpojumiem, nevar uzskatīt par tirgus produkciju, jo:</w:t>
      </w:r>
    </w:p>
    <w:p w14:paraId="3AF33D5E"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208611B9" w14:textId="77777777" w:rsidR="00443399" w:rsidRPr="00B03B51" w:rsidRDefault="00443399" w:rsidP="007036A4">
      <w:pPr>
        <w:pStyle w:val="BodyText"/>
        <w:numPr>
          <w:ilvl w:val="0"/>
          <w:numId w:val="52"/>
        </w:numPr>
        <w:spacing w:before="0"/>
        <w:ind w:left="426" w:hanging="425"/>
        <w:jc w:val="both"/>
        <w:rPr>
          <w:rFonts w:ascii="Times New Roman" w:hAnsi="Times New Roman" w:cs="Times New Roman"/>
          <w:noProof/>
          <w:sz w:val="24"/>
        </w:rPr>
      </w:pPr>
      <w:r w:rsidRPr="00B03B51">
        <w:rPr>
          <w:rFonts w:ascii="Times New Roman" w:hAnsi="Times New Roman" w:cs="Times New Roman"/>
          <w:sz w:val="24"/>
        </w:rPr>
        <w:t>lai maksājumu uzskatītu par pārdošanu, tam jābūt tādam, kas ievērojami ietekmē piedāvājumu un/vai pieprasījumu;</w:t>
      </w:r>
    </w:p>
    <w:p w14:paraId="5262A020" w14:textId="77777777" w:rsidR="00443399" w:rsidRPr="00B03B51" w:rsidRDefault="00443399" w:rsidP="007036A4">
      <w:pPr>
        <w:pStyle w:val="BodyText"/>
        <w:numPr>
          <w:ilvl w:val="0"/>
          <w:numId w:val="52"/>
        </w:numPr>
        <w:spacing w:before="0"/>
        <w:ind w:left="426" w:hanging="425"/>
        <w:jc w:val="both"/>
        <w:rPr>
          <w:rFonts w:ascii="Times New Roman" w:hAnsi="Times New Roman" w:cs="Times New Roman"/>
          <w:noProof/>
          <w:sz w:val="24"/>
        </w:rPr>
      </w:pPr>
      <w:r w:rsidRPr="00B03B51">
        <w:rPr>
          <w:rFonts w:ascii="Times New Roman" w:hAnsi="Times New Roman" w:cs="Times New Roman"/>
          <w:sz w:val="24"/>
        </w:rPr>
        <w:t>šajā gadījumā, kad valdība izveido vienību, kas apsaimnieko sabiedriskās ēkas un sniedz mājokļu pakalpojumus valdības struktūrvienībām, maksājumus, kurus veic šīs struktūrvienības, kopumā nevar uzskatīt par pārdošanu, jo, visticamāk, tie ievērojami neietekmē pieprasījumu, ko radījuši valdības pakalpojumi, pat ja nomas maksu nosaka saskaņā ar tirgus cenām. Turklāt šādi maksājumi, visticamāk, nozīmē vienīgi ierakstus valsts kases grāmatvedības uzskaites datos bez jebkādas faktiskas līdzekļu plūsmas. Šāda maksājuma finanšu ekvivalents ir diezgan “abstrakts” finanšu darījums.</w:t>
      </w:r>
    </w:p>
    <w:p w14:paraId="2CA5D520"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70EDFCDF"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39. Protams, tas nenozīmē, ka šāds pasākums nav efektīvs sabiedrisko ēku apsaimniekošanai. Tomēr labākajā gadījumā tā rezultātā sabiedriskās ēkas tiks pārdalītas starp valdības struktūrvienībām, un, iespējams, radīsies situācija, kurā valdības struktūrvienības pamet noteiktas sabiedriskās ēkas, kuras tādējādi kļūs pieejamas privātai lietošanai. Šajā pēdējā gadījumā privāto lietotāju veiktie maksājumi, protams, jātraktē kā pārdošana vai noma. Šādu aktīvu pārkārtošana valdības sektorā tomēr neatbilst tirgus darbībai.</w:t>
      </w:r>
    </w:p>
    <w:p w14:paraId="750AE574"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3E118974"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40. Tādējādi šī vienība, kas ir ārpustirgus vienība, jāklasificē vispārējās valdības sektorā vismaz tik ilgi, kamēr maksājumi, ko veic valdības struktūrvienības, veido tās resursu lielāko daļu.</w:t>
      </w:r>
    </w:p>
    <w:p w14:paraId="41D2F9C9" w14:textId="77777777" w:rsidR="00443399" w:rsidRPr="00B03B51" w:rsidRDefault="00443399" w:rsidP="00443399">
      <w:pPr>
        <w:jc w:val="both"/>
        <w:rPr>
          <w:rFonts w:ascii="Times New Roman" w:hAnsi="Times New Roman" w:cs="Times New Roman"/>
          <w:noProof/>
          <w:sz w:val="24"/>
        </w:rPr>
      </w:pPr>
    </w:p>
    <w:p w14:paraId="55C57B45" w14:textId="77777777" w:rsidR="00443399" w:rsidRPr="00B03B51" w:rsidRDefault="00443399" w:rsidP="00443399">
      <w:pPr>
        <w:pStyle w:val="Heading6"/>
        <w:tabs>
          <w:tab w:val="left" w:pos="1267"/>
        </w:tabs>
        <w:ind w:left="0" w:firstLine="0"/>
        <w:jc w:val="both"/>
        <w:rPr>
          <w:rFonts w:ascii="Times New Roman" w:hAnsi="Times New Roman" w:cs="Times New Roman"/>
          <w:noProof/>
          <w:sz w:val="24"/>
        </w:rPr>
      </w:pPr>
      <w:bookmarkStart w:id="500" w:name="6.2.3.2_The_unit_is_an_existing_public_c"/>
      <w:bookmarkEnd w:id="500"/>
      <w:r w:rsidRPr="00B03B51">
        <w:rPr>
          <w:rFonts w:ascii="Times New Roman" w:hAnsi="Times New Roman" w:cs="Times New Roman"/>
          <w:sz w:val="24"/>
        </w:rPr>
        <w:t>6.2.3.2. VIENĪBA IR ESOŠA PUBLISKA SABIEDRĪBA</w:t>
      </w:r>
    </w:p>
    <w:p w14:paraId="1416EB73"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4E534509"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41. Vienkāršākajā gadījumā, kad esoša publiska sabiedrība pērk nefinanšu aktīvus no valdības par tirgus cenu un kad netiek veikti citi saistīti darījumi starp valdību un sabiedrību, kapitāla kontā ir atbilstoši ierakstīt nefinanšu aktīvu pārdošanu kapitāla kontā (P.51g), kas uzlabo valdības neto aizdevumu/aizņēmumu (B.9).</w:t>
      </w:r>
    </w:p>
    <w:p w14:paraId="6B8C5531"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01AD1A5D"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42. Tomēr dažos šāda veida gadījumos tiek veikti arī citi pasākumi. Piemēram, aktīvu pārvedumu var saistīt ar lielām pārmaiņām sabiedrības funkcijās, proti, tā sāk jaunu darbību un uzņemas pienākumus, kas agrāk ietilpa valdības funkcijās. Aktīvu pārvedums netiek veikts par tirgus cenu vai arī vispār netiek veikts nekāds maksājums par aktīvu, vai arī pirkumu var finansēt no aizdevuma vai valdības ieguldījuma pašu kapitālā.</w:t>
      </w:r>
    </w:p>
    <w:p w14:paraId="68D90214"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68319E1F"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43. Šādos gadījumos visu procesu var uzskatīt par aktīvu pārstrukturēšanu publiskajā sektorā, kā rezultātā tiek panākta efektīvāka šo aktīvu pārvaldība. Atšķirībā no vienkārša pārdošanas darījuma tirgū šāds aktīvu pārvedums, līdzīgi kā saistībā ar sabiedrības pārstrukturēšanu, jāieraksta kā citas plūsmas kontā “Citas aktīvu apjoma pārmaiņas” (sīkāku informāciju skatīt 3.4. nodaļā “Kapitāla iepludināšana natūrā” un 3.4.2. iedaļā “Traktējums nacionālajos kontos”).</w:t>
      </w:r>
    </w:p>
    <w:p w14:paraId="528BE879" w14:textId="77777777" w:rsidR="00443399" w:rsidRPr="00B03B51" w:rsidRDefault="00443399" w:rsidP="00443399">
      <w:pPr>
        <w:jc w:val="both"/>
        <w:rPr>
          <w:rFonts w:ascii="Times New Roman" w:eastAsia="Arial" w:hAnsi="Times New Roman" w:cs="Times New Roman"/>
          <w:noProof/>
          <w:sz w:val="24"/>
          <w:szCs w:val="15"/>
        </w:rPr>
      </w:pPr>
    </w:p>
    <w:p w14:paraId="5C62424C" w14:textId="77777777" w:rsidR="00443399" w:rsidRPr="00B03B51" w:rsidRDefault="00443399" w:rsidP="00443399">
      <w:pPr>
        <w:pStyle w:val="Heading6"/>
        <w:tabs>
          <w:tab w:val="left" w:pos="1267"/>
        </w:tabs>
        <w:ind w:left="0" w:firstLine="0"/>
        <w:jc w:val="both"/>
        <w:rPr>
          <w:rFonts w:ascii="Times New Roman" w:hAnsi="Times New Roman" w:cs="Times New Roman"/>
          <w:noProof/>
          <w:sz w:val="24"/>
        </w:rPr>
      </w:pPr>
      <w:bookmarkStart w:id="501" w:name="6.2.3.3_The_unit_is_an_existing_private_"/>
      <w:bookmarkEnd w:id="501"/>
      <w:r w:rsidRPr="00B03B51">
        <w:rPr>
          <w:rFonts w:ascii="Times New Roman" w:hAnsi="Times New Roman" w:cs="Times New Roman"/>
          <w:sz w:val="24"/>
        </w:rPr>
        <w:t>6.2.3.3. VIENĪBA IR ESOŠS PRIVĀTS OPERATORS</w:t>
      </w:r>
    </w:p>
    <w:p w14:paraId="40963D5E"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5EBD1E3B"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44. Vienību klasificē kā privātu sabiedrību (S.11002), ja tā ir esoša privātā sektora vienība (vai tās pamatā ir esošas sabiedrības) un ja nav radušās nekādas pārmaiņas attiecībā uz tās kontroli vai pastāvēšanas mērķi. Ja tā ir jauna vienība, to varētu uzskatīt par privātu vienību tad, ja to izveidotu un kontrolētu citas privātas vienības, kas tajā ieguldījušas pašu kapitālu. Privātas sabiedrības klasifikāciju var apšaubīt šādos gadījumos:</w:t>
      </w:r>
    </w:p>
    <w:p w14:paraId="183DAA88"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10C3E8DE" w14:textId="77777777" w:rsidR="00443399" w:rsidRPr="00B03B51" w:rsidRDefault="00443399" w:rsidP="005364DD">
      <w:pPr>
        <w:pStyle w:val="BodyText"/>
        <w:numPr>
          <w:ilvl w:val="0"/>
          <w:numId w:val="51"/>
        </w:numPr>
        <w:spacing w:before="0"/>
        <w:ind w:left="426" w:hanging="425"/>
        <w:jc w:val="both"/>
        <w:rPr>
          <w:rFonts w:ascii="Times New Roman" w:hAnsi="Times New Roman" w:cs="Times New Roman"/>
          <w:noProof/>
          <w:sz w:val="24"/>
        </w:rPr>
      </w:pPr>
      <w:r w:rsidRPr="00B03B51">
        <w:rPr>
          <w:rFonts w:ascii="Times New Roman" w:hAnsi="Times New Roman" w:cs="Times New Roman"/>
          <w:sz w:val="24"/>
        </w:rPr>
        <w:t>dažus vienības direktorus ieceļ valdība;</w:t>
      </w:r>
    </w:p>
    <w:p w14:paraId="46C94EBC" w14:textId="77777777" w:rsidR="00443399" w:rsidRPr="00B03B51" w:rsidRDefault="00443399" w:rsidP="005364DD">
      <w:pPr>
        <w:pStyle w:val="BodyText"/>
        <w:numPr>
          <w:ilvl w:val="0"/>
          <w:numId w:val="51"/>
        </w:numPr>
        <w:spacing w:before="0"/>
        <w:ind w:left="426" w:hanging="425"/>
        <w:jc w:val="both"/>
        <w:rPr>
          <w:rFonts w:ascii="Times New Roman" w:hAnsi="Times New Roman" w:cs="Times New Roman"/>
          <w:noProof/>
          <w:sz w:val="24"/>
        </w:rPr>
      </w:pPr>
      <w:r w:rsidRPr="00B03B51">
        <w:rPr>
          <w:rFonts w:ascii="Times New Roman" w:hAnsi="Times New Roman" w:cs="Times New Roman"/>
          <w:sz w:val="24"/>
        </w:rPr>
        <w:t>privātais pašu kapitāls nav pakļauts riskam;</w:t>
      </w:r>
    </w:p>
    <w:p w14:paraId="33DE6414" w14:textId="77777777" w:rsidR="00443399" w:rsidRPr="00B03B51" w:rsidRDefault="00443399" w:rsidP="005364DD">
      <w:pPr>
        <w:pStyle w:val="BodyText"/>
        <w:numPr>
          <w:ilvl w:val="0"/>
          <w:numId w:val="51"/>
        </w:numPr>
        <w:spacing w:before="0"/>
        <w:ind w:left="426" w:hanging="425"/>
        <w:jc w:val="both"/>
        <w:rPr>
          <w:rFonts w:ascii="Times New Roman" w:hAnsi="Times New Roman" w:cs="Times New Roman"/>
          <w:noProof/>
          <w:sz w:val="24"/>
        </w:rPr>
      </w:pPr>
      <w:r w:rsidRPr="00B03B51">
        <w:rPr>
          <w:rFonts w:ascii="Times New Roman" w:hAnsi="Times New Roman" w:cs="Times New Roman"/>
          <w:sz w:val="24"/>
        </w:rPr>
        <w:t>valdība izsniedz garantijas attiecībā uz vienības parādiem.</w:t>
      </w:r>
    </w:p>
    <w:p w14:paraId="75B22EAD"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4FB593C4"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45. Nav iespējams sniegt īpašus noteikumus, kas aptvertu visas iespējas, jo šādi gadījumi ir ļoti dažādi. Lai noteiktu, kura klasifikācija – “publiska sabiedrība” vai “privāta sabiedrība” – ir visatbilstošākā, vienības struktūra un darbība ir jāizvērtē kā viens veselums.</w:t>
      </w:r>
    </w:p>
    <w:p w14:paraId="03F295DB"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0C6BA942"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46. Valdība ar privātu vienību var veikt pārdošanas darījumu ar saņemšanu atpakaļ nomā vairāku iemeslu dēļ, tostarp:</w:t>
      </w:r>
    </w:p>
    <w:p w14:paraId="19491362"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2379583E" w14:textId="77777777" w:rsidR="00443399" w:rsidRPr="00B03B51" w:rsidRDefault="00443399" w:rsidP="005364DD">
      <w:pPr>
        <w:pStyle w:val="BodyText"/>
        <w:numPr>
          <w:ilvl w:val="0"/>
          <w:numId w:val="50"/>
        </w:numPr>
        <w:spacing w:before="0"/>
        <w:ind w:left="426" w:hanging="425"/>
        <w:jc w:val="both"/>
        <w:rPr>
          <w:rFonts w:ascii="Times New Roman" w:hAnsi="Times New Roman" w:cs="Times New Roman"/>
          <w:noProof/>
          <w:sz w:val="24"/>
        </w:rPr>
      </w:pPr>
      <w:r w:rsidRPr="00B03B51">
        <w:rPr>
          <w:rFonts w:ascii="Times New Roman" w:hAnsi="Times New Roman" w:cs="Times New Roman"/>
          <w:sz w:val="24"/>
        </w:rPr>
        <w:t>lai samazinātu riskus, kas saistīti ar aktīva īpašumtiesībām;</w:t>
      </w:r>
    </w:p>
    <w:p w14:paraId="013AFA80" w14:textId="77777777" w:rsidR="00443399" w:rsidRPr="00B03B51" w:rsidRDefault="00443399" w:rsidP="005364DD">
      <w:pPr>
        <w:pStyle w:val="BodyText"/>
        <w:numPr>
          <w:ilvl w:val="0"/>
          <w:numId w:val="50"/>
        </w:numPr>
        <w:spacing w:before="0"/>
        <w:ind w:left="426" w:hanging="425"/>
        <w:jc w:val="both"/>
        <w:rPr>
          <w:rFonts w:ascii="Times New Roman" w:hAnsi="Times New Roman" w:cs="Times New Roman"/>
          <w:noProof/>
          <w:sz w:val="24"/>
        </w:rPr>
      </w:pPr>
      <w:r w:rsidRPr="00B03B51">
        <w:rPr>
          <w:rFonts w:ascii="Times New Roman" w:hAnsi="Times New Roman" w:cs="Times New Roman"/>
          <w:sz w:val="24"/>
        </w:rPr>
        <w:t>lai gūtu labumu no privātā sektora pārvaldības;</w:t>
      </w:r>
    </w:p>
    <w:p w14:paraId="4EA8A7E9" w14:textId="77777777" w:rsidR="00443399" w:rsidRPr="00B03B51" w:rsidRDefault="00443399" w:rsidP="005364DD">
      <w:pPr>
        <w:pStyle w:val="BodyText"/>
        <w:numPr>
          <w:ilvl w:val="0"/>
          <w:numId w:val="50"/>
        </w:numPr>
        <w:spacing w:before="0"/>
        <w:ind w:left="426" w:hanging="425"/>
        <w:jc w:val="both"/>
        <w:rPr>
          <w:rFonts w:ascii="Times New Roman" w:hAnsi="Times New Roman" w:cs="Times New Roman"/>
          <w:noProof/>
          <w:sz w:val="24"/>
        </w:rPr>
      </w:pPr>
      <w:r w:rsidRPr="00B03B51">
        <w:rPr>
          <w:rFonts w:ascii="Times New Roman" w:hAnsi="Times New Roman" w:cs="Times New Roman"/>
          <w:sz w:val="24"/>
        </w:rPr>
        <w:t>lai samazinātu savu parādu.</w:t>
      </w:r>
    </w:p>
    <w:p w14:paraId="373E8451"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7466E13A"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47. Operācija ar privātu vienību jāieraksta ar darījumu starpniecību, nevis kā aktīvu pārstrukturēšana citās plūsmās. Galvenais izvērtējamais jautājums attiecas uz to, vai saņemšana atpakaļ nomā ir finanšu noma (šādā gadījumā aktīva pārdošanu neieraksta, jo tas paliek valdības bilancē) vai operatīvā noma atbilstīgi EKS 2010 15. nodaļas noteikumiem.</w:t>
      </w:r>
    </w:p>
    <w:p w14:paraId="29DB6B0D" w14:textId="77777777" w:rsidR="00443399" w:rsidRPr="00B03B51" w:rsidRDefault="00443399" w:rsidP="00443399">
      <w:pPr>
        <w:rPr>
          <w:rFonts w:ascii="Times New Roman" w:hAnsi="Times New Roman" w:cs="Times New Roman"/>
          <w:noProof/>
          <w:sz w:val="24"/>
        </w:rPr>
      </w:pPr>
      <w:r w:rsidRPr="00B03B51">
        <w:rPr>
          <w:rFonts w:ascii="Times New Roman" w:hAnsi="Times New Roman" w:cs="Times New Roman"/>
        </w:rPr>
        <w:br w:type="page"/>
      </w:r>
    </w:p>
    <w:p w14:paraId="61A6AAA9" w14:textId="77777777" w:rsidR="00443399" w:rsidRPr="00B03B51" w:rsidRDefault="00443399" w:rsidP="00443399">
      <w:pPr>
        <w:jc w:val="both"/>
        <w:rPr>
          <w:rFonts w:ascii="Times New Roman" w:eastAsia="Arial" w:hAnsi="Times New Roman" w:cs="Times New Roman"/>
          <w:noProof/>
          <w:sz w:val="24"/>
          <w:szCs w:val="18"/>
        </w:rPr>
      </w:pPr>
    </w:p>
    <w:p w14:paraId="51EE0689" w14:textId="77777777" w:rsidR="00443399" w:rsidRPr="00B03B51" w:rsidRDefault="00443399" w:rsidP="00443399">
      <w:pPr>
        <w:pStyle w:val="Heading2"/>
        <w:spacing w:before="0"/>
        <w:ind w:left="0" w:firstLine="0"/>
        <w:jc w:val="both"/>
        <w:rPr>
          <w:rFonts w:ascii="Times New Roman" w:hAnsi="Times New Roman" w:cs="Times New Roman"/>
          <w:noProof/>
          <w:sz w:val="28"/>
          <w:szCs w:val="44"/>
        </w:rPr>
      </w:pPr>
      <w:bookmarkStart w:id="502" w:name="6.3_Contracts_with_non-government_units_"/>
      <w:bookmarkStart w:id="503" w:name="_bookmark50"/>
      <w:bookmarkStart w:id="504" w:name="_Toc67565181"/>
      <w:bookmarkEnd w:id="502"/>
      <w:bookmarkEnd w:id="503"/>
      <w:r w:rsidRPr="00B03B51">
        <w:rPr>
          <w:rFonts w:ascii="Times New Roman" w:hAnsi="Times New Roman" w:cs="Times New Roman"/>
          <w:sz w:val="28"/>
          <w:szCs w:val="44"/>
        </w:rPr>
        <w:t>6.3. Līgumi ar valdības sektoram nepiederošām vienībām saistībā ar pamatlīdzekļiem</w:t>
      </w:r>
      <w:bookmarkEnd w:id="504"/>
    </w:p>
    <w:p w14:paraId="337D9A40" w14:textId="77777777" w:rsidR="00443399" w:rsidRPr="00100B51" w:rsidRDefault="00443399" w:rsidP="00100B51">
      <w:pPr>
        <w:rPr>
          <w:rFonts w:ascii="Times New Roman" w:hAnsi="Times New Roman" w:cs="Times New Roman"/>
          <w:noProof/>
          <w:sz w:val="24"/>
          <w:szCs w:val="24"/>
        </w:rPr>
      </w:pPr>
      <w:bookmarkStart w:id="505" w:name="6.3.1_Background"/>
      <w:bookmarkEnd w:id="505"/>
    </w:p>
    <w:p w14:paraId="749352FA" w14:textId="77777777" w:rsidR="00443399" w:rsidRPr="00B03B51" w:rsidRDefault="00443399" w:rsidP="00443399">
      <w:pPr>
        <w:pStyle w:val="Heading3"/>
        <w:ind w:left="0" w:firstLine="0"/>
        <w:jc w:val="both"/>
        <w:rPr>
          <w:rFonts w:ascii="Times New Roman" w:hAnsi="Times New Roman" w:cs="Times New Roman"/>
          <w:noProof/>
          <w:sz w:val="24"/>
        </w:rPr>
      </w:pPr>
      <w:bookmarkStart w:id="506" w:name="_Toc67565182"/>
      <w:r w:rsidRPr="00B03B51">
        <w:rPr>
          <w:rFonts w:ascii="Times New Roman" w:hAnsi="Times New Roman" w:cs="Times New Roman"/>
          <w:sz w:val="24"/>
        </w:rPr>
        <w:t>6.3.1. Vispārīga informācija</w:t>
      </w:r>
      <w:bookmarkEnd w:id="506"/>
    </w:p>
    <w:p w14:paraId="52E336D5"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71BB6683"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 Šajā nodaļā ir skatīts jautājums par to, kā valdības kontos ierakstīt līgumus ar valdības sektorā neietilpstošām vienībām, kas attiecas uz pamatlīdzekļiem (izņemot privātā un publiskā sektora partnerību, kas sīkāk skatīta turpmāk 6.4. nodaļā).</w:t>
      </w:r>
    </w:p>
    <w:p w14:paraId="3D58A753"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0D17FF2F"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2. Valdības līgumi ar sabiedrībām par tādu publisku pamatlīdzekļu finansēšanu, izveidi, būvniecību un izmantošanu kā gāzes, ūdens, elektrības un telesakaru tīkli, ceļi, dzelzceļa līnijas, ūdensceļi, lidostas un ēkas (slimnīcas, skolas, cietumi u. c.) var būt sagatavoti dažādās formās. Visbiežāk izmantotie ilgtermiņa līgumu veidi ir raksturoti turpmākajās apakšiedaļās.</w:t>
      </w:r>
    </w:p>
    <w:p w14:paraId="6CA5745B" w14:textId="77777777" w:rsidR="00443399" w:rsidRPr="00B03B51" w:rsidRDefault="00443399" w:rsidP="00443399">
      <w:pPr>
        <w:jc w:val="both"/>
        <w:rPr>
          <w:rFonts w:ascii="Times New Roman" w:eastAsia="Arial" w:hAnsi="Times New Roman" w:cs="Times New Roman"/>
          <w:noProof/>
          <w:sz w:val="24"/>
          <w:szCs w:val="15"/>
        </w:rPr>
      </w:pPr>
    </w:p>
    <w:p w14:paraId="226DAF70" w14:textId="77777777" w:rsidR="00443399" w:rsidRPr="00B03B51" w:rsidRDefault="00443399" w:rsidP="00443399">
      <w:pPr>
        <w:pStyle w:val="Heading6"/>
        <w:tabs>
          <w:tab w:val="left" w:pos="1267"/>
        </w:tabs>
        <w:ind w:left="0" w:firstLine="0"/>
        <w:jc w:val="both"/>
        <w:rPr>
          <w:rFonts w:ascii="Times New Roman" w:hAnsi="Times New Roman" w:cs="Times New Roman"/>
          <w:noProof/>
          <w:sz w:val="24"/>
        </w:rPr>
      </w:pPr>
      <w:bookmarkStart w:id="507" w:name="6.3.1.1_Procurement_contracts_for_capita"/>
      <w:bookmarkEnd w:id="507"/>
      <w:r w:rsidRPr="00B03B51">
        <w:rPr>
          <w:rFonts w:ascii="Times New Roman" w:hAnsi="Times New Roman" w:cs="Times New Roman"/>
          <w:sz w:val="24"/>
        </w:rPr>
        <w:t>6.3.1.1. IEPIRKUMA LĪGUMI ATTIECĪBĀ UZ PAMATLĪDZEKĻIEM</w:t>
      </w:r>
    </w:p>
    <w:p w14:paraId="64F01036"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68AACE1E"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3. Šajā gadījumā valdības sektoram nepiederoša puse tikai apņemas veikt aktīva būvniecību un nodot to valdībai atbilstoši tās prasībām (pārbaudi parasti veic trešā puse). Aktīvu pilnībā izmantos valdība, uzņemoties par to pilnu atbildību. Ietekme uz valdības kapitāla izdevumiem var būt “vienreizēja” vienīgi attiecībā uz aktīviem, kas tiek uzbūvēti un pabeigti viena fiskālā gada laikā. Pretējā gadījumā EKS 2010 3.55. punktā noteikts, ka nepabeigtas celtnes un ēkas saskaņā ar pārdošanas/pirkšanas līgumu (kas nozīmē, ka valdība apņemas pārņemt aktīvus, ja tie atbilst noteiktajām prasībām) tiek iegūtas ilgstošā laika posmā atbilstīgi uzkrāšanas principam (pat ja tās ir nepabeigtā stāvoklī). Praksē bruto ieguldījumu pamatkapitālā vērtību var aplēst, izmantojot posmu (starpposmu) maksājumus, bet, ja tādu nav, var izmantot izmaksas, kas radušās līdz konkrētajam datumam. Tas neizslēdz iespēju, ka dažus pakalpojumus, kas nav tieši saistīti ar aktīviem, varētu nacionālajos kontos norādīt atsevišķi un atbilstoši traktēt.</w:t>
      </w:r>
    </w:p>
    <w:p w14:paraId="7BB24151" w14:textId="77777777" w:rsidR="00443399" w:rsidRPr="00B03B51" w:rsidRDefault="00443399" w:rsidP="00443399">
      <w:pPr>
        <w:jc w:val="both"/>
        <w:rPr>
          <w:rFonts w:ascii="Times New Roman" w:eastAsia="Arial" w:hAnsi="Times New Roman" w:cs="Times New Roman"/>
          <w:noProof/>
          <w:sz w:val="24"/>
          <w:szCs w:val="15"/>
        </w:rPr>
      </w:pPr>
    </w:p>
    <w:p w14:paraId="0080BA43" w14:textId="77777777" w:rsidR="00443399" w:rsidRPr="00B03B51" w:rsidRDefault="00443399" w:rsidP="00443399">
      <w:pPr>
        <w:pStyle w:val="Heading6"/>
        <w:tabs>
          <w:tab w:val="left" w:pos="1267"/>
        </w:tabs>
        <w:ind w:left="0" w:firstLine="0"/>
        <w:jc w:val="both"/>
        <w:rPr>
          <w:rFonts w:ascii="Times New Roman" w:hAnsi="Times New Roman" w:cs="Times New Roman"/>
          <w:noProof/>
          <w:sz w:val="24"/>
        </w:rPr>
      </w:pPr>
      <w:bookmarkStart w:id="508" w:name="6.3.1.2_Procurement_contracts_for_goods_"/>
      <w:bookmarkEnd w:id="508"/>
      <w:r w:rsidRPr="00B03B51">
        <w:rPr>
          <w:rFonts w:ascii="Times New Roman" w:hAnsi="Times New Roman" w:cs="Times New Roman"/>
          <w:sz w:val="24"/>
        </w:rPr>
        <w:t>6.3.1.2. PREČU UN PAKALPOJUMU IEPIRKUMA LĪGUMS</w:t>
      </w:r>
    </w:p>
    <w:p w14:paraId="65765D4D"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08E63F53"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4. Valdība konkrētā ilgtermiņa periodā tikai iepērk pakalpojumus, bet nenosaka īpašas prasības attiecībā uz aktīviem (t. i., tādas prasības, kas atšķirtos no vispārējiem reglamentējošiem standartiem). Šāda līgumiskā saikne var būt būtiska, lai nodrošinātu pakalpojumu piegādes nepārtrauktību gan daudzuma, gan kvalitātes ziņā. Traktējums nacionālajos kontos balstās tikai uz plūsmām vienā fiskālajā gadā.</w:t>
      </w:r>
    </w:p>
    <w:p w14:paraId="041804C2" w14:textId="77777777" w:rsidR="00443399" w:rsidRPr="00B03B51" w:rsidRDefault="00443399" w:rsidP="00443399">
      <w:pPr>
        <w:jc w:val="both"/>
        <w:rPr>
          <w:rFonts w:ascii="Times New Roman" w:eastAsia="Arial" w:hAnsi="Times New Roman" w:cs="Times New Roman"/>
          <w:noProof/>
          <w:sz w:val="24"/>
          <w:szCs w:val="15"/>
        </w:rPr>
      </w:pPr>
    </w:p>
    <w:p w14:paraId="287B4365" w14:textId="77777777" w:rsidR="00443399" w:rsidRPr="00B03B51" w:rsidRDefault="00443399" w:rsidP="00443399">
      <w:pPr>
        <w:pStyle w:val="Heading6"/>
        <w:tabs>
          <w:tab w:val="left" w:pos="1267"/>
        </w:tabs>
        <w:ind w:left="0" w:firstLine="0"/>
        <w:jc w:val="both"/>
        <w:rPr>
          <w:rFonts w:ascii="Times New Roman" w:hAnsi="Times New Roman" w:cs="Times New Roman"/>
          <w:noProof/>
          <w:sz w:val="24"/>
        </w:rPr>
      </w:pPr>
      <w:bookmarkStart w:id="509" w:name="6.3.1.3_Equity_stakes"/>
      <w:bookmarkEnd w:id="509"/>
      <w:r w:rsidRPr="00B03B51">
        <w:rPr>
          <w:rFonts w:ascii="Times New Roman" w:hAnsi="Times New Roman" w:cs="Times New Roman"/>
          <w:sz w:val="24"/>
        </w:rPr>
        <w:t>6.3.1.3. PAŠU KAPITĀLA DAĻAS</w:t>
      </w:r>
    </w:p>
    <w:p w14:paraId="1BD54705"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60124FAD"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5. Šādi pasākumi ietver tādas jaunas vienības (ko bieži vien dēvē par “kopuzņēmumu”) dibināšanu, kurā valdības vienībai un valdības sektoram nepiederošai vienībai pieder pašu kapitāla daļas sabiedrībā, kas pārvalda, piemēram, konkrēto infrastruktūru, vai situāciju, kurā valdības sektoram nepiederošs partneris pārņem kontroli pār pastāvošu publisku uzņēmumu. EKS 2010 noteikumi, kas papildināti ar šo rokasgrāmatu, sniedz skaidrus norādījumus, jo īpaši attiecībā uz tādu plūsmu traktējumu, kas ir starp valdību un šādu vienību. Tirgus subjektu, kas nepārprotami ir kopuzņēmums ar stingri vienlīdzīgu kapitāla daļu sadalījumu, klasificē kā publisku sabiedrību, ja vien tiek uzskatīts, ka vienības vispārējā politika atrodas valdības kontrolē (skat. 1.8. nodaļu “Kopuzņēmumi”).</w:t>
      </w:r>
    </w:p>
    <w:p w14:paraId="398776EA" w14:textId="77777777" w:rsidR="00443399" w:rsidRPr="00B03B51" w:rsidRDefault="00443399" w:rsidP="00443399">
      <w:pPr>
        <w:jc w:val="both"/>
        <w:rPr>
          <w:rFonts w:ascii="Times New Roman" w:eastAsia="Arial" w:hAnsi="Times New Roman" w:cs="Times New Roman"/>
          <w:noProof/>
          <w:sz w:val="24"/>
          <w:szCs w:val="15"/>
        </w:rPr>
      </w:pPr>
    </w:p>
    <w:p w14:paraId="1CE9CB66" w14:textId="77777777" w:rsidR="00443399" w:rsidRPr="00B03B51" w:rsidRDefault="00443399" w:rsidP="003E2678">
      <w:pPr>
        <w:pStyle w:val="Heading6"/>
        <w:keepNext/>
        <w:tabs>
          <w:tab w:val="left" w:pos="1267"/>
        </w:tabs>
        <w:ind w:left="0" w:firstLine="0"/>
        <w:jc w:val="both"/>
        <w:rPr>
          <w:rFonts w:ascii="Times New Roman" w:hAnsi="Times New Roman" w:cs="Times New Roman"/>
          <w:noProof/>
          <w:sz w:val="24"/>
        </w:rPr>
      </w:pPr>
      <w:bookmarkStart w:id="510" w:name="6.3.1.4_Leases"/>
      <w:bookmarkEnd w:id="510"/>
      <w:r w:rsidRPr="00B03B51">
        <w:rPr>
          <w:rFonts w:ascii="Times New Roman" w:hAnsi="Times New Roman" w:cs="Times New Roman"/>
          <w:sz w:val="24"/>
        </w:rPr>
        <w:lastRenderedPageBreak/>
        <w:t>6.3.1.4. NOMA</w:t>
      </w:r>
    </w:p>
    <w:p w14:paraId="502CBA1B" w14:textId="77777777" w:rsidR="00443399" w:rsidRPr="00B03B51" w:rsidRDefault="00443399" w:rsidP="003E2678">
      <w:pPr>
        <w:pStyle w:val="BodyText"/>
        <w:keepNext/>
        <w:tabs>
          <w:tab w:val="left" w:pos="843"/>
        </w:tabs>
        <w:spacing w:before="0"/>
        <w:ind w:left="0" w:firstLine="0"/>
        <w:jc w:val="both"/>
        <w:rPr>
          <w:rFonts w:ascii="Times New Roman" w:hAnsi="Times New Roman" w:cs="Times New Roman"/>
          <w:noProof/>
          <w:sz w:val="24"/>
        </w:rPr>
      </w:pPr>
    </w:p>
    <w:p w14:paraId="5EEC8489" w14:textId="77777777" w:rsidR="00443399" w:rsidRPr="00B03B51" w:rsidRDefault="00443399" w:rsidP="003E2678">
      <w:pPr>
        <w:pStyle w:val="BodyText"/>
        <w:keepN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6. Valdība noteiktu laikposmu izmanto aktīvu, kas juridiski pieder valdības sektoram nepiederošai vienībai. Atbilstoši katras puses “riska un atlīdzību” analīzei (tas ir jēdziena “ekonomiskās īpašumtiesības” pamats) nomu uzskata par “operatīvo nomu” vai par “finanšu nomu”, un kā rezultātā jāizmanto atšķirīgs traktējums nacionālajos kontos (skat. EKS 2010 15. nodaļu). Tas attiecas arī uz “pārrobežu nomu” (kas izpaužas kā savstarpēji saistīti nomas līgumi, kurus parasti dēvē par “galveno nomu” un “apakšnomu”). Ja valdība noslēdz finanšu nomas līgumu, tad valdības neto aizdevums/aizņēmums (B.9) un parāds tiks ietekmēts aktīvu tirgus vērtības apmērā brīdī, kad valdība kļūst par šo aktīvu ekonomisko īpašnieci.</w:t>
      </w:r>
    </w:p>
    <w:p w14:paraId="32A556BC"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0BFD3168"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7. EKS 2010 15. nodaļā paskaidrota atšķirība starp finanšu nomu un operatīvo nomu. Nomas veids ir atkarīgs no tā, kurš ir uzņēmies lielāko daļu ar aktīvu saistīto risku un priekšrocību – iznomātājs (aktīva īpašnieks) vai nomnieks (aktīva lietotājs), un minētajā pielikumā ir uzsvērts, ka noteicošā ir šo pasākumu ekonomiskā realitāte, nevis to juridiskās īpašības. Nacionālajos kontos ir ieteikti dažādi kritēriji, saskaņā ar kuriem pieņem lēmumu par to, vai noma jāuzskata par operatīvo nomu vai finanšu nomu. To atbilstību izvērtē katrā konkrētajā gadījumā atsevišķi.</w:t>
      </w:r>
    </w:p>
    <w:p w14:paraId="0B5D24B9"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0F567AB1"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8. Šajā saistībā cieša korelācija starp līguma darbības termiņu un aktīva paredzamo ekonomisko mūžu ir būtiska finanšu nomas pazīme, jo pēc līguma beigām iznomātājs nespētu aizdot aktīvu citam nomniekam vai to izmantot līdzīgā efektivitātes līmenī (bez renovācijas izdevumiem).</w:t>
      </w:r>
    </w:p>
    <w:p w14:paraId="03AD9599"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3550B206"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9. Par finanšu nomu uzskata arī gadījumus, kuros valdība veic tiešus maksājumus par lielāko daļu uzturēšanas darbu, kas saistīti ar aktīvu, iegādājas apdrošināšanu dažu ilglietojuma preču gadījumā, kā arī uzņemas risku saistībā ar šādu izmaksu mainīgumu. Tas attiecas arī uz gadījumu, ja valdība apņemas atmaksāt sabiedrības parādu līguma pirmstermiņa izbeigšanas gadījumā.</w:t>
      </w:r>
    </w:p>
    <w:p w14:paraId="73CA66CB"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36D6790D"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10. Turpretī operatīvā noma ir jāapsver, ja nomas sabiedrībai ir būtiskas un nepārtrauktas pilnvaras lemt par līguma izpildes veidu, pieņemt būtiskos lēmumus par aktīva projektēšanu un būvniecību, kā arī pieņemt lēmumu par to, kā ekspluatēt un uzturēt šo aktīvu, lai sniegtu nepieciešamos pakalpojumus.</w:t>
      </w:r>
      <w:r w:rsidRPr="00B03B51">
        <w:rPr>
          <w:rStyle w:val="FootnoteReference"/>
          <w:rFonts w:ascii="Times New Roman" w:hAnsi="Times New Roman" w:cs="Times New Roman"/>
          <w:noProof/>
          <w:sz w:val="24"/>
        </w:rPr>
        <w:footnoteReference w:id="198"/>
      </w:r>
    </w:p>
    <w:p w14:paraId="5CEEB293"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4C459CD9"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11. Papildus tam kā atbilstīgas klasifikācijas pazīmi var izmantot arī izvēlētā partnera būtību, ja valdība noslēdz nomas līgumu ar vienībām, kas ir specializējušās vai nu operatīvajā nomā, vai arī finanšu nomā. Piemēri ir vienības, kas piedāvā tikai aprīkojuma (piemēram, transporta aprīkojuma, datortehnikas) operatīvo nomu, vai iestādes, kas specializējušās finanšu nomā un piedāvā īpašuma nomu (biroju platības valsts vienībām) vai aprīkojuma nomu. Visos gadījumos ir svarīgi arī pārbaudīt, vai valdība līgumu noslēgusi atbilstīgi ierastajiem komerciālajiem/tirgus nosacījumiem (piemēram, nomas ilgums, cenu indeksācija, paziņošana par līguma laušanu, atjaunošana, strīdu izšķiršanas kārtība u. c.).</w:t>
      </w:r>
    </w:p>
    <w:p w14:paraId="259F1CCE"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6420DADC"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 xml:space="preserve">12. Ja valdības sektoram nepiederoša vienība ir aktīvu likumīgā īpašniece (iznomātājs) un valdība, kas izmanto aktīvus (nomnieks), tiek uzskatīta par ekonomisko īpašnieci, tad ieraksta finanšu nomu. Aktīvs, kas nodrošināts finanšu nomā, tiek ierakstīts valdības bilancē, un aktīva ekonomiskais pārvedums tiek ierakstīts kā valdības bruto ieguldījums pamatkapitālā (P.51g) un kā nefinanšu aktīvs tās bilancē. Tādējādi valdības bilancē rodas arī saistības nosacītā aizdevuma (AF.4) formā. Tiek uzskatīts, ka regulārie maksājumi iznomātājiem ir nosacītā aizdevuma </w:t>
      </w:r>
      <w:r w:rsidRPr="00B03B51">
        <w:rPr>
          <w:rFonts w:ascii="Times New Roman" w:hAnsi="Times New Roman" w:cs="Times New Roman"/>
          <w:sz w:val="24"/>
        </w:rPr>
        <w:lastRenderedPageBreak/>
        <w:t>amortizācija, un tos var sadalīt divos darījumos: finanšu darījumā attiecībā uz pamatsummas atmaksāšanu (F.4) un nefinanšu darījumā attiecībā uz procentu maksājumu (D.41). Iespējams arī pakalpojuma komponents (</w:t>
      </w:r>
      <w:r w:rsidRPr="00B03B51">
        <w:rPr>
          <w:rFonts w:ascii="Times New Roman" w:hAnsi="Times New Roman" w:cs="Times New Roman"/>
          <w:i/>
          <w:iCs/>
          <w:sz w:val="24"/>
        </w:rPr>
        <w:t>FISIM</w:t>
      </w:r>
      <w:r w:rsidRPr="00B03B51">
        <w:rPr>
          <w:rFonts w:ascii="Times New Roman" w:hAnsi="Times New Roman" w:cs="Times New Roman"/>
          <w:sz w:val="24"/>
        </w:rPr>
        <w:t>), ja iznomātājs ir klasificēts finanšu sektorā (papildu informāciju skat. EKS 2010 15. nodaļā). Pēc likumīgo īpašumtiesību uz aktīvu nodošanas, valdības bilancē ir iekļauts ražots nefinanšu aktīvs, kura vērtība atbilst tirgus cenai, kas ir vienāda ar aktīva atlikušo tirgus cenu.</w:t>
      </w:r>
      <w:r w:rsidRPr="00B03B51">
        <w:rPr>
          <w:rStyle w:val="FootnoteReference"/>
          <w:rFonts w:ascii="Times New Roman" w:hAnsi="Times New Roman" w:cs="Times New Roman"/>
          <w:noProof/>
          <w:sz w:val="24"/>
        </w:rPr>
        <w:footnoteReference w:id="199"/>
      </w:r>
    </w:p>
    <w:p w14:paraId="5B790376" w14:textId="77777777" w:rsidR="00443399" w:rsidRPr="00C91F87" w:rsidRDefault="00443399" w:rsidP="00C91F87">
      <w:pPr>
        <w:rPr>
          <w:rFonts w:ascii="Times New Roman" w:hAnsi="Times New Roman" w:cs="Times New Roman"/>
          <w:noProof/>
          <w:sz w:val="24"/>
          <w:szCs w:val="24"/>
        </w:rPr>
      </w:pPr>
      <w:bookmarkStart w:id="511" w:name="6.3.1.5_Concessions"/>
      <w:bookmarkEnd w:id="511"/>
    </w:p>
    <w:p w14:paraId="4C86A207" w14:textId="77777777" w:rsidR="00443399" w:rsidRPr="00B03B51" w:rsidRDefault="00443399" w:rsidP="00443399">
      <w:pPr>
        <w:pStyle w:val="Heading6"/>
        <w:tabs>
          <w:tab w:val="left" w:pos="1267"/>
        </w:tabs>
        <w:ind w:left="0" w:firstLine="0"/>
        <w:jc w:val="both"/>
        <w:rPr>
          <w:rFonts w:ascii="Times New Roman" w:hAnsi="Times New Roman" w:cs="Times New Roman"/>
          <w:noProof/>
          <w:sz w:val="24"/>
        </w:rPr>
      </w:pPr>
      <w:r w:rsidRPr="00B03B51">
        <w:rPr>
          <w:rFonts w:ascii="Times New Roman" w:hAnsi="Times New Roman" w:cs="Times New Roman"/>
          <w:sz w:val="24"/>
        </w:rPr>
        <w:t>6.3.1.5. KONCESIJAS</w:t>
      </w:r>
    </w:p>
    <w:p w14:paraId="6402D06A"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5B026599"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13. Šo terminu šeit izmanto attiecībā uz valdības līgumiem ar sabiedrību (koncesionāru), kas var būt publiska vai privāta sabiedrība, kas parakstīti konkursa kārtībā par aktīva ekspluatāciju</w:t>
      </w:r>
      <w:r w:rsidRPr="00B03B51">
        <w:rPr>
          <w:rStyle w:val="FootnoteReference"/>
          <w:rFonts w:ascii="Times New Roman" w:hAnsi="Times New Roman" w:cs="Times New Roman"/>
          <w:noProof/>
          <w:sz w:val="24"/>
        </w:rPr>
        <w:footnoteReference w:id="200"/>
      </w:r>
      <w:r w:rsidRPr="00B03B51">
        <w:rPr>
          <w:rFonts w:ascii="Times New Roman" w:hAnsi="Times New Roman" w:cs="Times New Roman"/>
          <w:sz w:val="24"/>
        </w:rPr>
        <w:t xml:space="preserve"> ilgā laika posmā</w:t>
      </w:r>
      <w:r w:rsidRPr="00B03B51">
        <w:rPr>
          <w:rStyle w:val="FootnoteReference"/>
          <w:rFonts w:ascii="Times New Roman" w:hAnsi="Times New Roman" w:cs="Times New Roman"/>
          <w:noProof/>
          <w:sz w:val="24"/>
        </w:rPr>
        <w:footnoteReference w:id="201"/>
      </w:r>
      <w:r w:rsidRPr="00B03B51">
        <w:rPr>
          <w:rFonts w:ascii="Times New Roman" w:hAnsi="Times New Roman" w:cs="Times New Roman"/>
          <w:sz w:val="24"/>
        </w:rPr>
        <w:t>, kad aktīvs jau pastāv (un ir jārenovē) vai kad tas ir jāuzbūvē no jauna, un kas paredz, ka sabiedrība iekasēs no gala lietotājiem lietošanas maksu. Piemēram, sabiedrība var uzbūvēt ceļu vai tiltu un iekasēt maksu no to lietotājiem. Parasti aktīvi tiek nodoti valdībai koncesijas beigās, un valdība pēc tam var ekspluatēt šo aktīvu vai nu tiešā veidā (iekasējot no lietotājiem maksu, šim nolūkam, iespējams, izmantojot pakalpojumu līgumus), vai izstrādājot jaunu koncesiju attiecībā uz šiem aktīviem. Līdz ar to viens no galvenajiem jautājumiem ir ekonomiskās īpašumtiesības uz aktīvu (pamatojoties uz riskiem un priekšrocībām) līguma darbības laikā, kuras var būt piešķirtas koncesionāram (visbiežāk) vai valdībai.</w:t>
      </w:r>
    </w:p>
    <w:p w14:paraId="0600786D" w14:textId="77777777" w:rsidR="00443399" w:rsidRPr="00B03B51" w:rsidRDefault="00443399" w:rsidP="00443399">
      <w:pPr>
        <w:jc w:val="both"/>
        <w:rPr>
          <w:rFonts w:ascii="Times New Roman" w:eastAsia="Arial" w:hAnsi="Times New Roman" w:cs="Times New Roman"/>
          <w:noProof/>
          <w:sz w:val="24"/>
          <w:szCs w:val="14"/>
        </w:rPr>
      </w:pPr>
    </w:p>
    <w:p w14:paraId="5B1898E8"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14. Saskaņā ar koncesijas līgumiem lielāko daļu ienākumu koncesionāri gūst no preču vai pakalpojumu tiešas pārdošanas dažādām vienībām saskaņā ar komerciāliem nosacījumiem (ceļa nodevas, apakšuzņēmēju veiktie maksājumi u. c.). Šādos apstākļos koncesionārs uzņemas lielāko daļu komercriska, kas atkarīgs gan no ārējiem faktoriem (galalietotāju pieprasījums, viņu vēlme maksāt u. c.), gan paša rezultātiem aktīvu pārvaldības un uzturēšanas jomā. Koncesionāram var nākties darboties saskaņā ar konkrētām valdības prasībām, ko dažkārt valdība kompensē (piemēram, ar subsīdijām).</w:t>
      </w:r>
    </w:p>
    <w:p w14:paraId="59AED5AB"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2347F5B6"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15. Tāpat arī cena, kas tiek piemērota attiecībā uz galalietotājiem, var būt noteikta iepirkuma dokumentos, un koncesionārs to nevar brīvi noteikt, bet gan vienīgi koriģēt kādu konkrētu notikumu gadījumā un/vai atbilstīgi inflācijai. Valdība koncesiju var piešķirt par brīvu vai arī par maksu, kas koncesionāram jāsamaksā valdībai. Šie maksājumi jāieraksta saskaņā ar EKS 2010 klasifikāciju, sākotnēji (ieraksta kā valdības atļauju, nodokli vai pakalpojumu, skat. EKS 2010 15.37. punktu) vai regulāri līguma darbības laikā (rente, īpaši nodokļi utt.) un pēc uzkrāšanas principa. Ja uzskatāms, ka valdība ir aktīva ekonomiskais īpašnieks, nacionālajos kontos aktīvu ieraksta valdības kontos un plūsmas, kas attiecas uz šā aktīva izmantošanu, ir jāpārvirza (skat. turpmāk).</w:t>
      </w:r>
    </w:p>
    <w:p w14:paraId="1AAA12DF"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09A2C0FE"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 xml:space="preserve">16. Nacionālajos kontos koncesijas ir skaidri jānošķir no publiskajām un privātajām partnerībām (PPP). Šajā nodaļā terminu “koncesija” izmanto, lai aprakstītu tikai tādus ilgtermiņa līgumus, kuros lielāko daļu partnera (koncesionāra) ieņēmumu veido pakalpojuma </w:t>
      </w:r>
      <w:r w:rsidRPr="00B03B51">
        <w:rPr>
          <w:rFonts w:ascii="Times New Roman" w:hAnsi="Times New Roman" w:cs="Times New Roman"/>
          <w:sz w:val="24"/>
        </w:rPr>
        <w:lastRenderedPageBreak/>
        <w:t>galalietotāju maksājumi, t. i., saskaņā ar kuriem valdība neveic nekādus regulārus maksājumus partnerim vai arī šādi maksājumi neveido lielāko daļu no partnera ieņēmumiem. Turpretī PPP līgumu gadījumā lielāko daļu partnera ieņēmumu saskaņā ar līgumu veido valdības maksājumi (piemēram, virtuālās ceļa nodevas). Turklāt šajā nodaļā skatītie koncesijas līgumi ir skaidri jānošķir no līgumiem (pat ja tie apzīmēti kā “koncesijas”), kuros valdība lūdz vienībai nodrošināt noteiktus pakalpojumus, ko apmaksā galalietotāji un/vai valdība, taču kuros valdība precīzi nenosaka prasības/specifikācijas attiecībā uz galvenajām pazīmēm aktīviem, kurus līgumslēdzēja vienība izmantos, un līguma beigās šos aktīvus nav paredzēts nodot atpakaļ valdībai. Šāda kārtība ir novērojama daudzās jomās, piemēram, ēdināšanā (piemēram, skolās), sabiedriskā transporta pakalpojumos utt.</w:t>
      </w:r>
    </w:p>
    <w:p w14:paraId="43D28ACB" w14:textId="77777777" w:rsidR="00443399" w:rsidRPr="00C91F87" w:rsidRDefault="00443399" w:rsidP="00C91F87">
      <w:pPr>
        <w:rPr>
          <w:rFonts w:ascii="Times New Roman" w:hAnsi="Times New Roman" w:cs="Times New Roman"/>
          <w:noProof/>
          <w:sz w:val="24"/>
          <w:szCs w:val="24"/>
        </w:rPr>
      </w:pPr>
      <w:bookmarkStart w:id="512" w:name="6.3.1.5.1._The_key_issue_in_national_acc"/>
      <w:bookmarkEnd w:id="512"/>
    </w:p>
    <w:p w14:paraId="7F236243" w14:textId="77777777" w:rsidR="00443399" w:rsidRPr="00B03B51" w:rsidRDefault="00443399" w:rsidP="00443399">
      <w:pPr>
        <w:pStyle w:val="Heading6"/>
        <w:tabs>
          <w:tab w:val="left" w:pos="1692"/>
        </w:tabs>
        <w:ind w:left="0" w:firstLine="0"/>
        <w:jc w:val="both"/>
        <w:rPr>
          <w:rFonts w:ascii="Times New Roman" w:hAnsi="Times New Roman" w:cs="Times New Roman"/>
          <w:noProof/>
          <w:sz w:val="24"/>
        </w:rPr>
      </w:pPr>
      <w:r w:rsidRPr="00B03B51">
        <w:rPr>
          <w:rFonts w:ascii="Times New Roman" w:hAnsi="Times New Roman" w:cs="Times New Roman"/>
          <w:sz w:val="24"/>
        </w:rPr>
        <w:t>6.3.1.5.1. Galvenā problēma nacionālajos kontos</w:t>
      </w:r>
    </w:p>
    <w:p w14:paraId="0B7DA05A"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6D7D417C"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17. Koncesijas veida līguma gadījumā sabiedrība (koncesionārs), piemēram, var uzbūvēt ceļu vai tiltu un iekasēt nodevu no transportlīdzekļiem, kas to izmanto. Valdība var vai nevar saņemt maksājumus no šīs sabiedrības.</w:t>
      </w:r>
    </w:p>
    <w:p w14:paraId="79461300"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1053E901"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18. Būtiskie jautājumi, kas rodas šajā saistībā, ir norādīti turpmāk.</w:t>
      </w:r>
    </w:p>
    <w:p w14:paraId="7E1E8488"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73CF45F2" w14:textId="77777777" w:rsidR="00443399" w:rsidRPr="00B03B51" w:rsidRDefault="00443399" w:rsidP="005364DD">
      <w:pPr>
        <w:pStyle w:val="BodyText"/>
        <w:numPr>
          <w:ilvl w:val="1"/>
          <w:numId w:val="49"/>
        </w:numPr>
        <w:spacing w:before="0"/>
        <w:ind w:left="426" w:hanging="425"/>
        <w:jc w:val="both"/>
        <w:rPr>
          <w:rFonts w:ascii="Times New Roman" w:hAnsi="Times New Roman" w:cs="Times New Roman"/>
          <w:noProof/>
          <w:sz w:val="24"/>
        </w:rPr>
      </w:pPr>
      <w:r w:rsidRPr="00B03B51">
        <w:rPr>
          <w:rFonts w:ascii="Times New Roman" w:hAnsi="Times New Roman" w:cs="Times New Roman"/>
          <w:sz w:val="24"/>
        </w:rPr>
        <w:t>Kura puse ir aktīva ekonomiskais īpašnieks (proti, kuras puses bilancē aktīvs tiek ierakstīts tā ekspluatācijas laikā)?</w:t>
      </w:r>
    </w:p>
    <w:p w14:paraId="71BB4E85" w14:textId="77777777" w:rsidR="00443399" w:rsidRPr="00B03B51" w:rsidRDefault="00443399" w:rsidP="005364DD">
      <w:pPr>
        <w:pStyle w:val="BodyText"/>
        <w:numPr>
          <w:ilvl w:val="1"/>
          <w:numId w:val="49"/>
        </w:numPr>
        <w:spacing w:before="0"/>
        <w:ind w:left="426" w:hanging="425"/>
        <w:jc w:val="both"/>
        <w:rPr>
          <w:rFonts w:ascii="Times New Roman" w:hAnsi="Times New Roman" w:cs="Times New Roman"/>
          <w:noProof/>
          <w:sz w:val="24"/>
        </w:rPr>
      </w:pPr>
      <w:r w:rsidRPr="00B03B51">
        <w:rPr>
          <w:rFonts w:ascii="Times New Roman" w:hAnsi="Times New Roman" w:cs="Times New Roman"/>
          <w:sz w:val="24"/>
        </w:rPr>
        <w:t>Kā nacionālajos kontos jāieraksta ar koncesijas līgumiem saistītie darījumi?</w:t>
      </w:r>
    </w:p>
    <w:p w14:paraId="39C03D07" w14:textId="77777777" w:rsidR="00443399" w:rsidRPr="00B03B51" w:rsidRDefault="00443399" w:rsidP="005364DD">
      <w:pPr>
        <w:pStyle w:val="BodyText"/>
        <w:tabs>
          <w:tab w:val="left" w:pos="843"/>
        </w:tabs>
        <w:spacing w:before="0"/>
        <w:ind w:left="1" w:firstLine="0"/>
        <w:jc w:val="both"/>
        <w:rPr>
          <w:rFonts w:ascii="Times New Roman" w:hAnsi="Times New Roman" w:cs="Times New Roman"/>
          <w:noProof/>
          <w:sz w:val="24"/>
        </w:rPr>
      </w:pPr>
    </w:p>
    <w:p w14:paraId="1EF20100"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19. Īpaša uzmanība būtu jāpievērš gadījumiem, kad koncesionārs ir valdības kontrolēts subjekts</w:t>
      </w:r>
      <w:r w:rsidRPr="00B03B51">
        <w:rPr>
          <w:rStyle w:val="FootnoteReference"/>
          <w:rFonts w:ascii="Times New Roman" w:hAnsi="Times New Roman" w:cs="Times New Roman"/>
          <w:noProof/>
          <w:sz w:val="24"/>
        </w:rPr>
        <w:footnoteReference w:id="202"/>
      </w:r>
      <w:r w:rsidRPr="00B03B51">
        <w:rPr>
          <w:rFonts w:ascii="Times New Roman" w:hAnsi="Times New Roman" w:cs="Times New Roman"/>
          <w:sz w:val="24"/>
        </w:rPr>
        <w:t>, kam nav lēmumu pieņemšanas autonomijas attiecībā uz savu pamatfunkciju, kā tas prasīts nacionālajos kontos (EKS 2010 2.12. punkts). Šādos gadījumos koncesionāru klasificē vispārējās valdības sektorā. Ja šādu subjektu kontrolē dažādas valdības vienības (kas, iespējams, iekļautas dažādos apakšsektoros, t. i., centrālās valdības, pavalsts/pašvaldības apakšsektorā), to klasificē tajā valdības vienības apakšsektorā, kurā sabiedrībai (koncesionāram) ir balsstiesību vairākums vai dažos gadījumos, kas liecina par kontroli, pamatojoties uz citiem kritērijiem, kā aprakstīts šīs rokasgrāmatas 1.2.3. iedaļā.</w:t>
      </w:r>
    </w:p>
    <w:p w14:paraId="451D0D1B"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068C8FD1"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20. Kā minēts iepriekš, koncesijas darbībās var būt iesaistītas gan publiskas, gan privātas sabiedrības. Ja ir iesaistīts publisks uzņēmums, rodas jautājums, kur šādu publisku uzņēmumu klasificēt (skat. 1. daļu “Vispārējās valdības sektora norobežošana”). Lai varētu novērtēt turpmākajos gados paredzamās izmaksas un pārdošanas darījumus, jābūt pieejamiem koncesijas saimnieciskajiem un finanšu plāniem.</w:t>
      </w:r>
    </w:p>
    <w:p w14:paraId="5975F195"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1CC1C4DC"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21. Turklāt ir būtiski pārbaudīt visus grozījumus, pārskatīšanas vai vienošanās maiņas, kas notiek koncesijas periodā un var ietekmēt statistikas traktējumu, jo īpaši gadījumā, ja koncesionārs vairs netiek uzskatīts par tirgus ražotāju, jo šādā gadījumā aktīvus nāktos pārklasificēt par tirgus aktīviem un koncesiju uzskatīt par apsaimniekošanas līgumu. Īpaša uzmanība jāpievērš visiem noteikumiem, kas reglamentē līguma pirmstermiņa izbeigšanu, pamatojoties uz to, ka sabiedrība nepilda savas saistības (papildu skaidrojums sniegts 6.4.3.5. apakšiedaļā “Izbeigšanas klauzulas un pārmaiņas līguma būtībā”).</w:t>
      </w:r>
    </w:p>
    <w:p w14:paraId="50A9FCB2"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24500B2A"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 xml:space="preserve">22. Var arī gadīties, ka publiskais koncesionārs (ko nacionālajos kontos atzīst par institucionālo vienību), kurš varētu tikt klasificēts valdības sektorā, pamatojoties uz tirgus/ārpustirgus testu </w:t>
      </w:r>
      <w:r w:rsidRPr="00B03B51">
        <w:rPr>
          <w:rFonts w:ascii="Times New Roman" w:hAnsi="Times New Roman" w:cs="Times New Roman"/>
          <w:sz w:val="24"/>
        </w:rPr>
        <w:lastRenderedPageBreak/>
        <w:t>(piemēram, jo tiek saņemtas nozīmīgas ražošanas subsīdijas no valdības), varētu vēlāk atgūt tirgus dalībnieka statusu pēc iesaistīšanās vairākos koncesijas līgumos un turpmāk 26. punktā minēto prasību izpildes, ja lielākā daļa ieņēmumu nāktu no tirgus nodevām (tirgus ražošanas).</w:t>
      </w:r>
    </w:p>
    <w:p w14:paraId="2DC8FD36" w14:textId="77777777" w:rsidR="00443399" w:rsidRPr="00C91F87" w:rsidRDefault="00443399" w:rsidP="00C91F87">
      <w:pPr>
        <w:rPr>
          <w:rFonts w:ascii="Times New Roman" w:hAnsi="Times New Roman" w:cs="Times New Roman"/>
          <w:noProof/>
          <w:sz w:val="24"/>
          <w:szCs w:val="24"/>
        </w:rPr>
      </w:pPr>
      <w:bookmarkStart w:id="513" w:name="6.3.1.5.2._Treatment_in_national_account"/>
      <w:bookmarkEnd w:id="513"/>
    </w:p>
    <w:p w14:paraId="12A6C7E1" w14:textId="77777777" w:rsidR="00443399" w:rsidRPr="00B03B51" w:rsidRDefault="00443399" w:rsidP="00443399">
      <w:pPr>
        <w:pStyle w:val="Heading6"/>
        <w:tabs>
          <w:tab w:val="left" w:pos="1692"/>
        </w:tabs>
        <w:ind w:left="0" w:firstLine="0"/>
        <w:jc w:val="both"/>
        <w:rPr>
          <w:rFonts w:ascii="Times New Roman" w:hAnsi="Times New Roman" w:cs="Times New Roman"/>
          <w:noProof/>
          <w:sz w:val="24"/>
        </w:rPr>
      </w:pPr>
      <w:r w:rsidRPr="00B03B51">
        <w:rPr>
          <w:rFonts w:ascii="Times New Roman" w:hAnsi="Times New Roman" w:cs="Times New Roman"/>
          <w:sz w:val="24"/>
        </w:rPr>
        <w:t>6.3.1.5.2. Traktējums nacionālajos kontos</w:t>
      </w:r>
    </w:p>
    <w:p w14:paraId="234EAC40"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1C32DEDB"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23. Kad koncesiju gadījumos</w:t>
      </w:r>
      <w:r w:rsidRPr="00B03B51">
        <w:rPr>
          <w:rStyle w:val="FootnoteReference"/>
          <w:rFonts w:ascii="Times New Roman" w:hAnsi="Times New Roman" w:cs="Times New Roman"/>
          <w:noProof/>
          <w:sz w:val="24"/>
        </w:rPr>
        <w:footnoteReference w:id="203"/>
      </w:r>
      <w:r w:rsidRPr="00B03B51">
        <w:rPr>
          <w:rFonts w:ascii="Times New Roman" w:hAnsi="Times New Roman" w:cs="Times New Roman"/>
          <w:sz w:val="24"/>
        </w:rPr>
        <w:t xml:space="preserve"> maksājumi, ko valdība maksā naudā vai natūrā, veido mazāko daļu no ieņēmumiem, ko sabiedrība tieši vai netieši gūst, pamatojoties uz līgumiem, koncesijas aktīvu ieraksta sabiedrības bilancē tā ekspluatācijas laikā.</w:t>
      </w:r>
    </w:p>
    <w:p w14:paraId="669C3599"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11C117B6"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szCs w:val="12"/>
        </w:rPr>
      </w:pPr>
      <w:r w:rsidRPr="00B03B51">
        <w:rPr>
          <w:rFonts w:ascii="Times New Roman" w:hAnsi="Times New Roman" w:cs="Times New Roman"/>
          <w:sz w:val="24"/>
        </w:rPr>
        <w:t>24. Ja tomēr valdība dažādos veidos (tostarp, izmantojot ieguldījumu dotācijas) finansē lielāko būvniecības (vai renovācijas) izdevumu daļu, koncesijas aktīvs ir jāieraksta valdības bilancē. Ieņēmumus, ko koncesionārs gūst ekspluatācijas posmā (neto apsaimniekošanas maksājumi), pārvirza valdībai, jo koncesionārs šajā gadījumā darbojas valdības “vārdā”. Ja vienību kontrolē valdība un koncesijas ar valdību ir tās galvenā darbība, vienību pārklasificē vispārējās valdības sektorā, izņemot gadījumus, ja ir skaidrs apliecinājums, ka vienība vienmēr ir piedalījusies brīvos atklātos iepirkumu konkursos ar privātām vienībām saistībā ar koncesionāru atlasi. Ja koncesionārs ir privāta sabiedrība, jāuzskata, ka koncesijas līgums ir apsaimniekošanas/pakalpojumu līgums. Līdzīgs noteikums jāpiemēro gadījumā, ja valdība ir sniegusi tiešu garantiju</w:t>
      </w:r>
      <w:r w:rsidRPr="00B03B51">
        <w:rPr>
          <w:rStyle w:val="FootnoteReference"/>
          <w:rFonts w:ascii="Times New Roman" w:hAnsi="Times New Roman" w:cs="Times New Roman"/>
          <w:noProof/>
          <w:sz w:val="24"/>
        </w:rPr>
        <w:footnoteReference w:id="204"/>
      </w:r>
      <w:r w:rsidRPr="00B03B51">
        <w:rPr>
          <w:rFonts w:ascii="Times New Roman" w:hAnsi="Times New Roman" w:cs="Times New Roman"/>
          <w:sz w:val="24"/>
        </w:rPr>
        <w:t xml:space="preserve"> attiecībā uz vairāk nekā 50 % no koncesionāra parādsaistībām, ko tas uzņēmies ar mērķi nodrošināt aktīvam nepieciešamo finansējumu, tādējādi valdībai uzņemoties lielāko daļu ar aktīvu saistītā riska.</w:t>
      </w:r>
      <w:r w:rsidRPr="00B03B51">
        <w:rPr>
          <w:rStyle w:val="FootnoteReference"/>
          <w:rFonts w:ascii="Times New Roman" w:hAnsi="Times New Roman" w:cs="Times New Roman"/>
          <w:noProof/>
          <w:sz w:val="24"/>
        </w:rPr>
        <w:footnoteReference w:id="205"/>
      </w:r>
    </w:p>
    <w:p w14:paraId="37B74E86"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0E4C475F"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25. Turklāt gadījumā, ja sākotnējā līgumā vai tā darbības laikā valdība sniedz garantiju attiecībā uz minimālajiem ienākumiem (piemēram, garantē minimālo satiksmes apjomu) vai dažos gadījumos attiecībā uz minimālo koncesionāra ienesīgumu (piemēram, attiecībā uz pašu kapitāla atdevi), jāuzskata, ka valdība uzņemas lielāko ekonomisko risku daļu, un aktīvi jāieraksta valdības bilancē. No šāda viedokļa raugoties, izzūd galvenā atšķirība starp koncesijām un PPP. Šajā gadījumā šo līgumu nacionālajos kontos traktē līdzīgi iepirkuma līgumam, ko slēdz attiecībā uz aktīvu būvniecību, un pēc aktīva būvniecības pabeigšanas to traktē kā aktīva apsaimniekošanas/apkopes pakalpojumu pirkšanu.</w:t>
      </w:r>
    </w:p>
    <w:p w14:paraId="1F5AAF14"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74FB4224"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 xml:space="preserve">26. Ciktāl runa ir par iemesliem, kādēļ koncesionāram tiek sniegts atbalsts, ieteicams līgumā iekļaut pilnīgu sarakstu, kurā norādīti iespējamie notikumi, kas rodas nepārvaramas varas apstākļu dēļ, līdz ar to izslēdzot jebkādu partnera atbildību par tā finanšu situācijas pasliktināšanos, pretēji “atvērtam” formulējumam, kas var būt par iemeslu atklātai un iespējami apstrīdamai interpretācijai un </w:t>
      </w:r>
      <w:r w:rsidRPr="00B03B51">
        <w:rPr>
          <w:rFonts w:ascii="Times New Roman" w:hAnsi="Times New Roman" w:cs="Times New Roman"/>
          <w:i/>
          <w:iCs/>
          <w:sz w:val="24"/>
        </w:rPr>
        <w:t>de facto</w:t>
      </w:r>
      <w:r w:rsidRPr="00B03B51">
        <w:rPr>
          <w:rFonts w:ascii="Times New Roman" w:hAnsi="Times New Roman" w:cs="Times New Roman"/>
          <w:sz w:val="24"/>
        </w:rPr>
        <w:t xml:space="preserve"> nepietiekamai risku nodošanai.</w:t>
      </w:r>
      <w:r w:rsidRPr="00B03B51">
        <w:rPr>
          <w:rStyle w:val="FootnoteReference"/>
          <w:rFonts w:ascii="Times New Roman" w:hAnsi="Times New Roman" w:cs="Times New Roman"/>
          <w:noProof/>
          <w:sz w:val="24"/>
        </w:rPr>
        <w:footnoteReference w:id="206"/>
      </w:r>
      <w:r w:rsidRPr="00B03B51">
        <w:rPr>
          <w:rFonts w:ascii="Times New Roman" w:hAnsi="Times New Roman" w:cs="Times New Roman"/>
          <w:sz w:val="24"/>
          <w:szCs w:val="12"/>
        </w:rPr>
        <w:t xml:space="preserve"> </w:t>
      </w:r>
      <w:r w:rsidRPr="00B03B51">
        <w:rPr>
          <w:rFonts w:ascii="Times New Roman" w:hAnsi="Times New Roman" w:cs="Times New Roman"/>
          <w:sz w:val="24"/>
        </w:rPr>
        <w:t xml:space="preserve">Jebkurā gadījumā tam ir jāizslēdz ekonomiskie riski, kuri saistīti ar uzņēmējdarbības cikliem un ar kuriem ražotāji saskaras savā darbības jomā. Tomēr saistībā ar ārkārtējiem un dramatiskiem nelabvēlīgiem ekonomiskajiem apstākļiem valdības sniegts ierobežots pagaidu atbalsts ne vienmēr nozīmē to, </w:t>
      </w:r>
      <w:r w:rsidRPr="00B03B51">
        <w:rPr>
          <w:rFonts w:ascii="Times New Roman" w:hAnsi="Times New Roman" w:cs="Times New Roman"/>
          <w:sz w:val="24"/>
        </w:rPr>
        <w:lastRenderedPageBreak/>
        <w:t>ka aktīvi ir jāpārklasificē.</w:t>
      </w:r>
    </w:p>
    <w:p w14:paraId="662561E7"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4329BA74"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27. Izņēmums šim principam varētu būt gadījums, kad publiskajam koncesionāram ir piešķirta lēmumu pieņemšanas autonomija attiecībā uz līgumu (vismaz attiecībā uz dažiem būtiskiem lēmumiem, ievērojot to, ka viņi varētu samērā neatkarīgi darboties ikdienas saimnieciskajās darbībās). Koncesijas līgumā(-os) ar valdības vienībām būtu jāiekļauj koncesionāra galvenā darbība (tostarp arī gadījumos, kad ir tikai viena darbība). Tāpēc šajā gadījumā ir svarīgi pārbaudīt koncesionāra autonomiju attiecībā uz svarīgu lēmumu pieņemšanu koncesijas jautājumos.</w:t>
      </w:r>
      <w:r w:rsidRPr="00B03B51">
        <w:rPr>
          <w:rStyle w:val="FootnoteReference"/>
          <w:rFonts w:ascii="Times New Roman" w:hAnsi="Times New Roman" w:cs="Times New Roman"/>
          <w:noProof/>
          <w:sz w:val="24"/>
        </w:rPr>
        <w:footnoteReference w:id="207"/>
      </w:r>
      <w:r w:rsidRPr="00B03B51">
        <w:rPr>
          <w:rFonts w:ascii="Times New Roman" w:hAnsi="Times New Roman" w:cs="Times New Roman"/>
          <w:sz w:val="24"/>
        </w:rPr>
        <w:t xml:space="preserve"> Šajā saistībā ir jāizvērtē šādu kritēriju kopums:</w:t>
      </w:r>
    </w:p>
    <w:p w14:paraId="32E2BE52"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3FAC22E3" w14:textId="77777777" w:rsidR="00443399" w:rsidRPr="00B03B51" w:rsidRDefault="00443399" w:rsidP="00BD35E2">
      <w:pPr>
        <w:pStyle w:val="BodyText"/>
        <w:numPr>
          <w:ilvl w:val="1"/>
          <w:numId w:val="49"/>
        </w:numPr>
        <w:spacing w:before="0"/>
        <w:ind w:left="426" w:hanging="425"/>
        <w:jc w:val="both"/>
        <w:rPr>
          <w:rFonts w:ascii="Times New Roman" w:hAnsi="Times New Roman" w:cs="Times New Roman"/>
          <w:noProof/>
          <w:sz w:val="24"/>
        </w:rPr>
      </w:pPr>
      <w:r w:rsidRPr="00B03B51">
        <w:rPr>
          <w:rFonts w:ascii="Times New Roman" w:hAnsi="Times New Roman" w:cs="Times New Roman"/>
          <w:sz w:val="24"/>
        </w:rPr>
        <w:t>vai koncesionāram ir tiesības parakstīt līgumu bez kontrolējošās(-o) valdības vienības(-u) piekrišanas;</w:t>
      </w:r>
    </w:p>
    <w:p w14:paraId="49C322CD" w14:textId="77777777" w:rsidR="00443399" w:rsidRPr="00B03B51" w:rsidRDefault="00443399" w:rsidP="00BD35E2">
      <w:pPr>
        <w:pStyle w:val="BodyText"/>
        <w:numPr>
          <w:ilvl w:val="1"/>
          <w:numId w:val="49"/>
        </w:numPr>
        <w:spacing w:before="0"/>
        <w:ind w:left="426" w:hanging="425"/>
        <w:jc w:val="both"/>
        <w:rPr>
          <w:rFonts w:ascii="Times New Roman" w:hAnsi="Times New Roman" w:cs="Times New Roman"/>
          <w:noProof/>
          <w:sz w:val="24"/>
          <w:szCs w:val="12"/>
        </w:rPr>
      </w:pPr>
      <w:r w:rsidRPr="00B03B51">
        <w:rPr>
          <w:rFonts w:ascii="Times New Roman" w:hAnsi="Times New Roman" w:cs="Times New Roman"/>
          <w:sz w:val="24"/>
        </w:rPr>
        <w:t>vai koncesionārs varētu noslēgt citus koncesijas līgumus bez valdības piekrišanas;</w:t>
      </w:r>
      <w:r w:rsidRPr="00B03B51">
        <w:rPr>
          <w:rStyle w:val="FootnoteReference"/>
          <w:rFonts w:ascii="Times New Roman" w:hAnsi="Times New Roman" w:cs="Times New Roman"/>
          <w:noProof/>
          <w:sz w:val="24"/>
        </w:rPr>
        <w:footnoteReference w:id="208"/>
      </w:r>
    </w:p>
    <w:p w14:paraId="5E1ADF1F" w14:textId="77777777" w:rsidR="00443399" w:rsidRPr="00B03B51" w:rsidRDefault="00443399" w:rsidP="00BD35E2">
      <w:pPr>
        <w:pStyle w:val="BodyText"/>
        <w:numPr>
          <w:ilvl w:val="1"/>
          <w:numId w:val="49"/>
        </w:numPr>
        <w:spacing w:before="0"/>
        <w:ind w:left="426" w:hanging="425"/>
        <w:jc w:val="both"/>
        <w:rPr>
          <w:rFonts w:ascii="Times New Roman" w:hAnsi="Times New Roman" w:cs="Times New Roman"/>
          <w:noProof/>
          <w:sz w:val="24"/>
        </w:rPr>
      </w:pPr>
      <w:r w:rsidRPr="00B03B51">
        <w:rPr>
          <w:rFonts w:ascii="Times New Roman" w:hAnsi="Times New Roman" w:cs="Times New Roman"/>
          <w:sz w:val="24"/>
        </w:rPr>
        <w:t>vai koncesionārs varētu izstāties no koncesijas līguma (piemēram, pārdodot koncesiju citai vienībai) bez valdības piekrišanas;</w:t>
      </w:r>
    </w:p>
    <w:p w14:paraId="47EEA17F" w14:textId="77777777" w:rsidR="00443399" w:rsidRPr="00B03B51" w:rsidRDefault="00443399" w:rsidP="00BD35E2">
      <w:pPr>
        <w:pStyle w:val="BodyText"/>
        <w:numPr>
          <w:ilvl w:val="1"/>
          <w:numId w:val="49"/>
        </w:numPr>
        <w:spacing w:before="0"/>
        <w:ind w:left="426" w:hanging="425"/>
        <w:jc w:val="both"/>
        <w:rPr>
          <w:rFonts w:ascii="Times New Roman" w:hAnsi="Times New Roman" w:cs="Times New Roman"/>
          <w:noProof/>
          <w:sz w:val="24"/>
        </w:rPr>
      </w:pPr>
      <w:r w:rsidRPr="00B03B51">
        <w:rPr>
          <w:rFonts w:ascii="Times New Roman" w:hAnsi="Times New Roman" w:cs="Times New Roman"/>
          <w:sz w:val="24"/>
        </w:rPr>
        <w:t>vai koncesionāram ir pilnīga lēmumu pieņemšanas brīvība jautājumos, kas skar “nozīmīgu remontu” izdevumu summu un veikšanas laiku;</w:t>
      </w:r>
    </w:p>
    <w:p w14:paraId="28B65AEE" w14:textId="77777777" w:rsidR="00443399" w:rsidRPr="00B03B51" w:rsidRDefault="00443399" w:rsidP="00BD35E2">
      <w:pPr>
        <w:pStyle w:val="BodyText"/>
        <w:numPr>
          <w:ilvl w:val="1"/>
          <w:numId w:val="49"/>
        </w:numPr>
        <w:spacing w:before="0"/>
        <w:ind w:left="426" w:hanging="425"/>
        <w:jc w:val="both"/>
        <w:rPr>
          <w:rFonts w:ascii="Times New Roman" w:hAnsi="Times New Roman" w:cs="Times New Roman"/>
          <w:noProof/>
          <w:sz w:val="24"/>
          <w:szCs w:val="12"/>
        </w:rPr>
      </w:pPr>
      <w:r w:rsidRPr="00B03B51">
        <w:rPr>
          <w:rFonts w:ascii="Times New Roman" w:hAnsi="Times New Roman" w:cs="Times New Roman"/>
          <w:sz w:val="24"/>
        </w:rPr>
        <w:t>vai publiskajam koncesionāram nepastāv kādi ierobežojumi attiecībā uz algu un personāla politiku, piegādātāju atlasi, pirkumu politiku un sniegto pakalpojumu kvalitāti;</w:t>
      </w:r>
      <w:r w:rsidRPr="00B03B51">
        <w:rPr>
          <w:rStyle w:val="FootnoteReference"/>
          <w:rFonts w:ascii="Times New Roman" w:hAnsi="Times New Roman" w:cs="Times New Roman"/>
          <w:noProof/>
          <w:sz w:val="24"/>
        </w:rPr>
        <w:footnoteReference w:id="209"/>
      </w:r>
    </w:p>
    <w:p w14:paraId="76CB3579" w14:textId="77777777" w:rsidR="00443399" w:rsidRPr="00B03B51" w:rsidRDefault="00443399" w:rsidP="00BD35E2">
      <w:pPr>
        <w:pStyle w:val="BodyText"/>
        <w:numPr>
          <w:ilvl w:val="1"/>
          <w:numId w:val="49"/>
        </w:numPr>
        <w:spacing w:before="0"/>
        <w:ind w:left="426" w:hanging="425"/>
        <w:jc w:val="both"/>
        <w:rPr>
          <w:rFonts w:ascii="Times New Roman" w:hAnsi="Times New Roman" w:cs="Times New Roman"/>
          <w:noProof/>
          <w:sz w:val="24"/>
        </w:rPr>
      </w:pPr>
      <w:r w:rsidRPr="00B03B51">
        <w:rPr>
          <w:rFonts w:ascii="Times New Roman" w:hAnsi="Times New Roman" w:cs="Times New Roman"/>
          <w:sz w:val="24"/>
        </w:rPr>
        <w:t>vai koncesionārs var slēgt apakšuzņēmuma līgumus ar citām vienībām bez kontrolējošās vienības vai līguma attiecībās esošās valdības vienības piekrišanas;</w:t>
      </w:r>
    </w:p>
    <w:p w14:paraId="6CCF5B11" w14:textId="77777777" w:rsidR="00443399" w:rsidRPr="00B03B51" w:rsidRDefault="00443399" w:rsidP="00BD35E2">
      <w:pPr>
        <w:pStyle w:val="BodyText"/>
        <w:numPr>
          <w:ilvl w:val="1"/>
          <w:numId w:val="49"/>
        </w:numPr>
        <w:spacing w:before="0"/>
        <w:ind w:left="426" w:hanging="425"/>
        <w:jc w:val="both"/>
        <w:rPr>
          <w:rFonts w:ascii="Times New Roman" w:hAnsi="Times New Roman" w:cs="Times New Roman"/>
          <w:noProof/>
          <w:sz w:val="24"/>
        </w:rPr>
      </w:pPr>
      <w:r w:rsidRPr="00B03B51">
        <w:rPr>
          <w:rFonts w:ascii="Times New Roman" w:hAnsi="Times New Roman" w:cs="Times New Roman"/>
          <w:sz w:val="24"/>
        </w:rPr>
        <w:t>vai koncesionārs var lemt par koncesijas aktīvu jaudas/kvalitātes paplašināšanu/modernizāciju bez kontrolējošās vienības vai līgumslēdzējas valdības vienības piekrišanas;</w:t>
      </w:r>
    </w:p>
    <w:p w14:paraId="69E57B9B" w14:textId="77777777" w:rsidR="00443399" w:rsidRPr="00B03B51" w:rsidRDefault="00443399" w:rsidP="00BD35E2">
      <w:pPr>
        <w:pStyle w:val="BodyText"/>
        <w:numPr>
          <w:ilvl w:val="1"/>
          <w:numId w:val="49"/>
        </w:numPr>
        <w:spacing w:before="0"/>
        <w:ind w:left="426" w:hanging="425"/>
        <w:jc w:val="both"/>
        <w:rPr>
          <w:rFonts w:ascii="Times New Roman" w:hAnsi="Times New Roman" w:cs="Times New Roman"/>
          <w:noProof/>
          <w:sz w:val="24"/>
        </w:rPr>
      </w:pPr>
      <w:r w:rsidRPr="00B03B51">
        <w:rPr>
          <w:rFonts w:ascii="Times New Roman" w:hAnsi="Times New Roman" w:cs="Times New Roman"/>
          <w:sz w:val="24"/>
        </w:rPr>
        <w:t>vai koncesionāram nav pienākuma īstenot cenu diferenciāciju gala lietotājiem saskaņā ar valdības norādījumiem (piemēram, noteikt īpašus tarifus sociālos nolūkos), par ko valdība ar iekšējas šķērssubsīdijas starpniecību nesniedz konkrētu kompensāciju.</w:t>
      </w:r>
      <w:r w:rsidRPr="00B03B51">
        <w:rPr>
          <w:rStyle w:val="FootnoteReference"/>
          <w:rFonts w:ascii="Times New Roman" w:hAnsi="Times New Roman" w:cs="Times New Roman"/>
          <w:noProof/>
          <w:sz w:val="24"/>
        </w:rPr>
        <w:footnoteReference w:id="210"/>
      </w:r>
    </w:p>
    <w:p w14:paraId="23C3E0D2" w14:textId="77777777" w:rsidR="00443399" w:rsidRPr="00B03B51" w:rsidRDefault="00443399" w:rsidP="00443399">
      <w:pPr>
        <w:pStyle w:val="BodyText"/>
        <w:spacing w:before="0"/>
        <w:ind w:left="0" w:firstLine="0"/>
        <w:jc w:val="both"/>
        <w:rPr>
          <w:rFonts w:ascii="Times New Roman" w:hAnsi="Times New Roman" w:cs="Times New Roman"/>
          <w:noProof/>
          <w:sz w:val="24"/>
        </w:rPr>
      </w:pPr>
    </w:p>
    <w:p w14:paraId="2C94A744" w14:textId="77777777" w:rsidR="00443399" w:rsidRPr="00B03B51" w:rsidRDefault="00443399" w:rsidP="00443399">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t>Ja ir gūts apliecinājums, ka kāds no minētajiem kritērijiem nav izpildīts, uzskatāms, ka vienībai nav lēmumu pieņemšanas autonomijas attiecībā uz līgumu. Ja publiskais koncesionārs tiek iesaistīts vairākos līgumos ar valdības vienībām un ja attiecībā uz šiem kritērijiem radīsies atšķirīgi secinājumi, vispārējais novērtējums izdarāms, pamatojoties uz koncesijas aktīvu vērtības lielāko daļu.</w:t>
      </w:r>
      <w:r w:rsidRPr="00B03B51">
        <w:rPr>
          <w:rStyle w:val="FootnoteReference"/>
          <w:rFonts w:ascii="Times New Roman" w:hAnsi="Times New Roman" w:cs="Times New Roman"/>
          <w:noProof/>
          <w:sz w:val="24"/>
        </w:rPr>
        <w:footnoteReference w:id="211"/>
      </w:r>
    </w:p>
    <w:p w14:paraId="5DE1A069" w14:textId="77777777" w:rsidR="00443399" w:rsidRPr="00B03B51" w:rsidRDefault="00443399" w:rsidP="00443399">
      <w:pPr>
        <w:jc w:val="both"/>
        <w:rPr>
          <w:rFonts w:ascii="Times New Roman" w:hAnsi="Times New Roman" w:cs="Times New Roman"/>
          <w:noProof/>
          <w:sz w:val="24"/>
        </w:rPr>
      </w:pPr>
    </w:p>
    <w:p w14:paraId="33D3CBA4" w14:textId="77777777" w:rsidR="00443399" w:rsidRPr="00B03B51" w:rsidRDefault="00443399" w:rsidP="003E2678">
      <w:pPr>
        <w:keepNext/>
        <w:jc w:val="both"/>
        <w:rPr>
          <w:rFonts w:ascii="Times New Roman" w:hAnsi="Times New Roman" w:cs="Times New Roman"/>
          <w:b/>
          <w:noProof/>
          <w:sz w:val="24"/>
        </w:rPr>
      </w:pPr>
      <w:r w:rsidRPr="00B03B51">
        <w:rPr>
          <w:rFonts w:ascii="Times New Roman" w:hAnsi="Times New Roman" w:cs="Times New Roman"/>
          <w:b/>
          <w:sz w:val="24"/>
        </w:rPr>
        <w:lastRenderedPageBreak/>
        <w:t>1. gadījums. Sabiedrība ir uzbūvējusi jaunu aktīvu</w:t>
      </w:r>
    </w:p>
    <w:p w14:paraId="5F3810D8" w14:textId="77777777" w:rsidR="00443399" w:rsidRPr="00B03B51" w:rsidRDefault="00443399" w:rsidP="003E2678">
      <w:pPr>
        <w:keepNext/>
        <w:jc w:val="both"/>
        <w:rPr>
          <w:rFonts w:ascii="Times New Roman" w:eastAsia="Arial" w:hAnsi="Times New Roman" w:cs="Times New Roman"/>
          <w:b/>
          <w:bCs/>
          <w:noProof/>
          <w:sz w:val="24"/>
        </w:rPr>
      </w:pPr>
    </w:p>
    <w:p w14:paraId="04EB0624" w14:textId="77777777" w:rsidR="00443399" w:rsidRPr="00B03B51" w:rsidRDefault="00443399" w:rsidP="00443399">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t>Ja aktīvs ir uzbūvēts no jauna un to ir uzbūvējusi sabiedrība, tad tie ir sabiedrības bruto pamatkapitāla veidošana, kas neietekmē valdības kontus.</w:t>
      </w:r>
    </w:p>
    <w:p w14:paraId="4757341F" w14:textId="77777777" w:rsidR="00443399" w:rsidRPr="00B03B51" w:rsidRDefault="00443399" w:rsidP="00443399">
      <w:pPr>
        <w:pStyle w:val="BodyText"/>
        <w:spacing w:before="0"/>
        <w:ind w:left="0" w:firstLine="0"/>
        <w:jc w:val="both"/>
        <w:rPr>
          <w:rFonts w:ascii="Times New Roman" w:hAnsi="Times New Roman" w:cs="Times New Roman"/>
          <w:noProof/>
          <w:sz w:val="24"/>
        </w:rPr>
      </w:pPr>
    </w:p>
    <w:p w14:paraId="77776712" w14:textId="77777777" w:rsidR="00443399" w:rsidRPr="00B03B51" w:rsidRDefault="00443399" w:rsidP="00443399">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t>Ja aktīva ekspluatācijas perioda beigās aktīvs tiek pārdots valdībai, to ieraksta valdības bilancē kā bruto pamatkapitāla veidošanu atbilstīgi aktīva tirgus vērtībai (izmantotā vērtība jānovērtē neatkarīgai struktūrai, kas var būt arī valdības vienība, ar nosacījumu, ka ir pierādījums tam, ka tā varētu darboties neatkarīgi šā uzdevuma veikšanai). Ja valdības samaksātā summa atšķiras no tirgus vērtības, šī starpība jāieraksta kā kapitāla pārvedums (D.99). Gadījumos, kad aktīvs ir piešķirts valdībai bez maksas, kapitāla pārvedumam (D.99) ir tāda pati vērtība kā bruto ieguldījumam pamatkapitālā, līdz ar to valdības neto aizdevums/aizņēmums (B.9) kopumā netiek ietekmēts.</w:t>
      </w:r>
    </w:p>
    <w:p w14:paraId="3ABA0743" w14:textId="77777777" w:rsidR="00443399" w:rsidRPr="00B03B51" w:rsidRDefault="00443399" w:rsidP="00443399">
      <w:pPr>
        <w:pStyle w:val="BodyText"/>
        <w:spacing w:before="0"/>
        <w:ind w:left="0" w:firstLine="0"/>
        <w:jc w:val="both"/>
        <w:rPr>
          <w:rFonts w:ascii="Times New Roman" w:hAnsi="Times New Roman" w:cs="Times New Roman"/>
          <w:noProof/>
          <w:sz w:val="24"/>
        </w:rPr>
      </w:pPr>
    </w:p>
    <w:p w14:paraId="0DB57A92" w14:textId="77777777" w:rsidR="00443399" w:rsidRPr="00B03B51" w:rsidRDefault="00443399" w:rsidP="00443399">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t>Ja līguma darbības laikā sabiedrība veic maksājumus valdībai, tie jāieraksta kā rente (D.45), ja valdība piešķir sabiedrībai neražotu aktīvu (piemēram, zemi, uz kuras ir uzbūvēta infrastruktūra), bet, ja valdība piešķir ražotu aktīvu, tad maksājums jāieraksta kā nomas maksa (produkcija P.1). Ja valdība apmaiņā pret šiem maksājumiem neko nepiešķir, tos ieraksta kā citus ražošanas nodokļus (D.29). Ja valdība pieprasa maksājumu par tiesībām ekspluatēt aktīvu un sabiedrība drīkst nodot tiesības citām pusēm, tas jāuzskata par maksājumu par neražota aktīva (AN.22) iegādi, ja pastāv atbilstība EKS 2010 15.37. punkta nosacījumiem.</w:t>
      </w:r>
    </w:p>
    <w:p w14:paraId="062BF5BB" w14:textId="77777777" w:rsidR="00443399" w:rsidRPr="00B03B51" w:rsidRDefault="00443399" w:rsidP="00443399">
      <w:pPr>
        <w:jc w:val="both"/>
        <w:rPr>
          <w:rFonts w:ascii="Times New Roman" w:eastAsia="Arial" w:hAnsi="Times New Roman" w:cs="Times New Roman"/>
          <w:noProof/>
          <w:sz w:val="24"/>
          <w:szCs w:val="20"/>
        </w:rPr>
      </w:pPr>
    </w:p>
    <w:p w14:paraId="5F7EAD5F" w14:textId="77777777" w:rsidR="00443399" w:rsidRPr="00B03B51" w:rsidRDefault="00443399" w:rsidP="00443399">
      <w:pPr>
        <w:jc w:val="both"/>
        <w:rPr>
          <w:rFonts w:ascii="Times New Roman" w:hAnsi="Times New Roman" w:cs="Times New Roman"/>
          <w:b/>
          <w:noProof/>
          <w:sz w:val="24"/>
        </w:rPr>
      </w:pPr>
      <w:r w:rsidRPr="00B03B51">
        <w:rPr>
          <w:rFonts w:ascii="Times New Roman" w:hAnsi="Times New Roman" w:cs="Times New Roman"/>
          <w:b/>
          <w:sz w:val="24"/>
        </w:rPr>
        <w:t>2. gadījums. Valdība nodod sabiedrībai esošu ražotu aktīvu</w:t>
      </w:r>
    </w:p>
    <w:p w14:paraId="19CDF652" w14:textId="77777777" w:rsidR="00443399" w:rsidRPr="00B03B51" w:rsidRDefault="00443399" w:rsidP="00443399">
      <w:pPr>
        <w:jc w:val="both"/>
        <w:rPr>
          <w:rFonts w:ascii="Times New Roman" w:eastAsia="Arial" w:hAnsi="Times New Roman" w:cs="Times New Roman"/>
          <w:b/>
          <w:bCs/>
          <w:noProof/>
          <w:sz w:val="24"/>
        </w:rPr>
      </w:pPr>
    </w:p>
    <w:p w14:paraId="0D6F7558" w14:textId="77777777" w:rsidR="00443399" w:rsidRPr="00B03B51" w:rsidRDefault="00443399" w:rsidP="00443399">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t>Ir iespējams, ka valdība koncesijas termiņa sākumā nodod sabiedrībai jau esošu infrastruktūru. Ja apmaiņā pret to valdība iegūst pašu kapitālu sabiedrībā nodotās infrastruktūras vērtībā, to ieraksta kā kapitāla iepludināšanu natūrā kontā “Citas aktīvu apjoma pārmaiņas” bez ietekmes uz valdības neto aizdevumu/aizņēmumu (B.9). Tā ir nefinanšu aktīva apmaiņa pret finanšu aktīvu (valdības pašu kapitāls (AF.5) sabiedrībā), kas jāieraksta saskaņā ar šīs rokasgrāmatas 3.4. nodaļā paredzētajiem noteikumiem. Ja valdība neko nesaņem apmaiņā, aktīva nodošanu ieraksta kā negatīvu bruto ieguldījumu pašu kapitālā, ko kompensē ar izdevumiem investīciju dotācijas formā.</w:t>
      </w:r>
    </w:p>
    <w:p w14:paraId="07F56460" w14:textId="77777777" w:rsidR="00443399" w:rsidRPr="00B03B51" w:rsidRDefault="00443399" w:rsidP="00443399">
      <w:pPr>
        <w:pStyle w:val="BodyText"/>
        <w:spacing w:before="0"/>
        <w:ind w:left="0" w:firstLine="0"/>
        <w:jc w:val="both"/>
        <w:rPr>
          <w:rFonts w:ascii="Times New Roman" w:hAnsi="Times New Roman" w:cs="Times New Roman"/>
          <w:noProof/>
          <w:sz w:val="24"/>
        </w:rPr>
      </w:pPr>
    </w:p>
    <w:p w14:paraId="6C185B36" w14:textId="77777777" w:rsidR="00443399" w:rsidRPr="00B03B51" w:rsidRDefault="00443399" w:rsidP="00443399">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t>Ja ekspluatācijas perioda beigās valdība atgūst infrastruktūru, nemaksājot par to naudu, to ieraksta kā valdības iegūtu aktīvu, kas savienots ar ieņēmumiem no kapitāla pārveduma, bez ietekmes uz valdības neto aizdevumu/aizņēmumu (B.9).</w:t>
      </w:r>
    </w:p>
    <w:p w14:paraId="7D702A7D" w14:textId="77777777" w:rsidR="00443399" w:rsidRPr="00B03B51" w:rsidRDefault="00443399" w:rsidP="00443399">
      <w:pPr>
        <w:pStyle w:val="BodyText"/>
        <w:spacing w:before="0"/>
        <w:ind w:left="0" w:firstLine="0"/>
        <w:jc w:val="both"/>
        <w:rPr>
          <w:rFonts w:ascii="Times New Roman" w:hAnsi="Times New Roman" w:cs="Times New Roman"/>
          <w:noProof/>
          <w:sz w:val="24"/>
        </w:rPr>
      </w:pPr>
    </w:p>
    <w:p w14:paraId="531AF1A0" w14:textId="77777777" w:rsidR="00443399" w:rsidRPr="00B03B51" w:rsidRDefault="00443399" w:rsidP="00443399">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t>Gadījumā, ja valdībai ir pašu kapitāls sabiedrībā, peļņas izmaksāšana (pēc nodokļu atskaitīšanas) valdībai līguma darbības laikā jāieraksta kā dividendes (D.421).</w:t>
      </w:r>
    </w:p>
    <w:p w14:paraId="4BB45679" w14:textId="77777777" w:rsidR="00443399" w:rsidRPr="00B03B51" w:rsidRDefault="00443399" w:rsidP="00443399">
      <w:pPr>
        <w:pStyle w:val="BodyText"/>
        <w:spacing w:before="0"/>
        <w:ind w:left="0" w:firstLine="0"/>
        <w:jc w:val="both"/>
        <w:rPr>
          <w:rFonts w:ascii="Times New Roman" w:hAnsi="Times New Roman" w:cs="Times New Roman"/>
          <w:noProof/>
          <w:sz w:val="24"/>
        </w:rPr>
      </w:pPr>
    </w:p>
    <w:p w14:paraId="60664782" w14:textId="77777777" w:rsidR="00443399" w:rsidRPr="00B03B51" w:rsidRDefault="00443399" w:rsidP="00443399">
      <w:pPr>
        <w:pStyle w:val="Heading6"/>
        <w:tabs>
          <w:tab w:val="left" w:pos="1692"/>
        </w:tabs>
        <w:ind w:left="0" w:firstLine="0"/>
        <w:jc w:val="both"/>
        <w:rPr>
          <w:rFonts w:ascii="Times New Roman" w:hAnsi="Times New Roman" w:cs="Times New Roman"/>
          <w:noProof/>
          <w:sz w:val="24"/>
        </w:rPr>
      </w:pPr>
      <w:r w:rsidRPr="00B03B51">
        <w:rPr>
          <w:rFonts w:ascii="Times New Roman" w:hAnsi="Times New Roman" w:cs="Times New Roman"/>
          <w:sz w:val="24"/>
        </w:rPr>
        <w:t>6.3.1.5.3. Traktējuma pamatojums</w:t>
      </w:r>
    </w:p>
    <w:p w14:paraId="4ED2211D"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6E4D3C09"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28. Sabiedrība (koncesionārs), izmantojot aktīvu, rada pakalpojumu. Šo produkciju patērē aktīva lietotāji, veicot maksājumus sabiedrībai (piemēram, maksājot ceļa nodevu). Līdz ar to ir būtiski ierakstīt aktīvu sabiedrības bilancē ekspluatācijas periodā, ievērojot iepriekš minētos izņēmumus.</w:t>
      </w:r>
    </w:p>
    <w:p w14:paraId="240511B1" w14:textId="77777777" w:rsidR="00443399" w:rsidRPr="00B03B51" w:rsidRDefault="00443399" w:rsidP="00443399">
      <w:pPr>
        <w:jc w:val="both"/>
        <w:rPr>
          <w:rFonts w:ascii="Times New Roman" w:eastAsia="Arial" w:hAnsi="Times New Roman" w:cs="Times New Roman"/>
          <w:noProof/>
          <w:sz w:val="24"/>
          <w:szCs w:val="19"/>
        </w:rPr>
      </w:pPr>
    </w:p>
    <w:p w14:paraId="718486D8" w14:textId="77777777" w:rsidR="00443399" w:rsidRPr="00B03B51" w:rsidRDefault="00443399" w:rsidP="00443399">
      <w:pPr>
        <w:jc w:val="both"/>
        <w:rPr>
          <w:rFonts w:ascii="Times New Roman" w:hAnsi="Times New Roman" w:cs="Times New Roman"/>
          <w:b/>
          <w:noProof/>
          <w:sz w:val="24"/>
        </w:rPr>
      </w:pPr>
      <w:r w:rsidRPr="00B03B51">
        <w:rPr>
          <w:rFonts w:ascii="Times New Roman" w:hAnsi="Times New Roman" w:cs="Times New Roman"/>
          <w:b/>
          <w:sz w:val="24"/>
        </w:rPr>
        <w:t>1.a gadījums. Sabiedrība ir uzbūvējusi jaunu aktīvu</w:t>
      </w:r>
    </w:p>
    <w:p w14:paraId="0435FA9E" w14:textId="77777777" w:rsidR="00443399" w:rsidRPr="00B03B51" w:rsidRDefault="00443399" w:rsidP="00443399">
      <w:pPr>
        <w:jc w:val="both"/>
        <w:rPr>
          <w:rFonts w:ascii="Times New Roman" w:eastAsia="Arial" w:hAnsi="Times New Roman" w:cs="Times New Roman"/>
          <w:b/>
          <w:bCs/>
          <w:noProof/>
          <w:sz w:val="24"/>
        </w:rPr>
      </w:pPr>
    </w:p>
    <w:p w14:paraId="25DC337A"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29. Valdība var gūt ieņēmumus no sabiedrības turpmāk norādīto iemeslu dēļ.</w:t>
      </w:r>
    </w:p>
    <w:p w14:paraId="0BAF8C04"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689B2DDF" w14:textId="77777777" w:rsidR="00443399" w:rsidRPr="00B03B51" w:rsidRDefault="00443399" w:rsidP="00443399">
      <w:pPr>
        <w:pStyle w:val="BodyText"/>
        <w:tabs>
          <w:tab w:val="left" w:pos="1126"/>
        </w:tabs>
        <w:spacing w:before="0"/>
        <w:ind w:left="284" w:firstLine="0"/>
        <w:jc w:val="both"/>
        <w:rPr>
          <w:rFonts w:ascii="Times New Roman" w:hAnsi="Times New Roman" w:cs="Times New Roman"/>
          <w:noProof/>
          <w:sz w:val="24"/>
        </w:rPr>
      </w:pPr>
      <w:r w:rsidRPr="00B03B51">
        <w:rPr>
          <w:rFonts w:ascii="Times New Roman" w:hAnsi="Times New Roman" w:cs="Times New Roman"/>
          <w:sz w:val="24"/>
        </w:rPr>
        <w:lastRenderedPageBreak/>
        <w:t>i) Valdība sniedz kaut ko apmaiņā pret maksājumu.</w:t>
      </w:r>
    </w:p>
    <w:p w14:paraId="243BBB99" w14:textId="77777777" w:rsidR="00443399" w:rsidRPr="00B03B51" w:rsidRDefault="00443399" w:rsidP="00443399">
      <w:pPr>
        <w:pStyle w:val="BodyText"/>
        <w:spacing w:before="0"/>
        <w:ind w:left="284" w:firstLine="0"/>
        <w:jc w:val="both"/>
        <w:rPr>
          <w:rFonts w:ascii="Times New Roman" w:hAnsi="Times New Roman" w:cs="Times New Roman"/>
          <w:noProof/>
          <w:sz w:val="24"/>
        </w:rPr>
      </w:pPr>
    </w:p>
    <w:p w14:paraId="2298B287" w14:textId="77777777" w:rsidR="00443399" w:rsidRPr="00B03B51" w:rsidRDefault="00443399" w:rsidP="00443399">
      <w:pPr>
        <w:pStyle w:val="BodyText"/>
        <w:spacing w:before="0"/>
        <w:ind w:left="284" w:firstLine="0"/>
        <w:jc w:val="both"/>
        <w:rPr>
          <w:rFonts w:ascii="Times New Roman" w:hAnsi="Times New Roman" w:cs="Times New Roman"/>
          <w:noProof/>
          <w:sz w:val="24"/>
        </w:rPr>
      </w:pPr>
      <w:r w:rsidRPr="00B03B51">
        <w:rPr>
          <w:rFonts w:ascii="Times New Roman" w:hAnsi="Times New Roman" w:cs="Times New Roman"/>
          <w:sz w:val="24"/>
        </w:rPr>
        <w:t>Ieņēmumu klasifikācija ir atkarīga no tā, ko valdība sniedz. Parasti valdība piešķir zemi, uz kuras būvē aktīvu. Šajā gadījumā ieņēmumi no sabiedrības jāklasificē kā rente (D.45).</w:t>
      </w:r>
    </w:p>
    <w:p w14:paraId="5705A5A1" w14:textId="77777777" w:rsidR="00443399" w:rsidRPr="00B03B51" w:rsidRDefault="00443399" w:rsidP="00443399">
      <w:pPr>
        <w:pStyle w:val="BodyText"/>
        <w:spacing w:before="0"/>
        <w:ind w:left="0" w:firstLine="0"/>
        <w:jc w:val="both"/>
        <w:rPr>
          <w:rFonts w:ascii="Times New Roman" w:hAnsi="Times New Roman" w:cs="Times New Roman"/>
          <w:noProof/>
          <w:sz w:val="24"/>
        </w:rPr>
      </w:pPr>
    </w:p>
    <w:p w14:paraId="0EB0015C" w14:textId="77777777" w:rsidR="00443399" w:rsidRPr="00B03B51" w:rsidRDefault="00443399" w:rsidP="00443399">
      <w:pPr>
        <w:pStyle w:val="BodyText"/>
        <w:spacing w:before="0"/>
        <w:ind w:left="284" w:firstLine="0"/>
        <w:jc w:val="both"/>
        <w:rPr>
          <w:rFonts w:ascii="Times New Roman" w:hAnsi="Times New Roman" w:cs="Times New Roman"/>
          <w:noProof/>
          <w:sz w:val="24"/>
        </w:rPr>
      </w:pPr>
      <w:r w:rsidRPr="00B03B51">
        <w:rPr>
          <w:rFonts w:ascii="Times New Roman" w:hAnsi="Times New Roman" w:cs="Times New Roman"/>
          <w:sz w:val="24"/>
        </w:rPr>
        <w:t>Vai turpmāk norādītā iemesla dēļ.</w:t>
      </w:r>
    </w:p>
    <w:p w14:paraId="1130E12B" w14:textId="77777777" w:rsidR="00443399" w:rsidRPr="00B03B51" w:rsidRDefault="00443399" w:rsidP="00443399">
      <w:pPr>
        <w:pStyle w:val="BodyText"/>
        <w:tabs>
          <w:tab w:val="left" w:pos="1126"/>
        </w:tabs>
        <w:spacing w:before="0"/>
        <w:ind w:left="0" w:firstLine="0"/>
        <w:jc w:val="both"/>
        <w:rPr>
          <w:rFonts w:ascii="Times New Roman" w:hAnsi="Times New Roman" w:cs="Times New Roman"/>
          <w:noProof/>
          <w:sz w:val="24"/>
        </w:rPr>
      </w:pPr>
    </w:p>
    <w:p w14:paraId="1B3AF1AF" w14:textId="77777777" w:rsidR="00443399" w:rsidRPr="00B03B51" w:rsidRDefault="00443399" w:rsidP="00443399">
      <w:pPr>
        <w:pStyle w:val="BodyText"/>
        <w:tabs>
          <w:tab w:val="left" w:pos="1126"/>
        </w:tabs>
        <w:spacing w:before="0"/>
        <w:ind w:left="284" w:firstLine="0"/>
        <w:jc w:val="both"/>
        <w:rPr>
          <w:rFonts w:ascii="Times New Roman" w:hAnsi="Times New Roman" w:cs="Times New Roman"/>
          <w:noProof/>
          <w:sz w:val="24"/>
        </w:rPr>
      </w:pPr>
      <w:r w:rsidRPr="00B03B51">
        <w:rPr>
          <w:rFonts w:ascii="Times New Roman" w:hAnsi="Times New Roman" w:cs="Times New Roman"/>
          <w:sz w:val="24"/>
        </w:rPr>
        <w:t>ii) Valdība saņem maksājumu apmaiņā pret atļauju sabiedrībai veikt darbību.</w:t>
      </w:r>
    </w:p>
    <w:p w14:paraId="3F568FDB" w14:textId="77777777" w:rsidR="00443399" w:rsidRPr="00B03B51" w:rsidRDefault="00443399" w:rsidP="00443399">
      <w:pPr>
        <w:pStyle w:val="BodyText"/>
        <w:spacing w:before="0"/>
        <w:ind w:left="284" w:firstLine="0"/>
        <w:jc w:val="both"/>
        <w:rPr>
          <w:rFonts w:ascii="Times New Roman" w:hAnsi="Times New Roman" w:cs="Times New Roman"/>
          <w:noProof/>
          <w:sz w:val="24"/>
        </w:rPr>
      </w:pPr>
    </w:p>
    <w:p w14:paraId="76D990C2" w14:textId="77777777" w:rsidR="00443399" w:rsidRPr="00B03B51" w:rsidRDefault="00443399" w:rsidP="00443399">
      <w:pPr>
        <w:pStyle w:val="BodyText"/>
        <w:spacing w:before="0"/>
        <w:ind w:left="284" w:firstLine="0"/>
        <w:jc w:val="both"/>
        <w:rPr>
          <w:rFonts w:ascii="Times New Roman" w:hAnsi="Times New Roman" w:cs="Times New Roman"/>
          <w:noProof/>
          <w:sz w:val="24"/>
        </w:rPr>
      </w:pPr>
      <w:r w:rsidRPr="00B03B51">
        <w:rPr>
          <w:rFonts w:ascii="Times New Roman" w:hAnsi="Times New Roman" w:cs="Times New Roman"/>
          <w:sz w:val="24"/>
        </w:rPr>
        <w:t>Ja nav noteikti ierobežojumi attiecībā uz sabiedrības tiesībām nodot atļauju trešai personai un tiek ievēroti citi EKS 2010 15.37. punkta nosacījumi, to ieraksta kā neražota aktīva realizāciju (AN.223).</w:t>
      </w:r>
    </w:p>
    <w:p w14:paraId="13935844" w14:textId="77777777" w:rsidR="00443399" w:rsidRPr="00B03B51" w:rsidRDefault="00443399" w:rsidP="00443399">
      <w:pPr>
        <w:pStyle w:val="BodyText"/>
        <w:spacing w:before="0"/>
        <w:ind w:left="284" w:firstLine="0"/>
        <w:jc w:val="both"/>
        <w:rPr>
          <w:rFonts w:ascii="Times New Roman" w:hAnsi="Times New Roman" w:cs="Times New Roman"/>
          <w:noProof/>
          <w:sz w:val="24"/>
        </w:rPr>
      </w:pPr>
    </w:p>
    <w:p w14:paraId="16ADF0DD" w14:textId="77777777" w:rsidR="00443399" w:rsidRPr="00B03B51" w:rsidRDefault="00443399" w:rsidP="00443399">
      <w:pPr>
        <w:pStyle w:val="BodyText"/>
        <w:spacing w:before="0"/>
        <w:ind w:left="284" w:firstLine="0"/>
        <w:jc w:val="both"/>
        <w:rPr>
          <w:rFonts w:ascii="Times New Roman" w:hAnsi="Times New Roman" w:cs="Times New Roman"/>
          <w:noProof/>
          <w:sz w:val="24"/>
        </w:rPr>
      </w:pPr>
      <w:r w:rsidRPr="00B03B51">
        <w:rPr>
          <w:rFonts w:ascii="Times New Roman" w:hAnsi="Times New Roman" w:cs="Times New Roman"/>
          <w:sz w:val="24"/>
        </w:rPr>
        <w:t>Tomēr daudzos gadījumos atļauju ir aizliegts nodot vai attiecībā uz šādu nodošanu tiek piemēroti stingri ierobežojumi (piemēram, nepieciešams valdības apstiprinājums). Šādā gadījumā maksājums jāklasificē kā citi ražošanas nodokļi (D.29), kā minēts EKS 2010 4.23. punktā. Šāda summa jāieraksta atbilstīgi uzkrāšanas principam attiecībā uz visu koncesijas periodu neatkarīgi no tā, kāda naudas maksājumu kārtība tiek piemērota praksē.</w:t>
      </w:r>
    </w:p>
    <w:p w14:paraId="29FDFEB1"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10208CD1"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30. Ja ekspluatācijas perioda beigās infrastruktūra tiek nodota valdībai bez maksas, koncesijas perioda beigās valdības kontos ierakstīto bruto ieguldījumu pamatkapitālā līdzsvaro ar kapitāla pārvedumu (D.99).</w:t>
      </w:r>
    </w:p>
    <w:p w14:paraId="4BC6F076" w14:textId="77777777" w:rsidR="00443399" w:rsidRPr="00B03B51" w:rsidRDefault="00443399" w:rsidP="00443399">
      <w:pPr>
        <w:jc w:val="both"/>
        <w:rPr>
          <w:rFonts w:ascii="Times New Roman" w:eastAsia="Arial" w:hAnsi="Times New Roman" w:cs="Times New Roman"/>
          <w:noProof/>
          <w:sz w:val="24"/>
          <w:szCs w:val="18"/>
        </w:rPr>
      </w:pPr>
    </w:p>
    <w:p w14:paraId="2A03C419" w14:textId="77777777" w:rsidR="00443399" w:rsidRPr="00B03B51" w:rsidRDefault="00443399" w:rsidP="00443399">
      <w:pPr>
        <w:jc w:val="both"/>
        <w:rPr>
          <w:rFonts w:ascii="Times New Roman" w:hAnsi="Times New Roman" w:cs="Times New Roman"/>
          <w:b/>
          <w:noProof/>
          <w:sz w:val="24"/>
        </w:rPr>
      </w:pPr>
      <w:r w:rsidRPr="00B03B51">
        <w:rPr>
          <w:rFonts w:ascii="Times New Roman" w:hAnsi="Times New Roman" w:cs="Times New Roman"/>
          <w:b/>
          <w:sz w:val="24"/>
        </w:rPr>
        <w:t>1.b gadījums. Sabiedrībai nodod esošu ražotu aktīvu</w:t>
      </w:r>
    </w:p>
    <w:p w14:paraId="6D86B5C4" w14:textId="77777777" w:rsidR="00443399" w:rsidRPr="00B03B51" w:rsidRDefault="00443399" w:rsidP="00443399">
      <w:pPr>
        <w:jc w:val="both"/>
        <w:rPr>
          <w:rFonts w:ascii="Times New Roman" w:eastAsia="Arial" w:hAnsi="Times New Roman" w:cs="Times New Roman"/>
          <w:b/>
          <w:bCs/>
          <w:noProof/>
          <w:sz w:val="24"/>
        </w:rPr>
      </w:pPr>
    </w:p>
    <w:p w14:paraId="63F8135E"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31. Ja valdība nodod sabiedrībai esošu aktīvu, to ieraksta kā kapitāla iepludināšanu natūrā, ko savieno ar aktīvu realizāciju, neietekmējot valdības neto aizdevumu/aizņēmumu (B.9). Tomēr to var uzskatīt par nefinanšu aktīva apmaiņu pret finanšu aktīvu (valdības pašu kapitāls sabiedrībā, AF.5) atkarībā no valdības iegūtajām tiesībām. Ja valdība pretī nesaņem nekādas tiesības, tad aktīva nodošanu ieraksta kā negatīvu bruto ieguldījumu pamatkapitālā, kas kompensēts ar kapitāla pārvedumu.</w:t>
      </w:r>
    </w:p>
    <w:p w14:paraId="3F0BDE08" w14:textId="77777777" w:rsidR="00443399" w:rsidRPr="00B03B51" w:rsidRDefault="00443399" w:rsidP="00443399">
      <w:pPr>
        <w:jc w:val="both"/>
        <w:rPr>
          <w:rFonts w:ascii="Times New Roman" w:hAnsi="Times New Roman" w:cs="Times New Roman"/>
          <w:noProof/>
          <w:sz w:val="24"/>
        </w:rPr>
      </w:pPr>
    </w:p>
    <w:p w14:paraId="4551AD6D"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32. Ja šādai valdības vienībai ir pašu kapitāls sabiedrībā, sabiedrības maksājumus valdībai ir būtiski klasificēt kā dividendes (D.421), pat ja daļu no tām varētu uzskatīt par renti.</w:t>
      </w:r>
    </w:p>
    <w:p w14:paraId="6977043D"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15EA899B"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33. Aktīva atdošanu valdībai bez naudas maksājuma ieraksta kā valdības iegūtu aktīvu (P.51g), ko savieno ar ieņēmumiem no kapitāla pārveduma. Ja pašu kapitāls ir atzīts kā valdības aktīvs, pārvedumu ieraksta vienīgi kontā “Citas aktīvu apjoma pārmaiņas”.</w:t>
      </w:r>
    </w:p>
    <w:p w14:paraId="61ADB2EF" w14:textId="77777777" w:rsidR="00443399" w:rsidRPr="00FB0E17" w:rsidRDefault="00443399" w:rsidP="00FB0E17">
      <w:pPr>
        <w:rPr>
          <w:rFonts w:ascii="Times New Roman" w:hAnsi="Times New Roman" w:cs="Times New Roman"/>
          <w:noProof/>
          <w:sz w:val="24"/>
          <w:szCs w:val="24"/>
        </w:rPr>
      </w:pPr>
    </w:p>
    <w:p w14:paraId="5FB65A6E" w14:textId="77777777" w:rsidR="00443399" w:rsidRPr="00B03B51" w:rsidRDefault="00443399" w:rsidP="00443399">
      <w:pPr>
        <w:pStyle w:val="Heading6"/>
        <w:tabs>
          <w:tab w:val="left" w:pos="1692"/>
        </w:tabs>
        <w:ind w:left="0" w:firstLine="0"/>
        <w:jc w:val="both"/>
        <w:rPr>
          <w:rFonts w:ascii="Times New Roman" w:hAnsi="Times New Roman" w:cs="Times New Roman"/>
          <w:noProof/>
          <w:sz w:val="24"/>
        </w:rPr>
      </w:pPr>
      <w:r w:rsidRPr="00B03B51">
        <w:rPr>
          <w:rFonts w:ascii="Times New Roman" w:hAnsi="Times New Roman" w:cs="Times New Roman"/>
          <w:sz w:val="24"/>
        </w:rPr>
        <w:t>6.3.1.5.4. Uzskaites piemēri</w:t>
      </w:r>
    </w:p>
    <w:p w14:paraId="71B82578" w14:textId="77777777" w:rsidR="00443399" w:rsidRPr="00B03B51" w:rsidRDefault="00443399" w:rsidP="00443399">
      <w:pPr>
        <w:pStyle w:val="BodyText"/>
        <w:spacing w:before="0"/>
        <w:ind w:left="0" w:firstLine="0"/>
        <w:jc w:val="both"/>
        <w:rPr>
          <w:rFonts w:ascii="Times New Roman" w:hAnsi="Times New Roman" w:cs="Times New Roman"/>
          <w:noProof/>
          <w:sz w:val="24"/>
        </w:rPr>
      </w:pPr>
    </w:p>
    <w:p w14:paraId="408261EF" w14:textId="77777777" w:rsidR="00443399" w:rsidRPr="00B03B51" w:rsidRDefault="00443399" w:rsidP="00443399">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t>Turpmāk ir izklāstīti uzskaites traktējumi attiecībā uz diviem gadījumiem.</w:t>
      </w:r>
    </w:p>
    <w:p w14:paraId="64F3D2AE" w14:textId="77777777" w:rsidR="00443399" w:rsidRPr="00B03B51" w:rsidRDefault="00443399" w:rsidP="00443399">
      <w:pPr>
        <w:pStyle w:val="BodyText"/>
        <w:spacing w:before="0"/>
        <w:ind w:left="0" w:firstLine="0"/>
        <w:jc w:val="both"/>
        <w:rPr>
          <w:rFonts w:ascii="Times New Roman" w:hAnsi="Times New Roman" w:cs="Times New Roman"/>
          <w:noProof/>
          <w:sz w:val="24"/>
        </w:rPr>
      </w:pPr>
    </w:p>
    <w:p w14:paraId="78E65AA3" w14:textId="77777777" w:rsidR="00443399" w:rsidRPr="00B03B51" w:rsidRDefault="00443399" w:rsidP="00443399">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t>Valdības un sabiedrības kontu pilna secība nav sniegta, proti, parādīti tikai tie konti, kas attiecas uz aplūkotajiem gadījumiem.</w:t>
      </w:r>
    </w:p>
    <w:p w14:paraId="383021F7" w14:textId="77777777" w:rsidR="00443399" w:rsidRPr="00B03B51" w:rsidRDefault="00443399" w:rsidP="00443399">
      <w:pPr>
        <w:jc w:val="both"/>
        <w:rPr>
          <w:rFonts w:ascii="Times New Roman" w:eastAsia="Arial" w:hAnsi="Times New Roman" w:cs="Times New Roman"/>
          <w:noProof/>
          <w:sz w:val="24"/>
          <w:szCs w:val="19"/>
        </w:rPr>
      </w:pPr>
    </w:p>
    <w:p w14:paraId="2993D939" w14:textId="77777777" w:rsidR="00443399" w:rsidRPr="00B03B51" w:rsidRDefault="00443399" w:rsidP="00443399">
      <w:pPr>
        <w:jc w:val="both"/>
        <w:rPr>
          <w:rFonts w:ascii="Times New Roman" w:hAnsi="Times New Roman" w:cs="Times New Roman"/>
          <w:b/>
          <w:noProof/>
          <w:sz w:val="24"/>
        </w:rPr>
      </w:pPr>
      <w:r w:rsidRPr="00B03B51">
        <w:rPr>
          <w:rFonts w:ascii="Times New Roman" w:hAnsi="Times New Roman" w:cs="Times New Roman"/>
          <w:b/>
          <w:sz w:val="24"/>
        </w:rPr>
        <w:t>1.a gadījums. Sabiedrība ir uzbūvējusi jaunu aktīvu</w:t>
      </w:r>
    </w:p>
    <w:p w14:paraId="2801270A" w14:textId="77777777" w:rsidR="00443399" w:rsidRPr="00B03B51" w:rsidRDefault="00443399" w:rsidP="00443399">
      <w:pPr>
        <w:jc w:val="both"/>
        <w:rPr>
          <w:rFonts w:ascii="Times New Roman" w:eastAsia="Arial" w:hAnsi="Times New Roman" w:cs="Times New Roman"/>
          <w:b/>
          <w:bCs/>
          <w:noProof/>
          <w:sz w:val="24"/>
        </w:rPr>
      </w:pPr>
    </w:p>
    <w:p w14:paraId="4F438179" w14:textId="77777777" w:rsidR="00443399" w:rsidRPr="00B03B51" w:rsidRDefault="00443399" w:rsidP="00BD35E2">
      <w:pPr>
        <w:pStyle w:val="BodyText"/>
        <w:numPr>
          <w:ilvl w:val="5"/>
          <w:numId w:val="48"/>
        </w:numPr>
        <w:spacing w:before="0"/>
        <w:ind w:left="426" w:hanging="425"/>
        <w:jc w:val="both"/>
        <w:rPr>
          <w:rFonts w:ascii="Times New Roman" w:hAnsi="Times New Roman" w:cs="Times New Roman"/>
          <w:noProof/>
          <w:sz w:val="24"/>
        </w:rPr>
      </w:pPr>
      <w:r w:rsidRPr="00B03B51">
        <w:rPr>
          <w:rFonts w:ascii="Times New Roman" w:hAnsi="Times New Roman" w:cs="Times New Roman"/>
          <w:sz w:val="24"/>
        </w:rPr>
        <w:t>Sabiedrība ir uzbūvējusi aktīvu par 250 naudas vienībām.</w:t>
      </w:r>
    </w:p>
    <w:p w14:paraId="6BCAECCD" w14:textId="77777777" w:rsidR="00443399" w:rsidRPr="00B03B51" w:rsidRDefault="00443399" w:rsidP="00BD35E2">
      <w:pPr>
        <w:pStyle w:val="BodyText"/>
        <w:numPr>
          <w:ilvl w:val="5"/>
          <w:numId w:val="48"/>
        </w:numPr>
        <w:spacing w:before="0"/>
        <w:ind w:left="426" w:hanging="425"/>
        <w:jc w:val="both"/>
        <w:rPr>
          <w:rFonts w:ascii="Times New Roman" w:hAnsi="Times New Roman" w:cs="Times New Roman"/>
          <w:noProof/>
          <w:sz w:val="24"/>
        </w:rPr>
      </w:pPr>
      <w:r w:rsidRPr="00B03B51">
        <w:rPr>
          <w:rFonts w:ascii="Times New Roman" w:hAnsi="Times New Roman" w:cs="Times New Roman"/>
          <w:sz w:val="24"/>
        </w:rPr>
        <w:t>Sabiedrība maksā valdībai renti/nodokļus (pirmajā gadā maksājumi veido 100 naudas vienības).</w:t>
      </w:r>
    </w:p>
    <w:p w14:paraId="62EB5940" w14:textId="77777777" w:rsidR="00443399" w:rsidRPr="00B03B51" w:rsidRDefault="00443399" w:rsidP="00BD35E2">
      <w:pPr>
        <w:pStyle w:val="BodyText"/>
        <w:numPr>
          <w:ilvl w:val="5"/>
          <w:numId w:val="48"/>
        </w:numPr>
        <w:spacing w:before="0"/>
        <w:ind w:left="426" w:hanging="425"/>
        <w:jc w:val="both"/>
        <w:rPr>
          <w:rFonts w:ascii="Times New Roman" w:hAnsi="Times New Roman" w:cs="Times New Roman"/>
          <w:noProof/>
          <w:sz w:val="24"/>
        </w:rPr>
      </w:pPr>
      <w:r w:rsidRPr="00B03B51">
        <w:rPr>
          <w:rFonts w:ascii="Times New Roman" w:hAnsi="Times New Roman" w:cs="Times New Roman"/>
          <w:sz w:val="24"/>
        </w:rPr>
        <w:lastRenderedPageBreak/>
        <w:t>Ekspluatācijas perioda beigās infrastruktūru atdod valdībai bez naudas maksājuma (tās tirgus vērtība ir 200 naudas vienības).</w:t>
      </w:r>
    </w:p>
    <w:p w14:paraId="79CBD1ED" w14:textId="77777777" w:rsidR="00443399" w:rsidRPr="00B03B51" w:rsidRDefault="00443399" w:rsidP="00443399">
      <w:pPr>
        <w:jc w:val="both"/>
        <w:rPr>
          <w:rFonts w:ascii="Times New Roman" w:hAnsi="Times New Roman" w:cs="Times New Roman"/>
          <w:b/>
          <w:noProof/>
          <w:sz w:val="24"/>
        </w:rPr>
      </w:pPr>
    </w:p>
    <w:p w14:paraId="1B415D99" w14:textId="77777777" w:rsidR="00443399" w:rsidRPr="00B03B51" w:rsidRDefault="00443399" w:rsidP="00443399">
      <w:pPr>
        <w:jc w:val="both"/>
        <w:rPr>
          <w:rFonts w:ascii="Times New Roman" w:hAnsi="Times New Roman" w:cs="Times New Roman"/>
          <w:b/>
          <w:noProof/>
          <w:sz w:val="24"/>
        </w:rPr>
      </w:pPr>
      <w:r w:rsidRPr="00B03B51">
        <w:rPr>
          <w:rFonts w:ascii="Times New Roman" w:hAnsi="Times New Roman" w:cs="Times New Roman"/>
          <w:b/>
          <w:sz w:val="24"/>
        </w:rPr>
        <w:t>Būvniecība un pirmais ekspluatācijas gads</w:t>
      </w:r>
    </w:p>
    <w:p w14:paraId="35B06AA8" w14:textId="77777777" w:rsidR="00443399" w:rsidRPr="00B03B51" w:rsidRDefault="00443399" w:rsidP="00443399">
      <w:pPr>
        <w:jc w:val="both"/>
        <w:rPr>
          <w:rFonts w:ascii="Times New Roman" w:eastAsia="Arial" w:hAnsi="Times New Roman" w:cs="Times New Roman"/>
          <w:b/>
          <w:bCs/>
          <w:noProof/>
          <w:sz w:val="24"/>
        </w:rPr>
      </w:pPr>
    </w:p>
    <w:p w14:paraId="4BF89216" w14:textId="77777777" w:rsidR="00443399" w:rsidRPr="00B03B51" w:rsidRDefault="00443399" w:rsidP="00443399">
      <w:pPr>
        <w:jc w:val="center"/>
        <w:rPr>
          <w:rFonts w:ascii="Times New Roman" w:eastAsia="Arial" w:hAnsi="Times New Roman" w:cs="Times New Roman"/>
          <w:b/>
          <w:bCs/>
          <w:noProof/>
          <w:sz w:val="24"/>
        </w:rPr>
      </w:pPr>
      <w:r w:rsidRPr="00B03B51">
        <w:rPr>
          <w:rFonts w:ascii="Times New Roman" w:hAnsi="Times New Roman" w:cs="Times New Roman"/>
          <w:noProof/>
        </w:rPr>
        <w:drawing>
          <wp:inline distT="0" distB="0" distL="0" distR="0" wp14:anchorId="6C79C75A" wp14:editId="16E1BA90">
            <wp:extent cx="5756275" cy="1449705"/>
            <wp:effectExtent l="0" t="0" r="0" b="0"/>
            <wp:docPr id="138" name="Attēls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8"/>
                    <a:stretch>
                      <a:fillRect/>
                    </a:stretch>
                  </pic:blipFill>
                  <pic:spPr>
                    <a:xfrm>
                      <a:off x="0" y="0"/>
                      <a:ext cx="5756275" cy="1449705"/>
                    </a:xfrm>
                    <a:prstGeom prst="rect">
                      <a:avLst/>
                    </a:prstGeom>
                  </pic:spPr>
                </pic:pic>
              </a:graphicData>
            </a:graphic>
          </wp:inline>
        </w:drawing>
      </w:r>
    </w:p>
    <w:p w14:paraId="1A0934C7" w14:textId="77777777" w:rsidR="00443399" w:rsidRPr="00B03B51" w:rsidRDefault="00443399" w:rsidP="00443399">
      <w:pPr>
        <w:jc w:val="both"/>
        <w:rPr>
          <w:rFonts w:ascii="Times New Roman" w:eastAsia="Arial" w:hAnsi="Times New Roman" w:cs="Times New Roman"/>
          <w:b/>
          <w:bCs/>
          <w:noProof/>
          <w:sz w:val="24"/>
        </w:rPr>
      </w:pPr>
    </w:p>
    <w:p w14:paraId="6E3A8783" w14:textId="77777777" w:rsidR="00443399" w:rsidRPr="00B03B51" w:rsidRDefault="00443399" w:rsidP="003E2678">
      <w:pPr>
        <w:jc w:val="both"/>
        <w:rPr>
          <w:rFonts w:ascii="Times New Roman" w:hAnsi="Times New Roman" w:cs="Times New Roman"/>
          <w:b/>
          <w:noProof/>
          <w:sz w:val="24"/>
        </w:rPr>
      </w:pPr>
      <w:r w:rsidRPr="00B03B51">
        <w:rPr>
          <w:rFonts w:ascii="Times New Roman" w:hAnsi="Times New Roman" w:cs="Times New Roman"/>
          <w:b/>
          <w:sz w:val="24"/>
        </w:rPr>
        <w:t>Infrastruktūras atdošana ekspluatācijas perioda beigās</w:t>
      </w:r>
    </w:p>
    <w:p w14:paraId="566DA8E5" w14:textId="77777777" w:rsidR="00443399" w:rsidRPr="00B03B51" w:rsidRDefault="00443399" w:rsidP="003E2678">
      <w:pPr>
        <w:pStyle w:val="BodyText"/>
        <w:spacing w:before="0"/>
        <w:ind w:left="0" w:firstLine="0"/>
        <w:jc w:val="both"/>
        <w:rPr>
          <w:rFonts w:ascii="Times New Roman" w:eastAsia="Symbol" w:hAnsi="Times New Roman" w:cs="Times New Roman"/>
          <w:noProof/>
          <w:sz w:val="24"/>
        </w:rPr>
      </w:pPr>
    </w:p>
    <w:p w14:paraId="47F54038" w14:textId="77777777" w:rsidR="00443399" w:rsidRPr="00B03B51" w:rsidRDefault="00443399" w:rsidP="00BD35E2">
      <w:pPr>
        <w:pStyle w:val="BodyText"/>
        <w:spacing w:before="0"/>
        <w:ind w:left="0" w:firstLine="0"/>
        <w:jc w:val="center"/>
        <w:rPr>
          <w:rFonts w:ascii="Times New Roman" w:eastAsia="Symbol" w:hAnsi="Times New Roman" w:cs="Times New Roman"/>
          <w:noProof/>
          <w:sz w:val="24"/>
        </w:rPr>
      </w:pPr>
      <w:r w:rsidRPr="00B03B51">
        <w:rPr>
          <w:rFonts w:ascii="Times New Roman" w:hAnsi="Times New Roman" w:cs="Times New Roman"/>
          <w:noProof/>
        </w:rPr>
        <w:drawing>
          <wp:inline distT="0" distB="0" distL="0" distR="0" wp14:anchorId="6CBEEB52" wp14:editId="73568DCA">
            <wp:extent cx="5756275" cy="3450590"/>
            <wp:effectExtent l="0" t="0" r="0" b="0"/>
            <wp:docPr id="145" name="Attēls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9"/>
                    <a:stretch>
                      <a:fillRect/>
                    </a:stretch>
                  </pic:blipFill>
                  <pic:spPr>
                    <a:xfrm>
                      <a:off x="0" y="0"/>
                      <a:ext cx="5756275" cy="3450590"/>
                    </a:xfrm>
                    <a:prstGeom prst="rect">
                      <a:avLst/>
                    </a:prstGeom>
                  </pic:spPr>
                </pic:pic>
              </a:graphicData>
            </a:graphic>
          </wp:inline>
        </w:drawing>
      </w:r>
    </w:p>
    <w:p w14:paraId="26AD74D2" w14:textId="77777777" w:rsidR="00443399" w:rsidRPr="00B03B51" w:rsidRDefault="00443399" w:rsidP="00443399">
      <w:pPr>
        <w:jc w:val="both"/>
        <w:rPr>
          <w:rFonts w:ascii="Times New Roman" w:hAnsi="Times New Roman" w:cs="Times New Roman"/>
          <w:noProof/>
          <w:sz w:val="24"/>
        </w:rPr>
      </w:pPr>
    </w:p>
    <w:p w14:paraId="676752E9" w14:textId="77777777" w:rsidR="00443399" w:rsidRPr="00B03B51" w:rsidRDefault="00443399" w:rsidP="00443399">
      <w:pPr>
        <w:jc w:val="both"/>
        <w:rPr>
          <w:rFonts w:ascii="Times New Roman" w:hAnsi="Times New Roman" w:cs="Times New Roman"/>
          <w:b/>
          <w:noProof/>
          <w:sz w:val="24"/>
        </w:rPr>
      </w:pPr>
      <w:r w:rsidRPr="00B03B51">
        <w:rPr>
          <w:rFonts w:ascii="Times New Roman" w:hAnsi="Times New Roman" w:cs="Times New Roman"/>
          <w:b/>
          <w:sz w:val="24"/>
        </w:rPr>
        <w:t>2. gadījums. Sabiedrībai nodod esošu ražotu aktīvu</w:t>
      </w:r>
    </w:p>
    <w:p w14:paraId="01E49E73" w14:textId="77777777" w:rsidR="00443399" w:rsidRPr="00B03B51" w:rsidRDefault="00443399" w:rsidP="00443399">
      <w:pPr>
        <w:jc w:val="both"/>
        <w:rPr>
          <w:rFonts w:ascii="Times New Roman" w:eastAsia="Arial" w:hAnsi="Times New Roman" w:cs="Times New Roman"/>
          <w:b/>
          <w:bCs/>
          <w:noProof/>
          <w:sz w:val="24"/>
        </w:rPr>
      </w:pPr>
    </w:p>
    <w:p w14:paraId="3A9F412C" w14:textId="77777777" w:rsidR="00443399" w:rsidRPr="00B03B51" w:rsidRDefault="00443399" w:rsidP="00BD35E2">
      <w:pPr>
        <w:pStyle w:val="BodyText"/>
        <w:numPr>
          <w:ilvl w:val="5"/>
          <w:numId w:val="48"/>
        </w:numPr>
        <w:spacing w:before="0"/>
        <w:ind w:left="426" w:hanging="425"/>
        <w:jc w:val="both"/>
        <w:rPr>
          <w:rFonts w:ascii="Times New Roman" w:hAnsi="Times New Roman" w:cs="Times New Roman"/>
          <w:noProof/>
          <w:sz w:val="24"/>
        </w:rPr>
      </w:pPr>
      <w:r w:rsidRPr="00B03B51">
        <w:rPr>
          <w:rFonts w:ascii="Times New Roman" w:hAnsi="Times New Roman" w:cs="Times New Roman"/>
          <w:sz w:val="24"/>
        </w:rPr>
        <w:t>Ekspluatācijas sākumā valdība nodod infrastruktūru sabiedrībai (par 1000 naudas vienībām).</w:t>
      </w:r>
    </w:p>
    <w:p w14:paraId="0A9412F3" w14:textId="77777777" w:rsidR="00443399" w:rsidRPr="00B03B51" w:rsidRDefault="00443399" w:rsidP="00BD35E2">
      <w:pPr>
        <w:pStyle w:val="BodyText"/>
        <w:numPr>
          <w:ilvl w:val="5"/>
          <w:numId w:val="48"/>
        </w:numPr>
        <w:spacing w:before="0"/>
        <w:ind w:left="426" w:hanging="425"/>
        <w:jc w:val="both"/>
        <w:rPr>
          <w:rFonts w:ascii="Times New Roman" w:hAnsi="Times New Roman" w:cs="Times New Roman"/>
          <w:noProof/>
          <w:sz w:val="24"/>
        </w:rPr>
      </w:pPr>
      <w:r w:rsidRPr="00B03B51">
        <w:rPr>
          <w:rFonts w:ascii="Times New Roman" w:hAnsi="Times New Roman" w:cs="Times New Roman"/>
          <w:sz w:val="24"/>
        </w:rPr>
        <w:t>Ir atzīts valdībai piederošais pašu kapitāls.</w:t>
      </w:r>
    </w:p>
    <w:p w14:paraId="6DA7B636" w14:textId="77777777" w:rsidR="00443399" w:rsidRPr="00B03B51" w:rsidRDefault="00443399" w:rsidP="00BD35E2">
      <w:pPr>
        <w:pStyle w:val="BodyText"/>
        <w:numPr>
          <w:ilvl w:val="5"/>
          <w:numId w:val="48"/>
        </w:numPr>
        <w:spacing w:before="0"/>
        <w:ind w:left="426" w:hanging="425"/>
        <w:jc w:val="both"/>
        <w:rPr>
          <w:rFonts w:ascii="Times New Roman" w:hAnsi="Times New Roman" w:cs="Times New Roman"/>
          <w:noProof/>
          <w:sz w:val="24"/>
        </w:rPr>
      </w:pPr>
      <w:r w:rsidRPr="00B03B51">
        <w:rPr>
          <w:rFonts w:ascii="Times New Roman" w:hAnsi="Times New Roman" w:cs="Times New Roman"/>
          <w:sz w:val="24"/>
        </w:rPr>
        <w:t>Ekspluatācijas perioda beigās infrastruktūru atdod valdībai (šajā brīdī tā tirgus vērtība ir 200 naudas vienības).</w:t>
      </w:r>
    </w:p>
    <w:p w14:paraId="56062FD3" w14:textId="77777777" w:rsidR="00443399" w:rsidRPr="00B03B51" w:rsidRDefault="00443399" w:rsidP="00443399">
      <w:pPr>
        <w:jc w:val="both"/>
        <w:rPr>
          <w:rFonts w:ascii="Times New Roman" w:hAnsi="Times New Roman" w:cs="Times New Roman"/>
          <w:b/>
          <w:noProof/>
          <w:sz w:val="24"/>
        </w:rPr>
      </w:pPr>
    </w:p>
    <w:p w14:paraId="46659562" w14:textId="77777777" w:rsidR="00443399" w:rsidRPr="00B03B51" w:rsidRDefault="00443399" w:rsidP="003E2678">
      <w:pPr>
        <w:keepNext/>
        <w:jc w:val="both"/>
        <w:rPr>
          <w:rFonts w:ascii="Times New Roman" w:hAnsi="Times New Roman" w:cs="Times New Roman"/>
          <w:b/>
          <w:noProof/>
          <w:sz w:val="24"/>
        </w:rPr>
      </w:pPr>
      <w:r w:rsidRPr="00B03B51">
        <w:rPr>
          <w:rFonts w:ascii="Times New Roman" w:hAnsi="Times New Roman" w:cs="Times New Roman"/>
          <w:b/>
          <w:sz w:val="24"/>
        </w:rPr>
        <w:lastRenderedPageBreak/>
        <w:t>Aktīva sākotnējā nodošana</w:t>
      </w:r>
    </w:p>
    <w:p w14:paraId="4220A160" w14:textId="77777777" w:rsidR="00443399" w:rsidRPr="00B03B51" w:rsidRDefault="00443399" w:rsidP="003E2678">
      <w:pPr>
        <w:keepNext/>
        <w:jc w:val="both"/>
        <w:rPr>
          <w:rFonts w:ascii="Times New Roman" w:eastAsia="Arial" w:hAnsi="Times New Roman" w:cs="Times New Roman"/>
          <w:b/>
          <w:bCs/>
          <w:noProof/>
          <w:sz w:val="24"/>
          <w:szCs w:val="20"/>
        </w:rPr>
      </w:pPr>
    </w:p>
    <w:p w14:paraId="78DBB25E" w14:textId="77777777" w:rsidR="00443399" w:rsidRPr="00B03B51" w:rsidRDefault="00443399" w:rsidP="003E2678">
      <w:pPr>
        <w:keepNext/>
        <w:jc w:val="center"/>
        <w:rPr>
          <w:rFonts w:ascii="Times New Roman" w:eastAsia="Arial" w:hAnsi="Times New Roman" w:cs="Times New Roman"/>
          <w:b/>
          <w:bCs/>
          <w:noProof/>
          <w:sz w:val="24"/>
          <w:szCs w:val="20"/>
        </w:rPr>
      </w:pPr>
      <w:r w:rsidRPr="00B03B51">
        <w:rPr>
          <w:rFonts w:ascii="Times New Roman" w:hAnsi="Times New Roman" w:cs="Times New Roman"/>
          <w:noProof/>
        </w:rPr>
        <w:drawing>
          <wp:inline distT="0" distB="0" distL="0" distR="0" wp14:anchorId="5A8A78E4" wp14:editId="0D4C9C12">
            <wp:extent cx="5756275" cy="3106420"/>
            <wp:effectExtent l="0" t="0" r="0" b="0"/>
            <wp:docPr id="146" name="Attēls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0"/>
                    <a:stretch>
                      <a:fillRect/>
                    </a:stretch>
                  </pic:blipFill>
                  <pic:spPr>
                    <a:xfrm>
                      <a:off x="0" y="0"/>
                      <a:ext cx="5756275" cy="3106420"/>
                    </a:xfrm>
                    <a:prstGeom prst="rect">
                      <a:avLst/>
                    </a:prstGeom>
                  </pic:spPr>
                </pic:pic>
              </a:graphicData>
            </a:graphic>
          </wp:inline>
        </w:drawing>
      </w:r>
    </w:p>
    <w:p w14:paraId="3E2D204E" w14:textId="77777777" w:rsidR="00443399" w:rsidRPr="00B03B51" w:rsidRDefault="00443399" w:rsidP="00BD35E2">
      <w:pPr>
        <w:jc w:val="both"/>
        <w:rPr>
          <w:rFonts w:ascii="Times New Roman" w:eastAsia="Arial" w:hAnsi="Times New Roman" w:cs="Times New Roman"/>
          <w:b/>
          <w:bCs/>
          <w:noProof/>
          <w:sz w:val="24"/>
          <w:szCs w:val="20"/>
        </w:rPr>
      </w:pPr>
    </w:p>
    <w:p w14:paraId="643D1BF0" w14:textId="77777777" w:rsidR="00443399" w:rsidRPr="00B03B51" w:rsidRDefault="00443399" w:rsidP="00443399">
      <w:pPr>
        <w:jc w:val="both"/>
        <w:rPr>
          <w:rFonts w:ascii="Times New Roman" w:hAnsi="Times New Roman" w:cs="Times New Roman"/>
          <w:b/>
          <w:noProof/>
          <w:sz w:val="24"/>
        </w:rPr>
      </w:pPr>
      <w:r w:rsidRPr="00B03B51">
        <w:rPr>
          <w:rFonts w:ascii="Times New Roman" w:hAnsi="Times New Roman" w:cs="Times New Roman"/>
          <w:b/>
          <w:sz w:val="24"/>
        </w:rPr>
        <w:t>Pirmais aktīva ekspluatācijas gads</w:t>
      </w:r>
    </w:p>
    <w:p w14:paraId="1765AA98" w14:textId="77777777" w:rsidR="00443399" w:rsidRPr="00B03B51" w:rsidRDefault="00443399" w:rsidP="00443399">
      <w:pPr>
        <w:jc w:val="both"/>
        <w:rPr>
          <w:rFonts w:ascii="Times New Roman" w:hAnsi="Times New Roman" w:cs="Times New Roman"/>
          <w:b/>
          <w:noProof/>
          <w:sz w:val="24"/>
        </w:rPr>
      </w:pPr>
    </w:p>
    <w:p w14:paraId="324E4BFB" w14:textId="77777777" w:rsidR="00443399" w:rsidRPr="00B03B51" w:rsidRDefault="00443399" w:rsidP="00BD35E2">
      <w:pPr>
        <w:jc w:val="center"/>
        <w:rPr>
          <w:rFonts w:ascii="Times New Roman" w:hAnsi="Times New Roman" w:cs="Times New Roman"/>
          <w:b/>
          <w:noProof/>
          <w:sz w:val="24"/>
        </w:rPr>
      </w:pPr>
      <w:r w:rsidRPr="00B03B51">
        <w:rPr>
          <w:rFonts w:ascii="Times New Roman" w:hAnsi="Times New Roman" w:cs="Times New Roman"/>
          <w:noProof/>
        </w:rPr>
        <w:drawing>
          <wp:inline distT="0" distB="0" distL="0" distR="0" wp14:anchorId="4F0C1ED4" wp14:editId="1F077F03">
            <wp:extent cx="5756275" cy="3301365"/>
            <wp:effectExtent l="0" t="0" r="0" b="0"/>
            <wp:docPr id="147" name="Attēls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1"/>
                    <a:stretch>
                      <a:fillRect/>
                    </a:stretch>
                  </pic:blipFill>
                  <pic:spPr>
                    <a:xfrm>
                      <a:off x="0" y="0"/>
                      <a:ext cx="5756275" cy="3301365"/>
                    </a:xfrm>
                    <a:prstGeom prst="rect">
                      <a:avLst/>
                    </a:prstGeom>
                  </pic:spPr>
                </pic:pic>
              </a:graphicData>
            </a:graphic>
          </wp:inline>
        </w:drawing>
      </w:r>
    </w:p>
    <w:p w14:paraId="00C5AFF5" w14:textId="77777777" w:rsidR="00443399" w:rsidRPr="00B03B51" w:rsidRDefault="00443399" w:rsidP="00443399">
      <w:pPr>
        <w:jc w:val="both"/>
        <w:rPr>
          <w:rFonts w:ascii="Times New Roman" w:hAnsi="Times New Roman" w:cs="Times New Roman"/>
          <w:b/>
          <w:noProof/>
          <w:sz w:val="24"/>
        </w:rPr>
      </w:pPr>
    </w:p>
    <w:p w14:paraId="3AFC0054" w14:textId="77777777" w:rsidR="00443399" w:rsidRPr="00B03B51" w:rsidRDefault="00443399" w:rsidP="00324FA9">
      <w:pPr>
        <w:keepNext/>
        <w:jc w:val="both"/>
        <w:rPr>
          <w:rFonts w:ascii="Times New Roman" w:hAnsi="Times New Roman" w:cs="Times New Roman"/>
          <w:b/>
          <w:noProof/>
          <w:sz w:val="24"/>
        </w:rPr>
      </w:pPr>
      <w:r w:rsidRPr="00B03B51">
        <w:rPr>
          <w:rFonts w:ascii="Times New Roman" w:hAnsi="Times New Roman" w:cs="Times New Roman"/>
          <w:b/>
          <w:sz w:val="24"/>
        </w:rPr>
        <w:lastRenderedPageBreak/>
        <w:t>Aktīva atdošana valdībai ekspluatācijas perioda beigās</w:t>
      </w:r>
    </w:p>
    <w:p w14:paraId="70A56471" w14:textId="77777777" w:rsidR="00443399" w:rsidRPr="00100B51" w:rsidRDefault="00443399" w:rsidP="00324FA9">
      <w:pPr>
        <w:keepNext/>
        <w:rPr>
          <w:rFonts w:ascii="Times New Roman" w:hAnsi="Times New Roman" w:cs="Times New Roman"/>
          <w:noProof/>
          <w:sz w:val="24"/>
          <w:szCs w:val="24"/>
        </w:rPr>
      </w:pPr>
      <w:bookmarkStart w:id="514" w:name="6.4_Public-Private_Partnerships_(PPPs)"/>
      <w:bookmarkStart w:id="515" w:name="_bookmark51"/>
      <w:bookmarkEnd w:id="514"/>
      <w:bookmarkEnd w:id="515"/>
    </w:p>
    <w:p w14:paraId="140B24C3" w14:textId="77777777" w:rsidR="00443399" w:rsidRPr="00B03B51" w:rsidRDefault="00443399" w:rsidP="00324FA9">
      <w:pPr>
        <w:keepNext/>
        <w:rPr>
          <w:sz w:val="24"/>
          <w:szCs w:val="24"/>
        </w:rPr>
      </w:pPr>
      <w:bookmarkStart w:id="516" w:name="_Toc67565183"/>
      <w:r w:rsidRPr="00B03B51">
        <w:rPr>
          <w:noProof/>
        </w:rPr>
        <w:drawing>
          <wp:inline distT="0" distB="0" distL="0" distR="0" wp14:anchorId="7DA06150" wp14:editId="0CC2485B">
            <wp:extent cx="5756275" cy="2037080"/>
            <wp:effectExtent l="0" t="0" r="0" b="1270"/>
            <wp:docPr id="148" name="Attēls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2"/>
                    <a:stretch>
                      <a:fillRect/>
                    </a:stretch>
                  </pic:blipFill>
                  <pic:spPr>
                    <a:xfrm>
                      <a:off x="0" y="0"/>
                      <a:ext cx="5756275" cy="2037080"/>
                    </a:xfrm>
                    <a:prstGeom prst="rect">
                      <a:avLst/>
                    </a:prstGeom>
                  </pic:spPr>
                </pic:pic>
              </a:graphicData>
            </a:graphic>
          </wp:inline>
        </w:drawing>
      </w:r>
      <w:bookmarkEnd w:id="516"/>
    </w:p>
    <w:p w14:paraId="0A8DFAED" w14:textId="77777777" w:rsidR="00443399" w:rsidRPr="00B03B51" w:rsidRDefault="00443399" w:rsidP="00443399">
      <w:pPr>
        <w:rPr>
          <w:rFonts w:ascii="Times New Roman" w:eastAsia="Arial" w:hAnsi="Times New Roman" w:cs="Times New Roman"/>
          <w:b/>
          <w:bCs/>
          <w:noProof/>
          <w:sz w:val="24"/>
          <w:szCs w:val="40"/>
        </w:rPr>
      </w:pPr>
      <w:r w:rsidRPr="00B03B51">
        <w:rPr>
          <w:rFonts w:ascii="Times New Roman" w:hAnsi="Times New Roman" w:cs="Times New Roman"/>
        </w:rPr>
        <w:br w:type="page"/>
      </w:r>
    </w:p>
    <w:p w14:paraId="03DFFE6A" w14:textId="77777777" w:rsidR="00443399" w:rsidRPr="00100B51" w:rsidRDefault="00443399" w:rsidP="00100B51">
      <w:pPr>
        <w:rPr>
          <w:rFonts w:ascii="Times New Roman" w:hAnsi="Times New Roman" w:cs="Times New Roman"/>
          <w:noProof/>
          <w:sz w:val="24"/>
          <w:szCs w:val="24"/>
        </w:rPr>
      </w:pPr>
    </w:p>
    <w:p w14:paraId="432FD158" w14:textId="77777777" w:rsidR="00443399" w:rsidRPr="00B03B51" w:rsidRDefault="00443399" w:rsidP="00443399">
      <w:pPr>
        <w:pStyle w:val="Heading2"/>
        <w:tabs>
          <w:tab w:val="left" w:pos="1135"/>
        </w:tabs>
        <w:spacing w:before="0"/>
        <w:ind w:left="0" w:firstLine="0"/>
        <w:jc w:val="both"/>
        <w:rPr>
          <w:rFonts w:ascii="Times New Roman" w:hAnsi="Times New Roman" w:cs="Times New Roman"/>
          <w:noProof/>
          <w:sz w:val="28"/>
          <w:szCs w:val="44"/>
        </w:rPr>
      </w:pPr>
      <w:bookmarkStart w:id="517" w:name="_Toc67565184"/>
      <w:r w:rsidRPr="00B03B51">
        <w:rPr>
          <w:rFonts w:ascii="Times New Roman" w:hAnsi="Times New Roman" w:cs="Times New Roman"/>
          <w:sz w:val="28"/>
          <w:szCs w:val="44"/>
        </w:rPr>
        <w:t>6.4. Publiskā un privātā partnerība (PPP)</w:t>
      </w:r>
      <w:bookmarkEnd w:id="517"/>
    </w:p>
    <w:p w14:paraId="1C7EF696" w14:textId="77777777" w:rsidR="00443399" w:rsidRPr="00B03B51" w:rsidRDefault="00443399" w:rsidP="00443399">
      <w:pPr>
        <w:tabs>
          <w:tab w:val="left" w:pos="1267"/>
        </w:tabs>
        <w:jc w:val="both"/>
        <w:rPr>
          <w:rFonts w:ascii="Times New Roman" w:hAnsi="Times New Roman" w:cs="Times New Roman"/>
          <w:b/>
          <w:noProof/>
          <w:sz w:val="24"/>
        </w:rPr>
      </w:pPr>
      <w:bookmarkStart w:id="518" w:name="6.4.1_Overview"/>
      <w:bookmarkEnd w:id="518"/>
    </w:p>
    <w:p w14:paraId="4DC69542" w14:textId="77777777" w:rsidR="00443399" w:rsidRPr="0037375A" w:rsidRDefault="00443399" w:rsidP="0037375A">
      <w:pPr>
        <w:pStyle w:val="Heading3"/>
        <w:keepNext/>
        <w:tabs>
          <w:tab w:val="left" w:pos="1267"/>
        </w:tabs>
        <w:ind w:left="0" w:firstLine="0"/>
        <w:jc w:val="both"/>
        <w:rPr>
          <w:rFonts w:ascii="Times New Roman" w:hAnsi="Times New Roman" w:cs="Times New Roman"/>
          <w:sz w:val="24"/>
        </w:rPr>
      </w:pPr>
      <w:r w:rsidRPr="00B03B51">
        <w:rPr>
          <w:rFonts w:ascii="Times New Roman" w:hAnsi="Times New Roman" w:cs="Times New Roman"/>
          <w:sz w:val="24"/>
        </w:rPr>
        <w:t>6.4.1. Pārskats</w:t>
      </w:r>
    </w:p>
    <w:p w14:paraId="5658EABA"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2C31D509"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 xml:space="preserve">1. Terminu </w:t>
      </w:r>
      <w:r w:rsidRPr="00B03B51">
        <w:rPr>
          <w:rFonts w:ascii="Times New Roman" w:hAnsi="Times New Roman" w:cs="Times New Roman"/>
          <w:b/>
          <w:bCs/>
          <w:sz w:val="24"/>
        </w:rPr>
        <w:t>“publiskā un privātā partnerība” (PPP)</w:t>
      </w:r>
      <w:r w:rsidRPr="00B03B51">
        <w:rPr>
          <w:rFonts w:ascii="Times New Roman" w:hAnsi="Times New Roman" w:cs="Times New Roman"/>
          <w:sz w:val="24"/>
        </w:rPr>
        <w:t xml:space="preserve"> plaši izmanto attiecībā uz daudziem dažādiem ilgtermiņa līgumiem starp valdību un sabiedrībām par publisko aktīvu nodrošināšanu. Šādās publiskās un privātās partnerībās valdība piekrīt pirkt tādus pakalpojumus no valdības sektoram nepiederošas vienības (partnera) ilgā laika posmā, kas izriet no īpašu “tam paredzētu aktīvu” izmantošanas, kurus valdības sektoram nepiederošā vienība uzbūvē šā pakalpojuma nodrošināšanai. Parasti aktīva aprīkojums tiek izmantots sabiedrisku pakalpojumu sniegšanai, piemēram, veselības aprūpē (slimnīcas), izglītībā (skolas un universitātes) un sabiedrības drošības nodrošināšanā (cietumi), vai atsevišķu transporta un sakaru struktūru jomā. Valdība var pirkt pakalpojumus arī savu vajadzību apmierināšanai, piemēram, biroja ēku gadījumā, ko izmanto valsts amatpersonas vispārējās pārvaldes vai citu specializēto pakalpojumu nodrošināšanai.</w:t>
      </w:r>
    </w:p>
    <w:p w14:paraId="0EC69097"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72A5ADEB"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2. Šajā nodaļā termins “PPP” tiek attiecināts vienīgi uz tiem ilgtermiņa līgumiem, kuri paredz, ka valdība maksā valdības sektorā neietilpstošam partnerim visus konkrētajā līgumā noteiktos maksājumus vai lielāko daļu šādu maksājumu, līdz ar to sedzot lielāko daļu no sniegtā pakalpojuma kopējām izmaksām (tostarp aktīvu amortizācijas izdevumus). Nacionālajos kontos šī pazīme nosaka atšķirību starp PPP un koncesijām. Koncesijas līguma gadījumā valdība neveic regulārus maksājumus partnerim vai arī šādi maksājumi, ja tie pastāv, neveido lielāko daļu no partnera saņemtajiem maksājumiem (skat. šīs rokasgrāmatas 6.3. nodaļu). Kā norādīts šajā nodaļā, PPP līguma gadījumā galalietotāji neveic tiešus maksājumus (t. i., proporcionāli aktīva izmantošanai un ar skaidru norādi par to, ka maksājums tiek veikts tikai par šādu izmantošanu) vai samaksā tikai nelielu daļu (un parasti par kādu konkrētu aktīva izmantošanas veidu</w:t>
      </w:r>
      <w:r w:rsidRPr="00B03B51">
        <w:rPr>
          <w:rStyle w:val="FootnoteReference"/>
          <w:rFonts w:ascii="Times New Roman" w:hAnsi="Times New Roman" w:cs="Times New Roman"/>
          <w:noProof/>
          <w:sz w:val="24"/>
        </w:rPr>
        <w:footnoteReference w:id="212"/>
      </w:r>
      <w:r w:rsidRPr="00B03B51">
        <w:rPr>
          <w:rFonts w:ascii="Times New Roman" w:hAnsi="Times New Roman" w:cs="Times New Roman"/>
          <w:sz w:val="24"/>
        </w:rPr>
        <w:t>) par tādu aktīvu izmantošanu, par kuriem tiks sniegts pakalpojums.</w:t>
      </w:r>
    </w:p>
    <w:p w14:paraId="590E11FF"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0BD546C5"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3. Galvenā statistikas problēma ir saistīta ar PPP līgumā iekļauto aktīvu klasifikāciju, proti, vai šie aktīvi būtu klasificējami kā valdības aktīvi (kas tādējādi nekavējoties ietekmē valdības neto aizdevumu/aizņēmumu (B.9) un parādu) vai kā partnera aktīvi (sadalot ietekmi uz valdības neto aizdevumu/aizņēmumu (B.9) (un uz aprēķināto parādu) visa līguma darbības termiņa laikā). Šis jautājums ir samērā līdzīgs tam, kā nošķirt operatīvo nomu no finanšu nomas, kas skaidrots EKS 2010 15. nodaļā</w:t>
      </w:r>
      <w:r w:rsidRPr="00B03B51">
        <w:rPr>
          <w:rStyle w:val="FootnoteReference"/>
          <w:rFonts w:ascii="Times New Roman" w:hAnsi="Times New Roman" w:cs="Times New Roman"/>
          <w:noProof/>
          <w:sz w:val="24"/>
        </w:rPr>
        <w:footnoteReference w:id="213"/>
      </w:r>
      <w:r w:rsidRPr="00B03B51">
        <w:rPr>
          <w:rFonts w:ascii="Times New Roman" w:hAnsi="Times New Roman" w:cs="Times New Roman"/>
          <w:sz w:val="24"/>
        </w:rPr>
        <w:t>.</w:t>
      </w:r>
    </w:p>
    <w:p w14:paraId="1008B2F6"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38C62E1B"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4. Izmantotās metodoloģiskās sistēmas rezultātā nacionālajos kontos PPP iesaistītos aktīvus var uzskatīt par valdības sektoram nepiederošiem aktīviem tikai tad, ja ir pārliecinoši pierādījumi, ka partneris vienlaikus uzņemas lielāko daļu risku un atlīdzību (tiešā veidā un saistībā ar aktīva izmantošanu), kas saistīti ar konkrētajā partnerībā izmantoto aktīvu. Tāpēc kā galvenais jautājums ir jāuzskata analīze par riska un atlīdzību sadali starp valdību un valdības sektorā neietilpstošo partneri</w:t>
      </w:r>
      <w:r w:rsidRPr="00B03B51">
        <w:rPr>
          <w:rStyle w:val="FootnoteReference"/>
          <w:rFonts w:ascii="Times New Roman" w:hAnsi="Times New Roman" w:cs="Times New Roman"/>
          <w:noProof/>
          <w:sz w:val="24"/>
        </w:rPr>
        <w:footnoteReference w:id="214"/>
      </w:r>
      <w:r w:rsidRPr="00B03B51">
        <w:rPr>
          <w:rFonts w:ascii="Times New Roman" w:hAnsi="Times New Roman" w:cs="Times New Roman"/>
          <w:sz w:val="24"/>
        </w:rPr>
        <w:t xml:space="preserve">. Šajā gadījumā ar risku saprot ietekmi (uz ieņēmumiem vai peļņu), ko </w:t>
      </w:r>
      <w:r w:rsidRPr="00B03B51">
        <w:rPr>
          <w:rFonts w:ascii="Times New Roman" w:hAnsi="Times New Roman" w:cs="Times New Roman"/>
          <w:sz w:val="24"/>
        </w:rPr>
        <w:lastRenderedPageBreak/>
        <w:t>rada vienas puses skaidri veikti pasākumi (saistīti ar būvniecību, apkopes pasākumiem, pakalpojumu sniegšanu, attiecībā uz ko puse ir uzņēmusies atbildību) un/vai kas rodas citu ekonomikas dalībnieku darbību rezultātā, kuru vajadzībām attiecīgais pasākums tiek veikts (piemēram, pārmaiņas valdības vai galalietotāju pieprasījumā pēc pakalpojuma). Risku uzņemšanās nozīmē to, ka pusei ir tiesības veikt pasākumus, lai novērstu šādus riskus vai mazinātu to ietekmi.</w:t>
      </w:r>
    </w:p>
    <w:p w14:paraId="25E39821"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274FE70F"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5. Šajā saistībā norādījumi par to, kā novērtēt risku, ir sniegti, pamatojoties uz trīs galvenajām riska kategorijām:</w:t>
      </w:r>
    </w:p>
    <w:p w14:paraId="3F5FDF59" w14:textId="77777777" w:rsidR="00443399" w:rsidRPr="00B03B51" w:rsidRDefault="00443399" w:rsidP="00443399">
      <w:pPr>
        <w:jc w:val="both"/>
        <w:rPr>
          <w:rFonts w:ascii="Times New Roman" w:hAnsi="Times New Roman" w:cs="Times New Roman"/>
          <w:noProof/>
          <w:sz w:val="24"/>
        </w:rPr>
      </w:pPr>
    </w:p>
    <w:p w14:paraId="5C083C50" w14:textId="77777777" w:rsidR="00443399" w:rsidRPr="00B03B51" w:rsidRDefault="00443399" w:rsidP="00BD35E2">
      <w:pPr>
        <w:pStyle w:val="BodyText"/>
        <w:numPr>
          <w:ilvl w:val="1"/>
          <w:numId w:val="47"/>
        </w:numPr>
        <w:spacing w:before="0"/>
        <w:ind w:left="426" w:hanging="425"/>
        <w:jc w:val="both"/>
        <w:rPr>
          <w:rFonts w:ascii="Times New Roman" w:hAnsi="Times New Roman" w:cs="Times New Roman"/>
          <w:noProof/>
          <w:sz w:val="24"/>
        </w:rPr>
      </w:pPr>
      <w:r w:rsidRPr="00B03B51">
        <w:rPr>
          <w:rFonts w:ascii="Times New Roman" w:hAnsi="Times New Roman" w:cs="Times New Roman"/>
          <w:sz w:val="24"/>
        </w:rPr>
        <w:t>“</w:t>
      </w:r>
      <w:r w:rsidRPr="00B03B51">
        <w:rPr>
          <w:rFonts w:ascii="Times New Roman" w:hAnsi="Times New Roman" w:cs="Times New Roman"/>
          <w:b/>
          <w:sz w:val="24"/>
        </w:rPr>
        <w:t>būvniecības risks</w:t>
      </w:r>
      <w:r w:rsidRPr="00B03B51">
        <w:rPr>
          <w:rFonts w:ascii="Times New Roman" w:hAnsi="Times New Roman" w:cs="Times New Roman"/>
          <w:sz w:val="24"/>
        </w:rPr>
        <w:t>”– ietver, piemēram, piegādes kavējumus, specifikāciju ievērošanu un papildu izmaksas;</w:t>
      </w:r>
    </w:p>
    <w:p w14:paraId="42FEA0E1" w14:textId="77777777" w:rsidR="00443399" w:rsidRPr="00B03B51" w:rsidRDefault="00443399" w:rsidP="00BD35E2">
      <w:pPr>
        <w:pStyle w:val="BodyText"/>
        <w:numPr>
          <w:ilvl w:val="1"/>
          <w:numId w:val="47"/>
        </w:numPr>
        <w:spacing w:before="0"/>
        <w:ind w:left="426" w:hanging="425"/>
        <w:jc w:val="both"/>
        <w:rPr>
          <w:rFonts w:ascii="Times New Roman" w:hAnsi="Times New Roman" w:cs="Times New Roman"/>
          <w:noProof/>
          <w:sz w:val="24"/>
        </w:rPr>
      </w:pPr>
      <w:r w:rsidRPr="00B03B51">
        <w:rPr>
          <w:rFonts w:ascii="Times New Roman" w:hAnsi="Times New Roman" w:cs="Times New Roman"/>
          <w:sz w:val="24"/>
        </w:rPr>
        <w:t>“</w:t>
      </w:r>
      <w:r w:rsidRPr="00B03B51">
        <w:rPr>
          <w:rFonts w:ascii="Times New Roman" w:hAnsi="Times New Roman" w:cs="Times New Roman"/>
          <w:b/>
          <w:sz w:val="24"/>
        </w:rPr>
        <w:t>pieejamības risks</w:t>
      </w:r>
      <w:r w:rsidRPr="00B03B51">
        <w:rPr>
          <w:rFonts w:ascii="Times New Roman" w:hAnsi="Times New Roman" w:cs="Times New Roman"/>
          <w:sz w:val="24"/>
        </w:rPr>
        <w:t>” – ietver produkcijas apjomu un kvalitāti (saistīts ar partnera darbības rezultātu);</w:t>
      </w:r>
    </w:p>
    <w:p w14:paraId="3D6EAD15" w14:textId="77777777" w:rsidR="00443399" w:rsidRPr="00B03B51" w:rsidRDefault="00443399" w:rsidP="00BD35E2">
      <w:pPr>
        <w:pStyle w:val="BodyText"/>
        <w:numPr>
          <w:ilvl w:val="1"/>
          <w:numId w:val="47"/>
        </w:numPr>
        <w:spacing w:before="0"/>
        <w:ind w:left="426" w:hanging="425"/>
        <w:jc w:val="both"/>
        <w:rPr>
          <w:rFonts w:ascii="Times New Roman" w:hAnsi="Times New Roman" w:cs="Times New Roman"/>
          <w:noProof/>
          <w:sz w:val="24"/>
        </w:rPr>
      </w:pPr>
      <w:r w:rsidRPr="00B03B51">
        <w:rPr>
          <w:rFonts w:ascii="Times New Roman" w:hAnsi="Times New Roman" w:cs="Times New Roman"/>
          <w:sz w:val="24"/>
        </w:rPr>
        <w:t>“</w:t>
      </w:r>
      <w:r w:rsidRPr="00B03B51">
        <w:rPr>
          <w:rFonts w:ascii="Times New Roman" w:hAnsi="Times New Roman" w:cs="Times New Roman"/>
          <w:b/>
          <w:sz w:val="24"/>
        </w:rPr>
        <w:t>pieprasījuma risks</w:t>
      </w:r>
      <w:r w:rsidRPr="00B03B51">
        <w:rPr>
          <w:rFonts w:ascii="Times New Roman" w:hAnsi="Times New Roman" w:cs="Times New Roman"/>
          <w:sz w:val="24"/>
        </w:rPr>
        <w:t>”– ietver pieprasījuma mainīgumu (galalietotāju faktiskais patēriņš).</w:t>
      </w:r>
    </w:p>
    <w:p w14:paraId="59F2D432"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53C36CA3"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6. Parasti, ciktāl tas attiecas uz riskiem, PPP aktīvus klasificē partnera bilancē, nevis valdības bilancē, ja vien ir izpildīti turpmāk norādītie nosacījumi.</w:t>
      </w:r>
    </w:p>
    <w:p w14:paraId="0B2B8754"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1FF35A63" w14:textId="77777777" w:rsidR="00443399" w:rsidRPr="00B03B51" w:rsidRDefault="00443399" w:rsidP="00BD35E2">
      <w:pPr>
        <w:pStyle w:val="BodyText"/>
        <w:numPr>
          <w:ilvl w:val="1"/>
          <w:numId w:val="47"/>
        </w:numPr>
        <w:spacing w:before="0"/>
        <w:ind w:left="426" w:hanging="425"/>
        <w:jc w:val="both"/>
        <w:rPr>
          <w:rFonts w:ascii="Times New Roman" w:hAnsi="Times New Roman" w:cs="Times New Roman"/>
          <w:noProof/>
          <w:sz w:val="24"/>
        </w:rPr>
      </w:pPr>
      <w:r w:rsidRPr="00B03B51">
        <w:rPr>
          <w:rFonts w:ascii="Times New Roman" w:hAnsi="Times New Roman" w:cs="Times New Roman"/>
          <w:sz w:val="24"/>
        </w:rPr>
        <w:t>Partneris uzņemas būvniecības</w:t>
      </w:r>
      <w:r w:rsidRPr="00B03B51">
        <w:rPr>
          <w:rStyle w:val="FootnoteReference"/>
          <w:rFonts w:ascii="Times New Roman" w:hAnsi="Times New Roman" w:cs="Times New Roman"/>
          <w:noProof/>
          <w:sz w:val="24"/>
        </w:rPr>
        <w:footnoteReference w:id="215"/>
      </w:r>
      <w:r w:rsidRPr="00B03B51">
        <w:rPr>
          <w:rFonts w:ascii="Times New Roman" w:hAnsi="Times New Roman" w:cs="Times New Roman"/>
          <w:sz w:val="24"/>
        </w:rPr>
        <w:t xml:space="preserve"> riskus.</w:t>
      </w:r>
    </w:p>
    <w:p w14:paraId="55DF5CA2" w14:textId="77777777" w:rsidR="00443399" w:rsidRPr="00B03B51" w:rsidRDefault="00443399" w:rsidP="00BD35E2">
      <w:pPr>
        <w:pStyle w:val="BodyText"/>
        <w:numPr>
          <w:ilvl w:val="1"/>
          <w:numId w:val="47"/>
        </w:numPr>
        <w:spacing w:before="0"/>
        <w:ind w:left="426" w:hanging="425"/>
        <w:jc w:val="both"/>
        <w:rPr>
          <w:rFonts w:ascii="Times New Roman" w:hAnsi="Times New Roman" w:cs="Times New Roman"/>
          <w:noProof/>
          <w:sz w:val="24"/>
        </w:rPr>
      </w:pPr>
      <w:r w:rsidRPr="00B03B51">
        <w:rPr>
          <w:rFonts w:ascii="Times New Roman" w:hAnsi="Times New Roman" w:cs="Times New Roman"/>
          <w:sz w:val="24"/>
        </w:rPr>
        <w:t>Partneris uzņemas vismaz pieejamības risku vai pieprasījuma risku (kā norādīts līgumā), bet dažos gadījumos (skat. turpmāk 6.4.3.2. apakšiedaļu) gan pieejamības risku, gan pieprasījuma risku. Jāuzsver, ka vairumā līgumu tikai viena veida risks ierosina visu (vai gandrīz) visu maksājumu, ko valdība veic partnerim; maksājums tiek veikts, pamatojoties vai nu uz aktīva rādītāju pieejamību, vai uz aktīva izmantošanu/apmeklētību. Pēdējo minēto gadījumu ievēro tikai tad, ja tas atkarīgs no galalietotājiem, nevis no maksājumu veicošās valdības vienības.</w:t>
      </w:r>
    </w:p>
    <w:p w14:paraId="74F1966E" w14:textId="77777777" w:rsidR="00443399" w:rsidRPr="00B03B51" w:rsidRDefault="00443399" w:rsidP="00BD35E2">
      <w:pPr>
        <w:pStyle w:val="BodyText"/>
        <w:numPr>
          <w:ilvl w:val="1"/>
          <w:numId w:val="47"/>
        </w:numPr>
        <w:spacing w:before="0"/>
        <w:ind w:left="426" w:hanging="425"/>
        <w:jc w:val="both"/>
        <w:rPr>
          <w:rFonts w:ascii="Times New Roman" w:hAnsi="Times New Roman" w:cs="Times New Roman"/>
          <w:noProof/>
          <w:sz w:val="24"/>
        </w:rPr>
      </w:pPr>
      <w:r w:rsidRPr="00B03B51">
        <w:rPr>
          <w:rFonts w:ascii="Times New Roman" w:hAnsi="Times New Roman" w:cs="Times New Roman"/>
          <w:sz w:val="24"/>
        </w:rPr>
        <w:t>Valdība neuzņemas riskus ar citu līdzekļu starpniecību, piemēram, ar valdības finansējuma, valdības garantiju un pirmstermiņa izpirkšanas klauzulu starpniecību.</w:t>
      </w:r>
    </w:p>
    <w:p w14:paraId="7324E328"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692B76A1"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7. Ja tiek izpildīti minētie nosacījumi, svarīgi ir arī izvērtēt visus citus līgumā norādītos mehānismus, lai pārbaudītu, vai valdībai varētu nodot riskus, izmantojot citus līdzekļus. Ja tas tā nav</w:t>
      </w:r>
      <w:r w:rsidRPr="00B03B51">
        <w:rPr>
          <w:rStyle w:val="FootnoteReference"/>
          <w:rFonts w:ascii="Times New Roman" w:hAnsi="Times New Roman" w:cs="Times New Roman"/>
          <w:noProof/>
          <w:sz w:val="24"/>
        </w:rPr>
        <w:footnoteReference w:id="216"/>
      </w:r>
      <w:r w:rsidRPr="00B03B51">
        <w:rPr>
          <w:rFonts w:ascii="Times New Roman" w:hAnsi="Times New Roman" w:cs="Times New Roman"/>
          <w:sz w:val="24"/>
        </w:rPr>
        <w:t>, PPP uzskaites traktējums varētu līdzināties operatīvās nomas traktējumam nacionālajos kontos; proti, to varētu klasificēt kā pakalpojumu pirkšanu, ko veic valdība.</w:t>
      </w:r>
    </w:p>
    <w:p w14:paraId="4372FD7E"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2D73A00B"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8. Ja 6. rindkopā minētie nosacījumi nav izpildīti, ja valdība uzņemas riskus, izmantojot citus mehānismus, vai ja valdība gūst labumu no vairuma atlīdzību, tad aktīvus ieraksta valdības bilancē. Šajā gadījumā traktējums nacionālajos kontos varētu būt līdzīgs finanšu nomas traktējumam, saskaņā ar kuru ir jāieraksta valdības kapitāla izdevumi un finanšu saistības.</w:t>
      </w:r>
    </w:p>
    <w:p w14:paraId="47CF9499" w14:textId="77777777" w:rsidR="00443399" w:rsidRPr="00B03B51" w:rsidRDefault="00443399" w:rsidP="00443399">
      <w:pPr>
        <w:jc w:val="both"/>
        <w:rPr>
          <w:rFonts w:ascii="Times New Roman" w:eastAsia="Arial" w:hAnsi="Times New Roman" w:cs="Times New Roman"/>
          <w:noProof/>
          <w:sz w:val="24"/>
          <w:szCs w:val="18"/>
        </w:rPr>
      </w:pPr>
    </w:p>
    <w:p w14:paraId="018479D1" w14:textId="77777777" w:rsidR="00443399" w:rsidRPr="00B03B51" w:rsidRDefault="00443399" w:rsidP="00324FA9">
      <w:pPr>
        <w:pStyle w:val="Heading3"/>
        <w:keepNext/>
        <w:tabs>
          <w:tab w:val="left" w:pos="1267"/>
        </w:tabs>
        <w:ind w:left="0" w:firstLine="0"/>
        <w:jc w:val="both"/>
        <w:rPr>
          <w:rFonts w:ascii="Times New Roman" w:hAnsi="Times New Roman" w:cs="Times New Roman"/>
          <w:noProof/>
          <w:sz w:val="24"/>
        </w:rPr>
      </w:pPr>
      <w:bookmarkStart w:id="519" w:name="6.4.2_Background"/>
      <w:bookmarkStart w:id="520" w:name="_Toc67565185"/>
      <w:bookmarkEnd w:id="519"/>
      <w:r w:rsidRPr="00B03B51">
        <w:rPr>
          <w:rFonts w:ascii="Times New Roman" w:hAnsi="Times New Roman" w:cs="Times New Roman"/>
          <w:sz w:val="24"/>
        </w:rPr>
        <w:lastRenderedPageBreak/>
        <w:t>6.4.2. Vispārīga informācija</w:t>
      </w:r>
      <w:bookmarkEnd w:id="520"/>
    </w:p>
    <w:p w14:paraId="5241FE4C" w14:textId="77777777" w:rsidR="00443399" w:rsidRPr="0037375A" w:rsidRDefault="00443399" w:rsidP="00324FA9">
      <w:pPr>
        <w:keepNext/>
        <w:rPr>
          <w:rFonts w:ascii="Times New Roman" w:hAnsi="Times New Roman" w:cs="Times New Roman"/>
          <w:noProof/>
          <w:sz w:val="24"/>
          <w:szCs w:val="24"/>
        </w:rPr>
      </w:pPr>
      <w:bookmarkStart w:id="521" w:name="6.4.2.1_The_development_of_PPPs"/>
      <w:bookmarkEnd w:id="521"/>
    </w:p>
    <w:p w14:paraId="48C58C5E" w14:textId="77777777" w:rsidR="00443399" w:rsidRPr="00B03B51" w:rsidRDefault="00443399" w:rsidP="00324FA9">
      <w:pPr>
        <w:pStyle w:val="Heading6"/>
        <w:keepNext/>
        <w:tabs>
          <w:tab w:val="left" w:pos="1267"/>
        </w:tabs>
        <w:ind w:left="0" w:firstLine="0"/>
        <w:jc w:val="both"/>
        <w:rPr>
          <w:rFonts w:ascii="Times New Roman" w:hAnsi="Times New Roman" w:cs="Times New Roman"/>
          <w:noProof/>
          <w:sz w:val="24"/>
        </w:rPr>
      </w:pPr>
      <w:r w:rsidRPr="00B03B51">
        <w:rPr>
          <w:rFonts w:ascii="Times New Roman" w:hAnsi="Times New Roman" w:cs="Times New Roman"/>
          <w:sz w:val="24"/>
        </w:rPr>
        <w:t>6.4.2.1. PPP ATTĪSTĪBA</w:t>
      </w:r>
    </w:p>
    <w:p w14:paraId="5DA6C086" w14:textId="77777777" w:rsidR="00443399" w:rsidRPr="00B03B51" w:rsidRDefault="00443399" w:rsidP="00324FA9">
      <w:pPr>
        <w:pStyle w:val="BodyText"/>
        <w:keepNext/>
        <w:tabs>
          <w:tab w:val="left" w:pos="843"/>
        </w:tabs>
        <w:spacing w:before="0"/>
        <w:ind w:left="0" w:firstLine="0"/>
        <w:jc w:val="both"/>
        <w:rPr>
          <w:rFonts w:ascii="Times New Roman" w:hAnsi="Times New Roman" w:cs="Times New Roman"/>
          <w:noProof/>
          <w:sz w:val="24"/>
        </w:rPr>
      </w:pPr>
    </w:p>
    <w:p w14:paraId="6134AE5E" w14:textId="77777777" w:rsidR="00443399" w:rsidRPr="00B03B51" w:rsidRDefault="00443399" w:rsidP="00324FA9">
      <w:pPr>
        <w:pStyle w:val="BodyText"/>
        <w:keepN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 xml:space="preserve">9. PPP </w:t>
      </w:r>
      <w:r w:rsidRPr="00B03B51">
        <w:rPr>
          <w:rFonts w:ascii="Times New Roman" w:hAnsi="Times New Roman" w:cs="Times New Roman"/>
          <w:b/>
          <w:sz w:val="24"/>
        </w:rPr>
        <w:t>nozīmē ilgtermiņa attiecības</w:t>
      </w:r>
      <w:r w:rsidRPr="00B03B51">
        <w:rPr>
          <w:rFonts w:ascii="Times New Roman" w:hAnsi="Times New Roman" w:cs="Times New Roman"/>
          <w:sz w:val="24"/>
        </w:rPr>
        <w:t xml:space="preserve"> atbilstoši konkrētiem līgumiem, kuros ir skaidri noteikti katra partnera pienākumi un tiesības. Praksē PPP līgumi galvenokārt tiek slēgti vismaz uz 20 gadiem. PPP līguma darbības termiņš parasti ir atkarīgs no aktīvu veida (kāds ir gaidāmais to nolietojuma termiņš), taču var būt gadījumi, kad līguma termiņš ir mazāks par 15 gadiem vai pat par 10 gadiem. Šādos gadījumos jāveic īpaša analīze, lai novērtētu, vai šādus līgumus varētu uzskatīt par PPP šīs nodaļas izpratnē. Līgums varētu neatbilst PPP definīcijai, ja tā darbības termiņš varētu būt ilgāks par laikposmu, kurā jānodrošina aktīva saimnieciskā izmantošana, un ja līguma darbības laikā aktīvu nāktos vienu vai vairākas reizes nomainīt.</w:t>
      </w:r>
    </w:p>
    <w:p w14:paraId="3D12363F"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7EB7F084"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10. Papildus mērķim izmantot partnera prasmes un kompetences, lai uzlabotu valdības pakalpojumu kvalitāti un samazinātu to izmaksas, PPP var veidot arī budžeta ierobežojumu dēļ, kas liek valdībai meklēt alternatīvus līdzekļus un ārējus resursus koplietošanas aprīkojuma būvniecībai vai pilnveidei. Parasti šādi līgumi ļauj sadalīt jauno aktīvu izmaksas pa visu laika posmu, kad tie tiek izmantoti, līdz ar to novēršot nepieciešamību pēc lieliem sākotnējiem valdības kapitāla izdevumiem un attiecīgām naudas izmaksām, kas rastos, ja valdība būtu izmantojusi tiešu iepirkuma procedūru infrastruktūras būvniecībai.</w:t>
      </w:r>
    </w:p>
    <w:p w14:paraId="7192EBCA"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2C6C9DB1" w14:textId="195464FE"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 xml:space="preserve">11. No šīs pazīmes </w:t>
      </w:r>
      <w:r w:rsidRPr="00B03B51">
        <w:rPr>
          <w:rFonts w:ascii="Times New Roman" w:hAnsi="Times New Roman" w:cs="Times New Roman"/>
          <w:b/>
          <w:sz w:val="24"/>
        </w:rPr>
        <w:t>izriet</w:t>
      </w:r>
      <w:r w:rsidRPr="00B03B51">
        <w:rPr>
          <w:rFonts w:ascii="Times New Roman" w:hAnsi="Times New Roman" w:cs="Times New Roman"/>
          <w:sz w:val="24"/>
        </w:rPr>
        <w:t>, ka ir jāizvērtē valdības maksājumu grafiks. Piemēram, ja izdevumus, kas partnerim rodas saistībā ar aktīva būvniecību (visa aktīva vai būtiskas tā daļas būvniecību), valdība būtu atmaksājusi aktīva ekspluatācijas posma sākumā vienā vai dažos lielas summas maksājumos (vienreizēj</w:t>
      </w:r>
      <w:r w:rsidR="008B4F65" w:rsidRPr="00B03B51">
        <w:rPr>
          <w:rFonts w:ascii="Times New Roman" w:hAnsi="Times New Roman" w:cs="Times New Roman"/>
          <w:sz w:val="24"/>
        </w:rPr>
        <w:t>i maksājumi</w:t>
      </w:r>
      <w:r w:rsidRPr="00B03B51">
        <w:rPr>
          <w:rFonts w:ascii="Times New Roman" w:hAnsi="Times New Roman" w:cs="Times New Roman"/>
          <w:sz w:val="24"/>
        </w:rPr>
        <w:t>), līgumu varētu uzskatīt par iepirkuma pakalpojumu sniegšanu attiecībā uz aktīvu, kas jāiekļauj valdības bilancē, pēc kura tiek noslēgts pakalpojuma līgums uz atlikušo līguma darbības laiku. Jebkurā gadījumā šādi valdības veikti maksājumi vienmēr jāuzskata par valdības izdevumiem (ja aktīvu ieraksta ārpus valdības bilances) un nevis par priekšapmaksu par nodevu, kas būs pieejama nākotnē.</w:t>
      </w:r>
    </w:p>
    <w:p w14:paraId="5DEA6C23"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05435695"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12. Statistikas speciālistu pienākums nav izpētīt šo partnerību iemeslus, pamatojumu un efektivitāti (izdevīgumu) vai izteikt viedokli par attiecīgo projektu ekonomisko un finansiālo dzīvotspēju, jo īpaši salīdzinot tos ar citām ieguldījumu pieejām. Statistiķiem ir tikai jāsniedz skaidri norādījumi par PPP projektu traktējumu nacionālajos kontos un saistībā ar pārmērīgu budžeta deficīta novēršanas procedūru ir jānosaka to ietekme uz vispārējās valdības neto aizdevumu/aizņēmumu (B.9) un parādu. Tāpēc ir svarīgi pareizi īstenot nacionālo kontu vispārējos principus šajā jomā, lai nodrošinātu, ka visās ES dalībvalstīs tiek ievēroti valdības statistikas noteikumi un saskanība, un lai valstu neto aizdevuma/aizņēmuma (B.9) un parāda rādītāji būtu pilnībā salīdzināmi.</w:t>
      </w:r>
      <w:r w:rsidRPr="00B03B51">
        <w:rPr>
          <w:rStyle w:val="FootnoteReference"/>
          <w:rFonts w:ascii="Times New Roman" w:hAnsi="Times New Roman" w:cs="Times New Roman"/>
          <w:noProof/>
          <w:sz w:val="24"/>
        </w:rPr>
        <w:footnoteReference w:id="217"/>
      </w:r>
    </w:p>
    <w:p w14:paraId="035D39C5"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2A7DF16A"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13. Tāpat statistikas speciālistiem nav jāsniedz sīka PPP definīcija, jo šo jēdzienu var plaši izmantot dažādu pasākumu raksturošanai, un pārlieku ierobežojoša definīcija arī nav atbilstoša, ņemot vērā minētās partnerības sarežģītību un jauninājumus. Tā vietā viņiem ir pienācīgi jānosaka pamatkritēriji, lai nacionālo kontu speciālisti varētu viegli analizēt līgumus, skaidri atšķirot dažādos iespējamos pasākumus, kas varētu būt novērojami praksē, un piemērojot EKS 2010 minētos noteikumus.</w:t>
      </w:r>
    </w:p>
    <w:p w14:paraId="3CA347D9" w14:textId="77777777" w:rsidR="00443399" w:rsidRPr="00B03B51" w:rsidRDefault="00443399" w:rsidP="00443399">
      <w:pPr>
        <w:jc w:val="both"/>
        <w:rPr>
          <w:rFonts w:ascii="Times New Roman" w:eastAsia="Arial" w:hAnsi="Times New Roman" w:cs="Times New Roman"/>
          <w:noProof/>
          <w:sz w:val="24"/>
          <w:szCs w:val="15"/>
        </w:rPr>
      </w:pPr>
    </w:p>
    <w:p w14:paraId="5F082F97" w14:textId="77777777" w:rsidR="00443399" w:rsidRPr="00B03B51" w:rsidRDefault="00443399" w:rsidP="00443399">
      <w:pPr>
        <w:pStyle w:val="Heading6"/>
        <w:tabs>
          <w:tab w:val="left" w:pos="1267"/>
        </w:tabs>
        <w:ind w:left="0" w:firstLine="0"/>
        <w:jc w:val="both"/>
        <w:rPr>
          <w:rFonts w:ascii="Times New Roman" w:hAnsi="Times New Roman" w:cs="Times New Roman"/>
          <w:noProof/>
          <w:sz w:val="24"/>
        </w:rPr>
      </w:pPr>
      <w:bookmarkStart w:id="522" w:name="6.4.2.2_Characteristics_of_PPPs"/>
      <w:bookmarkEnd w:id="522"/>
      <w:r w:rsidRPr="00B03B51">
        <w:rPr>
          <w:rFonts w:ascii="Times New Roman" w:hAnsi="Times New Roman" w:cs="Times New Roman"/>
          <w:sz w:val="24"/>
        </w:rPr>
        <w:lastRenderedPageBreak/>
        <w:t>6.4.2.2. PPP PAZĪMES</w:t>
      </w:r>
    </w:p>
    <w:p w14:paraId="581692F0"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750FEE48"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14. PPP konkrētāk attiecas uz tādām partnerībām, kuras ir paredzētas valdības pakalpojumu sniegšanai un kurās valdības maksājumi veido lielāko daļu no maksas, ko saskaņā ar līgumu saņem partneris.</w:t>
      </w:r>
    </w:p>
    <w:p w14:paraId="7F352BF9"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35E4FE59"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15. Praksē PPP mēdz veidot tādās darbībās jomās, kurās valdība parasti ir būtiski iesaistīta (piemēram, transports, izglītība, veselības aprūpe, drošība u. c.). Valdība parasti slēdz līgumu ar vienu vai vairākiem pieredzējušiem komerciālajiem partneriem tieši vai ar tādas īpašam nolūkam dibinātas sabiedrības starpniecību, kas izveidota konkrētam PPP mērķim, lai saņemtu pakalpojumus, kas izriet no konkrētā aktīva. Šie pakalpojumi pēc definīcijas noteikti iekļauj ēku un struktūru uzturēšanu (tostarp kapitālremontus), bet var iekļaut arī citas darbības, kas noteiktā pakāpē nodrošina pakalpojumu faktisku darbību (apkure, drošības pakalpojumi utt.). No vienas puses, dažus pakalpojumus var īstenot citi ekonomikas dalībnieki, kas nav partnera personāls (piemēram, medicīniskais vai izglītības personāls slimnīcās vai skolās), tādējādi par to īstenošanu partneris nav tieši atbildīgs. No otras puses, partneris var sniegt pats vai nodot apakšuzņēmējam dažus pakalpojumus, kas tiek veikti ēkā vai struktūrā, bet kas nav aktīva pamata izmantošana.</w:t>
      </w:r>
    </w:p>
    <w:p w14:paraId="2CFE5ECB"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35877002"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16. Šādos līgumos norāda īpaši paredzētus aktīvus, kam parasti ir nepieciešami vai nu būtiski sākotnējie kapitāla izdevumi, vai arī lieli renovēšanas vai atjaunošanas darbi, kā arī nosaka saskaņoto pakalpojumu sniegšanu, saistībā ar kuriem ir jāizmanto minētie aktīvi (līgumā var iekļaut arī pakalpojumus, kas nav tieši saistīti ar šiem aktīviem</w:t>
      </w:r>
      <w:r w:rsidRPr="00B03B51">
        <w:rPr>
          <w:rStyle w:val="FootnoteReference"/>
          <w:rFonts w:ascii="Times New Roman" w:hAnsi="Times New Roman" w:cs="Times New Roman"/>
          <w:noProof/>
          <w:sz w:val="24"/>
        </w:rPr>
        <w:footnoteReference w:id="218"/>
      </w:r>
      <w:r w:rsidRPr="00B03B51">
        <w:rPr>
          <w:rFonts w:ascii="Times New Roman" w:hAnsi="Times New Roman" w:cs="Times New Roman"/>
          <w:sz w:val="24"/>
        </w:rPr>
        <w:t>), ievērojot līgumā noteiktos kvalitātes un apjoma standartus. Tieši pakalpojumu komponenta dēļ PPP līgumi atšķiras no nomas.</w:t>
      </w:r>
    </w:p>
    <w:p w14:paraId="27E0C389"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74BA2B32"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17. Līgums var būt noslēgts attiecībā uz jaunu aktīvu vai paredzēt valdībai iepriekš piederošo un tās ekspluatēto aktīvu būtisku renovāciju, modernizāciju vai uzlabošanu. Ja līgums paredz nevis jauna aktīva būvniecību, bet jau esoša aktīva renovāciju/atjaunošanu, šajā saistībā veiktā darba izmaksām ir jāveido lielākā daļa no aktīva vērtības pēc darbu pabeigšanas. Pretējā gadījumā (ja darba izmaksas nepārsniedz 50 % no aktīva vērtības) līgums nav uzskatāms par šajā nodaļā noteikto PPP, un tā vietā līgums ir jāsadala aktīvu iepirkuma līgumā un pakalpojumu līgumā, atlikušo aktīvu ierakstot valdības vienības bilancē.</w:t>
      </w:r>
    </w:p>
    <w:p w14:paraId="2518017F"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24FE2102"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18. Dažiem aktīviem tirgus cena nav zināma, jo nav tādu darījumu, vai aktīvi pēc būtības ir pārāk specifiski, lai būtu iespējams izmantot salīdzinošās novērtēšanas metodi. Šādā gadījumā vērtība ir jānosaka, pamatojoties uz “pārvērtētajām iegādes izmaksām, no kurām atskaitīti uzkrātie norakstījumi”. Turklāt šajā vērtībā jāņem vērā precīzs aktīvu stāvoklis, kas nozīmē, ka gadījumā, ja nepieciešama ļoti būtiska renovācija, aktīva vērtība ir samērā zema. Vēl viena problēma ir tā, ka atjaunošanas/renovācijas izdevumi palielinās visa aktīva vērtību (pat to daļu vērtību, kuras nav renovētas) virs radušos izdevumu vērtības. Šādu ietekmi varētu būt sarežģīti mērīt. Praktisks princips būtu pārbaudīt, vai paredzētie kapitāla izdevumi pārsniedz vismaz aktīvu vērtību pirms renovācijas.</w:t>
      </w:r>
    </w:p>
    <w:p w14:paraId="44450239"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26731CE6"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 xml:space="preserve">19. Ņemot vērā minēto, ja esošais un darbojošais PPP līgums kādu iemeslu dēļ tiktu apturēts un jauns līgums vēlāk tiktu noslēgts ar jaunu partneri (izsludinot jaunu konkursa procedūru), jaunais līgums vairs netiktu uzskatīts par PPP, ja tiktu parakstīts vecā līguma darbības posmā, jo jaunais partneris neuzņemas nekādu būvniecības risku. Būtībā līgumu var uzskatīt par PPP tikai tad, ja ir aktīvs, kas jābūvē vai jāatjaunina, un ja ir skaidri identificējams būvniecības </w:t>
      </w:r>
      <w:r w:rsidRPr="00B03B51">
        <w:rPr>
          <w:rFonts w:ascii="Times New Roman" w:hAnsi="Times New Roman" w:cs="Times New Roman"/>
          <w:sz w:val="24"/>
        </w:rPr>
        <w:lastRenderedPageBreak/>
        <w:t>risks</w:t>
      </w:r>
      <w:r w:rsidRPr="00B03B51">
        <w:rPr>
          <w:rStyle w:val="FootnoteReference"/>
          <w:rFonts w:ascii="Times New Roman" w:hAnsi="Times New Roman" w:cs="Times New Roman"/>
          <w:noProof/>
          <w:sz w:val="24"/>
        </w:rPr>
        <w:footnoteReference w:id="219"/>
      </w:r>
      <w:r w:rsidRPr="00B03B51">
        <w:rPr>
          <w:rFonts w:ascii="Times New Roman" w:hAnsi="Times New Roman" w:cs="Times New Roman"/>
          <w:sz w:val="24"/>
        </w:rPr>
        <w:t>.</w:t>
      </w:r>
    </w:p>
    <w:p w14:paraId="29287561" w14:textId="77777777" w:rsidR="00443399" w:rsidRPr="00B03B51" w:rsidRDefault="00443399" w:rsidP="00443399">
      <w:pPr>
        <w:pStyle w:val="BodyText"/>
        <w:tabs>
          <w:tab w:val="left" w:pos="895"/>
        </w:tabs>
        <w:spacing w:before="0"/>
        <w:ind w:left="0" w:firstLine="0"/>
        <w:jc w:val="both"/>
        <w:rPr>
          <w:rFonts w:ascii="Times New Roman" w:hAnsi="Times New Roman" w:cs="Times New Roman"/>
          <w:noProof/>
          <w:sz w:val="24"/>
        </w:rPr>
      </w:pPr>
    </w:p>
    <w:p w14:paraId="102BCB34" w14:textId="77777777" w:rsidR="00443399" w:rsidRPr="00B03B51" w:rsidRDefault="00443399" w:rsidP="00443399">
      <w:pPr>
        <w:pStyle w:val="BodyText"/>
        <w:tabs>
          <w:tab w:val="left" w:pos="895"/>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20. Ja līgums tiek apturēts būvniecības posmā, ir jāanalizē, vai būvniecības lielākā daļa jau ir paveikta vai ne. Ja jaunajam partnerim (kas izraudzīts konkursa procedūrā) nebūs jāveic nekāda būvniecība, līgums ir jāuzskata vienkārši par pakalpojumu sniegšanas līgumu saistībā ar jau esošu aktīvu, un aktīvs būtu automātiski jāpārklasificē valdības bilancē brīdī, kad iepriekšējais līgums tiek apturēts un vecais partneris vairs nav aktīvu ekonomiskais īpašnieks</w:t>
      </w:r>
      <w:r w:rsidRPr="00B03B51">
        <w:rPr>
          <w:rStyle w:val="FootnoteReference"/>
          <w:rFonts w:ascii="Times New Roman" w:hAnsi="Times New Roman" w:cs="Times New Roman"/>
          <w:noProof/>
          <w:sz w:val="24"/>
        </w:rPr>
        <w:footnoteReference w:id="220"/>
      </w:r>
      <w:r w:rsidRPr="00B03B51">
        <w:rPr>
          <w:rFonts w:ascii="Times New Roman" w:hAnsi="Times New Roman" w:cs="Times New Roman"/>
          <w:sz w:val="24"/>
        </w:rPr>
        <w:t>. Dažkārt, lai arī var paiet zināms laiks no brīža, kad oficiāli tiek izbeigts iepriekšējais līgums, valdība var organizēt jaunu izsoli un jaunais partneris var piekrist pārņemt uzturēšanas uzdevumus atlikušajā līguma termiņā, t. i., pārvaldīt aktīvus un saistītos pakalpojumus attiecībā uz jau uzbūvētu aktīvu. Šādos gadījumos maksājumus valdībai ieraksta kā finansiālo avansu valdībai, kas tiktu pakāpeniski dzēsts ar turpmākiem regulāriem (vienotiem) maksājumiem partnerim (ņemot vērā tā faktisko sniegumu). Tomēr var arī gadīties, ka sākotnējais partneris ar valdības piekrišanu vienkārši nodod PPP līgumu citam partnerim</w:t>
      </w:r>
      <w:r w:rsidRPr="00B03B51">
        <w:rPr>
          <w:rStyle w:val="FootnoteReference"/>
          <w:rFonts w:ascii="Times New Roman" w:hAnsi="Times New Roman" w:cs="Times New Roman"/>
          <w:noProof/>
          <w:sz w:val="24"/>
        </w:rPr>
        <w:footnoteReference w:id="221"/>
      </w:r>
      <w:r w:rsidRPr="00B03B51">
        <w:rPr>
          <w:rFonts w:ascii="Times New Roman" w:hAnsi="Times New Roman" w:cs="Times New Roman"/>
          <w:sz w:val="24"/>
        </w:rPr>
        <w:t xml:space="preserve"> vai ka notiek partnera pašu kapitāla pārstrukturēšana, kā rezultātā ir jāparaksta jauns līgums. Šādā gadījumā ir rūpīgi jāpārbauda, vai jaunajā līgumā ir mainījusies risku un atlīdzību sadale.</w:t>
      </w:r>
    </w:p>
    <w:p w14:paraId="7B1F4FDF"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7B4810E0"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21. Svarīgākā PPP pazīme ir tā, ka valdība ir galvenā partnera pakalpojumu pircēja. Šajā saistībā PPP atšķiras no “koncesijām”, kas noteiktas saistībā ar nacionālajiem kontiem (skat. šīs rokasgrāmatas 6.3. nodaļu), kad galvenais risks ir atkarīgs no galalietotāju vēlmes maksāt. PPP gadījumā valdība pērk pakalpojumu, veicot regulārus maksājumus, tiklīdz partneris ir piegādājis aktīvus, neatkarīgi no tā, kas rada pieprasījumu – tieši pati valdība vai trešās puses patērētāji (piemēram, medicīnas vai izglītības pakalpojumi, kā arī daži transporta infrastruktūras veidi). Šajā posmā nav jānorāda konkrēta robežvērtība starp valdības un trešās puses maksājumiem. Lai gan tam ir tikai mazliet jāpārsniedz 50 %, realitātē tas ir daudz lielāks, parasti virs 90 %, jo lielākā daļa līgumu attiecas uz tipveida ekonomiskajiem modeļiem. Bieži, jo īpaši saistībā ar transporta infrastruktūras aktīviem, izmanto jēdzienu “virtuālās ceļu nodevas”, un to attiecina uz valdības atlīdzību par to, ka aktīvus attiecīgajā apmērā izmanto trešās puses</w:t>
      </w:r>
      <w:r w:rsidRPr="00B03B51">
        <w:rPr>
          <w:rStyle w:val="FootnoteReference"/>
          <w:rFonts w:ascii="Times New Roman" w:hAnsi="Times New Roman" w:cs="Times New Roman"/>
          <w:noProof/>
          <w:sz w:val="24"/>
        </w:rPr>
        <w:footnoteReference w:id="222"/>
      </w:r>
      <w:r w:rsidRPr="00B03B51">
        <w:rPr>
          <w:rFonts w:ascii="Times New Roman" w:hAnsi="Times New Roman" w:cs="Times New Roman"/>
          <w:sz w:val="24"/>
        </w:rPr>
        <w:t>.</w:t>
      </w:r>
    </w:p>
    <w:p w14:paraId="16BC4CC0"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50D92077"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 xml:space="preserve">22. Aktīvu izmantošana parasti būtu konkrēti jādefinē līgumā, iespējams, izmantojot “dialoga procesu”, un līgumā vajadzētu būt ierobežojumiem attiecībā uz veidu, kādā partneris varētu izmantot aktīvus. Piemēram, partneris nedrīkstētu tos realizēt pēc saviem ieskatiem, un attiecīgajos gadījumos tam būtu jādod priekšroka valdības lietotājiem, nevis citiem iespējamiem lietotājiem. Ir jāuzsver, ka daudzos līgumos netiek izslēgta “trešās puses” maksājumu iespēja, bet, visticamāk, šie maksājumi veidos mazu (dažkārt pat niecīgu) daļu no partnera ieņēmumiem un bieži vien tie rodas no palīgdarbības, kas saistīta ar īpašam mērķim paredzētiem aktīviem (piemēram, noteiktas sporta, izglītības vai kultūras infrastruktūras neregulāra </w:t>
      </w:r>
      <w:r w:rsidRPr="00B03B51">
        <w:rPr>
          <w:rFonts w:ascii="Times New Roman" w:hAnsi="Times New Roman" w:cs="Times New Roman"/>
          <w:i/>
          <w:iCs/>
          <w:sz w:val="24"/>
        </w:rPr>
        <w:t>ad hoc</w:t>
      </w:r>
      <w:r w:rsidRPr="00B03B51">
        <w:rPr>
          <w:rFonts w:ascii="Times New Roman" w:hAnsi="Times New Roman" w:cs="Times New Roman"/>
          <w:sz w:val="24"/>
        </w:rPr>
        <w:t xml:space="preserve"> “privāta” izmantošana noteiktos apstākļos vai iekasētie maksājumi par tālruņa kabeļu ievilkšanu gar autoceļu vai zem tā).</w:t>
      </w:r>
    </w:p>
    <w:p w14:paraId="34BF5058" w14:textId="77777777" w:rsidR="00443399" w:rsidRPr="00B03B51" w:rsidRDefault="00443399" w:rsidP="00443399">
      <w:pPr>
        <w:jc w:val="both"/>
        <w:rPr>
          <w:rFonts w:ascii="Times New Roman" w:hAnsi="Times New Roman" w:cs="Times New Roman"/>
          <w:noProof/>
          <w:sz w:val="24"/>
        </w:rPr>
      </w:pPr>
    </w:p>
    <w:p w14:paraId="2A7A1504"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23. Papildus jāuzsver, ka “valdība” šajā saistībā nozīmē visu vispārējās valdības sektoru (S.13), kā noteikts EKS 2010. Līgumā atbilstoši dažādiem līmeņiem var piedalīties dažādas valdības vienības, pat ja tās ir klasificētas dažādos valdības apakšsektoros.</w:t>
      </w:r>
    </w:p>
    <w:p w14:paraId="2884F426" w14:textId="77777777" w:rsidR="00443399" w:rsidRPr="00B03B51" w:rsidRDefault="00443399" w:rsidP="00443399">
      <w:pPr>
        <w:jc w:val="both"/>
        <w:rPr>
          <w:rFonts w:ascii="Times New Roman" w:eastAsia="Arial" w:hAnsi="Times New Roman" w:cs="Times New Roman"/>
          <w:noProof/>
          <w:sz w:val="24"/>
          <w:szCs w:val="15"/>
        </w:rPr>
      </w:pPr>
    </w:p>
    <w:p w14:paraId="0F972A67" w14:textId="77777777" w:rsidR="00443399" w:rsidRPr="00B03B51" w:rsidRDefault="00443399" w:rsidP="00443399">
      <w:pPr>
        <w:pStyle w:val="Heading6"/>
        <w:tabs>
          <w:tab w:val="left" w:pos="1267"/>
        </w:tabs>
        <w:ind w:left="0" w:firstLine="0"/>
        <w:jc w:val="both"/>
        <w:rPr>
          <w:rFonts w:ascii="Times New Roman" w:hAnsi="Times New Roman" w:cs="Times New Roman"/>
          <w:noProof/>
          <w:sz w:val="24"/>
        </w:rPr>
      </w:pPr>
      <w:bookmarkStart w:id="523" w:name="6.4.2.3_The_key_issue_in_national_accoun"/>
      <w:bookmarkEnd w:id="523"/>
      <w:r w:rsidRPr="00B03B51">
        <w:rPr>
          <w:rFonts w:ascii="Times New Roman" w:hAnsi="Times New Roman" w:cs="Times New Roman"/>
          <w:sz w:val="24"/>
        </w:rPr>
        <w:t>6.4.2.3. GALVENĀ PROBLĒMA NACIONĀLAJOS KONTOS</w:t>
      </w:r>
    </w:p>
    <w:p w14:paraId="354267AB"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4F8FD214"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24. Saistībā ar nacionālajiem kontiem tādi ilgtermiņa līgumi kā PPP rada jautājumus par to, kura sektora bilancē iekļaut saistītos aktīvus. Tas attiecas uz iesaistīto aktīvu sākotnējo ierakstīšanu vai nu valdības bilancē, vai arī partnera bilancē. Ierakstīšana valdības bilancē var būtiski ietekmēt valdības statistiku – gan valdības neto aizdevumu/aizņēmumu (B.9) (kapitāla izdevumi ir jāieraksta nefinanšu kontā kā valdības bruto pamatkapitāla veidošanu nefinanšu kontā (P.51g)), gan valdības parādu (finanšu kontam būtu jāsaskaņo kapitāla izdevumi ar nosacītajām valdības saistībām, kas varētu palielināt bruto parādu, ja tiek ierakstītas kā nosacīts aizdevums (AF.4)).</w:t>
      </w:r>
    </w:p>
    <w:p w14:paraId="5B7B23A1"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1E12B394"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25. Turklāt saskaņā ar nacionālo kontu noteikumiem (skat. EKS 2010 3.148. punkta b) apakšpunkta 3. daļu), ja aktīvus (ēkas vai citas būves) uzskata par valdības aktīviem, tad kapitālizdevumus ieraksta atbilstīgi uzkrāšanas principam darbu sākumā, nevis būvniecības/renovācijas beigās. Praktisku apsvērumu dēļ atbilstošā ierakstīšanas laika noteikšanai dažkārt var izmantot pakāpeniskos maksājumus (maksājumus pa daļām), kurus saņem būvnieks vai ražotājs. To pēc definīcijas PPP līgumos piemēro bruto pamatkapitāla veidošanai (skat. EKS 2010 3.55. punktu attiecībā uz citu struktūru būvniecību).</w:t>
      </w:r>
    </w:p>
    <w:p w14:paraId="4E7FF14F"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1D59348D"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26. Sekas rodas arī attiecībā uz to plūsmu ierakstīšanu, kas līguma darbības laikā tiek novērotas starp valdību un partneri. Ja nosacītais aizdevums ir ticis ierakstīts valdības bilancē, tad attiecīgās pamatsummas atmaksu sadala uz visu termiņu, neietekmējot valdības neto aizdevumu/aizņēmumu (B.9), savukārt nosacītie procenti arī ir jāaprēķina un jāiekļauj valdības izdevumos kopā ar maksu par pakalpojumiem, ko valdība maksā atbilstoši līguma noteikumiem, tādējādi abi šie izdevumi ietekmē valdības neto aizņēmumu/aizdevumu (B.9).</w:t>
      </w:r>
    </w:p>
    <w:p w14:paraId="0241B854"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2E491D59"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27. Jāuzsver, ka turpmākajā iedaļā izstrādātie kritēriji, pamatojoties uz kuriem pieņem lēmumu par aktīva klasifikāciju valdības vai partnera bilancē, nav jāskata katrs kritērijs atsevišķi, bet gan saskaņā ar aditivitātes principu. Piemēram, ja valdībai partnera pašu kapitālā pieder akciju mazākums</w:t>
      </w:r>
      <w:r w:rsidRPr="00B03B51">
        <w:rPr>
          <w:rStyle w:val="FootnoteReference"/>
          <w:rFonts w:ascii="Times New Roman" w:hAnsi="Times New Roman" w:cs="Times New Roman"/>
          <w:noProof/>
          <w:sz w:val="24"/>
        </w:rPr>
        <w:footnoteReference w:id="223"/>
      </w:r>
      <w:r w:rsidRPr="00B03B51">
        <w:rPr>
          <w:rFonts w:ascii="Times New Roman" w:hAnsi="Times New Roman" w:cs="Times New Roman"/>
          <w:sz w:val="24"/>
        </w:rPr>
        <w:t>, tas vien vēl nav pietiekami, lai pārklasificētu aktīvus valdības bilancē, taču, ja vienlaikus valdība saņem atlīdzības, kas pārsniedz tai kā akcionāram pienākošās tiesības, būtu jāuzskata, ka aktīvi pieder valdībai. Līdzīgi, ja valdībai būtu īpašas tiesības (piemēram, veto tiesības attiecībā uz būtiskiem lēmumiem), partneri (un tādējādi arī aktīvus) varētu pārklasificēt valdības sektorā.</w:t>
      </w:r>
    </w:p>
    <w:p w14:paraId="45F7A6F7"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48CD3516"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28. Turklāt saistībā ar jautājumu par to, kādā apmērā valdība dažādos veidos saņem atpakaļ riskus un atlīdzības, dažkārt viens atsevišķs kritērijs varētu būt pietiekams, lai pārklasificētu aktīvu valdības bilancē (būvniecības risks, pieejamības/piedāvājuma risks, finansēšana (tostarp refinansēšana), pirmstermiņa izbeigšana, nepārvarama vara). Sarežģītākos gadījumos, kad vairākas pazīmes vai specifiski līguma panti atsevišķi nav pietiekami, ņemot vērā pašreizējos metodoloģiskos noteikumus, ko izmanto aktīva klasificēšanai valdības bilancē, kā rezultātā ekonomiskās īpašumtiesības varētu nepietiekami pāriet uz partneri, jāizmanto īpaša analīze, papildus piemērojot vispārēju pieeju.</w:t>
      </w:r>
    </w:p>
    <w:p w14:paraId="037A614A" w14:textId="77777777" w:rsidR="00443399" w:rsidRPr="00B03B51" w:rsidRDefault="00443399" w:rsidP="00443399">
      <w:pPr>
        <w:jc w:val="both"/>
        <w:rPr>
          <w:rFonts w:ascii="Times New Roman" w:hAnsi="Times New Roman" w:cs="Times New Roman"/>
          <w:noProof/>
          <w:sz w:val="24"/>
        </w:rPr>
      </w:pPr>
    </w:p>
    <w:p w14:paraId="08F314A0" w14:textId="77777777" w:rsidR="00443399" w:rsidRPr="00B03B51" w:rsidRDefault="00443399" w:rsidP="00443399">
      <w:pPr>
        <w:pStyle w:val="Heading3"/>
        <w:tabs>
          <w:tab w:val="left" w:pos="1267"/>
        </w:tabs>
        <w:ind w:left="0" w:firstLine="0"/>
        <w:jc w:val="both"/>
        <w:rPr>
          <w:rFonts w:ascii="Times New Roman" w:hAnsi="Times New Roman" w:cs="Times New Roman"/>
          <w:b w:val="0"/>
          <w:bCs w:val="0"/>
          <w:noProof/>
          <w:sz w:val="24"/>
          <w:szCs w:val="19"/>
        </w:rPr>
      </w:pPr>
      <w:bookmarkStart w:id="524" w:name="6.4.3_Treatment_in_national_accounts(224"/>
      <w:bookmarkStart w:id="525" w:name="_Toc67565186"/>
      <w:bookmarkEnd w:id="524"/>
      <w:r w:rsidRPr="00B03B51">
        <w:rPr>
          <w:rFonts w:ascii="Times New Roman" w:hAnsi="Times New Roman" w:cs="Times New Roman"/>
          <w:sz w:val="24"/>
        </w:rPr>
        <w:lastRenderedPageBreak/>
        <w:t>6.4.3. Traktējums nacionālajos kontos</w:t>
      </w:r>
      <w:r w:rsidRPr="00B03B51">
        <w:rPr>
          <w:rStyle w:val="FootnoteReference"/>
          <w:rFonts w:ascii="Times New Roman" w:hAnsi="Times New Roman" w:cs="Times New Roman"/>
          <w:noProof/>
          <w:sz w:val="24"/>
        </w:rPr>
        <w:footnoteReference w:id="224"/>
      </w:r>
      <w:bookmarkEnd w:id="525"/>
    </w:p>
    <w:p w14:paraId="706AEF33" w14:textId="77777777" w:rsidR="00443399" w:rsidRPr="0037375A" w:rsidRDefault="00443399" w:rsidP="0037375A">
      <w:pPr>
        <w:rPr>
          <w:rFonts w:ascii="Times New Roman" w:hAnsi="Times New Roman" w:cs="Times New Roman"/>
          <w:noProof/>
          <w:sz w:val="24"/>
          <w:szCs w:val="24"/>
        </w:rPr>
      </w:pPr>
      <w:bookmarkStart w:id="526" w:name="6.4.3.1_Sector_classification_of_the_par"/>
      <w:bookmarkEnd w:id="526"/>
    </w:p>
    <w:p w14:paraId="516776C1" w14:textId="77777777" w:rsidR="00443399" w:rsidRPr="00B03B51" w:rsidRDefault="00443399" w:rsidP="00443399">
      <w:pPr>
        <w:pStyle w:val="Heading6"/>
        <w:tabs>
          <w:tab w:val="left" w:pos="1267"/>
        </w:tabs>
        <w:ind w:left="0" w:firstLine="0"/>
        <w:jc w:val="both"/>
        <w:rPr>
          <w:rFonts w:ascii="Times New Roman" w:hAnsi="Times New Roman" w:cs="Times New Roman"/>
          <w:noProof/>
          <w:sz w:val="24"/>
        </w:rPr>
      </w:pPr>
      <w:r w:rsidRPr="00B03B51">
        <w:rPr>
          <w:rFonts w:ascii="Times New Roman" w:hAnsi="Times New Roman" w:cs="Times New Roman"/>
          <w:sz w:val="24"/>
        </w:rPr>
        <w:t>6.4.3.1. PARTNERA SEKTORA KLASIFIKĀCIJA</w:t>
      </w:r>
    </w:p>
    <w:p w14:paraId="0943B471"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056DFCDD"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29. Partneris, kas iesaistīts ilgtermiņa līgumos ar valdību, var piederēt publiskajam vai privātajam sektoram. Ja tā ir publiska vienība, tas parasti nozīmē, ka saskaņā ar nacionālo kontu noteikumiem šīs vienības vispārējo saimniecisko darbību nosaka valdība vai cita publiska vienība.</w:t>
      </w:r>
    </w:p>
    <w:p w14:paraId="678A6B65" w14:textId="77777777" w:rsidR="00443399" w:rsidRPr="00B03B51" w:rsidRDefault="00443399" w:rsidP="00443399">
      <w:pPr>
        <w:jc w:val="both"/>
        <w:rPr>
          <w:rFonts w:ascii="Times New Roman" w:eastAsia="Arial" w:hAnsi="Times New Roman" w:cs="Times New Roman"/>
          <w:noProof/>
          <w:sz w:val="24"/>
          <w:szCs w:val="14"/>
        </w:rPr>
      </w:pPr>
    </w:p>
    <w:p w14:paraId="4446FBF9"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30. Publisks partneris ir jāklasificē kā nefinanšu sabiedrība tiktāl, ciktāl tas darbojas kā tirgus vienība (izpilda 50 % kritēriju), izpilda EKS 2010 noteiktos kvalitatīvos kritērijus un ja valdības maksājumus var uzskatīt par pārdošanas darījumiem (kā pakalpojumu sniegšanas pretvērtību).</w:t>
      </w:r>
    </w:p>
    <w:p w14:paraId="723D6A14"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391B6D50"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31. Tomēr īpaša uzmanība jāpievērš gadījumiem, kad ir publiska sabiedrība (kas varētu atbilst kvalitatīvajiem/kvantitatīvajiem tirgus ražošanas kritērijiem un parastos apstākļos netiktu klasificēta valdības sektorā) vai kad valdībai varētu būt akciju mazākums, taču tā spēj īstenot būtisku ietekmi sarunās par līgumu vai svarīgos lēmumos, kas jāpieņem līguma īstenošanas procesā</w:t>
      </w:r>
      <w:r w:rsidRPr="00B03B51">
        <w:rPr>
          <w:rStyle w:val="FootnoteReference"/>
          <w:rFonts w:ascii="Times New Roman" w:hAnsi="Times New Roman" w:cs="Times New Roman"/>
          <w:noProof/>
          <w:sz w:val="24"/>
        </w:rPr>
        <w:footnoteReference w:id="225"/>
      </w:r>
      <w:r w:rsidRPr="00B03B51">
        <w:rPr>
          <w:rFonts w:ascii="Times New Roman" w:hAnsi="Times New Roman" w:cs="Times New Roman"/>
          <w:sz w:val="24"/>
        </w:rPr>
        <w:t>. Gadījumos, kuros valdības maksājumi saskaņā ar līgumu varētu veidot lielāko daļu partnera ieņēmumu, šie maksājumi ir jāanalizē, lai noteiktu, vai tos var klasificēt kā pārdošanas darījumus, jo īpaši, ja tieši šāda līguma dēļ ievērojami mainās partnera darbības apjoms vai būtība. Piemērojot 1. daļā “Vispārējās valdības sektora norobežošana” sniegtos noteikumus, šo sabiedrību varētu pārklasificēt par valdības vienību, ja maksājumi, ko veic valdība, netiktu uzskatīti par pārdošanu.</w:t>
      </w:r>
    </w:p>
    <w:p w14:paraId="6C3D6D34"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0B934740"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32. Attiecībā uz PPP līgumiem, kuros partneris ir īpaša vienība, kas nodibināta ar noteiktu mērķi (šādas vienības bieži vien dēvē par “projektu īstenojošām sabiedrībām” vai “īpašam nolūkam dibinātām sabiedrībām” jeb ĪNDS) vienam atsevišķam PPP līgumam, ir jāizvērtē, kādā apmērā to kontrolē valdība. Pat ja valdība ir mazākuma akcionārs, tā var īstenot dominējošu ietekmi attiecībā uz sarunām par līgumu un nozīmīgiem lēmumiem. Valdībai varētu būt, piemēram, veto tiesības attiecībā uz nozīmīgu lēmumu galīgo apstiprināšanu līguma izstrādes un/vai tā izpildes gaitā (piemēram, apakšuzņēmēju izvēle, pievienotās darbības, nozīmīgi remonti, jaudas paplašināšana utt.). Šādā gadījumā aktīvi ir jāpārklasificē valdības bilancē. Turklāt valdības klātesamība ĪNDS vai tas, ka partneris varētu būt publiska vienība, ir faktori, kas jāņem vērā saistībā ar atlīdzību galīgo sadali starp valdību un partneri.</w:t>
      </w:r>
    </w:p>
    <w:p w14:paraId="2C211055"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0B7C5B8F"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33. Visbeidzot, ja partnerim, kas ir klasificēts ārpus valdības sektora, valdība apzināti piedāvā atbalstu kā kompensāciju par notikumiem, kas līguma parakstīšanas brīdī nebija norādīti kā konkrēta apņemšanās, tad šāds atbalsts ir jāieraksta lēmuma par atbalsta piešķiršanu pieņemšanas vai īstenošanas brīdī kā pārvedums, kas ietekmē valdības neto aizdevumu/aizņēmumu (B.9), ja vien tas nav iekļauts tādu notikumu ierobežotajā sarakstā, kurus var uzskatīt par nepārvaramas varas apstākļiem. Valdības atbalsts partnerim var ietekmēt arī risku sadali. Piemēram, valdība varētu nodrošināt refinansēšanu tādā apjomā, ka valdības saistības segtu lielāko daļu pamatlīdzekļa vērtības. Vai arī sniegt kādas subsīdijas, kuru rezultātā tirgus/ārpustirgus testa vērtība varētu nokrist zem 50 % atzīmes.</w:t>
      </w:r>
    </w:p>
    <w:p w14:paraId="3CD125C9"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3EA369A2"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 xml:space="preserve">34. Aktīvu pārklasificēšana valdības bilancē izrietēs no publiskā partnera pārklasificēšanas </w:t>
      </w:r>
      <w:r w:rsidRPr="00B03B51">
        <w:rPr>
          <w:rFonts w:ascii="Times New Roman" w:hAnsi="Times New Roman" w:cs="Times New Roman"/>
          <w:sz w:val="24"/>
        </w:rPr>
        <w:lastRenderedPageBreak/>
        <w:t>vispārējā valdībā. Tas varētu notikt, piemēram, ja regulāra atbalsta dēļ publiska vienība no tirgus vienības kļūst par ārpustirgus vienību (t. i., tā vairs neatbilst kritērijiem, kas jāizpilda, lai varētu uzskatīt, ka tā ir iesaistīta tirgus darbībā) vai kādu citu iemeslu dēļ.</w:t>
      </w:r>
    </w:p>
    <w:p w14:paraId="1E184EFC" w14:textId="77777777" w:rsidR="00443399" w:rsidRPr="00B03B51" w:rsidRDefault="00443399" w:rsidP="00443399">
      <w:pPr>
        <w:jc w:val="both"/>
        <w:rPr>
          <w:rFonts w:ascii="Times New Roman" w:eastAsia="Arial" w:hAnsi="Times New Roman" w:cs="Times New Roman"/>
          <w:noProof/>
          <w:sz w:val="24"/>
          <w:szCs w:val="15"/>
        </w:rPr>
      </w:pPr>
    </w:p>
    <w:p w14:paraId="259AD8F0" w14:textId="77777777" w:rsidR="00443399" w:rsidRPr="00B03B51" w:rsidRDefault="00443399" w:rsidP="00443399">
      <w:pPr>
        <w:pStyle w:val="Heading6"/>
        <w:tabs>
          <w:tab w:val="left" w:pos="1267"/>
          <w:tab w:val="left" w:pos="3041"/>
          <w:tab w:val="left" w:pos="3607"/>
          <w:tab w:val="left" w:pos="4306"/>
          <w:tab w:val="left" w:pos="5246"/>
          <w:tab w:val="left" w:pos="5980"/>
          <w:tab w:val="left" w:pos="7376"/>
          <w:tab w:val="left" w:pos="8434"/>
          <w:tab w:val="left" w:pos="9000"/>
        </w:tabs>
        <w:ind w:left="0" w:firstLine="0"/>
        <w:jc w:val="both"/>
        <w:rPr>
          <w:rFonts w:ascii="Times New Roman" w:hAnsi="Times New Roman" w:cs="Times New Roman"/>
          <w:noProof/>
          <w:sz w:val="24"/>
        </w:rPr>
      </w:pPr>
      <w:bookmarkStart w:id="527" w:name="6.4.3.2_Assessment_of_the_risks_and_rewa"/>
      <w:bookmarkEnd w:id="527"/>
      <w:r w:rsidRPr="00B03B51">
        <w:rPr>
          <w:rFonts w:ascii="Times New Roman" w:hAnsi="Times New Roman" w:cs="Times New Roman"/>
          <w:sz w:val="24"/>
        </w:rPr>
        <w:t>6.4.3.2. KATRAS LĪGUMSLĒDZĒJAS PUSES RISKU UN ATLĪDZĪBU NOVĒRTĒJUMS</w:t>
      </w:r>
    </w:p>
    <w:p w14:paraId="40813C4A"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38F2B933"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35. Aktīvus, kas noteikti ilgtermiņa līgumā starp valdības vienību un valdības sektoram nepiederošu partneri, nacionālajos kontos var uzskatīt par valdības sektoram nepiederošiem aktīviem tikai tad, ja valdības sektoram nepiederošais partneris uzņemas lielāko daļu ar aktīvu saistīto risku visā līguma darbības laikā un ir arī tiesīgs saņemt lielāko daļu kārtējo priekšrocību no aktīviem.</w:t>
      </w:r>
    </w:p>
    <w:p w14:paraId="52B7BCF5"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6DD8DE44"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36. EKS 2010 20.283. punktā noteikts, ka ir jānodod lielākā daļa risku un atlīdzību, nevis “visi” riski un atlīdzības. Faktiski var novērot, ka partnerībās starp valdību un partneri parasti notiek kādu risku dalīšana. Kā norādīts turpmāk, ir pieņemami, ka valdība uzņemas dažus riskus, piemēram, ārkārtēju notikumu gadījumā (nepārvarama vara) attiecībā uz valdības rīcību, kas varētu mainīt darbības nosacījumus, par kuriem iepriekš tika panākta vienošanās, vai kādus specifiskus riskus, jo īpaši saistībā ar arheoloģiju, zemes reģistru, vidi, sabiedrības drošību, juridisko lēmumu realizēšanu utt., attiecībā uz kuriem valdības rīcībai var būt noteicoša ietekme. Savukārt parastie riski, kas attiecas uz aktīva ekonomiskajām īpašumtiesībām, jāuzņemas partnerim, ja aktīvu ir paredzēts klasificēt partnera bilancē, un parastos apstākļos, kad ir skaidra saikne starp šo risku realizāciju un partnera veiktajām darbībām (vai bezdarbību), šiem riskiem, ko izņēmies partneris, ir būtiski jāietekmē partnera rentabilitāte (un, iespējams, dažos gadījumos arī tā maksātspēja). Tādēļ šāda to risku analīze, kurus uzņemas līgumslēdzējas puses, ir uzskatāms par ļoti būtisku elementu saistībā ar līgumā paredzēto aktīvu klasifikāciju, lai nodrošinātu pareizu uzskaiti attiecībā uz šāda veida partnerības ietekmi uz valdības neto aizdevumu/aizņēmumu (B.9) un parādu.</w:t>
      </w:r>
    </w:p>
    <w:p w14:paraId="33D3B9AF"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5C874677"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37. Ir jāņem vērā arī tas, ka šie nosacījumi attiecas tikai uz vienu aktīvu vai uz aktīvu kopumu, kas saskaņā ar līgumu nav sadalāmi. Ņemot vērā līgumu iezīmes, PPP aktīvus nedrīkst sadalīt nacionālajos kontos. Šie aktīvi ir jāieraksta tikai vienas iesaistītās puses bilancē, proti, ekonomiskā īpašnieka bilancē, atbilstīgi to pilnai vērtībai.</w:t>
      </w:r>
    </w:p>
    <w:p w14:paraId="4CA71F8B"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4271E8F1"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38. PPP klasificēšanai nacionālajos kontos, lai vienkāršotu analīzi, ir izvēlētas turpmāk norādītās trīs galvenās risku kategorijas.</w:t>
      </w:r>
    </w:p>
    <w:p w14:paraId="27025066"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1ED333A5"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 xml:space="preserve">39. </w:t>
      </w:r>
      <w:r w:rsidRPr="00B03B51">
        <w:rPr>
          <w:rFonts w:ascii="Times New Roman" w:hAnsi="Times New Roman" w:cs="Times New Roman"/>
          <w:b/>
          <w:sz w:val="24"/>
        </w:rPr>
        <w:t>“Būvniecības risks”</w:t>
      </w:r>
      <w:r w:rsidRPr="00B03B51">
        <w:rPr>
          <w:rFonts w:ascii="Times New Roman" w:hAnsi="Times New Roman" w:cs="Times New Roman"/>
          <w:sz w:val="24"/>
        </w:rPr>
        <w:t xml:space="preserve"> attiecas uz notikumiem, kas saistīti ar iespējamām grūtībām, ar kurām nākas saskarties būvniecības laikā, un ar iesaistīto aktīvu stāvokli brīdī, kad sākas pakalpojumu sniegšana. Praksē tas ir saistīts, piemēram, ar tādiem notikumiem, kā novēlota piegāde, noteikto standartu neievērošana, būtiskas papildu izmaksas, juridiskie un vides jautājumi, tehniski trūkumi un ārēja nelabvēlīga ietekme (tostarp vides riski), par ko ir jāmaksā kompensācijas trešām personām.</w:t>
      </w:r>
    </w:p>
    <w:p w14:paraId="27710B92"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36D5B695"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40. “</w:t>
      </w:r>
      <w:r w:rsidRPr="00B03B51">
        <w:rPr>
          <w:rFonts w:ascii="Times New Roman" w:hAnsi="Times New Roman" w:cs="Times New Roman"/>
          <w:b/>
          <w:bCs/>
          <w:sz w:val="24"/>
        </w:rPr>
        <w:t>Pieejamības risks”</w:t>
      </w:r>
      <w:r w:rsidRPr="00B03B51">
        <w:rPr>
          <w:rFonts w:ascii="Times New Roman" w:hAnsi="Times New Roman" w:cs="Times New Roman"/>
          <w:sz w:val="24"/>
        </w:rPr>
        <w:t xml:space="preserve"> attiecas uz gadījumiem, kad partnerim aktīva izmantošanas laikā ir jāuzņemas atbildība par kļūdainu pārvaldību (“slikti darbības rezultāti”), kā rezultātā pakalpojumu apjoms kļūst mazāks par līgumā paredzēto vai pakalpojumi neatbilst līgumā noteiktajiem kvalitātes standartiem.</w:t>
      </w:r>
    </w:p>
    <w:p w14:paraId="3FCA441A"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4DA36858"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 xml:space="preserve">41. </w:t>
      </w:r>
      <w:r w:rsidRPr="00B03B51">
        <w:rPr>
          <w:rFonts w:ascii="Times New Roman" w:hAnsi="Times New Roman" w:cs="Times New Roman"/>
          <w:b/>
          <w:bCs/>
          <w:sz w:val="24"/>
        </w:rPr>
        <w:t>“Pieprasījuma risks”</w:t>
      </w:r>
      <w:r w:rsidRPr="00B03B51">
        <w:rPr>
          <w:rFonts w:ascii="Times New Roman" w:hAnsi="Times New Roman" w:cs="Times New Roman"/>
          <w:sz w:val="24"/>
        </w:rPr>
        <w:t xml:space="preserve"> attiecas uz pieprasījuma mainīgumu (lielāks vai mazāks, nekā paredzēts līguma parakstīšanas brīdī) neatkarīgi no privātā partnera darbības rezultātiem. </w:t>
      </w:r>
      <w:r w:rsidRPr="00B03B51">
        <w:rPr>
          <w:rFonts w:ascii="Times New Roman" w:hAnsi="Times New Roman" w:cs="Times New Roman"/>
          <w:sz w:val="24"/>
        </w:rPr>
        <w:lastRenderedPageBreak/>
        <w:t>Citiem vārdiem sakot, pieprasījuma maiņu nevar tieši vai pilnībā saistīt ar partnera nodrošināto pakalpojumu nepietiekamu kvalitāti, lai arī kvantitatīvi un kvalitatīvi trūkumi šajā jautājumā, visticamāk, ietekmē pakalpojuma efektīvu izmantošanu un dažkārt var nozīmēt izslēgšanu. Tā vietā piedāvājuma risks var rasties arī citu faktoru dēļ, piemēram, ekonomiskā cikla, jaunu tirgus tendenču, galalietotāju vēlmju maiņas vai tehnoloģijas novecošanas dēļ. Tas ir jāskata kā daļa no parastā “saimnieciskā riska”, kuru tirgus ekonomikā uzņemas privātie uzņēmumi.</w:t>
      </w:r>
    </w:p>
    <w:p w14:paraId="10E6DC13"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03959228"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42. Parasti pieprasījuma risks nav attiecināms uz līgumiem, kuros galalietotājam nav dota izvēles brīvība attiecībā uz pakalpojumu, kurš saistīts ar attiecīgo aktīvu un kuru tam sniedz partneris (tādējādi tiek izslēgti “sekundārie” pakalpojumi, kurus var pieskaitīt pie “trešo pušu” ieņēmumu kategorijas). Piemēram, piedāvājuma risku nepiemēro tādiem aktīviem kā cietumi. Noteiktos apstākļos tas varētu attiekties arī uz slimnīcām vai skolām un dažos gadījumos uz sporta un kultūras infrastruktūras aktīviem. Piedāvājuma risku nepiemērošana varētu pastiprināt to, ka šādos gadījumos neapšaubāmi jānodod būvniecības un pieejamības riski.</w:t>
      </w:r>
    </w:p>
    <w:p w14:paraId="1C14C66D"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640CF86C"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43. Turklāt daži līgumi varētu būt noformēti tā, ka valdības maksājumi ir galvenokārt saistīti ar aktīvu faktisko izmantošanu (apjoma rādītāji) neatkarīgi no galapatērētāju pašu iniciatīvas un neatkarīgi no tā, ka izmantošanas apjoms bieži vien ir cieši saistīts ar partnera darbības rezultātiem aktīva pieejamības un kvalitātes jomā.</w:t>
      </w:r>
    </w:p>
    <w:p w14:paraId="60A3233F"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6D8C03D2"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szCs w:val="12"/>
        </w:rPr>
      </w:pPr>
      <w:r w:rsidRPr="00B03B51">
        <w:rPr>
          <w:rFonts w:ascii="Times New Roman" w:hAnsi="Times New Roman" w:cs="Times New Roman"/>
          <w:sz w:val="24"/>
        </w:rPr>
        <w:t>44. Dažos līgumos regulārie (vienotie) maksājumi, kas saistīti ar aktīvu pieejamību, var būt apvienoti ar citiem regulārajiem (vienotajiem) maksājumiem, kas saistīti ar aktīvu faktisko izmantošanu (pieprasījums), nodrošinot iespēju identificēt abus maksājumus. Partneris šajā gadījumā var uzņemties vairākus riskus. Ja neviens no atsevišķajiem maksājumu veidiem nepārsniedz divas trešdaļas no valdības vienoto maksājumu kopsummas, atsevišķi jānovērtē pieejamības riski un pieprasījuma riski; tie ir jānodod kopā (papildus būvniecības risku nodošanai, kas pats par sevi ir obligāts nosacījums), lai aktīvu klasificētu ārpus valdības bilances. Ja tiek konstatēts, ka viena veida maksājums veido lielāko daļu, kas pārsniedz divas trešdaļas no kopsummas, analīzē prioritāte jāpiešķir atbilstošajam riskam. Tomēr nedrīkst atstāt bez ievērības arī otru valdības maksājumu komponentu, un jāpārbauda, ciktāl tas var mazināt dominējošā riska ietekmi uz partnera ienākumiem/peļņu.</w:t>
      </w:r>
      <w:r w:rsidRPr="00B03B51">
        <w:rPr>
          <w:rStyle w:val="FootnoteReference"/>
          <w:rFonts w:ascii="Times New Roman" w:hAnsi="Times New Roman" w:cs="Times New Roman"/>
          <w:noProof/>
          <w:sz w:val="24"/>
        </w:rPr>
        <w:footnoteReference w:id="226"/>
      </w:r>
    </w:p>
    <w:p w14:paraId="2F7B8A9F" w14:textId="77777777" w:rsidR="00443399" w:rsidRPr="00B03B51" w:rsidRDefault="00443399" w:rsidP="00443399">
      <w:pPr>
        <w:jc w:val="both"/>
        <w:rPr>
          <w:rFonts w:ascii="Times New Roman" w:eastAsia="Arial" w:hAnsi="Times New Roman" w:cs="Times New Roman"/>
          <w:noProof/>
          <w:sz w:val="24"/>
          <w:szCs w:val="14"/>
        </w:rPr>
      </w:pPr>
    </w:p>
    <w:p w14:paraId="3181CF01"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45. Jebkurā gadījumā katras puses risku analīzē jānovērtē, kura puse uzņemas lielāko risku katrā no atšķirīgajām kategorijām iepriekš minētajos apstākļos, ņemot vērā arī citas līgumu iezīmes, kas norādītas turpmāk.</w:t>
      </w:r>
    </w:p>
    <w:p w14:paraId="5BEF19A6"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7EB7EFA9"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46. Tomēr šādā novērtējumā netiek ņemti vērā riski, kuri nav cieši saistīti ar attiecīgajiem aktīviem un kurus var nošķirt no galvenā līguma, piemēram, ja daļu no līguma periodiski pārskata, kā arī ja ir paredzēti maksājumi sliktu darbības rezultātu dēļ vai līgumsodi, kas nav īpaši atkarīgi no galveno aktīvu faktiskā stāvokļa vai pakalpojuma kvalitātes.</w:t>
      </w:r>
      <w:r w:rsidRPr="00B03B51">
        <w:rPr>
          <w:rStyle w:val="FootnoteReference"/>
          <w:rFonts w:ascii="Times New Roman" w:hAnsi="Times New Roman" w:cs="Times New Roman"/>
          <w:noProof/>
          <w:sz w:val="24"/>
        </w:rPr>
        <w:footnoteReference w:id="227"/>
      </w:r>
    </w:p>
    <w:p w14:paraId="717217FC"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410F0679"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47. Šādā PPP iesaistītie aktīvi būtu jāieraksta partnera bilancē, un līdz ar to tie būtu ierakstāmi valdības “ārpusbilancē” tikai gadījumā, ja ir izpildīti abi šādi nosacījumi:</w:t>
      </w:r>
    </w:p>
    <w:p w14:paraId="78782765"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348C4CEC" w14:textId="77777777" w:rsidR="00443399" w:rsidRPr="00B03B51" w:rsidRDefault="00443399" w:rsidP="00BD35E2">
      <w:pPr>
        <w:pStyle w:val="BodyText"/>
        <w:numPr>
          <w:ilvl w:val="1"/>
          <w:numId w:val="47"/>
        </w:numPr>
        <w:spacing w:before="0"/>
        <w:ind w:left="426" w:hanging="425"/>
        <w:jc w:val="both"/>
        <w:rPr>
          <w:rFonts w:ascii="Times New Roman" w:hAnsi="Times New Roman" w:cs="Times New Roman"/>
          <w:noProof/>
          <w:sz w:val="24"/>
        </w:rPr>
      </w:pPr>
      <w:r w:rsidRPr="00B03B51">
        <w:rPr>
          <w:rFonts w:ascii="Times New Roman" w:hAnsi="Times New Roman" w:cs="Times New Roman"/>
          <w:sz w:val="24"/>
        </w:rPr>
        <w:t>partneris uzņemas būvniecības risku un</w:t>
      </w:r>
    </w:p>
    <w:p w14:paraId="056FBDB3" w14:textId="77777777" w:rsidR="00443399" w:rsidRPr="00B03B51" w:rsidRDefault="00443399" w:rsidP="00BD35E2">
      <w:pPr>
        <w:pStyle w:val="BodyText"/>
        <w:numPr>
          <w:ilvl w:val="1"/>
          <w:numId w:val="47"/>
        </w:numPr>
        <w:spacing w:before="0"/>
        <w:ind w:left="426" w:hanging="425"/>
        <w:jc w:val="both"/>
        <w:rPr>
          <w:rFonts w:ascii="Times New Roman" w:hAnsi="Times New Roman" w:cs="Times New Roman"/>
          <w:noProof/>
          <w:sz w:val="24"/>
        </w:rPr>
      </w:pPr>
      <w:r w:rsidRPr="00B03B51">
        <w:rPr>
          <w:rFonts w:ascii="Times New Roman" w:hAnsi="Times New Roman" w:cs="Times New Roman"/>
          <w:sz w:val="24"/>
        </w:rPr>
        <w:lastRenderedPageBreak/>
        <w:t>partneris atbilstoši līgumā noteiktajam uzņemas vismaz vienu no šādiem riskiem – pieejamības risku vai pieprasījuma risku.</w:t>
      </w:r>
    </w:p>
    <w:p w14:paraId="2ACD25D7"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1B316A39"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48. Tāpēc, ja būvniecības risku uzņemas valdība vai ja partneris uzņemas tikai būvniecības risku un nekādus citus riskus, aktīvus ieraksta valdības bilancē.</w:t>
      </w:r>
    </w:p>
    <w:p w14:paraId="51C4BA43"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032A86F8"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49. Svarīgs kritērijs, kas jāņem vērā, ir valdības iespēja piemērot līgumsodus gadījumos, kad partneris nepilda savas pakalpojumu saistības. Līgumsodu piemērošanai jānotiek automātiski (t. i., tai jābūt skaidri noteiktai līgumā un tā nedrīkst būt apspriežama vai atkarīga no valdības lēmuma, vai to piemērot vai nepiemērot), un tai būtiski jāietekmē arī partnera ieņēmumi/peļņa, līdz ar to līgumsods nedrīkst būt simbolisks. Ja aktīvs nozīmīgu ilgu laikposmu nav pieejams, paredzams, ka valdības maksājumi, kā noteikts līguma formulā, par šādu periodu nokritīsies līdz nullei saskaņā ar pamatprincipu “nulles pieejamība – nulles maksājums”.</w:t>
      </w:r>
    </w:p>
    <w:p w14:paraId="1188776B"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3B59F481"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50. Tomēr jāatzīmē, ka var būt arī kādi vienreizēji maksājumi (piemēram, konkrēti naudas sodi par kādiem notikumiem, aktīva nepietiekamu kvalitāti, informācijas trūkumu vai dokumentācijas nepietiekamu nodrošināšanu, sliktiem darbības rezultātiem utt.), kas jāveic partnerim jebkurā gadījumā citu apstākļu dēļ neatkarīgi no tā, vai tiek piemērota sodu sistēma saistībā ar iepriekš minētā aktīva nepieejamību. Tādējādi var rasties partnera neto maksājumi valdībai, kas būtībā nevar nonākt atpakaļ līdz nullei. Turpretim gadījumā, ja partneris spēj pildīt savas saistības saskaņā ar līguma noteikumiem labāk, nekā tas tika paredzēts (augstāka produktivitāte, zemākas ievades izmaksas, labāki finanšu nosacījumi u. c.), viņam jāatļauj paturēt visu to gūto peļņu, kas pārsniedz gaidāmo.</w:t>
      </w:r>
    </w:p>
    <w:p w14:paraId="0505BEED"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487A3734"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szCs w:val="12"/>
        </w:rPr>
      </w:pPr>
      <w:r w:rsidRPr="00B03B51">
        <w:rPr>
          <w:rFonts w:ascii="Times New Roman" w:hAnsi="Times New Roman" w:cs="Times New Roman"/>
          <w:sz w:val="24"/>
        </w:rPr>
        <w:t>51. Turklāt jebkuri citi mehānismi, ar kuriem valdība varētu atkārtoti uzņemties lielāko projekta risku daļu (piemēram, izbeigšanas klauzulas, valdība nodrošina lielāko finansējuma daļu vai sniedz garantijas (skat. turpmāk 6.4.3.3.–6.4.3.5. apakšiedaļu), nosaka, ka aktīvs būtu ierakstāms valdības bilancē neatkarīgi no iepriekš minēto risku analīzes. Citiem vārdiem sakot, aktīvs tiks klasificēts kā valdības aktīvs, ja netiek ievērots kāds no turpmākajiem noteikumiem attiecībā uz garantijām, finansējumu vai pirmstermiņa izbeigšanu.</w:t>
      </w:r>
      <w:r w:rsidRPr="00B03B51">
        <w:rPr>
          <w:rStyle w:val="FootnoteReference"/>
          <w:rFonts w:ascii="Times New Roman" w:hAnsi="Times New Roman" w:cs="Times New Roman"/>
          <w:noProof/>
          <w:sz w:val="24"/>
        </w:rPr>
        <w:footnoteReference w:id="228"/>
      </w:r>
    </w:p>
    <w:p w14:paraId="13A4AD12"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2F904396"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52. Saistībā ar atlīdzībām, kas tiek gūtas no attiecīgā projekta, ja PPP līgumā paredzēts, ka gadījumā, ja partnerim sasniedzot noteiktu rentabilitātes līmeni, lai arī kādā izteiksmē tas būtu noteikts (naudas izteiksmē, kā atdeves attiecība pret pašu kapitālu utt.), valdības vienība būtu tiesīga saņemt jebkādu peļņas daļu, PPP aktīvi ir uzskatāmi par valdības aktīviem neatkarīgi no tā, vai ir precīzi noteikta peļņa, ko ietur valdība, un tās apjoms. Jebkurā gadījumā tas, ka vienība saņem atlīdzības no aktīva, ir rādītājs, ka aktīvs ir jāklasificē tās bilancē. Tomēr, ja valdībai PPP partnerībā ir mazākuma akcijas, tā joprojām varētu būt netieši tiesīga uz tās parasto peļņas daļu, kas varētu tikt sadalīta partnerim, t. i., saskaņā ar tādiem pašiem nosacījumiem, kādi ir pārējiem akciju turētājiem, maksājuma vai dividenžu veidā. Tomēr jāatzīmē, ka valdība var būt tiesīga saņemt visu iepriekš neparedzēto papildu peļņu, ko guvis partneris, vai tās daļu, ja ir apliecinājums, ka tā veidojusies valdības apzinātas darbības vai lēmumu rezultātā, kuri ietekmējuši konkrētā aktīva izmantošanu un/vai tā pieejamības izmaksas, piemēram, ja nepārprotama valdības lēmuma/politikas utt. rezultātā ir palielinājušās piedāvājuma maksas. Tas tomēr neietver vispārējos pasākumus, ko veic valdība un kas būtiski ietekmē ekonomiku.</w:t>
      </w:r>
    </w:p>
    <w:p w14:paraId="4C7DA63C" w14:textId="77777777" w:rsidR="00443399" w:rsidRPr="00B03B51" w:rsidRDefault="00443399" w:rsidP="00443399">
      <w:pPr>
        <w:jc w:val="both"/>
        <w:rPr>
          <w:rFonts w:ascii="Times New Roman" w:eastAsia="Arial" w:hAnsi="Times New Roman" w:cs="Times New Roman"/>
          <w:noProof/>
          <w:sz w:val="24"/>
          <w:szCs w:val="14"/>
        </w:rPr>
      </w:pPr>
    </w:p>
    <w:p w14:paraId="0B5F3659" w14:textId="77777777" w:rsidR="00443399" w:rsidRPr="00B03B51" w:rsidRDefault="00443399" w:rsidP="00443399">
      <w:pPr>
        <w:pStyle w:val="Heading6"/>
        <w:tabs>
          <w:tab w:val="left" w:pos="1267"/>
        </w:tabs>
        <w:ind w:left="0" w:firstLine="0"/>
        <w:jc w:val="both"/>
        <w:rPr>
          <w:rFonts w:ascii="Times New Roman" w:hAnsi="Times New Roman" w:cs="Times New Roman"/>
          <w:noProof/>
          <w:sz w:val="24"/>
        </w:rPr>
      </w:pPr>
      <w:bookmarkStart w:id="528" w:name="6.4.3.3_Government_financing"/>
      <w:bookmarkEnd w:id="528"/>
      <w:r w:rsidRPr="00B03B51">
        <w:rPr>
          <w:rFonts w:ascii="Times New Roman" w:hAnsi="Times New Roman" w:cs="Times New Roman"/>
          <w:sz w:val="24"/>
        </w:rPr>
        <w:lastRenderedPageBreak/>
        <w:t>6.4.3.3. VALDĪBAS FINANSĒJUMS</w:t>
      </w:r>
    </w:p>
    <w:p w14:paraId="5EB4B30C"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5545AE79"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53. Ir iespējams, ka svarīgs mērķis valdības ilgtermiņa partnerībai ar valdības sektoram nepiederošām vienībām ir kapitāla izdevumu un saistītā finansējuma uzskaites sadalīšana ilgā laika posmā.</w:t>
      </w:r>
    </w:p>
    <w:p w14:paraId="6D432D00"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4522390F"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54. Šādos apstākļos valdība pati piedalās partnera finansēšanā. Partneris bieži vien nevar aizņemties naudas līdzekļus ar tādu pašu procentu likmi kā valdība, tādējādi palielinot projekta izmaksas. Tāpēc valdība var piedāvāt partnerim konkrētu daļu no PPP projektam vajadzīgā finansējuma, lai piesaistītu lielāku privātā sektora subjektu interesi par projektu un samazinātu finansēšanas kopējās izmaksas un/vai vienkārši nodrošinātu projekta dzīvotspēju.</w:t>
      </w:r>
      <w:r w:rsidRPr="00B03B51">
        <w:rPr>
          <w:rStyle w:val="FootnoteReference"/>
          <w:rFonts w:ascii="Times New Roman" w:hAnsi="Times New Roman" w:cs="Times New Roman"/>
          <w:noProof/>
          <w:sz w:val="24"/>
        </w:rPr>
        <w:footnoteReference w:id="229"/>
      </w:r>
    </w:p>
    <w:p w14:paraId="4CF3C931"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3F7A4759"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 xml:space="preserve">55. Ja valdība finansē kapitāla izdevumu lielāko daļu (dažādos veidos, kas jāizvērtē visi kopā, piemēram, ar ieguldījumu dotācijām, aizdevumiem, garantijām, pašu kapitālu partnera sabiedrībā utt.), uzskatāms, ka valdība uzņemas lielāko daļu risku, un aktīvs ir jāklasificē valdības bilancē. Ja šī situācija ir paredzēta sākotnējā līgumā, visus kapitāla izdevumus ieraksta kā valdības bruto ieguldījumus pamatkapitālā. Valdība var sniegt finansējumu arī dažādos laikos. Tas var notikt sākumā, lai segtu būvniecības posmu, un var arī būt būvniecības posma beigās, kad ir uzkrājies parāds par būvniecības posmu (ko finansējis partneris no saviem līdzekļiem un/vai izmantojot banku īstermiņa mehānismus), ko varētu būt nepieciešams “konsolidēt” ilgākā termiņā. Var gadīties, ka valdība būtisku summu maksā būvniecības posma beigās, kas ir uzskatāma par ieguldījumu dotāciju (un nevis par priekšapmaksu nākotnes vienotajiem pieejamības vai piedāvājuma maksājumiem), un, kā jau tika iepriekš minēts, tas ir jāņem vērā, novērtējot valdības daļu kopējā finansējumā. Turklāt, ja valdības sniegtais finansējums vispirms ir neliela daļa no kopējā nepieciešamā finansējuma (tādējādi aktīvi </w:t>
      </w:r>
      <w:r w:rsidRPr="00B03B51">
        <w:rPr>
          <w:rFonts w:ascii="Times New Roman" w:hAnsi="Times New Roman" w:cs="Times New Roman"/>
          <w:i/>
          <w:iCs/>
          <w:sz w:val="24"/>
        </w:rPr>
        <w:t>ceteris paribus</w:t>
      </w:r>
      <w:r w:rsidRPr="00B03B51">
        <w:rPr>
          <w:rFonts w:ascii="Times New Roman" w:hAnsi="Times New Roman" w:cs="Times New Roman"/>
          <w:sz w:val="24"/>
        </w:rPr>
        <w:t xml:space="preserve"> tiek klasificēti partnera bilancē), taču vēlāk būvniecības gaitā dažādu iemeslu dēļ finansējums kļūst par dominējošu, tajā brīdī, kad tas notiek, tas rada pamatu aktīva pārklasificēšanai valdības bilancē.</w:t>
      </w:r>
    </w:p>
    <w:p w14:paraId="51100669"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6ED2C541"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56. Tas varētu attiekties tikai uz gadījumiem, kad finansējumu sniedz nacionālās valdības vienības, tāpēc netiek iekļauts finansējums, ko sniedz starptautiski subjekti saskaņā ar starpvaldību nolīgumiem, piemēram, ES fondu (ESIF, Kohēzijas fonda) finansējums, kas tiek piešķirts valdības sektorā neietilpstošām vienībām. Šajā saistībā ir jāatzīmē, ka, piemēram, ja ES finansē 30 % dotāciju veidā, privātais partneris finansē 36 % un valdība attiecīgi 34 % (no kopapjoma), būtu jāuzskata, ka PPP projekta vairākumu finansē privātais sektors, jo tā finansējums būtu 36/70=51,4 % no kopapjoma. Novērtējot valdības un partnera ieguldījumu kapitāla izmaksu finansēšanā, nav jāiekļauj ES dotācijas, kas samazina nepieciešamību finansēt izdevumus iekšzemes līmenī, iespējams, ar valdības līdzdalību. Aktīvus var ierakstīt kā valdības aktīvus, pat ja valdība nesedz vairāk par 50 % no kapitāla izdevumiem; tas ir atkarīgs no ES dotāciju īpatsvara. Faktiski tas vienkārši ir atkarīgs no tā, vai valdības finansējuma daļa būs lielāka vai mazāka par privātā sektora sniegtā finansējuma daļu.</w:t>
      </w:r>
      <w:r w:rsidRPr="00B03B51">
        <w:rPr>
          <w:rStyle w:val="FootnoteReference"/>
          <w:rFonts w:ascii="Times New Roman" w:hAnsi="Times New Roman" w:cs="Times New Roman"/>
          <w:noProof/>
          <w:sz w:val="24"/>
        </w:rPr>
        <w:footnoteReference w:id="230"/>
      </w:r>
      <w:r w:rsidRPr="00B03B51">
        <w:rPr>
          <w:rFonts w:ascii="Times New Roman" w:hAnsi="Times New Roman" w:cs="Times New Roman"/>
          <w:sz w:val="24"/>
        </w:rPr>
        <w:t xml:space="preserve"> Valdības un partnera </w:t>
      </w:r>
      <w:r w:rsidRPr="00B03B51">
        <w:rPr>
          <w:rFonts w:ascii="Times New Roman" w:hAnsi="Times New Roman" w:cs="Times New Roman"/>
          <w:sz w:val="24"/>
        </w:rPr>
        <w:lastRenderedPageBreak/>
        <w:t>risku līdzsvara analīzē un novērtējumā</w:t>
      </w:r>
      <w:r w:rsidRPr="00B03B51">
        <w:rPr>
          <w:rStyle w:val="FootnoteReference"/>
          <w:rFonts w:ascii="Times New Roman" w:hAnsi="Times New Roman" w:cs="Times New Roman"/>
          <w:noProof/>
          <w:sz w:val="24"/>
        </w:rPr>
        <w:footnoteReference w:id="231"/>
      </w:r>
      <w:r w:rsidRPr="00B03B51">
        <w:rPr>
          <w:rFonts w:ascii="Times New Roman" w:hAnsi="Times New Roman" w:cs="Times New Roman"/>
          <w:sz w:val="24"/>
        </w:rPr>
        <w:t xml:space="preserve"> nevajadzētu iekļaut dotāciju veidā piešķirto ārējo ES finansējumu</w:t>
      </w:r>
      <w:r w:rsidRPr="00B03B51">
        <w:rPr>
          <w:rStyle w:val="FootnoteReference"/>
          <w:rFonts w:ascii="Times New Roman" w:hAnsi="Times New Roman" w:cs="Times New Roman"/>
          <w:noProof/>
          <w:sz w:val="24"/>
        </w:rPr>
        <w:footnoteReference w:id="232"/>
      </w:r>
      <w:r w:rsidRPr="00B03B51">
        <w:rPr>
          <w:rFonts w:ascii="Times New Roman" w:hAnsi="Times New Roman" w:cs="Times New Roman"/>
          <w:sz w:val="24"/>
        </w:rPr>
        <w:t>. Tomēr ir jānovērtē, vai valdība uzņemas vairāk risku nekā partneris, vai arī otrādi.</w:t>
      </w:r>
    </w:p>
    <w:p w14:paraId="26E64A06"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6BB281F2"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57. Ja valdība piedalās PPP projekta finansēšanā ar mazāk nekā 50 % no kopapjoma, kā minēts iepriekš, būtu svarīgi pārbaudīt, kāda veida parādu uzņemas partneris attiecībā uz valdību (kas varētu arī nebūt tā pati vienība, kas iesaistīta līgumā). Tas ir tāpēc, ka finanšu instrumentos var tikt iekļauti dažādas pakāpes riski tādā ziņā, ka debitora saistību nepildīšana tiktu attiecināta uz kreditoriem noteiktā prioritāšu secībā. Šajā saistībā, lai īstenotu šo noteikumu, parāds ir jāpadara pēc būtības viendabīgs. Šajā saistībā tomēr nav iespējams izmantot dažus parastos finanšu analīzes rīkus, ar kuriem nosaka, piemēram, “saistību neizpildes iespējamību” vai “saistību nepildīšanas zaudējumu” utt., jo tam būtu nepieciešami ievērojams piemēru daudzums. Tāpēc izmanto vienkāršu metodi, pieņemot reizinātāju, kas ir vienāds ar 2,5</w:t>
      </w:r>
      <w:r w:rsidRPr="00B03B51">
        <w:rPr>
          <w:rStyle w:val="FootnoteReference"/>
          <w:rFonts w:ascii="Times New Roman" w:hAnsi="Times New Roman" w:cs="Times New Roman"/>
          <w:noProof/>
          <w:sz w:val="24"/>
        </w:rPr>
        <w:footnoteReference w:id="233"/>
      </w:r>
      <w:r w:rsidRPr="00B03B51">
        <w:rPr>
          <w:rFonts w:ascii="Times New Roman" w:hAnsi="Times New Roman" w:cs="Times New Roman"/>
          <w:sz w:val="24"/>
        </w:rPr>
        <w:t>, ja valdība tur augstāka riska instrumentu (pakārtoto vai subordinēto parādu) nekā citi kreditori.</w:t>
      </w:r>
      <w:r w:rsidRPr="00B03B51">
        <w:rPr>
          <w:rStyle w:val="FootnoteReference"/>
          <w:rFonts w:ascii="Times New Roman" w:hAnsi="Times New Roman" w:cs="Times New Roman"/>
          <w:noProof/>
          <w:sz w:val="24"/>
        </w:rPr>
        <w:footnoteReference w:id="234"/>
      </w:r>
      <w:r w:rsidRPr="00B03B51">
        <w:rPr>
          <w:rFonts w:ascii="Times New Roman" w:hAnsi="Times New Roman" w:cs="Times New Roman"/>
          <w:sz w:val="24"/>
          <w:szCs w:val="12"/>
        </w:rPr>
        <w:t xml:space="preserve"> </w:t>
      </w:r>
      <w:r w:rsidRPr="00B03B51">
        <w:rPr>
          <w:rFonts w:ascii="Times New Roman" w:hAnsi="Times New Roman" w:cs="Times New Roman"/>
          <w:sz w:val="24"/>
        </w:rPr>
        <w:t>Sarežģītākos gadījumos (piemēram, ja ir dažādu instrumentu klašu kopums un vairāki zaudējumu seguma līmeņi) tomēr būtu nepieciešams veikt īpašu analīzi.</w:t>
      </w:r>
    </w:p>
    <w:p w14:paraId="3A3022D7"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63B56ABE"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58. Dažos līgumos valdība var cieši apņemties nodrošināt visu partnera finansējumu vai tā daļu gadījumā, ja partneris nav tādā stāvoklī, lai iegūtu finanšu resursus, kad tie ir nepieciešami.</w:t>
      </w:r>
    </w:p>
    <w:p w14:paraId="41CCF6A8"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6F1F59A1"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59. Piemēram, izņēmuma gadījumos sākumā parakstītais finanšu nolīgums nesedz visu līguma darbības termiņu (piemēram, ilgtermiņa sindicētā bankas aizdevuma gadījumā) vai būvniecības posma beigās rodas kādas problēmas. Pēdējo minēto gadījumu parasti finansē, izmantojot īstermiņa mehānismus (izstrādāti darba gaitā), kas “konsolidēti” pēc darba pabeigšanas (un kad darbu ir apstiprinājis darījuma partneris), izmantojot ilgtermiņa finansēšanas līdzekļus (tostarp emitētos ilgtermiņa vērtspapīrus). Tas varētu notikt, piemēram, ja dažām bankām vai riska parakstītājiem nav stingra pienākuma nodrošināt šo konsolidāciju un viņi dažādu iemeslu dēļ varētu izlemt nepiedalīties. Šādā gadījumā, ja valdība ir apņēmusies finansēt vairāk nekā 50 % no kapitāla izdevumiem, aktīvus klasificē kā valdības aktīvus PPP līguma darbības sākumā (pakāpeniski ierakstot bruto pamatkapitāla veidošanu pēc darbu pabeigšanas), jo PPP novērtējums ir jāveic attiecībā uz partnera vispārējo finanšu risku gan būvniecības, gan ekspluatācijas posmā, t. i., visā līguma darbības termiņa laikā, nevis tikai tā parakstīšanas brīdī. Šādas gadījuma saistības, ko uzņemas valsts, varētu būtiski mazināt partnera risku.</w:t>
      </w:r>
    </w:p>
    <w:p w14:paraId="20BE6416"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4312575D"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 xml:space="preserve">60. Cits gadījums varētu būt, ja ilgtermiņa finansējums dažādu iemeslu dēļ (tirgus apstākļi finansēšanas nolīguma brīdī, izvairīšanās no riskiem, neskaidrība par pasākuma dzīvotspēju utt.) nesedz PPP līgumu līdz tā galīgajam termiņam un varētu būt neskaidrība par partnera spēju iegūt visus nepieciešamos finanšu resursus, kā arī neskaidrība par to izmaksām. Aktīvus pārklasificē par valdības aktīviem brīdī, kad valdība faktiski refinansē parādu, ja tās saistības pārsniedz 50 % no aktīva gaidāmās vērtības refinansēšanas brīdī, pamatojoties uz līguma </w:t>
      </w:r>
      <w:r w:rsidRPr="00B03B51">
        <w:rPr>
          <w:rFonts w:ascii="Times New Roman" w:hAnsi="Times New Roman" w:cs="Times New Roman"/>
          <w:sz w:val="24"/>
        </w:rPr>
        <w:lastRenderedPageBreak/>
        <w:t>noteikumiem, kas attiecas uz kapitāla izdevumiem (dažos gadījumos realizētie izdevumi varētu tomēr būt lielāki). Tomēr abos iepriekš minētajos gadījumos, ja valdība nodrošina (re)finansēšanu saistībā ar tirgus traucējumiem (tas varētu būt, piemēram, brīdī, kad parakstīts finanšu nolīgums), piemēram, saistībā ar kredītresursu trūkumu vai neaktīviem finanšu tirgiem, ko varētu uzskatīt par nepārvaramas varas apstākļiem, valdības iejaukšanās dēļ aktīvs nebūtu jāpārklasificē ar nosacījumu, ka valdības finansējums sedz tikai ļoti mazu daļu no līguma atlikušā darbības termiņa un tiek paredzēta valdības izstāšanās, tiklīdz tirgus apstākļi atkal ir salīdzinoši “normāli”.</w:t>
      </w:r>
    </w:p>
    <w:p w14:paraId="31AE6D8B"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0BAD3069"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61. Visbeidzot, refinansēšana varētu tikt īstenota vai nu tāpēc, ka ir pienācis finanšu instrumenta maksājuma termiņš pirms PPP līguma darbības termiņā beigām, vai arī, lai izdevīgi izmantotu labvēlīgas tirgus tendences (piemēram, procentu likmes vispārēju samazināšanos), vai tāpēc, ka tirgū tiek labāk novērtēts partnera risks</w:t>
      </w:r>
      <w:r w:rsidRPr="00B03B51">
        <w:rPr>
          <w:rStyle w:val="FootnoteReference"/>
          <w:rFonts w:ascii="Times New Roman" w:hAnsi="Times New Roman" w:cs="Times New Roman"/>
          <w:noProof/>
          <w:sz w:val="24"/>
        </w:rPr>
        <w:footnoteReference w:id="235"/>
      </w:r>
      <w:r w:rsidRPr="00B03B51">
        <w:rPr>
          <w:rFonts w:ascii="Times New Roman" w:hAnsi="Times New Roman" w:cs="Times New Roman"/>
          <w:sz w:val="24"/>
        </w:rPr>
        <w:t>. Aktīvus jau no paša sākuma uzskata par valdības aktīviem, ja līgumā ir noteikts, ka valdība ir tiesīga saņemt konkrētu daļu no iespējamā refinansēšanas guvuma. Taču izņēmumus ir gadījumā, ja tiek gūts apliecinājums, ka partnera riska labāku novērtējumu ir radījusi valdības konkrēta rīcība (piemēram, aktīvu mazākas izmantošanas dēļ vai tāpēc, ka valdības dēļ ir radīti labvēlīgāki nosacījumi aktīvu izmantošanai utt.), kuras rezultātā ir pieaugusi partnera rentabilitāte. Šādā gadījumā refinansēšanas guvumu varētu piešķirt valdībai. Dažkārt ir visai grūti nodalīt refinansēšanas guvuma dominējošo cēloni, kas praksē varētu būt vairāku tādu faktoru mijiedarbības rezultāts, kurus ir grūti precīzi izsvērt. Šādos gadījumos, ja valdība bija tiesīga paturēt ne vairāk kā vienu trešdaļu guvuma, aktīvi nav klasificējami valdības bilancē PPP līguma darbības sākumā. Šī attiecība ir pamatojama ar to, ka papildus atlīdzībām, kas tieši saistītas ar partnera vai valdības konkrētajām darbībām, vēl ir jāizvērtē arī tas, ka riski un atlīdzības, kas izriet no makroekonomiskās vides, ir jāuzņemas aktīva ekonomiskajam īpašniekam precīzi tāpat, kā tas ir nepārvaramas varas notikumu gadījumā vai citos līdzīgos gadījumos. Valdība varētu arī saņemt daļu peļņas nodokļu veidā, taču tikai saskaņā ar parastajiem nodokļu piemērošanas noteikumiem, nevis īpašu nodokļu veidā, kas iekasēti saistībā ar konkrēto PPP gadījumu.</w:t>
      </w:r>
    </w:p>
    <w:p w14:paraId="0E26E77E" w14:textId="77777777" w:rsidR="00443399" w:rsidRPr="00B03B51" w:rsidRDefault="00443399" w:rsidP="00443399">
      <w:pPr>
        <w:jc w:val="both"/>
        <w:rPr>
          <w:rFonts w:ascii="Times New Roman" w:hAnsi="Times New Roman" w:cs="Times New Roman"/>
          <w:noProof/>
          <w:sz w:val="24"/>
        </w:rPr>
      </w:pPr>
    </w:p>
    <w:p w14:paraId="058B7ADC" w14:textId="77777777" w:rsidR="00443399" w:rsidRPr="00B03B51" w:rsidRDefault="00443399" w:rsidP="00443399">
      <w:pPr>
        <w:pStyle w:val="Heading6"/>
        <w:tabs>
          <w:tab w:val="left" w:pos="1267"/>
        </w:tabs>
        <w:ind w:left="0" w:firstLine="0"/>
        <w:jc w:val="both"/>
        <w:rPr>
          <w:rFonts w:ascii="Times New Roman" w:hAnsi="Times New Roman" w:cs="Times New Roman"/>
          <w:noProof/>
          <w:sz w:val="24"/>
        </w:rPr>
      </w:pPr>
      <w:bookmarkStart w:id="529" w:name="6.4.3.4_Government_guarantees"/>
      <w:bookmarkEnd w:id="529"/>
      <w:r w:rsidRPr="00B03B51">
        <w:rPr>
          <w:rFonts w:ascii="Times New Roman" w:hAnsi="Times New Roman" w:cs="Times New Roman"/>
          <w:sz w:val="24"/>
        </w:rPr>
        <w:t>6.4.3.4. VALDĪBAS GARANTIJAS</w:t>
      </w:r>
    </w:p>
    <w:p w14:paraId="52F4F23C"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19FDB700"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62. Valdība var arī piešķirt tiešu garantiju</w:t>
      </w:r>
      <w:r w:rsidRPr="00B03B51">
        <w:rPr>
          <w:rStyle w:val="FootnoteReference"/>
          <w:rFonts w:ascii="Times New Roman" w:hAnsi="Times New Roman" w:cs="Times New Roman"/>
          <w:noProof/>
          <w:sz w:val="24"/>
        </w:rPr>
        <w:footnoteReference w:id="236"/>
      </w:r>
      <w:r w:rsidRPr="00B03B51">
        <w:rPr>
          <w:rFonts w:ascii="Times New Roman" w:hAnsi="Times New Roman" w:cs="Times New Roman"/>
          <w:sz w:val="24"/>
        </w:rPr>
        <w:t>, kas pilnīgi vai daļēji sedz ar projektu saistīto partnera aizņēmumu, lai arī kādi būtu kreditori (tostarp, iespējams, starptautiskas finanšu organizācijas). Parasti tas palīdz partnerim piesaistīt līdzekļus tirgū ar mazākām izmaksām un uzlabot tā kredītreitingu.</w:t>
      </w:r>
    </w:p>
    <w:p w14:paraId="35622E40"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12953062"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63. Šajā saistībā, ja pastāv tiesību normas, kas paredz valdībai nodot visa parāda vai tā daļas apkalpošanu, partnera parāds varētu tikt pārklasificēts par valdības parādu.</w:t>
      </w:r>
    </w:p>
    <w:p w14:paraId="006DDEFF"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12108361"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64. Turklāt, ņemot vērā, ka garantijas ietekmē risku sadalījumu starp pusēm, garantijas ir jāizmanto PPP risku analīzē, jo īpaši gadījumā, ja lielākā PPP aktīvu vērtības daļa (tostarp jebkādas atjaunošanas izmaksas) varētu izrietēt no valdības veiktas aktīvu nodošanas.</w:t>
      </w:r>
    </w:p>
    <w:p w14:paraId="1E8CD032"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1B1BD6BC"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 xml:space="preserve">65. PPP aktīvu ierakstīšanu var ietekmēt garantijas tvērums (tostarp gadījumi, kad tā attiecas </w:t>
      </w:r>
      <w:r w:rsidRPr="00B03B51">
        <w:rPr>
          <w:rFonts w:ascii="Times New Roman" w:hAnsi="Times New Roman" w:cs="Times New Roman"/>
          <w:sz w:val="24"/>
        </w:rPr>
        <w:lastRenderedPageBreak/>
        <w:t>ne tikai uz konkrētu parāda instrumentu, kas saistīts ar projektu</w:t>
      </w:r>
      <w:r w:rsidRPr="00B03B51">
        <w:rPr>
          <w:rStyle w:val="FootnoteReference"/>
          <w:rFonts w:ascii="Times New Roman" w:hAnsi="Times New Roman" w:cs="Times New Roman"/>
          <w:noProof/>
          <w:sz w:val="24"/>
        </w:rPr>
        <w:footnoteReference w:id="237"/>
      </w:r>
      <w:r w:rsidRPr="00B03B51">
        <w:rPr>
          <w:rFonts w:ascii="Times New Roman" w:hAnsi="Times New Roman" w:cs="Times New Roman"/>
          <w:sz w:val="24"/>
        </w:rPr>
        <w:t>). Tas var nozīmēt, ka valdībai ir jāuzņemas daži no šajā nodaļā iepriekš analizētajiem riskiem.</w:t>
      </w:r>
    </w:p>
    <w:p w14:paraId="1609ADD9"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0C5F1ADD" w14:textId="7C5AFF96"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66. PPP gadījumā valdība var piešķirt garantijas partnerim, lai segtu parāda atmaksu, taču tā var arī nodrošināt konkrētu pašu kapitāla atdevi, lai arī kāds būt</w:t>
      </w:r>
      <w:r w:rsidR="00B8720C" w:rsidRPr="00B03B51">
        <w:rPr>
          <w:rFonts w:ascii="Times New Roman" w:hAnsi="Times New Roman" w:cs="Times New Roman"/>
          <w:sz w:val="24"/>
        </w:rPr>
        <w:t>u</w:t>
      </w:r>
      <w:r w:rsidRPr="00B03B51">
        <w:rPr>
          <w:rFonts w:ascii="Times New Roman" w:hAnsi="Times New Roman" w:cs="Times New Roman"/>
          <w:sz w:val="24"/>
        </w:rPr>
        <w:t xml:space="preserve"> partnera darbības rezultāts. Tas varētu norādīt par risku nepietiekamu nodošanu partnerim. Līdzīgi dažos gadījumos, kad “virtuālās ceļa nodevas” izveido atkarībā no tā, kā aktīvu izmanto galalietotāji, valdība varētu nodrošināt minimālos ieņēmumus pieprasījuma garantētā līmeņa veidā neatkarīgi no aktīva faktiskās izmantošanas. To arī varētu uzskatīt par risku nepietiekamu nodošanu.</w:t>
      </w:r>
    </w:p>
    <w:p w14:paraId="379654E2"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1D4333F7"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67. Ja būvniecības posma sākumā vai tās laikā valdības garantijas sedz lielāko daļu PPP projekta kapitāla izdevumu, aktīvu parasti ieraksta valdības bilancē, izņemot gadījumus, kad garantijas laiks ir ļoti ierobežots un tā piemērojama tikai ļoti stingros tirgus traucējumu apstākļos. Tas pats attiecas uz gadījumiem, kad partnerim jebkuros apstākļos tiek nodrošināta konkrēta vai minimāla peļņas norma.</w:t>
      </w:r>
    </w:p>
    <w:p w14:paraId="362D3C09"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0064ECAE"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68. Papildus vienkāršajam tiešās parāda garantijas gadījumam riska sadalījuma starp valdību un partneri analīzē būtu jāiekļauj arī tās garantijas, kas dažādos veidos ir piešķirtas kreditoriem vai partnerim, piemēram, apdrošināšanas vai atvasināto finanšu instrumentu veidā, kā arī jebkādus citus nosacījumus ar līdzīgu ietekmi.</w:t>
      </w:r>
    </w:p>
    <w:p w14:paraId="3AD886A9"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1FB2C4C2"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69. Lai novērtētu riska sadalījumu starp valdību un partneri, attiecībā uz PPP projekta kapitāla izdevumiem lielākās finansējuma daļas tests jāveic kopā ar izsniegto garantiju testu. PPP līgumu gadījumā valdība varētu nodrošināt mazāko kopējo kapitāla izdevumu daļu, taču pēc tam varētu piešķirt garantiju attiecībā uz lielāko atlikušā projekta finansējuma daļu (attiecinot to uz partnera parādsaistībām tieši vai arī netieši, piemēram, garantēdama pieejamības maksājumus). Šādā gadījumā, ja valdības atbalsta kopējā ietekme aptvertu vairāk nekā tikai lielāko daļu kapitāla izdevumu, varētu secināt, ka valdība uzņemas lielāko riska daļu. Turklāt gadījumā, kad PPP finansē galvenokārt no pašu kapitāla, ir jāveic īpaša analīze, lai novērtētu ietekmi uz riska sadalījumu starp valdību un partneri atbilstoši līguma noteikumiem par pašu kapitāla daļu.</w:t>
      </w:r>
    </w:p>
    <w:p w14:paraId="283313A8"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4A85CAF4"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70. Visbeidzot, ja garantija tiek faktiski pieprasīta, varētu mainīties aktīvu ekonomiskās īpašumtiesības un tos var nākties pārklasificēt (par to atlikušo vērtību), kad vien tādā veidā varētu būtiski mainīties riska sadalījums starp pusēm. Tas būtu jādara, piemēram, tad, ja valdība pārņemtu partneri savā kontrolē un/vai turpmāk vairs neveiktu maksājumus, pamatojoties uz aktīvu pieejamību un pieprasījumu, bet galvenokārt pamatojoties uz darbības izmaksām.</w:t>
      </w:r>
    </w:p>
    <w:p w14:paraId="09C7D1F4" w14:textId="77777777" w:rsidR="00443399" w:rsidRPr="00B03B51" w:rsidRDefault="00443399" w:rsidP="00443399">
      <w:pPr>
        <w:jc w:val="both"/>
        <w:rPr>
          <w:rFonts w:ascii="Times New Roman" w:eastAsia="Arial" w:hAnsi="Times New Roman" w:cs="Times New Roman"/>
          <w:noProof/>
          <w:sz w:val="24"/>
          <w:szCs w:val="15"/>
        </w:rPr>
      </w:pPr>
    </w:p>
    <w:p w14:paraId="51CE32EA" w14:textId="77777777" w:rsidR="00443399" w:rsidRPr="00B03B51" w:rsidRDefault="00443399" w:rsidP="00443399">
      <w:pPr>
        <w:pStyle w:val="Heading6"/>
        <w:tabs>
          <w:tab w:val="left" w:pos="1267"/>
        </w:tabs>
        <w:ind w:left="0" w:firstLine="0"/>
        <w:jc w:val="both"/>
        <w:rPr>
          <w:rFonts w:ascii="Times New Roman" w:hAnsi="Times New Roman" w:cs="Times New Roman"/>
          <w:noProof/>
          <w:sz w:val="24"/>
        </w:rPr>
      </w:pPr>
      <w:bookmarkStart w:id="530" w:name="6.4.3.5_Termination_clauses_and_change_i"/>
      <w:bookmarkEnd w:id="530"/>
      <w:r w:rsidRPr="00B03B51">
        <w:rPr>
          <w:rFonts w:ascii="Times New Roman" w:hAnsi="Times New Roman" w:cs="Times New Roman"/>
          <w:sz w:val="24"/>
        </w:rPr>
        <w:t>6.4.3.5. IZBEIGŠANAS KLAUZULAS UN PĀRMAIŅAS LĪGUMA BŪTĪBĀ</w:t>
      </w:r>
    </w:p>
    <w:p w14:paraId="6E841A77"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5CF830CE"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 xml:space="preserve">71. PPP līgumos iekļauj līguma izbeigšanas noteikumus gadījumā, ja valdība vai partneris nevar izpildīt līgumu vai arī kāds no viņiem pastāvīgi nespēj ievērot savas līgumsaistības. Turklāt valdība var izmantot savas ārkārtas suverēnās tiesības. Iespējami dažādi iemesli, kāpēc līgums tiek izbeigts pirms līguma termiņa beigām. Īpaša uzmanība jāpievērš gadījumam, kad izbeigšanas iemesls ir partnera saistību neizpilde (vai partneris neatkarīgi izlemj izstāties no līguma), piemēram, tāpēc, ka partnerim regulāri ir slikti darbības rezultāti vai partneris vairs nespēj sniegt pakalpojumus atbilstīgi noslēgtā līguma nosacījumiem. Tas kopumā ir noteikts dažos līguma nosacījumos un procedūrās. Ja partneris nepilda saistības, aktīvi parasti tiek </w:t>
      </w:r>
      <w:r w:rsidRPr="00B03B51">
        <w:rPr>
          <w:rFonts w:ascii="Times New Roman" w:hAnsi="Times New Roman" w:cs="Times New Roman"/>
          <w:sz w:val="24"/>
        </w:rPr>
        <w:lastRenderedPageBreak/>
        <w:t>nodoti valdībai (skat. turpmākos nosacījumus) līguma izbeigšanas brīdī, izņemot gadījumu, kad tie varētu tikt uzreiz nodoti jaunam partnerim. Attiecībā uz jauniem līgumiem šajā saistībā būtu nepieciešama jauna analīze.</w:t>
      </w:r>
    </w:p>
    <w:p w14:paraId="38752621"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01448AEC"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72. Izbeigšanas noteikumos parasti būs noteikts, ka valdībai ir jāiegādājas aktīvs un jāpārņem viss partnera parāds, kas saistīts ar PPP, vai tā daļa un jāsamaksā partnerim kompensācija. Tas ir tāpēc, ka PPP aktīvs nereti ir “īpašam mērķim paredzēts aktīvs” ar ierobežotu tālākpārdošanas vērtību tirgū partnerim un valdība parasti vēlas saglabāt galveno ietekmi uz nosacījumiem, saskaņā ar kuriem pakalpojumi tiek sniegti, izmantojot aktīvu. Principā jebkurā kompensācijā, kas tiek sniegta saistībā ar pirmstermiņa izbeigšanu, pamatojoties uz to, ka partneris nepilda saistības, jāņem vērā partnera neapmierinošie darbības rezultāti, un līdz ar to šādām kompensācijām jāatšķiras no kompensācijas maksājumiem, kas tiek veikti saistībā ar pirmstermiņa izbeigšanu, kas noteikta pēc valdības ierosmes.</w:t>
      </w:r>
    </w:p>
    <w:p w14:paraId="3D92256C"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2AB28816" w14:textId="77777777" w:rsidR="00443399" w:rsidRPr="00B03B51" w:rsidRDefault="00443399" w:rsidP="00BD35E2">
      <w:pPr>
        <w:pStyle w:val="BodyText"/>
        <w:numPr>
          <w:ilvl w:val="1"/>
          <w:numId w:val="47"/>
        </w:numPr>
        <w:spacing w:before="0"/>
        <w:ind w:left="426" w:hanging="425"/>
        <w:jc w:val="both"/>
        <w:rPr>
          <w:rFonts w:ascii="Times New Roman" w:hAnsi="Times New Roman" w:cs="Times New Roman"/>
          <w:noProof/>
          <w:sz w:val="24"/>
        </w:rPr>
      </w:pPr>
      <w:r w:rsidRPr="00B03B51">
        <w:rPr>
          <w:rFonts w:ascii="Times New Roman" w:hAnsi="Times New Roman" w:cs="Times New Roman"/>
          <w:sz w:val="24"/>
        </w:rPr>
        <w:t>Ja līgums tiek izbeigts tādēļ, ka partneris nepilda saistības būvniecības laikā vai būvniecības posma beigās, parasti līgumā ir paredzēts tikai valdības atmaksājums, pamatojoties uz kapitāla izdevumiem, kas radušies. Turklāt, ja attiecībā uz partneri netiek piemērots sods par iespējami nelabvēlīgajām sekām, ko rada neizpilde (kavējumi, izmaksu pārsniegums), uzskata, ka būvniecības risku uzņemas valdība.</w:t>
      </w:r>
    </w:p>
    <w:p w14:paraId="1E1B8FDB" w14:textId="77777777" w:rsidR="00443399" w:rsidRPr="00B03B51" w:rsidRDefault="00443399" w:rsidP="00BD35E2">
      <w:pPr>
        <w:pStyle w:val="BodyText"/>
        <w:numPr>
          <w:ilvl w:val="1"/>
          <w:numId w:val="47"/>
        </w:numPr>
        <w:spacing w:before="0"/>
        <w:ind w:left="426" w:hanging="425"/>
        <w:jc w:val="both"/>
        <w:rPr>
          <w:rFonts w:ascii="Times New Roman" w:hAnsi="Times New Roman" w:cs="Times New Roman"/>
          <w:noProof/>
          <w:sz w:val="24"/>
        </w:rPr>
      </w:pPr>
      <w:r w:rsidRPr="00B03B51">
        <w:rPr>
          <w:rFonts w:ascii="Times New Roman" w:hAnsi="Times New Roman" w:cs="Times New Roman"/>
          <w:sz w:val="24"/>
        </w:rPr>
        <w:t>Ja neizpilde notiek ekspluatācijas posmā, līgumā ir skaidri jānorāda, ka partnerim izmaksājamā kompensācija (ja tāda ir paredzēta) laikā, kad valdība pārņem aktīvu no partnera, nedrīkst pārsniegt aktīva tirgus vērtību (kā norādīts EKS 2010 7. nodaļā “Bilances”) konkrētajā brīdī (ievērojot paredzamās izmaksas, kas nepieciešamas, lai savestu aktīvu pienācīgā kārtībā), kas noteiktas atkārtotā konkursa procesā vai ko ticami noteikuši neatkarīgi eksperti</w:t>
      </w:r>
      <w:r w:rsidRPr="00B03B51">
        <w:rPr>
          <w:rStyle w:val="FootnoteReference"/>
          <w:rFonts w:ascii="Times New Roman" w:hAnsi="Times New Roman" w:cs="Times New Roman"/>
          <w:noProof/>
          <w:sz w:val="24"/>
        </w:rPr>
        <w:footnoteReference w:id="238"/>
      </w:r>
      <w:r w:rsidRPr="00B03B51">
        <w:rPr>
          <w:rFonts w:ascii="Times New Roman" w:hAnsi="Times New Roman" w:cs="Times New Roman"/>
          <w:sz w:val="24"/>
        </w:rPr>
        <w:t>. Ja šie nosacījumi nav izpildīti (pirmkārt un galvenokārt, ja kompensācija noteikta, pamatojoties tikai uz līgumā paredzētu partnera nākotnes plūsmu pašreizējo vērtību, neņemot vērā aktīva faktisko stāvokli, vai ja dažas summas neatspoguļo aktīva pašreizējo vērtību), tiek uzskatīts, ka risku (pieejamības vai pieprasījuma risku) nodošana partnerim nav pietiekama</w:t>
      </w:r>
      <w:r w:rsidRPr="00B03B51">
        <w:rPr>
          <w:rStyle w:val="FootnoteReference"/>
          <w:rFonts w:ascii="Times New Roman" w:hAnsi="Times New Roman" w:cs="Times New Roman"/>
          <w:noProof/>
          <w:sz w:val="24"/>
        </w:rPr>
        <w:footnoteReference w:id="239"/>
      </w:r>
      <w:r w:rsidRPr="00B03B51">
        <w:rPr>
          <w:rFonts w:ascii="Times New Roman" w:hAnsi="Times New Roman" w:cs="Times New Roman"/>
          <w:sz w:val="24"/>
        </w:rPr>
        <w:t>.</w:t>
      </w:r>
    </w:p>
    <w:p w14:paraId="226A9290"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6D855528"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73. Ja līguma izbeigšanas laikā aktīvi tiek pārklasificēti valdības bilancē, valdības bruto pamatkapitāla veidošanu šajā laikā ieraksta kā precīzu aktīvu vērtību. Valdībai parasti jāuzņemas līdzvērtīga parāda daļa, taču dažkārt valdība var uzņemties arī tādu parāda summu, kas pārsniedz aktīvu vērtību. Jebkuru pārsniegumu ieraksta kā kapitāla pārvedumu ar ietekmi uz valdības neto aizdevumu/aizņēmumu (B.9).</w:t>
      </w:r>
    </w:p>
    <w:p w14:paraId="2F20DE3D"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1AFA83A2"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 xml:space="preserve">74. Daudzos gadījumos novērots, ka PPP līgumu darbības laikā tiek veikti līguma grozījumi vai tiek atkārtoti apspriesti tā nosacījumi. Vairumā gadījumu, kad līgumos tiek veiktas būtiskas izmaiņas vai mainīts risku un atlīdzību sadalījums starp valdību un partneri, to var uzskatīt par iepriekšējā līguma anulēšanu un jauna līguma izstrādi. Jo īpaši var būt iekļauta kompensācijas klauzula, lai uzturētu līguma ekonomisko līdzsvaru (partnera ienesīgums) gadījumos, kad šķiet, ka rezultāts atšķiras no sākotnējām prognozēm. Līdz ar to statistiķiem ir rūpīgi jāizskata līguma pārskatīšanas iemesli. Uzskatāms, ka pārskatīšana neietekmē riska nodošanas analīzi tikai tad, ja tā tiek veikta līguma vides izmaiņu dēļ, kas atrodas ārpus partnera atbildības (un tikai gadījumā, ja valdība veic īpašus pasākumus vai pieņem lēmumus, kas ietekmē līguma </w:t>
      </w:r>
      <w:r w:rsidRPr="00B03B51">
        <w:rPr>
          <w:rFonts w:ascii="Times New Roman" w:hAnsi="Times New Roman" w:cs="Times New Roman"/>
          <w:sz w:val="24"/>
        </w:rPr>
        <w:lastRenderedPageBreak/>
        <w:t>īstenošanu). Tomēr šādos gadījumos principā partnerim izmaksājamā kompensācija jānosaka precīzi proporcionāli valdības rīcības ietekmei uz partnera ieņēmumiem.</w:t>
      </w:r>
    </w:p>
    <w:p w14:paraId="17989D8B"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54E0A01B"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75. Saistībā ar līguma grozījumiem var pastāvēt arī tāds īpašs gadījums, kad tiek paredzēts, ka par aktīva izmantošanu galalietotāji sāk veikt tiešus vai netiešus maksājumus valdībai (piemēram, ceļa nodevas), savukārt valdība turpina maksāt regulāras nodevas partnerim. Pat ja šie līgumi saskaņā ar pašreizējo terminoloģiju tiek joprojām dēvēti par PPP līgumiem, nacionālajos kontos tie vairs nav uzskatāmi par PPP, ja par aktīvu izmantošanu maksā galalietotāji un šie maksājumi kļūst par nozīmīgu ieņēmumu avotu. Šajā saistībā aktīvi jāpārklasificē kā valdības aktīvi, ja šie galalietotāju veiktie maksājumi (ierakstīti bruto vērtībā, t. i., tostarp visi iekasētie maksājumi, ko patur partneris) pārsniedz 50 % no kopējām izmaksām, kas saistītas ar aktīvu izmantošanu (fiksētā kapitāla patēriņš, uzturēšanas un remonta izdevumi u. c.) un kas galvenokārt tiek segtas ar valdības vienotajiem maksājumiem partnerim.</w:t>
      </w:r>
    </w:p>
    <w:p w14:paraId="486B1801"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4F84C34B"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76. Ja grozītajā līgumā tiek paredzēts, ka maksājumiem, ko veic galalietotāji par aktīvu izmantošanu, 50 % attiecība ir jāsasniedz samērā īsā laika posmā (kas nepārsniedz divus gadus), aktīvu nodošanai jānotiek brīdī, kad stājas spēkā jaunais līgums.</w:t>
      </w:r>
    </w:p>
    <w:p w14:paraId="3344E16C"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7488C984"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77. Ja grozītajā līgumā paredzēta pakāpeniska pāreja uz maksājumu summas relatīvo sadalījumu starp valdību un galalietotājiem (piemēram, saistībā ar secīgiem transporta infrastruktūras posmiem), nodošanai jānotiek, tiklīdz tiks sasniegts 50 % slieksnis. Līdzīgas klauzulas attiecībā uz galalietotājiem līgumos var būt paredzētas arī, uzsākot jaunus projektus, taču šajā gadījumā aktīvi ir vienmēr jāklasificē kā valdības aktīvi būvniecības posma sākumā neatkarīgi no 50 % robežas sasniegšanas.</w:t>
      </w:r>
    </w:p>
    <w:p w14:paraId="3EA7D2A0" w14:textId="77777777" w:rsidR="00443399" w:rsidRPr="00B03B51" w:rsidRDefault="00443399" w:rsidP="00443399">
      <w:pPr>
        <w:jc w:val="both"/>
        <w:rPr>
          <w:rFonts w:ascii="Times New Roman" w:eastAsia="Arial" w:hAnsi="Times New Roman" w:cs="Times New Roman"/>
          <w:noProof/>
          <w:sz w:val="24"/>
          <w:szCs w:val="15"/>
        </w:rPr>
      </w:pPr>
    </w:p>
    <w:p w14:paraId="47481FC3" w14:textId="77777777" w:rsidR="00443399" w:rsidRPr="00B03B51" w:rsidRDefault="00443399" w:rsidP="00443399">
      <w:pPr>
        <w:pStyle w:val="Heading6"/>
        <w:tabs>
          <w:tab w:val="left" w:pos="1267"/>
        </w:tabs>
        <w:ind w:left="0" w:firstLine="0"/>
        <w:jc w:val="both"/>
        <w:rPr>
          <w:rFonts w:ascii="Times New Roman" w:hAnsi="Times New Roman" w:cs="Times New Roman"/>
          <w:noProof/>
          <w:sz w:val="24"/>
        </w:rPr>
      </w:pPr>
      <w:bookmarkStart w:id="531" w:name="6.4.3.6_Force_majeure"/>
      <w:bookmarkEnd w:id="531"/>
      <w:r w:rsidRPr="00B03B51">
        <w:rPr>
          <w:rFonts w:ascii="Times New Roman" w:hAnsi="Times New Roman" w:cs="Times New Roman"/>
          <w:sz w:val="24"/>
        </w:rPr>
        <w:t>6.4.3.6. NEPĀRVARAMA VARA</w:t>
      </w:r>
    </w:p>
    <w:p w14:paraId="34F75B4D"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10765C30"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78. Līguma izpildes gaitā pēc tam, kad partneris ir sācis uzņemties kapitāla izdevumus, vai aktīva ekspluatācijas posmā, ir svarīgi skaidri nošķirt dažādu veidu notikumus vai tendences, kas ietekmē PPP vienošanos. Daži no tiem neapšaubāmi ir partnera atbildība, jo tie ir atkarīgi no tā, kāda ir partnera darbības rezultātu “kvalitāte” saistībā ar aktīvu vai saistībā ar pakalpojumu, kas tiek sniegts, izmantojot šo aktīvu. Tas ir jāņem vērā, veicot vienoto maksājumu vērtības samazināšanas korekciju, jo īpaši, ja tie ietver “pieejamības maksājumus” (skat. iepriekš), un arī ja šie maksājumi ir saistīti ar lietderīgu izmantošanu, kas varētu tikt ietekmēta. No otras puses, var būt valdības lēmumi, kas tieši ietekmē līguma izpildi un par kuriem partneris ir tiesīgs saņemt kompensāciju, ja šie lēmumi rada atkāpi no sākotnējām līguma klauzulām un valdības saistībām. Šeit tomēr neiekļauj vispārējas politikas lēmumus (dažādās jomās, piemēram, ekonomikā, sociālos, vides, sabiedriskās kārtības jautājumos utt.), kas konkrēti neattiecas uz katru atsevišķo PPP līgumu.</w:t>
      </w:r>
    </w:p>
    <w:p w14:paraId="27BB4E4B"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57B75734"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79. Tomēr ir vēl arī trešā notikumu kategorija, kur nav skaidras atbildības no vienas vai otras puses. Šos ārkārtējos “ārējos” notikumus līgumos parasti sauc par “nepārvaramas varas” apstākļiem. Tie var būtiski ietekmēt pakalpojumu pieejamību un/vai pieprasījuma līmeni. Valdība varētu uzņemties šādus riskus, un šādā gadījumā aktīvs nav obligāti jāklasificē tās bilancē. Līgumos tos var dēvēt arī par “atvieglojuma notikumiem” vai izmantot citu terminoloģiju, kas atbrīvo partneri no finansiālām sekām. Tomēr tie ir jāizvērtē, ņemot vērā stingrus nosacījumus un izsmeļošu un precīzu uzskaitījumu.</w:t>
      </w:r>
      <w:r w:rsidRPr="00B03B51">
        <w:rPr>
          <w:rStyle w:val="FootnoteReference"/>
          <w:rFonts w:ascii="Times New Roman" w:hAnsi="Times New Roman" w:cs="Times New Roman"/>
          <w:noProof/>
          <w:sz w:val="24"/>
        </w:rPr>
        <w:footnoteReference w:id="240"/>
      </w:r>
      <w:r w:rsidRPr="00B03B51">
        <w:rPr>
          <w:rFonts w:ascii="Times New Roman" w:hAnsi="Times New Roman" w:cs="Times New Roman"/>
          <w:sz w:val="24"/>
          <w:szCs w:val="12"/>
        </w:rPr>
        <w:t xml:space="preserve"> </w:t>
      </w:r>
      <w:r w:rsidRPr="00B03B51">
        <w:rPr>
          <w:rFonts w:ascii="Times New Roman" w:hAnsi="Times New Roman" w:cs="Times New Roman"/>
          <w:sz w:val="24"/>
        </w:rPr>
        <w:t xml:space="preserve">Proti, šādā notikumā ir jābūt neapstrīdamai pārliecībai par partnera atbildības neesamību, ar to saprotot, ka partneris nekādā </w:t>
      </w:r>
      <w:r w:rsidRPr="00B03B51">
        <w:rPr>
          <w:rFonts w:ascii="Times New Roman" w:hAnsi="Times New Roman" w:cs="Times New Roman"/>
          <w:sz w:val="24"/>
        </w:rPr>
        <w:lastRenderedPageBreak/>
        <w:t>pamatotā veidā nevarēja paredzēt šādu apstākļu iestāšanos vai to sekas un nevarēja pamatoti novērst apstākļu iestāšanos.</w:t>
      </w:r>
      <w:r w:rsidRPr="00B03B51">
        <w:rPr>
          <w:rStyle w:val="FootnoteReference"/>
          <w:rFonts w:ascii="Times New Roman" w:hAnsi="Times New Roman" w:cs="Times New Roman"/>
          <w:noProof/>
          <w:sz w:val="24"/>
        </w:rPr>
        <w:footnoteReference w:id="241"/>
      </w:r>
      <w:r w:rsidRPr="00B03B51">
        <w:rPr>
          <w:rFonts w:ascii="Times New Roman" w:hAnsi="Times New Roman" w:cs="Times New Roman"/>
          <w:sz w:val="24"/>
          <w:szCs w:val="12"/>
        </w:rPr>
        <w:t xml:space="preserve"> </w:t>
      </w:r>
      <w:r w:rsidRPr="00B03B51">
        <w:rPr>
          <w:rFonts w:ascii="Times New Roman" w:hAnsi="Times New Roman" w:cs="Times New Roman"/>
          <w:sz w:val="24"/>
        </w:rPr>
        <w:t xml:space="preserve">Turklāt valdība nevar pārņemt jebkādus “makroekonomiskos” riskus, ko uzņemas visi ekonomikas subjekti savā darbībā (piemēram, uzņēmējdarbības cikla ietekme uz izmaksām un pieprasījumu, nelabvēlīga ietekme, papildu sekas). Parasti partnerim ir jāveic pasākumi, lai pasargātu sevi šādu notikumu gadījumā no negatīvās ietekmes, jo īpaši, iegādājoties apdrošināšanas polises, ja tās ir pieejamas tirgū par saprātīgu cenu (lai arī pasargāšana parasti būtu fiksētas summas vai maksimālā prasījuma summas robežās, kas varētu nebūt proporcionāla zaudējumu iespējamajām reālajām izmaksām). Savukārt, ja iestājas apstākļi, kurus parasti nebūtu iespējams nodrošināt (piemēram, sacelšanās, karš, dabas katastrofas utt.), valdība varētu pilnībā vai daļēji pārņemt partneru risku; ja tā nebūtu, aktīvi noteikti būtu </w:t>
      </w:r>
      <w:r w:rsidRPr="00B03B51">
        <w:rPr>
          <w:rFonts w:ascii="Times New Roman" w:hAnsi="Times New Roman" w:cs="Times New Roman"/>
          <w:i/>
          <w:iCs/>
          <w:sz w:val="24"/>
        </w:rPr>
        <w:t>ex ante</w:t>
      </w:r>
      <w:r w:rsidRPr="00B03B51">
        <w:rPr>
          <w:rFonts w:ascii="Times New Roman" w:hAnsi="Times New Roman" w:cs="Times New Roman"/>
          <w:sz w:val="24"/>
        </w:rPr>
        <w:t xml:space="preserve"> jāklasificē valdības bilancē. Taču, ja iestājas šādi apstākļi, ir jāveic jauna risku un atlīdzību sadalījuma analīze.</w:t>
      </w:r>
    </w:p>
    <w:p w14:paraId="2F995C6E" w14:textId="77777777" w:rsidR="00443399" w:rsidRPr="00B03B51" w:rsidRDefault="00443399" w:rsidP="00443399">
      <w:pPr>
        <w:jc w:val="both"/>
        <w:rPr>
          <w:rFonts w:ascii="Times New Roman" w:eastAsia="Arial" w:hAnsi="Times New Roman" w:cs="Times New Roman"/>
          <w:noProof/>
          <w:sz w:val="24"/>
          <w:szCs w:val="15"/>
        </w:rPr>
      </w:pPr>
    </w:p>
    <w:p w14:paraId="297BA913" w14:textId="77777777" w:rsidR="00443399" w:rsidRPr="00B03B51" w:rsidRDefault="00443399" w:rsidP="00443399">
      <w:pPr>
        <w:pStyle w:val="Heading6"/>
        <w:tabs>
          <w:tab w:val="left" w:pos="1267"/>
        </w:tabs>
        <w:ind w:left="0" w:firstLine="0"/>
        <w:jc w:val="both"/>
        <w:rPr>
          <w:rFonts w:ascii="Times New Roman" w:hAnsi="Times New Roman" w:cs="Times New Roman"/>
          <w:noProof/>
          <w:sz w:val="24"/>
        </w:rPr>
      </w:pPr>
      <w:bookmarkStart w:id="532" w:name="6.4.3.7_Allocation_of_the_assets_at_the_"/>
      <w:bookmarkEnd w:id="532"/>
      <w:r w:rsidRPr="00B03B51">
        <w:rPr>
          <w:rFonts w:ascii="Times New Roman" w:hAnsi="Times New Roman" w:cs="Times New Roman"/>
          <w:sz w:val="24"/>
        </w:rPr>
        <w:t>6.4.3.7. AKTĪVU SADALE LĪGUMA TERMIŅA BEIGĀS</w:t>
      </w:r>
    </w:p>
    <w:p w14:paraId="081211D3"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38428FEA"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80. Analīzi par līguma beigās izklāstītajiem noteikumiem attiecībā uz PPP aktīvu realizāciju varētu izmantot kā papildu kritēriju, lai noteiktu vispārējā riska nodošanu, jo īpaši tad, ja iepriekš minētajā riska analīzē nav sniegti nepārprotami secinājumi (piemēram, ja tiktu noteikts, ka riska sadalījums ir līdzsvarots vai pamatots ar nepilnīgām hipotēzēm). Nosacījumi, saskaņā ar kuriem varētu notikt aktīvu galīgā sadale, var sniegt nozīmīgu papildu ieskatu par risku sadalījumu starp līgumslēdzējiem partneriem, jo šādas klauzulas var palīdzēt novērtēt to, vai partneris joprojām uzņemas ievērojamu risku. Ārkārtīgi ilga termiņa līgumos aktīva ekonomiskā vērtība līguma darbības termiņa beigās var būt visnotaļ neskaidra (jo īpaši neprognozējamās novecošanas dēļ), savukārt maksājumi, ko valdība veiktu šajā posmā, veidotu nelielu daļu no to maksājumu kopējās summas, ko valdība veic visā līguma darbības laikā. Līdz ar to šo jautājumu pašu par sevi nevar uzskatīt par vienīgo un izšķirošo kritēriju attiecībā uz aktīvu klasifikāciju.</w:t>
      </w:r>
    </w:p>
    <w:p w14:paraId="6C97C9B0"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1621624C"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81. Ja projekta beigās aktīvi paliek partnera īpašumā neatkarīgi no to ekonomiskās vērtības konkrētajā brīdī (lai arī bieži to turpmākais ekonomiskais cikls joprojām ir diezgan būtisks, jo īpaši attiecībā uz infrastruktūru, kas laika gaitā tikai nedaudz nolietojas), tad to var izmantot kā stingru papildu pamatojumu tam, lai minētos aktīvus iekļautu partnera bilancē.</w:t>
      </w:r>
    </w:p>
    <w:p w14:paraId="19C4ACBE"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2923B22B"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82. Dažos līgumos tiek noteikts, ka valdībai ir iespēja nopirkt aktīvu vienā konkrētā brīdī vai vairākos brīžos. Ja šāds pirkums jāveic par aktīva tirgus cenu, kas atbilstoši novērtēta pirkuma brīdī, partnerim būtu jāuzņemas riski, kas saistīti ar nepārtraukto pieprasījumu pēc aktīva un tā fizisko stāvokli līguma darbības laikā. Tas būtu arī papildu pamatojums aktīvu ierakstīšanai partnera bilancē līguma darbības periodā.</w:t>
      </w:r>
    </w:p>
    <w:p w14:paraId="5976D77D"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3F35B545"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83. Dažos līgumos valdībai ir obligāts pienākums iegādāties aktīvus līguma darbības termiņa beigās par iepriekš noteiktu cenu, kas parasti ir noteikta līguma parakstīšanas laikā.</w:t>
      </w:r>
    </w:p>
    <w:p w14:paraId="0A77F043"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3648E5CD"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84. Turpmāk minētie gadījumi varētu ievērojami pastiprināt citu līguma iezīmju analīzi un liecināt par to, ka aktīvi jāieraksta kā valdības aktīvi.</w:t>
      </w:r>
    </w:p>
    <w:p w14:paraId="25A4AA70"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392B50AC" w14:textId="77777777" w:rsidR="00443399" w:rsidRPr="00B03B51" w:rsidRDefault="00443399" w:rsidP="00BD35E2">
      <w:pPr>
        <w:pStyle w:val="BodyText"/>
        <w:numPr>
          <w:ilvl w:val="1"/>
          <w:numId w:val="47"/>
        </w:numPr>
        <w:spacing w:before="0"/>
        <w:ind w:left="426" w:hanging="425"/>
        <w:jc w:val="both"/>
        <w:rPr>
          <w:rFonts w:ascii="Times New Roman" w:hAnsi="Times New Roman" w:cs="Times New Roman"/>
          <w:noProof/>
          <w:sz w:val="24"/>
        </w:rPr>
      </w:pPr>
      <w:r w:rsidRPr="00B03B51">
        <w:rPr>
          <w:rFonts w:ascii="Times New Roman" w:hAnsi="Times New Roman" w:cs="Times New Roman"/>
          <w:sz w:val="24"/>
        </w:rPr>
        <w:t>Iepriekš noteiktā cena atbilst sākotnējo kapitāla izmaksu atlikumam, neņemot vērā paredzamo aktīva tirgus vērtību līguma termiņa beigās.</w:t>
      </w:r>
    </w:p>
    <w:p w14:paraId="4DC2A2FC" w14:textId="77777777" w:rsidR="00443399" w:rsidRPr="00B03B51" w:rsidRDefault="00443399" w:rsidP="00BD35E2">
      <w:pPr>
        <w:pStyle w:val="BodyText"/>
        <w:numPr>
          <w:ilvl w:val="1"/>
          <w:numId w:val="47"/>
        </w:numPr>
        <w:spacing w:before="0"/>
        <w:ind w:left="426" w:hanging="425"/>
        <w:jc w:val="both"/>
        <w:rPr>
          <w:rFonts w:ascii="Times New Roman" w:hAnsi="Times New Roman" w:cs="Times New Roman"/>
          <w:noProof/>
          <w:sz w:val="24"/>
        </w:rPr>
      </w:pPr>
      <w:r w:rsidRPr="00B03B51">
        <w:rPr>
          <w:rFonts w:ascii="Times New Roman" w:hAnsi="Times New Roman" w:cs="Times New Roman"/>
          <w:sz w:val="24"/>
        </w:rPr>
        <w:lastRenderedPageBreak/>
        <w:t>Iepriekš noteiktā cena ir acīmredzami augstāka par paredzamo aktīvu tirgus vērtību līguma termiņa beigās.</w:t>
      </w:r>
    </w:p>
    <w:p w14:paraId="3EF388D8" w14:textId="77777777" w:rsidR="00443399" w:rsidRPr="00B03B51" w:rsidRDefault="00443399" w:rsidP="00BD35E2">
      <w:pPr>
        <w:pStyle w:val="BodyText"/>
        <w:numPr>
          <w:ilvl w:val="1"/>
          <w:numId w:val="47"/>
        </w:numPr>
        <w:spacing w:before="0"/>
        <w:ind w:left="426" w:hanging="425"/>
        <w:jc w:val="both"/>
        <w:rPr>
          <w:rFonts w:ascii="Times New Roman" w:hAnsi="Times New Roman" w:cs="Times New Roman"/>
          <w:noProof/>
          <w:sz w:val="24"/>
        </w:rPr>
      </w:pPr>
      <w:r w:rsidRPr="00B03B51">
        <w:rPr>
          <w:rFonts w:ascii="Times New Roman" w:hAnsi="Times New Roman" w:cs="Times New Roman"/>
          <w:sz w:val="24"/>
        </w:rPr>
        <w:t>Iepriekš noteiktā cena ir zemāka par nodošanas brīdī paredzamo tirgus vērtību vai aktīvs tiek atgriezts valdībai bez maksas, taču līguma darbības laikā valdība jau ir samaksājusi par aktīvu iegādi, veicot regulārus maksājumus, kuru kopsumma gandrīz atbilst aktīvu kopējai tirgus vērtībai.</w:t>
      </w:r>
    </w:p>
    <w:p w14:paraId="1FD5A482" w14:textId="77777777" w:rsidR="00443399" w:rsidRPr="00B03B51" w:rsidRDefault="00443399" w:rsidP="00BD35E2">
      <w:pPr>
        <w:pStyle w:val="BodyText"/>
        <w:numPr>
          <w:ilvl w:val="1"/>
          <w:numId w:val="47"/>
        </w:numPr>
        <w:spacing w:before="0"/>
        <w:ind w:left="426" w:hanging="425"/>
        <w:jc w:val="both"/>
        <w:rPr>
          <w:rFonts w:ascii="Times New Roman" w:hAnsi="Times New Roman" w:cs="Times New Roman"/>
          <w:noProof/>
          <w:sz w:val="24"/>
        </w:rPr>
      </w:pPr>
      <w:r w:rsidRPr="00B03B51">
        <w:rPr>
          <w:rFonts w:ascii="Times New Roman" w:hAnsi="Times New Roman" w:cs="Times New Roman"/>
          <w:sz w:val="24"/>
        </w:rPr>
        <w:t>Ja līgumā nav noteikts, ka nepieciešama neatkarīgas struktūras veikta rūpīga pārbaude, kurā precīzi jānoskaidro aktīvu stāvoklis (“pārskatīšanas klauzula”) dažus gadus pirms galīgās izbeigšanas, lai valdība būtu tiesīga pieprasīt papildu izdevumus un/vai vajadzības gadījumā samazināt iepriekš noteikto cenu.</w:t>
      </w:r>
    </w:p>
    <w:p w14:paraId="6214C121"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5141E7C7"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85. Dažos gadījumos līguma termiņa beigās valdība likvidē partneri vai pārņem to. Šādos gadījumos līguma termiņa beigās aktīvi būtu ierakstāmi valdības bilancē kā citas apjoma pārmaiņas (Sektoru klasifikācijas un institucionālo vienību struktūras pārmaiņas (K.61)).</w:t>
      </w:r>
    </w:p>
    <w:p w14:paraId="6865A07F" w14:textId="77777777" w:rsidR="00443399" w:rsidRPr="00B03B51" w:rsidRDefault="00443399" w:rsidP="00443399">
      <w:pPr>
        <w:jc w:val="both"/>
        <w:rPr>
          <w:rFonts w:ascii="Times New Roman" w:eastAsia="Arial" w:hAnsi="Times New Roman" w:cs="Times New Roman"/>
          <w:noProof/>
          <w:sz w:val="24"/>
          <w:szCs w:val="15"/>
        </w:rPr>
      </w:pPr>
    </w:p>
    <w:p w14:paraId="1DCB14DC" w14:textId="77777777" w:rsidR="00443399" w:rsidRPr="00B03B51" w:rsidRDefault="00443399" w:rsidP="00443399">
      <w:pPr>
        <w:pStyle w:val="Heading6"/>
        <w:tabs>
          <w:tab w:val="left" w:pos="1267"/>
        </w:tabs>
        <w:ind w:left="0" w:firstLine="0"/>
        <w:jc w:val="both"/>
        <w:rPr>
          <w:rFonts w:ascii="Times New Roman" w:hAnsi="Times New Roman" w:cs="Times New Roman"/>
          <w:noProof/>
          <w:sz w:val="24"/>
        </w:rPr>
      </w:pPr>
      <w:bookmarkStart w:id="533" w:name="6.4.3.8_Classification_of_some_transacti"/>
      <w:bookmarkEnd w:id="533"/>
      <w:r w:rsidRPr="00B03B51">
        <w:rPr>
          <w:rFonts w:ascii="Times New Roman" w:hAnsi="Times New Roman" w:cs="Times New Roman"/>
          <w:sz w:val="24"/>
        </w:rPr>
        <w:t>6.4.3.8. DAŽU SABIEDRĪBAS UN VALDĪBAS DARĪJUMU KLASIFIKĀCIJA</w:t>
      </w:r>
    </w:p>
    <w:p w14:paraId="12EC04E8"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0384E89D"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86. Ja valdība veic regulārus maksājumus partnerim, šo darījumu traktējums ir atkarīgs no tā, vai aktīvs ir ierakstīts valdības vai partnera bilancē.</w:t>
      </w:r>
    </w:p>
    <w:p w14:paraId="1CDC8895"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537082C9"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87. Ja aktīvs ir iekļauts partnera bilancē, sabiedrība valdībai sniedz pakalpojumu, kas veido valdības starppatēriņa izdevumus, kuru vērtība atbilst maksājumiem, ko saņem sabiedrība.</w:t>
      </w:r>
    </w:p>
    <w:p w14:paraId="1E563DE0"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6D908095"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88. Ja aktīvs ir iekļauts valdības bilancē, pakalpojums iedzīvotājiem tiek sniegts, izmantojot valdības aktīvu. Valdības veiktu aktīva iegādi ieraksta kā “standarta” finanšu nomas līgumu. Valdības maksājumi partnerim visā līguma darbības laikā ir jāsadala starp pamatsummas atmaksu (F.4), procentu maksājumiem (D.41) un iespējamo pakalpojumu pirkumu saistībā ar uzdevumiem, kurus veic sabiedrība un apmaksā valdība (P.2).</w:t>
      </w:r>
    </w:p>
    <w:p w14:paraId="5BA1B589" w14:textId="77777777" w:rsidR="00443399" w:rsidRPr="00B03B51" w:rsidRDefault="00443399" w:rsidP="00443399">
      <w:pPr>
        <w:jc w:val="both"/>
        <w:rPr>
          <w:rFonts w:ascii="Times New Roman" w:eastAsia="Arial" w:hAnsi="Times New Roman" w:cs="Times New Roman"/>
          <w:noProof/>
          <w:sz w:val="24"/>
          <w:szCs w:val="18"/>
        </w:rPr>
      </w:pPr>
    </w:p>
    <w:p w14:paraId="65BE27B4" w14:textId="77777777" w:rsidR="00443399" w:rsidRPr="00B03B51" w:rsidRDefault="00443399" w:rsidP="00443399">
      <w:pPr>
        <w:pStyle w:val="Heading3"/>
        <w:tabs>
          <w:tab w:val="left" w:pos="1267"/>
        </w:tabs>
        <w:ind w:left="0" w:firstLine="0"/>
        <w:jc w:val="both"/>
        <w:rPr>
          <w:rFonts w:ascii="Times New Roman" w:hAnsi="Times New Roman" w:cs="Times New Roman"/>
          <w:noProof/>
          <w:sz w:val="24"/>
        </w:rPr>
      </w:pPr>
      <w:bookmarkStart w:id="534" w:name="6.4.4_Rationale_of_the_treatment"/>
      <w:bookmarkStart w:id="535" w:name="_Toc67565187"/>
      <w:bookmarkEnd w:id="534"/>
      <w:r w:rsidRPr="00B03B51">
        <w:rPr>
          <w:rFonts w:ascii="Times New Roman" w:hAnsi="Times New Roman" w:cs="Times New Roman"/>
          <w:sz w:val="24"/>
        </w:rPr>
        <w:t>6.4.4. Traktējuma pamatojums</w:t>
      </w:r>
      <w:bookmarkEnd w:id="535"/>
    </w:p>
    <w:p w14:paraId="4B06038D" w14:textId="77777777" w:rsidR="00443399" w:rsidRPr="00DC0D22" w:rsidRDefault="00443399" w:rsidP="00DC0D22">
      <w:pPr>
        <w:rPr>
          <w:rFonts w:ascii="Times New Roman" w:hAnsi="Times New Roman" w:cs="Times New Roman"/>
          <w:noProof/>
          <w:sz w:val="24"/>
          <w:szCs w:val="24"/>
        </w:rPr>
      </w:pPr>
      <w:bookmarkStart w:id="536" w:name="6.4.4.1_Sector_classification_of_the_par"/>
      <w:bookmarkEnd w:id="536"/>
    </w:p>
    <w:p w14:paraId="40C305EC" w14:textId="77777777" w:rsidR="00443399" w:rsidRPr="00B03B51" w:rsidRDefault="00443399" w:rsidP="00443399">
      <w:pPr>
        <w:pStyle w:val="Heading6"/>
        <w:tabs>
          <w:tab w:val="left" w:pos="1267"/>
        </w:tabs>
        <w:ind w:left="0" w:firstLine="0"/>
        <w:jc w:val="both"/>
        <w:rPr>
          <w:rFonts w:ascii="Times New Roman" w:hAnsi="Times New Roman" w:cs="Times New Roman"/>
          <w:noProof/>
          <w:sz w:val="24"/>
        </w:rPr>
      </w:pPr>
      <w:r w:rsidRPr="00B03B51">
        <w:rPr>
          <w:rFonts w:ascii="Times New Roman" w:hAnsi="Times New Roman" w:cs="Times New Roman"/>
          <w:sz w:val="24"/>
        </w:rPr>
        <w:t>6.4.4.1. PARTNERA SEKTORA KLASIFIKĀCIJA</w:t>
      </w:r>
    </w:p>
    <w:p w14:paraId="14C71670"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34B48926"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89. Īpašajam PPP gadījumam starp valdību un valsts komercsabiedrību jāatbilst noteiktiem nosacījumiem.</w:t>
      </w:r>
    </w:p>
    <w:p w14:paraId="0CFE5511"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141233FC"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90. Publiskai sabiedrībai jāpierāda, ka tai ir kompetence, kas parasti tiek pieprasīta PPP darbības jomā (tiešā veidā vai citas vienības izveides gadījumā tai vienībai(-ām), kuras/kuru kontrolē tā atrodas), un PPP līguma noslēgšanai ar valdību jābūt vienai no vairākām publiskās sabiedrības saimnieciskajām darbībām.</w:t>
      </w:r>
    </w:p>
    <w:p w14:paraId="196116FA"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3CBB32C9"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91. Publiska subjekta gadījumā, kas nozīmē, ka līgumi ar valdību ir gandrīz vienīgais tā ieņēmumu avots, pārklasificēšana par valdības vienību nav obligāti nepieciešama, ja ir pierādījumi tam, ka sabiedrība saņem uz tirgu orientētus maksājumus (līdzīgus tiem, kas novēroti starp citām tirgus vienībām), kā arī ja valdība uzņemas vienīgi tādus riskus, kādus komercsabiedrība parasti neuzņemas (piemēram, īpaši lielu politisko vai drošības risku). Citā gadījumā tas liecinātu, ka publiskais subjekts valdībai nodrošina palīgdarbību.</w:t>
      </w:r>
    </w:p>
    <w:p w14:paraId="74982B2C"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0CBD353E"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 xml:space="preserve">92. Dažkārt līguma izpilde notiek īpašam nolūkam izveidotas sabiedrības (ĪNDS) tiesiskajā aizsegā. Parasti šādas juridiskās personas darbības laiks ir ierobežots ar PPP līguma termiņu, vai arī tā darbojas tikai būvniecības posmā. Iespējams, ka šāds uzņēmums ir izveidots tikai ar </w:t>
      </w:r>
      <w:r w:rsidRPr="00B03B51">
        <w:rPr>
          <w:rFonts w:ascii="Times New Roman" w:hAnsi="Times New Roman" w:cs="Times New Roman"/>
          <w:sz w:val="24"/>
        </w:rPr>
        <w:lastRenderedPageBreak/>
        <w:t>juridisku mērķi.</w:t>
      </w:r>
    </w:p>
    <w:p w14:paraId="51B0418C"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71CF7046"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93. Ja šo vienību kontrolē viens vai vairāki partneri, kas ir strādājošas līgumslēdzējas puses, tad vienība jāklasificē kā valdības sektoram nepiederoša vienība. To var novērot novatorisku un sarežģītu aktīvu būvniecībā, kam vajadzīga cieša sadarbība starp uzņēmumiem, kas specializējušies dažādās tehniskajās jomās. ĪNDS varētu būt organizācija, kas izveidota kā konsorcijs šādu uzņēmumu pārstāvēšanai. Ievērojamu finansējuma prasību gadījumā ĪNDS var būt veidota arī kā banku apvienība. Līdz ar to ĪNDS parasti neīsteno līguma izpildi, kā arī nedarbojas ne kā projekta vadītājs, ne būvnieks vai PPP aktīva ekspluatants.</w:t>
      </w:r>
    </w:p>
    <w:p w14:paraId="3E131428"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7CF91D91"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94. Sarežģījumi rodas, ja šādu īpašu vienību izveido valdība vai publiska sabiedrība. Šādā gadījumā ir rūpīgi jāpārbauda, vai saskaņā ar nacionālajiem kontiem šādu vienību var uzskatīt par neatkarīgu institucionālu vienību un vai tā ir patiess tirgus ražotājs. Vienībai tostarp ir jāspēj iegādāties aktīvus un uzņemties saistības savā vārdā, kā arī slēgt līgumus ar nevalstiskām vienībām. Dažkārt vienība ir jāpārklasificē valdības sektorā (iespējams, kā vienība, kas veic palīgdarbības (EKS 2010 2.26. punkts) vai saskaņā ar noteikumiem par vispārējās valdības īpašam nolūkam dibinātām sabiedrībām (EKS 2010 2.27.–2.28. punkts) tā, ka valdības veiktie maksājumi būtu uzskatāmi nevis par “īstā partnera” ieņēmumiem, bet gan par pārvedumiem vispārējā valdības sektorā.</w:t>
      </w:r>
    </w:p>
    <w:p w14:paraId="7BF0381C" w14:textId="77777777" w:rsidR="00443399" w:rsidRPr="00B03B51" w:rsidRDefault="00443399" w:rsidP="00443399">
      <w:pPr>
        <w:jc w:val="both"/>
        <w:rPr>
          <w:rFonts w:ascii="Times New Roman" w:eastAsia="Arial" w:hAnsi="Times New Roman" w:cs="Times New Roman"/>
          <w:noProof/>
          <w:sz w:val="24"/>
          <w:szCs w:val="15"/>
        </w:rPr>
      </w:pPr>
    </w:p>
    <w:p w14:paraId="49A594DD" w14:textId="77777777" w:rsidR="00443399" w:rsidRPr="00B03B51" w:rsidRDefault="00443399" w:rsidP="00443399">
      <w:pPr>
        <w:pStyle w:val="Heading6"/>
        <w:tabs>
          <w:tab w:val="left" w:pos="1267"/>
        </w:tabs>
        <w:ind w:left="0" w:firstLine="0"/>
        <w:jc w:val="both"/>
        <w:rPr>
          <w:rFonts w:ascii="Times New Roman" w:hAnsi="Times New Roman" w:cs="Times New Roman"/>
          <w:noProof/>
          <w:sz w:val="24"/>
        </w:rPr>
      </w:pPr>
      <w:bookmarkStart w:id="537" w:name="6.4.4.2_Assessment_of_the_risk"/>
      <w:bookmarkEnd w:id="537"/>
      <w:r w:rsidRPr="00B03B51">
        <w:rPr>
          <w:rFonts w:ascii="Times New Roman" w:hAnsi="Times New Roman" w:cs="Times New Roman"/>
          <w:sz w:val="24"/>
        </w:rPr>
        <w:t>6.4.4.2. RISKA NOVĒRTĒJUMS</w:t>
      </w:r>
    </w:p>
    <w:p w14:paraId="704CC483"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4C1BDAD0"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95. Galvenais jautājums par to, cik lielu līgumam piemītošā riska daļu partneri ir uzņēmušies, un kuri riski ir tieši saistīti ar attiecīgo aktīvu stāvokli vai ir atkarīgi no dažiem pārvaldības uzdevumiem, kuri ir jāveic partnerim saskaņā ar tā līgumsaistībām. Tas attiecas uz “ekonomisko īpašumtiesību” jēdzienu, kas nacionālajos kontos ir skaidri jānodala no kādām “juridiskajām īpašumtiesībām” un kas tiek izmantots lielākajā daļā grāmatvedības standartu (gan nacionālajos kontos, gan uzņēmējdarbības grāmatvedības vajadzībām). Risku dalīšanas analīzei ir jābūt pamatotai gan ar iespējamo ietekmi uz partnera peļņu (mazāki ienākumi un/vai augstākas izmaksas), gan ar riska rašanās iespējamību (pat ja tā ir noteikta tikai aptuveni) analoģiski “matemātisko gaidu” koncepcijai (vai “saistību neizpildes varbūtības” un “zaudējumu saistību neizpildes gadījumā” jēdzieniem finanšu riska modeļos). Līdz ar to nebūtu pieņemami, ka partneris uzņemtos tikai tos riskus, kuriem ir augsts kaitējuma potenciāls, taču ļoti zema rašanās varbūtība.</w:t>
      </w:r>
    </w:p>
    <w:p w14:paraId="63A635E7"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7A6EBEAC"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 xml:space="preserve">96. Attiecībā uz </w:t>
      </w:r>
      <w:r w:rsidRPr="00B03B51">
        <w:rPr>
          <w:rFonts w:ascii="Times New Roman" w:hAnsi="Times New Roman" w:cs="Times New Roman"/>
          <w:b/>
          <w:bCs/>
          <w:sz w:val="24"/>
        </w:rPr>
        <w:t>būvniecības risku</w:t>
      </w:r>
      <w:r w:rsidRPr="00B03B51">
        <w:rPr>
          <w:rFonts w:ascii="Times New Roman" w:hAnsi="Times New Roman" w:cs="Times New Roman"/>
          <w:sz w:val="24"/>
        </w:rPr>
        <w:t xml:space="preserve"> jānorāda, ka valdības pienākumu sākt regulārus maksājumus partnerim, neņemot vērā nodoto aktīvu faktisko stāvokli, varētu uzskatīt par apliecinājumu tam, ka valdība uzņemas lielāko daļu būvniecības riska un </w:t>
      </w:r>
      <w:r w:rsidRPr="00B03B51">
        <w:rPr>
          <w:rFonts w:ascii="Times New Roman" w:hAnsi="Times New Roman" w:cs="Times New Roman"/>
          <w:i/>
          <w:iCs/>
          <w:sz w:val="24"/>
        </w:rPr>
        <w:t>de facto</w:t>
      </w:r>
      <w:r w:rsidRPr="00B03B51">
        <w:rPr>
          <w:rFonts w:ascii="Times New Roman" w:hAnsi="Times New Roman" w:cs="Times New Roman"/>
          <w:sz w:val="24"/>
        </w:rPr>
        <w:t xml:space="preserve"> kopš būvniecības sākuma darbojas kā aktīvu faktiskā īpašniece. Tas attiecas arī uz gadījumiem, kad valdība sistemātiski veic maksājumus, lai segtu papildu izmaksas neatkarīgi no to pamatojuma.</w:t>
      </w:r>
    </w:p>
    <w:p w14:paraId="0595D1F0" w14:textId="77777777" w:rsidR="00443399" w:rsidRPr="00B03B51" w:rsidRDefault="00443399" w:rsidP="00443399">
      <w:pPr>
        <w:jc w:val="both"/>
        <w:rPr>
          <w:rFonts w:ascii="Times New Roman" w:hAnsi="Times New Roman" w:cs="Times New Roman"/>
          <w:noProof/>
          <w:sz w:val="24"/>
        </w:rPr>
      </w:pPr>
    </w:p>
    <w:p w14:paraId="5FA384A1"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97. Šā riska dažādo elementu apjomu var novērtēt, ja aprēķina izdevumus, kas būtu jāsedz katram no partneriem, ja rastos attiecīgais iztrūkums. Šāds risks var būt īpaši būtisks, ja aktīvi ir iesaistīti apjomīgā pētniecības un izstrādes vai tehniska jauninājuma projektā, turpretī attiecībā uz būvkonstrukcijām risks var būt mazāks. Būtiski ir tas, ka valdībai nav pienākuma maksāt, ja būvdarbu veikšanas posmā partneris izdara jebkādu kļūdu, neatkarīgi no tā, vai šo kļūdu ir pieļāvis tiešais piegādātājs vai tikai koordinators/uzraugs.</w:t>
      </w:r>
    </w:p>
    <w:p w14:paraId="1F240748"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4438131F"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 xml:space="preserve">98. Partnerim nebūtu jāuzņemas atbildība par neparedzamiem eksogēniem notikumiem, pret kuriem apdrošināšanas sabiedrības parasti neapdrošina vai kurus pamatoti nebija iespējams </w:t>
      </w:r>
      <w:r w:rsidRPr="00B03B51">
        <w:rPr>
          <w:rFonts w:ascii="Times New Roman" w:hAnsi="Times New Roman" w:cs="Times New Roman"/>
          <w:sz w:val="24"/>
        </w:rPr>
        <w:lastRenderedPageBreak/>
        <w:t>prognozēt pirms darbu sākšanas.</w:t>
      </w:r>
      <w:r w:rsidRPr="00B03B51">
        <w:rPr>
          <w:rStyle w:val="FootnoteReference"/>
          <w:rFonts w:ascii="Times New Roman" w:hAnsi="Times New Roman" w:cs="Times New Roman"/>
          <w:noProof/>
          <w:sz w:val="24"/>
        </w:rPr>
        <w:footnoteReference w:id="242"/>
      </w:r>
      <w:r w:rsidRPr="00B03B51">
        <w:rPr>
          <w:rFonts w:ascii="Times New Roman" w:hAnsi="Times New Roman" w:cs="Times New Roman"/>
          <w:sz w:val="24"/>
          <w:szCs w:val="12"/>
        </w:rPr>
        <w:t xml:space="preserve"> </w:t>
      </w:r>
      <w:r w:rsidRPr="00B03B51">
        <w:rPr>
          <w:rFonts w:ascii="Times New Roman" w:hAnsi="Times New Roman" w:cs="Times New Roman"/>
          <w:sz w:val="24"/>
        </w:rPr>
        <w:t>Šādu risku nedrīkst jaukt ar aktīvu “projektēšanas” atbilstību, jo šajā posmā partnera iniciatīvas iespējas var būt ļoti ierobežotas. Šādā gadījumā galvenais ir tas, ka parasti partneris nepiekristu uzņemties ar būvniecību saistītos riskus, ja valdības prasības būtu neparastas un ietekmētu aktīva komerciālo izdevīgumu. Turklāt partnerim nav jāuzņemas atbildība par kādu nepārprotamu valdības rīcību, piemēram, specifikāciju maiņu būvniecības laikā vai standarta prasību pārveidošanu. Īpaši jāapsver gadījums, kad partneris no valdības saņem esošu aktīvu, kas ir vajadzīgs projekta īstenošanai (vai nu kā elementu no visa kopuma, vai saistībā ar apjomīgu renovācijas darbu veikšanu). Būvniecības risks attiecas tikai uz jaunajiem kapitāla izdevumiem, par ko atbildību uzņemas partneris neatkarīgi no pārņemto aktīvu stāvokļa. Partnerim arī nav jāuzņemas atbildība par tēriņu pārsniegšanu un kavējumiem, kas varētu rasties juridisko risku vai asimilēto risku (piemēram, ekspropriācijas riska) dēļ, kurus nepārprotami izraisījuši neatbilstīgi noteikumi/tiesību akti, par kuriem ir lēmusi valdība.</w:t>
      </w:r>
    </w:p>
    <w:p w14:paraId="36426E6B"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2D92D6C3"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 xml:space="preserve">99. Attiecībā uz </w:t>
      </w:r>
      <w:r w:rsidRPr="00B03B51">
        <w:rPr>
          <w:rFonts w:ascii="Times New Roman" w:hAnsi="Times New Roman" w:cs="Times New Roman"/>
          <w:b/>
          <w:bCs/>
          <w:sz w:val="24"/>
        </w:rPr>
        <w:t>pieejamības risku</w:t>
      </w:r>
      <w:r w:rsidRPr="00B03B51">
        <w:rPr>
          <w:rFonts w:ascii="Times New Roman" w:hAnsi="Times New Roman" w:cs="Times New Roman"/>
          <w:sz w:val="24"/>
        </w:rPr>
        <w:t xml:space="preserve"> tiek pieņemts, ka valdība šādu risku neuzņemas, ja tai ir tiesības būtiski samazināt savus regulāros maksājumus (tāpat kā šādas tiesības ir jebkuram “parastam klientam”) gadījumos, kad nav izpildīti noteikti darbības kritēriji. Saskaņā ar šādiem nosacījumiem valdības maksājumiem jābūt atkarīgiem no faktiskās pieejamības, ko partneris nodrošina konkrētā laika posmā. Tas galvenokārt attiektos gadījumos, kad partneris neatbilst noteiktajiem kvalitātes standartiem, jo neuzrāda pietiekami augstus darbības rezultātus, un par to liecina tas, ka pakalpojums nav pieejams, ir zems faktiskais pieprasījums no galalietotāju puses vai arī ir zema lietotāju apmierinātība. To atspoguļo līgumā minētie darbības rādītāji, piemēram, attiecībā uz pieejamo gultu skaitu slimnīcā, mācību klašu un kameru skaitu cietumā, satiksmei pieejamo joslu skaitu uz automaģistrāles u. tml. Parasti tiek uzskatīts, ka partneris spēj novērst šo pieejamības risku. Dažkārt problēmas partnerim var radīt kāds “ārējs iemesls”, piemēram, valdības politikas būtiskas pārmaiņas, papildu specifikācijas, ko pieprasa valdība, vai nepārvaramas varas apstākļi. Taču šādi izņēmumi ir pieļaujami vienīgi saskaņā ar ļoti stingriem nosacījumiem, un tie ir skaidri jāparedz līgumā, tajos ietverot lielu faktoru grupu, kuri ietekmē partnera izmaksas un/vai tā spēju izpildīt līgumsaistības.</w:t>
      </w:r>
    </w:p>
    <w:p w14:paraId="7545D326" w14:textId="77777777" w:rsidR="00443399" w:rsidRPr="00B03B51" w:rsidRDefault="00443399" w:rsidP="00443399">
      <w:pPr>
        <w:pStyle w:val="BodyText"/>
        <w:tabs>
          <w:tab w:val="left" w:pos="987"/>
        </w:tabs>
        <w:spacing w:before="0"/>
        <w:ind w:left="0" w:firstLine="0"/>
        <w:jc w:val="both"/>
        <w:rPr>
          <w:rFonts w:ascii="Times New Roman" w:hAnsi="Times New Roman" w:cs="Times New Roman"/>
          <w:noProof/>
          <w:sz w:val="24"/>
        </w:rPr>
      </w:pPr>
    </w:p>
    <w:p w14:paraId="12C2509E" w14:textId="77777777" w:rsidR="00443399" w:rsidRPr="00B03B51" w:rsidRDefault="00443399" w:rsidP="00443399">
      <w:pPr>
        <w:pStyle w:val="BodyText"/>
        <w:tabs>
          <w:tab w:val="left" w:pos="987"/>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100. Ja partneris nepilda savas pakalpojumu saistības, tad līgumsodi ir jāpiemēro automātiski, un tiem ir būtiski jāietekmē partnera ieņēmumi/peļņa. Tiem ir būtiski jāietekmē partnera darbības spēju robeža un dažos gadījumos pat tā jāpārsniedz, lai partneris tiktu smagi finansiāli sodīts par līguma neatbilstošu izpildi. Līgumsods var būt arī automātiska līguma pārskatīšana un pat līguma laušana.</w:t>
      </w:r>
    </w:p>
    <w:p w14:paraId="439B81F5" w14:textId="77777777" w:rsidR="00443399" w:rsidRPr="00B03B51" w:rsidRDefault="00443399" w:rsidP="00443399">
      <w:pPr>
        <w:pStyle w:val="BodyText"/>
        <w:tabs>
          <w:tab w:val="left" w:pos="987"/>
        </w:tabs>
        <w:spacing w:before="0"/>
        <w:ind w:left="0" w:firstLine="0"/>
        <w:jc w:val="both"/>
        <w:rPr>
          <w:rFonts w:ascii="Times New Roman" w:hAnsi="Times New Roman" w:cs="Times New Roman"/>
          <w:noProof/>
          <w:sz w:val="24"/>
        </w:rPr>
      </w:pPr>
    </w:p>
    <w:p w14:paraId="3FD57590" w14:textId="77777777" w:rsidR="00443399" w:rsidRPr="00B03B51" w:rsidRDefault="00443399" w:rsidP="00443399">
      <w:pPr>
        <w:pStyle w:val="BodyText"/>
        <w:tabs>
          <w:tab w:val="left" w:pos="987"/>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101. Ir būtiski pārliecināties, vai līgumsodi par neatbilstošu izpildi nav tikai “kosmētiski” vai simboliski. Par to, ka ir noteikti neatbilstīgi līgumsodi, liecinātu tas, ka valdības maksājumu samazinājums ir ievērojami neproporcionāls nesniegto pakalpojumu apjomam, un šāda situācija būtu pretrunā pamatidejai, ka būtiska risku daļa ir jānodod partnerim. Turklāt, ja paredzētajam līgumsodam, kas ir piemērojams saistību nepildīšanas gadījumā, ir noteikti maksimālie griesti vai procentuālais ierobežojums, arī tas varētu liecināt, ka partnerim nav nodota pietiekami būtiska riska daļa. Gadījumā, ja aktīvs nav pieejams noteiktu laika posmu, valdības maksājumiem būtu jāsamazinās līdz nullei.</w:t>
      </w:r>
    </w:p>
    <w:p w14:paraId="7B0BDBD1" w14:textId="77777777" w:rsidR="00443399" w:rsidRPr="00B03B51" w:rsidRDefault="00443399" w:rsidP="00443399">
      <w:pPr>
        <w:pStyle w:val="BodyText"/>
        <w:tabs>
          <w:tab w:val="left" w:pos="987"/>
        </w:tabs>
        <w:spacing w:before="0"/>
        <w:ind w:left="0" w:firstLine="0"/>
        <w:jc w:val="both"/>
        <w:rPr>
          <w:rFonts w:ascii="Times New Roman" w:hAnsi="Times New Roman" w:cs="Times New Roman"/>
          <w:noProof/>
          <w:sz w:val="24"/>
        </w:rPr>
      </w:pPr>
    </w:p>
    <w:p w14:paraId="10FCDE36" w14:textId="77777777" w:rsidR="00443399" w:rsidRPr="00B03B51" w:rsidRDefault="00443399" w:rsidP="00443399">
      <w:pPr>
        <w:pStyle w:val="BodyText"/>
        <w:tabs>
          <w:tab w:val="left" w:pos="987"/>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 xml:space="preserve">102. Attiecībā uz </w:t>
      </w:r>
      <w:r w:rsidRPr="00B03B51">
        <w:rPr>
          <w:rFonts w:ascii="Times New Roman" w:hAnsi="Times New Roman" w:cs="Times New Roman"/>
          <w:b/>
          <w:bCs/>
          <w:sz w:val="24"/>
        </w:rPr>
        <w:t>pieprasījuma risku</w:t>
      </w:r>
      <w:r w:rsidRPr="00B03B51">
        <w:rPr>
          <w:rFonts w:ascii="Times New Roman" w:hAnsi="Times New Roman" w:cs="Times New Roman"/>
          <w:sz w:val="24"/>
        </w:rPr>
        <w:t xml:space="preserve"> jānorāda, ka valdību uzskata par līgumslēdzēju pusi, kura uzņēmusies risku, ja tai līgumā būtu noteikts pienākums nodrošināt maksājumus noteiktā līmenī partnerim neatkarīgi no galalietotāju faktiskā pieprasījuma, tādējādi nodrošinot, ka pieprasījuma līmeņa mainībai ir nebūtiska ietekme uz partnera ienesīgumu. Tomēr pieprasījuma </w:t>
      </w:r>
      <w:r w:rsidRPr="00B03B51">
        <w:rPr>
          <w:rFonts w:ascii="Times New Roman" w:hAnsi="Times New Roman" w:cs="Times New Roman"/>
          <w:sz w:val="24"/>
        </w:rPr>
        <w:lastRenderedPageBreak/>
        <w:t>mainīgums nedrīkstētu būt atkarīgs no partnera darbības rezultātiem, kas jau ir ietverts iepriekš minētajos noteikumos (citiem vārdiem sakot, būtu jāizpilda līgumā norādītie pieejamības standarti). Tādēļ pieprasījuma riskam būtu jāattiecas uz galalietotāju rīcības tiešām pārmaiņām tādu faktoru dēļ kā, piemēram, uzņēmējdarbības cikls, jaunas tirgus tendences, tieša konkurence vai tehnoloģiska novecošana. Citiem vārdiem sakot, būtu uzskatāms, ka šādu ekonomisku risku uzņemšanās ir normāla partnera darbības iezīme.</w:t>
      </w:r>
    </w:p>
    <w:p w14:paraId="4FE565B4" w14:textId="77777777" w:rsidR="00443399" w:rsidRPr="00B03B51" w:rsidRDefault="00443399" w:rsidP="00443399">
      <w:pPr>
        <w:pStyle w:val="BodyText"/>
        <w:tabs>
          <w:tab w:val="left" w:pos="987"/>
        </w:tabs>
        <w:spacing w:before="0"/>
        <w:ind w:left="0" w:firstLine="0"/>
        <w:jc w:val="both"/>
        <w:rPr>
          <w:rFonts w:ascii="Times New Roman" w:hAnsi="Times New Roman" w:cs="Times New Roman"/>
          <w:noProof/>
          <w:sz w:val="24"/>
        </w:rPr>
      </w:pPr>
    </w:p>
    <w:p w14:paraId="2E7B8B0D" w14:textId="77777777" w:rsidR="00443399" w:rsidRPr="00B03B51" w:rsidRDefault="00443399" w:rsidP="00443399">
      <w:pPr>
        <w:pStyle w:val="BodyText"/>
        <w:tabs>
          <w:tab w:val="left" w:pos="987"/>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103. Lai aktīvu ierakstītu partnera bilancē gadījumā, kad neparedzēti samazinās partnera ieņēmumi, partnerim pašam ir jāspēj atrisināt šādu problēmu, veicot dažādas tā atbildībā ietilpstošas darbības, piemēram, izvēršot reklāmu, veicot diversificēšanu vai pārplānošanu u. tml. Šajā ziņā partneris īstenotu savu darbību atbilstīgi komercpraksei. Tādējādi, ja līguma noteikumi paredz, ka partneris drīkst izmantot aktīvus arī tādiem mērķiem, kas nav saskaņoti ar valdību, tad tas bieži liecinātu par to, ka partneris faktiski ir uzņēmies šeit noteikto pieprasījuma risku.</w:t>
      </w:r>
    </w:p>
    <w:p w14:paraId="54923156" w14:textId="77777777" w:rsidR="00443399" w:rsidRPr="00B03B51" w:rsidRDefault="00443399" w:rsidP="00443399">
      <w:pPr>
        <w:pStyle w:val="BodyText"/>
        <w:tabs>
          <w:tab w:val="left" w:pos="987"/>
        </w:tabs>
        <w:spacing w:before="0"/>
        <w:ind w:left="0" w:firstLine="0"/>
        <w:jc w:val="both"/>
        <w:rPr>
          <w:rFonts w:ascii="Times New Roman" w:hAnsi="Times New Roman" w:cs="Times New Roman"/>
          <w:noProof/>
          <w:sz w:val="24"/>
        </w:rPr>
      </w:pPr>
    </w:p>
    <w:p w14:paraId="077B9241" w14:textId="77777777" w:rsidR="00443399" w:rsidRPr="00B03B51" w:rsidRDefault="00443399" w:rsidP="00443399">
      <w:pPr>
        <w:pStyle w:val="BodyText"/>
        <w:tabs>
          <w:tab w:val="left" w:pos="987"/>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104. Ja pieprasījuma pārmaiņas notiek acīmredzamas valdības rīcības dēļ, piemēram, tādu valdības (un līdz ar to ne tikai līgumā tieši iesaistītās valdības vienības(-u)) lēmumu dēļ, kas būtu pielīdzināmi būtiskai politikas maiņai, vai arī valdība ir atļāvusi būvēt tieši konkurējošu infrastruktūru, tad regulāro maksājumu koriģēšana vai pat kompensācijas maksājuma veikšana partnerim nenozīmētu, ka aktīvi ir jāieraksta (vai jāpārklasificē) valdības bilancē, ja tiktu atzīts, ka partnera rentabilitātes samazināšanās ir tiešs valdības tīšas darbības rezultāts.</w:t>
      </w:r>
    </w:p>
    <w:p w14:paraId="2AA66B35" w14:textId="77777777" w:rsidR="00443399" w:rsidRPr="00B03B51" w:rsidRDefault="00443399" w:rsidP="00443399">
      <w:pPr>
        <w:pStyle w:val="BodyText"/>
        <w:tabs>
          <w:tab w:val="left" w:pos="987"/>
        </w:tabs>
        <w:spacing w:before="0"/>
        <w:ind w:left="0" w:firstLine="0"/>
        <w:jc w:val="both"/>
        <w:rPr>
          <w:rFonts w:ascii="Times New Roman" w:hAnsi="Times New Roman" w:cs="Times New Roman"/>
          <w:noProof/>
          <w:sz w:val="24"/>
        </w:rPr>
      </w:pPr>
    </w:p>
    <w:p w14:paraId="4D6B8E72" w14:textId="77777777" w:rsidR="00443399" w:rsidRPr="00B03B51" w:rsidRDefault="00443399" w:rsidP="00443399">
      <w:pPr>
        <w:pStyle w:val="BodyText"/>
        <w:tabs>
          <w:tab w:val="left" w:pos="987"/>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105. Kas attiecas uz citiem nosacījumiem, saskaņā ar kuriem valdība var uzņemties projekta risku, ir jāanalizē, vai pastāv valdības finansējums un galvojums privātā sektora finansējumā. Šādu “finansējuma risku” varētu uzskatīt par “būvniecības riska” neatņemamu daļu, jo piemērota finansējuma trūkums varētu nozīmēt, ka nav iespējams uzbūvēt aktīvu vai arī to nevar uzbūvēt saskaņā ar pieņemtajiem standartiem. Turklāt, ņemot vērā, ka finansēšanas risks varētu būt atkarīgs no partnera izpildījuma, kā rezultātā dažkārt varētu samazināties ieņēmumi no valdības, šādas garantijas beigu beigās samazinātu partnera riskus.</w:t>
      </w:r>
    </w:p>
    <w:p w14:paraId="32447C1D" w14:textId="77777777" w:rsidR="00443399" w:rsidRPr="00B03B51" w:rsidRDefault="00443399" w:rsidP="00443399">
      <w:pPr>
        <w:pStyle w:val="BodyText"/>
        <w:tabs>
          <w:tab w:val="left" w:pos="987"/>
        </w:tabs>
        <w:spacing w:before="0"/>
        <w:ind w:left="0" w:firstLine="0"/>
        <w:jc w:val="both"/>
        <w:rPr>
          <w:rFonts w:ascii="Times New Roman" w:hAnsi="Times New Roman" w:cs="Times New Roman"/>
          <w:noProof/>
          <w:sz w:val="24"/>
        </w:rPr>
      </w:pPr>
    </w:p>
    <w:p w14:paraId="085A3011" w14:textId="77777777" w:rsidR="00443399" w:rsidRPr="00B03B51" w:rsidRDefault="00443399" w:rsidP="00443399">
      <w:pPr>
        <w:pStyle w:val="BodyText"/>
        <w:tabs>
          <w:tab w:val="left" w:pos="987"/>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106. Gadījumos, kad valdība finansētu daļu no PPP un arī piešķirtu garantijas attiecībā uz visu partnera pašu kapitālu un/vai parādiem vai to daļu, šādus pasākumus riska analīzes izpratnē uzskata par kumulatīviem pasākumiem. Šāda analīze ir jāveic attiecībā uz projekta kapitāla izdevumiem, lai noskaidrotu, vai valdība, izmantojot šos mehānismus, sedz lielāko daļu kapitāla izdevumu.</w:t>
      </w:r>
    </w:p>
    <w:p w14:paraId="06F2B340" w14:textId="77777777" w:rsidR="00443399" w:rsidRPr="00B03B51" w:rsidRDefault="00443399" w:rsidP="00443399">
      <w:pPr>
        <w:jc w:val="both"/>
        <w:rPr>
          <w:rFonts w:ascii="Times New Roman" w:eastAsia="Arial" w:hAnsi="Times New Roman" w:cs="Times New Roman"/>
          <w:noProof/>
          <w:sz w:val="24"/>
          <w:szCs w:val="18"/>
        </w:rPr>
      </w:pPr>
    </w:p>
    <w:p w14:paraId="27D36522" w14:textId="77777777" w:rsidR="00443399" w:rsidRPr="00B03B51" w:rsidRDefault="00443399" w:rsidP="00963385">
      <w:pPr>
        <w:pStyle w:val="Heading3"/>
        <w:tabs>
          <w:tab w:val="left" w:pos="1267"/>
        </w:tabs>
        <w:ind w:left="0" w:firstLine="0"/>
        <w:jc w:val="both"/>
        <w:rPr>
          <w:rFonts w:ascii="Times New Roman" w:hAnsi="Times New Roman" w:cs="Times New Roman"/>
          <w:noProof/>
          <w:sz w:val="24"/>
        </w:rPr>
      </w:pPr>
      <w:bookmarkStart w:id="538" w:name="6.4.5_Accounting_examples"/>
      <w:bookmarkStart w:id="539" w:name="_Toc67565188"/>
      <w:bookmarkEnd w:id="538"/>
      <w:r w:rsidRPr="00B03B51">
        <w:rPr>
          <w:rFonts w:ascii="Times New Roman" w:hAnsi="Times New Roman" w:cs="Times New Roman"/>
          <w:sz w:val="24"/>
        </w:rPr>
        <w:t>6.4.5. Uzskaites piemēri</w:t>
      </w:r>
      <w:bookmarkEnd w:id="539"/>
    </w:p>
    <w:p w14:paraId="73DB9CBE" w14:textId="77777777" w:rsidR="00443399" w:rsidRPr="00B03B51" w:rsidRDefault="00443399" w:rsidP="00963385">
      <w:pPr>
        <w:jc w:val="both"/>
        <w:rPr>
          <w:rFonts w:ascii="Times New Roman" w:eastAsia="Arial" w:hAnsi="Times New Roman" w:cs="Times New Roman"/>
          <w:b/>
          <w:bCs/>
          <w:noProof/>
          <w:sz w:val="24"/>
          <w:szCs w:val="19"/>
        </w:rPr>
      </w:pPr>
    </w:p>
    <w:p w14:paraId="4B192B98" w14:textId="77777777" w:rsidR="00443399" w:rsidRPr="00B03B51" w:rsidRDefault="00443399" w:rsidP="00963385">
      <w:pPr>
        <w:jc w:val="both"/>
        <w:rPr>
          <w:rFonts w:ascii="Times New Roman" w:eastAsia="Arial" w:hAnsi="Times New Roman" w:cs="Times New Roman"/>
          <w:b/>
          <w:bCs/>
          <w:noProof/>
          <w:sz w:val="24"/>
          <w:szCs w:val="19"/>
        </w:rPr>
      </w:pPr>
      <w:r w:rsidRPr="00B03B51">
        <w:rPr>
          <w:rFonts w:ascii="Times New Roman" w:hAnsi="Times New Roman" w:cs="Times New Roman"/>
          <w:b/>
          <w:bCs/>
          <w:sz w:val="24"/>
          <w:szCs w:val="19"/>
        </w:rPr>
        <w:t>PPP aktīvu ieraksta partnera bilancē</w:t>
      </w:r>
    </w:p>
    <w:p w14:paraId="1FAA48C0" w14:textId="77777777" w:rsidR="00443399" w:rsidRPr="00B03B51" w:rsidRDefault="00443399" w:rsidP="00963385">
      <w:pPr>
        <w:jc w:val="both"/>
        <w:rPr>
          <w:rFonts w:ascii="Times New Roman" w:eastAsia="Arial" w:hAnsi="Times New Roman" w:cs="Times New Roman"/>
          <w:b/>
          <w:bCs/>
          <w:noProof/>
          <w:sz w:val="24"/>
        </w:rPr>
      </w:pPr>
    </w:p>
    <w:p w14:paraId="62B5C21E" w14:textId="77777777" w:rsidR="00443399" w:rsidRPr="00B03B51" w:rsidRDefault="00443399" w:rsidP="00BD35E2">
      <w:pPr>
        <w:pStyle w:val="BodyText"/>
        <w:numPr>
          <w:ilvl w:val="0"/>
          <w:numId w:val="46"/>
        </w:numPr>
        <w:spacing w:before="0"/>
        <w:ind w:left="426" w:hanging="425"/>
        <w:jc w:val="both"/>
        <w:rPr>
          <w:rFonts w:ascii="Times New Roman" w:hAnsi="Times New Roman" w:cs="Times New Roman"/>
          <w:noProof/>
          <w:sz w:val="24"/>
        </w:rPr>
      </w:pPr>
      <w:r w:rsidRPr="00B03B51">
        <w:rPr>
          <w:rFonts w:ascii="Times New Roman" w:hAnsi="Times New Roman" w:cs="Times New Roman"/>
          <w:sz w:val="24"/>
        </w:rPr>
        <w:t>Partneris uzbūvē aktīvu 1. gadā 1000 naudas vienību vērtībā.</w:t>
      </w:r>
    </w:p>
    <w:p w14:paraId="71E4E6F7" w14:textId="77777777" w:rsidR="00443399" w:rsidRPr="00B03B51" w:rsidRDefault="00443399" w:rsidP="00BD35E2">
      <w:pPr>
        <w:pStyle w:val="BodyText"/>
        <w:numPr>
          <w:ilvl w:val="0"/>
          <w:numId w:val="46"/>
        </w:numPr>
        <w:spacing w:before="0"/>
        <w:ind w:left="426" w:hanging="425"/>
        <w:jc w:val="both"/>
        <w:rPr>
          <w:rFonts w:ascii="Times New Roman" w:hAnsi="Times New Roman" w:cs="Times New Roman"/>
          <w:noProof/>
          <w:sz w:val="24"/>
        </w:rPr>
      </w:pPr>
      <w:r w:rsidRPr="00B03B51">
        <w:rPr>
          <w:rFonts w:ascii="Times New Roman" w:hAnsi="Times New Roman" w:cs="Times New Roman"/>
          <w:sz w:val="24"/>
        </w:rPr>
        <w:t>Valdība ekspluatācijas laikā veic regulārus maksājumus sabiedrībai atbilstoši pieejamībai (pirmajā gadā maksājums ir 100 naudas vienības).</w:t>
      </w:r>
    </w:p>
    <w:p w14:paraId="757D8B69" w14:textId="77777777" w:rsidR="00443399" w:rsidRPr="00B03B51" w:rsidRDefault="00443399" w:rsidP="00BD35E2">
      <w:pPr>
        <w:pStyle w:val="BodyText"/>
        <w:numPr>
          <w:ilvl w:val="0"/>
          <w:numId w:val="46"/>
        </w:numPr>
        <w:spacing w:before="0"/>
        <w:ind w:left="426" w:hanging="425"/>
        <w:jc w:val="both"/>
        <w:rPr>
          <w:rFonts w:ascii="Times New Roman" w:hAnsi="Times New Roman" w:cs="Times New Roman"/>
          <w:noProof/>
          <w:sz w:val="24"/>
        </w:rPr>
      </w:pPr>
      <w:r w:rsidRPr="00B03B51">
        <w:rPr>
          <w:rFonts w:ascii="Times New Roman" w:hAnsi="Times New Roman" w:cs="Times New Roman"/>
          <w:sz w:val="24"/>
        </w:rPr>
        <w:t>Ekspluatācijas beigās infrastruktūru nopērk valdība (par 200 naudas vienībām).</w:t>
      </w:r>
    </w:p>
    <w:p w14:paraId="6C5A3ABF" w14:textId="77777777" w:rsidR="00443399" w:rsidRPr="00B03B51" w:rsidRDefault="00443399" w:rsidP="00443399">
      <w:pPr>
        <w:jc w:val="both"/>
        <w:rPr>
          <w:rFonts w:ascii="Times New Roman" w:eastAsia="Arial" w:hAnsi="Times New Roman" w:cs="Times New Roman"/>
          <w:noProof/>
          <w:sz w:val="24"/>
          <w:szCs w:val="23"/>
        </w:rPr>
      </w:pPr>
    </w:p>
    <w:p w14:paraId="5C8C981D" w14:textId="77777777" w:rsidR="00443399" w:rsidRPr="00B03B51" w:rsidRDefault="00443399" w:rsidP="00963385">
      <w:pPr>
        <w:keepNext/>
        <w:jc w:val="both"/>
        <w:rPr>
          <w:rFonts w:ascii="Times New Roman" w:hAnsi="Times New Roman" w:cs="Times New Roman"/>
          <w:b/>
          <w:noProof/>
          <w:sz w:val="24"/>
        </w:rPr>
      </w:pPr>
      <w:r w:rsidRPr="00B03B51">
        <w:rPr>
          <w:rFonts w:ascii="Times New Roman" w:hAnsi="Times New Roman" w:cs="Times New Roman"/>
          <w:b/>
          <w:sz w:val="24"/>
        </w:rPr>
        <w:lastRenderedPageBreak/>
        <w:t>1. gads</w:t>
      </w:r>
    </w:p>
    <w:p w14:paraId="18B46B93" w14:textId="77777777" w:rsidR="00443399" w:rsidRPr="00B03B51" w:rsidRDefault="00443399" w:rsidP="00963385">
      <w:pPr>
        <w:keepNext/>
        <w:jc w:val="both"/>
        <w:rPr>
          <w:rFonts w:ascii="Times New Roman" w:hAnsi="Times New Roman" w:cs="Times New Roman"/>
          <w:b/>
          <w:noProof/>
          <w:sz w:val="24"/>
        </w:rPr>
      </w:pPr>
    </w:p>
    <w:p w14:paraId="5C8FB47A" w14:textId="77777777" w:rsidR="00443399" w:rsidRPr="00B03B51" w:rsidRDefault="00443399" w:rsidP="00BD35E2">
      <w:pPr>
        <w:keepNext/>
        <w:jc w:val="center"/>
        <w:rPr>
          <w:rFonts w:ascii="Times New Roman" w:hAnsi="Times New Roman" w:cs="Times New Roman"/>
          <w:b/>
          <w:noProof/>
          <w:sz w:val="24"/>
        </w:rPr>
      </w:pPr>
      <w:r w:rsidRPr="00B03B51">
        <w:rPr>
          <w:rFonts w:ascii="Times New Roman" w:hAnsi="Times New Roman" w:cs="Times New Roman"/>
          <w:noProof/>
        </w:rPr>
        <w:drawing>
          <wp:inline distT="0" distB="0" distL="0" distR="0" wp14:anchorId="145E7C24" wp14:editId="07CD2395">
            <wp:extent cx="5756275" cy="1983105"/>
            <wp:effectExtent l="0" t="0" r="0" b="0"/>
            <wp:docPr id="149" name="Attēls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3"/>
                    <a:stretch>
                      <a:fillRect/>
                    </a:stretch>
                  </pic:blipFill>
                  <pic:spPr>
                    <a:xfrm>
                      <a:off x="0" y="0"/>
                      <a:ext cx="5756275" cy="1983105"/>
                    </a:xfrm>
                    <a:prstGeom prst="rect">
                      <a:avLst/>
                    </a:prstGeom>
                  </pic:spPr>
                </pic:pic>
              </a:graphicData>
            </a:graphic>
          </wp:inline>
        </w:drawing>
      </w:r>
    </w:p>
    <w:p w14:paraId="100B9081" w14:textId="77777777" w:rsidR="00443399" w:rsidRPr="00B03B51" w:rsidRDefault="00443399" w:rsidP="00443399">
      <w:pPr>
        <w:jc w:val="both"/>
        <w:rPr>
          <w:rFonts w:ascii="Times New Roman" w:hAnsi="Times New Roman" w:cs="Times New Roman"/>
          <w:b/>
          <w:noProof/>
          <w:sz w:val="24"/>
        </w:rPr>
      </w:pPr>
    </w:p>
    <w:p w14:paraId="26B352B9" w14:textId="77777777" w:rsidR="00443399" w:rsidRPr="00B03B51" w:rsidRDefault="00443399" w:rsidP="00443399">
      <w:pPr>
        <w:jc w:val="both"/>
        <w:rPr>
          <w:rFonts w:ascii="Times New Roman" w:hAnsi="Times New Roman" w:cs="Times New Roman"/>
          <w:b/>
          <w:noProof/>
          <w:sz w:val="24"/>
        </w:rPr>
      </w:pPr>
      <w:r w:rsidRPr="00B03B51">
        <w:rPr>
          <w:rFonts w:ascii="Times New Roman" w:hAnsi="Times New Roman" w:cs="Times New Roman"/>
          <w:b/>
          <w:sz w:val="24"/>
        </w:rPr>
        <w:t>Gads </w:t>
      </w:r>
      <w:r w:rsidRPr="00B03B51">
        <w:rPr>
          <w:rFonts w:ascii="Times New Roman" w:hAnsi="Times New Roman" w:cs="Times New Roman"/>
          <w:b/>
          <w:i/>
          <w:iCs/>
          <w:sz w:val="24"/>
        </w:rPr>
        <w:t>t</w:t>
      </w:r>
      <w:r w:rsidRPr="00B03B51">
        <w:rPr>
          <w:rFonts w:ascii="Times New Roman" w:hAnsi="Times New Roman" w:cs="Times New Roman"/>
          <w:b/>
          <w:sz w:val="24"/>
        </w:rPr>
        <w:t>. Ekspluatācijas beigās iegādājas valdība</w:t>
      </w:r>
    </w:p>
    <w:p w14:paraId="48793CFA" w14:textId="77777777" w:rsidR="00443399" w:rsidRPr="00B03B51" w:rsidRDefault="00443399" w:rsidP="00443399">
      <w:pPr>
        <w:jc w:val="both"/>
        <w:rPr>
          <w:rFonts w:ascii="Times New Roman" w:eastAsia="Arial" w:hAnsi="Times New Roman" w:cs="Times New Roman"/>
          <w:b/>
          <w:bCs/>
          <w:noProof/>
          <w:sz w:val="24"/>
          <w:szCs w:val="11"/>
        </w:rPr>
      </w:pPr>
    </w:p>
    <w:p w14:paraId="6E251E61" w14:textId="77777777" w:rsidR="00443399" w:rsidRPr="00B03B51" w:rsidRDefault="00443399" w:rsidP="00BD35E2">
      <w:pPr>
        <w:jc w:val="center"/>
        <w:rPr>
          <w:rFonts w:ascii="Times New Roman" w:eastAsia="Arial" w:hAnsi="Times New Roman" w:cs="Times New Roman"/>
          <w:b/>
          <w:bCs/>
          <w:noProof/>
          <w:sz w:val="24"/>
          <w:szCs w:val="20"/>
        </w:rPr>
      </w:pPr>
      <w:r w:rsidRPr="00B03B51">
        <w:rPr>
          <w:rFonts w:ascii="Times New Roman" w:hAnsi="Times New Roman" w:cs="Times New Roman"/>
          <w:noProof/>
        </w:rPr>
        <w:drawing>
          <wp:inline distT="0" distB="0" distL="0" distR="0" wp14:anchorId="63DACEF0" wp14:editId="5C41B5C9">
            <wp:extent cx="5756275" cy="2136775"/>
            <wp:effectExtent l="0" t="0" r="0" b="0"/>
            <wp:docPr id="150" name="Attēls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4"/>
                    <a:stretch>
                      <a:fillRect/>
                    </a:stretch>
                  </pic:blipFill>
                  <pic:spPr>
                    <a:xfrm>
                      <a:off x="0" y="0"/>
                      <a:ext cx="5756275" cy="2136775"/>
                    </a:xfrm>
                    <a:prstGeom prst="rect">
                      <a:avLst/>
                    </a:prstGeom>
                  </pic:spPr>
                </pic:pic>
              </a:graphicData>
            </a:graphic>
          </wp:inline>
        </w:drawing>
      </w:r>
    </w:p>
    <w:p w14:paraId="210B6E18" w14:textId="77777777" w:rsidR="00443399" w:rsidRPr="00B03B51" w:rsidRDefault="00443399" w:rsidP="00443399">
      <w:pPr>
        <w:tabs>
          <w:tab w:val="left" w:pos="7521"/>
        </w:tabs>
        <w:jc w:val="both"/>
        <w:rPr>
          <w:rFonts w:ascii="Times New Roman" w:eastAsia="Arial" w:hAnsi="Times New Roman" w:cs="Times New Roman"/>
          <w:b/>
          <w:bCs/>
          <w:noProof/>
          <w:sz w:val="24"/>
          <w:szCs w:val="20"/>
        </w:rPr>
      </w:pPr>
    </w:p>
    <w:p w14:paraId="4E8B5620" w14:textId="77777777" w:rsidR="00443399" w:rsidRPr="00B03B51" w:rsidRDefault="00443399" w:rsidP="00443399">
      <w:pPr>
        <w:jc w:val="both"/>
        <w:rPr>
          <w:rFonts w:ascii="Times New Roman" w:eastAsia="Arial" w:hAnsi="Times New Roman" w:cs="Times New Roman"/>
          <w:b/>
          <w:bCs/>
          <w:noProof/>
          <w:sz w:val="24"/>
          <w:szCs w:val="20"/>
        </w:rPr>
      </w:pPr>
      <w:r w:rsidRPr="00B03B51">
        <w:rPr>
          <w:rFonts w:ascii="Times New Roman" w:hAnsi="Times New Roman" w:cs="Times New Roman"/>
          <w:b/>
          <w:bCs/>
          <w:sz w:val="24"/>
          <w:szCs w:val="20"/>
        </w:rPr>
        <w:t>PPP aktīvu ieraksta valdības bilancē</w:t>
      </w:r>
    </w:p>
    <w:p w14:paraId="5273E76F" w14:textId="77777777" w:rsidR="00443399" w:rsidRPr="00B03B51" w:rsidRDefault="00443399" w:rsidP="00443399">
      <w:pPr>
        <w:jc w:val="both"/>
        <w:rPr>
          <w:rFonts w:ascii="Times New Roman" w:eastAsia="Arial" w:hAnsi="Times New Roman" w:cs="Times New Roman"/>
          <w:b/>
          <w:bCs/>
          <w:noProof/>
          <w:sz w:val="24"/>
          <w:szCs w:val="20"/>
        </w:rPr>
      </w:pPr>
    </w:p>
    <w:p w14:paraId="4382770C" w14:textId="77777777" w:rsidR="00443399" w:rsidRPr="00B03B51" w:rsidRDefault="00443399" w:rsidP="00903451">
      <w:pPr>
        <w:pStyle w:val="ListParagraph"/>
        <w:numPr>
          <w:ilvl w:val="0"/>
          <w:numId w:val="70"/>
        </w:numPr>
        <w:ind w:left="426" w:hanging="436"/>
        <w:jc w:val="both"/>
        <w:rPr>
          <w:rFonts w:ascii="Times New Roman" w:eastAsia="Arial" w:hAnsi="Times New Roman" w:cs="Times New Roman"/>
          <w:noProof/>
          <w:sz w:val="24"/>
          <w:szCs w:val="20"/>
        </w:rPr>
      </w:pPr>
      <w:r w:rsidRPr="00B03B51">
        <w:rPr>
          <w:rFonts w:ascii="Times New Roman" w:hAnsi="Times New Roman" w:cs="Times New Roman"/>
          <w:sz w:val="24"/>
          <w:szCs w:val="20"/>
        </w:rPr>
        <w:t>Partneris uzbūvē aktīvu 1. gadā 1000 naudas vienību vērtībā.</w:t>
      </w:r>
    </w:p>
    <w:p w14:paraId="7F1DEC82" w14:textId="77777777" w:rsidR="00443399" w:rsidRPr="00B03B51" w:rsidRDefault="00443399" w:rsidP="00903451">
      <w:pPr>
        <w:pStyle w:val="ListParagraph"/>
        <w:numPr>
          <w:ilvl w:val="0"/>
          <w:numId w:val="70"/>
        </w:numPr>
        <w:ind w:left="426" w:hanging="436"/>
        <w:jc w:val="both"/>
        <w:rPr>
          <w:rFonts w:ascii="Times New Roman" w:eastAsia="Arial" w:hAnsi="Times New Roman" w:cs="Times New Roman"/>
          <w:noProof/>
          <w:sz w:val="24"/>
          <w:szCs w:val="20"/>
        </w:rPr>
      </w:pPr>
      <w:r w:rsidRPr="00B03B51">
        <w:rPr>
          <w:rFonts w:ascii="Times New Roman" w:hAnsi="Times New Roman" w:cs="Times New Roman"/>
          <w:sz w:val="24"/>
          <w:szCs w:val="20"/>
        </w:rPr>
        <w:t>Ekspluatācijas laikā valdība veic regulārus maksājumus sabiedrībai (maksājums ir 100 naudas vienības: 50 naudas vienības – procenti D.41, 30 naudas vienības – maksa par pakalpojumu P.2, 20 naudas vienības – nosacītā aizdevuma amortizācija F.4).</w:t>
      </w:r>
    </w:p>
    <w:p w14:paraId="3A073FAC" w14:textId="77777777" w:rsidR="00443399" w:rsidRPr="00B03B51" w:rsidRDefault="00443399" w:rsidP="00903451">
      <w:pPr>
        <w:pStyle w:val="ListParagraph"/>
        <w:numPr>
          <w:ilvl w:val="0"/>
          <w:numId w:val="70"/>
        </w:numPr>
        <w:ind w:left="426" w:hanging="436"/>
        <w:jc w:val="both"/>
        <w:rPr>
          <w:rFonts w:ascii="Times New Roman" w:eastAsia="Arial" w:hAnsi="Times New Roman" w:cs="Times New Roman"/>
          <w:noProof/>
          <w:sz w:val="24"/>
          <w:szCs w:val="20"/>
        </w:rPr>
      </w:pPr>
      <w:r w:rsidRPr="00B03B51">
        <w:rPr>
          <w:rFonts w:ascii="Times New Roman" w:hAnsi="Times New Roman" w:cs="Times New Roman"/>
          <w:sz w:val="24"/>
          <w:szCs w:val="20"/>
        </w:rPr>
        <w:t>Gada beigās aktīva vērtība ir 950 naudas vienības.</w:t>
      </w:r>
    </w:p>
    <w:p w14:paraId="43227A7B" w14:textId="77777777" w:rsidR="00443399" w:rsidRPr="00B03B51" w:rsidRDefault="00443399" w:rsidP="00443399">
      <w:pPr>
        <w:jc w:val="both"/>
        <w:rPr>
          <w:rFonts w:ascii="Times New Roman" w:eastAsia="Arial" w:hAnsi="Times New Roman" w:cs="Times New Roman"/>
          <w:noProof/>
          <w:sz w:val="24"/>
          <w:szCs w:val="20"/>
        </w:rPr>
      </w:pPr>
    </w:p>
    <w:p w14:paraId="1CC1A816" w14:textId="77777777" w:rsidR="00443399" w:rsidRPr="00B03B51" w:rsidRDefault="00443399" w:rsidP="00443399">
      <w:pPr>
        <w:keepNext/>
        <w:jc w:val="both"/>
        <w:rPr>
          <w:rFonts w:ascii="Times New Roman" w:eastAsia="Arial" w:hAnsi="Times New Roman" w:cs="Times New Roman"/>
          <w:b/>
          <w:bCs/>
          <w:noProof/>
          <w:sz w:val="24"/>
          <w:szCs w:val="20"/>
        </w:rPr>
      </w:pPr>
      <w:r w:rsidRPr="00B03B51">
        <w:rPr>
          <w:rFonts w:ascii="Times New Roman" w:hAnsi="Times New Roman" w:cs="Times New Roman"/>
          <w:b/>
          <w:bCs/>
          <w:sz w:val="24"/>
          <w:szCs w:val="20"/>
        </w:rPr>
        <w:lastRenderedPageBreak/>
        <w:t>1. gads. Kapitāla izdevumi (ierakstīti kā finanšu noma)</w:t>
      </w:r>
    </w:p>
    <w:p w14:paraId="4C5A20F1" w14:textId="77777777" w:rsidR="00443399" w:rsidRPr="00B03B51" w:rsidRDefault="00443399" w:rsidP="00443399">
      <w:pPr>
        <w:keepNext/>
        <w:jc w:val="both"/>
        <w:rPr>
          <w:rFonts w:ascii="Times New Roman" w:eastAsia="Arial" w:hAnsi="Times New Roman" w:cs="Times New Roman"/>
          <w:noProof/>
          <w:sz w:val="24"/>
          <w:szCs w:val="20"/>
        </w:rPr>
      </w:pPr>
    </w:p>
    <w:p w14:paraId="38AEAC4C" w14:textId="77777777" w:rsidR="00443399" w:rsidRPr="00B03B51" w:rsidRDefault="00443399" w:rsidP="00903451">
      <w:pPr>
        <w:keepNext/>
        <w:jc w:val="center"/>
        <w:rPr>
          <w:rFonts w:ascii="Times New Roman" w:eastAsia="Arial" w:hAnsi="Times New Roman" w:cs="Times New Roman"/>
          <w:noProof/>
          <w:sz w:val="24"/>
          <w:szCs w:val="20"/>
        </w:rPr>
      </w:pPr>
      <w:r w:rsidRPr="00B03B51">
        <w:rPr>
          <w:rFonts w:ascii="Times New Roman" w:hAnsi="Times New Roman" w:cs="Times New Roman"/>
          <w:noProof/>
        </w:rPr>
        <w:drawing>
          <wp:inline distT="0" distB="0" distL="0" distR="0" wp14:anchorId="5FE7CFBC" wp14:editId="5B1958D4">
            <wp:extent cx="5756275" cy="3352165"/>
            <wp:effectExtent l="0" t="0" r="0" b="635"/>
            <wp:docPr id="151" name="Attēls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5"/>
                    <a:stretch>
                      <a:fillRect/>
                    </a:stretch>
                  </pic:blipFill>
                  <pic:spPr>
                    <a:xfrm>
                      <a:off x="0" y="0"/>
                      <a:ext cx="5756275" cy="3352165"/>
                    </a:xfrm>
                    <a:prstGeom prst="rect">
                      <a:avLst/>
                    </a:prstGeom>
                  </pic:spPr>
                </pic:pic>
              </a:graphicData>
            </a:graphic>
          </wp:inline>
        </w:drawing>
      </w:r>
    </w:p>
    <w:p w14:paraId="2014A4EC" w14:textId="77777777" w:rsidR="00443399" w:rsidRPr="00B03B51" w:rsidRDefault="00443399" w:rsidP="00443399">
      <w:pPr>
        <w:jc w:val="both"/>
        <w:rPr>
          <w:rFonts w:ascii="Times New Roman" w:eastAsia="Arial" w:hAnsi="Times New Roman" w:cs="Times New Roman"/>
          <w:noProof/>
          <w:sz w:val="24"/>
          <w:szCs w:val="20"/>
        </w:rPr>
      </w:pPr>
    </w:p>
    <w:p w14:paraId="5307A5E2" w14:textId="77777777" w:rsidR="00443399" w:rsidRPr="00B03B51" w:rsidRDefault="00443399" w:rsidP="00443399">
      <w:pPr>
        <w:jc w:val="both"/>
        <w:rPr>
          <w:rFonts w:ascii="Times New Roman" w:hAnsi="Times New Roman" w:cs="Times New Roman"/>
          <w:b/>
          <w:noProof/>
          <w:sz w:val="24"/>
        </w:rPr>
      </w:pPr>
      <w:r w:rsidRPr="00B03B51">
        <w:rPr>
          <w:rFonts w:ascii="Times New Roman" w:hAnsi="Times New Roman" w:cs="Times New Roman"/>
          <w:b/>
          <w:sz w:val="24"/>
        </w:rPr>
        <w:t>2. gads</w:t>
      </w:r>
    </w:p>
    <w:p w14:paraId="6773B91F" w14:textId="77777777" w:rsidR="00443399" w:rsidRPr="00B03B51" w:rsidRDefault="00443399" w:rsidP="00443399">
      <w:pPr>
        <w:jc w:val="both"/>
        <w:rPr>
          <w:rFonts w:ascii="Times New Roman" w:eastAsia="Arial" w:hAnsi="Times New Roman" w:cs="Times New Roman"/>
          <w:b/>
          <w:bCs/>
          <w:noProof/>
          <w:sz w:val="24"/>
          <w:szCs w:val="20"/>
        </w:rPr>
      </w:pPr>
    </w:p>
    <w:p w14:paraId="5D91DB49" w14:textId="77777777" w:rsidR="00443399" w:rsidRPr="00B03B51" w:rsidRDefault="00443399" w:rsidP="00443399">
      <w:pPr>
        <w:jc w:val="center"/>
        <w:rPr>
          <w:rFonts w:ascii="Times New Roman" w:eastAsia="Arial" w:hAnsi="Times New Roman" w:cs="Times New Roman"/>
          <w:noProof/>
          <w:sz w:val="24"/>
          <w:szCs w:val="18"/>
        </w:rPr>
      </w:pPr>
      <w:r w:rsidRPr="00B03B51">
        <w:rPr>
          <w:rFonts w:ascii="Times New Roman" w:hAnsi="Times New Roman" w:cs="Times New Roman"/>
          <w:noProof/>
        </w:rPr>
        <w:drawing>
          <wp:inline distT="0" distB="0" distL="0" distR="0" wp14:anchorId="7671AEAE" wp14:editId="0247381C">
            <wp:extent cx="5756275" cy="3099435"/>
            <wp:effectExtent l="0" t="0" r="0" b="5715"/>
            <wp:docPr id="152" name="Attēls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6"/>
                    <a:stretch>
                      <a:fillRect/>
                    </a:stretch>
                  </pic:blipFill>
                  <pic:spPr>
                    <a:xfrm>
                      <a:off x="0" y="0"/>
                      <a:ext cx="5756275" cy="3099435"/>
                    </a:xfrm>
                    <a:prstGeom prst="rect">
                      <a:avLst/>
                    </a:prstGeom>
                  </pic:spPr>
                </pic:pic>
              </a:graphicData>
            </a:graphic>
          </wp:inline>
        </w:drawing>
      </w:r>
    </w:p>
    <w:p w14:paraId="650FEA27" w14:textId="77777777" w:rsidR="00443399" w:rsidRPr="00B03B51" w:rsidRDefault="00443399" w:rsidP="00443399">
      <w:pPr>
        <w:rPr>
          <w:rFonts w:ascii="Times New Roman" w:eastAsia="Arial" w:hAnsi="Times New Roman" w:cs="Times New Roman"/>
          <w:noProof/>
          <w:sz w:val="24"/>
          <w:szCs w:val="18"/>
        </w:rPr>
      </w:pPr>
      <w:r w:rsidRPr="00B03B51">
        <w:rPr>
          <w:rFonts w:ascii="Times New Roman" w:hAnsi="Times New Roman" w:cs="Times New Roman"/>
        </w:rPr>
        <w:br w:type="page"/>
      </w:r>
    </w:p>
    <w:p w14:paraId="2E96CBE9" w14:textId="77777777" w:rsidR="00443399" w:rsidRPr="00B03B51" w:rsidRDefault="00443399" w:rsidP="00443399">
      <w:pPr>
        <w:jc w:val="both"/>
        <w:rPr>
          <w:rFonts w:ascii="Times New Roman" w:eastAsia="Arial" w:hAnsi="Times New Roman" w:cs="Times New Roman"/>
          <w:noProof/>
          <w:sz w:val="24"/>
          <w:szCs w:val="18"/>
        </w:rPr>
      </w:pPr>
    </w:p>
    <w:p w14:paraId="6A197924" w14:textId="2682D6D0" w:rsidR="00443399" w:rsidRPr="00B03B51" w:rsidRDefault="00443399" w:rsidP="00443399">
      <w:pPr>
        <w:pStyle w:val="Heading2"/>
        <w:tabs>
          <w:tab w:val="left" w:pos="1135"/>
        </w:tabs>
        <w:spacing w:before="0"/>
        <w:ind w:left="0" w:firstLine="0"/>
        <w:jc w:val="both"/>
        <w:rPr>
          <w:rFonts w:ascii="Times New Roman" w:hAnsi="Times New Roman" w:cs="Times New Roman"/>
          <w:noProof/>
          <w:sz w:val="28"/>
          <w:szCs w:val="44"/>
        </w:rPr>
      </w:pPr>
      <w:bookmarkStart w:id="540" w:name="6.5_Emission_trading_allowances"/>
      <w:bookmarkStart w:id="541" w:name="_bookmark52"/>
      <w:bookmarkStart w:id="542" w:name="_Toc67565189"/>
      <w:bookmarkEnd w:id="540"/>
      <w:bookmarkEnd w:id="541"/>
      <w:r w:rsidRPr="00B03B51">
        <w:rPr>
          <w:rFonts w:ascii="Times New Roman" w:hAnsi="Times New Roman" w:cs="Times New Roman"/>
          <w:sz w:val="28"/>
          <w:szCs w:val="44"/>
        </w:rPr>
        <w:t>6.5. Emisij</w:t>
      </w:r>
      <w:r w:rsidR="00B8720C" w:rsidRPr="00B03B51">
        <w:rPr>
          <w:rFonts w:ascii="Times New Roman" w:hAnsi="Times New Roman" w:cs="Times New Roman"/>
          <w:sz w:val="28"/>
          <w:szCs w:val="44"/>
        </w:rPr>
        <w:t>u kvotu</w:t>
      </w:r>
      <w:r w:rsidRPr="00B03B51">
        <w:rPr>
          <w:rFonts w:ascii="Times New Roman" w:hAnsi="Times New Roman" w:cs="Times New Roman"/>
          <w:sz w:val="28"/>
          <w:szCs w:val="44"/>
        </w:rPr>
        <w:t xml:space="preserve"> tirdzniecība</w:t>
      </w:r>
      <w:bookmarkEnd w:id="542"/>
    </w:p>
    <w:p w14:paraId="6E494F90" w14:textId="77777777" w:rsidR="00443399" w:rsidRPr="00100B51" w:rsidRDefault="00443399" w:rsidP="00100B51">
      <w:pPr>
        <w:rPr>
          <w:rFonts w:ascii="Times New Roman" w:hAnsi="Times New Roman" w:cs="Times New Roman"/>
          <w:noProof/>
        </w:rPr>
      </w:pPr>
      <w:bookmarkStart w:id="543" w:name="6.5.1_Background"/>
      <w:bookmarkEnd w:id="543"/>
    </w:p>
    <w:p w14:paraId="0D7E4053" w14:textId="77777777" w:rsidR="00443399" w:rsidRPr="00B03B51" w:rsidRDefault="00443399" w:rsidP="00443399">
      <w:pPr>
        <w:pStyle w:val="Heading3"/>
        <w:tabs>
          <w:tab w:val="left" w:pos="1267"/>
        </w:tabs>
        <w:ind w:left="0" w:firstLine="0"/>
        <w:jc w:val="both"/>
        <w:rPr>
          <w:rFonts w:ascii="Times New Roman" w:hAnsi="Times New Roman" w:cs="Times New Roman"/>
          <w:noProof/>
          <w:sz w:val="24"/>
        </w:rPr>
      </w:pPr>
      <w:bookmarkStart w:id="544" w:name="_Toc67565190"/>
      <w:r w:rsidRPr="00B03B51">
        <w:rPr>
          <w:rFonts w:ascii="Times New Roman" w:hAnsi="Times New Roman" w:cs="Times New Roman"/>
          <w:sz w:val="24"/>
        </w:rPr>
        <w:t>6.5.1. Vispārīga informācija</w:t>
      </w:r>
      <w:bookmarkEnd w:id="544"/>
    </w:p>
    <w:p w14:paraId="3F76711E"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3DDE51E2"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 Valdības izdod emisiju kvotas (ko šajā nodaļā sauc arī par “atļaujām”) kā līdzekli tam, lai kontrolētu piesārņojuma kopējās emisijas vidē, un kā alternatīvu piesārņojuma aplikšanai ar tiešajiem nodokļiem.</w:t>
      </w:r>
    </w:p>
    <w:p w14:paraId="14F8179B"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0CAE5A3F"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2. Šādas emisijas atļauju shēmas var darboties dažādi, un tās var būt vietējās shēmas vai arī shēmas, kas tiek piemērotas vairākās valstīs. Attiecībā uz siltumnīcefekta gāzu emisiju pasaules mēroga kontroles sistēma tika izveidota ar Apvienoto Nāciju Organizācijas Vispārējo konvenciju par klimata pārmaiņām, emisijas mērķlielumu dalībvalstīm nosakot Kioto protokolā, kas tika pieņemts 1997. gadā. Tādējādi dalībvalstīm (tostarp Eiropas Savienībai) tika noteikti saistoši emisijas mērķlielumi 2008.–2012. gadam. 2013.–2020. gadam emisiju maksimālā apjoma noteikšanas sistēma tika atjaunināta un tajā ietvertas dažas būtiskas izmaiņas.</w:t>
      </w:r>
    </w:p>
    <w:p w14:paraId="17C8DA90"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0F757838"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3. Kioto protokolā tika noteikti trīs tirgus mehānismi, ko dalībvalstis var izmantot savu mērķlielumu sasniegšanai. Galvenais mehānisms ļauj valstīm savstarpēji tirgoties ar “noteikta daudzuma vienībām” (</w:t>
      </w:r>
      <w:r w:rsidRPr="00B03B51">
        <w:rPr>
          <w:rFonts w:ascii="Times New Roman" w:hAnsi="Times New Roman" w:cs="Times New Roman"/>
          <w:i/>
          <w:iCs/>
          <w:sz w:val="24"/>
        </w:rPr>
        <w:t>AAU</w:t>
      </w:r>
      <w:r w:rsidRPr="00B03B51">
        <w:rPr>
          <w:rFonts w:ascii="Times New Roman" w:hAnsi="Times New Roman" w:cs="Times New Roman"/>
          <w:sz w:val="24"/>
        </w:rPr>
        <w:t>)</w:t>
      </w:r>
      <w:r w:rsidRPr="00B03B51">
        <w:rPr>
          <w:rStyle w:val="FootnoteReference"/>
          <w:rFonts w:ascii="Times New Roman" w:hAnsi="Times New Roman" w:cs="Times New Roman"/>
          <w:noProof/>
          <w:sz w:val="24"/>
        </w:rPr>
        <w:footnoteReference w:id="243"/>
      </w:r>
      <w:r w:rsidRPr="00B03B51">
        <w:rPr>
          <w:rFonts w:ascii="Times New Roman" w:hAnsi="Times New Roman" w:cs="Times New Roman"/>
          <w:sz w:val="24"/>
        </w:rPr>
        <w:t xml:space="preserve">, kas sākotnēji tika piešķirtas, pamatojoties uz 2008.–2012. gada saistībām. Citi mehānismi (Tīras attīstības mehānisms un Kopīgā īstenošana) ļauj izveidot jaunus instrumentu veidus (ko iespējams apmainīt pret </w:t>
      </w:r>
      <w:r w:rsidRPr="00B03B51">
        <w:rPr>
          <w:rFonts w:ascii="Times New Roman" w:hAnsi="Times New Roman" w:cs="Times New Roman"/>
          <w:i/>
          <w:iCs/>
          <w:sz w:val="24"/>
        </w:rPr>
        <w:t>AAU</w:t>
      </w:r>
      <w:r w:rsidRPr="00B03B51">
        <w:rPr>
          <w:rFonts w:ascii="Times New Roman" w:hAnsi="Times New Roman" w:cs="Times New Roman"/>
          <w:sz w:val="24"/>
        </w:rPr>
        <w:t>), kas atspoguļo emisijas samazināšanas projektus attiecīgi attīstības un tiesīgajās valstīs.</w:t>
      </w:r>
    </w:p>
    <w:p w14:paraId="2891AEC6"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77EA9EC5"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4. Eiropas Savienībā galvenā emisijas kvotu shēma ir Emisijas kvotu tirdzniecības sistēma (ETS). ETS darbība tika sākta 2005. gadā, pamatojoties uz “emisiju ierobežošanas un tirdzniecības” principu. Šis princips nozīmē, ka tiek noteikti “griesti” jeb tiek ierobežots noteiktu siltumnīcefekta gāzu kopējais apjoms, ko rūpnīcas, spēkstacijas un citas sistēmā iekļautās ietaises drīkst emitēt (lai arī ievērojams daudzums piesārņojošo darbību nav iekļauts sistēmā). Ievērojot šo ierobežojumu, uzņēmumi saņem emisijas kvotas, ar kurām tie drīkst savstarpēji tirgoties atbilstīgi vajadzībai. Valstis minētajā periodā izsniedz ierobežotu skaitu atļauju (oglekļa tonnu izteiksmē), kas šobrīd tiek īstenots galvenokārt izsoles veidā.</w:t>
      </w:r>
      <w:r w:rsidRPr="00B03B51">
        <w:rPr>
          <w:rStyle w:val="FootnoteReference"/>
          <w:rFonts w:ascii="Times New Roman" w:hAnsi="Times New Roman" w:cs="Times New Roman"/>
          <w:noProof/>
          <w:sz w:val="24"/>
        </w:rPr>
        <w:footnoteReference w:id="244"/>
      </w:r>
      <w:r w:rsidRPr="00B03B51">
        <w:rPr>
          <w:rFonts w:ascii="Times New Roman" w:hAnsi="Times New Roman" w:cs="Times New Roman"/>
          <w:sz w:val="24"/>
          <w:szCs w:val="12"/>
        </w:rPr>
        <w:t xml:space="preserve"> </w:t>
      </w:r>
      <w:r w:rsidRPr="00B03B51">
        <w:rPr>
          <w:rFonts w:ascii="Times New Roman" w:hAnsi="Times New Roman" w:cs="Times New Roman"/>
          <w:sz w:val="24"/>
        </w:rPr>
        <w:t>Ierobežotais kopējais kvotu skaits nodrošina to, ka šīm kvotām ir vērtība, un kvotu skaits ar laiku tiek samazināts, kas nozīmē, ka samazinās kopējā emisija. Ar šo sistēmu tiek aizstāts tiešo nodokļu mehānisms, taču ir paredzēts panākt tādu pašu efektu, t. i., mudināt ražotājus pāriet uz tādām iekārtām, kas emitē mazāk oglekļa.</w:t>
      </w:r>
    </w:p>
    <w:p w14:paraId="7ED9D849"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064B57F1"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5. Katra gada sākumā (Eiropas Savienībā aprīlī) katram uzņēmumam ir jānodod pietiekams daudzums kvotu, kas nosedz visas pagājušā perioda emisijas; pretējā gadījumā attiecībā uz uzņēmumu tiek piemērots liels naudas sods. Ja uzņēmums samazina savas emisijas, tas var paturēt neiztērētās kvotas, lai segtu savas turpmākās vajadzības vai pārdotu tās citam uzņēmumam, kuram pietrūkst kvotu.</w:t>
      </w:r>
    </w:p>
    <w:p w14:paraId="13796FED"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34C7937E"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 xml:space="preserve">6. Eiropas Savienībā tiek izdots un pārdots liels daudzums emisijas kvotu, un pieaugošais kvotu </w:t>
      </w:r>
      <w:r w:rsidRPr="00B03B51">
        <w:rPr>
          <w:rFonts w:ascii="Times New Roman" w:hAnsi="Times New Roman" w:cs="Times New Roman"/>
          <w:sz w:val="24"/>
        </w:rPr>
        <w:lastRenderedPageBreak/>
        <w:t>izsoļu skaits, kuras organizē ES dalībvalstu valdības, rada nepieciešamību ieviest skaidrību attiecībā uz šādu kvotu ierakstīšanu statistikā.</w:t>
      </w:r>
      <w:r w:rsidRPr="00B03B51">
        <w:rPr>
          <w:rStyle w:val="FootnoteReference"/>
          <w:rFonts w:ascii="Times New Roman" w:hAnsi="Times New Roman" w:cs="Times New Roman"/>
          <w:noProof/>
          <w:sz w:val="24"/>
        </w:rPr>
        <w:footnoteReference w:id="245"/>
      </w:r>
    </w:p>
    <w:p w14:paraId="67720BAF" w14:textId="77777777" w:rsidR="00443399" w:rsidRPr="00B03B51" w:rsidRDefault="00443399" w:rsidP="00443399">
      <w:pPr>
        <w:jc w:val="both"/>
        <w:rPr>
          <w:rFonts w:ascii="Times New Roman" w:hAnsi="Times New Roman" w:cs="Times New Roman"/>
          <w:noProof/>
          <w:sz w:val="24"/>
        </w:rPr>
      </w:pPr>
    </w:p>
    <w:p w14:paraId="1D371A48" w14:textId="77777777" w:rsidR="00443399" w:rsidRPr="00B03B51" w:rsidRDefault="00443399" w:rsidP="00443399">
      <w:pPr>
        <w:pStyle w:val="Heading3"/>
        <w:tabs>
          <w:tab w:val="left" w:pos="1267"/>
        </w:tabs>
        <w:ind w:left="0" w:firstLine="0"/>
        <w:jc w:val="both"/>
        <w:rPr>
          <w:rFonts w:ascii="Times New Roman" w:hAnsi="Times New Roman" w:cs="Times New Roman"/>
          <w:noProof/>
          <w:sz w:val="24"/>
        </w:rPr>
      </w:pPr>
      <w:bookmarkStart w:id="545" w:name="6.5.2_Treatment_in_national_accounts"/>
      <w:bookmarkStart w:id="546" w:name="_Toc67565191"/>
      <w:bookmarkEnd w:id="545"/>
      <w:r w:rsidRPr="00B03B51">
        <w:rPr>
          <w:rFonts w:ascii="Times New Roman" w:hAnsi="Times New Roman" w:cs="Times New Roman"/>
          <w:sz w:val="24"/>
        </w:rPr>
        <w:t>6.5.2. Traktējums nacionālajos kontos</w:t>
      </w:r>
      <w:bookmarkEnd w:id="546"/>
    </w:p>
    <w:p w14:paraId="65F81099"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78A1B29E"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7. Maksājumi par emisijas kvotām, ko valdības izdod emisiju ierobežošanas un tirdzniecības shēmās, jāieraksta kā citi ražošanas nodokļi (D.29) tikai kvotu nodošanas gadā, nevis tajā gadā, kad kvotas ir pārdotas iekšzemes ekonomikas dalībniekiem. Teorētiski nodokļus ieraksta brīdī, kad rodas faktiskās emisijas, taču ir noslēgta vienošanās, ka emisijas varētu uzkrāt par visu gadu un deklarēt un pārbaudīt tās nākamā gada sākumā. Kopumā valdības kontos neieraksta kvotas, ko izdod bez maksas.</w:t>
      </w:r>
    </w:p>
    <w:p w14:paraId="6E4E4CF5"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4CEB530E"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8. Laika starpība starp skaidras naudas maksājumiem, ko valdība saņem par kvotām, rīkojot izsoles tās teritorijā, un nodokļu ieņēmumu ierakstīšanu nacionālajos kontos, rada finanšu saistības valdībai (kreditoru saistības (AF.89)) un finanšu aktīvu turētājam (debitoru saistības (AF.89)).</w:t>
      </w:r>
    </w:p>
    <w:p w14:paraId="7ADE2A42"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38080E94"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9. Ja nav pieejama precīza informācija par atsevišķām kvotām (tostarp par to sākotnējo pārdošanas cenu, kas katrā izsolē var atšķirties), katrā konkrētajā gadā ierakstāmo nodokļu ieņēmumu līmeni nosaka atbilstīgi turpmākajam modelim.</w:t>
      </w:r>
    </w:p>
    <w:p w14:paraId="28240D1F" w14:textId="77777777" w:rsidR="00443399" w:rsidRPr="00B03B51" w:rsidRDefault="00443399" w:rsidP="00443399">
      <w:pPr>
        <w:jc w:val="both"/>
        <w:rPr>
          <w:rFonts w:ascii="Times New Roman" w:eastAsia="Arial" w:hAnsi="Times New Roman" w:cs="Times New Roman"/>
          <w:i/>
          <w:noProof/>
          <w:sz w:val="24"/>
          <w:szCs w:val="19"/>
        </w:rPr>
      </w:pPr>
    </w:p>
    <w:p w14:paraId="0A183170" w14:textId="77777777" w:rsidR="00443399" w:rsidRPr="00B03B51" w:rsidRDefault="00443399" w:rsidP="00443399">
      <w:pPr>
        <w:ind w:left="284"/>
        <w:jc w:val="both"/>
        <w:rPr>
          <w:rFonts w:ascii="Times New Roman" w:eastAsia="Arial" w:hAnsi="Times New Roman" w:cs="Times New Roman"/>
          <w:i/>
          <w:noProof/>
          <w:sz w:val="24"/>
          <w:szCs w:val="19"/>
        </w:rPr>
      </w:pPr>
      <w:r w:rsidRPr="00B03B51">
        <w:rPr>
          <w:rFonts w:ascii="Times New Roman" w:hAnsi="Times New Roman" w:cs="Times New Roman"/>
          <w:i/>
          <w:sz w:val="24"/>
          <w:szCs w:val="19"/>
        </w:rPr>
        <w:t>Nodokļu ieņēmumi = [Nodoto “izsolīto” kvotu skaits] X [Attiecīgā vidējā kvotu kopuma cena izsolē]</w:t>
      </w:r>
    </w:p>
    <w:p w14:paraId="5D2D3AA0"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2B2EFB05"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10. Vidējo kvotu kopuma izsoles cenu, kas aprēķināta iespējami neilgi pirms kvotu nodošanas datuma, pamatojoties uz datiem (par atbilstošo kreditoru saistību kopumu (AF.89) un spēkā esošo kvotu skaitu, kas izdotas konkrētajā valstī), nosaka, kā norādīts turpmāk.</w:t>
      </w:r>
    </w:p>
    <w:p w14:paraId="4460C210" w14:textId="77777777" w:rsidR="00443399" w:rsidRPr="00B03B51" w:rsidRDefault="00443399" w:rsidP="00443399">
      <w:pPr>
        <w:jc w:val="both"/>
        <w:rPr>
          <w:rFonts w:ascii="Times New Roman" w:hAnsi="Times New Roman" w:cs="Times New Roman"/>
          <w:i/>
          <w:noProof/>
          <w:sz w:val="24"/>
        </w:rPr>
      </w:pPr>
    </w:p>
    <w:p w14:paraId="4F01B215" w14:textId="77777777" w:rsidR="00443399" w:rsidRPr="00B03B51" w:rsidRDefault="00443399" w:rsidP="00443399">
      <w:pPr>
        <w:ind w:left="284"/>
        <w:jc w:val="both"/>
        <w:rPr>
          <w:rFonts w:ascii="Times New Roman" w:hAnsi="Times New Roman" w:cs="Times New Roman"/>
          <w:i/>
          <w:noProof/>
          <w:sz w:val="24"/>
        </w:rPr>
      </w:pPr>
      <w:r w:rsidRPr="00B03B51">
        <w:rPr>
          <w:rFonts w:ascii="Times New Roman" w:hAnsi="Times New Roman" w:cs="Times New Roman"/>
          <w:i/>
          <w:sz w:val="24"/>
        </w:rPr>
        <w:t>Vidējā izsoles cena = [kreditoru saistību kopums (AF.89), kas saistīts ar kvotu pārdošanu], dalīts ar</w:t>
      </w:r>
    </w:p>
    <w:p w14:paraId="0F19BA68" w14:textId="77777777" w:rsidR="00443399" w:rsidRPr="00B03B51" w:rsidRDefault="00443399" w:rsidP="00443399">
      <w:pPr>
        <w:ind w:left="284"/>
        <w:jc w:val="both"/>
        <w:rPr>
          <w:rFonts w:ascii="Times New Roman" w:eastAsia="Arial" w:hAnsi="Times New Roman" w:cs="Times New Roman"/>
          <w:i/>
          <w:noProof/>
          <w:sz w:val="24"/>
          <w:szCs w:val="19"/>
        </w:rPr>
      </w:pPr>
    </w:p>
    <w:p w14:paraId="6910D509" w14:textId="77777777" w:rsidR="00443399" w:rsidRPr="00B03B51" w:rsidRDefault="00443399" w:rsidP="00443399">
      <w:pPr>
        <w:ind w:left="284"/>
        <w:jc w:val="both"/>
        <w:rPr>
          <w:rFonts w:ascii="Times New Roman" w:eastAsia="Arial" w:hAnsi="Times New Roman" w:cs="Times New Roman"/>
          <w:i/>
          <w:noProof/>
          <w:sz w:val="24"/>
          <w:szCs w:val="19"/>
        </w:rPr>
      </w:pPr>
      <w:r w:rsidRPr="00B03B51">
        <w:rPr>
          <w:rFonts w:ascii="Times New Roman" w:hAnsi="Times New Roman" w:cs="Times New Roman"/>
          <w:i/>
          <w:sz w:val="24"/>
          <w:szCs w:val="19"/>
        </w:rPr>
        <w:t>[tādu valstī “izsolīto” izdoto kvotu kopējais daudzums, kuras vēl nav nodotas]</w:t>
      </w:r>
    </w:p>
    <w:p w14:paraId="45C9AF62"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655A18C4"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szCs w:val="12"/>
        </w:rPr>
      </w:pPr>
      <w:r w:rsidRPr="00B03B51">
        <w:rPr>
          <w:rFonts w:ascii="Times New Roman" w:hAnsi="Times New Roman" w:cs="Times New Roman"/>
          <w:sz w:val="24"/>
        </w:rPr>
        <w:t>11. Vai arī, ja sastādītājiem nav iespējams identificēt, kuras no nodotajām kvotām ir piešķirtas bez maksas un kuras piešķirtas izsoles veidā, tirgus cenu joprojām varētu aprēķināt, pamatojoties uz izsolē izdotajām atļaujām, jo tā jebkurā gadījumā ir informācija, kas ir pieejama.</w:t>
      </w:r>
      <w:r w:rsidRPr="00B03B51">
        <w:rPr>
          <w:rStyle w:val="FootnoteReference"/>
          <w:rFonts w:ascii="Times New Roman" w:hAnsi="Times New Roman" w:cs="Times New Roman"/>
          <w:noProof/>
          <w:sz w:val="24"/>
        </w:rPr>
        <w:footnoteReference w:id="246"/>
      </w:r>
      <w:r w:rsidRPr="00B03B51">
        <w:rPr>
          <w:rFonts w:ascii="Times New Roman" w:hAnsi="Times New Roman" w:cs="Times New Roman"/>
          <w:sz w:val="24"/>
          <w:szCs w:val="12"/>
        </w:rPr>
        <w:t xml:space="preserve"> </w:t>
      </w:r>
      <w:r w:rsidRPr="00B03B51">
        <w:rPr>
          <w:rFonts w:ascii="Times New Roman" w:hAnsi="Times New Roman" w:cs="Times New Roman"/>
          <w:sz w:val="24"/>
        </w:rPr>
        <w:t>Tas neko nemainītu ar nosacījumu, ka nodošanas procesā ir iespējams identificēt tikai kopējo “valstī izdoto atļauju” apjomu, t. i., netiktu iekļautas tās, ko vietējie piesārņotāji varētu būt iegādājušies no nerezidentiem turētājiem vai iegādājušies izsolēs, kas tiek rīkotas citviet Eiropas Savienībā.</w:t>
      </w:r>
      <w:r w:rsidRPr="00B03B51">
        <w:rPr>
          <w:rStyle w:val="FootnoteReference"/>
          <w:rFonts w:ascii="Times New Roman" w:hAnsi="Times New Roman" w:cs="Times New Roman"/>
          <w:noProof/>
          <w:sz w:val="24"/>
        </w:rPr>
        <w:footnoteReference w:id="247"/>
      </w:r>
    </w:p>
    <w:p w14:paraId="4C75130F"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426909F4"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lastRenderedPageBreak/>
        <w:t>12. Šajā saistībā sastādītāji kā tuvinājumu varētu izmantot “pirmais iekšā – pirmais ārā” metodi tādā ziņā, ka visas vispirms nodotās atļaujas tiktu uzskatītas kā valsts izsolē iegādātās atļaujas.</w:t>
      </w:r>
      <w:r w:rsidRPr="00B03B51">
        <w:rPr>
          <w:rStyle w:val="FootnoteReference"/>
          <w:rFonts w:ascii="Times New Roman" w:hAnsi="Times New Roman" w:cs="Times New Roman"/>
          <w:noProof/>
          <w:sz w:val="24"/>
        </w:rPr>
        <w:footnoteReference w:id="248"/>
      </w:r>
      <w:r w:rsidRPr="00B03B51">
        <w:rPr>
          <w:rFonts w:ascii="Times New Roman" w:hAnsi="Times New Roman" w:cs="Times New Roman"/>
          <w:sz w:val="24"/>
        </w:rPr>
        <w:t xml:space="preserve"> Tādējādi tiktu samazināts laika intervāls no brīža, kad tiek gūti naudas ieņēmumi no izsolēm, līdz brīdim, kad tiek ierakstīti nodokļu ieņēmumi valdības kontos.</w:t>
      </w:r>
    </w:p>
    <w:p w14:paraId="52AFB7DF"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3A2DC4DF"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13. To nodokļu ieņēmumu summai, kas laika gaitā ierakstīta kontos, jābūt vienādai ar valdības saņemto izsoļu ieņēmumu summu (nodrošinot, ka emisijas kvotas, kas izdotas bez maksas, neietekmē valdības kontus). Ja kļūst skaidrs, ka nodoto kvotu skaits ir ievērojami zemāks par izsolēs izdoto kvotu skaitu (kas attiecīgi nozīmē kreditora saistību kopuma (AF.89) strauju pieaugumu valdībai)</w:t>
      </w:r>
      <w:r w:rsidRPr="00B03B51">
        <w:rPr>
          <w:rStyle w:val="FootnoteReference"/>
          <w:rFonts w:ascii="Times New Roman" w:hAnsi="Times New Roman" w:cs="Times New Roman"/>
          <w:noProof/>
          <w:sz w:val="24"/>
        </w:rPr>
        <w:footnoteReference w:id="249"/>
      </w:r>
      <w:r w:rsidRPr="00B03B51">
        <w:rPr>
          <w:rFonts w:ascii="Times New Roman" w:hAnsi="Times New Roman" w:cs="Times New Roman"/>
          <w:sz w:val="24"/>
        </w:rPr>
        <w:t>, jāveic ieraksti kontā “Citas aktīvu apjoma pārmaiņas”, lai samazinātu kreditora saistību kopumu (AF.89) un tādējādi atjaunotu modeļa līdzsvaru. Šī atkārtotā novērtēšana jāveic katra emisijas kvotu tirdzniecības sistēmas posma beigās.</w:t>
      </w:r>
      <w:r w:rsidRPr="00B03B51">
        <w:rPr>
          <w:rStyle w:val="FootnoteReference"/>
          <w:rFonts w:ascii="Times New Roman" w:hAnsi="Times New Roman" w:cs="Times New Roman"/>
          <w:noProof/>
          <w:sz w:val="24"/>
        </w:rPr>
        <w:footnoteReference w:id="250"/>
      </w:r>
      <w:r w:rsidRPr="00B03B51">
        <w:rPr>
          <w:rFonts w:ascii="Times New Roman" w:hAnsi="Times New Roman" w:cs="Times New Roman"/>
          <w:sz w:val="24"/>
        </w:rPr>
        <w:t xml:space="preserve"> Var arī novērot, ka atlikušā kreditora saistību kopuma (AF.89) vērtība samazinās zem nulles atzīmes. Šādā gadījumā krājums jākoriģē atbilstoši tam, kāds ir faktiski novēroto nodoto atļauju skaita līmenis (pamatojoties uz tirgus cenām un neiekļaujot atļaujas, kas valstī piešķirtas bez maksas), lai ierakstītu valdības nodokļu ieņēmumus atbilstoši tam, kāds ir faktiskais oglekļa emisiju līmenis valstī. Ietekmi, ko rada šis nosacītais nodoklis uz valdības neto aizdevumu/aizņēmumu (B.9), neitralizē, ierakstot pārvedumu no valdības.</w:t>
      </w:r>
    </w:p>
    <w:p w14:paraId="08E67735"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0C77D7B7" w14:textId="5ACCAE8B"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14. Atšķirība starp nodokļa vērtību, kas iepriekš samaksāt</w:t>
      </w:r>
      <w:r w:rsidR="00A06FEB" w:rsidRPr="00B03B51">
        <w:rPr>
          <w:rFonts w:ascii="Times New Roman" w:hAnsi="Times New Roman" w:cs="Times New Roman"/>
          <w:sz w:val="24"/>
        </w:rPr>
        <w:t>a par</w:t>
      </w:r>
      <w:r w:rsidRPr="00B03B51">
        <w:rPr>
          <w:rFonts w:ascii="Times New Roman" w:hAnsi="Times New Roman" w:cs="Times New Roman"/>
          <w:sz w:val="24"/>
        </w:rPr>
        <w:t xml:space="preserve"> atļauju, un atļaujas tirgus vērtību veido tirgojamu līgumu (neražotu nefinanšu aktīvu) turētājam un neietekmē valdības kontus. Kvotu tirdzniecība starp valdības sektoram nepiederošām personām neietekmē valdības kontus, bet vienīgi palīdz valdības izsolēs noteikt tirgus vērtības.</w:t>
      </w:r>
    </w:p>
    <w:p w14:paraId="6C9B4871"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1C370366"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15. Ekonomikas subjektu darījumus ar atļaujām (noteikta daudzuma vienībām (</w:t>
      </w:r>
      <w:r w:rsidRPr="00B03B51">
        <w:rPr>
          <w:rFonts w:ascii="Times New Roman" w:hAnsi="Times New Roman" w:cs="Times New Roman"/>
          <w:i/>
          <w:iCs/>
          <w:sz w:val="24"/>
        </w:rPr>
        <w:t>AAU</w:t>
      </w:r>
      <w:r w:rsidRPr="00B03B51">
        <w:rPr>
          <w:rFonts w:ascii="Times New Roman" w:hAnsi="Times New Roman" w:cs="Times New Roman"/>
          <w:sz w:val="24"/>
        </w:rPr>
        <w:t>)) ieraksta kā neražotu nefinanšu aktīvu pirkšanu un pārdošanu (AN.22, darījumu kods NP) laikā, kad šādi darījumi notiek. Dažkārt valdības dažādu iemeslu dēļ (pārmērīga kvotu sadale valstī, efektīvāka procedūra utt.) var pārdot kādu daudzumu atļauju tiešā veidā citai ES valstij ar kādas apmaiņas platformas starpniecību. Šādā gadījumā valdības ieņēmumus ieraksta brīdī, kad atļauju īpašumtiesības tiek nodotas pircējiem ārvalstī. Var gadīties, ka šādas atļaujas iegādājas rezidenti un nodod valdībai, kas ierosinājusi pārdošanu, taču tādā gadījumā tiek uzskatīts, ka tās ir piešķirtas par brīvu.</w:t>
      </w:r>
    </w:p>
    <w:p w14:paraId="058A2CB6" w14:textId="77777777" w:rsidR="00443399" w:rsidRPr="00B03B51" w:rsidRDefault="00443399" w:rsidP="00443399">
      <w:pPr>
        <w:jc w:val="both"/>
        <w:rPr>
          <w:rFonts w:ascii="Times New Roman" w:eastAsia="Arial" w:hAnsi="Times New Roman" w:cs="Times New Roman"/>
          <w:noProof/>
          <w:sz w:val="24"/>
          <w:szCs w:val="18"/>
        </w:rPr>
      </w:pPr>
    </w:p>
    <w:p w14:paraId="20E1EEA0" w14:textId="77777777" w:rsidR="00443399" w:rsidRPr="00B03B51" w:rsidRDefault="00443399" w:rsidP="00443399">
      <w:pPr>
        <w:pStyle w:val="Heading3"/>
        <w:tabs>
          <w:tab w:val="left" w:pos="1267"/>
        </w:tabs>
        <w:ind w:left="0" w:firstLine="0"/>
        <w:jc w:val="both"/>
        <w:rPr>
          <w:rFonts w:ascii="Times New Roman" w:hAnsi="Times New Roman" w:cs="Times New Roman"/>
          <w:noProof/>
          <w:sz w:val="24"/>
        </w:rPr>
      </w:pPr>
      <w:bookmarkStart w:id="547" w:name="6.5.3_Rationale_of_the_treatment"/>
      <w:bookmarkStart w:id="548" w:name="_Toc67565192"/>
      <w:bookmarkEnd w:id="547"/>
      <w:r w:rsidRPr="00B03B51">
        <w:rPr>
          <w:rFonts w:ascii="Times New Roman" w:hAnsi="Times New Roman" w:cs="Times New Roman"/>
          <w:sz w:val="24"/>
        </w:rPr>
        <w:t>6.5.3. Traktējuma pamatojums</w:t>
      </w:r>
      <w:bookmarkEnd w:id="548"/>
    </w:p>
    <w:p w14:paraId="168C45EC"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1E632163"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16. NKS 2008 17.363. punktā šis jautājums ir pieminēts šādi:</w:t>
      </w:r>
    </w:p>
    <w:p w14:paraId="5C04A4B6" w14:textId="77777777" w:rsidR="00443399" w:rsidRPr="00B03B51" w:rsidRDefault="00443399" w:rsidP="00443399">
      <w:pPr>
        <w:jc w:val="both"/>
        <w:rPr>
          <w:rFonts w:ascii="Times New Roman" w:eastAsia="Arial" w:hAnsi="Times New Roman" w:cs="Times New Roman"/>
          <w:i/>
          <w:noProof/>
          <w:sz w:val="24"/>
          <w:szCs w:val="19"/>
        </w:rPr>
      </w:pPr>
    </w:p>
    <w:p w14:paraId="392FBA7A" w14:textId="77777777" w:rsidR="00443399" w:rsidRPr="00B03B51" w:rsidRDefault="00443399" w:rsidP="00443399">
      <w:pPr>
        <w:ind w:left="284"/>
        <w:jc w:val="both"/>
        <w:rPr>
          <w:rFonts w:ascii="Times New Roman" w:eastAsia="Arial" w:hAnsi="Times New Roman" w:cs="Times New Roman"/>
          <w:i/>
          <w:noProof/>
          <w:sz w:val="24"/>
          <w:szCs w:val="19"/>
        </w:rPr>
      </w:pPr>
      <w:r w:rsidRPr="00B03B51">
        <w:rPr>
          <w:rFonts w:ascii="Times New Roman" w:hAnsi="Times New Roman" w:cs="Times New Roman"/>
          <w:i/>
          <w:iCs/>
          <w:sz w:val="24"/>
          <w:szCs w:val="19"/>
        </w:rPr>
        <w:t>Valdības arvien vairāk pievēršas emisijas kvotu izdošanai kā kopējās emisijas kontroles līdzeklim.</w:t>
      </w:r>
      <w:r w:rsidRPr="00B03B51">
        <w:rPr>
          <w:rFonts w:ascii="Times New Roman" w:hAnsi="Times New Roman" w:cs="Times New Roman"/>
          <w:i/>
          <w:sz w:val="24"/>
          <w:szCs w:val="19"/>
        </w:rPr>
        <w:t xml:space="preserve"> Šīm kvotām nav saistības ar dabas aktīvu izmantošanu (atmosfērai nav noteikta vērtība, tāpēc to nevar uzskatīt par ekonomisko aktīvu), tāpēc tās klasificē kā nodokļus, lai arī atļautā “darbība” rada papildu sekas. Kvotu būtība paredz to, ka tās būs tirgojamas un ka to tirdzniecībai tiks radīts aktīvs tirgus. Līdz ar to kvotas ir aktīvi, un tās jānovērtē atbilstoši tirgus cenai, par kādu tās iespējams pārdot.</w:t>
      </w:r>
    </w:p>
    <w:p w14:paraId="7711A46C"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7ADDB5B9"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 xml:space="preserve">17. Pamatojoties uz </w:t>
      </w:r>
      <w:r w:rsidRPr="00B03B51">
        <w:rPr>
          <w:rFonts w:ascii="Times New Roman" w:hAnsi="Times New Roman" w:cs="Times New Roman"/>
          <w:i/>
          <w:iCs/>
          <w:sz w:val="24"/>
        </w:rPr>
        <w:t>Eurostat</w:t>
      </w:r>
      <w:r w:rsidRPr="00B03B51">
        <w:rPr>
          <w:rFonts w:ascii="Times New Roman" w:hAnsi="Times New Roman" w:cs="Times New Roman"/>
          <w:sz w:val="24"/>
        </w:rPr>
        <w:t xml:space="preserve">/ESAO darba grupas darba rezultātiem 2009.–2010. gadā, </w:t>
      </w:r>
      <w:r w:rsidRPr="00B03B51">
        <w:rPr>
          <w:rFonts w:ascii="Times New Roman" w:hAnsi="Times New Roman" w:cs="Times New Roman"/>
          <w:i/>
          <w:iCs/>
          <w:sz w:val="24"/>
        </w:rPr>
        <w:lastRenderedPageBreak/>
        <w:t>ISWGNA</w:t>
      </w:r>
      <w:r w:rsidRPr="00B03B51">
        <w:rPr>
          <w:rFonts w:ascii="Times New Roman" w:hAnsi="Times New Roman" w:cs="Times New Roman"/>
          <w:sz w:val="24"/>
        </w:rPr>
        <w:t xml:space="preserve"> izstrādāja ieteikumus, kurus Apvienoto Nāciju Organizācijas Statistikas komiteja apstiprināja pēc apspriešanas ar Padomdevēju ekspertu grupu par nacionālajiem kontiem un kuri tika publicēti NKS ziņu izdevumos Nr. 30/31</w:t>
      </w:r>
      <w:r w:rsidRPr="00B03B51">
        <w:rPr>
          <w:rStyle w:val="FootnoteReference"/>
          <w:rFonts w:ascii="Times New Roman" w:hAnsi="Times New Roman" w:cs="Times New Roman"/>
          <w:noProof/>
          <w:sz w:val="24"/>
        </w:rPr>
        <w:footnoteReference w:id="251"/>
      </w:r>
      <w:r w:rsidRPr="00B03B51">
        <w:rPr>
          <w:rFonts w:ascii="Times New Roman" w:hAnsi="Times New Roman" w:cs="Times New Roman"/>
          <w:sz w:val="24"/>
        </w:rPr>
        <w:t xml:space="preserve"> un 32/33</w:t>
      </w:r>
      <w:r w:rsidRPr="00B03B51">
        <w:rPr>
          <w:rStyle w:val="FootnoteReference"/>
          <w:rFonts w:ascii="Times New Roman" w:hAnsi="Times New Roman" w:cs="Times New Roman"/>
          <w:noProof/>
          <w:sz w:val="24"/>
        </w:rPr>
        <w:footnoteReference w:id="252"/>
      </w:r>
      <w:r w:rsidRPr="00B03B51">
        <w:rPr>
          <w:rFonts w:ascii="Times New Roman" w:hAnsi="Times New Roman" w:cs="Times New Roman"/>
          <w:sz w:val="24"/>
        </w:rPr>
        <w:t>. Šis punkts ir sagatavots, pamatojoties uz vispasaules vienošanos par to, kā ierakstāmas emisijas kvotas emisiju ierobežošanas un tirdzniecības shēmās.</w:t>
      </w:r>
    </w:p>
    <w:p w14:paraId="26916907"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3376FDE5"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18. Vispasaules vienošanās pamatprincips paredzēja to, ka maksājumi par emisijas kvotām, kas izdotas emisiju ierobežošanas un tirdzniecības shēmās, jāieraksta kā nodokļi, kas ierakstīti laikā, kad notikusi emisija. Turklāt tiek uzskatīts, ka šādi maksājumi jāieraksta kā citi ražošanas nodokļi.</w:t>
      </w:r>
    </w:p>
    <w:p w14:paraId="76F7178D"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004F6281"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19. NKS izdevumā “Ziņas un piezīmes” [</w:t>
      </w:r>
      <w:r w:rsidRPr="00B03B51">
        <w:rPr>
          <w:rFonts w:ascii="Times New Roman" w:hAnsi="Times New Roman" w:cs="Times New Roman"/>
          <w:i/>
          <w:iCs/>
          <w:sz w:val="24"/>
        </w:rPr>
        <w:t>News and Notes</w:t>
      </w:r>
      <w:r w:rsidRPr="00B03B51">
        <w:rPr>
          <w:rFonts w:ascii="Times New Roman" w:hAnsi="Times New Roman" w:cs="Times New Roman"/>
          <w:sz w:val="24"/>
        </w:rPr>
        <w:t>] sniegts šāds sīks traktējums:</w:t>
      </w:r>
    </w:p>
    <w:p w14:paraId="0082A018" w14:textId="77777777" w:rsidR="00443399" w:rsidRPr="00B03B51" w:rsidRDefault="00443399" w:rsidP="00443399">
      <w:pPr>
        <w:jc w:val="both"/>
        <w:rPr>
          <w:rFonts w:ascii="Times New Roman" w:hAnsi="Times New Roman" w:cs="Times New Roman"/>
          <w:i/>
          <w:noProof/>
          <w:sz w:val="24"/>
        </w:rPr>
      </w:pPr>
    </w:p>
    <w:p w14:paraId="2E447929" w14:textId="35999393" w:rsidR="00443399" w:rsidRPr="00B03B51" w:rsidRDefault="00443399" w:rsidP="00443399">
      <w:pPr>
        <w:ind w:left="284"/>
        <w:jc w:val="both"/>
        <w:rPr>
          <w:rFonts w:ascii="Times New Roman" w:hAnsi="Times New Roman" w:cs="Times New Roman"/>
          <w:i/>
          <w:noProof/>
          <w:sz w:val="24"/>
        </w:rPr>
      </w:pPr>
      <w:r w:rsidRPr="00B03B51">
        <w:rPr>
          <w:rFonts w:ascii="Times New Roman" w:hAnsi="Times New Roman" w:cs="Times New Roman"/>
          <w:i/>
          <w:sz w:val="24"/>
        </w:rPr>
        <w:t>Maksājumus par emisiju kvotām, ko valdības izdod emisijas ierobežojumu un tirdzniecības shēmās, jāreģistrē laikā, kad notiek emisija, kā nodokļi, jo īpaši kā citi ražošanas nodokļi (D.29), atbilstoši uzkrāšanas principam. Laika starpība starp skaidras naudas maksājumiem, ko valdība saņem par kvotām, un laiku, kad notiek emisija, rada finanšu saistības (kreditoru saistības) valdībai un finanšu aktīvu (debitoru saistības) turētājam. Atšķirība starp nodokļa vērtību, kas iepriekš samaksāt</w:t>
      </w:r>
      <w:r w:rsidR="00402233" w:rsidRPr="00B03B51">
        <w:rPr>
          <w:rFonts w:ascii="Times New Roman" w:hAnsi="Times New Roman" w:cs="Times New Roman"/>
          <w:i/>
          <w:sz w:val="24"/>
        </w:rPr>
        <w:t>a par</w:t>
      </w:r>
      <w:r w:rsidRPr="00B03B51">
        <w:rPr>
          <w:rFonts w:ascii="Times New Roman" w:hAnsi="Times New Roman" w:cs="Times New Roman"/>
          <w:i/>
          <w:sz w:val="24"/>
        </w:rPr>
        <w:t xml:space="preserve"> atļauju, un atļaujas tirgus vērtību veido tirgojamu līgumu (neražotu nefinanšu aktīvu) turētājam. Neražota nefinanšu aktīva izveide un izzušana tiek reģistrēta kā citas aktīvu apjoma pārmaiņas.</w:t>
      </w:r>
    </w:p>
    <w:p w14:paraId="13E8E3D7"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687961E8"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20. Lai arī nodokļu ieņēmumi, ievērojot uzkrāšanas principus, jāieraksta, kad notiek ekonomiskā darbība, kurā tiek radīts piesārņojums, vispasaules vienošanās paredz vienkāršojumu, kas novērš iespējamos sarežģījumus, kuri saistīti ar ieņēmumu plūsmām, kad pastāv laika nobīde starp piesārņojuma laiku un nodošanas laiku:</w:t>
      </w:r>
    </w:p>
    <w:p w14:paraId="13ADE0F8" w14:textId="77777777" w:rsidR="00443399" w:rsidRPr="00B03B51" w:rsidRDefault="00443399" w:rsidP="00443399">
      <w:pPr>
        <w:jc w:val="both"/>
        <w:rPr>
          <w:rFonts w:ascii="Times New Roman" w:hAnsi="Times New Roman" w:cs="Times New Roman"/>
          <w:i/>
          <w:noProof/>
          <w:sz w:val="24"/>
        </w:rPr>
      </w:pPr>
    </w:p>
    <w:p w14:paraId="109C3BD9" w14:textId="77777777" w:rsidR="00443399" w:rsidRPr="00B03B51" w:rsidRDefault="00443399" w:rsidP="00443399">
      <w:pPr>
        <w:ind w:left="284"/>
        <w:jc w:val="both"/>
        <w:rPr>
          <w:rFonts w:ascii="Times New Roman" w:hAnsi="Times New Roman" w:cs="Times New Roman"/>
          <w:i/>
          <w:noProof/>
          <w:sz w:val="24"/>
        </w:rPr>
      </w:pPr>
      <w:r w:rsidRPr="00B03B51">
        <w:rPr>
          <w:rFonts w:ascii="Times New Roman" w:hAnsi="Times New Roman" w:cs="Times New Roman"/>
          <w:i/>
          <w:sz w:val="24"/>
        </w:rPr>
        <w:t>Tomēr vienkāršības labad praksē var pieņemt, ka atļauja tiek nodota tajā pašā laikā, kad notiek emisija, ciktāl starp šiem abiem notikumiem nav ievērojama laika nobīde un šī nobīde ir nemainīga.</w:t>
      </w:r>
    </w:p>
    <w:p w14:paraId="54B0BEAF"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1B902B06"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21. ES Emisiju tirdzniecības sistēmā kvotas nodod aptuveni četrus mēnešus ilgā laika posmā tā gada beigās, uz kuru tās attiecas, un līdz ar to laika nobīde ir salīdzinoši īsa. Vienlaikus, neesot pieejamai novatoriskai piesārņojuma samazināšanas tehnoloģijai, atšķirība starp emisiju vienā gadā un emisiju nākamajā gadā var nebūt tik ievērojama, un līdz ar to kā atbilstošu emisijas tuvinājumu attiecīgajā gadā parastos apstākļos (t. i., uzņēmējdarbības cikls netiek būtiski ietekmēts) var pieņemt jebkurā no šiem gadiem nodotās kvotas. Tāpēc, lai nodrošinātu saskaņotu ierakstīšanu visās valstīs, šajā rokasgrāmatā kā ierakstīšanas laiku ierosināts izmantot nodošanas datumu.</w:t>
      </w:r>
    </w:p>
    <w:p w14:paraId="04CF4ACB"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1F74F769"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22. Atbilstoši teorijai ierakstīšana ir jāpiemēro individuālu atļauju līmenī. Tomēr ir skaidrs, ka informācija, kas nepieciešama šādam traktējumam, ir pieejama ļoti reti vai nav pieejama vispār; tas jo īpaši attiecas uz starptautiskām shēmām, kurās kvotas iespējams brīvi tirgot pāri valstu robežām un tās tiek nodotas citā valstī, nevis valstī, kas tās izdevusi.</w:t>
      </w:r>
      <w:r w:rsidRPr="00B03B51">
        <w:rPr>
          <w:rStyle w:val="FootnoteReference"/>
          <w:rFonts w:ascii="Times New Roman" w:hAnsi="Times New Roman" w:cs="Times New Roman"/>
          <w:noProof/>
          <w:sz w:val="24"/>
        </w:rPr>
        <w:footnoteReference w:id="253"/>
      </w:r>
      <w:r w:rsidRPr="00B03B51">
        <w:rPr>
          <w:rFonts w:ascii="Times New Roman" w:hAnsi="Times New Roman" w:cs="Times New Roman"/>
          <w:sz w:val="24"/>
        </w:rPr>
        <w:t xml:space="preserve"> Tajā pašā laikā saistībā ar pārrobežu plūsmu mērīšanu ir iespējami sarežģījumi. Kā norādīts NKS izdevumā “Ziņas un </w:t>
      </w:r>
      <w:r w:rsidRPr="00B03B51">
        <w:rPr>
          <w:rFonts w:ascii="Times New Roman" w:hAnsi="Times New Roman" w:cs="Times New Roman"/>
          <w:sz w:val="24"/>
        </w:rPr>
        <w:lastRenderedPageBreak/>
        <w:t>piezīmes”, šī iemesla dēļ starptautiskajā līgumā tika noteikti divi praktiski vienkāršojumi:</w:t>
      </w:r>
    </w:p>
    <w:p w14:paraId="65442A52" w14:textId="77777777" w:rsidR="00443399" w:rsidRPr="00B03B51" w:rsidRDefault="00443399" w:rsidP="00443399">
      <w:pPr>
        <w:jc w:val="both"/>
        <w:rPr>
          <w:rFonts w:ascii="Times New Roman" w:hAnsi="Times New Roman" w:cs="Times New Roman"/>
          <w:i/>
          <w:noProof/>
          <w:sz w:val="24"/>
        </w:rPr>
      </w:pPr>
    </w:p>
    <w:p w14:paraId="031867F4" w14:textId="77777777" w:rsidR="00443399" w:rsidRPr="00B03B51" w:rsidRDefault="00443399" w:rsidP="00443399">
      <w:pPr>
        <w:ind w:left="284"/>
        <w:jc w:val="both"/>
        <w:rPr>
          <w:rFonts w:ascii="Times New Roman" w:hAnsi="Times New Roman" w:cs="Times New Roman"/>
          <w:i/>
          <w:noProof/>
          <w:sz w:val="24"/>
        </w:rPr>
      </w:pPr>
      <w:r w:rsidRPr="00B03B51">
        <w:rPr>
          <w:rFonts w:ascii="Times New Roman" w:hAnsi="Times New Roman" w:cs="Times New Roman"/>
          <w:i/>
          <w:sz w:val="24"/>
        </w:rPr>
        <w:t>Emisijas kvotu maksājumu uzkrāšanas pieejas pamatā jāizmanto pieņēmums, ka kvotas, ko izdevusi konkrētā valsts, visticamāk, arī tiks nodotas šajā valstī.</w:t>
      </w:r>
    </w:p>
    <w:p w14:paraId="5A58BF26" w14:textId="77777777" w:rsidR="00443399" w:rsidRPr="00B03B51" w:rsidRDefault="00443399" w:rsidP="00443399">
      <w:pPr>
        <w:ind w:left="284"/>
        <w:jc w:val="both"/>
        <w:rPr>
          <w:rFonts w:ascii="Times New Roman" w:hAnsi="Times New Roman" w:cs="Times New Roman"/>
          <w:i/>
          <w:noProof/>
          <w:sz w:val="24"/>
        </w:rPr>
      </w:pPr>
    </w:p>
    <w:p w14:paraId="19AA07E6" w14:textId="77777777" w:rsidR="00443399" w:rsidRPr="00B03B51" w:rsidRDefault="00443399" w:rsidP="00443399">
      <w:pPr>
        <w:ind w:left="284"/>
        <w:jc w:val="both"/>
        <w:rPr>
          <w:rFonts w:ascii="Times New Roman" w:hAnsi="Times New Roman" w:cs="Times New Roman"/>
          <w:i/>
          <w:noProof/>
          <w:sz w:val="24"/>
        </w:rPr>
      </w:pPr>
      <w:r w:rsidRPr="00B03B51">
        <w:rPr>
          <w:rFonts w:ascii="Times New Roman" w:hAnsi="Times New Roman" w:cs="Times New Roman"/>
          <w:i/>
          <w:sz w:val="24"/>
        </w:rPr>
        <w:t>Vienkāršākajā gadījumā, proti, valsts shēmas gadījumā, nodokļi ir jāuzkrāj atbilstīgi tam, kā norādīts turpmāk. Nodoklis, kas reģistrēts attiecībā uz jebkuru atļauju, kas nodota attiecībā uz emisiju, kura notikusi laika posmā t, ir vienāds ar summu, kas iegūta, attiecīgo citu kreditora saistību kopuma summu dalot ar izdoto aktīvo (un apritē esošo) kvotu kopējo skaitu laikā t. Teorētiski no attiecīgajām citām kreditoru saistībām jāizslēdz visas kvotas, kas tika nodotas pēc laika t attiecībā uz emisijām, kas notikušas pirms laika t. Attiecīgi šīs kvotas jāizslēdz arī no laikā t aktīvo (un apritē esošo) kvotu kopējā skaita.</w:t>
      </w:r>
    </w:p>
    <w:p w14:paraId="2AFDCD09" w14:textId="77777777" w:rsidR="00443399" w:rsidRPr="00B03B51" w:rsidRDefault="00443399" w:rsidP="00443399">
      <w:pPr>
        <w:jc w:val="both"/>
        <w:rPr>
          <w:rFonts w:ascii="Times New Roman" w:hAnsi="Times New Roman" w:cs="Times New Roman"/>
          <w:i/>
          <w:noProof/>
          <w:sz w:val="24"/>
        </w:rPr>
      </w:pPr>
    </w:p>
    <w:p w14:paraId="65AF9AE0"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23. Līdz ar to šajā nodaļā izmantotā pieeja, kas izklāstīta iepriekš, ir izstrādāta, pamatojoties uz šiem vienkāršojumiem. Principā saistībā ar emisijas kvotām nav tādu pārrobežu plūsmu, kas būtu jāieraksta attiecībā uz ražošanas nodokļiem. Tas būtu tā, it kā kvotas būtu izdotas bez maksas valstī, kur tās tiek nodotas, jo valdība nav saņēmusi ieņēmumus no izsoles, kas tika paturēti izdevēja valstī. Šajā posmā nav paredzēts mehānisms ieņēmumu pārdalīšanai.</w:t>
      </w:r>
      <w:r w:rsidRPr="00B03B51">
        <w:rPr>
          <w:rStyle w:val="FootnoteReference"/>
          <w:rFonts w:ascii="Times New Roman" w:hAnsi="Times New Roman" w:cs="Times New Roman"/>
          <w:noProof/>
          <w:sz w:val="24"/>
        </w:rPr>
        <w:footnoteReference w:id="254"/>
      </w:r>
      <w:r w:rsidRPr="00B03B51">
        <w:rPr>
          <w:rFonts w:ascii="Times New Roman" w:hAnsi="Times New Roman" w:cs="Times New Roman"/>
          <w:sz w:val="24"/>
        </w:rPr>
        <w:t xml:space="preserve"> Tas atbilst arī principam, kas izklāstīts 2.2. nodaļā (Nodokļu un sociālo iemaksu ierakstīšana) un paredz, ka nodokļu ietekmei uz vispārējās valdības neto aizdevumu/aizņēmumu samērīgā laika posmā jāatbilst faktiski saņemtajām atbilstošajām naudas summām.</w:t>
      </w:r>
    </w:p>
    <w:p w14:paraId="1CD55D97"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40743802"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24. Kā atzīts NKS izdevumā “Ziņas un piezīmes”, starptautisku shēmu gadījumā iespējams, ka laika gaitā izdoto kvotu skaits jebkurā valstī var atšķirties no šajā valstī nodoto kvotu skaita. Ierosinātas divas pieejas šā jautājuma risināšanai.</w:t>
      </w:r>
    </w:p>
    <w:p w14:paraId="45956983"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0FFD96B1" w14:textId="77777777" w:rsidR="00443399" w:rsidRPr="00B03B51" w:rsidRDefault="00443399" w:rsidP="009130CD">
      <w:pPr>
        <w:pStyle w:val="BodyText"/>
        <w:numPr>
          <w:ilvl w:val="1"/>
          <w:numId w:val="45"/>
        </w:numPr>
        <w:spacing w:before="0"/>
        <w:ind w:left="426" w:hanging="425"/>
        <w:jc w:val="both"/>
        <w:rPr>
          <w:rFonts w:ascii="Times New Roman" w:hAnsi="Times New Roman" w:cs="Times New Roman"/>
          <w:noProof/>
          <w:sz w:val="24"/>
        </w:rPr>
      </w:pPr>
      <w:r w:rsidRPr="00B03B51">
        <w:rPr>
          <w:rFonts w:ascii="Times New Roman" w:hAnsi="Times New Roman" w:cs="Times New Roman"/>
          <w:sz w:val="24"/>
        </w:rPr>
        <w:t>Valstīs, kurās izdoto kvotu skaits pārsniedz nodoto kvotu skaitu, praksē vienkāršāk ir neņemt vērā šīs plūsmas un tā vietā kvotas norakstīt (atļaujas termiņa beigās) izdevējas valsts kontos kā citas aktīvu apjoma pārmaiņas (K.5) tā, it kā tās nebūtu izmantotas.</w:t>
      </w:r>
    </w:p>
    <w:p w14:paraId="0E8ABE73" w14:textId="77777777" w:rsidR="00443399" w:rsidRPr="00B03B51" w:rsidRDefault="00443399" w:rsidP="009130CD">
      <w:pPr>
        <w:pStyle w:val="BodyText"/>
        <w:numPr>
          <w:ilvl w:val="1"/>
          <w:numId w:val="45"/>
        </w:numPr>
        <w:spacing w:before="0"/>
        <w:ind w:left="426" w:hanging="425"/>
        <w:jc w:val="both"/>
        <w:rPr>
          <w:rFonts w:ascii="Times New Roman" w:hAnsi="Times New Roman" w:cs="Times New Roman"/>
          <w:noProof/>
          <w:sz w:val="24"/>
        </w:rPr>
      </w:pPr>
      <w:r w:rsidRPr="00B03B51">
        <w:rPr>
          <w:rFonts w:ascii="Times New Roman" w:hAnsi="Times New Roman" w:cs="Times New Roman"/>
          <w:sz w:val="24"/>
        </w:rPr>
        <w:t>Attiecībā uz valstīm, kurās nodots vairāk kvotu nekā izdots, saņemtie maksājumi pārsniedz ierakstītos nodokļus. Atkāpjoties no jautājuma par ražošanas nodokļu plūsmu ierakstīšanu no pārējās pasaules, to saņemto maksājumu apmērs, kas pārsniedz ierakstītos nodokļus, saglabājas, jo ne visas kvotas tiks nodotas (jo īpaši tās, kuras nopirkušas vides aizstāvju grupas). Turklāt valstīs, kuras izdod ievērojami lielāku kvotu skaitu, nekā šajā valstī paredzēts nodot, pastāv labs pamats uzskatīt, ka atšķirība starp saņemtajiem maksājumiem un ierakstītajiem nodokļiem ir neprognozēts guvums, kas radniecīgs citām aktīvu apjoma pārmaiņām, pat ja teorētiski tas jāieraksta kā no pārējās pasaules gūts ražošanas nodoklis.</w:t>
      </w:r>
    </w:p>
    <w:p w14:paraId="7BB8F374"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01609365"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 xml:space="preserve">25. Lai nodrošinātu, ka šī pārvērtēšana tiek veikta pienācīgi, tā ir jāveic katra ES Emisijas tirdzniecības shēmas “posma” pēdējā gada beigās, kas ir brīdis, kad tiek izstrādāta jauna emisijas kvotu sadale un kad var arī stāties spēkā jauni noteikumi. Ja kādā gadā citu kreditoru saistību (AF.89) kopuma vērtība kontā samazinās zem nulles atzīmes, būs jāpārskata arī modelis, lai nodrošinātu, ka nodokļu ieņēmumi attiecīgajā laika posmā tuvinātos izsoļu ieņēmumiem. Attiecībā uz to ieņēmumu ierakstīšanu katru ceturksni, kuri gūti no emisiju kvotām, ir ieteicams pārbaudīt, vai ir pieejami dati par ceturkšņa emisiju, lai pēc tam, pamatojoties uz šiem ceturkšņa datiem, veiktu iepriekš izklāstītos ikgadējos aprēķinus. Ja šādi dati nav pieejami, var izmantot atbilstošu minēto ceturkšņa datu tuvinājumu, piemēram, ceturkšņa bruto vērtību, kāda pievienota ekonomikai, ja var uzskatīt, ka tam ir kāda saistība ar </w:t>
      </w:r>
      <w:r w:rsidRPr="00B03B51">
        <w:rPr>
          <w:rFonts w:ascii="Times New Roman" w:hAnsi="Times New Roman" w:cs="Times New Roman"/>
          <w:sz w:val="24"/>
        </w:rPr>
        <w:lastRenderedPageBreak/>
        <w:t>emisijām.</w:t>
      </w:r>
    </w:p>
    <w:p w14:paraId="71032CAE" w14:textId="77777777" w:rsidR="00443399" w:rsidRPr="00B03B51" w:rsidRDefault="00443399" w:rsidP="00443399">
      <w:pPr>
        <w:jc w:val="both"/>
        <w:rPr>
          <w:rFonts w:ascii="Times New Roman" w:eastAsia="Arial" w:hAnsi="Times New Roman" w:cs="Times New Roman"/>
          <w:noProof/>
          <w:sz w:val="24"/>
          <w:szCs w:val="13"/>
        </w:rPr>
      </w:pPr>
    </w:p>
    <w:p w14:paraId="21D608BF"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 xml:space="preserve">26. Noteikta daudzuma vienību ierakstīšanu statistikā apgrūtina fakts, ka sākotnēji tās tiek piešķirtas valstīm bez maksas, tās nav jānodod, kad tiek veikta emisija un tās tiek piešķirtas uz vairākiem gadiem. Tomēr dažas valdības (un arī dažas valdības sektoram nepiederošas vienības) ir gatavas pirkt </w:t>
      </w:r>
      <w:r w:rsidRPr="00B03B51">
        <w:rPr>
          <w:rFonts w:ascii="Times New Roman" w:hAnsi="Times New Roman" w:cs="Times New Roman"/>
          <w:i/>
          <w:iCs/>
          <w:sz w:val="24"/>
        </w:rPr>
        <w:t>AAU</w:t>
      </w:r>
      <w:r w:rsidRPr="00B03B51">
        <w:rPr>
          <w:rFonts w:ascii="Times New Roman" w:hAnsi="Times New Roman" w:cs="Times New Roman"/>
          <w:sz w:val="24"/>
        </w:rPr>
        <w:t xml:space="preserve"> no citām valdībām, un tāpēc ir jāieraksta darījumi. Pieņemot, ka </w:t>
      </w:r>
      <w:r w:rsidRPr="00B03B51">
        <w:rPr>
          <w:rFonts w:ascii="Times New Roman" w:hAnsi="Times New Roman" w:cs="Times New Roman"/>
          <w:i/>
          <w:iCs/>
          <w:sz w:val="24"/>
        </w:rPr>
        <w:t>AAU</w:t>
      </w:r>
      <w:r w:rsidRPr="00B03B51">
        <w:rPr>
          <w:rFonts w:ascii="Times New Roman" w:hAnsi="Times New Roman" w:cs="Times New Roman"/>
          <w:sz w:val="24"/>
        </w:rPr>
        <w:t xml:space="preserve"> ir neražots nefinanšu aktīvs, un analoģiski iepriekš izklāstītajam emisijas kvotu tirgus cenas pārmaiņu traktējumam šādi darījumi jāieraksta kā neražoto nefinanšu aktīvu pirkšana un pārdošana. Šādu </w:t>
      </w:r>
      <w:r w:rsidRPr="00B03B51">
        <w:rPr>
          <w:rFonts w:ascii="Times New Roman" w:hAnsi="Times New Roman" w:cs="Times New Roman"/>
          <w:i/>
          <w:iCs/>
          <w:sz w:val="24"/>
        </w:rPr>
        <w:t>AAU</w:t>
      </w:r>
      <w:r w:rsidRPr="00B03B51">
        <w:rPr>
          <w:rFonts w:ascii="Times New Roman" w:hAnsi="Times New Roman" w:cs="Times New Roman"/>
          <w:sz w:val="24"/>
        </w:rPr>
        <w:t xml:space="preserve"> darbības termiņa beigās tie ir jāsvītro no nacionālo kontu bilancēm, kad tiek sasniegts līgumā noteiktais datums, izmantojot citas pārmaiņas aktīvu apjomā.</w:t>
      </w:r>
    </w:p>
    <w:p w14:paraId="2B1A5E3B" w14:textId="77777777" w:rsidR="00443399" w:rsidRPr="00B03B51" w:rsidRDefault="00443399" w:rsidP="00443399">
      <w:pPr>
        <w:jc w:val="both"/>
        <w:rPr>
          <w:rFonts w:ascii="Times New Roman" w:eastAsia="Arial" w:hAnsi="Times New Roman" w:cs="Times New Roman"/>
          <w:noProof/>
          <w:sz w:val="24"/>
          <w:szCs w:val="18"/>
        </w:rPr>
      </w:pPr>
    </w:p>
    <w:p w14:paraId="2D9DC4EB" w14:textId="1025181A" w:rsidR="00443399" w:rsidRPr="00B03B51" w:rsidRDefault="00443399" w:rsidP="00443399">
      <w:pPr>
        <w:pStyle w:val="Heading3"/>
        <w:ind w:left="0" w:firstLine="0"/>
        <w:jc w:val="both"/>
        <w:rPr>
          <w:rFonts w:ascii="Times New Roman" w:hAnsi="Times New Roman" w:cs="Times New Roman"/>
          <w:noProof/>
          <w:sz w:val="24"/>
        </w:rPr>
      </w:pPr>
      <w:bookmarkStart w:id="549" w:name="6.5.3_Accounting_examples"/>
      <w:bookmarkStart w:id="550" w:name="_Toc67565193"/>
      <w:bookmarkEnd w:id="549"/>
      <w:r w:rsidRPr="00B03B51">
        <w:rPr>
          <w:rFonts w:ascii="Times New Roman" w:hAnsi="Times New Roman" w:cs="Times New Roman"/>
          <w:sz w:val="24"/>
        </w:rPr>
        <w:t>6.5.</w:t>
      </w:r>
      <w:r w:rsidR="004038EC">
        <w:rPr>
          <w:rFonts w:ascii="Times New Roman" w:hAnsi="Times New Roman" w:cs="Times New Roman"/>
          <w:sz w:val="24"/>
        </w:rPr>
        <w:t>4</w:t>
      </w:r>
      <w:r w:rsidRPr="00B03B51">
        <w:rPr>
          <w:rFonts w:ascii="Times New Roman" w:hAnsi="Times New Roman" w:cs="Times New Roman"/>
          <w:sz w:val="24"/>
        </w:rPr>
        <w:t>. Uzskaites piemēri</w:t>
      </w:r>
      <w:bookmarkEnd w:id="550"/>
    </w:p>
    <w:p w14:paraId="189829CA" w14:textId="77777777" w:rsidR="00443399" w:rsidRPr="00B03B51" w:rsidRDefault="00443399" w:rsidP="00443399">
      <w:pPr>
        <w:tabs>
          <w:tab w:val="left" w:pos="843"/>
        </w:tabs>
        <w:jc w:val="both"/>
        <w:rPr>
          <w:rFonts w:ascii="Times New Roman" w:hAnsi="Times New Roman" w:cs="Times New Roman"/>
          <w:b/>
          <w:noProof/>
          <w:sz w:val="24"/>
        </w:rPr>
      </w:pPr>
    </w:p>
    <w:p w14:paraId="2087E9A0" w14:textId="77777777" w:rsidR="00443399" w:rsidRPr="00B03B51" w:rsidRDefault="00443399" w:rsidP="00443399">
      <w:pPr>
        <w:tabs>
          <w:tab w:val="left" w:pos="843"/>
        </w:tabs>
        <w:jc w:val="both"/>
        <w:rPr>
          <w:rFonts w:ascii="Times New Roman" w:hAnsi="Times New Roman" w:cs="Times New Roman"/>
          <w:b/>
          <w:noProof/>
          <w:sz w:val="24"/>
        </w:rPr>
      </w:pPr>
      <w:r w:rsidRPr="00B03B51">
        <w:rPr>
          <w:rFonts w:ascii="Times New Roman" w:hAnsi="Times New Roman" w:cs="Times New Roman"/>
          <w:b/>
          <w:sz w:val="24"/>
        </w:rPr>
        <w:t>1. Izsolīto emisijas kvotu ietekme</w:t>
      </w:r>
    </w:p>
    <w:p w14:paraId="191A5E4B" w14:textId="77777777" w:rsidR="00443399" w:rsidRPr="00B03B51" w:rsidRDefault="00443399" w:rsidP="00443399">
      <w:pPr>
        <w:tabs>
          <w:tab w:val="left" w:pos="843"/>
        </w:tabs>
        <w:jc w:val="both"/>
        <w:rPr>
          <w:rFonts w:ascii="Times New Roman" w:hAnsi="Times New Roman" w:cs="Times New Roman"/>
          <w:b/>
          <w:noProof/>
          <w:sz w:val="24"/>
        </w:rPr>
      </w:pPr>
    </w:p>
    <w:p w14:paraId="23A01B72" w14:textId="77777777" w:rsidR="00443399" w:rsidRPr="00B03B51" w:rsidRDefault="00443399" w:rsidP="009130CD">
      <w:pPr>
        <w:numPr>
          <w:ilvl w:val="1"/>
          <w:numId w:val="44"/>
        </w:numPr>
        <w:ind w:left="426" w:hanging="425"/>
        <w:jc w:val="both"/>
        <w:rPr>
          <w:rFonts w:ascii="Times New Roman" w:hAnsi="Times New Roman" w:cs="Times New Roman"/>
          <w:b/>
          <w:noProof/>
          <w:sz w:val="24"/>
        </w:rPr>
      </w:pPr>
      <w:r w:rsidRPr="00B03B51">
        <w:rPr>
          <w:rFonts w:ascii="Times New Roman" w:hAnsi="Times New Roman" w:cs="Times New Roman"/>
          <w:b/>
          <w:sz w:val="24"/>
        </w:rPr>
        <w:t>Valdība izsola emisijas kvotas, kuras tiek nodotas turpmāko divu gadu laikā</w:t>
      </w:r>
    </w:p>
    <w:p w14:paraId="5049A0BB" w14:textId="77777777" w:rsidR="00443399" w:rsidRPr="00B03B51" w:rsidRDefault="00443399" w:rsidP="00443399">
      <w:pPr>
        <w:pStyle w:val="BodyText"/>
        <w:tabs>
          <w:tab w:val="left" w:pos="1411"/>
        </w:tabs>
        <w:spacing w:before="0"/>
        <w:ind w:left="0" w:firstLine="0"/>
        <w:jc w:val="both"/>
        <w:rPr>
          <w:rFonts w:ascii="Times New Roman" w:hAnsi="Times New Roman" w:cs="Times New Roman"/>
          <w:noProof/>
          <w:sz w:val="24"/>
        </w:rPr>
      </w:pPr>
    </w:p>
    <w:p w14:paraId="33A8083E" w14:textId="77777777" w:rsidR="00443399" w:rsidRPr="00B03B51" w:rsidRDefault="00443399" w:rsidP="009130CD">
      <w:pPr>
        <w:pStyle w:val="BodyText"/>
        <w:numPr>
          <w:ilvl w:val="2"/>
          <w:numId w:val="44"/>
        </w:numPr>
        <w:spacing w:before="0"/>
        <w:ind w:left="851" w:hanging="425"/>
        <w:jc w:val="both"/>
        <w:rPr>
          <w:rFonts w:ascii="Times New Roman" w:hAnsi="Times New Roman" w:cs="Times New Roman"/>
          <w:noProof/>
          <w:sz w:val="24"/>
        </w:rPr>
      </w:pPr>
      <w:r w:rsidRPr="00B03B51">
        <w:rPr>
          <w:rFonts w:ascii="Times New Roman" w:hAnsi="Times New Roman" w:cs="Times New Roman"/>
          <w:sz w:val="24"/>
        </w:rPr>
        <w:t xml:space="preserve">Kvotu dominējošā tirgus cena </w:t>
      </w:r>
      <w:r w:rsidRPr="00B03B51">
        <w:rPr>
          <w:rFonts w:ascii="Times New Roman" w:hAnsi="Times New Roman" w:cs="Times New Roman"/>
          <w:i/>
          <w:iCs/>
          <w:sz w:val="24"/>
        </w:rPr>
        <w:t>t</w:t>
      </w:r>
      <w:r w:rsidRPr="00B03B51">
        <w:rPr>
          <w:rFonts w:ascii="Times New Roman" w:hAnsi="Times New Roman" w:cs="Times New Roman"/>
          <w:sz w:val="24"/>
        </w:rPr>
        <w:t> gadā ir viena naudas vienība par katru atļauju.</w:t>
      </w:r>
    </w:p>
    <w:p w14:paraId="5050F1FD" w14:textId="77777777" w:rsidR="00443399" w:rsidRPr="00B03B51" w:rsidRDefault="00443399" w:rsidP="009130CD">
      <w:pPr>
        <w:pStyle w:val="BodyText"/>
        <w:numPr>
          <w:ilvl w:val="2"/>
          <w:numId w:val="44"/>
        </w:numPr>
        <w:spacing w:before="0"/>
        <w:ind w:left="851" w:hanging="425"/>
        <w:jc w:val="both"/>
        <w:rPr>
          <w:rFonts w:ascii="Times New Roman" w:hAnsi="Times New Roman" w:cs="Times New Roman"/>
          <w:noProof/>
          <w:sz w:val="24"/>
        </w:rPr>
      </w:pPr>
      <w:r w:rsidRPr="00B03B51">
        <w:rPr>
          <w:rFonts w:ascii="Times New Roman" w:hAnsi="Times New Roman" w:cs="Times New Roman"/>
          <w:sz w:val="24"/>
        </w:rPr>
        <w:t>Vienkāršošanas nolūkā uzņēmumiem nav “bezmaksas” vai importēto atļauju.</w:t>
      </w:r>
    </w:p>
    <w:p w14:paraId="4C604AFB" w14:textId="77777777" w:rsidR="00443399" w:rsidRPr="00B03B51" w:rsidRDefault="00443399" w:rsidP="009130CD">
      <w:pPr>
        <w:pStyle w:val="BodyText"/>
        <w:numPr>
          <w:ilvl w:val="2"/>
          <w:numId w:val="44"/>
        </w:numPr>
        <w:spacing w:before="0"/>
        <w:ind w:left="851" w:hanging="425"/>
        <w:jc w:val="both"/>
        <w:rPr>
          <w:rFonts w:ascii="Times New Roman" w:hAnsi="Times New Roman" w:cs="Times New Roman"/>
          <w:noProof/>
          <w:sz w:val="24"/>
        </w:rPr>
      </w:pPr>
      <w:r w:rsidRPr="00B03B51">
        <w:rPr>
          <w:rFonts w:ascii="Times New Roman" w:hAnsi="Times New Roman" w:cs="Times New Roman"/>
          <w:sz w:val="24"/>
        </w:rPr>
        <w:t xml:space="preserve">Valdība </w:t>
      </w:r>
      <w:r w:rsidRPr="00B03B51">
        <w:rPr>
          <w:rFonts w:ascii="Times New Roman" w:hAnsi="Times New Roman" w:cs="Times New Roman"/>
          <w:i/>
          <w:iCs/>
          <w:sz w:val="24"/>
        </w:rPr>
        <w:t>t</w:t>
      </w:r>
      <w:r w:rsidRPr="00B03B51">
        <w:rPr>
          <w:rFonts w:ascii="Times New Roman" w:hAnsi="Times New Roman" w:cs="Times New Roman"/>
          <w:sz w:val="24"/>
        </w:rPr>
        <w:t> gadā izsola arī 1000 kvotas par 1000 naudas vienībām.</w:t>
      </w:r>
    </w:p>
    <w:p w14:paraId="25295162" w14:textId="77777777" w:rsidR="00443399" w:rsidRPr="00B03B51" w:rsidRDefault="00443399" w:rsidP="009130CD">
      <w:pPr>
        <w:pStyle w:val="BodyText"/>
        <w:numPr>
          <w:ilvl w:val="2"/>
          <w:numId w:val="44"/>
        </w:numPr>
        <w:spacing w:before="0"/>
        <w:ind w:left="851" w:hanging="425"/>
        <w:jc w:val="both"/>
        <w:rPr>
          <w:rFonts w:ascii="Times New Roman" w:hAnsi="Times New Roman" w:cs="Times New Roman"/>
          <w:noProof/>
          <w:sz w:val="24"/>
        </w:rPr>
      </w:pPr>
      <w:r w:rsidRPr="00B03B51">
        <w:rPr>
          <w:rFonts w:ascii="Times New Roman" w:hAnsi="Times New Roman" w:cs="Times New Roman"/>
          <w:sz w:val="24"/>
        </w:rPr>
        <w:t xml:space="preserve">Gadā </w:t>
      </w:r>
      <w:r w:rsidRPr="00B03B51">
        <w:rPr>
          <w:rFonts w:ascii="Times New Roman" w:hAnsi="Times New Roman" w:cs="Times New Roman"/>
          <w:i/>
          <w:iCs/>
          <w:sz w:val="24"/>
        </w:rPr>
        <w:t>t+1</w:t>
      </w:r>
      <w:r w:rsidRPr="00B03B51">
        <w:rPr>
          <w:rFonts w:ascii="Times New Roman" w:hAnsi="Times New Roman" w:cs="Times New Roman"/>
          <w:sz w:val="24"/>
        </w:rPr>
        <w:t xml:space="preserve"> uzņēmumi nodod 500 kvotas.</w:t>
      </w:r>
    </w:p>
    <w:p w14:paraId="3D23DA0B" w14:textId="77777777" w:rsidR="00443399" w:rsidRPr="00B03B51" w:rsidRDefault="00443399" w:rsidP="00443399">
      <w:pPr>
        <w:jc w:val="both"/>
        <w:rPr>
          <w:rFonts w:ascii="Times New Roman" w:hAnsi="Times New Roman" w:cs="Times New Roman"/>
          <w:b/>
          <w:noProof/>
          <w:sz w:val="24"/>
        </w:rPr>
      </w:pPr>
    </w:p>
    <w:p w14:paraId="2370AFBD" w14:textId="77777777" w:rsidR="00443399" w:rsidRPr="00B03B51" w:rsidRDefault="00443399" w:rsidP="00443399">
      <w:pPr>
        <w:jc w:val="both"/>
        <w:rPr>
          <w:rFonts w:ascii="Times New Roman" w:hAnsi="Times New Roman" w:cs="Times New Roman"/>
          <w:b/>
          <w:noProof/>
          <w:sz w:val="24"/>
        </w:rPr>
      </w:pPr>
      <w:r w:rsidRPr="00B03B51">
        <w:rPr>
          <w:rFonts w:ascii="Times New Roman" w:hAnsi="Times New Roman" w:cs="Times New Roman"/>
          <w:b/>
          <w:sz w:val="24"/>
        </w:rPr>
        <w:t xml:space="preserve">Gads </w:t>
      </w:r>
      <w:r w:rsidRPr="00B03B51">
        <w:rPr>
          <w:rFonts w:ascii="Times New Roman" w:hAnsi="Times New Roman" w:cs="Times New Roman"/>
          <w:b/>
          <w:i/>
          <w:iCs/>
          <w:sz w:val="24"/>
        </w:rPr>
        <w:t>t</w:t>
      </w:r>
    </w:p>
    <w:p w14:paraId="3512B409" w14:textId="77777777" w:rsidR="00443399" w:rsidRPr="00B03B51" w:rsidRDefault="00443399" w:rsidP="00443399">
      <w:pPr>
        <w:jc w:val="both"/>
        <w:rPr>
          <w:rFonts w:ascii="Times New Roman" w:eastAsia="Arial" w:hAnsi="Times New Roman" w:cs="Times New Roman"/>
          <w:noProof/>
          <w:sz w:val="24"/>
          <w:szCs w:val="20"/>
        </w:rPr>
      </w:pPr>
    </w:p>
    <w:p w14:paraId="299196F6" w14:textId="77777777" w:rsidR="00443399" w:rsidRPr="00B03B51" w:rsidRDefault="00443399" w:rsidP="00443399">
      <w:pPr>
        <w:jc w:val="center"/>
        <w:rPr>
          <w:rFonts w:ascii="Times New Roman" w:eastAsia="Arial" w:hAnsi="Times New Roman" w:cs="Times New Roman"/>
          <w:noProof/>
          <w:sz w:val="24"/>
          <w:szCs w:val="20"/>
        </w:rPr>
      </w:pPr>
      <w:r w:rsidRPr="00B03B51">
        <w:rPr>
          <w:rFonts w:ascii="Times New Roman" w:hAnsi="Times New Roman" w:cs="Times New Roman"/>
          <w:noProof/>
        </w:rPr>
        <w:drawing>
          <wp:inline distT="0" distB="0" distL="0" distR="0" wp14:anchorId="0140370F" wp14:editId="178CE65D">
            <wp:extent cx="5756275" cy="3859530"/>
            <wp:effectExtent l="0" t="0" r="0" b="7620"/>
            <wp:docPr id="153" name="Attēls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7"/>
                    <a:stretch>
                      <a:fillRect/>
                    </a:stretch>
                  </pic:blipFill>
                  <pic:spPr>
                    <a:xfrm>
                      <a:off x="0" y="0"/>
                      <a:ext cx="5756275" cy="3859530"/>
                    </a:xfrm>
                    <a:prstGeom prst="rect">
                      <a:avLst/>
                    </a:prstGeom>
                  </pic:spPr>
                </pic:pic>
              </a:graphicData>
            </a:graphic>
          </wp:inline>
        </w:drawing>
      </w:r>
    </w:p>
    <w:p w14:paraId="51591F1A" w14:textId="77777777" w:rsidR="00443399" w:rsidRPr="00B03B51" w:rsidRDefault="00443399" w:rsidP="00443399">
      <w:pPr>
        <w:jc w:val="both"/>
        <w:rPr>
          <w:rFonts w:ascii="Times New Roman" w:eastAsia="Arial" w:hAnsi="Times New Roman" w:cs="Times New Roman"/>
          <w:noProof/>
          <w:sz w:val="24"/>
          <w:szCs w:val="19"/>
        </w:rPr>
      </w:pPr>
    </w:p>
    <w:p w14:paraId="630B0A13" w14:textId="77777777" w:rsidR="00443399" w:rsidRPr="00B03B51" w:rsidRDefault="00443399" w:rsidP="00443399">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b/>
          <w:sz w:val="24"/>
        </w:rPr>
        <w:t>Paskaidrojums.</w:t>
      </w:r>
      <w:r w:rsidRPr="00B03B51">
        <w:rPr>
          <w:rFonts w:ascii="Times New Roman" w:hAnsi="Times New Roman" w:cs="Times New Roman"/>
          <w:sz w:val="24"/>
        </w:rPr>
        <w:t xml:space="preserve"> Kvotu izsole par 1000 naudas vienībām skaidrā naudā tiek ierakstīta kā finanšu darījums (ar pretvērtību pozīcijā F.8), ņemot vērā, ka attiecīgie ieņēmumi tiks ierakstīti tikai turpmākajos gados, kad tiks nodotas kvotas.</w:t>
      </w:r>
    </w:p>
    <w:p w14:paraId="398E6EBE" w14:textId="77777777" w:rsidR="00443399" w:rsidRPr="00B03B51" w:rsidRDefault="00443399" w:rsidP="00443399">
      <w:pPr>
        <w:jc w:val="both"/>
        <w:rPr>
          <w:rFonts w:ascii="Times New Roman" w:hAnsi="Times New Roman" w:cs="Times New Roman"/>
          <w:noProof/>
          <w:sz w:val="24"/>
        </w:rPr>
      </w:pPr>
    </w:p>
    <w:p w14:paraId="283B41D2" w14:textId="77777777" w:rsidR="00443399" w:rsidRPr="00B03B51" w:rsidRDefault="00443399" w:rsidP="00443399">
      <w:pPr>
        <w:keepNext/>
        <w:jc w:val="both"/>
        <w:rPr>
          <w:rFonts w:ascii="Times New Roman" w:hAnsi="Times New Roman" w:cs="Times New Roman"/>
          <w:b/>
          <w:noProof/>
          <w:sz w:val="24"/>
        </w:rPr>
      </w:pPr>
      <w:r w:rsidRPr="00B03B51">
        <w:rPr>
          <w:rFonts w:ascii="Times New Roman" w:hAnsi="Times New Roman" w:cs="Times New Roman"/>
          <w:b/>
          <w:sz w:val="24"/>
        </w:rPr>
        <w:lastRenderedPageBreak/>
        <w:t xml:space="preserve">Gads </w:t>
      </w:r>
      <w:r w:rsidRPr="00B03B51">
        <w:rPr>
          <w:rFonts w:ascii="Times New Roman" w:hAnsi="Times New Roman" w:cs="Times New Roman"/>
          <w:b/>
          <w:i/>
          <w:iCs/>
          <w:sz w:val="24"/>
        </w:rPr>
        <w:t>t+1</w:t>
      </w:r>
    </w:p>
    <w:p w14:paraId="0458E41E" w14:textId="77777777" w:rsidR="00443399" w:rsidRPr="00B03B51" w:rsidRDefault="00443399" w:rsidP="00443399">
      <w:pPr>
        <w:keepNext/>
        <w:jc w:val="both"/>
        <w:rPr>
          <w:rFonts w:ascii="Times New Roman" w:eastAsia="Arial" w:hAnsi="Times New Roman" w:cs="Times New Roman"/>
          <w:noProof/>
          <w:sz w:val="24"/>
          <w:szCs w:val="17"/>
        </w:rPr>
      </w:pPr>
    </w:p>
    <w:p w14:paraId="613409AB" w14:textId="77777777" w:rsidR="00443399" w:rsidRPr="00B03B51" w:rsidRDefault="00443399" w:rsidP="00443399">
      <w:pPr>
        <w:keepNext/>
        <w:jc w:val="center"/>
        <w:rPr>
          <w:rFonts w:ascii="Times New Roman" w:eastAsia="Arial" w:hAnsi="Times New Roman" w:cs="Times New Roman"/>
          <w:noProof/>
          <w:sz w:val="24"/>
          <w:szCs w:val="17"/>
        </w:rPr>
      </w:pPr>
      <w:r w:rsidRPr="00B03B51">
        <w:rPr>
          <w:rFonts w:ascii="Times New Roman" w:hAnsi="Times New Roman" w:cs="Times New Roman"/>
          <w:noProof/>
        </w:rPr>
        <w:drawing>
          <wp:inline distT="0" distB="0" distL="0" distR="0" wp14:anchorId="136E32D5" wp14:editId="05A0CCD0">
            <wp:extent cx="5756275" cy="4053205"/>
            <wp:effectExtent l="0" t="0" r="0" b="4445"/>
            <wp:docPr id="154" name="Attēls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8"/>
                    <a:stretch>
                      <a:fillRect/>
                    </a:stretch>
                  </pic:blipFill>
                  <pic:spPr>
                    <a:xfrm>
                      <a:off x="0" y="0"/>
                      <a:ext cx="5756275" cy="4053205"/>
                    </a:xfrm>
                    <a:prstGeom prst="rect">
                      <a:avLst/>
                    </a:prstGeom>
                  </pic:spPr>
                </pic:pic>
              </a:graphicData>
            </a:graphic>
          </wp:inline>
        </w:drawing>
      </w:r>
    </w:p>
    <w:p w14:paraId="2463DCDC" w14:textId="77777777" w:rsidR="00443399" w:rsidRPr="00B03B51" w:rsidRDefault="00443399" w:rsidP="00443399">
      <w:pPr>
        <w:jc w:val="both"/>
        <w:rPr>
          <w:rFonts w:ascii="Times New Roman" w:eastAsia="Arial" w:hAnsi="Times New Roman" w:cs="Times New Roman"/>
          <w:noProof/>
          <w:sz w:val="24"/>
          <w:szCs w:val="17"/>
        </w:rPr>
      </w:pPr>
    </w:p>
    <w:p w14:paraId="261CA171" w14:textId="77777777" w:rsidR="00443399" w:rsidRPr="00B03B51" w:rsidRDefault="00443399" w:rsidP="00443399">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b/>
          <w:bCs/>
          <w:sz w:val="24"/>
        </w:rPr>
        <w:t>Paskaidrojums.</w:t>
      </w:r>
      <w:r w:rsidRPr="00B03B51">
        <w:rPr>
          <w:rFonts w:ascii="Times New Roman" w:hAnsi="Times New Roman" w:cs="Times New Roman"/>
          <w:sz w:val="24"/>
        </w:rPr>
        <w:t xml:space="preserve"> Vidējā vienas atļaujas izsoles cena gada </w:t>
      </w:r>
      <w:r w:rsidRPr="00B03B51">
        <w:rPr>
          <w:rFonts w:ascii="Times New Roman" w:hAnsi="Times New Roman" w:cs="Times New Roman"/>
          <w:i/>
          <w:iCs/>
          <w:sz w:val="24"/>
        </w:rPr>
        <w:t>t+1</w:t>
      </w:r>
      <w:r w:rsidRPr="00B03B51">
        <w:rPr>
          <w:rFonts w:ascii="Times New Roman" w:hAnsi="Times New Roman" w:cs="Times New Roman"/>
          <w:sz w:val="24"/>
        </w:rPr>
        <w:t xml:space="preserve"> sākumā ir kopējie izsoles ieņēmumi, kas gūti, izsolot 1000 kvotas, dalīti ar valsts iekšējās izsolēs iegūto kvotu skaitu (1000), proti, 1 naudas vienība. Tā kā gadā </w:t>
      </w:r>
      <w:r w:rsidRPr="00B03B51">
        <w:rPr>
          <w:rFonts w:ascii="Times New Roman" w:hAnsi="Times New Roman" w:cs="Times New Roman"/>
          <w:i/>
          <w:iCs/>
          <w:sz w:val="24"/>
        </w:rPr>
        <w:t>t+1</w:t>
      </w:r>
      <w:r w:rsidRPr="00B03B51">
        <w:rPr>
          <w:rFonts w:ascii="Times New Roman" w:hAnsi="Times New Roman" w:cs="Times New Roman"/>
          <w:sz w:val="24"/>
        </w:rPr>
        <w:t xml:space="preserve"> tika nodotas 500 kvotas, citu ražošanas nodokļu vērtība jāieraksta 500*1=500 naudas vienību apmērā. Šo ieņēmumu pretvērtība valdībai ir citu kreditora saistību samazinājums un vienībām – debitora saistību samazinājums. Ja vienībām būtu bijušas “bezmaksas” vai importētās atļaujas, pēdējās minētās būtu jāieraksta kā AN.2 (ar citām apjoma pārmaiņām pirmajā gadījumā, ar darījumu otrajā gadījumā). Šīm atļaujām vērtība jānosaka tirgus cenās (iespējams, veicot pārvērtēšanu). Tomēr piemērā tiek uzskatīts, ka “izsolītās” atļaujas izmantotas prioritāri un pārējās atļaujas tiktu nodotas tikai tad, kad “izsolīto” atļauju krājums ir izsmelts.</w:t>
      </w:r>
    </w:p>
    <w:p w14:paraId="336A2466" w14:textId="77777777" w:rsidR="00443399" w:rsidRPr="00B03B51" w:rsidRDefault="00443399" w:rsidP="00443399">
      <w:pPr>
        <w:jc w:val="both"/>
        <w:rPr>
          <w:rFonts w:ascii="Times New Roman" w:hAnsi="Times New Roman" w:cs="Times New Roman"/>
          <w:noProof/>
          <w:sz w:val="24"/>
        </w:rPr>
      </w:pPr>
    </w:p>
    <w:p w14:paraId="0A032750" w14:textId="77777777" w:rsidR="00443399" w:rsidRPr="00B03B51" w:rsidRDefault="00443399" w:rsidP="006C1284">
      <w:pPr>
        <w:keepNext/>
        <w:tabs>
          <w:tab w:val="left" w:pos="843"/>
        </w:tabs>
        <w:jc w:val="both"/>
        <w:rPr>
          <w:rFonts w:ascii="Times New Roman" w:hAnsi="Times New Roman" w:cs="Times New Roman"/>
          <w:b/>
          <w:noProof/>
          <w:sz w:val="24"/>
        </w:rPr>
      </w:pPr>
      <w:r w:rsidRPr="00B03B51">
        <w:rPr>
          <w:rFonts w:ascii="Times New Roman" w:hAnsi="Times New Roman" w:cs="Times New Roman"/>
          <w:b/>
          <w:sz w:val="24"/>
        </w:rPr>
        <w:t>2. Noteiktā daudzuma vienību (jeb atļauju) pārdošanas ietekme</w:t>
      </w:r>
    </w:p>
    <w:p w14:paraId="3607DBC4" w14:textId="77777777" w:rsidR="00443399" w:rsidRPr="00B03B51" w:rsidRDefault="00443399" w:rsidP="006C1284">
      <w:pPr>
        <w:keepNext/>
        <w:tabs>
          <w:tab w:val="left" w:pos="843"/>
        </w:tabs>
        <w:jc w:val="both"/>
        <w:rPr>
          <w:rFonts w:ascii="Times New Roman" w:hAnsi="Times New Roman" w:cs="Times New Roman"/>
          <w:b/>
          <w:noProof/>
          <w:sz w:val="24"/>
        </w:rPr>
      </w:pPr>
    </w:p>
    <w:p w14:paraId="6686AE6A" w14:textId="77777777" w:rsidR="00443399" w:rsidRPr="00B03B51" w:rsidRDefault="00443399" w:rsidP="006C1284">
      <w:pPr>
        <w:keepNext/>
        <w:numPr>
          <w:ilvl w:val="1"/>
          <w:numId w:val="44"/>
        </w:numPr>
        <w:ind w:left="425" w:hanging="425"/>
        <w:jc w:val="both"/>
        <w:rPr>
          <w:rFonts w:ascii="Times New Roman" w:eastAsia="Arial" w:hAnsi="Times New Roman" w:cs="Times New Roman"/>
          <w:noProof/>
          <w:sz w:val="24"/>
          <w:szCs w:val="19"/>
        </w:rPr>
      </w:pPr>
      <w:r w:rsidRPr="00B03B51">
        <w:rPr>
          <w:rFonts w:ascii="Times New Roman" w:hAnsi="Times New Roman" w:cs="Times New Roman"/>
          <w:b/>
          <w:sz w:val="24"/>
        </w:rPr>
        <w:t xml:space="preserve">Valdība A pārdod noteiktā daudzuma vienības valdībai B par 200 naudas vienībām </w:t>
      </w:r>
      <w:r w:rsidRPr="00B03B51">
        <w:rPr>
          <w:rFonts w:ascii="Times New Roman" w:hAnsi="Times New Roman" w:cs="Times New Roman"/>
          <w:b/>
          <w:i/>
          <w:iCs/>
          <w:sz w:val="24"/>
        </w:rPr>
        <w:lastRenderedPageBreak/>
        <w:t>t</w:t>
      </w:r>
      <w:r w:rsidRPr="00B03B51">
        <w:rPr>
          <w:rFonts w:ascii="Times New Roman" w:hAnsi="Times New Roman" w:cs="Times New Roman"/>
          <w:b/>
          <w:sz w:val="24"/>
        </w:rPr>
        <w:t> gadā.</w:t>
      </w:r>
    </w:p>
    <w:p w14:paraId="57DE0BE5" w14:textId="77777777" w:rsidR="00443399" w:rsidRPr="00B03B51" w:rsidRDefault="00443399" w:rsidP="006C1284">
      <w:pPr>
        <w:keepNext/>
        <w:jc w:val="both"/>
        <w:rPr>
          <w:rFonts w:ascii="Times New Roman" w:hAnsi="Times New Roman" w:cs="Times New Roman"/>
          <w:b/>
          <w:noProof/>
          <w:sz w:val="24"/>
        </w:rPr>
      </w:pPr>
    </w:p>
    <w:p w14:paraId="7C7B45E6" w14:textId="77777777" w:rsidR="00443399" w:rsidRPr="00B03B51" w:rsidRDefault="00443399" w:rsidP="006C1284">
      <w:pPr>
        <w:keepNext/>
        <w:jc w:val="both"/>
        <w:rPr>
          <w:rFonts w:ascii="Times New Roman" w:hAnsi="Times New Roman" w:cs="Times New Roman"/>
          <w:b/>
          <w:noProof/>
          <w:sz w:val="24"/>
        </w:rPr>
      </w:pPr>
      <w:r w:rsidRPr="00B03B51">
        <w:rPr>
          <w:rFonts w:ascii="Times New Roman" w:hAnsi="Times New Roman" w:cs="Times New Roman"/>
          <w:b/>
          <w:sz w:val="24"/>
        </w:rPr>
        <w:t xml:space="preserve">Gads </w:t>
      </w:r>
      <w:r w:rsidRPr="00B03B51">
        <w:rPr>
          <w:rFonts w:ascii="Times New Roman" w:hAnsi="Times New Roman" w:cs="Times New Roman"/>
          <w:b/>
          <w:i/>
          <w:iCs/>
          <w:sz w:val="24"/>
        </w:rPr>
        <w:t>t</w:t>
      </w:r>
    </w:p>
    <w:p w14:paraId="20359679" w14:textId="77777777" w:rsidR="00443399" w:rsidRPr="00B03B51" w:rsidRDefault="00443399" w:rsidP="006C1284">
      <w:pPr>
        <w:keepNext/>
        <w:jc w:val="both"/>
        <w:rPr>
          <w:rFonts w:ascii="Times New Roman" w:eastAsia="Arial" w:hAnsi="Times New Roman" w:cs="Times New Roman"/>
          <w:b/>
          <w:bCs/>
          <w:noProof/>
          <w:sz w:val="24"/>
          <w:szCs w:val="10"/>
        </w:rPr>
      </w:pPr>
    </w:p>
    <w:p w14:paraId="42DA54A2" w14:textId="77777777" w:rsidR="00443399" w:rsidRPr="00B03B51" w:rsidRDefault="00443399" w:rsidP="006C1284">
      <w:pPr>
        <w:keepNext/>
        <w:jc w:val="center"/>
        <w:rPr>
          <w:rFonts w:ascii="Times New Roman" w:eastAsia="Arial" w:hAnsi="Times New Roman" w:cs="Times New Roman"/>
          <w:b/>
          <w:bCs/>
          <w:noProof/>
          <w:sz w:val="24"/>
          <w:szCs w:val="20"/>
        </w:rPr>
      </w:pPr>
      <w:r w:rsidRPr="00B03B51">
        <w:rPr>
          <w:rFonts w:ascii="Times New Roman" w:hAnsi="Times New Roman" w:cs="Times New Roman"/>
          <w:noProof/>
        </w:rPr>
        <w:drawing>
          <wp:inline distT="0" distB="0" distL="0" distR="0" wp14:anchorId="04DDEC6A" wp14:editId="50C3418E">
            <wp:extent cx="5756275" cy="1899285"/>
            <wp:effectExtent l="0" t="0" r="0" b="5715"/>
            <wp:docPr id="155" name="Attēls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9"/>
                    <a:stretch>
                      <a:fillRect/>
                    </a:stretch>
                  </pic:blipFill>
                  <pic:spPr>
                    <a:xfrm>
                      <a:off x="0" y="0"/>
                      <a:ext cx="5756275" cy="1899285"/>
                    </a:xfrm>
                    <a:prstGeom prst="rect">
                      <a:avLst/>
                    </a:prstGeom>
                  </pic:spPr>
                </pic:pic>
              </a:graphicData>
            </a:graphic>
          </wp:inline>
        </w:drawing>
      </w:r>
    </w:p>
    <w:p w14:paraId="4CED98ED" w14:textId="77777777" w:rsidR="00443399" w:rsidRPr="00B03B51" w:rsidRDefault="00443399" w:rsidP="006C1284">
      <w:pPr>
        <w:keepNext/>
        <w:jc w:val="center"/>
        <w:rPr>
          <w:rFonts w:ascii="Times New Roman" w:eastAsia="Arial" w:hAnsi="Times New Roman" w:cs="Times New Roman"/>
          <w:b/>
          <w:bCs/>
          <w:noProof/>
          <w:sz w:val="24"/>
          <w:szCs w:val="17"/>
        </w:rPr>
      </w:pPr>
      <w:r w:rsidRPr="00B03B51">
        <w:rPr>
          <w:rFonts w:ascii="Times New Roman" w:hAnsi="Times New Roman" w:cs="Times New Roman"/>
          <w:noProof/>
        </w:rPr>
        <w:drawing>
          <wp:inline distT="0" distB="0" distL="0" distR="0" wp14:anchorId="6DB6C692" wp14:editId="17ECC73A">
            <wp:extent cx="5756275" cy="1298575"/>
            <wp:effectExtent l="0" t="0" r="0" b="0"/>
            <wp:docPr id="156" name="Attēls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0"/>
                    <a:stretch>
                      <a:fillRect/>
                    </a:stretch>
                  </pic:blipFill>
                  <pic:spPr>
                    <a:xfrm>
                      <a:off x="0" y="0"/>
                      <a:ext cx="5756275" cy="1298575"/>
                    </a:xfrm>
                    <a:prstGeom prst="rect">
                      <a:avLst/>
                    </a:prstGeom>
                  </pic:spPr>
                </pic:pic>
              </a:graphicData>
            </a:graphic>
          </wp:inline>
        </w:drawing>
      </w:r>
    </w:p>
    <w:p w14:paraId="5210A047" w14:textId="77777777" w:rsidR="00443399" w:rsidRPr="00B03B51" w:rsidRDefault="00443399" w:rsidP="006C1284">
      <w:pPr>
        <w:keepNext/>
        <w:jc w:val="both"/>
        <w:rPr>
          <w:rFonts w:ascii="Times New Roman" w:eastAsia="Arial" w:hAnsi="Times New Roman" w:cs="Times New Roman"/>
          <w:b/>
          <w:bCs/>
          <w:noProof/>
          <w:sz w:val="24"/>
          <w:szCs w:val="17"/>
        </w:rPr>
      </w:pPr>
    </w:p>
    <w:p w14:paraId="62E19803" w14:textId="77777777" w:rsidR="00443399" w:rsidRPr="00B03B51" w:rsidRDefault="00443399" w:rsidP="006C1284">
      <w:pPr>
        <w:pStyle w:val="BodyText"/>
        <w:keepNext/>
        <w:spacing w:before="0"/>
        <w:ind w:left="0" w:firstLine="0"/>
        <w:jc w:val="both"/>
        <w:rPr>
          <w:rFonts w:ascii="Times New Roman" w:hAnsi="Times New Roman" w:cs="Times New Roman"/>
          <w:noProof/>
          <w:sz w:val="24"/>
        </w:rPr>
      </w:pPr>
      <w:r w:rsidRPr="00B03B51">
        <w:rPr>
          <w:rFonts w:ascii="Times New Roman" w:hAnsi="Times New Roman" w:cs="Times New Roman"/>
          <w:b/>
          <w:sz w:val="24"/>
        </w:rPr>
        <w:t>Paskaidrojums.</w:t>
      </w:r>
      <w:r w:rsidRPr="00B03B51">
        <w:rPr>
          <w:rFonts w:ascii="Times New Roman" w:hAnsi="Times New Roman" w:cs="Times New Roman"/>
          <w:sz w:val="24"/>
        </w:rPr>
        <w:t xml:space="preserve"> Tiek pieņemts, ka noteiktā daudzuma vienības ir nefinanšu neražoti aktīvi (skat. paskaidrojumu iepriekš). Tāpēc tās jāiekļauj šādu aktīvu (AN.22) kopumā, un to pārdošana (pirkšana) valdībai A nozīmē nefinanšu neražoto aktīvu realizāciju (iegādi) (NP.2). Valdībai B jāieraksta neražotu nefinanšu aktīvu simetriska pirkšana (iegāde).</w:t>
      </w:r>
    </w:p>
    <w:p w14:paraId="03918B3A" w14:textId="77777777" w:rsidR="00443399" w:rsidRPr="00B03B51" w:rsidRDefault="00443399" w:rsidP="00443399">
      <w:pPr>
        <w:rPr>
          <w:rFonts w:ascii="Times New Roman" w:hAnsi="Times New Roman" w:cs="Times New Roman"/>
          <w:noProof/>
          <w:sz w:val="24"/>
        </w:rPr>
      </w:pPr>
      <w:r w:rsidRPr="00B03B51">
        <w:rPr>
          <w:rFonts w:ascii="Times New Roman" w:hAnsi="Times New Roman" w:cs="Times New Roman"/>
        </w:rPr>
        <w:br w:type="page"/>
      </w:r>
    </w:p>
    <w:p w14:paraId="0196E546" w14:textId="77777777" w:rsidR="00443399" w:rsidRPr="00B03B51" w:rsidRDefault="00443399" w:rsidP="00443399">
      <w:pPr>
        <w:jc w:val="both"/>
        <w:rPr>
          <w:rFonts w:ascii="Times New Roman" w:hAnsi="Times New Roman" w:cs="Times New Roman"/>
          <w:noProof/>
          <w:sz w:val="24"/>
        </w:rPr>
      </w:pPr>
    </w:p>
    <w:p w14:paraId="14E6608F" w14:textId="77777777" w:rsidR="00443399" w:rsidRPr="00B03B51" w:rsidRDefault="00443399" w:rsidP="00443399">
      <w:pPr>
        <w:pStyle w:val="Heading2"/>
        <w:tabs>
          <w:tab w:val="left" w:pos="1135"/>
        </w:tabs>
        <w:spacing w:before="0"/>
        <w:ind w:left="0" w:firstLine="0"/>
        <w:jc w:val="both"/>
        <w:rPr>
          <w:rFonts w:ascii="Times New Roman" w:hAnsi="Times New Roman" w:cs="Times New Roman"/>
          <w:noProof/>
          <w:sz w:val="28"/>
          <w:szCs w:val="44"/>
        </w:rPr>
      </w:pPr>
      <w:bookmarkStart w:id="551" w:name="6.6_Keywords_and_accounting_references"/>
      <w:bookmarkStart w:id="552" w:name="_bookmark53"/>
      <w:bookmarkStart w:id="553" w:name="_Toc67565194"/>
      <w:bookmarkEnd w:id="551"/>
      <w:bookmarkEnd w:id="552"/>
      <w:r w:rsidRPr="00B03B51">
        <w:rPr>
          <w:rFonts w:ascii="Times New Roman" w:hAnsi="Times New Roman" w:cs="Times New Roman"/>
          <w:sz w:val="28"/>
          <w:szCs w:val="44"/>
        </w:rPr>
        <w:t>6.6. Atslēgvārdi un atsauces</w:t>
      </w:r>
      <w:bookmarkEnd w:id="553"/>
    </w:p>
    <w:p w14:paraId="65131548" w14:textId="77777777" w:rsidR="00443399" w:rsidRPr="00B03B51" w:rsidRDefault="00443399" w:rsidP="00443399">
      <w:pPr>
        <w:jc w:val="both"/>
        <w:rPr>
          <w:rFonts w:ascii="Times New Roman" w:eastAsia="Arial" w:hAnsi="Times New Roman" w:cs="Times New Roman"/>
          <w:b/>
          <w:bCs/>
          <w:noProof/>
          <w:sz w:val="24"/>
          <w:szCs w:val="29"/>
        </w:rPr>
      </w:pPr>
    </w:p>
    <w:tbl>
      <w:tblPr>
        <w:tblW w:w="5000" w:type="pct"/>
        <w:tblCellMar>
          <w:top w:w="28" w:type="dxa"/>
          <w:left w:w="28" w:type="dxa"/>
          <w:bottom w:w="28" w:type="dxa"/>
          <w:right w:w="28" w:type="dxa"/>
        </w:tblCellMar>
        <w:tblLook w:val="01E0" w:firstRow="1" w:lastRow="1" w:firstColumn="1" w:lastColumn="1" w:noHBand="0" w:noVBand="0"/>
      </w:tblPr>
      <w:tblGrid>
        <w:gridCol w:w="4824"/>
        <w:gridCol w:w="4247"/>
      </w:tblGrid>
      <w:tr w:rsidR="00443399" w:rsidRPr="00B03B51" w14:paraId="7AB95E9C" w14:textId="77777777" w:rsidTr="0054365B">
        <w:tc>
          <w:tcPr>
            <w:tcW w:w="2659" w:type="pct"/>
            <w:tcBorders>
              <w:top w:val="nil"/>
              <w:left w:val="nil"/>
              <w:bottom w:val="nil"/>
              <w:right w:val="nil"/>
            </w:tcBorders>
          </w:tcPr>
          <w:p w14:paraId="28244D80" w14:textId="77777777" w:rsidR="00443399" w:rsidRPr="00B03B51" w:rsidRDefault="00443399" w:rsidP="0054365B">
            <w:pPr>
              <w:pStyle w:val="TableParagraph"/>
              <w:jc w:val="both"/>
              <w:rPr>
                <w:rFonts w:ascii="Times New Roman" w:hAnsi="Times New Roman" w:cs="Times New Roman"/>
                <w:noProof/>
                <w:sz w:val="24"/>
              </w:rPr>
            </w:pPr>
            <w:r w:rsidRPr="00B03B51">
              <w:rPr>
                <w:rFonts w:ascii="Times New Roman" w:hAnsi="Times New Roman" w:cs="Times New Roman"/>
                <w:sz w:val="24"/>
              </w:rPr>
              <w:t>Ekonomiskais aktīvs</w:t>
            </w:r>
          </w:p>
        </w:tc>
        <w:tc>
          <w:tcPr>
            <w:tcW w:w="2341" w:type="pct"/>
            <w:tcBorders>
              <w:top w:val="nil"/>
              <w:left w:val="nil"/>
              <w:bottom w:val="nil"/>
              <w:right w:val="nil"/>
            </w:tcBorders>
          </w:tcPr>
          <w:p w14:paraId="13BDFDAC" w14:textId="77777777" w:rsidR="00443399" w:rsidRPr="00B03B51" w:rsidRDefault="00443399" w:rsidP="0054365B">
            <w:pPr>
              <w:pStyle w:val="TableParagraph"/>
              <w:jc w:val="both"/>
              <w:rPr>
                <w:rFonts w:ascii="Times New Roman" w:hAnsi="Times New Roman" w:cs="Times New Roman"/>
                <w:noProof/>
                <w:sz w:val="24"/>
              </w:rPr>
            </w:pPr>
            <w:r w:rsidRPr="00B03B51">
              <w:rPr>
                <w:rFonts w:ascii="Times New Roman" w:hAnsi="Times New Roman" w:cs="Times New Roman"/>
                <w:sz w:val="24"/>
              </w:rPr>
              <w:t>EKS 2010, 7.15.–7.18. punkts</w:t>
            </w:r>
          </w:p>
        </w:tc>
      </w:tr>
      <w:tr w:rsidR="00443399" w:rsidRPr="00B03B51" w14:paraId="6A942EA4" w14:textId="77777777" w:rsidTr="0054365B">
        <w:tc>
          <w:tcPr>
            <w:tcW w:w="2659" w:type="pct"/>
            <w:tcBorders>
              <w:top w:val="nil"/>
              <w:left w:val="nil"/>
              <w:bottom w:val="nil"/>
              <w:right w:val="nil"/>
            </w:tcBorders>
          </w:tcPr>
          <w:p w14:paraId="346F908A" w14:textId="77777777" w:rsidR="00443399" w:rsidRPr="00B03B51" w:rsidRDefault="00443399" w:rsidP="0054365B">
            <w:pPr>
              <w:pStyle w:val="TableParagraph"/>
              <w:jc w:val="both"/>
              <w:rPr>
                <w:rFonts w:ascii="Times New Roman" w:hAnsi="Times New Roman" w:cs="Times New Roman"/>
                <w:noProof/>
                <w:sz w:val="24"/>
              </w:rPr>
            </w:pPr>
            <w:r w:rsidRPr="00B03B51">
              <w:rPr>
                <w:rFonts w:ascii="Times New Roman" w:hAnsi="Times New Roman" w:cs="Times New Roman"/>
                <w:sz w:val="24"/>
              </w:rPr>
              <w:t>Neražoto aktīvu izslēgšana no ekonomikas (K.2)</w:t>
            </w:r>
          </w:p>
        </w:tc>
        <w:tc>
          <w:tcPr>
            <w:tcW w:w="2341" w:type="pct"/>
            <w:tcBorders>
              <w:top w:val="nil"/>
              <w:left w:val="nil"/>
              <w:bottom w:val="nil"/>
              <w:right w:val="nil"/>
            </w:tcBorders>
          </w:tcPr>
          <w:p w14:paraId="3708E05D" w14:textId="77777777" w:rsidR="00443399" w:rsidRPr="00B03B51" w:rsidRDefault="00443399" w:rsidP="0054365B">
            <w:pPr>
              <w:pStyle w:val="TableParagraph"/>
              <w:jc w:val="both"/>
              <w:rPr>
                <w:rFonts w:ascii="Times New Roman" w:hAnsi="Times New Roman" w:cs="Times New Roman"/>
                <w:noProof/>
                <w:sz w:val="24"/>
              </w:rPr>
            </w:pPr>
            <w:r w:rsidRPr="00B03B51">
              <w:rPr>
                <w:rFonts w:ascii="Times New Roman" w:hAnsi="Times New Roman" w:cs="Times New Roman"/>
                <w:sz w:val="24"/>
              </w:rPr>
              <w:t>EKS 2010, 6.07. punkts</w:t>
            </w:r>
          </w:p>
        </w:tc>
      </w:tr>
      <w:tr w:rsidR="00443399" w:rsidRPr="00B03B51" w14:paraId="5770094F" w14:textId="77777777" w:rsidTr="0054365B">
        <w:tc>
          <w:tcPr>
            <w:tcW w:w="2659" w:type="pct"/>
            <w:tcBorders>
              <w:top w:val="nil"/>
              <w:left w:val="nil"/>
              <w:bottom w:val="nil"/>
              <w:right w:val="nil"/>
            </w:tcBorders>
          </w:tcPr>
          <w:p w14:paraId="51CE4822" w14:textId="77777777" w:rsidR="00443399" w:rsidRPr="00B03B51" w:rsidRDefault="00443399" w:rsidP="0054365B">
            <w:pPr>
              <w:pStyle w:val="TableParagraph"/>
              <w:jc w:val="both"/>
              <w:rPr>
                <w:rFonts w:ascii="Times New Roman" w:hAnsi="Times New Roman" w:cs="Times New Roman"/>
                <w:noProof/>
                <w:sz w:val="24"/>
              </w:rPr>
            </w:pPr>
            <w:r w:rsidRPr="00B03B51">
              <w:rPr>
                <w:rFonts w:ascii="Times New Roman" w:hAnsi="Times New Roman" w:cs="Times New Roman"/>
                <w:sz w:val="24"/>
              </w:rPr>
              <w:t>Finanšu noma/ operatīvā noma</w:t>
            </w:r>
          </w:p>
        </w:tc>
        <w:tc>
          <w:tcPr>
            <w:tcW w:w="2341" w:type="pct"/>
            <w:tcBorders>
              <w:top w:val="nil"/>
              <w:left w:val="nil"/>
              <w:bottom w:val="nil"/>
              <w:right w:val="nil"/>
            </w:tcBorders>
          </w:tcPr>
          <w:p w14:paraId="71B2122C" w14:textId="77777777" w:rsidR="00443399" w:rsidRPr="00B03B51" w:rsidRDefault="00443399" w:rsidP="0054365B">
            <w:pPr>
              <w:pStyle w:val="TableParagraph"/>
              <w:jc w:val="both"/>
              <w:rPr>
                <w:rFonts w:ascii="Times New Roman" w:hAnsi="Times New Roman" w:cs="Times New Roman"/>
                <w:noProof/>
                <w:sz w:val="24"/>
              </w:rPr>
            </w:pPr>
            <w:r w:rsidRPr="00B03B51">
              <w:rPr>
                <w:rFonts w:ascii="Times New Roman" w:hAnsi="Times New Roman" w:cs="Times New Roman"/>
                <w:sz w:val="24"/>
              </w:rPr>
              <w:t>EKS 2010, 15.04. un turpmākie punkti</w:t>
            </w:r>
          </w:p>
        </w:tc>
      </w:tr>
      <w:tr w:rsidR="00443399" w:rsidRPr="00B03B51" w14:paraId="3AF1CD1D" w14:textId="77777777" w:rsidTr="0054365B">
        <w:tc>
          <w:tcPr>
            <w:tcW w:w="2659" w:type="pct"/>
            <w:tcBorders>
              <w:top w:val="nil"/>
              <w:left w:val="nil"/>
              <w:bottom w:val="nil"/>
              <w:right w:val="nil"/>
            </w:tcBorders>
          </w:tcPr>
          <w:p w14:paraId="00220820" w14:textId="77777777" w:rsidR="00443399" w:rsidRPr="00B03B51" w:rsidRDefault="00443399" w:rsidP="0054365B">
            <w:pPr>
              <w:pStyle w:val="TableParagraph"/>
              <w:jc w:val="both"/>
              <w:rPr>
                <w:rFonts w:ascii="Times New Roman" w:hAnsi="Times New Roman" w:cs="Times New Roman"/>
                <w:noProof/>
                <w:sz w:val="24"/>
              </w:rPr>
            </w:pPr>
            <w:r w:rsidRPr="00B03B51">
              <w:rPr>
                <w:rFonts w:ascii="Times New Roman" w:hAnsi="Times New Roman" w:cs="Times New Roman"/>
                <w:sz w:val="24"/>
              </w:rPr>
              <w:t>Nefinanšu neražotie aktīvi</w:t>
            </w:r>
          </w:p>
        </w:tc>
        <w:tc>
          <w:tcPr>
            <w:tcW w:w="2341" w:type="pct"/>
            <w:tcBorders>
              <w:top w:val="nil"/>
              <w:left w:val="nil"/>
              <w:bottom w:val="nil"/>
              <w:right w:val="nil"/>
            </w:tcBorders>
          </w:tcPr>
          <w:p w14:paraId="349E60BC" w14:textId="77777777" w:rsidR="00443399" w:rsidRPr="00B03B51" w:rsidRDefault="00443399" w:rsidP="0054365B">
            <w:pPr>
              <w:pStyle w:val="TableParagraph"/>
              <w:jc w:val="both"/>
              <w:rPr>
                <w:rFonts w:ascii="Times New Roman" w:hAnsi="Times New Roman" w:cs="Times New Roman"/>
                <w:noProof/>
                <w:sz w:val="24"/>
              </w:rPr>
            </w:pPr>
            <w:r w:rsidRPr="00B03B51">
              <w:rPr>
                <w:rFonts w:ascii="Times New Roman" w:hAnsi="Times New Roman" w:cs="Times New Roman"/>
                <w:sz w:val="24"/>
              </w:rPr>
              <w:t>EKS 2010, 7.24. punkts un 7.1. pielikums</w:t>
            </w:r>
          </w:p>
        </w:tc>
      </w:tr>
      <w:tr w:rsidR="00443399" w:rsidRPr="00B03B51" w14:paraId="32C9D991" w14:textId="77777777" w:rsidTr="0054365B">
        <w:tc>
          <w:tcPr>
            <w:tcW w:w="2659" w:type="pct"/>
            <w:tcBorders>
              <w:top w:val="nil"/>
              <w:left w:val="nil"/>
              <w:bottom w:val="nil"/>
              <w:right w:val="nil"/>
            </w:tcBorders>
          </w:tcPr>
          <w:p w14:paraId="695697F7" w14:textId="77777777" w:rsidR="00443399" w:rsidRPr="00B03B51" w:rsidRDefault="00443399" w:rsidP="0054365B">
            <w:pPr>
              <w:pStyle w:val="TableParagraph"/>
              <w:jc w:val="both"/>
              <w:rPr>
                <w:rFonts w:ascii="Times New Roman" w:hAnsi="Times New Roman" w:cs="Times New Roman"/>
                <w:noProof/>
                <w:sz w:val="24"/>
              </w:rPr>
            </w:pPr>
            <w:r w:rsidRPr="00B03B51">
              <w:rPr>
                <w:rFonts w:ascii="Times New Roman" w:hAnsi="Times New Roman" w:cs="Times New Roman"/>
                <w:sz w:val="24"/>
              </w:rPr>
              <w:t>Citi kārtējie nodokļi</w:t>
            </w:r>
          </w:p>
        </w:tc>
        <w:tc>
          <w:tcPr>
            <w:tcW w:w="2341" w:type="pct"/>
            <w:tcBorders>
              <w:top w:val="nil"/>
              <w:left w:val="nil"/>
              <w:bottom w:val="nil"/>
              <w:right w:val="nil"/>
            </w:tcBorders>
          </w:tcPr>
          <w:p w14:paraId="3A10D50B" w14:textId="77777777" w:rsidR="00443399" w:rsidRPr="00B03B51" w:rsidRDefault="00443399" w:rsidP="0054365B">
            <w:pPr>
              <w:pStyle w:val="TableParagraph"/>
              <w:jc w:val="both"/>
              <w:rPr>
                <w:rFonts w:ascii="Times New Roman" w:hAnsi="Times New Roman" w:cs="Times New Roman"/>
                <w:noProof/>
                <w:sz w:val="24"/>
              </w:rPr>
            </w:pPr>
            <w:r w:rsidRPr="00B03B51">
              <w:rPr>
                <w:rFonts w:ascii="Times New Roman" w:hAnsi="Times New Roman" w:cs="Times New Roman"/>
                <w:sz w:val="24"/>
              </w:rPr>
              <w:t>EKS 2010, 4.79.–4.80. punkts</w:t>
            </w:r>
          </w:p>
        </w:tc>
      </w:tr>
      <w:tr w:rsidR="00443399" w:rsidRPr="00B03B51" w14:paraId="243D6C1D" w14:textId="77777777" w:rsidTr="0054365B">
        <w:tc>
          <w:tcPr>
            <w:tcW w:w="2659" w:type="pct"/>
            <w:tcBorders>
              <w:top w:val="nil"/>
              <w:left w:val="nil"/>
              <w:bottom w:val="nil"/>
              <w:right w:val="nil"/>
            </w:tcBorders>
          </w:tcPr>
          <w:p w14:paraId="04AC6FF6" w14:textId="77777777" w:rsidR="00443399" w:rsidRPr="00B03B51" w:rsidRDefault="00443399" w:rsidP="0054365B">
            <w:pPr>
              <w:pStyle w:val="TableParagraph"/>
              <w:jc w:val="both"/>
              <w:rPr>
                <w:rFonts w:ascii="Times New Roman" w:hAnsi="Times New Roman" w:cs="Times New Roman"/>
                <w:noProof/>
                <w:sz w:val="24"/>
              </w:rPr>
            </w:pPr>
            <w:r w:rsidRPr="00B03B51">
              <w:rPr>
                <w:rFonts w:ascii="Times New Roman" w:hAnsi="Times New Roman" w:cs="Times New Roman"/>
                <w:sz w:val="24"/>
              </w:rPr>
              <w:t>Citi ražošanas nodokļi</w:t>
            </w:r>
          </w:p>
        </w:tc>
        <w:tc>
          <w:tcPr>
            <w:tcW w:w="2341" w:type="pct"/>
            <w:tcBorders>
              <w:top w:val="nil"/>
              <w:left w:val="nil"/>
              <w:bottom w:val="nil"/>
              <w:right w:val="nil"/>
            </w:tcBorders>
          </w:tcPr>
          <w:p w14:paraId="664FF380" w14:textId="77777777" w:rsidR="00443399" w:rsidRPr="00B03B51" w:rsidRDefault="00443399" w:rsidP="0054365B">
            <w:pPr>
              <w:pStyle w:val="TableParagraph"/>
              <w:jc w:val="both"/>
              <w:rPr>
                <w:rFonts w:ascii="Times New Roman" w:hAnsi="Times New Roman" w:cs="Times New Roman"/>
                <w:noProof/>
                <w:sz w:val="24"/>
              </w:rPr>
            </w:pPr>
            <w:r w:rsidRPr="00B03B51">
              <w:rPr>
                <w:rFonts w:ascii="Times New Roman" w:hAnsi="Times New Roman" w:cs="Times New Roman"/>
                <w:sz w:val="24"/>
              </w:rPr>
              <w:t>EKS 2010, 4.23. punkts</w:t>
            </w:r>
          </w:p>
        </w:tc>
      </w:tr>
      <w:tr w:rsidR="00443399" w:rsidRPr="00B03B51" w14:paraId="5C890E29" w14:textId="77777777" w:rsidTr="0054365B">
        <w:tc>
          <w:tcPr>
            <w:tcW w:w="2659" w:type="pct"/>
            <w:tcBorders>
              <w:top w:val="nil"/>
              <w:left w:val="nil"/>
              <w:bottom w:val="nil"/>
              <w:right w:val="nil"/>
            </w:tcBorders>
          </w:tcPr>
          <w:p w14:paraId="63695C9D" w14:textId="77777777" w:rsidR="00443399" w:rsidRPr="00B03B51" w:rsidRDefault="00443399" w:rsidP="0054365B">
            <w:pPr>
              <w:pStyle w:val="TableParagraph"/>
              <w:jc w:val="both"/>
              <w:rPr>
                <w:rFonts w:ascii="Times New Roman" w:hAnsi="Times New Roman" w:cs="Times New Roman"/>
                <w:noProof/>
                <w:sz w:val="24"/>
              </w:rPr>
            </w:pPr>
            <w:r w:rsidRPr="00B03B51">
              <w:rPr>
                <w:rFonts w:ascii="Times New Roman" w:hAnsi="Times New Roman" w:cs="Times New Roman"/>
                <w:sz w:val="24"/>
              </w:rPr>
              <w:t>Produkcija</w:t>
            </w:r>
          </w:p>
        </w:tc>
        <w:tc>
          <w:tcPr>
            <w:tcW w:w="2341" w:type="pct"/>
            <w:tcBorders>
              <w:top w:val="nil"/>
              <w:left w:val="nil"/>
              <w:bottom w:val="nil"/>
              <w:right w:val="nil"/>
            </w:tcBorders>
          </w:tcPr>
          <w:p w14:paraId="5C12E932" w14:textId="77777777" w:rsidR="00443399" w:rsidRPr="00B03B51" w:rsidRDefault="00443399" w:rsidP="0054365B">
            <w:pPr>
              <w:pStyle w:val="TableParagraph"/>
              <w:jc w:val="both"/>
              <w:rPr>
                <w:rFonts w:ascii="Times New Roman" w:hAnsi="Times New Roman" w:cs="Times New Roman"/>
                <w:noProof/>
                <w:sz w:val="24"/>
              </w:rPr>
            </w:pPr>
            <w:r w:rsidRPr="00B03B51">
              <w:rPr>
                <w:rFonts w:ascii="Times New Roman" w:hAnsi="Times New Roman" w:cs="Times New Roman"/>
                <w:sz w:val="24"/>
              </w:rPr>
              <w:t>EKS 2010, 3.14. un turpmākie punkti</w:t>
            </w:r>
          </w:p>
        </w:tc>
      </w:tr>
      <w:tr w:rsidR="00443399" w:rsidRPr="00B03B51" w14:paraId="3199B30E" w14:textId="77777777" w:rsidTr="0054365B">
        <w:tc>
          <w:tcPr>
            <w:tcW w:w="2659" w:type="pct"/>
            <w:tcBorders>
              <w:top w:val="nil"/>
              <w:left w:val="nil"/>
              <w:bottom w:val="nil"/>
              <w:right w:val="nil"/>
            </w:tcBorders>
          </w:tcPr>
          <w:p w14:paraId="10F1236C" w14:textId="77777777" w:rsidR="00443399" w:rsidRPr="00B03B51" w:rsidRDefault="00443399" w:rsidP="0054365B">
            <w:pPr>
              <w:pStyle w:val="TableParagraph"/>
              <w:jc w:val="both"/>
              <w:rPr>
                <w:rFonts w:ascii="Times New Roman" w:hAnsi="Times New Roman" w:cs="Times New Roman"/>
                <w:noProof/>
                <w:sz w:val="24"/>
              </w:rPr>
            </w:pPr>
            <w:r w:rsidRPr="00B03B51">
              <w:rPr>
                <w:rFonts w:ascii="Times New Roman" w:hAnsi="Times New Roman" w:cs="Times New Roman"/>
                <w:sz w:val="24"/>
              </w:rPr>
              <w:t>Īpašuma ienākums</w:t>
            </w:r>
          </w:p>
        </w:tc>
        <w:tc>
          <w:tcPr>
            <w:tcW w:w="2341" w:type="pct"/>
            <w:tcBorders>
              <w:top w:val="nil"/>
              <w:left w:val="nil"/>
              <w:bottom w:val="nil"/>
              <w:right w:val="nil"/>
            </w:tcBorders>
          </w:tcPr>
          <w:p w14:paraId="0DE8A8A0" w14:textId="77777777" w:rsidR="00443399" w:rsidRPr="00B03B51" w:rsidRDefault="00443399" w:rsidP="0054365B">
            <w:pPr>
              <w:pStyle w:val="TableParagraph"/>
              <w:jc w:val="both"/>
              <w:rPr>
                <w:rFonts w:ascii="Times New Roman" w:hAnsi="Times New Roman" w:cs="Times New Roman"/>
                <w:noProof/>
                <w:sz w:val="24"/>
              </w:rPr>
            </w:pPr>
            <w:r w:rsidRPr="00B03B51">
              <w:rPr>
                <w:rFonts w:ascii="Times New Roman" w:hAnsi="Times New Roman" w:cs="Times New Roman"/>
                <w:sz w:val="24"/>
              </w:rPr>
              <w:t>EKS 2010 4.41. punkts</w:t>
            </w:r>
          </w:p>
        </w:tc>
      </w:tr>
      <w:tr w:rsidR="00443399" w:rsidRPr="00B03B51" w14:paraId="59D970CA" w14:textId="77777777" w:rsidTr="0054365B">
        <w:tc>
          <w:tcPr>
            <w:tcW w:w="2659" w:type="pct"/>
            <w:tcBorders>
              <w:top w:val="nil"/>
              <w:left w:val="nil"/>
              <w:bottom w:val="nil"/>
              <w:right w:val="nil"/>
            </w:tcBorders>
          </w:tcPr>
          <w:p w14:paraId="7076EB03" w14:textId="77777777" w:rsidR="00443399" w:rsidRPr="00B03B51" w:rsidRDefault="00443399" w:rsidP="0054365B">
            <w:pPr>
              <w:pStyle w:val="TableParagraph"/>
              <w:jc w:val="both"/>
              <w:rPr>
                <w:rFonts w:ascii="Times New Roman" w:hAnsi="Times New Roman" w:cs="Times New Roman"/>
                <w:noProof/>
                <w:sz w:val="24"/>
              </w:rPr>
            </w:pPr>
            <w:r w:rsidRPr="00B03B51">
              <w:rPr>
                <w:rFonts w:ascii="Times New Roman" w:hAnsi="Times New Roman" w:cs="Times New Roman"/>
                <w:sz w:val="24"/>
              </w:rPr>
              <w:t>Rente</w:t>
            </w:r>
          </w:p>
        </w:tc>
        <w:tc>
          <w:tcPr>
            <w:tcW w:w="2341" w:type="pct"/>
            <w:tcBorders>
              <w:top w:val="nil"/>
              <w:left w:val="nil"/>
              <w:bottom w:val="nil"/>
              <w:right w:val="nil"/>
            </w:tcBorders>
          </w:tcPr>
          <w:p w14:paraId="1D22C482" w14:textId="77777777" w:rsidR="00443399" w:rsidRPr="00B03B51" w:rsidRDefault="00443399" w:rsidP="0054365B">
            <w:pPr>
              <w:pStyle w:val="TableParagraph"/>
              <w:jc w:val="both"/>
              <w:rPr>
                <w:rFonts w:ascii="Times New Roman" w:hAnsi="Times New Roman" w:cs="Times New Roman"/>
                <w:noProof/>
                <w:sz w:val="24"/>
              </w:rPr>
            </w:pPr>
            <w:r w:rsidRPr="00B03B51">
              <w:rPr>
                <w:rFonts w:ascii="Times New Roman" w:hAnsi="Times New Roman" w:cs="Times New Roman"/>
                <w:sz w:val="24"/>
              </w:rPr>
              <w:t>EKS 2010, 4.72–4.76. punkts</w:t>
            </w:r>
          </w:p>
        </w:tc>
      </w:tr>
      <w:tr w:rsidR="00443399" w:rsidRPr="00B03B51" w14:paraId="22EFAF3D" w14:textId="77777777" w:rsidTr="0054365B">
        <w:tc>
          <w:tcPr>
            <w:tcW w:w="2659" w:type="pct"/>
            <w:tcBorders>
              <w:top w:val="nil"/>
              <w:left w:val="nil"/>
              <w:bottom w:val="nil"/>
              <w:right w:val="nil"/>
            </w:tcBorders>
          </w:tcPr>
          <w:p w14:paraId="05C8CCC1" w14:textId="77777777" w:rsidR="00443399" w:rsidRPr="00B03B51" w:rsidRDefault="00443399" w:rsidP="0054365B">
            <w:pPr>
              <w:pStyle w:val="TableParagraph"/>
              <w:jc w:val="both"/>
              <w:rPr>
                <w:rFonts w:ascii="Times New Roman" w:hAnsi="Times New Roman" w:cs="Times New Roman"/>
                <w:noProof/>
                <w:sz w:val="24"/>
              </w:rPr>
            </w:pPr>
            <w:r w:rsidRPr="00B03B51">
              <w:rPr>
                <w:rFonts w:ascii="Times New Roman" w:hAnsi="Times New Roman" w:cs="Times New Roman"/>
                <w:sz w:val="24"/>
              </w:rPr>
              <w:t>Plūsmu ierakstīšanas laiks</w:t>
            </w:r>
          </w:p>
        </w:tc>
        <w:tc>
          <w:tcPr>
            <w:tcW w:w="2341" w:type="pct"/>
            <w:tcBorders>
              <w:top w:val="nil"/>
              <w:left w:val="nil"/>
              <w:bottom w:val="nil"/>
              <w:right w:val="nil"/>
            </w:tcBorders>
          </w:tcPr>
          <w:p w14:paraId="0363B3A7" w14:textId="77777777" w:rsidR="00443399" w:rsidRPr="00B03B51" w:rsidRDefault="00443399" w:rsidP="0054365B">
            <w:pPr>
              <w:pStyle w:val="TableParagraph"/>
              <w:jc w:val="both"/>
              <w:rPr>
                <w:rFonts w:ascii="Times New Roman" w:hAnsi="Times New Roman" w:cs="Times New Roman"/>
                <w:noProof/>
                <w:sz w:val="24"/>
              </w:rPr>
            </w:pPr>
            <w:r w:rsidRPr="00B03B51">
              <w:rPr>
                <w:rFonts w:ascii="Times New Roman" w:hAnsi="Times New Roman" w:cs="Times New Roman"/>
                <w:sz w:val="24"/>
              </w:rPr>
              <w:t>EKS 2010, 1.101. punkts</w:t>
            </w:r>
          </w:p>
        </w:tc>
      </w:tr>
      <w:tr w:rsidR="00443399" w:rsidRPr="00B03B51" w14:paraId="2D0108DD" w14:textId="77777777" w:rsidTr="0054365B">
        <w:tc>
          <w:tcPr>
            <w:tcW w:w="2659" w:type="pct"/>
            <w:tcBorders>
              <w:top w:val="nil"/>
              <w:left w:val="nil"/>
              <w:bottom w:val="nil"/>
              <w:right w:val="nil"/>
            </w:tcBorders>
          </w:tcPr>
          <w:p w14:paraId="60227905" w14:textId="77777777" w:rsidR="00443399" w:rsidRPr="00B03B51" w:rsidRDefault="00443399" w:rsidP="0054365B">
            <w:pPr>
              <w:pStyle w:val="TableParagraph"/>
              <w:jc w:val="both"/>
              <w:rPr>
                <w:rFonts w:ascii="Times New Roman" w:hAnsi="Times New Roman" w:cs="Times New Roman"/>
                <w:noProof/>
                <w:sz w:val="24"/>
              </w:rPr>
            </w:pPr>
            <w:r w:rsidRPr="00B03B51">
              <w:rPr>
                <w:rFonts w:ascii="Times New Roman" w:hAnsi="Times New Roman" w:cs="Times New Roman"/>
                <w:sz w:val="24"/>
              </w:rPr>
              <w:t>Darījums ar neražotiem aktīviem</w:t>
            </w:r>
          </w:p>
        </w:tc>
        <w:tc>
          <w:tcPr>
            <w:tcW w:w="2341" w:type="pct"/>
            <w:tcBorders>
              <w:top w:val="nil"/>
              <w:left w:val="nil"/>
              <w:bottom w:val="nil"/>
              <w:right w:val="nil"/>
            </w:tcBorders>
          </w:tcPr>
          <w:p w14:paraId="2589A80F" w14:textId="77777777" w:rsidR="00443399" w:rsidRPr="00B03B51" w:rsidRDefault="00443399" w:rsidP="0054365B">
            <w:pPr>
              <w:pStyle w:val="TableParagraph"/>
              <w:jc w:val="both"/>
              <w:rPr>
                <w:rFonts w:ascii="Times New Roman" w:hAnsi="Times New Roman" w:cs="Times New Roman"/>
                <w:noProof/>
                <w:sz w:val="24"/>
              </w:rPr>
            </w:pPr>
            <w:r w:rsidRPr="00B03B51">
              <w:rPr>
                <w:rFonts w:ascii="Times New Roman" w:hAnsi="Times New Roman" w:cs="Times New Roman"/>
                <w:sz w:val="24"/>
              </w:rPr>
              <w:t>EKS 2010, 3.184. un turpmākie punkti</w:t>
            </w:r>
          </w:p>
        </w:tc>
      </w:tr>
    </w:tbl>
    <w:p w14:paraId="5BD6799E" w14:textId="77777777" w:rsidR="00443399" w:rsidRPr="00B03B51" w:rsidRDefault="00443399" w:rsidP="00443399">
      <w:pPr>
        <w:rPr>
          <w:rFonts w:ascii="Times New Roman" w:eastAsia="Times New Roman" w:hAnsi="Times New Roman" w:cs="Times New Roman"/>
          <w:noProof/>
          <w:sz w:val="24"/>
          <w:szCs w:val="17"/>
        </w:rPr>
      </w:pPr>
      <w:r w:rsidRPr="00B03B51">
        <w:rPr>
          <w:rFonts w:ascii="Times New Roman" w:hAnsi="Times New Roman" w:cs="Times New Roman"/>
        </w:rPr>
        <w:br w:type="page"/>
      </w:r>
    </w:p>
    <w:p w14:paraId="4E048FF1" w14:textId="77777777" w:rsidR="00443399" w:rsidRPr="00B03B51" w:rsidRDefault="00443399" w:rsidP="00443399">
      <w:pPr>
        <w:jc w:val="both"/>
        <w:rPr>
          <w:rFonts w:ascii="Times New Roman" w:eastAsia="Times New Roman" w:hAnsi="Times New Roman" w:cs="Times New Roman"/>
          <w:noProof/>
          <w:sz w:val="24"/>
          <w:szCs w:val="56"/>
        </w:rPr>
      </w:pPr>
    </w:p>
    <w:p w14:paraId="2012FFD2" w14:textId="77777777" w:rsidR="00443399" w:rsidRPr="00B03B51" w:rsidRDefault="00443399" w:rsidP="00443399">
      <w:pPr>
        <w:pStyle w:val="Heading1"/>
        <w:ind w:left="0"/>
        <w:jc w:val="both"/>
        <w:rPr>
          <w:rFonts w:ascii="Times New Roman" w:hAnsi="Times New Roman" w:cs="Times New Roman"/>
          <w:noProof/>
          <w:sz w:val="28"/>
          <w:szCs w:val="72"/>
        </w:rPr>
      </w:pPr>
      <w:bookmarkStart w:id="554" w:name="7._Debt_related_transactions_and_guarant"/>
      <w:bookmarkStart w:id="555" w:name="_bookmark54"/>
      <w:bookmarkStart w:id="556" w:name="_Toc67565195"/>
      <w:bookmarkEnd w:id="554"/>
      <w:bookmarkEnd w:id="555"/>
      <w:r w:rsidRPr="00B03B51">
        <w:rPr>
          <w:rFonts w:ascii="Times New Roman" w:hAnsi="Times New Roman" w:cs="Times New Roman"/>
          <w:sz w:val="28"/>
          <w:szCs w:val="72"/>
        </w:rPr>
        <w:t>7. Ar parādu saistītie darījumi un garantijas</w:t>
      </w:r>
      <w:bookmarkEnd w:id="556"/>
    </w:p>
    <w:p w14:paraId="0300B620" w14:textId="77777777" w:rsidR="00443399" w:rsidRPr="00B03B51" w:rsidRDefault="00443399" w:rsidP="00443399">
      <w:pPr>
        <w:jc w:val="both"/>
        <w:rPr>
          <w:rFonts w:ascii="Times New Roman" w:eastAsia="Arial" w:hAnsi="Times New Roman" w:cs="Times New Roman"/>
          <w:b/>
          <w:bCs/>
          <w:noProof/>
          <w:sz w:val="28"/>
          <w:szCs w:val="28"/>
        </w:rPr>
      </w:pPr>
    </w:p>
    <w:p w14:paraId="4D57898B" w14:textId="77777777" w:rsidR="00443399" w:rsidRPr="00B03B51" w:rsidRDefault="00443399" w:rsidP="00443399">
      <w:pPr>
        <w:pStyle w:val="Heading2"/>
        <w:spacing w:before="0"/>
        <w:ind w:left="0" w:firstLine="0"/>
        <w:jc w:val="both"/>
        <w:rPr>
          <w:rFonts w:ascii="Times New Roman" w:hAnsi="Times New Roman" w:cs="Times New Roman"/>
          <w:noProof/>
          <w:sz w:val="28"/>
          <w:szCs w:val="44"/>
        </w:rPr>
      </w:pPr>
      <w:bookmarkStart w:id="557" w:name="7.1_Overview"/>
      <w:bookmarkStart w:id="558" w:name="_bookmark55"/>
      <w:bookmarkStart w:id="559" w:name="_Toc67565196"/>
      <w:bookmarkEnd w:id="557"/>
      <w:bookmarkEnd w:id="558"/>
      <w:r w:rsidRPr="00B03B51">
        <w:rPr>
          <w:rFonts w:ascii="Times New Roman" w:hAnsi="Times New Roman" w:cs="Times New Roman"/>
          <w:sz w:val="28"/>
          <w:szCs w:val="44"/>
        </w:rPr>
        <w:t>7.1. Pārskats</w:t>
      </w:r>
      <w:bookmarkEnd w:id="559"/>
    </w:p>
    <w:p w14:paraId="324481E0" w14:textId="77777777" w:rsidR="00443399" w:rsidRPr="00B03B51" w:rsidRDefault="00443399" w:rsidP="00443399">
      <w:pPr>
        <w:pStyle w:val="BodyText"/>
        <w:tabs>
          <w:tab w:val="left" w:pos="1986"/>
        </w:tabs>
        <w:spacing w:before="0"/>
        <w:ind w:left="0" w:firstLine="0"/>
        <w:jc w:val="both"/>
        <w:rPr>
          <w:rFonts w:ascii="Times New Roman" w:hAnsi="Times New Roman" w:cs="Times New Roman"/>
          <w:noProof/>
          <w:sz w:val="24"/>
        </w:rPr>
      </w:pPr>
    </w:p>
    <w:p w14:paraId="093739D5" w14:textId="77777777" w:rsidR="00443399" w:rsidRPr="00B03B51" w:rsidRDefault="00443399" w:rsidP="00443399">
      <w:pPr>
        <w:pStyle w:val="BodyText"/>
        <w:tabs>
          <w:tab w:val="left" w:pos="1986"/>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 Šajā daļā ir apspriests valdībai pienākošos parādu (valdības aktīvu) traktējums, nevis parāds kā valdības saistības (skat. 8. daļu “Vispārējās valdības parāda apmēra noteikšana”). Dažkārt valdības ar sociālo un ekonomisko attīstību saistītas politikas dēļ vai starptautisko attiecību dēļ atbrīvo atsevišķus ekonomikas subjektus no visām parādsaistībām vai to daļas. Šāda rīcība ietekmē valdības neto aizdevumu/aizņēmumu, jo tā ir brīvprātīgs bagātības pārvedums (kas līdz ar to jāieraksta kā kapitāla pārvedums).</w:t>
      </w:r>
    </w:p>
    <w:p w14:paraId="26B2507C" w14:textId="77777777" w:rsidR="00443399" w:rsidRPr="00B03B51" w:rsidRDefault="00443399" w:rsidP="00443399">
      <w:pPr>
        <w:pStyle w:val="BodyText"/>
        <w:tabs>
          <w:tab w:val="left" w:pos="1986"/>
        </w:tabs>
        <w:spacing w:before="0"/>
        <w:ind w:left="0" w:firstLine="0"/>
        <w:jc w:val="both"/>
        <w:rPr>
          <w:rFonts w:ascii="Times New Roman" w:hAnsi="Times New Roman" w:cs="Times New Roman"/>
          <w:noProof/>
          <w:sz w:val="24"/>
        </w:rPr>
      </w:pPr>
    </w:p>
    <w:p w14:paraId="21C6700D" w14:textId="5A30BD67" w:rsidR="00443399" w:rsidRPr="00B03B51" w:rsidRDefault="00443399" w:rsidP="00443399">
      <w:pPr>
        <w:pStyle w:val="BodyText"/>
        <w:tabs>
          <w:tab w:val="left" w:pos="1986"/>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2. Valdība var a</w:t>
      </w:r>
      <w:r w:rsidR="003340BB" w:rsidRPr="00B03B51">
        <w:rPr>
          <w:rFonts w:ascii="Times New Roman" w:hAnsi="Times New Roman" w:cs="Times New Roman"/>
          <w:sz w:val="24"/>
        </w:rPr>
        <w:t>nulēt</w:t>
      </w:r>
      <w:r w:rsidRPr="00B03B51">
        <w:rPr>
          <w:rFonts w:ascii="Times New Roman" w:hAnsi="Times New Roman" w:cs="Times New Roman"/>
          <w:sz w:val="24"/>
        </w:rPr>
        <w:t xml:space="preserve"> sabiedrībai tai piederošu parādu, lai, uzreiz pēc tam pārdodot sabiedrību, nodrošinātu tai augstāku cenu. Šādā gadījumā parāda </w:t>
      </w:r>
      <w:r w:rsidR="008166A3" w:rsidRPr="00B03B51">
        <w:rPr>
          <w:rFonts w:ascii="Times New Roman" w:hAnsi="Times New Roman" w:cs="Times New Roman"/>
          <w:sz w:val="24"/>
        </w:rPr>
        <w:t>anulēšanu</w:t>
      </w:r>
      <w:r w:rsidRPr="00B03B51">
        <w:rPr>
          <w:rFonts w:ascii="Times New Roman" w:hAnsi="Times New Roman" w:cs="Times New Roman"/>
          <w:sz w:val="24"/>
        </w:rPr>
        <w:t xml:space="preserve"> var ierakstīt kā finanšu darījumu. Parādus var arī </w:t>
      </w:r>
      <w:r w:rsidR="00930B43" w:rsidRPr="00B03B51">
        <w:rPr>
          <w:rFonts w:ascii="Times New Roman" w:hAnsi="Times New Roman" w:cs="Times New Roman"/>
          <w:sz w:val="24"/>
        </w:rPr>
        <w:t>anulēt</w:t>
      </w:r>
      <w:r w:rsidRPr="00B03B51">
        <w:rPr>
          <w:rFonts w:ascii="Times New Roman" w:hAnsi="Times New Roman" w:cs="Times New Roman"/>
          <w:sz w:val="24"/>
        </w:rPr>
        <w:t xml:space="preserve"> tādēļ, ka parādnieks vairs nepastāv ne tikai juridiski, bet arī praktiski. Šādā gadījumā noteiktos apstākļos parāda </w:t>
      </w:r>
      <w:r w:rsidR="00211211" w:rsidRPr="00B03B51">
        <w:rPr>
          <w:rFonts w:ascii="Times New Roman" w:hAnsi="Times New Roman" w:cs="Times New Roman"/>
          <w:sz w:val="24"/>
        </w:rPr>
        <w:t>anulēšanu</w:t>
      </w:r>
      <w:r w:rsidRPr="00B03B51">
        <w:rPr>
          <w:rFonts w:ascii="Times New Roman" w:hAnsi="Times New Roman" w:cs="Times New Roman"/>
          <w:sz w:val="24"/>
        </w:rPr>
        <w:t xml:space="preserve"> var ierakstīt kā citu plūsmu. Principā neviens no ierakstiem tieši neietekmē neto aizdevumu/aizņēmumu.</w:t>
      </w:r>
    </w:p>
    <w:p w14:paraId="54C575BE" w14:textId="77777777" w:rsidR="00443399" w:rsidRPr="00B03B51" w:rsidRDefault="00443399" w:rsidP="00443399">
      <w:pPr>
        <w:pStyle w:val="BodyText"/>
        <w:tabs>
          <w:tab w:val="left" w:pos="1986"/>
        </w:tabs>
        <w:spacing w:before="0"/>
        <w:ind w:left="0" w:firstLine="0"/>
        <w:jc w:val="both"/>
        <w:rPr>
          <w:rFonts w:ascii="Times New Roman" w:hAnsi="Times New Roman" w:cs="Times New Roman"/>
          <w:noProof/>
          <w:sz w:val="24"/>
        </w:rPr>
      </w:pPr>
    </w:p>
    <w:p w14:paraId="3642DDC1" w14:textId="41B130DB" w:rsidR="00443399" w:rsidRPr="00B03B51" w:rsidRDefault="00443399" w:rsidP="00443399">
      <w:pPr>
        <w:pStyle w:val="BodyText"/>
        <w:tabs>
          <w:tab w:val="left" w:pos="1986"/>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 xml:space="preserve">3. Dažos gadījumos, piemēram, ja parāda </w:t>
      </w:r>
      <w:r w:rsidR="00211211" w:rsidRPr="00B03B51">
        <w:rPr>
          <w:rFonts w:ascii="Times New Roman" w:hAnsi="Times New Roman" w:cs="Times New Roman"/>
          <w:sz w:val="24"/>
        </w:rPr>
        <w:t>anulēšanas</w:t>
      </w:r>
      <w:r w:rsidRPr="00B03B51">
        <w:rPr>
          <w:rFonts w:ascii="Times New Roman" w:hAnsi="Times New Roman" w:cs="Times New Roman"/>
          <w:sz w:val="24"/>
        </w:rPr>
        <w:t xml:space="preserve"> vietā pārskata valdības parāda atmaksas grafiku ar Parīzes kluba starpniecību, mainās noteiktās atmaksas nosacījumi. Šeit ir sniegti norādījumi par šo gadījumu traktējumu.</w:t>
      </w:r>
    </w:p>
    <w:p w14:paraId="3E4205E3" w14:textId="77777777" w:rsidR="00443399" w:rsidRPr="00B03B51" w:rsidRDefault="00443399" w:rsidP="00443399">
      <w:pPr>
        <w:pStyle w:val="BodyText"/>
        <w:tabs>
          <w:tab w:val="left" w:pos="1986"/>
        </w:tabs>
        <w:spacing w:before="0"/>
        <w:ind w:left="0" w:firstLine="0"/>
        <w:jc w:val="both"/>
        <w:rPr>
          <w:rFonts w:ascii="Times New Roman" w:hAnsi="Times New Roman" w:cs="Times New Roman"/>
          <w:noProof/>
          <w:sz w:val="24"/>
        </w:rPr>
      </w:pPr>
    </w:p>
    <w:p w14:paraId="05E8A7F7" w14:textId="77777777" w:rsidR="00443399" w:rsidRPr="00B03B51" w:rsidRDefault="00443399" w:rsidP="00443399">
      <w:pPr>
        <w:pStyle w:val="BodyText"/>
        <w:tabs>
          <w:tab w:val="left" w:pos="1986"/>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4. Rokasgrāmatas 7.4. nodaļa “Valdības garantijas” ir veltīta valdības piešķirto garantiju ierakstīšanai. Tas īpaši attiecas uz gadījumiem, kad valdība garantē noteiktu valdības sektoram nepiederošas vienības parādu atmaksu, ja šāda vienība pati to nespēj (tā dēvētās “vienreizējās garantijas”).</w:t>
      </w:r>
    </w:p>
    <w:p w14:paraId="498061AE" w14:textId="77777777" w:rsidR="00443399" w:rsidRPr="00B03B51" w:rsidRDefault="00443399" w:rsidP="00443399">
      <w:pPr>
        <w:pStyle w:val="BodyText"/>
        <w:tabs>
          <w:tab w:val="left" w:pos="1986"/>
        </w:tabs>
        <w:spacing w:before="0"/>
        <w:ind w:left="0" w:firstLine="0"/>
        <w:jc w:val="both"/>
        <w:rPr>
          <w:rFonts w:ascii="Times New Roman" w:hAnsi="Times New Roman" w:cs="Times New Roman"/>
          <w:noProof/>
          <w:sz w:val="24"/>
        </w:rPr>
      </w:pPr>
    </w:p>
    <w:p w14:paraId="5D303DD4" w14:textId="77777777" w:rsidR="00443399" w:rsidRPr="00B03B51" w:rsidRDefault="00443399" w:rsidP="00443399">
      <w:pPr>
        <w:pStyle w:val="BodyText"/>
        <w:tabs>
          <w:tab w:val="left" w:pos="1986"/>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5. Lai gan šeit apspriestās darbības ar parādu attiecas galvenokārt uz sabiedrībām vai ārvalstu valdībām, pamatprincipus piemēro vispārējās valdības attiecībām ar visiem institucionālajiem sektoriem (tostarp mājsaimniecībām un mājsaimniecības apkalpojošajām bezpeļņas institūcijām).</w:t>
      </w:r>
    </w:p>
    <w:p w14:paraId="1EC0E441" w14:textId="77777777" w:rsidR="00443399" w:rsidRPr="00B03B51" w:rsidRDefault="00443399" w:rsidP="00443399">
      <w:pPr>
        <w:rPr>
          <w:rFonts w:ascii="Times New Roman" w:hAnsi="Times New Roman" w:cs="Times New Roman"/>
          <w:noProof/>
          <w:sz w:val="24"/>
        </w:rPr>
      </w:pPr>
      <w:r w:rsidRPr="00B03B51">
        <w:rPr>
          <w:rFonts w:ascii="Times New Roman" w:hAnsi="Times New Roman" w:cs="Times New Roman"/>
        </w:rPr>
        <w:br w:type="page"/>
      </w:r>
    </w:p>
    <w:p w14:paraId="69015D37" w14:textId="77777777" w:rsidR="00443399" w:rsidRPr="00B03B51" w:rsidRDefault="00443399" w:rsidP="00443399">
      <w:pPr>
        <w:jc w:val="both"/>
        <w:rPr>
          <w:rFonts w:ascii="Times New Roman" w:eastAsia="Arial" w:hAnsi="Times New Roman" w:cs="Times New Roman"/>
          <w:noProof/>
          <w:sz w:val="24"/>
          <w:szCs w:val="29"/>
        </w:rPr>
      </w:pPr>
    </w:p>
    <w:p w14:paraId="7461EB62" w14:textId="3DC6C91E" w:rsidR="00443399" w:rsidRPr="00B03B51" w:rsidRDefault="00443399" w:rsidP="00443399">
      <w:pPr>
        <w:pStyle w:val="Heading2"/>
        <w:tabs>
          <w:tab w:val="left" w:pos="1135"/>
        </w:tabs>
        <w:spacing w:before="0"/>
        <w:ind w:left="0" w:firstLine="0"/>
        <w:jc w:val="both"/>
        <w:rPr>
          <w:rFonts w:ascii="Times New Roman" w:hAnsi="Times New Roman" w:cs="Times New Roman"/>
          <w:noProof/>
          <w:sz w:val="28"/>
          <w:szCs w:val="44"/>
        </w:rPr>
      </w:pPr>
      <w:bookmarkStart w:id="560" w:name="7.2_Debt_assumption_and_debt_cancellatio"/>
      <w:bookmarkStart w:id="561" w:name="_bookmark56"/>
      <w:bookmarkStart w:id="562" w:name="_Toc67565197"/>
      <w:bookmarkEnd w:id="560"/>
      <w:bookmarkEnd w:id="561"/>
      <w:r w:rsidRPr="00B03B51">
        <w:rPr>
          <w:rFonts w:ascii="Times New Roman" w:hAnsi="Times New Roman" w:cs="Times New Roman"/>
          <w:sz w:val="28"/>
          <w:szCs w:val="44"/>
        </w:rPr>
        <w:t xml:space="preserve">7.2. Parāda pārņemšana un parāda </w:t>
      </w:r>
      <w:bookmarkEnd w:id="562"/>
      <w:r w:rsidR="00704503" w:rsidRPr="00B03B51">
        <w:rPr>
          <w:rFonts w:ascii="Times New Roman" w:hAnsi="Times New Roman" w:cs="Times New Roman"/>
          <w:sz w:val="28"/>
          <w:szCs w:val="44"/>
        </w:rPr>
        <w:t>anulēšana</w:t>
      </w:r>
    </w:p>
    <w:p w14:paraId="6B8FF7B9" w14:textId="77777777" w:rsidR="00443399" w:rsidRPr="00B03B51" w:rsidRDefault="00443399" w:rsidP="00443399">
      <w:pPr>
        <w:tabs>
          <w:tab w:val="left" w:pos="1267"/>
        </w:tabs>
        <w:jc w:val="both"/>
        <w:rPr>
          <w:rFonts w:ascii="Times New Roman" w:hAnsi="Times New Roman" w:cs="Times New Roman"/>
          <w:b/>
          <w:noProof/>
          <w:sz w:val="24"/>
        </w:rPr>
      </w:pPr>
      <w:bookmarkStart w:id="563" w:name="7.2.1_Background"/>
      <w:bookmarkEnd w:id="563"/>
    </w:p>
    <w:p w14:paraId="0D1F6E6B" w14:textId="77777777" w:rsidR="00443399" w:rsidRPr="00B03B51" w:rsidRDefault="00443399" w:rsidP="00443399">
      <w:pPr>
        <w:pStyle w:val="Heading3"/>
        <w:tabs>
          <w:tab w:val="left" w:pos="1267"/>
        </w:tabs>
        <w:ind w:left="0" w:firstLine="0"/>
        <w:jc w:val="both"/>
        <w:rPr>
          <w:rFonts w:ascii="Times New Roman" w:hAnsi="Times New Roman" w:cs="Times New Roman"/>
          <w:sz w:val="24"/>
        </w:rPr>
      </w:pPr>
      <w:bookmarkStart w:id="564" w:name="_Toc67565198"/>
      <w:r w:rsidRPr="00B03B51">
        <w:rPr>
          <w:rFonts w:ascii="Times New Roman" w:hAnsi="Times New Roman" w:cs="Times New Roman"/>
          <w:sz w:val="24"/>
        </w:rPr>
        <w:t>7.2.1. Vispārīga informācija</w:t>
      </w:r>
      <w:bookmarkEnd w:id="564"/>
    </w:p>
    <w:p w14:paraId="09DBBC3E"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4DD140EF"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 Parāda pārņemšana un publisku un, iespējams, arī privātu sabiedrību saistību izpirkšana, ko īsteno vispārējā valdība, ir svarīgi jautājumi. Lietderīgi ir vispirms noskaidrot terminoloģiju.</w:t>
      </w:r>
    </w:p>
    <w:p w14:paraId="6FB4E351"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09819A1B" w14:textId="77777777" w:rsidR="00443399" w:rsidRPr="00B03B51" w:rsidRDefault="00443399" w:rsidP="0018742C">
      <w:pPr>
        <w:pStyle w:val="BodyText"/>
        <w:numPr>
          <w:ilvl w:val="1"/>
          <w:numId w:val="43"/>
        </w:numPr>
        <w:spacing w:before="0"/>
        <w:ind w:left="426" w:hanging="425"/>
        <w:jc w:val="both"/>
        <w:rPr>
          <w:rFonts w:ascii="Times New Roman" w:hAnsi="Times New Roman" w:cs="Times New Roman"/>
          <w:noProof/>
          <w:sz w:val="24"/>
          <w:szCs w:val="12"/>
        </w:rPr>
      </w:pPr>
      <w:r w:rsidRPr="00B03B51">
        <w:rPr>
          <w:rFonts w:ascii="Times New Roman" w:hAnsi="Times New Roman" w:cs="Times New Roman"/>
          <w:sz w:val="24"/>
        </w:rPr>
        <w:t>Parāda pārņemšana (skat. EKS 2010 20.222. punktu) ir trīspusēja vienošanās starp kreditoru, agrāko debitoru un jauno debitoru, saskaņā ar kuru jaunais debitors uzņemas iepriekšējā debitora nenokārtotās saistības pret kreditoru. Jaunais debitors – šajā gadījumā valdība – kļūst atbildīgs par uzņemto saistību atmaksu. Vecajam debitoram vairs nav saistību pret kreditoru. Īpaši tas notiek gadījumā, ja par agrākā debitora parādu galvojis jaunais debitors un ja tiek pieprasīta garantija (skat. 7.4. nodaļu “Valdības garantijas”).</w:t>
      </w:r>
      <w:r w:rsidRPr="00B03B51">
        <w:rPr>
          <w:rStyle w:val="FootnoteReference"/>
          <w:rFonts w:ascii="Times New Roman" w:hAnsi="Times New Roman" w:cs="Times New Roman"/>
          <w:noProof/>
          <w:sz w:val="24"/>
        </w:rPr>
        <w:footnoteReference w:id="255"/>
      </w:r>
    </w:p>
    <w:p w14:paraId="4C01C511" w14:textId="77777777" w:rsidR="00443399" w:rsidRPr="00B03B51" w:rsidRDefault="00443399" w:rsidP="0018742C">
      <w:pPr>
        <w:pStyle w:val="BodyText"/>
        <w:numPr>
          <w:ilvl w:val="1"/>
          <w:numId w:val="43"/>
        </w:numPr>
        <w:spacing w:before="0"/>
        <w:ind w:left="426" w:hanging="425"/>
        <w:jc w:val="both"/>
        <w:rPr>
          <w:rFonts w:ascii="Times New Roman" w:hAnsi="Times New Roman" w:cs="Times New Roman"/>
          <w:noProof/>
          <w:sz w:val="24"/>
        </w:rPr>
      </w:pPr>
      <w:r w:rsidRPr="00B03B51">
        <w:rPr>
          <w:rFonts w:ascii="Times New Roman" w:hAnsi="Times New Roman" w:cs="Times New Roman"/>
          <w:sz w:val="24"/>
        </w:rPr>
        <w:t>Dažos gadījumos (skat. EKS 2010 20.232. punktu) parāda pārņemšana paredz nefinanšu aktīvu nodošanu no vienības, kura gūst labumu no parāda pārņemšanas (piemēram, no publiskās sabiedrības, kura apsaimnieko publisku infrastruktūru, sabiedrisko transportu u. c.), valdības subjektam, kurš pārņem parādu.</w:t>
      </w:r>
    </w:p>
    <w:p w14:paraId="7AF1ED0C" w14:textId="00D79D45" w:rsidR="00443399" w:rsidRPr="00B03B51" w:rsidRDefault="00443399" w:rsidP="0018742C">
      <w:pPr>
        <w:pStyle w:val="BodyText"/>
        <w:numPr>
          <w:ilvl w:val="1"/>
          <w:numId w:val="43"/>
        </w:numPr>
        <w:spacing w:before="0"/>
        <w:ind w:left="426" w:hanging="425"/>
        <w:jc w:val="both"/>
        <w:rPr>
          <w:rFonts w:ascii="Times New Roman" w:hAnsi="Times New Roman" w:cs="Times New Roman"/>
          <w:noProof/>
          <w:sz w:val="24"/>
        </w:rPr>
      </w:pPr>
      <w:r w:rsidRPr="00B03B51">
        <w:rPr>
          <w:rFonts w:ascii="Times New Roman" w:hAnsi="Times New Roman" w:cs="Times New Roman"/>
          <w:sz w:val="24"/>
        </w:rPr>
        <w:t xml:space="preserve">Parāda </w:t>
      </w:r>
      <w:r w:rsidR="00704503" w:rsidRPr="00B03B51">
        <w:rPr>
          <w:rFonts w:ascii="Times New Roman" w:hAnsi="Times New Roman" w:cs="Times New Roman"/>
          <w:sz w:val="24"/>
        </w:rPr>
        <w:t>anulēšana</w:t>
      </w:r>
      <w:r w:rsidRPr="00B03B51">
        <w:rPr>
          <w:rFonts w:ascii="Times New Roman" w:hAnsi="Times New Roman" w:cs="Times New Roman"/>
          <w:sz w:val="24"/>
        </w:rPr>
        <w:t xml:space="preserve"> jeb atlaišana (skat. EKS 2010 20.225. punktu) ir divpusēja vienošanās starp kreditoru un debitoru, saskaņā ar kuru tiek </w:t>
      </w:r>
      <w:r w:rsidR="00704503" w:rsidRPr="00B03B51">
        <w:rPr>
          <w:rFonts w:ascii="Times New Roman" w:hAnsi="Times New Roman" w:cs="Times New Roman"/>
          <w:sz w:val="24"/>
        </w:rPr>
        <w:t>anulēta</w:t>
      </w:r>
      <w:r w:rsidRPr="00B03B51">
        <w:rPr>
          <w:rFonts w:ascii="Times New Roman" w:hAnsi="Times New Roman" w:cs="Times New Roman"/>
          <w:sz w:val="24"/>
        </w:rPr>
        <w:t xml:space="preserve"> (vai atlaista) daļa no visām nenokārtotajām saistībām vai visas nenokārtotās saistības, kuras debitors ir uzņēmies pret kreditoru. Parāda </w:t>
      </w:r>
      <w:r w:rsidR="001243DE" w:rsidRPr="00B03B51">
        <w:rPr>
          <w:rFonts w:ascii="Times New Roman" w:hAnsi="Times New Roman" w:cs="Times New Roman"/>
          <w:sz w:val="24"/>
        </w:rPr>
        <w:t>anulēšanas</w:t>
      </w:r>
      <w:r w:rsidRPr="00B03B51">
        <w:rPr>
          <w:rFonts w:ascii="Times New Roman" w:hAnsi="Times New Roman" w:cs="Times New Roman"/>
          <w:sz w:val="24"/>
        </w:rPr>
        <w:t xml:space="preserve"> rezultātā debitora saistības un attiecīgie kreditora aktīvi beidz pastāvēt.</w:t>
      </w:r>
    </w:p>
    <w:p w14:paraId="2E1FD754" w14:textId="77777777" w:rsidR="00443399" w:rsidRPr="00B03B51" w:rsidRDefault="00443399" w:rsidP="0018742C">
      <w:pPr>
        <w:pStyle w:val="BodyText"/>
        <w:numPr>
          <w:ilvl w:val="1"/>
          <w:numId w:val="43"/>
        </w:numPr>
        <w:spacing w:before="0"/>
        <w:ind w:left="426" w:hanging="425"/>
        <w:jc w:val="both"/>
        <w:rPr>
          <w:rFonts w:ascii="Times New Roman" w:hAnsi="Times New Roman" w:cs="Times New Roman"/>
          <w:noProof/>
          <w:sz w:val="24"/>
        </w:rPr>
      </w:pPr>
      <w:r w:rsidRPr="00B03B51">
        <w:rPr>
          <w:rFonts w:ascii="Times New Roman" w:hAnsi="Times New Roman" w:cs="Times New Roman"/>
          <w:sz w:val="24"/>
        </w:rPr>
        <w:t>Lai daļēji vai pilnīgi norakstītu parādu, nav nepieciešams divpusējs līgums, un tas notiek, ja kreditors ir vienpusēji un parasti bez paziņošanas debitoram atzinis, ka prasījumu nav iespējams iekasēt (galvenokārt tādēļ, ka debitors ir bankrotējis). Šādā scenārijā kreditors svītro šo prasījumu no savas bilances aktīva puses.</w:t>
      </w:r>
    </w:p>
    <w:p w14:paraId="16946FA2" w14:textId="77777777" w:rsidR="00443399" w:rsidRPr="00B03B51" w:rsidRDefault="00443399" w:rsidP="00443399">
      <w:pPr>
        <w:jc w:val="both"/>
        <w:rPr>
          <w:rFonts w:ascii="Times New Roman" w:eastAsia="Arial" w:hAnsi="Times New Roman" w:cs="Times New Roman"/>
          <w:noProof/>
          <w:sz w:val="24"/>
          <w:szCs w:val="19"/>
        </w:rPr>
      </w:pPr>
    </w:p>
    <w:p w14:paraId="578B6394" w14:textId="77777777" w:rsidR="00443399" w:rsidRPr="00B03B51" w:rsidRDefault="00443399" w:rsidP="00443399">
      <w:pPr>
        <w:pStyle w:val="Heading3"/>
        <w:tabs>
          <w:tab w:val="left" w:pos="1267"/>
        </w:tabs>
        <w:ind w:left="0" w:firstLine="0"/>
        <w:jc w:val="both"/>
        <w:rPr>
          <w:rFonts w:ascii="Times New Roman" w:hAnsi="Times New Roman" w:cs="Times New Roman"/>
          <w:sz w:val="24"/>
        </w:rPr>
      </w:pPr>
      <w:bookmarkStart w:id="565" w:name="7.2.2_Treatment_in_national_accounts"/>
      <w:bookmarkStart w:id="566" w:name="_Toc67565199"/>
      <w:bookmarkEnd w:id="565"/>
      <w:r w:rsidRPr="00B03B51">
        <w:rPr>
          <w:rFonts w:ascii="Times New Roman" w:hAnsi="Times New Roman" w:cs="Times New Roman"/>
          <w:sz w:val="24"/>
        </w:rPr>
        <w:t>7.2.2. Traktējums nacionālajos kontos</w:t>
      </w:r>
      <w:bookmarkEnd w:id="566"/>
    </w:p>
    <w:p w14:paraId="19781AC8" w14:textId="77777777" w:rsidR="00443399" w:rsidRPr="00545222" w:rsidRDefault="00443399" w:rsidP="00545222">
      <w:pPr>
        <w:rPr>
          <w:rFonts w:ascii="Times New Roman" w:hAnsi="Times New Roman" w:cs="Times New Roman"/>
          <w:noProof/>
          <w:sz w:val="24"/>
          <w:szCs w:val="24"/>
        </w:rPr>
      </w:pPr>
      <w:bookmarkStart w:id="567" w:name="7.2.2.1_Mutual_Agreement"/>
      <w:bookmarkEnd w:id="567"/>
    </w:p>
    <w:p w14:paraId="2FA8215B" w14:textId="77777777" w:rsidR="00443399" w:rsidRPr="00B03B51" w:rsidRDefault="00443399" w:rsidP="00443399">
      <w:pPr>
        <w:pStyle w:val="Heading6"/>
        <w:tabs>
          <w:tab w:val="left" w:pos="1267"/>
        </w:tabs>
        <w:ind w:left="0" w:firstLine="0"/>
        <w:jc w:val="both"/>
        <w:rPr>
          <w:rFonts w:ascii="Times New Roman" w:hAnsi="Times New Roman" w:cs="Times New Roman"/>
          <w:noProof/>
          <w:sz w:val="24"/>
        </w:rPr>
      </w:pPr>
      <w:r w:rsidRPr="00B03B51">
        <w:rPr>
          <w:rFonts w:ascii="Times New Roman" w:hAnsi="Times New Roman" w:cs="Times New Roman"/>
          <w:sz w:val="24"/>
        </w:rPr>
        <w:t>7.2.2.1. SAVSTARPĒJA VIENOŠANĀS</w:t>
      </w:r>
    </w:p>
    <w:p w14:paraId="60146A76"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0A4518DF"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2. Parāda pārņemšanas vai parāda anulēšanas pretvērtības darījums ir kapitāla pārvedums.</w:t>
      </w:r>
    </w:p>
    <w:p w14:paraId="17D7DAFC"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4EF8C352"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3. Līdz ar to, ja valdība uzņemas publiskas sabiedrības parādu vai atceļ prasījumu, kas tai ir pret sabiedrību, pretvērtības darījums finanšu plūsmām, kuras ierakstītas finanšu kontos, ir kapitāla pārvedums (D.99) jeb izdevumi, kas negatīvi ietekmē valdības neto aizdevumu/aizņēmumu (B.9).</w:t>
      </w:r>
    </w:p>
    <w:p w14:paraId="386A0F75"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57DFE035"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4. Daudzos gadījumos vispārējā valdība pēc savas ierosmes nolemj anulēt parādu vai pārņemt to. Tiek uzskatīts, ka sabiedrība piekrīt šādam pasākumam (maz ticams, ka tā varētu atteikties no šādas “dāvanas”) un turpina darbību, pamatojoties uz savstarpēju vienošanos.</w:t>
      </w:r>
    </w:p>
    <w:p w14:paraId="42A92FE3" w14:textId="77777777" w:rsidR="00443399" w:rsidRPr="00B03B51" w:rsidRDefault="00443399" w:rsidP="00443399">
      <w:pPr>
        <w:jc w:val="both"/>
        <w:rPr>
          <w:rFonts w:ascii="Times New Roman" w:eastAsia="Arial" w:hAnsi="Times New Roman" w:cs="Times New Roman"/>
          <w:noProof/>
          <w:sz w:val="24"/>
          <w:szCs w:val="15"/>
        </w:rPr>
      </w:pPr>
    </w:p>
    <w:p w14:paraId="6F9F011C" w14:textId="77777777" w:rsidR="00443399" w:rsidRPr="00B03B51" w:rsidRDefault="00443399" w:rsidP="00443399">
      <w:pPr>
        <w:pStyle w:val="Heading6"/>
        <w:tabs>
          <w:tab w:val="left" w:pos="1267"/>
        </w:tabs>
        <w:ind w:left="0" w:firstLine="0"/>
        <w:jc w:val="both"/>
        <w:rPr>
          <w:rFonts w:ascii="Times New Roman" w:hAnsi="Times New Roman" w:cs="Times New Roman"/>
          <w:noProof/>
          <w:sz w:val="24"/>
        </w:rPr>
      </w:pPr>
      <w:bookmarkStart w:id="568" w:name="7.2.2.2_Other_cases"/>
      <w:bookmarkEnd w:id="568"/>
      <w:r w:rsidRPr="00B03B51">
        <w:rPr>
          <w:rFonts w:ascii="Times New Roman" w:hAnsi="Times New Roman" w:cs="Times New Roman"/>
          <w:sz w:val="24"/>
        </w:rPr>
        <w:t>7.2.2.2. CITI GADĪJUMI</w:t>
      </w:r>
    </w:p>
    <w:p w14:paraId="41FA93B8"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4501E01F"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5. Pastāv trīs izņēmumi attiecībā uz savstarpējās vienošanās traktējumu. Šajos gadījumos parāda pārņemšana/anulēšana neietekmē valdības neto aizdevumu/ neto aizņēmumu (B.9) un nepastāv nefinanšu darījums.</w:t>
      </w:r>
    </w:p>
    <w:p w14:paraId="73FFDCC6" w14:textId="77777777" w:rsidR="00443399" w:rsidRPr="00545222" w:rsidRDefault="00443399" w:rsidP="00545222">
      <w:pPr>
        <w:rPr>
          <w:rFonts w:ascii="Times New Roman" w:hAnsi="Times New Roman" w:cs="Times New Roman"/>
          <w:noProof/>
          <w:sz w:val="24"/>
          <w:szCs w:val="24"/>
        </w:rPr>
      </w:pPr>
      <w:bookmarkStart w:id="569" w:name="7.2.2.2.1._Debt_of_a_quasi-corporation"/>
      <w:bookmarkEnd w:id="569"/>
    </w:p>
    <w:p w14:paraId="39C59E21" w14:textId="77777777" w:rsidR="00443399" w:rsidRPr="00B03B51" w:rsidRDefault="00443399" w:rsidP="00443399">
      <w:pPr>
        <w:pStyle w:val="Heading6"/>
        <w:tabs>
          <w:tab w:val="left" w:pos="1692"/>
        </w:tabs>
        <w:ind w:left="0" w:firstLine="0"/>
        <w:jc w:val="both"/>
        <w:rPr>
          <w:rFonts w:ascii="Times New Roman" w:hAnsi="Times New Roman" w:cs="Times New Roman"/>
          <w:noProof/>
          <w:sz w:val="24"/>
        </w:rPr>
      </w:pPr>
      <w:r w:rsidRPr="00B03B51">
        <w:rPr>
          <w:rFonts w:ascii="Times New Roman" w:hAnsi="Times New Roman" w:cs="Times New Roman"/>
          <w:sz w:val="24"/>
        </w:rPr>
        <w:t>7.2.2.2.1. Kvazisabiedrības parāds</w:t>
      </w:r>
    </w:p>
    <w:p w14:paraId="6D5017C0"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34AC10B2"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6. EKS 2010 5.39. punktā noteikts, ka gadījumā, ja parādu pārņem vai anulē ienesīgas kvazisabiedrības īpašnieks (kas valdības gadījumā pēc būtības ir publiska vienība), kapitāla pārvedums netiek ierakstīts. Pretvērtības darījums jāieraksta kā finanšu darījums ar pašu kapitālu (F.51).</w:t>
      </w:r>
    </w:p>
    <w:p w14:paraId="48093E87"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25B08DEC"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7. Tomēr šis nosacījums ir spēkā, ciktāl kvazisabiedrība ir ienesīga, proti, ja tai nav uzkrātu zaudējumu vai ārkārtīgi liela zaudējuma, kas būtu jāsedz no iepriekš minētajiem darījumiem, kapitāla pārvedums jāieraksta līdz šo zaudējumu robežai.</w:t>
      </w:r>
    </w:p>
    <w:p w14:paraId="01415827" w14:textId="77777777" w:rsidR="00443399" w:rsidRPr="00B03B51" w:rsidRDefault="00443399" w:rsidP="00443399">
      <w:pPr>
        <w:jc w:val="both"/>
        <w:rPr>
          <w:rFonts w:ascii="Times New Roman" w:eastAsia="Arial" w:hAnsi="Times New Roman" w:cs="Times New Roman"/>
          <w:noProof/>
          <w:sz w:val="24"/>
          <w:szCs w:val="14"/>
        </w:rPr>
      </w:pPr>
    </w:p>
    <w:p w14:paraId="42DF733C" w14:textId="77777777" w:rsidR="00443399" w:rsidRPr="00B03B51" w:rsidRDefault="00443399" w:rsidP="00443399">
      <w:pPr>
        <w:pStyle w:val="Heading6"/>
        <w:tabs>
          <w:tab w:val="left" w:pos="1692"/>
        </w:tabs>
        <w:ind w:left="0" w:firstLine="0"/>
        <w:jc w:val="both"/>
        <w:rPr>
          <w:rFonts w:ascii="Times New Roman" w:hAnsi="Times New Roman" w:cs="Times New Roman"/>
          <w:noProof/>
          <w:sz w:val="24"/>
        </w:rPr>
      </w:pPr>
      <w:bookmarkStart w:id="570" w:name="7.2.2.2.2._Operations_in_the_context_of_"/>
      <w:bookmarkEnd w:id="570"/>
      <w:r w:rsidRPr="00B03B51">
        <w:rPr>
          <w:rFonts w:ascii="Times New Roman" w:hAnsi="Times New Roman" w:cs="Times New Roman"/>
          <w:sz w:val="24"/>
        </w:rPr>
        <w:t>7.2.2.2.2. Operācijas saistībā ar privatizācijas procesu</w:t>
      </w:r>
    </w:p>
    <w:p w14:paraId="11549EF1"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76622FD5"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8. EKS 2010 5.39. punktā noteikts, ka gadījumā, ja valdība anulē vai pārņem publiskas sabiedrības parādus “kā īstermiņa periodā veicama privatizācijas procesa daļu”, pretvērtības darījums nav kapitāla pārvedums, bet gan darījums ar pašu kapitālu (F.51).</w:t>
      </w:r>
    </w:p>
    <w:p w14:paraId="2FD1E5A2"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22633705"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9. Privatizācija nozīmē atteikšanos no sabiedrības kontroles, ko īsteno, realizējot pašu kapitālu, kas tādējādi mazina valdības balsstiesības.</w:t>
      </w:r>
    </w:p>
    <w:p w14:paraId="53427303"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37431CC5"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10. Šis noteikums jāpiemēro vienīgi tad, ja ir pierādījumi tam, ka privatizācijas process ir faktiski uzsākts (piemēram, izraugoties padomdevēju banku un/vai īpašu konsultatīvo komiteju/komisiju) un var precīzi prognozēt, ka privatizācijas process tiks pabeigts ne ilgāk kā viena gada laikā. Tas, ka pastāv privatizācijas plāns vai valdības paustas apņemšanās, nav pietiekams iemesls, lai parāda pārņemšanu/anulēšanu uzskatītu par “īstermiņa periodā veicama privatizācijas procesa daļu”.</w:t>
      </w:r>
    </w:p>
    <w:p w14:paraId="24B393E0"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183CB7D8"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11. Turklāt pārņemtā vai anulētā parāda plūsma ir jāieraksta kā finanšu darījums, nepārsniedzot privatizācijas ieņēmumu robežu. Valdības pārņemtās vai anulētās summas, kuras pārsniedz šo robežu, ieraksta kā valdības kapitāla pārveduma izdevumus.</w:t>
      </w:r>
    </w:p>
    <w:p w14:paraId="6C65872C" w14:textId="77777777" w:rsidR="00443399" w:rsidRPr="00545222" w:rsidRDefault="00443399" w:rsidP="00545222">
      <w:pPr>
        <w:rPr>
          <w:rFonts w:ascii="Times New Roman" w:hAnsi="Times New Roman" w:cs="Times New Roman"/>
          <w:noProof/>
          <w:sz w:val="24"/>
          <w:szCs w:val="24"/>
        </w:rPr>
      </w:pPr>
      <w:bookmarkStart w:id="571" w:name="7.2.2.2.3._Write-offs"/>
      <w:bookmarkEnd w:id="571"/>
    </w:p>
    <w:p w14:paraId="0DFF9B8C" w14:textId="77777777" w:rsidR="00443399" w:rsidRPr="00B03B51" w:rsidRDefault="00443399" w:rsidP="00443399">
      <w:pPr>
        <w:pStyle w:val="Heading6"/>
        <w:tabs>
          <w:tab w:val="left" w:pos="1692"/>
        </w:tabs>
        <w:ind w:left="0" w:firstLine="0"/>
        <w:jc w:val="both"/>
        <w:rPr>
          <w:rFonts w:ascii="Times New Roman" w:hAnsi="Times New Roman" w:cs="Times New Roman"/>
          <w:noProof/>
          <w:sz w:val="24"/>
        </w:rPr>
      </w:pPr>
      <w:r w:rsidRPr="00B03B51">
        <w:rPr>
          <w:rFonts w:ascii="Times New Roman" w:hAnsi="Times New Roman" w:cs="Times New Roman"/>
          <w:sz w:val="24"/>
        </w:rPr>
        <w:t>7.2.2.2.3. Norakstīšana</w:t>
      </w:r>
    </w:p>
    <w:p w14:paraId="21FF0761"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4FCACC95"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12. Valdības prasījumi pret likvidācijas procesā esošu sabiedrību var tikt norakstīti. Likvidācija jānovērtē no ekonomiskā viedokļa, nevis no juridiskā viedokļa, jo sabiedrība parasti turpina juridiski pastāvēt līdz pat likvidācijas procesa beigām, lai arī ir zaudējusi savu finansiālo segumu un galveno ekonomisko funkciju.</w:t>
      </w:r>
      <w:r w:rsidRPr="00B03B51">
        <w:rPr>
          <w:rStyle w:val="FootnoteReference"/>
          <w:rFonts w:ascii="Times New Roman" w:hAnsi="Times New Roman" w:cs="Times New Roman"/>
          <w:noProof/>
          <w:sz w:val="24"/>
        </w:rPr>
        <w:footnoteReference w:id="256"/>
      </w:r>
    </w:p>
    <w:p w14:paraId="321760BF"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45E75973"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13. Šādu prasījumu norakstīšanu parasti ieraksta EKS 2010 kā citas aktīvu apjoma pārmaiņas (K.5) bez ietekmes uz neto aizņēmumu/aizdevumu (B.9), taču kapitāla pārvedumu var ierakstīt dažos īpašos gadījumos.</w:t>
      </w:r>
    </w:p>
    <w:p w14:paraId="575F775A" w14:textId="77777777" w:rsidR="00443399" w:rsidRPr="006447B0" w:rsidRDefault="00443399" w:rsidP="006447B0">
      <w:pPr>
        <w:rPr>
          <w:rFonts w:ascii="Times New Roman" w:hAnsi="Times New Roman" w:cs="Times New Roman"/>
          <w:noProof/>
          <w:sz w:val="24"/>
          <w:szCs w:val="24"/>
        </w:rPr>
      </w:pPr>
      <w:bookmarkStart w:id="572" w:name="7.2.2.2.4._Debt_assumption_including_a_t"/>
      <w:bookmarkEnd w:id="572"/>
    </w:p>
    <w:p w14:paraId="0472AB17" w14:textId="77777777" w:rsidR="00443399" w:rsidRPr="00B03B51" w:rsidRDefault="00443399" w:rsidP="00443399">
      <w:pPr>
        <w:pStyle w:val="Heading6"/>
        <w:tabs>
          <w:tab w:val="left" w:pos="1692"/>
        </w:tabs>
        <w:ind w:left="0" w:firstLine="0"/>
        <w:jc w:val="both"/>
        <w:rPr>
          <w:rFonts w:ascii="Times New Roman" w:hAnsi="Times New Roman" w:cs="Times New Roman"/>
          <w:noProof/>
          <w:sz w:val="24"/>
        </w:rPr>
      </w:pPr>
      <w:r w:rsidRPr="00B03B51">
        <w:rPr>
          <w:rFonts w:ascii="Times New Roman" w:hAnsi="Times New Roman" w:cs="Times New Roman"/>
          <w:sz w:val="24"/>
        </w:rPr>
        <w:t>7.2.2.2.4. Parāda pārņemšana ar nefinanšu aktīvu pārvedumu</w:t>
      </w:r>
    </w:p>
    <w:p w14:paraId="3E1A3A57"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0F3D0329"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14. Ekonomisko notikumu var aprakstīt un ierakstīt divos veidos, kas abi vienādi ietekmē vispārējās valdības neto aizdevumu/aizņēmumu (B.9).</w:t>
      </w:r>
    </w:p>
    <w:p w14:paraId="32AEF06C" w14:textId="77777777" w:rsidR="00443399" w:rsidRPr="00B03B51" w:rsidRDefault="00443399" w:rsidP="00443399">
      <w:pPr>
        <w:jc w:val="both"/>
        <w:rPr>
          <w:rFonts w:ascii="Times New Roman" w:eastAsia="Arial" w:hAnsi="Times New Roman" w:cs="Times New Roman"/>
          <w:noProof/>
          <w:sz w:val="24"/>
          <w:szCs w:val="19"/>
        </w:rPr>
      </w:pPr>
    </w:p>
    <w:p w14:paraId="7C4A1F5F" w14:textId="77777777" w:rsidR="00443399" w:rsidRPr="00B03B51" w:rsidRDefault="00443399" w:rsidP="00443399">
      <w:pPr>
        <w:jc w:val="both"/>
        <w:rPr>
          <w:rFonts w:ascii="Times New Roman" w:eastAsia="Arial" w:hAnsi="Times New Roman" w:cs="Times New Roman"/>
          <w:b/>
          <w:bCs/>
          <w:noProof/>
          <w:sz w:val="24"/>
          <w:szCs w:val="19"/>
        </w:rPr>
      </w:pPr>
      <w:r w:rsidRPr="00B03B51">
        <w:rPr>
          <w:rFonts w:ascii="Times New Roman" w:hAnsi="Times New Roman" w:cs="Times New Roman"/>
          <w:b/>
          <w:bCs/>
          <w:sz w:val="24"/>
          <w:szCs w:val="19"/>
        </w:rPr>
        <w:lastRenderedPageBreak/>
        <w:t>Parāda pārņemšanas “bruto ierakstīšana”</w:t>
      </w:r>
    </w:p>
    <w:p w14:paraId="42A26BEF" w14:textId="77777777" w:rsidR="00443399" w:rsidRPr="00B03B51" w:rsidRDefault="00443399" w:rsidP="00443399">
      <w:pPr>
        <w:jc w:val="both"/>
        <w:rPr>
          <w:rFonts w:ascii="Times New Roman" w:eastAsia="Arial" w:hAnsi="Times New Roman" w:cs="Times New Roman"/>
          <w:b/>
          <w:bCs/>
          <w:noProof/>
          <w:sz w:val="24"/>
        </w:rPr>
      </w:pPr>
    </w:p>
    <w:p w14:paraId="6C13835E"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15. Bruto ierakstīšanu veido divi vienlaikus veikti, taču atsevišķi darījumi:</w:t>
      </w:r>
    </w:p>
    <w:p w14:paraId="43A39B4B"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768966AE" w14:textId="77777777" w:rsidR="00443399" w:rsidRPr="00B03B51" w:rsidRDefault="00443399" w:rsidP="0018742C">
      <w:pPr>
        <w:pStyle w:val="BodyText"/>
        <w:numPr>
          <w:ilvl w:val="1"/>
          <w:numId w:val="43"/>
        </w:numPr>
        <w:spacing w:before="0"/>
        <w:ind w:left="426" w:hanging="425"/>
        <w:jc w:val="both"/>
        <w:rPr>
          <w:rFonts w:ascii="Times New Roman" w:hAnsi="Times New Roman" w:cs="Times New Roman"/>
          <w:noProof/>
          <w:sz w:val="24"/>
        </w:rPr>
      </w:pPr>
      <w:r w:rsidRPr="00B03B51">
        <w:rPr>
          <w:rFonts w:ascii="Times New Roman" w:hAnsi="Times New Roman" w:cs="Times New Roman"/>
          <w:sz w:val="24"/>
        </w:rPr>
        <w:t>parāda pārņemšana, kad valdība uzņemas parādu, kas jāieraksta valdības kapitāla pārveduma (D.99) izdevumos par tādu pašu summu kā pārņemtās saistības (F.3 un/vai F.4) līdzīgi tipiskam parāda pārņemšanas gadījumam;</w:t>
      </w:r>
    </w:p>
    <w:p w14:paraId="10352AA2" w14:textId="77777777" w:rsidR="00443399" w:rsidRPr="00B03B51" w:rsidRDefault="00443399" w:rsidP="0018742C">
      <w:pPr>
        <w:pStyle w:val="BodyText"/>
        <w:numPr>
          <w:ilvl w:val="1"/>
          <w:numId w:val="43"/>
        </w:numPr>
        <w:spacing w:before="0"/>
        <w:ind w:left="426" w:hanging="425"/>
        <w:jc w:val="both"/>
        <w:rPr>
          <w:rFonts w:ascii="Times New Roman" w:hAnsi="Times New Roman" w:cs="Times New Roman"/>
          <w:noProof/>
          <w:sz w:val="24"/>
        </w:rPr>
      </w:pPr>
      <w:r w:rsidRPr="00B03B51">
        <w:rPr>
          <w:rFonts w:ascii="Times New Roman" w:hAnsi="Times New Roman" w:cs="Times New Roman"/>
          <w:sz w:val="24"/>
        </w:rPr>
        <w:t>aktīvu pārvedums, kad valdība saņem nefinanšu aktīvu, ko ieraksta kā aktīva iegādi attiecīgajā kategorijā, piemēram, kā bruto pamatkapitāla veidošanu (</w:t>
      </w:r>
      <w:r w:rsidRPr="00B03B51">
        <w:rPr>
          <w:rFonts w:ascii="Times New Roman" w:hAnsi="Times New Roman" w:cs="Times New Roman"/>
          <w:i/>
          <w:iCs/>
          <w:sz w:val="24"/>
        </w:rPr>
        <w:t>GFCF</w:t>
      </w:r>
      <w:r w:rsidRPr="00B03B51">
        <w:rPr>
          <w:rFonts w:ascii="Times New Roman" w:hAnsi="Times New Roman" w:cs="Times New Roman"/>
          <w:sz w:val="24"/>
        </w:rPr>
        <w:t>, P.51g) pamatlīdzekļiem vai NP.1 zemei. Tā kā šis pārvedums ir dotācija/dāvana, to līdzsvaro ar kapitāla pārveduma natūrā (D.9) ieņēmumiem, tādējādi abu pārvedumu ietekme uz neto aizdevumu/aizņēmumu (B.9) kļūst neitrāla.</w:t>
      </w:r>
    </w:p>
    <w:p w14:paraId="62B1416C"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4527AB65"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16. “Bruto kapitāla pārvedums”, kas ir vienāds ar visām pārņemtajām saistībām, negatīvi ietekmē vispārējās valdības neto aizdevumu/aizņēmumu (B.9).</w:t>
      </w:r>
    </w:p>
    <w:p w14:paraId="1DE70F65" w14:textId="77777777" w:rsidR="00443399" w:rsidRPr="00B03B51" w:rsidRDefault="00443399" w:rsidP="00443399">
      <w:pPr>
        <w:jc w:val="both"/>
        <w:rPr>
          <w:rFonts w:ascii="Times New Roman" w:eastAsia="Arial" w:hAnsi="Times New Roman" w:cs="Times New Roman"/>
          <w:noProof/>
          <w:sz w:val="24"/>
          <w:szCs w:val="19"/>
        </w:rPr>
      </w:pPr>
    </w:p>
    <w:p w14:paraId="44465707" w14:textId="77777777" w:rsidR="00443399" w:rsidRPr="00B03B51" w:rsidRDefault="00443399" w:rsidP="00443399">
      <w:pPr>
        <w:jc w:val="both"/>
        <w:rPr>
          <w:rFonts w:ascii="Times New Roman" w:eastAsia="Arial" w:hAnsi="Times New Roman" w:cs="Times New Roman"/>
          <w:b/>
          <w:bCs/>
          <w:noProof/>
          <w:sz w:val="24"/>
          <w:szCs w:val="19"/>
        </w:rPr>
      </w:pPr>
      <w:r w:rsidRPr="00B03B51">
        <w:rPr>
          <w:rFonts w:ascii="Times New Roman" w:hAnsi="Times New Roman" w:cs="Times New Roman"/>
          <w:b/>
          <w:bCs/>
          <w:sz w:val="24"/>
          <w:szCs w:val="19"/>
        </w:rPr>
        <w:t>Parāda pārņemšanas “neto ierakstīšana”</w:t>
      </w:r>
    </w:p>
    <w:p w14:paraId="5985905E" w14:textId="77777777" w:rsidR="00443399" w:rsidRPr="00B03B51" w:rsidRDefault="00443399" w:rsidP="00443399">
      <w:pPr>
        <w:jc w:val="both"/>
        <w:rPr>
          <w:rFonts w:ascii="Times New Roman" w:eastAsia="Arial" w:hAnsi="Times New Roman" w:cs="Times New Roman"/>
          <w:b/>
          <w:bCs/>
          <w:noProof/>
          <w:sz w:val="24"/>
        </w:rPr>
      </w:pPr>
    </w:p>
    <w:p w14:paraId="74004468"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17. Var arī uzskatīt, ka valdības neto aizdevumu/aizņēmumu (B.9) ietekmē starpība starp pārņemtajām saistībām un nodoto aktīvu vērtību: tas ir “neto kapitāla pārvedums”. Tomēr, ņemot vērā, ka vienlaikus palielinās bruto pamatkapitāla veidošana (</w:t>
      </w:r>
      <w:r w:rsidRPr="00B03B51">
        <w:rPr>
          <w:rFonts w:ascii="Times New Roman" w:hAnsi="Times New Roman" w:cs="Times New Roman"/>
          <w:i/>
          <w:iCs/>
          <w:sz w:val="24"/>
        </w:rPr>
        <w:t>GFCF</w:t>
      </w:r>
      <w:r w:rsidRPr="00B03B51">
        <w:rPr>
          <w:rFonts w:ascii="Times New Roman" w:hAnsi="Times New Roman" w:cs="Times New Roman"/>
          <w:sz w:val="24"/>
        </w:rPr>
        <w:t>, P.51g) vai dabas resursu iegāde mīnus realizācija (P.51), galīgā ietekme uz vispārējās valdības neto aizdevumu/aizņēmumu (B.9) (neto kapitāla pārvedums plus bruto pamatkapitāla veidošana vai NP.1) ir tieši tāda pati kā “bruto” ierakstīšanas gadījumā.</w:t>
      </w:r>
    </w:p>
    <w:p w14:paraId="494D36F4" w14:textId="77777777" w:rsidR="00443399" w:rsidRPr="00B03B51" w:rsidRDefault="00443399" w:rsidP="00443399">
      <w:pPr>
        <w:jc w:val="both"/>
        <w:rPr>
          <w:rFonts w:ascii="Times New Roman" w:eastAsia="Arial" w:hAnsi="Times New Roman" w:cs="Times New Roman"/>
          <w:noProof/>
          <w:sz w:val="24"/>
          <w:szCs w:val="14"/>
        </w:rPr>
      </w:pPr>
    </w:p>
    <w:p w14:paraId="3241FB25" w14:textId="77777777" w:rsidR="00443399" w:rsidRPr="00B03B51" w:rsidRDefault="00443399" w:rsidP="00443399">
      <w:pPr>
        <w:tabs>
          <w:tab w:val="left" w:pos="1692"/>
        </w:tabs>
        <w:jc w:val="both"/>
        <w:rPr>
          <w:rFonts w:ascii="Times New Roman" w:hAnsi="Times New Roman" w:cs="Times New Roman"/>
          <w:b/>
          <w:noProof/>
          <w:sz w:val="24"/>
        </w:rPr>
      </w:pPr>
      <w:r w:rsidRPr="00B03B51">
        <w:rPr>
          <w:rFonts w:ascii="Times New Roman" w:hAnsi="Times New Roman" w:cs="Times New Roman"/>
          <w:b/>
          <w:sz w:val="24"/>
        </w:rPr>
        <w:t>7.2.2.2.5. Ierakstīšanas laiks, ierakstāmās summas</w:t>
      </w:r>
    </w:p>
    <w:p w14:paraId="284C7F61"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19BF63EA" w14:textId="5D37D09D"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 xml:space="preserve">18. Parāda pārņemšanu un parāda </w:t>
      </w:r>
      <w:r w:rsidR="00317B35" w:rsidRPr="00B03B51">
        <w:rPr>
          <w:rFonts w:ascii="Times New Roman" w:hAnsi="Times New Roman" w:cs="Times New Roman"/>
          <w:sz w:val="24"/>
        </w:rPr>
        <w:t>anulēšanu</w:t>
      </w:r>
      <w:r w:rsidRPr="00B03B51">
        <w:rPr>
          <w:rFonts w:ascii="Times New Roman" w:hAnsi="Times New Roman" w:cs="Times New Roman"/>
          <w:sz w:val="24"/>
        </w:rPr>
        <w:t xml:space="preserve"> ieraksta, kad saistības ir faktiski svītrotas no debitora bilances un valdības bilancē ir veikti atbilstoši ieraksti. Šo ierakstīšanas laiku piemēro gan finanšu darījumiem, gan visiem ekvivalentajiem kapitāla pārvedumiem. Arī uzkrāto procentu pārņemšanas/</w:t>
      </w:r>
      <w:r w:rsidR="00EF7FAB" w:rsidRPr="00B03B51">
        <w:rPr>
          <w:rFonts w:ascii="Times New Roman" w:hAnsi="Times New Roman" w:cs="Times New Roman"/>
          <w:sz w:val="24"/>
        </w:rPr>
        <w:t>anulēšanas</w:t>
      </w:r>
      <w:r w:rsidRPr="00B03B51">
        <w:rPr>
          <w:rFonts w:ascii="Times New Roman" w:hAnsi="Times New Roman" w:cs="Times New Roman"/>
          <w:sz w:val="24"/>
        </w:rPr>
        <w:t xml:space="preserve"> ierakstiem ir jābūt saskaņā ar šo ierakstīšanas laiku.</w:t>
      </w:r>
    </w:p>
    <w:p w14:paraId="5E68B9E9"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72B0F86F" w14:textId="55AD9CFC"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19. Tas nozīmē, ka parāda pārņemšanu/</w:t>
      </w:r>
      <w:r w:rsidR="00CF02E6" w:rsidRPr="00B03B51">
        <w:rPr>
          <w:rFonts w:ascii="Times New Roman" w:hAnsi="Times New Roman" w:cs="Times New Roman"/>
          <w:sz w:val="24"/>
        </w:rPr>
        <w:t>anulēšanu</w:t>
      </w:r>
      <w:r w:rsidRPr="00B03B51">
        <w:rPr>
          <w:rFonts w:ascii="Times New Roman" w:hAnsi="Times New Roman" w:cs="Times New Roman"/>
          <w:sz w:val="24"/>
        </w:rPr>
        <w:t xml:space="preserve"> neieraksta saskaņā ar parāda atmaksas sākotnējo grafiku, kas tiek finansēts no turpmākajiem nosacītajiem kapitāla pārvedumiem.</w:t>
      </w:r>
    </w:p>
    <w:p w14:paraId="0A379D88"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12A330C4" w14:textId="6B915DD6"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 xml:space="preserve">20. Ierakstāmā summa (gan finanšu darījums, gan ekvivalentie kapitāla pārveduma izdevumi) ir visa neatmaksātā parāda summa, kura tiek pārņemta vai </w:t>
      </w:r>
      <w:r w:rsidR="00CF02E6" w:rsidRPr="00B03B51">
        <w:rPr>
          <w:rFonts w:ascii="Times New Roman" w:hAnsi="Times New Roman" w:cs="Times New Roman"/>
          <w:sz w:val="24"/>
        </w:rPr>
        <w:t>anulēta</w:t>
      </w:r>
      <w:r w:rsidRPr="00B03B51">
        <w:rPr>
          <w:rFonts w:ascii="Times New Roman" w:hAnsi="Times New Roman" w:cs="Times New Roman"/>
          <w:sz w:val="24"/>
        </w:rPr>
        <w:t>.</w:t>
      </w:r>
    </w:p>
    <w:p w14:paraId="19929830" w14:textId="77777777" w:rsidR="00443399" w:rsidRPr="00B03B51" w:rsidRDefault="00443399" w:rsidP="00443399">
      <w:pPr>
        <w:jc w:val="both"/>
        <w:rPr>
          <w:rFonts w:ascii="Times New Roman" w:eastAsia="Arial" w:hAnsi="Times New Roman" w:cs="Times New Roman"/>
          <w:noProof/>
          <w:sz w:val="24"/>
          <w:szCs w:val="18"/>
        </w:rPr>
      </w:pPr>
    </w:p>
    <w:p w14:paraId="27E519C5" w14:textId="21117D3E" w:rsidR="00443399" w:rsidRPr="00B03B51" w:rsidRDefault="00443399" w:rsidP="00443399">
      <w:pPr>
        <w:pStyle w:val="Heading3"/>
        <w:tabs>
          <w:tab w:val="left" w:pos="1267"/>
        </w:tabs>
        <w:ind w:left="0" w:firstLine="0"/>
        <w:jc w:val="both"/>
        <w:rPr>
          <w:rFonts w:ascii="Times New Roman" w:hAnsi="Times New Roman" w:cs="Times New Roman"/>
          <w:noProof/>
          <w:sz w:val="24"/>
        </w:rPr>
      </w:pPr>
      <w:bookmarkStart w:id="573" w:name="_Toc67565200"/>
      <w:r w:rsidRPr="00B03B51">
        <w:rPr>
          <w:rFonts w:ascii="Times New Roman" w:hAnsi="Times New Roman" w:cs="Times New Roman"/>
          <w:sz w:val="24"/>
        </w:rPr>
        <w:t>7.</w:t>
      </w:r>
      <w:r w:rsidR="00851150" w:rsidRPr="00B03B51">
        <w:rPr>
          <w:rFonts w:ascii="Times New Roman" w:hAnsi="Times New Roman" w:cs="Times New Roman"/>
          <w:sz w:val="24"/>
        </w:rPr>
        <w:t>2</w:t>
      </w:r>
      <w:r w:rsidRPr="00B03B51">
        <w:rPr>
          <w:rFonts w:ascii="Times New Roman" w:hAnsi="Times New Roman" w:cs="Times New Roman"/>
          <w:sz w:val="24"/>
        </w:rPr>
        <w:t>.</w:t>
      </w:r>
      <w:r w:rsidR="00851150" w:rsidRPr="00B03B51">
        <w:rPr>
          <w:rFonts w:ascii="Times New Roman" w:hAnsi="Times New Roman" w:cs="Times New Roman"/>
          <w:sz w:val="24"/>
        </w:rPr>
        <w:t>3</w:t>
      </w:r>
      <w:r w:rsidRPr="00B03B51">
        <w:rPr>
          <w:rFonts w:ascii="Times New Roman" w:hAnsi="Times New Roman" w:cs="Times New Roman"/>
          <w:sz w:val="24"/>
        </w:rPr>
        <w:t>. Traktējuma pamatojums</w:t>
      </w:r>
      <w:bookmarkEnd w:id="573"/>
    </w:p>
    <w:p w14:paraId="1B1A541D" w14:textId="77777777" w:rsidR="00443399" w:rsidRPr="006447B0" w:rsidRDefault="00443399" w:rsidP="006447B0">
      <w:pPr>
        <w:rPr>
          <w:rFonts w:ascii="Times New Roman" w:hAnsi="Times New Roman" w:cs="Times New Roman"/>
          <w:noProof/>
          <w:sz w:val="24"/>
          <w:szCs w:val="24"/>
        </w:rPr>
      </w:pPr>
    </w:p>
    <w:p w14:paraId="5C19A331" w14:textId="77777777" w:rsidR="00443399" w:rsidRPr="00B03B51" w:rsidRDefault="00443399" w:rsidP="00443399">
      <w:pPr>
        <w:pStyle w:val="Heading6"/>
        <w:tabs>
          <w:tab w:val="left" w:pos="1267"/>
        </w:tabs>
        <w:ind w:left="0" w:firstLine="0"/>
        <w:jc w:val="both"/>
        <w:rPr>
          <w:rFonts w:ascii="Times New Roman" w:hAnsi="Times New Roman" w:cs="Times New Roman"/>
          <w:noProof/>
          <w:sz w:val="24"/>
        </w:rPr>
      </w:pPr>
      <w:r w:rsidRPr="00B03B51">
        <w:rPr>
          <w:rFonts w:ascii="Times New Roman" w:hAnsi="Times New Roman" w:cs="Times New Roman"/>
          <w:sz w:val="24"/>
        </w:rPr>
        <w:t>7.2.3.1. SAVSTARPĒJA VIENOŠANĀS</w:t>
      </w:r>
    </w:p>
    <w:p w14:paraId="5E9673A7" w14:textId="77777777" w:rsidR="00443399" w:rsidRPr="00B03B51" w:rsidRDefault="00443399" w:rsidP="00443399">
      <w:pPr>
        <w:tabs>
          <w:tab w:val="left" w:pos="843"/>
        </w:tabs>
        <w:jc w:val="both"/>
        <w:rPr>
          <w:rFonts w:ascii="Times New Roman" w:hAnsi="Times New Roman" w:cs="Times New Roman"/>
          <w:noProof/>
          <w:sz w:val="24"/>
        </w:rPr>
      </w:pPr>
    </w:p>
    <w:p w14:paraId="4CDFBA3D" w14:textId="77777777" w:rsidR="00443399" w:rsidRPr="00B03B51" w:rsidRDefault="00443399" w:rsidP="00443399">
      <w:pPr>
        <w:tabs>
          <w:tab w:val="left" w:pos="843"/>
        </w:tabs>
        <w:jc w:val="both"/>
        <w:rPr>
          <w:rFonts w:ascii="Times New Roman" w:eastAsia="Arial" w:hAnsi="Times New Roman" w:cs="Times New Roman"/>
          <w:noProof/>
          <w:sz w:val="24"/>
          <w:szCs w:val="19"/>
        </w:rPr>
      </w:pPr>
      <w:r w:rsidRPr="00B03B51">
        <w:rPr>
          <w:rFonts w:ascii="Times New Roman" w:hAnsi="Times New Roman" w:cs="Times New Roman"/>
          <w:sz w:val="24"/>
        </w:rPr>
        <w:t xml:space="preserve">21. Šādus darījumus, kas veikti, savstarpēji vienojoties, ieraksta kā kapitāla pārvedumus. Tas izriet no citu kapitāla pārvedumu definīcijas (skat. EKS 2010 4.164. punktu): </w:t>
      </w:r>
      <w:r w:rsidRPr="00B03B51">
        <w:rPr>
          <w:rFonts w:ascii="Times New Roman" w:hAnsi="Times New Roman" w:cs="Times New Roman"/>
          <w:i/>
          <w:iCs/>
          <w:sz w:val="24"/>
        </w:rPr>
        <w:t>Citi kapitāla pārvedumi (D.99) ietver pārvedumus, .. kas paši par sevi nepārdala ienākumu, bet pārdala uzkrājumus vai kapitālu starp dažādiem ekonomikas sektoriem vai apakšsektoriem vai pārējo pasauli.</w:t>
      </w:r>
      <w:r w:rsidRPr="00B03B51">
        <w:rPr>
          <w:rFonts w:ascii="Times New Roman" w:hAnsi="Times New Roman" w:cs="Times New Roman"/>
          <w:sz w:val="24"/>
        </w:rPr>
        <w:t>.</w:t>
      </w:r>
    </w:p>
    <w:p w14:paraId="3DF89791"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04DB749D" w14:textId="128A4B2C"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 xml:space="preserve">22. Pārņemot vai </w:t>
      </w:r>
      <w:r w:rsidR="00C046F4" w:rsidRPr="00B03B51">
        <w:rPr>
          <w:rFonts w:ascii="Times New Roman" w:hAnsi="Times New Roman" w:cs="Times New Roman"/>
          <w:sz w:val="24"/>
        </w:rPr>
        <w:t>anulējot</w:t>
      </w:r>
      <w:r w:rsidRPr="00B03B51">
        <w:rPr>
          <w:rFonts w:ascii="Times New Roman" w:hAnsi="Times New Roman" w:cs="Times New Roman"/>
          <w:sz w:val="24"/>
        </w:rPr>
        <w:t xml:space="preserve"> publiskas sabiedrības parādu, vispārējā valdība minētajai sabiedrībai nodod nevis ienākumus, bet gan daļu savas bagātības. Tā kā pārmaiņas valdības saistībās (parāda pārņemšana) vai pārmaiņas valdības finanšu aktīvos (parāda anulēšana) ir vienvirziena </w:t>
      </w:r>
      <w:r w:rsidRPr="00B03B51">
        <w:rPr>
          <w:rFonts w:ascii="Times New Roman" w:hAnsi="Times New Roman" w:cs="Times New Roman"/>
          <w:sz w:val="24"/>
        </w:rPr>
        <w:lastRenderedPageBreak/>
        <w:t>darījums, kas nozīmē apzinātu un brīvprātīgu bagātības nodošanu, pretvērtības darījums ir kapitāla pārvedums.</w:t>
      </w:r>
    </w:p>
    <w:p w14:paraId="721563D4" w14:textId="77777777" w:rsidR="00443399" w:rsidRPr="00B03B51" w:rsidRDefault="00443399" w:rsidP="00443399">
      <w:pPr>
        <w:jc w:val="both"/>
        <w:rPr>
          <w:rFonts w:ascii="Times New Roman" w:eastAsia="Arial" w:hAnsi="Times New Roman" w:cs="Times New Roman"/>
          <w:noProof/>
          <w:sz w:val="24"/>
          <w:szCs w:val="15"/>
        </w:rPr>
      </w:pPr>
    </w:p>
    <w:p w14:paraId="39A3B015" w14:textId="77777777" w:rsidR="00443399" w:rsidRPr="00B03B51" w:rsidRDefault="00443399" w:rsidP="005E7435">
      <w:pPr>
        <w:pStyle w:val="Heading6"/>
        <w:tabs>
          <w:tab w:val="left" w:pos="1267"/>
        </w:tabs>
        <w:ind w:left="0" w:firstLine="0"/>
        <w:jc w:val="both"/>
        <w:rPr>
          <w:rFonts w:ascii="Times New Roman" w:hAnsi="Times New Roman" w:cs="Times New Roman"/>
          <w:noProof/>
          <w:sz w:val="24"/>
        </w:rPr>
      </w:pPr>
      <w:r w:rsidRPr="00B03B51">
        <w:rPr>
          <w:rFonts w:ascii="Times New Roman" w:hAnsi="Times New Roman" w:cs="Times New Roman"/>
          <w:sz w:val="24"/>
        </w:rPr>
        <w:t>7.2.3.2. CITI GADĪJUMI</w:t>
      </w:r>
    </w:p>
    <w:p w14:paraId="57A6D70A" w14:textId="77777777" w:rsidR="00443399" w:rsidRPr="00B03B51" w:rsidRDefault="00443399" w:rsidP="005E7435">
      <w:pPr>
        <w:pStyle w:val="BodyText"/>
        <w:tabs>
          <w:tab w:val="left" w:pos="843"/>
        </w:tabs>
        <w:spacing w:before="0"/>
        <w:ind w:left="0" w:firstLine="0"/>
        <w:jc w:val="both"/>
        <w:rPr>
          <w:rFonts w:ascii="Times New Roman" w:hAnsi="Times New Roman" w:cs="Times New Roman"/>
          <w:b/>
          <w:bCs/>
          <w:noProof/>
          <w:sz w:val="24"/>
        </w:rPr>
      </w:pPr>
    </w:p>
    <w:p w14:paraId="36948A6D" w14:textId="0779CBD8"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b/>
          <w:bCs/>
          <w:sz w:val="24"/>
        </w:rPr>
        <w:t>23. Kvazisabiedrība</w:t>
      </w:r>
      <w:r w:rsidRPr="00B03B51">
        <w:rPr>
          <w:rFonts w:ascii="Times New Roman" w:hAnsi="Times New Roman" w:cs="Times New Roman"/>
          <w:sz w:val="24"/>
        </w:rPr>
        <w:t xml:space="preserve">. Kvazisabiedrība ir tirgus ražotājs, kas var nebūt juridiski neatkarīgs no sava īpašnieka, jo īpaši aktīvu un saistību izpratnē, tomēr kas tiek uzskatīts par pietiekami atbilstošu kritērijiem, saskaņā ar kuriem kontu sistēmā to var uzskatīt par institucionālu vienību. Kvazisabiedrības un tās īpašnieka bagātība zināmā mērā ir apvienota, tāpēc var apšaubīt bagātības pārvedumu starp kvazisabiedrību un tās īpašnieku un katrā ziņā nav jāmaina to apvienotā bagātība. Līdz ar to pastāv vienošanās par to, ka kvazisabiedrības neto vērtība ir vienāda ar nulli. Tāpēc aktīvu pārvedumu, kas notiek starp kvazisabiedrību un tās īpašnieku, var tieši atspoguļot īpašnieka pašu kapitāla vērtībā. Tomēr gadījumā, ja publiska kvazisabiedrība regulāri cieš zaudējumus, saskaņā ar EKS 2010 4.35. punkta c) apakšpunktu un 4.38. punkta f) apakšpunktu maksājumus, ar kuriem sedz pastāvīgos zaudējumus, ieraksta kā subsīdijas; un, ievērojot Valdības budžeta deficīta un parāda rokasgrāmatas 3.3. nodaļā par kapitāla iepludināšanu publiskās kvazisabiedrībās noteikto, parāda pārņemšana vai </w:t>
      </w:r>
      <w:r w:rsidR="00EB62F3" w:rsidRPr="00B03B51">
        <w:rPr>
          <w:rFonts w:ascii="Times New Roman" w:hAnsi="Times New Roman" w:cs="Times New Roman"/>
          <w:sz w:val="24"/>
        </w:rPr>
        <w:t>anulēšana</w:t>
      </w:r>
      <w:r w:rsidRPr="00B03B51">
        <w:rPr>
          <w:rFonts w:ascii="Times New Roman" w:hAnsi="Times New Roman" w:cs="Times New Roman"/>
          <w:sz w:val="24"/>
        </w:rPr>
        <w:t xml:space="preserve"> ir jāieraksta kā kapitāla pārvedums.</w:t>
      </w:r>
    </w:p>
    <w:p w14:paraId="7B8F51BC"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b/>
          <w:bCs/>
          <w:noProof/>
          <w:sz w:val="24"/>
        </w:rPr>
      </w:pPr>
    </w:p>
    <w:p w14:paraId="443F86D8" w14:textId="6D090236"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b/>
          <w:bCs/>
          <w:sz w:val="24"/>
        </w:rPr>
        <w:t>24. Privatizācija.</w:t>
      </w:r>
      <w:r w:rsidRPr="00B03B51">
        <w:rPr>
          <w:rFonts w:ascii="Times New Roman" w:hAnsi="Times New Roman" w:cs="Times New Roman"/>
          <w:sz w:val="24"/>
        </w:rPr>
        <w:t xml:space="preserve"> Izņēmumu attiecībā uz darījumiem, kurus veic kā daļu no notiekoša privatizācijas procesa, kas jāīsteno īsā termiņā, nosaka EKS 2010 vienošanās, kuras pamatā ir pieņēmums, ka parāda atlaišanas izmaksas tiks pilnīgi atgūtas ar privatizācijas procesā noteikto pārdošanas cenu. Tāpēc to ieraksta kā ieguldījumu pašu kapitālā (F.5), kas ir tāds pats instruments kā ieņēmumi no privatizācijas. Tomēr šo traktējumu nepiemēro, ja parāda </w:t>
      </w:r>
      <w:r w:rsidR="00F40C08" w:rsidRPr="00B03B51">
        <w:rPr>
          <w:rFonts w:ascii="Times New Roman" w:hAnsi="Times New Roman" w:cs="Times New Roman"/>
          <w:sz w:val="24"/>
        </w:rPr>
        <w:t>anulēšanas</w:t>
      </w:r>
      <w:r w:rsidRPr="00B03B51">
        <w:rPr>
          <w:rFonts w:ascii="Times New Roman" w:hAnsi="Times New Roman" w:cs="Times New Roman"/>
          <w:sz w:val="24"/>
        </w:rPr>
        <w:t xml:space="preserve"> vērtība pārsniedz paredzamos ieņēmumus no privatizācijas.</w:t>
      </w:r>
    </w:p>
    <w:p w14:paraId="5424D586"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b/>
          <w:noProof/>
          <w:sz w:val="24"/>
        </w:rPr>
      </w:pPr>
    </w:p>
    <w:p w14:paraId="24205358"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b/>
          <w:sz w:val="24"/>
        </w:rPr>
        <w:t>25. Norakstīšana.</w:t>
      </w:r>
      <w:r w:rsidRPr="00B03B51">
        <w:rPr>
          <w:rFonts w:ascii="Times New Roman" w:hAnsi="Times New Roman" w:cs="Times New Roman"/>
          <w:sz w:val="24"/>
        </w:rPr>
        <w:t xml:space="preserve"> Darījumu vispārējā definīcijā (EKS 2010 1.66. punkts) ir ietverts noteikums par tādu gadījumu aprakstīšanu, kad attiecīgi jāieraksta kapitāla pārvedums vai citas aktīvu apjoma pārmaiņas. Noteikuma pamatā ir pieņēmums, ka puses ir noslēgušas savstarpēju vienošanos (skat. iepriekš 7.2.2.1. apakšiedaļu). Kad norakstīšanu nevar uzskatīt par darījumu, jo īpaši gadījumā, kad publiska sabiedrība faktiski beidz pastāvēt, parāda norakstīšanu var ierakstīt kā citas aktīvu apjoma pārmaiņas.</w:t>
      </w:r>
    </w:p>
    <w:p w14:paraId="072A0C65" w14:textId="77777777" w:rsidR="00443399" w:rsidRPr="00B03B51" w:rsidRDefault="00443399" w:rsidP="00443399">
      <w:pPr>
        <w:jc w:val="both"/>
        <w:rPr>
          <w:rFonts w:ascii="Times New Roman" w:hAnsi="Times New Roman" w:cs="Times New Roman"/>
          <w:noProof/>
          <w:sz w:val="24"/>
        </w:rPr>
      </w:pPr>
    </w:p>
    <w:p w14:paraId="732A45B8" w14:textId="77777777" w:rsidR="00443399" w:rsidRPr="00B03B51" w:rsidRDefault="00443399" w:rsidP="00443399">
      <w:pPr>
        <w:pStyle w:val="Heading6"/>
        <w:tabs>
          <w:tab w:val="left" w:pos="1267"/>
        </w:tabs>
        <w:ind w:left="0" w:firstLine="0"/>
        <w:jc w:val="both"/>
        <w:rPr>
          <w:rFonts w:ascii="Times New Roman" w:hAnsi="Times New Roman" w:cs="Times New Roman"/>
          <w:noProof/>
          <w:sz w:val="24"/>
        </w:rPr>
      </w:pPr>
      <w:r w:rsidRPr="00B03B51">
        <w:rPr>
          <w:rFonts w:ascii="Times New Roman" w:hAnsi="Times New Roman" w:cs="Times New Roman"/>
          <w:sz w:val="24"/>
        </w:rPr>
        <w:t>7.2.3.3. PARĀDA PĀRŅEMŠANA AR NEFINANŠU AKTĪVU PĀRVEDUMU</w:t>
      </w:r>
    </w:p>
    <w:p w14:paraId="37C1AB8A" w14:textId="77777777" w:rsidR="00443399" w:rsidRPr="00B03B51" w:rsidRDefault="00443399" w:rsidP="00443399">
      <w:pPr>
        <w:tabs>
          <w:tab w:val="left" w:pos="1692"/>
        </w:tabs>
        <w:jc w:val="both"/>
        <w:rPr>
          <w:rFonts w:ascii="Times New Roman" w:hAnsi="Times New Roman" w:cs="Times New Roman"/>
          <w:b/>
          <w:noProof/>
          <w:sz w:val="24"/>
        </w:rPr>
      </w:pPr>
    </w:p>
    <w:p w14:paraId="1BDEA52D" w14:textId="77777777" w:rsidR="00443399" w:rsidRPr="003E7255" w:rsidRDefault="00443399" w:rsidP="003E7255">
      <w:pPr>
        <w:pStyle w:val="Heading6"/>
        <w:tabs>
          <w:tab w:val="left" w:pos="1692"/>
        </w:tabs>
        <w:ind w:left="0" w:firstLine="0"/>
        <w:jc w:val="both"/>
        <w:rPr>
          <w:rFonts w:ascii="Times New Roman" w:hAnsi="Times New Roman" w:cs="Times New Roman"/>
          <w:sz w:val="24"/>
        </w:rPr>
      </w:pPr>
      <w:r w:rsidRPr="00B03B51">
        <w:rPr>
          <w:rFonts w:ascii="Times New Roman" w:hAnsi="Times New Roman" w:cs="Times New Roman"/>
          <w:sz w:val="24"/>
        </w:rPr>
        <w:t>7.2.3.3.1. Nefinanšu aktīvu iegāde kā izdevumi</w:t>
      </w:r>
    </w:p>
    <w:p w14:paraId="4773733C"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33188E01"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26. Nefinanšu aktīvu iegāde negatīvi ietekmē valdības subjekta neto aizdevumu/aizņēmumu (B.9), jo tā jāieraksta kā bruto pamatkapitāla veidošana (</w:t>
      </w:r>
      <w:r w:rsidRPr="00B03B51">
        <w:rPr>
          <w:rFonts w:ascii="Times New Roman" w:hAnsi="Times New Roman" w:cs="Times New Roman"/>
          <w:i/>
          <w:iCs/>
          <w:sz w:val="24"/>
        </w:rPr>
        <w:t>GFCF</w:t>
      </w:r>
      <w:r w:rsidRPr="00B03B51">
        <w:rPr>
          <w:rFonts w:ascii="Times New Roman" w:hAnsi="Times New Roman" w:cs="Times New Roman"/>
          <w:sz w:val="24"/>
        </w:rPr>
        <w:t>, P.51g) valdības kontu izdevumu pusē. Ja pārvedums/iegāde ir notikusi bez maksas, proti, kā dāvinājums, nav nekādas ietekmes uz B.9 (skat. turpmāk).</w:t>
      </w:r>
    </w:p>
    <w:p w14:paraId="500C8199"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0AD49E21"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 xml:space="preserve">27. Lai gan </w:t>
      </w:r>
      <w:r w:rsidRPr="00B03B51">
        <w:rPr>
          <w:rFonts w:ascii="Times New Roman" w:hAnsi="Times New Roman" w:cs="Times New Roman"/>
          <w:i/>
          <w:iCs/>
          <w:sz w:val="24"/>
        </w:rPr>
        <w:t>GFCF</w:t>
      </w:r>
      <w:r w:rsidRPr="00B03B51">
        <w:rPr>
          <w:rFonts w:ascii="Times New Roman" w:hAnsi="Times New Roman" w:cs="Times New Roman"/>
          <w:sz w:val="24"/>
        </w:rPr>
        <w:t xml:space="preserve"> izdevumu tūlītējā ietekme uz neto aizdevumu/aizņēmumu (B.9) ir negatīva, nākotnē ietekme var kļūt pozitīva tiktāl, ciktāl iegūtajiem aktīviem ir reāla tirgus vērtība, tiem ir “pakalpojuma potenciāls” un tos var uzskatīt par nākotnes ieņēmumu avotu. Ja aktīvu iegādi finansē ar dotāciju bez turpmākām saņēmēja finanšu saistībām, bruto pamatkapitāla veidošanu var līdzsvarot ar kapitāla pārvedumu natūrā, kā rezultātā to ietekme uz neto aizdevumu/aizņēmumu (B.9) būs neitrāla (bruto ierakstīšana). Ja aktīvi tiek iegūti saistībā ar parāda pārņemšanu/anulēšanu, to vērtību var atskaitīt no kapitāla pārveduma kā parāda pārņemšanas “izmaksas” (neto ierakstīšanas iespēja, skat. turpmāk). Tomēr visos gadījumos ieraksta bruto pamatkapitāla veidošanu (kas novērtēta, pamatojoties uz ierastajām </w:t>
      </w:r>
      <w:r w:rsidRPr="00B03B51">
        <w:rPr>
          <w:rFonts w:ascii="Times New Roman" w:hAnsi="Times New Roman" w:cs="Times New Roman"/>
          <w:sz w:val="24"/>
        </w:rPr>
        <w:lastRenderedPageBreak/>
        <w:t>uzņēmējdarbības metodēm) par pilnu to vērtību kā aktīvu ieguvēja izdevumus.</w:t>
      </w:r>
    </w:p>
    <w:p w14:paraId="19C31FC6" w14:textId="77777777" w:rsidR="00443399" w:rsidRPr="006447B0" w:rsidRDefault="00443399" w:rsidP="006447B0">
      <w:pPr>
        <w:rPr>
          <w:rFonts w:ascii="Times New Roman" w:hAnsi="Times New Roman" w:cs="Times New Roman"/>
          <w:noProof/>
          <w:sz w:val="24"/>
          <w:szCs w:val="24"/>
        </w:rPr>
      </w:pPr>
    </w:p>
    <w:p w14:paraId="6DA6A2DA" w14:textId="77777777" w:rsidR="00443399" w:rsidRPr="00B03B51" w:rsidRDefault="00443399" w:rsidP="00210375">
      <w:pPr>
        <w:pStyle w:val="Heading6"/>
        <w:tabs>
          <w:tab w:val="left" w:pos="1692"/>
        </w:tabs>
        <w:ind w:left="0" w:firstLine="0"/>
        <w:jc w:val="both"/>
        <w:rPr>
          <w:rFonts w:ascii="Times New Roman" w:hAnsi="Times New Roman" w:cs="Times New Roman"/>
          <w:noProof/>
          <w:sz w:val="24"/>
        </w:rPr>
      </w:pPr>
      <w:r w:rsidRPr="00B03B51">
        <w:rPr>
          <w:rFonts w:ascii="Times New Roman" w:hAnsi="Times New Roman" w:cs="Times New Roman"/>
          <w:sz w:val="24"/>
        </w:rPr>
        <w:t>7.2.3.3.2. Galīgā ietekme uz valdības neto aizdevumu/aizņēmumu (B.9)</w:t>
      </w:r>
    </w:p>
    <w:p w14:paraId="2CC280AE" w14:textId="77777777" w:rsidR="00443399" w:rsidRPr="00B03B51" w:rsidRDefault="00443399" w:rsidP="00210375">
      <w:pPr>
        <w:pStyle w:val="BodyText"/>
        <w:tabs>
          <w:tab w:val="left" w:pos="843"/>
        </w:tabs>
        <w:spacing w:before="0"/>
        <w:ind w:left="0" w:firstLine="0"/>
        <w:jc w:val="both"/>
        <w:rPr>
          <w:rFonts w:ascii="Times New Roman" w:hAnsi="Times New Roman" w:cs="Times New Roman"/>
          <w:noProof/>
          <w:sz w:val="24"/>
        </w:rPr>
      </w:pPr>
    </w:p>
    <w:p w14:paraId="3CCF53E0" w14:textId="77777777" w:rsidR="00443399" w:rsidRPr="00B03B51" w:rsidRDefault="00443399" w:rsidP="00210375">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28. Bruto ierakstīšana – veids, kā analizēt ekonomisku notikumu tā, it kā divi atsevišķi darījumi notiktu vienā pārskata periodā:</w:t>
      </w:r>
    </w:p>
    <w:p w14:paraId="78D188D8"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197BC9D2" w14:textId="77777777" w:rsidR="00443399" w:rsidRPr="00B03B51" w:rsidRDefault="00443399" w:rsidP="0018742C">
      <w:pPr>
        <w:pStyle w:val="BodyText"/>
        <w:numPr>
          <w:ilvl w:val="1"/>
          <w:numId w:val="43"/>
        </w:numPr>
        <w:spacing w:before="0"/>
        <w:ind w:left="426" w:hanging="425"/>
        <w:jc w:val="both"/>
        <w:rPr>
          <w:rFonts w:ascii="Times New Roman" w:hAnsi="Times New Roman" w:cs="Times New Roman"/>
          <w:noProof/>
          <w:sz w:val="24"/>
        </w:rPr>
      </w:pPr>
      <w:r w:rsidRPr="00B03B51">
        <w:rPr>
          <w:rFonts w:ascii="Times New Roman" w:hAnsi="Times New Roman" w:cs="Times New Roman"/>
          <w:sz w:val="24"/>
        </w:rPr>
        <w:t>pamatlīdzekļu bezmaksas pārvedums, kura ietekme uz neto aizdevumu/aizņēmumu (B.9) ir neitrāla, kā aprakstīts iepriekš;</w:t>
      </w:r>
    </w:p>
    <w:p w14:paraId="3CFA40CD" w14:textId="77777777" w:rsidR="00443399" w:rsidRPr="00B03B51" w:rsidRDefault="00443399" w:rsidP="0018742C">
      <w:pPr>
        <w:pStyle w:val="BodyText"/>
        <w:numPr>
          <w:ilvl w:val="1"/>
          <w:numId w:val="43"/>
        </w:numPr>
        <w:spacing w:before="0"/>
        <w:ind w:left="426" w:hanging="425"/>
        <w:jc w:val="both"/>
        <w:rPr>
          <w:rFonts w:ascii="Times New Roman" w:hAnsi="Times New Roman" w:cs="Times New Roman"/>
          <w:noProof/>
          <w:sz w:val="24"/>
        </w:rPr>
      </w:pPr>
      <w:r w:rsidRPr="00B03B51">
        <w:rPr>
          <w:rFonts w:ascii="Times New Roman" w:hAnsi="Times New Roman" w:cs="Times New Roman"/>
          <w:sz w:val="24"/>
        </w:rPr>
        <w:t>parāda pārņemšana, kas negatīvi ietekmē neto aizdevumu/aizņēmumu (B.9) par kapitāla pārveduma summu tieši tāpat kā vispārējā gadījumā.</w:t>
      </w:r>
    </w:p>
    <w:p w14:paraId="6794C532"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515E0F5E"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29. Neto ierakstīšana – parāda pārņemšanu var aplūkot arī kā valdības maksājumu par pamatlīdzekļu iegādi. Šajā gadījumā “dāvinājuma” elements, kas ierakstīts kā kapitāla pārvedums, būtu starpība starp pārņemtajām saistībām un aktīvu vērtību. Tomēr galīgā ietekme uz neto aizdevumu/aizņēmumu (B.9) ir tāda pati kā bruto ierakstīšanas gadījumā, jo tiek pilnīgi ierakstīta bruto pamatkapitāla veidošana (P.51g) vai NP.1.</w:t>
      </w:r>
    </w:p>
    <w:p w14:paraId="20805AD3"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b/>
          <w:bCs/>
          <w:noProof/>
          <w:sz w:val="24"/>
        </w:rPr>
      </w:pPr>
    </w:p>
    <w:p w14:paraId="772903AD"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b/>
          <w:bCs/>
          <w:sz w:val="24"/>
        </w:rPr>
        <w:t xml:space="preserve">30. </w:t>
      </w:r>
      <w:r w:rsidRPr="00B03B51">
        <w:rPr>
          <w:rFonts w:ascii="Times New Roman" w:hAnsi="Times New Roman" w:cs="Times New Roman"/>
          <w:b/>
          <w:bCs/>
          <w:i/>
          <w:iCs/>
          <w:sz w:val="24"/>
        </w:rPr>
        <w:t>NB</w:t>
      </w:r>
      <w:r w:rsidRPr="00B03B51">
        <w:rPr>
          <w:rFonts w:ascii="Times New Roman" w:hAnsi="Times New Roman" w:cs="Times New Roman"/>
          <w:sz w:val="24"/>
        </w:rPr>
        <w:t>! Valdības organizēto publiskas sabiedrības parāda pārņemšanu neieraksta, izmantojot citas aktīvu apjoma pārmaiņas (K.5 vai K.62). Valdības tieša līdzdalība ar galveno mērķi atvieglot sabiedrībai parāda nastu nozīmē to, ka parāda pārņemšana tiek atzīta par darījumu, kas veikts, pamatojoties uz savstarpēju vienošanos. Šādu traktējumu piemēro, pat ja tajā pašā laikā ir notikusi publisko sabiedrību pārstrukturēšana vai reorganizācija.</w:t>
      </w:r>
    </w:p>
    <w:p w14:paraId="7B7EF86F" w14:textId="77777777" w:rsidR="00443399" w:rsidRPr="00B03B51" w:rsidRDefault="00443399" w:rsidP="00443399">
      <w:pPr>
        <w:jc w:val="both"/>
        <w:rPr>
          <w:rFonts w:ascii="Times New Roman" w:hAnsi="Times New Roman" w:cs="Times New Roman"/>
          <w:noProof/>
          <w:sz w:val="24"/>
        </w:rPr>
      </w:pPr>
    </w:p>
    <w:p w14:paraId="510DAC70" w14:textId="150A18DF" w:rsidR="00443399" w:rsidRPr="00B03B51" w:rsidRDefault="00443399" w:rsidP="00443399">
      <w:pPr>
        <w:pStyle w:val="Heading3"/>
        <w:tabs>
          <w:tab w:val="left" w:pos="1267"/>
        </w:tabs>
        <w:ind w:left="0" w:firstLine="0"/>
        <w:jc w:val="both"/>
        <w:rPr>
          <w:rFonts w:ascii="Times New Roman" w:hAnsi="Times New Roman" w:cs="Times New Roman"/>
          <w:noProof/>
          <w:sz w:val="24"/>
        </w:rPr>
      </w:pPr>
      <w:bookmarkStart w:id="574" w:name="_Toc67565201"/>
      <w:r w:rsidRPr="00B03B51">
        <w:rPr>
          <w:rFonts w:ascii="Times New Roman" w:hAnsi="Times New Roman" w:cs="Times New Roman"/>
          <w:sz w:val="24"/>
        </w:rPr>
        <w:t>7.</w:t>
      </w:r>
      <w:r w:rsidR="00F40C08" w:rsidRPr="00B03B51">
        <w:rPr>
          <w:rFonts w:ascii="Times New Roman" w:hAnsi="Times New Roman" w:cs="Times New Roman"/>
          <w:sz w:val="24"/>
        </w:rPr>
        <w:t>2</w:t>
      </w:r>
      <w:r w:rsidRPr="00B03B51">
        <w:rPr>
          <w:rFonts w:ascii="Times New Roman" w:hAnsi="Times New Roman" w:cs="Times New Roman"/>
          <w:sz w:val="24"/>
        </w:rPr>
        <w:t>.</w:t>
      </w:r>
      <w:r w:rsidR="00F40C08" w:rsidRPr="00B03B51">
        <w:rPr>
          <w:rFonts w:ascii="Times New Roman" w:hAnsi="Times New Roman" w:cs="Times New Roman"/>
          <w:sz w:val="24"/>
        </w:rPr>
        <w:t>4</w:t>
      </w:r>
      <w:r w:rsidRPr="00B03B51">
        <w:rPr>
          <w:rFonts w:ascii="Times New Roman" w:hAnsi="Times New Roman" w:cs="Times New Roman"/>
          <w:sz w:val="24"/>
        </w:rPr>
        <w:t>. Uzskaites piemēri</w:t>
      </w:r>
      <w:bookmarkEnd w:id="574"/>
    </w:p>
    <w:p w14:paraId="149D371B" w14:textId="77777777" w:rsidR="00443399" w:rsidRPr="00B03B51" w:rsidRDefault="00443399" w:rsidP="00443399">
      <w:pPr>
        <w:jc w:val="both"/>
        <w:rPr>
          <w:rFonts w:ascii="Times New Roman" w:hAnsi="Times New Roman" w:cs="Times New Roman"/>
          <w:b/>
          <w:noProof/>
          <w:sz w:val="24"/>
        </w:rPr>
      </w:pPr>
    </w:p>
    <w:p w14:paraId="6E57C84B" w14:textId="77777777" w:rsidR="00443399" w:rsidRPr="00B03B51" w:rsidRDefault="00443399" w:rsidP="00443399">
      <w:pPr>
        <w:jc w:val="both"/>
        <w:rPr>
          <w:rFonts w:ascii="Times New Roman" w:hAnsi="Times New Roman" w:cs="Times New Roman"/>
          <w:b/>
          <w:noProof/>
          <w:sz w:val="24"/>
        </w:rPr>
      </w:pPr>
      <w:r w:rsidRPr="00B03B51">
        <w:rPr>
          <w:rFonts w:ascii="Times New Roman" w:hAnsi="Times New Roman" w:cs="Times New Roman"/>
          <w:b/>
          <w:sz w:val="24"/>
        </w:rPr>
        <w:t>Kapitāla pārveduma ierakstīšana</w:t>
      </w:r>
    </w:p>
    <w:p w14:paraId="38ABDC02" w14:textId="77777777" w:rsidR="00443399" w:rsidRPr="00B03B51" w:rsidRDefault="00443399" w:rsidP="00443399">
      <w:pPr>
        <w:jc w:val="both"/>
        <w:rPr>
          <w:rFonts w:ascii="Times New Roman" w:eastAsia="Arial" w:hAnsi="Times New Roman" w:cs="Times New Roman"/>
          <w:b/>
          <w:bCs/>
          <w:noProof/>
          <w:sz w:val="24"/>
        </w:rPr>
      </w:pPr>
    </w:p>
    <w:p w14:paraId="34240ED2" w14:textId="77777777" w:rsidR="00443399" w:rsidRPr="00B03B51" w:rsidRDefault="00443399" w:rsidP="00443399">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t>Turpmāk sniegtajos piemēros tiek pieņemts, ka kapitāla pārvedumu rezultātā, pirmkārt, palielinās publiskas sabiedrības neto vērtība. Otrajā posmā varētu pieņemt, ka šo neto vērtības palielinājumu ar pārvērtēšanas konta starpniecību “absorbē” ekvivalents palielinājums valdības pašu kapitālā, kas tai pieder publiskā sabiedrībā; taču šis otrais posms šeit nav aprakstīts. Turklāt beigu bilancēs ir uzrādītas vienīgi pārmaiņas neto vērtībā.</w:t>
      </w:r>
    </w:p>
    <w:p w14:paraId="66595CD0" w14:textId="77777777" w:rsidR="00443399" w:rsidRPr="00B03B51" w:rsidRDefault="00443399" w:rsidP="00443399">
      <w:pPr>
        <w:jc w:val="both"/>
        <w:rPr>
          <w:rFonts w:ascii="Times New Roman" w:eastAsia="Arial" w:hAnsi="Times New Roman" w:cs="Times New Roman"/>
          <w:noProof/>
          <w:sz w:val="24"/>
          <w:szCs w:val="18"/>
        </w:rPr>
      </w:pPr>
    </w:p>
    <w:p w14:paraId="0D4A7F31" w14:textId="77777777" w:rsidR="00443399" w:rsidRPr="00B03B51" w:rsidRDefault="00443399" w:rsidP="00443399">
      <w:pPr>
        <w:jc w:val="both"/>
        <w:rPr>
          <w:rFonts w:ascii="Times New Roman" w:hAnsi="Times New Roman" w:cs="Times New Roman"/>
          <w:b/>
          <w:noProof/>
          <w:sz w:val="24"/>
        </w:rPr>
      </w:pPr>
      <w:r w:rsidRPr="00B03B51">
        <w:rPr>
          <w:rFonts w:ascii="Times New Roman" w:hAnsi="Times New Roman" w:cs="Times New Roman"/>
          <w:b/>
          <w:sz w:val="24"/>
        </w:rPr>
        <w:t>Parāda pārņemšana</w:t>
      </w:r>
    </w:p>
    <w:p w14:paraId="7DFE364A" w14:textId="77777777" w:rsidR="00443399" w:rsidRPr="00B03B51" w:rsidRDefault="00443399" w:rsidP="00443399">
      <w:pPr>
        <w:jc w:val="both"/>
        <w:rPr>
          <w:rFonts w:ascii="Times New Roman" w:eastAsia="Arial" w:hAnsi="Times New Roman" w:cs="Times New Roman"/>
          <w:b/>
          <w:bCs/>
          <w:noProof/>
          <w:sz w:val="24"/>
        </w:rPr>
      </w:pPr>
    </w:p>
    <w:p w14:paraId="1C75BDA1" w14:textId="77777777" w:rsidR="00443399" w:rsidRPr="00B03B51" w:rsidRDefault="00443399" w:rsidP="00443399">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t>Pieņem, ka finanšu sabiedrība ir izsniegusi ilgtermiņa aizdevumu (F.42) publiskai nefinanšu sabiedrībai. Pirms maksājuma termiņa vispārējā valdība pārņem ilgtermiņa aizdevuma neatmaksāto daļu no publiskās nefinanšu sabiedrības.</w:t>
      </w:r>
    </w:p>
    <w:p w14:paraId="6BF88FFE" w14:textId="77777777" w:rsidR="00443399" w:rsidRPr="00B03B51" w:rsidRDefault="00443399" w:rsidP="00443399">
      <w:pPr>
        <w:jc w:val="both"/>
        <w:rPr>
          <w:rFonts w:ascii="Times New Roman" w:eastAsia="Arial" w:hAnsi="Times New Roman" w:cs="Times New Roman"/>
          <w:noProof/>
          <w:sz w:val="24"/>
          <w:szCs w:val="28"/>
        </w:rPr>
      </w:pPr>
    </w:p>
    <w:p w14:paraId="39B9008E" w14:textId="77777777" w:rsidR="00443399" w:rsidRPr="00B03B51" w:rsidRDefault="00443399" w:rsidP="0018742C">
      <w:pPr>
        <w:jc w:val="center"/>
        <w:rPr>
          <w:rFonts w:ascii="Times New Roman" w:eastAsia="Arial" w:hAnsi="Times New Roman" w:cs="Times New Roman"/>
          <w:noProof/>
          <w:sz w:val="24"/>
          <w:szCs w:val="20"/>
        </w:rPr>
      </w:pPr>
      <w:r w:rsidRPr="00B03B51">
        <w:rPr>
          <w:rFonts w:ascii="Times New Roman" w:hAnsi="Times New Roman" w:cs="Times New Roman"/>
          <w:noProof/>
        </w:rPr>
        <w:drawing>
          <wp:inline distT="0" distB="0" distL="0" distR="0" wp14:anchorId="71A3BD08" wp14:editId="3197C841">
            <wp:extent cx="5756275" cy="1306195"/>
            <wp:effectExtent l="0" t="0" r="0" b="8255"/>
            <wp:docPr id="157" name="Attēls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1"/>
                    <a:stretch>
                      <a:fillRect/>
                    </a:stretch>
                  </pic:blipFill>
                  <pic:spPr>
                    <a:xfrm>
                      <a:off x="0" y="0"/>
                      <a:ext cx="5756275" cy="1306195"/>
                    </a:xfrm>
                    <a:prstGeom prst="rect">
                      <a:avLst/>
                    </a:prstGeom>
                  </pic:spPr>
                </pic:pic>
              </a:graphicData>
            </a:graphic>
          </wp:inline>
        </w:drawing>
      </w:r>
    </w:p>
    <w:p w14:paraId="0957160A" w14:textId="77777777" w:rsidR="00443399" w:rsidRPr="00B03B51" w:rsidRDefault="00443399" w:rsidP="00443399">
      <w:pPr>
        <w:jc w:val="center"/>
        <w:rPr>
          <w:rFonts w:ascii="Times New Roman" w:hAnsi="Times New Roman" w:cs="Times New Roman"/>
          <w:noProof/>
        </w:rPr>
      </w:pPr>
      <w:r w:rsidRPr="00B03B51">
        <w:rPr>
          <w:rFonts w:ascii="Times New Roman" w:hAnsi="Times New Roman" w:cs="Times New Roman"/>
          <w:noProof/>
        </w:rPr>
        <w:lastRenderedPageBreak/>
        <w:drawing>
          <wp:inline distT="0" distB="0" distL="0" distR="0" wp14:anchorId="26EA3244" wp14:editId="01972D94">
            <wp:extent cx="5756275" cy="2602865"/>
            <wp:effectExtent l="0" t="0" r="0" b="6985"/>
            <wp:docPr id="158" name="Attēls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2"/>
                    <a:stretch>
                      <a:fillRect/>
                    </a:stretch>
                  </pic:blipFill>
                  <pic:spPr>
                    <a:xfrm>
                      <a:off x="0" y="0"/>
                      <a:ext cx="5756275" cy="2602865"/>
                    </a:xfrm>
                    <a:prstGeom prst="rect">
                      <a:avLst/>
                    </a:prstGeom>
                  </pic:spPr>
                </pic:pic>
              </a:graphicData>
            </a:graphic>
          </wp:inline>
        </w:drawing>
      </w:r>
    </w:p>
    <w:p w14:paraId="6CF537ED" w14:textId="77777777" w:rsidR="00443399" w:rsidRPr="00B03B51" w:rsidRDefault="00443399" w:rsidP="00443399">
      <w:pPr>
        <w:jc w:val="both"/>
        <w:rPr>
          <w:rFonts w:ascii="Times New Roman" w:eastAsia="Arial" w:hAnsi="Times New Roman" w:cs="Times New Roman"/>
          <w:noProof/>
          <w:sz w:val="24"/>
          <w:szCs w:val="21"/>
        </w:rPr>
      </w:pPr>
    </w:p>
    <w:p w14:paraId="166F6514" w14:textId="77777777" w:rsidR="00443399" w:rsidRPr="00B03B51" w:rsidRDefault="00443399" w:rsidP="00443399">
      <w:pPr>
        <w:jc w:val="both"/>
        <w:rPr>
          <w:rFonts w:ascii="Times New Roman" w:hAnsi="Times New Roman" w:cs="Times New Roman"/>
          <w:b/>
          <w:noProof/>
          <w:sz w:val="24"/>
        </w:rPr>
      </w:pPr>
      <w:r w:rsidRPr="00B03B51">
        <w:rPr>
          <w:rFonts w:ascii="Times New Roman" w:hAnsi="Times New Roman" w:cs="Times New Roman"/>
          <w:b/>
          <w:sz w:val="24"/>
        </w:rPr>
        <w:t>Parāda anulēšana</w:t>
      </w:r>
    </w:p>
    <w:p w14:paraId="4A856BFC" w14:textId="77777777" w:rsidR="00443399" w:rsidRPr="00B03B51" w:rsidRDefault="00443399" w:rsidP="00443399">
      <w:pPr>
        <w:jc w:val="both"/>
        <w:rPr>
          <w:rFonts w:ascii="Times New Roman" w:eastAsia="Arial" w:hAnsi="Times New Roman" w:cs="Times New Roman"/>
          <w:b/>
          <w:bCs/>
          <w:noProof/>
          <w:sz w:val="24"/>
        </w:rPr>
      </w:pPr>
    </w:p>
    <w:p w14:paraId="7B8C7377" w14:textId="77777777" w:rsidR="00443399" w:rsidRPr="00B03B51" w:rsidRDefault="00443399" w:rsidP="00443399">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t>Pieņem, ka vispārējā valdība ir izsniegusi ilgtermiņa aizdevumu (F.42) publiskai nefinanšu sabiedrībai. Vispārējā valdība atceļ savu prasījumu (neatmaksāto ilgtermiņa aizdevumu) pirms maksājuma termiņa.</w:t>
      </w:r>
    </w:p>
    <w:p w14:paraId="5636A307" w14:textId="77777777" w:rsidR="00443399" w:rsidRPr="00B03B51" w:rsidRDefault="00443399" w:rsidP="00443399">
      <w:pPr>
        <w:jc w:val="both"/>
        <w:rPr>
          <w:rFonts w:ascii="Times New Roman" w:eastAsia="Arial" w:hAnsi="Times New Roman" w:cs="Times New Roman"/>
          <w:noProof/>
          <w:sz w:val="24"/>
          <w:szCs w:val="20"/>
        </w:rPr>
      </w:pPr>
    </w:p>
    <w:p w14:paraId="091914B2" w14:textId="77777777" w:rsidR="00443399" w:rsidRPr="00B03B51" w:rsidRDefault="00443399" w:rsidP="0018742C">
      <w:pPr>
        <w:jc w:val="center"/>
        <w:rPr>
          <w:rFonts w:ascii="Times New Roman" w:eastAsia="Arial" w:hAnsi="Times New Roman" w:cs="Times New Roman"/>
          <w:noProof/>
          <w:sz w:val="24"/>
          <w:szCs w:val="20"/>
        </w:rPr>
      </w:pPr>
      <w:r w:rsidRPr="00B03B51">
        <w:rPr>
          <w:rFonts w:ascii="Times New Roman" w:hAnsi="Times New Roman" w:cs="Times New Roman"/>
          <w:noProof/>
        </w:rPr>
        <w:drawing>
          <wp:inline distT="0" distB="0" distL="0" distR="0" wp14:anchorId="1FBC3633" wp14:editId="1277F52F">
            <wp:extent cx="5756275" cy="3904615"/>
            <wp:effectExtent l="0" t="0" r="0" b="635"/>
            <wp:docPr id="159" name="Attēls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3"/>
                    <a:stretch>
                      <a:fillRect/>
                    </a:stretch>
                  </pic:blipFill>
                  <pic:spPr>
                    <a:xfrm>
                      <a:off x="0" y="0"/>
                      <a:ext cx="5756275" cy="3904615"/>
                    </a:xfrm>
                    <a:prstGeom prst="rect">
                      <a:avLst/>
                    </a:prstGeom>
                  </pic:spPr>
                </pic:pic>
              </a:graphicData>
            </a:graphic>
          </wp:inline>
        </w:drawing>
      </w:r>
    </w:p>
    <w:p w14:paraId="223B9947" w14:textId="77777777" w:rsidR="00443399" w:rsidRPr="00B03B51" w:rsidRDefault="00443399" w:rsidP="00443399">
      <w:pPr>
        <w:jc w:val="both"/>
        <w:rPr>
          <w:rFonts w:ascii="Times New Roman" w:eastAsia="Arial" w:hAnsi="Times New Roman" w:cs="Times New Roman"/>
          <w:noProof/>
          <w:sz w:val="24"/>
          <w:szCs w:val="21"/>
        </w:rPr>
      </w:pPr>
    </w:p>
    <w:p w14:paraId="6373FD80" w14:textId="77777777" w:rsidR="00443399" w:rsidRPr="00B03B51" w:rsidRDefault="00443399" w:rsidP="00443399">
      <w:pPr>
        <w:jc w:val="both"/>
        <w:rPr>
          <w:rFonts w:ascii="Times New Roman" w:hAnsi="Times New Roman" w:cs="Times New Roman"/>
          <w:b/>
          <w:noProof/>
          <w:sz w:val="24"/>
        </w:rPr>
      </w:pPr>
      <w:r w:rsidRPr="00B03B51">
        <w:rPr>
          <w:rFonts w:ascii="Times New Roman" w:hAnsi="Times New Roman" w:cs="Times New Roman"/>
          <w:b/>
          <w:sz w:val="24"/>
        </w:rPr>
        <w:t>Finanšu darījuma ierakstīšana</w:t>
      </w:r>
    </w:p>
    <w:p w14:paraId="73D106FE" w14:textId="77777777" w:rsidR="00443399" w:rsidRPr="00B03B51" w:rsidRDefault="00443399" w:rsidP="00443399">
      <w:pPr>
        <w:jc w:val="both"/>
        <w:rPr>
          <w:rFonts w:ascii="Times New Roman" w:eastAsia="Arial" w:hAnsi="Times New Roman" w:cs="Times New Roman"/>
          <w:b/>
          <w:bCs/>
          <w:noProof/>
          <w:sz w:val="24"/>
        </w:rPr>
      </w:pPr>
    </w:p>
    <w:p w14:paraId="350622E7" w14:textId="77777777" w:rsidR="00443399" w:rsidRPr="00B03B51" w:rsidRDefault="00443399" w:rsidP="00443399">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t>Šādu ierakstīšanu piemēro gadījumā, ja kvazisabiedrība nerada zaudējumus, un uz parāda pārņemšanu/anulēšanu notiekošā privatizācijas procesā, kas ir jāveic īsā termiņā. Ierakstīšana abos gadījumos ir vienāda – tā nozīmē darījumus ar akcijām un citu pašu kapitālu (F.5).</w:t>
      </w:r>
    </w:p>
    <w:p w14:paraId="4775CFA9" w14:textId="77777777" w:rsidR="00443399" w:rsidRPr="00B03B51" w:rsidRDefault="00443399" w:rsidP="00443399">
      <w:pPr>
        <w:jc w:val="both"/>
        <w:rPr>
          <w:rFonts w:ascii="Times New Roman" w:hAnsi="Times New Roman" w:cs="Times New Roman"/>
          <w:noProof/>
          <w:sz w:val="24"/>
        </w:rPr>
      </w:pPr>
    </w:p>
    <w:p w14:paraId="0DAC54C6" w14:textId="77777777" w:rsidR="00443399" w:rsidRPr="00B03B51" w:rsidRDefault="00443399" w:rsidP="00443399">
      <w:pPr>
        <w:keepNext/>
        <w:jc w:val="both"/>
        <w:rPr>
          <w:rFonts w:ascii="Times New Roman" w:hAnsi="Times New Roman" w:cs="Times New Roman"/>
          <w:b/>
          <w:noProof/>
          <w:sz w:val="24"/>
        </w:rPr>
      </w:pPr>
      <w:r w:rsidRPr="00B03B51">
        <w:rPr>
          <w:rFonts w:ascii="Times New Roman" w:hAnsi="Times New Roman" w:cs="Times New Roman"/>
          <w:b/>
          <w:sz w:val="24"/>
        </w:rPr>
        <w:t>Parāda pārņemšana</w:t>
      </w:r>
    </w:p>
    <w:p w14:paraId="273CE342" w14:textId="77777777" w:rsidR="00443399" w:rsidRPr="00B03B51" w:rsidRDefault="00443399" w:rsidP="00443399">
      <w:pPr>
        <w:keepNext/>
        <w:jc w:val="both"/>
        <w:rPr>
          <w:rFonts w:ascii="Times New Roman" w:hAnsi="Times New Roman" w:cs="Times New Roman"/>
          <w:b/>
          <w:noProof/>
          <w:sz w:val="24"/>
        </w:rPr>
      </w:pPr>
    </w:p>
    <w:p w14:paraId="65E71EB6" w14:textId="77777777" w:rsidR="00443399" w:rsidRPr="00B03B51" w:rsidRDefault="00443399" w:rsidP="00443399">
      <w:pPr>
        <w:keepNext/>
        <w:jc w:val="center"/>
        <w:rPr>
          <w:rFonts w:ascii="Times New Roman" w:hAnsi="Times New Roman" w:cs="Times New Roman"/>
          <w:b/>
          <w:noProof/>
          <w:sz w:val="24"/>
        </w:rPr>
      </w:pPr>
      <w:r w:rsidRPr="00B03B51">
        <w:rPr>
          <w:rFonts w:ascii="Times New Roman" w:hAnsi="Times New Roman" w:cs="Times New Roman"/>
          <w:noProof/>
        </w:rPr>
        <w:drawing>
          <wp:inline distT="0" distB="0" distL="0" distR="0" wp14:anchorId="1F05C2F6" wp14:editId="3B152003">
            <wp:extent cx="5756275" cy="3236595"/>
            <wp:effectExtent l="0" t="0" r="0" b="1905"/>
            <wp:docPr id="160" name="Attēls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4"/>
                    <a:stretch>
                      <a:fillRect/>
                    </a:stretch>
                  </pic:blipFill>
                  <pic:spPr>
                    <a:xfrm>
                      <a:off x="0" y="0"/>
                      <a:ext cx="5756275" cy="3236595"/>
                    </a:xfrm>
                    <a:prstGeom prst="rect">
                      <a:avLst/>
                    </a:prstGeom>
                  </pic:spPr>
                </pic:pic>
              </a:graphicData>
            </a:graphic>
          </wp:inline>
        </w:drawing>
      </w:r>
    </w:p>
    <w:p w14:paraId="6E920DBF" w14:textId="77777777" w:rsidR="00443399" w:rsidRPr="00B03B51" w:rsidRDefault="00443399" w:rsidP="00443399">
      <w:pPr>
        <w:jc w:val="both"/>
        <w:rPr>
          <w:rFonts w:ascii="Times New Roman" w:hAnsi="Times New Roman" w:cs="Times New Roman"/>
          <w:b/>
          <w:noProof/>
          <w:sz w:val="24"/>
        </w:rPr>
      </w:pPr>
    </w:p>
    <w:p w14:paraId="74264C39" w14:textId="77777777" w:rsidR="00443399" w:rsidRPr="00B03B51" w:rsidRDefault="00443399" w:rsidP="00443399">
      <w:pPr>
        <w:jc w:val="both"/>
        <w:rPr>
          <w:rFonts w:ascii="Times New Roman" w:hAnsi="Times New Roman" w:cs="Times New Roman"/>
          <w:b/>
          <w:noProof/>
          <w:sz w:val="24"/>
        </w:rPr>
      </w:pPr>
      <w:r w:rsidRPr="00B03B51">
        <w:rPr>
          <w:rFonts w:ascii="Times New Roman" w:hAnsi="Times New Roman" w:cs="Times New Roman"/>
          <w:b/>
          <w:sz w:val="24"/>
        </w:rPr>
        <w:t>Parāda anulēšana</w:t>
      </w:r>
    </w:p>
    <w:p w14:paraId="7C472003" w14:textId="77777777" w:rsidR="00443399" w:rsidRPr="00B03B51" w:rsidRDefault="00443399" w:rsidP="00443399">
      <w:pPr>
        <w:jc w:val="both"/>
        <w:rPr>
          <w:rFonts w:ascii="Times New Roman" w:eastAsia="Arial" w:hAnsi="Times New Roman" w:cs="Times New Roman"/>
          <w:b/>
          <w:bCs/>
          <w:noProof/>
          <w:sz w:val="24"/>
          <w:szCs w:val="10"/>
        </w:rPr>
      </w:pPr>
    </w:p>
    <w:p w14:paraId="4FA4164A" w14:textId="77777777" w:rsidR="00443399" w:rsidRPr="00B03B51" w:rsidRDefault="00443399" w:rsidP="0018742C">
      <w:pPr>
        <w:jc w:val="center"/>
        <w:rPr>
          <w:rFonts w:ascii="Times New Roman" w:eastAsia="Arial" w:hAnsi="Times New Roman" w:cs="Times New Roman"/>
          <w:b/>
          <w:bCs/>
          <w:noProof/>
          <w:sz w:val="24"/>
          <w:szCs w:val="20"/>
        </w:rPr>
      </w:pPr>
      <w:r w:rsidRPr="00B03B51">
        <w:rPr>
          <w:rFonts w:ascii="Times New Roman" w:hAnsi="Times New Roman" w:cs="Times New Roman"/>
          <w:noProof/>
        </w:rPr>
        <w:drawing>
          <wp:inline distT="0" distB="0" distL="0" distR="0" wp14:anchorId="3479DD9B" wp14:editId="4237629E">
            <wp:extent cx="5756275" cy="3246755"/>
            <wp:effectExtent l="0" t="0" r="0" b="0"/>
            <wp:docPr id="161" name="Attēls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5"/>
                    <a:stretch>
                      <a:fillRect/>
                    </a:stretch>
                  </pic:blipFill>
                  <pic:spPr>
                    <a:xfrm>
                      <a:off x="0" y="0"/>
                      <a:ext cx="5756275" cy="3246755"/>
                    </a:xfrm>
                    <a:prstGeom prst="rect">
                      <a:avLst/>
                    </a:prstGeom>
                  </pic:spPr>
                </pic:pic>
              </a:graphicData>
            </a:graphic>
          </wp:inline>
        </w:drawing>
      </w:r>
    </w:p>
    <w:p w14:paraId="64F7F0D1" w14:textId="77777777" w:rsidR="00443399" w:rsidRPr="00B03B51" w:rsidRDefault="00443399" w:rsidP="00443399">
      <w:pPr>
        <w:jc w:val="both"/>
        <w:rPr>
          <w:rFonts w:ascii="Times New Roman" w:eastAsia="Arial" w:hAnsi="Times New Roman" w:cs="Times New Roman"/>
          <w:b/>
          <w:bCs/>
          <w:noProof/>
          <w:sz w:val="24"/>
          <w:szCs w:val="21"/>
        </w:rPr>
      </w:pPr>
    </w:p>
    <w:p w14:paraId="16DE7D43" w14:textId="77777777" w:rsidR="00443399" w:rsidRPr="00B03B51" w:rsidRDefault="00443399" w:rsidP="00443399">
      <w:pPr>
        <w:jc w:val="both"/>
        <w:rPr>
          <w:rFonts w:ascii="Times New Roman" w:hAnsi="Times New Roman" w:cs="Times New Roman"/>
          <w:b/>
          <w:noProof/>
          <w:sz w:val="24"/>
        </w:rPr>
      </w:pPr>
      <w:r w:rsidRPr="00B03B51">
        <w:rPr>
          <w:rFonts w:ascii="Times New Roman" w:hAnsi="Times New Roman" w:cs="Times New Roman"/>
          <w:b/>
          <w:sz w:val="24"/>
        </w:rPr>
        <w:t>Citu aktīvu apjoma pārmaiņu ierakstīšana</w:t>
      </w:r>
    </w:p>
    <w:p w14:paraId="70782610" w14:textId="77777777" w:rsidR="00443399" w:rsidRPr="00B03B51" w:rsidRDefault="00443399" w:rsidP="00443399">
      <w:pPr>
        <w:jc w:val="both"/>
        <w:rPr>
          <w:rFonts w:ascii="Times New Roman" w:eastAsia="Arial" w:hAnsi="Times New Roman" w:cs="Times New Roman"/>
          <w:b/>
          <w:bCs/>
          <w:noProof/>
          <w:sz w:val="24"/>
        </w:rPr>
      </w:pPr>
    </w:p>
    <w:p w14:paraId="4C5932E4" w14:textId="77777777" w:rsidR="00443399" w:rsidRPr="00B03B51" w:rsidRDefault="00443399" w:rsidP="00443399">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t>Šī ierakstīšana attiecas uz tiem publisko sabiedrību parādiem valdībai, ko tā noraksta (debitors ir bankrotējis vai likvidēts).</w:t>
      </w:r>
    </w:p>
    <w:p w14:paraId="15023111" w14:textId="77777777" w:rsidR="00443399" w:rsidRPr="00B03B51" w:rsidRDefault="00443399" w:rsidP="00443399">
      <w:pPr>
        <w:jc w:val="both"/>
        <w:rPr>
          <w:rFonts w:ascii="Times New Roman" w:hAnsi="Times New Roman" w:cs="Times New Roman"/>
          <w:noProof/>
          <w:sz w:val="24"/>
        </w:rPr>
      </w:pPr>
    </w:p>
    <w:p w14:paraId="102123A8" w14:textId="77777777" w:rsidR="00443399" w:rsidRPr="00B03B51" w:rsidRDefault="00443399" w:rsidP="0018742C">
      <w:pPr>
        <w:jc w:val="center"/>
        <w:rPr>
          <w:rFonts w:ascii="Times New Roman" w:eastAsia="Arial" w:hAnsi="Times New Roman" w:cs="Times New Roman"/>
          <w:noProof/>
          <w:sz w:val="24"/>
          <w:szCs w:val="4"/>
        </w:rPr>
      </w:pPr>
      <w:r w:rsidRPr="00B03B51">
        <w:rPr>
          <w:rFonts w:ascii="Times New Roman" w:hAnsi="Times New Roman" w:cs="Times New Roman"/>
          <w:noProof/>
        </w:rPr>
        <w:lastRenderedPageBreak/>
        <w:drawing>
          <wp:inline distT="0" distB="0" distL="0" distR="0" wp14:anchorId="61CF2309" wp14:editId="627FEFBA">
            <wp:extent cx="5756275" cy="3081020"/>
            <wp:effectExtent l="0" t="0" r="0" b="5080"/>
            <wp:docPr id="162" name="Attēls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6"/>
                    <a:stretch>
                      <a:fillRect/>
                    </a:stretch>
                  </pic:blipFill>
                  <pic:spPr>
                    <a:xfrm>
                      <a:off x="0" y="0"/>
                      <a:ext cx="5756275" cy="3081020"/>
                    </a:xfrm>
                    <a:prstGeom prst="rect">
                      <a:avLst/>
                    </a:prstGeom>
                  </pic:spPr>
                </pic:pic>
              </a:graphicData>
            </a:graphic>
          </wp:inline>
        </w:drawing>
      </w:r>
    </w:p>
    <w:p w14:paraId="6261ACA3" w14:textId="77777777" w:rsidR="00443399" w:rsidRPr="00B03B51" w:rsidRDefault="00443399" w:rsidP="00443399">
      <w:pPr>
        <w:jc w:val="both"/>
        <w:rPr>
          <w:rFonts w:ascii="Times New Roman" w:eastAsia="Arial" w:hAnsi="Times New Roman" w:cs="Times New Roman"/>
          <w:noProof/>
          <w:sz w:val="24"/>
          <w:szCs w:val="20"/>
        </w:rPr>
      </w:pPr>
    </w:p>
    <w:p w14:paraId="5828C36D" w14:textId="77777777" w:rsidR="00443399" w:rsidRPr="00B03B51" w:rsidRDefault="00443399" w:rsidP="00443399">
      <w:pPr>
        <w:jc w:val="both"/>
        <w:rPr>
          <w:rFonts w:ascii="Times New Roman" w:hAnsi="Times New Roman" w:cs="Times New Roman"/>
          <w:b/>
          <w:noProof/>
          <w:sz w:val="24"/>
        </w:rPr>
      </w:pPr>
      <w:r w:rsidRPr="00B03B51">
        <w:rPr>
          <w:rFonts w:ascii="Times New Roman" w:hAnsi="Times New Roman" w:cs="Times New Roman"/>
          <w:b/>
          <w:sz w:val="24"/>
        </w:rPr>
        <w:t>Īpašs gadījums – parāda pārņemšana ar nefinanšu aktīvu nodošanu</w:t>
      </w:r>
    </w:p>
    <w:p w14:paraId="2EDE211D" w14:textId="77777777" w:rsidR="00443399" w:rsidRPr="00B03B51" w:rsidRDefault="00443399" w:rsidP="00443399">
      <w:pPr>
        <w:jc w:val="both"/>
        <w:rPr>
          <w:rFonts w:ascii="Times New Roman" w:hAnsi="Times New Roman" w:cs="Times New Roman"/>
          <w:b/>
          <w:noProof/>
          <w:sz w:val="24"/>
        </w:rPr>
      </w:pPr>
    </w:p>
    <w:p w14:paraId="1AA91A52" w14:textId="77777777" w:rsidR="00443399" w:rsidRPr="00B03B51" w:rsidRDefault="00443399" w:rsidP="00443399">
      <w:pPr>
        <w:jc w:val="both"/>
        <w:rPr>
          <w:rFonts w:ascii="Times New Roman" w:hAnsi="Times New Roman" w:cs="Times New Roman"/>
          <w:b/>
          <w:noProof/>
          <w:sz w:val="24"/>
        </w:rPr>
      </w:pPr>
      <w:r w:rsidRPr="00B03B51">
        <w:rPr>
          <w:rFonts w:ascii="Times New Roman" w:hAnsi="Times New Roman" w:cs="Times New Roman"/>
          <w:b/>
          <w:sz w:val="24"/>
        </w:rPr>
        <w:t>Parāda pārņemšanas ar aktīviem bruto ierakstīšana</w:t>
      </w:r>
    </w:p>
    <w:p w14:paraId="64638BE3" w14:textId="77777777" w:rsidR="00443399" w:rsidRPr="00B03B51" w:rsidRDefault="00443399" w:rsidP="00443399">
      <w:pPr>
        <w:jc w:val="both"/>
        <w:rPr>
          <w:rFonts w:ascii="Times New Roman" w:eastAsia="Arial" w:hAnsi="Times New Roman" w:cs="Times New Roman"/>
          <w:b/>
          <w:bCs/>
          <w:noProof/>
          <w:sz w:val="24"/>
          <w:szCs w:val="20"/>
        </w:rPr>
      </w:pPr>
    </w:p>
    <w:p w14:paraId="59FA63F9" w14:textId="77777777" w:rsidR="00443399" w:rsidRPr="00B03B51" w:rsidRDefault="00443399" w:rsidP="0018742C">
      <w:pPr>
        <w:jc w:val="center"/>
        <w:rPr>
          <w:rFonts w:ascii="Times New Roman" w:eastAsia="Arial" w:hAnsi="Times New Roman" w:cs="Times New Roman"/>
          <w:b/>
          <w:bCs/>
          <w:noProof/>
          <w:sz w:val="24"/>
          <w:szCs w:val="20"/>
        </w:rPr>
      </w:pPr>
      <w:r w:rsidRPr="00B03B51">
        <w:rPr>
          <w:rFonts w:ascii="Times New Roman" w:hAnsi="Times New Roman" w:cs="Times New Roman"/>
          <w:noProof/>
        </w:rPr>
        <w:drawing>
          <wp:inline distT="0" distB="0" distL="0" distR="0" wp14:anchorId="611C9C25" wp14:editId="219F0EA9">
            <wp:extent cx="5756275" cy="4239260"/>
            <wp:effectExtent l="0" t="0" r="0" b="8890"/>
            <wp:docPr id="163" name="Attēls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7"/>
                    <a:stretch>
                      <a:fillRect/>
                    </a:stretch>
                  </pic:blipFill>
                  <pic:spPr>
                    <a:xfrm>
                      <a:off x="0" y="0"/>
                      <a:ext cx="5756275" cy="4239260"/>
                    </a:xfrm>
                    <a:prstGeom prst="rect">
                      <a:avLst/>
                    </a:prstGeom>
                  </pic:spPr>
                </pic:pic>
              </a:graphicData>
            </a:graphic>
          </wp:inline>
        </w:drawing>
      </w:r>
    </w:p>
    <w:p w14:paraId="75DA1F7F" w14:textId="77777777" w:rsidR="00443399" w:rsidRPr="00B03B51" w:rsidRDefault="00443399" w:rsidP="00443399">
      <w:pPr>
        <w:jc w:val="both"/>
        <w:rPr>
          <w:rFonts w:ascii="Times New Roman" w:eastAsia="Arial" w:hAnsi="Times New Roman" w:cs="Times New Roman"/>
          <w:b/>
          <w:bCs/>
          <w:noProof/>
          <w:sz w:val="24"/>
          <w:szCs w:val="20"/>
        </w:rPr>
      </w:pPr>
    </w:p>
    <w:p w14:paraId="4BF73562" w14:textId="77777777" w:rsidR="00443399" w:rsidRPr="00B03B51" w:rsidRDefault="00443399" w:rsidP="00443399">
      <w:pPr>
        <w:keepNext/>
        <w:jc w:val="both"/>
        <w:rPr>
          <w:rFonts w:ascii="Times New Roman" w:hAnsi="Times New Roman" w:cs="Times New Roman"/>
          <w:b/>
          <w:noProof/>
          <w:sz w:val="24"/>
        </w:rPr>
      </w:pPr>
      <w:r w:rsidRPr="00B03B51">
        <w:rPr>
          <w:rFonts w:ascii="Times New Roman" w:hAnsi="Times New Roman" w:cs="Times New Roman"/>
          <w:b/>
          <w:sz w:val="24"/>
        </w:rPr>
        <w:lastRenderedPageBreak/>
        <w:t>Parāda pārņemšanas ar aktīviem neto ierakstīšana</w:t>
      </w:r>
    </w:p>
    <w:p w14:paraId="65C7E051" w14:textId="77777777" w:rsidR="00443399" w:rsidRPr="00B03B51" w:rsidRDefault="00443399" w:rsidP="00443399">
      <w:pPr>
        <w:keepNext/>
        <w:jc w:val="both"/>
        <w:rPr>
          <w:rFonts w:ascii="Times New Roman" w:eastAsia="Arial" w:hAnsi="Times New Roman" w:cs="Times New Roman"/>
          <w:b/>
          <w:bCs/>
          <w:noProof/>
          <w:sz w:val="24"/>
          <w:szCs w:val="20"/>
        </w:rPr>
      </w:pPr>
    </w:p>
    <w:p w14:paraId="3FF57CF6" w14:textId="77777777" w:rsidR="00443399" w:rsidRPr="00B03B51" w:rsidRDefault="00443399" w:rsidP="00443399">
      <w:pPr>
        <w:keepNext/>
        <w:jc w:val="center"/>
        <w:rPr>
          <w:rFonts w:ascii="Times New Roman" w:eastAsia="Arial" w:hAnsi="Times New Roman" w:cs="Times New Roman"/>
          <w:b/>
          <w:bCs/>
          <w:noProof/>
          <w:sz w:val="24"/>
          <w:szCs w:val="20"/>
        </w:rPr>
      </w:pPr>
      <w:r w:rsidRPr="00B03B51">
        <w:rPr>
          <w:rFonts w:ascii="Times New Roman" w:hAnsi="Times New Roman" w:cs="Times New Roman"/>
          <w:noProof/>
        </w:rPr>
        <w:drawing>
          <wp:inline distT="0" distB="0" distL="0" distR="0" wp14:anchorId="6E022D5A" wp14:editId="6492CC3B">
            <wp:extent cx="5756275" cy="3817620"/>
            <wp:effectExtent l="0" t="0" r="0" b="0"/>
            <wp:docPr id="164" name="Attēls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8"/>
                    <a:stretch>
                      <a:fillRect/>
                    </a:stretch>
                  </pic:blipFill>
                  <pic:spPr>
                    <a:xfrm>
                      <a:off x="0" y="0"/>
                      <a:ext cx="5756275" cy="3817620"/>
                    </a:xfrm>
                    <a:prstGeom prst="rect">
                      <a:avLst/>
                    </a:prstGeom>
                  </pic:spPr>
                </pic:pic>
              </a:graphicData>
            </a:graphic>
          </wp:inline>
        </w:drawing>
      </w:r>
    </w:p>
    <w:p w14:paraId="47C7B4AC" w14:textId="77777777" w:rsidR="00443399" w:rsidRPr="00B03B51" w:rsidRDefault="00443399" w:rsidP="00443399">
      <w:pPr>
        <w:rPr>
          <w:rFonts w:ascii="Times New Roman" w:eastAsia="Arial" w:hAnsi="Times New Roman" w:cs="Times New Roman"/>
          <w:b/>
          <w:bCs/>
          <w:noProof/>
          <w:sz w:val="24"/>
          <w:szCs w:val="20"/>
        </w:rPr>
      </w:pPr>
      <w:r w:rsidRPr="00B03B51">
        <w:rPr>
          <w:rFonts w:ascii="Times New Roman" w:hAnsi="Times New Roman" w:cs="Times New Roman"/>
        </w:rPr>
        <w:br w:type="page"/>
      </w:r>
    </w:p>
    <w:p w14:paraId="536AF304" w14:textId="77777777" w:rsidR="00443399" w:rsidRPr="00B03B51" w:rsidRDefault="00443399" w:rsidP="00443399">
      <w:pPr>
        <w:jc w:val="both"/>
        <w:rPr>
          <w:rFonts w:ascii="Times New Roman" w:eastAsia="Arial" w:hAnsi="Times New Roman" w:cs="Times New Roman"/>
          <w:noProof/>
          <w:sz w:val="24"/>
          <w:szCs w:val="29"/>
        </w:rPr>
      </w:pPr>
    </w:p>
    <w:p w14:paraId="48F9B3B3" w14:textId="77777777" w:rsidR="00443399" w:rsidRPr="00B03B51" w:rsidRDefault="00443399" w:rsidP="00443399">
      <w:pPr>
        <w:pStyle w:val="Heading2"/>
        <w:tabs>
          <w:tab w:val="left" w:pos="1135"/>
        </w:tabs>
        <w:spacing w:before="0"/>
        <w:ind w:left="0" w:firstLine="0"/>
        <w:jc w:val="both"/>
        <w:rPr>
          <w:rFonts w:ascii="Times New Roman" w:hAnsi="Times New Roman" w:cs="Times New Roman"/>
          <w:noProof/>
          <w:sz w:val="28"/>
          <w:szCs w:val="44"/>
        </w:rPr>
      </w:pPr>
      <w:bookmarkStart w:id="575" w:name="7.3_Debt_rescheduling"/>
      <w:bookmarkStart w:id="576" w:name="_bookmark57"/>
      <w:bookmarkStart w:id="577" w:name="_Toc67565202"/>
      <w:bookmarkEnd w:id="575"/>
      <w:bookmarkEnd w:id="576"/>
      <w:r w:rsidRPr="00B03B51">
        <w:rPr>
          <w:rFonts w:ascii="Times New Roman" w:hAnsi="Times New Roman" w:cs="Times New Roman"/>
          <w:sz w:val="28"/>
          <w:szCs w:val="44"/>
        </w:rPr>
        <w:t>7.3. Parāda atmaksas grafika pārskatīšana</w:t>
      </w:r>
      <w:bookmarkEnd w:id="577"/>
    </w:p>
    <w:p w14:paraId="2E6FAC4D" w14:textId="77777777" w:rsidR="00443399" w:rsidRPr="00100B51" w:rsidRDefault="00443399" w:rsidP="00100B51">
      <w:pPr>
        <w:rPr>
          <w:rFonts w:ascii="Times New Roman" w:hAnsi="Times New Roman" w:cs="Times New Roman"/>
          <w:noProof/>
          <w:sz w:val="24"/>
          <w:szCs w:val="24"/>
        </w:rPr>
      </w:pPr>
      <w:bookmarkStart w:id="578" w:name="7.3.1_Background"/>
      <w:bookmarkEnd w:id="578"/>
    </w:p>
    <w:p w14:paraId="0D31CA63" w14:textId="77777777" w:rsidR="00443399" w:rsidRPr="00B03B51" w:rsidRDefault="00443399" w:rsidP="00443399">
      <w:pPr>
        <w:pStyle w:val="Heading3"/>
        <w:tabs>
          <w:tab w:val="left" w:pos="1267"/>
        </w:tabs>
        <w:ind w:left="0" w:firstLine="0"/>
        <w:jc w:val="both"/>
        <w:rPr>
          <w:rFonts w:ascii="Times New Roman" w:hAnsi="Times New Roman" w:cs="Times New Roman"/>
          <w:noProof/>
          <w:sz w:val="24"/>
        </w:rPr>
      </w:pPr>
      <w:bookmarkStart w:id="579" w:name="_Toc67565203"/>
      <w:r w:rsidRPr="00B03B51">
        <w:rPr>
          <w:rFonts w:ascii="Times New Roman" w:hAnsi="Times New Roman" w:cs="Times New Roman"/>
          <w:sz w:val="24"/>
        </w:rPr>
        <w:t>7.3.1. Vispārīga informācija</w:t>
      </w:r>
      <w:bookmarkEnd w:id="579"/>
    </w:p>
    <w:p w14:paraId="4A2DE539"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5DBF8A75"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 Parāda atmaksas grafika pārskatīšana var būt alternatīvs risinājums parāda anulēšanai vai arī parāda anulēšanas procesa posms.</w:t>
      </w:r>
    </w:p>
    <w:p w14:paraId="182F80AD"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71681BFA"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2. Šo darījumu valdība bieži īsteno ar ārvalstu darījumu veicējiem, jo īpaši no attīstības valstīm, tomēr tos var veikt arī ar vietējām publiskajām sabiedrībām (jo īpaši finanšu nozarē). Ārvalstu debitori var būt valdības vienības vai valdības sektoram nepiederošas vienības, piemēram, publiskas sabiedrības. Parīzes klubs ir paredzēts sarunām par valsts parādu. Londonas klubs ir paredzēts sarunām par privāto (banku) parādiem, taču tas vairs praktiski nedarbojas. Turpmāk termins “valdība” tiek attiecināts vienīgi uz kreditoru valdību (proti, uz Valsts kasi vai īpašām aģentūrām, izņemot īpašas finanšu iestādes, kas klasificētas sektorā S.12).</w:t>
      </w:r>
    </w:p>
    <w:p w14:paraId="42062953"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016C3763"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3. Rodas jautājums, kā ierakstīt prasījumu un saistību grafika pārskatīšanu? Kāda summa jāieraksta valdības bilances aktīva pusē, ja parāda līguma termiņi ir mainīti saskaņā ar vienošanos par atmaksas grafika pārskatīšanu, un kad jāveic ieraksts?</w:t>
      </w:r>
    </w:p>
    <w:p w14:paraId="2F958976"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16C74C10"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4. Šeit ir aplūkots gadījums, kad valdība ir tieši pagarinājusi aizdevumu citas valsts valdībai un debitors nepilda saistības un atliek visus savus maksājumus vai daļu no tiem: vispirms notiek sarunas par parāda atmaksas grafika pārskatīšanu; otrais posms – parādu var anulēt vai pat pārdot. Aplūkoti tikai aizdevumi. Kredīta apdrošināšanas gadījums nav aplūkots.</w:t>
      </w:r>
    </w:p>
    <w:p w14:paraId="76BDB8C5" w14:textId="77777777" w:rsidR="00443399" w:rsidRPr="00B03B51" w:rsidRDefault="00443399" w:rsidP="00443399">
      <w:pPr>
        <w:jc w:val="both"/>
        <w:rPr>
          <w:rFonts w:ascii="Times New Roman" w:eastAsia="Arial" w:hAnsi="Times New Roman" w:cs="Times New Roman"/>
          <w:noProof/>
          <w:sz w:val="24"/>
          <w:szCs w:val="18"/>
        </w:rPr>
      </w:pPr>
    </w:p>
    <w:p w14:paraId="6766538A" w14:textId="77777777" w:rsidR="00443399" w:rsidRPr="00B03B51" w:rsidRDefault="00443399" w:rsidP="00443399">
      <w:pPr>
        <w:pStyle w:val="Heading3"/>
        <w:tabs>
          <w:tab w:val="left" w:pos="1267"/>
        </w:tabs>
        <w:ind w:left="0" w:firstLine="0"/>
        <w:jc w:val="both"/>
        <w:rPr>
          <w:rFonts w:ascii="Times New Roman" w:hAnsi="Times New Roman" w:cs="Times New Roman"/>
          <w:noProof/>
          <w:sz w:val="24"/>
        </w:rPr>
      </w:pPr>
      <w:bookmarkStart w:id="580" w:name="7.3.2_Treatment_in_national_accounts"/>
      <w:bookmarkStart w:id="581" w:name="_Toc67565204"/>
      <w:bookmarkEnd w:id="580"/>
      <w:r w:rsidRPr="00B03B51">
        <w:rPr>
          <w:rFonts w:ascii="Times New Roman" w:hAnsi="Times New Roman" w:cs="Times New Roman"/>
          <w:sz w:val="24"/>
        </w:rPr>
        <w:t>7.3.2. Traktējums nacionālajos kontos</w:t>
      </w:r>
      <w:bookmarkEnd w:id="581"/>
    </w:p>
    <w:p w14:paraId="5B9FC201"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1AE27748" w14:textId="56F1802C"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 xml:space="preserve">5. Kapitāla pārvedumu ieraksta par labu debitoram, kurš neizpilda savas saistības, ja prasījuma (parasti aizdevumu) neatmaksātā pamatsumma, kas ierakstīta tās nominālvērtībā, ir samazināta. Kapitāla pārvedums ir dzēstā prasījuma summas apmērā. Šāda veida parāda </w:t>
      </w:r>
      <w:r w:rsidR="00E04821" w:rsidRPr="00B03B51">
        <w:rPr>
          <w:rFonts w:ascii="Times New Roman" w:hAnsi="Times New Roman" w:cs="Times New Roman"/>
          <w:sz w:val="24"/>
        </w:rPr>
        <w:t>anulēšana</w:t>
      </w:r>
      <w:r w:rsidRPr="00B03B51">
        <w:rPr>
          <w:rFonts w:ascii="Times New Roman" w:hAnsi="Times New Roman" w:cs="Times New Roman"/>
          <w:sz w:val="24"/>
        </w:rPr>
        <w:t xml:space="preserve"> ir aprakstīta 7.2. nodaļā “Parāda pārņemšana un parāda </w:t>
      </w:r>
      <w:r w:rsidR="00E04821" w:rsidRPr="00B03B51">
        <w:rPr>
          <w:rFonts w:ascii="Times New Roman" w:hAnsi="Times New Roman" w:cs="Times New Roman"/>
          <w:sz w:val="24"/>
        </w:rPr>
        <w:t>anulēšana</w:t>
      </w:r>
      <w:r w:rsidRPr="00B03B51">
        <w:rPr>
          <w:rFonts w:ascii="Times New Roman" w:hAnsi="Times New Roman" w:cs="Times New Roman"/>
          <w:sz w:val="24"/>
        </w:rPr>
        <w:t>”.</w:t>
      </w:r>
    </w:p>
    <w:p w14:paraId="7D06D39A"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09F0C1F8"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6. Dažos citos gadījumos kapitāla pārvedums nav jāieraksta, jo īpaši:</w:t>
      </w:r>
    </w:p>
    <w:p w14:paraId="744E06DB" w14:textId="77777777" w:rsidR="00443399" w:rsidRPr="00B03B51" w:rsidRDefault="00443399" w:rsidP="00443399">
      <w:pPr>
        <w:pStyle w:val="BodyText"/>
        <w:tabs>
          <w:tab w:val="left" w:pos="1202"/>
        </w:tabs>
        <w:spacing w:before="0"/>
        <w:ind w:left="0" w:firstLine="0"/>
        <w:jc w:val="both"/>
        <w:rPr>
          <w:rFonts w:ascii="Times New Roman" w:hAnsi="Times New Roman" w:cs="Times New Roman"/>
          <w:noProof/>
          <w:sz w:val="24"/>
        </w:rPr>
      </w:pPr>
    </w:p>
    <w:p w14:paraId="7069EF80" w14:textId="77777777" w:rsidR="00443399" w:rsidRPr="00B03B51" w:rsidRDefault="00443399" w:rsidP="00443399">
      <w:pPr>
        <w:pStyle w:val="BodyText"/>
        <w:tabs>
          <w:tab w:val="left" w:pos="1202"/>
        </w:tabs>
        <w:spacing w:before="0"/>
        <w:ind w:left="284" w:firstLine="0"/>
        <w:jc w:val="both"/>
        <w:rPr>
          <w:rFonts w:ascii="Times New Roman" w:hAnsi="Times New Roman" w:cs="Times New Roman"/>
          <w:noProof/>
          <w:sz w:val="24"/>
        </w:rPr>
      </w:pPr>
      <w:r w:rsidRPr="00B03B51">
        <w:rPr>
          <w:rFonts w:ascii="Times New Roman" w:hAnsi="Times New Roman" w:cs="Times New Roman"/>
          <w:sz w:val="24"/>
        </w:rPr>
        <w:t>1) ja prasījuma maksājums tiek tikai kavēts vai mainīts tā grafiks;</w:t>
      </w:r>
    </w:p>
    <w:p w14:paraId="2B15E9BA" w14:textId="77777777" w:rsidR="00443399" w:rsidRPr="00B03B51" w:rsidRDefault="00443399" w:rsidP="00443399">
      <w:pPr>
        <w:pStyle w:val="BodyText"/>
        <w:tabs>
          <w:tab w:val="left" w:pos="1202"/>
        </w:tabs>
        <w:spacing w:before="0"/>
        <w:ind w:left="284" w:firstLine="0"/>
        <w:jc w:val="both"/>
        <w:rPr>
          <w:rFonts w:ascii="Times New Roman" w:hAnsi="Times New Roman" w:cs="Times New Roman"/>
          <w:noProof/>
          <w:sz w:val="24"/>
        </w:rPr>
      </w:pPr>
    </w:p>
    <w:p w14:paraId="02B45187" w14:textId="77777777" w:rsidR="00443399" w:rsidRPr="00B03B51" w:rsidRDefault="00443399" w:rsidP="00443399">
      <w:pPr>
        <w:pStyle w:val="BodyText"/>
        <w:tabs>
          <w:tab w:val="left" w:pos="1202"/>
        </w:tabs>
        <w:spacing w:before="0"/>
        <w:ind w:left="284" w:firstLine="0"/>
        <w:jc w:val="both"/>
        <w:rPr>
          <w:rFonts w:ascii="Times New Roman" w:hAnsi="Times New Roman" w:cs="Times New Roman"/>
          <w:noProof/>
          <w:sz w:val="24"/>
        </w:rPr>
      </w:pPr>
      <w:r w:rsidRPr="00B03B51">
        <w:rPr>
          <w:rFonts w:ascii="Times New Roman" w:hAnsi="Times New Roman" w:cs="Times New Roman"/>
          <w:sz w:val="24"/>
        </w:rPr>
        <w:t>2) ja tiek pārspriesta vienīgi procentu summa.</w:t>
      </w:r>
    </w:p>
    <w:p w14:paraId="5AA84A0F" w14:textId="77777777" w:rsidR="00443399" w:rsidRPr="00B03B51" w:rsidRDefault="00443399" w:rsidP="00443399">
      <w:pPr>
        <w:jc w:val="both"/>
        <w:rPr>
          <w:rFonts w:ascii="Times New Roman" w:eastAsia="Arial" w:hAnsi="Times New Roman" w:cs="Times New Roman"/>
          <w:noProof/>
          <w:sz w:val="24"/>
          <w:szCs w:val="16"/>
        </w:rPr>
      </w:pPr>
    </w:p>
    <w:p w14:paraId="052E0D21" w14:textId="77777777" w:rsidR="00443399" w:rsidRPr="00B03B51" w:rsidRDefault="00443399" w:rsidP="00443399">
      <w:pPr>
        <w:pStyle w:val="Heading6"/>
        <w:tabs>
          <w:tab w:val="left" w:pos="1267"/>
        </w:tabs>
        <w:ind w:left="0" w:firstLine="0"/>
        <w:jc w:val="both"/>
        <w:rPr>
          <w:rFonts w:ascii="Times New Roman" w:hAnsi="Times New Roman" w:cs="Times New Roman"/>
          <w:noProof/>
          <w:sz w:val="24"/>
        </w:rPr>
      </w:pPr>
      <w:bookmarkStart w:id="582" w:name="7.3.2.1_Recording_of_a_loan"/>
      <w:bookmarkEnd w:id="582"/>
      <w:r w:rsidRPr="00B03B51">
        <w:rPr>
          <w:rFonts w:ascii="Times New Roman" w:hAnsi="Times New Roman" w:cs="Times New Roman"/>
          <w:sz w:val="24"/>
        </w:rPr>
        <w:t>7.3.2.1. AIZDEVUMA IERAKSTĪŠANA</w:t>
      </w:r>
    </w:p>
    <w:p w14:paraId="52BA4FC7"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50936640"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7. Debitora saistību apjoms pret kreditoru jebkurā brīdī ir nenomaksātā pamatsumma, proti, tā ir summa, kas debitoram jāatmaksā, lai izpildītu saistības un tādējādi dzēstu kreditora prasījumu pret debitoru. Tā ir neatmaksātā pamatsumma, kas jāieraksta gan kreditora, gan debitora bilancē.</w:t>
      </w:r>
    </w:p>
    <w:p w14:paraId="41C680BD"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7745A42E"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8. Var būt dažādu veidu aizdevumi (skat. turpmāk 1. ierāmējumu 7.3.2.4. apakšiedaļā). Tomēr neatkarīgi no aizdevuma veida kopējie gada maksājumi (pamatsumma un procenti) tiek noteikti līgumā, un tos var mainīt, vienīgi grozot līgumu. Nacionālajos kontos procentu plūsmu turpmākās sērijas neieraksta kā kreditora finanšu aktīvu, ne arī kā debitora saistības.</w:t>
      </w:r>
    </w:p>
    <w:p w14:paraId="45B86A87"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4EDB9396"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lastRenderedPageBreak/>
        <w:t>9. Procentu likme var būt nemainīga, vai arī to var pārskatīt gadījumos ar brīvi svārstīgajām likmēm, pārskatītajām likmēm un pieaugošajām procentu likmēm. Aizdevuma līgumā ir iekļauti procentu likmes piemērošanas noteikumi.</w:t>
      </w:r>
    </w:p>
    <w:p w14:paraId="58B9B376"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6726AB21"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10. Ja kādā brīdī kādi iepriekšēji procentu maksājumi nav veikti, attiecīgo summu pievieno nenomaksātajai pamatsummai. Šajās summās ietilpst arī procenti, kas ir uzkrāti un pievienoti pamatsummai nacionālo kontu bilancē, bet nav laikus nomaksāti (to parasti dēvē par procentu parādu).</w:t>
      </w:r>
    </w:p>
    <w:p w14:paraId="517FF517"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34EA66F9"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11. Jebkurā gadījumā nacionālajos kontos neieraksta iespējamos uzkrājumus (gaidāmo zaudējumu aplēses), ko kreditors veicis savos kontos.</w:t>
      </w:r>
    </w:p>
    <w:p w14:paraId="1F7D1C5A" w14:textId="77777777" w:rsidR="00443399" w:rsidRPr="00B03B51" w:rsidRDefault="00443399" w:rsidP="00443399">
      <w:pPr>
        <w:jc w:val="both"/>
        <w:rPr>
          <w:rFonts w:ascii="Times New Roman" w:hAnsi="Times New Roman" w:cs="Times New Roman"/>
          <w:noProof/>
          <w:sz w:val="24"/>
        </w:rPr>
      </w:pPr>
    </w:p>
    <w:p w14:paraId="1DB55D86" w14:textId="77777777" w:rsidR="00443399" w:rsidRPr="00B03B51" w:rsidRDefault="00443399" w:rsidP="00443399">
      <w:pPr>
        <w:pStyle w:val="Heading6"/>
        <w:tabs>
          <w:tab w:val="left" w:pos="1267"/>
        </w:tabs>
        <w:ind w:left="0" w:firstLine="0"/>
        <w:jc w:val="both"/>
        <w:rPr>
          <w:rFonts w:ascii="Times New Roman" w:hAnsi="Times New Roman" w:cs="Times New Roman"/>
          <w:noProof/>
          <w:sz w:val="24"/>
        </w:rPr>
      </w:pPr>
      <w:bookmarkStart w:id="583" w:name="7.3.2.2_Rescheduling_of_the_loan:_ordina"/>
      <w:bookmarkEnd w:id="583"/>
      <w:r w:rsidRPr="00B03B51">
        <w:rPr>
          <w:rFonts w:ascii="Times New Roman" w:hAnsi="Times New Roman" w:cs="Times New Roman"/>
          <w:sz w:val="24"/>
        </w:rPr>
        <w:t>7.3.2.2. AIZDEVUMA ATMAKSAS GRAFIKA PĀRSKATĪŠANA. STANDARTA GADĪJUMI</w:t>
      </w:r>
    </w:p>
    <w:p w14:paraId="51D19354"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700DD973"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12. “Standarta gadījumos” vienošanās par atmaksas grafika pārskatīšanu neietver atlikušā prasījuma maiņu, proti, prasījuma samaksa tiek tikai aizkavēta, pārlikta grafikā uz citu laiku, un/vai tiek pārskatīta procentu summa.</w:t>
      </w:r>
    </w:p>
    <w:p w14:paraId="5E5C0C1C"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0C49676A"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13. Pastāv trīs galvenie aizdevuma atmaksas grafika pārskatīšanas veidi.</w:t>
      </w:r>
    </w:p>
    <w:p w14:paraId="77110DCB" w14:textId="77777777" w:rsidR="00443399" w:rsidRPr="00B03B51" w:rsidRDefault="00443399" w:rsidP="00443399">
      <w:pPr>
        <w:pStyle w:val="BodyText"/>
        <w:tabs>
          <w:tab w:val="left" w:pos="1202"/>
        </w:tabs>
        <w:spacing w:before="0"/>
        <w:ind w:left="0" w:firstLine="0"/>
        <w:jc w:val="both"/>
        <w:rPr>
          <w:rFonts w:ascii="Times New Roman" w:hAnsi="Times New Roman" w:cs="Times New Roman"/>
          <w:noProof/>
          <w:sz w:val="24"/>
        </w:rPr>
      </w:pPr>
    </w:p>
    <w:p w14:paraId="644B1F1A" w14:textId="77777777" w:rsidR="00443399" w:rsidRPr="00B03B51" w:rsidRDefault="00443399" w:rsidP="00443399">
      <w:pPr>
        <w:pStyle w:val="BodyText"/>
        <w:tabs>
          <w:tab w:val="left" w:pos="1202"/>
        </w:tabs>
        <w:spacing w:before="0"/>
        <w:ind w:left="284" w:firstLine="0"/>
        <w:jc w:val="both"/>
        <w:rPr>
          <w:rFonts w:ascii="Times New Roman" w:hAnsi="Times New Roman" w:cs="Times New Roman"/>
          <w:noProof/>
          <w:sz w:val="24"/>
        </w:rPr>
      </w:pPr>
      <w:r w:rsidRPr="00B03B51">
        <w:rPr>
          <w:rFonts w:ascii="Times New Roman" w:hAnsi="Times New Roman" w:cs="Times New Roman"/>
          <w:sz w:val="24"/>
        </w:rPr>
        <w:t>1. Viens veids ir mainīt pamatsummas maksājuma termiņu. Tā kā kopumā mērķis ir atvieglot atmaksas ikgadējo nastu, šajā gadījumā, visticamāk, tiks pagarināts termiņš. Tomēr, lai arī procentu likme nemainās, kopējā procentu maksa pieaug, jo procenti tiek maksāti ilgāku laiku (skat. piemēru).</w:t>
      </w:r>
    </w:p>
    <w:p w14:paraId="30F51A1D" w14:textId="77777777" w:rsidR="00443399" w:rsidRPr="00B03B51" w:rsidRDefault="00443399" w:rsidP="00443399">
      <w:pPr>
        <w:pStyle w:val="BodyText"/>
        <w:spacing w:before="0"/>
        <w:ind w:left="284" w:firstLine="0"/>
        <w:jc w:val="both"/>
        <w:rPr>
          <w:rFonts w:ascii="Times New Roman" w:hAnsi="Times New Roman" w:cs="Times New Roman"/>
          <w:noProof/>
          <w:sz w:val="24"/>
        </w:rPr>
      </w:pPr>
    </w:p>
    <w:p w14:paraId="45F79311" w14:textId="77777777" w:rsidR="00443399" w:rsidRPr="00B03B51" w:rsidRDefault="00443399" w:rsidP="00443399">
      <w:pPr>
        <w:pStyle w:val="BodyText"/>
        <w:spacing w:before="0"/>
        <w:ind w:left="284" w:firstLine="0"/>
        <w:jc w:val="both"/>
        <w:rPr>
          <w:rFonts w:ascii="Times New Roman" w:hAnsi="Times New Roman" w:cs="Times New Roman"/>
          <w:noProof/>
          <w:sz w:val="24"/>
        </w:rPr>
      </w:pPr>
      <w:r w:rsidRPr="00B03B51">
        <w:rPr>
          <w:rFonts w:ascii="Times New Roman" w:hAnsi="Times New Roman" w:cs="Times New Roman"/>
          <w:sz w:val="24"/>
        </w:rPr>
        <w:t>Tas nemaina neatmaksātās pamatsummas nominālvērtību, taču ietekmē parāda instrumenta “tirgus vērtību”, kas tiek novērota, ja darījumi notiek sekundārajā tirgū. Grafika pārskatīšanas rezultātā tiek izstrādāts tāds jauns ikgadējās atmaksas grafiks, kas atšķiras no sākotnējā grafika.</w:t>
      </w:r>
    </w:p>
    <w:p w14:paraId="45D1C66C" w14:textId="77777777" w:rsidR="00443399" w:rsidRPr="00B03B51" w:rsidRDefault="00443399" w:rsidP="00443399">
      <w:pPr>
        <w:pStyle w:val="BodyText"/>
        <w:tabs>
          <w:tab w:val="left" w:pos="1202"/>
        </w:tabs>
        <w:spacing w:before="0"/>
        <w:ind w:left="284" w:firstLine="0"/>
        <w:jc w:val="both"/>
        <w:rPr>
          <w:rFonts w:ascii="Times New Roman" w:hAnsi="Times New Roman" w:cs="Times New Roman"/>
          <w:noProof/>
          <w:sz w:val="24"/>
        </w:rPr>
      </w:pPr>
    </w:p>
    <w:p w14:paraId="1BB5EF82" w14:textId="77777777" w:rsidR="00443399" w:rsidRPr="00B03B51" w:rsidRDefault="00443399" w:rsidP="00443399">
      <w:pPr>
        <w:pStyle w:val="BodyText"/>
        <w:tabs>
          <w:tab w:val="left" w:pos="1202"/>
        </w:tabs>
        <w:spacing w:before="0"/>
        <w:ind w:left="284" w:firstLine="0"/>
        <w:jc w:val="both"/>
        <w:rPr>
          <w:rFonts w:ascii="Times New Roman" w:hAnsi="Times New Roman" w:cs="Times New Roman"/>
          <w:noProof/>
          <w:sz w:val="24"/>
        </w:rPr>
      </w:pPr>
      <w:r w:rsidRPr="00B03B51">
        <w:rPr>
          <w:rFonts w:ascii="Times New Roman" w:hAnsi="Times New Roman" w:cs="Times New Roman"/>
          <w:sz w:val="24"/>
        </w:rPr>
        <w:t>2. Cits veids ir mainīt līguma procentu likmi. Tas ietekmēs vienīgi procentu maksājumu sērijas. Sākotnējā nenomaksātā pamatsumma nemainās. Ja mainās to procentu likme, kas uzkrājas, tad, visticamāk, mainīsies arī veicamie regulārie maksājumi.</w:t>
      </w:r>
    </w:p>
    <w:p w14:paraId="2DB212A3" w14:textId="77777777" w:rsidR="00443399" w:rsidRPr="00B03B51" w:rsidRDefault="00443399" w:rsidP="00443399">
      <w:pPr>
        <w:pStyle w:val="BodyText"/>
        <w:spacing w:before="0"/>
        <w:ind w:left="284" w:firstLine="0"/>
        <w:jc w:val="both"/>
        <w:rPr>
          <w:rFonts w:ascii="Times New Roman" w:hAnsi="Times New Roman" w:cs="Times New Roman"/>
          <w:noProof/>
          <w:sz w:val="24"/>
        </w:rPr>
      </w:pPr>
    </w:p>
    <w:p w14:paraId="2381CAD6" w14:textId="77777777" w:rsidR="00443399" w:rsidRPr="00B03B51" w:rsidRDefault="00443399" w:rsidP="00443399">
      <w:pPr>
        <w:pStyle w:val="BodyText"/>
        <w:spacing w:before="0"/>
        <w:ind w:left="284" w:firstLine="0"/>
        <w:jc w:val="both"/>
        <w:rPr>
          <w:rFonts w:ascii="Times New Roman" w:hAnsi="Times New Roman" w:cs="Times New Roman"/>
          <w:noProof/>
          <w:sz w:val="24"/>
        </w:rPr>
      </w:pPr>
      <w:r w:rsidRPr="00B03B51">
        <w:rPr>
          <w:rFonts w:ascii="Times New Roman" w:hAnsi="Times New Roman" w:cs="Times New Roman"/>
          <w:sz w:val="24"/>
        </w:rPr>
        <w:t>Konkrēta šāda vienošanās var ietvert procentu maksājumu nākotnes plūsmu atcelšanu, ko veic kreditors, ar dažādām pamatsummas atmaksāšanas alternatīvām. Nenomaksātās pamatsummas apjoms bilancēs nemainās: tas līdzinās aizdevuma procentu likmes pārskatīšanai, kad jaunā procentu likme ir vienāda ar nulli.</w:t>
      </w:r>
    </w:p>
    <w:p w14:paraId="454F427E" w14:textId="77777777" w:rsidR="00443399" w:rsidRPr="00B03B51" w:rsidRDefault="00443399" w:rsidP="00443399">
      <w:pPr>
        <w:pStyle w:val="BodyText"/>
        <w:tabs>
          <w:tab w:val="left" w:pos="1202"/>
        </w:tabs>
        <w:spacing w:before="0"/>
        <w:ind w:left="284" w:firstLine="0"/>
        <w:jc w:val="both"/>
        <w:rPr>
          <w:rFonts w:ascii="Times New Roman" w:hAnsi="Times New Roman" w:cs="Times New Roman"/>
          <w:noProof/>
          <w:sz w:val="24"/>
        </w:rPr>
      </w:pPr>
    </w:p>
    <w:p w14:paraId="0CB6B1F2" w14:textId="77777777" w:rsidR="00443399" w:rsidRPr="00B03B51" w:rsidRDefault="00443399" w:rsidP="00443399">
      <w:pPr>
        <w:pStyle w:val="BodyText"/>
        <w:tabs>
          <w:tab w:val="left" w:pos="1202"/>
        </w:tabs>
        <w:spacing w:before="0"/>
        <w:ind w:left="284" w:firstLine="0"/>
        <w:jc w:val="both"/>
        <w:rPr>
          <w:rFonts w:ascii="Times New Roman" w:hAnsi="Times New Roman" w:cs="Times New Roman"/>
          <w:noProof/>
          <w:sz w:val="24"/>
        </w:rPr>
      </w:pPr>
      <w:r w:rsidRPr="00B03B51">
        <w:rPr>
          <w:rFonts w:ascii="Times New Roman" w:hAnsi="Times New Roman" w:cs="Times New Roman"/>
          <w:sz w:val="24"/>
        </w:rPr>
        <w:t>3. Trešais veids ir kavēt pamatsummas maksājumus termiņa pagarinājuma laikā. Parasti attiecīgi pieaug aizdevuma atmaksas termiņš. Sākotnējā nenomaksātā summa netiek mainīta. Atvieglojumu periodā uzkrātos procentus var maksāt katru gadu vai kapitalizēt un pievienot pamatsummai, kura tiks amortizēta pēc atvieglojumu perioda (skat. 2.4. nodaļu “Procentu ierakstīšana”).</w:t>
      </w:r>
    </w:p>
    <w:p w14:paraId="57D5400B" w14:textId="77777777" w:rsidR="00443399" w:rsidRPr="00B03B51" w:rsidRDefault="00443399" w:rsidP="00443399">
      <w:pPr>
        <w:jc w:val="both"/>
        <w:rPr>
          <w:rFonts w:ascii="Times New Roman" w:eastAsia="Arial" w:hAnsi="Times New Roman" w:cs="Times New Roman"/>
          <w:noProof/>
          <w:sz w:val="24"/>
          <w:szCs w:val="15"/>
        </w:rPr>
      </w:pPr>
    </w:p>
    <w:p w14:paraId="2B06C981" w14:textId="77777777" w:rsidR="00443399" w:rsidRPr="00B03B51" w:rsidRDefault="00443399" w:rsidP="00443399">
      <w:pPr>
        <w:pStyle w:val="Heading6"/>
        <w:tabs>
          <w:tab w:val="left" w:pos="1267"/>
        </w:tabs>
        <w:ind w:left="0" w:firstLine="0"/>
        <w:jc w:val="both"/>
        <w:rPr>
          <w:rFonts w:ascii="Times New Roman" w:hAnsi="Times New Roman" w:cs="Times New Roman"/>
          <w:noProof/>
          <w:sz w:val="24"/>
        </w:rPr>
      </w:pPr>
      <w:bookmarkStart w:id="584" w:name="7.3.2.3_Determining_the_new_amount_outst"/>
      <w:bookmarkEnd w:id="584"/>
      <w:r w:rsidRPr="00B03B51">
        <w:rPr>
          <w:rFonts w:ascii="Times New Roman" w:hAnsi="Times New Roman" w:cs="Times New Roman"/>
          <w:sz w:val="24"/>
        </w:rPr>
        <w:t>7.3.2.3. JAUNĀS NENOMAKSĀTĀS SUMMAS NOTEIKŠANA</w:t>
      </w:r>
    </w:p>
    <w:p w14:paraId="3E6D15BB"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79E785CA"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 xml:space="preserve">14. Lai noteiktu, vai jāieraksta kapitāla pārvedums un jāaprēķina tā vērtība, jāzina starpība starp nenomaksāto prasījumu summu pirms un pēc atmaksas grafika pārskatīšanas. Parasti jaunā nenomaksātā summa būs norādīta atmaksas grafika pārskatīšanas līgumā. Tomēr atsevišķos </w:t>
      </w:r>
      <w:r w:rsidRPr="00B03B51">
        <w:rPr>
          <w:rFonts w:ascii="Times New Roman" w:hAnsi="Times New Roman" w:cs="Times New Roman"/>
          <w:sz w:val="24"/>
        </w:rPr>
        <w:lastRenderedPageBreak/>
        <w:t>gadījumos tā var nebūt norādīta atmaksas grafika pārskatīšanas līgumā. Tad minētā summa jāaprēķina no turpmāko gada maksu plūsmas un procentu likmes, kas noteikta jaunajā līgumā (skat. 7.3.2.4. apakšiedaļas 1. ierāmējumā norādītās formulas). Ja procentu likme nav norādīta, nenomaksātās summas vērtība jāaprēķina kā turpmāko gada maksu pašreizējā neto vērtība, izmantojot diskonta likmi, kas ir vienāda ar procentu likmi, kura tika piemērota attiecībā uz sākotnējo līgumu.</w:t>
      </w:r>
    </w:p>
    <w:p w14:paraId="420494F0"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44D28D16"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15. Citiem vārdiem sakot:</w:t>
      </w:r>
    </w:p>
    <w:p w14:paraId="5C7B4CEC"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0142E1F7" w14:textId="77777777" w:rsidR="00443399" w:rsidRPr="00B03B51" w:rsidRDefault="00443399" w:rsidP="0018742C">
      <w:pPr>
        <w:pStyle w:val="BodyText"/>
        <w:numPr>
          <w:ilvl w:val="0"/>
          <w:numId w:val="42"/>
        </w:numPr>
        <w:spacing w:before="0"/>
        <w:ind w:left="426" w:hanging="425"/>
        <w:jc w:val="both"/>
        <w:rPr>
          <w:rFonts w:ascii="Times New Roman" w:hAnsi="Times New Roman" w:cs="Times New Roman"/>
          <w:noProof/>
          <w:sz w:val="24"/>
        </w:rPr>
      </w:pPr>
      <w:r w:rsidRPr="00B03B51">
        <w:rPr>
          <w:rFonts w:ascii="Times New Roman" w:hAnsi="Times New Roman" w:cs="Times New Roman"/>
          <w:sz w:val="24"/>
        </w:rPr>
        <w:t>ja kādā brīdī nenomaksātajai aizdevuma pamatsummai ir dota vērtība V un</w:t>
      </w:r>
    </w:p>
    <w:p w14:paraId="7DE3673D" w14:textId="77777777" w:rsidR="00443399" w:rsidRPr="00B03B51" w:rsidRDefault="00443399" w:rsidP="0018742C">
      <w:pPr>
        <w:pStyle w:val="BodyText"/>
        <w:numPr>
          <w:ilvl w:val="0"/>
          <w:numId w:val="42"/>
        </w:numPr>
        <w:spacing w:before="0"/>
        <w:ind w:left="426" w:hanging="425"/>
        <w:jc w:val="both"/>
        <w:rPr>
          <w:rFonts w:ascii="Times New Roman" w:hAnsi="Times New Roman" w:cs="Times New Roman"/>
          <w:noProof/>
          <w:sz w:val="24"/>
        </w:rPr>
      </w:pPr>
      <w:r w:rsidRPr="00B03B51">
        <w:rPr>
          <w:rFonts w:ascii="Times New Roman" w:hAnsi="Times New Roman" w:cs="Times New Roman"/>
          <w:sz w:val="24"/>
        </w:rPr>
        <w:t>ja vienošanās par atmaksas grafika pārskatīšanu, kas īstenota šajā brīdī, rada situāciju, ka gada maksājumu pašreizējā vērtība – aprēķināta atbilstīgi procentu likmei saskaņā ar vienošanos – pēc atmaksas grafika pārskatīšanas atšķiras no iepriekš minētās nenomaksātās pamatsummas V,</w:t>
      </w:r>
    </w:p>
    <w:p w14:paraId="17FC9D4E" w14:textId="77777777" w:rsidR="00443399" w:rsidRPr="00B03B51" w:rsidRDefault="00443399" w:rsidP="0018742C">
      <w:pPr>
        <w:pStyle w:val="BodyText"/>
        <w:numPr>
          <w:ilvl w:val="0"/>
          <w:numId w:val="42"/>
        </w:numPr>
        <w:spacing w:before="0"/>
        <w:ind w:left="426" w:hanging="425"/>
        <w:jc w:val="both"/>
        <w:rPr>
          <w:rFonts w:ascii="Times New Roman" w:hAnsi="Times New Roman" w:cs="Times New Roman"/>
          <w:noProof/>
          <w:sz w:val="24"/>
        </w:rPr>
      </w:pPr>
      <w:r w:rsidRPr="00B03B51">
        <w:rPr>
          <w:rFonts w:ascii="Times New Roman" w:hAnsi="Times New Roman" w:cs="Times New Roman"/>
          <w:sz w:val="24"/>
        </w:rPr>
        <w:t>tas nozīmē, ka faktiski pastāv izmaiņas nenomaksātās pamatsummas vērtībā, kas jāieraksta pozīcijā AF.4 gan kreditora, gan debitora bilancē.</w:t>
      </w:r>
    </w:p>
    <w:p w14:paraId="512B6804"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09424184"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 xml:space="preserve">16. Tā kā šajā gadījumā ir iespējams, ka jaunā nenomaksātā pamatsumma ir zemāka par iepriekšējo, debitoram no kreditora jāieraksta kapitāla pārvedums natūrā (D.99), jo </w:t>
      </w:r>
      <w:r w:rsidRPr="00B03B51">
        <w:rPr>
          <w:rFonts w:ascii="Times New Roman" w:hAnsi="Times New Roman" w:cs="Times New Roman"/>
          <w:i/>
          <w:iCs/>
          <w:sz w:val="24"/>
        </w:rPr>
        <w:t>de facto</w:t>
      </w:r>
      <w:r w:rsidRPr="00B03B51">
        <w:rPr>
          <w:rFonts w:ascii="Times New Roman" w:hAnsi="Times New Roman" w:cs="Times New Roman"/>
          <w:sz w:val="24"/>
        </w:rPr>
        <w:t xml:space="preserve"> pastāv daļēja parāda anulēšana.</w:t>
      </w:r>
    </w:p>
    <w:p w14:paraId="4DD8132F" w14:textId="77777777" w:rsidR="00443399" w:rsidRPr="00B03B51" w:rsidRDefault="00443399" w:rsidP="00443399">
      <w:pPr>
        <w:jc w:val="both"/>
        <w:rPr>
          <w:rFonts w:ascii="Times New Roman" w:eastAsia="Arial" w:hAnsi="Times New Roman" w:cs="Times New Roman"/>
          <w:noProof/>
          <w:sz w:val="24"/>
          <w:szCs w:val="17"/>
        </w:rPr>
      </w:pPr>
    </w:p>
    <w:p w14:paraId="7564CEAF" w14:textId="77777777" w:rsidR="00443399" w:rsidRPr="00B03B51" w:rsidRDefault="00443399" w:rsidP="00443399">
      <w:pPr>
        <w:pStyle w:val="Heading6"/>
        <w:tabs>
          <w:tab w:val="left" w:pos="1267"/>
        </w:tabs>
        <w:ind w:left="0" w:firstLine="0"/>
        <w:jc w:val="both"/>
        <w:rPr>
          <w:rFonts w:ascii="Times New Roman" w:hAnsi="Times New Roman" w:cs="Times New Roman"/>
          <w:noProof/>
          <w:sz w:val="24"/>
        </w:rPr>
      </w:pPr>
      <w:bookmarkStart w:id="585" w:name="7.3.2.4_Cancellation_of_a_debt_following"/>
      <w:bookmarkEnd w:id="585"/>
      <w:r w:rsidRPr="00B03B51">
        <w:rPr>
          <w:rFonts w:ascii="Times New Roman" w:hAnsi="Times New Roman" w:cs="Times New Roman"/>
          <w:sz w:val="24"/>
        </w:rPr>
        <w:t>7.3.2.4. PARĀDA ANULĒŠANA PĒC ATMAKSAS GRAFIKA PĀRSKATĪŠANAS</w:t>
      </w:r>
    </w:p>
    <w:p w14:paraId="3759FCE5"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1247B7A2" w14:textId="4FC55D8F"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 xml:space="preserve">17. Lai arī parāda atmaksas grafiks ir pārskatīts, var gadīties, ka valdība, kas ir kreditors, atceļ atlikušo prasījumu. Parāda anulēšanas līguma laikā ir jāieraksta kapitāla pārvedums debitoram no valdības. Kapitāla pārveduma summa (standarta parāda </w:t>
      </w:r>
      <w:r w:rsidR="00E04821" w:rsidRPr="00B03B51">
        <w:rPr>
          <w:rFonts w:ascii="Times New Roman" w:hAnsi="Times New Roman" w:cs="Times New Roman"/>
          <w:sz w:val="24"/>
        </w:rPr>
        <w:t>anulēšanas</w:t>
      </w:r>
      <w:r w:rsidRPr="00B03B51">
        <w:rPr>
          <w:rFonts w:ascii="Times New Roman" w:hAnsi="Times New Roman" w:cs="Times New Roman"/>
          <w:sz w:val="24"/>
        </w:rPr>
        <w:t xml:space="preserve"> traktējums EKS 2010) ir līdzvērtīgs aizdevuma nenomaksātajai pamatsummai pēc atmaksas grafika pārskatīšanas.</w:t>
      </w:r>
    </w:p>
    <w:p w14:paraId="645C7E8B" w14:textId="77777777" w:rsidR="00443399" w:rsidRPr="00B03B51" w:rsidRDefault="00443399" w:rsidP="00443399">
      <w:pPr>
        <w:jc w:val="both"/>
        <w:rPr>
          <w:rFonts w:ascii="Times New Roman" w:hAnsi="Times New Roman" w:cs="Times New Roman"/>
          <w:noProof/>
          <w:sz w:val="24"/>
        </w:rPr>
      </w:pPr>
    </w:p>
    <w:p w14:paraId="4B6F7948" w14:textId="77777777" w:rsidR="00443399" w:rsidRPr="00B03B51" w:rsidRDefault="00443399" w:rsidP="00443399">
      <w:pPr>
        <w:jc w:val="both"/>
        <w:rPr>
          <w:rFonts w:ascii="Times New Roman" w:hAnsi="Times New Roman" w:cs="Times New Roman"/>
          <w:b/>
          <w:noProof/>
          <w:sz w:val="24"/>
        </w:rPr>
      </w:pPr>
      <w:r w:rsidRPr="00B03B51">
        <w:rPr>
          <w:rFonts w:ascii="Times New Roman" w:hAnsi="Times New Roman" w:cs="Times New Roman"/>
          <w:b/>
          <w:sz w:val="24"/>
        </w:rPr>
        <w:t>Aizdevuma pārdošana</w:t>
      </w:r>
    </w:p>
    <w:p w14:paraId="0E8C9062" w14:textId="77777777" w:rsidR="00443399" w:rsidRPr="00B03B51" w:rsidRDefault="00443399" w:rsidP="00443399">
      <w:pPr>
        <w:jc w:val="both"/>
        <w:rPr>
          <w:rFonts w:ascii="Times New Roman" w:eastAsia="Arial" w:hAnsi="Times New Roman" w:cs="Times New Roman"/>
          <w:b/>
          <w:bCs/>
          <w:noProof/>
          <w:sz w:val="24"/>
        </w:rPr>
      </w:pPr>
    </w:p>
    <w:p w14:paraId="418BAF2E"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18. Ir iespējams, ka pēc atmaksas grafika pārskatīšanas valdība pārdod aizdevumu, piemēram, kādai finanšu iestādei. Iespējams arī, ka saistībā ar atšķirībām starp procentu likmi, kas līgumā noteikta attiecībā uz aizdevumu, un attiecīgo tirgus likmi tādam pašam aizdevumam, pārdošana notiek par pamatsummas apjomu, kas ir daudz zemāks par nenomaksāto pamatsummu, kura paredzēta līgumā par atmaksas grafika pārskatīšanu.</w:t>
      </w:r>
    </w:p>
    <w:p w14:paraId="26CC5EAA"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09586944"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19. Šādā gadījumā starpība starp nenomaksāto pamatsummu pēc atmaksas grafika pārskatīšanas un nenomaksāto pamatsummu, kas ietirgota pārdošanā, jāieraksta valdības pārvērtēšanas kontā kā turēšanas zaudējums (EKS 2010 6.58. punkts).</w:t>
      </w:r>
    </w:p>
    <w:p w14:paraId="1FCB1073"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b/>
          <w:bCs/>
          <w:noProof/>
          <w:sz w:val="24"/>
        </w:rPr>
      </w:pPr>
    </w:p>
    <w:p w14:paraId="4C42CED6"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b/>
          <w:bCs/>
          <w:sz w:val="24"/>
        </w:rPr>
        <w:t xml:space="preserve">20. </w:t>
      </w:r>
      <w:r w:rsidRPr="00B03B51">
        <w:rPr>
          <w:rFonts w:ascii="Times New Roman" w:hAnsi="Times New Roman" w:cs="Times New Roman"/>
          <w:b/>
          <w:bCs/>
          <w:i/>
          <w:iCs/>
          <w:sz w:val="24"/>
        </w:rPr>
        <w:t>NB</w:t>
      </w:r>
      <w:r w:rsidRPr="00B03B51">
        <w:rPr>
          <w:rFonts w:ascii="Times New Roman" w:hAnsi="Times New Roman" w:cs="Times New Roman"/>
          <w:sz w:val="24"/>
        </w:rPr>
        <w:t>! Ja debitors turpinātu veikt aizdevuma atmaksājumus pirmajam kreditoram, ko tas darītu, ja tā saistības netiktu mainītas aizdevuma “pārdošanas” rezultātā, abu kreditoru savstarpējais darījums būtu uzskatāms nevis par prasījuma (aizdevuma) pārdošanu, ko veicis pirmais kreditors, bet gan par jaunu aizdevumu, ko jaunais kreditors piešķīris bijušajam kreditoram.</w:t>
      </w:r>
    </w:p>
    <w:p w14:paraId="3A05D763" w14:textId="77777777" w:rsidR="00443399" w:rsidRPr="00B03B51" w:rsidRDefault="00443399" w:rsidP="00443399">
      <w:pPr>
        <w:jc w:val="both"/>
        <w:rPr>
          <w:rFonts w:ascii="Times New Roman" w:eastAsia="Arial" w:hAnsi="Times New Roman" w:cs="Times New Roman"/>
          <w:noProof/>
          <w:sz w:val="24"/>
          <w:szCs w:val="8"/>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061"/>
      </w:tblGrid>
      <w:tr w:rsidR="00443399" w:rsidRPr="00B03B51" w14:paraId="0DC7A8B3" w14:textId="77777777" w:rsidTr="0018742C">
        <w:tc>
          <w:tcPr>
            <w:tcW w:w="5000" w:type="pct"/>
          </w:tcPr>
          <w:p w14:paraId="0D24BD2C" w14:textId="77777777" w:rsidR="00443399" w:rsidRPr="00B03B51" w:rsidRDefault="00443399" w:rsidP="0054365B">
            <w:pPr>
              <w:jc w:val="both"/>
              <w:rPr>
                <w:rFonts w:ascii="Times New Roman" w:eastAsia="Arial" w:hAnsi="Times New Roman" w:cs="Times New Roman"/>
                <w:b/>
                <w:bCs/>
                <w:noProof/>
                <w:sz w:val="24"/>
                <w:szCs w:val="8"/>
              </w:rPr>
            </w:pPr>
            <w:r w:rsidRPr="00B03B51">
              <w:rPr>
                <w:rFonts w:ascii="Times New Roman" w:hAnsi="Times New Roman" w:cs="Times New Roman"/>
                <w:b/>
                <w:bCs/>
                <w:sz w:val="24"/>
                <w:szCs w:val="8"/>
              </w:rPr>
              <w:t>1. ierāmējums. Aizdevumu ierakstīšana (pamatsumma un procenti). Tehniska piezīme</w:t>
            </w:r>
          </w:p>
          <w:p w14:paraId="5579EA0B" w14:textId="77777777" w:rsidR="00443399" w:rsidRPr="00B03B51" w:rsidRDefault="00443399" w:rsidP="0054365B">
            <w:pPr>
              <w:jc w:val="both"/>
              <w:rPr>
                <w:rFonts w:ascii="Times New Roman" w:eastAsia="Arial" w:hAnsi="Times New Roman" w:cs="Times New Roman"/>
                <w:b/>
                <w:bCs/>
                <w:noProof/>
                <w:sz w:val="24"/>
                <w:szCs w:val="8"/>
              </w:rPr>
            </w:pPr>
          </w:p>
          <w:p w14:paraId="41149684" w14:textId="77777777" w:rsidR="00443399" w:rsidRPr="00B03B51" w:rsidRDefault="00443399" w:rsidP="0054365B">
            <w:pPr>
              <w:jc w:val="both"/>
              <w:rPr>
                <w:rFonts w:ascii="Times New Roman" w:eastAsia="Arial" w:hAnsi="Times New Roman" w:cs="Times New Roman"/>
                <w:noProof/>
                <w:sz w:val="24"/>
                <w:szCs w:val="8"/>
              </w:rPr>
            </w:pPr>
            <w:r w:rsidRPr="00B03B51">
              <w:rPr>
                <w:rFonts w:ascii="Times New Roman" w:hAnsi="Times New Roman" w:cs="Times New Roman"/>
                <w:sz w:val="24"/>
                <w:szCs w:val="8"/>
              </w:rPr>
              <w:t xml:space="preserve">1. Sākumā nenomaksātā pamatsumma ir vienāda ar aizdoto summu. Tā ir vienāda arī ar visu gada maksu pašreizējo vērtību, aizdevuma līguma procentu likmi izmantojot kā diskonta likmi </w:t>
            </w:r>
            <w:r w:rsidRPr="00B03B51">
              <w:rPr>
                <w:rFonts w:ascii="Times New Roman" w:hAnsi="Times New Roman" w:cs="Times New Roman"/>
                <w:sz w:val="24"/>
                <w:szCs w:val="8"/>
              </w:rPr>
              <w:lastRenderedPageBreak/>
              <w:t>(skat. ierāmējumā 1. formulu).</w:t>
            </w:r>
          </w:p>
          <w:p w14:paraId="4DDF1CB8" w14:textId="77777777" w:rsidR="00443399" w:rsidRPr="00B03B51" w:rsidRDefault="00443399" w:rsidP="0054365B">
            <w:pPr>
              <w:jc w:val="both"/>
              <w:rPr>
                <w:rFonts w:ascii="Times New Roman" w:eastAsia="Arial" w:hAnsi="Times New Roman" w:cs="Times New Roman"/>
                <w:noProof/>
                <w:sz w:val="24"/>
                <w:szCs w:val="8"/>
              </w:rPr>
            </w:pPr>
          </w:p>
          <w:p w14:paraId="035DA5B9" w14:textId="77777777" w:rsidR="00443399" w:rsidRPr="00B03B51" w:rsidRDefault="00443399" w:rsidP="0054365B">
            <w:pPr>
              <w:jc w:val="both"/>
              <w:rPr>
                <w:rFonts w:ascii="Times New Roman" w:eastAsia="Arial" w:hAnsi="Times New Roman" w:cs="Times New Roman"/>
                <w:noProof/>
                <w:sz w:val="24"/>
                <w:szCs w:val="8"/>
              </w:rPr>
            </w:pPr>
            <w:r w:rsidRPr="00B03B51">
              <w:rPr>
                <w:rFonts w:ascii="Times New Roman" w:hAnsi="Times New Roman" w:cs="Times New Roman"/>
                <w:sz w:val="24"/>
                <w:szCs w:val="8"/>
              </w:rPr>
              <w:t>2. Jebkurā brīdī nenomaksātā pamatsumma ir vienāda ar atlikušo gada maksu pašreizējo vērtību, aizdevuma līguma procentu likmi joprojām izmantojot kā diskonta likmi (skat. 2. formulu ierāmējumā attiecībā uz gadījumu, kad visas iepriekšējās gada maksas ir izmaksātas).</w:t>
            </w:r>
          </w:p>
          <w:p w14:paraId="3AAB6CBE" w14:textId="77777777" w:rsidR="00443399" w:rsidRPr="00B03B51" w:rsidRDefault="00443399" w:rsidP="0054365B">
            <w:pPr>
              <w:jc w:val="both"/>
              <w:rPr>
                <w:rFonts w:ascii="Times New Roman" w:eastAsia="Arial" w:hAnsi="Times New Roman" w:cs="Times New Roman"/>
                <w:noProof/>
                <w:sz w:val="24"/>
                <w:szCs w:val="8"/>
              </w:rPr>
            </w:pPr>
          </w:p>
          <w:p w14:paraId="5D779A40" w14:textId="77777777" w:rsidR="00443399" w:rsidRPr="00B03B51" w:rsidRDefault="00443399" w:rsidP="0054365B">
            <w:pPr>
              <w:jc w:val="both"/>
              <w:rPr>
                <w:rFonts w:ascii="Times New Roman" w:eastAsia="Arial" w:hAnsi="Times New Roman" w:cs="Times New Roman"/>
                <w:noProof/>
                <w:sz w:val="24"/>
                <w:szCs w:val="8"/>
              </w:rPr>
            </w:pPr>
            <w:r w:rsidRPr="00B03B51">
              <w:rPr>
                <w:rFonts w:ascii="Times New Roman" w:hAnsi="Times New Roman" w:cs="Times New Roman"/>
                <w:sz w:val="24"/>
                <w:szCs w:val="8"/>
              </w:rPr>
              <w:t>3. Aizdevuma amortizācijas tabulu var attēlot šādi:</w:t>
            </w:r>
          </w:p>
          <w:p w14:paraId="5065724C" w14:textId="77777777" w:rsidR="00443399" w:rsidRPr="00B03B51" w:rsidRDefault="00443399" w:rsidP="0054365B">
            <w:pPr>
              <w:jc w:val="both"/>
              <w:rPr>
                <w:rFonts w:ascii="Times New Roman" w:eastAsia="Arial" w:hAnsi="Times New Roman" w:cs="Times New Roman"/>
                <w:noProof/>
                <w:sz w:val="24"/>
                <w:szCs w:val="8"/>
              </w:rPr>
            </w:pPr>
          </w:p>
          <w:p w14:paraId="5EDEC0C6" w14:textId="77777777" w:rsidR="00443399" w:rsidRPr="00B03B51" w:rsidRDefault="00443399" w:rsidP="00443399">
            <w:pPr>
              <w:pStyle w:val="ListParagraph"/>
              <w:numPr>
                <w:ilvl w:val="0"/>
                <w:numId w:val="71"/>
              </w:numPr>
              <w:ind w:hanging="294"/>
              <w:jc w:val="both"/>
              <w:rPr>
                <w:rFonts w:ascii="Times New Roman" w:eastAsia="Arial" w:hAnsi="Times New Roman" w:cs="Times New Roman"/>
                <w:noProof/>
                <w:sz w:val="24"/>
                <w:szCs w:val="8"/>
              </w:rPr>
            </w:pPr>
            <w:r w:rsidRPr="00B03B51">
              <w:rPr>
                <w:rFonts w:ascii="Times New Roman" w:hAnsi="Times New Roman" w:cs="Times New Roman"/>
                <w:i/>
                <w:iCs/>
                <w:sz w:val="24"/>
                <w:szCs w:val="8"/>
              </w:rPr>
              <w:t>V</w:t>
            </w:r>
            <w:r w:rsidRPr="00B03B51">
              <w:rPr>
                <w:rFonts w:ascii="Times New Roman" w:hAnsi="Times New Roman" w:cs="Times New Roman"/>
                <w:i/>
                <w:iCs/>
                <w:sz w:val="24"/>
                <w:szCs w:val="8"/>
                <w:vertAlign w:val="subscript"/>
              </w:rPr>
              <w:t>0</w:t>
            </w:r>
            <w:r w:rsidRPr="00B03B51">
              <w:rPr>
                <w:rFonts w:ascii="Times New Roman" w:hAnsi="Times New Roman" w:cs="Times New Roman"/>
                <w:i/>
                <w:iCs/>
                <w:sz w:val="24"/>
                <w:szCs w:val="8"/>
              </w:rPr>
              <w:t xml:space="preserve"> </w:t>
            </w:r>
            <w:r w:rsidRPr="00B03B51">
              <w:rPr>
                <w:rFonts w:ascii="Times New Roman" w:hAnsi="Times New Roman" w:cs="Times New Roman"/>
                <w:sz w:val="24"/>
                <w:szCs w:val="8"/>
              </w:rPr>
              <w:t>ir aizdevuma summa sākumā;</w:t>
            </w:r>
          </w:p>
          <w:p w14:paraId="22964CBD" w14:textId="77777777" w:rsidR="00443399" w:rsidRPr="00B03B51" w:rsidRDefault="00443399" w:rsidP="00443399">
            <w:pPr>
              <w:pStyle w:val="ListParagraph"/>
              <w:numPr>
                <w:ilvl w:val="0"/>
                <w:numId w:val="71"/>
              </w:numPr>
              <w:ind w:hanging="294"/>
              <w:jc w:val="both"/>
              <w:rPr>
                <w:rFonts w:ascii="Times New Roman" w:eastAsia="Arial" w:hAnsi="Times New Roman" w:cs="Times New Roman"/>
                <w:noProof/>
                <w:sz w:val="24"/>
                <w:szCs w:val="8"/>
              </w:rPr>
            </w:pPr>
            <w:r w:rsidRPr="00B03B51">
              <w:rPr>
                <w:rFonts w:ascii="Times New Roman" w:hAnsi="Times New Roman" w:cs="Times New Roman"/>
                <w:i/>
                <w:iCs/>
                <w:sz w:val="24"/>
                <w:szCs w:val="8"/>
              </w:rPr>
              <w:t xml:space="preserve">r </w:t>
            </w:r>
            <w:r w:rsidRPr="00B03B51">
              <w:rPr>
                <w:rFonts w:ascii="Times New Roman" w:hAnsi="Times New Roman" w:cs="Times New Roman"/>
                <w:sz w:val="24"/>
                <w:szCs w:val="8"/>
              </w:rPr>
              <w:t>ir līguma procentu likme;</w:t>
            </w:r>
          </w:p>
          <w:p w14:paraId="7B0ABC35" w14:textId="77777777" w:rsidR="00443399" w:rsidRPr="00B03B51" w:rsidRDefault="00443399" w:rsidP="00443399">
            <w:pPr>
              <w:pStyle w:val="ListParagraph"/>
              <w:numPr>
                <w:ilvl w:val="0"/>
                <w:numId w:val="71"/>
              </w:numPr>
              <w:ind w:hanging="294"/>
              <w:jc w:val="both"/>
              <w:rPr>
                <w:rFonts w:ascii="Times New Roman" w:eastAsia="Arial" w:hAnsi="Times New Roman" w:cs="Times New Roman"/>
                <w:noProof/>
                <w:sz w:val="24"/>
                <w:szCs w:val="8"/>
              </w:rPr>
            </w:pPr>
            <w:r w:rsidRPr="00B03B51">
              <w:rPr>
                <w:rFonts w:ascii="Times New Roman" w:hAnsi="Times New Roman" w:cs="Times New Roman"/>
                <w:i/>
                <w:iCs/>
                <w:sz w:val="24"/>
                <w:szCs w:val="8"/>
              </w:rPr>
              <w:t>n</w:t>
            </w:r>
            <w:r w:rsidRPr="00B03B51">
              <w:rPr>
                <w:rFonts w:ascii="Times New Roman" w:hAnsi="Times New Roman" w:cs="Times New Roman"/>
                <w:sz w:val="24"/>
                <w:szCs w:val="8"/>
              </w:rPr>
              <w:t xml:space="preserve"> ir aizdevuma termiņš.</w:t>
            </w:r>
          </w:p>
          <w:p w14:paraId="65E33D61" w14:textId="77777777" w:rsidR="00443399" w:rsidRPr="00B03B51" w:rsidRDefault="00443399" w:rsidP="0054365B">
            <w:pPr>
              <w:jc w:val="both"/>
              <w:rPr>
                <w:rFonts w:ascii="Times New Roman" w:eastAsia="Arial" w:hAnsi="Times New Roman" w:cs="Times New Roman"/>
                <w:noProof/>
                <w:sz w:val="24"/>
                <w:szCs w:val="8"/>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1772"/>
              <w:gridCol w:w="1817"/>
              <w:gridCol w:w="1778"/>
              <w:gridCol w:w="1821"/>
              <w:gridCol w:w="1807"/>
            </w:tblGrid>
            <w:tr w:rsidR="00443399" w:rsidRPr="00B03B51" w14:paraId="0073DE55" w14:textId="77777777" w:rsidTr="0054365B">
              <w:tc>
                <w:tcPr>
                  <w:tcW w:w="1856" w:type="dxa"/>
                </w:tcPr>
                <w:p w14:paraId="59B6A374" w14:textId="77777777" w:rsidR="00443399" w:rsidRPr="00B03B51" w:rsidRDefault="00443399" w:rsidP="0054365B">
                  <w:pPr>
                    <w:jc w:val="center"/>
                    <w:rPr>
                      <w:rFonts w:ascii="Times New Roman" w:eastAsia="Arial" w:hAnsi="Times New Roman" w:cs="Times New Roman"/>
                      <w:noProof/>
                      <w:sz w:val="24"/>
                      <w:szCs w:val="20"/>
                    </w:rPr>
                  </w:pPr>
                  <w:r w:rsidRPr="00B03B51">
                    <w:rPr>
                      <w:rFonts w:ascii="Times New Roman" w:hAnsi="Times New Roman" w:cs="Times New Roman"/>
                      <w:sz w:val="24"/>
                      <w:szCs w:val="20"/>
                    </w:rPr>
                    <w:t>Periods</w:t>
                  </w:r>
                </w:p>
              </w:tc>
              <w:tc>
                <w:tcPr>
                  <w:tcW w:w="1856" w:type="dxa"/>
                </w:tcPr>
                <w:p w14:paraId="4EA98496" w14:textId="77777777" w:rsidR="00443399" w:rsidRPr="00B03B51" w:rsidRDefault="00443399" w:rsidP="0054365B">
                  <w:pPr>
                    <w:jc w:val="center"/>
                    <w:rPr>
                      <w:rFonts w:ascii="Times New Roman" w:eastAsia="Arial" w:hAnsi="Times New Roman" w:cs="Times New Roman"/>
                      <w:noProof/>
                      <w:sz w:val="24"/>
                      <w:szCs w:val="20"/>
                    </w:rPr>
                  </w:pPr>
                  <w:r w:rsidRPr="00B03B51">
                    <w:rPr>
                      <w:rFonts w:ascii="Times New Roman" w:hAnsi="Times New Roman" w:cs="Times New Roman"/>
                      <w:sz w:val="24"/>
                      <w:szCs w:val="20"/>
                    </w:rPr>
                    <w:t>Pamatsumma perioda sākumā</w:t>
                  </w:r>
                </w:p>
              </w:tc>
              <w:tc>
                <w:tcPr>
                  <w:tcW w:w="1856" w:type="dxa"/>
                </w:tcPr>
                <w:p w14:paraId="58505A76" w14:textId="77777777" w:rsidR="00443399" w:rsidRPr="00B03B51" w:rsidRDefault="00443399" w:rsidP="0054365B">
                  <w:pPr>
                    <w:jc w:val="center"/>
                    <w:rPr>
                      <w:rFonts w:ascii="Times New Roman" w:eastAsia="Arial" w:hAnsi="Times New Roman" w:cs="Times New Roman"/>
                      <w:noProof/>
                      <w:sz w:val="24"/>
                      <w:szCs w:val="20"/>
                    </w:rPr>
                  </w:pPr>
                  <w:r w:rsidRPr="00B03B51">
                    <w:rPr>
                      <w:rFonts w:ascii="Times New Roman" w:hAnsi="Times New Roman" w:cs="Times New Roman"/>
                      <w:sz w:val="24"/>
                      <w:szCs w:val="20"/>
                    </w:rPr>
                    <w:t>Perioda procenti</w:t>
                  </w:r>
                </w:p>
              </w:tc>
              <w:tc>
                <w:tcPr>
                  <w:tcW w:w="1856" w:type="dxa"/>
                </w:tcPr>
                <w:p w14:paraId="1DAB5742" w14:textId="77777777" w:rsidR="00443399" w:rsidRPr="00B03B51" w:rsidRDefault="00443399" w:rsidP="0054365B">
                  <w:pPr>
                    <w:jc w:val="center"/>
                    <w:rPr>
                      <w:rFonts w:ascii="Times New Roman" w:eastAsia="Arial" w:hAnsi="Times New Roman" w:cs="Times New Roman"/>
                      <w:noProof/>
                      <w:sz w:val="24"/>
                      <w:szCs w:val="20"/>
                    </w:rPr>
                  </w:pPr>
                  <w:r w:rsidRPr="00B03B51">
                    <w:rPr>
                      <w:rFonts w:ascii="Times New Roman" w:hAnsi="Times New Roman" w:cs="Times New Roman"/>
                      <w:sz w:val="24"/>
                      <w:szCs w:val="20"/>
                    </w:rPr>
                    <w:t>Amortizācijas periods</w:t>
                  </w:r>
                </w:p>
              </w:tc>
              <w:tc>
                <w:tcPr>
                  <w:tcW w:w="1857" w:type="dxa"/>
                </w:tcPr>
                <w:p w14:paraId="513F3227" w14:textId="77777777" w:rsidR="00443399" w:rsidRPr="00B03B51" w:rsidRDefault="00443399" w:rsidP="0054365B">
                  <w:pPr>
                    <w:jc w:val="center"/>
                    <w:rPr>
                      <w:rFonts w:ascii="Times New Roman" w:eastAsia="Arial" w:hAnsi="Times New Roman" w:cs="Times New Roman"/>
                      <w:noProof/>
                      <w:sz w:val="24"/>
                      <w:szCs w:val="20"/>
                    </w:rPr>
                  </w:pPr>
                  <w:r w:rsidRPr="00B03B51">
                    <w:rPr>
                      <w:rFonts w:ascii="Times New Roman" w:hAnsi="Times New Roman" w:cs="Times New Roman"/>
                      <w:sz w:val="24"/>
                      <w:szCs w:val="20"/>
                    </w:rPr>
                    <w:t>Gada maksa (kopējais gada maksājums)</w:t>
                  </w:r>
                </w:p>
              </w:tc>
            </w:tr>
            <w:tr w:rsidR="00443399" w:rsidRPr="00B03B51" w14:paraId="225AA875" w14:textId="77777777" w:rsidTr="0054365B">
              <w:tc>
                <w:tcPr>
                  <w:tcW w:w="1856" w:type="dxa"/>
                </w:tcPr>
                <w:p w14:paraId="78252663" w14:textId="77777777" w:rsidR="00443399" w:rsidRPr="00B03B51" w:rsidRDefault="00443399" w:rsidP="0054365B">
                  <w:pPr>
                    <w:jc w:val="center"/>
                    <w:rPr>
                      <w:rFonts w:ascii="Times New Roman" w:eastAsia="Arial" w:hAnsi="Times New Roman" w:cs="Times New Roman"/>
                      <w:noProof/>
                      <w:sz w:val="24"/>
                      <w:szCs w:val="20"/>
                    </w:rPr>
                  </w:pPr>
                  <w:r w:rsidRPr="00B03B51">
                    <w:rPr>
                      <w:rFonts w:ascii="Times New Roman" w:hAnsi="Times New Roman" w:cs="Times New Roman"/>
                      <w:sz w:val="24"/>
                      <w:szCs w:val="20"/>
                    </w:rPr>
                    <w:t>1</w:t>
                  </w:r>
                </w:p>
              </w:tc>
              <w:tc>
                <w:tcPr>
                  <w:tcW w:w="1856" w:type="dxa"/>
                </w:tcPr>
                <w:p w14:paraId="443E970E" w14:textId="77777777" w:rsidR="00443399" w:rsidRPr="00B03B51" w:rsidRDefault="00443399" w:rsidP="0054365B">
                  <w:pPr>
                    <w:jc w:val="center"/>
                    <w:rPr>
                      <w:rFonts w:ascii="Times New Roman" w:eastAsia="Arial" w:hAnsi="Times New Roman" w:cs="Times New Roman"/>
                      <w:noProof/>
                      <w:sz w:val="24"/>
                      <w:szCs w:val="20"/>
                    </w:rPr>
                  </w:pPr>
                  <w:r w:rsidRPr="00B03B51">
                    <w:rPr>
                      <w:rFonts w:ascii="Times New Roman" w:hAnsi="Times New Roman" w:cs="Times New Roman"/>
                      <w:i/>
                      <w:iCs/>
                      <w:sz w:val="24"/>
                      <w:szCs w:val="20"/>
                    </w:rPr>
                    <w:t>V</w:t>
                  </w:r>
                  <w:r w:rsidRPr="00B03B51">
                    <w:rPr>
                      <w:rFonts w:ascii="Times New Roman" w:hAnsi="Times New Roman" w:cs="Times New Roman"/>
                      <w:sz w:val="24"/>
                      <w:szCs w:val="20"/>
                      <w:vertAlign w:val="subscript"/>
                    </w:rPr>
                    <w:t>0</w:t>
                  </w:r>
                </w:p>
              </w:tc>
              <w:tc>
                <w:tcPr>
                  <w:tcW w:w="1856" w:type="dxa"/>
                </w:tcPr>
                <w:p w14:paraId="3035D977" w14:textId="77777777" w:rsidR="00443399" w:rsidRPr="00B03B51" w:rsidRDefault="00443399" w:rsidP="0054365B">
                  <w:pPr>
                    <w:jc w:val="center"/>
                    <w:rPr>
                      <w:rFonts w:ascii="Times New Roman" w:eastAsia="Arial" w:hAnsi="Times New Roman" w:cs="Times New Roman"/>
                      <w:noProof/>
                      <w:sz w:val="24"/>
                      <w:szCs w:val="20"/>
                    </w:rPr>
                  </w:pPr>
                  <w:r w:rsidRPr="00B03B51">
                    <w:rPr>
                      <w:rFonts w:ascii="Times New Roman" w:hAnsi="Times New Roman" w:cs="Times New Roman"/>
                      <w:i/>
                      <w:iCs/>
                      <w:sz w:val="24"/>
                      <w:szCs w:val="20"/>
                    </w:rPr>
                    <w:t>F</w:t>
                  </w:r>
                  <w:r w:rsidRPr="00B03B51">
                    <w:rPr>
                      <w:rFonts w:ascii="Times New Roman" w:hAnsi="Times New Roman" w:cs="Times New Roman"/>
                      <w:sz w:val="24"/>
                      <w:szCs w:val="20"/>
                      <w:vertAlign w:val="subscript"/>
                    </w:rPr>
                    <w:t>1</w:t>
                  </w:r>
                </w:p>
              </w:tc>
              <w:tc>
                <w:tcPr>
                  <w:tcW w:w="1856" w:type="dxa"/>
                </w:tcPr>
                <w:p w14:paraId="1CE47ADB" w14:textId="77777777" w:rsidR="00443399" w:rsidRPr="00B03B51" w:rsidRDefault="00443399" w:rsidP="0054365B">
                  <w:pPr>
                    <w:jc w:val="center"/>
                    <w:rPr>
                      <w:rFonts w:ascii="Times New Roman" w:eastAsia="Arial" w:hAnsi="Times New Roman" w:cs="Times New Roman"/>
                      <w:noProof/>
                      <w:sz w:val="24"/>
                      <w:szCs w:val="20"/>
                    </w:rPr>
                  </w:pPr>
                  <w:r w:rsidRPr="00B03B51">
                    <w:rPr>
                      <w:rFonts w:ascii="Times New Roman" w:hAnsi="Times New Roman" w:cs="Times New Roman"/>
                      <w:i/>
                      <w:iCs/>
                      <w:sz w:val="24"/>
                      <w:szCs w:val="20"/>
                    </w:rPr>
                    <w:t>D</w:t>
                  </w:r>
                  <w:r w:rsidRPr="00B03B51">
                    <w:rPr>
                      <w:rFonts w:ascii="Times New Roman" w:hAnsi="Times New Roman" w:cs="Times New Roman"/>
                      <w:sz w:val="24"/>
                      <w:szCs w:val="20"/>
                      <w:vertAlign w:val="subscript"/>
                    </w:rPr>
                    <w:t>1</w:t>
                  </w:r>
                </w:p>
              </w:tc>
              <w:tc>
                <w:tcPr>
                  <w:tcW w:w="1857" w:type="dxa"/>
                </w:tcPr>
                <w:p w14:paraId="0449E81F" w14:textId="77777777" w:rsidR="00443399" w:rsidRPr="00B03B51" w:rsidRDefault="00443399" w:rsidP="0054365B">
                  <w:pPr>
                    <w:jc w:val="center"/>
                    <w:rPr>
                      <w:rFonts w:ascii="Times New Roman" w:eastAsia="Arial" w:hAnsi="Times New Roman" w:cs="Times New Roman"/>
                      <w:noProof/>
                      <w:sz w:val="24"/>
                      <w:szCs w:val="20"/>
                    </w:rPr>
                  </w:pPr>
                  <w:r w:rsidRPr="00B03B51">
                    <w:rPr>
                      <w:rFonts w:ascii="Times New Roman" w:hAnsi="Times New Roman" w:cs="Times New Roman"/>
                      <w:i/>
                      <w:iCs/>
                      <w:sz w:val="24"/>
                      <w:szCs w:val="20"/>
                    </w:rPr>
                    <w:t>A</w:t>
                  </w:r>
                  <w:r w:rsidRPr="00B03B51">
                    <w:rPr>
                      <w:rFonts w:ascii="Times New Roman" w:hAnsi="Times New Roman" w:cs="Times New Roman"/>
                      <w:sz w:val="24"/>
                      <w:szCs w:val="20"/>
                      <w:vertAlign w:val="subscript"/>
                    </w:rPr>
                    <w:t>1</w:t>
                  </w:r>
                </w:p>
              </w:tc>
            </w:tr>
            <w:tr w:rsidR="00443399" w:rsidRPr="00B03B51" w14:paraId="4CD65A6D" w14:textId="77777777" w:rsidTr="0054365B">
              <w:tc>
                <w:tcPr>
                  <w:tcW w:w="1856" w:type="dxa"/>
                </w:tcPr>
                <w:p w14:paraId="0AFD5704" w14:textId="77777777" w:rsidR="00443399" w:rsidRPr="00B03B51" w:rsidRDefault="00443399" w:rsidP="0054365B">
                  <w:pPr>
                    <w:jc w:val="center"/>
                    <w:rPr>
                      <w:rFonts w:ascii="Times New Roman" w:eastAsia="Arial" w:hAnsi="Times New Roman" w:cs="Times New Roman"/>
                      <w:noProof/>
                      <w:sz w:val="24"/>
                      <w:szCs w:val="20"/>
                    </w:rPr>
                  </w:pPr>
                  <w:r w:rsidRPr="00B03B51">
                    <w:rPr>
                      <w:rFonts w:ascii="Times New Roman" w:hAnsi="Times New Roman" w:cs="Times New Roman"/>
                      <w:sz w:val="24"/>
                      <w:szCs w:val="20"/>
                    </w:rPr>
                    <w:t>…</w:t>
                  </w:r>
                </w:p>
              </w:tc>
              <w:tc>
                <w:tcPr>
                  <w:tcW w:w="1856" w:type="dxa"/>
                </w:tcPr>
                <w:p w14:paraId="33FFE502" w14:textId="77777777" w:rsidR="00443399" w:rsidRPr="00B03B51" w:rsidRDefault="00443399" w:rsidP="0054365B">
                  <w:pPr>
                    <w:jc w:val="center"/>
                    <w:rPr>
                      <w:rFonts w:ascii="Times New Roman" w:eastAsia="Arial" w:hAnsi="Times New Roman" w:cs="Times New Roman"/>
                      <w:noProof/>
                      <w:sz w:val="24"/>
                      <w:szCs w:val="20"/>
                    </w:rPr>
                  </w:pPr>
                  <w:r w:rsidRPr="00B03B51">
                    <w:rPr>
                      <w:rFonts w:ascii="Times New Roman" w:hAnsi="Times New Roman" w:cs="Times New Roman"/>
                      <w:sz w:val="24"/>
                      <w:szCs w:val="20"/>
                    </w:rPr>
                    <w:t>…</w:t>
                  </w:r>
                </w:p>
              </w:tc>
              <w:tc>
                <w:tcPr>
                  <w:tcW w:w="1856" w:type="dxa"/>
                </w:tcPr>
                <w:p w14:paraId="7B014C2C" w14:textId="77777777" w:rsidR="00443399" w:rsidRPr="00B03B51" w:rsidRDefault="00443399" w:rsidP="0054365B">
                  <w:pPr>
                    <w:jc w:val="center"/>
                    <w:rPr>
                      <w:rFonts w:ascii="Times New Roman" w:eastAsia="Arial" w:hAnsi="Times New Roman" w:cs="Times New Roman"/>
                      <w:noProof/>
                      <w:sz w:val="24"/>
                      <w:szCs w:val="20"/>
                    </w:rPr>
                  </w:pPr>
                  <w:r w:rsidRPr="00B03B51">
                    <w:rPr>
                      <w:rFonts w:ascii="Times New Roman" w:hAnsi="Times New Roman" w:cs="Times New Roman"/>
                      <w:sz w:val="24"/>
                      <w:szCs w:val="20"/>
                    </w:rPr>
                    <w:t>…</w:t>
                  </w:r>
                </w:p>
              </w:tc>
              <w:tc>
                <w:tcPr>
                  <w:tcW w:w="1856" w:type="dxa"/>
                </w:tcPr>
                <w:p w14:paraId="7BD43B00" w14:textId="77777777" w:rsidR="00443399" w:rsidRPr="00B03B51" w:rsidRDefault="00443399" w:rsidP="0054365B">
                  <w:pPr>
                    <w:jc w:val="center"/>
                    <w:rPr>
                      <w:rFonts w:ascii="Times New Roman" w:eastAsia="Arial" w:hAnsi="Times New Roman" w:cs="Times New Roman"/>
                      <w:noProof/>
                      <w:sz w:val="24"/>
                      <w:szCs w:val="20"/>
                    </w:rPr>
                  </w:pPr>
                  <w:r w:rsidRPr="00B03B51">
                    <w:rPr>
                      <w:rFonts w:ascii="Times New Roman" w:hAnsi="Times New Roman" w:cs="Times New Roman"/>
                      <w:sz w:val="24"/>
                      <w:szCs w:val="20"/>
                    </w:rPr>
                    <w:t>…</w:t>
                  </w:r>
                </w:p>
              </w:tc>
              <w:tc>
                <w:tcPr>
                  <w:tcW w:w="1857" w:type="dxa"/>
                </w:tcPr>
                <w:p w14:paraId="17E87B7E" w14:textId="77777777" w:rsidR="00443399" w:rsidRPr="00B03B51" w:rsidRDefault="00443399" w:rsidP="0054365B">
                  <w:pPr>
                    <w:jc w:val="center"/>
                    <w:rPr>
                      <w:rFonts w:ascii="Times New Roman" w:eastAsia="Arial" w:hAnsi="Times New Roman" w:cs="Times New Roman"/>
                      <w:noProof/>
                      <w:sz w:val="24"/>
                      <w:szCs w:val="20"/>
                    </w:rPr>
                  </w:pPr>
                  <w:r w:rsidRPr="00B03B51">
                    <w:rPr>
                      <w:rFonts w:ascii="Times New Roman" w:hAnsi="Times New Roman" w:cs="Times New Roman"/>
                      <w:sz w:val="24"/>
                      <w:szCs w:val="20"/>
                    </w:rPr>
                    <w:t>…</w:t>
                  </w:r>
                </w:p>
              </w:tc>
            </w:tr>
            <w:tr w:rsidR="00443399" w:rsidRPr="00B03B51" w14:paraId="0971E038" w14:textId="77777777" w:rsidTr="0054365B">
              <w:tc>
                <w:tcPr>
                  <w:tcW w:w="1856" w:type="dxa"/>
                </w:tcPr>
                <w:p w14:paraId="5657F6A4" w14:textId="77777777" w:rsidR="00443399" w:rsidRPr="00B03B51" w:rsidRDefault="00443399" w:rsidP="0054365B">
                  <w:pPr>
                    <w:jc w:val="center"/>
                    <w:rPr>
                      <w:rFonts w:ascii="Times New Roman" w:eastAsia="Arial" w:hAnsi="Times New Roman" w:cs="Times New Roman"/>
                      <w:i/>
                      <w:iCs/>
                      <w:noProof/>
                      <w:sz w:val="24"/>
                      <w:szCs w:val="20"/>
                    </w:rPr>
                  </w:pPr>
                  <w:r w:rsidRPr="00B03B51">
                    <w:rPr>
                      <w:rFonts w:ascii="Times New Roman" w:hAnsi="Times New Roman" w:cs="Times New Roman"/>
                      <w:i/>
                      <w:iCs/>
                      <w:sz w:val="24"/>
                      <w:szCs w:val="20"/>
                    </w:rPr>
                    <w:t>p</w:t>
                  </w:r>
                </w:p>
              </w:tc>
              <w:tc>
                <w:tcPr>
                  <w:tcW w:w="1856" w:type="dxa"/>
                </w:tcPr>
                <w:p w14:paraId="079DD2C4" w14:textId="77777777" w:rsidR="00443399" w:rsidRPr="00B03B51" w:rsidRDefault="00443399" w:rsidP="0054365B">
                  <w:pPr>
                    <w:jc w:val="center"/>
                    <w:rPr>
                      <w:rFonts w:ascii="Times New Roman" w:eastAsia="Arial" w:hAnsi="Times New Roman" w:cs="Times New Roman"/>
                      <w:i/>
                      <w:iCs/>
                      <w:noProof/>
                      <w:sz w:val="24"/>
                      <w:szCs w:val="20"/>
                    </w:rPr>
                  </w:pPr>
                  <w:r w:rsidRPr="00B03B51">
                    <w:rPr>
                      <w:rFonts w:ascii="Times New Roman" w:hAnsi="Times New Roman" w:cs="Times New Roman"/>
                      <w:i/>
                      <w:iCs/>
                      <w:sz w:val="24"/>
                      <w:szCs w:val="20"/>
                    </w:rPr>
                    <w:t>V</w:t>
                  </w:r>
                  <w:r w:rsidRPr="00B03B51">
                    <w:rPr>
                      <w:rFonts w:ascii="Times New Roman" w:hAnsi="Times New Roman" w:cs="Times New Roman"/>
                      <w:i/>
                      <w:iCs/>
                      <w:sz w:val="24"/>
                      <w:szCs w:val="20"/>
                      <w:vertAlign w:val="subscript"/>
                    </w:rPr>
                    <w:t>p-1</w:t>
                  </w:r>
                </w:p>
              </w:tc>
              <w:tc>
                <w:tcPr>
                  <w:tcW w:w="1856" w:type="dxa"/>
                </w:tcPr>
                <w:p w14:paraId="4CAB4CDE" w14:textId="77777777" w:rsidR="00443399" w:rsidRPr="00B03B51" w:rsidRDefault="00443399" w:rsidP="0054365B">
                  <w:pPr>
                    <w:jc w:val="center"/>
                    <w:rPr>
                      <w:rFonts w:ascii="Times New Roman" w:eastAsia="Arial" w:hAnsi="Times New Roman" w:cs="Times New Roman"/>
                      <w:i/>
                      <w:iCs/>
                      <w:noProof/>
                      <w:sz w:val="24"/>
                      <w:szCs w:val="20"/>
                    </w:rPr>
                  </w:pPr>
                  <w:r w:rsidRPr="00B03B51">
                    <w:rPr>
                      <w:rFonts w:ascii="Times New Roman" w:hAnsi="Times New Roman" w:cs="Times New Roman"/>
                      <w:i/>
                      <w:iCs/>
                      <w:sz w:val="24"/>
                      <w:szCs w:val="20"/>
                    </w:rPr>
                    <w:t>F</w:t>
                  </w:r>
                  <w:r w:rsidRPr="00B03B51">
                    <w:rPr>
                      <w:rFonts w:ascii="Times New Roman" w:hAnsi="Times New Roman" w:cs="Times New Roman"/>
                      <w:i/>
                      <w:iCs/>
                      <w:sz w:val="24"/>
                      <w:szCs w:val="20"/>
                      <w:vertAlign w:val="subscript"/>
                    </w:rPr>
                    <w:t>p</w:t>
                  </w:r>
                </w:p>
              </w:tc>
              <w:tc>
                <w:tcPr>
                  <w:tcW w:w="1856" w:type="dxa"/>
                </w:tcPr>
                <w:p w14:paraId="62B0CC2B" w14:textId="77777777" w:rsidR="00443399" w:rsidRPr="00B03B51" w:rsidRDefault="00443399" w:rsidP="0054365B">
                  <w:pPr>
                    <w:jc w:val="center"/>
                    <w:rPr>
                      <w:rFonts w:ascii="Times New Roman" w:eastAsia="Arial" w:hAnsi="Times New Roman" w:cs="Times New Roman"/>
                      <w:i/>
                      <w:iCs/>
                      <w:noProof/>
                      <w:sz w:val="24"/>
                      <w:szCs w:val="20"/>
                    </w:rPr>
                  </w:pPr>
                  <w:r w:rsidRPr="00B03B51">
                    <w:rPr>
                      <w:rFonts w:ascii="Times New Roman" w:hAnsi="Times New Roman" w:cs="Times New Roman"/>
                      <w:i/>
                      <w:iCs/>
                      <w:sz w:val="24"/>
                      <w:szCs w:val="20"/>
                    </w:rPr>
                    <w:t>D</w:t>
                  </w:r>
                  <w:r w:rsidRPr="00B03B51">
                    <w:rPr>
                      <w:rFonts w:ascii="Times New Roman" w:hAnsi="Times New Roman" w:cs="Times New Roman"/>
                      <w:i/>
                      <w:iCs/>
                      <w:sz w:val="24"/>
                      <w:szCs w:val="20"/>
                      <w:vertAlign w:val="subscript"/>
                    </w:rPr>
                    <w:t>p</w:t>
                  </w:r>
                </w:p>
              </w:tc>
              <w:tc>
                <w:tcPr>
                  <w:tcW w:w="1857" w:type="dxa"/>
                </w:tcPr>
                <w:p w14:paraId="33958090" w14:textId="77777777" w:rsidR="00443399" w:rsidRPr="00B03B51" w:rsidRDefault="00443399" w:rsidP="0054365B">
                  <w:pPr>
                    <w:jc w:val="center"/>
                    <w:rPr>
                      <w:rFonts w:ascii="Times New Roman" w:eastAsia="Arial" w:hAnsi="Times New Roman" w:cs="Times New Roman"/>
                      <w:i/>
                      <w:iCs/>
                      <w:noProof/>
                      <w:sz w:val="24"/>
                      <w:szCs w:val="20"/>
                    </w:rPr>
                  </w:pPr>
                  <w:r w:rsidRPr="00B03B51">
                    <w:rPr>
                      <w:rFonts w:ascii="Times New Roman" w:hAnsi="Times New Roman" w:cs="Times New Roman"/>
                      <w:i/>
                      <w:iCs/>
                      <w:sz w:val="24"/>
                      <w:szCs w:val="20"/>
                    </w:rPr>
                    <w:t>A</w:t>
                  </w:r>
                  <w:r w:rsidRPr="00B03B51">
                    <w:rPr>
                      <w:rFonts w:ascii="Times New Roman" w:hAnsi="Times New Roman" w:cs="Times New Roman"/>
                      <w:i/>
                      <w:iCs/>
                      <w:sz w:val="24"/>
                      <w:szCs w:val="20"/>
                      <w:vertAlign w:val="subscript"/>
                    </w:rPr>
                    <w:t>p</w:t>
                  </w:r>
                </w:p>
              </w:tc>
            </w:tr>
            <w:tr w:rsidR="00443399" w:rsidRPr="00B03B51" w14:paraId="0DEEAD88" w14:textId="77777777" w:rsidTr="0054365B">
              <w:tc>
                <w:tcPr>
                  <w:tcW w:w="1856" w:type="dxa"/>
                </w:tcPr>
                <w:p w14:paraId="70B377E4" w14:textId="77777777" w:rsidR="00443399" w:rsidRPr="00B03B51" w:rsidRDefault="00443399" w:rsidP="0054365B">
                  <w:pPr>
                    <w:jc w:val="center"/>
                    <w:rPr>
                      <w:rFonts w:ascii="Times New Roman" w:eastAsia="Arial" w:hAnsi="Times New Roman" w:cs="Times New Roman"/>
                      <w:noProof/>
                      <w:sz w:val="24"/>
                      <w:szCs w:val="20"/>
                    </w:rPr>
                  </w:pPr>
                  <w:r w:rsidRPr="00B03B51">
                    <w:rPr>
                      <w:rFonts w:ascii="Times New Roman" w:hAnsi="Times New Roman" w:cs="Times New Roman"/>
                      <w:sz w:val="24"/>
                      <w:szCs w:val="20"/>
                    </w:rPr>
                    <w:t>…</w:t>
                  </w:r>
                </w:p>
              </w:tc>
              <w:tc>
                <w:tcPr>
                  <w:tcW w:w="1856" w:type="dxa"/>
                </w:tcPr>
                <w:p w14:paraId="300B64D5" w14:textId="77777777" w:rsidR="00443399" w:rsidRPr="00B03B51" w:rsidRDefault="00443399" w:rsidP="0054365B">
                  <w:pPr>
                    <w:jc w:val="center"/>
                    <w:rPr>
                      <w:rFonts w:ascii="Times New Roman" w:eastAsia="Arial" w:hAnsi="Times New Roman" w:cs="Times New Roman"/>
                      <w:noProof/>
                      <w:sz w:val="24"/>
                      <w:szCs w:val="20"/>
                    </w:rPr>
                  </w:pPr>
                  <w:r w:rsidRPr="00B03B51">
                    <w:rPr>
                      <w:rFonts w:ascii="Times New Roman" w:hAnsi="Times New Roman" w:cs="Times New Roman"/>
                      <w:sz w:val="24"/>
                      <w:szCs w:val="20"/>
                    </w:rPr>
                    <w:t>…</w:t>
                  </w:r>
                </w:p>
              </w:tc>
              <w:tc>
                <w:tcPr>
                  <w:tcW w:w="1856" w:type="dxa"/>
                </w:tcPr>
                <w:p w14:paraId="402814B9" w14:textId="77777777" w:rsidR="00443399" w:rsidRPr="00B03B51" w:rsidRDefault="00443399" w:rsidP="0054365B">
                  <w:pPr>
                    <w:jc w:val="center"/>
                    <w:rPr>
                      <w:rFonts w:ascii="Times New Roman" w:eastAsia="Arial" w:hAnsi="Times New Roman" w:cs="Times New Roman"/>
                      <w:noProof/>
                      <w:sz w:val="24"/>
                      <w:szCs w:val="20"/>
                    </w:rPr>
                  </w:pPr>
                  <w:r w:rsidRPr="00B03B51">
                    <w:rPr>
                      <w:rFonts w:ascii="Times New Roman" w:hAnsi="Times New Roman" w:cs="Times New Roman"/>
                      <w:sz w:val="24"/>
                      <w:szCs w:val="20"/>
                    </w:rPr>
                    <w:t>…</w:t>
                  </w:r>
                </w:p>
              </w:tc>
              <w:tc>
                <w:tcPr>
                  <w:tcW w:w="1856" w:type="dxa"/>
                </w:tcPr>
                <w:p w14:paraId="5CAFD2C6" w14:textId="77777777" w:rsidR="00443399" w:rsidRPr="00B03B51" w:rsidRDefault="00443399" w:rsidP="0054365B">
                  <w:pPr>
                    <w:jc w:val="center"/>
                    <w:rPr>
                      <w:rFonts w:ascii="Times New Roman" w:eastAsia="Arial" w:hAnsi="Times New Roman" w:cs="Times New Roman"/>
                      <w:noProof/>
                      <w:sz w:val="24"/>
                      <w:szCs w:val="20"/>
                    </w:rPr>
                  </w:pPr>
                  <w:r w:rsidRPr="00B03B51">
                    <w:rPr>
                      <w:rFonts w:ascii="Times New Roman" w:hAnsi="Times New Roman" w:cs="Times New Roman"/>
                      <w:sz w:val="24"/>
                      <w:szCs w:val="20"/>
                    </w:rPr>
                    <w:t>…</w:t>
                  </w:r>
                </w:p>
              </w:tc>
              <w:tc>
                <w:tcPr>
                  <w:tcW w:w="1857" w:type="dxa"/>
                </w:tcPr>
                <w:p w14:paraId="6035E067" w14:textId="77777777" w:rsidR="00443399" w:rsidRPr="00B03B51" w:rsidRDefault="00443399" w:rsidP="0054365B">
                  <w:pPr>
                    <w:jc w:val="center"/>
                    <w:rPr>
                      <w:rFonts w:ascii="Times New Roman" w:eastAsia="Arial" w:hAnsi="Times New Roman" w:cs="Times New Roman"/>
                      <w:noProof/>
                      <w:sz w:val="24"/>
                      <w:szCs w:val="20"/>
                    </w:rPr>
                  </w:pPr>
                  <w:r w:rsidRPr="00B03B51">
                    <w:rPr>
                      <w:rFonts w:ascii="Times New Roman" w:hAnsi="Times New Roman" w:cs="Times New Roman"/>
                      <w:sz w:val="24"/>
                      <w:szCs w:val="20"/>
                    </w:rPr>
                    <w:t>…</w:t>
                  </w:r>
                </w:p>
              </w:tc>
            </w:tr>
            <w:tr w:rsidR="00443399" w:rsidRPr="00B03B51" w14:paraId="608FF891" w14:textId="77777777" w:rsidTr="0054365B">
              <w:tc>
                <w:tcPr>
                  <w:tcW w:w="1856" w:type="dxa"/>
                </w:tcPr>
                <w:p w14:paraId="1883F348" w14:textId="77777777" w:rsidR="00443399" w:rsidRPr="00B03B51" w:rsidRDefault="00443399" w:rsidP="0054365B">
                  <w:pPr>
                    <w:jc w:val="center"/>
                    <w:rPr>
                      <w:rFonts w:ascii="Times New Roman" w:eastAsia="Arial" w:hAnsi="Times New Roman" w:cs="Times New Roman"/>
                      <w:i/>
                      <w:iCs/>
                      <w:noProof/>
                      <w:sz w:val="24"/>
                      <w:szCs w:val="20"/>
                    </w:rPr>
                  </w:pPr>
                  <w:r w:rsidRPr="00B03B51">
                    <w:rPr>
                      <w:rFonts w:ascii="Times New Roman" w:hAnsi="Times New Roman" w:cs="Times New Roman"/>
                      <w:i/>
                      <w:iCs/>
                      <w:sz w:val="24"/>
                      <w:szCs w:val="20"/>
                    </w:rPr>
                    <w:t>n</w:t>
                  </w:r>
                </w:p>
              </w:tc>
              <w:tc>
                <w:tcPr>
                  <w:tcW w:w="1856" w:type="dxa"/>
                </w:tcPr>
                <w:p w14:paraId="1918BF77" w14:textId="77777777" w:rsidR="00443399" w:rsidRPr="00B03B51" w:rsidRDefault="00443399" w:rsidP="0054365B">
                  <w:pPr>
                    <w:jc w:val="center"/>
                    <w:rPr>
                      <w:rFonts w:ascii="Times New Roman" w:eastAsia="Arial" w:hAnsi="Times New Roman" w:cs="Times New Roman"/>
                      <w:noProof/>
                      <w:sz w:val="24"/>
                      <w:szCs w:val="20"/>
                    </w:rPr>
                  </w:pPr>
                  <w:r w:rsidRPr="00B03B51">
                    <w:rPr>
                      <w:rFonts w:ascii="Times New Roman" w:hAnsi="Times New Roman" w:cs="Times New Roman"/>
                      <w:i/>
                      <w:iCs/>
                      <w:sz w:val="24"/>
                      <w:szCs w:val="20"/>
                    </w:rPr>
                    <w:t>V</w:t>
                  </w:r>
                  <w:r w:rsidRPr="00B03B51">
                    <w:rPr>
                      <w:rFonts w:ascii="Times New Roman" w:hAnsi="Times New Roman" w:cs="Times New Roman"/>
                      <w:sz w:val="24"/>
                      <w:szCs w:val="20"/>
                      <w:vertAlign w:val="subscript"/>
                    </w:rPr>
                    <w:t>n-1</w:t>
                  </w:r>
                </w:p>
              </w:tc>
              <w:tc>
                <w:tcPr>
                  <w:tcW w:w="1856" w:type="dxa"/>
                </w:tcPr>
                <w:p w14:paraId="6575F572" w14:textId="77777777" w:rsidR="00443399" w:rsidRPr="00B03B51" w:rsidRDefault="00443399" w:rsidP="0054365B">
                  <w:pPr>
                    <w:jc w:val="center"/>
                    <w:rPr>
                      <w:rFonts w:ascii="Times New Roman" w:eastAsia="Arial" w:hAnsi="Times New Roman" w:cs="Times New Roman"/>
                      <w:i/>
                      <w:iCs/>
                      <w:noProof/>
                      <w:sz w:val="24"/>
                      <w:szCs w:val="20"/>
                    </w:rPr>
                  </w:pPr>
                  <w:r w:rsidRPr="00B03B51">
                    <w:rPr>
                      <w:rFonts w:ascii="Times New Roman" w:hAnsi="Times New Roman" w:cs="Times New Roman"/>
                      <w:i/>
                      <w:iCs/>
                      <w:sz w:val="24"/>
                      <w:szCs w:val="20"/>
                    </w:rPr>
                    <w:t>F</w:t>
                  </w:r>
                  <w:r w:rsidRPr="00B03B51">
                    <w:rPr>
                      <w:rFonts w:ascii="Times New Roman" w:hAnsi="Times New Roman" w:cs="Times New Roman"/>
                      <w:i/>
                      <w:iCs/>
                      <w:sz w:val="24"/>
                      <w:szCs w:val="20"/>
                      <w:vertAlign w:val="subscript"/>
                    </w:rPr>
                    <w:t>n</w:t>
                  </w:r>
                </w:p>
              </w:tc>
              <w:tc>
                <w:tcPr>
                  <w:tcW w:w="1856" w:type="dxa"/>
                </w:tcPr>
                <w:p w14:paraId="7955FF9C" w14:textId="77777777" w:rsidR="00443399" w:rsidRPr="00B03B51" w:rsidRDefault="00443399" w:rsidP="0054365B">
                  <w:pPr>
                    <w:jc w:val="center"/>
                    <w:rPr>
                      <w:rFonts w:ascii="Times New Roman" w:eastAsia="Arial" w:hAnsi="Times New Roman" w:cs="Times New Roman"/>
                      <w:i/>
                      <w:iCs/>
                      <w:noProof/>
                      <w:sz w:val="24"/>
                      <w:szCs w:val="20"/>
                    </w:rPr>
                  </w:pPr>
                  <w:r w:rsidRPr="00B03B51">
                    <w:rPr>
                      <w:rFonts w:ascii="Times New Roman" w:hAnsi="Times New Roman" w:cs="Times New Roman"/>
                      <w:i/>
                      <w:iCs/>
                      <w:sz w:val="24"/>
                      <w:szCs w:val="20"/>
                    </w:rPr>
                    <w:t>D</w:t>
                  </w:r>
                  <w:r w:rsidRPr="00B03B51">
                    <w:rPr>
                      <w:rFonts w:ascii="Times New Roman" w:hAnsi="Times New Roman" w:cs="Times New Roman"/>
                      <w:i/>
                      <w:iCs/>
                      <w:sz w:val="24"/>
                      <w:szCs w:val="20"/>
                      <w:vertAlign w:val="subscript"/>
                    </w:rPr>
                    <w:t>n</w:t>
                  </w:r>
                </w:p>
              </w:tc>
              <w:tc>
                <w:tcPr>
                  <w:tcW w:w="1857" w:type="dxa"/>
                </w:tcPr>
                <w:p w14:paraId="733C04C5" w14:textId="77777777" w:rsidR="00443399" w:rsidRPr="00B03B51" w:rsidRDefault="00443399" w:rsidP="0054365B">
                  <w:pPr>
                    <w:jc w:val="center"/>
                    <w:rPr>
                      <w:rFonts w:ascii="Times New Roman" w:eastAsia="Arial" w:hAnsi="Times New Roman" w:cs="Times New Roman"/>
                      <w:i/>
                      <w:iCs/>
                      <w:noProof/>
                      <w:sz w:val="24"/>
                      <w:szCs w:val="20"/>
                    </w:rPr>
                  </w:pPr>
                  <w:r w:rsidRPr="00B03B51">
                    <w:rPr>
                      <w:rFonts w:ascii="Times New Roman" w:hAnsi="Times New Roman" w:cs="Times New Roman"/>
                      <w:i/>
                      <w:iCs/>
                      <w:sz w:val="24"/>
                      <w:szCs w:val="20"/>
                    </w:rPr>
                    <w:t>A</w:t>
                  </w:r>
                  <w:r w:rsidRPr="00B03B51">
                    <w:rPr>
                      <w:rFonts w:ascii="Times New Roman" w:hAnsi="Times New Roman" w:cs="Times New Roman"/>
                      <w:i/>
                      <w:iCs/>
                      <w:sz w:val="24"/>
                      <w:szCs w:val="20"/>
                      <w:vertAlign w:val="subscript"/>
                    </w:rPr>
                    <w:t>n</w:t>
                  </w:r>
                </w:p>
              </w:tc>
            </w:tr>
          </w:tbl>
          <w:p w14:paraId="0E3FCE63" w14:textId="77777777" w:rsidR="00443399" w:rsidRPr="00B03B51" w:rsidRDefault="00443399" w:rsidP="0054365B">
            <w:pPr>
              <w:jc w:val="both"/>
              <w:rPr>
                <w:rFonts w:ascii="Times New Roman" w:eastAsia="Arial" w:hAnsi="Times New Roman" w:cs="Times New Roman"/>
                <w:noProof/>
                <w:sz w:val="24"/>
                <w:szCs w:val="20"/>
              </w:rPr>
            </w:pPr>
          </w:p>
          <w:p w14:paraId="40DD5B2C" w14:textId="77777777" w:rsidR="00443399" w:rsidRPr="00B03B51" w:rsidRDefault="00443399" w:rsidP="0054365B">
            <w:pPr>
              <w:jc w:val="both"/>
              <w:rPr>
                <w:rFonts w:ascii="Times New Roman" w:eastAsia="Arial" w:hAnsi="Times New Roman" w:cs="Times New Roman"/>
                <w:noProof/>
                <w:sz w:val="24"/>
                <w:szCs w:val="20"/>
              </w:rPr>
            </w:pPr>
            <w:r w:rsidRPr="00B03B51">
              <w:rPr>
                <w:rFonts w:ascii="Times New Roman" w:hAnsi="Times New Roman" w:cs="Times New Roman"/>
                <w:sz w:val="24"/>
                <w:szCs w:val="20"/>
              </w:rPr>
              <w:t xml:space="preserve">Konkrētajā periodā </w:t>
            </w:r>
            <w:r w:rsidRPr="00B03B51">
              <w:rPr>
                <w:rFonts w:ascii="Times New Roman" w:hAnsi="Times New Roman" w:cs="Times New Roman"/>
                <w:i/>
                <w:iCs/>
                <w:sz w:val="24"/>
                <w:szCs w:val="20"/>
              </w:rPr>
              <w:t>p</w:t>
            </w:r>
            <w:r w:rsidRPr="00B03B51">
              <w:rPr>
                <w:rFonts w:ascii="Times New Roman" w:hAnsi="Times New Roman" w:cs="Times New Roman"/>
                <w:sz w:val="24"/>
                <w:szCs w:val="20"/>
              </w:rPr>
              <w:t xml:space="preserve"> var novērot šādas skaitliskās attiecības:</w:t>
            </w:r>
          </w:p>
          <w:p w14:paraId="06FF6B19" w14:textId="77777777" w:rsidR="00443399" w:rsidRPr="00B03B51" w:rsidRDefault="00443399" w:rsidP="0054365B">
            <w:pPr>
              <w:jc w:val="both"/>
              <w:rPr>
                <w:rFonts w:ascii="Times New Roman" w:eastAsia="Arial" w:hAnsi="Times New Roman" w:cs="Times New Roman"/>
                <w:noProof/>
                <w:sz w:val="24"/>
                <w:szCs w:val="20"/>
              </w:rPr>
            </w:pPr>
          </w:p>
          <w:p w14:paraId="0FBC55D5" w14:textId="77777777" w:rsidR="00443399" w:rsidRPr="00B03B51" w:rsidRDefault="00443399" w:rsidP="0054365B">
            <w:pPr>
              <w:ind w:left="284"/>
              <w:jc w:val="both"/>
              <w:rPr>
                <w:rFonts w:ascii="Times New Roman" w:eastAsia="Arial" w:hAnsi="Times New Roman" w:cs="Times New Roman"/>
                <w:i/>
                <w:iCs/>
                <w:noProof/>
                <w:sz w:val="24"/>
                <w:szCs w:val="20"/>
              </w:rPr>
            </w:pPr>
            <w:r w:rsidRPr="00B03B51">
              <w:rPr>
                <w:rFonts w:ascii="Times New Roman" w:hAnsi="Times New Roman" w:cs="Times New Roman"/>
                <w:i/>
                <w:iCs/>
                <w:noProof/>
                <w:sz w:val="24"/>
                <w:szCs w:val="20"/>
              </w:rPr>
              <w:drawing>
                <wp:inline distT="0" distB="0" distL="0" distR="0" wp14:anchorId="6EB1DB0F" wp14:editId="382DB04E">
                  <wp:extent cx="1212215" cy="1148080"/>
                  <wp:effectExtent l="0" t="0" r="0" b="0"/>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12"/>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1212215" cy="1148080"/>
                          </a:xfrm>
                          <a:prstGeom prst="rect">
                            <a:avLst/>
                          </a:prstGeom>
                          <a:noFill/>
                          <a:ln>
                            <a:noFill/>
                          </a:ln>
                        </pic:spPr>
                      </pic:pic>
                    </a:graphicData>
                  </a:graphic>
                </wp:inline>
              </w:drawing>
            </w:r>
          </w:p>
          <w:p w14:paraId="47358540" w14:textId="77777777" w:rsidR="00443399" w:rsidRPr="00B03B51" w:rsidRDefault="00443399" w:rsidP="0054365B">
            <w:pPr>
              <w:ind w:left="284"/>
              <w:jc w:val="both"/>
              <w:rPr>
                <w:rFonts w:ascii="Times New Roman" w:eastAsia="Arial" w:hAnsi="Times New Roman" w:cs="Times New Roman"/>
                <w:noProof/>
                <w:sz w:val="24"/>
                <w:szCs w:val="20"/>
              </w:rPr>
            </w:pPr>
          </w:p>
          <w:p w14:paraId="6B45BCEB" w14:textId="77777777" w:rsidR="00443399" w:rsidRPr="00B03B51" w:rsidRDefault="00443399" w:rsidP="0054365B">
            <w:pPr>
              <w:jc w:val="both"/>
              <w:rPr>
                <w:rFonts w:ascii="Times New Roman" w:eastAsia="Arial" w:hAnsi="Times New Roman" w:cs="Times New Roman"/>
                <w:noProof/>
                <w:sz w:val="24"/>
                <w:szCs w:val="20"/>
              </w:rPr>
            </w:pPr>
            <w:r w:rsidRPr="00B03B51">
              <w:rPr>
                <w:rFonts w:ascii="Times New Roman" w:hAnsi="Times New Roman" w:cs="Times New Roman"/>
                <w:sz w:val="24"/>
                <w:szCs w:val="20"/>
              </w:rPr>
              <w:t>4. Praksē, piemēram, pastāv trīs galvenie parastu aizdevumu veidi – izņemot indeksētos aizdevumus.</w:t>
            </w:r>
          </w:p>
          <w:p w14:paraId="6D6D66F3" w14:textId="77777777" w:rsidR="00443399" w:rsidRPr="00B03B51" w:rsidRDefault="00443399" w:rsidP="0054365B">
            <w:pPr>
              <w:ind w:left="284"/>
              <w:jc w:val="both"/>
              <w:rPr>
                <w:rFonts w:ascii="Times New Roman" w:eastAsia="Arial" w:hAnsi="Times New Roman" w:cs="Times New Roman"/>
                <w:noProof/>
                <w:sz w:val="24"/>
                <w:szCs w:val="20"/>
              </w:rPr>
            </w:pPr>
          </w:p>
          <w:p w14:paraId="1913618E" w14:textId="77777777" w:rsidR="00443399" w:rsidRPr="00B03B51" w:rsidRDefault="00443399" w:rsidP="0054365B">
            <w:pPr>
              <w:pStyle w:val="BodyText"/>
              <w:tabs>
                <w:tab w:val="left" w:pos="1501"/>
              </w:tabs>
              <w:spacing w:before="0"/>
              <w:ind w:left="284" w:firstLine="0"/>
              <w:jc w:val="both"/>
              <w:rPr>
                <w:rFonts w:ascii="Times New Roman" w:hAnsi="Times New Roman" w:cs="Times New Roman"/>
                <w:noProof/>
                <w:sz w:val="24"/>
              </w:rPr>
            </w:pPr>
            <w:r w:rsidRPr="00B03B51">
              <w:rPr>
                <w:rFonts w:ascii="Times New Roman" w:hAnsi="Times New Roman" w:cs="Times New Roman"/>
                <w:sz w:val="24"/>
              </w:rPr>
              <w:t>a) Aizdevumi ar beigu atmaksu</w:t>
            </w:r>
          </w:p>
          <w:p w14:paraId="17924002" w14:textId="77777777" w:rsidR="00443399" w:rsidRPr="00B03B51" w:rsidRDefault="00443399" w:rsidP="0054365B">
            <w:pPr>
              <w:ind w:left="284"/>
              <w:jc w:val="both"/>
              <w:rPr>
                <w:rFonts w:ascii="Times New Roman" w:eastAsia="Arial" w:hAnsi="Times New Roman" w:cs="Times New Roman"/>
                <w:noProof/>
                <w:sz w:val="24"/>
                <w:szCs w:val="18"/>
              </w:rPr>
            </w:pPr>
          </w:p>
          <w:p w14:paraId="60AE41C6" w14:textId="77777777" w:rsidR="00443399" w:rsidRPr="00B03B51" w:rsidRDefault="00443399" w:rsidP="0054365B">
            <w:pPr>
              <w:ind w:left="284"/>
              <w:jc w:val="both"/>
              <w:rPr>
                <w:rFonts w:ascii="Times New Roman" w:eastAsia="Arial" w:hAnsi="Times New Roman" w:cs="Times New Roman"/>
                <w:i/>
                <w:iCs/>
                <w:noProof/>
                <w:sz w:val="24"/>
                <w:szCs w:val="18"/>
              </w:rPr>
            </w:pPr>
            <w:r w:rsidRPr="00B03B51">
              <w:rPr>
                <w:rFonts w:ascii="Times New Roman" w:hAnsi="Times New Roman" w:cs="Times New Roman"/>
                <w:i/>
                <w:iCs/>
                <w:noProof/>
                <w:sz w:val="24"/>
                <w:szCs w:val="18"/>
              </w:rPr>
              <w:drawing>
                <wp:inline distT="0" distB="0" distL="0" distR="0" wp14:anchorId="4BD182DE" wp14:editId="3F965305">
                  <wp:extent cx="1435100" cy="775970"/>
                  <wp:effectExtent l="0" t="0" r="0" b="0"/>
                  <wp:docPr id="1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13"/>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1435100" cy="775970"/>
                          </a:xfrm>
                          <a:prstGeom prst="rect">
                            <a:avLst/>
                          </a:prstGeom>
                          <a:noFill/>
                          <a:ln>
                            <a:noFill/>
                          </a:ln>
                        </pic:spPr>
                      </pic:pic>
                    </a:graphicData>
                  </a:graphic>
                </wp:inline>
              </w:drawing>
            </w:r>
          </w:p>
          <w:p w14:paraId="181E39D9" w14:textId="77777777" w:rsidR="00443399" w:rsidRPr="00B03B51" w:rsidRDefault="00443399" w:rsidP="0054365B">
            <w:pPr>
              <w:ind w:left="284"/>
              <w:jc w:val="both"/>
              <w:rPr>
                <w:rFonts w:ascii="Times New Roman" w:eastAsia="Arial" w:hAnsi="Times New Roman" w:cs="Times New Roman"/>
                <w:noProof/>
                <w:sz w:val="24"/>
                <w:szCs w:val="18"/>
              </w:rPr>
            </w:pPr>
          </w:p>
          <w:p w14:paraId="5A9E0968" w14:textId="77777777" w:rsidR="00443399" w:rsidRPr="00B03B51" w:rsidRDefault="00443399" w:rsidP="0054365B">
            <w:pPr>
              <w:pStyle w:val="BodyText"/>
              <w:tabs>
                <w:tab w:val="left" w:pos="1501"/>
              </w:tabs>
              <w:spacing w:before="0"/>
              <w:ind w:left="284" w:firstLine="0"/>
              <w:jc w:val="both"/>
              <w:rPr>
                <w:rFonts w:ascii="Times New Roman" w:hAnsi="Times New Roman" w:cs="Times New Roman"/>
                <w:noProof/>
                <w:sz w:val="24"/>
              </w:rPr>
            </w:pPr>
            <w:r w:rsidRPr="00B03B51">
              <w:rPr>
                <w:rFonts w:ascii="Times New Roman" w:hAnsi="Times New Roman" w:cs="Times New Roman"/>
                <w:sz w:val="24"/>
              </w:rPr>
              <w:t>b) Aizdevumi ar nemainīgu amortizāciju</w:t>
            </w:r>
          </w:p>
          <w:p w14:paraId="7BDBB0DF" w14:textId="77777777" w:rsidR="00443399" w:rsidRPr="00B03B51" w:rsidRDefault="00443399" w:rsidP="0054365B">
            <w:pPr>
              <w:ind w:left="284"/>
              <w:jc w:val="both"/>
              <w:rPr>
                <w:rFonts w:ascii="Times New Roman" w:hAnsi="Times New Roman" w:cs="Times New Roman"/>
                <w:noProof/>
                <w:sz w:val="24"/>
              </w:rPr>
            </w:pPr>
          </w:p>
          <w:p w14:paraId="361D4FE7" w14:textId="77777777" w:rsidR="00443399" w:rsidRPr="00B03B51" w:rsidRDefault="00443399" w:rsidP="0054365B">
            <w:pPr>
              <w:ind w:left="284"/>
              <w:jc w:val="both"/>
              <w:rPr>
                <w:rFonts w:ascii="Times New Roman" w:eastAsia="Times New Roman" w:hAnsi="Times New Roman" w:cs="Times New Roman"/>
                <w:noProof/>
                <w:sz w:val="24"/>
                <w:szCs w:val="24"/>
              </w:rPr>
            </w:pPr>
            <w:r w:rsidRPr="00B03B51">
              <w:rPr>
                <w:rFonts w:ascii="Times New Roman" w:hAnsi="Times New Roman" w:cs="Times New Roman"/>
                <w:noProof/>
                <w:sz w:val="24"/>
                <w:szCs w:val="24"/>
              </w:rPr>
              <w:drawing>
                <wp:inline distT="0" distB="0" distL="0" distR="0" wp14:anchorId="04FBAE87" wp14:editId="46631E00">
                  <wp:extent cx="1435100" cy="393700"/>
                  <wp:effectExtent l="0" t="0" r="0" b="0"/>
                  <wp:docPr id="141"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14"/>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1435100" cy="393700"/>
                          </a:xfrm>
                          <a:prstGeom prst="rect">
                            <a:avLst/>
                          </a:prstGeom>
                          <a:noFill/>
                          <a:ln>
                            <a:noFill/>
                          </a:ln>
                        </pic:spPr>
                      </pic:pic>
                    </a:graphicData>
                  </a:graphic>
                </wp:inline>
              </w:drawing>
            </w:r>
          </w:p>
          <w:p w14:paraId="1D8F122F" w14:textId="77777777" w:rsidR="00443399" w:rsidRPr="00B03B51" w:rsidRDefault="00443399" w:rsidP="0054365B">
            <w:pPr>
              <w:ind w:left="284"/>
              <w:jc w:val="both"/>
              <w:rPr>
                <w:rFonts w:ascii="Times New Roman" w:eastAsia="Times New Roman" w:hAnsi="Times New Roman" w:cs="Times New Roman"/>
                <w:i/>
                <w:noProof/>
                <w:sz w:val="24"/>
                <w:szCs w:val="13"/>
              </w:rPr>
            </w:pPr>
          </w:p>
          <w:p w14:paraId="14B95092" w14:textId="77777777" w:rsidR="00443399" w:rsidRPr="00B03B51" w:rsidRDefault="00443399" w:rsidP="0054365B">
            <w:pPr>
              <w:pStyle w:val="BodyText"/>
              <w:tabs>
                <w:tab w:val="left" w:pos="1490"/>
              </w:tabs>
              <w:spacing w:before="0"/>
              <w:ind w:left="284" w:firstLine="0"/>
              <w:jc w:val="both"/>
              <w:rPr>
                <w:rFonts w:ascii="Times New Roman" w:hAnsi="Times New Roman" w:cs="Times New Roman"/>
                <w:noProof/>
                <w:sz w:val="24"/>
              </w:rPr>
            </w:pPr>
            <w:r w:rsidRPr="00B03B51">
              <w:rPr>
                <w:rFonts w:ascii="Times New Roman" w:hAnsi="Times New Roman" w:cs="Times New Roman"/>
                <w:sz w:val="24"/>
              </w:rPr>
              <w:t>c) Aizdevumi ar nemainīgu gada maksu</w:t>
            </w:r>
          </w:p>
          <w:p w14:paraId="2454AD0F" w14:textId="77777777" w:rsidR="00443399" w:rsidRPr="00B03B51" w:rsidRDefault="00443399" w:rsidP="0054365B">
            <w:pPr>
              <w:ind w:left="284"/>
              <w:jc w:val="both"/>
              <w:rPr>
                <w:rFonts w:ascii="Times New Roman" w:eastAsia="Arial" w:hAnsi="Times New Roman" w:cs="Times New Roman"/>
                <w:noProof/>
                <w:sz w:val="24"/>
                <w:szCs w:val="13"/>
              </w:rPr>
            </w:pPr>
          </w:p>
          <w:p w14:paraId="5F7FDEE1" w14:textId="77777777" w:rsidR="00443399" w:rsidRPr="00B03B51" w:rsidRDefault="00443399" w:rsidP="0054365B">
            <w:pPr>
              <w:pStyle w:val="BodyText"/>
              <w:spacing w:before="0"/>
              <w:ind w:left="284" w:firstLine="0"/>
              <w:jc w:val="both"/>
              <w:rPr>
                <w:rFonts w:ascii="Times New Roman" w:hAnsi="Times New Roman" w:cs="Times New Roman"/>
                <w:noProof/>
                <w:sz w:val="24"/>
              </w:rPr>
            </w:pPr>
            <w:r w:rsidRPr="00B03B51">
              <w:rPr>
                <w:rFonts w:ascii="Times New Roman" w:hAnsi="Times New Roman" w:cs="Times New Roman"/>
                <w:i/>
                <w:iCs/>
                <w:sz w:val="24"/>
              </w:rPr>
              <w:lastRenderedPageBreak/>
              <w:t>Ap</w:t>
            </w:r>
            <w:r w:rsidRPr="00B03B51">
              <w:rPr>
                <w:rFonts w:ascii="Times New Roman" w:hAnsi="Times New Roman" w:cs="Times New Roman"/>
                <w:sz w:val="24"/>
              </w:rPr>
              <w:t xml:space="preserve"> = </w:t>
            </w:r>
            <w:r w:rsidRPr="00B03B51">
              <w:rPr>
                <w:rFonts w:ascii="Times New Roman" w:hAnsi="Times New Roman" w:cs="Times New Roman"/>
                <w:i/>
                <w:iCs/>
                <w:sz w:val="24"/>
              </w:rPr>
              <w:t xml:space="preserve">A, </w:t>
            </w:r>
            <w:r w:rsidRPr="00B03B51">
              <w:rPr>
                <w:rFonts w:ascii="Times New Roman" w:hAnsi="Times New Roman" w:cs="Times New Roman"/>
                <w:sz w:val="24"/>
              </w:rPr>
              <w:sym w:font="Symbol" w:char="F022"/>
            </w:r>
            <w:r w:rsidRPr="00B03B51">
              <w:rPr>
                <w:rFonts w:ascii="Times New Roman" w:hAnsi="Times New Roman" w:cs="Times New Roman"/>
                <w:i/>
                <w:iCs/>
                <w:sz w:val="24"/>
              </w:rPr>
              <w:t>p</w:t>
            </w:r>
            <w:r w:rsidRPr="00B03B51">
              <w:rPr>
                <w:rFonts w:ascii="Times New Roman" w:hAnsi="Times New Roman" w:cs="Times New Roman"/>
                <w:sz w:val="24"/>
              </w:rPr>
              <w:t xml:space="preserve">, </w:t>
            </w:r>
            <w:r w:rsidRPr="00B03B51">
              <w:rPr>
                <w:rFonts w:ascii="Times New Roman" w:hAnsi="Times New Roman" w:cs="Times New Roman"/>
                <w:i/>
                <w:iCs/>
                <w:sz w:val="24"/>
              </w:rPr>
              <w:t>A</w:t>
            </w:r>
            <w:r w:rsidRPr="00B03B51">
              <w:rPr>
                <w:rFonts w:ascii="Times New Roman" w:hAnsi="Times New Roman" w:cs="Times New Roman"/>
                <w:sz w:val="24"/>
              </w:rPr>
              <w:t xml:space="preserve"> aprēķina, izmantojot šādu formulu.</w:t>
            </w:r>
          </w:p>
          <w:p w14:paraId="4796540D" w14:textId="77777777" w:rsidR="00443399" w:rsidRPr="00B03B51" w:rsidRDefault="00443399" w:rsidP="0054365B">
            <w:pPr>
              <w:jc w:val="both"/>
              <w:rPr>
                <w:rFonts w:ascii="Times New Roman" w:eastAsia="Arial" w:hAnsi="Times New Roman" w:cs="Times New Roman"/>
                <w:noProof/>
                <w:sz w:val="24"/>
                <w:szCs w:val="19"/>
              </w:rPr>
            </w:pPr>
          </w:p>
          <w:p w14:paraId="6D23494B" w14:textId="77777777" w:rsidR="00443399" w:rsidRPr="00B03B51" w:rsidRDefault="00443399" w:rsidP="0054365B">
            <w:pPr>
              <w:jc w:val="both"/>
              <w:rPr>
                <w:rFonts w:ascii="Times New Roman" w:hAnsi="Times New Roman" w:cs="Times New Roman"/>
                <w:b/>
                <w:noProof/>
                <w:sz w:val="24"/>
              </w:rPr>
            </w:pPr>
            <w:r w:rsidRPr="00B03B51">
              <w:rPr>
                <w:rFonts w:ascii="Times New Roman" w:hAnsi="Times New Roman" w:cs="Times New Roman"/>
                <w:b/>
                <w:sz w:val="24"/>
              </w:rPr>
              <w:t>Pamatformulas.</w:t>
            </w:r>
          </w:p>
          <w:p w14:paraId="7DBFA287" w14:textId="77777777" w:rsidR="00443399" w:rsidRPr="00B03B51" w:rsidRDefault="00443399" w:rsidP="0054365B">
            <w:pPr>
              <w:pStyle w:val="BodyText"/>
              <w:tabs>
                <w:tab w:val="left" w:pos="862"/>
              </w:tabs>
              <w:spacing w:before="0"/>
              <w:ind w:left="0" w:firstLine="0"/>
              <w:jc w:val="both"/>
              <w:rPr>
                <w:rFonts w:ascii="Times New Roman" w:hAnsi="Times New Roman" w:cs="Times New Roman"/>
                <w:noProof/>
                <w:sz w:val="24"/>
              </w:rPr>
            </w:pPr>
          </w:p>
          <w:p w14:paraId="3BCAFE9E" w14:textId="77777777" w:rsidR="00443399" w:rsidRPr="00B03B51" w:rsidRDefault="00443399" w:rsidP="0054365B">
            <w:pPr>
              <w:pStyle w:val="BodyText"/>
              <w:tabs>
                <w:tab w:val="left" w:pos="862"/>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5. Neatkarīgi no aizdevuma veida dažādos elementus var aprēķināt, izmantojot šādu pamatformulu (</w:t>
            </w:r>
            <w:r w:rsidRPr="00B03B51">
              <w:rPr>
                <w:rFonts w:ascii="Times New Roman" w:hAnsi="Times New Roman" w:cs="Times New Roman"/>
                <w:i/>
                <w:sz w:val="24"/>
                <w:szCs w:val="20"/>
              </w:rPr>
              <w:t>V</w:t>
            </w:r>
            <w:r w:rsidRPr="00B03B51">
              <w:rPr>
                <w:rFonts w:ascii="Times New Roman" w:hAnsi="Times New Roman" w:cs="Times New Roman"/>
                <w:i/>
                <w:sz w:val="24"/>
                <w:szCs w:val="13"/>
                <w:vertAlign w:val="subscript"/>
              </w:rPr>
              <w:t>0</w:t>
            </w:r>
            <w:r w:rsidRPr="00B03B51">
              <w:rPr>
                <w:rFonts w:ascii="Times New Roman" w:hAnsi="Times New Roman" w:cs="Times New Roman"/>
                <w:sz w:val="24"/>
              </w:rPr>
              <w:t xml:space="preserve">, </w:t>
            </w:r>
            <w:r w:rsidRPr="00B03B51">
              <w:rPr>
                <w:rFonts w:ascii="Times New Roman" w:hAnsi="Times New Roman" w:cs="Times New Roman"/>
                <w:i/>
                <w:sz w:val="24"/>
              </w:rPr>
              <w:t>n</w:t>
            </w:r>
            <w:r w:rsidRPr="00B03B51">
              <w:rPr>
                <w:rFonts w:ascii="Times New Roman" w:hAnsi="Times New Roman" w:cs="Times New Roman"/>
                <w:sz w:val="24"/>
              </w:rPr>
              <w:t xml:space="preserve"> un </w:t>
            </w:r>
            <w:r w:rsidRPr="00B03B51">
              <w:rPr>
                <w:rFonts w:ascii="Times New Roman" w:hAnsi="Times New Roman" w:cs="Times New Roman"/>
                <w:i/>
                <w:sz w:val="24"/>
                <w:szCs w:val="20"/>
              </w:rPr>
              <w:t>r</w:t>
            </w:r>
            <w:r w:rsidRPr="00B03B51">
              <w:rPr>
                <w:rFonts w:ascii="Times New Roman" w:hAnsi="Times New Roman" w:cs="Times New Roman"/>
                <w:sz w:val="24"/>
              </w:rPr>
              <w:t xml:space="preserve"> ir doti).</w:t>
            </w:r>
          </w:p>
          <w:p w14:paraId="7596CAB0" w14:textId="77777777" w:rsidR="00443399" w:rsidRPr="00B03B51" w:rsidRDefault="00443399" w:rsidP="0054365B">
            <w:pPr>
              <w:jc w:val="both"/>
              <w:rPr>
                <w:rFonts w:ascii="Times New Roman" w:hAnsi="Times New Roman" w:cs="Times New Roman"/>
                <w:noProof/>
                <w:sz w:val="24"/>
              </w:rPr>
            </w:pPr>
          </w:p>
          <w:p w14:paraId="34EAB33B" w14:textId="77777777" w:rsidR="00443399" w:rsidRPr="00B03B51" w:rsidRDefault="00443399" w:rsidP="0054365B">
            <w:pPr>
              <w:ind w:left="284"/>
              <w:jc w:val="both"/>
              <w:rPr>
                <w:rFonts w:ascii="Times New Roman" w:eastAsia="Arial" w:hAnsi="Times New Roman" w:cs="Times New Roman"/>
                <w:noProof/>
                <w:sz w:val="24"/>
                <w:szCs w:val="14"/>
              </w:rPr>
            </w:pPr>
            <w:r w:rsidRPr="00B03B51">
              <w:rPr>
                <w:rFonts w:ascii="Times New Roman" w:hAnsi="Times New Roman" w:cs="Times New Roman"/>
                <w:noProof/>
                <w:sz w:val="24"/>
                <w:szCs w:val="14"/>
              </w:rPr>
              <w:drawing>
                <wp:inline distT="0" distB="0" distL="0" distR="0" wp14:anchorId="6382BF3D" wp14:editId="29EF6DD0">
                  <wp:extent cx="2392045" cy="553085"/>
                  <wp:effectExtent l="0" t="0" r="0" b="0"/>
                  <wp:docPr id="142"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15"/>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2392045" cy="553085"/>
                          </a:xfrm>
                          <a:prstGeom prst="rect">
                            <a:avLst/>
                          </a:prstGeom>
                          <a:noFill/>
                          <a:ln>
                            <a:noFill/>
                          </a:ln>
                        </pic:spPr>
                      </pic:pic>
                    </a:graphicData>
                  </a:graphic>
                </wp:inline>
              </w:drawing>
            </w:r>
          </w:p>
          <w:p w14:paraId="2AEAAA7D" w14:textId="77777777" w:rsidR="00443399" w:rsidRPr="00B03B51" w:rsidRDefault="00443399" w:rsidP="0054365B">
            <w:pPr>
              <w:ind w:left="284"/>
              <w:jc w:val="both"/>
              <w:rPr>
                <w:rFonts w:ascii="Times New Roman" w:eastAsia="Arial" w:hAnsi="Times New Roman" w:cs="Times New Roman"/>
                <w:noProof/>
                <w:sz w:val="24"/>
                <w:szCs w:val="14"/>
              </w:rPr>
            </w:pPr>
          </w:p>
          <w:p w14:paraId="079B3EE7" w14:textId="77777777" w:rsidR="00443399" w:rsidRPr="00B03B51" w:rsidRDefault="00443399" w:rsidP="0054365B">
            <w:pPr>
              <w:pStyle w:val="BodyText"/>
              <w:spacing w:before="0"/>
              <w:ind w:left="284" w:firstLine="0"/>
              <w:jc w:val="both"/>
              <w:rPr>
                <w:rFonts w:ascii="Times New Roman" w:hAnsi="Times New Roman" w:cs="Times New Roman"/>
                <w:noProof/>
                <w:sz w:val="24"/>
              </w:rPr>
            </w:pPr>
            <w:r w:rsidRPr="00B03B51">
              <w:rPr>
                <w:rFonts w:ascii="Times New Roman" w:hAnsi="Times New Roman" w:cs="Times New Roman"/>
                <w:sz w:val="24"/>
              </w:rPr>
              <w:t>Tas nozīmē, ka pašreizējā vērtība visām gada maksām (aizdevuma līguma procentu likmi izmantojot kā diskonta likmi) ir vienāda ar aizdoto summu neatkarīgi no tā, kādas ir šīs gada maksas.</w:t>
            </w:r>
          </w:p>
          <w:p w14:paraId="69C8CDF3" w14:textId="77777777" w:rsidR="00443399" w:rsidRPr="00B03B51" w:rsidRDefault="00443399" w:rsidP="0054365B">
            <w:pPr>
              <w:pStyle w:val="BodyText"/>
              <w:tabs>
                <w:tab w:val="left" w:pos="862"/>
              </w:tabs>
              <w:spacing w:before="0"/>
              <w:ind w:left="0" w:firstLine="0"/>
              <w:jc w:val="both"/>
              <w:rPr>
                <w:rFonts w:ascii="Times New Roman" w:hAnsi="Times New Roman" w:cs="Times New Roman"/>
                <w:noProof/>
                <w:sz w:val="24"/>
              </w:rPr>
            </w:pPr>
          </w:p>
          <w:p w14:paraId="5791DFA8" w14:textId="77777777" w:rsidR="00443399" w:rsidRPr="00B03B51" w:rsidRDefault="00443399" w:rsidP="0054365B">
            <w:pPr>
              <w:pStyle w:val="BodyText"/>
              <w:tabs>
                <w:tab w:val="left" w:pos="862"/>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 xml:space="preserve">6. Turklāt jebkurā brīdī pamatsummas nenomaksātais apjoms ir vienāds ar atlikušo gada maksu pašreizējo vērtību. Tādējādi pēc tam, kad ir nomaksātas </w:t>
            </w:r>
            <w:r w:rsidRPr="00B03B51">
              <w:rPr>
                <w:rFonts w:ascii="Times New Roman" w:hAnsi="Times New Roman" w:cs="Times New Roman"/>
                <w:i/>
                <w:iCs/>
                <w:sz w:val="24"/>
              </w:rPr>
              <w:t>p-1</w:t>
            </w:r>
            <w:r w:rsidRPr="00B03B51">
              <w:rPr>
                <w:rFonts w:ascii="Times New Roman" w:hAnsi="Times New Roman" w:cs="Times New Roman"/>
                <w:sz w:val="24"/>
              </w:rPr>
              <w:t> gada maksas, spēkā ir šāda formula.</w:t>
            </w:r>
          </w:p>
          <w:p w14:paraId="123E1DF4" w14:textId="77777777" w:rsidR="00443399" w:rsidRPr="00B03B51" w:rsidRDefault="00443399" w:rsidP="0054365B">
            <w:pPr>
              <w:jc w:val="both"/>
              <w:rPr>
                <w:rFonts w:ascii="Times New Roman" w:eastAsia="Times New Roman" w:hAnsi="Times New Roman" w:cs="Times New Roman"/>
                <w:i/>
                <w:noProof/>
                <w:sz w:val="24"/>
                <w:szCs w:val="14"/>
              </w:rPr>
            </w:pPr>
          </w:p>
          <w:p w14:paraId="740FDF05" w14:textId="77777777" w:rsidR="00443399" w:rsidRPr="00B03B51" w:rsidRDefault="00443399" w:rsidP="0054365B">
            <w:pPr>
              <w:ind w:left="284"/>
              <w:jc w:val="both"/>
              <w:rPr>
                <w:rFonts w:ascii="Times New Roman" w:eastAsia="Times New Roman" w:hAnsi="Times New Roman" w:cs="Times New Roman"/>
                <w:noProof/>
                <w:sz w:val="24"/>
                <w:szCs w:val="20"/>
              </w:rPr>
            </w:pPr>
            <w:r w:rsidRPr="00B03B51">
              <w:rPr>
                <w:rFonts w:ascii="Times New Roman" w:hAnsi="Times New Roman" w:cs="Times New Roman"/>
                <w:noProof/>
                <w:sz w:val="24"/>
                <w:szCs w:val="20"/>
              </w:rPr>
              <w:drawing>
                <wp:inline distT="0" distB="0" distL="0" distR="0" wp14:anchorId="6154988E" wp14:editId="056D712E">
                  <wp:extent cx="2349500" cy="553085"/>
                  <wp:effectExtent l="0" t="0" r="0" b="0"/>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16"/>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2349500" cy="553085"/>
                          </a:xfrm>
                          <a:prstGeom prst="rect">
                            <a:avLst/>
                          </a:prstGeom>
                          <a:noFill/>
                          <a:ln>
                            <a:noFill/>
                          </a:ln>
                        </pic:spPr>
                      </pic:pic>
                    </a:graphicData>
                  </a:graphic>
                </wp:inline>
              </w:drawing>
            </w:r>
          </w:p>
          <w:p w14:paraId="1FEBCAAA" w14:textId="77777777" w:rsidR="00443399" w:rsidRPr="00B03B51" w:rsidRDefault="00443399" w:rsidP="0054365B">
            <w:pPr>
              <w:jc w:val="both"/>
              <w:rPr>
                <w:rFonts w:ascii="Times New Roman" w:eastAsia="Times New Roman" w:hAnsi="Times New Roman" w:cs="Times New Roman"/>
                <w:noProof/>
                <w:sz w:val="24"/>
                <w:szCs w:val="20"/>
              </w:rPr>
            </w:pPr>
          </w:p>
          <w:p w14:paraId="33CA9B5F" w14:textId="77777777" w:rsidR="00443399" w:rsidRPr="00B03B51" w:rsidRDefault="00443399" w:rsidP="0054365B">
            <w:pPr>
              <w:pStyle w:val="BodyText"/>
              <w:tabs>
                <w:tab w:val="left" w:pos="862"/>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 xml:space="preserve">7. Ja no sākuma līdz </w:t>
            </w:r>
            <w:r w:rsidRPr="00B03B51">
              <w:rPr>
                <w:rFonts w:ascii="Times New Roman" w:hAnsi="Times New Roman" w:cs="Times New Roman"/>
                <w:i/>
                <w:iCs/>
                <w:sz w:val="24"/>
              </w:rPr>
              <w:t>p</w:t>
            </w:r>
            <w:r w:rsidRPr="00B03B51">
              <w:rPr>
                <w:rFonts w:ascii="Times New Roman" w:hAnsi="Times New Roman" w:cs="Times New Roman"/>
                <w:sz w:val="24"/>
              </w:rPr>
              <w:t xml:space="preserve">, to ieskaitot, nenotiek nekādi maksājumi, tad </w:t>
            </w:r>
            <w:r w:rsidRPr="00B03B51">
              <w:rPr>
                <w:rFonts w:ascii="Times New Roman" w:hAnsi="Times New Roman" w:cs="Times New Roman"/>
                <w:i/>
                <w:iCs/>
                <w:sz w:val="24"/>
              </w:rPr>
              <w:t>p</w:t>
            </w:r>
            <w:r w:rsidRPr="00B03B51">
              <w:rPr>
                <w:rFonts w:ascii="Times New Roman" w:hAnsi="Times New Roman" w:cs="Times New Roman"/>
                <w:sz w:val="24"/>
              </w:rPr>
              <w:t xml:space="preserve"> perioda beigās </w:t>
            </w:r>
            <w:r w:rsidRPr="00B03B51">
              <w:rPr>
                <w:rFonts w:ascii="Times New Roman" w:hAnsi="Times New Roman" w:cs="Times New Roman"/>
                <w:i/>
                <w:iCs/>
                <w:sz w:val="24"/>
              </w:rPr>
              <w:t>V0</w:t>
            </w:r>
            <w:r w:rsidRPr="00B03B51">
              <w:rPr>
                <w:rFonts w:ascii="Times New Roman" w:hAnsi="Times New Roman" w:cs="Times New Roman"/>
                <w:sz w:val="24"/>
              </w:rPr>
              <w:t xml:space="preserve"> reģistrē pozīcijā AF.4. Turklāt pastāv saistības atbilstoši nenomaksātajai procentu summai, kas ir vienādas ar:</w:t>
            </w:r>
          </w:p>
          <w:p w14:paraId="7EB76D84" w14:textId="77777777" w:rsidR="00443399" w:rsidRPr="00B03B51" w:rsidRDefault="00443399" w:rsidP="0054365B">
            <w:pPr>
              <w:jc w:val="both"/>
              <w:rPr>
                <w:rFonts w:ascii="Times New Roman" w:hAnsi="Times New Roman" w:cs="Times New Roman"/>
                <w:noProof/>
                <w:sz w:val="24"/>
              </w:rPr>
            </w:pPr>
          </w:p>
          <w:p w14:paraId="5DF15145" w14:textId="77777777" w:rsidR="00443399" w:rsidRPr="00B03B51" w:rsidRDefault="00443399" w:rsidP="0054365B">
            <w:pPr>
              <w:ind w:left="284"/>
              <w:jc w:val="both"/>
              <w:rPr>
                <w:rFonts w:ascii="Times New Roman" w:eastAsia="Times New Roman" w:hAnsi="Times New Roman" w:cs="Times New Roman"/>
                <w:noProof/>
                <w:sz w:val="24"/>
              </w:rPr>
            </w:pPr>
            <w:r w:rsidRPr="00B03B51">
              <w:rPr>
                <w:rFonts w:ascii="Times New Roman" w:hAnsi="Times New Roman" w:cs="Times New Roman"/>
                <w:noProof/>
                <w:sz w:val="24"/>
              </w:rPr>
              <w:drawing>
                <wp:inline distT="0" distB="0" distL="0" distR="0" wp14:anchorId="529BB346" wp14:editId="3A395BCC">
                  <wp:extent cx="786765" cy="520700"/>
                  <wp:effectExtent l="0" t="0" r="0" b="0"/>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17"/>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786765" cy="520700"/>
                          </a:xfrm>
                          <a:prstGeom prst="rect">
                            <a:avLst/>
                          </a:prstGeom>
                          <a:noFill/>
                          <a:ln>
                            <a:noFill/>
                          </a:ln>
                        </pic:spPr>
                      </pic:pic>
                    </a:graphicData>
                  </a:graphic>
                </wp:inline>
              </w:drawing>
            </w:r>
          </w:p>
        </w:tc>
      </w:tr>
    </w:tbl>
    <w:p w14:paraId="3F9F8C55" w14:textId="77777777" w:rsidR="00443399" w:rsidRPr="00B03B51" w:rsidRDefault="00443399" w:rsidP="00443399">
      <w:pPr>
        <w:jc w:val="both"/>
        <w:rPr>
          <w:rFonts w:ascii="Times New Roman" w:eastAsia="Times New Roman" w:hAnsi="Times New Roman" w:cs="Times New Roman"/>
          <w:noProof/>
          <w:sz w:val="24"/>
          <w:szCs w:val="27"/>
        </w:rPr>
      </w:pPr>
    </w:p>
    <w:p w14:paraId="66D76049" w14:textId="77777777" w:rsidR="00443399" w:rsidRPr="00B03B51" w:rsidRDefault="00443399" w:rsidP="00443399">
      <w:pPr>
        <w:pStyle w:val="Heading3"/>
        <w:tabs>
          <w:tab w:val="left" w:pos="1267"/>
        </w:tabs>
        <w:ind w:left="0" w:firstLine="0"/>
        <w:jc w:val="both"/>
        <w:rPr>
          <w:rFonts w:ascii="Times New Roman" w:hAnsi="Times New Roman" w:cs="Times New Roman"/>
          <w:sz w:val="24"/>
        </w:rPr>
      </w:pPr>
      <w:bookmarkStart w:id="586" w:name="_Toc67565205"/>
      <w:r w:rsidRPr="00B03B51">
        <w:rPr>
          <w:rFonts w:ascii="Times New Roman" w:hAnsi="Times New Roman" w:cs="Times New Roman"/>
          <w:sz w:val="24"/>
        </w:rPr>
        <w:t>7.3.3. Traktējuma pamatojums</w:t>
      </w:r>
      <w:bookmarkEnd w:id="586"/>
    </w:p>
    <w:p w14:paraId="6F95AE54" w14:textId="77777777" w:rsidR="00443399" w:rsidRPr="00B03B51" w:rsidRDefault="00443399" w:rsidP="00443399">
      <w:pPr>
        <w:tabs>
          <w:tab w:val="left" w:pos="1267"/>
        </w:tabs>
        <w:jc w:val="both"/>
        <w:rPr>
          <w:rFonts w:ascii="Times New Roman" w:hAnsi="Times New Roman" w:cs="Times New Roman"/>
          <w:b/>
          <w:noProof/>
          <w:sz w:val="24"/>
        </w:rPr>
      </w:pPr>
    </w:p>
    <w:p w14:paraId="5C4DB63D" w14:textId="77777777" w:rsidR="00443399" w:rsidRPr="00B03B51" w:rsidRDefault="00443399" w:rsidP="00443399">
      <w:pPr>
        <w:pStyle w:val="Heading6"/>
        <w:tabs>
          <w:tab w:val="left" w:pos="1267"/>
        </w:tabs>
        <w:ind w:left="0" w:firstLine="0"/>
        <w:jc w:val="both"/>
        <w:rPr>
          <w:rFonts w:ascii="Times New Roman" w:hAnsi="Times New Roman" w:cs="Times New Roman"/>
          <w:sz w:val="24"/>
        </w:rPr>
      </w:pPr>
      <w:r w:rsidRPr="00B03B51">
        <w:rPr>
          <w:rFonts w:ascii="Times New Roman" w:hAnsi="Times New Roman" w:cs="Times New Roman"/>
          <w:sz w:val="24"/>
        </w:rPr>
        <w:t>7.3.3.1. AIZDEVUMA IERAKSTĪŠANA</w:t>
      </w:r>
    </w:p>
    <w:p w14:paraId="2C552764"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59D4EA03"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21. Vērtības, kas pozīcijā AF.4 jāieraksta gan kreditoru, gan debitoru bilancē, ir pamatsummas, kuras debitoriem saskaņā ar līgumu jāatmaksā kreditoriem pat tādos gadījumos, kad aizdevums ticis tirgots ar diskontu vai prēmiju (EKS 2010 7.70. punkts).</w:t>
      </w:r>
    </w:p>
    <w:p w14:paraId="58226841" w14:textId="77777777" w:rsidR="00443399" w:rsidRPr="00B03B51" w:rsidRDefault="00443399" w:rsidP="00443399">
      <w:pPr>
        <w:jc w:val="both"/>
        <w:rPr>
          <w:rFonts w:ascii="Times New Roman" w:eastAsia="Arial" w:hAnsi="Times New Roman" w:cs="Times New Roman"/>
          <w:noProof/>
          <w:sz w:val="24"/>
          <w:szCs w:val="15"/>
        </w:rPr>
      </w:pPr>
    </w:p>
    <w:p w14:paraId="3B06666C" w14:textId="77777777" w:rsidR="00443399" w:rsidRPr="00B03B51" w:rsidRDefault="00443399" w:rsidP="00443399">
      <w:pPr>
        <w:pStyle w:val="Heading6"/>
        <w:tabs>
          <w:tab w:val="left" w:pos="1267"/>
        </w:tabs>
        <w:ind w:left="0" w:firstLine="0"/>
        <w:jc w:val="both"/>
        <w:rPr>
          <w:rFonts w:ascii="Times New Roman" w:hAnsi="Times New Roman" w:cs="Times New Roman"/>
          <w:sz w:val="24"/>
        </w:rPr>
      </w:pPr>
      <w:r w:rsidRPr="00B03B51">
        <w:rPr>
          <w:rFonts w:ascii="Times New Roman" w:hAnsi="Times New Roman" w:cs="Times New Roman"/>
          <w:sz w:val="24"/>
        </w:rPr>
        <w:t>7.3.3.2. AIZDEVUMA ATMAKSĀŠANAS GRAFIKA PĀRSKATĪŠANA</w:t>
      </w:r>
    </w:p>
    <w:p w14:paraId="7F940AC8"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6D6E9AC8"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22. EKS 2010 nav sniegti sīki norādījumi attiecībā uz šāda gadījuma uzskaiti. EKS 2010 20.236. punktā pieminēta vienīgi parāda pārstrukturēšana, norādot, ka tas pats princips (kā parāda anulēšanas gadījumā) attiecas uz vērtības starpību (nenorādot, ka tas domāts nominālā izteiksmē). Tas ir norādīts NKS 2008, taču visnotaļ vispārīgā veidā, 20.107. punkta b) apakšpunktā norādot vienīgi to, ka “tā rezultātā var samazināties pašreizējā vērtība”, un nepieminot iespējamo kapitāla pārvedumu. Tāpēc šajā rokasgrāmatā sniegts nepieciešamais skaidrojums un praktiski norādījumi nacionālo kontu speciālistiem.</w:t>
      </w:r>
    </w:p>
    <w:p w14:paraId="4734DBDF" w14:textId="77777777" w:rsidR="00443399" w:rsidRPr="00B03B51" w:rsidRDefault="00443399" w:rsidP="00443399">
      <w:pPr>
        <w:jc w:val="both"/>
        <w:rPr>
          <w:rFonts w:ascii="Times New Roman" w:hAnsi="Times New Roman" w:cs="Times New Roman"/>
          <w:noProof/>
          <w:sz w:val="24"/>
        </w:rPr>
      </w:pPr>
    </w:p>
    <w:p w14:paraId="51E3E588"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 xml:space="preserve">23. Aizdevums ir līgumiska vienošanās. Sadalījumu starp pamatsummas atmaksājumu un </w:t>
      </w:r>
      <w:r w:rsidRPr="00B03B51">
        <w:rPr>
          <w:rFonts w:ascii="Times New Roman" w:hAnsi="Times New Roman" w:cs="Times New Roman"/>
          <w:sz w:val="24"/>
        </w:rPr>
        <w:lastRenderedPageBreak/>
        <w:t>procentu atmaksājumu nosaka aizdevuma līgumā, tostarp attiecībā uz aizdevumiem ar brīvi svārstīgām likmēm, un to var mainīt, vienīgi grozot līgumu.</w:t>
      </w:r>
    </w:p>
    <w:p w14:paraId="2EE98559"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4FAD733C"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24. Aizdevumam nav tirgus cenas, skat. EKS 2010 6.58. punktu. Līdz ar to procentu likmes izmaiņas, kas finanšu tirgos var notikt attiecībā uz līdzīgiem aizdevumiem, neietekmē tādu esošu aizdevumu nenomaksāto pamatsummu, kuriem ir noteikta procentu likme. Turklāt šādas izmaiņas neietekmē turpmākās procentu summas, un līdz ar to tās neietekmē pamatsummas un procentu sadalījumu.</w:t>
      </w:r>
    </w:p>
    <w:p w14:paraId="4C2A9EB6" w14:textId="77777777" w:rsidR="00443399" w:rsidRPr="00B03B51" w:rsidRDefault="00443399" w:rsidP="00443399">
      <w:pPr>
        <w:jc w:val="both"/>
        <w:rPr>
          <w:rFonts w:ascii="Times New Roman" w:eastAsia="Arial" w:hAnsi="Times New Roman" w:cs="Times New Roman"/>
          <w:noProof/>
          <w:sz w:val="24"/>
          <w:szCs w:val="15"/>
        </w:rPr>
      </w:pPr>
    </w:p>
    <w:p w14:paraId="1A1784C3" w14:textId="77777777" w:rsidR="00443399" w:rsidRPr="00B03B51" w:rsidRDefault="00443399" w:rsidP="00443399">
      <w:pPr>
        <w:pStyle w:val="Heading6"/>
        <w:tabs>
          <w:tab w:val="left" w:pos="1267"/>
        </w:tabs>
        <w:ind w:left="0" w:firstLine="0"/>
        <w:jc w:val="both"/>
        <w:rPr>
          <w:rFonts w:ascii="Times New Roman" w:hAnsi="Times New Roman" w:cs="Times New Roman"/>
          <w:noProof/>
          <w:sz w:val="24"/>
        </w:rPr>
      </w:pPr>
      <w:r w:rsidRPr="00B03B51">
        <w:rPr>
          <w:rFonts w:ascii="Times New Roman" w:hAnsi="Times New Roman" w:cs="Times New Roman"/>
          <w:sz w:val="24"/>
        </w:rPr>
        <w:t>7.3.3.3. PARĀDA ANULĒŠANA</w:t>
      </w:r>
    </w:p>
    <w:p w14:paraId="134CDBBF"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0696FCFE"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25. Šo jautājumu skat. 2.4. nodaļas “Procentu ierakstīšana” 2.4.1. iedaļā “Vispārīga informācija”.</w:t>
      </w:r>
    </w:p>
    <w:p w14:paraId="69743E24" w14:textId="77777777" w:rsidR="00443399" w:rsidRPr="00B03B51" w:rsidRDefault="00443399" w:rsidP="00443399">
      <w:pPr>
        <w:jc w:val="both"/>
        <w:rPr>
          <w:rFonts w:ascii="Times New Roman" w:eastAsia="Arial" w:hAnsi="Times New Roman" w:cs="Times New Roman"/>
          <w:noProof/>
          <w:sz w:val="24"/>
          <w:szCs w:val="16"/>
        </w:rPr>
      </w:pPr>
    </w:p>
    <w:p w14:paraId="2B80C8D1" w14:textId="77777777" w:rsidR="00443399" w:rsidRPr="00B03B51" w:rsidRDefault="00443399" w:rsidP="00443399">
      <w:pPr>
        <w:pStyle w:val="Heading6"/>
        <w:tabs>
          <w:tab w:val="left" w:pos="1267"/>
        </w:tabs>
        <w:ind w:left="0" w:firstLine="0"/>
        <w:jc w:val="both"/>
        <w:rPr>
          <w:rFonts w:ascii="Times New Roman" w:hAnsi="Times New Roman" w:cs="Times New Roman"/>
          <w:noProof/>
          <w:sz w:val="24"/>
        </w:rPr>
      </w:pPr>
      <w:r w:rsidRPr="00B03B51">
        <w:rPr>
          <w:rFonts w:ascii="Times New Roman" w:hAnsi="Times New Roman" w:cs="Times New Roman"/>
          <w:sz w:val="24"/>
        </w:rPr>
        <w:t>7.3.3.4. AIZDEVUMA PĀRDOŠANA</w:t>
      </w:r>
    </w:p>
    <w:p w14:paraId="06A4B652"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77F32AB2"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26. EKS 2010 ir apspriests gadījums, kad aizdevums tiek pārdots (EKS 2010 5.122. punkts). Starpību starp “izpirkuma cenu” un “darījuma cenu” ieraksta pārvērtēšanas kontā (EKS 2010 6.58. punkts).</w:t>
      </w:r>
    </w:p>
    <w:p w14:paraId="46B9F6BC" w14:textId="77777777" w:rsidR="00443399" w:rsidRPr="00B03B51" w:rsidRDefault="00443399" w:rsidP="00443399">
      <w:pPr>
        <w:jc w:val="both"/>
        <w:rPr>
          <w:rFonts w:ascii="Times New Roman" w:eastAsia="Arial" w:hAnsi="Times New Roman" w:cs="Times New Roman"/>
          <w:noProof/>
          <w:sz w:val="24"/>
          <w:szCs w:val="18"/>
        </w:rPr>
      </w:pPr>
    </w:p>
    <w:p w14:paraId="673B5EBD" w14:textId="77777777" w:rsidR="00443399" w:rsidRPr="00B03B51" w:rsidRDefault="00443399" w:rsidP="00443399">
      <w:pPr>
        <w:pStyle w:val="Heading3"/>
        <w:tabs>
          <w:tab w:val="left" w:pos="1267"/>
        </w:tabs>
        <w:ind w:left="0" w:firstLine="0"/>
        <w:jc w:val="both"/>
        <w:rPr>
          <w:rFonts w:ascii="Times New Roman" w:hAnsi="Times New Roman" w:cs="Times New Roman"/>
          <w:noProof/>
          <w:sz w:val="24"/>
        </w:rPr>
      </w:pPr>
      <w:bookmarkStart w:id="587" w:name="_Toc67565206"/>
      <w:r w:rsidRPr="00B03B51">
        <w:rPr>
          <w:rFonts w:ascii="Times New Roman" w:hAnsi="Times New Roman" w:cs="Times New Roman"/>
          <w:sz w:val="24"/>
        </w:rPr>
        <w:t>7.3.4. Uzskaites piemēri</w:t>
      </w:r>
      <w:bookmarkEnd w:id="587"/>
    </w:p>
    <w:p w14:paraId="6BAE6DB2" w14:textId="77777777" w:rsidR="00443399" w:rsidRPr="00B03B51" w:rsidRDefault="00443399" w:rsidP="00443399">
      <w:pPr>
        <w:jc w:val="both"/>
        <w:rPr>
          <w:rFonts w:ascii="Times New Roman" w:hAnsi="Times New Roman" w:cs="Times New Roman"/>
          <w:b/>
          <w:noProof/>
          <w:sz w:val="24"/>
        </w:rPr>
      </w:pPr>
    </w:p>
    <w:p w14:paraId="1DB33B3B" w14:textId="77777777" w:rsidR="00443399" w:rsidRPr="00B03B51" w:rsidRDefault="00443399" w:rsidP="00443399">
      <w:pPr>
        <w:jc w:val="both"/>
        <w:rPr>
          <w:rFonts w:ascii="Times New Roman" w:hAnsi="Times New Roman" w:cs="Times New Roman"/>
          <w:b/>
          <w:noProof/>
          <w:sz w:val="24"/>
        </w:rPr>
      </w:pPr>
      <w:r w:rsidRPr="00B03B51">
        <w:rPr>
          <w:rFonts w:ascii="Times New Roman" w:hAnsi="Times New Roman" w:cs="Times New Roman"/>
          <w:b/>
          <w:sz w:val="24"/>
        </w:rPr>
        <w:t>Kopīgas iezīmes</w:t>
      </w:r>
    </w:p>
    <w:p w14:paraId="7FF3F9C2" w14:textId="77777777" w:rsidR="00443399" w:rsidRPr="00B03B51" w:rsidRDefault="00443399" w:rsidP="00443399">
      <w:pPr>
        <w:jc w:val="both"/>
        <w:rPr>
          <w:rFonts w:ascii="Times New Roman" w:eastAsia="Arial" w:hAnsi="Times New Roman" w:cs="Times New Roman"/>
          <w:b/>
          <w:bCs/>
          <w:noProof/>
          <w:sz w:val="24"/>
        </w:rPr>
      </w:pPr>
    </w:p>
    <w:p w14:paraId="4DC17193" w14:textId="77777777" w:rsidR="00443399" w:rsidRPr="00B03B51" w:rsidRDefault="00443399" w:rsidP="00443399">
      <w:pPr>
        <w:jc w:val="both"/>
        <w:rPr>
          <w:rFonts w:ascii="Times New Roman" w:hAnsi="Times New Roman" w:cs="Times New Roman"/>
          <w:b/>
          <w:noProof/>
          <w:sz w:val="24"/>
        </w:rPr>
      </w:pPr>
      <w:r w:rsidRPr="00B03B51">
        <w:rPr>
          <w:rFonts w:ascii="Times New Roman" w:hAnsi="Times New Roman" w:cs="Times New Roman"/>
          <w:b/>
          <w:sz w:val="24"/>
        </w:rPr>
        <w:t>Gadījums A: parāda ierakstīšana</w:t>
      </w:r>
    </w:p>
    <w:p w14:paraId="112EF609" w14:textId="77777777" w:rsidR="00443399" w:rsidRPr="00B03B51" w:rsidRDefault="00443399" w:rsidP="00443399">
      <w:pPr>
        <w:pStyle w:val="BodyText"/>
        <w:spacing w:before="0"/>
        <w:ind w:left="0" w:firstLine="0"/>
        <w:jc w:val="both"/>
        <w:rPr>
          <w:rFonts w:ascii="Times New Roman" w:hAnsi="Times New Roman" w:cs="Times New Roman"/>
          <w:noProof/>
          <w:sz w:val="24"/>
        </w:rPr>
      </w:pPr>
    </w:p>
    <w:p w14:paraId="51A184BF" w14:textId="77777777" w:rsidR="00443399" w:rsidRPr="00B03B51" w:rsidRDefault="00443399" w:rsidP="00443399">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t>Aizdevumam 10 000 naudas vienību apmērā atlikušais ilgums ir 5 gadi, kad 1. gada sākumā tika pārskatīts tā grafiks. Sākotnējā procentu likme ir 6 %.</w:t>
      </w:r>
    </w:p>
    <w:p w14:paraId="3C6E662F" w14:textId="77777777" w:rsidR="00443399" w:rsidRPr="00B03B51" w:rsidRDefault="00443399" w:rsidP="00443399">
      <w:pPr>
        <w:pStyle w:val="BodyText"/>
        <w:spacing w:before="0"/>
        <w:ind w:left="0" w:firstLine="0"/>
        <w:jc w:val="both"/>
        <w:rPr>
          <w:rFonts w:ascii="Times New Roman" w:hAnsi="Times New Roman" w:cs="Times New Roman"/>
          <w:noProof/>
          <w:sz w:val="24"/>
        </w:rPr>
      </w:pPr>
    </w:p>
    <w:p w14:paraId="7252E7E5" w14:textId="77777777" w:rsidR="00443399" w:rsidRPr="00B03B51" w:rsidRDefault="00443399" w:rsidP="00443399">
      <w:pPr>
        <w:tabs>
          <w:tab w:val="left" w:pos="919"/>
        </w:tabs>
        <w:jc w:val="both"/>
        <w:rPr>
          <w:rFonts w:ascii="Times New Roman" w:hAnsi="Times New Roman" w:cs="Times New Roman"/>
          <w:b/>
          <w:noProof/>
          <w:sz w:val="24"/>
        </w:rPr>
      </w:pPr>
      <w:r w:rsidRPr="00B03B51">
        <w:rPr>
          <w:rFonts w:ascii="Times New Roman" w:hAnsi="Times New Roman" w:cs="Times New Roman"/>
          <w:b/>
          <w:sz w:val="24"/>
        </w:rPr>
        <w:t>1. Aizdevums ar beigu atmaksu</w:t>
      </w:r>
    </w:p>
    <w:p w14:paraId="71973FB0" w14:textId="77777777" w:rsidR="00443399" w:rsidRPr="00B03B51" w:rsidRDefault="00443399" w:rsidP="00443399">
      <w:pPr>
        <w:tabs>
          <w:tab w:val="left" w:pos="919"/>
        </w:tabs>
        <w:jc w:val="both"/>
        <w:rPr>
          <w:rFonts w:ascii="Times New Roman" w:hAnsi="Times New Roman" w:cs="Times New Roman"/>
          <w:b/>
          <w:noProof/>
          <w:sz w:val="24"/>
        </w:rPr>
      </w:pPr>
    </w:p>
    <w:tbl>
      <w:tblPr>
        <w:tblW w:w="5000" w:type="pct"/>
        <w:tblCellMar>
          <w:top w:w="28" w:type="dxa"/>
          <w:left w:w="28" w:type="dxa"/>
          <w:bottom w:w="28" w:type="dxa"/>
          <w:right w:w="28" w:type="dxa"/>
        </w:tblCellMar>
        <w:tblLook w:val="01E0" w:firstRow="1" w:lastRow="1" w:firstColumn="1" w:lastColumn="1" w:noHBand="0" w:noVBand="0"/>
      </w:tblPr>
      <w:tblGrid>
        <w:gridCol w:w="776"/>
        <w:gridCol w:w="2321"/>
        <w:gridCol w:w="1333"/>
        <w:gridCol w:w="1733"/>
        <w:gridCol w:w="2890"/>
      </w:tblGrid>
      <w:tr w:rsidR="00443399" w:rsidRPr="00B03B51" w14:paraId="77BB1F2E" w14:textId="77777777" w:rsidTr="004B0DA3">
        <w:tc>
          <w:tcPr>
            <w:tcW w:w="429" w:type="pct"/>
            <w:tcBorders>
              <w:top w:val="single" w:sz="7" w:space="0" w:color="000000"/>
              <w:left w:val="single" w:sz="7" w:space="0" w:color="000000"/>
              <w:bottom w:val="single" w:sz="7" w:space="0" w:color="000000"/>
              <w:right w:val="single" w:sz="7" w:space="0" w:color="000000"/>
            </w:tcBorders>
          </w:tcPr>
          <w:p w14:paraId="52733ABF"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Periods</w:t>
            </w:r>
          </w:p>
        </w:tc>
        <w:tc>
          <w:tcPr>
            <w:tcW w:w="1282" w:type="pct"/>
            <w:tcBorders>
              <w:top w:val="single" w:sz="7" w:space="0" w:color="000000"/>
              <w:left w:val="single" w:sz="7" w:space="0" w:color="000000"/>
              <w:bottom w:val="single" w:sz="7" w:space="0" w:color="000000"/>
              <w:right w:val="single" w:sz="7" w:space="0" w:color="000000"/>
            </w:tcBorders>
          </w:tcPr>
          <w:p w14:paraId="29A19C50"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Pamatsumma perioda sākumā</w:t>
            </w:r>
          </w:p>
        </w:tc>
        <w:tc>
          <w:tcPr>
            <w:tcW w:w="736" w:type="pct"/>
            <w:tcBorders>
              <w:top w:val="single" w:sz="7" w:space="0" w:color="000000"/>
              <w:left w:val="single" w:sz="7" w:space="0" w:color="000000"/>
              <w:bottom w:val="single" w:sz="7" w:space="0" w:color="000000"/>
              <w:right w:val="single" w:sz="7" w:space="0" w:color="000000"/>
            </w:tcBorders>
          </w:tcPr>
          <w:p w14:paraId="37F66442"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Perioda procenti</w:t>
            </w:r>
          </w:p>
        </w:tc>
        <w:tc>
          <w:tcPr>
            <w:tcW w:w="957" w:type="pct"/>
            <w:tcBorders>
              <w:top w:val="single" w:sz="7" w:space="0" w:color="000000"/>
              <w:left w:val="single" w:sz="7" w:space="0" w:color="000000"/>
              <w:bottom w:val="single" w:sz="7" w:space="0" w:color="000000"/>
              <w:right w:val="single" w:sz="7" w:space="0" w:color="000000"/>
            </w:tcBorders>
          </w:tcPr>
          <w:p w14:paraId="0270FE7D"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Perioda amortizācija</w:t>
            </w:r>
          </w:p>
        </w:tc>
        <w:tc>
          <w:tcPr>
            <w:tcW w:w="1596" w:type="pct"/>
            <w:tcBorders>
              <w:top w:val="single" w:sz="7" w:space="0" w:color="000000"/>
              <w:left w:val="single" w:sz="7" w:space="0" w:color="000000"/>
              <w:bottom w:val="single" w:sz="7" w:space="0" w:color="000000"/>
              <w:right w:val="single" w:sz="7" w:space="0" w:color="000000"/>
            </w:tcBorders>
          </w:tcPr>
          <w:p w14:paraId="43DFB1F7"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Gada maksa (kopējais gada maksājums)</w:t>
            </w:r>
          </w:p>
        </w:tc>
      </w:tr>
      <w:tr w:rsidR="00443399" w:rsidRPr="00B03B51" w14:paraId="7448BFE2" w14:textId="77777777" w:rsidTr="004B0DA3">
        <w:tc>
          <w:tcPr>
            <w:tcW w:w="429" w:type="pct"/>
            <w:tcBorders>
              <w:top w:val="single" w:sz="7" w:space="0" w:color="000000"/>
              <w:left w:val="single" w:sz="7" w:space="0" w:color="000000"/>
              <w:bottom w:val="single" w:sz="7" w:space="0" w:color="000000"/>
              <w:right w:val="single" w:sz="7" w:space="0" w:color="000000"/>
            </w:tcBorders>
          </w:tcPr>
          <w:p w14:paraId="60A81F5F"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1</w:t>
            </w:r>
          </w:p>
          <w:p w14:paraId="2CC85C80"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2</w:t>
            </w:r>
          </w:p>
          <w:p w14:paraId="1D915DF0"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3</w:t>
            </w:r>
          </w:p>
          <w:p w14:paraId="6CCD85F1"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4</w:t>
            </w:r>
          </w:p>
          <w:p w14:paraId="239872E0"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5</w:t>
            </w:r>
          </w:p>
        </w:tc>
        <w:tc>
          <w:tcPr>
            <w:tcW w:w="1282" w:type="pct"/>
            <w:tcBorders>
              <w:top w:val="single" w:sz="7" w:space="0" w:color="000000"/>
              <w:left w:val="single" w:sz="7" w:space="0" w:color="000000"/>
              <w:bottom w:val="single" w:sz="7" w:space="0" w:color="000000"/>
              <w:right w:val="single" w:sz="7" w:space="0" w:color="000000"/>
            </w:tcBorders>
          </w:tcPr>
          <w:p w14:paraId="2A7BCCD3"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10 000</w:t>
            </w:r>
          </w:p>
          <w:p w14:paraId="6A6D7F22"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10 000</w:t>
            </w:r>
          </w:p>
          <w:p w14:paraId="05B33C4F"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10 000</w:t>
            </w:r>
          </w:p>
          <w:p w14:paraId="481D46F7"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10 000</w:t>
            </w:r>
          </w:p>
          <w:p w14:paraId="26384846"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10 000</w:t>
            </w:r>
          </w:p>
        </w:tc>
        <w:tc>
          <w:tcPr>
            <w:tcW w:w="736" w:type="pct"/>
            <w:tcBorders>
              <w:top w:val="single" w:sz="7" w:space="0" w:color="000000"/>
              <w:left w:val="single" w:sz="7" w:space="0" w:color="000000"/>
              <w:bottom w:val="single" w:sz="7" w:space="0" w:color="000000"/>
              <w:right w:val="single" w:sz="7" w:space="0" w:color="000000"/>
            </w:tcBorders>
          </w:tcPr>
          <w:p w14:paraId="58397766"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600</w:t>
            </w:r>
          </w:p>
          <w:p w14:paraId="2FA67952"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600</w:t>
            </w:r>
          </w:p>
          <w:p w14:paraId="2088FC88"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600</w:t>
            </w:r>
          </w:p>
          <w:p w14:paraId="424CBAA8"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600</w:t>
            </w:r>
          </w:p>
          <w:p w14:paraId="14A1A34A"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600</w:t>
            </w:r>
          </w:p>
        </w:tc>
        <w:tc>
          <w:tcPr>
            <w:tcW w:w="957" w:type="pct"/>
            <w:tcBorders>
              <w:top w:val="single" w:sz="7" w:space="0" w:color="000000"/>
              <w:left w:val="single" w:sz="7" w:space="0" w:color="000000"/>
              <w:bottom w:val="single" w:sz="7" w:space="0" w:color="000000"/>
              <w:right w:val="single" w:sz="7" w:space="0" w:color="000000"/>
            </w:tcBorders>
          </w:tcPr>
          <w:p w14:paraId="180202B6"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0</w:t>
            </w:r>
          </w:p>
          <w:p w14:paraId="202EB5C5"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0</w:t>
            </w:r>
          </w:p>
          <w:p w14:paraId="3AFFFC24"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0</w:t>
            </w:r>
          </w:p>
          <w:p w14:paraId="0978C60D"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0</w:t>
            </w:r>
          </w:p>
          <w:p w14:paraId="79529372"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10 000</w:t>
            </w:r>
          </w:p>
        </w:tc>
        <w:tc>
          <w:tcPr>
            <w:tcW w:w="1596" w:type="pct"/>
            <w:tcBorders>
              <w:top w:val="single" w:sz="7" w:space="0" w:color="000000"/>
              <w:left w:val="single" w:sz="7" w:space="0" w:color="000000"/>
              <w:bottom w:val="single" w:sz="7" w:space="0" w:color="000000"/>
              <w:right w:val="single" w:sz="7" w:space="0" w:color="000000"/>
            </w:tcBorders>
          </w:tcPr>
          <w:p w14:paraId="6FEF7B7D"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600</w:t>
            </w:r>
          </w:p>
          <w:p w14:paraId="51616D02"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600</w:t>
            </w:r>
          </w:p>
          <w:p w14:paraId="219FD6A5"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600</w:t>
            </w:r>
          </w:p>
          <w:p w14:paraId="0BFA4785"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600</w:t>
            </w:r>
          </w:p>
          <w:p w14:paraId="1B96690C"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10 600</w:t>
            </w:r>
          </w:p>
        </w:tc>
      </w:tr>
      <w:tr w:rsidR="00443399" w:rsidRPr="00B03B51" w14:paraId="2B77A40E" w14:textId="77777777" w:rsidTr="004B0DA3">
        <w:tc>
          <w:tcPr>
            <w:tcW w:w="429" w:type="pct"/>
            <w:tcBorders>
              <w:top w:val="single" w:sz="7" w:space="0" w:color="000000"/>
              <w:left w:val="single" w:sz="7" w:space="0" w:color="000000"/>
              <w:bottom w:val="single" w:sz="7" w:space="0" w:color="000000"/>
              <w:right w:val="single" w:sz="7" w:space="0" w:color="000000"/>
            </w:tcBorders>
          </w:tcPr>
          <w:p w14:paraId="25F628BB"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Kopā</w:t>
            </w:r>
          </w:p>
        </w:tc>
        <w:tc>
          <w:tcPr>
            <w:tcW w:w="1282" w:type="pct"/>
            <w:tcBorders>
              <w:top w:val="single" w:sz="7" w:space="0" w:color="000000"/>
              <w:left w:val="single" w:sz="7" w:space="0" w:color="000000"/>
              <w:bottom w:val="single" w:sz="7" w:space="0" w:color="000000"/>
              <w:right w:val="single" w:sz="7" w:space="0" w:color="000000"/>
            </w:tcBorders>
          </w:tcPr>
          <w:p w14:paraId="6F854980" w14:textId="77777777" w:rsidR="00443399" w:rsidRPr="00B03B51" w:rsidRDefault="00443399" w:rsidP="0054365B">
            <w:pPr>
              <w:jc w:val="center"/>
              <w:rPr>
                <w:rFonts w:ascii="Times New Roman" w:hAnsi="Times New Roman" w:cs="Times New Roman"/>
                <w:noProof/>
                <w:sz w:val="24"/>
              </w:rPr>
            </w:pPr>
          </w:p>
        </w:tc>
        <w:tc>
          <w:tcPr>
            <w:tcW w:w="736" w:type="pct"/>
            <w:tcBorders>
              <w:top w:val="single" w:sz="7" w:space="0" w:color="000000"/>
              <w:left w:val="single" w:sz="7" w:space="0" w:color="000000"/>
              <w:bottom w:val="single" w:sz="7" w:space="0" w:color="000000"/>
              <w:right w:val="single" w:sz="7" w:space="0" w:color="000000"/>
            </w:tcBorders>
          </w:tcPr>
          <w:p w14:paraId="67619CD9"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3000</w:t>
            </w:r>
          </w:p>
        </w:tc>
        <w:tc>
          <w:tcPr>
            <w:tcW w:w="957" w:type="pct"/>
            <w:tcBorders>
              <w:top w:val="single" w:sz="7" w:space="0" w:color="000000"/>
              <w:left w:val="single" w:sz="7" w:space="0" w:color="000000"/>
              <w:bottom w:val="single" w:sz="7" w:space="0" w:color="000000"/>
              <w:right w:val="single" w:sz="7" w:space="0" w:color="000000"/>
            </w:tcBorders>
          </w:tcPr>
          <w:p w14:paraId="26CB19A9"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10 000</w:t>
            </w:r>
          </w:p>
        </w:tc>
        <w:tc>
          <w:tcPr>
            <w:tcW w:w="1596" w:type="pct"/>
            <w:tcBorders>
              <w:top w:val="single" w:sz="7" w:space="0" w:color="000000"/>
              <w:left w:val="single" w:sz="7" w:space="0" w:color="000000"/>
              <w:bottom w:val="single" w:sz="7" w:space="0" w:color="000000"/>
              <w:right w:val="single" w:sz="7" w:space="0" w:color="000000"/>
            </w:tcBorders>
          </w:tcPr>
          <w:p w14:paraId="58A4204A" w14:textId="77777777" w:rsidR="00443399" w:rsidRPr="00B03B51" w:rsidRDefault="00443399" w:rsidP="0054365B">
            <w:pPr>
              <w:pStyle w:val="TableParagraph"/>
              <w:ind w:left="523"/>
              <w:rPr>
                <w:rFonts w:ascii="Times New Roman" w:hAnsi="Times New Roman" w:cs="Times New Roman"/>
                <w:noProof/>
                <w:sz w:val="24"/>
              </w:rPr>
            </w:pPr>
            <w:r w:rsidRPr="00B03B51">
              <w:rPr>
                <w:rFonts w:ascii="Times New Roman" w:hAnsi="Times New Roman" w:cs="Times New Roman"/>
                <w:noProof/>
                <w:sz w:val="24"/>
              </w:rPr>
              <w:t>13 000</w:t>
            </w:r>
          </w:p>
        </w:tc>
      </w:tr>
    </w:tbl>
    <w:p w14:paraId="27DD7984" w14:textId="77777777" w:rsidR="00443399" w:rsidRPr="00B03B51" w:rsidRDefault="00443399" w:rsidP="00443399">
      <w:pPr>
        <w:jc w:val="both"/>
        <w:rPr>
          <w:rFonts w:ascii="Times New Roman" w:eastAsia="Arial" w:hAnsi="Times New Roman" w:cs="Times New Roman"/>
          <w:b/>
          <w:bCs/>
          <w:noProof/>
          <w:sz w:val="24"/>
          <w:szCs w:val="5"/>
        </w:rPr>
      </w:pPr>
    </w:p>
    <w:p w14:paraId="768B7AEA" w14:textId="77777777" w:rsidR="00443399" w:rsidRPr="00B03B51" w:rsidRDefault="00443399" w:rsidP="00443399">
      <w:pPr>
        <w:tabs>
          <w:tab w:val="left" w:pos="919"/>
        </w:tabs>
        <w:jc w:val="both"/>
        <w:rPr>
          <w:rFonts w:ascii="Times New Roman" w:hAnsi="Times New Roman" w:cs="Times New Roman"/>
          <w:b/>
          <w:noProof/>
          <w:sz w:val="24"/>
        </w:rPr>
      </w:pPr>
      <w:r w:rsidRPr="00B03B51">
        <w:rPr>
          <w:rFonts w:ascii="Times New Roman" w:hAnsi="Times New Roman" w:cs="Times New Roman"/>
          <w:b/>
          <w:sz w:val="24"/>
        </w:rPr>
        <w:t>2. Aizdevums ar nemainīgu amortizāciju</w:t>
      </w:r>
    </w:p>
    <w:p w14:paraId="5FF76B87" w14:textId="77777777" w:rsidR="00443399" w:rsidRPr="00B03B51" w:rsidRDefault="00443399" w:rsidP="00443399">
      <w:pPr>
        <w:tabs>
          <w:tab w:val="left" w:pos="919"/>
        </w:tabs>
        <w:jc w:val="both"/>
        <w:rPr>
          <w:rFonts w:ascii="Times New Roman" w:hAnsi="Times New Roman" w:cs="Times New Roman"/>
          <w:b/>
          <w:noProof/>
          <w:sz w:val="24"/>
        </w:rPr>
      </w:pPr>
    </w:p>
    <w:tbl>
      <w:tblPr>
        <w:tblW w:w="5000" w:type="pct"/>
        <w:tblCellMar>
          <w:top w:w="28" w:type="dxa"/>
          <w:left w:w="28" w:type="dxa"/>
          <w:bottom w:w="28" w:type="dxa"/>
          <w:right w:w="28" w:type="dxa"/>
        </w:tblCellMar>
        <w:tblLook w:val="01E0" w:firstRow="1" w:lastRow="1" w:firstColumn="1" w:lastColumn="1" w:noHBand="0" w:noVBand="0"/>
      </w:tblPr>
      <w:tblGrid>
        <w:gridCol w:w="1810"/>
        <w:gridCol w:w="1809"/>
        <w:gridCol w:w="1812"/>
        <w:gridCol w:w="1811"/>
        <w:gridCol w:w="1811"/>
      </w:tblGrid>
      <w:tr w:rsidR="00443399" w:rsidRPr="00B03B51" w14:paraId="0D716F8E" w14:textId="77777777" w:rsidTr="004B0DA3">
        <w:tc>
          <w:tcPr>
            <w:tcW w:w="1000" w:type="pct"/>
            <w:tcBorders>
              <w:top w:val="single" w:sz="7" w:space="0" w:color="000000"/>
              <w:left w:val="single" w:sz="7" w:space="0" w:color="000000"/>
              <w:bottom w:val="single" w:sz="7" w:space="0" w:color="000000"/>
              <w:right w:val="single" w:sz="7" w:space="0" w:color="000000"/>
            </w:tcBorders>
          </w:tcPr>
          <w:p w14:paraId="31E4F216"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Periods</w:t>
            </w:r>
          </w:p>
        </w:tc>
        <w:tc>
          <w:tcPr>
            <w:tcW w:w="999" w:type="pct"/>
            <w:tcBorders>
              <w:top w:val="single" w:sz="7" w:space="0" w:color="000000"/>
              <w:left w:val="single" w:sz="7" w:space="0" w:color="000000"/>
              <w:bottom w:val="single" w:sz="7" w:space="0" w:color="000000"/>
              <w:right w:val="single" w:sz="7" w:space="0" w:color="000000"/>
            </w:tcBorders>
          </w:tcPr>
          <w:p w14:paraId="3727F9E1"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Pamatsumma perioda sākumā</w:t>
            </w:r>
          </w:p>
        </w:tc>
        <w:tc>
          <w:tcPr>
            <w:tcW w:w="1001" w:type="pct"/>
            <w:tcBorders>
              <w:top w:val="single" w:sz="7" w:space="0" w:color="000000"/>
              <w:left w:val="single" w:sz="7" w:space="0" w:color="000000"/>
              <w:bottom w:val="single" w:sz="7" w:space="0" w:color="000000"/>
              <w:right w:val="single" w:sz="7" w:space="0" w:color="000000"/>
            </w:tcBorders>
          </w:tcPr>
          <w:p w14:paraId="13A9F5F2"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Perioda procenti</w:t>
            </w:r>
          </w:p>
        </w:tc>
        <w:tc>
          <w:tcPr>
            <w:tcW w:w="1000" w:type="pct"/>
            <w:tcBorders>
              <w:top w:val="single" w:sz="7" w:space="0" w:color="000000"/>
              <w:left w:val="single" w:sz="7" w:space="0" w:color="000000"/>
              <w:bottom w:val="single" w:sz="7" w:space="0" w:color="000000"/>
              <w:right w:val="single" w:sz="7" w:space="0" w:color="000000"/>
            </w:tcBorders>
          </w:tcPr>
          <w:p w14:paraId="7A4D0A25"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Perioda amortizācija</w:t>
            </w:r>
          </w:p>
        </w:tc>
        <w:tc>
          <w:tcPr>
            <w:tcW w:w="1000" w:type="pct"/>
            <w:tcBorders>
              <w:top w:val="single" w:sz="7" w:space="0" w:color="000000"/>
              <w:left w:val="single" w:sz="7" w:space="0" w:color="000000"/>
              <w:bottom w:val="single" w:sz="7" w:space="0" w:color="000000"/>
              <w:right w:val="single" w:sz="7" w:space="0" w:color="000000"/>
            </w:tcBorders>
          </w:tcPr>
          <w:p w14:paraId="788B2759"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Gada maksa (kopējais gada maksājums)</w:t>
            </w:r>
          </w:p>
        </w:tc>
      </w:tr>
      <w:tr w:rsidR="00443399" w:rsidRPr="00B03B51" w14:paraId="56BF38B8" w14:textId="77777777" w:rsidTr="004B0DA3">
        <w:tc>
          <w:tcPr>
            <w:tcW w:w="1000" w:type="pct"/>
            <w:tcBorders>
              <w:top w:val="single" w:sz="7" w:space="0" w:color="000000"/>
              <w:left w:val="single" w:sz="7" w:space="0" w:color="000000"/>
              <w:bottom w:val="single" w:sz="7" w:space="0" w:color="000000"/>
              <w:right w:val="single" w:sz="7" w:space="0" w:color="000000"/>
            </w:tcBorders>
          </w:tcPr>
          <w:p w14:paraId="53D1558E"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1</w:t>
            </w:r>
          </w:p>
          <w:p w14:paraId="20CC008E"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2</w:t>
            </w:r>
          </w:p>
          <w:p w14:paraId="4D3E0481"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3</w:t>
            </w:r>
          </w:p>
          <w:p w14:paraId="5F3F9630"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4</w:t>
            </w:r>
          </w:p>
          <w:p w14:paraId="25719AA9"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lastRenderedPageBreak/>
              <w:t>5</w:t>
            </w:r>
          </w:p>
        </w:tc>
        <w:tc>
          <w:tcPr>
            <w:tcW w:w="999" w:type="pct"/>
            <w:tcBorders>
              <w:top w:val="single" w:sz="7" w:space="0" w:color="000000"/>
              <w:left w:val="single" w:sz="7" w:space="0" w:color="000000"/>
              <w:bottom w:val="single" w:sz="7" w:space="0" w:color="000000"/>
              <w:right w:val="single" w:sz="7" w:space="0" w:color="000000"/>
            </w:tcBorders>
          </w:tcPr>
          <w:p w14:paraId="12471C77"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lastRenderedPageBreak/>
              <w:t>10 000</w:t>
            </w:r>
          </w:p>
          <w:p w14:paraId="4D1BB741"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8000</w:t>
            </w:r>
          </w:p>
          <w:p w14:paraId="3B521107"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6000</w:t>
            </w:r>
          </w:p>
          <w:p w14:paraId="56642045"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4000</w:t>
            </w:r>
          </w:p>
          <w:p w14:paraId="5A36D207"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lastRenderedPageBreak/>
              <w:t>2000</w:t>
            </w:r>
          </w:p>
        </w:tc>
        <w:tc>
          <w:tcPr>
            <w:tcW w:w="1001" w:type="pct"/>
            <w:tcBorders>
              <w:top w:val="single" w:sz="7" w:space="0" w:color="000000"/>
              <w:left w:val="single" w:sz="7" w:space="0" w:color="000000"/>
              <w:bottom w:val="single" w:sz="7" w:space="0" w:color="000000"/>
              <w:right w:val="single" w:sz="7" w:space="0" w:color="000000"/>
            </w:tcBorders>
          </w:tcPr>
          <w:p w14:paraId="04244404"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lastRenderedPageBreak/>
              <w:t>600</w:t>
            </w:r>
          </w:p>
          <w:p w14:paraId="7E520F63"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480</w:t>
            </w:r>
          </w:p>
          <w:p w14:paraId="2D25432D"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360</w:t>
            </w:r>
          </w:p>
          <w:p w14:paraId="098ED2B8"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240</w:t>
            </w:r>
          </w:p>
          <w:p w14:paraId="47368741"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lastRenderedPageBreak/>
              <w:t>120</w:t>
            </w:r>
          </w:p>
        </w:tc>
        <w:tc>
          <w:tcPr>
            <w:tcW w:w="1000" w:type="pct"/>
            <w:tcBorders>
              <w:top w:val="single" w:sz="7" w:space="0" w:color="000000"/>
              <w:left w:val="single" w:sz="7" w:space="0" w:color="000000"/>
              <w:bottom w:val="single" w:sz="7" w:space="0" w:color="000000"/>
              <w:right w:val="single" w:sz="7" w:space="0" w:color="000000"/>
            </w:tcBorders>
          </w:tcPr>
          <w:p w14:paraId="11EF9B1D"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lastRenderedPageBreak/>
              <w:t>2000</w:t>
            </w:r>
          </w:p>
          <w:p w14:paraId="301E5A7D"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2000</w:t>
            </w:r>
          </w:p>
          <w:p w14:paraId="178234AB"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2000</w:t>
            </w:r>
          </w:p>
          <w:p w14:paraId="792B53FE"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2000</w:t>
            </w:r>
          </w:p>
          <w:p w14:paraId="0E42293E"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lastRenderedPageBreak/>
              <w:t>2000</w:t>
            </w:r>
          </w:p>
        </w:tc>
        <w:tc>
          <w:tcPr>
            <w:tcW w:w="1000" w:type="pct"/>
            <w:tcBorders>
              <w:top w:val="single" w:sz="7" w:space="0" w:color="000000"/>
              <w:left w:val="single" w:sz="7" w:space="0" w:color="000000"/>
              <w:bottom w:val="single" w:sz="7" w:space="0" w:color="000000"/>
              <w:right w:val="single" w:sz="7" w:space="0" w:color="000000"/>
            </w:tcBorders>
          </w:tcPr>
          <w:p w14:paraId="1B34EDA4"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lastRenderedPageBreak/>
              <w:t>2600</w:t>
            </w:r>
          </w:p>
          <w:p w14:paraId="588D764E"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2480</w:t>
            </w:r>
          </w:p>
          <w:p w14:paraId="46008459"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2360</w:t>
            </w:r>
          </w:p>
          <w:p w14:paraId="1CE22765"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2240</w:t>
            </w:r>
          </w:p>
          <w:p w14:paraId="2B0E1819"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lastRenderedPageBreak/>
              <w:t>2120</w:t>
            </w:r>
          </w:p>
        </w:tc>
      </w:tr>
      <w:tr w:rsidR="00443399" w:rsidRPr="00B03B51" w14:paraId="04E7BBA9" w14:textId="77777777" w:rsidTr="004B0DA3">
        <w:tc>
          <w:tcPr>
            <w:tcW w:w="1000" w:type="pct"/>
            <w:tcBorders>
              <w:top w:val="single" w:sz="7" w:space="0" w:color="000000"/>
              <w:left w:val="single" w:sz="7" w:space="0" w:color="000000"/>
              <w:bottom w:val="single" w:sz="7" w:space="0" w:color="000000"/>
              <w:right w:val="single" w:sz="7" w:space="0" w:color="000000"/>
            </w:tcBorders>
          </w:tcPr>
          <w:p w14:paraId="00EFC92F"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lastRenderedPageBreak/>
              <w:t>Kopā</w:t>
            </w:r>
          </w:p>
        </w:tc>
        <w:tc>
          <w:tcPr>
            <w:tcW w:w="999" w:type="pct"/>
            <w:tcBorders>
              <w:top w:val="single" w:sz="7" w:space="0" w:color="000000"/>
              <w:left w:val="single" w:sz="7" w:space="0" w:color="000000"/>
              <w:bottom w:val="single" w:sz="7" w:space="0" w:color="000000"/>
              <w:right w:val="single" w:sz="7" w:space="0" w:color="000000"/>
            </w:tcBorders>
          </w:tcPr>
          <w:p w14:paraId="0A05B77D" w14:textId="77777777" w:rsidR="00443399" w:rsidRPr="00B03B51" w:rsidRDefault="00443399" w:rsidP="0054365B">
            <w:pPr>
              <w:jc w:val="center"/>
              <w:rPr>
                <w:rFonts w:ascii="Times New Roman" w:hAnsi="Times New Roman" w:cs="Times New Roman"/>
                <w:noProof/>
                <w:sz w:val="24"/>
              </w:rPr>
            </w:pPr>
          </w:p>
        </w:tc>
        <w:tc>
          <w:tcPr>
            <w:tcW w:w="1001" w:type="pct"/>
            <w:tcBorders>
              <w:top w:val="single" w:sz="7" w:space="0" w:color="000000"/>
              <w:left w:val="single" w:sz="7" w:space="0" w:color="000000"/>
              <w:bottom w:val="single" w:sz="7" w:space="0" w:color="000000"/>
              <w:right w:val="single" w:sz="7" w:space="0" w:color="000000"/>
            </w:tcBorders>
          </w:tcPr>
          <w:p w14:paraId="185CFEB8"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1800</w:t>
            </w:r>
          </w:p>
        </w:tc>
        <w:tc>
          <w:tcPr>
            <w:tcW w:w="1000" w:type="pct"/>
            <w:tcBorders>
              <w:top w:val="single" w:sz="7" w:space="0" w:color="000000"/>
              <w:left w:val="single" w:sz="7" w:space="0" w:color="000000"/>
              <w:bottom w:val="single" w:sz="7" w:space="0" w:color="000000"/>
              <w:right w:val="single" w:sz="7" w:space="0" w:color="000000"/>
            </w:tcBorders>
          </w:tcPr>
          <w:p w14:paraId="42A4A2B0"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noProof/>
                <w:sz w:val="24"/>
              </w:rPr>
              <w:t>10 000</w:t>
            </w:r>
          </w:p>
        </w:tc>
        <w:tc>
          <w:tcPr>
            <w:tcW w:w="1000" w:type="pct"/>
            <w:tcBorders>
              <w:top w:val="single" w:sz="7" w:space="0" w:color="000000"/>
              <w:left w:val="single" w:sz="7" w:space="0" w:color="000000"/>
              <w:bottom w:val="single" w:sz="7" w:space="0" w:color="000000"/>
              <w:right w:val="single" w:sz="7" w:space="0" w:color="000000"/>
            </w:tcBorders>
          </w:tcPr>
          <w:p w14:paraId="410200DB"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noProof/>
                <w:sz w:val="24"/>
              </w:rPr>
              <w:t>11 800</w:t>
            </w:r>
          </w:p>
        </w:tc>
      </w:tr>
    </w:tbl>
    <w:p w14:paraId="4916FDAA" w14:textId="77777777" w:rsidR="00443399" w:rsidRPr="00B03B51" w:rsidRDefault="00443399" w:rsidP="00443399">
      <w:pPr>
        <w:jc w:val="both"/>
        <w:rPr>
          <w:rFonts w:ascii="Times New Roman" w:eastAsia="Arial" w:hAnsi="Times New Roman" w:cs="Times New Roman"/>
          <w:noProof/>
          <w:sz w:val="24"/>
          <w:szCs w:val="19"/>
        </w:rPr>
      </w:pPr>
    </w:p>
    <w:p w14:paraId="120E303D" w14:textId="77777777" w:rsidR="00443399" w:rsidRPr="00B03B51" w:rsidRDefault="00443399" w:rsidP="00210375">
      <w:pPr>
        <w:tabs>
          <w:tab w:val="left" w:pos="919"/>
        </w:tabs>
        <w:jc w:val="both"/>
        <w:rPr>
          <w:rFonts w:ascii="Times New Roman" w:hAnsi="Times New Roman" w:cs="Times New Roman"/>
          <w:b/>
          <w:noProof/>
          <w:sz w:val="24"/>
        </w:rPr>
      </w:pPr>
      <w:r w:rsidRPr="00B03B51">
        <w:rPr>
          <w:rFonts w:ascii="Times New Roman" w:hAnsi="Times New Roman" w:cs="Times New Roman"/>
          <w:b/>
          <w:sz w:val="24"/>
        </w:rPr>
        <w:t>3. Aizdevums ar nemainīgu gada maksu</w:t>
      </w:r>
    </w:p>
    <w:p w14:paraId="455D4098" w14:textId="77777777" w:rsidR="00443399" w:rsidRPr="00B03B51" w:rsidRDefault="00443399" w:rsidP="00210375">
      <w:pPr>
        <w:tabs>
          <w:tab w:val="left" w:pos="919"/>
        </w:tabs>
        <w:jc w:val="both"/>
        <w:rPr>
          <w:rFonts w:ascii="Times New Roman" w:hAnsi="Times New Roman" w:cs="Times New Roman"/>
          <w:b/>
          <w:noProof/>
          <w:sz w:val="24"/>
        </w:rPr>
      </w:pPr>
    </w:p>
    <w:tbl>
      <w:tblPr>
        <w:tblW w:w="5000" w:type="pct"/>
        <w:tblCellMar>
          <w:top w:w="28" w:type="dxa"/>
          <w:left w:w="28" w:type="dxa"/>
          <w:bottom w:w="28" w:type="dxa"/>
          <w:right w:w="28" w:type="dxa"/>
        </w:tblCellMar>
        <w:tblLook w:val="01E0" w:firstRow="1" w:lastRow="1" w:firstColumn="1" w:lastColumn="1" w:noHBand="0" w:noVBand="0"/>
      </w:tblPr>
      <w:tblGrid>
        <w:gridCol w:w="1810"/>
        <w:gridCol w:w="1809"/>
        <w:gridCol w:w="1812"/>
        <w:gridCol w:w="1811"/>
        <w:gridCol w:w="1811"/>
      </w:tblGrid>
      <w:tr w:rsidR="00443399" w:rsidRPr="00B03B51" w14:paraId="2633E8A5" w14:textId="77777777" w:rsidTr="004B0DA3">
        <w:tc>
          <w:tcPr>
            <w:tcW w:w="1000" w:type="pct"/>
            <w:tcBorders>
              <w:top w:val="single" w:sz="7" w:space="0" w:color="000000"/>
              <w:left w:val="single" w:sz="7" w:space="0" w:color="000000"/>
              <w:bottom w:val="single" w:sz="7" w:space="0" w:color="000000"/>
              <w:right w:val="single" w:sz="7" w:space="0" w:color="000000"/>
            </w:tcBorders>
          </w:tcPr>
          <w:p w14:paraId="2583D60C" w14:textId="77777777" w:rsidR="00443399" w:rsidRPr="00B03B51" w:rsidRDefault="00443399" w:rsidP="0054365B">
            <w:pPr>
              <w:pStyle w:val="TableParagraph"/>
              <w:keepNext/>
              <w:jc w:val="center"/>
              <w:rPr>
                <w:rFonts w:ascii="Times New Roman" w:hAnsi="Times New Roman" w:cs="Times New Roman"/>
                <w:noProof/>
                <w:sz w:val="24"/>
              </w:rPr>
            </w:pPr>
            <w:r w:rsidRPr="00B03B51">
              <w:rPr>
                <w:rFonts w:ascii="Times New Roman" w:hAnsi="Times New Roman" w:cs="Times New Roman"/>
                <w:sz w:val="24"/>
              </w:rPr>
              <w:t>Periods</w:t>
            </w:r>
          </w:p>
        </w:tc>
        <w:tc>
          <w:tcPr>
            <w:tcW w:w="999" w:type="pct"/>
            <w:tcBorders>
              <w:top w:val="single" w:sz="7" w:space="0" w:color="000000"/>
              <w:left w:val="single" w:sz="7" w:space="0" w:color="000000"/>
              <w:bottom w:val="single" w:sz="7" w:space="0" w:color="000000"/>
              <w:right w:val="single" w:sz="7" w:space="0" w:color="000000"/>
            </w:tcBorders>
          </w:tcPr>
          <w:p w14:paraId="4DB74122" w14:textId="77777777" w:rsidR="00443399" w:rsidRPr="00B03B51" w:rsidRDefault="00443399" w:rsidP="0054365B">
            <w:pPr>
              <w:pStyle w:val="TableParagraph"/>
              <w:keepNext/>
              <w:jc w:val="center"/>
              <w:rPr>
                <w:rFonts w:ascii="Times New Roman" w:hAnsi="Times New Roman" w:cs="Times New Roman"/>
                <w:noProof/>
                <w:sz w:val="24"/>
              </w:rPr>
            </w:pPr>
            <w:r w:rsidRPr="00B03B51">
              <w:rPr>
                <w:rFonts w:ascii="Times New Roman" w:hAnsi="Times New Roman" w:cs="Times New Roman"/>
                <w:sz w:val="24"/>
              </w:rPr>
              <w:t>Pamatsumma perioda sākumā</w:t>
            </w:r>
          </w:p>
        </w:tc>
        <w:tc>
          <w:tcPr>
            <w:tcW w:w="1001" w:type="pct"/>
            <w:tcBorders>
              <w:top w:val="single" w:sz="7" w:space="0" w:color="000000"/>
              <w:left w:val="single" w:sz="7" w:space="0" w:color="000000"/>
              <w:bottom w:val="single" w:sz="7" w:space="0" w:color="000000"/>
              <w:right w:val="single" w:sz="7" w:space="0" w:color="000000"/>
            </w:tcBorders>
          </w:tcPr>
          <w:p w14:paraId="0A4A86BA" w14:textId="77777777" w:rsidR="00443399" w:rsidRPr="00B03B51" w:rsidRDefault="00443399" w:rsidP="0054365B">
            <w:pPr>
              <w:pStyle w:val="TableParagraph"/>
              <w:keepNext/>
              <w:jc w:val="center"/>
              <w:rPr>
                <w:rFonts w:ascii="Times New Roman" w:hAnsi="Times New Roman" w:cs="Times New Roman"/>
                <w:noProof/>
                <w:sz w:val="24"/>
              </w:rPr>
            </w:pPr>
            <w:r w:rsidRPr="00B03B51">
              <w:rPr>
                <w:rFonts w:ascii="Times New Roman" w:hAnsi="Times New Roman" w:cs="Times New Roman"/>
                <w:sz w:val="24"/>
              </w:rPr>
              <w:t>Perioda procenti</w:t>
            </w:r>
          </w:p>
        </w:tc>
        <w:tc>
          <w:tcPr>
            <w:tcW w:w="1000" w:type="pct"/>
            <w:tcBorders>
              <w:top w:val="single" w:sz="7" w:space="0" w:color="000000"/>
              <w:left w:val="single" w:sz="7" w:space="0" w:color="000000"/>
              <w:bottom w:val="single" w:sz="7" w:space="0" w:color="000000"/>
              <w:right w:val="single" w:sz="7" w:space="0" w:color="000000"/>
            </w:tcBorders>
          </w:tcPr>
          <w:p w14:paraId="681F4B16" w14:textId="77777777" w:rsidR="00443399" w:rsidRPr="00B03B51" w:rsidRDefault="00443399" w:rsidP="0054365B">
            <w:pPr>
              <w:pStyle w:val="TableParagraph"/>
              <w:keepNext/>
              <w:jc w:val="center"/>
              <w:rPr>
                <w:rFonts w:ascii="Times New Roman" w:hAnsi="Times New Roman" w:cs="Times New Roman"/>
                <w:noProof/>
                <w:sz w:val="24"/>
              </w:rPr>
            </w:pPr>
            <w:r w:rsidRPr="00B03B51">
              <w:rPr>
                <w:rFonts w:ascii="Times New Roman" w:hAnsi="Times New Roman" w:cs="Times New Roman"/>
                <w:sz w:val="24"/>
              </w:rPr>
              <w:t>Perioda amortizācija</w:t>
            </w:r>
          </w:p>
        </w:tc>
        <w:tc>
          <w:tcPr>
            <w:tcW w:w="1000" w:type="pct"/>
            <w:tcBorders>
              <w:top w:val="single" w:sz="7" w:space="0" w:color="000000"/>
              <w:left w:val="single" w:sz="7" w:space="0" w:color="000000"/>
              <w:bottom w:val="single" w:sz="7" w:space="0" w:color="000000"/>
              <w:right w:val="single" w:sz="7" w:space="0" w:color="000000"/>
            </w:tcBorders>
          </w:tcPr>
          <w:p w14:paraId="139069B4" w14:textId="77777777" w:rsidR="00443399" w:rsidRPr="00B03B51" w:rsidRDefault="00443399" w:rsidP="0054365B">
            <w:pPr>
              <w:pStyle w:val="TableParagraph"/>
              <w:keepNext/>
              <w:jc w:val="center"/>
              <w:rPr>
                <w:rFonts w:ascii="Times New Roman" w:hAnsi="Times New Roman" w:cs="Times New Roman"/>
                <w:noProof/>
                <w:sz w:val="24"/>
              </w:rPr>
            </w:pPr>
            <w:r w:rsidRPr="00B03B51">
              <w:rPr>
                <w:rFonts w:ascii="Times New Roman" w:hAnsi="Times New Roman" w:cs="Times New Roman"/>
                <w:sz w:val="24"/>
              </w:rPr>
              <w:t>Gada maksa (kopējais gada maksājums)</w:t>
            </w:r>
          </w:p>
        </w:tc>
      </w:tr>
      <w:tr w:rsidR="00443399" w:rsidRPr="00B03B51" w14:paraId="27B1005A" w14:textId="77777777" w:rsidTr="004B0DA3">
        <w:tc>
          <w:tcPr>
            <w:tcW w:w="1000" w:type="pct"/>
            <w:tcBorders>
              <w:top w:val="single" w:sz="7" w:space="0" w:color="000000"/>
              <w:left w:val="single" w:sz="7" w:space="0" w:color="000000"/>
              <w:bottom w:val="single" w:sz="7" w:space="0" w:color="000000"/>
              <w:right w:val="single" w:sz="7" w:space="0" w:color="000000"/>
            </w:tcBorders>
          </w:tcPr>
          <w:p w14:paraId="3070DC02" w14:textId="77777777" w:rsidR="00443399" w:rsidRPr="00B03B51" w:rsidRDefault="00443399" w:rsidP="0054365B">
            <w:pPr>
              <w:pStyle w:val="TableParagraph"/>
              <w:keepNext/>
              <w:jc w:val="center"/>
              <w:rPr>
                <w:rFonts w:ascii="Times New Roman" w:hAnsi="Times New Roman" w:cs="Times New Roman"/>
                <w:noProof/>
                <w:sz w:val="24"/>
              </w:rPr>
            </w:pPr>
            <w:r w:rsidRPr="00B03B51">
              <w:rPr>
                <w:rFonts w:ascii="Times New Roman" w:hAnsi="Times New Roman" w:cs="Times New Roman"/>
                <w:sz w:val="24"/>
              </w:rPr>
              <w:t>1</w:t>
            </w:r>
          </w:p>
          <w:p w14:paraId="74B4F8F0" w14:textId="77777777" w:rsidR="00443399" w:rsidRPr="00B03B51" w:rsidRDefault="00443399" w:rsidP="0054365B">
            <w:pPr>
              <w:pStyle w:val="TableParagraph"/>
              <w:keepNext/>
              <w:jc w:val="center"/>
              <w:rPr>
                <w:rFonts w:ascii="Times New Roman" w:hAnsi="Times New Roman" w:cs="Times New Roman"/>
                <w:noProof/>
                <w:sz w:val="24"/>
              </w:rPr>
            </w:pPr>
            <w:r w:rsidRPr="00B03B51">
              <w:rPr>
                <w:rFonts w:ascii="Times New Roman" w:hAnsi="Times New Roman" w:cs="Times New Roman"/>
                <w:sz w:val="24"/>
              </w:rPr>
              <w:t>2</w:t>
            </w:r>
          </w:p>
          <w:p w14:paraId="5DBF0293" w14:textId="77777777" w:rsidR="00443399" w:rsidRPr="00B03B51" w:rsidRDefault="00443399" w:rsidP="0054365B">
            <w:pPr>
              <w:pStyle w:val="TableParagraph"/>
              <w:keepNext/>
              <w:jc w:val="center"/>
              <w:rPr>
                <w:rFonts w:ascii="Times New Roman" w:hAnsi="Times New Roman" w:cs="Times New Roman"/>
                <w:noProof/>
                <w:sz w:val="24"/>
              </w:rPr>
            </w:pPr>
            <w:r w:rsidRPr="00B03B51">
              <w:rPr>
                <w:rFonts w:ascii="Times New Roman" w:hAnsi="Times New Roman" w:cs="Times New Roman"/>
                <w:sz w:val="24"/>
              </w:rPr>
              <w:t>3</w:t>
            </w:r>
          </w:p>
          <w:p w14:paraId="03D2B71E" w14:textId="77777777" w:rsidR="00443399" w:rsidRPr="00B03B51" w:rsidRDefault="00443399" w:rsidP="0054365B">
            <w:pPr>
              <w:pStyle w:val="TableParagraph"/>
              <w:keepNext/>
              <w:jc w:val="center"/>
              <w:rPr>
                <w:rFonts w:ascii="Times New Roman" w:hAnsi="Times New Roman" w:cs="Times New Roman"/>
                <w:noProof/>
                <w:sz w:val="24"/>
              </w:rPr>
            </w:pPr>
            <w:r w:rsidRPr="00B03B51">
              <w:rPr>
                <w:rFonts w:ascii="Times New Roman" w:hAnsi="Times New Roman" w:cs="Times New Roman"/>
                <w:sz w:val="24"/>
              </w:rPr>
              <w:t>4</w:t>
            </w:r>
          </w:p>
          <w:p w14:paraId="45C7BB16" w14:textId="77777777" w:rsidR="00443399" w:rsidRPr="00B03B51" w:rsidRDefault="00443399" w:rsidP="0054365B">
            <w:pPr>
              <w:pStyle w:val="TableParagraph"/>
              <w:keepNext/>
              <w:jc w:val="center"/>
              <w:rPr>
                <w:rFonts w:ascii="Times New Roman" w:hAnsi="Times New Roman" w:cs="Times New Roman"/>
                <w:noProof/>
                <w:sz w:val="24"/>
              </w:rPr>
            </w:pPr>
            <w:r w:rsidRPr="00B03B51">
              <w:rPr>
                <w:rFonts w:ascii="Times New Roman" w:hAnsi="Times New Roman" w:cs="Times New Roman"/>
                <w:sz w:val="24"/>
              </w:rPr>
              <w:t>5</w:t>
            </w:r>
          </w:p>
        </w:tc>
        <w:tc>
          <w:tcPr>
            <w:tcW w:w="999" w:type="pct"/>
            <w:tcBorders>
              <w:top w:val="single" w:sz="7" w:space="0" w:color="000000"/>
              <w:left w:val="single" w:sz="7" w:space="0" w:color="000000"/>
              <w:bottom w:val="single" w:sz="7" w:space="0" w:color="000000"/>
              <w:right w:val="single" w:sz="7" w:space="0" w:color="000000"/>
            </w:tcBorders>
          </w:tcPr>
          <w:p w14:paraId="1A6115E2" w14:textId="77777777" w:rsidR="00443399" w:rsidRPr="00B03B51" w:rsidRDefault="00443399" w:rsidP="0054365B">
            <w:pPr>
              <w:pStyle w:val="TableParagraph"/>
              <w:keepNext/>
              <w:jc w:val="center"/>
              <w:rPr>
                <w:rFonts w:ascii="Times New Roman" w:hAnsi="Times New Roman" w:cs="Times New Roman"/>
                <w:noProof/>
                <w:sz w:val="24"/>
              </w:rPr>
            </w:pPr>
            <w:r w:rsidRPr="00B03B51">
              <w:rPr>
                <w:rFonts w:ascii="Times New Roman" w:hAnsi="Times New Roman" w:cs="Times New Roman"/>
                <w:sz w:val="24"/>
              </w:rPr>
              <w:t>10 000</w:t>
            </w:r>
          </w:p>
          <w:p w14:paraId="19913F3E" w14:textId="77777777" w:rsidR="00443399" w:rsidRPr="00B03B51" w:rsidRDefault="00443399" w:rsidP="0054365B">
            <w:pPr>
              <w:pStyle w:val="TableParagraph"/>
              <w:keepNext/>
              <w:jc w:val="center"/>
              <w:rPr>
                <w:rFonts w:ascii="Times New Roman" w:hAnsi="Times New Roman" w:cs="Times New Roman"/>
                <w:noProof/>
                <w:sz w:val="24"/>
              </w:rPr>
            </w:pPr>
            <w:r w:rsidRPr="00B03B51">
              <w:rPr>
                <w:rFonts w:ascii="Times New Roman" w:hAnsi="Times New Roman" w:cs="Times New Roman"/>
                <w:sz w:val="24"/>
              </w:rPr>
              <w:t>8226</w:t>
            </w:r>
          </w:p>
          <w:p w14:paraId="7433F394" w14:textId="77777777" w:rsidR="00443399" w:rsidRPr="00B03B51" w:rsidRDefault="00443399" w:rsidP="0054365B">
            <w:pPr>
              <w:pStyle w:val="TableParagraph"/>
              <w:keepNext/>
              <w:jc w:val="center"/>
              <w:rPr>
                <w:rFonts w:ascii="Times New Roman" w:hAnsi="Times New Roman" w:cs="Times New Roman"/>
                <w:noProof/>
                <w:sz w:val="24"/>
              </w:rPr>
            </w:pPr>
            <w:r w:rsidRPr="00B03B51">
              <w:rPr>
                <w:rFonts w:ascii="Times New Roman" w:hAnsi="Times New Roman" w:cs="Times New Roman"/>
                <w:sz w:val="24"/>
              </w:rPr>
              <w:t>6346</w:t>
            </w:r>
          </w:p>
          <w:p w14:paraId="08146E9A" w14:textId="77777777" w:rsidR="00443399" w:rsidRPr="00B03B51" w:rsidRDefault="00443399" w:rsidP="0054365B">
            <w:pPr>
              <w:pStyle w:val="TableParagraph"/>
              <w:keepNext/>
              <w:jc w:val="center"/>
              <w:rPr>
                <w:rFonts w:ascii="Times New Roman" w:hAnsi="Times New Roman" w:cs="Times New Roman"/>
                <w:noProof/>
                <w:sz w:val="24"/>
              </w:rPr>
            </w:pPr>
            <w:r w:rsidRPr="00B03B51">
              <w:rPr>
                <w:rFonts w:ascii="Times New Roman" w:hAnsi="Times New Roman" w:cs="Times New Roman"/>
                <w:sz w:val="24"/>
              </w:rPr>
              <w:t>4353</w:t>
            </w:r>
          </w:p>
          <w:p w14:paraId="12E3CAE9" w14:textId="77777777" w:rsidR="00443399" w:rsidRPr="00B03B51" w:rsidRDefault="00443399" w:rsidP="0054365B">
            <w:pPr>
              <w:pStyle w:val="TableParagraph"/>
              <w:keepNext/>
              <w:jc w:val="center"/>
              <w:rPr>
                <w:rFonts w:ascii="Times New Roman" w:hAnsi="Times New Roman" w:cs="Times New Roman"/>
                <w:noProof/>
                <w:sz w:val="24"/>
              </w:rPr>
            </w:pPr>
            <w:r w:rsidRPr="00B03B51">
              <w:rPr>
                <w:rFonts w:ascii="Times New Roman" w:hAnsi="Times New Roman" w:cs="Times New Roman"/>
                <w:sz w:val="24"/>
              </w:rPr>
              <w:t>2240</w:t>
            </w:r>
          </w:p>
        </w:tc>
        <w:tc>
          <w:tcPr>
            <w:tcW w:w="1001" w:type="pct"/>
            <w:tcBorders>
              <w:top w:val="single" w:sz="7" w:space="0" w:color="000000"/>
              <w:left w:val="single" w:sz="7" w:space="0" w:color="000000"/>
              <w:bottom w:val="single" w:sz="7" w:space="0" w:color="000000"/>
              <w:right w:val="single" w:sz="7" w:space="0" w:color="000000"/>
            </w:tcBorders>
          </w:tcPr>
          <w:p w14:paraId="47EC12A1" w14:textId="77777777" w:rsidR="00443399" w:rsidRPr="00B03B51" w:rsidRDefault="00443399" w:rsidP="0054365B">
            <w:pPr>
              <w:pStyle w:val="TableParagraph"/>
              <w:keepNext/>
              <w:jc w:val="center"/>
              <w:rPr>
                <w:rFonts w:ascii="Times New Roman" w:hAnsi="Times New Roman" w:cs="Times New Roman"/>
                <w:noProof/>
                <w:sz w:val="24"/>
              </w:rPr>
            </w:pPr>
            <w:r w:rsidRPr="00B03B51">
              <w:rPr>
                <w:rFonts w:ascii="Times New Roman" w:hAnsi="Times New Roman" w:cs="Times New Roman"/>
                <w:sz w:val="24"/>
              </w:rPr>
              <w:t>600</w:t>
            </w:r>
          </w:p>
          <w:p w14:paraId="469376FD" w14:textId="77777777" w:rsidR="00443399" w:rsidRPr="00B03B51" w:rsidRDefault="00443399" w:rsidP="0054365B">
            <w:pPr>
              <w:pStyle w:val="TableParagraph"/>
              <w:keepNext/>
              <w:jc w:val="center"/>
              <w:rPr>
                <w:rFonts w:ascii="Times New Roman" w:hAnsi="Times New Roman" w:cs="Times New Roman"/>
                <w:noProof/>
                <w:sz w:val="24"/>
              </w:rPr>
            </w:pPr>
            <w:r w:rsidRPr="00B03B51">
              <w:rPr>
                <w:rFonts w:ascii="Times New Roman" w:hAnsi="Times New Roman" w:cs="Times New Roman"/>
                <w:sz w:val="24"/>
              </w:rPr>
              <w:t>494</w:t>
            </w:r>
          </w:p>
          <w:p w14:paraId="2248B336" w14:textId="77777777" w:rsidR="00443399" w:rsidRPr="00B03B51" w:rsidRDefault="00443399" w:rsidP="0054365B">
            <w:pPr>
              <w:pStyle w:val="TableParagraph"/>
              <w:keepNext/>
              <w:jc w:val="center"/>
              <w:rPr>
                <w:rFonts w:ascii="Times New Roman" w:hAnsi="Times New Roman" w:cs="Times New Roman"/>
                <w:noProof/>
                <w:sz w:val="24"/>
              </w:rPr>
            </w:pPr>
            <w:r w:rsidRPr="00B03B51">
              <w:rPr>
                <w:rFonts w:ascii="Times New Roman" w:hAnsi="Times New Roman" w:cs="Times New Roman"/>
                <w:sz w:val="24"/>
              </w:rPr>
              <w:t>381</w:t>
            </w:r>
          </w:p>
          <w:p w14:paraId="5A0FD64A" w14:textId="77777777" w:rsidR="00443399" w:rsidRPr="00B03B51" w:rsidRDefault="00443399" w:rsidP="0054365B">
            <w:pPr>
              <w:pStyle w:val="TableParagraph"/>
              <w:keepNext/>
              <w:jc w:val="center"/>
              <w:rPr>
                <w:rFonts w:ascii="Times New Roman" w:hAnsi="Times New Roman" w:cs="Times New Roman"/>
                <w:noProof/>
                <w:sz w:val="24"/>
              </w:rPr>
            </w:pPr>
            <w:r w:rsidRPr="00B03B51">
              <w:rPr>
                <w:rFonts w:ascii="Times New Roman" w:hAnsi="Times New Roman" w:cs="Times New Roman"/>
                <w:sz w:val="24"/>
              </w:rPr>
              <w:t>261</w:t>
            </w:r>
          </w:p>
          <w:p w14:paraId="2C9CAD26" w14:textId="77777777" w:rsidR="00443399" w:rsidRPr="00B03B51" w:rsidRDefault="00443399" w:rsidP="0054365B">
            <w:pPr>
              <w:pStyle w:val="TableParagraph"/>
              <w:keepNext/>
              <w:jc w:val="center"/>
              <w:rPr>
                <w:rFonts w:ascii="Times New Roman" w:hAnsi="Times New Roman" w:cs="Times New Roman"/>
                <w:noProof/>
                <w:sz w:val="24"/>
              </w:rPr>
            </w:pPr>
            <w:r w:rsidRPr="00B03B51">
              <w:rPr>
                <w:rFonts w:ascii="Times New Roman" w:hAnsi="Times New Roman" w:cs="Times New Roman"/>
                <w:sz w:val="24"/>
              </w:rPr>
              <w:t>134</w:t>
            </w:r>
          </w:p>
        </w:tc>
        <w:tc>
          <w:tcPr>
            <w:tcW w:w="1000" w:type="pct"/>
            <w:tcBorders>
              <w:top w:val="single" w:sz="7" w:space="0" w:color="000000"/>
              <w:left w:val="single" w:sz="7" w:space="0" w:color="000000"/>
              <w:bottom w:val="single" w:sz="7" w:space="0" w:color="000000"/>
              <w:right w:val="single" w:sz="7" w:space="0" w:color="000000"/>
            </w:tcBorders>
          </w:tcPr>
          <w:p w14:paraId="11AB6399" w14:textId="77777777" w:rsidR="00443399" w:rsidRPr="00B03B51" w:rsidRDefault="00443399" w:rsidP="0054365B">
            <w:pPr>
              <w:pStyle w:val="TableParagraph"/>
              <w:keepNext/>
              <w:jc w:val="center"/>
              <w:rPr>
                <w:rFonts w:ascii="Times New Roman" w:hAnsi="Times New Roman" w:cs="Times New Roman"/>
                <w:noProof/>
                <w:sz w:val="24"/>
              </w:rPr>
            </w:pPr>
            <w:r w:rsidRPr="00B03B51">
              <w:rPr>
                <w:rFonts w:ascii="Times New Roman" w:hAnsi="Times New Roman" w:cs="Times New Roman"/>
                <w:sz w:val="24"/>
              </w:rPr>
              <w:t>1774</w:t>
            </w:r>
          </w:p>
          <w:p w14:paraId="7718A16C" w14:textId="77777777" w:rsidR="00443399" w:rsidRPr="00B03B51" w:rsidRDefault="00443399" w:rsidP="0054365B">
            <w:pPr>
              <w:pStyle w:val="TableParagraph"/>
              <w:keepNext/>
              <w:jc w:val="center"/>
              <w:rPr>
                <w:rFonts w:ascii="Times New Roman" w:hAnsi="Times New Roman" w:cs="Times New Roman"/>
                <w:noProof/>
                <w:sz w:val="24"/>
              </w:rPr>
            </w:pPr>
            <w:r w:rsidRPr="00B03B51">
              <w:rPr>
                <w:rFonts w:ascii="Times New Roman" w:hAnsi="Times New Roman" w:cs="Times New Roman"/>
                <w:sz w:val="24"/>
              </w:rPr>
              <w:t>1880</w:t>
            </w:r>
          </w:p>
          <w:p w14:paraId="06F598F6" w14:textId="77777777" w:rsidR="00443399" w:rsidRPr="00B03B51" w:rsidRDefault="00443399" w:rsidP="0054365B">
            <w:pPr>
              <w:pStyle w:val="TableParagraph"/>
              <w:keepNext/>
              <w:jc w:val="center"/>
              <w:rPr>
                <w:rFonts w:ascii="Times New Roman" w:hAnsi="Times New Roman" w:cs="Times New Roman"/>
                <w:noProof/>
                <w:sz w:val="24"/>
              </w:rPr>
            </w:pPr>
            <w:r w:rsidRPr="00B03B51">
              <w:rPr>
                <w:rFonts w:ascii="Times New Roman" w:hAnsi="Times New Roman" w:cs="Times New Roman"/>
                <w:sz w:val="24"/>
              </w:rPr>
              <w:t>1993</w:t>
            </w:r>
          </w:p>
          <w:p w14:paraId="16F9B810" w14:textId="77777777" w:rsidR="00443399" w:rsidRPr="00B03B51" w:rsidRDefault="00443399" w:rsidP="0054365B">
            <w:pPr>
              <w:pStyle w:val="TableParagraph"/>
              <w:keepNext/>
              <w:jc w:val="center"/>
              <w:rPr>
                <w:rFonts w:ascii="Times New Roman" w:hAnsi="Times New Roman" w:cs="Times New Roman"/>
                <w:noProof/>
                <w:sz w:val="24"/>
              </w:rPr>
            </w:pPr>
            <w:r w:rsidRPr="00B03B51">
              <w:rPr>
                <w:rFonts w:ascii="Times New Roman" w:hAnsi="Times New Roman" w:cs="Times New Roman"/>
                <w:sz w:val="24"/>
              </w:rPr>
              <w:t>2113</w:t>
            </w:r>
          </w:p>
          <w:p w14:paraId="0516F51D" w14:textId="77777777" w:rsidR="00443399" w:rsidRPr="00B03B51" w:rsidRDefault="00443399" w:rsidP="0054365B">
            <w:pPr>
              <w:pStyle w:val="TableParagraph"/>
              <w:keepNext/>
              <w:jc w:val="center"/>
              <w:rPr>
                <w:rFonts w:ascii="Times New Roman" w:hAnsi="Times New Roman" w:cs="Times New Roman"/>
                <w:noProof/>
                <w:sz w:val="24"/>
              </w:rPr>
            </w:pPr>
            <w:r w:rsidRPr="00B03B51">
              <w:rPr>
                <w:rFonts w:ascii="Times New Roman" w:hAnsi="Times New Roman" w:cs="Times New Roman"/>
                <w:sz w:val="24"/>
              </w:rPr>
              <w:t>2240</w:t>
            </w:r>
          </w:p>
        </w:tc>
        <w:tc>
          <w:tcPr>
            <w:tcW w:w="1000" w:type="pct"/>
            <w:tcBorders>
              <w:top w:val="single" w:sz="7" w:space="0" w:color="000000"/>
              <w:left w:val="single" w:sz="7" w:space="0" w:color="000000"/>
              <w:bottom w:val="single" w:sz="7" w:space="0" w:color="000000"/>
              <w:right w:val="single" w:sz="7" w:space="0" w:color="000000"/>
            </w:tcBorders>
          </w:tcPr>
          <w:p w14:paraId="5CC60EF5" w14:textId="77777777" w:rsidR="00443399" w:rsidRPr="00B03B51" w:rsidRDefault="00443399" w:rsidP="0054365B">
            <w:pPr>
              <w:pStyle w:val="TableParagraph"/>
              <w:keepNext/>
              <w:jc w:val="center"/>
              <w:rPr>
                <w:rFonts w:ascii="Times New Roman" w:hAnsi="Times New Roman" w:cs="Times New Roman"/>
                <w:noProof/>
                <w:sz w:val="24"/>
              </w:rPr>
            </w:pPr>
            <w:r w:rsidRPr="00B03B51">
              <w:rPr>
                <w:rFonts w:ascii="Times New Roman" w:hAnsi="Times New Roman" w:cs="Times New Roman"/>
                <w:sz w:val="24"/>
              </w:rPr>
              <w:t>2374</w:t>
            </w:r>
          </w:p>
          <w:p w14:paraId="3538BA66" w14:textId="77777777" w:rsidR="00443399" w:rsidRPr="00B03B51" w:rsidRDefault="00443399" w:rsidP="0054365B">
            <w:pPr>
              <w:pStyle w:val="TableParagraph"/>
              <w:keepNext/>
              <w:jc w:val="center"/>
              <w:rPr>
                <w:rFonts w:ascii="Times New Roman" w:hAnsi="Times New Roman" w:cs="Times New Roman"/>
                <w:noProof/>
                <w:sz w:val="24"/>
              </w:rPr>
            </w:pPr>
            <w:r w:rsidRPr="00B03B51">
              <w:rPr>
                <w:rFonts w:ascii="Times New Roman" w:hAnsi="Times New Roman" w:cs="Times New Roman"/>
                <w:sz w:val="24"/>
              </w:rPr>
              <w:t>2374</w:t>
            </w:r>
          </w:p>
          <w:p w14:paraId="5C53BC63" w14:textId="77777777" w:rsidR="00443399" w:rsidRPr="00B03B51" w:rsidRDefault="00443399" w:rsidP="0054365B">
            <w:pPr>
              <w:pStyle w:val="TableParagraph"/>
              <w:keepNext/>
              <w:jc w:val="center"/>
              <w:rPr>
                <w:rFonts w:ascii="Times New Roman" w:hAnsi="Times New Roman" w:cs="Times New Roman"/>
                <w:noProof/>
                <w:sz w:val="24"/>
              </w:rPr>
            </w:pPr>
            <w:r w:rsidRPr="00B03B51">
              <w:rPr>
                <w:rFonts w:ascii="Times New Roman" w:hAnsi="Times New Roman" w:cs="Times New Roman"/>
                <w:sz w:val="24"/>
              </w:rPr>
              <w:t>2374</w:t>
            </w:r>
          </w:p>
          <w:p w14:paraId="136EF9EF" w14:textId="77777777" w:rsidR="00443399" w:rsidRPr="00B03B51" w:rsidRDefault="00443399" w:rsidP="0054365B">
            <w:pPr>
              <w:pStyle w:val="TableParagraph"/>
              <w:keepNext/>
              <w:jc w:val="center"/>
              <w:rPr>
                <w:rFonts w:ascii="Times New Roman" w:hAnsi="Times New Roman" w:cs="Times New Roman"/>
                <w:noProof/>
                <w:sz w:val="24"/>
              </w:rPr>
            </w:pPr>
            <w:r w:rsidRPr="00B03B51">
              <w:rPr>
                <w:rFonts w:ascii="Times New Roman" w:hAnsi="Times New Roman" w:cs="Times New Roman"/>
                <w:sz w:val="24"/>
              </w:rPr>
              <w:t>2374</w:t>
            </w:r>
          </w:p>
          <w:p w14:paraId="237702BE" w14:textId="77777777" w:rsidR="00443399" w:rsidRPr="00B03B51" w:rsidRDefault="00443399" w:rsidP="0054365B">
            <w:pPr>
              <w:pStyle w:val="TableParagraph"/>
              <w:keepNext/>
              <w:jc w:val="center"/>
              <w:rPr>
                <w:rFonts w:ascii="Times New Roman" w:hAnsi="Times New Roman" w:cs="Times New Roman"/>
                <w:noProof/>
                <w:sz w:val="24"/>
              </w:rPr>
            </w:pPr>
            <w:r w:rsidRPr="00B03B51">
              <w:rPr>
                <w:rFonts w:ascii="Times New Roman" w:hAnsi="Times New Roman" w:cs="Times New Roman"/>
                <w:sz w:val="24"/>
              </w:rPr>
              <w:t>2374</w:t>
            </w:r>
          </w:p>
        </w:tc>
      </w:tr>
      <w:tr w:rsidR="00443399" w:rsidRPr="00B03B51" w14:paraId="66D88008" w14:textId="77777777" w:rsidTr="004B0DA3">
        <w:tc>
          <w:tcPr>
            <w:tcW w:w="1000" w:type="pct"/>
            <w:tcBorders>
              <w:top w:val="single" w:sz="7" w:space="0" w:color="000000"/>
              <w:left w:val="single" w:sz="7" w:space="0" w:color="000000"/>
              <w:bottom w:val="single" w:sz="7" w:space="0" w:color="000000"/>
              <w:right w:val="single" w:sz="7" w:space="0" w:color="000000"/>
            </w:tcBorders>
          </w:tcPr>
          <w:p w14:paraId="4C67418E"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Kopā</w:t>
            </w:r>
          </w:p>
        </w:tc>
        <w:tc>
          <w:tcPr>
            <w:tcW w:w="999" w:type="pct"/>
            <w:tcBorders>
              <w:top w:val="single" w:sz="7" w:space="0" w:color="000000"/>
              <w:left w:val="single" w:sz="7" w:space="0" w:color="000000"/>
              <w:bottom w:val="single" w:sz="7" w:space="0" w:color="000000"/>
              <w:right w:val="single" w:sz="7" w:space="0" w:color="000000"/>
            </w:tcBorders>
          </w:tcPr>
          <w:p w14:paraId="304ABBA7" w14:textId="77777777" w:rsidR="00443399" w:rsidRPr="00B03B51" w:rsidRDefault="00443399" w:rsidP="0054365B">
            <w:pPr>
              <w:jc w:val="center"/>
              <w:rPr>
                <w:rFonts w:ascii="Times New Roman" w:hAnsi="Times New Roman" w:cs="Times New Roman"/>
                <w:noProof/>
                <w:sz w:val="24"/>
              </w:rPr>
            </w:pPr>
          </w:p>
        </w:tc>
        <w:tc>
          <w:tcPr>
            <w:tcW w:w="1001" w:type="pct"/>
            <w:tcBorders>
              <w:top w:val="single" w:sz="7" w:space="0" w:color="000000"/>
              <w:left w:val="single" w:sz="7" w:space="0" w:color="000000"/>
              <w:bottom w:val="single" w:sz="7" w:space="0" w:color="000000"/>
              <w:right w:val="single" w:sz="7" w:space="0" w:color="000000"/>
            </w:tcBorders>
          </w:tcPr>
          <w:p w14:paraId="3E0DD20E"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1870</w:t>
            </w:r>
          </w:p>
        </w:tc>
        <w:tc>
          <w:tcPr>
            <w:tcW w:w="1000" w:type="pct"/>
            <w:tcBorders>
              <w:top w:val="single" w:sz="7" w:space="0" w:color="000000"/>
              <w:left w:val="single" w:sz="7" w:space="0" w:color="000000"/>
              <w:bottom w:val="single" w:sz="7" w:space="0" w:color="000000"/>
              <w:right w:val="single" w:sz="7" w:space="0" w:color="000000"/>
            </w:tcBorders>
          </w:tcPr>
          <w:p w14:paraId="33403B81"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10 000</w:t>
            </w:r>
          </w:p>
        </w:tc>
        <w:tc>
          <w:tcPr>
            <w:tcW w:w="1000" w:type="pct"/>
            <w:tcBorders>
              <w:top w:val="single" w:sz="7" w:space="0" w:color="000000"/>
              <w:left w:val="single" w:sz="7" w:space="0" w:color="000000"/>
              <w:bottom w:val="single" w:sz="7" w:space="0" w:color="000000"/>
              <w:right w:val="single" w:sz="7" w:space="0" w:color="000000"/>
            </w:tcBorders>
          </w:tcPr>
          <w:p w14:paraId="4237843A"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11 870</w:t>
            </w:r>
          </w:p>
        </w:tc>
      </w:tr>
    </w:tbl>
    <w:p w14:paraId="1AB4A061" w14:textId="77777777" w:rsidR="00443399" w:rsidRPr="00B03B51" w:rsidRDefault="00443399" w:rsidP="00443399">
      <w:pPr>
        <w:jc w:val="both"/>
        <w:rPr>
          <w:rFonts w:ascii="Times New Roman" w:eastAsia="Arial" w:hAnsi="Times New Roman" w:cs="Times New Roman"/>
          <w:b/>
          <w:bCs/>
          <w:noProof/>
          <w:sz w:val="24"/>
          <w:szCs w:val="14"/>
        </w:rPr>
      </w:pPr>
    </w:p>
    <w:p w14:paraId="1E796B2D" w14:textId="77777777" w:rsidR="00443399" w:rsidRPr="00B03B51" w:rsidRDefault="00443399" w:rsidP="00443399">
      <w:pPr>
        <w:jc w:val="both"/>
        <w:rPr>
          <w:rFonts w:ascii="Times New Roman" w:hAnsi="Times New Roman" w:cs="Times New Roman"/>
          <w:b/>
          <w:noProof/>
          <w:sz w:val="24"/>
        </w:rPr>
      </w:pPr>
      <w:r w:rsidRPr="00B03B51">
        <w:rPr>
          <w:rFonts w:ascii="Times New Roman" w:hAnsi="Times New Roman" w:cs="Times New Roman"/>
          <w:b/>
          <w:sz w:val="24"/>
        </w:rPr>
        <w:t>Grafika pārskatīšanas skaitlisks piemērs – gadījums B1 – maksājuma termiņš ir pagarināts</w:t>
      </w:r>
    </w:p>
    <w:p w14:paraId="33117132" w14:textId="77777777" w:rsidR="00443399" w:rsidRPr="00B03B51" w:rsidRDefault="00443399" w:rsidP="00443399">
      <w:pPr>
        <w:pStyle w:val="BodyText"/>
        <w:spacing w:before="0"/>
        <w:ind w:left="0" w:firstLine="0"/>
        <w:jc w:val="both"/>
        <w:rPr>
          <w:rFonts w:ascii="Times New Roman" w:hAnsi="Times New Roman" w:cs="Times New Roman"/>
          <w:noProof/>
          <w:sz w:val="24"/>
        </w:rPr>
      </w:pPr>
    </w:p>
    <w:p w14:paraId="3F304875" w14:textId="77777777" w:rsidR="00443399" w:rsidRPr="00B03B51" w:rsidRDefault="00443399" w:rsidP="00443399">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t>Aizdevuma termiņš ir pagarināts, tādējādi atmaksas laiks tagad ir 8 gadi; procentu likme nav mainījusies.</w:t>
      </w:r>
    </w:p>
    <w:p w14:paraId="3A587A4F" w14:textId="77777777" w:rsidR="00443399" w:rsidRPr="00B03B51" w:rsidRDefault="00443399" w:rsidP="00443399">
      <w:pPr>
        <w:tabs>
          <w:tab w:val="left" w:pos="919"/>
        </w:tabs>
        <w:jc w:val="both"/>
        <w:rPr>
          <w:rFonts w:ascii="Times New Roman" w:hAnsi="Times New Roman" w:cs="Times New Roman"/>
          <w:b/>
          <w:noProof/>
          <w:sz w:val="24"/>
        </w:rPr>
      </w:pPr>
    </w:p>
    <w:p w14:paraId="6F58FF50" w14:textId="77777777" w:rsidR="00443399" w:rsidRPr="00B03B51" w:rsidRDefault="00443399" w:rsidP="00443399">
      <w:pPr>
        <w:tabs>
          <w:tab w:val="left" w:pos="919"/>
        </w:tabs>
        <w:jc w:val="both"/>
        <w:rPr>
          <w:rFonts w:ascii="Times New Roman" w:hAnsi="Times New Roman" w:cs="Times New Roman"/>
          <w:b/>
          <w:noProof/>
          <w:sz w:val="24"/>
        </w:rPr>
      </w:pPr>
      <w:r w:rsidRPr="00B03B51">
        <w:rPr>
          <w:rFonts w:ascii="Times New Roman" w:hAnsi="Times New Roman" w:cs="Times New Roman"/>
          <w:b/>
          <w:sz w:val="24"/>
        </w:rPr>
        <w:t>1. Aizdevums ar beigu atmaksu</w:t>
      </w:r>
    </w:p>
    <w:p w14:paraId="44479F5E" w14:textId="77777777" w:rsidR="00443399" w:rsidRPr="00B03B51" w:rsidRDefault="00443399" w:rsidP="00443399">
      <w:pPr>
        <w:tabs>
          <w:tab w:val="left" w:pos="919"/>
        </w:tabs>
        <w:jc w:val="both"/>
        <w:rPr>
          <w:rFonts w:ascii="Times New Roman" w:hAnsi="Times New Roman" w:cs="Times New Roman"/>
          <w:b/>
          <w:noProof/>
          <w:sz w:val="24"/>
        </w:rPr>
      </w:pPr>
    </w:p>
    <w:tbl>
      <w:tblPr>
        <w:tblW w:w="5000" w:type="pct"/>
        <w:tblCellMar>
          <w:top w:w="28" w:type="dxa"/>
          <w:left w:w="28" w:type="dxa"/>
          <w:bottom w:w="28" w:type="dxa"/>
          <w:right w:w="28" w:type="dxa"/>
        </w:tblCellMar>
        <w:tblLook w:val="01E0" w:firstRow="1" w:lastRow="1" w:firstColumn="1" w:lastColumn="1" w:noHBand="0" w:noVBand="0"/>
      </w:tblPr>
      <w:tblGrid>
        <w:gridCol w:w="777"/>
        <w:gridCol w:w="2325"/>
        <w:gridCol w:w="1334"/>
        <w:gridCol w:w="1735"/>
        <w:gridCol w:w="2882"/>
      </w:tblGrid>
      <w:tr w:rsidR="00443399" w:rsidRPr="00B03B51" w14:paraId="7FCA3003" w14:textId="77777777" w:rsidTr="004B0DA3">
        <w:tc>
          <w:tcPr>
            <w:tcW w:w="429" w:type="pct"/>
            <w:tcBorders>
              <w:top w:val="single" w:sz="7" w:space="0" w:color="000000"/>
              <w:left w:val="single" w:sz="7" w:space="0" w:color="000000"/>
              <w:bottom w:val="single" w:sz="7" w:space="0" w:color="000000"/>
              <w:right w:val="single" w:sz="12" w:space="0" w:color="000000"/>
            </w:tcBorders>
          </w:tcPr>
          <w:p w14:paraId="0AB9A401"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Periods</w:t>
            </w:r>
          </w:p>
        </w:tc>
        <w:tc>
          <w:tcPr>
            <w:tcW w:w="1284" w:type="pct"/>
            <w:tcBorders>
              <w:top w:val="single" w:sz="7" w:space="0" w:color="000000"/>
              <w:left w:val="single" w:sz="12" w:space="0" w:color="000000"/>
              <w:bottom w:val="single" w:sz="7" w:space="0" w:color="000000"/>
              <w:right w:val="single" w:sz="7" w:space="0" w:color="000000"/>
            </w:tcBorders>
          </w:tcPr>
          <w:p w14:paraId="0ED57F73"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Pamatsumma perioda sākumā</w:t>
            </w:r>
          </w:p>
        </w:tc>
        <w:tc>
          <w:tcPr>
            <w:tcW w:w="737" w:type="pct"/>
            <w:tcBorders>
              <w:top w:val="single" w:sz="7" w:space="0" w:color="000000"/>
              <w:left w:val="single" w:sz="7" w:space="0" w:color="000000"/>
              <w:bottom w:val="single" w:sz="7" w:space="0" w:color="000000"/>
              <w:right w:val="single" w:sz="7" w:space="0" w:color="000000"/>
            </w:tcBorders>
          </w:tcPr>
          <w:p w14:paraId="2F872463"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Perioda procenti</w:t>
            </w:r>
          </w:p>
        </w:tc>
        <w:tc>
          <w:tcPr>
            <w:tcW w:w="958" w:type="pct"/>
            <w:tcBorders>
              <w:top w:val="single" w:sz="7" w:space="0" w:color="000000"/>
              <w:left w:val="single" w:sz="7" w:space="0" w:color="000000"/>
              <w:bottom w:val="single" w:sz="7" w:space="0" w:color="000000"/>
              <w:right w:val="single" w:sz="7" w:space="0" w:color="000000"/>
            </w:tcBorders>
          </w:tcPr>
          <w:p w14:paraId="6E8BB9FC"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Perioda amortizācija</w:t>
            </w:r>
          </w:p>
        </w:tc>
        <w:tc>
          <w:tcPr>
            <w:tcW w:w="1593" w:type="pct"/>
            <w:tcBorders>
              <w:top w:val="single" w:sz="7" w:space="0" w:color="000000"/>
              <w:left w:val="single" w:sz="7" w:space="0" w:color="000000"/>
              <w:bottom w:val="single" w:sz="7" w:space="0" w:color="000000"/>
              <w:right w:val="single" w:sz="7" w:space="0" w:color="000000"/>
            </w:tcBorders>
          </w:tcPr>
          <w:p w14:paraId="016AF874"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Gada maksa (kopējais gada maksājums)</w:t>
            </w:r>
          </w:p>
        </w:tc>
      </w:tr>
      <w:tr w:rsidR="00443399" w:rsidRPr="00B03B51" w14:paraId="543C6C15" w14:textId="77777777" w:rsidTr="004B0DA3">
        <w:tc>
          <w:tcPr>
            <w:tcW w:w="429" w:type="pct"/>
            <w:tcBorders>
              <w:top w:val="single" w:sz="7" w:space="0" w:color="000000"/>
              <w:left w:val="single" w:sz="7" w:space="0" w:color="000000"/>
              <w:bottom w:val="single" w:sz="7" w:space="0" w:color="000000"/>
              <w:right w:val="single" w:sz="12" w:space="0" w:color="000000"/>
            </w:tcBorders>
          </w:tcPr>
          <w:p w14:paraId="0AA0D3F0"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1</w:t>
            </w:r>
          </w:p>
          <w:p w14:paraId="56EF4BF8"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2</w:t>
            </w:r>
          </w:p>
          <w:p w14:paraId="35424242"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3</w:t>
            </w:r>
          </w:p>
          <w:p w14:paraId="49F4BDA9"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4</w:t>
            </w:r>
          </w:p>
          <w:p w14:paraId="4D1CD482"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5</w:t>
            </w:r>
          </w:p>
          <w:p w14:paraId="66117071"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6</w:t>
            </w:r>
          </w:p>
          <w:p w14:paraId="46138A7F"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7</w:t>
            </w:r>
          </w:p>
          <w:p w14:paraId="76B5161B"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8</w:t>
            </w:r>
          </w:p>
        </w:tc>
        <w:tc>
          <w:tcPr>
            <w:tcW w:w="1284" w:type="pct"/>
            <w:tcBorders>
              <w:top w:val="single" w:sz="7" w:space="0" w:color="000000"/>
              <w:left w:val="single" w:sz="12" w:space="0" w:color="000000"/>
              <w:bottom w:val="single" w:sz="7" w:space="0" w:color="000000"/>
              <w:right w:val="single" w:sz="7" w:space="0" w:color="000000"/>
            </w:tcBorders>
          </w:tcPr>
          <w:p w14:paraId="1C1E0033"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10 000</w:t>
            </w:r>
          </w:p>
          <w:p w14:paraId="45FA57B4"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10 000</w:t>
            </w:r>
          </w:p>
          <w:p w14:paraId="3003708E"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10 000</w:t>
            </w:r>
          </w:p>
          <w:p w14:paraId="0F01BB1A"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10 000</w:t>
            </w:r>
          </w:p>
          <w:p w14:paraId="50737ACF"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10 000</w:t>
            </w:r>
          </w:p>
          <w:p w14:paraId="793B3109"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10 000</w:t>
            </w:r>
          </w:p>
          <w:p w14:paraId="6ED51E4D"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10 000</w:t>
            </w:r>
          </w:p>
          <w:p w14:paraId="00F86FE1"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10 000</w:t>
            </w:r>
          </w:p>
        </w:tc>
        <w:tc>
          <w:tcPr>
            <w:tcW w:w="737" w:type="pct"/>
            <w:tcBorders>
              <w:top w:val="single" w:sz="7" w:space="0" w:color="000000"/>
              <w:left w:val="single" w:sz="7" w:space="0" w:color="000000"/>
              <w:bottom w:val="single" w:sz="7" w:space="0" w:color="000000"/>
              <w:right w:val="single" w:sz="7" w:space="0" w:color="000000"/>
            </w:tcBorders>
          </w:tcPr>
          <w:p w14:paraId="55E8C09C"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600</w:t>
            </w:r>
          </w:p>
          <w:p w14:paraId="5D321183"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600</w:t>
            </w:r>
          </w:p>
          <w:p w14:paraId="64D6C905"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600</w:t>
            </w:r>
          </w:p>
          <w:p w14:paraId="1EEABD61"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600</w:t>
            </w:r>
          </w:p>
          <w:p w14:paraId="2E6FEFAE"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600</w:t>
            </w:r>
          </w:p>
          <w:p w14:paraId="174ABDF4"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600</w:t>
            </w:r>
          </w:p>
          <w:p w14:paraId="29660804"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600</w:t>
            </w:r>
          </w:p>
          <w:p w14:paraId="4A4E5B24"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600</w:t>
            </w:r>
          </w:p>
        </w:tc>
        <w:tc>
          <w:tcPr>
            <w:tcW w:w="958" w:type="pct"/>
            <w:tcBorders>
              <w:top w:val="single" w:sz="7" w:space="0" w:color="000000"/>
              <w:left w:val="single" w:sz="7" w:space="0" w:color="000000"/>
              <w:bottom w:val="single" w:sz="7" w:space="0" w:color="000000"/>
              <w:right w:val="single" w:sz="7" w:space="0" w:color="000000"/>
            </w:tcBorders>
          </w:tcPr>
          <w:p w14:paraId="3B0B5E2D"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0</w:t>
            </w:r>
          </w:p>
          <w:p w14:paraId="3E28C5FB"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0</w:t>
            </w:r>
          </w:p>
          <w:p w14:paraId="3D3FFBA9"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0</w:t>
            </w:r>
          </w:p>
          <w:p w14:paraId="5AA65530"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0</w:t>
            </w:r>
          </w:p>
          <w:p w14:paraId="3A1F07A0"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0</w:t>
            </w:r>
          </w:p>
          <w:p w14:paraId="53746243"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0</w:t>
            </w:r>
          </w:p>
          <w:p w14:paraId="32EA75B7"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0</w:t>
            </w:r>
          </w:p>
          <w:p w14:paraId="67B2AAFF"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10 000</w:t>
            </w:r>
          </w:p>
        </w:tc>
        <w:tc>
          <w:tcPr>
            <w:tcW w:w="1593" w:type="pct"/>
            <w:tcBorders>
              <w:top w:val="single" w:sz="7" w:space="0" w:color="000000"/>
              <w:left w:val="single" w:sz="7" w:space="0" w:color="000000"/>
              <w:bottom w:val="single" w:sz="7" w:space="0" w:color="000000"/>
              <w:right w:val="single" w:sz="7" w:space="0" w:color="000000"/>
            </w:tcBorders>
          </w:tcPr>
          <w:p w14:paraId="4C56D758"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600</w:t>
            </w:r>
          </w:p>
          <w:p w14:paraId="3A903B96"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600</w:t>
            </w:r>
          </w:p>
          <w:p w14:paraId="4A4AC38E"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600</w:t>
            </w:r>
          </w:p>
          <w:p w14:paraId="313D052A"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600</w:t>
            </w:r>
          </w:p>
          <w:p w14:paraId="0CFBE94A"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600</w:t>
            </w:r>
          </w:p>
          <w:p w14:paraId="373164DF"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600</w:t>
            </w:r>
          </w:p>
          <w:p w14:paraId="7CF78032"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600</w:t>
            </w:r>
          </w:p>
          <w:p w14:paraId="3DFDFF6A"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10 600</w:t>
            </w:r>
          </w:p>
        </w:tc>
      </w:tr>
      <w:tr w:rsidR="00443399" w:rsidRPr="00B03B51" w14:paraId="24354232" w14:textId="77777777" w:rsidTr="004B0DA3">
        <w:tc>
          <w:tcPr>
            <w:tcW w:w="429" w:type="pct"/>
            <w:tcBorders>
              <w:top w:val="single" w:sz="7" w:space="0" w:color="000000"/>
              <w:left w:val="single" w:sz="7" w:space="0" w:color="000000"/>
              <w:bottom w:val="single" w:sz="7" w:space="0" w:color="000000"/>
              <w:right w:val="single" w:sz="7" w:space="0" w:color="000000"/>
            </w:tcBorders>
          </w:tcPr>
          <w:p w14:paraId="2D0B5505"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Kopā</w:t>
            </w:r>
          </w:p>
        </w:tc>
        <w:tc>
          <w:tcPr>
            <w:tcW w:w="1284" w:type="pct"/>
            <w:tcBorders>
              <w:top w:val="single" w:sz="7" w:space="0" w:color="000000"/>
              <w:left w:val="single" w:sz="7" w:space="0" w:color="000000"/>
              <w:bottom w:val="single" w:sz="7" w:space="0" w:color="000000"/>
              <w:right w:val="single" w:sz="7" w:space="0" w:color="000000"/>
            </w:tcBorders>
          </w:tcPr>
          <w:p w14:paraId="26C9702B" w14:textId="77777777" w:rsidR="00443399" w:rsidRPr="00B03B51" w:rsidRDefault="00443399" w:rsidP="0054365B">
            <w:pPr>
              <w:jc w:val="center"/>
              <w:rPr>
                <w:rFonts w:ascii="Times New Roman" w:hAnsi="Times New Roman" w:cs="Times New Roman"/>
                <w:noProof/>
                <w:sz w:val="24"/>
              </w:rPr>
            </w:pPr>
          </w:p>
        </w:tc>
        <w:tc>
          <w:tcPr>
            <w:tcW w:w="737" w:type="pct"/>
            <w:tcBorders>
              <w:top w:val="single" w:sz="7" w:space="0" w:color="000000"/>
              <w:left w:val="single" w:sz="7" w:space="0" w:color="000000"/>
              <w:bottom w:val="single" w:sz="7" w:space="0" w:color="000000"/>
              <w:right w:val="single" w:sz="7" w:space="0" w:color="000000"/>
            </w:tcBorders>
          </w:tcPr>
          <w:p w14:paraId="18E0E2D0"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4800</w:t>
            </w:r>
          </w:p>
        </w:tc>
        <w:tc>
          <w:tcPr>
            <w:tcW w:w="958" w:type="pct"/>
            <w:tcBorders>
              <w:top w:val="single" w:sz="7" w:space="0" w:color="000000"/>
              <w:left w:val="single" w:sz="7" w:space="0" w:color="000000"/>
              <w:bottom w:val="single" w:sz="7" w:space="0" w:color="000000"/>
              <w:right w:val="single" w:sz="7" w:space="0" w:color="000000"/>
            </w:tcBorders>
          </w:tcPr>
          <w:p w14:paraId="0669FA17"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noProof/>
                <w:sz w:val="24"/>
              </w:rPr>
              <w:t>10 000</w:t>
            </w:r>
          </w:p>
        </w:tc>
        <w:tc>
          <w:tcPr>
            <w:tcW w:w="1593" w:type="pct"/>
            <w:tcBorders>
              <w:top w:val="single" w:sz="7" w:space="0" w:color="000000"/>
              <w:left w:val="single" w:sz="7" w:space="0" w:color="000000"/>
              <w:bottom w:val="single" w:sz="7" w:space="0" w:color="000000"/>
              <w:right w:val="single" w:sz="7" w:space="0" w:color="000000"/>
            </w:tcBorders>
          </w:tcPr>
          <w:p w14:paraId="2AAC047F"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noProof/>
                <w:sz w:val="24"/>
              </w:rPr>
              <w:t>14 800</w:t>
            </w:r>
          </w:p>
        </w:tc>
      </w:tr>
    </w:tbl>
    <w:p w14:paraId="2A394BA3" w14:textId="77777777" w:rsidR="00443399" w:rsidRPr="00B03B51" w:rsidRDefault="00443399" w:rsidP="00443399">
      <w:pPr>
        <w:jc w:val="both"/>
        <w:rPr>
          <w:rFonts w:ascii="Times New Roman" w:eastAsia="Arial" w:hAnsi="Times New Roman" w:cs="Times New Roman"/>
          <w:b/>
          <w:bCs/>
          <w:noProof/>
          <w:sz w:val="24"/>
          <w:szCs w:val="5"/>
        </w:rPr>
      </w:pPr>
    </w:p>
    <w:p w14:paraId="73176D06" w14:textId="77777777" w:rsidR="00443399" w:rsidRPr="00B03B51" w:rsidRDefault="00443399" w:rsidP="00443399">
      <w:pPr>
        <w:tabs>
          <w:tab w:val="left" w:pos="919"/>
        </w:tabs>
        <w:jc w:val="both"/>
        <w:rPr>
          <w:rFonts w:ascii="Times New Roman" w:hAnsi="Times New Roman" w:cs="Times New Roman"/>
          <w:b/>
          <w:noProof/>
          <w:sz w:val="24"/>
        </w:rPr>
      </w:pPr>
      <w:r w:rsidRPr="00B03B51">
        <w:rPr>
          <w:rFonts w:ascii="Times New Roman" w:hAnsi="Times New Roman" w:cs="Times New Roman"/>
          <w:b/>
          <w:sz w:val="24"/>
        </w:rPr>
        <w:t>2. Aizdevums ar nemainīgu amortizāciju</w:t>
      </w:r>
    </w:p>
    <w:p w14:paraId="64BE83F3" w14:textId="77777777" w:rsidR="00443399" w:rsidRPr="00B03B51" w:rsidRDefault="00443399" w:rsidP="00443399">
      <w:pPr>
        <w:tabs>
          <w:tab w:val="left" w:pos="919"/>
        </w:tabs>
        <w:jc w:val="both"/>
        <w:rPr>
          <w:rFonts w:ascii="Times New Roman" w:hAnsi="Times New Roman" w:cs="Times New Roman"/>
          <w:b/>
          <w:noProof/>
          <w:sz w:val="24"/>
        </w:rPr>
      </w:pPr>
    </w:p>
    <w:tbl>
      <w:tblPr>
        <w:tblW w:w="5000" w:type="pct"/>
        <w:tblCellMar>
          <w:top w:w="28" w:type="dxa"/>
          <w:left w:w="28" w:type="dxa"/>
          <w:bottom w:w="28" w:type="dxa"/>
          <w:right w:w="28" w:type="dxa"/>
        </w:tblCellMar>
        <w:tblLook w:val="01E0" w:firstRow="1" w:lastRow="1" w:firstColumn="1" w:lastColumn="1" w:noHBand="0" w:noVBand="0"/>
      </w:tblPr>
      <w:tblGrid>
        <w:gridCol w:w="1810"/>
        <w:gridCol w:w="1809"/>
        <w:gridCol w:w="1812"/>
        <w:gridCol w:w="1811"/>
        <w:gridCol w:w="1811"/>
      </w:tblGrid>
      <w:tr w:rsidR="00443399" w:rsidRPr="00B03B51" w14:paraId="6A619107" w14:textId="77777777" w:rsidTr="004B0DA3">
        <w:tc>
          <w:tcPr>
            <w:tcW w:w="1000" w:type="pct"/>
            <w:tcBorders>
              <w:top w:val="single" w:sz="7" w:space="0" w:color="000000"/>
              <w:left w:val="single" w:sz="7" w:space="0" w:color="000000"/>
              <w:bottom w:val="single" w:sz="7" w:space="0" w:color="000000"/>
              <w:right w:val="single" w:sz="7" w:space="0" w:color="000000"/>
            </w:tcBorders>
          </w:tcPr>
          <w:p w14:paraId="7BD8FC62"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Periods</w:t>
            </w:r>
          </w:p>
        </w:tc>
        <w:tc>
          <w:tcPr>
            <w:tcW w:w="999" w:type="pct"/>
            <w:tcBorders>
              <w:top w:val="single" w:sz="7" w:space="0" w:color="000000"/>
              <w:left w:val="single" w:sz="7" w:space="0" w:color="000000"/>
              <w:bottom w:val="single" w:sz="7" w:space="0" w:color="000000"/>
              <w:right w:val="single" w:sz="7" w:space="0" w:color="000000"/>
            </w:tcBorders>
          </w:tcPr>
          <w:p w14:paraId="4E572626"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Pamatsumma perioda sākumā</w:t>
            </w:r>
          </w:p>
        </w:tc>
        <w:tc>
          <w:tcPr>
            <w:tcW w:w="1001" w:type="pct"/>
            <w:tcBorders>
              <w:top w:val="single" w:sz="7" w:space="0" w:color="000000"/>
              <w:left w:val="single" w:sz="7" w:space="0" w:color="000000"/>
              <w:bottom w:val="single" w:sz="7" w:space="0" w:color="000000"/>
              <w:right w:val="single" w:sz="7" w:space="0" w:color="000000"/>
            </w:tcBorders>
          </w:tcPr>
          <w:p w14:paraId="005F6509"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Perioda procenti</w:t>
            </w:r>
          </w:p>
        </w:tc>
        <w:tc>
          <w:tcPr>
            <w:tcW w:w="1000" w:type="pct"/>
            <w:tcBorders>
              <w:top w:val="single" w:sz="7" w:space="0" w:color="000000"/>
              <w:left w:val="single" w:sz="7" w:space="0" w:color="000000"/>
              <w:bottom w:val="single" w:sz="7" w:space="0" w:color="000000"/>
              <w:right w:val="single" w:sz="7" w:space="0" w:color="000000"/>
            </w:tcBorders>
          </w:tcPr>
          <w:p w14:paraId="66B3CCF4"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Perioda amortizācija</w:t>
            </w:r>
          </w:p>
        </w:tc>
        <w:tc>
          <w:tcPr>
            <w:tcW w:w="1000" w:type="pct"/>
            <w:tcBorders>
              <w:top w:val="single" w:sz="7" w:space="0" w:color="000000"/>
              <w:left w:val="single" w:sz="7" w:space="0" w:color="000000"/>
              <w:bottom w:val="single" w:sz="7" w:space="0" w:color="000000"/>
              <w:right w:val="single" w:sz="7" w:space="0" w:color="000000"/>
            </w:tcBorders>
          </w:tcPr>
          <w:p w14:paraId="1ACA9FCF"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Gada maksa (kopējais gada maksājums)</w:t>
            </w:r>
          </w:p>
        </w:tc>
      </w:tr>
      <w:tr w:rsidR="00443399" w:rsidRPr="00B03B51" w14:paraId="3E86528B" w14:textId="77777777" w:rsidTr="004B0DA3">
        <w:tc>
          <w:tcPr>
            <w:tcW w:w="1000" w:type="pct"/>
            <w:tcBorders>
              <w:top w:val="single" w:sz="7" w:space="0" w:color="000000"/>
              <w:left w:val="single" w:sz="7" w:space="0" w:color="000000"/>
              <w:bottom w:val="single" w:sz="7" w:space="0" w:color="000000"/>
              <w:right w:val="single" w:sz="7" w:space="0" w:color="000000"/>
            </w:tcBorders>
          </w:tcPr>
          <w:p w14:paraId="3C05A8AA"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1</w:t>
            </w:r>
          </w:p>
          <w:p w14:paraId="4024438C"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2</w:t>
            </w:r>
          </w:p>
          <w:p w14:paraId="4A4017C4"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3</w:t>
            </w:r>
          </w:p>
          <w:p w14:paraId="17DCA61A"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4</w:t>
            </w:r>
          </w:p>
          <w:p w14:paraId="06DCFC81"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5</w:t>
            </w:r>
          </w:p>
          <w:p w14:paraId="66CF9829"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6</w:t>
            </w:r>
          </w:p>
          <w:p w14:paraId="450D38AF"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7</w:t>
            </w:r>
          </w:p>
          <w:p w14:paraId="2744589C"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8</w:t>
            </w:r>
          </w:p>
        </w:tc>
        <w:tc>
          <w:tcPr>
            <w:tcW w:w="999" w:type="pct"/>
            <w:tcBorders>
              <w:top w:val="single" w:sz="7" w:space="0" w:color="000000"/>
              <w:left w:val="single" w:sz="7" w:space="0" w:color="000000"/>
              <w:bottom w:val="single" w:sz="7" w:space="0" w:color="000000"/>
              <w:right w:val="single" w:sz="7" w:space="0" w:color="000000"/>
            </w:tcBorders>
          </w:tcPr>
          <w:p w14:paraId="040813A5"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10 000</w:t>
            </w:r>
          </w:p>
          <w:p w14:paraId="44E6528B"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8750</w:t>
            </w:r>
          </w:p>
          <w:p w14:paraId="52F981C6"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7500</w:t>
            </w:r>
          </w:p>
          <w:p w14:paraId="48F47C9E"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6250</w:t>
            </w:r>
          </w:p>
          <w:p w14:paraId="665DA49E"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5000</w:t>
            </w:r>
          </w:p>
          <w:p w14:paraId="31813ED4"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3750</w:t>
            </w:r>
          </w:p>
          <w:p w14:paraId="46542767"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2500</w:t>
            </w:r>
          </w:p>
          <w:p w14:paraId="257872D6"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1250</w:t>
            </w:r>
          </w:p>
        </w:tc>
        <w:tc>
          <w:tcPr>
            <w:tcW w:w="1001" w:type="pct"/>
            <w:tcBorders>
              <w:top w:val="single" w:sz="7" w:space="0" w:color="000000"/>
              <w:left w:val="single" w:sz="7" w:space="0" w:color="000000"/>
              <w:bottom w:val="single" w:sz="7" w:space="0" w:color="000000"/>
              <w:right w:val="single" w:sz="7" w:space="0" w:color="000000"/>
            </w:tcBorders>
          </w:tcPr>
          <w:p w14:paraId="18DA3C1C"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600</w:t>
            </w:r>
          </w:p>
          <w:p w14:paraId="0740B2C6"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525</w:t>
            </w:r>
          </w:p>
          <w:p w14:paraId="58171D09"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450</w:t>
            </w:r>
          </w:p>
          <w:p w14:paraId="09C1CA93"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375</w:t>
            </w:r>
          </w:p>
          <w:p w14:paraId="6A8516E2"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300</w:t>
            </w:r>
          </w:p>
          <w:p w14:paraId="0ECBBFC2"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225</w:t>
            </w:r>
          </w:p>
          <w:p w14:paraId="39883F48"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150</w:t>
            </w:r>
          </w:p>
          <w:p w14:paraId="3AF083C6"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75</w:t>
            </w:r>
          </w:p>
        </w:tc>
        <w:tc>
          <w:tcPr>
            <w:tcW w:w="1000" w:type="pct"/>
            <w:tcBorders>
              <w:top w:val="single" w:sz="7" w:space="0" w:color="000000"/>
              <w:left w:val="single" w:sz="7" w:space="0" w:color="000000"/>
              <w:bottom w:val="single" w:sz="7" w:space="0" w:color="000000"/>
              <w:right w:val="single" w:sz="7" w:space="0" w:color="000000"/>
            </w:tcBorders>
          </w:tcPr>
          <w:p w14:paraId="37FC1BDF"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1250</w:t>
            </w:r>
          </w:p>
          <w:p w14:paraId="5DC604CA"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1250</w:t>
            </w:r>
          </w:p>
          <w:p w14:paraId="10B29DDD"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1250</w:t>
            </w:r>
          </w:p>
          <w:p w14:paraId="2F5EF104"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1250</w:t>
            </w:r>
          </w:p>
          <w:p w14:paraId="6850F61A"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1250</w:t>
            </w:r>
          </w:p>
          <w:p w14:paraId="04FE2083"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1250</w:t>
            </w:r>
          </w:p>
          <w:p w14:paraId="2431E5A2"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1250</w:t>
            </w:r>
          </w:p>
          <w:p w14:paraId="2943397E"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1250</w:t>
            </w:r>
          </w:p>
        </w:tc>
        <w:tc>
          <w:tcPr>
            <w:tcW w:w="1000" w:type="pct"/>
            <w:tcBorders>
              <w:top w:val="single" w:sz="7" w:space="0" w:color="000000"/>
              <w:left w:val="single" w:sz="7" w:space="0" w:color="000000"/>
              <w:bottom w:val="single" w:sz="7" w:space="0" w:color="000000"/>
              <w:right w:val="single" w:sz="7" w:space="0" w:color="000000"/>
            </w:tcBorders>
          </w:tcPr>
          <w:p w14:paraId="13014EBF"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1850</w:t>
            </w:r>
          </w:p>
          <w:p w14:paraId="3436C32A"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1775</w:t>
            </w:r>
          </w:p>
          <w:p w14:paraId="33E9EA91"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1700</w:t>
            </w:r>
          </w:p>
          <w:p w14:paraId="2FD87B04"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1625</w:t>
            </w:r>
          </w:p>
          <w:p w14:paraId="1EF42717"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1550</w:t>
            </w:r>
          </w:p>
          <w:p w14:paraId="178C60A5"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1475</w:t>
            </w:r>
          </w:p>
          <w:p w14:paraId="7F6451C2"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1400</w:t>
            </w:r>
          </w:p>
          <w:p w14:paraId="46A18C0B"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1325</w:t>
            </w:r>
          </w:p>
        </w:tc>
      </w:tr>
      <w:tr w:rsidR="00443399" w:rsidRPr="00B03B51" w14:paraId="11B0CD25" w14:textId="77777777" w:rsidTr="004B0DA3">
        <w:tc>
          <w:tcPr>
            <w:tcW w:w="1000" w:type="pct"/>
            <w:tcBorders>
              <w:top w:val="single" w:sz="7" w:space="0" w:color="000000"/>
              <w:left w:val="single" w:sz="7" w:space="0" w:color="000000"/>
              <w:bottom w:val="single" w:sz="7" w:space="0" w:color="000000"/>
              <w:right w:val="single" w:sz="7" w:space="0" w:color="000000"/>
            </w:tcBorders>
          </w:tcPr>
          <w:p w14:paraId="42198273"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lastRenderedPageBreak/>
              <w:t>Kopā</w:t>
            </w:r>
          </w:p>
        </w:tc>
        <w:tc>
          <w:tcPr>
            <w:tcW w:w="999" w:type="pct"/>
            <w:tcBorders>
              <w:top w:val="single" w:sz="7" w:space="0" w:color="000000"/>
              <w:left w:val="single" w:sz="7" w:space="0" w:color="000000"/>
              <w:bottom w:val="single" w:sz="7" w:space="0" w:color="000000"/>
              <w:right w:val="single" w:sz="7" w:space="0" w:color="000000"/>
            </w:tcBorders>
          </w:tcPr>
          <w:p w14:paraId="67AE5B74" w14:textId="77777777" w:rsidR="00443399" w:rsidRPr="00B03B51" w:rsidRDefault="00443399" w:rsidP="0054365B">
            <w:pPr>
              <w:jc w:val="center"/>
              <w:rPr>
                <w:rFonts w:ascii="Times New Roman" w:hAnsi="Times New Roman" w:cs="Times New Roman"/>
                <w:noProof/>
                <w:sz w:val="24"/>
              </w:rPr>
            </w:pPr>
          </w:p>
        </w:tc>
        <w:tc>
          <w:tcPr>
            <w:tcW w:w="1001" w:type="pct"/>
            <w:tcBorders>
              <w:top w:val="single" w:sz="7" w:space="0" w:color="000000"/>
              <w:left w:val="single" w:sz="7" w:space="0" w:color="000000"/>
              <w:bottom w:val="single" w:sz="7" w:space="0" w:color="000000"/>
              <w:right w:val="single" w:sz="7" w:space="0" w:color="000000"/>
            </w:tcBorders>
          </w:tcPr>
          <w:p w14:paraId="26F75DA3"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2700</w:t>
            </w:r>
          </w:p>
        </w:tc>
        <w:tc>
          <w:tcPr>
            <w:tcW w:w="1000" w:type="pct"/>
            <w:tcBorders>
              <w:top w:val="single" w:sz="7" w:space="0" w:color="000000"/>
              <w:left w:val="single" w:sz="7" w:space="0" w:color="000000"/>
              <w:bottom w:val="single" w:sz="7" w:space="0" w:color="000000"/>
              <w:right w:val="single" w:sz="7" w:space="0" w:color="000000"/>
            </w:tcBorders>
          </w:tcPr>
          <w:p w14:paraId="7AD010A6"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noProof/>
                <w:sz w:val="24"/>
              </w:rPr>
              <w:t>10 000</w:t>
            </w:r>
          </w:p>
        </w:tc>
        <w:tc>
          <w:tcPr>
            <w:tcW w:w="1000" w:type="pct"/>
            <w:tcBorders>
              <w:top w:val="single" w:sz="7" w:space="0" w:color="000000"/>
              <w:left w:val="single" w:sz="7" w:space="0" w:color="000000"/>
              <w:bottom w:val="single" w:sz="7" w:space="0" w:color="000000"/>
              <w:right w:val="single" w:sz="7" w:space="0" w:color="000000"/>
            </w:tcBorders>
          </w:tcPr>
          <w:p w14:paraId="1B1BB9BA"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noProof/>
                <w:sz w:val="24"/>
              </w:rPr>
              <w:t>12 700</w:t>
            </w:r>
          </w:p>
        </w:tc>
      </w:tr>
    </w:tbl>
    <w:p w14:paraId="46BABD3D" w14:textId="77777777" w:rsidR="00443399" w:rsidRPr="00B03B51" w:rsidRDefault="00443399" w:rsidP="00443399">
      <w:pPr>
        <w:jc w:val="both"/>
        <w:rPr>
          <w:rFonts w:ascii="Times New Roman" w:eastAsia="Arial" w:hAnsi="Times New Roman" w:cs="Times New Roman"/>
          <w:b/>
          <w:bCs/>
          <w:noProof/>
          <w:sz w:val="24"/>
          <w:szCs w:val="5"/>
        </w:rPr>
      </w:pPr>
    </w:p>
    <w:p w14:paraId="04FA9ADD" w14:textId="77777777" w:rsidR="00443399" w:rsidRPr="00B03B51" w:rsidRDefault="00443399" w:rsidP="00210375">
      <w:pPr>
        <w:tabs>
          <w:tab w:val="left" w:pos="919"/>
        </w:tabs>
        <w:jc w:val="both"/>
        <w:rPr>
          <w:rFonts w:ascii="Times New Roman" w:hAnsi="Times New Roman" w:cs="Times New Roman"/>
          <w:b/>
          <w:noProof/>
          <w:sz w:val="24"/>
        </w:rPr>
      </w:pPr>
      <w:r w:rsidRPr="00B03B51">
        <w:rPr>
          <w:rFonts w:ascii="Times New Roman" w:hAnsi="Times New Roman" w:cs="Times New Roman"/>
          <w:b/>
          <w:sz w:val="24"/>
        </w:rPr>
        <w:t>3. Aizdevums ar nemainīgu gada maksu</w:t>
      </w:r>
    </w:p>
    <w:p w14:paraId="1D13D1A0" w14:textId="77777777" w:rsidR="00443399" w:rsidRPr="00B03B51" w:rsidRDefault="00443399" w:rsidP="00210375">
      <w:pPr>
        <w:tabs>
          <w:tab w:val="left" w:pos="919"/>
        </w:tabs>
        <w:jc w:val="both"/>
        <w:rPr>
          <w:rFonts w:ascii="Times New Roman" w:hAnsi="Times New Roman" w:cs="Times New Roman"/>
          <w:b/>
          <w:noProof/>
          <w:sz w:val="24"/>
        </w:rPr>
      </w:pPr>
    </w:p>
    <w:tbl>
      <w:tblPr>
        <w:tblW w:w="5000" w:type="pct"/>
        <w:jc w:val="center"/>
        <w:tblCellMar>
          <w:top w:w="28" w:type="dxa"/>
          <w:left w:w="28" w:type="dxa"/>
          <w:bottom w:w="28" w:type="dxa"/>
          <w:right w:w="28" w:type="dxa"/>
        </w:tblCellMar>
        <w:tblLook w:val="01E0" w:firstRow="1" w:lastRow="1" w:firstColumn="1" w:lastColumn="1" w:noHBand="0" w:noVBand="0"/>
      </w:tblPr>
      <w:tblGrid>
        <w:gridCol w:w="777"/>
        <w:gridCol w:w="2325"/>
        <w:gridCol w:w="1334"/>
        <w:gridCol w:w="1735"/>
        <w:gridCol w:w="2882"/>
      </w:tblGrid>
      <w:tr w:rsidR="00443399" w:rsidRPr="00B03B51" w14:paraId="1C1D72DE" w14:textId="77777777" w:rsidTr="004B0DA3">
        <w:trPr>
          <w:jc w:val="center"/>
        </w:trPr>
        <w:tc>
          <w:tcPr>
            <w:tcW w:w="429" w:type="pct"/>
            <w:tcBorders>
              <w:top w:val="single" w:sz="7" w:space="0" w:color="000000"/>
              <w:left w:val="single" w:sz="7" w:space="0" w:color="000000"/>
              <w:bottom w:val="single" w:sz="7" w:space="0" w:color="000000"/>
              <w:right w:val="single" w:sz="7" w:space="0" w:color="000000"/>
            </w:tcBorders>
          </w:tcPr>
          <w:p w14:paraId="1C5DA997" w14:textId="77777777" w:rsidR="00443399" w:rsidRPr="00B03B51" w:rsidRDefault="00443399" w:rsidP="0054365B">
            <w:pPr>
              <w:pStyle w:val="TableParagraph"/>
              <w:keepNext/>
              <w:jc w:val="center"/>
              <w:rPr>
                <w:rFonts w:ascii="Times New Roman" w:hAnsi="Times New Roman" w:cs="Times New Roman"/>
                <w:noProof/>
                <w:sz w:val="24"/>
              </w:rPr>
            </w:pPr>
            <w:r w:rsidRPr="00B03B51">
              <w:rPr>
                <w:rFonts w:ascii="Times New Roman" w:hAnsi="Times New Roman" w:cs="Times New Roman"/>
                <w:sz w:val="24"/>
              </w:rPr>
              <w:t>Periods</w:t>
            </w:r>
          </w:p>
        </w:tc>
        <w:tc>
          <w:tcPr>
            <w:tcW w:w="1284" w:type="pct"/>
            <w:tcBorders>
              <w:top w:val="single" w:sz="7" w:space="0" w:color="000000"/>
              <w:left w:val="single" w:sz="7" w:space="0" w:color="000000"/>
              <w:bottom w:val="single" w:sz="7" w:space="0" w:color="000000"/>
              <w:right w:val="single" w:sz="7" w:space="0" w:color="000000"/>
            </w:tcBorders>
          </w:tcPr>
          <w:p w14:paraId="503FBDC0" w14:textId="77777777" w:rsidR="00443399" w:rsidRPr="00B03B51" w:rsidRDefault="00443399" w:rsidP="0054365B">
            <w:pPr>
              <w:pStyle w:val="TableParagraph"/>
              <w:keepNext/>
              <w:jc w:val="center"/>
              <w:rPr>
                <w:rFonts w:ascii="Times New Roman" w:hAnsi="Times New Roman" w:cs="Times New Roman"/>
                <w:noProof/>
                <w:sz w:val="24"/>
              </w:rPr>
            </w:pPr>
            <w:r w:rsidRPr="00B03B51">
              <w:rPr>
                <w:rFonts w:ascii="Times New Roman" w:hAnsi="Times New Roman" w:cs="Times New Roman"/>
                <w:sz w:val="24"/>
              </w:rPr>
              <w:t>Pamatsumma perioda sākumā</w:t>
            </w:r>
          </w:p>
        </w:tc>
        <w:tc>
          <w:tcPr>
            <w:tcW w:w="737" w:type="pct"/>
            <w:tcBorders>
              <w:top w:val="single" w:sz="7" w:space="0" w:color="000000"/>
              <w:left w:val="single" w:sz="7" w:space="0" w:color="000000"/>
              <w:bottom w:val="single" w:sz="7" w:space="0" w:color="000000"/>
              <w:right w:val="single" w:sz="7" w:space="0" w:color="000000"/>
            </w:tcBorders>
          </w:tcPr>
          <w:p w14:paraId="385F5BEC" w14:textId="77777777" w:rsidR="00443399" w:rsidRPr="00B03B51" w:rsidRDefault="00443399" w:rsidP="0054365B">
            <w:pPr>
              <w:pStyle w:val="TableParagraph"/>
              <w:keepNext/>
              <w:jc w:val="center"/>
              <w:rPr>
                <w:rFonts w:ascii="Times New Roman" w:hAnsi="Times New Roman" w:cs="Times New Roman"/>
                <w:noProof/>
                <w:sz w:val="24"/>
              </w:rPr>
            </w:pPr>
            <w:r w:rsidRPr="00B03B51">
              <w:rPr>
                <w:rFonts w:ascii="Times New Roman" w:hAnsi="Times New Roman" w:cs="Times New Roman"/>
                <w:sz w:val="24"/>
              </w:rPr>
              <w:t>Perioda procenti</w:t>
            </w:r>
          </w:p>
        </w:tc>
        <w:tc>
          <w:tcPr>
            <w:tcW w:w="958" w:type="pct"/>
            <w:tcBorders>
              <w:top w:val="single" w:sz="7" w:space="0" w:color="000000"/>
              <w:left w:val="single" w:sz="7" w:space="0" w:color="000000"/>
              <w:bottom w:val="single" w:sz="7" w:space="0" w:color="000000"/>
              <w:right w:val="single" w:sz="7" w:space="0" w:color="000000"/>
            </w:tcBorders>
          </w:tcPr>
          <w:p w14:paraId="3D563929" w14:textId="77777777" w:rsidR="00443399" w:rsidRPr="00B03B51" w:rsidRDefault="00443399" w:rsidP="0054365B">
            <w:pPr>
              <w:pStyle w:val="TableParagraph"/>
              <w:keepNext/>
              <w:jc w:val="center"/>
              <w:rPr>
                <w:rFonts w:ascii="Times New Roman" w:hAnsi="Times New Roman" w:cs="Times New Roman"/>
                <w:noProof/>
                <w:sz w:val="24"/>
              </w:rPr>
            </w:pPr>
            <w:r w:rsidRPr="00B03B51">
              <w:rPr>
                <w:rFonts w:ascii="Times New Roman" w:hAnsi="Times New Roman" w:cs="Times New Roman"/>
                <w:sz w:val="24"/>
              </w:rPr>
              <w:t>Perioda amortizācija</w:t>
            </w:r>
          </w:p>
        </w:tc>
        <w:tc>
          <w:tcPr>
            <w:tcW w:w="1593" w:type="pct"/>
            <w:tcBorders>
              <w:top w:val="single" w:sz="7" w:space="0" w:color="000000"/>
              <w:left w:val="single" w:sz="7" w:space="0" w:color="000000"/>
              <w:bottom w:val="single" w:sz="7" w:space="0" w:color="000000"/>
              <w:right w:val="single" w:sz="7" w:space="0" w:color="000000"/>
            </w:tcBorders>
          </w:tcPr>
          <w:p w14:paraId="2FDBBE3A" w14:textId="77777777" w:rsidR="00443399" w:rsidRPr="00B03B51" w:rsidRDefault="00443399" w:rsidP="0054365B">
            <w:pPr>
              <w:pStyle w:val="TableParagraph"/>
              <w:keepNext/>
              <w:jc w:val="center"/>
              <w:rPr>
                <w:rFonts w:ascii="Times New Roman" w:hAnsi="Times New Roman" w:cs="Times New Roman"/>
                <w:noProof/>
                <w:sz w:val="24"/>
              </w:rPr>
            </w:pPr>
            <w:r w:rsidRPr="00B03B51">
              <w:rPr>
                <w:rFonts w:ascii="Times New Roman" w:hAnsi="Times New Roman" w:cs="Times New Roman"/>
                <w:sz w:val="24"/>
              </w:rPr>
              <w:t>Gada maksa (kopējais gada maksājums)</w:t>
            </w:r>
          </w:p>
        </w:tc>
      </w:tr>
      <w:tr w:rsidR="00443399" w:rsidRPr="00B03B51" w14:paraId="752DAC2E" w14:textId="77777777" w:rsidTr="004B0DA3">
        <w:trPr>
          <w:jc w:val="center"/>
        </w:trPr>
        <w:tc>
          <w:tcPr>
            <w:tcW w:w="429" w:type="pct"/>
            <w:tcBorders>
              <w:top w:val="single" w:sz="7" w:space="0" w:color="000000"/>
              <w:left w:val="single" w:sz="7" w:space="0" w:color="000000"/>
              <w:bottom w:val="single" w:sz="7" w:space="0" w:color="000000"/>
              <w:right w:val="single" w:sz="7" w:space="0" w:color="000000"/>
            </w:tcBorders>
          </w:tcPr>
          <w:p w14:paraId="30CC602D"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1</w:t>
            </w:r>
          </w:p>
          <w:p w14:paraId="2B927AA9"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2</w:t>
            </w:r>
          </w:p>
          <w:p w14:paraId="2D7876D8"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3</w:t>
            </w:r>
          </w:p>
          <w:p w14:paraId="017400F5"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4</w:t>
            </w:r>
          </w:p>
          <w:p w14:paraId="5A556B3A"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5</w:t>
            </w:r>
          </w:p>
          <w:p w14:paraId="19FF8111"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6</w:t>
            </w:r>
          </w:p>
          <w:p w14:paraId="7A0724D1"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7</w:t>
            </w:r>
          </w:p>
          <w:p w14:paraId="7F1C563D"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8</w:t>
            </w:r>
          </w:p>
        </w:tc>
        <w:tc>
          <w:tcPr>
            <w:tcW w:w="1284" w:type="pct"/>
            <w:tcBorders>
              <w:top w:val="single" w:sz="7" w:space="0" w:color="000000"/>
              <w:left w:val="single" w:sz="7" w:space="0" w:color="000000"/>
              <w:bottom w:val="single" w:sz="7" w:space="0" w:color="000000"/>
              <w:right w:val="single" w:sz="7" w:space="0" w:color="000000"/>
            </w:tcBorders>
          </w:tcPr>
          <w:p w14:paraId="7D256D26"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10 000</w:t>
            </w:r>
          </w:p>
          <w:p w14:paraId="1FD948E9"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8990</w:t>
            </w:r>
          </w:p>
          <w:p w14:paraId="6DCEE118"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7919</w:t>
            </w:r>
          </w:p>
          <w:p w14:paraId="349E3661"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6783</w:t>
            </w:r>
          </w:p>
          <w:p w14:paraId="3498E701"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5580</w:t>
            </w:r>
          </w:p>
          <w:p w14:paraId="68E2DAF1"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4305</w:t>
            </w:r>
          </w:p>
          <w:p w14:paraId="61F637A0"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2952</w:t>
            </w:r>
          </w:p>
          <w:p w14:paraId="3DC0DA6E"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1519</w:t>
            </w:r>
          </w:p>
        </w:tc>
        <w:tc>
          <w:tcPr>
            <w:tcW w:w="737" w:type="pct"/>
            <w:tcBorders>
              <w:top w:val="single" w:sz="7" w:space="0" w:color="000000"/>
              <w:left w:val="single" w:sz="7" w:space="0" w:color="000000"/>
              <w:bottom w:val="single" w:sz="7" w:space="0" w:color="000000"/>
              <w:right w:val="single" w:sz="7" w:space="0" w:color="000000"/>
            </w:tcBorders>
          </w:tcPr>
          <w:p w14:paraId="2A88779E"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600</w:t>
            </w:r>
          </w:p>
          <w:p w14:paraId="5061B114"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539</w:t>
            </w:r>
          </w:p>
          <w:p w14:paraId="4ED32D72"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475</w:t>
            </w:r>
          </w:p>
          <w:p w14:paraId="16835ECF"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407</w:t>
            </w:r>
          </w:p>
          <w:p w14:paraId="48D8F05C"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335</w:t>
            </w:r>
          </w:p>
          <w:p w14:paraId="4589C600"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258</w:t>
            </w:r>
          </w:p>
          <w:p w14:paraId="517DB9E7"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177</w:t>
            </w:r>
          </w:p>
          <w:p w14:paraId="5F51ACD5"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91</w:t>
            </w:r>
          </w:p>
        </w:tc>
        <w:tc>
          <w:tcPr>
            <w:tcW w:w="958" w:type="pct"/>
            <w:tcBorders>
              <w:top w:val="single" w:sz="7" w:space="0" w:color="000000"/>
              <w:left w:val="single" w:sz="7" w:space="0" w:color="000000"/>
              <w:bottom w:val="single" w:sz="7" w:space="0" w:color="000000"/>
              <w:right w:val="single" w:sz="7" w:space="0" w:color="000000"/>
            </w:tcBorders>
          </w:tcPr>
          <w:p w14:paraId="5B604005"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1010</w:t>
            </w:r>
          </w:p>
          <w:p w14:paraId="1684D516"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1071</w:t>
            </w:r>
          </w:p>
          <w:p w14:paraId="00EF7B99"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1135</w:t>
            </w:r>
          </w:p>
          <w:p w14:paraId="7E653E72"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1203</w:t>
            </w:r>
          </w:p>
          <w:p w14:paraId="0D199F84"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1276</w:t>
            </w:r>
          </w:p>
          <w:p w14:paraId="2B0952F6"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1352</w:t>
            </w:r>
          </w:p>
          <w:p w14:paraId="1FC07033"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1433</w:t>
            </w:r>
          </w:p>
          <w:p w14:paraId="349D1D49"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1519</w:t>
            </w:r>
          </w:p>
        </w:tc>
        <w:tc>
          <w:tcPr>
            <w:tcW w:w="1593" w:type="pct"/>
            <w:tcBorders>
              <w:top w:val="single" w:sz="7" w:space="0" w:color="000000"/>
              <w:left w:val="single" w:sz="7" w:space="0" w:color="000000"/>
              <w:bottom w:val="single" w:sz="7" w:space="0" w:color="000000"/>
              <w:right w:val="single" w:sz="7" w:space="0" w:color="000000"/>
            </w:tcBorders>
          </w:tcPr>
          <w:p w14:paraId="0A793B4F"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1610</w:t>
            </w:r>
          </w:p>
          <w:p w14:paraId="67E50B9B"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1610</w:t>
            </w:r>
          </w:p>
          <w:p w14:paraId="58FB2534"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1610</w:t>
            </w:r>
          </w:p>
          <w:p w14:paraId="35CF2B4F"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1610</w:t>
            </w:r>
          </w:p>
          <w:p w14:paraId="67BD535C"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1610</w:t>
            </w:r>
          </w:p>
          <w:p w14:paraId="6533CC35"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1610</w:t>
            </w:r>
          </w:p>
          <w:p w14:paraId="0F2DFAA7"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1610</w:t>
            </w:r>
          </w:p>
          <w:p w14:paraId="71F593A2"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1610</w:t>
            </w:r>
          </w:p>
        </w:tc>
      </w:tr>
      <w:tr w:rsidR="00443399" w:rsidRPr="00B03B51" w14:paraId="53F69AE5" w14:textId="77777777" w:rsidTr="004B0DA3">
        <w:trPr>
          <w:jc w:val="center"/>
        </w:trPr>
        <w:tc>
          <w:tcPr>
            <w:tcW w:w="429" w:type="pct"/>
            <w:tcBorders>
              <w:top w:val="single" w:sz="7" w:space="0" w:color="000000"/>
              <w:left w:val="single" w:sz="7" w:space="0" w:color="000000"/>
              <w:bottom w:val="single" w:sz="7" w:space="0" w:color="000000"/>
              <w:right w:val="single" w:sz="7" w:space="0" w:color="000000"/>
            </w:tcBorders>
          </w:tcPr>
          <w:p w14:paraId="74334423"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Kopā</w:t>
            </w:r>
          </w:p>
        </w:tc>
        <w:tc>
          <w:tcPr>
            <w:tcW w:w="1284" w:type="pct"/>
            <w:tcBorders>
              <w:top w:val="single" w:sz="7" w:space="0" w:color="000000"/>
              <w:left w:val="single" w:sz="7" w:space="0" w:color="000000"/>
              <w:bottom w:val="single" w:sz="7" w:space="0" w:color="000000"/>
              <w:right w:val="single" w:sz="7" w:space="0" w:color="000000"/>
            </w:tcBorders>
          </w:tcPr>
          <w:p w14:paraId="6DC9F46A" w14:textId="77777777" w:rsidR="00443399" w:rsidRPr="00B03B51" w:rsidRDefault="00443399" w:rsidP="0054365B">
            <w:pPr>
              <w:jc w:val="center"/>
              <w:rPr>
                <w:rFonts w:ascii="Times New Roman" w:hAnsi="Times New Roman" w:cs="Times New Roman"/>
                <w:noProof/>
                <w:sz w:val="24"/>
              </w:rPr>
            </w:pPr>
          </w:p>
        </w:tc>
        <w:tc>
          <w:tcPr>
            <w:tcW w:w="737" w:type="pct"/>
            <w:tcBorders>
              <w:top w:val="single" w:sz="7" w:space="0" w:color="000000"/>
              <w:left w:val="single" w:sz="7" w:space="0" w:color="000000"/>
              <w:bottom w:val="single" w:sz="7" w:space="0" w:color="000000"/>
              <w:right w:val="single" w:sz="7" w:space="0" w:color="000000"/>
            </w:tcBorders>
          </w:tcPr>
          <w:p w14:paraId="77B27087"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2883</w:t>
            </w:r>
          </w:p>
        </w:tc>
        <w:tc>
          <w:tcPr>
            <w:tcW w:w="958" w:type="pct"/>
            <w:tcBorders>
              <w:top w:val="single" w:sz="7" w:space="0" w:color="000000"/>
              <w:left w:val="single" w:sz="7" w:space="0" w:color="000000"/>
              <w:bottom w:val="single" w:sz="7" w:space="0" w:color="000000"/>
              <w:right w:val="single" w:sz="7" w:space="0" w:color="000000"/>
            </w:tcBorders>
          </w:tcPr>
          <w:p w14:paraId="1393EC26"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10 000</w:t>
            </w:r>
          </w:p>
        </w:tc>
        <w:tc>
          <w:tcPr>
            <w:tcW w:w="1593" w:type="pct"/>
            <w:tcBorders>
              <w:top w:val="single" w:sz="7" w:space="0" w:color="000000"/>
              <w:left w:val="single" w:sz="7" w:space="0" w:color="000000"/>
              <w:bottom w:val="single" w:sz="7" w:space="0" w:color="000000"/>
              <w:right w:val="single" w:sz="7" w:space="0" w:color="000000"/>
            </w:tcBorders>
          </w:tcPr>
          <w:p w14:paraId="2CD72015"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12 883</w:t>
            </w:r>
          </w:p>
        </w:tc>
      </w:tr>
    </w:tbl>
    <w:p w14:paraId="36A13828" w14:textId="77777777" w:rsidR="00443399" w:rsidRPr="00B03B51" w:rsidRDefault="00443399" w:rsidP="00443399">
      <w:pPr>
        <w:jc w:val="both"/>
        <w:rPr>
          <w:rFonts w:ascii="Times New Roman" w:eastAsia="Arial" w:hAnsi="Times New Roman" w:cs="Times New Roman"/>
          <w:noProof/>
          <w:sz w:val="24"/>
          <w:szCs w:val="19"/>
        </w:rPr>
      </w:pPr>
    </w:p>
    <w:p w14:paraId="61F41EC3" w14:textId="77777777" w:rsidR="00443399" w:rsidRPr="00B03B51" w:rsidRDefault="00443399" w:rsidP="00443399">
      <w:pPr>
        <w:jc w:val="both"/>
        <w:rPr>
          <w:rFonts w:ascii="Times New Roman" w:hAnsi="Times New Roman" w:cs="Times New Roman"/>
          <w:b/>
          <w:noProof/>
          <w:sz w:val="24"/>
        </w:rPr>
      </w:pPr>
      <w:r w:rsidRPr="00B03B51">
        <w:rPr>
          <w:rFonts w:ascii="Times New Roman" w:hAnsi="Times New Roman" w:cs="Times New Roman"/>
          <w:b/>
          <w:sz w:val="24"/>
        </w:rPr>
        <w:t>Gadījums B2 – procentu likmes maiņa</w:t>
      </w:r>
    </w:p>
    <w:p w14:paraId="6D4CFC93" w14:textId="77777777" w:rsidR="00443399" w:rsidRPr="00B03B51" w:rsidRDefault="00443399" w:rsidP="00443399">
      <w:pPr>
        <w:pStyle w:val="BodyText"/>
        <w:spacing w:before="0"/>
        <w:ind w:left="0" w:firstLine="0"/>
        <w:jc w:val="both"/>
        <w:rPr>
          <w:rFonts w:ascii="Times New Roman" w:hAnsi="Times New Roman" w:cs="Times New Roman"/>
          <w:noProof/>
          <w:sz w:val="24"/>
        </w:rPr>
      </w:pPr>
    </w:p>
    <w:p w14:paraId="3D827629" w14:textId="77777777" w:rsidR="00443399" w:rsidRPr="00B03B51" w:rsidRDefault="00443399" w:rsidP="00443399">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t>Aizdevuma procentu likme ir samazināta no 6 % uz 4 %.</w:t>
      </w:r>
    </w:p>
    <w:p w14:paraId="50FBC5F4" w14:textId="77777777" w:rsidR="00443399" w:rsidRPr="00B03B51" w:rsidRDefault="00443399" w:rsidP="00443399">
      <w:pPr>
        <w:tabs>
          <w:tab w:val="left" w:pos="919"/>
        </w:tabs>
        <w:jc w:val="both"/>
        <w:rPr>
          <w:rFonts w:ascii="Times New Roman" w:hAnsi="Times New Roman" w:cs="Times New Roman"/>
          <w:b/>
          <w:noProof/>
          <w:sz w:val="24"/>
        </w:rPr>
      </w:pPr>
    </w:p>
    <w:p w14:paraId="65E61148" w14:textId="77777777" w:rsidR="00443399" w:rsidRPr="00B03B51" w:rsidRDefault="00443399" w:rsidP="00443399">
      <w:pPr>
        <w:tabs>
          <w:tab w:val="left" w:pos="919"/>
        </w:tabs>
        <w:jc w:val="both"/>
        <w:rPr>
          <w:rFonts w:ascii="Times New Roman" w:hAnsi="Times New Roman" w:cs="Times New Roman"/>
          <w:b/>
          <w:noProof/>
          <w:sz w:val="24"/>
        </w:rPr>
      </w:pPr>
      <w:r w:rsidRPr="00B03B51">
        <w:rPr>
          <w:rFonts w:ascii="Times New Roman" w:hAnsi="Times New Roman" w:cs="Times New Roman"/>
          <w:b/>
          <w:sz w:val="24"/>
        </w:rPr>
        <w:t>1. Aizdevums ar beigu atmaksu</w:t>
      </w:r>
    </w:p>
    <w:p w14:paraId="4631E9B9" w14:textId="77777777" w:rsidR="00443399" w:rsidRPr="00B03B51" w:rsidRDefault="00443399" w:rsidP="00443399">
      <w:pPr>
        <w:tabs>
          <w:tab w:val="left" w:pos="919"/>
        </w:tabs>
        <w:jc w:val="both"/>
        <w:rPr>
          <w:rFonts w:ascii="Times New Roman" w:hAnsi="Times New Roman" w:cs="Times New Roman"/>
          <w:b/>
          <w:noProof/>
          <w:sz w:val="24"/>
        </w:rPr>
      </w:pPr>
    </w:p>
    <w:tbl>
      <w:tblPr>
        <w:tblW w:w="5000" w:type="pct"/>
        <w:tblCellMar>
          <w:top w:w="28" w:type="dxa"/>
          <w:left w:w="28" w:type="dxa"/>
          <w:bottom w:w="28" w:type="dxa"/>
          <w:right w:w="28" w:type="dxa"/>
        </w:tblCellMar>
        <w:tblLook w:val="01E0" w:firstRow="1" w:lastRow="1" w:firstColumn="1" w:lastColumn="1" w:noHBand="0" w:noVBand="0"/>
      </w:tblPr>
      <w:tblGrid>
        <w:gridCol w:w="1810"/>
        <w:gridCol w:w="1809"/>
        <w:gridCol w:w="1812"/>
        <w:gridCol w:w="1811"/>
        <w:gridCol w:w="1811"/>
      </w:tblGrid>
      <w:tr w:rsidR="00443399" w:rsidRPr="00B03B51" w14:paraId="71BA541E" w14:textId="77777777" w:rsidTr="004B0DA3">
        <w:tc>
          <w:tcPr>
            <w:tcW w:w="1000" w:type="pct"/>
            <w:tcBorders>
              <w:top w:val="single" w:sz="7" w:space="0" w:color="000000"/>
              <w:left w:val="single" w:sz="7" w:space="0" w:color="000000"/>
              <w:bottom w:val="single" w:sz="7" w:space="0" w:color="000000"/>
              <w:right w:val="single" w:sz="7" w:space="0" w:color="000000"/>
            </w:tcBorders>
          </w:tcPr>
          <w:p w14:paraId="03E02DA3"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Periods</w:t>
            </w:r>
          </w:p>
        </w:tc>
        <w:tc>
          <w:tcPr>
            <w:tcW w:w="999" w:type="pct"/>
            <w:tcBorders>
              <w:top w:val="single" w:sz="7" w:space="0" w:color="000000"/>
              <w:left w:val="single" w:sz="7" w:space="0" w:color="000000"/>
              <w:bottom w:val="single" w:sz="7" w:space="0" w:color="000000"/>
              <w:right w:val="single" w:sz="7" w:space="0" w:color="000000"/>
            </w:tcBorders>
          </w:tcPr>
          <w:p w14:paraId="4A436802"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Pamatsumma perioda sākumā</w:t>
            </w:r>
          </w:p>
        </w:tc>
        <w:tc>
          <w:tcPr>
            <w:tcW w:w="1001" w:type="pct"/>
            <w:tcBorders>
              <w:top w:val="single" w:sz="7" w:space="0" w:color="000000"/>
              <w:left w:val="single" w:sz="7" w:space="0" w:color="000000"/>
              <w:bottom w:val="single" w:sz="7" w:space="0" w:color="000000"/>
              <w:right w:val="single" w:sz="7" w:space="0" w:color="000000"/>
            </w:tcBorders>
          </w:tcPr>
          <w:p w14:paraId="16F9EB7F"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Perioda procenti</w:t>
            </w:r>
          </w:p>
        </w:tc>
        <w:tc>
          <w:tcPr>
            <w:tcW w:w="1000" w:type="pct"/>
            <w:tcBorders>
              <w:top w:val="single" w:sz="7" w:space="0" w:color="000000"/>
              <w:left w:val="single" w:sz="7" w:space="0" w:color="000000"/>
              <w:bottom w:val="single" w:sz="7" w:space="0" w:color="000000"/>
              <w:right w:val="single" w:sz="7" w:space="0" w:color="000000"/>
            </w:tcBorders>
          </w:tcPr>
          <w:p w14:paraId="0CCC27A7"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Perioda amortizācija</w:t>
            </w:r>
          </w:p>
        </w:tc>
        <w:tc>
          <w:tcPr>
            <w:tcW w:w="1000" w:type="pct"/>
            <w:tcBorders>
              <w:top w:val="single" w:sz="7" w:space="0" w:color="000000"/>
              <w:left w:val="single" w:sz="7" w:space="0" w:color="000000"/>
              <w:bottom w:val="single" w:sz="7" w:space="0" w:color="000000"/>
              <w:right w:val="single" w:sz="7" w:space="0" w:color="000000"/>
            </w:tcBorders>
          </w:tcPr>
          <w:p w14:paraId="0F19F435"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Gada maksa (kopējais gada maksājums)</w:t>
            </w:r>
          </w:p>
        </w:tc>
      </w:tr>
      <w:tr w:rsidR="00443399" w:rsidRPr="00B03B51" w14:paraId="394590C7" w14:textId="77777777" w:rsidTr="004B0DA3">
        <w:tc>
          <w:tcPr>
            <w:tcW w:w="1000" w:type="pct"/>
            <w:tcBorders>
              <w:top w:val="single" w:sz="7" w:space="0" w:color="000000"/>
              <w:left w:val="single" w:sz="7" w:space="0" w:color="000000"/>
              <w:bottom w:val="single" w:sz="7" w:space="0" w:color="000000"/>
              <w:right w:val="single" w:sz="7" w:space="0" w:color="000000"/>
            </w:tcBorders>
          </w:tcPr>
          <w:p w14:paraId="1439EBF3"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1</w:t>
            </w:r>
          </w:p>
          <w:p w14:paraId="0D1D963B"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2</w:t>
            </w:r>
          </w:p>
          <w:p w14:paraId="43191DD1"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3</w:t>
            </w:r>
          </w:p>
          <w:p w14:paraId="3599A03C"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4</w:t>
            </w:r>
          </w:p>
          <w:p w14:paraId="61A4F84F"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5</w:t>
            </w:r>
          </w:p>
        </w:tc>
        <w:tc>
          <w:tcPr>
            <w:tcW w:w="999" w:type="pct"/>
            <w:tcBorders>
              <w:top w:val="single" w:sz="7" w:space="0" w:color="000000"/>
              <w:left w:val="single" w:sz="7" w:space="0" w:color="000000"/>
              <w:bottom w:val="single" w:sz="7" w:space="0" w:color="000000"/>
              <w:right w:val="single" w:sz="7" w:space="0" w:color="000000"/>
            </w:tcBorders>
          </w:tcPr>
          <w:p w14:paraId="10D6D8BA"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10 000</w:t>
            </w:r>
          </w:p>
          <w:p w14:paraId="1D450BDF"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10 000</w:t>
            </w:r>
          </w:p>
          <w:p w14:paraId="7CE53B9B"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10 000</w:t>
            </w:r>
          </w:p>
          <w:p w14:paraId="012CA219"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10 000</w:t>
            </w:r>
          </w:p>
          <w:p w14:paraId="28534511"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10 000</w:t>
            </w:r>
          </w:p>
        </w:tc>
        <w:tc>
          <w:tcPr>
            <w:tcW w:w="1001" w:type="pct"/>
            <w:tcBorders>
              <w:top w:val="single" w:sz="7" w:space="0" w:color="000000"/>
              <w:left w:val="single" w:sz="7" w:space="0" w:color="000000"/>
              <w:bottom w:val="single" w:sz="7" w:space="0" w:color="000000"/>
              <w:right w:val="single" w:sz="7" w:space="0" w:color="000000"/>
            </w:tcBorders>
          </w:tcPr>
          <w:p w14:paraId="1D8D688F"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400</w:t>
            </w:r>
          </w:p>
          <w:p w14:paraId="54F0EA96"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400</w:t>
            </w:r>
          </w:p>
          <w:p w14:paraId="39645A44"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400</w:t>
            </w:r>
          </w:p>
          <w:p w14:paraId="59E7B5B9"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400</w:t>
            </w:r>
          </w:p>
          <w:p w14:paraId="29335DF0"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400</w:t>
            </w:r>
          </w:p>
        </w:tc>
        <w:tc>
          <w:tcPr>
            <w:tcW w:w="1000" w:type="pct"/>
            <w:tcBorders>
              <w:top w:val="single" w:sz="7" w:space="0" w:color="000000"/>
              <w:left w:val="single" w:sz="7" w:space="0" w:color="000000"/>
              <w:bottom w:val="single" w:sz="7" w:space="0" w:color="000000"/>
              <w:right w:val="single" w:sz="7" w:space="0" w:color="000000"/>
            </w:tcBorders>
          </w:tcPr>
          <w:p w14:paraId="32A790F6"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0</w:t>
            </w:r>
          </w:p>
          <w:p w14:paraId="6170FFDD"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0</w:t>
            </w:r>
          </w:p>
          <w:p w14:paraId="47149A99"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0</w:t>
            </w:r>
          </w:p>
          <w:p w14:paraId="7C7BCD33"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0</w:t>
            </w:r>
          </w:p>
          <w:p w14:paraId="347C13C4"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10 000</w:t>
            </w:r>
          </w:p>
        </w:tc>
        <w:tc>
          <w:tcPr>
            <w:tcW w:w="1000" w:type="pct"/>
            <w:tcBorders>
              <w:top w:val="single" w:sz="7" w:space="0" w:color="000000"/>
              <w:left w:val="single" w:sz="7" w:space="0" w:color="000000"/>
              <w:bottom w:val="single" w:sz="7" w:space="0" w:color="000000"/>
              <w:right w:val="single" w:sz="7" w:space="0" w:color="000000"/>
            </w:tcBorders>
          </w:tcPr>
          <w:p w14:paraId="170F11F5"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400</w:t>
            </w:r>
          </w:p>
          <w:p w14:paraId="3830AFFB"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400</w:t>
            </w:r>
          </w:p>
          <w:p w14:paraId="3EDC1111"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400</w:t>
            </w:r>
          </w:p>
          <w:p w14:paraId="1B878DB3"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400</w:t>
            </w:r>
          </w:p>
          <w:p w14:paraId="3A53BB4F"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10 400</w:t>
            </w:r>
          </w:p>
        </w:tc>
      </w:tr>
      <w:tr w:rsidR="00443399" w:rsidRPr="00B03B51" w14:paraId="78F9DE5E" w14:textId="77777777" w:rsidTr="004B0DA3">
        <w:tc>
          <w:tcPr>
            <w:tcW w:w="1000" w:type="pct"/>
            <w:tcBorders>
              <w:top w:val="single" w:sz="7" w:space="0" w:color="000000"/>
              <w:left w:val="single" w:sz="7" w:space="0" w:color="000000"/>
              <w:bottom w:val="single" w:sz="7" w:space="0" w:color="000000"/>
              <w:right w:val="single" w:sz="7" w:space="0" w:color="000000"/>
            </w:tcBorders>
          </w:tcPr>
          <w:p w14:paraId="3CCFFC48"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Kopā</w:t>
            </w:r>
          </w:p>
        </w:tc>
        <w:tc>
          <w:tcPr>
            <w:tcW w:w="999" w:type="pct"/>
            <w:tcBorders>
              <w:top w:val="single" w:sz="7" w:space="0" w:color="000000"/>
              <w:left w:val="single" w:sz="7" w:space="0" w:color="000000"/>
              <w:bottom w:val="single" w:sz="7" w:space="0" w:color="000000"/>
              <w:right w:val="single" w:sz="7" w:space="0" w:color="000000"/>
            </w:tcBorders>
          </w:tcPr>
          <w:p w14:paraId="120E35C5" w14:textId="77777777" w:rsidR="00443399" w:rsidRPr="00B03B51" w:rsidRDefault="00443399" w:rsidP="0054365B">
            <w:pPr>
              <w:jc w:val="center"/>
              <w:rPr>
                <w:rFonts w:ascii="Times New Roman" w:hAnsi="Times New Roman" w:cs="Times New Roman"/>
                <w:noProof/>
                <w:sz w:val="24"/>
              </w:rPr>
            </w:pPr>
          </w:p>
        </w:tc>
        <w:tc>
          <w:tcPr>
            <w:tcW w:w="1001" w:type="pct"/>
            <w:tcBorders>
              <w:top w:val="single" w:sz="7" w:space="0" w:color="000000"/>
              <w:left w:val="single" w:sz="7" w:space="0" w:color="000000"/>
              <w:bottom w:val="single" w:sz="7" w:space="0" w:color="000000"/>
              <w:right w:val="single" w:sz="7" w:space="0" w:color="000000"/>
            </w:tcBorders>
          </w:tcPr>
          <w:p w14:paraId="4631715A"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2000</w:t>
            </w:r>
          </w:p>
        </w:tc>
        <w:tc>
          <w:tcPr>
            <w:tcW w:w="1000" w:type="pct"/>
            <w:tcBorders>
              <w:top w:val="single" w:sz="7" w:space="0" w:color="000000"/>
              <w:left w:val="single" w:sz="7" w:space="0" w:color="000000"/>
              <w:bottom w:val="single" w:sz="7" w:space="0" w:color="000000"/>
              <w:right w:val="single" w:sz="7" w:space="0" w:color="000000"/>
            </w:tcBorders>
          </w:tcPr>
          <w:p w14:paraId="71D658AB"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noProof/>
                <w:sz w:val="24"/>
              </w:rPr>
              <w:t>10 000</w:t>
            </w:r>
          </w:p>
        </w:tc>
        <w:tc>
          <w:tcPr>
            <w:tcW w:w="1000" w:type="pct"/>
            <w:tcBorders>
              <w:top w:val="single" w:sz="7" w:space="0" w:color="000000"/>
              <w:left w:val="single" w:sz="7" w:space="0" w:color="000000"/>
              <w:bottom w:val="single" w:sz="7" w:space="0" w:color="000000"/>
              <w:right w:val="single" w:sz="7" w:space="0" w:color="000000"/>
            </w:tcBorders>
          </w:tcPr>
          <w:p w14:paraId="47148332"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noProof/>
                <w:sz w:val="24"/>
              </w:rPr>
              <w:t>12 000</w:t>
            </w:r>
          </w:p>
        </w:tc>
      </w:tr>
    </w:tbl>
    <w:p w14:paraId="24D4A7BF" w14:textId="77777777" w:rsidR="00443399" w:rsidRPr="00B03B51" w:rsidRDefault="00443399" w:rsidP="00443399">
      <w:pPr>
        <w:jc w:val="both"/>
        <w:rPr>
          <w:rFonts w:ascii="Times New Roman" w:eastAsia="Arial" w:hAnsi="Times New Roman" w:cs="Times New Roman"/>
          <w:b/>
          <w:bCs/>
          <w:noProof/>
          <w:sz w:val="24"/>
          <w:szCs w:val="25"/>
        </w:rPr>
      </w:pPr>
    </w:p>
    <w:p w14:paraId="0D341DEF" w14:textId="77777777" w:rsidR="00443399" w:rsidRPr="00B03B51" w:rsidRDefault="00443399" w:rsidP="00443399">
      <w:pPr>
        <w:tabs>
          <w:tab w:val="left" w:pos="919"/>
        </w:tabs>
        <w:jc w:val="both"/>
        <w:rPr>
          <w:rFonts w:ascii="Times New Roman" w:hAnsi="Times New Roman" w:cs="Times New Roman"/>
          <w:b/>
          <w:noProof/>
          <w:sz w:val="24"/>
        </w:rPr>
      </w:pPr>
      <w:r w:rsidRPr="00B03B51">
        <w:rPr>
          <w:rFonts w:ascii="Times New Roman" w:hAnsi="Times New Roman" w:cs="Times New Roman"/>
          <w:b/>
          <w:sz w:val="24"/>
        </w:rPr>
        <w:t>2. Aizdevums ar nemainīgu amortizāciju</w:t>
      </w:r>
    </w:p>
    <w:p w14:paraId="236D219C" w14:textId="77777777" w:rsidR="00443399" w:rsidRPr="00B03B51" w:rsidRDefault="00443399" w:rsidP="00443399">
      <w:pPr>
        <w:tabs>
          <w:tab w:val="left" w:pos="919"/>
        </w:tabs>
        <w:jc w:val="both"/>
        <w:rPr>
          <w:rFonts w:ascii="Times New Roman" w:hAnsi="Times New Roman" w:cs="Times New Roman"/>
          <w:b/>
          <w:noProof/>
          <w:sz w:val="24"/>
        </w:rPr>
      </w:pPr>
    </w:p>
    <w:tbl>
      <w:tblPr>
        <w:tblW w:w="5000" w:type="pct"/>
        <w:tblCellMar>
          <w:top w:w="28" w:type="dxa"/>
          <w:left w:w="28" w:type="dxa"/>
          <w:bottom w:w="28" w:type="dxa"/>
          <w:right w:w="28" w:type="dxa"/>
        </w:tblCellMar>
        <w:tblLook w:val="01E0" w:firstRow="1" w:lastRow="1" w:firstColumn="1" w:lastColumn="1" w:noHBand="0" w:noVBand="0"/>
      </w:tblPr>
      <w:tblGrid>
        <w:gridCol w:w="777"/>
        <w:gridCol w:w="2325"/>
        <w:gridCol w:w="1334"/>
        <w:gridCol w:w="1735"/>
        <w:gridCol w:w="2882"/>
      </w:tblGrid>
      <w:tr w:rsidR="00443399" w:rsidRPr="00B03B51" w14:paraId="4C404EB3" w14:textId="77777777" w:rsidTr="004B0DA3">
        <w:tc>
          <w:tcPr>
            <w:tcW w:w="429" w:type="pct"/>
            <w:tcBorders>
              <w:top w:val="single" w:sz="7" w:space="0" w:color="000000"/>
              <w:left w:val="single" w:sz="7" w:space="0" w:color="000000"/>
              <w:bottom w:val="single" w:sz="7" w:space="0" w:color="000000"/>
              <w:right w:val="single" w:sz="7" w:space="0" w:color="000000"/>
            </w:tcBorders>
          </w:tcPr>
          <w:p w14:paraId="2CAF1199"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Periods</w:t>
            </w:r>
          </w:p>
        </w:tc>
        <w:tc>
          <w:tcPr>
            <w:tcW w:w="1284" w:type="pct"/>
            <w:tcBorders>
              <w:top w:val="single" w:sz="7" w:space="0" w:color="000000"/>
              <w:left w:val="single" w:sz="7" w:space="0" w:color="000000"/>
              <w:bottom w:val="single" w:sz="7" w:space="0" w:color="000000"/>
              <w:right w:val="single" w:sz="7" w:space="0" w:color="000000"/>
            </w:tcBorders>
          </w:tcPr>
          <w:p w14:paraId="5342EFB3"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Pamatsumma perioda sākumā</w:t>
            </w:r>
          </w:p>
        </w:tc>
        <w:tc>
          <w:tcPr>
            <w:tcW w:w="737" w:type="pct"/>
            <w:tcBorders>
              <w:top w:val="single" w:sz="7" w:space="0" w:color="000000"/>
              <w:left w:val="single" w:sz="7" w:space="0" w:color="000000"/>
              <w:bottom w:val="single" w:sz="7" w:space="0" w:color="000000"/>
              <w:right w:val="single" w:sz="7" w:space="0" w:color="000000"/>
            </w:tcBorders>
          </w:tcPr>
          <w:p w14:paraId="49F28D0E"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Perioda procenti</w:t>
            </w:r>
          </w:p>
        </w:tc>
        <w:tc>
          <w:tcPr>
            <w:tcW w:w="958" w:type="pct"/>
            <w:tcBorders>
              <w:top w:val="single" w:sz="7" w:space="0" w:color="000000"/>
              <w:left w:val="single" w:sz="7" w:space="0" w:color="000000"/>
              <w:bottom w:val="single" w:sz="7" w:space="0" w:color="000000"/>
              <w:right w:val="single" w:sz="7" w:space="0" w:color="000000"/>
            </w:tcBorders>
          </w:tcPr>
          <w:p w14:paraId="791A228E"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Perioda amortizācija</w:t>
            </w:r>
          </w:p>
        </w:tc>
        <w:tc>
          <w:tcPr>
            <w:tcW w:w="1593" w:type="pct"/>
            <w:tcBorders>
              <w:top w:val="single" w:sz="7" w:space="0" w:color="000000"/>
              <w:left w:val="single" w:sz="7" w:space="0" w:color="000000"/>
              <w:bottom w:val="single" w:sz="7" w:space="0" w:color="000000"/>
              <w:right w:val="single" w:sz="7" w:space="0" w:color="000000"/>
            </w:tcBorders>
          </w:tcPr>
          <w:p w14:paraId="7AACA4EF"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Gada maksa (kopējais gada maksājums)</w:t>
            </w:r>
          </w:p>
        </w:tc>
      </w:tr>
      <w:tr w:rsidR="00443399" w:rsidRPr="00B03B51" w14:paraId="7C1B1827" w14:textId="77777777" w:rsidTr="004B0DA3">
        <w:tc>
          <w:tcPr>
            <w:tcW w:w="429" w:type="pct"/>
            <w:tcBorders>
              <w:top w:val="single" w:sz="7" w:space="0" w:color="000000"/>
              <w:left w:val="single" w:sz="7" w:space="0" w:color="000000"/>
              <w:bottom w:val="single" w:sz="7" w:space="0" w:color="000000"/>
              <w:right w:val="single" w:sz="7" w:space="0" w:color="000000"/>
            </w:tcBorders>
          </w:tcPr>
          <w:p w14:paraId="5A17F5D4"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1</w:t>
            </w:r>
          </w:p>
          <w:p w14:paraId="643EA6D2"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2</w:t>
            </w:r>
          </w:p>
          <w:p w14:paraId="5292BA34"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3</w:t>
            </w:r>
          </w:p>
          <w:p w14:paraId="61FE36A7"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4</w:t>
            </w:r>
          </w:p>
          <w:p w14:paraId="708395BB"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5</w:t>
            </w:r>
          </w:p>
        </w:tc>
        <w:tc>
          <w:tcPr>
            <w:tcW w:w="1284" w:type="pct"/>
            <w:tcBorders>
              <w:top w:val="single" w:sz="7" w:space="0" w:color="000000"/>
              <w:left w:val="single" w:sz="7" w:space="0" w:color="000000"/>
              <w:bottom w:val="single" w:sz="7" w:space="0" w:color="000000"/>
              <w:right w:val="single" w:sz="7" w:space="0" w:color="000000"/>
            </w:tcBorders>
          </w:tcPr>
          <w:p w14:paraId="03142AD0"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10 000</w:t>
            </w:r>
          </w:p>
          <w:p w14:paraId="37BB150D"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8000</w:t>
            </w:r>
          </w:p>
          <w:p w14:paraId="1F236300"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6000</w:t>
            </w:r>
          </w:p>
          <w:p w14:paraId="2B99C839"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4000</w:t>
            </w:r>
          </w:p>
          <w:p w14:paraId="45A308A6"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2000</w:t>
            </w:r>
          </w:p>
        </w:tc>
        <w:tc>
          <w:tcPr>
            <w:tcW w:w="737" w:type="pct"/>
            <w:tcBorders>
              <w:top w:val="single" w:sz="7" w:space="0" w:color="000000"/>
              <w:left w:val="single" w:sz="7" w:space="0" w:color="000000"/>
              <w:bottom w:val="single" w:sz="7" w:space="0" w:color="000000"/>
              <w:right w:val="single" w:sz="7" w:space="0" w:color="000000"/>
            </w:tcBorders>
          </w:tcPr>
          <w:p w14:paraId="1A8FAF42"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400</w:t>
            </w:r>
          </w:p>
          <w:p w14:paraId="1543407C"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320</w:t>
            </w:r>
          </w:p>
          <w:p w14:paraId="500D8FCA"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240</w:t>
            </w:r>
          </w:p>
          <w:p w14:paraId="335221CF"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160</w:t>
            </w:r>
          </w:p>
          <w:p w14:paraId="70E7CB7A"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80</w:t>
            </w:r>
          </w:p>
        </w:tc>
        <w:tc>
          <w:tcPr>
            <w:tcW w:w="958" w:type="pct"/>
            <w:tcBorders>
              <w:top w:val="single" w:sz="7" w:space="0" w:color="000000"/>
              <w:left w:val="single" w:sz="7" w:space="0" w:color="000000"/>
              <w:bottom w:val="single" w:sz="7" w:space="0" w:color="000000"/>
              <w:right w:val="single" w:sz="7" w:space="0" w:color="000000"/>
            </w:tcBorders>
          </w:tcPr>
          <w:p w14:paraId="0775F9E4"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2000</w:t>
            </w:r>
          </w:p>
          <w:p w14:paraId="540048F6"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2000</w:t>
            </w:r>
          </w:p>
          <w:p w14:paraId="29FBFADB"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2000</w:t>
            </w:r>
          </w:p>
          <w:p w14:paraId="42D37634"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2000</w:t>
            </w:r>
          </w:p>
          <w:p w14:paraId="456A9024"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2000</w:t>
            </w:r>
          </w:p>
        </w:tc>
        <w:tc>
          <w:tcPr>
            <w:tcW w:w="1593" w:type="pct"/>
            <w:tcBorders>
              <w:top w:val="single" w:sz="7" w:space="0" w:color="000000"/>
              <w:left w:val="single" w:sz="7" w:space="0" w:color="000000"/>
              <w:bottom w:val="single" w:sz="7" w:space="0" w:color="000000"/>
              <w:right w:val="single" w:sz="7" w:space="0" w:color="000000"/>
            </w:tcBorders>
          </w:tcPr>
          <w:p w14:paraId="24289A75"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2400</w:t>
            </w:r>
          </w:p>
          <w:p w14:paraId="44BA4B20"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2320</w:t>
            </w:r>
          </w:p>
          <w:p w14:paraId="39E0F58C"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2240</w:t>
            </w:r>
          </w:p>
          <w:p w14:paraId="0638DD6B"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2160</w:t>
            </w:r>
          </w:p>
          <w:p w14:paraId="4E931861"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2080</w:t>
            </w:r>
          </w:p>
        </w:tc>
      </w:tr>
      <w:tr w:rsidR="00443399" w:rsidRPr="00B03B51" w14:paraId="18547E8C" w14:textId="77777777" w:rsidTr="004B0DA3">
        <w:tc>
          <w:tcPr>
            <w:tcW w:w="429" w:type="pct"/>
            <w:tcBorders>
              <w:top w:val="single" w:sz="7" w:space="0" w:color="000000"/>
              <w:left w:val="single" w:sz="7" w:space="0" w:color="000000"/>
              <w:bottom w:val="single" w:sz="7" w:space="0" w:color="000000"/>
              <w:right w:val="single" w:sz="7" w:space="0" w:color="000000"/>
            </w:tcBorders>
          </w:tcPr>
          <w:p w14:paraId="367A84FB"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Kopā</w:t>
            </w:r>
          </w:p>
        </w:tc>
        <w:tc>
          <w:tcPr>
            <w:tcW w:w="1284" w:type="pct"/>
            <w:tcBorders>
              <w:top w:val="single" w:sz="7" w:space="0" w:color="000000"/>
              <w:left w:val="single" w:sz="7" w:space="0" w:color="000000"/>
              <w:bottom w:val="single" w:sz="7" w:space="0" w:color="000000"/>
              <w:right w:val="single" w:sz="7" w:space="0" w:color="000000"/>
            </w:tcBorders>
          </w:tcPr>
          <w:p w14:paraId="154C71EB" w14:textId="77777777" w:rsidR="00443399" w:rsidRPr="00B03B51" w:rsidRDefault="00443399" w:rsidP="0054365B">
            <w:pPr>
              <w:jc w:val="center"/>
              <w:rPr>
                <w:rFonts w:ascii="Times New Roman" w:hAnsi="Times New Roman" w:cs="Times New Roman"/>
                <w:noProof/>
                <w:sz w:val="24"/>
              </w:rPr>
            </w:pPr>
          </w:p>
        </w:tc>
        <w:tc>
          <w:tcPr>
            <w:tcW w:w="737" w:type="pct"/>
            <w:tcBorders>
              <w:top w:val="single" w:sz="7" w:space="0" w:color="000000"/>
              <w:left w:val="single" w:sz="7" w:space="0" w:color="000000"/>
              <w:bottom w:val="single" w:sz="7" w:space="0" w:color="000000"/>
              <w:right w:val="single" w:sz="7" w:space="0" w:color="000000"/>
            </w:tcBorders>
          </w:tcPr>
          <w:p w14:paraId="30BB0AF4"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1200</w:t>
            </w:r>
          </w:p>
        </w:tc>
        <w:tc>
          <w:tcPr>
            <w:tcW w:w="958" w:type="pct"/>
            <w:tcBorders>
              <w:top w:val="single" w:sz="7" w:space="0" w:color="000000"/>
              <w:left w:val="single" w:sz="7" w:space="0" w:color="000000"/>
              <w:bottom w:val="single" w:sz="7" w:space="0" w:color="000000"/>
              <w:right w:val="single" w:sz="7" w:space="0" w:color="000000"/>
            </w:tcBorders>
          </w:tcPr>
          <w:p w14:paraId="12A01087"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noProof/>
                <w:sz w:val="24"/>
              </w:rPr>
              <w:t>10 000</w:t>
            </w:r>
          </w:p>
        </w:tc>
        <w:tc>
          <w:tcPr>
            <w:tcW w:w="1593" w:type="pct"/>
            <w:tcBorders>
              <w:top w:val="single" w:sz="7" w:space="0" w:color="000000"/>
              <w:left w:val="single" w:sz="7" w:space="0" w:color="000000"/>
              <w:bottom w:val="single" w:sz="7" w:space="0" w:color="000000"/>
              <w:right w:val="single" w:sz="7" w:space="0" w:color="000000"/>
            </w:tcBorders>
          </w:tcPr>
          <w:p w14:paraId="21A6D560"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noProof/>
                <w:sz w:val="24"/>
              </w:rPr>
              <w:t>11 200</w:t>
            </w:r>
          </w:p>
        </w:tc>
      </w:tr>
    </w:tbl>
    <w:p w14:paraId="7C877CF3" w14:textId="77777777" w:rsidR="00443399" w:rsidRPr="00B03B51" w:rsidRDefault="00443399" w:rsidP="00443399">
      <w:pPr>
        <w:jc w:val="both"/>
        <w:rPr>
          <w:rFonts w:ascii="Times New Roman" w:eastAsia="Arial" w:hAnsi="Times New Roman" w:cs="Times New Roman"/>
          <w:b/>
          <w:bCs/>
          <w:noProof/>
          <w:sz w:val="24"/>
          <w:szCs w:val="25"/>
        </w:rPr>
      </w:pPr>
    </w:p>
    <w:p w14:paraId="74D16A0A" w14:textId="77777777" w:rsidR="00443399" w:rsidRPr="00B03B51" w:rsidRDefault="00443399" w:rsidP="00210375">
      <w:pPr>
        <w:keepNext/>
        <w:tabs>
          <w:tab w:val="left" w:pos="919"/>
        </w:tabs>
        <w:jc w:val="both"/>
        <w:rPr>
          <w:rFonts w:ascii="Times New Roman" w:hAnsi="Times New Roman" w:cs="Times New Roman"/>
          <w:b/>
          <w:noProof/>
          <w:sz w:val="24"/>
        </w:rPr>
      </w:pPr>
      <w:r w:rsidRPr="00B03B51">
        <w:rPr>
          <w:rFonts w:ascii="Times New Roman" w:hAnsi="Times New Roman" w:cs="Times New Roman"/>
          <w:b/>
          <w:sz w:val="24"/>
        </w:rPr>
        <w:t>3. Aizdevums ar nemainīgu gada maksu</w:t>
      </w:r>
    </w:p>
    <w:p w14:paraId="20DDF3E7" w14:textId="77777777" w:rsidR="00443399" w:rsidRPr="00B03B51" w:rsidRDefault="00443399" w:rsidP="00210375">
      <w:pPr>
        <w:keepNext/>
        <w:tabs>
          <w:tab w:val="left" w:pos="919"/>
        </w:tabs>
        <w:jc w:val="both"/>
        <w:rPr>
          <w:rFonts w:ascii="Times New Roman" w:hAnsi="Times New Roman" w:cs="Times New Roman"/>
          <w:b/>
          <w:noProof/>
          <w:sz w:val="24"/>
        </w:rPr>
      </w:pPr>
    </w:p>
    <w:tbl>
      <w:tblPr>
        <w:tblW w:w="5000" w:type="pct"/>
        <w:tblCellMar>
          <w:top w:w="28" w:type="dxa"/>
          <w:left w:w="28" w:type="dxa"/>
          <w:bottom w:w="28" w:type="dxa"/>
          <w:right w:w="28" w:type="dxa"/>
        </w:tblCellMar>
        <w:tblLook w:val="01E0" w:firstRow="1" w:lastRow="1" w:firstColumn="1" w:lastColumn="1" w:noHBand="0" w:noVBand="0"/>
      </w:tblPr>
      <w:tblGrid>
        <w:gridCol w:w="1810"/>
        <w:gridCol w:w="1809"/>
        <w:gridCol w:w="1812"/>
        <w:gridCol w:w="1811"/>
        <w:gridCol w:w="1811"/>
      </w:tblGrid>
      <w:tr w:rsidR="00443399" w:rsidRPr="00B03B51" w14:paraId="08C6349A" w14:textId="77777777" w:rsidTr="004B0DA3">
        <w:tc>
          <w:tcPr>
            <w:tcW w:w="1000" w:type="pct"/>
            <w:tcBorders>
              <w:top w:val="single" w:sz="7" w:space="0" w:color="000000"/>
              <w:left w:val="single" w:sz="7" w:space="0" w:color="000000"/>
              <w:bottom w:val="single" w:sz="7" w:space="0" w:color="000000"/>
              <w:right w:val="single" w:sz="7" w:space="0" w:color="000000"/>
            </w:tcBorders>
          </w:tcPr>
          <w:p w14:paraId="7DE2988A"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Periods</w:t>
            </w:r>
          </w:p>
        </w:tc>
        <w:tc>
          <w:tcPr>
            <w:tcW w:w="999" w:type="pct"/>
            <w:tcBorders>
              <w:top w:val="single" w:sz="7" w:space="0" w:color="000000"/>
              <w:left w:val="single" w:sz="7" w:space="0" w:color="000000"/>
              <w:bottom w:val="single" w:sz="7" w:space="0" w:color="000000"/>
              <w:right w:val="single" w:sz="7" w:space="0" w:color="000000"/>
            </w:tcBorders>
          </w:tcPr>
          <w:p w14:paraId="7902EC1A"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Pamatsumma perioda sākumā</w:t>
            </w:r>
          </w:p>
        </w:tc>
        <w:tc>
          <w:tcPr>
            <w:tcW w:w="1001" w:type="pct"/>
            <w:tcBorders>
              <w:top w:val="single" w:sz="7" w:space="0" w:color="000000"/>
              <w:left w:val="single" w:sz="7" w:space="0" w:color="000000"/>
              <w:bottom w:val="single" w:sz="7" w:space="0" w:color="000000"/>
              <w:right w:val="single" w:sz="7" w:space="0" w:color="000000"/>
            </w:tcBorders>
          </w:tcPr>
          <w:p w14:paraId="002898F6"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Perioda procenti</w:t>
            </w:r>
          </w:p>
        </w:tc>
        <w:tc>
          <w:tcPr>
            <w:tcW w:w="1000" w:type="pct"/>
            <w:tcBorders>
              <w:top w:val="single" w:sz="7" w:space="0" w:color="000000"/>
              <w:left w:val="single" w:sz="7" w:space="0" w:color="000000"/>
              <w:bottom w:val="single" w:sz="7" w:space="0" w:color="000000"/>
              <w:right w:val="single" w:sz="7" w:space="0" w:color="000000"/>
            </w:tcBorders>
          </w:tcPr>
          <w:p w14:paraId="3080BE0E"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Perioda amortizācija</w:t>
            </w:r>
          </w:p>
        </w:tc>
        <w:tc>
          <w:tcPr>
            <w:tcW w:w="1000" w:type="pct"/>
            <w:tcBorders>
              <w:top w:val="single" w:sz="7" w:space="0" w:color="000000"/>
              <w:left w:val="single" w:sz="7" w:space="0" w:color="000000"/>
              <w:bottom w:val="single" w:sz="7" w:space="0" w:color="000000"/>
              <w:right w:val="single" w:sz="7" w:space="0" w:color="000000"/>
            </w:tcBorders>
          </w:tcPr>
          <w:p w14:paraId="5607EAC4"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 xml:space="preserve">Gada maksa (kopējais gada </w:t>
            </w:r>
            <w:r w:rsidRPr="00B03B51">
              <w:rPr>
                <w:rFonts w:ascii="Times New Roman" w:hAnsi="Times New Roman" w:cs="Times New Roman"/>
                <w:sz w:val="24"/>
              </w:rPr>
              <w:lastRenderedPageBreak/>
              <w:t>maksājums)</w:t>
            </w:r>
          </w:p>
        </w:tc>
      </w:tr>
      <w:tr w:rsidR="00443399" w:rsidRPr="00B03B51" w14:paraId="3D2C2217" w14:textId="77777777" w:rsidTr="004B0DA3">
        <w:tc>
          <w:tcPr>
            <w:tcW w:w="1000" w:type="pct"/>
            <w:tcBorders>
              <w:top w:val="single" w:sz="7" w:space="0" w:color="000000"/>
              <w:left w:val="single" w:sz="7" w:space="0" w:color="000000"/>
              <w:bottom w:val="single" w:sz="7" w:space="0" w:color="000000"/>
              <w:right w:val="single" w:sz="7" w:space="0" w:color="000000"/>
            </w:tcBorders>
          </w:tcPr>
          <w:p w14:paraId="36DCB1CA"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lastRenderedPageBreak/>
              <w:t>1</w:t>
            </w:r>
          </w:p>
          <w:p w14:paraId="4B9D74EA"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2</w:t>
            </w:r>
          </w:p>
          <w:p w14:paraId="729B0960"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3</w:t>
            </w:r>
          </w:p>
          <w:p w14:paraId="40C395F2"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4</w:t>
            </w:r>
          </w:p>
          <w:p w14:paraId="2A5C3850"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5</w:t>
            </w:r>
          </w:p>
        </w:tc>
        <w:tc>
          <w:tcPr>
            <w:tcW w:w="999" w:type="pct"/>
            <w:tcBorders>
              <w:top w:val="single" w:sz="7" w:space="0" w:color="000000"/>
              <w:left w:val="single" w:sz="7" w:space="0" w:color="000000"/>
              <w:bottom w:val="single" w:sz="7" w:space="0" w:color="000000"/>
              <w:right w:val="single" w:sz="7" w:space="0" w:color="000000"/>
            </w:tcBorders>
          </w:tcPr>
          <w:p w14:paraId="2EE90EE9"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10 000</w:t>
            </w:r>
          </w:p>
          <w:p w14:paraId="3DEDBCD0"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8154</w:t>
            </w:r>
          </w:p>
          <w:p w14:paraId="64714BEE"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6234</w:t>
            </w:r>
          </w:p>
          <w:p w14:paraId="697AD787"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4237</w:t>
            </w:r>
          </w:p>
          <w:p w14:paraId="28AB4FBA"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2160</w:t>
            </w:r>
          </w:p>
        </w:tc>
        <w:tc>
          <w:tcPr>
            <w:tcW w:w="1001" w:type="pct"/>
            <w:tcBorders>
              <w:top w:val="single" w:sz="7" w:space="0" w:color="000000"/>
              <w:left w:val="single" w:sz="7" w:space="0" w:color="000000"/>
              <w:bottom w:val="single" w:sz="7" w:space="0" w:color="000000"/>
              <w:right w:val="single" w:sz="7" w:space="0" w:color="000000"/>
            </w:tcBorders>
          </w:tcPr>
          <w:p w14:paraId="4F1E6BCF"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400</w:t>
            </w:r>
          </w:p>
          <w:p w14:paraId="5D1ACAD9"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326</w:t>
            </w:r>
          </w:p>
          <w:p w14:paraId="67E4E130"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249</w:t>
            </w:r>
          </w:p>
          <w:p w14:paraId="529FE007"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169</w:t>
            </w:r>
          </w:p>
          <w:p w14:paraId="5A625478"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86</w:t>
            </w:r>
          </w:p>
        </w:tc>
        <w:tc>
          <w:tcPr>
            <w:tcW w:w="1000" w:type="pct"/>
            <w:tcBorders>
              <w:top w:val="single" w:sz="7" w:space="0" w:color="000000"/>
              <w:left w:val="single" w:sz="7" w:space="0" w:color="000000"/>
              <w:bottom w:val="single" w:sz="7" w:space="0" w:color="000000"/>
              <w:right w:val="single" w:sz="7" w:space="0" w:color="000000"/>
            </w:tcBorders>
          </w:tcPr>
          <w:p w14:paraId="094F56F7"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1846</w:t>
            </w:r>
          </w:p>
          <w:p w14:paraId="43C7ED44"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1920</w:t>
            </w:r>
          </w:p>
          <w:p w14:paraId="67E611A2"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1997</w:t>
            </w:r>
          </w:p>
          <w:p w14:paraId="003F5C15"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2077</w:t>
            </w:r>
          </w:p>
          <w:p w14:paraId="19BC3825"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2160</w:t>
            </w:r>
          </w:p>
        </w:tc>
        <w:tc>
          <w:tcPr>
            <w:tcW w:w="1000" w:type="pct"/>
            <w:tcBorders>
              <w:top w:val="single" w:sz="7" w:space="0" w:color="000000"/>
              <w:left w:val="single" w:sz="7" w:space="0" w:color="000000"/>
              <w:bottom w:val="single" w:sz="7" w:space="0" w:color="000000"/>
              <w:right w:val="single" w:sz="7" w:space="0" w:color="000000"/>
            </w:tcBorders>
          </w:tcPr>
          <w:p w14:paraId="64C2A4DA"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2246</w:t>
            </w:r>
          </w:p>
          <w:p w14:paraId="1A3B3D5C"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2246</w:t>
            </w:r>
          </w:p>
          <w:p w14:paraId="6DADA944"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2246</w:t>
            </w:r>
          </w:p>
          <w:p w14:paraId="3A439468"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2246</w:t>
            </w:r>
          </w:p>
          <w:p w14:paraId="4DA1399D"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2246</w:t>
            </w:r>
          </w:p>
        </w:tc>
      </w:tr>
      <w:tr w:rsidR="00443399" w:rsidRPr="00B03B51" w14:paraId="327D844C" w14:textId="77777777" w:rsidTr="004B0DA3">
        <w:tc>
          <w:tcPr>
            <w:tcW w:w="1000" w:type="pct"/>
            <w:tcBorders>
              <w:top w:val="single" w:sz="7" w:space="0" w:color="000000"/>
              <w:left w:val="single" w:sz="7" w:space="0" w:color="000000"/>
              <w:bottom w:val="single" w:sz="7" w:space="0" w:color="000000"/>
              <w:right w:val="single" w:sz="7" w:space="0" w:color="000000"/>
            </w:tcBorders>
          </w:tcPr>
          <w:p w14:paraId="61248EF7"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Kopā</w:t>
            </w:r>
          </w:p>
        </w:tc>
        <w:tc>
          <w:tcPr>
            <w:tcW w:w="999" w:type="pct"/>
            <w:tcBorders>
              <w:top w:val="single" w:sz="7" w:space="0" w:color="000000"/>
              <w:left w:val="single" w:sz="7" w:space="0" w:color="000000"/>
              <w:bottom w:val="single" w:sz="7" w:space="0" w:color="000000"/>
              <w:right w:val="single" w:sz="7" w:space="0" w:color="000000"/>
            </w:tcBorders>
          </w:tcPr>
          <w:p w14:paraId="528D85ED" w14:textId="77777777" w:rsidR="00443399" w:rsidRPr="00B03B51" w:rsidRDefault="00443399" w:rsidP="0054365B">
            <w:pPr>
              <w:jc w:val="center"/>
              <w:rPr>
                <w:rFonts w:ascii="Times New Roman" w:hAnsi="Times New Roman" w:cs="Times New Roman"/>
                <w:noProof/>
                <w:sz w:val="24"/>
              </w:rPr>
            </w:pPr>
          </w:p>
        </w:tc>
        <w:tc>
          <w:tcPr>
            <w:tcW w:w="1001" w:type="pct"/>
            <w:tcBorders>
              <w:top w:val="single" w:sz="7" w:space="0" w:color="000000"/>
              <w:left w:val="single" w:sz="7" w:space="0" w:color="000000"/>
              <w:bottom w:val="single" w:sz="7" w:space="0" w:color="000000"/>
              <w:right w:val="single" w:sz="7" w:space="0" w:color="000000"/>
            </w:tcBorders>
          </w:tcPr>
          <w:p w14:paraId="1A57BA07"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1231</w:t>
            </w:r>
          </w:p>
        </w:tc>
        <w:tc>
          <w:tcPr>
            <w:tcW w:w="1000" w:type="pct"/>
            <w:tcBorders>
              <w:top w:val="single" w:sz="7" w:space="0" w:color="000000"/>
              <w:left w:val="single" w:sz="7" w:space="0" w:color="000000"/>
              <w:bottom w:val="single" w:sz="7" w:space="0" w:color="000000"/>
              <w:right w:val="single" w:sz="7" w:space="0" w:color="000000"/>
            </w:tcBorders>
          </w:tcPr>
          <w:p w14:paraId="32886BB8"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10 000</w:t>
            </w:r>
          </w:p>
        </w:tc>
        <w:tc>
          <w:tcPr>
            <w:tcW w:w="1000" w:type="pct"/>
            <w:tcBorders>
              <w:top w:val="single" w:sz="7" w:space="0" w:color="000000"/>
              <w:left w:val="single" w:sz="7" w:space="0" w:color="000000"/>
              <w:bottom w:val="single" w:sz="7" w:space="0" w:color="000000"/>
              <w:right w:val="single" w:sz="7" w:space="0" w:color="000000"/>
            </w:tcBorders>
          </w:tcPr>
          <w:p w14:paraId="36994F21"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11 231</w:t>
            </w:r>
          </w:p>
        </w:tc>
      </w:tr>
    </w:tbl>
    <w:p w14:paraId="14493340" w14:textId="77777777" w:rsidR="00443399" w:rsidRPr="00B03B51" w:rsidRDefault="00443399" w:rsidP="00443399">
      <w:pPr>
        <w:jc w:val="both"/>
        <w:rPr>
          <w:rFonts w:ascii="Times New Roman" w:eastAsia="Arial" w:hAnsi="Times New Roman" w:cs="Times New Roman"/>
          <w:b/>
          <w:bCs/>
          <w:noProof/>
          <w:sz w:val="24"/>
          <w:szCs w:val="24"/>
        </w:rPr>
      </w:pPr>
    </w:p>
    <w:p w14:paraId="573FD758" w14:textId="77777777" w:rsidR="00443399" w:rsidRPr="00B03B51" w:rsidRDefault="00443399" w:rsidP="00443399">
      <w:pPr>
        <w:jc w:val="both"/>
        <w:rPr>
          <w:rFonts w:ascii="Times New Roman" w:hAnsi="Times New Roman" w:cs="Times New Roman"/>
          <w:b/>
          <w:noProof/>
          <w:sz w:val="24"/>
        </w:rPr>
      </w:pPr>
      <w:r w:rsidRPr="00B03B51">
        <w:rPr>
          <w:rFonts w:ascii="Times New Roman" w:hAnsi="Times New Roman" w:cs="Times New Roman"/>
          <w:b/>
          <w:sz w:val="24"/>
        </w:rPr>
        <w:t>Gadījums B3 – atvieglojumu periods</w:t>
      </w:r>
    </w:p>
    <w:p w14:paraId="4735348B" w14:textId="77777777" w:rsidR="00443399" w:rsidRPr="00B03B51" w:rsidRDefault="00443399" w:rsidP="00443399">
      <w:pPr>
        <w:pStyle w:val="BodyText"/>
        <w:spacing w:before="0"/>
        <w:ind w:left="0" w:firstLine="0"/>
        <w:jc w:val="both"/>
        <w:rPr>
          <w:rFonts w:ascii="Times New Roman" w:hAnsi="Times New Roman" w:cs="Times New Roman"/>
          <w:noProof/>
          <w:sz w:val="24"/>
        </w:rPr>
      </w:pPr>
    </w:p>
    <w:p w14:paraId="5F2D8FB6" w14:textId="77777777" w:rsidR="00443399" w:rsidRPr="00B03B51" w:rsidRDefault="00443399" w:rsidP="00443399">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t>Attiecībā uz pamatsummu tiek panākta vienošanās par trīs gadu termiņa pagarinājumu (procenti tiek pārvērsti kapitālā).</w:t>
      </w:r>
    </w:p>
    <w:p w14:paraId="71EF2370" w14:textId="77777777" w:rsidR="00443399" w:rsidRPr="00B03B51" w:rsidRDefault="00443399" w:rsidP="00443399">
      <w:pPr>
        <w:tabs>
          <w:tab w:val="left" w:pos="918"/>
        </w:tabs>
        <w:jc w:val="both"/>
        <w:rPr>
          <w:rFonts w:ascii="Times New Roman" w:hAnsi="Times New Roman" w:cs="Times New Roman"/>
          <w:b/>
          <w:noProof/>
          <w:sz w:val="24"/>
        </w:rPr>
      </w:pPr>
    </w:p>
    <w:p w14:paraId="7E2F7638" w14:textId="77777777" w:rsidR="00443399" w:rsidRPr="00B03B51" w:rsidRDefault="00443399" w:rsidP="00443399">
      <w:pPr>
        <w:tabs>
          <w:tab w:val="left" w:pos="918"/>
        </w:tabs>
        <w:jc w:val="both"/>
        <w:rPr>
          <w:rFonts w:ascii="Times New Roman" w:hAnsi="Times New Roman" w:cs="Times New Roman"/>
          <w:b/>
          <w:noProof/>
          <w:sz w:val="24"/>
        </w:rPr>
      </w:pPr>
      <w:r w:rsidRPr="00B03B51">
        <w:rPr>
          <w:rFonts w:ascii="Times New Roman" w:hAnsi="Times New Roman" w:cs="Times New Roman"/>
          <w:b/>
          <w:sz w:val="24"/>
        </w:rPr>
        <w:t>1. Aizdevums ar beigu atmaksu</w:t>
      </w:r>
    </w:p>
    <w:p w14:paraId="7DD75054" w14:textId="77777777" w:rsidR="00443399" w:rsidRPr="00B03B51" w:rsidRDefault="00443399" w:rsidP="00443399">
      <w:pPr>
        <w:tabs>
          <w:tab w:val="left" w:pos="918"/>
        </w:tabs>
        <w:jc w:val="both"/>
        <w:rPr>
          <w:rFonts w:ascii="Times New Roman" w:hAnsi="Times New Roman" w:cs="Times New Roman"/>
          <w:b/>
          <w:noProof/>
          <w:sz w:val="24"/>
        </w:rPr>
      </w:pPr>
    </w:p>
    <w:tbl>
      <w:tblPr>
        <w:tblW w:w="5000" w:type="pct"/>
        <w:tblCellMar>
          <w:top w:w="28" w:type="dxa"/>
          <w:left w:w="28" w:type="dxa"/>
          <w:bottom w:w="28" w:type="dxa"/>
          <w:right w:w="28" w:type="dxa"/>
        </w:tblCellMar>
        <w:tblLook w:val="01E0" w:firstRow="1" w:lastRow="1" w:firstColumn="1" w:lastColumn="1" w:noHBand="0" w:noVBand="0"/>
      </w:tblPr>
      <w:tblGrid>
        <w:gridCol w:w="777"/>
        <w:gridCol w:w="2325"/>
        <w:gridCol w:w="1334"/>
        <w:gridCol w:w="1735"/>
        <w:gridCol w:w="2882"/>
      </w:tblGrid>
      <w:tr w:rsidR="00443399" w:rsidRPr="00B03B51" w14:paraId="44977E9D" w14:textId="77777777" w:rsidTr="004B0DA3">
        <w:tc>
          <w:tcPr>
            <w:tcW w:w="429" w:type="pct"/>
            <w:tcBorders>
              <w:top w:val="single" w:sz="7" w:space="0" w:color="000000"/>
              <w:left w:val="single" w:sz="7" w:space="0" w:color="000000"/>
              <w:bottom w:val="single" w:sz="7" w:space="0" w:color="000000"/>
              <w:right w:val="single" w:sz="7" w:space="0" w:color="000000"/>
            </w:tcBorders>
          </w:tcPr>
          <w:p w14:paraId="4831AECF"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Periods</w:t>
            </w:r>
          </w:p>
        </w:tc>
        <w:tc>
          <w:tcPr>
            <w:tcW w:w="1284" w:type="pct"/>
            <w:tcBorders>
              <w:top w:val="single" w:sz="7" w:space="0" w:color="000000"/>
              <w:left w:val="single" w:sz="7" w:space="0" w:color="000000"/>
              <w:bottom w:val="single" w:sz="7" w:space="0" w:color="000000"/>
              <w:right w:val="single" w:sz="7" w:space="0" w:color="000000"/>
            </w:tcBorders>
          </w:tcPr>
          <w:p w14:paraId="350C24A0"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Pamatsumma perioda sākumā</w:t>
            </w:r>
          </w:p>
        </w:tc>
        <w:tc>
          <w:tcPr>
            <w:tcW w:w="737" w:type="pct"/>
            <w:tcBorders>
              <w:top w:val="single" w:sz="7" w:space="0" w:color="000000"/>
              <w:left w:val="single" w:sz="7" w:space="0" w:color="000000"/>
              <w:bottom w:val="single" w:sz="7" w:space="0" w:color="000000"/>
              <w:right w:val="single" w:sz="7" w:space="0" w:color="000000"/>
            </w:tcBorders>
          </w:tcPr>
          <w:p w14:paraId="2DE5D768"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Perioda procenti</w:t>
            </w:r>
          </w:p>
        </w:tc>
        <w:tc>
          <w:tcPr>
            <w:tcW w:w="958" w:type="pct"/>
            <w:tcBorders>
              <w:top w:val="single" w:sz="7" w:space="0" w:color="000000"/>
              <w:left w:val="single" w:sz="7" w:space="0" w:color="000000"/>
              <w:bottom w:val="single" w:sz="7" w:space="0" w:color="000000"/>
              <w:right w:val="single" w:sz="7" w:space="0" w:color="000000"/>
            </w:tcBorders>
          </w:tcPr>
          <w:p w14:paraId="65857CFB"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Perioda amortizācija</w:t>
            </w:r>
          </w:p>
        </w:tc>
        <w:tc>
          <w:tcPr>
            <w:tcW w:w="1593" w:type="pct"/>
            <w:tcBorders>
              <w:top w:val="single" w:sz="7" w:space="0" w:color="000000"/>
              <w:left w:val="single" w:sz="7" w:space="0" w:color="000000"/>
              <w:bottom w:val="single" w:sz="7" w:space="0" w:color="000000"/>
              <w:right w:val="single" w:sz="7" w:space="0" w:color="000000"/>
            </w:tcBorders>
          </w:tcPr>
          <w:p w14:paraId="4D189EF8"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Gada maksa (kopējais gada maksājums)</w:t>
            </w:r>
          </w:p>
        </w:tc>
      </w:tr>
      <w:tr w:rsidR="00443399" w:rsidRPr="00B03B51" w14:paraId="6B7DC765" w14:textId="77777777" w:rsidTr="004B0DA3">
        <w:tc>
          <w:tcPr>
            <w:tcW w:w="429" w:type="pct"/>
            <w:tcBorders>
              <w:top w:val="single" w:sz="7" w:space="0" w:color="000000"/>
              <w:left w:val="single" w:sz="7" w:space="0" w:color="000000"/>
              <w:bottom w:val="single" w:sz="7" w:space="0" w:color="000000"/>
              <w:right w:val="single" w:sz="7" w:space="0" w:color="000000"/>
            </w:tcBorders>
          </w:tcPr>
          <w:p w14:paraId="02E123CE"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1</w:t>
            </w:r>
          </w:p>
          <w:p w14:paraId="1227565A"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2</w:t>
            </w:r>
          </w:p>
          <w:p w14:paraId="0A287D3D"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3</w:t>
            </w:r>
          </w:p>
          <w:p w14:paraId="4E593CAA"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4</w:t>
            </w:r>
          </w:p>
          <w:p w14:paraId="507925BE"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5</w:t>
            </w:r>
          </w:p>
          <w:p w14:paraId="52A9B7A6"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6</w:t>
            </w:r>
          </w:p>
          <w:p w14:paraId="53F73C09"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7</w:t>
            </w:r>
          </w:p>
          <w:p w14:paraId="4EC71237"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8</w:t>
            </w:r>
          </w:p>
        </w:tc>
        <w:tc>
          <w:tcPr>
            <w:tcW w:w="1284" w:type="pct"/>
            <w:tcBorders>
              <w:top w:val="single" w:sz="7" w:space="0" w:color="000000"/>
              <w:left w:val="single" w:sz="7" w:space="0" w:color="000000"/>
              <w:bottom w:val="single" w:sz="7" w:space="0" w:color="000000"/>
              <w:right w:val="single" w:sz="7" w:space="0" w:color="000000"/>
            </w:tcBorders>
          </w:tcPr>
          <w:p w14:paraId="4612A5DE"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10 000</w:t>
            </w:r>
          </w:p>
          <w:p w14:paraId="5471FFFA"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10 600</w:t>
            </w:r>
          </w:p>
          <w:p w14:paraId="3475FADA"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11 236</w:t>
            </w:r>
          </w:p>
          <w:p w14:paraId="2D255FA7"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11 910</w:t>
            </w:r>
          </w:p>
          <w:p w14:paraId="0DD35713"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11 910</w:t>
            </w:r>
          </w:p>
          <w:p w14:paraId="7FC0195D"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11 910</w:t>
            </w:r>
          </w:p>
          <w:p w14:paraId="0799FE19"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11 910</w:t>
            </w:r>
          </w:p>
          <w:p w14:paraId="39B5BB8E"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11 910</w:t>
            </w:r>
          </w:p>
        </w:tc>
        <w:tc>
          <w:tcPr>
            <w:tcW w:w="737" w:type="pct"/>
            <w:tcBorders>
              <w:top w:val="single" w:sz="7" w:space="0" w:color="000000"/>
              <w:left w:val="single" w:sz="7" w:space="0" w:color="000000"/>
              <w:bottom w:val="single" w:sz="7" w:space="0" w:color="000000"/>
              <w:right w:val="single" w:sz="7" w:space="0" w:color="000000"/>
            </w:tcBorders>
          </w:tcPr>
          <w:p w14:paraId="0BE91274"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(600)</w:t>
            </w:r>
          </w:p>
          <w:p w14:paraId="077593C8"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(636)</w:t>
            </w:r>
          </w:p>
          <w:p w14:paraId="44B31681"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(674)</w:t>
            </w:r>
          </w:p>
          <w:p w14:paraId="25732B35"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714</w:t>
            </w:r>
          </w:p>
          <w:p w14:paraId="4E4D49A6"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714</w:t>
            </w:r>
          </w:p>
          <w:p w14:paraId="060F4464"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714</w:t>
            </w:r>
          </w:p>
          <w:p w14:paraId="12BF7710"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714</w:t>
            </w:r>
          </w:p>
          <w:p w14:paraId="56476645"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714</w:t>
            </w:r>
          </w:p>
        </w:tc>
        <w:tc>
          <w:tcPr>
            <w:tcW w:w="958" w:type="pct"/>
            <w:tcBorders>
              <w:top w:val="single" w:sz="7" w:space="0" w:color="000000"/>
              <w:left w:val="single" w:sz="7" w:space="0" w:color="000000"/>
              <w:bottom w:val="single" w:sz="7" w:space="0" w:color="000000"/>
              <w:right w:val="single" w:sz="7" w:space="0" w:color="000000"/>
            </w:tcBorders>
          </w:tcPr>
          <w:p w14:paraId="0C2B4D85"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0</w:t>
            </w:r>
          </w:p>
          <w:p w14:paraId="7449A2BB"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0</w:t>
            </w:r>
          </w:p>
          <w:p w14:paraId="47F4E1B6"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0</w:t>
            </w:r>
          </w:p>
          <w:p w14:paraId="1883CDAC"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0</w:t>
            </w:r>
          </w:p>
          <w:p w14:paraId="13760F10"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0</w:t>
            </w:r>
          </w:p>
          <w:p w14:paraId="332C888B"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0</w:t>
            </w:r>
          </w:p>
          <w:p w14:paraId="4E7F0B05"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0</w:t>
            </w:r>
          </w:p>
          <w:p w14:paraId="7AD6A670"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11 910</w:t>
            </w:r>
          </w:p>
        </w:tc>
        <w:tc>
          <w:tcPr>
            <w:tcW w:w="1593" w:type="pct"/>
            <w:tcBorders>
              <w:top w:val="single" w:sz="7" w:space="0" w:color="000000"/>
              <w:left w:val="single" w:sz="7" w:space="0" w:color="000000"/>
              <w:bottom w:val="single" w:sz="7" w:space="0" w:color="000000"/>
              <w:right w:val="single" w:sz="7" w:space="0" w:color="000000"/>
            </w:tcBorders>
          </w:tcPr>
          <w:p w14:paraId="17BC1EE9"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0</w:t>
            </w:r>
          </w:p>
          <w:p w14:paraId="26FA8CD0"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0</w:t>
            </w:r>
          </w:p>
          <w:p w14:paraId="74F8DBEE"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0</w:t>
            </w:r>
          </w:p>
          <w:p w14:paraId="0A1A2789"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714</w:t>
            </w:r>
          </w:p>
          <w:p w14:paraId="286B5FCE"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714</w:t>
            </w:r>
          </w:p>
          <w:p w14:paraId="3A471BAE"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714</w:t>
            </w:r>
          </w:p>
          <w:p w14:paraId="54FDC4BE"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714</w:t>
            </w:r>
          </w:p>
          <w:p w14:paraId="26718165"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12 624</w:t>
            </w:r>
          </w:p>
        </w:tc>
      </w:tr>
      <w:tr w:rsidR="00443399" w:rsidRPr="00B03B51" w14:paraId="75E62125" w14:textId="77777777" w:rsidTr="004B0DA3">
        <w:tc>
          <w:tcPr>
            <w:tcW w:w="429" w:type="pct"/>
            <w:tcBorders>
              <w:top w:val="single" w:sz="7" w:space="0" w:color="000000"/>
              <w:left w:val="single" w:sz="7" w:space="0" w:color="000000"/>
              <w:bottom w:val="single" w:sz="7" w:space="0" w:color="000000"/>
              <w:right w:val="single" w:sz="7" w:space="0" w:color="000000"/>
            </w:tcBorders>
          </w:tcPr>
          <w:p w14:paraId="53576760"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Kopā</w:t>
            </w:r>
          </w:p>
        </w:tc>
        <w:tc>
          <w:tcPr>
            <w:tcW w:w="1284" w:type="pct"/>
            <w:tcBorders>
              <w:top w:val="single" w:sz="7" w:space="0" w:color="000000"/>
              <w:left w:val="single" w:sz="7" w:space="0" w:color="000000"/>
              <w:bottom w:val="single" w:sz="7" w:space="0" w:color="000000"/>
              <w:right w:val="single" w:sz="7" w:space="0" w:color="000000"/>
            </w:tcBorders>
          </w:tcPr>
          <w:p w14:paraId="5B25A71D" w14:textId="77777777" w:rsidR="00443399" w:rsidRPr="00B03B51" w:rsidRDefault="00443399" w:rsidP="0054365B">
            <w:pPr>
              <w:jc w:val="center"/>
              <w:rPr>
                <w:rFonts w:ascii="Times New Roman" w:hAnsi="Times New Roman" w:cs="Times New Roman"/>
                <w:noProof/>
                <w:sz w:val="24"/>
              </w:rPr>
            </w:pPr>
          </w:p>
        </w:tc>
        <w:tc>
          <w:tcPr>
            <w:tcW w:w="737" w:type="pct"/>
            <w:tcBorders>
              <w:top w:val="single" w:sz="7" w:space="0" w:color="000000"/>
              <w:left w:val="single" w:sz="7" w:space="0" w:color="000000"/>
              <w:bottom w:val="single" w:sz="7" w:space="0" w:color="000000"/>
              <w:right w:val="single" w:sz="7" w:space="0" w:color="000000"/>
            </w:tcBorders>
          </w:tcPr>
          <w:p w14:paraId="4E88EA30"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3570</w:t>
            </w:r>
          </w:p>
        </w:tc>
        <w:tc>
          <w:tcPr>
            <w:tcW w:w="958" w:type="pct"/>
            <w:tcBorders>
              <w:top w:val="single" w:sz="7" w:space="0" w:color="000000"/>
              <w:left w:val="single" w:sz="7" w:space="0" w:color="000000"/>
              <w:bottom w:val="single" w:sz="7" w:space="0" w:color="000000"/>
              <w:right w:val="single" w:sz="7" w:space="0" w:color="000000"/>
            </w:tcBorders>
          </w:tcPr>
          <w:p w14:paraId="758D076E"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11 910</w:t>
            </w:r>
          </w:p>
        </w:tc>
        <w:tc>
          <w:tcPr>
            <w:tcW w:w="1593" w:type="pct"/>
            <w:tcBorders>
              <w:top w:val="single" w:sz="7" w:space="0" w:color="000000"/>
              <w:left w:val="single" w:sz="7" w:space="0" w:color="000000"/>
              <w:bottom w:val="single" w:sz="7" w:space="0" w:color="000000"/>
              <w:right w:val="single" w:sz="7" w:space="0" w:color="000000"/>
            </w:tcBorders>
          </w:tcPr>
          <w:p w14:paraId="3E62F88D"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15 480</w:t>
            </w:r>
          </w:p>
        </w:tc>
      </w:tr>
    </w:tbl>
    <w:p w14:paraId="1892862C" w14:textId="77777777" w:rsidR="00443399" w:rsidRPr="00B03B51" w:rsidRDefault="00443399" w:rsidP="00443399">
      <w:pPr>
        <w:tabs>
          <w:tab w:val="left" w:pos="918"/>
        </w:tabs>
        <w:jc w:val="both"/>
        <w:rPr>
          <w:rFonts w:ascii="Times New Roman" w:hAnsi="Times New Roman" w:cs="Times New Roman"/>
          <w:b/>
          <w:noProof/>
          <w:sz w:val="24"/>
        </w:rPr>
      </w:pPr>
    </w:p>
    <w:p w14:paraId="48321808" w14:textId="77777777" w:rsidR="00443399" w:rsidRPr="00B03B51" w:rsidRDefault="00443399" w:rsidP="00443399">
      <w:pPr>
        <w:tabs>
          <w:tab w:val="left" w:pos="918"/>
        </w:tabs>
        <w:jc w:val="both"/>
        <w:rPr>
          <w:rFonts w:ascii="Times New Roman" w:hAnsi="Times New Roman" w:cs="Times New Roman"/>
          <w:b/>
          <w:noProof/>
          <w:sz w:val="24"/>
        </w:rPr>
      </w:pPr>
      <w:r w:rsidRPr="00B03B51">
        <w:rPr>
          <w:rFonts w:ascii="Times New Roman" w:hAnsi="Times New Roman" w:cs="Times New Roman"/>
          <w:b/>
          <w:sz w:val="24"/>
        </w:rPr>
        <w:t>2. Aizdevums ar nemainīgu amortizāciju</w:t>
      </w:r>
    </w:p>
    <w:p w14:paraId="44D0C0C6" w14:textId="77777777" w:rsidR="00443399" w:rsidRPr="00B03B51" w:rsidRDefault="00443399" w:rsidP="00443399">
      <w:pPr>
        <w:tabs>
          <w:tab w:val="left" w:pos="918"/>
        </w:tabs>
        <w:jc w:val="both"/>
        <w:rPr>
          <w:rFonts w:ascii="Times New Roman" w:hAnsi="Times New Roman" w:cs="Times New Roman"/>
          <w:b/>
          <w:noProof/>
          <w:sz w:val="24"/>
        </w:rPr>
      </w:pPr>
    </w:p>
    <w:tbl>
      <w:tblPr>
        <w:tblW w:w="0" w:type="auto"/>
        <w:tblCellMar>
          <w:top w:w="28" w:type="dxa"/>
          <w:left w:w="28" w:type="dxa"/>
          <w:bottom w:w="28" w:type="dxa"/>
          <w:right w:w="28" w:type="dxa"/>
        </w:tblCellMar>
        <w:tblLook w:val="01E0" w:firstRow="1" w:lastRow="1" w:firstColumn="1" w:lastColumn="1" w:noHBand="0" w:noVBand="0"/>
      </w:tblPr>
      <w:tblGrid>
        <w:gridCol w:w="1810"/>
        <w:gridCol w:w="1809"/>
        <w:gridCol w:w="1812"/>
        <w:gridCol w:w="1811"/>
        <w:gridCol w:w="1811"/>
      </w:tblGrid>
      <w:tr w:rsidR="00443399" w:rsidRPr="00B03B51" w14:paraId="7400A6B5" w14:textId="77777777" w:rsidTr="0054365B">
        <w:tc>
          <w:tcPr>
            <w:tcW w:w="1000" w:type="pct"/>
            <w:tcBorders>
              <w:top w:val="single" w:sz="7" w:space="0" w:color="000000"/>
              <w:left w:val="single" w:sz="7" w:space="0" w:color="000000"/>
              <w:bottom w:val="single" w:sz="7" w:space="0" w:color="000000"/>
              <w:right w:val="single" w:sz="7" w:space="0" w:color="000000"/>
            </w:tcBorders>
          </w:tcPr>
          <w:p w14:paraId="17804BEA"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Periods</w:t>
            </w:r>
          </w:p>
        </w:tc>
        <w:tc>
          <w:tcPr>
            <w:tcW w:w="999" w:type="pct"/>
            <w:tcBorders>
              <w:top w:val="single" w:sz="7" w:space="0" w:color="000000"/>
              <w:left w:val="single" w:sz="7" w:space="0" w:color="000000"/>
              <w:bottom w:val="single" w:sz="7" w:space="0" w:color="000000"/>
              <w:right w:val="single" w:sz="7" w:space="0" w:color="000000"/>
            </w:tcBorders>
          </w:tcPr>
          <w:p w14:paraId="2FED1DA3"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Pamatsumma perioda sākumā</w:t>
            </w:r>
          </w:p>
        </w:tc>
        <w:tc>
          <w:tcPr>
            <w:tcW w:w="1001" w:type="pct"/>
            <w:tcBorders>
              <w:top w:val="single" w:sz="7" w:space="0" w:color="000000"/>
              <w:left w:val="single" w:sz="7" w:space="0" w:color="000000"/>
              <w:bottom w:val="single" w:sz="7" w:space="0" w:color="000000"/>
              <w:right w:val="single" w:sz="7" w:space="0" w:color="000000"/>
            </w:tcBorders>
          </w:tcPr>
          <w:p w14:paraId="3696B096"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Perioda procenti</w:t>
            </w:r>
          </w:p>
        </w:tc>
        <w:tc>
          <w:tcPr>
            <w:tcW w:w="1000" w:type="pct"/>
            <w:tcBorders>
              <w:top w:val="single" w:sz="7" w:space="0" w:color="000000"/>
              <w:left w:val="single" w:sz="7" w:space="0" w:color="000000"/>
              <w:bottom w:val="single" w:sz="7" w:space="0" w:color="000000"/>
              <w:right w:val="single" w:sz="7" w:space="0" w:color="000000"/>
            </w:tcBorders>
          </w:tcPr>
          <w:p w14:paraId="4E013113"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Perioda amortizācija</w:t>
            </w:r>
          </w:p>
        </w:tc>
        <w:tc>
          <w:tcPr>
            <w:tcW w:w="1000" w:type="pct"/>
            <w:tcBorders>
              <w:top w:val="single" w:sz="7" w:space="0" w:color="000000"/>
              <w:left w:val="single" w:sz="7" w:space="0" w:color="000000"/>
              <w:bottom w:val="single" w:sz="7" w:space="0" w:color="000000"/>
              <w:right w:val="single" w:sz="7" w:space="0" w:color="000000"/>
            </w:tcBorders>
          </w:tcPr>
          <w:p w14:paraId="1EC483CA"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Gada maksa (kopējais gada maksājums)</w:t>
            </w:r>
          </w:p>
        </w:tc>
      </w:tr>
      <w:tr w:rsidR="00443399" w:rsidRPr="00B03B51" w14:paraId="50DE20C1" w14:textId="77777777" w:rsidTr="0054365B">
        <w:tc>
          <w:tcPr>
            <w:tcW w:w="1000" w:type="pct"/>
            <w:tcBorders>
              <w:top w:val="single" w:sz="7" w:space="0" w:color="000000"/>
              <w:left w:val="single" w:sz="7" w:space="0" w:color="000000"/>
              <w:bottom w:val="single" w:sz="7" w:space="0" w:color="000000"/>
              <w:right w:val="single" w:sz="7" w:space="0" w:color="000000"/>
            </w:tcBorders>
          </w:tcPr>
          <w:p w14:paraId="58087526"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1</w:t>
            </w:r>
          </w:p>
          <w:p w14:paraId="57831556"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2</w:t>
            </w:r>
          </w:p>
          <w:p w14:paraId="5AD6589C"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3</w:t>
            </w:r>
          </w:p>
          <w:p w14:paraId="6C1246BD"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4</w:t>
            </w:r>
          </w:p>
          <w:p w14:paraId="1430BA59"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5</w:t>
            </w:r>
          </w:p>
          <w:p w14:paraId="2C699B36"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6</w:t>
            </w:r>
          </w:p>
          <w:p w14:paraId="6A7426E7"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7</w:t>
            </w:r>
          </w:p>
          <w:p w14:paraId="05056648"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8</w:t>
            </w:r>
          </w:p>
        </w:tc>
        <w:tc>
          <w:tcPr>
            <w:tcW w:w="999" w:type="pct"/>
            <w:tcBorders>
              <w:top w:val="single" w:sz="7" w:space="0" w:color="000000"/>
              <w:left w:val="single" w:sz="7" w:space="0" w:color="000000"/>
              <w:bottom w:val="single" w:sz="7" w:space="0" w:color="000000"/>
              <w:right w:val="single" w:sz="7" w:space="0" w:color="000000"/>
            </w:tcBorders>
          </w:tcPr>
          <w:p w14:paraId="3B317D06"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10 000</w:t>
            </w:r>
          </w:p>
          <w:p w14:paraId="749610BD"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10 600</w:t>
            </w:r>
          </w:p>
          <w:p w14:paraId="3C0D2064"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11 236</w:t>
            </w:r>
          </w:p>
          <w:p w14:paraId="5EA06E60"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11 910</w:t>
            </w:r>
          </w:p>
          <w:p w14:paraId="4BB72EBE"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9528</w:t>
            </w:r>
          </w:p>
          <w:p w14:paraId="4D890F02"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7146</w:t>
            </w:r>
          </w:p>
          <w:p w14:paraId="1E118D5B"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4764</w:t>
            </w:r>
          </w:p>
          <w:p w14:paraId="2268966E"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2382</w:t>
            </w:r>
          </w:p>
        </w:tc>
        <w:tc>
          <w:tcPr>
            <w:tcW w:w="1001" w:type="pct"/>
            <w:tcBorders>
              <w:top w:val="single" w:sz="7" w:space="0" w:color="000000"/>
              <w:left w:val="single" w:sz="7" w:space="0" w:color="000000"/>
              <w:bottom w:val="single" w:sz="7" w:space="0" w:color="000000"/>
              <w:right w:val="single" w:sz="7" w:space="0" w:color="000000"/>
            </w:tcBorders>
          </w:tcPr>
          <w:p w14:paraId="215FC08C" w14:textId="77777777" w:rsidR="00443399" w:rsidRPr="00B03B51" w:rsidRDefault="00443399" w:rsidP="0054365B">
            <w:pPr>
              <w:pStyle w:val="TableParagraph"/>
              <w:jc w:val="center"/>
              <w:rPr>
                <w:rFonts w:ascii="Times New Roman" w:hAnsi="Times New Roman" w:cs="Times New Roman"/>
                <w:i/>
                <w:noProof/>
                <w:sz w:val="24"/>
              </w:rPr>
            </w:pPr>
            <w:r w:rsidRPr="00B03B51">
              <w:rPr>
                <w:rFonts w:ascii="Times New Roman" w:hAnsi="Times New Roman" w:cs="Times New Roman"/>
                <w:i/>
                <w:sz w:val="24"/>
              </w:rPr>
              <w:t>600</w:t>
            </w:r>
          </w:p>
          <w:p w14:paraId="716A7261" w14:textId="77777777" w:rsidR="00443399" w:rsidRPr="00B03B51" w:rsidRDefault="00443399" w:rsidP="0054365B">
            <w:pPr>
              <w:pStyle w:val="TableParagraph"/>
              <w:jc w:val="center"/>
              <w:rPr>
                <w:rFonts w:ascii="Times New Roman" w:hAnsi="Times New Roman" w:cs="Times New Roman"/>
                <w:i/>
                <w:noProof/>
                <w:sz w:val="24"/>
              </w:rPr>
            </w:pPr>
            <w:r w:rsidRPr="00B03B51">
              <w:rPr>
                <w:rFonts w:ascii="Times New Roman" w:hAnsi="Times New Roman" w:cs="Times New Roman"/>
                <w:i/>
                <w:sz w:val="24"/>
              </w:rPr>
              <w:t>636</w:t>
            </w:r>
          </w:p>
          <w:p w14:paraId="1BB2E3EF" w14:textId="77777777" w:rsidR="00443399" w:rsidRPr="00B03B51" w:rsidRDefault="00443399" w:rsidP="0054365B">
            <w:pPr>
              <w:pStyle w:val="TableParagraph"/>
              <w:jc w:val="center"/>
              <w:rPr>
                <w:rFonts w:ascii="Times New Roman" w:hAnsi="Times New Roman" w:cs="Times New Roman"/>
                <w:i/>
                <w:noProof/>
                <w:sz w:val="24"/>
              </w:rPr>
            </w:pPr>
            <w:r w:rsidRPr="00B03B51">
              <w:rPr>
                <w:rFonts w:ascii="Times New Roman" w:hAnsi="Times New Roman" w:cs="Times New Roman"/>
                <w:i/>
                <w:sz w:val="24"/>
              </w:rPr>
              <w:t>674</w:t>
            </w:r>
          </w:p>
          <w:p w14:paraId="38DF027E"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715</w:t>
            </w:r>
          </w:p>
          <w:p w14:paraId="5E6F7E3A"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572</w:t>
            </w:r>
          </w:p>
          <w:p w14:paraId="764A6AD5"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429</w:t>
            </w:r>
          </w:p>
          <w:p w14:paraId="1FF15F92"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286</w:t>
            </w:r>
          </w:p>
          <w:p w14:paraId="09EC36FD"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143</w:t>
            </w:r>
          </w:p>
        </w:tc>
        <w:tc>
          <w:tcPr>
            <w:tcW w:w="1000" w:type="pct"/>
            <w:tcBorders>
              <w:top w:val="single" w:sz="7" w:space="0" w:color="000000"/>
              <w:left w:val="single" w:sz="7" w:space="0" w:color="000000"/>
              <w:bottom w:val="single" w:sz="7" w:space="0" w:color="000000"/>
              <w:right w:val="single" w:sz="7" w:space="0" w:color="000000"/>
            </w:tcBorders>
          </w:tcPr>
          <w:p w14:paraId="46063E4F"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0</w:t>
            </w:r>
          </w:p>
          <w:p w14:paraId="78913197"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0</w:t>
            </w:r>
          </w:p>
          <w:p w14:paraId="75286656"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0</w:t>
            </w:r>
          </w:p>
          <w:p w14:paraId="29EAF471"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2382</w:t>
            </w:r>
          </w:p>
          <w:p w14:paraId="35B06EFD"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2382</w:t>
            </w:r>
          </w:p>
          <w:p w14:paraId="4C9EB4E1"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2382</w:t>
            </w:r>
          </w:p>
          <w:p w14:paraId="7F8DF4D3"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2382</w:t>
            </w:r>
          </w:p>
          <w:p w14:paraId="03F641BC"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2382</w:t>
            </w:r>
          </w:p>
        </w:tc>
        <w:tc>
          <w:tcPr>
            <w:tcW w:w="1000" w:type="pct"/>
            <w:tcBorders>
              <w:top w:val="single" w:sz="7" w:space="0" w:color="000000"/>
              <w:left w:val="single" w:sz="7" w:space="0" w:color="000000"/>
              <w:bottom w:val="single" w:sz="7" w:space="0" w:color="000000"/>
              <w:right w:val="single" w:sz="7" w:space="0" w:color="000000"/>
            </w:tcBorders>
          </w:tcPr>
          <w:p w14:paraId="19447F2C"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0</w:t>
            </w:r>
          </w:p>
          <w:p w14:paraId="73CF8576"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0</w:t>
            </w:r>
          </w:p>
          <w:p w14:paraId="7B3FEED5"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0</w:t>
            </w:r>
          </w:p>
          <w:p w14:paraId="5EBA6207"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3097</w:t>
            </w:r>
          </w:p>
          <w:p w14:paraId="2F4FA21A"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2954</w:t>
            </w:r>
          </w:p>
          <w:p w14:paraId="1D0A8714"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2811</w:t>
            </w:r>
          </w:p>
          <w:p w14:paraId="37ECD69E"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2668</w:t>
            </w:r>
          </w:p>
          <w:p w14:paraId="13F248C3"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2525</w:t>
            </w:r>
          </w:p>
        </w:tc>
      </w:tr>
      <w:tr w:rsidR="00443399" w:rsidRPr="00B03B51" w14:paraId="6EDABDFF" w14:textId="77777777" w:rsidTr="0054365B">
        <w:tc>
          <w:tcPr>
            <w:tcW w:w="1000" w:type="pct"/>
            <w:tcBorders>
              <w:top w:val="single" w:sz="7" w:space="0" w:color="000000"/>
              <w:left w:val="single" w:sz="7" w:space="0" w:color="000000"/>
              <w:bottom w:val="single" w:sz="7" w:space="0" w:color="000000"/>
              <w:right w:val="single" w:sz="7" w:space="0" w:color="000000"/>
            </w:tcBorders>
          </w:tcPr>
          <w:p w14:paraId="749B63A0"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Kopā</w:t>
            </w:r>
          </w:p>
        </w:tc>
        <w:tc>
          <w:tcPr>
            <w:tcW w:w="999" w:type="pct"/>
            <w:tcBorders>
              <w:top w:val="single" w:sz="7" w:space="0" w:color="000000"/>
              <w:left w:val="single" w:sz="7" w:space="0" w:color="000000"/>
              <w:bottom w:val="single" w:sz="7" w:space="0" w:color="000000"/>
              <w:right w:val="single" w:sz="7" w:space="0" w:color="000000"/>
            </w:tcBorders>
          </w:tcPr>
          <w:p w14:paraId="0849F753" w14:textId="77777777" w:rsidR="00443399" w:rsidRPr="00B03B51" w:rsidRDefault="00443399" w:rsidP="0054365B">
            <w:pPr>
              <w:jc w:val="center"/>
              <w:rPr>
                <w:rFonts w:ascii="Times New Roman" w:hAnsi="Times New Roman" w:cs="Times New Roman"/>
                <w:noProof/>
                <w:sz w:val="24"/>
              </w:rPr>
            </w:pPr>
          </w:p>
        </w:tc>
        <w:tc>
          <w:tcPr>
            <w:tcW w:w="1001" w:type="pct"/>
            <w:tcBorders>
              <w:top w:val="single" w:sz="7" w:space="0" w:color="000000"/>
              <w:left w:val="single" w:sz="7" w:space="0" w:color="000000"/>
              <w:bottom w:val="single" w:sz="7" w:space="0" w:color="000000"/>
              <w:right w:val="single" w:sz="7" w:space="0" w:color="000000"/>
            </w:tcBorders>
          </w:tcPr>
          <w:p w14:paraId="18A1EAEB"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2144</w:t>
            </w:r>
          </w:p>
        </w:tc>
        <w:tc>
          <w:tcPr>
            <w:tcW w:w="1000" w:type="pct"/>
            <w:tcBorders>
              <w:top w:val="single" w:sz="7" w:space="0" w:color="000000"/>
              <w:left w:val="single" w:sz="7" w:space="0" w:color="000000"/>
              <w:bottom w:val="single" w:sz="7" w:space="0" w:color="000000"/>
              <w:right w:val="single" w:sz="7" w:space="0" w:color="000000"/>
            </w:tcBorders>
          </w:tcPr>
          <w:p w14:paraId="16BE02F4"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11 910</w:t>
            </w:r>
          </w:p>
        </w:tc>
        <w:tc>
          <w:tcPr>
            <w:tcW w:w="1000" w:type="pct"/>
            <w:tcBorders>
              <w:top w:val="single" w:sz="7" w:space="0" w:color="000000"/>
              <w:left w:val="single" w:sz="7" w:space="0" w:color="000000"/>
              <w:bottom w:val="single" w:sz="7" w:space="0" w:color="000000"/>
              <w:right w:val="single" w:sz="7" w:space="0" w:color="000000"/>
            </w:tcBorders>
          </w:tcPr>
          <w:p w14:paraId="12840C5B"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14 054</w:t>
            </w:r>
          </w:p>
        </w:tc>
      </w:tr>
    </w:tbl>
    <w:p w14:paraId="58B7CFA7" w14:textId="77777777" w:rsidR="00443399" w:rsidRPr="00B03B51" w:rsidRDefault="00443399" w:rsidP="00443399">
      <w:pPr>
        <w:jc w:val="both"/>
        <w:rPr>
          <w:rFonts w:ascii="Times New Roman" w:eastAsia="Arial" w:hAnsi="Times New Roman" w:cs="Times New Roman"/>
          <w:b/>
          <w:bCs/>
          <w:noProof/>
          <w:sz w:val="24"/>
          <w:szCs w:val="6"/>
        </w:rPr>
      </w:pPr>
    </w:p>
    <w:p w14:paraId="1EA628CA" w14:textId="77777777" w:rsidR="00443399" w:rsidRPr="00B03B51" w:rsidRDefault="00443399" w:rsidP="00210375">
      <w:pPr>
        <w:keepNext/>
        <w:tabs>
          <w:tab w:val="left" w:pos="918"/>
        </w:tabs>
        <w:jc w:val="both"/>
        <w:rPr>
          <w:rFonts w:ascii="Times New Roman" w:hAnsi="Times New Roman" w:cs="Times New Roman"/>
          <w:b/>
          <w:noProof/>
          <w:sz w:val="24"/>
        </w:rPr>
      </w:pPr>
      <w:r w:rsidRPr="00B03B51">
        <w:rPr>
          <w:rFonts w:ascii="Times New Roman" w:hAnsi="Times New Roman" w:cs="Times New Roman"/>
          <w:b/>
          <w:sz w:val="24"/>
        </w:rPr>
        <w:t>3. Aizdevums ar nemainīgu gada maksu</w:t>
      </w:r>
    </w:p>
    <w:p w14:paraId="67778F2B" w14:textId="77777777" w:rsidR="00443399" w:rsidRPr="00B03B51" w:rsidRDefault="00443399" w:rsidP="00210375">
      <w:pPr>
        <w:keepNext/>
        <w:tabs>
          <w:tab w:val="left" w:pos="918"/>
        </w:tabs>
        <w:jc w:val="both"/>
        <w:rPr>
          <w:rFonts w:ascii="Times New Roman" w:hAnsi="Times New Roman" w:cs="Times New Roman"/>
          <w:b/>
          <w:noProof/>
          <w:sz w:val="24"/>
        </w:rPr>
      </w:pPr>
    </w:p>
    <w:tbl>
      <w:tblPr>
        <w:tblW w:w="5000" w:type="pct"/>
        <w:tblCellMar>
          <w:top w:w="28" w:type="dxa"/>
          <w:left w:w="28" w:type="dxa"/>
          <w:bottom w:w="28" w:type="dxa"/>
          <w:right w:w="28" w:type="dxa"/>
        </w:tblCellMar>
        <w:tblLook w:val="01E0" w:firstRow="1" w:lastRow="1" w:firstColumn="1" w:lastColumn="1" w:noHBand="0" w:noVBand="0"/>
      </w:tblPr>
      <w:tblGrid>
        <w:gridCol w:w="777"/>
        <w:gridCol w:w="2325"/>
        <w:gridCol w:w="1334"/>
        <w:gridCol w:w="1735"/>
        <w:gridCol w:w="2882"/>
      </w:tblGrid>
      <w:tr w:rsidR="00443399" w:rsidRPr="00B03B51" w14:paraId="75F8BB3A" w14:textId="77777777" w:rsidTr="004B0DA3">
        <w:tc>
          <w:tcPr>
            <w:tcW w:w="429" w:type="pct"/>
            <w:tcBorders>
              <w:top w:val="single" w:sz="7" w:space="0" w:color="000000"/>
              <w:left w:val="single" w:sz="7" w:space="0" w:color="000000"/>
              <w:bottom w:val="single" w:sz="7" w:space="0" w:color="000000"/>
              <w:right w:val="single" w:sz="7" w:space="0" w:color="000000"/>
            </w:tcBorders>
          </w:tcPr>
          <w:p w14:paraId="70BC50E4"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Periods</w:t>
            </w:r>
          </w:p>
        </w:tc>
        <w:tc>
          <w:tcPr>
            <w:tcW w:w="1284" w:type="pct"/>
            <w:tcBorders>
              <w:top w:val="single" w:sz="7" w:space="0" w:color="000000"/>
              <w:left w:val="single" w:sz="7" w:space="0" w:color="000000"/>
              <w:bottom w:val="single" w:sz="7" w:space="0" w:color="000000"/>
              <w:right w:val="single" w:sz="7" w:space="0" w:color="000000"/>
            </w:tcBorders>
          </w:tcPr>
          <w:p w14:paraId="037826BB"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Pamatsumma perioda sākumā</w:t>
            </w:r>
          </w:p>
        </w:tc>
        <w:tc>
          <w:tcPr>
            <w:tcW w:w="737" w:type="pct"/>
            <w:tcBorders>
              <w:top w:val="single" w:sz="7" w:space="0" w:color="000000"/>
              <w:left w:val="single" w:sz="7" w:space="0" w:color="000000"/>
              <w:bottom w:val="single" w:sz="7" w:space="0" w:color="000000"/>
              <w:right w:val="single" w:sz="7" w:space="0" w:color="000000"/>
            </w:tcBorders>
          </w:tcPr>
          <w:p w14:paraId="337276A0"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Perioda procenti</w:t>
            </w:r>
          </w:p>
        </w:tc>
        <w:tc>
          <w:tcPr>
            <w:tcW w:w="958" w:type="pct"/>
            <w:tcBorders>
              <w:top w:val="single" w:sz="7" w:space="0" w:color="000000"/>
              <w:left w:val="single" w:sz="7" w:space="0" w:color="000000"/>
              <w:bottom w:val="single" w:sz="7" w:space="0" w:color="000000"/>
              <w:right w:val="single" w:sz="7" w:space="0" w:color="000000"/>
            </w:tcBorders>
          </w:tcPr>
          <w:p w14:paraId="493DB5C9"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Perioda amortizācija</w:t>
            </w:r>
          </w:p>
        </w:tc>
        <w:tc>
          <w:tcPr>
            <w:tcW w:w="1593" w:type="pct"/>
            <w:tcBorders>
              <w:top w:val="single" w:sz="7" w:space="0" w:color="000000"/>
              <w:left w:val="single" w:sz="7" w:space="0" w:color="000000"/>
              <w:bottom w:val="single" w:sz="7" w:space="0" w:color="000000"/>
              <w:right w:val="single" w:sz="7" w:space="0" w:color="000000"/>
            </w:tcBorders>
          </w:tcPr>
          <w:p w14:paraId="5F73BBCE"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Gada maksa (kopējais gada maksājums)</w:t>
            </w:r>
          </w:p>
        </w:tc>
      </w:tr>
      <w:tr w:rsidR="00443399" w:rsidRPr="00B03B51" w14:paraId="1B7EFF54" w14:textId="77777777" w:rsidTr="004B0DA3">
        <w:tc>
          <w:tcPr>
            <w:tcW w:w="429" w:type="pct"/>
            <w:tcBorders>
              <w:top w:val="single" w:sz="7" w:space="0" w:color="000000"/>
              <w:left w:val="single" w:sz="7" w:space="0" w:color="000000"/>
              <w:bottom w:val="single" w:sz="7" w:space="0" w:color="000000"/>
              <w:right w:val="single" w:sz="7" w:space="0" w:color="000000"/>
            </w:tcBorders>
          </w:tcPr>
          <w:p w14:paraId="6233A7C4"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1</w:t>
            </w:r>
          </w:p>
          <w:p w14:paraId="72B7E23E"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lastRenderedPageBreak/>
              <w:t>2</w:t>
            </w:r>
          </w:p>
          <w:p w14:paraId="136F4EC6"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3</w:t>
            </w:r>
          </w:p>
          <w:p w14:paraId="302DCB49"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4</w:t>
            </w:r>
          </w:p>
          <w:p w14:paraId="67DC82B0"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5</w:t>
            </w:r>
          </w:p>
          <w:p w14:paraId="118E8B9B"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6</w:t>
            </w:r>
          </w:p>
          <w:p w14:paraId="248E81D7"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7</w:t>
            </w:r>
          </w:p>
          <w:p w14:paraId="0A17E85B"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8</w:t>
            </w:r>
          </w:p>
        </w:tc>
        <w:tc>
          <w:tcPr>
            <w:tcW w:w="1284" w:type="pct"/>
            <w:tcBorders>
              <w:top w:val="single" w:sz="7" w:space="0" w:color="000000"/>
              <w:left w:val="single" w:sz="7" w:space="0" w:color="000000"/>
              <w:bottom w:val="single" w:sz="7" w:space="0" w:color="000000"/>
              <w:right w:val="single" w:sz="7" w:space="0" w:color="000000"/>
            </w:tcBorders>
          </w:tcPr>
          <w:p w14:paraId="523996F7"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lastRenderedPageBreak/>
              <w:t>10 000</w:t>
            </w:r>
          </w:p>
          <w:p w14:paraId="06616C82"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lastRenderedPageBreak/>
              <w:t>10 636</w:t>
            </w:r>
          </w:p>
          <w:p w14:paraId="628C647B"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11 236</w:t>
            </w:r>
          </w:p>
          <w:p w14:paraId="3EF7B7CC"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11 910</w:t>
            </w:r>
          </w:p>
          <w:p w14:paraId="4052E347"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9797</w:t>
            </w:r>
          </w:p>
          <w:p w14:paraId="46E5F049"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7558</w:t>
            </w:r>
          </w:p>
          <w:p w14:paraId="7E400405"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5184</w:t>
            </w:r>
          </w:p>
          <w:p w14:paraId="78E73C68"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2667</w:t>
            </w:r>
          </w:p>
        </w:tc>
        <w:tc>
          <w:tcPr>
            <w:tcW w:w="737" w:type="pct"/>
            <w:tcBorders>
              <w:top w:val="single" w:sz="7" w:space="0" w:color="000000"/>
              <w:left w:val="single" w:sz="7" w:space="0" w:color="000000"/>
              <w:bottom w:val="single" w:sz="7" w:space="0" w:color="000000"/>
              <w:right w:val="single" w:sz="7" w:space="0" w:color="000000"/>
            </w:tcBorders>
          </w:tcPr>
          <w:p w14:paraId="5A056714" w14:textId="77777777" w:rsidR="00443399" w:rsidRPr="00B03B51" w:rsidRDefault="00443399" w:rsidP="0054365B">
            <w:pPr>
              <w:pStyle w:val="TableParagraph"/>
              <w:jc w:val="center"/>
              <w:rPr>
                <w:rFonts w:ascii="Times New Roman" w:hAnsi="Times New Roman" w:cs="Times New Roman"/>
                <w:i/>
                <w:noProof/>
                <w:sz w:val="24"/>
              </w:rPr>
            </w:pPr>
            <w:r w:rsidRPr="00B03B51">
              <w:rPr>
                <w:rFonts w:ascii="Times New Roman" w:hAnsi="Times New Roman" w:cs="Times New Roman"/>
                <w:i/>
                <w:sz w:val="24"/>
              </w:rPr>
              <w:lastRenderedPageBreak/>
              <w:t>600</w:t>
            </w:r>
          </w:p>
          <w:p w14:paraId="1C504981" w14:textId="77777777" w:rsidR="00443399" w:rsidRPr="00B03B51" w:rsidRDefault="00443399" w:rsidP="0054365B">
            <w:pPr>
              <w:pStyle w:val="TableParagraph"/>
              <w:jc w:val="center"/>
              <w:rPr>
                <w:rFonts w:ascii="Times New Roman" w:hAnsi="Times New Roman" w:cs="Times New Roman"/>
                <w:i/>
                <w:noProof/>
                <w:sz w:val="24"/>
              </w:rPr>
            </w:pPr>
            <w:r w:rsidRPr="00B03B51">
              <w:rPr>
                <w:rFonts w:ascii="Times New Roman" w:hAnsi="Times New Roman" w:cs="Times New Roman"/>
                <w:i/>
                <w:sz w:val="24"/>
              </w:rPr>
              <w:lastRenderedPageBreak/>
              <w:t>636</w:t>
            </w:r>
          </w:p>
          <w:p w14:paraId="4F20882B" w14:textId="77777777" w:rsidR="00443399" w:rsidRPr="00B03B51" w:rsidRDefault="00443399" w:rsidP="0054365B">
            <w:pPr>
              <w:pStyle w:val="TableParagraph"/>
              <w:jc w:val="center"/>
              <w:rPr>
                <w:rFonts w:ascii="Times New Roman" w:hAnsi="Times New Roman" w:cs="Times New Roman"/>
                <w:i/>
                <w:noProof/>
                <w:sz w:val="24"/>
              </w:rPr>
            </w:pPr>
            <w:r w:rsidRPr="00B03B51">
              <w:rPr>
                <w:rFonts w:ascii="Times New Roman" w:hAnsi="Times New Roman" w:cs="Times New Roman"/>
                <w:i/>
                <w:sz w:val="24"/>
              </w:rPr>
              <w:t>674</w:t>
            </w:r>
          </w:p>
          <w:p w14:paraId="2E14BD34"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715</w:t>
            </w:r>
          </w:p>
          <w:p w14:paraId="6CAB36B9"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588</w:t>
            </w:r>
          </w:p>
          <w:p w14:paraId="7F5F584E"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453</w:t>
            </w:r>
          </w:p>
          <w:p w14:paraId="07CBA758"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311</w:t>
            </w:r>
          </w:p>
          <w:p w14:paraId="2ADF89F3"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160</w:t>
            </w:r>
          </w:p>
        </w:tc>
        <w:tc>
          <w:tcPr>
            <w:tcW w:w="958" w:type="pct"/>
            <w:tcBorders>
              <w:top w:val="single" w:sz="7" w:space="0" w:color="000000"/>
              <w:left w:val="single" w:sz="7" w:space="0" w:color="000000"/>
              <w:bottom w:val="single" w:sz="7" w:space="0" w:color="000000"/>
              <w:right w:val="single" w:sz="7" w:space="0" w:color="000000"/>
            </w:tcBorders>
          </w:tcPr>
          <w:p w14:paraId="5CBC04D8"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lastRenderedPageBreak/>
              <w:t>0</w:t>
            </w:r>
          </w:p>
          <w:p w14:paraId="3412BCF1"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lastRenderedPageBreak/>
              <w:t>0</w:t>
            </w:r>
          </w:p>
          <w:p w14:paraId="4DE747A9"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0</w:t>
            </w:r>
          </w:p>
          <w:p w14:paraId="3CB4FDA1"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2113</w:t>
            </w:r>
          </w:p>
          <w:p w14:paraId="0672DE29"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2240</w:t>
            </w:r>
          </w:p>
          <w:p w14:paraId="7FC1881B"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2374</w:t>
            </w:r>
          </w:p>
          <w:p w14:paraId="3E8F835F"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2516</w:t>
            </w:r>
          </w:p>
          <w:p w14:paraId="22AFAE41"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2667</w:t>
            </w:r>
          </w:p>
        </w:tc>
        <w:tc>
          <w:tcPr>
            <w:tcW w:w="1593" w:type="pct"/>
            <w:tcBorders>
              <w:top w:val="single" w:sz="7" w:space="0" w:color="000000"/>
              <w:left w:val="single" w:sz="7" w:space="0" w:color="000000"/>
              <w:bottom w:val="single" w:sz="7" w:space="0" w:color="000000"/>
              <w:right w:val="single" w:sz="7" w:space="0" w:color="000000"/>
            </w:tcBorders>
          </w:tcPr>
          <w:p w14:paraId="48BCA5D1"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lastRenderedPageBreak/>
              <w:t>0</w:t>
            </w:r>
          </w:p>
          <w:p w14:paraId="0832113B"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lastRenderedPageBreak/>
              <w:t>0</w:t>
            </w:r>
          </w:p>
          <w:p w14:paraId="03CBB0CC"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0</w:t>
            </w:r>
          </w:p>
          <w:p w14:paraId="384A239A"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2827</w:t>
            </w:r>
          </w:p>
          <w:p w14:paraId="0F44AC35"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2827</w:t>
            </w:r>
          </w:p>
          <w:p w14:paraId="588F17E3"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2827</w:t>
            </w:r>
          </w:p>
          <w:p w14:paraId="049446DF"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2827</w:t>
            </w:r>
          </w:p>
          <w:p w14:paraId="476F7F9A"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2827</w:t>
            </w:r>
          </w:p>
        </w:tc>
      </w:tr>
      <w:tr w:rsidR="00443399" w:rsidRPr="00B03B51" w14:paraId="776917E2" w14:textId="77777777" w:rsidTr="004B0DA3">
        <w:tc>
          <w:tcPr>
            <w:tcW w:w="429" w:type="pct"/>
            <w:tcBorders>
              <w:top w:val="single" w:sz="7" w:space="0" w:color="000000"/>
              <w:left w:val="single" w:sz="7" w:space="0" w:color="000000"/>
              <w:bottom w:val="single" w:sz="7" w:space="0" w:color="000000"/>
              <w:right w:val="single" w:sz="7" w:space="0" w:color="000000"/>
            </w:tcBorders>
          </w:tcPr>
          <w:p w14:paraId="7215FED2"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lastRenderedPageBreak/>
              <w:t>Kopā</w:t>
            </w:r>
          </w:p>
        </w:tc>
        <w:tc>
          <w:tcPr>
            <w:tcW w:w="1284" w:type="pct"/>
            <w:tcBorders>
              <w:top w:val="single" w:sz="7" w:space="0" w:color="000000"/>
              <w:left w:val="single" w:sz="7" w:space="0" w:color="000000"/>
              <w:bottom w:val="single" w:sz="7" w:space="0" w:color="000000"/>
              <w:right w:val="single" w:sz="7" w:space="0" w:color="000000"/>
            </w:tcBorders>
          </w:tcPr>
          <w:p w14:paraId="50DDBF2A" w14:textId="77777777" w:rsidR="00443399" w:rsidRPr="00B03B51" w:rsidRDefault="00443399" w:rsidP="0054365B">
            <w:pPr>
              <w:jc w:val="center"/>
              <w:rPr>
                <w:rFonts w:ascii="Times New Roman" w:hAnsi="Times New Roman" w:cs="Times New Roman"/>
                <w:noProof/>
                <w:sz w:val="24"/>
              </w:rPr>
            </w:pPr>
          </w:p>
        </w:tc>
        <w:tc>
          <w:tcPr>
            <w:tcW w:w="737" w:type="pct"/>
            <w:tcBorders>
              <w:top w:val="single" w:sz="7" w:space="0" w:color="000000"/>
              <w:left w:val="single" w:sz="7" w:space="0" w:color="000000"/>
              <w:bottom w:val="single" w:sz="7" w:space="0" w:color="000000"/>
              <w:right w:val="single" w:sz="7" w:space="0" w:color="000000"/>
            </w:tcBorders>
          </w:tcPr>
          <w:p w14:paraId="65FB9848"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2227</w:t>
            </w:r>
          </w:p>
        </w:tc>
        <w:tc>
          <w:tcPr>
            <w:tcW w:w="958" w:type="pct"/>
            <w:tcBorders>
              <w:top w:val="single" w:sz="7" w:space="0" w:color="000000"/>
              <w:left w:val="single" w:sz="7" w:space="0" w:color="000000"/>
              <w:bottom w:val="single" w:sz="7" w:space="0" w:color="000000"/>
              <w:right w:val="single" w:sz="7" w:space="0" w:color="000000"/>
            </w:tcBorders>
          </w:tcPr>
          <w:p w14:paraId="000DDCD3"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11 910</w:t>
            </w:r>
          </w:p>
        </w:tc>
        <w:tc>
          <w:tcPr>
            <w:tcW w:w="1593" w:type="pct"/>
            <w:tcBorders>
              <w:top w:val="single" w:sz="7" w:space="0" w:color="000000"/>
              <w:left w:val="single" w:sz="7" w:space="0" w:color="000000"/>
              <w:bottom w:val="single" w:sz="7" w:space="0" w:color="000000"/>
              <w:right w:val="single" w:sz="7" w:space="0" w:color="000000"/>
            </w:tcBorders>
          </w:tcPr>
          <w:p w14:paraId="2EDD35E3"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14 137</w:t>
            </w:r>
          </w:p>
        </w:tc>
      </w:tr>
    </w:tbl>
    <w:p w14:paraId="15C63F73" w14:textId="77777777" w:rsidR="00443399" w:rsidRPr="00B03B51" w:rsidRDefault="00443399" w:rsidP="00443399">
      <w:pPr>
        <w:jc w:val="both"/>
        <w:rPr>
          <w:rFonts w:ascii="Times New Roman" w:eastAsia="Arial" w:hAnsi="Times New Roman" w:cs="Times New Roman"/>
          <w:b/>
          <w:bCs/>
          <w:noProof/>
          <w:sz w:val="24"/>
          <w:szCs w:val="25"/>
        </w:rPr>
      </w:pPr>
    </w:p>
    <w:p w14:paraId="717CEC7A" w14:textId="77777777" w:rsidR="00443399" w:rsidRPr="00B03B51" w:rsidRDefault="00443399" w:rsidP="00443399">
      <w:pPr>
        <w:jc w:val="both"/>
        <w:rPr>
          <w:rFonts w:ascii="Times New Roman" w:hAnsi="Times New Roman" w:cs="Times New Roman"/>
          <w:b/>
          <w:noProof/>
          <w:sz w:val="24"/>
        </w:rPr>
      </w:pPr>
      <w:r w:rsidRPr="00B03B51">
        <w:rPr>
          <w:rFonts w:ascii="Times New Roman" w:hAnsi="Times New Roman" w:cs="Times New Roman"/>
          <w:b/>
          <w:sz w:val="24"/>
        </w:rPr>
        <w:t>Gadījums C1</w:t>
      </w:r>
    </w:p>
    <w:p w14:paraId="6088EC05" w14:textId="77777777" w:rsidR="00443399" w:rsidRPr="00B03B51" w:rsidRDefault="00443399" w:rsidP="00443399">
      <w:pPr>
        <w:pStyle w:val="BodyText"/>
        <w:spacing w:before="0"/>
        <w:ind w:left="0" w:firstLine="0"/>
        <w:jc w:val="both"/>
        <w:rPr>
          <w:rFonts w:ascii="Times New Roman" w:hAnsi="Times New Roman" w:cs="Times New Roman"/>
          <w:noProof/>
          <w:sz w:val="24"/>
        </w:rPr>
      </w:pPr>
    </w:p>
    <w:p w14:paraId="7FD364A3" w14:textId="77777777" w:rsidR="00443399" w:rsidRPr="00B03B51" w:rsidRDefault="00443399" w:rsidP="00443399">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t>Jaunā procentu likme ir samazināta no 6 % uz 4 %. Saskaņots jaunais gada maksu grafiks. Mēs nosakām jauno pamatsummu, kas nav zināma.</w:t>
      </w:r>
    </w:p>
    <w:p w14:paraId="6BC8C5D6" w14:textId="77777777" w:rsidR="00443399" w:rsidRPr="00B03B51" w:rsidRDefault="00443399" w:rsidP="00443399">
      <w:pPr>
        <w:tabs>
          <w:tab w:val="left" w:pos="919"/>
        </w:tabs>
        <w:jc w:val="both"/>
        <w:rPr>
          <w:rFonts w:ascii="Times New Roman" w:hAnsi="Times New Roman" w:cs="Times New Roman"/>
          <w:b/>
          <w:noProof/>
          <w:sz w:val="24"/>
        </w:rPr>
      </w:pPr>
    </w:p>
    <w:p w14:paraId="105A9011" w14:textId="77777777" w:rsidR="00443399" w:rsidRPr="00B03B51" w:rsidRDefault="00443399" w:rsidP="00443399">
      <w:pPr>
        <w:tabs>
          <w:tab w:val="left" w:pos="919"/>
        </w:tabs>
        <w:jc w:val="both"/>
        <w:rPr>
          <w:rFonts w:ascii="Times New Roman" w:hAnsi="Times New Roman" w:cs="Times New Roman"/>
          <w:b/>
          <w:noProof/>
          <w:sz w:val="24"/>
        </w:rPr>
      </w:pPr>
      <w:r w:rsidRPr="00B03B51">
        <w:rPr>
          <w:rFonts w:ascii="Times New Roman" w:hAnsi="Times New Roman" w:cs="Times New Roman"/>
          <w:b/>
          <w:sz w:val="24"/>
        </w:rPr>
        <w:t>1. Aizdevums ar beigu atmaksu (četras pirmās gada maksas = 300)</w:t>
      </w:r>
    </w:p>
    <w:p w14:paraId="7D55903F" w14:textId="77777777" w:rsidR="00443399" w:rsidRPr="00B03B51" w:rsidRDefault="00443399" w:rsidP="00443399">
      <w:pPr>
        <w:tabs>
          <w:tab w:val="left" w:pos="919"/>
        </w:tabs>
        <w:jc w:val="both"/>
        <w:rPr>
          <w:rFonts w:ascii="Times New Roman" w:hAnsi="Times New Roman" w:cs="Times New Roman"/>
          <w:b/>
          <w:noProof/>
          <w:sz w:val="24"/>
        </w:rPr>
      </w:pPr>
    </w:p>
    <w:tbl>
      <w:tblPr>
        <w:tblW w:w="5000" w:type="pct"/>
        <w:tblCellMar>
          <w:top w:w="28" w:type="dxa"/>
          <w:left w:w="28" w:type="dxa"/>
          <w:bottom w:w="28" w:type="dxa"/>
          <w:right w:w="28" w:type="dxa"/>
        </w:tblCellMar>
        <w:tblLook w:val="01E0" w:firstRow="1" w:lastRow="1" w:firstColumn="1" w:lastColumn="1" w:noHBand="0" w:noVBand="0"/>
      </w:tblPr>
      <w:tblGrid>
        <w:gridCol w:w="1810"/>
        <w:gridCol w:w="1809"/>
        <w:gridCol w:w="1812"/>
        <w:gridCol w:w="1811"/>
        <w:gridCol w:w="1811"/>
      </w:tblGrid>
      <w:tr w:rsidR="00443399" w:rsidRPr="00B03B51" w14:paraId="09934F67" w14:textId="77777777" w:rsidTr="004B0DA3">
        <w:tc>
          <w:tcPr>
            <w:tcW w:w="1000" w:type="pct"/>
            <w:tcBorders>
              <w:top w:val="single" w:sz="7" w:space="0" w:color="000000"/>
              <w:left w:val="single" w:sz="7" w:space="0" w:color="000000"/>
              <w:bottom w:val="single" w:sz="7" w:space="0" w:color="000000"/>
              <w:right w:val="single" w:sz="7" w:space="0" w:color="000000"/>
            </w:tcBorders>
          </w:tcPr>
          <w:p w14:paraId="568BCA4E"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Periods</w:t>
            </w:r>
          </w:p>
        </w:tc>
        <w:tc>
          <w:tcPr>
            <w:tcW w:w="999" w:type="pct"/>
            <w:tcBorders>
              <w:top w:val="single" w:sz="7" w:space="0" w:color="000000"/>
              <w:left w:val="single" w:sz="7" w:space="0" w:color="000000"/>
              <w:bottom w:val="single" w:sz="7" w:space="0" w:color="000000"/>
              <w:right w:val="single" w:sz="7" w:space="0" w:color="000000"/>
            </w:tcBorders>
          </w:tcPr>
          <w:p w14:paraId="4BDCF145"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Pamatsumma perioda sākumā</w:t>
            </w:r>
          </w:p>
        </w:tc>
        <w:tc>
          <w:tcPr>
            <w:tcW w:w="1001" w:type="pct"/>
            <w:tcBorders>
              <w:top w:val="single" w:sz="7" w:space="0" w:color="000000"/>
              <w:left w:val="single" w:sz="7" w:space="0" w:color="000000"/>
              <w:bottom w:val="single" w:sz="7" w:space="0" w:color="000000"/>
              <w:right w:val="single" w:sz="7" w:space="0" w:color="000000"/>
            </w:tcBorders>
          </w:tcPr>
          <w:p w14:paraId="7620C339"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Perioda procenti</w:t>
            </w:r>
          </w:p>
        </w:tc>
        <w:tc>
          <w:tcPr>
            <w:tcW w:w="1000" w:type="pct"/>
            <w:tcBorders>
              <w:top w:val="single" w:sz="7" w:space="0" w:color="000000"/>
              <w:left w:val="single" w:sz="7" w:space="0" w:color="000000"/>
              <w:bottom w:val="single" w:sz="7" w:space="0" w:color="000000"/>
              <w:right w:val="single" w:sz="7" w:space="0" w:color="000000"/>
            </w:tcBorders>
          </w:tcPr>
          <w:p w14:paraId="61EE55C5"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Perioda amortizācija</w:t>
            </w:r>
          </w:p>
        </w:tc>
        <w:tc>
          <w:tcPr>
            <w:tcW w:w="1000" w:type="pct"/>
            <w:tcBorders>
              <w:top w:val="single" w:sz="7" w:space="0" w:color="000000"/>
              <w:left w:val="single" w:sz="7" w:space="0" w:color="000000"/>
              <w:bottom w:val="single" w:sz="7" w:space="0" w:color="000000"/>
              <w:right w:val="single" w:sz="7" w:space="0" w:color="000000"/>
            </w:tcBorders>
          </w:tcPr>
          <w:p w14:paraId="0F5D4E58"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Gada maksa (kopējais gada maksājums)</w:t>
            </w:r>
          </w:p>
        </w:tc>
      </w:tr>
      <w:tr w:rsidR="00443399" w:rsidRPr="00B03B51" w14:paraId="3633EFE0" w14:textId="77777777" w:rsidTr="004B0DA3">
        <w:tc>
          <w:tcPr>
            <w:tcW w:w="1000" w:type="pct"/>
            <w:tcBorders>
              <w:top w:val="single" w:sz="7" w:space="0" w:color="000000"/>
              <w:left w:val="single" w:sz="7" w:space="0" w:color="000000"/>
              <w:bottom w:val="single" w:sz="7" w:space="0" w:color="000000"/>
              <w:right w:val="single" w:sz="7" w:space="0" w:color="000000"/>
            </w:tcBorders>
          </w:tcPr>
          <w:p w14:paraId="7359D631"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1</w:t>
            </w:r>
          </w:p>
          <w:p w14:paraId="587B0358"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2</w:t>
            </w:r>
          </w:p>
          <w:p w14:paraId="023C3664"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3</w:t>
            </w:r>
          </w:p>
          <w:p w14:paraId="5AFF51A0"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4</w:t>
            </w:r>
          </w:p>
          <w:p w14:paraId="0FEB42EB"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5</w:t>
            </w:r>
          </w:p>
        </w:tc>
        <w:tc>
          <w:tcPr>
            <w:tcW w:w="999" w:type="pct"/>
            <w:tcBorders>
              <w:top w:val="single" w:sz="7" w:space="0" w:color="000000"/>
              <w:left w:val="single" w:sz="7" w:space="0" w:color="000000"/>
              <w:bottom w:val="single" w:sz="7" w:space="0" w:color="000000"/>
              <w:right w:val="single" w:sz="7" w:space="0" w:color="000000"/>
            </w:tcBorders>
          </w:tcPr>
          <w:p w14:paraId="4F72E90B" w14:textId="77777777" w:rsidR="00443399" w:rsidRPr="00B03B51" w:rsidRDefault="00443399" w:rsidP="0054365B">
            <w:pPr>
              <w:pStyle w:val="TableParagraph"/>
              <w:jc w:val="center"/>
              <w:rPr>
                <w:rFonts w:ascii="Times New Roman" w:hAnsi="Times New Roman" w:cs="Times New Roman"/>
                <w:b/>
                <w:noProof/>
                <w:sz w:val="24"/>
              </w:rPr>
            </w:pPr>
            <w:r w:rsidRPr="00B03B51">
              <w:rPr>
                <w:rFonts w:ascii="Times New Roman" w:hAnsi="Times New Roman" w:cs="Times New Roman"/>
                <w:b/>
                <w:sz w:val="24"/>
              </w:rPr>
              <w:t>7500</w:t>
            </w:r>
          </w:p>
          <w:p w14:paraId="06632344"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7500</w:t>
            </w:r>
          </w:p>
          <w:p w14:paraId="244C9A22"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7500</w:t>
            </w:r>
          </w:p>
          <w:p w14:paraId="29C1C732"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7500</w:t>
            </w:r>
          </w:p>
          <w:p w14:paraId="0A038F86"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7500</w:t>
            </w:r>
          </w:p>
        </w:tc>
        <w:tc>
          <w:tcPr>
            <w:tcW w:w="1001" w:type="pct"/>
            <w:tcBorders>
              <w:top w:val="single" w:sz="7" w:space="0" w:color="000000"/>
              <w:left w:val="single" w:sz="7" w:space="0" w:color="000000"/>
              <w:bottom w:val="single" w:sz="7" w:space="0" w:color="000000"/>
              <w:right w:val="single" w:sz="7" w:space="0" w:color="000000"/>
            </w:tcBorders>
          </w:tcPr>
          <w:p w14:paraId="45A5D0A9"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300</w:t>
            </w:r>
          </w:p>
          <w:p w14:paraId="0542BA17"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300</w:t>
            </w:r>
          </w:p>
          <w:p w14:paraId="6BE9BDE6"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300</w:t>
            </w:r>
          </w:p>
          <w:p w14:paraId="01270D94"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300</w:t>
            </w:r>
          </w:p>
          <w:p w14:paraId="5240A554"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300</w:t>
            </w:r>
          </w:p>
        </w:tc>
        <w:tc>
          <w:tcPr>
            <w:tcW w:w="1000" w:type="pct"/>
            <w:tcBorders>
              <w:top w:val="single" w:sz="7" w:space="0" w:color="000000"/>
              <w:left w:val="single" w:sz="7" w:space="0" w:color="000000"/>
              <w:bottom w:val="single" w:sz="7" w:space="0" w:color="000000"/>
              <w:right w:val="single" w:sz="7" w:space="0" w:color="000000"/>
            </w:tcBorders>
          </w:tcPr>
          <w:p w14:paraId="15137B0F"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0</w:t>
            </w:r>
          </w:p>
          <w:p w14:paraId="2764B0D6"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0</w:t>
            </w:r>
          </w:p>
          <w:p w14:paraId="5CE0D908"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0</w:t>
            </w:r>
          </w:p>
          <w:p w14:paraId="38F2F933"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0</w:t>
            </w:r>
          </w:p>
          <w:p w14:paraId="5C4EE594"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7500</w:t>
            </w:r>
          </w:p>
        </w:tc>
        <w:tc>
          <w:tcPr>
            <w:tcW w:w="1000" w:type="pct"/>
            <w:tcBorders>
              <w:top w:val="single" w:sz="7" w:space="0" w:color="000000"/>
              <w:left w:val="single" w:sz="7" w:space="0" w:color="000000"/>
              <w:bottom w:val="single" w:sz="7" w:space="0" w:color="000000"/>
              <w:right w:val="single" w:sz="7" w:space="0" w:color="000000"/>
            </w:tcBorders>
          </w:tcPr>
          <w:p w14:paraId="59CA469D"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300</w:t>
            </w:r>
          </w:p>
          <w:p w14:paraId="4003EBCC"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300</w:t>
            </w:r>
          </w:p>
          <w:p w14:paraId="7179C720"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300</w:t>
            </w:r>
          </w:p>
          <w:p w14:paraId="67D9048B"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300</w:t>
            </w:r>
          </w:p>
          <w:p w14:paraId="0B903452"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7800</w:t>
            </w:r>
          </w:p>
        </w:tc>
      </w:tr>
      <w:tr w:rsidR="00443399" w:rsidRPr="00B03B51" w14:paraId="3644B44A" w14:textId="77777777" w:rsidTr="004B0DA3">
        <w:tc>
          <w:tcPr>
            <w:tcW w:w="1000" w:type="pct"/>
            <w:tcBorders>
              <w:top w:val="single" w:sz="7" w:space="0" w:color="000000"/>
              <w:left w:val="single" w:sz="7" w:space="0" w:color="000000"/>
              <w:bottom w:val="single" w:sz="7" w:space="0" w:color="000000"/>
              <w:right w:val="single" w:sz="7" w:space="0" w:color="000000"/>
            </w:tcBorders>
          </w:tcPr>
          <w:p w14:paraId="01864629"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Kopā</w:t>
            </w:r>
          </w:p>
        </w:tc>
        <w:tc>
          <w:tcPr>
            <w:tcW w:w="999" w:type="pct"/>
            <w:tcBorders>
              <w:top w:val="single" w:sz="7" w:space="0" w:color="000000"/>
              <w:left w:val="single" w:sz="7" w:space="0" w:color="000000"/>
              <w:bottom w:val="single" w:sz="7" w:space="0" w:color="000000"/>
              <w:right w:val="single" w:sz="7" w:space="0" w:color="000000"/>
            </w:tcBorders>
          </w:tcPr>
          <w:p w14:paraId="173E47F2" w14:textId="77777777" w:rsidR="00443399" w:rsidRPr="00B03B51" w:rsidRDefault="00443399" w:rsidP="0054365B">
            <w:pPr>
              <w:jc w:val="center"/>
              <w:rPr>
                <w:rFonts w:ascii="Times New Roman" w:hAnsi="Times New Roman" w:cs="Times New Roman"/>
                <w:noProof/>
                <w:sz w:val="24"/>
              </w:rPr>
            </w:pPr>
          </w:p>
        </w:tc>
        <w:tc>
          <w:tcPr>
            <w:tcW w:w="1001" w:type="pct"/>
            <w:tcBorders>
              <w:top w:val="single" w:sz="7" w:space="0" w:color="000000"/>
              <w:left w:val="single" w:sz="7" w:space="0" w:color="000000"/>
              <w:bottom w:val="single" w:sz="7" w:space="0" w:color="000000"/>
              <w:right w:val="single" w:sz="7" w:space="0" w:color="000000"/>
            </w:tcBorders>
          </w:tcPr>
          <w:p w14:paraId="4B5AD978"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1500</w:t>
            </w:r>
          </w:p>
        </w:tc>
        <w:tc>
          <w:tcPr>
            <w:tcW w:w="1000" w:type="pct"/>
            <w:tcBorders>
              <w:top w:val="single" w:sz="7" w:space="0" w:color="000000"/>
              <w:left w:val="single" w:sz="7" w:space="0" w:color="000000"/>
              <w:bottom w:val="single" w:sz="7" w:space="0" w:color="000000"/>
              <w:right w:val="single" w:sz="7" w:space="0" w:color="000000"/>
            </w:tcBorders>
          </w:tcPr>
          <w:p w14:paraId="7755ABAB"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7500</w:t>
            </w:r>
          </w:p>
        </w:tc>
        <w:tc>
          <w:tcPr>
            <w:tcW w:w="1000" w:type="pct"/>
            <w:tcBorders>
              <w:top w:val="single" w:sz="7" w:space="0" w:color="000000"/>
              <w:left w:val="single" w:sz="7" w:space="0" w:color="000000"/>
              <w:bottom w:val="single" w:sz="7" w:space="0" w:color="000000"/>
              <w:right w:val="single" w:sz="7" w:space="0" w:color="000000"/>
            </w:tcBorders>
          </w:tcPr>
          <w:p w14:paraId="2CA7A3D4"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9000</w:t>
            </w:r>
          </w:p>
        </w:tc>
      </w:tr>
    </w:tbl>
    <w:p w14:paraId="04C53E2C" w14:textId="77777777" w:rsidR="00443399" w:rsidRPr="00B03B51" w:rsidRDefault="00443399" w:rsidP="00443399">
      <w:pPr>
        <w:pStyle w:val="BodyText"/>
        <w:spacing w:before="0"/>
        <w:ind w:left="0" w:firstLine="0"/>
        <w:jc w:val="both"/>
        <w:rPr>
          <w:rFonts w:ascii="Times New Roman" w:hAnsi="Times New Roman" w:cs="Times New Roman"/>
          <w:noProof/>
          <w:sz w:val="24"/>
        </w:rPr>
      </w:pPr>
    </w:p>
    <w:p w14:paraId="1DEED5CF" w14:textId="77777777" w:rsidR="00443399" w:rsidRPr="00B03B51" w:rsidRDefault="00443399" w:rsidP="00443399">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t>Kapitāla pārvedums par parāda anulēšanu, kas ierakstīts jaunā līguma darbības laikā: 10 000–7500=2500</w:t>
      </w:r>
    </w:p>
    <w:p w14:paraId="6E8D2609" w14:textId="77777777" w:rsidR="00443399" w:rsidRPr="00B03B51" w:rsidRDefault="00443399" w:rsidP="00443399">
      <w:pPr>
        <w:jc w:val="both"/>
        <w:rPr>
          <w:rFonts w:ascii="Times New Roman" w:eastAsia="Arial" w:hAnsi="Times New Roman" w:cs="Times New Roman"/>
          <w:noProof/>
          <w:sz w:val="24"/>
          <w:szCs w:val="18"/>
        </w:rPr>
      </w:pPr>
    </w:p>
    <w:p w14:paraId="37F91E2E" w14:textId="77777777" w:rsidR="00443399" w:rsidRPr="00B03B51" w:rsidRDefault="00443399" w:rsidP="00443399">
      <w:pPr>
        <w:tabs>
          <w:tab w:val="left" w:pos="919"/>
        </w:tabs>
        <w:jc w:val="both"/>
        <w:rPr>
          <w:rFonts w:ascii="Times New Roman" w:hAnsi="Times New Roman" w:cs="Times New Roman"/>
          <w:b/>
          <w:noProof/>
          <w:sz w:val="24"/>
        </w:rPr>
      </w:pPr>
      <w:r w:rsidRPr="00B03B51">
        <w:rPr>
          <w:rFonts w:ascii="Times New Roman" w:hAnsi="Times New Roman" w:cs="Times New Roman"/>
          <w:b/>
          <w:sz w:val="24"/>
        </w:rPr>
        <w:t>2. Aizdevums ar nemainīgu amortizāciju (kopā gada maksas = 9000).</w:t>
      </w:r>
    </w:p>
    <w:p w14:paraId="6B07AEBD" w14:textId="77777777" w:rsidR="00443399" w:rsidRPr="00B03B51" w:rsidRDefault="00443399" w:rsidP="00443399">
      <w:pPr>
        <w:tabs>
          <w:tab w:val="left" w:pos="919"/>
        </w:tabs>
        <w:jc w:val="both"/>
        <w:rPr>
          <w:rFonts w:ascii="Times New Roman" w:hAnsi="Times New Roman" w:cs="Times New Roman"/>
          <w:b/>
          <w:noProof/>
          <w:sz w:val="24"/>
        </w:rPr>
      </w:pPr>
    </w:p>
    <w:tbl>
      <w:tblPr>
        <w:tblW w:w="5000" w:type="pct"/>
        <w:tblCellMar>
          <w:top w:w="28" w:type="dxa"/>
          <w:left w:w="28" w:type="dxa"/>
          <w:bottom w:w="28" w:type="dxa"/>
          <w:right w:w="28" w:type="dxa"/>
        </w:tblCellMar>
        <w:tblLook w:val="01E0" w:firstRow="1" w:lastRow="1" w:firstColumn="1" w:lastColumn="1" w:noHBand="0" w:noVBand="0"/>
      </w:tblPr>
      <w:tblGrid>
        <w:gridCol w:w="777"/>
        <w:gridCol w:w="2325"/>
        <w:gridCol w:w="1334"/>
        <w:gridCol w:w="1735"/>
        <w:gridCol w:w="2882"/>
      </w:tblGrid>
      <w:tr w:rsidR="00443399" w:rsidRPr="00B03B51" w14:paraId="1ECD6DC3" w14:textId="77777777" w:rsidTr="004B0DA3">
        <w:tc>
          <w:tcPr>
            <w:tcW w:w="429" w:type="pct"/>
            <w:tcBorders>
              <w:top w:val="single" w:sz="7" w:space="0" w:color="000000"/>
              <w:left w:val="single" w:sz="7" w:space="0" w:color="000000"/>
              <w:bottom w:val="single" w:sz="7" w:space="0" w:color="000000"/>
              <w:right w:val="single" w:sz="7" w:space="0" w:color="000000"/>
            </w:tcBorders>
          </w:tcPr>
          <w:p w14:paraId="20C7754F"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Periods</w:t>
            </w:r>
          </w:p>
        </w:tc>
        <w:tc>
          <w:tcPr>
            <w:tcW w:w="1284" w:type="pct"/>
            <w:tcBorders>
              <w:top w:val="single" w:sz="7" w:space="0" w:color="000000"/>
              <w:left w:val="single" w:sz="7" w:space="0" w:color="000000"/>
              <w:bottom w:val="single" w:sz="7" w:space="0" w:color="000000"/>
              <w:right w:val="single" w:sz="7" w:space="0" w:color="000000"/>
            </w:tcBorders>
          </w:tcPr>
          <w:p w14:paraId="1EEC19DD"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Pamatsumma perioda sākumā</w:t>
            </w:r>
          </w:p>
        </w:tc>
        <w:tc>
          <w:tcPr>
            <w:tcW w:w="737" w:type="pct"/>
            <w:tcBorders>
              <w:top w:val="single" w:sz="7" w:space="0" w:color="000000"/>
              <w:left w:val="single" w:sz="7" w:space="0" w:color="000000"/>
              <w:bottom w:val="single" w:sz="7" w:space="0" w:color="000000"/>
              <w:right w:val="single" w:sz="7" w:space="0" w:color="000000"/>
            </w:tcBorders>
          </w:tcPr>
          <w:p w14:paraId="62A8F5AB"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Perioda procenti</w:t>
            </w:r>
          </w:p>
        </w:tc>
        <w:tc>
          <w:tcPr>
            <w:tcW w:w="958" w:type="pct"/>
            <w:tcBorders>
              <w:top w:val="single" w:sz="7" w:space="0" w:color="000000"/>
              <w:left w:val="single" w:sz="7" w:space="0" w:color="000000"/>
              <w:bottom w:val="single" w:sz="7" w:space="0" w:color="000000"/>
              <w:right w:val="single" w:sz="7" w:space="0" w:color="000000"/>
            </w:tcBorders>
          </w:tcPr>
          <w:p w14:paraId="06E59EC8"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Perioda amortizācija</w:t>
            </w:r>
          </w:p>
        </w:tc>
        <w:tc>
          <w:tcPr>
            <w:tcW w:w="1593" w:type="pct"/>
            <w:tcBorders>
              <w:top w:val="single" w:sz="7" w:space="0" w:color="000000"/>
              <w:left w:val="single" w:sz="7" w:space="0" w:color="000000"/>
              <w:bottom w:val="single" w:sz="7" w:space="0" w:color="000000"/>
              <w:right w:val="single" w:sz="7" w:space="0" w:color="000000"/>
            </w:tcBorders>
          </w:tcPr>
          <w:p w14:paraId="32090339"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Gada maksa (kopējais gada maksājums)</w:t>
            </w:r>
          </w:p>
        </w:tc>
      </w:tr>
      <w:tr w:rsidR="00443399" w:rsidRPr="00B03B51" w14:paraId="05BCB406" w14:textId="77777777" w:rsidTr="004B0DA3">
        <w:tc>
          <w:tcPr>
            <w:tcW w:w="429" w:type="pct"/>
            <w:tcBorders>
              <w:top w:val="single" w:sz="7" w:space="0" w:color="000000"/>
              <w:left w:val="single" w:sz="7" w:space="0" w:color="000000"/>
              <w:bottom w:val="single" w:sz="7" w:space="0" w:color="000000"/>
              <w:right w:val="single" w:sz="7" w:space="0" w:color="000000"/>
            </w:tcBorders>
          </w:tcPr>
          <w:p w14:paraId="49F89354"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1</w:t>
            </w:r>
          </w:p>
          <w:p w14:paraId="6038CDE9"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2</w:t>
            </w:r>
          </w:p>
          <w:p w14:paraId="7E406006"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3</w:t>
            </w:r>
          </w:p>
          <w:p w14:paraId="06B0B41A"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4</w:t>
            </w:r>
          </w:p>
          <w:p w14:paraId="43FA0EE7"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5</w:t>
            </w:r>
          </w:p>
        </w:tc>
        <w:tc>
          <w:tcPr>
            <w:tcW w:w="1284" w:type="pct"/>
            <w:tcBorders>
              <w:top w:val="single" w:sz="7" w:space="0" w:color="000000"/>
              <w:left w:val="single" w:sz="7" w:space="0" w:color="000000"/>
              <w:bottom w:val="single" w:sz="7" w:space="0" w:color="000000"/>
              <w:right w:val="single" w:sz="7" w:space="0" w:color="000000"/>
            </w:tcBorders>
          </w:tcPr>
          <w:p w14:paraId="6B1A9C5E"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8036</w:t>
            </w:r>
          </w:p>
          <w:p w14:paraId="76EDA3ED"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6429</w:t>
            </w:r>
          </w:p>
          <w:p w14:paraId="15B6BCF4"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4822</w:t>
            </w:r>
          </w:p>
          <w:p w14:paraId="1E7B87E0"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3214</w:t>
            </w:r>
          </w:p>
          <w:p w14:paraId="04186ECD"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1607</w:t>
            </w:r>
          </w:p>
        </w:tc>
        <w:tc>
          <w:tcPr>
            <w:tcW w:w="737" w:type="pct"/>
            <w:tcBorders>
              <w:top w:val="single" w:sz="7" w:space="0" w:color="000000"/>
              <w:left w:val="single" w:sz="7" w:space="0" w:color="000000"/>
              <w:bottom w:val="single" w:sz="7" w:space="0" w:color="000000"/>
              <w:right w:val="single" w:sz="7" w:space="0" w:color="000000"/>
            </w:tcBorders>
          </w:tcPr>
          <w:p w14:paraId="385F5A75"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321</w:t>
            </w:r>
          </w:p>
          <w:p w14:paraId="3D1E05E2"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257</w:t>
            </w:r>
          </w:p>
          <w:p w14:paraId="43D47E9A"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193</w:t>
            </w:r>
          </w:p>
          <w:p w14:paraId="4A09A912"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129</w:t>
            </w:r>
          </w:p>
          <w:p w14:paraId="6FA7EA2F"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64</w:t>
            </w:r>
          </w:p>
        </w:tc>
        <w:tc>
          <w:tcPr>
            <w:tcW w:w="958" w:type="pct"/>
            <w:tcBorders>
              <w:top w:val="single" w:sz="7" w:space="0" w:color="000000"/>
              <w:left w:val="single" w:sz="7" w:space="0" w:color="000000"/>
              <w:bottom w:val="single" w:sz="7" w:space="0" w:color="000000"/>
              <w:right w:val="single" w:sz="7" w:space="0" w:color="000000"/>
            </w:tcBorders>
          </w:tcPr>
          <w:p w14:paraId="17CFF454"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1607</w:t>
            </w:r>
          </w:p>
          <w:p w14:paraId="1FDCF9AF"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1607</w:t>
            </w:r>
          </w:p>
          <w:p w14:paraId="7B6366C4"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1607</w:t>
            </w:r>
          </w:p>
          <w:p w14:paraId="2F6A7640"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1607</w:t>
            </w:r>
          </w:p>
          <w:p w14:paraId="22473145"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1607</w:t>
            </w:r>
          </w:p>
        </w:tc>
        <w:tc>
          <w:tcPr>
            <w:tcW w:w="1593" w:type="pct"/>
            <w:tcBorders>
              <w:top w:val="single" w:sz="7" w:space="0" w:color="000000"/>
              <w:left w:val="single" w:sz="7" w:space="0" w:color="000000"/>
              <w:bottom w:val="single" w:sz="7" w:space="0" w:color="000000"/>
              <w:right w:val="single" w:sz="7" w:space="0" w:color="000000"/>
            </w:tcBorders>
          </w:tcPr>
          <w:p w14:paraId="2039EA80"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1929</w:t>
            </w:r>
          </w:p>
          <w:p w14:paraId="68E60072"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1864</w:t>
            </w:r>
          </w:p>
          <w:p w14:paraId="5AAC0E59"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1800</w:t>
            </w:r>
          </w:p>
          <w:p w14:paraId="15AF4C9E"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1736</w:t>
            </w:r>
          </w:p>
          <w:p w14:paraId="011B0C8A"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1671</w:t>
            </w:r>
          </w:p>
        </w:tc>
      </w:tr>
      <w:tr w:rsidR="00443399" w:rsidRPr="00B03B51" w14:paraId="6D666F49" w14:textId="77777777" w:rsidTr="004B0DA3">
        <w:tc>
          <w:tcPr>
            <w:tcW w:w="429" w:type="pct"/>
            <w:tcBorders>
              <w:top w:val="single" w:sz="7" w:space="0" w:color="000000"/>
              <w:left w:val="single" w:sz="7" w:space="0" w:color="000000"/>
              <w:bottom w:val="single" w:sz="7" w:space="0" w:color="000000"/>
              <w:right w:val="single" w:sz="7" w:space="0" w:color="000000"/>
            </w:tcBorders>
          </w:tcPr>
          <w:p w14:paraId="3352EBE6"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Kopā</w:t>
            </w:r>
          </w:p>
        </w:tc>
        <w:tc>
          <w:tcPr>
            <w:tcW w:w="1284" w:type="pct"/>
            <w:tcBorders>
              <w:top w:val="single" w:sz="7" w:space="0" w:color="000000"/>
              <w:left w:val="single" w:sz="7" w:space="0" w:color="000000"/>
              <w:bottom w:val="single" w:sz="7" w:space="0" w:color="000000"/>
              <w:right w:val="single" w:sz="7" w:space="0" w:color="000000"/>
            </w:tcBorders>
          </w:tcPr>
          <w:p w14:paraId="0F30B1DA" w14:textId="77777777" w:rsidR="00443399" w:rsidRPr="00B03B51" w:rsidRDefault="00443399" w:rsidP="0054365B">
            <w:pPr>
              <w:jc w:val="center"/>
              <w:rPr>
                <w:rFonts w:ascii="Times New Roman" w:hAnsi="Times New Roman" w:cs="Times New Roman"/>
                <w:noProof/>
                <w:sz w:val="24"/>
              </w:rPr>
            </w:pPr>
          </w:p>
        </w:tc>
        <w:tc>
          <w:tcPr>
            <w:tcW w:w="737" w:type="pct"/>
            <w:tcBorders>
              <w:top w:val="single" w:sz="7" w:space="0" w:color="000000"/>
              <w:left w:val="single" w:sz="7" w:space="0" w:color="000000"/>
              <w:bottom w:val="single" w:sz="7" w:space="0" w:color="000000"/>
              <w:right w:val="single" w:sz="7" w:space="0" w:color="000000"/>
            </w:tcBorders>
          </w:tcPr>
          <w:p w14:paraId="5A23C3D6"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964</w:t>
            </w:r>
          </w:p>
        </w:tc>
        <w:tc>
          <w:tcPr>
            <w:tcW w:w="958" w:type="pct"/>
            <w:tcBorders>
              <w:top w:val="single" w:sz="7" w:space="0" w:color="000000"/>
              <w:left w:val="single" w:sz="7" w:space="0" w:color="000000"/>
              <w:bottom w:val="single" w:sz="7" w:space="0" w:color="000000"/>
              <w:right w:val="single" w:sz="7" w:space="0" w:color="000000"/>
            </w:tcBorders>
          </w:tcPr>
          <w:p w14:paraId="291CBD73"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8036</w:t>
            </w:r>
          </w:p>
        </w:tc>
        <w:tc>
          <w:tcPr>
            <w:tcW w:w="1593" w:type="pct"/>
            <w:tcBorders>
              <w:top w:val="single" w:sz="7" w:space="0" w:color="000000"/>
              <w:left w:val="single" w:sz="7" w:space="0" w:color="000000"/>
              <w:bottom w:val="single" w:sz="7" w:space="0" w:color="000000"/>
              <w:right w:val="single" w:sz="7" w:space="0" w:color="000000"/>
            </w:tcBorders>
          </w:tcPr>
          <w:p w14:paraId="4E9CB8B2"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9000</w:t>
            </w:r>
          </w:p>
        </w:tc>
      </w:tr>
    </w:tbl>
    <w:p w14:paraId="0DC82F92" w14:textId="77777777" w:rsidR="00443399" w:rsidRPr="00B03B51" w:rsidRDefault="00443399" w:rsidP="00443399">
      <w:pPr>
        <w:pStyle w:val="BodyText"/>
        <w:spacing w:before="0"/>
        <w:ind w:left="0" w:firstLine="0"/>
        <w:jc w:val="both"/>
        <w:rPr>
          <w:rFonts w:ascii="Times New Roman" w:hAnsi="Times New Roman" w:cs="Times New Roman"/>
          <w:noProof/>
          <w:sz w:val="24"/>
        </w:rPr>
      </w:pPr>
    </w:p>
    <w:p w14:paraId="53D5A4D1" w14:textId="77777777" w:rsidR="00443399" w:rsidRPr="00B03B51" w:rsidRDefault="00443399" w:rsidP="00443399">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t>Kapitāla pārvedums, kas ierakstīts jaunā līguma darbības laikā: 10 000–8036=1964</w:t>
      </w:r>
    </w:p>
    <w:p w14:paraId="4620C948" w14:textId="77777777" w:rsidR="00443399" w:rsidRPr="00B03B51" w:rsidRDefault="00443399" w:rsidP="00443399">
      <w:pPr>
        <w:jc w:val="both"/>
        <w:rPr>
          <w:rFonts w:ascii="Times New Roman" w:hAnsi="Times New Roman" w:cs="Times New Roman"/>
          <w:noProof/>
          <w:sz w:val="24"/>
        </w:rPr>
      </w:pPr>
    </w:p>
    <w:p w14:paraId="72D6A373" w14:textId="77777777" w:rsidR="00443399" w:rsidRPr="00B03B51" w:rsidRDefault="00443399" w:rsidP="00443399">
      <w:pPr>
        <w:tabs>
          <w:tab w:val="left" w:pos="919"/>
        </w:tabs>
        <w:jc w:val="both"/>
        <w:rPr>
          <w:rFonts w:ascii="Times New Roman" w:hAnsi="Times New Roman" w:cs="Times New Roman"/>
          <w:b/>
          <w:noProof/>
          <w:sz w:val="24"/>
        </w:rPr>
      </w:pPr>
      <w:r w:rsidRPr="00B03B51">
        <w:rPr>
          <w:rFonts w:ascii="Times New Roman" w:hAnsi="Times New Roman" w:cs="Times New Roman"/>
          <w:b/>
          <w:sz w:val="24"/>
        </w:rPr>
        <w:t>3. Aizdevums ar nemainīgu gada maksu (gada maksas kopā = 9000)</w:t>
      </w:r>
    </w:p>
    <w:p w14:paraId="2F4959E1" w14:textId="77777777" w:rsidR="00443399" w:rsidRPr="00B03B51" w:rsidRDefault="00443399" w:rsidP="00443399">
      <w:pPr>
        <w:tabs>
          <w:tab w:val="left" w:pos="919"/>
        </w:tabs>
        <w:jc w:val="both"/>
        <w:rPr>
          <w:rFonts w:ascii="Times New Roman" w:hAnsi="Times New Roman" w:cs="Times New Roman"/>
          <w:b/>
          <w:noProof/>
          <w:sz w:val="24"/>
        </w:rPr>
      </w:pPr>
    </w:p>
    <w:tbl>
      <w:tblPr>
        <w:tblW w:w="5000" w:type="pct"/>
        <w:tblCellMar>
          <w:top w:w="28" w:type="dxa"/>
          <w:left w:w="28" w:type="dxa"/>
          <w:bottom w:w="28" w:type="dxa"/>
          <w:right w:w="28" w:type="dxa"/>
        </w:tblCellMar>
        <w:tblLook w:val="01E0" w:firstRow="1" w:lastRow="1" w:firstColumn="1" w:lastColumn="1" w:noHBand="0" w:noVBand="0"/>
      </w:tblPr>
      <w:tblGrid>
        <w:gridCol w:w="1810"/>
        <w:gridCol w:w="1809"/>
        <w:gridCol w:w="1812"/>
        <w:gridCol w:w="1811"/>
        <w:gridCol w:w="1811"/>
      </w:tblGrid>
      <w:tr w:rsidR="00443399" w:rsidRPr="00B03B51" w14:paraId="27AABF04" w14:textId="77777777" w:rsidTr="00BD4F89">
        <w:tc>
          <w:tcPr>
            <w:tcW w:w="1000" w:type="pct"/>
            <w:tcBorders>
              <w:top w:val="single" w:sz="7" w:space="0" w:color="000000"/>
              <w:left w:val="single" w:sz="7" w:space="0" w:color="000000"/>
              <w:bottom w:val="single" w:sz="7" w:space="0" w:color="000000"/>
              <w:right w:val="single" w:sz="7" w:space="0" w:color="000000"/>
            </w:tcBorders>
          </w:tcPr>
          <w:p w14:paraId="2C09E42E"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Periods</w:t>
            </w:r>
          </w:p>
        </w:tc>
        <w:tc>
          <w:tcPr>
            <w:tcW w:w="999" w:type="pct"/>
            <w:tcBorders>
              <w:top w:val="single" w:sz="7" w:space="0" w:color="000000"/>
              <w:left w:val="single" w:sz="7" w:space="0" w:color="000000"/>
              <w:bottom w:val="single" w:sz="7" w:space="0" w:color="000000"/>
              <w:right w:val="single" w:sz="7" w:space="0" w:color="000000"/>
            </w:tcBorders>
          </w:tcPr>
          <w:p w14:paraId="12839194"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Pamatsumma perioda sākumā</w:t>
            </w:r>
          </w:p>
        </w:tc>
        <w:tc>
          <w:tcPr>
            <w:tcW w:w="1001" w:type="pct"/>
            <w:tcBorders>
              <w:top w:val="single" w:sz="7" w:space="0" w:color="000000"/>
              <w:left w:val="single" w:sz="7" w:space="0" w:color="000000"/>
              <w:bottom w:val="single" w:sz="7" w:space="0" w:color="000000"/>
              <w:right w:val="single" w:sz="7" w:space="0" w:color="000000"/>
            </w:tcBorders>
          </w:tcPr>
          <w:p w14:paraId="5C749E93"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Perioda procenti</w:t>
            </w:r>
          </w:p>
        </w:tc>
        <w:tc>
          <w:tcPr>
            <w:tcW w:w="1000" w:type="pct"/>
            <w:tcBorders>
              <w:top w:val="single" w:sz="7" w:space="0" w:color="000000"/>
              <w:left w:val="single" w:sz="7" w:space="0" w:color="000000"/>
              <w:bottom w:val="single" w:sz="7" w:space="0" w:color="000000"/>
              <w:right w:val="single" w:sz="7" w:space="0" w:color="000000"/>
            </w:tcBorders>
          </w:tcPr>
          <w:p w14:paraId="00F45602"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Perioda amortizācija</w:t>
            </w:r>
          </w:p>
        </w:tc>
        <w:tc>
          <w:tcPr>
            <w:tcW w:w="1000" w:type="pct"/>
            <w:tcBorders>
              <w:top w:val="single" w:sz="7" w:space="0" w:color="000000"/>
              <w:left w:val="single" w:sz="7" w:space="0" w:color="000000"/>
              <w:bottom w:val="single" w:sz="7" w:space="0" w:color="000000"/>
              <w:right w:val="single" w:sz="7" w:space="0" w:color="000000"/>
            </w:tcBorders>
          </w:tcPr>
          <w:p w14:paraId="38942DB8"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Gada maksa (kopējais gada maksājums)</w:t>
            </w:r>
          </w:p>
        </w:tc>
      </w:tr>
      <w:tr w:rsidR="00443399" w:rsidRPr="00B03B51" w14:paraId="161E6495" w14:textId="77777777" w:rsidTr="00BD4F89">
        <w:tc>
          <w:tcPr>
            <w:tcW w:w="1000" w:type="pct"/>
            <w:tcBorders>
              <w:top w:val="single" w:sz="7" w:space="0" w:color="000000"/>
              <w:left w:val="single" w:sz="7" w:space="0" w:color="000000"/>
              <w:bottom w:val="single" w:sz="7" w:space="0" w:color="000000"/>
              <w:right w:val="single" w:sz="7" w:space="0" w:color="000000"/>
            </w:tcBorders>
          </w:tcPr>
          <w:p w14:paraId="5C6ED338"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1</w:t>
            </w:r>
          </w:p>
          <w:p w14:paraId="22A9F239"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lastRenderedPageBreak/>
              <w:t>2</w:t>
            </w:r>
          </w:p>
          <w:p w14:paraId="6CBE373E"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3</w:t>
            </w:r>
          </w:p>
          <w:p w14:paraId="585A2AC0"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4</w:t>
            </w:r>
          </w:p>
          <w:p w14:paraId="1626F0E1"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5</w:t>
            </w:r>
          </w:p>
        </w:tc>
        <w:tc>
          <w:tcPr>
            <w:tcW w:w="999" w:type="pct"/>
            <w:tcBorders>
              <w:top w:val="single" w:sz="7" w:space="0" w:color="000000"/>
              <w:left w:val="single" w:sz="7" w:space="0" w:color="000000"/>
              <w:bottom w:val="single" w:sz="7" w:space="0" w:color="000000"/>
              <w:right w:val="single" w:sz="7" w:space="0" w:color="000000"/>
            </w:tcBorders>
          </w:tcPr>
          <w:p w14:paraId="6EF39524"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lastRenderedPageBreak/>
              <w:t>8013</w:t>
            </w:r>
          </w:p>
          <w:p w14:paraId="11AD8922"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lastRenderedPageBreak/>
              <w:t>6534</w:t>
            </w:r>
          </w:p>
          <w:p w14:paraId="497284FD"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4995</w:t>
            </w:r>
          </w:p>
          <w:p w14:paraId="4964BB1F"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3395</w:t>
            </w:r>
          </w:p>
          <w:p w14:paraId="386B6C9A"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1731</w:t>
            </w:r>
          </w:p>
        </w:tc>
        <w:tc>
          <w:tcPr>
            <w:tcW w:w="1001" w:type="pct"/>
            <w:tcBorders>
              <w:top w:val="single" w:sz="7" w:space="0" w:color="000000"/>
              <w:left w:val="single" w:sz="7" w:space="0" w:color="000000"/>
              <w:bottom w:val="single" w:sz="7" w:space="0" w:color="000000"/>
              <w:right w:val="single" w:sz="7" w:space="0" w:color="000000"/>
            </w:tcBorders>
          </w:tcPr>
          <w:p w14:paraId="0C322FB5"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lastRenderedPageBreak/>
              <w:t>321</w:t>
            </w:r>
          </w:p>
          <w:p w14:paraId="7C5CEB79"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lastRenderedPageBreak/>
              <w:t>261</w:t>
            </w:r>
          </w:p>
          <w:p w14:paraId="13C26E0E"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200</w:t>
            </w:r>
          </w:p>
          <w:p w14:paraId="2504D48C"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136</w:t>
            </w:r>
          </w:p>
          <w:p w14:paraId="455AC0F2"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69</w:t>
            </w:r>
          </w:p>
        </w:tc>
        <w:tc>
          <w:tcPr>
            <w:tcW w:w="1000" w:type="pct"/>
            <w:tcBorders>
              <w:top w:val="single" w:sz="7" w:space="0" w:color="000000"/>
              <w:left w:val="single" w:sz="7" w:space="0" w:color="000000"/>
              <w:bottom w:val="single" w:sz="7" w:space="0" w:color="000000"/>
              <w:right w:val="single" w:sz="7" w:space="0" w:color="000000"/>
            </w:tcBorders>
          </w:tcPr>
          <w:p w14:paraId="45A8E5B2"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lastRenderedPageBreak/>
              <w:t>1479</w:t>
            </w:r>
          </w:p>
          <w:p w14:paraId="7B80B913"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lastRenderedPageBreak/>
              <w:t>1539</w:t>
            </w:r>
          </w:p>
          <w:p w14:paraId="1448FED3"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1600</w:t>
            </w:r>
          </w:p>
          <w:p w14:paraId="4F648DF0"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1664</w:t>
            </w:r>
          </w:p>
          <w:p w14:paraId="5FA60D3F"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1731</w:t>
            </w:r>
          </w:p>
        </w:tc>
        <w:tc>
          <w:tcPr>
            <w:tcW w:w="1000" w:type="pct"/>
            <w:tcBorders>
              <w:top w:val="single" w:sz="7" w:space="0" w:color="000000"/>
              <w:left w:val="single" w:sz="7" w:space="0" w:color="000000"/>
              <w:bottom w:val="single" w:sz="7" w:space="0" w:color="000000"/>
              <w:right w:val="single" w:sz="7" w:space="0" w:color="000000"/>
            </w:tcBorders>
          </w:tcPr>
          <w:p w14:paraId="00571AA8"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lastRenderedPageBreak/>
              <w:t>1800</w:t>
            </w:r>
          </w:p>
          <w:p w14:paraId="28A660AC"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lastRenderedPageBreak/>
              <w:t>1800</w:t>
            </w:r>
          </w:p>
          <w:p w14:paraId="11D75E76"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1800</w:t>
            </w:r>
          </w:p>
          <w:p w14:paraId="0E4F8AAB"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1800</w:t>
            </w:r>
          </w:p>
          <w:p w14:paraId="1C8785A2"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1800</w:t>
            </w:r>
          </w:p>
        </w:tc>
      </w:tr>
      <w:tr w:rsidR="00443399" w:rsidRPr="00B03B51" w14:paraId="0AF19781" w14:textId="77777777" w:rsidTr="00BD4F89">
        <w:tc>
          <w:tcPr>
            <w:tcW w:w="1000" w:type="pct"/>
            <w:tcBorders>
              <w:top w:val="single" w:sz="7" w:space="0" w:color="000000"/>
              <w:left w:val="single" w:sz="7" w:space="0" w:color="000000"/>
              <w:bottom w:val="single" w:sz="7" w:space="0" w:color="000000"/>
              <w:right w:val="single" w:sz="7" w:space="0" w:color="000000"/>
            </w:tcBorders>
          </w:tcPr>
          <w:p w14:paraId="27055B9B"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lastRenderedPageBreak/>
              <w:t>Kopā</w:t>
            </w:r>
          </w:p>
        </w:tc>
        <w:tc>
          <w:tcPr>
            <w:tcW w:w="999" w:type="pct"/>
            <w:tcBorders>
              <w:top w:val="single" w:sz="7" w:space="0" w:color="000000"/>
              <w:left w:val="single" w:sz="7" w:space="0" w:color="000000"/>
              <w:bottom w:val="single" w:sz="7" w:space="0" w:color="000000"/>
              <w:right w:val="single" w:sz="7" w:space="0" w:color="000000"/>
            </w:tcBorders>
          </w:tcPr>
          <w:p w14:paraId="13981AFC" w14:textId="77777777" w:rsidR="00443399" w:rsidRPr="00B03B51" w:rsidRDefault="00443399" w:rsidP="0054365B">
            <w:pPr>
              <w:jc w:val="center"/>
              <w:rPr>
                <w:rFonts w:ascii="Times New Roman" w:hAnsi="Times New Roman" w:cs="Times New Roman"/>
                <w:noProof/>
                <w:sz w:val="24"/>
              </w:rPr>
            </w:pPr>
          </w:p>
        </w:tc>
        <w:tc>
          <w:tcPr>
            <w:tcW w:w="1001" w:type="pct"/>
            <w:tcBorders>
              <w:top w:val="single" w:sz="7" w:space="0" w:color="000000"/>
              <w:left w:val="single" w:sz="7" w:space="0" w:color="000000"/>
              <w:bottom w:val="single" w:sz="7" w:space="0" w:color="000000"/>
              <w:right w:val="single" w:sz="7" w:space="0" w:color="000000"/>
            </w:tcBorders>
          </w:tcPr>
          <w:p w14:paraId="4D4FE893"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987</w:t>
            </w:r>
          </w:p>
        </w:tc>
        <w:tc>
          <w:tcPr>
            <w:tcW w:w="1000" w:type="pct"/>
            <w:tcBorders>
              <w:top w:val="single" w:sz="7" w:space="0" w:color="000000"/>
              <w:left w:val="single" w:sz="7" w:space="0" w:color="000000"/>
              <w:bottom w:val="single" w:sz="7" w:space="0" w:color="000000"/>
              <w:right w:val="single" w:sz="7" w:space="0" w:color="000000"/>
            </w:tcBorders>
          </w:tcPr>
          <w:p w14:paraId="0D9A1DA2"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8013</w:t>
            </w:r>
          </w:p>
        </w:tc>
        <w:tc>
          <w:tcPr>
            <w:tcW w:w="1000" w:type="pct"/>
            <w:tcBorders>
              <w:top w:val="single" w:sz="7" w:space="0" w:color="000000"/>
              <w:left w:val="single" w:sz="7" w:space="0" w:color="000000"/>
              <w:bottom w:val="single" w:sz="7" w:space="0" w:color="000000"/>
              <w:right w:val="single" w:sz="7" w:space="0" w:color="000000"/>
            </w:tcBorders>
          </w:tcPr>
          <w:p w14:paraId="6C6F753D"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9000</w:t>
            </w:r>
          </w:p>
        </w:tc>
      </w:tr>
    </w:tbl>
    <w:p w14:paraId="714DEA88" w14:textId="77777777" w:rsidR="00443399" w:rsidRPr="00B03B51" w:rsidRDefault="00443399" w:rsidP="00443399">
      <w:pPr>
        <w:pStyle w:val="BodyText"/>
        <w:spacing w:before="0"/>
        <w:ind w:left="0" w:firstLine="0"/>
        <w:jc w:val="both"/>
        <w:rPr>
          <w:rFonts w:ascii="Times New Roman" w:hAnsi="Times New Roman" w:cs="Times New Roman"/>
          <w:noProof/>
          <w:sz w:val="24"/>
        </w:rPr>
      </w:pPr>
    </w:p>
    <w:p w14:paraId="552B45DC" w14:textId="77777777" w:rsidR="00443399" w:rsidRPr="00B03B51" w:rsidRDefault="00443399" w:rsidP="00443399">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t>Kapitāla pārvedums, kas ierakstīts jaunā līguma darbības laikā: 10 000–8013=1987</w:t>
      </w:r>
    </w:p>
    <w:p w14:paraId="7823FCD5" w14:textId="77777777" w:rsidR="00443399" w:rsidRPr="00B03B51" w:rsidRDefault="00443399" w:rsidP="00443399">
      <w:pPr>
        <w:jc w:val="both"/>
        <w:rPr>
          <w:rFonts w:ascii="Times New Roman" w:hAnsi="Times New Roman" w:cs="Times New Roman"/>
          <w:b/>
          <w:noProof/>
          <w:sz w:val="24"/>
        </w:rPr>
      </w:pPr>
    </w:p>
    <w:p w14:paraId="17A77782" w14:textId="77777777" w:rsidR="00443399" w:rsidRPr="00B03B51" w:rsidRDefault="00443399" w:rsidP="00443399">
      <w:pPr>
        <w:jc w:val="both"/>
        <w:rPr>
          <w:rFonts w:ascii="Times New Roman" w:hAnsi="Times New Roman" w:cs="Times New Roman"/>
          <w:b/>
          <w:noProof/>
          <w:sz w:val="24"/>
        </w:rPr>
      </w:pPr>
      <w:r w:rsidRPr="00B03B51">
        <w:rPr>
          <w:rFonts w:ascii="Times New Roman" w:hAnsi="Times New Roman" w:cs="Times New Roman"/>
          <w:b/>
          <w:sz w:val="24"/>
        </w:rPr>
        <w:t>Gadījums C2 – jaunā procentu likme nav zināma</w:t>
      </w:r>
    </w:p>
    <w:p w14:paraId="0EA08115" w14:textId="77777777" w:rsidR="00443399" w:rsidRPr="00B03B51" w:rsidRDefault="00443399" w:rsidP="00443399">
      <w:pPr>
        <w:pStyle w:val="BodyText"/>
        <w:spacing w:before="0"/>
        <w:ind w:left="0" w:firstLine="0"/>
        <w:jc w:val="both"/>
        <w:rPr>
          <w:rFonts w:ascii="Times New Roman" w:hAnsi="Times New Roman" w:cs="Times New Roman"/>
          <w:noProof/>
          <w:sz w:val="24"/>
        </w:rPr>
      </w:pPr>
    </w:p>
    <w:p w14:paraId="3E84C7B7" w14:textId="77777777" w:rsidR="00443399" w:rsidRPr="00B03B51" w:rsidRDefault="00443399" w:rsidP="00443399">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t>Jaunā procentu likme nav zināma, bet ir pieejams gada maksu jaunais grafiks. Mēs nosakām jauno pamatsummu, kas nebija zināma, izmantojot sākotnējo likmi – 6 %.</w:t>
      </w:r>
    </w:p>
    <w:p w14:paraId="06EE7D18" w14:textId="77777777" w:rsidR="00443399" w:rsidRPr="00B03B51" w:rsidRDefault="00443399" w:rsidP="00443399">
      <w:pPr>
        <w:tabs>
          <w:tab w:val="left" w:pos="919"/>
        </w:tabs>
        <w:jc w:val="both"/>
        <w:rPr>
          <w:rFonts w:ascii="Times New Roman" w:hAnsi="Times New Roman" w:cs="Times New Roman"/>
          <w:b/>
          <w:noProof/>
          <w:sz w:val="24"/>
        </w:rPr>
      </w:pPr>
    </w:p>
    <w:p w14:paraId="0641AB62" w14:textId="77777777" w:rsidR="00443399" w:rsidRPr="00B03B51" w:rsidRDefault="00443399" w:rsidP="00443399">
      <w:pPr>
        <w:tabs>
          <w:tab w:val="left" w:pos="919"/>
        </w:tabs>
        <w:jc w:val="both"/>
        <w:rPr>
          <w:rFonts w:ascii="Times New Roman" w:hAnsi="Times New Roman" w:cs="Times New Roman"/>
          <w:b/>
          <w:noProof/>
          <w:sz w:val="24"/>
        </w:rPr>
      </w:pPr>
      <w:r w:rsidRPr="00B03B51">
        <w:rPr>
          <w:rFonts w:ascii="Times New Roman" w:hAnsi="Times New Roman" w:cs="Times New Roman"/>
          <w:b/>
          <w:sz w:val="24"/>
        </w:rPr>
        <w:t>1. Aizdevums ar beigu atmaksu (četras pirmās gada maksas = 415)</w:t>
      </w:r>
    </w:p>
    <w:p w14:paraId="205881C8" w14:textId="77777777" w:rsidR="00443399" w:rsidRPr="00B03B51" w:rsidRDefault="00443399" w:rsidP="00443399">
      <w:pPr>
        <w:tabs>
          <w:tab w:val="left" w:pos="919"/>
        </w:tabs>
        <w:jc w:val="both"/>
        <w:rPr>
          <w:rFonts w:ascii="Times New Roman" w:hAnsi="Times New Roman" w:cs="Times New Roman"/>
          <w:b/>
          <w:noProof/>
          <w:sz w:val="24"/>
        </w:rPr>
      </w:pPr>
    </w:p>
    <w:tbl>
      <w:tblPr>
        <w:tblW w:w="5000" w:type="pct"/>
        <w:tblCellMar>
          <w:top w:w="28" w:type="dxa"/>
          <w:left w:w="28" w:type="dxa"/>
          <w:bottom w:w="28" w:type="dxa"/>
          <w:right w:w="28" w:type="dxa"/>
        </w:tblCellMar>
        <w:tblLook w:val="01E0" w:firstRow="1" w:lastRow="1" w:firstColumn="1" w:lastColumn="1" w:noHBand="0" w:noVBand="0"/>
      </w:tblPr>
      <w:tblGrid>
        <w:gridCol w:w="778"/>
        <w:gridCol w:w="2254"/>
        <w:gridCol w:w="1553"/>
        <w:gridCol w:w="1700"/>
        <w:gridCol w:w="2768"/>
      </w:tblGrid>
      <w:tr w:rsidR="00443399" w:rsidRPr="00B03B51" w14:paraId="59854BC8" w14:textId="77777777" w:rsidTr="00BD4F89">
        <w:tc>
          <w:tcPr>
            <w:tcW w:w="429" w:type="pct"/>
            <w:tcBorders>
              <w:top w:val="single" w:sz="7" w:space="0" w:color="000000"/>
              <w:left w:val="single" w:sz="7" w:space="0" w:color="000000"/>
              <w:bottom w:val="single" w:sz="7" w:space="0" w:color="000000"/>
              <w:right w:val="single" w:sz="7" w:space="0" w:color="000000"/>
            </w:tcBorders>
          </w:tcPr>
          <w:p w14:paraId="7E778B74"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Periods</w:t>
            </w:r>
          </w:p>
        </w:tc>
        <w:tc>
          <w:tcPr>
            <w:tcW w:w="1245" w:type="pct"/>
            <w:tcBorders>
              <w:top w:val="single" w:sz="7" w:space="0" w:color="000000"/>
              <w:left w:val="single" w:sz="7" w:space="0" w:color="000000"/>
              <w:bottom w:val="single" w:sz="7" w:space="0" w:color="000000"/>
              <w:right w:val="single" w:sz="7" w:space="0" w:color="000000"/>
            </w:tcBorders>
          </w:tcPr>
          <w:p w14:paraId="4B2DCB04"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Pamatsumma perioda sākumā</w:t>
            </w:r>
          </w:p>
        </w:tc>
        <w:tc>
          <w:tcPr>
            <w:tcW w:w="858" w:type="pct"/>
            <w:tcBorders>
              <w:top w:val="single" w:sz="7" w:space="0" w:color="000000"/>
              <w:left w:val="single" w:sz="7" w:space="0" w:color="000000"/>
              <w:bottom w:val="single" w:sz="7" w:space="0" w:color="000000"/>
              <w:right w:val="single" w:sz="7" w:space="0" w:color="000000"/>
            </w:tcBorders>
          </w:tcPr>
          <w:p w14:paraId="36D22541"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Perioda procenti 6 %</w:t>
            </w:r>
          </w:p>
        </w:tc>
        <w:tc>
          <w:tcPr>
            <w:tcW w:w="939" w:type="pct"/>
            <w:tcBorders>
              <w:top w:val="single" w:sz="7" w:space="0" w:color="000000"/>
              <w:left w:val="single" w:sz="7" w:space="0" w:color="000000"/>
              <w:bottom w:val="single" w:sz="7" w:space="0" w:color="000000"/>
              <w:right w:val="single" w:sz="7" w:space="0" w:color="000000"/>
            </w:tcBorders>
          </w:tcPr>
          <w:p w14:paraId="36EC0F6C"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Perioda amortizācija</w:t>
            </w:r>
          </w:p>
        </w:tc>
        <w:tc>
          <w:tcPr>
            <w:tcW w:w="1529" w:type="pct"/>
            <w:tcBorders>
              <w:top w:val="single" w:sz="7" w:space="0" w:color="000000"/>
              <w:left w:val="single" w:sz="7" w:space="0" w:color="000000"/>
              <w:bottom w:val="single" w:sz="7" w:space="0" w:color="000000"/>
              <w:right w:val="single" w:sz="7" w:space="0" w:color="000000"/>
            </w:tcBorders>
          </w:tcPr>
          <w:p w14:paraId="19186FCA"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Gada maksa (kopējais gada maksājums)</w:t>
            </w:r>
          </w:p>
        </w:tc>
      </w:tr>
      <w:tr w:rsidR="00443399" w:rsidRPr="00B03B51" w14:paraId="499E1F7D" w14:textId="77777777" w:rsidTr="00BD4F89">
        <w:tc>
          <w:tcPr>
            <w:tcW w:w="429" w:type="pct"/>
            <w:tcBorders>
              <w:top w:val="single" w:sz="7" w:space="0" w:color="000000"/>
              <w:left w:val="single" w:sz="7" w:space="0" w:color="000000"/>
              <w:bottom w:val="single" w:sz="7" w:space="0" w:color="000000"/>
              <w:right w:val="single" w:sz="7" w:space="0" w:color="000000"/>
            </w:tcBorders>
          </w:tcPr>
          <w:p w14:paraId="69B928B9"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1</w:t>
            </w:r>
          </w:p>
          <w:p w14:paraId="7F5C1EB7"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2</w:t>
            </w:r>
          </w:p>
          <w:p w14:paraId="0C1346B3"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3</w:t>
            </w:r>
          </w:p>
          <w:p w14:paraId="5A8BEA03"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4</w:t>
            </w:r>
          </w:p>
          <w:p w14:paraId="449D5CA4"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5</w:t>
            </w:r>
          </w:p>
        </w:tc>
        <w:tc>
          <w:tcPr>
            <w:tcW w:w="1245" w:type="pct"/>
            <w:tcBorders>
              <w:top w:val="single" w:sz="7" w:space="0" w:color="000000"/>
              <w:left w:val="single" w:sz="7" w:space="0" w:color="000000"/>
              <w:bottom w:val="single" w:sz="7" w:space="0" w:color="000000"/>
              <w:right w:val="single" w:sz="7" w:space="0" w:color="000000"/>
            </w:tcBorders>
          </w:tcPr>
          <w:p w14:paraId="63F7DA77"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6923</w:t>
            </w:r>
          </w:p>
          <w:p w14:paraId="3684EDBC"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6923</w:t>
            </w:r>
          </w:p>
          <w:p w14:paraId="24A10B5B"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6923</w:t>
            </w:r>
          </w:p>
          <w:p w14:paraId="513D7587"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6923</w:t>
            </w:r>
          </w:p>
          <w:p w14:paraId="3DD2A338"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6923</w:t>
            </w:r>
          </w:p>
        </w:tc>
        <w:tc>
          <w:tcPr>
            <w:tcW w:w="858" w:type="pct"/>
            <w:tcBorders>
              <w:top w:val="single" w:sz="7" w:space="0" w:color="000000"/>
              <w:left w:val="single" w:sz="7" w:space="0" w:color="000000"/>
              <w:bottom w:val="single" w:sz="7" w:space="0" w:color="000000"/>
              <w:right w:val="single" w:sz="7" w:space="0" w:color="000000"/>
            </w:tcBorders>
          </w:tcPr>
          <w:p w14:paraId="54CC79C1"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415</w:t>
            </w:r>
          </w:p>
          <w:p w14:paraId="4367B5DB"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415</w:t>
            </w:r>
          </w:p>
          <w:p w14:paraId="7CB87D1A"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415</w:t>
            </w:r>
          </w:p>
          <w:p w14:paraId="4CA459E3"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415</w:t>
            </w:r>
          </w:p>
          <w:p w14:paraId="581934A7"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415</w:t>
            </w:r>
          </w:p>
        </w:tc>
        <w:tc>
          <w:tcPr>
            <w:tcW w:w="939" w:type="pct"/>
            <w:tcBorders>
              <w:top w:val="single" w:sz="7" w:space="0" w:color="000000"/>
              <w:left w:val="single" w:sz="7" w:space="0" w:color="000000"/>
              <w:bottom w:val="single" w:sz="7" w:space="0" w:color="000000"/>
              <w:right w:val="single" w:sz="7" w:space="0" w:color="000000"/>
            </w:tcBorders>
          </w:tcPr>
          <w:p w14:paraId="5A05C6AE"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0</w:t>
            </w:r>
          </w:p>
          <w:p w14:paraId="2AA3DD26"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0</w:t>
            </w:r>
          </w:p>
          <w:p w14:paraId="6B67CFC5"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0</w:t>
            </w:r>
          </w:p>
          <w:p w14:paraId="089AB806"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0</w:t>
            </w:r>
          </w:p>
          <w:p w14:paraId="3292709C"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6923</w:t>
            </w:r>
          </w:p>
        </w:tc>
        <w:tc>
          <w:tcPr>
            <w:tcW w:w="1529" w:type="pct"/>
            <w:tcBorders>
              <w:top w:val="single" w:sz="7" w:space="0" w:color="000000"/>
              <w:left w:val="single" w:sz="7" w:space="0" w:color="000000"/>
              <w:bottom w:val="single" w:sz="7" w:space="0" w:color="000000"/>
              <w:right w:val="single" w:sz="7" w:space="0" w:color="000000"/>
            </w:tcBorders>
          </w:tcPr>
          <w:p w14:paraId="36F6CD84"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415</w:t>
            </w:r>
          </w:p>
          <w:p w14:paraId="35370750"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415</w:t>
            </w:r>
          </w:p>
          <w:p w14:paraId="1B20510C"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415</w:t>
            </w:r>
          </w:p>
          <w:p w14:paraId="41D1E9B0"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415</w:t>
            </w:r>
          </w:p>
          <w:p w14:paraId="2CFEE4D9"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7338</w:t>
            </w:r>
          </w:p>
        </w:tc>
      </w:tr>
      <w:tr w:rsidR="00443399" w:rsidRPr="00B03B51" w14:paraId="340D9381" w14:textId="77777777" w:rsidTr="00BD4F89">
        <w:tc>
          <w:tcPr>
            <w:tcW w:w="429" w:type="pct"/>
            <w:tcBorders>
              <w:top w:val="single" w:sz="7" w:space="0" w:color="000000"/>
              <w:left w:val="single" w:sz="7" w:space="0" w:color="000000"/>
              <w:bottom w:val="single" w:sz="7" w:space="0" w:color="000000"/>
              <w:right w:val="single" w:sz="7" w:space="0" w:color="000000"/>
            </w:tcBorders>
          </w:tcPr>
          <w:p w14:paraId="522AE343"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Kopā</w:t>
            </w:r>
          </w:p>
        </w:tc>
        <w:tc>
          <w:tcPr>
            <w:tcW w:w="1245" w:type="pct"/>
            <w:tcBorders>
              <w:top w:val="single" w:sz="7" w:space="0" w:color="000000"/>
              <w:left w:val="single" w:sz="7" w:space="0" w:color="000000"/>
              <w:bottom w:val="single" w:sz="7" w:space="0" w:color="000000"/>
              <w:right w:val="single" w:sz="7" w:space="0" w:color="000000"/>
            </w:tcBorders>
          </w:tcPr>
          <w:p w14:paraId="525D6DE9" w14:textId="77777777" w:rsidR="00443399" w:rsidRPr="00B03B51" w:rsidRDefault="00443399" w:rsidP="0054365B">
            <w:pPr>
              <w:jc w:val="center"/>
              <w:rPr>
                <w:rFonts w:ascii="Times New Roman" w:hAnsi="Times New Roman" w:cs="Times New Roman"/>
                <w:noProof/>
                <w:sz w:val="24"/>
              </w:rPr>
            </w:pPr>
          </w:p>
        </w:tc>
        <w:tc>
          <w:tcPr>
            <w:tcW w:w="858" w:type="pct"/>
            <w:tcBorders>
              <w:top w:val="single" w:sz="7" w:space="0" w:color="000000"/>
              <w:left w:val="single" w:sz="7" w:space="0" w:color="000000"/>
              <w:bottom w:val="single" w:sz="7" w:space="0" w:color="000000"/>
              <w:right w:val="single" w:sz="7" w:space="0" w:color="000000"/>
            </w:tcBorders>
          </w:tcPr>
          <w:p w14:paraId="654E650D"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2077</w:t>
            </w:r>
          </w:p>
        </w:tc>
        <w:tc>
          <w:tcPr>
            <w:tcW w:w="939" w:type="pct"/>
            <w:tcBorders>
              <w:top w:val="single" w:sz="7" w:space="0" w:color="000000"/>
              <w:left w:val="single" w:sz="7" w:space="0" w:color="000000"/>
              <w:bottom w:val="single" w:sz="7" w:space="0" w:color="000000"/>
              <w:right w:val="single" w:sz="7" w:space="0" w:color="000000"/>
            </w:tcBorders>
          </w:tcPr>
          <w:p w14:paraId="0B8782A9"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6923</w:t>
            </w:r>
          </w:p>
        </w:tc>
        <w:tc>
          <w:tcPr>
            <w:tcW w:w="1529" w:type="pct"/>
            <w:tcBorders>
              <w:top w:val="single" w:sz="7" w:space="0" w:color="000000"/>
              <w:left w:val="single" w:sz="7" w:space="0" w:color="000000"/>
              <w:bottom w:val="single" w:sz="7" w:space="0" w:color="000000"/>
              <w:right w:val="single" w:sz="7" w:space="0" w:color="000000"/>
            </w:tcBorders>
          </w:tcPr>
          <w:p w14:paraId="68AC4630"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9000</w:t>
            </w:r>
          </w:p>
        </w:tc>
      </w:tr>
    </w:tbl>
    <w:p w14:paraId="07E07D34" w14:textId="77777777" w:rsidR="00443399" w:rsidRPr="00B03B51" w:rsidRDefault="00443399" w:rsidP="00443399">
      <w:pPr>
        <w:pStyle w:val="BodyText"/>
        <w:spacing w:before="0"/>
        <w:ind w:left="0" w:firstLine="0"/>
        <w:jc w:val="both"/>
        <w:rPr>
          <w:rFonts w:ascii="Times New Roman" w:hAnsi="Times New Roman" w:cs="Times New Roman"/>
          <w:noProof/>
          <w:sz w:val="24"/>
        </w:rPr>
      </w:pPr>
    </w:p>
    <w:p w14:paraId="4A2FF65A" w14:textId="77777777" w:rsidR="00443399" w:rsidRPr="00B03B51" w:rsidRDefault="00443399" w:rsidP="00443399">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t>Kapitāla pārvedums, kas ierakstīts jaunā līguma darbības laikā: 10 000–6923=3067</w:t>
      </w:r>
    </w:p>
    <w:p w14:paraId="2D0AB8F5" w14:textId="77777777" w:rsidR="00443399" w:rsidRPr="00B03B51" w:rsidRDefault="00443399" w:rsidP="00443399">
      <w:pPr>
        <w:jc w:val="both"/>
        <w:rPr>
          <w:rFonts w:ascii="Times New Roman" w:eastAsia="Arial" w:hAnsi="Times New Roman" w:cs="Times New Roman"/>
          <w:noProof/>
          <w:sz w:val="24"/>
          <w:szCs w:val="18"/>
        </w:rPr>
      </w:pPr>
    </w:p>
    <w:p w14:paraId="0F6655D0" w14:textId="77777777" w:rsidR="00443399" w:rsidRPr="00B03B51" w:rsidRDefault="00443399" w:rsidP="00443399">
      <w:pPr>
        <w:tabs>
          <w:tab w:val="left" w:pos="919"/>
        </w:tabs>
        <w:jc w:val="both"/>
        <w:rPr>
          <w:rFonts w:ascii="Times New Roman" w:hAnsi="Times New Roman" w:cs="Times New Roman"/>
          <w:b/>
          <w:noProof/>
          <w:sz w:val="24"/>
        </w:rPr>
      </w:pPr>
      <w:r w:rsidRPr="00B03B51">
        <w:rPr>
          <w:rFonts w:ascii="Times New Roman" w:hAnsi="Times New Roman" w:cs="Times New Roman"/>
          <w:b/>
          <w:sz w:val="24"/>
        </w:rPr>
        <w:t>2. Aizdevums ar nemainīgu amortizāciju (kopā gada maksas = 9000)</w:t>
      </w:r>
    </w:p>
    <w:p w14:paraId="63F6D8FD" w14:textId="77777777" w:rsidR="00443399" w:rsidRPr="00B03B51" w:rsidRDefault="00443399" w:rsidP="00443399">
      <w:pPr>
        <w:tabs>
          <w:tab w:val="left" w:pos="919"/>
        </w:tabs>
        <w:jc w:val="both"/>
        <w:rPr>
          <w:rFonts w:ascii="Times New Roman" w:hAnsi="Times New Roman" w:cs="Times New Roman"/>
          <w:b/>
          <w:noProof/>
          <w:sz w:val="24"/>
        </w:rPr>
      </w:pPr>
    </w:p>
    <w:tbl>
      <w:tblPr>
        <w:tblW w:w="5000" w:type="pct"/>
        <w:tblCellMar>
          <w:top w:w="28" w:type="dxa"/>
          <w:left w:w="28" w:type="dxa"/>
          <w:bottom w:w="28" w:type="dxa"/>
          <w:right w:w="28" w:type="dxa"/>
        </w:tblCellMar>
        <w:tblLook w:val="01E0" w:firstRow="1" w:lastRow="1" w:firstColumn="1" w:lastColumn="1" w:noHBand="0" w:noVBand="0"/>
      </w:tblPr>
      <w:tblGrid>
        <w:gridCol w:w="1810"/>
        <w:gridCol w:w="1809"/>
        <w:gridCol w:w="1812"/>
        <w:gridCol w:w="1811"/>
        <w:gridCol w:w="1811"/>
      </w:tblGrid>
      <w:tr w:rsidR="00443399" w:rsidRPr="00B03B51" w14:paraId="4223DCA8" w14:textId="77777777" w:rsidTr="00BD4F89">
        <w:tc>
          <w:tcPr>
            <w:tcW w:w="1000" w:type="pct"/>
            <w:tcBorders>
              <w:top w:val="single" w:sz="7" w:space="0" w:color="000000"/>
              <w:left w:val="single" w:sz="7" w:space="0" w:color="000000"/>
              <w:bottom w:val="single" w:sz="7" w:space="0" w:color="000000"/>
              <w:right w:val="single" w:sz="7" w:space="0" w:color="000000"/>
            </w:tcBorders>
          </w:tcPr>
          <w:p w14:paraId="0FEF463E"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Periods</w:t>
            </w:r>
          </w:p>
        </w:tc>
        <w:tc>
          <w:tcPr>
            <w:tcW w:w="999" w:type="pct"/>
            <w:tcBorders>
              <w:top w:val="single" w:sz="7" w:space="0" w:color="000000"/>
              <w:left w:val="single" w:sz="7" w:space="0" w:color="000000"/>
              <w:bottom w:val="single" w:sz="7" w:space="0" w:color="000000"/>
              <w:right w:val="single" w:sz="7" w:space="0" w:color="000000"/>
            </w:tcBorders>
          </w:tcPr>
          <w:p w14:paraId="69667450"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Pamatsumma perioda sākumā</w:t>
            </w:r>
          </w:p>
        </w:tc>
        <w:tc>
          <w:tcPr>
            <w:tcW w:w="1001" w:type="pct"/>
            <w:tcBorders>
              <w:top w:val="single" w:sz="7" w:space="0" w:color="000000"/>
              <w:left w:val="single" w:sz="7" w:space="0" w:color="000000"/>
              <w:bottom w:val="single" w:sz="7" w:space="0" w:color="000000"/>
              <w:right w:val="single" w:sz="7" w:space="0" w:color="000000"/>
            </w:tcBorders>
          </w:tcPr>
          <w:p w14:paraId="1A891F52"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Perioda procenti</w:t>
            </w:r>
          </w:p>
        </w:tc>
        <w:tc>
          <w:tcPr>
            <w:tcW w:w="1000" w:type="pct"/>
            <w:tcBorders>
              <w:top w:val="single" w:sz="7" w:space="0" w:color="000000"/>
              <w:left w:val="single" w:sz="7" w:space="0" w:color="000000"/>
              <w:bottom w:val="single" w:sz="7" w:space="0" w:color="000000"/>
              <w:right w:val="single" w:sz="7" w:space="0" w:color="000000"/>
            </w:tcBorders>
          </w:tcPr>
          <w:p w14:paraId="198342BD"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Perioda amortizācija</w:t>
            </w:r>
          </w:p>
        </w:tc>
        <w:tc>
          <w:tcPr>
            <w:tcW w:w="1000" w:type="pct"/>
            <w:tcBorders>
              <w:top w:val="single" w:sz="7" w:space="0" w:color="000000"/>
              <w:left w:val="single" w:sz="7" w:space="0" w:color="000000"/>
              <w:bottom w:val="single" w:sz="7" w:space="0" w:color="000000"/>
              <w:right w:val="single" w:sz="7" w:space="0" w:color="000000"/>
            </w:tcBorders>
          </w:tcPr>
          <w:p w14:paraId="5BA41E1B"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Gada maksa (kopējais gada maksājums)</w:t>
            </w:r>
          </w:p>
        </w:tc>
      </w:tr>
      <w:tr w:rsidR="00443399" w:rsidRPr="00B03B51" w14:paraId="42C7C8AE" w14:textId="77777777" w:rsidTr="00BD4F89">
        <w:tc>
          <w:tcPr>
            <w:tcW w:w="1000" w:type="pct"/>
            <w:tcBorders>
              <w:top w:val="single" w:sz="7" w:space="0" w:color="000000"/>
              <w:left w:val="single" w:sz="7" w:space="0" w:color="000000"/>
              <w:bottom w:val="single" w:sz="7" w:space="0" w:color="000000"/>
              <w:right w:val="single" w:sz="7" w:space="0" w:color="000000"/>
            </w:tcBorders>
          </w:tcPr>
          <w:p w14:paraId="74D4F39E"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1</w:t>
            </w:r>
          </w:p>
          <w:p w14:paraId="2892E564"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2</w:t>
            </w:r>
          </w:p>
          <w:p w14:paraId="267703DF"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3</w:t>
            </w:r>
          </w:p>
          <w:p w14:paraId="3EDC53FC"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4</w:t>
            </w:r>
          </w:p>
          <w:p w14:paraId="258EB973"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5</w:t>
            </w:r>
          </w:p>
        </w:tc>
        <w:tc>
          <w:tcPr>
            <w:tcW w:w="999" w:type="pct"/>
            <w:tcBorders>
              <w:top w:val="single" w:sz="7" w:space="0" w:color="000000"/>
              <w:left w:val="single" w:sz="7" w:space="0" w:color="000000"/>
              <w:bottom w:val="single" w:sz="7" w:space="0" w:color="000000"/>
              <w:right w:val="single" w:sz="7" w:space="0" w:color="000000"/>
            </w:tcBorders>
          </w:tcPr>
          <w:p w14:paraId="6F6D2E84" w14:textId="77777777" w:rsidR="00443399" w:rsidRPr="00B03B51" w:rsidRDefault="00443399" w:rsidP="0054365B">
            <w:pPr>
              <w:pStyle w:val="TableParagraph"/>
              <w:jc w:val="center"/>
              <w:rPr>
                <w:rFonts w:ascii="Times New Roman" w:hAnsi="Times New Roman" w:cs="Times New Roman"/>
                <w:b/>
                <w:noProof/>
                <w:sz w:val="24"/>
              </w:rPr>
            </w:pPr>
            <w:r w:rsidRPr="00B03B51">
              <w:rPr>
                <w:rFonts w:ascii="Times New Roman" w:hAnsi="Times New Roman" w:cs="Times New Roman"/>
                <w:b/>
                <w:sz w:val="24"/>
              </w:rPr>
              <w:t>7627</w:t>
            </w:r>
          </w:p>
          <w:p w14:paraId="4A9E7191"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6102</w:t>
            </w:r>
          </w:p>
          <w:p w14:paraId="3B77AC01"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4576</w:t>
            </w:r>
          </w:p>
          <w:p w14:paraId="790E8484"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3051</w:t>
            </w:r>
          </w:p>
          <w:p w14:paraId="3CFEBA35"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1525</w:t>
            </w:r>
          </w:p>
        </w:tc>
        <w:tc>
          <w:tcPr>
            <w:tcW w:w="1001" w:type="pct"/>
            <w:tcBorders>
              <w:top w:val="single" w:sz="7" w:space="0" w:color="000000"/>
              <w:left w:val="single" w:sz="7" w:space="0" w:color="000000"/>
              <w:bottom w:val="single" w:sz="7" w:space="0" w:color="000000"/>
              <w:right w:val="single" w:sz="7" w:space="0" w:color="000000"/>
            </w:tcBorders>
          </w:tcPr>
          <w:p w14:paraId="133A5FA5"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458</w:t>
            </w:r>
          </w:p>
          <w:p w14:paraId="4173EEFE"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366</w:t>
            </w:r>
          </w:p>
          <w:p w14:paraId="17A46D01"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275</w:t>
            </w:r>
          </w:p>
          <w:p w14:paraId="19F673F7"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183</w:t>
            </w:r>
          </w:p>
          <w:p w14:paraId="1ECB91D7"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92</w:t>
            </w:r>
          </w:p>
        </w:tc>
        <w:tc>
          <w:tcPr>
            <w:tcW w:w="1000" w:type="pct"/>
            <w:tcBorders>
              <w:top w:val="single" w:sz="7" w:space="0" w:color="000000"/>
              <w:left w:val="single" w:sz="7" w:space="0" w:color="000000"/>
              <w:bottom w:val="single" w:sz="7" w:space="0" w:color="000000"/>
              <w:right w:val="single" w:sz="7" w:space="0" w:color="000000"/>
            </w:tcBorders>
          </w:tcPr>
          <w:p w14:paraId="02A6A70C"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1525</w:t>
            </w:r>
          </w:p>
          <w:p w14:paraId="4E6324D7"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1525</w:t>
            </w:r>
          </w:p>
          <w:p w14:paraId="4C892FC3"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1525</w:t>
            </w:r>
          </w:p>
          <w:p w14:paraId="45FA2CA6"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1525</w:t>
            </w:r>
          </w:p>
          <w:p w14:paraId="298FA9DB"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1525</w:t>
            </w:r>
          </w:p>
        </w:tc>
        <w:tc>
          <w:tcPr>
            <w:tcW w:w="1000" w:type="pct"/>
            <w:tcBorders>
              <w:top w:val="single" w:sz="7" w:space="0" w:color="000000"/>
              <w:left w:val="single" w:sz="7" w:space="0" w:color="000000"/>
              <w:bottom w:val="single" w:sz="7" w:space="0" w:color="000000"/>
              <w:right w:val="single" w:sz="7" w:space="0" w:color="000000"/>
            </w:tcBorders>
          </w:tcPr>
          <w:p w14:paraId="07741054"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1983</w:t>
            </w:r>
          </w:p>
          <w:p w14:paraId="0AA30ADC"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1891</w:t>
            </w:r>
          </w:p>
          <w:p w14:paraId="2BE45112"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1800</w:t>
            </w:r>
          </w:p>
          <w:p w14:paraId="7106ED63"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1708</w:t>
            </w:r>
          </w:p>
          <w:p w14:paraId="31CDE49A"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1617</w:t>
            </w:r>
          </w:p>
        </w:tc>
      </w:tr>
      <w:tr w:rsidR="00443399" w:rsidRPr="00B03B51" w14:paraId="13AA5316" w14:textId="77777777" w:rsidTr="00BD4F89">
        <w:tc>
          <w:tcPr>
            <w:tcW w:w="1000" w:type="pct"/>
            <w:tcBorders>
              <w:top w:val="single" w:sz="7" w:space="0" w:color="000000"/>
              <w:left w:val="single" w:sz="7" w:space="0" w:color="000000"/>
              <w:bottom w:val="single" w:sz="7" w:space="0" w:color="000000"/>
              <w:right w:val="single" w:sz="7" w:space="0" w:color="000000"/>
            </w:tcBorders>
          </w:tcPr>
          <w:p w14:paraId="056A81CC"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Kopā</w:t>
            </w:r>
          </w:p>
        </w:tc>
        <w:tc>
          <w:tcPr>
            <w:tcW w:w="999" w:type="pct"/>
            <w:tcBorders>
              <w:top w:val="single" w:sz="7" w:space="0" w:color="000000"/>
              <w:left w:val="single" w:sz="7" w:space="0" w:color="000000"/>
              <w:bottom w:val="single" w:sz="7" w:space="0" w:color="000000"/>
              <w:right w:val="single" w:sz="7" w:space="0" w:color="000000"/>
            </w:tcBorders>
          </w:tcPr>
          <w:p w14:paraId="620226A1" w14:textId="77777777" w:rsidR="00443399" w:rsidRPr="00B03B51" w:rsidRDefault="00443399" w:rsidP="0054365B">
            <w:pPr>
              <w:jc w:val="center"/>
              <w:rPr>
                <w:rFonts w:ascii="Times New Roman" w:hAnsi="Times New Roman" w:cs="Times New Roman"/>
                <w:noProof/>
                <w:sz w:val="24"/>
              </w:rPr>
            </w:pPr>
          </w:p>
        </w:tc>
        <w:tc>
          <w:tcPr>
            <w:tcW w:w="1001" w:type="pct"/>
            <w:tcBorders>
              <w:top w:val="single" w:sz="7" w:space="0" w:color="000000"/>
              <w:left w:val="single" w:sz="7" w:space="0" w:color="000000"/>
              <w:bottom w:val="single" w:sz="7" w:space="0" w:color="000000"/>
              <w:right w:val="single" w:sz="7" w:space="0" w:color="000000"/>
            </w:tcBorders>
          </w:tcPr>
          <w:p w14:paraId="0790DF2F"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1373</w:t>
            </w:r>
          </w:p>
        </w:tc>
        <w:tc>
          <w:tcPr>
            <w:tcW w:w="1000" w:type="pct"/>
            <w:tcBorders>
              <w:top w:val="single" w:sz="7" w:space="0" w:color="000000"/>
              <w:left w:val="single" w:sz="7" w:space="0" w:color="000000"/>
              <w:bottom w:val="single" w:sz="7" w:space="0" w:color="000000"/>
              <w:right w:val="single" w:sz="7" w:space="0" w:color="000000"/>
            </w:tcBorders>
          </w:tcPr>
          <w:p w14:paraId="5BCEC8BE"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7627</w:t>
            </w:r>
          </w:p>
        </w:tc>
        <w:tc>
          <w:tcPr>
            <w:tcW w:w="1000" w:type="pct"/>
            <w:tcBorders>
              <w:top w:val="single" w:sz="7" w:space="0" w:color="000000"/>
              <w:left w:val="single" w:sz="7" w:space="0" w:color="000000"/>
              <w:bottom w:val="single" w:sz="7" w:space="0" w:color="000000"/>
              <w:right w:val="single" w:sz="7" w:space="0" w:color="000000"/>
            </w:tcBorders>
          </w:tcPr>
          <w:p w14:paraId="26F8037B"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9000</w:t>
            </w:r>
          </w:p>
        </w:tc>
      </w:tr>
    </w:tbl>
    <w:p w14:paraId="08423ED3" w14:textId="77777777" w:rsidR="00443399" w:rsidRPr="00B03B51" w:rsidRDefault="00443399" w:rsidP="00443399">
      <w:pPr>
        <w:pStyle w:val="BodyText"/>
        <w:spacing w:before="0"/>
        <w:ind w:left="0" w:firstLine="0"/>
        <w:jc w:val="both"/>
        <w:rPr>
          <w:rFonts w:ascii="Times New Roman" w:hAnsi="Times New Roman" w:cs="Times New Roman"/>
          <w:noProof/>
          <w:sz w:val="24"/>
        </w:rPr>
      </w:pPr>
    </w:p>
    <w:p w14:paraId="7070D13B" w14:textId="77777777" w:rsidR="00443399" w:rsidRPr="00B03B51" w:rsidRDefault="00443399" w:rsidP="00443399">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t>Kapitāla pārvedums, kas ierakstīts jaunā līguma darbības laikā: 10 000–7627=2363</w:t>
      </w:r>
    </w:p>
    <w:p w14:paraId="3317C78F" w14:textId="77777777" w:rsidR="00443399" w:rsidRPr="00B03B51" w:rsidRDefault="00443399" w:rsidP="00443399">
      <w:pPr>
        <w:jc w:val="both"/>
        <w:rPr>
          <w:rFonts w:ascii="Times New Roman" w:eastAsia="Arial" w:hAnsi="Times New Roman" w:cs="Times New Roman"/>
          <w:noProof/>
          <w:sz w:val="24"/>
          <w:szCs w:val="18"/>
        </w:rPr>
      </w:pPr>
    </w:p>
    <w:p w14:paraId="324F8DFE" w14:textId="77777777" w:rsidR="00443399" w:rsidRPr="00B03B51" w:rsidRDefault="00443399" w:rsidP="00443399">
      <w:pPr>
        <w:tabs>
          <w:tab w:val="left" w:pos="919"/>
        </w:tabs>
        <w:jc w:val="both"/>
        <w:rPr>
          <w:rFonts w:ascii="Times New Roman" w:hAnsi="Times New Roman" w:cs="Times New Roman"/>
          <w:b/>
          <w:noProof/>
          <w:sz w:val="24"/>
        </w:rPr>
      </w:pPr>
      <w:r w:rsidRPr="00B03B51">
        <w:rPr>
          <w:rFonts w:ascii="Times New Roman" w:hAnsi="Times New Roman" w:cs="Times New Roman"/>
          <w:b/>
          <w:sz w:val="24"/>
        </w:rPr>
        <w:t>3. Aizdevums ar nemainīgu gada maksu (gada maksas kopā = 9000)</w:t>
      </w:r>
    </w:p>
    <w:p w14:paraId="31072955" w14:textId="77777777" w:rsidR="00443399" w:rsidRPr="00B03B51" w:rsidRDefault="00443399" w:rsidP="00443399">
      <w:pPr>
        <w:tabs>
          <w:tab w:val="left" w:pos="919"/>
        </w:tabs>
        <w:jc w:val="both"/>
        <w:rPr>
          <w:rFonts w:ascii="Times New Roman" w:hAnsi="Times New Roman" w:cs="Times New Roman"/>
          <w:b/>
          <w:noProof/>
          <w:sz w:val="24"/>
        </w:rPr>
      </w:pPr>
    </w:p>
    <w:tbl>
      <w:tblPr>
        <w:tblW w:w="5000" w:type="pct"/>
        <w:tblCellMar>
          <w:top w:w="28" w:type="dxa"/>
          <w:left w:w="28" w:type="dxa"/>
          <w:bottom w:w="28" w:type="dxa"/>
          <w:right w:w="28" w:type="dxa"/>
        </w:tblCellMar>
        <w:tblLook w:val="01E0" w:firstRow="1" w:lastRow="1" w:firstColumn="1" w:lastColumn="1" w:noHBand="0" w:noVBand="0"/>
      </w:tblPr>
      <w:tblGrid>
        <w:gridCol w:w="777"/>
        <w:gridCol w:w="2325"/>
        <w:gridCol w:w="1334"/>
        <w:gridCol w:w="1735"/>
        <w:gridCol w:w="2882"/>
      </w:tblGrid>
      <w:tr w:rsidR="00443399" w:rsidRPr="00B03B51" w14:paraId="03D852E7" w14:textId="77777777" w:rsidTr="00BD4F89">
        <w:tc>
          <w:tcPr>
            <w:tcW w:w="429" w:type="pct"/>
            <w:tcBorders>
              <w:top w:val="single" w:sz="7" w:space="0" w:color="000000"/>
              <w:left w:val="single" w:sz="7" w:space="0" w:color="000000"/>
              <w:bottom w:val="single" w:sz="7" w:space="0" w:color="000000"/>
              <w:right w:val="single" w:sz="7" w:space="0" w:color="000000"/>
            </w:tcBorders>
          </w:tcPr>
          <w:p w14:paraId="7AC97678"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Periods</w:t>
            </w:r>
          </w:p>
        </w:tc>
        <w:tc>
          <w:tcPr>
            <w:tcW w:w="1284" w:type="pct"/>
            <w:tcBorders>
              <w:top w:val="single" w:sz="7" w:space="0" w:color="000000"/>
              <w:left w:val="single" w:sz="7" w:space="0" w:color="000000"/>
              <w:bottom w:val="single" w:sz="7" w:space="0" w:color="000000"/>
              <w:right w:val="single" w:sz="7" w:space="0" w:color="000000"/>
            </w:tcBorders>
          </w:tcPr>
          <w:p w14:paraId="1DD2DC92"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Pamatsumma perioda sākumā</w:t>
            </w:r>
          </w:p>
        </w:tc>
        <w:tc>
          <w:tcPr>
            <w:tcW w:w="737" w:type="pct"/>
            <w:tcBorders>
              <w:top w:val="single" w:sz="7" w:space="0" w:color="000000"/>
              <w:left w:val="single" w:sz="7" w:space="0" w:color="000000"/>
              <w:bottom w:val="single" w:sz="7" w:space="0" w:color="000000"/>
              <w:right w:val="single" w:sz="7" w:space="0" w:color="000000"/>
            </w:tcBorders>
          </w:tcPr>
          <w:p w14:paraId="3D6493FF"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Perioda procenti</w:t>
            </w:r>
          </w:p>
        </w:tc>
        <w:tc>
          <w:tcPr>
            <w:tcW w:w="958" w:type="pct"/>
            <w:tcBorders>
              <w:top w:val="single" w:sz="7" w:space="0" w:color="000000"/>
              <w:left w:val="single" w:sz="7" w:space="0" w:color="000000"/>
              <w:bottom w:val="single" w:sz="7" w:space="0" w:color="000000"/>
              <w:right w:val="single" w:sz="7" w:space="0" w:color="000000"/>
            </w:tcBorders>
          </w:tcPr>
          <w:p w14:paraId="568E7800"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Perioda amortizācija</w:t>
            </w:r>
          </w:p>
        </w:tc>
        <w:tc>
          <w:tcPr>
            <w:tcW w:w="1593" w:type="pct"/>
            <w:tcBorders>
              <w:top w:val="single" w:sz="7" w:space="0" w:color="000000"/>
              <w:left w:val="single" w:sz="7" w:space="0" w:color="000000"/>
              <w:bottom w:val="single" w:sz="7" w:space="0" w:color="000000"/>
              <w:right w:val="single" w:sz="7" w:space="0" w:color="000000"/>
            </w:tcBorders>
          </w:tcPr>
          <w:p w14:paraId="329E7417"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Gada maksa (kopējais gada maksājums)</w:t>
            </w:r>
          </w:p>
        </w:tc>
      </w:tr>
      <w:tr w:rsidR="00443399" w:rsidRPr="00B03B51" w14:paraId="65FD0CD7" w14:textId="77777777" w:rsidTr="00BD4F89">
        <w:tc>
          <w:tcPr>
            <w:tcW w:w="429" w:type="pct"/>
            <w:tcBorders>
              <w:top w:val="single" w:sz="7" w:space="0" w:color="000000"/>
              <w:left w:val="single" w:sz="7" w:space="0" w:color="000000"/>
              <w:bottom w:val="single" w:sz="7" w:space="0" w:color="000000"/>
              <w:right w:val="single" w:sz="7" w:space="0" w:color="000000"/>
            </w:tcBorders>
          </w:tcPr>
          <w:p w14:paraId="1CF11268"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1</w:t>
            </w:r>
          </w:p>
          <w:p w14:paraId="675BD2E1"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2</w:t>
            </w:r>
          </w:p>
          <w:p w14:paraId="48B5FD4B"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3</w:t>
            </w:r>
          </w:p>
          <w:p w14:paraId="08C3143F"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4</w:t>
            </w:r>
          </w:p>
          <w:p w14:paraId="3EEC5AE0"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lastRenderedPageBreak/>
              <w:t>5</w:t>
            </w:r>
          </w:p>
        </w:tc>
        <w:tc>
          <w:tcPr>
            <w:tcW w:w="1284" w:type="pct"/>
            <w:tcBorders>
              <w:top w:val="single" w:sz="7" w:space="0" w:color="000000"/>
              <w:left w:val="single" w:sz="7" w:space="0" w:color="000000"/>
              <w:bottom w:val="single" w:sz="7" w:space="0" w:color="000000"/>
              <w:right w:val="single" w:sz="7" w:space="0" w:color="000000"/>
            </w:tcBorders>
          </w:tcPr>
          <w:p w14:paraId="0C6720BD" w14:textId="77777777" w:rsidR="00443399" w:rsidRPr="00B03B51" w:rsidRDefault="00443399" w:rsidP="0054365B">
            <w:pPr>
              <w:pStyle w:val="TableParagraph"/>
              <w:jc w:val="center"/>
              <w:rPr>
                <w:rFonts w:ascii="Times New Roman" w:hAnsi="Times New Roman" w:cs="Times New Roman"/>
                <w:b/>
                <w:noProof/>
                <w:sz w:val="24"/>
              </w:rPr>
            </w:pPr>
            <w:r w:rsidRPr="00B03B51">
              <w:rPr>
                <w:rFonts w:ascii="Times New Roman" w:hAnsi="Times New Roman" w:cs="Times New Roman"/>
                <w:b/>
                <w:sz w:val="24"/>
              </w:rPr>
              <w:lastRenderedPageBreak/>
              <w:t>7582</w:t>
            </w:r>
          </w:p>
          <w:p w14:paraId="6B5FB292"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6237</w:t>
            </w:r>
          </w:p>
          <w:p w14:paraId="515288EB"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4811</w:t>
            </w:r>
          </w:p>
          <w:p w14:paraId="665B7F34"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3300</w:t>
            </w:r>
          </w:p>
          <w:p w14:paraId="5F2BD3F1"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lastRenderedPageBreak/>
              <w:t>1698</w:t>
            </w:r>
          </w:p>
        </w:tc>
        <w:tc>
          <w:tcPr>
            <w:tcW w:w="737" w:type="pct"/>
            <w:tcBorders>
              <w:top w:val="single" w:sz="7" w:space="0" w:color="000000"/>
              <w:left w:val="single" w:sz="7" w:space="0" w:color="000000"/>
              <w:bottom w:val="single" w:sz="7" w:space="0" w:color="000000"/>
              <w:right w:val="single" w:sz="7" w:space="0" w:color="000000"/>
            </w:tcBorders>
          </w:tcPr>
          <w:p w14:paraId="2F6EAD87"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lastRenderedPageBreak/>
              <w:t>455</w:t>
            </w:r>
          </w:p>
          <w:p w14:paraId="4403D9E0"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374</w:t>
            </w:r>
          </w:p>
          <w:p w14:paraId="62CA4B4D"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28</w:t>
            </w:r>
          </w:p>
          <w:p w14:paraId="05B7BC84"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198</w:t>
            </w:r>
          </w:p>
          <w:p w14:paraId="74C7CADF"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lastRenderedPageBreak/>
              <w:t>102</w:t>
            </w:r>
          </w:p>
        </w:tc>
        <w:tc>
          <w:tcPr>
            <w:tcW w:w="958" w:type="pct"/>
            <w:tcBorders>
              <w:top w:val="single" w:sz="7" w:space="0" w:color="000000"/>
              <w:left w:val="single" w:sz="7" w:space="0" w:color="000000"/>
              <w:bottom w:val="single" w:sz="7" w:space="0" w:color="000000"/>
              <w:right w:val="single" w:sz="7" w:space="0" w:color="000000"/>
            </w:tcBorders>
          </w:tcPr>
          <w:p w14:paraId="2FBED2AF"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lastRenderedPageBreak/>
              <w:t>1345</w:t>
            </w:r>
          </w:p>
          <w:p w14:paraId="46A55F36"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1426</w:t>
            </w:r>
          </w:p>
          <w:p w14:paraId="51427A13"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1511</w:t>
            </w:r>
          </w:p>
          <w:p w14:paraId="7E521479"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1602</w:t>
            </w:r>
          </w:p>
          <w:p w14:paraId="2DE8638A"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lastRenderedPageBreak/>
              <w:t>1698</w:t>
            </w:r>
          </w:p>
        </w:tc>
        <w:tc>
          <w:tcPr>
            <w:tcW w:w="1593" w:type="pct"/>
            <w:tcBorders>
              <w:top w:val="single" w:sz="7" w:space="0" w:color="000000"/>
              <w:left w:val="single" w:sz="7" w:space="0" w:color="000000"/>
              <w:bottom w:val="single" w:sz="7" w:space="0" w:color="000000"/>
              <w:right w:val="single" w:sz="7" w:space="0" w:color="000000"/>
            </w:tcBorders>
          </w:tcPr>
          <w:p w14:paraId="473F6918"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lastRenderedPageBreak/>
              <w:t>1800</w:t>
            </w:r>
          </w:p>
          <w:p w14:paraId="66AF8DE4"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1800</w:t>
            </w:r>
          </w:p>
          <w:p w14:paraId="77E34B4D"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1800</w:t>
            </w:r>
          </w:p>
          <w:p w14:paraId="65CCC341"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1800</w:t>
            </w:r>
          </w:p>
          <w:p w14:paraId="7B6B7F3C"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lastRenderedPageBreak/>
              <w:t>1800</w:t>
            </w:r>
          </w:p>
        </w:tc>
      </w:tr>
      <w:tr w:rsidR="00443399" w:rsidRPr="00B03B51" w14:paraId="2D59DD96" w14:textId="77777777" w:rsidTr="00BD4F89">
        <w:tc>
          <w:tcPr>
            <w:tcW w:w="429" w:type="pct"/>
            <w:tcBorders>
              <w:top w:val="single" w:sz="7" w:space="0" w:color="000000"/>
              <w:left w:val="single" w:sz="7" w:space="0" w:color="000000"/>
              <w:bottom w:val="single" w:sz="7" w:space="0" w:color="000000"/>
              <w:right w:val="single" w:sz="7" w:space="0" w:color="000000"/>
            </w:tcBorders>
          </w:tcPr>
          <w:p w14:paraId="37E2919C"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lastRenderedPageBreak/>
              <w:t>Kopā</w:t>
            </w:r>
          </w:p>
        </w:tc>
        <w:tc>
          <w:tcPr>
            <w:tcW w:w="1284" w:type="pct"/>
            <w:tcBorders>
              <w:top w:val="single" w:sz="7" w:space="0" w:color="000000"/>
              <w:left w:val="single" w:sz="7" w:space="0" w:color="000000"/>
              <w:bottom w:val="single" w:sz="7" w:space="0" w:color="000000"/>
              <w:right w:val="single" w:sz="7" w:space="0" w:color="000000"/>
            </w:tcBorders>
          </w:tcPr>
          <w:p w14:paraId="09F8F108" w14:textId="77777777" w:rsidR="00443399" w:rsidRPr="00B03B51" w:rsidRDefault="00443399" w:rsidP="0054365B">
            <w:pPr>
              <w:jc w:val="center"/>
              <w:rPr>
                <w:rFonts w:ascii="Times New Roman" w:hAnsi="Times New Roman" w:cs="Times New Roman"/>
                <w:noProof/>
                <w:sz w:val="24"/>
              </w:rPr>
            </w:pPr>
          </w:p>
        </w:tc>
        <w:tc>
          <w:tcPr>
            <w:tcW w:w="737" w:type="pct"/>
            <w:tcBorders>
              <w:top w:val="single" w:sz="7" w:space="0" w:color="000000"/>
              <w:left w:val="single" w:sz="7" w:space="0" w:color="000000"/>
              <w:bottom w:val="single" w:sz="7" w:space="0" w:color="000000"/>
              <w:right w:val="single" w:sz="7" w:space="0" w:color="000000"/>
            </w:tcBorders>
          </w:tcPr>
          <w:p w14:paraId="2E436DD7"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1418</w:t>
            </w:r>
          </w:p>
        </w:tc>
        <w:tc>
          <w:tcPr>
            <w:tcW w:w="958" w:type="pct"/>
            <w:tcBorders>
              <w:top w:val="single" w:sz="7" w:space="0" w:color="000000"/>
              <w:left w:val="single" w:sz="7" w:space="0" w:color="000000"/>
              <w:bottom w:val="single" w:sz="7" w:space="0" w:color="000000"/>
              <w:right w:val="single" w:sz="7" w:space="0" w:color="000000"/>
            </w:tcBorders>
          </w:tcPr>
          <w:p w14:paraId="6BD991D7"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7582</w:t>
            </w:r>
          </w:p>
        </w:tc>
        <w:tc>
          <w:tcPr>
            <w:tcW w:w="1593" w:type="pct"/>
            <w:tcBorders>
              <w:top w:val="single" w:sz="7" w:space="0" w:color="000000"/>
              <w:left w:val="single" w:sz="7" w:space="0" w:color="000000"/>
              <w:bottom w:val="single" w:sz="7" w:space="0" w:color="000000"/>
              <w:right w:val="single" w:sz="7" w:space="0" w:color="000000"/>
            </w:tcBorders>
          </w:tcPr>
          <w:p w14:paraId="14BCE2EA" w14:textId="77777777" w:rsidR="00443399" w:rsidRPr="00B03B51" w:rsidRDefault="00443399" w:rsidP="0054365B">
            <w:pPr>
              <w:pStyle w:val="TableParagraph"/>
              <w:jc w:val="center"/>
              <w:rPr>
                <w:rFonts w:ascii="Times New Roman" w:hAnsi="Times New Roman" w:cs="Times New Roman"/>
                <w:noProof/>
                <w:sz w:val="24"/>
              </w:rPr>
            </w:pPr>
            <w:r w:rsidRPr="00B03B51">
              <w:rPr>
                <w:rFonts w:ascii="Times New Roman" w:hAnsi="Times New Roman" w:cs="Times New Roman"/>
                <w:sz w:val="24"/>
              </w:rPr>
              <w:t>9000</w:t>
            </w:r>
          </w:p>
        </w:tc>
      </w:tr>
    </w:tbl>
    <w:p w14:paraId="6B968E45" w14:textId="77777777" w:rsidR="00443399" w:rsidRPr="00B03B51" w:rsidRDefault="00443399" w:rsidP="00443399">
      <w:pPr>
        <w:pStyle w:val="BodyText"/>
        <w:spacing w:before="0"/>
        <w:ind w:left="0" w:firstLine="0"/>
        <w:jc w:val="both"/>
        <w:rPr>
          <w:rFonts w:ascii="Times New Roman" w:hAnsi="Times New Roman" w:cs="Times New Roman"/>
          <w:noProof/>
          <w:sz w:val="24"/>
        </w:rPr>
      </w:pPr>
    </w:p>
    <w:p w14:paraId="09DCD18D" w14:textId="77777777" w:rsidR="00443399" w:rsidRPr="00B03B51" w:rsidRDefault="00443399" w:rsidP="00443399">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t>Kapitāla pārvedums, kas ierakstīts jaunā līguma darbības laikā: 10 000–7582=2418</w:t>
      </w:r>
    </w:p>
    <w:p w14:paraId="775FB1A9" w14:textId="77777777" w:rsidR="00443399" w:rsidRPr="00B03B51" w:rsidRDefault="00443399" w:rsidP="00443399">
      <w:pPr>
        <w:rPr>
          <w:rFonts w:ascii="Times New Roman" w:hAnsi="Times New Roman" w:cs="Times New Roman"/>
          <w:noProof/>
          <w:sz w:val="24"/>
        </w:rPr>
      </w:pPr>
      <w:r w:rsidRPr="00B03B51">
        <w:rPr>
          <w:rFonts w:ascii="Times New Roman" w:hAnsi="Times New Roman" w:cs="Times New Roman"/>
        </w:rPr>
        <w:br w:type="page"/>
      </w:r>
    </w:p>
    <w:p w14:paraId="2D2F9D60" w14:textId="77777777" w:rsidR="00443399" w:rsidRPr="00B03B51" w:rsidRDefault="00443399" w:rsidP="00443399">
      <w:pPr>
        <w:jc w:val="both"/>
        <w:rPr>
          <w:rFonts w:ascii="Times New Roman" w:eastAsia="Arial" w:hAnsi="Times New Roman" w:cs="Times New Roman"/>
          <w:noProof/>
          <w:sz w:val="24"/>
          <w:szCs w:val="18"/>
        </w:rPr>
      </w:pPr>
    </w:p>
    <w:p w14:paraId="16B544D1" w14:textId="77777777" w:rsidR="00443399" w:rsidRPr="00B03B51" w:rsidRDefault="00443399" w:rsidP="00443399">
      <w:pPr>
        <w:pStyle w:val="Heading2"/>
        <w:tabs>
          <w:tab w:val="left" w:pos="1135"/>
        </w:tabs>
        <w:spacing w:before="0"/>
        <w:ind w:left="0" w:firstLine="0"/>
        <w:jc w:val="both"/>
        <w:rPr>
          <w:rFonts w:ascii="Times New Roman" w:hAnsi="Times New Roman" w:cs="Times New Roman"/>
          <w:noProof/>
          <w:sz w:val="28"/>
          <w:szCs w:val="44"/>
        </w:rPr>
      </w:pPr>
      <w:bookmarkStart w:id="588" w:name="7.4_Government_guarantees"/>
      <w:bookmarkStart w:id="589" w:name="_bookmark58"/>
      <w:bookmarkStart w:id="590" w:name="_Toc67565207"/>
      <w:bookmarkEnd w:id="588"/>
      <w:bookmarkEnd w:id="589"/>
      <w:r w:rsidRPr="00B03B51">
        <w:rPr>
          <w:rFonts w:ascii="Times New Roman" w:hAnsi="Times New Roman" w:cs="Times New Roman"/>
          <w:sz w:val="28"/>
          <w:szCs w:val="44"/>
        </w:rPr>
        <w:t>7.4. Valdības galvojumi</w:t>
      </w:r>
      <w:bookmarkEnd w:id="590"/>
    </w:p>
    <w:p w14:paraId="431DD0B4" w14:textId="77777777" w:rsidR="00443399" w:rsidRPr="00100B51" w:rsidRDefault="00443399" w:rsidP="00100B51">
      <w:pPr>
        <w:rPr>
          <w:rFonts w:ascii="Times New Roman" w:hAnsi="Times New Roman" w:cs="Times New Roman"/>
          <w:noProof/>
          <w:sz w:val="24"/>
          <w:szCs w:val="24"/>
        </w:rPr>
      </w:pPr>
      <w:bookmarkStart w:id="591" w:name="7.4.1_Background"/>
      <w:bookmarkEnd w:id="591"/>
    </w:p>
    <w:p w14:paraId="69DC6DDE" w14:textId="77777777" w:rsidR="00443399" w:rsidRPr="00B03B51" w:rsidRDefault="00443399" w:rsidP="00443399">
      <w:pPr>
        <w:pStyle w:val="Heading3"/>
        <w:tabs>
          <w:tab w:val="left" w:pos="1267"/>
        </w:tabs>
        <w:ind w:left="0" w:firstLine="0"/>
        <w:jc w:val="both"/>
        <w:rPr>
          <w:rFonts w:ascii="Times New Roman" w:hAnsi="Times New Roman" w:cs="Times New Roman"/>
          <w:noProof/>
          <w:sz w:val="24"/>
        </w:rPr>
      </w:pPr>
      <w:bookmarkStart w:id="592" w:name="_Toc67565208"/>
      <w:r w:rsidRPr="00B03B51">
        <w:rPr>
          <w:rFonts w:ascii="Times New Roman" w:hAnsi="Times New Roman" w:cs="Times New Roman"/>
          <w:sz w:val="24"/>
        </w:rPr>
        <w:t>7.4.1. Vispārīga informācija</w:t>
      </w:r>
      <w:bookmarkEnd w:id="592"/>
    </w:p>
    <w:p w14:paraId="486FCDBE"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0434C1AD"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 Daudzās ES dalībvalstīs valdība (parasti centrālās valdības līmenī, bet dažkārt arī pavalsts līmeņa valdība vai vietējā pašvaldība) sniedz garantijas attiecībā uz noteiktu publiskā un privātā sektora sabiedrību un citu subjektu aizņēmumiem. Garantija var būt gan beznosacījuma, gan nosacījuma, un valdība var rīkoties atsevišķi vai kopā ar citām vienībām. Šādi saņēmējai vienībai parasti tiek nodrošināta iespēja saņemt aizdevumu ar zemāku procentu likmi</w:t>
      </w:r>
      <w:r w:rsidRPr="00B03B51">
        <w:rPr>
          <w:rStyle w:val="FootnoteReference"/>
          <w:rFonts w:ascii="Times New Roman" w:hAnsi="Times New Roman" w:cs="Times New Roman"/>
          <w:noProof/>
          <w:sz w:val="24"/>
        </w:rPr>
        <w:footnoteReference w:id="257"/>
      </w:r>
      <w:r w:rsidRPr="00B03B51">
        <w:rPr>
          <w:rFonts w:ascii="Times New Roman" w:hAnsi="Times New Roman" w:cs="Times New Roman"/>
          <w:sz w:val="24"/>
        </w:rPr>
        <w:t>, bet dažos gadījumos šāds atbalsts ir nepieciešams pat tam, lai vienība varētu piekļūt aizdevumu tirgiem. Garantiju iespējams izmantot (t. i., realizēt galvotāja saistības) dažādos veidos. Visbiežāk garantijas izmantošanas pieprasījumu aktivē kreditors, piemēram, banka, un bieži vien tas notiek pēc pirmā pieprasījuma. Parasti šādos garantijas pieprasījumos ir iesaistītas trīs puses – debitors, piemēram, publiska sabiedrība, kreditors, piemēram, banka, un galvotājs (šajā nodaļā – valdības vienība).</w:t>
      </w:r>
    </w:p>
    <w:p w14:paraId="76F6C08B"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73458543"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2. Garantiju izsniegšana attiecībā uz dažu subjektu turētiem aktīviem var ietilpt valdības ierastajā praksē, vai tā var šādi rīkoties, īstenodama valdības politiku. Šādā gadījumā valdība apņemas segt zaudējumus, kas saistīti ar aktīvu vērtības samazināšanos vai neatgūtajiem līdzekļiem, un pastāv vairāki veidi, kā aktivizēt galvotāja saistības. Jautājumu par garantijām, kas attiecas uz nozīmīgiem problemātiskiem aktīviem, skat. 4.5. nodaļā “Finanšu sanācija”.</w:t>
      </w:r>
    </w:p>
    <w:p w14:paraId="4D16436A"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6A251EE2"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3. Šajā nodaļā netiek skatītas turpmāk norādīto veidu garantijas,</w:t>
      </w:r>
    </w:p>
    <w:p w14:paraId="2D1EBB17"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0EFC25EB" w14:textId="77777777" w:rsidR="00443399" w:rsidRPr="00B03B51" w:rsidRDefault="00443399" w:rsidP="00BD4F89">
      <w:pPr>
        <w:pStyle w:val="BodyText"/>
        <w:numPr>
          <w:ilvl w:val="1"/>
          <w:numId w:val="41"/>
        </w:numPr>
        <w:spacing w:before="0"/>
        <w:ind w:left="426" w:hanging="425"/>
        <w:jc w:val="both"/>
        <w:rPr>
          <w:rFonts w:ascii="Times New Roman" w:hAnsi="Times New Roman" w:cs="Times New Roman"/>
          <w:noProof/>
          <w:sz w:val="24"/>
        </w:rPr>
      </w:pPr>
      <w:r w:rsidRPr="00B03B51">
        <w:rPr>
          <w:rFonts w:ascii="Times New Roman" w:hAnsi="Times New Roman" w:cs="Times New Roman"/>
          <w:sz w:val="24"/>
        </w:rPr>
        <w:t>Valdības netiešās garantijas pretstatā oficiālajām garantijām, kuras parasti ir noteiktas līgumos (piemēram, garantētas vērtspapīru emisijas gadījumā). Netiešās garantijas var izrietēt no akcionāra pienākumiem, kurus valdība uzņēmusies, vai vienību kontroles pienākumiem, kad tiek paredzēts, ka valdība iejauksies visos gadījumos, kad tiks konstatētas problēmas. Netiešās garantijas var būt saistītas arī ar saimniecisko darbību, kas tiek uzskatīta par neatņemamu tautsaimniecības daļu, pieņemot, ka valdība iejauksies, lai novērstu neveiksmi.</w:t>
      </w:r>
    </w:p>
    <w:p w14:paraId="7A476390" w14:textId="77777777" w:rsidR="00443399" w:rsidRPr="00B03B51" w:rsidRDefault="00443399" w:rsidP="00BD4F89">
      <w:pPr>
        <w:pStyle w:val="BodyText"/>
        <w:numPr>
          <w:ilvl w:val="1"/>
          <w:numId w:val="41"/>
        </w:numPr>
        <w:spacing w:before="0"/>
        <w:ind w:left="426" w:hanging="425"/>
        <w:jc w:val="both"/>
        <w:rPr>
          <w:rFonts w:ascii="Times New Roman" w:hAnsi="Times New Roman" w:cs="Times New Roman"/>
          <w:noProof/>
          <w:sz w:val="24"/>
        </w:rPr>
      </w:pPr>
      <w:r w:rsidRPr="00B03B51">
        <w:rPr>
          <w:rFonts w:ascii="Times New Roman" w:hAnsi="Times New Roman" w:cs="Times New Roman"/>
          <w:sz w:val="24"/>
        </w:rPr>
        <w:t>Formālās garantiju saistības, kas ir samērā līdzīgas apdrošināšanas shēmām. Piemēram, valdība var “garantēt”, ka mājsaimniecības veiks noteiktus maksājumus (piemēram, mājokļa īres maksu) vai izdot garantiju attiecībā uz īpašiem notikumiem (piemēram, mākslas izstādēm).</w:t>
      </w:r>
    </w:p>
    <w:p w14:paraId="1FC37830"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28E67A11"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4. Valdība var izsniegt trīs veidu garantijas:</w:t>
      </w:r>
    </w:p>
    <w:p w14:paraId="2CE5B398"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0327AAC2" w14:textId="77777777" w:rsidR="00443399" w:rsidRPr="00B03B51" w:rsidRDefault="00443399" w:rsidP="00BD4F89">
      <w:pPr>
        <w:pStyle w:val="BodyText"/>
        <w:numPr>
          <w:ilvl w:val="1"/>
          <w:numId w:val="41"/>
        </w:numPr>
        <w:spacing w:before="0"/>
        <w:ind w:left="426" w:hanging="425"/>
        <w:jc w:val="both"/>
        <w:rPr>
          <w:rFonts w:ascii="Times New Roman" w:hAnsi="Times New Roman" w:cs="Times New Roman"/>
          <w:noProof/>
          <w:sz w:val="24"/>
        </w:rPr>
      </w:pPr>
      <w:r w:rsidRPr="00B03B51">
        <w:rPr>
          <w:rFonts w:ascii="Times New Roman" w:hAnsi="Times New Roman" w:cs="Times New Roman"/>
          <w:sz w:val="24"/>
        </w:rPr>
        <w:t>atvasināta instrumenta formā (piemēram, kredīta atvasinātos mijmaiņas darījumus), kas tiek traktēti atbilstīgi tam, kā parasti traktē atvasinātos instrumentus, un kam nav nepieciešami īpaši noteikumi attiecībā uz šādiem valdības darījumiem;</w:t>
      </w:r>
    </w:p>
    <w:p w14:paraId="23CE9478" w14:textId="77777777" w:rsidR="00443399" w:rsidRPr="00B03B51" w:rsidRDefault="00443399" w:rsidP="00BD4F89">
      <w:pPr>
        <w:pStyle w:val="BodyText"/>
        <w:numPr>
          <w:ilvl w:val="1"/>
          <w:numId w:val="41"/>
        </w:numPr>
        <w:spacing w:before="0"/>
        <w:ind w:left="426" w:hanging="425"/>
        <w:jc w:val="both"/>
        <w:rPr>
          <w:rFonts w:ascii="Times New Roman" w:hAnsi="Times New Roman" w:cs="Times New Roman"/>
          <w:noProof/>
          <w:sz w:val="24"/>
        </w:rPr>
      </w:pPr>
      <w:r w:rsidRPr="00B03B51">
        <w:rPr>
          <w:rFonts w:ascii="Times New Roman" w:hAnsi="Times New Roman" w:cs="Times New Roman"/>
          <w:sz w:val="24"/>
        </w:rPr>
        <w:t>standartizētu garantiju formā (ieviestas NKS 2008 un EKS 2010), skat. šīs rokasgrāmatas 7.4.4. nodaļu;</w:t>
      </w:r>
    </w:p>
    <w:p w14:paraId="472277B8" w14:textId="77777777" w:rsidR="00443399" w:rsidRPr="00B03B51" w:rsidRDefault="00443399" w:rsidP="00BD4F89">
      <w:pPr>
        <w:pStyle w:val="BodyText"/>
        <w:numPr>
          <w:ilvl w:val="1"/>
          <w:numId w:val="41"/>
        </w:numPr>
        <w:spacing w:before="0"/>
        <w:ind w:left="426" w:hanging="425"/>
        <w:jc w:val="both"/>
        <w:rPr>
          <w:rFonts w:ascii="Times New Roman" w:hAnsi="Times New Roman" w:cs="Times New Roman"/>
          <w:noProof/>
          <w:sz w:val="24"/>
        </w:rPr>
      </w:pPr>
      <w:r w:rsidRPr="00B03B51">
        <w:rPr>
          <w:rFonts w:ascii="Times New Roman" w:hAnsi="Times New Roman" w:cs="Times New Roman"/>
          <w:sz w:val="24"/>
        </w:rPr>
        <w:t>“vienreizēju” garantiju formā (skat. 7.4.2. iedaļu).</w:t>
      </w:r>
    </w:p>
    <w:p w14:paraId="10579A33" w14:textId="77777777" w:rsidR="00443399" w:rsidRPr="00B03B51" w:rsidRDefault="00443399" w:rsidP="00443399">
      <w:pPr>
        <w:jc w:val="both"/>
        <w:rPr>
          <w:rFonts w:ascii="Times New Roman" w:eastAsia="Arial" w:hAnsi="Times New Roman" w:cs="Times New Roman"/>
          <w:noProof/>
          <w:sz w:val="24"/>
          <w:szCs w:val="20"/>
        </w:rPr>
      </w:pPr>
    </w:p>
    <w:p w14:paraId="0BC34D87" w14:textId="77777777" w:rsidR="00443399" w:rsidRPr="00B03B51" w:rsidRDefault="00443399" w:rsidP="00443399">
      <w:pPr>
        <w:tabs>
          <w:tab w:val="left" w:pos="843"/>
        </w:tabs>
        <w:jc w:val="both"/>
        <w:rPr>
          <w:rFonts w:ascii="Times New Roman" w:eastAsia="Arial" w:hAnsi="Times New Roman" w:cs="Times New Roman"/>
          <w:noProof/>
          <w:sz w:val="24"/>
          <w:szCs w:val="19"/>
        </w:rPr>
      </w:pPr>
      <w:r w:rsidRPr="00B03B51">
        <w:rPr>
          <w:rFonts w:ascii="Times New Roman" w:hAnsi="Times New Roman" w:cs="Times New Roman"/>
          <w:sz w:val="24"/>
          <w:szCs w:val="19"/>
        </w:rPr>
        <w:t xml:space="preserve">5. EKS 2010 5.190. punktā sniegta standartizētu garantiju definīcija, proti, tās ir garantijas, kuras </w:t>
      </w:r>
      <w:r w:rsidRPr="00B03B51">
        <w:rPr>
          <w:rFonts w:ascii="Times New Roman" w:hAnsi="Times New Roman" w:cs="Times New Roman"/>
          <w:i/>
          <w:iCs/>
          <w:sz w:val="24"/>
          <w:szCs w:val="19"/>
        </w:rPr>
        <w:t xml:space="preserve">tiek emitētas lielā skaitā, parasti par salīdzinoši mazām summām, saskaņā ar identiskiem </w:t>
      </w:r>
      <w:r w:rsidRPr="00B03B51">
        <w:rPr>
          <w:rFonts w:ascii="Times New Roman" w:hAnsi="Times New Roman" w:cs="Times New Roman"/>
          <w:i/>
          <w:iCs/>
          <w:sz w:val="24"/>
          <w:szCs w:val="19"/>
        </w:rPr>
        <w:lastRenderedPageBreak/>
        <w:t>noteikumiem</w:t>
      </w:r>
      <w:r w:rsidRPr="00B03B51">
        <w:rPr>
          <w:rFonts w:ascii="Times New Roman" w:hAnsi="Times New Roman" w:cs="Times New Roman"/>
          <w:sz w:val="24"/>
          <w:szCs w:val="19"/>
        </w:rPr>
        <w:t>. To galvenās pazīmes ir šādas:</w:t>
      </w:r>
    </w:p>
    <w:p w14:paraId="5E81F3F5" w14:textId="77777777" w:rsidR="00443399" w:rsidRPr="00B03B51" w:rsidRDefault="00443399" w:rsidP="00443399">
      <w:pPr>
        <w:tabs>
          <w:tab w:val="left" w:pos="843"/>
        </w:tabs>
        <w:jc w:val="both"/>
        <w:rPr>
          <w:rFonts w:ascii="Times New Roman" w:eastAsia="Arial" w:hAnsi="Times New Roman" w:cs="Times New Roman"/>
          <w:noProof/>
          <w:sz w:val="24"/>
          <w:szCs w:val="19"/>
        </w:rPr>
      </w:pPr>
    </w:p>
    <w:p w14:paraId="3A78D585" w14:textId="77777777" w:rsidR="00443399" w:rsidRPr="00B03B51" w:rsidRDefault="00443399" w:rsidP="00BD4F89">
      <w:pPr>
        <w:pStyle w:val="BodyText"/>
        <w:numPr>
          <w:ilvl w:val="1"/>
          <w:numId w:val="41"/>
        </w:numPr>
        <w:spacing w:before="0"/>
        <w:ind w:left="426" w:hanging="425"/>
        <w:jc w:val="both"/>
        <w:rPr>
          <w:rFonts w:ascii="Times New Roman" w:hAnsi="Times New Roman" w:cs="Times New Roman"/>
          <w:noProof/>
          <w:sz w:val="24"/>
        </w:rPr>
      </w:pPr>
      <w:r w:rsidRPr="00B03B51">
        <w:rPr>
          <w:rFonts w:ascii="Times New Roman" w:hAnsi="Times New Roman" w:cs="Times New Roman"/>
          <w:sz w:val="24"/>
        </w:rPr>
        <w:t>tās tiek izdotas vairāku tādu finanšu iestāžu vajadzībām, kuras izsniedz kredītus precīzam mērķim paredzētā programmā;</w:t>
      </w:r>
    </w:p>
    <w:p w14:paraId="48A42F26" w14:textId="77777777" w:rsidR="00443399" w:rsidRPr="00B03B51" w:rsidRDefault="00443399" w:rsidP="00BD4F89">
      <w:pPr>
        <w:pStyle w:val="BodyText"/>
        <w:numPr>
          <w:ilvl w:val="1"/>
          <w:numId w:val="41"/>
        </w:numPr>
        <w:spacing w:before="0"/>
        <w:ind w:left="426" w:hanging="425"/>
        <w:jc w:val="both"/>
        <w:rPr>
          <w:rFonts w:ascii="Times New Roman" w:hAnsi="Times New Roman" w:cs="Times New Roman"/>
          <w:noProof/>
          <w:sz w:val="24"/>
        </w:rPr>
      </w:pPr>
      <w:r w:rsidRPr="00B03B51">
        <w:rPr>
          <w:rFonts w:ascii="Times New Roman" w:hAnsi="Times New Roman" w:cs="Times New Roman"/>
          <w:sz w:val="24"/>
        </w:rPr>
        <w:t>attiecas uz šo finanšu iestāžu aktīviem (garantijas ierosināšana prasījuma dēļ netiek attiecināta uz gadījumiem, kad aizdevēja vienība nespēj izpildīt savas parādsaistības);</w:t>
      </w:r>
    </w:p>
    <w:p w14:paraId="5DB1AADB" w14:textId="77777777" w:rsidR="00443399" w:rsidRPr="00B03B51" w:rsidRDefault="00443399" w:rsidP="00BD4F89">
      <w:pPr>
        <w:pStyle w:val="BodyText"/>
        <w:numPr>
          <w:ilvl w:val="1"/>
          <w:numId w:val="41"/>
        </w:numPr>
        <w:spacing w:before="0"/>
        <w:ind w:left="426" w:hanging="425"/>
        <w:jc w:val="both"/>
        <w:rPr>
          <w:rFonts w:ascii="Times New Roman" w:hAnsi="Times New Roman" w:cs="Times New Roman"/>
          <w:noProof/>
          <w:sz w:val="24"/>
        </w:rPr>
      </w:pPr>
      <w:r w:rsidRPr="00B03B51">
        <w:rPr>
          <w:rFonts w:ascii="Times New Roman" w:hAnsi="Times New Roman" w:cs="Times New Roman"/>
          <w:sz w:val="24"/>
        </w:rPr>
        <w:t>piešķirtas saistībā ar sabiedrības interesēm atbilstošu politiku.</w:t>
      </w:r>
    </w:p>
    <w:p w14:paraId="03F47C8A"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555A599A"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6. Standartizētās garantijas ir, piemēram, aizdevumi studentiem (jo īpaši augstas studiju maksas gadījumos), hipotekārie kredīti mājsaimniecībām (parasti aizdevumu ņēmējiem ar zemiem ienākumiem) un eksporta kredīti.</w:t>
      </w:r>
      <w:r w:rsidRPr="00B03B51">
        <w:rPr>
          <w:rStyle w:val="FootnoteReference"/>
          <w:rFonts w:ascii="Times New Roman" w:hAnsi="Times New Roman" w:cs="Times New Roman"/>
          <w:noProof/>
          <w:sz w:val="24"/>
        </w:rPr>
        <w:footnoteReference w:id="258"/>
      </w:r>
    </w:p>
    <w:p w14:paraId="062C4DE1" w14:textId="77777777" w:rsidR="00443399" w:rsidRPr="00B03B51" w:rsidRDefault="00443399" w:rsidP="00443399">
      <w:pPr>
        <w:jc w:val="both"/>
        <w:rPr>
          <w:rFonts w:ascii="Times New Roman" w:eastAsia="Arial" w:hAnsi="Times New Roman" w:cs="Times New Roman"/>
          <w:noProof/>
          <w:sz w:val="24"/>
          <w:szCs w:val="14"/>
        </w:rPr>
      </w:pPr>
    </w:p>
    <w:p w14:paraId="6CB4578C"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7. Atšķirībā no standartizētajām garantijām vienreizējās garantijas tiek izsniegtas, pamatojoties uz katra gadījuma atsevišķu novērtējumu, parasti – par samērā ievērojamām summām un saskaņā ar individuāliem līgumiem. Tās netiek izsniegtas vispārējā satvarā un paredz ciešu valdības uzraudzību individuālajā līmenī. Attiecībā uz to ietekmi bieži vien tiek piemērotas konkurences iestāžu pārbaudes.</w:t>
      </w:r>
    </w:p>
    <w:p w14:paraId="5D8F9982"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6900EF9C"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8. EKS 2010 ir norādīta vēl viena atšķirība starp standartizētām garantijām un vienreizējām garantijām. Pirmajā gadījumā galvotājiem, piedāvājot standartizēto garantiju, jāspēj aprēķināt vidējos zaudējumus, pamatojoties uz pieejamajiem statistikas datiem un izmantojot “prognozēto garantijas izmantošanas risku”. Vienreizēju garantiju gadījumā galvotāji parasti sākumā nespēs ticami novērtēt garantijas izmantošanas risku, jo to praktiski nav iespējams prognozēt lietas unikalitātes dēļ.</w:t>
      </w:r>
    </w:p>
    <w:p w14:paraId="63F51647"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4C647D21"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9. Kopumā maksu par vienreizējām garantijām, ko valdība saņem kā galvotāja, klasificē kā maksu par pakalpojumu, t. i., kā maksājumu par ārpustirgus produkciju (P.131). Atbilstīgi uzkrāšanas principam šie ieņēmumi ir jāsadala pa visu garantijas derīguma termiņu. Maksas, ko valdība saņem saistībā ar standartizētajām garantijām, ir līdzvērtīgas apdrošināšanas prēmijām, jo īpaši eksporta kredīta shēmu gadījumā, un tāpēc tās ir jātraktē līdzīgi noteikumiem, kas sniegti EKS 2010 par nedzīvības apdrošināšanu (skat. EKS 2010 16. nodaļu).</w:t>
      </w:r>
    </w:p>
    <w:p w14:paraId="462144F0"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055E7EE3"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10. Tomēr konkrētu vienreizēju garantiju gadījumā, maksājumu summa, ko saņēmusi valdība, varētu būt ievērojami neproporcionāla ar valdības izmaksām, kas saistītas ar garantijas nodrošināšanu. Šādā gadījumā maksa (kas ir neproporcionāla) pēc būtības ir obligāts maksājums, un tā ir uzskatāma par neatlīdzināmu. Tas nozīmē, ka šādos gadījumos nodoklis (D.29) būtu ierakstāms saskaņā ar EKS 2010 4.23. punktu.</w:t>
      </w:r>
    </w:p>
    <w:p w14:paraId="153679D3" w14:textId="77777777" w:rsidR="00443399" w:rsidRPr="00B03B51" w:rsidRDefault="00443399" w:rsidP="00443399">
      <w:pPr>
        <w:jc w:val="both"/>
        <w:rPr>
          <w:rFonts w:ascii="Times New Roman" w:eastAsia="Arial" w:hAnsi="Times New Roman" w:cs="Times New Roman"/>
          <w:noProof/>
          <w:sz w:val="24"/>
          <w:szCs w:val="18"/>
        </w:rPr>
      </w:pPr>
    </w:p>
    <w:p w14:paraId="65EC3F55" w14:textId="77777777" w:rsidR="00443399" w:rsidRPr="00B03B51" w:rsidRDefault="00443399" w:rsidP="00210375">
      <w:pPr>
        <w:pStyle w:val="Heading3"/>
        <w:keepNext/>
        <w:tabs>
          <w:tab w:val="left" w:pos="1267"/>
        </w:tabs>
        <w:ind w:left="0" w:firstLine="0"/>
        <w:jc w:val="both"/>
        <w:rPr>
          <w:rFonts w:ascii="Times New Roman" w:hAnsi="Times New Roman" w:cs="Times New Roman"/>
          <w:noProof/>
          <w:sz w:val="24"/>
        </w:rPr>
      </w:pPr>
      <w:bookmarkStart w:id="593" w:name="7.4.2_One-off_guarantees"/>
      <w:bookmarkStart w:id="594" w:name="_Toc67565209"/>
      <w:bookmarkEnd w:id="593"/>
      <w:r w:rsidRPr="00B03B51">
        <w:rPr>
          <w:rFonts w:ascii="Times New Roman" w:hAnsi="Times New Roman" w:cs="Times New Roman"/>
          <w:sz w:val="24"/>
        </w:rPr>
        <w:t>7.4.2. Vienreizējas garantijas</w:t>
      </w:r>
      <w:bookmarkEnd w:id="594"/>
    </w:p>
    <w:p w14:paraId="33469C1C" w14:textId="77777777" w:rsidR="00443399" w:rsidRPr="003E7255" w:rsidRDefault="00443399" w:rsidP="003E7255">
      <w:pPr>
        <w:rPr>
          <w:rFonts w:ascii="Times New Roman" w:hAnsi="Times New Roman" w:cs="Times New Roman"/>
          <w:noProof/>
          <w:sz w:val="24"/>
          <w:szCs w:val="24"/>
        </w:rPr>
      </w:pPr>
      <w:bookmarkStart w:id="595" w:name="7.4.2.1_Treatment_in_national_accounts"/>
      <w:bookmarkEnd w:id="595"/>
    </w:p>
    <w:p w14:paraId="36DFBE28" w14:textId="77777777" w:rsidR="00443399" w:rsidRPr="00B03B51" w:rsidRDefault="00443399" w:rsidP="00210375">
      <w:pPr>
        <w:pStyle w:val="Heading6"/>
        <w:keepNext/>
        <w:tabs>
          <w:tab w:val="left" w:pos="1267"/>
        </w:tabs>
        <w:ind w:left="0" w:firstLine="0"/>
        <w:jc w:val="both"/>
        <w:rPr>
          <w:rFonts w:ascii="Times New Roman" w:hAnsi="Times New Roman" w:cs="Times New Roman"/>
          <w:noProof/>
          <w:sz w:val="24"/>
        </w:rPr>
      </w:pPr>
      <w:r w:rsidRPr="00B03B51">
        <w:rPr>
          <w:rFonts w:ascii="Times New Roman" w:hAnsi="Times New Roman" w:cs="Times New Roman"/>
          <w:sz w:val="24"/>
        </w:rPr>
        <w:t>7.4.2.1. TRAKTĒJUMS NACIONĀLAJOS KONTOS</w:t>
      </w:r>
    </w:p>
    <w:p w14:paraId="408ED228" w14:textId="77777777" w:rsidR="00443399" w:rsidRPr="00B03B51" w:rsidRDefault="00443399" w:rsidP="00210375">
      <w:pPr>
        <w:keepNext/>
        <w:tabs>
          <w:tab w:val="left" w:pos="1692"/>
        </w:tabs>
        <w:jc w:val="both"/>
        <w:rPr>
          <w:rFonts w:ascii="Times New Roman" w:hAnsi="Times New Roman" w:cs="Times New Roman"/>
          <w:b/>
          <w:noProof/>
          <w:sz w:val="24"/>
        </w:rPr>
      </w:pPr>
      <w:bookmarkStart w:id="596" w:name="7.4.2.1.1._General_case"/>
      <w:bookmarkEnd w:id="596"/>
    </w:p>
    <w:p w14:paraId="42212944" w14:textId="77777777" w:rsidR="00443399" w:rsidRPr="003E7255" w:rsidRDefault="00443399" w:rsidP="003E7255">
      <w:pPr>
        <w:pStyle w:val="Heading6"/>
        <w:tabs>
          <w:tab w:val="left" w:pos="1692"/>
        </w:tabs>
        <w:ind w:left="0" w:firstLine="0"/>
        <w:jc w:val="both"/>
        <w:rPr>
          <w:rFonts w:ascii="Times New Roman" w:hAnsi="Times New Roman" w:cs="Times New Roman"/>
          <w:sz w:val="24"/>
        </w:rPr>
      </w:pPr>
      <w:r w:rsidRPr="00B03B51">
        <w:rPr>
          <w:rFonts w:ascii="Times New Roman" w:hAnsi="Times New Roman" w:cs="Times New Roman"/>
          <w:sz w:val="24"/>
        </w:rPr>
        <w:t>7.4.2.1.1. Vispārējs gadījums</w:t>
      </w:r>
    </w:p>
    <w:p w14:paraId="0D38DC4A" w14:textId="77777777" w:rsidR="00443399" w:rsidRPr="00B03B51" w:rsidRDefault="00443399" w:rsidP="00210375">
      <w:pPr>
        <w:pStyle w:val="BodyText"/>
        <w:keepNext/>
        <w:tabs>
          <w:tab w:val="left" w:pos="843"/>
        </w:tabs>
        <w:spacing w:before="0"/>
        <w:ind w:left="0" w:firstLine="0"/>
        <w:jc w:val="both"/>
        <w:rPr>
          <w:rFonts w:ascii="Times New Roman" w:hAnsi="Times New Roman" w:cs="Times New Roman"/>
          <w:noProof/>
          <w:sz w:val="24"/>
        </w:rPr>
      </w:pPr>
    </w:p>
    <w:p w14:paraId="5967BA67" w14:textId="77777777" w:rsidR="00443399" w:rsidRPr="00B03B51" w:rsidRDefault="00443399" w:rsidP="00210375">
      <w:pPr>
        <w:pStyle w:val="BodyText"/>
        <w:keepN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11. Parasti valdības garantētu parādu ieraksta vienīgi kā aizdevuma ņēmēja aizņēmumu un aizdevēja aktīvu neatkarīgi no tā, vai garantija attiecas uz konkrētiem aizņēmumiem (piemēram, uz vienu konkrētu aizdevumu) vai uz visu uzņēmuma parādu. Valdībai tās ir iespējamās saistības, kas netiek ierakstītas EKS bilancēs (bet var būt norādītas kā ārpusbilances postenis vai piezīme).</w:t>
      </w:r>
    </w:p>
    <w:p w14:paraId="7B66F21B"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3762FD34"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12. Ja tiek pieprasīts izmaksāt garantiju vai tās daļu, valdība pārņem pieprasīto aizņēmēja parāda daļu, uzņemoties šādu parādu (skat. 7.2. nodaļu), un to ieraksta kā valdības kapitāla pārvedumu (D.99) aizņēmējam par pieprasīto summu. Tas ietekmē valdības neto aizdevumu/aizņēmumu (B.9). Kapitāla pārvedumu saskaņo ar finanšu darījumu, pārceļot finanšu saistības valdībai no aizņēmēja. Valdība var nekavējoties vai sekojoši veikt atsevišķu finanšu darījumu, kad tā atmaksā aizdevējam nenomaksāto parāda summu. Šāds finanšu darījums neietekmē valdības neto aizdevumu/aizņēmumu (B.9). Maksājumā var tikt iekļauti arī uzkrātie procenti, kas nav samaksāti pārņemšanas brīdī un kurus parasti pievieno instrumentam.</w:t>
      </w:r>
    </w:p>
    <w:p w14:paraId="6B98966B"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57CF819A"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13. Garantēto parādu neieraksta publisko pārskatu bilancē, kamēr netiek sākta (aktivēta) garantijas izmantošana. Tomēr tiek gaidīts, ka informācija par valdības garantijām ir publiski pieejama. Parasti parlaments apstiprina garantijas summas augstāko robežu, kuru valdībai ir tiesības izsniegt attiecīgajā fiskālajā gadā.</w:t>
      </w:r>
    </w:p>
    <w:p w14:paraId="4EABDF2A" w14:textId="77777777" w:rsidR="00443399" w:rsidRPr="00B03B51" w:rsidRDefault="00443399" w:rsidP="00443399">
      <w:pPr>
        <w:jc w:val="both"/>
        <w:rPr>
          <w:rFonts w:ascii="Times New Roman" w:eastAsia="Arial" w:hAnsi="Times New Roman" w:cs="Times New Roman"/>
          <w:noProof/>
          <w:sz w:val="24"/>
          <w:szCs w:val="19"/>
        </w:rPr>
      </w:pPr>
    </w:p>
    <w:p w14:paraId="329D2F84" w14:textId="77777777" w:rsidR="00443399" w:rsidRPr="00B03B51" w:rsidRDefault="00443399" w:rsidP="00443399">
      <w:pPr>
        <w:jc w:val="both"/>
        <w:rPr>
          <w:rFonts w:ascii="Times New Roman" w:hAnsi="Times New Roman" w:cs="Times New Roman"/>
          <w:b/>
          <w:noProof/>
          <w:sz w:val="24"/>
        </w:rPr>
      </w:pPr>
      <w:r w:rsidRPr="00B03B51">
        <w:rPr>
          <w:rFonts w:ascii="Times New Roman" w:hAnsi="Times New Roman" w:cs="Times New Roman"/>
          <w:b/>
          <w:sz w:val="24"/>
        </w:rPr>
        <w:t>Pieprasījumi par garantijas daļēju izmaksāšanu</w:t>
      </w:r>
    </w:p>
    <w:p w14:paraId="5334ABF3" w14:textId="77777777" w:rsidR="00443399" w:rsidRPr="00B03B51" w:rsidRDefault="00443399" w:rsidP="00443399">
      <w:pPr>
        <w:jc w:val="both"/>
        <w:rPr>
          <w:rFonts w:ascii="Times New Roman" w:eastAsia="Arial" w:hAnsi="Times New Roman" w:cs="Times New Roman"/>
          <w:b/>
          <w:bCs/>
          <w:noProof/>
          <w:sz w:val="24"/>
        </w:rPr>
      </w:pPr>
    </w:p>
    <w:p w14:paraId="26B570AE"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14. Pieprasījums par garantijas daļēju izmaksu (dažkārt dēvēts par “skaidras naudas pieprasījumu”) pastāv gadījumos, kad valdība veic vienu maksājumu. Valdības faktisko maksājumu ieraksta kā parāda pārņemšanu – kapitāla pārveduma (D.99) izdevumus, ko līdzsvaro ar valūtas un noguldījuma (F.2) samazinājumu (skat. šīs rokasgrāmatas 7.4.2.2.1. apakšiedaļu un lēmuma pieņemšanas shēmu šīs nodaļas beigās). Konceptuāli to analizē kā parāda pārņemšanu, kad valdība pārņem daļu saistību un it kā būtu veikta finanšu saistību nodošana valdībai, kam seko šīs summas tūlītēja izmaksāšana, lai dzēstu šīs saistības. Tomēr valdībai var arī būt juridisks pienākums automātiski pārņemt visu atlikušo parādu (garantijas pēc pirmā pieprasījuma) sākotnējā gadījuma rezultātā. Atkārtoti garantijas izmaksāšanas pieprasījumi ir apskatīti šīs rokasgrāmatas 7.4.2.1.3. apakšiedaļā.</w:t>
      </w:r>
    </w:p>
    <w:p w14:paraId="19B0902A" w14:textId="77777777" w:rsidR="00443399" w:rsidRPr="003E7255" w:rsidRDefault="00443399" w:rsidP="003E7255">
      <w:pPr>
        <w:rPr>
          <w:rFonts w:ascii="Times New Roman" w:hAnsi="Times New Roman" w:cs="Times New Roman"/>
          <w:noProof/>
          <w:sz w:val="24"/>
          <w:szCs w:val="24"/>
        </w:rPr>
      </w:pPr>
    </w:p>
    <w:p w14:paraId="259763A4" w14:textId="77777777" w:rsidR="00443399" w:rsidRPr="00B03B51" w:rsidRDefault="00443399" w:rsidP="00443399">
      <w:pPr>
        <w:pStyle w:val="Heading6"/>
        <w:tabs>
          <w:tab w:val="left" w:pos="1692"/>
        </w:tabs>
        <w:ind w:left="0" w:firstLine="0"/>
        <w:jc w:val="both"/>
        <w:rPr>
          <w:rFonts w:ascii="Times New Roman" w:hAnsi="Times New Roman" w:cs="Times New Roman"/>
          <w:noProof/>
          <w:sz w:val="24"/>
        </w:rPr>
      </w:pPr>
      <w:r w:rsidRPr="00B03B51">
        <w:rPr>
          <w:rFonts w:ascii="Times New Roman" w:hAnsi="Times New Roman" w:cs="Times New Roman"/>
          <w:sz w:val="24"/>
        </w:rPr>
        <w:t>7.4.2.1.2. Gadījums, kad ir zināms, ka valdība atmaksās parādu</w:t>
      </w:r>
    </w:p>
    <w:p w14:paraId="3BD64FE3"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27C391FB"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15. Dažos gadījumos ir skaidri zināms, ka aizņēmumu atmaksās valdība, lai gan juridiski aizņēmumu ir saņēmusi sabiedrība. Šāda situācija var rasties tikko iegūta parāda vai esoša parāda gadījumā, kad valdība ir sākusi garantijas piešķiršanu.</w:t>
      </w:r>
    </w:p>
    <w:p w14:paraId="14C40DD9"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4053F222"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16. Vienkāršos gadījumos to apliecina ar juridiskiem dokumentiem vai arī valdības saistības tiek atzītas publiskajos pārskatos vai līdzīgos dokumentos, piemēram, budžeta dokumentācijā. Šādos gadījumos uzskata, ka sabiedrība vispirms ir nodevusi parādu un pēc tam to ir pārņēmusi valdība. Šāda pārņemšana var notikt nekavējoties, kad jau pašā sākumā ir skaidrs, ka vadība pārņems parādu (t. i., nacionālajos kontos tas tiks jau no paša sākuma attiecināts uz valdību).</w:t>
      </w:r>
    </w:p>
    <w:p w14:paraId="6F7CD3F2" w14:textId="77777777" w:rsidR="00443399" w:rsidRPr="003E7255" w:rsidRDefault="00443399" w:rsidP="003E7255">
      <w:pPr>
        <w:rPr>
          <w:rFonts w:ascii="Times New Roman" w:hAnsi="Times New Roman" w:cs="Times New Roman"/>
          <w:noProof/>
          <w:sz w:val="24"/>
          <w:szCs w:val="24"/>
        </w:rPr>
      </w:pPr>
    </w:p>
    <w:p w14:paraId="22DBE3B3" w14:textId="77777777" w:rsidR="00443399" w:rsidRPr="00B03B51" w:rsidRDefault="00443399" w:rsidP="00443399">
      <w:pPr>
        <w:pStyle w:val="Heading6"/>
        <w:tabs>
          <w:tab w:val="left" w:pos="1692"/>
        </w:tabs>
        <w:ind w:left="0" w:firstLine="0"/>
        <w:jc w:val="both"/>
        <w:rPr>
          <w:rFonts w:ascii="Times New Roman" w:hAnsi="Times New Roman" w:cs="Times New Roman"/>
          <w:noProof/>
          <w:sz w:val="24"/>
        </w:rPr>
      </w:pPr>
      <w:r w:rsidRPr="00B03B51">
        <w:rPr>
          <w:rFonts w:ascii="Times New Roman" w:hAnsi="Times New Roman" w:cs="Times New Roman"/>
          <w:sz w:val="24"/>
        </w:rPr>
        <w:t>7.4.2.1.3. Gadījums, kad konstatē, ka valdība atmaksā vai atmaksās parādu</w:t>
      </w:r>
    </w:p>
    <w:p w14:paraId="68BB1C5F"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6D3C5A40"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 xml:space="preserve">17. Citos gadījumos var nebūt pieejami dokumentēti pierādījumi, kas apliecinātu, ka valdība ir juridiski pārņēmusi parādu, taču var būt citas pazīmes, kas liecina, ka valdība </w:t>
      </w:r>
      <w:r w:rsidRPr="00B03B51">
        <w:rPr>
          <w:rFonts w:ascii="Times New Roman" w:hAnsi="Times New Roman" w:cs="Times New Roman"/>
          <w:i/>
          <w:iCs/>
          <w:sz w:val="24"/>
        </w:rPr>
        <w:t>de facto</w:t>
      </w:r>
      <w:r w:rsidRPr="00B03B51">
        <w:rPr>
          <w:rFonts w:ascii="Times New Roman" w:hAnsi="Times New Roman" w:cs="Times New Roman"/>
          <w:sz w:val="24"/>
        </w:rPr>
        <w:t xml:space="preserve"> ir pārņēmusi parādu. Turpmāk norādīti pierādījumi, kas par to var liecināt.</w:t>
      </w:r>
    </w:p>
    <w:p w14:paraId="3F5F3F1D"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44050ABC" w14:textId="77777777" w:rsidR="00443399" w:rsidRPr="00B03B51" w:rsidRDefault="00443399" w:rsidP="00BD4F89">
      <w:pPr>
        <w:pStyle w:val="BodyText"/>
        <w:numPr>
          <w:ilvl w:val="1"/>
          <w:numId w:val="41"/>
        </w:numPr>
        <w:spacing w:before="0"/>
        <w:ind w:left="426" w:hanging="425"/>
        <w:jc w:val="both"/>
        <w:rPr>
          <w:rFonts w:ascii="Times New Roman" w:hAnsi="Times New Roman" w:cs="Times New Roman"/>
          <w:noProof/>
          <w:sz w:val="24"/>
        </w:rPr>
      </w:pPr>
      <w:r w:rsidRPr="00B03B51">
        <w:rPr>
          <w:rFonts w:ascii="Times New Roman" w:hAnsi="Times New Roman" w:cs="Times New Roman"/>
          <w:sz w:val="24"/>
        </w:rPr>
        <w:t>Atkārtoti garantijas izmantošanas pieprasījumi – ir konstatēts, ka valdība veic parāda atmaksu katru gadu</w:t>
      </w:r>
      <w:r w:rsidRPr="00B03B51">
        <w:rPr>
          <w:rStyle w:val="FootnoteReference"/>
          <w:rFonts w:ascii="Times New Roman" w:hAnsi="Times New Roman" w:cs="Times New Roman"/>
          <w:noProof/>
          <w:sz w:val="24"/>
        </w:rPr>
        <w:footnoteReference w:id="259"/>
      </w:r>
      <w:r w:rsidRPr="00B03B51">
        <w:rPr>
          <w:rFonts w:ascii="Times New Roman" w:hAnsi="Times New Roman" w:cs="Times New Roman"/>
          <w:sz w:val="24"/>
        </w:rPr>
        <w:t xml:space="preserve"> tieši (pieprasījuma iesniedzējam, skat. turpmāk) vai netieši, veicot regulārus maksājumus aizdevuma ņēmējam, kas ļauj sabiedrībai atmaksāt visas parādsaistības vai to daļu. Ar šādiem maksājumiem</w:t>
      </w:r>
      <w:r w:rsidRPr="00B03B51">
        <w:rPr>
          <w:rStyle w:val="FootnoteReference"/>
          <w:rFonts w:ascii="Times New Roman" w:hAnsi="Times New Roman" w:cs="Times New Roman"/>
          <w:noProof/>
          <w:sz w:val="24"/>
        </w:rPr>
        <w:footnoteReference w:id="260"/>
      </w:r>
      <w:r w:rsidRPr="00B03B51">
        <w:rPr>
          <w:rFonts w:ascii="Times New Roman" w:hAnsi="Times New Roman" w:cs="Times New Roman"/>
          <w:sz w:val="24"/>
        </w:rPr>
        <w:t xml:space="preserve"> vienībai tiek sniegti līdzekļi, kas tai nepieciešami, lai atmaksātu kreditoriem aizdevumu, oficiāli neierosinot garantijas izmantošanu vai negrozot parāda noteikumus (tostarp ar valdības piešķirtu finansiālo avansu). Ja šāds atbalsts kļūst regulārs, to uzskata par “slēptu” vai netiešu garantijas izmantošanas pieprasījumu</w:t>
      </w:r>
      <w:r w:rsidRPr="00B03B51">
        <w:rPr>
          <w:rStyle w:val="FootnoteReference"/>
          <w:rFonts w:ascii="Times New Roman" w:hAnsi="Times New Roman" w:cs="Times New Roman"/>
          <w:noProof/>
          <w:sz w:val="24"/>
        </w:rPr>
        <w:footnoteReference w:id="261"/>
      </w:r>
      <w:r w:rsidRPr="00B03B51">
        <w:rPr>
          <w:rFonts w:ascii="Times New Roman" w:hAnsi="Times New Roman" w:cs="Times New Roman"/>
          <w:sz w:val="24"/>
        </w:rPr>
        <w:t>, kas ierosinātu, ka valdība pārņem parādu.</w:t>
      </w:r>
    </w:p>
    <w:p w14:paraId="1079A7EA" w14:textId="77777777" w:rsidR="00443399" w:rsidRPr="00B03B51" w:rsidRDefault="00443399" w:rsidP="00BD4F89">
      <w:pPr>
        <w:pStyle w:val="BodyText"/>
        <w:numPr>
          <w:ilvl w:val="1"/>
          <w:numId w:val="41"/>
        </w:numPr>
        <w:spacing w:before="0"/>
        <w:ind w:left="426" w:hanging="425"/>
        <w:jc w:val="both"/>
        <w:rPr>
          <w:rFonts w:ascii="Times New Roman" w:hAnsi="Times New Roman" w:cs="Times New Roman"/>
          <w:noProof/>
          <w:sz w:val="24"/>
        </w:rPr>
      </w:pPr>
      <w:r w:rsidRPr="00B03B51">
        <w:rPr>
          <w:rFonts w:ascii="Times New Roman" w:hAnsi="Times New Roman" w:cs="Times New Roman"/>
          <w:sz w:val="24"/>
        </w:rPr>
        <w:t>Publiskajos pārskatos vai līdzīgos dokumentos ir ierakstīts nodrošinājums, kas liecina par ļoti augstu varbūtību, ka valdība atmaksās parādu un ka valdība to jau ir atzinusi, atkāpjoties no savas parastās piesardzības prakses.</w:t>
      </w:r>
    </w:p>
    <w:p w14:paraId="262B78C7"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6CC529AE"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 xml:space="preserve">18. Šajos gadījumos valdība pārņem nenomaksātā parāda summu vai attiecīgo parāda daļu, kas tiek traktēta nacionālajos kontos, laika posmā, attiecībā uz kuru tiek uzskatīts, ka tad tā ir to </w:t>
      </w:r>
      <w:r w:rsidRPr="00B03B51">
        <w:rPr>
          <w:rFonts w:ascii="Times New Roman" w:hAnsi="Times New Roman" w:cs="Times New Roman"/>
          <w:i/>
          <w:iCs/>
          <w:sz w:val="24"/>
        </w:rPr>
        <w:t>de facto</w:t>
      </w:r>
      <w:r w:rsidRPr="00B03B51">
        <w:rPr>
          <w:rFonts w:ascii="Times New Roman" w:hAnsi="Times New Roman" w:cs="Times New Roman"/>
          <w:sz w:val="24"/>
        </w:rPr>
        <w:t xml:space="preserve"> pārņēmusi.</w:t>
      </w:r>
    </w:p>
    <w:p w14:paraId="62DCEBAC"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504A223D"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19. Piemēram, konkrēti gadījumi ir atkārtoti garantijas izmaksāšanas pieprasījumi (vai arī, ja aizņēmējam veic ekvivalentus maksājumus, līdzīgi kā atkārtotas kapitāla iepludināšanas gadījumā, lai novērstu nepieciešamību iesniegt garantijas izmaksāšanas pieprasījumus). Otrajā gadījumā valdība faktiski atmaksā parādu, lai arī juridiski tai nav pienākuma to darīt, un oficiāli to neieraksta kā parāda atmaksu publiskajos pārskatos. Katrs šāds gadījums jāanalizē atsevišķi.</w:t>
      </w:r>
    </w:p>
    <w:p w14:paraId="4710688F"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5B880D17"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20. Praktisks norādījums, ja valdība atmaksā parādu saskaņā ar trim secīgiem pieprasījumiem, ko dēvē par “trīs pieprasījumu principu” (skat. iepriekš skaidrojumu par netiešajiem pieprasījumiem), tad uzskata, ka valdība ir automātiski pārņēmusi parādu. Parasti tiks pārņemts viss parāds, lai arī to var samazināt tikai līdz tai daļai, attiecībā uz kuru var paredzēt, ka valdība to atmaksās, ja tam ir apliecinājums. Parāda pārņemšana jāieraksta laikā, kad radās notikums, kas ir pamatā statistiskajam lēmumam atzīt parāda pārņemšanu, piemēram, laikā, kad veikts trešais ikgadējais maksājums. Parāda pārņemšanu ieraksta atbilstoši 7.4.2.1.1. apakšiedaļai. Ja valdība izsniegusi garantiju attiecībā uz vairākiem viena subjekta emitētiem parāda instrumentiem, minēto noteikumu piemēro, pamatojoties uz jebkuru no pieprasījumiem attiecībā uz garantētajām saistībām konkrētajā gadā (un ir līdzvērtīgs vienam pieprasījumam šajā gadā). Līdz ar to gadījumā, ja tiek nospriests, ka tiks pārņemts viss parāds, tad viss šā subjekta valdības garantētais parāds tiek pārņemts vienlaikus.</w:t>
      </w:r>
    </w:p>
    <w:p w14:paraId="0D6B0EB7"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5F203069"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21. Izņēmumu piemēro, ja ir skaidras norādes, ka šis stāvoklis (t. i., saistību nepildīšana) neturpināsies. Tas varētu nozīmēt, ka ir nolemts fundamentāli pārstrukturēt aizņēmumu paņēmušo vienību, kurai izsniegta garantija (turpmāk saukta par aizņēmēju), un no iesniedzamā uzņēmējdarbības plāna var secināt, ka subjekts turpmāk spēs izpildīt savas parādsaistības.</w:t>
      </w:r>
    </w:p>
    <w:p w14:paraId="70EE133E" w14:textId="77777777" w:rsidR="00443399" w:rsidRPr="003E7255" w:rsidRDefault="00443399" w:rsidP="003E7255">
      <w:pPr>
        <w:rPr>
          <w:rFonts w:ascii="Times New Roman" w:hAnsi="Times New Roman" w:cs="Times New Roman"/>
          <w:noProof/>
          <w:sz w:val="24"/>
          <w:szCs w:val="24"/>
        </w:rPr>
      </w:pPr>
    </w:p>
    <w:p w14:paraId="78652F53" w14:textId="77777777" w:rsidR="00443399" w:rsidRPr="00B03B51" w:rsidRDefault="00443399" w:rsidP="00443399">
      <w:pPr>
        <w:pStyle w:val="Heading6"/>
        <w:tabs>
          <w:tab w:val="left" w:pos="1692"/>
        </w:tabs>
        <w:ind w:left="0" w:firstLine="0"/>
        <w:jc w:val="both"/>
        <w:rPr>
          <w:rFonts w:ascii="Times New Roman" w:hAnsi="Times New Roman" w:cs="Times New Roman"/>
          <w:b w:val="0"/>
          <w:bCs w:val="0"/>
          <w:noProof/>
          <w:sz w:val="24"/>
        </w:rPr>
      </w:pPr>
      <w:r w:rsidRPr="00B03B51">
        <w:rPr>
          <w:rFonts w:ascii="Times New Roman" w:hAnsi="Times New Roman" w:cs="Times New Roman"/>
          <w:sz w:val="24"/>
        </w:rPr>
        <w:t>7.4.2.1.4. Gadījums, kad saistību pārņemšana ietver prasījumu attiecībā uz trešās puses finanšu aktīvu</w:t>
      </w:r>
      <w:r w:rsidRPr="00B03B51">
        <w:rPr>
          <w:rStyle w:val="FootnoteReference"/>
          <w:rFonts w:ascii="Times New Roman" w:hAnsi="Times New Roman" w:cs="Times New Roman"/>
          <w:noProof/>
          <w:sz w:val="24"/>
        </w:rPr>
        <w:footnoteReference w:id="262"/>
      </w:r>
    </w:p>
    <w:p w14:paraId="5CD58274" w14:textId="77777777" w:rsidR="00443399" w:rsidRPr="00B03B51" w:rsidRDefault="00443399" w:rsidP="00443399">
      <w:pPr>
        <w:pStyle w:val="BodyText"/>
        <w:spacing w:before="0"/>
        <w:ind w:left="0" w:firstLine="0"/>
        <w:jc w:val="both"/>
        <w:rPr>
          <w:rFonts w:ascii="Times New Roman" w:hAnsi="Times New Roman" w:cs="Times New Roman"/>
          <w:noProof/>
          <w:sz w:val="24"/>
        </w:rPr>
      </w:pPr>
    </w:p>
    <w:p w14:paraId="05FA8D5C" w14:textId="77777777" w:rsidR="00443399" w:rsidRPr="00B03B51" w:rsidRDefault="00443399" w:rsidP="00443399">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t>22. Garantija attiecībā uz saistībām var būt pieprasīta (iespējams, pēc kreditoru ierosmes), ja aizņēmējs nespēj izpildīt savas parādsaistības noteiktajā termiņā, nevis tāpēc, ka tai radušās maksātspējas problēmas. Piemērs var būt pārejošas likviditātes grūtības. Dažos gadījumos, piemēram, saistībā ar eksporta kredīta garantijām, parāda pārņemšana var nozīmēt prasījuma attiecībā uz trešās puses aktīvu automātisku nodošanu</w:t>
      </w:r>
      <w:r w:rsidRPr="00B03B51">
        <w:rPr>
          <w:rStyle w:val="FootnoteReference"/>
          <w:rFonts w:ascii="Times New Roman" w:hAnsi="Times New Roman" w:cs="Times New Roman"/>
          <w:noProof/>
          <w:sz w:val="24"/>
        </w:rPr>
        <w:footnoteReference w:id="263"/>
      </w:r>
      <w:r w:rsidRPr="00B03B51">
        <w:rPr>
          <w:rFonts w:ascii="Times New Roman" w:hAnsi="Times New Roman" w:cs="Times New Roman"/>
          <w:sz w:val="24"/>
        </w:rPr>
        <w:t>. Tas var būt arī gadījumā, kad garantētais aizņēmums ir nodrošināts ar konkrētiem aktīviem (piemēram, ķīlas zīmēm</w:t>
      </w:r>
      <w:r w:rsidRPr="00B03B51">
        <w:rPr>
          <w:rStyle w:val="FootnoteReference"/>
          <w:rFonts w:ascii="Times New Roman" w:hAnsi="Times New Roman" w:cs="Times New Roman"/>
          <w:noProof/>
          <w:sz w:val="24"/>
        </w:rPr>
        <w:footnoteReference w:id="264"/>
      </w:r>
      <w:r w:rsidRPr="00B03B51">
        <w:rPr>
          <w:rFonts w:ascii="Times New Roman" w:hAnsi="Times New Roman" w:cs="Times New Roman"/>
          <w:sz w:val="24"/>
        </w:rPr>
        <w:t>). Šajā gadījumā no kapitāla pārveduma jāatskaita valdībai nodotā aktīva tirgus vērtība, kā paredzēts garantijas līgumā</w:t>
      </w:r>
      <w:r w:rsidRPr="00B03B51">
        <w:rPr>
          <w:rStyle w:val="FootnoteReference"/>
          <w:rFonts w:ascii="Times New Roman" w:hAnsi="Times New Roman" w:cs="Times New Roman"/>
          <w:noProof/>
          <w:sz w:val="24"/>
        </w:rPr>
        <w:footnoteReference w:id="265"/>
      </w:r>
      <w:r w:rsidRPr="00B03B51">
        <w:rPr>
          <w:rFonts w:ascii="Times New Roman" w:hAnsi="Times New Roman" w:cs="Times New Roman"/>
          <w:sz w:val="24"/>
        </w:rPr>
        <w:t>, ja vien pastāv augsta varbūtība, ka valdība spēs realizēt šā aktīva vērtību īsā laika posmā. Ja tirgus vērtība nav pieejama, var aprēķināt patieso vērtību, pamatojoties uz parastajiem uzņēmējdarbības aprēķināšanas paņēmieniem/modeļiem, ko veic neatkarīga struktūra. Tā daļa, kas tiek atzīta par prasījumu, ir traktējama saskaņā ar nākamajā punktā sniegto skaidrojumu.</w:t>
      </w:r>
    </w:p>
    <w:p w14:paraId="780DC781"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43AB8BD6"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szCs w:val="12"/>
        </w:rPr>
      </w:pPr>
      <w:r w:rsidRPr="00B03B51">
        <w:rPr>
          <w:rFonts w:ascii="Times New Roman" w:hAnsi="Times New Roman" w:cs="Times New Roman"/>
          <w:sz w:val="24"/>
        </w:rPr>
        <w:t>23. Ja garantija tiek izsniegta par finanšu aktīviem, jebkurš prasījums ir jāieraksta kā valdības kapitāla pārveduma izdevumi. Var gadīties, ka vienošanās, kas noslēgta starp vienību, kurai izsniegta garantija, un valdību, paredz, ka noteiktos apstākļos garantētos aktīvus var pārskaitīt valdībai. To ieraksta pārskaitījuma brīdī valdības kontos kā kapitāla pārveduma izdevumu samazinājumu pilnas pārskaitītā aktīva summas apmērā. Ja nav gaidāms atgūt summas, prasījumu neievada valdības bilancē. Visas negaidīti atgūtās summas ieraksta kā valdības kapitāla pārveduma ieņēmumus. Ja neatkarīga struktūra, izmantojot parastās uzņēmējdarbības vērtēšanas metodes, sniedz ticamas aplēses par atgūstamajām summām, tās ir jāatskaita no kapitāla pārveduma un jātraktē kā finanšu aktīva iegāde. Šādu aktīvu ieraksta valdības bilancē un debitora atmaksājumus valdībai traktē kā finanšu darījumus.</w:t>
      </w:r>
      <w:r w:rsidRPr="00B03B51">
        <w:rPr>
          <w:rStyle w:val="FootnoteReference"/>
          <w:rFonts w:ascii="Times New Roman" w:hAnsi="Times New Roman" w:cs="Times New Roman"/>
          <w:noProof/>
          <w:sz w:val="24"/>
        </w:rPr>
        <w:footnoteReference w:id="266"/>
      </w:r>
    </w:p>
    <w:p w14:paraId="272060D8"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202FF89E"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24. Cita iespēja paredz, ka valdības iegūtais aktīvs ir nefinanšu aktīvs, nevis finanšu prasījums, piemēram, nekustamais īpašums. Saistību neizpildes gadījumā valdība pārņem aizņēmēja garantēto parādu un arī īpašumtiesības uz attiecīgo nefinanšu aktīvu. Šis gadījums ierakstāms līdzīgi 22. rindkopā minētajam gadījumam, un nodotā aktīva vērtība ir jāatskaita no kapitāla pārveduma, un tai pilnīgi jākompensē šis pārvedums, ja aktīva vērtība ir vienāda ar pārņemtā parāda vērtību. Tas varētu ietekmēt valdības neto aizdevumu/aizņēmumu (B.9), jo tiktu ierakstīta kapitāla veidošana, taču šī ietekme tikai aizstātu to ietekmi uz B.9, ko šis kapitāla pārvedums būtu radījis. Ja valdība nekavējoties realizē aktīvu tā tirgus vērtībā, galīgā ietekme uz valdības neto aizdevumu/aizņēmumu (B.9) būs neitrāla, ja valdība pārdos aktīvu tālāk par cenu, kas atbilst parāda pārņemšanas brīdī ierakstītajai vērtībai.</w:t>
      </w:r>
    </w:p>
    <w:p w14:paraId="6B617713" w14:textId="77777777" w:rsidR="00443399" w:rsidRPr="003E7255" w:rsidRDefault="00443399" w:rsidP="003E7255">
      <w:pPr>
        <w:rPr>
          <w:rFonts w:ascii="Times New Roman" w:hAnsi="Times New Roman" w:cs="Times New Roman"/>
          <w:noProof/>
          <w:sz w:val="24"/>
          <w:szCs w:val="24"/>
        </w:rPr>
      </w:pPr>
    </w:p>
    <w:p w14:paraId="1521FE27" w14:textId="77777777" w:rsidR="00443399" w:rsidRPr="00B03B51" w:rsidRDefault="00443399" w:rsidP="00443399">
      <w:pPr>
        <w:pStyle w:val="Heading6"/>
        <w:tabs>
          <w:tab w:val="left" w:pos="1692"/>
        </w:tabs>
        <w:ind w:left="0" w:firstLine="0"/>
        <w:jc w:val="both"/>
        <w:rPr>
          <w:rFonts w:ascii="Times New Roman" w:hAnsi="Times New Roman" w:cs="Times New Roman"/>
          <w:noProof/>
          <w:sz w:val="24"/>
        </w:rPr>
      </w:pPr>
      <w:r w:rsidRPr="00B03B51">
        <w:rPr>
          <w:rFonts w:ascii="Times New Roman" w:hAnsi="Times New Roman" w:cs="Times New Roman"/>
          <w:sz w:val="24"/>
        </w:rPr>
        <w:t>7.4.2.1.5. Gadījums, kad saistību pārņemšana ietver prasījumu pret vienību, kurai izsniegta garantija</w:t>
      </w:r>
    </w:p>
    <w:p w14:paraId="541FE786"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6701D2D9"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25. Ja valdība pārņem parādu, pamatojoties uz garantijas izmantošanas pieprasījumu, tā vienlaikus var iegūt finanšu aktīvu, kas ir garantiju saņēmušās sabiedrības prasījums, piemēram, prasījumu (kas tiek atzīts publiskajos pārskatos) attiecībā uz visiem atgūtajiem līdzekļiem, ko tā vēlāk var saņemt.</w:t>
      </w:r>
    </w:p>
    <w:p w14:paraId="4C02C07F"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209FB708"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26. Vairumā gadījumu, kad tiek konstatēts, ka valdība pārņēmusi parādu no publiskas sabiedrības, kura saskaras ar grūtībām, tiek uzskatīts, ka jaunajam valdības prasījumam attiecībā uz sabiedrību (kas, iespējams, ir ierakstīts publiskajos pārskatos) varētu būt nenoteikta vērtība. Šajā gadījumā prasījums nebūtu jāieraksta valdības bilancē. Ja sabiedrība vēlāk veic atmaksu, to ieraksta kā valdības kapitāla pārveduma ieņēmumus, lai veiktu superdividenžu testu (skat. arī turpmāk 7.4.2.1.6. apakšiedaļu). Ja aizņēmējs ir pilnībā privāts subjekts, varētu uzskatīt, ka valdība tur prasījumu. Tomēr gadījumā, ja aizņēmējs uzrāda uzkrātus vai regulārus zaudējumus un jo īpaši negatīvu neto pašu kapitālu, nacionālajos kontos neieraksta prasījumu attiecībā uz šo vienību.</w:t>
      </w:r>
    </w:p>
    <w:p w14:paraId="2A3D8127"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14908771" w14:textId="77777777" w:rsidR="00443399" w:rsidRPr="00B03B51" w:rsidRDefault="00443399" w:rsidP="00443399">
      <w:pPr>
        <w:pStyle w:val="Heading6"/>
        <w:tabs>
          <w:tab w:val="left" w:pos="1692"/>
        </w:tabs>
        <w:ind w:left="0" w:firstLine="0"/>
        <w:jc w:val="both"/>
        <w:rPr>
          <w:rFonts w:ascii="Times New Roman" w:hAnsi="Times New Roman" w:cs="Times New Roman"/>
          <w:noProof/>
          <w:sz w:val="24"/>
        </w:rPr>
      </w:pPr>
      <w:r w:rsidRPr="00B03B51">
        <w:rPr>
          <w:rFonts w:ascii="Times New Roman" w:hAnsi="Times New Roman" w:cs="Times New Roman"/>
          <w:sz w:val="24"/>
        </w:rPr>
        <w:t>7.4.2.1.6. Apstākļu maiņa pēc parāda pārņemšanas</w:t>
      </w:r>
    </w:p>
    <w:p w14:paraId="07A8BE77"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6F9F887C"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27. Pēc tam, kad secināts, ka valdība ir ekonomiski pārņēmusi tās garantēto parādu (skat. 7.4.2.1.3. apakšiedaļu), var rasties situācija, kurā saistību nepildošā aizņēmēja finanšu darbības rādītāji uzlabojas tiktāl, ka tas sāk regulāri atmaksāt parādu un var pārņemt atpakaļ savu juridisko pienākumu attiecībā uz saistībām. Šajā gadījumā iepriekšējais ekonomiskais novērtējums vairs nav atbilstošs, un tiek uzskatīts, ka sabiedrība pārņem parādu atpakaļ no valdības. To ieraksta kā sabiedrības kapitāla pārvedumu valdībai, ko kompensē ar finanšu darījumu, kurā valdība nodod saistības sabiedrībai.</w:t>
      </w:r>
      <w:r w:rsidRPr="00B03B51">
        <w:rPr>
          <w:rStyle w:val="FootnoteReference"/>
          <w:rFonts w:ascii="Times New Roman" w:hAnsi="Times New Roman" w:cs="Times New Roman"/>
          <w:noProof/>
          <w:sz w:val="24"/>
        </w:rPr>
        <w:footnoteReference w:id="267"/>
      </w:r>
    </w:p>
    <w:p w14:paraId="5643F229"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07ADE524"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28. Ja atguvējs subjekts ir publiska sabiedrība, tad attiecībā uz darījumu, kas ierakstīts par labu valdībai, jāpiemēro superdividenžu tests, proti, daļu no maksājuma sadala kā pašu kapitāla atskaitījumus (F.5) attiecībā uz summu, kas pārsniedz sadalāmo ienākumu, neskaitot samaksātās dividendes.</w:t>
      </w:r>
    </w:p>
    <w:p w14:paraId="353C4C2D"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654339BB"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29. Lai nepieļautu nestabilitāti valdības parāda statistiskā, valdības nosacītais parāds jāsaglabā kā valdības saistības līdz brīdim, kad saistības nepildošais subjekts faktiski veic maksājumus valdībai vai kreditoram un ir pierādījumi, kas liecina, ka šādi maksājumi tiks veikti arī turpmāk. Citiem vārdiem sakot, saistības nepildošā aizņēmēja finanšu situācijas uzlabojums jānovērtē kā pastāvīgs un tāds, kas nav atkarīgs no pagaidu faktoriem.</w:t>
      </w:r>
    </w:p>
    <w:p w14:paraId="5F0A9D8A" w14:textId="77777777" w:rsidR="00443399" w:rsidRPr="003E7255" w:rsidRDefault="00443399" w:rsidP="003E7255">
      <w:pPr>
        <w:rPr>
          <w:rFonts w:ascii="Times New Roman" w:hAnsi="Times New Roman" w:cs="Times New Roman"/>
          <w:noProof/>
          <w:sz w:val="24"/>
          <w:szCs w:val="24"/>
        </w:rPr>
      </w:pPr>
    </w:p>
    <w:p w14:paraId="354A9279" w14:textId="77777777" w:rsidR="00443399" w:rsidRPr="00B03B51" w:rsidRDefault="00443399" w:rsidP="00210375">
      <w:pPr>
        <w:pStyle w:val="Heading6"/>
        <w:keepNext/>
        <w:tabs>
          <w:tab w:val="left" w:pos="1692"/>
        </w:tabs>
        <w:ind w:left="0" w:firstLine="0"/>
        <w:jc w:val="both"/>
        <w:rPr>
          <w:rFonts w:ascii="Times New Roman" w:hAnsi="Times New Roman" w:cs="Times New Roman"/>
          <w:noProof/>
          <w:sz w:val="24"/>
        </w:rPr>
      </w:pPr>
      <w:r w:rsidRPr="00B03B51">
        <w:rPr>
          <w:rFonts w:ascii="Times New Roman" w:hAnsi="Times New Roman" w:cs="Times New Roman"/>
          <w:sz w:val="24"/>
        </w:rPr>
        <w:t>7.4.2.1.7. Turpmākie aizdevumi</w:t>
      </w:r>
    </w:p>
    <w:p w14:paraId="08E1EF8C" w14:textId="77777777" w:rsidR="00443399" w:rsidRPr="00B03B51" w:rsidRDefault="00443399" w:rsidP="00210375">
      <w:pPr>
        <w:pStyle w:val="BodyText"/>
        <w:keepNext/>
        <w:tabs>
          <w:tab w:val="left" w:pos="843"/>
        </w:tabs>
        <w:spacing w:before="0"/>
        <w:ind w:left="0" w:firstLine="0"/>
        <w:jc w:val="both"/>
        <w:rPr>
          <w:rFonts w:ascii="Times New Roman" w:hAnsi="Times New Roman" w:cs="Times New Roman"/>
          <w:noProof/>
          <w:sz w:val="24"/>
        </w:rPr>
      </w:pPr>
    </w:p>
    <w:p w14:paraId="5EAF7B30" w14:textId="77777777" w:rsidR="00443399" w:rsidRPr="00B03B51" w:rsidRDefault="00443399" w:rsidP="00210375">
      <w:pPr>
        <w:pStyle w:val="BodyText"/>
        <w:keepN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 xml:space="preserve">30. Ja valdība aizņemas tirgū savā vārdā ar mērķi piešķirt līdzekļus sabiedrībām, kurām ir līgumā noteikts pienākums atmaksāt valdībai gan pamatsummu, gan procentus, parādu ieraksta kā valdības parādu izsniegšanas brīdī un atbilstīgo aizdevumu ieraksta attiecībā uz sabiedrībām. Aizdevumu analizē saskaņā ar noteikumiem par kapitāla iepludināšanu publiskās sabiedrībās (skat. 3.2. nodaļu “Kapitāla iepludināšana publiskās sabiedrībās”). Tādējādi tas saskaņā ar </w:t>
      </w:r>
      <w:r w:rsidRPr="00B03B51">
        <w:rPr>
          <w:rFonts w:ascii="Times New Roman" w:hAnsi="Times New Roman" w:cs="Times New Roman"/>
          <w:sz w:val="24"/>
        </w:rPr>
        <w:lastRenderedPageBreak/>
        <w:t>kapitāla iepludināšanas testu var gan ietekmēt, gan neietekmēt valdības neto aizdevumu/aizņēmumu (B.9).</w:t>
      </w:r>
    </w:p>
    <w:p w14:paraId="0D15DC86"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1AB9AC5E"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31. Valdība var izsniegt garantiju subjektam par aizņēmumu, kurš tad saskaņā ar valdības norādījumiem finansē sabiedrības, kuras iesaistītas publiskā sektora infrastruktūras projektos vai citos projektos. Ja šis subjekts ir atzīts par atsevišķu institucionālu vienību (skat. EKS 2010 2.12. punktu), aizņēmumu pārvirza tādā veidā, ka tiek ierakstīts valdības aizņēmums no šīs vienības un aizdevums šai vienībai. Tomēr biežāk subjekts netiek atzīts kā institucionāla vienība (piemēram, ja izrādās, ka tas veic vienīgi “starpnieka” funkciju), un aizņēmums būtu jāieraksta nacionālajos kontos kā tiešs valdības aizņēmums un aizdevums infrastruktūras projektiem vai citiem publiskiem projektiem.</w:t>
      </w:r>
    </w:p>
    <w:p w14:paraId="601641A7" w14:textId="77777777" w:rsidR="00443399" w:rsidRPr="00B03B51" w:rsidRDefault="00443399" w:rsidP="00443399">
      <w:pPr>
        <w:jc w:val="both"/>
        <w:rPr>
          <w:rFonts w:ascii="Times New Roman" w:eastAsia="Arial" w:hAnsi="Times New Roman" w:cs="Times New Roman"/>
          <w:noProof/>
          <w:sz w:val="24"/>
          <w:szCs w:val="15"/>
        </w:rPr>
      </w:pPr>
    </w:p>
    <w:p w14:paraId="50E183A7" w14:textId="77777777" w:rsidR="00443399" w:rsidRPr="00B03B51" w:rsidRDefault="00443399" w:rsidP="00443399">
      <w:pPr>
        <w:pStyle w:val="Heading6"/>
        <w:tabs>
          <w:tab w:val="left" w:pos="1267"/>
        </w:tabs>
        <w:ind w:left="0" w:firstLine="0"/>
        <w:jc w:val="both"/>
        <w:rPr>
          <w:rFonts w:ascii="Times New Roman" w:hAnsi="Times New Roman" w:cs="Times New Roman"/>
          <w:noProof/>
          <w:sz w:val="24"/>
        </w:rPr>
      </w:pPr>
      <w:r w:rsidRPr="00B03B51">
        <w:rPr>
          <w:rFonts w:ascii="Times New Roman" w:hAnsi="Times New Roman" w:cs="Times New Roman"/>
          <w:sz w:val="24"/>
        </w:rPr>
        <w:t>7.4.2.2. TRAKTĒJUMA PAMATOJUMS</w:t>
      </w:r>
    </w:p>
    <w:p w14:paraId="76846B4A" w14:textId="77777777" w:rsidR="00443399" w:rsidRPr="00B03B51" w:rsidRDefault="00443399" w:rsidP="00443399">
      <w:pPr>
        <w:tabs>
          <w:tab w:val="left" w:pos="1692"/>
        </w:tabs>
        <w:jc w:val="both"/>
        <w:rPr>
          <w:rFonts w:ascii="Times New Roman" w:hAnsi="Times New Roman" w:cs="Times New Roman"/>
          <w:b/>
          <w:noProof/>
          <w:sz w:val="24"/>
        </w:rPr>
      </w:pPr>
    </w:p>
    <w:p w14:paraId="5114FCFA" w14:textId="77777777" w:rsidR="00443399" w:rsidRPr="00B03B51" w:rsidRDefault="00443399" w:rsidP="00443399">
      <w:pPr>
        <w:pStyle w:val="Heading6"/>
        <w:tabs>
          <w:tab w:val="left" w:pos="1692"/>
        </w:tabs>
        <w:ind w:left="0" w:firstLine="0"/>
        <w:jc w:val="both"/>
        <w:rPr>
          <w:rFonts w:ascii="Times New Roman" w:hAnsi="Times New Roman" w:cs="Times New Roman"/>
          <w:sz w:val="24"/>
        </w:rPr>
      </w:pPr>
      <w:r w:rsidRPr="00B03B51">
        <w:rPr>
          <w:rFonts w:ascii="Times New Roman" w:hAnsi="Times New Roman" w:cs="Times New Roman"/>
          <w:sz w:val="24"/>
        </w:rPr>
        <w:t>7.4.2.2.1. Vispārējs gadījums</w:t>
      </w:r>
    </w:p>
    <w:p w14:paraId="2D39EFD8"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22B2EFF6"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32. Pamatprincips ir tāds, ka garantijas tiek uzskatītas par iespējamiem aktīviem/saistībām.</w:t>
      </w:r>
    </w:p>
    <w:p w14:paraId="45AC7693" w14:textId="77777777" w:rsidR="00443399" w:rsidRPr="00B03B51" w:rsidRDefault="00443399" w:rsidP="00443399">
      <w:pPr>
        <w:tabs>
          <w:tab w:val="left" w:pos="843"/>
        </w:tabs>
        <w:jc w:val="both"/>
        <w:rPr>
          <w:rFonts w:ascii="Times New Roman" w:eastAsia="Arial" w:hAnsi="Times New Roman" w:cs="Times New Roman"/>
          <w:noProof/>
          <w:sz w:val="24"/>
          <w:szCs w:val="19"/>
        </w:rPr>
      </w:pPr>
    </w:p>
    <w:p w14:paraId="044DC6D0" w14:textId="77777777" w:rsidR="00443399" w:rsidRPr="00B03B51" w:rsidRDefault="00443399" w:rsidP="00443399">
      <w:pPr>
        <w:tabs>
          <w:tab w:val="left" w:pos="843"/>
        </w:tabs>
        <w:jc w:val="both"/>
        <w:rPr>
          <w:rFonts w:ascii="Times New Roman" w:eastAsia="Arial" w:hAnsi="Times New Roman" w:cs="Times New Roman"/>
          <w:noProof/>
          <w:sz w:val="24"/>
          <w:szCs w:val="19"/>
        </w:rPr>
      </w:pPr>
      <w:r w:rsidRPr="00B03B51">
        <w:rPr>
          <w:rFonts w:ascii="Times New Roman" w:hAnsi="Times New Roman" w:cs="Times New Roman"/>
          <w:sz w:val="24"/>
          <w:szCs w:val="19"/>
        </w:rPr>
        <w:t xml:space="preserve">33. EKS 2010 5.08. punktā norādīts, ka, </w:t>
      </w:r>
      <w:r w:rsidRPr="00B03B51">
        <w:rPr>
          <w:rFonts w:ascii="Times New Roman" w:hAnsi="Times New Roman" w:cs="Times New Roman"/>
          <w:i/>
          <w:iCs/>
          <w:sz w:val="24"/>
          <w:szCs w:val="19"/>
        </w:rPr>
        <w:t>tā kā tie nerada beznosacījuma pienākumus, iespējamos aktīvus un iespējamās saistības neuzskata par finanšu aktīviem un saistībām</w:t>
      </w:r>
      <w:r w:rsidRPr="00B03B51">
        <w:rPr>
          <w:rFonts w:ascii="Times New Roman" w:hAnsi="Times New Roman" w:cs="Times New Roman"/>
          <w:sz w:val="24"/>
          <w:szCs w:val="19"/>
        </w:rPr>
        <w:t>.</w:t>
      </w:r>
    </w:p>
    <w:p w14:paraId="36D0D222"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041A4184"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34. Līdz ar to iespējamās saistības neieraksta EKS bilancē un izslēdz no valdības parāda. Līdzīgi arī garantiju piešķiršanu parasti neuzskata par darījumu nacionālajos kontos. Vispārējā gadījumā garantijas piešķiršanas darbībai sekotu vienīgi darījumu ierakstīšana saistībā ar maksājumiem, kad tiek aktivēta garantija, proti, kad galvotājs aizstāj sākotnējo aizņēmēju (vai dažos gadījumos izmaksā kompensāciju noteiktu identificētu aktīvu turētājam), jo tas nespēj izpildīt savas saistības un tāpēc ir ierosināts izmantot garantiju. Dažos gadījumos ir jāizdara secinājums, ka garantija ir faktiski izmantota, lai arī juridiski tā nav pilnīgi aktivizēta. Garantijas izmantošana var nozīmēt to, ka tiek pārņemts parāds, un vairumā gadījumu, ka tiek veikts kapitāla pārvedums. Ja parāds tiek pārņemts, ierakstītās kapitāla pārveduma summas ir maksājumu saistības, kuras galvotājs uzņēmies attiecībā uz sākotnējo aizņēmēju.</w:t>
      </w:r>
    </w:p>
    <w:p w14:paraId="7E500C49"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5FF45A95"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35. Līdz ar to ikviens pieprasījums par garantijas pilnīgu vai daļēju izmaksāšanu ir līdzvērtīgs valdības īstenotai parāda pārņemšanai.</w:t>
      </w:r>
    </w:p>
    <w:p w14:paraId="3C43EEF4" w14:textId="77777777" w:rsidR="00443399" w:rsidRPr="003E7255" w:rsidRDefault="00443399" w:rsidP="003E7255">
      <w:pPr>
        <w:rPr>
          <w:rFonts w:ascii="Times New Roman" w:hAnsi="Times New Roman" w:cs="Times New Roman"/>
          <w:noProof/>
          <w:sz w:val="24"/>
          <w:szCs w:val="24"/>
        </w:rPr>
      </w:pPr>
    </w:p>
    <w:p w14:paraId="1532E4E7" w14:textId="77777777" w:rsidR="00443399" w:rsidRPr="00B03B51" w:rsidRDefault="00443399" w:rsidP="00443399">
      <w:pPr>
        <w:pStyle w:val="Heading6"/>
        <w:tabs>
          <w:tab w:val="left" w:pos="1692"/>
        </w:tabs>
        <w:ind w:left="0" w:firstLine="0"/>
        <w:jc w:val="both"/>
        <w:rPr>
          <w:rFonts w:ascii="Times New Roman" w:hAnsi="Times New Roman" w:cs="Times New Roman"/>
          <w:noProof/>
          <w:sz w:val="24"/>
        </w:rPr>
      </w:pPr>
      <w:r w:rsidRPr="00B03B51">
        <w:rPr>
          <w:rFonts w:ascii="Times New Roman" w:hAnsi="Times New Roman" w:cs="Times New Roman"/>
          <w:sz w:val="24"/>
        </w:rPr>
        <w:t>7.4.2.2.2. Gadījums, kad ir zināms, ka valdība atmaksās parādu</w:t>
      </w:r>
    </w:p>
    <w:p w14:paraId="5C8438B9"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578103FF"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36. Ja valdība garantē jauno parādu un ja ir zināms, ka valdība kā galvotājs to atmaksās, tas ekonomiski ir līdzvērtīgi tam, ka valdība tieši aizņemas no kreditora, kas tādējādi nozīmē arī parāda apkalpošanas pienākuma uzņemšanos. Ja valdības aizņēmuma līdzekļus pēc tam izmanto sabiedrības finansēšanai un valdība neplāno neko saņemt pretī no aizdevumu saņēmušās sabiedrības, šāds darījums nav aizdevums un to ieraksta kā sadales darījumu, piemēram, kā kapitāla pārvedumu, kas ietekmē valdības neto aizdevumu/aizņēmumu (B.9).</w:t>
      </w:r>
    </w:p>
    <w:p w14:paraId="0B8331F8"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4320B2E3"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37. Ja valdība izsniedz garantiju jau attiecībā uz pastāvošu parādu un ir skaidri zināms, ka valdība to atmaksās, to traktē līdzīgi kā parāda pārņemšanu no garantiju saņēmušās vienības.</w:t>
      </w:r>
    </w:p>
    <w:p w14:paraId="587B865B" w14:textId="77777777" w:rsidR="00443399" w:rsidRPr="003E7255" w:rsidRDefault="00443399" w:rsidP="003E7255">
      <w:pPr>
        <w:rPr>
          <w:rFonts w:ascii="Times New Roman" w:hAnsi="Times New Roman" w:cs="Times New Roman"/>
          <w:noProof/>
          <w:sz w:val="24"/>
          <w:szCs w:val="24"/>
        </w:rPr>
      </w:pPr>
    </w:p>
    <w:p w14:paraId="15DE2D60" w14:textId="77777777" w:rsidR="00443399" w:rsidRPr="00B03B51" w:rsidRDefault="00443399" w:rsidP="00443399">
      <w:pPr>
        <w:pStyle w:val="Heading6"/>
        <w:tabs>
          <w:tab w:val="left" w:pos="1692"/>
        </w:tabs>
        <w:ind w:left="0" w:firstLine="0"/>
        <w:jc w:val="both"/>
        <w:rPr>
          <w:rFonts w:ascii="Times New Roman" w:hAnsi="Times New Roman" w:cs="Times New Roman"/>
          <w:noProof/>
          <w:sz w:val="24"/>
        </w:rPr>
      </w:pPr>
      <w:r w:rsidRPr="00B03B51">
        <w:rPr>
          <w:rFonts w:ascii="Times New Roman" w:hAnsi="Times New Roman" w:cs="Times New Roman"/>
          <w:sz w:val="24"/>
        </w:rPr>
        <w:t>7.4.2.2.3. Gadījums, kad konstatē, ka valdība atmaksā vai atmaksās parādu</w:t>
      </w:r>
    </w:p>
    <w:p w14:paraId="077F66F6"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3D9DAFDA"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 xml:space="preserve">38. Šis gadījums ir līdzvērtīgs neoficiālam pieprasījumam izmantot garantiju. Ierakstīšana atspoguļo ekonomisko būtību, nevis juridisko formu vai administratīvo formu (skat. EKS 2010 </w:t>
      </w:r>
      <w:r w:rsidRPr="00B03B51">
        <w:rPr>
          <w:rFonts w:ascii="Times New Roman" w:hAnsi="Times New Roman" w:cs="Times New Roman"/>
          <w:sz w:val="24"/>
        </w:rPr>
        <w:lastRenderedPageBreak/>
        <w:t>1.25. punktu). Šādos gadījumos uzskata, ka valdība ir pārņēmusi parādu no sabiedrības.</w:t>
      </w:r>
    </w:p>
    <w:p w14:paraId="657018C8"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1873A1A7"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39. Ir konstatēti gadījumi, kad valdība katru gadu veic parāda atmaksāšanu sabiedrības vietā bez oficiāla pieprasījuma izmantot garantiju; šādi gadījumi ir rūpīgi jāanalizē, lai noteiktu, vai ir faktiski pieprasīts izmantot garantiju. Šie maksājumi liecina par to, ka praksē tiek paredzēts, ka valdība pārņems parādu. Saistības tiek ierakstītas kā valdības parāds, pamatojoties uz spriedumu par ekonomisko realitāti, proti, par to, ka valdība turpinās regulāri uzņemties saistības, šajā gadījumā uzskatot, ka šīs saistības ekonomiski pieder valdībai (un tādējādi tiek pārvirzītas).</w:t>
      </w:r>
    </w:p>
    <w:p w14:paraId="270D33D9"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408ADDCE"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40. Saistībā ar nacionālajiem kontiem ekonomiskā realitāte vienmēr dominē pār juridisko formu. Ir jāizvairās no neskaidrām situācijām, kurās turpmāk varētu nākties veikt parāda pārklasifikāciju.</w:t>
      </w:r>
    </w:p>
    <w:p w14:paraId="2A6BF6BD" w14:textId="77777777" w:rsidR="00443399" w:rsidRPr="003E7255" w:rsidRDefault="00443399" w:rsidP="003E7255">
      <w:pPr>
        <w:rPr>
          <w:rFonts w:ascii="Times New Roman" w:hAnsi="Times New Roman" w:cs="Times New Roman"/>
          <w:noProof/>
          <w:sz w:val="24"/>
          <w:szCs w:val="24"/>
        </w:rPr>
      </w:pPr>
    </w:p>
    <w:p w14:paraId="0AE56E68" w14:textId="77777777" w:rsidR="00443399" w:rsidRPr="00B03B51" w:rsidRDefault="00443399" w:rsidP="00443399">
      <w:pPr>
        <w:pStyle w:val="Heading6"/>
        <w:tabs>
          <w:tab w:val="left" w:pos="1692"/>
        </w:tabs>
        <w:ind w:left="0" w:firstLine="0"/>
        <w:jc w:val="both"/>
        <w:rPr>
          <w:rFonts w:ascii="Times New Roman" w:hAnsi="Times New Roman" w:cs="Times New Roman"/>
          <w:noProof/>
          <w:sz w:val="24"/>
        </w:rPr>
      </w:pPr>
      <w:r w:rsidRPr="00B03B51">
        <w:rPr>
          <w:rFonts w:ascii="Times New Roman" w:hAnsi="Times New Roman" w:cs="Times New Roman"/>
          <w:sz w:val="24"/>
        </w:rPr>
        <w:t>7.4.2.2.4. Gadījums, kad saistību pārņemšana ietver prasījumu attiecībā uz trešās puses finanšu aktīvu</w:t>
      </w:r>
    </w:p>
    <w:p w14:paraId="1EC932AC"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27A9AE61"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41. Ja tiek pieprasīts izmantot garantiju, valdība var saņemt no garantiju saņēmušās vienības aktīvu, piemēram, pašu kapitāla vai aizdevuma formā. Ir jānovērtē, vai šo pieprasījumu varētu atzīt nacionālajos kontos.</w:t>
      </w:r>
    </w:p>
    <w:p w14:paraId="33937410"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3AD865D3"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42. Piemēram, ja valdība saņem prasījumu attiecībā uz zaudējumus nesošu publisku sabiedrību, tam, ko valdība saņem, varētu nebūt nekādas vērtības, jo sabiedrība nespēs to samaksāt, un tādējādi nacionālajos kontos prasījumu neieraksta.</w:t>
      </w:r>
    </w:p>
    <w:p w14:paraId="1AC72B98"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65E014D2"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43. Ja prasījums (ko saņēmusi valdība) ir ierakstīts publiskajos kontos kā aizdevums privātai sabiedrībai</w:t>
      </w:r>
      <w:r w:rsidRPr="00B03B51">
        <w:rPr>
          <w:rStyle w:val="FootnoteReference"/>
          <w:rFonts w:ascii="Times New Roman" w:hAnsi="Times New Roman" w:cs="Times New Roman"/>
          <w:noProof/>
          <w:sz w:val="24"/>
        </w:rPr>
        <w:footnoteReference w:id="268"/>
      </w:r>
      <w:r w:rsidRPr="00B03B51">
        <w:rPr>
          <w:rFonts w:ascii="Times New Roman" w:hAnsi="Times New Roman" w:cs="Times New Roman"/>
          <w:sz w:val="24"/>
        </w:rPr>
        <w:t>, šāds gadījums ir jāanalizē. Ja privātai sabiedrībai rodas tādas finanšu grūtības (uzkrātie zaudējumi, negatīvs pašu kapitāls, nav piekļuves tirgum), ka tās patiesā vērtība ir nulle vai tuvu nullei, šādu prasījumu nacionālajos kontos neatzīst. Šajā gadījumā kopumā būtu neatbilstoši ierakstīt pašu kapitāla iepludināšanu (F.5) no valdības.</w:t>
      </w:r>
      <w:r w:rsidRPr="00B03B51">
        <w:rPr>
          <w:rStyle w:val="FootnoteReference"/>
          <w:rFonts w:ascii="Times New Roman" w:hAnsi="Times New Roman" w:cs="Times New Roman"/>
          <w:noProof/>
          <w:sz w:val="24"/>
        </w:rPr>
        <w:footnoteReference w:id="269"/>
      </w:r>
      <w:r w:rsidRPr="00B03B51">
        <w:rPr>
          <w:rFonts w:ascii="Times New Roman" w:hAnsi="Times New Roman" w:cs="Times New Roman"/>
          <w:sz w:val="24"/>
        </w:rPr>
        <w:t xml:space="preserve"> Prasījums netiek atzīts, un ar garantijas aktivēšanu saistītais darījums būtu jāieraksta kā kapitāla pārvedums.</w:t>
      </w:r>
    </w:p>
    <w:p w14:paraId="608BBBBE" w14:textId="77777777" w:rsidR="00443399" w:rsidRPr="003E7255" w:rsidRDefault="00443399" w:rsidP="003E7255">
      <w:pPr>
        <w:rPr>
          <w:rFonts w:ascii="Times New Roman" w:hAnsi="Times New Roman" w:cs="Times New Roman"/>
          <w:noProof/>
          <w:sz w:val="24"/>
          <w:szCs w:val="24"/>
        </w:rPr>
      </w:pPr>
    </w:p>
    <w:p w14:paraId="6BAE40BC" w14:textId="77777777" w:rsidR="00443399" w:rsidRPr="00B03B51" w:rsidRDefault="00443399" w:rsidP="00443399">
      <w:pPr>
        <w:pStyle w:val="Heading6"/>
        <w:tabs>
          <w:tab w:val="left" w:pos="1692"/>
        </w:tabs>
        <w:ind w:left="0" w:firstLine="0"/>
        <w:jc w:val="both"/>
        <w:rPr>
          <w:rFonts w:ascii="Times New Roman" w:hAnsi="Times New Roman" w:cs="Times New Roman"/>
          <w:noProof/>
          <w:sz w:val="24"/>
        </w:rPr>
      </w:pPr>
      <w:r w:rsidRPr="00B03B51">
        <w:rPr>
          <w:rFonts w:ascii="Times New Roman" w:hAnsi="Times New Roman" w:cs="Times New Roman"/>
          <w:sz w:val="24"/>
        </w:rPr>
        <w:t>7.4.2.2.5. Gadījums, kad saistību pārņemšana ietver prasījumu pret vienību, kurai izsniegta garantija</w:t>
      </w:r>
    </w:p>
    <w:p w14:paraId="16F66EE6"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0709381D"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 xml:space="preserve">44. Jautājums rodas arī gadījumā, kad tiek pieprasīts izmantot valdības garantiju un, reaģējot uz to, valdība ieraksta prasījumu pret garantiju saņēmušo vienību. Šāds prasījums jāieraksta nacionālajos kontos, ar to kompensējot kapitāla pārveduma summu, ja vien tam ir pozitīva un noteikta vērtība, t. i., ja to var patiešām atzīt kā prasījumu nacionālajos kontos. Jēdziens “atzīts prasījums” ir minēts vairākos saimnieciskās darbības grāmatvedības uzskaitei veltītos dokumentos (jo īpaši </w:t>
      </w:r>
      <w:r w:rsidRPr="00B03B51">
        <w:rPr>
          <w:rFonts w:ascii="Times New Roman" w:hAnsi="Times New Roman" w:cs="Times New Roman"/>
          <w:i/>
          <w:iCs/>
          <w:sz w:val="24"/>
        </w:rPr>
        <w:t>IPSAS</w:t>
      </w:r>
      <w:r w:rsidRPr="00B03B51">
        <w:rPr>
          <w:rFonts w:ascii="Times New Roman" w:hAnsi="Times New Roman" w:cs="Times New Roman"/>
          <w:sz w:val="24"/>
        </w:rPr>
        <w:t> 19). Ja prasījuma vērtība ir nenoteikta un tiek vērsta pret sabiedrību, kas ir finanšu grūtībās vai cieš zaudējumus, ir jāieraksta kapitāla pārvedums pilnas prasītās summas apmērā. Visas summas, ko garantiju saņēmusī vienība vēlāk atmaksā, tiek ierakstītas kā kapitāla pārveduma ieņēmumi valdībai to atmaksas brīdī.</w:t>
      </w:r>
    </w:p>
    <w:p w14:paraId="07BA59C0" w14:textId="77777777" w:rsidR="00443399" w:rsidRPr="00B03B51" w:rsidRDefault="00443399" w:rsidP="00443399">
      <w:pPr>
        <w:jc w:val="both"/>
        <w:rPr>
          <w:rFonts w:ascii="Times New Roman" w:eastAsia="Arial" w:hAnsi="Times New Roman" w:cs="Times New Roman"/>
          <w:noProof/>
          <w:sz w:val="24"/>
          <w:szCs w:val="20"/>
        </w:rPr>
      </w:pPr>
    </w:p>
    <w:p w14:paraId="1311CA7B" w14:textId="77777777" w:rsidR="00443399" w:rsidRPr="00B03B51" w:rsidRDefault="00443399" w:rsidP="00443399">
      <w:pPr>
        <w:keepNext/>
        <w:jc w:val="both"/>
        <w:rPr>
          <w:rFonts w:ascii="Times New Roman" w:eastAsia="Arial" w:hAnsi="Times New Roman" w:cs="Times New Roman"/>
          <w:b/>
          <w:bCs/>
          <w:noProof/>
          <w:sz w:val="24"/>
          <w:szCs w:val="20"/>
        </w:rPr>
      </w:pPr>
      <w:r w:rsidRPr="00B03B51">
        <w:rPr>
          <w:rFonts w:ascii="Times New Roman" w:hAnsi="Times New Roman" w:cs="Times New Roman"/>
          <w:b/>
          <w:bCs/>
          <w:sz w:val="24"/>
          <w:szCs w:val="20"/>
        </w:rPr>
        <w:lastRenderedPageBreak/>
        <w:t>Lēmuma par pieprasījumu izmaksāt garantēto naudu pieņemšanas shēma</w:t>
      </w:r>
    </w:p>
    <w:p w14:paraId="2C919F36" w14:textId="77777777" w:rsidR="00443399" w:rsidRPr="00B03B51" w:rsidRDefault="00443399" w:rsidP="00443399">
      <w:pPr>
        <w:keepNext/>
        <w:jc w:val="both"/>
        <w:rPr>
          <w:rFonts w:ascii="Times New Roman" w:eastAsia="Arial" w:hAnsi="Times New Roman" w:cs="Times New Roman"/>
          <w:noProof/>
          <w:sz w:val="24"/>
          <w:szCs w:val="20"/>
        </w:rPr>
      </w:pPr>
    </w:p>
    <w:p w14:paraId="69959BE1" w14:textId="77777777" w:rsidR="00443399" w:rsidRPr="00B03B51" w:rsidRDefault="00443399" w:rsidP="00443399">
      <w:pPr>
        <w:keepNext/>
        <w:jc w:val="center"/>
        <w:rPr>
          <w:rFonts w:ascii="Times New Roman" w:eastAsia="Arial" w:hAnsi="Times New Roman" w:cs="Times New Roman"/>
          <w:noProof/>
          <w:sz w:val="24"/>
          <w:szCs w:val="20"/>
        </w:rPr>
      </w:pPr>
      <w:r w:rsidRPr="00B03B51">
        <w:rPr>
          <w:rFonts w:ascii="Times New Roman" w:hAnsi="Times New Roman" w:cs="Times New Roman"/>
          <w:noProof/>
        </w:rPr>
        <w:drawing>
          <wp:inline distT="0" distB="0" distL="0" distR="0" wp14:anchorId="45837302" wp14:editId="5EDFDBA8">
            <wp:extent cx="5756275" cy="3585845"/>
            <wp:effectExtent l="0" t="0" r="0" b="0"/>
            <wp:docPr id="166" name="Attēls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5"/>
                    <a:stretch>
                      <a:fillRect/>
                    </a:stretch>
                  </pic:blipFill>
                  <pic:spPr>
                    <a:xfrm>
                      <a:off x="0" y="0"/>
                      <a:ext cx="5756275" cy="3585845"/>
                    </a:xfrm>
                    <a:prstGeom prst="rect">
                      <a:avLst/>
                    </a:prstGeom>
                  </pic:spPr>
                </pic:pic>
              </a:graphicData>
            </a:graphic>
          </wp:inline>
        </w:drawing>
      </w:r>
    </w:p>
    <w:p w14:paraId="2B89E899" w14:textId="77777777" w:rsidR="00443399" w:rsidRPr="00B03B51" w:rsidRDefault="00443399" w:rsidP="00443399">
      <w:pPr>
        <w:jc w:val="both"/>
        <w:rPr>
          <w:rFonts w:ascii="Times New Roman" w:eastAsia="Arial" w:hAnsi="Times New Roman" w:cs="Times New Roman"/>
          <w:noProof/>
          <w:sz w:val="24"/>
          <w:szCs w:val="18"/>
        </w:rPr>
      </w:pPr>
    </w:p>
    <w:p w14:paraId="64ACF199" w14:textId="77777777" w:rsidR="00443399" w:rsidRPr="00B03B51" w:rsidRDefault="00443399" w:rsidP="00443399">
      <w:pPr>
        <w:pStyle w:val="Heading3"/>
        <w:tabs>
          <w:tab w:val="left" w:pos="1267"/>
        </w:tabs>
        <w:ind w:left="0" w:firstLine="0"/>
        <w:jc w:val="both"/>
        <w:rPr>
          <w:rFonts w:ascii="Times New Roman" w:hAnsi="Times New Roman" w:cs="Times New Roman"/>
          <w:noProof/>
          <w:sz w:val="24"/>
        </w:rPr>
      </w:pPr>
      <w:bookmarkStart w:id="597" w:name="_Toc67565210"/>
      <w:r w:rsidRPr="00B03B51">
        <w:rPr>
          <w:rFonts w:ascii="Times New Roman" w:hAnsi="Times New Roman" w:cs="Times New Roman"/>
          <w:sz w:val="24"/>
        </w:rPr>
        <w:t>7.4.3. Standartizētas garantijas</w:t>
      </w:r>
      <w:bookmarkEnd w:id="597"/>
    </w:p>
    <w:p w14:paraId="59BD6760" w14:textId="77777777" w:rsidR="00443399" w:rsidRPr="00680BE8" w:rsidRDefault="00443399" w:rsidP="00680BE8">
      <w:pPr>
        <w:rPr>
          <w:rFonts w:ascii="Times New Roman" w:hAnsi="Times New Roman" w:cs="Times New Roman"/>
          <w:noProof/>
          <w:sz w:val="24"/>
          <w:szCs w:val="24"/>
        </w:rPr>
      </w:pPr>
    </w:p>
    <w:p w14:paraId="5233C430" w14:textId="77777777" w:rsidR="00443399" w:rsidRPr="00B03B51" w:rsidRDefault="00443399" w:rsidP="00443399">
      <w:pPr>
        <w:pStyle w:val="Heading6"/>
        <w:tabs>
          <w:tab w:val="left" w:pos="1267"/>
        </w:tabs>
        <w:ind w:left="0" w:firstLine="0"/>
        <w:jc w:val="both"/>
        <w:rPr>
          <w:rFonts w:ascii="Times New Roman" w:hAnsi="Times New Roman" w:cs="Times New Roman"/>
          <w:noProof/>
          <w:sz w:val="24"/>
        </w:rPr>
      </w:pPr>
      <w:r w:rsidRPr="00B03B51">
        <w:rPr>
          <w:rFonts w:ascii="Times New Roman" w:hAnsi="Times New Roman" w:cs="Times New Roman"/>
          <w:sz w:val="24"/>
        </w:rPr>
        <w:t>7.4.3.1. TRAKTĒJUMS NACIONĀLAJOS KONTOS</w:t>
      </w:r>
    </w:p>
    <w:p w14:paraId="26FA3803" w14:textId="77777777" w:rsidR="00443399" w:rsidRPr="00B03B51" w:rsidRDefault="00443399" w:rsidP="00443399">
      <w:pPr>
        <w:tabs>
          <w:tab w:val="left" w:pos="1692"/>
        </w:tabs>
        <w:jc w:val="both"/>
        <w:rPr>
          <w:rFonts w:ascii="Times New Roman" w:hAnsi="Times New Roman" w:cs="Times New Roman"/>
          <w:b/>
          <w:noProof/>
          <w:sz w:val="24"/>
        </w:rPr>
      </w:pPr>
    </w:p>
    <w:p w14:paraId="68438502" w14:textId="77777777" w:rsidR="00443399" w:rsidRPr="00B03B51" w:rsidRDefault="00443399" w:rsidP="00443399">
      <w:pPr>
        <w:pStyle w:val="Heading6"/>
        <w:tabs>
          <w:tab w:val="left" w:pos="1692"/>
        </w:tabs>
        <w:ind w:left="0" w:firstLine="0"/>
        <w:jc w:val="both"/>
        <w:rPr>
          <w:rFonts w:ascii="Times New Roman" w:hAnsi="Times New Roman" w:cs="Times New Roman"/>
          <w:sz w:val="24"/>
        </w:rPr>
      </w:pPr>
      <w:r w:rsidRPr="00B03B51">
        <w:rPr>
          <w:rFonts w:ascii="Times New Roman" w:hAnsi="Times New Roman" w:cs="Times New Roman"/>
          <w:sz w:val="24"/>
        </w:rPr>
        <w:t>7.4.3.1.1. Vispārējs princips</w:t>
      </w:r>
    </w:p>
    <w:p w14:paraId="0152873B"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561A8C51"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45. Nacionālajos kontos standartizētās garantijas traktē, pamatojoties uz analoģiju ar nedzīvības apdrošināšanu. Traktējums ir aprakstīts EKS 2010 16. nodaļā “Apdrošināšana” (un NKS 2008 17. nodaļā “Transversālas tēmas un citi īpaši jautājumi”).</w:t>
      </w:r>
    </w:p>
    <w:p w14:paraId="5385EDDF"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54035F46"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46. Nedzīvības apdrošināšanas traktējums nacionālajos kontos ir noteikts, pamatojoties uz pieņēmumu, ka vienība, kurai ir izsniegtas šādas standartizētas garantijas, rīkosies saskaņā ar komerciālām interesēm, t. i., ar mērķi gūt peļņu. Tomēr var gadīties, ka prēmijas un/vai ieguldījuma ienākumu apmērs nesedz prasījumus, ja to apmērs ir ārkārtēji liels. Lai novērstu šādas situācijas, Eiropas Savienībā uzraudzības iestādes stingri regulē apdrošināšanas darbības</w:t>
      </w:r>
      <w:r w:rsidRPr="00B03B51">
        <w:rPr>
          <w:rStyle w:val="FootnoteReference"/>
          <w:rFonts w:ascii="Times New Roman" w:hAnsi="Times New Roman" w:cs="Times New Roman"/>
          <w:noProof/>
          <w:sz w:val="24"/>
        </w:rPr>
        <w:footnoteReference w:id="270"/>
      </w:r>
      <w:r w:rsidRPr="00B03B51">
        <w:rPr>
          <w:rFonts w:ascii="Times New Roman" w:hAnsi="Times New Roman" w:cs="Times New Roman"/>
          <w:sz w:val="24"/>
        </w:rPr>
        <w:t>. Tomēr standartizētu garantiju izsniegšana pati par sevi netiek uzskatīta par apdrošināšanas pamatdarbību, attiecībā uz kuru tiek piemērota ES regulācija un uzraudzība.</w:t>
      </w:r>
    </w:p>
    <w:p w14:paraId="206AE36A"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3FA30AF6"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 xml:space="preserve">47. Tāpēc iespējams, ka ES valdība piešķir standartizētu garantiju komerciālu mērķu sasniegšanai, pat ja maz ticams, ka tā šajā jomā konkurēs ar valdības sektoram nepiederošu vienību. Principā, ja šāda garantijas darbība var būt ienesīga, to, visticamāk, īstenotu vienīgi valdības sektoram nepiederošas vienības. Tomēr no teorētiskā viedokļa, ja tiktu konstatēta šāda situācija, t. i., ja valdība iekasētu maksājumus, kuri uzskatāmi par “ekonomiski nozīmīgiem” maksājumiem un kuri sedz lielāko daļu no paredzamajiem prasījumiem un administratīvās </w:t>
      </w:r>
      <w:r w:rsidRPr="00B03B51">
        <w:rPr>
          <w:rFonts w:ascii="Times New Roman" w:hAnsi="Times New Roman" w:cs="Times New Roman"/>
          <w:sz w:val="24"/>
        </w:rPr>
        <w:lastRenderedPageBreak/>
        <w:t>izmaksas</w:t>
      </w:r>
      <w:r w:rsidRPr="00B03B51">
        <w:rPr>
          <w:rStyle w:val="FootnoteReference"/>
          <w:rFonts w:ascii="Times New Roman" w:hAnsi="Times New Roman" w:cs="Times New Roman"/>
          <w:noProof/>
          <w:sz w:val="24"/>
        </w:rPr>
        <w:footnoteReference w:id="271"/>
      </w:r>
      <w:r w:rsidRPr="00B03B51">
        <w:rPr>
          <w:rFonts w:ascii="Times New Roman" w:hAnsi="Times New Roman" w:cs="Times New Roman"/>
          <w:sz w:val="24"/>
        </w:rPr>
        <w:t>, nacionālajos kontos tas būtu jātraktē līdzīgi iepriekš minētajai nedzīvības apdrošināšanai.</w:t>
      </w:r>
    </w:p>
    <w:p w14:paraId="6CE854B5"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28069FB0"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48. Kad valdība piešķir standartizētās garantijas, tās bilancē ieraksta AF.66 saistības. Tās ir vienādas ar paredzamo garantijas izmantošanas pieprasījumu pašreizējo vērtību, jebkuru atgūto līdzekļu neto vērtību, ko galvotājs var paredzēt saņemt no aizņēmējiem, kuri nepilda saistības.</w:t>
      </w:r>
      <w:r w:rsidRPr="00B03B51">
        <w:rPr>
          <w:rStyle w:val="FootnoteReference"/>
          <w:rFonts w:ascii="Times New Roman" w:hAnsi="Times New Roman" w:cs="Times New Roman"/>
          <w:noProof/>
          <w:sz w:val="24"/>
        </w:rPr>
        <w:footnoteReference w:id="272"/>
      </w:r>
      <w:r w:rsidRPr="00B03B51">
        <w:rPr>
          <w:rFonts w:ascii="Times New Roman" w:hAnsi="Times New Roman" w:cs="Times New Roman"/>
          <w:sz w:val="24"/>
        </w:rPr>
        <w:t xml:space="preserve"> Kad tiek izveidotas šādas saistības, ievēro noteiktu analoģiju ar uzkrājumu ierakstīšanu uzņēmuma grāmatvedības sistēmā (tostarp </w:t>
      </w:r>
      <w:r w:rsidRPr="00B03B51">
        <w:rPr>
          <w:rFonts w:ascii="Times New Roman" w:hAnsi="Times New Roman" w:cs="Times New Roman"/>
          <w:i/>
          <w:iCs/>
          <w:sz w:val="24"/>
        </w:rPr>
        <w:t>IPSAS</w:t>
      </w:r>
      <w:r w:rsidRPr="00B03B51">
        <w:rPr>
          <w:rFonts w:ascii="Times New Roman" w:hAnsi="Times New Roman" w:cs="Times New Roman"/>
          <w:sz w:val="24"/>
        </w:rPr>
        <w:t>), kura paredz, ka jāveic uzticami, taču piesardzīgi aprēķini, pamatojoties uz noteiktiem pierādījumiem, piemēram, iepriekšējo pieredzi vai prognozēm jaunas darbības gadījumā.</w:t>
      </w:r>
      <w:r w:rsidRPr="00B03B51">
        <w:rPr>
          <w:rStyle w:val="FootnoteReference"/>
          <w:rFonts w:ascii="Times New Roman" w:hAnsi="Times New Roman" w:cs="Times New Roman"/>
          <w:noProof/>
          <w:sz w:val="24"/>
        </w:rPr>
        <w:footnoteReference w:id="273"/>
      </w:r>
      <w:r w:rsidRPr="00B03B51">
        <w:rPr>
          <w:rFonts w:ascii="Times New Roman" w:hAnsi="Times New Roman" w:cs="Times New Roman"/>
          <w:sz w:val="24"/>
        </w:rPr>
        <w:t xml:space="preserve"> Šīs prognozes ne vienmēr ir saistītas ar šī īpašā garantijas pasākuma tirgus (ienesīgums) vai ārpustirgus būtību. Ja valdība iekasē maksājumus atbilstīgi nosacījumiem, kas minēti iepriekšējā rindkopā (kā segumu valdībai, kas sniedz garantijas), finanšu kontos tiks veikts ieraksts atbilstīgi saņemto maksājumu summai, no kuras atskaitīti izsniegto garantiju izmantošanas prasījumi. Tāpēc saistību pretvērtības darījums ir naudas maksājums (daļa no iekasētās maksas, kas paturēta rezervju izveidošanai, un daļa no ieguldījumu līdzekļiem, ko neizmanto prasījumu apmaksāšanai).</w:t>
      </w:r>
      <w:r w:rsidRPr="00B03B51">
        <w:rPr>
          <w:rStyle w:val="FootnoteReference"/>
          <w:rFonts w:ascii="Times New Roman" w:hAnsi="Times New Roman" w:cs="Times New Roman"/>
          <w:noProof/>
          <w:sz w:val="24"/>
        </w:rPr>
        <w:footnoteReference w:id="274"/>
      </w:r>
    </w:p>
    <w:p w14:paraId="2128E733"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393A5536"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49. Ja valdība neiekasē maksu (vai iekasē to tādā apmērā, kas ir ievērojami zemāks par izmaksām, kas valdībai rodas saistībā ar shēmu</w:t>
      </w:r>
      <w:r w:rsidRPr="00B03B51">
        <w:rPr>
          <w:rStyle w:val="FootnoteReference"/>
          <w:rFonts w:ascii="Times New Roman" w:hAnsi="Times New Roman" w:cs="Times New Roman"/>
          <w:noProof/>
          <w:sz w:val="24"/>
        </w:rPr>
        <w:footnoteReference w:id="275"/>
      </w:r>
      <w:r w:rsidRPr="00B03B51">
        <w:rPr>
          <w:rFonts w:ascii="Times New Roman" w:hAnsi="Times New Roman" w:cs="Times New Roman"/>
          <w:sz w:val="24"/>
        </w:rPr>
        <w:t>), šo saistību parādīšanās pretvērtības darījums nav naudas plūsma, bet gan finanšu darījums, t. i., pārvedums no valdības.</w:t>
      </w:r>
    </w:p>
    <w:p w14:paraId="0DE3CF9D" w14:textId="77777777" w:rsidR="00443399" w:rsidRPr="00680BE8" w:rsidRDefault="00443399" w:rsidP="00680BE8">
      <w:pPr>
        <w:rPr>
          <w:rFonts w:ascii="Times New Roman" w:hAnsi="Times New Roman" w:cs="Times New Roman"/>
          <w:noProof/>
          <w:sz w:val="24"/>
          <w:szCs w:val="24"/>
        </w:rPr>
      </w:pPr>
    </w:p>
    <w:p w14:paraId="77A06916" w14:textId="77777777" w:rsidR="00443399" w:rsidRPr="00B03B51" w:rsidRDefault="00443399" w:rsidP="00443399">
      <w:pPr>
        <w:pStyle w:val="Heading6"/>
        <w:tabs>
          <w:tab w:val="left" w:pos="1692"/>
        </w:tabs>
        <w:ind w:left="0" w:firstLine="0"/>
        <w:jc w:val="both"/>
        <w:rPr>
          <w:rFonts w:ascii="Times New Roman" w:hAnsi="Times New Roman" w:cs="Times New Roman"/>
          <w:noProof/>
          <w:sz w:val="24"/>
        </w:rPr>
      </w:pPr>
      <w:r w:rsidRPr="00B03B51">
        <w:rPr>
          <w:rFonts w:ascii="Times New Roman" w:hAnsi="Times New Roman" w:cs="Times New Roman"/>
          <w:sz w:val="24"/>
        </w:rPr>
        <w:t>7.4.3.1.2. Īpašu saistību ierakstīšana nekomerciālas darbības gadījumā</w:t>
      </w:r>
    </w:p>
    <w:p w14:paraId="5FEC73E4"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0D26D842"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50. No praktiskā viedokļa raugoties, katru reizi, kad valdības standartizēto garantiju shēmā attiecīgajā laika posmā finanšu iestādes piešķir un valdība sedz aizdevumu pamatsummu (vairākiem debitoriem), noteikta procentuālā vērtība būtu ierakstāma valdības bilancē kā saistības AF.66 ar kapitāla pārvedumu kā pretvērtības darījumu AF.66 saistību summas apmērā, no kuras atskaitītas iekasētās maksas.</w:t>
      </w:r>
      <w:r w:rsidRPr="00B03B51">
        <w:rPr>
          <w:rStyle w:val="FootnoteReference"/>
          <w:rFonts w:ascii="Times New Roman" w:hAnsi="Times New Roman" w:cs="Times New Roman"/>
          <w:noProof/>
          <w:sz w:val="24"/>
        </w:rPr>
        <w:footnoteReference w:id="276"/>
      </w:r>
      <w:r w:rsidRPr="00B03B51">
        <w:rPr>
          <w:rFonts w:ascii="Times New Roman" w:hAnsi="Times New Roman" w:cs="Times New Roman"/>
          <w:sz w:val="24"/>
          <w:szCs w:val="12"/>
        </w:rPr>
        <w:t xml:space="preserve"> </w:t>
      </w:r>
      <w:r w:rsidRPr="00B03B51">
        <w:rPr>
          <w:rFonts w:ascii="Times New Roman" w:hAnsi="Times New Roman" w:cs="Times New Roman"/>
          <w:sz w:val="24"/>
        </w:rPr>
        <w:t>Nacionālajos kontos šis kapitāla pārvedums tiek ierakstīts par labu apdrošinājuma ņēmējiem (tādējādi AF.66 aktīva turētājiem), t. i., finanšu iestādēm, kuras izsniedz aizdevumus un kurām ir līgumiskas attiecības ar galvotāju valdību, nevis par labu aizņēmējiem. Protams, aizņēmēji gūst labumu no garantijas shēmas pastāvēšanas, ko tām organizējusi valdība, bet tie nav galvenie ekonomiskie labuma guvēji. Kapitāla pārvedumu var analizēt kā paredzēto pieprasījumu neto izmaksu prognozes. Tā kā tiek pieņemts, ka pieprasījumi ir iespējami, sākumā konceptuāli pastāv ietekme uz valdības kontiem, jo pēc definīcijas tiek prognozēts, ka valdība šajā shēmā zaudēs naudu.</w:t>
      </w:r>
    </w:p>
    <w:p w14:paraId="26431B11"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777232C4"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51. Kad tiek pieprasīta garantija un tā tiek samaksāta, nav ietekmes uz valdības neto aizdevumu/aizņēmumu (B.9). AF.66 uzkrājums varētu būt vienāds ar pilnu aizdevuma summu (šāds 100 % riska aizdevums nekad netiktu piešķirts) un to varētu koriģēt. Šķiet, ir lietderīgi turēt informāciju par kopējo aizdevumu (vai citu aktīvu) summu, attiecībā uz kuriem ir izsniegta valdības standarta garantija, līdzīgi vienreizēju garantiju gadījumam.</w:t>
      </w:r>
    </w:p>
    <w:p w14:paraId="73127000"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255FB84C"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 xml:space="preserve">52. Saskaņā ar NKS 2008 17.223. punktu saistību AF.66 ierakstīšana ir atkarīga no tā, vai valdības vienību pašu kontos tiek atzīts uzkrājums (pamatojoties uz uzskaites sistēmu, kas atšķiras no nacionālajiem kontiem). Nacionālo kontu speciālistiem ir jāieraksta šīs saistības, pamatojoties uz valdības aprēķiniem. Principā nacionālo kontu speciālisti nedrīkst atkāpties no šī aprēķina, jo maz ticams, ka viņi spētu aprēķināt paredzamos zaudējumus ar augstāku ticamības pakāpi. Jāņem vērā arī tas, ka saskaņā ar publiskās uzskaites noteikumiem, piemēram, </w:t>
      </w:r>
      <w:r w:rsidRPr="00B03B51">
        <w:rPr>
          <w:rFonts w:ascii="Times New Roman" w:hAnsi="Times New Roman" w:cs="Times New Roman"/>
          <w:i/>
          <w:iCs/>
          <w:sz w:val="24"/>
        </w:rPr>
        <w:t>IPSAS</w:t>
      </w:r>
      <w:r w:rsidRPr="00B03B51">
        <w:rPr>
          <w:rFonts w:ascii="Times New Roman" w:hAnsi="Times New Roman" w:cs="Times New Roman"/>
          <w:sz w:val="24"/>
        </w:rPr>
        <w:t xml:space="preserve"> vai līdzvērtīgiem noteikumiem, kurus pieņem arvien vairāk valdības vienību, pienācīgu uzkrājumu izveide attiecībā uz kādu riskantu darbību ir stingra prasība, ja vien ir iespējams ticami aprēķināt riska ietekmi.</w:t>
      </w:r>
      <w:r w:rsidRPr="00B03B51">
        <w:rPr>
          <w:rStyle w:val="FootnoteReference"/>
          <w:rFonts w:ascii="Times New Roman" w:hAnsi="Times New Roman" w:cs="Times New Roman"/>
          <w:noProof/>
          <w:sz w:val="24"/>
        </w:rPr>
        <w:footnoteReference w:id="277"/>
      </w:r>
    </w:p>
    <w:p w14:paraId="642DFEAB"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538FD5C3"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 xml:space="preserve">53. Tomēr ne visas valdības savos publiskajos kontos (un tas ir īpaši svarīgi, ja tiek aplūkoti visi vispārējās valdības sektora apakšlīmeņi) izmanto uzskaites sistēmu, kura paredz ierakstīt uzkrājumu veidošanu attiecībā uz nākotnes riskiem. Paredzams, ka šāda sistēma tiks izmantota tajās ES dalībvalstīs, kurās centrālā valdība tieši piešķir standartizētas garantijas. Ja tas tomēr neatbilst patiesībai, tad salīdzināmības nodrošināšanas nolūkā nacionālo kontu speciālistiem jāapsver, vai tiem ir pieejami pietiekami elementi, piemēram, līdzīgas shēmas citās dalībvalstīs, lai aprēķinātu AF.66 saistības, pēc apspriešanās ar </w:t>
      </w:r>
      <w:r w:rsidRPr="00B03B51">
        <w:rPr>
          <w:rFonts w:ascii="Times New Roman" w:hAnsi="Times New Roman" w:cs="Times New Roman"/>
          <w:i/>
          <w:iCs/>
          <w:sz w:val="24"/>
        </w:rPr>
        <w:t>Eurostat</w:t>
      </w:r>
      <w:r w:rsidRPr="00B03B51">
        <w:rPr>
          <w:rFonts w:ascii="Times New Roman" w:hAnsi="Times New Roman" w:cs="Times New Roman"/>
          <w:sz w:val="24"/>
        </w:rPr>
        <w:t>. Tomēr noteikti sarežģījumi var rasties pilnīgi jaunas un ļoti specifiskas shēmas gadījumā.</w:t>
      </w:r>
    </w:p>
    <w:p w14:paraId="50088C68"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72FF4134"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54. Saistību vērtību var palielināt, ja tiktu novērtēts, ka turpmāk pastāv augstāks saistību neizpildes risks, un, ievērojot konsekvenci ar sākotnējo traktējumu, jauns kapitāla pārvedums tiktu ierakstīts atbilstīgi līdzīgiem nosacījumiem, ja tiek pieņemts, ka tas tiks novērots attiecībā uz visiem pastāvošajiem aizdevumu portfeļiem, ne tikai attiecībā uz tiem jaunajiem aizdevumiem, kuri varētu uzrādīt noteiktu saistību neizpildes gadījumu īpatsvaru. Citos gadījumos risks var būt zemāks nekā paredzēts un saistību vērtība var tikt samazināta, vispirms veicot trūkstošās vērtības aprēķināšanu attiecībā uz kapitāla pārvedumu, kas saistīts ar jaunajām operācijām attiecīgajā gadā, un attiecībā uz pārsniegumu – ar apgriezto kapitāla pārvedumu. Tomēr</w:t>
      </w:r>
      <w:r w:rsidRPr="00B03B51">
        <w:rPr>
          <w:rFonts w:ascii="Times New Roman" w:hAnsi="Times New Roman" w:cs="Times New Roman"/>
          <w:i/>
          <w:iCs/>
          <w:sz w:val="24"/>
        </w:rPr>
        <w:t xml:space="preserve"> Eurostat</w:t>
      </w:r>
      <w:r w:rsidRPr="00B03B51">
        <w:rPr>
          <w:rFonts w:ascii="Times New Roman" w:hAnsi="Times New Roman" w:cs="Times New Roman"/>
          <w:sz w:val="24"/>
        </w:rPr>
        <w:t xml:space="preserve"> iesaka vērtības samazināšanas korekciju veikt vienīgi tad, ja samērā ilgā laika posmā konstatēts uzlabojums līdzekļu atgūšanas jomā un tiek uzskatīts, ka šāda tendence, visticamāk, ir neatgriezeniska. Iespējams, valdībai nāksies saskarties ar garantiju izmantošanas pieprasījumiem, kuru summa pārsniegs “uzkrājumus”, kas izveidoti iepriekš, proti, laikā, kad tika piešķirti aizdevumi. Tas jāieraksta kā jauns kapitāla pārvedums. Valdībai nāksies arī no jauna izveidot uzkrājumu attiecībā uz atlikušajiem aizdevumu portfeļiem saistībā ar jauno kapitāla pārvedumu.</w:t>
      </w:r>
    </w:p>
    <w:p w14:paraId="45755669" w14:textId="77777777" w:rsidR="00443399" w:rsidRPr="00B03B51" w:rsidRDefault="00443399" w:rsidP="00443399">
      <w:pPr>
        <w:jc w:val="both"/>
        <w:rPr>
          <w:rFonts w:ascii="Times New Roman" w:eastAsia="Arial" w:hAnsi="Times New Roman" w:cs="Times New Roman"/>
          <w:noProof/>
          <w:sz w:val="24"/>
          <w:szCs w:val="15"/>
        </w:rPr>
      </w:pPr>
    </w:p>
    <w:p w14:paraId="4180D0FD" w14:textId="77777777" w:rsidR="00443399" w:rsidRPr="00B03B51" w:rsidRDefault="00443399" w:rsidP="00210375">
      <w:pPr>
        <w:pStyle w:val="Heading6"/>
        <w:keepNext/>
        <w:tabs>
          <w:tab w:val="left" w:pos="1267"/>
        </w:tabs>
        <w:ind w:left="0" w:firstLine="0"/>
        <w:jc w:val="both"/>
        <w:rPr>
          <w:rFonts w:ascii="Times New Roman" w:hAnsi="Times New Roman" w:cs="Times New Roman"/>
          <w:noProof/>
          <w:sz w:val="24"/>
        </w:rPr>
      </w:pPr>
      <w:r w:rsidRPr="00B03B51">
        <w:rPr>
          <w:rFonts w:ascii="Times New Roman" w:hAnsi="Times New Roman" w:cs="Times New Roman"/>
          <w:sz w:val="24"/>
        </w:rPr>
        <w:t>7.4.3.2. TRAKTĒJUMA PAMATOJUMS</w:t>
      </w:r>
    </w:p>
    <w:p w14:paraId="05DE4165" w14:textId="77777777" w:rsidR="00443399" w:rsidRPr="00B03B51" w:rsidRDefault="00443399" w:rsidP="00210375">
      <w:pPr>
        <w:pStyle w:val="BodyText"/>
        <w:keepNext/>
        <w:tabs>
          <w:tab w:val="left" w:pos="843"/>
        </w:tabs>
        <w:spacing w:before="0"/>
        <w:ind w:left="0" w:firstLine="0"/>
        <w:jc w:val="both"/>
        <w:rPr>
          <w:rFonts w:ascii="Times New Roman" w:hAnsi="Times New Roman" w:cs="Times New Roman"/>
          <w:noProof/>
          <w:sz w:val="24"/>
        </w:rPr>
      </w:pPr>
    </w:p>
    <w:p w14:paraId="3A7F7E1B"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 xml:space="preserve">55. Iemesli, kādēļ šādas garantijas nacionālajos kontos jātraktē līdzīgi nedzīvības apdrošināšanai, ir sniegti EKS 2010 (skat. EKS 2010 5.190. punktu un turpmākos punktus) un NKS 2008 (skat. 17. nodaļas “Transversālas tēmas un citi īpaši jautājumi” 3. daļu </w:t>
      </w:r>
      <w:r w:rsidRPr="00B03B51">
        <w:rPr>
          <w:rFonts w:ascii="Times New Roman" w:hAnsi="Times New Roman" w:cs="Times New Roman"/>
          <w:sz w:val="24"/>
        </w:rPr>
        <w:lastRenderedPageBreak/>
        <w:t>“Standartizēto garantiju uzskaite NKS”). Nelielas individuālas summas, ko sedz garantijas, un līdzīgu pazīmju daudzkārtīga atkārtošanās ir iemesls, kādēļ tā vietā, lai izmantotu traktējumu individuālajā līmenī, kuru galvotājs tieši nepārvalda, uzmanība tiek pievērsta kopējās garantētās summas vispārējam traktējumam. Šādu valdības standartizēto garantiju mērķis pēc būtības ir īstenot valsts interešu politiku attiecībā uz lielu skaitu iespējamo saņēmēju, savukārt vienreizējās garantijas ir saistītas ar atsevišķu subjektu vai nelielu vienību grupu specifisko situāciju.</w:t>
      </w:r>
    </w:p>
    <w:p w14:paraId="4815B769"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042A1CAD"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56. EKS 2010 5.192. punktā ir paskaidrots, ka standartizētās garantijas parasti nodrošina S.12 sektorā klasificētās finanšu sabiedrības, bet tās var piešķirt arī valdība. Pirmās minētās garantijas tiek sniegtas, pamatojoties vienīgi uz komerciāliem apsvērumiem. Izstrādātā metodoloģija darbojas līdzīgi nedzīvības apdrošināšanai. Valdības iesaiste būs saistīta ar valsts politikas iemesliem, nevis komerciāliem apsvērumiem. EKS kategorija ir pieņemta visiem ekonomikas sektoriem, nedaudz pielāgojot ierakstīšanu attiecībā uz valdību, ņemot vērā tās ārpustirgus būtību.</w:t>
      </w:r>
    </w:p>
    <w:p w14:paraId="5E9AD10B"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745275AC"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57. Valdības standartizēto garantiju gadījumā bieži vien nav noteikta maksa, kas garantijas saņēmējiem jāveic, lai segtu visas vai gandrīz visas shēmas izmaksas, kā tas ir minēts NKS 2008 17.223. punktā. Valdība necenšas nodrošināt neitrālu ietekmi uz tās ienākumu pārskatu, nosakot maksu tādā līmenī, lai laika ekvivalences perspektīvā segtu lielāko daļu vai pat visus no paredzamajiem saistību neizpildes gadījumiem attiecībā uz attiecīgajiem aktīviem no saviem līdzekļiem. Valdības intervence ar standartizētu garantijas shēmu starpniecību tiek īstenota kā daļa no politikas, kuras mērķis ir veicināt dažu konkrētu ekonomikas subjektu kategoriju pieeju tirgum. Šajā saistībā šādos pasākumos ir paredzams neatlīdzināms darījuma elements.</w:t>
      </w:r>
    </w:p>
    <w:p w14:paraId="1A795028" w14:textId="77777777" w:rsidR="00443399" w:rsidRPr="00B03B51" w:rsidRDefault="00443399" w:rsidP="00443399">
      <w:pPr>
        <w:jc w:val="both"/>
        <w:rPr>
          <w:rFonts w:ascii="Times New Roman" w:eastAsia="Arial" w:hAnsi="Times New Roman" w:cs="Times New Roman"/>
          <w:noProof/>
          <w:sz w:val="24"/>
          <w:szCs w:val="19"/>
        </w:rPr>
      </w:pPr>
    </w:p>
    <w:p w14:paraId="3B04CDFF" w14:textId="77777777" w:rsidR="00443399" w:rsidRPr="00B03B51" w:rsidRDefault="00443399" w:rsidP="00443399">
      <w:pPr>
        <w:pStyle w:val="Heading3"/>
        <w:tabs>
          <w:tab w:val="left" w:pos="1267"/>
        </w:tabs>
        <w:ind w:left="0" w:firstLine="0"/>
        <w:jc w:val="both"/>
        <w:rPr>
          <w:rFonts w:ascii="Times New Roman" w:hAnsi="Times New Roman" w:cs="Times New Roman"/>
          <w:noProof/>
          <w:sz w:val="24"/>
        </w:rPr>
      </w:pPr>
      <w:bookmarkStart w:id="598" w:name="_Toc67565211"/>
      <w:r w:rsidRPr="00B03B51">
        <w:rPr>
          <w:rFonts w:ascii="Times New Roman" w:hAnsi="Times New Roman" w:cs="Times New Roman"/>
          <w:sz w:val="24"/>
        </w:rPr>
        <w:t>7.4.4. Uzskaites piemēri</w:t>
      </w:r>
      <w:bookmarkEnd w:id="598"/>
    </w:p>
    <w:p w14:paraId="425F83B5" w14:textId="77777777" w:rsidR="00443399" w:rsidRPr="00B03B51" w:rsidRDefault="00443399" w:rsidP="00443399">
      <w:pPr>
        <w:jc w:val="both"/>
        <w:rPr>
          <w:rFonts w:ascii="Times New Roman" w:hAnsi="Times New Roman" w:cs="Times New Roman"/>
          <w:b/>
          <w:noProof/>
          <w:sz w:val="24"/>
        </w:rPr>
      </w:pPr>
    </w:p>
    <w:p w14:paraId="654C88F3" w14:textId="77777777" w:rsidR="00443399" w:rsidRPr="00B03B51" w:rsidRDefault="00443399" w:rsidP="00443399">
      <w:pPr>
        <w:jc w:val="both"/>
        <w:rPr>
          <w:rFonts w:ascii="Times New Roman" w:hAnsi="Times New Roman" w:cs="Times New Roman"/>
          <w:b/>
          <w:noProof/>
          <w:sz w:val="24"/>
        </w:rPr>
      </w:pPr>
      <w:r w:rsidRPr="00B03B51">
        <w:rPr>
          <w:rFonts w:ascii="Times New Roman" w:hAnsi="Times New Roman" w:cs="Times New Roman"/>
          <w:b/>
          <w:sz w:val="24"/>
        </w:rPr>
        <w:t>Vienreizējas garantijas – 3 secīgu pieprasījumu princips</w:t>
      </w:r>
    </w:p>
    <w:p w14:paraId="442EB615" w14:textId="77777777" w:rsidR="00443399" w:rsidRPr="00B03B51" w:rsidRDefault="00443399" w:rsidP="00443399">
      <w:pPr>
        <w:jc w:val="both"/>
        <w:rPr>
          <w:rFonts w:ascii="Times New Roman" w:eastAsia="Arial" w:hAnsi="Times New Roman" w:cs="Times New Roman"/>
          <w:b/>
          <w:bCs/>
          <w:noProof/>
          <w:sz w:val="24"/>
        </w:rPr>
      </w:pPr>
    </w:p>
    <w:p w14:paraId="4F0C1B5F" w14:textId="77777777" w:rsidR="00443399" w:rsidRPr="00B03B51" w:rsidRDefault="00443399" w:rsidP="00443399">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t>Valdība piešķir publiskai sabiedrībai garantiju par 100 naudas vienībām attiecībā uz tās parādu AF.4 aizdevuma formā (valdība neiekasē maksu).</w:t>
      </w:r>
    </w:p>
    <w:p w14:paraId="1E82D9E4" w14:textId="77777777" w:rsidR="00443399" w:rsidRPr="00B03B51" w:rsidRDefault="00443399" w:rsidP="00443399">
      <w:pPr>
        <w:jc w:val="both"/>
        <w:rPr>
          <w:rFonts w:ascii="Times New Roman" w:eastAsia="Arial" w:hAnsi="Times New Roman" w:cs="Times New Roman"/>
          <w:noProof/>
          <w:sz w:val="24"/>
          <w:szCs w:val="14"/>
        </w:rPr>
      </w:pPr>
    </w:p>
    <w:p w14:paraId="1CEDB328"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 Sākumā nav pamata uzskatīt, ka tiks automātiski pieprasīta garantijas izmantošana. Līdz ar to valdības kontos netiek veikts ieraksts. Garantija ir iespējamais aktīvs (vienkāršošanas nolūkā piemērā nav parādīti procenti attiecībā uz aizdevumu).</w:t>
      </w:r>
    </w:p>
    <w:p w14:paraId="65FEC944" w14:textId="77777777" w:rsidR="00443399" w:rsidRPr="00B03B51" w:rsidRDefault="00443399" w:rsidP="00443399">
      <w:pPr>
        <w:jc w:val="both"/>
        <w:rPr>
          <w:rFonts w:ascii="Times New Roman" w:eastAsia="Arial" w:hAnsi="Times New Roman" w:cs="Times New Roman"/>
          <w:noProof/>
          <w:sz w:val="24"/>
          <w:szCs w:val="28"/>
        </w:rPr>
      </w:pPr>
    </w:p>
    <w:p w14:paraId="7A7C1755" w14:textId="77777777" w:rsidR="00443399" w:rsidRPr="00B03B51" w:rsidRDefault="00443399" w:rsidP="00443399">
      <w:pPr>
        <w:jc w:val="center"/>
        <w:rPr>
          <w:rFonts w:ascii="Times New Roman" w:eastAsia="Arial" w:hAnsi="Times New Roman" w:cs="Times New Roman"/>
          <w:noProof/>
          <w:sz w:val="24"/>
          <w:szCs w:val="20"/>
        </w:rPr>
      </w:pPr>
      <w:r w:rsidRPr="00B03B51">
        <w:rPr>
          <w:rFonts w:ascii="Times New Roman" w:hAnsi="Times New Roman" w:cs="Times New Roman"/>
          <w:noProof/>
        </w:rPr>
        <w:drawing>
          <wp:inline distT="0" distB="0" distL="0" distR="0" wp14:anchorId="4CFAA442" wp14:editId="467C44DA">
            <wp:extent cx="5756275" cy="2397125"/>
            <wp:effectExtent l="0" t="0" r="0" b="3175"/>
            <wp:docPr id="5"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6"/>
                    <a:stretch>
                      <a:fillRect/>
                    </a:stretch>
                  </pic:blipFill>
                  <pic:spPr>
                    <a:xfrm>
                      <a:off x="0" y="0"/>
                      <a:ext cx="5756275" cy="2397125"/>
                    </a:xfrm>
                    <a:prstGeom prst="rect">
                      <a:avLst/>
                    </a:prstGeom>
                  </pic:spPr>
                </pic:pic>
              </a:graphicData>
            </a:graphic>
          </wp:inline>
        </w:drawing>
      </w:r>
    </w:p>
    <w:p w14:paraId="05980BB9" w14:textId="77777777" w:rsidR="00443399" w:rsidRPr="00B03B51" w:rsidRDefault="00443399" w:rsidP="00443399">
      <w:pPr>
        <w:jc w:val="both"/>
        <w:rPr>
          <w:rFonts w:ascii="Times New Roman" w:eastAsia="Arial" w:hAnsi="Times New Roman" w:cs="Times New Roman"/>
          <w:noProof/>
          <w:sz w:val="24"/>
          <w:szCs w:val="20"/>
        </w:rPr>
      </w:pPr>
    </w:p>
    <w:p w14:paraId="350664CA"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2) Gadā </w:t>
      </w:r>
      <w:r w:rsidRPr="00B03B51">
        <w:rPr>
          <w:rFonts w:ascii="Times New Roman" w:hAnsi="Times New Roman" w:cs="Times New Roman"/>
          <w:i/>
          <w:iCs/>
          <w:sz w:val="24"/>
        </w:rPr>
        <w:t>t</w:t>
      </w:r>
      <w:r w:rsidRPr="00B03B51">
        <w:rPr>
          <w:rFonts w:ascii="Times New Roman" w:hAnsi="Times New Roman" w:cs="Times New Roman"/>
          <w:sz w:val="24"/>
        </w:rPr>
        <w:t xml:space="preserve"> tiek pieprasīts izmaksāt 10 naudas vienības no garantijas. Šāds pieprasījums tiek saņemts arī gadā </w:t>
      </w:r>
      <w:r w:rsidRPr="00B03B51">
        <w:rPr>
          <w:rFonts w:ascii="Times New Roman" w:hAnsi="Times New Roman" w:cs="Times New Roman"/>
          <w:i/>
          <w:iCs/>
          <w:sz w:val="24"/>
        </w:rPr>
        <w:t>t+2</w:t>
      </w:r>
      <w:r w:rsidRPr="00B03B51">
        <w:rPr>
          <w:rFonts w:ascii="Times New Roman" w:hAnsi="Times New Roman" w:cs="Times New Roman"/>
          <w:sz w:val="24"/>
        </w:rPr>
        <w:t xml:space="preserve"> (savukārt </w:t>
      </w:r>
      <w:r w:rsidRPr="00B03B51">
        <w:rPr>
          <w:rFonts w:ascii="Times New Roman" w:hAnsi="Times New Roman" w:cs="Times New Roman"/>
          <w:i/>
          <w:iCs/>
          <w:sz w:val="24"/>
        </w:rPr>
        <w:t>t+1</w:t>
      </w:r>
      <w:r w:rsidRPr="00B03B51">
        <w:rPr>
          <w:rFonts w:ascii="Times New Roman" w:hAnsi="Times New Roman" w:cs="Times New Roman"/>
          <w:sz w:val="24"/>
        </w:rPr>
        <w:t> gadā garantija nav prasīta).</w:t>
      </w:r>
    </w:p>
    <w:p w14:paraId="51557625" w14:textId="77777777" w:rsidR="00443399" w:rsidRPr="00B03B51" w:rsidRDefault="00443399" w:rsidP="00443399">
      <w:pPr>
        <w:jc w:val="both"/>
        <w:rPr>
          <w:rFonts w:ascii="Times New Roman" w:hAnsi="Times New Roman" w:cs="Times New Roman"/>
          <w:noProof/>
          <w:sz w:val="24"/>
        </w:rPr>
      </w:pPr>
    </w:p>
    <w:p w14:paraId="56A23E56" w14:textId="77777777" w:rsidR="00443399" w:rsidRPr="00B03B51" w:rsidRDefault="00443399" w:rsidP="00443399">
      <w:pPr>
        <w:jc w:val="center"/>
        <w:rPr>
          <w:rFonts w:ascii="Times New Roman" w:hAnsi="Times New Roman" w:cs="Times New Roman"/>
          <w:b/>
          <w:noProof/>
          <w:sz w:val="24"/>
        </w:rPr>
      </w:pPr>
      <w:r w:rsidRPr="00B03B51">
        <w:rPr>
          <w:rFonts w:ascii="Times New Roman" w:hAnsi="Times New Roman" w:cs="Times New Roman"/>
          <w:noProof/>
        </w:rPr>
        <w:drawing>
          <wp:inline distT="0" distB="0" distL="0" distR="0" wp14:anchorId="286A46F9" wp14:editId="103187E4">
            <wp:extent cx="5756275" cy="4111625"/>
            <wp:effectExtent l="0" t="0" r="0" b="3175"/>
            <wp:docPr id="167" name="Attēls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7"/>
                    <a:stretch>
                      <a:fillRect/>
                    </a:stretch>
                  </pic:blipFill>
                  <pic:spPr>
                    <a:xfrm>
                      <a:off x="0" y="0"/>
                      <a:ext cx="5756275" cy="4111625"/>
                    </a:xfrm>
                    <a:prstGeom prst="rect">
                      <a:avLst/>
                    </a:prstGeom>
                  </pic:spPr>
                </pic:pic>
              </a:graphicData>
            </a:graphic>
          </wp:inline>
        </w:drawing>
      </w:r>
    </w:p>
    <w:p w14:paraId="293E3B5E" w14:textId="77777777" w:rsidR="00443399" w:rsidRPr="00B03B51" w:rsidRDefault="00443399" w:rsidP="00443399">
      <w:pPr>
        <w:jc w:val="both"/>
        <w:rPr>
          <w:rFonts w:ascii="Times New Roman" w:hAnsi="Times New Roman" w:cs="Times New Roman"/>
          <w:b/>
          <w:noProof/>
          <w:sz w:val="24"/>
        </w:rPr>
      </w:pPr>
    </w:p>
    <w:p w14:paraId="53783B9F"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3. Gadā </w:t>
      </w:r>
      <w:r w:rsidRPr="00B03B51">
        <w:rPr>
          <w:rFonts w:ascii="Times New Roman" w:hAnsi="Times New Roman" w:cs="Times New Roman"/>
          <w:i/>
          <w:iCs/>
          <w:sz w:val="24"/>
        </w:rPr>
        <w:t>t+3</w:t>
      </w:r>
      <w:r w:rsidRPr="00B03B51">
        <w:rPr>
          <w:rFonts w:ascii="Times New Roman" w:hAnsi="Times New Roman" w:cs="Times New Roman"/>
          <w:sz w:val="24"/>
        </w:rPr>
        <w:t xml:space="preserve"> ir trešais garantijas prasījums, kurā pieprasīts izmaksāt atlikušo daļu – 80 naudas vienības. Valdība izdod parāda vērtspapīrus 10 naudas vienību vērtībā un aizdevumu 70 naudas vienību vērtībā, lai segtu šo prasījumu.</w:t>
      </w:r>
    </w:p>
    <w:p w14:paraId="46941EA0" w14:textId="77777777" w:rsidR="00443399" w:rsidRPr="00B03B51" w:rsidRDefault="00443399" w:rsidP="00443399">
      <w:pPr>
        <w:jc w:val="both"/>
        <w:rPr>
          <w:rFonts w:ascii="Times New Roman" w:hAnsi="Times New Roman" w:cs="Times New Roman"/>
          <w:noProof/>
          <w:sz w:val="24"/>
        </w:rPr>
      </w:pPr>
    </w:p>
    <w:p w14:paraId="3B67AE20" w14:textId="77777777" w:rsidR="00443399" w:rsidRPr="00B03B51" w:rsidRDefault="00443399" w:rsidP="00443399">
      <w:pPr>
        <w:jc w:val="center"/>
        <w:rPr>
          <w:rFonts w:ascii="Times New Roman" w:eastAsia="Arial" w:hAnsi="Times New Roman" w:cs="Times New Roman"/>
          <w:noProof/>
          <w:sz w:val="24"/>
          <w:szCs w:val="20"/>
        </w:rPr>
      </w:pPr>
      <w:r w:rsidRPr="00B03B51">
        <w:rPr>
          <w:rFonts w:ascii="Times New Roman" w:hAnsi="Times New Roman" w:cs="Times New Roman"/>
          <w:noProof/>
        </w:rPr>
        <w:lastRenderedPageBreak/>
        <w:drawing>
          <wp:inline distT="0" distB="0" distL="0" distR="0" wp14:anchorId="5736E99A" wp14:editId="70ACA67D">
            <wp:extent cx="5756275" cy="4838700"/>
            <wp:effectExtent l="0" t="0" r="0" b="0"/>
            <wp:docPr id="168" name="Attēls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8"/>
                    <a:stretch>
                      <a:fillRect/>
                    </a:stretch>
                  </pic:blipFill>
                  <pic:spPr>
                    <a:xfrm>
                      <a:off x="0" y="0"/>
                      <a:ext cx="5756275" cy="4838700"/>
                    </a:xfrm>
                    <a:prstGeom prst="rect">
                      <a:avLst/>
                    </a:prstGeom>
                  </pic:spPr>
                </pic:pic>
              </a:graphicData>
            </a:graphic>
          </wp:inline>
        </w:drawing>
      </w:r>
      <w:r w:rsidRPr="00B03B51">
        <w:rPr>
          <w:rFonts w:ascii="Times New Roman" w:hAnsi="Times New Roman" w:cs="Times New Roman"/>
          <w:noProof/>
          <w:sz w:val="24"/>
        </w:rPr>
        <mc:AlternateContent>
          <mc:Choice Requires="wpg">
            <w:drawing>
              <wp:anchor distT="0" distB="0" distL="114300" distR="114300" simplePos="0" relativeHeight="251663360" behindDoc="1" locked="0" layoutInCell="1" allowOverlap="1" wp14:anchorId="2A7BF8AE" wp14:editId="70FFFB02">
                <wp:simplePos x="0" y="0"/>
                <wp:positionH relativeFrom="page">
                  <wp:posOffset>2428240</wp:posOffset>
                </wp:positionH>
                <wp:positionV relativeFrom="page">
                  <wp:posOffset>1763395</wp:posOffset>
                </wp:positionV>
                <wp:extent cx="1270" cy="140335"/>
                <wp:effectExtent l="8890" t="10795" r="8890" b="10795"/>
                <wp:wrapNone/>
                <wp:docPr id="1"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140335"/>
                          <a:chOff x="3824" y="2777"/>
                          <a:chExt cx="2" cy="221"/>
                        </a:xfrm>
                      </wpg:grpSpPr>
                      <wps:wsp>
                        <wps:cNvPr id="12" name="Freeform 15"/>
                        <wps:cNvSpPr>
                          <a:spLocks/>
                        </wps:cNvSpPr>
                        <wps:spPr bwMode="auto">
                          <a:xfrm>
                            <a:off x="3824" y="2777"/>
                            <a:ext cx="2" cy="221"/>
                          </a:xfrm>
                          <a:custGeom>
                            <a:avLst/>
                            <a:gdLst>
                              <a:gd name="T0" fmla="+- 0 2777 2777"/>
                              <a:gd name="T1" fmla="*/ 2777 h 221"/>
                              <a:gd name="T2" fmla="+- 0 2998 2777"/>
                              <a:gd name="T3" fmla="*/ 2998 h 221"/>
                            </a:gdLst>
                            <a:ahLst/>
                            <a:cxnLst>
                              <a:cxn ang="0">
                                <a:pos x="0" y="T1"/>
                              </a:cxn>
                              <a:cxn ang="0">
                                <a:pos x="0" y="T3"/>
                              </a:cxn>
                            </a:cxnLst>
                            <a:rect l="0" t="0" r="r" b="b"/>
                            <a:pathLst>
                              <a:path h="221">
                                <a:moveTo>
                                  <a:pt x="0" y="0"/>
                                </a:moveTo>
                                <a:lnTo>
                                  <a:pt x="0" y="221"/>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31BB172" id="Group 3" o:spid="_x0000_s1026" style="position:absolute;margin-left:191.2pt;margin-top:138.85pt;width:.1pt;height:11.05pt;z-index:-251653120;mso-position-horizontal-relative:page;mso-position-vertical-relative:page" coordorigin="3824,2777" coordsize="2,2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">
                <v:shape id="Freeform 15" o:spid="_x0000_s1027" style="position:absolute;left:3824;top:2777;width:2;height:221;visibility:visible;mso-wrap-style:square;v-text-anchor:top" coordsize="2,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" path="m,l,221e" filled="f" strokeweight=".82pt">
                  <v:path arrowok="t" o:connecttype="custom" o:connectlocs="0,2777;0,2998" o:connectangles="0,0"/>
                </v:shape>
                <w10:wrap anchorx="page" anchory="page"/>
              </v:group>
            </w:pict>
          </mc:Fallback>
        </mc:AlternateContent>
      </w:r>
      <w:r w:rsidRPr="00B03B51">
        <w:rPr>
          <w:rFonts w:ascii="Times New Roman" w:hAnsi="Times New Roman" w:cs="Times New Roman"/>
          <w:noProof/>
          <w:sz w:val="24"/>
        </w:rPr>
        <mc:AlternateContent>
          <mc:Choice Requires="wpg">
            <w:drawing>
              <wp:anchor distT="0" distB="0" distL="114300" distR="114300" simplePos="0" relativeHeight="251664384" behindDoc="1" locked="0" layoutInCell="1" allowOverlap="1" wp14:anchorId="274D66BA" wp14:editId="5F6AAFBB">
                <wp:simplePos x="0" y="0"/>
                <wp:positionH relativeFrom="page">
                  <wp:posOffset>5130800</wp:posOffset>
                </wp:positionH>
                <wp:positionV relativeFrom="page">
                  <wp:posOffset>1763395</wp:posOffset>
                </wp:positionV>
                <wp:extent cx="1270" cy="140335"/>
                <wp:effectExtent l="6350" t="10795" r="11430" b="10795"/>
                <wp:wrapNone/>
                <wp:docPr id="97"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140335"/>
                          <a:chOff x="8080" y="2777"/>
                          <a:chExt cx="2" cy="221"/>
                        </a:xfrm>
                      </wpg:grpSpPr>
                      <wps:wsp>
                        <wps:cNvPr id="98" name="Freeform 17"/>
                        <wps:cNvSpPr>
                          <a:spLocks/>
                        </wps:cNvSpPr>
                        <wps:spPr bwMode="auto">
                          <a:xfrm>
                            <a:off x="8080" y="2777"/>
                            <a:ext cx="2" cy="221"/>
                          </a:xfrm>
                          <a:custGeom>
                            <a:avLst/>
                            <a:gdLst>
                              <a:gd name="T0" fmla="+- 0 2777 2777"/>
                              <a:gd name="T1" fmla="*/ 2777 h 221"/>
                              <a:gd name="T2" fmla="+- 0 2998 2777"/>
                              <a:gd name="T3" fmla="*/ 2998 h 221"/>
                            </a:gdLst>
                            <a:ahLst/>
                            <a:cxnLst>
                              <a:cxn ang="0">
                                <a:pos x="0" y="T1"/>
                              </a:cxn>
                              <a:cxn ang="0">
                                <a:pos x="0" y="T3"/>
                              </a:cxn>
                            </a:cxnLst>
                            <a:rect l="0" t="0" r="r" b="b"/>
                            <a:pathLst>
                              <a:path h="221">
                                <a:moveTo>
                                  <a:pt x="0" y="0"/>
                                </a:moveTo>
                                <a:lnTo>
                                  <a:pt x="0" y="221"/>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0DAB4BB" id="Group 1" o:spid="_x0000_s1026" style="position:absolute;margin-left:404pt;margin-top:138.85pt;width:.1pt;height:11.05pt;z-index:-251652096;mso-position-horizontal-relative:page;mso-position-vertical-relative:page" coordorigin="8080,2777" coordsize="2,2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">
                <v:shape id="Freeform 17" o:spid="_x0000_s1027" style="position:absolute;left:8080;top:2777;width:2;height:221;visibility:visible;mso-wrap-style:square;v-text-anchor:top" coordsize="2,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" path="m,l,221e" filled="f" strokeweight=".58pt">
                  <v:path arrowok="t" o:connecttype="custom" o:connectlocs="0,2777;0,2998" o:connectangles="0,0"/>
                </v:shape>
                <w10:wrap anchorx="page" anchory="page"/>
              </v:group>
            </w:pict>
          </mc:Fallback>
        </mc:AlternateContent>
      </w:r>
    </w:p>
    <w:p w14:paraId="138FDED7" w14:textId="77777777" w:rsidR="00443399" w:rsidRPr="00B03B51" w:rsidRDefault="00443399" w:rsidP="00443399">
      <w:pPr>
        <w:jc w:val="both"/>
        <w:rPr>
          <w:rFonts w:ascii="Times New Roman" w:eastAsia="Arial" w:hAnsi="Times New Roman" w:cs="Times New Roman"/>
          <w:noProof/>
          <w:sz w:val="24"/>
          <w:szCs w:val="13"/>
        </w:rPr>
      </w:pPr>
    </w:p>
    <w:p w14:paraId="11649016" w14:textId="77777777" w:rsidR="00443399" w:rsidRPr="00B03B51" w:rsidRDefault="00443399" w:rsidP="00443399">
      <w:pPr>
        <w:jc w:val="both"/>
        <w:rPr>
          <w:rFonts w:ascii="Times New Roman" w:hAnsi="Times New Roman" w:cs="Times New Roman"/>
          <w:b/>
          <w:noProof/>
          <w:sz w:val="24"/>
        </w:rPr>
      </w:pPr>
      <w:r w:rsidRPr="00B03B51">
        <w:rPr>
          <w:rFonts w:ascii="Times New Roman" w:hAnsi="Times New Roman" w:cs="Times New Roman"/>
          <w:b/>
          <w:sz w:val="24"/>
        </w:rPr>
        <w:t>Pārklasificēšana par valdības parādu sākumā</w:t>
      </w:r>
    </w:p>
    <w:p w14:paraId="59F85563" w14:textId="77777777" w:rsidR="00443399" w:rsidRPr="00B03B51" w:rsidRDefault="00443399" w:rsidP="00443399">
      <w:pPr>
        <w:jc w:val="both"/>
        <w:rPr>
          <w:rFonts w:ascii="Times New Roman" w:eastAsia="Arial" w:hAnsi="Times New Roman" w:cs="Times New Roman"/>
          <w:b/>
          <w:bCs/>
          <w:noProof/>
          <w:sz w:val="24"/>
        </w:rPr>
      </w:pPr>
    </w:p>
    <w:p w14:paraId="26F0960D" w14:textId="77777777" w:rsidR="00443399" w:rsidRPr="00B03B51" w:rsidRDefault="00443399" w:rsidP="00443399">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t>Valdība piešķir publiskai sabiedrībai garantiju par 100 naudas vienībām attiecībā uz tās parādu izpērkamas obligācijas (AF.3) formā (valdība neiekasē maksu).</w:t>
      </w:r>
    </w:p>
    <w:p w14:paraId="76B93774" w14:textId="77777777" w:rsidR="00443399" w:rsidRPr="00B03B51" w:rsidRDefault="00443399" w:rsidP="00443399">
      <w:pPr>
        <w:jc w:val="both"/>
        <w:rPr>
          <w:rFonts w:ascii="Times New Roman" w:eastAsia="Arial" w:hAnsi="Times New Roman" w:cs="Times New Roman"/>
          <w:noProof/>
          <w:sz w:val="24"/>
          <w:szCs w:val="18"/>
        </w:rPr>
      </w:pPr>
    </w:p>
    <w:p w14:paraId="3A9148F7"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 Sākumā ir pārliecinoši pierādījumi (sabiedrība ar negatīviem pašu līdzekļiem, valdība apņemas veikt atmaksāšanu u. c.) tam, ka parādu atmaksās valdība. Tādējādi sākumā parāds tiek uzskatīts par valdības parādu (vienkāršošanas nolūkā piemērā nav parādīti procenti attiecībā uz aizdevumu).</w:t>
      </w:r>
    </w:p>
    <w:p w14:paraId="72A8EDE4" w14:textId="77777777" w:rsidR="00443399" w:rsidRPr="00B03B51" w:rsidRDefault="00443399" w:rsidP="00443399">
      <w:pPr>
        <w:jc w:val="both"/>
        <w:rPr>
          <w:rFonts w:ascii="Times New Roman" w:eastAsia="Arial" w:hAnsi="Times New Roman" w:cs="Times New Roman"/>
          <w:noProof/>
          <w:sz w:val="24"/>
          <w:szCs w:val="28"/>
        </w:rPr>
      </w:pPr>
    </w:p>
    <w:p w14:paraId="55BB2C94" w14:textId="77777777" w:rsidR="00443399" w:rsidRPr="00B03B51" w:rsidRDefault="00443399" w:rsidP="00443399">
      <w:pPr>
        <w:jc w:val="center"/>
        <w:rPr>
          <w:rFonts w:ascii="Times New Roman" w:eastAsia="Arial" w:hAnsi="Times New Roman" w:cs="Times New Roman"/>
          <w:noProof/>
          <w:sz w:val="24"/>
          <w:szCs w:val="20"/>
        </w:rPr>
      </w:pPr>
      <w:r w:rsidRPr="00B03B51">
        <w:rPr>
          <w:rFonts w:ascii="Times New Roman" w:hAnsi="Times New Roman" w:cs="Times New Roman"/>
          <w:noProof/>
        </w:rPr>
        <w:lastRenderedPageBreak/>
        <w:drawing>
          <wp:inline distT="0" distB="0" distL="0" distR="0" wp14:anchorId="1AE481B0" wp14:editId="4B4FEDDE">
            <wp:extent cx="5756275" cy="2995930"/>
            <wp:effectExtent l="0" t="0" r="0" b="0"/>
            <wp:docPr id="169" name="Attēls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9"/>
                    <a:stretch>
                      <a:fillRect/>
                    </a:stretch>
                  </pic:blipFill>
                  <pic:spPr>
                    <a:xfrm>
                      <a:off x="0" y="0"/>
                      <a:ext cx="5756275" cy="2995930"/>
                    </a:xfrm>
                    <a:prstGeom prst="rect">
                      <a:avLst/>
                    </a:prstGeom>
                  </pic:spPr>
                </pic:pic>
              </a:graphicData>
            </a:graphic>
          </wp:inline>
        </w:drawing>
      </w:r>
    </w:p>
    <w:p w14:paraId="08AA0136" w14:textId="77777777" w:rsidR="00443399" w:rsidRPr="00B03B51" w:rsidRDefault="00443399" w:rsidP="00443399">
      <w:pPr>
        <w:jc w:val="center"/>
        <w:rPr>
          <w:rFonts w:ascii="Times New Roman" w:eastAsia="Arial" w:hAnsi="Times New Roman" w:cs="Times New Roman"/>
          <w:noProof/>
          <w:sz w:val="24"/>
          <w:szCs w:val="16"/>
        </w:rPr>
      </w:pPr>
      <w:r w:rsidRPr="00B03B51">
        <w:rPr>
          <w:rFonts w:ascii="Times New Roman" w:hAnsi="Times New Roman" w:cs="Times New Roman"/>
          <w:noProof/>
        </w:rPr>
        <w:drawing>
          <wp:inline distT="0" distB="0" distL="0" distR="0" wp14:anchorId="54652893" wp14:editId="47D281D1">
            <wp:extent cx="5756275" cy="685800"/>
            <wp:effectExtent l="0" t="0" r="0" b="0"/>
            <wp:docPr id="170" name="Attēls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0"/>
                    <a:stretch>
                      <a:fillRect/>
                    </a:stretch>
                  </pic:blipFill>
                  <pic:spPr>
                    <a:xfrm>
                      <a:off x="0" y="0"/>
                      <a:ext cx="5756275" cy="685800"/>
                    </a:xfrm>
                    <a:prstGeom prst="rect">
                      <a:avLst/>
                    </a:prstGeom>
                  </pic:spPr>
                </pic:pic>
              </a:graphicData>
            </a:graphic>
          </wp:inline>
        </w:drawing>
      </w:r>
    </w:p>
    <w:p w14:paraId="7CFD271E" w14:textId="77777777" w:rsidR="00443399" w:rsidRPr="00B03B51" w:rsidRDefault="00443399" w:rsidP="00443399">
      <w:pPr>
        <w:jc w:val="both"/>
        <w:rPr>
          <w:rFonts w:ascii="Times New Roman" w:eastAsia="Arial" w:hAnsi="Times New Roman" w:cs="Times New Roman"/>
          <w:noProof/>
          <w:sz w:val="24"/>
          <w:szCs w:val="16"/>
        </w:rPr>
      </w:pPr>
    </w:p>
    <w:p w14:paraId="16D29413"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2) Parāda atmaksas termiņa beigās publiskā sabiedrība ir gatava pati atmaksāt 10 naudas vienības no pamatsummas maksājuma 100 naudas vienību apmērā.</w:t>
      </w:r>
    </w:p>
    <w:p w14:paraId="27875F37" w14:textId="77777777" w:rsidR="00443399" w:rsidRPr="00B03B51" w:rsidRDefault="00443399" w:rsidP="00443399">
      <w:pPr>
        <w:jc w:val="both"/>
        <w:rPr>
          <w:rFonts w:ascii="Times New Roman" w:eastAsia="Arial" w:hAnsi="Times New Roman" w:cs="Times New Roman"/>
          <w:noProof/>
          <w:sz w:val="24"/>
          <w:szCs w:val="20"/>
        </w:rPr>
      </w:pPr>
    </w:p>
    <w:p w14:paraId="0F5C914F" w14:textId="77777777" w:rsidR="00443399" w:rsidRPr="00B03B51" w:rsidRDefault="00443399" w:rsidP="00443399">
      <w:pPr>
        <w:jc w:val="center"/>
        <w:rPr>
          <w:rFonts w:ascii="Times New Roman" w:eastAsia="Arial" w:hAnsi="Times New Roman" w:cs="Times New Roman"/>
          <w:noProof/>
          <w:sz w:val="24"/>
          <w:szCs w:val="19"/>
        </w:rPr>
      </w:pPr>
      <w:r w:rsidRPr="00B03B51">
        <w:rPr>
          <w:rFonts w:ascii="Times New Roman" w:hAnsi="Times New Roman" w:cs="Times New Roman"/>
          <w:noProof/>
        </w:rPr>
        <w:drawing>
          <wp:inline distT="0" distB="0" distL="0" distR="0" wp14:anchorId="71CB16C6" wp14:editId="1735A0B2">
            <wp:extent cx="5756275" cy="3801745"/>
            <wp:effectExtent l="0" t="0" r="0" b="8255"/>
            <wp:docPr id="171" name="Attēls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1"/>
                    <a:stretch>
                      <a:fillRect/>
                    </a:stretch>
                  </pic:blipFill>
                  <pic:spPr>
                    <a:xfrm>
                      <a:off x="0" y="0"/>
                      <a:ext cx="5756275" cy="3801745"/>
                    </a:xfrm>
                    <a:prstGeom prst="rect">
                      <a:avLst/>
                    </a:prstGeom>
                  </pic:spPr>
                </pic:pic>
              </a:graphicData>
            </a:graphic>
          </wp:inline>
        </w:drawing>
      </w:r>
    </w:p>
    <w:p w14:paraId="6D3F2C62" w14:textId="77777777" w:rsidR="00443399" w:rsidRPr="00B03B51" w:rsidRDefault="00443399" w:rsidP="00443399">
      <w:pPr>
        <w:jc w:val="both"/>
        <w:rPr>
          <w:rFonts w:ascii="Times New Roman" w:eastAsia="Arial" w:hAnsi="Times New Roman" w:cs="Times New Roman"/>
          <w:noProof/>
          <w:sz w:val="24"/>
          <w:szCs w:val="10"/>
        </w:rPr>
      </w:pPr>
    </w:p>
    <w:p w14:paraId="2B969DA5" w14:textId="77777777" w:rsidR="00443399" w:rsidRPr="00B03B51" w:rsidRDefault="00443399" w:rsidP="002E7929">
      <w:pPr>
        <w:keepNext/>
        <w:jc w:val="both"/>
        <w:rPr>
          <w:rFonts w:ascii="Times New Roman" w:eastAsia="Arial" w:hAnsi="Times New Roman" w:cs="Times New Roman"/>
          <w:noProof/>
          <w:sz w:val="24"/>
          <w:szCs w:val="12"/>
        </w:rPr>
      </w:pPr>
      <w:r w:rsidRPr="00B03B51">
        <w:rPr>
          <w:rFonts w:ascii="Times New Roman" w:hAnsi="Times New Roman" w:cs="Times New Roman"/>
          <w:b/>
          <w:sz w:val="24"/>
        </w:rPr>
        <w:lastRenderedPageBreak/>
        <w:t>Valdības garantija attiecībā uz zaudējumiem, kas saistīti ar problemātiskiem aktīviem</w:t>
      </w:r>
      <w:r w:rsidRPr="00B03B51">
        <w:rPr>
          <w:rStyle w:val="FootnoteReference"/>
          <w:rFonts w:ascii="Times New Roman" w:hAnsi="Times New Roman" w:cs="Times New Roman"/>
          <w:b/>
          <w:noProof/>
          <w:sz w:val="24"/>
        </w:rPr>
        <w:footnoteReference w:id="278"/>
      </w:r>
    </w:p>
    <w:p w14:paraId="4C2A881A" w14:textId="77777777" w:rsidR="00443399" w:rsidRPr="00B03B51" w:rsidRDefault="00443399" w:rsidP="002E7929">
      <w:pPr>
        <w:keepNext/>
        <w:jc w:val="both"/>
        <w:rPr>
          <w:rFonts w:ascii="Times New Roman" w:eastAsia="Arial" w:hAnsi="Times New Roman" w:cs="Times New Roman"/>
          <w:b/>
          <w:bCs/>
          <w:noProof/>
          <w:sz w:val="24"/>
        </w:rPr>
      </w:pPr>
    </w:p>
    <w:p w14:paraId="16B41A06"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 xml:space="preserve">1) Gadā </w:t>
      </w:r>
      <w:r w:rsidRPr="00B03B51">
        <w:rPr>
          <w:rFonts w:ascii="Times New Roman" w:hAnsi="Times New Roman" w:cs="Times New Roman"/>
          <w:i/>
          <w:iCs/>
          <w:sz w:val="24"/>
        </w:rPr>
        <w:t>t</w:t>
      </w:r>
      <w:r w:rsidRPr="00B03B51">
        <w:rPr>
          <w:rFonts w:ascii="Times New Roman" w:hAnsi="Times New Roman" w:cs="Times New Roman"/>
          <w:sz w:val="24"/>
        </w:rPr>
        <w:t xml:space="preserve"> problemātisko aktīvu nominālvērtība ir 100 naudas vienības, zaudējumi attiecībā uz šiem aktīviem tiek ticami novērtēti 70 naudas vienību apmērā. Garantētā summa ir ierakstīta kā valdības izdevumi (D.9) un valdības saistības (F.8). Problemātiskie aktīvi tiek saglabāti finanšu iestādes kontā.</w:t>
      </w:r>
    </w:p>
    <w:p w14:paraId="16572416" w14:textId="77777777" w:rsidR="00443399" w:rsidRPr="00B03B51" w:rsidRDefault="00443399" w:rsidP="00443399">
      <w:pPr>
        <w:jc w:val="both"/>
        <w:rPr>
          <w:rFonts w:ascii="Times New Roman" w:hAnsi="Times New Roman" w:cs="Times New Roman"/>
          <w:noProof/>
          <w:sz w:val="24"/>
        </w:rPr>
      </w:pPr>
    </w:p>
    <w:p w14:paraId="2810138B" w14:textId="77777777" w:rsidR="00443399" w:rsidRPr="00B03B51" w:rsidRDefault="00443399" w:rsidP="00443399">
      <w:pPr>
        <w:jc w:val="center"/>
        <w:rPr>
          <w:rFonts w:ascii="Times New Roman" w:eastAsia="Arial" w:hAnsi="Times New Roman" w:cs="Times New Roman"/>
          <w:noProof/>
          <w:sz w:val="24"/>
          <w:szCs w:val="20"/>
        </w:rPr>
      </w:pPr>
      <w:r w:rsidRPr="00B03B51">
        <w:rPr>
          <w:rFonts w:ascii="Times New Roman" w:hAnsi="Times New Roman" w:cs="Times New Roman"/>
          <w:noProof/>
        </w:rPr>
        <w:drawing>
          <wp:inline distT="0" distB="0" distL="0" distR="0" wp14:anchorId="7F627C64" wp14:editId="004AFD38">
            <wp:extent cx="5756275" cy="2386965"/>
            <wp:effectExtent l="0" t="0" r="0" b="0"/>
            <wp:docPr id="172" name="Attēls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2"/>
                    <a:stretch>
                      <a:fillRect/>
                    </a:stretch>
                  </pic:blipFill>
                  <pic:spPr>
                    <a:xfrm>
                      <a:off x="0" y="0"/>
                      <a:ext cx="5756275" cy="2386965"/>
                    </a:xfrm>
                    <a:prstGeom prst="rect">
                      <a:avLst/>
                    </a:prstGeom>
                  </pic:spPr>
                </pic:pic>
              </a:graphicData>
            </a:graphic>
          </wp:inline>
        </w:drawing>
      </w:r>
    </w:p>
    <w:p w14:paraId="0BCA9424" w14:textId="77777777" w:rsidR="00443399" w:rsidRPr="00B03B51" w:rsidRDefault="00443399" w:rsidP="00443399">
      <w:pPr>
        <w:jc w:val="center"/>
        <w:rPr>
          <w:rFonts w:ascii="Times New Roman" w:eastAsia="Arial" w:hAnsi="Times New Roman" w:cs="Times New Roman"/>
          <w:noProof/>
          <w:sz w:val="24"/>
          <w:szCs w:val="20"/>
        </w:rPr>
      </w:pPr>
      <w:r w:rsidRPr="00B03B51">
        <w:rPr>
          <w:rFonts w:ascii="Times New Roman" w:hAnsi="Times New Roman" w:cs="Times New Roman"/>
          <w:noProof/>
        </w:rPr>
        <w:drawing>
          <wp:inline distT="0" distB="0" distL="0" distR="0" wp14:anchorId="57E10E9B" wp14:editId="6FFA322A">
            <wp:extent cx="5756275" cy="2661285"/>
            <wp:effectExtent l="0" t="0" r="0" b="5715"/>
            <wp:docPr id="173" name="Attēls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3"/>
                    <a:stretch>
                      <a:fillRect/>
                    </a:stretch>
                  </pic:blipFill>
                  <pic:spPr>
                    <a:xfrm>
                      <a:off x="0" y="0"/>
                      <a:ext cx="5756275" cy="2661285"/>
                    </a:xfrm>
                    <a:prstGeom prst="rect">
                      <a:avLst/>
                    </a:prstGeom>
                  </pic:spPr>
                </pic:pic>
              </a:graphicData>
            </a:graphic>
          </wp:inline>
        </w:drawing>
      </w:r>
    </w:p>
    <w:p w14:paraId="75A1D7FB" w14:textId="77777777" w:rsidR="00443399" w:rsidRPr="00B03B51" w:rsidRDefault="00443399" w:rsidP="00443399">
      <w:pPr>
        <w:jc w:val="both"/>
        <w:rPr>
          <w:rFonts w:ascii="Times New Roman" w:eastAsia="Arial" w:hAnsi="Times New Roman" w:cs="Times New Roman"/>
          <w:noProof/>
          <w:sz w:val="24"/>
          <w:szCs w:val="26"/>
        </w:rPr>
      </w:pPr>
    </w:p>
    <w:p w14:paraId="5CE7AD25"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 xml:space="preserve">2) Gadā </w:t>
      </w:r>
      <w:r w:rsidRPr="00B03B51">
        <w:rPr>
          <w:rFonts w:ascii="Times New Roman" w:hAnsi="Times New Roman" w:cs="Times New Roman"/>
          <w:i/>
          <w:iCs/>
          <w:sz w:val="24"/>
        </w:rPr>
        <w:t>t+1</w:t>
      </w:r>
      <w:r w:rsidRPr="00B03B51">
        <w:rPr>
          <w:rFonts w:ascii="Times New Roman" w:hAnsi="Times New Roman" w:cs="Times New Roman"/>
          <w:sz w:val="24"/>
        </w:rPr>
        <w:t xml:space="preserve"> valdība pārskaita naudu finanšu iestādei, kurai ir jāatmaksā 70 naudas vienības no sava parāda. Valdībai ir jāaizņemas tirgos.</w:t>
      </w:r>
    </w:p>
    <w:p w14:paraId="3EEA531C" w14:textId="77777777" w:rsidR="00443399" w:rsidRPr="00B03B51" w:rsidRDefault="00443399" w:rsidP="00443399">
      <w:pPr>
        <w:jc w:val="both"/>
        <w:rPr>
          <w:rFonts w:ascii="Times New Roman" w:hAnsi="Times New Roman" w:cs="Times New Roman"/>
          <w:b/>
          <w:noProof/>
          <w:sz w:val="24"/>
        </w:rPr>
      </w:pPr>
    </w:p>
    <w:p w14:paraId="3E833DE0" w14:textId="77777777" w:rsidR="00443399" w:rsidRPr="00B03B51" w:rsidRDefault="00443399" w:rsidP="00BD4F89">
      <w:pPr>
        <w:jc w:val="center"/>
        <w:rPr>
          <w:rFonts w:ascii="Times New Roman" w:hAnsi="Times New Roman" w:cs="Times New Roman"/>
          <w:b/>
          <w:noProof/>
          <w:sz w:val="24"/>
        </w:rPr>
      </w:pPr>
      <w:r w:rsidRPr="00B03B51">
        <w:rPr>
          <w:rFonts w:ascii="Times New Roman" w:hAnsi="Times New Roman" w:cs="Times New Roman"/>
          <w:noProof/>
        </w:rPr>
        <w:lastRenderedPageBreak/>
        <w:drawing>
          <wp:inline distT="0" distB="0" distL="0" distR="0" wp14:anchorId="6C636606" wp14:editId="3C4DDC41">
            <wp:extent cx="5756275" cy="3448050"/>
            <wp:effectExtent l="0" t="0" r="0" b="0"/>
            <wp:docPr id="174" name="Attēls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4"/>
                    <a:stretch>
                      <a:fillRect/>
                    </a:stretch>
                  </pic:blipFill>
                  <pic:spPr>
                    <a:xfrm>
                      <a:off x="0" y="0"/>
                      <a:ext cx="5756275" cy="3448050"/>
                    </a:xfrm>
                    <a:prstGeom prst="rect">
                      <a:avLst/>
                    </a:prstGeom>
                  </pic:spPr>
                </pic:pic>
              </a:graphicData>
            </a:graphic>
          </wp:inline>
        </w:drawing>
      </w:r>
    </w:p>
    <w:p w14:paraId="4BE99902" w14:textId="77777777" w:rsidR="00443399" w:rsidRPr="00B03B51" w:rsidRDefault="00443399" w:rsidP="00443399">
      <w:pPr>
        <w:jc w:val="both"/>
        <w:rPr>
          <w:rFonts w:ascii="Times New Roman" w:eastAsia="Arial" w:hAnsi="Times New Roman" w:cs="Times New Roman"/>
          <w:noProof/>
          <w:sz w:val="24"/>
          <w:szCs w:val="14"/>
        </w:rPr>
      </w:pPr>
    </w:p>
    <w:p w14:paraId="5B9FCB60"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 xml:space="preserve">3) Alternatīvais variants: gadā </w:t>
      </w:r>
      <w:r w:rsidRPr="00B03B51">
        <w:rPr>
          <w:rFonts w:ascii="Times New Roman" w:hAnsi="Times New Roman" w:cs="Times New Roman"/>
          <w:i/>
          <w:iCs/>
          <w:sz w:val="24"/>
        </w:rPr>
        <w:t>t+1</w:t>
      </w:r>
      <w:r w:rsidRPr="00B03B51">
        <w:rPr>
          <w:rFonts w:ascii="Times New Roman" w:hAnsi="Times New Roman" w:cs="Times New Roman"/>
          <w:sz w:val="24"/>
        </w:rPr>
        <w:t xml:space="preserve"> finanšu iestādei ir jāizpērk savs parāds par 70 naudas vienībām. Problemātiskie aktīvi pārdoti par 40 naudas vienībām, tādējādi realizētie zaudējumi par aktīviem ir 60 (nevis, kā prognozēts iepriekš, 70 naudas vienības). Valdība pārskaita naudas summu (no aizņēmumiem tirgos).</w:t>
      </w:r>
    </w:p>
    <w:p w14:paraId="1C4A0010" w14:textId="77777777" w:rsidR="00443399" w:rsidRPr="00B03B51" w:rsidRDefault="00443399" w:rsidP="00443399">
      <w:pPr>
        <w:jc w:val="both"/>
        <w:rPr>
          <w:rFonts w:ascii="Times New Roman" w:eastAsia="Arial" w:hAnsi="Times New Roman" w:cs="Times New Roman"/>
          <w:noProof/>
          <w:sz w:val="24"/>
          <w:szCs w:val="28"/>
        </w:rPr>
      </w:pPr>
    </w:p>
    <w:p w14:paraId="5DF125A6" w14:textId="77777777" w:rsidR="00443399" w:rsidRPr="00B03B51" w:rsidRDefault="00443399" w:rsidP="00BD4F89">
      <w:pPr>
        <w:jc w:val="center"/>
        <w:rPr>
          <w:rFonts w:ascii="Times New Roman" w:hAnsi="Times New Roman" w:cs="Times New Roman"/>
          <w:noProof/>
          <w:sz w:val="24"/>
        </w:rPr>
      </w:pPr>
      <w:r w:rsidRPr="00B03B51">
        <w:rPr>
          <w:rFonts w:ascii="Times New Roman" w:hAnsi="Times New Roman" w:cs="Times New Roman"/>
          <w:noProof/>
        </w:rPr>
        <w:drawing>
          <wp:inline distT="0" distB="0" distL="0" distR="0" wp14:anchorId="12078EFF" wp14:editId="470576E5">
            <wp:extent cx="5756275" cy="1492885"/>
            <wp:effectExtent l="0" t="0" r="0" b="0"/>
            <wp:docPr id="99" name="Attēls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5"/>
                    <a:stretch>
                      <a:fillRect/>
                    </a:stretch>
                  </pic:blipFill>
                  <pic:spPr>
                    <a:xfrm>
                      <a:off x="0" y="0"/>
                      <a:ext cx="5756275" cy="1492885"/>
                    </a:xfrm>
                    <a:prstGeom prst="rect">
                      <a:avLst/>
                    </a:prstGeom>
                  </pic:spPr>
                </pic:pic>
              </a:graphicData>
            </a:graphic>
          </wp:inline>
        </w:drawing>
      </w:r>
    </w:p>
    <w:p w14:paraId="073E4838" w14:textId="77777777" w:rsidR="00443399" w:rsidRPr="00B03B51" w:rsidRDefault="00443399" w:rsidP="00443399">
      <w:pPr>
        <w:jc w:val="center"/>
        <w:rPr>
          <w:rFonts w:ascii="Times New Roman" w:eastAsia="Arial" w:hAnsi="Times New Roman" w:cs="Times New Roman"/>
          <w:noProof/>
          <w:sz w:val="24"/>
          <w:szCs w:val="20"/>
        </w:rPr>
      </w:pPr>
      <w:r w:rsidRPr="00B03B51">
        <w:rPr>
          <w:rFonts w:ascii="Times New Roman" w:hAnsi="Times New Roman" w:cs="Times New Roman"/>
          <w:noProof/>
        </w:rPr>
        <w:lastRenderedPageBreak/>
        <w:drawing>
          <wp:inline distT="0" distB="0" distL="0" distR="0" wp14:anchorId="37AF1A1D" wp14:editId="5389AC17">
            <wp:extent cx="5756275" cy="4091305"/>
            <wp:effectExtent l="0" t="0" r="0" b="4445"/>
            <wp:docPr id="100" name="Attēls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6"/>
                    <a:stretch>
                      <a:fillRect/>
                    </a:stretch>
                  </pic:blipFill>
                  <pic:spPr>
                    <a:xfrm>
                      <a:off x="0" y="0"/>
                      <a:ext cx="5756275" cy="4091305"/>
                    </a:xfrm>
                    <a:prstGeom prst="rect">
                      <a:avLst/>
                    </a:prstGeom>
                  </pic:spPr>
                </pic:pic>
              </a:graphicData>
            </a:graphic>
          </wp:inline>
        </w:drawing>
      </w:r>
    </w:p>
    <w:p w14:paraId="7B6549EE" w14:textId="77777777" w:rsidR="00443399" w:rsidRPr="00B03B51" w:rsidRDefault="00443399" w:rsidP="00443399">
      <w:pPr>
        <w:jc w:val="both"/>
        <w:rPr>
          <w:rFonts w:ascii="Times New Roman" w:eastAsia="Arial" w:hAnsi="Times New Roman" w:cs="Times New Roman"/>
          <w:noProof/>
          <w:sz w:val="24"/>
          <w:szCs w:val="19"/>
        </w:rPr>
      </w:pPr>
    </w:p>
    <w:p w14:paraId="77D23B80" w14:textId="77777777" w:rsidR="00443399" w:rsidRPr="00B03B51" w:rsidRDefault="00443399" w:rsidP="00443399">
      <w:pPr>
        <w:jc w:val="both"/>
        <w:rPr>
          <w:rFonts w:ascii="Times New Roman" w:hAnsi="Times New Roman" w:cs="Times New Roman"/>
          <w:b/>
          <w:noProof/>
          <w:sz w:val="24"/>
        </w:rPr>
      </w:pPr>
      <w:r w:rsidRPr="00B03B51">
        <w:rPr>
          <w:rFonts w:ascii="Times New Roman" w:hAnsi="Times New Roman" w:cs="Times New Roman"/>
          <w:b/>
          <w:sz w:val="24"/>
        </w:rPr>
        <w:t>Standartizētās garantijas – gadījums, kad valdība neiekasē maksu</w:t>
      </w:r>
    </w:p>
    <w:p w14:paraId="57418A12" w14:textId="77777777" w:rsidR="00443399" w:rsidRPr="00B03B51" w:rsidRDefault="00443399" w:rsidP="00443399">
      <w:pPr>
        <w:jc w:val="both"/>
        <w:rPr>
          <w:rFonts w:ascii="Times New Roman" w:eastAsia="Arial" w:hAnsi="Times New Roman" w:cs="Times New Roman"/>
          <w:b/>
          <w:bCs/>
          <w:noProof/>
          <w:sz w:val="24"/>
        </w:rPr>
      </w:pPr>
    </w:p>
    <w:p w14:paraId="085AB606" w14:textId="77777777" w:rsidR="00443399" w:rsidRPr="00B03B51" w:rsidRDefault="00443399" w:rsidP="00443399">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t>Valdība izsniedz garantiju attiecībā uz aizdevumiem, kurus izdevušas noteiktas finanšu iestādes (valdība neiekasē maksu par šo garantiju, proti, tā nerīkojas saskaņā ar komerciālām interesēm, un gadījumā, ja maksa ir paredzēta, tā nepārsniedz valdības administratīvās izmaksas).</w:t>
      </w:r>
    </w:p>
    <w:p w14:paraId="1B05C3B9" w14:textId="77777777" w:rsidR="00443399" w:rsidRPr="00B03B51" w:rsidRDefault="00443399" w:rsidP="00443399">
      <w:pPr>
        <w:pStyle w:val="BodyText"/>
        <w:spacing w:before="0"/>
        <w:ind w:left="0" w:firstLine="0"/>
        <w:jc w:val="both"/>
        <w:rPr>
          <w:rFonts w:ascii="Times New Roman" w:hAnsi="Times New Roman" w:cs="Times New Roman"/>
          <w:noProof/>
          <w:sz w:val="24"/>
        </w:rPr>
      </w:pPr>
    </w:p>
    <w:p w14:paraId="473244E2" w14:textId="77777777" w:rsidR="00443399" w:rsidRPr="00B03B51" w:rsidRDefault="00443399" w:rsidP="00443399">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t>Aizdevumu sākumā valdība izveido saistības (uzkrājumi standarta garantiju prasījumiem (AF.66)), pamatojoties uz prognozi, ka 20 % no aizdevumiem radīs valdībai zaudējumus 20 naudas vienību apmērā par katru 100 naudas vienību apmērā piešķirto summu (vienkāršošanas nolūkā tiek uzskatīts, ka šādas garantijas sagatavošanas izmaksas ir nulle).</w:t>
      </w:r>
    </w:p>
    <w:p w14:paraId="6E89602D" w14:textId="77777777" w:rsidR="00443399" w:rsidRPr="00B03B51" w:rsidRDefault="00443399" w:rsidP="00443399">
      <w:pPr>
        <w:jc w:val="both"/>
        <w:rPr>
          <w:rFonts w:ascii="Times New Roman" w:eastAsia="Arial" w:hAnsi="Times New Roman" w:cs="Times New Roman"/>
          <w:noProof/>
          <w:sz w:val="24"/>
          <w:szCs w:val="28"/>
        </w:rPr>
      </w:pPr>
    </w:p>
    <w:p w14:paraId="273B8287" w14:textId="77777777" w:rsidR="00443399" w:rsidRPr="00B03B51" w:rsidRDefault="00443399" w:rsidP="00443399">
      <w:pPr>
        <w:jc w:val="center"/>
        <w:rPr>
          <w:rFonts w:ascii="Times New Roman" w:eastAsia="Arial" w:hAnsi="Times New Roman" w:cs="Times New Roman"/>
          <w:noProof/>
          <w:sz w:val="24"/>
          <w:szCs w:val="19"/>
        </w:rPr>
      </w:pPr>
      <w:r w:rsidRPr="00B03B51">
        <w:rPr>
          <w:rFonts w:ascii="Times New Roman" w:hAnsi="Times New Roman" w:cs="Times New Roman"/>
          <w:noProof/>
        </w:rPr>
        <w:drawing>
          <wp:inline distT="0" distB="0" distL="0" distR="0" wp14:anchorId="639BDB39" wp14:editId="6D3616FC">
            <wp:extent cx="5756275" cy="2270125"/>
            <wp:effectExtent l="0" t="0" r="0" b="0"/>
            <wp:docPr id="101" name="Attēls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7"/>
                    <a:stretch>
                      <a:fillRect/>
                    </a:stretch>
                  </pic:blipFill>
                  <pic:spPr>
                    <a:xfrm>
                      <a:off x="0" y="0"/>
                      <a:ext cx="5756275" cy="2270125"/>
                    </a:xfrm>
                    <a:prstGeom prst="rect">
                      <a:avLst/>
                    </a:prstGeom>
                  </pic:spPr>
                </pic:pic>
              </a:graphicData>
            </a:graphic>
          </wp:inline>
        </w:drawing>
      </w:r>
    </w:p>
    <w:p w14:paraId="310B4957" w14:textId="77777777" w:rsidR="00443399" w:rsidRPr="00B03B51" w:rsidRDefault="00443399" w:rsidP="00443399">
      <w:pPr>
        <w:jc w:val="center"/>
        <w:rPr>
          <w:rFonts w:ascii="Times New Roman" w:eastAsia="Arial" w:hAnsi="Times New Roman" w:cs="Times New Roman"/>
          <w:noProof/>
          <w:sz w:val="24"/>
          <w:szCs w:val="19"/>
        </w:rPr>
      </w:pPr>
      <w:r w:rsidRPr="00B03B51">
        <w:rPr>
          <w:rFonts w:ascii="Times New Roman" w:hAnsi="Times New Roman" w:cs="Times New Roman"/>
          <w:noProof/>
        </w:rPr>
        <w:lastRenderedPageBreak/>
        <w:drawing>
          <wp:inline distT="0" distB="0" distL="0" distR="0" wp14:anchorId="4F1CB65C" wp14:editId="1B8CC828">
            <wp:extent cx="5756275" cy="2724785"/>
            <wp:effectExtent l="0" t="0" r="0" b="0"/>
            <wp:docPr id="102" name="Attēls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8"/>
                    <a:stretch>
                      <a:fillRect/>
                    </a:stretch>
                  </pic:blipFill>
                  <pic:spPr>
                    <a:xfrm>
                      <a:off x="0" y="0"/>
                      <a:ext cx="5756275" cy="2724785"/>
                    </a:xfrm>
                    <a:prstGeom prst="rect">
                      <a:avLst/>
                    </a:prstGeom>
                  </pic:spPr>
                </pic:pic>
              </a:graphicData>
            </a:graphic>
          </wp:inline>
        </w:drawing>
      </w:r>
    </w:p>
    <w:p w14:paraId="19094F59" w14:textId="77777777" w:rsidR="00443399" w:rsidRPr="00B03B51" w:rsidRDefault="00443399" w:rsidP="00443399">
      <w:pPr>
        <w:jc w:val="center"/>
        <w:rPr>
          <w:rFonts w:ascii="Times New Roman" w:eastAsia="Arial" w:hAnsi="Times New Roman" w:cs="Times New Roman"/>
          <w:noProof/>
          <w:sz w:val="24"/>
          <w:szCs w:val="20"/>
        </w:rPr>
      </w:pPr>
    </w:p>
    <w:p w14:paraId="1535BA6A" w14:textId="77777777" w:rsidR="00443399" w:rsidRPr="00B03B51" w:rsidRDefault="00443399" w:rsidP="00443399">
      <w:pPr>
        <w:jc w:val="both"/>
        <w:rPr>
          <w:rFonts w:ascii="Times New Roman" w:eastAsia="Arial" w:hAnsi="Times New Roman" w:cs="Times New Roman"/>
          <w:noProof/>
          <w:sz w:val="24"/>
          <w:szCs w:val="20"/>
        </w:rPr>
      </w:pPr>
    </w:p>
    <w:p w14:paraId="493D2702" w14:textId="77777777" w:rsidR="00443399" w:rsidRPr="00B03B51" w:rsidRDefault="00443399" w:rsidP="00443399">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t>Gadā </w:t>
      </w:r>
      <w:r w:rsidRPr="00B03B51">
        <w:rPr>
          <w:rFonts w:ascii="Times New Roman" w:hAnsi="Times New Roman" w:cs="Times New Roman"/>
          <w:i/>
          <w:iCs/>
          <w:sz w:val="24"/>
        </w:rPr>
        <w:t>t</w:t>
      </w:r>
      <w:r w:rsidRPr="00B03B51">
        <w:rPr>
          <w:rFonts w:ascii="Times New Roman" w:hAnsi="Times New Roman" w:cs="Times New Roman"/>
          <w:sz w:val="24"/>
        </w:rPr>
        <w:t xml:space="preserve"> tiek pieprasīts izmantot garantiju, pamatojoties uz to, ka debitors nav izpildījis saistības (šajā gadījumā 20 naudas vienību apmērā); valdība emitē obligāciju, lai iegūtu nepieciešamos naudas līdzekļus.</w:t>
      </w:r>
    </w:p>
    <w:p w14:paraId="4A0E61E6" w14:textId="77777777" w:rsidR="00443399" w:rsidRPr="00B03B51" w:rsidRDefault="00443399" w:rsidP="00443399">
      <w:pPr>
        <w:jc w:val="both"/>
        <w:rPr>
          <w:rFonts w:ascii="Times New Roman" w:eastAsia="Arial" w:hAnsi="Times New Roman" w:cs="Times New Roman"/>
          <w:noProof/>
          <w:sz w:val="24"/>
          <w:szCs w:val="28"/>
        </w:rPr>
      </w:pPr>
    </w:p>
    <w:p w14:paraId="431DFAFA" w14:textId="77777777" w:rsidR="00BD4F89" w:rsidRPr="00B03B51" w:rsidRDefault="00443399" w:rsidP="00443399">
      <w:pPr>
        <w:pStyle w:val="BodyText"/>
        <w:tabs>
          <w:tab w:val="left" w:pos="2515"/>
          <w:tab w:val="left" w:pos="3187"/>
          <w:tab w:val="left" w:pos="4694"/>
          <w:tab w:val="left" w:pos="4803"/>
          <w:tab w:val="left" w:pos="5232"/>
          <w:tab w:val="left" w:pos="9030"/>
        </w:tabs>
        <w:spacing w:before="0"/>
        <w:ind w:left="0" w:firstLine="0"/>
        <w:jc w:val="center"/>
        <w:rPr>
          <w:rFonts w:ascii="Times New Roman" w:hAnsi="Times New Roman" w:cs="Times New Roman"/>
        </w:rPr>
      </w:pPr>
      <w:r w:rsidRPr="00B03B51">
        <w:rPr>
          <w:rFonts w:ascii="Times New Roman" w:hAnsi="Times New Roman" w:cs="Times New Roman"/>
          <w:noProof/>
        </w:rPr>
        <w:lastRenderedPageBreak/>
        <w:drawing>
          <wp:inline distT="0" distB="0" distL="0" distR="0" wp14:anchorId="02E76D1E" wp14:editId="0351CF6D">
            <wp:extent cx="5756275" cy="5334000"/>
            <wp:effectExtent l="0" t="0" r="0" b="0"/>
            <wp:docPr id="103" name="Attēls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9"/>
                    <a:stretch>
                      <a:fillRect/>
                    </a:stretch>
                  </pic:blipFill>
                  <pic:spPr>
                    <a:xfrm>
                      <a:off x="0" y="0"/>
                      <a:ext cx="5756275" cy="5334000"/>
                    </a:xfrm>
                    <a:prstGeom prst="rect">
                      <a:avLst/>
                    </a:prstGeom>
                  </pic:spPr>
                </pic:pic>
              </a:graphicData>
            </a:graphic>
          </wp:inline>
        </w:drawing>
      </w:r>
    </w:p>
    <w:p w14:paraId="24CE9D28" w14:textId="4950FD9B" w:rsidR="00443399" w:rsidRPr="00B03B51" w:rsidRDefault="00443399" w:rsidP="00BD4F89">
      <w:pPr>
        <w:pStyle w:val="BodyText"/>
        <w:tabs>
          <w:tab w:val="left" w:pos="2515"/>
          <w:tab w:val="left" w:pos="3187"/>
          <w:tab w:val="left" w:pos="4694"/>
          <w:tab w:val="left" w:pos="4803"/>
          <w:tab w:val="left" w:pos="5232"/>
          <w:tab w:val="left" w:pos="9030"/>
        </w:tabs>
        <w:spacing w:before="0"/>
        <w:ind w:left="0" w:firstLine="0"/>
        <w:rPr>
          <w:rFonts w:ascii="Times New Roman" w:hAnsi="Times New Roman" w:cs="Times New Roman"/>
          <w:noProof/>
          <w:sz w:val="24"/>
        </w:rPr>
      </w:pPr>
      <w:r w:rsidRPr="00B03B51">
        <w:rPr>
          <w:rFonts w:ascii="Times New Roman" w:hAnsi="Times New Roman" w:cs="Times New Roman"/>
        </w:rPr>
        <w:br w:type="page"/>
      </w:r>
    </w:p>
    <w:p w14:paraId="256FD0E3" w14:textId="77777777" w:rsidR="00443399" w:rsidRPr="00B03B51" w:rsidRDefault="00443399" w:rsidP="00443399">
      <w:pPr>
        <w:pStyle w:val="BodyText"/>
        <w:tabs>
          <w:tab w:val="left" w:pos="2515"/>
          <w:tab w:val="left" w:pos="3187"/>
          <w:tab w:val="left" w:pos="4694"/>
          <w:tab w:val="left" w:pos="4803"/>
          <w:tab w:val="left" w:pos="5232"/>
          <w:tab w:val="left" w:pos="9030"/>
        </w:tabs>
        <w:spacing w:before="0"/>
        <w:ind w:left="0" w:firstLine="0"/>
        <w:jc w:val="both"/>
        <w:rPr>
          <w:rFonts w:ascii="Times New Roman" w:hAnsi="Times New Roman" w:cs="Times New Roman"/>
          <w:noProof/>
          <w:sz w:val="24"/>
        </w:rPr>
      </w:pPr>
    </w:p>
    <w:p w14:paraId="4DAD67A2" w14:textId="77777777" w:rsidR="00443399" w:rsidRPr="00B03B51" w:rsidRDefault="00443399" w:rsidP="00443399">
      <w:pPr>
        <w:pStyle w:val="Heading2"/>
        <w:tabs>
          <w:tab w:val="left" w:pos="1418"/>
        </w:tabs>
        <w:spacing w:before="0"/>
        <w:ind w:left="0" w:firstLine="0"/>
        <w:jc w:val="both"/>
        <w:rPr>
          <w:rFonts w:ascii="Times New Roman" w:hAnsi="Times New Roman" w:cs="Times New Roman"/>
          <w:noProof/>
          <w:sz w:val="28"/>
          <w:szCs w:val="44"/>
        </w:rPr>
      </w:pPr>
      <w:bookmarkStart w:id="599" w:name="7.5_Keywords_and_accounting_references"/>
      <w:bookmarkStart w:id="600" w:name="_bookmark59"/>
      <w:bookmarkStart w:id="601" w:name="_Toc67565212"/>
      <w:bookmarkEnd w:id="599"/>
      <w:bookmarkEnd w:id="600"/>
      <w:r w:rsidRPr="00B03B51">
        <w:rPr>
          <w:rFonts w:ascii="Times New Roman" w:hAnsi="Times New Roman" w:cs="Times New Roman"/>
          <w:sz w:val="28"/>
          <w:szCs w:val="44"/>
        </w:rPr>
        <w:t>7.5. Atslēgvārdi un atsauces</w:t>
      </w:r>
      <w:bookmarkEnd w:id="601"/>
    </w:p>
    <w:p w14:paraId="106DA385" w14:textId="77777777" w:rsidR="00443399" w:rsidRPr="00B03B51" w:rsidRDefault="00443399" w:rsidP="00443399">
      <w:pPr>
        <w:jc w:val="both"/>
        <w:rPr>
          <w:rFonts w:ascii="Times New Roman" w:eastAsia="Arial" w:hAnsi="Times New Roman" w:cs="Times New Roman"/>
          <w:b/>
          <w:bCs/>
          <w:noProof/>
          <w:sz w:val="24"/>
          <w:szCs w:val="23"/>
        </w:rPr>
      </w:pPr>
    </w:p>
    <w:tbl>
      <w:tblPr>
        <w:tblW w:w="5000" w:type="pct"/>
        <w:tblCellMar>
          <w:top w:w="28" w:type="dxa"/>
          <w:left w:w="28" w:type="dxa"/>
          <w:bottom w:w="28" w:type="dxa"/>
          <w:right w:w="28" w:type="dxa"/>
        </w:tblCellMar>
        <w:tblLook w:val="01E0" w:firstRow="1" w:lastRow="1" w:firstColumn="1" w:lastColumn="1" w:noHBand="0" w:noVBand="0"/>
      </w:tblPr>
      <w:tblGrid>
        <w:gridCol w:w="5395"/>
        <w:gridCol w:w="3676"/>
      </w:tblGrid>
      <w:tr w:rsidR="00443399" w:rsidRPr="00B03B51" w14:paraId="4521DE89" w14:textId="77777777" w:rsidTr="0054365B">
        <w:tc>
          <w:tcPr>
            <w:tcW w:w="2974" w:type="pct"/>
            <w:tcBorders>
              <w:top w:val="nil"/>
              <w:left w:val="nil"/>
              <w:bottom w:val="nil"/>
              <w:right w:val="nil"/>
            </w:tcBorders>
          </w:tcPr>
          <w:p w14:paraId="5926EDD9" w14:textId="3B379146" w:rsidR="00443399" w:rsidRPr="00B03B51" w:rsidRDefault="00443399" w:rsidP="0054365B">
            <w:pPr>
              <w:pStyle w:val="TableParagraph"/>
              <w:jc w:val="both"/>
              <w:rPr>
                <w:rFonts w:ascii="Times New Roman" w:hAnsi="Times New Roman" w:cs="Times New Roman"/>
                <w:noProof/>
                <w:sz w:val="24"/>
              </w:rPr>
            </w:pPr>
            <w:r w:rsidRPr="00B03B51">
              <w:rPr>
                <w:rFonts w:ascii="Times New Roman" w:hAnsi="Times New Roman" w:cs="Times New Roman"/>
                <w:sz w:val="24"/>
              </w:rPr>
              <w:t xml:space="preserve">Parāda pārņemšana, parāda </w:t>
            </w:r>
            <w:r w:rsidR="00E11BC4" w:rsidRPr="00B03B51">
              <w:rPr>
                <w:rFonts w:ascii="Times New Roman" w:hAnsi="Times New Roman" w:cs="Times New Roman"/>
                <w:sz w:val="24"/>
              </w:rPr>
              <w:t>anulēšana</w:t>
            </w:r>
            <w:r w:rsidRPr="00B03B51">
              <w:rPr>
                <w:rFonts w:ascii="Times New Roman" w:hAnsi="Times New Roman" w:cs="Times New Roman"/>
                <w:sz w:val="24"/>
              </w:rPr>
              <w:t>, norakstīšana</w:t>
            </w:r>
          </w:p>
        </w:tc>
        <w:tc>
          <w:tcPr>
            <w:tcW w:w="2026" w:type="pct"/>
            <w:tcBorders>
              <w:top w:val="nil"/>
              <w:left w:val="nil"/>
              <w:bottom w:val="nil"/>
              <w:right w:val="nil"/>
            </w:tcBorders>
          </w:tcPr>
          <w:p w14:paraId="457F7114" w14:textId="77777777" w:rsidR="00443399" w:rsidRPr="00B03B51" w:rsidRDefault="00443399" w:rsidP="0054365B">
            <w:pPr>
              <w:pStyle w:val="TableParagraph"/>
              <w:jc w:val="both"/>
              <w:rPr>
                <w:rFonts w:ascii="Times New Roman" w:hAnsi="Times New Roman" w:cs="Times New Roman"/>
                <w:noProof/>
                <w:sz w:val="24"/>
              </w:rPr>
            </w:pPr>
            <w:r w:rsidRPr="00B03B51">
              <w:rPr>
                <w:rFonts w:ascii="Times New Roman" w:hAnsi="Times New Roman" w:cs="Times New Roman"/>
                <w:sz w:val="24"/>
              </w:rPr>
              <w:t>EKS 2010, 5.36.–5.39., 6.14. punkts</w:t>
            </w:r>
          </w:p>
        </w:tc>
      </w:tr>
      <w:tr w:rsidR="00443399" w:rsidRPr="00B03B51" w14:paraId="4AC12DA6" w14:textId="77777777" w:rsidTr="0054365B">
        <w:tc>
          <w:tcPr>
            <w:tcW w:w="2974" w:type="pct"/>
            <w:tcBorders>
              <w:top w:val="nil"/>
              <w:left w:val="nil"/>
              <w:bottom w:val="nil"/>
              <w:right w:val="nil"/>
            </w:tcBorders>
          </w:tcPr>
          <w:p w14:paraId="3F63188B" w14:textId="77777777" w:rsidR="00443399" w:rsidRPr="00B03B51" w:rsidRDefault="00443399" w:rsidP="0054365B">
            <w:pPr>
              <w:pStyle w:val="TableParagraph"/>
              <w:jc w:val="both"/>
              <w:rPr>
                <w:rFonts w:ascii="Times New Roman" w:hAnsi="Times New Roman" w:cs="Times New Roman"/>
                <w:noProof/>
                <w:sz w:val="24"/>
              </w:rPr>
            </w:pPr>
            <w:r w:rsidRPr="00B03B51">
              <w:rPr>
                <w:rFonts w:ascii="Times New Roman" w:hAnsi="Times New Roman" w:cs="Times New Roman"/>
                <w:sz w:val="24"/>
              </w:rPr>
              <w:t>Cits kapitāla pārvedums</w:t>
            </w:r>
          </w:p>
        </w:tc>
        <w:tc>
          <w:tcPr>
            <w:tcW w:w="2026" w:type="pct"/>
            <w:tcBorders>
              <w:top w:val="nil"/>
              <w:left w:val="nil"/>
              <w:bottom w:val="nil"/>
              <w:right w:val="nil"/>
            </w:tcBorders>
          </w:tcPr>
          <w:p w14:paraId="57B1601D" w14:textId="77777777" w:rsidR="00443399" w:rsidRPr="00B03B51" w:rsidRDefault="00443399" w:rsidP="0054365B">
            <w:pPr>
              <w:pStyle w:val="TableParagraph"/>
              <w:jc w:val="both"/>
              <w:rPr>
                <w:rFonts w:ascii="Times New Roman" w:hAnsi="Times New Roman" w:cs="Times New Roman"/>
                <w:noProof/>
                <w:sz w:val="24"/>
              </w:rPr>
            </w:pPr>
            <w:r w:rsidRPr="00B03B51">
              <w:rPr>
                <w:rFonts w:ascii="Times New Roman" w:hAnsi="Times New Roman" w:cs="Times New Roman"/>
                <w:sz w:val="24"/>
              </w:rPr>
              <w:t>EKS 2010, 4.164.–4.167. punkts</w:t>
            </w:r>
          </w:p>
        </w:tc>
      </w:tr>
      <w:tr w:rsidR="00443399" w:rsidRPr="00B03B51" w14:paraId="77EFA15B" w14:textId="77777777" w:rsidTr="0054365B">
        <w:tc>
          <w:tcPr>
            <w:tcW w:w="2974" w:type="pct"/>
            <w:tcBorders>
              <w:top w:val="nil"/>
              <w:left w:val="nil"/>
              <w:bottom w:val="nil"/>
              <w:right w:val="nil"/>
            </w:tcBorders>
          </w:tcPr>
          <w:p w14:paraId="70010F78" w14:textId="77777777" w:rsidR="00443399" w:rsidRPr="00B03B51" w:rsidRDefault="00443399" w:rsidP="0054365B">
            <w:pPr>
              <w:pStyle w:val="TableParagraph"/>
              <w:jc w:val="both"/>
              <w:rPr>
                <w:rFonts w:ascii="Times New Roman" w:hAnsi="Times New Roman" w:cs="Times New Roman"/>
                <w:noProof/>
                <w:sz w:val="24"/>
              </w:rPr>
            </w:pPr>
            <w:r w:rsidRPr="00B03B51">
              <w:rPr>
                <w:rFonts w:ascii="Times New Roman" w:hAnsi="Times New Roman" w:cs="Times New Roman"/>
                <w:sz w:val="24"/>
              </w:rPr>
              <w:t>Iespējams aktīvs/saistība</w:t>
            </w:r>
          </w:p>
        </w:tc>
        <w:tc>
          <w:tcPr>
            <w:tcW w:w="2026" w:type="pct"/>
            <w:tcBorders>
              <w:top w:val="nil"/>
              <w:left w:val="nil"/>
              <w:bottom w:val="nil"/>
              <w:right w:val="nil"/>
            </w:tcBorders>
          </w:tcPr>
          <w:p w14:paraId="73BB6A73" w14:textId="77777777" w:rsidR="00443399" w:rsidRPr="00B03B51" w:rsidRDefault="00443399" w:rsidP="0054365B">
            <w:pPr>
              <w:pStyle w:val="TableParagraph"/>
              <w:jc w:val="both"/>
              <w:rPr>
                <w:rFonts w:ascii="Times New Roman" w:hAnsi="Times New Roman" w:cs="Times New Roman"/>
                <w:noProof/>
                <w:sz w:val="24"/>
              </w:rPr>
            </w:pPr>
            <w:r w:rsidRPr="00B03B51">
              <w:rPr>
                <w:rFonts w:ascii="Times New Roman" w:hAnsi="Times New Roman" w:cs="Times New Roman"/>
                <w:sz w:val="24"/>
              </w:rPr>
              <w:t>EKS 2010, 5.08.–5.11. punkts</w:t>
            </w:r>
          </w:p>
        </w:tc>
      </w:tr>
    </w:tbl>
    <w:p w14:paraId="1888E3AA" w14:textId="77777777" w:rsidR="00443399" w:rsidRPr="00B03B51" w:rsidRDefault="00443399" w:rsidP="00443399">
      <w:pPr>
        <w:rPr>
          <w:rFonts w:ascii="Times New Roman" w:eastAsia="Arial" w:hAnsi="Times New Roman" w:cs="Times New Roman"/>
          <w:b/>
          <w:bCs/>
          <w:noProof/>
          <w:sz w:val="24"/>
          <w:szCs w:val="20"/>
        </w:rPr>
      </w:pPr>
      <w:r w:rsidRPr="00B03B51">
        <w:rPr>
          <w:rFonts w:ascii="Times New Roman" w:hAnsi="Times New Roman" w:cs="Times New Roman"/>
        </w:rPr>
        <w:br w:type="page"/>
      </w:r>
    </w:p>
    <w:p w14:paraId="5692A5CE" w14:textId="77777777" w:rsidR="00443399" w:rsidRPr="00B03B51" w:rsidRDefault="00443399" w:rsidP="00443399">
      <w:pPr>
        <w:jc w:val="both"/>
        <w:rPr>
          <w:rFonts w:ascii="Times New Roman" w:eastAsia="Arial" w:hAnsi="Times New Roman" w:cs="Times New Roman"/>
          <w:b/>
          <w:bCs/>
          <w:noProof/>
          <w:sz w:val="24"/>
          <w:szCs w:val="56"/>
        </w:rPr>
      </w:pPr>
    </w:p>
    <w:p w14:paraId="52EFC0C1" w14:textId="77777777" w:rsidR="00443399" w:rsidRPr="00B03B51" w:rsidRDefault="00443399" w:rsidP="00443399">
      <w:pPr>
        <w:pStyle w:val="Heading1"/>
        <w:ind w:left="0"/>
        <w:jc w:val="both"/>
        <w:rPr>
          <w:rFonts w:ascii="Times New Roman" w:hAnsi="Times New Roman" w:cs="Times New Roman"/>
          <w:noProof/>
          <w:sz w:val="28"/>
          <w:szCs w:val="72"/>
        </w:rPr>
      </w:pPr>
      <w:bookmarkStart w:id="602" w:name="_Toc67565213"/>
      <w:r w:rsidRPr="00B03B51">
        <w:rPr>
          <w:rFonts w:ascii="Times New Roman" w:hAnsi="Times New Roman" w:cs="Times New Roman"/>
          <w:sz w:val="28"/>
          <w:szCs w:val="72"/>
        </w:rPr>
        <w:t>8. Vispārējās valdības parāda apmēra noteikšana</w:t>
      </w:r>
      <w:bookmarkEnd w:id="602"/>
    </w:p>
    <w:p w14:paraId="52C27BB0" w14:textId="77777777" w:rsidR="00443399" w:rsidRPr="00B03B51" w:rsidRDefault="00443399" w:rsidP="00443399">
      <w:pPr>
        <w:jc w:val="both"/>
        <w:rPr>
          <w:rFonts w:ascii="Times New Roman" w:eastAsia="Arial" w:hAnsi="Times New Roman" w:cs="Times New Roman"/>
          <w:b/>
          <w:bCs/>
          <w:noProof/>
          <w:sz w:val="24"/>
          <w:szCs w:val="24"/>
        </w:rPr>
      </w:pPr>
    </w:p>
    <w:p w14:paraId="0A0FE509" w14:textId="77777777" w:rsidR="00443399" w:rsidRPr="00B03B51" w:rsidRDefault="00443399" w:rsidP="00443399">
      <w:pPr>
        <w:pStyle w:val="Heading2"/>
        <w:spacing w:before="0"/>
        <w:ind w:left="0" w:firstLine="0"/>
        <w:jc w:val="both"/>
        <w:rPr>
          <w:rFonts w:ascii="Times New Roman" w:hAnsi="Times New Roman" w:cs="Times New Roman"/>
          <w:noProof/>
          <w:sz w:val="28"/>
          <w:szCs w:val="44"/>
        </w:rPr>
      </w:pPr>
      <w:bookmarkStart w:id="603" w:name="8.1_Overview"/>
      <w:bookmarkStart w:id="604" w:name="_bookmark61"/>
      <w:bookmarkStart w:id="605" w:name="_Toc67565214"/>
      <w:bookmarkEnd w:id="603"/>
      <w:bookmarkEnd w:id="604"/>
      <w:r w:rsidRPr="00B03B51">
        <w:rPr>
          <w:rFonts w:ascii="Times New Roman" w:hAnsi="Times New Roman" w:cs="Times New Roman"/>
          <w:sz w:val="28"/>
          <w:szCs w:val="44"/>
        </w:rPr>
        <w:t>8.1. Pārskats</w:t>
      </w:r>
      <w:bookmarkEnd w:id="605"/>
    </w:p>
    <w:p w14:paraId="1ED2326F" w14:textId="77777777" w:rsidR="00443399" w:rsidRPr="00B03B51" w:rsidRDefault="00443399" w:rsidP="00443399">
      <w:pPr>
        <w:pStyle w:val="BodyText"/>
        <w:tabs>
          <w:tab w:val="left" w:pos="1986"/>
        </w:tabs>
        <w:spacing w:before="0"/>
        <w:ind w:left="0" w:firstLine="0"/>
        <w:jc w:val="both"/>
        <w:rPr>
          <w:rFonts w:ascii="Times New Roman" w:hAnsi="Times New Roman" w:cs="Times New Roman"/>
          <w:noProof/>
          <w:sz w:val="24"/>
        </w:rPr>
      </w:pPr>
    </w:p>
    <w:p w14:paraId="00E58D97" w14:textId="77777777" w:rsidR="00443399" w:rsidRPr="00B03B51" w:rsidRDefault="00443399" w:rsidP="00443399">
      <w:pPr>
        <w:pStyle w:val="BodyText"/>
        <w:tabs>
          <w:tab w:val="left" w:pos="1986"/>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 2012. gada konsolidētajā Līgumā par Eiropas Savienības darbību (LESD) ir sniegta valdības parāda īpaša definīcija attiecībā uz pārmērīga budžeta deficīta novēršanas procedūru (</w:t>
      </w:r>
      <w:r w:rsidRPr="00B03B51">
        <w:rPr>
          <w:rFonts w:ascii="Times New Roman" w:hAnsi="Times New Roman" w:cs="Times New Roman"/>
          <w:i/>
          <w:iCs/>
          <w:sz w:val="24"/>
        </w:rPr>
        <w:t>EDP</w:t>
      </w:r>
      <w:r w:rsidRPr="00B03B51">
        <w:rPr>
          <w:rFonts w:ascii="Times New Roman" w:hAnsi="Times New Roman" w:cs="Times New Roman"/>
          <w:sz w:val="24"/>
        </w:rPr>
        <w:t xml:space="preserve">). Tā ir pilnībā saderīga ar EKS 2010 paredzēto valdības sektora definīciju un ietverto saistību definīciju. Tomēr </w:t>
      </w:r>
      <w:r w:rsidRPr="00B03B51">
        <w:rPr>
          <w:rFonts w:ascii="Times New Roman" w:hAnsi="Times New Roman" w:cs="Times New Roman"/>
          <w:i/>
          <w:iCs/>
          <w:sz w:val="24"/>
        </w:rPr>
        <w:t>EDP</w:t>
      </w:r>
      <w:r w:rsidRPr="00B03B51">
        <w:rPr>
          <w:rFonts w:ascii="Times New Roman" w:hAnsi="Times New Roman" w:cs="Times New Roman"/>
          <w:sz w:val="24"/>
        </w:rPr>
        <w:t xml:space="preserve"> valdības parāda vērtēšana atšķiras no EKS 2010 vērtēšanas noteikumiem, jo to mēra pēc norādītās vērtības.</w:t>
      </w:r>
    </w:p>
    <w:p w14:paraId="0175955A" w14:textId="77777777" w:rsidR="00443399" w:rsidRPr="00B03B51" w:rsidRDefault="00443399" w:rsidP="00443399">
      <w:pPr>
        <w:pStyle w:val="BodyText"/>
        <w:tabs>
          <w:tab w:val="left" w:pos="1986"/>
        </w:tabs>
        <w:spacing w:before="0"/>
        <w:ind w:left="0" w:firstLine="0"/>
        <w:jc w:val="both"/>
        <w:rPr>
          <w:rFonts w:ascii="Times New Roman" w:hAnsi="Times New Roman" w:cs="Times New Roman"/>
          <w:noProof/>
          <w:sz w:val="24"/>
        </w:rPr>
      </w:pPr>
    </w:p>
    <w:p w14:paraId="16EF59B8" w14:textId="77777777" w:rsidR="00443399" w:rsidRPr="00B03B51" w:rsidRDefault="00443399" w:rsidP="00443399">
      <w:pPr>
        <w:pStyle w:val="BodyText"/>
        <w:tabs>
          <w:tab w:val="left" w:pos="1986"/>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 xml:space="preserve">2. </w:t>
      </w:r>
      <w:r w:rsidRPr="00B03B51">
        <w:rPr>
          <w:rFonts w:ascii="Times New Roman" w:hAnsi="Times New Roman" w:cs="Times New Roman"/>
          <w:i/>
          <w:iCs/>
          <w:sz w:val="24"/>
        </w:rPr>
        <w:t>EDP</w:t>
      </w:r>
      <w:r w:rsidRPr="00B03B51">
        <w:rPr>
          <w:rFonts w:ascii="Times New Roman" w:hAnsi="Times New Roman" w:cs="Times New Roman"/>
          <w:sz w:val="24"/>
        </w:rPr>
        <w:t xml:space="preserve"> vajadzībām (skat. Padomes Regulu (EK) Nr. 479/2009) uzskatāms, ka nominālvērtība ir līdzvērtīga saistību norādītajai vērtībai (ko dēvē arī par “nominālu”). EKS 2010 bilancē vērtību nosaka pēc tirgus vērtības lielākai daļai kategoriju, un arī pēc nominālvērtības attiecīgā gadījumā.</w:t>
      </w:r>
    </w:p>
    <w:p w14:paraId="77519369" w14:textId="77777777" w:rsidR="00443399" w:rsidRPr="00B03B51" w:rsidRDefault="00443399" w:rsidP="00443399">
      <w:pPr>
        <w:tabs>
          <w:tab w:val="left" w:pos="1986"/>
        </w:tabs>
        <w:jc w:val="both"/>
        <w:rPr>
          <w:rFonts w:ascii="Times New Roman" w:hAnsi="Times New Roman" w:cs="Times New Roman"/>
          <w:noProof/>
          <w:sz w:val="24"/>
        </w:rPr>
      </w:pPr>
    </w:p>
    <w:p w14:paraId="0F91111B" w14:textId="77777777" w:rsidR="00443399" w:rsidRPr="00B03B51" w:rsidRDefault="00443399" w:rsidP="00443399">
      <w:pPr>
        <w:tabs>
          <w:tab w:val="left" w:pos="1986"/>
        </w:tabs>
        <w:jc w:val="both"/>
        <w:rPr>
          <w:rFonts w:ascii="Times New Roman" w:eastAsia="Arial" w:hAnsi="Times New Roman" w:cs="Times New Roman"/>
          <w:noProof/>
          <w:sz w:val="24"/>
          <w:szCs w:val="19"/>
        </w:rPr>
      </w:pPr>
      <w:r w:rsidRPr="00B03B51">
        <w:rPr>
          <w:rFonts w:ascii="Times New Roman" w:hAnsi="Times New Roman" w:cs="Times New Roman"/>
          <w:sz w:val="24"/>
        </w:rPr>
        <w:t>3. Tomēr neskaidrību var radīt tas, ka EKS nominālvērtības definīcija atšķiras no definīcijas, kas sniegta minētajā regulā. EKS 2010 7.39. punktā noteikts: “Nominālvērtība atspoguļo sākotnēji piešķirto līdzekļu summu plus jebkuru vēlāku avansu mīnus jebkādus maksājumus plus uzkrātos procentus.</w:t>
      </w:r>
      <w:r w:rsidRPr="00B03B51">
        <w:rPr>
          <w:rFonts w:ascii="Times New Roman" w:hAnsi="Times New Roman" w:cs="Times New Roman"/>
          <w:i/>
          <w:sz w:val="24"/>
        </w:rPr>
        <w:t xml:space="preserve"> </w:t>
      </w:r>
      <w:r w:rsidRPr="00B03B51">
        <w:rPr>
          <w:rFonts w:ascii="Times New Roman" w:hAnsi="Times New Roman" w:cs="Times New Roman"/>
          <w:sz w:val="24"/>
        </w:rPr>
        <w:t>Nominālvērtība nav vienāda ar nominālo cenu.”</w:t>
      </w:r>
    </w:p>
    <w:p w14:paraId="4B49EE88" w14:textId="77777777" w:rsidR="00443399" w:rsidRPr="00B03B51" w:rsidRDefault="00443399" w:rsidP="00443399">
      <w:pPr>
        <w:pStyle w:val="BodyText"/>
        <w:tabs>
          <w:tab w:val="left" w:pos="1986"/>
        </w:tabs>
        <w:spacing w:before="0"/>
        <w:ind w:left="0" w:firstLine="0"/>
        <w:jc w:val="both"/>
        <w:rPr>
          <w:rFonts w:ascii="Times New Roman" w:hAnsi="Times New Roman" w:cs="Times New Roman"/>
          <w:noProof/>
          <w:sz w:val="24"/>
        </w:rPr>
      </w:pPr>
    </w:p>
    <w:p w14:paraId="6E50BA4F" w14:textId="77777777" w:rsidR="00443399" w:rsidRPr="00B03B51" w:rsidRDefault="00443399" w:rsidP="00443399">
      <w:pPr>
        <w:pStyle w:val="BodyText"/>
        <w:tabs>
          <w:tab w:val="left" w:pos="1986"/>
        </w:tabs>
        <w:spacing w:before="0"/>
        <w:ind w:left="0" w:firstLine="0"/>
        <w:jc w:val="both"/>
        <w:rPr>
          <w:rFonts w:ascii="Times New Roman" w:hAnsi="Times New Roman" w:cs="Times New Roman"/>
          <w:noProof/>
          <w:sz w:val="24"/>
          <w:szCs w:val="12"/>
        </w:rPr>
      </w:pPr>
      <w:r w:rsidRPr="00B03B51">
        <w:rPr>
          <w:rFonts w:ascii="Times New Roman" w:hAnsi="Times New Roman" w:cs="Times New Roman"/>
          <w:sz w:val="24"/>
        </w:rPr>
        <w:t>4. Vienkāršoti izsakoties, attiecībā uz parāda vērtspapīru EKS 2010 nominālvērtība ir vienāda ar tā emisijas cenu (virs vai zem nomināla, visas prēmijas vai atlaides sadalot uz visu instrumenta darbības laiku), kam pieskaita uzkrātos, bet vēl nenomaksātos procentus (procentus parasti maksā regulāri, piemēram, reizi gadā vai sešos mēnešos, vai tikai parāda atmaksāšanas brīdī, kā tas ir īstermiņa parāda instrumentu gadījumā).</w:t>
      </w:r>
      <w:r w:rsidRPr="00B03B51">
        <w:rPr>
          <w:rStyle w:val="FootnoteReference"/>
          <w:rFonts w:ascii="Times New Roman" w:hAnsi="Times New Roman" w:cs="Times New Roman"/>
          <w:noProof/>
          <w:sz w:val="24"/>
        </w:rPr>
        <w:footnoteReference w:id="279"/>
      </w:r>
    </w:p>
    <w:p w14:paraId="2A085FE9" w14:textId="77777777" w:rsidR="00443399" w:rsidRPr="00B03B51" w:rsidRDefault="00443399" w:rsidP="00443399">
      <w:pPr>
        <w:pStyle w:val="BodyText"/>
        <w:tabs>
          <w:tab w:val="left" w:pos="1986"/>
        </w:tabs>
        <w:spacing w:before="0"/>
        <w:ind w:left="0" w:firstLine="0"/>
        <w:jc w:val="both"/>
        <w:rPr>
          <w:rFonts w:ascii="Times New Roman" w:hAnsi="Times New Roman" w:cs="Times New Roman"/>
          <w:noProof/>
          <w:sz w:val="24"/>
        </w:rPr>
      </w:pPr>
    </w:p>
    <w:p w14:paraId="1E544730" w14:textId="77777777" w:rsidR="00443399" w:rsidRPr="00B03B51" w:rsidRDefault="00443399" w:rsidP="00443399">
      <w:pPr>
        <w:pStyle w:val="BodyText"/>
        <w:tabs>
          <w:tab w:val="left" w:pos="1986"/>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 xml:space="preserve">5. Valdības parādu sauc arī par </w:t>
      </w:r>
      <w:r w:rsidRPr="00B03B51">
        <w:rPr>
          <w:rFonts w:ascii="Times New Roman" w:hAnsi="Times New Roman" w:cs="Times New Roman"/>
          <w:i/>
          <w:iCs/>
          <w:sz w:val="24"/>
        </w:rPr>
        <w:t>EDP</w:t>
      </w:r>
      <w:r w:rsidRPr="00B03B51">
        <w:rPr>
          <w:rFonts w:ascii="Times New Roman" w:hAnsi="Times New Roman" w:cs="Times New Roman"/>
          <w:sz w:val="24"/>
        </w:rPr>
        <w:t xml:space="preserve"> parādu jeb Māstrihtas parādu. Parādu mēra bruto izteiksmē, proti, netiek atskaitīti finanšu aktīvi. Parāds ir konsolidēts gan sektora, gan apakšsektoru līmenī tā, lai vispārējās valdības kopsummā netiktu iekļautas nekādas vispārējās valdības vienību saistības, kuras ir citu vispārējās valdības vienību aktīvi.</w:t>
      </w:r>
    </w:p>
    <w:p w14:paraId="223BB23D" w14:textId="77777777" w:rsidR="00443399" w:rsidRPr="00B03B51" w:rsidRDefault="00443399" w:rsidP="00443399">
      <w:pPr>
        <w:pStyle w:val="BodyText"/>
        <w:tabs>
          <w:tab w:val="left" w:pos="1986"/>
        </w:tabs>
        <w:spacing w:before="0"/>
        <w:ind w:left="0" w:firstLine="0"/>
        <w:jc w:val="both"/>
        <w:rPr>
          <w:rFonts w:ascii="Times New Roman" w:hAnsi="Times New Roman" w:cs="Times New Roman"/>
          <w:noProof/>
          <w:sz w:val="24"/>
        </w:rPr>
      </w:pPr>
    </w:p>
    <w:p w14:paraId="673191AB" w14:textId="77777777" w:rsidR="00443399" w:rsidRPr="00B03B51" w:rsidRDefault="00443399" w:rsidP="00443399">
      <w:pPr>
        <w:pStyle w:val="BodyText"/>
        <w:tabs>
          <w:tab w:val="left" w:pos="1986"/>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6. Rokasgrāmatas 8.3. nodaļā ir aplūkoti mijmaiņas darījumi un valūtas mijmaiņas darījumu traktējums, jo tie ietekmē valdības parāda mērījumus. Šajā nodaļā ir aplūkots arī “ārpusbiržas mijmaiņas darījumu” gadījums, kam sākumā nav nulles tirgus vērtība, tādējādi ir jāidentificē aizdevuma komponents.</w:t>
      </w:r>
    </w:p>
    <w:p w14:paraId="73AE4035" w14:textId="77777777" w:rsidR="00443399" w:rsidRPr="00B03B51" w:rsidRDefault="00443399" w:rsidP="00443399">
      <w:pPr>
        <w:pStyle w:val="BodyText"/>
        <w:tabs>
          <w:tab w:val="left" w:pos="1986"/>
        </w:tabs>
        <w:spacing w:before="0"/>
        <w:ind w:left="0" w:firstLine="0"/>
        <w:jc w:val="both"/>
        <w:rPr>
          <w:rFonts w:ascii="Times New Roman" w:hAnsi="Times New Roman" w:cs="Times New Roman"/>
          <w:noProof/>
          <w:sz w:val="24"/>
        </w:rPr>
      </w:pPr>
    </w:p>
    <w:p w14:paraId="7EE23174" w14:textId="77777777" w:rsidR="00443399" w:rsidRPr="00B03B51" w:rsidRDefault="00443399" w:rsidP="00443399">
      <w:pPr>
        <w:pStyle w:val="BodyText"/>
        <w:tabs>
          <w:tab w:val="left" w:pos="1986"/>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7. Visbeidzot 8.4. nodaļā ir aplūkoti finanšu darījumi, kurus dēvē par “pārdošanas ar atpirkšanu līgumiem” un “vērtspapīru aizdevumiem”, kas noteiktos apstākļos var ietekmēt valdības parādu.</w:t>
      </w:r>
    </w:p>
    <w:p w14:paraId="233EA2AF" w14:textId="77777777" w:rsidR="00443399" w:rsidRPr="00B03B51" w:rsidRDefault="00443399" w:rsidP="00443399">
      <w:pPr>
        <w:rPr>
          <w:rFonts w:ascii="Times New Roman" w:eastAsia="Arial" w:hAnsi="Times New Roman" w:cs="Times New Roman"/>
          <w:noProof/>
          <w:sz w:val="24"/>
          <w:szCs w:val="20"/>
        </w:rPr>
      </w:pPr>
      <w:r w:rsidRPr="00B03B51">
        <w:rPr>
          <w:rFonts w:ascii="Times New Roman" w:hAnsi="Times New Roman" w:cs="Times New Roman"/>
        </w:rPr>
        <w:br w:type="page"/>
      </w:r>
    </w:p>
    <w:p w14:paraId="34F3E4A6" w14:textId="77777777" w:rsidR="00443399" w:rsidRPr="00B03B51" w:rsidRDefault="00443399" w:rsidP="00443399">
      <w:pPr>
        <w:jc w:val="both"/>
        <w:rPr>
          <w:rFonts w:ascii="Times New Roman" w:hAnsi="Times New Roman" w:cs="Times New Roman"/>
          <w:noProof/>
          <w:sz w:val="24"/>
        </w:rPr>
      </w:pPr>
    </w:p>
    <w:p w14:paraId="0B977C50" w14:textId="77777777" w:rsidR="00443399" w:rsidRPr="00B03B51" w:rsidRDefault="00443399" w:rsidP="00443399">
      <w:pPr>
        <w:pStyle w:val="Heading2"/>
        <w:tabs>
          <w:tab w:val="left" w:pos="1135"/>
        </w:tabs>
        <w:spacing w:before="0"/>
        <w:ind w:left="0" w:firstLine="0"/>
        <w:jc w:val="both"/>
        <w:rPr>
          <w:rFonts w:ascii="Times New Roman" w:hAnsi="Times New Roman" w:cs="Times New Roman"/>
          <w:noProof/>
          <w:sz w:val="28"/>
          <w:szCs w:val="44"/>
        </w:rPr>
      </w:pPr>
      <w:bookmarkStart w:id="606" w:name="8.2_The_calculation_of_general_governmen"/>
      <w:bookmarkStart w:id="607" w:name="_bookmark62"/>
      <w:bookmarkStart w:id="608" w:name="_Toc67565215"/>
      <w:bookmarkEnd w:id="606"/>
      <w:bookmarkEnd w:id="607"/>
      <w:r w:rsidRPr="00B03B51">
        <w:rPr>
          <w:rFonts w:ascii="Times New Roman" w:hAnsi="Times New Roman" w:cs="Times New Roman"/>
          <w:sz w:val="28"/>
          <w:szCs w:val="44"/>
        </w:rPr>
        <w:t>8.2. Vispārējās valdības parāda aprēķināšana</w:t>
      </w:r>
      <w:bookmarkEnd w:id="608"/>
    </w:p>
    <w:p w14:paraId="4D88D1E4" w14:textId="77777777" w:rsidR="00443399" w:rsidRPr="00B03B51" w:rsidRDefault="00443399" w:rsidP="00443399">
      <w:pPr>
        <w:tabs>
          <w:tab w:val="left" w:pos="1267"/>
        </w:tabs>
        <w:jc w:val="both"/>
        <w:rPr>
          <w:rFonts w:ascii="Times New Roman" w:hAnsi="Times New Roman" w:cs="Times New Roman"/>
          <w:b/>
          <w:noProof/>
          <w:sz w:val="24"/>
        </w:rPr>
      </w:pPr>
      <w:bookmarkStart w:id="609" w:name="8.2.1_Measurement_of_liabilities_in_ESA_"/>
      <w:bookmarkEnd w:id="609"/>
    </w:p>
    <w:p w14:paraId="14E906F3" w14:textId="77777777" w:rsidR="00443399" w:rsidRPr="00B03B51" w:rsidRDefault="00443399" w:rsidP="00443399">
      <w:pPr>
        <w:tabs>
          <w:tab w:val="left" w:pos="1267"/>
        </w:tabs>
        <w:jc w:val="both"/>
        <w:rPr>
          <w:rFonts w:ascii="Times New Roman" w:hAnsi="Times New Roman" w:cs="Times New Roman"/>
          <w:b/>
          <w:noProof/>
          <w:sz w:val="24"/>
        </w:rPr>
      </w:pPr>
      <w:r w:rsidRPr="00B03B51">
        <w:rPr>
          <w:rFonts w:ascii="Times New Roman" w:hAnsi="Times New Roman" w:cs="Times New Roman"/>
          <w:b/>
          <w:sz w:val="24"/>
        </w:rPr>
        <w:t>8.2.1. Saistību mērījumi EKS 2010</w:t>
      </w:r>
    </w:p>
    <w:p w14:paraId="4ABC5A10"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36D80416"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 EKS 2010 nav sniegta valdības parāda definīcija. Galvenais ekvivalentais jēdziens EKS 2010 ir “kopējās finanšu saistības”, kas ietver plašāku finanšu instrumentu uzskaitījumu, nekā tas ir valdības parādam.</w:t>
      </w:r>
    </w:p>
    <w:p w14:paraId="18218587"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590C5519"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2. Punkti, kas attiecas uz valdības saistību novērtējumu, ir norādīti turpmāk.</w:t>
      </w:r>
    </w:p>
    <w:p w14:paraId="49297DBE" w14:textId="77777777" w:rsidR="00443399" w:rsidRPr="00B03B51" w:rsidRDefault="00443399" w:rsidP="00443399">
      <w:pPr>
        <w:jc w:val="both"/>
        <w:rPr>
          <w:rFonts w:ascii="Times New Roman" w:hAnsi="Times New Roman" w:cs="Times New Roman"/>
          <w:noProof/>
          <w:sz w:val="24"/>
        </w:rPr>
      </w:pPr>
    </w:p>
    <w:p w14:paraId="57C9BDCF" w14:textId="77777777" w:rsidR="00443399" w:rsidRPr="00B03B51" w:rsidRDefault="00443399" w:rsidP="00443399">
      <w:pPr>
        <w:ind w:left="284"/>
        <w:jc w:val="both"/>
        <w:rPr>
          <w:rFonts w:ascii="Times New Roman" w:eastAsia="Arial" w:hAnsi="Times New Roman" w:cs="Times New Roman"/>
          <w:noProof/>
          <w:sz w:val="24"/>
          <w:szCs w:val="19"/>
        </w:rPr>
      </w:pPr>
      <w:r w:rsidRPr="00B03B51">
        <w:rPr>
          <w:rFonts w:ascii="Times New Roman" w:hAnsi="Times New Roman" w:cs="Times New Roman"/>
          <w:sz w:val="24"/>
        </w:rPr>
        <w:t xml:space="preserve">EKS 2010 1.94. punktā ir noteikts: </w:t>
      </w:r>
      <w:r w:rsidRPr="00B03B51">
        <w:rPr>
          <w:rFonts w:ascii="Times New Roman" w:hAnsi="Times New Roman" w:cs="Times New Roman"/>
          <w:i/>
          <w:iCs/>
          <w:sz w:val="24"/>
        </w:rPr>
        <w:t>Plūsmas un uzkrātie lielumi jāmēra saskaņā ar to apmaiņas vērtību, tas ir, vērtību, pēc kuras plūsmas un uzkrātos lielumus faktiski samaina vai varētu samainīt pret naudu.</w:t>
      </w:r>
      <w:r w:rsidRPr="00B03B51">
        <w:rPr>
          <w:rFonts w:ascii="Times New Roman" w:hAnsi="Times New Roman" w:cs="Times New Roman"/>
          <w:i/>
          <w:sz w:val="24"/>
          <w:szCs w:val="19"/>
        </w:rPr>
        <w:t xml:space="preserve"> </w:t>
      </w:r>
      <w:r w:rsidRPr="00B03B51">
        <w:rPr>
          <w:rFonts w:ascii="Times New Roman" w:hAnsi="Times New Roman" w:cs="Times New Roman"/>
          <w:i/>
          <w:iCs/>
          <w:sz w:val="24"/>
          <w:szCs w:val="19"/>
        </w:rPr>
        <w:t>Tāpēc attiecībā uz vērtēšanu EKS izmanto tirgus cenas.</w:t>
      </w:r>
    </w:p>
    <w:p w14:paraId="71839B98" w14:textId="77777777" w:rsidR="00443399" w:rsidRPr="00B03B51" w:rsidRDefault="00443399" w:rsidP="00443399">
      <w:pPr>
        <w:ind w:left="284"/>
        <w:jc w:val="both"/>
        <w:rPr>
          <w:rFonts w:ascii="Times New Roman" w:eastAsia="Arial" w:hAnsi="Times New Roman" w:cs="Times New Roman"/>
          <w:noProof/>
          <w:sz w:val="24"/>
          <w:szCs w:val="19"/>
        </w:rPr>
      </w:pPr>
    </w:p>
    <w:p w14:paraId="60F4F78D" w14:textId="77777777" w:rsidR="00443399" w:rsidRPr="00B03B51" w:rsidRDefault="00443399" w:rsidP="00443399">
      <w:pPr>
        <w:ind w:left="284"/>
        <w:jc w:val="both"/>
        <w:rPr>
          <w:rFonts w:ascii="Times New Roman" w:eastAsia="Arial" w:hAnsi="Times New Roman" w:cs="Times New Roman"/>
          <w:noProof/>
          <w:sz w:val="24"/>
          <w:szCs w:val="19"/>
        </w:rPr>
      </w:pPr>
      <w:r w:rsidRPr="00B03B51">
        <w:rPr>
          <w:rFonts w:ascii="Times New Roman" w:hAnsi="Times New Roman" w:cs="Times New Roman"/>
          <w:sz w:val="24"/>
        </w:rPr>
        <w:t xml:space="preserve">EKS 2010 7.33. punktā ir noteikts: </w:t>
      </w:r>
      <w:r w:rsidRPr="00B03B51">
        <w:rPr>
          <w:rFonts w:ascii="Times New Roman" w:hAnsi="Times New Roman" w:cs="Times New Roman"/>
          <w:i/>
          <w:iCs/>
          <w:sz w:val="24"/>
        </w:rPr>
        <w:t>Aktīvus un saistības vērtē pēc tirgus cenām datumā, par kuru ir bilance.</w:t>
      </w:r>
    </w:p>
    <w:p w14:paraId="30C9B444" w14:textId="77777777" w:rsidR="00443399" w:rsidRPr="00B03B51" w:rsidRDefault="00443399" w:rsidP="00443399">
      <w:pPr>
        <w:pStyle w:val="BodyText"/>
        <w:spacing w:before="0"/>
        <w:ind w:left="0" w:firstLine="0"/>
        <w:jc w:val="both"/>
        <w:rPr>
          <w:rFonts w:ascii="Times New Roman" w:hAnsi="Times New Roman" w:cs="Times New Roman"/>
          <w:noProof/>
          <w:sz w:val="24"/>
        </w:rPr>
      </w:pPr>
    </w:p>
    <w:p w14:paraId="45155897" w14:textId="77777777" w:rsidR="00443399" w:rsidRPr="00B03B51" w:rsidRDefault="00443399" w:rsidP="00443399">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t>Grāmatvedības pārskata perioda beigās saistību krājums vispārējās valdības sektora (S.13) beigu bilancē nacionālajos kontos jāieraksta to tirgus vērtībā.</w:t>
      </w:r>
    </w:p>
    <w:p w14:paraId="5EF4620F"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6062C50B"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3. Saskaņā ar EKS 2010 valdības saistību krājums ir visas šādu finanšu instrumentu saistības: monetārais zelts un speciālās aizņēmuma tiesības (F.1)</w:t>
      </w:r>
      <w:r w:rsidRPr="00B03B51">
        <w:rPr>
          <w:rStyle w:val="FootnoteReference"/>
          <w:rFonts w:ascii="Times New Roman" w:hAnsi="Times New Roman" w:cs="Times New Roman"/>
          <w:noProof/>
          <w:sz w:val="24"/>
        </w:rPr>
        <w:footnoteReference w:id="280"/>
      </w:r>
      <w:r w:rsidRPr="00B03B51">
        <w:rPr>
          <w:rFonts w:ascii="Times New Roman" w:hAnsi="Times New Roman" w:cs="Times New Roman"/>
          <w:sz w:val="24"/>
        </w:rPr>
        <w:t>, valūta un noguldījumi (AF.2), parāda vērtspapīri (AF.3), aizdevumi (AF.4), apdrošināšanas, pensiju un standarta garantiju shēmas (AF.6), atvasinātie finanšu instrumenti (AF.7) un citas kreditoru saistības (AF.8). Dažu īpašu veidu vienību gadījumā, kas klasificētas valdības sektorā, var tikt iekļauts arī pašu kapitāls (AF.5).</w:t>
      </w:r>
    </w:p>
    <w:p w14:paraId="482E30E7" w14:textId="77777777" w:rsidR="00443399" w:rsidRPr="00B03B51" w:rsidRDefault="00443399" w:rsidP="00443399">
      <w:pPr>
        <w:jc w:val="both"/>
        <w:rPr>
          <w:rFonts w:ascii="Times New Roman" w:hAnsi="Times New Roman" w:cs="Times New Roman"/>
          <w:noProof/>
          <w:sz w:val="24"/>
        </w:rPr>
      </w:pPr>
    </w:p>
    <w:p w14:paraId="2F16FC10" w14:textId="77777777" w:rsidR="00443399" w:rsidRPr="00B03B51" w:rsidRDefault="00443399" w:rsidP="00443399">
      <w:pPr>
        <w:pStyle w:val="BodyText"/>
        <w:spacing w:before="0"/>
        <w:ind w:left="0" w:firstLine="0"/>
        <w:jc w:val="both"/>
        <w:rPr>
          <w:rFonts w:ascii="Times New Roman" w:hAnsi="Times New Roman" w:cs="Times New Roman"/>
          <w:noProof/>
          <w:sz w:val="24"/>
          <w:u w:val="single"/>
        </w:rPr>
      </w:pPr>
      <w:r w:rsidRPr="00B03B51">
        <w:rPr>
          <w:rFonts w:ascii="Times New Roman" w:hAnsi="Times New Roman" w:cs="Times New Roman"/>
          <w:sz w:val="24"/>
          <w:u w:val="single"/>
        </w:rPr>
        <w:t>Valdības saistību krājums saskaņā ar EKS 2010 (gada beigās) = AF.1 + AF.2 + AF.3 + AF.4</w:t>
      </w:r>
      <w:r w:rsidRPr="00B03B51">
        <w:rPr>
          <w:rStyle w:val="FootnoteReference"/>
          <w:rFonts w:ascii="Times New Roman" w:hAnsi="Times New Roman" w:cs="Times New Roman"/>
          <w:noProof/>
          <w:sz w:val="24"/>
          <w:u w:val="single"/>
        </w:rPr>
        <w:footnoteReference w:id="281"/>
      </w:r>
      <w:r w:rsidRPr="00B03B51">
        <w:rPr>
          <w:rFonts w:ascii="Times New Roman" w:hAnsi="Times New Roman" w:cs="Times New Roman"/>
          <w:sz w:val="24"/>
          <w:u w:val="single"/>
        </w:rPr>
        <w:t xml:space="preserve"> + AF.6 + AF.7 + AF.8 + AF.5 (attiecīgā gadījumā)</w:t>
      </w:r>
      <w:r w:rsidRPr="00B03B51">
        <w:rPr>
          <w:rStyle w:val="FootnoteReference"/>
          <w:rFonts w:ascii="Times New Roman" w:hAnsi="Times New Roman" w:cs="Times New Roman"/>
          <w:noProof/>
          <w:sz w:val="24"/>
          <w:u w:val="single"/>
        </w:rPr>
        <w:footnoteReference w:id="282"/>
      </w:r>
    </w:p>
    <w:p w14:paraId="1FD0CC1A"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2832D691"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4. Vispārējās valdības tirdzniecības kredītu saistības, kuru sākotnējais termiņš ir ilgs (ilgāks par vienu gadu saskaņā ar definīciju EKS 2010 5.A1.14. punktā), klasificē kā aizdevumus, piemērojot EKS 2010 20.132. punktu.</w:t>
      </w:r>
    </w:p>
    <w:p w14:paraId="415E3957" w14:textId="77777777" w:rsidR="00443399" w:rsidRPr="00B03B51" w:rsidRDefault="00443399" w:rsidP="00443399">
      <w:pPr>
        <w:jc w:val="both"/>
        <w:rPr>
          <w:rFonts w:ascii="Times New Roman" w:eastAsia="Arial" w:hAnsi="Times New Roman" w:cs="Times New Roman"/>
          <w:noProof/>
          <w:sz w:val="24"/>
          <w:szCs w:val="18"/>
        </w:rPr>
      </w:pPr>
    </w:p>
    <w:p w14:paraId="56CA8F14" w14:textId="77777777" w:rsidR="00443399" w:rsidRPr="00B03B51" w:rsidRDefault="00443399" w:rsidP="00443399">
      <w:pPr>
        <w:tabs>
          <w:tab w:val="left" w:pos="1267"/>
        </w:tabs>
        <w:jc w:val="both"/>
        <w:rPr>
          <w:rFonts w:ascii="Times New Roman" w:hAnsi="Times New Roman" w:cs="Times New Roman"/>
          <w:b/>
          <w:noProof/>
          <w:sz w:val="24"/>
        </w:rPr>
      </w:pPr>
      <w:bookmarkStart w:id="610" w:name="8.2.2_Government_debt_for_EDP_purposes"/>
      <w:bookmarkEnd w:id="610"/>
      <w:r w:rsidRPr="00B03B51">
        <w:rPr>
          <w:rFonts w:ascii="Times New Roman" w:hAnsi="Times New Roman" w:cs="Times New Roman"/>
          <w:b/>
          <w:sz w:val="24"/>
        </w:rPr>
        <w:t xml:space="preserve">8.2.2. Valdības parāds </w:t>
      </w:r>
      <w:r w:rsidRPr="00B03B51">
        <w:rPr>
          <w:rFonts w:ascii="Times New Roman" w:hAnsi="Times New Roman" w:cs="Times New Roman"/>
          <w:b/>
          <w:i/>
          <w:iCs/>
          <w:sz w:val="24"/>
        </w:rPr>
        <w:t>EDP</w:t>
      </w:r>
      <w:r w:rsidRPr="00B03B51">
        <w:rPr>
          <w:rFonts w:ascii="Times New Roman" w:hAnsi="Times New Roman" w:cs="Times New Roman"/>
          <w:b/>
          <w:sz w:val="24"/>
        </w:rPr>
        <w:t xml:space="preserve"> vajadzībām</w:t>
      </w:r>
    </w:p>
    <w:p w14:paraId="33DFCF41" w14:textId="77777777" w:rsidR="00443399" w:rsidRPr="00100B51" w:rsidRDefault="00443399" w:rsidP="00100B51">
      <w:pPr>
        <w:rPr>
          <w:rFonts w:ascii="Times New Roman" w:hAnsi="Times New Roman" w:cs="Times New Roman"/>
          <w:noProof/>
          <w:sz w:val="24"/>
          <w:szCs w:val="24"/>
        </w:rPr>
      </w:pPr>
      <w:bookmarkStart w:id="611" w:name="8.2.2.1_Coverage_of_government_debt_for_"/>
      <w:bookmarkEnd w:id="611"/>
    </w:p>
    <w:p w14:paraId="2C1EB40D" w14:textId="77777777" w:rsidR="00443399" w:rsidRPr="00B03B51" w:rsidRDefault="00443399" w:rsidP="00443399">
      <w:pPr>
        <w:pStyle w:val="Heading6"/>
        <w:tabs>
          <w:tab w:val="left" w:pos="1267"/>
        </w:tabs>
        <w:ind w:left="0" w:firstLine="0"/>
        <w:jc w:val="both"/>
        <w:rPr>
          <w:rFonts w:ascii="Times New Roman" w:hAnsi="Times New Roman" w:cs="Times New Roman"/>
          <w:noProof/>
          <w:sz w:val="24"/>
        </w:rPr>
      </w:pPr>
      <w:r w:rsidRPr="00B03B51">
        <w:rPr>
          <w:rFonts w:ascii="Times New Roman" w:hAnsi="Times New Roman" w:cs="Times New Roman"/>
          <w:sz w:val="24"/>
        </w:rPr>
        <w:t xml:space="preserve">8.2.2.1. VALDĪBAS PARĀDA TVĒRUMS </w:t>
      </w:r>
      <w:r w:rsidRPr="00B03B51">
        <w:rPr>
          <w:rFonts w:ascii="Times New Roman" w:hAnsi="Times New Roman" w:cs="Times New Roman"/>
          <w:i/>
          <w:iCs/>
          <w:sz w:val="24"/>
        </w:rPr>
        <w:t>EDP</w:t>
      </w:r>
      <w:r w:rsidRPr="00B03B51">
        <w:rPr>
          <w:rFonts w:ascii="Times New Roman" w:hAnsi="Times New Roman" w:cs="Times New Roman"/>
          <w:sz w:val="24"/>
        </w:rPr>
        <w:t xml:space="preserve"> VAJADZĪBĀM</w:t>
      </w:r>
    </w:p>
    <w:p w14:paraId="30EE1C7B" w14:textId="77777777" w:rsidR="00443399" w:rsidRPr="00B03B51" w:rsidRDefault="00443399" w:rsidP="00443399">
      <w:pPr>
        <w:tabs>
          <w:tab w:val="left" w:pos="843"/>
        </w:tabs>
        <w:jc w:val="both"/>
        <w:rPr>
          <w:rFonts w:ascii="Times New Roman" w:hAnsi="Times New Roman" w:cs="Times New Roman"/>
          <w:noProof/>
          <w:sz w:val="24"/>
        </w:rPr>
      </w:pPr>
    </w:p>
    <w:p w14:paraId="39C778A5" w14:textId="77777777" w:rsidR="00443399" w:rsidRPr="00B03B51" w:rsidRDefault="00443399" w:rsidP="00443399">
      <w:pPr>
        <w:tabs>
          <w:tab w:val="left" w:pos="843"/>
        </w:tabs>
        <w:jc w:val="both"/>
        <w:rPr>
          <w:rFonts w:ascii="Times New Roman" w:eastAsia="Arial" w:hAnsi="Times New Roman" w:cs="Times New Roman"/>
          <w:noProof/>
          <w:sz w:val="24"/>
          <w:szCs w:val="19"/>
        </w:rPr>
      </w:pPr>
      <w:r w:rsidRPr="00B03B51">
        <w:rPr>
          <w:rFonts w:ascii="Times New Roman" w:hAnsi="Times New Roman" w:cs="Times New Roman"/>
          <w:sz w:val="24"/>
        </w:rPr>
        <w:t>5. Ekonomikas un monetārajā savienībā (EMS) pārmērīga budžeta deficīta novēršanas procedūras (</w:t>
      </w:r>
      <w:r w:rsidRPr="00B03B51">
        <w:rPr>
          <w:rFonts w:ascii="Times New Roman" w:hAnsi="Times New Roman" w:cs="Times New Roman"/>
          <w:i/>
          <w:iCs/>
          <w:sz w:val="24"/>
        </w:rPr>
        <w:t>EDP</w:t>
      </w:r>
      <w:r w:rsidRPr="00B03B51">
        <w:rPr>
          <w:rFonts w:ascii="Times New Roman" w:hAnsi="Times New Roman" w:cs="Times New Roman"/>
          <w:sz w:val="24"/>
        </w:rPr>
        <w:t xml:space="preserve">), kā arī izaugsmes un stabilitātes pakta vajadzībām pašreizējais 12. protokols, kas pievienots Līguma par Eiropas Savienību 2012. gada konsolidētajai redakcijai sniedz </w:t>
      </w:r>
      <w:r w:rsidRPr="00B03B51">
        <w:rPr>
          <w:rFonts w:ascii="Times New Roman" w:hAnsi="Times New Roman" w:cs="Times New Roman"/>
          <w:sz w:val="24"/>
        </w:rPr>
        <w:lastRenderedPageBreak/>
        <w:t xml:space="preserve">pilnīgu valdības parāda definīciju: </w:t>
      </w:r>
      <w:r w:rsidRPr="00B03B51">
        <w:rPr>
          <w:rFonts w:ascii="Times New Roman" w:hAnsi="Times New Roman" w:cs="Times New Roman"/>
          <w:i/>
          <w:iCs/>
          <w:sz w:val="24"/>
        </w:rPr>
        <w:t>parāds ir parāda kopapjoms tā nominālvērtībā</w:t>
      </w:r>
      <w:r w:rsidRPr="00B03B51">
        <w:rPr>
          <w:rStyle w:val="FootnoteReference"/>
          <w:rFonts w:ascii="Times New Roman" w:hAnsi="Times New Roman" w:cs="Times New Roman"/>
          <w:i/>
          <w:noProof/>
          <w:sz w:val="24"/>
        </w:rPr>
        <w:footnoteReference w:id="283"/>
      </w:r>
      <w:r w:rsidRPr="00B03B51">
        <w:rPr>
          <w:rFonts w:ascii="Times New Roman" w:hAnsi="Times New Roman" w:cs="Times New Roman"/>
          <w:i/>
          <w:iCs/>
          <w:sz w:val="24"/>
        </w:rPr>
        <w:t>, kas līdz gada beigām nav nomaksāts un konsolidēts vispārējās valdības sektoros un starp tiem</w:t>
      </w:r>
      <w:r w:rsidRPr="00B03B51">
        <w:rPr>
          <w:rFonts w:ascii="Times New Roman" w:hAnsi="Times New Roman" w:cs="Times New Roman"/>
          <w:sz w:val="24"/>
        </w:rPr>
        <w:t>.</w:t>
      </w:r>
    </w:p>
    <w:p w14:paraId="346C233D" w14:textId="77777777" w:rsidR="00443399" w:rsidRPr="00B03B51" w:rsidRDefault="00443399" w:rsidP="00443399">
      <w:pPr>
        <w:pStyle w:val="BodyText"/>
        <w:spacing w:before="0"/>
        <w:ind w:left="0" w:firstLine="0"/>
        <w:jc w:val="both"/>
        <w:rPr>
          <w:rFonts w:ascii="Times New Roman" w:hAnsi="Times New Roman" w:cs="Times New Roman"/>
          <w:noProof/>
          <w:sz w:val="24"/>
        </w:rPr>
      </w:pPr>
    </w:p>
    <w:p w14:paraId="3390B813" w14:textId="77777777" w:rsidR="00443399" w:rsidRPr="00B03B51" w:rsidRDefault="00443399" w:rsidP="00443399">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t>Šī definīcija ir papildināta Padomes Regulā (EK) Nr. 479/2009, kas grozīta ar Komisijas Regulu (ES) Nr. 220/2014 (kurā ir tikai atjauninātas atsauces uz EKS 2010 instrumentiem), kurā norādīti valdības parāda komponenti, sniedzot atsauces uz EKS 2010 minētajām finanšu saistību definīcijām.</w:t>
      </w:r>
    </w:p>
    <w:p w14:paraId="51F26D5E" w14:textId="77777777" w:rsidR="00443399" w:rsidRPr="00B03B51" w:rsidRDefault="00443399" w:rsidP="00443399">
      <w:pPr>
        <w:pStyle w:val="BodyText"/>
        <w:spacing w:before="0"/>
        <w:ind w:left="0" w:firstLine="0"/>
        <w:jc w:val="both"/>
        <w:rPr>
          <w:rFonts w:ascii="Times New Roman" w:hAnsi="Times New Roman" w:cs="Times New Roman"/>
          <w:noProof/>
          <w:sz w:val="24"/>
        </w:rPr>
      </w:pPr>
    </w:p>
    <w:p w14:paraId="5C5A9F64" w14:textId="1E89BCDC" w:rsidR="00443399" w:rsidRPr="00B03B51" w:rsidRDefault="00443399" w:rsidP="00443399">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t xml:space="preserve">Šajā saistībā pārmērīga budžeta deficīta novēršanas procedūrā valdības parāda </w:t>
      </w:r>
      <w:r w:rsidR="00E11BC4" w:rsidRPr="00B03B51">
        <w:rPr>
          <w:rFonts w:ascii="Times New Roman" w:hAnsi="Times New Roman" w:cs="Times New Roman"/>
          <w:sz w:val="24"/>
        </w:rPr>
        <w:t>uz</w:t>
      </w:r>
      <w:r w:rsidRPr="00B03B51">
        <w:rPr>
          <w:rFonts w:ascii="Times New Roman" w:hAnsi="Times New Roman" w:cs="Times New Roman"/>
          <w:sz w:val="24"/>
        </w:rPr>
        <w:t>krājums (</w:t>
      </w:r>
      <w:r w:rsidRPr="00B03B51">
        <w:rPr>
          <w:rFonts w:ascii="Times New Roman" w:hAnsi="Times New Roman" w:cs="Times New Roman"/>
          <w:i/>
          <w:iCs/>
          <w:sz w:val="24"/>
        </w:rPr>
        <w:t>EDP</w:t>
      </w:r>
      <w:r w:rsidRPr="00B03B51">
        <w:rPr>
          <w:rFonts w:ascii="Times New Roman" w:hAnsi="Times New Roman" w:cs="Times New Roman"/>
          <w:sz w:val="24"/>
        </w:rPr>
        <w:t xml:space="preserve"> parāds) ir vienāds ar visu vispārējās valdības sektorā (S.13) šādās kategorijās klasificēto vienību saistību summu gada beigās:</w:t>
      </w:r>
    </w:p>
    <w:p w14:paraId="1BA19CEB" w14:textId="77777777" w:rsidR="00443399" w:rsidRPr="00B03B51" w:rsidRDefault="00443399" w:rsidP="00443399">
      <w:pPr>
        <w:pStyle w:val="BodyText"/>
        <w:spacing w:before="0"/>
        <w:ind w:left="0" w:firstLine="0"/>
        <w:jc w:val="both"/>
        <w:rPr>
          <w:rFonts w:ascii="Times New Roman" w:hAnsi="Times New Roman" w:cs="Times New Roman"/>
          <w:noProof/>
          <w:sz w:val="24"/>
        </w:rPr>
      </w:pPr>
    </w:p>
    <w:p w14:paraId="220D91D4" w14:textId="77777777" w:rsidR="00443399" w:rsidRPr="00B03B51" w:rsidRDefault="00443399" w:rsidP="00443399">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t>AF.2 (valūta un noguldījumi) + AF.3 (parāda vērtspapīri) + AF.4 (aizdevumi)</w:t>
      </w:r>
    </w:p>
    <w:p w14:paraId="7DA03D2A" w14:textId="77777777" w:rsidR="00443399" w:rsidRPr="00B03B51" w:rsidRDefault="00443399" w:rsidP="00443399">
      <w:pPr>
        <w:jc w:val="both"/>
        <w:rPr>
          <w:rFonts w:ascii="Times New Roman" w:eastAsia="Arial" w:hAnsi="Times New Roman" w:cs="Times New Roman"/>
          <w:noProof/>
          <w:sz w:val="24"/>
          <w:szCs w:val="25"/>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1"/>
      </w:tblGrid>
      <w:tr w:rsidR="00443399" w:rsidRPr="00B03B51" w14:paraId="6307D13D" w14:textId="77777777" w:rsidTr="0054365B">
        <w:tc>
          <w:tcPr>
            <w:tcW w:w="9281" w:type="dxa"/>
          </w:tcPr>
          <w:p w14:paraId="07577B95" w14:textId="77777777" w:rsidR="00443399" w:rsidRPr="00B03B51" w:rsidRDefault="00443399" w:rsidP="0054365B">
            <w:pPr>
              <w:jc w:val="both"/>
              <w:rPr>
                <w:rFonts w:ascii="Times New Roman" w:eastAsia="Arial" w:hAnsi="Times New Roman" w:cs="Times New Roman"/>
                <w:b/>
                <w:bCs/>
                <w:noProof/>
                <w:sz w:val="24"/>
                <w:szCs w:val="24"/>
              </w:rPr>
            </w:pPr>
            <w:r w:rsidRPr="00B03B51">
              <w:rPr>
                <w:rFonts w:ascii="Times New Roman" w:hAnsi="Times New Roman" w:cs="Times New Roman"/>
                <w:b/>
                <w:bCs/>
                <w:sz w:val="24"/>
                <w:szCs w:val="24"/>
              </w:rPr>
              <w:t>1. ierāmējums. Valdības izdotās monētas</w:t>
            </w:r>
          </w:p>
          <w:p w14:paraId="422CB867" w14:textId="77777777" w:rsidR="00443399" w:rsidRPr="00B03B51" w:rsidRDefault="00443399" w:rsidP="0054365B">
            <w:pPr>
              <w:jc w:val="both"/>
              <w:rPr>
                <w:rFonts w:ascii="Times New Roman" w:hAnsi="Times New Roman" w:cs="Times New Roman"/>
                <w:noProof/>
                <w:sz w:val="24"/>
                <w:szCs w:val="24"/>
              </w:rPr>
            </w:pPr>
          </w:p>
          <w:p w14:paraId="48AB26E0" w14:textId="77777777" w:rsidR="00443399" w:rsidRPr="00B03B51" w:rsidRDefault="00443399" w:rsidP="0054365B">
            <w:pPr>
              <w:jc w:val="both"/>
              <w:rPr>
                <w:rFonts w:ascii="Times New Roman" w:eastAsia="Arial" w:hAnsi="Times New Roman" w:cs="Times New Roman"/>
                <w:noProof/>
                <w:sz w:val="24"/>
                <w:szCs w:val="24"/>
              </w:rPr>
            </w:pPr>
            <w:r w:rsidRPr="00B03B51">
              <w:rPr>
                <w:rFonts w:ascii="Times New Roman" w:hAnsi="Times New Roman" w:cs="Times New Roman"/>
                <w:sz w:val="24"/>
                <w:szCs w:val="24"/>
              </w:rPr>
              <w:t>Kā norādīts EKS 2010 5.2. ierāmējumā “Eurosistēmā emitēta valūta”, eirozonas dalībvalstīs šīs valūtas parasti uzskata par valstu centrālo banku (S.121) saistībām, finanšu instruments “valūta” (AF.21), lai arī emitētās monētas galvenokārt ir centrālās valdības (S.1311) saistības.</w:t>
            </w:r>
          </w:p>
          <w:p w14:paraId="68FF48F2" w14:textId="77777777" w:rsidR="00443399" w:rsidRPr="00B03B51" w:rsidRDefault="00443399" w:rsidP="0054365B">
            <w:pPr>
              <w:jc w:val="both"/>
              <w:rPr>
                <w:rFonts w:ascii="Times New Roman" w:hAnsi="Times New Roman" w:cs="Times New Roman"/>
                <w:noProof/>
                <w:sz w:val="24"/>
                <w:szCs w:val="24"/>
              </w:rPr>
            </w:pPr>
          </w:p>
          <w:p w14:paraId="249E697F" w14:textId="77777777" w:rsidR="00443399" w:rsidRPr="00B03B51" w:rsidRDefault="00443399" w:rsidP="0054365B">
            <w:pPr>
              <w:jc w:val="both"/>
              <w:rPr>
                <w:rFonts w:ascii="Times New Roman" w:hAnsi="Times New Roman" w:cs="Times New Roman"/>
                <w:noProof/>
                <w:sz w:val="24"/>
                <w:szCs w:val="24"/>
              </w:rPr>
            </w:pPr>
            <w:r w:rsidRPr="00B03B51">
              <w:rPr>
                <w:rFonts w:ascii="Times New Roman" w:hAnsi="Times New Roman" w:cs="Times New Roman"/>
                <w:sz w:val="24"/>
                <w:szCs w:val="24"/>
              </w:rPr>
              <w:t>Kā pretvērtību centrālā banka tur aktīvu, un centrālā valdība uzņemas saistības, ko parasti ieraksta kā citus noguldījumus (AF.29).</w:t>
            </w:r>
          </w:p>
          <w:p w14:paraId="6C41F118" w14:textId="77777777" w:rsidR="00443399" w:rsidRPr="00B03B51" w:rsidRDefault="00443399" w:rsidP="0054365B">
            <w:pPr>
              <w:jc w:val="both"/>
              <w:rPr>
                <w:rFonts w:ascii="Times New Roman" w:hAnsi="Times New Roman" w:cs="Times New Roman"/>
                <w:noProof/>
                <w:sz w:val="24"/>
                <w:szCs w:val="24"/>
              </w:rPr>
            </w:pPr>
          </w:p>
          <w:p w14:paraId="38CB1C42" w14:textId="77777777" w:rsidR="00443399" w:rsidRPr="00B03B51" w:rsidRDefault="00443399" w:rsidP="0054365B">
            <w:pPr>
              <w:jc w:val="both"/>
              <w:rPr>
                <w:rFonts w:ascii="Times New Roman" w:hAnsi="Times New Roman" w:cs="Times New Roman"/>
                <w:noProof/>
                <w:sz w:val="24"/>
                <w:szCs w:val="24"/>
              </w:rPr>
            </w:pPr>
            <w:r w:rsidRPr="00B03B51">
              <w:rPr>
                <w:rFonts w:ascii="Times New Roman" w:hAnsi="Times New Roman" w:cs="Times New Roman"/>
                <w:sz w:val="24"/>
                <w:szCs w:val="24"/>
              </w:rPr>
              <w:t>Tās ES dalībvalstis, kas nav pievienojušās eirozonai, var ierakstīt valdības emitētās monētas kā centrālās valdības saistības (AF.21), ja šis apakšsektors tās ir faktiski emitējis. Tomēr, ja valdības emitētās monētas kādu iemeslu dēļ tiek ierakstītas nacionālajos kontos kā centrālās bankas saistības, lai panāktu saskanību ar eirozonas dalībvalstīm, finanšu instrumentu starp centrālo banku un centrālo valdību ieteicams ierakstīt kā citus noguldījumus (AF.29).</w:t>
            </w:r>
          </w:p>
        </w:tc>
      </w:tr>
    </w:tbl>
    <w:p w14:paraId="3DF2F304" w14:textId="77777777" w:rsidR="00443399" w:rsidRPr="00B03B51" w:rsidRDefault="00443399" w:rsidP="00443399">
      <w:pPr>
        <w:jc w:val="both"/>
        <w:rPr>
          <w:rFonts w:ascii="Times New Roman" w:eastAsia="Arial" w:hAnsi="Times New Roman" w:cs="Times New Roman"/>
          <w:noProof/>
          <w:sz w:val="24"/>
          <w:szCs w:val="20"/>
        </w:rPr>
      </w:pPr>
    </w:p>
    <w:p w14:paraId="2C61C2D6"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szCs w:val="12"/>
        </w:rPr>
      </w:pPr>
      <w:r w:rsidRPr="00B03B51">
        <w:rPr>
          <w:rFonts w:ascii="Times New Roman" w:hAnsi="Times New Roman" w:cs="Times New Roman"/>
          <w:sz w:val="24"/>
        </w:rPr>
        <w:t>6. Jāatzīmē, ka ar līgumu noslēgtie ilgtermiņa tirdzniecības kredīti un avansi</w:t>
      </w:r>
      <w:r w:rsidRPr="00B03B51">
        <w:rPr>
          <w:rStyle w:val="FootnoteReference"/>
          <w:rFonts w:ascii="Times New Roman" w:hAnsi="Times New Roman" w:cs="Times New Roman"/>
          <w:noProof/>
          <w:sz w:val="24"/>
        </w:rPr>
        <w:footnoteReference w:id="284"/>
      </w:r>
      <w:r w:rsidRPr="00B03B51">
        <w:rPr>
          <w:rFonts w:ascii="Times New Roman" w:hAnsi="Times New Roman" w:cs="Times New Roman"/>
          <w:sz w:val="24"/>
        </w:rPr>
        <w:t>, (piešķirti valdības sektorā klasificētiem subjektiem) vai ko snieguši šie subjekti, neatkarīgi no tā, uz kādām precēm un pakalpojumiem tie attiecas</w:t>
      </w:r>
      <w:r w:rsidRPr="00B03B51">
        <w:rPr>
          <w:rStyle w:val="FootnoteReference"/>
          <w:rFonts w:ascii="Times New Roman" w:hAnsi="Times New Roman" w:cs="Times New Roman"/>
          <w:noProof/>
          <w:sz w:val="24"/>
        </w:rPr>
        <w:footnoteReference w:id="285"/>
      </w:r>
      <w:r w:rsidRPr="00B03B51">
        <w:rPr>
          <w:rFonts w:ascii="Times New Roman" w:hAnsi="Times New Roman" w:cs="Times New Roman"/>
          <w:sz w:val="24"/>
        </w:rPr>
        <w:t>, ir jāieraksta kā ilgtermiņa aizdevumi AF.42 un nevis kā tirdzniecības kredīti AF.81 saskaņā ar EKS 2010 20.132. punktu.</w:t>
      </w:r>
      <w:r w:rsidRPr="00B03B51">
        <w:rPr>
          <w:rStyle w:val="FootnoteReference"/>
          <w:rFonts w:ascii="Times New Roman" w:hAnsi="Times New Roman" w:cs="Times New Roman"/>
          <w:noProof/>
          <w:sz w:val="24"/>
        </w:rPr>
        <w:footnoteReference w:id="286"/>
      </w:r>
      <w:r w:rsidRPr="00B03B51">
        <w:rPr>
          <w:rFonts w:ascii="Times New Roman" w:hAnsi="Times New Roman" w:cs="Times New Roman"/>
          <w:sz w:val="24"/>
          <w:vertAlign w:val="superscript"/>
        </w:rPr>
        <w:t>,</w:t>
      </w:r>
      <w:r w:rsidRPr="00B03B51">
        <w:rPr>
          <w:rStyle w:val="FootnoteReference"/>
          <w:rFonts w:ascii="Times New Roman" w:hAnsi="Times New Roman" w:cs="Times New Roman"/>
          <w:noProof/>
          <w:sz w:val="24"/>
        </w:rPr>
        <w:footnoteReference w:id="287"/>
      </w:r>
    </w:p>
    <w:p w14:paraId="3D7C522D" w14:textId="77777777" w:rsidR="00443399" w:rsidRPr="00B03B51" w:rsidRDefault="00443399" w:rsidP="00443399">
      <w:pPr>
        <w:jc w:val="both"/>
        <w:rPr>
          <w:rFonts w:ascii="Times New Roman" w:hAnsi="Times New Roman" w:cs="Times New Roman"/>
          <w:noProof/>
          <w:sz w:val="24"/>
        </w:rPr>
      </w:pPr>
    </w:p>
    <w:p w14:paraId="6569584B" w14:textId="77777777" w:rsidR="00443399" w:rsidRPr="00B03B51" w:rsidRDefault="00443399" w:rsidP="00443399">
      <w:pPr>
        <w:jc w:val="both"/>
        <w:rPr>
          <w:rFonts w:ascii="Times New Roman" w:eastAsia="Arial" w:hAnsi="Times New Roman" w:cs="Times New Roman"/>
          <w:noProof/>
          <w:sz w:val="24"/>
          <w:szCs w:val="19"/>
        </w:rPr>
      </w:pPr>
      <w:r w:rsidRPr="00B03B51">
        <w:rPr>
          <w:rFonts w:ascii="Times New Roman" w:hAnsi="Times New Roman" w:cs="Times New Roman"/>
          <w:sz w:val="24"/>
        </w:rPr>
        <w:t xml:space="preserve">Saskaņā ar EKS 2010 20.132. punktu </w:t>
      </w:r>
      <w:r w:rsidRPr="00B03B51">
        <w:rPr>
          <w:rFonts w:ascii="Times New Roman" w:hAnsi="Times New Roman" w:cs="Times New Roman"/>
          <w:i/>
          <w:iCs/>
          <w:sz w:val="24"/>
        </w:rPr>
        <w:t>finansēšanu, ko uzrāda kā ilgtermiņa tirdzniecības kredītus vai kreditoru/debitoru saistību līgumus, klasificē kā aizdevumus, jo tie ietver ilgtermiņa finansējumu par labu aizņēmējam, kas atšķiras no Valsts kases mehānisma tādējādi, ka tajā pārdevēji parasti izsniedz pircējiem īstermiņa tirdzniecības kredītus.</w:t>
      </w:r>
      <w:r w:rsidRPr="00B03B51">
        <w:rPr>
          <w:rFonts w:ascii="Times New Roman" w:hAnsi="Times New Roman" w:cs="Times New Roman"/>
          <w:i/>
          <w:sz w:val="24"/>
        </w:rPr>
        <w:t xml:space="preserve"> </w:t>
      </w:r>
      <w:r w:rsidRPr="00B03B51">
        <w:rPr>
          <w:rFonts w:ascii="Times New Roman" w:hAnsi="Times New Roman" w:cs="Times New Roman"/>
          <w:i/>
          <w:iCs/>
          <w:sz w:val="24"/>
        </w:rPr>
        <w:t>Ievērojami pagarinot maksājuma saistību termiņu, celtnieks uzņemas finanšu lomu, kas ir atdalīta no tā ražošanas darbības</w:t>
      </w:r>
      <w:r w:rsidRPr="00B03B51">
        <w:rPr>
          <w:rFonts w:ascii="Times New Roman" w:hAnsi="Times New Roman" w:cs="Times New Roman"/>
          <w:sz w:val="24"/>
        </w:rPr>
        <w:t>.</w:t>
      </w:r>
    </w:p>
    <w:p w14:paraId="156D2E2F"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18917AFF"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 xml:space="preserve">7. Jāatzīmē, ka EKS 2010 klasifikācijas laiks tiek noteikts, pamatojoties uz maksājuma termiņu, par ko abas puses ir vienojušās sākumā. Tas ir jānošķir no termina “maksājuma kavējumi” </w:t>
      </w:r>
      <w:r w:rsidRPr="00B03B51">
        <w:rPr>
          <w:rFonts w:ascii="Times New Roman" w:hAnsi="Times New Roman" w:cs="Times New Roman"/>
          <w:sz w:val="24"/>
        </w:rPr>
        <w:lastRenderedPageBreak/>
        <w:t>parastās nozīmes, ko piemēro tirdzniecības kredītiem, kuri nav atmaksāti sākotnēji nolīgtajā maksājuma termiņā.</w:t>
      </w:r>
    </w:p>
    <w:p w14:paraId="20284BC6"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44EFBB2E"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8. Nav gaidāms, ka šādu ilgtermiņa tirdzniecības kredītu esošās summas būs ievērojamas, jo īpaši saistībā ar Eiropas Parlamenta un Padomes Direktīvu 2011/7/ES</w:t>
      </w:r>
      <w:r w:rsidRPr="00B03B51">
        <w:rPr>
          <w:rStyle w:val="FootnoteReference"/>
          <w:rFonts w:ascii="Times New Roman" w:hAnsi="Times New Roman" w:cs="Times New Roman"/>
          <w:noProof/>
          <w:sz w:val="24"/>
        </w:rPr>
        <w:footnoteReference w:id="288"/>
      </w:r>
      <w:r w:rsidRPr="00B03B51">
        <w:rPr>
          <w:rFonts w:ascii="Times New Roman" w:hAnsi="Times New Roman" w:cs="Times New Roman"/>
          <w:sz w:val="24"/>
        </w:rPr>
        <w:t xml:space="preserve"> (2011. gada 16. februāris) par maksājumu kavējumu novēršanu komercdarījumos, kurā noteikts, ka publiskām vienībām savās komercattiecībās maksājums ir jāveic ilgākais 60 kalendārajās dienās un ka procentus iekasē, ja maksājums netiek veikts termiņā.</w:t>
      </w:r>
    </w:p>
    <w:p w14:paraId="3BEC9BCB"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7F218A8B"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9. Lai arī EKS 2010 5.239. punktā ir norādīts, ka tirdzniecības kredīti un avansi var būt īstermiņa vai ilgtermiņa</w:t>
      </w:r>
      <w:r w:rsidRPr="00B03B51">
        <w:rPr>
          <w:rStyle w:val="FootnoteReference"/>
          <w:rFonts w:ascii="Times New Roman" w:hAnsi="Times New Roman" w:cs="Times New Roman"/>
          <w:noProof/>
          <w:sz w:val="24"/>
        </w:rPr>
        <w:footnoteReference w:id="289"/>
      </w:r>
      <w:r w:rsidRPr="00B03B51">
        <w:rPr>
          <w:rFonts w:ascii="Times New Roman" w:hAnsi="Times New Roman" w:cs="Times New Roman"/>
          <w:sz w:val="24"/>
        </w:rPr>
        <w:t>, tas nav piemērojams, kad darījuma partneris ir valdība, ievērojot EKS 2010 20.132. punktu. Jāatzīmē, ka Direktīvā 2011/7/ES ir tāds pats vai līdzīgs “publisko iestāžu” un “uzņēmumu” nošķīrums.</w:t>
      </w:r>
      <w:r w:rsidRPr="00B03B51">
        <w:rPr>
          <w:rStyle w:val="FootnoteReference"/>
          <w:rFonts w:ascii="Times New Roman" w:hAnsi="Times New Roman" w:cs="Times New Roman"/>
          <w:noProof/>
          <w:sz w:val="24"/>
        </w:rPr>
        <w:footnoteReference w:id="290"/>
      </w:r>
    </w:p>
    <w:p w14:paraId="44CCE17E" w14:textId="77777777" w:rsidR="00443399" w:rsidRPr="00B03B51" w:rsidRDefault="00443399" w:rsidP="00443399">
      <w:pPr>
        <w:jc w:val="both"/>
        <w:rPr>
          <w:rFonts w:ascii="Times New Roman" w:eastAsia="Arial" w:hAnsi="Times New Roman" w:cs="Times New Roman"/>
          <w:noProof/>
          <w:sz w:val="24"/>
          <w:szCs w:val="16"/>
        </w:rPr>
      </w:pPr>
    </w:p>
    <w:p w14:paraId="02F3874D" w14:textId="77777777" w:rsidR="00443399" w:rsidRPr="00B03B51" w:rsidRDefault="00443399" w:rsidP="00443399">
      <w:pPr>
        <w:pStyle w:val="Heading6"/>
        <w:tabs>
          <w:tab w:val="left" w:pos="1267"/>
        </w:tabs>
        <w:ind w:left="0" w:firstLine="0"/>
        <w:jc w:val="both"/>
        <w:rPr>
          <w:rFonts w:ascii="Times New Roman" w:hAnsi="Times New Roman" w:cs="Times New Roman"/>
          <w:noProof/>
          <w:sz w:val="24"/>
        </w:rPr>
      </w:pPr>
      <w:bookmarkStart w:id="612" w:name="8.2.2.2_Valuation_of_government_debt_for"/>
      <w:bookmarkEnd w:id="612"/>
      <w:r w:rsidRPr="00B03B51">
        <w:rPr>
          <w:rFonts w:ascii="Times New Roman" w:hAnsi="Times New Roman" w:cs="Times New Roman"/>
          <w:sz w:val="24"/>
        </w:rPr>
        <w:t xml:space="preserve">8.2.2.2. VALDĪBAS PARĀDA NOVĒRTĒJUMS </w:t>
      </w:r>
      <w:r w:rsidRPr="00B03B51">
        <w:rPr>
          <w:rFonts w:ascii="Times New Roman" w:hAnsi="Times New Roman" w:cs="Times New Roman"/>
          <w:i/>
          <w:iCs/>
          <w:sz w:val="24"/>
        </w:rPr>
        <w:t>EDP</w:t>
      </w:r>
      <w:r w:rsidRPr="00B03B51">
        <w:rPr>
          <w:rFonts w:ascii="Times New Roman" w:hAnsi="Times New Roman" w:cs="Times New Roman"/>
          <w:sz w:val="24"/>
        </w:rPr>
        <w:t xml:space="preserve"> VAJADZĪBĀM. NOMINĀLVĒRTĪBA PRET NORĀDĪTO VĒRTĪBU</w:t>
      </w:r>
    </w:p>
    <w:p w14:paraId="539A575C"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63163BB7"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10. Padomes Regulā (EK) Nr. 479/2009 (</w:t>
      </w:r>
      <w:r w:rsidRPr="00B03B51">
        <w:rPr>
          <w:rFonts w:ascii="Times New Roman" w:hAnsi="Times New Roman" w:cs="Times New Roman"/>
          <w:i/>
          <w:iCs/>
          <w:sz w:val="24"/>
        </w:rPr>
        <w:t>EDP</w:t>
      </w:r>
      <w:r w:rsidRPr="00B03B51">
        <w:rPr>
          <w:rFonts w:ascii="Times New Roman" w:hAnsi="Times New Roman" w:cs="Times New Roman"/>
          <w:sz w:val="24"/>
        </w:rPr>
        <w:t xml:space="preserve"> regula) nominālvērtību uzskata par vienādu ar saistību norādīto vērtību (1. pants). Norādītā vērtība parasti tiek definēta (piemēram, statistikas rokasgrāmatās, piemēram, EKS 2010 5.90. punkta d) apakšpunktā) kā līgumiski saskaņota summa, kādu valdība atmaksās kreditoriem termiņa beigās. Par šo summu (pamatsummu) parasti aprēķina arī procentus.</w:t>
      </w:r>
    </w:p>
    <w:p w14:paraId="66FDBD69"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2F584E7F"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11. Šī nominālvērtības definīcija, kas saglabāta Padomes Regulā (EK) Nr. 479/2009, atšķiras no EKS 2010 sniegtās nominālvērtības definīcijas. Pretstatā EKS 1995, kurā nominālvērtība netika definēta statistiskā ziņā, EKS 2010 nominālvērtība ir definēta 7.39. punktā šādi:</w:t>
      </w:r>
    </w:p>
    <w:p w14:paraId="69C82072" w14:textId="77777777" w:rsidR="00443399" w:rsidRPr="00B03B51" w:rsidRDefault="00443399" w:rsidP="00443399">
      <w:pPr>
        <w:jc w:val="both"/>
        <w:rPr>
          <w:rFonts w:ascii="Times New Roman" w:eastAsia="Arial" w:hAnsi="Times New Roman" w:cs="Times New Roman"/>
          <w:i/>
          <w:noProof/>
          <w:sz w:val="24"/>
          <w:szCs w:val="19"/>
        </w:rPr>
      </w:pPr>
    </w:p>
    <w:p w14:paraId="3D91AC1A" w14:textId="77777777" w:rsidR="00443399" w:rsidRPr="00B03B51" w:rsidRDefault="00443399" w:rsidP="00443399">
      <w:pPr>
        <w:jc w:val="both"/>
        <w:rPr>
          <w:rFonts w:ascii="Times New Roman" w:eastAsia="Arial" w:hAnsi="Times New Roman" w:cs="Times New Roman"/>
          <w:i/>
          <w:noProof/>
          <w:sz w:val="24"/>
          <w:szCs w:val="19"/>
        </w:rPr>
      </w:pPr>
      <w:r w:rsidRPr="00B03B51">
        <w:rPr>
          <w:rFonts w:ascii="Times New Roman" w:hAnsi="Times New Roman" w:cs="Times New Roman"/>
          <w:i/>
          <w:sz w:val="24"/>
          <w:szCs w:val="19"/>
        </w:rPr>
        <w:t>Nominālvērtība atspoguļo sākotnēji piešķirto līdzekļu summu plus jebkuru vēlāku avansu mīnus jebkādus maksājumus plus uzkrātos procentus. Nominālvērtība nav vienāda ar nominālo cenu.</w:t>
      </w:r>
    </w:p>
    <w:p w14:paraId="1884307F"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224543D1"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12. Attiecībā uz norādīto vērtību ir arī jāprecizē:</w:t>
      </w:r>
    </w:p>
    <w:p w14:paraId="56476DEF"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0D514ED5" w14:textId="77777777" w:rsidR="00443399" w:rsidRPr="00B03B51" w:rsidRDefault="00443399" w:rsidP="002E0524">
      <w:pPr>
        <w:pStyle w:val="BodyText"/>
        <w:numPr>
          <w:ilvl w:val="1"/>
          <w:numId w:val="40"/>
        </w:numPr>
        <w:spacing w:before="0"/>
        <w:ind w:left="426" w:hanging="425"/>
        <w:jc w:val="both"/>
        <w:rPr>
          <w:rFonts w:ascii="Times New Roman" w:hAnsi="Times New Roman" w:cs="Times New Roman"/>
          <w:noProof/>
          <w:sz w:val="24"/>
        </w:rPr>
      </w:pPr>
      <w:r w:rsidRPr="00B03B51">
        <w:rPr>
          <w:rFonts w:ascii="Times New Roman" w:hAnsi="Times New Roman" w:cs="Times New Roman"/>
          <w:sz w:val="24"/>
        </w:rPr>
        <w:t>attiecībā uz noguldījumiem (vai pielīdzinātiem instrumentiem, kas klasificēti AF.2, piemēram, neapgrozāmas parādzīmes, norādītā vērtība ietver uzkrātos procentus, ja tie ir “kapitalizēti”. Var pieņemt, ka procenti</w:t>
      </w:r>
      <w:r w:rsidRPr="00B03B51">
        <w:rPr>
          <w:rStyle w:val="FootnoteReference"/>
          <w:rFonts w:ascii="Times New Roman" w:hAnsi="Times New Roman" w:cs="Times New Roman"/>
          <w:noProof/>
          <w:sz w:val="24"/>
        </w:rPr>
        <w:footnoteReference w:id="291"/>
      </w:r>
      <w:r w:rsidRPr="00B03B51">
        <w:rPr>
          <w:rFonts w:ascii="Times New Roman" w:hAnsi="Times New Roman" w:cs="Times New Roman"/>
          <w:sz w:val="24"/>
        </w:rPr>
        <w:t xml:space="preserve"> ir kapitalizēti, kad tie:</w:t>
      </w:r>
    </w:p>
    <w:p w14:paraId="0349EF2A" w14:textId="77777777" w:rsidR="00443399" w:rsidRPr="00B03B51" w:rsidRDefault="00443399" w:rsidP="002E0524">
      <w:pPr>
        <w:pStyle w:val="BodyText"/>
        <w:tabs>
          <w:tab w:val="left" w:pos="1126"/>
        </w:tabs>
        <w:spacing w:before="0"/>
        <w:ind w:left="426" w:firstLine="0"/>
        <w:jc w:val="both"/>
        <w:rPr>
          <w:rFonts w:ascii="Times New Roman" w:hAnsi="Times New Roman" w:cs="Times New Roman"/>
          <w:noProof/>
          <w:sz w:val="24"/>
        </w:rPr>
      </w:pPr>
    </w:p>
    <w:p w14:paraId="4668D10F" w14:textId="77777777" w:rsidR="00443399" w:rsidRPr="00B03B51" w:rsidRDefault="00443399" w:rsidP="002E0524">
      <w:pPr>
        <w:pStyle w:val="BodyText"/>
        <w:numPr>
          <w:ilvl w:val="2"/>
          <w:numId w:val="40"/>
        </w:numPr>
        <w:spacing w:before="0"/>
        <w:ind w:left="426" w:firstLine="0"/>
        <w:jc w:val="both"/>
        <w:rPr>
          <w:rFonts w:ascii="Times New Roman" w:hAnsi="Times New Roman" w:cs="Times New Roman"/>
          <w:noProof/>
          <w:sz w:val="24"/>
        </w:rPr>
      </w:pPr>
      <w:r w:rsidRPr="00B03B51">
        <w:rPr>
          <w:rFonts w:ascii="Times New Roman" w:hAnsi="Times New Roman" w:cs="Times New Roman"/>
          <w:sz w:val="24"/>
        </w:rPr>
        <w:t>nav nošķirami no pamatsummas;</w:t>
      </w:r>
    </w:p>
    <w:p w14:paraId="3E290C23" w14:textId="77777777" w:rsidR="00443399" w:rsidRPr="00B03B51" w:rsidRDefault="00443399" w:rsidP="002E0524">
      <w:pPr>
        <w:pStyle w:val="BodyText"/>
        <w:numPr>
          <w:ilvl w:val="2"/>
          <w:numId w:val="40"/>
        </w:numPr>
        <w:spacing w:before="0"/>
        <w:ind w:left="426" w:firstLine="0"/>
        <w:jc w:val="both"/>
        <w:rPr>
          <w:rFonts w:ascii="Times New Roman" w:hAnsi="Times New Roman" w:cs="Times New Roman"/>
          <w:noProof/>
          <w:sz w:val="24"/>
        </w:rPr>
      </w:pPr>
      <w:r w:rsidRPr="00B03B51">
        <w:rPr>
          <w:rFonts w:ascii="Times New Roman" w:hAnsi="Times New Roman" w:cs="Times New Roman"/>
          <w:sz w:val="24"/>
        </w:rPr>
        <w:t>ir faktiski kreditēti turētājam (piemēram, parādās bankas pārskatā vai tamlīdzīgi);</w:t>
      </w:r>
    </w:p>
    <w:p w14:paraId="47C36378" w14:textId="77777777" w:rsidR="00443399" w:rsidRPr="00B03B51" w:rsidRDefault="00443399" w:rsidP="002E0524">
      <w:pPr>
        <w:pStyle w:val="BodyText"/>
        <w:numPr>
          <w:ilvl w:val="2"/>
          <w:numId w:val="40"/>
        </w:numPr>
        <w:spacing w:before="0"/>
        <w:ind w:left="426" w:firstLine="0"/>
        <w:jc w:val="both"/>
        <w:rPr>
          <w:rFonts w:ascii="Times New Roman" w:hAnsi="Times New Roman" w:cs="Times New Roman"/>
          <w:noProof/>
          <w:sz w:val="24"/>
        </w:rPr>
      </w:pPr>
      <w:r w:rsidRPr="00B03B51">
        <w:rPr>
          <w:rFonts w:ascii="Times New Roman" w:hAnsi="Times New Roman" w:cs="Times New Roman"/>
          <w:sz w:val="24"/>
        </w:rPr>
        <w:t>ir likumīgi iegūti;</w:t>
      </w:r>
    </w:p>
    <w:p w14:paraId="2DCBDABF" w14:textId="77777777" w:rsidR="00443399" w:rsidRPr="00B03B51" w:rsidRDefault="00443399" w:rsidP="002E0524">
      <w:pPr>
        <w:pStyle w:val="BodyText"/>
        <w:numPr>
          <w:ilvl w:val="2"/>
          <w:numId w:val="40"/>
        </w:numPr>
        <w:spacing w:before="0"/>
        <w:ind w:left="426" w:firstLine="0"/>
        <w:jc w:val="both"/>
        <w:rPr>
          <w:rFonts w:ascii="Times New Roman" w:hAnsi="Times New Roman" w:cs="Times New Roman"/>
          <w:noProof/>
          <w:sz w:val="24"/>
        </w:rPr>
      </w:pPr>
      <w:r w:rsidRPr="00B03B51">
        <w:rPr>
          <w:rFonts w:ascii="Times New Roman" w:hAnsi="Times New Roman" w:cs="Times New Roman"/>
          <w:sz w:val="24"/>
        </w:rPr>
        <w:t>ir pievienoti pamatsummai vai</w:t>
      </w:r>
    </w:p>
    <w:p w14:paraId="0093974D" w14:textId="77777777" w:rsidR="00443399" w:rsidRPr="00B03B51" w:rsidRDefault="00443399" w:rsidP="002E0524">
      <w:pPr>
        <w:pStyle w:val="BodyText"/>
        <w:numPr>
          <w:ilvl w:val="2"/>
          <w:numId w:val="40"/>
        </w:numPr>
        <w:spacing w:before="0"/>
        <w:ind w:left="426" w:firstLine="0"/>
        <w:jc w:val="both"/>
        <w:rPr>
          <w:rFonts w:ascii="Times New Roman" w:hAnsi="Times New Roman" w:cs="Times New Roman"/>
          <w:noProof/>
          <w:sz w:val="24"/>
        </w:rPr>
      </w:pPr>
      <w:r w:rsidRPr="00B03B51">
        <w:rPr>
          <w:rFonts w:ascii="Times New Roman" w:hAnsi="Times New Roman" w:cs="Times New Roman"/>
          <w:sz w:val="24"/>
        </w:rPr>
        <w:lastRenderedPageBreak/>
        <w:t>rada procentus</w:t>
      </w:r>
      <w:r w:rsidRPr="00B03B51">
        <w:rPr>
          <w:rStyle w:val="FootnoteReference"/>
          <w:rFonts w:ascii="Times New Roman" w:hAnsi="Times New Roman" w:cs="Times New Roman"/>
          <w:noProof/>
          <w:sz w:val="24"/>
        </w:rPr>
        <w:footnoteReference w:id="292"/>
      </w:r>
      <w:r w:rsidRPr="00B03B51">
        <w:rPr>
          <w:rFonts w:ascii="Times New Roman" w:hAnsi="Times New Roman" w:cs="Times New Roman"/>
          <w:sz w:val="24"/>
        </w:rPr>
        <w:t>.</w:t>
      </w:r>
    </w:p>
    <w:p w14:paraId="39200425" w14:textId="77777777" w:rsidR="00443399" w:rsidRPr="00B03B51" w:rsidRDefault="00443399" w:rsidP="002E0524">
      <w:pPr>
        <w:pStyle w:val="BodyText"/>
        <w:spacing w:before="0"/>
        <w:ind w:left="426" w:firstLine="0"/>
        <w:jc w:val="both"/>
        <w:rPr>
          <w:rFonts w:ascii="Times New Roman" w:hAnsi="Times New Roman" w:cs="Times New Roman"/>
          <w:noProof/>
          <w:sz w:val="24"/>
        </w:rPr>
      </w:pPr>
    </w:p>
    <w:p w14:paraId="1C4BC880" w14:textId="77777777" w:rsidR="00443399" w:rsidRPr="00B03B51" w:rsidRDefault="00443399" w:rsidP="002E0524">
      <w:pPr>
        <w:pStyle w:val="BodyText"/>
        <w:spacing w:before="0"/>
        <w:ind w:left="426" w:firstLine="0"/>
        <w:jc w:val="both"/>
        <w:rPr>
          <w:rFonts w:ascii="Times New Roman" w:hAnsi="Times New Roman" w:cs="Times New Roman"/>
          <w:noProof/>
          <w:sz w:val="24"/>
        </w:rPr>
      </w:pPr>
      <w:r w:rsidRPr="00B03B51">
        <w:rPr>
          <w:rFonts w:ascii="Times New Roman" w:hAnsi="Times New Roman" w:cs="Times New Roman"/>
          <w:sz w:val="24"/>
        </w:rPr>
        <w:t>Ja kreditors jebkurā laikā var izņemt uzkrātos procentus, uzskatāms, ka tā procentu daļa, kas ir pārvēršama naudā, ir kapitalizēta, jo uzskatāms, ka kreditors ir pieņēmis apzinātu lēmumu par atkārtotu ieguldīšanu, un attiecīgi norādītā vērtība tad ir vienāda ar šo iekasēšanas vērtību;</w:t>
      </w:r>
    </w:p>
    <w:p w14:paraId="22579943" w14:textId="77777777" w:rsidR="00443399" w:rsidRPr="00B03B51" w:rsidRDefault="00443399" w:rsidP="002E0524">
      <w:pPr>
        <w:pStyle w:val="BodyText"/>
        <w:spacing w:before="0"/>
        <w:ind w:left="426" w:firstLine="0"/>
        <w:jc w:val="both"/>
        <w:rPr>
          <w:rFonts w:ascii="Times New Roman" w:hAnsi="Times New Roman" w:cs="Times New Roman"/>
          <w:noProof/>
          <w:sz w:val="24"/>
        </w:rPr>
      </w:pPr>
    </w:p>
    <w:p w14:paraId="159F731D" w14:textId="77777777" w:rsidR="00443399" w:rsidRPr="00B03B51" w:rsidRDefault="00443399" w:rsidP="002E0524">
      <w:pPr>
        <w:pStyle w:val="BodyText"/>
        <w:numPr>
          <w:ilvl w:val="1"/>
          <w:numId w:val="40"/>
        </w:numPr>
        <w:spacing w:before="0"/>
        <w:ind w:left="426" w:hanging="425"/>
        <w:jc w:val="both"/>
        <w:rPr>
          <w:rFonts w:ascii="Times New Roman" w:hAnsi="Times New Roman" w:cs="Times New Roman"/>
          <w:noProof/>
          <w:sz w:val="24"/>
        </w:rPr>
      </w:pPr>
      <w:r w:rsidRPr="00B03B51">
        <w:rPr>
          <w:rFonts w:ascii="Times New Roman" w:hAnsi="Times New Roman" w:cs="Times New Roman"/>
          <w:sz w:val="24"/>
        </w:rPr>
        <w:t>indeksējamās obligācijas – norādītā vērtība atbilst (sākotnējai) norādītajai vērtībai, kas precizēta, izmantojot indeksēto kapitāla pieaugumu, kurš uzkrāts gada beigās (nereti ar garantētu minimālo izpirkuma vērtību), kā noteikts Padomes Regulas (EK) Nr. 479/2009 1. pantā. Tas attiecas uz obligācijām, kas ir indeksētas ar “vispārējo cenu indeksu” vai ar “šauru indeksu”.</w:t>
      </w:r>
      <w:r w:rsidRPr="00B03B51">
        <w:rPr>
          <w:rStyle w:val="FootnoteReference"/>
          <w:rFonts w:ascii="Times New Roman" w:hAnsi="Times New Roman" w:cs="Times New Roman"/>
          <w:noProof/>
          <w:sz w:val="24"/>
        </w:rPr>
        <w:footnoteReference w:id="293"/>
      </w:r>
      <w:r w:rsidRPr="00B03B51">
        <w:rPr>
          <w:rFonts w:ascii="Times New Roman" w:hAnsi="Times New Roman" w:cs="Times New Roman"/>
          <w:sz w:val="24"/>
          <w:szCs w:val="12"/>
        </w:rPr>
        <w:t xml:space="preserve"> </w:t>
      </w:r>
      <w:r w:rsidRPr="00B03B51">
        <w:rPr>
          <w:rFonts w:ascii="Times New Roman" w:hAnsi="Times New Roman" w:cs="Times New Roman"/>
          <w:sz w:val="24"/>
        </w:rPr>
        <w:t>Obligācijas, kas maksā vienreizēju summu (termiņa beigās), kas indeksētas atbilstoši rādītājam un tiek reklamētas kā “kapitalizētu procentu obligācijas”, ir jātraktē kā indeksējamās obligācijas;</w:t>
      </w:r>
    </w:p>
    <w:p w14:paraId="210FD5DC" w14:textId="77777777" w:rsidR="00443399" w:rsidRPr="00B03B51" w:rsidRDefault="00443399" w:rsidP="002E0524">
      <w:pPr>
        <w:pStyle w:val="BodyText"/>
        <w:numPr>
          <w:ilvl w:val="1"/>
          <w:numId w:val="40"/>
        </w:numPr>
        <w:spacing w:before="0"/>
        <w:ind w:left="426" w:hanging="425"/>
        <w:jc w:val="both"/>
        <w:rPr>
          <w:rFonts w:ascii="Times New Roman" w:hAnsi="Times New Roman" w:cs="Times New Roman"/>
          <w:noProof/>
          <w:sz w:val="24"/>
        </w:rPr>
      </w:pPr>
      <w:r w:rsidRPr="00B03B51">
        <w:rPr>
          <w:rFonts w:ascii="Times New Roman" w:hAnsi="Times New Roman" w:cs="Times New Roman"/>
          <w:sz w:val="24"/>
        </w:rPr>
        <w:t>bezkupona obligācijas (piemēram, valsts kases parādzīmes) – norādītā vērtība ir izpirkuma vērtība. Obligācijas, kas maksā iepriekš noteiktu vienreizēju summu (termiņa beigās) un kas tiek reklamētas kā “kapitalizētu procentu obligācijas”, ir jātraktē kā bezkupona obligācijas;</w:t>
      </w:r>
    </w:p>
    <w:p w14:paraId="778C26D8" w14:textId="77777777" w:rsidR="00443399" w:rsidRPr="00B03B51" w:rsidRDefault="00443399" w:rsidP="002E0524">
      <w:pPr>
        <w:pStyle w:val="BodyText"/>
        <w:numPr>
          <w:ilvl w:val="1"/>
          <w:numId w:val="40"/>
        </w:numPr>
        <w:spacing w:before="0"/>
        <w:ind w:left="426" w:hanging="425"/>
        <w:jc w:val="both"/>
        <w:rPr>
          <w:rFonts w:ascii="Times New Roman" w:hAnsi="Times New Roman" w:cs="Times New Roman"/>
          <w:noProof/>
          <w:sz w:val="24"/>
        </w:rPr>
      </w:pPr>
      <w:r w:rsidRPr="00B03B51">
        <w:rPr>
          <w:rFonts w:ascii="Times New Roman" w:hAnsi="Times New Roman" w:cs="Times New Roman"/>
          <w:sz w:val="24"/>
        </w:rPr>
        <w:t>obligācijas ar kapitalizētiem procentiem, proti, instrumenti, kas maksā vienreizēju summu (termiņa beigu dienā), kura nav ne iepriekš noteikta, ne indeksēta – norādītā vērtība ir emisijas vērtība, kurai pieskaitīti kapitalizētie procenti, līdzīgi indeksējamo obligāciju ierakstīšanai, kas ir kapitalizējami pa periodiem saskaņā ar līgumā ietvertu formulu. Šī vērtība obligācijas darbības laikā atšķirsies no izpirkšanas vērtības, ņemot vērā, ka izpirkšanas vērtība nav zināma līdz izpirkšanai;</w:t>
      </w:r>
    </w:p>
    <w:p w14:paraId="56BB2913" w14:textId="77777777" w:rsidR="00443399" w:rsidRPr="00B03B51" w:rsidRDefault="00443399" w:rsidP="002E0524">
      <w:pPr>
        <w:pStyle w:val="BodyText"/>
        <w:numPr>
          <w:ilvl w:val="1"/>
          <w:numId w:val="40"/>
        </w:numPr>
        <w:spacing w:before="0"/>
        <w:ind w:left="426" w:hanging="425"/>
        <w:jc w:val="both"/>
        <w:rPr>
          <w:rFonts w:ascii="Times New Roman" w:hAnsi="Times New Roman" w:cs="Times New Roman"/>
          <w:noProof/>
          <w:sz w:val="24"/>
        </w:rPr>
      </w:pPr>
      <w:r w:rsidRPr="00B03B51">
        <w:rPr>
          <w:rFonts w:ascii="Times New Roman" w:hAnsi="Times New Roman" w:cs="Times New Roman"/>
          <w:sz w:val="24"/>
        </w:rPr>
        <w:t>sadalītās obligācijas – kupona un pamatsummas atdalīšana nemaina sākotnējās obligācijas norādīto vērtību.</w:t>
      </w:r>
      <w:r w:rsidRPr="00B03B51">
        <w:rPr>
          <w:rStyle w:val="FootnoteReference"/>
          <w:rFonts w:ascii="Times New Roman" w:hAnsi="Times New Roman" w:cs="Times New Roman"/>
          <w:noProof/>
          <w:sz w:val="24"/>
        </w:rPr>
        <w:footnoteReference w:id="294"/>
      </w:r>
      <w:r w:rsidRPr="00B03B51">
        <w:rPr>
          <w:rFonts w:ascii="Times New Roman" w:hAnsi="Times New Roman" w:cs="Times New Roman"/>
          <w:sz w:val="24"/>
          <w:szCs w:val="12"/>
        </w:rPr>
        <w:t xml:space="preserve"> </w:t>
      </w:r>
      <w:r w:rsidRPr="00B03B51">
        <w:rPr>
          <w:rFonts w:ascii="Times New Roman" w:hAnsi="Times New Roman" w:cs="Times New Roman"/>
          <w:sz w:val="24"/>
        </w:rPr>
        <w:t xml:space="preserve">Iespējams ir kupona un pamatsummas atdalīšanas darījuma pretējais </w:t>
      </w:r>
      <w:r w:rsidRPr="00B03B51">
        <w:rPr>
          <w:rFonts w:ascii="Times New Roman" w:hAnsi="Times New Roman" w:cs="Times New Roman"/>
          <w:sz w:val="24"/>
        </w:rPr>
        <w:lastRenderedPageBreak/>
        <w:t>darījums;</w:t>
      </w:r>
    </w:p>
    <w:p w14:paraId="65239A70" w14:textId="77777777" w:rsidR="00443399" w:rsidRPr="00B03B51" w:rsidRDefault="00443399" w:rsidP="002E0524">
      <w:pPr>
        <w:pStyle w:val="BodyText"/>
        <w:numPr>
          <w:ilvl w:val="1"/>
          <w:numId w:val="40"/>
        </w:numPr>
        <w:spacing w:before="0"/>
        <w:ind w:left="426" w:hanging="425"/>
        <w:jc w:val="both"/>
        <w:rPr>
          <w:rFonts w:ascii="Times New Roman" w:hAnsi="Times New Roman" w:cs="Times New Roman"/>
          <w:noProof/>
          <w:sz w:val="24"/>
        </w:rPr>
      </w:pPr>
      <w:r w:rsidRPr="00B03B51">
        <w:rPr>
          <w:rFonts w:ascii="Times New Roman" w:hAnsi="Times New Roman" w:cs="Times New Roman"/>
          <w:sz w:val="24"/>
        </w:rPr>
        <w:t>finanšu noma – parāds ietver aprēķināto aizdevumu, kas sākumā ir vienāds ar bruto pamatkapitāla veidošanu.</w:t>
      </w:r>
    </w:p>
    <w:p w14:paraId="21E8A10B" w14:textId="77777777" w:rsidR="00443399" w:rsidRPr="00B03B51" w:rsidRDefault="00443399" w:rsidP="00443399">
      <w:pPr>
        <w:jc w:val="both"/>
        <w:rPr>
          <w:rFonts w:ascii="Times New Roman" w:eastAsia="Arial" w:hAnsi="Times New Roman" w:cs="Times New Roman"/>
          <w:noProof/>
          <w:sz w:val="24"/>
          <w:szCs w:val="16"/>
        </w:rPr>
      </w:pPr>
    </w:p>
    <w:p w14:paraId="7476DB1D" w14:textId="77777777" w:rsidR="00443399" w:rsidRPr="00B03B51" w:rsidRDefault="00443399" w:rsidP="00443399">
      <w:pPr>
        <w:pStyle w:val="Heading6"/>
        <w:tabs>
          <w:tab w:val="left" w:pos="1267"/>
        </w:tabs>
        <w:ind w:left="0" w:firstLine="0"/>
        <w:jc w:val="both"/>
        <w:rPr>
          <w:rFonts w:ascii="Times New Roman" w:hAnsi="Times New Roman" w:cs="Times New Roman"/>
          <w:noProof/>
          <w:sz w:val="24"/>
        </w:rPr>
      </w:pPr>
      <w:bookmarkStart w:id="613" w:name="8.2.2.3_Accrued_interest"/>
      <w:bookmarkEnd w:id="613"/>
      <w:r w:rsidRPr="00B03B51">
        <w:rPr>
          <w:rFonts w:ascii="Times New Roman" w:hAnsi="Times New Roman" w:cs="Times New Roman"/>
          <w:sz w:val="24"/>
        </w:rPr>
        <w:t>8.2.2.3. UZKRĀTIE PROCENTI</w:t>
      </w:r>
    </w:p>
    <w:p w14:paraId="0EC0E99D"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19CEEC1A"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13. Nacionālajos kontos procentus ieraksta, tiklīdz tie uzkrājas. Tāpēc neatkarīgi no tā, vai faktiski tie ir izmaksāti vai nav, uzkrātie procenti ietekmē neto aizdevumu/aizņēmumu (B.9).</w:t>
      </w:r>
    </w:p>
    <w:p w14:paraId="32446089"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04383F5D"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14. Saskaņā ar EKS 2010 uzkrātos procentus nepārtraukti pieskaita instrumenta vērtībai bilancē. Šī vērtība samazinās, tiklīdz procenti ir faktiski izmaksāti. EKS nominālvērtība ietver uzkrāto procentu krājumus.</w:t>
      </w:r>
    </w:p>
    <w:p w14:paraId="7CE39338"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4193D3A3"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 xml:space="preserve">15. Saskaņā ar </w:t>
      </w:r>
      <w:r w:rsidRPr="00B03B51">
        <w:rPr>
          <w:rFonts w:ascii="Times New Roman" w:hAnsi="Times New Roman" w:cs="Times New Roman"/>
          <w:i/>
          <w:iCs/>
          <w:sz w:val="24"/>
        </w:rPr>
        <w:t>EDP</w:t>
      </w:r>
      <w:r w:rsidRPr="00B03B51">
        <w:rPr>
          <w:rFonts w:ascii="Times New Roman" w:hAnsi="Times New Roman" w:cs="Times New Roman"/>
          <w:sz w:val="24"/>
        </w:rPr>
        <w:t xml:space="preserve"> noteikumiem valdības parādu aprēķina pēc nominālvērtības (saskaņā ar Līgumu), ko pielīdzina </w:t>
      </w:r>
      <w:r w:rsidRPr="00B03B51">
        <w:rPr>
          <w:rFonts w:ascii="Times New Roman" w:hAnsi="Times New Roman" w:cs="Times New Roman"/>
          <w:i/>
          <w:iCs/>
          <w:sz w:val="24"/>
        </w:rPr>
        <w:t>EDP</w:t>
      </w:r>
      <w:r w:rsidRPr="00B03B51">
        <w:rPr>
          <w:rFonts w:ascii="Times New Roman" w:hAnsi="Times New Roman" w:cs="Times New Roman"/>
          <w:sz w:val="24"/>
        </w:rPr>
        <w:t xml:space="preserve"> regulā noteiktajai norādītajai vērtībai, kā minēts iepriekš, nevis EKS 2010 noteiktajai nominālvērtībai. Attiecīgi uzkrātos procentus neieraksta attiecīgajā parāda instrumentā, ja vien tie nav uzskatāmi par kapitalizētiem.</w:t>
      </w:r>
    </w:p>
    <w:p w14:paraId="5F2AFDA3" w14:textId="77777777" w:rsidR="00443399" w:rsidRPr="00B03B51" w:rsidRDefault="00443399" w:rsidP="00443399">
      <w:pPr>
        <w:jc w:val="both"/>
        <w:rPr>
          <w:rFonts w:ascii="Times New Roman" w:eastAsia="Arial" w:hAnsi="Times New Roman" w:cs="Times New Roman"/>
          <w:noProof/>
          <w:sz w:val="24"/>
          <w:szCs w:val="15"/>
        </w:rPr>
      </w:pPr>
    </w:p>
    <w:p w14:paraId="0F5145DC" w14:textId="77777777" w:rsidR="00443399" w:rsidRPr="00B03B51" w:rsidRDefault="00443399" w:rsidP="00443399">
      <w:pPr>
        <w:pStyle w:val="Heading6"/>
        <w:tabs>
          <w:tab w:val="left" w:pos="1267"/>
        </w:tabs>
        <w:ind w:left="0" w:firstLine="0"/>
        <w:jc w:val="both"/>
        <w:rPr>
          <w:rFonts w:ascii="Times New Roman" w:hAnsi="Times New Roman" w:cs="Times New Roman"/>
          <w:noProof/>
          <w:sz w:val="24"/>
        </w:rPr>
      </w:pPr>
      <w:bookmarkStart w:id="614" w:name="8.2.2.4_Debt_in_foreign_currency"/>
      <w:bookmarkEnd w:id="614"/>
      <w:r w:rsidRPr="00B03B51">
        <w:rPr>
          <w:rFonts w:ascii="Times New Roman" w:hAnsi="Times New Roman" w:cs="Times New Roman"/>
          <w:sz w:val="24"/>
        </w:rPr>
        <w:t>8.2.2.4. PARĀDS ĀRVALSTU VALŪTĀ</w:t>
      </w:r>
    </w:p>
    <w:p w14:paraId="3BF1D520"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4789FC0D"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16. Nacionālajos kontos saistības, kas ir izteiktas ārvalstu valūtās, konvertē valsts valūtā pēc reprezentatīvā tūlītējā tirgus valūtas maiņas kursa, kas bija spēkā katra gada pēdējā darbdienā. Ar tām saistītos atvasinātos instrumentus (jo īpaši, valūtas kursa maiņas riska ierobežošanu) ieraksta atsevišķi. Savukārt Padomes Regulā (EK) Nr. 479/2009 ir teikts, ja saistības, kas izteiktas ārvalstu valūtā, saskaņā ar līgumisku vienošanos tiek mainītas pret vienu vai vairākām citām ārvalstu valūtām, tās jākonvertē minētajās ārvalstu valūtās pēc kursa, par kuru vienošanās panākta iepriekš minētajos līgumos, un tad jākonvertē valsts valūtā atbilstoši vispārējam noteikumam (minēts iepriekšējā punktā).</w:t>
      </w:r>
    </w:p>
    <w:p w14:paraId="139746E2"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2D86FC82"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17. Tas pats princips attiecas uz gadījumiem, kad parāds, kas izteikts valsts valūtā, mijmaiņas darījumā tiek mainīts ārvalstu valūtā. Tas nozīmē, ka saistības, kas izteiktas ārvalstu valūtā un saskaņā ar līgumiem mainītas valsts valūtā, konvertē valsts valūtā pēc likmes, kas noteikta minētajos līgumos.</w:t>
      </w:r>
    </w:p>
    <w:p w14:paraId="2E91C7BE" w14:textId="77777777" w:rsidR="00443399" w:rsidRPr="00B03B51" w:rsidRDefault="00443399" w:rsidP="00443399">
      <w:pPr>
        <w:jc w:val="both"/>
        <w:rPr>
          <w:rFonts w:ascii="Times New Roman" w:eastAsia="Arial" w:hAnsi="Times New Roman" w:cs="Times New Roman"/>
          <w:noProof/>
          <w:sz w:val="24"/>
          <w:szCs w:val="15"/>
        </w:rPr>
      </w:pPr>
    </w:p>
    <w:p w14:paraId="29A88690" w14:textId="77777777" w:rsidR="00443399" w:rsidRPr="00B03B51" w:rsidRDefault="00443399" w:rsidP="00443399">
      <w:pPr>
        <w:pStyle w:val="Heading6"/>
        <w:tabs>
          <w:tab w:val="left" w:pos="1267"/>
        </w:tabs>
        <w:ind w:left="0" w:firstLine="0"/>
        <w:jc w:val="both"/>
        <w:rPr>
          <w:rFonts w:ascii="Times New Roman" w:hAnsi="Times New Roman" w:cs="Times New Roman"/>
          <w:noProof/>
          <w:sz w:val="24"/>
        </w:rPr>
      </w:pPr>
      <w:bookmarkStart w:id="615" w:name="8.2.2.5_The_change_in_government_debt"/>
      <w:bookmarkEnd w:id="615"/>
      <w:r w:rsidRPr="00B03B51">
        <w:rPr>
          <w:rFonts w:ascii="Times New Roman" w:hAnsi="Times New Roman" w:cs="Times New Roman"/>
          <w:sz w:val="24"/>
        </w:rPr>
        <w:t>8.2.2.5. IZMAIŅAS VALDĪBAS PARĀDĀ</w:t>
      </w:r>
    </w:p>
    <w:p w14:paraId="413F012D"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291D0466"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 xml:space="preserve">18. Valdības parāda izmaiņas noteiktā laika intervālā (piemēram, laikposmā no </w:t>
      </w:r>
      <w:r w:rsidRPr="00B03B51">
        <w:rPr>
          <w:rFonts w:ascii="Times New Roman" w:hAnsi="Times New Roman" w:cs="Times New Roman"/>
          <w:i/>
          <w:iCs/>
          <w:sz w:val="24"/>
        </w:rPr>
        <w:t>N</w:t>
      </w:r>
      <w:r w:rsidRPr="00B03B51">
        <w:rPr>
          <w:rFonts w:ascii="Times New Roman" w:hAnsi="Times New Roman" w:cs="Times New Roman"/>
          <w:sz w:val="24"/>
        </w:rPr>
        <w:t xml:space="preserve"> gada beigām līdz </w:t>
      </w:r>
      <w:r w:rsidRPr="00B03B51">
        <w:rPr>
          <w:rFonts w:ascii="Times New Roman" w:hAnsi="Times New Roman" w:cs="Times New Roman"/>
          <w:i/>
          <w:iCs/>
          <w:sz w:val="24"/>
        </w:rPr>
        <w:t>N-1</w:t>
      </w:r>
      <w:r w:rsidRPr="00B03B51">
        <w:rPr>
          <w:rFonts w:ascii="Times New Roman" w:hAnsi="Times New Roman" w:cs="Times New Roman"/>
          <w:sz w:val="24"/>
        </w:rPr>
        <w:t xml:space="preserve"> gada beigām) ir vienādas ar jaunu saistību (F.2, F.3 un F.4) emisiju </w:t>
      </w:r>
      <w:r w:rsidRPr="00B03B51">
        <w:rPr>
          <w:rFonts w:ascii="Times New Roman" w:hAnsi="Times New Roman" w:cs="Times New Roman"/>
          <w:i/>
          <w:iCs/>
          <w:sz w:val="24"/>
        </w:rPr>
        <w:t>N</w:t>
      </w:r>
      <w:r w:rsidRPr="00B03B51">
        <w:rPr>
          <w:rFonts w:ascii="Times New Roman" w:hAnsi="Times New Roman" w:cs="Times New Roman"/>
          <w:sz w:val="24"/>
        </w:rPr>
        <w:t> gadā, no kurām atņemta atpirkšanas vērtība, un citām parāda saistību apjoma pārmaiņām (K.5 un K.6). Izņemot indeksēto parādu un pret valūtas riskiem nenodrošināto parādu ārvalstu valūtā, vērtēšanas sekas neietekmē valdības (</w:t>
      </w:r>
      <w:r w:rsidRPr="00B03B51">
        <w:rPr>
          <w:rFonts w:ascii="Times New Roman" w:hAnsi="Times New Roman" w:cs="Times New Roman"/>
          <w:i/>
          <w:iCs/>
          <w:sz w:val="24"/>
        </w:rPr>
        <w:t>EDP</w:t>
      </w:r>
      <w:r w:rsidRPr="00B03B51">
        <w:rPr>
          <w:rFonts w:ascii="Times New Roman" w:hAnsi="Times New Roman" w:cs="Times New Roman"/>
          <w:sz w:val="24"/>
        </w:rPr>
        <w:t>) parādu. Tā kā valdības parādu ieraksta konsolidētā veidā, tas var arī mainīties tādu darījumu dēļ, kas notiek starp valdības sektorā klasificētajiem turētājiem un citos sektoros (tostarp pārējā pasaulē) klasificētajiem turētājiem.</w:t>
      </w:r>
    </w:p>
    <w:p w14:paraId="593E89DB" w14:textId="77777777" w:rsidR="00443399" w:rsidRPr="00B03B51" w:rsidRDefault="00443399" w:rsidP="00443399">
      <w:pPr>
        <w:jc w:val="both"/>
        <w:rPr>
          <w:rFonts w:ascii="Times New Roman" w:eastAsia="Arial" w:hAnsi="Times New Roman" w:cs="Times New Roman"/>
          <w:noProof/>
          <w:sz w:val="24"/>
          <w:szCs w:val="19"/>
        </w:rPr>
      </w:pPr>
    </w:p>
    <w:p w14:paraId="4F3B775E" w14:textId="77777777" w:rsidR="00443399" w:rsidRPr="00B03B51" w:rsidRDefault="00443399" w:rsidP="00443399">
      <w:pPr>
        <w:jc w:val="both"/>
        <w:rPr>
          <w:rFonts w:ascii="Times New Roman" w:hAnsi="Times New Roman" w:cs="Times New Roman"/>
          <w:b/>
          <w:noProof/>
          <w:sz w:val="24"/>
        </w:rPr>
      </w:pPr>
      <w:r w:rsidRPr="00B03B51">
        <w:rPr>
          <w:rFonts w:ascii="Times New Roman" w:hAnsi="Times New Roman" w:cs="Times New Roman"/>
          <w:b/>
          <w:i/>
          <w:iCs/>
          <w:sz w:val="24"/>
        </w:rPr>
        <w:t>EDP</w:t>
      </w:r>
      <w:r w:rsidRPr="00B03B51">
        <w:rPr>
          <w:rFonts w:ascii="Times New Roman" w:hAnsi="Times New Roman" w:cs="Times New Roman"/>
          <w:b/>
          <w:sz w:val="24"/>
        </w:rPr>
        <w:t xml:space="preserve"> notifikācijas tabulas</w:t>
      </w:r>
    </w:p>
    <w:p w14:paraId="375F1EB3" w14:textId="77777777" w:rsidR="00443399" w:rsidRPr="00B03B51" w:rsidRDefault="00443399" w:rsidP="00443399">
      <w:pPr>
        <w:jc w:val="both"/>
        <w:rPr>
          <w:rFonts w:ascii="Times New Roman" w:eastAsia="Arial" w:hAnsi="Times New Roman" w:cs="Times New Roman"/>
          <w:b/>
          <w:bCs/>
          <w:noProof/>
          <w:sz w:val="24"/>
        </w:rPr>
      </w:pPr>
    </w:p>
    <w:p w14:paraId="572992CA"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 xml:space="preserve">19. </w:t>
      </w:r>
      <w:r w:rsidRPr="00B03B51">
        <w:rPr>
          <w:rFonts w:ascii="Times New Roman" w:hAnsi="Times New Roman" w:cs="Times New Roman"/>
          <w:i/>
          <w:iCs/>
          <w:sz w:val="24"/>
        </w:rPr>
        <w:t>EDP</w:t>
      </w:r>
      <w:r w:rsidRPr="00B03B51">
        <w:rPr>
          <w:rFonts w:ascii="Times New Roman" w:hAnsi="Times New Roman" w:cs="Times New Roman"/>
          <w:sz w:val="24"/>
        </w:rPr>
        <w:t xml:space="preserve"> notifikācijas tabulās, ko aizpildījušas ES dalībvalstis un ko divas reizes gadā nosūta Eiropas Komisijai, 3. tabulā atspoguļo saikni starp valdības neto aizdevumu/aizņēmumu (B.9) un izmaiņām valdības parādā. Analīzes nolūkos valdības parāda pieaugums jāaplūko šādu divu </w:t>
      </w:r>
      <w:r w:rsidRPr="00B03B51">
        <w:rPr>
          <w:rFonts w:ascii="Times New Roman" w:hAnsi="Times New Roman" w:cs="Times New Roman"/>
          <w:sz w:val="24"/>
        </w:rPr>
        <w:lastRenderedPageBreak/>
        <w:t>galveno faktoru dēļ:</w:t>
      </w:r>
    </w:p>
    <w:p w14:paraId="70F14072"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72425949" w14:textId="77777777" w:rsidR="00443399" w:rsidRPr="00B03B51" w:rsidRDefault="00443399" w:rsidP="002E0524">
      <w:pPr>
        <w:pStyle w:val="BodyText"/>
        <w:numPr>
          <w:ilvl w:val="1"/>
          <w:numId w:val="40"/>
        </w:numPr>
        <w:spacing w:before="0"/>
        <w:ind w:left="426" w:hanging="425"/>
        <w:jc w:val="both"/>
        <w:rPr>
          <w:rFonts w:ascii="Times New Roman" w:hAnsi="Times New Roman" w:cs="Times New Roman"/>
          <w:noProof/>
          <w:sz w:val="24"/>
        </w:rPr>
      </w:pPr>
      <w:r w:rsidRPr="00B03B51">
        <w:rPr>
          <w:rFonts w:ascii="Times New Roman" w:hAnsi="Times New Roman" w:cs="Times New Roman"/>
          <w:sz w:val="24"/>
        </w:rPr>
        <w:t>vispārējās valdības neto aizdevums/aizņēmums (B.9);</w:t>
      </w:r>
    </w:p>
    <w:p w14:paraId="766839BB" w14:textId="77777777" w:rsidR="00443399" w:rsidRPr="00B03B51" w:rsidRDefault="00443399" w:rsidP="002E0524">
      <w:pPr>
        <w:pStyle w:val="BodyText"/>
        <w:numPr>
          <w:ilvl w:val="1"/>
          <w:numId w:val="40"/>
        </w:numPr>
        <w:spacing w:before="0"/>
        <w:ind w:left="426" w:hanging="425"/>
        <w:jc w:val="both"/>
        <w:rPr>
          <w:rFonts w:ascii="Times New Roman" w:hAnsi="Times New Roman" w:cs="Times New Roman"/>
          <w:noProof/>
          <w:sz w:val="24"/>
        </w:rPr>
      </w:pPr>
      <w:r w:rsidRPr="00B03B51">
        <w:rPr>
          <w:rFonts w:ascii="Times New Roman" w:hAnsi="Times New Roman" w:cs="Times New Roman"/>
          <w:sz w:val="24"/>
        </w:rPr>
        <w:t>finanšu aktīvu neto iegāde, ko veic vispārējā valdība (plūsmas ieraksta finanšu kontā).</w:t>
      </w:r>
    </w:p>
    <w:p w14:paraId="177BB0A6"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7F349190"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20. Lai iegūtu galīgās izmaiņas valdības parādā, jāveic daži precizējumi:</w:t>
      </w:r>
    </w:p>
    <w:p w14:paraId="1EC14989"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782EC8EF" w14:textId="77777777" w:rsidR="00443399" w:rsidRPr="00B03B51" w:rsidRDefault="00443399" w:rsidP="002E0524">
      <w:pPr>
        <w:pStyle w:val="BodyText"/>
        <w:numPr>
          <w:ilvl w:val="1"/>
          <w:numId w:val="40"/>
        </w:numPr>
        <w:spacing w:before="0"/>
        <w:ind w:left="426" w:hanging="425"/>
        <w:jc w:val="both"/>
        <w:rPr>
          <w:rFonts w:ascii="Times New Roman" w:hAnsi="Times New Roman" w:cs="Times New Roman"/>
          <w:noProof/>
          <w:sz w:val="24"/>
        </w:rPr>
      </w:pPr>
      <w:r w:rsidRPr="00B03B51">
        <w:rPr>
          <w:rFonts w:ascii="Times New Roman" w:hAnsi="Times New Roman" w:cs="Times New Roman"/>
          <w:sz w:val="24"/>
        </w:rPr>
        <w:t>citās plūsmās (citas parāda saistību, turēšanas guvumu un zaudējumu apjoma pārmaiņas, jo īpaši ārvalstu valūtas parāda dēļ);</w:t>
      </w:r>
    </w:p>
    <w:p w14:paraId="35DF738F" w14:textId="77777777" w:rsidR="00443399" w:rsidRPr="00B03B51" w:rsidRDefault="00443399" w:rsidP="002E0524">
      <w:pPr>
        <w:pStyle w:val="BodyText"/>
        <w:numPr>
          <w:ilvl w:val="1"/>
          <w:numId w:val="40"/>
        </w:numPr>
        <w:spacing w:before="0"/>
        <w:ind w:left="426" w:hanging="425"/>
        <w:jc w:val="both"/>
        <w:rPr>
          <w:rFonts w:ascii="Times New Roman" w:hAnsi="Times New Roman" w:cs="Times New Roman"/>
          <w:noProof/>
          <w:sz w:val="24"/>
        </w:rPr>
      </w:pPr>
      <w:r w:rsidRPr="00B03B51">
        <w:rPr>
          <w:rFonts w:ascii="Times New Roman" w:hAnsi="Times New Roman" w:cs="Times New Roman"/>
          <w:i/>
          <w:iCs/>
          <w:sz w:val="24"/>
        </w:rPr>
        <w:t>EDP</w:t>
      </w:r>
      <w:r w:rsidRPr="00B03B51">
        <w:rPr>
          <w:rFonts w:ascii="Times New Roman" w:hAnsi="Times New Roman" w:cs="Times New Roman"/>
          <w:sz w:val="24"/>
        </w:rPr>
        <w:t xml:space="preserve"> definīcijā – neiekļauj ar </w:t>
      </w:r>
      <w:r w:rsidRPr="00B03B51">
        <w:rPr>
          <w:rFonts w:ascii="Times New Roman" w:hAnsi="Times New Roman" w:cs="Times New Roman"/>
          <w:i/>
          <w:iCs/>
          <w:sz w:val="24"/>
        </w:rPr>
        <w:t>EDP</w:t>
      </w:r>
      <w:r w:rsidRPr="00B03B51">
        <w:rPr>
          <w:rFonts w:ascii="Times New Roman" w:hAnsi="Times New Roman" w:cs="Times New Roman"/>
          <w:sz w:val="24"/>
        </w:rPr>
        <w:t xml:space="preserve"> nesaistītas finanšu saistības (galvenokārt kreditoru saistības un atvasinātos finanšu instrumentus), labojumus, ko veic, lai uzkrāto procentu vietā norādītu izmaksātos procentus, un attiecībā uz parāda vērtspapīriem – lai darījuma vērtības vietā norādītu norādīto vērtību. Pēdējā minētā ir atpirkšanas cenas un nominālvērtības starpība, ņemot vērā faktu, ka atpirkšanas cena var ietvert uzkrāto procentu maksājumu. Tāpēc norādītās vērtības un nominālvērtības starpība ir jāaprēķina, no atpirkšanas cenas atņemot to daļu, kas atbilst uzkrāto procentu maksājumam (atpirktais kupons).</w:t>
      </w:r>
    </w:p>
    <w:p w14:paraId="5860FCCE"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1BCF4C18"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21. Visbeidzot, jāidentificē statistiska pretruna, galvenokārt, saistībā ar pretrunu starp finanšu un nefinanšu kontiem (kas pastāv praksē).</w:t>
      </w:r>
    </w:p>
    <w:p w14:paraId="7AA705B7"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749324E1" w14:textId="77777777" w:rsidR="00443399" w:rsidRPr="00B03B51" w:rsidRDefault="00443399" w:rsidP="00443399">
      <w:pPr>
        <w:pStyle w:val="BodyText"/>
        <w:tabs>
          <w:tab w:val="left" w:pos="4879"/>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Valdības (konsolidētā) parāda pārmaiņas =</w:t>
      </w:r>
    </w:p>
    <w:p w14:paraId="4BFABF0D" w14:textId="77777777" w:rsidR="00443399" w:rsidRPr="00B03B51" w:rsidRDefault="00443399" w:rsidP="00443399">
      <w:pPr>
        <w:pStyle w:val="BodyText"/>
        <w:tabs>
          <w:tab w:val="left" w:pos="4879"/>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 neto aizdevums/neto aizņēmums</w:t>
      </w:r>
    </w:p>
    <w:p w14:paraId="6D80448A" w14:textId="77777777" w:rsidR="00443399" w:rsidRPr="00B03B51" w:rsidRDefault="00443399" w:rsidP="00443399">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t>+ finanšu aktīvu neto iegāde (F.1+F.2+F.3+F.4+F.5+F.6+ F.7+F.8)</w:t>
      </w:r>
    </w:p>
    <w:p w14:paraId="6CD254C5" w14:textId="77777777" w:rsidR="00443399" w:rsidRPr="00B03B51" w:rsidRDefault="00443399" w:rsidP="00443399">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t>+ korekcijas (citām plūsmām un pārmērīga budžeta deficīta novēršanas procedūras valdības parāda definīcijai)</w:t>
      </w:r>
    </w:p>
    <w:p w14:paraId="5C0B0678" w14:textId="77777777" w:rsidR="00443399" w:rsidRPr="00B03B51" w:rsidRDefault="00443399" w:rsidP="00443399">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t>+ statistiskas nesakritības</w:t>
      </w:r>
    </w:p>
    <w:p w14:paraId="2E042201" w14:textId="77777777" w:rsidR="00443399" w:rsidRPr="00B03B51" w:rsidRDefault="00443399" w:rsidP="00443399">
      <w:pPr>
        <w:jc w:val="both"/>
        <w:rPr>
          <w:rFonts w:ascii="Times New Roman" w:eastAsia="Arial" w:hAnsi="Times New Roman" w:cs="Times New Roman"/>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1"/>
      </w:tblGrid>
      <w:tr w:rsidR="00443399" w:rsidRPr="00B03B51" w14:paraId="38340E1E" w14:textId="77777777" w:rsidTr="0054365B">
        <w:tc>
          <w:tcPr>
            <w:tcW w:w="9281" w:type="dxa"/>
          </w:tcPr>
          <w:p w14:paraId="6F99563B" w14:textId="77777777" w:rsidR="00443399" w:rsidRPr="00B03B51" w:rsidRDefault="00443399" w:rsidP="0054365B">
            <w:pPr>
              <w:pStyle w:val="Heading3"/>
              <w:ind w:left="0" w:firstLine="0"/>
              <w:jc w:val="both"/>
              <w:outlineLvl w:val="2"/>
              <w:rPr>
                <w:rFonts w:ascii="Times New Roman" w:hAnsi="Times New Roman" w:cs="Times New Roman"/>
                <w:noProof/>
                <w:sz w:val="24"/>
              </w:rPr>
            </w:pPr>
            <w:bookmarkStart w:id="616" w:name="_Toc67565216"/>
            <w:r w:rsidRPr="00B03B51">
              <w:rPr>
                <w:rFonts w:ascii="Times New Roman" w:hAnsi="Times New Roman" w:cs="Times New Roman"/>
                <w:sz w:val="24"/>
              </w:rPr>
              <w:t>2. ierāmējums. Negatīvo procentu traktējums</w:t>
            </w:r>
            <w:bookmarkEnd w:id="616"/>
          </w:p>
          <w:p w14:paraId="688DF56A" w14:textId="77777777" w:rsidR="00443399" w:rsidRPr="00B03B51" w:rsidRDefault="00443399" w:rsidP="0054365B">
            <w:pPr>
              <w:jc w:val="both"/>
              <w:rPr>
                <w:rFonts w:ascii="Times New Roman" w:hAnsi="Times New Roman" w:cs="Times New Roman"/>
                <w:b/>
                <w:noProof/>
                <w:sz w:val="24"/>
              </w:rPr>
            </w:pPr>
          </w:p>
          <w:p w14:paraId="290CD793" w14:textId="77777777" w:rsidR="00443399" w:rsidRPr="00B03B51" w:rsidRDefault="00443399" w:rsidP="0054365B">
            <w:pPr>
              <w:jc w:val="both"/>
              <w:rPr>
                <w:rFonts w:ascii="Times New Roman" w:hAnsi="Times New Roman" w:cs="Times New Roman"/>
                <w:b/>
                <w:noProof/>
                <w:sz w:val="24"/>
              </w:rPr>
            </w:pPr>
            <w:r w:rsidRPr="00B03B51">
              <w:rPr>
                <w:rFonts w:ascii="Times New Roman" w:hAnsi="Times New Roman" w:cs="Times New Roman"/>
                <w:b/>
                <w:sz w:val="24"/>
              </w:rPr>
              <w:t>Ievads</w:t>
            </w:r>
          </w:p>
          <w:p w14:paraId="6CB6E3BD" w14:textId="77777777" w:rsidR="00443399" w:rsidRPr="00B03B51" w:rsidRDefault="00443399" w:rsidP="0054365B">
            <w:pPr>
              <w:pStyle w:val="BodyText"/>
              <w:spacing w:before="0"/>
              <w:ind w:left="0" w:firstLine="0"/>
              <w:jc w:val="both"/>
              <w:rPr>
                <w:rFonts w:ascii="Times New Roman" w:hAnsi="Times New Roman" w:cs="Times New Roman"/>
                <w:noProof/>
                <w:sz w:val="24"/>
              </w:rPr>
            </w:pPr>
          </w:p>
          <w:p w14:paraId="3F4BB27C" w14:textId="77777777" w:rsidR="00443399" w:rsidRPr="00B03B51" w:rsidRDefault="00443399" w:rsidP="0054365B">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t>Izņēmuma gadījumos var novērot negatīvas procentu likmes.</w:t>
            </w:r>
          </w:p>
          <w:p w14:paraId="560B1D61" w14:textId="77777777" w:rsidR="00443399" w:rsidRPr="00B03B51" w:rsidRDefault="00443399" w:rsidP="0054365B">
            <w:pPr>
              <w:jc w:val="both"/>
              <w:rPr>
                <w:rFonts w:ascii="Times New Roman" w:hAnsi="Times New Roman" w:cs="Times New Roman"/>
                <w:b/>
                <w:noProof/>
                <w:sz w:val="24"/>
              </w:rPr>
            </w:pPr>
          </w:p>
          <w:p w14:paraId="03730662" w14:textId="77777777" w:rsidR="00443399" w:rsidRPr="00B03B51" w:rsidRDefault="00443399" w:rsidP="0054365B">
            <w:pPr>
              <w:jc w:val="both"/>
              <w:rPr>
                <w:rFonts w:ascii="Times New Roman" w:hAnsi="Times New Roman" w:cs="Times New Roman"/>
                <w:b/>
                <w:noProof/>
                <w:sz w:val="24"/>
              </w:rPr>
            </w:pPr>
            <w:r w:rsidRPr="00B03B51">
              <w:rPr>
                <w:rFonts w:ascii="Times New Roman" w:hAnsi="Times New Roman" w:cs="Times New Roman"/>
                <w:b/>
                <w:sz w:val="24"/>
              </w:rPr>
              <w:t>Vispārīga informācija</w:t>
            </w:r>
          </w:p>
          <w:p w14:paraId="6EC87F8B" w14:textId="77777777" w:rsidR="00443399" w:rsidRPr="00B03B51" w:rsidRDefault="00443399" w:rsidP="0054365B">
            <w:pPr>
              <w:pStyle w:val="BodyText"/>
              <w:spacing w:before="0"/>
              <w:ind w:left="0" w:firstLine="0"/>
              <w:jc w:val="both"/>
              <w:rPr>
                <w:rFonts w:ascii="Times New Roman" w:hAnsi="Times New Roman" w:cs="Times New Roman"/>
                <w:noProof/>
                <w:sz w:val="24"/>
              </w:rPr>
            </w:pPr>
          </w:p>
          <w:p w14:paraId="1CD1DC34" w14:textId="77777777" w:rsidR="00443399" w:rsidRPr="00B03B51" w:rsidRDefault="00443399" w:rsidP="0054365B">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t>Negatīvas procentu likmes var būt tādām valstīm, kurām ir visai augsts starptautiskais reitings, likvīds parāda tirgus un attiecībā pret kurām ir labvēlīgas ieguldītāju prognozes.</w:t>
            </w:r>
          </w:p>
          <w:p w14:paraId="39F96F2A" w14:textId="77777777" w:rsidR="00443399" w:rsidRPr="00B03B51" w:rsidRDefault="00443399" w:rsidP="0054365B">
            <w:pPr>
              <w:pStyle w:val="BodyText"/>
              <w:spacing w:before="0"/>
              <w:ind w:left="0" w:firstLine="0"/>
              <w:jc w:val="both"/>
              <w:rPr>
                <w:rFonts w:ascii="Times New Roman" w:hAnsi="Times New Roman" w:cs="Times New Roman"/>
                <w:noProof/>
                <w:sz w:val="24"/>
              </w:rPr>
            </w:pPr>
          </w:p>
          <w:p w14:paraId="312A618B" w14:textId="77777777" w:rsidR="00443399" w:rsidRPr="00B03B51" w:rsidRDefault="00443399" w:rsidP="0054365B">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t>Teorētiski maksājamajiem procentiem var izšķirt šādus komponentus:</w:t>
            </w:r>
          </w:p>
          <w:p w14:paraId="41ECEFAE" w14:textId="77777777" w:rsidR="00443399" w:rsidRPr="00B03B51" w:rsidRDefault="00443399" w:rsidP="0054365B">
            <w:pPr>
              <w:pStyle w:val="BodyText"/>
              <w:spacing w:before="0"/>
              <w:ind w:left="0" w:firstLine="0"/>
              <w:jc w:val="both"/>
              <w:rPr>
                <w:rFonts w:ascii="Times New Roman" w:hAnsi="Times New Roman" w:cs="Times New Roman"/>
                <w:noProof/>
                <w:sz w:val="24"/>
              </w:rPr>
            </w:pPr>
          </w:p>
          <w:p w14:paraId="39B3CC6A" w14:textId="77777777" w:rsidR="00443399" w:rsidRPr="00B03B51" w:rsidRDefault="00443399" w:rsidP="00443399">
            <w:pPr>
              <w:pStyle w:val="BodyText"/>
              <w:numPr>
                <w:ilvl w:val="2"/>
                <w:numId w:val="20"/>
              </w:numPr>
              <w:spacing w:before="0"/>
              <w:ind w:left="709" w:hanging="425"/>
              <w:jc w:val="both"/>
              <w:rPr>
                <w:rFonts w:ascii="Times New Roman" w:hAnsi="Times New Roman" w:cs="Times New Roman"/>
                <w:noProof/>
                <w:sz w:val="24"/>
              </w:rPr>
            </w:pPr>
            <w:r w:rsidRPr="00B03B51">
              <w:rPr>
                <w:rFonts w:ascii="Times New Roman" w:hAnsi="Times New Roman" w:cs="Times New Roman"/>
                <w:sz w:val="24"/>
              </w:rPr>
              <w:t>bezriska likmi;</w:t>
            </w:r>
          </w:p>
          <w:p w14:paraId="41B5CF0E" w14:textId="77777777" w:rsidR="00443399" w:rsidRPr="00B03B51" w:rsidRDefault="00443399" w:rsidP="00443399">
            <w:pPr>
              <w:pStyle w:val="BodyText"/>
              <w:numPr>
                <w:ilvl w:val="2"/>
                <w:numId w:val="20"/>
              </w:numPr>
              <w:spacing w:before="0"/>
              <w:ind w:left="709" w:hanging="425"/>
              <w:jc w:val="both"/>
              <w:rPr>
                <w:rFonts w:ascii="Times New Roman" w:hAnsi="Times New Roman" w:cs="Times New Roman"/>
                <w:noProof/>
                <w:sz w:val="24"/>
              </w:rPr>
            </w:pPr>
            <w:r w:rsidRPr="00B03B51">
              <w:rPr>
                <w:rFonts w:ascii="Times New Roman" w:hAnsi="Times New Roman" w:cs="Times New Roman"/>
                <w:sz w:val="24"/>
              </w:rPr>
              <w:t>riska prēmiju;</w:t>
            </w:r>
          </w:p>
          <w:p w14:paraId="76D5300A" w14:textId="77777777" w:rsidR="00443399" w:rsidRPr="00B03B51" w:rsidRDefault="00443399" w:rsidP="00443399">
            <w:pPr>
              <w:pStyle w:val="BodyText"/>
              <w:numPr>
                <w:ilvl w:val="2"/>
                <w:numId w:val="20"/>
              </w:numPr>
              <w:spacing w:before="0"/>
              <w:ind w:left="709" w:hanging="425"/>
              <w:jc w:val="both"/>
              <w:rPr>
                <w:rFonts w:ascii="Times New Roman" w:hAnsi="Times New Roman" w:cs="Times New Roman"/>
                <w:noProof/>
                <w:sz w:val="24"/>
              </w:rPr>
            </w:pPr>
            <w:r w:rsidRPr="00B03B51">
              <w:rPr>
                <w:rFonts w:ascii="Times New Roman" w:hAnsi="Times New Roman" w:cs="Times New Roman"/>
                <w:sz w:val="24"/>
              </w:rPr>
              <w:t>izdevējas valdības pakalpojumu pret ieguldītāju.</w:t>
            </w:r>
          </w:p>
          <w:p w14:paraId="6BA0D54F" w14:textId="77777777" w:rsidR="00443399" w:rsidRPr="00B03B51" w:rsidRDefault="00443399" w:rsidP="0054365B">
            <w:pPr>
              <w:pStyle w:val="BodyText"/>
              <w:spacing w:before="0"/>
              <w:ind w:left="0" w:firstLine="0"/>
              <w:jc w:val="both"/>
              <w:rPr>
                <w:rFonts w:ascii="Times New Roman" w:hAnsi="Times New Roman" w:cs="Times New Roman"/>
                <w:noProof/>
                <w:sz w:val="24"/>
              </w:rPr>
            </w:pPr>
          </w:p>
          <w:p w14:paraId="14242446" w14:textId="77777777" w:rsidR="00443399" w:rsidRPr="00B03B51" w:rsidRDefault="00443399" w:rsidP="0054365B">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t>Ja procentu likmes ir negatīvas, riska prēmijas komponenta nav. Pakalpojuma komponents attiecas uz tādas vides radīšanu, kas būtu labvēlīga ieguldītājiem.</w:t>
            </w:r>
          </w:p>
          <w:p w14:paraId="49904C8C" w14:textId="77777777" w:rsidR="00443399" w:rsidRPr="00B03B51" w:rsidRDefault="00443399" w:rsidP="0054365B">
            <w:pPr>
              <w:pStyle w:val="BodyText"/>
              <w:spacing w:before="0"/>
              <w:ind w:left="0" w:firstLine="0"/>
              <w:jc w:val="both"/>
              <w:rPr>
                <w:rFonts w:ascii="Times New Roman" w:hAnsi="Times New Roman" w:cs="Times New Roman"/>
                <w:noProof/>
                <w:sz w:val="24"/>
              </w:rPr>
            </w:pPr>
          </w:p>
          <w:p w14:paraId="3FD57CC3" w14:textId="77777777" w:rsidR="00443399" w:rsidRPr="00B03B51" w:rsidRDefault="00443399" w:rsidP="0054365B">
            <w:pPr>
              <w:jc w:val="both"/>
              <w:rPr>
                <w:rFonts w:ascii="Times New Roman" w:hAnsi="Times New Roman" w:cs="Times New Roman"/>
                <w:b/>
                <w:noProof/>
                <w:sz w:val="24"/>
              </w:rPr>
            </w:pPr>
            <w:r w:rsidRPr="00B03B51">
              <w:rPr>
                <w:rFonts w:ascii="Times New Roman" w:hAnsi="Times New Roman" w:cs="Times New Roman"/>
                <w:b/>
                <w:sz w:val="24"/>
              </w:rPr>
              <w:t>Traktējums nacionālajos kontos</w:t>
            </w:r>
          </w:p>
          <w:p w14:paraId="7C201FE0" w14:textId="77777777" w:rsidR="00443399" w:rsidRPr="00B03B51" w:rsidRDefault="00443399" w:rsidP="0054365B">
            <w:pPr>
              <w:jc w:val="both"/>
              <w:rPr>
                <w:rFonts w:ascii="Times New Roman" w:hAnsi="Times New Roman" w:cs="Times New Roman"/>
                <w:b/>
                <w:noProof/>
                <w:sz w:val="24"/>
              </w:rPr>
            </w:pPr>
          </w:p>
          <w:p w14:paraId="7773C8CF" w14:textId="77777777" w:rsidR="00443399" w:rsidRPr="00B03B51" w:rsidRDefault="00443399" w:rsidP="0054365B">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lastRenderedPageBreak/>
              <w:t>Pirmkārt, parāda vērtspapīru procentu likmēs pakalpojuma komponenta nošķiršana varētu radīt nopietnas problēmas. Saskanības labad šo elementu vajadzētu nošķirt arī pozitīvu procentu likmju gadījumā. Otrkārt, liela problēma varētu būt procentos iekļautā pakalpojuma komponenta vērtības aplēse, un tās noteikšanai būtu nepieciešams īpašs algoritms. Treškārt, uzskatāms, ka negatīvo procentu summas būs ārkārtējas un samērā mazas. Tāpēc pakalpojuma komponentu nenošķir.</w:t>
            </w:r>
          </w:p>
          <w:p w14:paraId="2FEBB7E5" w14:textId="77777777" w:rsidR="00443399" w:rsidRPr="00B03B51" w:rsidRDefault="00443399" w:rsidP="0054365B">
            <w:pPr>
              <w:pStyle w:val="BodyText"/>
              <w:spacing w:before="0"/>
              <w:ind w:left="0" w:firstLine="0"/>
              <w:jc w:val="both"/>
              <w:rPr>
                <w:rFonts w:ascii="Times New Roman" w:hAnsi="Times New Roman" w:cs="Times New Roman"/>
                <w:noProof/>
                <w:sz w:val="24"/>
              </w:rPr>
            </w:pPr>
          </w:p>
          <w:p w14:paraId="00FA8810" w14:textId="77777777" w:rsidR="00443399" w:rsidRPr="00B03B51" w:rsidRDefault="00443399" w:rsidP="0054365B">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t>Negatīvo procentu kopējā summa ir skatāma kā negatīvie procenti, ko maksā valdība, un kā negatīvie procenti, ko saņem ieguldītāji. Tāpēc veic šo negatīvo un pozitīvo procentu plūsmu ieskaitu valdības instrumentos.</w:t>
            </w:r>
          </w:p>
          <w:p w14:paraId="2642864F" w14:textId="77777777" w:rsidR="00443399" w:rsidRPr="00B03B51" w:rsidRDefault="00443399" w:rsidP="0054365B">
            <w:pPr>
              <w:pStyle w:val="BodyText"/>
              <w:spacing w:before="0"/>
              <w:ind w:left="0" w:firstLine="0"/>
              <w:jc w:val="both"/>
              <w:rPr>
                <w:rFonts w:ascii="Times New Roman" w:hAnsi="Times New Roman" w:cs="Times New Roman"/>
                <w:noProof/>
                <w:sz w:val="24"/>
              </w:rPr>
            </w:pPr>
          </w:p>
          <w:p w14:paraId="61275CE4" w14:textId="77777777" w:rsidR="00443399" w:rsidRPr="00B03B51" w:rsidRDefault="00443399" w:rsidP="0054365B">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t>Valsts kases dokumentu emitē saskaņā ar norunāto cenu, savukārt atpirkšanas vērtība ir noteikta emisijas nosacījumos. Vairumā gadījumu atpirkšanas vērtība ir 100 %. Ja valdības piedāvātā procentu likme ir pozitīva, emisija ir ar atlaidi, un ja procentu likme ir negatīva, emisija ir ar prēmiju.</w:t>
            </w:r>
          </w:p>
          <w:p w14:paraId="3E237427" w14:textId="77777777" w:rsidR="00443399" w:rsidRPr="00B03B51" w:rsidRDefault="00443399" w:rsidP="0054365B">
            <w:pPr>
              <w:pStyle w:val="BodyText"/>
              <w:spacing w:before="0"/>
              <w:ind w:left="0" w:firstLine="0"/>
              <w:jc w:val="both"/>
              <w:rPr>
                <w:rFonts w:ascii="Times New Roman" w:hAnsi="Times New Roman" w:cs="Times New Roman"/>
                <w:noProof/>
                <w:sz w:val="24"/>
              </w:rPr>
            </w:pPr>
          </w:p>
          <w:p w14:paraId="712BCBBD" w14:textId="77777777" w:rsidR="00443399" w:rsidRPr="00B03B51" w:rsidRDefault="00443399" w:rsidP="0054365B">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t>Praksē negatīvo procentu summu var aprēķināt kā starpību starp emisijas cenu virs nomināla un atpirkšanas vērtību.</w:t>
            </w:r>
          </w:p>
        </w:tc>
      </w:tr>
    </w:tbl>
    <w:p w14:paraId="030BEDBC" w14:textId="77777777" w:rsidR="00443399" w:rsidRPr="00B03B51" w:rsidRDefault="00443399" w:rsidP="00443399">
      <w:pPr>
        <w:rPr>
          <w:rFonts w:ascii="Times New Roman" w:eastAsia="Arial" w:hAnsi="Times New Roman" w:cs="Times New Roman"/>
          <w:noProof/>
          <w:sz w:val="24"/>
          <w:szCs w:val="20"/>
        </w:rPr>
      </w:pPr>
      <w:r w:rsidRPr="00B03B51">
        <w:rPr>
          <w:rFonts w:ascii="Times New Roman" w:hAnsi="Times New Roman" w:cs="Times New Roman"/>
        </w:rPr>
        <w:lastRenderedPageBreak/>
        <w:br w:type="page"/>
      </w:r>
    </w:p>
    <w:p w14:paraId="7BABFCAA" w14:textId="77777777" w:rsidR="00443399" w:rsidRPr="00B03B51" w:rsidRDefault="00443399" w:rsidP="00443399">
      <w:pPr>
        <w:jc w:val="both"/>
        <w:rPr>
          <w:rFonts w:ascii="Times New Roman" w:eastAsia="Arial" w:hAnsi="Times New Roman" w:cs="Times New Roman"/>
          <w:noProof/>
          <w:sz w:val="24"/>
          <w:szCs w:val="19"/>
        </w:rPr>
      </w:pPr>
    </w:p>
    <w:p w14:paraId="10090EE2" w14:textId="77777777" w:rsidR="00443399" w:rsidRPr="00B03B51" w:rsidRDefault="00443399" w:rsidP="00443399">
      <w:pPr>
        <w:pStyle w:val="Heading2"/>
        <w:tabs>
          <w:tab w:val="left" w:pos="1135"/>
        </w:tabs>
        <w:spacing w:before="0"/>
        <w:ind w:left="0" w:firstLine="0"/>
        <w:jc w:val="both"/>
        <w:rPr>
          <w:rFonts w:ascii="Times New Roman" w:hAnsi="Times New Roman" w:cs="Times New Roman"/>
          <w:noProof/>
          <w:sz w:val="28"/>
          <w:szCs w:val="44"/>
        </w:rPr>
      </w:pPr>
      <w:bookmarkStart w:id="617" w:name="8.3_Recording_of_swaps"/>
      <w:bookmarkStart w:id="618" w:name="_bookmark63"/>
      <w:bookmarkStart w:id="619" w:name="_Toc67565217"/>
      <w:bookmarkEnd w:id="617"/>
      <w:bookmarkEnd w:id="618"/>
      <w:r w:rsidRPr="00B03B51">
        <w:rPr>
          <w:rFonts w:ascii="Times New Roman" w:hAnsi="Times New Roman" w:cs="Times New Roman"/>
          <w:sz w:val="28"/>
          <w:szCs w:val="44"/>
        </w:rPr>
        <w:t>8.3. Mijmaiņas darījumu ierakstīšana</w:t>
      </w:r>
      <w:bookmarkEnd w:id="619"/>
    </w:p>
    <w:p w14:paraId="468CA7BA" w14:textId="77777777" w:rsidR="00443399" w:rsidRPr="00100B51" w:rsidRDefault="00443399" w:rsidP="00100B51">
      <w:pPr>
        <w:rPr>
          <w:rFonts w:ascii="Times New Roman" w:hAnsi="Times New Roman" w:cs="Times New Roman"/>
          <w:noProof/>
          <w:sz w:val="24"/>
          <w:szCs w:val="24"/>
        </w:rPr>
      </w:pPr>
      <w:bookmarkStart w:id="620" w:name="8.3.1_Overview_on_swaps"/>
      <w:bookmarkEnd w:id="620"/>
    </w:p>
    <w:p w14:paraId="1D0B6A2E" w14:textId="77777777" w:rsidR="00443399" w:rsidRPr="00B03B51" w:rsidRDefault="00443399" w:rsidP="00443399">
      <w:pPr>
        <w:pStyle w:val="Heading3"/>
        <w:tabs>
          <w:tab w:val="left" w:pos="1267"/>
        </w:tabs>
        <w:ind w:left="0" w:firstLine="0"/>
        <w:jc w:val="both"/>
        <w:rPr>
          <w:rFonts w:ascii="Times New Roman" w:hAnsi="Times New Roman" w:cs="Times New Roman"/>
          <w:noProof/>
          <w:sz w:val="24"/>
        </w:rPr>
      </w:pPr>
      <w:bookmarkStart w:id="621" w:name="_Toc67565218"/>
      <w:r w:rsidRPr="00B03B51">
        <w:rPr>
          <w:rFonts w:ascii="Times New Roman" w:hAnsi="Times New Roman" w:cs="Times New Roman"/>
          <w:sz w:val="24"/>
        </w:rPr>
        <w:t>8.3.1. Pārskats par mijmaiņas darījumiem</w:t>
      </w:r>
      <w:bookmarkEnd w:id="621"/>
    </w:p>
    <w:p w14:paraId="59F537DB"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2F6CC1E6"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 Galvenie atvasināto finanšu instrumentu veidi ir mijmaiņas darījumi, iespēju līgumi un standartizētie nākotnes līgumi, taču katram šim veidam ir daudz atvasināto instrumentu paveidu un pat produktu, kuri sastāv no vairāku instrumentu veidu apvienojuma (skat. EKS 2010 5. nodaļu “Finanšu darījumi”). Šajā nodaļā galvenā uzmanība pievērsta mijmaiņas darījumiem, jo šāda veida atvasinātie instrumenti tiek visbiežāk izmantoti saistībā ar valsts parāda pārvaldību.</w:t>
      </w:r>
    </w:p>
    <w:p w14:paraId="7A575943"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04084ED6"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2. Mijmaiņas darījums ir juridiska divu pušu vienošanās nākotnē noteiktā laika posmā apmainīties ar periodiskiem maksājumiem. No vienas puses, tos izmanto daži ekonomikas subjekti, lai nodrošinātos pret riskiem, kas saistīti ar tirgus mainīgo lielumu, piemēram, attiecīgā finanšu instrumenta procentu likmi vai valūtas maiņas kursu (līdzīgi emitētai obligācijai), savukārt, no otras puses, tie ļauj subjektiem arī materializēt pašiem savas prognozes, izmantojot kopumā nozīmīgu “sviras efektu”. Mijmaiņas darījumu tirgū ļoti aktīva ir banku nozare.</w:t>
      </w:r>
    </w:p>
    <w:p w14:paraId="4DC52602"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1F4FF265"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3. Daudzas valdības izmanto mijmaiņas darījumus kā finanšu līdzekli riska pārvaldības mērķiem. Attiecībā uz parādu šādu pārvaldību var izmantot, lai nodrošinātos pret valūtas maiņas kursa riskiem, ja parāds ir emitēts ārvalstu valūtā, kā arī samazinātu parāda izmaksu atbilstoši pašreizējai un prognozētajai ienesīguma līknei (visu īstermiņa/ilgtermiņa procentu likmju izmaiņas), kopējā saistību portfeļa optimizēšanai un nākotnes parāda instrumentu emisijas risku ierobežošanai.</w:t>
      </w:r>
    </w:p>
    <w:p w14:paraId="5912D419"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425FA0E4"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4. Valdības parāda pārvaldnieki var pieņemt lēmumu izmantot piemērotākos parāda pārvaldības līdzekļus atbilstoši saviem mērķiem un ierobežojumiem. Parasti nošķir “mikronodrošināšanu”, kas saistīta ar konkrētu parāda instrumentu, no “makronodrošināšanas”, kas attiecas uz plašāku no parāda instrumentu kopuma izrietošu risku. Riska pārvaldība var attiekties arī uz aktīviem, jo īpaši tad, ja valdības vienības pakļauj sevi riskam saistībā ar likviditātes ieguldījumiem. Riska pārvaldības jautājumos valdības parāda pārvaldnieki finanšu ministrijās vai citās šim mērķim izveidotās iestādēs būtībā rīkojas tāpat kā finanšu uzņēmumu un valsts kases speciālisti.</w:t>
      </w:r>
    </w:p>
    <w:p w14:paraId="69AC348D"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0E68EA61"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5. Ļoti izplatīts tradicionālais veids ir “procentu likmes mijmaiņas darījumi” (</w:t>
      </w:r>
      <w:r w:rsidRPr="00B03B51">
        <w:rPr>
          <w:rFonts w:ascii="Times New Roman" w:hAnsi="Times New Roman" w:cs="Times New Roman"/>
          <w:i/>
          <w:iCs/>
          <w:sz w:val="24"/>
        </w:rPr>
        <w:t>IRS</w:t>
      </w:r>
      <w:r w:rsidRPr="00B03B51">
        <w:rPr>
          <w:rFonts w:ascii="Times New Roman" w:hAnsi="Times New Roman" w:cs="Times New Roman"/>
          <w:sz w:val="24"/>
        </w:rPr>
        <w:t>), kuru gadījumā puses vienojas par procentu plūsmu apmaiņu. Daudzos līgumos viena puse piekrīt maksāt otrai pusei fiksētu procentu likmi apmaiņā pret mainīgu procentu likmi (papildus atkarībā no tirgus apstākļiem, iespējams, iekļaujot pastāvīgu sadalīšanu). Maksājumiem var noteikt jebkādu termiņu, taču parasti tas ir pusgads vai gads. Tie var atšķirties arī katrai mijmaiņas darījuma daļai, un nereti attiecīgos gadījumos notiek neto norēķini.</w:t>
      </w:r>
    </w:p>
    <w:p w14:paraId="69F446F4"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5B52F5ED"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6. Sākumā abu pušu pienākumi ir līdzsvaroti (izņemot ārpusbiržas mijmaiņas darījumu gadījumā), ko bieži sauc par “nominālvērtības mijmaiņas darījumu”, kam ir nulles vērtība. Līguma darbības termiņa laikā, mainoties tirgus nosacījumiem (piemēram, mainīgajam valūtas kursam), viena puse potenciāli var gūt ienākumus, bet otrai pusei simetriski var rasties zaudējumi. Tādējādi mijmaiņas darījums vienai pusei rada negatīvu vērtību (ko dēvē arī par “naudas līdzekļu nepietiekamību”) un simetriski pozitīvu vērtību (“naudas līdzekļu pietiekamību”) otrai pusei.</w:t>
      </w:r>
    </w:p>
    <w:p w14:paraId="18B16588"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6890E37A"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lastRenderedPageBreak/>
        <w:t>7. Daudzos procentu likmju mijmaiņas darījumu līgumos paredz vienas un tās pašas valūtas maiņu saskaņā ar nosacījumu “fiksēta likme pret mainīgu likmi”, kas ir standarta darījums. Pēdējo desmitgažu laikā tirgos ir parādījušies daudzi citi mijmaiņas darījumu veidi, piemēram, “mainīgās likmes mijmaiņas darījumi” (“mainīga likme pret mainīgu likmi”), inflācijas mijmaiņas darījumi (maksājumi vienā posmā ir atkarīgi no cenas indeksa maiņas), amortizācijas mijmaiņas darījumi (nosacītās summas samazināšanās), aktīvu mijmaiņas darījumi (attiecīgā instrumenta pārvēršana skaidras naudas plūsmā), fiksēta termiņa mijmaiņas darījumi (periodisks procentu atlikums par vienu darījuma posmu), kopējās peļņas mijmaiņas darījumi (ieņēmumu no aktīviem un ar tiem saistīto risku apmaiņa), preču mijmaiņas darījumi (mainīgā cena pret fiksēto cenu) un dažādi uzkrājuma mijmaiņas darījumi.</w:t>
      </w:r>
    </w:p>
    <w:p w14:paraId="1973ADB1"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05DB2823"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8. Varētu pievienot vēl arī “parāda apmaiņas pret pašu kapitālu darījumus”, “dividenžu mijmaiņas darījumus” utt. Nav konstatēts, ka daudzus iepriekš minētos veidus (kas minēti tikai kā piemērs) plaši izmantotu valdības vienības, jo īpaši centrālās valdības parāda vai valsts kases pārvaldnieki. Tos tomēr var veikt publiskās sabiedrības, kas iekļautas valdības sektorā.</w:t>
      </w:r>
    </w:p>
    <w:p w14:paraId="439F691B"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559018F5"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9. Turklāt ir būtiski attīstījušies ar kredītriskiem saistītie mijmaiņas darījumi, piemēram, kredītsaistību nepildīšanas mijmaiņas līgumi (</w:t>
      </w:r>
      <w:r w:rsidRPr="00B03B51">
        <w:rPr>
          <w:rFonts w:ascii="Times New Roman" w:hAnsi="Times New Roman" w:cs="Times New Roman"/>
          <w:i/>
          <w:iCs/>
          <w:sz w:val="24"/>
        </w:rPr>
        <w:t>CDS</w:t>
      </w:r>
      <w:r w:rsidRPr="00B03B51">
        <w:rPr>
          <w:rFonts w:ascii="Times New Roman" w:hAnsi="Times New Roman" w:cs="Times New Roman"/>
          <w:sz w:val="24"/>
        </w:rPr>
        <w:t xml:space="preserve">), kas būtībā ir apdrošināšanas mehānisms pret kreditoru saistību neizpildes gadījumiem (skat. EKS 2010 5.218. punkts). Šķiet, valdība nepiedalās šādos darījumos, bet </w:t>
      </w:r>
      <w:r w:rsidRPr="00B03B51">
        <w:rPr>
          <w:rFonts w:ascii="Times New Roman" w:hAnsi="Times New Roman" w:cs="Times New Roman"/>
          <w:i/>
          <w:iCs/>
          <w:sz w:val="24"/>
        </w:rPr>
        <w:t>CDS</w:t>
      </w:r>
      <w:r w:rsidRPr="00B03B51">
        <w:rPr>
          <w:rFonts w:ascii="Times New Roman" w:hAnsi="Times New Roman" w:cs="Times New Roman"/>
          <w:sz w:val="24"/>
        </w:rPr>
        <w:t xml:space="preserve"> par suverēnu parādu parasti ir būtiski tirgus signāli un ir galvenā šādu instrumentu kategorija.</w:t>
      </w:r>
    </w:p>
    <w:p w14:paraId="141A5B47" w14:textId="77777777" w:rsidR="00443399" w:rsidRPr="00B03B51" w:rsidRDefault="00443399" w:rsidP="00443399">
      <w:pPr>
        <w:jc w:val="both"/>
        <w:rPr>
          <w:rFonts w:ascii="Times New Roman" w:hAnsi="Times New Roman" w:cs="Times New Roman"/>
          <w:noProof/>
          <w:sz w:val="24"/>
        </w:rPr>
      </w:pPr>
    </w:p>
    <w:p w14:paraId="522C7853"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10. Valūtas mijmaiņas darījumi (un tuvi atvasinātie instrumenti, skat. turpmāk) darbojas līdzīgi. Visbiežāk tie ir saistīti ar pakārtotajiem aizdevumiem vai parāda vērtspapīriem, un puses apmainās ar plūsmām, kas izteiktas dažādās valūtās. Tos izmanto parāda pārvaldītāji, kas emitējuši parāda vērtspapīrus ārvalstu valūtā un vēlas (bieži vien gan tas faktiski ir pienākums, jo nav pieļaujams pakļaut sevi valūtas maiņas kursa riskam) nodrošināties pret valūtas riskiem, kuriem tie ir pakļauti. Pastāv dažādi valūtas mijmaiņas darījumu veidi, kas atšķiras pēc pamatsummas apmaiņas laika un piemērotās procentu likmes īpatnībām (“fiksēta likme pret fiksētu likmi”, “fiksēta likme pret mainīgu likmi”).</w:t>
      </w:r>
    </w:p>
    <w:p w14:paraId="0F10F793"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18F679B4"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11. Izplatītākie valūtas mijmaiņas darījumi, kuros apmainās ar pamatsummu gan sākuma, gan beigu datumā, ļauj aizņēmējam vienā valūtā pilnīgi nodrošināties pret saistīto valūtas maiņas kursa risku, it kā sākotnējā valūta būtu izteikta citā valūtā. Bieži konstatē, ka valdības vienības ne tikai vietējā tirgū, kas ir samērā šaurs, bet pat eirozonā, kur ir izvērsti un plaši finanšu tirgi, emitē parāda daļu ārvalstu valūtās (proti, ASV dolāros, Japānas jenās, Lielbritānijas sterliņu mārciņās vai Šveices frankos) dažādu iemeslu dēļ, piemēram, lai paplašinātu investoru bāzi vai gūtu labumu no zemākām galīgajām aizņemšanās izmaksām noteiktos tirgus apstākļos.</w:t>
      </w:r>
      <w:r w:rsidRPr="00B03B51">
        <w:rPr>
          <w:rStyle w:val="FootnoteReference"/>
          <w:rFonts w:ascii="Times New Roman" w:hAnsi="Times New Roman" w:cs="Times New Roman"/>
          <w:noProof/>
          <w:sz w:val="24"/>
        </w:rPr>
        <w:footnoteReference w:id="295"/>
      </w:r>
    </w:p>
    <w:p w14:paraId="42A7A3D1"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34444FF5"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12. Mijmaiņas darījumu izmantojums katrā ES dalībvalstī ir atšķirīgs dažādu iemeslu dēļ, kas saistīti ar iekšējiem noteikumiem, parāda stratēģiju, parāda struktūru utt. Parāda pārvaldniekiem ir atšķirīgi viedokļi par to, kādā apjomā šādi parāda pārvaldības rīki un/vai riska pārvaldība varētu būt pienācīga. Var konstatēt vairākus mērķus, tādus kā parāda maksājuma termiņa maiņu, piemēram, pārveidojot ilgtermiņa parādu par īstermiņa parādu, attiecībā uz jutību pret tirgus likmēm (valdība maksā (mainīgo) īstermiņa likmi un saņem (fiksēto) ilgtermiņa likmi, kas attiecas uz konkrēto kuponu, vai vidējo likmi makronodrošināšanās gadījumā). Mijmaiņas darījumus var izmantot arī refinansēšanas risku samazināšanai, pamatojoties uz kādām konkrētām prognozēm, kas saistītas ar ienesīguma līknes izmaiņām.</w:t>
      </w:r>
    </w:p>
    <w:p w14:paraId="3BBC4B56"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41A2FA35"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lastRenderedPageBreak/>
        <w:t>13. Arī pats mijmaiņas darījumu portfelis var ierosināt aktīvu pārvaldību gadījumā, ja valdība jau ir iesaistījusies vai dažos gadījumos vēl tikai iesaistīsies līgumos, kuru nosacījumi vairs nešķiet “optimāli” kādā brīdī nākotnē vai pēc tirgus prognožu pārskatīšanas. Valdība var iesaistīties “kompensējošā” mijmaiņas darījumā, kas varētu negatīvi dublēt (cik vien iespējams) ar attiecīgo līgumu saistīto pakļaušanu sevi riskam, tādējādi varētu notikt jebkādas negatīvās ietekmes neitralizācija (vai kvazineitralizācija). Citos gadījumos (ja atļauts) varētu būt dažādas citas vienošanās, piemēram, darījuma pusei piešķir pastāvīgas tiesības vai tiesības kādos abpusēji saskaņotos datumos līguma darbības laikā anulēt mijmaiņas darījumu.</w:t>
      </w:r>
    </w:p>
    <w:p w14:paraId="2465A689"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6AB2A318"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14. Parasti, anulējot mijmaiņas darījumu, viena puse samaksā kompensāciju otrai pusei, kas kopumā ir vienāda ar mijmaiņas darījuma tirgus vērtību; procentu likmes mijmaiņas darījuma gadījumā tā ir nākotnes plūsmu pašreizējā vērtība tiem procentiem, kuri nākotnē tiktu apmainīti (to sauc par “mijmaiņas darījuma iesaldēšanu”, proti, visi mijmaiņas darījuma mainīgie elementi tiek nofiksēti, pamatojoties uz anulēšanas brīdī pastāvošajiem nosacījumiem). Plūsmas traktē kā finanšu darījumus, kas neietekmē valdības neto aizdevumu/aizņēmumu. Taču var gadīties, ka maksājumu sadala uz visu atlikušo līguma darbības termiņu. Šādā gadījumā ir jāieraksta valdības parādā iekļautais aizdevums. Šāda aizdevuma nosacītie procenti ietekmēs neto aizdevumu/aizņēmumu. Ierakstīšanu nacionālajos kontos (summas un laiks) veic, pamatojoties uz naudas apmaiņu starp līgumslēdzējiem.</w:t>
      </w:r>
    </w:p>
    <w:p w14:paraId="6227BAF0" w14:textId="77777777" w:rsidR="00443399" w:rsidRPr="00B03B51" w:rsidRDefault="00443399" w:rsidP="00443399">
      <w:pPr>
        <w:jc w:val="both"/>
        <w:rPr>
          <w:rFonts w:ascii="Times New Roman" w:eastAsia="Arial" w:hAnsi="Times New Roman" w:cs="Times New Roman"/>
          <w:noProof/>
          <w:sz w:val="24"/>
          <w:szCs w:val="19"/>
        </w:rPr>
      </w:pPr>
    </w:p>
    <w:p w14:paraId="293B869F" w14:textId="77777777" w:rsidR="00443399" w:rsidRPr="00B03B51" w:rsidRDefault="00443399" w:rsidP="00443399">
      <w:pPr>
        <w:pStyle w:val="Heading3"/>
        <w:tabs>
          <w:tab w:val="left" w:pos="1267"/>
        </w:tabs>
        <w:ind w:left="0" w:firstLine="0"/>
        <w:jc w:val="both"/>
        <w:rPr>
          <w:rFonts w:ascii="Times New Roman" w:hAnsi="Times New Roman" w:cs="Times New Roman"/>
          <w:noProof/>
          <w:sz w:val="24"/>
        </w:rPr>
      </w:pPr>
      <w:bookmarkStart w:id="622" w:name="8.3.2_Treatment_of_debt_in_foreign_curre"/>
      <w:bookmarkStart w:id="623" w:name="_Toc67565219"/>
      <w:bookmarkEnd w:id="622"/>
      <w:r w:rsidRPr="00B03B51">
        <w:rPr>
          <w:rFonts w:ascii="Times New Roman" w:hAnsi="Times New Roman" w:cs="Times New Roman"/>
          <w:sz w:val="24"/>
        </w:rPr>
        <w:t xml:space="preserve">8.3.2. Parāda ārvalstu valūtā traktējums saskaņā ar </w:t>
      </w:r>
      <w:r w:rsidRPr="00B03B51">
        <w:rPr>
          <w:rFonts w:ascii="Times New Roman" w:hAnsi="Times New Roman" w:cs="Times New Roman"/>
          <w:i/>
          <w:iCs/>
          <w:sz w:val="24"/>
        </w:rPr>
        <w:t>EDP</w:t>
      </w:r>
      <w:bookmarkEnd w:id="623"/>
    </w:p>
    <w:p w14:paraId="6BA837C8"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2F70F270"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15. Papildus ārvalstu valūtu iespējas līgumiem un ārvalstu valūtu standartizētajiem nākotnes līgumiem, kuru apmaiņa notiek organizētā tirgū vai “ārpus biržas”,</w:t>
      </w:r>
      <w:r w:rsidRPr="00B03B51">
        <w:rPr>
          <w:rStyle w:val="FootnoteReference"/>
          <w:rFonts w:ascii="Times New Roman" w:hAnsi="Times New Roman" w:cs="Times New Roman"/>
          <w:noProof/>
          <w:sz w:val="24"/>
        </w:rPr>
        <w:footnoteReference w:id="296"/>
      </w:r>
      <w:r w:rsidRPr="00B03B51">
        <w:rPr>
          <w:rFonts w:ascii="Times New Roman" w:hAnsi="Times New Roman" w:cs="Times New Roman"/>
          <w:sz w:val="24"/>
        </w:rPr>
        <w:t xml:space="preserve"> ir vairākas darījumu kategorijas ar atvasinātajiem instrumentiem, kuriem kopīgs ir tas, ka tiek veikta pamatsummu apmaiņa dažādās valūtās. Ārvalstu valūtu mijmaiņas darījuma līgums paredz valūtu tūlītēju pārdevumu/pirkumu, vienlaikus apņemoties veikt to pašu valūtu pirkumus/pārdevumus nākotnē. Ārvalstu valūtas maiņas nākotnes līgums paredz apņemšanos noslēgt darījumu konkrētā nākotnes datumā un atbilstoši saskaņotam valūtas maiņas kursam par noteiktu konkrētas ārvalstu valūtas summu.</w:t>
      </w:r>
    </w:p>
    <w:p w14:paraId="1B11730E"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077794B0"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16. Valūtas mijmaiņas darījumi (kurus sauc arī par “procentu likmes starpvalūtu mijmaiņas darījumiem”, turpmāk tekstā –“</w:t>
      </w:r>
      <w:r w:rsidRPr="00B03B51">
        <w:rPr>
          <w:rFonts w:ascii="Times New Roman" w:hAnsi="Times New Roman" w:cs="Times New Roman"/>
          <w:i/>
          <w:iCs/>
          <w:sz w:val="24"/>
        </w:rPr>
        <w:t>CCS</w:t>
      </w:r>
      <w:r w:rsidRPr="00B03B51">
        <w:rPr>
          <w:rFonts w:ascii="Times New Roman" w:hAnsi="Times New Roman" w:cs="Times New Roman"/>
          <w:sz w:val="24"/>
        </w:rPr>
        <w:t>”) ir viens no izplatītākajiem darījuma veidiem, ko valdības vienības izmanto saistībā ar valūtas maiņas kursu. Saskaņā ar šiem līgumiem puses apņemas apmainīties ar dažādās valūtās izteiktām plūsmām gan attiecībā uz pamatsummu, gan procentiem (skat. arī EKS 2010 5.213. punktu). Pastāv dažādi valūtas mijmaiņas darījumu veidi, kas atšķiras pēc pamatsummas apmaiņas laika un piemērotās procentu likmes īpatnībām (“fiksēta likme pret fiksētu likmi”, “fiksēta likme pret mainīgu likmi”).</w:t>
      </w:r>
    </w:p>
    <w:p w14:paraId="118FEB0C" w14:textId="77777777" w:rsidR="00443399" w:rsidRPr="00B03B51" w:rsidRDefault="00443399" w:rsidP="00443399">
      <w:pPr>
        <w:jc w:val="both"/>
        <w:rPr>
          <w:rFonts w:ascii="Times New Roman" w:eastAsia="Arial" w:hAnsi="Times New Roman" w:cs="Times New Roman"/>
          <w:noProof/>
          <w:sz w:val="24"/>
          <w:szCs w:val="14"/>
        </w:rPr>
      </w:pPr>
    </w:p>
    <w:p w14:paraId="5938ED4C"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17. Izplatīti ir darījumi, kuros apmainās ar pamatsummu gan sākuma, gan beigu datumā, kas ļauj aizņēmējam vienā valūtā pilnīgi nodrošināties pret saistīto valūtas maiņas kursa risku, it kā sākotnējā valūta būtu izteikta citā valūtā. Tiek bieži konstatēts, ka valdības vienības pat eirozonā, kur ir izvērsti un plaši finanšu tirgi, emitē nelielu sava parāda daļu ārvalstu valūtās (proti, ASV dolāros, Šveices frankos un Japānas jenās) dažādu iemeslu dēļ, piemēram, lai paplašinātu investoru bāzi vai gūtu labumu no zemākām galīgajām aizņemšanās izmaksām.</w:t>
      </w:r>
    </w:p>
    <w:p w14:paraId="77F45073"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72BF55CB"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 xml:space="preserve">18. Visas saskaņā ar atvasinātiem līgumiem veiktās plūsmas, kas attiecas uz ārvalstu valūtām, </w:t>
      </w:r>
      <w:r w:rsidRPr="00B03B51">
        <w:rPr>
          <w:rFonts w:ascii="Times New Roman" w:hAnsi="Times New Roman" w:cs="Times New Roman"/>
          <w:sz w:val="24"/>
        </w:rPr>
        <w:lastRenderedPageBreak/>
        <w:t xml:space="preserve">ieraksta kā finanšu darījumus gan nacionālajos kontos, gan arī </w:t>
      </w:r>
      <w:r w:rsidRPr="00B03B51">
        <w:rPr>
          <w:rFonts w:ascii="Times New Roman" w:hAnsi="Times New Roman" w:cs="Times New Roman"/>
          <w:i/>
          <w:iCs/>
          <w:sz w:val="24"/>
        </w:rPr>
        <w:t>EDP</w:t>
      </w:r>
      <w:r w:rsidRPr="00B03B51">
        <w:rPr>
          <w:rFonts w:ascii="Times New Roman" w:hAnsi="Times New Roman" w:cs="Times New Roman"/>
          <w:sz w:val="24"/>
        </w:rPr>
        <w:t xml:space="preserve"> statistikā. Saistībā ar parāda apjoma aprēķiniem, kas veicami </w:t>
      </w:r>
      <w:r w:rsidRPr="00B03B51">
        <w:rPr>
          <w:rFonts w:ascii="Times New Roman" w:hAnsi="Times New Roman" w:cs="Times New Roman"/>
          <w:i/>
          <w:iCs/>
          <w:sz w:val="24"/>
        </w:rPr>
        <w:t>EDP</w:t>
      </w:r>
      <w:r w:rsidRPr="00B03B51">
        <w:rPr>
          <w:rFonts w:ascii="Times New Roman" w:hAnsi="Times New Roman" w:cs="Times New Roman"/>
          <w:sz w:val="24"/>
        </w:rPr>
        <w:t xml:space="preserve"> vajadzībām, uz visiem trijiem līgumu veidiem attiecas Padomes Regula (EK) Nr. 479/2009. Šie noteikumi ir sīkāk skatīti turpmākajos punktos. Attiecīgā gadījumā tiek pieņemts, ka sākotnēji apmainītā ārvalstu valūtas summa ir iegūta no konkrētā parāda instrumenta (ar jebkādu maksājuma termiņu) ieņēmumiem, turpretī līguma darbības laikā saņemtā ārvalstu valūtas summa faktiski tiek izmantota konkrētā parāda instrumenta atpirkšanai, kas, iespējams, atšķiras no iepriekšējā līguma.</w:t>
      </w:r>
    </w:p>
    <w:p w14:paraId="314B3D11"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2E727371"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 xml:space="preserve">19. Lai aprēķinātu valdības parādu </w:t>
      </w:r>
      <w:r w:rsidRPr="00B03B51">
        <w:rPr>
          <w:rFonts w:ascii="Times New Roman" w:hAnsi="Times New Roman" w:cs="Times New Roman"/>
          <w:i/>
          <w:iCs/>
          <w:sz w:val="24"/>
        </w:rPr>
        <w:t>EDP</w:t>
      </w:r>
      <w:r w:rsidRPr="00B03B51">
        <w:rPr>
          <w:rFonts w:ascii="Times New Roman" w:hAnsi="Times New Roman" w:cs="Times New Roman"/>
          <w:sz w:val="24"/>
        </w:rPr>
        <w:t xml:space="preserve"> vajadzībām, ir vērts aprakstīt, kā saistības, kas ir izteiktas ārvalstu valūtā vai kas apmainītas no ārvalstu valūtas un/vai ārvalstu valūtā, tiek ierakstītas. To sauc arī par “pēc mijmaiņas darījuma” parāda ierakstīšanu.</w:t>
      </w:r>
    </w:p>
    <w:p w14:paraId="77C38DB7"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24209341"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20. Ārvalstu valūtās izteiktu parāda instrumentu konvertācija ir vajadzīga, lai varētu apkopot skaitļus un aprēķināt “valsts konsolidētā bruto parāda” kopsummu. Konvertācija, ko veic kādā brīdī, nozīmē, ka tiek izmantots konkrēts maiņas kurss. Tas nenozīmē, ka parādu noteikti atlīdzinās par to summu, kas izriet no konvertācijas šajā brīdī, jo mainīgu apstākļu dēļ ir iespējamas izmaiņas nākotnes valūtas maiņas kursā. Tādējādi nebūtu nozīmes atsaukties uz maiņas kursu, kas ir spēkā laikā, kad uzņemas jaunas saistības.</w:t>
      </w:r>
    </w:p>
    <w:p w14:paraId="10BDDC23"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5EB2F50B"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21. Padomes Regulā (EK) Nr.479/2009 ir noteikts turpmāk norādītais.</w:t>
      </w:r>
    </w:p>
    <w:p w14:paraId="126F8808"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5BC256FF" w14:textId="77777777" w:rsidR="00443399" w:rsidRPr="00B03B51" w:rsidRDefault="00443399" w:rsidP="002E0524">
      <w:pPr>
        <w:numPr>
          <w:ilvl w:val="1"/>
          <w:numId w:val="39"/>
        </w:numPr>
        <w:ind w:left="426" w:hanging="425"/>
        <w:jc w:val="both"/>
        <w:rPr>
          <w:rFonts w:ascii="Times New Roman" w:hAnsi="Times New Roman" w:cs="Times New Roman"/>
          <w:i/>
          <w:noProof/>
          <w:sz w:val="24"/>
        </w:rPr>
      </w:pPr>
      <w:r w:rsidRPr="00B03B51">
        <w:rPr>
          <w:rFonts w:ascii="Times New Roman" w:hAnsi="Times New Roman" w:cs="Times New Roman"/>
          <w:i/>
          <w:sz w:val="24"/>
        </w:rPr>
        <w:t>Ārvalstu valūtā denominētas saistības vai saistības, ko saskaņā ar līgumiem no vienas ārvalstu valūtas konvertē vienā vai vairākās citās ārvalstu valūtās, konvertē citās ārvalstu valūtās pēc kursa, kas noteikts attiecīgajos līgumos, un valsts valūtā tās konvertē pēc reprezentatīva tirgus valūtas maiņas kursa, ko piemēro katra gada pēdējā darbadienā.</w:t>
      </w:r>
    </w:p>
    <w:p w14:paraId="49906867" w14:textId="77777777" w:rsidR="00443399" w:rsidRPr="00B03B51" w:rsidRDefault="00443399" w:rsidP="002E0524">
      <w:pPr>
        <w:numPr>
          <w:ilvl w:val="1"/>
          <w:numId w:val="39"/>
        </w:numPr>
        <w:ind w:left="426" w:hanging="425"/>
        <w:jc w:val="both"/>
        <w:rPr>
          <w:rFonts w:ascii="Times New Roman" w:hAnsi="Times New Roman" w:cs="Times New Roman"/>
          <w:i/>
          <w:noProof/>
          <w:sz w:val="24"/>
        </w:rPr>
      </w:pPr>
      <w:r w:rsidRPr="00B03B51">
        <w:rPr>
          <w:rFonts w:ascii="Times New Roman" w:hAnsi="Times New Roman" w:cs="Times New Roman"/>
          <w:i/>
          <w:sz w:val="24"/>
        </w:rPr>
        <w:t>Valsts valūtā denominētas saistības, ko saskaņā ar līgumiem konvertē ārvalstu valūtā, attiecīgajā ārvalstu valūtā konvertē pēc kursa, kas noteikts attiecīgajos līgumos, un valsts valūtā tās konvertē pēc reprezentatīva tirgus valūtas maiņas kursa, ko piemēro katra gada pēdējā darbadienā.</w:t>
      </w:r>
    </w:p>
    <w:p w14:paraId="4402033F" w14:textId="77777777" w:rsidR="00443399" w:rsidRPr="00B03B51" w:rsidRDefault="00443399" w:rsidP="002E0524">
      <w:pPr>
        <w:numPr>
          <w:ilvl w:val="1"/>
          <w:numId w:val="39"/>
        </w:numPr>
        <w:ind w:left="426" w:hanging="425"/>
        <w:jc w:val="both"/>
        <w:rPr>
          <w:rFonts w:ascii="Times New Roman" w:eastAsia="Arial" w:hAnsi="Times New Roman" w:cs="Times New Roman"/>
          <w:noProof/>
          <w:sz w:val="24"/>
          <w:szCs w:val="19"/>
        </w:rPr>
      </w:pPr>
      <w:r w:rsidRPr="00B03B51">
        <w:rPr>
          <w:rFonts w:ascii="Times New Roman" w:hAnsi="Times New Roman" w:cs="Times New Roman"/>
          <w:i/>
          <w:iCs/>
          <w:sz w:val="24"/>
        </w:rPr>
        <w:t>Saistības ārvalstu valūtā un saskaņā ar līgumiem valsts valūtā konvertētas saistības valsts valūtā konvertē pēc kursa, kas noteikts attiecīgajos līgumos.</w:t>
      </w:r>
    </w:p>
    <w:p w14:paraId="1C435AD6"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5F007A23"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22. Tādējādi, kad ārvalstu valūtā izteiktu parāda instrumentu mijmaiņas darījumā maina uz valsts valūtu, konvertācija uz valsts valūtu jāveic, pamatojoties uz “šajos līgumos noteikto likmi”. Vairumā gadījumu šis valūtas maiņas kurss ir tūlītējā tirgus likme, kas bija spēkā darījuma brīdī, bet tas var atšķirties (skat. 8.3.3. iedaļu “Ārpusbiržas mijmaiņas darījumi”). Līguma darbības laikā, nosakot mijmaiņas darījuma vērtību, tiks ņemtas vērā abu līgumā iesaistīto valūtu maiņas kursa tirgus tendences.</w:t>
      </w:r>
    </w:p>
    <w:p w14:paraId="305A8BF9"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1CB8A195"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23. Faktiski parāda pārvaldnieki var izmantot atvasinātus finanšu instrumentus ne tikai tam, lai novērstu/mazinātu jebkādu maiņas risku, kas izriet no jauno saistību sākotnējās rašanās. Viņi var mēģināt arī samazināt galīgās aizņemšanās izmaksas. Saskaņā ar šādiem nosacījumiem viņi var slēgt mijmaiņas darījumu līgumus, ar kuriem viņi nodrošinās pret valūtas maiņas kursa risku, gūstot labumu no tirgus iespējām (vai kļūmēm). Atbilstoši savām prognozēm parāda pārvaldnieki tos ieņēmumus vienā valūtā, kas radušies parāda emisijas dēļ, mijmaiņas darījumos var pārrēķināt citā ārvalstu valūtā. Šajā gadījumā jāpiemēro tāds pats pamatojums kā mijmaiņas darījumiem valsts valūtā. Tiek mainīta parāda valūtas denominācija.</w:t>
      </w:r>
    </w:p>
    <w:p w14:paraId="721B8799"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252DFACF" w14:textId="77777777" w:rsidR="00443399" w:rsidRPr="00B03B51" w:rsidRDefault="00443399" w:rsidP="00443399">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t>Šajā gadījumā ir jāievēro pakāpeniska pieeja:</w:t>
      </w:r>
    </w:p>
    <w:p w14:paraId="6FFBA559" w14:textId="77777777" w:rsidR="00443399" w:rsidRPr="00B03B51" w:rsidRDefault="00443399" w:rsidP="00443399">
      <w:pPr>
        <w:pStyle w:val="BodyText"/>
        <w:spacing w:before="0"/>
        <w:ind w:left="0" w:firstLine="0"/>
        <w:jc w:val="both"/>
        <w:rPr>
          <w:rFonts w:ascii="Times New Roman" w:hAnsi="Times New Roman" w:cs="Times New Roman"/>
          <w:noProof/>
          <w:sz w:val="24"/>
        </w:rPr>
      </w:pPr>
    </w:p>
    <w:p w14:paraId="2403327B" w14:textId="77777777" w:rsidR="00443399" w:rsidRPr="00B03B51" w:rsidRDefault="00443399" w:rsidP="002E0524">
      <w:pPr>
        <w:pStyle w:val="BodyText"/>
        <w:numPr>
          <w:ilvl w:val="1"/>
          <w:numId w:val="39"/>
        </w:numPr>
        <w:spacing w:before="0"/>
        <w:ind w:left="426" w:hanging="425"/>
        <w:jc w:val="both"/>
        <w:rPr>
          <w:rFonts w:ascii="Times New Roman" w:hAnsi="Times New Roman" w:cs="Times New Roman"/>
          <w:noProof/>
          <w:sz w:val="24"/>
        </w:rPr>
      </w:pPr>
      <w:r w:rsidRPr="00B03B51">
        <w:rPr>
          <w:rFonts w:ascii="Times New Roman" w:hAnsi="Times New Roman" w:cs="Times New Roman"/>
          <w:sz w:val="24"/>
        </w:rPr>
        <w:t xml:space="preserve">pirmkārt, parāda instrumentu konvertē valūtā, kas saņemta mijmaiņas darījuma līguma </w:t>
      </w:r>
      <w:r w:rsidRPr="00B03B51">
        <w:rPr>
          <w:rFonts w:ascii="Times New Roman" w:hAnsi="Times New Roman" w:cs="Times New Roman"/>
          <w:sz w:val="24"/>
        </w:rPr>
        <w:lastRenderedPageBreak/>
        <w:t>sākumā, pamatojoties uz abu ārvalstu valūtu savstarpējo maiņas kursu, kurš noteikts līgumā;</w:t>
      </w:r>
    </w:p>
    <w:p w14:paraId="29B468EF" w14:textId="77777777" w:rsidR="00443399" w:rsidRPr="00B03B51" w:rsidRDefault="00443399" w:rsidP="002E0524">
      <w:pPr>
        <w:pStyle w:val="BodyText"/>
        <w:numPr>
          <w:ilvl w:val="1"/>
          <w:numId w:val="39"/>
        </w:numPr>
        <w:spacing w:before="0"/>
        <w:ind w:left="426" w:hanging="425"/>
        <w:jc w:val="both"/>
        <w:rPr>
          <w:rFonts w:ascii="Times New Roman" w:hAnsi="Times New Roman" w:cs="Times New Roman"/>
          <w:noProof/>
          <w:sz w:val="24"/>
        </w:rPr>
      </w:pPr>
      <w:r w:rsidRPr="00B03B51">
        <w:rPr>
          <w:rFonts w:ascii="Times New Roman" w:hAnsi="Times New Roman" w:cs="Times New Roman"/>
          <w:sz w:val="24"/>
        </w:rPr>
        <w:t>pēc tam konvertāciju valsts valūtā pamato ar pašreizējo maiņas kursu, kas attiecībā uz valūtu, kura iegūta pirmajā konvertācijā, ir spēkā gada beigās;</w:t>
      </w:r>
    </w:p>
    <w:p w14:paraId="092A60E9" w14:textId="77777777" w:rsidR="00443399" w:rsidRPr="00B03B51" w:rsidRDefault="00443399" w:rsidP="002E0524">
      <w:pPr>
        <w:pStyle w:val="BodyText"/>
        <w:numPr>
          <w:ilvl w:val="1"/>
          <w:numId w:val="39"/>
        </w:numPr>
        <w:spacing w:before="0"/>
        <w:ind w:left="426" w:hanging="425"/>
        <w:jc w:val="both"/>
        <w:rPr>
          <w:rFonts w:ascii="Times New Roman" w:hAnsi="Times New Roman" w:cs="Times New Roman"/>
          <w:noProof/>
          <w:sz w:val="24"/>
        </w:rPr>
      </w:pPr>
      <w:r w:rsidRPr="00B03B51">
        <w:rPr>
          <w:rFonts w:ascii="Times New Roman" w:hAnsi="Times New Roman" w:cs="Times New Roman"/>
          <w:sz w:val="24"/>
        </w:rPr>
        <w:t>ja ir “secīgu mijmaiņas darījumu ķēde” dažādās ārvalstu valūtās, ir jānosaka galīgā valūta, kurā parāds ir izteikts, un konvertāciju valsts valūtā veic, pamatojoties uz kārtējo valūtas maiņas kursu pret šo ārvalstu valūtu.</w:t>
      </w:r>
    </w:p>
    <w:p w14:paraId="39D47415" w14:textId="77777777" w:rsidR="00443399" w:rsidRPr="00B03B51" w:rsidRDefault="00443399" w:rsidP="00443399">
      <w:pPr>
        <w:pStyle w:val="BodyText"/>
        <w:tabs>
          <w:tab w:val="left" w:pos="895"/>
        </w:tabs>
        <w:spacing w:before="0"/>
        <w:ind w:left="0" w:firstLine="0"/>
        <w:jc w:val="both"/>
        <w:rPr>
          <w:rFonts w:ascii="Times New Roman" w:hAnsi="Times New Roman" w:cs="Times New Roman"/>
          <w:noProof/>
          <w:sz w:val="24"/>
        </w:rPr>
      </w:pPr>
    </w:p>
    <w:p w14:paraId="26760E44" w14:textId="77777777" w:rsidR="00443399" w:rsidRPr="00B03B51" w:rsidRDefault="00443399" w:rsidP="00443399">
      <w:pPr>
        <w:pStyle w:val="BodyText"/>
        <w:tabs>
          <w:tab w:val="left" w:pos="895"/>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24. Ir skaidrs, ka tad, kad sākotnēju parāda instrumentu, kas izteikts ārvalstu valūtā, mijmaiņas darījumā pārrēķina valsts valūtā, norēķinu plūsmas nosaka līgumā starp abām pusēm, t. i., no vienas puses, starp valdību un, no otras puses, vienu vai vairākiem bankas darījuma partneriem. Vienkāršākajā gadījumā, kad parāda instrumenta un mijmaiņas darījumu summas un maksājuma termiņi pilnīgi sakrīt, valdība regulāri maksās summu valsts valūtā un saņems summu ārvalstu valūtā. Šī ārvalstu valūta tiks izmantota procentu vai pamatsummas samaksāšanai kreditoriem / pamata parāda instrumentu turētājiem.</w:t>
      </w:r>
    </w:p>
    <w:p w14:paraId="1A0E08DE"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2776EF09"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25. Saskaņā ar šiem noteikumiem ir acīmredzams, ka valdība vairs nav pakļauta valūtas maiņas riskam attiecībā uz maksājumiem par sākotnējo instrumentu. Tai nav jāvēršas valūtas tirgū, lai saņemtu valūtas summas, kas saistītas ar sākotnējā parāda apkalpošanu. Konvertācijas kurss ir skaidri noteikts. Šajā gadījumā līgumā noteiktais maiņas kurss ir atbilstošāks par pašreizējo tirgus kursu, jo tirgus maiņas kurss nekādi neietekmētu parāda instrumentu, ko attiecīgajā brīdī neietekmē valūtas tirgus tendences un nepastāvība. Visbeidzot attiecībā uz to daļu, ko aplūko valūtas mijmaiņas darījuma līgumā, parādu var uzskatīt par pārvērstu valsts valūtā. Tas ir līdzīgi kā gadījumā, kad parāds sākotnēji tiek emitēts valsts valūtā par līgumā noteikto pamatsummu.</w:t>
      </w:r>
    </w:p>
    <w:p w14:paraId="18BD0390"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263E763E"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26. Padomes Regulā (EK) Nr. 479/2009 ir iekļauti arī īpaši, visai reti gadījumi, kad valūtas maiņas riska segšana/modificēšana nav iemesls tam, lai izrakstītu mijmaiņas darījumu, bet gan, tieši otrādi, lai radītu valūtas risku. Sākotnēji valsts valūtā izteiktu parādu nacionālajos kontos var pārvērst ārvalstu valūtā. Šajā gadījumā parāds jāuzskata par tādu parādu, kas izteikts ārvalstu valūtā, pamatojoties uz maiņas kursu, kurš noteikts līgumā. Nepieciešamajai konvertācijai valsts valūtā jāizmanto spēkā esošais valūtas maiņas kurss, lai galīgā summa valsts valūtā tiktu gūta no sākotnējiem emisijas ieņēmumiem.</w:t>
      </w:r>
    </w:p>
    <w:p w14:paraId="454AF493"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67959340"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 xml:space="preserve">27. Rezultātā valūtas mijmaiņas darījumi var ietekmēt parādu tikai ar valūtas maiņas kursa starpniecību. Faktiski saskaņā ar EKS 2010 6.64. punktā minēto pamatnosacījumu jebkurš parāda instruments, kas izteikts ārvalstu valūtā, ir jākonvertē valsts valūtā pēc faktiskā valūtas maiņas kursa, kas ir spēkā bilances sagatavošanas laikā, pamatojoties uz “reprezentatīvo tirgus valūtas maiņas kursu datumos, uz kuriem attiecas bilance”, taču šis nosacījums nav piemērojams statistikas datiem, ko gatavo </w:t>
      </w:r>
      <w:r w:rsidRPr="00B03B51">
        <w:rPr>
          <w:rFonts w:ascii="Times New Roman" w:hAnsi="Times New Roman" w:cs="Times New Roman"/>
          <w:i/>
          <w:iCs/>
          <w:sz w:val="24"/>
        </w:rPr>
        <w:t>EDP</w:t>
      </w:r>
      <w:r w:rsidRPr="00B03B51">
        <w:rPr>
          <w:rFonts w:ascii="Times New Roman" w:hAnsi="Times New Roman" w:cs="Times New Roman"/>
          <w:sz w:val="24"/>
        </w:rPr>
        <w:t xml:space="preserve"> vajadzībām. EKS 2010 šos mijmaiņas darījumus un parāda instrumentus ieraksta atsevišķi.</w:t>
      </w:r>
    </w:p>
    <w:p w14:paraId="703EF502"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3A4A4A1C"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 xml:space="preserve">28. Tomēr šie </w:t>
      </w:r>
      <w:r w:rsidRPr="00B03B51">
        <w:rPr>
          <w:rFonts w:ascii="Times New Roman" w:hAnsi="Times New Roman" w:cs="Times New Roman"/>
          <w:i/>
          <w:iCs/>
          <w:sz w:val="24"/>
        </w:rPr>
        <w:t>EDP</w:t>
      </w:r>
      <w:r w:rsidRPr="00B03B51">
        <w:rPr>
          <w:rFonts w:ascii="Times New Roman" w:hAnsi="Times New Roman" w:cs="Times New Roman"/>
          <w:sz w:val="24"/>
        </w:rPr>
        <w:t xml:space="preserve"> konvertēšanas noteikumi attiecas vienīgi uz valūtas mijmaiņas darījumiem, kuru pamatā ir esošas saistības, t. i., mijmaiņas darījumi “pret portfeli”, kas tieši saistīts ar faktiskajiem pamata parāda instrumentiem. Valūtas mijmaiņas darījumus, kas neattiecas uz esošajām saistībām, ieraksta atvasināto finanšu instrumentu pozīcijā (AF.71). Tomēr daudzās valstīs parāda pārvaldniekiem vismaz centrālās valdības līmenī (kas tur lielāko daļu valdības parāda) nav atļauts (saskaņā ar tiesību aktiem vai citiem noteikumiem) slēgt valūtas mijmaiņas darījumus bez jebkādas atsauces uz esošām saistībām, t. i., pakļaut sevi pilnīgam riskam. Ja tiek noslēgti valūtas mijmaiņas darījumi, pamatojoties uz neesošām saistībām, tie neietekmē esošo valdības (</w:t>
      </w:r>
      <w:r w:rsidRPr="00B03B51">
        <w:rPr>
          <w:rFonts w:ascii="Times New Roman" w:hAnsi="Times New Roman" w:cs="Times New Roman"/>
          <w:i/>
          <w:iCs/>
          <w:sz w:val="24"/>
        </w:rPr>
        <w:t>EDP</w:t>
      </w:r>
      <w:r w:rsidRPr="00B03B51">
        <w:rPr>
          <w:rFonts w:ascii="Times New Roman" w:hAnsi="Times New Roman" w:cs="Times New Roman"/>
          <w:sz w:val="24"/>
        </w:rPr>
        <w:t>) parāda uzkrājumu, jo tos neņem vērā tā aprēķinā.</w:t>
      </w:r>
    </w:p>
    <w:p w14:paraId="4F09DBBA"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483F5A51"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lastRenderedPageBreak/>
        <w:t>29. Ir svarīgi norādīt, ka tiktāl, ciktāl valūtas mijmaiņas darījuma pamatā ir esošs parāda instruments, nekādi ierobežojumi netiek noteikti iepriekš minēto noteikumu piemērošanai; proti</w:t>
      </w:r>
      <w:r w:rsidRPr="00B03B51">
        <w:rPr>
          <w:rStyle w:val="FootnoteReference"/>
          <w:rFonts w:ascii="Times New Roman" w:hAnsi="Times New Roman" w:cs="Times New Roman"/>
          <w:noProof/>
          <w:sz w:val="24"/>
        </w:rPr>
        <w:footnoteReference w:id="297"/>
      </w:r>
      <w:r w:rsidRPr="00B03B51">
        <w:rPr>
          <w:rFonts w:ascii="Times New Roman" w:hAnsi="Times New Roman" w:cs="Times New Roman"/>
          <w:sz w:val="24"/>
        </w:rPr>
        <w:t>:</w:t>
      </w:r>
    </w:p>
    <w:p w14:paraId="4178B6E8"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4F0DC82F" w14:textId="77777777" w:rsidR="00443399" w:rsidRPr="00B03B51" w:rsidRDefault="00443399" w:rsidP="00443399">
      <w:pPr>
        <w:pStyle w:val="BodyText"/>
        <w:spacing w:before="0"/>
        <w:ind w:left="284" w:firstLine="0"/>
        <w:jc w:val="both"/>
        <w:rPr>
          <w:rFonts w:ascii="Times New Roman" w:hAnsi="Times New Roman" w:cs="Times New Roman"/>
          <w:noProof/>
          <w:sz w:val="24"/>
        </w:rPr>
      </w:pPr>
      <w:r w:rsidRPr="00B03B51">
        <w:rPr>
          <w:rFonts w:ascii="Times New Roman" w:hAnsi="Times New Roman" w:cs="Times New Roman"/>
          <w:sz w:val="24"/>
        </w:rPr>
        <w:t>a) atvasinātie līgumi nav obligāti jānoformē vienlaikus ar tā pamatā esoša instrumenta emisiju – tos var ieviest jebkurā laikā; tomēr dažiem parāda pārvaldniekiem reglamentācijas apsvērumu dēļ ir pienākums nodrošināties pret valūtas maiņas kursa risku ļoti īsā laikā pēc emisijas;</w:t>
      </w:r>
    </w:p>
    <w:p w14:paraId="5EC58E1C" w14:textId="77777777" w:rsidR="00443399" w:rsidRPr="00B03B51" w:rsidRDefault="00443399" w:rsidP="00443399">
      <w:pPr>
        <w:pStyle w:val="BodyText"/>
        <w:spacing w:before="0"/>
        <w:ind w:left="284" w:firstLine="0"/>
        <w:jc w:val="both"/>
        <w:rPr>
          <w:rFonts w:ascii="Times New Roman" w:hAnsi="Times New Roman" w:cs="Times New Roman"/>
          <w:noProof/>
          <w:sz w:val="24"/>
        </w:rPr>
      </w:pPr>
    </w:p>
    <w:p w14:paraId="5BE9BC9C" w14:textId="77777777" w:rsidR="00443399" w:rsidRPr="00B03B51" w:rsidRDefault="00443399" w:rsidP="00443399">
      <w:pPr>
        <w:pStyle w:val="BodyText"/>
        <w:spacing w:before="0"/>
        <w:ind w:left="284" w:firstLine="0"/>
        <w:jc w:val="both"/>
        <w:rPr>
          <w:rFonts w:ascii="Times New Roman" w:hAnsi="Times New Roman" w:cs="Times New Roman"/>
          <w:noProof/>
          <w:sz w:val="24"/>
        </w:rPr>
      </w:pPr>
      <w:r w:rsidRPr="00B03B51">
        <w:rPr>
          <w:rFonts w:ascii="Times New Roman" w:hAnsi="Times New Roman" w:cs="Times New Roman"/>
          <w:sz w:val="24"/>
        </w:rPr>
        <w:t xml:space="preserve">b) atvasinātajam līgumam var būt jebkāds maksājuma termiņš atbilstoši parāda pamatā esoša instrumenta emisijai un maksājuma termiņam. Var gadīties, ka parāda pārvaldniekiem neizdodas noslēgt </w:t>
      </w:r>
      <w:r w:rsidRPr="00B03B51">
        <w:rPr>
          <w:rFonts w:ascii="Times New Roman" w:hAnsi="Times New Roman" w:cs="Times New Roman"/>
          <w:i/>
          <w:iCs/>
          <w:sz w:val="24"/>
        </w:rPr>
        <w:t>CCS</w:t>
      </w:r>
      <w:r w:rsidRPr="00B03B51">
        <w:rPr>
          <w:rFonts w:ascii="Times New Roman" w:hAnsi="Times New Roman" w:cs="Times New Roman"/>
          <w:sz w:val="24"/>
        </w:rPr>
        <w:t xml:space="preserve"> līgumu, kura maksājuma termiņš (un summa) būtu tāds pats kā parāda pamatinstrumentam;</w:t>
      </w:r>
    </w:p>
    <w:p w14:paraId="30F590DA" w14:textId="77777777" w:rsidR="00443399" w:rsidRPr="00B03B51" w:rsidRDefault="00443399" w:rsidP="00443399">
      <w:pPr>
        <w:pStyle w:val="BodyText"/>
        <w:spacing w:before="0"/>
        <w:ind w:left="284" w:firstLine="0"/>
        <w:jc w:val="both"/>
        <w:rPr>
          <w:rFonts w:ascii="Times New Roman" w:hAnsi="Times New Roman" w:cs="Times New Roman"/>
          <w:noProof/>
          <w:sz w:val="24"/>
        </w:rPr>
      </w:pPr>
    </w:p>
    <w:p w14:paraId="57C2CF6A" w14:textId="77777777" w:rsidR="00443399" w:rsidRPr="00B03B51" w:rsidRDefault="00443399" w:rsidP="00443399">
      <w:pPr>
        <w:pStyle w:val="BodyText"/>
        <w:spacing w:before="0"/>
        <w:ind w:left="284" w:firstLine="0"/>
        <w:jc w:val="both"/>
        <w:rPr>
          <w:rFonts w:ascii="Times New Roman" w:hAnsi="Times New Roman" w:cs="Times New Roman"/>
          <w:noProof/>
          <w:sz w:val="24"/>
        </w:rPr>
      </w:pPr>
      <w:r w:rsidRPr="00B03B51">
        <w:rPr>
          <w:rFonts w:ascii="Times New Roman" w:hAnsi="Times New Roman" w:cs="Times New Roman"/>
          <w:sz w:val="24"/>
        </w:rPr>
        <w:t xml:space="preserve">c) atvasinātajā līgumā var noteikt tādu norēķinu maiņu, kas pakļauti pamatsummas plūsmām, kuras izriet no pamatinstrumenta. Pretējā gadījumā, kas ir samērā teorētisks, visas </w:t>
      </w:r>
      <w:r w:rsidRPr="00B03B51">
        <w:rPr>
          <w:rFonts w:ascii="Times New Roman" w:hAnsi="Times New Roman" w:cs="Times New Roman"/>
          <w:i/>
          <w:iCs/>
          <w:sz w:val="24"/>
        </w:rPr>
        <w:t>CCS</w:t>
      </w:r>
      <w:r w:rsidRPr="00B03B51">
        <w:rPr>
          <w:rFonts w:ascii="Times New Roman" w:hAnsi="Times New Roman" w:cs="Times New Roman"/>
          <w:sz w:val="24"/>
        </w:rPr>
        <w:t xml:space="preserve"> summas, kas ir augstākas par pret riskiem nodrošināto parāda instrumentu, jātraktē kā atvasināto finanšu instruments (AF.71) attiecībā uz pārsnieguma vērtību;</w:t>
      </w:r>
    </w:p>
    <w:p w14:paraId="679BF5A4" w14:textId="77777777" w:rsidR="00443399" w:rsidRPr="00B03B51" w:rsidRDefault="00443399" w:rsidP="00443399">
      <w:pPr>
        <w:pStyle w:val="BodyText"/>
        <w:spacing w:before="0"/>
        <w:ind w:left="284" w:firstLine="0"/>
        <w:jc w:val="both"/>
        <w:rPr>
          <w:rFonts w:ascii="Times New Roman" w:hAnsi="Times New Roman" w:cs="Times New Roman"/>
          <w:noProof/>
          <w:sz w:val="24"/>
        </w:rPr>
      </w:pPr>
    </w:p>
    <w:p w14:paraId="652B7023" w14:textId="77777777" w:rsidR="00443399" w:rsidRPr="00B03B51" w:rsidRDefault="00443399" w:rsidP="00443399">
      <w:pPr>
        <w:pStyle w:val="BodyText"/>
        <w:spacing w:before="0"/>
        <w:ind w:left="284" w:firstLine="0"/>
        <w:jc w:val="both"/>
        <w:rPr>
          <w:rFonts w:ascii="Times New Roman" w:hAnsi="Times New Roman" w:cs="Times New Roman"/>
          <w:noProof/>
          <w:sz w:val="24"/>
        </w:rPr>
      </w:pPr>
      <w:r w:rsidRPr="00B03B51">
        <w:rPr>
          <w:rFonts w:ascii="Times New Roman" w:hAnsi="Times New Roman" w:cs="Times New Roman"/>
          <w:sz w:val="24"/>
        </w:rPr>
        <w:t>d) atvasinātie līgumi var attiekties nevis uz kādu konkrētu parāda instrumentu, bet uz parāda instrumentu “portfeli”, sedzot riska darījumu, kas ietekmē vairākus parāda instrumentus.</w:t>
      </w:r>
    </w:p>
    <w:p w14:paraId="4E79ED91" w14:textId="77777777" w:rsidR="00443399" w:rsidRPr="00B03B51" w:rsidRDefault="00443399" w:rsidP="00443399">
      <w:pPr>
        <w:jc w:val="both"/>
        <w:rPr>
          <w:rFonts w:ascii="Times New Roman" w:eastAsia="Arial" w:hAnsi="Times New Roman" w:cs="Times New Roman"/>
          <w:noProof/>
          <w:sz w:val="24"/>
          <w:szCs w:val="14"/>
        </w:rPr>
      </w:pPr>
    </w:p>
    <w:p w14:paraId="369BC15F" w14:textId="77777777" w:rsidR="00443399" w:rsidRPr="00B03B51" w:rsidRDefault="00443399" w:rsidP="00443399">
      <w:pPr>
        <w:pStyle w:val="Heading6"/>
        <w:ind w:left="0" w:firstLine="0"/>
        <w:jc w:val="both"/>
        <w:rPr>
          <w:rFonts w:ascii="Times New Roman" w:hAnsi="Times New Roman" w:cs="Times New Roman"/>
          <w:noProof/>
          <w:sz w:val="24"/>
        </w:rPr>
      </w:pPr>
      <w:bookmarkStart w:id="624" w:name="8.3.2.1_Accounting_examples"/>
      <w:bookmarkEnd w:id="624"/>
      <w:r w:rsidRPr="00B03B51">
        <w:rPr>
          <w:rFonts w:ascii="Times New Roman" w:hAnsi="Times New Roman" w:cs="Times New Roman"/>
          <w:sz w:val="24"/>
        </w:rPr>
        <w:t>8.3.2.1. UZSKAITES PIEMĒRI</w:t>
      </w:r>
    </w:p>
    <w:p w14:paraId="1056305B" w14:textId="77777777" w:rsidR="00443399" w:rsidRPr="00B03B51" w:rsidRDefault="00443399" w:rsidP="00443399">
      <w:pPr>
        <w:tabs>
          <w:tab w:val="left" w:pos="843"/>
        </w:tabs>
        <w:jc w:val="both"/>
        <w:rPr>
          <w:rFonts w:ascii="Times New Roman" w:hAnsi="Times New Roman" w:cs="Times New Roman"/>
          <w:b/>
          <w:noProof/>
          <w:sz w:val="24"/>
        </w:rPr>
      </w:pPr>
    </w:p>
    <w:p w14:paraId="5589DA8A" w14:textId="77777777" w:rsidR="00443399" w:rsidRPr="00B03B51" w:rsidRDefault="00443399" w:rsidP="00443399">
      <w:pPr>
        <w:tabs>
          <w:tab w:val="left" w:pos="843"/>
        </w:tabs>
        <w:jc w:val="both"/>
        <w:rPr>
          <w:rFonts w:ascii="Times New Roman" w:hAnsi="Times New Roman" w:cs="Times New Roman"/>
          <w:b/>
          <w:noProof/>
          <w:sz w:val="24"/>
        </w:rPr>
      </w:pPr>
      <w:r w:rsidRPr="00B03B51">
        <w:rPr>
          <w:rFonts w:ascii="Times New Roman" w:hAnsi="Times New Roman" w:cs="Times New Roman"/>
          <w:b/>
          <w:sz w:val="24"/>
        </w:rPr>
        <w:t>1. Parāds, kas izteikts ārvalstu valūtā, mijmaiņas darījumā tiek mainīts pret valsts valūtu</w:t>
      </w:r>
    </w:p>
    <w:p w14:paraId="2491C4EA" w14:textId="77777777" w:rsidR="00443399" w:rsidRPr="00B03B51" w:rsidRDefault="00443399" w:rsidP="00443399">
      <w:pPr>
        <w:pStyle w:val="BodyText"/>
        <w:spacing w:before="0"/>
        <w:ind w:left="0" w:firstLine="0"/>
        <w:jc w:val="both"/>
        <w:rPr>
          <w:rFonts w:ascii="Times New Roman" w:hAnsi="Times New Roman" w:cs="Times New Roman"/>
          <w:noProof/>
          <w:sz w:val="24"/>
        </w:rPr>
      </w:pPr>
    </w:p>
    <w:p w14:paraId="073C0440" w14:textId="77777777" w:rsidR="00443399" w:rsidRPr="00B03B51" w:rsidRDefault="00443399" w:rsidP="00443399">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t>Parāda instrumenta nominālvērtība: 100 USD.</w:t>
      </w:r>
    </w:p>
    <w:p w14:paraId="247BCA6B" w14:textId="77777777" w:rsidR="00443399" w:rsidRPr="00B03B51" w:rsidRDefault="00443399" w:rsidP="00443399">
      <w:pPr>
        <w:pStyle w:val="BodyText"/>
        <w:spacing w:before="0"/>
        <w:ind w:left="0" w:firstLine="0"/>
        <w:jc w:val="both"/>
        <w:rPr>
          <w:rFonts w:ascii="Times New Roman" w:hAnsi="Times New Roman" w:cs="Times New Roman"/>
          <w:noProof/>
          <w:sz w:val="24"/>
        </w:rPr>
      </w:pPr>
    </w:p>
    <w:p w14:paraId="3C112311" w14:textId="77777777" w:rsidR="00443399" w:rsidRPr="00B03B51" w:rsidRDefault="00443399" w:rsidP="00443399">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t>Mijmaiņas darījumā ASV dolārs pret eiro: 100 USD/74,07 EUR (valūtas maiņas kurss mijmaiņas darījuma līgumā – 1 EUR=1,35 USD).</w:t>
      </w:r>
    </w:p>
    <w:p w14:paraId="787B25DA" w14:textId="77777777" w:rsidR="00443399" w:rsidRPr="00B03B51" w:rsidRDefault="00443399" w:rsidP="00443399">
      <w:pPr>
        <w:pStyle w:val="BodyText"/>
        <w:spacing w:before="0"/>
        <w:ind w:left="0" w:firstLine="0"/>
        <w:jc w:val="both"/>
        <w:rPr>
          <w:rFonts w:ascii="Times New Roman" w:hAnsi="Times New Roman" w:cs="Times New Roman"/>
          <w:noProof/>
          <w:sz w:val="24"/>
        </w:rPr>
      </w:pPr>
    </w:p>
    <w:p w14:paraId="276824DE" w14:textId="77777777" w:rsidR="00443399" w:rsidRPr="00B03B51" w:rsidRDefault="00443399" w:rsidP="00443399">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t>Parāda instrumenta novērtējums saskaņā ar regulu: 74,07 EUR.</w:t>
      </w:r>
    </w:p>
    <w:p w14:paraId="615B181C" w14:textId="77777777" w:rsidR="00443399" w:rsidRPr="00B03B51" w:rsidRDefault="00443399" w:rsidP="00443399">
      <w:pPr>
        <w:pStyle w:val="BodyText"/>
        <w:spacing w:before="0"/>
        <w:ind w:left="0" w:firstLine="0"/>
        <w:jc w:val="both"/>
        <w:rPr>
          <w:rFonts w:ascii="Times New Roman" w:hAnsi="Times New Roman" w:cs="Times New Roman"/>
          <w:noProof/>
          <w:sz w:val="24"/>
        </w:rPr>
      </w:pPr>
    </w:p>
    <w:p w14:paraId="7EB8E49A" w14:textId="77777777" w:rsidR="00443399" w:rsidRPr="00B03B51" w:rsidRDefault="00443399" w:rsidP="00443399">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t>Piezīmes.</w:t>
      </w:r>
    </w:p>
    <w:p w14:paraId="1626E082" w14:textId="77777777" w:rsidR="00443399" w:rsidRPr="00B03B51" w:rsidRDefault="00443399" w:rsidP="00443399">
      <w:pPr>
        <w:pStyle w:val="BodyText"/>
        <w:spacing w:before="0"/>
        <w:ind w:left="0" w:firstLine="0"/>
        <w:jc w:val="both"/>
        <w:rPr>
          <w:rFonts w:ascii="Times New Roman" w:hAnsi="Times New Roman" w:cs="Times New Roman"/>
          <w:noProof/>
          <w:sz w:val="24"/>
        </w:rPr>
      </w:pPr>
    </w:p>
    <w:p w14:paraId="6C7F98BE" w14:textId="77777777" w:rsidR="00443399" w:rsidRPr="00B03B51" w:rsidRDefault="00443399" w:rsidP="00443399">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t>Attiecībā uz parāda izmaksu atspoguļošanu valsts valūtā, piemērotāks ir mijmaiņas darījuma līguma valūtas maiņas kurss, nevis tirgus kurss. Lai no mijmaiņas darījuma ekvivalenta maksājuma termiņā saņemtu 100 USD (izmanto atmaksām instrumenta īpašniekam), emitentam pārliecinoši jānodrošina 74,07 EUR.</w:t>
      </w:r>
    </w:p>
    <w:p w14:paraId="76138FBB" w14:textId="77777777" w:rsidR="00443399" w:rsidRPr="00B03B51" w:rsidRDefault="00443399" w:rsidP="00443399">
      <w:pPr>
        <w:tabs>
          <w:tab w:val="left" w:pos="843"/>
        </w:tabs>
        <w:jc w:val="both"/>
        <w:rPr>
          <w:rFonts w:ascii="Times New Roman" w:hAnsi="Times New Roman" w:cs="Times New Roman"/>
          <w:b/>
          <w:noProof/>
          <w:sz w:val="24"/>
        </w:rPr>
      </w:pPr>
    </w:p>
    <w:p w14:paraId="677DE98C" w14:textId="77777777" w:rsidR="00443399" w:rsidRPr="00B03B51" w:rsidRDefault="00443399" w:rsidP="00443399">
      <w:pPr>
        <w:tabs>
          <w:tab w:val="left" w:pos="843"/>
        </w:tabs>
        <w:jc w:val="both"/>
        <w:rPr>
          <w:rFonts w:ascii="Times New Roman" w:hAnsi="Times New Roman" w:cs="Times New Roman"/>
          <w:b/>
          <w:noProof/>
          <w:sz w:val="24"/>
        </w:rPr>
      </w:pPr>
      <w:r w:rsidRPr="00B03B51">
        <w:rPr>
          <w:rFonts w:ascii="Times New Roman" w:hAnsi="Times New Roman" w:cs="Times New Roman"/>
          <w:b/>
          <w:sz w:val="24"/>
        </w:rPr>
        <w:t>2. Parāds, kas izteikts ārvalstu valūtā, mijmaiņas darījumā tiek mainīts pret citu ārvalstu valūtu</w:t>
      </w:r>
    </w:p>
    <w:p w14:paraId="6475A05C" w14:textId="77777777" w:rsidR="00443399" w:rsidRPr="00B03B51" w:rsidRDefault="00443399" w:rsidP="00443399">
      <w:pPr>
        <w:pStyle w:val="BodyText"/>
        <w:spacing w:before="0"/>
        <w:ind w:left="0" w:firstLine="0"/>
        <w:jc w:val="both"/>
        <w:rPr>
          <w:rFonts w:ascii="Times New Roman" w:hAnsi="Times New Roman" w:cs="Times New Roman"/>
          <w:noProof/>
          <w:sz w:val="24"/>
        </w:rPr>
      </w:pPr>
    </w:p>
    <w:p w14:paraId="0F95D6F8" w14:textId="77777777" w:rsidR="00443399" w:rsidRPr="00B03B51" w:rsidRDefault="00443399" w:rsidP="00443399">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t>Parāda instrumenta nominālvērtība: 100 USD.</w:t>
      </w:r>
    </w:p>
    <w:p w14:paraId="0264B101" w14:textId="77777777" w:rsidR="00443399" w:rsidRPr="00B03B51" w:rsidRDefault="00443399" w:rsidP="00443399">
      <w:pPr>
        <w:pStyle w:val="BodyText"/>
        <w:spacing w:before="0"/>
        <w:ind w:left="0" w:firstLine="0"/>
        <w:jc w:val="both"/>
        <w:rPr>
          <w:rFonts w:ascii="Times New Roman" w:hAnsi="Times New Roman" w:cs="Times New Roman"/>
          <w:noProof/>
          <w:sz w:val="24"/>
        </w:rPr>
      </w:pPr>
    </w:p>
    <w:p w14:paraId="6BE71CB9" w14:textId="77777777" w:rsidR="00443399" w:rsidRPr="00B03B51" w:rsidRDefault="00443399" w:rsidP="00443399">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t>Mijmaiņas darījumā ASV dolārs pret jenu: 100 USD/10 000 JPY (maiņas kurss – 1 USD=100 JPY).</w:t>
      </w:r>
    </w:p>
    <w:p w14:paraId="1C45C93E" w14:textId="77777777" w:rsidR="00443399" w:rsidRPr="00B03B51" w:rsidRDefault="00443399" w:rsidP="00443399">
      <w:pPr>
        <w:pStyle w:val="BodyText"/>
        <w:spacing w:before="0"/>
        <w:ind w:left="0" w:firstLine="0"/>
        <w:jc w:val="both"/>
        <w:rPr>
          <w:rFonts w:ascii="Times New Roman" w:hAnsi="Times New Roman" w:cs="Times New Roman"/>
          <w:noProof/>
          <w:sz w:val="24"/>
        </w:rPr>
      </w:pPr>
    </w:p>
    <w:p w14:paraId="3C460672" w14:textId="77777777" w:rsidR="00443399" w:rsidRPr="00B03B51" w:rsidRDefault="00443399" w:rsidP="00443399">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t>Jaunā parāda nominālvērtība: 10 000 JPY.</w:t>
      </w:r>
    </w:p>
    <w:p w14:paraId="657222B9" w14:textId="77777777" w:rsidR="00443399" w:rsidRPr="00B03B51" w:rsidRDefault="00443399" w:rsidP="00443399">
      <w:pPr>
        <w:pStyle w:val="BodyText"/>
        <w:spacing w:before="0"/>
        <w:ind w:left="0" w:firstLine="0"/>
        <w:jc w:val="both"/>
        <w:rPr>
          <w:rFonts w:ascii="Times New Roman" w:hAnsi="Times New Roman" w:cs="Times New Roman"/>
          <w:noProof/>
          <w:sz w:val="24"/>
        </w:rPr>
      </w:pPr>
    </w:p>
    <w:p w14:paraId="66AAEED8" w14:textId="77777777" w:rsidR="00443399" w:rsidRPr="00B03B51" w:rsidRDefault="00443399" w:rsidP="00443399">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t>Parāda instrumenta novērtējums eiro valūtā saskaņā ar regulu: 90,1 EUR</w:t>
      </w:r>
    </w:p>
    <w:p w14:paraId="4699B3ED" w14:textId="77777777" w:rsidR="00443399" w:rsidRPr="00B03B51" w:rsidRDefault="00443399" w:rsidP="00443399">
      <w:pPr>
        <w:pStyle w:val="BodyText"/>
        <w:spacing w:before="0"/>
        <w:ind w:left="0" w:firstLine="0"/>
        <w:jc w:val="both"/>
        <w:rPr>
          <w:rFonts w:ascii="Times New Roman" w:hAnsi="Times New Roman" w:cs="Times New Roman"/>
          <w:noProof/>
          <w:sz w:val="24"/>
        </w:rPr>
      </w:pPr>
    </w:p>
    <w:p w14:paraId="119874AD" w14:textId="77777777" w:rsidR="00443399" w:rsidRPr="00B03B51" w:rsidRDefault="00443399" w:rsidP="00443399">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t>(pamatojoties uz tirgus valūtas maiņas kursu: 1 EUR=111 JPY).</w:t>
      </w:r>
    </w:p>
    <w:p w14:paraId="20C0C1B4" w14:textId="77777777" w:rsidR="00443399" w:rsidRPr="00B03B51" w:rsidRDefault="00443399" w:rsidP="00443399">
      <w:pPr>
        <w:pStyle w:val="BodyText"/>
        <w:spacing w:before="0"/>
        <w:ind w:left="0" w:firstLine="0"/>
        <w:jc w:val="both"/>
        <w:rPr>
          <w:rFonts w:ascii="Times New Roman" w:hAnsi="Times New Roman" w:cs="Times New Roman"/>
          <w:noProof/>
          <w:sz w:val="24"/>
        </w:rPr>
      </w:pPr>
    </w:p>
    <w:p w14:paraId="1DD3DA5A" w14:textId="77777777" w:rsidR="00443399" w:rsidRPr="00B03B51" w:rsidRDefault="00443399" w:rsidP="00443399">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t>Piezīmes.</w:t>
      </w:r>
    </w:p>
    <w:p w14:paraId="636C7EDE" w14:textId="77777777" w:rsidR="00443399" w:rsidRPr="00B03B51" w:rsidRDefault="00443399" w:rsidP="00443399">
      <w:pPr>
        <w:pStyle w:val="BodyText"/>
        <w:spacing w:before="0"/>
        <w:ind w:left="0" w:firstLine="0"/>
        <w:jc w:val="both"/>
        <w:rPr>
          <w:rFonts w:ascii="Times New Roman" w:hAnsi="Times New Roman" w:cs="Times New Roman"/>
          <w:noProof/>
          <w:sz w:val="24"/>
        </w:rPr>
      </w:pPr>
    </w:p>
    <w:p w14:paraId="544BF220" w14:textId="77777777" w:rsidR="00443399" w:rsidRPr="00B03B51" w:rsidRDefault="00443399" w:rsidP="00443399">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t>Mijmaiņas darījums izmaina maiņas risku. Parāda instrumenta novērtējums tagad ir atkarīgs no EUR/JPY kursa attīstības, nevis no EUR/USD kursa. Parādu faktiski traktē tā, it kā tas sākotnēji būtu emitēts jenās. Katra perioda beigās parādu konvertē valsts valūtā (EUR), pamatojoties uz EUR/JPY tirgus valūtas maiņas kursu, jo jenās maiņas risks netiek aplūkots.</w:t>
      </w:r>
    </w:p>
    <w:p w14:paraId="0094898D" w14:textId="77777777" w:rsidR="00443399" w:rsidRPr="00B03B51" w:rsidRDefault="00443399" w:rsidP="00443399">
      <w:pPr>
        <w:tabs>
          <w:tab w:val="left" w:pos="843"/>
        </w:tabs>
        <w:jc w:val="both"/>
        <w:rPr>
          <w:rFonts w:ascii="Times New Roman" w:hAnsi="Times New Roman" w:cs="Times New Roman"/>
          <w:b/>
          <w:noProof/>
          <w:sz w:val="24"/>
        </w:rPr>
      </w:pPr>
    </w:p>
    <w:p w14:paraId="5D6D841E" w14:textId="77777777" w:rsidR="00443399" w:rsidRPr="00B03B51" w:rsidRDefault="00443399" w:rsidP="00443399">
      <w:pPr>
        <w:tabs>
          <w:tab w:val="left" w:pos="843"/>
        </w:tabs>
        <w:jc w:val="both"/>
        <w:rPr>
          <w:rFonts w:ascii="Times New Roman" w:hAnsi="Times New Roman" w:cs="Times New Roman"/>
          <w:b/>
          <w:noProof/>
          <w:sz w:val="24"/>
        </w:rPr>
      </w:pPr>
      <w:r w:rsidRPr="00B03B51">
        <w:rPr>
          <w:rFonts w:ascii="Times New Roman" w:hAnsi="Times New Roman" w:cs="Times New Roman"/>
          <w:b/>
          <w:sz w:val="24"/>
        </w:rPr>
        <w:t>3. Parāds, kas izteikts valsts valūtā, mijmaiņas darījumā tiek mainīts pret ārvalstu valūtu</w:t>
      </w:r>
    </w:p>
    <w:p w14:paraId="4D725EF2" w14:textId="77777777" w:rsidR="00443399" w:rsidRPr="00B03B51" w:rsidRDefault="00443399" w:rsidP="00443399">
      <w:pPr>
        <w:pStyle w:val="BodyText"/>
        <w:spacing w:before="0"/>
        <w:ind w:left="0" w:firstLine="0"/>
        <w:jc w:val="both"/>
        <w:rPr>
          <w:rFonts w:ascii="Times New Roman" w:hAnsi="Times New Roman" w:cs="Times New Roman"/>
          <w:noProof/>
          <w:sz w:val="24"/>
        </w:rPr>
      </w:pPr>
    </w:p>
    <w:p w14:paraId="37B14C5F" w14:textId="77777777" w:rsidR="00443399" w:rsidRPr="00B03B51" w:rsidRDefault="00443399" w:rsidP="00443399">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t>Parāda instrumenta nominālvērtība: 100 EUR.</w:t>
      </w:r>
    </w:p>
    <w:p w14:paraId="27CBA5EA" w14:textId="77777777" w:rsidR="00443399" w:rsidRPr="00B03B51" w:rsidRDefault="00443399" w:rsidP="00443399">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t>Mijmaiņas darījumā eiro pret ASV dolāru: 100 EUR/135 USD (maiņas kurss – 1 EUR=1,35 USD).</w:t>
      </w:r>
    </w:p>
    <w:p w14:paraId="4AA8CDD6" w14:textId="77777777" w:rsidR="00443399" w:rsidRPr="00B03B51" w:rsidRDefault="00443399" w:rsidP="00443399">
      <w:pPr>
        <w:pStyle w:val="BodyText"/>
        <w:spacing w:before="0"/>
        <w:ind w:left="0" w:firstLine="0"/>
        <w:jc w:val="both"/>
        <w:rPr>
          <w:rFonts w:ascii="Times New Roman" w:hAnsi="Times New Roman" w:cs="Times New Roman"/>
          <w:noProof/>
          <w:sz w:val="24"/>
        </w:rPr>
      </w:pPr>
    </w:p>
    <w:p w14:paraId="48ED5DB0" w14:textId="77777777" w:rsidR="00443399" w:rsidRPr="00B03B51" w:rsidRDefault="00443399" w:rsidP="00443399">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t>Jaunā parāda nominālvērtība: 135 USD.</w:t>
      </w:r>
    </w:p>
    <w:p w14:paraId="553005B3" w14:textId="77777777" w:rsidR="00443399" w:rsidRPr="00B03B51" w:rsidRDefault="00443399" w:rsidP="00443399">
      <w:pPr>
        <w:pStyle w:val="BodyText"/>
        <w:spacing w:before="0"/>
        <w:ind w:left="0" w:firstLine="0"/>
        <w:jc w:val="both"/>
        <w:rPr>
          <w:rFonts w:ascii="Times New Roman" w:hAnsi="Times New Roman" w:cs="Times New Roman"/>
          <w:noProof/>
          <w:sz w:val="24"/>
        </w:rPr>
      </w:pPr>
    </w:p>
    <w:p w14:paraId="2E5778EC" w14:textId="77777777" w:rsidR="00443399" w:rsidRPr="00B03B51" w:rsidRDefault="00443399" w:rsidP="00443399">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t>Parāda instrumenta novērtējums saskaņā ar regulu: 96,43 EUR (pamatojoties uz tirgus valūtas maiņas kursu: 1 EUR=1,40 USD).</w:t>
      </w:r>
    </w:p>
    <w:p w14:paraId="6CC6C7DA" w14:textId="77777777" w:rsidR="00443399" w:rsidRPr="00B03B51" w:rsidRDefault="00443399" w:rsidP="00443399">
      <w:pPr>
        <w:pStyle w:val="BodyText"/>
        <w:spacing w:before="0"/>
        <w:ind w:left="0" w:firstLine="0"/>
        <w:jc w:val="both"/>
        <w:rPr>
          <w:rFonts w:ascii="Times New Roman" w:hAnsi="Times New Roman" w:cs="Times New Roman"/>
          <w:noProof/>
          <w:sz w:val="24"/>
        </w:rPr>
      </w:pPr>
    </w:p>
    <w:p w14:paraId="20EDF966" w14:textId="77777777" w:rsidR="00443399" w:rsidRPr="00B03B51" w:rsidRDefault="00443399" w:rsidP="00443399">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t>Piezīmes.</w:t>
      </w:r>
    </w:p>
    <w:p w14:paraId="648573A0" w14:textId="77777777" w:rsidR="00443399" w:rsidRPr="00B03B51" w:rsidRDefault="00443399" w:rsidP="00443399">
      <w:pPr>
        <w:pStyle w:val="BodyText"/>
        <w:spacing w:before="0"/>
        <w:ind w:left="0" w:firstLine="0"/>
        <w:jc w:val="both"/>
        <w:rPr>
          <w:rFonts w:ascii="Times New Roman" w:hAnsi="Times New Roman" w:cs="Times New Roman"/>
          <w:noProof/>
          <w:sz w:val="24"/>
        </w:rPr>
      </w:pPr>
    </w:p>
    <w:p w14:paraId="6EB1BC74" w14:textId="77777777" w:rsidR="00443399" w:rsidRPr="00B03B51" w:rsidRDefault="00443399" w:rsidP="00443399">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t>Saistības vairs nav valsts valūtā, bet ārvalstu valūtā, jo debitoram maksājums jāveic vienīgi ārvalstu valūtā. Izmantojot tirgus valūtas maiņas kursu, atklājas faktiskās izmaksas par ASV dolāriem, kas debitoram būs jāpērk (vai jāaizņemas) tirgū. Minētajā piemērā valsts valūtas vērtības celšanās samazina šīs izmaksas par 3,58 EUR.</w:t>
      </w:r>
    </w:p>
    <w:p w14:paraId="3397AD98" w14:textId="77777777" w:rsidR="00443399" w:rsidRPr="00B03B51" w:rsidRDefault="00443399" w:rsidP="00443399">
      <w:pPr>
        <w:tabs>
          <w:tab w:val="left" w:pos="843"/>
        </w:tabs>
        <w:jc w:val="both"/>
        <w:rPr>
          <w:rFonts w:ascii="Times New Roman" w:eastAsia="Arial" w:hAnsi="Times New Roman" w:cs="Times New Roman"/>
          <w:b/>
          <w:bCs/>
          <w:noProof/>
          <w:sz w:val="24"/>
          <w:szCs w:val="19"/>
        </w:rPr>
      </w:pPr>
    </w:p>
    <w:p w14:paraId="5CEB7902" w14:textId="77777777" w:rsidR="00443399" w:rsidRPr="00B03B51" w:rsidRDefault="00443399" w:rsidP="00443399">
      <w:pPr>
        <w:tabs>
          <w:tab w:val="left" w:pos="843"/>
        </w:tabs>
        <w:jc w:val="both"/>
        <w:rPr>
          <w:rFonts w:ascii="Times New Roman" w:eastAsia="Arial" w:hAnsi="Times New Roman" w:cs="Times New Roman"/>
          <w:b/>
          <w:bCs/>
          <w:noProof/>
          <w:sz w:val="24"/>
          <w:szCs w:val="19"/>
        </w:rPr>
      </w:pPr>
      <w:r w:rsidRPr="00B03B51">
        <w:rPr>
          <w:rFonts w:ascii="Times New Roman" w:hAnsi="Times New Roman" w:cs="Times New Roman"/>
          <w:b/>
          <w:bCs/>
          <w:sz w:val="24"/>
          <w:szCs w:val="19"/>
        </w:rPr>
        <w:t>4. Mijmaiņas darījumu “ķēde”</w:t>
      </w:r>
    </w:p>
    <w:p w14:paraId="508E24EE" w14:textId="77777777" w:rsidR="00443399" w:rsidRPr="00B03B51" w:rsidRDefault="00443399" w:rsidP="00443399">
      <w:pPr>
        <w:pStyle w:val="BodyText"/>
        <w:spacing w:before="0"/>
        <w:ind w:left="0" w:firstLine="0"/>
        <w:jc w:val="both"/>
        <w:rPr>
          <w:rFonts w:ascii="Times New Roman" w:hAnsi="Times New Roman" w:cs="Times New Roman"/>
          <w:noProof/>
          <w:sz w:val="24"/>
        </w:rPr>
      </w:pPr>
    </w:p>
    <w:p w14:paraId="782BAB2E" w14:textId="77777777" w:rsidR="00443399" w:rsidRPr="00B03B51" w:rsidRDefault="00443399" w:rsidP="00443399">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t>Parāda instrumenta nominālvērtība: 100 EUR.</w:t>
      </w:r>
    </w:p>
    <w:p w14:paraId="3E52F30E" w14:textId="77777777" w:rsidR="00443399" w:rsidRPr="00B03B51" w:rsidRDefault="00443399" w:rsidP="00443399">
      <w:pPr>
        <w:pStyle w:val="BodyText"/>
        <w:spacing w:before="0"/>
        <w:ind w:left="0" w:firstLine="0"/>
        <w:jc w:val="both"/>
        <w:rPr>
          <w:rFonts w:ascii="Times New Roman" w:hAnsi="Times New Roman" w:cs="Times New Roman"/>
          <w:noProof/>
          <w:sz w:val="24"/>
        </w:rPr>
      </w:pPr>
    </w:p>
    <w:p w14:paraId="0F4336EE" w14:textId="77777777" w:rsidR="00443399" w:rsidRPr="00B03B51" w:rsidRDefault="00443399" w:rsidP="00443399">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t>Mijmaiņas darījumā ASV dolārs pret jenu: 100 USD/10 000 JPY (maiņas kurss: 1 USD=100 JPY).</w:t>
      </w:r>
    </w:p>
    <w:p w14:paraId="209F0FF2" w14:textId="77777777" w:rsidR="00443399" w:rsidRPr="00B03B51" w:rsidRDefault="00443399" w:rsidP="00443399">
      <w:pPr>
        <w:pStyle w:val="BodyText"/>
        <w:spacing w:before="0"/>
        <w:ind w:left="0" w:firstLine="0"/>
        <w:jc w:val="both"/>
        <w:rPr>
          <w:rFonts w:ascii="Times New Roman" w:hAnsi="Times New Roman" w:cs="Times New Roman"/>
          <w:noProof/>
          <w:sz w:val="24"/>
        </w:rPr>
      </w:pPr>
    </w:p>
    <w:p w14:paraId="11337555" w14:textId="77777777" w:rsidR="00443399" w:rsidRPr="00B03B51" w:rsidRDefault="00443399" w:rsidP="00443399">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t>Mijmaiņas darījumā jena pret Šveices franku: 10 000 JPY/120 CHF (valūtas maiņas kurss – 100 JPY=1,2 CHF).</w:t>
      </w:r>
    </w:p>
    <w:p w14:paraId="7E28FD1D" w14:textId="77777777" w:rsidR="00443399" w:rsidRPr="00B03B51" w:rsidRDefault="00443399" w:rsidP="00443399">
      <w:pPr>
        <w:pStyle w:val="BodyText"/>
        <w:spacing w:before="0"/>
        <w:ind w:left="0" w:firstLine="0"/>
        <w:jc w:val="both"/>
        <w:rPr>
          <w:rFonts w:ascii="Times New Roman" w:hAnsi="Times New Roman" w:cs="Times New Roman"/>
          <w:noProof/>
          <w:sz w:val="24"/>
        </w:rPr>
      </w:pPr>
    </w:p>
    <w:p w14:paraId="05834D6E" w14:textId="77777777" w:rsidR="00443399" w:rsidRPr="00B03B51" w:rsidRDefault="00443399" w:rsidP="00443399">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t>Parāda galīgā nominālvērtība: 120 CHF.</w:t>
      </w:r>
    </w:p>
    <w:p w14:paraId="193E2D3C" w14:textId="77777777" w:rsidR="00443399" w:rsidRPr="00B03B51" w:rsidRDefault="00443399" w:rsidP="00443399">
      <w:pPr>
        <w:pStyle w:val="BodyText"/>
        <w:spacing w:before="0"/>
        <w:ind w:left="0" w:firstLine="0"/>
        <w:jc w:val="both"/>
        <w:rPr>
          <w:rFonts w:ascii="Times New Roman" w:hAnsi="Times New Roman" w:cs="Times New Roman"/>
          <w:noProof/>
          <w:sz w:val="24"/>
        </w:rPr>
      </w:pPr>
    </w:p>
    <w:p w14:paraId="015A1A16" w14:textId="77777777" w:rsidR="00443399" w:rsidRPr="00B03B51" w:rsidRDefault="00443399" w:rsidP="00443399">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t>Parāda instrumenta novērtējums saskaņā ar regulu: 83,92 EUR (pamatojoties uz tirgus valūtas maiņas kursu: 1 EUR=1,43 CHF).</w:t>
      </w:r>
    </w:p>
    <w:p w14:paraId="78A775D0" w14:textId="77777777" w:rsidR="00443399" w:rsidRPr="00B03B51" w:rsidRDefault="00443399" w:rsidP="00443399">
      <w:pPr>
        <w:pStyle w:val="BodyText"/>
        <w:spacing w:before="0"/>
        <w:ind w:left="0" w:firstLine="0"/>
        <w:jc w:val="both"/>
        <w:rPr>
          <w:rFonts w:ascii="Times New Roman" w:hAnsi="Times New Roman" w:cs="Times New Roman"/>
          <w:noProof/>
          <w:sz w:val="24"/>
        </w:rPr>
      </w:pPr>
    </w:p>
    <w:p w14:paraId="4B5F92C4" w14:textId="77777777" w:rsidR="00443399" w:rsidRPr="00B03B51" w:rsidRDefault="00443399" w:rsidP="00443399">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t>Piezīmes.</w:t>
      </w:r>
    </w:p>
    <w:p w14:paraId="2C8E454B" w14:textId="77777777" w:rsidR="00443399" w:rsidRPr="00B03B51" w:rsidRDefault="00443399" w:rsidP="00443399">
      <w:pPr>
        <w:pStyle w:val="BodyText"/>
        <w:spacing w:before="0"/>
        <w:ind w:left="0" w:firstLine="0"/>
        <w:jc w:val="both"/>
        <w:rPr>
          <w:rFonts w:ascii="Times New Roman" w:hAnsi="Times New Roman" w:cs="Times New Roman"/>
          <w:noProof/>
          <w:sz w:val="24"/>
        </w:rPr>
      </w:pPr>
    </w:p>
    <w:p w14:paraId="69050AC9" w14:textId="77777777" w:rsidR="00443399" w:rsidRPr="00B03B51" w:rsidRDefault="00443399" w:rsidP="002E0524">
      <w:pPr>
        <w:pStyle w:val="BodyText"/>
        <w:tabs>
          <w:tab w:val="left" w:pos="843"/>
        </w:tabs>
        <w:spacing w:before="0"/>
        <w:ind w:left="284" w:firstLine="0"/>
        <w:jc w:val="both"/>
        <w:rPr>
          <w:rFonts w:ascii="Times New Roman" w:hAnsi="Times New Roman" w:cs="Times New Roman"/>
          <w:noProof/>
          <w:sz w:val="24"/>
        </w:rPr>
      </w:pPr>
      <w:r w:rsidRPr="00B03B51">
        <w:rPr>
          <w:rFonts w:ascii="Times New Roman" w:hAnsi="Times New Roman" w:cs="Times New Roman"/>
          <w:sz w:val="24"/>
        </w:rPr>
        <w:t>a) Attiecīgā parāda denominācija ārvalstu valūtā ir galīgā valūta, ko emitents saņem, sākot katru mijmaiņas darījumu saskaņā ar mijmaiņas darījumu “ķēdi”.</w:t>
      </w:r>
    </w:p>
    <w:p w14:paraId="017BB83C" w14:textId="77777777" w:rsidR="00443399" w:rsidRPr="00B03B51" w:rsidRDefault="00443399" w:rsidP="002E0524">
      <w:pPr>
        <w:pStyle w:val="BodyText"/>
        <w:tabs>
          <w:tab w:val="left" w:pos="843"/>
        </w:tabs>
        <w:spacing w:before="0"/>
        <w:ind w:left="284" w:firstLine="0"/>
        <w:jc w:val="both"/>
        <w:rPr>
          <w:rFonts w:ascii="Times New Roman" w:hAnsi="Times New Roman" w:cs="Times New Roman"/>
          <w:noProof/>
          <w:sz w:val="24"/>
        </w:rPr>
      </w:pPr>
    </w:p>
    <w:p w14:paraId="025788E7" w14:textId="77777777" w:rsidR="00443399" w:rsidRPr="00B03B51" w:rsidRDefault="00443399" w:rsidP="002E0524">
      <w:pPr>
        <w:pStyle w:val="BodyText"/>
        <w:tabs>
          <w:tab w:val="left" w:pos="843"/>
        </w:tabs>
        <w:spacing w:before="0"/>
        <w:ind w:left="284" w:firstLine="0"/>
        <w:jc w:val="both"/>
        <w:rPr>
          <w:rFonts w:ascii="Times New Roman" w:hAnsi="Times New Roman" w:cs="Times New Roman"/>
          <w:noProof/>
          <w:sz w:val="24"/>
        </w:rPr>
      </w:pPr>
      <w:r w:rsidRPr="00B03B51">
        <w:rPr>
          <w:rFonts w:ascii="Times New Roman" w:hAnsi="Times New Roman" w:cs="Times New Roman"/>
          <w:sz w:val="24"/>
        </w:rPr>
        <w:t xml:space="preserve">b) “Ķēdē” eiro var izmantot vienā mijmaiņas darījuma posmā. Ja tas ir ķēdes beigās, tad </w:t>
      </w:r>
      <w:r w:rsidRPr="00B03B51">
        <w:rPr>
          <w:rFonts w:ascii="Times New Roman" w:hAnsi="Times New Roman" w:cs="Times New Roman"/>
          <w:sz w:val="24"/>
        </w:rPr>
        <w:lastRenderedPageBreak/>
        <w:t>parāda instruments jānovērtē atbilstoši 1. gadījumam (maiņas kurss ir noteikts mijmaiņas darījuma līgumā). Ja tas tā nav, tad parādu konvertē eiro, pamatojoties uz tirgus valūtas maiņas kursu attiecībā uz to valūtu, kas mijmaiņas darījuma līguma sākumā saņemta pēdējā. Maiņas kurss pret eiro, kas noteikts savstarpējā mijmaiņas darījuma līgumā, nav svarīgs.</w:t>
      </w:r>
    </w:p>
    <w:p w14:paraId="732BB4BF" w14:textId="77777777" w:rsidR="00443399" w:rsidRPr="00B03B51" w:rsidRDefault="00443399" w:rsidP="00443399">
      <w:pPr>
        <w:tabs>
          <w:tab w:val="left" w:pos="843"/>
        </w:tabs>
        <w:jc w:val="both"/>
        <w:rPr>
          <w:rFonts w:ascii="Times New Roman" w:eastAsia="Arial" w:hAnsi="Times New Roman" w:cs="Times New Roman"/>
          <w:b/>
          <w:bCs/>
          <w:noProof/>
          <w:sz w:val="24"/>
          <w:szCs w:val="19"/>
        </w:rPr>
      </w:pPr>
    </w:p>
    <w:p w14:paraId="6EC1FCE1" w14:textId="77777777" w:rsidR="00443399" w:rsidRPr="00B03B51" w:rsidRDefault="00443399" w:rsidP="00321353">
      <w:pPr>
        <w:tabs>
          <w:tab w:val="left" w:pos="843"/>
        </w:tabs>
        <w:jc w:val="both"/>
        <w:rPr>
          <w:rFonts w:ascii="Times New Roman" w:eastAsia="Arial" w:hAnsi="Times New Roman" w:cs="Times New Roman"/>
          <w:b/>
          <w:bCs/>
          <w:noProof/>
          <w:sz w:val="24"/>
          <w:szCs w:val="19"/>
        </w:rPr>
      </w:pPr>
      <w:r w:rsidRPr="00B03B51">
        <w:rPr>
          <w:rFonts w:ascii="Times New Roman" w:hAnsi="Times New Roman" w:cs="Times New Roman"/>
          <w:b/>
          <w:bCs/>
          <w:sz w:val="24"/>
          <w:szCs w:val="19"/>
        </w:rPr>
        <w:t>5. Mijmaiņas darījumi ar “daļēju” summu</w:t>
      </w:r>
    </w:p>
    <w:p w14:paraId="230F2E37" w14:textId="77777777" w:rsidR="00443399" w:rsidRPr="00B03B51" w:rsidRDefault="00443399" w:rsidP="00321353">
      <w:pPr>
        <w:pStyle w:val="BodyText"/>
        <w:spacing w:before="0"/>
        <w:ind w:left="0" w:firstLine="0"/>
        <w:jc w:val="both"/>
        <w:rPr>
          <w:rFonts w:ascii="Times New Roman" w:hAnsi="Times New Roman" w:cs="Times New Roman"/>
          <w:noProof/>
          <w:sz w:val="24"/>
        </w:rPr>
      </w:pPr>
    </w:p>
    <w:p w14:paraId="186CABCE" w14:textId="77777777" w:rsidR="00443399" w:rsidRPr="00B03B51" w:rsidRDefault="00443399" w:rsidP="00321353">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t>Piezīme. Šādu gadījumu var apvienot ar jebkuru citu gadījumu – dotajā piemērā ir izmantots 1. gadījums.</w:t>
      </w:r>
    </w:p>
    <w:p w14:paraId="1C07BDAD" w14:textId="77777777" w:rsidR="00443399" w:rsidRPr="00B03B51" w:rsidRDefault="00443399" w:rsidP="00443399">
      <w:pPr>
        <w:pStyle w:val="BodyText"/>
        <w:spacing w:before="0"/>
        <w:ind w:left="0" w:firstLine="0"/>
        <w:jc w:val="both"/>
        <w:rPr>
          <w:rFonts w:ascii="Times New Roman" w:hAnsi="Times New Roman" w:cs="Times New Roman"/>
          <w:noProof/>
          <w:sz w:val="24"/>
        </w:rPr>
      </w:pPr>
    </w:p>
    <w:p w14:paraId="70046665" w14:textId="77777777" w:rsidR="00443399" w:rsidRPr="00B03B51" w:rsidRDefault="00443399" w:rsidP="00443399">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t>Parāda instrumenta nominālvērtība: 100 USD (pusi no tiem mijmaiņas darījumā maina pret valsts valūtu, bet pusi – nemaina).</w:t>
      </w:r>
    </w:p>
    <w:p w14:paraId="73D914A5" w14:textId="77777777" w:rsidR="00443399" w:rsidRPr="00B03B51" w:rsidRDefault="00443399" w:rsidP="00443399">
      <w:pPr>
        <w:pStyle w:val="BodyText"/>
        <w:spacing w:before="0"/>
        <w:ind w:left="0" w:firstLine="0"/>
        <w:jc w:val="both"/>
        <w:rPr>
          <w:rFonts w:ascii="Times New Roman" w:hAnsi="Times New Roman" w:cs="Times New Roman"/>
          <w:noProof/>
          <w:sz w:val="24"/>
        </w:rPr>
      </w:pPr>
    </w:p>
    <w:p w14:paraId="69F9E3C4" w14:textId="77777777" w:rsidR="00443399" w:rsidRPr="00B03B51" w:rsidRDefault="00443399" w:rsidP="00443399">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t>Mijmaiņas darījumā ASV dolārs pret eiro: 50 USD/37,04 EUR (valūtas maiņas kurss mijmaiņas darījuma līgumā – 1 EUR=1,35 USD).</w:t>
      </w:r>
    </w:p>
    <w:p w14:paraId="32A3D0B6" w14:textId="77777777" w:rsidR="00443399" w:rsidRPr="00B03B51" w:rsidRDefault="00443399" w:rsidP="00443399">
      <w:pPr>
        <w:pStyle w:val="BodyText"/>
        <w:spacing w:before="0"/>
        <w:ind w:left="0" w:firstLine="0"/>
        <w:jc w:val="both"/>
        <w:rPr>
          <w:rFonts w:ascii="Times New Roman" w:hAnsi="Times New Roman" w:cs="Times New Roman"/>
          <w:noProof/>
          <w:sz w:val="24"/>
        </w:rPr>
      </w:pPr>
    </w:p>
    <w:p w14:paraId="518AAF48" w14:textId="77777777" w:rsidR="00443399" w:rsidRPr="00B03B51" w:rsidRDefault="00443399" w:rsidP="00443399">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t>Parāda instrumenta novērtējums saskaņā ar regulu: 72,74 EUR, no kuriem:</w:t>
      </w:r>
    </w:p>
    <w:p w14:paraId="50733CD7" w14:textId="77777777" w:rsidR="00443399" w:rsidRPr="00B03B51" w:rsidRDefault="00443399" w:rsidP="002E0524">
      <w:pPr>
        <w:pStyle w:val="BodyText"/>
        <w:numPr>
          <w:ilvl w:val="0"/>
          <w:numId w:val="38"/>
        </w:numPr>
        <w:spacing w:before="0"/>
        <w:ind w:left="426" w:hanging="425"/>
        <w:jc w:val="both"/>
        <w:rPr>
          <w:rFonts w:ascii="Times New Roman" w:hAnsi="Times New Roman" w:cs="Times New Roman"/>
          <w:noProof/>
          <w:sz w:val="24"/>
        </w:rPr>
      </w:pPr>
      <w:r w:rsidRPr="00B03B51">
        <w:rPr>
          <w:rFonts w:ascii="Times New Roman" w:hAnsi="Times New Roman" w:cs="Times New Roman"/>
          <w:sz w:val="24"/>
        </w:rPr>
        <w:t>attiecībā uz to pusi, kuru mainīja mijmaiņas darījumā – 37,04 EUR;</w:t>
      </w:r>
    </w:p>
    <w:p w14:paraId="6FF1DC38" w14:textId="77777777" w:rsidR="00443399" w:rsidRPr="00B03B51" w:rsidRDefault="00443399" w:rsidP="002E0524">
      <w:pPr>
        <w:pStyle w:val="BodyText"/>
        <w:numPr>
          <w:ilvl w:val="0"/>
          <w:numId w:val="38"/>
        </w:numPr>
        <w:spacing w:before="0"/>
        <w:ind w:left="426" w:hanging="425"/>
        <w:jc w:val="both"/>
        <w:rPr>
          <w:rFonts w:ascii="Times New Roman" w:hAnsi="Times New Roman" w:cs="Times New Roman"/>
          <w:noProof/>
          <w:sz w:val="24"/>
        </w:rPr>
      </w:pPr>
      <w:r w:rsidRPr="00B03B51">
        <w:rPr>
          <w:rFonts w:ascii="Times New Roman" w:hAnsi="Times New Roman" w:cs="Times New Roman"/>
          <w:sz w:val="24"/>
        </w:rPr>
        <w:t>attiecībā uz to pusi, kuru nemainīja mijmaiņas darījumā – 35.71 EUR</w:t>
      </w:r>
    </w:p>
    <w:p w14:paraId="2C9A4190" w14:textId="77777777" w:rsidR="00443399" w:rsidRPr="00B03B51" w:rsidRDefault="00443399" w:rsidP="00443399">
      <w:pPr>
        <w:pStyle w:val="BodyText"/>
        <w:spacing w:before="0"/>
        <w:ind w:left="0" w:firstLine="0"/>
        <w:jc w:val="both"/>
        <w:rPr>
          <w:rFonts w:ascii="Times New Roman" w:hAnsi="Times New Roman" w:cs="Times New Roman"/>
          <w:noProof/>
          <w:sz w:val="24"/>
        </w:rPr>
      </w:pPr>
    </w:p>
    <w:p w14:paraId="34D1F679" w14:textId="77777777" w:rsidR="00443399" w:rsidRPr="00B03B51" w:rsidRDefault="00443399" w:rsidP="00443399">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t>(pamatojoties uz tirgus valūtas maiņas kursu – 1 EUR=1,40 USD).</w:t>
      </w:r>
    </w:p>
    <w:p w14:paraId="75E94C88" w14:textId="77777777" w:rsidR="00443399" w:rsidRPr="00B03B51" w:rsidRDefault="00443399" w:rsidP="00443399">
      <w:pPr>
        <w:pStyle w:val="BodyText"/>
        <w:spacing w:before="0"/>
        <w:ind w:left="0" w:firstLine="0"/>
        <w:jc w:val="both"/>
        <w:rPr>
          <w:rFonts w:ascii="Times New Roman" w:hAnsi="Times New Roman" w:cs="Times New Roman"/>
          <w:noProof/>
          <w:sz w:val="24"/>
        </w:rPr>
      </w:pPr>
    </w:p>
    <w:p w14:paraId="1229EFAD" w14:textId="77777777" w:rsidR="00443399" w:rsidRPr="00B03B51" w:rsidRDefault="00443399" w:rsidP="00443399">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t>Piezīmes.</w:t>
      </w:r>
    </w:p>
    <w:p w14:paraId="6DDC7379" w14:textId="77777777" w:rsidR="00443399" w:rsidRPr="00B03B51" w:rsidRDefault="00443399" w:rsidP="00443399">
      <w:pPr>
        <w:pStyle w:val="BodyText"/>
        <w:spacing w:before="0"/>
        <w:ind w:left="0" w:firstLine="0"/>
        <w:jc w:val="both"/>
        <w:rPr>
          <w:rFonts w:ascii="Times New Roman" w:hAnsi="Times New Roman" w:cs="Times New Roman"/>
          <w:noProof/>
          <w:sz w:val="24"/>
        </w:rPr>
      </w:pPr>
    </w:p>
    <w:p w14:paraId="3D46C891" w14:textId="77777777" w:rsidR="00443399" w:rsidRPr="00B03B51" w:rsidRDefault="00443399" w:rsidP="00443399">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t>Attiecībā uz tās parāda daļas izmaksu atspoguļošanu, ko mijmaiņas darījumā mainīja pret valsts valūtu, piemērotāks ir mijmaiņas darījuma līguma valūtas maiņas kurss, nevis tirgus kurss.</w:t>
      </w:r>
    </w:p>
    <w:p w14:paraId="5F8933D2" w14:textId="77777777" w:rsidR="00443399" w:rsidRPr="00B03B51" w:rsidRDefault="00443399" w:rsidP="00443399">
      <w:pPr>
        <w:jc w:val="both"/>
        <w:rPr>
          <w:rFonts w:ascii="Times New Roman" w:eastAsia="Arial" w:hAnsi="Times New Roman" w:cs="Times New Roman"/>
          <w:noProof/>
          <w:sz w:val="24"/>
          <w:szCs w:val="19"/>
        </w:rPr>
      </w:pPr>
    </w:p>
    <w:p w14:paraId="2D95F4A1" w14:textId="77777777" w:rsidR="00443399" w:rsidRPr="00B03B51" w:rsidRDefault="00443399" w:rsidP="00443399">
      <w:pPr>
        <w:pStyle w:val="Heading3"/>
        <w:ind w:left="0" w:firstLine="0"/>
        <w:jc w:val="both"/>
        <w:rPr>
          <w:rFonts w:ascii="Times New Roman" w:hAnsi="Times New Roman" w:cs="Times New Roman"/>
          <w:noProof/>
          <w:sz w:val="24"/>
        </w:rPr>
      </w:pPr>
      <w:bookmarkStart w:id="625" w:name="8.3.3_Off-market_swaps"/>
      <w:bookmarkStart w:id="626" w:name="_Toc67565220"/>
      <w:bookmarkEnd w:id="625"/>
      <w:r w:rsidRPr="00B03B51">
        <w:rPr>
          <w:rFonts w:ascii="Times New Roman" w:hAnsi="Times New Roman" w:cs="Times New Roman"/>
          <w:sz w:val="24"/>
        </w:rPr>
        <w:t>8.3.3. Ārpusbiržas mijmaiņas darījumi</w:t>
      </w:r>
      <w:bookmarkEnd w:id="626"/>
    </w:p>
    <w:p w14:paraId="6CD68932"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7D5A32A7"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30. Saistībā ar mijmaiņas darījumu ierakstīšanu nacionālajos kontos būtisks jautājums ir, vai mijmaiņas darījumi tiek veikti saskaņā ar tirgus nosacījumiem, vai arī tiem ir ārpusbiržas būtība. Šādi “ārpusbiržas” mijmaiņas darījumi var būt jebkādi mijmaiņas darījumi, tostarp gan procentu likmes, gan valūtas mijmaiņas darījumi. Tas nav atkarīgs no mijmaiņas darījuma mērķa, kas var būt, piemēram, labuma gūšana no gaidāmajām labvēlīgajām tirgus tendencēm, noslēdzot jaunu riska darījumu.</w:t>
      </w:r>
    </w:p>
    <w:p w14:paraId="08563BAA"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6F3B9A22"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31. Kā minēts iepriekš, vairumā gadījumu mijmaiņas darījumus veic saskaņā ar tirgus nosacījumiem, t. i., sākumā visu maksājumu pašreizējās vērtības abām darījumu pusēm ir pilnīgi līdzvērtīgas. Tā ietekme uz katra darījuma partnera neto vērtību līgumā ir neitrāla. Savstarpēji saskaņotās saistības ataino dominējošos tirgus nosacījumus (tostarp korekcija ar sadalījumu vienā daļā). Šādu mijmaiņas darījumu tirgus vērtība ir nulle, un tos sauc par “nominālvērtības mijmaiņas darījumiem” vai “aktīva vērtībai atbilstošiem mijmaiņas darījumiem”. Pēc tam ietekme uz iesaistītajām pusēm ir pilnīgi simetriska, un tā atspoguļo maksājumu plūsmu pašreizējās vērtības neto izmaiņas katrā posmā atbilstoši tirgus apstākļu tendencēm.</w:t>
      </w:r>
    </w:p>
    <w:p w14:paraId="5C94FF17"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5B0AEF31"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 xml:space="preserve">32. Ja mijmaiņas darījumu īsteno saskaņā ar “ārpusbiržas” noteikumiem, tad puses ir vienojušās par nosacījumiem, tādējādi nodrošinot, ka mijmaiņas darījuma sākumā nosacījumi attiecībā uz maiņas plūsmām nav līdzsvaroti un ir labvēlīgāki vienai no pusēm. Mijmaiņas darījuma sākumā tirgus vērtība nav nulle. Tādējādi, ņemot vērā nosacījumus, par kuriem puses ir vienojušās, ir skaidri identificējams “zaudētājs” un “ieguvējs”. Tā ir viena no iespējamajām “ārpusbiržas </w:t>
      </w:r>
      <w:r w:rsidRPr="00B03B51">
        <w:rPr>
          <w:rFonts w:ascii="Times New Roman" w:hAnsi="Times New Roman" w:cs="Times New Roman"/>
          <w:sz w:val="24"/>
        </w:rPr>
        <w:lastRenderedPageBreak/>
        <w:t>mijmaiņas darījumu” pazīmēm un ir pietiekams nosacījums, lai to raksturotu. Šādā gadījumā tas liecina, ka ir jābūt “ekvivalentam” nelīdzsvarotam mijmaiņas darījumam, kas saistīts ar citu valdības darbību (skat. turpmāk 35. rindkopu). Vēl viena (nestandarta) pazīme, bet kas (iespējams) ir ar vispārējo nulles tirgus vērtību sākumā, varētu būt atkāpe no standartizēta tradicionāla mijmaiņas darījuma naudas plūsmas struktūras.</w:t>
      </w:r>
      <w:r w:rsidRPr="00B03B51">
        <w:rPr>
          <w:rStyle w:val="FootnoteReference"/>
          <w:rFonts w:ascii="Times New Roman" w:hAnsi="Times New Roman" w:cs="Times New Roman"/>
          <w:noProof/>
          <w:sz w:val="24"/>
        </w:rPr>
        <w:footnoteReference w:id="298"/>
      </w:r>
      <w:r w:rsidRPr="00B03B51">
        <w:rPr>
          <w:rFonts w:ascii="Times New Roman" w:hAnsi="Times New Roman" w:cs="Times New Roman"/>
          <w:sz w:val="24"/>
          <w:szCs w:val="12"/>
        </w:rPr>
        <w:t xml:space="preserve"> </w:t>
      </w:r>
      <w:r w:rsidRPr="00B03B51">
        <w:rPr>
          <w:rFonts w:ascii="Times New Roman" w:hAnsi="Times New Roman" w:cs="Times New Roman"/>
          <w:sz w:val="24"/>
        </w:rPr>
        <w:t>Tāpēc ir rūpīgi jāanalizē visi mijmaiņas darījuma līgumi, kurus valdība noslēdz, norādot no standarta (tradicionālā) mijmaiņas darījuma atšķirīgu naudas plūsmas struktūru atbilstoši tirgus nosacījumiem, lai pārbaudītu, vai tas ir jāieraksta saskaņā ar šādu konkrētu noteikumu, proti, jāizvērtē, vai pastāv iespējamie turpmākie periodi, kuros tirgus vērtība būtiski atšķirsies no nulles.</w:t>
      </w:r>
    </w:p>
    <w:p w14:paraId="4D8722D6"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54504521"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33. Saskaņā ar šiem nosacījumiem ārpusbiržas mijmaiņas darījumi ir jāiedala divās daļās.</w:t>
      </w:r>
    </w:p>
    <w:p w14:paraId="2678F794"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09BEB486" w14:textId="77777777" w:rsidR="00443399" w:rsidRPr="00B03B51" w:rsidRDefault="00443399" w:rsidP="00443399">
      <w:pPr>
        <w:pStyle w:val="BodyText"/>
        <w:tabs>
          <w:tab w:val="left" w:pos="1126"/>
        </w:tabs>
        <w:spacing w:before="0"/>
        <w:ind w:left="284" w:firstLine="0"/>
        <w:jc w:val="both"/>
        <w:rPr>
          <w:rFonts w:ascii="Times New Roman" w:hAnsi="Times New Roman" w:cs="Times New Roman"/>
          <w:noProof/>
          <w:sz w:val="24"/>
        </w:rPr>
      </w:pPr>
      <w:r w:rsidRPr="00B03B51">
        <w:rPr>
          <w:rFonts w:ascii="Times New Roman" w:hAnsi="Times New Roman" w:cs="Times New Roman"/>
          <w:sz w:val="24"/>
        </w:rPr>
        <w:t>a) Vispārpieņemtais mijmaiņas darījums, kas noslēgts, pamatojoties uz dominējošiem tūlītējā tirgus nosacījumiem, kuram sākumā ir nulles tirgus vērtība un kas ierakstīts saskaņā ar parastajiem noteikumiem. Tas ir nosacīti “nominālvērtības” jeb “aktīva vērtībai atbilstošs” komponents, kas līdzinās “standarta mijmaiņas darījumam”. Šo komponentu ieraksta kā atvasināto finanšu instrumentu (AF.71), un tas nav valdības (</w:t>
      </w:r>
      <w:r w:rsidRPr="00B03B51">
        <w:rPr>
          <w:rFonts w:ascii="Times New Roman" w:hAnsi="Times New Roman" w:cs="Times New Roman"/>
          <w:i/>
          <w:iCs/>
          <w:sz w:val="24"/>
        </w:rPr>
        <w:t>EDP</w:t>
      </w:r>
      <w:r w:rsidRPr="00B03B51">
        <w:rPr>
          <w:rFonts w:ascii="Times New Roman" w:hAnsi="Times New Roman" w:cs="Times New Roman"/>
          <w:sz w:val="24"/>
        </w:rPr>
        <w:t xml:space="preserve">) parāda sastāvdaļa. Tādējādi jebkādas mijmaiņas darījuma komponenta vērtības pārmaiņas atainos ietekmi uz tirgus nosacījumu tendencēm. Publiskajos kontos šādi mijmaiņas darījumi būtu ierakstāmi bilances aktīvu pusē, ja valdībai tiem ir pozitīva vērtība, un saistību pusē, ja ir otrādi. Pozitīvas plūsmas būtībā ir finanšu darījums </w:t>
      </w:r>
      <w:r w:rsidRPr="00B03B51">
        <w:rPr>
          <w:rFonts w:ascii="Times New Roman" w:hAnsi="Times New Roman" w:cs="Times New Roman"/>
          <w:i/>
          <w:iCs/>
          <w:sz w:val="24"/>
        </w:rPr>
        <w:t>EDP</w:t>
      </w:r>
      <w:r w:rsidRPr="00B03B51">
        <w:rPr>
          <w:rFonts w:ascii="Times New Roman" w:hAnsi="Times New Roman" w:cs="Times New Roman"/>
          <w:sz w:val="24"/>
        </w:rPr>
        <w:t xml:space="preserve"> 3. tabulas aktīvu pusē (ja mijmaiņas darījums ir aktīvs), un negatīvas plūsmas ir finanšu darījums saistību pusē (ja mijmaiņas darījums ir valdības saistības). Turklāt, tā kā tirgus vērtība ir nākotnes plūsmu neto pašreizējā vērtība brīdī, uz kuru attiecas bilance, ir arī pārvērtēšanas ietekme.</w:t>
      </w:r>
      <w:r w:rsidRPr="00B03B51">
        <w:rPr>
          <w:rStyle w:val="FootnoteReference"/>
          <w:rFonts w:ascii="Times New Roman" w:hAnsi="Times New Roman" w:cs="Times New Roman"/>
          <w:noProof/>
          <w:sz w:val="24"/>
        </w:rPr>
        <w:footnoteReference w:id="299"/>
      </w:r>
    </w:p>
    <w:p w14:paraId="74201E4A" w14:textId="77777777" w:rsidR="00443399" w:rsidRPr="00B03B51" w:rsidRDefault="00443399" w:rsidP="00443399">
      <w:pPr>
        <w:pStyle w:val="BodyText"/>
        <w:tabs>
          <w:tab w:val="left" w:pos="1126"/>
        </w:tabs>
        <w:spacing w:before="0"/>
        <w:ind w:left="284" w:firstLine="0"/>
        <w:jc w:val="both"/>
        <w:rPr>
          <w:rFonts w:ascii="Times New Roman" w:hAnsi="Times New Roman" w:cs="Times New Roman"/>
          <w:noProof/>
          <w:sz w:val="24"/>
        </w:rPr>
      </w:pPr>
    </w:p>
    <w:p w14:paraId="0F370422" w14:textId="77777777" w:rsidR="00443399" w:rsidRPr="00B03B51" w:rsidRDefault="00443399" w:rsidP="00443399">
      <w:pPr>
        <w:pStyle w:val="BodyText"/>
        <w:tabs>
          <w:tab w:val="left" w:pos="1126"/>
        </w:tabs>
        <w:spacing w:before="0"/>
        <w:ind w:left="284" w:firstLine="0"/>
        <w:jc w:val="both"/>
        <w:rPr>
          <w:rFonts w:ascii="Times New Roman" w:hAnsi="Times New Roman" w:cs="Times New Roman"/>
          <w:noProof/>
          <w:sz w:val="24"/>
        </w:rPr>
      </w:pPr>
      <w:r w:rsidRPr="00B03B51">
        <w:rPr>
          <w:rFonts w:ascii="Times New Roman" w:hAnsi="Times New Roman" w:cs="Times New Roman"/>
          <w:sz w:val="24"/>
        </w:rPr>
        <w:t>b) Aizdevums (AF.4) ārpusbiržas komponentam. To ieraksta ar tā sākotnējo tirgus vērtību (dažos gadījumos maksājumus visas vienošanās līdzsvarošanai) parasti mijmaiņas darījuma līguma sākumā (avansa maksājums vai, iespējams, sadalīts visā līguma darbības termiņā), nevis līguma parakstīšanas brīdī, kas izņēmuma gadījumos var būtiski atšķirties. Aizdevumu amortizē visā instrumenta darbības laikā. Tam aprēķina procentus. Šis “aizdevuma komponents” ir valdības (</w:t>
      </w:r>
      <w:r w:rsidRPr="00B03B51">
        <w:rPr>
          <w:rFonts w:ascii="Times New Roman" w:hAnsi="Times New Roman" w:cs="Times New Roman"/>
          <w:i/>
          <w:iCs/>
          <w:sz w:val="24"/>
        </w:rPr>
        <w:t>EDP</w:t>
      </w:r>
      <w:r w:rsidRPr="00B03B51">
        <w:rPr>
          <w:rFonts w:ascii="Times New Roman" w:hAnsi="Times New Roman" w:cs="Times New Roman"/>
          <w:sz w:val="24"/>
        </w:rPr>
        <w:t>) parāda daļa. Simetriski valdība var noslēgt ārpusbiržas mijmaiņas darījumus, kuros aizdevuma komponenti ir sniegti darījuma partneriem kā valdības aktīvi.</w:t>
      </w:r>
    </w:p>
    <w:p w14:paraId="4CA63A95"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202242BE"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 xml:space="preserve">34. Citiem vārdiem sakot, tas nozīmē, ka viena daļa plūsmu, ar kurām apmainās līguma darbības laikā, ir uzskatāma par aizdevuma amortizāciju, savukārt otra daļa ir procenti, kas ietekmē valdības neto aizdevumu/aizņēmumu (B.9). Procentus aprēķina, pamatojoties uz fiksēto tūlītējo tirgus likmi, kas novērota mijmaiņas darījuma līguma sākumā (tirdzniecības datumā) (skat. </w:t>
      </w:r>
      <w:r w:rsidRPr="00B03B51">
        <w:rPr>
          <w:rFonts w:ascii="Times New Roman" w:hAnsi="Times New Roman" w:cs="Times New Roman"/>
          <w:sz w:val="24"/>
        </w:rPr>
        <w:lastRenderedPageBreak/>
        <w:t>2.4.3.18. apakšiedaļu).</w:t>
      </w:r>
      <w:r w:rsidRPr="00B03B51">
        <w:rPr>
          <w:rStyle w:val="FootnoteReference"/>
          <w:rFonts w:ascii="Times New Roman" w:hAnsi="Times New Roman" w:cs="Times New Roman"/>
          <w:noProof/>
          <w:sz w:val="24"/>
        </w:rPr>
        <w:footnoteReference w:id="300"/>
      </w:r>
      <w:r w:rsidRPr="00B03B51">
        <w:rPr>
          <w:rFonts w:ascii="Times New Roman" w:hAnsi="Times New Roman" w:cs="Times New Roman"/>
          <w:sz w:val="24"/>
          <w:szCs w:val="12"/>
        </w:rPr>
        <w:t xml:space="preserve"> </w:t>
      </w:r>
      <w:r w:rsidRPr="00B03B51">
        <w:rPr>
          <w:rFonts w:ascii="Times New Roman" w:hAnsi="Times New Roman" w:cs="Times New Roman"/>
          <w:sz w:val="24"/>
        </w:rPr>
        <w:t>Būtībā aizdevumu amortizē līdzīgi “amortizācijas aizdevumam”, t. i., pilnu aizdevuma summu neatmaksā galīgajā maksājuma termiņā, bet gan veicot “ikgadējos maksājumus”, kuros pamatsummas samazinājuma daļa un procenti laika gaitā mainās. Var būt arī citi atmaksas grafiki atkarībā no tā, kādas ir naudas plūsmu struktūras novirzes salīdzinājumā ar tradicionālo mijmaiņas darījumu.</w:t>
      </w:r>
      <w:r w:rsidRPr="00B03B51">
        <w:rPr>
          <w:rStyle w:val="FootnoteReference"/>
          <w:rFonts w:ascii="Times New Roman" w:hAnsi="Times New Roman" w:cs="Times New Roman"/>
          <w:noProof/>
          <w:sz w:val="24"/>
        </w:rPr>
        <w:footnoteReference w:id="301"/>
      </w:r>
      <w:r w:rsidRPr="00B03B51">
        <w:rPr>
          <w:rFonts w:ascii="Times New Roman" w:hAnsi="Times New Roman" w:cs="Times New Roman"/>
          <w:sz w:val="24"/>
          <w:szCs w:val="12"/>
        </w:rPr>
        <w:t xml:space="preserve"> </w:t>
      </w:r>
      <w:r w:rsidRPr="00B03B51">
        <w:rPr>
          <w:rFonts w:ascii="Times New Roman" w:hAnsi="Times New Roman" w:cs="Times New Roman"/>
          <w:sz w:val="24"/>
        </w:rPr>
        <w:t>Šos divus komponentus – procentus un pamatsummas samazinājumu –, kas ir pilnībā noteikti sākumā, atņem no plūsmu faktiskās apmaiņas atbilstoši līgumam, un “atlikums” ir faktiskās plūsmas, kas jāieraksta finanšu kontos kā darījums ar atvasinātajiem finanšu instrumentiem (F.71). Aizdevumam principā ir jābūt tieši tādam pašam maksājuma termiņam kā mijmaiņas darījuma līgumam (no tā var atkāpties</w:t>
      </w:r>
      <w:r w:rsidRPr="00B03B51">
        <w:rPr>
          <w:rStyle w:val="FootnoteReference"/>
          <w:rFonts w:ascii="Times New Roman" w:hAnsi="Times New Roman" w:cs="Times New Roman"/>
          <w:noProof/>
          <w:sz w:val="24"/>
        </w:rPr>
        <w:footnoteReference w:id="302"/>
      </w:r>
      <w:r w:rsidRPr="00B03B51">
        <w:rPr>
          <w:rFonts w:ascii="Times New Roman" w:hAnsi="Times New Roman" w:cs="Times New Roman"/>
          <w:sz w:val="24"/>
        </w:rPr>
        <w:t>, lai arī tikai izņēmuma gadījumos). Ja mijmaiņas darījums tiek anulēts, arī aizdevums automātiski būtu anulējams (kā pirmstermiņa atmaksa). Tāpēc nosacītais aizdevums nekad nevar būt ilgāks par mijmaiņas darījumu.</w:t>
      </w:r>
    </w:p>
    <w:p w14:paraId="5D6739FB"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5C282C8C"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35. Vienkāršā gadījumā sākumā ieguvēja puse sniedz otrai pusei kompensāciju vienreizēja maksājuma veidā, lai no jauna līdzsvarotu darījumu, ko maksā skaidrā naudā darījuma partneris, kam ir “naudas līdzekļu pietiekamība”. Šādā gadījumā ir grūti noliegt, ka pastāv aizdevums. Par šo kompensāciju var noslēgt īpašu vienošanos (maksājumi pa daļām</w:t>
      </w:r>
      <w:r w:rsidRPr="00B03B51">
        <w:rPr>
          <w:rStyle w:val="FootnoteReference"/>
          <w:rFonts w:ascii="Times New Roman" w:hAnsi="Times New Roman" w:cs="Times New Roman"/>
          <w:noProof/>
          <w:sz w:val="24"/>
        </w:rPr>
        <w:footnoteReference w:id="303"/>
      </w:r>
      <w:r w:rsidRPr="00B03B51">
        <w:rPr>
          <w:rFonts w:ascii="Times New Roman" w:hAnsi="Times New Roman" w:cs="Times New Roman"/>
          <w:sz w:val="24"/>
        </w:rPr>
        <w:t>, saistību norakstīšana utt.), kas apgrūtina “patiesā” atkārtotās līdzsvarošanas elementa noteikšanu. Gadījumā, ja šī nelīdzsvarotā maksājuma “ekvivalents” ir saistīts ar citām valdības darbībām, kam nav redzamas saiknes ar konkrēto mijmaiņas darījumu, ir jāidentificē šis ekvivalentais darījums.</w:t>
      </w:r>
      <w:r w:rsidRPr="00B03B51">
        <w:rPr>
          <w:rStyle w:val="FootnoteReference"/>
          <w:rFonts w:ascii="Times New Roman" w:hAnsi="Times New Roman" w:cs="Times New Roman"/>
          <w:noProof/>
          <w:sz w:val="24"/>
        </w:rPr>
        <w:footnoteReference w:id="304"/>
      </w:r>
      <w:r w:rsidRPr="00B03B51">
        <w:rPr>
          <w:rFonts w:ascii="Times New Roman" w:hAnsi="Times New Roman" w:cs="Times New Roman"/>
          <w:sz w:val="24"/>
          <w:szCs w:val="12"/>
        </w:rPr>
        <w:t xml:space="preserve"> </w:t>
      </w:r>
      <w:r w:rsidRPr="00B03B51">
        <w:rPr>
          <w:rFonts w:ascii="Times New Roman" w:hAnsi="Times New Roman" w:cs="Times New Roman"/>
          <w:sz w:val="24"/>
        </w:rPr>
        <w:t>Tomēr praksē ir novērojamas arī kompleksas vienošanās, piemēram, atšķirīgu mijmaiņas darījumu un/vai citu instrumentu kombinācija, veidojot “paketi”, kas liedz ierakstīt tūlītējo negatīvo ietekmi valdības kontos.</w:t>
      </w:r>
      <w:r w:rsidRPr="00B03B51">
        <w:rPr>
          <w:rStyle w:val="FootnoteReference"/>
          <w:rFonts w:ascii="Times New Roman" w:hAnsi="Times New Roman" w:cs="Times New Roman"/>
          <w:noProof/>
          <w:sz w:val="24"/>
        </w:rPr>
        <w:footnoteReference w:id="305"/>
      </w:r>
      <w:r w:rsidRPr="00B03B51">
        <w:rPr>
          <w:rFonts w:ascii="Times New Roman" w:hAnsi="Times New Roman" w:cs="Times New Roman"/>
          <w:sz w:val="24"/>
          <w:szCs w:val="12"/>
        </w:rPr>
        <w:t xml:space="preserve"> </w:t>
      </w:r>
      <w:r w:rsidRPr="00B03B51">
        <w:rPr>
          <w:rFonts w:ascii="Times New Roman" w:hAnsi="Times New Roman" w:cs="Times New Roman"/>
          <w:sz w:val="24"/>
        </w:rPr>
        <w:t>Faktiski dažu nozīmīgu ārpusbiržas mijmaiņas darījumu gadījumā, kas identificēti šim nolūkam, sākumā netiek veikts vienreizējs maksājums.</w:t>
      </w:r>
    </w:p>
    <w:p w14:paraId="0C41D2F3"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544670D2" w14:textId="7DD1E30D"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 xml:space="preserve">36. Tas, ka nav vienreizēja maksājuma, nenozīmē, ka nav jāieraksta aizdevums valdībai, jo ārpusbiržas mijmaiņas darījums nozīmē, ka valdība ir apzināti piekritusi noslēgt līgumu, kurā tai būs jāatmaksā atpakaļ darījuma partnerim vairāk, nekā tā ir saņēmusi (vai saņems). Tāpēc ārpusbiržas mijmaiņas darījumos iekļauj finansēšanas grafiku (t. i., nepieciešamā nauda tiek iegūta precīzā plūsmu apmaiņas laikā). Ar nodomu reti slēdz šādus līgumus, kas veidoti uz nelabvēlīgiem nosacījumiem, ja šādam darījumam nav citu (dažkārt vairāk vai mazāk slēptu) iemeslu, kas nav tīra riska ierobežošana riska pārvaldībā. Ir svarīgi atzīmēt, ka tādu pašu pamatojumu varētu piemērot gadījumos, kad valdība ir neto kreditors finanšu grafikā mijmaiņas darījuma sākumā. Kā minēts iepriekš, aizdevuma aktīvu jāieraksta valdības bilancē. Tas varētu izrietēt, piemēram, no mijmaiņas iespējas līguma, ko tur valdība (un pēc tam realizē, jo ir </w:t>
      </w:r>
      <w:r w:rsidRPr="00B03B51">
        <w:rPr>
          <w:rFonts w:ascii="Times New Roman" w:hAnsi="Times New Roman" w:cs="Times New Roman"/>
          <w:sz w:val="24"/>
        </w:rPr>
        <w:lastRenderedPageBreak/>
        <w:t>līdzekļu pietiekamība valdībai), vai no mijmaiņas nestandartizētajiem nākotnes darījumiem. Tas varētu notikt arī saistībā ar mijmaiņas darījuma pārstrukturēšanu par aktīva posteni – pozitīva vērtība (skat. turpmāk).</w:t>
      </w:r>
    </w:p>
    <w:p w14:paraId="2D62F923"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48FC8D2E"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 xml:space="preserve">37. Varētu piebilst, ka tirgus tendences varētu kļūt izdevīgas valdībai (“lielāka veiksme”) tā, ka beigās tā varētu atmaksāt neto izteiksmē mazāk, nekā sākotnēji ierakstīts kā balanspostenis, vai mazāk nekā citu veidu ekvivalentajos darījumos kompleksajos nolīgumos. Taču šī situācija visai atšķiras no nominālvērtības mijmaiņas darījuma, kurā varētu pieņemt, ka abas puses noslēdz šādu darījumu saskaņā ar vienlīdzīgiem nosacījumiem, t. i., ka </w:t>
      </w:r>
      <w:r w:rsidRPr="00B03B51">
        <w:rPr>
          <w:rFonts w:ascii="Times New Roman" w:hAnsi="Times New Roman" w:cs="Times New Roman"/>
          <w:i/>
          <w:iCs/>
          <w:sz w:val="24"/>
        </w:rPr>
        <w:t>ex ante</w:t>
      </w:r>
      <w:r w:rsidRPr="00B03B51">
        <w:rPr>
          <w:rFonts w:ascii="Times New Roman" w:hAnsi="Times New Roman" w:cs="Times New Roman"/>
          <w:sz w:val="24"/>
        </w:rPr>
        <w:t xml:space="preserve"> nav nepieciešams veikt līdzsvarojošus maksājumus, un neviens nav pilnīgi pārliecināts, kura puse darījumā zaudēs un kura iegūs, proti, ir zināma nenoteiktība par gala rezultātu. Mijmaiņas darījuma vērtības maiņa pēc definīcijas ir situācija, kurā viena puse ir ieguvēja, bet otra ir zaudētāja, vismaz ja to skata atsevišķu mijmaiņas darījumu līmenī.</w:t>
      </w:r>
    </w:p>
    <w:p w14:paraId="1BC0F2E8"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543375E9"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szCs w:val="12"/>
        </w:rPr>
      </w:pPr>
      <w:r w:rsidRPr="00B03B51">
        <w:rPr>
          <w:rFonts w:ascii="Times New Roman" w:hAnsi="Times New Roman" w:cs="Times New Roman"/>
          <w:sz w:val="24"/>
        </w:rPr>
        <w:t>38. Ir būtiska atšķirība starp nominālo mijmaiņas darījumu sākumā un ārpusbiržas mijmaiņas darījumu, kurā valdība sāk ar faktisku “apgrūtinājumu”/“handikapu”, ciktāl tas attiecas uz mijmaiņas darījuma plūsmām, ko ieraksta kā atvasinātos finanšu instrumentus (F.71). Tikai tad, ja tirgus tendences ir ļoti labvēlīgas, neto maksājumus varētu samazināt. Tomēr, ņemot vērā tirgus nenoteiktību, situācija var arī pasliktināties attiecībā pret jau tā nelabvēlīgo sākotnējo situāciju. Dažos gadījumos tas ir arī konstatēts. Tāpēc aizdevuma komponents sākumā ir noteikti jāfiksē, pamatojoties uz tajā brīdī aprēķināto vērtību. Jebkāda turpmāka uzlabošanās vai pasliktināšanās ir jāattiecina tikai uz nomināla komponentu, kuru var ietekmēt tikai tirgus tendences. Nacionālajos kontos aizdevumiem nav tirgus vērtības.</w:t>
      </w:r>
      <w:r w:rsidRPr="00B03B51">
        <w:rPr>
          <w:rStyle w:val="FootnoteReference"/>
          <w:rFonts w:ascii="Times New Roman" w:hAnsi="Times New Roman" w:cs="Times New Roman"/>
          <w:noProof/>
          <w:sz w:val="24"/>
        </w:rPr>
        <w:footnoteReference w:id="306"/>
      </w:r>
    </w:p>
    <w:p w14:paraId="553F5E5C"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7B13CCC7"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39. Ārpusbiržas mijmaiņas darījumi ir jāidentificē kā tādi saistībā ar katru atsevišķu līgumu, ko noslēgusi valdība, neatkarīgi no darbības pamatojuma. Tie var veidoties dažādās situācijās. Piemēram, ārpusbiržas mijmaiņas darījums var rasties pilnīgi jaunas vienošanās rezultātā, ko noslēgusi valdība un darījuma partneris.</w:t>
      </w:r>
    </w:p>
    <w:p w14:paraId="41A3FAEF"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4ADE7A6A"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40. Tas var arī rasties, stājoties spēkā mijmaiņas darījumam, kurš iepriekš tika noslēgts kā mijmaiņas iespējas līgums, kas dod tā turētājam tiesības (bet ne pienākumu) noslēgt mijmaiņas pamatdarījumu, kas ir īpaši izstrādāts. Kopumā mijmaiņas iespējas līguma pārdevējs (“parakstītājs”) sākumā saņem prēmiju.</w:t>
      </w:r>
      <w:r w:rsidRPr="00B03B51">
        <w:rPr>
          <w:rStyle w:val="FootnoteReference"/>
          <w:rFonts w:ascii="Times New Roman" w:hAnsi="Times New Roman" w:cs="Times New Roman"/>
          <w:noProof/>
          <w:sz w:val="24"/>
        </w:rPr>
        <w:footnoteReference w:id="307"/>
      </w:r>
      <w:r w:rsidRPr="00B03B51">
        <w:rPr>
          <w:rFonts w:ascii="Times New Roman" w:hAnsi="Times New Roman" w:cs="Times New Roman"/>
          <w:sz w:val="24"/>
          <w:szCs w:val="12"/>
        </w:rPr>
        <w:t xml:space="preserve"> </w:t>
      </w:r>
      <w:r w:rsidRPr="00B03B51">
        <w:rPr>
          <w:rFonts w:ascii="Times New Roman" w:hAnsi="Times New Roman" w:cs="Times New Roman"/>
          <w:sz w:val="24"/>
        </w:rPr>
        <w:t>Iespēja tika izveidota dažus gadus iepriekš, un mijmaiņas darījuma nosacījumi varētu būt regulāri līdzsvaroti (nominālvērtībā). To var novērot arī mijmaiņas nestandartizētajos nākotnes darījumos (mijmaiņas darījumi, kas noslēgti vienā laikā, bet sākas vēlāk, dažkārt pat pēc vairākiem gadiem).</w:t>
      </w:r>
    </w:p>
    <w:p w14:paraId="540B1B4F"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492387A1"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41. Taču, kad iespēja ir realizēta, tā pēc definīcijas vairs nebūs attiecināma. Mijmaiņas darījumam parādīsies tirgus vērtība (pretējā gadījumā iespēja netiktu realizēta), un vienīgā pazīme, kas jāņem vērā, ir tā, ka valdība noslēgs nelīdzsvarotu darījumu, izmantojot jaunu finanšu instrumentu. Nozīme ir nevis datumam, kurā mijmaiņas iespējas līgums ir noslēgts, bet gan datums, kurā mijmaiņas darījums ir faktiski īstenots. Tas būtu piemērojams arī citu veidu nolīgumiem (kas nav iespēju līgumi), kas paredz mijmaiņas darījuma stāšanos spēkā kādā vēlākā datumā.</w:t>
      </w:r>
      <w:r w:rsidRPr="00B03B51">
        <w:rPr>
          <w:rStyle w:val="FootnoteReference"/>
          <w:rFonts w:ascii="Times New Roman" w:hAnsi="Times New Roman" w:cs="Times New Roman"/>
          <w:noProof/>
          <w:sz w:val="24"/>
        </w:rPr>
        <w:footnoteReference w:id="308"/>
      </w:r>
      <w:r w:rsidRPr="00B03B51">
        <w:rPr>
          <w:rFonts w:ascii="Times New Roman" w:hAnsi="Times New Roman" w:cs="Times New Roman"/>
          <w:sz w:val="24"/>
          <w:szCs w:val="12"/>
        </w:rPr>
        <w:t xml:space="preserve"> </w:t>
      </w:r>
      <w:r w:rsidRPr="00B03B51">
        <w:rPr>
          <w:rFonts w:ascii="Times New Roman" w:hAnsi="Times New Roman" w:cs="Times New Roman"/>
          <w:sz w:val="24"/>
        </w:rPr>
        <w:t xml:space="preserve">Tā kā to rezultātā veidojas jauns konkrēts mijmaiņas darījuma līgums, tas ir </w:t>
      </w:r>
      <w:r w:rsidRPr="00B03B51">
        <w:rPr>
          <w:rFonts w:ascii="Times New Roman" w:hAnsi="Times New Roman" w:cs="Times New Roman"/>
          <w:sz w:val="24"/>
        </w:rPr>
        <w:lastRenderedPageBreak/>
        <w:t>jātraktē saskaņā ar vispārējiem noteikumiem, kas attiecas uz “naudas līdzekļu nepietiekamības” mijmaiņas darījumiem.</w:t>
      </w:r>
    </w:p>
    <w:p w14:paraId="731714D6"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57873E6A"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42. Ārpusbiržas mijmaiņas darījums var rasties arī saistībā ar esoša mijmaiņas darījuma atkārtotu pārrunu uzsākšanu/pārstrukturēšanu tādā veidā, ka jaunais mijmaiņas darījums (par kuru ir noslēgts jauns līgums, ar kuru aizstāj iepriekšējo) varētu sākties ar negatīvu vērtību valdībai, jo mijmaiņas darījuma tirgus vērtība tieši pirms pārstrukturēšanas uzsākšanas netika noteikta, bet tiek piemērota pārstrukturētajā mijmaiņas darījumā.</w:t>
      </w:r>
    </w:p>
    <w:p w14:paraId="7A725F44" w14:textId="77777777" w:rsidR="00443399" w:rsidRPr="00B03B51" w:rsidRDefault="00443399" w:rsidP="00443399">
      <w:pPr>
        <w:jc w:val="both"/>
        <w:rPr>
          <w:rFonts w:ascii="Times New Roman" w:eastAsia="Arial" w:hAnsi="Times New Roman" w:cs="Times New Roman"/>
          <w:noProof/>
          <w:sz w:val="24"/>
          <w:szCs w:val="28"/>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061"/>
      </w:tblGrid>
      <w:tr w:rsidR="00443399" w:rsidRPr="00B03B51" w14:paraId="691AB820" w14:textId="77777777" w:rsidTr="0054365B">
        <w:tc>
          <w:tcPr>
            <w:tcW w:w="5000" w:type="pct"/>
          </w:tcPr>
          <w:p w14:paraId="10BDB016" w14:textId="77777777" w:rsidR="00443399" w:rsidRPr="00B03B51" w:rsidRDefault="00443399" w:rsidP="0054365B">
            <w:pPr>
              <w:pStyle w:val="Heading3"/>
              <w:ind w:left="0" w:firstLine="0"/>
              <w:jc w:val="both"/>
              <w:outlineLvl w:val="2"/>
              <w:rPr>
                <w:rFonts w:ascii="Times New Roman" w:hAnsi="Times New Roman" w:cs="Times New Roman"/>
                <w:noProof/>
                <w:sz w:val="24"/>
              </w:rPr>
            </w:pPr>
            <w:bookmarkStart w:id="627" w:name="_Toc67565221"/>
            <w:r w:rsidRPr="00B03B51">
              <w:rPr>
                <w:rFonts w:ascii="Times New Roman" w:hAnsi="Times New Roman" w:cs="Times New Roman"/>
                <w:sz w:val="24"/>
              </w:rPr>
              <w:t>3. ierāmējums. Mijmaiņas darījumu pārstrukturēšana</w:t>
            </w:r>
            <w:bookmarkEnd w:id="627"/>
          </w:p>
          <w:p w14:paraId="5819038C" w14:textId="77777777" w:rsidR="00443399" w:rsidRPr="00B03B51" w:rsidRDefault="00443399" w:rsidP="0054365B">
            <w:pPr>
              <w:pStyle w:val="BodyText"/>
              <w:spacing w:before="0"/>
              <w:ind w:left="0" w:firstLine="0"/>
              <w:jc w:val="both"/>
              <w:rPr>
                <w:rFonts w:ascii="Times New Roman" w:hAnsi="Times New Roman" w:cs="Times New Roman"/>
                <w:noProof/>
                <w:sz w:val="24"/>
              </w:rPr>
            </w:pPr>
          </w:p>
          <w:p w14:paraId="52A9FD9B" w14:textId="77777777" w:rsidR="00443399" w:rsidRPr="00B03B51" w:rsidRDefault="00443399" w:rsidP="0054365B">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t>Kopumā mijmaiņas darījuma pārstrukturēšana (ko dēvē arī atkārtotām sarunām, grozīšanu, pārskatīšanu) pirms mijmaiņas darījuma līguma termiņa beigām nozīmē, ka iesaistītās puses vienojas mainīt vairākus mijmaiņas darījuma pamatparametrus – maksājuma termiņu, nosacīto pamatsummu, fiksētās likmes līmeni, mainīgo atsauci, sadalījumu, iespējas utt. Tas skaidri nozīmē, ka ar jauno mijmaiņas darījuma līgumu tiek aizstāts iepriekšējais, atceļot visas iepriekšējās pušu saistības.</w:t>
            </w:r>
          </w:p>
          <w:p w14:paraId="5E7304CA" w14:textId="77777777" w:rsidR="00443399" w:rsidRPr="00B03B51" w:rsidRDefault="00443399" w:rsidP="0054365B">
            <w:pPr>
              <w:pStyle w:val="BodyText"/>
              <w:spacing w:before="0"/>
              <w:ind w:left="0" w:firstLine="0"/>
              <w:jc w:val="both"/>
              <w:rPr>
                <w:rFonts w:ascii="Times New Roman" w:hAnsi="Times New Roman" w:cs="Times New Roman"/>
                <w:noProof/>
                <w:sz w:val="24"/>
              </w:rPr>
            </w:pPr>
          </w:p>
          <w:p w14:paraId="7D8B9F48" w14:textId="77777777" w:rsidR="00443399" w:rsidRPr="00B03B51" w:rsidRDefault="00443399" w:rsidP="0054365B">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t xml:space="preserve">Tas ir līdzīgi esošā mijmaiņas darījuma anulēšanai un jauna mijmaiņas darījuma izveidošanai. Atšķirība ir tāda, ka tā vietā, lai darījuma partneris rādītu negatīvu vērtību (saistības), pretējai darījuma pusei maksājot kompensāciju, ko ieraksta kā finanšu darījumu (nekavējoties vai sadalot ilgākā laika posmā atbilstoši tirgus praksei, kas būtu jāieraksta kā aizdevuma saistības), jaunajā mijmaiņas darījumā “iestrādā” kompensāciju, kas saistīta ar šo pirmstermiņa izbeigšanu. Tas nozīmē, ka maksājumus, kas jāveic katrai pusei, ar nolūku koriģē. Tāpēc mijmaiņas darījumu pārstrukturēšana nacionālajos kontos jātraktē tāpat kā mijmaiņas darījuma anulēšana, pēc kuras ieraksta jaunu nominālo mijmaiņas darījumu. Būtībā darījumi ir ļoti līdzīgi, pat ja (grafikā iekļauto faktisko maksājumu ziņā) parasti pastāv atšķirības. Nacionālajos kontos un </w:t>
            </w:r>
            <w:r w:rsidRPr="00B03B51">
              <w:rPr>
                <w:rFonts w:ascii="Times New Roman" w:hAnsi="Times New Roman" w:cs="Times New Roman"/>
                <w:i/>
                <w:iCs/>
                <w:sz w:val="24"/>
              </w:rPr>
              <w:t>EDP</w:t>
            </w:r>
            <w:r w:rsidRPr="00B03B51">
              <w:rPr>
                <w:rFonts w:ascii="Times New Roman" w:hAnsi="Times New Roman" w:cs="Times New Roman"/>
                <w:sz w:val="24"/>
              </w:rPr>
              <w:t xml:space="preserve"> nolūkos šo valdības riska stāvokļa pārvaldības rīku izmantošana galu galā noteikti atstāj tādu pašu ietekmi uz valdības (</w:t>
            </w:r>
            <w:r w:rsidRPr="00B03B51">
              <w:rPr>
                <w:rFonts w:ascii="Times New Roman" w:hAnsi="Times New Roman" w:cs="Times New Roman"/>
                <w:i/>
                <w:iCs/>
                <w:sz w:val="24"/>
              </w:rPr>
              <w:t>EDP</w:t>
            </w:r>
            <w:r w:rsidRPr="00B03B51">
              <w:rPr>
                <w:rFonts w:ascii="Times New Roman" w:hAnsi="Times New Roman" w:cs="Times New Roman"/>
                <w:sz w:val="24"/>
              </w:rPr>
              <w:t>) parādu.</w:t>
            </w:r>
          </w:p>
          <w:p w14:paraId="706A8E8E" w14:textId="77777777" w:rsidR="00443399" w:rsidRPr="00B03B51" w:rsidRDefault="00443399" w:rsidP="0054365B">
            <w:pPr>
              <w:pStyle w:val="BodyText"/>
              <w:spacing w:before="0"/>
              <w:ind w:left="0" w:firstLine="0"/>
              <w:jc w:val="both"/>
              <w:rPr>
                <w:rFonts w:ascii="Times New Roman" w:hAnsi="Times New Roman" w:cs="Times New Roman"/>
                <w:noProof/>
                <w:sz w:val="24"/>
              </w:rPr>
            </w:pPr>
          </w:p>
          <w:p w14:paraId="42EBD219" w14:textId="77777777" w:rsidR="00443399" w:rsidRPr="00B03B51" w:rsidRDefault="00443399" w:rsidP="0054365B">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t>Šajā saistībā pārstrukturētā mijmaiņas darījuma sākotnējai būtībai nav nozīmes. Galvenais ir tas, ka ir jauns mijmaiņas darījuma līgums, kas ar nolūku nesākas ar nulles vērtību plūsmām, kuras ieraksta kā atvasinātos finanšu instrumentus (F.71). Analizējot nacionālos kontus, galvenā uzmanība ir jāpievērš tam, ka valdība slēdz jaunu vienošanos, pamatojoties uz atšķirīgiem parametriem, kas ataino pārmaiņas valdības prognozēs. Saskaņā ar jaunā mijmaiņas darījuma uzbūvi ir jābūt atšķirīgam rezultātam attiecībā uz valdības turpmāko finansiālo stāvokli.</w:t>
            </w:r>
            <w:r w:rsidRPr="00B03B51">
              <w:rPr>
                <w:rStyle w:val="FootnoteReference"/>
                <w:rFonts w:ascii="Times New Roman" w:hAnsi="Times New Roman" w:cs="Times New Roman"/>
                <w:noProof/>
                <w:sz w:val="24"/>
              </w:rPr>
              <w:footnoteReference w:id="309"/>
            </w:r>
          </w:p>
          <w:p w14:paraId="6BE7F44D" w14:textId="77777777" w:rsidR="00443399" w:rsidRPr="00B03B51" w:rsidRDefault="00443399" w:rsidP="0054365B">
            <w:pPr>
              <w:pStyle w:val="BodyText"/>
              <w:spacing w:before="0"/>
              <w:ind w:left="0" w:firstLine="0"/>
              <w:jc w:val="both"/>
              <w:rPr>
                <w:rFonts w:ascii="Times New Roman" w:hAnsi="Times New Roman" w:cs="Times New Roman"/>
                <w:noProof/>
                <w:sz w:val="24"/>
              </w:rPr>
            </w:pPr>
          </w:p>
          <w:p w14:paraId="3C942B67" w14:textId="77777777" w:rsidR="00443399" w:rsidRPr="00B03B51" w:rsidRDefault="00443399" w:rsidP="0054365B">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t xml:space="preserve">Ir arī jāuzsver, ka mijmaiņas darījumu var pārstrukturēt vairākkārtīgi. Tādējādi nav nozīmes izvērtēt paša sākotnējā līguma būtību, jo, veicot katru nākamo pārstrukturēšanu, tiek atcelti iepriekš norunātie pienākumi. Gadījumā, ja mijmaiņas darījumā pirms pārstrukturēšanas jau tika iekļauts aizdevuma komponents (negatīva vai pozitīva tirgus vērtība valdībai), aizdevuma atlikusī pamatsumma būtu jāpārvērtē, jo iepriekšējā mijmaiņas darījuma visu tirgus vērtību vai </w:t>
            </w:r>
            <w:r w:rsidRPr="00B03B51">
              <w:rPr>
                <w:rFonts w:ascii="Times New Roman" w:hAnsi="Times New Roman" w:cs="Times New Roman"/>
                <w:sz w:val="24"/>
              </w:rPr>
              <w:lastRenderedPageBreak/>
              <w:t>tā daļu nevajadzētu ierakstīt kā aizdevuma komponentu.</w:t>
            </w:r>
          </w:p>
          <w:p w14:paraId="1B51EAF5" w14:textId="77777777" w:rsidR="00443399" w:rsidRPr="00B03B51" w:rsidRDefault="00443399" w:rsidP="0054365B">
            <w:pPr>
              <w:pStyle w:val="BodyText"/>
              <w:spacing w:before="0"/>
              <w:ind w:left="0" w:firstLine="0"/>
              <w:jc w:val="both"/>
              <w:rPr>
                <w:rFonts w:ascii="Times New Roman" w:hAnsi="Times New Roman" w:cs="Times New Roman"/>
                <w:noProof/>
                <w:sz w:val="24"/>
              </w:rPr>
            </w:pPr>
          </w:p>
          <w:p w14:paraId="30AF78FE" w14:textId="77777777" w:rsidR="00443399" w:rsidRPr="00B03B51" w:rsidRDefault="00443399" w:rsidP="0054365B">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t>Šobrīd, šķiet, tirgos nav vērojama bieža mijmaiņas darījumu pārstrukturēšana, jo īpaši attiecībā uz tiem mijmaiņas darījumiem, kuriem ir īss/vidējs maksājuma termiņš. Parasti darījuma partnerim nav obligāti jāpiekrīt pārstrukturēšanai, un viņš var dot priekšroku mijmaiņas darījuma anulēšanai vai līgumā noteiktā maksājuma termiņa sasniegšanai. Tomēr valdība (jo īpaši centrālajā līmenī) parasti ir nozīmīgs emitents tirgos apjoma ziņā, un darījuma partneri šos iegādātos aktīvus parasti uzskata par “bezriska” aktīviem. Šim nolūkam valdība ienāk tirgos, galvenokārt izmantojot atlasītu skaitu darījuma partneru, kurus kopumā sauc par “primārajiem tirgotājiem”. Varētu pieņemt, ka uzņēmējdarbības nolūkos šie primārie tirgotāji, visticamāk, varētu piekrist pārstrukturēšanai, ko ierosina nozīmīgs partneris.</w:t>
            </w:r>
          </w:p>
          <w:p w14:paraId="56C186C2" w14:textId="77777777" w:rsidR="00443399" w:rsidRPr="00B03B51" w:rsidRDefault="00443399" w:rsidP="0054365B">
            <w:pPr>
              <w:pStyle w:val="BodyText"/>
              <w:spacing w:before="0"/>
              <w:ind w:left="0" w:firstLine="0"/>
              <w:jc w:val="both"/>
              <w:rPr>
                <w:rFonts w:ascii="Times New Roman" w:hAnsi="Times New Roman" w:cs="Times New Roman"/>
                <w:noProof/>
                <w:sz w:val="24"/>
              </w:rPr>
            </w:pPr>
          </w:p>
          <w:p w14:paraId="595B9C30" w14:textId="77777777" w:rsidR="00443399" w:rsidRPr="00B03B51" w:rsidRDefault="00443399" w:rsidP="0054365B">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t>Šajā saistībā darījuma partnera, kas tika lūgts iesaistīties atkārtotās sarunās, jebkādai alternatīvai ir jābūt neitrālai, ciktāl tas attiecas uz viņa finansiālo stāvokli. Citiem vārdiem sakot, viņa iepriekšējā mijmaiņas darījuma pozitīvajai vai negatīvajai tirgus vērtībai jaunajā mijmaiņas darījuma līgumā jāsaglabājas nemainīgai, ja neskaita tehniskos iemeslus, kam ir maza ietekme.</w:t>
            </w:r>
            <w:r w:rsidRPr="00B03B51">
              <w:rPr>
                <w:rStyle w:val="FootnoteReference"/>
                <w:rFonts w:ascii="Times New Roman" w:hAnsi="Times New Roman" w:cs="Times New Roman"/>
                <w:noProof/>
                <w:sz w:val="24"/>
              </w:rPr>
              <w:footnoteReference w:id="310"/>
            </w:r>
            <w:r w:rsidRPr="00B03B51">
              <w:rPr>
                <w:rFonts w:ascii="Times New Roman" w:hAnsi="Times New Roman" w:cs="Times New Roman"/>
                <w:sz w:val="24"/>
              </w:rPr>
              <w:t xml:space="preserve"> Šā iemesla dēļ mijmaiņas darījuma parametru maiņai ir jābūt saskanīgai. Piemēram, ja jaunā līguma maksājuma termiņš ir īsāks (garāks) nekā iepriekšējā līgumā, visiem parametriem saglabājoties nemainīgiem (fiksētā likme, mainīgā atsauce), nosacītā summa ir jāpalielina (jāsamazina), lai neitralizētu šo ietekmi.</w:t>
            </w:r>
            <w:r w:rsidRPr="00B03B51">
              <w:rPr>
                <w:rStyle w:val="FootnoteReference"/>
                <w:rFonts w:ascii="Times New Roman" w:hAnsi="Times New Roman" w:cs="Times New Roman"/>
                <w:noProof/>
                <w:sz w:val="24"/>
              </w:rPr>
              <w:footnoteReference w:id="311"/>
            </w:r>
          </w:p>
          <w:p w14:paraId="2A83C3DE" w14:textId="77777777" w:rsidR="00443399" w:rsidRPr="00B03B51" w:rsidRDefault="00443399" w:rsidP="0054365B">
            <w:pPr>
              <w:pStyle w:val="BodyText"/>
              <w:spacing w:before="0"/>
              <w:ind w:left="0" w:firstLine="0"/>
              <w:jc w:val="both"/>
              <w:rPr>
                <w:rFonts w:ascii="Times New Roman" w:hAnsi="Times New Roman" w:cs="Times New Roman"/>
                <w:noProof/>
                <w:sz w:val="24"/>
              </w:rPr>
            </w:pPr>
          </w:p>
          <w:p w14:paraId="1BFDDABE" w14:textId="77777777" w:rsidR="00443399" w:rsidRPr="00B03B51" w:rsidRDefault="00443399" w:rsidP="0054365B">
            <w:pPr>
              <w:pStyle w:val="BodyText"/>
              <w:spacing w:before="0"/>
              <w:ind w:left="0" w:firstLine="0"/>
              <w:jc w:val="both"/>
              <w:rPr>
                <w:rFonts w:ascii="Times New Roman" w:hAnsi="Times New Roman" w:cs="Times New Roman"/>
                <w:noProof/>
                <w:sz w:val="24"/>
                <w:szCs w:val="24"/>
              </w:rPr>
            </w:pPr>
            <w:r w:rsidRPr="00B03B51">
              <w:rPr>
                <w:rFonts w:ascii="Times New Roman" w:hAnsi="Times New Roman" w:cs="Times New Roman"/>
                <w:sz w:val="24"/>
              </w:rPr>
              <w:t>Šī “tirgus vērtības ekvivalence” ir mijmaiņas darījuma pārstrukturēšanas nosacījums. Proti, darījuma partneris, kam ir pozitīva vērtība (aktīvs), parasti neiesaistītos nelīdzsvarotā mijmaiņas darījumā, ja netiek nodrošināts, ka jaunais mijmaiņas darījums sāksies no tā paša stāvokļa. Uz peļņu vērstai vienībai, kas iesaistījusies komercdarījumos, nav nekādu iemeslu piekrist samazināt savu prasījumu pret valdību.</w:t>
            </w:r>
            <w:r w:rsidRPr="00B03B51">
              <w:rPr>
                <w:rFonts w:ascii="Times New Roman" w:hAnsi="Times New Roman" w:cs="Times New Roman"/>
                <w:sz w:val="24"/>
                <w:szCs w:val="24"/>
              </w:rPr>
              <w:t xml:space="preserve"> Līdzīgi valdību neinteresē atsākt sarunas par mijmaiņas darījumu, kuru rezultātā palielinātos tās saistības.</w:t>
            </w:r>
          </w:p>
          <w:p w14:paraId="74BD5C40" w14:textId="77777777" w:rsidR="00443399" w:rsidRPr="00B03B51" w:rsidRDefault="00443399" w:rsidP="0054365B">
            <w:pPr>
              <w:pStyle w:val="BodyText"/>
              <w:spacing w:before="0"/>
              <w:ind w:left="0" w:firstLine="0"/>
              <w:jc w:val="both"/>
              <w:rPr>
                <w:rFonts w:ascii="Times New Roman" w:hAnsi="Times New Roman" w:cs="Times New Roman"/>
                <w:noProof/>
                <w:sz w:val="24"/>
              </w:rPr>
            </w:pPr>
          </w:p>
          <w:p w14:paraId="1F88EA0E" w14:textId="77777777" w:rsidR="00443399" w:rsidRPr="00B03B51" w:rsidRDefault="00443399" w:rsidP="0054365B">
            <w:pPr>
              <w:jc w:val="both"/>
              <w:rPr>
                <w:rFonts w:ascii="Times New Roman" w:eastAsia="Arial" w:hAnsi="Times New Roman" w:cs="Times New Roman"/>
                <w:noProof/>
                <w:sz w:val="24"/>
                <w:szCs w:val="24"/>
              </w:rPr>
            </w:pPr>
            <w:r w:rsidRPr="00B03B51">
              <w:rPr>
                <w:rFonts w:ascii="Times New Roman" w:hAnsi="Times New Roman" w:cs="Times New Roman"/>
                <w:sz w:val="24"/>
                <w:szCs w:val="24"/>
              </w:rPr>
              <w:t>Pēc pārstrukturēšanas valdība var prognozēt sava stāvokļa uzlabošanos, kas tiktu atainots “mijmaiņas darījuma komponenta” tirgus vērtībā, kas sākas ar nulli, kā minēts iepriekš. Taču vairumā gadījumu darījuma partneris neprognozē sava aktīvu stāvokļa pilnīgu apvērsi (piemēram, pēc apvērstās ienesīguma līknes, kad viņš ir īstermiņa maksātājs un fiksētās likmes saņēmējs mijmaiņas darījumā). Valdība var sevi papildus pasargāt pret negatīvām tendencēm, izmantojot dažādus līdzekļus (vispārējo pārvaldību, iespējas līgumus utt.).</w:t>
            </w:r>
          </w:p>
          <w:p w14:paraId="6287D6A7" w14:textId="77777777" w:rsidR="00443399" w:rsidRPr="00B03B51" w:rsidRDefault="00443399" w:rsidP="0054365B">
            <w:pPr>
              <w:jc w:val="both"/>
              <w:rPr>
                <w:rFonts w:ascii="Times New Roman" w:eastAsia="Arial" w:hAnsi="Times New Roman" w:cs="Times New Roman"/>
                <w:noProof/>
                <w:sz w:val="24"/>
                <w:szCs w:val="24"/>
              </w:rPr>
            </w:pPr>
          </w:p>
          <w:p w14:paraId="1042AE05" w14:textId="77777777" w:rsidR="00443399" w:rsidRPr="00B03B51" w:rsidRDefault="00443399" w:rsidP="0054365B">
            <w:pPr>
              <w:jc w:val="both"/>
              <w:rPr>
                <w:rFonts w:ascii="Times New Roman" w:eastAsia="Arial" w:hAnsi="Times New Roman" w:cs="Times New Roman"/>
                <w:noProof/>
                <w:sz w:val="24"/>
                <w:szCs w:val="24"/>
              </w:rPr>
            </w:pPr>
            <w:r w:rsidRPr="00B03B51">
              <w:rPr>
                <w:rFonts w:ascii="Times New Roman" w:hAnsi="Times New Roman" w:cs="Times New Roman"/>
                <w:sz w:val="24"/>
                <w:szCs w:val="24"/>
              </w:rPr>
              <w:t>Visbeidzot, vairumā gadījumu pārstrukturēšana notiek ar tiem pašiem līgumslēdzējiem, taču gadās, ka dažādu iemeslu dēļ jaunais mijmaiņas darījums tiek noslēgts ar jaunu valdības sektorā neietilpstošu darījuma partneri (gadījums, ko sauc par “pārjaunojumu”, tostarp mijmaiņas darījumu nodošana centrālajam darījuma partnerim). Traktējumu par mijmaiņas darījumu pārstrukturēšanu nepiemēro, kad ir mainīts tikai viens darījuma partneris, bet citi parametri nav mainīti.</w:t>
            </w:r>
          </w:p>
        </w:tc>
      </w:tr>
    </w:tbl>
    <w:p w14:paraId="41169A50" w14:textId="77777777" w:rsidR="00443399" w:rsidRPr="00B03B51" w:rsidRDefault="00443399" w:rsidP="00443399">
      <w:pPr>
        <w:jc w:val="both"/>
        <w:rPr>
          <w:rFonts w:ascii="Times New Roman" w:eastAsia="Arial" w:hAnsi="Times New Roman" w:cs="Times New Roman"/>
          <w:noProof/>
          <w:sz w:val="24"/>
          <w:szCs w:val="25"/>
        </w:rPr>
      </w:pPr>
    </w:p>
    <w:p w14:paraId="1B2ABE1D"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43. Ir jāuzsver, ka dažkārt, izmantojot ārpusbiržas mijmaiņas darījumus, valdība var gūt labumu no lieliem vienreizējiem naudas maksājumiem, kas gadījumā, ja netiek ierakstīti kā aizdevumi, acīmredzami ir “slēpts” valdības (</w:t>
      </w:r>
      <w:r w:rsidRPr="00B03B51">
        <w:rPr>
          <w:rFonts w:ascii="Times New Roman" w:hAnsi="Times New Roman" w:cs="Times New Roman"/>
          <w:i/>
          <w:iCs/>
          <w:sz w:val="24"/>
        </w:rPr>
        <w:t>EDP</w:t>
      </w:r>
      <w:r w:rsidRPr="00B03B51">
        <w:rPr>
          <w:rFonts w:ascii="Times New Roman" w:hAnsi="Times New Roman" w:cs="Times New Roman"/>
          <w:sz w:val="24"/>
        </w:rPr>
        <w:t xml:space="preserve">) parāds. Turklāt valdība var izmantot šādus mijmaiņas </w:t>
      </w:r>
      <w:r w:rsidRPr="00B03B51">
        <w:rPr>
          <w:rFonts w:ascii="Times New Roman" w:hAnsi="Times New Roman" w:cs="Times New Roman"/>
          <w:sz w:val="24"/>
        </w:rPr>
        <w:lastRenderedPageBreak/>
        <w:t>darījumus, lai atliktu maksājumus, kam pienācis maksājuma termiņš, un sadalītu tos salīdzinoši ilgākā laika posmā. Tādā veidā faktisko valdības parāda stāvokli var arī mākslīgi uzlabot (vai slēpt pasliktināšanos). Tas varētu būt pretrunā ar nacionālo kontu pamatprincipu vienmēr sniegt stāvokļa “būtības” novērtējumu.</w:t>
      </w:r>
    </w:p>
    <w:p w14:paraId="51CC2A36"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207C44FE"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44. Visbeidzot, ja netiek veikts ārpusbiržas mijmaiņas darījumu traktējums, kā norādīts šajā nodaļā, valdības vienībām būtu iespēja veikt īpašas darbības, dažkārt sarežģītas, citos nolūkos, kas nav parāda pārvaldība, t. i., darbības, kas nav tieši saistītas ar esošo saistību risku novēršanu/mazināšanu. To bieži vien sauc par “rentabilitātes šķietamības radīšanu” (vienreizējs pasākums finansiālā stāvokļa uzlabošanai), un tas var arī “slēpt” šādu darbību izmaksas (jo īpaši, sadalot tās). Visi ārpusbiržas mijmaiņas darījumi vienmēr ir pilnībā jāataino valdības parāda līmenī to noslēgšanas brīdī.</w:t>
      </w:r>
    </w:p>
    <w:p w14:paraId="5A6F82EA" w14:textId="77777777" w:rsidR="00443399" w:rsidRPr="00B03B51" w:rsidRDefault="00443399" w:rsidP="00443399">
      <w:pPr>
        <w:jc w:val="both"/>
        <w:rPr>
          <w:rFonts w:ascii="Times New Roman" w:eastAsia="Arial" w:hAnsi="Times New Roman" w:cs="Times New Roman"/>
          <w:noProof/>
          <w:sz w:val="24"/>
          <w:szCs w:val="15"/>
        </w:rPr>
      </w:pPr>
    </w:p>
    <w:p w14:paraId="02FE1F28" w14:textId="77777777" w:rsidR="00443399" w:rsidRPr="00B03B51" w:rsidRDefault="00443399" w:rsidP="0008022C">
      <w:pPr>
        <w:pStyle w:val="Heading6"/>
        <w:ind w:left="0" w:firstLine="0"/>
        <w:jc w:val="both"/>
        <w:rPr>
          <w:rFonts w:ascii="Times New Roman" w:hAnsi="Times New Roman" w:cs="Times New Roman"/>
          <w:noProof/>
          <w:sz w:val="24"/>
        </w:rPr>
      </w:pPr>
      <w:bookmarkStart w:id="628" w:name="8.3.3.1_Accounting_example_of_off-market"/>
      <w:bookmarkEnd w:id="628"/>
      <w:r w:rsidRPr="00B03B51">
        <w:rPr>
          <w:rFonts w:ascii="Times New Roman" w:hAnsi="Times New Roman" w:cs="Times New Roman"/>
          <w:sz w:val="24"/>
        </w:rPr>
        <w:t>8.3.3.1. ĀRPUSBIRŽAS MIJMAIŅAS DARĪJUMA UZSKAITES PIEMĒRS</w:t>
      </w:r>
    </w:p>
    <w:p w14:paraId="69FDF455" w14:textId="77777777" w:rsidR="00443399" w:rsidRPr="00B03B51" w:rsidRDefault="00443399" w:rsidP="0008022C">
      <w:pPr>
        <w:tabs>
          <w:tab w:val="left" w:pos="843"/>
        </w:tabs>
        <w:jc w:val="both"/>
        <w:rPr>
          <w:rFonts w:ascii="Times New Roman" w:hAnsi="Times New Roman" w:cs="Times New Roman"/>
          <w:b/>
          <w:noProof/>
          <w:sz w:val="24"/>
        </w:rPr>
      </w:pPr>
    </w:p>
    <w:p w14:paraId="4E934090" w14:textId="77777777" w:rsidR="00443399" w:rsidRPr="00B03B51" w:rsidRDefault="00443399" w:rsidP="00443399">
      <w:pPr>
        <w:tabs>
          <w:tab w:val="left" w:pos="843"/>
        </w:tabs>
        <w:jc w:val="both"/>
        <w:rPr>
          <w:rFonts w:ascii="Times New Roman" w:hAnsi="Times New Roman" w:cs="Times New Roman"/>
          <w:b/>
          <w:noProof/>
          <w:sz w:val="24"/>
        </w:rPr>
      </w:pPr>
      <w:r w:rsidRPr="00B03B51">
        <w:rPr>
          <w:rFonts w:ascii="Times New Roman" w:hAnsi="Times New Roman" w:cs="Times New Roman"/>
          <w:b/>
          <w:sz w:val="24"/>
        </w:rPr>
        <w:t>a) Procentu likmes mijmaiņas darījuma gadījums</w:t>
      </w:r>
    </w:p>
    <w:p w14:paraId="0220C36F" w14:textId="77777777" w:rsidR="00443399" w:rsidRPr="00B03B51" w:rsidRDefault="00443399" w:rsidP="00443399">
      <w:pPr>
        <w:pStyle w:val="BodyText"/>
        <w:spacing w:before="0"/>
        <w:ind w:left="0" w:firstLine="0"/>
        <w:jc w:val="both"/>
        <w:rPr>
          <w:rFonts w:ascii="Times New Roman" w:hAnsi="Times New Roman" w:cs="Times New Roman"/>
          <w:noProof/>
          <w:sz w:val="24"/>
        </w:rPr>
      </w:pPr>
    </w:p>
    <w:p w14:paraId="3DF63B1D" w14:textId="77777777" w:rsidR="00443399" w:rsidRPr="00B03B51" w:rsidRDefault="00443399" w:rsidP="00443399">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t>Ir panākta vienošanās par procentu likmes mijmaiņas darījumu ar turpmāk norādītajiem nosacījumiem.</w:t>
      </w:r>
    </w:p>
    <w:p w14:paraId="2A468D72" w14:textId="77777777" w:rsidR="00443399" w:rsidRPr="00B03B51" w:rsidRDefault="00443399" w:rsidP="00443399">
      <w:pPr>
        <w:pStyle w:val="BodyText"/>
        <w:spacing w:before="0"/>
        <w:ind w:left="0" w:firstLine="0"/>
        <w:jc w:val="both"/>
        <w:rPr>
          <w:rFonts w:ascii="Times New Roman" w:hAnsi="Times New Roman" w:cs="Times New Roman"/>
          <w:noProof/>
          <w:sz w:val="24"/>
        </w:rPr>
      </w:pPr>
    </w:p>
    <w:p w14:paraId="6FAD2AF3" w14:textId="77777777" w:rsidR="00443399" w:rsidRPr="00B03B51" w:rsidRDefault="00443399" w:rsidP="00443399">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t xml:space="preserve">Maksājuma termiņš – 10 gadi, nosacītā summa – 100, fiksētas likmes maksājums, ko veic bankas darījuma partneris – 4,5 %, brīvi svārstīgas likmes maksājums, ko veic valdības vienības darījuma partneris: 12 mēnešu </w:t>
      </w:r>
      <w:r w:rsidRPr="00B03B51">
        <w:rPr>
          <w:rFonts w:ascii="Times New Roman" w:hAnsi="Times New Roman" w:cs="Times New Roman"/>
          <w:i/>
          <w:iCs/>
          <w:sz w:val="24"/>
        </w:rPr>
        <w:t>Euribor</w:t>
      </w:r>
      <w:r w:rsidRPr="00B03B51">
        <w:rPr>
          <w:rFonts w:ascii="Times New Roman" w:hAnsi="Times New Roman" w:cs="Times New Roman"/>
          <w:sz w:val="24"/>
        </w:rPr>
        <w:t xml:space="preserve"> + 5,50 %.</w:t>
      </w:r>
    </w:p>
    <w:p w14:paraId="615592A1" w14:textId="77777777" w:rsidR="00443399" w:rsidRPr="00B03B51" w:rsidRDefault="00443399" w:rsidP="00443399">
      <w:pPr>
        <w:pStyle w:val="BodyText"/>
        <w:spacing w:before="0"/>
        <w:ind w:left="0" w:firstLine="0"/>
        <w:jc w:val="both"/>
        <w:rPr>
          <w:rFonts w:ascii="Times New Roman" w:hAnsi="Times New Roman" w:cs="Times New Roman"/>
          <w:noProof/>
          <w:sz w:val="24"/>
        </w:rPr>
      </w:pPr>
    </w:p>
    <w:p w14:paraId="2AE70920" w14:textId="77777777" w:rsidR="00443399" w:rsidRPr="00B03B51" w:rsidRDefault="00443399" w:rsidP="00443399">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t xml:space="preserve">Ir skaidrs, ka šis darījums ir acīmredzami nelīdzsvarots un bankas darījuma partneris būs neto saņēmējs visu līguma darbības laiku (lai sasniegtu paritāti, </w:t>
      </w:r>
      <w:r w:rsidRPr="00B03B51">
        <w:rPr>
          <w:rFonts w:ascii="Times New Roman" w:hAnsi="Times New Roman" w:cs="Times New Roman"/>
          <w:i/>
          <w:iCs/>
          <w:sz w:val="24"/>
        </w:rPr>
        <w:t>Euribor</w:t>
      </w:r>
      <w:r w:rsidRPr="00B03B51">
        <w:rPr>
          <w:rFonts w:ascii="Times New Roman" w:hAnsi="Times New Roman" w:cs="Times New Roman"/>
          <w:sz w:val="24"/>
        </w:rPr>
        <w:t xml:space="preserve"> 12 mēnešu likmei būtu jānokrītas līdz 1 %).</w:t>
      </w:r>
    </w:p>
    <w:p w14:paraId="7C55D3E8" w14:textId="77777777" w:rsidR="00443399" w:rsidRPr="00B03B51" w:rsidRDefault="00443399" w:rsidP="00443399">
      <w:pPr>
        <w:pStyle w:val="BodyText"/>
        <w:spacing w:before="0"/>
        <w:ind w:left="0" w:firstLine="0"/>
        <w:jc w:val="both"/>
        <w:rPr>
          <w:rFonts w:ascii="Times New Roman" w:hAnsi="Times New Roman" w:cs="Times New Roman"/>
          <w:noProof/>
          <w:sz w:val="24"/>
        </w:rPr>
      </w:pPr>
    </w:p>
    <w:p w14:paraId="03AF6FD5" w14:textId="77777777" w:rsidR="00443399" w:rsidRPr="00B03B51" w:rsidRDefault="00443399" w:rsidP="00443399">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t>Pamatojoties uz tūlītējā tirgus nosacījumiem, var novērtēt mijmaiņas darījuma nominālo vērtību (tā, lai sākumā tā būtu vienāda abām pusēm) un atskaitīt “ārpusbiržas” komponentu (piemēram, līdzsvarojošo maksājumu).</w:t>
      </w:r>
    </w:p>
    <w:p w14:paraId="7C61FE4A" w14:textId="77777777" w:rsidR="00443399" w:rsidRPr="00B03B51" w:rsidRDefault="00443399" w:rsidP="00443399">
      <w:pPr>
        <w:pStyle w:val="BodyText"/>
        <w:spacing w:before="0"/>
        <w:ind w:left="0" w:firstLine="0"/>
        <w:jc w:val="both"/>
        <w:rPr>
          <w:rFonts w:ascii="Times New Roman" w:hAnsi="Times New Roman" w:cs="Times New Roman"/>
          <w:noProof/>
          <w:sz w:val="24"/>
        </w:rPr>
      </w:pPr>
    </w:p>
    <w:p w14:paraId="56655AC3" w14:textId="77777777" w:rsidR="00443399" w:rsidRPr="00B03B51" w:rsidRDefault="00443399" w:rsidP="00443399">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t xml:space="preserve">Pieņemsim, ka šajā gadījumā neto maksājumu (bez līdzsvarojošā maksājuma) pašreizējā vērtība provizoriski ir 50 naudas vienības. Bankas darījuma partnerim šī summa ir sākumā jāsamaksā valdības vienībai. Ietekme uz </w:t>
      </w:r>
      <w:r w:rsidRPr="00B03B51">
        <w:rPr>
          <w:rFonts w:ascii="Times New Roman" w:hAnsi="Times New Roman" w:cs="Times New Roman"/>
          <w:i/>
          <w:iCs/>
          <w:sz w:val="24"/>
        </w:rPr>
        <w:t>EDP</w:t>
      </w:r>
      <w:r w:rsidRPr="00B03B51">
        <w:rPr>
          <w:rFonts w:ascii="Times New Roman" w:hAnsi="Times New Roman" w:cs="Times New Roman"/>
          <w:sz w:val="24"/>
        </w:rPr>
        <w:t xml:space="preserve"> datiem būs, kā norādīts turpmāk.</w:t>
      </w:r>
    </w:p>
    <w:p w14:paraId="0957CAAD" w14:textId="77777777" w:rsidR="00443399" w:rsidRPr="00B03B51" w:rsidRDefault="00443399" w:rsidP="00443399">
      <w:pPr>
        <w:pStyle w:val="BodyText"/>
        <w:spacing w:before="0"/>
        <w:ind w:left="0" w:firstLine="0"/>
        <w:jc w:val="both"/>
        <w:rPr>
          <w:rFonts w:ascii="Times New Roman" w:hAnsi="Times New Roman" w:cs="Times New Roman"/>
          <w:noProof/>
          <w:sz w:val="24"/>
        </w:rPr>
      </w:pPr>
    </w:p>
    <w:p w14:paraId="08070E8A" w14:textId="77777777" w:rsidR="00443399" w:rsidRPr="00B03B51" w:rsidRDefault="00443399" w:rsidP="00443399">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t>Sākumā nav nekādas ietekmes uz neto aizdevumu/aizņēmumu (B.9), jo vienreizējo maksājumu neieraksta kā ieņēmumus. Sākumā parāds palielinās par 50 naudas vienībām, jo vienreizējo maksājumu ieraksta kā aizdevumu (AF.42), kas amortizējas mijmaiņas darījuma termiņa laikā, šajā gadījumā – desmit gados.</w:t>
      </w:r>
    </w:p>
    <w:p w14:paraId="11C586BF" w14:textId="77777777" w:rsidR="00443399" w:rsidRPr="00B03B51" w:rsidRDefault="00443399" w:rsidP="00443399">
      <w:pPr>
        <w:pStyle w:val="BodyText"/>
        <w:spacing w:before="0"/>
        <w:ind w:left="0" w:firstLine="0"/>
        <w:jc w:val="both"/>
        <w:rPr>
          <w:rFonts w:ascii="Times New Roman" w:hAnsi="Times New Roman" w:cs="Times New Roman"/>
          <w:noProof/>
          <w:sz w:val="24"/>
        </w:rPr>
      </w:pPr>
    </w:p>
    <w:p w14:paraId="61CF1338" w14:textId="77777777" w:rsidR="00443399" w:rsidRPr="00B03B51" w:rsidRDefault="00443399" w:rsidP="00443399">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t xml:space="preserve">Katru gadu mijmaiņas darījuma termiņa laikā rodas negatīva ietekme uz neto aizdevumu/aizņēmumu (B.9) aizdevuma procentu dēļ (tā kā darījuma partneris ir banka, faktiski procentus sadala D.41 kā procentus un </w:t>
      </w:r>
      <w:r w:rsidRPr="00B03B51">
        <w:rPr>
          <w:rFonts w:ascii="Times New Roman" w:hAnsi="Times New Roman" w:cs="Times New Roman"/>
          <w:i/>
          <w:iCs/>
          <w:sz w:val="24"/>
        </w:rPr>
        <w:t>FISIM</w:t>
      </w:r>
      <w:r w:rsidRPr="00B03B51">
        <w:rPr>
          <w:rFonts w:ascii="Times New Roman" w:hAnsi="Times New Roman" w:cs="Times New Roman"/>
          <w:sz w:val="24"/>
        </w:rPr>
        <w:t>, taču vienkāršības labad tas šeit netiek parādīts); visas pārējās plūsmas ieraksta kā finanšu plūsmas. Daļu no šīm citām mijmaiņas darījuma plūsmām ieraksta kā aizdevuma amortizāciju.</w:t>
      </w:r>
    </w:p>
    <w:p w14:paraId="60213045" w14:textId="77777777" w:rsidR="00443399" w:rsidRPr="00B03B51" w:rsidRDefault="00443399" w:rsidP="00443399">
      <w:pPr>
        <w:pStyle w:val="BodyText"/>
        <w:spacing w:before="0"/>
        <w:ind w:left="0" w:firstLine="0"/>
        <w:jc w:val="both"/>
        <w:rPr>
          <w:rFonts w:ascii="Times New Roman" w:hAnsi="Times New Roman" w:cs="Times New Roman"/>
          <w:noProof/>
          <w:sz w:val="24"/>
        </w:rPr>
      </w:pPr>
    </w:p>
    <w:p w14:paraId="7445BA9A" w14:textId="77777777" w:rsidR="00443399" w:rsidRPr="00B03B51" w:rsidRDefault="00443399" w:rsidP="00443399">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t>Ieteicams izmantot šādu metodi:</w:t>
      </w:r>
    </w:p>
    <w:p w14:paraId="3214A998" w14:textId="77777777" w:rsidR="00443399" w:rsidRPr="00B03B51" w:rsidRDefault="00443399" w:rsidP="00443399">
      <w:pPr>
        <w:pStyle w:val="BodyText"/>
        <w:spacing w:before="0"/>
        <w:ind w:left="0" w:firstLine="0"/>
        <w:jc w:val="both"/>
        <w:rPr>
          <w:rFonts w:ascii="Times New Roman" w:hAnsi="Times New Roman" w:cs="Times New Roman"/>
          <w:noProof/>
          <w:sz w:val="24"/>
        </w:rPr>
      </w:pPr>
    </w:p>
    <w:p w14:paraId="5DBB0B9A" w14:textId="77777777" w:rsidR="00443399" w:rsidRPr="00B03B51" w:rsidRDefault="00443399" w:rsidP="00D939EF">
      <w:pPr>
        <w:pStyle w:val="BodyText"/>
        <w:numPr>
          <w:ilvl w:val="2"/>
          <w:numId w:val="20"/>
        </w:numPr>
        <w:spacing w:before="0"/>
        <w:ind w:left="426" w:hanging="425"/>
        <w:jc w:val="both"/>
        <w:rPr>
          <w:rFonts w:ascii="Times New Roman" w:hAnsi="Times New Roman" w:cs="Times New Roman"/>
          <w:noProof/>
          <w:sz w:val="24"/>
        </w:rPr>
      </w:pPr>
      <w:r w:rsidRPr="00B03B51">
        <w:rPr>
          <w:rFonts w:ascii="Times New Roman" w:hAnsi="Times New Roman" w:cs="Times New Roman"/>
          <w:sz w:val="24"/>
        </w:rPr>
        <w:t>aizdevums ir piešķirts ar fiksētu un nepārskatāmu procentu likmi;</w:t>
      </w:r>
    </w:p>
    <w:p w14:paraId="6BB8F58C" w14:textId="77777777" w:rsidR="00443399" w:rsidRPr="00B03B51" w:rsidRDefault="00443399" w:rsidP="00D939EF">
      <w:pPr>
        <w:pStyle w:val="BodyText"/>
        <w:numPr>
          <w:ilvl w:val="2"/>
          <w:numId w:val="20"/>
        </w:numPr>
        <w:spacing w:before="0"/>
        <w:ind w:left="426" w:hanging="425"/>
        <w:jc w:val="both"/>
        <w:rPr>
          <w:rFonts w:ascii="Times New Roman" w:hAnsi="Times New Roman" w:cs="Times New Roman"/>
          <w:noProof/>
          <w:sz w:val="24"/>
        </w:rPr>
      </w:pPr>
      <w:r w:rsidRPr="00B03B51">
        <w:rPr>
          <w:rFonts w:ascii="Times New Roman" w:hAnsi="Times New Roman" w:cs="Times New Roman"/>
          <w:sz w:val="24"/>
        </w:rPr>
        <w:t>fiksēto procentu likmi iegūst, izmantojot valdības vienības finansējuma izmaksas;</w:t>
      </w:r>
    </w:p>
    <w:p w14:paraId="31B0FD90" w14:textId="77777777" w:rsidR="00443399" w:rsidRPr="00B03B51" w:rsidRDefault="00443399" w:rsidP="00D939EF">
      <w:pPr>
        <w:pStyle w:val="BodyText"/>
        <w:numPr>
          <w:ilvl w:val="2"/>
          <w:numId w:val="20"/>
        </w:numPr>
        <w:spacing w:before="0"/>
        <w:ind w:left="426" w:hanging="425"/>
        <w:jc w:val="both"/>
        <w:rPr>
          <w:rFonts w:ascii="Times New Roman" w:hAnsi="Times New Roman" w:cs="Times New Roman"/>
          <w:noProof/>
          <w:sz w:val="24"/>
        </w:rPr>
      </w:pPr>
      <w:r w:rsidRPr="00B03B51">
        <w:rPr>
          <w:rFonts w:ascii="Times New Roman" w:hAnsi="Times New Roman" w:cs="Times New Roman"/>
          <w:sz w:val="24"/>
        </w:rPr>
        <w:lastRenderedPageBreak/>
        <w:t>aizdevuma aprēķināšanai izmanto regulārus konstantas summas maksājumus (reizi gadā vai pusgadā), kas sastāv no pamatsummas atmaksas un procentu maksājumiem atbilstoši fiksētai likmei, kā minēts iepriekš;</w:t>
      </w:r>
    </w:p>
    <w:p w14:paraId="6DFC40F8" w14:textId="77777777" w:rsidR="00443399" w:rsidRPr="00B03B51" w:rsidRDefault="00443399" w:rsidP="00D939EF">
      <w:pPr>
        <w:pStyle w:val="BodyText"/>
        <w:numPr>
          <w:ilvl w:val="2"/>
          <w:numId w:val="20"/>
        </w:numPr>
        <w:spacing w:before="0"/>
        <w:ind w:left="426" w:hanging="425"/>
        <w:jc w:val="both"/>
        <w:rPr>
          <w:rFonts w:ascii="Times New Roman" w:hAnsi="Times New Roman" w:cs="Times New Roman"/>
          <w:noProof/>
          <w:sz w:val="24"/>
        </w:rPr>
      </w:pPr>
      <w:r w:rsidRPr="00B03B51">
        <w:rPr>
          <w:rFonts w:ascii="Times New Roman" w:hAnsi="Times New Roman" w:cs="Times New Roman"/>
          <w:sz w:val="24"/>
        </w:rPr>
        <w:t>aizdevuma procenti ir jāieraksta pēc uzkrājuma principa;</w:t>
      </w:r>
    </w:p>
    <w:p w14:paraId="01556B20" w14:textId="77777777" w:rsidR="00443399" w:rsidRPr="00B03B51" w:rsidRDefault="00443399" w:rsidP="00D939EF">
      <w:pPr>
        <w:pStyle w:val="BodyText"/>
        <w:numPr>
          <w:ilvl w:val="2"/>
          <w:numId w:val="20"/>
        </w:numPr>
        <w:spacing w:before="0"/>
        <w:ind w:left="426" w:hanging="425"/>
        <w:jc w:val="both"/>
        <w:rPr>
          <w:rFonts w:ascii="Times New Roman" w:hAnsi="Times New Roman" w:cs="Times New Roman"/>
          <w:noProof/>
          <w:sz w:val="24"/>
        </w:rPr>
      </w:pPr>
      <w:r w:rsidRPr="00B03B51">
        <w:rPr>
          <w:rFonts w:ascii="Times New Roman" w:hAnsi="Times New Roman" w:cs="Times New Roman"/>
          <w:sz w:val="24"/>
        </w:rPr>
        <w:t>katru gadu mijmaiņas darījuma termiņa laikā valdības parāds tiek samazināts, veicot aizdevuma atmaksu, līdz iestājas aizdevuma komponenta galīgais atmaksas termiņš.</w:t>
      </w:r>
    </w:p>
    <w:p w14:paraId="44FB5602" w14:textId="77777777" w:rsidR="00443399" w:rsidRPr="00B03B51" w:rsidRDefault="00443399" w:rsidP="00443399">
      <w:pPr>
        <w:pStyle w:val="BodyText"/>
        <w:spacing w:before="0"/>
        <w:ind w:left="0" w:firstLine="0"/>
        <w:jc w:val="both"/>
        <w:rPr>
          <w:rFonts w:ascii="Times New Roman" w:hAnsi="Times New Roman" w:cs="Times New Roman"/>
          <w:noProof/>
          <w:sz w:val="24"/>
        </w:rPr>
      </w:pPr>
    </w:p>
    <w:p w14:paraId="791F6B15" w14:textId="77777777" w:rsidR="00443399" w:rsidRPr="00B03B51" w:rsidRDefault="00443399" w:rsidP="00443399">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t xml:space="preserve">Šajā piemērā 12 mēnešu </w:t>
      </w:r>
      <w:r w:rsidRPr="00B03B51">
        <w:rPr>
          <w:rFonts w:ascii="Times New Roman" w:hAnsi="Times New Roman" w:cs="Times New Roman"/>
          <w:i/>
          <w:iCs/>
          <w:sz w:val="24"/>
        </w:rPr>
        <w:t>Euribor</w:t>
      </w:r>
      <w:r w:rsidRPr="00B03B51">
        <w:rPr>
          <w:rFonts w:ascii="Times New Roman" w:hAnsi="Times New Roman" w:cs="Times New Roman"/>
          <w:sz w:val="24"/>
        </w:rPr>
        <w:t xml:space="preserve"> bija 3 % mijmaiņas darījuma sākumā. Aizdevumam piemērojamā fiksēta procentu likme ir 4 %. Ir jāieraksta turpmāk norādītie darījumi.</w:t>
      </w:r>
    </w:p>
    <w:p w14:paraId="455C008F" w14:textId="77777777" w:rsidR="00443399" w:rsidRPr="00B03B51" w:rsidRDefault="00443399" w:rsidP="00443399">
      <w:pPr>
        <w:jc w:val="both"/>
        <w:rPr>
          <w:rFonts w:ascii="Times New Roman" w:eastAsia="Arial" w:hAnsi="Times New Roman" w:cs="Times New Roman"/>
          <w:noProof/>
          <w:sz w:val="24"/>
          <w:szCs w:val="18"/>
        </w:rPr>
      </w:pPr>
    </w:p>
    <w:p w14:paraId="70E8C515" w14:textId="77777777" w:rsidR="00443399" w:rsidRPr="00B03B51" w:rsidRDefault="00443399" w:rsidP="00443399">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t>Sākotnējās AF.4 saistības: 50</w:t>
      </w:r>
    </w:p>
    <w:p w14:paraId="50545FC8" w14:textId="77777777" w:rsidR="00443399" w:rsidRPr="00B03B51" w:rsidRDefault="00443399" w:rsidP="00443399">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t xml:space="preserve">Procentu likme 3 % (no </w:t>
      </w:r>
      <w:r w:rsidRPr="00B03B51">
        <w:rPr>
          <w:rFonts w:ascii="Times New Roman" w:hAnsi="Times New Roman" w:cs="Times New Roman"/>
          <w:i/>
          <w:iCs/>
          <w:sz w:val="24"/>
        </w:rPr>
        <w:t>Euribor</w:t>
      </w:r>
      <w:r w:rsidRPr="00B03B51">
        <w:rPr>
          <w:rFonts w:ascii="Times New Roman" w:hAnsi="Times New Roman" w:cs="Times New Roman"/>
          <w:sz w:val="24"/>
        </w:rPr>
        <w:t>)</w:t>
      </w:r>
    </w:p>
    <w:p w14:paraId="1272585B" w14:textId="77777777" w:rsidR="00443399" w:rsidRPr="00B03B51" w:rsidRDefault="00443399" w:rsidP="00443399">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t>Aizdevuma nosacītā gada maksa: 6,165 (summa, kas nepieciešama nemainīgiem gada maksājumiem, lai atmaksātu aizdevumu ar piemēroto procentu likmi 4 %)</w:t>
      </w:r>
    </w:p>
    <w:p w14:paraId="6AE812EE" w14:textId="77777777" w:rsidR="00443399" w:rsidRPr="00B03B51" w:rsidRDefault="00443399" w:rsidP="00443399">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t>Neto mijmaiņas darījuma naudas norēķini: pēc viena gada +4,5 (banka), 8,5 (valdība; 3 + 5,5) = valdības neto maksājums ir 4</w:t>
      </w:r>
    </w:p>
    <w:p w14:paraId="67EC56F3" w14:textId="77777777" w:rsidR="00443399" w:rsidRPr="00B03B51" w:rsidRDefault="00443399" w:rsidP="00443399">
      <w:pPr>
        <w:jc w:val="both"/>
        <w:rPr>
          <w:rFonts w:ascii="Times New Roman" w:eastAsia="Arial" w:hAnsi="Times New Roman" w:cs="Times New Roman"/>
          <w:noProof/>
          <w:sz w:val="24"/>
        </w:rPr>
      </w:pPr>
    </w:p>
    <w:p w14:paraId="70D09452" w14:textId="77777777" w:rsidR="00443399" w:rsidRPr="00B03B51" w:rsidRDefault="00443399" w:rsidP="00443399">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t>Kontos veicami turpmāk norādītie ieraksti.</w:t>
      </w:r>
    </w:p>
    <w:p w14:paraId="30D35FF0" w14:textId="77777777" w:rsidR="00443399" w:rsidRPr="00B03B51" w:rsidRDefault="00443399" w:rsidP="00443399">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t>D.41 maksājamie procenti: 2 (4 % no pamatsummas 50)</w:t>
      </w:r>
    </w:p>
    <w:p w14:paraId="7A9B73BE" w14:textId="77777777" w:rsidR="00443399" w:rsidRPr="00B03B51" w:rsidRDefault="00443399" w:rsidP="00443399">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t>Pamatsummas amortizācija pirmajā gadā: 4,2 (F.4 saistību plūsma)</w:t>
      </w:r>
    </w:p>
    <w:p w14:paraId="76D15A39" w14:textId="77777777" w:rsidR="00443399" w:rsidRPr="00B03B51" w:rsidRDefault="00443399" w:rsidP="00443399">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t>F.2 aktīvu plūsma –4 (naudas norēķins)</w:t>
      </w:r>
    </w:p>
    <w:p w14:paraId="25339E40" w14:textId="77777777" w:rsidR="00443399" w:rsidRPr="00B03B51" w:rsidRDefault="00443399" w:rsidP="00443399">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t>F.71 aktīvu plūsma –2,2, lai līdzsvarotu kontus.</w:t>
      </w:r>
    </w:p>
    <w:p w14:paraId="796407F3" w14:textId="77777777" w:rsidR="00443399" w:rsidRPr="00B03B51" w:rsidRDefault="00443399" w:rsidP="00443399">
      <w:pPr>
        <w:jc w:val="both"/>
        <w:rPr>
          <w:rFonts w:ascii="Times New Roman" w:eastAsia="Arial" w:hAnsi="Times New Roman" w:cs="Times New Roman"/>
          <w:noProof/>
          <w:sz w:val="24"/>
          <w:szCs w:val="23"/>
        </w:rPr>
      </w:pPr>
    </w:p>
    <w:p w14:paraId="0D91DE7B" w14:textId="77777777" w:rsidR="00443399" w:rsidRPr="00B03B51" w:rsidRDefault="00443399" w:rsidP="00443399">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t>Slēgšanas periodā AF.4 saistības ir: 45,8 (50–4,26)</w:t>
      </w:r>
    </w:p>
    <w:p w14:paraId="3010C90F" w14:textId="77777777" w:rsidR="00443399" w:rsidRPr="00B03B51" w:rsidRDefault="00443399" w:rsidP="00443399">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t>Pieņem, ka 1. gadā AF.7 aktīvi/saistības nav pārvērtēti</w:t>
      </w:r>
    </w:p>
    <w:p w14:paraId="0EFE1D05" w14:textId="77777777" w:rsidR="00443399" w:rsidRPr="00B03B51" w:rsidRDefault="00443399" w:rsidP="00443399">
      <w:pPr>
        <w:jc w:val="both"/>
        <w:rPr>
          <w:rFonts w:ascii="Times New Roman" w:eastAsia="Arial" w:hAnsi="Times New Roman" w:cs="Times New Roman"/>
          <w:noProof/>
          <w:sz w:val="24"/>
          <w:szCs w:val="18"/>
        </w:rPr>
      </w:pPr>
    </w:p>
    <w:p w14:paraId="703FEED5" w14:textId="77777777" w:rsidR="00443399" w:rsidRPr="00B03B51" w:rsidRDefault="00443399" w:rsidP="0008022C">
      <w:pPr>
        <w:keepNext/>
        <w:jc w:val="both"/>
        <w:rPr>
          <w:rFonts w:ascii="Times New Roman" w:hAnsi="Times New Roman" w:cs="Times New Roman"/>
          <w:b/>
          <w:noProof/>
          <w:sz w:val="24"/>
        </w:rPr>
      </w:pPr>
      <w:r w:rsidRPr="00B03B51">
        <w:rPr>
          <w:rFonts w:ascii="Times New Roman" w:hAnsi="Times New Roman" w:cs="Times New Roman"/>
          <w:b/>
          <w:sz w:val="24"/>
        </w:rPr>
        <w:lastRenderedPageBreak/>
        <w:t>Sākumā</w:t>
      </w:r>
    </w:p>
    <w:p w14:paraId="5FBA4F99" w14:textId="77777777" w:rsidR="00443399" w:rsidRPr="00B03B51" w:rsidRDefault="00443399" w:rsidP="0008022C">
      <w:pPr>
        <w:keepNext/>
        <w:jc w:val="both"/>
        <w:rPr>
          <w:rFonts w:ascii="Times New Roman" w:eastAsia="Arial" w:hAnsi="Times New Roman" w:cs="Times New Roman"/>
          <w:b/>
          <w:bCs/>
          <w:noProof/>
          <w:sz w:val="24"/>
          <w:szCs w:val="26"/>
        </w:rPr>
      </w:pPr>
    </w:p>
    <w:p w14:paraId="098C81EB" w14:textId="77777777" w:rsidR="00443399" w:rsidRPr="00B03B51" w:rsidRDefault="00443399" w:rsidP="0008022C">
      <w:pPr>
        <w:keepNext/>
        <w:tabs>
          <w:tab w:val="left" w:pos="7443"/>
        </w:tabs>
        <w:jc w:val="center"/>
        <w:rPr>
          <w:rFonts w:ascii="Times New Roman" w:eastAsia="Arial" w:hAnsi="Times New Roman" w:cs="Times New Roman"/>
          <w:b/>
          <w:bCs/>
          <w:noProof/>
          <w:sz w:val="24"/>
          <w:szCs w:val="20"/>
        </w:rPr>
      </w:pPr>
      <w:r w:rsidRPr="00B03B51">
        <w:rPr>
          <w:rFonts w:ascii="Times New Roman" w:hAnsi="Times New Roman" w:cs="Times New Roman"/>
          <w:noProof/>
        </w:rPr>
        <w:drawing>
          <wp:inline distT="0" distB="0" distL="0" distR="0" wp14:anchorId="748F2C90" wp14:editId="33AD8858">
            <wp:extent cx="5756275" cy="2922905"/>
            <wp:effectExtent l="0" t="0" r="0" b="0"/>
            <wp:docPr id="104" name="Attēls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0"/>
                    <a:stretch>
                      <a:fillRect/>
                    </a:stretch>
                  </pic:blipFill>
                  <pic:spPr>
                    <a:xfrm>
                      <a:off x="0" y="0"/>
                      <a:ext cx="5756275" cy="2922905"/>
                    </a:xfrm>
                    <a:prstGeom prst="rect">
                      <a:avLst/>
                    </a:prstGeom>
                  </pic:spPr>
                </pic:pic>
              </a:graphicData>
            </a:graphic>
          </wp:inline>
        </w:drawing>
      </w:r>
    </w:p>
    <w:p w14:paraId="6E60C5F9" w14:textId="5C80733E" w:rsidR="00443399" w:rsidRPr="00B03B51" w:rsidRDefault="00DA7E7B" w:rsidP="00443399">
      <w:pPr>
        <w:jc w:val="center"/>
        <w:rPr>
          <w:rFonts w:ascii="Times New Roman" w:eastAsia="Arial" w:hAnsi="Times New Roman" w:cs="Times New Roman"/>
          <w:b/>
          <w:bCs/>
          <w:noProof/>
          <w:sz w:val="24"/>
          <w:szCs w:val="18"/>
        </w:rPr>
      </w:pPr>
      <w:r w:rsidRPr="00B03B51">
        <w:rPr>
          <w:rFonts w:ascii="Times New Roman" w:hAnsi="Times New Roman" w:cs="Times New Roman"/>
          <w:noProof/>
        </w:rPr>
        <w:drawing>
          <wp:inline distT="0" distB="0" distL="0" distR="0" wp14:anchorId="46D1F5B4" wp14:editId="655B79D8">
            <wp:extent cx="5756275" cy="1219200"/>
            <wp:effectExtent l="0" t="0" r="0" b="0"/>
            <wp:docPr id="177" name="Attēls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1"/>
                    <a:srcRect b="79225"/>
                    <a:stretch/>
                  </pic:blipFill>
                  <pic:spPr bwMode="auto">
                    <a:xfrm>
                      <a:off x="0" y="0"/>
                      <a:ext cx="5756275" cy="1219200"/>
                    </a:xfrm>
                    <a:prstGeom prst="rect">
                      <a:avLst/>
                    </a:prstGeom>
                    <a:ln>
                      <a:noFill/>
                    </a:ln>
                    <a:extLst>
                      <a:ext uri="{53640926-AAD7-44D8-BBD7-CCE9431645EC}">
                        <a14:shadowObscured xmlns:a14="http://schemas.microsoft.com/office/drawing/2010/main"/>
                      </a:ext>
                    </a:extLst>
                  </pic:spPr>
                </pic:pic>
              </a:graphicData>
            </a:graphic>
          </wp:inline>
        </w:drawing>
      </w:r>
      <w:r w:rsidR="00443399" w:rsidRPr="00B03B51">
        <w:rPr>
          <w:rFonts w:ascii="Times New Roman" w:hAnsi="Times New Roman" w:cs="Times New Roman"/>
          <w:noProof/>
        </w:rPr>
        <w:drawing>
          <wp:inline distT="0" distB="0" distL="0" distR="0" wp14:anchorId="235469DE" wp14:editId="5CE42736">
            <wp:extent cx="5756275" cy="4371975"/>
            <wp:effectExtent l="0" t="0" r="0" b="9525"/>
            <wp:docPr id="105" name="Attēls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1"/>
                    <a:srcRect t="23372" b="2131"/>
                    <a:stretch/>
                  </pic:blipFill>
                  <pic:spPr bwMode="auto">
                    <a:xfrm>
                      <a:off x="0" y="0"/>
                      <a:ext cx="5756275" cy="4371975"/>
                    </a:xfrm>
                    <a:prstGeom prst="rect">
                      <a:avLst/>
                    </a:prstGeom>
                    <a:ln>
                      <a:noFill/>
                    </a:ln>
                    <a:extLst>
                      <a:ext uri="{53640926-AAD7-44D8-BBD7-CCE9431645EC}">
                        <a14:shadowObscured xmlns:a14="http://schemas.microsoft.com/office/drawing/2010/main"/>
                      </a:ext>
                    </a:extLst>
                  </pic:spPr>
                </pic:pic>
              </a:graphicData>
            </a:graphic>
          </wp:inline>
        </w:drawing>
      </w:r>
    </w:p>
    <w:p w14:paraId="1197C4BD" w14:textId="77777777" w:rsidR="00443399" w:rsidRPr="00B03B51" w:rsidRDefault="00443399" w:rsidP="00443399">
      <w:pPr>
        <w:jc w:val="both"/>
        <w:rPr>
          <w:rFonts w:ascii="Times New Roman" w:eastAsia="Arial" w:hAnsi="Times New Roman" w:cs="Times New Roman"/>
          <w:b/>
          <w:bCs/>
          <w:noProof/>
          <w:sz w:val="24"/>
          <w:szCs w:val="21"/>
        </w:rPr>
      </w:pPr>
    </w:p>
    <w:p w14:paraId="06635411" w14:textId="77777777" w:rsidR="00443399" w:rsidRPr="00B03B51" w:rsidRDefault="00443399" w:rsidP="00443399">
      <w:pPr>
        <w:tabs>
          <w:tab w:val="left" w:pos="843"/>
        </w:tabs>
        <w:jc w:val="both"/>
        <w:rPr>
          <w:rFonts w:ascii="Times New Roman" w:hAnsi="Times New Roman" w:cs="Times New Roman"/>
          <w:b/>
          <w:noProof/>
          <w:sz w:val="24"/>
        </w:rPr>
      </w:pPr>
      <w:r w:rsidRPr="00B03B51">
        <w:rPr>
          <w:rFonts w:ascii="Times New Roman" w:hAnsi="Times New Roman" w:cs="Times New Roman"/>
          <w:b/>
          <w:sz w:val="24"/>
        </w:rPr>
        <w:t>b) Valūtas mijmaiņas darījuma gadījums</w:t>
      </w:r>
    </w:p>
    <w:p w14:paraId="2B9CB5A4" w14:textId="77777777" w:rsidR="00443399" w:rsidRPr="00B03B51" w:rsidRDefault="00443399" w:rsidP="00443399">
      <w:pPr>
        <w:pStyle w:val="BodyText"/>
        <w:spacing w:before="0"/>
        <w:ind w:left="0" w:firstLine="0"/>
        <w:jc w:val="both"/>
        <w:rPr>
          <w:rFonts w:ascii="Times New Roman" w:hAnsi="Times New Roman" w:cs="Times New Roman"/>
          <w:noProof/>
          <w:sz w:val="24"/>
        </w:rPr>
      </w:pPr>
    </w:p>
    <w:p w14:paraId="35F12786" w14:textId="77777777" w:rsidR="00443399" w:rsidRPr="00B03B51" w:rsidRDefault="00443399" w:rsidP="00443399">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t>Pieņem, ka valdības vienība ir emitējusi fiksētas likmes ilgtermiņa obligāciju eiro valūtā, kuras nominālvērtība ir 100. Obligācijas atlikušais maksājuma termiņš tagad ir 10 gadi. Dažādu apsvērumu dēļ valdība vēlas samazināt sava nominālā parāda rādītājus.</w:t>
      </w:r>
    </w:p>
    <w:p w14:paraId="7F861C70" w14:textId="77777777" w:rsidR="00443399" w:rsidRPr="00B03B51" w:rsidRDefault="00443399" w:rsidP="00443399">
      <w:pPr>
        <w:pStyle w:val="BodyText"/>
        <w:spacing w:before="0"/>
        <w:ind w:left="0" w:firstLine="0"/>
        <w:jc w:val="both"/>
        <w:rPr>
          <w:rFonts w:ascii="Times New Roman" w:hAnsi="Times New Roman" w:cs="Times New Roman"/>
          <w:noProof/>
          <w:sz w:val="24"/>
        </w:rPr>
      </w:pPr>
    </w:p>
    <w:p w14:paraId="56FDEFF2" w14:textId="77777777" w:rsidR="00443399" w:rsidRPr="00B03B51" w:rsidRDefault="00443399" w:rsidP="00443399">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t>Tiek veikti turpmāk norādītie pasākumi.</w:t>
      </w:r>
    </w:p>
    <w:p w14:paraId="66EAE91C" w14:textId="77777777" w:rsidR="00443399" w:rsidRPr="00B03B51" w:rsidRDefault="00443399" w:rsidP="00443399">
      <w:pPr>
        <w:pStyle w:val="BodyText"/>
        <w:spacing w:before="0"/>
        <w:ind w:left="0" w:firstLine="0"/>
        <w:jc w:val="both"/>
        <w:rPr>
          <w:rFonts w:ascii="Times New Roman" w:hAnsi="Times New Roman" w:cs="Times New Roman"/>
          <w:noProof/>
          <w:sz w:val="24"/>
        </w:rPr>
      </w:pPr>
    </w:p>
    <w:p w14:paraId="5CFDBAFA" w14:textId="77777777" w:rsidR="00443399" w:rsidRPr="00B03B51" w:rsidRDefault="00443399" w:rsidP="00443399">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t>Valdība veic EUR/USD valūtas mijmaiņas darījumu (šeit fiksēta/brīvi svārstīga likme), vienojoties līgumā par valūtas maiņas kursu EUR/USD = 1, turpretī tūlītējā tirgus valūtas maiņas kurss ir EUR/USD = 1,25 (ekvivalents USD/EUR = 0,8).</w:t>
      </w:r>
    </w:p>
    <w:p w14:paraId="0CFAE091" w14:textId="77777777" w:rsidR="00443399" w:rsidRPr="00B03B51" w:rsidRDefault="00443399" w:rsidP="00443399">
      <w:pPr>
        <w:pStyle w:val="BodyText"/>
        <w:spacing w:before="0"/>
        <w:ind w:left="0" w:firstLine="0"/>
        <w:jc w:val="both"/>
        <w:rPr>
          <w:rFonts w:ascii="Times New Roman" w:hAnsi="Times New Roman" w:cs="Times New Roman"/>
          <w:noProof/>
          <w:sz w:val="24"/>
        </w:rPr>
      </w:pPr>
    </w:p>
    <w:p w14:paraId="0F85C2B1" w14:textId="77777777" w:rsidR="00443399" w:rsidRPr="00B03B51" w:rsidRDefault="00443399" w:rsidP="00443399">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t>Sākumā valdība apmaina 100 EUR un pretī no sava darījuma partnera saņem 100 USD (un nevis 125 USD atbilstoši dominējošajam tūlītējā tirgus valūtas maiņas kursam).</w:t>
      </w:r>
    </w:p>
    <w:p w14:paraId="198AB3A1" w14:textId="77777777" w:rsidR="00443399" w:rsidRPr="00B03B51" w:rsidRDefault="00443399" w:rsidP="00443399">
      <w:pPr>
        <w:pStyle w:val="BodyText"/>
        <w:spacing w:before="0"/>
        <w:ind w:left="0" w:firstLine="0"/>
        <w:jc w:val="both"/>
        <w:rPr>
          <w:rFonts w:ascii="Times New Roman" w:hAnsi="Times New Roman" w:cs="Times New Roman"/>
          <w:noProof/>
          <w:sz w:val="24"/>
        </w:rPr>
      </w:pPr>
    </w:p>
    <w:p w14:paraId="7919EB38" w14:textId="77777777" w:rsidR="00443399" w:rsidRPr="00B03B51" w:rsidRDefault="00443399" w:rsidP="00443399">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t xml:space="preserve">Mijmaiņas darījuma līguma beigās (ja vien tas nav atcelts pirms termiņa) valdība atgriezīs šos 100 USD un atgūs 100 EUR, kurus var izmantot, lai izpirktu attiecīgo obligāciju. Tā kā tiek izmantots mazāk labvēlīgs eiro maiņas kurss, šā darījuma rezultātā valdības parāds faktiski samazināsies, jo saskaņā ar </w:t>
      </w:r>
      <w:r w:rsidRPr="00B03B51">
        <w:rPr>
          <w:rFonts w:ascii="Times New Roman" w:hAnsi="Times New Roman" w:cs="Times New Roman"/>
          <w:i/>
          <w:iCs/>
          <w:sz w:val="24"/>
        </w:rPr>
        <w:t>EDP</w:t>
      </w:r>
      <w:r w:rsidRPr="00B03B51">
        <w:rPr>
          <w:rFonts w:ascii="Times New Roman" w:hAnsi="Times New Roman" w:cs="Times New Roman"/>
          <w:sz w:val="24"/>
        </w:rPr>
        <w:t xml:space="preserve"> metodoloģiju pārvēršana notiks šādi:</w:t>
      </w:r>
    </w:p>
    <w:p w14:paraId="7261CB56" w14:textId="77777777" w:rsidR="00443399" w:rsidRPr="00B03B51" w:rsidRDefault="00443399" w:rsidP="00443399">
      <w:pPr>
        <w:jc w:val="both"/>
        <w:rPr>
          <w:rFonts w:ascii="Times New Roman" w:hAnsi="Times New Roman" w:cs="Times New Roman"/>
          <w:noProof/>
          <w:sz w:val="24"/>
        </w:rPr>
      </w:pPr>
    </w:p>
    <w:p w14:paraId="2CC29628" w14:textId="77777777" w:rsidR="00443399" w:rsidRPr="00B03B51" w:rsidRDefault="00443399" w:rsidP="00443399">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t>100 EUR=100 USD (1:1, izmantojot līgumā noteikto likmi); tad konvertē atpakaļ uz 80 EUR (EUR/USD=1,25), izmantojot tūlītējo tirgus likmi).</w:t>
      </w:r>
    </w:p>
    <w:p w14:paraId="4007565F" w14:textId="77777777" w:rsidR="00443399" w:rsidRPr="00B03B51" w:rsidRDefault="00443399" w:rsidP="00443399">
      <w:pPr>
        <w:pStyle w:val="BodyText"/>
        <w:spacing w:before="0"/>
        <w:ind w:left="0" w:firstLine="0"/>
        <w:jc w:val="both"/>
        <w:rPr>
          <w:rFonts w:ascii="Times New Roman" w:hAnsi="Times New Roman" w:cs="Times New Roman"/>
          <w:noProof/>
          <w:sz w:val="24"/>
        </w:rPr>
      </w:pPr>
    </w:p>
    <w:p w14:paraId="74894C2E" w14:textId="77777777" w:rsidR="00443399" w:rsidRPr="00B03B51" w:rsidRDefault="00443399" w:rsidP="00443399">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t>Naudas plūsma attiecībā uz valūtas daļu tiks koriģēta tādā veidā, lai valdības vienība mijmaiņas darījuma termiņa laikā atmaksātu 125 USD.</w:t>
      </w:r>
    </w:p>
    <w:p w14:paraId="523C8077" w14:textId="77777777" w:rsidR="00443399" w:rsidRPr="00B03B51" w:rsidRDefault="00443399" w:rsidP="00443399">
      <w:pPr>
        <w:pStyle w:val="BodyText"/>
        <w:spacing w:before="0"/>
        <w:ind w:left="0" w:firstLine="0"/>
        <w:jc w:val="both"/>
        <w:rPr>
          <w:rFonts w:ascii="Times New Roman" w:hAnsi="Times New Roman" w:cs="Times New Roman"/>
          <w:noProof/>
          <w:sz w:val="24"/>
        </w:rPr>
      </w:pPr>
    </w:p>
    <w:p w14:paraId="76192387" w14:textId="77777777" w:rsidR="00443399" w:rsidRPr="00B03B51" w:rsidRDefault="00443399" w:rsidP="00443399">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t>Atbilstoši tirgus nosacījumiem (neatzīstot līdzsvarojošo maksājumu) mijmaiņas darījums ir nelīdzsvarots ar tirgus vērtību 25 USD (20 EUR) apmērā darījuma partnera labā (kurš sākotnējas mijmaiņas laikā piešķīra tikai 100 USD).</w:t>
      </w:r>
    </w:p>
    <w:p w14:paraId="3D74EB21" w14:textId="77777777" w:rsidR="00443399" w:rsidRPr="00B03B51" w:rsidRDefault="00443399" w:rsidP="00443399">
      <w:pPr>
        <w:pStyle w:val="BodyText"/>
        <w:spacing w:before="0"/>
        <w:ind w:left="0" w:firstLine="0"/>
        <w:jc w:val="both"/>
        <w:rPr>
          <w:rFonts w:ascii="Times New Roman" w:hAnsi="Times New Roman" w:cs="Times New Roman"/>
          <w:noProof/>
          <w:sz w:val="24"/>
        </w:rPr>
      </w:pPr>
    </w:p>
    <w:p w14:paraId="496D18D8" w14:textId="77777777" w:rsidR="00443399" w:rsidRPr="00B03B51" w:rsidRDefault="00443399" w:rsidP="00443399">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t>Atbilstoši šādiem nosacījumiem tam darījuma sākumā būtu jāizmaksā valdībai ekvivalents vienreizējs maksājums 25 USD (20 EUR) apmērā.</w:t>
      </w:r>
    </w:p>
    <w:p w14:paraId="795EF7B9" w14:textId="77777777" w:rsidR="00443399" w:rsidRPr="00B03B51" w:rsidRDefault="00443399" w:rsidP="00443399">
      <w:pPr>
        <w:pStyle w:val="BodyText"/>
        <w:spacing w:before="0"/>
        <w:ind w:left="0" w:firstLine="0"/>
        <w:jc w:val="both"/>
        <w:rPr>
          <w:rFonts w:ascii="Times New Roman" w:hAnsi="Times New Roman" w:cs="Times New Roman"/>
          <w:noProof/>
          <w:sz w:val="24"/>
        </w:rPr>
      </w:pPr>
    </w:p>
    <w:p w14:paraId="4B526B91" w14:textId="77777777" w:rsidR="00443399" w:rsidRPr="00B03B51" w:rsidRDefault="00443399" w:rsidP="00443399">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t xml:space="preserve">Tā kā nav izstrādāti </w:t>
      </w:r>
      <w:r w:rsidRPr="00B03B51">
        <w:rPr>
          <w:rFonts w:ascii="Times New Roman" w:hAnsi="Times New Roman" w:cs="Times New Roman"/>
          <w:i/>
          <w:iCs/>
          <w:sz w:val="24"/>
        </w:rPr>
        <w:t>Eurostat</w:t>
      </w:r>
      <w:r w:rsidRPr="00B03B51">
        <w:rPr>
          <w:rFonts w:ascii="Times New Roman" w:hAnsi="Times New Roman" w:cs="Times New Roman"/>
          <w:sz w:val="24"/>
        </w:rPr>
        <w:t xml:space="preserve"> noteikumi par ārpusbiržas mijmaiņas darījumu, līguma parakstīšanas brīdī valdības vienība gūtu labumu no sava parāda samazināšanas (pārvēršana).</w:t>
      </w:r>
    </w:p>
    <w:p w14:paraId="33F58127" w14:textId="77777777" w:rsidR="00443399" w:rsidRPr="00B03B51" w:rsidRDefault="00443399" w:rsidP="00443399">
      <w:pPr>
        <w:pStyle w:val="BodyText"/>
        <w:spacing w:before="0"/>
        <w:ind w:left="0" w:firstLine="0"/>
        <w:jc w:val="both"/>
        <w:rPr>
          <w:rFonts w:ascii="Times New Roman" w:hAnsi="Times New Roman" w:cs="Times New Roman"/>
          <w:noProof/>
          <w:sz w:val="24"/>
        </w:rPr>
      </w:pPr>
    </w:p>
    <w:p w14:paraId="6C688916" w14:textId="77777777" w:rsidR="00443399" w:rsidRPr="00B03B51" w:rsidRDefault="00443399" w:rsidP="00443399">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t>Valdība kā darījuma partneris maksātu lielākus “neto procentu” maksājumus līguma darbības termiņa laikā (izlīdzinot sākotnējo pozitīvo ietekmi) un turklāt būtu pakļauta valūtas maiņas kursa riskam. Tā ir apmainījusi sākotnējo parādu vietējā valūtā pret parādu ārvalstu valūtā, kuras vērtība var strauji mainīties nelabvēlīgu tirgus apstākļu dēļ (šajā gadījumā – vietējās valūtas vērtības krišanās).</w:t>
      </w:r>
    </w:p>
    <w:p w14:paraId="015FFB9F" w14:textId="77777777" w:rsidR="00443399" w:rsidRPr="00B03B51" w:rsidRDefault="00443399" w:rsidP="00443399">
      <w:pPr>
        <w:pStyle w:val="BodyText"/>
        <w:spacing w:before="0"/>
        <w:ind w:left="0" w:firstLine="0"/>
        <w:jc w:val="both"/>
        <w:rPr>
          <w:rFonts w:ascii="Times New Roman" w:hAnsi="Times New Roman" w:cs="Times New Roman"/>
          <w:noProof/>
          <w:sz w:val="24"/>
        </w:rPr>
      </w:pPr>
    </w:p>
    <w:p w14:paraId="5A44A228" w14:textId="77777777" w:rsidR="00443399" w:rsidRPr="00B03B51" w:rsidRDefault="00443399" w:rsidP="00443399">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t xml:space="preserve">Saskaņā ar </w:t>
      </w:r>
      <w:r w:rsidRPr="00B03B51">
        <w:rPr>
          <w:rFonts w:ascii="Times New Roman" w:hAnsi="Times New Roman" w:cs="Times New Roman"/>
          <w:i/>
          <w:iCs/>
          <w:sz w:val="24"/>
        </w:rPr>
        <w:t>Eurostat</w:t>
      </w:r>
      <w:r w:rsidRPr="00B03B51">
        <w:rPr>
          <w:rFonts w:ascii="Times New Roman" w:hAnsi="Times New Roman" w:cs="Times New Roman"/>
          <w:sz w:val="24"/>
        </w:rPr>
        <w:t xml:space="preserve"> noteikumiem par ārpusbiržas mijmaiņas darījumiem šāds pasākums nepalīdzēs valstij sasniegt tās sākotnējos mērķus, jo:</w:t>
      </w:r>
    </w:p>
    <w:p w14:paraId="160DB67F" w14:textId="77777777" w:rsidR="00443399" w:rsidRPr="00B03B51" w:rsidRDefault="00443399" w:rsidP="00443399">
      <w:pPr>
        <w:pStyle w:val="BodyText"/>
        <w:spacing w:before="0"/>
        <w:ind w:left="0" w:firstLine="0"/>
        <w:jc w:val="both"/>
        <w:rPr>
          <w:rFonts w:ascii="Times New Roman" w:hAnsi="Times New Roman" w:cs="Times New Roman"/>
          <w:noProof/>
          <w:sz w:val="24"/>
        </w:rPr>
      </w:pPr>
    </w:p>
    <w:p w14:paraId="271EDC89" w14:textId="77777777" w:rsidR="00443399" w:rsidRPr="00B03B51" w:rsidRDefault="00443399" w:rsidP="00D939EF">
      <w:pPr>
        <w:pStyle w:val="BodyText"/>
        <w:numPr>
          <w:ilvl w:val="2"/>
          <w:numId w:val="20"/>
        </w:numPr>
        <w:spacing w:before="0"/>
        <w:ind w:left="426" w:hanging="425"/>
        <w:jc w:val="both"/>
        <w:rPr>
          <w:rFonts w:ascii="Times New Roman" w:hAnsi="Times New Roman" w:cs="Times New Roman"/>
          <w:noProof/>
          <w:sz w:val="24"/>
        </w:rPr>
      </w:pPr>
      <w:r w:rsidRPr="00B03B51">
        <w:rPr>
          <w:rFonts w:ascii="Times New Roman" w:hAnsi="Times New Roman" w:cs="Times New Roman"/>
          <w:sz w:val="24"/>
        </w:rPr>
        <w:t>valūtas mijmaiņas darījums tiks sadalīts kā “nominālvērtības/aktīva vērtībai atbilstošs mijmaiņas darījums”, pamatojoties uz līguma sākumā spēkā esošo valūtas maiņas kursu tirgū (EUR/USD = 1,25), un aizdevums ārvalstu valūtā (ko ieraksta pozīcijā AF.4) par valdības saņemtā naudas papildmaksājuma summu.</w:t>
      </w:r>
    </w:p>
    <w:p w14:paraId="65FF48A9" w14:textId="77777777" w:rsidR="00443399" w:rsidRPr="00B03B51" w:rsidRDefault="00443399" w:rsidP="00D939EF">
      <w:pPr>
        <w:pStyle w:val="BodyText"/>
        <w:numPr>
          <w:ilvl w:val="2"/>
          <w:numId w:val="20"/>
        </w:numPr>
        <w:spacing w:before="0"/>
        <w:ind w:left="426" w:hanging="425"/>
        <w:jc w:val="both"/>
        <w:rPr>
          <w:rFonts w:ascii="Times New Roman" w:hAnsi="Times New Roman" w:cs="Times New Roman"/>
          <w:noProof/>
          <w:sz w:val="24"/>
        </w:rPr>
      </w:pPr>
      <w:r w:rsidRPr="00B03B51">
        <w:rPr>
          <w:rFonts w:ascii="Times New Roman" w:hAnsi="Times New Roman" w:cs="Times New Roman"/>
          <w:sz w:val="24"/>
        </w:rPr>
        <w:t xml:space="preserve">ārvalstu valūtā izteiktais aizdevums tiks amortizēts 10 gadu laikā, veicot regulārus </w:t>
      </w:r>
      <w:r w:rsidRPr="00B03B51">
        <w:rPr>
          <w:rFonts w:ascii="Times New Roman" w:hAnsi="Times New Roman" w:cs="Times New Roman"/>
          <w:sz w:val="24"/>
        </w:rPr>
        <w:lastRenderedPageBreak/>
        <w:t>“procentu neto maksājumus” līguma darbības laikā atbilstoši iepriekšējā ārpusbiržas procentu likmes mijmaiņas darījuma piemērā aprakstītajai metodei.</w:t>
      </w:r>
    </w:p>
    <w:p w14:paraId="0D9373E2" w14:textId="77777777" w:rsidR="00443399" w:rsidRPr="00B03B51" w:rsidRDefault="00443399" w:rsidP="00443399">
      <w:pPr>
        <w:pStyle w:val="BodyText"/>
        <w:spacing w:before="0"/>
        <w:ind w:left="0" w:firstLine="0"/>
        <w:jc w:val="both"/>
        <w:rPr>
          <w:rFonts w:ascii="Times New Roman" w:hAnsi="Times New Roman" w:cs="Times New Roman"/>
          <w:noProof/>
          <w:sz w:val="24"/>
        </w:rPr>
      </w:pPr>
    </w:p>
    <w:p w14:paraId="6CD15B92" w14:textId="77777777" w:rsidR="00443399" w:rsidRPr="00B03B51" w:rsidRDefault="00443399" w:rsidP="00443399">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t>Tādējādi “labvēlīgā” ietekme uz parādu, kura izriet no ārpusbiržas valūtas maiņas kursa izmantošanas, tiek pilnīgi izlīdzināta ar aizdevuma saistību ierakstu.</w:t>
      </w:r>
    </w:p>
    <w:p w14:paraId="36B2F244" w14:textId="77777777" w:rsidR="00443399" w:rsidRPr="00B03B51" w:rsidRDefault="00443399" w:rsidP="00443399">
      <w:pPr>
        <w:rPr>
          <w:rFonts w:ascii="Times New Roman" w:hAnsi="Times New Roman" w:cs="Times New Roman"/>
          <w:noProof/>
          <w:sz w:val="24"/>
        </w:rPr>
      </w:pPr>
      <w:r w:rsidRPr="00B03B51">
        <w:rPr>
          <w:rFonts w:ascii="Times New Roman" w:hAnsi="Times New Roman" w:cs="Times New Roman"/>
        </w:rPr>
        <w:br w:type="page"/>
      </w:r>
    </w:p>
    <w:p w14:paraId="0A04E8DB" w14:textId="77777777" w:rsidR="00443399" w:rsidRPr="00B03B51" w:rsidRDefault="00443399" w:rsidP="00443399">
      <w:pPr>
        <w:jc w:val="both"/>
        <w:rPr>
          <w:rFonts w:ascii="Times New Roman" w:eastAsia="Arial" w:hAnsi="Times New Roman" w:cs="Times New Roman"/>
          <w:noProof/>
          <w:sz w:val="24"/>
          <w:szCs w:val="29"/>
        </w:rPr>
      </w:pPr>
    </w:p>
    <w:p w14:paraId="7965DE57" w14:textId="77777777" w:rsidR="00443399" w:rsidRPr="00B03B51" w:rsidRDefault="00443399" w:rsidP="00443399">
      <w:pPr>
        <w:pStyle w:val="Heading2"/>
        <w:tabs>
          <w:tab w:val="left" w:pos="1135"/>
        </w:tabs>
        <w:spacing w:before="0"/>
        <w:ind w:left="0" w:firstLine="0"/>
        <w:jc w:val="both"/>
        <w:rPr>
          <w:rFonts w:ascii="Times New Roman" w:hAnsi="Times New Roman" w:cs="Times New Roman"/>
          <w:noProof/>
          <w:sz w:val="28"/>
          <w:szCs w:val="44"/>
        </w:rPr>
      </w:pPr>
      <w:bookmarkStart w:id="629" w:name="8.4_Repurchase_agreements_and_securities"/>
      <w:bookmarkStart w:id="630" w:name="_bookmark64"/>
      <w:bookmarkStart w:id="631" w:name="_Toc67565222"/>
      <w:bookmarkEnd w:id="629"/>
      <w:bookmarkEnd w:id="630"/>
      <w:r w:rsidRPr="00B03B51">
        <w:rPr>
          <w:rFonts w:ascii="Times New Roman" w:hAnsi="Times New Roman" w:cs="Times New Roman"/>
          <w:sz w:val="28"/>
          <w:szCs w:val="44"/>
        </w:rPr>
        <w:t>8.4. Pārdošanas ar atpirkšanu līgumi un vērtspapīru aizdevumi</w:t>
      </w:r>
      <w:bookmarkEnd w:id="631"/>
    </w:p>
    <w:p w14:paraId="540FA611" w14:textId="77777777" w:rsidR="00443399" w:rsidRPr="00100B51" w:rsidRDefault="00443399" w:rsidP="00100B51">
      <w:pPr>
        <w:rPr>
          <w:rFonts w:ascii="Times New Roman" w:hAnsi="Times New Roman" w:cs="Times New Roman"/>
          <w:noProof/>
          <w:sz w:val="24"/>
          <w:szCs w:val="24"/>
        </w:rPr>
      </w:pPr>
      <w:bookmarkStart w:id="632" w:name="8.4.1_Background"/>
      <w:bookmarkEnd w:id="632"/>
    </w:p>
    <w:p w14:paraId="7762BAC1" w14:textId="77777777" w:rsidR="00443399" w:rsidRPr="00B03B51" w:rsidRDefault="00443399" w:rsidP="00443399">
      <w:pPr>
        <w:pStyle w:val="Heading3"/>
        <w:tabs>
          <w:tab w:val="left" w:pos="1267"/>
        </w:tabs>
        <w:ind w:left="0" w:firstLine="0"/>
        <w:jc w:val="both"/>
        <w:rPr>
          <w:rFonts w:ascii="Times New Roman" w:hAnsi="Times New Roman" w:cs="Times New Roman"/>
          <w:noProof/>
          <w:sz w:val="24"/>
        </w:rPr>
      </w:pPr>
      <w:bookmarkStart w:id="633" w:name="_Toc67565223"/>
      <w:r w:rsidRPr="00B03B51">
        <w:rPr>
          <w:rFonts w:ascii="Times New Roman" w:hAnsi="Times New Roman" w:cs="Times New Roman"/>
          <w:sz w:val="24"/>
        </w:rPr>
        <w:t>8.4.1. Vispārīga informācija</w:t>
      </w:r>
      <w:bookmarkEnd w:id="633"/>
    </w:p>
    <w:p w14:paraId="21A3837D"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18F8122D"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 Pārdošanas ar atpirkšanu (</w:t>
      </w:r>
      <w:r w:rsidRPr="00B03B51">
        <w:rPr>
          <w:rFonts w:ascii="Times New Roman" w:hAnsi="Times New Roman" w:cs="Times New Roman"/>
          <w:i/>
          <w:iCs/>
          <w:sz w:val="24"/>
        </w:rPr>
        <w:t>repo</w:t>
      </w:r>
      <w:r w:rsidRPr="00B03B51">
        <w:rPr>
          <w:rFonts w:ascii="Times New Roman" w:hAnsi="Times New Roman" w:cs="Times New Roman"/>
          <w:sz w:val="24"/>
        </w:rPr>
        <w:t>) darījumus var izmantot gan naudas tirgos, gan vērtspapīru tirgos. Parāda vērtspapīrus, ko emitē vispārējā valdība, bieži izmanto pārdošanas ar atpirkšanu (</w:t>
      </w:r>
      <w:r w:rsidRPr="00B03B51">
        <w:rPr>
          <w:rFonts w:ascii="Times New Roman" w:hAnsi="Times New Roman" w:cs="Times New Roman"/>
          <w:i/>
          <w:iCs/>
          <w:sz w:val="24"/>
        </w:rPr>
        <w:t>repo</w:t>
      </w:r>
      <w:r w:rsidRPr="00B03B51">
        <w:rPr>
          <w:rFonts w:ascii="Times New Roman" w:hAnsi="Times New Roman" w:cs="Times New Roman"/>
          <w:sz w:val="24"/>
        </w:rPr>
        <w:t>) darījumos, proti, tie parasti ir galvenais līdzeklis dažādu likviditātes un centrālās valdības emitēto vērtspapīru risku dēļ. Tomēr izšķiroši šajā ziņā ir tas, ka vienības, kas klasificētas vispārējās valdības sektorā, var noslēgt šādus līgumus vai nu kā likviditātes nodrošinātājas, vai kā naudas aizņēmējas.</w:t>
      </w:r>
    </w:p>
    <w:p w14:paraId="7FDE11EC"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0562992D"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 xml:space="preserve">2. Saskaņā ar šiem noteikumiem </w:t>
      </w:r>
      <w:r w:rsidRPr="00B03B51">
        <w:rPr>
          <w:rFonts w:ascii="Times New Roman" w:hAnsi="Times New Roman" w:cs="Times New Roman"/>
          <w:i/>
          <w:iCs/>
          <w:sz w:val="24"/>
        </w:rPr>
        <w:t>repo</w:t>
      </w:r>
      <w:r w:rsidRPr="00B03B51">
        <w:rPr>
          <w:rFonts w:ascii="Times New Roman" w:hAnsi="Times New Roman" w:cs="Times New Roman"/>
          <w:sz w:val="24"/>
        </w:rPr>
        <w:t xml:space="preserve"> līgumi var tieši ietekmēt vispārējās valdības parāda aprēķināšanu, ja vispārējās valdības vienība ir “naudas saņēmēja” šādos darījumos (jaunu saistību ierakstīšana). Ja ir iesaistītas divas vienības, kas ir iekļautas šajā sektorā, tad nav nekādas ietekmes, jo pastāv konsolidācijas noteikums, izņemot gadījumu, kad aktīvu pārdod tālāk pilnvarots pārstāvis. Papildus jāuzsver, ja </w:t>
      </w:r>
      <w:r w:rsidRPr="00B03B51">
        <w:rPr>
          <w:rFonts w:ascii="Times New Roman" w:hAnsi="Times New Roman" w:cs="Times New Roman"/>
          <w:i/>
          <w:iCs/>
          <w:sz w:val="24"/>
        </w:rPr>
        <w:t>repo</w:t>
      </w:r>
      <w:r w:rsidRPr="00B03B51">
        <w:rPr>
          <w:rFonts w:ascii="Times New Roman" w:hAnsi="Times New Roman" w:cs="Times New Roman"/>
          <w:sz w:val="24"/>
        </w:rPr>
        <w:t xml:space="preserve"> darījumus bieži izmanto valdības parāda pārvaldnieki saistībā ar fondu investīcijām, kuras parasti var būt pieejamas tikai īstermiņā.</w:t>
      </w:r>
    </w:p>
    <w:p w14:paraId="329B125D" w14:textId="77777777" w:rsidR="00443399" w:rsidRPr="00B03B51" w:rsidRDefault="00443399" w:rsidP="00443399">
      <w:pPr>
        <w:tabs>
          <w:tab w:val="left" w:pos="843"/>
        </w:tabs>
        <w:jc w:val="both"/>
        <w:rPr>
          <w:rFonts w:ascii="Times New Roman" w:eastAsia="Arial" w:hAnsi="Times New Roman" w:cs="Times New Roman"/>
          <w:noProof/>
          <w:sz w:val="24"/>
          <w:szCs w:val="19"/>
        </w:rPr>
      </w:pPr>
    </w:p>
    <w:p w14:paraId="021C4A69" w14:textId="77777777" w:rsidR="00443399" w:rsidRPr="00B03B51" w:rsidRDefault="00443399" w:rsidP="00443399">
      <w:pPr>
        <w:tabs>
          <w:tab w:val="left" w:pos="843"/>
        </w:tabs>
        <w:jc w:val="both"/>
        <w:rPr>
          <w:rFonts w:ascii="Times New Roman" w:eastAsia="Arial" w:hAnsi="Times New Roman" w:cs="Times New Roman"/>
          <w:noProof/>
          <w:sz w:val="24"/>
          <w:szCs w:val="12"/>
        </w:rPr>
      </w:pPr>
      <w:r w:rsidRPr="00B03B51">
        <w:rPr>
          <w:rFonts w:ascii="Times New Roman" w:hAnsi="Times New Roman" w:cs="Times New Roman"/>
          <w:sz w:val="24"/>
          <w:szCs w:val="19"/>
        </w:rPr>
        <w:t xml:space="preserve">3. EKS 2010 5.127. punktā ir noteikts, ka </w:t>
      </w:r>
      <w:r w:rsidRPr="00B03B51">
        <w:rPr>
          <w:rFonts w:ascii="Times New Roman" w:hAnsi="Times New Roman" w:cs="Times New Roman"/>
          <w:i/>
          <w:iCs/>
          <w:sz w:val="24"/>
          <w:szCs w:val="19"/>
        </w:rPr>
        <w:t>līgums par vērtspapīru pārdošanu ar atpirkšanu ir vienošanās, saskaņā ar kuru vērtspapīrus, piemēram, parāda vērtspapīrus vai akcijas, apmaina pret naudu vai citiem maksāšanas līdzekļiem, apņemoties atpirkt šos pašus vai līdzīgus vērtspapīrus par fiksētu cenu.</w:t>
      </w:r>
      <w:r w:rsidRPr="00B03B51">
        <w:rPr>
          <w:rFonts w:ascii="Times New Roman" w:hAnsi="Times New Roman" w:cs="Times New Roman"/>
          <w:i/>
          <w:sz w:val="24"/>
          <w:szCs w:val="19"/>
        </w:rPr>
        <w:t xml:space="preserve"> Apņemšanās atpirkt var attiekties uz noteiktu nākotnes datumu vai nenoteiktu termiņu. </w:t>
      </w:r>
      <w:r w:rsidRPr="00B03B51">
        <w:rPr>
          <w:rFonts w:ascii="Times New Roman" w:hAnsi="Times New Roman" w:cs="Times New Roman"/>
          <w:sz w:val="24"/>
          <w:szCs w:val="19"/>
        </w:rPr>
        <w:t xml:space="preserve">NKS 2008 11.74. punktā noteikts, ka </w:t>
      </w:r>
      <w:r w:rsidRPr="00B03B51">
        <w:rPr>
          <w:rFonts w:ascii="Times New Roman" w:hAnsi="Times New Roman" w:cs="Times New Roman"/>
          <w:i/>
          <w:iCs/>
          <w:sz w:val="24"/>
          <w:szCs w:val="19"/>
        </w:rPr>
        <w:t>repo</w:t>
      </w:r>
      <w:r w:rsidRPr="00B03B51">
        <w:rPr>
          <w:rFonts w:ascii="Times New Roman" w:hAnsi="Times New Roman" w:cs="Times New Roman"/>
          <w:sz w:val="24"/>
          <w:szCs w:val="19"/>
        </w:rPr>
        <w:t xml:space="preserve"> ir vērtspapīru pārdošanas-atpirkšanas līgums, </w:t>
      </w:r>
      <w:r w:rsidRPr="00B03B51">
        <w:rPr>
          <w:rFonts w:ascii="Times New Roman" w:hAnsi="Times New Roman" w:cs="Times New Roman"/>
          <w:i/>
          <w:iCs/>
          <w:sz w:val="24"/>
          <w:szCs w:val="19"/>
        </w:rPr>
        <w:t>kurā vērtspapīrus nodrošina apmaiņā pret naudu, apņemoties, ka tādi paši vai līdzīgi vērtspapīri tiks atpirkti par fiksētu cenu naudā norādītā vēlākā datumā</w:t>
      </w:r>
      <w:r w:rsidRPr="00B03B51">
        <w:rPr>
          <w:rFonts w:ascii="Times New Roman" w:hAnsi="Times New Roman" w:cs="Times New Roman"/>
          <w:sz w:val="24"/>
          <w:szCs w:val="19"/>
        </w:rPr>
        <w:t>.</w:t>
      </w:r>
      <w:r w:rsidRPr="00B03B51">
        <w:rPr>
          <w:rFonts w:ascii="Times New Roman" w:hAnsi="Times New Roman" w:cs="Times New Roman"/>
          <w:i/>
          <w:sz w:val="24"/>
          <w:szCs w:val="19"/>
        </w:rPr>
        <w:t xml:space="preserve"> </w:t>
      </w:r>
      <w:r w:rsidRPr="00B03B51">
        <w:rPr>
          <w:rFonts w:ascii="Times New Roman" w:hAnsi="Times New Roman" w:cs="Times New Roman"/>
          <w:i/>
          <w:iCs/>
          <w:sz w:val="24"/>
          <w:szCs w:val="19"/>
        </w:rPr>
        <w:t>Repo</w:t>
      </w:r>
      <w:r w:rsidRPr="00B03B51">
        <w:rPr>
          <w:rFonts w:ascii="Times New Roman" w:hAnsi="Times New Roman" w:cs="Times New Roman"/>
          <w:sz w:val="24"/>
          <w:szCs w:val="19"/>
        </w:rPr>
        <w:t xml:space="preserve"> parasti tiek noslēgts uz ļoti īsu termiņu, piemēram, uz vienu nakti vai dienu.</w:t>
      </w:r>
      <w:r w:rsidRPr="00B03B51">
        <w:rPr>
          <w:rStyle w:val="FootnoteReference"/>
          <w:rFonts w:ascii="Times New Roman" w:eastAsia="Arial" w:hAnsi="Times New Roman" w:cs="Times New Roman"/>
          <w:noProof/>
          <w:sz w:val="24"/>
          <w:szCs w:val="19"/>
        </w:rPr>
        <w:footnoteReference w:id="312"/>
      </w:r>
    </w:p>
    <w:p w14:paraId="125F62B5"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705A74F2"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 xml:space="preserve">4. Ekonomiskā izteiksmē </w:t>
      </w:r>
      <w:r w:rsidRPr="00B03B51">
        <w:rPr>
          <w:rFonts w:ascii="Times New Roman" w:hAnsi="Times New Roman" w:cs="Times New Roman"/>
          <w:i/>
          <w:iCs/>
          <w:sz w:val="24"/>
        </w:rPr>
        <w:t>repo</w:t>
      </w:r>
      <w:r w:rsidRPr="00B03B51">
        <w:rPr>
          <w:rFonts w:ascii="Times New Roman" w:hAnsi="Times New Roman" w:cs="Times New Roman"/>
          <w:sz w:val="24"/>
        </w:rPr>
        <w:t xml:space="preserve"> ir “nodrošināts” aizdevums, jo pastāv ķīla. Turklāt </w:t>
      </w:r>
      <w:r w:rsidRPr="00B03B51">
        <w:rPr>
          <w:rFonts w:ascii="Times New Roman" w:hAnsi="Times New Roman" w:cs="Times New Roman"/>
          <w:i/>
          <w:iCs/>
          <w:sz w:val="24"/>
        </w:rPr>
        <w:t>repo</w:t>
      </w:r>
      <w:r w:rsidRPr="00B03B51">
        <w:rPr>
          <w:rFonts w:ascii="Times New Roman" w:hAnsi="Times New Roman" w:cs="Times New Roman"/>
          <w:sz w:val="24"/>
        </w:rPr>
        <w:t xml:space="preserve"> ir pārdošanas ar atpirkšanu līgums, kurā vienai darījuma pusei nosaka stingras saistības, un tā ir galvenā pazīme, nevis tikai vienkāršs solījums. Faktiski maksājuma termiņā vai pirms tā, ja līgumā ir tā noteikts, pagaidu “pircējam” (vai tā pilnvarotam pārstāvim) ir jāatdod vērtspapīrs (vai tam līdzvērtīgs dokuments) sākotnējam “pārdevējam” (vai atsavinātājam), kuram tas jāatpērk par līgumā noteikto cenu. Parasti valsts tiesību aktos tiek prasīts, lai vērtspapīrus, ko izmanto pārdošanas ar atpirkšanu līgumā, portfelī norādītu atsevišķi. Turklāt dažos tirgos var novērot sarežģītākas iezīmes (piemēram, “maržas” noteikšana).</w:t>
      </w:r>
    </w:p>
    <w:p w14:paraId="59456BC9" w14:textId="77777777" w:rsidR="00443399" w:rsidRPr="00B03B51" w:rsidRDefault="00443399" w:rsidP="00443399">
      <w:pPr>
        <w:jc w:val="both"/>
        <w:rPr>
          <w:rFonts w:ascii="Times New Roman" w:eastAsia="Arial" w:hAnsi="Times New Roman" w:cs="Times New Roman"/>
          <w:noProof/>
          <w:sz w:val="24"/>
          <w:szCs w:val="18"/>
        </w:rPr>
      </w:pPr>
    </w:p>
    <w:p w14:paraId="5744F23B" w14:textId="77777777" w:rsidR="00443399" w:rsidRPr="00B03B51" w:rsidRDefault="00443399" w:rsidP="00443399">
      <w:pPr>
        <w:pStyle w:val="Heading3"/>
        <w:tabs>
          <w:tab w:val="left" w:pos="1267"/>
        </w:tabs>
        <w:ind w:left="0" w:firstLine="0"/>
        <w:jc w:val="both"/>
        <w:rPr>
          <w:rFonts w:ascii="Times New Roman" w:hAnsi="Times New Roman" w:cs="Times New Roman"/>
          <w:noProof/>
          <w:sz w:val="24"/>
        </w:rPr>
      </w:pPr>
      <w:bookmarkStart w:id="634" w:name="8.4.2_Treatment_in_national_accounts"/>
      <w:bookmarkStart w:id="635" w:name="_Toc67565224"/>
      <w:bookmarkEnd w:id="634"/>
      <w:r w:rsidRPr="00B03B51">
        <w:rPr>
          <w:rFonts w:ascii="Times New Roman" w:hAnsi="Times New Roman" w:cs="Times New Roman"/>
          <w:sz w:val="24"/>
        </w:rPr>
        <w:t>8.4.2. Traktējums nacionālajos kontos</w:t>
      </w:r>
      <w:bookmarkEnd w:id="635"/>
    </w:p>
    <w:p w14:paraId="0B0DB713" w14:textId="77777777" w:rsidR="00443399" w:rsidRPr="000B5876" w:rsidRDefault="00443399" w:rsidP="000B5876">
      <w:pPr>
        <w:rPr>
          <w:rFonts w:ascii="Times New Roman" w:hAnsi="Times New Roman" w:cs="Times New Roman"/>
          <w:noProof/>
          <w:sz w:val="24"/>
          <w:szCs w:val="24"/>
        </w:rPr>
      </w:pPr>
      <w:bookmarkStart w:id="636" w:name="8.4.2.1_Treatment_in_ESA_2010"/>
      <w:bookmarkEnd w:id="636"/>
    </w:p>
    <w:p w14:paraId="28350E20" w14:textId="77777777" w:rsidR="00443399" w:rsidRPr="00B03B51" w:rsidRDefault="00443399" w:rsidP="00443399">
      <w:pPr>
        <w:pStyle w:val="Heading6"/>
        <w:tabs>
          <w:tab w:val="left" w:pos="1267"/>
        </w:tabs>
        <w:ind w:left="0" w:firstLine="0"/>
        <w:jc w:val="both"/>
        <w:rPr>
          <w:rFonts w:ascii="Times New Roman" w:hAnsi="Times New Roman" w:cs="Times New Roman"/>
          <w:noProof/>
          <w:sz w:val="24"/>
        </w:rPr>
      </w:pPr>
      <w:r w:rsidRPr="00B03B51">
        <w:rPr>
          <w:rFonts w:ascii="Times New Roman" w:hAnsi="Times New Roman" w:cs="Times New Roman"/>
          <w:sz w:val="24"/>
        </w:rPr>
        <w:t>8.4.2.1. TRAKTĒJUMS EKS 2010</w:t>
      </w:r>
    </w:p>
    <w:p w14:paraId="166B9A46"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390A2F32"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 xml:space="preserve">5. EKS 2010 skaidri norāda </w:t>
      </w:r>
      <w:r w:rsidRPr="00B03B51">
        <w:rPr>
          <w:rFonts w:ascii="Times New Roman" w:hAnsi="Times New Roman" w:cs="Times New Roman"/>
          <w:i/>
          <w:iCs/>
          <w:sz w:val="24"/>
        </w:rPr>
        <w:t>repo</w:t>
      </w:r>
      <w:r w:rsidRPr="00B03B51">
        <w:rPr>
          <w:rFonts w:ascii="Times New Roman" w:hAnsi="Times New Roman" w:cs="Times New Roman"/>
          <w:sz w:val="24"/>
        </w:rPr>
        <w:t xml:space="preserve"> līgumu traktējumu atbilstoši NKS 2008 un BOP 6. rokasgrāmatai. Svarīgākais ir tas, ka </w:t>
      </w:r>
      <w:r w:rsidRPr="00B03B51">
        <w:rPr>
          <w:rFonts w:ascii="Times New Roman" w:hAnsi="Times New Roman" w:cs="Times New Roman"/>
          <w:i/>
          <w:iCs/>
          <w:sz w:val="24"/>
        </w:rPr>
        <w:t>repo</w:t>
      </w:r>
      <w:r w:rsidRPr="00B03B51">
        <w:rPr>
          <w:rFonts w:ascii="Times New Roman" w:hAnsi="Times New Roman" w:cs="Times New Roman"/>
          <w:sz w:val="24"/>
        </w:rPr>
        <w:t xml:space="preserve"> darījumā rodas jauns finanšu instruments. </w:t>
      </w:r>
      <w:r w:rsidRPr="00B03B51">
        <w:rPr>
          <w:rFonts w:ascii="Times New Roman" w:hAnsi="Times New Roman" w:cs="Times New Roman"/>
          <w:i/>
          <w:iCs/>
          <w:sz w:val="24"/>
        </w:rPr>
        <w:t>Repo</w:t>
      </w:r>
      <w:r w:rsidRPr="00B03B51">
        <w:rPr>
          <w:rFonts w:ascii="Times New Roman" w:hAnsi="Times New Roman" w:cs="Times New Roman"/>
          <w:sz w:val="24"/>
        </w:rPr>
        <w:t xml:space="preserve"> darījums rada jaunas attiecības starp diviem darījuma partneriem. Pastāv jauns savstarpēju prasību un saistību komplekts. Pārdevēja bilancē aktīva pusē pieaug saņemtās naudas apjoms, kas ir pieejams visiem mērķiem, bet viņa darījuma partnerim – saistību pusē. Pircējam pieauguma nav, bet aktīva pusē ir tikai aizstāta nauda ar citu posteni.</w:t>
      </w:r>
    </w:p>
    <w:p w14:paraId="56C15ABE" w14:textId="77777777" w:rsidR="00443399" w:rsidRPr="00B03B51" w:rsidRDefault="00443399" w:rsidP="00443399">
      <w:pPr>
        <w:jc w:val="both"/>
        <w:rPr>
          <w:rFonts w:ascii="Times New Roman" w:hAnsi="Times New Roman" w:cs="Times New Roman"/>
          <w:i/>
          <w:noProof/>
          <w:sz w:val="24"/>
        </w:rPr>
      </w:pPr>
    </w:p>
    <w:p w14:paraId="52C31319" w14:textId="77777777" w:rsidR="00443399" w:rsidRPr="00B03B51" w:rsidRDefault="00443399" w:rsidP="00443399">
      <w:pPr>
        <w:jc w:val="both"/>
        <w:rPr>
          <w:rFonts w:ascii="Times New Roman" w:eastAsia="Arial" w:hAnsi="Times New Roman" w:cs="Times New Roman"/>
          <w:noProof/>
          <w:sz w:val="24"/>
          <w:szCs w:val="19"/>
        </w:rPr>
      </w:pPr>
      <w:r w:rsidRPr="00B03B51">
        <w:rPr>
          <w:rFonts w:ascii="Times New Roman" w:hAnsi="Times New Roman" w:cs="Times New Roman"/>
          <w:i/>
          <w:sz w:val="24"/>
        </w:rPr>
        <w:t xml:space="preserve">6. </w:t>
      </w:r>
      <w:r w:rsidRPr="00B03B51">
        <w:rPr>
          <w:rFonts w:ascii="Times New Roman" w:hAnsi="Times New Roman" w:cs="Times New Roman"/>
          <w:i/>
          <w:iCs/>
          <w:sz w:val="24"/>
        </w:rPr>
        <w:t>Repo</w:t>
      </w:r>
      <w:r w:rsidRPr="00B03B51">
        <w:rPr>
          <w:rFonts w:ascii="Times New Roman" w:hAnsi="Times New Roman" w:cs="Times New Roman"/>
          <w:sz w:val="24"/>
        </w:rPr>
        <w:t xml:space="preserve"> darījumu traktējums ir skaidrots EKS 2010 5.127.–5.133. punktā. Traktējuma pamatā ir vērtspapīra sākotnējā turētāja būtība. EKS 2010 5.130. punktā norādīts, ka </w:t>
      </w:r>
      <w:r w:rsidRPr="00B03B51">
        <w:rPr>
          <w:rFonts w:ascii="Times New Roman" w:hAnsi="Times New Roman" w:cs="Times New Roman"/>
          <w:i/>
          <w:iCs/>
          <w:sz w:val="24"/>
        </w:rPr>
        <w:t>līdzekļu piegāde un saņemšana saskaņā ar vērtspapīru pārdošanas ar atpirkšanu līgumu un aizdošanas ar naudas nodrošinājumu līgumu nenozīmē parāda vērtspapīru jaunu emisiju.</w:t>
      </w:r>
      <w:r w:rsidRPr="00B03B51">
        <w:rPr>
          <w:rFonts w:ascii="Times New Roman" w:hAnsi="Times New Roman" w:cs="Times New Roman"/>
          <w:i/>
          <w:sz w:val="24"/>
        </w:rPr>
        <w:t xml:space="preserve"> Līdzekļu sniegšanu institucionālām vienībām, kas nav monetārās finanšu iestādes, uzskata par aizdevumiem, bet noguldījumus pieņemošām sabiedrībām</w:t>
      </w:r>
      <w:r w:rsidRPr="00B03B51">
        <w:rPr>
          <w:rStyle w:val="FootnoteReference"/>
          <w:rFonts w:ascii="Times New Roman" w:hAnsi="Times New Roman" w:cs="Times New Roman"/>
          <w:i/>
          <w:noProof/>
          <w:sz w:val="24"/>
        </w:rPr>
        <w:footnoteReference w:id="313"/>
      </w:r>
      <w:r w:rsidRPr="00B03B51">
        <w:rPr>
          <w:rFonts w:ascii="Times New Roman" w:hAnsi="Times New Roman" w:cs="Times New Roman"/>
          <w:i/>
          <w:sz w:val="24"/>
        </w:rPr>
        <w:t xml:space="preserve"> – par noguldījumiem.</w:t>
      </w:r>
    </w:p>
    <w:p w14:paraId="20C08B63" w14:textId="77777777" w:rsidR="00443399" w:rsidRPr="00B03B51" w:rsidRDefault="00443399" w:rsidP="00443399">
      <w:pPr>
        <w:jc w:val="both"/>
        <w:rPr>
          <w:rFonts w:ascii="Times New Roman" w:eastAsia="Arial" w:hAnsi="Times New Roman" w:cs="Times New Roman"/>
          <w:noProof/>
          <w:sz w:val="24"/>
          <w:szCs w:val="14"/>
        </w:rPr>
      </w:pPr>
    </w:p>
    <w:p w14:paraId="15B01E9F"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7. Svarīgs apsvērums ir, ka “vērtspapīri, ko saņem saskaņā ar vērtspapīru aizdošanas un pārdošanas ar atpirkšanu līgumiem, nemaina ekonomiskās īpašumtiesības, jo aizdevējs joprojām ir vērtspapīru ienākuma saņēmējs un saskaras ar riskiem vai gūst labumu, ko rada vērtspapīru cenas pārmaiņas” (EKS 2010 5.129. punkts).</w:t>
      </w:r>
    </w:p>
    <w:p w14:paraId="20938272"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56000A3B"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 xml:space="preserve">8. Pamatojums ir tāds, ka atbilstošā vērtspapīra īpašumtiesības ekonomiskā izpratnē netiek mainītas, un tam EKS 2010 ir noteicošā nozīme salīdzinājumā ar juridiskajiem nosacījumiem. Faktiski pārdevējs ir pakļauts pamatā esošā aktīva tirgus novērtējuma izmaiņām. Atbilstoši </w:t>
      </w:r>
      <w:r w:rsidRPr="00B03B51">
        <w:rPr>
          <w:rFonts w:ascii="Times New Roman" w:hAnsi="Times New Roman" w:cs="Times New Roman"/>
          <w:i/>
          <w:iCs/>
          <w:sz w:val="24"/>
        </w:rPr>
        <w:t>repo</w:t>
      </w:r>
      <w:r w:rsidRPr="00B03B51">
        <w:rPr>
          <w:rFonts w:ascii="Times New Roman" w:hAnsi="Times New Roman" w:cs="Times New Roman"/>
          <w:sz w:val="24"/>
        </w:rPr>
        <w:t xml:space="preserve"> darījumam pakārtoto aktīvu EKS 2010 ietvaros patur sākotnējā īpašnieka kontos. Tā kā ekonomiskās īpašumtiesības netiek mainītas, nevar ierakstīt darījumu ar vērtspapīriem. Pamatā esošais vērtspapīrs nav </w:t>
      </w:r>
      <w:r w:rsidRPr="00B03B51">
        <w:rPr>
          <w:rFonts w:ascii="Times New Roman" w:hAnsi="Times New Roman" w:cs="Times New Roman"/>
          <w:i/>
          <w:iCs/>
          <w:sz w:val="24"/>
        </w:rPr>
        <w:t>repo</w:t>
      </w:r>
      <w:r w:rsidRPr="00B03B51">
        <w:rPr>
          <w:rFonts w:ascii="Times New Roman" w:hAnsi="Times New Roman" w:cs="Times New Roman"/>
          <w:sz w:val="24"/>
        </w:rPr>
        <w:t xml:space="preserve"> darījuma tiešs mērķis. Tas nav līdzeklis ieguldīšanai finanšu tirgos. To skaidri parāda saistītā procentu likme, kā pamatā ir saistību maksājuma termiņš.</w:t>
      </w:r>
    </w:p>
    <w:p w14:paraId="5A9569D3" w14:textId="77777777" w:rsidR="00443399" w:rsidRPr="00B03B51" w:rsidRDefault="00443399" w:rsidP="00443399">
      <w:pPr>
        <w:jc w:val="both"/>
        <w:rPr>
          <w:rFonts w:ascii="Times New Roman" w:eastAsia="Arial" w:hAnsi="Times New Roman" w:cs="Times New Roman"/>
          <w:noProof/>
          <w:sz w:val="24"/>
          <w:szCs w:val="15"/>
        </w:rPr>
      </w:pPr>
    </w:p>
    <w:p w14:paraId="3109AF2D" w14:textId="77777777" w:rsidR="00443399" w:rsidRPr="00B03B51" w:rsidRDefault="00443399" w:rsidP="00443399">
      <w:pPr>
        <w:pStyle w:val="Heading6"/>
        <w:tabs>
          <w:tab w:val="left" w:pos="1267"/>
        </w:tabs>
        <w:ind w:left="0" w:firstLine="0"/>
        <w:jc w:val="both"/>
        <w:rPr>
          <w:rFonts w:ascii="Times New Roman" w:hAnsi="Times New Roman" w:cs="Times New Roman"/>
          <w:noProof/>
          <w:sz w:val="24"/>
        </w:rPr>
      </w:pPr>
      <w:bookmarkStart w:id="637" w:name="8.4.2.2_Further_comments"/>
      <w:bookmarkEnd w:id="637"/>
      <w:r w:rsidRPr="00B03B51">
        <w:rPr>
          <w:rFonts w:ascii="Times New Roman" w:hAnsi="Times New Roman" w:cs="Times New Roman"/>
          <w:sz w:val="24"/>
        </w:rPr>
        <w:t>8.4.2.2. PAPILDU PIEZĪMES</w:t>
      </w:r>
    </w:p>
    <w:p w14:paraId="5B921DEC"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0F92D901"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9. Daži punkti ir jāpaskaidro sīkāk.</w:t>
      </w:r>
    </w:p>
    <w:p w14:paraId="0F9BAEEB"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62921FA5" w14:textId="77777777" w:rsidR="00443399" w:rsidRPr="00B03B51" w:rsidRDefault="00443399" w:rsidP="00443399">
      <w:pPr>
        <w:pStyle w:val="BodyText"/>
        <w:tabs>
          <w:tab w:val="left" w:pos="1126"/>
        </w:tabs>
        <w:spacing w:before="0"/>
        <w:ind w:left="284" w:firstLine="0"/>
        <w:jc w:val="both"/>
        <w:rPr>
          <w:rFonts w:ascii="Times New Roman" w:hAnsi="Times New Roman" w:cs="Times New Roman"/>
          <w:noProof/>
          <w:sz w:val="24"/>
        </w:rPr>
      </w:pPr>
      <w:r w:rsidRPr="00B03B51">
        <w:rPr>
          <w:rFonts w:ascii="Times New Roman" w:hAnsi="Times New Roman" w:cs="Times New Roman"/>
          <w:sz w:val="24"/>
        </w:rPr>
        <w:t>a) Starpība starp pārdošanas cenu un atpirkšanas cenu jāieraksta kā procenti, pamatojoties uz uzkrāšanas principu, un tā jāiekļauj īpašuma ienākumā.</w:t>
      </w:r>
    </w:p>
    <w:p w14:paraId="1AD4F893" w14:textId="77777777" w:rsidR="00443399" w:rsidRPr="00B03B51" w:rsidRDefault="00443399" w:rsidP="00443399">
      <w:pPr>
        <w:pStyle w:val="BodyText"/>
        <w:tabs>
          <w:tab w:val="left" w:pos="1126"/>
        </w:tabs>
        <w:spacing w:before="0"/>
        <w:ind w:left="284" w:firstLine="0"/>
        <w:jc w:val="both"/>
        <w:rPr>
          <w:rFonts w:ascii="Times New Roman" w:hAnsi="Times New Roman" w:cs="Times New Roman"/>
          <w:noProof/>
          <w:sz w:val="24"/>
        </w:rPr>
      </w:pPr>
    </w:p>
    <w:p w14:paraId="7750EE00" w14:textId="77777777" w:rsidR="00443399" w:rsidRPr="00B03B51" w:rsidRDefault="00443399" w:rsidP="00443399">
      <w:pPr>
        <w:pStyle w:val="BodyText"/>
        <w:tabs>
          <w:tab w:val="left" w:pos="1126"/>
        </w:tabs>
        <w:spacing w:before="0"/>
        <w:ind w:left="284" w:firstLine="0"/>
        <w:jc w:val="both"/>
        <w:rPr>
          <w:rFonts w:ascii="Times New Roman" w:hAnsi="Times New Roman" w:cs="Times New Roman"/>
          <w:noProof/>
          <w:sz w:val="24"/>
        </w:rPr>
      </w:pPr>
      <w:r w:rsidRPr="00B03B51">
        <w:rPr>
          <w:rFonts w:ascii="Times New Roman" w:hAnsi="Times New Roman" w:cs="Times New Roman"/>
          <w:sz w:val="24"/>
        </w:rPr>
        <w:t xml:space="preserve">b) Noteikumi par </w:t>
      </w:r>
      <w:r w:rsidRPr="00B03B51">
        <w:rPr>
          <w:rFonts w:ascii="Times New Roman" w:hAnsi="Times New Roman" w:cs="Times New Roman"/>
          <w:i/>
          <w:iCs/>
          <w:sz w:val="24"/>
        </w:rPr>
        <w:t>repo</w:t>
      </w:r>
      <w:r w:rsidRPr="00B03B51">
        <w:rPr>
          <w:rFonts w:ascii="Times New Roman" w:hAnsi="Times New Roman" w:cs="Times New Roman"/>
          <w:sz w:val="24"/>
        </w:rPr>
        <w:t xml:space="preserve"> attiecas uz jebkuru aktīvu, ko izmanto līdzīgā darījumā (tādējādi attiecas uz visu veidu ķīlu), ne tikai uz vērtspapīriem.</w:t>
      </w:r>
    </w:p>
    <w:p w14:paraId="76C76497" w14:textId="77777777" w:rsidR="00443399" w:rsidRPr="00B03B51" w:rsidRDefault="00443399" w:rsidP="00443399">
      <w:pPr>
        <w:pStyle w:val="BodyText"/>
        <w:tabs>
          <w:tab w:val="left" w:pos="1126"/>
        </w:tabs>
        <w:spacing w:before="0"/>
        <w:ind w:left="284" w:firstLine="0"/>
        <w:jc w:val="both"/>
        <w:rPr>
          <w:rFonts w:ascii="Times New Roman" w:hAnsi="Times New Roman" w:cs="Times New Roman"/>
          <w:noProof/>
          <w:sz w:val="24"/>
        </w:rPr>
      </w:pPr>
    </w:p>
    <w:p w14:paraId="5A6AF8F4" w14:textId="77777777" w:rsidR="00443399" w:rsidRPr="00B03B51" w:rsidRDefault="00443399" w:rsidP="00443399">
      <w:pPr>
        <w:pStyle w:val="BodyText"/>
        <w:tabs>
          <w:tab w:val="left" w:pos="1126"/>
        </w:tabs>
        <w:spacing w:before="0"/>
        <w:ind w:left="284" w:firstLine="0"/>
        <w:jc w:val="both"/>
        <w:rPr>
          <w:rFonts w:ascii="Times New Roman" w:hAnsi="Times New Roman" w:cs="Times New Roman"/>
          <w:noProof/>
          <w:sz w:val="24"/>
        </w:rPr>
      </w:pPr>
      <w:r w:rsidRPr="00B03B51">
        <w:rPr>
          <w:rFonts w:ascii="Times New Roman" w:hAnsi="Times New Roman" w:cs="Times New Roman"/>
          <w:sz w:val="24"/>
        </w:rPr>
        <w:t xml:space="preserve">c) EKS 2010 noteiktais traktējums attiecībā uz </w:t>
      </w:r>
      <w:r w:rsidRPr="00B03B51">
        <w:rPr>
          <w:rFonts w:ascii="Times New Roman" w:hAnsi="Times New Roman" w:cs="Times New Roman"/>
          <w:i/>
          <w:iCs/>
          <w:sz w:val="24"/>
        </w:rPr>
        <w:t>repo</w:t>
      </w:r>
      <w:r w:rsidRPr="00B03B51">
        <w:rPr>
          <w:rFonts w:ascii="Times New Roman" w:hAnsi="Times New Roman" w:cs="Times New Roman"/>
          <w:sz w:val="24"/>
        </w:rPr>
        <w:t xml:space="preserve"> darījumiem attiecas tikai tad, ja aktīva sākotnējais pārdevējs ir uzņēmies neapstrīdamas saistības atpirkt šo aktīvu saskaņā ar iepriekš noteiktiem nosacījumiem (un nevis tikai iespēju vai apņemšanos saskaņā ar dažiem nosacījumiem).</w:t>
      </w:r>
    </w:p>
    <w:p w14:paraId="54DD8B78" w14:textId="77777777" w:rsidR="00443399" w:rsidRPr="00B03B51" w:rsidRDefault="00443399" w:rsidP="00443399">
      <w:pPr>
        <w:pStyle w:val="BodyText"/>
        <w:tabs>
          <w:tab w:val="left" w:pos="1126"/>
        </w:tabs>
        <w:spacing w:before="0"/>
        <w:ind w:left="284" w:firstLine="0"/>
        <w:jc w:val="both"/>
        <w:rPr>
          <w:rFonts w:ascii="Times New Roman" w:hAnsi="Times New Roman" w:cs="Times New Roman"/>
          <w:noProof/>
          <w:sz w:val="24"/>
        </w:rPr>
      </w:pPr>
    </w:p>
    <w:p w14:paraId="523C6AD6" w14:textId="77777777" w:rsidR="00443399" w:rsidRPr="00B03B51" w:rsidRDefault="00443399" w:rsidP="00443399">
      <w:pPr>
        <w:pStyle w:val="BodyText"/>
        <w:tabs>
          <w:tab w:val="left" w:pos="1126"/>
        </w:tabs>
        <w:spacing w:before="0"/>
        <w:ind w:left="284" w:firstLine="0"/>
        <w:jc w:val="both"/>
        <w:rPr>
          <w:rFonts w:ascii="Times New Roman" w:hAnsi="Times New Roman" w:cs="Times New Roman"/>
          <w:noProof/>
          <w:sz w:val="24"/>
        </w:rPr>
      </w:pPr>
      <w:r w:rsidRPr="00B03B51">
        <w:rPr>
          <w:rFonts w:ascii="Times New Roman" w:hAnsi="Times New Roman" w:cs="Times New Roman"/>
          <w:sz w:val="24"/>
        </w:rPr>
        <w:t xml:space="preserve">d) Faktiska tādu vērtspapīru nodošana, kas izmantoti </w:t>
      </w:r>
      <w:r w:rsidRPr="00B03B51">
        <w:rPr>
          <w:rFonts w:ascii="Times New Roman" w:hAnsi="Times New Roman" w:cs="Times New Roman"/>
          <w:i/>
          <w:iCs/>
          <w:sz w:val="24"/>
        </w:rPr>
        <w:t>repo</w:t>
      </w:r>
      <w:r w:rsidRPr="00B03B51">
        <w:rPr>
          <w:rFonts w:ascii="Times New Roman" w:hAnsi="Times New Roman" w:cs="Times New Roman"/>
          <w:sz w:val="24"/>
        </w:rPr>
        <w:t xml:space="preserve"> darījumos, jo īpaši ar elektroniski depozitāro sistēmu starpniecību, neietekmē konceptuālo traktējumu.</w:t>
      </w:r>
    </w:p>
    <w:p w14:paraId="72DB7153" w14:textId="77777777" w:rsidR="00443399" w:rsidRPr="00B03B51" w:rsidRDefault="00443399" w:rsidP="00443399">
      <w:pPr>
        <w:pStyle w:val="BodyText"/>
        <w:tabs>
          <w:tab w:val="left" w:pos="1126"/>
        </w:tabs>
        <w:spacing w:before="0"/>
        <w:ind w:left="284" w:firstLine="0"/>
        <w:jc w:val="both"/>
        <w:rPr>
          <w:rFonts w:ascii="Times New Roman" w:hAnsi="Times New Roman" w:cs="Times New Roman"/>
          <w:noProof/>
          <w:sz w:val="24"/>
        </w:rPr>
      </w:pPr>
    </w:p>
    <w:p w14:paraId="67977855" w14:textId="77777777" w:rsidR="00443399" w:rsidRPr="00B03B51" w:rsidRDefault="00443399" w:rsidP="00443399">
      <w:pPr>
        <w:pStyle w:val="BodyText"/>
        <w:tabs>
          <w:tab w:val="left" w:pos="1126"/>
        </w:tabs>
        <w:spacing w:before="0"/>
        <w:ind w:left="284" w:firstLine="0"/>
        <w:jc w:val="both"/>
        <w:rPr>
          <w:rFonts w:ascii="Times New Roman" w:hAnsi="Times New Roman" w:cs="Times New Roman"/>
          <w:noProof/>
          <w:sz w:val="24"/>
        </w:rPr>
      </w:pPr>
      <w:r w:rsidRPr="00B03B51">
        <w:rPr>
          <w:rFonts w:ascii="Times New Roman" w:hAnsi="Times New Roman" w:cs="Times New Roman"/>
          <w:sz w:val="24"/>
        </w:rPr>
        <w:t xml:space="preserve">e) Ja ekonomikas vienība aktīvu, kas “iegūts” saskaņā ar </w:t>
      </w:r>
      <w:r w:rsidRPr="00B03B51">
        <w:rPr>
          <w:rFonts w:ascii="Times New Roman" w:hAnsi="Times New Roman" w:cs="Times New Roman"/>
          <w:i/>
          <w:iCs/>
          <w:sz w:val="24"/>
        </w:rPr>
        <w:t>repo</w:t>
      </w:r>
      <w:r w:rsidRPr="00B03B51">
        <w:rPr>
          <w:rFonts w:ascii="Times New Roman" w:hAnsi="Times New Roman" w:cs="Times New Roman"/>
          <w:sz w:val="24"/>
        </w:rPr>
        <w:t xml:space="preserve"> darījumu, pārdod tālāk, tad tās bilancē veic negatīvu ierakstu.</w:t>
      </w:r>
    </w:p>
    <w:p w14:paraId="38F04665" w14:textId="77777777" w:rsidR="00443399" w:rsidRPr="00B03B51" w:rsidRDefault="00443399" w:rsidP="00443399">
      <w:pPr>
        <w:tabs>
          <w:tab w:val="left" w:pos="1126"/>
        </w:tabs>
        <w:ind w:left="284"/>
        <w:jc w:val="both"/>
        <w:rPr>
          <w:rFonts w:ascii="Times New Roman" w:eastAsia="Arial" w:hAnsi="Times New Roman" w:cs="Times New Roman"/>
          <w:noProof/>
          <w:sz w:val="24"/>
          <w:szCs w:val="19"/>
        </w:rPr>
      </w:pPr>
    </w:p>
    <w:p w14:paraId="74C971A5" w14:textId="77777777" w:rsidR="00443399" w:rsidRPr="00B03B51" w:rsidRDefault="00443399" w:rsidP="00443399">
      <w:pPr>
        <w:tabs>
          <w:tab w:val="left" w:pos="1126"/>
        </w:tabs>
        <w:ind w:left="284"/>
        <w:jc w:val="both"/>
        <w:rPr>
          <w:rFonts w:ascii="Times New Roman" w:eastAsia="Arial" w:hAnsi="Times New Roman" w:cs="Times New Roman"/>
          <w:noProof/>
          <w:sz w:val="24"/>
          <w:szCs w:val="19"/>
        </w:rPr>
      </w:pPr>
      <w:r w:rsidRPr="00B03B51">
        <w:rPr>
          <w:rFonts w:ascii="Times New Roman" w:hAnsi="Times New Roman" w:cs="Times New Roman"/>
          <w:sz w:val="24"/>
          <w:szCs w:val="19"/>
        </w:rPr>
        <w:t xml:space="preserve">f) Vienīgi vērtspapīru aizdevumu ar naudu var traktēt līdzīgi kā </w:t>
      </w:r>
      <w:r w:rsidRPr="00B03B51">
        <w:rPr>
          <w:rFonts w:ascii="Times New Roman" w:hAnsi="Times New Roman" w:cs="Times New Roman"/>
          <w:i/>
          <w:iCs/>
          <w:sz w:val="24"/>
          <w:szCs w:val="19"/>
        </w:rPr>
        <w:t>repo</w:t>
      </w:r>
      <w:r w:rsidRPr="00B03B51">
        <w:rPr>
          <w:rFonts w:ascii="Times New Roman" w:hAnsi="Times New Roman" w:cs="Times New Roman"/>
          <w:sz w:val="24"/>
          <w:szCs w:val="19"/>
        </w:rPr>
        <w:t xml:space="preserve"> darījumus, kā minēts EKS 2010 5.128. punktā: </w:t>
      </w:r>
      <w:r w:rsidRPr="00B03B51">
        <w:rPr>
          <w:rFonts w:ascii="Times New Roman" w:hAnsi="Times New Roman" w:cs="Times New Roman"/>
          <w:i/>
          <w:iCs/>
          <w:sz w:val="24"/>
          <w:szCs w:val="19"/>
        </w:rPr>
        <w:t>Vērtspapīru aizdošana ar naudas nodrošinājumu un pārdošanas ar atpirkšanu (repo) līgumi ir dažādi termini, kas apzīmē finanšu vienošanos ar vienādu ekonomisko ietekmi: tie ir nodrošināti aizdevumi, jo abos darījumu veidos iekļauta tādu vērtspapīru piegāde, kas kalpo kā aizdevuma vai noguldījuma nodrošinājums, un noguldījumus pieņemošā sabiedrība pārdod vērtspapīrus saskaņā ar šādu finanšu vienošanos</w:t>
      </w:r>
      <w:r w:rsidRPr="00B03B51">
        <w:rPr>
          <w:rFonts w:ascii="Times New Roman" w:hAnsi="Times New Roman" w:cs="Times New Roman"/>
          <w:sz w:val="24"/>
          <w:szCs w:val="19"/>
        </w:rPr>
        <w:t>.</w:t>
      </w:r>
    </w:p>
    <w:p w14:paraId="6F19C8CA" w14:textId="77777777" w:rsidR="00443399" w:rsidRPr="00B03B51" w:rsidRDefault="00443399" w:rsidP="00443399">
      <w:pPr>
        <w:jc w:val="both"/>
        <w:rPr>
          <w:rFonts w:ascii="Times New Roman" w:eastAsia="Arial" w:hAnsi="Times New Roman" w:cs="Times New Roman"/>
          <w:noProof/>
          <w:sz w:val="24"/>
          <w:szCs w:val="19"/>
        </w:rPr>
      </w:pPr>
    </w:p>
    <w:p w14:paraId="4B38E558" w14:textId="77777777" w:rsidR="00443399" w:rsidRPr="00B03B51" w:rsidRDefault="00443399" w:rsidP="00443399">
      <w:pPr>
        <w:pStyle w:val="Heading3"/>
        <w:keepNext/>
        <w:tabs>
          <w:tab w:val="left" w:pos="1267"/>
        </w:tabs>
        <w:ind w:left="0" w:firstLine="0"/>
        <w:jc w:val="both"/>
        <w:rPr>
          <w:rFonts w:ascii="Times New Roman" w:hAnsi="Times New Roman" w:cs="Times New Roman"/>
          <w:noProof/>
          <w:sz w:val="24"/>
        </w:rPr>
      </w:pPr>
      <w:bookmarkStart w:id="638" w:name="8.4.3_Rationale_of_the_treatment"/>
      <w:bookmarkStart w:id="639" w:name="_Toc67565225"/>
      <w:bookmarkEnd w:id="638"/>
      <w:r w:rsidRPr="00B03B51">
        <w:rPr>
          <w:rFonts w:ascii="Times New Roman" w:hAnsi="Times New Roman" w:cs="Times New Roman"/>
          <w:sz w:val="24"/>
        </w:rPr>
        <w:t>8.4.3. Traktējuma pamatojums</w:t>
      </w:r>
      <w:bookmarkEnd w:id="639"/>
    </w:p>
    <w:p w14:paraId="60C33377" w14:textId="77777777" w:rsidR="00443399" w:rsidRPr="000B5876" w:rsidRDefault="00443399" w:rsidP="000B5876">
      <w:pPr>
        <w:rPr>
          <w:rFonts w:ascii="Times New Roman" w:hAnsi="Times New Roman" w:cs="Times New Roman"/>
          <w:noProof/>
          <w:sz w:val="24"/>
          <w:szCs w:val="24"/>
        </w:rPr>
      </w:pPr>
      <w:bookmarkStart w:id="640" w:name="8.4.3.1_Valuation"/>
      <w:bookmarkEnd w:id="640"/>
    </w:p>
    <w:p w14:paraId="3B9A358C" w14:textId="77777777" w:rsidR="00443399" w:rsidRPr="00B03B51" w:rsidRDefault="00443399" w:rsidP="00443399">
      <w:pPr>
        <w:pStyle w:val="Heading6"/>
        <w:keepNext/>
        <w:tabs>
          <w:tab w:val="left" w:pos="1267"/>
        </w:tabs>
        <w:ind w:left="0" w:firstLine="0"/>
        <w:jc w:val="both"/>
        <w:rPr>
          <w:rFonts w:ascii="Times New Roman" w:hAnsi="Times New Roman" w:cs="Times New Roman"/>
          <w:noProof/>
          <w:sz w:val="24"/>
        </w:rPr>
      </w:pPr>
      <w:r w:rsidRPr="00B03B51">
        <w:rPr>
          <w:rFonts w:ascii="Times New Roman" w:hAnsi="Times New Roman" w:cs="Times New Roman"/>
          <w:sz w:val="24"/>
        </w:rPr>
        <w:t>8.4.3.1. NOVĒRTĒŠANA</w:t>
      </w:r>
    </w:p>
    <w:p w14:paraId="2605031E"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295565C6"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10. Atpirkšanas līgumus uzskata par aizdevumiem vai noguldījumiem un ieraksta nacionālajos kontos atbilstoši nominālvērtībai. Tādējādi vērtības pamatā ir sākotnējais finansējums. Citiem vārdiem sakot, naudas summa, kas tiek apmainīta perioda sākumā, ir jaunā finanšu instrumenta vērtība. Nav turēšanas guvumu, kā tas ir atklātu darījumu ar vērtspapīriem gadījumā. Arī uzkrātos procentus iekļauj darījuma cenā. Tomēr var rasties nepieciešamība koriģēt summu, kas ierakstīta kā procenti:</w:t>
      </w:r>
    </w:p>
    <w:p w14:paraId="4C2E2888"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21D5CDD0" w14:textId="77777777" w:rsidR="00443399" w:rsidRPr="00B03B51" w:rsidRDefault="00443399" w:rsidP="00D939EF">
      <w:pPr>
        <w:pStyle w:val="BodyText"/>
        <w:numPr>
          <w:ilvl w:val="0"/>
          <w:numId w:val="37"/>
        </w:numPr>
        <w:spacing w:before="0"/>
        <w:ind w:left="426" w:hanging="425"/>
        <w:jc w:val="both"/>
        <w:rPr>
          <w:rFonts w:ascii="Times New Roman" w:hAnsi="Times New Roman" w:cs="Times New Roman"/>
          <w:noProof/>
          <w:sz w:val="24"/>
        </w:rPr>
      </w:pPr>
      <w:r w:rsidRPr="00B03B51">
        <w:rPr>
          <w:rFonts w:ascii="Times New Roman" w:hAnsi="Times New Roman" w:cs="Times New Roman"/>
          <w:sz w:val="24"/>
        </w:rPr>
        <w:t>pirmkārt, lai no tās atņemtu komisijas naudu vai nodevas, kuras ierakstītas kā maksa par pakalpojumu (bet – no praktiskā viedokļa –, ja summa ir ļoti neliela, to var neņemt vērā);</w:t>
      </w:r>
    </w:p>
    <w:p w14:paraId="22456753" w14:textId="77777777" w:rsidR="00443399" w:rsidRPr="00B03B51" w:rsidRDefault="00443399" w:rsidP="00D939EF">
      <w:pPr>
        <w:pStyle w:val="BodyText"/>
        <w:numPr>
          <w:ilvl w:val="0"/>
          <w:numId w:val="37"/>
        </w:numPr>
        <w:spacing w:before="0"/>
        <w:ind w:left="426" w:hanging="425"/>
        <w:jc w:val="both"/>
        <w:rPr>
          <w:rFonts w:ascii="Times New Roman" w:hAnsi="Times New Roman" w:cs="Times New Roman"/>
          <w:noProof/>
          <w:sz w:val="24"/>
        </w:rPr>
      </w:pPr>
      <w:r w:rsidRPr="00B03B51">
        <w:rPr>
          <w:rFonts w:ascii="Times New Roman" w:hAnsi="Times New Roman" w:cs="Times New Roman"/>
          <w:sz w:val="24"/>
        </w:rPr>
        <w:t>otrkārt, attiecībā uz darījumiem ar ārvalstu valūtās izteiktiem aktīviem.</w:t>
      </w:r>
    </w:p>
    <w:p w14:paraId="5B99AEEC" w14:textId="77777777" w:rsidR="00443399" w:rsidRPr="00B03B51" w:rsidRDefault="00443399" w:rsidP="00443399">
      <w:pPr>
        <w:pStyle w:val="BodyText"/>
        <w:tabs>
          <w:tab w:val="left" w:pos="1126"/>
        </w:tabs>
        <w:spacing w:before="0"/>
        <w:ind w:left="0" w:firstLine="0"/>
        <w:jc w:val="both"/>
        <w:rPr>
          <w:rFonts w:ascii="Times New Roman" w:hAnsi="Times New Roman" w:cs="Times New Roman"/>
          <w:noProof/>
          <w:sz w:val="24"/>
        </w:rPr>
      </w:pPr>
    </w:p>
    <w:p w14:paraId="31D8706C" w14:textId="77777777" w:rsidR="00443399" w:rsidRPr="00B03B51" w:rsidRDefault="00443399" w:rsidP="00D939EF">
      <w:pPr>
        <w:pStyle w:val="BodyText"/>
        <w:numPr>
          <w:ilvl w:val="1"/>
          <w:numId w:val="37"/>
        </w:numPr>
        <w:spacing w:before="0"/>
        <w:ind w:left="851" w:hanging="425"/>
        <w:jc w:val="both"/>
        <w:rPr>
          <w:rFonts w:ascii="Times New Roman" w:hAnsi="Times New Roman" w:cs="Times New Roman"/>
          <w:noProof/>
          <w:sz w:val="24"/>
        </w:rPr>
      </w:pPr>
      <w:r w:rsidRPr="00B03B51">
        <w:rPr>
          <w:rFonts w:ascii="Times New Roman" w:hAnsi="Times New Roman" w:cs="Times New Roman"/>
          <w:sz w:val="24"/>
        </w:rPr>
        <w:t>Šādā gadījumā izmaiņas aktīva vērtībā, kas rodas maiņas kursa iespējamu pārmaiņu ietekmes dēļ, netiek aprēķinātas par līdzekļu aizdevumu/aizņēmumu atlīdzību.</w:t>
      </w:r>
    </w:p>
    <w:p w14:paraId="575DAD29" w14:textId="77777777" w:rsidR="00443399" w:rsidRPr="00B03B51" w:rsidRDefault="00443399" w:rsidP="00D939EF">
      <w:pPr>
        <w:pStyle w:val="BodyText"/>
        <w:numPr>
          <w:ilvl w:val="1"/>
          <w:numId w:val="37"/>
        </w:numPr>
        <w:spacing w:before="0"/>
        <w:ind w:left="851" w:hanging="425"/>
        <w:jc w:val="both"/>
        <w:rPr>
          <w:rFonts w:ascii="Times New Roman" w:hAnsi="Times New Roman" w:cs="Times New Roman"/>
          <w:noProof/>
          <w:sz w:val="24"/>
        </w:rPr>
      </w:pPr>
      <w:r w:rsidRPr="00B03B51">
        <w:rPr>
          <w:rFonts w:ascii="Times New Roman" w:hAnsi="Times New Roman" w:cs="Times New Roman"/>
          <w:sz w:val="24"/>
        </w:rPr>
        <w:t>Atpirkšanas cena jāaprēķina, pamatojoties uz sākotnējo maiņas kursu, un starpība jāieraksta pārvērtēšanas kontā kā nominālie turēšanas guvumi vai zaudējumi.</w:t>
      </w:r>
    </w:p>
    <w:p w14:paraId="3FC8D423" w14:textId="77777777" w:rsidR="00443399" w:rsidRPr="00B03B51" w:rsidRDefault="00443399" w:rsidP="00D939EF">
      <w:pPr>
        <w:pStyle w:val="BodyText"/>
        <w:numPr>
          <w:ilvl w:val="1"/>
          <w:numId w:val="37"/>
        </w:numPr>
        <w:spacing w:before="0"/>
        <w:ind w:left="851" w:hanging="425"/>
        <w:jc w:val="both"/>
        <w:rPr>
          <w:rFonts w:ascii="Times New Roman" w:hAnsi="Times New Roman" w:cs="Times New Roman"/>
          <w:noProof/>
          <w:sz w:val="24"/>
        </w:rPr>
      </w:pPr>
      <w:r w:rsidRPr="00B03B51">
        <w:rPr>
          <w:rFonts w:ascii="Times New Roman" w:hAnsi="Times New Roman" w:cs="Times New Roman"/>
          <w:sz w:val="24"/>
        </w:rPr>
        <w:t xml:space="preserve">Praktiskos nolūkos var būt vieglāk sākt no turēšanas guvumu vai zaudējumu summas (ar nosacījumu, ka maiņas kursa izmaiņu ietekme ir pienācīgi identificēta) un atņemt procentus par </w:t>
      </w:r>
      <w:r w:rsidRPr="00B03B51">
        <w:rPr>
          <w:rFonts w:ascii="Times New Roman" w:hAnsi="Times New Roman" w:cs="Times New Roman"/>
          <w:i/>
          <w:iCs/>
          <w:sz w:val="24"/>
        </w:rPr>
        <w:t>repo</w:t>
      </w:r>
      <w:r w:rsidRPr="00B03B51">
        <w:rPr>
          <w:rFonts w:ascii="Times New Roman" w:hAnsi="Times New Roman" w:cs="Times New Roman"/>
          <w:sz w:val="24"/>
        </w:rPr>
        <w:t xml:space="preserve"> darījumiem, izmantojot aprēķinu, kura pamatā ir vidējais maksājuma termiņš.</w:t>
      </w:r>
    </w:p>
    <w:p w14:paraId="167F1F2E" w14:textId="77777777" w:rsidR="00443399" w:rsidRPr="00B03B51" w:rsidRDefault="00443399" w:rsidP="00443399">
      <w:pPr>
        <w:jc w:val="both"/>
        <w:rPr>
          <w:rFonts w:ascii="Times New Roman" w:hAnsi="Times New Roman" w:cs="Times New Roman"/>
          <w:noProof/>
          <w:sz w:val="24"/>
        </w:rPr>
      </w:pPr>
    </w:p>
    <w:p w14:paraId="25DBE0BC" w14:textId="77777777" w:rsidR="00443399" w:rsidRPr="00B03B51" w:rsidRDefault="00443399" w:rsidP="00443399">
      <w:pPr>
        <w:pStyle w:val="Heading6"/>
        <w:tabs>
          <w:tab w:val="left" w:pos="1267"/>
        </w:tabs>
        <w:ind w:left="0" w:firstLine="0"/>
        <w:jc w:val="both"/>
        <w:rPr>
          <w:rFonts w:ascii="Times New Roman" w:hAnsi="Times New Roman" w:cs="Times New Roman"/>
          <w:noProof/>
          <w:sz w:val="24"/>
        </w:rPr>
      </w:pPr>
      <w:bookmarkStart w:id="641" w:name="8.4.3.2_Underlying_assets"/>
      <w:bookmarkEnd w:id="641"/>
      <w:r w:rsidRPr="00B03B51">
        <w:rPr>
          <w:rFonts w:ascii="Times New Roman" w:hAnsi="Times New Roman" w:cs="Times New Roman"/>
          <w:sz w:val="24"/>
        </w:rPr>
        <w:t>8.4.3.2. PAKĀRTOTIE AKTĪVI</w:t>
      </w:r>
    </w:p>
    <w:p w14:paraId="7F494889"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3970B179"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 xml:space="preserve">11. EKS 2010 un NKS 2008 aplūkoti vienīgi tādi </w:t>
      </w:r>
      <w:r w:rsidRPr="00B03B51">
        <w:rPr>
          <w:rFonts w:ascii="Times New Roman" w:hAnsi="Times New Roman" w:cs="Times New Roman"/>
          <w:i/>
          <w:iCs/>
          <w:sz w:val="24"/>
        </w:rPr>
        <w:t>repo</w:t>
      </w:r>
      <w:r w:rsidRPr="00B03B51">
        <w:rPr>
          <w:rFonts w:ascii="Times New Roman" w:hAnsi="Times New Roman" w:cs="Times New Roman"/>
          <w:sz w:val="24"/>
        </w:rPr>
        <w:t xml:space="preserve"> darījumi, ko nodrošina ar vērtspapīriem, vispārējās valdības obligācijām un valsts iekšējā aizņēmuma parādzīmēm, to plašo un likvīdo tirgu dēļ. Dažās valstīs var izmantot arī citus aktīvus, proti, aizdevumus nefinanšu iestādēm saskaņā ar dažiem kritērijiem, un pat nekustamo īpašumu aktīvus. Tādos gadījumos arī ir piemērojams tāds traktējums, kāds ir </w:t>
      </w:r>
      <w:r w:rsidRPr="00B03B51">
        <w:rPr>
          <w:rFonts w:ascii="Times New Roman" w:hAnsi="Times New Roman" w:cs="Times New Roman"/>
          <w:i/>
          <w:iCs/>
          <w:sz w:val="24"/>
        </w:rPr>
        <w:t>repo</w:t>
      </w:r>
      <w:r w:rsidRPr="00B03B51">
        <w:rPr>
          <w:rFonts w:ascii="Times New Roman" w:hAnsi="Times New Roman" w:cs="Times New Roman"/>
          <w:sz w:val="24"/>
        </w:rPr>
        <w:t xml:space="preserve"> darījumiem. Tādējādi </w:t>
      </w:r>
      <w:r w:rsidRPr="00B03B51">
        <w:rPr>
          <w:rFonts w:ascii="Times New Roman" w:hAnsi="Times New Roman" w:cs="Times New Roman"/>
          <w:i/>
          <w:iCs/>
          <w:sz w:val="24"/>
        </w:rPr>
        <w:t>repo</w:t>
      </w:r>
      <w:r w:rsidRPr="00B03B51">
        <w:rPr>
          <w:rFonts w:ascii="Times New Roman" w:hAnsi="Times New Roman" w:cs="Times New Roman"/>
          <w:sz w:val="24"/>
        </w:rPr>
        <w:t xml:space="preserve"> darījumu definīciju var paplašināt, attiecinot to arī uz visiem pasākumiem, kas saistīti ar naudas piešķiršanu konkrētā periodā ekonomikas subjektam, kurš savukārt “nodrošina” kā ķīlu jebkuru aktīvu, kas ir tās īpašumā saskaņā ar pārdošanas ar atpirkšanu līgumu.</w:t>
      </w:r>
    </w:p>
    <w:p w14:paraId="3355329E" w14:textId="77777777" w:rsidR="00443399" w:rsidRPr="00B03B51" w:rsidRDefault="00443399" w:rsidP="00443399">
      <w:pPr>
        <w:jc w:val="both"/>
        <w:rPr>
          <w:rFonts w:ascii="Times New Roman" w:eastAsia="Arial" w:hAnsi="Times New Roman" w:cs="Times New Roman"/>
          <w:noProof/>
          <w:sz w:val="24"/>
          <w:szCs w:val="18"/>
        </w:rPr>
      </w:pPr>
    </w:p>
    <w:p w14:paraId="6683B20F" w14:textId="77777777" w:rsidR="00443399" w:rsidRPr="00B03B51" w:rsidRDefault="00443399" w:rsidP="00443399">
      <w:pPr>
        <w:jc w:val="both"/>
        <w:rPr>
          <w:rFonts w:ascii="Times New Roman" w:hAnsi="Times New Roman" w:cs="Times New Roman"/>
          <w:b/>
          <w:noProof/>
          <w:sz w:val="24"/>
        </w:rPr>
      </w:pPr>
      <w:r w:rsidRPr="00B03B51">
        <w:rPr>
          <w:rFonts w:ascii="Times New Roman" w:hAnsi="Times New Roman" w:cs="Times New Roman"/>
          <w:b/>
          <w:sz w:val="24"/>
        </w:rPr>
        <w:t>Atpirkšanas noteikums</w:t>
      </w:r>
    </w:p>
    <w:p w14:paraId="6552E168" w14:textId="77777777" w:rsidR="00443399" w:rsidRPr="00B03B51" w:rsidRDefault="00443399" w:rsidP="00443399">
      <w:pPr>
        <w:jc w:val="both"/>
        <w:rPr>
          <w:rFonts w:ascii="Times New Roman" w:eastAsia="Arial" w:hAnsi="Times New Roman" w:cs="Times New Roman"/>
          <w:b/>
          <w:bCs/>
          <w:noProof/>
          <w:sz w:val="24"/>
        </w:rPr>
      </w:pPr>
    </w:p>
    <w:p w14:paraId="379E4B91"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 xml:space="preserve">12. Kā minēts iepriekš, sākotnējam pārdevējam (atsavinātājam/ līdzekļu aizņēmējam) jābūt noteiktām skaidrām saistībām attiecībā uz vērtspapīru atpirkšanu. No juridiskā viedokļa pastāv neapšaubāma prasība, kas ir pircējam vai tiesību pārņēmējam. Parāda atmaksāšanas termiņā sākuma stāvokli automātiski atlīdzinātu ar pretēju darījumu, lai kādi būtu jaunie tirgus nosacījumi. Ja līgumos noteikts, ka pārdevējam ir iespēja vērtspapīrus tikai atpirkt, </w:t>
      </w:r>
      <w:r w:rsidRPr="00B03B51">
        <w:rPr>
          <w:rFonts w:ascii="Times New Roman" w:hAnsi="Times New Roman" w:cs="Times New Roman"/>
          <w:i/>
          <w:iCs/>
          <w:sz w:val="24"/>
        </w:rPr>
        <w:t>repo</w:t>
      </w:r>
      <w:r w:rsidRPr="00B03B51">
        <w:rPr>
          <w:rFonts w:ascii="Times New Roman" w:hAnsi="Times New Roman" w:cs="Times New Roman"/>
          <w:sz w:val="24"/>
        </w:rPr>
        <w:t xml:space="preserve"> darījumu traktējums nav jāpiemēro. Vienošanās ietver vienīgi solījumu. Šādā gadījumā dažreiz izmanto izteicienu “neīsti pārdošanas ar atpirkšanu līgumi”.</w:t>
      </w:r>
    </w:p>
    <w:p w14:paraId="4EC5CC05"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1530CD8F"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 xml:space="preserve">13. To var novērot arī pārdošanas/atpirkšanas darījumos, kad ir ļoti liela līdzība ar </w:t>
      </w:r>
      <w:r w:rsidRPr="00B03B51">
        <w:rPr>
          <w:rFonts w:ascii="Times New Roman" w:hAnsi="Times New Roman" w:cs="Times New Roman"/>
          <w:i/>
          <w:iCs/>
          <w:sz w:val="24"/>
        </w:rPr>
        <w:t>repo</w:t>
      </w:r>
      <w:r w:rsidRPr="00B03B51">
        <w:rPr>
          <w:rFonts w:ascii="Times New Roman" w:hAnsi="Times New Roman" w:cs="Times New Roman"/>
          <w:sz w:val="24"/>
        </w:rPr>
        <w:t xml:space="preserve"> darījumiem attiecībā uz darījuma ekonomisko būtību, bet pastāv arī dažas tehniskas atšķirības. Tomēr pārdošana/atpirkšana jātraktē kā </w:t>
      </w:r>
      <w:r w:rsidRPr="00B03B51">
        <w:rPr>
          <w:rFonts w:ascii="Times New Roman" w:hAnsi="Times New Roman" w:cs="Times New Roman"/>
          <w:i/>
          <w:iCs/>
          <w:sz w:val="24"/>
        </w:rPr>
        <w:t>repo</w:t>
      </w:r>
      <w:r w:rsidRPr="00B03B51">
        <w:rPr>
          <w:rFonts w:ascii="Times New Roman" w:hAnsi="Times New Roman" w:cs="Times New Roman"/>
          <w:sz w:val="24"/>
        </w:rPr>
        <w:t xml:space="preserve"> darījums, saskaņā ar kuru sākotnējam īpašniekam ir noteikts pienākums atpirkt likviditāti un pārņēmējam – neapstrīdama prasība saņemt atpakaļ likviditāti. Tāpēc šie darījumi jāieraksta tādā pašā veidā un, ja nepieciešams, kompilācijā </w:t>
      </w:r>
      <w:r w:rsidRPr="00B03B51">
        <w:rPr>
          <w:rFonts w:ascii="Times New Roman" w:hAnsi="Times New Roman" w:cs="Times New Roman"/>
          <w:sz w:val="24"/>
        </w:rPr>
        <w:lastRenderedPageBreak/>
        <w:t>izmantotie avoti jālabo, jo īpaši attiecīgajos vērtspapīru portfeļos.</w:t>
      </w:r>
    </w:p>
    <w:p w14:paraId="0C4AB674"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294628E7"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14. Ja sākotnējam pārdevējam nav stingru saistību atpirkt aktīvu(-us), jāuzskata, ka šis gadījums ir faktiska ekonomisko īpašumtiesību nodošana. Attiecībā uz vērtspapīriem izmaiņas jāieraksta abu līgumslēdzēju pušu vērtspapīru portfeļos, neradot pieaugumu pārdevēja bilancē. Jāatgādina, ka iespējamais aktīvs, kas atbilst iespējamai tālākpārdošanai, vispār nav jāiekļauj finanšu kontā saskaņā ar EKS 2010 5.09. punkta noteikumiem.</w:t>
      </w:r>
    </w:p>
    <w:p w14:paraId="039BF891"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119B9391"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 xml:space="preserve">15. Dažos gadījumos pušu veida dēļ atpirkšanas darījums, pat ja tam nav stingra juridiska pamatojuma, ir pavisam noteikts. Piemēram, </w:t>
      </w:r>
      <w:r w:rsidRPr="00B03B51">
        <w:rPr>
          <w:rFonts w:ascii="Times New Roman" w:hAnsi="Times New Roman" w:cs="Times New Roman"/>
          <w:i/>
          <w:iCs/>
          <w:sz w:val="24"/>
        </w:rPr>
        <w:t>repo</w:t>
      </w:r>
      <w:r w:rsidRPr="00B03B51">
        <w:rPr>
          <w:rFonts w:ascii="Times New Roman" w:hAnsi="Times New Roman" w:cs="Times New Roman"/>
          <w:sz w:val="24"/>
        </w:rPr>
        <w:t xml:space="preserve"> darījumu noslēdz divas vienības, kas klasificētas vispārējās valdības sektorā. Tomēr šajā gadījumā noteikumu par stingru apņemšanos ir ieteicams piemērot vairāk ierobežotā veidā, t. i., noteiktās situācijās, kurās var pamatoti uzskatīt, ka domstarpību gadījumā saistības noteikti atzīs tiesa vai šķīrējtiesa. Ir konstatēti daži reti domstarpību gadījumi tieši saistībā ar atpirkšanas pienākumu.</w:t>
      </w:r>
    </w:p>
    <w:p w14:paraId="1878E0B1" w14:textId="77777777" w:rsidR="00443399" w:rsidRPr="00B03B51" w:rsidRDefault="00443399" w:rsidP="00443399">
      <w:pPr>
        <w:jc w:val="both"/>
        <w:rPr>
          <w:rFonts w:ascii="Times New Roman" w:eastAsia="Arial" w:hAnsi="Times New Roman" w:cs="Times New Roman"/>
          <w:noProof/>
          <w:sz w:val="24"/>
          <w:szCs w:val="15"/>
        </w:rPr>
      </w:pPr>
    </w:p>
    <w:p w14:paraId="7050B6EC" w14:textId="77777777" w:rsidR="00443399" w:rsidRPr="00B03B51" w:rsidRDefault="00443399" w:rsidP="00443399">
      <w:pPr>
        <w:pStyle w:val="Heading6"/>
        <w:tabs>
          <w:tab w:val="left" w:pos="1267"/>
        </w:tabs>
        <w:ind w:left="0" w:firstLine="0"/>
        <w:jc w:val="both"/>
        <w:rPr>
          <w:rFonts w:ascii="Times New Roman" w:hAnsi="Times New Roman" w:cs="Times New Roman"/>
          <w:noProof/>
          <w:sz w:val="24"/>
        </w:rPr>
      </w:pPr>
      <w:r w:rsidRPr="00B03B51">
        <w:rPr>
          <w:rFonts w:ascii="Times New Roman" w:hAnsi="Times New Roman" w:cs="Times New Roman"/>
          <w:sz w:val="24"/>
        </w:rPr>
        <w:t>8.4.3.3. VĒRTSPAPĪRU IZSNIEGŠANA</w:t>
      </w:r>
    </w:p>
    <w:p w14:paraId="638666A8"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361D1CAA"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 xml:space="preserve">16. Vērtspapīrus var reāli izsniegt pircējam saskaņā ar valstu tiesību aktiem un tirgus praksi. Īpaši gadījumā, kad dematerializētā depozitārā sistēmā nepieciešama vienīgi korekcija ar efektīvas elektroniskās izsniegšanas un maksājuma kārtības starpniecību. Pamatā šī iezīme nemaina tās operācijas būtību, kas no ekonomiskā viedokļa ir </w:t>
      </w:r>
      <w:r w:rsidRPr="00B03B51">
        <w:rPr>
          <w:rFonts w:ascii="Times New Roman" w:hAnsi="Times New Roman" w:cs="Times New Roman"/>
          <w:i/>
          <w:iCs/>
          <w:sz w:val="24"/>
        </w:rPr>
        <w:t>repo</w:t>
      </w:r>
      <w:r w:rsidRPr="00B03B51">
        <w:rPr>
          <w:rFonts w:ascii="Times New Roman" w:hAnsi="Times New Roman" w:cs="Times New Roman"/>
          <w:sz w:val="24"/>
        </w:rPr>
        <w:t xml:space="preserve"> darījums. Tomēr tas sagatavošanas procesu acīmredzami padara vēl sarežģītāku un var būt turpmāk minētās neatbilstības avots.</w:t>
      </w:r>
    </w:p>
    <w:p w14:paraId="15E1733D"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050E9799"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17. Tā kā darījumu ieraksta aizdevumu/noguldījumu instrumentos un uzskata, ka pārņēmējs nav nopircis vērtspapīrus, pircēja vērtspapīru portfelis jālabo, ja aktīvs ir ierakstīts. Tas var būt tāds pats sākotnējā īpašnieka vērtspapīru portfelī, un šis īpašnieks patur aktīvu savā vērtspapīru portfelī papildus jaunajam instrumentam, kas atspoguļo pagaidu naudas aizdevumu.</w:t>
      </w:r>
    </w:p>
    <w:p w14:paraId="1BDA710C"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262F9022"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18. Pat izsniegšanas gadījumā pieņem, ka “pārdevējs” saglabā savas īpašuma tiesības uz vērtspapīriem, ko tas nodevis. Galvenais ir tas, ka viņš uzņemas riskus, piemēram, kad vērtspapīru vērtība ir mazāka par atpirkuma cenu saistībā ar izmaiņām tirgus nosacījumos. Turklāt gadījumā, ja vērtspapīra emitents nepilda savas saistības, tas aizdevējam atmaksā noteikto summu. Parasti pārdevējs turpina saņemt atlīdzības (piemēram, procentus), kas saistītas ar šiem vērtspapīriem. Tas nozīmē, ka, ja šāds maksājums rodas līguma darbības laikā, pagaidu pircējam tas jāatmaksā.</w:t>
      </w:r>
    </w:p>
    <w:p w14:paraId="09B939BA" w14:textId="77777777" w:rsidR="00443399" w:rsidRPr="00B03B51" w:rsidRDefault="00443399" w:rsidP="00443399">
      <w:pPr>
        <w:jc w:val="both"/>
        <w:rPr>
          <w:rFonts w:ascii="Times New Roman" w:eastAsia="Arial" w:hAnsi="Times New Roman" w:cs="Times New Roman"/>
          <w:noProof/>
          <w:sz w:val="24"/>
          <w:szCs w:val="15"/>
        </w:rPr>
      </w:pPr>
    </w:p>
    <w:p w14:paraId="21E85217" w14:textId="77777777" w:rsidR="00443399" w:rsidRPr="00B03B51" w:rsidRDefault="00443399" w:rsidP="00443399">
      <w:pPr>
        <w:pStyle w:val="Heading6"/>
        <w:tabs>
          <w:tab w:val="left" w:pos="1267"/>
        </w:tabs>
        <w:ind w:left="0" w:firstLine="0"/>
        <w:jc w:val="both"/>
        <w:rPr>
          <w:rFonts w:ascii="Times New Roman" w:hAnsi="Times New Roman" w:cs="Times New Roman"/>
          <w:noProof/>
          <w:sz w:val="24"/>
        </w:rPr>
      </w:pPr>
      <w:r w:rsidRPr="00B03B51">
        <w:rPr>
          <w:rFonts w:ascii="Times New Roman" w:hAnsi="Times New Roman" w:cs="Times New Roman"/>
          <w:sz w:val="24"/>
        </w:rPr>
        <w:t xml:space="preserve">8.4.3.4. AKTĪVA PĀRDOŠANA LAIKĀ, KAD NOTIEK VIENOŠANĀS PAR </w:t>
      </w:r>
      <w:r w:rsidRPr="00B03B51">
        <w:rPr>
          <w:rFonts w:ascii="Times New Roman" w:hAnsi="Times New Roman" w:cs="Times New Roman"/>
          <w:i/>
          <w:iCs/>
          <w:sz w:val="24"/>
        </w:rPr>
        <w:t>REPO</w:t>
      </w:r>
      <w:r w:rsidRPr="00B03B51">
        <w:rPr>
          <w:rFonts w:ascii="Times New Roman" w:hAnsi="Times New Roman" w:cs="Times New Roman"/>
          <w:sz w:val="24"/>
        </w:rPr>
        <w:t xml:space="preserve"> DARĪJUMU</w:t>
      </w:r>
    </w:p>
    <w:p w14:paraId="68A1F4B3"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283567A5"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 xml:space="preserve">19. Iespējams, ka pircējs (“pārņēmējs”/ likviditātes nodrošinātājs) pārdod aktīvu, kas saņemts saskaņā ar </w:t>
      </w:r>
      <w:r w:rsidRPr="00B03B51">
        <w:rPr>
          <w:rFonts w:ascii="Times New Roman" w:hAnsi="Times New Roman" w:cs="Times New Roman"/>
          <w:i/>
          <w:iCs/>
          <w:sz w:val="24"/>
        </w:rPr>
        <w:t>repo</w:t>
      </w:r>
      <w:r w:rsidRPr="00B03B51">
        <w:rPr>
          <w:rFonts w:ascii="Times New Roman" w:hAnsi="Times New Roman" w:cs="Times New Roman"/>
          <w:sz w:val="24"/>
        </w:rPr>
        <w:t xml:space="preserve"> darījumu pirms darījuma otrā posma. Šādā gadījumā pircēja vērtspapīru portfelī veic negatīvu ierakstu, kas ekvivalents naudai, kura saņemta no pārdošanas. Tomēr sākotnējās attiecības, kas izriet no repo darījuma, neizbeidzas, un otrais darījums tās nemaina.</w:t>
      </w:r>
    </w:p>
    <w:p w14:paraId="23D5FF02"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63A4AFF0"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 xml:space="preserve">20. Pagaidu pircēja pienākums ir sniegt “pielīdzināmu” nodrošinājumu. Tāpēc tā bilancē ir jāuzrāda negatīvs aktīvs. Šis ieraksts parāda arī to, ka pašreizējā brīdī pircējs teorētiski ir pakļauts tirgus riskam, kā tas nebija pirms tālākpārdošanas. Tomēr šāds traktējums var radīt zināmas grūtības, kas nav specifiskas darījumiem, kurus uzņemas vispārējās valdības vienības, bet tas ir vispārējs jautājums, kas attiecas uz </w:t>
      </w:r>
      <w:r w:rsidRPr="00B03B51">
        <w:rPr>
          <w:rFonts w:ascii="Times New Roman" w:hAnsi="Times New Roman" w:cs="Times New Roman"/>
          <w:i/>
          <w:iCs/>
          <w:sz w:val="24"/>
        </w:rPr>
        <w:t>repo</w:t>
      </w:r>
      <w:r w:rsidRPr="00B03B51">
        <w:rPr>
          <w:rFonts w:ascii="Times New Roman" w:hAnsi="Times New Roman" w:cs="Times New Roman"/>
          <w:sz w:val="24"/>
        </w:rPr>
        <w:t xml:space="preserve"> darījumiem. Šādus darījumus var būt grūti identificēt, jo īpaši gadījumā ar pārrobežu plūsmām.</w:t>
      </w:r>
    </w:p>
    <w:p w14:paraId="3FFE7D94" w14:textId="77777777" w:rsidR="00443399" w:rsidRPr="00B03B51" w:rsidRDefault="00443399" w:rsidP="00443399">
      <w:pPr>
        <w:jc w:val="both"/>
        <w:rPr>
          <w:rFonts w:ascii="Times New Roman" w:eastAsia="Arial" w:hAnsi="Times New Roman" w:cs="Times New Roman"/>
          <w:noProof/>
          <w:sz w:val="24"/>
          <w:szCs w:val="15"/>
        </w:rPr>
      </w:pPr>
    </w:p>
    <w:p w14:paraId="2124661E" w14:textId="77777777" w:rsidR="00443399" w:rsidRPr="00B03B51" w:rsidRDefault="00443399" w:rsidP="00443399">
      <w:pPr>
        <w:pStyle w:val="Heading6"/>
        <w:keepNext/>
        <w:tabs>
          <w:tab w:val="left" w:pos="1267"/>
        </w:tabs>
        <w:ind w:left="0" w:firstLine="0"/>
        <w:jc w:val="both"/>
        <w:rPr>
          <w:rFonts w:ascii="Times New Roman" w:hAnsi="Times New Roman" w:cs="Times New Roman"/>
          <w:noProof/>
          <w:sz w:val="24"/>
        </w:rPr>
      </w:pPr>
      <w:r w:rsidRPr="00B03B51">
        <w:rPr>
          <w:rFonts w:ascii="Times New Roman" w:hAnsi="Times New Roman" w:cs="Times New Roman"/>
          <w:sz w:val="24"/>
        </w:rPr>
        <w:t>8.4.3.5. VĒRTSPAPĪRU AIZDEVUMS</w:t>
      </w:r>
    </w:p>
    <w:p w14:paraId="0C6E4E17" w14:textId="77777777" w:rsidR="00443399" w:rsidRPr="00B03B51" w:rsidRDefault="00443399" w:rsidP="00443399">
      <w:pPr>
        <w:pStyle w:val="BodyText"/>
        <w:keepNext/>
        <w:tabs>
          <w:tab w:val="left" w:pos="843"/>
        </w:tabs>
        <w:spacing w:before="0"/>
        <w:ind w:left="0" w:firstLine="0"/>
        <w:jc w:val="both"/>
        <w:rPr>
          <w:rFonts w:ascii="Times New Roman" w:hAnsi="Times New Roman" w:cs="Times New Roman"/>
          <w:noProof/>
          <w:sz w:val="24"/>
        </w:rPr>
      </w:pPr>
    </w:p>
    <w:p w14:paraId="7EB67CE0" w14:textId="77777777" w:rsidR="00443399" w:rsidRPr="00B03B51" w:rsidRDefault="00443399" w:rsidP="00443399">
      <w:pPr>
        <w:pStyle w:val="BodyText"/>
        <w:keepN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21. Investori vērtspapīru tirgū dažādu iemeslu dēļ var plaši izmantot arī vērtspapīru aizdevumu, piemēram, lai segtu īstermiņa pozīcijas (kā pārdevējam nepiederošu vērtspapīru pārdevuma gadījumā) vai atvasināto instrumentu pārvaldības nolūkā.</w:t>
      </w:r>
    </w:p>
    <w:p w14:paraId="39E1AA3E"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214CD295"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22. Ja pastāv efektīva naudas plūsma, no ekonomiskā viedokļa ir skaidrs, ka šis gadījums ir ļoti līdzīgs pārdošanas ar atpirkšanu līguma darījumam. Faktiski nav noteikta ekonomisko īpašumtiesību maiņa, un pastāv stingras saistības attiecībā uz reversu darījumu ar vērtspapīriem. Tādējādi darījums jāieraksta aizdevumos vai noguldījumos saskaņā ar iepriekš minētajiem vispārējiem noteikumiem, jo īpaši, ja nacionālajos kontos nav darījumu ar vērtspapīriem. Šajā gadījumā arī pircēja vērtspapīru portfelī jāveic negatīvs ieraksts.</w:t>
      </w:r>
    </w:p>
    <w:p w14:paraId="1B37719A" w14:textId="77777777" w:rsidR="00443399" w:rsidRPr="00B03B51" w:rsidRDefault="00443399" w:rsidP="00443399">
      <w:pPr>
        <w:tabs>
          <w:tab w:val="left" w:pos="843"/>
        </w:tabs>
        <w:jc w:val="both"/>
        <w:rPr>
          <w:rFonts w:ascii="Times New Roman" w:hAnsi="Times New Roman" w:cs="Times New Roman"/>
          <w:noProof/>
          <w:sz w:val="24"/>
        </w:rPr>
      </w:pPr>
    </w:p>
    <w:p w14:paraId="390DE1C2" w14:textId="77777777" w:rsidR="00443399" w:rsidRPr="00B03B51" w:rsidRDefault="00443399" w:rsidP="00443399">
      <w:pPr>
        <w:tabs>
          <w:tab w:val="left" w:pos="843"/>
        </w:tabs>
        <w:jc w:val="both"/>
        <w:rPr>
          <w:rFonts w:ascii="Times New Roman" w:eastAsia="Arial" w:hAnsi="Times New Roman" w:cs="Times New Roman"/>
          <w:noProof/>
          <w:sz w:val="24"/>
          <w:szCs w:val="19"/>
        </w:rPr>
      </w:pPr>
      <w:r w:rsidRPr="00B03B51">
        <w:rPr>
          <w:rFonts w:ascii="Times New Roman" w:hAnsi="Times New Roman" w:cs="Times New Roman"/>
          <w:sz w:val="24"/>
        </w:rPr>
        <w:t xml:space="preserve">23. Pretēji minētajam, vērtspapīru aizdevums bez naudas plūsmas (parasti uz ļoti īsu maksājuma termiņu) nav jātraktē kā pārdošanas ar atpirkšanu līgums, kā norādīts EKS 2010 5.131. punktā: </w:t>
      </w:r>
      <w:r w:rsidRPr="00B03B51">
        <w:rPr>
          <w:rFonts w:ascii="Times New Roman" w:hAnsi="Times New Roman" w:cs="Times New Roman"/>
          <w:i/>
          <w:iCs/>
          <w:sz w:val="24"/>
        </w:rPr>
        <w:t>Ja vērtspapīru aizdošanas darījums neietver naudas piegādi, t. i., ja viens vērtspapīrs tiek apmainīts pret otru vai ja viens darījuma partneris sniedz vērtspapīru bez nodrošinājuma, tad nav darījuma ar aizdevumiem, noguldījumiem vai vērtspapīriem.</w:t>
      </w:r>
    </w:p>
    <w:p w14:paraId="649AADE2"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1D0DB236"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24. Parasti līgumslēdzēju pušu grāmatvedības sistēmā tas bilanci neietekmē, bet, iespējams, gaidāmā reversa darījuma ierakstīšanai pastāv “ārpusbilances” ieraksts. Tomēr dažās valstīs portfeļi darījumu atspoguļo tieši, t. i., tie mainās atkarībā no darījuma. Jānošķir divi turpmākie gadījumi.</w:t>
      </w:r>
    </w:p>
    <w:p w14:paraId="317A85CE"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446BEE8D" w14:textId="77777777" w:rsidR="00443399" w:rsidRPr="00B03B51" w:rsidRDefault="00443399" w:rsidP="00D939EF">
      <w:pPr>
        <w:pStyle w:val="BodyText"/>
        <w:numPr>
          <w:ilvl w:val="0"/>
          <w:numId w:val="36"/>
        </w:numPr>
        <w:spacing w:before="0"/>
        <w:ind w:left="426" w:hanging="425"/>
        <w:jc w:val="both"/>
        <w:rPr>
          <w:rFonts w:ascii="Times New Roman" w:hAnsi="Times New Roman" w:cs="Times New Roman"/>
          <w:noProof/>
          <w:sz w:val="24"/>
        </w:rPr>
      </w:pPr>
      <w:r w:rsidRPr="00B03B51">
        <w:rPr>
          <w:rFonts w:ascii="Times New Roman" w:hAnsi="Times New Roman" w:cs="Times New Roman"/>
          <w:sz w:val="24"/>
        </w:rPr>
        <w:t>Ja ir atšķirība starp vērtspapīru aizdevumu ar naudu un bez naudas, aizdevuma bez naudas ekvivalentu darījumu pušu bilancē labāk būtu klasificēt postenī “citi debitoru/kreditoru parādi” (un konsekvences dēļ neveic nekādu ierakstu noguldījumu vai aizdevumu ailē). Nacionālajos kontos neko neieraksta.</w:t>
      </w:r>
    </w:p>
    <w:p w14:paraId="7BAB7255" w14:textId="77777777" w:rsidR="00443399" w:rsidRPr="00B03B51" w:rsidRDefault="00443399" w:rsidP="00D939EF">
      <w:pPr>
        <w:pStyle w:val="BodyText"/>
        <w:numPr>
          <w:ilvl w:val="0"/>
          <w:numId w:val="36"/>
        </w:numPr>
        <w:spacing w:before="0"/>
        <w:ind w:left="426" w:hanging="425"/>
        <w:jc w:val="both"/>
        <w:rPr>
          <w:rFonts w:ascii="Times New Roman" w:hAnsi="Times New Roman" w:cs="Times New Roman"/>
          <w:noProof/>
          <w:sz w:val="24"/>
        </w:rPr>
      </w:pPr>
      <w:r w:rsidRPr="00B03B51">
        <w:rPr>
          <w:rFonts w:ascii="Times New Roman" w:hAnsi="Times New Roman" w:cs="Times New Roman"/>
          <w:sz w:val="24"/>
        </w:rPr>
        <w:t>Ja šādas atšķirības nav, traktējums būs atkarīgs no katra darījuma veida aprēķinātās daļas (ar īpašas informācijas starpniecību) kopējos skaitļos. Tomēr šķiet, ka tikpat labi par beznaudas darījumiem var uzskatīt tikai dažus darījumus un tādējādi kopumā piemērot “</w:t>
      </w:r>
      <w:r w:rsidRPr="00B03B51">
        <w:rPr>
          <w:rFonts w:ascii="Times New Roman" w:hAnsi="Times New Roman" w:cs="Times New Roman"/>
          <w:i/>
          <w:iCs/>
          <w:sz w:val="24"/>
        </w:rPr>
        <w:t>repo</w:t>
      </w:r>
      <w:r w:rsidRPr="00B03B51">
        <w:rPr>
          <w:rFonts w:ascii="Times New Roman" w:hAnsi="Times New Roman" w:cs="Times New Roman"/>
          <w:sz w:val="24"/>
        </w:rPr>
        <w:t xml:space="preserve"> darījumu veida” traktējumu.</w:t>
      </w:r>
    </w:p>
    <w:p w14:paraId="7B4E2248" w14:textId="77777777" w:rsidR="00443399" w:rsidRPr="00B03B51" w:rsidRDefault="00443399" w:rsidP="00443399">
      <w:pPr>
        <w:jc w:val="both"/>
        <w:rPr>
          <w:rFonts w:ascii="Times New Roman" w:eastAsia="Arial" w:hAnsi="Times New Roman" w:cs="Times New Roman"/>
          <w:noProof/>
          <w:sz w:val="24"/>
          <w:szCs w:val="19"/>
        </w:rPr>
      </w:pPr>
    </w:p>
    <w:p w14:paraId="7F862AA6" w14:textId="77777777" w:rsidR="00443399" w:rsidRPr="00B03B51" w:rsidRDefault="00443399" w:rsidP="00443399">
      <w:pPr>
        <w:pStyle w:val="Heading3"/>
        <w:tabs>
          <w:tab w:val="left" w:pos="1267"/>
        </w:tabs>
        <w:ind w:left="0" w:firstLine="0"/>
        <w:jc w:val="both"/>
        <w:rPr>
          <w:rFonts w:ascii="Times New Roman" w:hAnsi="Times New Roman" w:cs="Times New Roman"/>
          <w:noProof/>
          <w:sz w:val="24"/>
        </w:rPr>
      </w:pPr>
      <w:bookmarkStart w:id="642" w:name="_Toc67565226"/>
      <w:r w:rsidRPr="00B03B51">
        <w:rPr>
          <w:rFonts w:ascii="Times New Roman" w:hAnsi="Times New Roman" w:cs="Times New Roman"/>
          <w:sz w:val="24"/>
        </w:rPr>
        <w:t>8.4.4. Ietekme uz valdības parādu</w:t>
      </w:r>
      <w:bookmarkEnd w:id="642"/>
    </w:p>
    <w:p w14:paraId="591F244E"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1AC0A3DF"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25. Ietekme uz vispārējās valdības parādu saistībā ar šīs kategorijas finanšu instrumentu var būt dažāda.</w:t>
      </w:r>
    </w:p>
    <w:p w14:paraId="6B5B6C30"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2D5266E6" w14:textId="77777777" w:rsidR="00443399" w:rsidRPr="00B03B51" w:rsidRDefault="00443399" w:rsidP="00D939EF">
      <w:pPr>
        <w:pStyle w:val="BodyText"/>
        <w:numPr>
          <w:ilvl w:val="0"/>
          <w:numId w:val="35"/>
        </w:numPr>
        <w:spacing w:before="0"/>
        <w:ind w:left="426" w:hanging="425"/>
        <w:jc w:val="both"/>
        <w:rPr>
          <w:rFonts w:ascii="Times New Roman" w:hAnsi="Times New Roman" w:cs="Times New Roman"/>
          <w:noProof/>
          <w:sz w:val="24"/>
        </w:rPr>
      </w:pPr>
      <w:r w:rsidRPr="00B03B51">
        <w:rPr>
          <w:rFonts w:ascii="Times New Roman" w:hAnsi="Times New Roman" w:cs="Times New Roman"/>
          <w:sz w:val="24"/>
        </w:rPr>
        <w:t>Ja vienība, kas atrodas vispārējās valdības sektorā, ir “atsavinātāja”, vērtspapīru pagaidu pārdevēja vai “naudas saņēmēja”, tas ietekmē bruto parādu, jo posteni “aizdevumi” (AF.4) palielina līdzīgi kā aizņemtos līdzekļus. Protams, ja darījuma partneris ir cita vienība, kas klasificēta vispārējās valdības sektorā, tad konsolidētā līmenī ietekme ir nulle.</w:t>
      </w:r>
    </w:p>
    <w:p w14:paraId="4D4249F7" w14:textId="77777777" w:rsidR="00443399" w:rsidRPr="00B03B51" w:rsidRDefault="00443399" w:rsidP="00D939EF">
      <w:pPr>
        <w:pStyle w:val="BodyText"/>
        <w:numPr>
          <w:ilvl w:val="0"/>
          <w:numId w:val="35"/>
        </w:numPr>
        <w:spacing w:before="0"/>
        <w:ind w:left="426" w:hanging="425"/>
        <w:jc w:val="both"/>
        <w:rPr>
          <w:rFonts w:ascii="Times New Roman" w:hAnsi="Times New Roman" w:cs="Times New Roman"/>
          <w:noProof/>
          <w:sz w:val="24"/>
        </w:rPr>
      </w:pPr>
      <w:r w:rsidRPr="00B03B51">
        <w:rPr>
          <w:rFonts w:ascii="Times New Roman" w:hAnsi="Times New Roman" w:cs="Times New Roman"/>
          <w:sz w:val="24"/>
        </w:rPr>
        <w:t>Ja valdība ir “pārņēmēja”, kas piešķir likviditāti un nodrošina līdzekļus ekonomikas vienībai, kura klasificēta citā sektorā, piemēram, monetārai finanšu iestādei, tas neietekmē konsolidēto bruto parādu, bet rada izmaiņas aktīvu struktūrā.</w:t>
      </w:r>
    </w:p>
    <w:p w14:paraId="031C5C5B" w14:textId="77777777" w:rsidR="00443399" w:rsidRPr="00B03B51" w:rsidRDefault="00443399" w:rsidP="00D939EF">
      <w:pPr>
        <w:pStyle w:val="BodyText"/>
        <w:numPr>
          <w:ilvl w:val="0"/>
          <w:numId w:val="35"/>
        </w:numPr>
        <w:spacing w:before="0"/>
        <w:ind w:left="426" w:hanging="425"/>
        <w:jc w:val="both"/>
        <w:rPr>
          <w:rFonts w:ascii="Times New Roman" w:hAnsi="Times New Roman" w:cs="Times New Roman"/>
          <w:noProof/>
          <w:sz w:val="24"/>
        </w:rPr>
      </w:pPr>
      <w:r w:rsidRPr="00B03B51">
        <w:rPr>
          <w:rFonts w:ascii="Times New Roman" w:hAnsi="Times New Roman" w:cs="Times New Roman"/>
          <w:sz w:val="24"/>
        </w:rPr>
        <w:t xml:space="preserve">Ja darījumu neatzīst vai vēl netraktē kā </w:t>
      </w:r>
      <w:r w:rsidRPr="00B03B51">
        <w:rPr>
          <w:rFonts w:ascii="Times New Roman" w:hAnsi="Times New Roman" w:cs="Times New Roman"/>
          <w:i/>
          <w:iCs/>
          <w:sz w:val="24"/>
        </w:rPr>
        <w:t>repo</w:t>
      </w:r>
      <w:r w:rsidRPr="00B03B51">
        <w:rPr>
          <w:rFonts w:ascii="Times New Roman" w:hAnsi="Times New Roman" w:cs="Times New Roman"/>
          <w:sz w:val="24"/>
        </w:rPr>
        <w:t xml:space="preserve"> darījumu, kurā neparedz stingras saistības attiecībā uz reverso darījumu, notiek aktīvu ekonomisko īpašumtiesību maiņa. Valdības parāds mainītos vienīgi tad, ja vienība, kas klasificēta vispārējās valdības sektorā, veiktu valdības vērtspapīru aizdevumu vai aizņēmumu ar darījumu partneri, kurš klasificēts ārpus vispārējās valdības sektora.</w:t>
      </w:r>
    </w:p>
    <w:p w14:paraId="720FB771"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p>
    <w:p w14:paraId="5FFD6695" w14:textId="77777777" w:rsidR="00443399" w:rsidRPr="00B03B51" w:rsidRDefault="00443399" w:rsidP="00443399">
      <w:pPr>
        <w:pStyle w:val="BodyText"/>
        <w:tabs>
          <w:tab w:val="left" w:pos="843"/>
        </w:tabs>
        <w:spacing w:before="0"/>
        <w:ind w:left="0" w:firstLine="0"/>
        <w:jc w:val="both"/>
        <w:rPr>
          <w:rFonts w:ascii="Times New Roman" w:hAnsi="Times New Roman" w:cs="Times New Roman"/>
          <w:noProof/>
          <w:sz w:val="24"/>
        </w:rPr>
      </w:pPr>
      <w:r w:rsidRPr="00B03B51">
        <w:rPr>
          <w:rFonts w:ascii="Times New Roman" w:hAnsi="Times New Roman" w:cs="Times New Roman"/>
          <w:sz w:val="24"/>
        </w:rPr>
        <w:t>26. Šāda ietekme izriet no konsolidācijas noteikumiem. Tādējādi konsolidētais parāds attiecīgi palielinās, ja valsts vienība ir aizdevējs (aktīvi samazinās) vai samazinās, ja valsts vienība ir aizņēmēja (aktīvi palielinās). Darījumi ar citiem vērtspapīriem netiek ietekmēti, ja neatkarīgi no iesaistītā instrumenta tie notiek ar vienību, kas klasificēta vispārējās valdības sektorā.</w:t>
      </w:r>
    </w:p>
    <w:p w14:paraId="17554EB4" w14:textId="77777777" w:rsidR="00443399" w:rsidRPr="00B03B51" w:rsidRDefault="00443399" w:rsidP="00443399">
      <w:pPr>
        <w:jc w:val="both"/>
        <w:rPr>
          <w:rFonts w:ascii="Times New Roman" w:eastAsia="Arial" w:hAnsi="Times New Roman" w:cs="Times New Roman"/>
          <w:noProof/>
          <w:sz w:val="24"/>
          <w:szCs w:val="19"/>
        </w:rPr>
      </w:pPr>
    </w:p>
    <w:p w14:paraId="3EB90A6F" w14:textId="77777777" w:rsidR="00443399" w:rsidRPr="00B03B51" w:rsidRDefault="00443399" w:rsidP="00443399">
      <w:pPr>
        <w:pStyle w:val="Heading3"/>
        <w:tabs>
          <w:tab w:val="left" w:pos="1267"/>
        </w:tabs>
        <w:ind w:left="0" w:firstLine="0"/>
        <w:jc w:val="both"/>
        <w:rPr>
          <w:rFonts w:ascii="Times New Roman" w:hAnsi="Times New Roman" w:cs="Times New Roman"/>
          <w:noProof/>
          <w:sz w:val="24"/>
        </w:rPr>
      </w:pPr>
      <w:bookmarkStart w:id="643" w:name="_Toc67565227"/>
      <w:r w:rsidRPr="00B03B51">
        <w:rPr>
          <w:rFonts w:ascii="Times New Roman" w:hAnsi="Times New Roman" w:cs="Times New Roman"/>
          <w:sz w:val="24"/>
        </w:rPr>
        <w:t>8.4.5. Uzskaites piemēri</w:t>
      </w:r>
      <w:bookmarkEnd w:id="643"/>
    </w:p>
    <w:p w14:paraId="5BD22342" w14:textId="77777777" w:rsidR="00443399" w:rsidRPr="00B03B51" w:rsidRDefault="00443399" w:rsidP="00443399">
      <w:pPr>
        <w:pStyle w:val="BodyText"/>
        <w:spacing w:before="0"/>
        <w:ind w:left="0" w:firstLine="0"/>
        <w:jc w:val="both"/>
        <w:rPr>
          <w:rFonts w:ascii="Times New Roman" w:hAnsi="Times New Roman" w:cs="Times New Roman"/>
          <w:noProof/>
          <w:sz w:val="24"/>
        </w:rPr>
      </w:pPr>
    </w:p>
    <w:p w14:paraId="279F7A23" w14:textId="77777777" w:rsidR="00443399" w:rsidRPr="00B03B51" w:rsidRDefault="00443399" w:rsidP="00443399">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t xml:space="preserve">Valdība noslēdz </w:t>
      </w:r>
      <w:r w:rsidRPr="00B03B51">
        <w:rPr>
          <w:rFonts w:ascii="Times New Roman" w:hAnsi="Times New Roman" w:cs="Times New Roman"/>
          <w:b/>
          <w:bCs/>
          <w:sz w:val="24"/>
        </w:rPr>
        <w:t>pārdošanas ar atpirkšanu līgumu</w:t>
      </w:r>
      <w:r w:rsidRPr="00B03B51">
        <w:rPr>
          <w:rFonts w:ascii="Times New Roman" w:hAnsi="Times New Roman" w:cs="Times New Roman"/>
          <w:sz w:val="24"/>
        </w:rPr>
        <w:t xml:space="preserve"> (par valsts kases zīmēm) ar banku; darījuma vērtība ir 100 naudas vienības. Sākotnējais maksājuma termiņš ir 3 mēneši. Atpirkšanas cena ir 101 naudas vienība.</w:t>
      </w:r>
    </w:p>
    <w:p w14:paraId="2C1D5E6B" w14:textId="77777777" w:rsidR="00443399" w:rsidRPr="00B03B51" w:rsidRDefault="00443399" w:rsidP="00443399">
      <w:pPr>
        <w:jc w:val="both"/>
        <w:rPr>
          <w:rFonts w:ascii="Times New Roman" w:hAnsi="Times New Roman" w:cs="Times New Roman"/>
          <w:noProof/>
          <w:sz w:val="24"/>
        </w:rPr>
      </w:pPr>
    </w:p>
    <w:p w14:paraId="7DBBF035" w14:textId="77777777" w:rsidR="00443399" w:rsidRPr="00B03B51" w:rsidRDefault="00443399" w:rsidP="00443399">
      <w:pPr>
        <w:tabs>
          <w:tab w:val="left" w:pos="843"/>
        </w:tabs>
        <w:jc w:val="both"/>
        <w:rPr>
          <w:rFonts w:ascii="Times New Roman" w:hAnsi="Times New Roman" w:cs="Times New Roman"/>
          <w:b/>
          <w:noProof/>
          <w:sz w:val="24"/>
        </w:rPr>
      </w:pPr>
      <w:r w:rsidRPr="00B03B51">
        <w:rPr>
          <w:rFonts w:ascii="Times New Roman" w:hAnsi="Times New Roman" w:cs="Times New Roman"/>
          <w:b/>
          <w:sz w:val="24"/>
        </w:rPr>
        <w:t>1. Sākumā</w:t>
      </w:r>
    </w:p>
    <w:p w14:paraId="2DFB0A14" w14:textId="77777777" w:rsidR="00443399" w:rsidRPr="00B03B51" w:rsidRDefault="00443399" w:rsidP="00443399">
      <w:pPr>
        <w:jc w:val="both"/>
        <w:rPr>
          <w:rFonts w:ascii="Times New Roman" w:hAnsi="Times New Roman" w:cs="Times New Roman"/>
          <w:noProof/>
          <w:sz w:val="24"/>
        </w:rPr>
      </w:pPr>
    </w:p>
    <w:p w14:paraId="12BE7F9A" w14:textId="77777777" w:rsidR="00443399" w:rsidRPr="00B03B51" w:rsidRDefault="00443399" w:rsidP="00443399">
      <w:pPr>
        <w:jc w:val="center"/>
        <w:rPr>
          <w:rFonts w:ascii="Times New Roman" w:hAnsi="Times New Roman" w:cs="Times New Roman"/>
          <w:noProof/>
          <w:sz w:val="24"/>
        </w:rPr>
      </w:pPr>
      <w:r w:rsidRPr="00B03B51">
        <w:rPr>
          <w:rFonts w:ascii="Times New Roman" w:hAnsi="Times New Roman" w:cs="Times New Roman"/>
          <w:noProof/>
        </w:rPr>
        <w:drawing>
          <wp:inline distT="0" distB="0" distL="0" distR="0" wp14:anchorId="3670E2FE" wp14:editId="23C0F73A">
            <wp:extent cx="5756275" cy="1347470"/>
            <wp:effectExtent l="0" t="0" r="0" b="5080"/>
            <wp:docPr id="106" name="Attēls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2"/>
                    <a:stretch>
                      <a:fillRect/>
                    </a:stretch>
                  </pic:blipFill>
                  <pic:spPr>
                    <a:xfrm>
                      <a:off x="0" y="0"/>
                      <a:ext cx="5756275" cy="1347470"/>
                    </a:xfrm>
                    <a:prstGeom prst="rect">
                      <a:avLst/>
                    </a:prstGeom>
                  </pic:spPr>
                </pic:pic>
              </a:graphicData>
            </a:graphic>
          </wp:inline>
        </w:drawing>
      </w:r>
    </w:p>
    <w:p w14:paraId="313204B9" w14:textId="77777777" w:rsidR="00443399" w:rsidRPr="00B03B51" w:rsidRDefault="00443399" w:rsidP="00443399">
      <w:pPr>
        <w:jc w:val="both"/>
        <w:rPr>
          <w:rFonts w:ascii="Times New Roman" w:eastAsia="Arial" w:hAnsi="Times New Roman" w:cs="Times New Roman"/>
          <w:noProof/>
          <w:sz w:val="24"/>
          <w:szCs w:val="24"/>
        </w:rPr>
      </w:pPr>
    </w:p>
    <w:p w14:paraId="66EBF583" w14:textId="77777777" w:rsidR="00443399" w:rsidRPr="00B03B51" w:rsidRDefault="00443399" w:rsidP="00443399">
      <w:pPr>
        <w:tabs>
          <w:tab w:val="left" w:pos="843"/>
        </w:tabs>
        <w:jc w:val="both"/>
        <w:rPr>
          <w:rFonts w:ascii="Times New Roman" w:hAnsi="Times New Roman" w:cs="Times New Roman"/>
          <w:b/>
          <w:noProof/>
          <w:sz w:val="24"/>
        </w:rPr>
      </w:pPr>
      <w:r w:rsidRPr="00B03B51">
        <w:rPr>
          <w:rFonts w:ascii="Times New Roman" w:hAnsi="Times New Roman" w:cs="Times New Roman"/>
          <w:b/>
          <w:sz w:val="24"/>
        </w:rPr>
        <w:t>2. Atlikušajā periodā</w:t>
      </w:r>
    </w:p>
    <w:p w14:paraId="0536874C" w14:textId="77777777" w:rsidR="00443399" w:rsidRPr="00B03B51" w:rsidRDefault="00443399" w:rsidP="00443399">
      <w:pPr>
        <w:jc w:val="both"/>
        <w:rPr>
          <w:rFonts w:ascii="Times New Roman" w:eastAsia="Arial" w:hAnsi="Times New Roman" w:cs="Times New Roman"/>
          <w:b/>
          <w:bCs/>
          <w:noProof/>
          <w:sz w:val="24"/>
          <w:szCs w:val="10"/>
        </w:rPr>
      </w:pPr>
    </w:p>
    <w:p w14:paraId="17F126E2" w14:textId="77777777" w:rsidR="00443399" w:rsidRPr="00B03B51" w:rsidRDefault="00443399" w:rsidP="00100B51">
      <w:pPr>
        <w:rPr>
          <w:noProof/>
          <w:sz w:val="24"/>
        </w:rPr>
      </w:pPr>
      <w:bookmarkStart w:id="644" w:name="8.5_Keywords_and_references"/>
      <w:bookmarkStart w:id="645" w:name="_bookmark65"/>
      <w:bookmarkStart w:id="646" w:name="_Toc67565228"/>
      <w:bookmarkEnd w:id="644"/>
      <w:bookmarkEnd w:id="645"/>
      <w:r w:rsidRPr="00B03B51">
        <w:rPr>
          <w:noProof/>
        </w:rPr>
        <w:drawing>
          <wp:inline distT="0" distB="0" distL="0" distR="0" wp14:anchorId="3CD93474" wp14:editId="73BE0B72">
            <wp:extent cx="5756275" cy="2337435"/>
            <wp:effectExtent l="0" t="0" r="0" b="5715"/>
            <wp:docPr id="107" name="Attēls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3"/>
                    <a:stretch>
                      <a:fillRect/>
                    </a:stretch>
                  </pic:blipFill>
                  <pic:spPr>
                    <a:xfrm>
                      <a:off x="0" y="0"/>
                      <a:ext cx="5756275" cy="2337435"/>
                    </a:xfrm>
                    <a:prstGeom prst="rect">
                      <a:avLst/>
                    </a:prstGeom>
                  </pic:spPr>
                </pic:pic>
              </a:graphicData>
            </a:graphic>
          </wp:inline>
        </w:drawing>
      </w:r>
      <w:bookmarkEnd w:id="646"/>
    </w:p>
    <w:p w14:paraId="16570727" w14:textId="77777777" w:rsidR="00443399" w:rsidRPr="00B03B51" w:rsidRDefault="00443399" w:rsidP="00443399">
      <w:pPr>
        <w:rPr>
          <w:rFonts w:ascii="Times New Roman" w:eastAsia="Arial" w:hAnsi="Times New Roman" w:cs="Times New Roman"/>
          <w:b/>
          <w:bCs/>
          <w:noProof/>
          <w:sz w:val="24"/>
          <w:szCs w:val="40"/>
        </w:rPr>
      </w:pPr>
      <w:r w:rsidRPr="00B03B51">
        <w:rPr>
          <w:rFonts w:ascii="Times New Roman" w:hAnsi="Times New Roman" w:cs="Times New Roman"/>
        </w:rPr>
        <w:br w:type="page"/>
      </w:r>
    </w:p>
    <w:p w14:paraId="23BA2302" w14:textId="77777777" w:rsidR="00443399" w:rsidRPr="00100B51" w:rsidRDefault="00443399" w:rsidP="00100B51">
      <w:pPr>
        <w:rPr>
          <w:rFonts w:ascii="Times New Roman" w:hAnsi="Times New Roman" w:cs="Times New Roman"/>
          <w:noProof/>
        </w:rPr>
      </w:pPr>
    </w:p>
    <w:p w14:paraId="36DDD446" w14:textId="77777777" w:rsidR="00443399" w:rsidRPr="00B03B51" w:rsidRDefault="00443399" w:rsidP="00443399">
      <w:pPr>
        <w:pStyle w:val="Heading2"/>
        <w:spacing w:before="0"/>
        <w:ind w:left="0" w:firstLine="0"/>
        <w:jc w:val="both"/>
        <w:rPr>
          <w:rFonts w:ascii="Times New Roman" w:hAnsi="Times New Roman" w:cs="Times New Roman"/>
          <w:noProof/>
          <w:sz w:val="28"/>
          <w:szCs w:val="44"/>
        </w:rPr>
      </w:pPr>
      <w:bookmarkStart w:id="647" w:name="_Toc67565229"/>
      <w:r w:rsidRPr="00B03B51">
        <w:rPr>
          <w:rFonts w:ascii="Times New Roman" w:hAnsi="Times New Roman" w:cs="Times New Roman"/>
          <w:sz w:val="28"/>
          <w:szCs w:val="44"/>
        </w:rPr>
        <w:t>8.5. Atslēgvārdi un atsauces</w:t>
      </w:r>
      <w:bookmarkEnd w:id="647"/>
    </w:p>
    <w:p w14:paraId="77256562" w14:textId="77777777" w:rsidR="00443399" w:rsidRPr="00B03B51" w:rsidRDefault="00443399" w:rsidP="00443399">
      <w:pPr>
        <w:jc w:val="both"/>
        <w:rPr>
          <w:rFonts w:ascii="Times New Roman" w:eastAsia="Arial" w:hAnsi="Times New Roman" w:cs="Times New Roman"/>
          <w:b/>
          <w:bCs/>
          <w:noProof/>
          <w:sz w:val="24"/>
          <w:szCs w:val="29"/>
        </w:rPr>
      </w:pPr>
    </w:p>
    <w:tbl>
      <w:tblPr>
        <w:tblW w:w="5000" w:type="pct"/>
        <w:tblCellMar>
          <w:top w:w="28" w:type="dxa"/>
          <w:left w:w="28" w:type="dxa"/>
          <w:bottom w:w="28" w:type="dxa"/>
          <w:right w:w="28" w:type="dxa"/>
        </w:tblCellMar>
        <w:tblLook w:val="01E0" w:firstRow="1" w:lastRow="1" w:firstColumn="1" w:lastColumn="1" w:noHBand="0" w:noVBand="0"/>
      </w:tblPr>
      <w:tblGrid>
        <w:gridCol w:w="4398"/>
        <w:gridCol w:w="4673"/>
      </w:tblGrid>
      <w:tr w:rsidR="00443399" w:rsidRPr="00B03B51" w14:paraId="0C561745" w14:textId="77777777" w:rsidTr="0054365B">
        <w:tc>
          <w:tcPr>
            <w:tcW w:w="2424" w:type="pct"/>
            <w:tcBorders>
              <w:top w:val="nil"/>
              <w:left w:val="nil"/>
              <w:bottom w:val="nil"/>
              <w:right w:val="nil"/>
            </w:tcBorders>
          </w:tcPr>
          <w:p w14:paraId="70AF4647" w14:textId="77777777" w:rsidR="00443399" w:rsidRPr="00B03B51" w:rsidRDefault="00443399" w:rsidP="0054365B">
            <w:pPr>
              <w:pStyle w:val="TableParagraph"/>
              <w:jc w:val="both"/>
              <w:rPr>
                <w:rFonts w:ascii="Times New Roman" w:hAnsi="Times New Roman" w:cs="Times New Roman"/>
                <w:noProof/>
                <w:sz w:val="24"/>
              </w:rPr>
            </w:pPr>
            <w:r w:rsidRPr="00B03B51">
              <w:rPr>
                <w:rFonts w:ascii="Times New Roman" w:hAnsi="Times New Roman" w:cs="Times New Roman"/>
                <w:sz w:val="24"/>
              </w:rPr>
              <w:t>Finanšu aktīvi un pasīvi</w:t>
            </w:r>
          </w:p>
        </w:tc>
        <w:tc>
          <w:tcPr>
            <w:tcW w:w="2576" w:type="pct"/>
            <w:tcBorders>
              <w:top w:val="nil"/>
              <w:left w:val="nil"/>
              <w:bottom w:val="nil"/>
              <w:right w:val="nil"/>
            </w:tcBorders>
          </w:tcPr>
          <w:p w14:paraId="0F27FE5E" w14:textId="77777777" w:rsidR="00443399" w:rsidRPr="00B03B51" w:rsidRDefault="00443399" w:rsidP="0054365B">
            <w:pPr>
              <w:pStyle w:val="TableParagraph"/>
              <w:jc w:val="both"/>
              <w:rPr>
                <w:rFonts w:ascii="Times New Roman" w:hAnsi="Times New Roman" w:cs="Times New Roman"/>
                <w:noProof/>
                <w:sz w:val="24"/>
              </w:rPr>
            </w:pPr>
            <w:r w:rsidRPr="00B03B51">
              <w:rPr>
                <w:rFonts w:ascii="Times New Roman" w:hAnsi="Times New Roman" w:cs="Times New Roman"/>
                <w:sz w:val="24"/>
              </w:rPr>
              <w:t>EKS 2010, 7.01. un turpmākie punkti</w:t>
            </w:r>
          </w:p>
        </w:tc>
      </w:tr>
      <w:tr w:rsidR="00443399" w:rsidRPr="00B03B51" w14:paraId="01587E69" w14:textId="77777777" w:rsidTr="0054365B">
        <w:tc>
          <w:tcPr>
            <w:tcW w:w="2424" w:type="pct"/>
            <w:tcBorders>
              <w:top w:val="nil"/>
              <w:left w:val="nil"/>
              <w:bottom w:val="nil"/>
              <w:right w:val="nil"/>
            </w:tcBorders>
          </w:tcPr>
          <w:p w14:paraId="5DC7719B" w14:textId="77777777" w:rsidR="00443399" w:rsidRPr="00B03B51" w:rsidRDefault="00443399" w:rsidP="0054365B">
            <w:pPr>
              <w:pStyle w:val="TableParagraph"/>
              <w:jc w:val="both"/>
              <w:rPr>
                <w:rFonts w:ascii="Times New Roman" w:hAnsi="Times New Roman" w:cs="Times New Roman"/>
                <w:noProof/>
                <w:sz w:val="24"/>
              </w:rPr>
            </w:pPr>
            <w:r w:rsidRPr="00B03B51">
              <w:rPr>
                <w:rFonts w:ascii="Times New Roman" w:hAnsi="Times New Roman" w:cs="Times New Roman"/>
                <w:sz w:val="24"/>
              </w:rPr>
              <w:t>Finanšu aktīvu un pasīvu novērtēšana</w:t>
            </w:r>
          </w:p>
        </w:tc>
        <w:tc>
          <w:tcPr>
            <w:tcW w:w="2576" w:type="pct"/>
            <w:tcBorders>
              <w:top w:val="nil"/>
              <w:left w:val="nil"/>
              <w:bottom w:val="nil"/>
              <w:right w:val="nil"/>
            </w:tcBorders>
          </w:tcPr>
          <w:p w14:paraId="475E2259" w14:textId="77777777" w:rsidR="00443399" w:rsidRPr="00B03B51" w:rsidRDefault="00443399" w:rsidP="0054365B">
            <w:pPr>
              <w:pStyle w:val="TableParagraph"/>
              <w:jc w:val="both"/>
              <w:rPr>
                <w:rFonts w:ascii="Times New Roman" w:hAnsi="Times New Roman" w:cs="Times New Roman"/>
                <w:noProof/>
                <w:sz w:val="24"/>
              </w:rPr>
            </w:pPr>
            <w:r w:rsidRPr="00B03B51">
              <w:rPr>
                <w:rFonts w:ascii="Times New Roman" w:hAnsi="Times New Roman" w:cs="Times New Roman"/>
                <w:sz w:val="24"/>
              </w:rPr>
              <w:t>EKS 2010, 7.33. un turpmākie punkti</w:t>
            </w:r>
          </w:p>
        </w:tc>
      </w:tr>
      <w:tr w:rsidR="00443399" w:rsidRPr="00B03B51" w14:paraId="75512A16" w14:textId="77777777" w:rsidTr="0054365B">
        <w:tc>
          <w:tcPr>
            <w:tcW w:w="2424" w:type="pct"/>
            <w:tcBorders>
              <w:top w:val="nil"/>
              <w:left w:val="nil"/>
              <w:bottom w:val="nil"/>
              <w:right w:val="nil"/>
            </w:tcBorders>
          </w:tcPr>
          <w:p w14:paraId="3AF63FF6" w14:textId="77777777" w:rsidR="00443399" w:rsidRPr="00B03B51" w:rsidRDefault="00443399" w:rsidP="0054365B">
            <w:pPr>
              <w:pStyle w:val="TableParagraph"/>
              <w:jc w:val="both"/>
              <w:rPr>
                <w:rFonts w:ascii="Times New Roman" w:hAnsi="Times New Roman" w:cs="Times New Roman"/>
                <w:noProof/>
                <w:sz w:val="24"/>
              </w:rPr>
            </w:pPr>
            <w:r w:rsidRPr="00B03B51">
              <w:rPr>
                <w:rFonts w:ascii="Times New Roman" w:hAnsi="Times New Roman" w:cs="Times New Roman"/>
                <w:sz w:val="24"/>
              </w:rPr>
              <w:t>Valūta un noguldījumi (AF.2)</w:t>
            </w:r>
          </w:p>
        </w:tc>
        <w:tc>
          <w:tcPr>
            <w:tcW w:w="2576" w:type="pct"/>
            <w:tcBorders>
              <w:top w:val="nil"/>
              <w:left w:val="nil"/>
              <w:bottom w:val="nil"/>
              <w:right w:val="nil"/>
            </w:tcBorders>
          </w:tcPr>
          <w:p w14:paraId="14009497" w14:textId="77777777" w:rsidR="00443399" w:rsidRPr="00B03B51" w:rsidRDefault="00443399" w:rsidP="0054365B">
            <w:pPr>
              <w:pStyle w:val="TableParagraph"/>
              <w:jc w:val="both"/>
              <w:rPr>
                <w:rFonts w:ascii="Times New Roman" w:hAnsi="Times New Roman" w:cs="Times New Roman"/>
                <w:noProof/>
                <w:sz w:val="24"/>
              </w:rPr>
            </w:pPr>
            <w:r w:rsidRPr="00B03B51">
              <w:rPr>
                <w:rFonts w:ascii="Times New Roman" w:hAnsi="Times New Roman" w:cs="Times New Roman"/>
                <w:sz w:val="24"/>
              </w:rPr>
              <w:t>EKS 2010, 7.64.–7.66. punkts</w:t>
            </w:r>
          </w:p>
        </w:tc>
      </w:tr>
      <w:tr w:rsidR="00443399" w:rsidRPr="00B03B51" w14:paraId="137D3D31" w14:textId="77777777" w:rsidTr="0054365B">
        <w:tc>
          <w:tcPr>
            <w:tcW w:w="2424" w:type="pct"/>
            <w:tcBorders>
              <w:top w:val="nil"/>
              <w:left w:val="nil"/>
              <w:bottom w:val="nil"/>
              <w:right w:val="nil"/>
            </w:tcBorders>
          </w:tcPr>
          <w:p w14:paraId="45C887E7" w14:textId="77777777" w:rsidR="00443399" w:rsidRPr="00B03B51" w:rsidRDefault="00443399" w:rsidP="0054365B">
            <w:pPr>
              <w:pStyle w:val="TableParagraph"/>
              <w:jc w:val="both"/>
              <w:rPr>
                <w:rFonts w:ascii="Times New Roman" w:hAnsi="Times New Roman" w:cs="Times New Roman"/>
                <w:noProof/>
                <w:sz w:val="24"/>
              </w:rPr>
            </w:pPr>
            <w:r w:rsidRPr="00B03B51">
              <w:rPr>
                <w:rFonts w:ascii="Times New Roman" w:hAnsi="Times New Roman" w:cs="Times New Roman"/>
                <w:sz w:val="24"/>
              </w:rPr>
              <w:t>Parāda vērtspapīri (AF.3)</w:t>
            </w:r>
          </w:p>
        </w:tc>
        <w:tc>
          <w:tcPr>
            <w:tcW w:w="2576" w:type="pct"/>
            <w:tcBorders>
              <w:top w:val="nil"/>
              <w:left w:val="nil"/>
              <w:bottom w:val="nil"/>
              <w:right w:val="nil"/>
            </w:tcBorders>
          </w:tcPr>
          <w:p w14:paraId="391270C6" w14:textId="77777777" w:rsidR="00443399" w:rsidRPr="00B03B51" w:rsidRDefault="00443399" w:rsidP="0054365B">
            <w:pPr>
              <w:pStyle w:val="TableParagraph"/>
              <w:jc w:val="both"/>
              <w:rPr>
                <w:rFonts w:ascii="Times New Roman" w:hAnsi="Times New Roman" w:cs="Times New Roman"/>
                <w:noProof/>
                <w:sz w:val="24"/>
              </w:rPr>
            </w:pPr>
            <w:r w:rsidRPr="00B03B51">
              <w:rPr>
                <w:rFonts w:ascii="Times New Roman" w:hAnsi="Times New Roman" w:cs="Times New Roman"/>
                <w:sz w:val="24"/>
              </w:rPr>
              <w:t>EKS 2010, 7.67.–7.69. punkts</w:t>
            </w:r>
          </w:p>
        </w:tc>
      </w:tr>
      <w:tr w:rsidR="00443399" w:rsidRPr="00B03B51" w14:paraId="5D833485" w14:textId="77777777" w:rsidTr="0054365B">
        <w:tc>
          <w:tcPr>
            <w:tcW w:w="2424" w:type="pct"/>
            <w:tcBorders>
              <w:top w:val="nil"/>
              <w:left w:val="nil"/>
              <w:bottom w:val="nil"/>
              <w:right w:val="nil"/>
            </w:tcBorders>
          </w:tcPr>
          <w:p w14:paraId="46A12B6F" w14:textId="77777777" w:rsidR="00443399" w:rsidRPr="00B03B51" w:rsidRDefault="00443399" w:rsidP="0054365B">
            <w:pPr>
              <w:pStyle w:val="TableParagraph"/>
              <w:jc w:val="both"/>
              <w:rPr>
                <w:rFonts w:ascii="Times New Roman" w:hAnsi="Times New Roman" w:cs="Times New Roman"/>
                <w:noProof/>
                <w:sz w:val="24"/>
              </w:rPr>
            </w:pPr>
            <w:r w:rsidRPr="00B03B51">
              <w:rPr>
                <w:rFonts w:ascii="Times New Roman" w:hAnsi="Times New Roman" w:cs="Times New Roman"/>
                <w:sz w:val="24"/>
              </w:rPr>
              <w:t>Aizdevumi (AF.4)</w:t>
            </w:r>
          </w:p>
        </w:tc>
        <w:tc>
          <w:tcPr>
            <w:tcW w:w="2576" w:type="pct"/>
            <w:tcBorders>
              <w:top w:val="nil"/>
              <w:left w:val="nil"/>
              <w:bottom w:val="nil"/>
              <w:right w:val="nil"/>
            </w:tcBorders>
          </w:tcPr>
          <w:p w14:paraId="300C28BA" w14:textId="77777777" w:rsidR="00443399" w:rsidRPr="00B03B51" w:rsidRDefault="00443399" w:rsidP="0054365B">
            <w:pPr>
              <w:pStyle w:val="TableParagraph"/>
              <w:jc w:val="both"/>
              <w:rPr>
                <w:rFonts w:ascii="Times New Roman" w:hAnsi="Times New Roman" w:cs="Times New Roman"/>
                <w:noProof/>
                <w:sz w:val="24"/>
              </w:rPr>
            </w:pPr>
            <w:r w:rsidRPr="00B03B51">
              <w:rPr>
                <w:rFonts w:ascii="Times New Roman" w:hAnsi="Times New Roman" w:cs="Times New Roman"/>
                <w:sz w:val="24"/>
              </w:rPr>
              <w:t>EKS 2010, 7.70. punkts</w:t>
            </w:r>
          </w:p>
        </w:tc>
      </w:tr>
      <w:tr w:rsidR="00443399" w:rsidRPr="00B03B51" w14:paraId="531CA7C6" w14:textId="77777777" w:rsidTr="0054365B">
        <w:tc>
          <w:tcPr>
            <w:tcW w:w="2424" w:type="pct"/>
            <w:tcBorders>
              <w:top w:val="nil"/>
              <w:left w:val="nil"/>
              <w:bottom w:val="nil"/>
              <w:right w:val="nil"/>
            </w:tcBorders>
          </w:tcPr>
          <w:p w14:paraId="0D82C110" w14:textId="77777777" w:rsidR="00443399" w:rsidRPr="00B03B51" w:rsidRDefault="00443399" w:rsidP="0054365B">
            <w:pPr>
              <w:pStyle w:val="TableParagraph"/>
              <w:jc w:val="both"/>
              <w:rPr>
                <w:rFonts w:ascii="Times New Roman" w:hAnsi="Times New Roman" w:cs="Times New Roman"/>
                <w:noProof/>
                <w:sz w:val="24"/>
              </w:rPr>
            </w:pPr>
            <w:r w:rsidRPr="00B03B51">
              <w:rPr>
                <w:rFonts w:ascii="Times New Roman" w:hAnsi="Times New Roman" w:cs="Times New Roman"/>
                <w:sz w:val="24"/>
              </w:rPr>
              <w:t>Atvasinātie finanšu instrumenti (AF.7)</w:t>
            </w:r>
          </w:p>
        </w:tc>
        <w:tc>
          <w:tcPr>
            <w:tcW w:w="2576" w:type="pct"/>
            <w:tcBorders>
              <w:top w:val="nil"/>
              <w:left w:val="nil"/>
              <w:bottom w:val="nil"/>
              <w:right w:val="nil"/>
            </w:tcBorders>
          </w:tcPr>
          <w:p w14:paraId="6C35481E" w14:textId="77777777" w:rsidR="00443399" w:rsidRPr="00B03B51" w:rsidRDefault="00443399" w:rsidP="0054365B">
            <w:pPr>
              <w:pStyle w:val="TableParagraph"/>
              <w:jc w:val="both"/>
              <w:rPr>
                <w:rFonts w:ascii="Times New Roman" w:hAnsi="Times New Roman" w:cs="Times New Roman"/>
                <w:noProof/>
                <w:sz w:val="24"/>
              </w:rPr>
            </w:pPr>
            <w:r w:rsidRPr="00B03B51">
              <w:rPr>
                <w:rFonts w:ascii="Times New Roman" w:hAnsi="Times New Roman" w:cs="Times New Roman"/>
                <w:sz w:val="24"/>
              </w:rPr>
              <w:t>EKS 2010, 7.86.–7.89., 20.187. punkts</w:t>
            </w:r>
          </w:p>
        </w:tc>
      </w:tr>
      <w:tr w:rsidR="00443399" w:rsidRPr="00B03B51" w14:paraId="6865A0EE" w14:textId="77777777" w:rsidTr="0054365B">
        <w:tc>
          <w:tcPr>
            <w:tcW w:w="2424" w:type="pct"/>
            <w:tcBorders>
              <w:top w:val="nil"/>
              <w:left w:val="nil"/>
              <w:bottom w:val="nil"/>
              <w:right w:val="nil"/>
            </w:tcBorders>
          </w:tcPr>
          <w:p w14:paraId="0D5D40F5" w14:textId="77777777" w:rsidR="00443399" w:rsidRPr="00B03B51" w:rsidRDefault="00443399" w:rsidP="0054365B">
            <w:pPr>
              <w:pStyle w:val="TableParagraph"/>
              <w:jc w:val="both"/>
              <w:rPr>
                <w:rFonts w:ascii="Times New Roman" w:hAnsi="Times New Roman" w:cs="Times New Roman"/>
                <w:noProof/>
                <w:sz w:val="24"/>
              </w:rPr>
            </w:pPr>
            <w:r w:rsidRPr="00B03B51">
              <w:rPr>
                <w:rFonts w:ascii="Times New Roman" w:hAnsi="Times New Roman" w:cs="Times New Roman"/>
                <w:sz w:val="24"/>
              </w:rPr>
              <w:t>Citas kreditoru saistības (AF.8)</w:t>
            </w:r>
          </w:p>
        </w:tc>
        <w:tc>
          <w:tcPr>
            <w:tcW w:w="2576" w:type="pct"/>
            <w:tcBorders>
              <w:top w:val="nil"/>
              <w:left w:val="nil"/>
              <w:bottom w:val="nil"/>
              <w:right w:val="nil"/>
            </w:tcBorders>
          </w:tcPr>
          <w:p w14:paraId="4D91AB4E" w14:textId="77777777" w:rsidR="00443399" w:rsidRPr="00B03B51" w:rsidRDefault="00443399" w:rsidP="0054365B">
            <w:pPr>
              <w:pStyle w:val="TableParagraph"/>
              <w:jc w:val="both"/>
              <w:rPr>
                <w:rFonts w:ascii="Times New Roman" w:hAnsi="Times New Roman" w:cs="Times New Roman"/>
                <w:noProof/>
                <w:sz w:val="24"/>
              </w:rPr>
            </w:pPr>
            <w:r w:rsidRPr="00B03B51">
              <w:rPr>
                <w:rFonts w:ascii="Times New Roman" w:hAnsi="Times New Roman" w:cs="Times New Roman"/>
                <w:sz w:val="24"/>
              </w:rPr>
              <w:t>EKS 2010, 7.90. punkts</w:t>
            </w:r>
          </w:p>
        </w:tc>
      </w:tr>
      <w:tr w:rsidR="00443399" w:rsidRPr="00B03B51" w14:paraId="6DA13B2C" w14:textId="77777777" w:rsidTr="0054365B">
        <w:tc>
          <w:tcPr>
            <w:tcW w:w="2424" w:type="pct"/>
            <w:tcBorders>
              <w:top w:val="nil"/>
              <w:left w:val="nil"/>
              <w:bottom w:val="nil"/>
              <w:right w:val="nil"/>
            </w:tcBorders>
          </w:tcPr>
          <w:p w14:paraId="1DDBC33F" w14:textId="77777777" w:rsidR="00443399" w:rsidRPr="00B03B51" w:rsidRDefault="00443399" w:rsidP="0054365B">
            <w:pPr>
              <w:pStyle w:val="TableParagraph"/>
              <w:jc w:val="both"/>
              <w:rPr>
                <w:rFonts w:ascii="Times New Roman" w:hAnsi="Times New Roman" w:cs="Times New Roman"/>
                <w:noProof/>
                <w:sz w:val="24"/>
              </w:rPr>
            </w:pPr>
            <w:r w:rsidRPr="00B03B51">
              <w:rPr>
                <w:rFonts w:ascii="Times New Roman" w:hAnsi="Times New Roman" w:cs="Times New Roman"/>
                <w:sz w:val="24"/>
              </w:rPr>
              <w:t>Indeksētie vērtspapīri</w:t>
            </w:r>
          </w:p>
        </w:tc>
        <w:tc>
          <w:tcPr>
            <w:tcW w:w="2576" w:type="pct"/>
            <w:tcBorders>
              <w:top w:val="nil"/>
              <w:left w:val="nil"/>
              <w:bottom w:val="nil"/>
              <w:right w:val="nil"/>
            </w:tcBorders>
          </w:tcPr>
          <w:p w14:paraId="12DE1A3C" w14:textId="77777777" w:rsidR="00443399" w:rsidRPr="00B03B51" w:rsidRDefault="00443399" w:rsidP="0054365B">
            <w:pPr>
              <w:pStyle w:val="TableParagraph"/>
              <w:jc w:val="both"/>
              <w:rPr>
                <w:rFonts w:ascii="Times New Roman" w:hAnsi="Times New Roman" w:cs="Times New Roman"/>
                <w:noProof/>
                <w:sz w:val="24"/>
              </w:rPr>
            </w:pPr>
            <w:r w:rsidRPr="00B03B51">
              <w:rPr>
                <w:rFonts w:ascii="Times New Roman" w:hAnsi="Times New Roman" w:cs="Times New Roman"/>
                <w:sz w:val="24"/>
              </w:rPr>
              <w:t>EKS 2010, 4.46. punkta c) apakšpunkts, 5.100.–5.101., 20.187. punkts</w:t>
            </w:r>
          </w:p>
        </w:tc>
      </w:tr>
      <w:tr w:rsidR="00443399" w:rsidRPr="00B03B51" w14:paraId="54AE6C85" w14:textId="77777777" w:rsidTr="0054365B">
        <w:tc>
          <w:tcPr>
            <w:tcW w:w="2424" w:type="pct"/>
            <w:tcBorders>
              <w:top w:val="nil"/>
              <w:left w:val="nil"/>
              <w:bottom w:val="nil"/>
              <w:right w:val="nil"/>
            </w:tcBorders>
          </w:tcPr>
          <w:p w14:paraId="5D67FCD8" w14:textId="77777777" w:rsidR="00443399" w:rsidRPr="00B03B51" w:rsidRDefault="00443399" w:rsidP="0054365B">
            <w:pPr>
              <w:pStyle w:val="TableParagraph"/>
              <w:jc w:val="both"/>
              <w:rPr>
                <w:rFonts w:ascii="Times New Roman" w:hAnsi="Times New Roman" w:cs="Times New Roman"/>
                <w:noProof/>
                <w:sz w:val="24"/>
              </w:rPr>
            </w:pPr>
            <w:r w:rsidRPr="00B03B51">
              <w:rPr>
                <w:rFonts w:ascii="Times New Roman" w:hAnsi="Times New Roman" w:cs="Times New Roman"/>
                <w:sz w:val="24"/>
              </w:rPr>
              <w:t>Diskontētās un bezkupona obligācijas</w:t>
            </w:r>
          </w:p>
        </w:tc>
        <w:tc>
          <w:tcPr>
            <w:tcW w:w="2576" w:type="pct"/>
            <w:tcBorders>
              <w:top w:val="nil"/>
              <w:left w:val="nil"/>
              <w:bottom w:val="nil"/>
              <w:right w:val="nil"/>
            </w:tcBorders>
          </w:tcPr>
          <w:p w14:paraId="795BE007" w14:textId="77777777" w:rsidR="00443399" w:rsidRPr="00B03B51" w:rsidRDefault="00443399" w:rsidP="0054365B">
            <w:pPr>
              <w:pStyle w:val="TableParagraph"/>
              <w:jc w:val="both"/>
              <w:rPr>
                <w:rFonts w:ascii="Times New Roman" w:hAnsi="Times New Roman" w:cs="Times New Roman"/>
                <w:noProof/>
                <w:sz w:val="24"/>
              </w:rPr>
            </w:pPr>
            <w:r w:rsidRPr="00B03B51">
              <w:rPr>
                <w:rFonts w:ascii="Times New Roman" w:hAnsi="Times New Roman" w:cs="Times New Roman"/>
                <w:sz w:val="24"/>
              </w:rPr>
              <w:t>EKS 2010, 20.184.–20.186. punkts</w:t>
            </w:r>
          </w:p>
        </w:tc>
      </w:tr>
      <w:tr w:rsidR="00443399" w:rsidRPr="00B03B51" w14:paraId="4E12A2B9" w14:textId="77777777" w:rsidTr="0054365B">
        <w:tc>
          <w:tcPr>
            <w:tcW w:w="2424" w:type="pct"/>
            <w:tcBorders>
              <w:top w:val="nil"/>
              <w:left w:val="nil"/>
              <w:bottom w:val="nil"/>
              <w:right w:val="nil"/>
            </w:tcBorders>
          </w:tcPr>
          <w:p w14:paraId="42860D72" w14:textId="77777777" w:rsidR="00443399" w:rsidRPr="00B03B51" w:rsidRDefault="00443399" w:rsidP="0054365B">
            <w:pPr>
              <w:pStyle w:val="TableParagraph"/>
              <w:jc w:val="both"/>
              <w:rPr>
                <w:rFonts w:ascii="Times New Roman" w:hAnsi="Times New Roman" w:cs="Times New Roman"/>
                <w:noProof/>
                <w:sz w:val="24"/>
              </w:rPr>
            </w:pPr>
            <w:r w:rsidRPr="00B03B51">
              <w:rPr>
                <w:rFonts w:ascii="Times New Roman" w:hAnsi="Times New Roman" w:cs="Times New Roman"/>
                <w:sz w:val="24"/>
              </w:rPr>
              <w:t>Finanšu līzings</w:t>
            </w:r>
          </w:p>
        </w:tc>
        <w:tc>
          <w:tcPr>
            <w:tcW w:w="2576" w:type="pct"/>
            <w:tcBorders>
              <w:top w:val="nil"/>
              <w:left w:val="nil"/>
              <w:bottom w:val="nil"/>
              <w:right w:val="nil"/>
            </w:tcBorders>
          </w:tcPr>
          <w:p w14:paraId="2BBEB42B" w14:textId="77777777" w:rsidR="00443399" w:rsidRPr="00B03B51" w:rsidRDefault="00443399" w:rsidP="0054365B">
            <w:pPr>
              <w:pStyle w:val="TableParagraph"/>
              <w:jc w:val="both"/>
              <w:rPr>
                <w:rFonts w:ascii="Times New Roman" w:hAnsi="Times New Roman" w:cs="Times New Roman"/>
                <w:noProof/>
                <w:sz w:val="24"/>
              </w:rPr>
            </w:pPr>
            <w:r w:rsidRPr="00B03B51">
              <w:rPr>
                <w:rFonts w:ascii="Times New Roman" w:hAnsi="Times New Roman" w:cs="Times New Roman"/>
                <w:sz w:val="24"/>
              </w:rPr>
              <w:t>EKS 2010, 5.134.–5.135, 15.13.–15.22. punkts</w:t>
            </w:r>
          </w:p>
        </w:tc>
      </w:tr>
      <w:tr w:rsidR="00443399" w:rsidRPr="00B03B51" w14:paraId="6B33966F" w14:textId="77777777" w:rsidTr="0054365B">
        <w:tc>
          <w:tcPr>
            <w:tcW w:w="2424" w:type="pct"/>
            <w:tcBorders>
              <w:top w:val="nil"/>
              <w:left w:val="nil"/>
              <w:bottom w:val="nil"/>
              <w:right w:val="nil"/>
            </w:tcBorders>
          </w:tcPr>
          <w:p w14:paraId="3BF96986" w14:textId="77777777" w:rsidR="00443399" w:rsidRPr="00B03B51" w:rsidRDefault="00443399" w:rsidP="0054365B">
            <w:pPr>
              <w:pStyle w:val="TableParagraph"/>
              <w:jc w:val="both"/>
              <w:rPr>
                <w:rFonts w:ascii="Times New Roman" w:hAnsi="Times New Roman" w:cs="Times New Roman"/>
                <w:noProof/>
                <w:sz w:val="24"/>
              </w:rPr>
            </w:pPr>
            <w:r w:rsidRPr="00B03B51">
              <w:rPr>
                <w:rFonts w:ascii="Times New Roman" w:hAnsi="Times New Roman" w:cs="Times New Roman"/>
                <w:sz w:val="24"/>
              </w:rPr>
              <w:t>Mijmaiņas darījumi</w:t>
            </w:r>
          </w:p>
        </w:tc>
        <w:tc>
          <w:tcPr>
            <w:tcW w:w="2576" w:type="pct"/>
            <w:tcBorders>
              <w:top w:val="nil"/>
              <w:left w:val="nil"/>
              <w:bottom w:val="nil"/>
              <w:right w:val="nil"/>
            </w:tcBorders>
          </w:tcPr>
          <w:p w14:paraId="6A521D1B" w14:textId="77777777" w:rsidR="00443399" w:rsidRPr="00B03B51" w:rsidRDefault="00443399" w:rsidP="0054365B">
            <w:pPr>
              <w:pStyle w:val="TableParagraph"/>
              <w:jc w:val="both"/>
              <w:rPr>
                <w:rFonts w:ascii="Times New Roman" w:hAnsi="Times New Roman" w:cs="Times New Roman"/>
                <w:noProof/>
                <w:sz w:val="24"/>
              </w:rPr>
            </w:pPr>
            <w:r w:rsidRPr="00B03B51">
              <w:rPr>
                <w:rFonts w:ascii="Times New Roman" w:hAnsi="Times New Roman" w:cs="Times New Roman"/>
                <w:sz w:val="24"/>
              </w:rPr>
              <w:t>EKS 2010, 5.210.–5.213. punkts</w:t>
            </w:r>
          </w:p>
        </w:tc>
      </w:tr>
      <w:tr w:rsidR="00443399" w:rsidRPr="00B03B51" w14:paraId="6EBF5061" w14:textId="77777777" w:rsidTr="0054365B">
        <w:tc>
          <w:tcPr>
            <w:tcW w:w="2424" w:type="pct"/>
            <w:tcBorders>
              <w:top w:val="nil"/>
              <w:left w:val="nil"/>
              <w:bottom w:val="nil"/>
              <w:right w:val="nil"/>
            </w:tcBorders>
          </w:tcPr>
          <w:p w14:paraId="351F034E" w14:textId="77777777" w:rsidR="00443399" w:rsidRPr="00B03B51" w:rsidRDefault="00443399" w:rsidP="0054365B">
            <w:pPr>
              <w:pStyle w:val="TableParagraph"/>
              <w:jc w:val="both"/>
              <w:rPr>
                <w:rFonts w:ascii="Times New Roman" w:hAnsi="Times New Roman" w:cs="Times New Roman"/>
                <w:noProof/>
                <w:sz w:val="24"/>
              </w:rPr>
            </w:pPr>
            <w:r w:rsidRPr="00B03B51">
              <w:rPr>
                <w:rFonts w:ascii="Times New Roman" w:hAnsi="Times New Roman" w:cs="Times New Roman"/>
                <w:sz w:val="24"/>
              </w:rPr>
              <w:t>Vērtspapīru aizdošanas un pārdošanas ar atpirkšanu līgumi</w:t>
            </w:r>
          </w:p>
        </w:tc>
        <w:tc>
          <w:tcPr>
            <w:tcW w:w="2576" w:type="pct"/>
            <w:tcBorders>
              <w:top w:val="nil"/>
              <w:left w:val="nil"/>
              <w:bottom w:val="nil"/>
              <w:right w:val="nil"/>
            </w:tcBorders>
          </w:tcPr>
          <w:p w14:paraId="01CE9F3B" w14:textId="77777777" w:rsidR="00443399" w:rsidRPr="00B03B51" w:rsidRDefault="00443399" w:rsidP="0054365B">
            <w:pPr>
              <w:pStyle w:val="TableParagraph"/>
              <w:jc w:val="both"/>
              <w:rPr>
                <w:rFonts w:ascii="Times New Roman" w:hAnsi="Times New Roman" w:cs="Times New Roman"/>
                <w:noProof/>
                <w:sz w:val="24"/>
              </w:rPr>
            </w:pPr>
            <w:r w:rsidRPr="00B03B51">
              <w:rPr>
                <w:rFonts w:ascii="Times New Roman" w:hAnsi="Times New Roman" w:cs="Times New Roman"/>
                <w:sz w:val="24"/>
              </w:rPr>
              <w:t>EKS 2010, 5.126.–5.133. punkts</w:t>
            </w:r>
          </w:p>
        </w:tc>
      </w:tr>
      <w:tr w:rsidR="00443399" w:rsidRPr="00B03B51" w14:paraId="081B9825" w14:textId="77777777" w:rsidTr="0054365B">
        <w:tc>
          <w:tcPr>
            <w:tcW w:w="2424" w:type="pct"/>
            <w:tcBorders>
              <w:top w:val="nil"/>
              <w:left w:val="nil"/>
              <w:bottom w:val="nil"/>
              <w:right w:val="nil"/>
            </w:tcBorders>
          </w:tcPr>
          <w:p w14:paraId="3C7B910D" w14:textId="77777777" w:rsidR="00443399" w:rsidRPr="00B03B51" w:rsidRDefault="00443399" w:rsidP="0054365B">
            <w:pPr>
              <w:pStyle w:val="TableParagraph"/>
              <w:jc w:val="both"/>
              <w:rPr>
                <w:rFonts w:ascii="Times New Roman" w:hAnsi="Times New Roman" w:cs="Times New Roman"/>
                <w:noProof/>
                <w:sz w:val="24"/>
              </w:rPr>
            </w:pPr>
            <w:r w:rsidRPr="00B03B51">
              <w:rPr>
                <w:rFonts w:ascii="Times New Roman" w:hAnsi="Times New Roman" w:cs="Times New Roman"/>
                <w:sz w:val="24"/>
              </w:rPr>
              <w:t>Kredītsaistību nepildīšanas mijmaiņas līgumi</w:t>
            </w:r>
          </w:p>
        </w:tc>
        <w:tc>
          <w:tcPr>
            <w:tcW w:w="2576" w:type="pct"/>
            <w:tcBorders>
              <w:top w:val="nil"/>
              <w:left w:val="nil"/>
              <w:bottom w:val="nil"/>
              <w:right w:val="nil"/>
            </w:tcBorders>
          </w:tcPr>
          <w:p w14:paraId="6B787B35" w14:textId="77777777" w:rsidR="00443399" w:rsidRPr="00B03B51" w:rsidRDefault="00443399" w:rsidP="0054365B">
            <w:pPr>
              <w:pStyle w:val="TableParagraph"/>
              <w:jc w:val="both"/>
              <w:rPr>
                <w:rFonts w:ascii="Times New Roman" w:hAnsi="Times New Roman" w:cs="Times New Roman"/>
                <w:noProof/>
                <w:sz w:val="24"/>
              </w:rPr>
            </w:pPr>
            <w:r w:rsidRPr="00B03B51">
              <w:rPr>
                <w:rFonts w:ascii="Times New Roman" w:hAnsi="Times New Roman" w:cs="Times New Roman"/>
                <w:sz w:val="24"/>
              </w:rPr>
              <w:t>EKS 2010, 5.11. punkts, 5.1. ierāmējums, 5.218.–5.219. punkts</w:t>
            </w:r>
          </w:p>
        </w:tc>
      </w:tr>
      <w:tr w:rsidR="00443399" w:rsidRPr="00B03B51" w14:paraId="626AFF60" w14:textId="77777777" w:rsidTr="0054365B">
        <w:tc>
          <w:tcPr>
            <w:tcW w:w="2424" w:type="pct"/>
            <w:tcBorders>
              <w:top w:val="nil"/>
              <w:left w:val="nil"/>
              <w:bottom w:val="nil"/>
              <w:right w:val="nil"/>
            </w:tcBorders>
          </w:tcPr>
          <w:p w14:paraId="25A86888" w14:textId="77777777" w:rsidR="00443399" w:rsidRPr="00B03B51" w:rsidRDefault="00443399" w:rsidP="0054365B">
            <w:pPr>
              <w:pStyle w:val="TableParagraph"/>
              <w:jc w:val="both"/>
              <w:rPr>
                <w:rFonts w:ascii="Times New Roman" w:hAnsi="Times New Roman" w:cs="Times New Roman"/>
                <w:noProof/>
                <w:sz w:val="24"/>
              </w:rPr>
            </w:pPr>
            <w:r w:rsidRPr="00B03B51">
              <w:rPr>
                <w:rFonts w:ascii="Times New Roman" w:hAnsi="Times New Roman" w:cs="Times New Roman"/>
                <w:sz w:val="24"/>
              </w:rPr>
              <w:t>Ārpusbiržas mijmaiņas darījumi</w:t>
            </w:r>
          </w:p>
        </w:tc>
        <w:tc>
          <w:tcPr>
            <w:tcW w:w="2576" w:type="pct"/>
            <w:tcBorders>
              <w:top w:val="nil"/>
              <w:left w:val="nil"/>
              <w:bottom w:val="nil"/>
              <w:right w:val="nil"/>
            </w:tcBorders>
          </w:tcPr>
          <w:p w14:paraId="48BEFFE0" w14:textId="77777777" w:rsidR="00443399" w:rsidRPr="00B03B51" w:rsidRDefault="00443399" w:rsidP="0054365B">
            <w:pPr>
              <w:pStyle w:val="TableParagraph"/>
              <w:jc w:val="both"/>
              <w:rPr>
                <w:rFonts w:ascii="Times New Roman" w:hAnsi="Times New Roman" w:cs="Times New Roman"/>
                <w:noProof/>
                <w:sz w:val="24"/>
              </w:rPr>
            </w:pPr>
            <w:r w:rsidRPr="00B03B51">
              <w:rPr>
                <w:rFonts w:ascii="Times New Roman" w:hAnsi="Times New Roman" w:cs="Times New Roman"/>
                <w:sz w:val="24"/>
              </w:rPr>
              <w:t>EKS 2010, 20.133. punkts</w:t>
            </w:r>
          </w:p>
        </w:tc>
      </w:tr>
    </w:tbl>
    <w:p w14:paraId="08F46AB6" w14:textId="77777777" w:rsidR="00443399" w:rsidRPr="00B03B51" w:rsidRDefault="00443399" w:rsidP="00443399">
      <w:pPr>
        <w:rPr>
          <w:rFonts w:ascii="Times New Roman" w:eastAsia="Arial" w:hAnsi="Times New Roman" w:cs="Times New Roman"/>
          <w:b/>
          <w:bCs/>
          <w:noProof/>
          <w:sz w:val="24"/>
          <w:szCs w:val="19"/>
        </w:rPr>
      </w:pPr>
      <w:r w:rsidRPr="00B03B51">
        <w:rPr>
          <w:rFonts w:ascii="Times New Roman" w:hAnsi="Times New Roman" w:cs="Times New Roman"/>
        </w:rPr>
        <w:br w:type="page"/>
      </w:r>
    </w:p>
    <w:p w14:paraId="23AE7287" w14:textId="77777777" w:rsidR="00443399" w:rsidRPr="00B03B51" w:rsidRDefault="00443399" w:rsidP="00443399">
      <w:pPr>
        <w:jc w:val="both"/>
        <w:rPr>
          <w:rFonts w:ascii="Times New Roman" w:eastAsia="Arial" w:hAnsi="Times New Roman" w:cs="Times New Roman"/>
          <w:b/>
          <w:bCs/>
          <w:noProof/>
          <w:sz w:val="24"/>
          <w:szCs w:val="19"/>
        </w:rPr>
      </w:pPr>
    </w:p>
    <w:p w14:paraId="766C7789" w14:textId="77777777" w:rsidR="00443399" w:rsidRPr="00B03B51" w:rsidRDefault="00443399" w:rsidP="00443399">
      <w:pPr>
        <w:pStyle w:val="Heading2"/>
        <w:tabs>
          <w:tab w:val="left" w:pos="1134"/>
        </w:tabs>
        <w:spacing w:before="0"/>
        <w:ind w:left="0" w:firstLine="0"/>
        <w:jc w:val="both"/>
        <w:rPr>
          <w:rFonts w:ascii="Times New Roman" w:hAnsi="Times New Roman" w:cs="Times New Roman"/>
          <w:noProof/>
          <w:sz w:val="28"/>
          <w:szCs w:val="44"/>
        </w:rPr>
      </w:pPr>
      <w:bookmarkStart w:id="648" w:name="Annex_Legal_texts_(references_and_links)"/>
      <w:bookmarkStart w:id="649" w:name="_bookmark66"/>
      <w:bookmarkStart w:id="650" w:name="_Toc67565230"/>
      <w:bookmarkEnd w:id="648"/>
      <w:bookmarkEnd w:id="649"/>
      <w:r w:rsidRPr="00B03B51">
        <w:rPr>
          <w:rFonts w:ascii="Times New Roman" w:hAnsi="Times New Roman" w:cs="Times New Roman"/>
          <w:sz w:val="28"/>
          <w:szCs w:val="44"/>
        </w:rPr>
        <w:t>Pielikums. Tiesību akti (atsauces un saites)</w:t>
      </w:r>
      <w:bookmarkEnd w:id="650"/>
    </w:p>
    <w:p w14:paraId="485A7D09" w14:textId="77777777" w:rsidR="00443399" w:rsidRPr="00100B51" w:rsidRDefault="00443399" w:rsidP="00100B51">
      <w:pPr>
        <w:rPr>
          <w:rFonts w:ascii="Times New Roman" w:hAnsi="Times New Roman" w:cs="Times New Roman"/>
          <w:noProof/>
        </w:rPr>
      </w:pPr>
    </w:p>
    <w:p w14:paraId="527B9224" w14:textId="77777777" w:rsidR="00443399" w:rsidRPr="00B03B51" w:rsidRDefault="00443399" w:rsidP="00443399">
      <w:pPr>
        <w:pStyle w:val="Heading6"/>
        <w:ind w:left="0" w:firstLine="0"/>
        <w:jc w:val="both"/>
        <w:rPr>
          <w:rFonts w:ascii="Times New Roman" w:hAnsi="Times New Roman" w:cs="Times New Roman"/>
          <w:noProof/>
          <w:sz w:val="24"/>
        </w:rPr>
      </w:pPr>
      <w:r w:rsidRPr="00B03B51">
        <w:rPr>
          <w:rFonts w:ascii="Times New Roman" w:hAnsi="Times New Roman" w:cs="Times New Roman"/>
          <w:sz w:val="24"/>
        </w:rPr>
        <w:t>Tiesību akti:</w:t>
      </w:r>
    </w:p>
    <w:p w14:paraId="69A2610B" w14:textId="77777777" w:rsidR="00443399" w:rsidRPr="00B03B51" w:rsidRDefault="00443399" w:rsidP="00443399">
      <w:pPr>
        <w:jc w:val="both"/>
        <w:rPr>
          <w:rFonts w:ascii="Times New Roman" w:eastAsia="Arial" w:hAnsi="Times New Roman" w:cs="Times New Roman"/>
          <w:b/>
          <w:bCs/>
          <w:noProof/>
          <w:sz w:val="24"/>
          <w:szCs w:val="21"/>
        </w:rPr>
      </w:pPr>
    </w:p>
    <w:p w14:paraId="1571C767" w14:textId="77777777" w:rsidR="00443399" w:rsidRPr="00B03B51" w:rsidRDefault="00443399" w:rsidP="00443399">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t>https://ec.europa.eu/eurostat/web/government-finance-statistics/legislation</w:t>
      </w:r>
    </w:p>
    <w:p w14:paraId="48FB7D2E" w14:textId="77777777" w:rsidR="00443399" w:rsidRPr="00B03B51" w:rsidRDefault="00443399" w:rsidP="00443399">
      <w:pPr>
        <w:jc w:val="both"/>
        <w:rPr>
          <w:rFonts w:ascii="Times New Roman" w:eastAsia="Arial" w:hAnsi="Times New Roman" w:cs="Times New Roman"/>
          <w:noProof/>
          <w:sz w:val="24"/>
          <w:szCs w:val="20"/>
        </w:rPr>
      </w:pPr>
    </w:p>
    <w:p w14:paraId="72FE217A" w14:textId="77777777" w:rsidR="00443399" w:rsidRPr="00B03B51" w:rsidRDefault="00443399" w:rsidP="00443399">
      <w:pPr>
        <w:pStyle w:val="Heading6"/>
        <w:ind w:left="0" w:firstLine="0"/>
        <w:jc w:val="both"/>
        <w:rPr>
          <w:rFonts w:ascii="Times New Roman" w:hAnsi="Times New Roman" w:cs="Times New Roman"/>
          <w:noProof/>
          <w:sz w:val="24"/>
        </w:rPr>
      </w:pPr>
      <w:r w:rsidRPr="00B03B51">
        <w:rPr>
          <w:rFonts w:ascii="Times New Roman" w:hAnsi="Times New Roman" w:cs="Times New Roman"/>
          <w:sz w:val="24"/>
        </w:rPr>
        <w:t>Eiropas kontu sistēma 2010 (EKS 2010)</w:t>
      </w:r>
    </w:p>
    <w:p w14:paraId="1A57485F" w14:textId="77777777" w:rsidR="00443399" w:rsidRPr="00B03B51" w:rsidRDefault="00443399" w:rsidP="00443399">
      <w:pPr>
        <w:jc w:val="both"/>
        <w:rPr>
          <w:rFonts w:ascii="Times New Roman" w:eastAsia="Arial" w:hAnsi="Times New Roman" w:cs="Times New Roman"/>
          <w:b/>
          <w:bCs/>
          <w:noProof/>
          <w:sz w:val="24"/>
          <w:szCs w:val="21"/>
        </w:rPr>
      </w:pPr>
    </w:p>
    <w:p w14:paraId="21803284" w14:textId="77777777" w:rsidR="00443399" w:rsidRPr="00B03B51" w:rsidRDefault="00443399" w:rsidP="00443399">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t>Eiropas Parlamenta un Padomes Regula (ES) Nr. 549/2013 (2013. gada 21. maijs) par Eiropas nacionālo un reģionālo kontu sistēmu Eiropas Savienībā</w:t>
      </w:r>
    </w:p>
    <w:p w14:paraId="4E1EA8CD" w14:textId="77777777" w:rsidR="00443399" w:rsidRPr="00B03B51" w:rsidRDefault="00443399" w:rsidP="00443399">
      <w:pPr>
        <w:jc w:val="both"/>
        <w:rPr>
          <w:rFonts w:ascii="Times New Roman" w:eastAsia="Arial" w:hAnsi="Times New Roman" w:cs="Times New Roman"/>
          <w:noProof/>
          <w:sz w:val="24"/>
        </w:rPr>
      </w:pPr>
    </w:p>
    <w:p w14:paraId="093E98D1" w14:textId="77777777" w:rsidR="00443399" w:rsidRPr="00B03B51" w:rsidRDefault="00443399" w:rsidP="00443399">
      <w:pPr>
        <w:pStyle w:val="Heading6"/>
        <w:ind w:left="0" w:firstLine="0"/>
        <w:jc w:val="both"/>
        <w:rPr>
          <w:rFonts w:ascii="Times New Roman" w:hAnsi="Times New Roman" w:cs="Times New Roman"/>
          <w:noProof/>
          <w:sz w:val="24"/>
        </w:rPr>
      </w:pPr>
      <w:r w:rsidRPr="00B03B51">
        <w:rPr>
          <w:rFonts w:ascii="Times New Roman" w:hAnsi="Times New Roman" w:cs="Times New Roman"/>
          <w:sz w:val="24"/>
        </w:rPr>
        <w:t>Pārsūtīšanas programma:</w:t>
      </w:r>
    </w:p>
    <w:p w14:paraId="41794352" w14:textId="77777777" w:rsidR="00443399" w:rsidRPr="00B03B51" w:rsidRDefault="00443399" w:rsidP="00443399">
      <w:pPr>
        <w:jc w:val="both"/>
        <w:rPr>
          <w:rFonts w:ascii="Times New Roman" w:eastAsia="Arial" w:hAnsi="Times New Roman" w:cs="Times New Roman"/>
          <w:b/>
          <w:bCs/>
          <w:noProof/>
          <w:sz w:val="24"/>
          <w:szCs w:val="21"/>
        </w:rPr>
      </w:pPr>
    </w:p>
    <w:p w14:paraId="64187FDF" w14:textId="77777777" w:rsidR="00443399" w:rsidRPr="00B03B51" w:rsidRDefault="00443399" w:rsidP="00443399">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t>EKS 2010 Datu pārsūtīšanas programma</w:t>
      </w:r>
    </w:p>
    <w:p w14:paraId="1AEE7B1C" w14:textId="77777777" w:rsidR="00443399" w:rsidRPr="00B03B51" w:rsidRDefault="00443399" w:rsidP="00443399">
      <w:pPr>
        <w:jc w:val="both"/>
        <w:rPr>
          <w:rFonts w:ascii="Times New Roman" w:eastAsia="Arial" w:hAnsi="Times New Roman" w:cs="Times New Roman"/>
          <w:noProof/>
          <w:sz w:val="24"/>
        </w:rPr>
      </w:pPr>
    </w:p>
    <w:p w14:paraId="49F5A6A1" w14:textId="77777777" w:rsidR="00443399" w:rsidRPr="00C61BF5" w:rsidRDefault="00443399" w:rsidP="00C61BF5">
      <w:pPr>
        <w:pStyle w:val="Heading6"/>
        <w:ind w:left="0" w:firstLine="0"/>
        <w:jc w:val="both"/>
        <w:rPr>
          <w:rFonts w:ascii="Times New Roman" w:hAnsi="Times New Roman" w:cs="Times New Roman"/>
          <w:sz w:val="24"/>
        </w:rPr>
      </w:pPr>
      <w:r w:rsidRPr="00C61BF5">
        <w:rPr>
          <w:rFonts w:ascii="Times New Roman" w:hAnsi="Times New Roman" w:cs="Times New Roman"/>
          <w:sz w:val="24"/>
        </w:rPr>
        <w:t>Pārmērīga budžeta deficīta novēršanas procedūras statistika:</w:t>
      </w:r>
    </w:p>
    <w:p w14:paraId="700656F0" w14:textId="77777777" w:rsidR="00443399" w:rsidRPr="00B03B51" w:rsidRDefault="00443399" w:rsidP="00443399">
      <w:pPr>
        <w:jc w:val="both"/>
        <w:rPr>
          <w:rFonts w:ascii="Times New Roman" w:eastAsia="Arial" w:hAnsi="Times New Roman" w:cs="Times New Roman"/>
          <w:b/>
          <w:bCs/>
          <w:noProof/>
          <w:sz w:val="24"/>
          <w:szCs w:val="21"/>
        </w:rPr>
      </w:pPr>
    </w:p>
    <w:p w14:paraId="3E4216F8" w14:textId="77777777" w:rsidR="00443399" w:rsidRPr="00B03B51" w:rsidRDefault="00443399" w:rsidP="00443399">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t>Komisijas Regula (ES) Nr. 220/2014 (2014. gada 7. marts), ar ko attiecībā uz Eiropas nacionālo un reģionālo kontu sistēmu Eiropas Savienībā groza Padomes Regulu (EK) Nr. 479/2009</w:t>
      </w:r>
    </w:p>
    <w:p w14:paraId="08780396" w14:textId="77777777" w:rsidR="00443399" w:rsidRPr="00B03B51" w:rsidRDefault="00443399" w:rsidP="00443399">
      <w:pPr>
        <w:jc w:val="both"/>
        <w:rPr>
          <w:rFonts w:ascii="Times New Roman" w:eastAsia="Arial" w:hAnsi="Times New Roman" w:cs="Times New Roman"/>
          <w:noProof/>
          <w:sz w:val="24"/>
          <w:szCs w:val="20"/>
        </w:rPr>
      </w:pPr>
    </w:p>
    <w:p w14:paraId="7F2E3CA6" w14:textId="77777777" w:rsidR="00443399" w:rsidRPr="00B03B51" w:rsidRDefault="00443399" w:rsidP="00443399">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t>Padomes Regula (ES) Nr. 679/2010 (2010.gada 26.jūlijs), ar ko groza Regulu (EK) Nr. 479/2009 attiecībā uz statistikas datu kvalitāti pārmērīga budžeta deficīta novēršanas procedūras kontekstā</w:t>
      </w:r>
    </w:p>
    <w:p w14:paraId="2BD99E1F" w14:textId="77777777" w:rsidR="00443399" w:rsidRPr="00B03B51" w:rsidRDefault="00443399" w:rsidP="00443399">
      <w:pPr>
        <w:jc w:val="both"/>
        <w:rPr>
          <w:rFonts w:ascii="Times New Roman" w:eastAsia="Arial" w:hAnsi="Times New Roman" w:cs="Times New Roman"/>
          <w:noProof/>
          <w:sz w:val="24"/>
          <w:szCs w:val="20"/>
        </w:rPr>
      </w:pPr>
    </w:p>
    <w:p w14:paraId="5693E1CE" w14:textId="77777777" w:rsidR="00443399" w:rsidRPr="00B03B51" w:rsidRDefault="00443399" w:rsidP="00443399">
      <w:pPr>
        <w:pStyle w:val="BodyText"/>
        <w:spacing w:before="0"/>
        <w:ind w:left="0" w:firstLine="0"/>
        <w:jc w:val="both"/>
        <w:rPr>
          <w:rFonts w:ascii="Times New Roman" w:hAnsi="Times New Roman" w:cs="Times New Roman"/>
          <w:noProof/>
          <w:sz w:val="24"/>
        </w:rPr>
      </w:pPr>
      <w:r w:rsidRPr="00B03B51">
        <w:rPr>
          <w:rFonts w:ascii="Times New Roman" w:hAnsi="Times New Roman" w:cs="Times New Roman"/>
          <w:sz w:val="24"/>
        </w:rPr>
        <w:t>Padomes Regula (EK) Nr. 479/2009 par to, kā piemērot Eiropas Kopienas dibināšanas līgumam pievienoto Protokolu par pārmērīga budžeta deficīta novēršanas procedūru</w:t>
      </w:r>
    </w:p>
    <w:p w14:paraId="024A6DD0" w14:textId="77777777" w:rsidR="00443399" w:rsidRPr="00B03B51" w:rsidRDefault="00443399" w:rsidP="00443399">
      <w:pPr>
        <w:rPr>
          <w:rFonts w:ascii="Times New Roman" w:hAnsi="Times New Roman" w:cs="Times New Roman"/>
          <w:noProof/>
          <w:sz w:val="24"/>
        </w:rPr>
      </w:pPr>
      <w:r w:rsidRPr="00B03B51">
        <w:rPr>
          <w:rFonts w:ascii="Times New Roman" w:hAnsi="Times New Roman" w:cs="Times New Roman"/>
        </w:rPr>
        <w:br w:type="page"/>
      </w:r>
    </w:p>
    <w:p w14:paraId="7C636D18" w14:textId="77777777" w:rsidR="00443399" w:rsidRPr="00B03B51" w:rsidRDefault="00443399" w:rsidP="00443399">
      <w:pPr>
        <w:jc w:val="both"/>
        <w:rPr>
          <w:rFonts w:ascii="Times New Roman" w:hAnsi="Times New Roman" w:cs="Times New Roman"/>
          <w:noProof/>
          <w:sz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1"/>
      </w:tblGrid>
      <w:tr w:rsidR="00443399" w:rsidRPr="00B03B51" w14:paraId="67103B21" w14:textId="77777777" w:rsidTr="0054365B">
        <w:tc>
          <w:tcPr>
            <w:tcW w:w="9281" w:type="dxa"/>
          </w:tcPr>
          <w:p w14:paraId="0D5D3C31" w14:textId="77777777" w:rsidR="00443399" w:rsidRPr="00B03B51" w:rsidRDefault="00443399" w:rsidP="0054365B">
            <w:pPr>
              <w:jc w:val="both"/>
              <w:rPr>
                <w:rFonts w:ascii="Times New Roman" w:hAnsi="Times New Roman" w:cs="Times New Roman"/>
                <w:b/>
                <w:noProof/>
                <w:sz w:val="24"/>
              </w:rPr>
            </w:pPr>
            <w:r w:rsidRPr="00B03B51">
              <w:rPr>
                <w:rFonts w:ascii="Times New Roman" w:hAnsi="Times New Roman" w:cs="Times New Roman"/>
                <w:b/>
                <w:sz w:val="24"/>
              </w:rPr>
              <w:t>Saziņa ar ES</w:t>
            </w:r>
          </w:p>
          <w:p w14:paraId="4CDAE1C4" w14:textId="77777777" w:rsidR="00443399" w:rsidRPr="00B03B51" w:rsidRDefault="00443399" w:rsidP="0054365B">
            <w:pPr>
              <w:jc w:val="both"/>
              <w:rPr>
                <w:rFonts w:ascii="Times New Roman" w:eastAsia="Arial" w:hAnsi="Times New Roman" w:cs="Times New Roman"/>
                <w:b/>
                <w:bCs/>
                <w:noProof/>
                <w:sz w:val="24"/>
                <w:szCs w:val="14"/>
              </w:rPr>
            </w:pPr>
          </w:p>
          <w:p w14:paraId="0413FE5D" w14:textId="77777777" w:rsidR="00443399" w:rsidRPr="00B03B51" w:rsidRDefault="00443399" w:rsidP="0054365B">
            <w:pPr>
              <w:pStyle w:val="Heading8"/>
              <w:ind w:left="0"/>
              <w:jc w:val="both"/>
              <w:outlineLvl w:val="7"/>
              <w:rPr>
                <w:rFonts w:ascii="Times New Roman" w:hAnsi="Times New Roman" w:cs="Times New Roman"/>
                <w:noProof/>
                <w:sz w:val="24"/>
              </w:rPr>
            </w:pPr>
            <w:r w:rsidRPr="00B03B51">
              <w:rPr>
                <w:rFonts w:ascii="Times New Roman" w:hAnsi="Times New Roman" w:cs="Times New Roman"/>
                <w:sz w:val="24"/>
              </w:rPr>
              <w:t>Personiski</w:t>
            </w:r>
          </w:p>
          <w:p w14:paraId="0E11E751" w14:textId="77777777" w:rsidR="00443399" w:rsidRPr="00B03B51" w:rsidRDefault="00443399" w:rsidP="0054365B">
            <w:pPr>
              <w:pStyle w:val="Heading9"/>
              <w:ind w:left="0"/>
              <w:jc w:val="both"/>
              <w:outlineLvl w:val="8"/>
              <w:rPr>
                <w:rFonts w:ascii="Times New Roman" w:hAnsi="Times New Roman" w:cs="Times New Roman"/>
                <w:noProof/>
                <w:sz w:val="24"/>
              </w:rPr>
            </w:pPr>
            <w:r w:rsidRPr="00B03B51">
              <w:rPr>
                <w:rFonts w:ascii="Times New Roman" w:hAnsi="Times New Roman" w:cs="Times New Roman"/>
                <w:sz w:val="24"/>
              </w:rPr>
              <w:t xml:space="preserve">Eiropas Savienībā ir simtiem </w:t>
            </w:r>
            <w:r w:rsidRPr="00B03B51">
              <w:rPr>
                <w:rFonts w:ascii="Times New Roman" w:hAnsi="Times New Roman" w:cs="Times New Roman"/>
                <w:i/>
                <w:iCs/>
                <w:sz w:val="24"/>
              </w:rPr>
              <w:t>Europe Direct</w:t>
            </w:r>
            <w:r w:rsidRPr="00B03B51">
              <w:rPr>
                <w:rFonts w:ascii="Times New Roman" w:hAnsi="Times New Roman" w:cs="Times New Roman"/>
                <w:sz w:val="24"/>
              </w:rPr>
              <w:t xml:space="preserve"> informācijas centru. Sev tuvākā centra adresi jūs varat atrast tīmekļa vietnē http://europa.eu/contact.</w:t>
            </w:r>
          </w:p>
          <w:p w14:paraId="5FE3C45F" w14:textId="77777777" w:rsidR="00443399" w:rsidRPr="00B03B51" w:rsidRDefault="00443399" w:rsidP="0054365B">
            <w:pPr>
              <w:jc w:val="both"/>
              <w:rPr>
                <w:rFonts w:ascii="Times New Roman" w:eastAsia="Arial" w:hAnsi="Times New Roman" w:cs="Times New Roman"/>
                <w:noProof/>
                <w:sz w:val="24"/>
                <w:szCs w:val="20"/>
              </w:rPr>
            </w:pPr>
          </w:p>
          <w:p w14:paraId="3FF16853" w14:textId="77777777" w:rsidR="00443399" w:rsidRPr="00B03B51" w:rsidRDefault="00443399" w:rsidP="0054365B">
            <w:pPr>
              <w:jc w:val="both"/>
              <w:rPr>
                <w:rFonts w:ascii="Times New Roman" w:hAnsi="Times New Roman" w:cs="Times New Roman"/>
                <w:b/>
                <w:noProof/>
                <w:sz w:val="24"/>
              </w:rPr>
            </w:pPr>
            <w:r w:rsidRPr="00B03B51">
              <w:rPr>
                <w:rFonts w:ascii="Times New Roman" w:hAnsi="Times New Roman" w:cs="Times New Roman"/>
                <w:b/>
                <w:sz w:val="24"/>
              </w:rPr>
              <w:t>Pa tālruni vai e-pastu</w:t>
            </w:r>
          </w:p>
          <w:p w14:paraId="2B3BFCA3" w14:textId="77777777" w:rsidR="00443399" w:rsidRPr="00B03B51" w:rsidRDefault="00443399" w:rsidP="0054365B">
            <w:pPr>
              <w:jc w:val="both"/>
              <w:rPr>
                <w:rFonts w:ascii="Times New Roman" w:hAnsi="Times New Roman" w:cs="Times New Roman"/>
                <w:noProof/>
                <w:sz w:val="24"/>
              </w:rPr>
            </w:pPr>
            <w:r w:rsidRPr="00B03B51">
              <w:rPr>
                <w:rFonts w:ascii="Times New Roman" w:hAnsi="Times New Roman" w:cs="Times New Roman"/>
                <w:i/>
                <w:iCs/>
                <w:sz w:val="24"/>
              </w:rPr>
              <w:t>Europe Direct</w:t>
            </w:r>
            <w:r w:rsidRPr="00B03B51">
              <w:rPr>
                <w:rFonts w:ascii="Times New Roman" w:hAnsi="Times New Roman" w:cs="Times New Roman"/>
                <w:sz w:val="24"/>
              </w:rPr>
              <w:t xml:space="preserve"> dienests atbildēs uz jūsu jautājumiem par Eiropas Savienību. Jūs varat sazināties ar dienestu:</w:t>
            </w:r>
          </w:p>
          <w:p w14:paraId="3757D3CE" w14:textId="77777777" w:rsidR="00443399" w:rsidRPr="00B03B51" w:rsidRDefault="00443399" w:rsidP="00443399">
            <w:pPr>
              <w:numPr>
                <w:ilvl w:val="0"/>
                <w:numId w:val="34"/>
              </w:numPr>
              <w:ind w:left="284" w:hanging="284"/>
              <w:jc w:val="both"/>
              <w:rPr>
                <w:rFonts w:ascii="Times New Roman" w:hAnsi="Times New Roman" w:cs="Times New Roman"/>
                <w:noProof/>
                <w:sz w:val="24"/>
              </w:rPr>
            </w:pPr>
            <w:r w:rsidRPr="00B03B51">
              <w:rPr>
                <w:rFonts w:ascii="Times New Roman" w:hAnsi="Times New Roman" w:cs="Times New Roman"/>
                <w:sz w:val="24"/>
              </w:rPr>
              <w:t>pa bezmaksas tālruni 00 800 6 7 8 9 10 11 (noteikti sakaru operatori var piemērot maksu par šiem zvaniem);</w:t>
            </w:r>
          </w:p>
          <w:p w14:paraId="3F655077" w14:textId="77777777" w:rsidR="00443399" w:rsidRPr="00B03B51" w:rsidRDefault="00443399" w:rsidP="00443399">
            <w:pPr>
              <w:numPr>
                <w:ilvl w:val="0"/>
                <w:numId w:val="34"/>
              </w:numPr>
              <w:ind w:left="284" w:hanging="284"/>
              <w:jc w:val="both"/>
              <w:rPr>
                <w:rFonts w:ascii="Times New Roman" w:hAnsi="Times New Roman" w:cs="Times New Roman"/>
                <w:noProof/>
                <w:sz w:val="24"/>
              </w:rPr>
            </w:pPr>
            <w:r w:rsidRPr="00B03B51">
              <w:rPr>
                <w:rFonts w:ascii="Times New Roman" w:hAnsi="Times New Roman" w:cs="Times New Roman"/>
                <w:sz w:val="24"/>
              </w:rPr>
              <w:t>pa parasto tālruni +32 22999696 vai</w:t>
            </w:r>
          </w:p>
          <w:p w14:paraId="2CCCBBC6" w14:textId="77777777" w:rsidR="00443399" w:rsidRPr="00B03B51" w:rsidRDefault="00443399" w:rsidP="00443399">
            <w:pPr>
              <w:numPr>
                <w:ilvl w:val="0"/>
                <w:numId w:val="34"/>
              </w:numPr>
              <w:ind w:left="284" w:hanging="284"/>
              <w:jc w:val="both"/>
              <w:rPr>
                <w:rFonts w:ascii="Times New Roman" w:eastAsia="Arial" w:hAnsi="Times New Roman" w:cs="Times New Roman"/>
                <w:noProof/>
                <w:sz w:val="24"/>
                <w:szCs w:val="20"/>
              </w:rPr>
            </w:pPr>
            <w:r w:rsidRPr="00B03B51">
              <w:rPr>
                <w:rFonts w:ascii="Times New Roman" w:hAnsi="Times New Roman" w:cs="Times New Roman"/>
                <w:sz w:val="24"/>
              </w:rPr>
              <w:t>pa elektronisko pastu, izmantojot tīmekļa vietni: http://europa.eu/contact.</w:t>
            </w:r>
          </w:p>
          <w:p w14:paraId="454C6CE7" w14:textId="77777777" w:rsidR="00443399" w:rsidRPr="00B03B51" w:rsidRDefault="00443399" w:rsidP="0054365B">
            <w:pPr>
              <w:jc w:val="both"/>
              <w:rPr>
                <w:rFonts w:ascii="Times New Roman" w:eastAsia="Arial" w:hAnsi="Times New Roman" w:cs="Times New Roman"/>
                <w:noProof/>
                <w:sz w:val="24"/>
                <w:szCs w:val="18"/>
              </w:rPr>
            </w:pPr>
          </w:p>
          <w:p w14:paraId="1FFAA8D2" w14:textId="77777777" w:rsidR="00443399" w:rsidRPr="00B03B51" w:rsidRDefault="00443399" w:rsidP="0054365B">
            <w:pPr>
              <w:jc w:val="both"/>
              <w:rPr>
                <w:rFonts w:ascii="Times New Roman" w:hAnsi="Times New Roman" w:cs="Times New Roman"/>
                <w:b/>
                <w:noProof/>
                <w:sz w:val="24"/>
              </w:rPr>
            </w:pPr>
            <w:r w:rsidRPr="00B03B51">
              <w:rPr>
                <w:rFonts w:ascii="Times New Roman" w:hAnsi="Times New Roman" w:cs="Times New Roman"/>
                <w:b/>
                <w:sz w:val="24"/>
              </w:rPr>
              <w:t>Informācijas par ES atrašana</w:t>
            </w:r>
          </w:p>
          <w:p w14:paraId="6E2B3E07" w14:textId="77777777" w:rsidR="00443399" w:rsidRPr="00B03B51" w:rsidRDefault="00443399" w:rsidP="0054365B">
            <w:pPr>
              <w:jc w:val="both"/>
              <w:rPr>
                <w:rFonts w:ascii="Times New Roman" w:eastAsia="Arial" w:hAnsi="Times New Roman" w:cs="Times New Roman"/>
                <w:b/>
                <w:bCs/>
                <w:noProof/>
                <w:sz w:val="24"/>
                <w:szCs w:val="21"/>
              </w:rPr>
            </w:pPr>
          </w:p>
          <w:p w14:paraId="0BF78629" w14:textId="77777777" w:rsidR="00443399" w:rsidRPr="00B03B51" w:rsidRDefault="00443399" w:rsidP="0054365B">
            <w:pPr>
              <w:jc w:val="both"/>
              <w:rPr>
                <w:rFonts w:ascii="Times New Roman" w:hAnsi="Times New Roman" w:cs="Times New Roman"/>
                <w:b/>
                <w:noProof/>
                <w:sz w:val="24"/>
              </w:rPr>
            </w:pPr>
            <w:r w:rsidRPr="00B03B51">
              <w:rPr>
                <w:rFonts w:ascii="Times New Roman" w:hAnsi="Times New Roman" w:cs="Times New Roman"/>
                <w:b/>
                <w:sz w:val="24"/>
              </w:rPr>
              <w:t>Tiešsaistē</w:t>
            </w:r>
          </w:p>
          <w:p w14:paraId="31E290DD" w14:textId="77777777" w:rsidR="00443399" w:rsidRPr="00B03B51" w:rsidRDefault="00443399" w:rsidP="0054365B">
            <w:pPr>
              <w:jc w:val="both"/>
              <w:rPr>
                <w:rFonts w:ascii="Times New Roman" w:eastAsia="Arial" w:hAnsi="Times New Roman" w:cs="Times New Roman"/>
                <w:noProof/>
                <w:sz w:val="24"/>
                <w:szCs w:val="20"/>
              </w:rPr>
            </w:pPr>
            <w:r w:rsidRPr="00B03B51">
              <w:rPr>
                <w:rFonts w:ascii="Times New Roman" w:hAnsi="Times New Roman" w:cs="Times New Roman"/>
                <w:sz w:val="24"/>
              </w:rPr>
              <w:t>Informācija par Eiropas Savienību visās ES oficiālajās valodās ir pieejama Eiropas tīmekļa vietnē: http://europa.eu.</w:t>
            </w:r>
          </w:p>
          <w:p w14:paraId="5BDC2A14" w14:textId="77777777" w:rsidR="00443399" w:rsidRPr="00B03B51" w:rsidRDefault="00443399" w:rsidP="0054365B">
            <w:pPr>
              <w:jc w:val="both"/>
              <w:rPr>
                <w:rFonts w:ascii="Times New Roman" w:eastAsia="Arial" w:hAnsi="Times New Roman" w:cs="Times New Roman"/>
                <w:noProof/>
                <w:sz w:val="24"/>
                <w:szCs w:val="20"/>
              </w:rPr>
            </w:pPr>
          </w:p>
          <w:p w14:paraId="28471929" w14:textId="77777777" w:rsidR="00443399" w:rsidRPr="00B03B51" w:rsidRDefault="00443399" w:rsidP="0054365B">
            <w:pPr>
              <w:jc w:val="both"/>
              <w:rPr>
                <w:rFonts w:ascii="Times New Roman" w:hAnsi="Times New Roman" w:cs="Times New Roman"/>
                <w:b/>
                <w:noProof/>
                <w:sz w:val="24"/>
              </w:rPr>
            </w:pPr>
            <w:r w:rsidRPr="00B03B51">
              <w:rPr>
                <w:rFonts w:ascii="Times New Roman" w:hAnsi="Times New Roman" w:cs="Times New Roman"/>
                <w:b/>
                <w:sz w:val="24"/>
              </w:rPr>
              <w:t>ES publikācijas</w:t>
            </w:r>
          </w:p>
          <w:p w14:paraId="4A9CEFD8" w14:textId="77777777" w:rsidR="00443399" w:rsidRPr="00B03B51" w:rsidRDefault="00443399" w:rsidP="0054365B">
            <w:pPr>
              <w:jc w:val="both"/>
              <w:rPr>
                <w:rFonts w:ascii="Times New Roman" w:eastAsia="Arial" w:hAnsi="Times New Roman" w:cs="Times New Roman"/>
                <w:noProof/>
                <w:sz w:val="24"/>
                <w:szCs w:val="20"/>
              </w:rPr>
            </w:pPr>
            <w:r w:rsidRPr="00B03B51">
              <w:rPr>
                <w:rFonts w:ascii="Times New Roman" w:hAnsi="Times New Roman" w:cs="Times New Roman"/>
                <w:sz w:val="24"/>
              </w:rPr>
              <w:t xml:space="preserve">Jūs varat lejupielādēt vai pasūtīt bez maksas vai par maksu ES publikācijas no ES grāmatnīcas tīmekļa vietnē: http://bookshop.europa.eu. Bezmaksas publikāciju kopijas lielākā skaitā var iegūt, sazinoties ar </w:t>
            </w:r>
            <w:r w:rsidRPr="00B03B51">
              <w:rPr>
                <w:rFonts w:ascii="Times New Roman" w:hAnsi="Times New Roman" w:cs="Times New Roman"/>
                <w:i/>
                <w:iCs/>
                <w:sz w:val="24"/>
              </w:rPr>
              <w:t>Europe Direct</w:t>
            </w:r>
            <w:r w:rsidRPr="00B03B51">
              <w:rPr>
                <w:rFonts w:ascii="Times New Roman" w:hAnsi="Times New Roman" w:cs="Times New Roman"/>
                <w:sz w:val="24"/>
              </w:rPr>
              <w:t xml:space="preserve"> dienestu vai savu vietējo informācijas centru (skat. tīmekļa vietni http://europa.eu/contact).</w:t>
            </w:r>
          </w:p>
          <w:p w14:paraId="01AA02EC" w14:textId="77777777" w:rsidR="00443399" w:rsidRPr="00B03B51" w:rsidRDefault="00443399" w:rsidP="0054365B">
            <w:pPr>
              <w:jc w:val="both"/>
              <w:rPr>
                <w:rFonts w:ascii="Times New Roman" w:eastAsia="Arial" w:hAnsi="Times New Roman" w:cs="Times New Roman"/>
                <w:noProof/>
                <w:sz w:val="24"/>
                <w:szCs w:val="20"/>
              </w:rPr>
            </w:pPr>
          </w:p>
          <w:p w14:paraId="723EB5DA" w14:textId="77777777" w:rsidR="00443399" w:rsidRPr="00B03B51" w:rsidRDefault="00443399" w:rsidP="0054365B">
            <w:pPr>
              <w:jc w:val="both"/>
              <w:rPr>
                <w:rFonts w:ascii="Times New Roman" w:hAnsi="Times New Roman" w:cs="Times New Roman"/>
                <w:b/>
                <w:noProof/>
                <w:sz w:val="24"/>
              </w:rPr>
            </w:pPr>
            <w:r w:rsidRPr="00B03B51">
              <w:rPr>
                <w:rFonts w:ascii="Times New Roman" w:hAnsi="Times New Roman" w:cs="Times New Roman"/>
                <w:b/>
                <w:sz w:val="24"/>
              </w:rPr>
              <w:t>ES tiesību akti un saistītie dokumenti</w:t>
            </w:r>
          </w:p>
          <w:p w14:paraId="6AD36D25" w14:textId="77777777" w:rsidR="00443399" w:rsidRPr="00B03B51" w:rsidRDefault="00443399" w:rsidP="0054365B">
            <w:pPr>
              <w:jc w:val="both"/>
              <w:rPr>
                <w:rFonts w:ascii="Times New Roman" w:eastAsia="Arial" w:hAnsi="Times New Roman" w:cs="Times New Roman"/>
                <w:noProof/>
                <w:sz w:val="24"/>
                <w:szCs w:val="20"/>
              </w:rPr>
            </w:pPr>
            <w:r w:rsidRPr="00B03B51">
              <w:rPr>
                <w:rFonts w:ascii="Times New Roman" w:hAnsi="Times New Roman" w:cs="Times New Roman"/>
                <w:sz w:val="24"/>
              </w:rPr>
              <w:t>ES juridiskā informācija, tostarp visi ES tiesību akti kopš 1951. gada visās oficiālajās valodās, ir pieejama ES tiesību elektroniskās datubāzes tīmekļa vietnē: http://eur-lex.europa.eu.</w:t>
            </w:r>
          </w:p>
          <w:p w14:paraId="4C0F210C" w14:textId="77777777" w:rsidR="00443399" w:rsidRPr="00B03B51" w:rsidRDefault="00443399" w:rsidP="0054365B">
            <w:pPr>
              <w:jc w:val="both"/>
              <w:rPr>
                <w:rFonts w:ascii="Times New Roman" w:eastAsia="Arial" w:hAnsi="Times New Roman" w:cs="Times New Roman"/>
                <w:noProof/>
                <w:sz w:val="24"/>
                <w:szCs w:val="20"/>
              </w:rPr>
            </w:pPr>
          </w:p>
          <w:p w14:paraId="7B73A5E4" w14:textId="77777777" w:rsidR="00443399" w:rsidRPr="00B03B51" w:rsidRDefault="00443399" w:rsidP="0054365B">
            <w:pPr>
              <w:jc w:val="both"/>
              <w:rPr>
                <w:rFonts w:ascii="Times New Roman" w:hAnsi="Times New Roman" w:cs="Times New Roman"/>
                <w:b/>
                <w:noProof/>
                <w:sz w:val="24"/>
              </w:rPr>
            </w:pPr>
            <w:r w:rsidRPr="00B03B51">
              <w:rPr>
                <w:rFonts w:ascii="Times New Roman" w:hAnsi="Times New Roman" w:cs="Times New Roman"/>
                <w:b/>
                <w:sz w:val="24"/>
              </w:rPr>
              <w:t>ES atvērtie dati</w:t>
            </w:r>
          </w:p>
          <w:p w14:paraId="1EB0288C" w14:textId="77777777" w:rsidR="00443399" w:rsidRPr="00B03B51" w:rsidRDefault="00443399" w:rsidP="0054365B">
            <w:pPr>
              <w:jc w:val="both"/>
              <w:rPr>
                <w:rFonts w:ascii="Times New Roman" w:eastAsia="Arial" w:hAnsi="Times New Roman" w:cs="Times New Roman"/>
                <w:noProof/>
                <w:sz w:val="24"/>
                <w:szCs w:val="20"/>
              </w:rPr>
            </w:pPr>
            <w:r w:rsidRPr="00B03B51">
              <w:rPr>
                <w:rFonts w:ascii="Times New Roman" w:hAnsi="Times New Roman" w:cs="Times New Roman"/>
                <w:sz w:val="24"/>
              </w:rPr>
              <w:t>ES atvērto datu portāls (http://data.europa.eu/euodp/en/data) nodrošina piekļuvi ES datu kopām. Datus var lejupielādēt un izmantot bez maksas komerciāliem un nekomerciāliem nolūkiem.</w:t>
            </w:r>
          </w:p>
        </w:tc>
      </w:tr>
    </w:tbl>
    <w:p w14:paraId="03712D67" w14:textId="77777777" w:rsidR="00443399" w:rsidRPr="00B03B51" w:rsidRDefault="00443399" w:rsidP="00443399">
      <w:pPr>
        <w:rPr>
          <w:rFonts w:ascii="Times New Roman" w:eastAsia="Arial" w:hAnsi="Times New Roman" w:cs="Times New Roman"/>
          <w:noProof/>
          <w:sz w:val="24"/>
          <w:szCs w:val="20"/>
        </w:rPr>
      </w:pPr>
      <w:r w:rsidRPr="00B03B51">
        <w:rPr>
          <w:rFonts w:ascii="Times New Roman" w:hAnsi="Times New Roman" w:cs="Times New Roman"/>
        </w:rPr>
        <w:br w:type="page"/>
      </w:r>
    </w:p>
    <w:p w14:paraId="27E78855" w14:textId="77777777" w:rsidR="00443399" w:rsidRPr="00B03B51" w:rsidRDefault="00443399" w:rsidP="00443399">
      <w:pPr>
        <w:jc w:val="both"/>
        <w:rPr>
          <w:rFonts w:ascii="Times New Roman" w:eastAsia="Arial" w:hAnsi="Times New Roman" w:cs="Times New Roman"/>
          <w:noProof/>
          <w:sz w:val="24"/>
          <w:szCs w:val="20"/>
        </w:rPr>
      </w:pPr>
    </w:p>
    <w:p w14:paraId="7865FC64" w14:textId="77777777" w:rsidR="00443399" w:rsidRPr="00B03B51" w:rsidRDefault="00443399" w:rsidP="00443399">
      <w:pPr>
        <w:jc w:val="both"/>
        <w:rPr>
          <w:rFonts w:ascii="Times New Roman" w:eastAsia="Arial" w:hAnsi="Times New Roman" w:cs="Times New Roman"/>
          <w:b/>
          <w:bCs/>
          <w:noProof/>
          <w:sz w:val="28"/>
        </w:rPr>
      </w:pPr>
      <w:r w:rsidRPr="00B03B51">
        <w:rPr>
          <w:rFonts w:ascii="Times New Roman" w:hAnsi="Times New Roman" w:cs="Times New Roman"/>
          <w:b/>
          <w:bCs/>
          <w:sz w:val="28"/>
        </w:rPr>
        <w:t>Valdības budžeta deficīta un parāda rokasgrāmata</w:t>
      </w:r>
    </w:p>
    <w:p w14:paraId="7B908E85" w14:textId="77777777" w:rsidR="00443399" w:rsidRPr="00B03B51" w:rsidRDefault="00443399" w:rsidP="00443399">
      <w:pPr>
        <w:jc w:val="both"/>
        <w:rPr>
          <w:rFonts w:ascii="Times New Roman" w:eastAsia="Arial" w:hAnsi="Times New Roman" w:cs="Times New Roman"/>
          <w:b/>
          <w:bCs/>
          <w:noProof/>
          <w:sz w:val="28"/>
        </w:rPr>
      </w:pPr>
    </w:p>
    <w:p w14:paraId="73B890CE" w14:textId="77777777" w:rsidR="00443399" w:rsidRPr="00B03B51" w:rsidRDefault="00443399" w:rsidP="00443399">
      <w:pPr>
        <w:jc w:val="both"/>
        <w:rPr>
          <w:rFonts w:ascii="Times New Roman" w:eastAsia="Arial" w:hAnsi="Times New Roman" w:cs="Times New Roman"/>
          <w:b/>
          <w:bCs/>
          <w:noProof/>
          <w:sz w:val="28"/>
        </w:rPr>
      </w:pPr>
      <w:r w:rsidRPr="00B03B51">
        <w:rPr>
          <w:rFonts w:ascii="Times New Roman" w:hAnsi="Times New Roman" w:cs="Times New Roman"/>
          <w:b/>
          <w:bCs/>
          <w:sz w:val="28"/>
        </w:rPr>
        <w:t>EKS 2010 ĪSTENOŠANA</w:t>
      </w:r>
    </w:p>
    <w:p w14:paraId="411B6537" w14:textId="77777777" w:rsidR="00443399" w:rsidRPr="00B03B51" w:rsidRDefault="00443399" w:rsidP="00443399">
      <w:pPr>
        <w:jc w:val="both"/>
        <w:rPr>
          <w:rFonts w:ascii="Times New Roman" w:eastAsia="Arial" w:hAnsi="Times New Roman" w:cs="Times New Roman"/>
          <w:noProof/>
          <w:sz w:val="24"/>
          <w:szCs w:val="20"/>
        </w:rPr>
      </w:pPr>
    </w:p>
    <w:p w14:paraId="5306B4E3" w14:textId="77777777" w:rsidR="00443399" w:rsidRPr="00100B51" w:rsidRDefault="00443399" w:rsidP="00100B51">
      <w:pPr>
        <w:pStyle w:val="BodyText"/>
        <w:spacing w:before="0"/>
        <w:ind w:left="0" w:firstLine="0"/>
        <w:jc w:val="both"/>
        <w:rPr>
          <w:rFonts w:ascii="Times New Roman" w:hAnsi="Times New Roman" w:cs="Times New Roman"/>
          <w:noProof/>
          <w:sz w:val="24"/>
          <w:szCs w:val="24"/>
        </w:rPr>
      </w:pPr>
      <w:r w:rsidRPr="00100B51">
        <w:rPr>
          <w:rFonts w:ascii="Times New Roman" w:hAnsi="Times New Roman" w:cs="Times New Roman"/>
          <w:sz w:val="24"/>
          <w:szCs w:val="24"/>
        </w:rPr>
        <w:t xml:space="preserve">Šis rokasgrāmatas jaunais 2019. gada izdevums ir 2016. gadā publicētā izdevuma atjauninātā redakcija. Šajā izdevumā visās daļās vismaz viena nodaļa ir būtiski grozīta (rokasgrāmatas ievadā ir sniegts nodaļu pilnīgs uzskaitījums), izņemot 5. daļu “Aktīvu pārdošana” un 7. daļu “Ar parādu saistītie darījumi un garantijas”. Tika pievienotas šādas jaunas apakšiedaļas – 2.4.3.17. apakšiedaļa “Procentu ierakstīšana, kad parāda instruments satur atvasinātu instrumentu”, 2.4.3.18. apakšiedaļa “Procenti par ārpustirgus mijmaiņas darījumiem”, 2.4.3.19. apakšiedaļa “Procenti, kas uzkrāti par strīdīgiem starpvaldību aizdevumiem” un 2.4.3.20. apakšiedaļa “Procenti, kas uzkrāti par starpvaldību aizdevumiem, kuri, visticamāk, netiks apmaksāti”, kā arī pievienota jauna 2.6.3. iedaļa “Tā saucamo ES “finanšu instrumentu” grāmatvedības traktējums” un 4.7. nodaļa “No ienākumiem atkarīgi aizdevumi”. Kā parasti šis izdevums ir tapis kolektīva darba rezultātā </w:t>
      </w:r>
      <w:r w:rsidRPr="00100B51">
        <w:rPr>
          <w:rFonts w:ascii="Times New Roman" w:hAnsi="Times New Roman" w:cs="Times New Roman"/>
          <w:i/>
          <w:iCs/>
          <w:sz w:val="24"/>
          <w:szCs w:val="24"/>
        </w:rPr>
        <w:t>Eurostat</w:t>
      </w:r>
      <w:r w:rsidRPr="00100B51">
        <w:rPr>
          <w:rFonts w:ascii="Times New Roman" w:hAnsi="Times New Roman" w:cs="Times New Roman"/>
          <w:sz w:val="24"/>
          <w:szCs w:val="24"/>
        </w:rPr>
        <w:t xml:space="preserve"> uzraudzībā un sadarbībā ar ES dalībvalstu un citu starptautisko institūciju ekspertiem.</w:t>
      </w:r>
    </w:p>
    <w:p w14:paraId="4356545D" w14:textId="77777777" w:rsidR="00443399" w:rsidRPr="00B03B51" w:rsidRDefault="00443399" w:rsidP="00443399">
      <w:pPr>
        <w:jc w:val="both"/>
        <w:rPr>
          <w:rFonts w:ascii="Times New Roman" w:eastAsia="Calibri" w:hAnsi="Times New Roman" w:cs="Times New Roman"/>
          <w:noProof/>
          <w:sz w:val="24"/>
          <w:szCs w:val="20"/>
        </w:rPr>
      </w:pPr>
    </w:p>
    <w:p w14:paraId="73CAF7FD" w14:textId="77777777" w:rsidR="00443399" w:rsidRPr="00B03B51" w:rsidRDefault="00443399" w:rsidP="00443399">
      <w:pPr>
        <w:jc w:val="both"/>
        <w:rPr>
          <w:rFonts w:ascii="Times New Roman" w:hAnsi="Times New Roman" w:cs="Times New Roman"/>
          <w:b/>
          <w:noProof/>
          <w:sz w:val="24"/>
        </w:rPr>
      </w:pPr>
      <w:r w:rsidRPr="00B03B51">
        <w:rPr>
          <w:rFonts w:ascii="Times New Roman" w:hAnsi="Times New Roman" w:cs="Times New Roman"/>
          <w:b/>
          <w:sz w:val="24"/>
        </w:rPr>
        <w:t>Plašāka informācija ir pieejama tīmekļa vietnē:</w:t>
      </w:r>
    </w:p>
    <w:p w14:paraId="4C98924E" w14:textId="77777777" w:rsidR="00443399" w:rsidRPr="00B03B51" w:rsidRDefault="00443399" w:rsidP="00443399">
      <w:pPr>
        <w:jc w:val="both"/>
        <w:rPr>
          <w:rFonts w:ascii="Times New Roman" w:hAnsi="Times New Roman" w:cs="Times New Roman"/>
          <w:b/>
          <w:noProof/>
          <w:sz w:val="24"/>
        </w:rPr>
      </w:pPr>
      <w:r w:rsidRPr="00B03B51">
        <w:rPr>
          <w:rFonts w:ascii="Times New Roman" w:hAnsi="Times New Roman" w:cs="Times New Roman"/>
          <w:b/>
          <w:sz w:val="24"/>
        </w:rPr>
        <w:t>https://ec.europa.eu/eurostat/</w:t>
      </w:r>
    </w:p>
    <w:p w14:paraId="14319BAC" w14:textId="77777777" w:rsidR="00443399" w:rsidRPr="00B03B51" w:rsidRDefault="00443399" w:rsidP="00443399">
      <w:pPr>
        <w:jc w:val="both"/>
        <w:rPr>
          <w:rFonts w:ascii="Times New Roman" w:eastAsia="Calibri" w:hAnsi="Times New Roman" w:cs="Times New Roman"/>
          <w:b/>
          <w:bCs/>
          <w:noProof/>
          <w:sz w:val="24"/>
          <w:szCs w:val="20"/>
        </w:rPr>
      </w:pPr>
    </w:p>
    <w:p w14:paraId="4E2DC716" w14:textId="77777777" w:rsidR="00443399" w:rsidRPr="00B03B51" w:rsidRDefault="00443399" w:rsidP="00443399">
      <w:pPr>
        <w:jc w:val="both"/>
        <w:rPr>
          <w:rFonts w:ascii="Times New Roman" w:eastAsia="Calibri" w:hAnsi="Times New Roman" w:cs="Times New Roman"/>
          <w:b/>
          <w:bCs/>
          <w:noProof/>
          <w:sz w:val="24"/>
          <w:szCs w:val="20"/>
        </w:rPr>
      </w:pPr>
    </w:p>
    <w:p w14:paraId="4D3B7A46" w14:textId="77777777" w:rsidR="00443399" w:rsidRPr="00B03B51" w:rsidRDefault="00443399" w:rsidP="00443399">
      <w:pPr>
        <w:jc w:val="both"/>
        <w:rPr>
          <w:rFonts w:ascii="Times New Roman" w:eastAsia="Calibri" w:hAnsi="Times New Roman" w:cs="Times New Roman"/>
          <w:b/>
          <w:bCs/>
          <w:noProof/>
          <w:sz w:val="24"/>
          <w:szCs w:val="20"/>
        </w:rPr>
      </w:pPr>
    </w:p>
    <w:p w14:paraId="7DCE9CC1" w14:textId="77777777" w:rsidR="00443399" w:rsidRPr="00B03B51" w:rsidRDefault="00443399" w:rsidP="00443399">
      <w:pPr>
        <w:jc w:val="both"/>
        <w:rPr>
          <w:rFonts w:ascii="Times New Roman" w:eastAsia="Calibri" w:hAnsi="Times New Roman" w:cs="Times New Roman"/>
          <w:b/>
          <w:bCs/>
          <w:noProof/>
          <w:sz w:val="24"/>
          <w:szCs w:val="20"/>
        </w:rPr>
      </w:pPr>
    </w:p>
    <w:p w14:paraId="7A608355" w14:textId="77777777" w:rsidR="00443399" w:rsidRPr="00B03B51" w:rsidRDefault="00443399" w:rsidP="00443399">
      <w:pPr>
        <w:jc w:val="both"/>
        <w:rPr>
          <w:rFonts w:ascii="Times New Roman" w:eastAsia="Calibri" w:hAnsi="Times New Roman" w:cs="Times New Roman"/>
          <w:b/>
          <w:bCs/>
          <w:noProof/>
          <w:sz w:val="24"/>
          <w:szCs w:val="20"/>
        </w:rPr>
      </w:pPr>
    </w:p>
    <w:p w14:paraId="639B5162" w14:textId="77777777" w:rsidR="00443399" w:rsidRPr="00B03B51" w:rsidRDefault="00443399" w:rsidP="00443399">
      <w:pPr>
        <w:jc w:val="both"/>
        <w:rPr>
          <w:rFonts w:ascii="Times New Roman" w:eastAsia="Calibri" w:hAnsi="Times New Roman" w:cs="Times New Roman"/>
          <w:b/>
          <w:bCs/>
          <w:noProof/>
          <w:sz w:val="24"/>
          <w:szCs w:val="20"/>
        </w:rPr>
      </w:pPr>
    </w:p>
    <w:p w14:paraId="588E0008" w14:textId="77777777" w:rsidR="00443399" w:rsidRPr="00B03B51" w:rsidRDefault="00443399" w:rsidP="00443399">
      <w:pPr>
        <w:jc w:val="both"/>
        <w:rPr>
          <w:rFonts w:ascii="Times New Roman" w:eastAsia="Calibri" w:hAnsi="Times New Roman" w:cs="Times New Roman"/>
          <w:b/>
          <w:bCs/>
          <w:noProof/>
          <w:sz w:val="24"/>
          <w:szCs w:val="20"/>
        </w:rPr>
      </w:pPr>
    </w:p>
    <w:p w14:paraId="5AA40E2B" w14:textId="77777777" w:rsidR="00443399" w:rsidRPr="00B03B51" w:rsidRDefault="00443399" w:rsidP="00443399">
      <w:pPr>
        <w:jc w:val="both"/>
        <w:rPr>
          <w:rFonts w:ascii="Times New Roman" w:eastAsia="Calibri" w:hAnsi="Times New Roman" w:cs="Times New Roman"/>
          <w:b/>
          <w:bCs/>
          <w:noProof/>
          <w:sz w:val="24"/>
          <w:szCs w:val="20"/>
        </w:rPr>
      </w:pPr>
    </w:p>
    <w:p w14:paraId="62C06A99" w14:textId="77777777" w:rsidR="00443399" w:rsidRPr="00B03B51" w:rsidRDefault="00443399" w:rsidP="00443399">
      <w:pPr>
        <w:jc w:val="both"/>
        <w:rPr>
          <w:rFonts w:ascii="Times New Roman" w:eastAsia="Calibri" w:hAnsi="Times New Roman" w:cs="Times New Roman"/>
          <w:b/>
          <w:bCs/>
          <w:noProof/>
          <w:sz w:val="24"/>
          <w:szCs w:val="20"/>
        </w:rPr>
      </w:pPr>
    </w:p>
    <w:p w14:paraId="0AC66DC4" w14:textId="77777777" w:rsidR="00443399" w:rsidRPr="00B03B51" w:rsidRDefault="00443399" w:rsidP="00443399">
      <w:pPr>
        <w:jc w:val="both"/>
        <w:rPr>
          <w:rFonts w:ascii="Times New Roman" w:eastAsia="Calibri" w:hAnsi="Times New Roman" w:cs="Times New Roman"/>
          <w:b/>
          <w:bCs/>
          <w:noProof/>
          <w:sz w:val="24"/>
          <w:szCs w:val="20"/>
        </w:rPr>
      </w:pPr>
    </w:p>
    <w:p w14:paraId="796DA72E" w14:textId="0732D5AD" w:rsidR="00443399" w:rsidRPr="00B03B51" w:rsidRDefault="00443399" w:rsidP="00443399">
      <w:pPr>
        <w:jc w:val="both"/>
        <w:rPr>
          <w:rFonts w:ascii="Times New Roman" w:eastAsia="Calibri" w:hAnsi="Times New Roman" w:cs="Times New Roman"/>
          <w:b/>
          <w:bCs/>
          <w:noProof/>
          <w:sz w:val="24"/>
          <w:szCs w:val="20"/>
        </w:rPr>
      </w:pPr>
    </w:p>
    <w:p w14:paraId="443C0FA3" w14:textId="7DBAF0F2" w:rsidR="00F1651B" w:rsidRPr="00B03B51" w:rsidRDefault="00F1651B" w:rsidP="00443399">
      <w:pPr>
        <w:jc w:val="both"/>
        <w:rPr>
          <w:rFonts w:ascii="Times New Roman" w:eastAsia="Calibri" w:hAnsi="Times New Roman" w:cs="Times New Roman"/>
          <w:b/>
          <w:bCs/>
          <w:noProof/>
          <w:sz w:val="24"/>
          <w:szCs w:val="20"/>
        </w:rPr>
      </w:pPr>
    </w:p>
    <w:p w14:paraId="0D5BFC92" w14:textId="1576AD8C" w:rsidR="00F1651B" w:rsidRPr="00B03B51" w:rsidRDefault="00F1651B" w:rsidP="00443399">
      <w:pPr>
        <w:jc w:val="both"/>
        <w:rPr>
          <w:rFonts w:ascii="Times New Roman" w:eastAsia="Calibri" w:hAnsi="Times New Roman" w:cs="Times New Roman"/>
          <w:b/>
          <w:bCs/>
          <w:noProof/>
          <w:sz w:val="24"/>
          <w:szCs w:val="20"/>
        </w:rPr>
      </w:pPr>
    </w:p>
    <w:p w14:paraId="04EC95F3" w14:textId="034146B3" w:rsidR="00A91CE5" w:rsidRPr="00B03B51" w:rsidRDefault="00A91CE5" w:rsidP="00443399">
      <w:pPr>
        <w:jc w:val="both"/>
        <w:rPr>
          <w:rFonts w:ascii="Times New Roman" w:eastAsia="Calibri" w:hAnsi="Times New Roman" w:cs="Times New Roman"/>
          <w:b/>
          <w:bCs/>
          <w:noProof/>
          <w:sz w:val="24"/>
          <w:szCs w:val="20"/>
        </w:rPr>
      </w:pPr>
    </w:p>
    <w:p w14:paraId="7A41F613" w14:textId="4F8A27D2" w:rsidR="00A91CE5" w:rsidRPr="00B03B51" w:rsidRDefault="00A91CE5" w:rsidP="00443399">
      <w:pPr>
        <w:jc w:val="both"/>
        <w:rPr>
          <w:rFonts w:ascii="Times New Roman" w:eastAsia="Calibri" w:hAnsi="Times New Roman" w:cs="Times New Roman"/>
          <w:b/>
          <w:bCs/>
          <w:noProof/>
          <w:sz w:val="24"/>
          <w:szCs w:val="20"/>
        </w:rPr>
      </w:pPr>
    </w:p>
    <w:p w14:paraId="022689DF" w14:textId="1B83D6AD" w:rsidR="00A91CE5" w:rsidRPr="00B03B51" w:rsidRDefault="00A91CE5" w:rsidP="00443399">
      <w:pPr>
        <w:jc w:val="both"/>
        <w:rPr>
          <w:rFonts w:ascii="Times New Roman" w:eastAsia="Calibri" w:hAnsi="Times New Roman" w:cs="Times New Roman"/>
          <w:b/>
          <w:bCs/>
          <w:noProof/>
          <w:sz w:val="24"/>
          <w:szCs w:val="20"/>
        </w:rPr>
      </w:pPr>
    </w:p>
    <w:p w14:paraId="2BCF7A33" w14:textId="518FCEB8" w:rsidR="00A91CE5" w:rsidRPr="00B03B51" w:rsidRDefault="00A91CE5" w:rsidP="00443399">
      <w:pPr>
        <w:jc w:val="both"/>
        <w:rPr>
          <w:rFonts w:ascii="Times New Roman" w:eastAsia="Calibri" w:hAnsi="Times New Roman" w:cs="Times New Roman"/>
          <w:b/>
          <w:bCs/>
          <w:noProof/>
          <w:sz w:val="24"/>
          <w:szCs w:val="20"/>
        </w:rPr>
      </w:pPr>
    </w:p>
    <w:p w14:paraId="14FA3AAB" w14:textId="5EA97315" w:rsidR="00A91CE5" w:rsidRPr="00B03B51" w:rsidRDefault="00A91CE5" w:rsidP="00443399">
      <w:pPr>
        <w:jc w:val="both"/>
        <w:rPr>
          <w:rFonts w:ascii="Times New Roman" w:eastAsia="Calibri" w:hAnsi="Times New Roman" w:cs="Times New Roman"/>
          <w:b/>
          <w:bCs/>
          <w:noProof/>
          <w:sz w:val="24"/>
          <w:szCs w:val="20"/>
        </w:rPr>
      </w:pPr>
    </w:p>
    <w:p w14:paraId="25B0D8FA" w14:textId="77777777" w:rsidR="00A91CE5" w:rsidRPr="00B03B51" w:rsidRDefault="00A91CE5" w:rsidP="00443399">
      <w:pPr>
        <w:jc w:val="both"/>
        <w:rPr>
          <w:rFonts w:ascii="Times New Roman" w:eastAsia="Calibri" w:hAnsi="Times New Roman" w:cs="Times New Roman"/>
          <w:b/>
          <w:bCs/>
          <w:noProof/>
          <w:sz w:val="24"/>
          <w:szCs w:val="20"/>
        </w:rPr>
      </w:pPr>
    </w:p>
    <w:p w14:paraId="05B059D1" w14:textId="77777777" w:rsidR="00F1651B" w:rsidRPr="00B03B51" w:rsidRDefault="00F1651B" w:rsidP="00443399">
      <w:pPr>
        <w:jc w:val="both"/>
        <w:rPr>
          <w:rFonts w:ascii="Times New Roman" w:eastAsia="Calibri" w:hAnsi="Times New Roman" w:cs="Times New Roman"/>
          <w:b/>
          <w:bCs/>
          <w:noProof/>
          <w:sz w:val="24"/>
          <w:szCs w:val="20"/>
        </w:rPr>
      </w:pPr>
    </w:p>
    <w:p w14:paraId="3F62B698" w14:textId="77777777" w:rsidR="00F1651B" w:rsidRPr="00B03B51" w:rsidRDefault="00F1651B" w:rsidP="00443399">
      <w:pPr>
        <w:jc w:val="both"/>
        <w:rPr>
          <w:rFonts w:ascii="Times New Roman" w:eastAsia="Calibri" w:hAnsi="Times New Roman" w:cs="Times New Roman"/>
          <w:b/>
          <w:bCs/>
          <w:noProof/>
          <w:sz w:val="24"/>
          <w:szCs w:val="20"/>
        </w:rPr>
      </w:pPr>
    </w:p>
    <w:p w14:paraId="7EB38BA4" w14:textId="77777777" w:rsidR="00443399" w:rsidRPr="00EE25F0" w:rsidRDefault="00443399" w:rsidP="00443399">
      <w:pPr>
        <w:jc w:val="both"/>
        <w:rPr>
          <w:rFonts w:ascii="Times New Roman" w:eastAsia="Calibri" w:hAnsi="Times New Roman" w:cs="Calibri"/>
          <w:b/>
          <w:bCs/>
          <w:noProof/>
          <w:sz w:val="24"/>
          <w:szCs w:val="20"/>
        </w:rPr>
      </w:pPr>
    </w:p>
    <w:p w14:paraId="4900FD33" w14:textId="77777777" w:rsidR="00443399" w:rsidRPr="00EE25F0" w:rsidRDefault="00443399" w:rsidP="00443399">
      <w:pPr>
        <w:jc w:val="both"/>
        <w:rPr>
          <w:rFonts w:ascii="Times New Roman" w:eastAsia="Calibri" w:hAnsi="Times New Roman" w:cs="Calibri"/>
          <w:b/>
          <w:bCs/>
          <w:noProof/>
          <w:sz w:val="24"/>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390"/>
        <w:gridCol w:w="4665"/>
      </w:tblGrid>
      <w:tr w:rsidR="00443399" w14:paraId="1F267434" w14:textId="77777777" w:rsidTr="00A91CE5">
        <w:tc>
          <w:tcPr>
            <w:tcW w:w="4390" w:type="dxa"/>
          </w:tcPr>
          <w:p w14:paraId="45FE79A6" w14:textId="77777777" w:rsidR="00443399" w:rsidRDefault="00443399" w:rsidP="0054365B">
            <w:pPr>
              <w:jc w:val="both"/>
              <w:rPr>
                <w:rFonts w:ascii="Times New Roman" w:eastAsia="Calibri" w:hAnsi="Times New Roman" w:cs="Calibri"/>
                <w:b/>
                <w:bCs/>
                <w:noProof/>
                <w:sz w:val="24"/>
                <w:szCs w:val="20"/>
              </w:rPr>
            </w:pPr>
            <w:r>
              <w:rPr>
                <w:rFonts w:ascii="Times New Roman" w:hAnsi="Times New Roman"/>
                <w:b/>
                <w:bCs/>
                <w:noProof/>
                <w:sz w:val="24"/>
                <w:szCs w:val="20"/>
              </w:rPr>
              <w:drawing>
                <wp:inline distT="0" distB="0" distL="0" distR="0" wp14:anchorId="5CCA154A" wp14:editId="4F9FA1E8">
                  <wp:extent cx="1211580" cy="724535"/>
                  <wp:effectExtent l="0" t="0" r="0" b="0"/>
                  <wp:docPr id="165" name="Picture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1"/>
                          <pic:cNvPicPr>
                            <a:picLocks noChangeAspect="1" noChangeArrowheads="1"/>
                          </pic:cNvPicPr>
                        </pic:nvPicPr>
                        <pic:blipFill>
                          <a:blip r:embed="rId174">
                            <a:extLst>
                              <a:ext uri="{28A0092B-C50C-407E-A947-70E740481C1C}">
                                <a14:useLocalDpi xmlns:a14="http://schemas.microsoft.com/office/drawing/2010/main" val="0"/>
                              </a:ext>
                            </a:extLst>
                          </a:blip>
                          <a:srcRect/>
                          <a:stretch>
                            <a:fillRect/>
                          </a:stretch>
                        </pic:blipFill>
                        <pic:spPr bwMode="auto">
                          <a:xfrm>
                            <a:off x="0" y="0"/>
                            <a:ext cx="1211580" cy="724535"/>
                          </a:xfrm>
                          <a:prstGeom prst="rect">
                            <a:avLst/>
                          </a:prstGeom>
                          <a:noFill/>
                          <a:ln>
                            <a:noFill/>
                          </a:ln>
                        </pic:spPr>
                      </pic:pic>
                    </a:graphicData>
                  </a:graphic>
                </wp:inline>
              </w:drawing>
            </w:r>
          </w:p>
          <w:p w14:paraId="4E8DB344" w14:textId="77777777" w:rsidR="00443399" w:rsidRDefault="00443399" w:rsidP="0054365B">
            <w:pPr>
              <w:jc w:val="both"/>
              <w:rPr>
                <w:rFonts w:ascii="Times New Roman" w:hAnsi="Times New Roman"/>
                <w:b/>
                <w:bCs/>
                <w:sz w:val="24"/>
                <w:szCs w:val="20"/>
              </w:rPr>
            </w:pPr>
            <w:r>
              <w:rPr>
                <w:rFonts w:ascii="Times New Roman" w:hAnsi="Times New Roman"/>
                <w:b/>
                <w:bCs/>
                <w:sz w:val="24"/>
                <w:szCs w:val="20"/>
              </w:rPr>
              <w:t>Eiropas Kopienu</w:t>
            </w:r>
          </w:p>
          <w:p w14:paraId="2D230900" w14:textId="77777777" w:rsidR="00443399" w:rsidRDefault="00443399" w:rsidP="0054365B">
            <w:pPr>
              <w:jc w:val="both"/>
              <w:rPr>
                <w:rFonts w:ascii="Times New Roman" w:eastAsia="Calibri" w:hAnsi="Times New Roman" w:cs="Calibri"/>
                <w:b/>
                <w:bCs/>
                <w:noProof/>
                <w:sz w:val="24"/>
                <w:szCs w:val="20"/>
              </w:rPr>
            </w:pPr>
            <w:r>
              <w:rPr>
                <w:rFonts w:ascii="Times New Roman" w:hAnsi="Times New Roman"/>
                <w:b/>
                <w:bCs/>
                <w:sz w:val="24"/>
                <w:szCs w:val="20"/>
              </w:rPr>
              <w:t>Oficiālo publikāciju birojs</w:t>
            </w:r>
          </w:p>
        </w:tc>
        <w:tc>
          <w:tcPr>
            <w:tcW w:w="4665" w:type="dxa"/>
            <w:vAlign w:val="bottom"/>
          </w:tcPr>
          <w:p w14:paraId="341D21EA" w14:textId="77777777" w:rsidR="00443399" w:rsidRPr="00EE25F0" w:rsidRDefault="00443399" w:rsidP="00A91CE5">
            <w:pPr>
              <w:jc w:val="right"/>
              <w:rPr>
                <w:rFonts w:ascii="Times New Roman" w:hAnsi="Times New Roman"/>
                <w:noProof/>
                <w:sz w:val="24"/>
              </w:rPr>
            </w:pPr>
            <w:r>
              <w:rPr>
                <w:rFonts w:ascii="Times New Roman" w:hAnsi="Times New Roman"/>
                <w:sz w:val="24"/>
              </w:rPr>
              <w:t>Drukātais izdevums: ISBN: 978-92-76-09292-6</w:t>
            </w:r>
          </w:p>
          <w:p w14:paraId="5CAACA79" w14:textId="77777777" w:rsidR="00443399" w:rsidRPr="00C3618F" w:rsidRDefault="00443399" w:rsidP="00A91CE5">
            <w:pPr>
              <w:jc w:val="right"/>
              <w:rPr>
                <w:rFonts w:ascii="Times New Roman" w:hAnsi="Times New Roman"/>
                <w:noProof/>
                <w:sz w:val="24"/>
              </w:rPr>
            </w:pPr>
            <w:r>
              <w:rPr>
                <w:rFonts w:ascii="Times New Roman" w:hAnsi="Times New Roman"/>
                <w:i/>
                <w:iCs/>
                <w:sz w:val="24"/>
              </w:rPr>
              <w:t>PDF</w:t>
            </w:r>
            <w:r>
              <w:rPr>
                <w:rFonts w:ascii="Times New Roman" w:hAnsi="Times New Roman"/>
                <w:sz w:val="24"/>
              </w:rPr>
              <w:t>: ISBN: 978-92-76-09294-0</w:t>
            </w:r>
          </w:p>
        </w:tc>
      </w:tr>
    </w:tbl>
    <w:p w14:paraId="52773F5F" w14:textId="77777777" w:rsidR="00A8301F" w:rsidRPr="00627E96" w:rsidRDefault="00A8301F" w:rsidP="00A91CE5">
      <w:pPr>
        <w:rPr>
          <w:rFonts w:ascii="Times New Roman" w:hAnsi="Times New Roman"/>
          <w:sz w:val="24"/>
        </w:rPr>
      </w:pPr>
    </w:p>
    <w:sectPr w:rsidR="00A8301F" w:rsidRPr="00627E96" w:rsidSect="00627E96">
      <w:headerReference w:type="default" r:id="rId175"/>
      <w:footerReference w:type="default" r:id="rId176"/>
      <w:headerReference w:type="first" r:id="rId177"/>
      <w:footerReference w:type="first" r:id="rId178"/>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1F9704" w14:textId="77777777" w:rsidR="0003108B" w:rsidRDefault="0003108B" w:rsidP="00994F93">
      <w:r>
        <w:separator/>
      </w:r>
    </w:p>
  </w:endnote>
  <w:endnote w:type="continuationSeparator" w:id="0">
    <w:p w14:paraId="32056B12" w14:textId="77777777" w:rsidR="0003108B" w:rsidRDefault="0003108B" w:rsidP="00994F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21FD94" w14:textId="77777777" w:rsidR="00F27871" w:rsidRPr="001C4B02" w:rsidRDefault="00F27871" w:rsidP="001C4B02">
    <w:pPr>
      <w:pStyle w:val="Header"/>
      <w:tabs>
        <w:tab w:val="left" w:pos="9072"/>
      </w:tabs>
      <w:rPr>
        <w:rStyle w:val="PageNumber"/>
        <w:rFonts w:ascii="Times New Roman" w:hAnsi="Times New Roman" w:cs="Times New Roman"/>
        <w:sz w:val="20"/>
        <w:szCs w:val="18"/>
      </w:rPr>
    </w:pPr>
  </w:p>
  <w:p w14:paraId="7109FB2B" w14:textId="73BD5189" w:rsidR="00F27871" w:rsidRPr="001C4B02" w:rsidRDefault="00F27871" w:rsidP="001C4B02">
    <w:pPr>
      <w:pStyle w:val="Header"/>
      <w:tabs>
        <w:tab w:val="clear" w:pos="4513"/>
        <w:tab w:val="clear" w:pos="9026"/>
        <w:tab w:val="right" w:leader="underscore" w:pos="9072"/>
      </w:tabs>
      <w:rPr>
        <w:rStyle w:val="PageNumber"/>
        <w:rFonts w:ascii="Times New Roman" w:hAnsi="Times New Roman" w:cs="Times New Roman"/>
        <w:sz w:val="20"/>
        <w:szCs w:val="18"/>
      </w:rPr>
    </w:pPr>
    <w:r w:rsidRPr="001C4B02">
      <w:rPr>
        <w:rStyle w:val="PageNumber"/>
        <w:rFonts w:ascii="Times New Roman" w:hAnsi="Times New Roman" w:cs="Times New Roman"/>
        <w:sz w:val="20"/>
        <w:szCs w:val="18"/>
      </w:rPr>
      <w:tab/>
    </w:r>
  </w:p>
  <w:p w14:paraId="26F589BF" w14:textId="77777777" w:rsidR="00F27871" w:rsidRPr="001C4B02" w:rsidRDefault="00F27871" w:rsidP="001C4B02">
    <w:pPr>
      <w:pStyle w:val="Header"/>
      <w:tabs>
        <w:tab w:val="right" w:pos="9072"/>
      </w:tabs>
      <w:rPr>
        <w:rStyle w:val="PageNumber"/>
        <w:rFonts w:ascii="Times New Roman" w:hAnsi="Times New Roman" w:cs="Times New Roman"/>
        <w:sz w:val="20"/>
        <w:szCs w:val="18"/>
      </w:rPr>
    </w:pPr>
  </w:p>
  <w:p w14:paraId="34B2383C" w14:textId="21E27A54" w:rsidR="00F27871" w:rsidRPr="001C4B02" w:rsidRDefault="00F27871" w:rsidP="001C4B02">
    <w:pPr>
      <w:pStyle w:val="Footer"/>
      <w:tabs>
        <w:tab w:val="clear" w:pos="4513"/>
        <w:tab w:val="clear" w:pos="9026"/>
        <w:tab w:val="center" w:pos="9071"/>
      </w:tabs>
      <w:rPr>
        <w:rFonts w:ascii="Times New Roman" w:hAnsi="Times New Roman" w:cs="Times New Roman"/>
        <w:sz w:val="20"/>
        <w:szCs w:val="18"/>
      </w:rPr>
    </w:pPr>
    <w:r w:rsidRPr="001C4B02">
      <w:rPr>
        <w:rFonts w:ascii="Times New Roman" w:hAnsi="Times New Roman" w:cs="Times New Roman"/>
        <w:noProof/>
        <w:sz w:val="20"/>
        <w:szCs w:val="18"/>
      </w:rPr>
      <w:t xml:space="preserve">Tulkojums </w:t>
    </w:r>
    <w:r w:rsidRPr="001C4B02">
      <w:rPr>
        <w:rFonts w:ascii="Times New Roman" w:hAnsi="Times New Roman" w:cs="Times New Roman"/>
        <w:noProof/>
        <w:sz w:val="20"/>
        <w:szCs w:val="18"/>
      </w:rPr>
      <w:fldChar w:fldCharType="begin"/>
    </w:r>
    <w:r w:rsidRPr="001C4B02">
      <w:rPr>
        <w:rFonts w:ascii="Times New Roman" w:hAnsi="Times New Roman" w:cs="Times New Roman"/>
        <w:noProof/>
        <w:sz w:val="20"/>
        <w:szCs w:val="18"/>
      </w:rPr>
      <w:instrText>symbol 211 \f "Symbol" \s 9</w:instrText>
    </w:r>
    <w:r w:rsidRPr="001C4B02">
      <w:rPr>
        <w:rFonts w:ascii="Times New Roman" w:hAnsi="Times New Roman" w:cs="Times New Roman"/>
        <w:noProof/>
        <w:sz w:val="20"/>
        <w:szCs w:val="18"/>
      </w:rPr>
      <w:fldChar w:fldCharType="separate"/>
    </w:r>
    <w:r w:rsidRPr="001C4B02">
      <w:rPr>
        <w:rFonts w:ascii="Times New Roman" w:hAnsi="Times New Roman" w:cs="Times New Roman"/>
        <w:noProof/>
        <w:sz w:val="20"/>
        <w:szCs w:val="18"/>
      </w:rPr>
      <w:t>Ó</w:t>
    </w:r>
    <w:r w:rsidRPr="001C4B02">
      <w:rPr>
        <w:rFonts w:ascii="Times New Roman" w:hAnsi="Times New Roman" w:cs="Times New Roman"/>
        <w:noProof/>
        <w:sz w:val="20"/>
        <w:szCs w:val="18"/>
      </w:rPr>
      <w:fldChar w:fldCharType="end"/>
    </w:r>
    <w:r w:rsidRPr="001C4B02">
      <w:rPr>
        <w:rFonts w:ascii="Times New Roman" w:hAnsi="Times New Roman" w:cs="Times New Roman"/>
        <w:noProof/>
        <w:sz w:val="20"/>
        <w:szCs w:val="18"/>
      </w:rPr>
      <w:t xml:space="preserve"> Valsts valodas centrs, 202</w:t>
    </w:r>
    <w:r w:rsidR="00443399">
      <w:rPr>
        <w:rFonts w:ascii="Times New Roman" w:hAnsi="Times New Roman" w:cs="Times New Roman"/>
        <w:noProof/>
        <w:sz w:val="20"/>
        <w:szCs w:val="18"/>
      </w:rPr>
      <w:t>1</w:t>
    </w:r>
    <w:r w:rsidRPr="001C4B02">
      <w:rPr>
        <w:rFonts w:ascii="Times New Roman" w:hAnsi="Times New Roman" w:cs="Times New Roman"/>
        <w:sz w:val="20"/>
        <w:szCs w:val="18"/>
      </w:rPr>
      <w:tab/>
    </w:r>
    <w:r w:rsidRPr="001C4B02">
      <w:rPr>
        <w:rStyle w:val="PageNumber"/>
        <w:rFonts w:ascii="Times New Roman" w:hAnsi="Times New Roman" w:cs="Times New Roman"/>
        <w:sz w:val="20"/>
        <w:szCs w:val="18"/>
      </w:rPr>
      <w:fldChar w:fldCharType="begin"/>
    </w:r>
    <w:r w:rsidRPr="001C4B02">
      <w:rPr>
        <w:rStyle w:val="PageNumber"/>
        <w:rFonts w:ascii="Times New Roman" w:hAnsi="Times New Roman" w:cs="Times New Roman"/>
        <w:sz w:val="20"/>
        <w:szCs w:val="18"/>
      </w:rPr>
      <w:instrText xml:space="preserve">page </w:instrText>
    </w:r>
    <w:r w:rsidRPr="001C4B02">
      <w:rPr>
        <w:rStyle w:val="PageNumber"/>
        <w:rFonts w:ascii="Times New Roman" w:hAnsi="Times New Roman" w:cs="Times New Roman"/>
        <w:sz w:val="20"/>
        <w:szCs w:val="18"/>
      </w:rPr>
      <w:fldChar w:fldCharType="separate"/>
    </w:r>
    <w:r w:rsidRPr="001C4B02">
      <w:rPr>
        <w:rStyle w:val="PageNumber"/>
        <w:rFonts w:ascii="Times New Roman" w:hAnsi="Times New Roman" w:cs="Times New Roman"/>
        <w:sz w:val="20"/>
        <w:szCs w:val="18"/>
      </w:rPr>
      <w:t>2</w:t>
    </w:r>
    <w:r w:rsidRPr="001C4B02">
      <w:rPr>
        <w:rStyle w:val="PageNumber"/>
        <w:rFonts w:ascii="Times New Roman" w:hAnsi="Times New Roman" w:cs="Times New Roman"/>
        <w:sz w:val="20"/>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1BB453" w14:textId="77777777" w:rsidR="00F27871" w:rsidRPr="001C4B02" w:rsidRDefault="00F27871" w:rsidP="001C4B02">
    <w:pPr>
      <w:pStyle w:val="Header"/>
      <w:tabs>
        <w:tab w:val="left" w:pos="9072"/>
      </w:tabs>
      <w:rPr>
        <w:rStyle w:val="PageNumber"/>
        <w:rFonts w:ascii="Times New Roman" w:hAnsi="Times New Roman" w:cs="Times New Roman"/>
        <w:sz w:val="20"/>
        <w:szCs w:val="18"/>
      </w:rPr>
    </w:pPr>
    <w:bookmarkStart w:id="665" w:name="_Hlk496261764"/>
    <w:bookmarkStart w:id="666" w:name="_Hlk496261765"/>
    <w:bookmarkStart w:id="667" w:name="_Hlk496261766"/>
    <w:bookmarkStart w:id="668" w:name="_Hlk30491075"/>
    <w:bookmarkStart w:id="669" w:name="_Hlk30491076"/>
  </w:p>
  <w:p w14:paraId="35E178DE" w14:textId="6B1B941E" w:rsidR="00F27871" w:rsidRPr="001C4B02" w:rsidRDefault="00F27871" w:rsidP="001C4B02">
    <w:pPr>
      <w:pStyle w:val="Header"/>
      <w:tabs>
        <w:tab w:val="clear" w:pos="4513"/>
        <w:tab w:val="clear" w:pos="9026"/>
        <w:tab w:val="left" w:leader="underscore" w:pos="9072"/>
      </w:tabs>
      <w:rPr>
        <w:rStyle w:val="PageNumber"/>
        <w:rFonts w:ascii="Times New Roman" w:hAnsi="Times New Roman" w:cs="Times New Roman"/>
        <w:sz w:val="20"/>
        <w:szCs w:val="18"/>
      </w:rPr>
    </w:pPr>
    <w:r w:rsidRPr="001C4B02">
      <w:rPr>
        <w:rStyle w:val="PageNumber"/>
        <w:rFonts w:ascii="Times New Roman" w:hAnsi="Times New Roman" w:cs="Times New Roman"/>
        <w:sz w:val="20"/>
        <w:szCs w:val="18"/>
      </w:rPr>
      <w:tab/>
    </w:r>
  </w:p>
  <w:p w14:paraId="25E6B6A4" w14:textId="77777777" w:rsidR="00F27871" w:rsidRPr="001C4B02" w:rsidRDefault="00F27871" w:rsidP="001C4B02">
    <w:pPr>
      <w:pStyle w:val="Header"/>
      <w:tabs>
        <w:tab w:val="left" w:pos="9072"/>
      </w:tabs>
      <w:rPr>
        <w:rStyle w:val="PageNumber"/>
        <w:rFonts w:ascii="Times New Roman" w:hAnsi="Times New Roman" w:cs="Times New Roman"/>
        <w:sz w:val="20"/>
        <w:szCs w:val="18"/>
      </w:rPr>
    </w:pPr>
  </w:p>
  <w:p w14:paraId="1EF96AD3" w14:textId="5A769AC8" w:rsidR="00F27871" w:rsidRPr="001C4B02" w:rsidRDefault="00F27871" w:rsidP="001C4B02">
    <w:pPr>
      <w:pStyle w:val="Footer"/>
      <w:rPr>
        <w:rFonts w:ascii="Times New Roman" w:hAnsi="Times New Roman" w:cs="Times New Roman"/>
        <w:sz w:val="20"/>
        <w:szCs w:val="18"/>
      </w:rPr>
    </w:pPr>
    <w:r w:rsidRPr="001C4B02">
      <w:rPr>
        <w:rFonts w:ascii="Times New Roman" w:hAnsi="Times New Roman" w:cs="Times New Roman"/>
        <w:noProof/>
        <w:sz w:val="20"/>
        <w:szCs w:val="18"/>
      </w:rPr>
      <w:t xml:space="preserve">Tulkojums </w:t>
    </w:r>
    <w:r w:rsidRPr="001C4B02">
      <w:rPr>
        <w:rFonts w:ascii="Times New Roman" w:hAnsi="Times New Roman" w:cs="Times New Roman"/>
        <w:noProof/>
        <w:sz w:val="20"/>
        <w:szCs w:val="18"/>
      </w:rPr>
      <w:fldChar w:fldCharType="begin"/>
    </w:r>
    <w:r w:rsidRPr="001C4B02">
      <w:rPr>
        <w:rFonts w:ascii="Times New Roman" w:hAnsi="Times New Roman" w:cs="Times New Roman"/>
        <w:noProof/>
        <w:sz w:val="20"/>
        <w:szCs w:val="18"/>
      </w:rPr>
      <w:instrText>symbol 211 \f "Symbol" \s 9</w:instrText>
    </w:r>
    <w:r w:rsidRPr="001C4B02">
      <w:rPr>
        <w:rFonts w:ascii="Times New Roman" w:hAnsi="Times New Roman" w:cs="Times New Roman"/>
        <w:noProof/>
        <w:sz w:val="20"/>
        <w:szCs w:val="18"/>
      </w:rPr>
      <w:fldChar w:fldCharType="separate"/>
    </w:r>
    <w:r w:rsidRPr="001C4B02">
      <w:rPr>
        <w:rFonts w:ascii="Times New Roman" w:hAnsi="Times New Roman" w:cs="Times New Roman"/>
        <w:noProof/>
        <w:sz w:val="20"/>
        <w:szCs w:val="18"/>
      </w:rPr>
      <w:t>Ó</w:t>
    </w:r>
    <w:r w:rsidRPr="001C4B02">
      <w:rPr>
        <w:rFonts w:ascii="Times New Roman" w:hAnsi="Times New Roman" w:cs="Times New Roman"/>
        <w:noProof/>
        <w:sz w:val="20"/>
        <w:szCs w:val="18"/>
      </w:rPr>
      <w:fldChar w:fldCharType="end"/>
    </w:r>
    <w:r w:rsidRPr="001C4B02">
      <w:rPr>
        <w:rFonts w:ascii="Times New Roman" w:hAnsi="Times New Roman" w:cs="Times New Roman"/>
        <w:noProof/>
        <w:sz w:val="20"/>
        <w:szCs w:val="18"/>
      </w:rPr>
      <w:t xml:space="preserve"> Valsts valodas centrs, 20</w:t>
    </w:r>
    <w:bookmarkEnd w:id="665"/>
    <w:bookmarkEnd w:id="666"/>
    <w:bookmarkEnd w:id="667"/>
    <w:r w:rsidRPr="001C4B02">
      <w:rPr>
        <w:rFonts w:ascii="Times New Roman" w:hAnsi="Times New Roman" w:cs="Times New Roman"/>
        <w:noProof/>
        <w:sz w:val="20"/>
        <w:szCs w:val="18"/>
      </w:rPr>
      <w:t>2</w:t>
    </w:r>
    <w:bookmarkEnd w:id="668"/>
    <w:bookmarkEnd w:id="669"/>
    <w:r w:rsidR="001D3E8A">
      <w:rPr>
        <w:rFonts w:ascii="Times New Roman" w:hAnsi="Times New Roman" w:cs="Times New Roman"/>
        <w:noProof/>
        <w:sz w:val="20"/>
        <w:szCs w:val="18"/>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97A12C" w14:textId="77777777" w:rsidR="0003108B" w:rsidRDefault="0003108B" w:rsidP="00994F93">
      <w:r>
        <w:separator/>
      </w:r>
    </w:p>
  </w:footnote>
  <w:footnote w:type="continuationSeparator" w:id="0">
    <w:p w14:paraId="77DDAD6B" w14:textId="77777777" w:rsidR="0003108B" w:rsidRDefault="0003108B" w:rsidP="00994F93">
      <w:r>
        <w:continuationSeparator/>
      </w:r>
    </w:p>
  </w:footnote>
  <w:footnote w:id="1">
    <w:p w14:paraId="6D581C5E" w14:textId="77777777" w:rsidR="00F27871" w:rsidRPr="007A3E9B" w:rsidRDefault="00F27871" w:rsidP="00994F93">
      <w:pPr>
        <w:jc w:val="both"/>
        <w:rPr>
          <w:rFonts w:ascii="Times New Roman" w:eastAsia="Arial"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szCs w:val="20"/>
        </w:rPr>
        <w:t xml:space="preserve"> Statistikas aspektus skatīt Padomes Regulā (EK) Nr. 479/2009, kas grozīta ar Padomes Regulu (ES) Nr. 679/2010 un Komisijas Regulu (ES) Nr. 220/2014.</w:t>
      </w:r>
    </w:p>
  </w:footnote>
  <w:footnote w:id="2">
    <w:p w14:paraId="68452760" w14:textId="77777777" w:rsidR="00F27871" w:rsidRPr="007A3E9B" w:rsidRDefault="00F27871" w:rsidP="00994F93">
      <w:pPr>
        <w:jc w:val="both"/>
        <w:rPr>
          <w:rFonts w:ascii="Times New Roman" w:eastAsia="Arial"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szCs w:val="20"/>
        </w:rPr>
        <w:t xml:space="preserve"> Sīkāku informāciju var saņemt, sazinoties ar D-1 struktūrvienības sekretariātu (e-pasts: ESTAT-D1-SECRETARIAT@ec.europa.eu).</w:t>
      </w:r>
    </w:p>
  </w:footnote>
  <w:footnote w:id="3">
    <w:p w14:paraId="40047700" w14:textId="77777777" w:rsidR="00F27871" w:rsidRPr="009A1969" w:rsidRDefault="00F27871" w:rsidP="009A1969">
      <w:pPr>
        <w:pStyle w:val="FootnoteText"/>
        <w:jc w:val="both"/>
      </w:pPr>
      <w:r w:rsidRPr="009A1969">
        <w:rPr>
          <w:rStyle w:val="FootnoteReference"/>
        </w:rPr>
        <w:footnoteRef/>
      </w:r>
      <w:r w:rsidRPr="009A1969">
        <w:rPr>
          <w:rFonts w:ascii="Times New Roman" w:hAnsi="Times New Roman"/>
        </w:rPr>
        <w:t>Protokols (Nr. 12) par pārmērīga budžeta deficīta novēršanas procedūru, kas pievienots Līgumam par Eiropas Savienības darbību (bijušais 19. protokols, kas pievienots Māstrihtas līgumam).</w:t>
      </w:r>
    </w:p>
  </w:footnote>
  <w:footnote w:id="4">
    <w:p w14:paraId="06560EC6" w14:textId="77777777" w:rsidR="00F27871" w:rsidRPr="00061998" w:rsidRDefault="00F27871" w:rsidP="00994F93">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EKS 2010 2. nodaļā (Vienības un vienību grupas) papildus noteikts, ka šādas vienības var būt iesaistītas cita veida ārpustirgus ražošanā, tostarp preču un pakalpojumu pārdošanā “pseidotirgos” tādējādi, ka ieņēmumi nepārsniedz ražošanas izmaksas.</w:t>
      </w:r>
    </w:p>
  </w:footnote>
  <w:footnote w:id="5">
    <w:p w14:paraId="2E817841" w14:textId="77777777" w:rsidR="00F27871" w:rsidRPr="00061998" w:rsidRDefault="00F27871" w:rsidP="00994F93">
      <w:pPr>
        <w:jc w:val="both"/>
        <w:rPr>
          <w:rFonts w:ascii="Times New Roman" w:eastAsia="Arial" w:hAnsi="Times New Roman" w:cs="Arial"/>
          <w:noProof/>
          <w:sz w:val="24"/>
          <w:szCs w:val="14"/>
        </w:rPr>
      </w:pPr>
      <w:r>
        <w:rPr>
          <w:rStyle w:val="FootnoteReference"/>
          <w:rFonts w:ascii="Times New Roman" w:hAnsi="Times New Roman" w:cs="Times New Roman"/>
          <w:sz w:val="20"/>
          <w:szCs w:val="20"/>
        </w:rPr>
        <w:footnoteRef/>
      </w:r>
      <w:r>
        <w:rPr>
          <w:rFonts w:ascii="Times New Roman" w:hAnsi="Times New Roman"/>
          <w:sz w:val="20"/>
          <w:szCs w:val="20"/>
        </w:rPr>
        <w:t xml:space="preserve"> Jo īpaši tāpēc, ka tās darbojas kopā un ir atkarīgas no viena budžeta, par kuru atbild Finanšu ministrija, kas papildus “kontrolei” pār lielāko daļu ieņēmumu nosaka “ierindas ministrijām” (izdevumu struktūrām, kurām parasti nav autonomu publisko kontu) izdevumu robežas.</w:t>
      </w:r>
    </w:p>
  </w:footnote>
  <w:footnote w:id="6">
    <w:p w14:paraId="37EF238A" w14:textId="374C8CAC" w:rsidR="00F27871" w:rsidRPr="00061998" w:rsidRDefault="00F27871" w:rsidP="00994F93">
      <w:pPr>
        <w:jc w:val="both"/>
        <w:rPr>
          <w:rFonts w:ascii="Times New Roman" w:eastAsia="Arial"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szCs w:val="20"/>
        </w:rPr>
        <w:t xml:space="preserve"> Izņemot sociālā</w:t>
      </w:r>
      <w:r w:rsidR="00756F6F">
        <w:rPr>
          <w:rFonts w:ascii="Times New Roman" w:hAnsi="Times New Roman"/>
          <w:sz w:val="20"/>
          <w:szCs w:val="20"/>
        </w:rPr>
        <w:t xml:space="preserve"> nodrošinājuma </w:t>
      </w:r>
      <w:r>
        <w:rPr>
          <w:rFonts w:ascii="Times New Roman" w:hAnsi="Times New Roman"/>
          <w:sz w:val="20"/>
          <w:szCs w:val="20"/>
        </w:rPr>
        <w:t>fondu pārvaldību, kuri ir iekļauti atsevišķā apakšsektorā.</w:t>
      </w:r>
    </w:p>
  </w:footnote>
  <w:footnote w:id="7">
    <w:p w14:paraId="6C333B5F" w14:textId="77777777" w:rsidR="00F27871" w:rsidRPr="00061998" w:rsidRDefault="00F27871" w:rsidP="00994F93">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EKS 2010 20.64. punktā uzsvērts, ka vienības, kuras ir pilnīgi atkarīgas no centrālās valdības, taču darbojas vietējā līmenī, ir jānošķir no vienībām, kuras ietilpst pavalsts vai vietējos apakšsektoros un nav pakļautas centrālajai valdībai (piemēram, tām ir savs finansējums, rīcības brīvība attiecībā uz izdevumiem, tiesībām iecelt amatpersonas un citas pilnvaras).</w:t>
      </w:r>
    </w:p>
  </w:footnote>
  <w:footnote w:id="8">
    <w:p w14:paraId="0479AE57" w14:textId="77777777" w:rsidR="00F27871" w:rsidRPr="00061998" w:rsidRDefault="00F27871" w:rsidP="00994F93">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S.1314 ir būtisks tikai tad, ja “institucionāla vienība ir veidota atsevišķi no citām valdības vienību darbībām, tam ir savi aktīvi un saistības un tas savā vārdā iesaistās finanšu darījumos”, skat. EKS 2010 20.12. punktu.</w:t>
      </w:r>
    </w:p>
  </w:footnote>
  <w:footnote w:id="9">
    <w:p w14:paraId="4B21F8C7" w14:textId="77777777" w:rsidR="00F27871" w:rsidRPr="00061998" w:rsidRDefault="00F27871" w:rsidP="00994F93">
      <w:pPr>
        <w:jc w:val="both"/>
        <w:rPr>
          <w:rFonts w:ascii="Times New Roman" w:eastAsia="Arial" w:hAnsi="Times New Roman" w:cs="Arial"/>
          <w:noProof/>
          <w:sz w:val="24"/>
          <w:szCs w:val="14"/>
        </w:rPr>
      </w:pPr>
      <w:r>
        <w:rPr>
          <w:rStyle w:val="FootnoteReference"/>
          <w:rFonts w:ascii="Times New Roman" w:hAnsi="Times New Roman" w:cs="Times New Roman"/>
          <w:sz w:val="20"/>
          <w:szCs w:val="20"/>
        </w:rPr>
        <w:footnoteRef/>
      </w:r>
      <w:r>
        <w:rPr>
          <w:rFonts w:ascii="Times New Roman" w:hAnsi="Times New Roman"/>
          <w:sz w:val="20"/>
          <w:szCs w:val="20"/>
        </w:rPr>
        <w:t xml:space="preserve"> Skat. 8. daļu “Vispārējās valdības parāda apmēra noteikšana”.</w:t>
      </w:r>
    </w:p>
  </w:footnote>
  <w:footnote w:id="10">
    <w:p w14:paraId="7151B478" w14:textId="77777777" w:rsidR="00F27871" w:rsidRPr="00764DDA" w:rsidRDefault="00F27871" w:rsidP="00994F93">
      <w:pPr>
        <w:jc w:val="both"/>
        <w:rPr>
          <w:rFonts w:ascii="Times New Roman" w:eastAsia="Arial"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szCs w:val="20"/>
        </w:rPr>
        <w:t xml:space="preserve"> Attiecībā uz dažu konkrētu valdības kontrolē esošu vienību klasificēšanu pa sektoriem skat. 1.6. nodaļu “Īpaši publiski subjekti”.</w:t>
      </w:r>
    </w:p>
  </w:footnote>
  <w:footnote w:id="11">
    <w:p w14:paraId="6685590D" w14:textId="442B344E" w:rsidR="00F27871" w:rsidRPr="00764DDA" w:rsidRDefault="00F27871" w:rsidP="00994F93">
      <w:pPr>
        <w:pStyle w:val="FootnoteText"/>
        <w:jc w:val="both"/>
      </w:pPr>
      <w:r>
        <w:rPr>
          <w:rStyle w:val="FootnoteReference"/>
          <w:rFonts w:ascii="Times New Roman" w:hAnsi="Times New Roman" w:cs="Times New Roman"/>
        </w:rPr>
        <w:footnoteRef/>
      </w:r>
      <w:r>
        <w:rPr>
          <w:rFonts w:ascii="Times New Roman" w:hAnsi="Times New Roman"/>
        </w:rPr>
        <w:t xml:space="preserve"> Šī ir sociālā </w:t>
      </w:r>
      <w:r w:rsidR="0008502C">
        <w:rPr>
          <w:rFonts w:ascii="Times New Roman" w:hAnsi="Times New Roman"/>
        </w:rPr>
        <w:t>nodrošin</w:t>
      </w:r>
      <w:r w:rsidR="009424B9">
        <w:rPr>
          <w:rFonts w:ascii="Times New Roman" w:hAnsi="Times New Roman"/>
        </w:rPr>
        <w:t>ājuma</w:t>
      </w:r>
      <w:r>
        <w:rPr>
          <w:rFonts w:ascii="Times New Roman" w:hAnsi="Times New Roman"/>
        </w:rPr>
        <w:t xml:space="preserve"> fondu definīcija, kas sniegta EKS 2010 2.117. punkta c) apakšpunktā. EKS 2010 4.89. punkta a) apakšpunktā noteikts arī tas, ka sociālā nodrošinā</w:t>
      </w:r>
      <w:r w:rsidR="0068395A">
        <w:rPr>
          <w:rFonts w:ascii="Times New Roman" w:hAnsi="Times New Roman"/>
        </w:rPr>
        <w:t>juma</w:t>
      </w:r>
      <w:r>
        <w:rPr>
          <w:rFonts w:ascii="Times New Roman" w:hAnsi="Times New Roman"/>
        </w:rPr>
        <w:t xml:space="preserve"> shēmas “aptver visu sabiedrību vai lielas sabiedrības daļas, un tās piemēro, kontrolē un finansē valdības vienības”. Tas nozīmē, ka šādu shēmu līdzekļi ir obligātās iemaksas (sociālās iemaksas vai nodokļi) un ka valdībai ir pienākums segt iztrūkumu, ja tāds radies starp līdzekļiem un pabalstiem, tostarp izmantojot savas tiesības mainīt atsevišķus parametrus.</w:t>
      </w:r>
    </w:p>
  </w:footnote>
  <w:footnote w:id="12">
    <w:p w14:paraId="24B6327F" w14:textId="77777777" w:rsidR="00F27871" w:rsidRPr="00DF5435" w:rsidRDefault="00F27871" w:rsidP="00994F93">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Ir iespējams vienībai izveidot gan plūsmu kontus, atspoguļojot tīro ienākumu un naudas plūsmu pārskatus, gan bilances, atspoguļojot tās patrimoniālo situāciju. EKS 2010 ir noteikts, ka šādu kontu publicēšana nav nosacījums, kas jāizpilda, lai vienību varētu uzskatīt par institucionālu vienību. Nozīme ir tikai to eksistencei vai iespējamai eksistencei. Šis nosacījums oficiāli netiek piemērots attiecībā uz mājsaimniecībām.</w:t>
      </w:r>
    </w:p>
  </w:footnote>
  <w:footnote w:id="13">
    <w:p w14:paraId="7CBC05C1" w14:textId="77777777" w:rsidR="00F27871" w:rsidRPr="00DF5435" w:rsidRDefault="00F27871" w:rsidP="00994F93">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Termins “unikāls klients” nozīmē, ka subjekts sniedz savu produkciju vai nu vienam pircējam (bieži vien “mātesuzņēmumam” – dažkārt, ja juridiskais nošķīrums ir ekonomiskais tā ekvivalents), vai arī citām tās pašas vienību grupas vienībām (skat. EKS 2010 20.24. punktu), piemēram, saistītu subjektu grupai (skat. EKS 2010 2.13. punkta e) apakšpunktu).</w:t>
      </w:r>
    </w:p>
  </w:footnote>
  <w:footnote w:id="14">
    <w:p w14:paraId="5435B23A" w14:textId="77777777" w:rsidR="00F27871" w:rsidRPr="00DF5435" w:rsidRDefault="00F27871" w:rsidP="00994F93">
      <w:pPr>
        <w:pStyle w:val="FootnoteText"/>
        <w:jc w:val="both"/>
      </w:pPr>
      <w:r>
        <w:rPr>
          <w:rStyle w:val="FootnoteReference"/>
          <w:rFonts w:ascii="Times New Roman" w:hAnsi="Times New Roman" w:cs="Times New Roman"/>
        </w:rPr>
        <w:footnoteRef/>
      </w:r>
      <w:r>
        <w:rPr>
          <w:rFonts w:ascii="Times New Roman" w:hAnsi="Times New Roman"/>
        </w:rPr>
        <w:t xml:space="preserve"> Dažos ārkārtas gadījumos subjektu darbības/lēmumi tiek pilnībā noteikti šā subjekta izveides brīdī.</w:t>
      </w:r>
    </w:p>
  </w:footnote>
  <w:footnote w:id="15">
    <w:p w14:paraId="2B033150" w14:textId="77777777" w:rsidR="00F27871" w:rsidRPr="00DF5435" w:rsidRDefault="00F27871" w:rsidP="00994F93">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Vērtējot lēmumu pieņemšanas autonomijas ierobežojošo ietekmi, ir jāņem vērā gan iejaukšanās apmērs, gan tās biežums.</w:t>
      </w:r>
    </w:p>
  </w:footnote>
  <w:footnote w:id="16">
    <w:p w14:paraId="3487A686" w14:textId="77777777" w:rsidR="00F27871" w:rsidRPr="00DF5435" w:rsidRDefault="00F27871" w:rsidP="00994F93">
      <w:pPr>
        <w:jc w:val="both"/>
        <w:rPr>
          <w:rFonts w:ascii="Times New Roman" w:eastAsia="Arial" w:hAnsi="Times New Roman" w:cs="Arial"/>
          <w:noProof/>
          <w:sz w:val="24"/>
          <w:szCs w:val="14"/>
        </w:rPr>
      </w:pPr>
      <w:r>
        <w:rPr>
          <w:rStyle w:val="FootnoteReference"/>
          <w:rFonts w:ascii="Times New Roman" w:hAnsi="Times New Roman" w:cs="Times New Roman"/>
          <w:sz w:val="20"/>
          <w:szCs w:val="20"/>
        </w:rPr>
        <w:footnoteRef/>
      </w:r>
      <w:r>
        <w:rPr>
          <w:rFonts w:ascii="Times New Roman" w:hAnsi="Times New Roman"/>
          <w:sz w:val="20"/>
          <w:szCs w:val="20"/>
        </w:rPr>
        <w:t xml:space="preserve"> Šis noteikums ir jāsaprot plaši, t. i., “māte” var būt jebkurš subjekts vai subjektu grupa, kuram atsevišķi vai kopā ir pilnvaras iejaukties.</w:t>
      </w:r>
    </w:p>
  </w:footnote>
  <w:footnote w:id="17">
    <w:p w14:paraId="530C4210" w14:textId="77777777" w:rsidR="00F27871" w:rsidRPr="00DF5435" w:rsidRDefault="00F27871" w:rsidP="00994F93">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Uzskatāms, ka valdes loceklis nav vispārējās valdības amatpersona, ja viņam nav darba attiecību ar vispārējo valdību, ne arī politiskā mandāta.</w:t>
      </w:r>
    </w:p>
  </w:footnote>
  <w:footnote w:id="18">
    <w:p w14:paraId="184F426C" w14:textId="77777777" w:rsidR="00F27871" w:rsidRPr="00DF5435" w:rsidRDefault="00F27871" w:rsidP="00994F93">
      <w:pPr>
        <w:pStyle w:val="FootnoteText"/>
        <w:jc w:val="both"/>
      </w:pPr>
      <w:r>
        <w:rPr>
          <w:rStyle w:val="FootnoteReference"/>
          <w:rFonts w:ascii="Times New Roman" w:hAnsi="Times New Roman" w:cs="Times New Roman"/>
        </w:rPr>
        <w:footnoteRef/>
      </w:r>
      <w:r>
        <w:rPr>
          <w:rFonts w:ascii="Times New Roman" w:hAnsi="Times New Roman"/>
        </w:rPr>
        <w:t xml:space="preserve"> Nefinanšu subjektu gadījumā 50 % kritērija rezultāts varētu sniegt pietiekamu apliecinājumu, ka subjekts nodarbojas ar tirgus darbībām par cenām, kas ir ekonomiski nozīmīgas, un ka subjekts var pieņemt ekonomiskus lēmumus neatkarīgi no vienībām, kurām pieder valdē ieceltās valdības amatpersonas (skat. EKS 2010 2.12. punktu).</w:t>
      </w:r>
    </w:p>
  </w:footnote>
  <w:footnote w:id="19">
    <w:p w14:paraId="33B3DE36" w14:textId="11BAB5C1" w:rsidR="00F27871" w:rsidRPr="00F61134" w:rsidRDefault="00F27871" w:rsidP="00994F93">
      <w:pPr>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szCs w:val="20"/>
        </w:rPr>
        <w:t xml:space="preserve"> Praktiski gadījumos, kad subjektu nekontrolē neviens cits, un ja var izslēgt kopīgu kontroli, par šā subjekta privāto vai publisko dabu var spriest pēc tā, vai šo subjektu kontrolē privāti vai publiski subjekti kā kopumu. Kad ir izlemts, vai subjekts ir publisks vai privāts un vai tas izpilda nepieciešamos papildu kritērijus klasificēšanai valdības sektorā (piemēram, kvalificējas kā ārpustirgus ražotājs), tad tas ir klasificējams apakšsektorā, ņemot vērā tā darbību (piemēram, sociāl</w:t>
      </w:r>
      <w:r w:rsidR="00EB79FA">
        <w:rPr>
          <w:rFonts w:ascii="Times New Roman" w:hAnsi="Times New Roman"/>
          <w:sz w:val="20"/>
          <w:szCs w:val="20"/>
        </w:rPr>
        <w:t>ais</w:t>
      </w:r>
      <w:r>
        <w:rPr>
          <w:rFonts w:ascii="Times New Roman" w:hAnsi="Times New Roman"/>
          <w:sz w:val="20"/>
          <w:szCs w:val="20"/>
        </w:rPr>
        <w:t xml:space="preserve"> nodrošin</w:t>
      </w:r>
      <w:r w:rsidR="00EB79FA">
        <w:rPr>
          <w:rFonts w:ascii="Times New Roman" w:hAnsi="Times New Roman"/>
          <w:sz w:val="20"/>
          <w:szCs w:val="20"/>
        </w:rPr>
        <w:t>ājums</w:t>
      </w:r>
      <w:r>
        <w:rPr>
          <w:rFonts w:ascii="Times New Roman" w:hAnsi="Times New Roman"/>
          <w:sz w:val="20"/>
          <w:szCs w:val="20"/>
        </w:rPr>
        <w:t>) vai tā ģeogrāfisko tvērumu (pārvaldes līmenis no valsts līmeņa līdz vietējam līmenim). Mazāk ticamā gadījumā, kad šāds subjekts nav kvalificējams kā institucionālā vienība, tas ir jāapvieno ar vienībām, kuras pieder tam apakšsektoram, kurā tas būtu bijis jāklasificē, pamatojoties uz iepriekšējo punktu.</w:t>
      </w:r>
    </w:p>
  </w:footnote>
  <w:footnote w:id="20">
    <w:p w14:paraId="16608135" w14:textId="77777777" w:rsidR="00F27871" w:rsidRPr="00F61134" w:rsidRDefault="00F27871" w:rsidP="00994F93">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Ja, beidzot analīzi, tiek secināts, ka kontroli vienādi sadala publiskās un privātās vienības, piemēro EKS noteikumus par kopuzņēmumiem (skat. 1.8. nodaļu), proti, vienība ir jāklasificē valdības sektorā, ja tā ir ārpustirgus vienība, un nefinanšu vai finanšu sabiedrību sektorā, ja tā ir tirgus vienība vai tiek uzskatīta par finanšu starpnieku.</w:t>
      </w:r>
    </w:p>
  </w:footnote>
  <w:footnote w:id="21">
    <w:p w14:paraId="0F497B97" w14:textId="77777777" w:rsidR="00F27871" w:rsidRPr="00E753B3" w:rsidRDefault="00F27871" w:rsidP="00994F93">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EKS 2010 (līdzīgi kā NKS 2008) šos kritērijus piemēro tikai kontrolējošas valdības vienības gadījumā. Tomēr tie var attiekties arī uz tirgus ražotājiem BPI, ko kontrolē publiskas vienības, kas neietilpst valdības sektorā.</w:t>
      </w:r>
    </w:p>
  </w:footnote>
  <w:footnote w:id="22">
    <w:p w14:paraId="1116FF37" w14:textId="77777777" w:rsidR="00F27871" w:rsidRPr="00E753B3" w:rsidRDefault="00F27871" w:rsidP="00994F93">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Kopumā parasti privāts tirgus ražotājs nevar ilgstoši ciest zaudējumus, jo tas nozīmētu negatīvu pašu kapitāla peļņu (ar atsevišķiem izņēmumiem dažu grupā ietilpstošu subjektu gadījumā). Publisks tirgus ražotāja gadījums atšķiras tādējādi, ka daudzos gadījumos šāds subjekts var paļauties uz to, ka valdība tam sniegs atbalstu ar valsts politiku saistītu apsvērumu dēļ. Parasti </w:t>
      </w:r>
      <w:r>
        <w:rPr>
          <w:rFonts w:ascii="Times New Roman" w:hAnsi="Times New Roman"/>
          <w:i/>
          <w:iCs/>
        </w:rPr>
        <w:t>RoE</w:t>
      </w:r>
      <w:r>
        <w:rPr>
          <w:rFonts w:ascii="Times New Roman" w:hAnsi="Times New Roman"/>
        </w:rPr>
        <w:t xml:space="preserve"> prasības līdzīgos apstākļos netiktu piemērotas attiecībā uz privāto sektoru, turpretī šos subjektus bieži vien neskar apstākļi, kuri izraisa bankrotu (piemēram negatīvs pašu kapitāls). Kas attiecas uz valsts finansēm, jebkurš valdības atbalsts valsts tirgus ražotājam ietekmē valdības neto aizdevumu/aizņēmumu (B.9) un var ietekmēt arī tās parādu. Tomēr parasti gadījumos, kad slogs uz valsts finansēm kļūst pārmērīgi liels, valdības lemj par koriģējošiem pasākumiem vai pārstrukturēšanas plāniem.</w:t>
      </w:r>
    </w:p>
  </w:footnote>
  <w:footnote w:id="23">
    <w:p w14:paraId="3A498CAA" w14:textId="77777777" w:rsidR="00F27871" w:rsidRPr="00D16170" w:rsidRDefault="00F27871" w:rsidP="00994F93">
      <w:pPr>
        <w:jc w:val="both"/>
        <w:rPr>
          <w:rFonts w:ascii="Times New Roman" w:eastAsia="Arial"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szCs w:val="20"/>
        </w:rPr>
        <w:t xml:space="preserve"> Dažos gadījumos šis kritērijs jāapsver privātu subjektu grupas līmenī, jo starp grupas subjektiem var tikt piemērotas tādas iekšējās cenas, kas neatbilst tirgus cenai.</w:t>
      </w:r>
    </w:p>
  </w:footnote>
  <w:footnote w:id="24">
    <w:p w14:paraId="32A62BA0" w14:textId="77777777" w:rsidR="00F27871" w:rsidRPr="00D16170" w:rsidRDefault="00F27871" w:rsidP="00994F93">
      <w:pPr>
        <w:pStyle w:val="FootnoteText"/>
        <w:jc w:val="both"/>
      </w:pPr>
      <w:r>
        <w:rPr>
          <w:rStyle w:val="FootnoteReference"/>
          <w:rFonts w:ascii="Times New Roman" w:hAnsi="Times New Roman" w:cs="Times New Roman"/>
        </w:rPr>
        <w:footnoteRef/>
      </w:r>
      <w:r>
        <w:rPr>
          <w:rFonts w:ascii="Times New Roman" w:hAnsi="Times New Roman"/>
        </w:rPr>
        <w:t xml:space="preserve"> Tas nozīmē, ka gadījumos, kad tiek novērtēts tas, cik daudz ražošanas izmaksas tiek segtas no pārdošanas ieņēmumiem, attiecīgajā gadījumā svarīgi noteikt to, kāds ir valdības vienību īpatsvars visu pircēju vidū. Ir arī gadījumi, kad samērā labi zināms, ka produkcija paredzēta vienīgi (vai gandrīz vienīgi) izmantošanai valdības vajadzībām.</w:t>
      </w:r>
    </w:p>
  </w:footnote>
  <w:footnote w:id="25">
    <w:p w14:paraId="2BE4791C" w14:textId="77777777" w:rsidR="00F27871" w:rsidRPr="00FD5533" w:rsidRDefault="00F27871" w:rsidP="00994F93">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Šīs konkurences novērtējumā jāņem vērā ne tikai dažādu uzņēmumu klātbūtne valsts tirgū, bet arī tirgus atvērtība jauniem ražotājiem.</w:t>
      </w:r>
    </w:p>
  </w:footnote>
  <w:footnote w:id="26">
    <w:p w14:paraId="7706F4CB" w14:textId="77777777" w:rsidR="00F27871" w:rsidRPr="00FD5533" w:rsidRDefault="00F27871" w:rsidP="00994F93">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Jāatceras, ka ES līmenī ir spēkā noteikumi par valsts iepirkumu, kas tiek veikts atklātas konkurences apstākļos.</w:t>
      </w:r>
    </w:p>
  </w:footnote>
  <w:footnote w:id="27">
    <w:p w14:paraId="60EA16D7" w14:textId="77777777" w:rsidR="00F27871" w:rsidRPr="00FD5533" w:rsidRDefault="00F27871" w:rsidP="00994F93">
      <w:pPr>
        <w:pStyle w:val="FootnoteText"/>
        <w:jc w:val="both"/>
      </w:pPr>
      <w:r>
        <w:rPr>
          <w:rStyle w:val="FootnoteReference"/>
          <w:rFonts w:ascii="Times New Roman" w:hAnsi="Times New Roman" w:cs="Times New Roman"/>
        </w:rPr>
        <w:footnoteRef/>
      </w:r>
      <w:r>
        <w:rPr>
          <w:rFonts w:ascii="Times New Roman" w:hAnsi="Times New Roman"/>
        </w:rPr>
        <w:t xml:space="preserve"> Sīkāka informācija par ES dotāciju/subsīdiju traktējumu izklāstīta šīs rokasgrāmatas 2.6. nodaļā.</w:t>
      </w:r>
    </w:p>
  </w:footnote>
  <w:footnote w:id="28">
    <w:p w14:paraId="0F7B2321" w14:textId="77777777" w:rsidR="00F27871" w:rsidRPr="00BB1778" w:rsidRDefault="00F27871" w:rsidP="00994F93">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Tas jo īpaši attiecas uz jaunām vienībām, kurām sākotnēji nepieciešami būtiski kapitāla izdevumi un kuras sāks pārdod tās pakalpojumus tikai pēc priekšdarbu pabeigšanas.</w:t>
      </w:r>
    </w:p>
  </w:footnote>
  <w:footnote w:id="29">
    <w:p w14:paraId="01FF677C" w14:textId="77777777" w:rsidR="00F27871" w:rsidRPr="00BB1778" w:rsidRDefault="00F27871" w:rsidP="00994F93">
      <w:pPr>
        <w:jc w:val="both"/>
        <w:rPr>
          <w:rFonts w:ascii="Times New Roman" w:eastAsia="Arial"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szCs w:val="20"/>
        </w:rPr>
        <w:t xml:space="preserve"> Termins “reāls” attiecas uz vairākiem jēdzieniem, piemēram, izmantoto datu pieejamību un kvalitāti, prognozēs izmantoto pieņēmumu ticamību, plāna izstrādātāju kompetenci utt. Taču, ja pēc dažiem gadiem izrādās, ka uzņēmējdarbības plāns nav devis gaidītos rezultātus, </w:t>
      </w:r>
      <w:r>
        <w:rPr>
          <w:rFonts w:ascii="Times New Roman" w:hAnsi="Times New Roman"/>
          <w:i/>
          <w:iCs/>
          <w:sz w:val="20"/>
          <w:szCs w:val="20"/>
        </w:rPr>
        <w:t>ex ante</w:t>
      </w:r>
      <w:r>
        <w:rPr>
          <w:rFonts w:ascii="Times New Roman" w:hAnsi="Times New Roman"/>
          <w:sz w:val="20"/>
          <w:szCs w:val="20"/>
        </w:rPr>
        <w:t xml:space="preserve"> jāpārskata subjekta sektora klasifikācija.</w:t>
      </w:r>
    </w:p>
  </w:footnote>
  <w:footnote w:id="30">
    <w:p w14:paraId="3E319FE4" w14:textId="77777777" w:rsidR="00F27871" w:rsidRPr="00BB1778" w:rsidRDefault="00F27871" w:rsidP="00994F93">
      <w:pPr>
        <w:pStyle w:val="FootnoteText"/>
        <w:jc w:val="both"/>
      </w:pPr>
      <w:r>
        <w:rPr>
          <w:rStyle w:val="FootnoteReference"/>
          <w:rFonts w:ascii="Times New Roman" w:hAnsi="Times New Roman" w:cs="Times New Roman"/>
        </w:rPr>
        <w:footnoteRef/>
      </w:r>
      <w:r>
        <w:rPr>
          <w:rFonts w:ascii="Times New Roman" w:hAnsi="Times New Roman"/>
        </w:rPr>
        <w:t xml:space="preserve"> Ja tiek likvidēta “finanšu grūtībās” nonākusi vienība, tirgus/ārpustirgus testu tā droši vien nav varējusi izpildīt vēl pirms nonākšanas likvidācijas procesā un tādējādi jau tika pārklasificēta valdības sektorā.</w:t>
      </w:r>
    </w:p>
  </w:footnote>
  <w:footnote w:id="31">
    <w:p w14:paraId="10CFCF3E" w14:textId="77777777" w:rsidR="00F27871" w:rsidRPr="00BB1778" w:rsidRDefault="00F27871" w:rsidP="00994F93">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Dažās ES dalībvalstīs šāds sabiedrībām piešķirtais statuss nedrīkst pārsniegt noteiktu periodu, un, ja vienība neatsāk darbību (arī jaunu darbību), tā ir automātiski jālikvidē.</w:t>
      </w:r>
    </w:p>
  </w:footnote>
  <w:footnote w:id="32">
    <w:p w14:paraId="0F4E26BD" w14:textId="77777777" w:rsidR="00F27871" w:rsidRPr="00BB1778" w:rsidRDefault="00F27871" w:rsidP="00994F93">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Parasti neaktīva vienība neizpilda tirgus/ārpustirgus testu vai neatbilst finanšu starpniecības kritērijiem (skat. EKS 2010 2.57.–2.58. punktu). Tādējādi, ja vienība ir publiska, tā jāpārklasificē, iekļaujot to valdības sektorā. Ja neaktīva vienība neizpilda tirgus/ārpustirgus testu trīs gadus pēc kārtas, tā jebkurā gadījumā ir pārklasificējama valdības sektorā, ja vien pēc pirmā gada nav pierādījumu tam, ka vienība noteikti neizpildīs tirgus/ārpustirgus testu arī turpmākos divus gadus, un šādā gadījumā vienība ir jāpārklasificē valdības sektorā nekavējoties.</w:t>
      </w:r>
    </w:p>
  </w:footnote>
  <w:footnote w:id="33">
    <w:p w14:paraId="4430D064" w14:textId="77777777" w:rsidR="00F27871" w:rsidRPr="00BB1778" w:rsidRDefault="00F27871" w:rsidP="00994F93">
      <w:pPr>
        <w:jc w:val="both"/>
        <w:rPr>
          <w:rFonts w:ascii="Times New Roman" w:eastAsia="Arial"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szCs w:val="20"/>
        </w:rPr>
        <w:t xml:space="preserve"> Ja par neaktīvu vienību vairs netiek sniegti dati, ir jāizmanto pēdējie pieejamie (akciju) dati, jo īpaši ziņojumiem par tās parādu, ja tāds ir.</w:t>
      </w:r>
    </w:p>
  </w:footnote>
  <w:footnote w:id="34">
    <w:p w14:paraId="1FB75ADB" w14:textId="77777777" w:rsidR="00F27871" w:rsidRPr="00BB1778" w:rsidRDefault="00F27871" w:rsidP="00994F93">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Atkarībā no tiesiskā regulējuma vai īpašiem pasākumiem “likvidatoram” var būt lielāka vai mazāka neatkarība. Likvidators var būt pakļauts tiesnesim vai kreditoru komitejai, kas bieži vien ir izveidota, lai mēģinātu realizēt noteiktus prasījumus. Kopumā šādos apstākļos akcionāriem nav “pēdējais vārds” lēmumos, kas saistīti ar aktīvu pārdošanu.</w:t>
      </w:r>
    </w:p>
  </w:footnote>
  <w:footnote w:id="35">
    <w:p w14:paraId="582544D2" w14:textId="77777777" w:rsidR="00F27871" w:rsidRPr="00BB1778" w:rsidRDefault="00F27871" w:rsidP="00994F93">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Izņēmums ir finanšu palīgsabiedrības.</w:t>
      </w:r>
    </w:p>
  </w:footnote>
  <w:footnote w:id="36">
    <w:p w14:paraId="28CE0E26" w14:textId="77777777" w:rsidR="00F27871" w:rsidRPr="00BB1778" w:rsidRDefault="00F27871" w:rsidP="00994F93">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Piemēram, kvantitatīvie kritēriji būtu joprojām piemērojami (piemēram, atlikušie pārdošanas ienākumi varētu būt tikai valdībai).</w:t>
      </w:r>
    </w:p>
  </w:footnote>
  <w:footnote w:id="37">
    <w:p w14:paraId="040183D4" w14:textId="77777777" w:rsidR="00F27871" w:rsidRPr="00BB1778" w:rsidRDefault="00F27871" w:rsidP="00994F93">
      <w:pPr>
        <w:jc w:val="both"/>
        <w:rPr>
          <w:rFonts w:ascii="Times New Roman" w:eastAsia="Arial"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szCs w:val="20"/>
        </w:rPr>
        <w:t xml:space="preserve"> Vai finanšu palīgsabiedrībām.</w:t>
      </w:r>
    </w:p>
  </w:footnote>
  <w:footnote w:id="38">
    <w:p w14:paraId="492AFC16" w14:textId="7A62E384" w:rsidR="00F27871" w:rsidRPr="00BB1778" w:rsidRDefault="00F27871" w:rsidP="00994F93">
      <w:pPr>
        <w:jc w:val="both"/>
        <w:rPr>
          <w:rFonts w:ascii="Times New Roman" w:eastAsia="Arial" w:hAnsi="Times New Roman" w:cs="Arial"/>
          <w:noProof/>
          <w:sz w:val="24"/>
          <w:szCs w:val="14"/>
        </w:rPr>
      </w:pPr>
      <w:r>
        <w:rPr>
          <w:rStyle w:val="FootnoteReference"/>
          <w:rFonts w:ascii="Times New Roman" w:hAnsi="Times New Roman" w:cs="Times New Roman"/>
          <w:sz w:val="20"/>
          <w:szCs w:val="20"/>
        </w:rPr>
        <w:footnoteRef/>
      </w:r>
      <w:r w:rsidR="00F643F6">
        <w:rPr>
          <w:rFonts w:ascii="Times New Roman" w:hAnsi="Times New Roman"/>
          <w:sz w:val="20"/>
          <w:szCs w:val="20"/>
        </w:rPr>
        <w:t xml:space="preserve"> </w:t>
      </w:r>
      <w:r>
        <w:rPr>
          <w:rFonts w:ascii="Times New Roman" w:hAnsi="Times New Roman"/>
          <w:sz w:val="20"/>
          <w:szCs w:val="20"/>
        </w:rPr>
        <w:t>Ja vienība nav ne likvidācijas procesā, ne neaktīva.</w:t>
      </w:r>
    </w:p>
  </w:footnote>
  <w:footnote w:id="39">
    <w:p w14:paraId="1115A7F2" w14:textId="77777777" w:rsidR="00F27871" w:rsidRPr="00B10105" w:rsidRDefault="00F27871" w:rsidP="00994F93">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To nevajadzētu jaukt ar iespējamo likviditātes pārvaldību vai parāda restrukturizāciju, ko veic likvidācijas procesā.</w:t>
      </w:r>
    </w:p>
  </w:footnote>
  <w:footnote w:id="40">
    <w:p w14:paraId="06D89B20" w14:textId="77777777" w:rsidR="00F27871" w:rsidRPr="00B10105" w:rsidRDefault="00F27871" w:rsidP="00994F93">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Dažos gadījumos atbildība uz visu parāda summu iestājas nekavējoties (to sauc par “paātrinājumu”); tomēr tas neietekmē valdības pārņemtā parāda ierakstīšanu.</w:t>
      </w:r>
    </w:p>
  </w:footnote>
  <w:footnote w:id="41">
    <w:p w14:paraId="3EC3D48C" w14:textId="77777777" w:rsidR="00F27871" w:rsidRPr="00B10105" w:rsidRDefault="00F27871" w:rsidP="00994F93">
      <w:pPr>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szCs w:val="20"/>
        </w:rPr>
        <w:t xml:space="preserve"> Tomēr ir jāpārbauda, vai šis atbalsts neatbilst “maskētajiem” vai “netiešajiem” prasījumiem, kas norādīti 4.4.2.1.3. apakšiedaļā (Gadījums, kad konstatē, ka valdība atmaksā vai atmaksās parādu).</w:t>
      </w:r>
    </w:p>
  </w:footnote>
  <w:footnote w:id="42">
    <w:p w14:paraId="79BDC1FE" w14:textId="77777777" w:rsidR="00F27871" w:rsidRPr="00B10105" w:rsidRDefault="00F27871" w:rsidP="00994F93">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Piemēro arī kapitāla pārveduma izdevumus, ja tiešu valdības garantiju neesamības gadījumā pastāv citas tiesību normas, kas uzliktu valdībai pienākumu jebkurā gadījumā izmaksāt kompensācijas publiskās vienības kreditoriem, ja notiek tās likvidācija. Tomēr kapitāla pārveduma izdevumus nepiemēro, ja nav skaidru valdības garantiju vai citu tiesību normu, jo valdība būtu vienīgais vai galvenais akcionārs ar neierobežotām saistībām.</w:t>
      </w:r>
    </w:p>
  </w:footnote>
  <w:footnote w:id="43">
    <w:p w14:paraId="7FC823E2" w14:textId="77777777" w:rsidR="00F27871" w:rsidRPr="00B10105" w:rsidRDefault="00F27871" w:rsidP="00994F93">
      <w:pPr>
        <w:jc w:val="both"/>
        <w:rPr>
          <w:rFonts w:ascii="Times New Roman" w:eastAsia="Arial" w:hAnsi="Times New Roman" w:cs="Arial"/>
          <w:noProof/>
          <w:sz w:val="24"/>
          <w:szCs w:val="14"/>
        </w:rPr>
      </w:pPr>
      <w:r>
        <w:rPr>
          <w:rStyle w:val="FootnoteReference"/>
          <w:rFonts w:ascii="Times New Roman" w:hAnsi="Times New Roman" w:cs="Times New Roman"/>
          <w:sz w:val="20"/>
          <w:szCs w:val="20"/>
        </w:rPr>
        <w:footnoteRef/>
      </w:r>
      <w:r>
        <w:rPr>
          <w:rFonts w:ascii="Times New Roman" w:hAnsi="Times New Roman"/>
          <w:sz w:val="20"/>
          <w:szCs w:val="20"/>
        </w:rPr>
        <w:t xml:space="preserve"> Tomēr dažos gadījumos, ja likvidētajai vienībai neparādās negatīva neto vērtība (piemēram, brīvprātīgas likvidācijas gadījumā, kuras dēļ tomēr tiktu ierosināts garantiju prasījums) un ja pastāv liela varbūtība, ka vienības turējumā esošo aktīvu vērtība tiks atgūta, šo kapitāla pārvedumu var samazināt par šo aktīvu aplēsto vērtību.</w:t>
      </w:r>
    </w:p>
  </w:footnote>
  <w:footnote w:id="44">
    <w:p w14:paraId="3C15839F" w14:textId="77777777" w:rsidR="00F27871" w:rsidRPr="001C2A0B" w:rsidRDefault="00F27871" w:rsidP="00994F93">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Tas var attiekties ne tikai uz nodokļa iekasēšanu (piemēram, pašvaldība “izmanto” centrālās valdības pakalpojumu), bet arī uz tāda nodokļa pārdali, kurā ir ietvertas sastāvdaļas, kas attiecas uz dažādām vienībām (piemēram, ienākumu nodoklis, kura viena daļa attiecas uz centrālo valdību, bet otra daļa uz pašvaldību).</w:t>
      </w:r>
    </w:p>
  </w:footnote>
  <w:footnote w:id="45">
    <w:p w14:paraId="2067419B" w14:textId="77777777" w:rsidR="00F27871" w:rsidRPr="006F3FA1" w:rsidRDefault="00F27871" w:rsidP="00994F93">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Šis uzskaitījums nav pilnīgs.</w:t>
      </w:r>
    </w:p>
  </w:footnote>
  <w:footnote w:id="46">
    <w:p w14:paraId="344C9ECB" w14:textId="77777777" w:rsidR="00F27871" w:rsidRPr="006F3FA1" w:rsidRDefault="00F27871" w:rsidP="00994F93">
      <w:pPr>
        <w:pStyle w:val="FootnoteText"/>
        <w:jc w:val="both"/>
      </w:pPr>
      <w:r>
        <w:rPr>
          <w:rStyle w:val="FootnoteReference"/>
          <w:rFonts w:ascii="Times New Roman" w:hAnsi="Times New Roman" w:cs="Times New Roman"/>
        </w:rPr>
        <w:footnoteRef/>
      </w:r>
      <w:r>
        <w:rPr>
          <w:rFonts w:ascii="Times New Roman" w:hAnsi="Times New Roman"/>
        </w:rPr>
        <w:t xml:space="preserve"> Piemēram, valdība var noteikt cenu dažiem darījumiem, kas neatspoguļo tirgus apstākļus, vai uzlikt par pienākumu ekonomikas dalībniekiem veikt valdības noteiktās iemaksas trešajām pusēm, ja nodarbojas ar kādām darbībām vai tur kādus aktīvus.</w:t>
      </w:r>
    </w:p>
  </w:footnote>
  <w:footnote w:id="47">
    <w:p w14:paraId="7A749028" w14:textId="77777777" w:rsidR="00F27871" w:rsidRPr="0033237C" w:rsidRDefault="00F27871" w:rsidP="00994F93">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Tas neattiecas uz programmām, saskaņā ar kurām valdības sektoram nepiederošai vienībai ir pilnīga brīvība uzņemties un īstenot darījumus (skat. 61. rindkopu).</w:t>
      </w:r>
    </w:p>
  </w:footnote>
  <w:footnote w:id="48">
    <w:p w14:paraId="64CB5A7F" w14:textId="77777777" w:rsidR="00F27871" w:rsidRPr="0033237C" w:rsidRDefault="00F27871" w:rsidP="00994F93">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Šādiem norādījumiem ir jābūt skaidri nošķirtiem no oficiālām vēstulēm, ar kurām var būt notikusi apmaiņa, lai apstiprinātu, ka darījums atbilst subjekta pilnvarojumam.</w:t>
      </w:r>
    </w:p>
  </w:footnote>
  <w:footnote w:id="49">
    <w:p w14:paraId="685B9FAA" w14:textId="77777777" w:rsidR="00F27871" w:rsidRPr="0033237C" w:rsidRDefault="00F27871" w:rsidP="00994F93">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Var būt situācijas, kad valdība nosaka tikai dažus darījuma nosacījumus un prasības, taču ir uzskatāms, ka šie nosacījumi un prasības ir būtiski darījuma elementi. Šādos gadījumos ir uzskatāms, ka situācija ir līdzvērtīga tai, kurā valdība nosaka gandrīz visus nosacījumus un prasības.</w:t>
      </w:r>
    </w:p>
  </w:footnote>
  <w:footnote w:id="50">
    <w:p w14:paraId="1E091B52" w14:textId="77777777" w:rsidR="00F27871" w:rsidRPr="0033237C" w:rsidRDefault="00F27871" w:rsidP="00994F93">
      <w:pPr>
        <w:pStyle w:val="FootnoteText"/>
        <w:jc w:val="both"/>
      </w:pPr>
      <w:r>
        <w:rPr>
          <w:rStyle w:val="FootnoteReference"/>
          <w:rFonts w:ascii="Times New Roman" w:hAnsi="Times New Roman" w:cs="Times New Roman"/>
        </w:rPr>
        <w:footnoteRef/>
      </w:r>
      <w:r>
        <w:rPr>
          <w:rFonts w:ascii="Times New Roman" w:hAnsi="Times New Roman"/>
        </w:rPr>
        <w:t xml:space="preserve"> “Parīzes klubs” ir “oficiālo kreditoru grupa, ar kuru attīstības valstis var atkārtoti runāt par savu parādu ar kreditorvalstīm”.</w:t>
      </w:r>
    </w:p>
  </w:footnote>
  <w:footnote w:id="51">
    <w:p w14:paraId="5E69D51B" w14:textId="77777777" w:rsidR="00F27871" w:rsidRPr="00743D6B" w:rsidRDefault="00F27871" w:rsidP="00994F93">
      <w:pPr>
        <w:jc w:val="both"/>
        <w:rPr>
          <w:rFonts w:ascii="Times New Roman" w:eastAsia="Arial"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szCs w:val="20"/>
        </w:rPr>
        <w:t xml:space="preserve"> Termins “slimnīca” šajā 1.2.4.6. apakšiedaļā attiecas uz veselības aprūpes iestādēm, kas nodrošina medicīnisko, ķirurģisko vai psihiatrisko aprūpi un ārstē slimus vai traumētus cilvēkus un kas šim nolūkam izmanto ēkas un tam paredzētu aprīkojumu un nodarbina kvalificētu personālu. Saskaņā ar </w:t>
      </w:r>
      <w:r>
        <w:rPr>
          <w:rFonts w:ascii="Times New Roman" w:hAnsi="Times New Roman"/>
          <w:i/>
          <w:iCs/>
          <w:sz w:val="20"/>
          <w:szCs w:val="20"/>
        </w:rPr>
        <w:t>NACE</w:t>
      </w:r>
      <w:r>
        <w:rPr>
          <w:rFonts w:ascii="Times New Roman" w:hAnsi="Times New Roman"/>
          <w:sz w:val="20"/>
          <w:szCs w:val="20"/>
        </w:rPr>
        <w:t xml:space="preserve"> klasifikāciju slimnīcu darbībām ir piešķirts īpašs kods (86.1). Taču šis kods ir izmantojams tikai indikatīvi, jo šajā saistībā ir jāpārbauda arī citas darbības veselības aizsardzības jomā (86) vai sociālās aprūpes darbības (87).</w:t>
      </w:r>
    </w:p>
  </w:footnote>
  <w:footnote w:id="52">
    <w:p w14:paraId="1D214F1E" w14:textId="77777777" w:rsidR="00F27871" w:rsidRPr="00743D6B" w:rsidRDefault="00F27871" w:rsidP="00994F93">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Šā iemesla dēļ šajā rokasgrāmatā kopš 2002. gada ir vienmēr iekļauta īpaša daļa, kas veltīta publiskām slimnīcām.</w:t>
      </w:r>
    </w:p>
  </w:footnote>
  <w:footnote w:id="53">
    <w:p w14:paraId="21E4F15D" w14:textId="27C720AF" w:rsidR="00F27871" w:rsidRPr="00BC0B87" w:rsidRDefault="00F27871" w:rsidP="00994F93">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Publiskās slimnīcas var kontrolēt dažādi valdības apakšsektori atbilstīgi dalībvalstīs noteiktajai institucionālajai kārtībai. Tomēr, ja slimnīca tiek vairumā finansēta no sociālajām iemaksām sociālā nodrošinā</w:t>
      </w:r>
      <w:r w:rsidR="00332253">
        <w:rPr>
          <w:rFonts w:ascii="Times New Roman" w:hAnsi="Times New Roman"/>
        </w:rPr>
        <w:t>juma</w:t>
      </w:r>
      <w:r>
        <w:rPr>
          <w:rFonts w:ascii="Times New Roman" w:hAnsi="Times New Roman"/>
        </w:rPr>
        <w:t xml:space="preserve"> subjektos (un nevis no subsīdijām no valdības iekasētajiem nodokļiem), praktisku iemeslu dēļ to var iekļaut sociālā nodrošinā</w:t>
      </w:r>
      <w:r w:rsidR="00332253">
        <w:rPr>
          <w:rFonts w:ascii="Times New Roman" w:hAnsi="Times New Roman"/>
        </w:rPr>
        <w:t>juma</w:t>
      </w:r>
      <w:r>
        <w:rPr>
          <w:rFonts w:ascii="Times New Roman" w:hAnsi="Times New Roman"/>
        </w:rPr>
        <w:t xml:space="preserve"> fonda apakšsektorā (S.1314).</w:t>
      </w:r>
    </w:p>
  </w:footnote>
  <w:footnote w:id="54">
    <w:p w14:paraId="670C50DA" w14:textId="77777777" w:rsidR="00F27871" w:rsidRPr="00BC0B87" w:rsidRDefault="00F27871" w:rsidP="00994F93">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Ja pastāv kvazipastāvīgi zaudējumi, tas vien vēl nav rādītājs, ka nav atklātas konkurences. Tieši pretēji – tas, ka publiskās slimnīcas ir rentablas (vai vismaz nerada pastāvīgus zaudējumus), arī nav pietiekams rādītājs, lai secinātu, ka pastāv faktiska tirgus konkurence.</w:t>
      </w:r>
    </w:p>
  </w:footnote>
  <w:footnote w:id="55">
    <w:p w14:paraId="5E86B3C1" w14:textId="77777777" w:rsidR="00F27871" w:rsidRPr="00BC0B87" w:rsidRDefault="00F27871" w:rsidP="00994F93">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Papildus medicīniskajai aprūpei valdība var uzticēt publiskajām slimnīcām īpašus uzdevumus, iespējams tādus kā izglītošanu un pētniecību. Par šiem uzdevumiem saņemtos maksājumus parasti neuzskata par tirgus darbību.</w:t>
      </w:r>
    </w:p>
  </w:footnote>
  <w:footnote w:id="56">
    <w:p w14:paraId="70AAD6EA" w14:textId="77777777" w:rsidR="00F27871" w:rsidRPr="00BC0B87" w:rsidRDefault="00F27871" w:rsidP="00994F93">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Citi rādītāji, kas var liecināt par valdības atbalstu, varētu būt valdības garantijas vai aizdevumi ar labvēlīgiem ārpustirgus nosacījumiem, ja tie tiek sniegti tikai publiskām slimnīcām.</w:t>
      </w:r>
    </w:p>
  </w:footnote>
  <w:footnote w:id="57">
    <w:p w14:paraId="6503CD1C" w14:textId="77777777" w:rsidR="00F27871" w:rsidRPr="00BC0B87" w:rsidRDefault="00F27871" w:rsidP="00994F93">
      <w:pPr>
        <w:pStyle w:val="FootnoteText"/>
        <w:jc w:val="both"/>
      </w:pPr>
      <w:r>
        <w:rPr>
          <w:rStyle w:val="FootnoteReference"/>
          <w:rFonts w:ascii="Times New Roman" w:hAnsi="Times New Roman" w:cs="Times New Roman"/>
        </w:rPr>
        <w:footnoteRef/>
      </w:r>
      <w:r>
        <w:rPr>
          <w:rFonts w:ascii="Times New Roman" w:hAnsi="Times New Roman"/>
        </w:rPr>
        <w:t xml:space="preserve"> Tas ir saskaņā ar nosacījumu, ka publiskās slimnīcas izpilda citus noteikumus par faktiskās tirgus konkurences esamību (tirgus atvērtība, vienādu pakalpojumu sniegšana, valdības atbalsta neesamība utt.).</w:t>
      </w:r>
    </w:p>
  </w:footnote>
  <w:footnote w:id="58">
    <w:p w14:paraId="5DE09FFC" w14:textId="77777777" w:rsidR="00F27871" w:rsidRPr="00BC0B87" w:rsidRDefault="00F27871" w:rsidP="000266B3">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Šajā apakšiedaļā netiek skarts jautājums par to, kā ieraksta licences/atļaujas, par kurām pašas TV/radio apraides organizācijas maksā valdībai, lai tām būtu ļauts veikt raiddarbību. Šīs licences/atļaujas traktē saskaņā ar EKS 2010 15. nodaļā (Līgumi, nomas līgumi un licences) noteiktajiem principiem, jo īpaši saskaņā ar sadaļu “Atļaujas veikt īpašas darbības” (sākot no EKS 2010 15.31. punkta). Daži noteikumi ir iekļauti arī šajā rokasgrāmatā (skat. 6. daļu “Noma, koncesijas un PPP”).</w:t>
      </w:r>
    </w:p>
  </w:footnote>
  <w:footnote w:id="59">
    <w:p w14:paraId="0D666735" w14:textId="77777777" w:rsidR="00F27871" w:rsidRPr="00BC0B87" w:rsidRDefault="00F27871" w:rsidP="000266B3">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Ja valdība (ar dekrētu, noteikumiem, likumu utt.) nosaka pienākumu maksāt par valsts apraidi, tas nozīmē, ka šis maksājums ir obligāts nacionālo kontu izpratnē. Var būt daži īpaši atbrīvojumi (piemēram, vecāka gadagājuma cilvēkiem), taču šie atbrīvojumi nemaina maksājuma obligātumu.</w:t>
      </w:r>
    </w:p>
  </w:footnote>
  <w:footnote w:id="60">
    <w:p w14:paraId="2C921BDF" w14:textId="77777777" w:rsidR="00F27871" w:rsidRPr="00BC0B87" w:rsidRDefault="00F27871" w:rsidP="000266B3">
      <w:pPr>
        <w:jc w:val="both"/>
        <w:rPr>
          <w:rFonts w:ascii="Times New Roman" w:eastAsia="Arial" w:hAnsi="Times New Roman" w:cs="Arial"/>
          <w:noProof/>
          <w:sz w:val="24"/>
          <w:szCs w:val="14"/>
        </w:rPr>
      </w:pPr>
      <w:r>
        <w:rPr>
          <w:rStyle w:val="FootnoteReference"/>
          <w:rFonts w:ascii="Times New Roman" w:hAnsi="Times New Roman" w:cs="Times New Roman"/>
          <w:sz w:val="20"/>
          <w:szCs w:val="20"/>
        </w:rPr>
        <w:footnoteRef/>
      </w:r>
      <w:r>
        <w:rPr>
          <w:rFonts w:ascii="Times New Roman" w:hAnsi="Times New Roman"/>
          <w:sz w:val="20"/>
          <w:szCs w:val="20"/>
        </w:rPr>
        <w:t xml:space="preserve"> Ja ir pienākums maksāt, pamatojoties ne tikai uz attiecīgās ierīces īpašumtiesībām/pieejamību, bet arī pamatojoties uz tās lietošanu, lai izmantotu valsts apraides pakalpojumus (vai nu konkrēti valsts apraides pakalpojumus vai apraides pakalpojumus kopumā), maksājumus ieraksta kā nodokli, ja lietotājs nevar izvēlēties nemaksāt par valsts apraides pakalpojumiem, vienlaikus saglabājot iespēju legāli izmantot privātās apraides pakalpojumus.</w:t>
      </w:r>
    </w:p>
  </w:footnote>
  <w:footnote w:id="61">
    <w:p w14:paraId="7C43F5A7" w14:textId="77777777" w:rsidR="00F27871" w:rsidRPr="00D97111" w:rsidRDefault="00F27871" w:rsidP="00994F93">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Skat. arī 26. SGS (Pensijas pabalsta plānu uzskaite un pārskatu sniegšana) 12. punktu (Definīcijas. Plāni, kuri ietver abu plānu iezīmes).</w:t>
      </w:r>
    </w:p>
  </w:footnote>
  <w:footnote w:id="62">
    <w:p w14:paraId="5633F7FC" w14:textId="77777777" w:rsidR="00F27871" w:rsidRPr="00267B4D" w:rsidRDefault="00F27871" w:rsidP="00994F93">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Šīm citām institūcijām jāieraksta apdrošināšanas tehniskās rezerves (krājumi), lai atspoguļotu pensijas saistības, par kurām tās ir atbildīgas. Citādi šādas rezerves šīm institūcijām nepastāvētu.</w:t>
      </w:r>
    </w:p>
  </w:footnote>
  <w:footnote w:id="63">
    <w:p w14:paraId="22BD632D" w14:textId="77777777" w:rsidR="00F27871" w:rsidRPr="0078020D" w:rsidRDefault="00F27871" w:rsidP="00994F93">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EKS 2010 dēvētas arī par tirgu regulējošām organizācijām.</w:t>
      </w:r>
    </w:p>
  </w:footnote>
  <w:footnote w:id="64">
    <w:p w14:paraId="56928D03" w14:textId="77777777" w:rsidR="00F27871" w:rsidRPr="0078020D" w:rsidRDefault="00F27871" w:rsidP="00994F93">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Kas attiecas uz citām regulējošām struktūrām (kuras neiesaistās tirgū tieši ar “izlīdzinošo krājumu” starpniecību), piemēram, uz valsts iestādēm enerģētikas, telesakaru, transporta u. c. nozarēs, klasifikācija vispārējā valdības sektorā būs atkarīga no to ietekmes uz darbības regulējuma izstrādi un to pilnvarām. Ja iepriekš minētais nosacījums nav izpildīts, uzmanība būtu jāpievērš šo iestāžu līdzekļu būtībai, kas var būt iegūti galvenokārt no nodokļiem.</w:t>
      </w:r>
    </w:p>
  </w:footnote>
  <w:footnote w:id="65">
    <w:p w14:paraId="4F3899DC" w14:textId="77777777" w:rsidR="00F27871" w:rsidRPr="0078020D" w:rsidRDefault="00F27871" w:rsidP="00994F93">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Tomēr saistībā ar spēkā esošo ES lauksaimniecības politiku produkcijas cenu regulēšana ir kļuvusi par samērā nelielu darbības jomu; šādas darbības novērotas vien attiecībā uz ierobežotu produktu klāstu.</w:t>
      </w:r>
    </w:p>
  </w:footnote>
  <w:footnote w:id="66">
    <w:p w14:paraId="49736ABB" w14:textId="77777777" w:rsidR="00F27871" w:rsidRPr="0078020D" w:rsidRDefault="00F27871" w:rsidP="00994F93">
      <w:pPr>
        <w:jc w:val="both"/>
        <w:rPr>
          <w:rFonts w:ascii="Times New Roman" w:eastAsia="Arial" w:hAnsi="Times New Roman" w:cs="Arial"/>
          <w:noProof/>
          <w:sz w:val="24"/>
          <w:szCs w:val="14"/>
        </w:rPr>
      </w:pPr>
      <w:r>
        <w:rPr>
          <w:rStyle w:val="FootnoteReference"/>
          <w:rFonts w:ascii="Times New Roman" w:hAnsi="Times New Roman" w:cs="Times New Roman"/>
          <w:sz w:val="20"/>
          <w:szCs w:val="20"/>
        </w:rPr>
        <w:footnoteRef/>
      </w:r>
      <w:r>
        <w:rPr>
          <w:rFonts w:ascii="Times New Roman" w:hAnsi="Times New Roman"/>
          <w:sz w:val="20"/>
          <w:szCs w:val="20"/>
        </w:rPr>
        <w:t xml:space="preserve"> Lai iegūtu papildu informāciju, skat. </w:t>
      </w:r>
      <w:r>
        <w:rPr>
          <w:rFonts w:ascii="Times New Roman" w:hAnsi="Times New Roman"/>
          <w:i/>
          <w:iCs/>
          <w:sz w:val="20"/>
          <w:szCs w:val="20"/>
        </w:rPr>
        <w:t>Eurostat</w:t>
      </w:r>
      <w:r>
        <w:rPr>
          <w:rFonts w:ascii="Times New Roman" w:hAnsi="Times New Roman"/>
          <w:sz w:val="20"/>
          <w:szCs w:val="20"/>
        </w:rPr>
        <w:t xml:space="preserve"> 2008. gada 20. novembra vadlīnijas: </w:t>
      </w:r>
      <w:r>
        <w:rPr>
          <w:rFonts w:ascii="Times New Roman" w:hAnsi="Times New Roman"/>
          <w:i/>
          <w:iCs/>
          <w:sz w:val="20"/>
          <w:szCs w:val="20"/>
        </w:rPr>
        <w:t>Recording of changes in inventories of Agricultural Market Regulatory Agencies</w:t>
      </w:r>
      <w:r>
        <w:rPr>
          <w:rFonts w:ascii="Times New Roman" w:hAnsi="Times New Roman"/>
          <w:sz w:val="20"/>
          <w:szCs w:val="20"/>
        </w:rPr>
        <w:t xml:space="preserve"> [Lauksaimniecības tirgu regulējošo institūciju krājumu pārmaiņu ierakstīšana].</w:t>
      </w:r>
    </w:p>
  </w:footnote>
  <w:footnote w:id="67">
    <w:p w14:paraId="6BD271A8" w14:textId="77777777" w:rsidR="00F27871" w:rsidRPr="0078020D" w:rsidRDefault="00F27871" w:rsidP="00994F93">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Tās kopumā pielāgo uzraudzīto vienību lielumam.</w:t>
      </w:r>
    </w:p>
  </w:footnote>
  <w:footnote w:id="68">
    <w:p w14:paraId="035F1F30" w14:textId="77777777" w:rsidR="00F27871" w:rsidRPr="0078020D" w:rsidRDefault="00F27871" w:rsidP="00994F93">
      <w:pPr>
        <w:pStyle w:val="FootnoteText"/>
        <w:jc w:val="both"/>
      </w:pPr>
      <w:r>
        <w:rPr>
          <w:rStyle w:val="FootnoteReference"/>
          <w:rFonts w:ascii="Times New Roman" w:hAnsi="Times New Roman" w:cs="Times New Roman"/>
        </w:rPr>
        <w:footnoteRef/>
      </w:r>
      <w:r>
        <w:rPr>
          <w:rFonts w:ascii="Times New Roman" w:hAnsi="Times New Roman"/>
        </w:rPr>
        <w:t xml:space="preserve"> Skat. ECB 2014. gada 27. maija preses relīzi, kurā noteiktas banku uzraudzības izmaksas eirozonā 260 mlj. EUR apmērā, un tādējādi visām bankām eirozonā atkarībā no to lieluma ir piemērojama fiksēta maksājuma summa.</w:t>
      </w:r>
    </w:p>
  </w:footnote>
  <w:footnote w:id="69">
    <w:p w14:paraId="733C304D" w14:textId="77777777" w:rsidR="00F27871" w:rsidRPr="00474339" w:rsidRDefault="00F27871" w:rsidP="00994F93">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Direktīva 2014/49/ES par noguldījumu garantiju sistēmām; Direktīva 2014/59/ES, ar ko izveido kredītiestāžu un ieguldījumu brokeru sabiedrību atveseļošanas un noregulējuma režīmu.</w:t>
      </w:r>
    </w:p>
  </w:footnote>
  <w:footnote w:id="70">
    <w:p w14:paraId="6715FF31" w14:textId="77777777" w:rsidR="00F27871" w:rsidRPr="00474339" w:rsidRDefault="00F27871" w:rsidP="00994F93">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ECB ir izdevusi atzinumus par dažiem valsts tiesību aktiem attiecībā uz nacionālajiem noregulējuma fondiem (NNF) un noguldījuma garantijas shēmām (NGS). Šajos atzinumos ir norādīts, ka </w:t>
      </w:r>
      <w:r>
        <w:rPr>
          <w:rFonts w:ascii="Times New Roman" w:hAnsi="Times New Roman"/>
          <w:i/>
          <w:iCs/>
        </w:rPr>
        <w:t>ESCB</w:t>
      </w:r>
      <w:r>
        <w:rPr>
          <w:rFonts w:ascii="Times New Roman" w:hAnsi="Times New Roman"/>
        </w:rPr>
        <w:t xml:space="preserve"> nedrīkst finansēt nacionālos noregulējuma fondus vai noguldītāju garantijas shēmas (izņemot sniegt vienas nakts, īstermiņa vai neatliekamu finansējumu), jo tas varētu būt Līgumā noteiktā “monetārās finansēšanas” aizlieguma pārkāpums. Skat. atzinuma CON/2016/3 3.1. punktu; atzinuma CON/2015/52 2.3.2. punktu; atzinuma CON/2015/40 3.2. punktu; atzinuma CON/2015/17 4.1. punktu; atzinuma CON/2014/86 2.2. punktu; atzinumu CON/2011/103 un atzinumu CON/2012/22. Skat. arī ECB 2014. gada Konverģences ziņojuma 30. lpp.</w:t>
      </w:r>
    </w:p>
  </w:footnote>
  <w:footnote w:id="71">
    <w:p w14:paraId="51EBF981" w14:textId="77777777" w:rsidR="00F27871" w:rsidRPr="00474339" w:rsidRDefault="00F27871" w:rsidP="00994F93">
      <w:pPr>
        <w:pStyle w:val="FootnoteText"/>
        <w:jc w:val="both"/>
      </w:pPr>
      <w:r>
        <w:rPr>
          <w:rStyle w:val="FootnoteReference"/>
          <w:rFonts w:ascii="Times New Roman" w:hAnsi="Times New Roman" w:cs="Times New Roman"/>
        </w:rPr>
        <w:footnoteRef/>
      </w:r>
      <w:r>
        <w:rPr>
          <w:rFonts w:ascii="Times New Roman" w:hAnsi="Times New Roman"/>
        </w:rPr>
        <w:t xml:space="preserve"> Saskaņā ar vispārējo mērķi, kas noteikts kā konkrētu kategoriju saistību procentuālā daļa, fonds ar zināmu elastību var noteikt, kādā veidā sasniegt šo mērķi pārejas posmā, vai pat pielāgot to saskaņā ar uzņēmējdarbības aktivitātes cikliem. Tomēr tas jāskata kā laiksaisīta arbitrāža starp regulārām iemaksām un ārkārtas resursiem.</w:t>
      </w:r>
    </w:p>
  </w:footnote>
  <w:footnote w:id="72">
    <w:p w14:paraId="64CFA99F" w14:textId="77777777" w:rsidR="00F27871" w:rsidRPr="00474339" w:rsidRDefault="00F27871" w:rsidP="00994F93">
      <w:pPr>
        <w:jc w:val="both"/>
        <w:rPr>
          <w:rFonts w:ascii="Times New Roman" w:eastAsia="Arial"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szCs w:val="20"/>
        </w:rPr>
        <w:t xml:space="preserve"> Skat. EKS 2010 20.06. un 20.07. punktu par valdības funkcijām un tās unikālo spēju iekasēt obligātos maksājumus.</w:t>
      </w:r>
    </w:p>
  </w:footnote>
  <w:footnote w:id="73">
    <w:p w14:paraId="0DAB17D9" w14:textId="7C03F130" w:rsidR="00F27871" w:rsidRPr="00474339" w:rsidRDefault="00F27871" w:rsidP="00994F93">
      <w:pPr>
        <w:pStyle w:val="FootnoteText"/>
        <w:jc w:val="both"/>
      </w:pPr>
      <w:r>
        <w:rPr>
          <w:rStyle w:val="FootnoteReference"/>
          <w:rFonts w:ascii="Times New Roman" w:hAnsi="Times New Roman" w:cs="Times New Roman"/>
        </w:rPr>
        <w:footnoteRef/>
      </w:r>
      <w:r w:rsidR="002E358E">
        <w:rPr>
          <w:rFonts w:ascii="Times New Roman" w:hAnsi="Times New Roman"/>
        </w:rPr>
        <w:t xml:space="preserve"> </w:t>
      </w:r>
      <w:r>
        <w:rPr>
          <w:rFonts w:ascii="Times New Roman" w:hAnsi="Times New Roman"/>
        </w:rPr>
        <w:t>Noregulējuma fonds nesedz maksātnespējas risku, taču, kā noteikusi Eiropas Komisija, “ar noregulējuma fondu būtu: 1) jānodrošina banku pamatdarbību nepārtrauktība, 2) jāaizsargā noguldītāji, klientu aktīvi un valsts līdzekļi, 3) jāmazina finanšu stabilitātes riski, 4) jāizvairās no vērtības nevajadzīgas iznīcināšanas.”</w:t>
      </w:r>
    </w:p>
  </w:footnote>
  <w:footnote w:id="74">
    <w:p w14:paraId="77BEA690" w14:textId="77777777" w:rsidR="00F27871" w:rsidRPr="00071400" w:rsidRDefault="00F27871" w:rsidP="00994F93">
      <w:pPr>
        <w:jc w:val="both"/>
        <w:rPr>
          <w:rFonts w:ascii="Times New Roman" w:eastAsia="Arial"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szCs w:val="20"/>
        </w:rPr>
        <w:t xml:space="preserve"> Šis ir cita veida “starpnieks”, kuru var izveidot bez juridiska pamata saistībā ar noteiktu finanšu instrumentu (piemēram, īstermiņa vekseļu vai parādzīmju) emisiju. Starpnieka gadījumā netiek veikta atdalīšana no “mātes vienības”.</w:t>
      </w:r>
    </w:p>
  </w:footnote>
  <w:footnote w:id="75">
    <w:p w14:paraId="6808CE22" w14:textId="77777777" w:rsidR="00F27871" w:rsidRPr="00071400" w:rsidRDefault="00F27871" w:rsidP="00994F93">
      <w:pPr>
        <w:jc w:val="both"/>
        <w:rPr>
          <w:rFonts w:ascii="Times New Roman" w:hAnsi="Times New Roman"/>
          <w:noProof/>
          <w:sz w:val="24"/>
        </w:rPr>
      </w:pPr>
      <w:r>
        <w:rPr>
          <w:rStyle w:val="FootnoteReference"/>
          <w:rFonts w:ascii="Times New Roman" w:hAnsi="Times New Roman" w:cs="Times New Roman"/>
          <w:sz w:val="20"/>
          <w:szCs w:val="20"/>
        </w:rPr>
        <w:footnoteRef/>
      </w:r>
      <w:r>
        <w:rPr>
          <w:rFonts w:ascii="Times New Roman" w:hAnsi="Times New Roman"/>
          <w:sz w:val="20"/>
          <w:szCs w:val="20"/>
        </w:rPr>
        <w:t xml:space="preserve"> Proti, nav darbinieku, nav īpašumtiesību uz nefinanšu aktīviem, galvenokārt pārvalda citas vienības, vienmēr ekskluzīvi saistīta ar citu sabiedrību, bieži vien kā meitasvienība. EKS 2010 2.98. punkta c) apakšpunktā noteikts arī tas, ka vairums ĪNDS aktīvu vai saistību nebūs iesaistītas darījumos atklātos tirgos.</w:t>
      </w:r>
    </w:p>
  </w:footnote>
  <w:footnote w:id="76">
    <w:p w14:paraId="34D8D6E1" w14:textId="77777777" w:rsidR="00F27871" w:rsidRPr="005E639A" w:rsidRDefault="00F27871" w:rsidP="00994F93">
      <w:pPr>
        <w:jc w:val="both"/>
        <w:rPr>
          <w:rFonts w:ascii="Times New Roman" w:eastAsia="Arial"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szCs w:val="20"/>
        </w:rPr>
        <w:t xml:space="preserve"> To var iepriekš pieņemt, ja ĪNDS pārvaldību pilnīgi veic valdības subjektu dalībnieki vai attiecībā uz visiem lēmumiem tiek piemērots iepriekšējs valdības apstiprinājums. Taču ĪNDS var nebūt pietiekami neatkarīga no valdības pat tad, ja tās valdē ietilpst vienīgi “neatkarīgi” valdības sektoram nepiederoši pārstāvji, bet tās statuss un/vai ar valdību noslēgtais līgums būtiski ierobežo tās lēmējtiesības.</w:t>
      </w:r>
    </w:p>
  </w:footnote>
  <w:footnote w:id="77">
    <w:p w14:paraId="7DB8381F" w14:textId="77777777" w:rsidR="00F27871" w:rsidRPr="005E639A" w:rsidRDefault="00F27871" w:rsidP="00994F93">
      <w:pPr>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szCs w:val="20"/>
        </w:rPr>
        <w:t xml:space="preserve"> ECB uztur finanšu instrumentsabiedrību sarakstu saskaņā ar FIS tiesisko regulējumu, kas noteikts Eiropas Centrālās bankas 2013.gada 18. oktobra Regulā (ES) Nr. 1075/2013 par vērtspapīrošanas darījumos iesaistīto finanšu instrumentsabiedrību aktīvu un pasīvu statistiku (pārstrādāta versija) (ECB/2013/40). Šo sarakstu neizmanto nacionālo kontu sektoru klasifikācijā.</w:t>
      </w:r>
    </w:p>
  </w:footnote>
  <w:footnote w:id="78">
    <w:p w14:paraId="1F4DFAEB" w14:textId="77777777" w:rsidR="00F27871" w:rsidRPr="005E639A" w:rsidRDefault="00F27871" w:rsidP="00994F93">
      <w:pPr>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t xml:space="preserve"> </w:t>
      </w:r>
      <w:r>
        <w:rPr>
          <w:rFonts w:ascii="Times New Roman" w:hAnsi="Times New Roman"/>
          <w:sz w:val="20"/>
          <w:szCs w:val="20"/>
        </w:rPr>
        <w:t>Jo īpaši 5.5.2.8. apakšiedaļa “Vērtspapirizācijas struktūrvienības klasifikācija”.</w:t>
      </w:r>
    </w:p>
  </w:footnote>
  <w:footnote w:id="79">
    <w:p w14:paraId="0D9FD461" w14:textId="77777777" w:rsidR="00F27871" w:rsidRPr="005E639A" w:rsidRDefault="00F27871" w:rsidP="00994F93">
      <w:pPr>
        <w:jc w:val="both"/>
        <w:rPr>
          <w:rFonts w:ascii="Times New Roman" w:eastAsia="Arial"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szCs w:val="20"/>
        </w:rPr>
        <w:t xml:space="preserve"> Kā norādīts EKS 2010 20.36. punktā, praksē terminu “publiskas kontrolakciju sabiedrības” attiecina arī uz EKS 2010 noteiktajiem “centrālajiem birojiem”. Tomēr ar sektora klasifikāciju saistītu apsvērumu dēļ nacionālajos kontos ir svarīgi noteikt skaidru dalījumu starp šo abu veidu subjektiem.</w:t>
      </w:r>
    </w:p>
  </w:footnote>
  <w:footnote w:id="80">
    <w:p w14:paraId="47A339E5" w14:textId="77777777" w:rsidR="00F27871" w:rsidRPr="005E639A" w:rsidRDefault="00F27871" w:rsidP="00994F93">
      <w:pPr>
        <w:jc w:val="both"/>
        <w:rPr>
          <w:rFonts w:ascii="Times New Roman" w:eastAsia="Arial"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szCs w:val="20"/>
        </w:rPr>
        <w:t xml:space="preserve"> Dažās ES valstīs kopumā var būt liels skaits tādu subjektu, kuri tiek dēvēti par “kontrolakciju sabiedrībām”, bet daudzos gadījumos tie var būt “mākslīgi” veidojumi. Šķiet, ka vienīgais praktiskais risinājums ir “mehāniskā pieeja” (automātiski piemērota formula). To nevar piemērot vienībām, ko kontrolē valdība, jo to sektoru klasifikācijai ir liela nozīme un katrs gadījums vienmēr ir jāanalizē atsevišķi.</w:t>
      </w:r>
    </w:p>
  </w:footnote>
  <w:footnote w:id="81">
    <w:p w14:paraId="5BF0E9EB" w14:textId="77777777" w:rsidR="00F27871" w:rsidRPr="005E639A" w:rsidRDefault="00F27871" w:rsidP="00994F93">
      <w:pPr>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szCs w:val="20"/>
        </w:rPr>
        <w:t xml:space="preserve"> Šajā saistībā ļoti neliels darbinieku skaits (jo īpaši gadījumā, ja pastāv grupa ar daudzām meitasvienībām) liecina par to, ka vienība nedarbojas kā centrālais birojs, bet gan kā kontrolakciju sabiedrība.</w:t>
      </w:r>
    </w:p>
  </w:footnote>
  <w:footnote w:id="82">
    <w:p w14:paraId="444AD382" w14:textId="77777777" w:rsidR="00F27871" w:rsidRPr="005E639A" w:rsidRDefault="00F27871" w:rsidP="00994F93">
      <w:pPr>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szCs w:val="20"/>
        </w:rPr>
        <w:t xml:space="preserve"> Līdz ar to subjekts, kuram ir visvairāk ienākumu dividenžu veidā ar ļoti nelielu vadības maksu un/vai darījumu pakalpojumu pārdošanas ieņēmumiem vai vispār bez tiem un kurš atmaksā valdības īpašniekam visas dividendes vai lielāko to daļu, saskaņā ar EKS 2010 netiek uzskatīts par centrālo biroju.</w:t>
      </w:r>
    </w:p>
  </w:footnote>
  <w:footnote w:id="83">
    <w:p w14:paraId="05A0F4BA" w14:textId="77777777" w:rsidR="00F27871" w:rsidRPr="005E639A" w:rsidRDefault="00F27871" w:rsidP="00994F93">
      <w:pPr>
        <w:jc w:val="both"/>
        <w:rPr>
          <w:rFonts w:ascii="Times New Roman" w:eastAsia="Arial" w:hAnsi="Times New Roman" w:cs="Arial"/>
          <w:noProof/>
          <w:sz w:val="24"/>
          <w:szCs w:val="14"/>
        </w:rPr>
      </w:pPr>
      <w:r>
        <w:rPr>
          <w:rStyle w:val="FootnoteReference"/>
          <w:rFonts w:ascii="Times New Roman" w:hAnsi="Times New Roman" w:cs="Times New Roman"/>
          <w:sz w:val="20"/>
          <w:szCs w:val="20"/>
        </w:rPr>
        <w:footnoteRef/>
      </w:r>
      <w:r>
        <w:rPr>
          <w:rFonts w:ascii="Times New Roman" w:hAnsi="Times New Roman"/>
          <w:sz w:val="20"/>
          <w:szCs w:val="20"/>
        </w:rPr>
        <w:t xml:space="preserve"> EKS 2010 2.14. punktā noteikts, ka “kontrolakciju sabiedrības tiek raksturotas ISIC 4. red., K sadaļā, 6420. klasē (</w:t>
      </w:r>
      <w:r>
        <w:rPr>
          <w:rFonts w:ascii="Times New Roman" w:hAnsi="Times New Roman"/>
          <w:i/>
          <w:iCs/>
          <w:sz w:val="20"/>
          <w:szCs w:val="20"/>
        </w:rPr>
        <w:t>NACE</w:t>
      </w:r>
      <w:r>
        <w:rPr>
          <w:rFonts w:ascii="Times New Roman" w:hAnsi="Times New Roman"/>
          <w:sz w:val="20"/>
          <w:szCs w:val="20"/>
        </w:rPr>
        <w:t xml:space="preserve"> 2. red., K 64.20) šādi: Šajā klasē ietilpst kontrolakciju sabiedrību darbība, t. i., tādu struktūrvienību darbība, kuras tur meitasuzņēmumu grupas aktīvus (kurām pieder pašu kapitāla daļa, kas nodrošina kontroli) un kuru pamatdarbība ir šīs uzņēmumu grupas turēšana īpašumā. Šajā klasē klasificētās kontrolakciju sabiedrības nesniedz nekādus citus pakalpojumus uzņēmumiem, kuros tām pieder pašu kapitāls, t. i., tās nepārvalda vai nevada citas struktūrvienības.”</w:t>
      </w:r>
    </w:p>
  </w:footnote>
  <w:footnote w:id="84">
    <w:p w14:paraId="0AD93686" w14:textId="77777777" w:rsidR="00F27871" w:rsidRPr="005E639A" w:rsidRDefault="00F27871" w:rsidP="00994F93">
      <w:pPr>
        <w:jc w:val="both"/>
        <w:rPr>
          <w:rFonts w:ascii="Times New Roman" w:eastAsia="Arial"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szCs w:val="20"/>
        </w:rPr>
        <w:t xml:space="preserve"> Šīs tirgu regulējošās struktūras nepiešķir subsīdijas vai dotācijas ražotājiem un nedarbojas tirgos, lai izlīdzinātu tirgus svārstības, iegādājoties/pārdodot preces pretēji cikliskajām tendencēm (tās ir iekļautas EKS 2010 20.53.–20.54. punktā un 1.4. nodaļā “Tirgu regulējošas institūcijas lauksaimniecības nozarē”.</w:t>
      </w:r>
    </w:p>
  </w:footnote>
  <w:footnote w:id="85">
    <w:p w14:paraId="4A0D79F0" w14:textId="77777777" w:rsidR="00F27871" w:rsidRPr="005E639A" w:rsidRDefault="00F27871" w:rsidP="00994F93">
      <w:pPr>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szCs w:val="20"/>
        </w:rPr>
        <w:t xml:space="preserve"> Tirgu regulējošā vienība var arī pārvaldīt fondu (piemēram, garantiju fondu), kurā maksājumus ieraksta kā nodokļus, ja iemaksas fondā ir obligātas.</w:t>
      </w:r>
    </w:p>
  </w:footnote>
  <w:footnote w:id="86">
    <w:p w14:paraId="020BBC11" w14:textId="77777777" w:rsidR="00F27871" w:rsidRPr="00191602" w:rsidRDefault="00F27871" w:rsidP="00994F93">
      <w:pPr>
        <w:jc w:val="both"/>
        <w:rPr>
          <w:rFonts w:ascii="Times New Roman" w:eastAsia="Arial"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szCs w:val="20"/>
        </w:rPr>
        <w:t xml:space="preserve"> EKS 2010 paskaidrots, ka “mākslīgie meitasuzņēmumi” pilnīgi pieder mātessabiedrībai un sniedz tai vai citām tajā pašā grupā ietilpstošām sabiedrībām noteiktus pakalpojumus. Šādi subjekti parasti neatbilst institucionālas vienības definīcijai. Tie gandrīz pilnīgi atbilst subjektiem, kas sniedz palīgpakalpojumus, vienīgi atšķiras to īstenoto darbības veidu loks.</w:t>
      </w:r>
    </w:p>
  </w:footnote>
  <w:footnote w:id="87">
    <w:p w14:paraId="173A7D6B" w14:textId="77777777" w:rsidR="00F27871" w:rsidRPr="00191602" w:rsidRDefault="00F27871" w:rsidP="00994F93">
      <w:pPr>
        <w:jc w:val="both"/>
        <w:rPr>
          <w:rFonts w:ascii="Times New Roman" w:eastAsia="Arial"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szCs w:val="20"/>
        </w:rPr>
        <w:t xml:space="preserve"> Savukārt, ja subjektam acīmredzami nav lēmumu pieņemšanas pilnvaru pat attiecībā uz savām ikdienas darbībām un ja tas izskatās kā sava veida grāmatvedības rīks vai darbojas kā “autopilots”, šādu subjektu nacionālajos kontos neuzskata par institucionālo vienību un automātiski iekļauj tā kontrolējošajā vienībā.</w:t>
      </w:r>
    </w:p>
  </w:footnote>
  <w:footnote w:id="88">
    <w:p w14:paraId="39EA2FEA" w14:textId="77777777" w:rsidR="00F27871" w:rsidRPr="00191602" w:rsidRDefault="00F27871" w:rsidP="00994F93">
      <w:pPr>
        <w:jc w:val="both"/>
        <w:rPr>
          <w:rFonts w:ascii="Times New Roman" w:eastAsia="Arial"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szCs w:val="20"/>
        </w:rPr>
        <w:t xml:space="preserve"> Termins “mātesuzņēmums” ir jāsaprot plašā nozīmē kā kontrolējošā vienība. Valdības kontrolētie subjekti, kam ir piesaistošās finanšu iestādes pazīmes, var arī nebūt tiešā valdības īpašumā vai valdības izveidoti, lai tiktu klasificēti vispārējās valdības sektorā (S.13).</w:t>
      </w:r>
    </w:p>
  </w:footnote>
  <w:footnote w:id="89">
    <w:p w14:paraId="683CFDC5" w14:textId="77777777" w:rsidR="00F27871" w:rsidRPr="00191602" w:rsidRDefault="00F27871" w:rsidP="00994F93">
      <w:pPr>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szCs w:val="20"/>
        </w:rPr>
        <w:t xml:space="preserve"> Pat ja tiem būtu licence bankas darbības veikšanai un tie būtu iekļauti ECB turētajā MFI sarakstā.</w:t>
      </w:r>
    </w:p>
  </w:footnote>
  <w:footnote w:id="90">
    <w:p w14:paraId="06E05FA3" w14:textId="77777777" w:rsidR="00F27871" w:rsidRPr="00191602" w:rsidRDefault="00F27871" w:rsidP="00994F93">
      <w:pPr>
        <w:jc w:val="both"/>
        <w:rPr>
          <w:rFonts w:ascii="Times New Roman" w:hAnsi="Times New Roman"/>
          <w:noProof/>
          <w:sz w:val="24"/>
        </w:rPr>
      </w:pPr>
      <w:r>
        <w:rPr>
          <w:rStyle w:val="FootnoteReference"/>
          <w:rFonts w:ascii="Times New Roman" w:hAnsi="Times New Roman" w:cs="Times New Roman"/>
          <w:sz w:val="20"/>
          <w:szCs w:val="20"/>
        </w:rPr>
        <w:footnoteRef/>
      </w:r>
      <w:r>
        <w:rPr>
          <w:rFonts w:ascii="Times New Roman" w:hAnsi="Times New Roman"/>
          <w:sz w:val="20"/>
          <w:szCs w:val="20"/>
        </w:rPr>
        <w:t xml:space="preserve"> Piesaistošo finanšu iestāžu un naudas aizdevēju apakšsektorā (S.127) tad iekļauj visas piesaistošās finanšu iestādes, ko nekontrolē valdība (vai ko tieši nekontrolē valdība). Var būt piesaistošās finanšu iestādes, kuru mātesuzņēmums ir publiska sabiedrība. Šādas piesaistošās finanšu iestādes parasti klasificē S.127 apakšsektorā, izņemot, ja šī vienība veic kādus uzdevumus sabiedrības interesēs un faktiski darbojas valdības vārdā, nevis sava publiskā mātesuzņēmuma labā. Pēdējā minētajā gadījumā tā būtu jāklasificē valdības sektorā.</w:t>
      </w:r>
    </w:p>
  </w:footnote>
  <w:footnote w:id="91">
    <w:p w14:paraId="68C1A75C" w14:textId="77777777" w:rsidR="00F27871" w:rsidRPr="00975990" w:rsidRDefault="00F27871" w:rsidP="00994F93">
      <w:pPr>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szCs w:val="20"/>
        </w:rPr>
        <w:t xml:space="preserve"> Šajā saistībā ir, piemēram, būtiska atšķirība starp bankas filiāli, kas ir specializējusies kreditēšanas (uzņēmumu, nekustamā īpašuma) jomā un kurai ir liela autonomija veikt šo darbību (piemēram, mātesuzņēmums nosaka tikai dažus rentabilitātes mērķus/standartus), un vienību, kurai bankas jomā strādājošais mātesuzņēmums ir noteicis uzdevumu piešķirt aizdevumus savā vārdā tikai ļoti konkrētai pārstāvju kategorijai (pēc ienākuma līmeņa, firmas lieluma, produktu veidiem, parametriem utt.), piemērojot konkrētu peļņas normu, utt.</w:t>
      </w:r>
    </w:p>
  </w:footnote>
  <w:footnote w:id="92">
    <w:p w14:paraId="683E68A2" w14:textId="77777777" w:rsidR="00F27871" w:rsidRPr="00975990" w:rsidRDefault="00F27871" w:rsidP="00994F93">
      <w:pPr>
        <w:jc w:val="both"/>
        <w:rPr>
          <w:rFonts w:ascii="Times New Roman" w:hAnsi="Times New Roman"/>
          <w:noProof/>
          <w:sz w:val="24"/>
        </w:rPr>
      </w:pPr>
      <w:r>
        <w:rPr>
          <w:rStyle w:val="FootnoteReference"/>
          <w:rFonts w:ascii="Times New Roman" w:hAnsi="Times New Roman" w:cs="Times New Roman"/>
          <w:sz w:val="20"/>
          <w:szCs w:val="20"/>
        </w:rPr>
        <w:footnoteRef/>
      </w:r>
      <w:r>
        <w:rPr>
          <w:rFonts w:ascii="Times New Roman" w:hAnsi="Times New Roman"/>
          <w:sz w:val="20"/>
          <w:szCs w:val="20"/>
        </w:rPr>
        <w:t xml:space="preserve"> Tomēr var būt gadījumi, kad valdība ir uzticējusi vienībai iejaukties dažādās valsts politikas jomās, piemēram, sniegt atbalstu noteiktiem uzņēmumiem (jo īpaši MVU) un vienlaikus arī mājsaimniecībām saistībā ar sociālajiem mājokļiem. To veic atsevišķi vienības departamenti un dažos gadījumos tam paredzētas filiāles. Galvenais, kas tomēr ir jānovērtē attiecībā uz visu šo veidu darbībām (vai to vairumu), vai vienībai ir ierobežota rīcības brīvība, kā skaidrots iepriekš.</w:t>
      </w:r>
    </w:p>
  </w:footnote>
  <w:footnote w:id="93">
    <w:p w14:paraId="3D41047D" w14:textId="77777777" w:rsidR="00F27871" w:rsidRPr="00C00D28" w:rsidRDefault="00F27871" w:rsidP="00994F93">
      <w:pPr>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szCs w:val="20"/>
        </w:rPr>
        <w:t xml:space="preserve"> Varētu būt gadījumi, kad valdība sākotnēji cer uz peļņas normu, kas ir tuva tirgus slieksnim (piemēram, vismaz ilgtermiņa aizņēmuma izmaksām). Taču gadījumā, ja vienība nespētu to nodrošināt, maz ticams, ka valdība varētu apstiprināt vispārējās politikas izmaiņas vai pat atkāpties no tās, kā to bieži vien darītu privātie ieguldītāji.</w:t>
      </w:r>
    </w:p>
  </w:footnote>
  <w:footnote w:id="94">
    <w:p w14:paraId="02560FFF" w14:textId="77777777" w:rsidR="00F27871" w:rsidRPr="00C00D28" w:rsidRDefault="00F27871" w:rsidP="00994F93">
      <w:pPr>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szCs w:val="20"/>
        </w:rPr>
        <w:t xml:space="preserve"> Varētu jautāt, kāpēc šādi privāti ieguldītāji (kas parasti ir orientēti uz peļņu) varētu iesaistīties attiecībās ar subjektu, kam ir šādas pazīmes. Viens no iemesliem varētu būt, ka šādā veidā tie varētu iesaistīties kādā citā rentablā darbībā ar tiem, kas gūst labumu no vienības intervences pasākumiem. Cits iemesls varētu būt, ka šie ieguldītāji ir izveidojuši partnerattiecības ar valdību, kas globāli tiek augsti vērtēts attiecībā uz visu saistīto darbību galīgo rentabilitāti, nevis tikai vienības līmenī.</w:t>
      </w:r>
    </w:p>
  </w:footnote>
  <w:footnote w:id="95">
    <w:p w14:paraId="3AB06248" w14:textId="77777777" w:rsidR="00F27871" w:rsidRPr="00C00D28" w:rsidRDefault="00F27871" w:rsidP="00994F93">
      <w:pPr>
        <w:jc w:val="both"/>
        <w:rPr>
          <w:rFonts w:ascii="Times New Roman" w:eastAsia="Arial"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szCs w:val="20"/>
        </w:rPr>
        <w:t xml:space="preserve"> Skat. sīkāku informāciju </w:t>
      </w:r>
      <w:r>
        <w:rPr>
          <w:rFonts w:ascii="Times New Roman" w:hAnsi="Times New Roman"/>
          <w:i/>
          <w:iCs/>
          <w:sz w:val="20"/>
          <w:szCs w:val="20"/>
        </w:rPr>
        <w:t>Eurostat</w:t>
      </w:r>
      <w:r>
        <w:rPr>
          <w:rFonts w:ascii="Times New Roman" w:hAnsi="Times New Roman"/>
          <w:sz w:val="20"/>
          <w:szCs w:val="20"/>
        </w:rPr>
        <w:t xml:space="preserve"> vadlīnijās </w:t>
      </w:r>
      <w:r>
        <w:rPr>
          <w:rFonts w:ascii="Times New Roman" w:hAnsi="Times New Roman"/>
          <w:i/>
          <w:iCs/>
          <w:sz w:val="20"/>
          <w:szCs w:val="20"/>
        </w:rPr>
        <w:t>Classification of Central Stockholding Entities (CSEs) in ESA 2010</w:t>
      </w:r>
      <w:r>
        <w:rPr>
          <w:rFonts w:ascii="Times New Roman" w:hAnsi="Times New Roman"/>
          <w:sz w:val="20"/>
          <w:szCs w:val="20"/>
        </w:rPr>
        <w:t xml:space="preserve"> [Centrālo krājumu uzturēšanas struktūru (CKUS) klasifikācija EKS 2010], kas publicētas 2014. gada augustā.</w:t>
      </w:r>
    </w:p>
  </w:footnote>
  <w:footnote w:id="96">
    <w:p w14:paraId="1BB74A4A" w14:textId="77777777" w:rsidR="00F27871" w:rsidRPr="00C00D28" w:rsidRDefault="00F27871" w:rsidP="00994F93">
      <w:pPr>
        <w:jc w:val="both"/>
        <w:rPr>
          <w:rFonts w:ascii="Times New Roman" w:eastAsia="Arial" w:hAnsi="Times New Roman" w:cs="Arial"/>
          <w:noProof/>
          <w:sz w:val="24"/>
          <w:szCs w:val="14"/>
        </w:rPr>
      </w:pPr>
      <w:r>
        <w:rPr>
          <w:rStyle w:val="FootnoteReference"/>
          <w:rFonts w:ascii="Times New Roman" w:hAnsi="Times New Roman" w:cs="Times New Roman"/>
          <w:sz w:val="20"/>
          <w:szCs w:val="20"/>
        </w:rPr>
        <w:footnoteRef/>
      </w:r>
      <w:r>
        <w:t xml:space="preserve"> </w:t>
      </w:r>
      <w:r>
        <w:rPr>
          <w:rFonts w:ascii="Times New Roman" w:hAnsi="Times New Roman"/>
          <w:sz w:val="20"/>
          <w:szCs w:val="20"/>
        </w:rPr>
        <w:t>Padomes Direktīva 2009/119/EK.</w:t>
      </w:r>
    </w:p>
  </w:footnote>
  <w:footnote w:id="97">
    <w:p w14:paraId="61A9B31A" w14:textId="77777777" w:rsidR="00F27871" w:rsidRPr="00C00D28" w:rsidRDefault="00F27871" w:rsidP="00994F93">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“Uzņēmējs” ir jebkura persona, struktūra vai subjekts, kuras pienākums ir turēt drošības rezerves šajā direktīvā noteiktajām vajadzībām. Drošības rezervju turēšanas pienākumu pilnībā vai daļēji var deleģēt CKUS vai citiem uzņēmējiem.</w:t>
      </w:r>
    </w:p>
  </w:footnote>
  <w:footnote w:id="98">
    <w:p w14:paraId="4648CB74" w14:textId="77777777" w:rsidR="00F27871" w:rsidRPr="00C00D28" w:rsidRDefault="00F27871" w:rsidP="00994F93">
      <w:pPr>
        <w:jc w:val="both"/>
        <w:rPr>
          <w:rFonts w:ascii="Times New Roman" w:hAnsi="Times New Roman"/>
          <w:noProof/>
          <w:sz w:val="24"/>
        </w:rPr>
      </w:pPr>
      <w:r>
        <w:rPr>
          <w:rStyle w:val="FootnoteReference"/>
          <w:rFonts w:ascii="Times New Roman" w:hAnsi="Times New Roman" w:cs="Times New Roman"/>
          <w:sz w:val="20"/>
          <w:szCs w:val="20"/>
        </w:rPr>
        <w:footnoteRef/>
      </w:r>
      <w:r>
        <w:rPr>
          <w:rFonts w:ascii="Times New Roman" w:hAnsi="Times New Roman"/>
          <w:sz w:val="20"/>
          <w:szCs w:val="20"/>
        </w:rPr>
        <w:t xml:space="preserve"> Noteikta līmeņa naftas rezervju noteikšana ir galvenokārt valsts politikas jautājums (un tādējādi valdība nosaka maksājumu līmeni šīs suverēnās funkcijas izpildei) un nevis kaut kas tāds, kas uzņēmējiem būtu nepieciešams komerciālu apsvērumu dēļ. Turklāt Direktīvā faktiski ir liegts CKUS meklēt peļņas gūšanas iespējas, tādējādi būtu ļoti rūpīgi jāapsver, vai produkciju var klasificēt kā tirgus produkciju.</w:t>
      </w:r>
    </w:p>
  </w:footnote>
  <w:footnote w:id="99">
    <w:p w14:paraId="71B20744" w14:textId="77777777" w:rsidR="00F27871" w:rsidRPr="00347844" w:rsidRDefault="00F27871" w:rsidP="00994F93">
      <w:pPr>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szCs w:val="20"/>
        </w:rPr>
        <w:t xml:space="preserve"> Pamatojoties uz kontroles daļu, kopuzņēmumu parasti var klasificēt privātajā sektorā, publiskajā sektorā vai abos sektoros. Ja tomēr publiskā sabiedrība vairs nav tirgus ražotājs, kopuzņēmums klasificējams valdības sektorā.</w:t>
      </w:r>
    </w:p>
  </w:footnote>
  <w:footnote w:id="100">
    <w:p w14:paraId="55CDABA5" w14:textId="77777777" w:rsidR="00F27871" w:rsidRPr="00347844" w:rsidRDefault="00F27871" w:rsidP="00994F93">
      <w:pPr>
        <w:jc w:val="both"/>
        <w:rPr>
          <w:rFonts w:ascii="Times New Roman" w:hAnsi="Times New Roman"/>
          <w:noProof/>
          <w:sz w:val="24"/>
        </w:rPr>
      </w:pPr>
      <w:r>
        <w:rPr>
          <w:rStyle w:val="FootnoteReference"/>
          <w:rFonts w:ascii="Times New Roman" w:hAnsi="Times New Roman" w:cs="Times New Roman"/>
          <w:sz w:val="20"/>
          <w:szCs w:val="20"/>
        </w:rPr>
        <w:footnoteRef/>
      </w:r>
      <w:r>
        <w:rPr>
          <w:rFonts w:ascii="Times New Roman" w:hAnsi="Times New Roman"/>
          <w:sz w:val="20"/>
          <w:szCs w:val="20"/>
        </w:rPr>
        <w:t xml:space="preserve"> Tiek uzskatīts, ka kopuzņēmumi nevar nodarboties ar finanšu starpniecību vai finanšu palīgpakalpojumu sniegšanu (vai ka šāda iespēja ir hipotētiska), jo šādi subjekti pēc būtības ir jāklasificē finanšu iestāžu sektorā (S.12).</w:t>
      </w:r>
    </w:p>
  </w:footnote>
  <w:footnote w:id="101">
    <w:p w14:paraId="4E3EC12B" w14:textId="77777777" w:rsidR="00F27871" w:rsidRPr="00347844" w:rsidRDefault="00F27871" w:rsidP="00994F93">
      <w:pPr>
        <w:jc w:val="both"/>
        <w:rPr>
          <w:rFonts w:ascii="Times New Roman" w:eastAsia="Arial"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szCs w:val="20"/>
        </w:rPr>
        <w:t xml:space="preserve"> Šajā divpusējā atbalstā piedalījās arī dažas citas ES dalībvalstis.</w:t>
      </w:r>
    </w:p>
  </w:footnote>
  <w:footnote w:id="102">
    <w:p w14:paraId="58855B7F" w14:textId="77777777" w:rsidR="00F27871" w:rsidRPr="00347844" w:rsidRDefault="00F27871" w:rsidP="00994F93">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EFSI ir arī piešķīris atbalstu, izsniedzot savas obligācijas vai parādzīmes bez līdzekļu piesaistes tirgos. Dažos gadījumos šīs “bezskaidras naudas” operācijas ir pagaidu operācijas, bet citos gadījumos EFSI parāda instrumenti atradīsies pie turētāja līdz parāda atmaksāšanas termiņa beigām, un tos var izmantot kā nodrošinājumu pārdošanas ar atpirkšanu darījumos.</w:t>
      </w:r>
    </w:p>
  </w:footnote>
  <w:footnote w:id="103">
    <w:p w14:paraId="0F13FEEA" w14:textId="77777777" w:rsidR="00F27871" w:rsidRPr="00347844" w:rsidRDefault="00F27871" w:rsidP="00994F93">
      <w:pPr>
        <w:jc w:val="both"/>
        <w:rPr>
          <w:rFonts w:ascii="Times New Roman" w:eastAsia="Arial"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szCs w:val="20"/>
        </w:rPr>
        <w:t xml:space="preserve"> Šādas piesardzības līnijas tiek traktētas kā iespējamie aktīvi līdz brīdim, kad saņēmēja valsts tos faktiski iztērē.</w:t>
      </w:r>
    </w:p>
  </w:footnote>
  <w:footnote w:id="104">
    <w:p w14:paraId="0D272071" w14:textId="77777777" w:rsidR="00F27871" w:rsidRPr="00347844" w:rsidRDefault="00F27871" w:rsidP="00994F93">
      <w:pPr>
        <w:jc w:val="both"/>
        <w:rPr>
          <w:rFonts w:ascii="Times New Roman" w:eastAsia="Arial" w:hAnsi="Times New Roman" w:cs="Times New Roman"/>
          <w:noProof/>
          <w:sz w:val="20"/>
          <w:szCs w:val="20"/>
        </w:rPr>
      </w:pPr>
      <w:r>
        <w:rPr>
          <w:rStyle w:val="FootnoteReference"/>
          <w:rFonts w:ascii="Times New Roman" w:hAnsi="Times New Roman" w:cs="Times New Roman"/>
          <w:sz w:val="20"/>
          <w:szCs w:val="20"/>
        </w:rPr>
        <w:footnoteRef/>
      </w:r>
      <w:r>
        <w:t xml:space="preserve"> </w:t>
      </w:r>
      <w:r>
        <w:rPr>
          <w:rFonts w:ascii="Times New Roman" w:hAnsi="Times New Roman"/>
          <w:sz w:val="20"/>
          <w:szCs w:val="20"/>
        </w:rPr>
        <w:t>Sīkāka informācija par šīm struktūrām, jo īpaši visi būtiskie dokumenti, ir pieejami tīmekļa vietnēs https://www.esm.europa.eu/efsf-overview un http://www.esm.europa.eu.</w:t>
      </w:r>
    </w:p>
  </w:footnote>
  <w:footnote w:id="105">
    <w:p w14:paraId="311442D4" w14:textId="77777777" w:rsidR="00F27871" w:rsidRPr="00347844" w:rsidRDefault="00F27871" w:rsidP="00994F93">
      <w:pPr>
        <w:jc w:val="both"/>
        <w:rPr>
          <w:rFonts w:ascii="Times New Roman" w:eastAsia="Arial" w:hAnsi="Times New Roman" w:cs="Times New Roman"/>
          <w:noProof/>
          <w:sz w:val="20"/>
          <w:szCs w:val="20"/>
        </w:rPr>
      </w:pPr>
      <w:r>
        <w:rPr>
          <w:rStyle w:val="FootnoteReference"/>
          <w:rFonts w:ascii="Times New Roman" w:hAnsi="Times New Roman" w:cs="Times New Roman"/>
          <w:sz w:val="20"/>
          <w:szCs w:val="20"/>
        </w:rPr>
        <w:footnoteRef/>
      </w:r>
      <w:r>
        <w:t xml:space="preserve"> </w:t>
      </w:r>
      <w:r>
        <w:rPr>
          <w:rFonts w:ascii="Times New Roman" w:hAnsi="Times New Roman"/>
          <w:sz w:val="20"/>
          <w:szCs w:val="20"/>
        </w:rPr>
        <w:t xml:space="preserve">Skat. arī attiecīgos lēmumus </w:t>
      </w:r>
      <w:r>
        <w:rPr>
          <w:rFonts w:ascii="Times New Roman" w:hAnsi="Times New Roman"/>
          <w:i/>
          <w:iCs/>
          <w:sz w:val="20"/>
          <w:szCs w:val="20"/>
        </w:rPr>
        <w:t>Eurostat</w:t>
      </w:r>
      <w:r>
        <w:rPr>
          <w:rFonts w:ascii="Times New Roman" w:hAnsi="Times New Roman"/>
          <w:sz w:val="20"/>
          <w:szCs w:val="20"/>
        </w:rPr>
        <w:t xml:space="preserve"> tīmekļa vietnē: http://ec.europa.eu/eurostat/web/government-finance-statistics/methodology/decisions-for-gfs.</w:t>
      </w:r>
    </w:p>
  </w:footnote>
  <w:footnote w:id="106">
    <w:p w14:paraId="71548632" w14:textId="77777777" w:rsidR="00F27871" w:rsidRPr="009B05C0" w:rsidRDefault="00F27871" w:rsidP="00994F93">
      <w:pPr>
        <w:jc w:val="both"/>
        <w:rPr>
          <w:rFonts w:ascii="Times New Roman" w:eastAsia="Arial"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szCs w:val="20"/>
        </w:rPr>
        <w:t xml:space="preserve"> Ar terminu “Eirogrupa” apzīmē eirozonas finanšu ministru neformālās sanāksmes.</w:t>
      </w:r>
    </w:p>
  </w:footnote>
  <w:footnote w:id="107">
    <w:p w14:paraId="52AD1B6F" w14:textId="77777777" w:rsidR="00F27871" w:rsidRPr="009B05C0" w:rsidRDefault="00F27871" w:rsidP="00994F93">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Saistībā ar vērtējumu katras ES dalībvalsts garantija sākotnēji tika palielināta līdz 120 % un skala koriģēta, lai ņemtu vērā to valstu daļu, kuras nespēj sniegt garantijas (jo īpaši, ja tās saņem divpusējus aizdevumus vai EFSI atbalstu).</w:t>
      </w:r>
    </w:p>
  </w:footnote>
  <w:footnote w:id="108">
    <w:p w14:paraId="5602411F" w14:textId="77777777" w:rsidR="00F27871" w:rsidRPr="009B05C0" w:rsidRDefault="00F27871" w:rsidP="00994F93">
      <w:pPr>
        <w:jc w:val="both"/>
        <w:rPr>
          <w:rFonts w:ascii="Times New Roman" w:eastAsia="Arial"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szCs w:val="20"/>
        </w:rPr>
        <w:t xml:space="preserve"> “Skaidras naudas rezerve”, kura atbilst avansa maksājumam par pakalpojumu un drošības rezerves kapitalizācijai, kas pievienota EFSI aizņemšanās izmaksām.</w:t>
      </w:r>
    </w:p>
  </w:footnote>
  <w:footnote w:id="109">
    <w:p w14:paraId="2F892D43" w14:textId="77777777" w:rsidR="00F27871" w:rsidRPr="009B05C0" w:rsidRDefault="00F27871" w:rsidP="00994F93">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Iespējamais obligāciju pirkums, ko veic EFSI, arī tiek pārvirzīts atbilstīgi tirgos samaksātajai summai.</w:t>
      </w:r>
    </w:p>
  </w:footnote>
  <w:footnote w:id="110">
    <w:p w14:paraId="3C9A2581" w14:textId="77777777" w:rsidR="00F27871" w:rsidRPr="009B05C0" w:rsidRDefault="00F27871" w:rsidP="00994F93">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Papildus obligāciju pirkšanai primārajos un sekundārajos tirgos, piesardzības līnijām un banku rekapitalizācijai EFSI, izmantojot mehānismu, spēja nodrošināt kredītkvalitātes uzlabojumu eirozonas valdību izsniegtajām obligācijām (sertifikāti, kas sedz pirmos zaudējumus) un palielināt to finansēšanas līdzekļus, atverot ieguldītājiem kolektīvo ieguldījumu fondu.</w:t>
      </w:r>
    </w:p>
  </w:footnote>
  <w:footnote w:id="111">
    <w:p w14:paraId="009D8841" w14:textId="6C06B5B8" w:rsidR="00F27871" w:rsidRPr="009B05C0" w:rsidRDefault="00F27871" w:rsidP="00994F93">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Ciktāl runa ir par ietekmi uz dalībvalstu garantijas devēju neto aizdevumu/aizņēmumu, tā galvenokārt saistīta ar procentu starpības pastāvēšanu. Ja tomēr garantijas devēji vienojas par parāda </w:t>
      </w:r>
      <w:r w:rsidR="005B2959">
        <w:rPr>
          <w:rFonts w:ascii="Times New Roman" w:hAnsi="Times New Roman"/>
        </w:rPr>
        <w:t>anulēšanu</w:t>
      </w:r>
      <w:r>
        <w:rPr>
          <w:rFonts w:ascii="Times New Roman" w:hAnsi="Times New Roman"/>
        </w:rPr>
        <w:t xml:space="preserve"> aizdevuma ņēmējai valstij, kapitāla pārvedums būtu jāieraksta kā šo ES dalībvalstu izdevumi.</w:t>
      </w:r>
    </w:p>
  </w:footnote>
  <w:footnote w:id="112">
    <w:p w14:paraId="3680D68B" w14:textId="77777777" w:rsidR="00F27871" w:rsidRPr="009B05C0" w:rsidRDefault="00F27871" w:rsidP="00994F93">
      <w:pPr>
        <w:pStyle w:val="FootnoteText"/>
        <w:jc w:val="both"/>
      </w:pPr>
      <w:r>
        <w:rPr>
          <w:rStyle w:val="FootnoteReference"/>
          <w:rFonts w:ascii="Times New Roman" w:hAnsi="Times New Roman" w:cs="Times New Roman"/>
        </w:rPr>
        <w:footnoteRef/>
      </w:r>
      <w:r>
        <w:rPr>
          <w:rFonts w:ascii="Times New Roman" w:hAnsi="Times New Roman"/>
        </w:rPr>
        <w:t xml:space="preserve"> Salīdzinājumam ESM parakstītais kapitāls ir 700 miljardi (no kuriem 80 tika samaksāti piecos maksājumos laika posmā no 2012. gada līdz 2014. gadam) un 500 miljardus liela aizdošanas spēja, savukārt EFSF kapitāls ir vien 30 miljoni, bet aizdošanas spēja ir 440 miljardi.</w:t>
      </w:r>
    </w:p>
  </w:footnote>
  <w:footnote w:id="113">
    <w:p w14:paraId="07B35D6E" w14:textId="77777777" w:rsidR="00F27871" w:rsidRPr="009B05C0" w:rsidRDefault="00F27871" w:rsidP="00994F93">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Līdzīga problēma rodas saistībā ar SVF sektora iedalījumu (un iespējamo saistīto </w:t>
      </w:r>
      <w:r>
        <w:rPr>
          <w:rFonts w:ascii="Times New Roman" w:hAnsi="Times New Roman"/>
          <w:i/>
          <w:iCs/>
        </w:rPr>
        <w:t>FISIM</w:t>
      </w:r>
      <w:r>
        <w:rPr>
          <w:rFonts w:ascii="Times New Roman" w:hAnsi="Times New Roman"/>
        </w:rPr>
        <w:t>).</w:t>
      </w:r>
    </w:p>
  </w:footnote>
  <w:footnote w:id="114">
    <w:p w14:paraId="0713F61E" w14:textId="77777777" w:rsidR="00F27871" w:rsidRPr="001F58B9" w:rsidRDefault="00F27871" w:rsidP="00994F93">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Skat. 8. daļu “Vispārējās valdības parāda apmēra noteikšana”.</w:t>
      </w:r>
    </w:p>
  </w:footnote>
  <w:footnote w:id="115">
    <w:p w14:paraId="23D5965F" w14:textId="77777777" w:rsidR="00F27871" w:rsidRPr="00A10564" w:rsidRDefault="00F27871" w:rsidP="00994F93">
      <w:pPr>
        <w:jc w:val="both"/>
        <w:rPr>
          <w:rFonts w:ascii="Times New Roman" w:eastAsia="Arial"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szCs w:val="20"/>
        </w:rPr>
        <w:t xml:space="preserve"> EKS 2010 atsauces par šo ieņēmumu ierakstīšanas laiku ir 4.26.–4.27., 4.82., 4.94.–4.95., 4.98., 4.100.–4.101., 4.150., 20.171.–20.175. punkts. Pēc analoģijas EKS 2010 4.95. punkts attiecas arī uz D.613 gadījumu.</w:t>
      </w:r>
    </w:p>
  </w:footnote>
  <w:footnote w:id="116">
    <w:p w14:paraId="53F67A33" w14:textId="77777777" w:rsidR="00F27871" w:rsidRPr="00A10564" w:rsidRDefault="00F27871" w:rsidP="00994F93">
      <w:pPr>
        <w:pStyle w:val="FootnoteText"/>
        <w:jc w:val="both"/>
      </w:pPr>
      <w:r>
        <w:rPr>
          <w:rStyle w:val="FootnoteReference"/>
          <w:rFonts w:ascii="Times New Roman" w:hAnsi="Times New Roman" w:cs="Times New Roman"/>
        </w:rPr>
        <w:footnoteRef/>
      </w:r>
      <w:r>
        <w:rPr>
          <w:rFonts w:ascii="Times New Roman" w:hAnsi="Times New Roman"/>
        </w:rPr>
        <w:t xml:space="preserve"> Jo īpaši svarīgi, lai koeficienti (vai kapitāla pārveduma summa) nekavējoties atspoguļotu uzņēmējdarbības aktivitātes ciklus vai noteiktus ārkārtas notikumus, kas var būtiski labvēlīgi vai nelabvēlīgi ietekmēt faktisko nodokļu un sociālo iemaksu iekasēšanu, jo īpaši gadījumā, ja tiek izmantoti samērā sarežģīti modeļi.</w:t>
      </w:r>
    </w:p>
  </w:footnote>
  <w:footnote w:id="117">
    <w:p w14:paraId="31BADF81" w14:textId="77777777" w:rsidR="00F27871" w:rsidRPr="00A10564" w:rsidRDefault="00F27871" w:rsidP="00994F93">
      <w:pPr>
        <w:jc w:val="both"/>
        <w:rPr>
          <w:rFonts w:ascii="Times New Roman" w:eastAsia="Arial"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szCs w:val="20"/>
        </w:rPr>
        <w:t xml:space="preserve"> Attiecībā uz darba devēju faktiskajām sociālajām iemaksām (kuras maksā mājsaimniecību vārdā saskaņā ar EKS 2010 1.74. punktu), metodoloģiski pamatotāk ir izmantot D.995, jo tādējādi novērš S.11, S.12 un S14 savstarpējās neatbilstības. Tomēr arī ticamu datu avotu pieejamība būs izšķirošs praktisks apsvērums. Tāpēc D.611 ierakstīšanai joprojām varētu būt piemērota laikā precizētās naudas pieeja.</w:t>
      </w:r>
    </w:p>
  </w:footnote>
  <w:footnote w:id="118">
    <w:p w14:paraId="691D1DB2" w14:textId="77777777" w:rsidR="00F27871" w:rsidRPr="00A10564" w:rsidRDefault="00F27871" w:rsidP="00994F93">
      <w:pPr>
        <w:jc w:val="both"/>
        <w:rPr>
          <w:rFonts w:ascii="Times New Roman" w:hAnsi="Times New Roman"/>
          <w:noProof/>
          <w:sz w:val="24"/>
        </w:rPr>
      </w:pPr>
      <w:r>
        <w:rPr>
          <w:rStyle w:val="FootnoteReference"/>
          <w:rFonts w:ascii="Times New Roman" w:hAnsi="Times New Roman" w:cs="Times New Roman"/>
          <w:sz w:val="20"/>
          <w:szCs w:val="20"/>
        </w:rPr>
        <w:footnoteRef/>
      </w:r>
      <w:r>
        <w:rPr>
          <w:rFonts w:ascii="Times New Roman" w:hAnsi="Times New Roman"/>
          <w:sz w:val="20"/>
          <w:szCs w:val="20"/>
        </w:rPr>
        <w:t xml:space="preserve"> Galvenokārt tas attiecas uz ienākuma nodokļiem. Bet var būt arī citi nodokļu atmaksas veidi. Piemēram, par precēm/pakalpojumiem pienākas maksāt PVN, taču sabiedrības to var atprasīt caur PVN atmaksu. Arī šajā gadījumā summas aprēķina ar nodokļu deklarācijas starpniecību.</w:t>
      </w:r>
    </w:p>
  </w:footnote>
  <w:footnote w:id="119">
    <w:p w14:paraId="1D091A98" w14:textId="77777777" w:rsidR="00F27871" w:rsidRPr="00343A2F" w:rsidRDefault="00F27871" w:rsidP="00994F93">
      <w:pPr>
        <w:jc w:val="both"/>
        <w:rPr>
          <w:rFonts w:ascii="Times New Roman" w:eastAsia="Arial"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szCs w:val="20"/>
        </w:rPr>
        <w:t xml:space="preserve"> Tā kā kopumā nodokļu amnestijai varētu būt kādas savdabīgas pazīmes, to traktējumu vajadzētu sīkāk apspriest ar </w:t>
      </w:r>
      <w:r>
        <w:rPr>
          <w:rFonts w:ascii="Times New Roman" w:hAnsi="Times New Roman"/>
          <w:i/>
          <w:iCs/>
          <w:sz w:val="20"/>
          <w:szCs w:val="20"/>
        </w:rPr>
        <w:t>Eurostat</w:t>
      </w:r>
      <w:r>
        <w:rPr>
          <w:rFonts w:ascii="Times New Roman" w:hAnsi="Times New Roman"/>
          <w:sz w:val="20"/>
          <w:szCs w:val="20"/>
        </w:rPr>
        <w:t xml:space="preserve"> katrā atsevišķā gadījumā.</w:t>
      </w:r>
    </w:p>
  </w:footnote>
  <w:footnote w:id="120">
    <w:p w14:paraId="014E0666" w14:textId="77777777" w:rsidR="00F27871" w:rsidRPr="00343A2F" w:rsidRDefault="00F27871" w:rsidP="00994F93">
      <w:pPr>
        <w:pStyle w:val="FootnoteText"/>
        <w:jc w:val="both"/>
      </w:pPr>
      <w:r>
        <w:rPr>
          <w:rStyle w:val="FootnoteReference"/>
          <w:rFonts w:ascii="Times New Roman" w:hAnsi="Times New Roman" w:cs="Times New Roman"/>
        </w:rPr>
        <w:footnoteRef/>
      </w:r>
      <w:r>
        <w:rPr>
          <w:rFonts w:ascii="Times New Roman" w:hAnsi="Times New Roman"/>
        </w:rPr>
        <w:t xml:space="preserve"> Šis uzskaitījums nav pilnīgs. Dažos gadījumos var būt noderīgas citas izdevumu kategorijas.</w:t>
      </w:r>
    </w:p>
  </w:footnote>
  <w:footnote w:id="121">
    <w:p w14:paraId="29582DFB" w14:textId="77777777" w:rsidR="00F27871" w:rsidRPr="00596A80" w:rsidRDefault="00F27871" w:rsidP="00994F93">
      <w:pPr>
        <w:jc w:val="both"/>
        <w:rPr>
          <w:rFonts w:ascii="Times New Roman" w:eastAsia="Arial"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szCs w:val="20"/>
        </w:rPr>
        <w:t xml:space="preserve"> Akciju iegādes iespēju līgumus parasti var ierakstīt visā laika posmā no piešķiršanas datuma līdz izmantošanas datumam (no kura šādu līgumu var piemērot).</w:t>
      </w:r>
    </w:p>
  </w:footnote>
  <w:footnote w:id="122">
    <w:p w14:paraId="36E8AF22" w14:textId="77777777" w:rsidR="00F27871" w:rsidRPr="00F23857" w:rsidRDefault="00F27871" w:rsidP="00994F93">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Šo principu nepiemēro attiecībā uz valdības (</w:t>
      </w:r>
      <w:r>
        <w:rPr>
          <w:rFonts w:ascii="Times New Roman" w:hAnsi="Times New Roman"/>
          <w:i/>
          <w:iCs/>
        </w:rPr>
        <w:t>EDP</w:t>
      </w:r>
      <w:r>
        <w:rPr>
          <w:rFonts w:ascii="Times New Roman" w:hAnsi="Times New Roman"/>
        </w:rPr>
        <w:t>) parāda novērtēšanu pēc nominālvērtības.</w:t>
      </w:r>
    </w:p>
  </w:footnote>
  <w:footnote w:id="123">
    <w:p w14:paraId="17936C21" w14:textId="77777777" w:rsidR="00F27871" w:rsidRPr="00F23857" w:rsidRDefault="00F27871" w:rsidP="00994F93">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Jāņem vērā, ka instrumentiem ar regulāriem (katru gadu vai pusgadu) kupona maksājumiem atšķirība starp abiem paņēmieniem ir salīdzinoši neliela, tāpēc praksē var izmantot vienkāršo procentu metodi. Tas neattiecas uz augsta diskonta (tostarp bezkupona obligāciju) instrumentiem, kas izdoti ar ilgu atmaksāšanas termiņu.</w:t>
      </w:r>
    </w:p>
  </w:footnote>
  <w:footnote w:id="124">
    <w:p w14:paraId="0DA7F5C6" w14:textId="77777777" w:rsidR="00F27871" w:rsidRPr="00A070B9" w:rsidRDefault="00F27871" w:rsidP="00994F93">
      <w:pPr>
        <w:jc w:val="both"/>
        <w:rPr>
          <w:rFonts w:ascii="Times New Roman" w:eastAsia="Arial"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szCs w:val="20"/>
        </w:rPr>
        <w:t xml:space="preserve"> EKS 2010 5.243. punktā norādīts, ka konsekvences nolūkā ar vērtspapīru aizdevumu un zelta aizdevumu saistītie procenti ir jāieraksta citās debitoru/kreditoru saistībās.</w:t>
      </w:r>
    </w:p>
  </w:footnote>
  <w:footnote w:id="125">
    <w:p w14:paraId="7F8C60DA" w14:textId="77777777" w:rsidR="00F27871" w:rsidRPr="00A070B9" w:rsidRDefault="00F27871" w:rsidP="00994F93">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Šīs obligācijas (dēvētas arī par “savstarpēji aizvietojamām” jeb “lineārām” obligācijām) ir plaši izplatīta prakse centrālās valdības obligāciju gadījumā. Visiem laidieniem ir viena un tā pati nominālā procentu likme, kupona maksājuma datums un galīgais atmaksāšanas termiņš. Katru laidienu emitē par īpašu cenu atbilstoši noteicošajiem tirgus apstākļiem. Ciktāl tas skar uzkrātos procentus (izdevumus), katrs laidiens ir jāidentificē atsevišķi.</w:t>
      </w:r>
    </w:p>
  </w:footnote>
  <w:footnote w:id="126">
    <w:p w14:paraId="476C86AD" w14:textId="77777777" w:rsidR="00F27871" w:rsidRPr="00C74800" w:rsidRDefault="00F27871" w:rsidP="00994F93">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Praksē uzkrāto kuponu nav iespējams sadalīt pa visu instrumenta darbības laiku, bet ierakstīt emisijas gadā, ja diskonts ir ļoti mazs (mazāks par 0,5 %) un atlikušais atmaksāšanas termiņš ir samērā īss (ne ilgāks par vienu gadu).</w:t>
      </w:r>
    </w:p>
  </w:footnote>
  <w:footnote w:id="127">
    <w:p w14:paraId="297781E0" w14:textId="77777777" w:rsidR="00F27871" w:rsidRPr="00C74800" w:rsidRDefault="00F27871" w:rsidP="00994F93">
      <w:pPr>
        <w:jc w:val="both"/>
        <w:rPr>
          <w:rFonts w:ascii="Times New Roman" w:eastAsia="Arial"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szCs w:val="20"/>
        </w:rPr>
        <w:t xml:space="preserve"> Praksē uzkrāto kuponu nav iespējams sadalīt pa visu instrumenta darbības laiku, bet ierakstīt emisijas gadā, ja diskonts ir ļoti mazs (mazāks par 0,5 %) un atlikušais atmaksāšanas termiņš ir samērā īss (ne ilgāks par vienu gadu).</w:t>
      </w:r>
    </w:p>
  </w:footnote>
  <w:footnote w:id="128">
    <w:p w14:paraId="68BE3ED9" w14:textId="77777777" w:rsidR="00F27871" w:rsidRPr="00C74800" w:rsidRDefault="00F27871" w:rsidP="000D2B76">
      <w:pPr>
        <w:pStyle w:val="FootnoteText"/>
        <w:jc w:val="both"/>
      </w:pPr>
      <w:r>
        <w:rPr>
          <w:rStyle w:val="FootnoteReference"/>
          <w:rFonts w:ascii="Times New Roman" w:hAnsi="Times New Roman" w:cs="Times New Roman"/>
        </w:rPr>
        <w:footnoteRef/>
      </w:r>
      <w:r>
        <w:rPr>
          <w:rFonts w:ascii="Times New Roman" w:hAnsi="Times New Roman"/>
        </w:rPr>
        <w:t xml:space="preserve"> Kad runa ir par atdalīto procentu un pamatsummas apvienošanu, lai dublētu esošo obligāciju, parasti izmanto terminu “obligācijas atjaunošana tās sākotnējā stāvoklī”. Tomēr terminu “obligācijas atjaunošana tās sākotnējā stāvoklī” neizmanto tik plaši kā terminu “atdalīšana”, un statistikas veidotājiem ir jāizvērtē darbības būtība, nevis termins, ko izmanto nacionālajā kontekstā (piemēram, termini “obligācijas atjaunošana tās sākotnējā stāvoklī” un “apvienošana” attiecas uz vienu jēdzienu).</w:t>
      </w:r>
    </w:p>
  </w:footnote>
  <w:footnote w:id="129">
    <w:p w14:paraId="657DE7D1" w14:textId="77777777" w:rsidR="00F27871" w:rsidRPr="00C74800" w:rsidRDefault="00F27871" w:rsidP="000D2B76">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Lai arī vienīgi finanšu ziņā darbības sākumā katram atdalīto procentu un pamatsummas komplektam ir atšķirīga procentu likme (saskaņā ar esošo bezkuponu procentu ienesīguma līkni), kā rezultātā, kad tiek veikta apvienošana, tiek iegūta novērotā obligācijas tirgus procentu likme, saskaņā ar debitora principu katram atdalīto procentu un pamatsummas komplektam emisijas brīdī ir jāizmanto viens ienesīgums.</w:t>
      </w:r>
    </w:p>
  </w:footnote>
  <w:footnote w:id="130">
    <w:p w14:paraId="2A3326BA" w14:textId="77777777" w:rsidR="00F27871" w:rsidRPr="00C74800" w:rsidRDefault="00F27871" w:rsidP="00994F93">
      <w:pPr>
        <w:jc w:val="both"/>
        <w:rPr>
          <w:rFonts w:ascii="Times New Roman" w:eastAsia="Arial"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szCs w:val="20"/>
        </w:rPr>
        <w:t xml:space="preserve"> Ierakstīšana, kas noteikta EKS 2010 4.46. punkta c) apakšpunktā, saskan ar senu </w:t>
      </w:r>
      <w:r>
        <w:rPr>
          <w:rFonts w:ascii="Times New Roman" w:hAnsi="Times New Roman"/>
          <w:i/>
          <w:iCs/>
          <w:sz w:val="20"/>
          <w:szCs w:val="20"/>
        </w:rPr>
        <w:t>Eurostat</w:t>
      </w:r>
      <w:r>
        <w:rPr>
          <w:rFonts w:ascii="Times New Roman" w:hAnsi="Times New Roman"/>
          <w:sz w:val="20"/>
          <w:szCs w:val="20"/>
        </w:rPr>
        <w:t xml:space="preserve"> lēmumu, kas izdots 1997. gada martā (saskaņā ar EKS 1979).</w:t>
      </w:r>
    </w:p>
  </w:footnote>
  <w:footnote w:id="131">
    <w:p w14:paraId="07617355" w14:textId="77777777" w:rsidR="00F27871" w:rsidRPr="00D528D7" w:rsidRDefault="00F27871" w:rsidP="00994F93">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Šī apakšiedaļa attiecas uz procentu ierakstīšanu, kad ir viens atsevišķs parāda instruments, kas satur atdalāmu atvasināto instrumentu. Šī apakšiedaļa neattiecas uz tādu aizdevumu ierakstīšanu, kuri tika parakstīti kopā ar mijmaiņas darījumu, jo šajā gadījumā ir divi līgumi/instrumenti, kuri dažkārt ir parakstīti ar dažādām pusēm. Parāda instrumentā ietvertie atvasinātie instrumenti var būt dažādi, lai arī bieži tiek konstatēts, ka procentu formulā tie ir procentu likmes maksimālās vai minimālās robežlikmes veidā. Sarežģītākos gadījumos atvasinātais instruments varētu nozīmēt sadalījuma, amortizācijas perioda vai citu noteikumu izmaiņas, ko ierosina kādi notikumi.</w:t>
      </w:r>
    </w:p>
  </w:footnote>
  <w:footnote w:id="132">
    <w:p w14:paraId="40923B7A" w14:textId="77777777" w:rsidR="00F27871" w:rsidRPr="00F5341D" w:rsidRDefault="00F27871" w:rsidP="00994F93">
      <w:pPr>
        <w:jc w:val="both"/>
        <w:rPr>
          <w:rFonts w:ascii="Times New Roman" w:eastAsia="Arial"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szCs w:val="20"/>
        </w:rPr>
        <w:t xml:space="preserve"> Šeit neiekļauj dažu veidu raķetes, kurām piemīt augsta iznīcināšanas spēja (skat. AN.114).</w:t>
      </w:r>
    </w:p>
  </w:footnote>
  <w:footnote w:id="133">
    <w:p w14:paraId="4500889E" w14:textId="77777777" w:rsidR="00F27871" w:rsidRPr="004335B4" w:rsidRDefault="00F27871" w:rsidP="00994F93">
      <w:pPr>
        <w:jc w:val="both"/>
        <w:rPr>
          <w:rFonts w:ascii="Times New Roman" w:eastAsia="Arial"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szCs w:val="20"/>
        </w:rPr>
        <w:t xml:space="preserve"> Pat ja iekārta vēl nav pilnībā ekspluatējama militārajās misijās, tas nozīmē, ka bojājuma gadījumā tā novēršana ir uz militāro spēku rēķina.</w:t>
      </w:r>
    </w:p>
  </w:footnote>
  <w:footnote w:id="134">
    <w:p w14:paraId="4085F24F" w14:textId="77777777" w:rsidR="00F27871" w:rsidRPr="004335B4" w:rsidRDefault="00F27871" w:rsidP="00994F93">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Citiem vārdiem sakot, militārā aprīkojuma īpašais specifiskums nav pietiekams pamats nepabeigto produktu īpašam traktējumam. Patiesi, daudzos gadījumos pastāv ļoti zema varbūtība, ka valdība varētu atteikties no aprīkojuma, un to apstiprina piemēri, kad neatkarīgi no būtiskas aizkavēšanās un lielām papildu izmaksām valdības joprojām apliecina savu vēlmi iegādāties aprīkojumu. Turklāt ļoti bieži iekārtas būvniecība/ražošana notiek ļoti stingrā un nepārtrauktā militāro iestāžu uzraudzībā, līdz ar to valdība ir iesaistīta visā ražošanas procesā ievērojami vairāk, nekā to iespējams novērot citu pamatlīdzekļu gadījumā, lai gan pats par sevi tas nevarētu būt nacionālo kontu kritērijs.</w:t>
      </w:r>
    </w:p>
  </w:footnote>
  <w:footnote w:id="135">
    <w:p w14:paraId="6DADA387" w14:textId="77777777" w:rsidR="00F27871" w:rsidRPr="00712835" w:rsidRDefault="00F27871" w:rsidP="00994F93">
      <w:pPr>
        <w:jc w:val="both"/>
        <w:rPr>
          <w:rFonts w:ascii="Times New Roman" w:eastAsia="Arial"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szCs w:val="20"/>
        </w:rPr>
        <w:t xml:space="preserve"> Vai ir pieejama informācija, kad valdība veic naudas pārvedumu, lai to finansētu.</w:t>
      </w:r>
    </w:p>
  </w:footnote>
  <w:footnote w:id="136">
    <w:p w14:paraId="39676249" w14:textId="77777777" w:rsidR="00F27871" w:rsidRPr="00712835" w:rsidRDefault="00F27871" w:rsidP="00994F93">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Tā var būt arī tādu prototipu ražošana, ko valdība izmantos, lai pieņemtu lēmumu par jauna līguma slēgšanu par tāda aprīkojuma piegādi, kas izstrādāts, pamatojoties uz konkrētās pētniecības rezultātiem.</w:t>
      </w:r>
    </w:p>
  </w:footnote>
  <w:footnote w:id="137">
    <w:p w14:paraId="4E326841" w14:textId="77777777" w:rsidR="00F27871" w:rsidRPr="00712835" w:rsidRDefault="00F27871" w:rsidP="00994F93">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Gadījumā, ja maksājums tiek izmantots saistībā ar P&amp;I, taču nerada līgumisku pienākumu iegādāties militārās preces, bet tā vietā piešķir tiesības iegādāties tās nākotnē par samazinātu cenu, kas izdevumu rašanās laikā nav zināma, tad pārskaitījumu ieraksta maksājuma veikšanas brīdī. Ja beigās militārās preces tiek iepirktas, tās ieraksta par pilnu tirgus cenu kā gadījumā, ja tās būtu iegādājusies trešā puse, kurai nav piešķirta atlaide, un starpību attiecina uz kapitāla pārveduma ieņēmumiem.</w:t>
      </w:r>
    </w:p>
  </w:footnote>
  <w:footnote w:id="138">
    <w:p w14:paraId="7ED6685E" w14:textId="77777777" w:rsidR="00F27871" w:rsidRPr="00712835" w:rsidRDefault="00F27871" w:rsidP="00994F93">
      <w:pPr>
        <w:jc w:val="both"/>
        <w:rPr>
          <w:rFonts w:ascii="Times New Roman" w:eastAsia="Arial" w:hAnsi="Times New Roman" w:cs="Arial"/>
          <w:noProof/>
          <w:sz w:val="24"/>
          <w:szCs w:val="14"/>
        </w:rPr>
      </w:pPr>
      <w:r>
        <w:rPr>
          <w:rStyle w:val="FootnoteReference"/>
          <w:rFonts w:ascii="Times New Roman" w:hAnsi="Times New Roman" w:cs="Times New Roman"/>
          <w:sz w:val="20"/>
          <w:szCs w:val="20"/>
        </w:rPr>
        <w:footnoteRef/>
      </w:r>
      <w:r>
        <w:rPr>
          <w:rFonts w:ascii="Times New Roman" w:hAnsi="Times New Roman"/>
          <w:sz w:val="20"/>
          <w:szCs w:val="20"/>
        </w:rPr>
        <w:t xml:space="preserve"> Jāņem vērā arī ļoti specifisks gadījums, kad valdība nolemj atcelt militārā aprīkojuma programmu, kurā jau ir radušās noteiktas P&amp;I izmaksas. Šos izdevumus ieraksta kā aizdevumu vai kā finanšu avansu, kas “amortizēts” ar faktiskajām piegādēm. Tā kā šādas piegādes nenotiks (vai notiks tikai daļēji), jāpārbauda, vai sabiedrībai šis avanss ir jāatmaksā atpakaļ valdībai. Ja šāda atmaksāšana ir jāveic, rodas jauns finanšu darījums. Pretējā gadījumā avanss jāieraksta kā kapitāla pārvedums vai ieguldījuma dotācija, ja sabiedrība spēj gūt sev kādu labumu no iepriekšējiem P&amp;I izdevumiem. Tas jāieraksta laikā, kad tiek pieņemts galīgais lēmums par programmas atcelšanu.</w:t>
      </w:r>
    </w:p>
  </w:footnote>
  <w:footnote w:id="139">
    <w:p w14:paraId="026EC76D" w14:textId="77777777" w:rsidR="00F27871" w:rsidRPr="00BF47CC" w:rsidRDefault="00F27871" w:rsidP="00994F93">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Kā maksājumus par ārpustirgus produkciju (P.131).</w:t>
      </w:r>
    </w:p>
  </w:footnote>
  <w:footnote w:id="140">
    <w:p w14:paraId="6EE55C03" w14:textId="77777777" w:rsidR="00F27871" w:rsidRPr="00BF47CC" w:rsidRDefault="00F27871" w:rsidP="00994F93">
      <w:pPr>
        <w:jc w:val="both"/>
        <w:rPr>
          <w:rFonts w:ascii="Times New Roman" w:eastAsia="Arial"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szCs w:val="20"/>
        </w:rPr>
        <w:t xml:space="preserve"> Ja tiek kavēti ikmēneša maksājumi, par kavēto maksājumu attiecīgajai ES dalībvalstij piemēro nokavējumu procentus.</w:t>
      </w:r>
    </w:p>
  </w:footnote>
  <w:footnote w:id="141">
    <w:p w14:paraId="7007E0DE" w14:textId="77777777" w:rsidR="00F27871" w:rsidRPr="00BF47CC" w:rsidRDefault="00F27871" w:rsidP="00994F93">
      <w:pPr>
        <w:jc w:val="both"/>
        <w:rPr>
          <w:rFonts w:ascii="Times New Roman" w:eastAsia="Arial"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szCs w:val="20"/>
        </w:rPr>
        <w:t xml:space="preserve"> Kopējā bilance, kas jānokārto, pārsniedz pusi no apkopotajiem mēneša PVN un NKI maksājumiem, un bilance dalībvalstīm pārsniedz divus mēneša PVN un NKI maksājumus šīm dalībvalstīm (Padomes 2014. gada 18. decembra Regula (ES, </w:t>
      </w:r>
      <w:r>
        <w:rPr>
          <w:rFonts w:ascii="Times New Roman" w:hAnsi="Times New Roman"/>
          <w:i/>
          <w:iCs/>
          <w:sz w:val="20"/>
          <w:szCs w:val="20"/>
        </w:rPr>
        <w:t>Euratom</w:t>
      </w:r>
      <w:r>
        <w:rPr>
          <w:rFonts w:ascii="Times New Roman" w:hAnsi="Times New Roman"/>
          <w:sz w:val="20"/>
          <w:szCs w:val="20"/>
        </w:rPr>
        <w:t>) Nr. 1377/2014)</w:t>
      </w:r>
      <w:r>
        <w:t>.</w:t>
      </w:r>
    </w:p>
  </w:footnote>
  <w:footnote w:id="142">
    <w:p w14:paraId="794A8647" w14:textId="77777777" w:rsidR="00F27871" w:rsidRPr="000D1787" w:rsidRDefault="00F27871" w:rsidP="00994F93">
      <w:pPr>
        <w:pStyle w:val="FootnoteText"/>
        <w:rPr>
          <w:rFonts w:ascii="Times New Roman" w:eastAsia="Arial" w:hAnsi="Times New Roman" w:cs="Times New Roman"/>
          <w:noProof/>
        </w:rPr>
      </w:pPr>
      <w:r>
        <w:rPr>
          <w:rStyle w:val="FootnoteReference"/>
          <w:rFonts w:ascii="Times New Roman" w:hAnsi="Times New Roman" w:cs="Times New Roman"/>
        </w:rPr>
        <w:footnoteRef/>
      </w:r>
      <w:r>
        <w:rPr>
          <w:rFonts w:ascii="Times New Roman" w:hAnsi="Times New Roman"/>
        </w:rPr>
        <w:t xml:space="preserve"> “Finanšu instrumenti”, kā noteikts Regulas (ES, EURATOM) Nr. 966/2012 2. pantā ir </w:t>
      </w:r>
      <w:r>
        <w:rPr>
          <w:rFonts w:ascii="Times New Roman" w:hAnsi="Times New Roman"/>
          <w:i/>
          <w:iCs/>
        </w:rPr>
        <w:t>Savienības pasākumi finanšu atbalstam, ko piešķir no budžeta kā papildinājumu, lai sasniegtu vienu vai vairākus no Savienības īpašajiem politikas mērķiem.</w:t>
      </w:r>
      <w:r>
        <w:rPr>
          <w:rFonts w:ascii="Times New Roman" w:hAnsi="Times New Roman"/>
          <w:i/>
        </w:rPr>
        <w:t xml:space="preserve"> </w:t>
      </w:r>
      <w:r>
        <w:rPr>
          <w:rFonts w:ascii="Times New Roman" w:hAnsi="Times New Roman"/>
          <w:i/>
          <w:iCs/>
        </w:rPr>
        <w:t>Šādi instrumenti var būt aizdevumi, garantijas, kapitālieguldījumi vai kvazikapitāla ieguldījumi vai citi riska dalīšanas instrumenti, un attiecīgos gadījumos tos var apvienot ar dotācijām</w:t>
      </w:r>
      <w:r>
        <w:rPr>
          <w:rFonts w:ascii="Times New Roman" w:hAnsi="Times New Roman"/>
        </w:rPr>
        <w:t>. Tādējādi tos nedrīkst jaukt ar EKS 2010 finanšu instrumentiem vai pielīdzināt tiem.</w:t>
      </w:r>
    </w:p>
  </w:footnote>
  <w:footnote w:id="143">
    <w:p w14:paraId="3B0E45B5" w14:textId="77777777" w:rsidR="00F27871" w:rsidRPr="00BF47CC" w:rsidRDefault="00F27871" w:rsidP="00994F93">
      <w:pPr>
        <w:pStyle w:val="FootnoteText"/>
      </w:pPr>
      <w:r>
        <w:rPr>
          <w:rStyle w:val="FootnoteReference"/>
          <w:rFonts w:ascii="Times New Roman" w:hAnsi="Times New Roman" w:cs="Times New Roman"/>
        </w:rPr>
        <w:footnoteRef/>
      </w:r>
      <w:r>
        <w:rPr>
          <w:rFonts w:ascii="Times New Roman" w:hAnsi="Times New Roman"/>
        </w:rPr>
        <w:t xml:space="preserve"> Regulas (ES) Nr. 1303/2013 38. pants.</w:t>
      </w:r>
    </w:p>
  </w:footnote>
  <w:footnote w:id="144">
    <w:p w14:paraId="2D950A98" w14:textId="77777777" w:rsidR="00F27871" w:rsidRPr="00A55BFC" w:rsidRDefault="00F27871" w:rsidP="00994F93">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Tiesa var būt noteikusi summu, kas tehnisku iemeslu dēļ gandrīz atbilst galīgajai summai, taču nav pilnīgi identiska ar to (izņemot gadījumus, kas minēti 5. rindkopā). Jāveic iespējamās atšķirības analīze, un, ja tā ir ļoti maza, nekavējoties jāieraksta pilna summa, turpmāk veicot nelielas korekcijas.</w:t>
      </w:r>
    </w:p>
  </w:footnote>
  <w:footnote w:id="145">
    <w:p w14:paraId="49C43AE4" w14:textId="77777777" w:rsidR="00F27871" w:rsidRPr="00593B65" w:rsidRDefault="00F27871" w:rsidP="00994F93">
      <w:pPr>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szCs w:val="20"/>
        </w:rPr>
        <w:t xml:space="preserve"> Sīkākai informācijai skatīt: </w:t>
      </w:r>
      <w:r>
        <w:rPr>
          <w:rFonts w:ascii="Times New Roman" w:hAnsi="Times New Roman"/>
          <w:i/>
          <w:iCs/>
          <w:sz w:val="20"/>
          <w:szCs w:val="20"/>
        </w:rPr>
        <w:t>Eurostat</w:t>
      </w:r>
      <w:r>
        <w:rPr>
          <w:rFonts w:ascii="Times New Roman" w:hAnsi="Times New Roman"/>
          <w:sz w:val="20"/>
          <w:szCs w:val="20"/>
        </w:rPr>
        <w:t xml:space="preserve"> lēmumus no 2009. līdz 2013. gadam par </w:t>
      </w:r>
      <w:r>
        <w:rPr>
          <w:rFonts w:ascii="Times New Roman" w:hAnsi="Times New Roman"/>
          <w:i/>
          <w:iCs/>
          <w:sz w:val="20"/>
          <w:szCs w:val="20"/>
        </w:rPr>
        <w:t>Eurostat</w:t>
      </w:r>
      <w:r>
        <w:rPr>
          <w:rFonts w:ascii="Times New Roman" w:hAnsi="Times New Roman"/>
          <w:sz w:val="20"/>
          <w:szCs w:val="20"/>
        </w:rPr>
        <w:t xml:space="preserve"> </w:t>
      </w:r>
      <w:r>
        <w:rPr>
          <w:rFonts w:ascii="Times New Roman" w:hAnsi="Times New Roman"/>
          <w:i/>
          <w:iCs/>
          <w:sz w:val="20"/>
          <w:szCs w:val="20"/>
        </w:rPr>
        <w:t>EDP</w:t>
      </w:r>
      <w:r>
        <w:rPr>
          <w:rFonts w:ascii="Times New Roman" w:hAnsi="Times New Roman"/>
          <w:sz w:val="20"/>
          <w:szCs w:val="20"/>
        </w:rPr>
        <w:t>/VFS tēmai veltītajā tīmekļa vietnē:</w:t>
      </w:r>
    </w:p>
    <w:p w14:paraId="08141639" w14:textId="77777777" w:rsidR="00F27871" w:rsidRPr="00593B65" w:rsidRDefault="00F27871" w:rsidP="00994F93">
      <w:pPr>
        <w:jc w:val="both"/>
        <w:rPr>
          <w:rFonts w:ascii="Times New Roman" w:eastAsia="Arial" w:hAnsi="Times New Roman" w:cs="Times New Roman"/>
          <w:noProof/>
          <w:sz w:val="20"/>
          <w:szCs w:val="20"/>
        </w:rPr>
      </w:pPr>
      <w:r>
        <w:rPr>
          <w:rFonts w:ascii="Times New Roman" w:hAnsi="Times New Roman"/>
          <w:sz w:val="20"/>
          <w:szCs w:val="20"/>
        </w:rPr>
        <w:t>https://ec.europa.eu/eurostat/web/government-finance-statistics/methodology/decisions-for-gfs</w:t>
      </w:r>
    </w:p>
  </w:footnote>
  <w:footnote w:id="146">
    <w:p w14:paraId="05A53093" w14:textId="77777777" w:rsidR="00F27871" w:rsidRPr="00593B65" w:rsidRDefault="00F27871" w:rsidP="00994F93">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Lielākajā daļā dalībvalstu vidējais ilgtermiņa aizdevuma atmaksāšanas termiņš ir aptuveni 10 gadi.</w:t>
      </w:r>
    </w:p>
  </w:footnote>
  <w:footnote w:id="147">
    <w:p w14:paraId="2D451CCB" w14:textId="77777777" w:rsidR="00F27871" w:rsidRPr="00593B65" w:rsidRDefault="00F27871" w:rsidP="00994F93">
      <w:pPr>
        <w:jc w:val="both"/>
        <w:rPr>
          <w:rFonts w:ascii="Times New Roman" w:eastAsia="Arial"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szCs w:val="20"/>
        </w:rPr>
        <w:t xml:space="preserve"> To var noteikt kā vairākus mēnešus ilgā laika posma vidējo likmi, ja pastāv augsta mainība tirgū un/vai ārkārtas pārtraukumi.</w:t>
      </w:r>
    </w:p>
  </w:footnote>
  <w:footnote w:id="148">
    <w:p w14:paraId="4F6E63B9" w14:textId="77777777" w:rsidR="00F27871" w:rsidRPr="00593B65" w:rsidRDefault="00F27871" w:rsidP="00994F93">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Jebkurā gadījumā peļņas norma ir jāaprēķina pēc attiecīgo no valdības saņemto pārveduma maksājumu atskaitīšanas no sabiedrības ieņēmumiem (skat. 2. ierāmējumu 3.2.3. iedaļā).</w:t>
      </w:r>
    </w:p>
  </w:footnote>
  <w:footnote w:id="149">
    <w:p w14:paraId="58F49117" w14:textId="77777777" w:rsidR="00F27871" w:rsidRPr="00593B65" w:rsidRDefault="00F27871" w:rsidP="00994F93">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Ja tomēr privāti ieguldītāji veic iepludināšanu pašu kapitālā, stingri ievērojot tos pašus nosacījumus, kurus ievēro valdība, var pieņemt, ka ieguldījumu atdeves tests ir bijis sekmīgs (skat. turpmāk 22. punktu).</w:t>
      </w:r>
    </w:p>
  </w:footnote>
  <w:footnote w:id="150">
    <w:p w14:paraId="396EF3E0" w14:textId="77777777" w:rsidR="00F27871" w:rsidRPr="00593B65" w:rsidRDefault="00F27871" w:rsidP="00994F93">
      <w:pPr>
        <w:pStyle w:val="FootnoteText"/>
        <w:jc w:val="both"/>
      </w:pPr>
      <w:r>
        <w:rPr>
          <w:rStyle w:val="FootnoteReference"/>
          <w:rFonts w:ascii="Times New Roman" w:hAnsi="Times New Roman" w:cs="Times New Roman"/>
        </w:rPr>
        <w:footnoteRef/>
      </w:r>
      <w:r>
        <w:rPr>
          <w:rFonts w:ascii="Times New Roman" w:hAnsi="Times New Roman"/>
        </w:rPr>
        <w:t xml:space="preserve"> Ārkārtas zaudējumi ir lieli zaudējumi, kas ierakstīti vienīgi sabiedrības uzņēmējdarbības grāmatvedībā vienā pārskata periodā un kas parasti rodas kādā ārkārtas notikumā, kurš neietilpst sabiedrības “atbildībā”, t. i., notiek neatkarīgi no sabiedrības uzņēmējdarbības modeļa un/vai tās iepriekšējās ieguldījumu politikas. Šie ārkārtas notikumi skar daudzas sabiedrības neatkarīgi no to finanšu un ekonomiskā stāvokļa un parasti notiek vienlaikus vairākās dalībvalstīs (plašāka ietekme).</w:t>
      </w:r>
    </w:p>
  </w:footnote>
  <w:footnote w:id="151">
    <w:p w14:paraId="708EAE04" w14:textId="77777777" w:rsidR="00F27871" w:rsidRPr="00101282" w:rsidRDefault="00F27871" w:rsidP="00994F93">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Citiem vārdiem sakot, valdība nedrīkst iegādāties akcijas par cenu, kas pārsniedz to tirgus cenu (iespējams, aprēķinātu kā vidējo cenu laika posmā, kas nepārsniedz 3 mēnešus). Attiecībā uz nekotētajām akcijām kā atsauces vērtība jāizmanto to patiesā vērtība, kas aprēķināta, izmantojot parastās uzņēmējdarbības novērtēšanas metodes.</w:t>
      </w:r>
    </w:p>
  </w:footnote>
  <w:footnote w:id="152">
    <w:p w14:paraId="2CB6C0E5" w14:textId="77777777" w:rsidR="00F27871" w:rsidRPr="000E6EFF" w:rsidRDefault="00F27871" w:rsidP="00994F93">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Gadījumos (it īpaši saistībā ar valdības atbalstu bankām), kad pašu kapitāla atpakaļpārdevums ir paredzēts dažu gadu laikā, var izmantot valdības obligāciju 4–6 salīdzinājuma rādītāju.</w:t>
      </w:r>
    </w:p>
  </w:footnote>
  <w:footnote w:id="153">
    <w:p w14:paraId="7A12EB54" w14:textId="77777777" w:rsidR="00F27871" w:rsidRPr="000E6EFF" w:rsidRDefault="00F27871" w:rsidP="00994F93">
      <w:pPr>
        <w:jc w:val="both"/>
        <w:rPr>
          <w:rFonts w:ascii="Times New Roman" w:hAnsi="Times New Roman"/>
          <w:noProof/>
          <w:sz w:val="24"/>
        </w:rPr>
      </w:pPr>
      <w:r>
        <w:rPr>
          <w:rStyle w:val="FootnoteReference"/>
          <w:rFonts w:ascii="Times New Roman" w:hAnsi="Times New Roman" w:cs="Times New Roman"/>
          <w:sz w:val="20"/>
          <w:szCs w:val="20"/>
        </w:rPr>
        <w:footnoteRef/>
      </w:r>
      <w:r>
        <w:rPr>
          <w:rFonts w:ascii="Times New Roman" w:hAnsi="Times New Roman"/>
          <w:sz w:val="20"/>
          <w:szCs w:val="20"/>
        </w:rPr>
        <w:t xml:space="preserve"> Piemēram, komercbanku gadījumā </w:t>
      </w:r>
      <w:r>
        <w:rPr>
          <w:rFonts w:ascii="Times New Roman" w:hAnsi="Times New Roman"/>
          <w:i/>
          <w:iCs/>
          <w:sz w:val="20"/>
          <w:szCs w:val="20"/>
        </w:rPr>
        <w:t>RoE</w:t>
      </w:r>
      <w:r>
        <w:rPr>
          <w:rFonts w:ascii="Times New Roman" w:hAnsi="Times New Roman"/>
          <w:sz w:val="20"/>
          <w:szCs w:val="20"/>
        </w:rPr>
        <w:t xml:space="preserve"> ir jābūt vismaz 10 %. Rūpniecības nozarē tam jābūt zemākam.</w:t>
      </w:r>
    </w:p>
  </w:footnote>
  <w:footnote w:id="154">
    <w:p w14:paraId="42DAE310" w14:textId="77777777" w:rsidR="00F27871" w:rsidRPr="000E6EFF" w:rsidRDefault="00F27871" w:rsidP="00994F93">
      <w:pPr>
        <w:jc w:val="both"/>
        <w:rPr>
          <w:rFonts w:ascii="Times New Roman" w:eastAsia="Arial"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szCs w:val="20"/>
        </w:rPr>
        <w:t xml:space="preserve"> Tas nozīmē, ka galvenokārt no pārdošanas ieņēmumiem, tostarp produktu subsīdijām (izņemot subsīdijas, kas noteiktas EKS 2010 4.35. punkta c) apakšpunktā), citām subsīdijām un ienākumiem no īpašuma.</w:t>
      </w:r>
    </w:p>
  </w:footnote>
  <w:footnote w:id="155">
    <w:p w14:paraId="6245A5DE" w14:textId="77777777" w:rsidR="00F27871" w:rsidRPr="0024774C" w:rsidRDefault="00F27871" w:rsidP="00994F93">
      <w:pPr>
        <w:jc w:val="both"/>
        <w:rPr>
          <w:rFonts w:ascii="Times New Roman" w:eastAsia="Arial"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szCs w:val="20"/>
        </w:rPr>
        <w:t xml:space="preserve"> Tas jo īpaši attiecas uz dažām “priekšrocību akcijām”, konvertējamām obligācijām (tostarp iespējamajām konvertējamajām obligācijām, ko parasti dēvē par “Cocos”), subordinētajiem aizdevumiem vai obligācijām. Jebkurā gadījumā parāda instrumentu nacionālajos kontos atzīst kā parāda instrumentu (klasificētu AF.3 vai AF.4 pozīcijā) tikai tad, ja tas sniedz turētājam beznosacījumu atlīdzinājumu, t. i., neatkarīgi no jebkādas sadalāmās peļņas (ko traktē kā procentus, kas ierakstāmi, pamatojoties uz uzkrāšanas principu). Citā gadījumā uzskata, ka tas ir pašu kapitāla instruments, attiecībā uz kuru piemēro šīs nodaļas noteikumus. Attiecībā uz ieņēmumu uzkrāšanu var būt piemērojami īpaši noteikumi, kas paredz, piemēram, nesamaksāto procentu pārnešanu. Instrumentu var ierakstīt kā parādu tikai tad, ja šāda pārnešana nepārsniedz tai sekojošo darbību. Jebkurš ilgāks periods vai pat pilnīga nenoteiktība ir pietiekams pamats tam, lai instrumentu traktētu kā pašu kapitālu.</w:t>
      </w:r>
    </w:p>
  </w:footnote>
  <w:footnote w:id="156">
    <w:p w14:paraId="24F91350" w14:textId="77777777" w:rsidR="00F27871" w:rsidRPr="00CA1693" w:rsidRDefault="00F27871" w:rsidP="00994F93">
      <w:pPr>
        <w:jc w:val="both"/>
        <w:rPr>
          <w:rFonts w:ascii="Times New Roman" w:eastAsia="Arial"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szCs w:val="20"/>
        </w:rPr>
        <w:t xml:space="preserve"> Nav nozīmes, vai sabiedrība ir zaudējumus nesoša vai rentabla, lai ierakstītu kapitāla iepludināšanu kā ieguldījumu dotāciju (D.92).</w:t>
      </w:r>
    </w:p>
  </w:footnote>
  <w:footnote w:id="157">
    <w:p w14:paraId="0266997E" w14:textId="77777777" w:rsidR="00F27871" w:rsidRPr="003C568B" w:rsidRDefault="00F27871" w:rsidP="00994F93">
      <w:pPr>
        <w:jc w:val="both"/>
        <w:rPr>
          <w:rFonts w:ascii="Times New Roman" w:eastAsia="Arial"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szCs w:val="20"/>
        </w:rPr>
        <w:t xml:space="preserve"> EKS 2010 dividenžu jēdziens ir plašāks par uzņēmējdarbības grāmatvedības uzskaitē izmantoto šauro dividenžu jēdzienu (skat. EKS 2010 4.54. punktu).</w:t>
      </w:r>
    </w:p>
  </w:footnote>
  <w:footnote w:id="158">
    <w:p w14:paraId="351B1771" w14:textId="77777777" w:rsidR="00F27871" w:rsidRPr="003C568B" w:rsidRDefault="00F27871" w:rsidP="00994F93">
      <w:pPr>
        <w:pStyle w:val="FootnoteText"/>
      </w:pPr>
      <w:r>
        <w:rPr>
          <w:rStyle w:val="FootnoteReference"/>
          <w:rFonts w:ascii="Times New Roman" w:hAnsi="Times New Roman" w:cs="Times New Roman"/>
        </w:rPr>
        <w:footnoteRef/>
      </w:r>
      <w:r>
        <w:rPr>
          <w:rFonts w:ascii="Times New Roman" w:hAnsi="Times New Roman"/>
        </w:rPr>
        <w:t xml:space="preserve"> Jāņem vērā, ka dažos gadījumos valdībai šāda kontrole var būt pat tad, ja tai nepieder lielākā daļa akciju (tiesības balsot ar vairākām balsīm, īpašas vienošanās). Šajā saistībā īpaša nozīme ir tam, vai valdībai ir dominējošā ietekme pār citiem ieguldītājiem ar ienākumiem saistītajos lēmumos. Atsevišķos gadījumos valdībai nav parasto akciju vienībā, tomēr tai ir lēmumu pieņemšanas tiesības attiecībā uz lielāko dividenžu daļu.</w:t>
      </w:r>
    </w:p>
  </w:footnote>
  <w:footnote w:id="159">
    <w:p w14:paraId="6B5F2B62" w14:textId="77777777" w:rsidR="00F27871" w:rsidRPr="003C568B" w:rsidRDefault="00F27871" w:rsidP="00994F93">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EKS 2010 20.206. punktā noteikts, ka, </w:t>
      </w:r>
      <w:r>
        <w:rPr>
          <w:rFonts w:ascii="Times New Roman" w:hAnsi="Times New Roman"/>
          <w:i/>
          <w:iCs/>
        </w:rPr>
        <w:t>ja nav uzņēmējdarbības ienākuma mēra, var izmantot pamatdarbības peļņu no uzņēmējdarbības grāmatvedības</w:t>
      </w:r>
      <w:r>
        <w:rPr>
          <w:rFonts w:ascii="Times New Roman" w:hAnsi="Times New Roman"/>
        </w:rPr>
        <w:t>. Parasti abas šīs vērtības ir ļoti tuvas.</w:t>
      </w:r>
    </w:p>
  </w:footnote>
  <w:footnote w:id="160">
    <w:p w14:paraId="3D103D92" w14:textId="77777777" w:rsidR="00F27871" w:rsidRPr="003C568B" w:rsidRDefault="00F27871" w:rsidP="00994F93">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Ienākumu pārskati var ievērojami atšķirties, kad tie tiek sagatavoti atbilstoši valstī vai sabiedrībā pieņemtajai praksei. Visos gadījumos tajos jābūt norādītam pašreizējās (“nepabeigtās” saskaņā ar </w:t>
      </w:r>
      <w:r>
        <w:rPr>
          <w:rFonts w:ascii="Times New Roman" w:hAnsi="Times New Roman"/>
          <w:i/>
          <w:iCs/>
        </w:rPr>
        <w:t>IFRS</w:t>
      </w:r>
      <w:r>
        <w:rPr>
          <w:rFonts w:ascii="Times New Roman" w:hAnsi="Times New Roman"/>
        </w:rPr>
        <w:t>) darbības neto rezultātam pirms sadales un ienākuma nodokļa iekasēšanas, izņemot ārkārtējus darījumus, kas rada turēšanas guvumus vai zaudējumus.</w:t>
      </w:r>
    </w:p>
  </w:footnote>
  <w:footnote w:id="161">
    <w:p w14:paraId="3316E454" w14:textId="77777777" w:rsidR="00F27871" w:rsidRPr="003C568B" w:rsidRDefault="00F27871" w:rsidP="00994F93">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NKS 2008 7.131. punktā ir ieviests jēdziens “ticamības pārbaude”.</w:t>
      </w:r>
    </w:p>
  </w:footnote>
  <w:footnote w:id="162">
    <w:p w14:paraId="10423FA3" w14:textId="77777777" w:rsidR="00F27871" w:rsidRPr="003C568B" w:rsidRDefault="00F27871" w:rsidP="00620636">
      <w:pPr>
        <w:pStyle w:val="FootnoteText"/>
        <w:jc w:val="both"/>
      </w:pPr>
      <w:r>
        <w:rPr>
          <w:rStyle w:val="FootnoteReference"/>
          <w:rFonts w:ascii="Times New Roman" w:hAnsi="Times New Roman" w:cs="Times New Roman"/>
        </w:rPr>
        <w:footnoteRef/>
      </w:r>
      <w:r>
        <w:rPr>
          <w:rFonts w:ascii="Times New Roman" w:hAnsi="Times New Roman"/>
        </w:rPr>
        <w:t xml:space="preserve"> EKS 2010 2.14. punktā ir definētas divu veidu vienības, kas uzņēmējdarbībā tiek minētas kā kontrolakciju subjekti, proti, “centrālais birojs” – vienība, kas pārvalda savus meitasuzņēmumus, un “kontrolakciju sabiedrība” – kas “tur meitasuzņēmumu grupas aktīvus (kurām pieder pašu kapitāla daļa, kas nodrošina kontroli) un kuru pamatdarbība ir šīs uzņēmumu grupas turēšana īpašumā”.</w:t>
      </w:r>
    </w:p>
  </w:footnote>
  <w:footnote w:id="163">
    <w:p w14:paraId="589010E0" w14:textId="77777777" w:rsidR="00F27871" w:rsidRPr="00F67E7E" w:rsidRDefault="00F27871" w:rsidP="00994F93">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Pretēji parāda vērtspapīru gadījumam, kad procentus saskaņā ar līgumu maksā emitents, dividendes pašas par sevi netiek uzkrātas, jo tās ir atkarīgas no ienākumiem un sadales politikas, kas nav zināma vai skaidri noteikta līdz brīdim, kad ir sagatavoti, pārbaudīti un apstiprināti gada pārskati.</w:t>
      </w:r>
    </w:p>
  </w:footnote>
  <w:footnote w:id="164">
    <w:p w14:paraId="29E45837" w14:textId="77777777" w:rsidR="00F27871" w:rsidRPr="00F67E7E" w:rsidRDefault="00F27871" w:rsidP="00994F93">
      <w:pPr>
        <w:pStyle w:val="FootnoteText"/>
        <w:jc w:val="both"/>
      </w:pPr>
      <w:r>
        <w:rPr>
          <w:rStyle w:val="FootnoteReference"/>
          <w:rFonts w:ascii="Times New Roman" w:hAnsi="Times New Roman" w:cs="Times New Roman"/>
        </w:rPr>
        <w:footnoteRef/>
      </w:r>
      <w:r>
        <w:rPr>
          <w:rFonts w:ascii="Times New Roman" w:hAnsi="Times New Roman"/>
        </w:rPr>
        <w:t xml:space="preserve"> Parasti pastāv laika nobīde starp dividendes maksājumu un datumu, kad tika pieņemts lēmums par tās sadalīšanu. Kotētu akciju gadījumā tirgus cenā parasti ietilpst dividendes vērtība līdz tās izmaksāšanai. Nekotētu akciju gadījumā vienīgā pieejamā informācija ir laiks, kad maksājums tiek veikts valdībai.</w:t>
      </w:r>
    </w:p>
  </w:footnote>
  <w:footnote w:id="165">
    <w:p w14:paraId="3818EC9B" w14:textId="77777777" w:rsidR="00F27871" w:rsidRPr="00F67E7E" w:rsidRDefault="00F27871" w:rsidP="00994F93">
      <w:pPr>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szCs w:val="20"/>
        </w:rPr>
        <w:t xml:space="preserve"> Parasti pastāv laika nobīde starp dividendes maksājumu un datumu, kad tika pieņemts lēmums par tās sadalīšanu. Kotētu akciju gadījumā tirgus cenā parasti ietilpst dividendes vērtība līdz tās izmaksāšanai. Nekotētu akciju gadījumā vienīgā pieejamā informācija ir laiks, kad maksājums tiek veikts valdībai.</w:t>
      </w:r>
    </w:p>
  </w:footnote>
  <w:footnote w:id="166">
    <w:p w14:paraId="2F39B9BF" w14:textId="77777777" w:rsidR="00F27871" w:rsidRPr="00A5117C" w:rsidRDefault="00F27871" w:rsidP="00994F93">
      <w:pPr>
        <w:jc w:val="both"/>
        <w:rPr>
          <w:rFonts w:ascii="Times New Roman" w:eastAsia="Arial"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szCs w:val="20"/>
        </w:rPr>
        <w:t xml:space="preserve"> Sīkāka informācija sniegta šīs rokasgrāmatas 1.3. nodaļā un EKS 2010 17. nodaļā (Sociālā apdrošināšana, tostarp pensijas).</w:t>
      </w:r>
    </w:p>
  </w:footnote>
  <w:footnote w:id="167">
    <w:p w14:paraId="54979A25" w14:textId="77777777" w:rsidR="00F27871" w:rsidRPr="00A5117C" w:rsidRDefault="00F27871" w:rsidP="00994F93">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Tā kā no fondētajām pensiju shēmām bieži tiek veikti ieguldījumi valdības vērtspapīros, šādu aktīvu nodošana valdībai samazinātu valdības (</w:t>
      </w:r>
      <w:r>
        <w:rPr>
          <w:rFonts w:ascii="Times New Roman" w:hAnsi="Times New Roman"/>
          <w:i/>
          <w:iCs/>
        </w:rPr>
        <w:t>EDP</w:t>
      </w:r>
      <w:r>
        <w:rPr>
          <w:rFonts w:ascii="Times New Roman" w:hAnsi="Times New Roman"/>
        </w:rPr>
        <w:t>) parādu ar konsolidācijas starpniecību.</w:t>
      </w:r>
    </w:p>
  </w:footnote>
  <w:footnote w:id="168">
    <w:p w14:paraId="57015B67" w14:textId="77777777" w:rsidR="00F27871" w:rsidRPr="00A5117C" w:rsidRDefault="00F27871" w:rsidP="00994F93">
      <w:pPr>
        <w:pStyle w:val="FootnoteText"/>
        <w:jc w:val="both"/>
      </w:pPr>
      <w:r>
        <w:rPr>
          <w:rStyle w:val="FootnoteReference"/>
          <w:rFonts w:ascii="Times New Roman" w:hAnsi="Times New Roman" w:cs="Times New Roman"/>
        </w:rPr>
        <w:footnoteRef/>
      </w:r>
      <w:r>
        <w:rPr>
          <w:rFonts w:ascii="Times New Roman" w:hAnsi="Times New Roman"/>
        </w:rPr>
        <w:t xml:space="preserve"> Pēc būtības šāds aprēķins attiecībā uz ļoti ilgu laika posmu (kā tas ir pensiju tiesību gadījumā, kuras aptver vairākas desmitgades) atspoguļo vienīgi situāciju konkrētajā brīdī. Ar visnotaļ lielu pārliecību var prognozēt, ka nākotnē realitāte atšķirsies daudzu dažādu iemeslu dēļ, bet šāds neto faktiskais aprēķins ir vienīgā racionālā metode, ko var izmantot, lai izmērītu ilgtermiņa saistību laika ekvivalenci.</w:t>
      </w:r>
    </w:p>
  </w:footnote>
  <w:footnote w:id="169">
    <w:p w14:paraId="6A1C4FB7" w14:textId="77777777" w:rsidR="00F27871" w:rsidRPr="00415C61" w:rsidRDefault="00F27871" w:rsidP="00994F93">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Gadījumā, ja maksājums tiek veikts pa daļām atbilstīgi tam, kā minēts iepriekš, valdība savos aktīvos ierakstīs saņemamo summu kopā ar nodotajiem finanšu aktīviem.</w:t>
      </w:r>
    </w:p>
  </w:footnote>
  <w:footnote w:id="170">
    <w:p w14:paraId="5B2AFC64" w14:textId="77777777" w:rsidR="00F27871" w:rsidRPr="00415C61" w:rsidRDefault="00F27871" w:rsidP="00994F93">
      <w:pPr>
        <w:jc w:val="both"/>
        <w:rPr>
          <w:rFonts w:ascii="Times New Roman" w:eastAsia="Arial" w:hAnsi="Times New Roman" w:cs="Arial"/>
          <w:noProof/>
          <w:sz w:val="24"/>
          <w:szCs w:val="14"/>
        </w:rPr>
      </w:pPr>
      <w:r>
        <w:rPr>
          <w:rStyle w:val="FootnoteReference"/>
          <w:rFonts w:ascii="Times New Roman" w:hAnsi="Times New Roman" w:cs="Times New Roman"/>
          <w:sz w:val="20"/>
          <w:szCs w:val="20"/>
        </w:rPr>
        <w:footnoteRef/>
      </w:r>
      <w:r>
        <w:rPr>
          <w:rFonts w:ascii="Times New Roman" w:hAnsi="Times New Roman"/>
          <w:sz w:val="20"/>
          <w:szCs w:val="20"/>
        </w:rPr>
        <w:t xml:space="preserve"> Tomēr šim nepietiekami augstajam novērtējumam ir jāpārsniedz vispārpieņemtā kļūdas robeža (vai aptuvenā vērtība), ko piemēro attiecībā uz šādiem aktuārajiem aprēķiniem.</w:t>
      </w:r>
    </w:p>
  </w:footnote>
  <w:footnote w:id="171">
    <w:p w14:paraId="1B216B29" w14:textId="77777777" w:rsidR="00F27871" w:rsidRPr="00415C61" w:rsidRDefault="00F27871" w:rsidP="00994F93">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Tam ir vairāki iemesli (izņemot pārmaiņas pamatparametros), piemēram, nākotnes pensiju pabalstu aplēsēs izmantoto pieņēmumu (mirstības rādītāji, inflācija u. c.) neatbilstība.</w:t>
      </w:r>
    </w:p>
  </w:footnote>
  <w:footnote w:id="172">
    <w:p w14:paraId="6C18CDC5" w14:textId="77777777" w:rsidR="00F27871" w:rsidRPr="00415C61" w:rsidRDefault="00F27871" w:rsidP="00994F93">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Tā kā tomēr saistības ietver ilgtermiņa pensijas, praksē pastāvētu iztrūkums izmaiņu dēļ, kas rodas refinansēšanas izmaksās.</w:t>
      </w:r>
    </w:p>
  </w:footnote>
  <w:footnote w:id="173">
    <w:p w14:paraId="0E9B0285" w14:textId="77777777" w:rsidR="00F27871" w:rsidRPr="00415C61" w:rsidRDefault="00F27871" w:rsidP="00994F93">
      <w:pPr>
        <w:pStyle w:val="FootnoteText"/>
      </w:pPr>
      <w:r>
        <w:rPr>
          <w:rStyle w:val="FootnoteReference"/>
          <w:rFonts w:ascii="Times New Roman" w:hAnsi="Times New Roman" w:cs="Times New Roman"/>
        </w:rPr>
        <w:footnoteRef/>
      </w:r>
      <w:r>
        <w:rPr>
          <w:rFonts w:ascii="Times New Roman" w:hAnsi="Times New Roman"/>
        </w:rPr>
        <w:t xml:space="preserve"> Nodošana valdības darba devēja shēmai nav paredzēta EKS 2010, jo šāds gadījums šķiet maz ticams, ņemot vērā, ka tas nozīmētu izmaiņas attiecīgās sabiedrības darbinieku statusā.</w:t>
      </w:r>
    </w:p>
  </w:footnote>
  <w:footnote w:id="174">
    <w:p w14:paraId="6BBC56D8" w14:textId="77777777" w:rsidR="00F27871" w:rsidRPr="00415C61" w:rsidRDefault="00F27871" w:rsidP="00994F93">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Šajos piemēros uzmanība pievērsta ietekmei uz valdības neto aizdevumu/aizņēmumu (B.9) un/vai parādu, un to mērķis nav atspoguļot visus ierakstus kopējā ekonomikā.</w:t>
      </w:r>
    </w:p>
  </w:footnote>
  <w:footnote w:id="175">
    <w:p w14:paraId="335C94F4" w14:textId="77777777" w:rsidR="00F27871" w:rsidRPr="00E7471B" w:rsidRDefault="00F27871" w:rsidP="00994F93">
      <w:pPr>
        <w:jc w:val="both"/>
        <w:rPr>
          <w:rFonts w:ascii="Times New Roman" w:eastAsia="Arial"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szCs w:val="20"/>
        </w:rPr>
        <w:t xml:space="preserve"> Naudas sodus var traktēt arī kā kapitāla pārvedumus (skat. 2.7.2. iedaļu).</w:t>
      </w:r>
    </w:p>
  </w:footnote>
  <w:footnote w:id="176">
    <w:p w14:paraId="3A131BF2" w14:textId="77777777" w:rsidR="00443399" w:rsidRPr="00EC2EE3" w:rsidRDefault="00443399" w:rsidP="00443399">
      <w:pPr>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szCs w:val="20"/>
        </w:rPr>
        <w:t xml:space="preserve"> Eurogrupa 2012. gada februārī vienojās par to, ka atsevišķas eirozonas dalībvalstis katru gadu līdz jūnijam nodos Grieķijas valdībai ieņēmumus, kas gūti no Grieķijas valdības obligācijām, kuras atrodas to centrālajās bankās. Pārvedumi starp šīm dalībvalstīm (izdevumi) un Grieķiju (ieņēmumi) ir ierakstīti kā kārtējie pārvedumi (D.75), savukārt pārvedumiem no VCB to valdībām ir pilnīgi jāatbilst šajā nodaļā izklāstītajiem noteikumiem, jo īpaši, ciktāl tas attiecas uz sadalījumu starp dividendēm un pašu kapitāla izņemšanu.</w:t>
      </w:r>
    </w:p>
  </w:footnote>
  <w:footnote w:id="177">
    <w:p w14:paraId="0A23E484" w14:textId="77777777" w:rsidR="00443399" w:rsidRPr="007F5185" w:rsidRDefault="00443399" w:rsidP="00443399">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Tomēr grāmatvedības konservatīvisma pamatprincips parasti ļauj grāmatvežiem paredzēt vai atklāt zaudējumus, taču neļauj līdzīgi rīkoties attiecībā uz ienākumiem. Piemēram, iespējamie zaudējumi, kas rodas tiesas prāvās, tiks norādīti finanšu pārskatos vai piezīmēs, taču iespējamie guvumi netiks norādīti.</w:t>
      </w:r>
    </w:p>
  </w:footnote>
  <w:footnote w:id="178">
    <w:p w14:paraId="1E024803" w14:textId="30C6DE9F" w:rsidR="00443399" w:rsidRPr="0061643C" w:rsidRDefault="00443399" w:rsidP="00443399">
      <w:pPr>
        <w:pStyle w:val="FootnoteText"/>
        <w:jc w:val="both"/>
        <w:rPr>
          <w:rFonts w:ascii="Times New Roman" w:hAnsi="Times New Roman" w:cs="Times New Roman"/>
        </w:rPr>
      </w:pPr>
      <w:r>
        <w:rPr>
          <w:rStyle w:val="FootnoteReference"/>
          <w:rFonts w:ascii="Times New Roman" w:hAnsi="Times New Roman" w:cs="Times New Roman"/>
        </w:rPr>
        <w:footnoteRef/>
      </w:r>
      <w:r w:rsidR="00BC7838">
        <w:rPr>
          <w:rFonts w:ascii="Times New Roman" w:hAnsi="Times New Roman"/>
        </w:rPr>
        <w:t xml:space="preserve"> </w:t>
      </w:r>
      <w:r>
        <w:rPr>
          <w:rFonts w:ascii="Times New Roman" w:hAnsi="Times New Roman"/>
        </w:rPr>
        <w:t xml:space="preserve">SVF: </w:t>
      </w:r>
      <w:r>
        <w:rPr>
          <w:rFonts w:ascii="Times New Roman" w:hAnsi="Times New Roman"/>
          <w:i/>
          <w:iCs/>
        </w:rPr>
        <w:t>Balance of Payments and International Investment Position Manual</w:t>
      </w:r>
      <w:r>
        <w:rPr>
          <w:rFonts w:ascii="Times New Roman" w:hAnsi="Times New Roman"/>
        </w:rPr>
        <w:t xml:space="preserve"> [Maksājumu bilances un starptautisko investīciju bilances rokasgrāmatas] 6. izdevums (</w:t>
      </w:r>
      <w:r>
        <w:rPr>
          <w:rFonts w:ascii="Times New Roman" w:hAnsi="Times New Roman"/>
          <w:i/>
          <w:iCs/>
        </w:rPr>
        <w:t>BPM6</w:t>
      </w:r>
      <w:r>
        <w:rPr>
          <w:rFonts w:ascii="Times New Roman" w:hAnsi="Times New Roman"/>
        </w:rPr>
        <w:t xml:space="preserve">) (2009. g.), 6. nodaļa </w:t>
      </w:r>
      <w:r>
        <w:rPr>
          <w:rFonts w:ascii="Times New Roman" w:hAnsi="Times New Roman"/>
          <w:i/>
          <w:iCs/>
        </w:rPr>
        <w:t>Functional categories, F.I Reserve assets</w:t>
      </w:r>
      <w:r>
        <w:rPr>
          <w:rFonts w:ascii="Times New Roman" w:hAnsi="Times New Roman"/>
        </w:rPr>
        <w:t xml:space="preserve"> [Funkcionālās kategorijas, F.I Rezervju aktīvi], 111. lpp.</w:t>
      </w:r>
    </w:p>
  </w:footnote>
  <w:footnote w:id="179">
    <w:p w14:paraId="58916D6F" w14:textId="77777777" w:rsidR="00443399" w:rsidRPr="0061643C" w:rsidRDefault="00443399" w:rsidP="00443399">
      <w:pPr>
        <w:pStyle w:val="FootnoteText"/>
        <w:jc w:val="both"/>
      </w:pPr>
      <w:r>
        <w:rPr>
          <w:rStyle w:val="FootnoteReference"/>
          <w:rFonts w:ascii="Times New Roman" w:hAnsi="Times New Roman" w:cs="Times New Roman"/>
        </w:rPr>
        <w:footnoteRef/>
      </w:r>
      <w:r>
        <w:rPr>
          <w:rFonts w:ascii="Times New Roman" w:hAnsi="Times New Roman"/>
        </w:rPr>
        <w:t xml:space="preserve"> Skat. </w:t>
      </w:r>
      <w:r>
        <w:rPr>
          <w:rFonts w:ascii="Times New Roman" w:hAnsi="Times New Roman"/>
          <w:i/>
          <w:iCs/>
        </w:rPr>
        <w:t>BPM6</w:t>
      </w:r>
      <w:r>
        <w:rPr>
          <w:rFonts w:ascii="Times New Roman" w:hAnsi="Times New Roman"/>
        </w:rPr>
        <w:t xml:space="preserve"> 6.5. ierāmējumu: Rezervju aktīvu komponenti un ar rezervēm saistītas saistības, 11. lpp.</w:t>
      </w:r>
    </w:p>
  </w:footnote>
  <w:footnote w:id="180">
    <w:p w14:paraId="5E202D10" w14:textId="77777777" w:rsidR="00443399" w:rsidRPr="00861647" w:rsidRDefault="00443399" w:rsidP="00443399">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Iespējama arī pretēja operācija “monetizācija” (piemēram, pēc lieluma klasificēts zelts parasti tiek nodots centrālajai bankai).</w:t>
      </w:r>
    </w:p>
  </w:footnote>
  <w:footnote w:id="181">
    <w:p w14:paraId="136DB4AE" w14:textId="77777777" w:rsidR="00443399" w:rsidRPr="00861647" w:rsidRDefault="00443399" w:rsidP="00443399">
      <w:pPr>
        <w:pStyle w:val="FootnoteText"/>
        <w:jc w:val="both"/>
      </w:pPr>
      <w:r>
        <w:rPr>
          <w:rStyle w:val="FootnoteReference"/>
          <w:rFonts w:ascii="Times New Roman" w:hAnsi="Times New Roman" w:cs="Times New Roman"/>
        </w:rPr>
        <w:footnoteRef/>
      </w:r>
      <w:r>
        <w:rPr>
          <w:rFonts w:ascii="Times New Roman" w:hAnsi="Times New Roman"/>
        </w:rPr>
        <w:t xml:space="preserve"> Skat. http://www.ecb.int/press/pr/date/2009/html/pr090807.en.html.</w:t>
      </w:r>
    </w:p>
  </w:footnote>
  <w:footnote w:id="182">
    <w:p w14:paraId="72B91FF8" w14:textId="77777777" w:rsidR="00443399" w:rsidRPr="000D65B0" w:rsidRDefault="00443399" w:rsidP="00443399">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Varētu iebilst, ka vienība vairs nav institucionāla vienība, jo tās īpašnieki ir zaudējuši spēju to kontrolēt līdz ar lēmumu pieņemšanas varas nonākšanu likvidatora un/vai kreditoru rokās. Tomēr likvidācijas process nozīmē, ka ekonomiskie lēmumi tiek pieņemti par tās aktīviem un saistībām. Tas, ka iepriekšējiem īpašniekiem vairs nav kontroles, nav pietiekami, lai vienību automātiski klasificētu likvidatora vai kreditoru sektorā (kas varētu būt atšķirīgi sektori). Tādējādi vienībai ir jāpaliek finanšu sektorā vai, kā minēts iepriekš, tā jāpārklasificē vispārējās valdības sektorā.</w:t>
      </w:r>
    </w:p>
  </w:footnote>
  <w:footnote w:id="183">
    <w:p w14:paraId="430C661A" w14:textId="77777777" w:rsidR="00443399" w:rsidRPr="000D65B0" w:rsidRDefault="00443399" w:rsidP="00443399">
      <w:pPr>
        <w:pStyle w:val="FootnoteText"/>
        <w:jc w:val="both"/>
      </w:pPr>
      <w:r>
        <w:rPr>
          <w:rStyle w:val="FootnoteReference"/>
          <w:rFonts w:ascii="Times New Roman" w:hAnsi="Times New Roman" w:cs="Times New Roman"/>
        </w:rPr>
        <w:footnoteRef/>
      </w:r>
      <w:r>
        <w:rPr>
          <w:rFonts w:ascii="Times New Roman" w:hAnsi="Times New Roman"/>
        </w:rPr>
        <w:t xml:space="preserve"> Kā statistikā ieraksta valsts atbalstu finanšu iestādēm un finanšu tirgiem finanšu krīzes laikā no 2009. gada 15. jūlija.</w:t>
      </w:r>
    </w:p>
  </w:footnote>
  <w:footnote w:id="184">
    <w:p w14:paraId="4DB5DAC5" w14:textId="77777777" w:rsidR="00443399" w:rsidRPr="00CB5643" w:rsidRDefault="00443399" w:rsidP="00443399">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Tāds pats traktējums statistikā ir jāpiemēro, ja tiek konstatēts, ka provizoriskā atgūstamā summa nesakrīt ar faktisko summu, ko saņēmusi valdība aizdevuma darbības termiņā.</w:t>
      </w:r>
    </w:p>
  </w:footnote>
  <w:footnote w:id="185">
    <w:p w14:paraId="5496A3E9" w14:textId="77777777" w:rsidR="00443399" w:rsidRPr="0034734E" w:rsidRDefault="00443399" w:rsidP="00443399">
      <w:pPr>
        <w:jc w:val="both"/>
        <w:rPr>
          <w:rFonts w:ascii="Times New Roman" w:eastAsia="Arial"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szCs w:val="20"/>
        </w:rPr>
        <w:t xml:space="preserve"> Skat. I.6. nodaļu “Īpaši publiski subjekti”.</w:t>
      </w:r>
    </w:p>
  </w:footnote>
  <w:footnote w:id="186">
    <w:p w14:paraId="321B1483" w14:textId="77777777" w:rsidR="00443399" w:rsidRPr="002D67BA" w:rsidRDefault="00443399" w:rsidP="00443399">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Šo vērtspapīrošanas definīciju, kas ietver lielāko daļu Eiropas Savienībā faktiski novēroto gadījumu, kuros iesaistītas valdības vienības, var uzskatīt par “šauru” (vai uz tirgu orientētu) vērtspapīrošanas definīciju. No vienas puses, var būt emitēti tādi vērtspapīri, kuriem ir piesaistītas vērtspapīru turētāju tiešas tiesības uz nodalītiem aktīviem (“bilances vērtspapīrošana”). Šādām operācijām nav nepieciešami īpaši norādījumi, jo galvenais apstāklis ir jaunu saistību uzņemšanās, nevis tādu īpašu tiesību un pienākumu uzņemšanās, kuri piesaistīti parāda instrumentiem. No otras puses, valdība var “monetizēt” (pārvērst likviditātē, kas ir tāds pats rezultāts kā šeit apspriesto vērtspapīrošanas operāciju gadījumā) jebkuru aktīvu (finanšu un nefinanšu) ar darījumu organizētos tirgos vai ārpus biržas. Tas ir laika jautājums (beigu beigās viss tiek monetizēts) un diskonta līmeņa jautājums salīdzinājumā ar pamatvērtību, kuru valdība piekristu uzņemties (skat. “ārkārtas pārdošanas” gadījumus). Otrajā gadījumā pilnīgi jāpiemēro tie paši pamatprincipi, kas attiecas uz “patiesas pārdošanas” atzīšanu.</w:t>
      </w:r>
    </w:p>
  </w:footnote>
  <w:footnote w:id="187">
    <w:p w14:paraId="53EEAA86" w14:textId="77777777" w:rsidR="00443399" w:rsidRPr="002D67BA" w:rsidRDefault="00443399" w:rsidP="00443399">
      <w:pPr>
        <w:pStyle w:val="FootnoteText"/>
        <w:jc w:val="both"/>
      </w:pPr>
      <w:r>
        <w:rPr>
          <w:rStyle w:val="FootnoteReference"/>
          <w:rFonts w:ascii="Times New Roman" w:hAnsi="Times New Roman" w:cs="Times New Roman"/>
        </w:rPr>
        <w:footnoteRef/>
      </w:r>
      <w:r>
        <w:rPr>
          <w:rFonts w:ascii="Times New Roman" w:hAnsi="Times New Roman"/>
        </w:rPr>
        <w:t xml:space="preserve"> Vērtspapīrošanas operācija parasti atšķiras no nodrošinātas aizdevuma ņemšanas operācijas (piemēram, attiecībā uz segtām obligācijām, ko valdības vienības parasti neemitē); otrajā gadījumā ieguldītājam ir prasījuma tiesības attiecībā uz aktīviem vai citām tiesībām un attiecībā uz sākotnējo īpašnieku. Lielākajā daļā vērtspapīrošanas operāciju ieguldītājiem nav paredzētas tiesības vērsties pret iniciatoru.</w:t>
      </w:r>
    </w:p>
  </w:footnote>
  <w:footnote w:id="188">
    <w:p w14:paraId="0610B4B8" w14:textId="77777777" w:rsidR="00443399" w:rsidRPr="002D67BA" w:rsidRDefault="00443399" w:rsidP="00443399">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Tomēr saskaņā ar standartiem, kas attiecībā uz šādiem darījumiem tiek piemēroti tirgū, iniciators (šajā gadījumā – valdība) kopā ar organizatoru parasti uzņemas daļu riska. Par šādiem riskiem bieži vien uzskata zaudējumus, kas rodas izpildē, piegādē, procesa pārvaldībā, iekšējās un ārējās krāpšanas dēļ, darbības nepārtrauktībā un sistēmas atteiču dēļ, fizisku aktīvu bojājumu gadījumā, nepietiekamas vai neatbilstošas dokumentācijas dēļ un juridisku risku dēļ. Tie nerodas no riskiem, kas saistīti ar aktīvu turēšanu (tirgus riskiem/kredītriskiem). Tomēr valdības īstenotas vērtspapīrošanas gadījumā vienmēr ir jāpārbauda, vai valdības darbības risks ir saistīts vienīgi ar ierasto tirgus praksi.</w:t>
      </w:r>
    </w:p>
  </w:footnote>
  <w:footnote w:id="189">
    <w:p w14:paraId="49F1A8BF" w14:textId="77777777" w:rsidR="00443399" w:rsidRPr="009810FD" w:rsidRDefault="00443399" w:rsidP="00443399">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Tam nav obligāti jābūt kā tiešai garantijai attiecībā uz parādu, ko izdevusi vērtspapīrošanas struktūrvienība (un kas līdz ar to nav īstenojama trešās valstīs), taču to var paredzēt līgumā ar īpašu klauzulu.</w:t>
      </w:r>
    </w:p>
  </w:footnote>
  <w:footnote w:id="190">
    <w:p w14:paraId="56E3802D" w14:textId="77777777" w:rsidR="00443399" w:rsidRPr="009810FD" w:rsidRDefault="00443399" w:rsidP="00443399">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“Koriģēta uzskaites vērtība”, “kapitalizēti koriģēti ienākumi”, “diskontēti turpmāki ienākumi”, “naudas plūsmas metode”, “bruto ieņēmumu faktors”, “pamatlīdzekļu cenas noteikšanas modelis”, “svērtās vidējās kapitāla izmaksas”, “tirgus salīdzinājumu paņēmieni”, “iespējas līguma cenu noteikšanas pieejas” utt.</w:t>
      </w:r>
    </w:p>
  </w:footnote>
  <w:footnote w:id="191">
    <w:p w14:paraId="70B9218D" w14:textId="77777777" w:rsidR="00443399" w:rsidRPr="00E261BD" w:rsidRDefault="00443399" w:rsidP="00443399">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Konsultējoties ar </w:t>
      </w:r>
      <w:r>
        <w:rPr>
          <w:rFonts w:ascii="Times New Roman" w:hAnsi="Times New Roman"/>
          <w:i/>
          <w:iCs/>
        </w:rPr>
        <w:t>Eurostat</w:t>
      </w:r>
      <w:r>
        <w:rPr>
          <w:rFonts w:ascii="Times New Roman" w:hAnsi="Times New Roman"/>
        </w:rPr>
        <w:t>.</w:t>
      </w:r>
    </w:p>
  </w:footnote>
  <w:footnote w:id="192">
    <w:p w14:paraId="09490AF3" w14:textId="77777777" w:rsidR="00443399" w:rsidRPr="00E261BD" w:rsidRDefault="00443399" w:rsidP="00443399">
      <w:pPr>
        <w:jc w:val="both"/>
        <w:rPr>
          <w:rFonts w:ascii="Times New Roman" w:eastAsia="Arial"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szCs w:val="20"/>
        </w:rPr>
        <w:t xml:space="preserve"> Tomēr EKS 2010 15.18. punktā uzsvērts, ka nomas ilgumu nedrīkst noteikt kā galveno līguma klasificēšanas kritēriju.</w:t>
      </w:r>
    </w:p>
  </w:footnote>
  <w:footnote w:id="193">
    <w:p w14:paraId="5235AEF8" w14:textId="77777777" w:rsidR="00443399" w:rsidRPr="0065154F" w:rsidRDefault="00443399" w:rsidP="00443399">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Lai arī EKS 2010 salīdzinājumā ar EKS 1995 nomas perioda ilgumam zināmā mērā ir relatīvāka nozīme, lai noteiktu, vai noma ir finanšu vai operatīvā noma (un tāpēc finanšu nomas ir iespējamas arī attiecināt uz īstermiņa nomu), tajā ir noteikts, ka praksē ir sarežģīti atkāpties no ierakstiem uzņēmējdarbības grāmatvedībā, saskaņā ar kuru finanšu noma ir tikai tāda noma, kas aptver lielāko daļu no aktīva ekonomiskā cikla (skat. EKS 2010 15.18. punktu).</w:t>
      </w:r>
    </w:p>
  </w:footnote>
  <w:footnote w:id="194">
    <w:p w14:paraId="70863DC0" w14:textId="77777777" w:rsidR="00443399" w:rsidRPr="0065154F" w:rsidRDefault="00443399" w:rsidP="00443399">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Klasificēta ārpus valdības sektora.</w:t>
      </w:r>
    </w:p>
  </w:footnote>
  <w:footnote w:id="195">
    <w:p w14:paraId="68FBF0E6" w14:textId="77777777" w:rsidR="00443399" w:rsidRPr="0065154F" w:rsidRDefault="00443399" w:rsidP="00443399">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Klasificēta ārpus valdības sektora.</w:t>
      </w:r>
    </w:p>
  </w:footnote>
  <w:footnote w:id="196">
    <w:p w14:paraId="24559507" w14:textId="77777777" w:rsidR="00443399" w:rsidRPr="0065154F" w:rsidRDefault="00443399" w:rsidP="00443399">
      <w:pPr>
        <w:pStyle w:val="FootnoteText"/>
        <w:jc w:val="both"/>
      </w:pPr>
      <w:r>
        <w:rPr>
          <w:rStyle w:val="FootnoteReference"/>
          <w:rFonts w:ascii="Times New Roman" w:hAnsi="Times New Roman" w:cs="Times New Roman"/>
        </w:rPr>
        <w:footnoteRef/>
      </w:r>
      <w:r>
        <w:rPr>
          <w:rFonts w:ascii="Times New Roman" w:hAnsi="Times New Roman"/>
        </w:rPr>
        <w:t xml:space="preserve"> Jāanalizē abi posmi (pārdošana un saņemšana atpakaļ nomā).</w:t>
      </w:r>
    </w:p>
  </w:footnote>
  <w:footnote w:id="197">
    <w:p w14:paraId="0242EF7C" w14:textId="77777777" w:rsidR="00443399" w:rsidRPr="00D873D4" w:rsidRDefault="00443399" w:rsidP="00443399">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Lai noteiktu, vai pircējam–aizdevējam ir būtisks ekonomisks stimuls īstenot savas tiesības, ir jāizvērtē vairāki faktori, tostarp, kāda ir atpirkšanas cenas un aktīva gaidāmās tirgus vērtības atpirkšanas brīdī attiecība un pēc cik ilga laika šīs tiesības beidzas (piemēram, ja sagaidāms, ka atpirkšanas cena pārsniegs aktīva tirgus vērtību, tas var liecināt, ka pircējam ir būtisks ekonomisks stimuls īstenot pārdošanas iespēju līgumu). Šo izvērtējumu veic līguma slēgšanas brīdī.</w:t>
      </w:r>
    </w:p>
  </w:footnote>
  <w:footnote w:id="198">
    <w:p w14:paraId="5CEA1587" w14:textId="77777777" w:rsidR="00443399" w:rsidRPr="00FE5B78" w:rsidRDefault="00443399" w:rsidP="00443399">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Tas varētu būt arī gadījumos, kad valdība nomas līgumos darbojas kā iznomātājs. Noteikumi ir piemērojami simetriski.</w:t>
      </w:r>
    </w:p>
  </w:footnote>
  <w:footnote w:id="199">
    <w:p w14:paraId="1B48BFB4" w14:textId="77777777" w:rsidR="00443399" w:rsidRPr="00FE5B78" w:rsidRDefault="00443399" w:rsidP="00443399">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Piemēram, valdība veic vienreizēju maksājumu, lai saņemtu tiesības izmantot ēku 20 gadus, un pēc tam saņemtu ēku savā rīcībā, minēto 20 gadu posmā uzņemoties visus labumus, izmaksas, riskus un priekšrocības, kas saistītas ar īpašumtiesībām uz šo ēku; to ieraksta kā ēkas pirkumu (P.51) par tirgus cenu. Skat. arī 6.2. nodaļu “Pārdošana ar saņemšanu atpakaļ nomā”, 6.3. nodaļu “Līgumi ar valdības sektoram nepiederošām vienībām saistībā ar pamatlīdzekļiem” un 6.4. nodaļu “Publiskā un privātā partnerība (PPP)”.</w:t>
      </w:r>
    </w:p>
  </w:footnote>
  <w:footnote w:id="200">
    <w:p w14:paraId="50EF16D6" w14:textId="77777777" w:rsidR="00443399" w:rsidRPr="00FE5B78" w:rsidRDefault="00443399" w:rsidP="00443399">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Tā ietver apsaimniekošanu, tehnisko apkopi, maksas iekasēšanu u. c. pasākumus. Dažus no šiem pienākumiem var nodod apakšuzņēmējiem, koncesionāram uzņemoties galīgo atbildību un kontroli.</w:t>
      </w:r>
    </w:p>
  </w:footnote>
  <w:footnote w:id="201">
    <w:p w14:paraId="7F4BDD4A" w14:textId="77777777" w:rsidR="00443399" w:rsidRPr="00FE5B78" w:rsidRDefault="00443399" w:rsidP="00443399">
      <w:pPr>
        <w:jc w:val="both"/>
        <w:rPr>
          <w:rFonts w:ascii="Times New Roman" w:eastAsia="Arial" w:hAnsi="Times New Roman" w:cs="Arial"/>
          <w:noProof/>
          <w:sz w:val="24"/>
          <w:szCs w:val="14"/>
        </w:rPr>
      </w:pPr>
      <w:r>
        <w:rPr>
          <w:rStyle w:val="FootnoteReference"/>
          <w:rFonts w:ascii="Times New Roman" w:hAnsi="Times New Roman" w:cs="Times New Roman"/>
          <w:sz w:val="20"/>
          <w:szCs w:val="20"/>
        </w:rPr>
        <w:footnoteRef/>
      </w:r>
      <w:r>
        <w:rPr>
          <w:rFonts w:ascii="Times New Roman" w:hAnsi="Times New Roman"/>
          <w:sz w:val="20"/>
          <w:szCs w:val="20"/>
        </w:rPr>
        <w:t xml:space="preserve"> Attiecībā uz koncesiju nav saskaņotas definīcijas terminam “ilgtermiņa”, taču praksē koncesijas līgumi parasti tiek slēgti vismaz uz 20 gadiem un bieži vien arī uz 30–35 gadiem.</w:t>
      </w:r>
    </w:p>
  </w:footnote>
  <w:footnote w:id="202">
    <w:p w14:paraId="1C756003" w14:textId="77777777" w:rsidR="00443399" w:rsidRPr="00FE5B78" w:rsidRDefault="00443399" w:rsidP="00443399">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Ja valdība kontrolē subjektu, kuram vienīgā vai galvenā noteicošā darbība ir saistīta ar vienu koncesijas līgumu ar valdību, šādu subjektu klasificē valdības sektorā.</w:t>
      </w:r>
    </w:p>
  </w:footnote>
  <w:footnote w:id="203">
    <w:p w14:paraId="5DF11DF1" w14:textId="77777777" w:rsidR="00443399" w:rsidRPr="00FE5B78" w:rsidRDefault="00443399" w:rsidP="00443399">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Tas nozīmē, ka valdība precīzi definē aktīvu, un līguma beigās tas parasti tiek nodots valdībai.</w:t>
      </w:r>
    </w:p>
  </w:footnote>
  <w:footnote w:id="204">
    <w:p w14:paraId="06169200" w14:textId="77777777" w:rsidR="00443399" w:rsidRPr="00FE5B78" w:rsidRDefault="00443399" w:rsidP="00443399">
      <w:pPr>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szCs w:val="20"/>
        </w:rPr>
        <w:t xml:space="preserve"> Tieša garantija nozīmē to, ka parāda saistību turētājiem ir iespēja tieši vērsties pie garantijas izsniedzēja (bez nosacījumiem un parasti pēc pirmā pieprasījuma). Šāda situācija ievērojami atšķiras no netiešās garantijas, piemēram, kad pastāv augsta varbūtība (vai arī par to nav nekādu šaubu), ka valdība sniegs atbalstu sabiedrībai, kura nespēj izpildīt savas saistības, tādēļ, ka šāds atbalsts ir ļoti būtisks no infrastruktūras uzturēšanas viedokļa. Šādā gadījumā aizsardzības apmērs kreditoriem varētu būt neskaidrs.</w:t>
      </w:r>
    </w:p>
  </w:footnote>
  <w:footnote w:id="205">
    <w:p w14:paraId="2AEBCF9C" w14:textId="77777777" w:rsidR="00443399" w:rsidRPr="00FE5B78" w:rsidRDefault="00443399" w:rsidP="00443399">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Koncesijas līguma beigās aktīvi var arī nebūt nodoti valdībai bez maksas un no valdības var būt pieprasīts maksājums par šiem aktīviem. Šādā gadījumā 50 % kritērija aprēķinā jāņem vērā arī paredzētā maksājuma vērtība. Turklāt jāpārbauda, vai tad, kad tiek veikts maksājums, tas atbilst aktīvu tirgus vērtībai, kad tos ieraksta valdības bilancē.</w:t>
      </w:r>
    </w:p>
  </w:footnote>
  <w:footnote w:id="206">
    <w:p w14:paraId="338863B2" w14:textId="77777777" w:rsidR="00443399" w:rsidRPr="00FE5B78" w:rsidRDefault="00443399" w:rsidP="00443399">
      <w:pPr>
        <w:pStyle w:val="FootnoteText"/>
        <w:jc w:val="both"/>
      </w:pPr>
      <w:r>
        <w:rPr>
          <w:rStyle w:val="FootnoteReference"/>
          <w:rFonts w:ascii="Times New Roman" w:hAnsi="Times New Roman" w:cs="Times New Roman"/>
        </w:rPr>
        <w:footnoteRef/>
      </w:r>
      <w:r>
        <w:rPr>
          <w:rFonts w:ascii="Times New Roman" w:hAnsi="Times New Roman"/>
        </w:rPr>
        <w:t xml:space="preserve"> Tas var nozīmēt, ka līguma darbības termiņa sākumā tiek uzskatīts, ka aktīvi ir valdības aktīvi.</w:t>
      </w:r>
    </w:p>
  </w:footnote>
  <w:footnote w:id="207">
    <w:p w14:paraId="12657D35" w14:textId="77777777" w:rsidR="00443399" w:rsidRPr="00FE5B78" w:rsidRDefault="00443399" w:rsidP="00443399">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Tas atbilst EKS 2010 2.12. punktam, kas attiecas uz “lēmumu pieņemšanas autonomiju savu pamatfunkciju īstenošanā”. Attiecībā uz koncesionāru tas nozīmē būt aktīvam saistībā ar koncesijām.</w:t>
      </w:r>
    </w:p>
  </w:footnote>
  <w:footnote w:id="208">
    <w:p w14:paraId="5A81100D" w14:textId="77777777" w:rsidR="00443399" w:rsidRPr="00FE5B78" w:rsidRDefault="00443399" w:rsidP="00443399">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Tiek pieņemts, ka, tā kā vienības stratēģiju nosaka valdības vienības (kas ir galvenais aspekts attiecībā uz kontroles jēdzienu nacionālajos kontos), darbības paplašināšanai/dažādošanai būtu nepieciešams kontrolējošās(-o) vienības(-u) lēmums.</w:t>
      </w:r>
    </w:p>
  </w:footnote>
  <w:footnote w:id="209">
    <w:p w14:paraId="2451AC99" w14:textId="77777777" w:rsidR="00443399" w:rsidRPr="00FE5B78" w:rsidRDefault="00443399" w:rsidP="00443399">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Bieži vien koncesionāram līgumā tiek noteiktas saistības </w:t>
      </w:r>
      <w:r>
        <w:rPr>
          <w:rFonts w:ascii="Times New Roman" w:hAnsi="Times New Roman"/>
          <w:i/>
          <w:iCs/>
        </w:rPr>
        <w:t>ex ante</w:t>
      </w:r>
      <w:r>
        <w:rPr>
          <w:rFonts w:ascii="Times New Roman" w:hAnsi="Times New Roman"/>
        </w:rPr>
        <w:t xml:space="preserve"> noteiktā laikposmā pakāpeniski veidot rezerves liela apjoma remontdarbiem, kas jāveic līguma darbības laikā. Turklāt koncesijas līgumos bieži vien tiek paredzēts, ka valdība līguma darbības laikā, kuru varētu pagarināt, var lemt par koncesijas aktīvu jaudas paplašināšanu/modernizāciju.</w:t>
      </w:r>
    </w:p>
  </w:footnote>
  <w:footnote w:id="210">
    <w:p w14:paraId="6C57364E" w14:textId="77777777" w:rsidR="00443399" w:rsidRPr="00FE5B78" w:rsidRDefault="00443399" w:rsidP="00443399">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Saistībā ar “cenu noteikšanu”, t. i., nodevām/maksām, ko iekasē no gala lietotājiem, daudzos koncesijas līgumos tas tiek noteikts samērā ierobežojošā veidā (jo īpaši, izmantojot indeksācijas mehānismu).</w:t>
      </w:r>
    </w:p>
  </w:footnote>
  <w:footnote w:id="211">
    <w:p w14:paraId="68CB4E89" w14:textId="77777777" w:rsidR="00443399" w:rsidRPr="00FE5B78" w:rsidRDefault="00443399" w:rsidP="00443399">
      <w:pPr>
        <w:pStyle w:val="FootnoteText"/>
        <w:jc w:val="both"/>
      </w:pPr>
      <w:r>
        <w:rPr>
          <w:rStyle w:val="FootnoteReference"/>
          <w:rFonts w:ascii="Times New Roman" w:hAnsi="Times New Roman" w:cs="Times New Roman"/>
        </w:rPr>
        <w:footnoteRef/>
      </w:r>
      <w:r>
        <w:rPr>
          <w:rFonts w:ascii="Times New Roman" w:hAnsi="Times New Roman"/>
        </w:rPr>
        <w:t xml:space="preserve"> Varētu izvērtēt arī īpašu gadījumu, kurā koncesijas līgums(-i) ar valdības vienību(-ām) ir neliela daļa no darbībām, ko veic vienība, kas iesaistīta tirgus darbībās (pārdošana par ekonomiski nozīmīgām cenām, kas sedz vismaz 50 % no šīs darbības ražošanas izmaksām). Ja attiecībā uz visiem koncesijas līgumiem vai uz kādiem no tiem tiek konstatēts, ka nav lēmumu pieņemšanas autonomijas, koncesijas aktīvi ir pārklasificējami līgumslēdzējas vai kontrolējošās valdības vienības bilancē, kā pretvērtību ierakstot nosacīto parādu.</w:t>
      </w:r>
    </w:p>
  </w:footnote>
  <w:footnote w:id="212">
    <w:p w14:paraId="5A90D5E1" w14:textId="77777777" w:rsidR="00443399" w:rsidRPr="00F83BEB" w:rsidRDefault="00443399" w:rsidP="00443399">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Piemēram, maksājumi par sporta telpu izmantošanu izglītības iestādēs personām, kas nemācās šajā iestādē.</w:t>
      </w:r>
    </w:p>
  </w:footnote>
  <w:footnote w:id="213">
    <w:p w14:paraId="0169F91A" w14:textId="77777777" w:rsidR="00443399" w:rsidRPr="00F83BEB" w:rsidRDefault="00443399" w:rsidP="00443399">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Skatīt jo īpaši 15.1. tabulu “Trīs dažādu nomas veidu ierakstīšana”.</w:t>
      </w:r>
    </w:p>
  </w:footnote>
  <w:footnote w:id="214">
    <w:p w14:paraId="5985FE2F" w14:textId="77777777" w:rsidR="00443399" w:rsidRPr="00F83BEB" w:rsidRDefault="00443399" w:rsidP="00786F96">
      <w:pPr>
        <w:pStyle w:val="FootnoteText"/>
        <w:jc w:val="both"/>
      </w:pPr>
      <w:r>
        <w:rPr>
          <w:rStyle w:val="FootnoteReference"/>
          <w:rFonts w:ascii="Times New Roman" w:hAnsi="Times New Roman" w:cs="Times New Roman"/>
        </w:rPr>
        <w:footnoteRef/>
      </w:r>
      <w:r>
        <w:rPr>
          <w:rFonts w:ascii="Times New Roman" w:hAnsi="Times New Roman"/>
        </w:rPr>
        <w:t xml:space="preserve"> Jāuzsver, ja tiktu piemēroti </w:t>
      </w:r>
      <w:r>
        <w:rPr>
          <w:rFonts w:ascii="Times New Roman" w:hAnsi="Times New Roman"/>
          <w:i/>
          <w:iCs/>
        </w:rPr>
        <w:t>IPSAS</w:t>
      </w:r>
      <w:r>
        <w:rPr>
          <w:rFonts w:ascii="Times New Roman" w:hAnsi="Times New Roman"/>
        </w:rPr>
        <w:t xml:space="preserve"> noteikumi, gandrīz visas dalībvalstīs esošās PPP nonāktu valdības bilancē, jo galvenie kritēriji, kas jāņem vērā to klasifikācijai, būtu aktīvu kontrole un aktīvu sadale līguma darbības termiņa beigās. Tomēr EKS 2010 tiek uzsvērta ekonomisko īpašumtiesību, nevis juridisko īpašumtiesību koncepcija. Tādēļ EKS 2010 ir noteikts, ka, lai aktīvi tiktu klasificēti partnera bilancē, partnerim ir jāuzņemas riski un atlīdzības saistībā ar aktīva lietošanu, kā tas paskaidrots EKS 2010 1.90. punktā. Acīmredzami, ja visus ar aktīva izmantošanu saistītos riskus un atlīdzības uzņemtos partneris, nerastos problēmas saistībā ar PPP klasifikāciju. Tomēr vairumā līgumu ir redzams, ka valdība ar dažādu mehānismu starpniecību (atlīdzību griesti partnerim, daļējas īpašumtiesības partnerim, ienākums valdībai, kas izriet no aktīvu izmantošanas, parāda refinansēšanas noteikumi utt.) bieži vien daļu no atlīdzībām, ko sniedz aktīvu izmantošana, paņem atpakaļ. Tas pats attiecas uz riskiem, proti, valdība piekrīt paņemt no partnera daļu no riskiem saistībā ar valdībai sniegto projektu. Tādējādi rodas jautājumi par PPP klasifikāciju, kā arī nākas neievērot vienu no EKS 2010 pamatprincipiem (proti, ka riski un atlīdzības ir jāuzņemas aktīvu ekonomiskajam īpašniekam), turklāt būtiski palielinās varbūtība, ka PPP tiks klasificēts valdības bilancē.</w:t>
      </w:r>
    </w:p>
  </w:footnote>
  <w:footnote w:id="215">
    <w:p w14:paraId="04754392" w14:textId="77777777" w:rsidR="00443399" w:rsidRPr="00F83BEB" w:rsidRDefault="00443399" w:rsidP="00786F96">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Acīmredzami, būvniecības riskus nevar uzņemties, ja aktīvs netiek faktiski būvēts vai atjaunots.</w:t>
      </w:r>
    </w:p>
  </w:footnote>
  <w:footnote w:id="216">
    <w:p w14:paraId="21ADE599" w14:textId="77777777" w:rsidR="00443399" w:rsidRPr="00F83BEB" w:rsidRDefault="00443399" w:rsidP="00786F96">
      <w:pPr>
        <w:pStyle w:val="FootnoteText"/>
        <w:jc w:val="both"/>
      </w:pPr>
      <w:r>
        <w:rPr>
          <w:rStyle w:val="FootnoteReference"/>
          <w:rFonts w:ascii="Times New Roman" w:hAnsi="Times New Roman" w:cs="Times New Roman"/>
        </w:rPr>
        <w:footnoteRef/>
      </w:r>
      <w:r>
        <w:rPr>
          <w:rFonts w:ascii="Times New Roman" w:hAnsi="Times New Roman"/>
        </w:rPr>
        <w:t xml:space="preserve"> Ir jābūt solidāri izpildītiem visiem šajā nodaļā noteiktajiem kritērijiem.</w:t>
      </w:r>
    </w:p>
  </w:footnote>
  <w:footnote w:id="217">
    <w:p w14:paraId="274DE2D8" w14:textId="77777777" w:rsidR="00443399" w:rsidRPr="00F83BEB" w:rsidRDefault="00443399" w:rsidP="00443399">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Turpmāk sniegtie norādījumi attiecībā uz traktējumu nacionālajos kontos ir sniegti, pamatojoties uz risku un atlīdzību pieeju, kas var būt par iemeslu atšķirīgai aktīvu klasifikācijai citās uzskaites sistēmās (piemēram, </w:t>
      </w:r>
      <w:r>
        <w:rPr>
          <w:rFonts w:ascii="Times New Roman" w:hAnsi="Times New Roman"/>
          <w:i/>
          <w:iCs/>
        </w:rPr>
        <w:t>IFRS</w:t>
      </w:r>
      <w:r>
        <w:rPr>
          <w:rFonts w:ascii="Times New Roman" w:hAnsi="Times New Roman"/>
        </w:rPr>
        <w:t xml:space="preserve"> vai </w:t>
      </w:r>
      <w:r>
        <w:rPr>
          <w:rFonts w:ascii="Times New Roman" w:hAnsi="Times New Roman"/>
          <w:i/>
          <w:iCs/>
        </w:rPr>
        <w:t>IPSAS</w:t>
      </w:r>
      <w:r>
        <w:rPr>
          <w:rFonts w:ascii="Times New Roman" w:hAnsi="Times New Roman"/>
        </w:rPr>
        <w:t>).</w:t>
      </w:r>
    </w:p>
  </w:footnote>
  <w:footnote w:id="218">
    <w:p w14:paraId="72043E26" w14:textId="77777777" w:rsidR="00443399" w:rsidRPr="00F83BEB" w:rsidRDefault="00443399" w:rsidP="00443399">
      <w:pPr>
        <w:jc w:val="both"/>
        <w:rPr>
          <w:rFonts w:ascii="Times New Roman" w:eastAsia="Arial" w:hAnsi="Times New Roman" w:cs="Arial"/>
          <w:noProof/>
          <w:sz w:val="24"/>
          <w:szCs w:val="14"/>
        </w:rPr>
      </w:pPr>
      <w:r>
        <w:rPr>
          <w:rStyle w:val="FootnoteReference"/>
          <w:rFonts w:ascii="Times New Roman" w:hAnsi="Times New Roman" w:cs="Times New Roman"/>
          <w:sz w:val="20"/>
          <w:szCs w:val="20"/>
        </w:rPr>
        <w:footnoteRef/>
      </w:r>
      <w:r>
        <w:rPr>
          <w:rFonts w:ascii="Times New Roman" w:hAnsi="Times New Roman"/>
          <w:sz w:val="20"/>
          <w:szCs w:val="20"/>
        </w:rPr>
        <w:t xml:space="preserve"> Piemēram, uzkopšana kā daļa no apkopes pasākumiem vai ēdināšana kā daļa no ēkas apsaimniekošanas.</w:t>
      </w:r>
    </w:p>
  </w:footnote>
  <w:footnote w:id="219">
    <w:p w14:paraId="27D13529" w14:textId="77777777" w:rsidR="00443399" w:rsidRPr="00240D5C" w:rsidRDefault="00443399" w:rsidP="00443399">
      <w:pPr>
        <w:pStyle w:val="FootnoteText"/>
        <w:jc w:val="both"/>
        <w:rPr>
          <w:rFonts w:ascii="Times New Roman" w:hAnsi="Times New Roman" w:cs="Times New Roman"/>
        </w:rPr>
      </w:pPr>
      <w:r>
        <w:rPr>
          <w:rStyle w:val="FootnoteReference"/>
          <w:rFonts w:ascii="Times New Roman" w:hAnsi="Times New Roman" w:cs="Times New Roman"/>
        </w:rPr>
        <w:footnoteRef/>
      </w:r>
      <w:r>
        <w:t xml:space="preserve"> </w:t>
      </w:r>
      <w:r>
        <w:rPr>
          <w:rFonts w:ascii="Times New Roman" w:hAnsi="Times New Roman"/>
        </w:rPr>
        <w:t xml:space="preserve">Šo secinājumu pastiprina arī tas, ka EKS 2010 20.282. punktā ir skaidri norādīts, ka </w:t>
      </w:r>
      <w:r>
        <w:rPr>
          <w:rFonts w:ascii="Times New Roman" w:hAnsi="Times New Roman"/>
          <w:i/>
          <w:iCs/>
        </w:rPr>
        <w:t>.. aktīvu darbmūžs parasti ir daudz ilgāks nekā līguma darbības laiks, tāpēc valdība var kontrolēt aktīvus, uzņemties risku un saņemt atlīdzību gandrīz visā aktīvu darbmūža laikā</w:t>
      </w:r>
      <w:r>
        <w:rPr>
          <w:rFonts w:ascii="Times New Roman" w:hAnsi="Times New Roman"/>
        </w:rPr>
        <w:t>.</w:t>
      </w:r>
    </w:p>
  </w:footnote>
  <w:footnote w:id="220">
    <w:p w14:paraId="1FF13B64" w14:textId="77777777" w:rsidR="00443399" w:rsidRPr="00240D5C" w:rsidRDefault="00443399" w:rsidP="00443399">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Ir skaidrs, ka aktīvs vienmēr ir jāpiešķir subjektam. Ja tas vairs ekonomiski nepieder vecajam partnerim (brīdī, kad vairs netiek nodrošināta uzturēšana un netiek saņemti pieejamības vai pieprasījuma maksājumi), tam ir jāpieder valdībai, vismaz tik ilgi, kamēr notiek jaunā konkursa procedūra.</w:t>
      </w:r>
    </w:p>
  </w:footnote>
  <w:footnote w:id="221">
    <w:p w14:paraId="04802879" w14:textId="77777777" w:rsidR="00443399" w:rsidRPr="00240D5C" w:rsidRDefault="00443399" w:rsidP="00443399">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Jaunajam partnerim būtu jāmaksā par aktīvu iegādi to atlikušajā vērtībā.</w:t>
      </w:r>
    </w:p>
  </w:footnote>
  <w:footnote w:id="222">
    <w:p w14:paraId="439D65D3" w14:textId="77777777" w:rsidR="00443399" w:rsidRPr="00240D5C" w:rsidRDefault="00443399" w:rsidP="00443399">
      <w:pPr>
        <w:pStyle w:val="FootnoteText"/>
        <w:jc w:val="both"/>
      </w:pPr>
      <w:r>
        <w:rPr>
          <w:rStyle w:val="FootnoteReference"/>
          <w:rFonts w:ascii="Times New Roman" w:hAnsi="Times New Roman" w:cs="Times New Roman"/>
        </w:rPr>
        <w:footnoteRef/>
      </w:r>
      <w:r>
        <w:rPr>
          <w:rFonts w:ascii="Times New Roman" w:hAnsi="Times New Roman"/>
        </w:rPr>
        <w:t xml:space="preserve"> Var gadīties, ka trešās puses veic maksājumus par to, ka daļēji izmanto kādus aktīvus (piemēram, skolas sporta telpas pēc mācību stundām ir atvērtas plašākai sabiedrībai, koncerti stadionos utt.), vai šie maksājumi nav saistīti ar aktīva pamata izmantojumu (piemēram, kafejnīca slimnīcā). Var gadīties, ka šādus trešo pušu maksājumus sadala valdība un partneris. Šādā gadījumā, ja tie ir tīri atlikuma maksājumi, tie neietekmē PPP analīzi, taču ja tie nav nebūtiski, šīs atlīdzības ir jāiekļauj analīzē, ciktāl attiecas uz atlīdzību sadalījumu.</w:t>
      </w:r>
    </w:p>
  </w:footnote>
  <w:footnote w:id="223">
    <w:p w14:paraId="08582E84" w14:textId="77777777" w:rsidR="00443399" w:rsidRPr="00240D5C" w:rsidRDefault="00443399" w:rsidP="00443399">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Vai arī finansē ievērojamu daļu no kapitāla izdevumiem, taču tie kopumā nepārsniedz 50 %.</w:t>
      </w:r>
    </w:p>
  </w:footnote>
  <w:footnote w:id="224">
    <w:p w14:paraId="39FD2FC8" w14:textId="77777777" w:rsidR="00443399" w:rsidRPr="00240D5C" w:rsidRDefault="00443399" w:rsidP="00443399">
      <w:pPr>
        <w:pStyle w:val="FootnoteText"/>
        <w:jc w:val="both"/>
      </w:pPr>
      <w:r>
        <w:rPr>
          <w:rStyle w:val="FootnoteReference"/>
          <w:rFonts w:ascii="Times New Roman" w:hAnsi="Times New Roman" w:cs="Times New Roman"/>
        </w:rPr>
        <w:footnoteRef/>
      </w:r>
      <w:r>
        <w:rPr>
          <w:rFonts w:ascii="Times New Roman" w:hAnsi="Times New Roman"/>
        </w:rPr>
        <w:t xml:space="preserve"> Jautājumi par PPP ir traktēti EKS 2010 20.276.–20.290. punktā.</w:t>
      </w:r>
    </w:p>
  </w:footnote>
  <w:footnote w:id="225">
    <w:p w14:paraId="411EDD7A" w14:textId="77777777" w:rsidR="00443399" w:rsidRPr="00240D5C" w:rsidRDefault="00443399" w:rsidP="00443399">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Nebūtu nozīmes tam, vai akcijas pieder līgumslēdzējai valdības vienībai vai citai valdības vienībai, kura varētu pat ietilpt citā valdības apakšsektorā.</w:t>
      </w:r>
    </w:p>
  </w:footnote>
  <w:footnote w:id="226">
    <w:p w14:paraId="582378A5" w14:textId="77777777" w:rsidR="00443399" w:rsidRPr="00240D5C" w:rsidRDefault="00443399" w:rsidP="00443399">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Piemēram, ja “mazāk svarīgais komponents” paredz noteiktu mehānismu, kas jebkurā gadījumā varētu garantēt partnerim minimālos ieņēmumus vai peļņu pat tad, ja attiecībā uz “galveno komponentu” tiek piemēroti sodi, tas jāņem vērā līguma vispārējā novērtējumā.</w:t>
      </w:r>
    </w:p>
  </w:footnote>
  <w:footnote w:id="227">
    <w:p w14:paraId="63D83E49" w14:textId="77777777" w:rsidR="00443399" w:rsidRPr="00EC61B3" w:rsidRDefault="00443399" w:rsidP="00443399">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Šis varētu būt kādu noteiktu “līdzdalībnieku” risku gadījums, attiecībā uz kuriem neapmierinošie darbības rezultāti nevar būt par iemeslu aktīvu pārklasifikācijai.</w:t>
      </w:r>
    </w:p>
  </w:footnote>
  <w:footnote w:id="228">
    <w:p w14:paraId="79DA6962" w14:textId="77777777" w:rsidR="00443399" w:rsidRPr="00EC61B3" w:rsidRDefault="00443399" w:rsidP="00443399">
      <w:pPr>
        <w:pStyle w:val="FootnoteText"/>
        <w:jc w:val="both"/>
      </w:pPr>
      <w:r>
        <w:rPr>
          <w:rStyle w:val="FootnoteReference"/>
          <w:rFonts w:ascii="Times New Roman" w:hAnsi="Times New Roman" w:cs="Times New Roman"/>
        </w:rPr>
        <w:footnoteRef/>
      </w:r>
      <w:r>
        <w:rPr>
          <w:rFonts w:ascii="Times New Roman" w:hAnsi="Times New Roman"/>
        </w:rPr>
        <w:t xml:space="preserve"> Kā norādīts EKS 2010 20.285. punktā, ja ļoti sarežģītu vienošanos gadījumā (aktīvu veids, līgumsaistību izstrāde) analīze, kas veikta atbilstīgi iepriekš un turpmāk minētajiem kritērijiem, nesniegs nešaubīgus secinājumus, kā papildu kritēriju varētu apsvērt valdības iesaistīšanās pakāpi aktīvu un sniedzamo pakalpojumu noteikšanā.</w:t>
      </w:r>
    </w:p>
  </w:footnote>
  <w:footnote w:id="229">
    <w:p w14:paraId="4B09BFE6" w14:textId="77777777" w:rsidR="00443399" w:rsidRPr="00194428" w:rsidRDefault="00443399" w:rsidP="00443399">
      <w:pPr>
        <w:pStyle w:val="FootnoteText"/>
        <w:jc w:val="both"/>
        <w:rPr>
          <w:rFonts w:ascii="Times New Roman" w:hAnsi="Times New Roman" w:cs="Times New Roman"/>
        </w:rPr>
      </w:pPr>
      <w:r w:rsidRPr="00194428">
        <w:rPr>
          <w:rStyle w:val="FootnoteReference"/>
          <w:rFonts w:ascii="Times New Roman" w:hAnsi="Times New Roman" w:cs="Times New Roman"/>
        </w:rPr>
        <w:footnoteRef/>
      </w:r>
      <w:r w:rsidRPr="00194428">
        <w:rPr>
          <w:rFonts w:ascii="Times New Roman" w:hAnsi="Times New Roman" w:cs="Times New Roman"/>
        </w:rPr>
        <w:t xml:space="preserve"> Šajā saistībā var gadīties, ka laikā, kad valdība un partneris paraksta līgumu, par finansēšanas noteikumiem vēl nav panākta vienošanās. Šādā gadījumā PPP atbilstību konkrētajiem noteikumiem, kas attiecas uz šajā nodaļā minētajiem finansēšanas un garantiju nosacījumiem, varēs novērtēt tikai tad, kad tiks panākta vienošanās par finansēšanas noteikumiem un tie tiks atbilstīgi pārbaudīti.</w:t>
      </w:r>
    </w:p>
  </w:footnote>
  <w:footnote w:id="230">
    <w:p w14:paraId="5013B897" w14:textId="77777777" w:rsidR="00443399" w:rsidRPr="00EC61B3" w:rsidRDefault="00443399" w:rsidP="00443399">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Ja būtu vienošanās, ka ES fondi tiek piešķirti valdībai tiešā veidā, lai segtu daļu no nākotnes maksājumiem, kas valdībai būs jāveic saistībā ar PPP līgumu, tad, kad šie līdzekļi tiek pārskaitīti no ES, tie ir ierakstāmi kā finansiāls avanss, neietekmējot valdības neto aizdevumu/aizņēmumu (B.9). Kad valdība izmanto šos līdzekļus regulāro vienoto maksājumu veikšanai, tie būtu ierakstāmi kā valdības ieņēmumi, neitralizējot izdevumu ietekmi uz valdības neto aizdevumu/aizņēmumu (B.9), līdz PPP līgumam iedalītie ES līdzekļi tiek pilnībā izlietoti.</w:t>
      </w:r>
    </w:p>
  </w:footnote>
  <w:footnote w:id="231">
    <w:p w14:paraId="1F9D5120" w14:textId="77777777" w:rsidR="00443399" w:rsidRPr="00EC61B3" w:rsidRDefault="00443399" w:rsidP="00443399">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Acīmredzami šādas dotācijas vienkārši samazina projekta kapitāla izmaksas un nav jāataino pieejamības vai pieprasījuma vienotajos maksājumos, ko valdība veiks partnerim.</w:t>
      </w:r>
    </w:p>
  </w:footnote>
  <w:footnote w:id="232">
    <w:p w14:paraId="713DEB0D" w14:textId="77777777" w:rsidR="00443399" w:rsidRPr="00EC61B3" w:rsidRDefault="00443399" w:rsidP="00443399">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Lai piemērotu šos nacionālo kontu noteikumus, finansējums, kas tiek saņemts no EIB aizdevumu veidā, nav jāuzskata par valdības finansējumu, bet vienkārši par jebkuru privātā sektora finansējumu (ja vien EIB negūst labumu no valdības garantijām).</w:t>
      </w:r>
    </w:p>
  </w:footnote>
  <w:footnote w:id="233">
    <w:p w14:paraId="6F6F34ED" w14:textId="77777777" w:rsidR="00443399" w:rsidRPr="00EC61B3" w:rsidRDefault="00443399" w:rsidP="00443399">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Šis līmenis ir ņemts no saistību nepildīšanas varbūtības matricas, ko izstrādājušas reitingu aģentūras.</w:t>
      </w:r>
    </w:p>
  </w:footnote>
  <w:footnote w:id="234">
    <w:p w14:paraId="184E54D2" w14:textId="77777777" w:rsidR="00443399" w:rsidRPr="00EC61B3" w:rsidRDefault="00443399" w:rsidP="00443399">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Piemēram, ja valdība tur subordinēto parādu, kas ir 30 % no kopējās summas, un citi ieguldītāji tur 70 % prioritāro parādu. Subordinētā parāda īpatsvars būtu 75, un valdības daļa kopējā finansējumā būtu 75/145 = 51,7 %. Subordinēto parādu varētu turēt arī citi ieguldītāji, piemēram, valdības subordinētais parāds – 20 %, cits subordinētais parāds – 10 %, prioritārais parāds – 7 %; valdības daļa kopējā finansējumā šajā gadījumā būtu 50/145=34,5 %.</w:t>
      </w:r>
    </w:p>
  </w:footnote>
  <w:footnote w:id="235">
    <w:p w14:paraId="1018C559" w14:textId="77777777" w:rsidR="00443399" w:rsidRPr="00EC61B3" w:rsidRDefault="00443399" w:rsidP="00443399">
      <w:pPr>
        <w:pStyle w:val="FootnoteText"/>
        <w:jc w:val="both"/>
      </w:pPr>
      <w:r>
        <w:rPr>
          <w:rStyle w:val="FootnoteReference"/>
          <w:rFonts w:ascii="Times New Roman" w:hAnsi="Times New Roman" w:cs="Times New Roman"/>
        </w:rPr>
        <w:footnoteRef/>
      </w:r>
      <w:r>
        <w:rPr>
          <w:rFonts w:ascii="Times New Roman" w:hAnsi="Times New Roman"/>
        </w:rPr>
        <w:t xml:space="preserve"> Tas varētu attiekties arī uz partnera “sponsoru” risku vērtējumu (piemēram, būvniecības uzņēmumu gadījumā, kuri ir izveidojuši konkrētu PPP vienību), kuriem nāktos atbalstīt partneri grūtību gadījumā (šādam atbalstam būtu jābūt obligātam, ja viņi iesaistījušies neierobežotas atbildības veidā).</w:t>
      </w:r>
    </w:p>
  </w:footnote>
  <w:footnote w:id="236">
    <w:p w14:paraId="21579EA2" w14:textId="77777777" w:rsidR="00443399" w:rsidRPr="00EC61B3" w:rsidRDefault="00443399" w:rsidP="00443399">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Tas nozīmē to, ka parāda saistību turētāji to varētu tieši izmantot (parasti bez papildu nosacījumiem un pēc pirmā pieprasījuma), tiklīdz tiek konstatēta neizpilde vai dažos gadījumos pēc noteiktu struktūru (piemēram, Starptautiskās mijmaiņas darījumu un atvasinājumu asociācijas (</w:t>
      </w:r>
      <w:r>
        <w:rPr>
          <w:rFonts w:ascii="Times New Roman" w:hAnsi="Times New Roman"/>
          <w:i/>
          <w:iCs/>
        </w:rPr>
        <w:t>ISDA</w:t>
      </w:r>
      <w:r>
        <w:rPr>
          <w:rFonts w:ascii="Times New Roman" w:hAnsi="Times New Roman"/>
        </w:rPr>
        <w:t>)) novērtējuma.</w:t>
      </w:r>
    </w:p>
  </w:footnote>
  <w:footnote w:id="237">
    <w:p w14:paraId="396D6247" w14:textId="77777777" w:rsidR="00443399" w:rsidRPr="00EC61B3" w:rsidRDefault="00443399" w:rsidP="00443399">
      <w:pPr>
        <w:pStyle w:val="FootnoteText"/>
        <w:jc w:val="both"/>
      </w:pPr>
      <w:r>
        <w:rPr>
          <w:rStyle w:val="FootnoteReference"/>
          <w:rFonts w:ascii="Times New Roman" w:hAnsi="Times New Roman" w:cs="Times New Roman"/>
        </w:rPr>
        <w:footnoteRef/>
      </w:r>
      <w:r>
        <w:rPr>
          <w:rFonts w:ascii="Times New Roman" w:hAnsi="Times New Roman"/>
        </w:rPr>
        <w:t xml:space="preserve"> Piemēram, valdība varētu sniegt garantiju sabiedrībai, kas iesaistīta dažādās darbībās, ne tikai PPP projektā, attiecībā uz visu tās parādu. Minētais noteikums būtu pilnīgi piemērojams arī attiecībā uz šo gadījumu.</w:t>
      </w:r>
    </w:p>
  </w:footnote>
  <w:footnote w:id="238">
    <w:p w14:paraId="346004D3" w14:textId="77777777" w:rsidR="00443399" w:rsidRPr="00EC61B3" w:rsidRDefault="00443399" w:rsidP="00E53372">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Piemēram, ja atkārtota konkursa process varētu izrādīties nepārliecinošs, proti, tajā nav pretendentu vai ir tikai viens pretendents.</w:t>
      </w:r>
    </w:p>
  </w:footnote>
  <w:footnote w:id="239">
    <w:p w14:paraId="62A5F3FB" w14:textId="77777777" w:rsidR="00443399" w:rsidRPr="00EC61B3" w:rsidRDefault="00443399" w:rsidP="00E53372">
      <w:pPr>
        <w:pStyle w:val="FootnoteText"/>
        <w:jc w:val="both"/>
      </w:pPr>
      <w:r>
        <w:rPr>
          <w:rStyle w:val="FootnoteReference"/>
          <w:rFonts w:ascii="Times New Roman" w:hAnsi="Times New Roman" w:cs="Times New Roman"/>
        </w:rPr>
        <w:footnoteRef/>
      </w:r>
      <w:r>
        <w:rPr>
          <w:rFonts w:ascii="Times New Roman" w:hAnsi="Times New Roman"/>
        </w:rPr>
        <w:t xml:space="preserve"> Aktīva tirgus vērtību, ko nosaka neatkarīgi eksperti, novērtē, pamatojoties uz tā būvniecības izmaksām, kas pienācīgi amortizētas līguma darbības laikā, ņemot vērā arī iepriekšējā partnera saistību nepildīšanu attiecībā uz apkopi un remontiem, kuru dēļ nepieciešami jauni izdevumi saistībā ar bruto pamatkapitāla veidošanu.</w:t>
      </w:r>
    </w:p>
  </w:footnote>
  <w:footnote w:id="240">
    <w:p w14:paraId="138DE284" w14:textId="77777777" w:rsidR="00443399" w:rsidRPr="00EC61B3" w:rsidRDefault="00443399" w:rsidP="00443399">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Ja uzskaitījums nav pilnīgs, ir jānorāda konkrētais apstākļu veids, piemēram, dabas katastrofa, karš un sacelšanās, utt.</w:t>
      </w:r>
    </w:p>
  </w:footnote>
  <w:footnote w:id="241">
    <w:p w14:paraId="45379EDF" w14:textId="77777777" w:rsidR="00443399" w:rsidRPr="00EC61B3" w:rsidRDefault="00443399" w:rsidP="00443399">
      <w:pPr>
        <w:pStyle w:val="FootnoteText"/>
        <w:jc w:val="both"/>
      </w:pPr>
      <w:r>
        <w:rPr>
          <w:rStyle w:val="FootnoteReference"/>
          <w:rFonts w:ascii="Times New Roman" w:hAnsi="Times New Roman" w:cs="Times New Roman"/>
        </w:rPr>
        <w:footnoteRef/>
      </w:r>
      <w:r>
        <w:rPr>
          <w:rFonts w:ascii="Times New Roman" w:hAnsi="Times New Roman"/>
        </w:rPr>
        <w:t xml:space="preserve"> Piemēram, streiks var būt “ģenerālstreiks” vai arī streiks, kas konkrēti attiecas uz partnera nodarbināto personālu. Var gadīties, ka skola tiek slēgta epidemioloģisku apsvērumu dēļ, taču higiēnas apstākļi skolā ir iesaistīti piesārņojuma radīšanā.</w:t>
      </w:r>
    </w:p>
  </w:footnote>
  <w:footnote w:id="242">
    <w:p w14:paraId="01D69E58" w14:textId="77777777" w:rsidR="00443399" w:rsidRPr="00252DD7" w:rsidRDefault="00443399" w:rsidP="00443399">
      <w:pPr>
        <w:jc w:val="both"/>
        <w:rPr>
          <w:rFonts w:ascii="Times New Roman" w:eastAsia="Arial"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szCs w:val="20"/>
        </w:rPr>
        <w:t xml:space="preserve"> Piemēram, par vides un arheoloģijas riskiem.</w:t>
      </w:r>
    </w:p>
  </w:footnote>
  <w:footnote w:id="243">
    <w:p w14:paraId="21853477" w14:textId="77777777" w:rsidR="00443399" w:rsidRPr="00A44118" w:rsidRDefault="00443399" w:rsidP="00443399">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Noteikta daudzuma vienības (</w:t>
      </w:r>
      <w:r>
        <w:rPr>
          <w:rFonts w:ascii="Times New Roman" w:hAnsi="Times New Roman"/>
          <w:i/>
          <w:iCs/>
        </w:rPr>
        <w:t>AAU</w:t>
      </w:r>
      <w:r>
        <w:rPr>
          <w:rFonts w:ascii="Times New Roman" w:hAnsi="Times New Roman"/>
        </w:rPr>
        <w:t>) ir atļauja emitēt siltumnīcefekta gāzes, kas ietver oglekļa dioksīda metriskās tonnas ekvivalentus.</w:t>
      </w:r>
    </w:p>
  </w:footnote>
  <w:footnote w:id="244">
    <w:p w14:paraId="0E3A904E" w14:textId="77777777" w:rsidR="00443399" w:rsidRPr="00A44118" w:rsidRDefault="00443399" w:rsidP="00443399">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Uz nodokļu bāzes veidotas sistēmas gadījumā emitētā oglekļa daudzums netiek noteikts iepriekš, savukārt atļauju maksimālā apjoma noteikšanas sistēma atbilst ES centieniem samazināt piesārņojuma apjomu, nosakot vispārējo maksimālo apjomu kādā laika posmā.</w:t>
      </w:r>
    </w:p>
  </w:footnote>
  <w:footnote w:id="245">
    <w:p w14:paraId="77BEA6FF" w14:textId="77777777" w:rsidR="00443399" w:rsidRPr="00A44118" w:rsidRDefault="00443399" w:rsidP="00443399">
      <w:pPr>
        <w:pStyle w:val="FootnoteText"/>
        <w:jc w:val="both"/>
      </w:pPr>
      <w:r>
        <w:rPr>
          <w:rStyle w:val="FootnoteReference"/>
          <w:rFonts w:ascii="Times New Roman" w:hAnsi="Times New Roman" w:cs="Times New Roman"/>
        </w:rPr>
        <w:footnoteRef/>
      </w:r>
      <w:r>
        <w:rPr>
          <w:rFonts w:ascii="Times New Roman" w:hAnsi="Times New Roman"/>
        </w:rPr>
        <w:t xml:space="preserve"> Tomēr ir jāuzsver, ka jaunais periods (ko dēvē par “3. posmu”) 2013. gadā ir sācies ar konkrētu “mantojumu” no iepriekšējā perioda, proti, ar ievērojamu daudzumu atļauju (galvenokārt izdotas bez maksas), kuras nevarēja tikt izmantotas dažādu iemeslu dēļ, jo īpaši tādēļ, ka negaidīti samazinājās smagi piesārņojošo uzņēmumu ražošana, un kas tika pārnestas uz 3. posmu. Šā iemesla dēļ pašreizējā (2015. gada) oglekļa tonnas cena joprojām šobrīd ir zema un būtiski atpaliek no cenas līmeņa, ko vairums ekspertu uzskata par tādu, kas varētu būtiski ietekmēt ražošanas procesus.</w:t>
      </w:r>
    </w:p>
  </w:footnote>
  <w:footnote w:id="246">
    <w:p w14:paraId="68197A59" w14:textId="77777777" w:rsidR="00443399" w:rsidRPr="00A44118" w:rsidRDefault="00443399" w:rsidP="00443399">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Piemēram, valdība izsolē izdeva 100 atļaujas, kuru vērtība ir 5, kad tika nodotas 50 atļaujas. Nodoklis ir 250 un atlikušā kopuma (AF.89) vērtība ir 250. Uzskatāms, ka bezmaksas atļaujām ir nulles vērtība.</w:t>
      </w:r>
    </w:p>
  </w:footnote>
  <w:footnote w:id="247">
    <w:p w14:paraId="34778FF5" w14:textId="77777777" w:rsidR="00443399" w:rsidRPr="00A44118" w:rsidRDefault="00443399" w:rsidP="00443399">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Papildus “valstī izdotajām atļaujām” ekonomikas subjekti var tās iegādāties arī no nerezidentiem turētājiem vai iegādāties citviet ES rīkotajās izsolēs. Tās iepriekš minētajā formulā neņem vērā.</w:t>
      </w:r>
    </w:p>
  </w:footnote>
  <w:footnote w:id="248">
    <w:p w14:paraId="69DA8BDC" w14:textId="77777777" w:rsidR="00443399" w:rsidRPr="00A44118" w:rsidRDefault="00443399" w:rsidP="00230D80">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Iekļaujot izsoles, kas varētu tikt rīkotas tā gada pirmajā ceturksnī, kurā atļaujas tiek nodotas.</w:t>
      </w:r>
    </w:p>
  </w:footnote>
  <w:footnote w:id="249">
    <w:p w14:paraId="0034594F" w14:textId="77777777" w:rsidR="00443399" w:rsidRPr="00A44118" w:rsidRDefault="00443399" w:rsidP="00230D80">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Tas nozīmētu, ka daļa kādā valstī izdotu atļauju tiek nodota citā valstī (pārdota nerezidentiem vai grupas iekšienē ražošanas vienības, kas atrodas dažādās ES valstīs, ir veikušas apmaiņu).</w:t>
      </w:r>
    </w:p>
  </w:footnote>
  <w:footnote w:id="250">
    <w:p w14:paraId="7352CBC4" w14:textId="77777777" w:rsidR="00443399" w:rsidRPr="00A44118" w:rsidRDefault="00443399" w:rsidP="00230D80">
      <w:pPr>
        <w:pStyle w:val="FootnoteText"/>
        <w:jc w:val="both"/>
      </w:pPr>
      <w:r>
        <w:rPr>
          <w:rStyle w:val="FootnoteReference"/>
          <w:rFonts w:ascii="Times New Roman" w:hAnsi="Times New Roman" w:cs="Times New Roman"/>
        </w:rPr>
        <w:footnoteRef/>
      </w:r>
      <w:r>
        <w:rPr>
          <w:rFonts w:ascii="Times New Roman" w:hAnsi="Times New Roman"/>
        </w:rPr>
        <w:t xml:space="preserve"> Tomēr ir jāņem vērā atļauju skaits, kas varētu tikt izmantots nākamajā posmā pēc 2020. gada. Tā kā sistēma ir būtiski jāpārskata, šobrīd nav nekādas informācijas par šo iespēju.</w:t>
      </w:r>
    </w:p>
  </w:footnote>
  <w:footnote w:id="251">
    <w:p w14:paraId="4A601484" w14:textId="77777777" w:rsidR="00443399" w:rsidRPr="00685A0E" w:rsidRDefault="00443399" w:rsidP="00443399">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Pieejams: 2011. gada februāris, </w:t>
      </w:r>
      <w:r>
        <w:rPr>
          <w:rFonts w:ascii="Times New Roman" w:hAnsi="Times New Roman"/>
          <w:i/>
          <w:iCs/>
        </w:rPr>
        <w:t>ISWGNA</w:t>
      </w:r>
      <w:r>
        <w:rPr>
          <w:rFonts w:ascii="Times New Roman" w:hAnsi="Times New Roman"/>
        </w:rPr>
        <w:t xml:space="preserve"> skaidrojumi.</w:t>
      </w:r>
    </w:p>
  </w:footnote>
  <w:footnote w:id="252">
    <w:p w14:paraId="62FFECFC" w14:textId="77777777" w:rsidR="00443399" w:rsidRPr="00685A0E" w:rsidRDefault="00443399" w:rsidP="00443399">
      <w:pPr>
        <w:pStyle w:val="FootnoteText"/>
        <w:jc w:val="both"/>
      </w:pPr>
      <w:r>
        <w:rPr>
          <w:rStyle w:val="FootnoteReference"/>
          <w:rFonts w:ascii="Times New Roman" w:hAnsi="Times New Roman" w:cs="Times New Roman"/>
        </w:rPr>
        <w:footnoteRef/>
      </w:r>
      <w:r>
        <w:rPr>
          <w:rFonts w:ascii="Times New Roman" w:hAnsi="Times New Roman"/>
        </w:rPr>
        <w:t xml:space="preserve"> Pieejams: 2012. gada marts, atjauninājums izdevumam “</w:t>
      </w:r>
      <w:r>
        <w:rPr>
          <w:rFonts w:ascii="Times New Roman" w:hAnsi="Times New Roman"/>
          <w:i/>
          <w:iCs/>
        </w:rPr>
        <w:t>SNA News and Notes</w:t>
      </w:r>
      <w:r>
        <w:rPr>
          <w:rFonts w:ascii="Times New Roman" w:hAnsi="Times New Roman"/>
        </w:rPr>
        <w:t>”, Nr. 30/31, 2011. gada februāris).</w:t>
      </w:r>
    </w:p>
  </w:footnote>
  <w:footnote w:id="253">
    <w:p w14:paraId="0F336202" w14:textId="77777777" w:rsidR="00443399" w:rsidRPr="00685A0E" w:rsidRDefault="00443399" w:rsidP="00443399">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Pasaules līmenī pārrobežu darījumi, šķiet, ir neliela daļa no kopējām esošajām atļaujām, lai arī dažās ES dalībvalstīs to skaits varētu būt visai nozīmīgs dažādu iemeslu dēl (tostarp tāpēc, ka atļaujas iegādājas mātesuzņēmumi un pārdala savām filiālēm citās valstīs, kur tās varētu tikt nodotas).</w:t>
      </w:r>
    </w:p>
  </w:footnote>
  <w:footnote w:id="254">
    <w:p w14:paraId="41438DC4" w14:textId="77777777" w:rsidR="00443399" w:rsidRPr="00685A0E" w:rsidRDefault="00443399" w:rsidP="00443399">
      <w:pPr>
        <w:pStyle w:val="FootnoteText"/>
        <w:jc w:val="both"/>
      </w:pPr>
      <w:r>
        <w:rPr>
          <w:rStyle w:val="FootnoteReference"/>
          <w:rFonts w:ascii="Times New Roman" w:hAnsi="Times New Roman" w:cs="Times New Roman"/>
        </w:rPr>
        <w:footnoteRef/>
      </w:r>
      <w:r>
        <w:rPr>
          <w:rFonts w:ascii="Times New Roman" w:hAnsi="Times New Roman"/>
        </w:rPr>
        <w:t xml:space="preserve"> Tika apsvērta iespēja ES līmenī centralizēt visas izsoles un tad pārdalīt ieņēmumus, pamatojoties uz faktiskajām emisijām ES dalībvalstīs. 2009. gadā par to nebija panākta vienošanās.</w:t>
      </w:r>
    </w:p>
  </w:footnote>
  <w:footnote w:id="255">
    <w:p w14:paraId="57A26408" w14:textId="77777777" w:rsidR="00443399" w:rsidRPr="00F93F5E" w:rsidRDefault="00443399" w:rsidP="00443399">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EKS 2010 20.223. punktā minēti arī “parāda maksājumi citu vārdā”, kad netiek pārņemts viss parāds. Šāds gadījums jātraktē līdzīgi kā pārņemšana.</w:t>
      </w:r>
    </w:p>
  </w:footnote>
  <w:footnote w:id="256">
    <w:p w14:paraId="0BE459DB" w14:textId="77777777" w:rsidR="00443399" w:rsidRPr="00F93F5E" w:rsidRDefault="00443399" w:rsidP="00443399">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Svarīgi pārbaudīt, vai daļu no uzņēmējdarbības nav pārņēmušas trešās personas, kas šādā gadījumā gūtu labumu no parāda anulēšanas, kurš tiktu ierakstīts kā kapitāla pārvedums.</w:t>
      </w:r>
    </w:p>
  </w:footnote>
  <w:footnote w:id="257">
    <w:p w14:paraId="5257DCF5" w14:textId="77777777" w:rsidR="00443399" w:rsidRPr="00CC701A" w:rsidRDefault="00443399" w:rsidP="00443399">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Šī garantija var būt kā kredīta nodrošinājums, jo kredītvērtējuma aģentūras parasti uz aizdevumu ņemošās vienības parādu attiecina galvotāja kredītvērtējumu, ja tas ir augstāks.</w:t>
      </w:r>
    </w:p>
  </w:footnote>
  <w:footnote w:id="258">
    <w:p w14:paraId="0FC477E7" w14:textId="77777777" w:rsidR="00443399" w:rsidRPr="00CC701A" w:rsidRDefault="00443399" w:rsidP="00443399">
      <w:pPr>
        <w:pStyle w:val="FootnoteText"/>
        <w:jc w:val="both"/>
      </w:pPr>
      <w:r>
        <w:rPr>
          <w:rStyle w:val="FootnoteReference"/>
          <w:rFonts w:ascii="Times New Roman" w:hAnsi="Times New Roman" w:cs="Times New Roman"/>
        </w:rPr>
        <w:footnoteRef/>
      </w:r>
      <w:r>
        <w:rPr>
          <w:rFonts w:ascii="Times New Roman" w:hAnsi="Times New Roman"/>
        </w:rPr>
        <w:t xml:space="preserve"> Termins “eksporta kredīts” tiek lietots šaurā nozīmē, proti, tās ir garantijas attiecībā uz aizdevumiem/kredītiem ārvalstu pircējiem vai attiecībā uz aizdevumiem vietējiem piegādātājiem, izņemot apdrošināšanu jebkādā veidā (piemēram, ar tirgus izpēti saistītā apdrošināšana, politiskais risks u. c.). Citiem vārdiem sakot, garantiju izsniedz tikai attiecībā uz aizdevēju iestāžu kredītrisku. Lai arī eksporta kredīta garantijas EKS 2010 un NKS 2008 ir norādītas kā standartizēto garantiju piemērs, tomēr ES eksporta kredīta garantijas parasti tiek uzskatītas par apdrošināšanu. Šajā nodaļā minētās operācijas ir izklāstītas ESAO dokumentā “Vienošanās attiecībā uz oficiāli atbalstītiem eksporta kredītiem” (pēdējo reizi atjaunināts 2015. gada jūlijā).</w:t>
      </w:r>
    </w:p>
  </w:footnote>
  <w:footnote w:id="259">
    <w:p w14:paraId="7F3884AC" w14:textId="77777777" w:rsidR="00443399" w:rsidRPr="00CC701A" w:rsidRDefault="00443399" w:rsidP="00443399">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Dažos gadījumos viena gada laikā var būt novēroti vairāki garantijas izmaksāšanas pieprasījumi, pamatojoties uz vienu un to pašu garantijas līgumu. Saskaņā ar spēkā esošajiem noteikumiem tos visus uzskaita kā vienu pieprasījumu.</w:t>
      </w:r>
    </w:p>
  </w:footnote>
  <w:footnote w:id="260">
    <w:p w14:paraId="3646BDAF" w14:textId="77777777" w:rsidR="00443399" w:rsidRPr="00CC701A" w:rsidRDefault="00443399" w:rsidP="00443399">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Par šādiem maksājumiem uzskata visus valdības pārvedumus, izņemot produktu subsīdijas (D.31), taču iekļaujot citas produktu subsīdijas (D.319).</w:t>
      </w:r>
    </w:p>
  </w:footnote>
  <w:footnote w:id="261">
    <w:p w14:paraId="52E7BE83" w14:textId="77777777" w:rsidR="00443399" w:rsidRPr="00CC701A" w:rsidRDefault="00443399" w:rsidP="00443399">
      <w:pPr>
        <w:pStyle w:val="FootnoteText"/>
        <w:jc w:val="both"/>
      </w:pPr>
      <w:r>
        <w:rPr>
          <w:rStyle w:val="FootnoteReference"/>
          <w:rFonts w:ascii="Times New Roman" w:hAnsi="Times New Roman" w:cs="Times New Roman"/>
        </w:rPr>
        <w:footnoteRef/>
      </w:r>
      <w:r>
        <w:rPr>
          <w:rFonts w:ascii="Times New Roman" w:hAnsi="Times New Roman"/>
        </w:rPr>
        <w:t xml:space="preserve"> Praksē var būt sarežģīti novērtēt šādu netiešu pieprasījumu, ņemot vērā, ka sabiedrībai var būt vairāki ieņēmumu avoti un valdība var piešķirt vairāku veidu atbalstu. Tāpēc šo noteikumu piemēro vienīgi tad, ja šāda situācija ir novērojama ilgstoši, attiecībā uz vairākiem pasākumiem un ne tikai ārkārtas gadījumos. Rūpīgi jāizskata arī tie gadījumi, kad valdība sistemātiski piešķir finansējumu sabiedrībai ievērojamas procentu daļas atmaksāšanai, jo tie varētu liecināt par to, ka sabiedrība varētu nespēt atmaksāt sava parāda pamatsummu. Jebkurā gadījumā valstu statistiķiem sadarbībā ar </w:t>
      </w:r>
      <w:r>
        <w:rPr>
          <w:rFonts w:ascii="Times New Roman" w:hAnsi="Times New Roman"/>
          <w:i/>
          <w:iCs/>
        </w:rPr>
        <w:t>Eurostat</w:t>
      </w:r>
      <w:r>
        <w:rPr>
          <w:rFonts w:ascii="Times New Roman" w:hAnsi="Times New Roman"/>
        </w:rPr>
        <w:t xml:space="preserve"> šis jautājums būtu jāizskata atsevišķi individuālajā līmenī.</w:t>
      </w:r>
    </w:p>
  </w:footnote>
  <w:footnote w:id="262">
    <w:p w14:paraId="1F847C90" w14:textId="77777777" w:rsidR="00443399" w:rsidRPr="00CC701A" w:rsidRDefault="00443399" w:rsidP="00443399">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Jautājums par garantijām attiecībā uz grūtībās esošu finanšu iestāžu aktīviem ir apspriests 4.5. nodaļā “Finanšu sanācija”.</w:t>
      </w:r>
    </w:p>
  </w:footnote>
  <w:footnote w:id="263">
    <w:p w14:paraId="38AB530A" w14:textId="77777777" w:rsidR="00443399" w:rsidRPr="00CC701A" w:rsidRDefault="00443399" w:rsidP="00443399">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“Trešā puse” nozīmē to, ka aktīvs nav prasījums attiecībā uz vienību, kurai izsniegta garantija, bet gan attiecībā uz citu vienību, kas nepiedalās noslēgtajā garantijas līgumā. Gadījumā, ja vienībai, kurai izsniegta garantija, ir finanšu prasījums, šīs vienības debitors var nodot tai šo aktīvu (iespējams, tādēļ, ka to paredz līgumsaistības un ka debitora saistību neizpilde ir bijusi par iemeslu garantijas izmantošanas pieprasījumam) un vienība šo aktīvu var nodot tālāk valdībai. Faktiski tas būtu prasījums attiecībā uz “ceturto pusi”.</w:t>
      </w:r>
    </w:p>
  </w:footnote>
  <w:footnote w:id="264">
    <w:p w14:paraId="1F9D7F5A" w14:textId="77777777" w:rsidR="00443399" w:rsidRPr="00CC701A" w:rsidRDefault="00443399" w:rsidP="00443399">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Parasti kreditoriem ir tiešas tiesības uz šāda veida nodrošinājumu, kam ir jābūt skaidri identificētam (nošķirtam) aizņēmēja bilancē. Tomēr nevar izslēgt, ka kreditors aktivizē savas tiesības uz garantiju, ja aizņēmums ir arī nodots apakšnomā tiešai valdības garantijai.</w:t>
      </w:r>
    </w:p>
  </w:footnote>
  <w:footnote w:id="265">
    <w:p w14:paraId="782B5591" w14:textId="77777777" w:rsidR="00443399" w:rsidRPr="00CC701A" w:rsidRDefault="00443399" w:rsidP="00443399">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Ja šāda vērtība nav konstatēta, var izmantot patieso vērtību, ko neatkarīgas iestādes aprēķinājušas, pamatojoties uz parastajiem uzņēmējdarbības novērtēšanas paņēmieniem/modeļiem.</w:t>
      </w:r>
    </w:p>
  </w:footnote>
  <w:footnote w:id="266">
    <w:p w14:paraId="317E8C85" w14:textId="77777777" w:rsidR="00443399" w:rsidRPr="00CC701A" w:rsidRDefault="00443399" w:rsidP="00443399">
      <w:pPr>
        <w:pStyle w:val="FootnoteText"/>
        <w:jc w:val="both"/>
      </w:pPr>
      <w:r>
        <w:rPr>
          <w:rStyle w:val="FootnoteReference"/>
          <w:rFonts w:ascii="Times New Roman" w:hAnsi="Times New Roman" w:cs="Times New Roman"/>
        </w:rPr>
        <w:footnoteRef/>
      </w:r>
      <w:r>
        <w:rPr>
          <w:rFonts w:ascii="Times New Roman" w:hAnsi="Times New Roman"/>
        </w:rPr>
        <w:t xml:space="preserve"> Noteiktos apstākļos daļa prasījuma var palikt neatgūta un to traktē vai nu kā kapitāla pārvedumu, vai kā citas apjoma pārmaiņas.</w:t>
      </w:r>
    </w:p>
  </w:footnote>
  <w:footnote w:id="267">
    <w:p w14:paraId="5EE19312" w14:textId="77777777" w:rsidR="00443399" w:rsidRPr="00BB4BD9" w:rsidRDefault="00443399" w:rsidP="00443399">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Aktīvu garantiju gadījumā, izņemot, ja aktīvi nodoti valdībai, ja sākotnējā garantiju saņēmusī vienība var atmaksāt valdībai summas, kas tika jau pieprasītas un ko valdība bija samaksājusi vienībai, kas tur aktīvus, šos maksājumus ieraksta valdības kontos kā saņemamo kapitāla pārvedumu.</w:t>
      </w:r>
      <w:r>
        <w:t xml:space="preserve"> </w:t>
      </w:r>
    </w:p>
  </w:footnote>
  <w:footnote w:id="268">
    <w:p w14:paraId="0ED401B1" w14:textId="77777777" w:rsidR="00443399" w:rsidRPr="006804F8" w:rsidRDefault="00443399" w:rsidP="00443399">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Attiecībā uz publiskām sabiedrībām iepriekš 25. rindkopā norādīts, ka jebkurā gadījumā prasījums netiek atzīts.</w:t>
      </w:r>
    </w:p>
  </w:footnote>
  <w:footnote w:id="269">
    <w:p w14:paraId="7651A935" w14:textId="77777777" w:rsidR="00443399" w:rsidRPr="006804F8" w:rsidRDefault="00443399" w:rsidP="00443399">
      <w:pPr>
        <w:pStyle w:val="FootnoteText"/>
        <w:jc w:val="both"/>
      </w:pPr>
      <w:r>
        <w:rPr>
          <w:rStyle w:val="FootnoteReference"/>
          <w:rFonts w:ascii="Times New Roman" w:hAnsi="Times New Roman" w:cs="Times New Roman"/>
        </w:rPr>
        <w:footnoteRef/>
      </w:r>
      <w:r>
        <w:rPr>
          <w:rFonts w:ascii="Times New Roman" w:hAnsi="Times New Roman"/>
        </w:rPr>
        <w:t xml:space="preserve"> Tas būtu iespējams tikai tad, ja būtu pamatotas cerības saņemt kādas summas, ja galvotājam būtu piekļuve sabiedrības likvidācijas vērtībai.</w:t>
      </w:r>
    </w:p>
  </w:footnote>
  <w:footnote w:id="270">
    <w:p w14:paraId="35D54227" w14:textId="77777777" w:rsidR="00443399" w:rsidRPr="00A378E4" w:rsidRDefault="00443399" w:rsidP="00443399">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Skat. Direktīvu 2009/138/EK (Maksātspēja II)</w:t>
      </w:r>
      <w:r>
        <w:t>.</w:t>
      </w:r>
    </w:p>
  </w:footnote>
  <w:footnote w:id="271">
    <w:p w14:paraId="51579B39" w14:textId="77777777" w:rsidR="00443399" w:rsidRPr="00A378E4" w:rsidRDefault="00443399" w:rsidP="00443399">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Jāņem vērā, ka šajā gadījumā valdības vienību, kas iesaistīta šajā pasākumā, var uzskatīt par finanšu kvazisabiedrību (atbilstīgi nosacījumiem, kas noteikti EKS 2010 2. nodaļā “Vienības un vienību grupas” un šīs rokasgrāmatas 1. daļā “Vispārējās valdības sektora norobežošana”) un līdz ar to klasificēt ārpus valdības sektora tā, lai valdības kontos parādītos tikai plūsmas starp šo vienību un valdību.</w:t>
      </w:r>
    </w:p>
  </w:footnote>
  <w:footnote w:id="272">
    <w:p w14:paraId="28EAB75E" w14:textId="77777777" w:rsidR="00443399" w:rsidRPr="00A378E4" w:rsidRDefault="00443399" w:rsidP="00443399">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Tie ir kavētie maksājumi, ko debitors var veikt pēc tam, kad pieprasīts izmantot garantiju. Debitors joprojām var uzņemties juridisku atbildību, taču daudzos gadījumos dažādu iemeslu dēļ tā parāds pēc garantijas aktivēšanas var tikt negrozāmi uzskatīts par pilnīgi neatgūstamu.</w:t>
      </w:r>
    </w:p>
  </w:footnote>
  <w:footnote w:id="273">
    <w:p w14:paraId="4F896CEF" w14:textId="77777777" w:rsidR="00443399" w:rsidRPr="00A378E4" w:rsidRDefault="00443399" w:rsidP="00443399">
      <w:pPr>
        <w:jc w:val="both"/>
        <w:rPr>
          <w:rFonts w:ascii="Times New Roman" w:eastAsia="Arial"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szCs w:val="20"/>
        </w:rPr>
        <w:t xml:space="preserve"> Jāņem vērā, ka NKS 2008 un EKS 2010 tos dēvē par “uzkrājumiem standarta garantiju prasījumiem”, taču jāuzsver, ka tas nelīdzinās uzkrājumiem uzņēmumu grāmatvedībā, kuri tiek ierakstīti tikai tās vienības kontos, kas veido uzkrājumus, turpretī nacionālajos kontos to uzskata par finanšu instrumentu un līdz ar to ieraksta gan kā saistības (galvotāja kontos), gan attiecīgi kā aktīvu (apdrošinājuma ņēmēju kontos).</w:t>
      </w:r>
    </w:p>
  </w:footnote>
  <w:footnote w:id="274">
    <w:p w14:paraId="6624FA38" w14:textId="77777777" w:rsidR="00443399" w:rsidRPr="00A378E4" w:rsidRDefault="00443399" w:rsidP="00443399">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To var “pieregulēt” ar citām apjoma pārmaiņām, ja prognozes attiecībā uz prasījumiem (garantijas izmaksāšanas pieprasījumiem) visā risku portfelī tiek pārvērtētas, attiecīgi tās paaugstinot vai pazeminot.</w:t>
      </w:r>
    </w:p>
  </w:footnote>
  <w:footnote w:id="275">
    <w:p w14:paraId="33A017AD" w14:textId="77777777" w:rsidR="00443399" w:rsidRPr="00A378E4" w:rsidRDefault="00443399" w:rsidP="00443399">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Šī situācija ir sīkāk apspriesta NKS 2008 (skat. 17.223. punktu), nevis EKS 2010.</w:t>
      </w:r>
    </w:p>
  </w:footnote>
  <w:footnote w:id="276">
    <w:p w14:paraId="1FB91FD1" w14:textId="77777777" w:rsidR="00443399" w:rsidRPr="00A378E4" w:rsidRDefault="00443399" w:rsidP="00443399">
      <w:pPr>
        <w:pStyle w:val="FootnoteText"/>
        <w:jc w:val="both"/>
      </w:pPr>
      <w:r>
        <w:rPr>
          <w:rStyle w:val="FootnoteReference"/>
          <w:rFonts w:ascii="Times New Roman" w:hAnsi="Times New Roman" w:cs="Times New Roman"/>
        </w:rPr>
        <w:footnoteRef/>
      </w:r>
      <w:r>
        <w:rPr>
          <w:rFonts w:ascii="Times New Roman" w:hAnsi="Times New Roman"/>
        </w:rPr>
        <w:t xml:space="preserve"> Tas tiek ierakstīts kā kapitāla pārvedums, nevis kārtējais pārvedums, jo AF.66 uzkrājums tiek veidots turpmākiem saistību neizpildes gadījumiem (nevis saistību neizpildei, kas konstatēta kārtējā gadā), un to atspoguļo garantiju izmantošanas pieprasījumu paredzēšana pēc debitoru saistību neizpildes, ko saskaņā ar EKS 2010 ieraksta kā kapitāla pārvedumu (skat. EKS 2010 4.165. punkta f) apakšpunktu).</w:t>
      </w:r>
    </w:p>
  </w:footnote>
  <w:footnote w:id="277">
    <w:p w14:paraId="1C0651D8" w14:textId="77777777" w:rsidR="00443399" w:rsidRPr="00A378E4" w:rsidRDefault="00443399" w:rsidP="00443399">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Parasti tas ir atkarīgs no diviem parametriem: “saistību neizpildes varbūtība” un “zaudējumi saistību neizpildes gadījumā”. Tomēr pastāv iespēja, ka revidenti nepieprasa uzkrājumu veidošanu, ja tiek uzskatīts, ka vienībai ietekme būs samērā niecīga un ka ietekme, visticamāk, ir iespējama vien kādā nezināmā laikā tālākā nākotnē.</w:t>
      </w:r>
    </w:p>
  </w:footnote>
  <w:footnote w:id="278">
    <w:p w14:paraId="397E98CC" w14:textId="77777777" w:rsidR="00443399" w:rsidRPr="00A70778" w:rsidRDefault="00443399" w:rsidP="00443399">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Skat. 4.5. nodaļu “Finanšu sanācija”, kurā ir sniegta problemātisko aktīvu definīcija.</w:t>
      </w:r>
    </w:p>
  </w:footnote>
  <w:footnote w:id="279">
    <w:p w14:paraId="48B88EF8" w14:textId="77777777" w:rsidR="00443399" w:rsidRPr="00A70778" w:rsidRDefault="00443399" w:rsidP="00443399">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Piemēram, ja 2 gadu parāda instrumenta norādītā vērtība ir 100, bet tas emitēts ar atlaidi 4, sākumā tas tiks ierakstīts ar vērtību 96, bet pēc gada ar vērtību 98. Līdzīgi, ja 2 gadu parāds emitēts ar prēmiju 4, sākumā tā ierakstītā vērtība būs 104, bet pēc gada tā būs 102.</w:t>
      </w:r>
    </w:p>
  </w:footnote>
  <w:footnote w:id="280">
    <w:p w14:paraId="6B519728" w14:textId="758EE61A" w:rsidR="00443399" w:rsidRPr="00827CE5" w:rsidRDefault="00443399" w:rsidP="00443399">
      <w:pPr>
        <w:pStyle w:val="FootnoteText"/>
        <w:jc w:val="both"/>
        <w:rPr>
          <w:rFonts w:ascii="Times New Roman" w:hAnsi="Times New Roman" w:cs="Times New Roman"/>
        </w:rPr>
      </w:pPr>
      <w:r>
        <w:rPr>
          <w:rStyle w:val="FootnoteReference"/>
          <w:rFonts w:ascii="Times New Roman" w:hAnsi="Times New Roman" w:cs="Times New Roman"/>
        </w:rPr>
        <w:footnoteRef/>
      </w:r>
      <w:r w:rsidR="00E10F37">
        <w:rPr>
          <w:rFonts w:ascii="Times New Roman" w:hAnsi="Times New Roman"/>
        </w:rPr>
        <w:t xml:space="preserve"> </w:t>
      </w:r>
      <w:r>
        <w:rPr>
          <w:rFonts w:ascii="Times New Roman" w:hAnsi="Times New Roman"/>
        </w:rPr>
        <w:t xml:space="preserve">EKS 2010 attiecībā uz F.12 (iekļauts šajā pozīcijā) – speciālās aizņēmuma tiesības – tiek atzītas gan par aktīviem, gan saistībām. Attiecībā uz ES dalībvalstīm F.12 parasti parādās centrālo banku bilancē, taču </w:t>
      </w:r>
      <w:r>
        <w:rPr>
          <w:rFonts w:ascii="Times New Roman" w:hAnsi="Times New Roman"/>
          <w:i/>
          <w:iCs/>
        </w:rPr>
        <w:t>SDR</w:t>
      </w:r>
      <w:r>
        <w:rPr>
          <w:rFonts w:ascii="Times New Roman" w:hAnsi="Times New Roman"/>
        </w:rPr>
        <w:t xml:space="preserve"> var būt iedalītas arī valdībai.</w:t>
      </w:r>
    </w:p>
  </w:footnote>
  <w:footnote w:id="281">
    <w:p w14:paraId="3420DC48" w14:textId="77777777" w:rsidR="00443399" w:rsidRPr="00827CE5" w:rsidRDefault="00443399" w:rsidP="00443399">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Saskaņā ar </w:t>
      </w:r>
      <w:r>
        <w:rPr>
          <w:rFonts w:ascii="Times New Roman" w:hAnsi="Times New Roman"/>
          <w:i/>
          <w:iCs/>
        </w:rPr>
        <w:t>Eurostat</w:t>
      </w:r>
      <w:r>
        <w:rPr>
          <w:rFonts w:ascii="Times New Roman" w:hAnsi="Times New Roman"/>
        </w:rPr>
        <w:t xml:space="preserve"> 2012. gada 31. jūlija lēmumu visus tirdzniecības kredītus, kas piešķirti valdības vienībai un ko atkārtoti finansējušas finanšu iestādes bez regresa prasījuma (jo īpaši, veicot faktūrkreditēšanas darbības) vai kas ir pārstrukturēti (atkārtoti pārskatīti, iekļaujot kādas jaunas iezīmes), pārklasificē kā aizdevumus.</w:t>
      </w:r>
    </w:p>
  </w:footnote>
  <w:footnote w:id="282">
    <w:p w14:paraId="6BAF8EA5" w14:textId="77777777" w:rsidR="00443399" w:rsidRPr="00827CE5" w:rsidRDefault="00443399" w:rsidP="00443399">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Attiecībā uz AF.5 parasti tas varētu notikt tādēļ, ka tiek veikta ārpustirgus publisku uzņēmumu klasificēšana valdības sektorā (skat. 1. daļu “Vispārējās valdības sektora norobežošana”).</w:t>
      </w:r>
    </w:p>
  </w:footnote>
  <w:footnote w:id="283">
    <w:p w14:paraId="49003DA3" w14:textId="77777777" w:rsidR="00443399" w:rsidRPr="00827CE5" w:rsidRDefault="00443399" w:rsidP="00443399">
      <w:pPr>
        <w:pStyle w:val="FootnoteText"/>
        <w:jc w:val="both"/>
      </w:pPr>
      <w:r>
        <w:rPr>
          <w:rStyle w:val="FootnoteReference"/>
          <w:rFonts w:ascii="Times New Roman" w:hAnsi="Times New Roman" w:cs="Times New Roman"/>
        </w:rPr>
        <w:footnoteRef/>
      </w:r>
      <w:r>
        <w:rPr>
          <w:rFonts w:ascii="Times New Roman" w:hAnsi="Times New Roman"/>
        </w:rPr>
        <w:t xml:space="preserve"> Nominālvērtība ir pielīdzināma Padomes Regulā (EK) Nr. 479/2009 minētajai norādītajai vērtībai.</w:t>
      </w:r>
    </w:p>
  </w:footnote>
  <w:footnote w:id="284">
    <w:p w14:paraId="29496D0F" w14:textId="77777777" w:rsidR="00443399" w:rsidRPr="00827CE5" w:rsidRDefault="00443399" w:rsidP="00443399">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Sākotnējais termiņš.</w:t>
      </w:r>
    </w:p>
  </w:footnote>
  <w:footnote w:id="285">
    <w:p w14:paraId="00E99FEF" w14:textId="77777777" w:rsidR="00443399" w:rsidRPr="00827CE5" w:rsidRDefault="00443399" w:rsidP="00443399">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Tostarp militārās preces un pakalpojumi.</w:t>
      </w:r>
    </w:p>
  </w:footnote>
  <w:footnote w:id="286">
    <w:p w14:paraId="1DA9523E" w14:textId="77777777" w:rsidR="00443399" w:rsidRPr="00827CE5" w:rsidRDefault="00443399" w:rsidP="00443399">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Jāatzīmē, ka tas attiecas tikai uz ilgtermiņa tirdzniecības kredītiem un neattiecas uz citām ilgtermiņa kreditoru saistībām, kuras kopumā netraktē kā AF.42.</w:t>
      </w:r>
    </w:p>
  </w:footnote>
  <w:footnote w:id="287">
    <w:p w14:paraId="03C4D3C5" w14:textId="77777777" w:rsidR="00443399" w:rsidRPr="00827CE5" w:rsidRDefault="00443399" w:rsidP="00443399">
      <w:pPr>
        <w:jc w:val="both"/>
        <w:rPr>
          <w:rFonts w:ascii="Times New Roman" w:eastAsia="Arial"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szCs w:val="20"/>
        </w:rPr>
        <w:t xml:space="preserve"> Kad veido visas ekonomikas finanšu kontus, ir jāveic saskanīgi ieraksti šo ar valdību veikto darījumu partnersektorā.</w:t>
      </w:r>
    </w:p>
  </w:footnote>
  <w:footnote w:id="288">
    <w:p w14:paraId="30FCD0DF" w14:textId="77777777" w:rsidR="00443399" w:rsidRPr="00827CE5" w:rsidRDefault="00443399" w:rsidP="00443399">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Šajā direktīvā paredzēts, ka valsts iestādēm ir jāsamaksā par iegādātajām precēm un pakalpojumiem 30 kalendārajās dienās vai ļoti ārkārtējos apstākļos – 60 kalendārajās dienās. Uzņēmumiem ir jāapmaksā savi rēķini 60 dienās, bet tie var izvēlēties ilgāku maksājumu termiņu, ja tas ir skaidri saskaņots līgumā un ar nosacījumu, ka tas “nav redzami netaisn[s] attiecībā pret kreditoru”.</w:t>
      </w:r>
    </w:p>
  </w:footnote>
  <w:footnote w:id="289">
    <w:p w14:paraId="6DE5C1DB" w14:textId="77777777" w:rsidR="00443399" w:rsidRPr="00827CE5" w:rsidRDefault="00443399" w:rsidP="00443399">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Saskaņā ar EKS 2010 5.239. punktu tirdzniecības kredītus un avansus var iedalīt pēc sākotnējā termiņa īstermiņa un ilgtermiņa tirdzniecības kredītos un avansos.</w:t>
      </w:r>
    </w:p>
  </w:footnote>
  <w:footnote w:id="290">
    <w:p w14:paraId="224AD1A7" w14:textId="77777777" w:rsidR="00443399" w:rsidRPr="00827CE5" w:rsidRDefault="00443399" w:rsidP="00443399">
      <w:pPr>
        <w:pStyle w:val="FootnoteText"/>
        <w:jc w:val="both"/>
      </w:pPr>
      <w:r>
        <w:rPr>
          <w:rStyle w:val="FootnoteReference"/>
          <w:rFonts w:ascii="Times New Roman" w:hAnsi="Times New Roman" w:cs="Times New Roman"/>
        </w:rPr>
        <w:footnoteRef/>
      </w:r>
      <w:r>
        <w:rPr>
          <w:rFonts w:ascii="Times New Roman" w:hAnsi="Times New Roman"/>
        </w:rPr>
        <w:t xml:space="preserve"> Direktīvā 2011/7/ES termins “uzņēmumi” ir EKS 2010 lietotā vārda “sabiedrības” sinonīms.</w:t>
      </w:r>
    </w:p>
  </w:footnote>
  <w:footnote w:id="291">
    <w:p w14:paraId="2B59C2DE" w14:textId="77777777" w:rsidR="00443399" w:rsidRPr="00DD0558" w:rsidRDefault="00443399" w:rsidP="00443399">
      <w:pPr>
        <w:jc w:val="both"/>
        <w:rPr>
          <w:rFonts w:ascii="Times New Roman" w:eastAsia="Arial"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szCs w:val="20"/>
        </w:rPr>
        <w:t xml:space="preserve"> Tādējādi, visticamāk, daudzos gadījumos noguldījumu vai pielīdzināto instrumentu norādītā vērtība sakritīs ar EKS 2010 sniegto nominālvērtības definīciju, jo uzkrātie procenti bieži vien atbildīs kritērijiem, lai tos varētu uzskatīt par kapitalizētiem.</w:t>
      </w:r>
    </w:p>
  </w:footnote>
  <w:footnote w:id="292">
    <w:p w14:paraId="2D959844" w14:textId="77777777" w:rsidR="00443399" w:rsidRPr="00DD0558" w:rsidRDefault="00443399" w:rsidP="00443399">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Dažkārt valsts kases vekseļu iekasēšanas vērtības līkne strauji kāpj, tuvojoties dzēšanas termiņam, lai veicinātu to turēšanu līdz dzēšanas termiņam. Šādā gadījumā nošķīrums, vai procenti rada vai nerada procentus, nav piemērojams, un iekasēšanas vērtība šādiem instrumentiem ir norādītā vērtība. Saskaņā ar 2.4. nodaļas 72. rindkopu kontu veidotāji var nolemt iekasēšanas vērtības izmaiņas ierakstīt D.41, tādējādi norādītā vērtība un EKS nominālvērtība sakristu. Savukārt, ja viņi nolemj sadalīt (lineāri vai, pareizāk, eksponenciāli) gaidāmo D.41 visā obligācijas darbības laikā, norādītā vērtība būtu nedaudz zemāka nekā EKS nominālvērtība instrumenta darbības laikā.</w:t>
      </w:r>
    </w:p>
  </w:footnote>
  <w:footnote w:id="293">
    <w:p w14:paraId="5EFF2578" w14:textId="77777777" w:rsidR="00443399" w:rsidRPr="00DD0558" w:rsidRDefault="00443399" w:rsidP="00443399">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EKS 2010 4.46. punkta c) apakšpunktā norādīts, ka nenomaksātās pamatsummas vērtības pārmaiņas laikā no konkrētā uzskaites perioda sākuma līdz perioda beigām, ko rada svārstības attiecīgajā indeksā, uzskata par šajā periodā uzkrātiem procentiem – papildu procentiem, kuri jāmaksā šajā periodā. Tas ir piemērojams tikai sasaistei ar vispārējo cenu indeksu (“plašs” indekss) un nevis ar indeksu, kas attiecas uz instrumentu vai preci (“šaurs” indekss). Pēdējā minētajā gadījumā var ierakstīt turēšanas guvumus attiecībā uz daļu no maiņas (skat. šīs rokasgrāmatas 2.4. nodaļu), t. i., teorētiski indeksa izmaiņas, kas sākumā netika gaidītas. Šī atšķirība nav norādīta </w:t>
      </w:r>
      <w:r>
        <w:rPr>
          <w:rFonts w:ascii="Times New Roman" w:hAnsi="Times New Roman"/>
          <w:i/>
          <w:iCs/>
        </w:rPr>
        <w:t>EDP</w:t>
      </w:r>
      <w:r>
        <w:rPr>
          <w:rFonts w:ascii="Times New Roman" w:hAnsi="Times New Roman"/>
        </w:rPr>
        <w:t xml:space="preserve"> regulā. Savukārt EKS 2010 5.94. punktā norādīts, ka parāda vērtspapīrus, kuru pamatsumma un kupons ir saistīti ar ārvalstu valūtu, klasificē kā parāda vērtspapīrus minētajā ārvalstu valūtā. Citiem vārdiem sakot, ārvalstu valūtās izteikta instrumenta valsts valūtas vērtības izmaiņas traktē kā nominālos turēšanas guvumus. Tādējādi šaura indeksa emisija varētu skart atsauci uz preci (piemēram, zeltu) vai noteiktu finanšu instrumentu (piemēram, noteiktu akciju).</w:t>
      </w:r>
    </w:p>
  </w:footnote>
  <w:footnote w:id="294">
    <w:p w14:paraId="7D4D5258" w14:textId="77777777" w:rsidR="00443399" w:rsidRPr="00DD0558" w:rsidRDefault="00443399" w:rsidP="00443399">
      <w:pPr>
        <w:pStyle w:val="FootnoteText"/>
        <w:jc w:val="both"/>
      </w:pPr>
      <w:r>
        <w:rPr>
          <w:rStyle w:val="FootnoteReference"/>
          <w:rFonts w:ascii="Times New Roman" w:hAnsi="Times New Roman" w:cs="Times New Roman"/>
        </w:rPr>
        <w:footnoteRef/>
      </w:r>
      <w:r>
        <w:rPr>
          <w:rFonts w:ascii="Times New Roman" w:hAnsi="Times New Roman"/>
        </w:rPr>
        <w:t xml:space="preserve"> Kad valdības vienība iejaucas otrreizējā tirgū un atsevišķi pērk atdalīto kuponu vai atdalīto pamatsummu (no obligācijas, ko emitējusi valdība), lai veiktu apvienošanu, ir īpaši jānovērtē šis atdalītais kupons un pamatsumma. Vērtēšanu veic, būtībā pamatojoties uz norādīto vērtību tai sākotnējai obligācijai, kura atbilstīgi sadalīta starp atlikušajām apritē esošajiem atdalītajiem kuponiem un pamatsummām (tas ir, atdalīto kuponu un pamatsummu elementiem, kas joprojām ir jāatmaksā). Var izmantot novērotās EKS nominālvērtības proporcionālo vērtību vai arī katras attiecīgajā laikā esošās sadalītās obligācijas novēroto tirgus vērtību (skat. arī II.4.3.8. apakšiedaļu “Sadalītās obligācijas”). Nav atbilstoši, ja katra sadalītās obligācijas elementa norādītā vērtība, kas izmantojama apvienošanas vajadzībām, ir vienāda ar izpirkšanas vērtību (kā parastajām bezkupona obligācijām), jo šādā gadījumā parāda norādītā vērtība tiktu pilnībā dzēsta, vienkārši atpērkot atpakaļ atdalīto pamatsummu. Praktiski pieņemams tuvinājums varētu būt tāds, ka gadījumā, kad atpirkto atdalīto kuponu un pamatsummu summas ir ierobežotas, to apvienošanu veic, izmantojot tirgus vērtību, kas koriģēta ar koeficientu.</w:t>
      </w:r>
    </w:p>
  </w:footnote>
  <w:footnote w:id="295">
    <w:p w14:paraId="1A5CED70" w14:textId="77777777" w:rsidR="00443399" w:rsidRPr="00DD0558" w:rsidRDefault="00443399" w:rsidP="00443399">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Sīkāku informāciju par mijmaiņas darījumiem nacionālajos kontos skat. EKS 2010 5.199.–5.219. punktā.</w:t>
      </w:r>
    </w:p>
  </w:footnote>
  <w:footnote w:id="296">
    <w:p w14:paraId="7A0D91B7" w14:textId="77777777" w:rsidR="00443399" w:rsidRPr="00DD0558" w:rsidRDefault="00443399" w:rsidP="00443399">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Pēc finanšu krīzes, jo īpaši saistībā ar Eiropas tirgus infrastruktūru regulu, dažus ārpusbiržas atvasinājumus (</w:t>
      </w:r>
      <w:r>
        <w:rPr>
          <w:rFonts w:ascii="Times New Roman" w:hAnsi="Times New Roman"/>
          <w:i/>
          <w:iCs/>
        </w:rPr>
        <w:t>OTC</w:t>
      </w:r>
      <w:r>
        <w:rPr>
          <w:rFonts w:ascii="Times New Roman" w:hAnsi="Times New Roman"/>
        </w:rPr>
        <w:t>) varētu tirgot ar “centrālo mijieskaita darījumu starpnieku” starpniecību vai šos atvasinājumus varētu deklarēt “centrālajos datu repozitorijos”.</w:t>
      </w:r>
    </w:p>
  </w:footnote>
  <w:footnote w:id="297">
    <w:p w14:paraId="759C03E0" w14:textId="77777777" w:rsidR="00443399" w:rsidRPr="009E3E52" w:rsidRDefault="00443399" w:rsidP="00443399">
      <w:pPr>
        <w:jc w:val="both"/>
        <w:rPr>
          <w:rFonts w:ascii="Times New Roman" w:eastAsia="Arial"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szCs w:val="20"/>
        </w:rPr>
        <w:t xml:space="preserve"> Šie gadījumi ir drīzāk hipotētiski, taču nav pilnībā izslēdzami.</w:t>
      </w:r>
    </w:p>
  </w:footnote>
  <w:footnote w:id="298">
    <w:p w14:paraId="7D4DA5E0" w14:textId="77777777" w:rsidR="00443399" w:rsidRPr="009E3E52" w:rsidRDefault="00443399" w:rsidP="00443399">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Mijmaiņas darījumu naudas plūsmas struktūra var būt veidota jebkādā iedomājamā veidā. Savukārt tradicionālajiem mijmaiņas darījumiem, kas noslēgti saskaņā ar tirgus nosacījumiem, ir vienkārša struktūra. Piemēram, procentu likmes mijmaiņas darījumam ir fiksētā daļa un mainīgā daļa. Tradicionāla procentu likmes mijmaiņas darījuma fiksētajai daļai ir nemainīga procentu likme visā mijmaiņas darījuma darbības laikā. Ārpusbiržas procentu likmes mijmaiņas darījuma gadījumā fiksētā daļa visā mijmaiņas darījuma darbības laikā var nebūt nemainīga, tādējādi tas vairs nav tradicionāls/standartizēts mijmaiņas darījums. Cits ārpusbiržas mijmaiņas darījuma piemērs varētu būt mainīgs sadalījums visā procentu likmes mijmaiņas darījuma darbības termiņā. Turklāt procentu likmes mijmaiņas darījuma mainīgajai daļai ir jābūt saskaņā ar tirgus nosacījumiem. Ja tas tā nav, tas varētu liecināt par ārpusbiržas mijmaiņas darījumu. Piemēram, tradicionālā procentu likmes mijmaiņas darījuma mainīgā daļa saskaņā ar tirgus nosacījumiem varētu attiekties uz (novērojamām) tirgus procentu likmes tirgus prognozēm (piemēram, </w:t>
      </w:r>
      <w:r>
        <w:rPr>
          <w:rFonts w:ascii="Times New Roman" w:hAnsi="Times New Roman"/>
          <w:i/>
          <w:iCs/>
        </w:rPr>
        <w:t>EURIBOR</w:t>
      </w:r>
      <w:r>
        <w:rPr>
          <w:rFonts w:ascii="Times New Roman" w:hAnsi="Times New Roman"/>
        </w:rPr>
        <w:t>). Ārpusbiržas procentu likmes mijmaiņas darījuma gadījumā mainīgā daļa varētu balstīties uz apdomīgi noteiktām mainīgām procentu likmēm.</w:t>
      </w:r>
    </w:p>
  </w:footnote>
  <w:footnote w:id="299">
    <w:p w14:paraId="26E18C2C" w14:textId="77777777" w:rsidR="00443399" w:rsidRPr="009E3E52" w:rsidRDefault="00443399" w:rsidP="00443399">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Saskaņā ar EKS 2010 5.229. punktu nacionālajos kontos mijmaiņas darījumu, kam ir neto saistību vērtība, parasti arī ieraksta aktīvu pusē, </w:t>
      </w:r>
      <w:r>
        <w:rPr>
          <w:rFonts w:ascii="Times New Roman" w:hAnsi="Times New Roman"/>
          <w:i/>
          <w:iCs/>
        </w:rPr>
        <w:t>lai izvairītos no pastāvīgas pārejas no aktīvu uz saistību pusi</w:t>
      </w:r>
      <w:r>
        <w:rPr>
          <w:rFonts w:ascii="Times New Roman" w:hAnsi="Times New Roman"/>
        </w:rPr>
        <w:t>.</w:t>
      </w:r>
    </w:p>
  </w:footnote>
  <w:footnote w:id="300">
    <w:p w14:paraId="35CB28F6" w14:textId="77777777" w:rsidR="00443399" w:rsidRPr="009E3E52" w:rsidRDefault="00443399" w:rsidP="00443399">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Ņemot vērā, ka šie mijmaiņas darījumi ir ārpusbiržas darījumi, jo īpaši nav atbilstoši izmantot likmes, kas minētas darījumu posmos. Vispārīgi runājot, jebkura mijmaiņas darījuma (tirgus vai ārpusbiržas darījuma) vienā posmā izmantoto formulu var neierobežoti grozīt tādā veidā, ka arī otrā posmā tiek grozītas tādas pašas summas.</w:t>
      </w:r>
    </w:p>
  </w:footnote>
  <w:footnote w:id="301">
    <w:p w14:paraId="4DEF28F4" w14:textId="77777777" w:rsidR="00443399" w:rsidRPr="009E3E52" w:rsidRDefault="00443399" w:rsidP="00443399">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Piemēram, aizdevuma komponenta “maksājumus” un to izpirkšanu var panākt, koriģējot sadalījumu pa vairākiem periodiem.</w:t>
      </w:r>
    </w:p>
  </w:footnote>
  <w:footnote w:id="302">
    <w:p w14:paraId="6B02EC55" w14:textId="77777777" w:rsidR="00443399" w:rsidRPr="009E3E52" w:rsidRDefault="00443399" w:rsidP="00443399">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Piemēram, ļoti vienkāršā gadījumā aizdevums var rasties no neparasti augstas starpības </w:t>
      </w:r>
      <w:r>
        <w:rPr>
          <w:rFonts w:ascii="Times New Roman" w:hAnsi="Times New Roman"/>
          <w:i/>
          <w:iCs/>
        </w:rPr>
        <w:t>t</w:t>
      </w:r>
      <w:r>
        <w:rPr>
          <w:rFonts w:ascii="Times New Roman" w:hAnsi="Times New Roman"/>
        </w:rPr>
        <w:t> periodā, kas tiek pilnībā neitralizēta ar atbilstošu (negatīvu) starpības korekciju nākamajā periodā, savukārt mijmaiņas darījuma kopējais darbības laiks var būt daudz ilgāks.</w:t>
      </w:r>
    </w:p>
  </w:footnote>
  <w:footnote w:id="303">
    <w:p w14:paraId="6A3174F5" w14:textId="77777777" w:rsidR="00443399" w:rsidRPr="009E3E52" w:rsidRDefault="00443399" w:rsidP="00443399">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Piemēram, mijmaiņas darījumam varētu būt dažādas “konfigurācijas”, vispirms tam ir nulles vērtība sākumā, pēc tam mijmaiņas darījuma darbības laikā ir nepieciešamas iemaksas skaidrā naudā darījuma “atkārtotai līdzsvarošanai”. Šajā gadījumā aizdevuma komponentu ieraksta brīdī, kad ir saņemta pirmā iemaksa, un pēc tam aizdevumu pakāpeniski palielina pēc atmaksu atskaitīšanas, ja tādas ir bijušas.</w:t>
      </w:r>
    </w:p>
  </w:footnote>
  <w:footnote w:id="304">
    <w:p w14:paraId="0660D36B" w14:textId="77777777" w:rsidR="00443399" w:rsidRPr="009E3E52" w:rsidRDefault="00443399" w:rsidP="00443399">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Ja ārpusbiržas mijmaiņas darījums ir saistīts ar valdības bilances pārstrukturēšanu, jāieraksta nosacītais darījums. Piemēram, pāreja no atvasinātajiem finanšu instrumentiem (AF.71) uz aizdevumu (AF.4) ir jāieraksta kā divi vienlaikus veikti darījumi.</w:t>
      </w:r>
    </w:p>
  </w:footnote>
  <w:footnote w:id="305">
    <w:p w14:paraId="4B9B5F60" w14:textId="77777777" w:rsidR="00443399" w:rsidRPr="009E3E52" w:rsidRDefault="00443399" w:rsidP="00443399">
      <w:pPr>
        <w:pStyle w:val="FootnoteText"/>
        <w:jc w:val="both"/>
      </w:pPr>
      <w:r>
        <w:rPr>
          <w:rStyle w:val="FootnoteReference"/>
          <w:rFonts w:ascii="Times New Roman" w:hAnsi="Times New Roman" w:cs="Times New Roman"/>
        </w:rPr>
        <w:footnoteRef/>
      </w:r>
      <w:r>
        <w:rPr>
          <w:rFonts w:ascii="Times New Roman" w:hAnsi="Times New Roman"/>
        </w:rPr>
        <w:t xml:space="preserve"> Mijmaiņas darījuma vērtībā var tikt iekļautas arī maksas, kuru nomaksa ir sadalīta pa visu mijmaiņas darījuma darbības laiku.</w:t>
      </w:r>
    </w:p>
  </w:footnote>
  <w:footnote w:id="306">
    <w:p w14:paraId="22A6C5DC" w14:textId="77777777" w:rsidR="00443399" w:rsidRPr="009E3E52" w:rsidRDefault="00443399" w:rsidP="00443399">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Atgādinājumam (skat. EKS 2010 5.122. punktu) – ja aizdevumu sāk regulāri tirgot (nevis to tirgo tikai izņēmuma kārtā, kas nozīmē, ka </w:t>
      </w:r>
      <w:r>
        <w:rPr>
          <w:rFonts w:ascii="Times New Roman" w:hAnsi="Times New Roman"/>
          <w:i/>
          <w:iCs/>
        </w:rPr>
        <w:t>de facto</w:t>
      </w:r>
      <w:r>
        <w:rPr>
          <w:rFonts w:ascii="Times New Roman" w:hAnsi="Times New Roman"/>
        </w:rPr>
        <w:t xml:space="preserve"> pastāv visai aktīvs tirgus), tas ir jāpārklasificē kā parāda vērtspapīrs.</w:t>
      </w:r>
    </w:p>
  </w:footnote>
  <w:footnote w:id="307">
    <w:p w14:paraId="7301568B" w14:textId="77777777" w:rsidR="00443399" w:rsidRPr="009E3E52" w:rsidRDefault="00443399" w:rsidP="00443399">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Pastāv atšķirība starp “maksātāja mijmaiņas iespējas līgumu”, kas dod mijmaiņas iespējas līguma īpašniekam tiesības iesaistīties mijmaiņas darījumā, kurā tas maksā fiksētu daļu un saņem mainīgo daļu, un “saņēmēja mijmaiņas iespējas līgumu”, kas dod mijmaiņas iespējas līguma īpašniekam tiesības iesaistīties mijmaiņas darījumā, kurā tas saņem fiksētu daļu un maksā mainīgo daļu. Valdība var iesaistīties abos.</w:t>
      </w:r>
    </w:p>
  </w:footnote>
  <w:footnote w:id="308">
    <w:p w14:paraId="15621998" w14:textId="77777777" w:rsidR="00443399" w:rsidRPr="009E3E52" w:rsidRDefault="00443399" w:rsidP="00443399">
      <w:pPr>
        <w:pStyle w:val="FootnoteText"/>
        <w:jc w:val="both"/>
      </w:pPr>
      <w:r>
        <w:rPr>
          <w:rStyle w:val="FootnoteReference"/>
          <w:rFonts w:ascii="Times New Roman" w:hAnsi="Times New Roman" w:cs="Times New Roman"/>
        </w:rPr>
        <w:footnoteRef/>
      </w:r>
      <w:r>
        <w:rPr>
          <w:rFonts w:ascii="Times New Roman" w:hAnsi="Times New Roman"/>
        </w:rPr>
        <w:t xml:space="preserve"> Ir būtiski nošķirt mijmaiņas iespējas līgumu, kas ir iespējas līgums, ko teorētiski var tirgot atsevišķi, un jebkādu mijmaiņas darījumā iekļautu iespēju (tas varētu attiekties uz “anulēšanas tiesībām” un arī, piemēram, uz pāreju no fiksētas likmes uz citu vai no mainīgas likmes uz fiksētu utt.), ko nevar tirgot atsevišķi un kurai turklāt nav nepieciešams parakstīt jaunu līgumu, kad iespēja ir realizēta. Šādā gadījumā nekāds specifisks traktējums nav nepieciešams.</w:t>
      </w:r>
    </w:p>
  </w:footnote>
  <w:footnote w:id="309">
    <w:p w14:paraId="6F7CA2E0" w14:textId="77777777" w:rsidR="00443399" w:rsidRPr="00A9349E" w:rsidRDefault="00443399" w:rsidP="00443399">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Piemēram, ja maksājuma termiņš ir ilgāks, valdība ir pakļauta lielākai tirgus nepastāvībai nekā iepriekšējā mijmaiņas darījumā. Līdzīgi, ja maksājuma termiņš ir īsāks (parasti kopā ar augstāku pamatsummu), ikgadējās naudas izmaksas varētu būt augstākas.</w:t>
      </w:r>
    </w:p>
  </w:footnote>
  <w:footnote w:id="310">
    <w:p w14:paraId="1B81503B" w14:textId="77777777" w:rsidR="00443399" w:rsidRPr="00A9349E" w:rsidRDefault="00443399" w:rsidP="00443399">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Var tomēr gadīties, ka maksas, kas iekasētas par šādu darījumu (kas kopumā ir visai ievērojamas), tiek iekļautas mijmaiņas darījuma jaunajā tirgus vērtībā, t. i., to samaksa tiek sadalīta visā jaunā mijmaiņas darījuma darbības termiņā. Šādā gadījumā tirgus vērtība pēc definīcijas ir mainīta.</w:t>
      </w:r>
    </w:p>
  </w:footnote>
  <w:footnote w:id="311">
    <w:p w14:paraId="4AEFADCA" w14:textId="77777777" w:rsidR="00443399" w:rsidRPr="00A9349E" w:rsidRDefault="00443399" w:rsidP="00443399">
      <w:pPr>
        <w:pStyle w:val="FootnoteText"/>
        <w:jc w:val="both"/>
      </w:pPr>
      <w:r>
        <w:rPr>
          <w:rStyle w:val="FootnoteReference"/>
          <w:rFonts w:ascii="Times New Roman" w:hAnsi="Times New Roman" w:cs="Times New Roman"/>
        </w:rPr>
        <w:footnoteRef/>
      </w:r>
      <w:r>
        <w:rPr>
          <w:rFonts w:ascii="Times New Roman" w:hAnsi="Times New Roman"/>
        </w:rPr>
        <w:t xml:space="preserve"> Tas nozīmē, ka vērtības jutība pret konkrēto mainīgās tirgus atsauces maiņu ir līdzīga. Pārstrukturēšana parasti notiek vienā dienā, un vērtēšanu veic, pamatojoties uz tādiem pašiem tirgus nosacījumiem.</w:t>
      </w:r>
    </w:p>
  </w:footnote>
  <w:footnote w:id="312">
    <w:p w14:paraId="67EB0DB9" w14:textId="77777777" w:rsidR="00443399" w:rsidRPr="00D1607A" w:rsidRDefault="00443399" w:rsidP="00443399">
      <w:pPr>
        <w:jc w:val="both"/>
        <w:rPr>
          <w:rFonts w:ascii="Times New Roman" w:eastAsia="Arial"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szCs w:val="20"/>
        </w:rPr>
        <w:t xml:space="preserve"> Terminu “reversais </w:t>
      </w:r>
      <w:r>
        <w:rPr>
          <w:rFonts w:ascii="Times New Roman" w:hAnsi="Times New Roman"/>
          <w:i/>
          <w:iCs/>
          <w:sz w:val="20"/>
          <w:szCs w:val="20"/>
        </w:rPr>
        <w:t>repo</w:t>
      </w:r>
      <w:r>
        <w:rPr>
          <w:rFonts w:ascii="Times New Roman" w:hAnsi="Times New Roman"/>
          <w:sz w:val="20"/>
          <w:szCs w:val="20"/>
        </w:rPr>
        <w:t>” izmanto no naudas saņēmēja/vērtspapīra ņēmēja skatupunkta, taču šajā nodaļā izmanto tikai terminu “</w:t>
      </w:r>
      <w:r>
        <w:rPr>
          <w:rFonts w:ascii="Times New Roman" w:hAnsi="Times New Roman"/>
          <w:i/>
          <w:iCs/>
          <w:sz w:val="20"/>
          <w:szCs w:val="20"/>
        </w:rPr>
        <w:t>repo</w:t>
      </w:r>
      <w:r>
        <w:rPr>
          <w:rFonts w:ascii="Times New Roman" w:hAnsi="Times New Roman"/>
          <w:sz w:val="20"/>
          <w:szCs w:val="20"/>
        </w:rPr>
        <w:t>”. Valdība var būt gan saņēmējs, gan ņēmējs saistībā ar īstermiņa finanšu līdzekļu pārvaldību.</w:t>
      </w:r>
    </w:p>
  </w:footnote>
  <w:footnote w:id="313">
    <w:p w14:paraId="3F7A6F43" w14:textId="77777777" w:rsidR="00443399" w:rsidRPr="00D1607A" w:rsidRDefault="00443399" w:rsidP="00443399">
      <w:pPr>
        <w:pStyle w:val="FootnoteText"/>
        <w:jc w:val="both"/>
      </w:pPr>
      <w:r>
        <w:rPr>
          <w:rStyle w:val="FootnoteReference"/>
          <w:rFonts w:ascii="Times New Roman" w:hAnsi="Times New Roman" w:cs="Times New Roman"/>
        </w:rPr>
        <w:footnoteRef/>
      </w:r>
      <w:r>
        <w:rPr>
          <w:rFonts w:ascii="Times New Roman" w:hAnsi="Times New Roman"/>
        </w:rPr>
        <w:t xml:space="preserve"> Tas ir, monetārām finanšu iestādēm.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EC6074" w14:textId="77777777" w:rsidR="00F27871" w:rsidRPr="001C4B02" w:rsidRDefault="00F27871" w:rsidP="001C4B02">
    <w:pPr>
      <w:pStyle w:val="Header"/>
      <w:rPr>
        <w:rStyle w:val="PageNumber"/>
        <w:rFonts w:ascii="Times New Roman" w:hAnsi="Times New Roman" w:cs="Times New Roman"/>
        <w:sz w:val="20"/>
        <w:szCs w:val="20"/>
      </w:rPr>
    </w:pPr>
    <w:bookmarkStart w:id="651" w:name="_Hlk496261784"/>
    <w:bookmarkStart w:id="652" w:name="_Hlk496261785"/>
    <w:bookmarkStart w:id="653" w:name="_Hlk496261786"/>
    <w:bookmarkStart w:id="654" w:name="_Hlk502757728"/>
    <w:bookmarkStart w:id="655" w:name="_Hlk502757729"/>
    <w:bookmarkStart w:id="656" w:name="_Hlk502757738"/>
    <w:bookmarkStart w:id="657" w:name="_Hlk502757739"/>
    <w:bookmarkStart w:id="658" w:name="_Hlk30491084"/>
    <w:bookmarkStart w:id="659" w:name="_Hlk30491085"/>
  </w:p>
  <w:p w14:paraId="3F3CFDB6" w14:textId="2B09C0B9" w:rsidR="00F27871" w:rsidRPr="001C4B02" w:rsidRDefault="00F27871" w:rsidP="001C4B02">
    <w:pPr>
      <w:pStyle w:val="Header"/>
      <w:tabs>
        <w:tab w:val="clear" w:pos="4513"/>
        <w:tab w:val="clear" w:pos="9026"/>
        <w:tab w:val="right" w:leader="underscore" w:pos="9072"/>
      </w:tabs>
      <w:rPr>
        <w:rStyle w:val="PageNumber"/>
        <w:rFonts w:ascii="Times New Roman" w:hAnsi="Times New Roman" w:cs="Times New Roman"/>
        <w:sz w:val="20"/>
        <w:szCs w:val="20"/>
      </w:rPr>
    </w:pPr>
    <w:r w:rsidRPr="001C4B02">
      <w:rPr>
        <w:rStyle w:val="PageNumber"/>
        <w:rFonts w:ascii="Times New Roman" w:hAnsi="Times New Roman" w:cs="Times New Roman"/>
        <w:sz w:val="20"/>
        <w:szCs w:val="20"/>
      </w:rPr>
      <w:tab/>
    </w:r>
  </w:p>
  <w:bookmarkEnd w:id="651"/>
  <w:bookmarkEnd w:id="652"/>
  <w:bookmarkEnd w:id="653"/>
  <w:bookmarkEnd w:id="654"/>
  <w:bookmarkEnd w:id="655"/>
  <w:bookmarkEnd w:id="656"/>
  <w:bookmarkEnd w:id="657"/>
  <w:bookmarkEnd w:id="658"/>
  <w:bookmarkEnd w:id="659"/>
  <w:p w14:paraId="21DDF21B" w14:textId="77777777" w:rsidR="00F27871" w:rsidRPr="001C4B02" w:rsidRDefault="00F27871" w:rsidP="001C4B02">
    <w:pPr>
      <w:pStyle w:val="Header"/>
      <w:rPr>
        <w:rFonts w:ascii="Times New Roman" w:hAnsi="Times New Roman" w:cs="Times New Roman"/>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56DA09" w14:textId="77777777" w:rsidR="00F27871" w:rsidRPr="001C4B02" w:rsidRDefault="00F27871" w:rsidP="001C4B02">
    <w:pPr>
      <w:pBdr>
        <w:bottom w:val="single" w:sz="12" w:space="5" w:color="auto"/>
      </w:pBdr>
      <w:rPr>
        <w:rFonts w:ascii="Times New Roman" w:hAnsi="Times New Roman" w:cs="Times New Roman"/>
        <w:spacing w:val="-2"/>
        <w:sz w:val="20"/>
        <w:szCs w:val="20"/>
      </w:rPr>
    </w:pPr>
    <w:bookmarkStart w:id="660" w:name="_Hlk496261745"/>
    <w:bookmarkStart w:id="661" w:name="_Hlk496261746"/>
    <w:bookmarkStart w:id="662" w:name="_Hlk496261747"/>
    <w:bookmarkStart w:id="663" w:name="_Hlk30491063"/>
    <w:bookmarkStart w:id="664" w:name="_Hlk30491064"/>
  </w:p>
  <w:bookmarkEnd w:id="660"/>
  <w:bookmarkEnd w:id="661"/>
  <w:bookmarkEnd w:id="662"/>
  <w:bookmarkEnd w:id="663"/>
  <w:bookmarkEnd w:id="664"/>
  <w:p w14:paraId="69F754D9" w14:textId="77777777" w:rsidR="00F27871" w:rsidRPr="001C4B02" w:rsidRDefault="00F27871" w:rsidP="001C4B02">
    <w:pPr>
      <w:pStyle w:val="Header"/>
      <w:rPr>
        <w:rFonts w:ascii="Times New Roman" w:hAnsi="Times New Roman" w:cs="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807BF"/>
    <w:multiLevelType w:val="hybridMultilevel"/>
    <w:tmpl w:val="5358ED1C"/>
    <w:lvl w:ilvl="0" w:tplc="B76AD2E8">
      <w:start w:val="1"/>
      <w:numFmt w:val="decimal"/>
      <w:lvlText w:val="%1."/>
      <w:lvlJc w:val="left"/>
      <w:pPr>
        <w:ind w:left="842" w:hanging="284"/>
      </w:pPr>
      <w:rPr>
        <w:rFonts w:ascii="Arial" w:eastAsia="Arial" w:hAnsi="Arial" w:hint="default"/>
        <w:w w:val="99"/>
        <w:sz w:val="19"/>
        <w:szCs w:val="19"/>
      </w:rPr>
    </w:lvl>
    <w:lvl w:ilvl="1" w:tplc="0BE46662">
      <w:start w:val="1"/>
      <w:numFmt w:val="bullet"/>
      <w:lvlText w:val=""/>
      <w:lvlJc w:val="left"/>
      <w:pPr>
        <w:ind w:left="1125" w:hanging="284"/>
      </w:pPr>
      <w:rPr>
        <w:rFonts w:ascii="Symbol" w:eastAsia="Symbol" w:hAnsi="Symbol" w:hint="default"/>
        <w:color w:val="auto"/>
        <w:w w:val="99"/>
        <w:sz w:val="19"/>
        <w:szCs w:val="19"/>
      </w:rPr>
    </w:lvl>
    <w:lvl w:ilvl="2" w:tplc="E3F2473E">
      <w:start w:val="1"/>
      <w:numFmt w:val="bullet"/>
      <w:lvlText w:val="•"/>
      <w:lvlJc w:val="left"/>
      <w:pPr>
        <w:ind w:left="2226" w:hanging="284"/>
      </w:pPr>
      <w:rPr>
        <w:rFonts w:hint="default"/>
      </w:rPr>
    </w:lvl>
    <w:lvl w:ilvl="3" w:tplc="A1548CBA">
      <w:start w:val="1"/>
      <w:numFmt w:val="bullet"/>
      <w:lvlText w:val="•"/>
      <w:lvlJc w:val="left"/>
      <w:pPr>
        <w:ind w:left="3328" w:hanging="284"/>
      </w:pPr>
      <w:rPr>
        <w:rFonts w:hint="default"/>
      </w:rPr>
    </w:lvl>
    <w:lvl w:ilvl="4" w:tplc="5FB895C8">
      <w:start w:val="1"/>
      <w:numFmt w:val="bullet"/>
      <w:lvlText w:val="•"/>
      <w:lvlJc w:val="left"/>
      <w:pPr>
        <w:ind w:left="4429" w:hanging="284"/>
      </w:pPr>
      <w:rPr>
        <w:rFonts w:hint="default"/>
      </w:rPr>
    </w:lvl>
    <w:lvl w:ilvl="5" w:tplc="8F923D96">
      <w:start w:val="1"/>
      <w:numFmt w:val="bullet"/>
      <w:lvlText w:val="•"/>
      <w:lvlJc w:val="left"/>
      <w:pPr>
        <w:ind w:left="5531" w:hanging="284"/>
      </w:pPr>
      <w:rPr>
        <w:rFonts w:hint="default"/>
      </w:rPr>
    </w:lvl>
    <w:lvl w:ilvl="6" w:tplc="01EE6F86">
      <w:start w:val="1"/>
      <w:numFmt w:val="bullet"/>
      <w:lvlText w:val="•"/>
      <w:lvlJc w:val="left"/>
      <w:pPr>
        <w:ind w:left="6633" w:hanging="284"/>
      </w:pPr>
      <w:rPr>
        <w:rFonts w:hint="default"/>
      </w:rPr>
    </w:lvl>
    <w:lvl w:ilvl="7" w:tplc="E4BE01D2">
      <w:start w:val="1"/>
      <w:numFmt w:val="bullet"/>
      <w:lvlText w:val="•"/>
      <w:lvlJc w:val="left"/>
      <w:pPr>
        <w:ind w:left="7734" w:hanging="284"/>
      </w:pPr>
      <w:rPr>
        <w:rFonts w:hint="default"/>
      </w:rPr>
    </w:lvl>
    <w:lvl w:ilvl="8" w:tplc="12746E0C">
      <w:start w:val="1"/>
      <w:numFmt w:val="bullet"/>
      <w:lvlText w:val="•"/>
      <w:lvlJc w:val="left"/>
      <w:pPr>
        <w:ind w:left="8836" w:hanging="284"/>
      </w:pPr>
      <w:rPr>
        <w:rFonts w:hint="default"/>
      </w:rPr>
    </w:lvl>
  </w:abstractNum>
  <w:abstractNum w:abstractNumId="1" w15:restartNumberingAfterBreak="0">
    <w:nsid w:val="01A65E27"/>
    <w:multiLevelType w:val="hybridMultilevel"/>
    <w:tmpl w:val="1BEA25E4"/>
    <w:lvl w:ilvl="0" w:tplc="3FF630FE">
      <w:start w:val="1"/>
      <w:numFmt w:val="decimal"/>
      <w:lvlText w:val="%1."/>
      <w:lvlJc w:val="left"/>
      <w:pPr>
        <w:ind w:left="842" w:hanging="284"/>
      </w:pPr>
      <w:rPr>
        <w:rFonts w:ascii="Arial" w:eastAsia="Arial" w:hAnsi="Arial" w:hint="default"/>
        <w:w w:val="99"/>
        <w:sz w:val="19"/>
        <w:szCs w:val="19"/>
      </w:rPr>
    </w:lvl>
    <w:lvl w:ilvl="1" w:tplc="250465A0">
      <w:start w:val="1"/>
      <w:numFmt w:val="bullet"/>
      <w:lvlText w:val=""/>
      <w:lvlJc w:val="left"/>
      <w:pPr>
        <w:ind w:left="1125" w:hanging="284"/>
      </w:pPr>
      <w:rPr>
        <w:rFonts w:ascii="Symbol" w:eastAsia="Symbol" w:hAnsi="Symbol" w:hint="default"/>
        <w:color w:val="auto"/>
        <w:w w:val="99"/>
        <w:sz w:val="19"/>
        <w:szCs w:val="19"/>
      </w:rPr>
    </w:lvl>
    <w:lvl w:ilvl="2" w:tplc="B9FEC786">
      <w:start w:val="1"/>
      <w:numFmt w:val="bullet"/>
      <w:lvlText w:val=""/>
      <w:lvlJc w:val="left"/>
      <w:pPr>
        <w:ind w:left="1410" w:hanging="286"/>
      </w:pPr>
      <w:rPr>
        <w:rFonts w:ascii="Symbol" w:eastAsia="Symbol" w:hAnsi="Symbol" w:hint="default"/>
        <w:w w:val="99"/>
        <w:sz w:val="19"/>
        <w:szCs w:val="19"/>
      </w:rPr>
    </w:lvl>
    <w:lvl w:ilvl="3" w:tplc="17BC06E2">
      <w:start w:val="1"/>
      <w:numFmt w:val="bullet"/>
      <w:lvlText w:val="•"/>
      <w:lvlJc w:val="left"/>
      <w:pPr>
        <w:ind w:left="2614" w:hanging="286"/>
      </w:pPr>
      <w:rPr>
        <w:rFonts w:hint="default"/>
      </w:rPr>
    </w:lvl>
    <w:lvl w:ilvl="4" w:tplc="7C04398E">
      <w:start w:val="1"/>
      <w:numFmt w:val="bullet"/>
      <w:lvlText w:val="•"/>
      <w:lvlJc w:val="left"/>
      <w:pPr>
        <w:ind w:left="3817" w:hanging="286"/>
      </w:pPr>
      <w:rPr>
        <w:rFonts w:hint="default"/>
      </w:rPr>
    </w:lvl>
    <w:lvl w:ilvl="5" w:tplc="766A5976">
      <w:start w:val="1"/>
      <w:numFmt w:val="bullet"/>
      <w:lvlText w:val="•"/>
      <w:lvlJc w:val="left"/>
      <w:pPr>
        <w:ind w:left="5021" w:hanging="286"/>
      </w:pPr>
      <w:rPr>
        <w:rFonts w:hint="default"/>
      </w:rPr>
    </w:lvl>
    <w:lvl w:ilvl="6" w:tplc="98C2FA4C">
      <w:start w:val="1"/>
      <w:numFmt w:val="bullet"/>
      <w:lvlText w:val="•"/>
      <w:lvlJc w:val="left"/>
      <w:pPr>
        <w:ind w:left="6225" w:hanging="286"/>
      </w:pPr>
      <w:rPr>
        <w:rFonts w:hint="default"/>
      </w:rPr>
    </w:lvl>
    <w:lvl w:ilvl="7" w:tplc="E840962C">
      <w:start w:val="1"/>
      <w:numFmt w:val="bullet"/>
      <w:lvlText w:val="•"/>
      <w:lvlJc w:val="left"/>
      <w:pPr>
        <w:ind w:left="7428" w:hanging="286"/>
      </w:pPr>
      <w:rPr>
        <w:rFonts w:hint="default"/>
      </w:rPr>
    </w:lvl>
    <w:lvl w:ilvl="8" w:tplc="7BF27D60">
      <w:start w:val="1"/>
      <w:numFmt w:val="bullet"/>
      <w:lvlText w:val="•"/>
      <w:lvlJc w:val="left"/>
      <w:pPr>
        <w:ind w:left="8632" w:hanging="286"/>
      </w:pPr>
      <w:rPr>
        <w:rFonts w:hint="default"/>
      </w:rPr>
    </w:lvl>
  </w:abstractNum>
  <w:abstractNum w:abstractNumId="2" w15:restartNumberingAfterBreak="0">
    <w:nsid w:val="02330272"/>
    <w:multiLevelType w:val="hybridMultilevel"/>
    <w:tmpl w:val="5D7A991A"/>
    <w:lvl w:ilvl="0" w:tplc="9C10A8E2">
      <w:start w:val="1"/>
      <w:numFmt w:val="decimal"/>
      <w:lvlText w:val="%1."/>
      <w:lvlJc w:val="left"/>
      <w:pPr>
        <w:ind w:left="839" w:hanging="284"/>
      </w:pPr>
      <w:rPr>
        <w:rFonts w:ascii="Arial" w:eastAsia="Arial" w:hAnsi="Arial" w:hint="default"/>
        <w:w w:val="99"/>
        <w:sz w:val="19"/>
        <w:szCs w:val="19"/>
      </w:rPr>
    </w:lvl>
    <w:lvl w:ilvl="1" w:tplc="E38AAC86">
      <w:start w:val="1"/>
      <w:numFmt w:val="bullet"/>
      <w:lvlText w:val=""/>
      <w:lvlJc w:val="left"/>
      <w:pPr>
        <w:ind w:left="1122" w:hanging="284"/>
      </w:pPr>
      <w:rPr>
        <w:rFonts w:ascii="Symbol" w:eastAsia="Symbol" w:hAnsi="Symbol" w:hint="default"/>
        <w:color w:val="auto"/>
        <w:w w:val="99"/>
        <w:sz w:val="19"/>
        <w:szCs w:val="19"/>
      </w:rPr>
    </w:lvl>
    <w:lvl w:ilvl="2" w:tplc="0A06022E">
      <w:start w:val="1"/>
      <w:numFmt w:val="bullet"/>
      <w:lvlText w:val="•"/>
      <w:lvlJc w:val="left"/>
      <w:pPr>
        <w:ind w:left="2225" w:hanging="284"/>
      </w:pPr>
      <w:rPr>
        <w:rFonts w:hint="default"/>
      </w:rPr>
    </w:lvl>
    <w:lvl w:ilvl="3" w:tplc="18D4FC90">
      <w:start w:val="1"/>
      <w:numFmt w:val="bullet"/>
      <w:lvlText w:val="•"/>
      <w:lvlJc w:val="left"/>
      <w:pPr>
        <w:ind w:left="3328" w:hanging="284"/>
      </w:pPr>
      <w:rPr>
        <w:rFonts w:hint="default"/>
      </w:rPr>
    </w:lvl>
    <w:lvl w:ilvl="4" w:tplc="CEE23FCC">
      <w:start w:val="1"/>
      <w:numFmt w:val="bullet"/>
      <w:lvlText w:val="•"/>
      <w:lvlJc w:val="left"/>
      <w:pPr>
        <w:ind w:left="4431" w:hanging="284"/>
      </w:pPr>
      <w:rPr>
        <w:rFonts w:hint="default"/>
      </w:rPr>
    </w:lvl>
    <w:lvl w:ilvl="5" w:tplc="FA02BB48">
      <w:start w:val="1"/>
      <w:numFmt w:val="bullet"/>
      <w:lvlText w:val="•"/>
      <w:lvlJc w:val="left"/>
      <w:pPr>
        <w:ind w:left="5534" w:hanging="284"/>
      </w:pPr>
      <w:rPr>
        <w:rFonts w:hint="default"/>
      </w:rPr>
    </w:lvl>
    <w:lvl w:ilvl="6" w:tplc="3F609776">
      <w:start w:val="1"/>
      <w:numFmt w:val="bullet"/>
      <w:lvlText w:val="•"/>
      <w:lvlJc w:val="left"/>
      <w:pPr>
        <w:ind w:left="6637" w:hanging="284"/>
      </w:pPr>
      <w:rPr>
        <w:rFonts w:hint="default"/>
      </w:rPr>
    </w:lvl>
    <w:lvl w:ilvl="7" w:tplc="F2CAEF08">
      <w:start w:val="1"/>
      <w:numFmt w:val="bullet"/>
      <w:lvlText w:val="•"/>
      <w:lvlJc w:val="left"/>
      <w:pPr>
        <w:ind w:left="7740" w:hanging="284"/>
      </w:pPr>
      <w:rPr>
        <w:rFonts w:hint="default"/>
      </w:rPr>
    </w:lvl>
    <w:lvl w:ilvl="8" w:tplc="A8DEEF60">
      <w:start w:val="1"/>
      <w:numFmt w:val="bullet"/>
      <w:lvlText w:val="•"/>
      <w:lvlJc w:val="left"/>
      <w:pPr>
        <w:ind w:left="8843" w:hanging="284"/>
      </w:pPr>
      <w:rPr>
        <w:rFonts w:hint="default"/>
      </w:rPr>
    </w:lvl>
  </w:abstractNum>
  <w:abstractNum w:abstractNumId="3" w15:restartNumberingAfterBreak="0">
    <w:nsid w:val="03003B5E"/>
    <w:multiLevelType w:val="hybridMultilevel"/>
    <w:tmpl w:val="A02057CC"/>
    <w:lvl w:ilvl="0" w:tplc="75885688">
      <w:start w:val="1"/>
      <w:numFmt w:val="decimal"/>
      <w:lvlText w:val="%1."/>
      <w:lvlJc w:val="left"/>
      <w:pPr>
        <w:ind w:left="842" w:hanging="284"/>
      </w:pPr>
      <w:rPr>
        <w:rFonts w:ascii="Arial" w:eastAsia="Arial" w:hAnsi="Arial" w:hint="default"/>
        <w:w w:val="99"/>
        <w:sz w:val="19"/>
        <w:szCs w:val="19"/>
      </w:rPr>
    </w:lvl>
    <w:lvl w:ilvl="1" w:tplc="C6A8A85E">
      <w:start w:val="1"/>
      <w:numFmt w:val="bullet"/>
      <w:lvlText w:val=""/>
      <w:lvlJc w:val="left"/>
      <w:pPr>
        <w:ind w:left="1125" w:hanging="284"/>
      </w:pPr>
      <w:rPr>
        <w:rFonts w:ascii="Symbol" w:eastAsia="Symbol" w:hAnsi="Symbol" w:hint="default"/>
        <w:color w:val="auto"/>
        <w:w w:val="99"/>
        <w:sz w:val="19"/>
        <w:szCs w:val="19"/>
      </w:rPr>
    </w:lvl>
    <w:lvl w:ilvl="2" w:tplc="CF8EF83E">
      <w:start w:val="1"/>
      <w:numFmt w:val="bullet"/>
      <w:lvlText w:val="•"/>
      <w:lvlJc w:val="left"/>
      <w:pPr>
        <w:ind w:left="2226" w:hanging="284"/>
      </w:pPr>
      <w:rPr>
        <w:rFonts w:hint="default"/>
      </w:rPr>
    </w:lvl>
    <w:lvl w:ilvl="3" w:tplc="2CBA3930">
      <w:start w:val="1"/>
      <w:numFmt w:val="bullet"/>
      <w:lvlText w:val="•"/>
      <w:lvlJc w:val="left"/>
      <w:pPr>
        <w:ind w:left="3328" w:hanging="284"/>
      </w:pPr>
      <w:rPr>
        <w:rFonts w:hint="default"/>
      </w:rPr>
    </w:lvl>
    <w:lvl w:ilvl="4" w:tplc="5874B148">
      <w:start w:val="1"/>
      <w:numFmt w:val="bullet"/>
      <w:lvlText w:val="•"/>
      <w:lvlJc w:val="left"/>
      <w:pPr>
        <w:ind w:left="4429" w:hanging="284"/>
      </w:pPr>
      <w:rPr>
        <w:rFonts w:hint="default"/>
      </w:rPr>
    </w:lvl>
    <w:lvl w:ilvl="5" w:tplc="A09ADD66">
      <w:start w:val="1"/>
      <w:numFmt w:val="bullet"/>
      <w:lvlText w:val="•"/>
      <w:lvlJc w:val="left"/>
      <w:pPr>
        <w:ind w:left="5531" w:hanging="284"/>
      </w:pPr>
      <w:rPr>
        <w:rFonts w:hint="default"/>
      </w:rPr>
    </w:lvl>
    <w:lvl w:ilvl="6" w:tplc="4C7A6C26">
      <w:start w:val="1"/>
      <w:numFmt w:val="bullet"/>
      <w:lvlText w:val="•"/>
      <w:lvlJc w:val="left"/>
      <w:pPr>
        <w:ind w:left="6633" w:hanging="284"/>
      </w:pPr>
      <w:rPr>
        <w:rFonts w:hint="default"/>
      </w:rPr>
    </w:lvl>
    <w:lvl w:ilvl="7" w:tplc="6E10CFDE">
      <w:start w:val="1"/>
      <w:numFmt w:val="bullet"/>
      <w:lvlText w:val="•"/>
      <w:lvlJc w:val="left"/>
      <w:pPr>
        <w:ind w:left="7734" w:hanging="284"/>
      </w:pPr>
      <w:rPr>
        <w:rFonts w:hint="default"/>
      </w:rPr>
    </w:lvl>
    <w:lvl w:ilvl="8" w:tplc="098CA834">
      <w:start w:val="1"/>
      <w:numFmt w:val="bullet"/>
      <w:lvlText w:val="•"/>
      <w:lvlJc w:val="left"/>
      <w:pPr>
        <w:ind w:left="8836" w:hanging="284"/>
      </w:pPr>
      <w:rPr>
        <w:rFonts w:hint="default"/>
      </w:rPr>
    </w:lvl>
  </w:abstractNum>
  <w:abstractNum w:abstractNumId="4" w15:restartNumberingAfterBreak="0">
    <w:nsid w:val="03F75071"/>
    <w:multiLevelType w:val="hybridMultilevel"/>
    <w:tmpl w:val="93D26688"/>
    <w:lvl w:ilvl="0" w:tplc="3028D13A">
      <w:start w:val="1"/>
      <w:numFmt w:val="decimal"/>
      <w:lvlText w:val="%1."/>
      <w:lvlJc w:val="left"/>
      <w:pPr>
        <w:ind w:left="1702" w:hanging="284"/>
      </w:pPr>
      <w:rPr>
        <w:rFonts w:ascii="Arial" w:eastAsia="Arial" w:hAnsi="Arial" w:hint="default"/>
        <w:w w:val="99"/>
        <w:sz w:val="19"/>
        <w:szCs w:val="19"/>
      </w:rPr>
    </w:lvl>
    <w:lvl w:ilvl="1" w:tplc="F5404B84">
      <w:start w:val="1"/>
      <w:numFmt w:val="bullet"/>
      <w:lvlText w:val=""/>
      <w:lvlJc w:val="left"/>
      <w:pPr>
        <w:ind w:left="1985" w:hanging="284"/>
      </w:pPr>
      <w:rPr>
        <w:rFonts w:ascii="Symbol" w:eastAsia="Symbol" w:hAnsi="Symbol" w:hint="default"/>
        <w:color w:val="auto"/>
        <w:w w:val="99"/>
        <w:sz w:val="19"/>
        <w:szCs w:val="19"/>
      </w:rPr>
    </w:lvl>
    <w:lvl w:ilvl="2" w:tplc="90745B06">
      <w:start w:val="1"/>
      <w:numFmt w:val="bullet"/>
      <w:lvlText w:val=""/>
      <w:lvlJc w:val="left"/>
      <w:pPr>
        <w:ind w:left="2270" w:hanging="286"/>
      </w:pPr>
      <w:rPr>
        <w:rFonts w:ascii="Symbol" w:eastAsia="Symbol" w:hAnsi="Symbol" w:hint="default"/>
        <w:w w:val="99"/>
        <w:sz w:val="19"/>
        <w:szCs w:val="19"/>
      </w:rPr>
    </w:lvl>
    <w:lvl w:ilvl="3" w:tplc="748A3976">
      <w:start w:val="1"/>
      <w:numFmt w:val="bullet"/>
      <w:lvlText w:val="•"/>
      <w:lvlJc w:val="left"/>
      <w:pPr>
        <w:ind w:left="3474" w:hanging="286"/>
      </w:pPr>
      <w:rPr>
        <w:rFonts w:hint="default"/>
      </w:rPr>
    </w:lvl>
    <w:lvl w:ilvl="4" w:tplc="BE3457A2">
      <w:start w:val="1"/>
      <w:numFmt w:val="bullet"/>
      <w:lvlText w:val="•"/>
      <w:lvlJc w:val="left"/>
      <w:pPr>
        <w:ind w:left="4677" w:hanging="286"/>
      </w:pPr>
      <w:rPr>
        <w:rFonts w:hint="default"/>
      </w:rPr>
    </w:lvl>
    <w:lvl w:ilvl="5" w:tplc="653E6386">
      <w:start w:val="1"/>
      <w:numFmt w:val="bullet"/>
      <w:lvlText w:val="•"/>
      <w:lvlJc w:val="left"/>
      <w:pPr>
        <w:ind w:left="5881" w:hanging="286"/>
      </w:pPr>
      <w:rPr>
        <w:rFonts w:hint="default"/>
      </w:rPr>
    </w:lvl>
    <w:lvl w:ilvl="6" w:tplc="A8DA64F8">
      <w:start w:val="1"/>
      <w:numFmt w:val="bullet"/>
      <w:lvlText w:val="•"/>
      <w:lvlJc w:val="left"/>
      <w:pPr>
        <w:ind w:left="7085" w:hanging="286"/>
      </w:pPr>
      <w:rPr>
        <w:rFonts w:hint="default"/>
      </w:rPr>
    </w:lvl>
    <w:lvl w:ilvl="7" w:tplc="E606F5EC">
      <w:start w:val="1"/>
      <w:numFmt w:val="bullet"/>
      <w:lvlText w:val="•"/>
      <w:lvlJc w:val="left"/>
      <w:pPr>
        <w:ind w:left="8288" w:hanging="286"/>
      </w:pPr>
      <w:rPr>
        <w:rFonts w:hint="default"/>
      </w:rPr>
    </w:lvl>
    <w:lvl w:ilvl="8" w:tplc="EC24BBDC">
      <w:start w:val="1"/>
      <w:numFmt w:val="bullet"/>
      <w:lvlText w:val="•"/>
      <w:lvlJc w:val="left"/>
      <w:pPr>
        <w:ind w:left="9492" w:hanging="286"/>
      </w:pPr>
      <w:rPr>
        <w:rFonts w:hint="default"/>
      </w:rPr>
    </w:lvl>
  </w:abstractNum>
  <w:abstractNum w:abstractNumId="5" w15:restartNumberingAfterBreak="0">
    <w:nsid w:val="05DB5792"/>
    <w:multiLevelType w:val="hybridMultilevel"/>
    <w:tmpl w:val="A9BE7A4C"/>
    <w:lvl w:ilvl="0" w:tplc="1B807480">
      <w:start w:val="1"/>
      <w:numFmt w:val="bullet"/>
      <w:lvlText w:val=""/>
      <w:lvlJc w:val="left"/>
      <w:pPr>
        <w:ind w:left="1125" w:hanging="284"/>
      </w:pPr>
      <w:rPr>
        <w:rFonts w:ascii="Symbol" w:eastAsia="Symbol" w:hAnsi="Symbol" w:hint="default"/>
        <w:color w:val="auto"/>
        <w:w w:val="99"/>
        <w:sz w:val="19"/>
        <w:szCs w:val="19"/>
      </w:rPr>
    </w:lvl>
    <w:lvl w:ilvl="1" w:tplc="14D474D2">
      <w:start w:val="1"/>
      <w:numFmt w:val="bullet"/>
      <w:lvlText w:val="•"/>
      <w:lvlJc w:val="left"/>
      <w:pPr>
        <w:ind w:left="2117" w:hanging="284"/>
      </w:pPr>
      <w:rPr>
        <w:rFonts w:hint="default"/>
      </w:rPr>
    </w:lvl>
    <w:lvl w:ilvl="2" w:tplc="36E0B114">
      <w:start w:val="1"/>
      <w:numFmt w:val="bullet"/>
      <w:lvlText w:val="•"/>
      <w:lvlJc w:val="left"/>
      <w:pPr>
        <w:ind w:left="3110" w:hanging="284"/>
      </w:pPr>
      <w:rPr>
        <w:rFonts w:hint="default"/>
      </w:rPr>
    </w:lvl>
    <w:lvl w:ilvl="3" w:tplc="EE8E6E3A">
      <w:start w:val="1"/>
      <w:numFmt w:val="bullet"/>
      <w:lvlText w:val="•"/>
      <w:lvlJc w:val="left"/>
      <w:pPr>
        <w:ind w:left="4102" w:hanging="284"/>
      </w:pPr>
      <w:rPr>
        <w:rFonts w:hint="default"/>
      </w:rPr>
    </w:lvl>
    <w:lvl w:ilvl="4" w:tplc="3ED60B98">
      <w:start w:val="1"/>
      <w:numFmt w:val="bullet"/>
      <w:lvlText w:val="•"/>
      <w:lvlJc w:val="left"/>
      <w:pPr>
        <w:ind w:left="5094" w:hanging="284"/>
      </w:pPr>
      <w:rPr>
        <w:rFonts w:hint="default"/>
      </w:rPr>
    </w:lvl>
    <w:lvl w:ilvl="5" w:tplc="00A4E656">
      <w:start w:val="1"/>
      <w:numFmt w:val="bullet"/>
      <w:lvlText w:val="•"/>
      <w:lvlJc w:val="left"/>
      <w:pPr>
        <w:ind w:left="6087" w:hanging="284"/>
      </w:pPr>
      <w:rPr>
        <w:rFonts w:hint="default"/>
      </w:rPr>
    </w:lvl>
    <w:lvl w:ilvl="6" w:tplc="2D0A375A">
      <w:start w:val="1"/>
      <w:numFmt w:val="bullet"/>
      <w:lvlText w:val="•"/>
      <w:lvlJc w:val="left"/>
      <w:pPr>
        <w:ind w:left="7079" w:hanging="284"/>
      </w:pPr>
      <w:rPr>
        <w:rFonts w:hint="default"/>
      </w:rPr>
    </w:lvl>
    <w:lvl w:ilvl="7" w:tplc="EAFEAB12">
      <w:start w:val="1"/>
      <w:numFmt w:val="bullet"/>
      <w:lvlText w:val="•"/>
      <w:lvlJc w:val="left"/>
      <w:pPr>
        <w:ind w:left="8071" w:hanging="284"/>
      </w:pPr>
      <w:rPr>
        <w:rFonts w:hint="default"/>
      </w:rPr>
    </w:lvl>
    <w:lvl w:ilvl="8" w:tplc="44BA15A2">
      <w:start w:val="1"/>
      <w:numFmt w:val="bullet"/>
      <w:lvlText w:val="•"/>
      <w:lvlJc w:val="left"/>
      <w:pPr>
        <w:ind w:left="9064" w:hanging="284"/>
      </w:pPr>
      <w:rPr>
        <w:rFonts w:hint="default"/>
      </w:rPr>
    </w:lvl>
  </w:abstractNum>
  <w:abstractNum w:abstractNumId="6" w15:restartNumberingAfterBreak="0">
    <w:nsid w:val="088A55C8"/>
    <w:multiLevelType w:val="hybridMultilevel"/>
    <w:tmpl w:val="1B6C814E"/>
    <w:lvl w:ilvl="0" w:tplc="0012FB46">
      <w:start w:val="1"/>
      <w:numFmt w:val="bullet"/>
      <w:lvlText w:val=""/>
      <w:lvlJc w:val="left"/>
      <w:pPr>
        <w:ind w:left="1125" w:hanging="284"/>
      </w:pPr>
      <w:rPr>
        <w:rFonts w:ascii="Symbol" w:eastAsia="Symbol" w:hAnsi="Symbol" w:hint="default"/>
        <w:color w:val="auto"/>
        <w:w w:val="99"/>
        <w:sz w:val="19"/>
        <w:szCs w:val="19"/>
      </w:rPr>
    </w:lvl>
    <w:lvl w:ilvl="1" w:tplc="1C7AB45C">
      <w:start w:val="1"/>
      <w:numFmt w:val="bullet"/>
      <w:lvlText w:val="•"/>
      <w:lvlJc w:val="left"/>
      <w:pPr>
        <w:ind w:left="2116" w:hanging="284"/>
      </w:pPr>
      <w:rPr>
        <w:rFonts w:hint="default"/>
      </w:rPr>
    </w:lvl>
    <w:lvl w:ilvl="2" w:tplc="E3A241D0">
      <w:start w:val="1"/>
      <w:numFmt w:val="bullet"/>
      <w:lvlText w:val="•"/>
      <w:lvlJc w:val="left"/>
      <w:pPr>
        <w:ind w:left="3108" w:hanging="284"/>
      </w:pPr>
      <w:rPr>
        <w:rFonts w:hint="default"/>
      </w:rPr>
    </w:lvl>
    <w:lvl w:ilvl="3" w:tplc="1AAECBB2">
      <w:start w:val="1"/>
      <w:numFmt w:val="bullet"/>
      <w:lvlText w:val="•"/>
      <w:lvlJc w:val="left"/>
      <w:pPr>
        <w:ind w:left="4099" w:hanging="284"/>
      </w:pPr>
      <w:rPr>
        <w:rFonts w:hint="default"/>
      </w:rPr>
    </w:lvl>
    <w:lvl w:ilvl="4" w:tplc="E10E77BC">
      <w:start w:val="1"/>
      <w:numFmt w:val="bullet"/>
      <w:lvlText w:val="•"/>
      <w:lvlJc w:val="left"/>
      <w:pPr>
        <w:ind w:left="5090" w:hanging="284"/>
      </w:pPr>
      <w:rPr>
        <w:rFonts w:hint="default"/>
      </w:rPr>
    </w:lvl>
    <w:lvl w:ilvl="5" w:tplc="CFACBA14">
      <w:start w:val="1"/>
      <w:numFmt w:val="bullet"/>
      <w:lvlText w:val="•"/>
      <w:lvlJc w:val="left"/>
      <w:pPr>
        <w:ind w:left="6082" w:hanging="284"/>
      </w:pPr>
      <w:rPr>
        <w:rFonts w:hint="default"/>
      </w:rPr>
    </w:lvl>
    <w:lvl w:ilvl="6" w:tplc="24C4EFB6">
      <w:start w:val="1"/>
      <w:numFmt w:val="bullet"/>
      <w:lvlText w:val="•"/>
      <w:lvlJc w:val="left"/>
      <w:pPr>
        <w:ind w:left="7073" w:hanging="284"/>
      </w:pPr>
      <w:rPr>
        <w:rFonts w:hint="default"/>
      </w:rPr>
    </w:lvl>
    <w:lvl w:ilvl="7" w:tplc="9C50324E">
      <w:start w:val="1"/>
      <w:numFmt w:val="bullet"/>
      <w:lvlText w:val="•"/>
      <w:lvlJc w:val="left"/>
      <w:pPr>
        <w:ind w:left="8065" w:hanging="284"/>
      </w:pPr>
      <w:rPr>
        <w:rFonts w:hint="default"/>
      </w:rPr>
    </w:lvl>
    <w:lvl w:ilvl="8" w:tplc="4014C200">
      <w:start w:val="1"/>
      <w:numFmt w:val="bullet"/>
      <w:lvlText w:val="•"/>
      <w:lvlJc w:val="left"/>
      <w:pPr>
        <w:ind w:left="9056" w:hanging="284"/>
      </w:pPr>
      <w:rPr>
        <w:rFonts w:hint="default"/>
      </w:rPr>
    </w:lvl>
  </w:abstractNum>
  <w:abstractNum w:abstractNumId="7" w15:restartNumberingAfterBreak="0">
    <w:nsid w:val="08EE4BB4"/>
    <w:multiLevelType w:val="hybridMultilevel"/>
    <w:tmpl w:val="F8AC8BE2"/>
    <w:lvl w:ilvl="0" w:tplc="E84A081A">
      <w:start w:val="1"/>
      <w:numFmt w:val="bullet"/>
      <w:lvlText w:val=""/>
      <w:lvlJc w:val="left"/>
      <w:pPr>
        <w:ind w:left="1329" w:hanging="360"/>
      </w:pPr>
      <w:rPr>
        <w:rFonts w:ascii="Symbol" w:eastAsia="Symbol" w:hAnsi="Symbol" w:hint="default"/>
        <w:color w:val="AE4A91"/>
        <w:w w:val="99"/>
        <w:sz w:val="19"/>
        <w:szCs w:val="19"/>
      </w:rPr>
    </w:lvl>
    <w:lvl w:ilvl="1" w:tplc="26B40976">
      <w:start w:val="1"/>
      <w:numFmt w:val="bullet"/>
      <w:lvlText w:val="•"/>
      <w:lvlJc w:val="left"/>
      <w:pPr>
        <w:ind w:left="2300" w:hanging="360"/>
      </w:pPr>
      <w:rPr>
        <w:rFonts w:hint="default"/>
      </w:rPr>
    </w:lvl>
    <w:lvl w:ilvl="2" w:tplc="45F2A872">
      <w:start w:val="1"/>
      <w:numFmt w:val="bullet"/>
      <w:lvlText w:val="•"/>
      <w:lvlJc w:val="left"/>
      <w:pPr>
        <w:ind w:left="3271" w:hanging="360"/>
      </w:pPr>
      <w:rPr>
        <w:rFonts w:hint="default"/>
      </w:rPr>
    </w:lvl>
    <w:lvl w:ilvl="3" w:tplc="99700DCE">
      <w:start w:val="1"/>
      <w:numFmt w:val="bullet"/>
      <w:lvlText w:val="•"/>
      <w:lvlJc w:val="left"/>
      <w:pPr>
        <w:ind w:left="4242" w:hanging="360"/>
      </w:pPr>
      <w:rPr>
        <w:rFonts w:hint="default"/>
      </w:rPr>
    </w:lvl>
    <w:lvl w:ilvl="4" w:tplc="04663992">
      <w:start w:val="1"/>
      <w:numFmt w:val="bullet"/>
      <w:lvlText w:val="•"/>
      <w:lvlJc w:val="left"/>
      <w:pPr>
        <w:ind w:left="5213" w:hanging="360"/>
      </w:pPr>
      <w:rPr>
        <w:rFonts w:hint="default"/>
      </w:rPr>
    </w:lvl>
    <w:lvl w:ilvl="5" w:tplc="E82C8632">
      <w:start w:val="1"/>
      <w:numFmt w:val="bullet"/>
      <w:lvlText w:val="•"/>
      <w:lvlJc w:val="left"/>
      <w:pPr>
        <w:ind w:left="6184" w:hanging="360"/>
      </w:pPr>
      <w:rPr>
        <w:rFonts w:hint="default"/>
      </w:rPr>
    </w:lvl>
    <w:lvl w:ilvl="6" w:tplc="C6B82F6E">
      <w:start w:val="1"/>
      <w:numFmt w:val="bullet"/>
      <w:lvlText w:val="•"/>
      <w:lvlJc w:val="left"/>
      <w:pPr>
        <w:ind w:left="7155" w:hanging="360"/>
      </w:pPr>
      <w:rPr>
        <w:rFonts w:hint="default"/>
      </w:rPr>
    </w:lvl>
    <w:lvl w:ilvl="7" w:tplc="02CC992C">
      <w:start w:val="1"/>
      <w:numFmt w:val="bullet"/>
      <w:lvlText w:val="•"/>
      <w:lvlJc w:val="left"/>
      <w:pPr>
        <w:ind w:left="8126" w:hanging="360"/>
      </w:pPr>
      <w:rPr>
        <w:rFonts w:hint="default"/>
      </w:rPr>
    </w:lvl>
    <w:lvl w:ilvl="8" w:tplc="9F061428">
      <w:start w:val="1"/>
      <w:numFmt w:val="bullet"/>
      <w:lvlText w:val="•"/>
      <w:lvlJc w:val="left"/>
      <w:pPr>
        <w:ind w:left="9097" w:hanging="360"/>
      </w:pPr>
      <w:rPr>
        <w:rFonts w:hint="default"/>
      </w:rPr>
    </w:lvl>
  </w:abstractNum>
  <w:abstractNum w:abstractNumId="8" w15:restartNumberingAfterBreak="0">
    <w:nsid w:val="09FA74CE"/>
    <w:multiLevelType w:val="multilevel"/>
    <w:tmpl w:val="4C106B34"/>
    <w:lvl w:ilvl="0">
      <w:start w:val="1"/>
      <w:numFmt w:val="decimal"/>
      <w:lvlText w:val="%1"/>
      <w:lvlJc w:val="left"/>
      <w:pPr>
        <w:ind w:left="118" w:hanging="507"/>
      </w:pPr>
      <w:rPr>
        <w:rFonts w:hint="default"/>
      </w:rPr>
    </w:lvl>
    <w:lvl w:ilvl="1">
      <w:start w:val="2"/>
      <w:numFmt w:val="decimal"/>
      <w:lvlText w:val="%1.%2"/>
      <w:lvlJc w:val="left"/>
      <w:pPr>
        <w:ind w:left="118" w:hanging="507"/>
      </w:pPr>
      <w:rPr>
        <w:rFonts w:hint="default"/>
      </w:rPr>
    </w:lvl>
    <w:lvl w:ilvl="2">
      <w:start w:val="3"/>
      <w:numFmt w:val="decimal"/>
      <w:lvlText w:val="%1.%2.%3"/>
      <w:lvlJc w:val="left"/>
      <w:pPr>
        <w:ind w:left="118" w:hanging="507"/>
      </w:pPr>
      <w:rPr>
        <w:rFonts w:ascii="Arial" w:eastAsia="Arial" w:hAnsi="Arial" w:hint="default"/>
        <w:w w:val="99"/>
        <w:sz w:val="19"/>
        <w:szCs w:val="19"/>
      </w:rPr>
    </w:lvl>
    <w:lvl w:ilvl="3">
      <w:start w:val="1"/>
      <w:numFmt w:val="bullet"/>
      <w:lvlText w:val=""/>
      <w:lvlJc w:val="left"/>
      <w:pPr>
        <w:ind w:left="1390" w:hanging="284"/>
      </w:pPr>
      <w:rPr>
        <w:rFonts w:ascii="Symbol" w:eastAsia="Symbol" w:hAnsi="Symbol" w:hint="default"/>
        <w:color w:val="auto"/>
        <w:w w:val="99"/>
        <w:sz w:val="19"/>
        <w:szCs w:val="19"/>
      </w:rPr>
    </w:lvl>
    <w:lvl w:ilvl="4">
      <w:start w:val="1"/>
      <w:numFmt w:val="bullet"/>
      <w:lvlText w:val="•"/>
      <w:lvlJc w:val="left"/>
      <w:pPr>
        <w:ind w:left="4030" w:hanging="284"/>
      </w:pPr>
      <w:rPr>
        <w:rFonts w:hint="default"/>
      </w:rPr>
    </w:lvl>
    <w:lvl w:ilvl="5">
      <w:start w:val="1"/>
      <w:numFmt w:val="bullet"/>
      <w:lvlText w:val="•"/>
      <w:lvlJc w:val="left"/>
      <w:pPr>
        <w:ind w:left="4909" w:hanging="284"/>
      </w:pPr>
      <w:rPr>
        <w:rFonts w:hint="default"/>
      </w:rPr>
    </w:lvl>
    <w:lvl w:ilvl="6">
      <w:start w:val="1"/>
      <w:numFmt w:val="bullet"/>
      <w:lvlText w:val="•"/>
      <w:lvlJc w:val="left"/>
      <w:pPr>
        <w:ind w:left="5789" w:hanging="284"/>
      </w:pPr>
      <w:rPr>
        <w:rFonts w:hint="default"/>
      </w:rPr>
    </w:lvl>
    <w:lvl w:ilvl="7">
      <w:start w:val="1"/>
      <w:numFmt w:val="bullet"/>
      <w:lvlText w:val="•"/>
      <w:lvlJc w:val="left"/>
      <w:pPr>
        <w:ind w:left="6669" w:hanging="284"/>
      </w:pPr>
      <w:rPr>
        <w:rFonts w:hint="default"/>
      </w:rPr>
    </w:lvl>
    <w:lvl w:ilvl="8">
      <w:start w:val="1"/>
      <w:numFmt w:val="bullet"/>
      <w:lvlText w:val="•"/>
      <w:lvlJc w:val="left"/>
      <w:pPr>
        <w:ind w:left="7549" w:hanging="284"/>
      </w:pPr>
      <w:rPr>
        <w:rFonts w:hint="default"/>
      </w:rPr>
    </w:lvl>
  </w:abstractNum>
  <w:abstractNum w:abstractNumId="9" w15:restartNumberingAfterBreak="0">
    <w:nsid w:val="0DCD35AB"/>
    <w:multiLevelType w:val="hybridMultilevel"/>
    <w:tmpl w:val="3D0A1146"/>
    <w:lvl w:ilvl="0" w:tplc="276CCE0A">
      <w:start w:val="1"/>
      <w:numFmt w:val="bullet"/>
      <w:lvlText w:val="–"/>
      <w:lvlJc w:val="left"/>
      <w:pPr>
        <w:ind w:left="398" w:hanging="166"/>
      </w:pPr>
      <w:rPr>
        <w:rFonts w:ascii="Arial" w:eastAsia="Arial" w:hAnsi="Arial" w:hint="default"/>
        <w:w w:val="99"/>
        <w:sz w:val="20"/>
        <w:szCs w:val="20"/>
      </w:rPr>
    </w:lvl>
    <w:lvl w:ilvl="1" w:tplc="F8880FBC">
      <w:start w:val="1"/>
      <w:numFmt w:val="bullet"/>
      <w:lvlText w:val="•"/>
      <w:lvlJc w:val="left"/>
      <w:pPr>
        <w:ind w:left="1268" w:hanging="166"/>
      </w:pPr>
      <w:rPr>
        <w:rFonts w:hint="default"/>
      </w:rPr>
    </w:lvl>
    <w:lvl w:ilvl="2" w:tplc="178E1556">
      <w:start w:val="1"/>
      <w:numFmt w:val="bullet"/>
      <w:lvlText w:val="•"/>
      <w:lvlJc w:val="left"/>
      <w:pPr>
        <w:ind w:left="2138" w:hanging="166"/>
      </w:pPr>
      <w:rPr>
        <w:rFonts w:hint="default"/>
      </w:rPr>
    </w:lvl>
    <w:lvl w:ilvl="3" w:tplc="F56CC6C6">
      <w:start w:val="1"/>
      <w:numFmt w:val="bullet"/>
      <w:lvlText w:val="•"/>
      <w:lvlJc w:val="left"/>
      <w:pPr>
        <w:ind w:left="3008" w:hanging="166"/>
      </w:pPr>
      <w:rPr>
        <w:rFonts w:hint="default"/>
      </w:rPr>
    </w:lvl>
    <w:lvl w:ilvl="4" w:tplc="408E0C02">
      <w:start w:val="1"/>
      <w:numFmt w:val="bullet"/>
      <w:lvlText w:val="•"/>
      <w:lvlJc w:val="left"/>
      <w:pPr>
        <w:ind w:left="3879" w:hanging="166"/>
      </w:pPr>
      <w:rPr>
        <w:rFonts w:hint="default"/>
      </w:rPr>
    </w:lvl>
    <w:lvl w:ilvl="5" w:tplc="1F4E3794">
      <w:start w:val="1"/>
      <w:numFmt w:val="bullet"/>
      <w:lvlText w:val="•"/>
      <w:lvlJc w:val="left"/>
      <w:pPr>
        <w:ind w:left="4749" w:hanging="166"/>
      </w:pPr>
      <w:rPr>
        <w:rFonts w:hint="default"/>
      </w:rPr>
    </w:lvl>
    <w:lvl w:ilvl="6" w:tplc="A45256EE">
      <w:start w:val="1"/>
      <w:numFmt w:val="bullet"/>
      <w:lvlText w:val="•"/>
      <w:lvlJc w:val="left"/>
      <w:pPr>
        <w:ind w:left="5619" w:hanging="166"/>
      </w:pPr>
      <w:rPr>
        <w:rFonts w:hint="default"/>
      </w:rPr>
    </w:lvl>
    <w:lvl w:ilvl="7" w:tplc="6BC4ACB6">
      <w:start w:val="1"/>
      <w:numFmt w:val="bullet"/>
      <w:lvlText w:val="•"/>
      <w:lvlJc w:val="left"/>
      <w:pPr>
        <w:ind w:left="6489" w:hanging="166"/>
      </w:pPr>
      <w:rPr>
        <w:rFonts w:hint="default"/>
      </w:rPr>
    </w:lvl>
    <w:lvl w:ilvl="8" w:tplc="36387E04">
      <w:start w:val="1"/>
      <w:numFmt w:val="bullet"/>
      <w:lvlText w:val="•"/>
      <w:lvlJc w:val="left"/>
      <w:pPr>
        <w:ind w:left="7359" w:hanging="166"/>
      </w:pPr>
      <w:rPr>
        <w:rFonts w:hint="default"/>
      </w:rPr>
    </w:lvl>
  </w:abstractNum>
  <w:abstractNum w:abstractNumId="10" w15:restartNumberingAfterBreak="0">
    <w:nsid w:val="14177859"/>
    <w:multiLevelType w:val="hybridMultilevel"/>
    <w:tmpl w:val="52F026CA"/>
    <w:lvl w:ilvl="0" w:tplc="9F806AD4">
      <w:start w:val="1"/>
      <w:numFmt w:val="bullet"/>
      <w:lvlText w:val=""/>
      <w:lvlJc w:val="left"/>
      <w:pPr>
        <w:ind w:left="1125" w:hanging="284"/>
      </w:pPr>
      <w:rPr>
        <w:rFonts w:ascii="Symbol" w:eastAsia="Symbol" w:hAnsi="Symbol" w:hint="default"/>
        <w:color w:val="auto"/>
        <w:w w:val="99"/>
        <w:sz w:val="19"/>
        <w:szCs w:val="19"/>
      </w:rPr>
    </w:lvl>
    <w:lvl w:ilvl="1" w:tplc="AEF2EFB6">
      <w:start w:val="1"/>
      <w:numFmt w:val="bullet"/>
      <w:lvlText w:val="•"/>
      <w:lvlJc w:val="left"/>
      <w:pPr>
        <w:ind w:left="2116" w:hanging="284"/>
      </w:pPr>
      <w:rPr>
        <w:rFonts w:hint="default"/>
      </w:rPr>
    </w:lvl>
    <w:lvl w:ilvl="2" w:tplc="C722DC9C">
      <w:start w:val="1"/>
      <w:numFmt w:val="bullet"/>
      <w:lvlText w:val="•"/>
      <w:lvlJc w:val="left"/>
      <w:pPr>
        <w:ind w:left="3108" w:hanging="284"/>
      </w:pPr>
      <w:rPr>
        <w:rFonts w:hint="default"/>
      </w:rPr>
    </w:lvl>
    <w:lvl w:ilvl="3" w:tplc="F022CAEE">
      <w:start w:val="1"/>
      <w:numFmt w:val="bullet"/>
      <w:lvlText w:val="•"/>
      <w:lvlJc w:val="left"/>
      <w:pPr>
        <w:ind w:left="4099" w:hanging="284"/>
      </w:pPr>
      <w:rPr>
        <w:rFonts w:hint="default"/>
      </w:rPr>
    </w:lvl>
    <w:lvl w:ilvl="4" w:tplc="B85C3334">
      <w:start w:val="1"/>
      <w:numFmt w:val="bullet"/>
      <w:lvlText w:val="•"/>
      <w:lvlJc w:val="left"/>
      <w:pPr>
        <w:ind w:left="5090" w:hanging="284"/>
      </w:pPr>
      <w:rPr>
        <w:rFonts w:hint="default"/>
      </w:rPr>
    </w:lvl>
    <w:lvl w:ilvl="5" w:tplc="ADD0A0D8">
      <w:start w:val="1"/>
      <w:numFmt w:val="bullet"/>
      <w:lvlText w:val="•"/>
      <w:lvlJc w:val="left"/>
      <w:pPr>
        <w:ind w:left="6082" w:hanging="284"/>
      </w:pPr>
      <w:rPr>
        <w:rFonts w:hint="default"/>
      </w:rPr>
    </w:lvl>
    <w:lvl w:ilvl="6" w:tplc="02E43C2A">
      <w:start w:val="1"/>
      <w:numFmt w:val="bullet"/>
      <w:lvlText w:val="•"/>
      <w:lvlJc w:val="left"/>
      <w:pPr>
        <w:ind w:left="7073" w:hanging="284"/>
      </w:pPr>
      <w:rPr>
        <w:rFonts w:hint="default"/>
      </w:rPr>
    </w:lvl>
    <w:lvl w:ilvl="7" w:tplc="87D42F6C">
      <w:start w:val="1"/>
      <w:numFmt w:val="bullet"/>
      <w:lvlText w:val="•"/>
      <w:lvlJc w:val="left"/>
      <w:pPr>
        <w:ind w:left="8065" w:hanging="284"/>
      </w:pPr>
      <w:rPr>
        <w:rFonts w:hint="default"/>
      </w:rPr>
    </w:lvl>
    <w:lvl w:ilvl="8" w:tplc="CEFE6A20">
      <w:start w:val="1"/>
      <w:numFmt w:val="bullet"/>
      <w:lvlText w:val="•"/>
      <w:lvlJc w:val="left"/>
      <w:pPr>
        <w:ind w:left="9056" w:hanging="284"/>
      </w:pPr>
      <w:rPr>
        <w:rFonts w:hint="default"/>
      </w:rPr>
    </w:lvl>
  </w:abstractNum>
  <w:abstractNum w:abstractNumId="11" w15:restartNumberingAfterBreak="0">
    <w:nsid w:val="17512EBA"/>
    <w:multiLevelType w:val="hybridMultilevel"/>
    <w:tmpl w:val="38906E04"/>
    <w:lvl w:ilvl="0" w:tplc="FF82BC14">
      <w:start w:val="1"/>
      <w:numFmt w:val="bullet"/>
      <w:lvlText w:val=""/>
      <w:lvlJc w:val="left"/>
      <w:pPr>
        <w:ind w:left="1125" w:hanging="284"/>
      </w:pPr>
      <w:rPr>
        <w:rFonts w:ascii="Symbol" w:eastAsia="Symbol" w:hAnsi="Symbol" w:hint="default"/>
        <w:color w:val="auto"/>
        <w:w w:val="99"/>
        <w:sz w:val="19"/>
        <w:szCs w:val="19"/>
      </w:rPr>
    </w:lvl>
    <w:lvl w:ilvl="1" w:tplc="D556DCBC">
      <w:start w:val="1"/>
      <w:numFmt w:val="bullet"/>
      <w:lvlText w:val="•"/>
      <w:lvlJc w:val="left"/>
      <w:pPr>
        <w:ind w:left="2116" w:hanging="284"/>
      </w:pPr>
      <w:rPr>
        <w:rFonts w:hint="default"/>
      </w:rPr>
    </w:lvl>
    <w:lvl w:ilvl="2" w:tplc="BD365B36">
      <w:start w:val="1"/>
      <w:numFmt w:val="bullet"/>
      <w:lvlText w:val="•"/>
      <w:lvlJc w:val="left"/>
      <w:pPr>
        <w:ind w:left="3108" w:hanging="284"/>
      </w:pPr>
      <w:rPr>
        <w:rFonts w:hint="default"/>
      </w:rPr>
    </w:lvl>
    <w:lvl w:ilvl="3" w:tplc="C3201882">
      <w:start w:val="1"/>
      <w:numFmt w:val="bullet"/>
      <w:lvlText w:val="•"/>
      <w:lvlJc w:val="left"/>
      <w:pPr>
        <w:ind w:left="4099" w:hanging="284"/>
      </w:pPr>
      <w:rPr>
        <w:rFonts w:hint="default"/>
      </w:rPr>
    </w:lvl>
    <w:lvl w:ilvl="4" w:tplc="8C586C36">
      <w:start w:val="1"/>
      <w:numFmt w:val="bullet"/>
      <w:lvlText w:val="•"/>
      <w:lvlJc w:val="left"/>
      <w:pPr>
        <w:ind w:left="5090" w:hanging="284"/>
      </w:pPr>
      <w:rPr>
        <w:rFonts w:hint="default"/>
      </w:rPr>
    </w:lvl>
    <w:lvl w:ilvl="5" w:tplc="E050EB14">
      <w:start w:val="1"/>
      <w:numFmt w:val="bullet"/>
      <w:lvlText w:val="•"/>
      <w:lvlJc w:val="left"/>
      <w:pPr>
        <w:ind w:left="6082" w:hanging="284"/>
      </w:pPr>
      <w:rPr>
        <w:rFonts w:hint="default"/>
      </w:rPr>
    </w:lvl>
    <w:lvl w:ilvl="6" w:tplc="209A3D24">
      <w:start w:val="1"/>
      <w:numFmt w:val="bullet"/>
      <w:lvlText w:val="•"/>
      <w:lvlJc w:val="left"/>
      <w:pPr>
        <w:ind w:left="7073" w:hanging="284"/>
      </w:pPr>
      <w:rPr>
        <w:rFonts w:hint="default"/>
      </w:rPr>
    </w:lvl>
    <w:lvl w:ilvl="7" w:tplc="07885542">
      <w:start w:val="1"/>
      <w:numFmt w:val="bullet"/>
      <w:lvlText w:val="•"/>
      <w:lvlJc w:val="left"/>
      <w:pPr>
        <w:ind w:left="8065" w:hanging="284"/>
      </w:pPr>
      <w:rPr>
        <w:rFonts w:hint="default"/>
      </w:rPr>
    </w:lvl>
    <w:lvl w:ilvl="8" w:tplc="248C7418">
      <w:start w:val="1"/>
      <w:numFmt w:val="bullet"/>
      <w:lvlText w:val="•"/>
      <w:lvlJc w:val="left"/>
      <w:pPr>
        <w:ind w:left="9056" w:hanging="284"/>
      </w:pPr>
      <w:rPr>
        <w:rFonts w:hint="default"/>
      </w:rPr>
    </w:lvl>
  </w:abstractNum>
  <w:abstractNum w:abstractNumId="12" w15:restartNumberingAfterBreak="0">
    <w:nsid w:val="17F96B49"/>
    <w:multiLevelType w:val="hybridMultilevel"/>
    <w:tmpl w:val="E7D0B5EC"/>
    <w:lvl w:ilvl="0" w:tplc="129A1BC6">
      <w:start w:val="1"/>
      <w:numFmt w:val="decimal"/>
      <w:lvlText w:val="%1."/>
      <w:lvlJc w:val="left"/>
      <w:pPr>
        <w:ind w:left="842" w:hanging="284"/>
      </w:pPr>
      <w:rPr>
        <w:rFonts w:ascii="Arial" w:eastAsia="Arial" w:hAnsi="Arial" w:hint="default"/>
        <w:w w:val="99"/>
        <w:sz w:val="19"/>
        <w:szCs w:val="19"/>
      </w:rPr>
    </w:lvl>
    <w:lvl w:ilvl="1" w:tplc="C3BA28CA">
      <w:start w:val="1"/>
      <w:numFmt w:val="bullet"/>
      <w:lvlText w:val=""/>
      <w:lvlJc w:val="left"/>
      <w:pPr>
        <w:ind w:left="1125" w:hanging="284"/>
      </w:pPr>
      <w:rPr>
        <w:rFonts w:ascii="Symbol" w:eastAsia="Symbol" w:hAnsi="Symbol" w:hint="default"/>
        <w:color w:val="auto"/>
        <w:w w:val="99"/>
        <w:sz w:val="19"/>
        <w:szCs w:val="19"/>
      </w:rPr>
    </w:lvl>
    <w:lvl w:ilvl="2" w:tplc="1460F984">
      <w:start w:val="1"/>
      <w:numFmt w:val="bullet"/>
      <w:lvlText w:val="•"/>
      <w:lvlJc w:val="left"/>
      <w:pPr>
        <w:ind w:left="2226" w:hanging="284"/>
      </w:pPr>
      <w:rPr>
        <w:rFonts w:hint="default"/>
      </w:rPr>
    </w:lvl>
    <w:lvl w:ilvl="3" w:tplc="D14A8B14">
      <w:start w:val="1"/>
      <w:numFmt w:val="bullet"/>
      <w:lvlText w:val="•"/>
      <w:lvlJc w:val="left"/>
      <w:pPr>
        <w:ind w:left="3328" w:hanging="284"/>
      </w:pPr>
      <w:rPr>
        <w:rFonts w:hint="default"/>
      </w:rPr>
    </w:lvl>
    <w:lvl w:ilvl="4" w:tplc="E11EC09C">
      <w:start w:val="1"/>
      <w:numFmt w:val="bullet"/>
      <w:lvlText w:val="•"/>
      <w:lvlJc w:val="left"/>
      <w:pPr>
        <w:ind w:left="4429" w:hanging="284"/>
      </w:pPr>
      <w:rPr>
        <w:rFonts w:hint="default"/>
      </w:rPr>
    </w:lvl>
    <w:lvl w:ilvl="5" w:tplc="B43AC1C4">
      <w:start w:val="1"/>
      <w:numFmt w:val="bullet"/>
      <w:lvlText w:val="•"/>
      <w:lvlJc w:val="left"/>
      <w:pPr>
        <w:ind w:left="5531" w:hanging="284"/>
      </w:pPr>
      <w:rPr>
        <w:rFonts w:hint="default"/>
      </w:rPr>
    </w:lvl>
    <w:lvl w:ilvl="6" w:tplc="05DAC56E">
      <w:start w:val="1"/>
      <w:numFmt w:val="bullet"/>
      <w:lvlText w:val="•"/>
      <w:lvlJc w:val="left"/>
      <w:pPr>
        <w:ind w:left="6633" w:hanging="284"/>
      </w:pPr>
      <w:rPr>
        <w:rFonts w:hint="default"/>
      </w:rPr>
    </w:lvl>
    <w:lvl w:ilvl="7" w:tplc="C0C03E1A">
      <w:start w:val="1"/>
      <w:numFmt w:val="bullet"/>
      <w:lvlText w:val="•"/>
      <w:lvlJc w:val="left"/>
      <w:pPr>
        <w:ind w:left="7734" w:hanging="284"/>
      </w:pPr>
      <w:rPr>
        <w:rFonts w:hint="default"/>
      </w:rPr>
    </w:lvl>
    <w:lvl w:ilvl="8" w:tplc="EB3032E2">
      <w:start w:val="1"/>
      <w:numFmt w:val="bullet"/>
      <w:lvlText w:val="•"/>
      <w:lvlJc w:val="left"/>
      <w:pPr>
        <w:ind w:left="8836" w:hanging="284"/>
      </w:pPr>
      <w:rPr>
        <w:rFonts w:hint="default"/>
      </w:rPr>
    </w:lvl>
  </w:abstractNum>
  <w:abstractNum w:abstractNumId="13" w15:restartNumberingAfterBreak="0">
    <w:nsid w:val="181523F4"/>
    <w:multiLevelType w:val="hybridMultilevel"/>
    <w:tmpl w:val="069E3394"/>
    <w:lvl w:ilvl="0" w:tplc="271CE6F8">
      <w:start w:val="1"/>
      <w:numFmt w:val="bullet"/>
      <w:lvlText w:val=""/>
      <w:lvlJc w:val="left"/>
      <w:pPr>
        <w:ind w:left="468" w:hanging="360"/>
      </w:pPr>
      <w:rPr>
        <w:rFonts w:ascii="Symbol" w:eastAsia="Symbol" w:hAnsi="Symbol" w:hint="default"/>
        <w:color w:val="AE4A91"/>
        <w:w w:val="99"/>
        <w:sz w:val="19"/>
        <w:szCs w:val="19"/>
      </w:rPr>
    </w:lvl>
    <w:lvl w:ilvl="1" w:tplc="5B228984">
      <w:start w:val="1"/>
      <w:numFmt w:val="bullet"/>
      <w:lvlText w:val="•"/>
      <w:lvlJc w:val="left"/>
      <w:pPr>
        <w:ind w:left="1292" w:hanging="360"/>
      </w:pPr>
      <w:rPr>
        <w:rFonts w:hint="default"/>
      </w:rPr>
    </w:lvl>
    <w:lvl w:ilvl="2" w:tplc="0D5AAB4E">
      <w:start w:val="1"/>
      <w:numFmt w:val="bullet"/>
      <w:lvlText w:val="•"/>
      <w:lvlJc w:val="left"/>
      <w:pPr>
        <w:ind w:left="2117" w:hanging="360"/>
      </w:pPr>
      <w:rPr>
        <w:rFonts w:hint="default"/>
      </w:rPr>
    </w:lvl>
    <w:lvl w:ilvl="3" w:tplc="5958D6A2">
      <w:start w:val="1"/>
      <w:numFmt w:val="bullet"/>
      <w:lvlText w:val="•"/>
      <w:lvlJc w:val="left"/>
      <w:pPr>
        <w:ind w:left="2941" w:hanging="360"/>
      </w:pPr>
      <w:rPr>
        <w:rFonts w:hint="default"/>
      </w:rPr>
    </w:lvl>
    <w:lvl w:ilvl="4" w:tplc="BBAEA422">
      <w:start w:val="1"/>
      <w:numFmt w:val="bullet"/>
      <w:lvlText w:val="•"/>
      <w:lvlJc w:val="left"/>
      <w:pPr>
        <w:ind w:left="3766" w:hanging="360"/>
      </w:pPr>
      <w:rPr>
        <w:rFonts w:hint="default"/>
      </w:rPr>
    </w:lvl>
    <w:lvl w:ilvl="5" w:tplc="5C48B222">
      <w:start w:val="1"/>
      <w:numFmt w:val="bullet"/>
      <w:lvlText w:val="•"/>
      <w:lvlJc w:val="left"/>
      <w:pPr>
        <w:ind w:left="4591" w:hanging="360"/>
      </w:pPr>
      <w:rPr>
        <w:rFonts w:hint="default"/>
      </w:rPr>
    </w:lvl>
    <w:lvl w:ilvl="6" w:tplc="44C8237A">
      <w:start w:val="1"/>
      <w:numFmt w:val="bullet"/>
      <w:lvlText w:val="•"/>
      <w:lvlJc w:val="left"/>
      <w:pPr>
        <w:ind w:left="5415" w:hanging="360"/>
      </w:pPr>
      <w:rPr>
        <w:rFonts w:hint="default"/>
      </w:rPr>
    </w:lvl>
    <w:lvl w:ilvl="7" w:tplc="8690A9B0">
      <w:start w:val="1"/>
      <w:numFmt w:val="bullet"/>
      <w:lvlText w:val="•"/>
      <w:lvlJc w:val="left"/>
      <w:pPr>
        <w:ind w:left="6240" w:hanging="360"/>
      </w:pPr>
      <w:rPr>
        <w:rFonts w:hint="default"/>
      </w:rPr>
    </w:lvl>
    <w:lvl w:ilvl="8" w:tplc="434E814E">
      <w:start w:val="1"/>
      <w:numFmt w:val="bullet"/>
      <w:lvlText w:val="•"/>
      <w:lvlJc w:val="left"/>
      <w:pPr>
        <w:ind w:left="7064" w:hanging="360"/>
      </w:pPr>
      <w:rPr>
        <w:rFonts w:hint="default"/>
      </w:rPr>
    </w:lvl>
  </w:abstractNum>
  <w:abstractNum w:abstractNumId="14" w15:restartNumberingAfterBreak="0">
    <w:nsid w:val="183149A4"/>
    <w:multiLevelType w:val="hybridMultilevel"/>
    <w:tmpl w:val="FF2A8814"/>
    <w:lvl w:ilvl="0" w:tplc="EC761E62">
      <w:start w:val="24"/>
      <w:numFmt w:val="decimal"/>
      <w:lvlText w:val="%1."/>
      <w:lvlJc w:val="left"/>
      <w:pPr>
        <w:ind w:left="842" w:hanging="284"/>
      </w:pPr>
      <w:rPr>
        <w:rFonts w:ascii="Arial" w:eastAsia="Arial" w:hAnsi="Arial" w:hint="default"/>
        <w:w w:val="99"/>
        <w:sz w:val="19"/>
        <w:szCs w:val="19"/>
      </w:rPr>
    </w:lvl>
    <w:lvl w:ilvl="1" w:tplc="CB589630">
      <w:start w:val="1"/>
      <w:numFmt w:val="bullet"/>
      <w:lvlText w:val=""/>
      <w:lvlJc w:val="left"/>
      <w:pPr>
        <w:ind w:left="1125" w:hanging="284"/>
      </w:pPr>
      <w:rPr>
        <w:rFonts w:ascii="Symbol" w:eastAsia="Symbol" w:hAnsi="Symbol" w:hint="default"/>
        <w:color w:val="auto"/>
        <w:w w:val="99"/>
        <w:sz w:val="19"/>
        <w:szCs w:val="19"/>
      </w:rPr>
    </w:lvl>
    <w:lvl w:ilvl="2" w:tplc="8F2C162A">
      <w:start w:val="1"/>
      <w:numFmt w:val="bullet"/>
      <w:lvlText w:val="•"/>
      <w:lvlJc w:val="left"/>
      <w:pPr>
        <w:ind w:left="2226" w:hanging="284"/>
      </w:pPr>
      <w:rPr>
        <w:rFonts w:hint="default"/>
      </w:rPr>
    </w:lvl>
    <w:lvl w:ilvl="3" w:tplc="AD2889CC">
      <w:start w:val="1"/>
      <w:numFmt w:val="bullet"/>
      <w:lvlText w:val="•"/>
      <w:lvlJc w:val="left"/>
      <w:pPr>
        <w:ind w:left="3328" w:hanging="284"/>
      </w:pPr>
      <w:rPr>
        <w:rFonts w:hint="default"/>
      </w:rPr>
    </w:lvl>
    <w:lvl w:ilvl="4" w:tplc="EFCCE9F4">
      <w:start w:val="1"/>
      <w:numFmt w:val="bullet"/>
      <w:lvlText w:val="•"/>
      <w:lvlJc w:val="left"/>
      <w:pPr>
        <w:ind w:left="4429" w:hanging="284"/>
      </w:pPr>
      <w:rPr>
        <w:rFonts w:hint="default"/>
      </w:rPr>
    </w:lvl>
    <w:lvl w:ilvl="5" w:tplc="DF509C54">
      <w:start w:val="1"/>
      <w:numFmt w:val="bullet"/>
      <w:lvlText w:val="•"/>
      <w:lvlJc w:val="left"/>
      <w:pPr>
        <w:ind w:left="5531" w:hanging="284"/>
      </w:pPr>
      <w:rPr>
        <w:rFonts w:hint="default"/>
      </w:rPr>
    </w:lvl>
    <w:lvl w:ilvl="6" w:tplc="D212B9A8">
      <w:start w:val="1"/>
      <w:numFmt w:val="bullet"/>
      <w:lvlText w:val="•"/>
      <w:lvlJc w:val="left"/>
      <w:pPr>
        <w:ind w:left="6633" w:hanging="284"/>
      </w:pPr>
      <w:rPr>
        <w:rFonts w:hint="default"/>
      </w:rPr>
    </w:lvl>
    <w:lvl w:ilvl="7" w:tplc="05C6E29E">
      <w:start w:val="1"/>
      <w:numFmt w:val="bullet"/>
      <w:lvlText w:val="•"/>
      <w:lvlJc w:val="left"/>
      <w:pPr>
        <w:ind w:left="7734" w:hanging="284"/>
      </w:pPr>
      <w:rPr>
        <w:rFonts w:hint="default"/>
      </w:rPr>
    </w:lvl>
    <w:lvl w:ilvl="8" w:tplc="5792D2AE">
      <w:start w:val="1"/>
      <w:numFmt w:val="bullet"/>
      <w:lvlText w:val="•"/>
      <w:lvlJc w:val="left"/>
      <w:pPr>
        <w:ind w:left="8836" w:hanging="284"/>
      </w:pPr>
      <w:rPr>
        <w:rFonts w:hint="default"/>
      </w:rPr>
    </w:lvl>
  </w:abstractNum>
  <w:abstractNum w:abstractNumId="15" w15:restartNumberingAfterBreak="0">
    <w:nsid w:val="18F94B49"/>
    <w:multiLevelType w:val="hybridMultilevel"/>
    <w:tmpl w:val="1B584F84"/>
    <w:lvl w:ilvl="0" w:tplc="0644A448">
      <w:start w:val="1"/>
      <w:numFmt w:val="bullet"/>
      <w:lvlText w:val=""/>
      <w:lvlJc w:val="left"/>
      <w:pPr>
        <w:ind w:left="1125" w:hanging="284"/>
      </w:pPr>
      <w:rPr>
        <w:rFonts w:ascii="Symbol" w:eastAsia="Symbol" w:hAnsi="Symbol" w:hint="default"/>
        <w:color w:val="auto"/>
        <w:w w:val="99"/>
        <w:sz w:val="19"/>
        <w:szCs w:val="19"/>
      </w:rPr>
    </w:lvl>
    <w:lvl w:ilvl="1" w:tplc="89DE936C">
      <w:start w:val="1"/>
      <w:numFmt w:val="bullet"/>
      <w:lvlText w:val="•"/>
      <w:lvlJc w:val="left"/>
      <w:pPr>
        <w:ind w:left="2117" w:hanging="284"/>
      </w:pPr>
      <w:rPr>
        <w:rFonts w:hint="default"/>
      </w:rPr>
    </w:lvl>
    <w:lvl w:ilvl="2" w:tplc="2A44E93C">
      <w:start w:val="1"/>
      <w:numFmt w:val="bullet"/>
      <w:lvlText w:val="•"/>
      <w:lvlJc w:val="left"/>
      <w:pPr>
        <w:ind w:left="3110" w:hanging="284"/>
      </w:pPr>
      <w:rPr>
        <w:rFonts w:hint="default"/>
      </w:rPr>
    </w:lvl>
    <w:lvl w:ilvl="3" w:tplc="6A68788C">
      <w:start w:val="1"/>
      <w:numFmt w:val="bullet"/>
      <w:lvlText w:val="•"/>
      <w:lvlJc w:val="left"/>
      <w:pPr>
        <w:ind w:left="4102" w:hanging="284"/>
      </w:pPr>
      <w:rPr>
        <w:rFonts w:hint="default"/>
      </w:rPr>
    </w:lvl>
    <w:lvl w:ilvl="4" w:tplc="1E90FF2C">
      <w:start w:val="1"/>
      <w:numFmt w:val="bullet"/>
      <w:lvlText w:val="•"/>
      <w:lvlJc w:val="left"/>
      <w:pPr>
        <w:ind w:left="5094" w:hanging="284"/>
      </w:pPr>
      <w:rPr>
        <w:rFonts w:hint="default"/>
      </w:rPr>
    </w:lvl>
    <w:lvl w:ilvl="5" w:tplc="F636272E">
      <w:start w:val="1"/>
      <w:numFmt w:val="bullet"/>
      <w:lvlText w:val="•"/>
      <w:lvlJc w:val="left"/>
      <w:pPr>
        <w:ind w:left="6087" w:hanging="284"/>
      </w:pPr>
      <w:rPr>
        <w:rFonts w:hint="default"/>
      </w:rPr>
    </w:lvl>
    <w:lvl w:ilvl="6" w:tplc="5904602C">
      <w:start w:val="1"/>
      <w:numFmt w:val="bullet"/>
      <w:lvlText w:val="•"/>
      <w:lvlJc w:val="left"/>
      <w:pPr>
        <w:ind w:left="7079" w:hanging="284"/>
      </w:pPr>
      <w:rPr>
        <w:rFonts w:hint="default"/>
      </w:rPr>
    </w:lvl>
    <w:lvl w:ilvl="7" w:tplc="E98C6258">
      <w:start w:val="1"/>
      <w:numFmt w:val="bullet"/>
      <w:lvlText w:val="•"/>
      <w:lvlJc w:val="left"/>
      <w:pPr>
        <w:ind w:left="8071" w:hanging="284"/>
      </w:pPr>
      <w:rPr>
        <w:rFonts w:hint="default"/>
      </w:rPr>
    </w:lvl>
    <w:lvl w:ilvl="8" w:tplc="32484CAA">
      <w:start w:val="1"/>
      <w:numFmt w:val="bullet"/>
      <w:lvlText w:val="•"/>
      <w:lvlJc w:val="left"/>
      <w:pPr>
        <w:ind w:left="9064" w:hanging="284"/>
      </w:pPr>
      <w:rPr>
        <w:rFonts w:hint="default"/>
      </w:rPr>
    </w:lvl>
  </w:abstractNum>
  <w:abstractNum w:abstractNumId="16" w15:restartNumberingAfterBreak="0">
    <w:nsid w:val="1AA30F88"/>
    <w:multiLevelType w:val="multilevel"/>
    <w:tmpl w:val="3EBC118C"/>
    <w:lvl w:ilvl="0">
      <w:start w:val="6"/>
      <w:numFmt w:val="decimal"/>
      <w:lvlText w:val="%1"/>
      <w:lvlJc w:val="left"/>
      <w:pPr>
        <w:ind w:left="1691" w:hanging="1133"/>
      </w:pPr>
      <w:rPr>
        <w:rFonts w:hint="default"/>
      </w:rPr>
    </w:lvl>
    <w:lvl w:ilvl="1">
      <w:start w:val="3"/>
      <w:numFmt w:val="decimal"/>
      <w:lvlText w:val="%1.%2"/>
      <w:lvlJc w:val="left"/>
      <w:pPr>
        <w:ind w:left="1691" w:hanging="1133"/>
      </w:pPr>
      <w:rPr>
        <w:rFonts w:hint="default"/>
      </w:rPr>
    </w:lvl>
    <w:lvl w:ilvl="2">
      <w:start w:val="1"/>
      <w:numFmt w:val="decimal"/>
      <w:lvlText w:val="%1.%2.%3"/>
      <w:lvlJc w:val="left"/>
      <w:pPr>
        <w:ind w:left="1691" w:hanging="1133"/>
      </w:pPr>
      <w:rPr>
        <w:rFonts w:hint="default"/>
      </w:rPr>
    </w:lvl>
    <w:lvl w:ilvl="3">
      <w:start w:val="5"/>
      <w:numFmt w:val="decimal"/>
      <w:lvlText w:val="%1.%2.%3.%4"/>
      <w:lvlJc w:val="left"/>
      <w:pPr>
        <w:ind w:left="1691" w:hanging="1133"/>
      </w:pPr>
      <w:rPr>
        <w:rFonts w:hint="default"/>
      </w:rPr>
    </w:lvl>
    <w:lvl w:ilvl="4">
      <w:start w:val="1"/>
      <w:numFmt w:val="decimal"/>
      <w:lvlText w:val="%1.%2.%3.%4.%5."/>
      <w:lvlJc w:val="left"/>
      <w:pPr>
        <w:ind w:left="1691" w:hanging="1133"/>
      </w:pPr>
      <w:rPr>
        <w:rFonts w:ascii="Arial" w:eastAsia="Arial" w:hAnsi="Arial" w:hint="default"/>
        <w:b/>
        <w:bCs/>
        <w:color w:val="292929"/>
        <w:sz w:val="22"/>
        <w:szCs w:val="22"/>
      </w:rPr>
    </w:lvl>
    <w:lvl w:ilvl="5">
      <w:start w:val="1"/>
      <w:numFmt w:val="bullet"/>
      <w:lvlText w:val=""/>
      <w:lvlJc w:val="left"/>
      <w:pPr>
        <w:ind w:left="1125" w:hanging="284"/>
      </w:pPr>
      <w:rPr>
        <w:rFonts w:ascii="Symbol" w:eastAsia="Symbol" w:hAnsi="Symbol" w:hint="default"/>
        <w:color w:val="auto"/>
        <w:w w:val="99"/>
        <w:sz w:val="19"/>
        <w:szCs w:val="19"/>
      </w:rPr>
    </w:lvl>
    <w:lvl w:ilvl="6">
      <w:start w:val="1"/>
      <w:numFmt w:val="bullet"/>
      <w:lvlText w:val="•"/>
      <w:lvlJc w:val="left"/>
      <w:pPr>
        <w:ind w:left="6884" w:hanging="284"/>
      </w:pPr>
      <w:rPr>
        <w:rFonts w:hint="default"/>
      </w:rPr>
    </w:lvl>
    <w:lvl w:ilvl="7">
      <w:start w:val="1"/>
      <w:numFmt w:val="bullet"/>
      <w:lvlText w:val="•"/>
      <w:lvlJc w:val="left"/>
      <w:pPr>
        <w:ind w:left="7923" w:hanging="284"/>
      </w:pPr>
      <w:rPr>
        <w:rFonts w:hint="default"/>
      </w:rPr>
    </w:lvl>
    <w:lvl w:ilvl="8">
      <w:start w:val="1"/>
      <w:numFmt w:val="bullet"/>
      <w:lvlText w:val="•"/>
      <w:lvlJc w:val="left"/>
      <w:pPr>
        <w:ind w:left="8961" w:hanging="284"/>
      </w:pPr>
      <w:rPr>
        <w:rFonts w:hint="default"/>
      </w:rPr>
    </w:lvl>
  </w:abstractNum>
  <w:abstractNum w:abstractNumId="17" w15:restartNumberingAfterBreak="0">
    <w:nsid w:val="1BDA2721"/>
    <w:multiLevelType w:val="multilevel"/>
    <w:tmpl w:val="60728E8C"/>
    <w:lvl w:ilvl="0">
      <w:start w:val="6"/>
      <w:numFmt w:val="decimal"/>
      <w:lvlText w:val="%1"/>
      <w:lvlJc w:val="left"/>
      <w:pPr>
        <w:ind w:left="2126" w:hanging="708"/>
      </w:pPr>
      <w:rPr>
        <w:rFonts w:hint="default"/>
      </w:rPr>
    </w:lvl>
    <w:lvl w:ilvl="1">
      <w:start w:val="1"/>
      <w:numFmt w:val="decimal"/>
      <w:lvlText w:val="%1.%2"/>
      <w:lvlJc w:val="left"/>
      <w:pPr>
        <w:ind w:left="2126" w:hanging="708"/>
      </w:pPr>
      <w:rPr>
        <w:rFonts w:hint="default"/>
      </w:rPr>
    </w:lvl>
    <w:lvl w:ilvl="2">
      <w:start w:val="1"/>
      <w:numFmt w:val="decimal"/>
      <w:lvlText w:val="%1.%2.%3"/>
      <w:lvlJc w:val="left"/>
      <w:pPr>
        <w:ind w:left="2126" w:hanging="708"/>
        <w:jc w:val="right"/>
      </w:pPr>
      <w:rPr>
        <w:rFonts w:ascii="Arial" w:eastAsia="Arial" w:hAnsi="Arial" w:hint="default"/>
        <w:b/>
        <w:bCs/>
        <w:color w:val="1C1C1C"/>
        <w:sz w:val="30"/>
        <w:szCs w:val="30"/>
      </w:rPr>
    </w:lvl>
    <w:lvl w:ilvl="3">
      <w:start w:val="1"/>
      <w:numFmt w:val="decimal"/>
      <w:lvlText w:val="%1.%2.%3.%4"/>
      <w:lvlJc w:val="left"/>
      <w:pPr>
        <w:ind w:left="1266" w:hanging="708"/>
      </w:pPr>
      <w:rPr>
        <w:rFonts w:ascii="Arial" w:eastAsia="Arial" w:hAnsi="Arial" w:hint="default"/>
        <w:b/>
        <w:bCs/>
        <w:color w:val="AE4A91"/>
        <w:sz w:val="22"/>
        <w:szCs w:val="22"/>
      </w:rPr>
    </w:lvl>
    <w:lvl w:ilvl="4">
      <w:start w:val="1"/>
      <w:numFmt w:val="bullet"/>
      <w:lvlText w:val=""/>
      <w:lvlJc w:val="left"/>
      <w:pPr>
        <w:ind w:left="1125" w:hanging="284"/>
      </w:pPr>
      <w:rPr>
        <w:rFonts w:ascii="Symbol" w:eastAsia="Symbol" w:hAnsi="Symbol" w:hint="default"/>
        <w:color w:val="auto"/>
        <w:w w:val="99"/>
        <w:sz w:val="19"/>
        <w:szCs w:val="19"/>
      </w:rPr>
    </w:lvl>
    <w:lvl w:ilvl="5">
      <w:start w:val="1"/>
      <w:numFmt w:val="bullet"/>
      <w:lvlText w:val="•"/>
      <w:lvlJc w:val="left"/>
      <w:pPr>
        <w:ind w:left="5468" w:hanging="284"/>
      </w:pPr>
      <w:rPr>
        <w:rFonts w:hint="default"/>
      </w:rPr>
    </w:lvl>
    <w:lvl w:ilvl="6">
      <w:start w:val="1"/>
      <w:numFmt w:val="bullet"/>
      <w:lvlText w:val="•"/>
      <w:lvlJc w:val="left"/>
      <w:pPr>
        <w:ind w:left="6583" w:hanging="284"/>
      </w:pPr>
      <w:rPr>
        <w:rFonts w:hint="default"/>
      </w:rPr>
    </w:lvl>
    <w:lvl w:ilvl="7">
      <w:start w:val="1"/>
      <w:numFmt w:val="bullet"/>
      <w:lvlText w:val="•"/>
      <w:lvlJc w:val="left"/>
      <w:pPr>
        <w:ind w:left="7697" w:hanging="284"/>
      </w:pPr>
      <w:rPr>
        <w:rFonts w:hint="default"/>
      </w:rPr>
    </w:lvl>
    <w:lvl w:ilvl="8">
      <w:start w:val="1"/>
      <w:numFmt w:val="bullet"/>
      <w:lvlText w:val="•"/>
      <w:lvlJc w:val="left"/>
      <w:pPr>
        <w:ind w:left="8811" w:hanging="284"/>
      </w:pPr>
      <w:rPr>
        <w:rFonts w:hint="default"/>
      </w:rPr>
    </w:lvl>
  </w:abstractNum>
  <w:abstractNum w:abstractNumId="18" w15:restartNumberingAfterBreak="0">
    <w:nsid w:val="21270C0F"/>
    <w:multiLevelType w:val="hybridMultilevel"/>
    <w:tmpl w:val="12CC80D0"/>
    <w:lvl w:ilvl="0" w:tplc="269ECE3C">
      <w:start w:val="1"/>
      <w:numFmt w:val="bullet"/>
      <w:lvlText w:val=""/>
      <w:lvlJc w:val="left"/>
      <w:pPr>
        <w:ind w:left="1125" w:hanging="284"/>
      </w:pPr>
      <w:rPr>
        <w:rFonts w:ascii="Symbol" w:eastAsia="Symbol" w:hAnsi="Symbol" w:hint="default"/>
        <w:color w:val="auto"/>
        <w:w w:val="99"/>
        <w:sz w:val="19"/>
        <w:szCs w:val="19"/>
      </w:rPr>
    </w:lvl>
    <w:lvl w:ilvl="1" w:tplc="3E90ABE4">
      <w:start w:val="1"/>
      <w:numFmt w:val="bullet"/>
      <w:lvlText w:val="•"/>
      <w:lvlJc w:val="left"/>
      <w:pPr>
        <w:ind w:left="2117" w:hanging="284"/>
      </w:pPr>
      <w:rPr>
        <w:rFonts w:hint="default"/>
      </w:rPr>
    </w:lvl>
    <w:lvl w:ilvl="2" w:tplc="C1B495AE">
      <w:start w:val="1"/>
      <w:numFmt w:val="bullet"/>
      <w:lvlText w:val="•"/>
      <w:lvlJc w:val="left"/>
      <w:pPr>
        <w:ind w:left="3110" w:hanging="284"/>
      </w:pPr>
      <w:rPr>
        <w:rFonts w:hint="default"/>
      </w:rPr>
    </w:lvl>
    <w:lvl w:ilvl="3" w:tplc="B22E1AE4">
      <w:start w:val="1"/>
      <w:numFmt w:val="bullet"/>
      <w:lvlText w:val="•"/>
      <w:lvlJc w:val="left"/>
      <w:pPr>
        <w:ind w:left="4102" w:hanging="284"/>
      </w:pPr>
      <w:rPr>
        <w:rFonts w:hint="default"/>
      </w:rPr>
    </w:lvl>
    <w:lvl w:ilvl="4" w:tplc="DC2C249A">
      <w:start w:val="1"/>
      <w:numFmt w:val="bullet"/>
      <w:lvlText w:val="•"/>
      <w:lvlJc w:val="left"/>
      <w:pPr>
        <w:ind w:left="5094" w:hanging="284"/>
      </w:pPr>
      <w:rPr>
        <w:rFonts w:hint="default"/>
      </w:rPr>
    </w:lvl>
    <w:lvl w:ilvl="5" w:tplc="A9EEB3B8">
      <w:start w:val="1"/>
      <w:numFmt w:val="bullet"/>
      <w:lvlText w:val="•"/>
      <w:lvlJc w:val="left"/>
      <w:pPr>
        <w:ind w:left="6087" w:hanging="284"/>
      </w:pPr>
      <w:rPr>
        <w:rFonts w:hint="default"/>
      </w:rPr>
    </w:lvl>
    <w:lvl w:ilvl="6" w:tplc="0CBA9EAA">
      <w:start w:val="1"/>
      <w:numFmt w:val="bullet"/>
      <w:lvlText w:val="•"/>
      <w:lvlJc w:val="left"/>
      <w:pPr>
        <w:ind w:left="7079" w:hanging="284"/>
      </w:pPr>
      <w:rPr>
        <w:rFonts w:hint="default"/>
      </w:rPr>
    </w:lvl>
    <w:lvl w:ilvl="7" w:tplc="7DF80D62">
      <w:start w:val="1"/>
      <w:numFmt w:val="bullet"/>
      <w:lvlText w:val="•"/>
      <w:lvlJc w:val="left"/>
      <w:pPr>
        <w:ind w:left="8071" w:hanging="284"/>
      </w:pPr>
      <w:rPr>
        <w:rFonts w:hint="default"/>
      </w:rPr>
    </w:lvl>
    <w:lvl w:ilvl="8" w:tplc="AF388410">
      <w:start w:val="1"/>
      <w:numFmt w:val="bullet"/>
      <w:lvlText w:val="•"/>
      <w:lvlJc w:val="left"/>
      <w:pPr>
        <w:ind w:left="9064" w:hanging="284"/>
      </w:pPr>
      <w:rPr>
        <w:rFonts w:hint="default"/>
      </w:rPr>
    </w:lvl>
  </w:abstractNum>
  <w:abstractNum w:abstractNumId="19" w15:restartNumberingAfterBreak="0">
    <w:nsid w:val="219045FE"/>
    <w:multiLevelType w:val="hybridMultilevel"/>
    <w:tmpl w:val="2DE4E5E8"/>
    <w:lvl w:ilvl="0" w:tplc="D676FF72">
      <w:start w:val="1"/>
      <w:numFmt w:val="decimal"/>
      <w:lvlText w:val="%1."/>
      <w:lvlJc w:val="left"/>
      <w:pPr>
        <w:ind w:left="842" w:hanging="284"/>
      </w:pPr>
      <w:rPr>
        <w:rFonts w:ascii="Arial" w:eastAsia="Arial" w:hAnsi="Arial" w:hint="default"/>
        <w:w w:val="99"/>
        <w:sz w:val="19"/>
        <w:szCs w:val="19"/>
      </w:rPr>
    </w:lvl>
    <w:lvl w:ilvl="1" w:tplc="719AC2DE">
      <w:start w:val="1"/>
      <w:numFmt w:val="bullet"/>
      <w:lvlText w:val=""/>
      <w:lvlJc w:val="left"/>
      <w:pPr>
        <w:ind w:left="1125" w:hanging="284"/>
      </w:pPr>
      <w:rPr>
        <w:rFonts w:ascii="Symbol" w:eastAsia="Symbol" w:hAnsi="Symbol" w:hint="default"/>
        <w:color w:val="auto"/>
        <w:w w:val="99"/>
        <w:sz w:val="19"/>
        <w:szCs w:val="19"/>
      </w:rPr>
    </w:lvl>
    <w:lvl w:ilvl="2" w:tplc="C3C01EB4">
      <w:start w:val="1"/>
      <w:numFmt w:val="bullet"/>
      <w:lvlText w:val="•"/>
      <w:lvlJc w:val="left"/>
      <w:pPr>
        <w:ind w:left="2226" w:hanging="284"/>
      </w:pPr>
      <w:rPr>
        <w:rFonts w:hint="default"/>
      </w:rPr>
    </w:lvl>
    <w:lvl w:ilvl="3" w:tplc="39F4BD42">
      <w:start w:val="1"/>
      <w:numFmt w:val="bullet"/>
      <w:lvlText w:val="•"/>
      <w:lvlJc w:val="left"/>
      <w:pPr>
        <w:ind w:left="3328" w:hanging="284"/>
      </w:pPr>
      <w:rPr>
        <w:rFonts w:hint="default"/>
      </w:rPr>
    </w:lvl>
    <w:lvl w:ilvl="4" w:tplc="26561BC2">
      <w:start w:val="1"/>
      <w:numFmt w:val="bullet"/>
      <w:lvlText w:val="•"/>
      <w:lvlJc w:val="left"/>
      <w:pPr>
        <w:ind w:left="4429" w:hanging="284"/>
      </w:pPr>
      <w:rPr>
        <w:rFonts w:hint="default"/>
      </w:rPr>
    </w:lvl>
    <w:lvl w:ilvl="5" w:tplc="540CC3D4">
      <w:start w:val="1"/>
      <w:numFmt w:val="bullet"/>
      <w:lvlText w:val="•"/>
      <w:lvlJc w:val="left"/>
      <w:pPr>
        <w:ind w:left="5531" w:hanging="284"/>
      </w:pPr>
      <w:rPr>
        <w:rFonts w:hint="default"/>
      </w:rPr>
    </w:lvl>
    <w:lvl w:ilvl="6" w:tplc="1770756C">
      <w:start w:val="1"/>
      <w:numFmt w:val="bullet"/>
      <w:lvlText w:val="•"/>
      <w:lvlJc w:val="left"/>
      <w:pPr>
        <w:ind w:left="6633" w:hanging="284"/>
      </w:pPr>
      <w:rPr>
        <w:rFonts w:hint="default"/>
      </w:rPr>
    </w:lvl>
    <w:lvl w:ilvl="7" w:tplc="284A244A">
      <w:start w:val="1"/>
      <w:numFmt w:val="bullet"/>
      <w:lvlText w:val="•"/>
      <w:lvlJc w:val="left"/>
      <w:pPr>
        <w:ind w:left="7734" w:hanging="284"/>
      </w:pPr>
      <w:rPr>
        <w:rFonts w:hint="default"/>
      </w:rPr>
    </w:lvl>
    <w:lvl w:ilvl="8" w:tplc="7BF0237C">
      <w:start w:val="1"/>
      <w:numFmt w:val="bullet"/>
      <w:lvlText w:val="•"/>
      <w:lvlJc w:val="left"/>
      <w:pPr>
        <w:ind w:left="8836" w:hanging="284"/>
      </w:pPr>
      <w:rPr>
        <w:rFonts w:hint="default"/>
      </w:rPr>
    </w:lvl>
  </w:abstractNum>
  <w:abstractNum w:abstractNumId="20" w15:restartNumberingAfterBreak="0">
    <w:nsid w:val="234D72BA"/>
    <w:multiLevelType w:val="hybridMultilevel"/>
    <w:tmpl w:val="2CD20134"/>
    <w:lvl w:ilvl="0" w:tplc="8542B448">
      <w:start w:val="31"/>
      <w:numFmt w:val="decimal"/>
      <w:lvlText w:val="%1."/>
      <w:lvlJc w:val="left"/>
      <w:pPr>
        <w:ind w:left="842" w:hanging="284"/>
      </w:pPr>
      <w:rPr>
        <w:rFonts w:ascii="Arial" w:eastAsia="Arial" w:hAnsi="Arial" w:hint="default"/>
        <w:w w:val="99"/>
        <w:sz w:val="19"/>
        <w:szCs w:val="19"/>
      </w:rPr>
    </w:lvl>
    <w:lvl w:ilvl="1" w:tplc="63EE0528">
      <w:start w:val="1"/>
      <w:numFmt w:val="bullet"/>
      <w:lvlText w:val=""/>
      <w:lvlJc w:val="left"/>
      <w:pPr>
        <w:ind w:left="1125" w:hanging="284"/>
      </w:pPr>
      <w:rPr>
        <w:rFonts w:ascii="Symbol" w:eastAsia="Symbol" w:hAnsi="Symbol" w:hint="default"/>
        <w:color w:val="auto"/>
        <w:w w:val="99"/>
        <w:sz w:val="19"/>
        <w:szCs w:val="19"/>
      </w:rPr>
    </w:lvl>
    <w:lvl w:ilvl="2" w:tplc="B45830AC">
      <w:start w:val="1"/>
      <w:numFmt w:val="bullet"/>
      <w:lvlText w:val="•"/>
      <w:lvlJc w:val="left"/>
      <w:pPr>
        <w:ind w:left="2226" w:hanging="284"/>
      </w:pPr>
      <w:rPr>
        <w:rFonts w:hint="default"/>
      </w:rPr>
    </w:lvl>
    <w:lvl w:ilvl="3" w:tplc="80AA62D8">
      <w:start w:val="1"/>
      <w:numFmt w:val="bullet"/>
      <w:lvlText w:val="•"/>
      <w:lvlJc w:val="left"/>
      <w:pPr>
        <w:ind w:left="3328" w:hanging="284"/>
      </w:pPr>
      <w:rPr>
        <w:rFonts w:hint="default"/>
      </w:rPr>
    </w:lvl>
    <w:lvl w:ilvl="4" w:tplc="90FCADA4">
      <w:start w:val="1"/>
      <w:numFmt w:val="bullet"/>
      <w:lvlText w:val="•"/>
      <w:lvlJc w:val="left"/>
      <w:pPr>
        <w:ind w:left="4429" w:hanging="284"/>
      </w:pPr>
      <w:rPr>
        <w:rFonts w:hint="default"/>
      </w:rPr>
    </w:lvl>
    <w:lvl w:ilvl="5" w:tplc="0C3247E4">
      <w:start w:val="1"/>
      <w:numFmt w:val="bullet"/>
      <w:lvlText w:val="•"/>
      <w:lvlJc w:val="left"/>
      <w:pPr>
        <w:ind w:left="5531" w:hanging="284"/>
      </w:pPr>
      <w:rPr>
        <w:rFonts w:hint="default"/>
      </w:rPr>
    </w:lvl>
    <w:lvl w:ilvl="6" w:tplc="8782F342">
      <w:start w:val="1"/>
      <w:numFmt w:val="bullet"/>
      <w:lvlText w:val="•"/>
      <w:lvlJc w:val="left"/>
      <w:pPr>
        <w:ind w:left="6633" w:hanging="284"/>
      </w:pPr>
      <w:rPr>
        <w:rFonts w:hint="default"/>
      </w:rPr>
    </w:lvl>
    <w:lvl w:ilvl="7" w:tplc="B8261A82">
      <w:start w:val="1"/>
      <w:numFmt w:val="bullet"/>
      <w:lvlText w:val="•"/>
      <w:lvlJc w:val="left"/>
      <w:pPr>
        <w:ind w:left="7734" w:hanging="284"/>
      </w:pPr>
      <w:rPr>
        <w:rFonts w:hint="default"/>
      </w:rPr>
    </w:lvl>
    <w:lvl w:ilvl="8" w:tplc="6EB2294C">
      <w:start w:val="1"/>
      <w:numFmt w:val="bullet"/>
      <w:lvlText w:val="•"/>
      <w:lvlJc w:val="left"/>
      <w:pPr>
        <w:ind w:left="8836" w:hanging="284"/>
      </w:pPr>
      <w:rPr>
        <w:rFonts w:hint="default"/>
      </w:rPr>
    </w:lvl>
  </w:abstractNum>
  <w:abstractNum w:abstractNumId="21" w15:restartNumberingAfterBreak="0">
    <w:nsid w:val="237B5373"/>
    <w:multiLevelType w:val="hybridMultilevel"/>
    <w:tmpl w:val="6C36DD20"/>
    <w:lvl w:ilvl="0" w:tplc="637CE7EC">
      <w:start w:val="1"/>
      <w:numFmt w:val="bullet"/>
      <w:lvlText w:val="•"/>
      <w:lvlJc w:val="left"/>
      <w:pPr>
        <w:ind w:left="1004" w:hanging="360"/>
      </w:pPr>
      <w:rPr>
        <w:rFonts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2" w15:restartNumberingAfterBreak="0">
    <w:nsid w:val="247C5B3D"/>
    <w:multiLevelType w:val="hybridMultilevel"/>
    <w:tmpl w:val="E9CE2F40"/>
    <w:lvl w:ilvl="0" w:tplc="0AD6F26A">
      <w:start w:val="1"/>
      <w:numFmt w:val="bullet"/>
      <w:lvlText w:val=""/>
      <w:lvlJc w:val="left"/>
      <w:pPr>
        <w:ind w:left="1410" w:hanging="286"/>
      </w:pPr>
      <w:rPr>
        <w:rFonts w:ascii="Symbol" w:eastAsia="Symbol" w:hAnsi="Symbol" w:hint="default"/>
        <w:color w:val="auto"/>
        <w:w w:val="99"/>
        <w:sz w:val="19"/>
        <w:szCs w:val="19"/>
      </w:rPr>
    </w:lvl>
    <w:lvl w:ilvl="1" w:tplc="66205946">
      <w:start w:val="1"/>
      <w:numFmt w:val="bullet"/>
      <w:lvlText w:val="•"/>
      <w:lvlJc w:val="left"/>
      <w:pPr>
        <w:ind w:left="2374" w:hanging="286"/>
      </w:pPr>
      <w:rPr>
        <w:rFonts w:hint="default"/>
      </w:rPr>
    </w:lvl>
    <w:lvl w:ilvl="2" w:tplc="30243770">
      <w:start w:val="1"/>
      <w:numFmt w:val="bullet"/>
      <w:lvlText w:val="•"/>
      <w:lvlJc w:val="left"/>
      <w:pPr>
        <w:ind w:left="3338" w:hanging="286"/>
      </w:pPr>
      <w:rPr>
        <w:rFonts w:hint="default"/>
      </w:rPr>
    </w:lvl>
    <w:lvl w:ilvl="3" w:tplc="126AC2DC">
      <w:start w:val="1"/>
      <w:numFmt w:val="bullet"/>
      <w:lvlText w:val="•"/>
      <w:lvlJc w:val="left"/>
      <w:pPr>
        <w:ind w:left="4302" w:hanging="286"/>
      </w:pPr>
      <w:rPr>
        <w:rFonts w:hint="default"/>
      </w:rPr>
    </w:lvl>
    <w:lvl w:ilvl="4" w:tplc="E5660C1A">
      <w:start w:val="1"/>
      <w:numFmt w:val="bullet"/>
      <w:lvlText w:val="•"/>
      <w:lvlJc w:val="left"/>
      <w:pPr>
        <w:ind w:left="5266" w:hanging="286"/>
      </w:pPr>
      <w:rPr>
        <w:rFonts w:hint="default"/>
      </w:rPr>
    </w:lvl>
    <w:lvl w:ilvl="5" w:tplc="81284DBA">
      <w:start w:val="1"/>
      <w:numFmt w:val="bullet"/>
      <w:lvlText w:val="•"/>
      <w:lvlJc w:val="left"/>
      <w:pPr>
        <w:ind w:left="6229" w:hanging="286"/>
      </w:pPr>
      <w:rPr>
        <w:rFonts w:hint="default"/>
      </w:rPr>
    </w:lvl>
    <w:lvl w:ilvl="6" w:tplc="4B06A9DA">
      <w:start w:val="1"/>
      <w:numFmt w:val="bullet"/>
      <w:lvlText w:val="•"/>
      <w:lvlJc w:val="left"/>
      <w:pPr>
        <w:ind w:left="7193" w:hanging="286"/>
      </w:pPr>
      <w:rPr>
        <w:rFonts w:hint="default"/>
      </w:rPr>
    </w:lvl>
    <w:lvl w:ilvl="7" w:tplc="8240450C">
      <w:start w:val="1"/>
      <w:numFmt w:val="bullet"/>
      <w:lvlText w:val="•"/>
      <w:lvlJc w:val="left"/>
      <w:pPr>
        <w:ind w:left="8157" w:hanging="286"/>
      </w:pPr>
      <w:rPr>
        <w:rFonts w:hint="default"/>
      </w:rPr>
    </w:lvl>
    <w:lvl w:ilvl="8" w:tplc="5B5649CA">
      <w:start w:val="1"/>
      <w:numFmt w:val="bullet"/>
      <w:lvlText w:val="•"/>
      <w:lvlJc w:val="left"/>
      <w:pPr>
        <w:ind w:left="9121" w:hanging="286"/>
      </w:pPr>
      <w:rPr>
        <w:rFonts w:hint="default"/>
      </w:rPr>
    </w:lvl>
  </w:abstractNum>
  <w:abstractNum w:abstractNumId="23" w15:restartNumberingAfterBreak="0">
    <w:nsid w:val="27802120"/>
    <w:multiLevelType w:val="hybridMultilevel"/>
    <w:tmpl w:val="DB94449E"/>
    <w:lvl w:ilvl="0" w:tplc="84ECC83E">
      <w:start w:val="1"/>
      <w:numFmt w:val="decimal"/>
      <w:lvlText w:val="%1."/>
      <w:lvlJc w:val="left"/>
      <w:pPr>
        <w:ind w:left="842" w:hanging="284"/>
      </w:pPr>
      <w:rPr>
        <w:rFonts w:ascii="Arial" w:eastAsia="Arial" w:hAnsi="Arial" w:hint="default"/>
        <w:w w:val="99"/>
        <w:sz w:val="19"/>
        <w:szCs w:val="19"/>
      </w:rPr>
    </w:lvl>
    <w:lvl w:ilvl="1" w:tplc="E460C892">
      <w:start w:val="1"/>
      <w:numFmt w:val="bullet"/>
      <w:lvlText w:val=""/>
      <w:lvlJc w:val="left"/>
      <w:pPr>
        <w:ind w:left="1125" w:hanging="284"/>
      </w:pPr>
      <w:rPr>
        <w:rFonts w:ascii="Symbol" w:eastAsia="Symbol" w:hAnsi="Symbol" w:hint="default"/>
        <w:color w:val="auto"/>
        <w:w w:val="99"/>
        <w:sz w:val="19"/>
        <w:szCs w:val="19"/>
      </w:rPr>
    </w:lvl>
    <w:lvl w:ilvl="2" w:tplc="1206DAEA">
      <w:start w:val="1"/>
      <w:numFmt w:val="bullet"/>
      <w:lvlText w:val="•"/>
      <w:lvlJc w:val="left"/>
      <w:pPr>
        <w:ind w:left="2226" w:hanging="284"/>
      </w:pPr>
      <w:rPr>
        <w:rFonts w:hint="default"/>
      </w:rPr>
    </w:lvl>
    <w:lvl w:ilvl="3" w:tplc="BAF85720">
      <w:start w:val="1"/>
      <w:numFmt w:val="bullet"/>
      <w:lvlText w:val="•"/>
      <w:lvlJc w:val="left"/>
      <w:pPr>
        <w:ind w:left="3328" w:hanging="284"/>
      </w:pPr>
      <w:rPr>
        <w:rFonts w:hint="default"/>
      </w:rPr>
    </w:lvl>
    <w:lvl w:ilvl="4" w:tplc="D3CCE18C">
      <w:start w:val="1"/>
      <w:numFmt w:val="bullet"/>
      <w:lvlText w:val="•"/>
      <w:lvlJc w:val="left"/>
      <w:pPr>
        <w:ind w:left="4429" w:hanging="284"/>
      </w:pPr>
      <w:rPr>
        <w:rFonts w:hint="default"/>
      </w:rPr>
    </w:lvl>
    <w:lvl w:ilvl="5" w:tplc="576C63FC">
      <w:start w:val="1"/>
      <w:numFmt w:val="bullet"/>
      <w:lvlText w:val="•"/>
      <w:lvlJc w:val="left"/>
      <w:pPr>
        <w:ind w:left="5531" w:hanging="284"/>
      </w:pPr>
      <w:rPr>
        <w:rFonts w:hint="default"/>
      </w:rPr>
    </w:lvl>
    <w:lvl w:ilvl="6" w:tplc="2CF2AAA6">
      <w:start w:val="1"/>
      <w:numFmt w:val="bullet"/>
      <w:lvlText w:val="•"/>
      <w:lvlJc w:val="left"/>
      <w:pPr>
        <w:ind w:left="6633" w:hanging="284"/>
      </w:pPr>
      <w:rPr>
        <w:rFonts w:hint="default"/>
      </w:rPr>
    </w:lvl>
    <w:lvl w:ilvl="7" w:tplc="3DD201AA">
      <w:start w:val="1"/>
      <w:numFmt w:val="bullet"/>
      <w:lvlText w:val="•"/>
      <w:lvlJc w:val="left"/>
      <w:pPr>
        <w:ind w:left="7734" w:hanging="284"/>
      </w:pPr>
      <w:rPr>
        <w:rFonts w:hint="default"/>
      </w:rPr>
    </w:lvl>
    <w:lvl w:ilvl="8" w:tplc="2AE86896">
      <w:start w:val="1"/>
      <w:numFmt w:val="bullet"/>
      <w:lvlText w:val="•"/>
      <w:lvlJc w:val="left"/>
      <w:pPr>
        <w:ind w:left="8836" w:hanging="284"/>
      </w:pPr>
      <w:rPr>
        <w:rFonts w:hint="default"/>
      </w:rPr>
    </w:lvl>
  </w:abstractNum>
  <w:abstractNum w:abstractNumId="24" w15:restartNumberingAfterBreak="0">
    <w:nsid w:val="29113027"/>
    <w:multiLevelType w:val="hybridMultilevel"/>
    <w:tmpl w:val="FA92405C"/>
    <w:lvl w:ilvl="0" w:tplc="6F904EFA">
      <w:start w:val="1"/>
      <w:numFmt w:val="bullet"/>
      <w:lvlText w:val=""/>
      <w:lvlJc w:val="left"/>
      <w:pPr>
        <w:ind w:left="1125" w:hanging="284"/>
      </w:pPr>
      <w:rPr>
        <w:rFonts w:ascii="Symbol" w:eastAsia="Symbol" w:hAnsi="Symbol" w:hint="default"/>
        <w:color w:val="auto"/>
        <w:w w:val="99"/>
        <w:sz w:val="19"/>
        <w:szCs w:val="19"/>
      </w:rPr>
    </w:lvl>
    <w:lvl w:ilvl="1" w:tplc="6B786108">
      <w:start w:val="1"/>
      <w:numFmt w:val="bullet"/>
      <w:lvlText w:val="•"/>
      <w:lvlJc w:val="left"/>
      <w:pPr>
        <w:ind w:left="2116" w:hanging="284"/>
      </w:pPr>
      <w:rPr>
        <w:rFonts w:hint="default"/>
      </w:rPr>
    </w:lvl>
    <w:lvl w:ilvl="2" w:tplc="EEA23B64">
      <w:start w:val="1"/>
      <w:numFmt w:val="bullet"/>
      <w:lvlText w:val="•"/>
      <w:lvlJc w:val="left"/>
      <w:pPr>
        <w:ind w:left="3108" w:hanging="284"/>
      </w:pPr>
      <w:rPr>
        <w:rFonts w:hint="default"/>
      </w:rPr>
    </w:lvl>
    <w:lvl w:ilvl="3" w:tplc="D1D2F912">
      <w:start w:val="1"/>
      <w:numFmt w:val="bullet"/>
      <w:lvlText w:val="•"/>
      <w:lvlJc w:val="left"/>
      <w:pPr>
        <w:ind w:left="4099" w:hanging="284"/>
      </w:pPr>
      <w:rPr>
        <w:rFonts w:hint="default"/>
      </w:rPr>
    </w:lvl>
    <w:lvl w:ilvl="4" w:tplc="DF52C8C2">
      <w:start w:val="1"/>
      <w:numFmt w:val="bullet"/>
      <w:lvlText w:val="•"/>
      <w:lvlJc w:val="left"/>
      <w:pPr>
        <w:ind w:left="5090" w:hanging="284"/>
      </w:pPr>
      <w:rPr>
        <w:rFonts w:hint="default"/>
      </w:rPr>
    </w:lvl>
    <w:lvl w:ilvl="5" w:tplc="3CEC8B88">
      <w:start w:val="1"/>
      <w:numFmt w:val="bullet"/>
      <w:lvlText w:val="•"/>
      <w:lvlJc w:val="left"/>
      <w:pPr>
        <w:ind w:left="6082" w:hanging="284"/>
      </w:pPr>
      <w:rPr>
        <w:rFonts w:hint="default"/>
      </w:rPr>
    </w:lvl>
    <w:lvl w:ilvl="6" w:tplc="5FAA7416">
      <w:start w:val="1"/>
      <w:numFmt w:val="bullet"/>
      <w:lvlText w:val="•"/>
      <w:lvlJc w:val="left"/>
      <w:pPr>
        <w:ind w:left="7073" w:hanging="284"/>
      </w:pPr>
      <w:rPr>
        <w:rFonts w:hint="default"/>
      </w:rPr>
    </w:lvl>
    <w:lvl w:ilvl="7" w:tplc="13702E26">
      <w:start w:val="1"/>
      <w:numFmt w:val="bullet"/>
      <w:lvlText w:val="•"/>
      <w:lvlJc w:val="left"/>
      <w:pPr>
        <w:ind w:left="8065" w:hanging="284"/>
      </w:pPr>
      <w:rPr>
        <w:rFonts w:hint="default"/>
      </w:rPr>
    </w:lvl>
    <w:lvl w:ilvl="8" w:tplc="AD9A6D28">
      <w:start w:val="1"/>
      <w:numFmt w:val="bullet"/>
      <w:lvlText w:val="•"/>
      <w:lvlJc w:val="left"/>
      <w:pPr>
        <w:ind w:left="9056" w:hanging="284"/>
      </w:pPr>
      <w:rPr>
        <w:rFonts w:hint="default"/>
      </w:rPr>
    </w:lvl>
  </w:abstractNum>
  <w:abstractNum w:abstractNumId="25" w15:restartNumberingAfterBreak="0">
    <w:nsid w:val="2A496034"/>
    <w:multiLevelType w:val="hybridMultilevel"/>
    <w:tmpl w:val="5AF83F26"/>
    <w:lvl w:ilvl="0" w:tplc="4490AEEC">
      <w:start w:val="1"/>
      <w:numFmt w:val="decimal"/>
      <w:lvlText w:val="%1."/>
      <w:lvlJc w:val="left"/>
      <w:pPr>
        <w:ind w:left="842" w:hanging="284"/>
      </w:pPr>
      <w:rPr>
        <w:rFonts w:ascii="Arial" w:eastAsia="Arial" w:hAnsi="Arial" w:hint="default"/>
        <w:w w:val="99"/>
        <w:sz w:val="19"/>
        <w:szCs w:val="19"/>
      </w:rPr>
    </w:lvl>
    <w:lvl w:ilvl="1" w:tplc="FB8AA45A">
      <w:start w:val="1"/>
      <w:numFmt w:val="bullet"/>
      <w:lvlText w:val=""/>
      <w:lvlJc w:val="left"/>
      <w:pPr>
        <w:ind w:left="1125" w:hanging="284"/>
      </w:pPr>
      <w:rPr>
        <w:rFonts w:ascii="Symbol" w:eastAsia="Symbol" w:hAnsi="Symbol" w:hint="default"/>
        <w:color w:val="auto"/>
        <w:w w:val="99"/>
        <w:sz w:val="19"/>
        <w:szCs w:val="19"/>
      </w:rPr>
    </w:lvl>
    <w:lvl w:ilvl="2" w:tplc="28CC63F6">
      <w:start w:val="1"/>
      <w:numFmt w:val="bullet"/>
      <w:lvlText w:val="•"/>
      <w:lvlJc w:val="left"/>
      <w:pPr>
        <w:ind w:left="2226" w:hanging="284"/>
      </w:pPr>
      <w:rPr>
        <w:rFonts w:hint="default"/>
      </w:rPr>
    </w:lvl>
    <w:lvl w:ilvl="3" w:tplc="2C2CF364">
      <w:start w:val="1"/>
      <w:numFmt w:val="bullet"/>
      <w:lvlText w:val="•"/>
      <w:lvlJc w:val="left"/>
      <w:pPr>
        <w:ind w:left="3328" w:hanging="284"/>
      </w:pPr>
      <w:rPr>
        <w:rFonts w:hint="default"/>
      </w:rPr>
    </w:lvl>
    <w:lvl w:ilvl="4" w:tplc="E2209BDE">
      <w:start w:val="1"/>
      <w:numFmt w:val="bullet"/>
      <w:lvlText w:val="•"/>
      <w:lvlJc w:val="left"/>
      <w:pPr>
        <w:ind w:left="4429" w:hanging="284"/>
      </w:pPr>
      <w:rPr>
        <w:rFonts w:hint="default"/>
      </w:rPr>
    </w:lvl>
    <w:lvl w:ilvl="5" w:tplc="19B0D470">
      <w:start w:val="1"/>
      <w:numFmt w:val="bullet"/>
      <w:lvlText w:val="•"/>
      <w:lvlJc w:val="left"/>
      <w:pPr>
        <w:ind w:left="5531" w:hanging="284"/>
      </w:pPr>
      <w:rPr>
        <w:rFonts w:hint="default"/>
      </w:rPr>
    </w:lvl>
    <w:lvl w:ilvl="6" w:tplc="6652D6BC">
      <w:start w:val="1"/>
      <w:numFmt w:val="bullet"/>
      <w:lvlText w:val="•"/>
      <w:lvlJc w:val="left"/>
      <w:pPr>
        <w:ind w:left="6633" w:hanging="284"/>
      </w:pPr>
      <w:rPr>
        <w:rFonts w:hint="default"/>
      </w:rPr>
    </w:lvl>
    <w:lvl w:ilvl="7" w:tplc="96D4D0D2">
      <w:start w:val="1"/>
      <w:numFmt w:val="bullet"/>
      <w:lvlText w:val="•"/>
      <w:lvlJc w:val="left"/>
      <w:pPr>
        <w:ind w:left="7734" w:hanging="284"/>
      </w:pPr>
      <w:rPr>
        <w:rFonts w:hint="default"/>
      </w:rPr>
    </w:lvl>
    <w:lvl w:ilvl="8" w:tplc="C6B82BC0">
      <w:start w:val="1"/>
      <w:numFmt w:val="bullet"/>
      <w:lvlText w:val="•"/>
      <w:lvlJc w:val="left"/>
      <w:pPr>
        <w:ind w:left="8836" w:hanging="284"/>
      </w:pPr>
      <w:rPr>
        <w:rFonts w:hint="default"/>
      </w:rPr>
    </w:lvl>
  </w:abstractNum>
  <w:abstractNum w:abstractNumId="26" w15:restartNumberingAfterBreak="0">
    <w:nsid w:val="2A744ED0"/>
    <w:multiLevelType w:val="hybridMultilevel"/>
    <w:tmpl w:val="914ED0B0"/>
    <w:lvl w:ilvl="0" w:tplc="CF1032CA">
      <w:start w:val="1"/>
      <w:numFmt w:val="decimal"/>
      <w:lvlText w:val="%1."/>
      <w:lvlJc w:val="left"/>
      <w:pPr>
        <w:ind w:left="842" w:hanging="284"/>
      </w:pPr>
      <w:rPr>
        <w:rFonts w:ascii="Arial" w:eastAsia="Arial" w:hAnsi="Arial" w:hint="default"/>
        <w:w w:val="99"/>
        <w:sz w:val="19"/>
        <w:szCs w:val="19"/>
      </w:rPr>
    </w:lvl>
    <w:lvl w:ilvl="1" w:tplc="6B32F372">
      <w:start w:val="1"/>
      <w:numFmt w:val="bullet"/>
      <w:lvlText w:val=""/>
      <w:lvlJc w:val="left"/>
      <w:pPr>
        <w:ind w:left="1125" w:hanging="284"/>
      </w:pPr>
      <w:rPr>
        <w:rFonts w:ascii="Symbol" w:eastAsia="Symbol" w:hAnsi="Symbol" w:hint="default"/>
        <w:color w:val="auto"/>
        <w:w w:val="99"/>
        <w:sz w:val="19"/>
        <w:szCs w:val="19"/>
      </w:rPr>
    </w:lvl>
    <w:lvl w:ilvl="2" w:tplc="7C762E5E">
      <w:start w:val="1"/>
      <w:numFmt w:val="bullet"/>
      <w:lvlText w:val="•"/>
      <w:lvlJc w:val="left"/>
      <w:pPr>
        <w:ind w:left="2226" w:hanging="284"/>
      </w:pPr>
      <w:rPr>
        <w:rFonts w:hint="default"/>
      </w:rPr>
    </w:lvl>
    <w:lvl w:ilvl="3" w:tplc="23502560">
      <w:start w:val="1"/>
      <w:numFmt w:val="bullet"/>
      <w:lvlText w:val="•"/>
      <w:lvlJc w:val="left"/>
      <w:pPr>
        <w:ind w:left="3328" w:hanging="284"/>
      </w:pPr>
      <w:rPr>
        <w:rFonts w:hint="default"/>
      </w:rPr>
    </w:lvl>
    <w:lvl w:ilvl="4" w:tplc="56347EA2">
      <w:start w:val="1"/>
      <w:numFmt w:val="bullet"/>
      <w:lvlText w:val="•"/>
      <w:lvlJc w:val="left"/>
      <w:pPr>
        <w:ind w:left="4429" w:hanging="284"/>
      </w:pPr>
      <w:rPr>
        <w:rFonts w:hint="default"/>
      </w:rPr>
    </w:lvl>
    <w:lvl w:ilvl="5" w:tplc="6AD603FA">
      <w:start w:val="1"/>
      <w:numFmt w:val="bullet"/>
      <w:lvlText w:val="•"/>
      <w:lvlJc w:val="left"/>
      <w:pPr>
        <w:ind w:left="5531" w:hanging="284"/>
      </w:pPr>
      <w:rPr>
        <w:rFonts w:hint="default"/>
      </w:rPr>
    </w:lvl>
    <w:lvl w:ilvl="6" w:tplc="FB745F52">
      <w:start w:val="1"/>
      <w:numFmt w:val="bullet"/>
      <w:lvlText w:val="•"/>
      <w:lvlJc w:val="left"/>
      <w:pPr>
        <w:ind w:left="6633" w:hanging="284"/>
      </w:pPr>
      <w:rPr>
        <w:rFonts w:hint="default"/>
      </w:rPr>
    </w:lvl>
    <w:lvl w:ilvl="7" w:tplc="5E5685FA">
      <w:start w:val="1"/>
      <w:numFmt w:val="bullet"/>
      <w:lvlText w:val="•"/>
      <w:lvlJc w:val="left"/>
      <w:pPr>
        <w:ind w:left="7734" w:hanging="284"/>
      </w:pPr>
      <w:rPr>
        <w:rFonts w:hint="default"/>
      </w:rPr>
    </w:lvl>
    <w:lvl w:ilvl="8" w:tplc="4A8AEFB4">
      <w:start w:val="1"/>
      <w:numFmt w:val="bullet"/>
      <w:lvlText w:val="•"/>
      <w:lvlJc w:val="left"/>
      <w:pPr>
        <w:ind w:left="8836" w:hanging="284"/>
      </w:pPr>
      <w:rPr>
        <w:rFonts w:hint="default"/>
      </w:rPr>
    </w:lvl>
  </w:abstractNum>
  <w:abstractNum w:abstractNumId="27" w15:restartNumberingAfterBreak="0">
    <w:nsid w:val="30347D70"/>
    <w:multiLevelType w:val="hybridMultilevel"/>
    <w:tmpl w:val="E6B07666"/>
    <w:lvl w:ilvl="0" w:tplc="772C3D3C">
      <w:start w:val="1"/>
      <w:numFmt w:val="lowerLetter"/>
      <w:lvlText w:val="%1)"/>
      <w:lvlJc w:val="left"/>
      <w:pPr>
        <w:ind w:left="1122" w:hanging="284"/>
      </w:pPr>
      <w:rPr>
        <w:rFonts w:ascii="Arial" w:eastAsia="Arial" w:hAnsi="Arial" w:hint="default"/>
        <w:w w:val="99"/>
        <w:sz w:val="19"/>
        <w:szCs w:val="19"/>
      </w:rPr>
    </w:lvl>
    <w:lvl w:ilvl="1" w:tplc="91782AEC">
      <w:start w:val="1"/>
      <w:numFmt w:val="bullet"/>
      <w:lvlText w:val=""/>
      <w:lvlJc w:val="left"/>
      <w:pPr>
        <w:ind w:left="1408" w:hanging="286"/>
      </w:pPr>
      <w:rPr>
        <w:rFonts w:ascii="Symbol" w:eastAsia="Symbol" w:hAnsi="Symbol" w:hint="default"/>
        <w:color w:val="auto"/>
        <w:w w:val="99"/>
        <w:sz w:val="19"/>
        <w:szCs w:val="19"/>
      </w:rPr>
    </w:lvl>
    <w:lvl w:ilvl="2" w:tplc="B69E4024">
      <w:start w:val="1"/>
      <w:numFmt w:val="bullet"/>
      <w:lvlText w:val="•"/>
      <w:lvlJc w:val="left"/>
      <w:pPr>
        <w:ind w:left="2479" w:hanging="286"/>
      </w:pPr>
      <w:rPr>
        <w:rFonts w:hint="default"/>
      </w:rPr>
    </w:lvl>
    <w:lvl w:ilvl="3" w:tplc="29FAD00A">
      <w:start w:val="1"/>
      <w:numFmt w:val="bullet"/>
      <w:lvlText w:val="•"/>
      <w:lvlJc w:val="left"/>
      <w:pPr>
        <w:ind w:left="3550" w:hanging="286"/>
      </w:pPr>
      <w:rPr>
        <w:rFonts w:hint="default"/>
      </w:rPr>
    </w:lvl>
    <w:lvl w:ilvl="4" w:tplc="B5180084">
      <w:start w:val="1"/>
      <w:numFmt w:val="bullet"/>
      <w:lvlText w:val="•"/>
      <w:lvlJc w:val="left"/>
      <w:pPr>
        <w:ind w:left="4621" w:hanging="286"/>
      </w:pPr>
      <w:rPr>
        <w:rFonts w:hint="default"/>
      </w:rPr>
    </w:lvl>
    <w:lvl w:ilvl="5" w:tplc="06EA962E">
      <w:start w:val="1"/>
      <w:numFmt w:val="bullet"/>
      <w:lvlText w:val="•"/>
      <w:lvlJc w:val="left"/>
      <w:pPr>
        <w:ind w:left="5693" w:hanging="286"/>
      </w:pPr>
      <w:rPr>
        <w:rFonts w:hint="default"/>
      </w:rPr>
    </w:lvl>
    <w:lvl w:ilvl="6" w:tplc="CFACA63C">
      <w:start w:val="1"/>
      <w:numFmt w:val="bullet"/>
      <w:lvlText w:val="•"/>
      <w:lvlJc w:val="left"/>
      <w:pPr>
        <w:ind w:left="6764" w:hanging="286"/>
      </w:pPr>
      <w:rPr>
        <w:rFonts w:hint="default"/>
      </w:rPr>
    </w:lvl>
    <w:lvl w:ilvl="7" w:tplc="E8BE7C1A">
      <w:start w:val="1"/>
      <w:numFmt w:val="bullet"/>
      <w:lvlText w:val="•"/>
      <w:lvlJc w:val="left"/>
      <w:pPr>
        <w:ind w:left="7835" w:hanging="286"/>
      </w:pPr>
      <w:rPr>
        <w:rFonts w:hint="default"/>
      </w:rPr>
    </w:lvl>
    <w:lvl w:ilvl="8" w:tplc="6A385B7C">
      <w:start w:val="1"/>
      <w:numFmt w:val="bullet"/>
      <w:lvlText w:val="•"/>
      <w:lvlJc w:val="left"/>
      <w:pPr>
        <w:ind w:left="8906" w:hanging="286"/>
      </w:pPr>
      <w:rPr>
        <w:rFonts w:hint="default"/>
      </w:rPr>
    </w:lvl>
  </w:abstractNum>
  <w:abstractNum w:abstractNumId="28" w15:restartNumberingAfterBreak="0">
    <w:nsid w:val="31C21871"/>
    <w:multiLevelType w:val="hybridMultilevel"/>
    <w:tmpl w:val="8B84DA42"/>
    <w:lvl w:ilvl="0" w:tplc="EE18A940">
      <w:start w:val="77"/>
      <w:numFmt w:val="decimal"/>
      <w:lvlText w:val="%1."/>
      <w:lvlJc w:val="left"/>
      <w:pPr>
        <w:ind w:left="842" w:hanging="284"/>
      </w:pPr>
      <w:rPr>
        <w:rFonts w:ascii="Arial" w:eastAsia="Arial" w:hAnsi="Arial" w:hint="default"/>
        <w:w w:val="99"/>
        <w:sz w:val="19"/>
        <w:szCs w:val="19"/>
      </w:rPr>
    </w:lvl>
    <w:lvl w:ilvl="1" w:tplc="A5C06764">
      <w:start w:val="1"/>
      <w:numFmt w:val="lowerLetter"/>
      <w:lvlText w:val="%2)"/>
      <w:lvlJc w:val="left"/>
      <w:pPr>
        <w:ind w:left="1202" w:hanging="360"/>
      </w:pPr>
      <w:rPr>
        <w:rFonts w:ascii="Arial" w:eastAsia="Arial" w:hAnsi="Arial" w:hint="default"/>
        <w:w w:val="99"/>
        <w:sz w:val="19"/>
        <w:szCs w:val="19"/>
      </w:rPr>
    </w:lvl>
    <w:lvl w:ilvl="2" w:tplc="BC466FE6">
      <w:start w:val="1"/>
      <w:numFmt w:val="bullet"/>
      <w:lvlText w:val=""/>
      <w:lvlJc w:val="left"/>
      <w:pPr>
        <w:ind w:left="1410" w:hanging="286"/>
      </w:pPr>
      <w:rPr>
        <w:rFonts w:ascii="Symbol" w:eastAsia="Symbol" w:hAnsi="Symbol" w:hint="default"/>
        <w:color w:val="auto"/>
        <w:w w:val="99"/>
        <w:sz w:val="19"/>
        <w:szCs w:val="19"/>
      </w:rPr>
    </w:lvl>
    <w:lvl w:ilvl="3" w:tplc="B56C5F44">
      <w:start w:val="1"/>
      <w:numFmt w:val="bullet"/>
      <w:lvlText w:val="•"/>
      <w:lvlJc w:val="left"/>
      <w:pPr>
        <w:ind w:left="1410" w:hanging="286"/>
      </w:pPr>
      <w:rPr>
        <w:rFonts w:hint="default"/>
      </w:rPr>
    </w:lvl>
    <w:lvl w:ilvl="4" w:tplc="4594B5B8">
      <w:start w:val="1"/>
      <w:numFmt w:val="bullet"/>
      <w:lvlText w:val="•"/>
      <w:lvlJc w:val="left"/>
      <w:pPr>
        <w:ind w:left="2787" w:hanging="286"/>
      </w:pPr>
      <w:rPr>
        <w:rFonts w:hint="default"/>
      </w:rPr>
    </w:lvl>
    <w:lvl w:ilvl="5" w:tplc="078609A0">
      <w:start w:val="1"/>
      <w:numFmt w:val="bullet"/>
      <w:lvlText w:val="•"/>
      <w:lvlJc w:val="left"/>
      <w:pPr>
        <w:ind w:left="4164" w:hanging="286"/>
      </w:pPr>
      <w:rPr>
        <w:rFonts w:hint="default"/>
      </w:rPr>
    </w:lvl>
    <w:lvl w:ilvl="6" w:tplc="8C12392C">
      <w:start w:val="1"/>
      <w:numFmt w:val="bullet"/>
      <w:lvlText w:val="•"/>
      <w:lvlJc w:val="left"/>
      <w:pPr>
        <w:ind w:left="5541" w:hanging="286"/>
      </w:pPr>
      <w:rPr>
        <w:rFonts w:hint="default"/>
      </w:rPr>
    </w:lvl>
    <w:lvl w:ilvl="7" w:tplc="A42805D6">
      <w:start w:val="1"/>
      <w:numFmt w:val="bullet"/>
      <w:lvlText w:val="•"/>
      <w:lvlJc w:val="left"/>
      <w:pPr>
        <w:ind w:left="6918" w:hanging="286"/>
      </w:pPr>
      <w:rPr>
        <w:rFonts w:hint="default"/>
      </w:rPr>
    </w:lvl>
    <w:lvl w:ilvl="8" w:tplc="205A827C">
      <w:start w:val="1"/>
      <w:numFmt w:val="bullet"/>
      <w:lvlText w:val="•"/>
      <w:lvlJc w:val="left"/>
      <w:pPr>
        <w:ind w:left="8295" w:hanging="286"/>
      </w:pPr>
      <w:rPr>
        <w:rFonts w:hint="default"/>
      </w:rPr>
    </w:lvl>
  </w:abstractNum>
  <w:abstractNum w:abstractNumId="29" w15:restartNumberingAfterBreak="0">
    <w:nsid w:val="32EE1AA0"/>
    <w:multiLevelType w:val="hybridMultilevel"/>
    <w:tmpl w:val="06B23084"/>
    <w:lvl w:ilvl="0" w:tplc="8F6A5B94">
      <w:start w:val="1"/>
      <w:numFmt w:val="bullet"/>
      <w:lvlText w:val=""/>
      <w:lvlJc w:val="left"/>
      <w:pPr>
        <w:ind w:left="1125" w:hanging="284"/>
      </w:pPr>
      <w:rPr>
        <w:rFonts w:ascii="Symbol" w:eastAsia="Symbol" w:hAnsi="Symbol" w:hint="default"/>
        <w:color w:val="auto"/>
        <w:w w:val="99"/>
        <w:sz w:val="19"/>
        <w:szCs w:val="19"/>
      </w:rPr>
    </w:lvl>
    <w:lvl w:ilvl="1" w:tplc="7D861B10">
      <w:start w:val="1"/>
      <w:numFmt w:val="bullet"/>
      <w:lvlText w:val="•"/>
      <w:lvlJc w:val="left"/>
      <w:pPr>
        <w:ind w:left="2116" w:hanging="284"/>
      </w:pPr>
      <w:rPr>
        <w:rFonts w:hint="default"/>
      </w:rPr>
    </w:lvl>
    <w:lvl w:ilvl="2" w:tplc="808E5B1E">
      <w:start w:val="1"/>
      <w:numFmt w:val="bullet"/>
      <w:lvlText w:val="•"/>
      <w:lvlJc w:val="left"/>
      <w:pPr>
        <w:ind w:left="3108" w:hanging="284"/>
      </w:pPr>
      <w:rPr>
        <w:rFonts w:hint="default"/>
      </w:rPr>
    </w:lvl>
    <w:lvl w:ilvl="3" w:tplc="0770A9D6">
      <w:start w:val="1"/>
      <w:numFmt w:val="bullet"/>
      <w:lvlText w:val="•"/>
      <w:lvlJc w:val="left"/>
      <w:pPr>
        <w:ind w:left="4099" w:hanging="284"/>
      </w:pPr>
      <w:rPr>
        <w:rFonts w:hint="default"/>
      </w:rPr>
    </w:lvl>
    <w:lvl w:ilvl="4" w:tplc="0AD86D74">
      <w:start w:val="1"/>
      <w:numFmt w:val="bullet"/>
      <w:lvlText w:val="•"/>
      <w:lvlJc w:val="left"/>
      <w:pPr>
        <w:ind w:left="5090" w:hanging="284"/>
      </w:pPr>
      <w:rPr>
        <w:rFonts w:hint="default"/>
      </w:rPr>
    </w:lvl>
    <w:lvl w:ilvl="5" w:tplc="83E8C22E">
      <w:start w:val="1"/>
      <w:numFmt w:val="bullet"/>
      <w:lvlText w:val="•"/>
      <w:lvlJc w:val="left"/>
      <w:pPr>
        <w:ind w:left="6082" w:hanging="284"/>
      </w:pPr>
      <w:rPr>
        <w:rFonts w:hint="default"/>
      </w:rPr>
    </w:lvl>
    <w:lvl w:ilvl="6" w:tplc="FEF478C8">
      <w:start w:val="1"/>
      <w:numFmt w:val="bullet"/>
      <w:lvlText w:val="•"/>
      <w:lvlJc w:val="left"/>
      <w:pPr>
        <w:ind w:left="7073" w:hanging="284"/>
      </w:pPr>
      <w:rPr>
        <w:rFonts w:hint="default"/>
      </w:rPr>
    </w:lvl>
    <w:lvl w:ilvl="7" w:tplc="21AC0EF8">
      <w:start w:val="1"/>
      <w:numFmt w:val="bullet"/>
      <w:lvlText w:val="•"/>
      <w:lvlJc w:val="left"/>
      <w:pPr>
        <w:ind w:left="8065" w:hanging="284"/>
      </w:pPr>
      <w:rPr>
        <w:rFonts w:hint="default"/>
      </w:rPr>
    </w:lvl>
    <w:lvl w:ilvl="8" w:tplc="ADC26998">
      <w:start w:val="1"/>
      <w:numFmt w:val="bullet"/>
      <w:lvlText w:val="•"/>
      <w:lvlJc w:val="left"/>
      <w:pPr>
        <w:ind w:left="9056" w:hanging="284"/>
      </w:pPr>
      <w:rPr>
        <w:rFonts w:hint="default"/>
      </w:rPr>
    </w:lvl>
  </w:abstractNum>
  <w:abstractNum w:abstractNumId="30" w15:restartNumberingAfterBreak="0">
    <w:nsid w:val="33614182"/>
    <w:multiLevelType w:val="hybridMultilevel"/>
    <w:tmpl w:val="2DB29302"/>
    <w:lvl w:ilvl="0" w:tplc="A394F188">
      <w:start w:val="1"/>
      <w:numFmt w:val="decimal"/>
      <w:lvlText w:val="%1."/>
      <w:lvlJc w:val="left"/>
      <w:pPr>
        <w:ind w:left="842" w:hanging="284"/>
      </w:pPr>
      <w:rPr>
        <w:rFonts w:ascii="Arial" w:eastAsia="Arial" w:hAnsi="Arial" w:hint="default"/>
        <w:w w:val="99"/>
        <w:sz w:val="19"/>
        <w:szCs w:val="19"/>
      </w:rPr>
    </w:lvl>
    <w:lvl w:ilvl="1" w:tplc="3E467850">
      <w:start w:val="1"/>
      <w:numFmt w:val="bullet"/>
      <w:lvlText w:val=""/>
      <w:lvlJc w:val="left"/>
      <w:pPr>
        <w:ind w:left="1125" w:hanging="284"/>
      </w:pPr>
      <w:rPr>
        <w:rFonts w:ascii="Symbol" w:eastAsia="Symbol" w:hAnsi="Symbol" w:hint="default"/>
        <w:color w:val="auto"/>
        <w:w w:val="99"/>
        <w:sz w:val="19"/>
        <w:szCs w:val="19"/>
      </w:rPr>
    </w:lvl>
    <w:lvl w:ilvl="2" w:tplc="BDD2B6E8">
      <w:start w:val="1"/>
      <w:numFmt w:val="bullet"/>
      <w:lvlText w:val="•"/>
      <w:lvlJc w:val="left"/>
      <w:pPr>
        <w:ind w:left="2226" w:hanging="284"/>
      </w:pPr>
      <w:rPr>
        <w:rFonts w:hint="default"/>
      </w:rPr>
    </w:lvl>
    <w:lvl w:ilvl="3" w:tplc="613460F8">
      <w:start w:val="1"/>
      <w:numFmt w:val="bullet"/>
      <w:lvlText w:val="•"/>
      <w:lvlJc w:val="left"/>
      <w:pPr>
        <w:ind w:left="3328" w:hanging="284"/>
      </w:pPr>
      <w:rPr>
        <w:rFonts w:hint="default"/>
      </w:rPr>
    </w:lvl>
    <w:lvl w:ilvl="4" w:tplc="88F810AC">
      <w:start w:val="1"/>
      <w:numFmt w:val="bullet"/>
      <w:lvlText w:val="•"/>
      <w:lvlJc w:val="left"/>
      <w:pPr>
        <w:ind w:left="4429" w:hanging="284"/>
      </w:pPr>
      <w:rPr>
        <w:rFonts w:hint="default"/>
      </w:rPr>
    </w:lvl>
    <w:lvl w:ilvl="5" w:tplc="DCC62954">
      <w:start w:val="1"/>
      <w:numFmt w:val="bullet"/>
      <w:lvlText w:val="•"/>
      <w:lvlJc w:val="left"/>
      <w:pPr>
        <w:ind w:left="5531" w:hanging="284"/>
      </w:pPr>
      <w:rPr>
        <w:rFonts w:hint="default"/>
      </w:rPr>
    </w:lvl>
    <w:lvl w:ilvl="6" w:tplc="F8522150">
      <w:start w:val="1"/>
      <w:numFmt w:val="bullet"/>
      <w:lvlText w:val="•"/>
      <w:lvlJc w:val="left"/>
      <w:pPr>
        <w:ind w:left="6633" w:hanging="284"/>
      </w:pPr>
      <w:rPr>
        <w:rFonts w:hint="default"/>
      </w:rPr>
    </w:lvl>
    <w:lvl w:ilvl="7" w:tplc="579665F0">
      <w:start w:val="1"/>
      <w:numFmt w:val="bullet"/>
      <w:lvlText w:val="•"/>
      <w:lvlJc w:val="left"/>
      <w:pPr>
        <w:ind w:left="7734" w:hanging="284"/>
      </w:pPr>
      <w:rPr>
        <w:rFonts w:hint="default"/>
      </w:rPr>
    </w:lvl>
    <w:lvl w:ilvl="8" w:tplc="0FFEBE3E">
      <w:start w:val="1"/>
      <w:numFmt w:val="bullet"/>
      <w:lvlText w:val="•"/>
      <w:lvlJc w:val="left"/>
      <w:pPr>
        <w:ind w:left="8836" w:hanging="284"/>
      </w:pPr>
      <w:rPr>
        <w:rFonts w:hint="default"/>
      </w:rPr>
    </w:lvl>
  </w:abstractNum>
  <w:abstractNum w:abstractNumId="31" w15:restartNumberingAfterBreak="0">
    <w:nsid w:val="340144EA"/>
    <w:multiLevelType w:val="hybridMultilevel"/>
    <w:tmpl w:val="5C18662E"/>
    <w:lvl w:ilvl="0" w:tplc="85E2B18A">
      <w:start w:val="1"/>
      <w:numFmt w:val="bullet"/>
      <w:lvlText w:val=""/>
      <w:lvlJc w:val="left"/>
      <w:pPr>
        <w:ind w:left="1125" w:hanging="284"/>
      </w:pPr>
      <w:rPr>
        <w:rFonts w:ascii="Symbol" w:eastAsia="Symbol" w:hAnsi="Symbol" w:hint="default"/>
        <w:color w:val="auto"/>
        <w:w w:val="99"/>
        <w:sz w:val="19"/>
        <w:szCs w:val="19"/>
      </w:rPr>
    </w:lvl>
    <w:lvl w:ilvl="1" w:tplc="34365B3C">
      <w:start w:val="1"/>
      <w:numFmt w:val="bullet"/>
      <w:lvlText w:val="•"/>
      <w:lvlJc w:val="left"/>
      <w:pPr>
        <w:ind w:left="2117" w:hanging="284"/>
      </w:pPr>
      <w:rPr>
        <w:rFonts w:hint="default"/>
      </w:rPr>
    </w:lvl>
    <w:lvl w:ilvl="2" w:tplc="9FB6AF48">
      <w:start w:val="1"/>
      <w:numFmt w:val="bullet"/>
      <w:lvlText w:val="•"/>
      <w:lvlJc w:val="left"/>
      <w:pPr>
        <w:ind w:left="3110" w:hanging="284"/>
      </w:pPr>
      <w:rPr>
        <w:rFonts w:hint="default"/>
      </w:rPr>
    </w:lvl>
    <w:lvl w:ilvl="3" w:tplc="F47E2542">
      <w:start w:val="1"/>
      <w:numFmt w:val="bullet"/>
      <w:lvlText w:val="•"/>
      <w:lvlJc w:val="left"/>
      <w:pPr>
        <w:ind w:left="4102" w:hanging="284"/>
      </w:pPr>
      <w:rPr>
        <w:rFonts w:hint="default"/>
      </w:rPr>
    </w:lvl>
    <w:lvl w:ilvl="4" w:tplc="9E98DDE6">
      <w:start w:val="1"/>
      <w:numFmt w:val="bullet"/>
      <w:lvlText w:val="•"/>
      <w:lvlJc w:val="left"/>
      <w:pPr>
        <w:ind w:left="5094" w:hanging="284"/>
      </w:pPr>
      <w:rPr>
        <w:rFonts w:hint="default"/>
      </w:rPr>
    </w:lvl>
    <w:lvl w:ilvl="5" w:tplc="82347328">
      <w:start w:val="1"/>
      <w:numFmt w:val="bullet"/>
      <w:lvlText w:val="•"/>
      <w:lvlJc w:val="left"/>
      <w:pPr>
        <w:ind w:left="6087" w:hanging="284"/>
      </w:pPr>
      <w:rPr>
        <w:rFonts w:hint="default"/>
      </w:rPr>
    </w:lvl>
    <w:lvl w:ilvl="6" w:tplc="3E7A387E">
      <w:start w:val="1"/>
      <w:numFmt w:val="bullet"/>
      <w:lvlText w:val="•"/>
      <w:lvlJc w:val="left"/>
      <w:pPr>
        <w:ind w:left="7079" w:hanging="284"/>
      </w:pPr>
      <w:rPr>
        <w:rFonts w:hint="default"/>
      </w:rPr>
    </w:lvl>
    <w:lvl w:ilvl="7" w:tplc="CBF88190">
      <w:start w:val="1"/>
      <w:numFmt w:val="bullet"/>
      <w:lvlText w:val="•"/>
      <w:lvlJc w:val="left"/>
      <w:pPr>
        <w:ind w:left="8071" w:hanging="284"/>
      </w:pPr>
      <w:rPr>
        <w:rFonts w:hint="default"/>
      </w:rPr>
    </w:lvl>
    <w:lvl w:ilvl="8" w:tplc="19E48B74">
      <w:start w:val="1"/>
      <w:numFmt w:val="bullet"/>
      <w:lvlText w:val="•"/>
      <w:lvlJc w:val="left"/>
      <w:pPr>
        <w:ind w:left="9064" w:hanging="284"/>
      </w:pPr>
      <w:rPr>
        <w:rFonts w:hint="default"/>
      </w:rPr>
    </w:lvl>
  </w:abstractNum>
  <w:abstractNum w:abstractNumId="32" w15:restartNumberingAfterBreak="0">
    <w:nsid w:val="34A31268"/>
    <w:multiLevelType w:val="hybridMultilevel"/>
    <w:tmpl w:val="328EC9EA"/>
    <w:lvl w:ilvl="0" w:tplc="9E8E20E2">
      <w:start w:val="1"/>
      <w:numFmt w:val="bullet"/>
      <w:lvlText w:val=""/>
      <w:lvlJc w:val="left"/>
      <w:pPr>
        <w:ind w:left="1125" w:hanging="284"/>
      </w:pPr>
      <w:rPr>
        <w:rFonts w:ascii="Symbol" w:eastAsia="Symbol" w:hAnsi="Symbol" w:hint="default"/>
        <w:color w:val="auto"/>
        <w:w w:val="99"/>
        <w:sz w:val="19"/>
        <w:szCs w:val="19"/>
      </w:rPr>
    </w:lvl>
    <w:lvl w:ilvl="1" w:tplc="317CDAF6">
      <w:start w:val="1"/>
      <w:numFmt w:val="bullet"/>
      <w:lvlText w:val="•"/>
      <w:lvlJc w:val="left"/>
      <w:pPr>
        <w:ind w:left="2116" w:hanging="284"/>
      </w:pPr>
      <w:rPr>
        <w:rFonts w:hint="default"/>
      </w:rPr>
    </w:lvl>
    <w:lvl w:ilvl="2" w:tplc="B4689BB0">
      <w:start w:val="1"/>
      <w:numFmt w:val="bullet"/>
      <w:lvlText w:val="•"/>
      <w:lvlJc w:val="left"/>
      <w:pPr>
        <w:ind w:left="3108" w:hanging="284"/>
      </w:pPr>
      <w:rPr>
        <w:rFonts w:hint="default"/>
      </w:rPr>
    </w:lvl>
    <w:lvl w:ilvl="3" w:tplc="1930C3E8">
      <w:start w:val="1"/>
      <w:numFmt w:val="bullet"/>
      <w:lvlText w:val="•"/>
      <w:lvlJc w:val="left"/>
      <w:pPr>
        <w:ind w:left="4099" w:hanging="284"/>
      </w:pPr>
      <w:rPr>
        <w:rFonts w:hint="default"/>
      </w:rPr>
    </w:lvl>
    <w:lvl w:ilvl="4" w:tplc="26D07A5E">
      <w:start w:val="1"/>
      <w:numFmt w:val="bullet"/>
      <w:lvlText w:val="•"/>
      <w:lvlJc w:val="left"/>
      <w:pPr>
        <w:ind w:left="5090" w:hanging="284"/>
      </w:pPr>
      <w:rPr>
        <w:rFonts w:hint="default"/>
      </w:rPr>
    </w:lvl>
    <w:lvl w:ilvl="5" w:tplc="EEAE4C2E">
      <w:start w:val="1"/>
      <w:numFmt w:val="bullet"/>
      <w:lvlText w:val="•"/>
      <w:lvlJc w:val="left"/>
      <w:pPr>
        <w:ind w:left="6082" w:hanging="284"/>
      </w:pPr>
      <w:rPr>
        <w:rFonts w:hint="default"/>
      </w:rPr>
    </w:lvl>
    <w:lvl w:ilvl="6" w:tplc="FF7838F8">
      <w:start w:val="1"/>
      <w:numFmt w:val="bullet"/>
      <w:lvlText w:val="•"/>
      <w:lvlJc w:val="left"/>
      <w:pPr>
        <w:ind w:left="7073" w:hanging="284"/>
      </w:pPr>
      <w:rPr>
        <w:rFonts w:hint="default"/>
      </w:rPr>
    </w:lvl>
    <w:lvl w:ilvl="7" w:tplc="F9724FFA">
      <w:start w:val="1"/>
      <w:numFmt w:val="bullet"/>
      <w:lvlText w:val="•"/>
      <w:lvlJc w:val="left"/>
      <w:pPr>
        <w:ind w:left="8065" w:hanging="284"/>
      </w:pPr>
      <w:rPr>
        <w:rFonts w:hint="default"/>
      </w:rPr>
    </w:lvl>
    <w:lvl w:ilvl="8" w:tplc="A2DEB6FA">
      <w:start w:val="1"/>
      <w:numFmt w:val="bullet"/>
      <w:lvlText w:val="•"/>
      <w:lvlJc w:val="left"/>
      <w:pPr>
        <w:ind w:left="9056" w:hanging="284"/>
      </w:pPr>
      <w:rPr>
        <w:rFonts w:hint="default"/>
      </w:rPr>
    </w:lvl>
  </w:abstractNum>
  <w:abstractNum w:abstractNumId="33" w15:restartNumberingAfterBreak="0">
    <w:nsid w:val="37493858"/>
    <w:multiLevelType w:val="hybridMultilevel"/>
    <w:tmpl w:val="B8A66A8E"/>
    <w:lvl w:ilvl="0" w:tplc="AB46130A">
      <w:start w:val="1"/>
      <w:numFmt w:val="decimal"/>
      <w:lvlText w:val="%1."/>
      <w:lvlJc w:val="left"/>
      <w:pPr>
        <w:ind w:left="842" w:hanging="284"/>
      </w:pPr>
      <w:rPr>
        <w:rFonts w:ascii="Arial" w:eastAsia="Arial" w:hAnsi="Arial" w:hint="default"/>
        <w:w w:val="99"/>
        <w:sz w:val="19"/>
        <w:szCs w:val="19"/>
      </w:rPr>
    </w:lvl>
    <w:lvl w:ilvl="1" w:tplc="483A6A6A">
      <w:start w:val="1"/>
      <w:numFmt w:val="bullet"/>
      <w:lvlText w:val=""/>
      <w:lvlJc w:val="left"/>
      <w:pPr>
        <w:ind w:left="1125" w:hanging="284"/>
      </w:pPr>
      <w:rPr>
        <w:rFonts w:ascii="Symbol" w:eastAsia="Symbol" w:hAnsi="Symbol" w:hint="default"/>
        <w:color w:val="auto"/>
        <w:w w:val="99"/>
        <w:sz w:val="19"/>
        <w:szCs w:val="19"/>
      </w:rPr>
    </w:lvl>
    <w:lvl w:ilvl="2" w:tplc="3E6E7F02">
      <w:start w:val="1"/>
      <w:numFmt w:val="bullet"/>
      <w:lvlText w:val="•"/>
      <w:lvlJc w:val="left"/>
      <w:pPr>
        <w:ind w:left="2226" w:hanging="284"/>
      </w:pPr>
      <w:rPr>
        <w:rFonts w:hint="default"/>
      </w:rPr>
    </w:lvl>
    <w:lvl w:ilvl="3" w:tplc="D5C23174">
      <w:start w:val="1"/>
      <w:numFmt w:val="bullet"/>
      <w:lvlText w:val="•"/>
      <w:lvlJc w:val="left"/>
      <w:pPr>
        <w:ind w:left="3328" w:hanging="284"/>
      </w:pPr>
      <w:rPr>
        <w:rFonts w:hint="default"/>
      </w:rPr>
    </w:lvl>
    <w:lvl w:ilvl="4" w:tplc="7496FB84">
      <w:start w:val="1"/>
      <w:numFmt w:val="bullet"/>
      <w:lvlText w:val="•"/>
      <w:lvlJc w:val="left"/>
      <w:pPr>
        <w:ind w:left="4429" w:hanging="284"/>
      </w:pPr>
      <w:rPr>
        <w:rFonts w:hint="default"/>
      </w:rPr>
    </w:lvl>
    <w:lvl w:ilvl="5" w:tplc="83EEA77E">
      <w:start w:val="1"/>
      <w:numFmt w:val="bullet"/>
      <w:lvlText w:val="•"/>
      <w:lvlJc w:val="left"/>
      <w:pPr>
        <w:ind w:left="5531" w:hanging="284"/>
      </w:pPr>
      <w:rPr>
        <w:rFonts w:hint="default"/>
      </w:rPr>
    </w:lvl>
    <w:lvl w:ilvl="6" w:tplc="336ACDA0">
      <w:start w:val="1"/>
      <w:numFmt w:val="bullet"/>
      <w:lvlText w:val="•"/>
      <w:lvlJc w:val="left"/>
      <w:pPr>
        <w:ind w:left="6633" w:hanging="284"/>
      </w:pPr>
      <w:rPr>
        <w:rFonts w:hint="default"/>
      </w:rPr>
    </w:lvl>
    <w:lvl w:ilvl="7" w:tplc="2EB8B848">
      <w:start w:val="1"/>
      <w:numFmt w:val="bullet"/>
      <w:lvlText w:val="•"/>
      <w:lvlJc w:val="left"/>
      <w:pPr>
        <w:ind w:left="7734" w:hanging="284"/>
      </w:pPr>
      <w:rPr>
        <w:rFonts w:hint="default"/>
      </w:rPr>
    </w:lvl>
    <w:lvl w:ilvl="8" w:tplc="2DE04F0E">
      <w:start w:val="1"/>
      <w:numFmt w:val="bullet"/>
      <w:lvlText w:val="•"/>
      <w:lvlJc w:val="left"/>
      <w:pPr>
        <w:ind w:left="8836" w:hanging="284"/>
      </w:pPr>
      <w:rPr>
        <w:rFonts w:hint="default"/>
      </w:rPr>
    </w:lvl>
  </w:abstractNum>
  <w:abstractNum w:abstractNumId="34" w15:restartNumberingAfterBreak="0">
    <w:nsid w:val="40A67470"/>
    <w:multiLevelType w:val="hybridMultilevel"/>
    <w:tmpl w:val="8216FA9E"/>
    <w:lvl w:ilvl="0" w:tplc="13DC5634">
      <w:start w:val="1"/>
      <w:numFmt w:val="bullet"/>
      <w:lvlText w:val=""/>
      <w:lvlJc w:val="left"/>
      <w:pPr>
        <w:ind w:left="1125" w:hanging="284"/>
      </w:pPr>
      <w:rPr>
        <w:rFonts w:ascii="Symbol" w:eastAsia="Symbol" w:hAnsi="Symbol" w:hint="default"/>
        <w:color w:val="AE4A91"/>
        <w:w w:val="99"/>
        <w:sz w:val="19"/>
        <w:szCs w:val="19"/>
      </w:rPr>
    </w:lvl>
    <w:lvl w:ilvl="1" w:tplc="74BE406C">
      <w:start w:val="1"/>
      <w:numFmt w:val="bullet"/>
      <w:lvlText w:val="•"/>
      <w:lvlJc w:val="left"/>
      <w:pPr>
        <w:ind w:left="2116" w:hanging="284"/>
      </w:pPr>
      <w:rPr>
        <w:rFonts w:hint="default"/>
      </w:rPr>
    </w:lvl>
    <w:lvl w:ilvl="2" w:tplc="ECC83DB2">
      <w:start w:val="1"/>
      <w:numFmt w:val="bullet"/>
      <w:lvlText w:val="•"/>
      <w:lvlJc w:val="left"/>
      <w:pPr>
        <w:ind w:left="3108" w:hanging="284"/>
      </w:pPr>
      <w:rPr>
        <w:rFonts w:hint="default"/>
      </w:rPr>
    </w:lvl>
    <w:lvl w:ilvl="3" w:tplc="506C9434">
      <w:start w:val="1"/>
      <w:numFmt w:val="bullet"/>
      <w:lvlText w:val="•"/>
      <w:lvlJc w:val="left"/>
      <w:pPr>
        <w:ind w:left="4099" w:hanging="284"/>
      </w:pPr>
      <w:rPr>
        <w:rFonts w:hint="default"/>
      </w:rPr>
    </w:lvl>
    <w:lvl w:ilvl="4" w:tplc="07DCD20A">
      <w:start w:val="1"/>
      <w:numFmt w:val="bullet"/>
      <w:lvlText w:val="•"/>
      <w:lvlJc w:val="left"/>
      <w:pPr>
        <w:ind w:left="5090" w:hanging="284"/>
      </w:pPr>
      <w:rPr>
        <w:rFonts w:hint="default"/>
      </w:rPr>
    </w:lvl>
    <w:lvl w:ilvl="5" w:tplc="4CEC5EF8">
      <w:start w:val="1"/>
      <w:numFmt w:val="bullet"/>
      <w:lvlText w:val="•"/>
      <w:lvlJc w:val="left"/>
      <w:pPr>
        <w:ind w:left="6082" w:hanging="284"/>
      </w:pPr>
      <w:rPr>
        <w:rFonts w:hint="default"/>
      </w:rPr>
    </w:lvl>
    <w:lvl w:ilvl="6" w:tplc="E3B08FD4">
      <w:start w:val="1"/>
      <w:numFmt w:val="bullet"/>
      <w:lvlText w:val="•"/>
      <w:lvlJc w:val="left"/>
      <w:pPr>
        <w:ind w:left="7073" w:hanging="284"/>
      </w:pPr>
      <w:rPr>
        <w:rFonts w:hint="default"/>
      </w:rPr>
    </w:lvl>
    <w:lvl w:ilvl="7" w:tplc="35D23B20">
      <w:start w:val="1"/>
      <w:numFmt w:val="bullet"/>
      <w:lvlText w:val="•"/>
      <w:lvlJc w:val="left"/>
      <w:pPr>
        <w:ind w:left="8065" w:hanging="284"/>
      </w:pPr>
      <w:rPr>
        <w:rFonts w:hint="default"/>
      </w:rPr>
    </w:lvl>
    <w:lvl w:ilvl="8" w:tplc="A84616CC">
      <w:start w:val="1"/>
      <w:numFmt w:val="bullet"/>
      <w:lvlText w:val="•"/>
      <w:lvlJc w:val="left"/>
      <w:pPr>
        <w:ind w:left="9056" w:hanging="284"/>
      </w:pPr>
      <w:rPr>
        <w:rFonts w:hint="default"/>
      </w:rPr>
    </w:lvl>
  </w:abstractNum>
  <w:abstractNum w:abstractNumId="35" w15:restartNumberingAfterBreak="0">
    <w:nsid w:val="40BD51E8"/>
    <w:multiLevelType w:val="hybridMultilevel"/>
    <w:tmpl w:val="6FA4434C"/>
    <w:lvl w:ilvl="0" w:tplc="EBCED1B4">
      <w:start w:val="1"/>
      <w:numFmt w:val="decimal"/>
      <w:lvlText w:val="%1."/>
      <w:lvlJc w:val="left"/>
      <w:pPr>
        <w:ind w:left="842" w:hanging="284"/>
      </w:pPr>
      <w:rPr>
        <w:rFonts w:ascii="Arial" w:eastAsia="Arial" w:hAnsi="Arial" w:hint="default"/>
        <w:w w:val="99"/>
        <w:sz w:val="19"/>
        <w:szCs w:val="19"/>
      </w:rPr>
    </w:lvl>
    <w:lvl w:ilvl="1" w:tplc="19AC35C2">
      <w:start w:val="1"/>
      <w:numFmt w:val="bullet"/>
      <w:lvlText w:val=""/>
      <w:lvlJc w:val="left"/>
      <w:pPr>
        <w:ind w:left="1125" w:hanging="284"/>
      </w:pPr>
      <w:rPr>
        <w:rFonts w:ascii="Symbol" w:eastAsia="Symbol" w:hAnsi="Symbol" w:hint="default"/>
        <w:color w:val="auto"/>
        <w:w w:val="99"/>
        <w:sz w:val="19"/>
        <w:szCs w:val="19"/>
      </w:rPr>
    </w:lvl>
    <w:lvl w:ilvl="2" w:tplc="C46E3534">
      <w:start w:val="1"/>
      <w:numFmt w:val="bullet"/>
      <w:lvlText w:val="•"/>
      <w:lvlJc w:val="left"/>
      <w:pPr>
        <w:ind w:left="2226" w:hanging="284"/>
      </w:pPr>
      <w:rPr>
        <w:rFonts w:hint="default"/>
      </w:rPr>
    </w:lvl>
    <w:lvl w:ilvl="3" w:tplc="743A3D0E">
      <w:start w:val="1"/>
      <w:numFmt w:val="bullet"/>
      <w:lvlText w:val="•"/>
      <w:lvlJc w:val="left"/>
      <w:pPr>
        <w:ind w:left="3328" w:hanging="284"/>
      </w:pPr>
      <w:rPr>
        <w:rFonts w:hint="default"/>
      </w:rPr>
    </w:lvl>
    <w:lvl w:ilvl="4" w:tplc="9BEA0F3E">
      <w:start w:val="1"/>
      <w:numFmt w:val="bullet"/>
      <w:lvlText w:val="•"/>
      <w:lvlJc w:val="left"/>
      <w:pPr>
        <w:ind w:left="4429" w:hanging="284"/>
      </w:pPr>
      <w:rPr>
        <w:rFonts w:hint="default"/>
      </w:rPr>
    </w:lvl>
    <w:lvl w:ilvl="5" w:tplc="2FF2C298">
      <w:start w:val="1"/>
      <w:numFmt w:val="bullet"/>
      <w:lvlText w:val="•"/>
      <w:lvlJc w:val="left"/>
      <w:pPr>
        <w:ind w:left="5531" w:hanging="284"/>
      </w:pPr>
      <w:rPr>
        <w:rFonts w:hint="default"/>
      </w:rPr>
    </w:lvl>
    <w:lvl w:ilvl="6" w:tplc="F3CC909C">
      <w:start w:val="1"/>
      <w:numFmt w:val="bullet"/>
      <w:lvlText w:val="•"/>
      <w:lvlJc w:val="left"/>
      <w:pPr>
        <w:ind w:left="6633" w:hanging="284"/>
      </w:pPr>
      <w:rPr>
        <w:rFonts w:hint="default"/>
      </w:rPr>
    </w:lvl>
    <w:lvl w:ilvl="7" w:tplc="23A62082">
      <w:start w:val="1"/>
      <w:numFmt w:val="bullet"/>
      <w:lvlText w:val="•"/>
      <w:lvlJc w:val="left"/>
      <w:pPr>
        <w:ind w:left="7734" w:hanging="284"/>
      </w:pPr>
      <w:rPr>
        <w:rFonts w:hint="default"/>
      </w:rPr>
    </w:lvl>
    <w:lvl w:ilvl="8" w:tplc="8DC43EC6">
      <w:start w:val="1"/>
      <w:numFmt w:val="bullet"/>
      <w:lvlText w:val="•"/>
      <w:lvlJc w:val="left"/>
      <w:pPr>
        <w:ind w:left="8836" w:hanging="284"/>
      </w:pPr>
      <w:rPr>
        <w:rFonts w:hint="default"/>
      </w:rPr>
    </w:lvl>
  </w:abstractNum>
  <w:abstractNum w:abstractNumId="36" w15:restartNumberingAfterBreak="0">
    <w:nsid w:val="435252CB"/>
    <w:multiLevelType w:val="hybridMultilevel"/>
    <w:tmpl w:val="F6687716"/>
    <w:lvl w:ilvl="0" w:tplc="35600F92">
      <w:start w:val="1"/>
      <w:numFmt w:val="bullet"/>
      <w:lvlText w:val="—"/>
      <w:lvlJc w:val="left"/>
      <w:pPr>
        <w:ind w:left="720" w:hanging="360"/>
      </w:pPr>
      <w:rPr>
        <w:rFonts w:ascii="Calibri" w:eastAsia="Calibri" w:hAnsi="Calibri" w:hint="default"/>
        <w:sz w:val="22"/>
        <w:szCs w:val="2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442B707E"/>
    <w:multiLevelType w:val="hybridMultilevel"/>
    <w:tmpl w:val="BB60F3BC"/>
    <w:lvl w:ilvl="0" w:tplc="19AE92C0">
      <w:start w:val="1"/>
      <w:numFmt w:val="bullet"/>
      <w:lvlText w:val=""/>
      <w:lvlJc w:val="left"/>
      <w:pPr>
        <w:ind w:left="1125" w:hanging="284"/>
      </w:pPr>
      <w:rPr>
        <w:rFonts w:ascii="Symbol" w:eastAsia="Symbol" w:hAnsi="Symbol" w:hint="default"/>
        <w:color w:val="AE4A91"/>
        <w:w w:val="99"/>
        <w:sz w:val="19"/>
        <w:szCs w:val="19"/>
      </w:rPr>
    </w:lvl>
    <w:lvl w:ilvl="1" w:tplc="69DA2B54">
      <w:start w:val="1"/>
      <w:numFmt w:val="bullet"/>
      <w:lvlText w:val="•"/>
      <w:lvlJc w:val="left"/>
      <w:pPr>
        <w:ind w:left="2116" w:hanging="284"/>
      </w:pPr>
      <w:rPr>
        <w:rFonts w:hint="default"/>
      </w:rPr>
    </w:lvl>
    <w:lvl w:ilvl="2" w:tplc="9E9C4954">
      <w:start w:val="1"/>
      <w:numFmt w:val="bullet"/>
      <w:lvlText w:val="•"/>
      <w:lvlJc w:val="left"/>
      <w:pPr>
        <w:ind w:left="3108" w:hanging="284"/>
      </w:pPr>
      <w:rPr>
        <w:rFonts w:hint="default"/>
      </w:rPr>
    </w:lvl>
    <w:lvl w:ilvl="3" w:tplc="86E0B97E">
      <w:start w:val="1"/>
      <w:numFmt w:val="bullet"/>
      <w:lvlText w:val="•"/>
      <w:lvlJc w:val="left"/>
      <w:pPr>
        <w:ind w:left="4099" w:hanging="284"/>
      </w:pPr>
      <w:rPr>
        <w:rFonts w:hint="default"/>
      </w:rPr>
    </w:lvl>
    <w:lvl w:ilvl="4" w:tplc="A11421DE">
      <w:start w:val="1"/>
      <w:numFmt w:val="bullet"/>
      <w:lvlText w:val="•"/>
      <w:lvlJc w:val="left"/>
      <w:pPr>
        <w:ind w:left="5090" w:hanging="284"/>
      </w:pPr>
      <w:rPr>
        <w:rFonts w:hint="default"/>
      </w:rPr>
    </w:lvl>
    <w:lvl w:ilvl="5" w:tplc="87401A40">
      <w:start w:val="1"/>
      <w:numFmt w:val="bullet"/>
      <w:lvlText w:val="•"/>
      <w:lvlJc w:val="left"/>
      <w:pPr>
        <w:ind w:left="6082" w:hanging="284"/>
      </w:pPr>
      <w:rPr>
        <w:rFonts w:hint="default"/>
      </w:rPr>
    </w:lvl>
    <w:lvl w:ilvl="6" w:tplc="5C8E3172">
      <w:start w:val="1"/>
      <w:numFmt w:val="bullet"/>
      <w:lvlText w:val="•"/>
      <w:lvlJc w:val="left"/>
      <w:pPr>
        <w:ind w:left="7073" w:hanging="284"/>
      </w:pPr>
      <w:rPr>
        <w:rFonts w:hint="default"/>
      </w:rPr>
    </w:lvl>
    <w:lvl w:ilvl="7" w:tplc="46C8DA84">
      <w:start w:val="1"/>
      <w:numFmt w:val="bullet"/>
      <w:lvlText w:val="•"/>
      <w:lvlJc w:val="left"/>
      <w:pPr>
        <w:ind w:left="8065" w:hanging="284"/>
      </w:pPr>
      <w:rPr>
        <w:rFonts w:hint="default"/>
      </w:rPr>
    </w:lvl>
    <w:lvl w:ilvl="8" w:tplc="7D188F06">
      <w:start w:val="1"/>
      <w:numFmt w:val="bullet"/>
      <w:lvlText w:val="•"/>
      <w:lvlJc w:val="left"/>
      <w:pPr>
        <w:ind w:left="9056" w:hanging="284"/>
      </w:pPr>
      <w:rPr>
        <w:rFonts w:hint="default"/>
      </w:rPr>
    </w:lvl>
  </w:abstractNum>
  <w:abstractNum w:abstractNumId="38" w15:restartNumberingAfterBreak="0">
    <w:nsid w:val="45D12785"/>
    <w:multiLevelType w:val="hybridMultilevel"/>
    <w:tmpl w:val="C87AAC94"/>
    <w:lvl w:ilvl="0" w:tplc="35600F92">
      <w:start w:val="1"/>
      <w:numFmt w:val="bullet"/>
      <w:lvlText w:val="—"/>
      <w:lvlJc w:val="left"/>
      <w:pPr>
        <w:ind w:left="720" w:hanging="360"/>
      </w:pPr>
      <w:rPr>
        <w:rFonts w:ascii="Calibri" w:eastAsia="Calibri" w:hAnsi="Calibri" w:hint="default"/>
        <w:sz w:val="22"/>
        <w:szCs w:val="2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46811864"/>
    <w:multiLevelType w:val="hybridMultilevel"/>
    <w:tmpl w:val="0FEACB4E"/>
    <w:lvl w:ilvl="0" w:tplc="0D5264EA">
      <w:start w:val="1"/>
      <w:numFmt w:val="decimal"/>
      <w:lvlText w:val="%1."/>
      <w:lvlJc w:val="left"/>
      <w:pPr>
        <w:ind w:left="842" w:hanging="284"/>
      </w:pPr>
      <w:rPr>
        <w:rFonts w:ascii="Arial" w:eastAsia="Arial" w:hAnsi="Arial" w:hint="default"/>
        <w:w w:val="99"/>
        <w:sz w:val="19"/>
        <w:szCs w:val="19"/>
      </w:rPr>
    </w:lvl>
    <w:lvl w:ilvl="1" w:tplc="07FC8CB8">
      <w:start w:val="1"/>
      <w:numFmt w:val="bullet"/>
      <w:lvlText w:val=""/>
      <w:lvlJc w:val="left"/>
      <w:pPr>
        <w:ind w:left="1125" w:hanging="284"/>
      </w:pPr>
      <w:rPr>
        <w:rFonts w:ascii="Symbol" w:eastAsia="Symbol" w:hAnsi="Symbol" w:hint="default"/>
        <w:color w:val="auto"/>
        <w:w w:val="99"/>
        <w:sz w:val="19"/>
        <w:szCs w:val="19"/>
      </w:rPr>
    </w:lvl>
    <w:lvl w:ilvl="2" w:tplc="CD8049A0">
      <w:start w:val="1"/>
      <w:numFmt w:val="bullet"/>
      <w:lvlText w:val="•"/>
      <w:lvlJc w:val="left"/>
      <w:pPr>
        <w:ind w:left="2226" w:hanging="284"/>
      </w:pPr>
      <w:rPr>
        <w:rFonts w:hint="default"/>
      </w:rPr>
    </w:lvl>
    <w:lvl w:ilvl="3" w:tplc="F7088138">
      <w:start w:val="1"/>
      <w:numFmt w:val="bullet"/>
      <w:lvlText w:val="•"/>
      <w:lvlJc w:val="left"/>
      <w:pPr>
        <w:ind w:left="3328" w:hanging="284"/>
      </w:pPr>
      <w:rPr>
        <w:rFonts w:hint="default"/>
      </w:rPr>
    </w:lvl>
    <w:lvl w:ilvl="4" w:tplc="B74EA0D6">
      <w:start w:val="1"/>
      <w:numFmt w:val="bullet"/>
      <w:lvlText w:val="•"/>
      <w:lvlJc w:val="left"/>
      <w:pPr>
        <w:ind w:left="4429" w:hanging="284"/>
      </w:pPr>
      <w:rPr>
        <w:rFonts w:hint="default"/>
      </w:rPr>
    </w:lvl>
    <w:lvl w:ilvl="5" w:tplc="ACF4A130">
      <w:start w:val="1"/>
      <w:numFmt w:val="bullet"/>
      <w:lvlText w:val="•"/>
      <w:lvlJc w:val="left"/>
      <w:pPr>
        <w:ind w:left="5531" w:hanging="284"/>
      </w:pPr>
      <w:rPr>
        <w:rFonts w:hint="default"/>
      </w:rPr>
    </w:lvl>
    <w:lvl w:ilvl="6" w:tplc="37AC2292">
      <w:start w:val="1"/>
      <w:numFmt w:val="bullet"/>
      <w:lvlText w:val="•"/>
      <w:lvlJc w:val="left"/>
      <w:pPr>
        <w:ind w:left="6633" w:hanging="284"/>
      </w:pPr>
      <w:rPr>
        <w:rFonts w:hint="default"/>
      </w:rPr>
    </w:lvl>
    <w:lvl w:ilvl="7" w:tplc="B0CAAEF8">
      <w:start w:val="1"/>
      <w:numFmt w:val="bullet"/>
      <w:lvlText w:val="•"/>
      <w:lvlJc w:val="left"/>
      <w:pPr>
        <w:ind w:left="7734" w:hanging="284"/>
      </w:pPr>
      <w:rPr>
        <w:rFonts w:hint="default"/>
      </w:rPr>
    </w:lvl>
    <w:lvl w:ilvl="8" w:tplc="159C5C24">
      <w:start w:val="1"/>
      <w:numFmt w:val="bullet"/>
      <w:lvlText w:val="•"/>
      <w:lvlJc w:val="left"/>
      <w:pPr>
        <w:ind w:left="8836" w:hanging="284"/>
      </w:pPr>
      <w:rPr>
        <w:rFonts w:hint="default"/>
      </w:rPr>
    </w:lvl>
  </w:abstractNum>
  <w:abstractNum w:abstractNumId="40" w15:restartNumberingAfterBreak="0">
    <w:nsid w:val="4869238B"/>
    <w:multiLevelType w:val="hybridMultilevel"/>
    <w:tmpl w:val="4B927F6E"/>
    <w:lvl w:ilvl="0" w:tplc="27344920">
      <w:start w:val="1"/>
      <w:numFmt w:val="bullet"/>
      <w:lvlText w:val=""/>
      <w:lvlJc w:val="left"/>
      <w:pPr>
        <w:ind w:left="1125" w:hanging="284"/>
      </w:pPr>
      <w:rPr>
        <w:rFonts w:ascii="Symbol" w:eastAsia="Symbol" w:hAnsi="Symbol" w:hint="default"/>
        <w:color w:val="auto"/>
        <w:w w:val="99"/>
        <w:sz w:val="19"/>
        <w:szCs w:val="19"/>
      </w:rPr>
    </w:lvl>
    <w:lvl w:ilvl="1" w:tplc="3D1826AC">
      <w:start w:val="1"/>
      <w:numFmt w:val="bullet"/>
      <w:lvlText w:val="•"/>
      <w:lvlJc w:val="left"/>
      <w:pPr>
        <w:ind w:left="2116" w:hanging="284"/>
      </w:pPr>
      <w:rPr>
        <w:rFonts w:hint="default"/>
      </w:rPr>
    </w:lvl>
    <w:lvl w:ilvl="2" w:tplc="FABC8004">
      <w:start w:val="1"/>
      <w:numFmt w:val="bullet"/>
      <w:lvlText w:val="•"/>
      <w:lvlJc w:val="left"/>
      <w:pPr>
        <w:ind w:left="3108" w:hanging="284"/>
      </w:pPr>
      <w:rPr>
        <w:rFonts w:hint="default"/>
      </w:rPr>
    </w:lvl>
    <w:lvl w:ilvl="3" w:tplc="C0E812F4">
      <w:start w:val="1"/>
      <w:numFmt w:val="bullet"/>
      <w:lvlText w:val="•"/>
      <w:lvlJc w:val="left"/>
      <w:pPr>
        <w:ind w:left="4099" w:hanging="284"/>
      </w:pPr>
      <w:rPr>
        <w:rFonts w:hint="default"/>
      </w:rPr>
    </w:lvl>
    <w:lvl w:ilvl="4" w:tplc="82F0B3FA">
      <w:start w:val="1"/>
      <w:numFmt w:val="bullet"/>
      <w:lvlText w:val="•"/>
      <w:lvlJc w:val="left"/>
      <w:pPr>
        <w:ind w:left="5090" w:hanging="284"/>
      </w:pPr>
      <w:rPr>
        <w:rFonts w:hint="default"/>
      </w:rPr>
    </w:lvl>
    <w:lvl w:ilvl="5" w:tplc="3008F200">
      <w:start w:val="1"/>
      <w:numFmt w:val="bullet"/>
      <w:lvlText w:val="•"/>
      <w:lvlJc w:val="left"/>
      <w:pPr>
        <w:ind w:left="6082" w:hanging="284"/>
      </w:pPr>
      <w:rPr>
        <w:rFonts w:hint="default"/>
      </w:rPr>
    </w:lvl>
    <w:lvl w:ilvl="6" w:tplc="B102445C">
      <w:start w:val="1"/>
      <w:numFmt w:val="bullet"/>
      <w:lvlText w:val="•"/>
      <w:lvlJc w:val="left"/>
      <w:pPr>
        <w:ind w:left="7073" w:hanging="284"/>
      </w:pPr>
      <w:rPr>
        <w:rFonts w:hint="default"/>
      </w:rPr>
    </w:lvl>
    <w:lvl w:ilvl="7" w:tplc="FEBE5312">
      <w:start w:val="1"/>
      <w:numFmt w:val="bullet"/>
      <w:lvlText w:val="•"/>
      <w:lvlJc w:val="left"/>
      <w:pPr>
        <w:ind w:left="8065" w:hanging="284"/>
      </w:pPr>
      <w:rPr>
        <w:rFonts w:hint="default"/>
      </w:rPr>
    </w:lvl>
    <w:lvl w:ilvl="8" w:tplc="355A2748">
      <w:start w:val="1"/>
      <w:numFmt w:val="bullet"/>
      <w:lvlText w:val="•"/>
      <w:lvlJc w:val="left"/>
      <w:pPr>
        <w:ind w:left="9056" w:hanging="284"/>
      </w:pPr>
      <w:rPr>
        <w:rFonts w:hint="default"/>
      </w:rPr>
    </w:lvl>
  </w:abstractNum>
  <w:abstractNum w:abstractNumId="41" w15:restartNumberingAfterBreak="0">
    <w:nsid w:val="487D1F87"/>
    <w:multiLevelType w:val="hybridMultilevel"/>
    <w:tmpl w:val="6EE6E2B0"/>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42" w15:restartNumberingAfterBreak="0">
    <w:nsid w:val="48EC4242"/>
    <w:multiLevelType w:val="hybridMultilevel"/>
    <w:tmpl w:val="2B1A1280"/>
    <w:lvl w:ilvl="0" w:tplc="1784676A">
      <w:start w:val="1"/>
      <w:numFmt w:val="bullet"/>
      <w:lvlText w:val=""/>
      <w:lvlJc w:val="left"/>
      <w:pPr>
        <w:ind w:left="468" w:hanging="360"/>
      </w:pPr>
      <w:rPr>
        <w:rFonts w:ascii="Symbol" w:eastAsia="Symbol" w:hAnsi="Symbol" w:hint="default"/>
        <w:color w:val="auto"/>
        <w:w w:val="99"/>
        <w:sz w:val="19"/>
        <w:szCs w:val="19"/>
      </w:rPr>
    </w:lvl>
    <w:lvl w:ilvl="1" w:tplc="F878A6F2">
      <w:start w:val="1"/>
      <w:numFmt w:val="bullet"/>
      <w:lvlText w:val="•"/>
      <w:lvlJc w:val="left"/>
      <w:pPr>
        <w:ind w:left="1292" w:hanging="360"/>
      </w:pPr>
      <w:rPr>
        <w:rFonts w:hint="default"/>
      </w:rPr>
    </w:lvl>
    <w:lvl w:ilvl="2" w:tplc="3D64987C">
      <w:start w:val="1"/>
      <w:numFmt w:val="bullet"/>
      <w:lvlText w:val="•"/>
      <w:lvlJc w:val="left"/>
      <w:pPr>
        <w:ind w:left="2117" w:hanging="360"/>
      </w:pPr>
      <w:rPr>
        <w:rFonts w:hint="default"/>
      </w:rPr>
    </w:lvl>
    <w:lvl w:ilvl="3" w:tplc="4718EAD2">
      <w:start w:val="1"/>
      <w:numFmt w:val="bullet"/>
      <w:lvlText w:val="•"/>
      <w:lvlJc w:val="left"/>
      <w:pPr>
        <w:ind w:left="2941" w:hanging="360"/>
      </w:pPr>
      <w:rPr>
        <w:rFonts w:hint="default"/>
      </w:rPr>
    </w:lvl>
    <w:lvl w:ilvl="4" w:tplc="2806B1DE">
      <w:start w:val="1"/>
      <w:numFmt w:val="bullet"/>
      <w:lvlText w:val="•"/>
      <w:lvlJc w:val="left"/>
      <w:pPr>
        <w:ind w:left="3766" w:hanging="360"/>
      </w:pPr>
      <w:rPr>
        <w:rFonts w:hint="default"/>
      </w:rPr>
    </w:lvl>
    <w:lvl w:ilvl="5" w:tplc="45A88934">
      <w:start w:val="1"/>
      <w:numFmt w:val="bullet"/>
      <w:lvlText w:val="•"/>
      <w:lvlJc w:val="left"/>
      <w:pPr>
        <w:ind w:left="4591" w:hanging="360"/>
      </w:pPr>
      <w:rPr>
        <w:rFonts w:hint="default"/>
      </w:rPr>
    </w:lvl>
    <w:lvl w:ilvl="6" w:tplc="F5CE77F8">
      <w:start w:val="1"/>
      <w:numFmt w:val="bullet"/>
      <w:lvlText w:val="•"/>
      <w:lvlJc w:val="left"/>
      <w:pPr>
        <w:ind w:left="5415" w:hanging="360"/>
      </w:pPr>
      <w:rPr>
        <w:rFonts w:hint="default"/>
      </w:rPr>
    </w:lvl>
    <w:lvl w:ilvl="7" w:tplc="D0388136">
      <w:start w:val="1"/>
      <w:numFmt w:val="bullet"/>
      <w:lvlText w:val="•"/>
      <w:lvlJc w:val="left"/>
      <w:pPr>
        <w:ind w:left="6240" w:hanging="360"/>
      </w:pPr>
      <w:rPr>
        <w:rFonts w:hint="default"/>
      </w:rPr>
    </w:lvl>
    <w:lvl w:ilvl="8" w:tplc="90CEB484">
      <w:start w:val="1"/>
      <w:numFmt w:val="bullet"/>
      <w:lvlText w:val="•"/>
      <w:lvlJc w:val="left"/>
      <w:pPr>
        <w:ind w:left="7064" w:hanging="360"/>
      </w:pPr>
      <w:rPr>
        <w:rFonts w:hint="default"/>
      </w:rPr>
    </w:lvl>
  </w:abstractNum>
  <w:abstractNum w:abstractNumId="43" w15:restartNumberingAfterBreak="0">
    <w:nsid w:val="4B814D70"/>
    <w:multiLevelType w:val="hybridMultilevel"/>
    <w:tmpl w:val="FF5C0914"/>
    <w:lvl w:ilvl="0" w:tplc="94D08186">
      <w:start w:val="1"/>
      <w:numFmt w:val="decimal"/>
      <w:lvlText w:val="%1."/>
      <w:lvlJc w:val="left"/>
      <w:pPr>
        <w:ind w:left="839" w:hanging="284"/>
      </w:pPr>
      <w:rPr>
        <w:rFonts w:ascii="Arial" w:eastAsia="Arial" w:hAnsi="Arial" w:hint="default"/>
        <w:w w:val="99"/>
        <w:sz w:val="19"/>
        <w:szCs w:val="19"/>
      </w:rPr>
    </w:lvl>
    <w:lvl w:ilvl="1" w:tplc="AD284D50">
      <w:start w:val="1"/>
      <w:numFmt w:val="bullet"/>
      <w:lvlText w:val=""/>
      <w:lvlJc w:val="left"/>
      <w:pPr>
        <w:ind w:left="1122" w:hanging="284"/>
      </w:pPr>
      <w:rPr>
        <w:rFonts w:ascii="Symbol" w:eastAsia="Symbol" w:hAnsi="Symbol" w:hint="default"/>
        <w:color w:val="auto"/>
        <w:w w:val="99"/>
        <w:sz w:val="19"/>
        <w:szCs w:val="19"/>
      </w:rPr>
    </w:lvl>
    <w:lvl w:ilvl="2" w:tplc="8C704276">
      <w:start w:val="1"/>
      <w:numFmt w:val="bullet"/>
      <w:lvlText w:val="•"/>
      <w:lvlJc w:val="left"/>
      <w:pPr>
        <w:ind w:left="2225" w:hanging="284"/>
      </w:pPr>
      <w:rPr>
        <w:rFonts w:hint="default"/>
      </w:rPr>
    </w:lvl>
    <w:lvl w:ilvl="3" w:tplc="03424B0E">
      <w:start w:val="1"/>
      <w:numFmt w:val="bullet"/>
      <w:lvlText w:val="•"/>
      <w:lvlJc w:val="left"/>
      <w:pPr>
        <w:ind w:left="3328" w:hanging="284"/>
      </w:pPr>
      <w:rPr>
        <w:rFonts w:hint="default"/>
      </w:rPr>
    </w:lvl>
    <w:lvl w:ilvl="4" w:tplc="D3A0400C">
      <w:start w:val="1"/>
      <w:numFmt w:val="bullet"/>
      <w:lvlText w:val="•"/>
      <w:lvlJc w:val="left"/>
      <w:pPr>
        <w:ind w:left="4431" w:hanging="284"/>
      </w:pPr>
      <w:rPr>
        <w:rFonts w:hint="default"/>
      </w:rPr>
    </w:lvl>
    <w:lvl w:ilvl="5" w:tplc="6AFE2EC0">
      <w:start w:val="1"/>
      <w:numFmt w:val="bullet"/>
      <w:lvlText w:val="•"/>
      <w:lvlJc w:val="left"/>
      <w:pPr>
        <w:ind w:left="5534" w:hanging="284"/>
      </w:pPr>
      <w:rPr>
        <w:rFonts w:hint="default"/>
      </w:rPr>
    </w:lvl>
    <w:lvl w:ilvl="6" w:tplc="FC5877E4">
      <w:start w:val="1"/>
      <w:numFmt w:val="bullet"/>
      <w:lvlText w:val="•"/>
      <w:lvlJc w:val="left"/>
      <w:pPr>
        <w:ind w:left="6637" w:hanging="284"/>
      </w:pPr>
      <w:rPr>
        <w:rFonts w:hint="default"/>
      </w:rPr>
    </w:lvl>
    <w:lvl w:ilvl="7" w:tplc="F13E638E">
      <w:start w:val="1"/>
      <w:numFmt w:val="bullet"/>
      <w:lvlText w:val="•"/>
      <w:lvlJc w:val="left"/>
      <w:pPr>
        <w:ind w:left="7740" w:hanging="284"/>
      </w:pPr>
      <w:rPr>
        <w:rFonts w:hint="default"/>
      </w:rPr>
    </w:lvl>
    <w:lvl w:ilvl="8" w:tplc="D9400288">
      <w:start w:val="1"/>
      <w:numFmt w:val="bullet"/>
      <w:lvlText w:val="•"/>
      <w:lvlJc w:val="left"/>
      <w:pPr>
        <w:ind w:left="8843" w:hanging="284"/>
      </w:pPr>
      <w:rPr>
        <w:rFonts w:hint="default"/>
      </w:rPr>
    </w:lvl>
  </w:abstractNum>
  <w:abstractNum w:abstractNumId="44" w15:restartNumberingAfterBreak="0">
    <w:nsid w:val="4EED12E7"/>
    <w:multiLevelType w:val="hybridMultilevel"/>
    <w:tmpl w:val="8BBC3AE8"/>
    <w:lvl w:ilvl="0" w:tplc="FD0C4872">
      <w:start w:val="14"/>
      <w:numFmt w:val="decimal"/>
      <w:lvlText w:val="%1."/>
      <w:lvlJc w:val="left"/>
      <w:pPr>
        <w:ind w:left="842" w:hanging="284"/>
      </w:pPr>
      <w:rPr>
        <w:rFonts w:ascii="Arial" w:eastAsia="Arial" w:hAnsi="Arial" w:hint="default"/>
        <w:w w:val="99"/>
        <w:sz w:val="19"/>
        <w:szCs w:val="19"/>
      </w:rPr>
    </w:lvl>
    <w:lvl w:ilvl="1" w:tplc="373698F6">
      <w:start w:val="1"/>
      <w:numFmt w:val="bullet"/>
      <w:lvlText w:val=""/>
      <w:lvlJc w:val="left"/>
      <w:pPr>
        <w:ind w:left="1125" w:hanging="284"/>
      </w:pPr>
      <w:rPr>
        <w:rFonts w:ascii="Symbol" w:eastAsia="Symbol" w:hAnsi="Symbol" w:hint="default"/>
        <w:color w:val="auto"/>
        <w:w w:val="99"/>
        <w:sz w:val="19"/>
        <w:szCs w:val="19"/>
      </w:rPr>
    </w:lvl>
    <w:lvl w:ilvl="2" w:tplc="7414949C">
      <w:start w:val="1"/>
      <w:numFmt w:val="bullet"/>
      <w:lvlText w:val="•"/>
      <w:lvlJc w:val="left"/>
      <w:pPr>
        <w:ind w:left="2226" w:hanging="284"/>
      </w:pPr>
      <w:rPr>
        <w:rFonts w:hint="default"/>
      </w:rPr>
    </w:lvl>
    <w:lvl w:ilvl="3" w:tplc="B72EF0D6">
      <w:start w:val="1"/>
      <w:numFmt w:val="bullet"/>
      <w:lvlText w:val="•"/>
      <w:lvlJc w:val="left"/>
      <w:pPr>
        <w:ind w:left="3328" w:hanging="284"/>
      </w:pPr>
      <w:rPr>
        <w:rFonts w:hint="default"/>
      </w:rPr>
    </w:lvl>
    <w:lvl w:ilvl="4" w:tplc="EA58BBBC">
      <w:start w:val="1"/>
      <w:numFmt w:val="bullet"/>
      <w:lvlText w:val="•"/>
      <w:lvlJc w:val="left"/>
      <w:pPr>
        <w:ind w:left="4429" w:hanging="284"/>
      </w:pPr>
      <w:rPr>
        <w:rFonts w:hint="default"/>
      </w:rPr>
    </w:lvl>
    <w:lvl w:ilvl="5" w:tplc="B4A4764E">
      <w:start w:val="1"/>
      <w:numFmt w:val="bullet"/>
      <w:lvlText w:val="•"/>
      <w:lvlJc w:val="left"/>
      <w:pPr>
        <w:ind w:left="5531" w:hanging="284"/>
      </w:pPr>
      <w:rPr>
        <w:rFonts w:hint="default"/>
      </w:rPr>
    </w:lvl>
    <w:lvl w:ilvl="6" w:tplc="30A6BC30">
      <w:start w:val="1"/>
      <w:numFmt w:val="bullet"/>
      <w:lvlText w:val="•"/>
      <w:lvlJc w:val="left"/>
      <w:pPr>
        <w:ind w:left="6633" w:hanging="284"/>
      </w:pPr>
      <w:rPr>
        <w:rFonts w:hint="default"/>
      </w:rPr>
    </w:lvl>
    <w:lvl w:ilvl="7" w:tplc="0B229B5C">
      <w:start w:val="1"/>
      <w:numFmt w:val="bullet"/>
      <w:lvlText w:val="•"/>
      <w:lvlJc w:val="left"/>
      <w:pPr>
        <w:ind w:left="7734" w:hanging="284"/>
      </w:pPr>
      <w:rPr>
        <w:rFonts w:hint="default"/>
      </w:rPr>
    </w:lvl>
    <w:lvl w:ilvl="8" w:tplc="AE7AEA6C">
      <w:start w:val="1"/>
      <w:numFmt w:val="bullet"/>
      <w:lvlText w:val="•"/>
      <w:lvlJc w:val="left"/>
      <w:pPr>
        <w:ind w:left="8836" w:hanging="284"/>
      </w:pPr>
      <w:rPr>
        <w:rFonts w:hint="default"/>
      </w:rPr>
    </w:lvl>
  </w:abstractNum>
  <w:abstractNum w:abstractNumId="45" w15:restartNumberingAfterBreak="0">
    <w:nsid w:val="511E1F8F"/>
    <w:multiLevelType w:val="hybridMultilevel"/>
    <w:tmpl w:val="EE305C62"/>
    <w:lvl w:ilvl="0" w:tplc="9AE4AF80">
      <w:start w:val="1"/>
      <w:numFmt w:val="bullet"/>
      <w:lvlText w:val=""/>
      <w:lvlJc w:val="left"/>
      <w:pPr>
        <w:ind w:left="674" w:hanging="284"/>
      </w:pPr>
      <w:rPr>
        <w:rFonts w:ascii="Symbol" w:eastAsia="Symbol" w:hAnsi="Symbol" w:hint="default"/>
        <w:w w:val="99"/>
        <w:sz w:val="19"/>
        <w:szCs w:val="19"/>
      </w:rPr>
    </w:lvl>
    <w:lvl w:ilvl="1" w:tplc="637CE7EC">
      <w:start w:val="1"/>
      <w:numFmt w:val="bullet"/>
      <w:lvlText w:val="•"/>
      <w:lvlJc w:val="left"/>
      <w:pPr>
        <w:ind w:left="1478" w:hanging="284"/>
      </w:pPr>
      <w:rPr>
        <w:rFonts w:hint="default"/>
      </w:rPr>
    </w:lvl>
    <w:lvl w:ilvl="2" w:tplc="DE3EA586">
      <w:start w:val="1"/>
      <w:numFmt w:val="bullet"/>
      <w:lvlText w:val="•"/>
      <w:lvlJc w:val="left"/>
      <w:pPr>
        <w:ind w:left="2282" w:hanging="284"/>
      </w:pPr>
      <w:rPr>
        <w:rFonts w:hint="default"/>
      </w:rPr>
    </w:lvl>
    <w:lvl w:ilvl="3" w:tplc="A776D116">
      <w:start w:val="1"/>
      <w:numFmt w:val="bullet"/>
      <w:lvlText w:val="•"/>
      <w:lvlJc w:val="left"/>
      <w:pPr>
        <w:ind w:left="3086" w:hanging="284"/>
      </w:pPr>
      <w:rPr>
        <w:rFonts w:hint="default"/>
      </w:rPr>
    </w:lvl>
    <w:lvl w:ilvl="4" w:tplc="CF546B2C">
      <w:start w:val="1"/>
      <w:numFmt w:val="bullet"/>
      <w:lvlText w:val="•"/>
      <w:lvlJc w:val="left"/>
      <w:pPr>
        <w:ind w:left="3890" w:hanging="284"/>
      </w:pPr>
      <w:rPr>
        <w:rFonts w:hint="default"/>
      </w:rPr>
    </w:lvl>
    <w:lvl w:ilvl="5" w:tplc="DDA48ECE">
      <w:start w:val="1"/>
      <w:numFmt w:val="bullet"/>
      <w:lvlText w:val="•"/>
      <w:lvlJc w:val="left"/>
      <w:pPr>
        <w:ind w:left="4694" w:hanging="284"/>
      </w:pPr>
      <w:rPr>
        <w:rFonts w:hint="default"/>
      </w:rPr>
    </w:lvl>
    <w:lvl w:ilvl="6" w:tplc="E536E382">
      <w:start w:val="1"/>
      <w:numFmt w:val="bullet"/>
      <w:lvlText w:val="•"/>
      <w:lvlJc w:val="left"/>
      <w:pPr>
        <w:ind w:left="5498" w:hanging="284"/>
      </w:pPr>
      <w:rPr>
        <w:rFonts w:hint="default"/>
      </w:rPr>
    </w:lvl>
    <w:lvl w:ilvl="7" w:tplc="A6A20ABE">
      <w:start w:val="1"/>
      <w:numFmt w:val="bullet"/>
      <w:lvlText w:val="•"/>
      <w:lvlJc w:val="left"/>
      <w:pPr>
        <w:ind w:left="6302" w:hanging="284"/>
      </w:pPr>
      <w:rPr>
        <w:rFonts w:hint="default"/>
      </w:rPr>
    </w:lvl>
    <w:lvl w:ilvl="8" w:tplc="9EBE9104">
      <w:start w:val="1"/>
      <w:numFmt w:val="bullet"/>
      <w:lvlText w:val="•"/>
      <w:lvlJc w:val="left"/>
      <w:pPr>
        <w:ind w:left="7106" w:hanging="284"/>
      </w:pPr>
      <w:rPr>
        <w:rFonts w:hint="default"/>
      </w:rPr>
    </w:lvl>
  </w:abstractNum>
  <w:abstractNum w:abstractNumId="46" w15:restartNumberingAfterBreak="0">
    <w:nsid w:val="53A9311E"/>
    <w:multiLevelType w:val="hybridMultilevel"/>
    <w:tmpl w:val="9056A7CC"/>
    <w:lvl w:ilvl="0" w:tplc="B5DA1B08">
      <w:start w:val="1"/>
      <w:numFmt w:val="decimal"/>
      <w:lvlText w:val="%1."/>
      <w:lvlJc w:val="left"/>
      <w:pPr>
        <w:ind w:left="839" w:hanging="284"/>
      </w:pPr>
      <w:rPr>
        <w:rFonts w:ascii="Arial" w:eastAsia="Arial" w:hAnsi="Arial" w:hint="default"/>
        <w:w w:val="99"/>
        <w:sz w:val="19"/>
        <w:szCs w:val="19"/>
      </w:rPr>
    </w:lvl>
    <w:lvl w:ilvl="1" w:tplc="87BE09B8">
      <w:start w:val="1"/>
      <w:numFmt w:val="lowerLetter"/>
      <w:lvlText w:val="%2)"/>
      <w:lvlJc w:val="left"/>
      <w:pPr>
        <w:ind w:left="1122" w:hanging="284"/>
      </w:pPr>
      <w:rPr>
        <w:rFonts w:ascii="Arial" w:eastAsia="Arial" w:hAnsi="Arial" w:hint="default"/>
        <w:w w:val="99"/>
        <w:sz w:val="19"/>
        <w:szCs w:val="19"/>
      </w:rPr>
    </w:lvl>
    <w:lvl w:ilvl="2" w:tplc="C1C41AF4">
      <w:start w:val="1"/>
      <w:numFmt w:val="bullet"/>
      <w:lvlText w:val=""/>
      <w:lvlJc w:val="left"/>
      <w:pPr>
        <w:ind w:left="1408" w:hanging="286"/>
      </w:pPr>
      <w:rPr>
        <w:rFonts w:ascii="Symbol" w:eastAsia="Symbol" w:hAnsi="Symbol" w:hint="default"/>
        <w:color w:val="auto"/>
        <w:w w:val="99"/>
        <w:sz w:val="19"/>
        <w:szCs w:val="19"/>
      </w:rPr>
    </w:lvl>
    <w:lvl w:ilvl="3" w:tplc="364A4182">
      <w:start w:val="1"/>
      <w:numFmt w:val="bullet"/>
      <w:lvlText w:val="•"/>
      <w:lvlJc w:val="left"/>
      <w:pPr>
        <w:ind w:left="2613" w:hanging="286"/>
      </w:pPr>
      <w:rPr>
        <w:rFonts w:hint="default"/>
      </w:rPr>
    </w:lvl>
    <w:lvl w:ilvl="4" w:tplc="8BFCB824">
      <w:start w:val="1"/>
      <w:numFmt w:val="bullet"/>
      <w:lvlText w:val="•"/>
      <w:lvlJc w:val="left"/>
      <w:pPr>
        <w:ind w:left="3818" w:hanging="286"/>
      </w:pPr>
      <w:rPr>
        <w:rFonts w:hint="default"/>
      </w:rPr>
    </w:lvl>
    <w:lvl w:ilvl="5" w:tplc="D36A0EF0">
      <w:start w:val="1"/>
      <w:numFmt w:val="bullet"/>
      <w:lvlText w:val="•"/>
      <w:lvlJc w:val="left"/>
      <w:pPr>
        <w:ind w:left="5023" w:hanging="286"/>
      </w:pPr>
      <w:rPr>
        <w:rFonts w:hint="default"/>
      </w:rPr>
    </w:lvl>
    <w:lvl w:ilvl="6" w:tplc="61706FD0">
      <w:start w:val="1"/>
      <w:numFmt w:val="bullet"/>
      <w:lvlText w:val="•"/>
      <w:lvlJc w:val="left"/>
      <w:pPr>
        <w:ind w:left="6228" w:hanging="286"/>
      </w:pPr>
      <w:rPr>
        <w:rFonts w:hint="default"/>
      </w:rPr>
    </w:lvl>
    <w:lvl w:ilvl="7" w:tplc="FDA8D798">
      <w:start w:val="1"/>
      <w:numFmt w:val="bullet"/>
      <w:lvlText w:val="•"/>
      <w:lvlJc w:val="left"/>
      <w:pPr>
        <w:ind w:left="7433" w:hanging="286"/>
      </w:pPr>
      <w:rPr>
        <w:rFonts w:hint="default"/>
      </w:rPr>
    </w:lvl>
    <w:lvl w:ilvl="8" w:tplc="81E6FD64">
      <w:start w:val="1"/>
      <w:numFmt w:val="bullet"/>
      <w:lvlText w:val="•"/>
      <w:lvlJc w:val="left"/>
      <w:pPr>
        <w:ind w:left="8638" w:hanging="286"/>
      </w:pPr>
      <w:rPr>
        <w:rFonts w:hint="default"/>
      </w:rPr>
    </w:lvl>
  </w:abstractNum>
  <w:abstractNum w:abstractNumId="47" w15:restartNumberingAfterBreak="0">
    <w:nsid w:val="56B81A1A"/>
    <w:multiLevelType w:val="hybridMultilevel"/>
    <w:tmpl w:val="B664C280"/>
    <w:lvl w:ilvl="0" w:tplc="C4BC192A">
      <w:start w:val="1"/>
      <w:numFmt w:val="decimal"/>
      <w:lvlText w:val="%1."/>
      <w:lvlJc w:val="left"/>
      <w:pPr>
        <w:ind w:left="842" w:hanging="284"/>
      </w:pPr>
      <w:rPr>
        <w:rFonts w:ascii="Arial" w:eastAsia="Arial" w:hAnsi="Arial" w:hint="default"/>
        <w:w w:val="99"/>
        <w:sz w:val="19"/>
        <w:szCs w:val="19"/>
      </w:rPr>
    </w:lvl>
    <w:lvl w:ilvl="1" w:tplc="5CBC1C7A">
      <w:start w:val="1"/>
      <w:numFmt w:val="bullet"/>
      <w:lvlText w:val=""/>
      <w:lvlJc w:val="left"/>
      <w:pPr>
        <w:ind w:left="1125" w:hanging="284"/>
      </w:pPr>
      <w:rPr>
        <w:rFonts w:ascii="Symbol" w:eastAsia="Symbol" w:hAnsi="Symbol" w:hint="default"/>
        <w:color w:val="auto"/>
        <w:w w:val="99"/>
        <w:sz w:val="19"/>
        <w:szCs w:val="19"/>
      </w:rPr>
    </w:lvl>
    <w:lvl w:ilvl="2" w:tplc="861ED726">
      <w:start w:val="1"/>
      <w:numFmt w:val="bullet"/>
      <w:lvlText w:val="•"/>
      <w:lvlJc w:val="left"/>
      <w:pPr>
        <w:ind w:left="2226" w:hanging="284"/>
      </w:pPr>
      <w:rPr>
        <w:rFonts w:hint="default"/>
      </w:rPr>
    </w:lvl>
    <w:lvl w:ilvl="3" w:tplc="641AA3A2">
      <w:start w:val="1"/>
      <w:numFmt w:val="bullet"/>
      <w:lvlText w:val="•"/>
      <w:lvlJc w:val="left"/>
      <w:pPr>
        <w:ind w:left="3328" w:hanging="284"/>
      </w:pPr>
      <w:rPr>
        <w:rFonts w:hint="default"/>
      </w:rPr>
    </w:lvl>
    <w:lvl w:ilvl="4" w:tplc="07164914">
      <w:start w:val="1"/>
      <w:numFmt w:val="bullet"/>
      <w:lvlText w:val="•"/>
      <w:lvlJc w:val="left"/>
      <w:pPr>
        <w:ind w:left="4429" w:hanging="284"/>
      </w:pPr>
      <w:rPr>
        <w:rFonts w:hint="default"/>
      </w:rPr>
    </w:lvl>
    <w:lvl w:ilvl="5" w:tplc="F9720D5E">
      <w:start w:val="1"/>
      <w:numFmt w:val="bullet"/>
      <w:lvlText w:val="•"/>
      <w:lvlJc w:val="left"/>
      <w:pPr>
        <w:ind w:left="5531" w:hanging="284"/>
      </w:pPr>
      <w:rPr>
        <w:rFonts w:hint="default"/>
      </w:rPr>
    </w:lvl>
    <w:lvl w:ilvl="6" w:tplc="44606612">
      <w:start w:val="1"/>
      <w:numFmt w:val="bullet"/>
      <w:lvlText w:val="•"/>
      <w:lvlJc w:val="left"/>
      <w:pPr>
        <w:ind w:left="6633" w:hanging="284"/>
      </w:pPr>
      <w:rPr>
        <w:rFonts w:hint="default"/>
      </w:rPr>
    </w:lvl>
    <w:lvl w:ilvl="7" w:tplc="57023E48">
      <w:start w:val="1"/>
      <w:numFmt w:val="bullet"/>
      <w:lvlText w:val="•"/>
      <w:lvlJc w:val="left"/>
      <w:pPr>
        <w:ind w:left="7734" w:hanging="284"/>
      </w:pPr>
      <w:rPr>
        <w:rFonts w:hint="default"/>
      </w:rPr>
    </w:lvl>
    <w:lvl w:ilvl="8" w:tplc="BE4CFB32">
      <w:start w:val="1"/>
      <w:numFmt w:val="bullet"/>
      <w:lvlText w:val="•"/>
      <w:lvlJc w:val="left"/>
      <w:pPr>
        <w:ind w:left="8836" w:hanging="284"/>
      </w:pPr>
      <w:rPr>
        <w:rFonts w:hint="default"/>
      </w:rPr>
    </w:lvl>
  </w:abstractNum>
  <w:abstractNum w:abstractNumId="48" w15:restartNumberingAfterBreak="0">
    <w:nsid w:val="57EA00D7"/>
    <w:multiLevelType w:val="hybridMultilevel"/>
    <w:tmpl w:val="009EE7B4"/>
    <w:lvl w:ilvl="0" w:tplc="9814C000">
      <w:start w:val="1"/>
      <w:numFmt w:val="bullet"/>
      <w:lvlText w:val=""/>
      <w:lvlJc w:val="left"/>
      <w:pPr>
        <w:ind w:left="1125" w:hanging="284"/>
      </w:pPr>
      <w:rPr>
        <w:rFonts w:ascii="Symbol" w:eastAsia="Symbol" w:hAnsi="Symbol" w:hint="default"/>
        <w:color w:val="auto"/>
        <w:w w:val="99"/>
        <w:sz w:val="19"/>
        <w:szCs w:val="19"/>
      </w:rPr>
    </w:lvl>
    <w:lvl w:ilvl="1" w:tplc="F0FC91CC">
      <w:start w:val="1"/>
      <w:numFmt w:val="bullet"/>
      <w:lvlText w:val="•"/>
      <w:lvlJc w:val="left"/>
      <w:pPr>
        <w:ind w:left="2116" w:hanging="284"/>
      </w:pPr>
      <w:rPr>
        <w:rFonts w:hint="default"/>
      </w:rPr>
    </w:lvl>
    <w:lvl w:ilvl="2" w:tplc="BD8C2616">
      <w:start w:val="1"/>
      <w:numFmt w:val="bullet"/>
      <w:lvlText w:val="•"/>
      <w:lvlJc w:val="left"/>
      <w:pPr>
        <w:ind w:left="3108" w:hanging="284"/>
      </w:pPr>
      <w:rPr>
        <w:rFonts w:hint="default"/>
      </w:rPr>
    </w:lvl>
    <w:lvl w:ilvl="3" w:tplc="82B4A31A">
      <w:start w:val="1"/>
      <w:numFmt w:val="bullet"/>
      <w:lvlText w:val="•"/>
      <w:lvlJc w:val="left"/>
      <w:pPr>
        <w:ind w:left="4099" w:hanging="284"/>
      </w:pPr>
      <w:rPr>
        <w:rFonts w:hint="default"/>
      </w:rPr>
    </w:lvl>
    <w:lvl w:ilvl="4" w:tplc="91641F76">
      <w:start w:val="1"/>
      <w:numFmt w:val="bullet"/>
      <w:lvlText w:val="•"/>
      <w:lvlJc w:val="left"/>
      <w:pPr>
        <w:ind w:left="5090" w:hanging="284"/>
      </w:pPr>
      <w:rPr>
        <w:rFonts w:hint="default"/>
      </w:rPr>
    </w:lvl>
    <w:lvl w:ilvl="5" w:tplc="4F909776">
      <w:start w:val="1"/>
      <w:numFmt w:val="bullet"/>
      <w:lvlText w:val="•"/>
      <w:lvlJc w:val="left"/>
      <w:pPr>
        <w:ind w:left="6082" w:hanging="284"/>
      </w:pPr>
      <w:rPr>
        <w:rFonts w:hint="default"/>
      </w:rPr>
    </w:lvl>
    <w:lvl w:ilvl="6" w:tplc="F454EAB6">
      <w:start w:val="1"/>
      <w:numFmt w:val="bullet"/>
      <w:lvlText w:val="•"/>
      <w:lvlJc w:val="left"/>
      <w:pPr>
        <w:ind w:left="7073" w:hanging="284"/>
      </w:pPr>
      <w:rPr>
        <w:rFonts w:hint="default"/>
      </w:rPr>
    </w:lvl>
    <w:lvl w:ilvl="7" w:tplc="CA98CBDC">
      <w:start w:val="1"/>
      <w:numFmt w:val="bullet"/>
      <w:lvlText w:val="•"/>
      <w:lvlJc w:val="left"/>
      <w:pPr>
        <w:ind w:left="8065" w:hanging="284"/>
      </w:pPr>
      <w:rPr>
        <w:rFonts w:hint="default"/>
      </w:rPr>
    </w:lvl>
    <w:lvl w:ilvl="8" w:tplc="53EABE4C">
      <w:start w:val="1"/>
      <w:numFmt w:val="bullet"/>
      <w:lvlText w:val="•"/>
      <w:lvlJc w:val="left"/>
      <w:pPr>
        <w:ind w:left="9056" w:hanging="284"/>
      </w:pPr>
      <w:rPr>
        <w:rFonts w:hint="default"/>
      </w:rPr>
    </w:lvl>
  </w:abstractNum>
  <w:abstractNum w:abstractNumId="49" w15:restartNumberingAfterBreak="0">
    <w:nsid w:val="589B67F9"/>
    <w:multiLevelType w:val="hybridMultilevel"/>
    <w:tmpl w:val="DEAE38D4"/>
    <w:lvl w:ilvl="0" w:tplc="71DEF5A0">
      <w:start w:val="1"/>
      <w:numFmt w:val="decimal"/>
      <w:lvlText w:val="%1."/>
      <w:lvlJc w:val="left"/>
      <w:pPr>
        <w:ind w:left="842" w:hanging="284"/>
      </w:pPr>
      <w:rPr>
        <w:rFonts w:ascii="Arial" w:eastAsia="Arial" w:hAnsi="Arial" w:hint="default"/>
        <w:w w:val="99"/>
        <w:sz w:val="19"/>
        <w:szCs w:val="19"/>
      </w:rPr>
    </w:lvl>
    <w:lvl w:ilvl="1" w:tplc="739218FE">
      <w:start w:val="1"/>
      <w:numFmt w:val="bullet"/>
      <w:lvlText w:val=""/>
      <w:lvlJc w:val="left"/>
      <w:pPr>
        <w:ind w:left="1125" w:hanging="284"/>
      </w:pPr>
      <w:rPr>
        <w:rFonts w:ascii="Symbol" w:eastAsia="Symbol" w:hAnsi="Symbol" w:hint="default"/>
        <w:color w:val="auto"/>
        <w:w w:val="99"/>
        <w:sz w:val="19"/>
        <w:szCs w:val="19"/>
      </w:rPr>
    </w:lvl>
    <w:lvl w:ilvl="2" w:tplc="1BF883B2">
      <w:start w:val="1"/>
      <w:numFmt w:val="bullet"/>
      <w:lvlText w:val="•"/>
      <w:lvlJc w:val="left"/>
      <w:pPr>
        <w:ind w:left="1125" w:hanging="284"/>
      </w:pPr>
      <w:rPr>
        <w:rFonts w:hint="default"/>
      </w:rPr>
    </w:lvl>
    <w:lvl w:ilvl="3" w:tplc="B79693AE">
      <w:start w:val="1"/>
      <w:numFmt w:val="bullet"/>
      <w:lvlText w:val="•"/>
      <w:lvlJc w:val="left"/>
      <w:pPr>
        <w:ind w:left="2364" w:hanging="284"/>
      </w:pPr>
      <w:rPr>
        <w:rFonts w:hint="default"/>
      </w:rPr>
    </w:lvl>
    <w:lvl w:ilvl="4" w:tplc="DDFCAE08">
      <w:start w:val="1"/>
      <w:numFmt w:val="bullet"/>
      <w:lvlText w:val="•"/>
      <w:lvlJc w:val="left"/>
      <w:pPr>
        <w:ind w:left="3603" w:hanging="284"/>
      </w:pPr>
      <w:rPr>
        <w:rFonts w:hint="default"/>
      </w:rPr>
    </w:lvl>
    <w:lvl w:ilvl="5" w:tplc="E452B3A6">
      <w:start w:val="1"/>
      <w:numFmt w:val="bullet"/>
      <w:lvlText w:val="•"/>
      <w:lvlJc w:val="left"/>
      <w:pPr>
        <w:ind w:left="4843" w:hanging="284"/>
      </w:pPr>
      <w:rPr>
        <w:rFonts w:hint="default"/>
      </w:rPr>
    </w:lvl>
    <w:lvl w:ilvl="6" w:tplc="649E6670">
      <w:start w:val="1"/>
      <w:numFmt w:val="bullet"/>
      <w:lvlText w:val="•"/>
      <w:lvlJc w:val="left"/>
      <w:pPr>
        <w:ind w:left="6082" w:hanging="284"/>
      </w:pPr>
      <w:rPr>
        <w:rFonts w:hint="default"/>
      </w:rPr>
    </w:lvl>
    <w:lvl w:ilvl="7" w:tplc="61EAADC4">
      <w:start w:val="1"/>
      <w:numFmt w:val="bullet"/>
      <w:lvlText w:val="•"/>
      <w:lvlJc w:val="left"/>
      <w:pPr>
        <w:ind w:left="7321" w:hanging="284"/>
      </w:pPr>
      <w:rPr>
        <w:rFonts w:hint="default"/>
      </w:rPr>
    </w:lvl>
    <w:lvl w:ilvl="8" w:tplc="B98A7C12">
      <w:start w:val="1"/>
      <w:numFmt w:val="bullet"/>
      <w:lvlText w:val="•"/>
      <w:lvlJc w:val="left"/>
      <w:pPr>
        <w:ind w:left="8560" w:hanging="284"/>
      </w:pPr>
      <w:rPr>
        <w:rFonts w:hint="default"/>
      </w:rPr>
    </w:lvl>
  </w:abstractNum>
  <w:abstractNum w:abstractNumId="50" w15:restartNumberingAfterBreak="0">
    <w:nsid w:val="5A552766"/>
    <w:multiLevelType w:val="hybridMultilevel"/>
    <w:tmpl w:val="A22E5B22"/>
    <w:lvl w:ilvl="0" w:tplc="BA14176C">
      <w:start w:val="1"/>
      <w:numFmt w:val="bullet"/>
      <w:lvlText w:val=""/>
      <w:lvlJc w:val="left"/>
      <w:pPr>
        <w:ind w:left="1125" w:hanging="284"/>
      </w:pPr>
      <w:rPr>
        <w:rFonts w:ascii="Symbol" w:eastAsia="Symbol" w:hAnsi="Symbol" w:hint="default"/>
        <w:color w:val="auto"/>
        <w:w w:val="99"/>
        <w:sz w:val="19"/>
        <w:szCs w:val="19"/>
      </w:rPr>
    </w:lvl>
    <w:lvl w:ilvl="1" w:tplc="392C99AA">
      <w:start w:val="1"/>
      <w:numFmt w:val="bullet"/>
      <w:lvlText w:val="•"/>
      <w:lvlJc w:val="left"/>
      <w:pPr>
        <w:ind w:left="2116" w:hanging="284"/>
      </w:pPr>
      <w:rPr>
        <w:rFonts w:hint="default"/>
      </w:rPr>
    </w:lvl>
    <w:lvl w:ilvl="2" w:tplc="B48CCC7E">
      <w:start w:val="1"/>
      <w:numFmt w:val="bullet"/>
      <w:lvlText w:val="•"/>
      <w:lvlJc w:val="left"/>
      <w:pPr>
        <w:ind w:left="3108" w:hanging="284"/>
      </w:pPr>
      <w:rPr>
        <w:rFonts w:hint="default"/>
      </w:rPr>
    </w:lvl>
    <w:lvl w:ilvl="3" w:tplc="79A6650C">
      <w:start w:val="1"/>
      <w:numFmt w:val="bullet"/>
      <w:lvlText w:val="•"/>
      <w:lvlJc w:val="left"/>
      <w:pPr>
        <w:ind w:left="4099" w:hanging="284"/>
      </w:pPr>
      <w:rPr>
        <w:rFonts w:hint="default"/>
      </w:rPr>
    </w:lvl>
    <w:lvl w:ilvl="4" w:tplc="F536B37A">
      <w:start w:val="1"/>
      <w:numFmt w:val="bullet"/>
      <w:lvlText w:val="•"/>
      <w:lvlJc w:val="left"/>
      <w:pPr>
        <w:ind w:left="5090" w:hanging="284"/>
      </w:pPr>
      <w:rPr>
        <w:rFonts w:hint="default"/>
      </w:rPr>
    </w:lvl>
    <w:lvl w:ilvl="5" w:tplc="E4E6E5AA">
      <w:start w:val="1"/>
      <w:numFmt w:val="bullet"/>
      <w:lvlText w:val="•"/>
      <w:lvlJc w:val="left"/>
      <w:pPr>
        <w:ind w:left="6082" w:hanging="284"/>
      </w:pPr>
      <w:rPr>
        <w:rFonts w:hint="default"/>
      </w:rPr>
    </w:lvl>
    <w:lvl w:ilvl="6" w:tplc="51F6B852">
      <w:start w:val="1"/>
      <w:numFmt w:val="bullet"/>
      <w:lvlText w:val="•"/>
      <w:lvlJc w:val="left"/>
      <w:pPr>
        <w:ind w:left="7073" w:hanging="284"/>
      </w:pPr>
      <w:rPr>
        <w:rFonts w:hint="default"/>
      </w:rPr>
    </w:lvl>
    <w:lvl w:ilvl="7" w:tplc="AE00BB84">
      <w:start w:val="1"/>
      <w:numFmt w:val="bullet"/>
      <w:lvlText w:val="•"/>
      <w:lvlJc w:val="left"/>
      <w:pPr>
        <w:ind w:left="8065" w:hanging="284"/>
      </w:pPr>
      <w:rPr>
        <w:rFonts w:hint="default"/>
      </w:rPr>
    </w:lvl>
    <w:lvl w:ilvl="8" w:tplc="3C26CE14">
      <w:start w:val="1"/>
      <w:numFmt w:val="bullet"/>
      <w:lvlText w:val="•"/>
      <w:lvlJc w:val="left"/>
      <w:pPr>
        <w:ind w:left="9056" w:hanging="284"/>
      </w:pPr>
      <w:rPr>
        <w:rFonts w:hint="default"/>
      </w:rPr>
    </w:lvl>
  </w:abstractNum>
  <w:abstractNum w:abstractNumId="51" w15:restartNumberingAfterBreak="0">
    <w:nsid w:val="5BC967A8"/>
    <w:multiLevelType w:val="hybridMultilevel"/>
    <w:tmpl w:val="D2D4BB96"/>
    <w:lvl w:ilvl="0" w:tplc="DC264790">
      <w:start w:val="1"/>
      <w:numFmt w:val="bullet"/>
      <w:lvlText w:val=""/>
      <w:lvlJc w:val="left"/>
      <w:pPr>
        <w:ind w:left="1125" w:hanging="284"/>
      </w:pPr>
      <w:rPr>
        <w:rFonts w:ascii="Symbol" w:eastAsia="Symbol" w:hAnsi="Symbol" w:hint="default"/>
        <w:color w:val="auto"/>
        <w:w w:val="99"/>
        <w:sz w:val="19"/>
        <w:szCs w:val="19"/>
      </w:rPr>
    </w:lvl>
    <w:lvl w:ilvl="1" w:tplc="521205B2">
      <w:start w:val="1"/>
      <w:numFmt w:val="bullet"/>
      <w:lvlText w:val="•"/>
      <w:lvlJc w:val="left"/>
      <w:pPr>
        <w:ind w:left="2116" w:hanging="284"/>
      </w:pPr>
      <w:rPr>
        <w:rFonts w:hint="default"/>
      </w:rPr>
    </w:lvl>
    <w:lvl w:ilvl="2" w:tplc="CD96ADFA">
      <w:start w:val="1"/>
      <w:numFmt w:val="bullet"/>
      <w:lvlText w:val="•"/>
      <w:lvlJc w:val="left"/>
      <w:pPr>
        <w:ind w:left="3108" w:hanging="284"/>
      </w:pPr>
      <w:rPr>
        <w:rFonts w:hint="default"/>
      </w:rPr>
    </w:lvl>
    <w:lvl w:ilvl="3" w:tplc="004E09A6">
      <w:start w:val="1"/>
      <w:numFmt w:val="bullet"/>
      <w:lvlText w:val="•"/>
      <w:lvlJc w:val="left"/>
      <w:pPr>
        <w:ind w:left="4099" w:hanging="284"/>
      </w:pPr>
      <w:rPr>
        <w:rFonts w:hint="default"/>
      </w:rPr>
    </w:lvl>
    <w:lvl w:ilvl="4" w:tplc="9CECAF4E">
      <w:start w:val="1"/>
      <w:numFmt w:val="bullet"/>
      <w:lvlText w:val="•"/>
      <w:lvlJc w:val="left"/>
      <w:pPr>
        <w:ind w:left="5090" w:hanging="284"/>
      </w:pPr>
      <w:rPr>
        <w:rFonts w:hint="default"/>
      </w:rPr>
    </w:lvl>
    <w:lvl w:ilvl="5" w:tplc="E9CCC6F8">
      <w:start w:val="1"/>
      <w:numFmt w:val="bullet"/>
      <w:lvlText w:val="•"/>
      <w:lvlJc w:val="left"/>
      <w:pPr>
        <w:ind w:left="6082" w:hanging="284"/>
      </w:pPr>
      <w:rPr>
        <w:rFonts w:hint="default"/>
      </w:rPr>
    </w:lvl>
    <w:lvl w:ilvl="6" w:tplc="D0EA341C">
      <w:start w:val="1"/>
      <w:numFmt w:val="bullet"/>
      <w:lvlText w:val="•"/>
      <w:lvlJc w:val="left"/>
      <w:pPr>
        <w:ind w:left="7073" w:hanging="284"/>
      </w:pPr>
      <w:rPr>
        <w:rFonts w:hint="default"/>
      </w:rPr>
    </w:lvl>
    <w:lvl w:ilvl="7" w:tplc="A5CE50C6">
      <w:start w:val="1"/>
      <w:numFmt w:val="bullet"/>
      <w:lvlText w:val="•"/>
      <w:lvlJc w:val="left"/>
      <w:pPr>
        <w:ind w:left="8065" w:hanging="284"/>
      </w:pPr>
      <w:rPr>
        <w:rFonts w:hint="default"/>
      </w:rPr>
    </w:lvl>
    <w:lvl w:ilvl="8" w:tplc="2D568CC6">
      <w:start w:val="1"/>
      <w:numFmt w:val="bullet"/>
      <w:lvlText w:val="•"/>
      <w:lvlJc w:val="left"/>
      <w:pPr>
        <w:ind w:left="9056" w:hanging="284"/>
      </w:pPr>
      <w:rPr>
        <w:rFonts w:hint="default"/>
      </w:rPr>
    </w:lvl>
  </w:abstractNum>
  <w:abstractNum w:abstractNumId="52" w15:restartNumberingAfterBreak="0">
    <w:nsid w:val="5C7965CC"/>
    <w:multiLevelType w:val="hybridMultilevel"/>
    <w:tmpl w:val="8BDAA83A"/>
    <w:lvl w:ilvl="0" w:tplc="56B27A88">
      <w:start w:val="1"/>
      <w:numFmt w:val="bullet"/>
      <w:lvlText w:val=""/>
      <w:lvlJc w:val="left"/>
      <w:pPr>
        <w:ind w:left="1125" w:hanging="284"/>
      </w:pPr>
      <w:rPr>
        <w:rFonts w:ascii="Symbol" w:eastAsia="Symbol" w:hAnsi="Symbol" w:hint="default"/>
        <w:color w:val="auto"/>
        <w:w w:val="99"/>
        <w:sz w:val="19"/>
        <w:szCs w:val="19"/>
      </w:rPr>
    </w:lvl>
    <w:lvl w:ilvl="1" w:tplc="BF360FE0">
      <w:start w:val="1"/>
      <w:numFmt w:val="bullet"/>
      <w:lvlText w:val="•"/>
      <w:lvlJc w:val="left"/>
      <w:pPr>
        <w:ind w:left="2116" w:hanging="284"/>
      </w:pPr>
      <w:rPr>
        <w:rFonts w:hint="default"/>
      </w:rPr>
    </w:lvl>
    <w:lvl w:ilvl="2" w:tplc="7F788976">
      <w:start w:val="1"/>
      <w:numFmt w:val="bullet"/>
      <w:lvlText w:val="•"/>
      <w:lvlJc w:val="left"/>
      <w:pPr>
        <w:ind w:left="3108" w:hanging="284"/>
      </w:pPr>
      <w:rPr>
        <w:rFonts w:hint="default"/>
      </w:rPr>
    </w:lvl>
    <w:lvl w:ilvl="3" w:tplc="F9747CA8">
      <w:start w:val="1"/>
      <w:numFmt w:val="bullet"/>
      <w:lvlText w:val="•"/>
      <w:lvlJc w:val="left"/>
      <w:pPr>
        <w:ind w:left="4099" w:hanging="284"/>
      </w:pPr>
      <w:rPr>
        <w:rFonts w:hint="default"/>
      </w:rPr>
    </w:lvl>
    <w:lvl w:ilvl="4" w:tplc="DEC25C80">
      <w:start w:val="1"/>
      <w:numFmt w:val="bullet"/>
      <w:lvlText w:val="•"/>
      <w:lvlJc w:val="left"/>
      <w:pPr>
        <w:ind w:left="5090" w:hanging="284"/>
      </w:pPr>
      <w:rPr>
        <w:rFonts w:hint="default"/>
      </w:rPr>
    </w:lvl>
    <w:lvl w:ilvl="5" w:tplc="ECE80A8A">
      <w:start w:val="1"/>
      <w:numFmt w:val="bullet"/>
      <w:lvlText w:val="•"/>
      <w:lvlJc w:val="left"/>
      <w:pPr>
        <w:ind w:left="6082" w:hanging="284"/>
      </w:pPr>
      <w:rPr>
        <w:rFonts w:hint="default"/>
      </w:rPr>
    </w:lvl>
    <w:lvl w:ilvl="6" w:tplc="A7E21084">
      <w:start w:val="1"/>
      <w:numFmt w:val="bullet"/>
      <w:lvlText w:val="•"/>
      <w:lvlJc w:val="left"/>
      <w:pPr>
        <w:ind w:left="7073" w:hanging="284"/>
      </w:pPr>
      <w:rPr>
        <w:rFonts w:hint="default"/>
      </w:rPr>
    </w:lvl>
    <w:lvl w:ilvl="7" w:tplc="EE68CFDC">
      <w:start w:val="1"/>
      <w:numFmt w:val="bullet"/>
      <w:lvlText w:val="•"/>
      <w:lvlJc w:val="left"/>
      <w:pPr>
        <w:ind w:left="8065" w:hanging="284"/>
      </w:pPr>
      <w:rPr>
        <w:rFonts w:hint="default"/>
      </w:rPr>
    </w:lvl>
    <w:lvl w:ilvl="8" w:tplc="C67654DA">
      <w:start w:val="1"/>
      <w:numFmt w:val="bullet"/>
      <w:lvlText w:val="•"/>
      <w:lvlJc w:val="left"/>
      <w:pPr>
        <w:ind w:left="9056" w:hanging="284"/>
      </w:pPr>
      <w:rPr>
        <w:rFonts w:hint="default"/>
      </w:rPr>
    </w:lvl>
  </w:abstractNum>
  <w:abstractNum w:abstractNumId="53" w15:restartNumberingAfterBreak="0">
    <w:nsid w:val="5C9D3038"/>
    <w:multiLevelType w:val="hybridMultilevel"/>
    <w:tmpl w:val="BAE2ED7A"/>
    <w:lvl w:ilvl="0" w:tplc="A1D27C6C">
      <w:start w:val="1"/>
      <w:numFmt w:val="decimal"/>
      <w:lvlText w:val="%1."/>
      <w:lvlJc w:val="left"/>
      <w:pPr>
        <w:ind w:left="842" w:hanging="284"/>
      </w:pPr>
      <w:rPr>
        <w:rFonts w:ascii="Arial" w:eastAsia="Arial" w:hAnsi="Arial" w:hint="default"/>
        <w:w w:val="99"/>
        <w:sz w:val="19"/>
        <w:szCs w:val="19"/>
      </w:rPr>
    </w:lvl>
    <w:lvl w:ilvl="1" w:tplc="0448A6CA">
      <w:start w:val="1"/>
      <w:numFmt w:val="bullet"/>
      <w:lvlText w:val=""/>
      <w:lvlJc w:val="left"/>
      <w:pPr>
        <w:ind w:left="1125" w:hanging="284"/>
      </w:pPr>
      <w:rPr>
        <w:rFonts w:ascii="Symbol" w:eastAsia="Symbol" w:hAnsi="Symbol" w:hint="default"/>
        <w:color w:val="auto"/>
        <w:sz w:val="22"/>
        <w:szCs w:val="22"/>
      </w:rPr>
    </w:lvl>
    <w:lvl w:ilvl="2" w:tplc="67E653C4">
      <w:start w:val="1"/>
      <w:numFmt w:val="bullet"/>
      <w:lvlText w:val=""/>
      <w:lvlJc w:val="left"/>
      <w:pPr>
        <w:ind w:left="1410" w:hanging="286"/>
      </w:pPr>
      <w:rPr>
        <w:rFonts w:ascii="Symbol" w:eastAsia="Symbol" w:hAnsi="Symbol" w:hint="default"/>
        <w:position w:val="-1"/>
        <w:sz w:val="22"/>
        <w:szCs w:val="22"/>
      </w:rPr>
    </w:lvl>
    <w:lvl w:ilvl="3" w:tplc="081A3594">
      <w:start w:val="1"/>
      <w:numFmt w:val="bullet"/>
      <w:lvlText w:val="•"/>
      <w:lvlJc w:val="left"/>
      <w:pPr>
        <w:ind w:left="2614" w:hanging="286"/>
      </w:pPr>
      <w:rPr>
        <w:rFonts w:hint="default"/>
      </w:rPr>
    </w:lvl>
    <w:lvl w:ilvl="4" w:tplc="D540AB0A">
      <w:start w:val="1"/>
      <w:numFmt w:val="bullet"/>
      <w:lvlText w:val="•"/>
      <w:lvlJc w:val="left"/>
      <w:pPr>
        <w:ind w:left="3817" w:hanging="286"/>
      </w:pPr>
      <w:rPr>
        <w:rFonts w:hint="default"/>
      </w:rPr>
    </w:lvl>
    <w:lvl w:ilvl="5" w:tplc="323EE416">
      <w:start w:val="1"/>
      <w:numFmt w:val="bullet"/>
      <w:lvlText w:val="•"/>
      <w:lvlJc w:val="left"/>
      <w:pPr>
        <w:ind w:left="5021" w:hanging="286"/>
      </w:pPr>
      <w:rPr>
        <w:rFonts w:hint="default"/>
      </w:rPr>
    </w:lvl>
    <w:lvl w:ilvl="6" w:tplc="ACF4830E">
      <w:start w:val="1"/>
      <w:numFmt w:val="bullet"/>
      <w:lvlText w:val="•"/>
      <w:lvlJc w:val="left"/>
      <w:pPr>
        <w:ind w:left="6225" w:hanging="286"/>
      </w:pPr>
      <w:rPr>
        <w:rFonts w:hint="default"/>
      </w:rPr>
    </w:lvl>
    <w:lvl w:ilvl="7" w:tplc="106A23A4">
      <w:start w:val="1"/>
      <w:numFmt w:val="bullet"/>
      <w:lvlText w:val="•"/>
      <w:lvlJc w:val="left"/>
      <w:pPr>
        <w:ind w:left="7428" w:hanging="286"/>
      </w:pPr>
      <w:rPr>
        <w:rFonts w:hint="default"/>
      </w:rPr>
    </w:lvl>
    <w:lvl w:ilvl="8" w:tplc="9FC281F4">
      <w:start w:val="1"/>
      <w:numFmt w:val="bullet"/>
      <w:lvlText w:val="•"/>
      <w:lvlJc w:val="left"/>
      <w:pPr>
        <w:ind w:left="8632" w:hanging="286"/>
      </w:pPr>
      <w:rPr>
        <w:rFonts w:hint="default"/>
      </w:rPr>
    </w:lvl>
  </w:abstractNum>
  <w:abstractNum w:abstractNumId="54" w15:restartNumberingAfterBreak="0">
    <w:nsid w:val="5ED56043"/>
    <w:multiLevelType w:val="hybridMultilevel"/>
    <w:tmpl w:val="4AB80C20"/>
    <w:lvl w:ilvl="0" w:tplc="9A986920">
      <w:start w:val="1"/>
      <w:numFmt w:val="bullet"/>
      <w:lvlText w:val=""/>
      <w:lvlJc w:val="left"/>
      <w:pPr>
        <w:ind w:left="1125" w:hanging="284"/>
      </w:pPr>
      <w:rPr>
        <w:rFonts w:ascii="Symbol" w:eastAsia="Symbol" w:hAnsi="Symbol" w:hint="default"/>
        <w:color w:val="auto"/>
        <w:w w:val="99"/>
        <w:sz w:val="19"/>
        <w:szCs w:val="19"/>
      </w:rPr>
    </w:lvl>
    <w:lvl w:ilvl="1" w:tplc="E1D42F5A">
      <w:start w:val="1"/>
      <w:numFmt w:val="bullet"/>
      <w:lvlText w:val="•"/>
      <w:lvlJc w:val="left"/>
      <w:pPr>
        <w:ind w:left="2116" w:hanging="284"/>
      </w:pPr>
      <w:rPr>
        <w:rFonts w:hint="default"/>
      </w:rPr>
    </w:lvl>
    <w:lvl w:ilvl="2" w:tplc="1B06F922">
      <w:start w:val="1"/>
      <w:numFmt w:val="bullet"/>
      <w:lvlText w:val="•"/>
      <w:lvlJc w:val="left"/>
      <w:pPr>
        <w:ind w:left="3108" w:hanging="284"/>
      </w:pPr>
      <w:rPr>
        <w:rFonts w:hint="default"/>
      </w:rPr>
    </w:lvl>
    <w:lvl w:ilvl="3" w:tplc="569C33BA">
      <w:start w:val="1"/>
      <w:numFmt w:val="bullet"/>
      <w:lvlText w:val="•"/>
      <w:lvlJc w:val="left"/>
      <w:pPr>
        <w:ind w:left="4099" w:hanging="284"/>
      </w:pPr>
      <w:rPr>
        <w:rFonts w:hint="default"/>
      </w:rPr>
    </w:lvl>
    <w:lvl w:ilvl="4" w:tplc="E020B5FC">
      <w:start w:val="1"/>
      <w:numFmt w:val="bullet"/>
      <w:lvlText w:val="•"/>
      <w:lvlJc w:val="left"/>
      <w:pPr>
        <w:ind w:left="5090" w:hanging="284"/>
      </w:pPr>
      <w:rPr>
        <w:rFonts w:hint="default"/>
      </w:rPr>
    </w:lvl>
    <w:lvl w:ilvl="5" w:tplc="FBC200D2">
      <w:start w:val="1"/>
      <w:numFmt w:val="bullet"/>
      <w:lvlText w:val="•"/>
      <w:lvlJc w:val="left"/>
      <w:pPr>
        <w:ind w:left="6082" w:hanging="284"/>
      </w:pPr>
      <w:rPr>
        <w:rFonts w:hint="default"/>
      </w:rPr>
    </w:lvl>
    <w:lvl w:ilvl="6" w:tplc="B490A48A">
      <w:start w:val="1"/>
      <w:numFmt w:val="bullet"/>
      <w:lvlText w:val="•"/>
      <w:lvlJc w:val="left"/>
      <w:pPr>
        <w:ind w:left="7073" w:hanging="284"/>
      </w:pPr>
      <w:rPr>
        <w:rFonts w:hint="default"/>
      </w:rPr>
    </w:lvl>
    <w:lvl w:ilvl="7" w:tplc="BEC05ABA">
      <w:start w:val="1"/>
      <w:numFmt w:val="bullet"/>
      <w:lvlText w:val="•"/>
      <w:lvlJc w:val="left"/>
      <w:pPr>
        <w:ind w:left="8065" w:hanging="284"/>
      </w:pPr>
      <w:rPr>
        <w:rFonts w:hint="default"/>
      </w:rPr>
    </w:lvl>
    <w:lvl w:ilvl="8" w:tplc="16AC3708">
      <w:start w:val="1"/>
      <w:numFmt w:val="bullet"/>
      <w:lvlText w:val="•"/>
      <w:lvlJc w:val="left"/>
      <w:pPr>
        <w:ind w:left="9056" w:hanging="284"/>
      </w:pPr>
      <w:rPr>
        <w:rFonts w:hint="default"/>
      </w:rPr>
    </w:lvl>
  </w:abstractNum>
  <w:abstractNum w:abstractNumId="55" w15:restartNumberingAfterBreak="0">
    <w:nsid w:val="61B12147"/>
    <w:multiLevelType w:val="multilevel"/>
    <w:tmpl w:val="A3DE04E8"/>
    <w:lvl w:ilvl="0">
      <w:start w:val="4"/>
      <w:numFmt w:val="decimal"/>
      <w:lvlText w:val="%1"/>
      <w:lvlJc w:val="left"/>
      <w:pPr>
        <w:ind w:left="1134" w:hanging="576"/>
      </w:pPr>
      <w:rPr>
        <w:rFonts w:hint="default"/>
      </w:rPr>
    </w:lvl>
    <w:lvl w:ilvl="1">
      <w:start w:val="3"/>
      <w:numFmt w:val="decimal"/>
      <w:lvlText w:val="%1.%2"/>
      <w:lvlJc w:val="left"/>
      <w:pPr>
        <w:ind w:left="1134" w:hanging="576"/>
      </w:pPr>
      <w:rPr>
        <w:rFonts w:ascii="Arial" w:eastAsia="Arial" w:hAnsi="Arial" w:hint="default"/>
        <w:b/>
        <w:bCs/>
        <w:color w:val="AE4A91"/>
        <w:sz w:val="40"/>
        <w:szCs w:val="40"/>
      </w:rPr>
    </w:lvl>
    <w:lvl w:ilvl="2">
      <w:start w:val="1"/>
      <w:numFmt w:val="decimal"/>
      <w:lvlText w:val="%1.%2.%3"/>
      <w:lvlJc w:val="left"/>
      <w:pPr>
        <w:ind w:left="1266" w:hanging="708"/>
      </w:pPr>
      <w:rPr>
        <w:rFonts w:ascii="Arial" w:eastAsia="Arial" w:hAnsi="Arial" w:hint="default"/>
        <w:b/>
        <w:bCs/>
        <w:color w:val="1C1C1C"/>
        <w:sz w:val="30"/>
        <w:szCs w:val="30"/>
      </w:rPr>
    </w:lvl>
    <w:lvl w:ilvl="3">
      <w:start w:val="1"/>
      <w:numFmt w:val="decimal"/>
      <w:lvlText w:val="%1.%2.%3.%4"/>
      <w:lvlJc w:val="left"/>
      <w:pPr>
        <w:ind w:left="1266" w:hanging="708"/>
      </w:pPr>
      <w:rPr>
        <w:rFonts w:ascii="Arial" w:eastAsia="Arial" w:hAnsi="Arial" w:hint="default"/>
        <w:b/>
        <w:bCs/>
        <w:color w:val="AE4A91"/>
        <w:sz w:val="22"/>
        <w:szCs w:val="22"/>
      </w:rPr>
    </w:lvl>
    <w:lvl w:ilvl="4">
      <w:start w:val="1"/>
      <w:numFmt w:val="bullet"/>
      <w:lvlText w:val=""/>
      <w:lvlJc w:val="left"/>
      <w:pPr>
        <w:ind w:left="1125" w:hanging="284"/>
      </w:pPr>
      <w:rPr>
        <w:rFonts w:ascii="Symbol" w:eastAsia="Symbol" w:hAnsi="Symbol" w:hint="default"/>
        <w:color w:val="auto"/>
        <w:w w:val="99"/>
        <w:sz w:val="19"/>
        <w:szCs w:val="19"/>
      </w:rPr>
    </w:lvl>
    <w:lvl w:ilvl="5">
      <w:start w:val="1"/>
      <w:numFmt w:val="bullet"/>
      <w:lvlText w:val="•"/>
      <w:lvlJc w:val="left"/>
      <w:pPr>
        <w:ind w:left="4931" w:hanging="284"/>
      </w:pPr>
      <w:rPr>
        <w:rFonts w:hint="default"/>
      </w:rPr>
    </w:lvl>
    <w:lvl w:ilvl="6">
      <w:start w:val="1"/>
      <w:numFmt w:val="bullet"/>
      <w:lvlText w:val="•"/>
      <w:lvlJc w:val="left"/>
      <w:pPr>
        <w:ind w:left="6153" w:hanging="284"/>
      </w:pPr>
      <w:rPr>
        <w:rFonts w:hint="default"/>
      </w:rPr>
    </w:lvl>
    <w:lvl w:ilvl="7">
      <w:start w:val="1"/>
      <w:numFmt w:val="bullet"/>
      <w:lvlText w:val="•"/>
      <w:lvlJc w:val="left"/>
      <w:pPr>
        <w:ind w:left="7374" w:hanging="284"/>
      </w:pPr>
      <w:rPr>
        <w:rFonts w:hint="default"/>
      </w:rPr>
    </w:lvl>
    <w:lvl w:ilvl="8">
      <w:start w:val="1"/>
      <w:numFmt w:val="bullet"/>
      <w:lvlText w:val="•"/>
      <w:lvlJc w:val="left"/>
      <w:pPr>
        <w:ind w:left="8596" w:hanging="284"/>
      </w:pPr>
      <w:rPr>
        <w:rFonts w:hint="default"/>
      </w:rPr>
    </w:lvl>
  </w:abstractNum>
  <w:abstractNum w:abstractNumId="56" w15:restartNumberingAfterBreak="0">
    <w:nsid w:val="641366A9"/>
    <w:multiLevelType w:val="hybridMultilevel"/>
    <w:tmpl w:val="6C50A28C"/>
    <w:lvl w:ilvl="0" w:tplc="5642BB46">
      <w:start w:val="1"/>
      <w:numFmt w:val="decimal"/>
      <w:lvlText w:val="%1."/>
      <w:lvlJc w:val="left"/>
      <w:pPr>
        <w:ind w:left="842" w:hanging="284"/>
      </w:pPr>
      <w:rPr>
        <w:rFonts w:ascii="Arial" w:eastAsia="Arial" w:hAnsi="Arial" w:hint="default"/>
        <w:w w:val="99"/>
        <w:sz w:val="19"/>
        <w:szCs w:val="19"/>
      </w:rPr>
    </w:lvl>
    <w:lvl w:ilvl="1" w:tplc="881067D4">
      <w:start w:val="1"/>
      <w:numFmt w:val="bullet"/>
      <w:lvlText w:val=""/>
      <w:lvlJc w:val="left"/>
      <w:pPr>
        <w:ind w:left="1125" w:hanging="284"/>
      </w:pPr>
      <w:rPr>
        <w:rFonts w:ascii="Symbol" w:eastAsia="Symbol" w:hAnsi="Symbol" w:hint="default"/>
        <w:color w:val="auto"/>
        <w:w w:val="99"/>
        <w:sz w:val="19"/>
        <w:szCs w:val="19"/>
      </w:rPr>
    </w:lvl>
    <w:lvl w:ilvl="2" w:tplc="8B281BD4">
      <w:start w:val="1"/>
      <w:numFmt w:val="bullet"/>
      <w:lvlText w:val="•"/>
      <w:lvlJc w:val="left"/>
      <w:pPr>
        <w:ind w:left="2226" w:hanging="284"/>
      </w:pPr>
      <w:rPr>
        <w:rFonts w:hint="default"/>
      </w:rPr>
    </w:lvl>
    <w:lvl w:ilvl="3" w:tplc="FFC01FDE">
      <w:start w:val="1"/>
      <w:numFmt w:val="bullet"/>
      <w:lvlText w:val="•"/>
      <w:lvlJc w:val="left"/>
      <w:pPr>
        <w:ind w:left="3328" w:hanging="284"/>
      </w:pPr>
      <w:rPr>
        <w:rFonts w:hint="default"/>
      </w:rPr>
    </w:lvl>
    <w:lvl w:ilvl="4" w:tplc="F77C144C">
      <w:start w:val="1"/>
      <w:numFmt w:val="bullet"/>
      <w:lvlText w:val="•"/>
      <w:lvlJc w:val="left"/>
      <w:pPr>
        <w:ind w:left="4429" w:hanging="284"/>
      </w:pPr>
      <w:rPr>
        <w:rFonts w:hint="default"/>
      </w:rPr>
    </w:lvl>
    <w:lvl w:ilvl="5" w:tplc="1BD40BCE">
      <w:start w:val="1"/>
      <w:numFmt w:val="bullet"/>
      <w:lvlText w:val="•"/>
      <w:lvlJc w:val="left"/>
      <w:pPr>
        <w:ind w:left="5531" w:hanging="284"/>
      </w:pPr>
      <w:rPr>
        <w:rFonts w:hint="default"/>
      </w:rPr>
    </w:lvl>
    <w:lvl w:ilvl="6" w:tplc="4D32E930">
      <w:start w:val="1"/>
      <w:numFmt w:val="bullet"/>
      <w:lvlText w:val="•"/>
      <w:lvlJc w:val="left"/>
      <w:pPr>
        <w:ind w:left="6633" w:hanging="284"/>
      </w:pPr>
      <w:rPr>
        <w:rFonts w:hint="default"/>
      </w:rPr>
    </w:lvl>
    <w:lvl w:ilvl="7" w:tplc="683AD8B0">
      <w:start w:val="1"/>
      <w:numFmt w:val="bullet"/>
      <w:lvlText w:val="•"/>
      <w:lvlJc w:val="left"/>
      <w:pPr>
        <w:ind w:left="7734" w:hanging="284"/>
      </w:pPr>
      <w:rPr>
        <w:rFonts w:hint="default"/>
      </w:rPr>
    </w:lvl>
    <w:lvl w:ilvl="8" w:tplc="52F04D80">
      <w:start w:val="1"/>
      <w:numFmt w:val="bullet"/>
      <w:lvlText w:val="•"/>
      <w:lvlJc w:val="left"/>
      <w:pPr>
        <w:ind w:left="8836" w:hanging="284"/>
      </w:pPr>
      <w:rPr>
        <w:rFonts w:hint="default"/>
      </w:rPr>
    </w:lvl>
  </w:abstractNum>
  <w:abstractNum w:abstractNumId="57" w15:restartNumberingAfterBreak="0">
    <w:nsid w:val="64EE4370"/>
    <w:multiLevelType w:val="hybridMultilevel"/>
    <w:tmpl w:val="6A128F3E"/>
    <w:lvl w:ilvl="0" w:tplc="6F3E12DE">
      <w:start w:val="1"/>
      <w:numFmt w:val="decimal"/>
      <w:lvlText w:val="%1."/>
      <w:lvlJc w:val="left"/>
      <w:pPr>
        <w:ind w:left="842" w:hanging="284"/>
      </w:pPr>
      <w:rPr>
        <w:rFonts w:ascii="Arial" w:eastAsia="Arial" w:hAnsi="Arial" w:hint="default"/>
        <w:w w:val="99"/>
        <w:sz w:val="19"/>
        <w:szCs w:val="19"/>
      </w:rPr>
    </w:lvl>
    <w:lvl w:ilvl="1" w:tplc="AC9C8922">
      <w:start w:val="1"/>
      <w:numFmt w:val="bullet"/>
      <w:lvlText w:val=""/>
      <w:lvlJc w:val="left"/>
      <w:pPr>
        <w:ind w:left="1125" w:hanging="284"/>
      </w:pPr>
      <w:rPr>
        <w:rFonts w:ascii="Symbol" w:eastAsia="Symbol" w:hAnsi="Symbol" w:hint="default"/>
        <w:color w:val="auto"/>
        <w:w w:val="99"/>
        <w:sz w:val="19"/>
        <w:szCs w:val="19"/>
      </w:rPr>
    </w:lvl>
    <w:lvl w:ilvl="2" w:tplc="7C1A6996">
      <w:start w:val="1"/>
      <w:numFmt w:val="bullet"/>
      <w:lvlText w:val=""/>
      <w:lvlJc w:val="left"/>
      <w:pPr>
        <w:ind w:left="1410" w:hanging="286"/>
      </w:pPr>
      <w:rPr>
        <w:rFonts w:ascii="Symbol" w:eastAsia="Symbol" w:hAnsi="Symbol" w:hint="default"/>
        <w:w w:val="99"/>
        <w:sz w:val="19"/>
        <w:szCs w:val="19"/>
      </w:rPr>
    </w:lvl>
    <w:lvl w:ilvl="3" w:tplc="32EACB40">
      <w:start w:val="1"/>
      <w:numFmt w:val="bullet"/>
      <w:lvlText w:val="•"/>
      <w:lvlJc w:val="left"/>
      <w:pPr>
        <w:ind w:left="2614" w:hanging="286"/>
      </w:pPr>
      <w:rPr>
        <w:rFonts w:hint="default"/>
      </w:rPr>
    </w:lvl>
    <w:lvl w:ilvl="4" w:tplc="0E7619CE">
      <w:start w:val="1"/>
      <w:numFmt w:val="bullet"/>
      <w:lvlText w:val="•"/>
      <w:lvlJc w:val="left"/>
      <w:pPr>
        <w:ind w:left="3817" w:hanging="286"/>
      </w:pPr>
      <w:rPr>
        <w:rFonts w:hint="default"/>
      </w:rPr>
    </w:lvl>
    <w:lvl w:ilvl="5" w:tplc="7BE0D798">
      <w:start w:val="1"/>
      <w:numFmt w:val="bullet"/>
      <w:lvlText w:val="•"/>
      <w:lvlJc w:val="left"/>
      <w:pPr>
        <w:ind w:left="5021" w:hanging="286"/>
      </w:pPr>
      <w:rPr>
        <w:rFonts w:hint="default"/>
      </w:rPr>
    </w:lvl>
    <w:lvl w:ilvl="6" w:tplc="A37EB910">
      <w:start w:val="1"/>
      <w:numFmt w:val="bullet"/>
      <w:lvlText w:val="•"/>
      <w:lvlJc w:val="left"/>
      <w:pPr>
        <w:ind w:left="6225" w:hanging="286"/>
      </w:pPr>
      <w:rPr>
        <w:rFonts w:hint="default"/>
      </w:rPr>
    </w:lvl>
    <w:lvl w:ilvl="7" w:tplc="54C09FFA">
      <w:start w:val="1"/>
      <w:numFmt w:val="bullet"/>
      <w:lvlText w:val="•"/>
      <w:lvlJc w:val="left"/>
      <w:pPr>
        <w:ind w:left="7428" w:hanging="286"/>
      </w:pPr>
      <w:rPr>
        <w:rFonts w:hint="default"/>
      </w:rPr>
    </w:lvl>
    <w:lvl w:ilvl="8" w:tplc="B0AE8EB8">
      <w:start w:val="1"/>
      <w:numFmt w:val="bullet"/>
      <w:lvlText w:val="•"/>
      <w:lvlJc w:val="left"/>
      <w:pPr>
        <w:ind w:left="8632" w:hanging="286"/>
      </w:pPr>
      <w:rPr>
        <w:rFonts w:hint="default"/>
      </w:rPr>
    </w:lvl>
  </w:abstractNum>
  <w:abstractNum w:abstractNumId="58" w15:restartNumberingAfterBreak="0">
    <w:nsid w:val="665C13F2"/>
    <w:multiLevelType w:val="hybridMultilevel"/>
    <w:tmpl w:val="E538119C"/>
    <w:lvl w:ilvl="0" w:tplc="659CB088">
      <w:start w:val="1"/>
      <w:numFmt w:val="decimal"/>
      <w:lvlText w:val="%1."/>
      <w:lvlJc w:val="left"/>
      <w:pPr>
        <w:ind w:left="1702" w:hanging="284"/>
        <w:jc w:val="right"/>
      </w:pPr>
      <w:rPr>
        <w:rFonts w:ascii="Arial" w:eastAsia="Arial" w:hAnsi="Arial" w:hint="default"/>
        <w:w w:val="99"/>
        <w:sz w:val="19"/>
        <w:szCs w:val="19"/>
      </w:rPr>
    </w:lvl>
    <w:lvl w:ilvl="1" w:tplc="F78689DC">
      <w:start w:val="1"/>
      <w:numFmt w:val="lowerLetter"/>
      <w:lvlText w:val="%2)"/>
      <w:lvlJc w:val="left"/>
      <w:pPr>
        <w:ind w:left="1985" w:hanging="284"/>
      </w:pPr>
      <w:rPr>
        <w:rFonts w:ascii="Arial" w:eastAsia="Arial" w:hAnsi="Arial" w:hint="default"/>
        <w:w w:val="99"/>
        <w:sz w:val="19"/>
        <w:szCs w:val="19"/>
      </w:rPr>
    </w:lvl>
    <w:lvl w:ilvl="2" w:tplc="F57638EE">
      <w:start w:val="1"/>
      <w:numFmt w:val="bullet"/>
      <w:lvlText w:val=""/>
      <w:lvlJc w:val="left"/>
      <w:pPr>
        <w:ind w:left="1410" w:hanging="286"/>
      </w:pPr>
      <w:rPr>
        <w:rFonts w:ascii="Symbol" w:eastAsia="Symbol" w:hAnsi="Symbol" w:hint="default"/>
        <w:color w:val="auto"/>
        <w:w w:val="99"/>
        <w:sz w:val="19"/>
        <w:szCs w:val="19"/>
      </w:rPr>
    </w:lvl>
    <w:lvl w:ilvl="3" w:tplc="53566B6E">
      <w:start w:val="1"/>
      <w:numFmt w:val="bullet"/>
      <w:lvlText w:val="•"/>
      <w:lvlJc w:val="left"/>
      <w:pPr>
        <w:ind w:left="1985" w:hanging="286"/>
      </w:pPr>
      <w:rPr>
        <w:rFonts w:hint="default"/>
      </w:rPr>
    </w:lvl>
    <w:lvl w:ilvl="4" w:tplc="D7E62ADC">
      <w:start w:val="1"/>
      <w:numFmt w:val="bullet"/>
      <w:lvlText w:val="•"/>
      <w:lvlJc w:val="left"/>
      <w:pPr>
        <w:ind w:left="3278" w:hanging="286"/>
      </w:pPr>
      <w:rPr>
        <w:rFonts w:hint="default"/>
      </w:rPr>
    </w:lvl>
    <w:lvl w:ilvl="5" w:tplc="C0E4668C">
      <w:start w:val="1"/>
      <w:numFmt w:val="bullet"/>
      <w:lvlText w:val="•"/>
      <w:lvlJc w:val="left"/>
      <w:pPr>
        <w:ind w:left="4572" w:hanging="286"/>
      </w:pPr>
      <w:rPr>
        <w:rFonts w:hint="default"/>
      </w:rPr>
    </w:lvl>
    <w:lvl w:ilvl="6" w:tplc="A0542290">
      <w:start w:val="1"/>
      <w:numFmt w:val="bullet"/>
      <w:lvlText w:val="•"/>
      <w:lvlJc w:val="left"/>
      <w:pPr>
        <w:ind w:left="5865" w:hanging="286"/>
      </w:pPr>
      <w:rPr>
        <w:rFonts w:hint="default"/>
      </w:rPr>
    </w:lvl>
    <w:lvl w:ilvl="7" w:tplc="7678677A">
      <w:start w:val="1"/>
      <w:numFmt w:val="bullet"/>
      <w:lvlText w:val="•"/>
      <w:lvlJc w:val="left"/>
      <w:pPr>
        <w:ind w:left="7158" w:hanging="286"/>
      </w:pPr>
      <w:rPr>
        <w:rFonts w:hint="default"/>
      </w:rPr>
    </w:lvl>
    <w:lvl w:ilvl="8" w:tplc="36DAB5F6">
      <w:start w:val="1"/>
      <w:numFmt w:val="bullet"/>
      <w:lvlText w:val="•"/>
      <w:lvlJc w:val="left"/>
      <w:pPr>
        <w:ind w:left="8452" w:hanging="286"/>
      </w:pPr>
      <w:rPr>
        <w:rFonts w:hint="default"/>
      </w:rPr>
    </w:lvl>
  </w:abstractNum>
  <w:abstractNum w:abstractNumId="59" w15:restartNumberingAfterBreak="0">
    <w:nsid w:val="68026B21"/>
    <w:multiLevelType w:val="hybridMultilevel"/>
    <w:tmpl w:val="07AA775C"/>
    <w:lvl w:ilvl="0" w:tplc="6E32E562">
      <w:start w:val="42"/>
      <w:numFmt w:val="decimal"/>
      <w:lvlText w:val="%1."/>
      <w:lvlJc w:val="left"/>
      <w:pPr>
        <w:ind w:left="842" w:hanging="284"/>
      </w:pPr>
      <w:rPr>
        <w:rFonts w:ascii="Arial" w:eastAsia="Arial" w:hAnsi="Arial" w:hint="default"/>
        <w:w w:val="99"/>
        <w:sz w:val="19"/>
        <w:szCs w:val="19"/>
      </w:rPr>
    </w:lvl>
    <w:lvl w:ilvl="1" w:tplc="9AD8ED3C">
      <w:start w:val="1"/>
      <w:numFmt w:val="bullet"/>
      <w:lvlText w:val=""/>
      <w:lvlJc w:val="left"/>
      <w:pPr>
        <w:ind w:left="1125" w:hanging="284"/>
      </w:pPr>
      <w:rPr>
        <w:rFonts w:ascii="Symbol" w:eastAsia="Symbol" w:hAnsi="Symbol" w:hint="default"/>
        <w:color w:val="auto"/>
        <w:w w:val="99"/>
        <w:sz w:val="19"/>
        <w:szCs w:val="19"/>
      </w:rPr>
    </w:lvl>
    <w:lvl w:ilvl="2" w:tplc="F704107E">
      <w:start w:val="1"/>
      <w:numFmt w:val="bullet"/>
      <w:lvlText w:val="•"/>
      <w:lvlJc w:val="left"/>
      <w:pPr>
        <w:ind w:left="2226" w:hanging="284"/>
      </w:pPr>
      <w:rPr>
        <w:rFonts w:hint="default"/>
      </w:rPr>
    </w:lvl>
    <w:lvl w:ilvl="3" w:tplc="0E1A47C2">
      <w:start w:val="1"/>
      <w:numFmt w:val="bullet"/>
      <w:lvlText w:val="•"/>
      <w:lvlJc w:val="left"/>
      <w:pPr>
        <w:ind w:left="3328" w:hanging="284"/>
      </w:pPr>
      <w:rPr>
        <w:rFonts w:hint="default"/>
      </w:rPr>
    </w:lvl>
    <w:lvl w:ilvl="4" w:tplc="2BFCA6C4">
      <w:start w:val="1"/>
      <w:numFmt w:val="bullet"/>
      <w:lvlText w:val="•"/>
      <w:lvlJc w:val="left"/>
      <w:pPr>
        <w:ind w:left="4429" w:hanging="284"/>
      </w:pPr>
      <w:rPr>
        <w:rFonts w:hint="default"/>
      </w:rPr>
    </w:lvl>
    <w:lvl w:ilvl="5" w:tplc="5920A0AA">
      <w:start w:val="1"/>
      <w:numFmt w:val="bullet"/>
      <w:lvlText w:val="•"/>
      <w:lvlJc w:val="left"/>
      <w:pPr>
        <w:ind w:left="5531" w:hanging="284"/>
      </w:pPr>
      <w:rPr>
        <w:rFonts w:hint="default"/>
      </w:rPr>
    </w:lvl>
    <w:lvl w:ilvl="6" w:tplc="2D02F494">
      <w:start w:val="1"/>
      <w:numFmt w:val="bullet"/>
      <w:lvlText w:val="•"/>
      <w:lvlJc w:val="left"/>
      <w:pPr>
        <w:ind w:left="6633" w:hanging="284"/>
      </w:pPr>
      <w:rPr>
        <w:rFonts w:hint="default"/>
      </w:rPr>
    </w:lvl>
    <w:lvl w:ilvl="7" w:tplc="8F2E59D0">
      <w:start w:val="1"/>
      <w:numFmt w:val="bullet"/>
      <w:lvlText w:val="•"/>
      <w:lvlJc w:val="left"/>
      <w:pPr>
        <w:ind w:left="7734" w:hanging="284"/>
      </w:pPr>
      <w:rPr>
        <w:rFonts w:hint="default"/>
      </w:rPr>
    </w:lvl>
    <w:lvl w:ilvl="8" w:tplc="10025C14">
      <w:start w:val="1"/>
      <w:numFmt w:val="bullet"/>
      <w:lvlText w:val="•"/>
      <w:lvlJc w:val="left"/>
      <w:pPr>
        <w:ind w:left="8836" w:hanging="284"/>
      </w:pPr>
      <w:rPr>
        <w:rFonts w:hint="default"/>
      </w:rPr>
    </w:lvl>
  </w:abstractNum>
  <w:abstractNum w:abstractNumId="60" w15:restartNumberingAfterBreak="0">
    <w:nsid w:val="69F471FD"/>
    <w:multiLevelType w:val="multilevel"/>
    <w:tmpl w:val="63DC4466"/>
    <w:lvl w:ilvl="0">
      <w:start w:val="1"/>
      <w:numFmt w:val="decimal"/>
      <w:lvlText w:val="%1"/>
      <w:lvlJc w:val="left"/>
      <w:pPr>
        <w:ind w:left="200" w:hanging="233"/>
      </w:pPr>
      <w:rPr>
        <w:rFonts w:hint="default"/>
      </w:rPr>
    </w:lvl>
    <w:lvl w:ilvl="1">
      <w:start w:val="4"/>
      <w:numFmt w:val="decimal"/>
      <w:lvlText w:val="%1.%2"/>
      <w:lvlJc w:val="left"/>
      <w:pPr>
        <w:ind w:left="200" w:hanging="233"/>
      </w:pPr>
      <w:rPr>
        <w:rFonts w:ascii="Arial" w:eastAsia="Arial" w:hAnsi="Arial" w:hint="default"/>
        <w:spacing w:val="-1"/>
        <w:w w:val="99"/>
        <w:sz w:val="14"/>
        <w:szCs w:val="14"/>
      </w:rPr>
    </w:lvl>
    <w:lvl w:ilvl="2">
      <w:start w:val="1"/>
      <w:numFmt w:val="bullet"/>
      <w:lvlText w:val=""/>
      <w:lvlJc w:val="left"/>
      <w:pPr>
        <w:ind w:left="918" w:hanging="360"/>
      </w:pPr>
      <w:rPr>
        <w:rFonts w:ascii="Symbol" w:eastAsia="Symbol" w:hAnsi="Symbol" w:hint="default"/>
        <w:color w:val="auto"/>
        <w:w w:val="99"/>
        <w:sz w:val="19"/>
        <w:szCs w:val="19"/>
      </w:rPr>
    </w:lvl>
    <w:lvl w:ilvl="3">
      <w:start w:val="1"/>
      <w:numFmt w:val="bullet"/>
      <w:lvlText w:val=""/>
      <w:lvlJc w:val="left"/>
      <w:pPr>
        <w:ind w:left="1125" w:hanging="284"/>
      </w:pPr>
      <w:rPr>
        <w:rFonts w:ascii="Symbol" w:eastAsia="Symbol" w:hAnsi="Symbol" w:hint="default"/>
        <w:w w:val="99"/>
        <w:sz w:val="19"/>
        <w:szCs w:val="19"/>
      </w:rPr>
    </w:lvl>
    <w:lvl w:ilvl="4">
      <w:start w:val="1"/>
      <w:numFmt w:val="bullet"/>
      <w:lvlText w:val="•"/>
      <w:lvlJc w:val="left"/>
      <w:pPr>
        <w:ind w:left="3414" w:hanging="284"/>
      </w:pPr>
      <w:rPr>
        <w:rFonts w:hint="default"/>
      </w:rPr>
    </w:lvl>
    <w:lvl w:ilvl="5">
      <w:start w:val="1"/>
      <w:numFmt w:val="bullet"/>
      <w:lvlText w:val="•"/>
      <w:lvlJc w:val="left"/>
      <w:pPr>
        <w:ind w:left="4558" w:hanging="284"/>
      </w:pPr>
      <w:rPr>
        <w:rFonts w:hint="default"/>
      </w:rPr>
    </w:lvl>
    <w:lvl w:ilvl="6">
      <w:start w:val="1"/>
      <w:numFmt w:val="bullet"/>
      <w:lvlText w:val="•"/>
      <w:lvlJc w:val="left"/>
      <w:pPr>
        <w:ind w:left="5702" w:hanging="284"/>
      </w:pPr>
      <w:rPr>
        <w:rFonts w:hint="default"/>
      </w:rPr>
    </w:lvl>
    <w:lvl w:ilvl="7">
      <w:start w:val="1"/>
      <w:numFmt w:val="bullet"/>
      <w:lvlText w:val="•"/>
      <w:lvlJc w:val="left"/>
      <w:pPr>
        <w:ind w:left="6847" w:hanging="284"/>
      </w:pPr>
      <w:rPr>
        <w:rFonts w:hint="default"/>
      </w:rPr>
    </w:lvl>
    <w:lvl w:ilvl="8">
      <w:start w:val="1"/>
      <w:numFmt w:val="bullet"/>
      <w:lvlText w:val="•"/>
      <w:lvlJc w:val="left"/>
      <w:pPr>
        <w:ind w:left="7991" w:hanging="284"/>
      </w:pPr>
      <w:rPr>
        <w:rFonts w:hint="default"/>
      </w:rPr>
    </w:lvl>
  </w:abstractNum>
  <w:abstractNum w:abstractNumId="61" w15:restartNumberingAfterBreak="0">
    <w:nsid w:val="6B0C6F00"/>
    <w:multiLevelType w:val="hybridMultilevel"/>
    <w:tmpl w:val="7C1A9568"/>
    <w:lvl w:ilvl="0" w:tplc="AB403842">
      <w:start w:val="1"/>
      <w:numFmt w:val="decimal"/>
      <w:lvlText w:val="%1."/>
      <w:lvlJc w:val="left"/>
      <w:pPr>
        <w:ind w:left="842" w:hanging="284"/>
      </w:pPr>
      <w:rPr>
        <w:rFonts w:ascii="Arial" w:eastAsia="Arial" w:hAnsi="Arial" w:hint="default"/>
        <w:w w:val="99"/>
        <w:sz w:val="19"/>
        <w:szCs w:val="19"/>
      </w:rPr>
    </w:lvl>
    <w:lvl w:ilvl="1" w:tplc="51DCB956">
      <w:start w:val="1"/>
      <w:numFmt w:val="bullet"/>
      <w:lvlText w:val=""/>
      <w:lvlJc w:val="left"/>
      <w:pPr>
        <w:ind w:left="1125" w:hanging="284"/>
      </w:pPr>
      <w:rPr>
        <w:rFonts w:ascii="Symbol" w:eastAsia="Symbol" w:hAnsi="Symbol" w:hint="default"/>
        <w:color w:val="auto"/>
        <w:w w:val="99"/>
        <w:sz w:val="19"/>
        <w:szCs w:val="19"/>
      </w:rPr>
    </w:lvl>
    <w:lvl w:ilvl="2" w:tplc="A4E441CE">
      <w:start w:val="1"/>
      <w:numFmt w:val="bullet"/>
      <w:lvlText w:val="•"/>
      <w:lvlJc w:val="left"/>
      <w:pPr>
        <w:ind w:left="2226" w:hanging="284"/>
      </w:pPr>
      <w:rPr>
        <w:rFonts w:hint="default"/>
      </w:rPr>
    </w:lvl>
    <w:lvl w:ilvl="3" w:tplc="FB1E6452">
      <w:start w:val="1"/>
      <w:numFmt w:val="bullet"/>
      <w:lvlText w:val="•"/>
      <w:lvlJc w:val="left"/>
      <w:pPr>
        <w:ind w:left="3328" w:hanging="284"/>
      </w:pPr>
      <w:rPr>
        <w:rFonts w:hint="default"/>
      </w:rPr>
    </w:lvl>
    <w:lvl w:ilvl="4" w:tplc="F6A4A30E">
      <w:start w:val="1"/>
      <w:numFmt w:val="bullet"/>
      <w:lvlText w:val="•"/>
      <w:lvlJc w:val="left"/>
      <w:pPr>
        <w:ind w:left="4429" w:hanging="284"/>
      </w:pPr>
      <w:rPr>
        <w:rFonts w:hint="default"/>
      </w:rPr>
    </w:lvl>
    <w:lvl w:ilvl="5" w:tplc="EE8891A6">
      <w:start w:val="1"/>
      <w:numFmt w:val="bullet"/>
      <w:lvlText w:val="•"/>
      <w:lvlJc w:val="left"/>
      <w:pPr>
        <w:ind w:left="5531" w:hanging="284"/>
      </w:pPr>
      <w:rPr>
        <w:rFonts w:hint="default"/>
      </w:rPr>
    </w:lvl>
    <w:lvl w:ilvl="6" w:tplc="FCB0B8C8">
      <w:start w:val="1"/>
      <w:numFmt w:val="bullet"/>
      <w:lvlText w:val="•"/>
      <w:lvlJc w:val="left"/>
      <w:pPr>
        <w:ind w:left="6633" w:hanging="284"/>
      </w:pPr>
      <w:rPr>
        <w:rFonts w:hint="default"/>
      </w:rPr>
    </w:lvl>
    <w:lvl w:ilvl="7" w:tplc="64AA5420">
      <w:start w:val="1"/>
      <w:numFmt w:val="bullet"/>
      <w:lvlText w:val="•"/>
      <w:lvlJc w:val="left"/>
      <w:pPr>
        <w:ind w:left="7734" w:hanging="284"/>
      </w:pPr>
      <w:rPr>
        <w:rFonts w:hint="default"/>
      </w:rPr>
    </w:lvl>
    <w:lvl w:ilvl="8" w:tplc="C66E0BF4">
      <w:start w:val="1"/>
      <w:numFmt w:val="bullet"/>
      <w:lvlText w:val="•"/>
      <w:lvlJc w:val="left"/>
      <w:pPr>
        <w:ind w:left="8836" w:hanging="284"/>
      </w:pPr>
      <w:rPr>
        <w:rFonts w:hint="default"/>
      </w:rPr>
    </w:lvl>
  </w:abstractNum>
  <w:abstractNum w:abstractNumId="62" w15:restartNumberingAfterBreak="0">
    <w:nsid w:val="6D2273D5"/>
    <w:multiLevelType w:val="hybridMultilevel"/>
    <w:tmpl w:val="EF1CC6E6"/>
    <w:lvl w:ilvl="0" w:tplc="5A5CF32C">
      <w:start w:val="1"/>
      <w:numFmt w:val="decimal"/>
      <w:lvlText w:val="%1)"/>
      <w:lvlJc w:val="left"/>
      <w:pPr>
        <w:ind w:left="1122" w:hanging="284"/>
      </w:pPr>
      <w:rPr>
        <w:rFonts w:ascii="Arial" w:eastAsia="Arial" w:hAnsi="Arial" w:hint="default"/>
        <w:w w:val="99"/>
        <w:sz w:val="19"/>
        <w:szCs w:val="19"/>
      </w:rPr>
    </w:lvl>
    <w:lvl w:ilvl="1" w:tplc="120226B2">
      <w:start w:val="1"/>
      <w:numFmt w:val="bullet"/>
      <w:lvlText w:val=""/>
      <w:lvlJc w:val="left"/>
      <w:pPr>
        <w:ind w:left="1408" w:hanging="286"/>
      </w:pPr>
      <w:rPr>
        <w:rFonts w:ascii="Symbol" w:eastAsia="Symbol" w:hAnsi="Symbol" w:hint="default"/>
        <w:color w:val="auto"/>
        <w:w w:val="99"/>
        <w:sz w:val="19"/>
        <w:szCs w:val="19"/>
      </w:rPr>
    </w:lvl>
    <w:lvl w:ilvl="2" w:tplc="89EA5B7A">
      <w:start w:val="1"/>
      <w:numFmt w:val="bullet"/>
      <w:lvlText w:val="•"/>
      <w:lvlJc w:val="left"/>
      <w:pPr>
        <w:ind w:left="2479" w:hanging="286"/>
      </w:pPr>
      <w:rPr>
        <w:rFonts w:hint="default"/>
      </w:rPr>
    </w:lvl>
    <w:lvl w:ilvl="3" w:tplc="E8942C6C">
      <w:start w:val="1"/>
      <w:numFmt w:val="bullet"/>
      <w:lvlText w:val="•"/>
      <w:lvlJc w:val="left"/>
      <w:pPr>
        <w:ind w:left="3550" w:hanging="286"/>
      </w:pPr>
      <w:rPr>
        <w:rFonts w:hint="default"/>
      </w:rPr>
    </w:lvl>
    <w:lvl w:ilvl="4" w:tplc="A8E01C42">
      <w:start w:val="1"/>
      <w:numFmt w:val="bullet"/>
      <w:lvlText w:val="•"/>
      <w:lvlJc w:val="left"/>
      <w:pPr>
        <w:ind w:left="4621" w:hanging="286"/>
      </w:pPr>
      <w:rPr>
        <w:rFonts w:hint="default"/>
      </w:rPr>
    </w:lvl>
    <w:lvl w:ilvl="5" w:tplc="7B829654">
      <w:start w:val="1"/>
      <w:numFmt w:val="bullet"/>
      <w:lvlText w:val="•"/>
      <w:lvlJc w:val="left"/>
      <w:pPr>
        <w:ind w:left="5693" w:hanging="286"/>
      </w:pPr>
      <w:rPr>
        <w:rFonts w:hint="default"/>
      </w:rPr>
    </w:lvl>
    <w:lvl w:ilvl="6" w:tplc="8938BF54">
      <w:start w:val="1"/>
      <w:numFmt w:val="bullet"/>
      <w:lvlText w:val="•"/>
      <w:lvlJc w:val="left"/>
      <w:pPr>
        <w:ind w:left="6764" w:hanging="286"/>
      </w:pPr>
      <w:rPr>
        <w:rFonts w:hint="default"/>
      </w:rPr>
    </w:lvl>
    <w:lvl w:ilvl="7" w:tplc="93C2038C">
      <w:start w:val="1"/>
      <w:numFmt w:val="bullet"/>
      <w:lvlText w:val="•"/>
      <w:lvlJc w:val="left"/>
      <w:pPr>
        <w:ind w:left="7835" w:hanging="286"/>
      </w:pPr>
      <w:rPr>
        <w:rFonts w:hint="default"/>
      </w:rPr>
    </w:lvl>
    <w:lvl w:ilvl="8" w:tplc="8E3AAFC2">
      <w:start w:val="1"/>
      <w:numFmt w:val="bullet"/>
      <w:lvlText w:val="•"/>
      <w:lvlJc w:val="left"/>
      <w:pPr>
        <w:ind w:left="8906" w:hanging="286"/>
      </w:pPr>
      <w:rPr>
        <w:rFonts w:hint="default"/>
      </w:rPr>
    </w:lvl>
  </w:abstractNum>
  <w:abstractNum w:abstractNumId="63" w15:restartNumberingAfterBreak="0">
    <w:nsid w:val="6E7E1E49"/>
    <w:multiLevelType w:val="hybridMultilevel"/>
    <w:tmpl w:val="42005118"/>
    <w:lvl w:ilvl="0" w:tplc="1784676A">
      <w:start w:val="1"/>
      <w:numFmt w:val="bullet"/>
      <w:lvlText w:val=""/>
      <w:lvlJc w:val="left"/>
      <w:pPr>
        <w:ind w:left="1125" w:hanging="284"/>
      </w:pPr>
      <w:rPr>
        <w:rFonts w:ascii="Symbol" w:eastAsia="Symbol" w:hAnsi="Symbol" w:hint="default"/>
        <w:color w:val="auto"/>
        <w:w w:val="99"/>
        <w:sz w:val="19"/>
        <w:szCs w:val="19"/>
      </w:rPr>
    </w:lvl>
    <w:lvl w:ilvl="1" w:tplc="74BE406C">
      <w:start w:val="1"/>
      <w:numFmt w:val="bullet"/>
      <w:lvlText w:val="•"/>
      <w:lvlJc w:val="left"/>
      <w:pPr>
        <w:ind w:left="2116" w:hanging="284"/>
      </w:pPr>
      <w:rPr>
        <w:rFonts w:hint="default"/>
      </w:rPr>
    </w:lvl>
    <w:lvl w:ilvl="2" w:tplc="ECC83DB2">
      <w:start w:val="1"/>
      <w:numFmt w:val="bullet"/>
      <w:lvlText w:val="•"/>
      <w:lvlJc w:val="left"/>
      <w:pPr>
        <w:ind w:left="3108" w:hanging="284"/>
      </w:pPr>
      <w:rPr>
        <w:rFonts w:hint="default"/>
      </w:rPr>
    </w:lvl>
    <w:lvl w:ilvl="3" w:tplc="506C9434">
      <w:start w:val="1"/>
      <w:numFmt w:val="bullet"/>
      <w:lvlText w:val="•"/>
      <w:lvlJc w:val="left"/>
      <w:pPr>
        <w:ind w:left="4099" w:hanging="284"/>
      </w:pPr>
      <w:rPr>
        <w:rFonts w:hint="default"/>
      </w:rPr>
    </w:lvl>
    <w:lvl w:ilvl="4" w:tplc="07DCD20A">
      <w:start w:val="1"/>
      <w:numFmt w:val="bullet"/>
      <w:lvlText w:val="•"/>
      <w:lvlJc w:val="left"/>
      <w:pPr>
        <w:ind w:left="5090" w:hanging="284"/>
      </w:pPr>
      <w:rPr>
        <w:rFonts w:hint="default"/>
      </w:rPr>
    </w:lvl>
    <w:lvl w:ilvl="5" w:tplc="4CEC5EF8">
      <w:start w:val="1"/>
      <w:numFmt w:val="bullet"/>
      <w:lvlText w:val="•"/>
      <w:lvlJc w:val="left"/>
      <w:pPr>
        <w:ind w:left="6082" w:hanging="284"/>
      </w:pPr>
      <w:rPr>
        <w:rFonts w:hint="default"/>
      </w:rPr>
    </w:lvl>
    <w:lvl w:ilvl="6" w:tplc="E3B08FD4">
      <w:start w:val="1"/>
      <w:numFmt w:val="bullet"/>
      <w:lvlText w:val="•"/>
      <w:lvlJc w:val="left"/>
      <w:pPr>
        <w:ind w:left="7073" w:hanging="284"/>
      </w:pPr>
      <w:rPr>
        <w:rFonts w:hint="default"/>
      </w:rPr>
    </w:lvl>
    <w:lvl w:ilvl="7" w:tplc="35D23B20">
      <w:start w:val="1"/>
      <w:numFmt w:val="bullet"/>
      <w:lvlText w:val="•"/>
      <w:lvlJc w:val="left"/>
      <w:pPr>
        <w:ind w:left="8065" w:hanging="284"/>
      </w:pPr>
      <w:rPr>
        <w:rFonts w:hint="default"/>
      </w:rPr>
    </w:lvl>
    <w:lvl w:ilvl="8" w:tplc="A84616CC">
      <w:start w:val="1"/>
      <w:numFmt w:val="bullet"/>
      <w:lvlText w:val="•"/>
      <w:lvlJc w:val="left"/>
      <w:pPr>
        <w:ind w:left="9056" w:hanging="284"/>
      </w:pPr>
      <w:rPr>
        <w:rFonts w:hint="default"/>
      </w:rPr>
    </w:lvl>
  </w:abstractNum>
  <w:abstractNum w:abstractNumId="64" w15:restartNumberingAfterBreak="0">
    <w:nsid w:val="6FC52A80"/>
    <w:multiLevelType w:val="hybridMultilevel"/>
    <w:tmpl w:val="4FD27C78"/>
    <w:lvl w:ilvl="0" w:tplc="8C88B9AA">
      <w:start w:val="1"/>
      <w:numFmt w:val="bullet"/>
      <w:lvlText w:val="*"/>
      <w:lvlJc w:val="left"/>
      <w:pPr>
        <w:ind w:left="685" w:hanging="127"/>
      </w:pPr>
      <w:rPr>
        <w:rFonts w:ascii="Arial" w:eastAsia="Arial" w:hAnsi="Arial" w:hint="default"/>
        <w:w w:val="99"/>
        <w:sz w:val="19"/>
        <w:szCs w:val="19"/>
      </w:rPr>
    </w:lvl>
    <w:lvl w:ilvl="1" w:tplc="5926715E">
      <w:start w:val="1"/>
      <w:numFmt w:val="bullet"/>
      <w:lvlText w:val="•"/>
      <w:lvlJc w:val="left"/>
      <w:pPr>
        <w:ind w:left="1721" w:hanging="127"/>
      </w:pPr>
      <w:rPr>
        <w:rFonts w:hint="default"/>
      </w:rPr>
    </w:lvl>
    <w:lvl w:ilvl="2" w:tplc="B88EB84A">
      <w:start w:val="1"/>
      <w:numFmt w:val="bullet"/>
      <w:lvlText w:val="•"/>
      <w:lvlJc w:val="left"/>
      <w:pPr>
        <w:ind w:left="2756" w:hanging="127"/>
      </w:pPr>
      <w:rPr>
        <w:rFonts w:hint="default"/>
      </w:rPr>
    </w:lvl>
    <w:lvl w:ilvl="3" w:tplc="700020AA">
      <w:start w:val="1"/>
      <w:numFmt w:val="bullet"/>
      <w:lvlText w:val="•"/>
      <w:lvlJc w:val="left"/>
      <w:pPr>
        <w:ind w:left="3791" w:hanging="127"/>
      </w:pPr>
      <w:rPr>
        <w:rFonts w:hint="default"/>
      </w:rPr>
    </w:lvl>
    <w:lvl w:ilvl="4" w:tplc="9F841820">
      <w:start w:val="1"/>
      <w:numFmt w:val="bullet"/>
      <w:lvlText w:val="•"/>
      <w:lvlJc w:val="left"/>
      <w:pPr>
        <w:ind w:left="4827" w:hanging="127"/>
      </w:pPr>
      <w:rPr>
        <w:rFonts w:hint="default"/>
      </w:rPr>
    </w:lvl>
    <w:lvl w:ilvl="5" w:tplc="FF3686D6">
      <w:start w:val="1"/>
      <w:numFmt w:val="bullet"/>
      <w:lvlText w:val="•"/>
      <w:lvlJc w:val="left"/>
      <w:pPr>
        <w:ind w:left="5862" w:hanging="127"/>
      </w:pPr>
      <w:rPr>
        <w:rFonts w:hint="default"/>
      </w:rPr>
    </w:lvl>
    <w:lvl w:ilvl="6" w:tplc="67A6C892">
      <w:start w:val="1"/>
      <w:numFmt w:val="bullet"/>
      <w:lvlText w:val="•"/>
      <w:lvlJc w:val="left"/>
      <w:pPr>
        <w:ind w:left="6897" w:hanging="127"/>
      </w:pPr>
      <w:rPr>
        <w:rFonts w:hint="default"/>
      </w:rPr>
    </w:lvl>
    <w:lvl w:ilvl="7" w:tplc="2D78BDAC">
      <w:start w:val="1"/>
      <w:numFmt w:val="bullet"/>
      <w:lvlText w:val="•"/>
      <w:lvlJc w:val="left"/>
      <w:pPr>
        <w:ind w:left="7933" w:hanging="127"/>
      </w:pPr>
      <w:rPr>
        <w:rFonts w:hint="default"/>
      </w:rPr>
    </w:lvl>
    <w:lvl w:ilvl="8" w:tplc="28C8FD1A">
      <w:start w:val="1"/>
      <w:numFmt w:val="bullet"/>
      <w:lvlText w:val="•"/>
      <w:lvlJc w:val="left"/>
      <w:pPr>
        <w:ind w:left="8968" w:hanging="127"/>
      </w:pPr>
      <w:rPr>
        <w:rFonts w:hint="default"/>
      </w:rPr>
    </w:lvl>
  </w:abstractNum>
  <w:abstractNum w:abstractNumId="65" w15:restartNumberingAfterBreak="0">
    <w:nsid w:val="6FEB4C84"/>
    <w:multiLevelType w:val="hybridMultilevel"/>
    <w:tmpl w:val="C744EDE4"/>
    <w:lvl w:ilvl="0" w:tplc="FCDAF4A6">
      <w:start w:val="1"/>
      <w:numFmt w:val="decimal"/>
      <w:lvlText w:val="%1."/>
      <w:lvlJc w:val="left"/>
      <w:pPr>
        <w:ind w:left="842" w:hanging="284"/>
      </w:pPr>
      <w:rPr>
        <w:rFonts w:ascii="Arial" w:eastAsia="Arial" w:hAnsi="Arial" w:hint="default"/>
        <w:w w:val="99"/>
        <w:sz w:val="19"/>
        <w:szCs w:val="19"/>
      </w:rPr>
    </w:lvl>
    <w:lvl w:ilvl="1" w:tplc="E1122530">
      <w:start w:val="1"/>
      <w:numFmt w:val="bullet"/>
      <w:lvlText w:val=""/>
      <w:lvlJc w:val="left"/>
      <w:pPr>
        <w:ind w:left="1125" w:hanging="284"/>
      </w:pPr>
      <w:rPr>
        <w:rFonts w:ascii="Symbol" w:eastAsia="Symbol" w:hAnsi="Symbol" w:hint="default"/>
        <w:color w:val="auto"/>
        <w:w w:val="99"/>
        <w:sz w:val="19"/>
        <w:szCs w:val="19"/>
      </w:rPr>
    </w:lvl>
    <w:lvl w:ilvl="2" w:tplc="9DDEB310">
      <w:start w:val="1"/>
      <w:numFmt w:val="bullet"/>
      <w:lvlText w:val="•"/>
      <w:lvlJc w:val="left"/>
      <w:pPr>
        <w:ind w:left="2226" w:hanging="284"/>
      </w:pPr>
      <w:rPr>
        <w:rFonts w:hint="default"/>
      </w:rPr>
    </w:lvl>
    <w:lvl w:ilvl="3" w:tplc="FA82E458">
      <w:start w:val="1"/>
      <w:numFmt w:val="bullet"/>
      <w:lvlText w:val="•"/>
      <w:lvlJc w:val="left"/>
      <w:pPr>
        <w:ind w:left="3328" w:hanging="284"/>
      </w:pPr>
      <w:rPr>
        <w:rFonts w:hint="default"/>
      </w:rPr>
    </w:lvl>
    <w:lvl w:ilvl="4" w:tplc="A8FE84B0">
      <w:start w:val="1"/>
      <w:numFmt w:val="bullet"/>
      <w:lvlText w:val="•"/>
      <w:lvlJc w:val="left"/>
      <w:pPr>
        <w:ind w:left="4429" w:hanging="284"/>
      </w:pPr>
      <w:rPr>
        <w:rFonts w:hint="default"/>
      </w:rPr>
    </w:lvl>
    <w:lvl w:ilvl="5" w:tplc="E6D88E68">
      <w:start w:val="1"/>
      <w:numFmt w:val="bullet"/>
      <w:lvlText w:val="•"/>
      <w:lvlJc w:val="left"/>
      <w:pPr>
        <w:ind w:left="5531" w:hanging="284"/>
      </w:pPr>
      <w:rPr>
        <w:rFonts w:hint="default"/>
      </w:rPr>
    </w:lvl>
    <w:lvl w:ilvl="6" w:tplc="98A0C5AE">
      <w:start w:val="1"/>
      <w:numFmt w:val="bullet"/>
      <w:lvlText w:val="•"/>
      <w:lvlJc w:val="left"/>
      <w:pPr>
        <w:ind w:left="6633" w:hanging="284"/>
      </w:pPr>
      <w:rPr>
        <w:rFonts w:hint="default"/>
      </w:rPr>
    </w:lvl>
    <w:lvl w:ilvl="7" w:tplc="5D9820BC">
      <w:start w:val="1"/>
      <w:numFmt w:val="bullet"/>
      <w:lvlText w:val="•"/>
      <w:lvlJc w:val="left"/>
      <w:pPr>
        <w:ind w:left="7734" w:hanging="284"/>
      </w:pPr>
      <w:rPr>
        <w:rFonts w:hint="default"/>
      </w:rPr>
    </w:lvl>
    <w:lvl w:ilvl="8" w:tplc="4B8EEE6C">
      <w:start w:val="1"/>
      <w:numFmt w:val="bullet"/>
      <w:lvlText w:val="•"/>
      <w:lvlJc w:val="left"/>
      <w:pPr>
        <w:ind w:left="8836" w:hanging="284"/>
      </w:pPr>
      <w:rPr>
        <w:rFonts w:hint="default"/>
      </w:rPr>
    </w:lvl>
  </w:abstractNum>
  <w:abstractNum w:abstractNumId="66" w15:restartNumberingAfterBreak="0">
    <w:nsid w:val="72550228"/>
    <w:multiLevelType w:val="multilevel"/>
    <w:tmpl w:val="7F36C834"/>
    <w:lvl w:ilvl="0">
      <w:start w:val="4"/>
      <w:numFmt w:val="decimal"/>
      <w:lvlText w:val="%1"/>
      <w:lvlJc w:val="left"/>
      <w:pPr>
        <w:ind w:left="1360" w:hanging="576"/>
      </w:pPr>
      <w:rPr>
        <w:rFonts w:hint="default"/>
      </w:rPr>
    </w:lvl>
    <w:lvl w:ilvl="1">
      <w:start w:val="8"/>
      <w:numFmt w:val="decimal"/>
      <w:lvlText w:val="%1.%2"/>
      <w:lvlJc w:val="left"/>
      <w:pPr>
        <w:ind w:left="1360" w:hanging="576"/>
      </w:pPr>
      <w:rPr>
        <w:rFonts w:ascii="Arial" w:eastAsia="Arial" w:hAnsi="Arial" w:hint="default"/>
        <w:b/>
        <w:bCs/>
        <w:color w:val="AE4A91"/>
        <w:sz w:val="40"/>
        <w:szCs w:val="40"/>
      </w:rPr>
    </w:lvl>
    <w:lvl w:ilvl="2">
      <w:start w:val="1"/>
      <w:numFmt w:val="decimal"/>
      <w:lvlText w:val="%3."/>
      <w:lvlJc w:val="left"/>
      <w:pPr>
        <w:ind w:left="1985" w:hanging="284"/>
      </w:pPr>
      <w:rPr>
        <w:rFonts w:ascii="Arial" w:eastAsia="Arial" w:hAnsi="Arial" w:hint="default"/>
        <w:w w:val="99"/>
        <w:sz w:val="19"/>
        <w:szCs w:val="19"/>
      </w:rPr>
    </w:lvl>
    <w:lvl w:ilvl="3">
      <w:start w:val="1"/>
      <w:numFmt w:val="bullet"/>
      <w:lvlText w:val=""/>
      <w:lvlJc w:val="left"/>
      <w:pPr>
        <w:ind w:left="2268" w:hanging="284"/>
      </w:pPr>
      <w:rPr>
        <w:rFonts w:ascii="Symbol" w:eastAsia="Symbol" w:hAnsi="Symbol" w:hint="default"/>
        <w:color w:val="auto"/>
        <w:w w:val="99"/>
        <w:sz w:val="19"/>
        <w:szCs w:val="19"/>
      </w:rPr>
    </w:lvl>
    <w:lvl w:ilvl="4">
      <w:start w:val="1"/>
      <w:numFmt w:val="bullet"/>
      <w:lvlText w:val="•"/>
      <w:lvlJc w:val="left"/>
      <w:pPr>
        <w:ind w:left="4461" w:hanging="284"/>
      </w:pPr>
      <w:rPr>
        <w:rFonts w:hint="default"/>
      </w:rPr>
    </w:lvl>
    <w:lvl w:ilvl="5">
      <w:start w:val="1"/>
      <w:numFmt w:val="bullet"/>
      <w:lvlText w:val="•"/>
      <w:lvlJc w:val="left"/>
      <w:pPr>
        <w:ind w:left="5557" w:hanging="284"/>
      </w:pPr>
      <w:rPr>
        <w:rFonts w:hint="default"/>
      </w:rPr>
    </w:lvl>
    <w:lvl w:ilvl="6">
      <w:start w:val="1"/>
      <w:numFmt w:val="bullet"/>
      <w:lvlText w:val="•"/>
      <w:lvlJc w:val="left"/>
      <w:pPr>
        <w:ind w:left="6653" w:hanging="284"/>
      </w:pPr>
      <w:rPr>
        <w:rFonts w:hint="default"/>
      </w:rPr>
    </w:lvl>
    <w:lvl w:ilvl="7">
      <w:start w:val="1"/>
      <w:numFmt w:val="bullet"/>
      <w:lvlText w:val="•"/>
      <w:lvlJc w:val="left"/>
      <w:pPr>
        <w:ind w:left="7750" w:hanging="284"/>
      </w:pPr>
      <w:rPr>
        <w:rFonts w:hint="default"/>
      </w:rPr>
    </w:lvl>
    <w:lvl w:ilvl="8">
      <w:start w:val="1"/>
      <w:numFmt w:val="bullet"/>
      <w:lvlText w:val="•"/>
      <w:lvlJc w:val="left"/>
      <w:pPr>
        <w:ind w:left="8846" w:hanging="284"/>
      </w:pPr>
      <w:rPr>
        <w:rFonts w:hint="default"/>
      </w:rPr>
    </w:lvl>
  </w:abstractNum>
  <w:abstractNum w:abstractNumId="67" w15:restartNumberingAfterBreak="0">
    <w:nsid w:val="72EA3C81"/>
    <w:multiLevelType w:val="hybridMultilevel"/>
    <w:tmpl w:val="9104B8DE"/>
    <w:lvl w:ilvl="0" w:tplc="A5789AFE">
      <w:start w:val="1"/>
      <w:numFmt w:val="bullet"/>
      <w:lvlText w:val=""/>
      <w:lvlJc w:val="left"/>
      <w:pPr>
        <w:ind w:left="1125" w:hanging="284"/>
      </w:pPr>
      <w:rPr>
        <w:rFonts w:ascii="Symbol" w:hAnsi="Symbol" w:hint="default"/>
        <w:color w:val="auto"/>
        <w:w w:val="99"/>
        <w:sz w:val="19"/>
        <w:szCs w:val="19"/>
      </w:rPr>
    </w:lvl>
    <w:lvl w:ilvl="1" w:tplc="3BEE6A72">
      <w:start w:val="1"/>
      <w:numFmt w:val="bullet"/>
      <w:lvlText w:val="•"/>
      <w:lvlJc w:val="left"/>
      <w:pPr>
        <w:ind w:left="2116" w:hanging="284"/>
      </w:pPr>
      <w:rPr>
        <w:rFonts w:hint="default"/>
      </w:rPr>
    </w:lvl>
    <w:lvl w:ilvl="2" w:tplc="12DABA2C">
      <w:start w:val="1"/>
      <w:numFmt w:val="bullet"/>
      <w:lvlText w:val="•"/>
      <w:lvlJc w:val="left"/>
      <w:pPr>
        <w:ind w:left="3108" w:hanging="284"/>
      </w:pPr>
      <w:rPr>
        <w:rFonts w:hint="default"/>
      </w:rPr>
    </w:lvl>
    <w:lvl w:ilvl="3" w:tplc="A398999E">
      <w:start w:val="1"/>
      <w:numFmt w:val="bullet"/>
      <w:lvlText w:val="•"/>
      <w:lvlJc w:val="left"/>
      <w:pPr>
        <w:ind w:left="4099" w:hanging="284"/>
      </w:pPr>
      <w:rPr>
        <w:rFonts w:hint="default"/>
      </w:rPr>
    </w:lvl>
    <w:lvl w:ilvl="4" w:tplc="C5DE6B0A">
      <w:start w:val="1"/>
      <w:numFmt w:val="bullet"/>
      <w:lvlText w:val="•"/>
      <w:lvlJc w:val="left"/>
      <w:pPr>
        <w:ind w:left="5090" w:hanging="284"/>
      </w:pPr>
      <w:rPr>
        <w:rFonts w:hint="default"/>
      </w:rPr>
    </w:lvl>
    <w:lvl w:ilvl="5" w:tplc="C97C104E">
      <w:start w:val="1"/>
      <w:numFmt w:val="bullet"/>
      <w:lvlText w:val="•"/>
      <w:lvlJc w:val="left"/>
      <w:pPr>
        <w:ind w:left="6082" w:hanging="284"/>
      </w:pPr>
      <w:rPr>
        <w:rFonts w:hint="default"/>
      </w:rPr>
    </w:lvl>
    <w:lvl w:ilvl="6" w:tplc="EFE845F0">
      <w:start w:val="1"/>
      <w:numFmt w:val="bullet"/>
      <w:lvlText w:val="•"/>
      <w:lvlJc w:val="left"/>
      <w:pPr>
        <w:ind w:left="7073" w:hanging="284"/>
      </w:pPr>
      <w:rPr>
        <w:rFonts w:hint="default"/>
      </w:rPr>
    </w:lvl>
    <w:lvl w:ilvl="7" w:tplc="763C7CF4">
      <w:start w:val="1"/>
      <w:numFmt w:val="bullet"/>
      <w:lvlText w:val="•"/>
      <w:lvlJc w:val="left"/>
      <w:pPr>
        <w:ind w:left="8065" w:hanging="284"/>
      </w:pPr>
      <w:rPr>
        <w:rFonts w:hint="default"/>
      </w:rPr>
    </w:lvl>
    <w:lvl w:ilvl="8" w:tplc="3A787100">
      <w:start w:val="1"/>
      <w:numFmt w:val="bullet"/>
      <w:lvlText w:val="•"/>
      <w:lvlJc w:val="left"/>
      <w:pPr>
        <w:ind w:left="9056" w:hanging="284"/>
      </w:pPr>
      <w:rPr>
        <w:rFonts w:hint="default"/>
      </w:rPr>
    </w:lvl>
  </w:abstractNum>
  <w:abstractNum w:abstractNumId="68" w15:restartNumberingAfterBreak="0">
    <w:nsid w:val="752D0ABB"/>
    <w:multiLevelType w:val="hybridMultilevel"/>
    <w:tmpl w:val="C17C377C"/>
    <w:lvl w:ilvl="0" w:tplc="637CE7EC">
      <w:start w:val="1"/>
      <w:numFmt w:val="bullet"/>
      <w:lvlText w:val="•"/>
      <w:lvlJc w:val="left"/>
      <w:pPr>
        <w:ind w:left="1004" w:hanging="360"/>
      </w:pPr>
      <w:rPr>
        <w:rFonts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69" w15:restartNumberingAfterBreak="0">
    <w:nsid w:val="775005E8"/>
    <w:multiLevelType w:val="hybridMultilevel"/>
    <w:tmpl w:val="9AB8EBD0"/>
    <w:lvl w:ilvl="0" w:tplc="F3081976">
      <w:start w:val="1"/>
      <w:numFmt w:val="decimal"/>
      <w:lvlText w:val="%1."/>
      <w:lvlJc w:val="left"/>
      <w:pPr>
        <w:ind w:left="842" w:hanging="284"/>
      </w:pPr>
      <w:rPr>
        <w:rFonts w:ascii="Arial" w:eastAsia="Arial" w:hAnsi="Arial" w:hint="default"/>
        <w:b/>
        <w:bCs/>
        <w:w w:val="99"/>
        <w:sz w:val="19"/>
        <w:szCs w:val="19"/>
      </w:rPr>
    </w:lvl>
    <w:lvl w:ilvl="1" w:tplc="1408D442">
      <w:start w:val="1"/>
      <w:numFmt w:val="bullet"/>
      <w:lvlText w:val=""/>
      <w:lvlJc w:val="left"/>
      <w:pPr>
        <w:ind w:left="1125" w:hanging="284"/>
      </w:pPr>
      <w:rPr>
        <w:rFonts w:ascii="Symbol" w:eastAsia="Symbol" w:hAnsi="Symbol" w:hint="default"/>
        <w:color w:val="auto"/>
        <w:w w:val="99"/>
        <w:sz w:val="20"/>
        <w:szCs w:val="20"/>
      </w:rPr>
    </w:lvl>
    <w:lvl w:ilvl="2" w:tplc="A8D43BA0">
      <w:start w:val="1"/>
      <w:numFmt w:val="bullet"/>
      <w:lvlText w:val=""/>
      <w:lvlJc w:val="left"/>
      <w:pPr>
        <w:ind w:left="1410" w:hanging="286"/>
      </w:pPr>
      <w:rPr>
        <w:rFonts w:ascii="Symbol" w:eastAsia="Symbol" w:hAnsi="Symbol" w:hint="default"/>
        <w:w w:val="99"/>
        <w:sz w:val="19"/>
        <w:szCs w:val="19"/>
      </w:rPr>
    </w:lvl>
    <w:lvl w:ilvl="3" w:tplc="F3861F1E">
      <w:start w:val="1"/>
      <w:numFmt w:val="bullet"/>
      <w:lvlText w:val="•"/>
      <w:lvlJc w:val="left"/>
      <w:pPr>
        <w:ind w:left="2614" w:hanging="286"/>
      </w:pPr>
      <w:rPr>
        <w:rFonts w:hint="default"/>
      </w:rPr>
    </w:lvl>
    <w:lvl w:ilvl="4" w:tplc="36D4A9E0">
      <w:start w:val="1"/>
      <w:numFmt w:val="bullet"/>
      <w:lvlText w:val="•"/>
      <w:lvlJc w:val="left"/>
      <w:pPr>
        <w:ind w:left="3817" w:hanging="286"/>
      </w:pPr>
      <w:rPr>
        <w:rFonts w:hint="default"/>
      </w:rPr>
    </w:lvl>
    <w:lvl w:ilvl="5" w:tplc="8EC825EA">
      <w:start w:val="1"/>
      <w:numFmt w:val="bullet"/>
      <w:lvlText w:val="•"/>
      <w:lvlJc w:val="left"/>
      <w:pPr>
        <w:ind w:left="5021" w:hanging="286"/>
      </w:pPr>
      <w:rPr>
        <w:rFonts w:hint="default"/>
      </w:rPr>
    </w:lvl>
    <w:lvl w:ilvl="6" w:tplc="DCCAC262">
      <w:start w:val="1"/>
      <w:numFmt w:val="bullet"/>
      <w:lvlText w:val="•"/>
      <w:lvlJc w:val="left"/>
      <w:pPr>
        <w:ind w:left="6225" w:hanging="286"/>
      </w:pPr>
      <w:rPr>
        <w:rFonts w:hint="default"/>
      </w:rPr>
    </w:lvl>
    <w:lvl w:ilvl="7" w:tplc="ADF2C7D4">
      <w:start w:val="1"/>
      <w:numFmt w:val="bullet"/>
      <w:lvlText w:val="•"/>
      <w:lvlJc w:val="left"/>
      <w:pPr>
        <w:ind w:left="7428" w:hanging="286"/>
      </w:pPr>
      <w:rPr>
        <w:rFonts w:hint="default"/>
      </w:rPr>
    </w:lvl>
    <w:lvl w:ilvl="8" w:tplc="C414A872">
      <w:start w:val="1"/>
      <w:numFmt w:val="bullet"/>
      <w:lvlText w:val="•"/>
      <w:lvlJc w:val="left"/>
      <w:pPr>
        <w:ind w:left="8632" w:hanging="286"/>
      </w:pPr>
      <w:rPr>
        <w:rFonts w:hint="default"/>
      </w:rPr>
    </w:lvl>
  </w:abstractNum>
  <w:abstractNum w:abstractNumId="70" w15:restartNumberingAfterBreak="0">
    <w:nsid w:val="78855093"/>
    <w:multiLevelType w:val="hybridMultilevel"/>
    <w:tmpl w:val="E8467FF4"/>
    <w:lvl w:ilvl="0" w:tplc="2286EED2">
      <w:start w:val="1"/>
      <w:numFmt w:val="bullet"/>
      <w:lvlText w:val=""/>
      <w:lvlJc w:val="left"/>
      <w:pPr>
        <w:ind w:left="1125" w:hanging="284"/>
      </w:pPr>
      <w:rPr>
        <w:rFonts w:ascii="Symbol" w:eastAsia="Symbol" w:hAnsi="Symbol" w:hint="default"/>
        <w:color w:val="auto"/>
        <w:w w:val="99"/>
        <w:sz w:val="19"/>
        <w:szCs w:val="19"/>
      </w:rPr>
    </w:lvl>
    <w:lvl w:ilvl="1" w:tplc="826AA248">
      <w:start w:val="1"/>
      <w:numFmt w:val="bullet"/>
      <w:lvlText w:val="•"/>
      <w:lvlJc w:val="left"/>
      <w:pPr>
        <w:ind w:left="2116" w:hanging="284"/>
      </w:pPr>
      <w:rPr>
        <w:rFonts w:hint="default"/>
      </w:rPr>
    </w:lvl>
    <w:lvl w:ilvl="2" w:tplc="4BC892E0">
      <w:start w:val="1"/>
      <w:numFmt w:val="bullet"/>
      <w:lvlText w:val="•"/>
      <w:lvlJc w:val="left"/>
      <w:pPr>
        <w:ind w:left="3108" w:hanging="284"/>
      </w:pPr>
      <w:rPr>
        <w:rFonts w:hint="default"/>
      </w:rPr>
    </w:lvl>
    <w:lvl w:ilvl="3" w:tplc="FEBABCCC">
      <w:start w:val="1"/>
      <w:numFmt w:val="bullet"/>
      <w:lvlText w:val="•"/>
      <w:lvlJc w:val="left"/>
      <w:pPr>
        <w:ind w:left="4099" w:hanging="284"/>
      </w:pPr>
      <w:rPr>
        <w:rFonts w:hint="default"/>
      </w:rPr>
    </w:lvl>
    <w:lvl w:ilvl="4" w:tplc="847296F4">
      <w:start w:val="1"/>
      <w:numFmt w:val="bullet"/>
      <w:lvlText w:val="•"/>
      <w:lvlJc w:val="left"/>
      <w:pPr>
        <w:ind w:left="5090" w:hanging="284"/>
      </w:pPr>
      <w:rPr>
        <w:rFonts w:hint="default"/>
      </w:rPr>
    </w:lvl>
    <w:lvl w:ilvl="5" w:tplc="B798B6CE">
      <w:start w:val="1"/>
      <w:numFmt w:val="bullet"/>
      <w:lvlText w:val="•"/>
      <w:lvlJc w:val="left"/>
      <w:pPr>
        <w:ind w:left="6082" w:hanging="284"/>
      </w:pPr>
      <w:rPr>
        <w:rFonts w:hint="default"/>
      </w:rPr>
    </w:lvl>
    <w:lvl w:ilvl="6" w:tplc="ADAE7F9A">
      <w:start w:val="1"/>
      <w:numFmt w:val="bullet"/>
      <w:lvlText w:val="•"/>
      <w:lvlJc w:val="left"/>
      <w:pPr>
        <w:ind w:left="7073" w:hanging="284"/>
      </w:pPr>
      <w:rPr>
        <w:rFonts w:hint="default"/>
      </w:rPr>
    </w:lvl>
    <w:lvl w:ilvl="7" w:tplc="D8945EF4">
      <w:start w:val="1"/>
      <w:numFmt w:val="bullet"/>
      <w:lvlText w:val="•"/>
      <w:lvlJc w:val="left"/>
      <w:pPr>
        <w:ind w:left="8065" w:hanging="284"/>
      </w:pPr>
      <w:rPr>
        <w:rFonts w:hint="default"/>
      </w:rPr>
    </w:lvl>
    <w:lvl w:ilvl="8" w:tplc="2B388E5C">
      <w:start w:val="1"/>
      <w:numFmt w:val="bullet"/>
      <w:lvlText w:val="•"/>
      <w:lvlJc w:val="left"/>
      <w:pPr>
        <w:ind w:left="9056" w:hanging="284"/>
      </w:pPr>
      <w:rPr>
        <w:rFonts w:hint="default"/>
      </w:rPr>
    </w:lvl>
  </w:abstractNum>
  <w:abstractNum w:abstractNumId="71" w15:restartNumberingAfterBreak="0">
    <w:nsid w:val="791C0AC0"/>
    <w:multiLevelType w:val="hybridMultilevel"/>
    <w:tmpl w:val="CCC2B8B4"/>
    <w:lvl w:ilvl="0" w:tplc="500099A6">
      <w:start w:val="1"/>
      <w:numFmt w:val="bullet"/>
      <w:lvlText w:val=""/>
      <w:lvlJc w:val="left"/>
      <w:pPr>
        <w:ind w:left="1125" w:hanging="284"/>
      </w:pPr>
      <w:rPr>
        <w:rFonts w:ascii="Symbol" w:eastAsia="Symbol" w:hAnsi="Symbol" w:hint="default"/>
        <w:color w:val="auto"/>
        <w:w w:val="99"/>
        <w:sz w:val="19"/>
        <w:szCs w:val="19"/>
      </w:rPr>
    </w:lvl>
    <w:lvl w:ilvl="1" w:tplc="656C7444">
      <w:start w:val="1"/>
      <w:numFmt w:val="bullet"/>
      <w:lvlText w:val=""/>
      <w:lvlJc w:val="left"/>
      <w:pPr>
        <w:ind w:left="1410" w:hanging="286"/>
      </w:pPr>
      <w:rPr>
        <w:rFonts w:ascii="Symbol" w:eastAsia="Symbol" w:hAnsi="Symbol" w:hint="default"/>
        <w:position w:val="-1"/>
        <w:sz w:val="22"/>
        <w:szCs w:val="22"/>
      </w:rPr>
    </w:lvl>
    <w:lvl w:ilvl="2" w:tplc="B616F632">
      <w:start w:val="1"/>
      <w:numFmt w:val="bullet"/>
      <w:lvlText w:val="•"/>
      <w:lvlJc w:val="left"/>
      <w:pPr>
        <w:ind w:left="2480" w:hanging="286"/>
      </w:pPr>
      <w:rPr>
        <w:rFonts w:hint="default"/>
      </w:rPr>
    </w:lvl>
    <w:lvl w:ilvl="3" w:tplc="A4EEC0D4">
      <w:start w:val="1"/>
      <w:numFmt w:val="bullet"/>
      <w:lvlText w:val="•"/>
      <w:lvlJc w:val="left"/>
      <w:pPr>
        <w:ind w:left="3550" w:hanging="286"/>
      </w:pPr>
      <w:rPr>
        <w:rFonts w:hint="default"/>
      </w:rPr>
    </w:lvl>
    <w:lvl w:ilvl="4" w:tplc="F78432DE">
      <w:start w:val="1"/>
      <w:numFmt w:val="bullet"/>
      <w:lvlText w:val="•"/>
      <w:lvlJc w:val="left"/>
      <w:pPr>
        <w:ind w:left="4620" w:hanging="286"/>
      </w:pPr>
      <w:rPr>
        <w:rFonts w:hint="default"/>
      </w:rPr>
    </w:lvl>
    <w:lvl w:ilvl="5" w:tplc="BDE48306">
      <w:start w:val="1"/>
      <w:numFmt w:val="bullet"/>
      <w:lvlText w:val="•"/>
      <w:lvlJc w:val="left"/>
      <w:pPr>
        <w:ind w:left="5690" w:hanging="286"/>
      </w:pPr>
      <w:rPr>
        <w:rFonts w:hint="default"/>
      </w:rPr>
    </w:lvl>
    <w:lvl w:ilvl="6" w:tplc="1D98B9A0">
      <w:start w:val="1"/>
      <w:numFmt w:val="bullet"/>
      <w:lvlText w:val="•"/>
      <w:lvlJc w:val="left"/>
      <w:pPr>
        <w:ind w:left="6759" w:hanging="286"/>
      </w:pPr>
      <w:rPr>
        <w:rFonts w:hint="default"/>
      </w:rPr>
    </w:lvl>
    <w:lvl w:ilvl="7" w:tplc="E1120C7E">
      <w:start w:val="1"/>
      <w:numFmt w:val="bullet"/>
      <w:lvlText w:val="•"/>
      <w:lvlJc w:val="left"/>
      <w:pPr>
        <w:ind w:left="7829" w:hanging="286"/>
      </w:pPr>
      <w:rPr>
        <w:rFonts w:hint="default"/>
      </w:rPr>
    </w:lvl>
    <w:lvl w:ilvl="8" w:tplc="795AD89A">
      <w:start w:val="1"/>
      <w:numFmt w:val="bullet"/>
      <w:lvlText w:val="•"/>
      <w:lvlJc w:val="left"/>
      <w:pPr>
        <w:ind w:left="8899" w:hanging="286"/>
      </w:pPr>
      <w:rPr>
        <w:rFonts w:hint="default"/>
      </w:rPr>
    </w:lvl>
  </w:abstractNum>
  <w:abstractNum w:abstractNumId="72" w15:restartNumberingAfterBreak="0">
    <w:nsid w:val="7BBD48FA"/>
    <w:multiLevelType w:val="hybridMultilevel"/>
    <w:tmpl w:val="6A20C634"/>
    <w:lvl w:ilvl="0" w:tplc="66764D94">
      <w:start w:val="1"/>
      <w:numFmt w:val="bullet"/>
      <w:lvlText w:val=""/>
      <w:lvlJc w:val="left"/>
      <w:pPr>
        <w:ind w:left="1125" w:hanging="284"/>
      </w:pPr>
      <w:rPr>
        <w:rFonts w:ascii="Symbol" w:eastAsia="Symbol" w:hAnsi="Symbol" w:hint="default"/>
        <w:color w:val="auto"/>
        <w:w w:val="99"/>
        <w:sz w:val="19"/>
        <w:szCs w:val="19"/>
      </w:rPr>
    </w:lvl>
    <w:lvl w:ilvl="1" w:tplc="E3C46DD0">
      <w:start w:val="1"/>
      <w:numFmt w:val="bullet"/>
      <w:lvlText w:val="•"/>
      <w:lvlJc w:val="left"/>
      <w:pPr>
        <w:ind w:left="2116" w:hanging="284"/>
      </w:pPr>
      <w:rPr>
        <w:rFonts w:hint="default"/>
      </w:rPr>
    </w:lvl>
    <w:lvl w:ilvl="2" w:tplc="532889AC">
      <w:start w:val="1"/>
      <w:numFmt w:val="bullet"/>
      <w:lvlText w:val="•"/>
      <w:lvlJc w:val="left"/>
      <w:pPr>
        <w:ind w:left="3108" w:hanging="284"/>
      </w:pPr>
      <w:rPr>
        <w:rFonts w:hint="default"/>
      </w:rPr>
    </w:lvl>
    <w:lvl w:ilvl="3" w:tplc="1FCE9772">
      <w:start w:val="1"/>
      <w:numFmt w:val="bullet"/>
      <w:lvlText w:val="•"/>
      <w:lvlJc w:val="left"/>
      <w:pPr>
        <w:ind w:left="4099" w:hanging="284"/>
      </w:pPr>
      <w:rPr>
        <w:rFonts w:hint="default"/>
      </w:rPr>
    </w:lvl>
    <w:lvl w:ilvl="4" w:tplc="94447014">
      <w:start w:val="1"/>
      <w:numFmt w:val="bullet"/>
      <w:lvlText w:val="•"/>
      <w:lvlJc w:val="left"/>
      <w:pPr>
        <w:ind w:left="5090" w:hanging="284"/>
      </w:pPr>
      <w:rPr>
        <w:rFonts w:hint="default"/>
      </w:rPr>
    </w:lvl>
    <w:lvl w:ilvl="5" w:tplc="209C83D8">
      <w:start w:val="1"/>
      <w:numFmt w:val="bullet"/>
      <w:lvlText w:val="•"/>
      <w:lvlJc w:val="left"/>
      <w:pPr>
        <w:ind w:left="6082" w:hanging="284"/>
      </w:pPr>
      <w:rPr>
        <w:rFonts w:hint="default"/>
      </w:rPr>
    </w:lvl>
    <w:lvl w:ilvl="6" w:tplc="711E0D26">
      <w:start w:val="1"/>
      <w:numFmt w:val="bullet"/>
      <w:lvlText w:val="•"/>
      <w:lvlJc w:val="left"/>
      <w:pPr>
        <w:ind w:left="7073" w:hanging="284"/>
      </w:pPr>
      <w:rPr>
        <w:rFonts w:hint="default"/>
      </w:rPr>
    </w:lvl>
    <w:lvl w:ilvl="7" w:tplc="A980FEF4">
      <w:start w:val="1"/>
      <w:numFmt w:val="bullet"/>
      <w:lvlText w:val="•"/>
      <w:lvlJc w:val="left"/>
      <w:pPr>
        <w:ind w:left="8065" w:hanging="284"/>
      </w:pPr>
      <w:rPr>
        <w:rFonts w:hint="default"/>
      </w:rPr>
    </w:lvl>
    <w:lvl w:ilvl="8" w:tplc="850243DC">
      <w:start w:val="1"/>
      <w:numFmt w:val="bullet"/>
      <w:lvlText w:val="•"/>
      <w:lvlJc w:val="left"/>
      <w:pPr>
        <w:ind w:left="9056" w:hanging="284"/>
      </w:pPr>
      <w:rPr>
        <w:rFonts w:hint="default"/>
      </w:rPr>
    </w:lvl>
  </w:abstractNum>
  <w:abstractNum w:abstractNumId="73" w15:restartNumberingAfterBreak="0">
    <w:nsid w:val="7CB33512"/>
    <w:multiLevelType w:val="hybridMultilevel"/>
    <w:tmpl w:val="111493EC"/>
    <w:lvl w:ilvl="0" w:tplc="37589BA0">
      <w:start w:val="1"/>
      <w:numFmt w:val="bullet"/>
      <w:lvlText w:val=""/>
      <w:lvlJc w:val="left"/>
      <w:pPr>
        <w:ind w:left="1125" w:hanging="284"/>
      </w:pPr>
      <w:rPr>
        <w:rFonts w:ascii="Symbol" w:eastAsia="Symbol" w:hAnsi="Symbol" w:hint="default"/>
        <w:color w:val="auto"/>
        <w:w w:val="99"/>
        <w:sz w:val="19"/>
        <w:szCs w:val="19"/>
      </w:rPr>
    </w:lvl>
    <w:lvl w:ilvl="1" w:tplc="D3A61A38">
      <w:start w:val="1"/>
      <w:numFmt w:val="bullet"/>
      <w:lvlText w:val="•"/>
      <w:lvlJc w:val="left"/>
      <w:pPr>
        <w:ind w:left="2116" w:hanging="284"/>
      </w:pPr>
      <w:rPr>
        <w:rFonts w:hint="default"/>
      </w:rPr>
    </w:lvl>
    <w:lvl w:ilvl="2" w:tplc="2F9489E6">
      <w:start w:val="1"/>
      <w:numFmt w:val="bullet"/>
      <w:lvlText w:val="•"/>
      <w:lvlJc w:val="left"/>
      <w:pPr>
        <w:ind w:left="3108" w:hanging="284"/>
      </w:pPr>
      <w:rPr>
        <w:rFonts w:hint="default"/>
      </w:rPr>
    </w:lvl>
    <w:lvl w:ilvl="3" w:tplc="D33887B6">
      <w:start w:val="1"/>
      <w:numFmt w:val="bullet"/>
      <w:lvlText w:val="•"/>
      <w:lvlJc w:val="left"/>
      <w:pPr>
        <w:ind w:left="4099" w:hanging="284"/>
      </w:pPr>
      <w:rPr>
        <w:rFonts w:hint="default"/>
      </w:rPr>
    </w:lvl>
    <w:lvl w:ilvl="4" w:tplc="EF2AC17E">
      <w:start w:val="1"/>
      <w:numFmt w:val="bullet"/>
      <w:lvlText w:val="•"/>
      <w:lvlJc w:val="left"/>
      <w:pPr>
        <w:ind w:left="5090" w:hanging="284"/>
      </w:pPr>
      <w:rPr>
        <w:rFonts w:hint="default"/>
      </w:rPr>
    </w:lvl>
    <w:lvl w:ilvl="5" w:tplc="8E42E3C4">
      <w:start w:val="1"/>
      <w:numFmt w:val="bullet"/>
      <w:lvlText w:val="•"/>
      <w:lvlJc w:val="left"/>
      <w:pPr>
        <w:ind w:left="6082" w:hanging="284"/>
      </w:pPr>
      <w:rPr>
        <w:rFonts w:hint="default"/>
      </w:rPr>
    </w:lvl>
    <w:lvl w:ilvl="6" w:tplc="72EC36F0">
      <w:start w:val="1"/>
      <w:numFmt w:val="bullet"/>
      <w:lvlText w:val="•"/>
      <w:lvlJc w:val="left"/>
      <w:pPr>
        <w:ind w:left="7073" w:hanging="284"/>
      </w:pPr>
      <w:rPr>
        <w:rFonts w:hint="default"/>
      </w:rPr>
    </w:lvl>
    <w:lvl w:ilvl="7" w:tplc="21FC25A8">
      <w:start w:val="1"/>
      <w:numFmt w:val="bullet"/>
      <w:lvlText w:val="•"/>
      <w:lvlJc w:val="left"/>
      <w:pPr>
        <w:ind w:left="8065" w:hanging="284"/>
      </w:pPr>
      <w:rPr>
        <w:rFonts w:hint="default"/>
      </w:rPr>
    </w:lvl>
    <w:lvl w:ilvl="8" w:tplc="257A136A">
      <w:start w:val="1"/>
      <w:numFmt w:val="bullet"/>
      <w:lvlText w:val="•"/>
      <w:lvlJc w:val="left"/>
      <w:pPr>
        <w:ind w:left="9056" w:hanging="284"/>
      </w:pPr>
      <w:rPr>
        <w:rFonts w:hint="default"/>
      </w:rPr>
    </w:lvl>
  </w:abstractNum>
  <w:abstractNum w:abstractNumId="74" w15:restartNumberingAfterBreak="0">
    <w:nsid w:val="7E0C5B37"/>
    <w:multiLevelType w:val="hybridMultilevel"/>
    <w:tmpl w:val="7968F17E"/>
    <w:lvl w:ilvl="0" w:tplc="F55C4FE0">
      <w:start w:val="1"/>
      <w:numFmt w:val="bullet"/>
      <w:lvlText w:val=""/>
      <w:lvlJc w:val="left"/>
      <w:pPr>
        <w:ind w:left="1125" w:hanging="284"/>
      </w:pPr>
      <w:rPr>
        <w:rFonts w:ascii="Symbol" w:eastAsia="Symbol" w:hAnsi="Symbol" w:hint="default"/>
        <w:color w:val="auto"/>
        <w:w w:val="99"/>
        <w:sz w:val="19"/>
        <w:szCs w:val="19"/>
      </w:rPr>
    </w:lvl>
    <w:lvl w:ilvl="1" w:tplc="60061F24">
      <w:start w:val="1"/>
      <w:numFmt w:val="bullet"/>
      <w:lvlText w:val="•"/>
      <w:lvlJc w:val="left"/>
      <w:pPr>
        <w:ind w:left="2117" w:hanging="284"/>
      </w:pPr>
      <w:rPr>
        <w:rFonts w:hint="default"/>
      </w:rPr>
    </w:lvl>
    <w:lvl w:ilvl="2" w:tplc="2814F1DC">
      <w:start w:val="1"/>
      <w:numFmt w:val="bullet"/>
      <w:lvlText w:val="•"/>
      <w:lvlJc w:val="left"/>
      <w:pPr>
        <w:ind w:left="3110" w:hanging="284"/>
      </w:pPr>
      <w:rPr>
        <w:rFonts w:hint="default"/>
      </w:rPr>
    </w:lvl>
    <w:lvl w:ilvl="3" w:tplc="2D80067C">
      <w:start w:val="1"/>
      <w:numFmt w:val="bullet"/>
      <w:lvlText w:val="•"/>
      <w:lvlJc w:val="left"/>
      <w:pPr>
        <w:ind w:left="4102" w:hanging="284"/>
      </w:pPr>
      <w:rPr>
        <w:rFonts w:hint="default"/>
      </w:rPr>
    </w:lvl>
    <w:lvl w:ilvl="4" w:tplc="431E3CFC">
      <w:start w:val="1"/>
      <w:numFmt w:val="bullet"/>
      <w:lvlText w:val="•"/>
      <w:lvlJc w:val="left"/>
      <w:pPr>
        <w:ind w:left="5094" w:hanging="284"/>
      </w:pPr>
      <w:rPr>
        <w:rFonts w:hint="default"/>
      </w:rPr>
    </w:lvl>
    <w:lvl w:ilvl="5" w:tplc="0BA299B2">
      <w:start w:val="1"/>
      <w:numFmt w:val="bullet"/>
      <w:lvlText w:val="•"/>
      <w:lvlJc w:val="left"/>
      <w:pPr>
        <w:ind w:left="6087" w:hanging="284"/>
      </w:pPr>
      <w:rPr>
        <w:rFonts w:hint="default"/>
      </w:rPr>
    </w:lvl>
    <w:lvl w:ilvl="6" w:tplc="C2C46A52">
      <w:start w:val="1"/>
      <w:numFmt w:val="bullet"/>
      <w:lvlText w:val="•"/>
      <w:lvlJc w:val="left"/>
      <w:pPr>
        <w:ind w:left="7079" w:hanging="284"/>
      </w:pPr>
      <w:rPr>
        <w:rFonts w:hint="default"/>
      </w:rPr>
    </w:lvl>
    <w:lvl w:ilvl="7" w:tplc="629421B8">
      <w:start w:val="1"/>
      <w:numFmt w:val="bullet"/>
      <w:lvlText w:val="•"/>
      <w:lvlJc w:val="left"/>
      <w:pPr>
        <w:ind w:left="8071" w:hanging="284"/>
      </w:pPr>
      <w:rPr>
        <w:rFonts w:hint="default"/>
      </w:rPr>
    </w:lvl>
    <w:lvl w:ilvl="8" w:tplc="0A18796E">
      <w:start w:val="1"/>
      <w:numFmt w:val="bullet"/>
      <w:lvlText w:val="•"/>
      <w:lvlJc w:val="left"/>
      <w:pPr>
        <w:ind w:left="9064" w:hanging="284"/>
      </w:pPr>
      <w:rPr>
        <w:rFonts w:hint="default"/>
      </w:rPr>
    </w:lvl>
  </w:abstractNum>
  <w:num w:numId="1">
    <w:abstractNumId w:val="25"/>
  </w:num>
  <w:num w:numId="2">
    <w:abstractNumId w:val="26"/>
  </w:num>
  <w:num w:numId="3">
    <w:abstractNumId w:val="45"/>
  </w:num>
  <w:num w:numId="4">
    <w:abstractNumId w:val="20"/>
  </w:num>
  <w:num w:numId="5">
    <w:abstractNumId w:val="42"/>
  </w:num>
  <w:num w:numId="6">
    <w:abstractNumId w:val="57"/>
  </w:num>
  <w:num w:numId="7">
    <w:abstractNumId w:val="4"/>
  </w:num>
  <w:num w:numId="8">
    <w:abstractNumId w:val="61"/>
  </w:num>
  <w:num w:numId="9">
    <w:abstractNumId w:val="56"/>
  </w:num>
  <w:num w:numId="10">
    <w:abstractNumId w:val="19"/>
  </w:num>
  <w:num w:numId="11">
    <w:abstractNumId w:val="37"/>
  </w:num>
  <w:num w:numId="12">
    <w:abstractNumId w:val="34"/>
  </w:num>
  <w:num w:numId="13">
    <w:abstractNumId w:val="51"/>
  </w:num>
  <w:num w:numId="14">
    <w:abstractNumId w:val="13"/>
  </w:num>
  <w:num w:numId="15">
    <w:abstractNumId w:val="3"/>
  </w:num>
  <w:num w:numId="16">
    <w:abstractNumId w:val="23"/>
  </w:num>
  <w:num w:numId="17">
    <w:abstractNumId w:val="7"/>
  </w:num>
  <w:num w:numId="18">
    <w:abstractNumId w:val="40"/>
  </w:num>
  <w:num w:numId="19">
    <w:abstractNumId w:val="62"/>
  </w:num>
  <w:num w:numId="20">
    <w:abstractNumId w:val="60"/>
  </w:num>
  <w:num w:numId="21">
    <w:abstractNumId w:val="27"/>
  </w:num>
  <w:num w:numId="22">
    <w:abstractNumId w:val="2"/>
  </w:num>
  <w:num w:numId="23">
    <w:abstractNumId w:val="43"/>
  </w:num>
  <w:num w:numId="24">
    <w:abstractNumId w:val="46"/>
  </w:num>
  <w:num w:numId="25">
    <w:abstractNumId w:val="15"/>
  </w:num>
  <w:num w:numId="26">
    <w:abstractNumId w:val="31"/>
  </w:num>
  <w:num w:numId="27">
    <w:abstractNumId w:val="28"/>
  </w:num>
  <w:num w:numId="28">
    <w:abstractNumId w:val="18"/>
  </w:num>
  <w:num w:numId="29">
    <w:abstractNumId w:val="74"/>
  </w:num>
  <w:num w:numId="30">
    <w:abstractNumId w:val="5"/>
  </w:num>
  <w:num w:numId="31">
    <w:abstractNumId w:val="22"/>
  </w:num>
  <w:num w:numId="32">
    <w:abstractNumId w:val="8"/>
  </w:num>
  <w:num w:numId="33">
    <w:abstractNumId w:val="73"/>
  </w:num>
  <w:num w:numId="34">
    <w:abstractNumId w:val="9"/>
  </w:num>
  <w:num w:numId="35">
    <w:abstractNumId w:val="54"/>
  </w:num>
  <w:num w:numId="36">
    <w:abstractNumId w:val="48"/>
  </w:num>
  <w:num w:numId="37">
    <w:abstractNumId w:val="71"/>
  </w:num>
  <w:num w:numId="38">
    <w:abstractNumId w:val="64"/>
  </w:num>
  <w:num w:numId="39">
    <w:abstractNumId w:val="47"/>
  </w:num>
  <w:num w:numId="40">
    <w:abstractNumId w:val="53"/>
  </w:num>
  <w:num w:numId="41">
    <w:abstractNumId w:val="12"/>
  </w:num>
  <w:num w:numId="42">
    <w:abstractNumId w:val="29"/>
  </w:num>
  <w:num w:numId="43">
    <w:abstractNumId w:val="65"/>
  </w:num>
  <w:num w:numId="44">
    <w:abstractNumId w:val="69"/>
  </w:num>
  <w:num w:numId="45">
    <w:abstractNumId w:val="49"/>
  </w:num>
  <w:num w:numId="46">
    <w:abstractNumId w:val="70"/>
  </w:num>
  <w:num w:numId="47">
    <w:abstractNumId w:val="0"/>
  </w:num>
  <w:num w:numId="48">
    <w:abstractNumId w:val="16"/>
  </w:num>
  <w:num w:numId="49">
    <w:abstractNumId w:val="30"/>
  </w:num>
  <w:num w:numId="50">
    <w:abstractNumId w:val="72"/>
  </w:num>
  <w:num w:numId="51">
    <w:abstractNumId w:val="50"/>
  </w:num>
  <w:num w:numId="52">
    <w:abstractNumId w:val="24"/>
  </w:num>
  <w:num w:numId="53">
    <w:abstractNumId w:val="59"/>
  </w:num>
  <w:num w:numId="54">
    <w:abstractNumId w:val="58"/>
  </w:num>
  <w:num w:numId="55">
    <w:abstractNumId w:val="17"/>
  </w:num>
  <w:num w:numId="56">
    <w:abstractNumId w:val="32"/>
  </w:num>
  <w:num w:numId="57">
    <w:abstractNumId w:val="44"/>
  </w:num>
  <w:num w:numId="58">
    <w:abstractNumId w:val="35"/>
  </w:num>
  <w:num w:numId="59">
    <w:abstractNumId w:val="11"/>
  </w:num>
  <w:num w:numId="60">
    <w:abstractNumId w:val="52"/>
  </w:num>
  <w:num w:numId="61">
    <w:abstractNumId w:val="66"/>
  </w:num>
  <w:num w:numId="62">
    <w:abstractNumId w:val="33"/>
  </w:num>
  <w:num w:numId="63">
    <w:abstractNumId w:val="39"/>
  </w:num>
  <w:num w:numId="64">
    <w:abstractNumId w:val="14"/>
  </w:num>
  <w:num w:numId="65">
    <w:abstractNumId w:val="1"/>
  </w:num>
  <w:num w:numId="66">
    <w:abstractNumId w:val="55"/>
  </w:num>
  <w:num w:numId="67">
    <w:abstractNumId w:val="10"/>
  </w:num>
  <w:num w:numId="68">
    <w:abstractNumId w:val="6"/>
  </w:num>
  <w:num w:numId="69">
    <w:abstractNumId w:val="67"/>
  </w:num>
  <w:num w:numId="70">
    <w:abstractNumId w:val="38"/>
  </w:num>
  <w:num w:numId="71">
    <w:abstractNumId w:val="36"/>
  </w:num>
  <w:num w:numId="72">
    <w:abstractNumId w:val="41"/>
  </w:num>
  <w:num w:numId="73">
    <w:abstractNumId w:val="68"/>
  </w:num>
  <w:num w:numId="74">
    <w:abstractNumId w:val="21"/>
  </w:num>
  <w:num w:numId="75">
    <w:abstractNumId w:val="63"/>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6F3C"/>
    <w:rsid w:val="000127B4"/>
    <w:rsid w:val="0002159B"/>
    <w:rsid w:val="000266B3"/>
    <w:rsid w:val="0003108B"/>
    <w:rsid w:val="000509B8"/>
    <w:rsid w:val="0008022C"/>
    <w:rsid w:val="000820B6"/>
    <w:rsid w:val="0008502C"/>
    <w:rsid w:val="000B5876"/>
    <w:rsid w:val="000D2B76"/>
    <w:rsid w:val="000E669F"/>
    <w:rsid w:val="000F6153"/>
    <w:rsid w:val="00100B51"/>
    <w:rsid w:val="00116E46"/>
    <w:rsid w:val="001243DE"/>
    <w:rsid w:val="0014508F"/>
    <w:rsid w:val="00154D5B"/>
    <w:rsid w:val="001778EC"/>
    <w:rsid w:val="00186A44"/>
    <w:rsid w:val="0018742C"/>
    <w:rsid w:val="00197963"/>
    <w:rsid w:val="00197C63"/>
    <w:rsid w:val="001A1FF6"/>
    <w:rsid w:val="001B1AE7"/>
    <w:rsid w:val="001C4B02"/>
    <w:rsid w:val="001D3E8A"/>
    <w:rsid w:val="001E101B"/>
    <w:rsid w:val="001F4E03"/>
    <w:rsid w:val="00203930"/>
    <w:rsid w:val="00204583"/>
    <w:rsid w:val="0020655F"/>
    <w:rsid w:val="00210375"/>
    <w:rsid w:val="00211211"/>
    <w:rsid w:val="002158E0"/>
    <w:rsid w:val="00230D80"/>
    <w:rsid w:val="002315AB"/>
    <w:rsid w:val="0024656E"/>
    <w:rsid w:val="0024682A"/>
    <w:rsid w:val="0026685E"/>
    <w:rsid w:val="00267CE5"/>
    <w:rsid w:val="0027353A"/>
    <w:rsid w:val="002771E9"/>
    <w:rsid w:val="00281D6D"/>
    <w:rsid w:val="00286019"/>
    <w:rsid w:val="0029364E"/>
    <w:rsid w:val="002C630D"/>
    <w:rsid w:val="002C6576"/>
    <w:rsid w:val="002D71BB"/>
    <w:rsid w:val="002E0524"/>
    <w:rsid w:val="002E358E"/>
    <w:rsid w:val="002E6ABB"/>
    <w:rsid w:val="002E7929"/>
    <w:rsid w:val="002F6A64"/>
    <w:rsid w:val="00317B35"/>
    <w:rsid w:val="00321353"/>
    <w:rsid w:val="00324FA9"/>
    <w:rsid w:val="00332253"/>
    <w:rsid w:val="00332EA9"/>
    <w:rsid w:val="003340BB"/>
    <w:rsid w:val="00335ABE"/>
    <w:rsid w:val="00361392"/>
    <w:rsid w:val="00362BBE"/>
    <w:rsid w:val="0037375A"/>
    <w:rsid w:val="003815B2"/>
    <w:rsid w:val="0038482D"/>
    <w:rsid w:val="0039426C"/>
    <w:rsid w:val="003942AB"/>
    <w:rsid w:val="00395F44"/>
    <w:rsid w:val="003A6A04"/>
    <w:rsid w:val="003C33C0"/>
    <w:rsid w:val="003E20F3"/>
    <w:rsid w:val="003E2678"/>
    <w:rsid w:val="003E7255"/>
    <w:rsid w:val="00402233"/>
    <w:rsid w:val="004038EC"/>
    <w:rsid w:val="004205D9"/>
    <w:rsid w:val="00422349"/>
    <w:rsid w:val="00443399"/>
    <w:rsid w:val="00453D55"/>
    <w:rsid w:val="00497519"/>
    <w:rsid w:val="004A07B4"/>
    <w:rsid w:val="004B0DA3"/>
    <w:rsid w:val="004C2057"/>
    <w:rsid w:val="004C6B9C"/>
    <w:rsid w:val="004D44FD"/>
    <w:rsid w:val="00500EA4"/>
    <w:rsid w:val="00507E3C"/>
    <w:rsid w:val="005364DD"/>
    <w:rsid w:val="00545222"/>
    <w:rsid w:val="00546F3C"/>
    <w:rsid w:val="00587E78"/>
    <w:rsid w:val="00595E94"/>
    <w:rsid w:val="005B2959"/>
    <w:rsid w:val="005B2A11"/>
    <w:rsid w:val="005B5080"/>
    <w:rsid w:val="005B72E7"/>
    <w:rsid w:val="005C3D38"/>
    <w:rsid w:val="005C4861"/>
    <w:rsid w:val="005E2452"/>
    <w:rsid w:val="005E7435"/>
    <w:rsid w:val="005F7E5D"/>
    <w:rsid w:val="00620636"/>
    <w:rsid w:val="00627E96"/>
    <w:rsid w:val="006447B0"/>
    <w:rsid w:val="00646653"/>
    <w:rsid w:val="00662E0A"/>
    <w:rsid w:val="0067635D"/>
    <w:rsid w:val="00680BE8"/>
    <w:rsid w:val="00681514"/>
    <w:rsid w:val="0068395A"/>
    <w:rsid w:val="006B1CC3"/>
    <w:rsid w:val="006C1284"/>
    <w:rsid w:val="006D0460"/>
    <w:rsid w:val="006D06CA"/>
    <w:rsid w:val="006D285C"/>
    <w:rsid w:val="006E0AE3"/>
    <w:rsid w:val="006E7283"/>
    <w:rsid w:val="007036A4"/>
    <w:rsid w:val="00704503"/>
    <w:rsid w:val="0071541E"/>
    <w:rsid w:val="00721944"/>
    <w:rsid w:val="0074512A"/>
    <w:rsid w:val="00756F6F"/>
    <w:rsid w:val="007578E7"/>
    <w:rsid w:val="00766DBF"/>
    <w:rsid w:val="00776C9C"/>
    <w:rsid w:val="00786F96"/>
    <w:rsid w:val="007B5E80"/>
    <w:rsid w:val="007D3713"/>
    <w:rsid w:val="007D5E6E"/>
    <w:rsid w:val="007F20E8"/>
    <w:rsid w:val="008166A3"/>
    <w:rsid w:val="00843ACE"/>
    <w:rsid w:val="00851150"/>
    <w:rsid w:val="008A2DC9"/>
    <w:rsid w:val="008A7C35"/>
    <w:rsid w:val="008B4E0E"/>
    <w:rsid w:val="008B4F65"/>
    <w:rsid w:val="008D5B54"/>
    <w:rsid w:val="008D71D4"/>
    <w:rsid w:val="008E39A3"/>
    <w:rsid w:val="0090244C"/>
    <w:rsid w:val="00903451"/>
    <w:rsid w:val="009130CD"/>
    <w:rsid w:val="0091348F"/>
    <w:rsid w:val="00917CDF"/>
    <w:rsid w:val="00930B43"/>
    <w:rsid w:val="00931B19"/>
    <w:rsid w:val="009424B9"/>
    <w:rsid w:val="009534B7"/>
    <w:rsid w:val="009542EF"/>
    <w:rsid w:val="009605EA"/>
    <w:rsid w:val="00963385"/>
    <w:rsid w:val="009636AA"/>
    <w:rsid w:val="00994F93"/>
    <w:rsid w:val="009A1969"/>
    <w:rsid w:val="009A2A25"/>
    <w:rsid w:val="009A567F"/>
    <w:rsid w:val="009C7585"/>
    <w:rsid w:val="009D08C4"/>
    <w:rsid w:val="009E490B"/>
    <w:rsid w:val="009F09E5"/>
    <w:rsid w:val="00A06FEB"/>
    <w:rsid w:val="00A330D7"/>
    <w:rsid w:val="00A333EE"/>
    <w:rsid w:val="00A3593E"/>
    <w:rsid w:val="00A51C3F"/>
    <w:rsid w:val="00A52EF1"/>
    <w:rsid w:val="00A55931"/>
    <w:rsid w:val="00A70719"/>
    <w:rsid w:val="00A8301F"/>
    <w:rsid w:val="00A91CE5"/>
    <w:rsid w:val="00AB24E2"/>
    <w:rsid w:val="00AB2630"/>
    <w:rsid w:val="00AE7172"/>
    <w:rsid w:val="00AF506D"/>
    <w:rsid w:val="00B03B51"/>
    <w:rsid w:val="00B03E08"/>
    <w:rsid w:val="00B05520"/>
    <w:rsid w:val="00B3177B"/>
    <w:rsid w:val="00B3743E"/>
    <w:rsid w:val="00B7287B"/>
    <w:rsid w:val="00B73481"/>
    <w:rsid w:val="00B8720C"/>
    <w:rsid w:val="00BA569B"/>
    <w:rsid w:val="00BB494B"/>
    <w:rsid w:val="00BC7838"/>
    <w:rsid w:val="00BD35E2"/>
    <w:rsid w:val="00BD4F89"/>
    <w:rsid w:val="00BE27DC"/>
    <w:rsid w:val="00BE44B8"/>
    <w:rsid w:val="00C046F4"/>
    <w:rsid w:val="00C0571D"/>
    <w:rsid w:val="00C13305"/>
    <w:rsid w:val="00C143EC"/>
    <w:rsid w:val="00C171EC"/>
    <w:rsid w:val="00C51BD1"/>
    <w:rsid w:val="00C55DCA"/>
    <w:rsid w:val="00C566C3"/>
    <w:rsid w:val="00C61BF5"/>
    <w:rsid w:val="00C6459E"/>
    <w:rsid w:val="00C8200B"/>
    <w:rsid w:val="00C91F87"/>
    <w:rsid w:val="00CB1E01"/>
    <w:rsid w:val="00CB4C2E"/>
    <w:rsid w:val="00CC2796"/>
    <w:rsid w:val="00CD10FE"/>
    <w:rsid w:val="00CD7945"/>
    <w:rsid w:val="00CF02E6"/>
    <w:rsid w:val="00CF0893"/>
    <w:rsid w:val="00CF2842"/>
    <w:rsid w:val="00D04AD9"/>
    <w:rsid w:val="00D06C6B"/>
    <w:rsid w:val="00D100A9"/>
    <w:rsid w:val="00D460B8"/>
    <w:rsid w:val="00D939EF"/>
    <w:rsid w:val="00DA39FD"/>
    <w:rsid w:val="00DA6690"/>
    <w:rsid w:val="00DA7E7B"/>
    <w:rsid w:val="00DC0D22"/>
    <w:rsid w:val="00DC6362"/>
    <w:rsid w:val="00DD269F"/>
    <w:rsid w:val="00DD4B3F"/>
    <w:rsid w:val="00DE09F7"/>
    <w:rsid w:val="00DF0390"/>
    <w:rsid w:val="00E04821"/>
    <w:rsid w:val="00E052C5"/>
    <w:rsid w:val="00E10F37"/>
    <w:rsid w:val="00E11BC4"/>
    <w:rsid w:val="00E47B81"/>
    <w:rsid w:val="00E52E0E"/>
    <w:rsid w:val="00E53372"/>
    <w:rsid w:val="00E761B2"/>
    <w:rsid w:val="00E83BFF"/>
    <w:rsid w:val="00E843F0"/>
    <w:rsid w:val="00E922A9"/>
    <w:rsid w:val="00EB386F"/>
    <w:rsid w:val="00EB62F3"/>
    <w:rsid w:val="00EB757D"/>
    <w:rsid w:val="00EB79FA"/>
    <w:rsid w:val="00EC47D1"/>
    <w:rsid w:val="00EF7FAB"/>
    <w:rsid w:val="00F1651B"/>
    <w:rsid w:val="00F27871"/>
    <w:rsid w:val="00F40C08"/>
    <w:rsid w:val="00F5732C"/>
    <w:rsid w:val="00F643F6"/>
    <w:rsid w:val="00F74657"/>
    <w:rsid w:val="00F80FC3"/>
    <w:rsid w:val="00FB0E17"/>
    <w:rsid w:val="00FC2434"/>
    <w:rsid w:val="00FC6AB7"/>
    <w:rsid w:val="00FC7DB2"/>
    <w:rsid w:val="00FE5FF3"/>
    <w:rsid w:val="00FF40C1"/>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87D447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4F93"/>
    <w:pPr>
      <w:widowControl w:val="0"/>
      <w:spacing w:after="0" w:line="240" w:lineRule="auto"/>
    </w:pPr>
  </w:style>
  <w:style w:type="paragraph" w:styleId="Heading1">
    <w:name w:val="heading 1"/>
    <w:basedOn w:val="Normal"/>
    <w:link w:val="Heading1Char"/>
    <w:uiPriority w:val="9"/>
    <w:qFormat/>
    <w:rsid w:val="00994F93"/>
    <w:pPr>
      <w:ind w:left="20"/>
      <w:outlineLvl w:val="0"/>
    </w:pPr>
    <w:rPr>
      <w:rFonts w:ascii="Arial" w:eastAsia="Arial" w:hAnsi="Arial"/>
      <w:b/>
      <w:bCs/>
      <w:sz w:val="56"/>
      <w:szCs w:val="56"/>
    </w:rPr>
  </w:style>
  <w:style w:type="paragraph" w:styleId="Heading2">
    <w:name w:val="heading 2"/>
    <w:basedOn w:val="Normal"/>
    <w:link w:val="Heading2Char"/>
    <w:uiPriority w:val="9"/>
    <w:unhideWhenUsed/>
    <w:qFormat/>
    <w:rsid w:val="00994F93"/>
    <w:pPr>
      <w:spacing w:before="49"/>
      <w:ind w:left="1134" w:hanging="576"/>
      <w:outlineLvl w:val="1"/>
    </w:pPr>
    <w:rPr>
      <w:rFonts w:ascii="Arial" w:eastAsia="Arial" w:hAnsi="Arial"/>
      <w:b/>
      <w:bCs/>
      <w:sz w:val="40"/>
      <w:szCs w:val="40"/>
    </w:rPr>
  </w:style>
  <w:style w:type="paragraph" w:styleId="Heading3">
    <w:name w:val="heading 3"/>
    <w:basedOn w:val="Normal"/>
    <w:link w:val="Heading3Char"/>
    <w:uiPriority w:val="9"/>
    <w:unhideWhenUsed/>
    <w:qFormat/>
    <w:rsid w:val="00994F93"/>
    <w:pPr>
      <w:ind w:left="1266" w:hanging="708"/>
      <w:outlineLvl w:val="2"/>
    </w:pPr>
    <w:rPr>
      <w:rFonts w:ascii="Arial" w:eastAsia="Arial" w:hAnsi="Arial"/>
      <w:b/>
      <w:bCs/>
      <w:sz w:val="30"/>
      <w:szCs w:val="30"/>
    </w:rPr>
  </w:style>
  <w:style w:type="paragraph" w:styleId="Heading4">
    <w:name w:val="heading 4"/>
    <w:basedOn w:val="Normal"/>
    <w:link w:val="Heading4Char"/>
    <w:uiPriority w:val="9"/>
    <w:unhideWhenUsed/>
    <w:qFormat/>
    <w:rsid w:val="00994F93"/>
    <w:pPr>
      <w:ind w:left="232"/>
      <w:outlineLvl w:val="3"/>
    </w:pPr>
    <w:rPr>
      <w:rFonts w:ascii="Arial" w:eastAsia="Arial" w:hAnsi="Arial"/>
      <w:b/>
      <w:bCs/>
      <w:sz w:val="24"/>
      <w:szCs w:val="24"/>
    </w:rPr>
  </w:style>
  <w:style w:type="paragraph" w:styleId="Heading5">
    <w:name w:val="heading 5"/>
    <w:basedOn w:val="Normal"/>
    <w:link w:val="Heading5Char"/>
    <w:uiPriority w:val="9"/>
    <w:unhideWhenUsed/>
    <w:qFormat/>
    <w:rsid w:val="00994F93"/>
    <w:pPr>
      <w:outlineLvl w:val="4"/>
    </w:pPr>
    <w:rPr>
      <w:rFonts w:ascii="Arial" w:eastAsia="Arial" w:hAnsi="Arial"/>
      <w:sz w:val="24"/>
      <w:szCs w:val="24"/>
    </w:rPr>
  </w:style>
  <w:style w:type="paragraph" w:styleId="Heading6">
    <w:name w:val="heading 6"/>
    <w:basedOn w:val="Normal"/>
    <w:link w:val="Heading6Char"/>
    <w:uiPriority w:val="9"/>
    <w:unhideWhenUsed/>
    <w:qFormat/>
    <w:rsid w:val="00994F93"/>
    <w:pPr>
      <w:ind w:left="1266" w:hanging="708"/>
      <w:outlineLvl w:val="5"/>
    </w:pPr>
    <w:rPr>
      <w:rFonts w:ascii="Arial" w:eastAsia="Arial" w:hAnsi="Arial"/>
      <w:b/>
      <w:bCs/>
    </w:rPr>
  </w:style>
  <w:style w:type="paragraph" w:styleId="Heading7">
    <w:name w:val="heading 7"/>
    <w:basedOn w:val="Normal"/>
    <w:link w:val="Heading7Char"/>
    <w:uiPriority w:val="1"/>
    <w:qFormat/>
    <w:rsid w:val="00994F93"/>
    <w:pPr>
      <w:spacing w:before="31"/>
      <w:ind w:left="602"/>
      <w:outlineLvl w:val="6"/>
    </w:pPr>
    <w:rPr>
      <w:rFonts w:ascii="Calibri" w:eastAsia="Calibri" w:hAnsi="Calibri"/>
    </w:rPr>
  </w:style>
  <w:style w:type="paragraph" w:styleId="Heading8">
    <w:name w:val="heading 8"/>
    <w:basedOn w:val="Normal"/>
    <w:link w:val="Heading8Char"/>
    <w:uiPriority w:val="1"/>
    <w:qFormat/>
    <w:rsid w:val="00994F93"/>
    <w:pPr>
      <w:ind w:left="232"/>
      <w:outlineLvl w:val="7"/>
    </w:pPr>
    <w:rPr>
      <w:rFonts w:ascii="Arial" w:eastAsia="Arial" w:hAnsi="Arial"/>
      <w:b/>
      <w:bCs/>
      <w:sz w:val="20"/>
      <w:szCs w:val="20"/>
    </w:rPr>
  </w:style>
  <w:style w:type="paragraph" w:styleId="Heading9">
    <w:name w:val="heading 9"/>
    <w:basedOn w:val="Normal"/>
    <w:link w:val="Heading9Char"/>
    <w:uiPriority w:val="1"/>
    <w:qFormat/>
    <w:rsid w:val="00994F93"/>
    <w:pPr>
      <w:ind w:left="20"/>
      <w:outlineLvl w:val="8"/>
    </w:pPr>
    <w:rPr>
      <w:rFonts w:ascii="Arial" w:eastAsia="Arial" w:hAnsi="Arial"/>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94F93"/>
    <w:pPr>
      <w:tabs>
        <w:tab w:val="center" w:pos="4513"/>
        <w:tab w:val="right" w:pos="9026"/>
      </w:tabs>
    </w:pPr>
  </w:style>
  <w:style w:type="character" w:customStyle="1" w:styleId="HeaderChar">
    <w:name w:val="Header Char"/>
    <w:basedOn w:val="DefaultParagraphFont"/>
    <w:link w:val="Header"/>
    <w:uiPriority w:val="99"/>
    <w:rsid w:val="00994F93"/>
  </w:style>
  <w:style w:type="paragraph" w:styleId="Footer">
    <w:name w:val="footer"/>
    <w:basedOn w:val="Normal"/>
    <w:link w:val="FooterChar"/>
    <w:uiPriority w:val="99"/>
    <w:unhideWhenUsed/>
    <w:rsid w:val="00994F93"/>
    <w:pPr>
      <w:tabs>
        <w:tab w:val="center" w:pos="4513"/>
        <w:tab w:val="right" w:pos="9026"/>
      </w:tabs>
    </w:pPr>
  </w:style>
  <w:style w:type="character" w:customStyle="1" w:styleId="FooterChar">
    <w:name w:val="Footer Char"/>
    <w:basedOn w:val="DefaultParagraphFont"/>
    <w:link w:val="Footer"/>
    <w:uiPriority w:val="99"/>
    <w:rsid w:val="00994F93"/>
  </w:style>
  <w:style w:type="character" w:customStyle="1" w:styleId="Heading1Char">
    <w:name w:val="Heading 1 Char"/>
    <w:basedOn w:val="DefaultParagraphFont"/>
    <w:link w:val="Heading1"/>
    <w:uiPriority w:val="9"/>
    <w:rsid w:val="00994F93"/>
    <w:rPr>
      <w:rFonts w:ascii="Arial" w:eastAsia="Arial" w:hAnsi="Arial"/>
      <w:b/>
      <w:bCs/>
      <w:sz w:val="56"/>
      <w:szCs w:val="56"/>
      <w:lang w:val="lv-LV"/>
    </w:rPr>
  </w:style>
  <w:style w:type="character" w:customStyle="1" w:styleId="Heading2Char">
    <w:name w:val="Heading 2 Char"/>
    <w:basedOn w:val="DefaultParagraphFont"/>
    <w:link w:val="Heading2"/>
    <w:uiPriority w:val="9"/>
    <w:rsid w:val="00994F93"/>
    <w:rPr>
      <w:rFonts w:ascii="Arial" w:eastAsia="Arial" w:hAnsi="Arial"/>
      <w:b/>
      <w:bCs/>
      <w:sz w:val="40"/>
      <w:szCs w:val="40"/>
      <w:lang w:val="lv-LV"/>
    </w:rPr>
  </w:style>
  <w:style w:type="character" w:customStyle="1" w:styleId="Heading3Char">
    <w:name w:val="Heading 3 Char"/>
    <w:basedOn w:val="DefaultParagraphFont"/>
    <w:link w:val="Heading3"/>
    <w:uiPriority w:val="9"/>
    <w:rsid w:val="00994F93"/>
    <w:rPr>
      <w:rFonts w:ascii="Arial" w:eastAsia="Arial" w:hAnsi="Arial"/>
      <w:b/>
      <w:bCs/>
      <w:sz w:val="30"/>
      <w:szCs w:val="30"/>
      <w:lang w:val="lv-LV"/>
    </w:rPr>
  </w:style>
  <w:style w:type="character" w:customStyle="1" w:styleId="Heading4Char">
    <w:name w:val="Heading 4 Char"/>
    <w:basedOn w:val="DefaultParagraphFont"/>
    <w:link w:val="Heading4"/>
    <w:uiPriority w:val="9"/>
    <w:rsid w:val="00994F93"/>
    <w:rPr>
      <w:rFonts w:ascii="Arial" w:eastAsia="Arial" w:hAnsi="Arial"/>
      <w:b/>
      <w:bCs/>
      <w:sz w:val="24"/>
      <w:szCs w:val="24"/>
      <w:lang w:val="lv-LV"/>
    </w:rPr>
  </w:style>
  <w:style w:type="character" w:customStyle="1" w:styleId="Heading5Char">
    <w:name w:val="Heading 5 Char"/>
    <w:basedOn w:val="DefaultParagraphFont"/>
    <w:link w:val="Heading5"/>
    <w:uiPriority w:val="9"/>
    <w:rsid w:val="00994F93"/>
    <w:rPr>
      <w:rFonts w:ascii="Arial" w:eastAsia="Arial" w:hAnsi="Arial"/>
      <w:sz w:val="24"/>
      <w:szCs w:val="24"/>
      <w:lang w:val="lv-LV"/>
    </w:rPr>
  </w:style>
  <w:style w:type="character" w:customStyle="1" w:styleId="Heading6Char">
    <w:name w:val="Heading 6 Char"/>
    <w:basedOn w:val="DefaultParagraphFont"/>
    <w:link w:val="Heading6"/>
    <w:uiPriority w:val="9"/>
    <w:rsid w:val="00994F93"/>
    <w:rPr>
      <w:rFonts w:ascii="Arial" w:eastAsia="Arial" w:hAnsi="Arial"/>
      <w:b/>
      <w:bCs/>
      <w:lang w:val="lv-LV"/>
    </w:rPr>
  </w:style>
  <w:style w:type="character" w:customStyle="1" w:styleId="Heading7Char">
    <w:name w:val="Heading 7 Char"/>
    <w:basedOn w:val="DefaultParagraphFont"/>
    <w:link w:val="Heading7"/>
    <w:uiPriority w:val="1"/>
    <w:rsid w:val="00994F93"/>
    <w:rPr>
      <w:rFonts w:ascii="Calibri" w:eastAsia="Calibri" w:hAnsi="Calibri"/>
      <w:lang w:val="lv-LV"/>
    </w:rPr>
  </w:style>
  <w:style w:type="character" w:customStyle="1" w:styleId="Heading8Char">
    <w:name w:val="Heading 8 Char"/>
    <w:basedOn w:val="DefaultParagraphFont"/>
    <w:link w:val="Heading8"/>
    <w:uiPriority w:val="1"/>
    <w:rsid w:val="00994F93"/>
    <w:rPr>
      <w:rFonts w:ascii="Arial" w:eastAsia="Arial" w:hAnsi="Arial"/>
      <w:b/>
      <w:bCs/>
      <w:sz w:val="20"/>
      <w:szCs w:val="20"/>
      <w:lang w:val="lv-LV"/>
    </w:rPr>
  </w:style>
  <w:style w:type="character" w:customStyle="1" w:styleId="Heading9Char">
    <w:name w:val="Heading 9 Char"/>
    <w:basedOn w:val="DefaultParagraphFont"/>
    <w:link w:val="Heading9"/>
    <w:uiPriority w:val="1"/>
    <w:rsid w:val="00994F93"/>
    <w:rPr>
      <w:rFonts w:ascii="Arial" w:eastAsia="Arial" w:hAnsi="Arial"/>
      <w:sz w:val="20"/>
      <w:szCs w:val="20"/>
      <w:lang w:val="lv-LV"/>
    </w:rPr>
  </w:style>
  <w:style w:type="paragraph" w:styleId="TOC1">
    <w:name w:val="toc 1"/>
    <w:basedOn w:val="Normal"/>
    <w:uiPriority w:val="39"/>
    <w:qFormat/>
    <w:rsid w:val="00994F93"/>
    <w:pPr>
      <w:spacing w:before="159"/>
      <w:ind w:left="1165" w:hanging="283"/>
    </w:pPr>
    <w:rPr>
      <w:rFonts w:ascii="Arial" w:eastAsia="Arial" w:hAnsi="Arial"/>
      <w:b/>
      <w:bCs/>
    </w:rPr>
  </w:style>
  <w:style w:type="paragraph" w:styleId="TOC2">
    <w:name w:val="toc 2"/>
    <w:basedOn w:val="Normal"/>
    <w:uiPriority w:val="39"/>
    <w:qFormat/>
    <w:rsid w:val="00994F93"/>
    <w:pPr>
      <w:spacing w:before="120"/>
      <w:ind w:left="882"/>
    </w:pPr>
    <w:rPr>
      <w:rFonts w:ascii="Arial" w:eastAsia="Arial" w:hAnsi="Arial"/>
      <w:b/>
      <w:bCs/>
      <w:sz w:val="19"/>
      <w:szCs w:val="19"/>
    </w:rPr>
  </w:style>
  <w:style w:type="paragraph" w:styleId="TOC3">
    <w:name w:val="toc 3"/>
    <w:basedOn w:val="Normal"/>
    <w:uiPriority w:val="39"/>
    <w:qFormat/>
    <w:rsid w:val="00994F93"/>
    <w:pPr>
      <w:spacing w:before="159"/>
      <w:ind w:left="1165" w:hanging="283"/>
    </w:pPr>
    <w:rPr>
      <w:rFonts w:ascii="Arial" w:eastAsia="Arial" w:hAnsi="Arial"/>
      <w:b/>
      <w:bCs/>
      <w:i/>
    </w:rPr>
  </w:style>
  <w:style w:type="paragraph" w:styleId="TOC4">
    <w:name w:val="toc 4"/>
    <w:basedOn w:val="Normal"/>
    <w:uiPriority w:val="39"/>
    <w:qFormat/>
    <w:rsid w:val="00994F93"/>
    <w:pPr>
      <w:spacing w:before="120"/>
      <w:ind w:left="1734" w:hanging="569"/>
    </w:pPr>
    <w:rPr>
      <w:rFonts w:ascii="Arial" w:eastAsia="Arial" w:hAnsi="Arial"/>
      <w:sz w:val="19"/>
      <w:szCs w:val="19"/>
    </w:rPr>
  </w:style>
  <w:style w:type="paragraph" w:styleId="TOC5">
    <w:name w:val="toc 5"/>
    <w:basedOn w:val="Normal"/>
    <w:uiPriority w:val="39"/>
    <w:qFormat/>
    <w:rsid w:val="00994F93"/>
    <w:pPr>
      <w:spacing w:before="120"/>
      <w:ind w:left="1734" w:hanging="569"/>
    </w:pPr>
    <w:rPr>
      <w:rFonts w:ascii="Arial" w:eastAsia="Arial" w:hAnsi="Arial"/>
      <w:b/>
      <w:bCs/>
      <w:i/>
    </w:rPr>
  </w:style>
  <w:style w:type="paragraph" w:styleId="BodyText">
    <w:name w:val="Body Text"/>
    <w:basedOn w:val="Normal"/>
    <w:link w:val="BodyTextChar"/>
    <w:uiPriority w:val="1"/>
    <w:qFormat/>
    <w:rsid w:val="00994F93"/>
    <w:pPr>
      <w:spacing w:before="112"/>
      <w:ind w:left="842" w:hanging="284"/>
    </w:pPr>
    <w:rPr>
      <w:rFonts w:ascii="Arial" w:eastAsia="Arial" w:hAnsi="Arial"/>
      <w:sz w:val="19"/>
      <w:szCs w:val="19"/>
    </w:rPr>
  </w:style>
  <w:style w:type="character" w:customStyle="1" w:styleId="BodyTextChar">
    <w:name w:val="Body Text Char"/>
    <w:basedOn w:val="DefaultParagraphFont"/>
    <w:link w:val="BodyText"/>
    <w:uiPriority w:val="1"/>
    <w:rsid w:val="00994F93"/>
    <w:rPr>
      <w:rFonts w:ascii="Arial" w:eastAsia="Arial" w:hAnsi="Arial"/>
      <w:sz w:val="19"/>
      <w:szCs w:val="19"/>
      <w:lang w:val="lv-LV"/>
    </w:rPr>
  </w:style>
  <w:style w:type="paragraph" w:styleId="ListParagraph">
    <w:name w:val="List Paragraph"/>
    <w:basedOn w:val="Normal"/>
    <w:uiPriority w:val="1"/>
    <w:qFormat/>
    <w:rsid w:val="00994F93"/>
  </w:style>
  <w:style w:type="paragraph" w:customStyle="1" w:styleId="TableParagraph">
    <w:name w:val="Table Paragraph"/>
    <w:basedOn w:val="Normal"/>
    <w:uiPriority w:val="1"/>
    <w:qFormat/>
    <w:rsid w:val="00994F93"/>
  </w:style>
  <w:style w:type="table" w:styleId="TableGrid">
    <w:name w:val="Table Grid"/>
    <w:basedOn w:val="TableNormal"/>
    <w:uiPriority w:val="39"/>
    <w:rsid w:val="00994F93"/>
    <w:pPr>
      <w:widowControl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994F93"/>
    <w:rPr>
      <w:sz w:val="20"/>
      <w:szCs w:val="20"/>
    </w:rPr>
  </w:style>
  <w:style w:type="character" w:customStyle="1" w:styleId="FootnoteTextChar">
    <w:name w:val="Footnote Text Char"/>
    <w:basedOn w:val="DefaultParagraphFont"/>
    <w:link w:val="FootnoteText"/>
    <w:uiPriority w:val="99"/>
    <w:semiHidden/>
    <w:rsid w:val="00994F93"/>
    <w:rPr>
      <w:sz w:val="20"/>
      <w:szCs w:val="20"/>
      <w:lang w:val="lv-LV"/>
    </w:rPr>
  </w:style>
  <w:style w:type="character" w:styleId="FootnoteReference">
    <w:name w:val="footnote reference"/>
    <w:basedOn w:val="DefaultParagraphFont"/>
    <w:uiPriority w:val="99"/>
    <w:semiHidden/>
    <w:unhideWhenUsed/>
    <w:rsid w:val="00994F93"/>
    <w:rPr>
      <w:vertAlign w:val="superscript"/>
    </w:rPr>
  </w:style>
  <w:style w:type="character" w:styleId="PageNumber">
    <w:name w:val="page number"/>
    <w:basedOn w:val="DefaultParagraphFont"/>
    <w:semiHidden/>
    <w:rsid w:val="001C4B02"/>
  </w:style>
  <w:style w:type="paragraph" w:styleId="BalloonText">
    <w:name w:val="Balloon Text"/>
    <w:basedOn w:val="Normal"/>
    <w:link w:val="BalloonTextChar"/>
    <w:uiPriority w:val="99"/>
    <w:semiHidden/>
    <w:unhideWhenUsed/>
    <w:rsid w:val="00B3743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743E"/>
    <w:rPr>
      <w:rFonts w:ascii="Segoe UI" w:hAnsi="Segoe UI" w:cs="Segoe UI"/>
      <w:sz w:val="18"/>
      <w:szCs w:val="18"/>
    </w:rPr>
  </w:style>
  <w:style w:type="paragraph" w:styleId="TOCHeading">
    <w:name w:val="TOC Heading"/>
    <w:basedOn w:val="Heading1"/>
    <w:next w:val="Normal"/>
    <w:uiPriority w:val="39"/>
    <w:unhideWhenUsed/>
    <w:qFormat/>
    <w:rsid w:val="00F5732C"/>
    <w:pPr>
      <w:keepNext/>
      <w:keepLines/>
      <w:widowControl/>
      <w:spacing w:before="240" w:line="259" w:lineRule="auto"/>
      <w:ind w:left="0"/>
      <w:outlineLvl w:val="9"/>
    </w:pPr>
    <w:rPr>
      <w:rFonts w:asciiTheme="majorHAnsi" w:eastAsiaTheme="majorEastAsia" w:hAnsiTheme="majorHAnsi" w:cstheme="majorBidi"/>
      <w:b w:val="0"/>
      <w:bCs w:val="0"/>
      <w:color w:val="2F5496" w:themeColor="accent1" w:themeShade="BF"/>
      <w:sz w:val="32"/>
      <w:szCs w:val="32"/>
      <w:lang w:eastAsia="lv-LV"/>
    </w:rPr>
  </w:style>
  <w:style w:type="paragraph" w:styleId="TOC6">
    <w:name w:val="toc 6"/>
    <w:basedOn w:val="Normal"/>
    <w:next w:val="Normal"/>
    <w:autoRedefine/>
    <w:uiPriority w:val="39"/>
    <w:unhideWhenUsed/>
    <w:rsid w:val="00F5732C"/>
    <w:pPr>
      <w:widowControl/>
      <w:spacing w:after="100" w:line="259" w:lineRule="auto"/>
      <w:ind w:left="1100"/>
    </w:pPr>
    <w:rPr>
      <w:rFonts w:eastAsiaTheme="minorEastAsia"/>
      <w:lang w:eastAsia="lv-LV"/>
    </w:rPr>
  </w:style>
  <w:style w:type="paragraph" w:styleId="TOC7">
    <w:name w:val="toc 7"/>
    <w:basedOn w:val="Normal"/>
    <w:next w:val="Normal"/>
    <w:autoRedefine/>
    <w:uiPriority w:val="39"/>
    <w:unhideWhenUsed/>
    <w:rsid w:val="00F5732C"/>
    <w:pPr>
      <w:widowControl/>
      <w:spacing w:after="100" w:line="259" w:lineRule="auto"/>
      <w:ind w:left="1320"/>
    </w:pPr>
    <w:rPr>
      <w:rFonts w:eastAsiaTheme="minorEastAsia"/>
      <w:lang w:eastAsia="lv-LV"/>
    </w:rPr>
  </w:style>
  <w:style w:type="paragraph" w:styleId="TOC8">
    <w:name w:val="toc 8"/>
    <w:basedOn w:val="Normal"/>
    <w:next w:val="Normal"/>
    <w:autoRedefine/>
    <w:uiPriority w:val="39"/>
    <w:unhideWhenUsed/>
    <w:rsid w:val="00F5732C"/>
    <w:pPr>
      <w:widowControl/>
      <w:spacing w:after="100" w:line="259" w:lineRule="auto"/>
      <w:ind w:left="1540"/>
    </w:pPr>
    <w:rPr>
      <w:rFonts w:eastAsiaTheme="minorEastAsia"/>
      <w:lang w:eastAsia="lv-LV"/>
    </w:rPr>
  </w:style>
  <w:style w:type="paragraph" w:styleId="TOC9">
    <w:name w:val="toc 9"/>
    <w:basedOn w:val="Normal"/>
    <w:next w:val="Normal"/>
    <w:autoRedefine/>
    <w:uiPriority w:val="39"/>
    <w:unhideWhenUsed/>
    <w:rsid w:val="00F5732C"/>
    <w:pPr>
      <w:widowControl/>
      <w:spacing w:after="100" w:line="259" w:lineRule="auto"/>
      <w:ind w:left="1760"/>
    </w:pPr>
    <w:rPr>
      <w:rFonts w:eastAsiaTheme="minorEastAsia"/>
      <w:lang w:eastAsia="lv-LV"/>
    </w:rPr>
  </w:style>
  <w:style w:type="character" w:styleId="Hyperlink">
    <w:name w:val="Hyperlink"/>
    <w:basedOn w:val="DefaultParagraphFont"/>
    <w:uiPriority w:val="99"/>
    <w:unhideWhenUsed/>
    <w:rsid w:val="00F5732C"/>
    <w:rPr>
      <w:color w:val="0563C1" w:themeColor="hyperlink"/>
      <w:u w:val="single"/>
    </w:rPr>
  </w:style>
  <w:style w:type="character" w:styleId="UnresolvedMention">
    <w:name w:val="Unresolved Mention"/>
    <w:basedOn w:val="DefaultParagraphFont"/>
    <w:uiPriority w:val="99"/>
    <w:semiHidden/>
    <w:unhideWhenUsed/>
    <w:rsid w:val="00F5732C"/>
    <w:rPr>
      <w:color w:val="605E5C"/>
      <w:shd w:val="clear" w:color="auto" w:fill="E1DFDD"/>
    </w:rPr>
  </w:style>
  <w:style w:type="character" w:styleId="CommentReference">
    <w:name w:val="annotation reference"/>
    <w:basedOn w:val="DefaultParagraphFont"/>
    <w:uiPriority w:val="99"/>
    <w:semiHidden/>
    <w:unhideWhenUsed/>
    <w:rsid w:val="005E2452"/>
    <w:rPr>
      <w:sz w:val="16"/>
      <w:szCs w:val="16"/>
    </w:rPr>
  </w:style>
  <w:style w:type="paragraph" w:styleId="CommentText">
    <w:name w:val="annotation text"/>
    <w:basedOn w:val="Normal"/>
    <w:link w:val="CommentTextChar"/>
    <w:uiPriority w:val="99"/>
    <w:semiHidden/>
    <w:unhideWhenUsed/>
    <w:rsid w:val="005E2452"/>
    <w:rPr>
      <w:sz w:val="20"/>
      <w:szCs w:val="20"/>
    </w:rPr>
  </w:style>
  <w:style w:type="character" w:customStyle="1" w:styleId="CommentTextChar">
    <w:name w:val="Comment Text Char"/>
    <w:basedOn w:val="DefaultParagraphFont"/>
    <w:link w:val="CommentText"/>
    <w:uiPriority w:val="99"/>
    <w:semiHidden/>
    <w:rsid w:val="005E2452"/>
    <w:rPr>
      <w:sz w:val="20"/>
      <w:szCs w:val="20"/>
    </w:rPr>
  </w:style>
  <w:style w:type="paragraph" w:styleId="CommentSubject">
    <w:name w:val="annotation subject"/>
    <w:basedOn w:val="CommentText"/>
    <w:next w:val="CommentText"/>
    <w:link w:val="CommentSubjectChar"/>
    <w:uiPriority w:val="99"/>
    <w:semiHidden/>
    <w:unhideWhenUsed/>
    <w:rsid w:val="005E2452"/>
    <w:rPr>
      <w:b/>
      <w:bCs/>
    </w:rPr>
  </w:style>
  <w:style w:type="character" w:customStyle="1" w:styleId="CommentSubjectChar">
    <w:name w:val="Comment Subject Char"/>
    <w:basedOn w:val="CommentTextChar"/>
    <w:link w:val="CommentSubject"/>
    <w:uiPriority w:val="99"/>
    <w:semiHidden/>
    <w:rsid w:val="005E245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7.png"/><Relationship Id="rId21" Type="http://schemas.openxmlformats.org/officeDocument/2006/relationships/image" Target="media/image11.emf"/><Relationship Id="rId42" Type="http://schemas.openxmlformats.org/officeDocument/2006/relationships/image" Target="media/image32.emf"/><Relationship Id="rId63" Type="http://schemas.openxmlformats.org/officeDocument/2006/relationships/image" Target="media/image53.emf"/><Relationship Id="rId84" Type="http://schemas.openxmlformats.org/officeDocument/2006/relationships/image" Target="media/image74.png"/><Relationship Id="rId138" Type="http://schemas.openxmlformats.org/officeDocument/2006/relationships/image" Target="media/image128.png"/><Relationship Id="rId159" Type="http://schemas.openxmlformats.org/officeDocument/2006/relationships/image" Target="media/image149.png"/><Relationship Id="rId170" Type="http://schemas.openxmlformats.org/officeDocument/2006/relationships/image" Target="media/image160.png"/><Relationship Id="rId107" Type="http://schemas.openxmlformats.org/officeDocument/2006/relationships/image" Target="media/image97.png"/><Relationship Id="rId11" Type="http://schemas.openxmlformats.org/officeDocument/2006/relationships/image" Target="media/image1.emf"/><Relationship Id="rId32" Type="http://schemas.openxmlformats.org/officeDocument/2006/relationships/image" Target="media/image22.emf"/><Relationship Id="rId53" Type="http://schemas.openxmlformats.org/officeDocument/2006/relationships/image" Target="media/image43.emf"/><Relationship Id="rId74" Type="http://schemas.openxmlformats.org/officeDocument/2006/relationships/image" Target="media/image64.png"/><Relationship Id="rId128" Type="http://schemas.openxmlformats.org/officeDocument/2006/relationships/image" Target="media/image118.png"/><Relationship Id="rId149" Type="http://schemas.openxmlformats.org/officeDocument/2006/relationships/image" Target="media/image139.emf"/><Relationship Id="rId5" Type="http://schemas.openxmlformats.org/officeDocument/2006/relationships/numbering" Target="numbering.xml"/><Relationship Id="rId95" Type="http://schemas.openxmlformats.org/officeDocument/2006/relationships/image" Target="media/image85.png"/><Relationship Id="rId160" Type="http://schemas.openxmlformats.org/officeDocument/2006/relationships/image" Target="media/image150.png"/><Relationship Id="rId22" Type="http://schemas.openxmlformats.org/officeDocument/2006/relationships/image" Target="media/image12.emf"/><Relationship Id="rId43" Type="http://schemas.openxmlformats.org/officeDocument/2006/relationships/image" Target="media/image33.emf"/><Relationship Id="rId64" Type="http://schemas.openxmlformats.org/officeDocument/2006/relationships/image" Target="media/image54.emf"/><Relationship Id="rId118" Type="http://schemas.openxmlformats.org/officeDocument/2006/relationships/image" Target="media/image108.png"/><Relationship Id="rId139" Type="http://schemas.openxmlformats.org/officeDocument/2006/relationships/image" Target="media/image129.png"/><Relationship Id="rId85" Type="http://schemas.openxmlformats.org/officeDocument/2006/relationships/image" Target="media/image75.png"/><Relationship Id="rId150" Type="http://schemas.openxmlformats.org/officeDocument/2006/relationships/image" Target="media/image140.emf"/><Relationship Id="rId171" Type="http://schemas.openxmlformats.org/officeDocument/2006/relationships/image" Target="media/image161.png"/><Relationship Id="rId12" Type="http://schemas.openxmlformats.org/officeDocument/2006/relationships/image" Target="media/image2.emf"/><Relationship Id="rId33" Type="http://schemas.openxmlformats.org/officeDocument/2006/relationships/image" Target="media/image23.emf"/><Relationship Id="rId108" Type="http://schemas.openxmlformats.org/officeDocument/2006/relationships/image" Target="media/image98.png"/><Relationship Id="rId129" Type="http://schemas.openxmlformats.org/officeDocument/2006/relationships/image" Target="media/image119.png"/><Relationship Id="rId54" Type="http://schemas.openxmlformats.org/officeDocument/2006/relationships/image" Target="media/image44.emf"/><Relationship Id="rId75" Type="http://schemas.openxmlformats.org/officeDocument/2006/relationships/image" Target="media/image65.png"/><Relationship Id="rId96" Type="http://schemas.openxmlformats.org/officeDocument/2006/relationships/image" Target="media/image86.png"/><Relationship Id="rId140" Type="http://schemas.openxmlformats.org/officeDocument/2006/relationships/image" Target="media/image130.png"/><Relationship Id="rId161" Type="http://schemas.openxmlformats.org/officeDocument/2006/relationships/image" Target="media/image151.png"/><Relationship Id="rId6" Type="http://schemas.openxmlformats.org/officeDocument/2006/relationships/styles" Target="styles.xml"/><Relationship Id="rId23" Type="http://schemas.openxmlformats.org/officeDocument/2006/relationships/image" Target="media/image13.emf"/><Relationship Id="rId28" Type="http://schemas.openxmlformats.org/officeDocument/2006/relationships/image" Target="media/image18.emf"/><Relationship Id="rId49" Type="http://schemas.openxmlformats.org/officeDocument/2006/relationships/image" Target="media/image39.emf"/><Relationship Id="rId114" Type="http://schemas.openxmlformats.org/officeDocument/2006/relationships/image" Target="media/image104.png"/><Relationship Id="rId119" Type="http://schemas.openxmlformats.org/officeDocument/2006/relationships/image" Target="media/image109.png"/><Relationship Id="rId44" Type="http://schemas.openxmlformats.org/officeDocument/2006/relationships/image" Target="media/image34.emf"/><Relationship Id="rId60" Type="http://schemas.openxmlformats.org/officeDocument/2006/relationships/image" Target="media/image50.emf"/><Relationship Id="rId65" Type="http://schemas.openxmlformats.org/officeDocument/2006/relationships/image" Target="media/image55.emf"/><Relationship Id="rId81" Type="http://schemas.openxmlformats.org/officeDocument/2006/relationships/image" Target="media/image71.png"/><Relationship Id="rId86" Type="http://schemas.openxmlformats.org/officeDocument/2006/relationships/image" Target="media/image76.png"/><Relationship Id="rId130" Type="http://schemas.openxmlformats.org/officeDocument/2006/relationships/image" Target="media/image120.png"/><Relationship Id="rId135" Type="http://schemas.openxmlformats.org/officeDocument/2006/relationships/image" Target="media/image125.png"/><Relationship Id="rId151" Type="http://schemas.openxmlformats.org/officeDocument/2006/relationships/image" Target="media/image141.emf"/><Relationship Id="rId156" Type="http://schemas.openxmlformats.org/officeDocument/2006/relationships/image" Target="media/image146.png"/><Relationship Id="rId177" Type="http://schemas.openxmlformats.org/officeDocument/2006/relationships/header" Target="header2.xml"/><Relationship Id="rId172" Type="http://schemas.openxmlformats.org/officeDocument/2006/relationships/image" Target="media/image162.png"/><Relationship Id="rId13" Type="http://schemas.openxmlformats.org/officeDocument/2006/relationships/image" Target="media/image3.emf"/><Relationship Id="rId18" Type="http://schemas.openxmlformats.org/officeDocument/2006/relationships/image" Target="media/image8.emf"/><Relationship Id="rId39" Type="http://schemas.openxmlformats.org/officeDocument/2006/relationships/image" Target="media/image29.emf"/><Relationship Id="rId109" Type="http://schemas.openxmlformats.org/officeDocument/2006/relationships/image" Target="media/image99.png"/><Relationship Id="rId34" Type="http://schemas.openxmlformats.org/officeDocument/2006/relationships/image" Target="media/image24.emf"/><Relationship Id="rId50" Type="http://schemas.openxmlformats.org/officeDocument/2006/relationships/image" Target="media/image40.emf"/><Relationship Id="rId55" Type="http://schemas.openxmlformats.org/officeDocument/2006/relationships/image" Target="media/image45.emf"/><Relationship Id="rId76" Type="http://schemas.openxmlformats.org/officeDocument/2006/relationships/image" Target="media/image66.png"/><Relationship Id="rId97" Type="http://schemas.openxmlformats.org/officeDocument/2006/relationships/image" Target="media/image87.png"/><Relationship Id="rId104" Type="http://schemas.openxmlformats.org/officeDocument/2006/relationships/image" Target="media/image94.png"/><Relationship Id="rId120" Type="http://schemas.openxmlformats.org/officeDocument/2006/relationships/image" Target="media/image110.png"/><Relationship Id="rId125" Type="http://schemas.openxmlformats.org/officeDocument/2006/relationships/image" Target="media/image115.png"/><Relationship Id="rId141" Type="http://schemas.openxmlformats.org/officeDocument/2006/relationships/image" Target="media/image131.png"/><Relationship Id="rId146" Type="http://schemas.openxmlformats.org/officeDocument/2006/relationships/image" Target="media/image136.png"/><Relationship Id="rId167" Type="http://schemas.openxmlformats.org/officeDocument/2006/relationships/image" Target="media/image157.png"/><Relationship Id="rId7" Type="http://schemas.openxmlformats.org/officeDocument/2006/relationships/settings" Target="settings.xml"/><Relationship Id="rId71" Type="http://schemas.openxmlformats.org/officeDocument/2006/relationships/image" Target="media/image61.png"/><Relationship Id="rId92" Type="http://schemas.openxmlformats.org/officeDocument/2006/relationships/image" Target="media/image82.png"/><Relationship Id="rId162" Type="http://schemas.openxmlformats.org/officeDocument/2006/relationships/image" Target="media/image152.png"/><Relationship Id="rId2" Type="http://schemas.openxmlformats.org/officeDocument/2006/relationships/customXml" Target="../customXml/item2.xml"/><Relationship Id="rId29" Type="http://schemas.openxmlformats.org/officeDocument/2006/relationships/image" Target="media/image19.emf"/><Relationship Id="rId24" Type="http://schemas.openxmlformats.org/officeDocument/2006/relationships/image" Target="media/image14.emf"/><Relationship Id="rId40" Type="http://schemas.openxmlformats.org/officeDocument/2006/relationships/image" Target="media/image30.emf"/><Relationship Id="rId45" Type="http://schemas.openxmlformats.org/officeDocument/2006/relationships/image" Target="media/image35.emf"/><Relationship Id="rId66" Type="http://schemas.openxmlformats.org/officeDocument/2006/relationships/image" Target="media/image56.emf"/><Relationship Id="rId87" Type="http://schemas.openxmlformats.org/officeDocument/2006/relationships/image" Target="media/image77.png"/><Relationship Id="rId110" Type="http://schemas.openxmlformats.org/officeDocument/2006/relationships/image" Target="media/image100.png"/><Relationship Id="rId115" Type="http://schemas.openxmlformats.org/officeDocument/2006/relationships/image" Target="media/image105.png"/><Relationship Id="rId131" Type="http://schemas.openxmlformats.org/officeDocument/2006/relationships/image" Target="media/image121.png"/><Relationship Id="rId136" Type="http://schemas.openxmlformats.org/officeDocument/2006/relationships/image" Target="media/image126.png"/><Relationship Id="rId157" Type="http://schemas.openxmlformats.org/officeDocument/2006/relationships/image" Target="media/image147.png"/><Relationship Id="rId178" Type="http://schemas.openxmlformats.org/officeDocument/2006/relationships/footer" Target="footer2.xml"/><Relationship Id="rId61" Type="http://schemas.openxmlformats.org/officeDocument/2006/relationships/image" Target="media/image51.emf"/><Relationship Id="rId82" Type="http://schemas.openxmlformats.org/officeDocument/2006/relationships/image" Target="media/image72.png"/><Relationship Id="rId152" Type="http://schemas.openxmlformats.org/officeDocument/2006/relationships/image" Target="media/image142.emf"/><Relationship Id="rId173" Type="http://schemas.openxmlformats.org/officeDocument/2006/relationships/image" Target="media/image163.png"/><Relationship Id="rId19" Type="http://schemas.openxmlformats.org/officeDocument/2006/relationships/image" Target="media/image9.emf"/><Relationship Id="rId14" Type="http://schemas.openxmlformats.org/officeDocument/2006/relationships/image" Target="media/image4.emf"/><Relationship Id="rId30" Type="http://schemas.openxmlformats.org/officeDocument/2006/relationships/image" Target="media/image20.emf"/><Relationship Id="rId35" Type="http://schemas.openxmlformats.org/officeDocument/2006/relationships/image" Target="media/image25.emf"/><Relationship Id="rId56" Type="http://schemas.openxmlformats.org/officeDocument/2006/relationships/image" Target="media/image46.emf"/><Relationship Id="rId77" Type="http://schemas.openxmlformats.org/officeDocument/2006/relationships/image" Target="media/image67.png"/><Relationship Id="rId100" Type="http://schemas.openxmlformats.org/officeDocument/2006/relationships/image" Target="media/image90.png"/><Relationship Id="rId105" Type="http://schemas.openxmlformats.org/officeDocument/2006/relationships/image" Target="media/image95.png"/><Relationship Id="rId126" Type="http://schemas.openxmlformats.org/officeDocument/2006/relationships/image" Target="media/image116.png"/><Relationship Id="rId147" Type="http://schemas.openxmlformats.org/officeDocument/2006/relationships/image" Target="media/image137.png"/><Relationship Id="rId168" Type="http://schemas.openxmlformats.org/officeDocument/2006/relationships/image" Target="media/image158.png"/><Relationship Id="rId8" Type="http://schemas.openxmlformats.org/officeDocument/2006/relationships/webSettings" Target="webSettings.xml"/><Relationship Id="rId51" Type="http://schemas.openxmlformats.org/officeDocument/2006/relationships/image" Target="media/image41.emf"/><Relationship Id="rId72" Type="http://schemas.openxmlformats.org/officeDocument/2006/relationships/image" Target="media/image62.png"/><Relationship Id="rId93" Type="http://schemas.openxmlformats.org/officeDocument/2006/relationships/image" Target="media/image83.png"/><Relationship Id="rId98" Type="http://schemas.openxmlformats.org/officeDocument/2006/relationships/image" Target="media/image88.png"/><Relationship Id="rId121" Type="http://schemas.openxmlformats.org/officeDocument/2006/relationships/image" Target="media/image111.png"/><Relationship Id="rId142" Type="http://schemas.openxmlformats.org/officeDocument/2006/relationships/image" Target="media/image132.png"/><Relationship Id="rId163" Type="http://schemas.openxmlformats.org/officeDocument/2006/relationships/image" Target="media/image153.png"/><Relationship Id="rId3" Type="http://schemas.openxmlformats.org/officeDocument/2006/relationships/customXml" Target="../customXml/item3.xml"/><Relationship Id="rId25" Type="http://schemas.openxmlformats.org/officeDocument/2006/relationships/image" Target="media/image15.emf"/><Relationship Id="rId46" Type="http://schemas.openxmlformats.org/officeDocument/2006/relationships/image" Target="media/image36.emf"/><Relationship Id="rId67" Type="http://schemas.openxmlformats.org/officeDocument/2006/relationships/image" Target="media/image57.emf"/><Relationship Id="rId116" Type="http://schemas.openxmlformats.org/officeDocument/2006/relationships/image" Target="media/image106.png"/><Relationship Id="rId137" Type="http://schemas.openxmlformats.org/officeDocument/2006/relationships/image" Target="media/image127.png"/><Relationship Id="rId158" Type="http://schemas.openxmlformats.org/officeDocument/2006/relationships/image" Target="media/image148.png"/><Relationship Id="rId20" Type="http://schemas.openxmlformats.org/officeDocument/2006/relationships/image" Target="media/image10.emf"/><Relationship Id="rId41" Type="http://schemas.openxmlformats.org/officeDocument/2006/relationships/image" Target="media/image31.emf"/><Relationship Id="rId62" Type="http://schemas.openxmlformats.org/officeDocument/2006/relationships/image" Target="media/image52.emf"/><Relationship Id="rId83" Type="http://schemas.openxmlformats.org/officeDocument/2006/relationships/image" Target="media/image73.png"/><Relationship Id="rId88" Type="http://schemas.openxmlformats.org/officeDocument/2006/relationships/image" Target="media/image78.png"/><Relationship Id="rId111" Type="http://schemas.openxmlformats.org/officeDocument/2006/relationships/image" Target="media/image101.png"/><Relationship Id="rId132" Type="http://schemas.openxmlformats.org/officeDocument/2006/relationships/image" Target="media/image122.png"/><Relationship Id="rId153" Type="http://schemas.openxmlformats.org/officeDocument/2006/relationships/image" Target="media/image143.emf"/><Relationship Id="rId174" Type="http://schemas.openxmlformats.org/officeDocument/2006/relationships/image" Target="media/image164.emf"/><Relationship Id="rId179" Type="http://schemas.openxmlformats.org/officeDocument/2006/relationships/fontTable" Target="fontTable.xml"/><Relationship Id="rId15" Type="http://schemas.openxmlformats.org/officeDocument/2006/relationships/image" Target="media/image5.emf"/><Relationship Id="rId36" Type="http://schemas.openxmlformats.org/officeDocument/2006/relationships/image" Target="media/image26.emf"/><Relationship Id="rId57" Type="http://schemas.openxmlformats.org/officeDocument/2006/relationships/image" Target="media/image47.emf"/><Relationship Id="rId106" Type="http://schemas.openxmlformats.org/officeDocument/2006/relationships/image" Target="media/image96.png"/><Relationship Id="rId127" Type="http://schemas.openxmlformats.org/officeDocument/2006/relationships/image" Target="media/image117.png"/><Relationship Id="rId10" Type="http://schemas.openxmlformats.org/officeDocument/2006/relationships/endnotes" Target="endnotes.xml"/><Relationship Id="rId31" Type="http://schemas.openxmlformats.org/officeDocument/2006/relationships/image" Target="media/image21.png"/><Relationship Id="rId52" Type="http://schemas.openxmlformats.org/officeDocument/2006/relationships/image" Target="media/image42.emf"/><Relationship Id="rId73" Type="http://schemas.openxmlformats.org/officeDocument/2006/relationships/image" Target="media/image63.png"/><Relationship Id="rId78" Type="http://schemas.openxmlformats.org/officeDocument/2006/relationships/image" Target="media/image68.png"/><Relationship Id="rId94" Type="http://schemas.openxmlformats.org/officeDocument/2006/relationships/image" Target="media/image84.png"/><Relationship Id="rId99" Type="http://schemas.openxmlformats.org/officeDocument/2006/relationships/image" Target="media/image89.png"/><Relationship Id="rId101" Type="http://schemas.openxmlformats.org/officeDocument/2006/relationships/image" Target="media/image91.png"/><Relationship Id="rId122" Type="http://schemas.openxmlformats.org/officeDocument/2006/relationships/image" Target="media/image112.png"/><Relationship Id="rId143" Type="http://schemas.openxmlformats.org/officeDocument/2006/relationships/image" Target="media/image133.png"/><Relationship Id="rId148" Type="http://schemas.openxmlformats.org/officeDocument/2006/relationships/image" Target="media/image138.png"/><Relationship Id="rId164" Type="http://schemas.openxmlformats.org/officeDocument/2006/relationships/image" Target="media/image154.png"/><Relationship Id="rId169" Type="http://schemas.openxmlformats.org/officeDocument/2006/relationships/image" Target="media/image159.png"/><Relationship Id="rId4" Type="http://schemas.openxmlformats.org/officeDocument/2006/relationships/customXml" Target="../customXml/item4.xml"/><Relationship Id="rId9" Type="http://schemas.openxmlformats.org/officeDocument/2006/relationships/footnotes" Target="footnotes.xml"/><Relationship Id="rId180" Type="http://schemas.openxmlformats.org/officeDocument/2006/relationships/theme" Target="theme/theme1.xml"/><Relationship Id="rId26" Type="http://schemas.openxmlformats.org/officeDocument/2006/relationships/image" Target="media/image16.emf"/><Relationship Id="rId47" Type="http://schemas.openxmlformats.org/officeDocument/2006/relationships/image" Target="media/image37.emf"/><Relationship Id="rId68" Type="http://schemas.openxmlformats.org/officeDocument/2006/relationships/image" Target="media/image58.emf"/><Relationship Id="rId89" Type="http://schemas.openxmlformats.org/officeDocument/2006/relationships/image" Target="media/image79.png"/><Relationship Id="rId112" Type="http://schemas.openxmlformats.org/officeDocument/2006/relationships/image" Target="media/image102.png"/><Relationship Id="rId133" Type="http://schemas.openxmlformats.org/officeDocument/2006/relationships/image" Target="media/image123.png"/><Relationship Id="rId154" Type="http://schemas.openxmlformats.org/officeDocument/2006/relationships/image" Target="media/image144.emf"/><Relationship Id="rId175" Type="http://schemas.openxmlformats.org/officeDocument/2006/relationships/header" Target="header1.xml"/><Relationship Id="rId16" Type="http://schemas.openxmlformats.org/officeDocument/2006/relationships/image" Target="media/image6.emf"/><Relationship Id="rId37" Type="http://schemas.openxmlformats.org/officeDocument/2006/relationships/image" Target="media/image27.emf"/><Relationship Id="rId58" Type="http://schemas.openxmlformats.org/officeDocument/2006/relationships/image" Target="media/image48.emf"/><Relationship Id="rId79" Type="http://schemas.openxmlformats.org/officeDocument/2006/relationships/image" Target="media/image69.png"/><Relationship Id="rId102" Type="http://schemas.openxmlformats.org/officeDocument/2006/relationships/image" Target="media/image92.png"/><Relationship Id="rId123" Type="http://schemas.openxmlformats.org/officeDocument/2006/relationships/image" Target="media/image113.png"/><Relationship Id="rId144" Type="http://schemas.openxmlformats.org/officeDocument/2006/relationships/image" Target="media/image134.png"/><Relationship Id="rId90" Type="http://schemas.openxmlformats.org/officeDocument/2006/relationships/image" Target="media/image80.png"/><Relationship Id="rId165" Type="http://schemas.openxmlformats.org/officeDocument/2006/relationships/image" Target="media/image155.png"/><Relationship Id="rId27" Type="http://schemas.openxmlformats.org/officeDocument/2006/relationships/image" Target="media/image17.emf"/><Relationship Id="rId48" Type="http://schemas.openxmlformats.org/officeDocument/2006/relationships/image" Target="media/image38.emf"/><Relationship Id="rId69" Type="http://schemas.openxmlformats.org/officeDocument/2006/relationships/image" Target="media/image59.emf"/><Relationship Id="rId113" Type="http://schemas.openxmlformats.org/officeDocument/2006/relationships/image" Target="media/image103.png"/><Relationship Id="rId134" Type="http://schemas.openxmlformats.org/officeDocument/2006/relationships/image" Target="media/image124.png"/><Relationship Id="rId80" Type="http://schemas.openxmlformats.org/officeDocument/2006/relationships/image" Target="media/image70.png"/><Relationship Id="rId155" Type="http://schemas.openxmlformats.org/officeDocument/2006/relationships/image" Target="media/image145.png"/><Relationship Id="rId176" Type="http://schemas.openxmlformats.org/officeDocument/2006/relationships/footer" Target="footer1.xml"/><Relationship Id="rId17" Type="http://schemas.openxmlformats.org/officeDocument/2006/relationships/image" Target="media/image7.emf"/><Relationship Id="rId38" Type="http://schemas.openxmlformats.org/officeDocument/2006/relationships/image" Target="media/image28.emf"/><Relationship Id="rId59" Type="http://schemas.openxmlformats.org/officeDocument/2006/relationships/image" Target="media/image49.emf"/><Relationship Id="rId103" Type="http://schemas.openxmlformats.org/officeDocument/2006/relationships/image" Target="media/image93.png"/><Relationship Id="rId124" Type="http://schemas.openxmlformats.org/officeDocument/2006/relationships/image" Target="media/image114.png"/><Relationship Id="rId70" Type="http://schemas.openxmlformats.org/officeDocument/2006/relationships/image" Target="media/image60.png"/><Relationship Id="rId91" Type="http://schemas.openxmlformats.org/officeDocument/2006/relationships/image" Target="media/image81.png"/><Relationship Id="rId145" Type="http://schemas.openxmlformats.org/officeDocument/2006/relationships/image" Target="media/image135.png"/><Relationship Id="rId166" Type="http://schemas.openxmlformats.org/officeDocument/2006/relationships/image" Target="media/image156.png"/><Relationship Id="rId1"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8" ma:contentTypeDescription="Izveidot jaunu dokumentu." ma:contentTypeScope="" ma:versionID="38255f5ef405f350c8f803e41a661b77">
  <xsd:schema xmlns:xsd="http://www.w3.org/2001/XMLSchema" xmlns:xs="http://www.w3.org/2001/XMLSchema" xmlns:p="http://schemas.microsoft.com/office/2006/metadata/properties" xmlns:ns2="1d57a815-79e8-498e-8f04-9c2e9221b678" targetNamespace="http://schemas.microsoft.com/office/2006/metadata/properties" ma:root="true" ma:fieldsID="848929c235a99b6ed80ff1a960403283" ns2:_="">
    <xsd:import namespace="1d57a815-79e8-498e-8f04-9c2e9221b67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DAB8F48-8DF9-47E9-BD15-00D66A1702FF}">
  <ds:schemaRefs>
    <ds:schemaRef ds:uri="http://schemas.openxmlformats.org/officeDocument/2006/bibliography"/>
  </ds:schemaRefs>
</ds:datastoreItem>
</file>

<file path=customXml/itemProps2.xml><?xml version="1.0" encoding="utf-8"?>
<ds:datastoreItem xmlns:ds="http://schemas.openxmlformats.org/officeDocument/2006/customXml" ds:itemID="{1C1811D2-A28C-4620-86CD-7C7B37C6FD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57a815-79e8-498e-8f04-9c2e9221b6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3EB1DF3-E29D-4858-90ED-A10EBD26FE3F}">
  <ds:schemaRefs>
    <ds:schemaRef ds:uri="http://schemas.microsoft.com/sharepoint/v3/contenttype/forms"/>
  </ds:schemaRefs>
</ds:datastoreItem>
</file>

<file path=customXml/itemProps4.xml><?xml version="1.0" encoding="utf-8"?>
<ds:datastoreItem xmlns:ds="http://schemas.openxmlformats.org/officeDocument/2006/customXml" ds:itemID="{AE952774-40AA-40D7-8E40-AED48A938D3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458</Pages>
  <Words>692207</Words>
  <Characters>394559</Characters>
  <Application>Microsoft Office Word</Application>
  <DocSecurity>0</DocSecurity>
  <Lines>3287</Lines>
  <Paragraphs>2169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1084597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2021-03-25T09:27:00Z</dcterms:created>
  <dcterms:modified xsi:type="dcterms:W3CDTF">2021-07-06T10:44:00Z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y fmtid="{D5CDD505-2E9C-101B-9397-08002B2CF9AE}" pid="3" name="Order">
    <vt:r8>69400</vt:r8>
  </property>
</Properties>
</file>