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732E4" w14:textId="7BB75B79" w:rsidR="00994F93" w:rsidRPr="00B03B51" w:rsidRDefault="00994F93" w:rsidP="00994F93">
      <w:pPr>
        <w:jc w:val="both"/>
        <w:rPr>
          <w:rFonts w:ascii="Times New Roman" w:eastAsia="Times New Roman" w:hAnsi="Times New Roman" w:cs="Times New Roman"/>
          <w:noProof/>
          <w:sz w:val="24"/>
          <w:szCs w:val="20"/>
        </w:rPr>
      </w:pPr>
    </w:p>
    <w:p w14:paraId="443D2A44" w14:textId="79414EAE" w:rsidR="00B3743E" w:rsidRPr="00B03B51" w:rsidRDefault="00B3743E" w:rsidP="00332EA9">
      <w:pPr>
        <w:jc w:val="center"/>
        <w:rPr>
          <w:rFonts w:ascii="Times New Roman" w:eastAsia="Times New Roman" w:hAnsi="Times New Roman" w:cs="Times New Roman"/>
          <w:noProof/>
          <w:sz w:val="24"/>
          <w:szCs w:val="20"/>
        </w:rPr>
      </w:pPr>
      <w:r w:rsidRPr="00B03B51">
        <w:rPr>
          <w:rFonts w:ascii="Times New Roman" w:eastAsia="Times New Roman" w:hAnsi="Times New Roman" w:cs="Times New Roman"/>
          <w:noProof/>
          <w:sz w:val="24"/>
          <w:szCs w:val="20"/>
        </w:rPr>
        <w:drawing>
          <wp:inline distT="0" distB="0" distL="0" distR="0" wp14:anchorId="71A8D6EE" wp14:editId="480D3FC8">
            <wp:extent cx="5760085" cy="81711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71180"/>
                    </a:xfrm>
                    <a:prstGeom prst="rect">
                      <a:avLst/>
                    </a:prstGeom>
                    <a:noFill/>
                    <a:ln>
                      <a:noFill/>
                    </a:ln>
                  </pic:spPr>
                </pic:pic>
              </a:graphicData>
            </a:graphic>
          </wp:inline>
        </w:drawing>
      </w:r>
    </w:p>
    <w:p w14:paraId="15F7EE45" w14:textId="77777777" w:rsidR="00994F93" w:rsidRPr="00B03B51" w:rsidRDefault="00994F93" w:rsidP="00994F93">
      <w:pPr>
        <w:jc w:val="both"/>
        <w:rPr>
          <w:rFonts w:ascii="Times New Roman" w:eastAsia="Times New Roman" w:hAnsi="Times New Roman" w:cs="Times New Roman"/>
          <w:noProof/>
          <w:sz w:val="24"/>
          <w:szCs w:val="17"/>
        </w:rPr>
      </w:pPr>
    </w:p>
    <w:p w14:paraId="637C808A" w14:textId="77777777" w:rsidR="00994F93" w:rsidRPr="00B03B51" w:rsidRDefault="00994F93" w:rsidP="00994F93">
      <w:pPr>
        <w:rPr>
          <w:rFonts w:ascii="Times New Roman" w:eastAsia="Times New Roman" w:hAnsi="Times New Roman" w:cs="Times New Roman"/>
          <w:noProof/>
          <w:sz w:val="24"/>
          <w:szCs w:val="20"/>
        </w:rPr>
      </w:pPr>
      <w:r w:rsidRPr="00B03B51">
        <w:rPr>
          <w:rFonts w:ascii="Times New Roman" w:hAnsi="Times New Roman" w:cs="Times New Roman"/>
        </w:rPr>
        <w:br w:type="page"/>
      </w:r>
    </w:p>
    <w:p w14:paraId="3A5C262B" w14:textId="2B39D67A" w:rsidR="00994F93" w:rsidRPr="00B03B51" w:rsidRDefault="00994F93" w:rsidP="00994F93">
      <w:pPr>
        <w:jc w:val="both"/>
        <w:rPr>
          <w:rFonts w:ascii="Times New Roman" w:eastAsia="Times New Roman" w:hAnsi="Times New Roman" w:cs="Times New Roman"/>
          <w:noProof/>
          <w:sz w:val="24"/>
          <w:szCs w:val="20"/>
        </w:rPr>
      </w:pPr>
    </w:p>
    <w:p w14:paraId="64E5CACE" w14:textId="26A1371A" w:rsidR="00CF0893" w:rsidRPr="00B03B51" w:rsidRDefault="00CF0893" w:rsidP="00994F93">
      <w:pPr>
        <w:jc w:val="both"/>
        <w:rPr>
          <w:rFonts w:ascii="Times New Roman" w:eastAsia="Times New Roman" w:hAnsi="Times New Roman" w:cs="Times New Roman"/>
          <w:noProof/>
          <w:sz w:val="24"/>
          <w:szCs w:val="20"/>
        </w:rPr>
      </w:pPr>
    </w:p>
    <w:p w14:paraId="11CB98F2" w14:textId="4AB72DBE" w:rsidR="00332EA9" w:rsidRPr="00B03B51" w:rsidRDefault="00332EA9" w:rsidP="00994F93">
      <w:pPr>
        <w:jc w:val="both"/>
        <w:rPr>
          <w:rFonts w:ascii="Times New Roman" w:eastAsia="Times New Roman" w:hAnsi="Times New Roman" w:cs="Times New Roman"/>
          <w:noProof/>
          <w:sz w:val="24"/>
          <w:szCs w:val="20"/>
        </w:rPr>
      </w:pPr>
    </w:p>
    <w:p w14:paraId="7062A3D8" w14:textId="77777777" w:rsidR="00332EA9" w:rsidRPr="00B03B51" w:rsidRDefault="00332EA9" w:rsidP="00994F93">
      <w:pPr>
        <w:jc w:val="both"/>
        <w:rPr>
          <w:rFonts w:ascii="Times New Roman" w:eastAsia="Times New Roman" w:hAnsi="Times New Roman" w:cs="Times New Roman"/>
          <w:noProof/>
          <w:sz w:val="24"/>
          <w:szCs w:val="20"/>
        </w:rPr>
      </w:pPr>
    </w:p>
    <w:p w14:paraId="2C062783" w14:textId="77777777" w:rsidR="00CF0893" w:rsidRPr="00B03B51" w:rsidRDefault="00CF0893" w:rsidP="00994F93">
      <w:pPr>
        <w:jc w:val="both"/>
        <w:rPr>
          <w:rFonts w:ascii="Times New Roman" w:eastAsia="Times New Roman" w:hAnsi="Times New Roman" w:cs="Times New Roman"/>
          <w:noProof/>
          <w:sz w:val="24"/>
          <w:szCs w:val="20"/>
        </w:rPr>
      </w:pPr>
    </w:p>
    <w:p w14:paraId="0C02EF3B" w14:textId="67A05A9C" w:rsidR="00CF0893" w:rsidRPr="00B03B51" w:rsidRDefault="00CF0893" w:rsidP="00994F93">
      <w:pPr>
        <w:jc w:val="both"/>
        <w:rPr>
          <w:rFonts w:ascii="Times New Roman" w:eastAsia="Times New Roman" w:hAnsi="Times New Roman" w:cs="Times New Roman"/>
          <w:noProof/>
          <w:sz w:val="24"/>
          <w:szCs w:val="20"/>
        </w:rPr>
      </w:pPr>
    </w:p>
    <w:p w14:paraId="0DC10B03" w14:textId="41D01AA0" w:rsidR="00CF0893" w:rsidRPr="00B03B51" w:rsidRDefault="00CF0893" w:rsidP="00994F93">
      <w:pPr>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0"/>
        <w:gridCol w:w="4531"/>
      </w:tblGrid>
      <w:tr w:rsidR="00CF0893" w:rsidRPr="00B03B51" w14:paraId="7902D293" w14:textId="77777777" w:rsidTr="00CF0893">
        <w:tc>
          <w:tcPr>
            <w:tcW w:w="4530" w:type="dxa"/>
            <w:tcBorders>
              <w:right w:val="single" w:sz="4" w:space="0" w:color="auto"/>
            </w:tcBorders>
          </w:tcPr>
          <w:p w14:paraId="06CC467C" w14:textId="2DB7BCB8" w:rsidR="00CF0893" w:rsidRPr="00B03B51" w:rsidRDefault="00CF0893" w:rsidP="00CF0893">
            <w:pPr>
              <w:jc w:val="right"/>
              <w:rPr>
                <w:rFonts w:ascii="Times New Roman" w:eastAsia="Times New Roman" w:hAnsi="Times New Roman" w:cs="Times New Roman"/>
                <w:b/>
                <w:bCs/>
                <w:noProof/>
                <w:sz w:val="24"/>
                <w:szCs w:val="20"/>
              </w:rPr>
            </w:pPr>
            <w:r w:rsidRPr="00B03B51">
              <w:rPr>
                <w:rFonts w:ascii="Times New Roman" w:hAnsi="Times New Roman" w:cs="Times New Roman"/>
                <w:b/>
                <w:bCs/>
                <w:sz w:val="40"/>
                <w:szCs w:val="32"/>
              </w:rPr>
              <w:t>Valdības budžeta deficīta un parāda rokasgrāmata</w:t>
            </w:r>
          </w:p>
        </w:tc>
        <w:tc>
          <w:tcPr>
            <w:tcW w:w="4531" w:type="dxa"/>
            <w:tcBorders>
              <w:left w:val="single" w:sz="4" w:space="0" w:color="auto"/>
            </w:tcBorders>
          </w:tcPr>
          <w:p w14:paraId="65B8AE47" w14:textId="77777777" w:rsidR="00CF0893" w:rsidRPr="00B03B51" w:rsidRDefault="00CF0893" w:rsidP="00994F93">
            <w:pPr>
              <w:jc w:val="both"/>
              <w:rPr>
                <w:rFonts w:ascii="Times New Roman" w:eastAsia="Times New Roman" w:hAnsi="Times New Roman" w:cs="Times New Roman"/>
                <w:noProof/>
                <w:sz w:val="28"/>
              </w:rPr>
            </w:pPr>
          </w:p>
        </w:tc>
      </w:tr>
      <w:tr w:rsidR="00CF0893" w:rsidRPr="00B03B51" w14:paraId="48379174" w14:textId="77777777" w:rsidTr="00CF0893">
        <w:tc>
          <w:tcPr>
            <w:tcW w:w="4530" w:type="dxa"/>
            <w:tcBorders>
              <w:right w:val="single" w:sz="4" w:space="0" w:color="auto"/>
            </w:tcBorders>
          </w:tcPr>
          <w:p w14:paraId="7C554A1C" w14:textId="25B75798" w:rsidR="00CF0893" w:rsidRPr="00B03B51" w:rsidRDefault="00CF0893" w:rsidP="00CF0893">
            <w:pPr>
              <w:jc w:val="right"/>
              <w:rPr>
                <w:rFonts w:ascii="Times New Roman" w:eastAsia="Times New Roman" w:hAnsi="Times New Roman" w:cs="Times New Roman"/>
                <w:b/>
                <w:bCs/>
                <w:noProof/>
                <w:sz w:val="28"/>
              </w:rPr>
            </w:pPr>
            <w:r w:rsidRPr="00B03B51">
              <w:rPr>
                <w:rFonts w:ascii="Times New Roman" w:hAnsi="Times New Roman" w:cs="Times New Roman"/>
                <w:b/>
                <w:bCs/>
                <w:sz w:val="28"/>
              </w:rPr>
              <w:t>EKS 2010 ĪSTENOŠANA</w:t>
            </w:r>
          </w:p>
        </w:tc>
        <w:tc>
          <w:tcPr>
            <w:tcW w:w="4531" w:type="dxa"/>
            <w:tcBorders>
              <w:left w:val="single" w:sz="4" w:space="0" w:color="auto"/>
            </w:tcBorders>
          </w:tcPr>
          <w:p w14:paraId="6F0905FC" w14:textId="642667E6" w:rsidR="00CF0893" w:rsidRPr="00B03B51" w:rsidRDefault="00CF0893" w:rsidP="00994F93">
            <w:pPr>
              <w:jc w:val="both"/>
              <w:rPr>
                <w:rFonts w:ascii="Times New Roman" w:eastAsia="Times New Roman" w:hAnsi="Times New Roman" w:cs="Times New Roman"/>
                <w:b/>
                <w:bCs/>
                <w:noProof/>
                <w:sz w:val="28"/>
              </w:rPr>
            </w:pPr>
            <w:r w:rsidRPr="00B03B51">
              <w:rPr>
                <w:rFonts w:ascii="Times New Roman" w:hAnsi="Times New Roman" w:cs="Times New Roman"/>
                <w:b/>
                <w:bCs/>
                <w:sz w:val="28"/>
              </w:rPr>
              <w:t>2019. gada izdevums</w:t>
            </w:r>
          </w:p>
        </w:tc>
      </w:tr>
    </w:tbl>
    <w:p w14:paraId="7AC4161A" w14:textId="77777777" w:rsidR="00994F93" w:rsidRPr="00B03B51" w:rsidRDefault="00994F93" w:rsidP="00994F93">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4F90E046" w14:textId="411C963D" w:rsidR="00994F93" w:rsidRPr="00B03B51" w:rsidRDefault="00994F93" w:rsidP="00994F93">
      <w:pPr>
        <w:tabs>
          <w:tab w:val="left" w:pos="3585"/>
        </w:tabs>
        <w:jc w:val="both"/>
        <w:rPr>
          <w:rFonts w:ascii="Times New Roman" w:eastAsia="Arial" w:hAnsi="Times New Roman" w:cs="Times New Roman"/>
          <w:b/>
          <w:bCs/>
          <w:noProof/>
          <w:sz w:val="24"/>
          <w:szCs w:val="20"/>
        </w:rPr>
      </w:pPr>
    </w:p>
    <w:p w14:paraId="00BC79C1" w14:textId="5997A18D"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291D8028" w14:textId="6BCA4CFB"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4AF819D7" w14:textId="2B04333C"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5B2E4E60" w14:textId="1A81A0F4"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7A086F94" w14:textId="30AD70C9"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08CC97C7" w14:textId="2BE76F15"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689D3E89" w14:textId="7374F9AA"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699ADE2D" w14:textId="754A4214"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3CD60263" w14:textId="79265306"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4E4BFCD3" w14:textId="542EF701"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28C6BEBA" w14:textId="6B8FA57B"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00CC5D91" w14:textId="3B2E3D25"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77EC9A7E" w14:textId="4AEFC836"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6BE0A3F2" w14:textId="23FE5D12"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70455394" w14:textId="2EA43F04"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6E1245CE" w14:textId="4E0CE95E"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6061ACF6" w14:textId="1E355633"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7F38AD87" w14:textId="3C660D6D"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321DF254" w14:textId="41E6514A"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3BC95661" w14:textId="3603A08E"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44332ED8" w14:textId="7A98E457"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1DD1D00C" w14:textId="77777777" w:rsidR="00CF0893" w:rsidRPr="00B03B51" w:rsidRDefault="00CF0893" w:rsidP="00994F93">
      <w:pPr>
        <w:tabs>
          <w:tab w:val="left" w:pos="3585"/>
        </w:tabs>
        <w:jc w:val="both"/>
        <w:rPr>
          <w:rFonts w:ascii="Times New Roman" w:eastAsia="Arial" w:hAnsi="Times New Roman" w:cs="Times New Roman"/>
          <w:b/>
          <w:bCs/>
          <w:noProof/>
          <w:sz w:val="24"/>
          <w:szCs w:val="20"/>
        </w:rPr>
      </w:pPr>
    </w:p>
    <w:p w14:paraId="03F8CEF3" w14:textId="13347CCC" w:rsidR="00994F93" w:rsidRPr="00B03B51" w:rsidRDefault="00994F93" w:rsidP="00994F93">
      <w:pPr>
        <w:jc w:val="both"/>
        <w:rPr>
          <w:rFonts w:ascii="Times New Roman" w:eastAsia="Arial" w:hAnsi="Times New Roman" w:cs="Times New Roman"/>
          <w:b/>
          <w:bCs/>
          <w:noProof/>
          <w:sz w:val="20"/>
          <w:szCs w:val="20"/>
        </w:rPr>
      </w:pPr>
    </w:p>
    <w:p w14:paraId="5FA4642A" w14:textId="40A39917" w:rsidR="00332EA9" w:rsidRPr="00B03B51" w:rsidRDefault="00332EA9" w:rsidP="00994F93">
      <w:pPr>
        <w:jc w:val="both"/>
        <w:rPr>
          <w:rFonts w:ascii="Times New Roman" w:eastAsia="Arial" w:hAnsi="Times New Roman" w:cs="Times New Roman"/>
          <w:b/>
          <w:bCs/>
          <w:noProof/>
          <w:sz w:val="20"/>
          <w:szCs w:val="20"/>
        </w:rPr>
      </w:pPr>
    </w:p>
    <w:p w14:paraId="5F34EE88" w14:textId="0CAFB5D2" w:rsidR="00332EA9" w:rsidRPr="00B03B51" w:rsidRDefault="00332EA9" w:rsidP="00994F93">
      <w:pPr>
        <w:jc w:val="both"/>
        <w:rPr>
          <w:rFonts w:ascii="Times New Roman" w:eastAsia="Arial" w:hAnsi="Times New Roman" w:cs="Times New Roman"/>
          <w:b/>
          <w:bCs/>
          <w:noProof/>
          <w:sz w:val="20"/>
          <w:szCs w:val="20"/>
        </w:rPr>
      </w:pPr>
    </w:p>
    <w:p w14:paraId="4BDEE7AB" w14:textId="544F9C42" w:rsidR="00332EA9" w:rsidRPr="00B03B51" w:rsidRDefault="00332EA9" w:rsidP="00994F93">
      <w:pPr>
        <w:jc w:val="both"/>
        <w:rPr>
          <w:rFonts w:ascii="Times New Roman" w:eastAsia="Arial" w:hAnsi="Times New Roman" w:cs="Times New Roman"/>
          <w:b/>
          <w:bCs/>
          <w:noProof/>
          <w:sz w:val="20"/>
          <w:szCs w:val="20"/>
        </w:rPr>
      </w:pPr>
    </w:p>
    <w:p w14:paraId="0D2A78CE" w14:textId="31692EBC" w:rsidR="00931B19" w:rsidRPr="00B03B51" w:rsidRDefault="00931B19" w:rsidP="00994F93">
      <w:pPr>
        <w:jc w:val="both"/>
        <w:rPr>
          <w:rFonts w:ascii="Times New Roman" w:eastAsia="Arial" w:hAnsi="Times New Roman" w:cs="Times New Roman"/>
          <w:b/>
          <w:bCs/>
          <w:noProof/>
          <w:sz w:val="20"/>
          <w:szCs w:val="20"/>
        </w:rPr>
      </w:pPr>
    </w:p>
    <w:p w14:paraId="2B32A91B" w14:textId="77777777" w:rsidR="00931B19" w:rsidRPr="00B03B51" w:rsidRDefault="00931B19" w:rsidP="00994F93">
      <w:pPr>
        <w:jc w:val="both"/>
        <w:rPr>
          <w:rFonts w:ascii="Times New Roman" w:eastAsia="Arial" w:hAnsi="Times New Roman" w:cs="Times New Roman"/>
          <w:b/>
          <w:bCs/>
          <w:noProof/>
          <w:sz w:val="20"/>
          <w:szCs w:val="20"/>
        </w:rPr>
      </w:pPr>
    </w:p>
    <w:p w14:paraId="5A5D419F" w14:textId="77777777" w:rsidR="00332EA9" w:rsidRPr="00B03B51" w:rsidRDefault="00332EA9" w:rsidP="00994F93">
      <w:pPr>
        <w:jc w:val="both"/>
        <w:rPr>
          <w:rFonts w:ascii="Times New Roman" w:eastAsia="Arial" w:hAnsi="Times New Roman" w:cs="Times New Roman"/>
          <w:b/>
          <w:bCs/>
          <w:noProof/>
          <w:sz w:val="20"/>
          <w:szCs w:val="20"/>
        </w:rPr>
      </w:pPr>
    </w:p>
    <w:p w14:paraId="7B27FADE"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Manuskripts pabeigts 2019. gada jūlijā</w:t>
      </w:r>
    </w:p>
    <w:p w14:paraId="47D01880" w14:textId="77777777" w:rsidR="00994F93" w:rsidRPr="00B03B51" w:rsidRDefault="00994F93" w:rsidP="00994F93">
      <w:pPr>
        <w:jc w:val="both"/>
        <w:rPr>
          <w:rFonts w:ascii="Times New Roman" w:eastAsia="Arial" w:hAnsi="Times New Roman" w:cs="Times New Roman"/>
          <w:noProof/>
          <w:sz w:val="20"/>
          <w:szCs w:val="20"/>
        </w:rPr>
      </w:pPr>
    </w:p>
    <w:p w14:paraId="1548B81A" w14:textId="77777777" w:rsidR="00994F93" w:rsidRPr="00B03B51" w:rsidRDefault="00994F93" w:rsidP="00994F93">
      <w:pPr>
        <w:jc w:val="both"/>
        <w:rPr>
          <w:rFonts w:ascii="Times New Roman" w:hAnsi="Times New Roman" w:cs="Times New Roman"/>
          <w:i/>
          <w:noProof/>
          <w:sz w:val="20"/>
          <w:szCs w:val="20"/>
        </w:rPr>
      </w:pPr>
      <w:r w:rsidRPr="00B03B51">
        <w:rPr>
          <w:rFonts w:ascii="Times New Roman" w:hAnsi="Times New Roman" w:cs="Times New Roman"/>
          <w:i/>
          <w:sz w:val="20"/>
          <w:szCs w:val="20"/>
        </w:rPr>
        <w:t>Drukāto izdevumu sagatavojis Publikāciju birojs Luksemburgā</w:t>
      </w:r>
    </w:p>
    <w:p w14:paraId="21CB6981" w14:textId="77777777" w:rsidR="00994F93" w:rsidRPr="00B03B51" w:rsidRDefault="00994F93" w:rsidP="00994F93">
      <w:pPr>
        <w:jc w:val="both"/>
        <w:rPr>
          <w:rFonts w:ascii="Times New Roman" w:eastAsia="Arial" w:hAnsi="Times New Roman" w:cs="Times New Roman"/>
          <w:i/>
          <w:noProof/>
          <w:sz w:val="20"/>
          <w:szCs w:val="20"/>
        </w:rPr>
      </w:pPr>
    </w:p>
    <w:p w14:paraId="139B4C36"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Komisija neatbild par sekām, kas izriet saistībā ar šīs publikācijas atkalizmantošanu.</w:t>
      </w:r>
    </w:p>
    <w:p w14:paraId="47C77EFF" w14:textId="77777777" w:rsidR="00994F93" w:rsidRPr="00B03B51" w:rsidRDefault="00994F93" w:rsidP="00994F93">
      <w:pPr>
        <w:jc w:val="both"/>
        <w:rPr>
          <w:rFonts w:ascii="Times New Roman" w:hAnsi="Times New Roman" w:cs="Times New Roman"/>
          <w:noProof/>
          <w:sz w:val="20"/>
          <w:szCs w:val="20"/>
        </w:rPr>
      </w:pPr>
    </w:p>
    <w:p w14:paraId="4B5FCC23"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Luksemburga: Eiropas Savienības Publikāciju birojs, 2019. gads</w:t>
      </w:r>
    </w:p>
    <w:p w14:paraId="352729D7" w14:textId="77777777" w:rsidR="00994F93" w:rsidRPr="00B03B51" w:rsidRDefault="00994F93" w:rsidP="00994F93">
      <w:pPr>
        <w:jc w:val="both"/>
        <w:rPr>
          <w:rFonts w:ascii="Times New Roman" w:hAnsi="Times New Roman" w:cs="Times New Roman"/>
          <w:noProof/>
          <w:sz w:val="20"/>
          <w:szCs w:val="20"/>
        </w:rPr>
      </w:pPr>
    </w:p>
    <w:p w14:paraId="3A7CEFC1"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 Eiropas Savienība, 2019. gads</w:t>
      </w:r>
    </w:p>
    <w:p w14:paraId="66068000"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Atkalizmantot atļauts tikai ar norādi uz avotu.</w:t>
      </w:r>
    </w:p>
    <w:p w14:paraId="22696561"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Eiropas Komisijas dokumentu atkalizmantošanas politiku regulē ar Lēmumu 2011/833/ES (OV L 330, 14.12.2011., 39. lpp.).</w:t>
      </w:r>
    </w:p>
    <w:p w14:paraId="40630ADD" w14:textId="77777777" w:rsidR="00994F93" w:rsidRPr="00B03B51" w:rsidRDefault="00994F93" w:rsidP="00994F93">
      <w:pPr>
        <w:jc w:val="both"/>
        <w:rPr>
          <w:rFonts w:ascii="Times New Roman" w:eastAsia="Arial" w:hAnsi="Times New Roman" w:cs="Times New Roman"/>
          <w:noProof/>
          <w:sz w:val="20"/>
          <w:szCs w:val="20"/>
        </w:rPr>
      </w:pPr>
    </w:p>
    <w:p w14:paraId="32A484D8"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Fotoattēlu autortiesības: Vāks © </w:t>
      </w:r>
      <w:r w:rsidRPr="00B03B51">
        <w:rPr>
          <w:rFonts w:ascii="Times New Roman" w:hAnsi="Times New Roman" w:cs="Times New Roman"/>
          <w:i/>
          <w:iCs/>
          <w:sz w:val="20"/>
          <w:szCs w:val="20"/>
        </w:rPr>
        <w:t>cosma</w:t>
      </w:r>
      <w:r w:rsidRPr="00B03B51">
        <w:rPr>
          <w:rFonts w:ascii="Times New Roman" w:hAnsi="Times New Roman" w:cs="Times New Roman"/>
          <w:sz w:val="20"/>
          <w:szCs w:val="20"/>
        </w:rPr>
        <w:t>/</w:t>
      </w:r>
      <w:r w:rsidRPr="00B03B51">
        <w:rPr>
          <w:rFonts w:ascii="Times New Roman" w:hAnsi="Times New Roman" w:cs="Times New Roman"/>
          <w:i/>
          <w:iCs/>
          <w:sz w:val="20"/>
          <w:szCs w:val="20"/>
        </w:rPr>
        <w:t>Shutterstock</w:t>
      </w:r>
    </w:p>
    <w:p w14:paraId="6C893406" w14:textId="77777777" w:rsidR="00994F93" w:rsidRPr="00B03B51" w:rsidRDefault="00994F93" w:rsidP="00994F93">
      <w:pPr>
        <w:jc w:val="both"/>
        <w:rPr>
          <w:rFonts w:ascii="Times New Roman" w:eastAsia="Arial" w:hAnsi="Times New Roman" w:cs="Times New Roman"/>
          <w:noProof/>
          <w:sz w:val="20"/>
          <w:szCs w:val="20"/>
        </w:rPr>
      </w:pPr>
    </w:p>
    <w:p w14:paraId="669DB70C" w14:textId="77777777" w:rsidR="00994F93" w:rsidRPr="00B03B51" w:rsidRDefault="00994F93" w:rsidP="00994F93">
      <w:pPr>
        <w:jc w:val="both"/>
        <w:rPr>
          <w:rFonts w:ascii="Times New Roman" w:hAnsi="Times New Roman" w:cs="Times New Roman"/>
          <w:noProof/>
          <w:sz w:val="20"/>
          <w:szCs w:val="20"/>
        </w:rPr>
      </w:pPr>
      <w:r w:rsidRPr="00B03B51">
        <w:rPr>
          <w:rFonts w:ascii="Times New Roman" w:hAnsi="Times New Roman" w:cs="Times New Roman"/>
          <w:sz w:val="20"/>
          <w:szCs w:val="20"/>
        </w:rPr>
        <w:t>Lai izmantotu vai reproducētu fotoattēlus vai citus materiālus, uz kuriem neattiecas Eiropas Savienības autortiesības, atļaujas saņemšanai ir jāvēršas tieši pie autortiesību subjektiem.</w:t>
      </w:r>
    </w:p>
    <w:p w14:paraId="4B8444B7" w14:textId="77777777" w:rsidR="00994F93" w:rsidRPr="00B03B51" w:rsidRDefault="00994F93" w:rsidP="00994F93">
      <w:pPr>
        <w:jc w:val="both"/>
        <w:rPr>
          <w:rFonts w:ascii="Times New Roman" w:eastAsia="Arial" w:hAnsi="Times New Roman" w:cs="Times New Roman"/>
          <w:noProof/>
          <w:sz w:val="20"/>
          <w:szCs w:val="20"/>
        </w:rPr>
      </w:pPr>
      <w:r w:rsidRPr="00B03B51">
        <w:rPr>
          <w:rFonts w:ascii="Times New Roman" w:hAnsi="Times New Roman" w:cs="Times New Roman"/>
          <w:sz w:val="20"/>
          <w:szCs w:val="20"/>
        </w:rPr>
        <w:t xml:space="preserve">Plašāku informāciju var saņemt: </w:t>
      </w:r>
      <w:r w:rsidRPr="00B03B51">
        <w:rPr>
          <w:rFonts w:ascii="Times New Roman" w:hAnsi="Times New Roman" w:cs="Times New Roman"/>
          <w:sz w:val="20"/>
          <w:szCs w:val="20"/>
          <w:u w:color="0000FF"/>
        </w:rPr>
        <w:t>https://ec.europa.eu/eurostat/about/policies/copyright</w:t>
      </w:r>
      <w:r w:rsidRPr="00B03B51">
        <w:rPr>
          <w:rFonts w:ascii="Times New Roman" w:hAnsi="Times New Roman" w:cs="Times New Roman"/>
          <w:sz w:val="20"/>
          <w:szCs w:val="20"/>
        </w:rPr>
        <w:t>.</w:t>
      </w:r>
    </w:p>
    <w:p w14:paraId="2C4CF5E6" w14:textId="77777777" w:rsidR="00994F93" w:rsidRPr="00B03B51" w:rsidRDefault="00994F93" w:rsidP="00994F93">
      <w:pPr>
        <w:jc w:val="both"/>
        <w:rPr>
          <w:rFonts w:ascii="Times New Roman" w:eastAsia="Arial" w:hAnsi="Times New Roman" w:cs="Times New Roman"/>
          <w:noProof/>
          <w:sz w:val="20"/>
          <w:szCs w:val="20"/>
        </w:rPr>
      </w:pPr>
    </w:p>
    <w:p w14:paraId="1F825518" w14:textId="77777777" w:rsidR="00994F93" w:rsidRPr="00B03B51" w:rsidRDefault="00994F93" w:rsidP="00994F93">
      <w:pPr>
        <w:tabs>
          <w:tab w:val="left" w:pos="1612"/>
        </w:tabs>
        <w:jc w:val="both"/>
        <w:rPr>
          <w:rFonts w:ascii="Times New Roman" w:hAnsi="Times New Roman" w:cs="Times New Roman"/>
          <w:noProof/>
          <w:sz w:val="20"/>
          <w:szCs w:val="20"/>
        </w:rPr>
      </w:pPr>
      <w:r w:rsidRPr="00B03B51">
        <w:rPr>
          <w:rFonts w:ascii="Times New Roman" w:hAnsi="Times New Roman" w:cs="Times New Roman"/>
          <w:sz w:val="20"/>
          <w:szCs w:val="20"/>
        </w:rPr>
        <w:t>Krājums:</w:t>
      </w:r>
      <w:r w:rsidRPr="00B03B51">
        <w:rPr>
          <w:rFonts w:ascii="Times New Roman" w:hAnsi="Times New Roman" w:cs="Times New Roman"/>
          <w:sz w:val="20"/>
          <w:szCs w:val="20"/>
        </w:rPr>
        <w:tab/>
        <w:t>Rokasgrāmatas un vadlīnijas</w:t>
      </w:r>
    </w:p>
    <w:p w14:paraId="660739B5" w14:textId="77777777" w:rsidR="00994F93" w:rsidRPr="00B03B51" w:rsidRDefault="00994F93" w:rsidP="00994F93">
      <w:pPr>
        <w:tabs>
          <w:tab w:val="left" w:pos="1612"/>
        </w:tabs>
        <w:jc w:val="both"/>
        <w:rPr>
          <w:rFonts w:ascii="Times New Roman" w:hAnsi="Times New Roman" w:cs="Times New Roman"/>
          <w:noProof/>
          <w:sz w:val="20"/>
          <w:szCs w:val="20"/>
        </w:rPr>
      </w:pPr>
      <w:r w:rsidRPr="00B03B51">
        <w:rPr>
          <w:rFonts w:ascii="Times New Roman" w:hAnsi="Times New Roman" w:cs="Times New Roman"/>
          <w:sz w:val="20"/>
          <w:szCs w:val="20"/>
        </w:rPr>
        <w:t>Temats:</w:t>
      </w:r>
      <w:r w:rsidRPr="00B03B51">
        <w:rPr>
          <w:rFonts w:ascii="Times New Roman" w:hAnsi="Times New Roman" w:cs="Times New Roman"/>
          <w:sz w:val="20"/>
          <w:szCs w:val="20"/>
        </w:rPr>
        <w:tab/>
        <w:t>Ekonomika un finanses</w:t>
      </w:r>
    </w:p>
    <w:p w14:paraId="3E3DB33D" w14:textId="77777777" w:rsidR="00994F93" w:rsidRPr="00B03B51" w:rsidRDefault="00994F93" w:rsidP="00994F93">
      <w:pPr>
        <w:jc w:val="both"/>
        <w:rPr>
          <w:rFonts w:ascii="Times New Roman" w:eastAsia="Arial" w:hAnsi="Times New Roman" w:cs="Times New Roman"/>
          <w:noProof/>
          <w:sz w:val="24"/>
          <w:szCs w:val="14"/>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879"/>
        <w:gridCol w:w="2338"/>
        <w:gridCol w:w="1758"/>
        <w:gridCol w:w="2129"/>
        <w:gridCol w:w="1967"/>
      </w:tblGrid>
      <w:tr w:rsidR="00994F93" w:rsidRPr="00B03B51" w14:paraId="01B31EAB" w14:textId="77777777" w:rsidTr="001C4B02">
        <w:trPr>
          <w:trHeight w:hRule="exact" w:val="328"/>
          <w:jc w:val="center"/>
        </w:trPr>
        <w:tc>
          <w:tcPr>
            <w:tcW w:w="345" w:type="pct"/>
            <w:tcBorders>
              <w:top w:val="nil"/>
              <w:left w:val="nil"/>
              <w:bottom w:val="nil"/>
              <w:right w:val="nil"/>
            </w:tcBorders>
          </w:tcPr>
          <w:p w14:paraId="601206DF"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sz w:val="20"/>
                <w:szCs w:val="20"/>
              </w:rPr>
              <w:t>Drukātais izdevums:</w:t>
            </w:r>
          </w:p>
        </w:tc>
        <w:tc>
          <w:tcPr>
            <w:tcW w:w="1324" w:type="pct"/>
            <w:tcBorders>
              <w:top w:val="nil"/>
              <w:left w:val="nil"/>
              <w:bottom w:val="nil"/>
              <w:right w:val="nil"/>
            </w:tcBorders>
          </w:tcPr>
          <w:p w14:paraId="2E9E7F71"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ISBN</w:t>
            </w:r>
            <w:r w:rsidRPr="00B03B51">
              <w:rPr>
                <w:rFonts w:ascii="Times New Roman" w:hAnsi="Times New Roman" w:cs="Times New Roman"/>
                <w:sz w:val="20"/>
                <w:szCs w:val="20"/>
              </w:rPr>
              <w:t>: 978-92-76-09292-6</w:t>
            </w:r>
          </w:p>
        </w:tc>
        <w:tc>
          <w:tcPr>
            <w:tcW w:w="1004" w:type="pct"/>
            <w:tcBorders>
              <w:top w:val="nil"/>
              <w:left w:val="nil"/>
              <w:bottom w:val="nil"/>
              <w:right w:val="nil"/>
            </w:tcBorders>
          </w:tcPr>
          <w:p w14:paraId="118BD125"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ISSN</w:t>
            </w:r>
            <w:r w:rsidRPr="00B03B51">
              <w:rPr>
                <w:rFonts w:ascii="Times New Roman" w:hAnsi="Times New Roman" w:cs="Times New Roman"/>
                <w:sz w:val="20"/>
                <w:szCs w:val="20"/>
              </w:rPr>
              <w:t xml:space="preserve"> 2363-197X</w:t>
            </w:r>
          </w:p>
        </w:tc>
        <w:tc>
          <w:tcPr>
            <w:tcW w:w="1208" w:type="pct"/>
            <w:tcBorders>
              <w:top w:val="nil"/>
              <w:left w:val="nil"/>
              <w:bottom w:val="nil"/>
              <w:right w:val="nil"/>
            </w:tcBorders>
          </w:tcPr>
          <w:p w14:paraId="3BE329AB"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sz w:val="20"/>
                <w:szCs w:val="20"/>
              </w:rPr>
              <w:t>doi:10.2785/452836</w:t>
            </w:r>
          </w:p>
        </w:tc>
        <w:tc>
          <w:tcPr>
            <w:tcW w:w="1119" w:type="pct"/>
            <w:tcBorders>
              <w:top w:val="nil"/>
              <w:left w:val="nil"/>
              <w:bottom w:val="nil"/>
              <w:right w:val="nil"/>
            </w:tcBorders>
          </w:tcPr>
          <w:p w14:paraId="14C26BED"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sz w:val="20"/>
                <w:szCs w:val="20"/>
              </w:rPr>
              <w:t>KS-GQ-19-007-EN-C</w:t>
            </w:r>
          </w:p>
        </w:tc>
      </w:tr>
      <w:tr w:rsidR="00994F93" w:rsidRPr="00B03B51" w14:paraId="184BEB89" w14:textId="77777777" w:rsidTr="001C4B02">
        <w:trPr>
          <w:trHeight w:hRule="exact" w:val="328"/>
          <w:jc w:val="center"/>
        </w:trPr>
        <w:tc>
          <w:tcPr>
            <w:tcW w:w="345" w:type="pct"/>
            <w:tcBorders>
              <w:top w:val="nil"/>
              <w:left w:val="nil"/>
              <w:bottom w:val="nil"/>
              <w:right w:val="nil"/>
            </w:tcBorders>
          </w:tcPr>
          <w:p w14:paraId="4FAC491B"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PDF</w:t>
            </w:r>
            <w:r w:rsidRPr="00B03B51">
              <w:rPr>
                <w:rFonts w:ascii="Times New Roman" w:hAnsi="Times New Roman" w:cs="Times New Roman"/>
                <w:sz w:val="20"/>
                <w:szCs w:val="20"/>
              </w:rPr>
              <w:t>:</w:t>
            </w:r>
          </w:p>
        </w:tc>
        <w:tc>
          <w:tcPr>
            <w:tcW w:w="1324" w:type="pct"/>
            <w:tcBorders>
              <w:top w:val="nil"/>
              <w:left w:val="nil"/>
              <w:bottom w:val="nil"/>
              <w:right w:val="nil"/>
            </w:tcBorders>
          </w:tcPr>
          <w:p w14:paraId="1F7D797D"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ISBN</w:t>
            </w:r>
            <w:r w:rsidRPr="00B03B51">
              <w:rPr>
                <w:rFonts w:ascii="Times New Roman" w:hAnsi="Times New Roman" w:cs="Times New Roman"/>
                <w:sz w:val="20"/>
                <w:szCs w:val="20"/>
              </w:rPr>
              <w:t>: 978-92-76-09294-0</w:t>
            </w:r>
          </w:p>
        </w:tc>
        <w:tc>
          <w:tcPr>
            <w:tcW w:w="1004" w:type="pct"/>
            <w:tcBorders>
              <w:top w:val="nil"/>
              <w:left w:val="nil"/>
              <w:bottom w:val="nil"/>
              <w:right w:val="nil"/>
            </w:tcBorders>
          </w:tcPr>
          <w:p w14:paraId="2BAA7160"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ISSN</w:t>
            </w:r>
            <w:r w:rsidRPr="00B03B51">
              <w:rPr>
                <w:rFonts w:ascii="Times New Roman" w:hAnsi="Times New Roman" w:cs="Times New Roman"/>
                <w:sz w:val="20"/>
                <w:szCs w:val="20"/>
              </w:rPr>
              <w:t> 2315-0815</w:t>
            </w:r>
          </w:p>
        </w:tc>
        <w:tc>
          <w:tcPr>
            <w:tcW w:w="1208" w:type="pct"/>
            <w:tcBorders>
              <w:top w:val="nil"/>
              <w:left w:val="nil"/>
              <w:bottom w:val="nil"/>
              <w:right w:val="nil"/>
            </w:tcBorders>
          </w:tcPr>
          <w:p w14:paraId="44CC35DC"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i/>
                <w:iCs/>
                <w:sz w:val="20"/>
                <w:szCs w:val="20"/>
              </w:rPr>
              <w:t>DOI</w:t>
            </w:r>
            <w:r w:rsidRPr="00B03B51">
              <w:rPr>
                <w:rFonts w:ascii="Times New Roman" w:hAnsi="Times New Roman" w:cs="Times New Roman"/>
                <w:sz w:val="20"/>
                <w:szCs w:val="20"/>
              </w:rPr>
              <w:t>: 10.2785/844106</w:t>
            </w:r>
          </w:p>
        </w:tc>
        <w:tc>
          <w:tcPr>
            <w:tcW w:w="1119" w:type="pct"/>
            <w:tcBorders>
              <w:top w:val="nil"/>
              <w:left w:val="nil"/>
              <w:bottom w:val="nil"/>
              <w:right w:val="nil"/>
            </w:tcBorders>
          </w:tcPr>
          <w:p w14:paraId="693B056C" w14:textId="77777777" w:rsidR="00994F93" w:rsidRPr="00B03B51" w:rsidRDefault="00994F93" w:rsidP="001C4B02">
            <w:pPr>
              <w:pStyle w:val="TableParagraph"/>
              <w:jc w:val="both"/>
              <w:rPr>
                <w:rFonts w:ascii="Times New Roman" w:hAnsi="Times New Roman" w:cs="Times New Roman"/>
                <w:noProof/>
                <w:sz w:val="20"/>
                <w:szCs w:val="20"/>
              </w:rPr>
            </w:pPr>
            <w:r w:rsidRPr="00B03B51">
              <w:rPr>
                <w:rFonts w:ascii="Times New Roman" w:hAnsi="Times New Roman" w:cs="Times New Roman"/>
                <w:sz w:val="20"/>
                <w:szCs w:val="20"/>
              </w:rPr>
              <w:t>KS-GQ-19-007-EN-N</w:t>
            </w:r>
          </w:p>
        </w:tc>
      </w:tr>
    </w:tbl>
    <w:p w14:paraId="5AA62D51" w14:textId="77777777" w:rsidR="00994F93" w:rsidRPr="00B03B51" w:rsidRDefault="00994F93" w:rsidP="00994F93">
      <w:pPr>
        <w:rPr>
          <w:rFonts w:ascii="Times New Roman" w:eastAsia="Arial" w:hAnsi="Times New Roman" w:cs="Times New Roman"/>
          <w:noProof/>
          <w:sz w:val="24"/>
          <w:szCs w:val="18"/>
        </w:rPr>
      </w:pPr>
      <w:r w:rsidRPr="00B03B51">
        <w:rPr>
          <w:rFonts w:ascii="Times New Roman" w:hAnsi="Times New Roman" w:cs="Times New Roman"/>
        </w:rPr>
        <w:br w:type="page"/>
      </w:r>
    </w:p>
    <w:p w14:paraId="34255538" w14:textId="77777777" w:rsidR="00994F93" w:rsidRPr="00B03B51" w:rsidRDefault="00994F93" w:rsidP="00994F93">
      <w:pPr>
        <w:jc w:val="both"/>
        <w:rPr>
          <w:rFonts w:ascii="Times New Roman" w:eastAsia="Arial" w:hAnsi="Times New Roman" w:cs="Times New Roman"/>
          <w:noProof/>
          <w:sz w:val="24"/>
          <w:szCs w:val="18"/>
        </w:rPr>
      </w:pPr>
    </w:p>
    <w:p w14:paraId="17430230" w14:textId="77777777" w:rsidR="00994F93" w:rsidRPr="00B03B51" w:rsidRDefault="00994F93" w:rsidP="00994F93">
      <w:pPr>
        <w:pStyle w:val="Heading2"/>
        <w:spacing w:before="0"/>
        <w:ind w:left="0" w:firstLine="0"/>
        <w:jc w:val="both"/>
        <w:rPr>
          <w:rFonts w:ascii="Times New Roman" w:hAnsi="Times New Roman" w:cs="Times New Roman"/>
          <w:noProof/>
          <w:sz w:val="28"/>
          <w:szCs w:val="44"/>
        </w:rPr>
      </w:pPr>
      <w:bookmarkStart w:id="0" w:name="_Toc67565014"/>
      <w:r w:rsidRPr="00B03B51">
        <w:rPr>
          <w:rFonts w:ascii="Times New Roman" w:hAnsi="Times New Roman" w:cs="Times New Roman"/>
          <w:sz w:val="28"/>
          <w:szCs w:val="44"/>
        </w:rPr>
        <w:t>PRIEKŠVĀRDS</w:t>
      </w:r>
      <w:bookmarkStart w:id="1" w:name="PREFACE"/>
      <w:bookmarkEnd w:id="0"/>
      <w:bookmarkEnd w:id="1"/>
    </w:p>
    <w:p w14:paraId="00B7B1CD"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22CA81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Saistībā ar pārmērīga budžeta deficīta novēršanas procedūru (</w:t>
      </w:r>
      <w:r w:rsidRPr="00B03B51">
        <w:rPr>
          <w:rFonts w:ascii="Times New Roman" w:hAnsi="Times New Roman" w:cs="Times New Roman"/>
          <w:i/>
          <w:iCs/>
          <w:sz w:val="24"/>
        </w:rPr>
        <w:t>EDP</w:t>
      </w:r>
      <w:r w:rsidRPr="00B03B51">
        <w:rPr>
          <w:rFonts w:ascii="Times New Roman" w:hAnsi="Times New Roman" w:cs="Times New Roman"/>
          <w:sz w:val="24"/>
        </w:rPr>
        <w:t>)</w:t>
      </w:r>
      <w:r w:rsidRPr="00B03B51">
        <w:rPr>
          <w:rStyle w:val="FootnoteReference"/>
          <w:rFonts w:ascii="Times New Roman" w:hAnsi="Times New Roman" w:cs="Times New Roman"/>
          <w:noProof/>
          <w:sz w:val="24"/>
        </w:rPr>
        <w:footnoteReference w:id="1"/>
      </w:r>
      <w:r w:rsidRPr="00B03B51">
        <w:rPr>
          <w:rFonts w:ascii="Times New Roman" w:hAnsi="Times New Roman" w:cs="Times New Roman"/>
          <w:sz w:val="24"/>
        </w:rPr>
        <w:t xml:space="preserve">, kas sākotnēji noteikta Māstrihtas Līgumā (104. pantā) un šobrīd noteikta Līguma par Eiropas Savienības darbību (LESD) 2012. gada konsolidētajā redakcijā (126. pantā), </w:t>
      </w:r>
      <w:r w:rsidRPr="00B03B51">
        <w:rPr>
          <w:rFonts w:ascii="Times New Roman" w:hAnsi="Times New Roman" w:cs="Times New Roman"/>
          <w:i/>
          <w:iCs/>
          <w:sz w:val="24"/>
        </w:rPr>
        <w:t>Eurostat</w:t>
      </w:r>
      <w:r w:rsidRPr="00B03B51">
        <w:rPr>
          <w:rFonts w:ascii="Times New Roman" w:hAnsi="Times New Roman" w:cs="Times New Roman"/>
          <w:sz w:val="24"/>
        </w:rPr>
        <w:t xml:space="preserve"> uzdevums kopš 1994. gada ir nodrošināt šā konceptuālā pamatprincipu kopuma pareizu piemērošanu, lai iegūtu ticamus un salīdzināmus statistikas datus visā Eiropas Savienībā.</w:t>
      </w:r>
    </w:p>
    <w:p w14:paraId="2639510D" w14:textId="77777777" w:rsidR="00994F93" w:rsidRPr="00B03B51" w:rsidRDefault="00994F93" w:rsidP="00994F93">
      <w:pPr>
        <w:jc w:val="both"/>
        <w:rPr>
          <w:rFonts w:ascii="Times New Roman" w:eastAsia="Arial" w:hAnsi="Times New Roman" w:cs="Times New Roman"/>
          <w:noProof/>
          <w:sz w:val="24"/>
          <w:szCs w:val="20"/>
        </w:rPr>
      </w:pPr>
    </w:p>
    <w:p w14:paraId="7FE724C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Šā konceptuālā kopuma pamatelements ir Eiropas nacionālo un reģionālo kontu sistēma Eiropas Savienībā (turpmāk – “EKS 2010”), kas publicēta 2013. gada maijā, stājusies spēkā (ar Regulu (ES) Nr. 549/2013) kopš 2014. gada 1. septembra, aizstājot iepriekšējo EKS 95. Papildus </w:t>
      </w:r>
      <w:r w:rsidRPr="00B03B51">
        <w:rPr>
          <w:rFonts w:ascii="Times New Roman" w:hAnsi="Times New Roman" w:cs="Times New Roman"/>
          <w:i/>
          <w:iCs/>
          <w:sz w:val="24"/>
        </w:rPr>
        <w:t>Eurostat</w:t>
      </w:r>
      <w:r w:rsidRPr="00B03B51">
        <w:rPr>
          <w:rFonts w:ascii="Times New Roman" w:hAnsi="Times New Roman" w:cs="Times New Roman"/>
          <w:sz w:val="24"/>
        </w:rPr>
        <w:t xml:space="preserve"> publicē rokasgrāmatu </w:t>
      </w:r>
      <w:r w:rsidRPr="00B03B51">
        <w:rPr>
          <w:rFonts w:ascii="Times New Roman" w:hAnsi="Times New Roman" w:cs="Times New Roman"/>
          <w:i/>
          <w:iCs/>
          <w:sz w:val="24"/>
        </w:rPr>
        <w:t>Manual on Government Deficit and Debt – ESA Implementation</w:t>
      </w:r>
      <w:r w:rsidRPr="00B03B51">
        <w:rPr>
          <w:rFonts w:ascii="Times New Roman" w:hAnsi="Times New Roman" w:cs="Times New Roman"/>
          <w:sz w:val="24"/>
        </w:rPr>
        <w:t xml:space="preserve"> [Valdības budžeta deficīta un parāda rokasgrāmatu – EKS īstenošana] (</w:t>
      </w:r>
      <w:r w:rsidRPr="00B03B51">
        <w:rPr>
          <w:rFonts w:ascii="Times New Roman" w:hAnsi="Times New Roman" w:cs="Times New Roman"/>
          <w:i/>
          <w:iCs/>
          <w:sz w:val="24"/>
        </w:rPr>
        <w:t>MGDD</w:t>
      </w:r>
      <w:r w:rsidRPr="00B03B51">
        <w:rPr>
          <w:rFonts w:ascii="Times New Roman" w:hAnsi="Times New Roman" w:cs="Times New Roman"/>
          <w:sz w:val="24"/>
        </w:rPr>
        <w:t>).</w:t>
      </w:r>
    </w:p>
    <w:p w14:paraId="617A6EDF" w14:textId="77777777" w:rsidR="00994F93" w:rsidRPr="00B03B51" w:rsidRDefault="00994F93" w:rsidP="00994F93">
      <w:pPr>
        <w:jc w:val="both"/>
        <w:rPr>
          <w:rFonts w:ascii="Times New Roman" w:eastAsia="Arial" w:hAnsi="Times New Roman" w:cs="Times New Roman"/>
          <w:noProof/>
          <w:sz w:val="24"/>
          <w:szCs w:val="20"/>
        </w:rPr>
      </w:pPr>
    </w:p>
    <w:p w14:paraId="30FC466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MGDD</w:t>
      </w:r>
      <w:r w:rsidRPr="00B03B51">
        <w:rPr>
          <w:rFonts w:ascii="Times New Roman" w:hAnsi="Times New Roman" w:cs="Times New Roman"/>
          <w:sz w:val="24"/>
        </w:rPr>
        <w:t xml:space="preserve">, kas pirmoreiz publicēta 1999. gadā, sniedz atbilstošu traktējumu statistikas jautājumiem, kas radušies Eiropas Savienībā valdības finanšu statistikas jomā. Tā ir kļuvusi par saistošu EKS 2010 papildinājumu un nozīmīgu rīku statistiķiem un speciālistiem, kas nodarbojas ar valsts finanšu jautājumiem. Tā palīdz arī labāk saprast metodoloģiju, kas tiek piemērota attiecībā uz valdības finanšu datiem saistībā ar </w:t>
      </w:r>
      <w:r w:rsidRPr="00B03B51">
        <w:rPr>
          <w:rFonts w:ascii="Times New Roman" w:hAnsi="Times New Roman" w:cs="Times New Roman"/>
          <w:i/>
          <w:iCs/>
          <w:sz w:val="24"/>
        </w:rPr>
        <w:t>EDP</w:t>
      </w:r>
      <w:r w:rsidRPr="00B03B51">
        <w:rPr>
          <w:rFonts w:ascii="Times New Roman" w:hAnsi="Times New Roman" w:cs="Times New Roman"/>
          <w:sz w:val="24"/>
        </w:rPr>
        <w:t>.</w:t>
      </w:r>
    </w:p>
    <w:p w14:paraId="59253AF3" w14:textId="77777777" w:rsidR="00994F93" w:rsidRPr="00B03B51" w:rsidRDefault="00994F93" w:rsidP="00994F93">
      <w:pPr>
        <w:jc w:val="both"/>
        <w:rPr>
          <w:rFonts w:ascii="Times New Roman" w:eastAsia="Arial" w:hAnsi="Times New Roman" w:cs="Times New Roman"/>
          <w:noProof/>
          <w:sz w:val="24"/>
          <w:szCs w:val="20"/>
        </w:rPr>
      </w:pPr>
    </w:p>
    <w:p w14:paraId="0453673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Šajā jaunajā </w:t>
      </w:r>
      <w:r w:rsidRPr="00B03B51">
        <w:rPr>
          <w:rFonts w:ascii="Times New Roman" w:hAnsi="Times New Roman" w:cs="Times New Roman"/>
          <w:i/>
          <w:iCs/>
          <w:sz w:val="24"/>
        </w:rPr>
        <w:t>MGDD</w:t>
      </w:r>
      <w:r w:rsidRPr="00B03B51">
        <w:rPr>
          <w:rFonts w:ascii="Times New Roman" w:hAnsi="Times New Roman" w:cs="Times New Roman"/>
          <w:sz w:val="24"/>
        </w:rPr>
        <w:t xml:space="preserve"> redakcijā galvenā uzmanība ir vērsta uz dažiem metodoloģijas aspektiem, kas tika rūpīgi izvērtēti kopš 2016. gada saistībā ar konkrēto </w:t>
      </w:r>
      <w:r w:rsidRPr="00B03B51">
        <w:rPr>
          <w:rFonts w:ascii="Times New Roman" w:hAnsi="Times New Roman" w:cs="Times New Roman"/>
          <w:i/>
          <w:iCs/>
          <w:sz w:val="24"/>
        </w:rPr>
        <w:t>Eurostat</w:t>
      </w:r>
      <w:r w:rsidRPr="00B03B51">
        <w:rPr>
          <w:rFonts w:ascii="Times New Roman" w:hAnsi="Times New Roman" w:cs="Times New Roman"/>
          <w:sz w:val="24"/>
        </w:rPr>
        <w:t xml:space="preserve"> Darba grupu metodoloģijas jautājumos un </w:t>
      </w:r>
      <w:r w:rsidRPr="00B03B51">
        <w:rPr>
          <w:rFonts w:ascii="Times New Roman" w:hAnsi="Times New Roman" w:cs="Times New Roman"/>
          <w:i/>
          <w:iCs/>
          <w:sz w:val="24"/>
        </w:rPr>
        <w:t>EDP</w:t>
      </w:r>
      <w:r w:rsidRPr="00B03B51">
        <w:rPr>
          <w:rFonts w:ascii="Times New Roman" w:hAnsi="Times New Roman" w:cs="Times New Roman"/>
          <w:sz w:val="24"/>
        </w:rPr>
        <w:t xml:space="preserve"> statistikas darba grupu (</w:t>
      </w:r>
      <w:r w:rsidRPr="00B03B51">
        <w:rPr>
          <w:rFonts w:ascii="Times New Roman" w:hAnsi="Times New Roman" w:cs="Times New Roman"/>
          <w:i/>
          <w:iCs/>
          <w:sz w:val="24"/>
        </w:rPr>
        <w:t>EDPS</w:t>
      </w:r>
      <w:r w:rsidRPr="00B03B51">
        <w:rPr>
          <w:rFonts w:ascii="Times New Roman" w:hAnsi="Times New Roman" w:cs="Times New Roman"/>
          <w:sz w:val="24"/>
        </w:rPr>
        <w:t xml:space="preserve"> DG), kuras sastāvā ir </w:t>
      </w:r>
      <w:r w:rsidRPr="00B03B51">
        <w:rPr>
          <w:rFonts w:ascii="Times New Roman" w:hAnsi="Times New Roman" w:cs="Times New Roman"/>
          <w:i/>
          <w:iCs/>
          <w:sz w:val="24"/>
        </w:rPr>
        <w:t>Eurostat</w:t>
      </w:r>
      <w:r w:rsidRPr="00B03B51">
        <w:rPr>
          <w:rFonts w:ascii="Times New Roman" w:hAnsi="Times New Roman" w:cs="Times New Roman"/>
          <w:sz w:val="24"/>
        </w:rPr>
        <w:t xml:space="preserve">, ES dalībvalstu un citu iestāžu eksperti </w:t>
      </w:r>
      <w:r w:rsidRPr="00B03B51">
        <w:rPr>
          <w:rFonts w:ascii="Times New Roman" w:hAnsi="Times New Roman" w:cs="Times New Roman"/>
          <w:i/>
          <w:iCs/>
          <w:sz w:val="24"/>
        </w:rPr>
        <w:t>EDP</w:t>
      </w:r>
      <w:r w:rsidRPr="00B03B51">
        <w:rPr>
          <w:rFonts w:ascii="Times New Roman" w:hAnsi="Times New Roman" w:cs="Times New Roman"/>
          <w:sz w:val="24"/>
        </w:rPr>
        <w:t xml:space="preserve"> statistikas, valdības finanšu statistikas un nacionālo kontu jomā.</w:t>
      </w:r>
    </w:p>
    <w:p w14:paraId="0EAAF116" w14:textId="77777777" w:rsidR="00994F93" w:rsidRPr="00B03B51" w:rsidRDefault="00994F93" w:rsidP="00994F93">
      <w:pPr>
        <w:jc w:val="both"/>
        <w:rPr>
          <w:rFonts w:ascii="Times New Roman" w:eastAsia="Arial" w:hAnsi="Times New Roman" w:cs="Times New Roman"/>
          <w:noProof/>
          <w:sz w:val="24"/>
          <w:szCs w:val="20"/>
        </w:rPr>
      </w:pPr>
    </w:p>
    <w:p w14:paraId="4EEF9F8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Salīdzinot ar iepriekšējo </w:t>
      </w:r>
      <w:r w:rsidRPr="00B03B51">
        <w:rPr>
          <w:rFonts w:ascii="Times New Roman" w:hAnsi="Times New Roman" w:cs="Times New Roman"/>
          <w:i/>
          <w:iCs/>
          <w:sz w:val="24"/>
        </w:rPr>
        <w:t>MGDD</w:t>
      </w:r>
      <w:r w:rsidRPr="00B03B51">
        <w:rPr>
          <w:rFonts w:ascii="Times New Roman" w:hAnsi="Times New Roman" w:cs="Times New Roman"/>
          <w:sz w:val="24"/>
        </w:rPr>
        <w:t xml:space="preserve"> redakciju, pēc būtības tika grozītas vai no jauna iekļautas turpmāk norādītās daļas.</w:t>
      </w:r>
    </w:p>
    <w:p w14:paraId="59C6C86A" w14:textId="77777777" w:rsidR="00994F93" w:rsidRPr="00B03B51" w:rsidRDefault="00994F93" w:rsidP="00994F93">
      <w:pPr>
        <w:jc w:val="both"/>
        <w:rPr>
          <w:rFonts w:ascii="Times New Roman" w:eastAsia="Arial" w:hAnsi="Times New Roman" w:cs="Times New Roman"/>
          <w:noProof/>
          <w:sz w:val="24"/>
          <w:szCs w:val="20"/>
        </w:rPr>
      </w:pPr>
    </w:p>
    <w:p w14:paraId="3A037F5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1. daļā “Vispārējās valdības sektora norobežošana” tika grozīta 1.2.2. iedaļa “Institucionālās vienības jēdziens” un 1.2.3. iedaļa “Valdības kontrolētas institucionālās vienības jēdziens”, 1.2.4.5. apakšiedaļa “Pārkārtoti darījumi”, 1.5. nodaļa “Vienības, kas veic finansiālās darbības – vispārīgi noteikumi” un 1.9. nodaļa “Eiropas subjekti, kas saistīti ar eirozonas valstu parādu krīzi”.</w:t>
      </w:r>
    </w:p>
    <w:p w14:paraId="33384D73" w14:textId="77777777" w:rsidR="00994F93" w:rsidRPr="00B03B51" w:rsidRDefault="00994F93" w:rsidP="00994F93">
      <w:pPr>
        <w:jc w:val="both"/>
        <w:rPr>
          <w:rFonts w:ascii="Times New Roman" w:eastAsia="Arial" w:hAnsi="Times New Roman" w:cs="Times New Roman"/>
          <w:noProof/>
          <w:sz w:val="24"/>
          <w:szCs w:val="20"/>
        </w:rPr>
      </w:pPr>
    </w:p>
    <w:p w14:paraId="11FFF46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2. daļā “Ierakstīšanas laiks” tika grozīta 2.4. nodaļa “Procentu ierakstīšana” un 2.5. nodaļa “Militārie izdevumi”. Tika pievienotas šādas jaunas apakšiedaļas – 2.4.3.17. apakšiedaļa “Procentu ierakstīšana, kad parāda instruments satur atvasinātu instrumentu”, 2.4.3.18. apakšiedaļa “Procenti par ārpustirgus mijmaiņas darījumiem”, 2.4.3.19. apakšiedaļa “Procenti, kas uzkrāti par strīdīgiem starpvaldību aizdevumiem” un 2.4.3.20. apakšiedaļa “Procenti, kas uzkrāti par starpvaldību aizdevumiem, kuri, visticamāk, netiks apmaksāti”, kā arī pievienota jauna 2.6.3. iedaļa “Tā saucamo ES “finanšu instrumentu” grāmatvedības traktējums”.</w:t>
      </w:r>
    </w:p>
    <w:p w14:paraId="234F8256" w14:textId="77777777" w:rsidR="00994F93" w:rsidRPr="00B03B51" w:rsidRDefault="00994F93" w:rsidP="00994F93">
      <w:pPr>
        <w:jc w:val="both"/>
        <w:rPr>
          <w:rFonts w:ascii="Times New Roman" w:eastAsia="Arial" w:hAnsi="Times New Roman" w:cs="Times New Roman"/>
          <w:noProof/>
          <w:sz w:val="24"/>
          <w:szCs w:val="20"/>
        </w:rPr>
      </w:pPr>
    </w:p>
    <w:p w14:paraId="3C47E73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3. daļā “Vispārējā valdība un valdības kontrolēti subjekti” tika grozīta 3.5. nodaļa “Dividendes, superdividendes, starpperioda dividendes” un 3.7. nodaļa “Ekspluatācijas pārtraukšanas izmaksu pārneses ietekme uz valdības kontiem”.</w:t>
      </w:r>
    </w:p>
    <w:p w14:paraId="2D7D4DB8" w14:textId="77777777" w:rsidR="00994F93" w:rsidRPr="00B03B51" w:rsidRDefault="00994F93" w:rsidP="00994F93">
      <w:pPr>
        <w:jc w:val="both"/>
        <w:rPr>
          <w:rFonts w:ascii="Times New Roman" w:eastAsia="Arial" w:hAnsi="Times New Roman" w:cs="Times New Roman"/>
          <w:noProof/>
          <w:sz w:val="24"/>
          <w:szCs w:val="20"/>
        </w:rPr>
      </w:pPr>
    </w:p>
    <w:p w14:paraId="3B1B5C8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4. daļā “Attiecības starp valdību un finanšu sektoru” tika pievienota jauna 4.7. nodaļa “No ienākumiem atkarīgi aizdevumi”.</w:t>
      </w:r>
    </w:p>
    <w:p w14:paraId="23BA0C07" w14:textId="77777777" w:rsidR="00994F93" w:rsidRPr="00B03B51" w:rsidRDefault="00994F93" w:rsidP="00994F93">
      <w:pPr>
        <w:jc w:val="both"/>
        <w:rPr>
          <w:rFonts w:ascii="Times New Roman" w:eastAsia="Arial" w:hAnsi="Times New Roman" w:cs="Times New Roman"/>
          <w:noProof/>
          <w:sz w:val="24"/>
          <w:szCs w:val="20"/>
        </w:rPr>
      </w:pPr>
    </w:p>
    <w:p w14:paraId="336C1F9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6. daļā “Noma, koncesijas un PPP” tika grozīta 6.1. nodaļa “Pārskats” un 6.2. nodaļa “Pārdošana ar saņemšanu atpakaļ nomā”.</w:t>
      </w:r>
    </w:p>
    <w:p w14:paraId="5605B748" w14:textId="77777777" w:rsidR="00994F93" w:rsidRPr="00B03B51" w:rsidRDefault="00994F93" w:rsidP="00994F93">
      <w:pPr>
        <w:jc w:val="both"/>
        <w:rPr>
          <w:rFonts w:ascii="Times New Roman" w:eastAsia="Arial" w:hAnsi="Times New Roman" w:cs="Times New Roman"/>
          <w:noProof/>
          <w:sz w:val="24"/>
          <w:szCs w:val="20"/>
        </w:rPr>
      </w:pPr>
    </w:p>
    <w:p w14:paraId="3455188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Visbeidzot, 8. daļā “Vispārējās valdības parāda apmēra noteikšana” tika grozīta 8.2.1. iedaļa “Saistību mērījumi EKS 2010” un trīs šādas apakšiedaļas – 8.2.2.1. apakšiedaļa “Valdības parāda tvērums </w:t>
      </w:r>
      <w:r w:rsidRPr="00B03B51">
        <w:rPr>
          <w:rFonts w:ascii="Times New Roman" w:hAnsi="Times New Roman" w:cs="Times New Roman"/>
          <w:i/>
          <w:iCs/>
          <w:sz w:val="24"/>
        </w:rPr>
        <w:t>EDP</w:t>
      </w:r>
      <w:r w:rsidRPr="00B03B51">
        <w:rPr>
          <w:rFonts w:ascii="Times New Roman" w:hAnsi="Times New Roman" w:cs="Times New Roman"/>
          <w:sz w:val="24"/>
        </w:rPr>
        <w:t xml:space="preserve"> mērķiem”, 8.2.2.2. apakšiedaļa “Valdības parāda novērtēšana </w:t>
      </w:r>
      <w:r w:rsidRPr="00B03B51">
        <w:rPr>
          <w:rFonts w:ascii="Times New Roman" w:hAnsi="Times New Roman" w:cs="Times New Roman"/>
          <w:i/>
          <w:iCs/>
          <w:sz w:val="24"/>
        </w:rPr>
        <w:t>EDP</w:t>
      </w:r>
      <w:r w:rsidRPr="00B03B51">
        <w:rPr>
          <w:rFonts w:ascii="Times New Roman" w:hAnsi="Times New Roman" w:cs="Times New Roman"/>
          <w:sz w:val="24"/>
        </w:rPr>
        <w:t xml:space="preserve"> mērķiem. Nominālvērtība pret norādīto vērtību” un 8.2.2.3. apakšiedaļa “Uzkrātie procenti”.</w:t>
      </w:r>
    </w:p>
    <w:p w14:paraId="3F9BB96E" w14:textId="77777777" w:rsidR="00994F93" w:rsidRPr="00B03B51" w:rsidRDefault="00994F93" w:rsidP="00994F93">
      <w:pPr>
        <w:jc w:val="both"/>
        <w:rPr>
          <w:rFonts w:ascii="Times New Roman" w:eastAsia="Arial" w:hAnsi="Times New Roman" w:cs="Times New Roman"/>
          <w:noProof/>
          <w:sz w:val="24"/>
          <w:szCs w:val="20"/>
        </w:rPr>
      </w:pPr>
    </w:p>
    <w:p w14:paraId="5425937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Turklāt redakcionālas izmaiņas (nemainot būtību) tika veiktas turpmāk norādītajās nodaļās/daļās.</w:t>
      </w:r>
    </w:p>
    <w:p w14:paraId="40981D25" w14:textId="77777777" w:rsidR="00994F93" w:rsidRPr="00B03B51" w:rsidRDefault="00994F93" w:rsidP="00994F93">
      <w:pPr>
        <w:jc w:val="both"/>
        <w:rPr>
          <w:rFonts w:ascii="Times New Roman" w:eastAsia="Arial" w:hAnsi="Times New Roman" w:cs="Times New Roman"/>
          <w:noProof/>
          <w:sz w:val="24"/>
          <w:szCs w:val="14"/>
        </w:rPr>
      </w:pPr>
    </w:p>
    <w:p w14:paraId="26A2DC2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2.6. nodaļā “Dotācijas no ES budžeta un iemaksas ES budžetā” un 3.8. pielikumā “EKS 2010 darījumu izlase”; 7. daļā “Ar parādu saistītie darījumi un garantijas” un 8. daļā “Vispārējās valdības parāda apmēra noteikšana”.</w:t>
      </w:r>
    </w:p>
    <w:p w14:paraId="50E47120" w14:textId="77777777" w:rsidR="00994F93" w:rsidRPr="00B03B51" w:rsidRDefault="00994F93" w:rsidP="00994F93">
      <w:pPr>
        <w:jc w:val="both"/>
        <w:rPr>
          <w:rFonts w:ascii="Times New Roman" w:eastAsia="Arial" w:hAnsi="Times New Roman" w:cs="Times New Roman"/>
          <w:noProof/>
          <w:sz w:val="24"/>
          <w:szCs w:val="20"/>
        </w:rPr>
      </w:pPr>
    </w:p>
    <w:p w14:paraId="66D4B1DD" w14:textId="77777777" w:rsidR="00994F93" w:rsidRPr="00B03B51" w:rsidRDefault="00994F93" w:rsidP="00994F93">
      <w:pPr>
        <w:pStyle w:val="BodyText"/>
        <w:tabs>
          <w:tab w:val="left" w:pos="1270"/>
          <w:tab w:val="left" w:pos="2320"/>
          <w:tab w:val="left" w:pos="3157"/>
          <w:tab w:val="left" w:pos="4035"/>
          <w:tab w:val="left" w:pos="4681"/>
          <w:tab w:val="left" w:pos="5434"/>
          <w:tab w:val="left" w:pos="6746"/>
          <w:tab w:val="left" w:pos="7794"/>
          <w:tab w:val="left" w:pos="9032"/>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Saistībā ar to, kā statistikā reģistrē publiskās un privātās partnerības (PPP) un energoefektivitātes līgumus (</w:t>
      </w:r>
      <w:r w:rsidRPr="00B03B51">
        <w:rPr>
          <w:rFonts w:ascii="Times New Roman" w:hAnsi="Times New Roman" w:cs="Times New Roman"/>
          <w:i/>
          <w:iCs/>
          <w:sz w:val="24"/>
        </w:rPr>
        <w:t>EPC</w:t>
      </w:r>
      <w:r w:rsidRPr="00B03B51">
        <w:rPr>
          <w:rFonts w:ascii="Times New Roman" w:hAnsi="Times New Roman" w:cs="Times New Roman"/>
          <w:sz w:val="24"/>
        </w:rPr>
        <w:t>), skatīt konkrētās norādes, kas pieejamas tīmekļa vietnē https://ec.europa.eu/eurostat/web/government-finance-statistics/methodology/guidance-on-accounting-rules.</w:t>
      </w:r>
    </w:p>
    <w:p w14:paraId="08B851F1" w14:textId="77777777" w:rsidR="00994F93" w:rsidRPr="00B03B51" w:rsidRDefault="00994F93" w:rsidP="00994F93">
      <w:pPr>
        <w:jc w:val="both"/>
        <w:rPr>
          <w:rFonts w:ascii="Times New Roman" w:eastAsia="Arial" w:hAnsi="Times New Roman" w:cs="Times New Roman"/>
          <w:noProof/>
          <w:sz w:val="24"/>
          <w:szCs w:val="21"/>
        </w:rPr>
      </w:pPr>
    </w:p>
    <w:p w14:paraId="222C382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 2019. gada redakcijas sagatavošanu bija atbildīgi Luka Askoli [</w:t>
      </w:r>
      <w:r w:rsidRPr="00B03B51">
        <w:rPr>
          <w:rFonts w:ascii="Times New Roman" w:hAnsi="Times New Roman" w:cs="Times New Roman"/>
          <w:i/>
          <w:iCs/>
          <w:sz w:val="24"/>
        </w:rPr>
        <w:t>Luca Ascoli</w:t>
      </w:r>
      <w:r w:rsidRPr="00B03B51">
        <w:rPr>
          <w:rFonts w:ascii="Times New Roman" w:hAnsi="Times New Roman" w:cs="Times New Roman"/>
          <w:sz w:val="24"/>
        </w:rPr>
        <w:t>], Filips de Ružemons [</w:t>
      </w:r>
      <w:r w:rsidRPr="00B03B51">
        <w:rPr>
          <w:rFonts w:ascii="Times New Roman" w:hAnsi="Times New Roman" w:cs="Times New Roman"/>
          <w:i/>
          <w:iCs/>
          <w:sz w:val="24"/>
        </w:rPr>
        <w:t>Philippe de Rougemont</w:t>
      </w:r>
      <w:r w:rsidRPr="00B03B51">
        <w:rPr>
          <w:rFonts w:ascii="Times New Roman" w:hAnsi="Times New Roman" w:cs="Times New Roman"/>
          <w:sz w:val="24"/>
        </w:rPr>
        <w:t>] un Olga Leščinska-Lubereka [</w:t>
      </w:r>
      <w:r w:rsidRPr="00B03B51">
        <w:rPr>
          <w:rFonts w:ascii="Times New Roman" w:hAnsi="Times New Roman" w:cs="Times New Roman"/>
          <w:i/>
          <w:iCs/>
          <w:sz w:val="24"/>
        </w:rPr>
        <w:t>Olga Leszczynska-Luberek</w:t>
      </w:r>
      <w:r w:rsidRPr="00B03B51">
        <w:rPr>
          <w:rFonts w:ascii="Times New Roman" w:hAnsi="Times New Roman" w:cs="Times New Roman"/>
          <w:sz w:val="24"/>
        </w:rPr>
        <w:t xml:space="preserve">] no </w:t>
      </w:r>
      <w:r w:rsidRPr="00B03B51">
        <w:rPr>
          <w:rFonts w:ascii="Times New Roman" w:hAnsi="Times New Roman" w:cs="Times New Roman"/>
          <w:i/>
          <w:iCs/>
          <w:sz w:val="24"/>
        </w:rPr>
        <w:t>Eurostat</w:t>
      </w:r>
      <w:r w:rsidRPr="00B03B51">
        <w:rPr>
          <w:rFonts w:ascii="Times New Roman" w:hAnsi="Times New Roman" w:cs="Times New Roman"/>
          <w:sz w:val="24"/>
        </w:rPr>
        <w:t xml:space="preserve"> D-1 struktūrvienības (Pārmērīga budžeta deficīta novēršanas procedūra, metodika un VFS)</w:t>
      </w:r>
      <w:r w:rsidRPr="00B03B51">
        <w:rPr>
          <w:rStyle w:val="FootnoteReference"/>
          <w:rFonts w:ascii="Times New Roman" w:hAnsi="Times New Roman" w:cs="Times New Roman"/>
          <w:noProof/>
          <w:sz w:val="24"/>
        </w:rPr>
        <w:footnoteReference w:id="2"/>
      </w:r>
      <w:r w:rsidRPr="00B03B51">
        <w:rPr>
          <w:rFonts w:ascii="Times New Roman" w:hAnsi="Times New Roman" w:cs="Times New Roman"/>
          <w:sz w:val="24"/>
        </w:rPr>
        <w:t xml:space="preserve">, un tā tika sagatavota sadarbībā ar ekspertiem no darba grupas metodoloģijas jautājumos un </w:t>
      </w:r>
      <w:r w:rsidRPr="00B03B51">
        <w:rPr>
          <w:rFonts w:ascii="Times New Roman" w:hAnsi="Times New Roman" w:cs="Times New Roman"/>
          <w:i/>
          <w:iCs/>
          <w:sz w:val="24"/>
        </w:rPr>
        <w:t>EDPS</w:t>
      </w:r>
      <w:r w:rsidRPr="00B03B51">
        <w:rPr>
          <w:rFonts w:ascii="Times New Roman" w:hAnsi="Times New Roman" w:cs="Times New Roman"/>
          <w:sz w:val="24"/>
        </w:rPr>
        <w:t xml:space="preserve"> DG, kā arī citiem D direktorāta kolēģiem, kas sniedza būtisku ieguldījumu </w:t>
      </w:r>
      <w:r w:rsidRPr="00B03B51">
        <w:rPr>
          <w:rFonts w:ascii="Times New Roman" w:hAnsi="Times New Roman" w:cs="Times New Roman"/>
          <w:i/>
          <w:iCs/>
          <w:sz w:val="24"/>
        </w:rPr>
        <w:t>MGDD</w:t>
      </w:r>
      <w:r w:rsidRPr="00B03B51">
        <w:rPr>
          <w:rFonts w:ascii="Times New Roman" w:hAnsi="Times New Roman" w:cs="Times New Roman"/>
          <w:sz w:val="24"/>
        </w:rPr>
        <w:t xml:space="preserve"> pašreizējās redakcijas tapšanā. Šajā saistībā īpašs paldies Migelam Alonso [</w:t>
      </w:r>
      <w:r w:rsidRPr="00B03B51">
        <w:rPr>
          <w:rFonts w:ascii="Times New Roman" w:hAnsi="Times New Roman" w:cs="Times New Roman"/>
          <w:i/>
          <w:iCs/>
          <w:sz w:val="24"/>
        </w:rPr>
        <w:t>Miguel Alonso</w:t>
      </w:r>
      <w:r w:rsidRPr="00B03B51">
        <w:rPr>
          <w:rFonts w:ascii="Times New Roman" w:hAnsi="Times New Roman" w:cs="Times New Roman"/>
          <w:sz w:val="24"/>
        </w:rPr>
        <w:t>], Tomasam Forsteram [</w:t>
      </w:r>
      <w:r w:rsidRPr="00B03B51">
        <w:rPr>
          <w:rFonts w:ascii="Times New Roman" w:hAnsi="Times New Roman" w:cs="Times New Roman"/>
          <w:i/>
          <w:iCs/>
          <w:sz w:val="24"/>
        </w:rPr>
        <w:t>Thomas Forster</w:t>
      </w:r>
      <w:r w:rsidRPr="00B03B51">
        <w:rPr>
          <w:rFonts w:ascii="Times New Roman" w:hAnsi="Times New Roman" w:cs="Times New Roman"/>
          <w:sz w:val="24"/>
        </w:rPr>
        <w:t>], Monikai Gapinskai [</w:t>
      </w:r>
      <w:r w:rsidRPr="00B03B51">
        <w:rPr>
          <w:rFonts w:ascii="Times New Roman" w:hAnsi="Times New Roman" w:cs="Times New Roman"/>
          <w:i/>
          <w:iCs/>
          <w:sz w:val="24"/>
        </w:rPr>
        <w:t>Monika Gapinska</w:t>
      </w:r>
      <w:r w:rsidRPr="00B03B51">
        <w:rPr>
          <w:rFonts w:ascii="Times New Roman" w:hAnsi="Times New Roman" w:cs="Times New Roman"/>
          <w:sz w:val="24"/>
        </w:rPr>
        <w:t>], Danielai Ilavskai [</w:t>
      </w:r>
      <w:r w:rsidRPr="00B03B51">
        <w:rPr>
          <w:rFonts w:ascii="Times New Roman" w:hAnsi="Times New Roman" w:cs="Times New Roman"/>
          <w:i/>
          <w:iCs/>
          <w:sz w:val="24"/>
        </w:rPr>
        <w:t>Daniela Ilavska</w:t>
      </w:r>
      <w:r w:rsidRPr="00B03B51">
        <w:rPr>
          <w:rFonts w:ascii="Times New Roman" w:hAnsi="Times New Roman" w:cs="Times New Roman"/>
          <w:sz w:val="24"/>
        </w:rPr>
        <w:t>], Rasai Jurkonienei [</w:t>
      </w:r>
      <w:r w:rsidRPr="00B03B51">
        <w:rPr>
          <w:rFonts w:ascii="Times New Roman" w:hAnsi="Times New Roman" w:cs="Times New Roman"/>
          <w:i/>
          <w:iCs/>
          <w:sz w:val="24"/>
        </w:rPr>
        <w:t>Rasa Jurkonienė</w:t>
      </w:r>
      <w:r w:rsidRPr="00B03B51">
        <w:rPr>
          <w:rFonts w:ascii="Times New Roman" w:hAnsi="Times New Roman" w:cs="Times New Roman"/>
          <w:sz w:val="24"/>
        </w:rPr>
        <w:t>], Didjē Lebrēnam [</w:t>
      </w:r>
      <w:r w:rsidRPr="00B03B51">
        <w:rPr>
          <w:rFonts w:ascii="Times New Roman" w:hAnsi="Times New Roman" w:cs="Times New Roman"/>
          <w:i/>
          <w:iCs/>
          <w:sz w:val="24"/>
        </w:rPr>
        <w:t>Didier Lebrun</w:t>
      </w:r>
      <w:r w:rsidRPr="00B03B51">
        <w:rPr>
          <w:rFonts w:ascii="Times New Roman" w:hAnsi="Times New Roman" w:cs="Times New Roman"/>
          <w:sz w:val="24"/>
        </w:rPr>
        <w:t>], Aleksandram Reimersam [</w:t>
      </w:r>
      <w:r w:rsidRPr="00B03B51">
        <w:rPr>
          <w:rFonts w:ascii="Times New Roman" w:hAnsi="Times New Roman" w:cs="Times New Roman"/>
          <w:i/>
          <w:iCs/>
          <w:sz w:val="24"/>
        </w:rPr>
        <w:t>Alexander Reimers</w:t>
      </w:r>
      <w:r w:rsidRPr="00B03B51">
        <w:rPr>
          <w:rFonts w:ascii="Times New Roman" w:hAnsi="Times New Roman" w:cs="Times New Roman"/>
          <w:sz w:val="24"/>
        </w:rPr>
        <w:t>], Nikoletai Savu [</w:t>
      </w:r>
      <w:r w:rsidRPr="00B03B51">
        <w:rPr>
          <w:rFonts w:ascii="Times New Roman" w:hAnsi="Times New Roman" w:cs="Times New Roman"/>
          <w:i/>
          <w:iCs/>
          <w:sz w:val="24"/>
        </w:rPr>
        <w:t>Nicoleta Savu</w:t>
      </w:r>
      <w:r w:rsidRPr="00B03B51">
        <w:rPr>
          <w:rFonts w:ascii="Times New Roman" w:hAnsi="Times New Roman" w:cs="Times New Roman"/>
          <w:sz w:val="24"/>
        </w:rPr>
        <w:t>], Malgorzatai Ščesnai-Rundbergai [</w:t>
      </w:r>
      <w:r w:rsidRPr="00B03B51">
        <w:rPr>
          <w:rFonts w:ascii="Times New Roman" w:hAnsi="Times New Roman" w:cs="Times New Roman"/>
          <w:i/>
          <w:iCs/>
          <w:sz w:val="24"/>
        </w:rPr>
        <w:t>Malgorzata Szczesna-Rundberg</w:t>
      </w:r>
      <w:r w:rsidRPr="00B03B51">
        <w:rPr>
          <w:rFonts w:ascii="Times New Roman" w:hAnsi="Times New Roman" w:cs="Times New Roman"/>
          <w:sz w:val="24"/>
        </w:rPr>
        <w:t>], Leventem Sekelejam [</w:t>
      </w:r>
      <w:r w:rsidRPr="00B03B51">
        <w:rPr>
          <w:rFonts w:ascii="Times New Roman" w:hAnsi="Times New Roman" w:cs="Times New Roman"/>
          <w:i/>
          <w:iCs/>
          <w:sz w:val="24"/>
        </w:rPr>
        <w:t>Levente Szekely</w:t>
      </w:r>
      <w:r w:rsidRPr="00B03B51">
        <w:rPr>
          <w:rFonts w:ascii="Times New Roman" w:hAnsi="Times New Roman" w:cs="Times New Roman"/>
          <w:sz w:val="24"/>
        </w:rPr>
        <w:t>] un Laurai Vārigai [</w:t>
      </w:r>
      <w:r w:rsidRPr="00B03B51">
        <w:rPr>
          <w:rFonts w:ascii="Times New Roman" w:hAnsi="Times New Roman" w:cs="Times New Roman"/>
          <w:i/>
          <w:iCs/>
          <w:sz w:val="24"/>
        </w:rPr>
        <w:t>Laura Wahrig</w:t>
      </w:r>
      <w:r w:rsidRPr="00B03B51">
        <w:rPr>
          <w:rFonts w:ascii="Times New Roman" w:hAnsi="Times New Roman" w:cs="Times New Roman"/>
          <w:sz w:val="24"/>
        </w:rPr>
        <w:t>].</w:t>
      </w:r>
    </w:p>
    <w:p w14:paraId="15742E4E" w14:textId="77777777" w:rsidR="00994F93" w:rsidRPr="00B03B51" w:rsidRDefault="00994F93" w:rsidP="00994F93">
      <w:pPr>
        <w:jc w:val="both"/>
        <w:rPr>
          <w:rFonts w:ascii="Times New Roman" w:hAnsi="Times New Roman" w:cs="Times New Roman"/>
          <w:noProof/>
          <w:sz w:val="24"/>
        </w:rPr>
      </w:pPr>
    </w:p>
    <w:p w14:paraId="252127E6" w14:textId="15272C03" w:rsidR="00994F93" w:rsidRPr="00B03B51" w:rsidRDefault="00994F93" w:rsidP="00994F93">
      <w:pPr>
        <w:jc w:val="both"/>
        <w:rPr>
          <w:rFonts w:ascii="Times New Roman" w:hAnsi="Times New Roman" w:cs="Times New Roman"/>
          <w:noProof/>
          <w:sz w:val="24"/>
        </w:rPr>
      </w:pPr>
    </w:p>
    <w:p w14:paraId="1AD025CA" w14:textId="77777777" w:rsidR="00CF0893" w:rsidRPr="00B03B51" w:rsidRDefault="00CF0893" w:rsidP="00994F93">
      <w:pPr>
        <w:jc w:val="both"/>
        <w:rPr>
          <w:rFonts w:ascii="Times New Roman" w:hAnsi="Times New Roman" w:cs="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694"/>
        <w:gridCol w:w="5377"/>
      </w:tblGrid>
      <w:tr w:rsidR="00994F93" w:rsidRPr="00B03B51" w14:paraId="3D54AA99" w14:textId="77777777" w:rsidTr="00CF0893">
        <w:tc>
          <w:tcPr>
            <w:tcW w:w="3714" w:type="dxa"/>
          </w:tcPr>
          <w:p w14:paraId="040479ED" w14:textId="77777777" w:rsidR="00994F93" w:rsidRPr="00B03B51" w:rsidRDefault="00994F93" w:rsidP="00931B19">
            <w:pPr>
              <w:pStyle w:val="BodyText"/>
              <w:spacing w:before="0"/>
              <w:ind w:left="0" w:firstLine="0"/>
              <w:rPr>
                <w:rFonts w:ascii="Times New Roman" w:hAnsi="Times New Roman" w:cs="Times New Roman"/>
                <w:noProof/>
                <w:sz w:val="24"/>
              </w:rPr>
            </w:pPr>
            <w:r w:rsidRPr="00B03B51">
              <w:rPr>
                <w:rFonts w:ascii="Times New Roman" w:hAnsi="Times New Roman" w:cs="Times New Roman"/>
                <w:sz w:val="24"/>
              </w:rPr>
              <w:t>2019. gada augusts</w:t>
            </w:r>
          </w:p>
        </w:tc>
        <w:tc>
          <w:tcPr>
            <w:tcW w:w="5407" w:type="dxa"/>
          </w:tcPr>
          <w:p w14:paraId="3AC624A2" w14:textId="77777777" w:rsidR="00994F93" w:rsidRPr="00B03B51" w:rsidRDefault="00994F93" w:rsidP="001C4B02">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sz w:val="24"/>
              </w:rPr>
              <w:t>Luka Askoli</w:t>
            </w:r>
          </w:p>
          <w:p w14:paraId="5E7822C8" w14:textId="77777777" w:rsidR="00994F93" w:rsidRPr="00B03B51" w:rsidRDefault="00994F93" w:rsidP="001C4B02">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sz w:val="24"/>
              </w:rPr>
              <w:t>Direktors</w:t>
            </w:r>
          </w:p>
          <w:p w14:paraId="41DB3AE2" w14:textId="77777777" w:rsidR="00994F93" w:rsidRPr="00B03B51" w:rsidRDefault="00994F93" w:rsidP="001C4B02">
            <w:pPr>
              <w:jc w:val="center"/>
              <w:rPr>
                <w:rFonts w:ascii="Times New Roman" w:eastAsia="Arial" w:hAnsi="Times New Roman" w:cs="Times New Roman"/>
                <w:noProof/>
                <w:sz w:val="24"/>
                <w:szCs w:val="18"/>
              </w:rPr>
            </w:pPr>
          </w:p>
          <w:p w14:paraId="126EBCFB" w14:textId="77777777" w:rsidR="00994F93" w:rsidRPr="00B03B51" w:rsidRDefault="00994F93" w:rsidP="001C4B02">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sz w:val="24"/>
              </w:rPr>
              <w:t>D direktorāts: valdības finanšu statistika (VFS)</w:t>
            </w:r>
          </w:p>
        </w:tc>
      </w:tr>
    </w:tbl>
    <w:p w14:paraId="432C423B"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13F598B2" w14:textId="77777777" w:rsidR="00994F93" w:rsidRPr="00B03B51" w:rsidRDefault="00994F93" w:rsidP="00994F93">
      <w:pPr>
        <w:jc w:val="both"/>
        <w:rPr>
          <w:rFonts w:ascii="Times New Roman" w:eastAsia="Arial" w:hAnsi="Times New Roman" w:cs="Times New Roman"/>
          <w:noProof/>
          <w:sz w:val="24"/>
          <w:szCs w:val="15"/>
        </w:rPr>
      </w:pPr>
    </w:p>
    <w:p w14:paraId="4FEF8E2C" w14:textId="77777777" w:rsidR="00994F93" w:rsidRPr="00B03B51" w:rsidRDefault="00994F93" w:rsidP="00CF0893">
      <w:pPr>
        <w:jc w:val="center"/>
        <w:rPr>
          <w:rFonts w:ascii="Times New Roman" w:hAnsi="Times New Roman" w:cs="Times New Roman"/>
          <w:b/>
          <w:noProof/>
          <w:sz w:val="28"/>
          <w:szCs w:val="24"/>
        </w:rPr>
      </w:pPr>
      <w:r w:rsidRPr="00B03B51">
        <w:rPr>
          <w:rFonts w:ascii="Times New Roman" w:hAnsi="Times New Roman" w:cs="Times New Roman"/>
          <w:b/>
          <w:i/>
          <w:iCs/>
          <w:sz w:val="28"/>
          <w:szCs w:val="24"/>
        </w:rPr>
        <w:t>IEVADS</w:t>
      </w:r>
      <w:r w:rsidRPr="00B03B51">
        <w:rPr>
          <w:rFonts w:ascii="Times New Roman" w:hAnsi="Times New Roman" w:cs="Times New Roman"/>
          <w:b/>
          <w:sz w:val="28"/>
          <w:szCs w:val="24"/>
        </w:rPr>
        <w:t>. DARBĪBAS JOMA UN DEFINĪCIJAS</w:t>
      </w:r>
    </w:p>
    <w:p w14:paraId="342E1FF4" w14:textId="77777777" w:rsidR="00994F93" w:rsidRPr="00B03B51" w:rsidRDefault="00994F93" w:rsidP="00994F93">
      <w:pPr>
        <w:jc w:val="both"/>
        <w:rPr>
          <w:rFonts w:ascii="Times New Roman" w:eastAsia="Arial" w:hAnsi="Times New Roman" w:cs="Times New Roman"/>
          <w:b/>
          <w:bCs/>
          <w:noProof/>
          <w:sz w:val="24"/>
        </w:rPr>
      </w:pPr>
    </w:p>
    <w:p w14:paraId="73BDA955"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Pārmērīga budžeta deficīta novēršanas procedūra (</w:t>
      </w:r>
      <w:r w:rsidRPr="00B03B51">
        <w:rPr>
          <w:rFonts w:ascii="Times New Roman" w:hAnsi="Times New Roman" w:cs="Times New Roman"/>
          <w:b/>
          <w:i/>
          <w:iCs/>
          <w:sz w:val="24"/>
        </w:rPr>
        <w:t>EDP</w:t>
      </w:r>
      <w:r w:rsidRPr="00B03B51">
        <w:rPr>
          <w:rFonts w:ascii="Times New Roman" w:hAnsi="Times New Roman" w:cs="Times New Roman"/>
          <w:b/>
          <w:sz w:val="24"/>
        </w:rPr>
        <w:t>)</w:t>
      </w:r>
    </w:p>
    <w:p w14:paraId="4E161C03" w14:textId="77777777" w:rsidR="00994F93" w:rsidRPr="00B03B51" w:rsidRDefault="00994F93" w:rsidP="00994F93">
      <w:pPr>
        <w:jc w:val="both"/>
        <w:rPr>
          <w:rFonts w:ascii="Times New Roman" w:eastAsia="Arial" w:hAnsi="Times New Roman" w:cs="Times New Roman"/>
          <w:b/>
          <w:bCs/>
          <w:noProof/>
          <w:sz w:val="24"/>
          <w:szCs w:val="21"/>
        </w:rPr>
      </w:pPr>
    </w:p>
    <w:p w14:paraId="413D7BE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Māstrihtas līgums, kas tika noslēgts 1992. gadā, paredzēja eiro ieviešanu. Tajā noteikts veids, kā Eiropas Savienībā notiks daudzpusējā fiskālā uzraudzība. Noteikumi attiecībā uz </w:t>
      </w:r>
      <w:r w:rsidRPr="00B03B51">
        <w:rPr>
          <w:rFonts w:ascii="Times New Roman" w:hAnsi="Times New Roman" w:cs="Times New Roman"/>
          <w:i/>
          <w:iCs/>
          <w:sz w:val="24"/>
        </w:rPr>
        <w:t>EDP</w:t>
      </w:r>
      <w:r w:rsidRPr="00B03B51">
        <w:rPr>
          <w:rFonts w:ascii="Times New Roman" w:hAnsi="Times New Roman" w:cs="Times New Roman"/>
          <w:sz w:val="24"/>
        </w:rPr>
        <w:t xml:space="preserve"> šobrīd ir noteikti Līguma par Eiropas Savienības darbību (LESD) 2012. gada konsolidētajā versijā.</w:t>
      </w:r>
    </w:p>
    <w:p w14:paraId="6EC80EF5" w14:textId="77777777" w:rsidR="00994F93" w:rsidRPr="00B03B51" w:rsidRDefault="00994F93" w:rsidP="00994F93">
      <w:pPr>
        <w:jc w:val="both"/>
        <w:rPr>
          <w:rFonts w:ascii="Times New Roman" w:eastAsia="Arial" w:hAnsi="Times New Roman" w:cs="Times New Roman"/>
          <w:noProof/>
          <w:sz w:val="24"/>
          <w:szCs w:val="20"/>
        </w:rPr>
      </w:pPr>
    </w:p>
    <w:p w14:paraId="0BF2C15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Uzraudzības pamatā ir </w:t>
      </w:r>
      <w:r w:rsidRPr="00B03B51">
        <w:rPr>
          <w:rFonts w:ascii="Times New Roman" w:hAnsi="Times New Roman" w:cs="Times New Roman"/>
          <w:i/>
          <w:iCs/>
          <w:sz w:val="24"/>
        </w:rPr>
        <w:t>EDP</w:t>
      </w:r>
      <w:r w:rsidRPr="00B03B51">
        <w:rPr>
          <w:rFonts w:ascii="Times New Roman" w:hAnsi="Times New Roman" w:cs="Times New Roman"/>
          <w:sz w:val="24"/>
        </w:rPr>
        <w:t>, kurā Padomei ir noteikti grafiki un termiņi saskaņā ar Komisijas un arī Ekonomikas un finanšu komitejas ziņojumiem, pamatojoties uz to atzinumiem par to, kā izvērtēt, vai kādā dalībvalstī pastāv pārmērīgs budžeta deficīts.</w:t>
      </w:r>
    </w:p>
    <w:p w14:paraId="7AF1106E" w14:textId="77777777" w:rsidR="00994F93" w:rsidRPr="00B03B51" w:rsidRDefault="00994F93" w:rsidP="00994F93">
      <w:pPr>
        <w:jc w:val="both"/>
        <w:rPr>
          <w:rFonts w:ascii="Times New Roman" w:eastAsia="Arial" w:hAnsi="Times New Roman" w:cs="Times New Roman"/>
          <w:noProof/>
          <w:sz w:val="24"/>
          <w:szCs w:val="21"/>
        </w:rPr>
      </w:pPr>
    </w:p>
    <w:p w14:paraId="0D1051A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LESD nosaka pienākumu ES dalībvalstīm nodrošināt budžeta disciplīnu, ievērojot divus kritērijus: deficīta attiecība pret IKP un valsts parāda attiecība pret IKP nedrīkst pārsniegt atsauces vērtību attiecīgi 3 % un 60 % atbilstīgi tam, kā ir noteikts LESD pievienotajā protokolā</w:t>
      </w:r>
      <w:r w:rsidRPr="00B03B51">
        <w:rPr>
          <w:rStyle w:val="FootnoteReference"/>
          <w:rFonts w:ascii="Times New Roman" w:hAnsi="Times New Roman" w:cs="Times New Roman"/>
          <w:noProof/>
          <w:sz w:val="24"/>
        </w:rPr>
        <w:footnoteReference w:id="3"/>
      </w:r>
      <w:r w:rsidRPr="00B03B51">
        <w:rPr>
          <w:rFonts w:ascii="Times New Roman" w:hAnsi="Times New Roman" w:cs="Times New Roman"/>
          <w:sz w:val="24"/>
        </w:rPr>
        <w:t xml:space="preserve"> par </w:t>
      </w:r>
      <w:r w:rsidRPr="00B03B51">
        <w:rPr>
          <w:rFonts w:ascii="Times New Roman" w:hAnsi="Times New Roman" w:cs="Times New Roman"/>
          <w:i/>
          <w:iCs/>
          <w:sz w:val="24"/>
        </w:rPr>
        <w:t>EDP</w:t>
      </w:r>
      <w:r w:rsidRPr="00B03B51">
        <w:rPr>
          <w:rFonts w:ascii="Times New Roman" w:hAnsi="Times New Roman" w:cs="Times New Roman"/>
          <w:sz w:val="24"/>
        </w:rPr>
        <w:t>.</w:t>
      </w:r>
    </w:p>
    <w:p w14:paraId="46188F7D" w14:textId="77777777" w:rsidR="00994F93" w:rsidRPr="00B03B51" w:rsidRDefault="00994F93" w:rsidP="00994F93">
      <w:pPr>
        <w:jc w:val="both"/>
        <w:rPr>
          <w:rFonts w:ascii="Times New Roman" w:eastAsia="Arial" w:hAnsi="Times New Roman" w:cs="Times New Roman"/>
          <w:noProof/>
          <w:sz w:val="24"/>
          <w:szCs w:val="21"/>
        </w:rPr>
      </w:pPr>
    </w:p>
    <w:p w14:paraId="37458DD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Padomes Regula (EK) Nr. 479/2009, kas grozīta ar Padomes Regulu (ES) Nr. 679/2010 un Komisijas Regulu (ES) Nr. 220/2014, nosaka, ka ES dalībvalstis paziņo ar </w:t>
      </w:r>
      <w:r w:rsidRPr="00B03B51">
        <w:rPr>
          <w:rFonts w:ascii="Times New Roman" w:hAnsi="Times New Roman" w:cs="Times New Roman"/>
          <w:i/>
          <w:iCs/>
          <w:sz w:val="24"/>
        </w:rPr>
        <w:t>EDP</w:t>
      </w:r>
      <w:r w:rsidRPr="00B03B51">
        <w:rPr>
          <w:rFonts w:ascii="Times New Roman" w:hAnsi="Times New Roman" w:cs="Times New Roman"/>
          <w:sz w:val="24"/>
        </w:rPr>
        <w:t xml:space="preserve"> saistītos datus </w:t>
      </w:r>
      <w:r w:rsidRPr="00B03B51">
        <w:rPr>
          <w:rFonts w:ascii="Times New Roman" w:hAnsi="Times New Roman" w:cs="Times New Roman"/>
          <w:i/>
          <w:iCs/>
          <w:sz w:val="24"/>
        </w:rPr>
        <w:t>Eurostat</w:t>
      </w:r>
      <w:r w:rsidRPr="00B03B51">
        <w:rPr>
          <w:rFonts w:ascii="Times New Roman" w:hAnsi="Times New Roman" w:cs="Times New Roman"/>
          <w:sz w:val="24"/>
        </w:rPr>
        <w:t xml:space="preserve"> divas reizes gadā marta un septembra beigās. </w:t>
      </w:r>
      <w:r w:rsidRPr="00B03B51">
        <w:rPr>
          <w:rFonts w:ascii="Times New Roman" w:hAnsi="Times New Roman" w:cs="Times New Roman"/>
          <w:i/>
          <w:iCs/>
          <w:sz w:val="24"/>
        </w:rPr>
        <w:t>EDP</w:t>
      </w:r>
      <w:r w:rsidRPr="00B03B51">
        <w:rPr>
          <w:rFonts w:ascii="Times New Roman" w:hAnsi="Times New Roman" w:cs="Times New Roman"/>
          <w:sz w:val="24"/>
        </w:rPr>
        <w:t xml:space="preserve"> datus iesniedz saskaņotu tabulu veidā, proti, izmantojot </w:t>
      </w:r>
      <w:r w:rsidRPr="00B03B51">
        <w:rPr>
          <w:rFonts w:ascii="Times New Roman" w:hAnsi="Times New Roman" w:cs="Times New Roman"/>
          <w:i/>
          <w:iCs/>
          <w:sz w:val="24"/>
        </w:rPr>
        <w:t>EDP</w:t>
      </w:r>
      <w:r w:rsidRPr="00B03B51">
        <w:rPr>
          <w:rFonts w:ascii="Times New Roman" w:hAnsi="Times New Roman" w:cs="Times New Roman"/>
          <w:sz w:val="24"/>
        </w:rPr>
        <w:t xml:space="preserve"> notifikācijas tabulas. Šīs tabulas ir īpaši veidotas, lai nodrošinātu vienotu sistēmu un saikni ar valsts budžeta rādītājiem un attiecību starp valdības neto aizdevumiem/aizņēmumiem (B.9) un valdības parāda pārmaiņām. </w:t>
      </w:r>
      <w:r w:rsidRPr="00B03B51">
        <w:rPr>
          <w:rFonts w:ascii="Times New Roman" w:hAnsi="Times New Roman" w:cs="Times New Roman"/>
          <w:i/>
          <w:iCs/>
          <w:sz w:val="24"/>
        </w:rPr>
        <w:t>EDP</w:t>
      </w:r>
      <w:r w:rsidRPr="00B03B51">
        <w:rPr>
          <w:rFonts w:ascii="Times New Roman" w:hAnsi="Times New Roman" w:cs="Times New Roman"/>
          <w:sz w:val="24"/>
        </w:rPr>
        <w:t xml:space="preserve"> datiem ir pilnīgi jāatbilst VFS datiem, kas iesniegti EKS 2010 datu nosūtīšanas programmā.</w:t>
      </w:r>
    </w:p>
    <w:p w14:paraId="0260673A" w14:textId="77777777" w:rsidR="00994F93" w:rsidRPr="00B03B51" w:rsidRDefault="00994F93" w:rsidP="00994F93">
      <w:pPr>
        <w:jc w:val="both"/>
        <w:rPr>
          <w:rFonts w:ascii="Times New Roman" w:eastAsia="Arial" w:hAnsi="Times New Roman" w:cs="Times New Roman"/>
          <w:noProof/>
          <w:sz w:val="24"/>
          <w:szCs w:val="20"/>
        </w:rPr>
      </w:pPr>
    </w:p>
    <w:p w14:paraId="4764CCE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Jaunākās </w:t>
      </w:r>
      <w:r w:rsidRPr="00B03B51">
        <w:rPr>
          <w:rFonts w:ascii="Times New Roman" w:hAnsi="Times New Roman" w:cs="Times New Roman"/>
          <w:i/>
          <w:iCs/>
          <w:sz w:val="24"/>
        </w:rPr>
        <w:t>EDP</w:t>
      </w:r>
      <w:r w:rsidRPr="00B03B51">
        <w:rPr>
          <w:rFonts w:ascii="Times New Roman" w:hAnsi="Times New Roman" w:cs="Times New Roman"/>
          <w:sz w:val="24"/>
        </w:rPr>
        <w:t xml:space="preserve"> notifikācijas tabulas katrai ES dalībvalstij, kā arī iepriekšējo periodu notifikācijas tabulas, tostarp īss to satura skaidrojums un sīkāka informācija par valdības finanšu statistiku, ir atrodama </w:t>
      </w:r>
      <w:r w:rsidRPr="00B03B51">
        <w:rPr>
          <w:rFonts w:ascii="Times New Roman" w:hAnsi="Times New Roman" w:cs="Times New Roman"/>
          <w:i/>
          <w:iCs/>
          <w:sz w:val="24"/>
        </w:rPr>
        <w:t>Eurostat EDP</w:t>
      </w:r>
      <w:r w:rsidRPr="00B03B51">
        <w:rPr>
          <w:rFonts w:ascii="Times New Roman" w:hAnsi="Times New Roman" w:cs="Times New Roman"/>
          <w:sz w:val="24"/>
        </w:rPr>
        <w:t>/VFS veltītajā tīmekļa vietnē.</w:t>
      </w:r>
    </w:p>
    <w:p w14:paraId="01166410" w14:textId="77777777" w:rsidR="00994F93" w:rsidRPr="00B03B51" w:rsidRDefault="00994F93" w:rsidP="00994F93">
      <w:pPr>
        <w:jc w:val="both"/>
        <w:rPr>
          <w:rFonts w:ascii="Times New Roman" w:eastAsia="Arial" w:hAnsi="Times New Roman" w:cs="Times New Roman"/>
          <w:noProof/>
          <w:sz w:val="24"/>
          <w:szCs w:val="20"/>
        </w:rPr>
      </w:pPr>
    </w:p>
    <w:p w14:paraId="53097AA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Statistikas metodoloģija</w:t>
      </w:r>
    </w:p>
    <w:p w14:paraId="2DB22A8A" w14:textId="77777777" w:rsidR="00994F93" w:rsidRPr="00B03B51" w:rsidRDefault="00994F93" w:rsidP="00994F93">
      <w:pPr>
        <w:jc w:val="both"/>
        <w:rPr>
          <w:rFonts w:ascii="Times New Roman" w:eastAsia="Arial" w:hAnsi="Times New Roman" w:cs="Times New Roman"/>
          <w:b/>
          <w:bCs/>
          <w:noProof/>
          <w:sz w:val="24"/>
          <w:szCs w:val="21"/>
        </w:rPr>
      </w:pPr>
    </w:p>
    <w:p w14:paraId="2716A9F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Šo deficīta un parāda atsauces vērtību pamatā ir Eiropas kontu sistēmā (EKS 2010) noteiktie jēdzieni. Vispārējās valdības sektora pārpalikumu (+)/deficītu (-) nacionālajos kontos sauc par neto aizdevumu (+)/aizņēmumu (-) (B.9). Valdības (</w:t>
      </w:r>
      <w:r w:rsidRPr="00B03B51">
        <w:rPr>
          <w:rFonts w:ascii="Times New Roman" w:hAnsi="Times New Roman" w:cs="Times New Roman"/>
          <w:i/>
          <w:iCs/>
          <w:sz w:val="24"/>
        </w:rPr>
        <w:t>EDP</w:t>
      </w:r>
      <w:r w:rsidRPr="00B03B51">
        <w:rPr>
          <w:rFonts w:ascii="Times New Roman" w:hAnsi="Times New Roman" w:cs="Times New Roman"/>
          <w:sz w:val="24"/>
        </w:rPr>
        <w:t>) parāds ir noteikts kā kopējais konsolidētais bruto parāds nominālajā vērtībā šādās valdības saistību kategorijās (atbilstoši EKS 2010 noteiktajam): valūta un noguldījumi, parāda vērtspapīri un aizdevumi.</w:t>
      </w:r>
    </w:p>
    <w:p w14:paraId="2B83BE5A" w14:textId="77777777" w:rsidR="00994F93" w:rsidRPr="00B03B51" w:rsidRDefault="00994F93" w:rsidP="00994F93">
      <w:pPr>
        <w:jc w:val="both"/>
        <w:rPr>
          <w:rFonts w:ascii="Times New Roman" w:eastAsia="Arial" w:hAnsi="Times New Roman" w:cs="Times New Roman"/>
          <w:noProof/>
          <w:sz w:val="24"/>
          <w:szCs w:val="20"/>
        </w:rPr>
      </w:pPr>
    </w:p>
    <w:p w14:paraId="782A571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EKS 2010 ir izstrādāta, pamatojoties uz visā pasaulē atzīto nacionālo kontu rokasgrāmatu (NKS 2008), un kopumā tai atbilst. EKS 2010 ir tiesību akts, kas sagatavots lietotājam saprotamā formā. Tā kā EKS 2010 ir konceptuāla sistēma, </w:t>
      </w:r>
      <w:r w:rsidRPr="00B03B51">
        <w:rPr>
          <w:rFonts w:ascii="Times New Roman" w:hAnsi="Times New Roman" w:cs="Times New Roman"/>
          <w:i/>
          <w:iCs/>
          <w:sz w:val="24"/>
        </w:rPr>
        <w:t>Eurostat</w:t>
      </w:r>
      <w:r w:rsidRPr="00B03B51">
        <w:rPr>
          <w:rFonts w:ascii="Times New Roman" w:hAnsi="Times New Roman" w:cs="Times New Roman"/>
          <w:sz w:val="24"/>
        </w:rPr>
        <w:t xml:space="preserve"> tā bija jāpapildina ar papildu vadlīnijām, proti, ar šo Valsts budžeta deficīta un parāda rokasgrāmatu un </w:t>
      </w:r>
      <w:r w:rsidRPr="00B03B51">
        <w:rPr>
          <w:rFonts w:ascii="Times New Roman" w:hAnsi="Times New Roman" w:cs="Times New Roman"/>
          <w:i/>
          <w:iCs/>
          <w:sz w:val="24"/>
        </w:rPr>
        <w:t>Eurostat</w:t>
      </w:r>
      <w:r w:rsidRPr="00B03B51">
        <w:rPr>
          <w:rFonts w:ascii="Times New Roman" w:hAnsi="Times New Roman" w:cs="Times New Roman"/>
          <w:sz w:val="24"/>
        </w:rPr>
        <w:t xml:space="preserve"> lēmumiem, norādījumiem, skaidrojumiem, un ar divpusējām konsultācijām ar dalībvalstīm.</w:t>
      </w:r>
    </w:p>
    <w:p w14:paraId="0B5AEEE3" w14:textId="77777777" w:rsidR="00994F93" w:rsidRPr="00B03B51" w:rsidRDefault="00994F93" w:rsidP="00994F93">
      <w:pPr>
        <w:jc w:val="both"/>
        <w:rPr>
          <w:rFonts w:ascii="Times New Roman" w:eastAsia="Arial" w:hAnsi="Times New Roman" w:cs="Times New Roman"/>
          <w:noProof/>
          <w:sz w:val="24"/>
          <w:szCs w:val="20"/>
        </w:rPr>
      </w:pPr>
    </w:p>
    <w:p w14:paraId="3A8B277F" w14:textId="77777777" w:rsidR="00994F93" w:rsidRPr="00B03B51" w:rsidRDefault="00994F93" w:rsidP="00994F93">
      <w:pPr>
        <w:jc w:val="both"/>
        <w:rPr>
          <w:rFonts w:ascii="Times New Roman" w:eastAsia="Arial" w:hAnsi="Times New Roman" w:cs="Times New Roman"/>
          <w:noProof/>
          <w:sz w:val="24"/>
          <w:szCs w:val="19"/>
        </w:rPr>
      </w:pPr>
      <w:r w:rsidRPr="00B03B51">
        <w:rPr>
          <w:rFonts w:ascii="Times New Roman" w:hAnsi="Times New Roman" w:cs="Times New Roman"/>
          <w:sz w:val="24"/>
        </w:rPr>
        <w:t xml:space="preserve">Eiropas Savienības Statistikas biroja un dalībvalstu statistiķi, kā arī citas ieinteresētās puses tiekas vairākas reizes gadā </w:t>
      </w:r>
      <w:r w:rsidRPr="00B03B51">
        <w:rPr>
          <w:rFonts w:ascii="Times New Roman" w:hAnsi="Times New Roman" w:cs="Times New Roman"/>
          <w:i/>
          <w:iCs/>
          <w:sz w:val="24"/>
        </w:rPr>
        <w:t>Pārmērīga budžeta deficīta novēršanas procedūras statistikas darba grupā</w:t>
      </w:r>
      <w:r w:rsidRPr="00B03B51">
        <w:rPr>
          <w:rFonts w:ascii="Times New Roman" w:hAnsi="Times New Roman" w:cs="Times New Roman"/>
          <w:sz w:val="24"/>
        </w:rPr>
        <w:t xml:space="preserve">, lai apspriestu metodoloģiskos un praktiskos jautājumus saistībā ar valdības statistiku. Šajā rokasgrāmatā sniegtās vadlīnijas ir izstrādātas, ņemot vērā šīs darba grupas kompetenci, </w:t>
      </w:r>
      <w:r w:rsidRPr="00B03B51">
        <w:rPr>
          <w:rFonts w:ascii="Times New Roman" w:hAnsi="Times New Roman" w:cs="Times New Roman"/>
          <w:sz w:val="24"/>
        </w:rPr>
        <w:lastRenderedPageBreak/>
        <w:t xml:space="preserve">kā arī ieceltās </w:t>
      </w:r>
      <w:r w:rsidRPr="00B03B51">
        <w:rPr>
          <w:rFonts w:ascii="Times New Roman" w:hAnsi="Times New Roman" w:cs="Times New Roman"/>
          <w:i/>
          <w:iCs/>
          <w:sz w:val="24"/>
        </w:rPr>
        <w:t>Darba grupas metodoloģijas jautājumos</w:t>
      </w:r>
      <w:r w:rsidRPr="00B03B51">
        <w:rPr>
          <w:rFonts w:ascii="Times New Roman" w:hAnsi="Times New Roman" w:cs="Times New Roman"/>
          <w:sz w:val="24"/>
        </w:rPr>
        <w:t xml:space="preserve"> veikto darbu.</w:t>
      </w:r>
    </w:p>
    <w:p w14:paraId="07771359" w14:textId="77777777" w:rsidR="00994F93" w:rsidRPr="00B03B51" w:rsidRDefault="00994F93" w:rsidP="00994F93">
      <w:pPr>
        <w:jc w:val="both"/>
        <w:rPr>
          <w:rFonts w:ascii="Times New Roman" w:eastAsia="Arial" w:hAnsi="Times New Roman" w:cs="Times New Roman"/>
          <w:noProof/>
          <w:sz w:val="24"/>
          <w:szCs w:val="20"/>
        </w:rPr>
      </w:pPr>
    </w:p>
    <w:p w14:paraId="7E2DF97F"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Galvenie jēdzieni valdības budžeta deficīta un parāda apmēra noteikšanai</w:t>
      </w:r>
    </w:p>
    <w:p w14:paraId="44C977DF" w14:textId="77777777" w:rsidR="00994F93" w:rsidRPr="00B03B51" w:rsidRDefault="00994F93" w:rsidP="00994F93">
      <w:pPr>
        <w:jc w:val="both"/>
        <w:rPr>
          <w:rFonts w:ascii="Times New Roman" w:eastAsia="Arial" w:hAnsi="Times New Roman" w:cs="Times New Roman"/>
          <w:b/>
          <w:bCs/>
          <w:noProof/>
          <w:sz w:val="24"/>
          <w:szCs w:val="21"/>
        </w:rPr>
      </w:pPr>
    </w:p>
    <w:p w14:paraId="00086DD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EKS 2010 ir makroekonomiskās statistikas veidošanas sistēma. Tajā ieraksta darījumu ekonomisko realizāciju, nevis to juridisko formu. Tas var nozīmēt nepieciešamību izvērtēt sarežģītas finanšu operācijas, lai izprastu, kas uzņemas finanšu riskus un kas kontrolē ieguvumus, neatkarīgi no tā, kā ir noformēti līgumi. Saistībā ar valdības budžeta deficīta un parāda apmēra noteikšanu šie centieni konstatēt ekonomisko realitāti ietekmē turpmāk norādītos jautājumus.</w:t>
      </w:r>
    </w:p>
    <w:p w14:paraId="5E6BBEE7" w14:textId="77777777" w:rsidR="00994F93" w:rsidRPr="00B03B51" w:rsidRDefault="00994F93" w:rsidP="00994F93">
      <w:pPr>
        <w:jc w:val="both"/>
        <w:rPr>
          <w:rFonts w:ascii="Times New Roman" w:hAnsi="Times New Roman" w:cs="Times New Roman"/>
          <w:noProof/>
          <w:sz w:val="24"/>
        </w:rPr>
      </w:pPr>
    </w:p>
    <w:p w14:paraId="66879B47" w14:textId="77777777" w:rsidR="00994F93" w:rsidRPr="00B03B51" w:rsidRDefault="00994F93" w:rsidP="00994F93">
      <w:pPr>
        <w:pStyle w:val="BodyText"/>
        <w:numPr>
          <w:ilvl w:val="3"/>
          <w:numId w:val="32"/>
        </w:numPr>
        <w:spacing w:before="0"/>
        <w:ind w:left="426" w:hanging="426"/>
        <w:jc w:val="both"/>
        <w:rPr>
          <w:rFonts w:ascii="Times New Roman" w:hAnsi="Times New Roman" w:cs="Times New Roman"/>
          <w:noProof/>
          <w:sz w:val="24"/>
        </w:rPr>
      </w:pPr>
      <w:r w:rsidRPr="00B03B51">
        <w:rPr>
          <w:rFonts w:ascii="Times New Roman" w:hAnsi="Times New Roman" w:cs="Times New Roman"/>
          <w:sz w:val="24"/>
        </w:rPr>
        <w:t>Vienību klasifikācija: vai vienība ir vai nav iekļauta valdības sektorā? Valsts budžeta deficītu un valsts parādu tieši ietekmē vienības, kuras ietilpst valdības sektorā. To nosaka, izvērtējot, vai vienību kontrolē vai nekontrolē valdība, un to, vai vienība ir ārpustirgus vai tirgus vienība (to var finansēt galvenokārt no pašas vienības pārdevumiem). Privāti kontrolētās institucionālās tirgus vienības neietilpst valdības sektorā.</w:t>
      </w:r>
    </w:p>
    <w:p w14:paraId="7B5CE7D4" w14:textId="77777777" w:rsidR="00994F93" w:rsidRPr="00B03B51" w:rsidRDefault="00994F93" w:rsidP="00994F93">
      <w:pPr>
        <w:pStyle w:val="BodyText"/>
        <w:numPr>
          <w:ilvl w:val="3"/>
          <w:numId w:val="32"/>
        </w:numPr>
        <w:spacing w:before="0"/>
        <w:ind w:left="426" w:hanging="426"/>
        <w:jc w:val="both"/>
        <w:rPr>
          <w:rFonts w:ascii="Times New Roman" w:hAnsi="Times New Roman" w:cs="Times New Roman"/>
          <w:noProof/>
          <w:sz w:val="24"/>
        </w:rPr>
      </w:pPr>
      <w:r w:rsidRPr="00B03B51">
        <w:rPr>
          <w:rFonts w:ascii="Times New Roman" w:hAnsi="Times New Roman" w:cs="Times New Roman"/>
          <w:sz w:val="24"/>
        </w:rPr>
        <w:t>Darījumu laiks: EKS 2010 ieraksta darījumus pēc uzkrāšanas principa, t. i., pēc tā, kad notiek ekonomiskā darbība, nevis pēc tā, kad ir samaksāta skaidra nauda. Šīs atšķirības var būt lielas un tāpēc var nozīmīgi ietekmēt valdības deficītu/pārpalikumu.</w:t>
      </w:r>
    </w:p>
    <w:p w14:paraId="3636A594" w14:textId="77777777" w:rsidR="00994F93" w:rsidRPr="00B03B51" w:rsidRDefault="00994F93" w:rsidP="00994F93">
      <w:pPr>
        <w:pStyle w:val="BodyText"/>
        <w:numPr>
          <w:ilvl w:val="3"/>
          <w:numId w:val="32"/>
        </w:numPr>
        <w:spacing w:before="0"/>
        <w:ind w:left="426" w:hanging="426"/>
        <w:jc w:val="both"/>
        <w:rPr>
          <w:rFonts w:ascii="Times New Roman" w:hAnsi="Times New Roman" w:cs="Times New Roman"/>
          <w:noProof/>
          <w:sz w:val="24"/>
        </w:rPr>
      </w:pPr>
      <w:r w:rsidRPr="00B03B51">
        <w:rPr>
          <w:rFonts w:ascii="Times New Roman" w:hAnsi="Times New Roman" w:cs="Times New Roman"/>
          <w:sz w:val="24"/>
        </w:rPr>
        <w:t>Darījuma būtība: EKS 2010 tiek nošķirti nefinanšu darījumi, piemēram, patēriņš, darba algas un samaksa, subsīdijas vai dotācijas zaudējumu segšanai, kas tieši ietekmē valdības deficītu, un finanšu darījumi, piemēram, finanšu aktīvu iegāde vai aizdevumu atmaksa, kas deficītu neietekmē.</w:t>
      </w:r>
    </w:p>
    <w:p w14:paraId="697AF874" w14:textId="77777777" w:rsidR="00994F93" w:rsidRPr="00B03B51" w:rsidRDefault="00994F93" w:rsidP="00994F93">
      <w:pPr>
        <w:jc w:val="both"/>
        <w:rPr>
          <w:rFonts w:ascii="Times New Roman" w:eastAsia="Arial" w:hAnsi="Times New Roman" w:cs="Times New Roman"/>
          <w:noProof/>
          <w:sz w:val="24"/>
          <w:szCs w:val="19"/>
        </w:rPr>
      </w:pPr>
    </w:p>
    <w:p w14:paraId="2D9A643E"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Rokasgrāmatas struktūra</w:t>
      </w:r>
    </w:p>
    <w:p w14:paraId="170459CB" w14:textId="77777777" w:rsidR="00994F93" w:rsidRPr="00B03B51" w:rsidRDefault="00994F93" w:rsidP="00994F93">
      <w:pPr>
        <w:jc w:val="both"/>
        <w:rPr>
          <w:rFonts w:ascii="Times New Roman" w:eastAsia="Arial" w:hAnsi="Times New Roman" w:cs="Times New Roman"/>
          <w:b/>
          <w:bCs/>
          <w:noProof/>
          <w:sz w:val="24"/>
          <w:szCs w:val="21"/>
        </w:rPr>
      </w:pPr>
    </w:p>
    <w:p w14:paraId="1CF58E39"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Atsaucēm uz rokasgrāmatas tekstu tiek izmantoti turpmāk minētie apzīmējumi, pamatojoties uz nākamajā lappusē iekļautā satura rādītāja uzbūvi.</w:t>
      </w:r>
    </w:p>
    <w:p w14:paraId="135DF381" w14:textId="77777777" w:rsidR="00994F93" w:rsidRPr="00B03B51" w:rsidRDefault="00994F93" w:rsidP="00994F93">
      <w:pPr>
        <w:jc w:val="both"/>
        <w:rPr>
          <w:rFonts w:ascii="Times New Roman" w:eastAsia="Arial" w:hAnsi="Times New Roman" w:cs="Times New Roman"/>
          <w:noProof/>
          <w:sz w:val="24"/>
          <w:szCs w:val="18"/>
        </w:rPr>
      </w:pPr>
    </w:p>
    <w:p w14:paraId="16536AB1" w14:textId="77777777" w:rsidR="00994F93" w:rsidRPr="00B03B51" w:rsidRDefault="00994F93" w:rsidP="00994F93">
      <w:pPr>
        <w:jc w:val="both"/>
        <w:rPr>
          <w:rFonts w:ascii="Times New Roman" w:eastAsia="Arial" w:hAnsi="Times New Roman" w:cs="Times New Roman"/>
          <w:noProof/>
          <w:sz w:val="24"/>
          <w:szCs w:val="18"/>
        </w:rPr>
      </w:pPr>
    </w:p>
    <w:p w14:paraId="1930BF13" w14:textId="77777777" w:rsidR="00994F93" w:rsidRPr="00B03B51" w:rsidRDefault="00994F93" w:rsidP="00994F93">
      <w:pPr>
        <w:pStyle w:val="BodyText"/>
        <w:tabs>
          <w:tab w:val="left" w:pos="170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w:t>
      </w:r>
      <w:r w:rsidRPr="00B03B51">
        <w:rPr>
          <w:rFonts w:ascii="Times New Roman" w:hAnsi="Times New Roman" w:cs="Times New Roman"/>
          <w:sz w:val="24"/>
        </w:rPr>
        <w:tab/>
        <w:t>daļa</w:t>
      </w:r>
    </w:p>
    <w:p w14:paraId="7E1F0D45" w14:textId="77777777" w:rsidR="00994F93" w:rsidRPr="00B03B51" w:rsidRDefault="00994F93" w:rsidP="00994F93">
      <w:pPr>
        <w:pStyle w:val="BodyText"/>
        <w:tabs>
          <w:tab w:val="left" w:pos="170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w:t>
      </w:r>
      <w:r w:rsidRPr="00B03B51">
        <w:rPr>
          <w:rFonts w:ascii="Times New Roman" w:hAnsi="Times New Roman" w:cs="Times New Roman"/>
          <w:sz w:val="24"/>
        </w:rPr>
        <w:tab/>
        <w:t>nodaļa</w:t>
      </w:r>
    </w:p>
    <w:p w14:paraId="084D1A50" w14:textId="77777777" w:rsidR="00994F93" w:rsidRPr="00B03B51" w:rsidRDefault="00994F93" w:rsidP="00994F93">
      <w:pPr>
        <w:pStyle w:val="BodyText"/>
        <w:tabs>
          <w:tab w:val="left" w:pos="170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1.1.1.</w:t>
      </w:r>
      <w:r w:rsidRPr="00B03B51">
        <w:rPr>
          <w:rFonts w:ascii="Times New Roman" w:hAnsi="Times New Roman" w:cs="Times New Roman"/>
          <w:sz w:val="24"/>
        </w:rPr>
        <w:tab/>
        <w:t>iedaļa</w:t>
      </w:r>
    </w:p>
    <w:p w14:paraId="10F7277D" w14:textId="77777777" w:rsidR="00994F93" w:rsidRPr="00B03B51" w:rsidRDefault="00994F93" w:rsidP="00994F93">
      <w:pPr>
        <w:pStyle w:val="BodyText"/>
        <w:tabs>
          <w:tab w:val="left" w:pos="170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1.1.1.1.</w:t>
      </w:r>
      <w:r w:rsidRPr="00B03B51">
        <w:rPr>
          <w:rFonts w:ascii="Times New Roman" w:hAnsi="Times New Roman" w:cs="Times New Roman"/>
          <w:sz w:val="24"/>
        </w:rPr>
        <w:tab/>
        <w:t>apakšiedaļa</w:t>
      </w:r>
    </w:p>
    <w:p w14:paraId="74B29144" w14:textId="77777777" w:rsidR="00994F93" w:rsidRPr="00B03B51" w:rsidRDefault="00994F93" w:rsidP="00994F93">
      <w:pPr>
        <w:jc w:val="both"/>
        <w:rPr>
          <w:rFonts w:ascii="Times New Roman" w:eastAsia="Arial" w:hAnsi="Times New Roman" w:cs="Times New Roman"/>
          <w:noProof/>
          <w:sz w:val="24"/>
          <w:szCs w:val="25"/>
        </w:rPr>
      </w:pPr>
    </w:p>
    <w:p w14:paraId="017BDA0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Visu astoņu daļu sākumā sniegts pārskats, bet beigās – atslēgvārdi un atsauces. Saites uz tiesību aktiem sniegtas pielikumā.</w:t>
      </w:r>
    </w:p>
    <w:p w14:paraId="076765C2"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24B76D97" w14:textId="77777777" w:rsidR="00994F93" w:rsidRPr="00B03B51" w:rsidRDefault="00994F93" w:rsidP="00994F93">
      <w:pPr>
        <w:jc w:val="both"/>
        <w:rPr>
          <w:rFonts w:ascii="Times New Roman" w:eastAsia="Arial" w:hAnsi="Times New Roman" w:cs="Times New Roman"/>
          <w:noProof/>
          <w:sz w:val="24"/>
          <w:szCs w:val="24"/>
        </w:rPr>
      </w:pPr>
    </w:p>
    <w:p w14:paraId="2BF3FBFB" w14:textId="77777777" w:rsidR="00994F93" w:rsidRPr="00B03B51" w:rsidRDefault="00994F93" w:rsidP="00994F93">
      <w:pPr>
        <w:jc w:val="both"/>
        <w:rPr>
          <w:rFonts w:ascii="Times New Roman" w:hAnsi="Times New Roman" w:cs="Times New Roman"/>
          <w:b/>
          <w:noProof/>
          <w:sz w:val="28"/>
          <w:szCs w:val="24"/>
        </w:rPr>
      </w:pPr>
      <w:r w:rsidRPr="00B03B51">
        <w:rPr>
          <w:rFonts w:ascii="Times New Roman" w:hAnsi="Times New Roman" w:cs="Times New Roman"/>
          <w:b/>
          <w:sz w:val="28"/>
          <w:szCs w:val="24"/>
        </w:rPr>
        <w:t>ABREVIATŪRU UN AKRONĪMU SARAKSTS</w:t>
      </w:r>
    </w:p>
    <w:p w14:paraId="4A169E44" w14:textId="77777777" w:rsidR="00994F93" w:rsidRPr="00B03B51" w:rsidRDefault="00994F93" w:rsidP="00994F93">
      <w:pPr>
        <w:jc w:val="both"/>
        <w:rPr>
          <w:rFonts w:ascii="Times New Roman" w:eastAsia="Arial" w:hAnsi="Times New Roman" w:cs="Times New Roman"/>
          <w:b/>
          <w:bCs/>
          <w:noProof/>
          <w:sz w:val="24"/>
          <w:szCs w:val="26"/>
        </w:rPr>
      </w:pPr>
    </w:p>
    <w:p w14:paraId="60C2833C" w14:textId="77777777" w:rsidR="00994F93" w:rsidRPr="00B03B51" w:rsidRDefault="00994F93" w:rsidP="00994F93">
      <w:pPr>
        <w:jc w:val="both"/>
        <w:rPr>
          <w:rFonts w:ascii="Times New Roman" w:eastAsia="Arial" w:hAnsi="Times New Roman" w:cs="Times New Roman"/>
          <w:noProof/>
          <w:sz w:val="24"/>
          <w:szCs w:val="19"/>
        </w:rPr>
      </w:pPr>
      <w:r w:rsidRPr="00B03B51">
        <w:rPr>
          <w:rFonts w:ascii="Times New Roman" w:hAnsi="Times New Roman" w:cs="Times New Roman"/>
          <w:b/>
          <w:bCs/>
          <w:sz w:val="24"/>
          <w:szCs w:val="19"/>
        </w:rPr>
        <w:t>NKS 2008</w:t>
      </w:r>
      <w:r w:rsidRPr="00B03B51">
        <w:rPr>
          <w:rFonts w:ascii="Times New Roman" w:hAnsi="Times New Roman" w:cs="Times New Roman"/>
          <w:sz w:val="24"/>
          <w:szCs w:val="19"/>
        </w:rPr>
        <w:t> – 2008. gada nacionālo kontu sistēma</w:t>
      </w:r>
    </w:p>
    <w:p w14:paraId="213185F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AAU</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Assigned Amount Units</w:t>
      </w:r>
      <w:r w:rsidRPr="00B03B51">
        <w:rPr>
          <w:rFonts w:ascii="Times New Roman" w:hAnsi="Times New Roman" w:cs="Times New Roman"/>
          <w:sz w:val="24"/>
        </w:rPr>
        <w:t>] – noteiktā daudzuma vienības</w:t>
      </w:r>
    </w:p>
    <w:p w14:paraId="03EC2CA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CDS</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Credit default swap</w:t>
      </w:r>
      <w:r w:rsidRPr="00B03B51">
        <w:rPr>
          <w:rFonts w:ascii="Times New Roman" w:hAnsi="Times New Roman" w:cs="Times New Roman"/>
          <w:sz w:val="24"/>
        </w:rPr>
        <w:t>] – kredītsaistību nepildīšanas mijmaiņas līgums</w:t>
      </w:r>
    </w:p>
    <w:p w14:paraId="167A65D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BPM6</w:t>
      </w:r>
      <w:r w:rsidRPr="00B03B51">
        <w:rPr>
          <w:rFonts w:ascii="Times New Roman" w:hAnsi="Times New Roman" w:cs="Times New Roman"/>
          <w:b/>
          <w:bCs/>
          <w:sz w:val="24"/>
        </w:rPr>
        <w:t> </w:t>
      </w:r>
      <w:r w:rsidRPr="00B03B51">
        <w:rPr>
          <w:rFonts w:ascii="Times New Roman" w:hAnsi="Times New Roman" w:cs="Times New Roman"/>
          <w:sz w:val="24"/>
        </w:rPr>
        <w:t>– Maksājumu bilances un starptautisko ieguldījumu bilances rokasgrāmatas 6. izdevums</w:t>
      </w:r>
    </w:p>
    <w:p w14:paraId="70A22BD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DTA</w:t>
      </w:r>
      <w:r w:rsidRPr="00B03B51">
        <w:rPr>
          <w:rFonts w:ascii="Times New Roman" w:hAnsi="Times New Roman" w:cs="Times New Roman"/>
          <w:sz w:val="24"/>
        </w:rPr>
        <w:t xml:space="preserve"> [</w:t>
      </w:r>
      <w:r w:rsidRPr="00B03B51">
        <w:rPr>
          <w:rFonts w:ascii="Times New Roman" w:hAnsi="Times New Roman" w:cs="Times New Roman"/>
          <w:i/>
          <w:iCs/>
          <w:sz w:val="24"/>
        </w:rPr>
        <w:t>Deferred tax assets</w:t>
      </w:r>
      <w:r w:rsidRPr="00B03B51">
        <w:rPr>
          <w:rFonts w:ascii="Times New Roman" w:hAnsi="Times New Roman" w:cs="Times New Roman"/>
          <w:sz w:val="24"/>
        </w:rPr>
        <w:t>] – atliktā nodokļa aktīvi</w:t>
      </w:r>
    </w:p>
    <w:p w14:paraId="1878DA88"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EK </w:t>
      </w:r>
      <w:r w:rsidRPr="00B03B51">
        <w:rPr>
          <w:rFonts w:ascii="Times New Roman" w:hAnsi="Times New Roman" w:cs="Times New Roman"/>
          <w:sz w:val="24"/>
        </w:rPr>
        <w:t>– Eiropas Komisija</w:t>
      </w:r>
    </w:p>
    <w:p w14:paraId="6F645DF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ECB</w:t>
      </w:r>
      <w:r w:rsidRPr="00B03B51">
        <w:rPr>
          <w:rFonts w:ascii="Times New Roman" w:hAnsi="Times New Roman" w:cs="Times New Roman"/>
          <w:sz w:val="24"/>
        </w:rPr>
        <w:t> – Eiropas Centrālā banka</w:t>
      </w:r>
    </w:p>
    <w:p w14:paraId="787575F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EDP</w:t>
      </w:r>
      <w:r w:rsidRPr="00B03B51">
        <w:rPr>
          <w:rFonts w:ascii="Times New Roman" w:hAnsi="Times New Roman" w:cs="Times New Roman"/>
          <w:sz w:val="24"/>
        </w:rPr>
        <w:t> – pārmērīga budžeta deficīta novēršanas procedūra</w:t>
      </w:r>
    </w:p>
    <w:p w14:paraId="4D3A74C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EDPS</w:t>
      </w:r>
      <w:r w:rsidRPr="00B03B51">
        <w:rPr>
          <w:rFonts w:ascii="Times New Roman" w:hAnsi="Times New Roman" w:cs="Times New Roman"/>
          <w:b/>
          <w:bCs/>
          <w:sz w:val="24"/>
        </w:rPr>
        <w:t xml:space="preserve"> DG</w:t>
      </w:r>
      <w:r w:rsidRPr="00B03B51">
        <w:rPr>
          <w:rFonts w:ascii="Times New Roman" w:hAnsi="Times New Roman" w:cs="Times New Roman"/>
          <w:sz w:val="24"/>
        </w:rPr>
        <w:t> – pārmērīga budžeta deficīta novēršanas procedūras statistikas darba grupa</w:t>
      </w:r>
    </w:p>
    <w:p w14:paraId="569F6C48"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EFSI</w:t>
      </w:r>
      <w:r w:rsidRPr="00B03B51">
        <w:rPr>
          <w:rFonts w:ascii="Times New Roman" w:hAnsi="Times New Roman" w:cs="Times New Roman"/>
          <w:sz w:val="24"/>
        </w:rPr>
        <w:t> – Eiropas Finanšu stabilitātes instruments</w:t>
      </w:r>
    </w:p>
    <w:p w14:paraId="3D09EC8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EFSM</w:t>
      </w:r>
      <w:r w:rsidRPr="00B03B51">
        <w:rPr>
          <w:rFonts w:ascii="Times New Roman" w:hAnsi="Times New Roman" w:cs="Times New Roman"/>
          <w:sz w:val="24"/>
        </w:rPr>
        <w:t> – Eiropas Finanšu stabilitātes mehānisms</w:t>
      </w:r>
    </w:p>
    <w:p w14:paraId="40C315B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EIB</w:t>
      </w:r>
      <w:r w:rsidRPr="00B03B51">
        <w:rPr>
          <w:rFonts w:ascii="Times New Roman" w:hAnsi="Times New Roman" w:cs="Times New Roman"/>
          <w:sz w:val="24"/>
        </w:rPr>
        <w:t> – Eiropas Investīciju banka</w:t>
      </w:r>
    </w:p>
    <w:p w14:paraId="1724C2D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EMS</w:t>
      </w:r>
      <w:r w:rsidRPr="00B03B51">
        <w:rPr>
          <w:rFonts w:ascii="Times New Roman" w:hAnsi="Times New Roman" w:cs="Times New Roman"/>
          <w:sz w:val="24"/>
        </w:rPr>
        <w:t> – Ekonomikas un monetārā savienība</w:t>
      </w:r>
    </w:p>
    <w:p w14:paraId="7853257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EKS 2010</w:t>
      </w:r>
      <w:r w:rsidRPr="00B03B51">
        <w:rPr>
          <w:rFonts w:ascii="Times New Roman" w:hAnsi="Times New Roman" w:cs="Times New Roman"/>
          <w:sz w:val="24"/>
        </w:rPr>
        <w:t> – Eiropas kontu sistēma 2010</w:t>
      </w:r>
    </w:p>
    <w:p w14:paraId="28D0458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ESIF</w:t>
      </w:r>
      <w:r w:rsidRPr="00B03B51">
        <w:rPr>
          <w:rFonts w:ascii="Times New Roman" w:hAnsi="Times New Roman" w:cs="Times New Roman"/>
          <w:sz w:val="24"/>
        </w:rPr>
        <w:t> – Eiropas strukturālie un investīciju fondi</w:t>
      </w:r>
    </w:p>
    <w:p w14:paraId="59073D9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ESM</w:t>
      </w:r>
      <w:r w:rsidRPr="00B03B51">
        <w:rPr>
          <w:rFonts w:ascii="Times New Roman" w:hAnsi="Times New Roman" w:cs="Times New Roman"/>
          <w:sz w:val="24"/>
        </w:rPr>
        <w:t> – Eiropas Stabilitātes mehānisms</w:t>
      </w:r>
    </w:p>
    <w:p w14:paraId="05D331B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ESCB</w:t>
      </w:r>
      <w:r w:rsidRPr="00B03B51">
        <w:rPr>
          <w:rFonts w:ascii="Times New Roman" w:hAnsi="Times New Roman" w:cs="Times New Roman"/>
          <w:sz w:val="24"/>
        </w:rPr>
        <w:t> – Eiropas Centrālo banku sistēma</w:t>
      </w:r>
    </w:p>
    <w:p w14:paraId="1225E04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ETS</w:t>
      </w:r>
      <w:r w:rsidRPr="00B03B51">
        <w:rPr>
          <w:rFonts w:ascii="Times New Roman" w:hAnsi="Times New Roman" w:cs="Times New Roman"/>
          <w:sz w:val="24"/>
        </w:rPr>
        <w:t xml:space="preserve"> [</w:t>
      </w:r>
      <w:r w:rsidRPr="00B03B51">
        <w:rPr>
          <w:rFonts w:ascii="Times New Roman" w:hAnsi="Times New Roman" w:cs="Times New Roman"/>
          <w:i/>
          <w:iCs/>
          <w:sz w:val="24"/>
        </w:rPr>
        <w:t>Emission Trading System</w:t>
      </w:r>
      <w:r w:rsidRPr="00B03B51">
        <w:rPr>
          <w:rFonts w:ascii="Times New Roman" w:hAnsi="Times New Roman" w:cs="Times New Roman"/>
          <w:sz w:val="24"/>
        </w:rPr>
        <w:t>] – Emisijas kvotu tirdzniecības sistēma</w:t>
      </w:r>
    </w:p>
    <w:p w14:paraId="5219547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ES</w:t>
      </w:r>
      <w:r w:rsidRPr="00B03B51">
        <w:rPr>
          <w:rFonts w:ascii="Times New Roman" w:hAnsi="Times New Roman" w:cs="Times New Roman"/>
          <w:sz w:val="24"/>
        </w:rPr>
        <w:t> – Eiropas Savienība</w:t>
      </w:r>
    </w:p>
    <w:p w14:paraId="30C92E5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Eurostat</w:t>
      </w:r>
      <w:r w:rsidRPr="00B03B51">
        <w:rPr>
          <w:rFonts w:ascii="Times New Roman" w:hAnsi="Times New Roman" w:cs="Times New Roman"/>
          <w:sz w:val="24"/>
        </w:rPr>
        <w:t> – Eiropas Kopienu Statistikas birojs</w:t>
      </w:r>
    </w:p>
    <w:p w14:paraId="3102CD4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IKP</w:t>
      </w:r>
      <w:r w:rsidRPr="00B03B51">
        <w:rPr>
          <w:rFonts w:ascii="Times New Roman" w:hAnsi="Times New Roman" w:cs="Times New Roman"/>
          <w:sz w:val="24"/>
        </w:rPr>
        <w:t> – iekšzemes kopprodukts</w:t>
      </w:r>
    </w:p>
    <w:p w14:paraId="53897C7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GFCF</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Gross fixed capital formation</w:t>
      </w:r>
      <w:r w:rsidRPr="00B03B51">
        <w:rPr>
          <w:rFonts w:ascii="Times New Roman" w:hAnsi="Times New Roman" w:cs="Times New Roman"/>
          <w:sz w:val="24"/>
        </w:rPr>
        <w:t>] – bruto pamatkapitāla veidošana (pamatlīdzekļu tīrā iegāde)</w:t>
      </w:r>
    </w:p>
    <w:p w14:paraId="5C7A095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VFS</w:t>
      </w:r>
      <w:r w:rsidRPr="00B03B51">
        <w:rPr>
          <w:rFonts w:ascii="Times New Roman" w:hAnsi="Times New Roman" w:cs="Times New Roman"/>
          <w:sz w:val="24"/>
        </w:rPr>
        <w:t> – valdības finanšu statistika</w:t>
      </w:r>
    </w:p>
    <w:p w14:paraId="50C4924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NKI</w:t>
      </w:r>
      <w:r w:rsidRPr="00B03B51">
        <w:rPr>
          <w:rFonts w:ascii="Times New Roman" w:hAnsi="Times New Roman" w:cs="Times New Roman"/>
          <w:sz w:val="24"/>
        </w:rPr>
        <w:t> – nacionālais kopienākums</w:t>
      </w:r>
    </w:p>
    <w:p w14:paraId="202CF24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IFRS</w:t>
      </w:r>
      <w:r w:rsidRPr="00B03B51">
        <w:rPr>
          <w:rFonts w:ascii="Times New Roman" w:hAnsi="Times New Roman" w:cs="Times New Roman"/>
          <w:sz w:val="24"/>
        </w:rPr>
        <w:t> – Starptautiskie finanšu pārskatu standarti</w:t>
      </w:r>
    </w:p>
    <w:p w14:paraId="77568B7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SVF</w:t>
      </w:r>
      <w:r w:rsidRPr="00B03B51">
        <w:rPr>
          <w:rFonts w:ascii="Times New Roman" w:hAnsi="Times New Roman" w:cs="Times New Roman"/>
          <w:sz w:val="24"/>
        </w:rPr>
        <w:t> – Starptautiskais Valūtas fonds</w:t>
      </w:r>
    </w:p>
    <w:p w14:paraId="4E323F7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IPSAS</w:t>
      </w:r>
      <w:r w:rsidRPr="00B03B51">
        <w:rPr>
          <w:rFonts w:ascii="Times New Roman" w:hAnsi="Times New Roman" w:cs="Times New Roman"/>
          <w:sz w:val="24"/>
        </w:rPr>
        <w:t> – Starptautiskie publiskā sektora grāmatvedības standarti</w:t>
      </w:r>
    </w:p>
    <w:p w14:paraId="78BA424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IRS</w:t>
      </w:r>
      <w:r w:rsidRPr="00B03B51">
        <w:rPr>
          <w:rFonts w:ascii="Times New Roman" w:hAnsi="Times New Roman" w:cs="Times New Roman"/>
          <w:sz w:val="24"/>
        </w:rPr>
        <w:t xml:space="preserve"> [</w:t>
      </w:r>
      <w:r w:rsidRPr="00B03B51">
        <w:rPr>
          <w:rFonts w:ascii="Times New Roman" w:hAnsi="Times New Roman" w:cs="Times New Roman"/>
          <w:i/>
          <w:iCs/>
          <w:sz w:val="24"/>
        </w:rPr>
        <w:t>Interest rate swap</w:t>
      </w:r>
      <w:r w:rsidRPr="00B03B51">
        <w:rPr>
          <w:rFonts w:ascii="Times New Roman" w:hAnsi="Times New Roman" w:cs="Times New Roman"/>
          <w:sz w:val="24"/>
        </w:rPr>
        <w:t>] – procentu likmju mijmaiņas darījums</w:t>
      </w:r>
    </w:p>
    <w:p w14:paraId="1C8E5E0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ISWGNA</w:t>
      </w:r>
      <w:r w:rsidRPr="00B03B51">
        <w:rPr>
          <w:rFonts w:ascii="Times New Roman" w:hAnsi="Times New Roman" w:cs="Times New Roman"/>
          <w:b/>
          <w:bCs/>
          <w:sz w:val="24"/>
        </w:rPr>
        <w:t xml:space="preserve"> </w:t>
      </w:r>
      <w:r w:rsidRPr="00B03B51">
        <w:rPr>
          <w:rFonts w:ascii="Times New Roman" w:hAnsi="Times New Roman" w:cs="Times New Roman"/>
          <w:sz w:val="24"/>
        </w:rPr>
        <w:t>– Tautsaimniecības pārskatu starpsekretariātu darba grupa (ANO, EK, IVF, ESAO, PB)</w:t>
      </w:r>
    </w:p>
    <w:p w14:paraId="1CBA660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LSCB</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Loan Specific Cash Buffer</w:t>
      </w:r>
      <w:r w:rsidRPr="00B03B51">
        <w:rPr>
          <w:rFonts w:ascii="Times New Roman" w:hAnsi="Times New Roman" w:cs="Times New Roman"/>
          <w:sz w:val="24"/>
        </w:rPr>
        <w:t>] – aizdevuma naudas rezerve</w:t>
      </w:r>
    </w:p>
    <w:p w14:paraId="35E7C29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MGDD</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Manual on Government Deficit and Debt – ESA implementation</w:t>
      </w:r>
      <w:r w:rsidRPr="00B03B51">
        <w:rPr>
          <w:rFonts w:ascii="Times New Roman" w:hAnsi="Times New Roman" w:cs="Times New Roman"/>
          <w:sz w:val="24"/>
        </w:rPr>
        <w:t>] – Valdības budžeta deficīta un parāda rokasgrāmata – EKS īstenošana</w:t>
      </w:r>
    </w:p>
    <w:p w14:paraId="1721550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VCB</w:t>
      </w:r>
      <w:r w:rsidRPr="00B03B51">
        <w:rPr>
          <w:rFonts w:ascii="Times New Roman" w:hAnsi="Times New Roman" w:cs="Times New Roman"/>
          <w:sz w:val="24"/>
        </w:rPr>
        <w:t> – valsts centrālā banka</w:t>
      </w:r>
    </w:p>
    <w:p w14:paraId="74C8BC0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BPI</w:t>
      </w:r>
      <w:r w:rsidRPr="00B03B51">
        <w:rPr>
          <w:rFonts w:ascii="Times New Roman" w:hAnsi="Times New Roman" w:cs="Times New Roman"/>
          <w:sz w:val="24"/>
        </w:rPr>
        <w:t> – bezpeļņas institūcija</w:t>
      </w:r>
    </w:p>
    <w:p w14:paraId="53E2060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ESAO</w:t>
      </w:r>
      <w:r w:rsidRPr="00B03B51">
        <w:rPr>
          <w:rFonts w:ascii="Times New Roman" w:hAnsi="Times New Roman" w:cs="Times New Roman"/>
          <w:sz w:val="24"/>
        </w:rPr>
        <w:t> – Ekonomiskās sadarbības un attīstības organizācija</w:t>
      </w:r>
    </w:p>
    <w:p w14:paraId="210DF7E9"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PAYE</w:t>
      </w:r>
      <w:r w:rsidRPr="00B03B51">
        <w:rPr>
          <w:rFonts w:ascii="Times New Roman" w:hAnsi="Times New Roman" w:cs="Times New Roman"/>
          <w:sz w:val="24"/>
        </w:rPr>
        <w:t xml:space="preserve"> [</w:t>
      </w:r>
      <w:r w:rsidRPr="00B03B51">
        <w:rPr>
          <w:rFonts w:ascii="Times New Roman" w:hAnsi="Times New Roman" w:cs="Times New Roman"/>
          <w:i/>
          <w:iCs/>
          <w:sz w:val="24"/>
        </w:rPr>
        <w:t>A pay-as-you-earn tax</w:t>
      </w:r>
      <w:r w:rsidRPr="00B03B51">
        <w:rPr>
          <w:rFonts w:ascii="Times New Roman" w:hAnsi="Times New Roman" w:cs="Times New Roman"/>
          <w:sz w:val="24"/>
        </w:rPr>
        <w:t>] – “maksā, kad nopelni” nodoklis</w:t>
      </w:r>
    </w:p>
    <w:p w14:paraId="2FEC766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P&amp;I</w:t>
      </w:r>
      <w:r w:rsidRPr="00B03B51">
        <w:rPr>
          <w:rFonts w:ascii="Times New Roman" w:hAnsi="Times New Roman" w:cs="Times New Roman"/>
          <w:sz w:val="24"/>
        </w:rPr>
        <w:t> – pētniecība un izstrāde</w:t>
      </w:r>
    </w:p>
    <w:p w14:paraId="1D87B95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RoE</w:t>
      </w:r>
      <w:r w:rsidRPr="00B03B51">
        <w:rPr>
          <w:rFonts w:ascii="Times New Roman" w:hAnsi="Times New Roman" w:cs="Times New Roman"/>
          <w:b/>
          <w:bCs/>
          <w:sz w:val="24"/>
        </w:rPr>
        <w:t xml:space="preserve"> </w:t>
      </w:r>
      <w:r w:rsidRPr="00B03B51">
        <w:rPr>
          <w:rFonts w:ascii="Times New Roman" w:hAnsi="Times New Roman" w:cs="Times New Roman"/>
          <w:sz w:val="24"/>
        </w:rPr>
        <w:t>[</w:t>
      </w:r>
      <w:r w:rsidRPr="00B03B51">
        <w:rPr>
          <w:rFonts w:ascii="Times New Roman" w:hAnsi="Times New Roman" w:cs="Times New Roman"/>
          <w:i/>
          <w:iCs/>
          <w:sz w:val="24"/>
        </w:rPr>
        <w:t>Return on equity</w:t>
      </w:r>
      <w:r w:rsidRPr="00B03B51">
        <w:rPr>
          <w:rFonts w:ascii="Times New Roman" w:hAnsi="Times New Roman" w:cs="Times New Roman"/>
          <w:sz w:val="24"/>
        </w:rPr>
        <w:t>] – pašu kapitāla atdeve</w:t>
      </w:r>
    </w:p>
    <w:p w14:paraId="7ADF247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i/>
          <w:iCs/>
          <w:sz w:val="24"/>
        </w:rPr>
        <w:t>RoW</w:t>
      </w:r>
      <w:r w:rsidRPr="00B03B51">
        <w:rPr>
          <w:rFonts w:ascii="Times New Roman" w:hAnsi="Times New Roman" w:cs="Times New Roman"/>
          <w:sz w:val="24"/>
        </w:rPr>
        <w:t xml:space="preserve"> [</w:t>
      </w:r>
      <w:r w:rsidRPr="00B03B51">
        <w:rPr>
          <w:rFonts w:ascii="Times New Roman" w:hAnsi="Times New Roman" w:cs="Times New Roman"/>
          <w:i/>
          <w:iCs/>
          <w:sz w:val="24"/>
        </w:rPr>
        <w:t>the rest of the world</w:t>
      </w:r>
      <w:r w:rsidRPr="00B03B51">
        <w:rPr>
          <w:rFonts w:ascii="Times New Roman" w:hAnsi="Times New Roman" w:cs="Times New Roman"/>
          <w:sz w:val="24"/>
        </w:rPr>
        <w:t>] – pārējā pasaule</w:t>
      </w:r>
    </w:p>
    <w:p w14:paraId="5D86B07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ĪNDS</w:t>
      </w:r>
      <w:r w:rsidRPr="00B03B51">
        <w:rPr>
          <w:rFonts w:ascii="Times New Roman" w:hAnsi="Times New Roman" w:cs="Times New Roman"/>
          <w:sz w:val="24"/>
        </w:rPr>
        <w:t> – īpašam nolūkam dibināta sabiedrība</w:t>
      </w:r>
    </w:p>
    <w:p w14:paraId="132D7B5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LESD</w:t>
      </w:r>
      <w:r w:rsidRPr="00B03B51">
        <w:rPr>
          <w:rFonts w:ascii="Times New Roman" w:hAnsi="Times New Roman" w:cs="Times New Roman"/>
          <w:sz w:val="24"/>
        </w:rPr>
        <w:t> – Līgums par Eiropas Savienības darbību</w:t>
      </w:r>
    </w:p>
    <w:p w14:paraId="52E24AF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ANO</w:t>
      </w:r>
      <w:r w:rsidRPr="00B03B51">
        <w:rPr>
          <w:rFonts w:ascii="Times New Roman" w:hAnsi="Times New Roman" w:cs="Times New Roman"/>
          <w:sz w:val="24"/>
        </w:rPr>
        <w:t> – Apvienoto Nāciju Organizācija</w:t>
      </w:r>
    </w:p>
    <w:p w14:paraId="4E63D28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PVN</w:t>
      </w:r>
      <w:r w:rsidRPr="00B03B51">
        <w:rPr>
          <w:rFonts w:ascii="Times New Roman" w:hAnsi="Times New Roman" w:cs="Times New Roman"/>
          <w:sz w:val="24"/>
        </w:rPr>
        <w:t> – pievienotās vērtības nodoklis</w:t>
      </w:r>
    </w:p>
    <w:p w14:paraId="66917B1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PB</w:t>
      </w:r>
      <w:r w:rsidRPr="00B03B51">
        <w:rPr>
          <w:rFonts w:ascii="Times New Roman" w:hAnsi="Times New Roman" w:cs="Times New Roman"/>
          <w:sz w:val="24"/>
        </w:rPr>
        <w:t> – Pasaules Banka</w:t>
      </w:r>
    </w:p>
    <w:p w14:paraId="762BCB3D"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0920D19C" w14:textId="77777777" w:rsidR="00994F93" w:rsidRPr="00B03B51" w:rsidRDefault="00994F93" w:rsidP="00994F93">
      <w:pPr>
        <w:jc w:val="both"/>
        <w:rPr>
          <w:rFonts w:ascii="Times New Roman" w:eastAsia="Arial" w:hAnsi="Times New Roman" w:cs="Times New Roman"/>
          <w:noProof/>
          <w:sz w:val="24"/>
          <w:szCs w:val="29"/>
        </w:rPr>
      </w:pPr>
    </w:p>
    <w:p w14:paraId="4B15F742" w14:textId="77777777" w:rsidR="00994F93" w:rsidRPr="00B03B51" w:rsidRDefault="00994F93" w:rsidP="00994F93">
      <w:pPr>
        <w:pStyle w:val="Heading2"/>
        <w:spacing w:before="0"/>
        <w:ind w:left="0" w:firstLine="0"/>
        <w:jc w:val="both"/>
        <w:rPr>
          <w:rFonts w:ascii="Times New Roman" w:hAnsi="Times New Roman" w:cs="Times New Roman"/>
          <w:noProof/>
          <w:sz w:val="24"/>
        </w:rPr>
      </w:pPr>
      <w:bookmarkStart w:id="2" w:name="_Toc67565015"/>
      <w:r w:rsidRPr="00B03B51">
        <w:rPr>
          <w:rFonts w:ascii="Times New Roman" w:hAnsi="Times New Roman" w:cs="Times New Roman"/>
          <w:sz w:val="24"/>
        </w:rPr>
        <w:t>Saturs</w:t>
      </w:r>
      <w:bookmarkStart w:id="3" w:name="Contents"/>
      <w:bookmarkEnd w:id="2"/>
      <w:bookmarkEnd w:id="3"/>
    </w:p>
    <w:sdt>
      <w:sdtPr>
        <w:rPr>
          <w:rFonts w:ascii="Times New Roman" w:eastAsiaTheme="minorHAnsi" w:hAnsi="Times New Roman" w:cs="Times New Roman"/>
          <w:color w:val="auto"/>
          <w:sz w:val="22"/>
          <w:szCs w:val="22"/>
          <w:lang w:eastAsia="en-US"/>
        </w:rPr>
        <w:id w:val="1673606655"/>
        <w:docPartObj>
          <w:docPartGallery w:val="Table of Contents"/>
          <w:docPartUnique/>
        </w:docPartObj>
      </w:sdtPr>
      <w:sdtEndPr>
        <w:rPr>
          <w:b/>
          <w:bCs/>
        </w:rPr>
      </w:sdtEndPr>
      <w:sdtContent>
        <w:p w14:paraId="22255444" w14:textId="60AEA8D7" w:rsidR="00F5732C" w:rsidRPr="00B03B51" w:rsidRDefault="00F5732C" w:rsidP="00662E0A">
          <w:pPr>
            <w:pStyle w:val="TOCHeading"/>
            <w:spacing w:before="0" w:line="240" w:lineRule="auto"/>
            <w:rPr>
              <w:rFonts w:ascii="Times New Roman" w:hAnsi="Times New Roman" w:cs="Times New Roman"/>
              <w:color w:val="auto"/>
              <w:sz w:val="24"/>
            </w:rPr>
          </w:pPr>
        </w:p>
        <w:p w14:paraId="19F7B2F2" w14:textId="5EDDF1BB" w:rsidR="00F5732C" w:rsidRPr="00B03B51" w:rsidRDefault="00F5732C" w:rsidP="00662E0A">
          <w:pPr>
            <w:pStyle w:val="TOC2"/>
            <w:tabs>
              <w:tab w:val="right" w:leader="dot" w:pos="9061"/>
            </w:tabs>
            <w:spacing w:before="0"/>
            <w:ind w:left="0"/>
            <w:rPr>
              <w:rFonts w:ascii="Times New Roman" w:eastAsiaTheme="minorEastAsia" w:hAnsi="Times New Roman" w:cs="Times New Roman"/>
              <w:noProof/>
              <w:sz w:val="24"/>
              <w:lang w:eastAsia="lv-LV"/>
            </w:rPr>
          </w:pPr>
          <w:r w:rsidRPr="00B03B51">
            <w:rPr>
              <w:rFonts w:ascii="Times New Roman" w:hAnsi="Times New Roman" w:cs="Times New Roman"/>
              <w:b w:val="0"/>
              <w:bCs w:val="0"/>
              <w:sz w:val="24"/>
            </w:rPr>
            <w:fldChar w:fldCharType="begin"/>
          </w:r>
          <w:r w:rsidRPr="00B03B51">
            <w:rPr>
              <w:rFonts w:ascii="Times New Roman" w:hAnsi="Times New Roman" w:cs="Times New Roman"/>
              <w:b w:val="0"/>
              <w:bCs w:val="0"/>
              <w:sz w:val="24"/>
            </w:rPr>
            <w:instrText xml:space="preserve"> TOC \o "1-3" \h \z \u </w:instrText>
          </w:r>
          <w:r w:rsidRPr="00B03B51">
            <w:rPr>
              <w:rFonts w:ascii="Times New Roman" w:hAnsi="Times New Roman" w:cs="Times New Roman"/>
              <w:b w:val="0"/>
              <w:bCs w:val="0"/>
              <w:sz w:val="24"/>
            </w:rPr>
            <w:fldChar w:fldCharType="separate"/>
          </w:r>
          <w:hyperlink w:anchor="_Toc67565016" w:history="1">
            <w:r w:rsidRPr="00B03B51">
              <w:rPr>
                <w:rStyle w:val="Hyperlink"/>
                <w:rFonts w:ascii="Times New Roman" w:hAnsi="Times New Roman" w:cs="Times New Roman"/>
                <w:noProof/>
                <w:sz w:val="24"/>
              </w:rPr>
              <w:t>1. Vispārējās valdības sektora norobežošana</w:t>
            </w:r>
            <w:r w:rsidRPr="00B03B51">
              <w:rPr>
                <w:rFonts w:ascii="Times New Roman" w:hAnsi="Times New Roman" w:cs="Times New Roman"/>
                <w:noProof/>
                <w:webHidden/>
                <w:sz w:val="24"/>
              </w:rPr>
              <w:tab/>
            </w:r>
            <w:r w:rsidRPr="00B03B51">
              <w:rPr>
                <w:rFonts w:ascii="Times New Roman" w:hAnsi="Times New Roman" w:cs="Times New Roman"/>
                <w:noProof/>
                <w:webHidden/>
                <w:sz w:val="24"/>
              </w:rPr>
              <w:fldChar w:fldCharType="begin"/>
            </w:r>
            <w:r w:rsidRPr="00B03B51">
              <w:rPr>
                <w:rFonts w:ascii="Times New Roman" w:hAnsi="Times New Roman" w:cs="Times New Roman"/>
                <w:noProof/>
                <w:webHidden/>
                <w:sz w:val="24"/>
              </w:rPr>
              <w:instrText xml:space="preserve"> PAGEREF _Toc67565016 \h </w:instrText>
            </w:r>
            <w:r w:rsidRPr="00B03B51">
              <w:rPr>
                <w:rFonts w:ascii="Times New Roman" w:hAnsi="Times New Roman" w:cs="Times New Roman"/>
                <w:noProof/>
                <w:webHidden/>
                <w:sz w:val="24"/>
              </w:rPr>
            </w:r>
            <w:r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11</w:t>
            </w:r>
            <w:r w:rsidRPr="00B03B51">
              <w:rPr>
                <w:rFonts w:ascii="Times New Roman" w:hAnsi="Times New Roman" w:cs="Times New Roman"/>
                <w:noProof/>
                <w:webHidden/>
                <w:sz w:val="24"/>
              </w:rPr>
              <w:fldChar w:fldCharType="end"/>
            </w:r>
          </w:hyperlink>
        </w:p>
        <w:p w14:paraId="4E98B193" w14:textId="31DF277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17" w:history="1">
            <w:r w:rsidR="00F5732C" w:rsidRPr="00B03B51">
              <w:rPr>
                <w:rStyle w:val="Hyperlink"/>
                <w:rFonts w:ascii="Times New Roman" w:hAnsi="Times New Roman" w:cs="Times New Roman"/>
                <w:b w:val="0"/>
                <w:bCs w:val="0"/>
                <w:noProof/>
                <w:sz w:val="24"/>
              </w:rPr>
              <w:t>1.1.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_Toc67565017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11</w:t>
            </w:r>
            <w:r w:rsidR="00F5732C" w:rsidRPr="00B03B51">
              <w:rPr>
                <w:rFonts w:ascii="Times New Roman" w:hAnsi="Times New Roman" w:cs="Times New Roman"/>
                <w:b w:val="0"/>
                <w:bCs w:val="0"/>
                <w:noProof/>
                <w:webHidden/>
                <w:sz w:val="24"/>
              </w:rPr>
              <w:fldChar w:fldCharType="end"/>
            </w:r>
          </w:hyperlink>
        </w:p>
        <w:p w14:paraId="52E12F11" w14:textId="31E2E7D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18" w:history="1">
            <w:r w:rsidR="00F5732C" w:rsidRPr="00B03B51">
              <w:rPr>
                <w:rStyle w:val="Hyperlink"/>
                <w:rFonts w:ascii="Times New Roman" w:hAnsi="Times New Roman" w:cs="Times New Roman"/>
                <w:b w:val="0"/>
                <w:bCs w:val="0"/>
                <w:noProof/>
                <w:sz w:val="24"/>
              </w:rPr>
              <w:t>1.2. Kritēriji vienību klasificēšanai vispārējās valdības sektorā</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_Toc67565018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13</w:t>
            </w:r>
            <w:r w:rsidR="00F5732C" w:rsidRPr="00B03B51">
              <w:rPr>
                <w:rFonts w:ascii="Times New Roman" w:hAnsi="Times New Roman" w:cs="Times New Roman"/>
                <w:b w:val="0"/>
                <w:bCs w:val="0"/>
                <w:noProof/>
                <w:webHidden/>
                <w:sz w:val="24"/>
              </w:rPr>
              <w:fldChar w:fldCharType="end"/>
            </w:r>
          </w:hyperlink>
        </w:p>
        <w:p w14:paraId="3E522C60" w14:textId="4985A73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23" w:history="1">
            <w:r w:rsidR="00F5732C" w:rsidRPr="00B03B51">
              <w:rPr>
                <w:rStyle w:val="Hyperlink"/>
                <w:rFonts w:ascii="Times New Roman" w:hAnsi="Times New Roman" w:cs="Times New Roman"/>
                <w:b w:val="0"/>
                <w:bCs w:val="0"/>
                <w:noProof/>
                <w:sz w:val="24"/>
              </w:rPr>
              <w:t>1.3. Pensiju institūcijas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_Toc67565023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55</w:t>
            </w:r>
            <w:r w:rsidR="00F5732C" w:rsidRPr="00B03B51">
              <w:rPr>
                <w:rFonts w:ascii="Times New Roman" w:hAnsi="Times New Roman" w:cs="Times New Roman"/>
                <w:b w:val="0"/>
                <w:bCs w:val="0"/>
                <w:noProof/>
                <w:webHidden/>
                <w:sz w:val="24"/>
              </w:rPr>
              <w:fldChar w:fldCharType="end"/>
            </w:r>
          </w:hyperlink>
        </w:p>
        <w:p w14:paraId="7E2F5939" w14:textId="0CD7C4E3"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28" w:history="1">
            <w:r w:rsidR="00F5732C" w:rsidRPr="00B03B51">
              <w:rPr>
                <w:rStyle w:val="Hyperlink"/>
                <w:rFonts w:ascii="Times New Roman" w:hAnsi="Times New Roman" w:cs="Times New Roman"/>
                <w:b w:val="0"/>
                <w:bCs w:val="0"/>
                <w:noProof/>
                <w:sz w:val="24"/>
              </w:rPr>
              <w:t>1.4. Tirgu regulējošas institūcijas lauksaimniecības nozarē</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_Toc67565028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62</w:t>
            </w:r>
            <w:r w:rsidR="00F5732C" w:rsidRPr="00B03B51">
              <w:rPr>
                <w:rFonts w:ascii="Times New Roman" w:hAnsi="Times New Roman" w:cs="Times New Roman"/>
                <w:b w:val="0"/>
                <w:bCs w:val="0"/>
                <w:noProof/>
                <w:webHidden/>
                <w:sz w:val="24"/>
              </w:rPr>
              <w:fldChar w:fldCharType="end"/>
            </w:r>
          </w:hyperlink>
        </w:p>
        <w:p w14:paraId="35781A73" w14:textId="06F1D3E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32" w:history="1">
            <w:r w:rsidR="00F5732C" w:rsidRPr="00B03B51">
              <w:rPr>
                <w:rStyle w:val="Hyperlink"/>
                <w:rFonts w:ascii="Times New Roman" w:hAnsi="Times New Roman" w:cs="Times New Roman"/>
                <w:b w:val="0"/>
                <w:bCs w:val="0"/>
                <w:noProof/>
                <w:sz w:val="24"/>
              </w:rPr>
              <w:t>1.5. Vienības, kas veic finansiālās darbības – vispārīgi jautājumi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_Toc67565032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69</w:t>
            </w:r>
            <w:r w:rsidR="00F5732C" w:rsidRPr="00B03B51">
              <w:rPr>
                <w:rFonts w:ascii="Times New Roman" w:hAnsi="Times New Roman" w:cs="Times New Roman"/>
                <w:b w:val="0"/>
                <w:bCs w:val="0"/>
                <w:noProof/>
                <w:webHidden/>
                <w:sz w:val="24"/>
              </w:rPr>
              <w:fldChar w:fldCharType="end"/>
            </w:r>
          </w:hyperlink>
        </w:p>
        <w:p w14:paraId="5B9B8CDC" w14:textId="00535664"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33" w:history="1">
            <w:r w:rsidR="00F5732C" w:rsidRPr="00B03B51">
              <w:rPr>
                <w:rStyle w:val="Hyperlink"/>
                <w:rFonts w:ascii="Times New Roman" w:hAnsi="Times New Roman" w:cs="Times New Roman"/>
                <w:b w:val="0"/>
                <w:bCs w:val="0"/>
                <w:noProof/>
                <w:sz w:val="24"/>
              </w:rPr>
              <w:t>1.6. Īpaši publiski subjekti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_Toc67565033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76</w:t>
            </w:r>
            <w:r w:rsidR="00F5732C" w:rsidRPr="00B03B51">
              <w:rPr>
                <w:rFonts w:ascii="Times New Roman" w:hAnsi="Times New Roman" w:cs="Times New Roman"/>
                <w:b w:val="0"/>
                <w:bCs w:val="0"/>
                <w:noProof/>
                <w:webHidden/>
                <w:sz w:val="24"/>
              </w:rPr>
              <w:fldChar w:fldCharType="end"/>
            </w:r>
          </w:hyperlink>
        </w:p>
        <w:p w14:paraId="7387A5CB" w14:textId="003DDF3D"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41" w:history="1">
            <w:r w:rsidR="00F5732C" w:rsidRPr="00B03B51">
              <w:rPr>
                <w:rStyle w:val="Hyperlink"/>
                <w:rFonts w:ascii="Times New Roman" w:hAnsi="Times New Roman" w:cs="Times New Roman"/>
                <w:b w:val="0"/>
                <w:bCs w:val="0"/>
                <w:noProof/>
                <w:sz w:val="24"/>
              </w:rPr>
              <w:t>1.7. Valdības parāda pārvaldības biroji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_Toc67565041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90</w:t>
            </w:r>
            <w:r w:rsidR="00F5732C" w:rsidRPr="00B03B51">
              <w:rPr>
                <w:rFonts w:ascii="Times New Roman" w:hAnsi="Times New Roman" w:cs="Times New Roman"/>
                <w:b w:val="0"/>
                <w:bCs w:val="0"/>
                <w:noProof/>
                <w:webHidden/>
                <w:sz w:val="24"/>
              </w:rPr>
              <w:fldChar w:fldCharType="end"/>
            </w:r>
          </w:hyperlink>
        </w:p>
        <w:p w14:paraId="663D589C" w14:textId="71905DC2"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44" w:history="1">
            <w:r w:rsidR="00F5732C" w:rsidRPr="00B03B51">
              <w:rPr>
                <w:rStyle w:val="Hyperlink"/>
                <w:rFonts w:ascii="Times New Roman" w:hAnsi="Times New Roman" w:cs="Times New Roman"/>
                <w:b w:val="0"/>
                <w:bCs w:val="0"/>
                <w:noProof/>
                <w:sz w:val="24"/>
              </w:rPr>
              <w:t>1.8. Kopuzņēmumi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_Toc67565044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91</w:t>
            </w:r>
            <w:r w:rsidR="00F5732C" w:rsidRPr="00B03B51">
              <w:rPr>
                <w:rFonts w:ascii="Times New Roman" w:hAnsi="Times New Roman" w:cs="Times New Roman"/>
                <w:b w:val="0"/>
                <w:bCs w:val="0"/>
                <w:noProof/>
                <w:webHidden/>
                <w:sz w:val="24"/>
              </w:rPr>
              <w:fldChar w:fldCharType="end"/>
            </w:r>
          </w:hyperlink>
        </w:p>
        <w:p w14:paraId="5F502A26" w14:textId="5A962E8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48" w:history="1">
            <w:r w:rsidR="00F5732C" w:rsidRPr="00B03B51">
              <w:rPr>
                <w:rStyle w:val="Hyperlink"/>
                <w:rFonts w:ascii="Times New Roman" w:hAnsi="Times New Roman" w:cs="Times New Roman"/>
                <w:b w:val="0"/>
                <w:bCs w:val="0"/>
                <w:noProof/>
                <w:sz w:val="24"/>
              </w:rPr>
              <w:t>1.9. Eiropas subjekti, kas saistīti ar eirozonas valstu parādu krīzi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_Toc67565048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93</w:t>
            </w:r>
            <w:r w:rsidR="00F5732C" w:rsidRPr="00B03B51">
              <w:rPr>
                <w:rFonts w:ascii="Times New Roman" w:hAnsi="Times New Roman" w:cs="Times New Roman"/>
                <w:b w:val="0"/>
                <w:bCs w:val="0"/>
                <w:noProof/>
                <w:webHidden/>
                <w:sz w:val="24"/>
              </w:rPr>
              <w:fldChar w:fldCharType="end"/>
            </w:r>
          </w:hyperlink>
        </w:p>
        <w:p w14:paraId="00CEEF2A" w14:textId="2F14086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52" w:history="1">
            <w:r w:rsidR="00F5732C" w:rsidRPr="00B03B51">
              <w:rPr>
                <w:rStyle w:val="Hyperlink"/>
                <w:rFonts w:ascii="Times New Roman" w:hAnsi="Times New Roman" w:cs="Times New Roman"/>
                <w:b w:val="0"/>
                <w:bCs w:val="0"/>
                <w:noProof/>
                <w:sz w:val="24"/>
              </w:rPr>
              <w:t>1.10.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_Toc67565052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98</w:t>
            </w:r>
            <w:r w:rsidR="00F5732C" w:rsidRPr="00B03B51">
              <w:rPr>
                <w:rFonts w:ascii="Times New Roman" w:hAnsi="Times New Roman" w:cs="Times New Roman"/>
                <w:b w:val="0"/>
                <w:bCs w:val="0"/>
                <w:noProof/>
                <w:webHidden/>
                <w:sz w:val="24"/>
              </w:rPr>
              <w:fldChar w:fldCharType="end"/>
            </w:r>
          </w:hyperlink>
        </w:p>
        <w:p w14:paraId="1DB9CAFE" w14:textId="645BEE87"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053" w:history="1">
            <w:r w:rsidR="00F5732C" w:rsidRPr="00B03B51">
              <w:rPr>
                <w:rStyle w:val="Hyperlink"/>
                <w:rFonts w:ascii="Times New Roman" w:hAnsi="Times New Roman" w:cs="Times New Roman"/>
                <w:noProof/>
                <w:sz w:val="24"/>
              </w:rPr>
              <w:t>2. Ierakstīšanas laiks</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_Toc67565053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99</w:t>
            </w:r>
            <w:r w:rsidR="00F5732C" w:rsidRPr="00B03B51">
              <w:rPr>
                <w:rFonts w:ascii="Times New Roman" w:hAnsi="Times New Roman" w:cs="Times New Roman"/>
                <w:noProof/>
                <w:webHidden/>
                <w:sz w:val="24"/>
              </w:rPr>
              <w:fldChar w:fldCharType="end"/>
            </w:r>
          </w:hyperlink>
        </w:p>
        <w:p w14:paraId="7BAD369B" w14:textId="2011039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54" w:history="1">
            <w:r w:rsidR="00F5732C" w:rsidRPr="00B03B51">
              <w:rPr>
                <w:rStyle w:val="Hyperlink"/>
                <w:rFonts w:ascii="Times New Roman" w:hAnsi="Times New Roman" w:cs="Times New Roman"/>
                <w:b w:val="0"/>
                <w:bCs w:val="0"/>
                <w:noProof/>
                <w:sz w:val="24"/>
              </w:rPr>
              <w:t>2.1.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_Toc67565054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99</w:t>
            </w:r>
            <w:r w:rsidR="00F5732C" w:rsidRPr="00B03B51">
              <w:rPr>
                <w:rFonts w:ascii="Times New Roman" w:hAnsi="Times New Roman" w:cs="Times New Roman"/>
                <w:b w:val="0"/>
                <w:bCs w:val="0"/>
                <w:noProof/>
                <w:webHidden/>
                <w:sz w:val="24"/>
              </w:rPr>
              <w:fldChar w:fldCharType="end"/>
            </w:r>
          </w:hyperlink>
        </w:p>
        <w:p w14:paraId="3F14D6D3" w14:textId="49A45A67"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55" w:history="1">
            <w:r w:rsidR="00F5732C" w:rsidRPr="00B03B51">
              <w:rPr>
                <w:rStyle w:val="Hyperlink"/>
                <w:rFonts w:ascii="Times New Roman" w:hAnsi="Times New Roman" w:cs="Times New Roman"/>
                <w:b w:val="0"/>
                <w:bCs w:val="0"/>
                <w:noProof/>
                <w:sz w:val="24"/>
              </w:rPr>
              <w:t>2.2. Nodokļu un sociālo iemaksu ierakstīšana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_Toc67565055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100</w:t>
            </w:r>
            <w:r w:rsidR="00F5732C" w:rsidRPr="00B03B51">
              <w:rPr>
                <w:rFonts w:ascii="Times New Roman" w:hAnsi="Times New Roman" w:cs="Times New Roman"/>
                <w:b w:val="0"/>
                <w:bCs w:val="0"/>
                <w:noProof/>
                <w:webHidden/>
                <w:sz w:val="24"/>
              </w:rPr>
              <w:fldChar w:fldCharType="end"/>
            </w:r>
          </w:hyperlink>
        </w:p>
        <w:p w14:paraId="0DE96070" w14:textId="74E3CDD4"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58" w:history="1">
            <w:r w:rsidR="00F5732C" w:rsidRPr="00B03B51">
              <w:rPr>
                <w:rStyle w:val="Hyperlink"/>
                <w:rFonts w:ascii="Times New Roman" w:hAnsi="Times New Roman" w:cs="Times New Roman"/>
                <w:b w:val="0"/>
                <w:bCs w:val="0"/>
                <w:noProof/>
                <w:sz w:val="24"/>
              </w:rPr>
              <w:t>2.3. Maksājuma termiņa maiņa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_Toc67565058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108</w:t>
            </w:r>
            <w:r w:rsidR="00F5732C" w:rsidRPr="00B03B51">
              <w:rPr>
                <w:rFonts w:ascii="Times New Roman" w:hAnsi="Times New Roman" w:cs="Times New Roman"/>
                <w:b w:val="0"/>
                <w:bCs w:val="0"/>
                <w:noProof/>
                <w:webHidden/>
                <w:sz w:val="24"/>
              </w:rPr>
              <w:fldChar w:fldCharType="end"/>
            </w:r>
          </w:hyperlink>
        </w:p>
        <w:p w14:paraId="401C1DEC" w14:textId="059575A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61" w:history="1">
            <w:r w:rsidR="00F5732C" w:rsidRPr="00B03B51">
              <w:rPr>
                <w:rStyle w:val="Hyperlink"/>
                <w:rFonts w:ascii="Times New Roman" w:hAnsi="Times New Roman" w:cs="Times New Roman"/>
                <w:b w:val="0"/>
                <w:bCs w:val="0"/>
                <w:noProof/>
                <w:sz w:val="24"/>
              </w:rPr>
              <w:t>2.4. Procentu ierakstīšana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_Toc67565061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110</w:t>
            </w:r>
            <w:r w:rsidR="00F5732C" w:rsidRPr="00B03B51">
              <w:rPr>
                <w:rFonts w:ascii="Times New Roman" w:hAnsi="Times New Roman" w:cs="Times New Roman"/>
                <w:b w:val="0"/>
                <w:bCs w:val="0"/>
                <w:noProof/>
                <w:webHidden/>
                <w:sz w:val="24"/>
              </w:rPr>
              <w:fldChar w:fldCharType="end"/>
            </w:r>
          </w:hyperlink>
        </w:p>
        <w:p w14:paraId="3CB9AF15" w14:textId="0D914E89"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68" w:history="1">
            <w:r w:rsidR="00F5732C" w:rsidRPr="00B03B51">
              <w:rPr>
                <w:rStyle w:val="Hyperlink"/>
                <w:rFonts w:ascii="Times New Roman" w:hAnsi="Times New Roman" w:cs="Times New Roman"/>
                <w:b w:val="0"/>
                <w:bCs w:val="0"/>
                <w:noProof/>
                <w:sz w:val="24"/>
              </w:rPr>
              <w:t>2.5. Militārie izdevumi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_Toc67565068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140</w:t>
            </w:r>
            <w:r w:rsidR="00F5732C" w:rsidRPr="00B03B51">
              <w:rPr>
                <w:rFonts w:ascii="Times New Roman" w:hAnsi="Times New Roman" w:cs="Times New Roman"/>
                <w:b w:val="0"/>
                <w:bCs w:val="0"/>
                <w:noProof/>
                <w:webHidden/>
                <w:sz w:val="24"/>
              </w:rPr>
              <w:fldChar w:fldCharType="end"/>
            </w:r>
          </w:hyperlink>
        </w:p>
        <w:p w14:paraId="572BCC08" w14:textId="0312E10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73" w:history="1">
            <w:r w:rsidR="00F5732C" w:rsidRPr="00B03B51">
              <w:rPr>
                <w:rStyle w:val="Hyperlink"/>
                <w:rFonts w:ascii="Times New Roman" w:hAnsi="Times New Roman" w:cs="Times New Roman"/>
                <w:b w:val="0"/>
                <w:bCs w:val="0"/>
                <w:noProof/>
                <w:sz w:val="24"/>
              </w:rPr>
              <w:t>2.6. Dotācijas no ES budžeta un iemaksas ES budžetā</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_Toc67565073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152</w:t>
            </w:r>
            <w:r w:rsidR="00F5732C" w:rsidRPr="00B03B51">
              <w:rPr>
                <w:rFonts w:ascii="Times New Roman" w:hAnsi="Times New Roman" w:cs="Times New Roman"/>
                <w:b w:val="0"/>
                <w:bCs w:val="0"/>
                <w:noProof/>
                <w:webHidden/>
                <w:sz w:val="24"/>
              </w:rPr>
              <w:fldChar w:fldCharType="end"/>
            </w:r>
          </w:hyperlink>
        </w:p>
        <w:p w14:paraId="5B8D9C05" w14:textId="29CDFE7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78" w:history="1">
            <w:r w:rsidR="00F5732C" w:rsidRPr="00B03B51">
              <w:rPr>
                <w:rStyle w:val="Hyperlink"/>
                <w:rFonts w:ascii="Times New Roman" w:hAnsi="Times New Roman" w:cs="Times New Roman"/>
                <w:b w:val="0"/>
                <w:bCs w:val="0"/>
                <w:noProof/>
                <w:sz w:val="24"/>
              </w:rPr>
              <w:t>2.7. Tiesas nolēmumi ar atpakaļejošu spēku</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_Toc67565078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168</w:t>
            </w:r>
            <w:r w:rsidR="00F5732C" w:rsidRPr="00B03B51">
              <w:rPr>
                <w:rFonts w:ascii="Times New Roman" w:hAnsi="Times New Roman" w:cs="Times New Roman"/>
                <w:b w:val="0"/>
                <w:bCs w:val="0"/>
                <w:noProof/>
                <w:webHidden/>
                <w:sz w:val="24"/>
              </w:rPr>
              <w:fldChar w:fldCharType="end"/>
            </w:r>
          </w:hyperlink>
        </w:p>
        <w:p w14:paraId="0B6AB3E9" w14:textId="6489844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81" w:history="1">
            <w:r w:rsidR="00F5732C" w:rsidRPr="00B03B51">
              <w:rPr>
                <w:rStyle w:val="Hyperlink"/>
                <w:rFonts w:ascii="Times New Roman" w:hAnsi="Times New Roman" w:cs="Times New Roman"/>
                <w:b w:val="0"/>
                <w:bCs w:val="0"/>
                <w:noProof/>
                <w:sz w:val="24"/>
              </w:rPr>
              <w:t>2.8.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_Toc67565081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170</w:t>
            </w:r>
            <w:r w:rsidR="00F5732C" w:rsidRPr="00B03B51">
              <w:rPr>
                <w:rFonts w:ascii="Times New Roman" w:hAnsi="Times New Roman" w:cs="Times New Roman"/>
                <w:b w:val="0"/>
                <w:bCs w:val="0"/>
                <w:noProof/>
                <w:webHidden/>
                <w:sz w:val="24"/>
              </w:rPr>
              <w:fldChar w:fldCharType="end"/>
            </w:r>
          </w:hyperlink>
        </w:p>
        <w:p w14:paraId="17849A42" w14:textId="68453959"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082" w:history="1">
            <w:r w:rsidR="00F5732C" w:rsidRPr="00B03B51">
              <w:rPr>
                <w:rStyle w:val="Hyperlink"/>
                <w:rFonts w:ascii="Times New Roman" w:hAnsi="Times New Roman" w:cs="Times New Roman"/>
                <w:noProof/>
                <w:sz w:val="24"/>
              </w:rPr>
              <w:t>3. Vispārējā valdība un valdības kontrolēti subjekti</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_Toc67565082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171</w:t>
            </w:r>
            <w:r w:rsidR="00F5732C" w:rsidRPr="00B03B51">
              <w:rPr>
                <w:rFonts w:ascii="Times New Roman" w:hAnsi="Times New Roman" w:cs="Times New Roman"/>
                <w:noProof/>
                <w:webHidden/>
                <w:sz w:val="24"/>
              </w:rPr>
              <w:fldChar w:fldCharType="end"/>
            </w:r>
          </w:hyperlink>
        </w:p>
        <w:p w14:paraId="551E9AAF" w14:textId="5B448B31"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83" w:history="1">
            <w:r w:rsidR="00F5732C" w:rsidRPr="00B03B51">
              <w:rPr>
                <w:rStyle w:val="Hyperlink"/>
                <w:rFonts w:ascii="Times New Roman" w:hAnsi="Times New Roman" w:cs="Times New Roman"/>
                <w:b w:val="0"/>
                <w:bCs w:val="0"/>
                <w:noProof/>
                <w:sz w:val="24"/>
              </w:rPr>
              <w:t>3.1.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_Toc67565083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171</w:t>
            </w:r>
            <w:r w:rsidR="00F5732C" w:rsidRPr="00B03B51">
              <w:rPr>
                <w:rFonts w:ascii="Times New Roman" w:hAnsi="Times New Roman" w:cs="Times New Roman"/>
                <w:b w:val="0"/>
                <w:bCs w:val="0"/>
                <w:noProof/>
                <w:webHidden/>
                <w:sz w:val="24"/>
              </w:rPr>
              <w:fldChar w:fldCharType="end"/>
            </w:r>
          </w:hyperlink>
        </w:p>
        <w:p w14:paraId="12211B12" w14:textId="6C700FD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84" w:history="1">
            <w:r w:rsidR="00F5732C" w:rsidRPr="00B03B51">
              <w:rPr>
                <w:rStyle w:val="Hyperlink"/>
                <w:rFonts w:ascii="Times New Roman" w:hAnsi="Times New Roman" w:cs="Times New Roman"/>
                <w:b w:val="0"/>
                <w:bCs w:val="0"/>
                <w:noProof/>
                <w:sz w:val="24"/>
              </w:rPr>
              <w:t>3.2. Kapitāla iepludināšana publiskās sabiedrībās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_Toc67565084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173</w:t>
            </w:r>
            <w:r w:rsidR="00F5732C" w:rsidRPr="00B03B51">
              <w:rPr>
                <w:rFonts w:ascii="Times New Roman" w:hAnsi="Times New Roman" w:cs="Times New Roman"/>
                <w:b w:val="0"/>
                <w:bCs w:val="0"/>
                <w:noProof/>
                <w:webHidden/>
                <w:sz w:val="24"/>
              </w:rPr>
              <w:fldChar w:fldCharType="end"/>
            </w:r>
          </w:hyperlink>
        </w:p>
        <w:p w14:paraId="73038BE0" w14:textId="6E923959"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91" w:history="1">
            <w:r w:rsidR="00F5732C" w:rsidRPr="00B03B51">
              <w:rPr>
                <w:rStyle w:val="Hyperlink"/>
                <w:rFonts w:ascii="Times New Roman" w:hAnsi="Times New Roman" w:cs="Times New Roman"/>
                <w:b w:val="0"/>
                <w:bCs w:val="0"/>
                <w:noProof/>
                <w:sz w:val="24"/>
              </w:rPr>
              <w:t>3.3. Kapitāla iepludināšana publiskās kvazisabiedrībās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_Toc67565091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189</w:t>
            </w:r>
            <w:r w:rsidR="00F5732C" w:rsidRPr="00B03B51">
              <w:rPr>
                <w:rFonts w:ascii="Times New Roman" w:hAnsi="Times New Roman" w:cs="Times New Roman"/>
                <w:b w:val="0"/>
                <w:bCs w:val="0"/>
                <w:noProof/>
                <w:webHidden/>
                <w:sz w:val="24"/>
              </w:rPr>
              <w:fldChar w:fldCharType="end"/>
            </w:r>
          </w:hyperlink>
        </w:p>
        <w:p w14:paraId="6DF06E2F" w14:textId="23A02F0A"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096" w:history="1">
            <w:r w:rsidR="00F5732C" w:rsidRPr="00B03B51">
              <w:rPr>
                <w:rStyle w:val="Hyperlink"/>
                <w:rFonts w:ascii="Times New Roman" w:hAnsi="Times New Roman" w:cs="Times New Roman"/>
                <w:b w:val="0"/>
                <w:bCs w:val="0"/>
                <w:noProof/>
                <w:sz w:val="24"/>
              </w:rPr>
              <w:t>3.4. Kapitāla iepludināšana natūrā</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_Toc67565096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194</w:t>
            </w:r>
            <w:r w:rsidR="00F5732C" w:rsidRPr="00B03B51">
              <w:rPr>
                <w:rFonts w:ascii="Times New Roman" w:hAnsi="Times New Roman" w:cs="Times New Roman"/>
                <w:b w:val="0"/>
                <w:bCs w:val="0"/>
                <w:noProof/>
                <w:webHidden/>
                <w:sz w:val="24"/>
              </w:rPr>
              <w:fldChar w:fldCharType="end"/>
            </w:r>
          </w:hyperlink>
        </w:p>
        <w:p w14:paraId="246542EC" w14:textId="5A964B90"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01" w:history="1">
            <w:r w:rsidR="00F5732C" w:rsidRPr="00B03B51">
              <w:rPr>
                <w:rStyle w:val="Hyperlink"/>
                <w:rFonts w:ascii="Times New Roman" w:hAnsi="Times New Roman" w:cs="Times New Roman"/>
                <w:b w:val="0"/>
                <w:bCs w:val="0"/>
                <w:noProof/>
                <w:sz w:val="24"/>
              </w:rPr>
              <w:t>3.5. Dividendes, superdividendes, starpperioda dividendes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_Toc67565101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198</w:t>
            </w:r>
            <w:r w:rsidR="00F5732C" w:rsidRPr="00B03B51">
              <w:rPr>
                <w:rFonts w:ascii="Times New Roman" w:hAnsi="Times New Roman" w:cs="Times New Roman"/>
                <w:b w:val="0"/>
                <w:bCs w:val="0"/>
                <w:noProof/>
                <w:webHidden/>
                <w:sz w:val="24"/>
              </w:rPr>
              <w:fldChar w:fldCharType="end"/>
            </w:r>
          </w:hyperlink>
        </w:p>
        <w:p w14:paraId="4174E20D" w14:textId="1E62362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05" w:history="1">
            <w:r w:rsidR="00F5732C" w:rsidRPr="00B03B51">
              <w:rPr>
                <w:rStyle w:val="Hyperlink"/>
                <w:rFonts w:ascii="Times New Roman" w:hAnsi="Times New Roman" w:cs="Times New Roman"/>
                <w:b w:val="0"/>
                <w:bCs w:val="0"/>
                <w:noProof/>
                <w:sz w:val="24"/>
              </w:rPr>
              <w:t>3.6. Pensiju saistību nodošanas ietekme uz valdības kontiem</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_Toc67565105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203</w:t>
            </w:r>
            <w:r w:rsidR="00F5732C" w:rsidRPr="00B03B51">
              <w:rPr>
                <w:rFonts w:ascii="Times New Roman" w:hAnsi="Times New Roman" w:cs="Times New Roman"/>
                <w:b w:val="0"/>
                <w:bCs w:val="0"/>
                <w:noProof/>
                <w:webHidden/>
                <w:sz w:val="24"/>
              </w:rPr>
              <w:fldChar w:fldCharType="end"/>
            </w:r>
          </w:hyperlink>
        </w:p>
        <w:p w14:paraId="17F61D09" w14:textId="7223C93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10" w:history="1">
            <w:r w:rsidR="00F5732C" w:rsidRPr="00B03B51">
              <w:rPr>
                <w:rStyle w:val="Hyperlink"/>
                <w:rFonts w:ascii="Times New Roman" w:hAnsi="Times New Roman" w:cs="Times New Roman"/>
                <w:b w:val="0"/>
                <w:bCs w:val="0"/>
                <w:noProof/>
                <w:sz w:val="24"/>
              </w:rPr>
              <w:t>3.7. Ekspluatācijas pārtraukšanas izmaksu pārneses ietekme uz valdības kontiem</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_Toc67565110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214</w:t>
            </w:r>
            <w:r w:rsidR="00F5732C" w:rsidRPr="00B03B51">
              <w:rPr>
                <w:rFonts w:ascii="Times New Roman" w:hAnsi="Times New Roman" w:cs="Times New Roman"/>
                <w:b w:val="0"/>
                <w:bCs w:val="0"/>
                <w:noProof/>
                <w:webHidden/>
                <w:sz w:val="24"/>
              </w:rPr>
              <w:fldChar w:fldCharType="end"/>
            </w:r>
          </w:hyperlink>
        </w:p>
        <w:p w14:paraId="331C890A" w14:textId="2E658305"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15" w:history="1">
            <w:r w:rsidR="00F5732C" w:rsidRPr="00B03B51">
              <w:rPr>
                <w:rStyle w:val="Hyperlink"/>
                <w:rFonts w:ascii="Times New Roman" w:hAnsi="Times New Roman" w:cs="Times New Roman"/>
                <w:b w:val="0"/>
                <w:bCs w:val="0"/>
                <w:noProof/>
                <w:sz w:val="24"/>
              </w:rPr>
              <w:t>3.8. Pielikums. EKS 2010 darījumu izlase</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_Toc67565115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221</w:t>
            </w:r>
            <w:r w:rsidR="00F5732C" w:rsidRPr="00B03B51">
              <w:rPr>
                <w:rFonts w:ascii="Times New Roman" w:hAnsi="Times New Roman" w:cs="Times New Roman"/>
                <w:b w:val="0"/>
                <w:bCs w:val="0"/>
                <w:noProof/>
                <w:webHidden/>
                <w:sz w:val="24"/>
              </w:rPr>
              <w:fldChar w:fldCharType="end"/>
            </w:r>
          </w:hyperlink>
        </w:p>
        <w:p w14:paraId="77D053E1" w14:textId="0B5506F7"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17" w:history="1">
            <w:r w:rsidR="00F5732C" w:rsidRPr="00B03B51">
              <w:rPr>
                <w:rStyle w:val="Hyperlink"/>
                <w:rFonts w:ascii="Times New Roman" w:hAnsi="Times New Roman" w:cs="Times New Roman"/>
                <w:b w:val="0"/>
                <w:bCs w:val="0"/>
                <w:noProof/>
                <w:sz w:val="24"/>
              </w:rPr>
              <w:t>3.9.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_Toc67565117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226</w:t>
            </w:r>
            <w:r w:rsidR="00F5732C" w:rsidRPr="00B03B51">
              <w:rPr>
                <w:rFonts w:ascii="Times New Roman" w:hAnsi="Times New Roman" w:cs="Times New Roman"/>
                <w:b w:val="0"/>
                <w:bCs w:val="0"/>
                <w:noProof/>
                <w:webHidden/>
                <w:sz w:val="24"/>
              </w:rPr>
              <w:fldChar w:fldCharType="end"/>
            </w:r>
          </w:hyperlink>
        </w:p>
        <w:p w14:paraId="0E2ED714" w14:textId="00DD26AF"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118" w:history="1">
            <w:r w:rsidR="00F5732C" w:rsidRPr="00B03B51">
              <w:rPr>
                <w:rStyle w:val="Hyperlink"/>
                <w:rFonts w:ascii="Times New Roman" w:hAnsi="Times New Roman" w:cs="Times New Roman"/>
                <w:noProof/>
                <w:sz w:val="24"/>
              </w:rPr>
              <w:t>4. Attiecības starp valdību un finanšu sektoru</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_Toc67565118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227</w:t>
            </w:r>
            <w:r w:rsidR="00F5732C" w:rsidRPr="00B03B51">
              <w:rPr>
                <w:rFonts w:ascii="Times New Roman" w:hAnsi="Times New Roman" w:cs="Times New Roman"/>
                <w:noProof/>
                <w:webHidden/>
                <w:sz w:val="24"/>
              </w:rPr>
              <w:fldChar w:fldCharType="end"/>
            </w:r>
          </w:hyperlink>
        </w:p>
        <w:p w14:paraId="35FDC2F4" w14:textId="0990B03D"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19" w:history="1">
            <w:r w:rsidR="00F5732C" w:rsidRPr="00B03B51">
              <w:rPr>
                <w:rStyle w:val="Hyperlink"/>
                <w:rFonts w:ascii="Times New Roman" w:hAnsi="Times New Roman" w:cs="Times New Roman"/>
                <w:b w:val="0"/>
                <w:bCs w:val="0"/>
                <w:noProof/>
                <w:sz w:val="24"/>
              </w:rPr>
              <w:t>4.1.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_Toc67565119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227</w:t>
            </w:r>
            <w:r w:rsidR="00F5732C" w:rsidRPr="00B03B51">
              <w:rPr>
                <w:rFonts w:ascii="Times New Roman" w:hAnsi="Times New Roman" w:cs="Times New Roman"/>
                <w:b w:val="0"/>
                <w:bCs w:val="0"/>
                <w:noProof/>
                <w:webHidden/>
                <w:sz w:val="24"/>
              </w:rPr>
              <w:fldChar w:fldCharType="end"/>
            </w:r>
          </w:hyperlink>
        </w:p>
        <w:p w14:paraId="632CD651" w14:textId="55ECF9D9"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20" w:history="1">
            <w:r w:rsidR="00F5732C" w:rsidRPr="00B03B51">
              <w:rPr>
                <w:rStyle w:val="Hyperlink"/>
                <w:rFonts w:ascii="Times New Roman" w:hAnsi="Times New Roman" w:cs="Times New Roman"/>
                <w:b w:val="0"/>
                <w:bCs w:val="0"/>
                <w:noProof/>
                <w:sz w:val="24"/>
              </w:rPr>
              <w:t>4.2. Maksājumi starp centrālo banku un valdību</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_Toc67565120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228</w:t>
            </w:r>
            <w:r w:rsidR="00F5732C" w:rsidRPr="00B03B51">
              <w:rPr>
                <w:rFonts w:ascii="Times New Roman" w:hAnsi="Times New Roman" w:cs="Times New Roman"/>
                <w:b w:val="0"/>
                <w:bCs w:val="0"/>
                <w:noProof/>
                <w:webHidden/>
                <w:sz w:val="24"/>
              </w:rPr>
              <w:fldChar w:fldCharType="end"/>
            </w:r>
          </w:hyperlink>
        </w:p>
        <w:p w14:paraId="18095361" w14:textId="6C5152ED"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24" w:history="1">
            <w:r w:rsidR="00F5732C" w:rsidRPr="00B03B51">
              <w:rPr>
                <w:rStyle w:val="Hyperlink"/>
                <w:rFonts w:ascii="Times New Roman" w:hAnsi="Times New Roman" w:cs="Times New Roman"/>
                <w:b w:val="0"/>
                <w:bCs w:val="0"/>
                <w:noProof/>
                <w:sz w:val="24"/>
              </w:rPr>
              <w:t>4.3. Zelta tirdzniecība un ārvalstu valūtu maiņa centrālajā bankā</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_Toc67565124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236</w:t>
            </w:r>
            <w:r w:rsidR="00F5732C" w:rsidRPr="00B03B51">
              <w:rPr>
                <w:rFonts w:ascii="Times New Roman" w:hAnsi="Times New Roman" w:cs="Times New Roman"/>
                <w:b w:val="0"/>
                <w:bCs w:val="0"/>
                <w:noProof/>
                <w:webHidden/>
                <w:sz w:val="24"/>
              </w:rPr>
              <w:fldChar w:fldCharType="end"/>
            </w:r>
          </w:hyperlink>
        </w:p>
        <w:p w14:paraId="0BD43666" w14:textId="6E63E361"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28" w:history="1">
            <w:r w:rsidR="00F5732C" w:rsidRPr="00B03B51">
              <w:rPr>
                <w:rStyle w:val="Hyperlink"/>
                <w:rFonts w:ascii="Times New Roman" w:hAnsi="Times New Roman" w:cs="Times New Roman"/>
                <w:b w:val="0"/>
                <w:bCs w:val="0"/>
                <w:noProof/>
                <w:sz w:val="24"/>
              </w:rPr>
              <w:t>4.4. Neatgūtās banknotes un monētas pēc naudas nomaiņas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_Toc67565128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242</w:t>
            </w:r>
            <w:r w:rsidR="00F5732C" w:rsidRPr="00B03B51">
              <w:rPr>
                <w:rFonts w:ascii="Times New Roman" w:hAnsi="Times New Roman" w:cs="Times New Roman"/>
                <w:b w:val="0"/>
                <w:bCs w:val="0"/>
                <w:noProof/>
                <w:webHidden/>
                <w:sz w:val="24"/>
              </w:rPr>
              <w:fldChar w:fldCharType="end"/>
            </w:r>
          </w:hyperlink>
        </w:p>
        <w:p w14:paraId="7133DE43" w14:textId="4F23074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32" w:history="1">
            <w:r w:rsidR="00F5732C" w:rsidRPr="00B03B51">
              <w:rPr>
                <w:rStyle w:val="Hyperlink"/>
                <w:rFonts w:ascii="Times New Roman" w:hAnsi="Times New Roman" w:cs="Times New Roman"/>
                <w:b w:val="0"/>
                <w:bCs w:val="0"/>
                <w:noProof/>
                <w:sz w:val="24"/>
              </w:rPr>
              <w:t>4.5. Finanšu sanācija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_Toc67565132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250</w:t>
            </w:r>
            <w:r w:rsidR="00F5732C" w:rsidRPr="00B03B51">
              <w:rPr>
                <w:rFonts w:ascii="Times New Roman" w:hAnsi="Times New Roman" w:cs="Times New Roman"/>
                <w:b w:val="0"/>
                <w:bCs w:val="0"/>
                <w:noProof/>
                <w:webHidden/>
                <w:sz w:val="24"/>
              </w:rPr>
              <w:fldChar w:fldCharType="end"/>
            </w:r>
          </w:hyperlink>
        </w:p>
        <w:p w14:paraId="7AF54820" w14:textId="2E1F4D5E"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37" w:history="1">
            <w:r w:rsidR="00F5732C" w:rsidRPr="00B03B51">
              <w:rPr>
                <w:rStyle w:val="Hyperlink"/>
                <w:rFonts w:ascii="Times New Roman" w:hAnsi="Times New Roman" w:cs="Times New Roman"/>
                <w:b w:val="0"/>
                <w:bCs w:val="0"/>
                <w:noProof/>
                <w:sz w:val="24"/>
              </w:rPr>
              <w:t>4.6. Kapitāla pieaugums daudzpusējās attīstības bankās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_Toc67565137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265</w:t>
            </w:r>
            <w:r w:rsidR="00F5732C" w:rsidRPr="00B03B51">
              <w:rPr>
                <w:rFonts w:ascii="Times New Roman" w:hAnsi="Times New Roman" w:cs="Times New Roman"/>
                <w:b w:val="0"/>
                <w:bCs w:val="0"/>
                <w:noProof/>
                <w:webHidden/>
                <w:sz w:val="24"/>
              </w:rPr>
              <w:fldChar w:fldCharType="end"/>
            </w:r>
          </w:hyperlink>
        </w:p>
        <w:p w14:paraId="6B9753CD" w14:textId="38666925"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39" w:history="1">
            <w:r w:rsidR="00F5732C" w:rsidRPr="00B03B51">
              <w:rPr>
                <w:rStyle w:val="Hyperlink"/>
                <w:rFonts w:ascii="Times New Roman" w:hAnsi="Times New Roman" w:cs="Times New Roman"/>
                <w:b w:val="0"/>
                <w:bCs w:val="0"/>
                <w:noProof/>
                <w:sz w:val="24"/>
              </w:rPr>
              <w:t>4.7. No ienākumiem atkarīgu aizdevumu ierakstīšana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_Toc67565139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269</w:t>
            </w:r>
            <w:r w:rsidR="00F5732C" w:rsidRPr="00B03B51">
              <w:rPr>
                <w:rFonts w:ascii="Times New Roman" w:hAnsi="Times New Roman" w:cs="Times New Roman"/>
                <w:b w:val="0"/>
                <w:bCs w:val="0"/>
                <w:noProof/>
                <w:webHidden/>
                <w:sz w:val="24"/>
              </w:rPr>
              <w:fldChar w:fldCharType="end"/>
            </w:r>
          </w:hyperlink>
        </w:p>
        <w:p w14:paraId="114F830E" w14:textId="64700ED3"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43" w:history="1">
            <w:r w:rsidR="00F5732C" w:rsidRPr="00B03B51">
              <w:rPr>
                <w:rStyle w:val="Hyperlink"/>
                <w:rFonts w:ascii="Times New Roman" w:hAnsi="Times New Roman" w:cs="Times New Roman"/>
                <w:b w:val="0"/>
                <w:bCs w:val="0"/>
                <w:noProof/>
                <w:sz w:val="24"/>
              </w:rPr>
              <w:t>4.8.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_Toc67565143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273</w:t>
            </w:r>
            <w:r w:rsidR="00F5732C" w:rsidRPr="00B03B51">
              <w:rPr>
                <w:rFonts w:ascii="Times New Roman" w:hAnsi="Times New Roman" w:cs="Times New Roman"/>
                <w:b w:val="0"/>
                <w:bCs w:val="0"/>
                <w:noProof/>
                <w:webHidden/>
                <w:sz w:val="24"/>
              </w:rPr>
              <w:fldChar w:fldCharType="end"/>
            </w:r>
          </w:hyperlink>
        </w:p>
        <w:p w14:paraId="32635DF1" w14:textId="1E6232B0"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144" w:history="1">
            <w:r w:rsidR="00F5732C" w:rsidRPr="00B03B51">
              <w:rPr>
                <w:rStyle w:val="Hyperlink"/>
                <w:rFonts w:ascii="Times New Roman" w:hAnsi="Times New Roman" w:cs="Times New Roman"/>
                <w:noProof/>
                <w:sz w:val="24"/>
              </w:rPr>
              <w:t>5. Aktīvu pārdošana</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_Toc67565144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274</w:t>
            </w:r>
            <w:r w:rsidR="00F5732C" w:rsidRPr="00B03B51">
              <w:rPr>
                <w:rFonts w:ascii="Times New Roman" w:hAnsi="Times New Roman" w:cs="Times New Roman"/>
                <w:noProof/>
                <w:webHidden/>
                <w:sz w:val="24"/>
              </w:rPr>
              <w:fldChar w:fldCharType="end"/>
            </w:r>
          </w:hyperlink>
        </w:p>
        <w:p w14:paraId="2917C6AF" w14:textId="6D9C97B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45" w:history="1">
            <w:r w:rsidR="00F5732C" w:rsidRPr="00B03B51">
              <w:rPr>
                <w:rStyle w:val="Hyperlink"/>
                <w:rFonts w:ascii="Times New Roman" w:hAnsi="Times New Roman" w:cs="Times New Roman"/>
                <w:b w:val="0"/>
                <w:bCs w:val="0"/>
                <w:noProof/>
                <w:sz w:val="24"/>
              </w:rPr>
              <w:t>5.1.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_Toc67565145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274</w:t>
            </w:r>
            <w:r w:rsidR="00F5732C" w:rsidRPr="00B03B51">
              <w:rPr>
                <w:rFonts w:ascii="Times New Roman" w:hAnsi="Times New Roman" w:cs="Times New Roman"/>
                <w:b w:val="0"/>
                <w:bCs w:val="0"/>
                <w:noProof/>
                <w:webHidden/>
                <w:sz w:val="24"/>
              </w:rPr>
              <w:fldChar w:fldCharType="end"/>
            </w:r>
          </w:hyperlink>
        </w:p>
        <w:p w14:paraId="102E0324" w14:textId="78476742"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46" w:history="1">
            <w:r w:rsidR="00F5732C" w:rsidRPr="00B03B51">
              <w:rPr>
                <w:rStyle w:val="Hyperlink"/>
                <w:rFonts w:ascii="Times New Roman" w:hAnsi="Times New Roman" w:cs="Times New Roman"/>
                <w:b w:val="0"/>
                <w:bCs w:val="0"/>
                <w:noProof/>
                <w:sz w:val="24"/>
              </w:rPr>
              <w:t>5.2. Finanšu un nefinanšu aktīvu pārdošana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_Toc67565146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275</w:t>
            </w:r>
            <w:r w:rsidR="00F5732C" w:rsidRPr="00B03B51">
              <w:rPr>
                <w:rFonts w:ascii="Times New Roman" w:hAnsi="Times New Roman" w:cs="Times New Roman"/>
                <w:b w:val="0"/>
                <w:bCs w:val="0"/>
                <w:noProof/>
                <w:webHidden/>
                <w:sz w:val="24"/>
              </w:rPr>
              <w:fldChar w:fldCharType="end"/>
            </w:r>
          </w:hyperlink>
        </w:p>
        <w:p w14:paraId="02391EFD" w14:textId="581B0C3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51" w:history="1">
            <w:r w:rsidR="00F5732C" w:rsidRPr="00B03B51">
              <w:rPr>
                <w:rStyle w:val="Hyperlink"/>
                <w:rFonts w:ascii="Times New Roman" w:hAnsi="Times New Roman" w:cs="Times New Roman"/>
                <w:b w:val="0"/>
                <w:bCs w:val="0"/>
                <w:noProof/>
                <w:sz w:val="24"/>
              </w:rPr>
              <w:t>5.3. Privatizācijas ieņēmumi no publiskām sabiedrībām</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_Toc67565151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281</w:t>
            </w:r>
            <w:r w:rsidR="00F5732C" w:rsidRPr="00B03B51">
              <w:rPr>
                <w:rFonts w:ascii="Times New Roman" w:hAnsi="Times New Roman" w:cs="Times New Roman"/>
                <w:b w:val="0"/>
                <w:bCs w:val="0"/>
                <w:noProof/>
                <w:webHidden/>
                <w:sz w:val="24"/>
              </w:rPr>
              <w:fldChar w:fldCharType="end"/>
            </w:r>
          </w:hyperlink>
        </w:p>
        <w:p w14:paraId="5AABCCAA" w14:textId="5DD3F705"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55" w:history="1">
            <w:r w:rsidR="00F5732C" w:rsidRPr="00B03B51">
              <w:rPr>
                <w:rStyle w:val="Hyperlink"/>
                <w:rFonts w:ascii="Times New Roman" w:hAnsi="Times New Roman" w:cs="Times New Roman"/>
                <w:b w:val="0"/>
                <w:bCs w:val="0"/>
                <w:noProof/>
                <w:sz w:val="24"/>
              </w:rPr>
              <w:t>5.4. Privatizācijas sertifikātu restitūcija un izmantošana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_Toc67565155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284</w:t>
            </w:r>
            <w:r w:rsidR="00F5732C" w:rsidRPr="00B03B51">
              <w:rPr>
                <w:rFonts w:ascii="Times New Roman" w:hAnsi="Times New Roman" w:cs="Times New Roman"/>
                <w:b w:val="0"/>
                <w:bCs w:val="0"/>
                <w:noProof/>
                <w:webHidden/>
                <w:sz w:val="24"/>
              </w:rPr>
              <w:fldChar w:fldCharType="end"/>
            </w:r>
          </w:hyperlink>
        </w:p>
        <w:p w14:paraId="46A54B5D" w14:textId="68EA3C4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60" w:history="1">
            <w:r w:rsidR="00F5732C" w:rsidRPr="00B03B51">
              <w:rPr>
                <w:rStyle w:val="Hyperlink"/>
                <w:rFonts w:ascii="Times New Roman" w:hAnsi="Times New Roman" w:cs="Times New Roman"/>
                <w:b w:val="0"/>
                <w:bCs w:val="0"/>
                <w:noProof/>
                <w:sz w:val="24"/>
              </w:rPr>
              <w:t>5.5. Vispārējās valdības veiktās vērtspapīrošanas operācijas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_Toc67565160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292</w:t>
            </w:r>
            <w:r w:rsidR="00F5732C" w:rsidRPr="00B03B51">
              <w:rPr>
                <w:rFonts w:ascii="Times New Roman" w:hAnsi="Times New Roman" w:cs="Times New Roman"/>
                <w:b w:val="0"/>
                <w:bCs w:val="0"/>
                <w:noProof/>
                <w:webHidden/>
                <w:sz w:val="24"/>
              </w:rPr>
              <w:fldChar w:fldCharType="end"/>
            </w:r>
          </w:hyperlink>
        </w:p>
        <w:p w14:paraId="55A84839" w14:textId="18EB2F1B"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66" w:history="1">
            <w:r w:rsidR="00F5732C" w:rsidRPr="00B03B51">
              <w:rPr>
                <w:rStyle w:val="Hyperlink"/>
                <w:rFonts w:ascii="Times New Roman" w:hAnsi="Times New Roman" w:cs="Times New Roman"/>
                <w:b w:val="0"/>
                <w:bCs w:val="0"/>
                <w:noProof/>
                <w:sz w:val="24"/>
              </w:rPr>
              <w:t>5.6. Zemas procentu likmes aizdevumi un valdības zemas procentu likmes aizdevumu pārdošana trešām personām</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_Toc67565166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313</w:t>
            </w:r>
            <w:r w:rsidR="00F5732C" w:rsidRPr="00B03B51">
              <w:rPr>
                <w:rFonts w:ascii="Times New Roman" w:hAnsi="Times New Roman" w:cs="Times New Roman"/>
                <w:b w:val="0"/>
                <w:bCs w:val="0"/>
                <w:noProof/>
                <w:webHidden/>
                <w:sz w:val="24"/>
              </w:rPr>
              <w:fldChar w:fldCharType="end"/>
            </w:r>
          </w:hyperlink>
        </w:p>
        <w:p w14:paraId="2D7CFABE" w14:textId="3204339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70" w:history="1">
            <w:r w:rsidR="00F5732C" w:rsidRPr="00B03B51">
              <w:rPr>
                <w:rStyle w:val="Hyperlink"/>
                <w:rFonts w:ascii="Times New Roman" w:hAnsi="Times New Roman" w:cs="Times New Roman"/>
                <w:b w:val="0"/>
                <w:bCs w:val="0"/>
                <w:noProof/>
                <w:sz w:val="24"/>
              </w:rPr>
              <w:t>5.7.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_Toc67565170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315</w:t>
            </w:r>
            <w:r w:rsidR="00F5732C" w:rsidRPr="00B03B51">
              <w:rPr>
                <w:rFonts w:ascii="Times New Roman" w:hAnsi="Times New Roman" w:cs="Times New Roman"/>
                <w:b w:val="0"/>
                <w:bCs w:val="0"/>
                <w:noProof/>
                <w:webHidden/>
                <w:sz w:val="24"/>
              </w:rPr>
              <w:fldChar w:fldCharType="end"/>
            </w:r>
          </w:hyperlink>
        </w:p>
        <w:p w14:paraId="2EAC0FE2" w14:textId="52AAE58D"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171" w:history="1">
            <w:r w:rsidR="00F5732C" w:rsidRPr="00B03B51">
              <w:rPr>
                <w:rStyle w:val="Hyperlink"/>
                <w:rFonts w:ascii="Times New Roman" w:hAnsi="Times New Roman" w:cs="Times New Roman"/>
                <w:noProof/>
                <w:sz w:val="24"/>
              </w:rPr>
              <w:t>6. Noma, koncesijas un PPP</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_Toc67565171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316</w:t>
            </w:r>
            <w:r w:rsidR="00F5732C" w:rsidRPr="00B03B51">
              <w:rPr>
                <w:rFonts w:ascii="Times New Roman" w:hAnsi="Times New Roman" w:cs="Times New Roman"/>
                <w:noProof/>
                <w:webHidden/>
                <w:sz w:val="24"/>
              </w:rPr>
              <w:fldChar w:fldCharType="end"/>
            </w:r>
          </w:hyperlink>
        </w:p>
        <w:p w14:paraId="19EA282C" w14:textId="7101E6C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72" w:history="1">
            <w:r w:rsidR="00F5732C" w:rsidRPr="00B03B51">
              <w:rPr>
                <w:rStyle w:val="Hyperlink"/>
                <w:rFonts w:ascii="Times New Roman" w:hAnsi="Times New Roman" w:cs="Times New Roman"/>
                <w:b w:val="0"/>
                <w:bCs w:val="0"/>
                <w:noProof/>
                <w:sz w:val="24"/>
              </w:rPr>
              <w:t>6.1.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_Toc67565172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316</w:t>
            </w:r>
            <w:r w:rsidR="00F5732C" w:rsidRPr="00B03B51">
              <w:rPr>
                <w:rFonts w:ascii="Times New Roman" w:hAnsi="Times New Roman" w:cs="Times New Roman"/>
                <w:b w:val="0"/>
                <w:bCs w:val="0"/>
                <w:noProof/>
                <w:webHidden/>
                <w:sz w:val="24"/>
              </w:rPr>
              <w:fldChar w:fldCharType="end"/>
            </w:r>
          </w:hyperlink>
        </w:p>
        <w:p w14:paraId="07D003E3" w14:textId="3B0A576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78" w:history="1">
            <w:r w:rsidR="00F5732C" w:rsidRPr="00B03B51">
              <w:rPr>
                <w:rStyle w:val="Hyperlink"/>
                <w:rFonts w:ascii="Times New Roman" w:hAnsi="Times New Roman" w:cs="Times New Roman"/>
                <w:b w:val="0"/>
                <w:bCs w:val="0"/>
                <w:noProof/>
                <w:sz w:val="24"/>
              </w:rPr>
              <w:t>6.2. Pārdošana ar saņemšanu atpakaļ nomā</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_Toc67565178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329</w:t>
            </w:r>
            <w:r w:rsidR="00F5732C" w:rsidRPr="00B03B51">
              <w:rPr>
                <w:rFonts w:ascii="Times New Roman" w:hAnsi="Times New Roman" w:cs="Times New Roman"/>
                <w:b w:val="0"/>
                <w:bCs w:val="0"/>
                <w:noProof/>
                <w:webHidden/>
                <w:sz w:val="24"/>
              </w:rPr>
              <w:fldChar w:fldCharType="end"/>
            </w:r>
          </w:hyperlink>
        </w:p>
        <w:p w14:paraId="76D8D5B3" w14:textId="069C1993"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81" w:history="1">
            <w:r w:rsidR="00F5732C" w:rsidRPr="00B03B51">
              <w:rPr>
                <w:rStyle w:val="Hyperlink"/>
                <w:rFonts w:ascii="Times New Roman" w:hAnsi="Times New Roman" w:cs="Times New Roman"/>
                <w:b w:val="0"/>
                <w:bCs w:val="0"/>
                <w:noProof/>
                <w:sz w:val="24"/>
              </w:rPr>
              <w:t>6.3. Līgumi ar valdības sektoram nepiederošām vienībām saistībā ar pamatlīdzekļiem</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_Toc67565181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337</w:t>
            </w:r>
            <w:r w:rsidR="00F5732C" w:rsidRPr="00B03B51">
              <w:rPr>
                <w:rFonts w:ascii="Times New Roman" w:hAnsi="Times New Roman" w:cs="Times New Roman"/>
                <w:b w:val="0"/>
                <w:bCs w:val="0"/>
                <w:noProof/>
                <w:webHidden/>
                <w:sz w:val="24"/>
              </w:rPr>
              <w:fldChar w:fldCharType="end"/>
            </w:r>
          </w:hyperlink>
        </w:p>
        <w:p w14:paraId="73830C23" w14:textId="3694A395"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84" w:history="1">
            <w:r w:rsidR="00F5732C" w:rsidRPr="00B03B51">
              <w:rPr>
                <w:rStyle w:val="Hyperlink"/>
                <w:rFonts w:ascii="Times New Roman" w:hAnsi="Times New Roman" w:cs="Times New Roman"/>
                <w:b w:val="0"/>
                <w:bCs w:val="0"/>
                <w:noProof/>
                <w:sz w:val="24"/>
              </w:rPr>
              <w:t>6.4. Publiskā un privātā partnerība (PPP)</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_Toc67565184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348</w:t>
            </w:r>
            <w:r w:rsidR="00F5732C" w:rsidRPr="00B03B51">
              <w:rPr>
                <w:rFonts w:ascii="Times New Roman" w:hAnsi="Times New Roman" w:cs="Times New Roman"/>
                <w:b w:val="0"/>
                <w:bCs w:val="0"/>
                <w:noProof/>
                <w:webHidden/>
                <w:sz w:val="24"/>
              </w:rPr>
              <w:fldChar w:fldCharType="end"/>
            </w:r>
          </w:hyperlink>
        </w:p>
        <w:p w14:paraId="7036D88D" w14:textId="1BF8A7B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89" w:history="1">
            <w:r w:rsidR="00F5732C" w:rsidRPr="00B03B51">
              <w:rPr>
                <w:rStyle w:val="Hyperlink"/>
                <w:rFonts w:ascii="Times New Roman" w:hAnsi="Times New Roman" w:cs="Times New Roman"/>
                <w:b w:val="0"/>
                <w:bCs w:val="0"/>
                <w:noProof/>
                <w:sz w:val="24"/>
              </w:rPr>
              <w:t>6.5. Emisij</w:t>
            </w:r>
            <w:r w:rsidR="004C6B9C">
              <w:rPr>
                <w:rStyle w:val="Hyperlink"/>
                <w:rFonts w:ascii="Times New Roman" w:hAnsi="Times New Roman" w:cs="Times New Roman"/>
                <w:b w:val="0"/>
                <w:bCs w:val="0"/>
                <w:noProof/>
                <w:sz w:val="24"/>
              </w:rPr>
              <w:t>u</w:t>
            </w:r>
            <w:r w:rsidR="00F5732C" w:rsidRPr="00B03B51">
              <w:rPr>
                <w:rStyle w:val="Hyperlink"/>
                <w:rFonts w:ascii="Times New Roman" w:hAnsi="Times New Roman" w:cs="Times New Roman"/>
                <w:b w:val="0"/>
                <w:bCs w:val="0"/>
                <w:noProof/>
                <w:sz w:val="24"/>
              </w:rPr>
              <w:t xml:space="preserve"> </w:t>
            </w:r>
            <w:r w:rsidR="004C6B9C">
              <w:rPr>
                <w:rStyle w:val="Hyperlink"/>
                <w:rFonts w:ascii="Times New Roman" w:hAnsi="Times New Roman" w:cs="Times New Roman"/>
                <w:b w:val="0"/>
                <w:bCs w:val="0"/>
                <w:noProof/>
                <w:sz w:val="24"/>
              </w:rPr>
              <w:t xml:space="preserve">kvotu </w:t>
            </w:r>
            <w:r w:rsidR="00F5732C" w:rsidRPr="00B03B51">
              <w:rPr>
                <w:rStyle w:val="Hyperlink"/>
                <w:rFonts w:ascii="Times New Roman" w:hAnsi="Times New Roman" w:cs="Times New Roman"/>
                <w:b w:val="0"/>
                <w:bCs w:val="0"/>
                <w:noProof/>
                <w:sz w:val="24"/>
              </w:rPr>
              <w:t>tirdzniecība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_Toc67565189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371</w:t>
            </w:r>
            <w:r w:rsidR="00F5732C" w:rsidRPr="00B03B51">
              <w:rPr>
                <w:rFonts w:ascii="Times New Roman" w:hAnsi="Times New Roman" w:cs="Times New Roman"/>
                <w:b w:val="0"/>
                <w:bCs w:val="0"/>
                <w:noProof/>
                <w:webHidden/>
                <w:sz w:val="24"/>
              </w:rPr>
              <w:fldChar w:fldCharType="end"/>
            </w:r>
          </w:hyperlink>
        </w:p>
        <w:p w14:paraId="3DFD650B" w14:textId="66EED257"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94" w:history="1">
            <w:r w:rsidR="00F5732C" w:rsidRPr="00B03B51">
              <w:rPr>
                <w:rStyle w:val="Hyperlink"/>
                <w:rFonts w:ascii="Times New Roman" w:hAnsi="Times New Roman" w:cs="Times New Roman"/>
                <w:b w:val="0"/>
                <w:bCs w:val="0"/>
                <w:noProof/>
                <w:sz w:val="24"/>
              </w:rPr>
              <w:t>6.6.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_Toc67565194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379</w:t>
            </w:r>
            <w:r w:rsidR="00F5732C" w:rsidRPr="00B03B51">
              <w:rPr>
                <w:rFonts w:ascii="Times New Roman" w:hAnsi="Times New Roman" w:cs="Times New Roman"/>
                <w:b w:val="0"/>
                <w:bCs w:val="0"/>
                <w:noProof/>
                <w:webHidden/>
                <w:sz w:val="24"/>
              </w:rPr>
              <w:fldChar w:fldCharType="end"/>
            </w:r>
          </w:hyperlink>
        </w:p>
        <w:p w14:paraId="3D1A2479" w14:textId="1EFA5B1A"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195" w:history="1">
            <w:r w:rsidR="00F5732C" w:rsidRPr="00B03B51">
              <w:rPr>
                <w:rStyle w:val="Hyperlink"/>
                <w:rFonts w:ascii="Times New Roman" w:hAnsi="Times New Roman" w:cs="Times New Roman"/>
                <w:noProof/>
                <w:sz w:val="24"/>
              </w:rPr>
              <w:t>7. Ar parādu saistītie darījumi un garantijas</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_Toc67565195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380</w:t>
            </w:r>
            <w:r w:rsidR="00F5732C" w:rsidRPr="00B03B51">
              <w:rPr>
                <w:rFonts w:ascii="Times New Roman" w:hAnsi="Times New Roman" w:cs="Times New Roman"/>
                <w:noProof/>
                <w:webHidden/>
                <w:sz w:val="24"/>
              </w:rPr>
              <w:fldChar w:fldCharType="end"/>
            </w:r>
          </w:hyperlink>
        </w:p>
        <w:p w14:paraId="2EF608C1" w14:textId="750EC8D1"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96" w:history="1">
            <w:r w:rsidR="00F5732C" w:rsidRPr="00B03B51">
              <w:rPr>
                <w:rStyle w:val="Hyperlink"/>
                <w:rFonts w:ascii="Times New Roman" w:hAnsi="Times New Roman" w:cs="Times New Roman"/>
                <w:b w:val="0"/>
                <w:bCs w:val="0"/>
                <w:noProof/>
                <w:sz w:val="24"/>
              </w:rPr>
              <w:t>7.1.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_Toc67565196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380</w:t>
            </w:r>
            <w:r w:rsidR="00F5732C" w:rsidRPr="00B03B51">
              <w:rPr>
                <w:rFonts w:ascii="Times New Roman" w:hAnsi="Times New Roman" w:cs="Times New Roman"/>
                <w:b w:val="0"/>
                <w:bCs w:val="0"/>
                <w:noProof/>
                <w:webHidden/>
                <w:sz w:val="24"/>
              </w:rPr>
              <w:fldChar w:fldCharType="end"/>
            </w:r>
          </w:hyperlink>
        </w:p>
        <w:p w14:paraId="2FBAA2F0" w14:textId="61DA6267"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197" w:history="1">
            <w:r w:rsidR="00F5732C" w:rsidRPr="00B03B51">
              <w:rPr>
                <w:rStyle w:val="Hyperlink"/>
                <w:rFonts w:ascii="Times New Roman" w:hAnsi="Times New Roman" w:cs="Times New Roman"/>
                <w:b w:val="0"/>
                <w:bCs w:val="0"/>
                <w:noProof/>
                <w:sz w:val="24"/>
              </w:rPr>
              <w:t>7.2. Parāda pārņemšana un parāda a</w:t>
            </w:r>
            <w:r>
              <w:rPr>
                <w:rStyle w:val="Hyperlink"/>
                <w:rFonts w:ascii="Times New Roman" w:hAnsi="Times New Roman" w:cs="Times New Roman"/>
                <w:b w:val="0"/>
                <w:bCs w:val="0"/>
                <w:noProof/>
                <w:sz w:val="24"/>
              </w:rPr>
              <w:t>nu</w:t>
            </w:r>
            <w:r w:rsidR="00F5732C" w:rsidRPr="00B03B51">
              <w:rPr>
                <w:rStyle w:val="Hyperlink"/>
                <w:rFonts w:ascii="Times New Roman" w:hAnsi="Times New Roman" w:cs="Times New Roman"/>
                <w:b w:val="0"/>
                <w:bCs w:val="0"/>
                <w:noProof/>
                <w:sz w:val="24"/>
              </w:rPr>
              <w:t>l</w:t>
            </w:r>
            <w:r>
              <w:rPr>
                <w:rStyle w:val="Hyperlink"/>
                <w:rFonts w:ascii="Times New Roman" w:hAnsi="Times New Roman" w:cs="Times New Roman"/>
                <w:b w:val="0"/>
                <w:bCs w:val="0"/>
                <w:noProof/>
                <w:sz w:val="24"/>
              </w:rPr>
              <w:t>ē</w:t>
            </w:r>
            <w:r w:rsidR="00F5732C" w:rsidRPr="00B03B51">
              <w:rPr>
                <w:rStyle w:val="Hyperlink"/>
                <w:rFonts w:ascii="Times New Roman" w:hAnsi="Times New Roman" w:cs="Times New Roman"/>
                <w:b w:val="0"/>
                <w:bCs w:val="0"/>
                <w:noProof/>
                <w:sz w:val="24"/>
              </w:rPr>
              <w:t>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_Toc67565197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381</w:t>
            </w:r>
            <w:r w:rsidR="00F5732C" w:rsidRPr="00B03B51">
              <w:rPr>
                <w:rFonts w:ascii="Times New Roman" w:hAnsi="Times New Roman" w:cs="Times New Roman"/>
                <w:b w:val="0"/>
                <w:bCs w:val="0"/>
                <w:noProof/>
                <w:webHidden/>
                <w:sz w:val="24"/>
              </w:rPr>
              <w:fldChar w:fldCharType="end"/>
            </w:r>
          </w:hyperlink>
        </w:p>
        <w:p w14:paraId="420DC4A6" w14:textId="146BAFA9"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02" w:history="1">
            <w:r w:rsidR="00F5732C" w:rsidRPr="00B03B51">
              <w:rPr>
                <w:rStyle w:val="Hyperlink"/>
                <w:rFonts w:ascii="Times New Roman" w:hAnsi="Times New Roman" w:cs="Times New Roman"/>
                <w:b w:val="0"/>
                <w:bCs w:val="0"/>
                <w:noProof/>
                <w:sz w:val="24"/>
              </w:rPr>
              <w:t>7.3. Parāda atmaksas grafika pārskatīšana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_Toc67565202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390</w:t>
            </w:r>
            <w:r w:rsidR="00F5732C" w:rsidRPr="00B03B51">
              <w:rPr>
                <w:rFonts w:ascii="Times New Roman" w:hAnsi="Times New Roman" w:cs="Times New Roman"/>
                <w:b w:val="0"/>
                <w:bCs w:val="0"/>
                <w:noProof/>
                <w:webHidden/>
                <w:sz w:val="24"/>
              </w:rPr>
              <w:fldChar w:fldCharType="end"/>
            </w:r>
          </w:hyperlink>
        </w:p>
        <w:p w14:paraId="5C57FB61" w14:textId="35AD93AE"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07" w:history="1">
            <w:r w:rsidR="00F5732C" w:rsidRPr="00B03B51">
              <w:rPr>
                <w:rStyle w:val="Hyperlink"/>
                <w:rFonts w:ascii="Times New Roman" w:hAnsi="Times New Roman" w:cs="Times New Roman"/>
                <w:b w:val="0"/>
                <w:bCs w:val="0"/>
                <w:noProof/>
                <w:sz w:val="24"/>
              </w:rPr>
              <w:t>7.4. Valdības galvojumi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_Toc67565207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402</w:t>
            </w:r>
            <w:r w:rsidR="00F5732C" w:rsidRPr="00B03B51">
              <w:rPr>
                <w:rFonts w:ascii="Times New Roman" w:hAnsi="Times New Roman" w:cs="Times New Roman"/>
                <w:b w:val="0"/>
                <w:bCs w:val="0"/>
                <w:noProof/>
                <w:webHidden/>
                <w:sz w:val="24"/>
              </w:rPr>
              <w:fldChar w:fldCharType="end"/>
            </w:r>
          </w:hyperlink>
        </w:p>
        <w:p w14:paraId="4687C6A5" w14:textId="3683E72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12" w:history="1">
            <w:r w:rsidR="00F5732C" w:rsidRPr="00B03B51">
              <w:rPr>
                <w:rStyle w:val="Hyperlink"/>
                <w:rFonts w:ascii="Times New Roman" w:hAnsi="Times New Roman" w:cs="Times New Roman"/>
                <w:b w:val="0"/>
                <w:bCs w:val="0"/>
                <w:noProof/>
                <w:sz w:val="24"/>
              </w:rPr>
              <w:t>7.5.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_Toc67565212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422</w:t>
            </w:r>
            <w:r w:rsidR="00F5732C" w:rsidRPr="00B03B51">
              <w:rPr>
                <w:rFonts w:ascii="Times New Roman" w:hAnsi="Times New Roman" w:cs="Times New Roman"/>
                <w:b w:val="0"/>
                <w:bCs w:val="0"/>
                <w:noProof/>
                <w:webHidden/>
                <w:sz w:val="24"/>
              </w:rPr>
              <w:fldChar w:fldCharType="end"/>
            </w:r>
          </w:hyperlink>
        </w:p>
        <w:p w14:paraId="61DC7B09" w14:textId="4641381F" w:rsidR="00F5732C" w:rsidRPr="00B03B51" w:rsidRDefault="00FC6AB7" w:rsidP="00662E0A">
          <w:pPr>
            <w:pStyle w:val="TOC1"/>
            <w:tabs>
              <w:tab w:val="right" w:leader="dot" w:pos="9061"/>
            </w:tabs>
            <w:spacing w:before="0"/>
            <w:ind w:left="0" w:firstLine="0"/>
            <w:rPr>
              <w:rFonts w:ascii="Times New Roman" w:eastAsiaTheme="minorEastAsia" w:hAnsi="Times New Roman" w:cs="Times New Roman"/>
              <w:noProof/>
              <w:sz w:val="24"/>
              <w:lang w:eastAsia="lv-LV"/>
            </w:rPr>
          </w:pPr>
          <w:hyperlink w:anchor="_Toc67565213" w:history="1">
            <w:r w:rsidR="00F5732C" w:rsidRPr="00B03B51">
              <w:rPr>
                <w:rStyle w:val="Hyperlink"/>
                <w:rFonts w:ascii="Times New Roman" w:hAnsi="Times New Roman" w:cs="Times New Roman"/>
                <w:noProof/>
                <w:sz w:val="24"/>
              </w:rPr>
              <w:t>8. Vispārējās valdības parāda apmēra noteikšana</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_Toc67565213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423</w:t>
            </w:r>
            <w:r w:rsidR="00F5732C" w:rsidRPr="00B03B51">
              <w:rPr>
                <w:rFonts w:ascii="Times New Roman" w:hAnsi="Times New Roman" w:cs="Times New Roman"/>
                <w:noProof/>
                <w:webHidden/>
                <w:sz w:val="24"/>
              </w:rPr>
              <w:fldChar w:fldCharType="end"/>
            </w:r>
          </w:hyperlink>
        </w:p>
        <w:p w14:paraId="6268F2F7" w14:textId="21A1C8CF"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14" w:history="1">
            <w:r w:rsidR="00F5732C" w:rsidRPr="00B03B51">
              <w:rPr>
                <w:rStyle w:val="Hyperlink"/>
                <w:rFonts w:ascii="Times New Roman" w:hAnsi="Times New Roman" w:cs="Times New Roman"/>
                <w:b w:val="0"/>
                <w:bCs w:val="0"/>
                <w:noProof/>
                <w:sz w:val="24"/>
              </w:rPr>
              <w:t>8.1. Pārskats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_Toc67565214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423</w:t>
            </w:r>
            <w:r w:rsidR="00F5732C" w:rsidRPr="00B03B51">
              <w:rPr>
                <w:rFonts w:ascii="Times New Roman" w:hAnsi="Times New Roman" w:cs="Times New Roman"/>
                <w:b w:val="0"/>
                <w:bCs w:val="0"/>
                <w:noProof/>
                <w:webHidden/>
                <w:sz w:val="24"/>
              </w:rPr>
              <w:fldChar w:fldCharType="end"/>
            </w:r>
          </w:hyperlink>
        </w:p>
        <w:p w14:paraId="6F3DE0BE" w14:textId="097C4DB6"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15" w:history="1">
            <w:r w:rsidR="00F5732C" w:rsidRPr="00B03B51">
              <w:rPr>
                <w:rStyle w:val="Hyperlink"/>
                <w:rFonts w:ascii="Times New Roman" w:hAnsi="Times New Roman" w:cs="Times New Roman"/>
                <w:b w:val="0"/>
                <w:bCs w:val="0"/>
                <w:noProof/>
                <w:sz w:val="24"/>
              </w:rPr>
              <w:t>8.2. Vispārējās valdības parāda aprēķināšana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_Toc67565215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424</w:t>
            </w:r>
            <w:r w:rsidR="00F5732C" w:rsidRPr="00B03B51">
              <w:rPr>
                <w:rFonts w:ascii="Times New Roman" w:hAnsi="Times New Roman" w:cs="Times New Roman"/>
                <w:b w:val="0"/>
                <w:bCs w:val="0"/>
                <w:noProof/>
                <w:webHidden/>
                <w:sz w:val="24"/>
              </w:rPr>
              <w:fldChar w:fldCharType="end"/>
            </w:r>
          </w:hyperlink>
        </w:p>
        <w:p w14:paraId="460603EB" w14:textId="12330158"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17" w:history="1">
            <w:r w:rsidR="00F5732C" w:rsidRPr="00B03B51">
              <w:rPr>
                <w:rStyle w:val="Hyperlink"/>
                <w:rFonts w:ascii="Times New Roman" w:hAnsi="Times New Roman" w:cs="Times New Roman"/>
                <w:b w:val="0"/>
                <w:bCs w:val="0"/>
                <w:noProof/>
                <w:sz w:val="24"/>
              </w:rPr>
              <w:t>8.3. Mijmaiņas darījumu ierakstīšana</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_Toc67565217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431</w:t>
            </w:r>
            <w:r w:rsidR="00F5732C" w:rsidRPr="00B03B51">
              <w:rPr>
                <w:rFonts w:ascii="Times New Roman" w:hAnsi="Times New Roman" w:cs="Times New Roman"/>
                <w:b w:val="0"/>
                <w:bCs w:val="0"/>
                <w:noProof/>
                <w:webHidden/>
                <w:sz w:val="24"/>
              </w:rPr>
              <w:fldChar w:fldCharType="end"/>
            </w:r>
          </w:hyperlink>
        </w:p>
        <w:p w14:paraId="393D8040" w14:textId="7A458680"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22" w:history="1">
            <w:r w:rsidR="00F5732C" w:rsidRPr="00B03B51">
              <w:rPr>
                <w:rStyle w:val="Hyperlink"/>
                <w:rFonts w:ascii="Times New Roman" w:hAnsi="Times New Roman" w:cs="Times New Roman"/>
                <w:b w:val="0"/>
                <w:bCs w:val="0"/>
                <w:noProof/>
                <w:sz w:val="24"/>
              </w:rPr>
              <w:t>8.4. Pārdošanas ar atpirkšanu līgumi un vērtspapīru aizdevumi</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_Toc67565222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449</w:t>
            </w:r>
            <w:r w:rsidR="00F5732C" w:rsidRPr="00B03B51">
              <w:rPr>
                <w:rFonts w:ascii="Times New Roman" w:hAnsi="Times New Roman" w:cs="Times New Roman"/>
                <w:b w:val="0"/>
                <w:bCs w:val="0"/>
                <w:noProof/>
                <w:webHidden/>
                <w:sz w:val="24"/>
              </w:rPr>
              <w:fldChar w:fldCharType="end"/>
            </w:r>
          </w:hyperlink>
        </w:p>
        <w:p w14:paraId="350C6827" w14:textId="0AAF5D09" w:rsidR="00F5732C" w:rsidRPr="00B03B51" w:rsidRDefault="00FC6AB7" w:rsidP="009605EA">
          <w:pPr>
            <w:pStyle w:val="TOC2"/>
            <w:tabs>
              <w:tab w:val="right" w:leader="dot" w:pos="9061"/>
            </w:tabs>
            <w:spacing w:before="0"/>
            <w:ind w:left="426"/>
            <w:rPr>
              <w:rFonts w:ascii="Times New Roman" w:eastAsiaTheme="minorEastAsia" w:hAnsi="Times New Roman" w:cs="Times New Roman"/>
              <w:b w:val="0"/>
              <w:bCs w:val="0"/>
              <w:noProof/>
              <w:sz w:val="24"/>
              <w:szCs w:val="22"/>
              <w:lang w:eastAsia="lv-LV"/>
            </w:rPr>
          </w:pPr>
          <w:hyperlink w:anchor="_Toc67565229" w:history="1">
            <w:r w:rsidR="00F5732C" w:rsidRPr="00B03B51">
              <w:rPr>
                <w:rStyle w:val="Hyperlink"/>
                <w:rFonts w:ascii="Times New Roman" w:hAnsi="Times New Roman" w:cs="Times New Roman"/>
                <w:b w:val="0"/>
                <w:bCs w:val="0"/>
                <w:noProof/>
                <w:sz w:val="24"/>
              </w:rPr>
              <w:t>8.5. Atslēgvārdi un atsauces</w:t>
            </w:r>
            <w:r w:rsidR="00F5732C" w:rsidRPr="00B03B51">
              <w:rPr>
                <w:rFonts w:ascii="Times New Roman" w:hAnsi="Times New Roman" w:cs="Times New Roman"/>
                <w:b w:val="0"/>
                <w:bCs w:val="0"/>
                <w:noProof/>
                <w:webHidden/>
                <w:sz w:val="24"/>
              </w:rPr>
              <w:tab/>
            </w:r>
            <w:r w:rsidR="00F5732C" w:rsidRPr="00B03B51">
              <w:rPr>
                <w:rFonts w:ascii="Times New Roman" w:hAnsi="Times New Roman" w:cs="Times New Roman"/>
                <w:b w:val="0"/>
                <w:bCs w:val="0"/>
                <w:noProof/>
                <w:webHidden/>
                <w:sz w:val="24"/>
              </w:rPr>
              <w:fldChar w:fldCharType="begin"/>
            </w:r>
            <w:r w:rsidR="00F5732C" w:rsidRPr="00B03B51">
              <w:rPr>
                <w:rFonts w:ascii="Times New Roman" w:hAnsi="Times New Roman" w:cs="Times New Roman"/>
                <w:b w:val="0"/>
                <w:bCs w:val="0"/>
                <w:noProof/>
                <w:webHidden/>
                <w:sz w:val="24"/>
              </w:rPr>
              <w:instrText xml:space="preserve"> PAGEREF _Toc67565229 \h </w:instrText>
            </w:r>
            <w:r w:rsidR="00F5732C" w:rsidRPr="00B03B51">
              <w:rPr>
                <w:rFonts w:ascii="Times New Roman" w:hAnsi="Times New Roman" w:cs="Times New Roman"/>
                <w:b w:val="0"/>
                <w:bCs w:val="0"/>
                <w:noProof/>
                <w:webHidden/>
                <w:sz w:val="24"/>
              </w:rPr>
            </w:r>
            <w:r w:rsidR="00F5732C" w:rsidRPr="00B03B51">
              <w:rPr>
                <w:rFonts w:ascii="Times New Roman" w:hAnsi="Times New Roman" w:cs="Times New Roman"/>
                <w:b w:val="0"/>
                <w:bCs w:val="0"/>
                <w:noProof/>
                <w:webHidden/>
                <w:sz w:val="24"/>
              </w:rPr>
              <w:fldChar w:fldCharType="separate"/>
            </w:r>
            <w:r w:rsidR="006D0460">
              <w:rPr>
                <w:rFonts w:ascii="Times New Roman" w:hAnsi="Times New Roman" w:cs="Times New Roman"/>
                <w:b w:val="0"/>
                <w:bCs w:val="0"/>
                <w:noProof/>
                <w:webHidden/>
                <w:sz w:val="24"/>
              </w:rPr>
              <w:t>455</w:t>
            </w:r>
            <w:r w:rsidR="00F5732C" w:rsidRPr="00B03B51">
              <w:rPr>
                <w:rFonts w:ascii="Times New Roman" w:hAnsi="Times New Roman" w:cs="Times New Roman"/>
                <w:b w:val="0"/>
                <w:bCs w:val="0"/>
                <w:noProof/>
                <w:webHidden/>
                <w:sz w:val="24"/>
              </w:rPr>
              <w:fldChar w:fldCharType="end"/>
            </w:r>
          </w:hyperlink>
        </w:p>
        <w:p w14:paraId="38047DE7" w14:textId="4475E5C6" w:rsidR="00F5732C" w:rsidRPr="00B03B51" w:rsidRDefault="00FC6AB7" w:rsidP="00662E0A">
          <w:pPr>
            <w:pStyle w:val="TOC2"/>
            <w:tabs>
              <w:tab w:val="right" w:leader="dot" w:pos="9061"/>
            </w:tabs>
            <w:spacing w:before="0"/>
            <w:ind w:left="0"/>
            <w:rPr>
              <w:rFonts w:ascii="Times New Roman" w:eastAsiaTheme="minorEastAsia" w:hAnsi="Times New Roman" w:cs="Times New Roman"/>
              <w:noProof/>
              <w:sz w:val="24"/>
              <w:szCs w:val="22"/>
              <w:lang w:eastAsia="lv-LV"/>
            </w:rPr>
          </w:pPr>
          <w:hyperlink w:anchor="_Toc67565230" w:history="1">
            <w:r w:rsidR="00F5732C" w:rsidRPr="00B03B51">
              <w:rPr>
                <w:rStyle w:val="Hyperlink"/>
                <w:rFonts w:ascii="Times New Roman" w:hAnsi="Times New Roman" w:cs="Times New Roman"/>
                <w:noProof/>
                <w:sz w:val="24"/>
              </w:rPr>
              <w:t>Pielikums. Tiesību akti (atsauces un saites)</w:t>
            </w:r>
            <w:r w:rsidR="00F5732C" w:rsidRPr="00B03B51">
              <w:rPr>
                <w:rFonts w:ascii="Times New Roman" w:hAnsi="Times New Roman" w:cs="Times New Roman"/>
                <w:noProof/>
                <w:webHidden/>
                <w:sz w:val="24"/>
              </w:rPr>
              <w:tab/>
            </w:r>
            <w:r w:rsidR="00F5732C" w:rsidRPr="00B03B51">
              <w:rPr>
                <w:rFonts w:ascii="Times New Roman" w:hAnsi="Times New Roman" w:cs="Times New Roman"/>
                <w:noProof/>
                <w:webHidden/>
                <w:sz w:val="24"/>
              </w:rPr>
              <w:fldChar w:fldCharType="begin"/>
            </w:r>
            <w:r w:rsidR="00F5732C" w:rsidRPr="00B03B51">
              <w:rPr>
                <w:rFonts w:ascii="Times New Roman" w:hAnsi="Times New Roman" w:cs="Times New Roman"/>
                <w:noProof/>
                <w:webHidden/>
                <w:sz w:val="24"/>
              </w:rPr>
              <w:instrText xml:space="preserve"> PAGEREF _Toc67565230 \h </w:instrText>
            </w:r>
            <w:r w:rsidR="00F5732C" w:rsidRPr="00B03B51">
              <w:rPr>
                <w:rFonts w:ascii="Times New Roman" w:hAnsi="Times New Roman" w:cs="Times New Roman"/>
                <w:noProof/>
                <w:webHidden/>
                <w:sz w:val="24"/>
              </w:rPr>
            </w:r>
            <w:r w:rsidR="00F5732C" w:rsidRPr="00B03B51">
              <w:rPr>
                <w:rFonts w:ascii="Times New Roman" w:hAnsi="Times New Roman" w:cs="Times New Roman"/>
                <w:noProof/>
                <w:webHidden/>
                <w:sz w:val="24"/>
              </w:rPr>
              <w:fldChar w:fldCharType="separate"/>
            </w:r>
            <w:r w:rsidR="006D0460">
              <w:rPr>
                <w:rFonts w:ascii="Times New Roman" w:hAnsi="Times New Roman" w:cs="Times New Roman"/>
                <w:noProof/>
                <w:webHidden/>
                <w:sz w:val="24"/>
              </w:rPr>
              <w:t>456</w:t>
            </w:r>
            <w:r w:rsidR="00F5732C" w:rsidRPr="00B03B51">
              <w:rPr>
                <w:rFonts w:ascii="Times New Roman" w:hAnsi="Times New Roman" w:cs="Times New Roman"/>
                <w:noProof/>
                <w:webHidden/>
                <w:sz w:val="24"/>
              </w:rPr>
              <w:fldChar w:fldCharType="end"/>
            </w:r>
          </w:hyperlink>
        </w:p>
        <w:p w14:paraId="259FCEB5" w14:textId="5E6A6AD6" w:rsidR="00A55931" w:rsidRPr="00B03B51" w:rsidRDefault="00F5732C" w:rsidP="00994F93">
          <w:pPr>
            <w:rPr>
              <w:rFonts w:ascii="Times New Roman" w:hAnsi="Times New Roman" w:cs="Times New Roman"/>
            </w:rPr>
          </w:pPr>
          <w:r w:rsidRPr="00B03B51">
            <w:rPr>
              <w:rFonts w:ascii="Times New Roman" w:hAnsi="Times New Roman" w:cs="Times New Roman"/>
              <w:sz w:val="24"/>
            </w:rPr>
            <w:fldChar w:fldCharType="end"/>
          </w:r>
        </w:p>
      </w:sdtContent>
    </w:sdt>
    <w:p w14:paraId="24BB718D" w14:textId="007F1045"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45FFE824" w14:textId="77777777" w:rsidR="00994F93" w:rsidRPr="00B03B51" w:rsidRDefault="00994F93" w:rsidP="00994F93">
      <w:pPr>
        <w:jc w:val="both"/>
        <w:rPr>
          <w:rFonts w:ascii="Times New Roman" w:eastAsia="Times New Roman" w:hAnsi="Times New Roman" w:cs="Times New Roman"/>
          <w:noProof/>
          <w:sz w:val="24"/>
          <w:szCs w:val="56"/>
        </w:rPr>
      </w:pPr>
    </w:p>
    <w:p w14:paraId="05799695" w14:textId="77777777" w:rsidR="00994F93" w:rsidRPr="00B03B51" w:rsidRDefault="00994F93" w:rsidP="00994F93">
      <w:pPr>
        <w:pStyle w:val="Heading1"/>
        <w:ind w:left="0"/>
        <w:jc w:val="both"/>
        <w:rPr>
          <w:rFonts w:ascii="Times New Roman" w:hAnsi="Times New Roman" w:cs="Times New Roman"/>
          <w:noProof/>
          <w:sz w:val="28"/>
          <w:szCs w:val="72"/>
        </w:rPr>
      </w:pPr>
      <w:bookmarkStart w:id="4" w:name="1._Delimitation_of_the_general_governmen"/>
      <w:bookmarkStart w:id="5" w:name="_bookmark0"/>
      <w:bookmarkStart w:id="6" w:name="_Toc67565016"/>
      <w:bookmarkEnd w:id="4"/>
      <w:bookmarkEnd w:id="5"/>
      <w:r w:rsidRPr="00B03B51">
        <w:rPr>
          <w:rFonts w:ascii="Times New Roman" w:hAnsi="Times New Roman" w:cs="Times New Roman"/>
          <w:sz w:val="28"/>
          <w:szCs w:val="72"/>
        </w:rPr>
        <w:t>1. Vispārējās valdības sektora norobežošana</w:t>
      </w:r>
      <w:bookmarkEnd w:id="6"/>
    </w:p>
    <w:p w14:paraId="22AC6D89" w14:textId="77777777" w:rsidR="00994F93" w:rsidRPr="00B03B51" w:rsidRDefault="00994F93" w:rsidP="00994F93">
      <w:pPr>
        <w:jc w:val="both"/>
        <w:rPr>
          <w:rFonts w:ascii="Times New Roman" w:eastAsia="Arial" w:hAnsi="Times New Roman" w:cs="Times New Roman"/>
          <w:b/>
          <w:bCs/>
          <w:noProof/>
          <w:sz w:val="24"/>
          <w:szCs w:val="20"/>
        </w:rPr>
      </w:pPr>
    </w:p>
    <w:p w14:paraId="4BF2F091" w14:textId="77777777" w:rsidR="00994F93" w:rsidRPr="00B03B51" w:rsidRDefault="00994F93" w:rsidP="00994F93">
      <w:pPr>
        <w:pStyle w:val="Heading2"/>
        <w:tabs>
          <w:tab w:val="left" w:pos="2139"/>
        </w:tabs>
        <w:spacing w:before="0"/>
        <w:ind w:left="0" w:firstLine="0"/>
        <w:jc w:val="both"/>
        <w:rPr>
          <w:rFonts w:ascii="Times New Roman" w:hAnsi="Times New Roman" w:cs="Times New Roman"/>
          <w:noProof/>
          <w:sz w:val="28"/>
          <w:szCs w:val="44"/>
        </w:rPr>
      </w:pPr>
      <w:bookmarkStart w:id="7" w:name="1.1._Overview"/>
      <w:bookmarkStart w:id="8" w:name="_bookmark1"/>
      <w:bookmarkStart w:id="9" w:name="_Toc67565017"/>
      <w:bookmarkEnd w:id="7"/>
      <w:bookmarkEnd w:id="8"/>
      <w:r w:rsidRPr="00B03B51">
        <w:rPr>
          <w:rFonts w:ascii="Times New Roman" w:hAnsi="Times New Roman" w:cs="Times New Roman"/>
          <w:sz w:val="28"/>
          <w:szCs w:val="44"/>
        </w:rPr>
        <w:t>1.1. Pārskats</w:t>
      </w:r>
      <w:bookmarkEnd w:id="9"/>
    </w:p>
    <w:p w14:paraId="4203D5AC" w14:textId="77777777" w:rsidR="00994F93" w:rsidRPr="00B03B51" w:rsidRDefault="00994F93" w:rsidP="00A55931">
      <w:pPr>
        <w:tabs>
          <w:tab w:val="left" w:pos="1703"/>
        </w:tabs>
        <w:rPr>
          <w:rFonts w:ascii="Times New Roman" w:eastAsia="Arial" w:hAnsi="Times New Roman" w:cs="Times New Roman"/>
          <w:noProof/>
          <w:sz w:val="24"/>
          <w:szCs w:val="19"/>
        </w:rPr>
      </w:pPr>
    </w:p>
    <w:p w14:paraId="28291003" w14:textId="77777777" w:rsidR="00994F93" w:rsidRPr="00B03B51" w:rsidRDefault="00994F93" w:rsidP="00994F93">
      <w:pPr>
        <w:tabs>
          <w:tab w:val="left" w:pos="170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1. Valdības budžeta deficīta un parāda statistikā uzskaita vispārējās valdības sektora darbību (S.13) atbilstīgi tam, kā noteikts nacionālajos kontos. Saskaņā ar EKS 2010 2.111. punktu, kurā vispārīgi noteiktas galvenās iezīmes, šis sektors </w:t>
      </w:r>
      <w:r w:rsidRPr="00B03B51">
        <w:rPr>
          <w:rFonts w:ascii="Times New Roman" w:hAnsi="Times New Roman" w:cs="Times New Roman"/>
          <w:i/>
          <w:iCs/>
          <w:sz w:val="24"/>
          <w:szCs w:val="19"/>
        </w:rPr>
        <w:t>ietver institucionālās vienības, kuras ir ārpustirgus ražotāji un kuru produkcija ir paredzēta individuālajam un kolektīvajam patēriņam, un kuras galvenokārt finansē no obligātajiem maksājumiem, ko veic citiem sektoriem piederošas vienības un institucionālās vienības, kuras nodarbojas galvenokārt ar nacionālā ienākuma un bagātības pārdali</w:t>
      </w:r>
      <w:r w:rsidRPr="00B03B51">
        <w:rPr>
          <w:rFonts w:ascii="Times New Roman" w:hAnsi="Times New Roman" w:cs="Times New Roman"/>
          <w:sz w:val="24"/>
          <w:szCs w:val="19"/>
        </w:rPr>
        <w:t>. Tas nenozīmē, ka nelielu daļu no valdības vienību līdzekļiem nevar veidot cita veida līdzekļi (piemēram, īpašuma ienākumi un ienākumi no preču un pakalpojumu pārdošanas), taču galvenā atšķirība ir šo vienību tiesības iekasēt nodokļus.</w:t>
      </w:r>
      <w:r w:rsidRPr="00B03B51">
        <w:rPr>
          <w:rStyle w:val="FootnoteReference"/>
          <w:rFonts w:ascii="Times New Roman" w:eastAsia="Arial" w:hAnsi="Times New Roman" w:cs="Times New Roman"/>
          <w:noProof/>
          <w:sz w:val="24"/>
          <w:szCs w:val="19"/>
        </w:rPr>
        <w:footnoteReference w:id="4"/>
      </w:r>
      <w:r w:rsidRPr="00B03B51">
        <w:rPr>
          <w:rFonts w:ascii="Times New Roman" w:hAnsi="Times New Roman" w:cs="Times New Roman"/>
          <w:sz w:val="24"/>
          <w:szCs w:val="12"/>
        </w:rPr>
        <w:t xml:space="preserve"> </w:t>
      </w:r>
      <w:r w:rsidRPr="00B03B51">
        <w:rPr>
          <w:rFonts w:ascii="Times New Roman" w:hAnsi="Times New Roman" w:cs="Times New Roman"/>
          <w:sz w:val="24"/>
          <w:szCs w:val="19"/>
        </w:rPr>
        <w:t xml:space="preserve">Šajā saistībā EKS 2010 20.02. punktā tiek uzsvērtas arī “pilnvaras paaugstināt nodokļus un citas obligātās nodevas un izdot likumus, kas ietekmē ekonomikas vienību rīcību”. EKS 2010 20.06. punktā papildus norādīts arī tas, ka </w:t>
      </w:r>
      <w:r w:rsidRPr="00B03B51">
        <w:rPr>
          <w:rFonts w:ascii="Times New Roman" w:hAnsi="Times New Roman" w:cs="Times New Roman"/>
          <w:i/>
          <w:iCs/>
          <w:sz w:val="24"/>
          <w:szCs w:val="19"/>
        </w:rPr>
        <w:t>valdības vienības ir juridiskas personas, kuras izveidotas politiskā procesā un kurām ir likumdošanas, tiesiskas vai izpildvaras pilnvaras pār citām institucionālajām vienībām noteiktā jomā</w:t>
      </w:r>
      <w:r w:rsidRPr="00B03B51">
        <w:rPr>
          <w:rFonts w:ascii="Times New Roman" w:hAnsi="Times New Roman" w:cs="Times New Roman"/>
          <w:sz w:val="24"/>
          <w:szCs w:val="19"/>
        </w:rPr>
        <w:t>. Tomēr šī definīcija pilnīgi atbilst vienīgi tām vienībām, kuras ir EKS 2010 20.10. punktā noteiktās “primārās” vienības, taču konkrētu darbību veikšanai var izveidot arī cita veida vienības. Ja tās atbilst institucionālo vienību kritērijiem (skat. turpmāk), jāuzskata, ka tās ir atsevišķas valdības vienības.</w:t>
      </w:r>
    </w:p>
    <w:p w14:paraId="4A58057A"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2DD6F09D"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Lai pareizi norobežotu vispārējās valdības sektoru, būtiska nozīme ir tam, ka institucionālās vienības tiek kvalificētas kā ārpustirgus ražotāji, t. i., vienības, kas “nodrošina visu savu izlaidi (preces un pakalpojumus) vai lielāko daļu no savas izlaides par brīvu vai par cenām, kas nav “ekonomiski nozīmīgas” (EKS 2010 20.19. punkts). Tādējādi vispārējās valdības sektorā neietilpst neviena valdības kontrolēta vienība (noteikta, pamatojoties uz dažādiem kritērijiem, skat. EKS 2010 20.307. punktu), kas tiek uzskatīta par tirgus ražotāju (“publiska sabiedrība”). Publiskajā sektorā ietilpst visas vispārējās valdības vienības un publiskajā sektorā neietilpstošās publiskās sabiedrības (skat. EKS 2010 20.303. punktu).</w:t>
      </w:r>
    </w:p>
    <w:p w14:paraId="29D981F7"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185BACC9" w14:textId="0EBD652D"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Saskaņā ar EKS vispārējai valdībai ir četri apakšsektori, t. i., centrālā valdība, pavalsts valdība un pašvaldība, kā arī sociālā </w:t>
      </w:r>
      <w:r w:rsidR="00FC7DB2" w:rsidRPr="00B03B51">
        <w:rPr>
          <w:rFonts w:ascii="Times New Roman" w:hAnsi="Times New Roman" w:cs="Times New Roman"/>
          <w:sz w:val="24"/>
        </w:rPr>
        <w:t>nodrošinājuma</w:t>
      </w:r>
      <w:r w:rsidRPr="00B03B51">
        <w:rPr>
          <w:rFonts w:ascii="Times New Roman" w:hAnsi="Times New Roman" w:cs="Times New Roman"/>
          <w:sz w:val="24"/>
        </w:rPr>
        <w:t xml:space="preserve"> fondi. Līdzīgi kā EKS 2010 (skat. 20. nodaļu “Valdības konti”) var būt svarīgi (jo īpaši no praktiskās uzskaites viedokļa) “pamata” jeb “primārās” vienības (piemēram, “budžeta centrālā valdība” vai “reģionālo/vietējo varas iestāžu budžeti”) nošķirt no citiem valdības subjektiem, kam ir atsevišķs juridiskais statuss un dažādu pakāpju autonomija un kas ietilpst galveno vienību kontrolētajā konkrētajā valdības apakšsektorā (un bieži lielāko finansējuma daļu saņem no šīm vienībām).</w:t>
      </w:r>
    </w:p>
    <w:p w14:paraId="10005C83"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78E9B79F" w14:textId="77777777" w:rsidR="00994F93" w:rsidRPr="00B03B51" w:rsidRDefault="00994F93" w:rsidP="00994F93">
      <w:pPr>
        <w:pStyle w:val="BodyText"/>
        <w:tabs>
          <w:tab w:val="left" w:pos="198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Centrālās valdības (S.1311) apakšsektorā ietilpst visas valsts administratīvās struktūras (piemēram, ministrijas, valdes, iestādes u. c.), kas kopā tiek uzskatītas par vienu vienību</w:t>
      </w:r>
      <w:r w:rsidRPr="00B03B51">
        <w:rPr>
          <w:rStyle w:val="FootnoteReference"/>
          <w:rFonts w:ascii="Times New Roman" w:hAnsi="Times New Roman" w:cs="Times New Roman"/>
          <w:noProof/>
          <w:sz w:val="24"/>
        </w:rPr>
        <w:footnoteReference w:id="5"/>
      </w:r>
      <w:r w:rsidRPr="00B03B51">
        <w:rPr>
          <w:rFonts w:ascii="Times New Roman" w:hAnsi="Times New Roman" w:cs="Times New Roman"/>
          <w:sz w:val="24"/>
        </w:rPr>
        <w:t xml:space="preserve">, un citas centrālās struktūras, kuru kompetencē (kas veidota no likumdošanas, tiesiskām, nodokļu iekasēšanas un izpildvaras pilnvarām) parasti ietilpst visa ekonomiskā teritorija (kas </w:t>
      </w:r>
      <w:r w:rsidRPr="00B03B51">
        <w:rPr>
          <w:rFonts w:ascii="Times New Roman" w:hAnsi="Times New Roman" w:cs="Times New Roman"/>
          <w:sz w:val="24"/>
        </w:rPr>
        <w:lastRenderedPageBreak/>
        <w:t>noteikta EKS 2010 2.05. un 2.06. punktā).</w:t>
      </w:r>
      <w:r w:rsidRPr="00B03B51">
        <w:rPr>
          <w:rStyle w:val="FootnoteReference"/>
          <w:rFonts w:ascii="Times New Roman" w:hAnsi="Times New Roman" w:cs="Times New Roman"/>
          <w:noProof/>
          <w:sz w:val="24"/>
        </w:rPr>
        <w:footnoteReference w:id="6"/>
      </w:r>
      <w:r w:rsidRPr="00B03B51">
        <w:rPr>
          <w:rFonts w:ascii="Times New Roman" w:hAnsi="Times New Roman" w:cs="Times New Roman"/>
          <w:sz w:val="24"/>
          <w:szCs w:val="12"/>
        </w:rPr>
        <w:t xml:space="preserve"> </w:t>
      </w:r>
      <w:r w:rsidRPr="00B03B51">
        <w:rPr>
          <w:rFonts w:ascii="Times New Roman" w:hAnsi="Times New Roman" w:cs="Times New Roman"/>
          <w:sz w:val="24"/>
        </w:rPr>
        <w:t>Šajā apakšsektorā ietilpst arī bezpeļņas institūcijas (BPI), kuras ir ārpustirgus ražotāji un kuras kontrolē centrālā valdība, kam ir kompetence pār visu ekonomisko teritoriju. Centrālās valdības apakšsektors ir sadalīts divās daļās, proti, “budžeta centrālā valdība” un “citas centrālās valdības struktūras” (EKS 2010 20.62. punkts).</w:t>
      </w:r>
    </w:p>
    <w:p w14:paraId="39364B2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72ED91FF"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Pavalsts valdība (S.1312) ir veidota no atsevišķām institucionālajām vienībām, kas veic dažas valdības funkcijas ģeogrāfiskajā līmenī, kurš zemāks par centrālās valdības līmeni, bet augstāks par pašvaldību līmeni. Šīm valdības vienībām ir pilnīga un ekskluzīva kompetence pavalsts vai reģiona teritorijā (konstitūcijā vai pamatlikumā noteiktajās jomās); parasti būtiskas likumdošanas pilnvaras ir elements, kas liecina par šo apakšsektora līmeni, kurā var ietilpt arī citas pakļautībā esošas struktūras un pavalsts valdības kontrolētas ārpustirgus BPI.</w:t>
      </w:r>
    </w:p>
    <w:p w14:paraId="1F06CF6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34EC43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Pašvaldībā (S.1313) ietilpst pārvaldes iestādes, kuru kompetencē (kas bieži vien ir neliela, raugoties no likumdošanas un tiesisko pilnvaru viedokļa) ietilpst vien vietējā ekonomiskās teritorijas daļa. EKS 2010 20.65. punktā noteikts, ka “pašvaldības statistika aptver ļoti dažādas valdības vienības”, un tajā norādīts arī tas, ka dažādu pašvaldības vienību funkcionālā atbildība var pārklāties vienā ģeogrāfiskajā zonā; var pievienot arī lielu daudzumu ārpustirgus ražotāju ar dažādām statutārajām tiesībām, un tās var kontrolēt arī daudzas ārpustirgus BPI</w:t>
      </w:r>
      <w:r w:rsidRPr="00B03B51">
        <w:rPr>
          <w:rStyle w:val="FootnoteReference"/>
          <w:rFonts w:ascii="Times New Roman" w:hAnsi="Times New Roman" w:cs="Times New Roman"/>
          <w:noProof/>
          <w:sz w:val="24"/>
        </w:rPr>
        <w:footnoteReference w:id="7"/>
      </w:r>
      <w:r w:rsidRPr="00B03B51">
        <w:rPr>
          <w:rFonts w:ascii="Times New Roman" w:hAnsi="Times New Roman" w:cs="Times New Roman"/>
          <w:sz w:val="24"/>
        </w:rPr>
        <w:t>, kuras arī ir šeit iekļautas.</w:t>
      </w:r>
    </w:p>
    <w:p w14:paraId="5FCAFF4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09AFF33B" w14:textId="10802769"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Sociālā nodrošinā</w:t>
      </w:r>
      <w:r w:rsidR="00197C63" w:rsidRPr="00B03B51">
        <w:rPr>
          <w:rFonts w:ascii="Times New Roman" w:hAnsi="Times New Roman" w:cs="Times New Roman"/>
          <w:sz w:val="24"/>
        </w:rPr>
        <w:t>ju</w:t>
      </w:r>
      <w:r w:rsidR="007D5E6E" w:rsidRPr="00B03B51">
        <w:rPr>
          <w:rFonts w:ascii="Times New Roman" w:hAnsi="Times New Roman" w:cs="Times New Roman"/>
          <w:sz w:val="24"/>
        </w:rPr>
        <w:t>ma</w:t>
      </w:r>
      <w:r w:rsidRPr="00B03B51">
        <w:rPr>
          <w:rFonts w:ascii="Times New Roman" w:hAnsi="Times New Roman" w:cs="Times New Roman"/>
          <w:sz w:val="24"/>
        </w:rPr>
        <w:t xml:space="preserve"> fondi (S.1314) ietver visas centrālās, pavalsts un vietējās institucionālās vienības, kas nodarbojas galvenokārt ar sociālo pabalstu piešķiršanu un kas atbilst šādiem diviem kritērijiem</w:t>
      </w:r>
      <w:r w:rsidRPr="00B03B51">
        <w:rPr>
          <w:rStyle w:val="FootnoteReference"/>
          <w:rFonts w:ascii="Times New Roman" w:hAnsi="Times New Roman" w:cs="Times New Roman"/>
          <w:noProof/>
          <w:sz w:val="24"/>
        </w:rPr>
        <w:footnoteReference w:id="8"/>
      </w:r>
      <w:r w:rsidRPr="00B03B51">
        <w:rPr>
          <w:rFonts w:ascii="Times New Roman" w:hAnsi="Times New Roman" w:cs="Times New Roman"/>
          <w:sz w:val="24"/>
        </w:rPr>
        <w:t>:</w:t>
      </w:r>
    </w:p>
    <w:p w14:paraId="3E12C6E5"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71651C53" w14:textId="77777777" w:rsidR="00994F93" w:rsidRPr="00B03B51" w:rsidRDefault="00994F93" w:rsidP="00994F93">
      <w:pPr>
        <w:pStyle w:val="BodyText"/>
        <w:numPr>
          <w:ilvl w:val="0"/>
          <w:numId w:val="31"/>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saskaņā ar tiesību aktiem konkrētām iedzīvotāju grupām ir pienākums piedalīties attiecīgajā shēmā vai veikt iemaksas;</w:t>
      </w:r>
    </w:p>
    <w:p w14:paraId="4EFC93E3" w14:textId="77777777" w:rsidR="00994F93" w:rsidRPr="00B03B51" w:rsidRDefault="00994F93" w:rsidP="00994F93">
      <w:pPr>
        <w:pStyle w:val="BodyText"/>
        <w:numPr>
          <w:ilvl w:val="0"/>
          <w:numId w:val="31"/>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valdība ir atbildīga par iestādes pārvaldību attiecībā uz iemaksu un pabalstu noteikšanu vai apstiprināšanu neatkarīgi no tā, vai vispārējā valdība pilda uzraudzības iestādes vai darba devēja pienākumus (EKS 2010 2.117. punkts).</w:t>
      </w:r>
    </w:p>
    <w:p w14:paraId="4AC24F7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7081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Statistikas iestādes bieži saskaras ar vienībām, kuras nav iespējams viennozīmīgi klasificēt noteiktā sektorā un kuras veido robežgadījumus. Šajā nodaļā sniegti norādījumi tam, kā risināt šādas problēmas, lai nodrošinātu pilnīgu salīdzināmību visā Eiropas Savienībā.</w:t>
      </w:r>
    </w:p>
    <w:p w14:paraId="4621CE3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9F221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Valdības neto aizdevumu/aizņēmumu (B.9) (kā arī valsts parādu</w:t>
      </w:r>
      <w:r w:rsidRPr="00B03B51">
        <w:rPr>
          <w:rStyle w:val="FootnoteReference"/>
          <w:rFonts w:ascii="Times New Roman" w:hAnsi="Times New Roman" w:cs="Times New Roman"/>
          <w:noProof/>
          <w:sz w:val="24"/>
        </w:rPr>
        <w:footnoteReference w:id="9"/>
      </w:r>
      <w:r w:rsidRPr="00B03B51">
        <w:rPr>
          <w:rFonts w:ascii="Times New Roman" w:hAnsi="Times New Roman" w:cs="Times New Roman"/>
          <w:sz w:val="24"/>
        </w:rPr>
        <w:t>) galvenokārt ietekmē vienības, kas klasificētas valdības sektorā, tādējādi liela nozīme ir vienību klasifikācijai pareizajā sektorā.</w:t>
      </w:r>
    </w:p>
    <w:p w14:paraId="7903AF8F"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br w:type="page"/>
      </w:r>
    </w:p>
    <w:p w14:paraId="1D72F17E" w14:textId="77777777" w:rsidR="00994F93" w:rsidRPr="00B03B51" w:rsidRDefault="00994F93" w:rsidP="00994F93">
      <w:pPr>
        <w:jc w:val="both"/>
        <w:rPr>
          <w:rFonts w:ascii="Times New Roman" w:eastAsia="Arial" w:hAnsi="Times New Roman" w:cs="Times New Roman"/>
          <w:noProof/>
          <w:sz w:val="24"/>
          <w:szCs w:val="17"/>
        </w:rPr>
      </w:pPr>
    </w:p>
    <w:p w14:paraId="5DA74204"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10" w:name="1.2._Criteria_for_classifying_units_to_t"/>
      <w:bookmarkStart w:id="11" w:name="_bookmark2"/>
      <w:bookmarkStart w:id="12" w:name="_Toc67565018"/>
      <w:bookmarkEnd w:id="10"/>
      <w:bookmarkEnd w:id="11"/>
      <w:r w:rsidRPr="00B03B51">
        <w:rPr>
          <w:rFonts w:ascii="Times New Roman" w:hAnsi="Times New Roman" w:cs="Times New Roman"/>
          <w:sz w:val="28"/>
          <w:szCs w:val="44"/>
        </w:rPr>
        <w:t>1.2. Kritēriji vienību klasificēšanai vispārējās valdības sektorā</w:t>
      </w:r>
      <w:bookmarkEnd w:id="12"/>
    </w:p>
    <w:p w14:paraId="749C8C16" w14:textId="77777777" w:rsidR="00994F93" w:rsidRPr="00197963" w:rsidRDefault="00994F93" w:rsidP="00197963">
      <w:pPr>
        <w:pStyle w:val="BodyText"/>
        <w:ind w:left="0" w:firstLine="0"/>
        <w:rPr>
          <w:rFonts w:ascii="Times New Roman" w:hAnsi="Times New Roman" w:cs="Times New Roman"/>
          <w:noProof/>
        </w:rPr>
      </w:pPr>
      <w:bookmarkStart w:id="13" w:name="1.2.1_The_definition_of_the_general_gove"/>
      <w:bookmarkEnd w:id="13"/>
    </w:p>
    <w:p w14:paraId="34B712C4" w14:textId="77777777" w:rsidR="00994F93" w:rsidRPr="00B03B51" w:rsidRDefault="00994F93" w:rsidP="00994F93">
      <w:pPr>
        <w:pStyle w:val="Heading3"/>
        <w:tabs>
          <w:tab w:val="left" w:pos="1279"/>
        </w:tabs>
        <w:ind w:left="0" w:firstLine="0"/>
        <w:jc w:val="both"/>
        <w:rPr>
          <w:rFonts w:ascii="Times New Roman" w:hAnsi="Times New Roman" w:cs="Times New Roman"/>
          <w:noProof/>
          <w:sz w:val="24"/>
        </w:rPr>
      </w:pPr>
      <w:bookmarkStart w:id="14" w:name="_Toc67565019"/>
      <w:r w:rsidRPr="00B03B51">
        <w:rPr>
          <w:rFonts w:ascii="Times New Roman" w:hAnsi="Times New Roman" w:cs="Times New Roman"/>
          <w:sz w:val="24"/>
        </w:rPr>
        <w:t>1.2.1. Vispārējās valdības sektora definīcija</w:t>
      </w:r>
      <w:bookmarkEnd w:id="14"/>
    </w:p>
    <w:p w14:paraId="6E57BCE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6F699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Vispārējās valdības sektorā (S.13) ietilpst visas institucionālās vienības, kas ir ārpustirgus ražotāji, kurus kontrolē valdība, kuru produkcija ir paredzēta individuālajam un kolektīvajam patēriņam un kurus finansē no obligātajiem maksājumiem, ko veic citiem sektoriem piederošas vienības; šeit ietilpst arī institucionālās vienības, kuras galvenokārt nodarbojas ar nacionālā ienākuma un bagātības pārdali, proti, darbību, ko galvenokārt veic valdība. Tas ietver:</w:t>
      </w:r>
    </w:p>
    <w:p w14:paraId="2D62E4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E3F230"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szCs w:val="12"/>
        </w:rPr>
      </w:pPr>
      <w:r w:rsidRPr="00B03B51">
        <w:rPr>
          <w:rFonts w:ascii="Times New Roman" w:hAnsi="Times New Roman" w:cs="Times New Roman"/>
          <w:sz w:val="24"/>
        </w:rPr>
        <w:t>a) vispārējās valdības iestādes, kuras izveidotas tiesiskā procesā, lai tām būtu tiesību aktos paredzētās pilnvaras pār citām vienībām, un kuras administrē un finansē pasākumu grupu, galvenokārt ražojot ārpustirgus preces un pakalpojumus, kas ir paredzēti sabiedrības labumam;</w:t>
      </w:r>
      <w:r w:rsidRPr="00B03B51">
        <w:rPr>
          <w:rStyle w:val="FootnoteReference"/>
          <w:rFonts w:ascii="Times New Roman" w:hAnsi="Times New Roman" w:cs="Times New Roman"/>
          <w:noProof/>
          <w:sz w:val="24"/>
        </w:rPr>
        <w:footnoteReference w:id="10"/>
      </w:r>
    </w:p>
    <w:p w14:paraId="54CEFB6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23902BD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ārpustirgus publiski ražotāji, t. i., sabiedrības un kvazisabiedrības, ko kontrolē valdība, ja to produkcija ir galvenokārt ārpustirgus produkcija;</w:t>
      </w:r>
    </w:p>
    <w:p w14:paraId="6CEF77A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9CE2E9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bezpeļņas institūcijas, kas atzītas par neatkarīgiem juridiskiem subjektiem, kuri ir ārpustirgus ražotāji un kurus kontrolē vispārējā valdība;</w:t>
      </w:r>
    </w:p>
    <w:p w14:paraId="35DF1B1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B1E59CE"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szCs w:val="12"/>
        </w:rPr>
      </w:pPr>
      <w:r w:rsidRPr="00B03B51">
        <w:rPr>
          <w:rFonts w:ascii="Times New Roman" w:hAnsi="Times New Roman" w:cs="Times New Roman"/>
          <w:sz w:val="24"/>
        </w:rPr>
        <w:t>d) pensiju fondi, kuri atzīti par atsevišķām institucionālām vienībām (“autonomām vienībām”), kuros saskaņā ar tiesību aktiem ir jāveic iemaksas un kuru līdzekļus saistībā ar iemaksu un pabalstu norēķiniem vai apstiprināšanu pārvalda valdība.</w:t>
      </w:r>
      <w:r w:rsidRPr="00B03B51">
        <w:rPr>
          <w:rStyle w:val="FootnoteReference"/>
          <w:rFonts w:ascii="Times New Roman" w:hAnsi="Times New Roman" w:cs="Times New Roman"/>
          <w:noProof/>
          <w:sz w:val="24"/>
        </w:rPr>
        <w:footnoteReference w:id="11"/>
      </w:r>
    </w:p>
    <w:p w14:paraId="66680CA0"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szCs w:val="12"/>
        </w:rPr>
      </w:pPr>
    </w:p>
    <w:p w14:paraId="40B939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Vispārējās valdības sektorā ietilpst četri iepriekš minētie apakšsektori, lai gan pavalsts valdību apakšsektoru iespējams attiecināt vien uz dažām ES dalībvalstīm. Tajā neietilpst publiskie tirgus ražotāji (publiskās sabiedrības, kvazisabiedrības vai, pamatojoties uz speciāliem tiesību aktiem, vienības, kas atzītas par neatkarīgām juridiskām personām), kas ir klasificēti nefinanšu (S.11) vai finanšu (S.12) sabiedrību sektoros.</w:t>
      </w:r>
    </w:p>
    <w:p w14:paraId="1CD9383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44F452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Lai nolemtu, vai vienība jāklasificē kā vispārējās valdības vienība, jānosaka, vai tā ir:</w:t>
      </w:r>
    </w:p>
    <w:p w14:paraId="001C4CC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BA0179" w14:textId="77777777" w:rsidR="00994F93" w:rsidRPr="00B03B51" w:rsidRDefault="00994F93" w:rsidP="00DC6362">
      <w:pPr>
        <w:pStyle w:val="BodyText"/>
        <w:numPr>
          <w:ilvl w:val="0"/>
          <w:numId w:val="3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institucionāla vienība;</w:t>
      </w:r>
    </w:p>
    <w:p w14:paraId="72D76BFA" w14:textId="77777777" w:rsidR="00994F93" w:rsidRPr="00B03B51" w:rsidRDefault="00994F93" w:rsidP="00DC6362">
      <w:pPr>
        <w:pStyle w:val="BodyText"/>
        <w:numPr>
          <w:ilvl w:val="0"/>
          <w:numId w:val="3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valdības kontrolēta institucionāla vienība;</w:t>
      </w:r>
    </w:p>
    <w:p w14:paraId="4D56490F" w14:textId="77777777" w:rsidR="00994F93" w:rsidRPr="00B03B51" w:rsidRDefault="00994F93" w:rsidP="00DC6362">
      <w:pPr>
        <w:pStyle w:val="BodyText"/>
        <w:numPr>
          <w:ilvl w:val="0"/>
          <w:numId w:val="3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ārpustirgus institucionāla vienība.</w:t>
      </w:r>
    </w:p>
    <w:p w14:paraId="023DAC61"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30AB63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ir sīkāk aplūkoti šie kritēriji, tostarp kvalitatīvie kritēriji, kā arī daži īpaši subjekti, ko kontrolē valdība, uz kuriem neattiecas tirgus/ārpustirgus tests.</w:t>
      </w:r>
    </w:p>
    <w:p w14:paraId="1CFE3A6D" w14:textId="77777777" w:rsidR="00994F93" w:rsidRPr="00B03B51" w:rsidRDefault="00994F93" w:rsidP="00994F93">
      <w:pPr>
        <w:jc w:val="both"/>
        <w:rPr>
          <w:rFonts w:ascii="Times New Roman" w:eastAsia="Arial" w:hAnsi="Times New Roman" w:cs="Times New Roman"/>
          <w:noProof/>
          <w:sz w:val="24"/>
          <w:szCs w:val="19"/>
        </w:rPr>
      </w:pPr>
    </w:p>
    <w:p w14:paraId="6014202B" w14:textId="77777777" w:rsidR="00994F93" w:rsidRPr="00B03B51" w:rsidRDefault="00994F93" w:rsidP="001F4E03">
      <w:pPr>
        <w:pStyle w:val="Heading3"/>
        <w:keepNext/>
        <w:tabs>
          <w:tab w:val="left" w:pos="1279"/>
        </w:tabs>
        <w:ind w:left="0" w:firstLine="0"/>
        <w:jc w:val="both"/>
        <w:rPr>
          <w:rFonts w:ascii="Times New Roman" w:hAnsi="Times New Roman" w:cs="Times New Roman"/>
          <w:noProof/>
          <w:sz w:val="24"/>
        </w:rPr>
      </w:pPr>
      <w:bookmarkStart w:id="15" w:name="1.2.2_Concept_of_an_institutional_unit"/>
      <w:bookmarkStart w:id="16" w:name="_Toc67565020"/>
      <w:bookmarkEnd w:id="15"/>
      <w:r w:rsidRPr="00B03B51">
        <w:rPr>
          <w:rFonts w:ascii="Times New Roman" w:hAnsi="Times New Roman" w:cs="Times New Roman"/>
          <w:sz w:val="24"/>
        </w:rPr>
        <w:lastRenderedPageBreak/>
        <w:t>1.2.2. Institucionālās vienības jēdziens</w:t>
      </w:r>
      <w:bookmarkEnd w:id="16"/>
    </w:p>
    <w:p w14:paraId="7F22F0C7" w14:textId="77777777" w:rsidR="00994F93" w:rsidRPr="00B03B51" w:rsidRDefault="00994F93" w:rsidP="001F4E03">
      <w:pPr>
        <w:pStyle w:val="BodyText"/>
        <w:keepNext/>
        <w:tabs>
          <w:tab w:val="left" w:pos="843"/>
        </w:tabs>
        <w:spacing w:before="0"/>
        <w:ind w:left="0" w:firstLine="0"/>
        <w:jc w:val="both"/>
        <w:rPr>
          <w:rFonts w:ascii="Times New Roman" w:hAnsi="Times New Roman" w:cs="Times New Roman"/>
          <w:noProof/>
          <w:sz w:val="24"/>
        </w:rPr>
      </w:pPr>
    </w:p>
    <w:p w14:paraId="7A7BF65B" w14:textId="77777777" w:rsidR="00994F93" w:rsidRPr="00B03B51" w:rsidRDefault="00994F93" w:rsidP="001F4E03">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 2010 2.12. punktā ir iekļauti noteikumi, saskaņā ar kuriem subjektu var uzskatīt par institucionālu vienību:</w:t>
      </w:r>
    </w:p>
    <w:p w14:paraId="00A6E8D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E3F2340" w14:textId="77777777" w:rsidR="00994F93" w:rsidRPr="00B03B51" w:rsidRDefault="00994F93" w:rsidP="00994F93">
      <w:pPr>
        <w:jc w:val="both"/>
        <w:rPr>
          <w:rFonts w:ascii="Times New Roman" w:hAnsi="Times New Roman" w:cs="Times New Roman"/>
          <w:i/>
          <w:noProof/>
          <w:sz w:val="24"/>
        </w:rPr>
      </w:pPr>
      <w:r w:rsidRPr="00B03B51">
        <w:rPr>
          <w:rFonts w:ascii="Times New Roman" w:hAnsi="Times New Roman" w:cs="Times New Roman"/>
          <w:i/>
          <w:sz w:val="24"/>
        </w:rPr>
        <w:t>Institucionālā vienība ir ekonomisks subjekts, ko raksturo lēmumu pieņemšanas autonomija savu pamatfunkciju īstenošanā. Rezidentvienību uzskata par tādu, kas veido institucionālu vienību ekonomiskā teritorijā, kurā atrodas tās galveno ekonomisko interešu centrs, ja tai piemīt lēmumu pieņemšanas autonomija un tai ir pilns kontu komplekts, vai arī tai ir iespēja izveidot pilnu kontu komplektu.</w:t>
      </w:r>
    </w:p>
    <w:p w14:paraId="773808FE" w14:textId="77777777" w:rsidR="00994F93" w:rsidRPr="00B03B51" w:rsidRDefault="00994F93" w:rsidP="00994F93">
      <w:pPr>
        <w:jc w:val="both"/>
        <w:rPr>
          <w:rFonts w:ascii="Times New Roman" w:hAnsi="Times New Roman" w:cs="Times New Roman"/>
          <w:i/>
          <w:noProof/>
          <w:sz w:val="24"/>
        </w:rPr>
      </w:pPr>
    </w:p>
    <w:p w14:paraId="3BBDED33" w14:textId="77777777" w:rsidR="00994F93" w:rsidRPr="00B03B51" w:rsidRDefault="00994F93" w:rsidP="00994F93">
      <w:pPr>
        <w:jc w:val="both"/>
        <w:rPr>
          <w:rFonts w:ascii="Times New Roman" w:hAnsi="Times New Roman" w:cs="Times New Roman"/>
          <w:i/>
          <w:noProof/>
          <w:sz w:val="24"/>
        </w:rPr>
      </w:pPr>
      <w:r w:rsidRPr="00B03B51">
        <w:rPr>
          <w:rFonts w:ascii="Times New Roman" w:hAnsi="Times New Roman" w:cs="Times New Roman"/>
          <w:i/>
          <w:sz w:val="24"/>
        </w:rPr>
        <w:t>Lai vienībai būtu lēmumu pieņemšanas autonomija attiecībā uz tās pamatfunkciju, tai jābūt:</w:t>
      </w:r>
    </w:p>
    <w:p w14:paraId="00419593" w14:textId="77777777" w:rsidR="00994F93" w:rsidRPr="00B03B51" w:rsidRDefault="00994F93" w:rsidP="00994F93">
      <w:pPr>
        <w:jc w:val="both"/>
        <w:rPr>
          <w:rFonts w:ascii="Times New Roman" w:eastAsia="Arial" w:hAnsi="Times New Roman" w:cs="Times New Roman"/>
          <w:noProof/>
          <w:sz w:val="24"/>
          <w:szCs w:val="14"/>
        </w:rPr>
      </w:pPr>
    </w:p>
    <w:p w14:paraId="6F13C5EC"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a) tiesībām turēt savā īpašumā preces un aktīvus; spējīgai apmainīties ar preču un aktīvu īpašumtiesībām, kārtojot darījumus ar citām institucionālajām vienībām;</w:t>
      </w:r>
    </w:p>
    <w:p w14:paraId="649CDE4D" w14:textId="77777777" w:rsidR="00994F93" w:rsidRPr="00B03B51" w:rsidRDefault="00994F93" w:rsidP="00994F93">
      <w:pPr>
        <w:tabs>
          <w:tab w:val="left" w:pos="1126"/>
        </w:tabs>
        <w:ind w:left="284"/>
        <w:jc w:val="both"/>
        <w:rPr>
          <w:rFonts w:ascii="Times New Roman" w:hAnsi="Times New Roman" w:cs="Times New Roman"/>
          <w:i/>
          <w:noProof/>
          <w:sz w:val="24"/>
        </w:rPr>
      </w:pPr>
    </w:p>
    <w:p w14:paraId="71092A07"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b) spējīgai pieņemt ekonomiskus lēmumus un iesaistīties ekonomiskās darbībās, par kurām tā ir atbildīga saskaņā ar tiesību aktiem;</w:t>
      </w:r>
    </w:p>
    <w:p w14:paraId="079E4AA1" w14:textId="77777777" w:rsidR="00994F93" w:rsidRPr="00B03B51" w:rsidRDefault="00994F93" w:rsidP="00994F93">
      <w:pPr>
        <w:tabs>
          <w:tab w:val="left" w:pos="1126"/>
        </w:tabs>
        <w:ind w:left="284"/>
        <w:jc w:val="both"/>
        <w:rPr>
          <w:rFonts w:ascii="Times New Roman" w:hAnsi="Times New Roman" w:cs="Times New Roman"/>
          <w:i/>
          <w:noProof/>
          <w:sz w:val="24"/>
        </w:rPr>
      </w:pPr>
    </w:p>
    <w:p w14:paraId="5EA1AE2C"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c) spējīgai uzņemties saistības savā vārdā, uzņemties citus pienākumus vai nākotnes saistības, kā arī stāties līgumattiecībās;</w:t>
      </w:r>
    </w:p>
    <w:p w14:paraId="7BA3A3D9" w14:textId="77777777" w:rsidR="00994F93" w:rsidRPr="00B03B51" w:rsidRDefault="00994F93" w:rsidP="00994F93">
      <w:pPr>
        <w:ind w:left="284"/>
        <w:jc w:val="both"/>
        <w:rPr>
          <w:rFonts w:ascii="Times New Roman" w:hAnsi="Times New Roman" w:cs="Times New Roman"/>
          <w:noProof/>
          <w:sz w:val="24"/>
        </w:rPr>
      </w:pPr>
    </w:p>
    <w:p w14:paraId="4FD1C22E" w14:textId="77777777" w:rsidR="00994F93" w:rsidRPr="00B03B51" w:rsidRDefault="00994F93" w:rsidP="00994F93">
      <w:pPr>
        <w:ind w:left="284"/>
        <w:jc w:val="both"/>
        <w:rPr>
          <w:rFonts w:ascii="Times New Roman" w:hAnsi="Times New Roman" w:cs="Times New Roman"/>
          <w:noProof/>
          <w:sz w:val="24"/>
        </w:rPr>
      </w:pPr>
      <w:r w:rsidRPr="00B03B51">
        <w:rPr>
          <w:rFonts w:ascii="Times New Roman" w:hAnsi="Times New Roman" w:cs="Times New Roman"/>
          <w:i/>
          <w:iCs/>
          <w:sz w:val="24"/>
        </w:rPr>
        <w:t>d)</w:t>
      </w:r>
      <w:r w:rsidRPr="00B03B51">
        <w:rPr>
          <w:rFonts w:ascii="Times New Roman" w:hAnsi="Times New Roman" w:cs="Times New Roman"/>
          <w:sz w:val="24"/>
        </w:rPr>
        <w:t xml:space="preserve"> </w:t>
      </w:r>
      <w:r w:rsidRPr="00B03B51">
        <w:rPr>
          <w:rFonts w:ascii="Times New Roman" w:hAnsi="Times New Roman" w:cs="Times New Roman"/>
          <w:i/>
          <w:iCs/>
          <w:sz w:val="24"/>
        </w:rPr>
        <w:t>spējīgai izveidot pilnu kontu komplektu, kas aptver uzskaites ierakstus par visiem uzskaites periodā veiktajiem darījumiem, kā arī sagatavot aktīvu un saistību</w:t>
      </w:r>
      <w:r w:rsidRPr="00B03B51">
        <w:rPr>
          <w:rFonts w:ascii="Times New Roman" w:hAnsi="Times New Roman" w:cs="Times New Roman"/>
          <w:sz w:val="24"/>
        </w:rPr>
        <w:t xml:space="preserve"> </w:t>
      </w:r>
      <w:r w:rsidRPr="00B03B51">
        <w:rPr>
          <w:rFonts w:ascii="Times New Roman" w:hAnsi="Times New Roman" w:cs="Times New Roman"/>
          <w:i/>
          <w:iCs/>
          <w:sz w:val="24"/>
        </w:rPr>
        <w:t>bilanci</w:t>
      </w:r>
      <w:r w:rsidRPr="00B03B51">
        <w:rPr>
          <w:rFonts w:ascii="Times New Roman" w:hAnsi="Times New Roman" w:cs="Times New Roman"/>
          <w:sz w:val="24"/>
        </w:rPr>
        <w:t>.</w:t>
      </w:r>
      <w:r w:rsidRPr="00B03B51">
        <w:rPr>
          <w:rStyle w:val="FootnoteReference"/>
          <w:rFonts w:ascii="Times New Roman" w:hAnsi="Times New Roman" w:cs="Times New Roman"/>
          <w:noProof/>
          <w:sz w:val="24"/>
        </w:rPr>
        <w:footnoteReference w:id="12"/>
      </w:r>
    </w:p>
    <w:p w14:paraId="3D132C6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9B9FD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EKS 2010 2.13. punktā ir atzīti noteikti konkrēti gadījumi, kad subjektam nav institucionālās vienības īpašību, un sniegti šādi principi:</w:t>
      </w:r>
    </w:p>
    <w:p w14:paraId="24500A4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DA7BD82" w14:textId="77777777" w:rsidR="00994F93" w:rsidRPr="00B03B51" w:rsidRDefault="00994F93" w:rsidP="00DC6362">
      <w:pPr>
        <w:pStyle w:val="BodyText"/>
        <w:numPr>
          <w:ilvl w:val="0"/>
          <w:numId w:val="2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subjektam nav iespējas izveidot pilnu kontu komplektu, tad šis subjekts netiek atzīts par institucionālu vienību un tā daļējie konti tiek integrēti to kontrolējošās institucionālās vienības kontos;</w:t>
      </w:r>
    </w:p>
    <w:p w14:paraId="171DEB09" w14:textId="77777777" w:rsidR="00994F93" w:rsidRPr="00B03B51" w:rsidRDefault="00994F93" w:rsidP="00DC6362">
      <w:pPr>
        <w:pStyle w:val="BodyText"/>
        <w:numPr>
          <w:ilvl w:val="0"/>
          <w:numId w:val="2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subjektam, kuram var izveidot pilnu kontu komplektu, nav lēmumu pieņemšanas autonomijas jautājumos, kas saistīti ar tā galvenās funkcijas īstenošanu, šāds subjekts netiek atzīts par institucionālu vienību un ir uzskatāms par daļu no vienības, kura to kontrolē;</w:t>
      </w:r>
    </w:p>
    <w:p w14:paraId="71CE84B2" w14:textId="77777777" w:rsidR="00994F93" w:rsidRPr="00B03B51" w:rsidRDefault="00994F93" w:rsidP="00DC6362">
      <w:pPr>
        <w:pStyle w:val="BodyText"/>
        <w:numPr>
          <w:ilvl w:val="0"/>
          <w:numId w:val="2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atsevišķi subjekti, kas ir grupas struktūras sastāvdaļas un kam var izveidot pilnu kontu komplektu, tiek uzskatīti par institucionālām vienībām, pat ja tie ir daļēji atteikušies no savu lēmumu pieņemšanas autonomijas par labu centrālajai struktūrai (centrālajam birojam), kas atbild par grupas vispārējo vadību; centrālo biroju pašu uzskata par institucionālu vienību, kas ir neatkarīga no tās kontrolētajām vienībām (skat. 1.6. nodaļu “Īpaši publiski subjekti”);</w:t>
      </w:r>
    </w:p>
    <w:p w14:paraId="1AC584FF" w14:textId="77777777" w:rsidR="00994F93" w:rsidRPr="00B03B51" w:rsidRDefault="00994F93" w:rsidP="00DC6362">
      <w:pPr>
        <w:pStyle w:val="BodyText"/>
        <w:numPr>
          <w:ilvl w:val="0"/>
          <w:numId w:val="2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uzskatāms, ka subjektiem, kuriem var izveidot pilnu kontu komplektu, kuriem nav atsevišķa juridiska statusa, bet kuru ekonomiskā darbība un darbība finanšu jomā līdzinās sabiedrību darbībai (t. i., tirgus ražotāji) un kuri atšķiras no sava(-iem) īpašnieka(-iem), ir lēmumu pieņemšanas autonomija, un šos subjektus klasificē kā kvazisabiedrības finanšu vai nefinanšu sabiedrību sektorā.</w:t>
      </w:r>
    </w:p>
    <w:p w14:paraId="268BE68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016C1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EKS 2010 ir arī īpaši minēti mākslīgi meitasuzņēmumi un palīgvienības un sniegts padoms, ka šādas vienības neatbilst prasībām, lai tiktu atzītas par institucionālām vienībām, jo uzskatāms, ka tām trūkst lēmumu pieņemšanas autonomijas (neatkarīgi no tā, ka tās var būt juridiskas personas). Tas liecina par to, ka termins “ekonomisks lēmums” nav jāsaprot tā juridiskajā dimensijā. Drīzāk “spēja pieņemt ekonomiskus lēmumus un iesaistīties ekonomiskās darbībās” nozīmē, ka ir jābūt patiesai spējai faktiski pieņemt nozīmīgus lēmumus, un nevis tikai raksturo to, ka tiesību rīcības spēja kā tāda varētu nozīmēt šādu spēju. EKS 2010 raksturīgi ir tas, ka tiek piemērots atspoguļošanas pēc būtības princips.</w:t>
      </w:r>
    </w:p>
    <w:p w14:paraId="6412AE6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B950E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Jāuzsver, ka EKS 2010 sektoru klasifikācijas kritēriji un institucionālās vienības definīcija </w:t>
      </w:r>
      <w:r w:rsidRPr="00B03B51">
        <w:rPr>
          <w:rFonts w:ascii="Times New Roman" w:hAnsi="Times New Roman" w:cs="Times New Roman"/>
          <w:b/>
          <w:bCs/>
          <w:sz w:val="24"/>
        </w:rPr>
        <w:t>nav</w:t>
      </w:r>
      <w:r w:rsidRPr="00B03B51">
        <w:rPr>
          <w:rFonts w:ascii="Times New Roman" w:hAnsi="Times New Roman" w:cs="Times New Roman"/>
          <w:sz w:val="24"/>
        </w:rPr>
        <w:t xml:space="preserve"> izstrādāta, pamatojoties uz subjekta juridisko formu. Dažkārt var secināt, ka subjektam nav nepieciešamās lēmumu pieņemšanas autonomijas, par ko ne vienmēr liecina tā juridiskais statuss.</w:t>
      </w:r>
    </w:p>
    <w:p w14:paraId="4F6088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69276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Šajā saistībā subjekts, kas pamatā darbojas kā “autopilots”, jo, piemēram, pastāv tikai nolūkā īstenot līgumus (bieži vien ar apakšuzņēmuma līgumu starpniecību), ko ir noslēguši citi subjekti, vai subjekts, kas sniedz savu produkciju tikai unikālam “klientam”</w:t>
      </w:r>
      <w:r w:rsidRPr="00B03B51">
        <w:rPr>
          <w:rStyle w:val="FootnoteReference"/>
          <w:rFonts w:ascii="Times New Roman" w:hAnsi="Times New Roman" w:cs="Times New Roman"/>
          <w:noProof/>
          <w:sz w:val="24"/>
        </w:rPr>
        <w:footnoteReference w:id="13"/>
      </w:r>
      <w:r w:rsidRPr="00B03B51">
        <w:rPr>
          <w:rFonts w:ascii="Times New Roman" w:hAnsi="Times New Roman" w:cs="Times New Roman"/>
          <w:sz w:val="24"/>
        </w:rPr>
        <w:t>, pasīvi reaģējot uz tā vajadzībām, kopumā nav uzskatāms par institucionālo vienību, jo tas neatbilst EKS 2010 lēmumu autonomijas kritērijam. Proti:</w:t>
      </w:r>
    </w:p>
    <w:p w14:paraId="6E185A60"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3750002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daudzas rezidentas īpašam nolūkam izveidotas sabiedrības (ĪNIS) vai īpašam nolūkam dibinātas sabiedrības (ĪNDS) pamatā ir autopiloti (t. i., šo subjektu tiesības, pienākumi un darbības pārsvarā ir iepriekš definētas un ierobežotas ar līgumiem vai tiesību normām)</w:t>
      </w:r>
      <w:r w:rsidRPr="00B03B51">
        <w:rPr>
          <w:rStyle w:val="FootnoteReference"/>
          <w:rFonts w:ascii="Times New Roman" w:hAnsi="Times New Roman" w:cs="Times New Roman"/>
          <w:noProof/>
          <w:sz w:val="24"/>
        </w:rPr>
        <w:footnoteReference w:id="14"/>
      </w:r>
      <w:r w:rsidRPr="00B03B51">
        <w:rPr>
          <w:rFonts w:ascii="Times New Roman" w:hAnsi="Times New Roman" w:cs="Times New Roman"/>
          <w:sz w:val="24"/>
        </w:rPr>
        <w:t xml:space="preserve"> un nav institucionālās vienības. Ja šie subjekti ir nerezidenti, parasti tos uzskata par institucionālām vienībām, lai arī var rasties vajadzība daudzas to darbības pārkārtot, ja tos ir izveidojusi vai tos sponsorē valdība;</w:t>
      </w:r>
    </w:p>
    <w:p w14:paraId="1323760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5273761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vispārīgi runājot, institucionālai vienībai ir nepieciešami darbinieki vai cits personāls, bez kura lēmumu pieņemšana ir maz iespējama. Taču, ja subjektam nav personāla, bet ir aktīva “valde” (piemēram, valde, direktoru padome vai izpildpadome), dažkārt to var uzskatīt par institucionālu vienību. Dažos gadījumos grāmatvedības vajadzībām tiek izveidotas “nosacītās vienības”, pat ja tām nav lēmumu pieņemšanas autonomijas, piemēram, kad subjekts tiek iesaistīts dažādās darbībās un saistībā ar šīm darbībām nav iespējams izveidot atsevišķas institucionālās vienības. Šādos gadījumos tomēr ir piemērojami parastie kontroles rādītāji;</w:t>
      </w:r>
    </w:p>
    <w:p w14:paraId="3285DC6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5465D81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c) subjektiem, kuriem ir juridiskais statuss un kuri apkalpo vienu vienīgo klientu, parasti nav lēmumu pieņemšanas autonomijas, un tie netiek uzskatīti par institucionālām vienībām EKS 2010. Tie var būt palīgvienības vai mākslīgie meitasuzņēmumi. Piemēram, tiks uzskatīts, ka IT nodaļai, pat ja tā ir juridiski inkorporēta, nav lēmumu pieņemšanas autonomijas, ja vien nav redzams, ka tā lielu daļu savas produkcijas pārdod ārpus mātesuzņēmuma vai grupas. Ja viena juridiskā persona tur visu grupas personālu, savukārt otra juridiskā persona tur visus tās pamatlīdzekļus, nevienu no tām nevar uzskatīt par atsevišķu institucionālo vienību, jo neviena nevar veikt ražošanu bez otras. Situācija var </w:t>
      </w:r>
      <w:r w:rsidRPr="00B03B51">
        <w:rPr>
          <w:rFonts w:ascii="Times New Roman" w:hAnsi="Times New Roman" w:cs="Times New Roman"/>
          <w:sz w:val="24"/>
        </w:rPr>
        <w:lastRenderedPageBreak/>
        <w:t>mainīties, ja var redzēt, ka katra sniedz būtiskus pakalpojumus ārpus grupas (piemēram, kā darbaspēka ārpakalpojumu uzņēmums un pamatlīdzekļu iznomāšanas uzņēmums). Šā paša iemesla dēļ inkorporētai ražotnei, kas visu savu produkciju sniedz citam grupas meitasuzņēmumam, arī nav lēmumu pieņemšanas autonomijas.</w:t>
      </w:r>
    </w:p>
    <w:p w14:paraId="621F3D9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38BEC1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Lēmumu pieņemšanas autonomija neattiecas uz tādiem stratēģiskiem uzņēmējdarbības lēmumiem kā uzņēmuma nodaļu pārdošana un pirkšana, ražotņu vai uzņēmumu pārvietošana vai slēgšana utt. Šādus lēmumus parasti pieņems mātesuzņēmums, kam pieder kontroles atribūts, neizslēdzot </w:t>
      </w:r>
      <w:r w:rsidRPr="00B03B51">
        <w:rPr>
          <w:rFonts w:ascii="Times New Roman" w:hAnsi="Times New Roman" w:cs="Times New Roman"/>
          <w:i/>
          <w:iCs/>
          <w:sz w:val="24"/>
        </w:rPr>
        <w:t>a priori</w:t>
      </w:r>
      <w:r w:rsidRPr="00B03B51">
        <w:rPr>
          <w:rFonts w:ascii="Times New Roman" w:hAnsi="Times New Roman" w:cs="Times New Roman"/>
          <w:sz w:val="24"/>
        </w:rPr>
        <w:t xml:space="preserve"> lēmumu pieņemšanas autonomiju. Vienlaikus zināma darbības autonomija, piemēram, spēja norīkot personālu konkrēta uzdevuma izpildei utt., var nebūt pietiekama lēmumu pieņemšanas autonomija galvenās funkcijas īstenošanā, ja par noteiktiem galvenajiem parametriem neatbild valde. Tāpēc ražotne, kas ietilpst grupā, nav institucionāla vienība, kad tā tiek inkorporēta. Ražotnes direktors nekontrolē pamatelementus, kas raksturo (tirgus) ražotāju, piemēram, nenosaka cenu un/vai piegādes apjomu, un viņa vienīgā funkcija ir nodrošināt iespējami augstāku efektivitāti, ražojot grupas noteikto produkciju.</w:t>
      </w:r>
    </w:p>
    <w:p w14:paraId="09ED9E8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BE6746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Galu galā mātesuzņēmums spēj noteikt (galvenokārt ierobežot) sava meitasuzņēmuma mērķi (uzdevumu). Ja tas nosaka šo parametru tik šauri, ka faktiski pārņem visu lēmumu pieņemšanas autonomiju, šis meitasuzņēmums zaudē savu institucionālās vienības statusu (skat. ĪNDS gadījumu). Lēmumu pieņemšanas autonomiju mātesuzņēmums var arī ierobežot, iejaucoties</w:t>
      </w:r>
      <w:r w:rsidRPr="00B03B51">
        <w:rPr>
          <w:rStyle w:val="FootnoteReference"/>
          <w:rFonts w:ascii="Times New Roman" w:hAnsi="Times New Roman" w:cs="Times New Roman"/>
          <w:noProof/>
          <w:sz w:val="24"/>
        </w:rPr>
        <w:footnoteReference w:id="15"/>
      </w:r>
      <w:r w:rsidRPr="00B03B51">
        <w:rPr>
          <w:rFonts w:ascii="Times New Roman" w:hAnsi="Times New Roman" w:cs="Times New Roman"/>
          <w:sz w:val="24"/>
        </w:rPr>
        <w:t xml:space="preserve"> meitasuzņēmuma darbībās. Tāpēc, lai saglabātu tādu lēmumu pieņemšanas autonomijas pakāpi, kas būtu pietiekama, lai kvalificētos institucionālās vienības statusam, saskaņā ar EKS 2010 pieņem – jo šaurāks ir meitasuzņēmuma mērķis, jo mazāka mātesuzņēmuma iejaukšanās pakāpe ir pieļaujama.</w:t>
      </w:r>
      <w:r w:rsidRPr="00B03B51">
        <w:rPr>
          <w:rStyle w:val="FootnoteReference"/>
          <w:rFonts w:ascii="Times New Roman" w:hAnsi="Times New Roman" w:cs="Times New Roman"/>
          <w:noProof/>
          <w:sz w:val="24"/>
        </w:rPr>
        <w:footnoteReference w:id="16"/>
      </w:r>
    </w:p>
    <w:p w14:paraId="530CA6C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767EB6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Kopumā visu juridiskās vienības darbību klasificē vienā sektorā. Izņēmumi ir, piemēram, šādi gadījumi:</w:t>
      </w:r>
    </w:p>
    <w:p w14:paraId="58BE9B9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63F382" w14:textId="77777777" w:rsidR="00994F93" w:rsidRPr="00B03B51" w:rsidRDefault="00994F93" w:rsidP="00E83BFF">
      <w:pPr>
        <w:pStyle w:val="BodyText"/>
        <w:numPr>
          <w:ilvl w:val="0"/>
          <w:numId w:val="2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kad par tirgus kvazisabiedrību iespējams atzīt kādu ārpustirgus juridiskās vienības daļu (kuru tad neklasificē valdības sektorā);</w:t>
      </w:r>
    </w:p>
    <w:p w14:paraId="4C817B2C" w14:textId="77777777" w:rsidR="00994F93" w:rsidRPr="00B03B51" w:rsidRDefault="00994F93" w:rsidP="00E83BFF">
      <w:pPr>
        <w:pStyle w:val="BodyText"/>
        <w:numPr>
          <w:ilvl w:val="0"/>
          <w:numId w:val="2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kad ir nepieciešams izveidot nosacītu vienību, piemēram, tirgu regulējošo institūciju gadījumā (skat. 1.4. nodaļu), vai</w:t>
      </w:r>
    </w:p>
    <w:p w14:paraId="1E5F22A0" w14:textId="77777777" w:rsidR="00994F93" w:rsidRPr="00B03B51" w:rsidRDefault="00994F93" w:rsidP="00E83BFF">
      <w:pPr>
        <w:pStyle w:val="BodyText"/>
        <w:numPr>
          <w:ilvl w:val="0"/>
          <w:numId w:val="2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kopuzņēmumu, kurā ir divas kopuzņēmuma puses, katrai no kurām ir 50 % kopuzņēmuma akciju (skat. 1.8. nodaļu);</w:t>
      </w:r>
    </w:p>
    <w:p w14:paraId="42C00D38" w14:textId="77777777" w:rsidR="00994F93" w:rsidRPr="00B03B51" w:rsidRDefault="00994F93" w:rsidP="00E83BFF">
      <w:pPr>
        <w:pStyle w:val="BodyText"/>
        <w:numPr>
          <w:ilvl w:val="0"/>
          <w:numId w:val="2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kad ir nepieciešams pārkārtot darījumus un krājumus (skat. 1.2.4.5. apakšiedaļu), piemēram, kad publisks subjekts (sevišķi valsts finanšu iestāde) valdības vārdā pārvalda īpašam nolūkam paredzētus līdzekļus;</w:t>
      </w:r>
    </w:p>
    <w:p w14:paraId="5CC806EB" w14:textId="77777777" w:rsidR="00994F93" w:rsidRPr="00B03B51" w:rsidRDefault="00994F93" w:rsidP="00E83BFF">
      <w:pPr>
        <w:pStyle w:val="BodyText"/>
        <w:numPr>
          <w:ilvl w:val="0"/>
          <w:numId w:val="2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noteiktu veidu pensiju fondi (skat. 1.3. nodaļu).</w:t>
      </w:r>
    </w:p>
    <w:p w14:paraId="00BE3C98" w14:textId="77777777" w:rsidR="00994F93" w:rsidRPr="00B03B51" w:rsidRDefault="00994F93" w:rsidP="00994F93">
      <w:pPr>
        <w:jc w:val="both"/>
        <w:rPr>
          <w:rFonts w:ascii="Times New Roman" w:eastAsia="Arial" w:hAnsi="Times New Roman" w:cs="Times New Roman"/>
          <w:noProof/>
          <w:sz w:val="24"/>
          <w:szCs w:val="14"/>
        </w:rPr>
      </w:pPr>
    </w:p>
    <w:p w14:paraId="1D2730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Attiecībā uz noteiktām publiskajām juridiskajām vienībām dažkārt ir ļoti grūti izspriest, vai valde pieņem lēmumus autonomi no valdības. Tas jo īpaši tā ir attiecībā uz tādiem subjektiem, kuru valde vai nu pilnībā, vai vismaz vairākumā sastāv no vispārējās valdības amatpersonām (t. i., amatpersonām, kas pieder valdības likumdošanas, administratīvajai vai tiesu varai).</w:t>
      </w:r>
      <w:r w:rsidRPr="00B03B51">
        <w:rPr>
          <w:rStyle w:val="FootnoteReference"/>
          <w:rFonts w:ascii="Times New Roman" w:hAnsi="Times New Roman" w:cs="Times New Roman"/>
          <w:noProof/>
          <w:sz w:val="24"/>
        </w:rPr>
        <w:footnoteReference w:id="17"/>
      </w:r>
      <w:r w:rsidRPr="00B03B51">
        <w:rPr>
          <w:rFonts w:ascii="Times New Roman" w:hAnsi="Times New Roman" w:cs="Times New Roman"/>
          <w:sz w:val="24"/>
        </w:rPr>
        <w:t xml:space="preserve"> Šī īpatnība bieži vien ir vērojama finanšu subjektiem, kas galvenokārt sniedz finanšu pakalpojumus savam mātesuzņēmumam vai citiem mātesuzņēmuma subjektiem (grupas </w:t>
      </w:r>
      <w:r w:rsidRPr="00B03B51">
        <w:rPr>
          <w:rFonts w:ascii="Times New Roman" w:hAnsi="Times New Roman" w:cs="Times New Roman"/>
          <w:sz w:val="24"/>
        </w:rPr>
        <w:lastRenderedPageBreak/>
        <w:t>subjektiem).</w:t>
      </w:r>
    </w:p>
    <w:p w14:paraId="038892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59BC1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Īpašs gadījums ir piesaistošās finanšu iestādes, attiecībā uz kurām ir jāskata jautājums, vai šādi subjekti pietiekami neatkarīgi no sava mātesuzņēmuma īsteno uzņēmuma lēmumu pieņemšanas procesu. Par neatkarību var liecināt tas, ka tie būtiski kontrolē savus aktīvus un saistības, saistībā ar šiem aktīviem un saistībām uzņemoties riskus un gūstot peļņu (skat. EKS 2010 2.22. punktu). Pieņem, ka nav lēmumu pieņemšanas autonomijas attiecībā uz subjekta galveno funkciju, ja valdība ierobežo subjekta aktīvu un saistību pusi (skat. šīs rokasgrāmatas 1.6.6. iedaļu).</w:t>
      </w:r>
    </w:p>
    <w:p w14:paraId="72906E0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D97A7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Gadījumā, ja subjekta valdē vairākumu veido valdības amatpersonas, ir pat lielāka iespējamība, ka šādi subjekti darbojas, lai pildītu šauri noteiktu (publisko pakalpojumu) uzdevumu. Faktiski ir gandrīz neiespējami noteikt, vai valde lemj autonomi no valdības, rīkojoties kā parasts akcionārs (ar mērķi, piemēram, gūt maksimālu peļņu), vai arī tā rīkojas valsts pārvaldes politikas prasību interesēs (piemēram, ar mērķi nodrošināt konkrētu sabiedrisko pakalpojumu sniegšanu par zemām cenām vai ekonomiski nenozīmīgām cenām).</w:t>
      </w:r>
    </w:p>
    <w:p w14:paraId="173CE65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65DD5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Valdības amatpersonu iecelšana valdē, nodrošinot vairākumu, finanšu subjektu gadījumā</w:t>
      </w:r>
      <w:r w:rsidRPr="00B03B51">
        <w:rPr>
          <w:rStyle w:val="FootnoteReference"/>
          <w:rFonts w:ascii="Times New Roman" w:hAnsi="Times New Roman" w:cs="Times New Roman"/>
          <w:noProof/>
          <w:sz w:val="24"/>
        </w:rPr>
        <w:footnoteReference w:id="18"/>
      </w:r>
      <w:r w:rsidRPr="00B03B51">
        <w:rPr>
          <w:rFonts w:ascii="Times New Roman" w:hAnsi="Times New Roman" w:cs="Times New Roman"/>
          <w:sz w:val="24"/>
        </w:rPr>
        <w:t xml:space="preserve"> var liecināt par to, ka šim subjektam nav lēmumu pieņemšanas autonomijas “savu galveno funkciju īstenošanā”, un tādā gadījumā subjekts ir jāklasificē vispārējās valdības sektorā.</w:t>
      </w:r>
    </w:p>
    <w:p w14:paraId="28D367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33FD6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EKS 2010 noteikumi par lēmumu autonomiju un kontroli (skat. 1.2.1. iedaļu) paredz divpakāpju procedūru, proti, pirmkārt, lai novērtētu, vai subjektam ir pietiekama lēmumu pieņemšanas autonomija tā pamatfunkcijas īstenošanā, un, otrkārt, lai noteiktu, kurš faktiski kontrolē subjektu. Tas atbilst nacionālo kontu pamatpieejai, proti, sākt ar vienību definēšanu un identificēšanu, kas ļauj noteikt ražošanas apjomu attiecīgajā teritorijā, un tad otrajā posmā sagrupēt vienības ar līdzīgu rīcību institucionālajos sektoros (skat. EKS 2010 2. nodaļu).</w:t>
      </w:r>
    </w:p>
    <w:p w14:paraId="528DC18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45E8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Var uzskatīt, ka EKS 2010 būtiski atšķiras no NKS 2008 (skat. 2.16. un 4.69. punktu), kurā ir konkrēti norādīts, ka institucionālajām vienībām netiek prasīta lēmumu pieņemšanas autonomija un ka juridiskais statuss kopumā ir pietiekams, lai izpildītu institucionālās vienības kritērijus.</w:t>
      </w:r>
    </w:p>
    <w:p w14:paraId="4BF09BA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88FCA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Tomēr nacionālo kontu veidotāji parasti juridiskās personas esamību vienādo ar institucionālās vienības esamību. Tas ir tāpēc, ka uzņēmumu reģistri ir galvenie ievaddatu avoti, un šādus reģistrus parasti veido, pamatojoties uz subjektu juridisko pamatu. Šāda pragmatiska pieeja ir pieļaujama, ņemot vērā analizējamo subjektu lielo skaitu, jo kopumā juridiskās personas parasti atbilst minētajām prasībām. Tām ir rīcībspēja slēgt līgumus, uzņemties un atmaksāt parādus, iegūt ekonomiskās un/vai juridiskās īpašumtiesības uz aktīviem, ierasties tiesā, īstenojot savas tiesības, un atbildēt par savām darbībām. Vairumā gadījumu, visticamāk, to valde ir pietiekami autonoma, lai pieņemtu ikdienas darbības lēmumus, un nav atkarīga no citu, piemēram, mātesuzņēmuma, lēmumiem. Attiecībā uz valdības sektora kontiem uzņēmumu reģistrs kā datu avots tiek apsvērts mazāk nekā attiecībā uz citiem ekonomikas sektoriem. Turklāt, ņemot vērā īpašo </w:t>
      </w:r>
      <w:r w:rsidRPr="00B03B51">
        <w:rPr>
          <w:rFonts w:ascii="Times New Roman" w:hAnsi="Times New Roman" w:cs="Times New Roman"/>
          <w:i/>
          <w:iCs/>
          <w:sz w:val="24"/>
        </w:rPr>
        <w:t>EDP</w:t>
      </w:r>
      <w:r w:rsidRPr="00B03B51">
        <w:rPr>
          <w:rFonts w:ascii="Times New Roman" w:hAnsi="Times New Roman" w:cs="Times New Roman"/>
          <w:sz w:val="24"/>
        </w:rPr>
        <w:t xml:space="preserve"> procedūras nozīmi, EKS 2010 2.12. punktā noteiktās prasības ir jāpārbauda īpaši rūpīgi attiecībā uz valdības sektoru.</w:t>
      </w:r>
    </w:p>
    <w:p w14:paraId="6F5B6E1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19BA93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19. Attiecībā uz noteiktām publiskām juridiskām vienībām kontroles kritēriju analīze var izgaismot jaunus konstatējumus, būtiski apšaubot juridiskās personas lēmumu pieņemšanas autonomiju. Šādā gadījumā statistikas veidotājiem ir ieteicams pārvērtēt šo juridisko personu lēmumu pieņemšanas autonomiju.</w:t>
      </w:r>
    </w:p>
    <w:p w14:paraId="6BB7B829" w14:textId="77777777" w:rsidR="00994F93" w:rsidRPr="00B03B51" w:rsidRDefault="00994F93" w:rsidP="00994F93">
      <w:pPr>
        <w:jc w:val="both"/>
        <w:rPr>
          <w:rFonts w:ascii="Times New Roman" w:eastAsia="Arial" w:hAnsi="Times New Roman" w:cs="Times New Roman"/>
          <w:noProof/>
          <w:sz w:val="24"/>
          <w:szCs w:val="26"/>
        </w:rPr>
      </w:pPr>
    </w:p>
    <w:p w14:paraId="0220EF8A" w14:textId="77777777" w:rsidR="00994F93" w:rsidRPr="00B03B51" w:rsidRDefault="00994F93" w:rsidP="00994F93">
      <w:pPr>
        <w:pStyle w:val="Heading3"/>
        <w:tabs>
          <w:tab w:val="left" w:pos="1279"/>
        </w:tabs>
        <w:ind w:left="0" w:firstLine="0"/>
        <w:jc w:val="both"/>
        <w:rPr>
          <w:rFonts w:ascii="Times New Roman" w:hAnsi="Times New Roman" w:cs="Times New Roman"/>
          <w:noProof/>
          <w:sz w:val="24"/>
        </w:rPr>
      </w:pPr>
      <w:bookmarkStart w:id="17" w:name="1.2.3_Concept_of_a_government-controlled"/>
      <w:bookmarkStart w:id="18" w:name="_Toc67565021"/>
      <w:bookmarkEnd w:id="17"/>
      <w:r w:rsidRPr="00B03B51">
        <w:rPr>
          <w:rFonts w:ascii="Times New Roman" w:hAnsi="Times New Roman" w:cs="Times New Roman"/>
          <w:sz w:val="24"/>
        </w:rPr>
        <w:t>1.2.3. Valdības kontrolētas institucionālās vienības jēdziens</w:t>
      </w:r>
      <w:bookmarkEnd w:id="18"/>
    </w:p>
    <w:p w14:paraId="44923150" w14:textId="77777777" w:rsidR="00994F93" w:rsidRPr="008A2DC9" w:rsidRDefault="00994F93" w:rsidP="008A2DC9">
      <w:pPr>
        <w:rPr>
          <w:rFonts w:ascii="Times New Roman" w:hAnsi="Times New Roman" w:cs="Times New Roman"/>
          <w:noProof/>
          <w:sz w:val="24"/>
          <w:szCs w:val="24"/>
        </w:rPr>
      </w:pPr>
      <w:bookmarkStart w:id="19" w:name="1.2.3.1_Government-controlled_entities_r"/>
      <w:bookmarkEnd w:id="19"/>
    </w:p>
    <w:p w14:paraId="377A9C0A"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1.2.3.1. VALDĪBAS KONTROLĒTI SUBJEKTI, KAS IR ATZĪTI PAR INSTITUCIONĀLĀM VIENĪBĀM</w:t>
      </w:r>
    </w:p>
    <w:p w14:paraId="75C0EB2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50AD20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Valdības kontrolēta institucionālā vienība (ko sauc arī par publisko ražotāju vai publiskā sektora vienību) ir institucionāla vienība, ko </w:t>
      </w:r>
      <w:r w:rsidRPr="00B03B51">
        <w:rPr>
          <w:rFonts w:ascii="Times New Roman" w:hAnsi="Times New Roman" w:cs="Times New Roman"/>
          <w:b/>
          <w:bCs/>
          <w:sz w:val="24"/>
        </w:rPr>
        <w:t>tieši</w:t>
      </w:r>
      <w:r w:rsidRPr="00B03B51">
        <w:rPr>
          <w:rFonts w:ascii="Times New Roman" w:hAnsi="Times New Roman" w:cs="Times New Roman"/>
          <w:sz w:val="24"/>
        </w:rPr>
        <w:t xml:space="preserve"> vai </w:t>
      </w:r>
      <w:r w:rsidRPr="00B03B51">
        <w:rPr>
          <w:rFonts w:ascii="Times New Roman" w:hAnsi="Times New Roman" w:cs="Times New Roman"/>
          <w:b/>
          <w:bCs/>
          <w:sz w:val="24"/>
        </w:rPr>
        <w:t>netieši</w:t>
      </w:r>
      <w:r w:rsidRPr="00B03B51">
        <w:rPr>
          <w:rFonts w:ascii="Times New Roman" w:hAnsi="Times New Roman" w:cs="Times New Roman"/>
          <w:sz w:val="24"/>
        </w:rPr>
        <w:t xml:space="preserve"> kontrolē vispārējās valdības rezidentvienības vai citi publiskie ražotāji. Visi pārējie vietējie ražotāji ir privātie ražotāji.</w:t>
      </w:r>
    </w:p>
    <w:p w14:paraId="0B27FE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54C7A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21. Visi publiskie ražotāji ir “publiskā sektora” sastāvdaļa, kā noteikts EKS 2010 20.303. punktā: </w:t>
      </w:r>
      <w:r w:rsidRPr="00B03B51">
        <w:rPr>
          <w:rFonts w:ascii="Times New Roman" w:hAnsi="Times New Roman" w:cs="Times New Roman"/>
          <w:i/>
          <w:iCs/>
          <w:sz w:val="24"/>
        </w:rPr>
        <w:t>Publisko sektoru veido vispārējā valdība un publiskās sabiedrības</w:t>
      </w:r>
      <w:r w:rsidRPr="00B03B51">
        <w:rPr>
          <w:rFonts w:ascii="Times New Roman" w:hAnsi="Times New Roman" w:cs="Times New Roman"/>
          <w:sz w:val="24"/>
        </w:rPr>
        <w:t>. Termins “sabiedrība” ir jāsaprot tā ekonomiskajā, nevis juridiskajā nozīmē, jo ar to apzīmē subjektus, kuriem nav sabiedrības juridiskā statusa, bet kas ir tirgus ražotāji. Turklāt valdības kontrolētas bezpeļņas institūcijas (t. i., tie subjekti, kuriem nav ļauts sadalīt peļņu saviem īpašniekiem), kas tiek atzītas par tirgus ražotājiem (skat. turpmāk), ietilpst publiskajā sektorā (bet netiek iekļautas vispārējās valdības sektorā), ja vien tām nav lēmumu pieņemšanas autonomijas.</w:t>
      </w:r>
    </w:p>
    <w:p w14:paraId="077C94D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67761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Atkarībā no tā, vai valdība (dažkārt valdības galvenā vienība, kā minēts EKS 2010 20.08.–20.09. un 20.29. punktā, jeb kopā sauktas – publiskās vienības, kā norādīts EKS 20.309. punktā</w:t>
      </w:r>
      <w:r w:rsidRPr="00B03B51">
        <w:rPr>
          <w:rStyle w:val="FootnoteReference"/>
          <w:rFonts w:ascii="Times New Roman" w:hAnsi="Times New Roman" w:cs="Times New Roman"/>
          <w:noProof/>
          <w:sz w:val="24"/>
        </w:rPr>
        <w:footnoteReference w:id="19"/>
      </w:r>
      <w:r w:rsidRPr="00B03B51">
        <w:rPr>
          <w:rFonts w:ascii="Times New Roman" w:hAnsi="Times New Roman" w:cs="Times New Roman"/>
          <w:sz w:val="24"/>
        </w:rPr>
        <w:t>) kontrolē institucionālo vienību, nosaka, vai šī institucionālā vienība ir vai nav publiskā sektora sastāvdaļa. Tas, vai iekļaut vai neiekļaut publiskā sektora vienību vispārējās valdības sektorā (S.13), galu galā ir atkarīgs no 1.2.4. iedaļā “Tirgus vai ārpustirgus institucionālas vienības jēdziens” aprakstītajiem kritērijiem.</w:t>
      </w:r>
    </w:p>
    <w:p w14:paraId="0929423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EDE223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Valdības kontroles jēdziens nacionālajos kontos ir vienādi piemērojams gan finanšu, gan nefinanšu sabiedrībām. Jautājums par bezpeļņas institūciju un izglītības vienību kontroli ir turpmāk skatīts atsevišķi.</w:t>
      </w:r>
    </w:p>
    <w:p w14:paraId="7AD3FAA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432A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24. EKS 2010 20.18. punktā termins “kontrole pār subjektu” ir definēts kā “spēja noteikt šā subjekta vispārējo politiku vai programmu”. Tā kā mēs izvērtējam ekonomiskos kontus, subjekta vispārējā politika vai programma parasti ir saistīta ar attiecīgā subjekta galveno finanšu un darbības politiku. EKS 20.309. punkta c) apakšpunktā ir sniegti daži šādi galvenie faktori, piemēram, atlīdzība personālam un samaksas un uzņēmējdarbības stratēģija. Vispārējās politikas kontrole visai atšķiras no ikdienas operatīvo uzdevumu kontroles. Lai kontrolētu vispārējo politiku, nav jāiejaucas subjekta ikdienas uzņēmējdarbībā, lai arī pastāv noteikta vispārējās politikas un ikdienas uzņēmējdarbības savstarpēja atkarība. Tomēr ikdienas uzņēmējdarbības kontrole atšķiras tādā ziņā, ka tiek konkrēti noteikti atsevišķi pasākumi, uzdevumi vai darbības un tiem ir nepieciešama skaidra atļauja. Pēdējā minētajā gadījumā </w:t>
      </w:r>
      <w:r w:rsidRPr="00B03B51">
        <w:rPr>
          <w:rFonts w:ascii="Times New Roman" w:hAnsi="Times New Roman" w:cs="Times New Roman"/>
          <w:sz w:val="24"/>
        </w:rPr>
        <w:lastRenderedPageBreak/>
        <w:t>ierobežojumi ir vispārēji un neaprobežojas vien ar unikāliem vai vismaz ārkārtējiem jautājumiem, un attiecīgi ir uzskatāms, ka vienība nav institucionālā vienība, jo tai nav lēmumu pieņemšanas autonomijas. Būtiski ir tas, ka subjektam (vai subjektiem), kas kontrolē citu subjektu, ir pilnvaras noteikt attiecīgā subjekta vispārējo politiku.</w:t>
      </w:r>
    </w:p>
    <w:p w14:paraId="78CE41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A496F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Parasti subjekts darbojas tam noteiktas struktūras, vispārējās politikas vai programmas ietvaros, un tiklīdz tas viss ir noteikts, īpašniekam (vai kontrolējošajam subjektam) vairs nav nepieciešams iejaukties un labot saimnieciskās darbības. Šādas acīmredzamas iejaukšanās neesamība nenozīmē, ka subjekts netiek kontrolēts. Drīzāk kontroles jēdziens ir saistīts nevis ar faktisku iejaukšanos kā tādu, bet gan tādā ziņā, ka var izmantot pilnvaras (vai tiesības) noteikt vispārējo politiku, neatkarīgi no tā, vai šīs pilnvaras tiek vai netiek faktiski izmantotas.</w:t>
      </w:r>
    </w:p>
    <w:p w14:paraId="143FE91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2DD87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EKS 2010 tiek minēta “ietekme”, novērtējot, vai subjekts tiek vai netiek kontrolēts. Tā kā EKS 2010 20.309. punktā minētās norādes izriet no valsts un uzņēmumu kontu speciālistu kopīgām apspriedēm, uzņēmējdarbības termins “dominējoša ietekme” kā pilnvaras, kas vienlīdz var būt kontrole, arī parādās EKS 2010 20.309. punkta f) apakšpunktā.</w:t>
      </w:r>
    </w:p>
    <w:p w14:paraId="379D339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D05F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EKS 2010 20.309. punktā ir uzskaitīti rādītāji, kas ļauj novērtēt, vai ietekmes tiesības ir pietiekamas, lai spriestu, vai pastāv vienības kontrole. Tiek uzskatīts, ka daži rādītāji ir pietiekami paši par sevi, lai noteiktu, ka vienība tiek kontrolēta, savukārt citi, atsevišķi ņemot, nav pietiekami, bet var liecināt par kontroli, kad tiek izvērtēti kopā ar citiem rādītājiem.</w:t>
      </w:r>
    </w:p>
    <w:p w14:paraId="68F432F0" w14:textId="77777777" w:rsidR="00994F93" w:rsidRPr="00B03B51" w:rsidRDefault="00994F93" w:rsidP="00994F93">
      <w:pPr>
        <w:jc w:val="both"/>
        <w:rPr>
          <w:rFonts w:ascii="Times New Roman" w:hAnsi="Times New Roman" w:cs="Times New Roman"/>
          <w:noProof/>
          <w:sz w:val="24"/>
        </w:rPr>
      </w:pPr>
    </w:p>
    <w:p w14:paraId="7B53040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Saskaņā ar EKS 2010 20.310. punktu katrs no trim turpmāk minētajiem kontroles rādītājiem ir pietiekams, lai noteiktu valdības kontroli.</w:t>
      </w:r>
    </w:p>
    <w:p w14:paraId="3ACDFDB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B8A7367"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1) Tiesības iecelt, atlaist, apstiprināt vai noteikt veto attiecībā uz lielāko daļu no amatpersonām, direktoru padomes u. c.</w:t>
      </w:r>
    </w:p>
    <w:p w14:paraId="5979F2CF"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664D879"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Par šīm tiesībām var lemt dažādas publiskas vienības (klasificētas vai neklasificētas tajā pašā sektorā/apakšsektoros). Galvenā personāla iecelšana un atlaišana ir tiešākais veids, kā iejaukties un noteikt subjekta vispārējo politiku. Tiesības atcelt ieceltās personas arī ir svarīgas, jo tās liecina, ka gadījumā, ja ieceltās personas nerīkojas valdībai vēlamā veidā, tās var atcelt vai atkārtoti neiecelt.</w:t>
      </w:r>
    </w:p>
    <w:p w14:paraId="55D17BAA" w14:textId="77777777" w:rsidR="00994F93" w:rsidRPr="00B03B51" w:rsidRDefault="00994F93" w:rsidP="00994F93">
      <w:pPr>
        <w:tabs>
          <w:tab w:val="left" w:pos="1126"/>
        </w:tabs>
        <w:ind w:left="284"/>
        <w:jc w:val="both"/>
        <w:rPr>
          <w:rFonts w:ascii="Times New Roman" w:hAnsi="Times New Roman" w:cs="Times New Roman"/>
          <w:b/>
          <w:noProof/>
          <w:sz w:val="24"/>
        </w:rPr>
      </w:pPr>
    </w:p>
    <w:p w14:paraId="6081FD33"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2) Tiesības iecelt, noteikt veto vai atbrīvot no pienākumu izpildes lielāko daļu subjekta galveno komiteju (vai apakškomiteju) locekļu, kam ir izšķiroša loma attiecībā uz šā subjekta vispārējās politikas galvenajiem faktoriem</w:t>
      </w:r>
    </w:p>
    <w:p w14:paraId="75DB8290"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012CC3E1"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Attiecībā uz iepriekšminēto kritēriju jautājumam par veto pilnvarām ir jāpievērš īpaša uzmanība. Ir lietderīgi atgādināt, ka veto dod tiesības iebilst dažiem lēmumiem vai uzspiest lēmumu, ko sedz veto pilnvaras. Kopumā, ja valdībai vai publiskajam sektoram ir veto pilnvaras, ar to vien jau būtu pietiekami, lai secinātu, ka vienība tiek kontrolēta, ja publiskai vienībai ekskluzīvi ir šādas tiesības. Tomēr var būt gadījumi, kad privātām vienībām arī ir līdzīgas veto pilnvaras līdzīgu lēmumu pieņemšanā, vai gadījumi, kad ir nepieciešams vienprātīgs lēmums. Nav būtisks privāto vienību veto pilnvaru skaits; tā vietā ir jāizvērtē to iespējamā ietekme.</w:t>
      </w:r>
    </w:p>
    <w:p w14:paraId="2D634211"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3EA49E9" w14:textId="77777777" w:rsidR="00994F93" w:rsidRPr="00B03B51" w:rsidRDefault="00994F93" w:rsidP="00994F93">
      <w:pPr>
        <w:pStyle w:val="BodyText"/>
        <w:spacing w:before="0"/>
        <w:ind w:left="284" w:firstLine="0"/>
        <w:jc w:val="both"/>
        <w:rPr>
          <w:rFonts w:ascii="Times New Roman" w:hAnsi="Times New Roman" w:cs="Times New Roman"/>
          <w:noProof/>
          <w:sz w:val="24"/>
          <w:szCs w:val="12"/>
        </w:rPr>
      </w:pPr>
      <w:r w:rsidRPr="00B03B51">
        <w:rPr>
          <w:rFonts w:ascii="Times New Roman" w:hAnsi="Times New Roman" w:cs="Times New Roman"/>
          <w:sz w:val="24"/>
        </w:rPr>
        <w:t xml:space="preserve">Vienības kontrole parasti nozīmē, ka kontrolējošām vienībām pieder “pēdējais vārds” attiecībā uz galvenajiem nozīmīgajiem lēmumiem. Piemēram, parasti tiek noteikts, ka pastāv publiskā kontrole, ja publiskā sektora subjektu veto pilnvaras attiecas uz nozīmīgākiem lēmumiem nekā citu subjektu veto pilnvaras. Piemēram, valdībai varētu būt galvenās veto </w:t>
      </w:r>
      <w:r w:rsidRPr="00B03B51">
        <w:rPr>
          <w:rFonts w:ascii="Times New Roman" w:hAnsi="Times New Roman" w:cs="Times New Roman"/>
          <w:sz w:val="24"/>
        </w:rPr>
        <w:lastRenderedPageBreak/>
        <w:t>pilnvaras attiecībā uz lēmumu pieņemšanu par vienības likvidēšanu, tās apvienošanu ar citu vienību, statusa mainīšanu vai darbības būtisku mainīšanu. Citos gadījumos valdībai un pārējiem var būt vienādas veto pilnvaras, proti, katra puse var bloķēt lēmumu. Tomēr šajā gadījumā kontroli varētu novērtēt arī pēc citiem papildu kritērijiem, proti, kāda ir vienības būtība, kurā valdībai ir veto pilnvaras. Piemēram, ja konkrētā vienība iegūst sev resursus galvenokārt no publiskajām vienībām saskaņā ar pārdošanas līgumiem un citiem nolīgumiem (piemēram, PPP), varētu domāt, ka valdībai vai kādai citai publiskai vienībai ir lielāka ietekme (</w:t>
      </w:r>
      <w:r w:rsidRPr="00B03B51">
        <w:rPr>
          <w:rFonts w:ascii="Times New Roman" w:hAnsi="Times New Roman" w:cs="Times New Roman"/>
          <w:i/>
          <w:iCs/>
          <w:sz w:val="24"/>
        </w:rPr>
        <w:t>de facto</w:t>
      </w:r>
      <w:r w:rsidRPr="00B03B51">
        <w:rPr>
          <w:rFonts w:ascii="Times New Roman" w:hAnsi="Times New Roman" w:cs="Times New Roman"/>
          <w:sz w:val="24"/>
        </w:rPr>
        <w:t>) uz šo vienību, un tādējādi šī vienība būtu klasificējama publiskajā sektorā.</w:t>
      </w:r>
      <w:r w:rsidRPr="00B03B51">
        <w:rPr>
          <w:rStyle w:val="FootnoteReference"/>
          <w:rFonts w:ascii="Times New Roman" w:hAnsi="Times New Roman" w:cs="Times New Roman"/>
          <w:noProof/>
          <w:sz w:val="24"/>
        </w:rPr>
        <w:footnoteReference w:id="20"/>
      </w:r>
    </w:p>
    <w:p w14:paraId="5E225CC7" w14:textId="77777777" w:rsidR="00994F93" w:rsidRPr="00B03B51" w:rsidRDefault="00994F93" w:rsidP="00994F93">
      <w:pPr>
        <w:pStyle w:val="BodyText"/>
        <w:spacing w:before="0"/>
        <w:ind w:left="284" w:firstLine="0"/>
        <w:jc w:val="both"/>
        <w:rPr>
          <w:rFonts w:ascii="Times New Roman" w:hAnsi="Times New Roman" w:cs="Times New Roman"/>
          <w:noProof/>
          <w:sz w:val="24"/>
          <w:szCs w:val="12"/>
        </w:rPr>
      </w:pPr>
    </w:p>
    <w:p w14:paraId="674E1A74"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Dažkārt lēmums par visas direktoru padomes vai amatpersonu vairākuma iecelšanas tiesībām varētu būt maldinošs. Ir pilnīgi iespējams, ka svarīgākos lēmumus par vispārējo politiku pieņem nevis valde, bet galvenās komitejas. Šādos gadījumos pareizāk ir papildus izvērtēt šo komiteju, nevis tikai pašas valdes, tiesības īstenot iecelšanu/veto tiesības. EKS 2010 20.309. punkta c) apakšpunktā ir sniegti daži vispārējās politikas galvenie faktori, kurus var deleģēt apakškomitejām, piemēram, samaksa augstākā līmeņa personālam, atalgojuma un uzņēmējdarbības stratēģija.</w:t>
      </w:r>
    </w:p>
    <w:p w14:paraId="3A59BE0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1FDB6C2F"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3) Īpašumtiesības uz balsstiesību vairākumu</w:t>
      </w:r>
    </w:p>
    <w:p w14:paraId="3FD1FA8D"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7585C4E4"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Ja balsstiesības ir vairākām publiskām vienībām, jo īpaši, ja nevienai nav vairākuma, īpašumtiesības skata kopumā (kopā). Skaitot balsstiesības, izvērtē gan tiešās, gan netiešās īpašumtiesības. Piemēram, aplūkosim sabiedrību, kuras 30 % pieder centrālajai valdībai, 40 % pieder publiskai sabiedrībai, kura pati 75 % apmērā pieder centrālajai valdībai un kuras 25 % ir privātā īpašumā, un atlikušie 30 % pieder privātai sabiedrībai (kuras 10 % pieder valdībai). Šādā situācijā (ko bieži min kā jauktas grupas situāciju) saskaita 30 % tiešās balsstiesības un 40 % netiešās balsstiesības, kas ir publiskai sabiedrībai, tādējādi publiskajam sektoram faktiski ir 70 % balsstiesību un tādējādi – kontrole (skat. 1. attēlu). Kontroli (tiešo un netiešo), šajā gadījumā 70 %, neaprēķina tāpat kā īpašumtiesības (tiešās un netiešās), kas šajā gadījumā ir 63 %. Var pat gadīties, ka publiska kontrole netiek konstatēta, lai arī tiešās un netiešās īpašumtiesības ir virs 50 %.</w:t>
      </w:r>
    </w:p>
    <w:p w14:paraId="27DF5E95"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F3C486E"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Rūpīgi ir jāizvērtē arī tas, ka dažas akcijas sniedz tiesības balsot ar vairākām balsīm. Kamēr valdība tieši vai netieši var faktiski kontrolēt vairāk nekā 50 % balsstiesību, vienība ir publiskā sektora sastāvdaļa. Parasti sabiedrība, no kuras mazāk par 50 % pieder publiskā sektora īpašniekiem, netiks uzskatīta par publiskā sektora daļu, pamatojoties uz īpašumtiesību kritēriju, taču tā joprojām varētu ietilpt publiskajā sektorā, ja pastāv arī citi kontroles rādītāji.</w:t>
      </w:r>
    </w:p>
    <w:p w14:paraId="06B376B0"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DDCDF6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Var būt ļoti reti gadījumi, kad publiskā sektora vienībām aritmētiski ir mazākums balsstiesību, bet citiem akciju turētājiem ir daudz mazākas summas (t. i., privātie akcionāri ir daudzi mazi akcionāri). Šādā gadījumā maz ticams, ka privāto akcionāru apvienība, kurai ir vismaz 50 % + 1 tiesības, varētu iebilst publisko akcionāru blokam un tādējādi nodrošināt sabiedrības kontroli. Teorētiski ir uzskatāms, ka vienību kontrolē privātais sektors saskaņā ar EKS 2010, jo nozīme ir tikai kontroles pilnvarām, nevis tam, vai tās tiek faktiski īstenotas. Tomēr izņēmuma gadījumos varētu izmantot pragmatisku pieeju, piemēram, izvērtēt </w:t>
      </w:r>
      <w:r w:rsidRPr="00B03B51">
        <w:rPr>
          <w:rFonts w:ascii="Times New Roman" w:hAnsi="Times New Roman" w:cs="Times New Roman"/>
          <w:sz w:val="24"/>
        </w:rPr>
        <w:lastRenderedPageBreak/>
        <w:t>novērotos balsošanas rezultātus, kas var parādīt, ka faktisko kontroli īsteno publiskais sektors, iegūstot faktiski derīgo balsu atkārtotu vairākumu, jo ļoti daudzi privātie akcionāri varētu nebalsot vai balsot neviendabīgi. Šādos gadījumos, kas ir jāanalizē katrā atsevišķā gadījumā, vienību varētu uzskatīt joprojām par publiskā sektora vienību.</w:t>
      </w:r>
    </w:p>
    <w:p w14:paraId="449C1557" w14:textId="77777777" w:rsidR="00994F93" w:rsidRPr="00B03B51" w:rsidRDefault="00994F93" w:rsidP="00994F93">
      <w:pPr>
        <w:jc w:val="both"/>
        <w:rPr>
          <w:rFonts w:ascii="Times New Roman" w:eastAsia="Arial" w:hAnsi="Times New Roman" w:cs="Times New Roman"/>
          <w:noProof/>
          <w:sz w:val="24"/>
        </w:rPr>
      </w:pPr>
    </w:p>
    <w:p w14:paraId="32EB9202"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1. attēls. Kontroles vērtēšana, pamatojoties uz balsstiesībām</w:t>
      </w:r>
    </w:p>
    <w:p w14:paraId="124D23AE" w14:textId="77777777" w:rsidR="00994F93" w:rsidRPr="00B03B51" w:rsidRDefault="00994F93" w:rsidP="00994F93">
      <w:pPr>
        <w:jc w:val="both"/>
        <w:rPr>
          <w:rFonts w:ascii="Times New Roman" w:eastAsia="Arial" w:hAnsi="Times New Roman" w:cs="Times New Roman"/>
          <w:b/>
          <w:bCs/>
          <w:noProof/>
          <w:sz w:val="24"/>
          <w:szCs w:val="29"/>
        </w:rPr>
      </w:pPr>
    </w:p>
    <w:p w14:paraId="345E9298" w14:textId="7DFF5D34" w:rsidR="00994F93" w:rsidRPr="00B03B51" w:rsidRDefault="00154D5B" w:rsidP="00994F93">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23B22F9E" wp14:editId="5282C1AF">
            <wp:extent cx="5760085" cy="39789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978910"/>
                    </a:xfrm>
                    <a:prstGeom prst="rect">
                      <a:avLst/>
                    </a:prstGeom>
                    <a:noFill/>
                    <a:ln>
                      <a:noFill/>
                    </a:ln>
                  </pic:spPr>
                </pic:pic>
              </a:graphicData>
            </a:graphic>
          </wp:inline>
        </w:drawing>
      </w:r>
    </w:p>
    <w:p w14:paraId="652CE1B4" w14:textId="77777777" w:rsidR="00994F93" w:rsidRPr="00B03B51" w:rsidRDefault="00994F93" w:rsidP="00994F93">
      <w:pPr>
        <w:jc w:val="both"/>
        <w:rPr>
          <w:rFonts w:ascii="Times New Roman" w:eastAsia="Arial" w:hAnsi="Times New Roman" w:cs="Times New Roman"/>
          <w:noProof/>
          <w:sz w:val="24"/>
          <w:szCs w:val="20"/>
        </w:rPr>
      </w:pPr>
    </w:p>
    <w:p w14:paraId="05DB99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Ja, izanalizējot minētos kritērijus, kuri ir “pietiekami paši par sevi”, netiek konstatēti pietiekami pierādījumi par valdības kontroli, tad ir jāizvērtē arī citi kritēriji (turpmāk 4.–9. punkts), jo EKS 2010 20.310. punktā ir noteikts, ka “vairāki atsevišķi rādītāji kopā var norādīt uz kontroli”. Katru šādu gadījumu analizē atsevišķi. Rezultātā, ja vienībai neviens no kritērijiem pats par sevi nav bijis pietiekams, lai noteiktu publiskā sektora kontroli, to joprojām var iekļaut publiskajā sektorā (pat ja vairākums pieder privātajam sektoram), pārbaudot visu rādītāju kopumu.</w:t>
      </w:r>
    </w:p>
    <w:p w14:paraId="548C29D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02E294C"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4) Tiesības iecelt vai atlaist vadošos darbiniekus, vai noteikt veto attiecībā uz tiem</w:t>
      </w:r>
    </w:p>
    <w:p w14:paraId="25F31CAE"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7AA01167"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Tas attiecas uz vispārējās politikas noteikšanu, ko realizē neliels “ietekmīgu valdes locekļu” skaits, piemēram, galvenās izpildpersonas un priekšsēdētājs. Tas liecinās par kontroli tikai tad, ja šādām personām ir piešķirtas zināmas pilnvaras (dažādos veidos), kas </w:t>
      </w:r>
      <w:r w:rsidRPr="00B03B51">
        <w:rPr>
          <w:rFonts w:ascii="Times New Roman" w:hAnsi="Times New Roman" w:cs="Times New Roman"/>
          <w:i/>
          <w:iCs/>
          <w:sz w:val="24"/>
        </w:rPr>
        <w:t>de facto</w:t>
      </w:r>
      <w:r w:rsidRPr="00B03B51">
        <w:rPr>
          <w:rFonts w:ascii="Times New Roman" w:hAnsi="Times New Roman" w:cs="Times New Roman"/>
          <w:sz w:val="24"/>
        </w:rPr>
        <w:t xml:space="preserve"> dod tām izšķirošo vārdu vairumā lēmumu, kuri attiecas uz subjektu.</w:t>
      </w:r>
    </w:p>
    <w:p w14:paraId="69C8A695"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1ABA03C"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Valdībai var būt arī ne tik tiešas iespējas īstenot subjekta kontroli, ņemot vērā tās lomu izstrādātajā galvenā personāla nominēšanas, atlases un ievēlēšanas procesā. Valdība var izstrādāt procedūras, kas varētu radīt iespaidu, ka tā tikai nelielā vai pat niecīgā veidā ir iesaistīta attiecīgā subjekta galvenā personāla iecelšanā, atlaišanā vai apstiprināšanā. Taču iedziļinoties, kļūst skaidrs, ka valdība </w:t>
      </w:r>
      <w:r w:rsidRPr="00B03B51">
        <w:rPr>
          <w:rFonts w:ascii="Times New Roman" w:hAnsi="Times New Roman" w:cs="Times New Roman"/>
          <w:i/>
          <w:iCs/>
          <w:sz w:val="24"/>
        </w:rPr>
        <w:t>de facto</w:t>
      </w:r>
      <w:r w:rsidRPr="00B03B51">
        <w:rPr>
          <w:rFonts w:ascii="Times New Roman" w:hAnsi="Times New Roman" w:cs="Times New Roman"/>
          <w:sz w:val="24"/>
        </w:rPr>
        <w:t xml:space="preserve"> būtībā nosaka personāla iecelšanas kārtību </w:t>
      </w:r>
      <w:r w:rsidRPr="00B03B51">
        <w:rPr>
          <w:rFonts w:ascii="Times New Roman" w:hAnsi="Times New Roman" w:cs="Times New Roman"/>
          <w:sz w:val="24"/>
        </w:rPr>
        <w:lastRenderedPageBreak/>
        <w:t>vai vismaz ir būtiski iesaistīta šajā procesā.</w:t>
      </w:r>
    </w:p>
    <w:p w14:paraId="402EEC2C"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63272DAC"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Piemēram, galvenā personāla tiešai iecelšanai līdzvērtīga kārtība ir tad, kad valdība deleģē tiesības iecelt uzraudzības padomes vai direktoru padomes locekļus vairākām noteiktām privātām struktūrām (bieži vien privātām bezpeļņas iestādēm) un tikai valdība var nomainīt šos ieceļamos subjektus. Lai arī var šķist, ka valdība būtiski neiejaucas iecelšanas procesā, tā kā privātās struktūras pieņem lēmumus un nav iespējas tās noraidīt, ja deleģētie subjekti pieņem tādus lēmumus, kurus valdība neapstiprina, pastāv reāla iespēja, ka tos var aizstāt ar citiem. Šajā gadījumā izšķirošs faktors ir tas, ka valdībai </w:t>
      </w:r>
      <w:r w:rsidRPr="00B03B51">
        <w:rPr>
          <w:rFonts w:ascii="Times New Roman" w:hAnsi="Times New Roman" w:cs="Times New Roman"/>
          <w:i/>
          <w:iCs/>
          <w:sz w:val="24"/>
        </w:rPr>
        <w:t>de facto</w:t>
      </w:r>
      <w:r w:rsidRPr="00B03B51">
        <w:rPr>
          <w:rFonts w:ascii="Times New Roman" w:hAnsi="Times New Roman" w:cs="Times New Roman"/>
          <w:sz w:val="24"/>
        </w:rPr>
        <w:t xml:space="preserve"> ir jābūt reālām tiesībām iecelt galveno personālu; pretējā gadījumā tā nebūtu spējīga deleģēt šīs tiesības. Šādos apstākļos valdība var īstenot vismaz kaut kādu ietekmi, lai arī ar to var nepietikt, lai izveidotu publisku kontroli.</w:t>
      </w:r>
    </w:p>
    <w:p w14:paraId="71100995" w14:textId="77777777" w:rsidR="00994F93" w:rsidRPr="00B03B51" w:rsidRDefault="00994F93" w:rsidP="00994F93">
      <w:pPr>
        <w:tabs>
          <w:tab w:val="left" w:pos="1126"/>
        </w:tabs>
        <w:ind w:left="284"/>
        <w:jc w:val="both"/>
        <w:rPr>
          <w:rFonts w:ascii="Times New Roman" w:hAnsi="Times New Roman" w:cs="Times New Roman"/>
          <w:b/>
          <w:noProof/>
          <w:sz w:val="24"/>
        </w:rPr>
      </w:pPr>
    </w:p>
    <w:p w14:paraId="0F4C7AC4"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5) Īpašo akciju un iespēju tiesības</w:t>
      </w:r>
    </w:p>
    <w:p w14:paraId="040E5865"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561CE18"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Dažkārt saistībā ar privatizāciju tiek radītas “zelta akcijas”. Lai arī principā šādu kārtību pastāvīgā veidā Eiropas Savienībā vairs nav iespējams piešķirt, jautājums par zelta akciju mantojumu saglabājas. Ja šādas akcijas sedz pilnvaras, kas attiecas vien uz ļoti konkrētiem iespējamiem notikumiem un kas ir ierobežotas tvēruma un/vai laika ziņā, kas parasti tā ir, tās ir uzskatāmas par iespējamām “rezerves pilnvarām” un netiek uzskatītas par kontroles rādītāju.</w:t>
      </w:r>
    </w:p>
    <w:p w14:paraId="042C396D"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FA3C1B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Savukārt, ja šīs pilnvaras </w:t>
      </w:r>
      <w:r w:rsidRPr="00B03B51">
        <w:rPr>
          <w:rFonts w:ascii="Times New Roman" w:hAnsi="Times New Roman" w:cs="Times New Roman"/>
          <w:i/>
          <w:iCs/>
          <w:sz w:val="24"/>
        </w:rPr>
        <w:t>de facto</w:t>
      </w:r>
      <w:r w:rsidRPr="00B03B51">
        <w:rPr>
          <w:rFonts w:ascii="Times New Roman" w:hAnsi="Times New Roman" w:cs="Times New Roman"/>
          <w:sz w:val="24"/>
        </w:rPr>
        <w:t xml:space="preserve"> ietekmē vienības vispārējo politiku, tās ir jāņem vērā, pieņemot lēmumu par klasifikāciju. Ja tiek faktiski izmantotas iespējamās pilnvaras, var prognozēt, ka tas ir pietiekami, lai tūlītēji vai pat vēl agrāk pārklasificētu vienību par publisku vienību, ja kļūst acīmredzami, ka valdība/publiskais sektors nākotnē izmantos pilnvaras apņēmīgi kontrolēt vienības stratēģiju un citus nozīmīgus lēmumus.</w:t>
      </w:r>
    </w:p>
    <w:p w14:paraId="384C8A3D"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6B60156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Tādu pašu ietekmi varētu radīt arī akciju pirkšanas iespējas esamība, kas varētu nozīmēt, ka, kamēr vien šīs akcijas pastāv, valdība/publiskā vienība varētu izpildīt pirmo kontroles kritēriju kopumu. Tas ir tāpēc, ka pat tikai nodoms īstenot iespējas līgumu varētu dot valdībai/publiskajam sektoram izšķirošu ietekmi attiecībā uz kontrolētās vienības stratēģiju un citiem nozīmīgiem lēmumiem.</w:t>
      </w:r>
    </w:p>
    <w:p w14:paraId="602323E8"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F255A5E"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6) Kontroles tiesības saskaņā ar līgumisku vienošanos</w:t>
      </w:r>
    </w:p>
    <w:p w14:paraId="17088EE2"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E5E398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Parasti tas nozīmē, ka publiskā sektora subjekti ekskluzīvi izmanto subjekta ražotās preces un pakalpojumus, kas varētu liecināt, ka dominējošā ietekme uz subjektu tiek īstenota ar līguma klauzulām. Pašus līguma noteikumus nebūtu vajadzības izskatīt. Tas varētu arī raisīt jautājumus par to, kādā pēc būtības tirgū vienība darbojas, ja tās produkciju pērk valdība (skat. 1.2.4.2. apakšiedaļu “Ar ražotājiem saistīti īpaši gadījumi”). Ja subjektam tiek likti ierobežojumi nodarboties ar pārdošanu ar vienībām, kas nav publiskas vienības, tas ir skaidrs publiskas kontroles rādītājs.</w:t>
      </w:r>
    </w:p>
    <w:p w14:paraId="3FD30B66"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1E6929D7"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7) Tiesības kontrolēt, kas izriet no aizdevuma līgumiem/atļaujām</w:t>
      </w:r>
    </w:p>
    <w:p w14:paraId="4376D228"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0691316"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Lai būtu norāde par kontroli, valdībai/publiskajam sektoram ir jābūt dominējošai lomai, nosakot aizņēmuma nosacījumus (piemēram, maksājuma termiņu, likmes, veidus, atrašanās vietu, darījuma partneri, nodrošinājumus utt.), un/vai stingri jākontrolē, kā līdzekļus izlieto subjekts (piemēram, konkrētam iekārtu vai citu sabiedrību akciju iepirkumam).</w:t>
      </w:r>
    </w:p>
    <w:p w14:paraId="1A0E0292"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6854AC5"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lastRenderedPageBreak/>
        <w:t>8) Kontrole, izmantojot pārmērīgu regulējumu</w:t>
      </w:r>
    </w:p>
    <w:p w14:paraId="62923617"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1E31F7FC"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Dažās nozarēs (jo īpaši tādās, kas saistītas ar komunālajiem pakalpojumiem) stingrs regulējums varētu būtiski ierobežot subjektu manevra iespējas attiecībā uz to vispārējās politikas noteikšanu. Kopumā tipiska situācija varētu būt tāda, ka subjekts tiek dibināts konkrētas darbības veikšanai (ko deleģē valdība), un tas nevar lemt par šīs darbības izmaiņām vai papildinājumiem. Tādējādi šo kritēriju piemēro, ja pastāv stingrāki nosacījumi vienības darbību izbeigšanai vai dažādošanai.</w:t>
      </w:r>
    </w:p>
    <w:p w14:paraId="7E033A09"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CD67403"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9) Citi</w:t>
      </w:r>
    </w:p>
    <w:p w14:paraId="2A2D83F6"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F2C4B49"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EKS 2010 20.309. punkta i) apakšpunktā ir noteikts, ka kontroli var iegūt arī no subjekta statūtu noteikumiem, kas paredz, ka dažiem nozīmīgiem lēmumiem, piemēram, par subjekta peļņas sadalījumu, darbību izstrādi vai izbeigšanu, apvienošanās un iegādes darbībām, likvidēšanu vai izmaiņām statūtos, ir nepieciešams publiskā sektora apstiprinājums. Daži šāda veida noteikumi var liecināt par kontroli.</w:t>
      </w:r>
    </w:p>
    <w:p w14:paraId="5150FDF8" w14:textId="77777777" w:rsidR="00994F93" w:rsidRPr="00B03B51" w:rsidRDefault="00994F93" w:rsidP="00994F93">
      <w:pPr>
        <w:ind w:left="284"/>
        <w:jc w:val="both"/>
        <w:rPr>
          <w:rFonts w:ascii="Times New Roman" w:eastAsia="Arial" w:hAnsi="Times New Roman" w:cs="Times New Roman"/>
          <w:noProof/>
          <w:sz w:val="24"/>
          <w:szCs w:val="26"/>
        </w:rPr>
      </w:pPr>
    </w:p>
    <w:p w14:paraId="2B2BF3C1"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EKS 2010 20.309. punkta i) apakšpunktā ir arī minēts – ja subjektu pilnībā vai gandrīz pilnībā finansē publiskais sektors, kontrole, kas tiek īstenota ar finansējuma plūsmu, var būt pietiekami ierobežojoša, lai diktētu vispārējo politiku. Tas jo īpaši būtiski ir gadījumā, ja subjektam nav piekļuves (</w:t>
      </w:r>
      <w:r w:rsidRPr="00B03B51">
        <w:rPr>
          <w:rFonts w:ascii="Times New Roman" w:hAnsi="Times New Roman" w:cs="Times New Roman"/>
          <w:i/>
          <w:iCs/>
          <w:sz w:val="24"/>
        </w:rPr>
        <w:t>de iure</w:t>
      </w:r>
      <w:r w:rsidRPr="00B03B51">
        <w:rPr>
          <w:rFonts w:ascii="Times New Roman" w:hAnsi="Times New Roman" w:cs="Times New Roman"/>
          <w:sz w:val="24"/>
        </w:rPr>
        <w:t xml:space="preserve"> vai </w:t>
      </w:r>
      <w:r w:rsidRPr="00B03B51">
        <w:rPr>
          <w:rFonts w:ascii="Times New Roman" w:hAnsi="Times New Roman" w:cs="Times New Roman"/>
          <w:i/>
          <w:iCs/>
          <w:sz w:val="24"/>
        </w:rPr>
        <w:t>de facto</w:t>
      </w:r>
      <w:r w:rsidRPr="00B03B51">
        <w:rPr>
          <w:rFonts w:ascii="Times New Roman" w:hAnsi="Times New Roman" w:cs="Times New Roman"/>
          <w:sz w:val="24"/>
        </w:rPr>
        <w:t>) citiem finanšu avotiem, proti, ja subjekts zaudē savus publiskā sektora līgumus, tas var nespēt tos aizstāt ar citiem pārdošanas līgumiem un var būt spiests slēgt savu darbību.</w:t>
      </w:r>
    </w:p>
    <w:p w14:paraId="5032F2BA"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D96AB93"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EKS 2010 kontroles jēdziens atšķiras no neatkarības jēdziena. Daudzi valdības subjekti darbojas juridiski neatkarīgi no ministru kabineta/ministru padomes vai valdības galvenās vienības. Publiskas kontroles noteikšana ir statistiskās klasifikācijas jautājums un nav jāinterpretē tā, it kā institucionālā vienība nav pilnībā neatkarīga. Piemēram, tas, ka centrālās bankas tradicionāli ir publiskā sektora sastāvā, neliedz tām būt neatkarīgiem subjektiem (skat. EKS 2010 20.311. punktu). Tāpat arī parlaments, konstitucionālā tiesa un citi subjekti nepārprotami ir valsts pārvaldes sastāvdaļas, tomēr tie ir neatkarīgi no valdības ministriem.</w:t>
      </w:r>
    </w:p>
    <w:p w14:paraId="284116B9" w14:textId="77777777" w:rsidR="00994F93" w:rsidRPr="00B03B51" w:rsidRDefault="00994F93" w:rsidP="00994F93">
      <w:pPr>
        <w:jc w:val="both"/>
        <w:rPr>
          <w:rFonts w:ascii="Times New Roman" w:eastAsia="Arial" w:hAnsi="Times New Roman" w:cs="Times New Roman"/>
          <w:noProof/>
          <w:sz w:val="24"/>
          <w:szCs w:val="15"/>
        </w:rPr>
      </w:pPr>
    </w:p>
    <w:p w14:paraId="64117565"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bookmarkStart w:id="20" w:name="1.2.3.2_Government-controlled_entities_n"/>
      <w:bookmarkEnd w:id="20"/>
      <w:r w:rsidRPr="00B03B51">
        <w:rPr>
          <w:rFonts w:ascii="Times New Roman" w:hAnsi="Times New Roman" w:cs="Times New Roman"/>
          <w:sz w:val="24"/>
        </w:rPr>
        <w:t>1.2.3.2. VALDĪBAS KONTROLĒTI SUBJEKTI, KAS NETIEK ATZĪTI PAR INSTITUCIONĀLĀM VIENĪBĀM</w:t>
      </w:r>
    </w:p>
    <w:p w14:paraId="0CD19A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02AA9A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EKS 2010 kontroles analīze galvenokārt attiecas uz institucionālajām vienībām, lai noteiktu, vai tās kontrolē vai nekontrolē valdība, un tādējādi tas ir solis, lai noteiktu institucionālo vienību sektoru klasifikāciju (skat. EKS 2010 20.1. diagrammu).</w:t>
      </w:r>
    </w:p>
    <w:p w14:paraId="5FBAD6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B11E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Kontrole tomēr ir svarīga arī subjektiem, kuri neizpilda institucionālās vienības testu, jo tiem nav lēmumu autonomijas attiecībā uz to pamatfunkciju. EKS 2010 2.13. punktā ir noteikts, ka šādus subjektus klasificē kā tos kontrolējošo institucionālo vienību sastāvdaļu. Bieži vien šāda situācija rodas, kad institucionālā vienība sastāv no vairākām juridiskām vienībām vai kad galvenā vienība (piemēram, valdības galvenā vienība) ietver vairākas ministrijas vai departamentus savā kontu komplektā.</w:t>
      </w:r>
    </w:p>
    <w:p w14:paraId="2EE59CA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9B6F9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Var izveidot atsevišķus subjektus, kuriem nav juridiskā statusa un kurus apvieno galvenajā vienībā, un, lai arī šajā situācijā bieži vien mātesuzņēmums ir acīmredzams, dažkārt par to var rasties patiesas šaubas. Piemēram, publiskas sabiedrības izveidota ĪNDS faktiski var būt valdības tiešā kontrolē. Tas tā varētu būt gadījumā, ja, piemēram, attiecīgā ĪNDS nevar saņemt ārkārtas finansējumu no publiskas sabiedrības, bet tai ir jāvēršas tieši pie valdības.</w:t>
      </w:r>
    </w:p>
    <w:p w14:paraId="3B8B86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2BDE19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33. Ārkārtīgi retos gadījumos subjekta kontroles jēdziens var sakrist ar aktīvu kontroles jēdzienu, kas jo īpaši tā ir gadījumos, kad subjekts pastāv vien tāpēc, lai tam piederētu aktīvs un, iespējams, lai tas finansētu aktīvu. Cits piemērs ir autopilota veidojums, kurā subjekts </w:t>
      </w:r>
      <w:r w:rsidRPr="00B03B51">
        <w:rPr>
          <w:rFonts w:ascii="Times New Roman" w:hAnsi="Times New Roman" w:cs="Times New Roman"/>
          <w:i/>
          <w:iCs/>
          <w:sz w:val="24"/>
        </w:rPr>
        <w:t>de facto</w:t>
      </w:r>
      <w:r w:rsidRPr="00B03B51">
        <w:rPr>
          <w:rFonts w:ascii="Times New Roman" w:hAnsi="Times New Roman" w:cs="Times New Roman"/>
          <w:sz w:val="24"/>
        </w:rPr>
        <w:t xml:space="preserve"> ir vien aktīvu un/vai saistību krājums. EKS 2010 laiku pa laikam ir skaidra norāde uz aktīvu kontroli, piemēram, saistībā ar piesaistošajām finanšu iestādēm (skat. EKS 2010 2.22. punktu).</w:t>
      </w:r>
    </w:p>
    <w:p w14:paraId="79838C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6A2E19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Subjekta kontrole neatkarīgi no tā, vai subjekts ir vai nav institucionālā vienība, parasti attiecas uz to cilvēku kontroli, kas pieņem lēmumus par attiecīgo subjektu, savukārt pati aktīvu kontrolēšanas ideja ir pavisam citāda. Aktīvu kontrole nozīmē spēju tieši izmantot aktīvu un īstenot ar aktīvu saistītos labumus. Tam par apliecinājumu var kalpot tostarp gan risku, gan priekšrocību uzņemšanās. Praksē turpmākie kontroles rādītāji varētu būt, piemēram, šādi – vai pastāv īpašumtiesības uz aktīvu, vai aktīvs ir fiziskā valdījumā, vai ir spēja aktīvu pārdot un vai ir tiesības saņemt maksājumus saistībā ar aktīvu. Nacionālajos kontos izmantotais risku un priekšrocību jēdziens un aktīvu kontroles jēdziens ir līdzīgi tādā ziņā, ka abi aplūko aktīva ekonomiskās īpašumtiesības, nevis likumīgās īpašumtiesības.</w:t>
      </w:r>
    </w:p>
    <w:p w14:paraId="71B457F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E9F3B8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Ja risku un priekšrocību novērtējums nav pārliecinošs, piemēram, ja subjekts nav ne nodevis, ne paturējis lielāko daļu risku un priekšrocību, aktīvu kontroles jēdziens ir kā noderīgs papildinājums vispārējam risku un priekšrocību jēdzienam, lai noteiktu, kurā bilancē aktīvs ir jāieraksta.</w:t>
      </w:r>
    </w:p>
    <w:p w14:paraId="2DBA941D" w14:textId="77777777" w:rsidR="00994F93" w:rsidRPr="00B03B51" w:rsidRDefault="00994F93" w:rsidP="00994F93">
      <w:pPr>
        <w:jc w:val="both"/>
        <w:rPr>
          <w:rFonts w:ascii="Times New Roman" w:eastAsia="Arial" w:hAnsi="Times New Roman" w:cs="Times New Roman"/>
          <w:noProof/>
          <w:sz w:val="24"/>
          <w:szCs w:val="18"/>
        </w:rPr>
      </w:pPr>
    </w:p>
    <w:p w14:paraId="69D0E49D"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Bezpeļņas institūciju kontrole</w:t>
      </w:r>
    </w:p>
    <w:p w14:paraId="0DDF5133" w14:textId="77777777" w:rsidR="00994F93" w:rsidRPr="00B03B51" w:rsidRDefault="00994F93" w:rsidP="00994F93">
      <w:pPr>
        <w:jc w:val="both"/>
        <w:rPr>
          <w:rFonts w:ascii="Times New Roman" w:eastAsia="Arial" w:hAnsi="Times New Roman" w:cs="Times New Roman"/>
          <w:b/>
          <w:bCs/>
          <w:noProof/>
          <w:sz w:val="24"/>
        </w:rPr>
      </w:pPr>
    </w:p>
    <w:p w14:paraId="4B3AD62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Šādu kontroles jēdzienu piemēro arī bezpeļņas institūcijām, kurām katrā ES dalībvalstī var būt atšķirīgas pazīmes un atšķirīga nozīmība (lieluma, ietekmes uz neto aizdevumu/aizņēmumu (B.9) un parādu ziņā utt.) un kuras var veikt darbību dažādu veidu aģentu labā.</w:t>
      </w:r>
    </w:p>
    <w:p w14:paraId="2B36CB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26B0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Līdzīgi kā attiecībā uz sabiedrībām (un līdzvērtīgiem subjektiem) kontrole attiecībā uz BPI ietver spēju noteikt BPI vispārējo politiku vai programmu. Tomēr šajā gadījumā pastāv būtiska atšķirība starp tirgus un ārpustirgus BPI, kas noteikta saskaņā ar kritērijiem, kuri sniegti turpmāk 1.2.4.3. apakšiedaļā par kvantitatīvo tirgus/ārpustirgus testu.</w:t>
      </w:r>
    </w:p>
    <w:p w14:paraId="17529B0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713331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BPI, ko kontrolē valdība un kas tiek uzskatītas par tirgus ražotājiem (piemēram, jo tās pārdod savus pakalpojumus sabiedrībām vai mājsaimniecībām par ekonomiski nozīmīgām cenām), tiek klasificētas nefinanšu sabiedrību sektorā (S.11). Savukārt EKS 2010 20.13. punktā teikts, ka “tās bezpeļņas institūcijas, kuras ir ārpustirgus ražotāji un ko kontrolē valdības vienības, ir vispārējās valdības sektora vienības”. Saistībā ar BPI kontroli EKS 2010 20.15. punktā noteikts, ka jāapsver turpmāk norādītie pieci kritēriji.</w:t>
      </w:r>
      <w:r w:rsidRPr="00B03B51">
        <w:rPr>
          <w:rStyle w:val="FootnoteReference"/>
          <w:rFonts w:ascii="Times New Roman" w:hAnsi="Times New Roman" w:cs="Times New Roman"/>
          <w:noProof/>
          <w:sz w:val="24"/>
        </w:rPr>
        <w:footnoteReference w:id="21"/>
      </w:r>
    </w:p>
    <w:p w14:paraId="169BCC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1FC629A"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a) Amatpersonu iecelšana</w:t>
      </w:r>
    </w:p>
    <w:p w14:paraId="7A5FA51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24CE946"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Valdība var būt tiesīga iecelt BPI amatpersonas saskaņā ar BPI organizatorisko struktūru, tās statūtiem vai citiem pamataktiem.</w:t>
      </w:r>
    </w:p>
    <w:p w14:paraId="1B9E09C2" w14:textId="77777777" w:rsidR="00994F93" w:rsidRPr="00B03B51" w:rsidRDefault="00994F93" w:rsidP="00994F93">
      <w:pPr>
        <w:tabs>
          <w:tab w:val="left" w:pos="1126"/>
        </w:tabs>
        <w:ind w:left="284"/>
        <w:jc w:val="both"/>
        <w:rPr>
          <w:rFonts w:ascii="Times New Roman" w:hAnsi="Times New Roman" w:cs="Times New Roman"/>
          <w:b/>
          <w:noProof/>
          <w:sz w:val="24"/>
        </w:rPr>
      </w:pPr>
    </w:p>
    <w:p w14:paraId="18E91D76" w14:textId="77777777" w:rsidR="00994F93" w:rsidRPr="00B03B51" w:rsidRDefault="00994F93" w:rsidP="001778EC">
      <w:pPr>
        <w:keepNext/>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lastRenderedPageBreak/>
        <w:t>b) Citi pamatakta noteikumi</w:t>
      </w:r>
    </w:p>
    <w:p w14:paraId="421C045F" w14:textId="77777777" w:rsidR="00994F93" w:rsidRPr="00B03B51" w:rsidRDefault="00994F93" w:rsidP="001778EC">
      <w:pPr>
        <w:pStyle w:val="BodyText"/>
        <w:keepNext/>
        <w:spacing w:before="0"/>
        <w:ind w:left="284" w:firstLine="0"/>
        <w:jc w:val="both"/>
        <w:rPr>
          <w:rFonts w:ascii="Times New Roman" w:hAnsi="Times New Roman" w:cs="Times New Roman"/>
          <w:noProof/>
          <w:sz w:val="24"/>
        </w:rPr>
      </w:pPr>
    </w:p>
    <w:p w14:paraId="47E07572" w14:textId="77777777" w:rsidR="00994F93" w:rsidRPr="00B03B51" w:rsidRDefault="00994F93" w:rsidP="001778EC">
      <w:pPr>
        <w:pStyle w:val="BodyText"/>
        <w:keepN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Attiecībā uz šo punktu NKS 2008 4.92. punkts ir precīzāk formulēts nekā EKS 2010. Proti, ja valdība jau statūtos ir noteikusi funkcijas, mērķus un darbības noteikumus, amatpersonu iecelšanai varētu būt sekundāra nozīme. Taču valdības kontrole varētu realizēties, ja valdībai būtu tiesības atcelt personālu un apstiprināt budžetu vai finanšu sadali. Varētu uzskatīt, ka BPI kontrolē valdība, ja būtu nepieciešams valdības apstiprinājums, lai mainītu subjekta statūtus (vai subjekta veiktās darbības veidu), vai ja subjekts nedrīkstētu sevi likvidēt vai pārtraukt jebkādas attiecības ar valdību bez šāda apstiprinājuma.</w:t>
      </w:r>
    </w:p>
    <w:p w14:paraId="0906747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7AE380B"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c) Līgumiskas vienošanās</w:t>
      </w:r>
    </w:p>
    <w:p w14:paraId="51A8D6C9"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544C039"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Dažas BPI var noslēgt līgumus ar valdības vienībām, lai veiktu valdības noteiktos uzdevumus, darbojoties kā specializēts uzņēmums, jo īpaši sociālajā jomā. Ja šādu līgumu izpilde ir galvenā, ja ne vienīgā BPI darbības sastāvdaļa, ir skaidrs, ka valdībai būtu jābūt spējīgai ietekmēt BPI vispārējo politiku. Tomēr kontrole būtu jāizvērtē, ja būtu nepieciešams valdības apstiprinājums, lai izbeigtu ar valdību noslēgtos līgumus.</w:t>
      </w:r>
    </w:p>
    <w:p w14:paraId="498F376D" w14:textId="77777777" w:rsidR="00994F93" w:rsidRPr="00B03B51" w:rsidRDefault="00994F93" w:rsidP="00994F93">
      <w:pPr>
        <w:tabs>
          <w:tab w:val="left" w:pos="1126"/>
        </w:tabs>
        <w:ind w:left="284"/>
        <w:jc w:val="both"/>
        <w:rPr>
          <w:rFonts w:ascii="Times New Roman" w:hAnsi="Times New Roman" w:cs="Times New Roman"/>
          <w:b/>
          <w:noProof/>
          <w:sz w:val="24"/>
        </w:rPr>
      </w:pPr>
    </w:p>
    <w:p w14:paraId="164E3FF2"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d) Finansēšanas līmenis</w:t>
      </w:r>
    </w:p>
    <w:p w14:paraId="52F7D73E"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0909456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Lai arī EKS 2010 20.15. punktā nav skaidri noteikts, kādam būtu jābūt finansēšanas līmenim, NKS 2008 4.92. punktā ir norādīts, ka BPI, kuru galvenokārt finansē valdība, var būt valdības kontrolēta BPI. “Galvenokārt” ir jāsaprot kā vismaz vairāk par 50 %. Kontrole būtu jānovērtē, ja šāda finansēšana notiktu pastāvīgi (nevis uz laiku) un/vai ja rezultātā tiktu stingri uzraudzīts līdzekļu izlietojums un valdība spēcīgi ietekmētu subjekta vispārējo politiku.</w:t>
      </w:r>
    </w:p>
    <w:p w14:paraId="43B979FB" w14:textId="77777777" w:rsidR="00994F93" w:rsidRPr="00B03B51" w:rsidRDefault="00994F93" w:rsidP="00994F93">
      <w:pPr>
        <w:tabs>
          <w:tab w:val="left" w:pos="1126"/>
        </w:tabs>
        <w:ind w:left="284"/>
        <w:jc w:val="both"/>
        <w:rPr>
          <w:rFonts w:ascii="Times New Roman" w:hAnsi="Times New Roman" w:cs="Times New Roman"/>
          <w:b/>
          <w:noProof/>
          <w:sz w:val="24"/>
        </w:rPr>
      </w:pPr>
    </w:p>
    <w:p w14:paraId="3D89770A"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e) Riska līmenis</w:t>
      </w:r>
    </w:p>
    <w:p w14:paraId="5DA880D7"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4639984"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Šis rādītājs nav izstrādāts EKS 2010, bet NKS 2008 4.92. punktā valdība ļauj sevi “pakļaut visiem ar BPI darbībām saistītiem finanšu riskiem vai būtisku to daļu”. Šādā gadījumā šī kārtība varētu nozīmēt to, ka valdība īsteno kontroli. Finanšu riski attiecas uz valdības </w:t>
      </w:r>
      <w:r w:rsidRPr="00B03B51">
        <w:rPr>
          <w:rFonts w:ascii="Times New Roman" w:hAnsi="Times New Roman" w:cs="Times New Roman"/>
          <w:i/>
          <w:iCs/>
          <w:sz w:val="24"/>
        </w:rPr>
        <w:t>ex ante</w:t>
      </w:r>
      <w:r w:rsidRPr="00B03B51">
        <w:rPr>
          <w:rFonts w:ascii="Times New Roman" w:hAnsi="Times New Roman" w:cs="Times New Roman"/>
          <w:sz w:val="24"/>
        </w:rPr>
        <w:t xml:space="preserve"> apņemšanos uzņemties BPI saistības, ja pārtrūkst citi iespējamie ieņēmumu avoti, kas nav no valdības saņemtie, utt.</w:t>
      </w:r>
    </w:p>
    <w:p w14:paraId="1C05158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1794D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EKS 2010 noteikts, ka dažos gadījumos var pietikt ar vienu rādītāju, lai konstatētu kontroli, tomēr biežāk ir nepieciešams apsvērt vairākus rādītājus kopā, un ļoti bieži var būt vajadzība analizēt katru gadījumu atsevišķi. Jebkurā gadījumā izšķirošais punkts ir BPI spēja vai nespēja pašai noteikt savu vispārējo politiku.</w:t>
      </w:r>
    </w:p>
    <w:p w14:paraId="45B5C9CE" w14:textId="77777777" w:rsidR="00994F93" w:rsidRPr="00B03B51" w:rsidRDefault="00994F93" w:rsidP="00994F93">
      <w:pPr>
        <w:jc w:val="both"/>
        <w:rPr>
          <w:rFonts w:ascii="Times New Roman" w:eastAsia="Arial" w:hAnsi="Times New Roman" w:cs="Times New Roman"/>
          <w:noProof/>
          <w:sz w:val="24"/>
          <w:szCs w:val="20"/>
        </w:rPr>
      </w:pPr>
    </w:p>
    <w:p w14:paraId="6A0BCB89"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Izglītības vienību kontrole</w:t>
      </w:r>
    </w:p>
    <w:p w14:paraId="618C2F98" w14:textId="77777777" w:rsidR="00994F93" w:rsidRPr="00B03B51" w:rsidRDefault="00994F93" w:rsidP="00994F93">
      <w:pPr>
        <w:jc w:val="both"/>
        <w:rPr>
          <w:rFonts w:ascii="Times New Roman" w:eastAsia="Arial" w:hAnsi="Times New Roman" w:cs="Times New Roman"/>
          <w:b/>
          <w:bCs/>
          <w:noProof/>
          <w:sz w:val="24"/>
          <w:szCs w:val="21"/>
        </w:rPr>
      </w:pPr>
    </w:p>
    <w:p w14:paraId="5A0AB8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Daudzas izglītības vienības (skolas, koledžas, profesionālās apmācības iestādes, universitātes utt.) ir bezpeļņas institūcijas, ko pārsvarā finansē valdība. Tās ir praktisks piemērs tam, kā tiek piemēroti iepriekšējā punktā minētie EKS 2010 kontroles kritēriji. Vairumu no tām finansē valdība vairāk kā 50 % apmērā, jo citi avoti, piemēram, vecāku vai studentu maksātās maksas vai dāvinājumi, bieži vien ir nebūtisks finansējuma avots. Dažās valstīs valdība (dažādos līmeņos) var tieši pārņemt dažus izdevumus, piemēram, pasniedzēju algas vai ēku uzturēšanu.</w:t>
      </w:r>
    </w:p>
    <w:p w14:paraId="68540D7D" w14:textId="77777777" w:rsidR="00994F93" w:rsidRPr="00B03B51" w:rsidRDefault="00994F93" w:rsidP="00994F93">
      <w:pPr>
        <w:jc w:val="both"/>
        <w:rPr>
          <w:rFonts w:ascii="Times New Roman" w:hAnsi="Times New Roman" w:cs="Times New Roman"/>
          <w:noProof/>
          <w:sz w:val="24"/>
        </w:rPr>
      </w:pPr>
    </w:p>
    <w:p w14:paraId="7B9667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41. Principā tas vien, ka izglītības vienība tiek finansēta, vēl nebūtu uzskatāms par noteicošu </w:t>
      </w:r>
      <w:r w:rsidRPr="00B03B51">
        <w:rPr>
          <w:rFonts w:ascii="Times New Roman" w:hAnsi="Times New Roman" w:cs="Times New Roman"/>
          <w:sz w:val="24"/>
        </w:rPr>
        <w:lastRenderedPageBreak/>
        <w:t>kritēriju, lai to klasificētu kā valdības atbalstītu izglītības vienību. Visticamāk valdība īsteno kādu ietekmi attiecībā uz savu līdzekļu izlietojumu. Tomēr, ja valdības ietekme izpaužas tikai attiecībā uz izglītības vienībai noteikto standartu ievērošanu (saistībā ar mācību programmām, izglītības kvalitāti, materiāltehniskiem apstākļiem, pasniedzēju kompetenci utt.) neatkarīgi no tās statūtiem, tad tā nav kontrole. Nereti ir arī tā, ka izglītības sistēmā ietilpst dažādu veidu skolas (valdības vienības, privātas BPI utt.). Tāpēc līdzīgu standartu vai normu piemērošana lielam vienību skaitam, šķiet, ir nozīmīga pazīme šādu BPI gadījumā.</w:t>
      </w:r>
    </w:p>
    <w:p w14:paraId="5401F3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9F4FA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Tas ir jānošķir no valdības tiešas iesaistīšanās ar skolu saistītajos nozīmīgajos lēmumos. Piemērojot vispārīgo noteikumu, ja valdība ieceļ vadītājus (vai apstiprina viņu iecelšanu, vai patur tiesības viņus atcelt) vai dod norādījumus attiecībā uz skolas vadīšanu ikdienā, tādējādi ierobežojot lēmuma pieņemšanas iespējas izglītības vienības amatpersonām, vienība būtu jāklasificē vispārējās valdības sektorā. Šādos apstākļos uzskatāms, ka valdība kontrolē vienību, ja ir nepieciešams tās apstiprinājums, lai izveidotu jaunas klases vai lai specializētos kādās mācīšanas jomās, izdarītu nozīmīgus izdevumus bruto pamatkapitāla veidošanā (kurus galvenokārt varētu finansēt valdība), aizņemtos, pieņemtu darbā pasniedzējus, vai ja valdība var nepieļaut, ka izglītības iestāde izbeidz attiecības ar to.</w:t>
      </w:r>
    </w:p>
    <w:p w14:paraId="7645F63D" w14:textId="77777777" w:rsidR="00994F93" w:rsidRPr="00B03B51" w:rsidRDefault="00994F93" w:rsidP="00994F93">
      <w:pPr>
        <w:jc w:val="both"/>
        <w:rPr>
          <w:rFonts w:ascii="Times New Roman" w:eastAsia="Arial" w:hAnsi="Times New Roman" w:cs="Times New Roman"/>
          <w:noProof/>
          <w:sz w:val="24"/>
          <w:szCs w:val="20"/>
        </w:rPr>
      </w:pPr>
    </w:p>
    <w:p w14:paraId="750480B6" w14:textId="77777777" w:rsidR="00994F93" w:rsidRPr="00B03B51" w:rsidRDefault="00994F93" w:rsidP="00994F93">
      <w:pPr>
        <w:pStyle w:val="Heading3"/>
        <w:tabs>
          <w:tab w:val="left" w:pos="1279"/>
        </w:tabs>
        <w:ind w:left="0" w:firstLine="0"/>
        <w:jc w:val="both"/>
        <w:rPr>
          <w:rFonts w:ascii="Times New Roman" w:hAnsi="Times New Roman" w:cs="Times New Roman"/>
          <w:noProof/>
          <w:sz w:val="24"/>
        </w:rPr>
      </w:pPr>
      <w:bookmarkStart w:id="21" w:name="_Toc67565022"/>
      <w:r w:rsidRPr="00B03B51">
        <w:rPr>
          <w:rFonts w:ascii="Times New Roman" w:hAnsi="Times New Roman" w:cs="Times New Roman"/>
          <w:sz w:val="24"/>
        </w:rPr>
        <w:t>1.2.4. Tirgus vai ārpustirgus institucionālas vienības jēdziens</w:t>
      </w:r>
      <w:bookmarkEnd w:id="21"/>
    </w:p>
    <w:p w14:paraId="48CABE6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F6573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Ja valsts institucionālās vienības galvenā funkcija ir nacionālā ienākuma un bagātības pārdale, tad šo vienību klasificē vispārējās valdības sektorā.</w:t>
      </w:r>
    </w:p>
    <w:p w14:paraId="197DD4B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B565F9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Ja publiskas (valdības kontrolē esošas) institucionālas vienības galvenā funkcija ir finanšu starpniecība, kas noteikta EKS 2010 2.57. punktā, tā jāklasificē finanšu sabiedrību sektorā ārpus vispārējās valdības sektora, t. i., šajā gadījumā tirgus/ārpustirgus tests (skat. turpmāk) nav jāpiemēro (EKS 2010 20.34. punkts). Tomēr ir jāpārbauda, vai subjekts faktiski nodarbojas ar finanšu starpniecību (pārvalda/iegādājas finanšu aktīvus un uzņemas saistības savā vārdā) un/vai finanšu palīgdarbībām (skat. EKS 2010 2.95. un 2.96. punktu). Ja vienība neveic minētās darbības, tā jāklasificē vispārējās valdības sektorā.</w:t>
      </w:r>
    </w:p>
    <w:p w14:paraId="0B9E58B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4BEEA3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Pārējos gadījumos ir jāpārbauda, vai vienība atbilst tirgus vai ārpustirgus klasifikācijai; proti, ja vienība finansē savas darbības no ieņēmumiem, kas gūti, pārdodot preces un pakalpojumus par ekonomiski nozīmīgām cenām, tad tā ir tirgus ražotājs. Tirgus ražotājus klasificē sabiedrību sektoros.</w:t>
      </w:r>
    </w:p>
    <w:p w14:paraId="3B2BB8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75CE67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Vispārējās valdības sektorā ietilpst vienīgi publiskās ārpustirgus institucionālas vienības. Ja šīs ārpustirgus institucionālās vienības veic kādu papildu tirgus darbību, tās ir sekundārās vietējās darbības veida vienības (DVV), kas nav atzītas par kvazisabiedrībām un ir jāiekļauj vispārējās valdības sektorā (skat. EKS 2010 2.144. punktu un turpmākos punktus).</w:t>
      </w:r>
    </w:p>
    <w:p w14:paraId="62013459" w14:textId="77777777" w:rsidR="00994F93" w:rsidRPr="00B03B51" w:rsidRDefault="00994F93" w:rsidP="00994F93">
      <w:pPr>
        <w:jc w:val="both"/>
        <w:rPr>
          <w:rFonts w:ascii="Times New Roman" w:eastAsia="Arial" w:hAnsi="Times New Roman" w:cs="Times New Roman"/>
          <w:noProof/>
          <w:sz w:val="24"/>
          <w:szCs w:val="16"/>
        </w:rPr>
      </w:pPr>
    </w:p>
    <w:p w14:paraId="6342161E"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1.2.4.1. JĒDZIENS “EKONOMISKI NOZĪMĪGAS CENAS”</w:t>
      </w:r>
    </w:p>
    <w:p w14:paraId="79576A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95A0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47. EKS 2010 noteikts, ka tirgus ražotāji no ārpustirgus ražotājiem atšķiras ar to, vai preces un pakalpojumi tiek pārdoti par ekonomiski nozīmīgām cenām (skat. EKS 2010 20.19. punktu un turpmākos punktus). Cenu dēvē par ekonomiski nozīmīgu cenu, ja </w:t>
      </w:r>
      <w:r w:rsidRPr="00B03B51">
        <w:rPr>
          <w:rFonts w:ascii="Times New Roman" w:hAnsi="Times New Roman" w:cs="Times New Roman"/>
          <w:i/>
          <w:iCs/>
          <w:sz w:val="24"/>
        </w:rPr>
        <w:t>tā būtiski ietekmē produktu daudzumu, kādu ražotāji vēlas piegādāt, un produktu daudzumu, kādu pircēji vēlas pirkt</w:t>
      </w:r>
      <w:r w:rsidRPr="00B03B51">
        <w:rPr>
          <w:rFonts w:ascii="Times New Roman" w:hAnsi="Times New Roman" w:cs="Times New Roman"/>
          <w:sz w:val="24"/>
        </w:rPr>
        <w:t>.</w:t>
      </w:r>
      <w:r w:rsidRPr="00B03B51">
        <w:rPr>
          <w:rFonts w:ascii="Times New Roman" w:hAnsi="Times New Roman" w:cs="Times New Roman"/>
          <w:i/>
          <w:sz w:val="24"/>
        </w:rPr>
        <w:t xml:space="preserve"> </w:t>
      </w:r>
      <w:r w:rsidRPr="00B03B51">
        <w:rPr>
          <w:rFonts w:ascii="Times New Roman" w:hAnsi="Times New Roman" w:cs="Times New Roman"/>
          <w:sz w:val="24"/>
        </w:rPr>
        <w:t xml:space="preserve">Lai novērtētu tirgus darbību, būtiski pievērst uzmanību ražotāju un patērētāju spējai reaģēt uz ekonomiskiem “signāliem”. Attiecīgi cenu dēvē par ekonomiski nenozīmīgu cenu, ja tai ir neliela ietekme uz daudzumu, kādu ražotājs ir gatavs piegādāt, vai šādas ietekmes nav vispār, un tikai neliela ietekme uz pieprasīto daudzumu. Līdz ar to tā ir cena, kas nenosaka novērotos </w:t>
      </w:r>
      <w:r w:rsidRPr="00B03B51">
        <w:rPr>
          <w:rFonts w:ascii="Times New Roman" w:hAnsi="Times New Roman" w:cs="Times New Roman"/>
          <w:sz w:val="24"/>
        </w:rPr>
        <w:lastRenderedPageBreak/>
        <w:t>piedāvājuma un pieprasījuma līmeņus.</w:t>
      </w:r>
    </w:p>
    <w:p w14:paraId="6C3E25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73D3A1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Tirgus ražotāji savu produkciju pārdod par ekonomiski nozīmīgām cenām. Ārpustirgus ražotāji parasti savu produkciju piedāvā bez maksas vai par cenām, kas nav ekonomiski nozīmīgas cenas. Publisks tirgus ražotājs rīkosies kā uzņēmējdarbības vienība atbilstoši tirgus konjunktūrai, un tas var pārtraukt darbību, ja nespēj nodrošināt savu pastāvēšanu par attiecīgajām cenām bez valdības pastāvīga atbalsta, vai šādā gadījumā tas tiktu pārstrukturēts.</w:t>
      </w:r>
      <w:r w:rsidRPr="00B03B51">
        <w:rPr>
          <w:rStyle w:val="FootnoteReference"/>
          <w:rFonts w:ascii="Times New Roman" w:hAnsi="Times New Roman" w:cs="Times New Roman"/>
          <w:noProof/>
          <w:sz w:val="24"/>
        </w:rPr>
        <w:footnoteReference w:id="22"/>
      </w:r>
    </w:p>
    <w:p w14:paraId="72EA2758" w14:textId="77777777" w:rsidR="00994F93" w:rsidRPr="00B03B51" w:rsidRDefault="00994F93" w:rsidP="00994F93">
      <w:pPr>
        <w:jc w:val="both"/>
        <w:rPr>
          <w:rFonts w:ascii="Times New Roman" w:hAnsi="Times New Roman" w:cs="Times New Roman"/>
          <w:noProof/>
          <w:sz w:val="24"/>
        </w:rPr>
      </w:pPr>
    </w:p>
    <w:p w14:paraId="1BF45481"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Lēmuma pieņemšanas shēma</w:t>
      </w:r>
    </w:p>
    <w:p w14:paraId="075AA452" w14:textId="77777777" w:rsidR="00994F93" w:rsidRPr="00B03B51" w:rsidRDefault="00994F93" w:rsidP="00994F93">
      <w:pPr>
        <w:jc w:val="both"/>
        <w:rPr>
          <w:rFonts w:ascii="Times New Roman" w:eastAsia="Arial" w:hAnsi="Times New Roman" w:cs="Times New Roman"/>
          <w:b/>
          <w:bCs/>
          <w:noProof/>
          <w:sz w:val="24"/>
          <w:szCs w:val="20"/>
        </w:rPr>
      </w:pPr>
    </w:p>
    <w:p w14:paraId="3B5E8DE5" w14:textId="7F0257CF" w:rsidR="00994F93" w:rsidRPr="00B03B51" w:rsidRDefault="000127B4" w:rsidP="00E83BFF">
      <w:pPr>
        <w:jc w:val="center"/>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3E7EAEF0" wp14:editId="796A33D1">
            <wp:extent cx="5760085" cy="57740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5774055"/>
                    </a:xfrm>
                    <a:prstGeom prst="rect">
                      <a:avLst/>
                    </a:prstGeom>
                    <a:noFill/>
                    <a:ln>
                      <a:noFill/>
                    </a:ln>
                  </pic:spPr>
                </pic:pic>
              </a:graphicData>
            </a:graphic>
          </wp:inline>
        </w:drawing>
      </w:r>
    </w:p>
    <w:p w14:paraId="55BF6767" w14:textId="77777777" w:rsidR="00994F93" w:rsidRPr="00B03B51" w:rsidRDefault="00994F93" w:rsidP="00994F93">
      <w:pPr>
        <w:jc w:val="both"/>
        <w:rPr>
          <w:rFonts w:ascii="Times New Roman" w:eastAsia="Arial" w:hAnsi="Times New Roman" w:cs="Times New Roman"/>
          <w:b/>
          <w:bCs/>
          <w:noProof/>
          <w:sz w:val="24"/>
          <w:szCs w:val="25"/>
        </w:rPr>
      </w:pPr>
    </w:p>
    <w:p w14:paraId="2AEEBFF3" w14:textId="77777777" w:rsidR="00994F93" w:rsidRPr="008A2DC9" w:rsidRDefault="00994F93" w:rsidP="008A2DC9">
      <w:pPr>
        <w:pStyle w:val="Heading6"/>
        <w:tabs>
          <w:tab w:val="left" w:pos="1279"/>
        </w:tabs>
        <w:ind w:left="0" w:firstLine="0"/>
        <w:jc w:val="both"/>
        <w:rPr>
          <w:rFonts w:ascii="Times New Roman" w:hAnsi="Times New Roman" w:cs="Times New Roman"/>
          <w:sz w:val="24"/>
        </w:rPr>
      </w:pPr>
      <w:r w:rsidRPr="00B03B51">
        <w:rPr>
          <w:rFonts w:ascii="Times New Roman" w:hAnsi="Times New Roman" w:cs="Times New Roman"/>
          <w:sz w:val="24"/>
        </w:rPr>
        <w:t>1.2.4.2. AR RAŽOTĀJIEM SAISTĪTI ĪPAŠI GADĪJUMI</w:t>
      </w:r>
    </w:p>
    <w:p w14:paraId="244685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7B55A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Neatkarīgi no 1.2.4.3. apakšiedaļā aprakstītā kvantitatīvā tirgus/ārpustirgus testa rezultātiem var būt gadījumi, kad ir nepieciešama īpaša analīze, ja ražotājs “pēc būtības” netiek uzskatīts par tirgus ražotāju. Tas varētu attiekties uz publisko ražotāju. Privātiem ražotājiem (proti, ražotājiem, kurus, kā minēts iepriekš, nekontrolē publiskais sektors) cena pēc definīcijas tiek uzskatīta par ekonomiski nozīmīgu peļņas ierobežojumu dēļ.</w:t>
      </w:r>
      <w:r w:rsidRPr="00B03B51">
        <w:rPr>
          <w:rStyle w:val="FootnoteReference"/>
          <w:rFonts w:ascii="Times New Roman" w:hAnsi="Times New Roman" w:cs="Times New Roman"/>
          <w:noProof/>
          <w:sz w:val="24"/>
        </w:rPr>
        <w:footnoteReference w:id="23"/>
      </w:r>
      <w:r w:rsidRPr="00B03B51">
        <w:rPr>
          <w:rFonts w:ascii="Times New Roman" w:hAnsi="Times New Roman" w:cs="Times New Roman"/>
          <w:sz w:val="24"/>
        </w:rPr>
        <w:t xml:space="preserve"> Savukārt publiskos uzņēmumus (galvenokārt sabiedrības) mēdz dibināt valsts politikas mērķiem, sniedzot tiem lielāku vai mazāku valsts atbalstu, kas var ietekmēt to produkcijas cenu. To tirgus/ārpustirgus būtība ir jāizvērtē, veicot gan turpmāko kvantitatīvo testu, kas parāda, kādos apstākļos tie var veikt tirgus darbību, gan izmantojot kvantitatīvos kritērijus, lai noteiktu, vai šie uzņēmumi veic tirgus darbību. Kvantitatīvā testa rezultāts nav uzskatāms par vienīgo būtisko kritēriju, ar kuru nosaka subjekta klasifikāciju. Ir jāizvērtē arī uzņēmumu darbības savdabība un pastāvošās īpašās saites ar valdību. Pieņem, ka attiecīgajai informācijai būtu jābūt pieejamai statistiķiem.</w:t>
      </w:r>
      <w:r w:rsidRPr="00B03B51">
        <w:rPr>
          <w:rStyle w:val="FootnoteReference"/>
          <w:rFonts w:ascii="Times New Roman" w:hAnsi="Times New Roman" w:cs="Times New Roman"/>
          <w:noProof/>
          <w:sz w:val="24"/>
        </w:rPr>
        <w:footnoteReference w:id="24"/>
      </w:r>
    </w:p>
    <w:p w14:paraId="56913085" w14:textId="77777777" w:rsidR="00994F93" w:rsidRPr="00B03B51" w:rsidRDefault="00994F93" w:rsidP="00994F93">
      <w:pPr>
        <w:jc w:val="both"/>
        <w:rPr>
          <w:rFonts w:ascii="Times New Roman" w:hAnsi="Times New Roman" w:cs="Times New Roman"/>
          <w:noProof/>
          <w:sz w:val="24"/>
        </w:rPr>
      </w:pPr>
    </w:p>
    <w:p w14:paraId="1AFF4426"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a) Publiskais ražotājs nav institucionāla vienība</w:t>
      </w:r>
    </w:p>
    <w:p w14:paraId="4DE61383"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0E875ACA"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Tirgus/ārpustirgus dalījumam ir nozīme vienīgi tad, ja ražotājs ir institucionāla vienība un nav pilnvarots valdības palīgpakalpojumu sniedzējs, kā noteikts EKS 2010 3.12. punktā. Šādā gadījumā subjekts apkalpo gandrīz vienīgi valdību un ir jāiekļauj tajā valdības vienībā, no kuras tas ir atkarīgs. Ir arī gadījumi, kad valdības kontrolēta vienība ir jāklasificē valdības sektorā, tādējādi kvantitatīvais tests nav piemērots (skat. 1.6. nodaļu “Īpaši publiski subjekti”).</w:t>
      </w:r>
    </w:p>
    <w:p w14:paraId="79B2B4D2" w14:textId="77777777" w:rsidR="00994F93" w:rsidRPr="00B03B51" w:rsidRDefault="00994F93" w:rsidP="00994F93">
      <w:pPr>
        <w:ind w:left="284"/>
        <w:jc w:val="both"/>
        <w:rPr>
          <w:rFonts w:ascii="Times New Roman" w:eastAsia="Arial" w:hAnsi="Times New Roman" w:cs="Times New Roman"/>
          <w:noProof/>
          <w:sz w:val="24"/>
          <w:szCs w:val="18"/>
        </w:rPr>
      </w:pPr>
    </w:p>
    <w:p w14:paraId="57CFDA64"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b) Publiskais ražotājs pārdod savu produkciju gan valdībai, gan citiem patērētājiem (sabiedrībām, mājsaimniecībām, nerezidentiem)</w:t>
      </w:r>
    </w:p>
    <w:p w14:paraId="5BFA232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2622FCBD"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Ja publiskais ražotājs ir piegādātājs, kam (vienīgajam) ir monopols piegādāt savas preces un pakalpojumus ekonomikā, pieņem, ka tas ir tirgus ražotājs, ja vairāk nekā 50 % tā produkcijas tiek pārdoti privātām vienībām. Gadījumā, ja vairāk nekā 50 % tā produkcijas tiek pārdoti valdības vienībām, taču valdība iegādājas šīs preces un pakalpojumus ar tādiem pašiem nosacījumiem, kādi ir citām privātām vienībām, t. i., pilnā saskaņā ar komercnoteikumiem (par ļoti līdzīgām cenām par tām pašām precēm vai pakalpojumiem), veicot ekonomisko analīzi, uzskatāms, ka valdība darbojas kā “noteiktās cenas ņēmējs”, un pārdevējs tiek uzskatīts par tirgus ražotāju. Šādos gadījumos, visticamāk, ražotājs reaģētu uz tirgus signāliem.</w:t>
      </w:r>
    </w:p>
    <w:p w14:paraId="27469E47"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5B32C56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Ja ir vairāki piegādātāji (t. i., arī privātie ražotāji tautsaimniecībā vai no ārvalstīm) un valdība pērk no ražotāja nozīmīgu daļu tā produkcijas (t. i., vairāk nekā 50 %), taču ir vairāki konkurējoši ražotāji, uzskatāms, ka publiskais ražotājs ir tirgus ražotājs, ja līgumslēgšanas process ar valdību notiek faktiskā atklātā un godīgā konkurencē (piemēram, atklātā konkursa procedūrā). Visticamāk, ražotājs reaģētu uz tirgus signāliem, savukārt pircējiem būtu brīva izvēle, pamatojoties uz cenu un/vai citiem aspektiem.</w:t>
      </w:r>
    </w:p>
    <w:p w14:paraId="45CD23A4" w14:textId="77777777" w:rsidR="00994F93" w:rsidRPr="00B03B51" w:rsidRDefault="00994F93" w:rsidP="00994F93">
      <w:pPr>
        <w:ind w:left="284"/>
        <w:jc w:val="both"/>
        <w:rPr>
          <w:rFonts w:ascii="Times New Roman" w:eastAsia="Arial" w:hAnsi="Times New Roman" w:cs="Times New Roman"/>
          <w:noProof/>
          <w:sz w:val="24"/>
          <w:szCs w:val="18"/>
        </w:rPr>
      </w:pPr>
    </w:p>
    <w:p w14:paraId="69DD2F21" w14:textId="77777777" w:rsidR="00994F93" w:rsidRPr="00B03B51" w:rsidRDefault="00994F93" w:rsidP="00994F93">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lastRenderedPageBreak/>
        <w:t>c) Publiskais ražotājs pārdod savu produkciju vienīgi valdībai</w:t>
      </w:r>
    </w:p>
    <w:p w14:paraId="6565FC0C"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14834A41"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Šādā gadījumā valdība ir dominējošā pozīcijā (monopsons). Nacionālo kontu speciālistiem ir sīki jāizskata šādas situācijas, jo valdībai kopumā ir ievērojama ietekme uz cenu līmeni (tā ir faktiskā “cenas noteicēja”).</w:t>
      </w:r>
    </w:p>
    <w:p w14:paraId="0BC456B0"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063E64D3"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Ja publiskais ražotājs, iespējams, tehnisku vai ekonomisku iemeslu dēļ (piemēram, ekonomikas apmēra dēļ) ir vienīgais šāda veida preces vai pakalpojuma sniedzējs valdībai, parasti tas tiks uzskatīts par ārpustirgus ražotāju. Izņēmums ir gadījums, kad ir skaidra un atvērta konkurence ar privātiem ražotājiem. To jo īpaši apliecinātu atvērta un godīga konkursa procedūra, kurā notiek sākotnējā atlase, pamatojoties uz komercnoteikumiem. Turklāt, ja šāda konkurence patiešām pastāv</w:t>
      </w:r>
      <w:r w:rsidRPr="00B03B51">
        <w:rPr>
          <w:rStyle w:val="FootnoteReference"/>
          <w:rFonts w:ascii="Times New Roman" w:hAnsi="Times New Roman" w:cs="Times New Roman"/>
          <w:noProof/>
          <w:sz w:val="24"/>
        </w:rPr>
        <w:footnoteReference w:id="25"/>
      </w:r>
      <w:r w:rsidRPr="00B03B51">
        <w:rPr>
          <w:rFonts w:ascii="Times New Roman" w:hAnsi="Times New Roman" w:cs="Times New Roman"/>
          <w:sz w:val="24"/>
        </w:rPr>
        <w:t>, publiskā ražotāja konkrētais stāvoklis nav nemainīgs, ja līgumu pēc noteikta perioda atjaunina konkurenci nodrošinošā procesā.</w:t>
      </w:r>
      <w:r w:rsidRPr="00B03B51">
        <w:rPr>
          <w:rStyle w:val="FootnoteReference"/>
          <w:rFonts w:ascii="Times New Roman" w:hAnsi="Times New Roman" w:cs="Times New Roman"/>
          <w:noProof/>
          <w:sz w:val="24"/>
        </w:rPr>
        <w:footnoteReference w:id="26"/>
      </w:r>
    </w:p>
    <w:p w14:paraId="22AE9FB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030DCC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Jebkurā gadījumā, ja šis publiskais ražotājs nav vienīgais valdības piegādātājs un reāli un atklāti konkurē ar citiem ražotājiem, tā tirgus/ārpustirgus būtība ir jāpārbauda kvantitatīvā testā.</w:t>
      </w:r>
    </w:p>
    <w:p w14:paraId="0D92C731" w14:textId="77777777" w:rsidR="00994F93" w:rsidRPr="00B03B51" w:rsidRDefault="00994F93" w:rsidP="00994F93">
      <w:pPr>
        <w:jc w:val="both"/>
        <w:rPr>
          <w:rFonts w:ascii="Times New Roman" w:eastAsia="Arial" w:hAnsi="Times New Roman" w:cs="Times New Roman"/>
          <w:noProof/>
          <w:sz w:val="24"/>
          <w:szCs w:val="16"/>
        </w:rPr>
      </w:pPr>
    </w:p>
    <w:p w14:paraId="52F050CE"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1.2.4.3. KVANTITATĪVS TIRGUS/ĀRPUSTIRGUS TESTS</w:t>
      </w:r>
    </w:p>
    <w:p w14:paraId="6858DC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41F839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51. Lai ražotāju uzskatītu par tirgus ražotāju, tam sava produkcija ir jāpārdod par ekonomiski nozīmīgu cenu, ko praksē novērtē pārbaudot, vai ražotāja pārdošanas ienākumi sedz lielāko daļu no tā ražošanas izmaksām. Lai nošķirtu tirgus ražotājus un citus ārpustirgus ražotājus, izmanto kvantitatīvo tirgus/ārpustirgus testu (50 % kritērijs), kurā salīdzina “pārdošanas ienākumus” un “ražošanas izmaksas”.</w:t>
      </w:r>
    </w:p>
    <w:p w14:paraId="38088430" w14:textId="77777777" w:rsidR="00994F93" w:rsidRPr="00B03B51" w:rsidRDefault="00994F93" w:rsidP="00994F93">
      <w:pPr>
        <w:pStyle w:val="BodyText"/>
        <w:tabs>
          <w:tab w:val="left" w:pos="771"/>
        </w:tabs>
        <w:spacing w:before="0"/>
        <w:ind w:left="0" w:firstLine="0"/>
        <w:jc w:val="both"/>
        <w:rPr>
          <w:rFonts w:ascii="Times New Roman" w:hAnsi="Times New Roman" w:cs="Times New Roman"/>
          <w:noProof/>
          <w:sz w:val="24"/>
        </w:rPr>
      </w:pPr>
    </w:p>
    <w:p w14:paraId="39C3E5BA" w14:textId="77777777" w:rsidR="00994F93" w:rsidRPr="00B03B51" w:rsidRDefault="00994F93" w:rsidP="00994F93">
      <w:pPr>
        <w:pStyle w:val="BodyText"/>
        <w:tabs>
          <w:tab w:val="left" w:pos="77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52. Saskaņā ar EKS 2010 20.30. punktu un EKS 2010 3.33. punktu preču un pakalpojumu “</w:t>
      </w:r>
      <w:r w:rsidRPr="00B03B51">
        <w:rPr>
          <w:rFonts w:ascii="Times New Roman" w:hAnsi="Times New Roman" w:cs="Times New Roman"/>
          <w:b/>
          <w:bCs/>
          <w:sz w:val="24"/>
        </w:rPr>
        <w:t>pārdošanas ienākumi</w:t>
      </w:r>
      <w:r w:rsidRPr="00B03B51">
        <w:rPr>
          <w:rFonts w:ascii="Times New Roman" w:hAnsi="Times New Roman" w:cs="Times New Roman"/>
          <w:sz w:val="24"/>
        </w:rPr>
        <w:t>” ir pārdošanas ieņēmumi, kam pieskaitīti visi maksājumi, kurus veic vispārējā valdība vai ES iestādes</w:t>
      </w:r>
      <w:r w:rsidRPr="00B03B51">
        <w:rPr>
          <w:rStyle w:val="FootnoteReference"/>
          <w:rFonts w:ascii="Times New Roman" w:hAnsi="Times New Roman" w:cs="Times New Roman"/>
          <w:noProof/>
          <w:sz w:val="24"/>
        </w:rPr>
        <w:footnoteReference w:id="27"/>
      </w:r>
      <w:r w:rsidRPr="00B03B51">
        <w:rPr>
          <w:rFonts w:ascii="Times New Roman" w:hAnsi="Times New Roman" w:cs="Times New Roman"/>
          <w:sz w:val="24"/>
        </w:rPr>
        <w:t xml:space="preserve"> un kurus nodrošina jebkuram šāda veida darbībā iesaistītam ražotājam. Citus avotus, piemēram, turēšanas ienākumus, dividendes, ieguldījumu dotācijas vai citus kapitāla pārvedumus nedrīkst iekļaut jēdzienā “pārdošanas ienākumi”. Šajā saistībā par pārdošanas ienākumu sastāvdaļu neuzskata produktu nodokļus (D.21) un arī pašražošanu.</w:t>
      </w:r>
    </w:p>
    <w:p w14:paraId="2B50E491" w14:textId="77777777" w:rsidR="00994F93" w:rsidRPr="00B03B51" w:rsidRDefault="00994F93" w:rsidP="00994F93">
      <w:pPr>
        <w:pStyle w:val="BodyText"/>
        <w:tabs>
          <w:tab w:val="left" w:pos="771"/>
        </w:tabs>
        <w:spacing w:before="0"/>
        <w:ind w:left="0" w:firstLine="0"/>
        <w:jc w:val="both"/>
        <w:rPr>
          <w:rFonts w:ascii="Times New Roman" w:hAnsi="Times New Roman" w:cs="Times New Roman"/>
          <w:noProof/>
          <w:sz w:val="24"/>
        </w:rPr>
      </w:pPr>
    </w:p>
    <w:p w14:paraId="595D59E7" w14:textId="0F58544B"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Lai šos maksājumus (uz kuriem jābūt tiesībām ikvienam ražotājam, kurš veic attiecīgo darbību) varētu iekļaut “pārdošanas ienākumos”, tiem jābūt tieši saistītiem ar produkcijas apmēru vai vērtību, un tos nedrīkst iekļaut, pamatojoties vienīgi uz to, ka ražotājs ir iesaistīts šādā ražošanā. Piemēram, attiecībā uz sabiedriskā transporta jomu valdība kā subsīdijas izmaksāšanas kritēriju var noteikt pārdoto biļešu skaitu, subsīdijas izmaksājot tādā apmērā, kas būtu tieši atkarīgs no izmantojuma, un subsīdijām sedzot starpību starp cenu, kas tiek piemērota attiecībā uz lietotājiem (kuru parasti ierobežo valdība), un attiecīgās produkcijas izmaksām. Turpretī maksājumi, kas tiek veikti ražotājam neatkarīgi no gala lietotājiem pārdoto biļešu skaita kā vispārējs </w:t>
      </w:r>
      <w:r w:rsidR="005C4861" w:rsidRPr="00B03B51">
        <w:rPr>
          <w:rFonts w:ascii="Times New Roman" w:hAnsi="Times New Roman" w:cs="Times New Roman"/>
          <w:sz w:val="24"/>
        </w:rPr>
        <w:t>vienreizējs</w:t>
      </w:r>
      <w:r w:rsidRPr="00B03B51">
        <w:rPr>
          <w:rFonts w:ascii="Times New Roman" w:hAnsi="Times New Roman" w:cs="Times New Roman"/>
          <w:sz w:val="24"/>
        </w:rPr>
        <w:t xml:space="preserve"> maksājums, lai ar to segtu darbības deficītu, kurš rodas tādēļ, ka noteiktā cena nepietiekami sedz izmaksas, netiktu iekļauti pārdošanas ienākumos attiecībā uz 50 % kritēriju. Praksē maksājumus, kas iekļauti “pārdošanas ienākumu” jēdzienā, dēvē par produktu subsīdijām (D.31), kas saskaņā ar EKS 2010 4.33. punktu ir subsīdijas, kuras </w:t>
      </w:r>
      <w:r w:rsidRPr="00B03B51">
        <w:rPr>
          <w:rFonts w:ascii="Times New Roman" w:hAnsi="Times New Roman" w:cs="Times New Roman"/>
          <w:i/>
          <w:iCs/>
          <w:sz w:val="24"/>
        </w:rPr>
        <w:t>maksā par vienu saražoto vai importēto preces vai pakalpojuma vienību</w:t>
      </w:r>
      <w:r w:rsidRPr="00B03B51">
        <w:rPr>
          <w:rFonts w:ascii="Times New Roman" w:hAnsi="Times New Roman" w:cs="Times New Roman"/>
          <w:sz w:val="24"/>
        </w:rPr>
        <w:t>.</w:t>
      </w:r>
      <w:r w:rsidRPr="00B03B51">
        <w:rPr>
          <w:rFonts w:ascii="Times New Roman" w:hAnsi="Times New Roman" w:cs="Times New Roman"/>
          <w:i/>
          <w:sz w:val="24"/>
        </w:rPr>
        <w:t xml:space="preserve"> </w:t>
      </w:r>
      <w:r w:rsidRPr="00B03B51">
        <w:rPr>
          <w:rFonts w:ascii="Times New Roman" w:hAnsi="Times New Roman" w:cs="Times New Roman"/>
          <w:sz w:val="24"/>
        </w:rPr>
        <w:t xml:space="preserve">Tomēr EKS 2010 3.33. punkta a) apakšpunktā skaidri noteikts, ka par pārdošanas ienākumiem neuzskata </w:t>
      </w:r>
      <w:r w:rsidRPr="00B03B51">
        <w:rPr>
          <w:rFonts w:ascii="Times New Roman" w:hAnsi="Times New Roman" w:cs="Times New Roman"/>
          <w:i/>
          <w:iCs/>
          <w:sz w:val="24"/>
        </w:rPr>
        <w:t xml:space="preserve">vispārējās valdības </w:t>
      </w:r>
      <w:r w:rsidRPr="00B03B51">
        <w:rPr>
          <w:rFonts w:ascii="Times New Roman" w:hAnsi="Times New Roman" w:cs="Times New Roman"/>
          <w:i/>
          <w:iCs/>
          <w:sz w:val="24"/>
        </w:rPr>
        <w:lastRenderedPageBreak/>
        <w:t>maksājumus publisko sabiedrību un kvazisabiedrību kopējā deficīta segšanai</w:t>
      </w:r>
      <w:r w:rsidRPr="00B03B51">
        <w:rPr>
          <w:rFonts w:ascii="Times New Roman" w:hAnsi="Times New Roman" w:cs="Times New Roman"/>
          <w:sz w:val="24"/>
        </w:rPr>
        <w:t xml:space="preserve">, kas ir </w:t>
      </w:r>
      <w:r w:rsidRPr="00B03B51">
        <w:rPr>
          <w:rFonts w:ascii="Times New Roman" w:hAnsi="Times New Roman" w:cs="Times New Roman"/>
          <w:i/>
          <w:iCs/>
          <w:sz w:val="24"/>
        </w:rPr>
        <w:t>daļa no citām produktu subsīdijām kā definēts EKS 2010 4.35. punkta c) apakšpunktā</w:t>
      </w:r>
      <w:r w:rsidRPr="00B03B51">
        <w:rPr>
          <w:rFonts w:ascii="Times New Roman" w:hAnsi="Times New Roman" w:cs="Times New Roman"/>
          <w:sz w:val="24"/>
        </w:rPr>
        <w:t>.</w:t>
      </w:r>
    </w:p>
    <w:p w14:paraId="6D4EDAD7"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52E67D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Citas ražošanas subsīdijas (D.39) (EKS 2010 4.36. punkts) un citi valdības pārvedumi netiek ņemti vērā. Tāpēc ikviena subsīdija, kuras kopējā izmaksājamā summa ir noteikta iepriekš (iespējams, jau daļēji vai pilnīgi izmaksāta pirms darbības pilnīgas pabeigšanas) saistībā ar kopējā budžeta apspriedi, kurā uzmanība pievērsta tādiem faktoriem kā, piemēram, ēku uzturēšana, ieguldījumi tehniskajā aprīkojumā, darba ņēmēju atalgojums utt., piemērojot 50 % kritēriju, nav uzskatāmi par “pārdošanas ienākumiem”.</w:t>
      </w:r>
    </w:p>
    <w:p w14:paraId="60524EC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0A57140" w14:textId="77777777" w:rsidR="00994F93" w:rsidRPr="00B03B51" w:rsidRDefault="00994F93" w:rsidP="00994F93">
      <w:pPr>
        <w:pStyle w:val="BodyText"/>
        <w:tabs>
          <w:tab w:val="left" w:pos="77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w:t>
      </w:r>
      <w:r w:rsidRPr="00B03B51">
        <w:rPr>
          <w:rFonts w:ascii="Times New Roman" w:hAnsi="Times New Roman" w:cs="Times New Roman"/>
          <w:b/>
          <w:bCs/>
          <w:sz w:val="24"/>
        </w:rPr>
        <w:t>Ražošanas izmaksas</w:t>
      </w:r>
      <w:r w:rsidRPr="00B03B51">
        <w:rPr>
          <w:rFonts w:ascii="Times New Roman" w:hAnsi="Times New Roman" w:cs="Times New Roman"/>
          <w:sz w:val="24"/>
        </w:rPr>
        <w:t>” saistībā ar tirgus/ārpustirgus testu tiek definētas kā starppatēriņa summa (P.2), darba ņēmēju atalgojums (D.1), pamatkapitāla patēriņš (P.51c), citi maksājamie ražošanas nodokļi (D.29) un neto procentu maksa (savukārt citas saņemamās ražošanas subsīdijas (D.39) netiek atskaitītas). Lai nodrošinātu konsekvenci starp pārdošanas ienākumu un ražošanas izmaksu jēdzieniem, kad tiek piemērots 50 % kritērijs, ražošanas izmaksās neietver piedēvētās izmaksas, kas radušās kapitāla pašveidošanas rezultātā.</w:t>
      </w:r>
    </w:p>
    <w:p w14:paraId="75F6843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D3BBF6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Neto procentu maksu EKS 2010 20.31. punktā definē kā </w:t>
      </w:r>
      <w:r w:rsidRPr="00B03B51">
        <w:rPr>
          <w:rFonts w:ascii="Times New Roman" w:hAnsi="Times New Roman" w:cs="Times New Roman"/>
          <w:i/>
          <w:iCs/>
          <w:sz w:val="24"/>
        </w:rPr>
        <w:t>maksājamos procentus (D.41), no kuriem atskaita saņemamos procentus (D.41)</w:t>
      </w:r>
      <w:r w:rsidRPr="00B03B51">
        <w:rPr>
          <w:rFonts w:ascii="Times New Roman" w:hAnsi="Times New Roman" w:cs="Times New Roman"/>
          <w:sz w:val="24"/>
        </w:rPr>
        <w:t>.</w:t>
      </w:r>
      <w:r w:rsidRPr="00B03B51">
        <w:rPr>
          <w:rFonts w:ascii="Times New Roman" w:hAnsi="Times New Roman" w:cs="Times New Roman"/>
          <w:i/>
          <w:sz w:val="24"/>
        </w:rPr>
        <w:t xml:space="preserve"> </w:t>
      </w:r>
      <w:r w:rsidRPr="00B03B51">
        <w:rPr>
          <w:rFonts w:ascii="Times New Roman" w:hAnsi="Times New Roman" w:cs="Times New Roman"/>
          <w:sz w:val="24"/>
        </w:rPr>
        <w:t>Uzskatāms, ka neto procentu maksa ir kapitāla izmaksu ticams tuvinājums, jo tās ir galvenokārt izmaksas saistībā ar ražošanā izmantoto (pamat)līdzekļu finansēšanu, ko pieņem par kapitāla alternatīvajām izmaksām. Dažos gadījumos neto procentu maksa var būt negatīva (piemēram, kad ienākums no procentus ienesošajiem aktīviem ir lielāks par maksājamajiem procentiem vai kad vienībai nav saistību, bet ir tikai aktīvi, kas ienes procentus, utt.). Ja neto procentu maksa kļūst negatīva, to tirgus/ārpustirgus testa aprēķinos aizstāj ar nulli, lai varētu saprast, ka neto procentu maksa ir kapitāla izmaksu tuvinājums. Kopumā negatīvas neto procentu maksas gadījumā ir rūpīgi jāpārbauda vienības ekonomiskā būtība, t. i., tirgus/ārpustirgus testa piemērojamība konkrētajā gadījumā, kā arī iepriekš minētie kvalitatīvie kritēriji (skat. 1.2.4.2. apakšiedaļu).</w:t>
      </w:r>
    </w:p>
    <w:p w14:paraId="482B72F7" w14:textId="77777777" w:rsidR="00994F93" w:rsidRPr="00B03B51" w:rsidRDefault="00994F93" w:rsidP="00994F93">
      <w:pPr>
        <w:jc w:val="both"/>
        <w:rPr>
          <w:rFonts w:ascii="Times New Roman" w:eastAsia="Arial" w:hAnsi="Times New Roman" w:cs="Times New Roman"/>
          <w:noProof/>
          <w:sz w:val="24"/>
          <w:szCs w:val="25"/>
        </w:rPr>
      </w:pPr>
    </w:p>
    <w:p w14:paraId="45E65A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Jāuzsver, ka tirgus/ārpustirgus testu piemēro publiskajiem ražotājiem (valdības kontrolētajām institucionālajām vienībām) pēc tam, kad ir pārbaudīti kvalitatīvie kritēriji, kā norādīts iepriekš 1.2.4.2. apakšiedaļā. Tirgus/ārpustirgus testu izmanto publiskajām nefinanšu vienībām, un tas attiecas arī uz vairumu publisko vienību, kas nodarbojas ar finanšu palīgdarbībām. Tirgus/ārpustirgus testu neizmanto vienībām, kas nodarbojas ar finanšu starpniecību, publiskajām kontrolakciju sabiedrībām un dažām citām īpašām publiskām vienībām. Valdības kontrolētajām vienībām vispirms ir jāpārbauda kvalitatīvie kritēriji, jo tie ir prioritārāki par kvantitatīvo kritēriju. Ja kaut viens no 1.2.4.2. apakšiedaļā aprakstītajiem kvalitatīvajiem kritērijiem netiek izpildīts, tas varētu būt pietiekams apstāklis, lai publisko vienību klasificētu vispārējās valdības sektorā (tad varētu nepiemērot tirgus/ārpustirgus testu). Ja kvalitatīvie kritēriji tiek izpildīti, tirgus/ārpustirgus testu varētu izmantot vienības sektora klasifikācijas novērtēšanai. Savukārt tirgus/ārpustirgus tests neattiecas uz īpašiem publiskiem subjektiem, kas raksturoti šīs rokasgrāmatas 1.6. nodaļā.</w:t>
      </w:r>
    </w:p>
    <w:p w14:paraId="31317CB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28B02A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55. Tirgus/ārpustirgus tests ir jāpiemēro, pārlūkojot vairākus gadus ilgu laika posmu attiecībā uz katru institucionālo vienību atsevišķi (pat tad, ja subjekti ietilpst grupā). Kopumā tikai tad, ja tirgus/ārpustirgus tests uzrāda vairāk par 50 % vairākus gadus (vismaz 3 gadus) vai ja dažos gadījumos, kad vienība ir izgājusi tirgus/ārpustirgus testu </w:t>
      </w:r>
      <w:r w:rsidRPr="00B03B51">
        <w:rPr>
          <w:rFonts w:ascii="Times New Roman" w:hAnsi="Times New Roman" w:cs="Times New Roman"/>
          <w:i/>
          <w:iCs/>
          <w:sz w:val="24"/>
        </w:rPr>
        <w:t>t-1</w:t>
      </w:r>
      <w:r w:rsidRPr="00B03B51">
        <w:rPr>
          <w:rFonts w:ascii="Times New Roman" w:hAnsi="Times New Roman" w:cs="Times New Roman"/>
          <w:sz w:val="24"/>
        </w:rPr>
        <w:t xml:space="preserve"> gadā un ir stingri gaidāms, ka tā turpināsies arī tuvākajā nākotnē, tad vienību varētu klasificēt ārpus valdības. Dažos gadījumos, kad vienība nav izgājusi testu vienu gadu un ir gaidāms, ka tā neizies to arī nākamos divus gadus, šādu vienību vajadzētu nekavējoties klasificēt valdības sektorā. Nelielas izmaiņas (vai rezultāts, kas uzskatāms par nesistemātisku izņēmuma gadījumu) attiecībā starp pārdošanas </w:t>
      </w:r>
      <w:r w:rsidRPr="00B03B51">
        <w:rPr>
          <w:rFonts w:ascii="Times New Roman" w:hAnsi="Times New Roman" w:cs="Times New Roman"/>
          <w:sz w:val="24"/>
        </w:rPr>
        <w:lastRenderedPageBreak/>
        <w:t>ienākumiem un ražošanas izmaksām vienā gadā pret otru nebūt nenozīmē, ka ir jāpārklasificē institucionālās vienības (un to vietējās DVV un produkcija).</w:t>
      </w:r>
    </w:p>
    <w:p w14:paraId="39F0952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D9701F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56. Tirgus/ārpustirgus tests ļauj arī noteikt, vai valdības subjektu var uzskatīt par kvazisabiedrību (kas pieder valdībai), proti, kvazisabiedrību var izveidot tikai tad, ja subjekts ir tirgus ražotājs.</w:t>
      </w:r>
    </w:p>
    <w:p w14:paraId="053414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9FC0C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Attiecībā uz jaundibinātiem publiskiem uzņēmumiem varētu būt grūti uzreiz piemērot tirgus/ārpustirgus testu, jo trūkst datu un/vai tāpēc, ka pakāpeniski pieaug uzņēmuma darbības apmērs.</w:t>
      </w:r>
      <w:r w:rsidRPr="00B03B51">
        <w:rPr>
          <w:rStyle w:val="FootnoteReference"/>
          <w:rFonts w:ascii="Times New Roman" w:hAnsi="Times New Roman" w:cs="Times New Roman"/>
          <w:noProof/>
          <w:sz w:val="24"/>
        </w:rPr>
        <w:footnoteReference w:id="28"/>
      </w:r>
      <w:r w:rsidRPr="00B03B51">
        <w:rPr>
          <w:rFonts w:ascii="Times New Roman" w:hAnsi="Times New Roman" w:cs="Times New Roman"/>
          <w:sz w:val="24"/>
        </w:rPr>
        <w:t xml:space="preserve"> Tāpēc klasifikācija būtu jāveic, pamatojoties uz reālu uzņēmējdarbības plānu</w:t>
      </w:r>
      <w:r w:rsidRPr="00B03B51">
        <w:rPr>
          <w:rStyle w:val="FootnoteReference"/>
          <w:rFonts w:ascii="Times New Roman" w:hAnsi="Times New Roman" w:cs="Times New Roman"/>
          <w:noProof/>
          <w:sz w:val="24"/>
        </w:rPr>
        <w:footnoteReference w:id="29"/>
      </w:r>
      <w:r w:rsidRPr="00B03B51">
        <w:rPr>
          <w:rFonts w:ascii="Times New Roman" w:hAnsi="Times New Roman" w:cs="Times New Roman"/>
          <w:sz w:val="24"/>
        </w:rPr>
        <w:t>, īpašu uzmanību pievēršot tam, lai pārbaudītu, vai ir ticams, ka vienība varētu kļūt par tirgus ražotāju īsā laika posmā. Dažos gadījumos, kad jaunā vienība izveidota, apvienojot iepriekš atsevišķas vienības, darbības prognozes var veikt, pamatojoties uz iepriekšējo laika posmu rezultātiem.</w:t>
      </w:r>
    </w:p>
    <w:p w14:paraId="158759C7" w14:textId="77777777" w:rsidR="00994F93" w:rsidRPr="00B03B51" w:rsidRDefault="00994F93" w:rsidP="00994F93">
      <w:pPr>
        <w:jc w:val="both"/>
        <w:rPr>
          <w:rFonts w:ascii="Times New Roman" w:hAnsi="Times New Roman" w:cs="Times New Roman"/>
          <w:noProof/>
          <w:sz w:val="24"/>
        </w:rPr>
      </w:pPr>
    </w:p>
    <w:p w14:paraId="048BDDB2"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1.2.4.4. PUBLISKAS VIENĪBAS LIKVIDĀCIJAS PROCESĀ</w:t>
      </w:r>
    </w:p>
    <w:p w14:paraId="04C4A4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6DBE4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58. Šajā iedaļā ar likvidāciju saprot situāciju, kurā vienība (sabiedrība vai līdzīgs subjekts) sāk izbeigt savu ražošanas darbību. Turpmāk sniegtie metodoloģiskie noteikumi attiecas uz publiskām (valdības kontrolētām) vienībām, kas nodarbojas ar preču un pakalpojumu ražošanu vai ar finanšu starpniecību (kā noteikts EKS 2010 2. nodaļā), izņemot tās vienības, kurām ir piemērotas īpašas risināšanas un darbības atjaunošanas procedūras (kuras parasti klasificētas kategorijā “noguldījumus pieņemošas sabiedrības”, izņemot centrālo banku (S.122)).</w:t>
      </w:r>
    </w:p>
    <w:p w14:paraId="3CD1A15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27FB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Ja vienība, kas nav klasificēta valdības sektorā (t. i., atbilst kritērijiem, kas ļauj to uzskatīt par tirgus ražotāju</w:t>
      </w:r>
      <w:r w:rsidRPr="00B03B51">
        <w:rPr>
          <w:rStyle w:val="FootnoteReference"/>
          <w:rFonts w:ascii="Times New Roman" w:hAnsi="Times New Roman" w:cs="Times New Roman"/>
          <w:noProof/>
          <w:sz w:val="24"/>
        </w:rPr>
        <w:footnoteReference w:id="30"/>
      </w:r>
      <w:r w:rsidRPr="00B03B51">
        <w:rPr>
          <w:rFonts w:ascii="Times New Roman" w:hAnsi="Times New Roman" w:cs="Times New Roman"/>
          <w:sz w:val="24"/>
        </w:rPr>
        <w:t xml:space="preserve">), sāk likvidācijas procesu, tās aktīvi tiek pakāpeniski realizēti (pārvērsti naudā) vai nu tos pārdodot, vai arī atgūstot prasījumus, ko tur vienība (piemēram, komerciālos prasījumus pret klientiem). Attiecīgos ieņēmumus izmanto, lai samaksātu dažādiem kreditoriem iepriekš noteiktā kārtībā, pamatojoties uz tiesību normām (piemēram, attiecībā uz personālu vai nodokļiem) un ievērojot parādu kreditoriem būtību (prioritārais, zemāka līmeņa, subordinētais parāds). Atlikusī nauda, ja tāda paliek, tiek sadalīta akcionāriem, jo tīrā vērtība un pašu kapitāls var būt negatīvs. EKS 2010 5.141. punktā noteikts, ka </w:t>
      </w:r>
      <w:r w:rsidRPr="00B03B51">
        <w:rPr>
          <w:rFonts w:ascii="Times New Roman" w:hAnsi="Times New Roman" w:cs="Times New Roman"/>
          <w:i/>
          <w:iCs/>
          <w:sz w:val="24"/>
        </w:rPr>
        <w:t>(..) pašu kapitāls ir finanšu aktīvs, kas ir prasība pret sabiedrības atlikušo vērtību, kad izpildītas visas citas prasības</w:t>
      </w:r>
      <w:r w:rsidRPr="00B03B51">
        <w:rPr>
          <w:rFonts w:ascii="Times New Roman" w:hAnsi="Times New Roman" w:cs="Times New Roman"/>
          <w:sz w:val="24"/>
        </w:rPr>
        <w:t>.</w:t>
      </w:r>
      <w:r w:rsidRPr="00B03B51">
        <w:rPr>
          <w:rFonts w:ascii="Times New Roman" w:hAnsi="Times New Roman" w:cs="Times New Roman"/>
          <w:i/>
          <w:sz w:val="24"/>
        </w:rPr>
        <w:t xml:space="preserve"> </w:t>
      </w:r>
      <w:r w:rsidRPr="00B03B51">
        <w:rPr>
          <w:rFonts w:ascii="Times New Roman" w:hAnsi="Times New Roman" w:cs="Times New Roman"/>
          <w:sz w:val="24"/>
        </w:rPr>
        <w:t>Kopumā, ja likvidācija notiek “brīvprātīgi”, vienība neuzrādīs negatīvu neto vērtību un valdība, visticamāk, saņems kādu naudu.</w:t>
      </w:r>
    </w:p>
    <w:p w14:paraId="05F85AB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BDBB8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60. Saskaņā ar tiesisko regulējumu var ierosināt likvidāciju, ja vienība nespēj izpildīt savas saistības pret kreditoriem (“bankrota” gadījums). Tas var notikt arī pēc noteiktu īpašu pasākumu (tādu kā moratorija vai restrukturizācijas) neizdošanās, kuri tika veikti, lai nodrošinātu vienības ilgtermiņa maksātspēju. Par likvidāciju dažādu iemeslu dēļ var brīvprātīgi izlemt arī vienības īpašnieks. Tomēr šīs atšķirības dēļ nevar rasties dažādi nacionālo kontu noteikumi, kas būtu piemērojami neatkarīgi no tā, kādu iemeslu dēļ notiek likvidācija. Faktiski varētu uzskatīt, ka publiskās vienības likvidācija vienmēr notiek, pamatojoties uz kontrolējošās vienības apzinātu lēmumu, jo īpaši, kad valdība nospriež, ka nav vērts turpināt vienībai sniegt atbalstu.</w:t>
      </w:r>
    </w:p>
    <w:p w14:paraId="40CF429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39946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lastRenderedPageBreak/>
        <w:t>61. Var arī gadīties, ka valdības kontrolējošā vienība nolemj, ka publiskai vienībai, kas nav klasificēta valdības sektorā, ir piemērojams “neaktīvas vienības” statuss. Tas nozīmē, ka vienība kļūst “neaktīva”, taču netiek pieņemts oficiāls lēmums to slēgt. Šāds stāvoklis var ilgt kādu laiku vai daudzus gadus.</w:t>
      </w:r>
      <w:r w:rsidRPr="00B03B51">
        <w:rPr>
          <w:rStyle w:val="FootnoteReference"/>
          <w:rFonts w:ascii="Times New Roman" w:hAnsi="Times New Roman" w:cs="Times New Roman"/>
          <w:noProof/>
          <w:sz w:val="24"/>
        </w:rPr>
        <w:footnoteReference w:id="31"/>
      </w:r>
      <w:r w:rsidRPr="00B03B51">
        <w:rPr>
          <w:rFonts w:ascii="Times New Roman" w:hAnsi="Times New Roman" w:cs="Times New Roman"/>
          <w:sz w:val="24"/>
          <w:szCs w:val="12"/>
        </w:rPr>
        <w:t xml:space="preserve"> </w:t>
      </w:r>
      <w:r w:rsidRPr="00B03B51">
        <w:rPr>
          <w:rFonts w:ascii="Times New Roman" w:hAnsi="Times New Roman" w:cs="Times New Roman"/>
          <w:sz w:val="24"/>
        </w:rPr>
        <w:t>Turpmāk minētie noteikumi arī ir piemērojami šim gadījumam.</w:t>
      </w:r>
      <w:r w:rsidRPr="00B03B51">
        <w:rPr>
          <w:rStyle w:val="FootnoteReference"/>
          <w:rFonts w:ascii="Times New Roman" w:hAnsi="Times New Roman" w:cs="Times New Roman"/>
          <w:noProof/>
          <w:sz w:val="24"/>
        </w:rPr>
        <w:footnoteReference w:id="32"/>
      </w:r>
      <w:r w:rsidRPr="00B03B51">
        <w:rPr>
          <w:rFonts w:ascii="Times New Roman" w:hAnsi="Times New Roman" w:cs="Times New Roman"/>
          <w:sz w:val="24"/>
          <w:vertAlign w:val="superscript"/>
        </w:rPr>
        <w:t>,</w:t>
      </w:r>
      <w:r w:rsidRPr="00B03B51">
        <w:rPr>
          <w:rStyle w:val="FootnoteReference"/>
          <w:rFonts w:ascii="Times New Roman" w:hAnsi="Times New Roman" w:cs="Times New Roman"/>
          <w:noProof/>
          <w:sz w:val="24"/>
        </w:rPr>
        <w:footnoteReference w:id="33"/>
      </w:r>
    </w:p>
    <w:p w14:paraId="3E00456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B7393E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Likvidācijas process var ilgt kādu laiku neatkarīgi no tā, cik ilgs laiks ir nepieciešams aktīvu realizācijai/pārvēršanai naudā, ko ir grūti paredzēt un kas ir daudzējādā ziņā atkarīgs no ārējiem faktoriem. Citiem vārdiem, šajā procesā vienība joprojām var nodarboties ar kādu ražošanas darbību un no tās gūt ieņēmumus. Piemēram, vienībai var būt joprojām kādi agrāk piešķirti pasūtījumi. Tomēr tas ir uz laiku, un, kā likums, nav gaidāms, ka vienība vēl veiks savu kādreizējo saimniecisko darbību. Turklāt parasti tā ir slēgta jaunai uzņēmējdarbībai. Tas nebūt nenozīmē, ka šajā procesā nevarētu notikt aktīva dažu aktīvu un saistību pārvaldība, piemēram, atlikušās produkcijas vai krājumos turētās produkcijas pārdošana, atkārtotas sarunas, pārstrukturēšana un citas tehniskas arbitrāžas, taču parasti vienībai vairs nav pieejas kapitāla tirgiem.</w:t>
      </w:r>
    </w:p>
    <w:p w14:paraId="0BFCE4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CB3A9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63. Var būtiski atšķirties tas, kādā veidā notiek likvidācija – to var veikt vienības iepriekšējā vadība vai jauna vadība, vai arī “administrators”/“likvidators”, kas ir pilnvarots pieņemt galvenos lēmumus saistībā ar likvidāciju akcionāru vietā.</w:t>
      </w:r>
      <w:r w:rsidRPr="00B03B51">
        <w:rPr>
          <w:rStyle w:val="FootnoteReference"/>
          <w:rFonts w:ascii="Times New Roman" w:hAnsi="Times New Roman" w:cs="Times New Roman"/>
          <w:noProof/>
          <w:sz w:val="24"/>
        </w:rPr>
        <w:footnoteReference w:id="34"/>
      </w:r>
      <w:r w:rsidRPr="00B03B51">
        <w:rPr>
          <w:rFonts w:ascii="Times New Roman" w:hAnsi="Times New Roman" w:cs="Times New Roman"/>
          <w:sz w:val="24"/>
          <w:szCs w:val="12"/>
        </w:rPr>
        <w:t xml:space="preserve"> </w:t>
      </w:r>
      <w:r w:rsidRPr="00B03B51">
        <w:rPr>
          <w:rFonts w:ascii="Times New Roman" w:hAnsi="Times New Roman" w:cs="Times New Roman"/>
          <w:sz w:val="24"/>
        </w:rPr>
        <w:t>Likvidatoru nevar uzskatīt par personu, kas kontrolē vienību tādā izpratnē, kā definēts EKS 2010 2.35. punktā, t. i., kam ir spēja noteikt vispārējo politiku, jo viņa funkcija ir vienkārši izmaksāt kompensācijas likvidējamās vienības kreditoriem, realizējot aktīvu vērtību. Tomēr tas, ka valdība kontrolē vai nekontrolē likvidācijas procesu, nav būtisks kritērijs saistībā ar likvidējamās publiskās vienības sektora klasificēšanu. Svarīgi ir tikai tas, ka vienība pirms likvidācijas procesa sākšanas tika uzskatīta par publisku vienību. Turklāt valdība šajā procesā uzņemas līdzīgus riskus kā jebkurš cits akcionārs.</w:t>
      </w:r>
    </w:p>
    <w:p w14:paraId="32947A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5387F6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64. ES dalībvalstīs var būt ļoti atšķirīgas likvidācijas procedūras. Ir tādas valstis, kurās publiskajām sabiedrībām īpašais juridiskais statuss sniedz priekšrocības tādā ziņā, ka parastās ar bankrotu saistītās procedūras (ko parasti pieprasa kreditori, kuriem ir prasījumi pret vienībām) nav piemērojamas. Savukārt dažām publiskām sabiedrībām var būt piešķirts pilnībā “komerciāls” statuss, un tādējādi tām ir piemērojamas tādas pašas tiesību normas kā ikvienam citam tirgus ražotājam tādā situācijā. Tomēr šis ES dalībvalstu neviendabīgums nedrīkst ietekmēt likvidējamo vienību turpmāk norādīto klasifikāciju.</w:t>
      </w:r>
    </w:p>
    <w:p w14:paraId="637CD7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752195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65. Ikvienai publiskai vienībai, kas nav iekļauta finanšu sabiedrību sektorā</w:t>
      </w:r>
      <w:r w:rsidRPr="00B03B51">
        <w:rPr>
          <w:rStyle w:val="FootnoteReference"/>
          <w:rFonts w:ascii="Times New Roman" w:hAnsi="Times New Roman" w:cs="Times New Roman"/>
          <w:noProof/>
          <w:sz w:val="24"/>
        </w:rPr>
        <w:footnoteReference w:id="35"/>
      </w:r>
      <w:r w:rsidRPr="00B03B51">
        <w:rPr>
          <w:rFonts w:ascii="Times New Roman" w:hAnsi="Times New Roman" w:cs="Times New Roman"/>
          <w:sz w:val="24"/>
        </w:rPr>
        <w:t xml:space="preserve">, lai tā kvalificētos </w:t>
      </w:r>
      <w:r w:rsidRPr="00B03B51">
        <w:rPr>
          <w:rFonts w:ascii="Times New Roman" w:hAnsi="Times New Roman" w:cs="Times New Roman"/>
          <w:sz w:val="24"/>
        </w:rPr>
        <w:lastRenderedPageBreak/>
        <w:t>par publisku vienību, ko klasificē ārpus valdības sektora, ir jāatbilst (cita starpā)</w:t>
      </w:r>
      <w:r w:rsidRPr="00B03B51">
        <w:rPr>
          <w:rStyle w:val="FootnoteReference"/>
          <w:rFonts w:ascii="Times New Roman" w:hAnsi="Times New Roman" w:cs="Times New Roman"/>
          <w:noProof/>
          <w:sz w:val="24"/>
        </w:rPr>
        <w:footnoteReference w:id="36"/>
      </w:r>
      <w:r w:rsidRPr="00B03B51">
        <w:rPr>
          <w:rFonts w:ascii="Times New Roman" w:hAnsi="Times New Roman" w:cs="Times New Roman"/>
          <w:sz w:val="24"/>
        </w:rPr>
        <w:t xml:space="preserve"> 50 % kritērijam neatkarīgi no tā, vai vienība atrodas vai neatrodas likvidācijas procesā. Šajā saistībā ir jāuzsver, ka EKS 2010 šādām publiskām vienībām netiek piemēroti nekādi izņēmumi, nosakot, ka 50 % kritēriju nepiemēro, lai lemtu par vienības klasifikāciju, ja uzsākas tās likvidācijas process. Tādējādi 50 % kritērija ievērošana ir uzskatāma par “nosacījumu </w:t>
      </w:r>
      <w:r w:rsidRPr="00B03B51">
        <w:rPr>
          <w:rFonts w:ascii="Times New Roman" w:hAnsi="Times New Roman" w:cs="Times New Roman"/>
          <w:i/>
          <w:sz w:val="24"/>
        </w:rPr>
        <w:t>sine qua non</w:t>
      </w:r>
      <w:r w:rsidRPr="00B03B51">
        <w:rPr>
          <w:rFonts w:ascii="Times New Roman" w:hAnsi="Times New Roman" w:cs="Times New Roman"/>
          <w:sz w:val="24"/>
        </w:rPr>
        <w:t>”, lai publiskās nefinanšu sabiedrības</w:t>
      </w:r>
      <w:r w:rsidRPr="00B03B51">
        <w:rPr>
          <w:rStyle w:val="FootnoteReference"/>
          <w:rFonts w:ascii="Times New Roman" w:hAnsi="Times New Roman" w:cs="Times New Roman"/>
          <w:noProof/>
          <w:sz w:val="24"/>
        </w:rPr>
        <w:footnoteReference w:id="37"/>
      </w:r>
      <w:r w:rsidRPr="00B03B51">
        <w:rPr>
          <w:rFonts w:ascii="Times New Roman" w:hAnsi="Times New Roman" w:cs="Times New Roman"/>
          <w:sz w:val="24"/>
        </w:rPr>
        <w:t xml:space="preserve"> klasificētu ārpus valdības.</w:t>
      </w:r>
    </w:p>
    <w:p w14:paraId="33A3B4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A5F59D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66. Šādos apstākļos atkarībā no kvantitatīvā tirgus/ārpustirgus testa (50 % kritērija) rezultātiem parasti</w:t>
      </w:r>
      <w:r w:rsidRPr="00B03B51">
        <w:rPr>
          <w:rStyle w:val="FootnoteReference"/>
          <w:rFonts w:ascii="Times New Roman" w:hAnsi="Times New Roman" w:cs="Times New Roman"/>
          <w:noProof/>
          <w:sz w:val="24"/>
        </w:rPr>
        <w:footnoteReference w:id="38"/>
      </w:r>
      <w:r w:rsidRPr="00B03B51">
        <w:rPr>
          <w:rFonts w:ascii="Times New Roman" w:hAnsi="Times New Roman" w:cs="Times New Roman"/>
          <w:sz w:val="24"/>
        </w:rPr>
        <w:t xml:space="preserve"> vienība būtu jāklasificē ārpus valdības sektora, ja tā izpilda tirgus/ārpustirgus testu, un jāpārklasificē valdības sektorā, ja vairs neizpilda to, ar iespējamu ietekmi uz valdības neto aizdevumu/aizņēmumu (B.9) un valdības (konsolidēto) parādu. Saskaņā ar vispārīgo noteikumu pārklasificēšanu veic vēlākais tad, kad ir pagājuši trīs gadi pēc kārtas, kuros netiek izpildīts 50 % kritērijs. Taču, ja tirgus/ārpustirgus tests ir zem 50 % vienā gadā un tiek uzskatīts, ka nākamajos divos gados ir maz ticams, ka tirgus/ārpustirgus testa rezultāts varētu būt pretējs, pārklasifikācija ir jāīsteno, tiklīdz tirgus/ārpustirgus tests vairs netiek izpildīts. Savukārt attiecībā uz likvidācijas procesā esošu publisko vienību, ja jau no paša sākuma ir zināms, ka vienība pakāpeniski izbeigs savu ražošanas darbību, pārklasifikācija valdības sektorā būtu jāveic tajā gadā, kad vienība pirmo reizi neizpilda 50 % kritēriju.</w:t>
      </w:r>
    </w:p>
    <w:p w14:paraId="2706136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F2313C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67. Attiecībā uz publiskajām vienībām, izņemot tām, kurām ir piemērotas īpašas risināšanas un darbības atjaunošanas procedūras (parasti klasificētas apakšsektorā S.122), kuras pirms likvidācijas uzsākšanas nodarbojās ar finanšu starpniecību, ir jāpārbauda, vai šādas likvidācijas procesā esošas vienības joprojām ir vai nav uzskatāmas par finanšu starpniekiem. Tiklīdz šīm vienībām vairs nav ļauts veidot jaunas saistības un iegādāties jaunus aktīvus, tās vairs nevar uzskatīt par vienībām, kas nodarbojas ar finanšu starpniecību (kā noteikts EKS 2010).</w:t>
      </w:r>
      <w:r w:rsidRPr="00B03B51">
        <w:rPr>
          <w:rStyle w:val="FootnoteReference"/>
          <w:rFonts w:ascii="Times New Roman" w:hAnsi="Times New Roman" w:cs="Times New Roman"/>
          <w:noProof/>
          <w:sz w:val="24"/>
        </w:rPr>
        <w:footnoteReference w:id="39"/>
      </w:r>
      <w:r w:rsidRPr="00B03B51">
        <w:rPr>
          <w:rFonts w:ascii="Times New Roman" w:hAnsi="Times New Roman" w:cs="Times New Roman"/>
          <w:sz w:val="24"/>
        </w:rPr>
        <w:t xml:space="preserve"> Vairumā gadījumu tas varētu notikt tiklīdz vienība uzsāk likvidāciju. Tādējādi tās ir pārklasificējamas valdības sektorā.</w:t>
      </w:r>
    </w:p>
    <w:p w14:paraId="6FBAD6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DCEFC3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Gadījumā, ja valdības kontrolēta vienība, kurai ir finanšu sanācijas struktūras pazīmes, uzsāk likvidāciju, ievēro 4.5. nodaļā “Finanšu sanācija” sniegtos noteikumus.</w:t>
      </w:r>
    </w:p>
    <w:p w14:paraId="38AFAFE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6FC724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68. Var gadīties, ka, uzsākot likvidācijas procesu, publiskās vienības parādu pilnībā vai daļēji tiešā veidā ir garantējusi valdība (beznosacījuma un pēc pirmā pieprasījuma). Turklāt ir ļoti liela varbūtība, ka bankrota procedūras rezultātā tiek ierosināta automātiska garantiju pieprasīšana, jo to kopumā uzskata par saistību nepildīšanu, kas ļauj parāda turētājiem īstenot savas tiesības.</w:t>
      </w:r>
      <w:r w:rsidRPr="00B03B51">
        <w:rPr>
          <w:rStyle w:val="FootnoteReference"/>
          <w:rFonts w:ascii="Times New Roman" w:hAnsi="Times New Roman" w:cs="Times New Roman"/>
          <w:noProof/>
          <w:sz w:val="24"/>
        </w:rPr>
        <w:footnoteReference w:id="40"/>
      </w:r>
      <w:r w:rsidRPr="00B03B51">
        <w:rPr>
          <w:rFonts w:ascii="Times New Roman" w:hAnsi="Times New Roman" w:cs="Times New Roman"/>
          <w:sz w:val="24"/>
        </w:rPr>
        <w:t xml:space="preserve"> Tāpat pastāv iespēja, ka vienībai, kura pirms likvidācijas uzsākšanas bija nonākusi pat ļoti smagās finanšu grūtībās, parāds vēl netika pieprasīts (un tādējādi to uzņēmās valdība), ja vienība saņem pārvedumus no valdības.</w:t>
      </w:r>
      <w:r w:rsidRPr="00B03B51">
        <w:rPr>
          <w:rStyle w:val="FootnoteReference"/>
          <w:rFonts w:ascii="Times New Roman" w:hAnsi="Times New Roman" w:cs="Times New Roman"/>
          <w:noProof/>
          <w:sz w:val="24"/>
        </w:rPr>
        <w:footnoteReference w:id="41"/>
      </w:r>
      <w:r w:rsidRPr="00B03B51">
        <w:rPr>
          <w:rFonts w:ascii="Times New Roman" w:hAnsi="Times New Roman" w:cs="Times New Roman"/>
          <w:sz w:val="24"/>
        </w:rPr>
        <w:t xml:space="preserve"> Šādos apstākļos uzskatāms, ka kontrolējošā valdības vienība ir uzņēmusies parādu, sākoties likvidācijas procesam, t. i., kapitāla pārveduma izdevumus (D.99) par labu attiecīgajiem kreditoriem ieraksta vienlaikus ar </w:t>
      </w:r>
      <w:r w:rsidRPr="00B03B51">
        <w:rPr>
          <w:rFonts w:ascii="Times New Roman" w:hAnsi="Times New Roman" w:cs="Times New Roman"/>
          <w:sz w:val="24"/>
        </w:rPr>
        <w:lastRenderedPageBreak/>
        <w:t>valdības parāda pieaugumu</w:t>
      </w:r>
      <w:r w:rsidRPr="00B03B51">
        <w:rPr>
          <w:rStyle w:val="FootnoteReference"/>
          <w:rFonts w:ascii="Times New Roman" w:hAnsi="Times New Roman" w:cs="Times New Roman"/>
          <w:noProof/>
          <w:sz w:val="24"/>
        </w:rPr>
        <w:footnoteReference w:id="42"/>
      </w:r>
      <w:r w:rsidRPr="00B03B51">
        <w:rPr>
          <w:rFonts w:ascii="Times New Roman" w:hAnsi="Times New Roman" w:cs="Times New Roman"/>
          <w:sz w:val="24"/>
        </w:rPr>
        <w:t>, ievērojot parastos noteikumus, kas attiecas uz garantijām.</w:t>
      </w:r>
      <w:r w:rsidRPr="00B03B51">
        <w:rPr>
          <w:rStyle w:val="FootnoteReference"/>
          <w:rFonts w:ascii="Times New Roman" w:hAnsi="Times New Roman" w:cs="Times New Roman"/>
          <w:noProof/>
          <w:sz w:val="24"/>
        </w:rPr>
        <w:footnoteReference w:id="43"/>
      </w:r>
    </w:p>
    <w:p w14:paraId="5DBA136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687DE1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69. Dažos gadījumos atsevišķiem finanšu instrumentiem, ko iepriekš izdevusi likvidējamā vienība, varētu nebūt skaidru garantiju, taču varētu būt kādi tieši noteikumi (jo īpaši tiesību aktos vai īpašos noteikumos), kas nosaka valdībai pienākumu neatsaucami pārņemt visas vienības parādu saistības. Arī šajā gadījumā piemēro iepriekšējā punktā minētos noteikumus.</w:t>
      </w:r>
    </w:p>
    <w:p w14:paraId="655FF99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DF7CD0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70. Pēc parādu saistību nodošanas likvidācijas procesa laikā finanšu kontos ievada finanšu aktīvu realizāciju/monetizāciju, neietekmējot valdības neto aizdevumu/aizņēmumu (B.9), ja vienība ir pārklasificēta valdības sektorā, vai arī to ieraksta kā kapitāla pārvedumu, ja vienība vēl nav pārklasificēta, norādot pozitīvu ietekmi uz valdības neto aizdevumu/aizņēmumu (B.9).</w:t>
      </w:r>
    </w:p>
    <w:p w14:paraId="1681934F" w14:textId="77777777" w:rsidR="00994F93" w:rsidRPr="00B03B51" w:rsidRDefault="00994F93" w:rsidP="00994F93">
      <w:pPr>
        <w:jc w:val="both"/>
        <w:rPr>
          <w:rFonts w:ascii="Times New Roman" w:eastAsia="Arial" w:hAnsi="Times New Roman" w:cs="Times New Roman"/>
          <w:noProof/>
          <w:sz w:val="24"/>
          <w:szCs w:val="16"/>
        </w:rPr>
      </w:pPr>
    </w:p>
    <w:p w14:paraId="03FD0AA8"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1.2.4.5. PĀRKĀRTOTI DARĪJUMI</w:t>
      </w:r>
    </w:p>
    <w:p w14:paraId="1D8E710D" w14:textId="77777777" w:rsidR="00994F93" w:rsidRPr="00B03B51" w:rsidRDefault="00994F93" w:rsidP="00994F93">
      <w:pPr>
        <w:tabs>
          <w:tab w:val="left" w:pos="1692"/>
        </w:tabs>
        <w:jc w:val="both"/>
        <w:rPr>
          <w:rFonts w:ascii="Times New Roman" w:hAnsi="Times New Roman" w:cs="Times New Roman"/>
          <w:b/>
          <w:noProof/>
          <w:sz w:val="24"/>
        </w:rPr>
      </w:pPr>
    </w:p>
    <w:p w14:paraId="7C93C507" w14:textId="77777777" w:rsidR="00994F93" w:rsidRPr="008A2DC9" w:rsidRDefault="00994F93" w:rsidP="008A2DC9">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1.2.4.5.1. Ievads</w:t>
      </w:r>
    </w:p>
    <w:p w14:paraId="4BFA9E6B" w14:textId="77777777" w:rsidR="00994F93" w:rsidRPr="00B03B51" w:rsidRDefault="00994F93" w:rsidP="00994F93">
      <w:pPr>
        <w:jc w:val="both"/>
        <w:rPr>
          <w:rFonts w:ascii="Times New Roman" w:eastAsia="Arial" w:hAnsi="Times New Roman" w:cs="Times New Roman"/>
          <w:b/>
          <w:bCs/>
          <w:noProof/>
          <w:sz w:val="24"/>
          <w:szCs w:val="20"/>
        </w:rPr>
      </w:pPr>
    </w:p>
    <w:p w14:paraId="689C58E4"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Trīs pārkārtošanas metodes</w:t>
      </w:r>
    </w:p>
    <w:p w14:paraId="510B23DB" w14:textId="77777777" w:rsidR="00994F93" w:rsidRPr="00B03B51" w:rsidRDefault="00994F93" w:rsidP="00994F93">
      <w:pPr>
        <w:jc w:val="both"/>
        <w:rPr>
          <w:rFonts w:ascii="Times New Roman" w:eastAsia="Arial" w:hAnsi="Times New Roman" w:cs="Times New Roman"/>
          <w:b/>
          <w:bCs/>
          <w:noProof/>
          <w:sz w:val="24"/>
          <w:szCs w:val="21"/>
        </w:rPr>
      </w:pPr>
    </w:p>
    <w:p w14:paraId="336B5A28"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71. EKS 2010 1. nodaļā, kas veltīta vispārējām iezīmēm un pamatprincipiem, ir noteikts, ka “</w:t>
      </w:r>
      <w:r w:rsidRPr="00B03B51">
        <w:rPr>
          <w:rFonts w:ascii="Times New Roman" w:hAnsi="Times New Roman" w:cs="Times New Roman"/>
          <w:b/>
          <w:bCs/>
          <w:sz w:val="24"/>
          <w:szCs w:val="19"/>
        </w:rPr>
        <w:t>pārkārtotus darījumus</w:t>
      </w:r>
      <w:r w:rsidRPr="00B03B51">
        <w:rPr>
          <w:rFonts w:ascii="Times New Roman" w:hAnsi="Times New Roman" w:cs="Times New Roman"/>
          <w:sz w:val="24"/>
          <w:szCs w:val="19"/>
        </w:rPr>
        <w:t xml:space="preserve">” reģistrē, </w:t>
      </w:r>
      <w:r w:rsidRPr="00B03B51">
        <w:rPr>
          <w:rFonts w:ascii="Times New Roman" w:hAnsi="Times New Roman" w:cs="Times New Roman"/>
          <w:i/>
          <w:iCs/>
          <w:sz w:val="24"/>
          <w:szCs w:val="19"/>
        </w:rPr>
        <w:t>(..) lai skaidrāk izceltu noteicošās ekonomiskās attiecības</w:t>
      </w:r>
      <w:r w:rsidRPr="00B03B51">
        <w:rPr>
          <w:rFonts w:ascii="Times New Roman" w:hAnsi="Times New Roman" w:cs="Times New Roman"/>
          <w:sz w:val="24"/>
          <w:szCs w:val="19"/>
        </w:rPr>
        <w:t>. Pārkārtoti darījumi ir “pārvirzīšana”, “sadalīšana” un “galvenā darītāja atpazīšana”.</w:t>
      </w:r>
    </w:p>
    <w:p w14:paraId="386E82F4" w14:textId="77777777" w:rsidR="00994F93" w:rsidRPr="00B03B51" w:rsidRDefault="00994F93" w:rsidP="00994F93">
      <w:pPr>
        <w:tabs>
          <w:tab w:val="left" w:pos="843"/>
        </w:tabs>
        <w:jc w:val="both"/>
        <w:rPr>
          <w:rFonts w:ascii="Times New Roman" w:eastAsia="Arial" w:hAnsi="Times New Roman" w:cs="Times New Roman"/>
          <w:noProof/>
          <w:sz w:val="24"/>
          <w:szCs w:val="19"/>
        </w:rPr>
      </w:pPr>
    </w:p>
    <w:p w14:paraId="02A29CFE"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72. Saistībā ar terminu “</w:t>
      </w:r>
      <w:r w:rsidRPr="00B03B51">
        <w:rPr>
          <w:rFonts w:ascii="Times New Roman" w:hAnsi="Times New Roman" w:cs="Times New Roman"/>
          <w:b/>
          <w:bCs/>
          <w:sz w:val="24"/>
          <w:szCs w:val="19"/>
        </w:rPr>
        <w:t>pārvirzīšana</w:t>
      </w:r>
      <w:r w:rsidRPr="00B03B51">
        <w:rPr>
          <w:rFonts w:ascii="Times New Roman" w:hAnsi="Times New Roman" w:cs="Times New Roman"/>
          <w:sz w:val="24"/>
          <w:szCs w:val="19"/>
        </w:rPr>
        <w:t xml:space="preserve">” EKS 2010 izšķir divus gadījumus. Pirmais pārvirzīšanas veids EKS 2010 1.73. punktā ir definēts šādi: </w:t>
      </w:r>
      <w:r w:rsidRPr="00B03B51">
        <w:rPr>
          <w:rFonts w:ascii="Times New Roman" w:hAnsi="Times New Roman" w:cs="Times New Roman"/>
          <w:i/>
          <w:iCs/>
          <w:sz w:val="24"/>
          <w:szCs w:val="19"/>
        </w:rPr>
        <w:t>Darījumu, ko iesaistītās vienības uztver kā tādu, kas notiek tieši starp vienībām A un C, var ierakstīt kontos kā tādu, kas netieši notiek caur trešo vienību B. Tādējādi vienu darījumu starp A un C ieraksta kā divus darījumus: vienu starp A un B un otru starp B un C. Tādā gadījumā darījumu pārvirza</w:t>
      </w:r>
      <w:r w:rsidRPr="00B03B51">
        <w:rPr>
          <w:rFonts w:ascii="Times New Roman" w:hAnsi="Times New Roman" w:cs="Times New Roman"/>
          <w:sz w:val="24"/>
          <w:szCs w:val="19"/>
        </w:rPr>
        <w:t>.</w:t>
      </w:r>
    </w:p>
    <w:p w14:paraId="336D614A" w14:textId="77777777" w:rsidR="00994F93" w:rsidRPr="00B03B51" w:rsidRDefault="00994F93" w:rsidP="00994F93">
      <w:pPr>
        <w:jc w:val="both"/>
        <w:rPr>
          <w:rFonts w:ascii="Times New Roman" w:eastAsia="Arial" w:hAnsi="Times New Roman" w:cs="Times New Roman"/>
          <w:noProof/>
          <w:sz w:val="24"/>
          <w:szCs w:val="25"/>
        </w:rPr>
      </w:pPr>
    </w:p>
    <w:p w14:paraId="063A2363" w14:textId="7E2A406B"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73. Šajā saistībā EKS 2010 1.74. punktā ir sniegts piemērs par sociālajām iemaksām, ko darba devēji iemaksā savu darbinieku vārdā. Darījuma reģistrēšana atbilst faktiskajai naudas plūsmai, t. i., parādot darba devēja un sociālā nodrošinā</w:t>
      </w:r>
      <w:r w:rsidR="0039426C" w:rsidRPr="00B03B51">
        <w:rPr>
          <w:rFonts w:ascii="Times New Roman" w:hAnsi="Times New Roman" w:cs="Times New Roman"/>
          <w:sz w:val="24"/>
        </w:rPr>
        <w:t>juma</w:t>
      </w:r>
      <w:r w:rsidRPr="00B03B51">
        <w:rPr>
          <w:rFonts w:ascii="Times New Roman" w:hAnsi="Times New Roman" w:cs="Times New Roman"/>
          <w:sz w:val="24"/>
        </w:rPr>
        <w:t xml:space="preserve"> fondu (vai citas sociālās aizsardzības vienības) darījumu, tiek parādīta tikai noteikta ekonomiskās realitātes daļa – naudas plūsma. Pārkārtojot darījums tiek pielāgots EKS 2010 jēdzieniem un definīcijām, t. i., lai parādītu, ka sociālās iemaksas ir darbinieku atalgojuma sastāvdaļa. Šajā gadījumā pārvirzīšana nozīmē, ka tiek ierakstīti divi nosacīti darījumi, t. i., tiek uzskatīts, ka darba devēji samaksā summu saviem darbiniekiem (kā atlīdzību darbiniekiem), kuri tad to pašu summu samaksā attiecīgajai sociālās aizsardzības vienībai (kā sociālās iemaksas).</w:t>
      </w:r>
    </w:p>
    <w:p w14:paraId="7F6C4CBA" w14:textId="77777777" w:rsidR="00994F93" w:rsidRPr="00B03B51" w:rsidRDefault="00994F93" w:rsidP="00994F93">
      <w:pPr>
        <w:tabs>
          <w:tab w:val="left" w:pos="843"/>
        </w:tabs>
        <w:jc w:val="both"/>
        <w:rPr>
          <w:rFonts w:ascii="Times New Roman" w:eastAsia="Arial" w:hAnsi="Times New Roman" w:cs="Times New Roman"/>
          <w:noProof/>
          <w:sz w:val="24"/>
          <w:szCs w:val="19"/>
        </w:rPr>
      </w:pPr>
    </w:p>
    <w:p w14:paraId="78C86B83"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74. Otrs pārvirzīšanas veids EKS 2010 1.75. punktā ir definēts šādi: </w:t>
      </w:r>
      <w:r w:rsidRPr="00B03B51">
        <w:rPr>
          <w:rFonts w:ascii="Times New Roman" w:hAnsi="Times New Roman" w:cs="Times New Roman"/>
          <w:i/>
          <w:sz w:val="24"/>
          <w:szCs w:val="19"/>
        </w:rPr>
        <w:t xml:space="preserve">Cits pārvirzīšanas veids attiecas uz darījumiem, ko ieraksta kā darījumus starp divām vai vairākām institucionālām vienībām, kaut gan saskaņā ar iesaistīto personu viedokli nekāds darījums vispār nenotiek. Piemērs ir no atsevišķiem apdrošināšanas fondiem nopelnītais īpašuma ienākums, kuru patur apdrošināšanas uzņēmumi. </w:t>
      </w:r>
      <w:r w:rsidRPr="00B03B51">
        <w:rPr>
          <w:rFonts w:ascii="Times New Roman" w:hAnsi="Times New Roman" w:cs="Times New Roman"/>
          <w:i/>
          <w:iCs/>
          <w:sz w:val="24"/>
          <w:szCs w:val="19"/>
        </w:rPr>
        <w:t xml:space="preserve">Sistēmā šo īpašuma ienākumu ieraksta kā tādu, ko apdrošināšanas uzņēmumi maksā polišu turētājiem, kuri tad atmaksā šo pašu summu atpakaļ apdrošināšanas </w:t>
      </w:r>
      <w:r w:rsidRPr="00B03B51">
        <w:rPr>
          <w:rFonts w:ascii="Times New Roman" w:hAnsi="Times New Roman" w:cs="Times New Roman"/>
          <w:i/>
          <w:iCs/>
          <w:sz w:val="24"/>
          <w:szCs w:val="19"/>
        </w:rPr>
        <w:lastRenderedPageBreak/>
        <w:t>uzņēmumiem kā prēmiju papildinājumus.</w:t>
      </w:r>
      <w:r w:rsidRPr="00B03B51">
        <w:rPr>
          <w:rFonts w:ascii="Times New Roman" w:hAnsi="Times New Roman" w:cs="Times New Roman"/>
          <w:sz w:val="24"/>
          <w:szCs w:val="19"/>
        </w:rPr>
        <w:t xml:space="preserve"> Arī tas ir izstrādāts, lai parādītu ekonomisko realitāti un pielāgotu faktisko situāciju EKS 2010 jēdzieniem un definīcijām. Vēl viens šāda veida pārvirzīšanas piemērs ir ārvalstu meitasuzņēmumu vai filiāļu nesadalītās peļņas uzskaite. To uzskata par mātesuzņēmuma īpašuma ienākumu, kuru savukārt uzskata par atkārtoti ieguldītu pašu kapitāla veidā. Šāda veida pārvirzīšanu bieži vien sauc par “trūkstošās vērtības aprēķināšanu”.</w:t>
      </w:r>
    </w:p>
    <w:p w14:paraId="3BD168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BAEE6E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75. Šajā saistībā “pārvirzīšana” ir darījuma ierakstīšana tādā veidā, it kā tas būtu noticis ar citu vienību starpniecību salīdzinājumā ar naudas kustību, vai arī, it kā tas no ekonomiskā viedokļa būtu noticis, kaut gan faktiski darījums avota datos nav redzams. Pārvirzīšana ir jāveic, kad vienība, kas faktiski ir darījuma izcelsmes objekts, neparādās faktiskajos uzskaites ierakstos administratīvās kārtības dēļ vai tāpēc, ka šie ieraksti parāda faktiskās maksājumu plūsmas. Vajadzības gadījumā faktiskais naudas darījums, kas parādīts pamatdatu avotos, apkopošanas procesā ir jāignorē un jāpārvirza uz attiecīgajām vienībām.</w:t>
      </w:r>
    </w:p>
    <w:p w14:paraId="2FDC0E1F" w14:textId="77777777" w:rsidR="00994F93" w:rsidRPr="00B03B51" w:rsidRDefault="00994F93" w:rsidP="00994F93">
      <w:pPr>
        <w:jc w:val="both"/>
        <w:rPr>
          <w:rFonts w:ascii="Times New Roman" w:eastAsia="Arial" w:hAnsi="Times New Roman" w:cs="Times New Roman"/>
          <w:noProof/>
          <w:sz w:val="24"/>
          <w:szCs w:val="19"/>
        </w:rPr>
      </w:pPr>
    </w:p>
    <w:p w14:paraId="281680B9" w14:textId="77777777" w:rsidR="00994F93" w:rsidRPr="00B03B51" w:rsidRDefault="00994F93" w:rsidP="00994F93">
      <w:pPr>
        <w:jc w:val="both"/>
        <w:rPr>
          <w:rFonts w:ascii="Times New Roman" w:eastAsia="Arial" w:hAnsi="Times New Roman" w:cs="Times New Roman"/>
          <w:noProof/>
          <w:sz w:val="24"/>
          <w:szCs w:val="19"/>
        </w:rPr>
      </w:pPr>
      <w:r w:rsidRPr="00B03B51">
        <w:rPr>
          <w:rFonts w:ascii="Times New Roman" w:hAnsi="Times New Roman" w:cs="Times New Roman"/>
          <w:sz w:val="24"/>
          <w:szCs w:val="19"/>
        </w:rPr>
        <w:t>76. “</w:t>
      </w:r>
      <w:r w:rsidRPr="00B03B51">
        <w:rPr>
          <w:rFonts w:ascii="Times New Roman" w:hAnsi="Times New Roman" w:cs="Times New Roman"/>
          <w:b/>
          <w:bCs/>
          <w:sz w:val="24"/>
          <w:szCs w:val="19"/>
        </w:rPr>
        <w:t>Galvenā darītāja atpazīšana</w:t>
      </w:r>
      <w:r w:rsidRPr="00B03B51">
        <w:rPr>
          <w:rFonts w:ascii="Times New Roman" w:hAnsi="Times New Roman" w:cs="Times New Roman"/>
          <w:sz w:val="24"/>
          <w:szCs w:val="19"/>
        </w:rPr>
        <w:t xml:space="preserve">” EKS 2010 1.78. punktā ir raksturota šādi: </w:t>
      </w:r>
      <w:r w:rsidRPr="00B03B51">
        <w:rPr>
          <w:rFonts w:ascii="Times New Roman" w:hAnsi="Times New Roman" w:cs="Times New Roman"/>
          <w:i/>
          <w:iCs/>
          <w:sz w:val="24"/>
          <w:szCs w:val="19"/>
        </w:rPr>
        <w:t>Ja vienība veic darījumu citas vienības vārdā (galvenais darītājs) un saņem finansējumu no šīs vienības, darījumu ieraksta tikai galvenā darītāja kontos.</w:t>
      </w:r>
      <w:r w:rsidRPr="00B03B51">
        <w:rPr>
          <w:rStyle w:val="FootnoteReference"/>
          <w:rFonts w:ascii="Times New Roman" w:eastAsia="Arial" w:hAnsi="Times New Roman" w:cs="Times New Roman"/>
          <w:noProof/>
          <w:sz w:val="24"/>
          <w:szCs w:val="19"/>
        </w:rPr>
        <w:footnoteReference w:id="44"/>
      </w:r>
      <w:r w:rsidRPr="00B03B51">
        <w:rPr>
          <w:rFonts w:ascii="Times New Roman" w:hAnsi="Times New Roman" w:cs="Times New Roman"/>
          <w:sz w:val="24"/>
          <w:szCs w:val="12"/>
        </w:rPr>
        <w:t xml:space="preserve"> </w:t>
      </w:r>
      <w:r w:rsidRPr="00B03B51">
        <w:rPr>
          <w:rFonts w:ascii="Times New Roman" w:hAnsi="Times New Roman" w:cs="Times New Roman"/>
          <w:sz w:val="24"/>
          <w:szCs w:val="19"/>
        </w:rPr>
        <w:t>Šajā gadījumā B vienība, kas veic darījumu ar C vienību A vienības vārdā, darbojas tikai kā starpnieks, kā aģents. Tādējādi darījums nav jāreģistrē B vienības kontos, bet tieši kā A un C vienības darījums. Attiecībā uz publiskām sabiedrībām nav nepieciešams, lai būtu skaidri izteikta pārfinansēšanas kārtība, jo aģents pieder galvenajam darītājam.</w:t>
      </w:r>
    </w:p>
    <w:p w14:paraId="0254FB4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1394E0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77. Termins “sadalīšana” attiecas uz dažādām situācijām, kad </w:t>
      </w:r>
      <w:r w:rsidRPr="00B03B51">
        <w:rPr>
          <w:rFonts w:ascii="Times New Roman" w:hAnsi="Times New Roman" w:cs="Times New Roman"/>
          <w:i/>
          <w:iCs/>
          <w:sz w:val="24"/>
        </w:rPr>
        <w:t>darījums, kuru puses redz kā vienu darījumu, tiek reģistrēts kā divi vai vairāki atšķirīgi klasificēti darījumi</w:t>
      </w:r>
      <w:r w:rsidRPr="00B03B51">
        <w:rPr>
          <w:rFonts w:ascii="Times New Roman" w:hAnsi="Times New Roman" w:cs="Times New Roman"/>
          <w:sz w:val="24"/>
        </w:rPr>
        <w:t xml:space="preserve"> (EKS 2010 1.77. punkts). Novērotās vērtības sadalīšana ir, piemēram, nepieciešama, ja PPP nacionālajos kontos ir reģistrēta valdības bilancē. Tad šie vienotie maksājumi, kas reģistrēti valsts budžetā, ir jāsadala vismaz trīs daļās un tiem jāpiešķir dažādi EKS darījumi (aizdevuma atmaksa, procenti un starppatēriņš). Cits labi zināms piemērs ir </w:t>
      </w:r>
      <w:r w:rsidRPr="00B03B51">
        <w:rPr>
          <w:rFonts w:ascii="Times New Roman" w:hAnsi="Times New Roman" w:cs="Times New Roman"/>
          <w:i/>
          <w:iCs/>
          <w:sz w:val="24"/>
        </w:rPr>
        <w:t>FISIM</w:t>
      </w:r>
      <w:r w:rsidRPr="00B03B51">
        <w:rPr>
          <w:rFonts w:ascii="Times New Roman" w:hAnsi="Times New Roman" w:cs="Times New Roman"/>
          <w:sz w:val="24"/>
        </w:rPr>
        <w:t xml:space="preserve"> aprēķināšana, kas paredz, ka faktiskās “procentu” plūsmas tiek sadalītas īpašuma ienākumā un starppatēriņā. Vēl viens piemērs ir kapitāla pārveduma nodalīšana no finanšu darījuma finanšu aktīva iegādes gadījumā, ko veic, pamatojoties uz nosacījumiem, kuru pamatā nav komerciāli apsvērumi. Šie ar sadalīšanu saistītie gadījumi šajā iedaļā nav aplūkoti, jo atbilstīgi norādījumi ir sniegti šīs rokasgrāmatas citās iedaļās (t. i., 3.5.2.5. iedaļā par nomas līgumiem, 3.2.3.2.2. iedaļā par aizdevumiem, 3.5.2.4. iedaļā par dividendēm un 6.1.2.5. iedaļā par pakalpojumu pārdošanu).</w:t>
      </w:r>
    </w:p>
    <w:p w14:paraId="5E733DF5" w14:textId="77777777" w:rsidR="00994F93" w:rsidRPr="00B03B51" w:rsidRDefault="00994F93" w:rsidP="00994F93">
      <w:pPr>
        <w:jc w:val="both"/>
        <w:rPr>
          <w:rFonts w:ascii="Times New Roman" w:hAnsi="Times New Roman" w:cs="Times New Roman"/>
          <w:noProof/>
          <w:sz w:val="24"/>
        </w:rPr>
      </w:pPr>
    </w:p>
    <w:p w14:paraId="061CC19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Terminoloģija</w:t>
      </w:r>
    </w:p>
    <w:p w14:paraId="183A77D3" w14:textId="77777777" w:rsidR="00994F93" w:rsidRPr="00B03B51" w:rsidRDefault="00994F93" w:rsidP="00994F93">
      <w:pPr>
        <w:jc w:val="both"/>
        <w:rPr>
          <w:rFonts w:ascii="Times New Roman" w:eastAsia="Arial" w:hAnsi="Times New Roman" w:cs="Times New Roman"/>
          <w:b/>
          <w:bCs/>
          <w:noProof/>
          <w:sz w:val="24"/>
          <w:szCs w:val="21"/>
        </w:rPr>
      </w:pPr>
    </w:p>
    <w:p w14:paraId="16138A3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78. Minētā terminoloģija, kas raksturo dažādu veidu pārkārtotus darījumus, bieži vien tiek pārprasta, un jo īpaši bieži tiek (nepareizi) lietots termins “pārvirzīšana” attiecībā uz darbībām, kas ietilpst kategorijā “galvenā darītāja atpazīšana”. Nacionālajos kontos “pārvirzīšana” atšķiras no “galvenā darītāja atpazīšanas” tādā ziņā, ka galvenā darītāja atpazīšanas gadījumā iesaistītie darījumi (kas nav neto prasījumi, kuri pastāv starp B vienību un A vienību, atainojot A vienības apņemšanos veikt atmaksu attiecīgā gadījumā) principā vispār nav jāieraksta B vienības kontos, pat ja tie parādās tās finanšu pārskatos, savukārt pārvirzīšanas gadījumā, tieši pretēji, papildu darījumi ir jāieraksta.</w:t>
      </w:r>
    </w:p>
    <w:p w14:paraId="06A9E1B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E44970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79. Šeit sniegtajos norādījumos tiek izmantots vispārējs termins “</w:t>
      </w:r>
      <w:r w:rsidRPr="00B03B51">
        <w:rPr>
          <w:rFonts w:ascii="Times New Roman" w:hAnsi="Times New Roman" w:cs="Times New Roman"/>
          <w:b/>
          <w:bCs/>
          <w:sz w:val="24"/>
        </w:rPr>
        <w:t>pārkārtošana</w:t>
      </w:r>
      <w:r w:rsidRPr="00B03B51">
        <w:rPr>
          <w:rFonts w:ascii="Times New Roman" w:hAnsi="Times New Roman" w:cs="Times New Roman"/>
          <w:sz w:val="24"/>
        </w:rPr>
        <w:t>”. Lai izlemtu, vai pārkārtots darījums ir “pārvirzīšana” vai “galvenā darītāja atpazīšana”, ir jāveic sīkāka analīze tehniskā līmenī.</w:t>
      </w:r>
    </w:p>
    <w:p w14:paraId="68638D56" w14:textId="77777777" w:rsidR="00994F93" w:rsidRPr="00B03B51" w:rsidRDefault="00994F93" w:rsidP="00994F93">
      <w:pPr>
        <w:jc w:val="both"/>
        <w:rPr>
          <w:rFonts w:ascii="Times New Roman" w:eastAsia="Arial" w:hAnsi="Times New Roman" w:cs="Times New Roman"/>
          <w:noProof/>
          <w:sz w:val="24"/>
          <w:szCs w:val="25"/>
        </w:rPr>
      </w:pPr>
    </w:p>
    <w:p w14:paraId="4E31FE3F" w14:textId="77777777" w:rsidR="00994F93" w:rsidRPr="00B03B51" w:rsidRDefault="00994F93" w:rsidP="00AF506D">
      <w:pPr>
        <w:keepNext/>
        <w:jc w:val="both"/>
        <w:rPr>
          <w:rFonts w:ascii="Times New Roman" w:hAnsi="Times New Roman" w:cs="Times New Roman"/>
          <w:b/>
          <w:noProof/>
          <w:sz w:val="24"/>
        </w:rPr>
      </w:pPr>
      <w:r w:rsidRPr="00B03B51">
        <w:rPr>
          <w:rFonts w:ascii="Times New Roman" w:hAnsi="Times New Roman" w:cs="Times New Roman"/>
          <w:b/>
          <w:sz w:val="24"/>
        </w:rPr>
        <w:t>Svarīgi punkti, kas jāizvērtē</w:t>
      </w:r>
    </w:p>
    <w:p w14:paraId="6EF3A734" w14:textId="77777777" w:rsidR="00994F93" w:rsidRPr="00B03B51" w:rsidRDefault="00994F93" w:rsidP="00AF506D">
      <w:pPr>
        <w:keepNext/>
        <w:jc w:val="both"/>
        <w:rPr>
          <w:rFonts w:ascii="Times New Roman" w:eastAsia="Arial" w:hAnsi="Times New Roman" w:cs="Times New Roman"/>
          <w:b/>
          <w:bCs/>
          <w:noProof/>
          <w:sz w:val="24"/>
          <w:szCs w:val="21"/>
        </w:rPr>
      </w:pPr>
    </w:p>
    <w:p w14:paraId="14625A73" w14:textId="77777777" w:rsidR="00994F93" w:rsidRPr="00B03B51" w:rsidRDefault="00994F93" w:rsidP="00AF506D">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80. Pirmkārt, apzīmējumu “pārkārtoti darījumi” nevar nošķirt no aplūkojamajiem/izmantotajiem avota datiem. Patiešām, apzīmējums “pārkārtošana” nepastāv pats par sevi, bet ir atkarīgs no ierakstīšanas avota datos salīdzinājumā ar EKS darījumiem. Izmantotie avota dati var būt ļoti dažādi (budžets, naudas plūsmas pārskats, peļņas un zaudējumu pārskats, bilance u. c.), to ziņošanas princips var atšķirties un dažkārt tas var būt katrai vienībai specifisks (piemēram, ne vienmēr saskaņā ar </w:t>
      </w:r>
      <w:r w:rsidRPr="00B03B51">
        <w:rPr>
          <w:rFonts w:ascii="Times New Roman" w:hAnsi="Times New Roman" w:cs="Times New Roman"/>
          <w:i/>
          <w:iCs/>
          <w:sz w:val="24"/>
        </w:rPr>
        <w:t>IFRS</w:t>
      </w:r>
      <w:r w:rsidRPr="00B03B51">
        <w:rPr>
          <w:rFonts w:ascii="Times New Roman" w:hAnsi="Times New Roman" w:cs="Times New Roman"/>
          <w:sz w:val="24"/>
        </w:rPr>
        <w:t xml:space="preserve">). Turklāt parasti iesaistītajām trim pusēm novērotie avota dati var atšķirties vai būt uzskaitīti saskaņā ar atšķirīgiem grāmatvedības standartiem. Apzīmējums “pārkārtošana” </w:t>
      </w:r>
      <w:r w:rsidRPr="00B03B51">
        <w:rPr>
          <w:rFonts w:ascii="Times New Roman" w:hAnsi="Times New Roman" w:cs="Times New Roman"/>
          <w:i/>
          <w:iCs/>
          <w:sz w:val="24"/>
        </w:rPr>
        <w:t>EDP</w:t>
      </w:r>
      <w:r w:rsidRPr="00B03B51">
        <w:rPr>
          <w:rFonts w:ascii="Times New Roman" w:hAnsi="Times New Roman" w:cs="Times New Roman"/>
          <w:sz w:val="24"/>
        </w:rPr>
        <w:t>/VFS jomā parasti attiecas uz gadījumiem, kad ierakstāmais saimnieciskais darījums atšķiras no ierakstīšanas aplūkojamās vispārējās valdības vienības avota datos (piemēram, publiska sabiedrība, kas iesaistīta kā valdības aģents, pati var pareizi atainot darījumu).</w:t>
      </w:r>
    </w:p>
    <w:p w14:paraId="1C34984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8C21B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81. Otrkārt, veicot darījumu pārkārtošanu, ir acīmredzami jāievēro sistēmas (EKS 2010) grāmatvedības pamatnoteikumi, proti: 1) jālīdzsvaro pārkārtotie darījumi (piemēram, līdzsvarotā veidā jāieraksta pārkārtotie finanšu darījumi, kas saistīti ar pārkārtotiem nefinanšu darījumiem) un 2) jāieraksta saistītie pārkārtotie krājumi un citas ekonomiskās plūsmas saskanīgi ar pārkārtotiem darījumiem. Tādējādi pārkārtotu darījumu rezultātā bieži vien tiek pārkārtota bilance, savukārt vienlaikus ar aktīva atzīšanu bilancē/atzīšanas pārtraukšanu bilancē tiek ievēroti īpaši noteikumi (piemēram, risku un priekšrocību analīze).</w:t>
      </w:r>
    </w:p>
    <w:p w14:paraId="39B1830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9FC918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82. Treškārt, un kā sekas, ja iesaistītajiem subjektiem ir dotas pilnvaras pilnīgi brīvi lemt par darbības/pasākuma veikšanu, pārkārtošana ir saskaņota ar risku un priekšrocību pieeju, kad tiek lemts, vai aktīvs ir jāatzīst subjekta kontā vai jāpārtrauc tā atzīšana. Tomēr šāda pilnīga brīvība dažkārt netiek nodrošināta subjektam, kas pieder grupai. Tas jo īpaši attiecas uz publisko sektoru, proti, valdības un 100 % publisko sabiedrību attiecībās. Īpašumtiesības ir saistītas ar tiesībām ietekmēt sabiedrību, piemēram, ar uzraudzības padomes starpniecību tiek saskaņota akcionāru sapulce vai galvenā personāla iecelšana/atcelšana. Īpašumtiesību īstenošana parasti ir saistīta ar kontroles jēdzienu nacionālajos kontos. Ja valdība tieši iejaucas publiskas sabiedrības ikdienas darbības lēmumos un darbība/rīcība tiek veikta vienīgi pēc valdības pieprasījuma, papildus risku un priekšrocību analīzei ir jāizvērtē arī citi faktori, lai secinātu par pamatā esošās ekonomiskās būtības pienācīgu atspoguļošanu nacionālajos kontos (t. i., vai tas patiesi ir sabiedrības darījums vai arī tā darbojas valdības aģenta statusā).</w:t>
      </w:r>
    </w:p>
    <w:p w14:paraId="1968277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BF9D6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83. Ceturtkārt, ne visas vienības darbības tiks pārkārtotas, jo pretējā gadījumā vienībai nebūs lēmumu autonomijas attiecībā uz tās pamatdarbību.</w:t>
      </w:r>
    </w:p>
    <w:p w14:paraId="11068510" w14:textId="77777777" w:rsidR="00994F93" w:rsidRPr="00B03B51" w:rsidRDefault="00994F93" w:rsidP="00994F93">
      <w:pPr>
        <w:jc w:val="both"/>
        <w:rPr>
          <w:rFonts w:ascii="Times New Roman" w:eastAsia="Arial" w:hAnsi="Times New Roman" w:cs="Times New Roman"/>
          <w:noProof/>
          <w:sz w:val="24"/>
          <w:szCs w:val="20"/>
        </w:rPr>
      </w:pPr>
    </w:p>
    <w:p w14:paraId="422B67F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Darījumu pārkārtošanas iemesli un apstākļi</w:t>
      </w:r>
    </w:p>
    <w:p w14:paraId="16404E91" w14:textId="77777777" w:rsidR="00994F93" w:rsidRPr="00B03B51" w:rsidRDefault="00994F93" w:rsidP="00994F93">
      <w:pPr>
        <w:jc w:val="both"/>
        <w:rPr>
          <w:rFonts w:ascii="Times New Roman" w:eastAsia="Arial" w:hAnsi="Times New Roman" w:cs="Times New Roman"/>
          <w:b/>
          <w:bCs/>
          <w:noProof/>
          <w:sz w:val="24"/>
          <w:szCs w:val="21"/>
        </w:rPr>
      </w:pPr>
    </w:p>
    <w:p w14:paraId="3C12D05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84. Valdības darījumu pārkārtošana var būt nepieciešama dažādos apstākļos attiecībā uz dažādām darbībām, ko veikušas valdības sektoram nepiederošas vienības (galvenokārt publiskas sabiedrības). Valdība var būt saistīta ar darījumiem, kas tiek pārkārtoti divu īpaši svarīgu iemeslu dēļ. Pirmkārt, tāpēc, ka tā ir darījumu ierosinātāja saistībā ar politiku, kuras mērķis ir ietekmēt ekonomikas dalībnieku rīcību. Otrkārt, tāpēc, ka valdības kontrolē ir publiskas vienības, kurām ir uzticēts veikt kādus uzdevumus. Bieži vien tas attiecas uz attīstības bankām, kā arī uz citām publiskām vienībām un dažkārt pat uz privātiem subjektiem, kuri var </w:t>
      </w:r>
      <w:r w:rsidRPr="00B03B51">
        <w:rPr>
          <w:rFonts w:ascii="Times New Roman" w:hAnsi="Times New Roman" w:cs="Times New Roman"/>
          <w:sz w:val="24"/>
        </w:rPr>
        <w:lastRenderedPageBreak/>
        <w:t>nodarboties ar noteiktu valdības intervences pasākumu īstenošanu.</w:t>
      </w:r>
    </w:p>
    <w:p w14:paraId="38D068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E4FC6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85. Darījumu, kuriem ir piemērojama pārkārtošana, izmantojot valdības kontus, piemēri ir norādīti tālāk tekstā.</w:t>
      </w:r>
      <w:r w:rsidRPr="00B03B51">
        <w:rPr>
          <w:rStyle w:val="FootnoteReference"/>
          <w:rFonts w:ascii="Times New Roman" w:hAnsi="Times New Roman" w:cs="Times New Roman"/>
          <w:noProof/>
          <w:sz w:val="24"/>
        </w:rPr>
        <w:footnoteReference w:id="45"/>
      </w:r>
    </w:p>
    <w:p w14:paraId="458599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5B44A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86. Šīs apakšiedaļas mērķis ir norādīt, kādos apstākļos dažus darījumus pārvirza, izmantojot valdības kontus. Šādu darījumu piemēri ir:</w:t>
      </w:r>
    </w:p>
    <w:p w14:paraId="1566CADD" w14:textId="77777777" w:rsidR="00994F93" w:rsidRPr="00B03B51" w:rsidRDefault="00994F93" w:rsidP="00994F93">
      <w:pPr>
        <w:jc w:val="both"/>
        <w:rPr>
          <w:rFonts w:ascii="Times New Roman" w:eastAsia="Arial" w:hAnsi="Times New Roman" w:cs="Times New Roman"/>
          <w:noProof/>
          <w:sz w:val="24"/>
          <w:szCs w:val="18"/>
        </w:rPr>
      </w:pPr>
    </w:p>
    <w:p w14:paraId="2381393C"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aizdevumi, kas piešķirti dažām vienībām pēc valdības pieprasījuma (piemēram, novēroti aviācijas nozarē);</w:t>
      </w:r>
    </w:p>
    <w:p w14:paraId="2F7D6812"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noieta tirgus instrumenti cenu stabilizācijas mērķiem (zelta vai vara cenas);</w:t>
      </w:r>
    </w:p>
    <w:p w14:paraId="790E59FF"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publisku sabiedrību akciju iegāde vai turēšana pēc valdības pieprasījuma nozares politikas iemeslu dēļ (piemēram, novērota aviācijas, dzelzceļa, aizsardzības nozarē un privatizācijas procesu laikā);</w:t>
      </w:r>
    </w:p>
    <w:p w14:paraId="369F7536"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subsīdiju vai ieguldījumu dotāciju piešķiršana dažām vienībām saistībā ar valsts politiku (piemēram, īpašas nodokļu subsīdiju shēmas atjaunojamās enerģijas atbalstam);</w:t>
      </w:r>
    </w:p>
    <w:p w14:paraId="1E606FE9"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e) finanšu aktīvu pārvaldība valdības vienību vārdā (piemēram, naudas apvienošana, ko veic ārpus vispārējās valdības klasificētās vienības);</w:t>
      </w:r>
    </w:p>
    <w:p w14:paraId="74B20892"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f) tirgus risku ierobežošana valdības vārdā;</w:t>
      </w:r>
    </w:p>
    <w:p w14:paraId="6CFFBB74"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g) preču vai pakalpojumu iegāde, lai atbalstītu kādas sabiedrības;</w:t>
      </w:r>
    </w:p>
    <w:p w14:paraId="29C73911"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h) obligāto iemaksu iekasēšana saistībā ar valdības noteikto īpašo kārtību</w:t>
      </w:r>
      <w:r w:rsidRPr="00B03B51">
        <w:rPr>
          <w:rStyle w:val="FootnoteReference"/>
          <w:rFonts w:ascii="Times New Roman" w:hAnsi="Times New Roman" w:cs="Times New Roman"/>
          <w:noProof/>
          <w:sz w:val="24"/>
        </w:rPr>
        <w:footnoteReference w:id="46"/>
      </w:r>
      <w:r w:rsidRPr="00B03B51">
        <w:rPr>
          <w:rFonts w:ascii="Times New Roman" w:hAnsi="Times New Roman" w:cs="Times New Roman"/>
          <w:sz w:val="24"/>
        </w:rPr>
        <w:t>;</w:t>
      </w:r>
    </w:p>
    <w:p w14:paraId="5AE5189E" w14:textId="77777777" w:rsidR="00994F93" w:rsidRPr="00B03B51" w:rsidRDefault="00994F93" w:rsidP="00994F93">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 pakalpojumu maksas saņemšana, kam ir nodokļu pazīmes nacionālajos kontos, utt.</w:t>
      </w:r>
    </w:p>
    <w:p w14:paraId="21EE3E44" w14:textId="77777777" w:rsidR="00994F93" w:rsidRPr="00B03B51" w:rsidRDefault="00994F93" w:rsidP="00994F93">
      <w:pPr>
        <w:jc w:val="both"/>
        <w:rPr>
          <w:rFonts w:ascii="Times New Roman" w:eastAsia="Arial" w:hAnsi="Times New Roman" w:cs="Times New Roman"/>
          <w:noProof/>
          <w:sz w:val="24"/>
          <w:szCs w:val="20"/>
        </w:rPr>
      </w:pPr>
    </w:p>
    <w:p w14:paraId="4BD77A83"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Netipiski darījumi</w:t>
      </w:r>
    </w:p>
    <w:p w14:paraId="2483DC31" w14:textId="77777777" w:rsidR="00994F93" w:rsidRPr="00B03B51" w:rsidRDefault="00994F93" w:rsidP="00994F93">
      <w:pPr>
        <w:jc w:val="both"/>
        <w:rPr>
          <w:rFonts w:ascii="Times New Roman" w:eastAsia="Arial" w:hAnsi="Times New Roman" w:cs="Times New Roman"/>
          <w:b/>
          <w:bCs/>
          <w:noProof/>
          <w:sz w:val="24"/>
          <w:szCs w:val="21"/>
        </w:rPr>
      </w:pPr>
    </w:p>
    <w:p w14:paraId="71A30D2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87. Pārkārtošana ir rūpīgi jāizvērtē arī attiecībā uz netipiskiem darījumiem, ko veic valdības sektoram nepiederošas vienības. Uzskatāms, ka darījums ir netipisks, ja tas nav vienības sagaidāmās uzņēmējdarbības sastāvdaļa. Tas tā ir jo īpaši gadījumā, ja darījums ir vienreizējs vai </w:t>
      </w:r>
      <w:r w:rsidRPr="00B03B51">
        <w:rPr>
          <w:rFonts w:ascii="Times New Roman" w:hAnsi="Times New Roman" w:cs="Times New Roman"/>
          <w:i/>
          <w:iCs/>
          <w:sz w:val="24"/>
        </w:rPr>
        <w:t>ad hoc</w:t>
      </w:r>
      <w:r w:rsidRPr="00B03B51">
        <w:rPr>
          <w:rFonts w:ascii="Times New Roman" w:hAnsi="Times New Roman" w:cs="Times New Roman"/>
          <w:sz w:val="24"/>
        </w:rPr>
        <w:t xml:space="preserve"> pasākums, kuram nav pamatojuma, kas izrietētu no vienības pamatpilnvarojuma. Darījumu neuzskata par netipisku, ja tas nozīmīgi papildina vai paplašina darbības, kas vienībai ir skaidri iepriekš noteiktas, vai ja tā veikšanai ir pienācīgi koriģēts vienības pilnvarojums. Piemēram, ja attiecīgais subjekts kopumā ir pilnvarots veikt vienīgi vietējo ekonomisko subjektu atbalsta darbības un pēkšņi tiek konstatēts, ka tas ir iesaistīts ārvalstu darījumos, tas varētu liecināt par pārkārtošanu. Var gadīties, ka pilnvarojums kopumā ļauj subjektam iesaistīties ārvalstu darījumos, bet faktiski veiktie darījumi nesaskan ar pilnvarojuma vispārīgajiem noteikumiem.</w:t>
      </w:r>
    </w:p>
    <w:p w14:paraId="173C8A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8A1E6D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88. Netipiski darījumi bieži vien var būt vienreizēji notikumi. Tomēr dažkārt netipiski darījumi var būt arī pastāvīgi, bet palikt sekundāri un nošķirti no subjekta kopējās darbības (to, piemēram, var novērot saistībā ar energotaupības shēmām).</w:t>
      </w:r>
    </w:p>
    <w:p w14:paraId="4621C2F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403C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89. Netipiskus darījumus bieži vien novēro tādās jomās kā sociālie mājokļi, palīdzība attīstības jomā, militārais dienests, finanšu stabilitātes jautājumi vai valsts aizņēmumi.</w:t>
      </w:r>
    </w:p>
    <w:p w14:paraId="7351F6D2" w14:textId="77777777" w:rsidR="00994F93" w:rsidRPr="00B03B51" w:rsidRDefault="00994F93" w:rsidP="00994F93">
      <w:pPr>
        <w:jc w:val="both"/>
        <w:rPr>
          <w:rFonts w:ascii="Times New Roman" w:eastAsia="Arial" w:hAnsi="Times New Roman" w:cs="Times New Roman"/>
          <w:noProof/>
          <w:sz w:val="24"/>
          <w:szCs w:val="20"/>
        </w:rPr>
      </w:pPr>
    </w:p>
    <w:p w14:paraId="2A76BA05" w14:textId="77777777" w:rsidR="00994F93" w:rsidRPr="00B03B51" w:rsidRDefault="00994F93" w:rsidP="00B03E08">
      <w:pPr>
        <w:keepNext/>
        <w:jc w:val="both"/>
        <w:rPr>
          <w:rFonts w:ascii="Times New Roman" w:hAnsi="Times New Roman" w:cs="Times New Roman"/>
          <w:b/>
          <w:noProof/>
          <w:sz w:val="24"/>
        </w:rPr>
      </w:pPr>
      <w:r w:rsidRPr="00B03B51">
        <w:rPr>
          <w:rFonts w:ascii="Times New Roman" w:hAnsi="Times New Roman" w:cs="Times New Roman"/>
          <w:b/>
          <w:sz w:val="24"/>
        </w:rPr>
        <w:lastRenderedPageBreak/>
        <w:t>Attīstības bankas</w:t>
      </w:r>
    </w:p>
    <w:p w14:paraId="27CB22AA" w14:textId="77777777" w:rsidR="00994F93" w:rsidRPr="00B03B51" w:rsidRDefault="00994F93" w:rsidP="00B03E08">
      <w:pPr>
        <w:keepNext/>
        <w:jc w:val="both"/>
        <w:rPr>
          <w:rFonts w:ascii="Times New Roman" w:eastAsia="Arial" w:hAnsi="Times New Roman" w:cs="Times New Roman"/>
          <w:b/>
          <w:bCs/>
          <w:noProof/>
          <w:sz w:val="24"/>
          <w:szCs w:val="21"/>
        </w:rPr>
      </w:pPr>
    </w:p>
    <w:p w14:paraId="36FDAD39" w14:textId="77777777" w:rsidR="00994F93" w:rsidRPr="00B03B51" w:rsidRDefault="00994F93" w:rsidP="00B03E08">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90. Pārkārtošana var būt vajadzīga saistībā ar attīstības banku darbībām neatkarīgi no tā, vai tās darbojas vietējos vai ārvalstu tirgos. Šo banku darbības un pakalpojumi bieži vien ir noteikti ar tiesību aktiem vai tiek īstenoti ciešā sadarbībā ar valdību.</w:t>
      </w:r>
    </w:p>
    <w:p w14:paraId="3CEB38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6F2BD8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91. Turklāt attīstības bankas parasti ir iesaistītas darbībās, kurās komercbankas nepiedāvā pilnu banku pakalpojumu klāstu, ja vispār to piedāvā, nepietiekamas rentabilitātes, augstu risku vai nodrošinājuma trūkuma dēļ. Rezultātā attīstības bankas kopumā darbojas jomās, kurās tirgus nesniedz finanšu pakalpojumus vai arī kurās šo pakalpojumu cenas tiek uzskatītas par sociāli nepieņemamām. To darbībās tādējādi ļoti bieži ir dotācijas vai subsīdijas komponents.</w:t>
      </w:r>
    </w:p>
    <w:p w14:paraId="495E969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CC362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92. Tā kā attīstības bankas parasti darbojas plašā darbību tvērumā, tas ļauj valdībai virzīt līdzekļus konkrētām programmām/darbībām saskaņā ar attīstības bankas vispārējās politikas pilnvarojumu.</w:t>
      </w:r>
    </w:p>
    <w:p w14:paraId="7EB0B91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CBA8B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93. Lai arī attīstības bankas darbībām ir raksturīga cieša saikne ar valdību, tās netiek automātiski pārkārtotas, izmantojot valdības kontus. Tomēr tās ir rūpīgi jāanalizē šajā saistībā.</w:t>
      </w:r>
    </w:p>
    <w:p w14:paraId="7B834156" w14:textId="77777777" w:rsidR="00994F93" w:rsidRPr="00B03B51" w:rsidRDefault="00994F93" w:rsidP="00994F93">
      <w:pPr>
        <w:jc w:val="both"/>
        <w:rPr>
          <w:rFonts w:ascii="Times New Roman" w:eastAsia="Arial" w:hAnsi="Times New Roman" w:cs="Times New Roman"/>
          <w:noProof/>
          <w:sz w:val="24"/>
          <w:szCs w:val="20"/>
        </w:rPr>
      </w:pPr>
    </w:p>
    <w:p w14:paraId="756E8CA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Pārkārtojamu darījumu identificēšana</w:t>
      </w:r>
    </w:p>
    <w:p w14:paraId="2D16F228" w14:textId="77777777" w:rsidR="00994F93" w:rsidRPr="00B03B51" w:rsidRDefault="00994F93" w:rsidP="00994F93">
      <w:pPr>
        <w:jc w:val="both"/>
        <w:rPr>
          <w:rFonts w:ascii="Times New Roman" w:eastAsia="Arial" w:hAnsi="Times New Roman" w:cs="Times New Roman"/>
          <w:b/>
          <w:bCs/>
          <w:noProof/>
          <w:sz w:val="24"/>
          <w:szCs w:val="21"/>
        </w:rPr>
      </w:pPr>
    </w:p>
    <w:p w14:paraId="6454BC6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94. Pārkārtojamu darījumu identificēšana ir atbildīgs uzdevums, kura veikšanai ir rūpīgi jāanalizē visi apstākļi, kas ietekmē darījuma plānošanu un izpildi. Tādējādi ir iespējams sniegt tikai vispārīgus pamatprincipus, nevis sniegt izsmeļošu šo darījumu uzskaitījumu.</w:t>
      </w:r>
    </w:p>
    <w:p w14:paraId="21CB928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9C1353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95. Turpmākajās trijās apakšiedaļās ir sniegti vispārīgi noteikumi attiecībā uz trim iespējamiem pārkārtošanas veidiem, kad valdības sektoram nepiederoša vienība 1) darbojas kā “valdības aģents” vai pēc valdības pieprasījuma, 2) kopīgi ar valdību dala darījuma/programmas riskus un priekšrocības vai 3) veic nekomerciālus darījumus. Turklāt ir uzskaitīti pietiekami un indikatīvi rādītāji, kas norāda uz šādiem iespējamiem pārkārtošanas gadījumiem.</w:t>
      </w:r>
    </w:p>
    <w:p w14:paraId="24232F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4D7E9B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96. Indikatīvi apstākļi/rādītāji ir paši par sevi pietiekami, taču tie ir sīkāk jāpārbauda. Tiklīdz tie ir noteikti, tiek gaidīts, ka fakti tiks sīkāk pārbaudīti un analizēti. Ja tomēr divi vai vairāki indikatīvi apstākļi notiek vienlaikus, kopā tas var būt pietiekami, lai parādītu pārkārtošanas vajadzību (aditivitātes princips). Turklāt lēmums par to, vai darījums vai programma ir vai nav jāpārkārto, bieži vien pēc būtības tiek pieņemts vērtējot, jo, piemēram, risku un priekšrocību uzņemšanās analīze ietver gan statistiskus, gan vērtēšanas elementus.</w:t>
      </w:r>
    </w:p>
    <w:p w14:paraId="1A2EC271" w14:textId="77777777" w:rsidR="00994F93" w:rsidRPr="00B03B51" w:rsidRDefault="00994F93" w:rsidP="00994F93">
      <w:pPr>
        <w:jc w:val="both"/>
        <w:rPr>
          <w:rFonts w:ascii="Times New Roman" w:eastAsia="Arial" w:hAnsi="Times New Roman" w:cs="Times New Roman"/>
          <w:noProof/>
          <w:sz w:val="24"/>
          <w:szCs w:val="14"/>
        </w:rPr>
      </w:pPr>
    </w:p>
    <w:p w14:paraId="0EE6275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97. Šajā rokasgrāmatā sniegtie rādītāji nav izsmeļoši, un turklāt tiem ir raksturīgs tas, ka bieži vien tie nacionālo kontu speciālistu uzmanības lokā nonāk neregulāri pa dažādiem informācijas kanāliem.</w:t>
      </w:r>
    </w:p>
    <w:p w14:paraId="2E7F261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EE52E2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98. Lai noteiktu iespējamos pārkārtojamos darījumus, statistiķiem ir jāizmanto dažādi datu avoti un nestandarta metodes, lai apkopotu informāciju. Ar statistikas apsekojumiem parasti ir iespējams konstatēt tikai tos gadījumus, kas atbilst vispārīgiem principiem. Tādējādi par daudziem (jo īpaši jauniem) gadījumiem, kas ir identificējami nestandarta (piemēram, no valsts amatpersonu mutiskiem paziņojumiem) vai indikatīvos apstākļos, statistiķi var pamatoties uz informāciju, kas sniegta ziņās, rakstos, avīzēs, ziņojumos utt.</w:t>
      </w:r>
    </w:p>
    <w:p w14:paraId="19275F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6850F0D" w14:textId="77777777" w:rsidR="00994F93" w:rsidRPr="00B03B51" w:rsidRDefault="00994F93" w:rsidP="00B03E08">
      <w:pPr>
        <w:pStyle w:val="Heading6"/>
        <w:keepNext/>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 xml:space="preserve">1.2.4.5.2. Valdības sektoram nepiederošu vienību darījumu pārkārtošana, kad šīs </w:t>
      </w:r>
      <w:r w:rsidRPr="00B03B51">
        <w:rPr>
          <w:rFonts w:ascii="Times New Roman" w:hAnsi="Times New Roman" w:cs="Times New Roman"/>
          <w:sz w:val="24"/>
        </w:rPr>
        <w:lastRenderedPageBreak/>
        <w:t>vienības rīkojas kā “valdības aģenti” vai pēc valdības pieprasījuma</w:t>
      </w:r>
    </w:p>
    <w:p w14:paraId="099F2484" w14:textId="77777777" w:rsidR="00994F93" w:rsidRPr="00B03B51" w:rsidRDefault="00994F93" w:rsidP="00B03E08">
      <w:pPr>
        <w:keepNext/>
        <w:tabs>
          <w:tab w:val="left" w:pos="843"/>
        </w:tabs>
        <w:jc w:val="both"/>
        <w:rPr>
          <w:rFonts w:ascii="Times New Roman" w:hAnsi="Times New Roman" w:cs="Times New Roman"/>
          <w:noProof/>
          <w:sz w:val="24"/>
        </w:rPr>
      </w:pPr>
    </w:p>
    <w:p w14:paraId="394897AC" w14:textId="77777777" w:rsidR="00994F93" w:rsidRPr="00B03B51" w:rsidRDefault="00994F93" w:rsidP="00B03E08">
      <w:pPr>
        <w:keepNext/>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99. Darījumi ir jāpārkārto, kad vienība rīkojas vienīgi vai galvenokārt kā valdības aģents, veicot kādus darījumus. Kā norādīts EKS 2010 20.204. punktā </w:t>
      </w:r>
      <w:r w:rsidRPr="00B03B51">
        <w:rPr>
          <w:rFonts w:ascii="Times New Roman" w:hAnsi="Times New Roman" w:cs="Times New Roman"/>
          <w:i/>
          <w:iCs/>
          <w:sz w:val="24"/>
        </w:rPr>
        <w:t>dažās valdības vienību uzsāktās darbībās var tikt iesaistīti subjekti, kas neietilpst juridiskajā valdības ietvarā, tostarp publiskas sabiedrības.</w:t>
      </w:r>
      <w:r w:rsidRPr="00B03B51">
        <w:rPr>
          <w:rFonts w:ascii="Times New Roman" w:hAnsi="Times New Roman" w:cs="Times New Roman"/>
          <w:i/>
          <w:sz w:val="24"/>
        </w:rPr>
        <w:t xml:space="preserve"> Lai arī par tām neziņo budžetā, un tās var izvairīties no parastajām kontroles procedūrām, pareizi ir tās ierakstīt valdības ieņēmumos un izdevumos. </w:t>
      </w:r>
      <w:r w:rsidRPr="00B03B51">
        <w:rPr>
          <w:rFonts w:ascii="Times New Roman" w:hAnsi="Times New Roman" w:cs="Times New Roman"/>
          <w:i/>
          <w:iCs/>
          <w:sz w:val="24"/>
        </w:rPr>
        <w:t>Tas ir tāpēc, ka EKS atzīst, kad valdība ir galvenā darbības veicēja, un publiskā sabiedrība rīkojas kā aģents</w:t>
      </w:r>
      <w:r w:rsidRPr="00B03B51">
        <w:rPr>
          <w:rFonts w:ascii="Times New Roman" w:hAnsi="Times New Roman" w:cs="Times New Roman"/>
          <w:sz w:val="24"/>
        </w:rPr>
        <w:t>.</w:t>
      </w:r>
    </w:p>
    <w:p w14:paraId="30EF7268"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D04E03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100. Precīzāk, valdības sektoram nepiederošai vienībai, vairumā gadījumu publiskai sabiedrībai, piemēram, attīstības bankai, tiek uzdots veikt darījumu pēc valdības pieprasījuma. Šajā gadījumā valdības sektoram nepiederošam subjektam ir ierobežota brīvība noteikt darījuma nosacījumus. Kamēr subjekts neveic lielākoties tikai šādus darījumus, tas nav jāpārklasificē vispārējās valdības sektorā, bet šie konkrētie darījumi ir jāpārkārto.</w:t>
      </w:r>
    </w:p>
    <w:p w14:paraId="6F1A6F0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423343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101. “Rīkoties pēc valdības pieprasījuma” neietver gadījumu, kad valdība kā subjekta īpašnieks sniedz tam tikai vispārēju pilnvarojumu (nosakot vienības vispārējo politiku un/vai stratēģiju). Konkrēts valdības pieprasījums veikt darījumu, darbību vai programmu ir skaidri jānošķir no sabiedrībai noteiktā uzņēmējdarbības pilnvarojuma, ar kuru tiek definēti subjekta darbības uzdevumi un/vai uzņēmējdarbības virzieni. Valdības sektoram nepiederošas vienības lēmumu autonomija kopumā netiek apšaubīta, ja vienībai ir lēmumu autonomija, īstenojot tās pamatdarbību saskaņā ar tās vispārējo politiku/pilnvarojumu/parasto uzņēmējdarbību.</w:t>
      </w:r>
    </w:p>
    <w:p w14:paraId="3598055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2412AEA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102. Proti, attīstības bankas var nodarboties ar ierobežotiem uzņēmējdarbības veidiem, pamatojoties uz pilnvarojumu, ko noteikusi valdība saistībā ar ES valsts atbalsta noteikumiem. Šāds valdības pilnvarojums būtiski atšķiras no minētā konkrētā valdības pieprasījuma īstenot darījumu, darbību vai programmu, un tādējādi tas nav uzskatāms par elementu, kas ierosina pārkārtošanu.</w:t>
      </w:r>
    </w:p>
    <w:p w14:paraId="7BC23B4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568854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103. Pārkārtošana ir piemērojama, tiklīdz valdība pieprasa subjektam veikt konkrētu darījumu, </w:t>
      </w:r>
      <w:r w:rsidRPr="00B03B51">
        <w:rPr>
          <w:rFonts w:ascii="Times New Roman" w:hAnsi="Times New Roman" w:cs="Times New Roman"/>
          <w:i/>
          <w:iCs/>
          <w:sz w:val="24"/>
        </w:rPr>
        <w:t>de facto</w:t>
      </w:r>
      <w:r w:rsidRPr="00B03B51">
        <w:rPr>
          <w:rFonts w:ascii="Times New Roman" w:hAnsi="Times New Roman" w:cs="Times New Roman"/>
          <w:sz w:val="24"/>
        </w:rPr>
        <w:t xml:space="preserve"> ierobežojot subjekta darbības autonomiju attiecībā uz šo konkrēto darījumu (t. i., valdība ierosina vai uzdod veikt darījumu, un vienībai nav iespējas nozīmīgi tam pretoties).</w:t>
      </w:r>
    </w:p>
    <w:p w14:paraId="75CEE6D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D7B8AD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104. Šāds pieprasījums var būt skaidri saistīts ar vienošanos pārņemt visus iesaistīto aktīvu riskus un priekšrocības, bet tas nav obligāti (piemēram, pilnībā piederošu publisku sabiedrību gadījumā), proti, a) var būt vienošanās par kādu risku un/vai priekšrocību dalīšanu vai b) var pat nebūt vienošanās par atmaksu, piemēram, ar nosacījumu, ka valdības tīrā vērtība atainos publiskās sabiedrības tīro vērtību. Šādā gadījumā risku un priekšrocību analīze nav izšķiroša. Galvenais aspekts šeit ir tas, ka valdība ir devusi subjektam norādījumu veikt darījumu, ierobežojot tā spēju neatkarīgi veikt darbības.</w:t>
      </w:r>
    </w:p>
    <w:p w14:paraId="278A634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3104AD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105. Kā piemērs minams gadījums, kad vienība savā veidā varētu tikt uzskatīta par valdības “grāmatvedības rīku”. Tas varētu parādīties oficiālos paziņojumos vai dokumentos, vai pat vienības gada pārskatā, skaidri norādot, ka vienība nenes atbildību par darījumu. Pēdējais minētais var būt atspoguļots nošķirti finanšu pārskatos. Tam var būt nozīme, ja vienība aizņemas finanšu resursus kapitāla tirgos savas darbības veikšanai.</w:t>
      </w:r>
    </w:p>
    <w:p w14:paraId="23146AC8"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1514F7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106. Valdības var dot priekšroku šāda veida vienības pakalpojumiem, nevis tieši veikt darījumu, vairāku iemeslu dēļ, piemēram, vienība ir specializējusies konkrētā jomā, tai ir augstāka efektivitāte nekā valdības administrācijai, tā ir neatkarīga no valdības administrācijas, tai ir regulāra saikne ar labuma guvējiem vai tai ir cerība, ka tiks panākts vēlamais uzskaites efekts </w:t>
      </w:r>
      <w:r w:rsidRPr="00B03B51">
        <w:rPr>
          <w:rFonts w:ascii="Times New Roman" w:hAnsi="Times New Roman" w:cs="Times New Roman"/>
          <w:sz w:val="24"/>
        </w:rPr>
        <w:lastRenderedPageBreak/>
        <w:t>publisko finanšu jomā. Ir arī novērots, ka valdība izmanto publiskas sabiedrības citu subjektu atbalstam, ja saskaņā ar valsts atbalsta noteikumiem valdībai ir liegta tieša iejaukšanās.</w:t>
      </w:r>
    </w:p>
    <w:p w14:paraId="0762DD7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76D76935"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107. Parasti, ja valdības mērķis ir sniegt labumu/atbalstu subjektam, izmantojot konkrētu darījumu vai programmu, ko īsteno valdības sektoram nepiederoša vienība, šis darījums/programma ir jāpārkārto uz valdību. Tas ir piemērojams jo īpaši gadījumos, ja valdības sektoram nepiederošai vienībai nav brīvības noteikt konkrētu saņēmēju/darījuma partneri vai noteikt subjektu grupai konkrētā darījuma būtiskus raksturlielumus (piemēram, apjomu, dzēšanas termiņu, iekasētos procentus/cenu).</w:t>
      </w:r>
      <w:r w:rsidRPr="00B03B51">
        <w:rPr>
          <w:rStyle w:val="FootnoteReference"/>
          <w:rFonts w:ascii="Times New Roman" w:hAnsi="Times New Roman" w:cs="Times New Roman"/>
          <w:noProof/>
          <w:sz w:val="24"/>
        </w:rPr>
        <w:footnoteReference w:id="47"/>
      </w:r>
      <w:r w:rsidRPr="00B03B51">
        <w:rPr>
          <w:rFonts w:ascii="Times New Roman" w:hAnsi="Times New Roman" w:cs="Times New Roman"/>
          <w:sz w:val="24"/>
        </w:rPr>
        <w:t xml:space="preserve"> Šādā situācijā valdības sektoram nepiederoša vienība rīkojas drīzāk kā valdības aģents, pat ja valdības sektoram nepiederoša vienība var noteikt dažus raksturlielumus un/vai uzņemties riskus, un/vai gūt priekšrocības saistībā ar šo konkrēto darījumu/programmu.</w:t>
      </w:r>
    </w:p>
    <w:p w14:paraId="40EC18E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C8533E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108. Šis vispārīgais noteikums neattiecas uz gadījumiem, kuros valdība uzdod valdības sektoram nepiederošai vienībai tikai sadalīt valdības līdzekļus, kuri jau ir ierakstīti valdības kontos (piemēram, par aizdevumu turpmāku aizdošanu vai subsīdiju/dotāciju sadali). Šādi valdības līdzekļi var tikt uzrādīti valdības sektoram nepiederošas vienības līmenī kā produktu subsīdijas, vienlaikus saņēmējam tie var būt ražošanas subsīdijas (piemēram, dotācija par iekasētajiem procentiem). Tomēr, ja ir pierādījums, ka subsīdija primāri ir paredzēta valdības sektoram nepiederošas vienības atbalstam, nevis galasaņēmēja atbalstam, subsīdija ir uzskatāma par valdības sektoram nepiederošas vienības ražošanas subsīdiju, kā rezultātā var rasties vajadzība šo vienību pārklasificēt (ja šajā gadījumā vienība neizpilda kvantitatīvo 50 % kritēriju).</w:t>
      </w:r>
    </w:p>
    <w:p w14:paraId="5D25362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779A6A9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109. Rezultātā ir jāanalizē, vai valdība nominē saņēmēju/darījuma partneri vai arī tās mērķis ir sniegt labumu subjektam, izmantojot konkrētu darījumu vai programmu.</w:t>
      </w:r>
    </w:p>
    <w:p w14:paraId="79F77A64" w14:textId="77777777" w:rsidR="00994F93" w:rsidRPr="00B03B51" w:rsidRDefault="00994F93" w:rsidP="00994F93">
      <w:pPr>
        <w:tabs>
          <w:tab w:val="left" w:pos="987"/>
        </w:tabs>
        <w:jc w:val="both"/>
        <w:rPr>
          <w:rFonts w:ascii="Times New Roman" w:hAnsi="Times New Roman" w:cs="Times New Roman"/>
          <w:noProof/>
          <w:sz w:val="24"/>
        </w:rPr>
      </w:pPr>
    </w:p>
    <w:p w14:paraId="261F4B3C" w14:textId="77777777" w:rsidR="00994F93" w:rsidRPr="00B03B51" w:rsidRDefault="00994F93" w:rsidP="00994F93">
      <w:pPr>
        <w:tabs>
          <w:tab w:val="left" w:pos="987"/>
        </w:tabs>
        <w:jc w:val="both"/>
        <w:rPr>
          <w:rFonts w:ascii="Times New Roman" w:hAnsi="Times New Roman" w:cs="Times New Roman"/>
          <w:noProof/>
          <w:sz w:val="24"/>
        </w:rPr>
      </w:pPr>
      <w:r w:rsidRPr="00B03B51">
        <w:rPr>
          <w:rFonts w:ascii="Times New Roman" w:hAnsi="Times New Roman" w:cs="Times New Roman"/>
          <w:sz w:val="24"/>
        </w:rPr>
        <w:t xml:space="preserve">110. Šajā kontekstā ir uzskatāms, ka jebkurš no turpmāk minētajiem rādītājiem ir </w:t>
      </w:r>
      <w:r w:rsidRPr="00B03B51">
        <w:rPr>
          <w:rFonts w:ascii="Times New Roman" w:hAnsi="Times New Roman" w:cs="Times New Roman"/>
          <w:b/>
          <w:bCs/>
          <w:sz w:val="24"/>
        </w:rPr>
        <w:t>pietiekams pārkārtošanai</w:t>
      </w:r>
      <w:r w:rsidRPr="00B03B51">
        <w:rPr>
          <w:rFonts w:ascii="Times New Roman" w:hAnsi="Times New Roman" w:cs="Times New Roman"/>
          <w:sz w:val="24"/>
        </w:rPr>
        <w:t>:</w:t>
      </w:r>
    </w:p>
    <w:p w14:paraId="19960ED9" w14:textId="77777777" w:rsidR="00994F93" w:rsidRPr="00B03B51" w:rsidRDefault="00994F93" w:rsidP="00994F93">
      <w:pPr>
        <w:tabs>
          <w:tab w:val="left" w:pos="987"/>
        </w:tabs>
        <w:jc w:val="both"/>
        <w:rPr>
          <w:rFonts w:ascii="Times New Roman" w:eastAsia="Arial" w:hAnsi="Times New Roman" w:cs="Times New Roman"/>
          <w:noProof/>
          <w:sz w:val="24"/>
          <w:szCs w:val="19"/>
        </w:rPr>
      </w:pPr>
    </w:p>
    <w:p w14:paraId="2CC44A5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ir pierādījums, ka valdība ir pieprasījusi vienībai veikt konkrētu darījumu dažādu norādījumu veidā (dekrēts, oficiāla vēstule, oficiāls paziņojums utt.).</w:t>
      </w:r>
      <w:r w:rsidRPr="00B03B51">
        <w:rPr>
          <w:rStyle w:val="FootnoteReference"/>
          <w:rFonts w:ascii="Times New Roman" w:hAnsi="Times New Roman" w:cs="Times New Roman"/>
          <w:noProof/>
          <w:sz w:val="24"/>
        </w:rPr>
        <w:footnoteReference w:id="48"/>
      </w:r>
      <w:r w:rsidRPr="00B03B51">
        <w:rPr>
          <w:rFonts w:ascii="Times New Roman" w:hAnsi="Times New Roman" w:cs="Times New Roman"/>
          <w:sz w:val="24"/>
        </w:rPr>
        <w:t xml:space="preserve"> Tostarp:</w:t>
      </w:r>
    </w:p>
    <w:p w14:paraId="0164A53B"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0D236FB3" w14:textId="77777777" w:rsidR="00994F93" w:rsidRPr="00B03B51" w:rsidRDefault="00994F93" w:rsidP="00994F93">
      <w:pPr>
        <w:pStyle w:val="BodyText"/>
        <w:numPr>
          <w:ilvl w:val="2"/>
          <w:numId w:val="27"/>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aizdevumu piešķiršana dažām vienībām pēc valdības pieprasījuma. Šeit ietilpst arī gadījumi, kad valdība paraksta vienošanos par aizdevuma izsniegšanu trešām personām (parasti trešām valstīm) un šo aizdevumu izsniegšana un nosacījumu noteikšana ir deleģēta valdības sektoram nepiederošai vienībai (visbiežāk attīstības bankai);</w:t>
      </w:r>
    </w:p>
    <w:p w14:paraId="2380E066" w14:textId="77777777" w:rsidR="00994F93" w:rsidRPr="00B03B51" w:rsidRDefault="00994F93" w:rsidP="00994F93">
      <w:pPr>
        <w:pStyle w:val="BodyText"/>
        <w:numPr>
          <w:ilvl w:val="2"/>
          <w:numId w:val="27"/>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publiskas sabiedrības akciju iegāde vai turēšana pēc valdības pieprasījuma nozares politikas iemeslu dēļ (piemēram, aviācijas, dzelzceļa, aizsardzības nozarē un privatizācijas procesu laikā);</w:t>
      </w:r>
    </w:p>
    <w:p w14:paraId="222D7B24"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45D9DA40"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valdība iepriekšēji nosaka gandrīz visus</w:t>
      </w:r>
      <w:r w:rsidRPr="00B03B51">
        <w:rPr>
          <w:rStyle w:val="FootnoteReference"/>
          <w:rFonts w:ascii="Times New Roman" w:hAnsi="Times New Roman" w:cs="Times New Roman"/>
          <w:noProof/>
          <w:sz w:val="24"/>
        </w:rPr>
        <w:footnoteReference w:id="49"/>
      </w:r>
      <w:r w:rsidRPr="00B03B51">
        <w:rPr>
          <w:rFonts w:ascii="Times New Roman" w:hAnsi="Times New Roman" w:cs="Times New Roman"/>
          <w:sz w:val="24"/>
        </w:rPr>
        <w:t xml:space="preserve"> darījuma vai programmas nosacījumus un prasības (piemēram, procentu likmi, atsevišķus saņēmējus, atmaksas nosacījumus, aizdevuma summas), tādējādi vienības spēja faktiski ietekmēt līgumu kļūst niecīga;</w:t>
      </w:r>
    </w:p>
    <w:p w14:paraId="519693F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18B8450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vispārējās valdības amatpersonas veido vairākumu investīciju komitejās, kuras faktiski lemj par to, vai vienībai ir jāveic viens vai vairāki konkrētie darījumi. Uzskatāms, ka vispārējās valdības amatpersona ir persona, kas pārstāv valdības izpildvaru, un šī amatpersona var būt pat valdības likumdošanas vai tiesu varas pārstāvis (skat. šīs rokasgrāmatas 1.2.2. iedaļas 12. rindkopu).</w:t>
      </w:r>
    </w:p>
    <w:p w14:paraId="703DCC07"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DC90D4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111. Par pārkārtošanu turklāt var liecināt šādi </w:t>
      </w:r>
      <w:r w:rsidRPr="00B03B51">
        <w:rPr>
          <w:rFonts w:ascii="Times New Roman" w:hAnsi="Times New Roman" w:cs="Times New Roman"/>
          <w:b/>
          <w:bCs/>
          <w:sz w:val="24"/>
        </w:rPr>
        <w:t>indikatīvi</w:t>
      </w:r>
      <w:r w:rsidRPr="00B03B51">
        <w:rPr>
          <w:rFonts w:ascii="Times New Roman" w:hAnsi="Times New Roman" w:cs="Times New Roman"/>
          <w:sz w:val="24"/>
        </w:rPr>
        <w:t xml:space="preserve"> rādītāji:</w:t>
      </w:r>
    </w:p>
    <w:p w14:paraId="750E0885"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3669BFF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ir citi apliecinājumi, ka darījums/programma tiek īstenots pēc valdības pieprasījuma un valdības sektoram nepiederošai vienībai ir ierobežota brīvība noteikt nosacījumus. Tie ir, piemēram, attiecīgo vienību, uzraudzības iestāžu vai revidentu paziņojumi, kas sniegti gada pārskatos, utt. Dažkārt tie var būt pat valdības amatpersonu sniegti mutiski paziņojumi;</w:t>
      </w:r>
    </w:p>
    <w:p w14:paraId="11F64511"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2FC46AF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valdības sektoram nepiederoša vienība veic uzdevumus, kas patiesībā ir valdības atbildība vai uz kuriem attiecas valsts politikas mērķi/apņemšanās. Šādos gadījumos ir jāanalizē, vai vienība rīkojas savās interesēs vai kā valdības aģents – pat ja nav skaidras norādes, ka subjekts rīkojas valdības vārdā;</w:t>
      </w:r>
    </w:p>
    <w:p w14:paraId="1D47DAF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8A75A9E"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ja darījums vai programma iepriekš tika tieši administrēti un ierakstīti valdības kontos (ar attiecīgajiem krājumiem un plūsmām) un pēc tam pārvietoti uz vienību ar nelielām attiecīgo parametru izmaiņām vai vispār bez izmaiņām;</w:t>
      </w:r>
    </w:p>
    <w:p w14:paraId="774C3E0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2F4A28E"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aizdevumi, kas kļuvuši par Parīzes kluba</w:t>
      </w:r>
      <w:r w:rsidRPr="00B03B51">
        <w:rPr>
          <w:rStyle w:val="FootnoteReference"/>
          <w:rFonts w:ascii="Times New Roman" w:hAnsi="Times New Roman" w:cs="Times New Roman"/>
          <w:noProof/>
          <w:sz w:val="24"/>
        </w:rPr>
        <w:footnoteReference w:id="50"/>
      </w:r>
      <w:r w:rsidRPr="00B03B51">
        <w:rPr>
          <w:rFonts w:ascii="Times New Roman" w:hAnsi="Times New Roman" w:cs="Times New Roman"/>
          <w:sz w:val="24"/>
        </w:rPr>
        <w:t xml:space="preserve"> sarunu objektu, ja tos ir sniegusi nevis tieši valdība, bet citas publiskas finanšu iestādes, kas bieži vien ir attīstības bankas.</w:t>
      </w:r>
    </w:p>
    <w:p w14:paraId="3E0CFFEC" w14:textId="77777777" w:rsidR="00994F93" w:rsidRPr="00B03B51" w:rsidRDefault="00994F93" w:rsidP="00994F93">
      <w:pPr>
        <w:ind w:left="284"/>
        <w:jc w:val="both"/>
        <w:rPr>
          <w:rFonts w:ascii="Times New Roman" w:eastAsia="Arial" w:hAnsi="Times New Roman" w:cs="Times New Roman"/>
          <w:noProof/>
          <w:sz w:val="24"/>
          <w:szCs w:val="26"/>
        </w:rPr>
      </w:pPr>
    </w:p>
    <w:p w14:paraId="13C2CE83" w14:textId="4B750D73"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Pārkārtošana ir jāveic, ja valdības amatpersonas nerīkojas publiskas finanšu iestādes/attīstības bankas interesēs (t. i., maksimāli atgūt līdzekļus vai izpildīt publiskas finanšu iestādes/attīstības bankas vispārējo pilnvarojumu). Tas tā ir jo īpaši gadījumos, ja sarunu rezultātā tiek panākts būtisks parāda </w:t>
      </w:r>
      <w:r w:rsidR="0071541E" w:rsidRPr="00B03B51">
        <w:rPr>
          <w:rFonts w:ascii="Times New Roman" w:hAnsi="Times New Roman" w:cs="Times New Roman"/>
          <w:sz w:val="24"/>
        </w:rPr>
        <w:t>anulēšanas</w:t>
      </w:r>
      <w:r w:rsidRPr="00B03B51">
        <w:rPr>
          <w:rFonts w:ascii="Times New Roman" w:hAnsi="Times New Roman" w:cs="Times New Roman"/>
          <w:sz w:val="24"/>
        </w:rPr>
        <w:t xml:space="preserve"> komponents, tādējādi atlikusī aizdevuma daļa ir jāpārkārto uz valdību.</w:t>
      </w:r>
    </w:p>
    <w:p w14:paraId="33793FE6" w14:textId="77777777" w:rsidR="00994F93" w:rsidRPr="008A2DC9" w:rsidRDefault="00994F93" w:rsidP="008A2DC9">
      <w:pPr>
        <w:rPr>
          <w:rFonts w:ascii="Times New Roman" w:hAnsi="Times New Roman" w:cs="Times New Roman"/>
          <w:noProof/>
          <w:sz w:val="24"/>
          <w:szCs w:val="24"/>
        </w:rPr>
      </w:pPr>
    </w:p>
    <w:p w14:paraId="4D9518E5"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1.2.4.5.3. Tādu darījumu pārkārtošana, ko veikušas valdības sektoram nepiederošas vienības, pamatojoties uz riskiem un priekšrocībām</w:t>
      </w:r>
    </w:p>
    <w:p w14:paraId="6BE8E7D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112734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112. Parastos apstākļos aktīvu ieraksta tā subjekta bilancē, kas uzņemas ar šo aktīvu saistītos riskus un priekšrocības. Pārkārtošana ir jāveic, ja </w:t>
      </w:r>
      <w:r w:rsidRPr="00B03B51">
        <w:rPr>
          <w:rFonts w:ascii="Times New Roman" w:hAnsi="Times New Roman" w:cs="Times New Roman"/>
          <w:i/>
          <w:iCs/>
          <w:sz w:val="24"/>
        </w:rPr>
        <w:t>de iure</w:t>
      </w:r>
      <w:r w:rsidRPr="00B03B51">
        <w:rPr>
          <w:rFonts w:ascii="Times New Roman" w:hAnsi="Times New Roman" w:cs="Times New Roman"/>
          <w:sz w:val="24"/>
        </w:rPr>
        <w:t xml:space="preserve"> vai </w:t>
      </w:r>
      <w:r w:rsidRPr="00B03B51">
        <w:rPr>
          <w:rFonts w:ascii="Times New Roman" w:hAnsi="Times New Roman" w:cs="Times New Roman"/>
          <w:i/>
          <w:iCs/>
          <w:sz w:val="24"/>
        </w:rPr>
        <w:t>de facto</w:t>
      </w:r>
      <w:r w:rsidRPr="00B03B51">
        <w:rPr>
          <w:rFonts w:ascii="Times New Roman" w:hAnsi="Times New Roman" w:cs="Times New Roman"/>
          <w:sz w:val="24"/>
        </w:rPr>
        <w:t xml:space="preserve"> galvenais darītājs uzņemas visus riskus un priekšrocības saistībā ar aktīvu, kurš kāda iemesla dēļ neparādās tā bilancē (un, domājams, parādās aģenta bilancē), vai, ja ir ieteicams, darījumā iesaistītās puses bilancē ierakstīt aktīvu un attiecīgās saistības, lai pareizi atspoguļotu šīs darījuma puses iesaisti vai risku un priekšrocību dalīšanu (skat. iepriekš).</w:t>
      </w:r>
    </w:p>
    <w:p w14:paraId="1BDE2F4F"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i/>
          <w:noProof/>
          <w:sz w:val="24"/>
        </w:rPr>
      </w:pPr>
    </w:p>
    <w:p w14:paraId="35C9B77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iCs/>
          <w:sz w:val="24"/>
        </w:rPr>
        <w:t xml:space="preserve">113. </w:t>
      </w:r>
      <w:r w:rsidRPr="00B03B51">
        <w:rPr>
          <w:rFonts w:ascii="Times New Roman" w:hAnsi="Times New Roman" w:cs="Times New Roman"/>
          <w:i/>
          <w:sz w:val="24"/>
        </w:rPr>
        <w:t>A priori</w:t>
      </w:r>
      <w:r w:rsidRPr="00B03B51">
        <w:rPr>
          <w:rFonts w:ascii="Times New Roman" w:hAnsi="Times New Roman" w:cs="Times New Roman"/>
          <w:sz w:val="24"/>
        </w:rPr>
        <w:t>, ja piemēro pareizu uzskaiti, avota datiem ir jāparāda, ka aktīvs ir galvenā darītāja bilancē, kad tas uzņemas riskus un priekšrocības. Savukārt aģentam savā bilancē nav jāparāda šis aktīvs. Ja tas to dara, aktīvu var ierakstīt bilances nošķirtajā daļā kopā ar attiecīgo saistību ierakstu, lai neitralizētu ietekmi uz aģenta neto aktīviem. Tomēr praksē avota datos (galvenā darītāja un tā aģenta datos), kurus izmanto statistikas veidotāji, var atrast visu veidu situācijas. Tādējādi var rasties vajadzība veikt pārkārtošanu.</w:t>
      </w:r>
    </w:p>
    <w:p w14:paraId="16908BA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2495DD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114. Pārkārtošanu var arī veikt, ja vienība noteiktos apstākļos, kas paskaidroti turpmākā izklāstā, rīkojas saskaņā ar būtisku valdības iesaisti, neuzņemoties riskus (vai uzņemoties mazus riskus), bet gūstot priekšrocības.</w:t>
      </w:r>
    </w:p>
    <w:p w14:paraId="13A16CA7"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2D205F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115. Vienība šajā gadījumā rīkojas nevis tikai kā valdības aģents, bet gan parasti vairāk iesaistās darījuma īstenošanā. Piemēram, vienībai ir stimuls sniegt labākos darbības rezultātus un saņemt atlīdzību lielākas saimnieciskās darbības peļņas normas veidā (ko bieži vien maksā valdība). Šādā situācijā valdības ietekmi parāda tas, ka tā ir iesaistījusies programmas izstrādē (piemēram, lai atbalstītu MVU), vai tas, ka valdība darījumam vai programmai, kas parasti ir sabiedrības pamatuzdevums, nosaka būtiskus nosacījumus (piemēram, apjomu, darījuma partneri un/vai cenu/piemērotos procentus).</w:t>
      </w:r>
    </w:p>
    <w:p w14:paraId="3E3B3FD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20C67D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116. Valdība parasti uzņemas riskus, noteiktu esošo garantiju vai citu pasākumu veidā. Kopumā tikai tas vien, ka pastāv garantijas, neietekmē aktīvu un saistību klasifikāciju, jo sistēma kopumā uzskata garantijas par iespējamām saistībām. Tomēr, ja garantija vai garantijai līdzīga kārtība ir skaidri saistīta ar valdības būtisku iesaisti programmas vai darījuma izstrādē, to uzskata par īpaši tam paredzētu garantijas kārtību, kurai nepieciešama pārkārtošana.</w:t>
      </w:r>
    </w:p>
    <w:p w14:paraId="30F90D1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5D78A8C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117. Savukārt garantijām, kuras paredzētas aktīviem vai saistībām, ja pastāv vispārējas garantijas aktīviem un/vai saistībām, kā arī dažu veidu netiešās saistības, piemēram, institucionālās saistības, tas nav rādītājs, ka jāveic pārkārtošana, bet tās ir sīki jāanalizē saistībā ar paša subjekta sektoru klasifikāciju. Tās ir vispārīgāks visa subjekta vai tā kreditoru aizsardzības veids.</w:t>
      </w:r>
    </w:p>
    <w:p w14:paraId="78EF3D8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D17FAC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118. Saistībā ar iepriekš minēto, jebkurš no turpmākajiem rādītājiem ir </w:t>
      </w:r>
      <w:r w:rsidRPr="00B03B51">
        <w:rPr>
          <w:rFonts w:ascii="Times New Roman" w:hAnsi="Times New Roman" w:cs="Times New Roman"/>
          <w:b/>
          <w:bCs/>
          <w:sz w:val="24"/>
        </w:rPr>
        <w:t>pietiekams</w:t>
      </w:r>
      <w:r w:rsidRPr="00B03B51">
        <w:rPr>
          <w:rFonts w:ascii="Times New Roman" w:hAnsi="Times New Roman" w:cs="Times New Roman"/>
          <w:sz w:val="24"/>
        </w:rPr>
        <w:t xml:space="preserve"> pārkārtošanas veikšanai:</w:t>
      </w:r>
    </w:p>
    <w:p w14:paraId="6BFB4CB9"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22BB3F2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valdība uzņemas lielāko daļu ar aktīvu saistīto risku un priekšrocību, lai arī aktīva likumīgās īpašumtiesības pieder valdības sektoram neiederošai vienībai. Tostarp tas attiecas uz gadījumiem, kad valdības vārdā valdības sektoram nepiederoša vienība pārvalda finanšu aktīvus (piemēram, naudas apvienošana), nodrošina tirgus risku ierobežošanu vai pārdod tirgus instrumentus cenu stabilizācijas vajadzībām (zelta vai vara cena);</w:t>
      </w:r>
    </w:p>
    <w:p w14:paraId="0472B561"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FA5078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kad valdība nosaka darījumam/programmai būtiskus nosacījumus un subjektam tiek kompensēta vismaz puse no saistītajiem zaudējumiem. Tas jo īpaši ir gadījumā, ja līdz ar darījumu vai programmu tiek sniegtas valsts papildu garantijas par saistītajiem aktīviem un/vai saistībām.</w:t>
      </w:r>
    </w:p>
    <w:p w14:paraId="391EB636" w14:textId="77777777" w:rsidR="00994F93" w:rsidRPr="008A2DC9" w:rsidRDefault="00994F93" w:rsidP="008A2DC9">
      <w:pPr>
        <w:rPr>
          <w:rFonts w:ascii="Times New Roman" w:hAnsi="Times New Roman" w:cs="Times New Roman"/>
          <w:noProof/>
          <w:sz w:val="24"/>
          <w:szCs w:val="24"/>
        </w:rPr>
      </w:pPr>
    </w:p>
    <w:p w14:paraId="6A410C3B"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1.2.4.5.4. Pārkārtošana saistībā ar nekomerciāliem darījumiem, ko veic valdības sektoram nepiederošas vienības</w:t>
      </w:r>
    </w:p>
    <w:p w14:paraId="5C7F32B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6CA477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119. Pārkārtošana ir arī jāizvērtē saistībā ar nekomerciāliem darījumiem, ko veic valdības sektoram nepiederošas vienības. Šādos gadījumos jau darbību raksturlielumi (piemēram, ienākuma un bagātības pārdale, strukturālie zaudējumi) varētu pietiekami liecināt par valdības ietekmes esamību un to, ka ir nepieciešama pārkārtošana.</w:t>
      </w:r>
    </w:p>
    <w:p w14:paraId="6923782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0C5D35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120. Ja valdības sektoram nepiederoša vienība veic darījumu, kura rezultātā </w:t>
      </w:r>
      <w:r w:rsidRPr="00B03B51">
        <w:rPr>
          <w:rFonts w:ascii="Times New Roman" w:hAnsi="Times New Roman" w:cs="Times New Roman"/>
          <w:i/>
          <w:iCs/>
          <w:sz w:val="24"/>
        </w:rPr>
        <w:t>de facto</w:t>
      </w:r>
      <w:r w:rsidRPr="00B03B51">
        <w:rPr>
          <w:rFonts w:ascii="Times New Roman" w:hAnsi="Times New Roman" w:cs="Times New Roman"/>
          <w:sz w:val="24"/>
        </w:rPr>
        <w:t xml:space="preserve"> notiek ienākuma un bagātības pārdale, tas ir pietiekams rādītājs pārkārtošanas veikšanai, jo tas ir valdības uzdevums. Ienākuma pārdale bieži vien tiek maskēta kā cenas koriģēšana (piemēram, nodevas), lai gan būtībā tas ir nodokļa, subsīdijas vai sociālā pabalsta mehānisms. Tas tā ir jo </w:t>
      </w:r>
      <w:r w:rsidRPr="00B03B51">
        <w:rPr>
          <w:rFonts w:ascii="Times New Roman" w:hAnsi="Times New Roman" w:cs="Times New Roman"/>
          <w:sz w:val="24"/>
        </w:rPr>
        <w:lastRenderedPageBreak/>
        <w:t>īpaši gadījumā, ja valdība stimulē atjaunojamo enerģiju, kad valdības sektoram nepiederoši subjekti iekasē nodokļus un sniedz subsīdijas esošās enerģijas cenu sistēmas aizsegā. Līdzīgi valdība varētu izmantot valdības sektoram nepiederošus subjektus, lai sniegtu investīciju dotācijas, procentu/izpirkšanas subsīdijas vai citas dotācijas sabiedrībām, privātām mājsaimniecībām vai bezpeļņas iestādēm.</w:t>
      </w:r>
    </w:p>
    <w:p w14:paraId="1049F35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009540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121. Pārkārtošana ir jāpiemēro arī tad, ja vienība kopumā rīkojas kā tirgus ražotājs attiecībā uz konkrēto darījumu/programmu, tomēr nevar parādīt, ka tā cenšas noteikt ekonomiski nozīmīgas cenas attiecīgajām precēm, kā noteikts EKS 2010 3.19. punktā un EKS 2010 20.23. punktā.</w:t>
      </w:r>
    </w:p>
    <w:p w14:paraId="00E9815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9129BB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122. Pārkārtošana ir nepieciešama arī gadījumā, kad valdības sektoram nepiederošas vienības cenas ir iepriekš noteiktas vai grozītas (paaugstinātas cenas vai pazeminātas cenas) valsts politikas nodrošināšanas mērķiem. Piemēram, valdība var prasīt, lai valdības sektoram nepiederoša vienība iegādājas no konkrētas sabiedrības/pārdod konkrētai sabiedrībai preces un pakalpojumus par augstākām/zemākām cenām, lai atbalstītu citu sabiedrību.</w:t>
      </w:r>
    </w:p>
    <w:p w14:paraId="79EC0E0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FE2927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123. Tomēr darījumi, kuru noteikumi ir zemāki par parastajiem tirgus noteikumiem, ne vienmēr ir saistīti ar valdības iejaukšanos un bieži vien ir novērojami saistībā ar uzņēmuma mērķi palielināt piegādes vai konkurences spiedienu uz cenu (piemēram, atvērt elektrības vai telefona tirgus). Pakalpojumu sniegšana ar zemākiem noteikumiem nekā tirgus noteikumi bieži vien ir novērojama saistībā ar šķērssubsidēšanas darbībām privātās sabiedrībās (t. i., ar dažu darbību ieņēmumiem tiek atbalstītas citas mazāk rentablas vai pat zaudējumus nesošas darbības).</w:t>
      </w:r>
    </w:p>
    <w:p w14:paraId="621AAC2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44A95C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124. Saistībā ar iepriekš minēto turpmākie rādītāji ir </w:t>
      </w:r>
      <w:r w:rsidRPr="00B03B51">
        <w:rPr>
          <w:rFonts w:ascii="Times New Roman" w:hAnsi="Times New Roman" w:cs="Times New Roman"/>
          <w:b/>
          <w:bCs/>
          <w:sz w:val="24"/>
        </w:rPr>
        <w:t>indikatīvi</w:t>
      </w:r>
      <w:r w:rsidRPr="00B03B51">
        <w:rPr>
          <w:rFonts w:ascii="Times New Roman" w:hAnsi="Times New Roman" w:cs="Times New Roman"/>
          <w:sz w:val="24"/>
        </w:rPr>
        <w:t xml:space="preserve"> pārkārtošanas veikšanai:</w:t>
      </w:r>
    </w:p>
    <w:p w14:paraId="2C5FDB31"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7468A49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nosacījumi, kas tiek izmantoti līgumā vai nolīgumā starp uzņēmuma partneriem un valdības sektoram nepiederošu subjektu, ir ievērojami zemāki nekā nosacījumi, ko parasti piemēro subjekts pēc produktu subsīdijas uzskaites. Jo īpaši tas ir gadījumā, kad saskaņotie noteikumi neļauj segt saistītās administrēšanas vai aizņēmuma izmaksas (tostarp pašu kapitāla alternatīvās izmaksas). Ja subjekts pastāvīgi darbojas saskaņā ar ārpustirgus noteikumiem, lietderīgāk ir pārklasificēt vienību nekā veikt pārkārtošanu;</w:t>
      </w:r>
    </w:p>
    <w:p w14:paraId="6D80159E"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5CA2E8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līgumā vai nolīgumā starp uzņēmējdarbības partneriem un valdības sektoram nepiederošu subjektu ir ietverta valdības subsīdija ražošanai (nevis produktu subsīdija), un tikai šā iemesla dēļ valdības sektoram nepiederošajam subjektam šīs darbības pastāvīgi nerada zaudējumus;</w:t>
      </w:r>
    </w:p>
    <w:p w14:paraId="1867F30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6E3CC7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līgums vai nolīgums, ko īsteno valdības sektoram nepiederoša vienība, ir pamatā saistīts ar zaudējumiem pēc produktu subsīdiju atskaitīšanas;</w:t>
      </w:r>
    </w:p>
    <w:p w14:paraId="4C2767B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1EC2AEB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vienība iesaistās finanšu un nefinanšu iestāžu/sabiedrību glābšanas darbībās, jo īpaši, ja iepriekš tai nav bijušas darījumu attiecības vai ja tās ir bijušas salīdzinoši nenozīmīgas, un uzņemtais slogs ir nesamērīgs pret iespējamajiem ieguvumiem, ko rada šādas darbības.</w:t>
      </w:r>
    </w:p>
    <w:p w14:paraId="2DB4CCF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C28D61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125. Pretstatā tam ārkārtas vai gadījuma zaudējumi, kas attiecas uz konkrētu darījumu līdzīgu darījumu grupā vai programmās, nebūtu obligāti jāuzskata par izšķirošu faktoru pārkārtošanai.</w:t>
      </w:r>
    </w:p>
    <w:p w14:paraId="15A9CB1C" w14:textId="77777777" w:rsidR="00994F93" w:rsidRPr="008A2DC9" w:rsidRDefault="00994F93" w:rsidP="008A2DC9">
      <w:pPr>
        <w:rPr>
          <w:rFonts w:ascii="Times New Roman" w:hAnsi="Times New Roman" w:cs="Times New Roman"/>
          <w:noProof/>
          <w:sz w:val="24"/>
          <w:szCs w:val="24"/>
        </w:rPr>
      </w:pPr>
    </w:p>
    <w:p w14:paraId="2DE19EBB"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1.2.4.5.5. Pārkārtotu darījumu uzskaite</w:t>
      </w:r>
    </w:p>
    <w:p w14:paraId="4393303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0ACB3D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126. Attiecībā uz pārkārtotiem darījumiem pārvirzīšana vai sadalīšana nerada konkrētas grūtības grāmatvedībā. Savukārt grūtības var radīt galvenā darītāja atpazīšana tāpēc, ka naudas </w:t>
      </w:r>
      <w:r w:rsidRPr="00B03B51">
        <w:rPr>
          <w:rFonts w:ascii="Times New Roman" w:hAnsi="Times New Roman" w:cs="Times New Roman"/>
          <w:sz w:val="24"/>
        </w:rPr>
        <w:lastRenderedPageBreak/>
        <w:t>plūsmas uzņemas aģents (t. i., publiska sabiedrība), kas var saņemt un var arī nesaņemt atmaksu. Tehniski ir iespējami dažādi ierakstīšanas varianti atkarībā no pārkārtojamā darījuma raksturojuma – finanšu vai nefinanšu darījums, vai valdība to finansē/atmaksā vai nefinansē/neatmaksā, vai ir nošķirti konti (skat. turpmāk sniegtos piemērus). Tomēr parasti uzskaites rezultātā ierakstiem ir jābūt ne tikai nefinanšu kontos, bet arī finanšu kontos, lai parādītu ekonomisko realitāti, ka valdība izmanto subjekta finanšu iespējas.</w:t>
      </w:r>
    </w:p>
    <w:p w14:paraId="7C7C62D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AE80E1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127. Nefinanšu darījumu gadījumā, piemēram, kad “novirza” subsīdijas vai ieguldījumu dotācijas saņēmējiem, ir iespējams, ka valdība ir sniegusi vai sniegs resursus arī par darījumu veikšanu. Tā kā valdība negaida nekādu līdzekļu atdošanu atpakaļ, finansējumam jau būtu jābūt iekļautam kā izdevumiem valdības avota datos. Šādā gadījumā ir atbilstīgi ierakstīt saņēmējiem ieskaitītās subsīdijas tieši/tikai valdības kontos. Ierakstīšanas laika atšķirības starp subsīdijas uzkrāšanu un valdības norēķiniem var būt valdības debitoru/kreditoru saistību formā – iespējams, aizdevums (atzīstot, ka publisks subjekts sniedz avansu valdībai) vai “citas kreditoru saistības”. Tomēr citos gadījumos, kad darījumu finansē pati publiskā vienība bez izredzēm saņemt atmaksu no valdības, ir ieteicams veikt ierakstu pašu kapitālā (pašu kapitāla izņemšana no publiskas sabiedrības).</w:t>
      </w:r>
    </w:p>
    <w:p w14:paraId="4370B09D" w14:textId="77777777" w:rsidR="00994F93" w:rsidRPr="00B03B51" w:rsidRDefault="00994F93" w:rsidP="00994F93">
      <w:pPr>
        <w:jc w:val="both"/>
        <w:rPr>
          <w:rFonts w:ascii="Times New Roman" w:hAnsi="Times New Roman" w:cs="Times New Roman"/>
          <w:noProof/>
          <w:sz w:val="24"/>
        </w:rPr>
      </w:pPr>
    </w:p>
    <w:p w14:paraId="55345C5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128. Citos gadījumos valdība var lūgt vienību iesaistīties finanšu darījumā valdības vārdā. Bieži vien tas izpaužas kā aizdevuma izmaksa konkrētiem mērķiem (piemēram, ārvalstu valdībām). Taču var arī gadīties, ka valdība lūdz vienībai ieguldīt kādus līdzekļus noteiktās finanšu aktīvu kategorijās (piemēram, “dzēšanas” fondu pārvaldība parāda amortizācijai, vides vai dabas stihiju fondu pārvaldība). Valdība var arī lūgt, lai vienība tur kādu akciju daļu tās vārdā (kas ierakstītas finanšu kontos, ja ir faktiskas izredzes gūt peļņu). Valdība var sniegt nepieciešamo finansējumu darījumam/programmai, un šādā gadījumā jau tiek ietekmētas valdības saistības. Piešķirtā aizdevuma (vai kapitāla iegādes) un maksājuma ierakstīšanas laika atšķirības var būt izteikts valdības kreditoru saistību formā – vairumā gadījumu aizdevums (atzīstot, ka publisks subjekts sniedz avansu valdībai) vai “citas kreditoru saistības”. Taču citos gadījumos darījumu finansē pati vienība, un šādā gadījumā attiecīgas saistības novirza valdībai ar nosacīta aizdevuma starpniecību, ko vienība noslēdz ar valdību, kurā tiek “atspoguļoti” saņemtā aizņēmuma raksturlielumi.</w:t>
      </w:r>
    </w:p>
    <w:p w14:paraId="54C73F4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7AD2B60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129. Valdībai pārkārtotos darījumus vienmēr ieraksta “bruto” (nevis veic neto aprēķinu, kas parāda tikai galīgo ietekmi uz valdības neto aizdevumu/aizņēmumu (B.9)), un bruto pierakstu veic pat tad, ja nav ietekmes uz valdības neto aizdevumu/aizņēmumu un uz atlikušo valdības parāda summu. Galvenais iemesls ir tāds, ka valdības finanšu statistiku neierobežo valdības neto aizdevuma/aizņēmuma un parāda summa. Plaši tiek izmantoti daudzi citi rādītāji, piemēram, valsts izdevumu un ieņēmumu līmenis, nodokļu slogs utt.</w:t>
      </w:r>
    </w:p>
    <w:p w14:paraId="009DBF01" w14:textId="77777777" w:rsidR="00994F93" w:rsidRPr="008A2DC9" w:rsidRDefault="00994F93" w:rsidP="008A2DC9">
      <w:pPr>
        <w:rPr>
          <w:rFonts w:ascii="Times New Roman" w:hAnsi="Times New Roman" w:cs="Times New Roman"/>
          <w:noProof/>
          <w:sz w:val="24"/>
          <w:szCs w:val="24"/>
        </w:rPr>
      </w:pPr>
    </w:p>
    <w:p w14:paraId="3EB52D1B"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1.2.4.5.6. Uzskaites piemēri (vienkāršoti)</w:t>
      </w:r>
    </w:p>
    <w:p w14:paraId="479030F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1B23B1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130. Turpmāk ir sniegti četri uzskaites piemēri, un tie visi attiecas uz pārkārtošanas standarta gadījumiem, kuros ir iesaistītas 100 % valdībai piederošas publiskas sabiedrības.</w:t>
      </w:r>
    </w:p>
    <w:p w14:paraId="2D92656F"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44A190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131. Pirmais un otrais uzskaites piemērs attiecas uz gadījumu, kad valdībai pilnībā piederoša attīstības banka piešķir aizdevumu mazajam vai vidējam uzņēmumam (MVU, klasificēts S.11) konkrētas programmas ietvaros, un valdība ir būtiski ietekmējusi aizdevuma noteikumus. Attīstības banka ir saglabājusi dažas manevra iespējas konkrētu darījumu īstenošanā. Abu piemēru pamatā ir šādi pieņēmumi:</w:t>
      </w:r>
    </w:p>
    <w:p w14:paraId="09AE4FB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7F35388E" w14:textId="77777777" w:rsidR="00994F93" w:rsidRPr="00B03B51" w:rsidRDefault="00994F93" w:rsidP="002D71BB">
      <w:pPr>
        <w:pStyle w:val="BodyText"/>
        <w:numPr>
          <w:ilvl w:val="0"/>
          <w:numId w:val="26"/>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t</w:t>
      </w:r>
      <w:r w:rsidRPr="00B03B51">
        <w:rPr>
          <w:rFonts w:ascii="Times New Roman" w:hAnsi="Times New Roman" w:cs="Times New Roman"/>
          <w:sz w:val="24"/>
        </w:rPr>
        <w:t xml:space="preserve"> gada sākumā attīstības bankai ir AF.2 aktīvi 1000 vienību apmērā un pašu kapitāla </w:t>
      </w:r>
      <w:r w:rsidRPr="00B03B51">
        <w:rPr>
          <w:rFonts w:ascii="Times New Roman" w:hAnsi="Times New Roman" w:cs="Times New Roman"/>
          <w:sz w:val="24"/>
        </w:rPr>
        <w:lastRenderedPageBreak/>
        <w:t>saistības 1000 vienību apmērā AF.5 pozīcijā. MVU ir AF.2 aktīvi 100 vienību apmērā un valdībai ir AF.5 aktīvi 1000 vienību apmērā (tās pašu kapitāls attīstības bankā);</w:t>
      </w:r>
    </w:p>
    <w:p w14:paraId="37C7A350" w14:textId="77777777" w:rsidR="00994F93" w:rsidRPr="00B03B51" w:rsidRDefault="00994F93" w:rsidP="002D71BB">
      <w:pPr>
        <w:pStyle w:val="BodyText"/>
        <w:numPr>
          <w:ilvl w:val="0"/>
          <w:numId w:val="26"/>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t</w:t>
      </w:r>
      <w:r w:rsidRPr="00B03B51">
        <w:rPr>
          <w:rFonts w:ascii="Times New Roman" w:hAnsi="Times New Roman" w:cs="Times New Roman"/>
          <w:sz w:val="24"/>
        </w:rPr>
        <w:t> gada sākumā MVU saņem no attīstības bankas aizdevumu uz 5 gadiem 1000 vienību apmērā. Aizdevuma procentu likme ir 2 %, kuru nomaksā naudā katra gada beigās;</w:t>
      </w:r>
    </w:p>
    <w:p w14:paraId="00D0F421" w14:textId="77777777" w:rsidR="00994F93" w:rsidRPr="00B03B51" w:rsidRDefault="00994F93" w:rsidP="002D71BB">
      <w:pPr>
        <w:pStyle w:val="BodyText"/>
        <w:numPr>
          <w:ilvl w:val="0"/>
          <w:numId w:val="2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attīstības banka atkārtoti finansē, emitējot tirgū gada sākumā parāda vērtspapīru 1000 vienību apmērā. Tā procentu likme ir 2 %, kuru nomaksā gada beigās;</w:t>
      </w:r>
    </w:p>
    <w:p w14:paraId="6B325513" w14:textId="77777777" w:rsidR="00994F93" w:rsidRPr="00B03B51" w:rsidRDefault="00994F93" w:rsidP="002D71BB">
      <w:pPr>
        <w:pStyle w:val="BodyText"/>
        <w:numPr>
          <w:ilvl w:val="0"/>
          <w:numId w:val="2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MVU aizdevuma apmaksa ir jāpārkārto līdzīgi, t. i., MVU atmaksā valdībai un tad valdība identisku summu atmaksā attīstības bankai par tās nosacīto parāda dokumentu;</w:t>
      </w:r>
    </w:p>
    <w:p w14:paraId="04F6B7DD" w14:textId="77777777" w:rsidR="00994F93" w:rsidRPr="00B03B51" w:rsidRDefault="00994F93" w:rsidP="002D71BB">
      <w:pPr>
        <w:pStyle w:val="BodyText"/>
        <w:numPr>
          <w:ilvl w:val="0"/>
          <w:numId w:val="2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minētie piemēri atšķiras ar to, ka 1. piemērā attīstības bankai nav atsevišķi pārvaldītu kontu aktīviem un saistībām, kas ir iegādāti vai izdoti MVU paredzētās minētās programmas ietvaros, savukārt 2. piemērā attīstības banka uztur īpašu kontu šiem darījumiem.</w:t>
      </w:r>
    </w:p>
    <w:p w14:paraId="07F83EFA"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5994BE4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132. Trešajā uzskaites piemērā ir aplūkots gadījums, kad valdība vēlas subsidēt noteiktu MVU, bet tā vietā, lai pati piešķirtu subsīdiju un aizņemtos nepieciešamos līdzekļus kapitāla tirgū, tā norīko attīstības banku piešķirt subsīdiju. Valdība neatlīdzina subsīdiju, ko piešķīrusi attīstības banka. Trešā uzskaites piemēra pamatā ir šādi pieņēmumi:</w:t>
      </w:r>
    </w:p>
    <w:p w14:paraId="3A55AD1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03DE6E1B" w14:textId="77777777" w:rsidR="00994F93" w:rsidRPr="00B03B51" w:rsidRDefault="00994F93" w:rsidP="002D71BB">
      <w:pPr>
        <w:pStyle w:val="BodyText"/>
        <w:numPr>
          <w:ilvl w:val="0"/>
          <w:numId w:val="25"/>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t</w:t>
      </w:r>
      <w:r w:rsidRPr="00B03B51">
        <w:rPr>
          <w:rFonts w:ascii="Times New Roman" w:hAnsi="Times New Roman" w:cs="Times New Roman"/>
          <w:sz w:val="24"/>
        </w:rPr>
        <w:t> gada sākumā attīstības bankai ir AF.2 aktīvi 1000 vienību apmērā un pašu kapitāla saistības 1000 vienību apmērā AF.5. MVU ir AF.2 aktīvi 100 vienību apmērā un valdībai ir AF.5 aktīvi 1000 vienību apmērā (tās pašu kapitāls attīstības bankā);</w:t>
      </w:r>
    </w:p>
    <w:p w14:paraId="0732A301" w14:textId="77777777" w:rsidR="00994F93" w:rsidRPr="00B03B51" w:rsidRDefault="00994F93" w:rsidP="002D71BB">
      <w:pPr>
        <w:pStyle w:val="BodyText"/>
        <w:numPr>
          <w:ilvl w:val="0"/>
          <w:numId w:val="25"/>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t</w:t>
      </w:r>
      <w:r w:rsidRPr="00B03B51">
        <w:rPr>
          <w:rFonts w:ascii="Times New Roman" w:hAnsi="Times New Roman" w:cs="Times New Roman"/>
          <w:sz w:val="24"/>
        </w:rPr>
        <w:t> gada sākumā MVU saņem no attīstības bankas subsīdiju 1000 vienību apmērā;</w:t>
      </w:r>
    </w:p>
    <w:p w14:paraId="3CA422BF" w14:textId="77777777" w:rsidR="00994F93" w:rsidRPr="00B03B51" w:rsidRDefault="00994F93" w:rsidP="002D71BB">
      <w:pPr>
        <w:pStyle w:val="BodyText"/>
        <w:numPr>
          <w:ilvl w:val="0"/>
          <w:numId w:val="2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attīstības banka finansē subsīdiju no saviem esošajiem naudas aktīviem;</w:t>
      </w:r>
    </w:p>
    <w:p w14:paraId="7FD5DADD" w14:textId="77777777" w:rsidR="00994F93" w:rsidRPr="00B03B51" w:rsidRDefault="00994F93" w:rsidP="002D71BB">
      <w:pPr>
        <w:pStyle w:val="BodyText"/>
        <w:numPr>
          <w:ilvl w:val="0"/>
          <w:numId w:val="2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izmantojot attīstības bankas finanšu iespējas finansēt, subsīdija tiek atzīta, ierakstot pašu kapitāla izņemšanu valdības kontos.</w:t>
      </w:r>
    </w:p>
    <w:p w14:paraId="4A3A5C8D" w14:textId="77777777" w:rsidR="00994F93" w:rsidRPr="00B03B51" w:rsidRDefault="00994F93" w:rsidP="00994F93">
      <w:pPr>
        <w:jc w:val="both"/>
        <w:rPr>
          <w:rFonts w:ascii="Times New Roman" w:eastAsia="Arial" w:hAnsi="Times New Roman" w:cs="Times New Roman"/>
          <w:noProof/>
          <w:sz w:val="24"/>
          <w:szCs w:val="25"/>
        </w:rPr>
      </w:pPr>
    </w:p>
    <w:p w14:paraId="3BFD6843"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133. Ceturtais uzskaites piemērs ir 3. piemēra modifikācija, un tas ataino gadījumu, kad attīstības banka sākotnēji finansē subsīdiju (t. i., valdība apņemas vēlāk atlīdzināt subsīdiju). Izmantojot attīstības bankas finanšu iespējas sākotnēji finansēt, subsīdija tiek atainota kā attīstības bankas nosacīts aizdevums valdībai. Brīdī, kad valdība atlīdzina attīstības bankai sākotnēji finansēto subsīdiju, aizdevums ir atmaksāts. Visi pārējie pieņēmumi ir tādi paši kā 3. piemērā.</w:t>
      </w:r>
    </w:p>
    <w:p w14:paraId="0395A06B" w14:textId="77777777" w:rsidR="00994F93" w:rsidRPr="00B03B51" w:rsidRDefault="00994F93" w:rsidP="00994F93">
      <w:pPr>
        <w:jc w:val="both"/>
        <w:rPr>
          <w:rFonts w:ascii="Times New Roman" w:eastAsia="Arial" w:hAnsi="Times New Roman" w:cs="Times New Roman"/>
          <w:noProof/>
          <w:sz w:val="24"/>
          <w:szCs w:val="20"/>
        </w:rPr>
      </w:pPr>
    </w:p>
    <w:p w14:paraId="1E37E6B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1. piemērs</w:t>
      </w:r>
    </w:p>
    <w:p w14:paraId="6199C228" w14:textId="77777777" w:rsidR="00994F93" w:rsidRPr="00B03B51" w:rsidRDefault="00994F93" w:rsidP="00994F93">
      <w:pPr>
        <w:jc w:val="both"/>
        <w:rPr>
          <w:rFonts w:ascii="Times New Roman" w:eastAsia="Arial" w:hAnsi="Times New Roman" w:cs="Times New Roman"/>
          <w:b/>
          <w:bCs/>
          <w:noProof/>
          <w:sz w:val="24"/>
          <w:szCs w:val="21"/>
        </w:rPr>
      </w:pPr>
    </w:p>
    <w:p w14:paraId="62BA58A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Attīstības bankai nav nošķirtu kontu, tas nozīmē, ka saistībā ar pārkārtošanu iegādātie/izdotie aktīvi un saistības tiek turēti kopā ar attīstības bankas aktīviem un saistībām.</w:t>
      </w:r>
    </w:p>
    <w:p w14:paraId="21E84D53" w14:textId="77777777" w:rsidR="00994F93" w:rsidRPr="00B03B51" w:rsidRDefault="00994F93" w:rsidP="00994F93">
      <w:pPr>
        <w:jc w:val="both"/>
        <w:rPr>
          <w:rFonts w:ascii="Times New Roman" w:eastAsia="Arial" w:hAnsi="Times New Roman" w:cs="Times New Roman"/>
          <w:noProof/>
          <w:sz w:val="24"/>
          <w:szCs w:val="20"/>
        </w:rPr>
      </w:pPr>
    </w:p>
    <w:p w14:paraId="67EB1B4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pārskata gads:</w:t>
      </w:r>
    </w:p>
    <w:p w14:paraId="4182607D" w14:textId="77777777" w:rsidR="00994F93" w:rsidRPr="00B03B51" w:rsidRDefault="00994F93" w:rsidP="00994F93">
      <w:pPr>
        <w:jc w:val="both"/>
        <w:rPr>
          <w:rFonts w:ascii="Times New Roman" w:eastAsia="Arial" w:hAnsi="Times New Roman" w:cs="Times New Roman"/>
          <w:b/>
          <w:bCs/>
          <w:noProof/>
          <w:sz w:val="24"/>
          <w:szCs w:val="20"/>
        </w:rPr>
      </w:pPr>
    </w:p>
    <w:p w14:paraId="41BC7241"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sākuma bilance</w:t>
      </w:r>
    </w:p>
    <w:p w14:paraId="7577EF18" w14:textId="77777777" w:rsidR="00994F93" w:rsidRPr="00B03B51" w:rsidRDefault="00994F93" w:rsidP="00994F93">
      <w:pPr>
        <w:jc w:val="both"/>
        <w:rPr>
          <w:rFonts w:ascii="Times New Roman" w:eastAsia="Arial" w:hAnsi="Times New Roman" w:cs="Times New Roman"/>
          <w:b/>
          <w:bCs/>
          <w:noProof/>
          <w:sz w:val="24"/>
          <w:szCs w:val="20"/>
        </w:rPr>
      </w:pPr>
    </w:p>
    <w:p w14:paraId="151C5080" w14:textId="09E73471" w:rsidR="00994F93" w:rsidRPr="00B03B51" w:rsidRDefault="000127B4"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1115C856" wp14:editId="752F56AB">
            <wp:extent cx="5760085" cy="12871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1287145"/>
                    </a:xfrm>
                    <a:prstGeom prst="rect">
                      <a:avLst/>
                    </a:prstGeom>
                    <a:noFill/>
                    <a:ln>
                      <a:noFill/>
                    </a:ln>
                  </pic:spPr>
                </pic:pic>
              </a:graphicData>
            </a:graphic>
          </wp:inline>
        </w:drawing>
      </w:r>
    </w:p>
    <w:p w14:paraId="565FC758" w14:textId="77777777" w:rsidR="00994F93" w:rsidRPr="00B03B51" w:rsidRDefault="00994F93" w:rsidP="00994F93">
      <w:pPr>
        <w:jc w:val="both"/>
        <w:rPr>
          <w:rFonts w:ascii="Times New Roman" w:eastAsia="Arial" w:hAnsi="Times New Roman" w:cs="Times New Roman"/>
          <w:b/>
          <w:bCs/>
          <w:noProof/>
          <w:sz w:val="24"/>
          <w:szCs w:val="17"/>
        </w:rPr>
      </w:pPr>
    </w:p>
    <w:p w14:paraId="336F6A9D" w14:textId="77777777" w:rsidR="00994F93" w:rsidRPr="00B03B51" w:rsidRDefault="00994F93" w:rsidP="002D71BB">
      <w:pPr>
        <w:keepNext/>
        <w:jc w:val="both"/>
        <w:rPr>
          <w:rFonts w:ascii="Times New Roman" w:hAnsi="Times New Roman" w:cs="Times New Roman"/>
          <w:b/>
          <w:noProof/>
          <w:sz w:val="24"/>
        </w:rPr>
      </w:pPr>
      <w:r w:rsidRPr="00B03B51">
        <w:rPr>
          <w:rFonts w:ascii="Times New Roman" w:hAnsi="Times New Roman" w:cs="Times New Roman"/>
          <w:b/>
          <w:sz w:val="24"/>
        </w:rPr>
        <w:lastRenderedPageBreak/>
        <w:t>Nefinanšu konti</w:t>
      </w:r>
    </w:p>
    <w:p w14:paraId="5459D53C" w14:textId="77777777" w:rsidR="00994F93" w:rsidRPr="00B03B51" w:rsidRDefault="00994F93" w:rsidP="002D71BB">
      <w:pPr>
        <w:keepNext/>
        <w:jc w:val="both"/>
        <w:rPr>
          <w:rFonts w:ascii="Times New Roman" w:eastAsia="Arial" w:hAnsi="Times New Roman" w:cs="Times New Roman"/>
          <w:b/>
          <w:bCs/>
          <w:noProof/>
          <w:sz w:val="24"/>
          <w:szCs w:val="24"/>
        </w:rPr>
      </w:pPr>
    </w:p>
    <w:p w14:paraId="15565496" w14:textId="2C1F1870" w:rsidR="00994F93" w:rsidRPr="00B03B51" w:rsidRDefault="0091348F" w:rsidP="002D71BB">
      <w:pPr>
        <w:keepNext/>
        <w:jc w:val="both"/>
        <w:rPr>
          <w:rFonts w:ascii="Times New Roman" w:eastAsia="Arial" w:hAnsi="Times New Roman" w:cs="Times New Roman"/>
          <w:b/>
          <w:bCs/>
          <w:noProof/>
          <w:sz w:val="24"/>
          <w:szCs w:val="24"/>
        </w:rPr>
      </w:pPr>
      <w:r w:rsidRPr="00B03B51">
        <w:rPr>
          <w:rFonts w:ascii="Times New Roman" w:eastAsia="Arial" w:hAnsi="Times New Roman" w:cs="Times New Roman"/>
          <w:b/>
          <w:bCs/>
          <w:noProof/>
          <w:sz w:val="24"/>
          <w:szCs w:val="24"/>
        </w:rPr>
        <w:drawing>
          <wp:inline distT="0" distB="0" distL="0" distR="0" wp14:anchorId="77686D97" wp14:editId="2F2891BD">
            <wp:extent cx="5760085" cy="12496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1249680"/>
                    </a:xfrm>
                    <a:prstGeom prst="rect">
                      <a:avLst/>
                    </a:prstGeom>
                    <a:noFill/>
                    <a:ln>
                      <a:noFill/>
                    </a:ln>
                  </pic:spPr>
                </pic:pic>
              </a:graphicData>
            </a:graphic>
          </wp:inline>
        </w:drawing>
      </w:r>
    </w:p>
    <w:p w14:paraId="2BF7C6A6" w14:textId="77777777" w:rsidR="00994F93" w:rsidRPr="00B03B51" w:rsidRDefault="00994F93" w:rsidP="00994F93">
      <w:pPr>
        <w:jc w:val="both"/>
        <w:rPr>
          <w:rFonts w:ascii="Times New Roman" w:eastAsia="Arial" w:hAnsi="Times New Roman" w:cs="Times New Roman"/>
          <w:b/>
          <w:bCs/>
          <w:noProof/>
          <w:sz w:val="24"/>
          <w:szCs w:val="24"/>
        </w:rPr>
      </w:pPr>
    </w:p>
    <w:p w14:paraId="5B8CA512"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Finanšu konti</w:t>
      </w:r>
    </w:p>
    <w:p w14:paraId="3DA58A6B" w14:textId="77777777" w:rsidR="00994F93" w:rsidRPr="00B03B51" w:rsidRDefault="00994F93" w:rsidP="00994F93">
      <w:pPr>
        <w:jc w:val="both"/>
        <w:rPr>
          <w:rFonts w:ascii="Times New Roman" w:eastAsia="Arial" w:hAnsi="Times New Roman" w:cs="Times New Roman"/>
          <w:b/>
          <w:bCs/>
          <w:noProof/>
          <w:sz w:val="24"/>
          <w:szCs w:val="20"/>
        </w:rPr>
      </w:pPr>
    </w:p>
    <w:p w14:paraId="12BBED69" w14:textId="52887798"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4A952AEF" wp14:editId="3EA16C56">
            <wp:extent cx="5760085" cy="12230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1223010"/>
                    </a:xfrm>
                    <a:prstGeom prst="rect">
                      <a:avLst/>
                    </a:prstGeom>
                    <a:noFill/>
                    <a:ln>
                      <a:noFill/>
                    </a:ln>
                  </pic:spPr>
                </pic:pic>
              </a:graphicData>
            </a:graphic>
          </wp:inline>
        </w:drawing>
      </w:r>
    </w:p>
    <w:p w14:paraId="4E8F9402" w14:textId="77777777" w:rsidR="00994F93" w:rsidRPr="00B03B51" w:rsidRDefault="00994F93" w:rsidP="00994F93">
      <w:pPr>
        <w:jc w:val="both"/>
        <w:rPr>
          <w:rFonts w:ascii="Times New Roman" w:eastAsia="Arial" w:hAnsi="Times New Roman" w:cs="Times New Roman"/>
          <w:b/>
          <w:bCs/>
          <w:noProof/>
          <w:sz w:val="24"/>
          <w:szCs w:val="8"/>
        </w:rPr>
      </w:pPr>
    </w:p>
    <w:p w14:paraId="752DF9C6" w14:textId="558A4B71"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w:t>
      </w:r>
      <w:r w:rsidR="0071541E" w:rsidRPr="00B03B51">
        <w:rPr>
          <w:rFonts w:ascii="Times New Roman" w:hAnsi="Times New Roman" w:cs="Times New Roman"/>
          <w:b/>
          <w:sz w:val="24"/>
        </w:rPr>
        <w:t>beigu</w:t>
      </w:r>
      <w:r w:rsidRPr="00B03B51">
        <w:rPr>
          <w:rFonts w:ascii="Times New Roman" w:hAnsi="Times New Roman" w:cs="Times New Roman"/>
          <w:b/>
          <w:sz w:val="24"/>
        </w:rPr>
        <w:t xml:space="preserve"> bilance</w:t>
      </w:r>
    </w:p>
    <w:p w14:paraId="7FD41417" w14:textId="77777777" w:rsidR="00994F93" w:rsidRPr="00B03B51" w:rsidRDefault="00994F93" w:rsidP="00994F93">
      <w:pPr>
        <w:jc w:val="both"/>
        <w:rPr>
          <w:rFonts w:ascii="Times New Roman" w:eastAsia="Arial" w:hAnsi="Times New Roman" w:cs="Times New Roman"/>
          <w:b/>
          <w:bCs/>
          <w:noProof/>
          <w:sz w:val="24"/>
          <w:szCs w:val="20"/>
        </w:rPr>
      </w:pPr>
    </w:p>
    <w:p w14:paraId="0613BD9B" w14:textId="06E5215E"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6930808E" wp14:editId="7603EE81">
            <wp:extent cx="5760085" cy="1209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1209675"/>
                    </a:xfrm>
                    <a:prstGeom prst="rect">
                      <a:avLst/>
                    </a:prstGeom>
                    <a:noFill/>
                    <a:ln>
                      <a:noFill/>
                    </a:ln>
                  </pic:spPr>
                </pic:pic>
              </a:graphicData>
            </a:graphic>
          </wp:inline>
        </w:drawing>
      </w:r>
    </w:p>
    <w:p w14:paraId="3E5D918A" w14:textId="77777777" w:rsidR="00994F93" w:rsidRPr="00B03B51" w:rsidRDefault="00994F93" w:rsidP="00994F93">
      <w:pPr>
        <w:jc w:val="both"/>
        <w:rPr>
          <w:rFonts w:ascii="Times New Roman" w:eastAsia="Arial" w:hAnsi="Times New Roman" w:cs="Times New Roman"/>
          <w:b/>
          <w:bCs/>
          <w:noProof/>
          <w:sz w:val="24"/>
          <w:szCs w:val="20"/>
        </w:rPr>
      </w:pPr>
    </w:p>
    <w:p w14:paraId="26A537BF" w14:textId="77777777" w:rsidR="00994F93" w:rsidRPr="00B03B51" w:rsidRDefault="00994F93" w:rsidP="00994F93">
      <w:pPr>
        <w:jc w:val="both"/>
        <w:rPr>
          <w:rFonts w:ascii="Times New Roman" w:eastAsia="Arial" w:hAnsi="Times New Roman" w:cs="Times New Roman"/>
          <w:b/>
          <w:bCs/>
          <w:noProof/>
          <w:sz w:val="24"/>
          <w:szCs w:val="13"/>
        </w:rPr>
      </w:pPr>
      <w:r w:rsidRPr="00B03B51">
        <w:rPr>
          <w:rFonts w:ascii="Times New Roman" w:hAnsi="Times New Roman" w:cs="Times New Roman"/>
          <w:b/>
          <w:bCs/>
          <w:sz w:val="24"/>
          <w:szCs w:val="13"/>
        </w:rPr>
        <w:t>2. piemērs</w:t>
      </w:r>
    </w:p>
    <w:p w14:paraId="2B586158" w14:textId="77777777" w:rsidR="00994F93" w:rsidRPr="00B03B51" w:rsidRDefault="00994F93" w:rsidP="00994F93">
      <w:pPr>
        <w:jc w:val="both"/>
        <w:rPr>
          <w:rFonts w:ascii="Times New Roman" w:eastAsia="Arial" w:hAnsi="Times New Roman" w:cs="Times New Roman"/>
          <w:b/>
          <w:bCs/>
          <w:noProof/>
          <w:sz w:val="24"/>
          <w:szCs w:val="14"/>
        </w:rPr>
      </w:pPr>
    </w:p>
    <w:p w14:paraId="789B475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Attīstības bankai ir īpašs konts, lai nošķirtu darbības ar MVU no citām savām darbībām. Rezultātā visas naudas plūsmas, kas attiecas uz darbībām ar MVU, var skaidri identificēt, ļaujot nošķirt pārkārtojamos aktīvus un saistības. Šādā gadījumā aizdevuma aktīvus un to finansēšanu, izmantojot attīstības bankas emitētus vērtspapīrus, var ierakstīt tieši valdības kontos.</w:t>
      </w:r>
    </w:p>
    <w:p w14:paraId="780C63F6" w14:textId="77777777" w:rsidR="00994F93" w:rsidRPr="00B03B51" w:rsidRDefault="00994F93" w:rsidP="00994F93">
      <w:pPr>
        <w:jc w:val="both"/>
        <w:rPr>
          <w:rFonts w:ascii="Times New Roman" w:eastAsia="Arial" w:hAnsi="Times New Roman" w:cs="Times New Roman"/>
          <w:noProof/>
          <w:sz w:val="24"/>
          <w:szCs w:val="20"/>
        </w:rPr>
      </w:pPr>
    </w:p>
    <w:p w14:paraId="0E63DDB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pārskata gads:</w:t>
      </w:r>
    </w:p>
    <w:p w14:paraId="283D6703" w14:textId="77777777" w:rsidR="00994F93" w:rsidRPr="00B03B51" w:rsidRDefault="00994F93" w:rsidP="00994F93">
      <w:pPr>
        <w:jc w:val="both"/>
        <w:rPr>
          <w:rFonts w:ascii="Times New Roman" w:eastAsia="Arial" w:hAnsi="Times New Roman" w:cs="Times New Roman"/>
          <w:b/>
          <w:bCs/>
          <w:noProof/>
          <w:sz w:val="24"/>
          <w:szCs w:val="21"/>
        </w:rPr>
      </w:pPr>
    </w:p>
    <w:p w14:paraId="56A5940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sākuma bilance</w:t>
      </w:r>
    </w:p>
    <w:p w14:paraId="292D1515" w14:textId="77777777" w:rsidR="00994F93" w:rsidRPr="00B03B51" w:rsidRDefault="00994F93" w:rsidP="00994F93">
      <w:pPr>
        <w:jc w:val="both"/>
        <w:rPr>
          <w:rFonts w:ascii="Times New Roman" w:eastAsia="Arial" w:hAnsi="Times New Roman" w:cs="Times New Roman"/>
          <w:b/>
          <w:bCs/>
          <w:noProof/>
          <w:sz w:val="24"/>
          <w:szCs w:val="26"/>
        </w:rPr>
      </w:pPr>
    </w:p>
    <w:p w14:paraId="418E8B1D" w14:textId="05BA8602"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45648BCE" wp14:editId="12A9251C">
            <wp:extent cx="5760085" cy="12579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1257935"/>
                    </a:xfrm>
                    <a:prstGeom prst="rect">
                      <a:avLst/>
                    </a:prstGeom>
                    <a:noFill/>
                    <a:ln>
                      <a:noFill/>
                    </a:ln>
                  </pic:spPr>
                </pic:pic>
              </a:graphicData>
            </a:graphic>
          </wp:inline>
        </w:drawing>
      </w:r>
    </w:p>
    <w:p w14:paraId="147BB220" w14:textId="77777777" w:rsidR="00994F93" w:rsidRPr="00B03B51" w:rsidRDefault="00994F93" w:rsidP="00994F93">
      <w:pPr>
        <w:jc w:val="both"/>
        <w:rPr>
          <w:rFonts w:ascii="Times New Roman" w:eastAsia="Arial" w:hAnsi="Times New Roman" w:cs="Times New Roman"/>
          <w:b/>
          <w:bCs/>
          <w:noProof/>
          <w:sz w:val="24"/>
          <w:szCs w:val="17"/>
        </w:rPr>
      </w:pPr>
    </w:p>
    <w:p w14:paraId="686D4040" w14:textId="77777777" w:rsidR="00994F93" w:rsidRPr="00B03B51" w:rsidRDefault="00994F93" w:rsidP="002D71BB">
      <w:pPr>
        <w:keepNext/>
        <w:jc w:val="both"/>
        <w:rPr>
          <w:rFonts w:ascii="Times New Roman" w:hAnsi="Times New Roman" w:cs="Times New Roman"/>
          <w:b/>
          <w:noProof/>
          <w:sz w:val="24"/>
        </w:rPr>
      </w:pPr>
      <w:r w:rsidRPr="00B03B51">
        <w:rPr>
          <w:rFonts w:ascii="Times New Roman" w:hAnsi="Times New Roman" w:cs="Times New Roman"/>
          <w:b/>
          <w:sz w:val="24"/>
        </w:rPr>
        <w:lastRenderedPageBreak/>
        <w:t>Nefinanšu konti</w:t>
      </w:r>
    </w:p>
    <w:p w14:paraId="4246D428" w14:textId="77777777" w:rsidR="00994F93" w:rsidRPr="00B03B51" w:rsidRDefault="00994F93" w:rsidP="002D71BB">
      <w:pPr>
        <w:keepNext/>
        <w:jc w:val="both"/>
        <w:rPr>
          <w:rFonts w:ascii="Times New Roman" w:eastAsia="Arial" w:hAnsi="Times New Roman" w:cs="Times New Roman"/>
          <w:b/>
          <w:bCs/>
          <w:noProof/>
          <w:sz w:val="24"/>
          <w:szCs w:val="20"/>
        </w:rPr>
      </w:pPr>
    </w:p>
    <w:p w14:paraId="3245D481" w14:textId="57B7EB45" w:rsidR="00994F93" w:rsidRPr="00B03B51" w:rsidRDefault="0091348F" w:rsidP="002D71BB">
      <w:pPr>
        <w:keepNext/>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4B71D62D" wp14:editId="639DF15E">
            <wp:extent cx="5760085" cy="12357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1235710"/>
                    </a:xfrm>
                    <a:prstGeom prst="rect">
                      <a:avLst/>
                    </a:prstGeom>
                    <a:noFill/>
                    <a:ln>
                      <a:noFill/>
                    </a:ln>
                  </pic:spPr>
                </pic:pic>
              </a:graphicData>
            </a:graphic>
          </wp:inline>
        </w:drawing>
      </w:r>
    </w:p>
    <w:p w14:paraId="3BF627C3" w14:textId="77777777" w:rsidR="00994F93" w:rsidRPr="00B03B51" w:rsidRDefault="00994F93" w:rsidP="00994F93">
      <w:pPr>
        <w:jc w:val="both"/>
        <w:rPr>
          <w:rFonts w:ascii="Times New Roman" w:eastAsia="Arial" w:hAnsi="Times New Roman" w:cs="Times New Roman"/>
          <w:b/>
          <w:bCs/>
          <w:noProof/>
          <w:sz w:val="24"/>
          <w:szCs w:val="24"/>
        </w:rPr>
      </w:pPr>
    </w:p>
    <w:p w14:paraId="6D6047F1"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Finanšu konti</w:t>
      </w:r>
    </w:p>
    <w:p w14:paraId="21B4DC2B" w14:textId="77777777" w:rsidR="00994F93" w:rsidRPr="00B03B51" w:rsidRDefault="00994F93" w:rsidP="00994F93">
      <w:pPr>
        <w:jc w:val="both"/>
        <w:rPr>
          <w:rFonts w:ascii="Times New Roman" w:eastAsia="Arial" w:hAnsi="Times New Roman" w:cs="Times New Roman"/>
          <w:b/>
          <w:bCs/>
          <w:noProof/>
          <w:sz w:val="24"/>
          <w:szCs w:val="25"/>
        </w:rPr>
      </w:pPr>
    </w:p>
    <w:p w14:paraId="326F1B97" w14:textId="62CADE19"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554AB40F" wp14:editId="0F4702BB">
            <wp:extent cx="5760085" cy="12484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1248410"/>
                    </a:xfrm>
                    <a:prstGeom prst="rect">
                      <a:avLst/>
                    </a:prstGeom>
                    <a:noFill/>
                    <a:ln>
                      <a:noFill/>
                    </a:ln>
                  </pic:spPr>
                </pic:pic>
              </a:graphicData>
            </a:graphic>
          </wp:inline>
        </w:drawing>
      </w:r>
    </w:p>
    <w:p w14:paraId="6B822BA5" w14:textId="77777777" w:rsidR="00994F93" w:rsidRPr="00B03B51" w:rsidRDefault="00994F93" w:rsidP="00994F93">
      <w:pPr>
        <w:jc w:val="both"/>
        <w:rPr>
          <w:rFonts w:ascii="Times New Roman" w:eastAsia="Arial" w:hAnsi="Times New Roman" w:cs="Times New Roman"/>
          <w:b/>
          <w:bCs/>
          <w:noProof/>
          <w:sz w:val="24"/>
          <w:szCs w:val="17"/>
        </w:rPr>
      </w:pPr>
    </w:p>
    <w:p w14:paraId="7BD15731" w14:textId="3351BEF1"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w:t>
      </w:r>
      <w:r w:rsidR="0071541E" w:rsidRPr="00B03B51">
        <w:rPr>
          <w:rFonts w:ascii="Times New Roman" w:hAnsi="Times New Roman" w:cs="Times New Roman"/>
          <w:b/>
          <w:sz w:val="24"/>
        </w:rPr>
        <w:t>beigu</w:t>
      </w:r>
      <w:r w:rsidRPr="00B03B51">
        <w:rPr>
          <w:rFonts w:ascii="Times New Roman" w:hAnsi="Times New Roman" w:cs="Times New Roman"/>
          <w:b/>
          <w:sz w:val="24"/>
        </w:rPr>
        <w:t xml:space="preserve"> bilance</w:t>
      </w:r>
    </w:p>
    <w:p w14:paraId="290AF58D" w14:textId="77777777" w:rsidR="00994F93" w:rsidRPr="00B03B51" w:rsidRDefault="00994F93" w:rsidP="00994F93">
      <w:pPr>
        <w:jc w:val="both"/>
        <w:rPr>
          <w:rFonts w:ascii="Times New Roman" w:eastAsia="Arial" w:hAnsi="Times New Roman" w:cs="Times New Roman"/>
          <w:b/>
          <w:bCs/>
          <w:noProof/>
          <w:sz w:val="24"/>
          <w:szCs w:val="20"/>
        </w:rPr>
      </w:pPr>
    </w:p>
    <w:p w14:paraId="247AFAB7" w14:textId="2A45654B"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06C49657" wp14:editId="5EDC42D9">
            <wp:extent cx="5760085" cy="12179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1217930"/>
                    </a:xfrm>
                    <a:prstGeom prst="rect">
                      <a:avLst/>
                    </a:prstGeom>
                    <a:noFill/>
                    <a:ln>
                      <a:noFill/>
                    </a:ln>
                  </pic:spPr>
                </pic:pic>
              </a:graphicData>
            </a:graphic>
          </wp:inline>
        </w:drawing>
      </w:r>
    </w:p>
    <w:p w14:paraId="1CF105D1" w14:textId="77777777" w:rsidR="00994F93" w:rsidRPr="00B03B51" w:rsidRDefault="00994F93" w:rsidP="00994F93">
      <w:pPr>
        <w:jc w:val="both"/>
        <w:rPr>
          <w:rFonts w:ascii="Times New Roman" w:eastAsia="Arial" w:hAnsi="Times New Roman" w:cs="Times New Roman"/>
          <w:b/>
          <w:bCs/>
          <w:noProof/>
          <w:sz w:val="24"/>
          <w:szCs w:val="14"/>
        </w:rPr>
      </w:pPr>
    </w:p>
    <w:p w14:paraId="6578D367" w14:textId="77777777" w:rsidR="00994F93" w:rsidRPr="00B03B51" w:rsidRDefault="00994F93" w:rsidP="00994F93">
      <w:pPr>
        <w:jc w:val="both"/>
        <w:rPr>
          <w:rFonts w:ascii="Times New Roman" w:eastAsia="Arial" w:hAnsi="Times New Roman" w:cs="Times New Roman"/>
          <w:b/>
          <w:bCs/>
          <w:noProof/>
          <w:sz w:val="24"/>
          <w:szCs w:val="14"/>
        </w:rPr>
      </w:pPr>
      <w:r w:rsidRPr="00B03B51">
        <w:rPr>
          <w:rFonts w:ascii="Times New Roman" w:hAnsi="Times New Roman" w:cs="Times New Roman"/>
          <w:b/>
          <w:bCs/>
          <w:sz w:val="24"/>
          <w:szCs w:val="14"/>
        </w:rPr>
        <w:t>3. piemērs</w:t>
      </w:r>
    </w:p>
    <w:p w14:paraId="67530443" w14:textId="77777777" w:rsidR="00994F93" w:rsidRPr="00B03B51" w:rsidRDefault="00994F93" w:rsidP="00994F93">
      <w:pPr>
        <w:jc w:val="both"/>
        <w:rPr>
          <w:rFonts w:ascii="Times New Roman" w:eastAsia="Arial" w:hAnsi="Times New Roman" w:cs="Times New Roman"/>
          <w:b/>
          <w:bCs/>
          <w:noProof/>
          <w:sz w:val="24"/>
          <w:szCs w:val="14"/>
        </w:rPr>
      </w:pPr>
    </w:p>
    <w:p w14:paraId="76D7631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Subsīdija, kuru valdība neatlīdzina</w:t>
      </w:r>
      <w:r w:rsidRPr="00B03B51">
        <w:rPr>
          <w:rFonts w:ascii="Times New Roman" w:hAnsi="Times New Roman" w:cs="Times New Roman"/>
          <w:sz w:val="24"/>
        </w:rPr>
        <w:t> – attīstības banka sniedz subsīdiju, kas tiek pārkārtota, izmantojot valdības kontus. Šajā uzskaites piemērā ir parādīta subsīdijas pārkārtošana, izmantojot nefinanšu kontus, un subsīdija tiek finansēta, izņemot valdības pašu kapitālu no attīstības bankas.</w:t>
      </w:r>
    </w:p>
    <w:p w14:paraId="40025B80" w14:textId="77777777" w:rsidR="00994F93" w:rsidRPr="00B03B51" w:rsidRDefault="00994F93" w:rsidP="00994F93">
      <w:pPr>
        <w:jc w:val="both"/>
        <w:rPr>
          <w:rFonts w:ascii="Times New Roman" w:hAnsi="Times New Roman" w:cs="Times New Roman"/>
          <w:noProof/>
          <w:sz w:val="24"/>
        </w:rPr>
      </w:pPr>
    </w:p>
    <w:p w14:paraId="357D230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pārskata gads:</w:t>
      </w:r>
    </w:p>
    <w:p w14:paraId="1CB5A21B" w14:textId="77777777" w:rsidR="00994F93" w:rsidRPr="00B03B51" w:rsidRDefault="00994F93" w:rsidP="00994F93">
      <w:pPr>
        <w:jc w:val="both"/>
        <w:rPr>
          <w:rFonts w:ascii="Times New Roman" w:eastAsia="Arial" w:hAnsi="Times New Roman" w:cs="Times New Roman"/>
          <w:b/>
          <w:bCs/>
          <w:noProof/>
          <w:sz w:val="24"/>
          <w:szCs w:val="21"/>
        </w:rPr>
      </w:pPr>
    </w:p>
    <w:p w14:paraId="7F18A21F"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sākuma bilance</w:t>
      </w:r>
    </w:p>
    <w:p w14:paraId="6F1087EE" w14:textId="77777777" w:rsidR="00994F93" w:rsidRPr="00B03B51" w:rsidRDefault="00994F93" w:rsidP="00994F93">
      <w:pPr>
        <w:jc w:val="both"/>
        <w:rPr>
          <w:rFonts w:ascii="Times New Roman" w:eastAsia="Arial" w:hAnsi="Times New Roman" w:cs="Times New Roman"/>
          <w:b/>
          <w:bCs/>
          <w:noProof/>
          <w:sz w:val="24"/>
          <w:szCs w:val="26"/>
        </w:rPr>
      </w:pPr>
    </w:p>
    <w:p w14:paraId="683B9B49" w14:textId="6D97A0F7"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796FF451" wp14:editId="756C87D2">
            <wp:extent cx="5760085" cy="1205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1205865"/>
                    </a:xfrm>
                    <a:prstGeom prst="rect">
                      <a:avLst/>
                    </a:prstGeom>
                    <a:noFill/>
                    <a:ln>
                      <a:noFill/>
                    </a:ln>
                  </pic:spPr>
                </pic:pic>
              </a:graphicData>
            </a:graphic>
          </wp:inline>
        </w:drawing>
      </w:r>
    </w:p>
    <w:p w14:paraId="51C13A07" w14:textId="77777777" w:rsidR="00994F93" w:rsidRPr="00B03B51" w:rsidRDefault="00994F93" w:rsidP="00994F93">
      <w:pPr>
        <w:jc w:val="both"/>
        <w:rPr>
          <w:rFonts w:ascii="Times New Roman" w:eastAsia="Arial" w:hAnsi="Times New Roman" w:cs="Times New Roman"/>
          <w:b/>
          <w:bCs/>
          <w:noProof/>
          <w:sz w:val="24"/>
          <w:szCs w:val="17"/>
        </w:rPr>
      </w:pPr>
    </w:p>
    <w:p w14:paraId="7CDBF7B4" w14:textId="77777777" w:rsidR="00994F93" w:rsidRPr="00B03B51" w:rsidRDefault="00994F93" w:rsidP="002D71BB">
      <w:pPr>
        <w:keepNext/>
        <w:jc w:val="both"/>
        <w:rPr>
          <w:rFonts w:ascii="Times New Roman" w:hAnsi="Times New Roman" w:cs="Times New Roman"/>
          <w:b/>
          <w:noProof/>
          <w:sz w:val="24"/>
        </w:rPr>
      </w:pPr>
      <w:r w:rsidRPr="00B03B51">
        <w:rPr>
          <w:rFonts w:ascii="Times New Roman" w:hAnsi="Times New Roman" w:cs="Times New Roman"/>
          <w:b/>
          <w:sz w:val="24"/>
        </w:rPr>
        <w:lastRenderedPageBreak/>
        <w:t>Nefinanšu konti</w:t>
      </w:r>
    </w:p>
    <w:p w14:paraId="1DBABA71" w14:textId="77777777" w:rsidR="00994F93" w:rsidRPr="00B03B51" w:rsidRDefault="00994F93" w:rsidP="002D71BB">
      <w:pPr>
        <w:keepNext/>
        <w:jc w:val="both"/>
        <w:rPr>
          <w:rFonts w:ascii="Times New Roman" w:eastAsia="Arial" w:hAnsi="Times New Roman" w:cs="Times New Roman"/>
          <w:b/>
          <w:bCs/>
          <w:noProof/>
          <w:sz w:val="24"/>
          <w:szCs w:val="26"/>
        </w:rPr>
      </w:pPr>
    </w:p>
    <w:p w14:paraId="1F8F32E1" w14:textId="64F11A67" w:rsidR="00994F93" w:rsidRPr="00B03B51" w:rsidRDefault="0091348F" w:rsidP="002D71BB">
      <w:pPr>
        <w:keepNext/>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39D757B5" wp14:editId="435632D2">
            <wp:extent cx="5760085" cy="13436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343660"/>
                    </a:xfrm>
                    <a:prstGeom prst="rect">
                      <a:avLst/>
                    </a:prstGeom>
                    <a:noFill/>
                    <a:ln>
                      <a:noFill/>
                    </a:ln>
                  </pic:spPr>
                </pic:pic>
              </a:graphicData>
            </a:graphic>
          </wp:inline>
        </w:drawing>
      </w:r>
    </w:p>
    <w:p w14:paraId="539FB38F" w14:textId="77777777" w:rsidR="00994F93" w:rsidRPr="00B03B51" w:rsidRDefault="00994F93" w:rsidP="00994F93">
      <w:pPr>
        <w:jc w:val="both"/>
        <w:rPr>
          <w:rFonts w:ascii="Times New Roman" w:eastAsia="Arial" w:hAnsi="Times New Roman" w:cs="Times New Roman"/>
          <w:b/>
          <w:bCs/>
          <w:noProof/>
          <w:sz w:val="24"/>
          <w:szCs w:val="17"/>
        </w:rPr>
      </w:pPr>
    </w:p>
    <w:p w14:paraId="30B85C4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Finanšu konti</w:t>
      </w:r>
    </w:p>
    <w:p w14:paraId="2BB8D5C7" w14:textId="77777777" w:rsidR="00994F93" w:rsidRPr="00B03B51" w:rsidRDefault="00994F93" w:rsidP="00994F93">
      <w:pPr>
        <w:jc w:val="both"/>
        <w:rPr>
          <w:rFonts w:ascii="Times New Roman" w:eastAsia="Arial" w:hAnsi="Times New Roman" w:cs="Times New Roman"/>
          <w:b/>
          <w:bCs/>
          <w:noProof/>
          <w:sz w:val="24"/>
          <w:szCs w:val="25"/>
        </w:rPr>
      </w:pPr>
    </w:p>
    <w:p w14:paraId="6CEDFFCB" w14:textId="56D78770" w:rsidR="00994F93" w:rsidRPr="00B03B51" w:rsidRDefault="0091348F"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04CDD873" wp14:editId="258CBEF9">
            <wp:extent cx="5760085" cy="13277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1327785"/>
                    </a:xfrm>
                    <a:prstGeom prst="rect">
                      <a:avLst/>
                    </a:prstGeom>
                    <a:noFill/>
                    <a:ln>
                      <a:noFill/>
                    </a:ln>
                  </pic:spPr>
                </pic:pic>
              </a:graphicData>
            </a:graphic>
          </wp:inline>
        </w:drawing>
      </w:r>
    </w:p>
    <w:p w14:paraId="017AFA0C" w14:textId="77777777" w:rsidR="00994F93" w:rsidRPr="00B03B51" w:rsidRDefault="00994F93" w:rsidP="00994F93">
      <w:pPr>
        <w:jc w:val="both"/>
        <w:rPr>
          <w:rFonts w:ascii="Times New Roman" w:eastAsia="Arial" w:hAnsi="Times New Roman" w:cs="Times New Roman"/>
          <w:b/>
          <w:bCs/>
          <w:noProof/>
          <w:sz w:val="24"/>
          <w:szCs w:val="17"/>
        </w:rPr>
      </w:pPr>
    </w:p>
    <w:p w14:paraId="65D75607" w14:textId="0D7EB466"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w:t>
      </w:r>
      <w:r w:rsidR="0071541E" w:rsidRPr="00B03B51">
        <w:rPr>
          <w:rFonts w:ascii="Times New Roman" w:hAnsi="Times New Roman" w:cs="Times New Roman"/>
          <w:b/>
          <w:sz w:val="24"/>
        </w:rPr>
        <w:t>beigu</w:t>
      </w:r>
      <w:r w:rsidRPr="00B03B51">
        <w:rPr>
          <w:rFonts w:ascii="Times New Roman" w:hAnsi="Times New Roman" w:cs="Times New Roman"/>
          <w:b/>
          <w:sz w:val="24"/>
        </w:rPr>
        <w:t xml:space="preserve"> bilance</w:t>
      </w:r>
    </w:p>
    <w:p w14:paraId="110C492D" w14:textId="77777777" w:rsidR="00994F93" w:rsidRPr="00B03B51" w:rsidRDefault="00994F93" w:rsidP="00994F93">
      <w:pPr>
        <w:jc w:val="both"/>
        <w:rPr>
          <w:rFonts w:ascii="Times New Roman" w:eastAsia="Arial" w:hAnsi="Times New Roman" w:cs="Times New Roman"/>
          <w:b/>
          <w:bCs/>
          <w:noProof/>
          <w:sz w:val="24"/>
          <w:szCs w:val="25"/>
        </w:rPr>
      </w:pPr>
    </w:p>
    <w:p w14:paraId="1F60013E" w14:textId="54DCB74B" w:rsidR="00994F93" w:rsidRPr="00B03B51" w:rsidRDefault="0074512A" w:rsidP="00994F93">
      <w:pPr>
        <w:jc w:val="both"/>
        <w:rPr>
          <w:rFonts w:ascii="Times New Roman" w:eastAsia="Calibri" w:hAnsi="Times New Roman" w:cs="Times New Roman"/>
          <w:noProof/>
          <w:sz w:val="24"/>
          <w:szCs w:val="18"/>
        </w:rPr>
      </w:pPr>
      <w:r w:rsidRPr="00B03B51">
        <w:rPr>
          <w:rFonts w:ascii="Times New Roman" w:eastAsia="Calibri" w:hAnsi="Times New Roman" w:cs="Times New Roman"/>
          <w:noProof/>
          <w:sz w:val="24"/>
          <w:szCs w:val="18"/>
        </w:rPr>
        <w:drawing>
          <wp:inline distT="0" distB="0" distL="0" distR="0" wp14:anchorId="3C4E55F6" wp14:editId="76949A15">
            <wp:extent cx="5760085" cy="131254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312545"/>
                    </a:xfrm>
                    <a:prstGeom prst="rect">
                      <a:avLst/>
                    </a:prstGeom>
                    <a:noFill/>
                    <a:ln>
                      <a:noFill/>
                    </a:ln>
                  </pic:spPr>
                </pic:pic>
              </a:graphicData>
            </a:graphic>
          </wp:inline>
        </w:drawing>
      </w:r>
    </w:p>
    <w:p w14:paraId="411C5C59" w14:textId="77777777" w:rsidR="00994F93" w:rsidRPr="00B03B51" w:rsidRDefault="00994F93" w:rsidP="00994F93">
      <w:pPr>
        <w:jc w:val="both"/>
        <w:rPr>
          <w:rFonts w:ascii="Times New Roman" w:eastAsia="Arial" w:hAnsi="Times New Roman" w:cs="Times New Roman"/>
          <w:b/>
          <w:bCs/>
          <w:noProof/>
          <w:sz w:val="24"/>
          <w:szCs w:val="14"/>
        </w:rPr>
      </w:pPr>
    </w:p>
    <w:p w14:paraId="780F9E57" w14:textId="77777777" w:rsidR="00994F93" w:rsidRPr="00B03B51" w:rsidRDefault="00994F93" w:rsidP="00994F93">
      <w:pPr>
        <w:jc w:val="both"/>
        <w:rPr>
          <w:rFonts w:ascii="Times New Roman" w:eastAsia="Arial" w:hAnsi="Times New Roman" w:cs="Times New Roman"/>
          <w:b/>
          <w:bCs/>
          <w:noProof/>
          <w:sz w:val="24"/>
          <w:szCs w:val="14"/>
        </w:rPr>
      </w:pPr>
      <w:r w:rsidRPr="00B03B51">
        <w:rPr>
          <w:rFonts w:ascii="Times New Roman" w:hAnsi="Times New Roman" w:cs="Times New Roman"/>
          <w:b/>
          <w:bCs/>
          <w:sz w:val="24"/>
          <w:szCs w:val="14"/>
        </w:rPr>
        <w:t>4. piemērs</w:t>
      </w:r>
    </w:p>
    <w:p w14:paraId="0A3A71E9" w14:textId="77777777" w:rsidR="00994F93" w:rsidRPr="00B03B51" w:rsidRDefault="00994F93" w:rsidP="00994F93">
      <w:pPr>
        <w:jc w:val="both"/>
        <w:rPr>
          <w:rFonts w:ascii="Times New Roman" w:eastAsia="Arial" w:hAnsi="Times New Roman" w:cs="Times New Roman"/>
          <w:b/>
          <w:bCs/>
          <w:noProof/>
          <w:sz w:val="24"/>
          <w:szCs w:val="14"/>
        </w:rPr>
      </w:pPr>
    </w:p>
    <w:p w14:paraId="7F30A65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Subsīdija, ko valdība atlīdzina</w:t>
      </w:r>
      <w:r w:rsidRPr="00B03B51">
        <w:rPr>
          <w:rFonts w:ascii="Times New Roman" w:hAnsi="Times New Roman" w:cs="Times New Roman"/>
          <w:sz w:val="24"/>
        </w:rPr>
        <w:t> – valdība uzdod attīstības bankai piešķirt MVU subsīdiju un apņemas vēlāk atlīdzināt nepieciešamos finanšu resursus attīstības bankai. Šajā uzskaites piemērā ir parādīta subsīdijas pārkārtošana, izmantojot nefinanšu kontus, un attīstības bankas finansēšanas iespēju izmantošana, sniedzot nosacītu aizdevumu valdībai.</w:t>
      </w:r>
    </w:p>
    <w:p w14:paraId="08699E37" w14:textId="77777777" w:rsidR="00994F93" w:rsidRPr="00B03B51" w:rsidRDefault="00994F93" w:rsidP="00994F93">
      <w:pPr>
        <w:jc w:val="both"/>
        <w:rPr>
          <w:rFonts w:ascii="Times New Roman" w:hAnsi="Times New Roman" w:cs="Times New Roman"/>
          <w:noProof/>
          <w:sz w:val="24"/>
        </w:rPr>
      </w:pPr>
    </w:p>
    <w:p w14:paraId="56E7525C"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pārskata gads:</w:t>
      </w:r>
    </w:p>
    <w:p w14:paraId="034F7DF9" w14:textId="77777777" w:rsidR="00994F93" w:rsidRPr="00B03B51" w:rsidRDefault="00994F93" w:rsidP="00994F93">
      <w:pPr>
        <w:jc w:val="both"/>
        <w:rPr>
          <w:rFonts w:ascii="Times New Roman" w:eastAsia="Arial" w:hAnsi="Times New Roman" w:cs="Times New Roman"/>
          <w:b/>
          <w:bCs/>
          <w:noProof/>
          <w:sz w:val="24"/>
          <w:szCs w:val="21"/>
        </w:rPr>
      </w:pPr>
    </w:p>
    <w:p w14:paraId="1BA0782D"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sākuma bilance</w:t>
      </w:r>
    </w:p>
    <w:p w14:paraId="762F0B19" w14:textId="77777777" w:rsidR="00994F93" w:rsidRPr="00B03B51" w:rsidRDefault="00994F93" w:rsidP="00994F93">
      <w:pPr>
        <w:jc w:val="both"/>
        <w:rPr>
          <w:rFonts w:ascii="Times New Roman" w:eastAsia="Arial" w:hAnsi="Times New Roman" w:cs="Times New Roman"/>
          <w:b/>
          <w:bCs/>
          <w:noProof/>
          <w:sz w:val="24"/>
          <w:szCs w:val="20"/>
        </w:rPr>
      </w:pPr>
    </w:p>
    <w:p w14:paraId="05C9AA22" w14:textId="27CF874C" w:rsidR="00994F93" w:rsidRPr="00B03B51" w:rsidRDefault="0074512A"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3D0CA20E" wp14:editId="66139D26">
            <wp:extent cx="5760085" cy="12312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1231265"/>
                    </a:xfrm>
                    <a:prstGeom prst="rect">
                      <a:avLst/>
                    </a:prstGeom>
                    <a:noFill/>
                    <a:ln>
                      <a:noFill/>
                    </a:ln>
                  </pic:spPr>
                </pic:pic>
              </a:graphicData>
            </a:graphic>
          </wp:inline>
        </w:drawing>
      </w:r>
    </w:p>
    <w:p w14:paraId="24908B22" w14:textId="77777777" w:rsidR="00994F93" w:rsidRPr="00B03B51" w:rsidRDefault="00994F93" w:rsidP="00994F93">
      <w:pPr>
        <w:jc w:val="both"/>
        <w:rPr>
          <w:rFonts w:ascii="Times New Roman" w:eastAsia="Arial" w:hAnsi="Times New Roman" w:cs="Times New Roman"/>
          <w:b/>
          <w:bCs/>
          <w:noProof/>
          <w:sz w:val="24"/>
          <w:szCs w:val="17"/>
        </w:rPr>
      </w:pPr>
    </w:p>
    <w:p w14:paraId="5836545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lastRenderedPageBreak/>
        <w:t>Nefinanšu konti</w:t>
      </w:r>
    </w:p>
    <w:p w14:paraId="374E8844" w14:textId="77777777" w:rsidR="00994F93" w:rsidRPr="00B03B51" w:rsidRDefault="00994F93" w:rsidP="00994F93">
      <w:pPr>
        <w:jc w:val="both"/>
        <w:rPr>
          <w:rFonts w:ascii="Times New Roman" w:eastAsia="Arial" w:hAnsi="Times New Roman" w:cs="Times New Roman"/>
          <w:b/>
          <w:bCs/>
          <w:noProof/>
          <w:sz w:val="24"/>
          <w:szCs w:val="26"/>
        </w:rPr>
      </w:pPr>
    </w:p>
    <w:p w14:paraId="5ACE5971" w14:textId="2CADA8C2" w:rsidR="00994F93" w:rsidRPr="00B03B51" w:rsidRDefault="0074512A"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21456768" wp14:editId="1D15C718">
            <wp:extent cx="5760085" cy="12579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1257935"/>
                    </a:xfrm>
                    <a:prstGeom prst="rect">
                      <a:avLst/>
                    </a:prstGeom>
                    <a:noFill/>
                    <a:ln>
                      <a:noFill/>
                    </a:ln>
                  </pic:spPr>
                </pic:pic>
              </a:graphicData>
            </a:graphic>
          </wp:inline>
        </w:drawing>
      </w:r>
    </w:p>
    <w:p w14:paraId="394A1B7E" w14:textId="77777777" w:rsidR="00994F93" w:rsidRPr="00B03B51" w:rsidRDefault="00994F93" w:rsidP="00994F93">
      <w:pPr>
        <w:jc w:val="both"/>
        <w:rPr>
          <w:rFonts w:ascii="Times New Roman" w:eastAsia="Arial" w:hAnsi="Times New Roman" w:cs="Times New Roman"/>
          <w:b/>
          <w:bCs/>
          <w:noProof/>
          <w:sz w:val="24"/>
          <w:szCs w:val="17"/>
        </w:rPr>
      </w:pPr>
    </w:p>
    <w:p w14:paraId="6B0D89A3"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Finanšu konti</w:t>
      </w:r>
    </w:p>
    <w:p w14:paraId="01661C64" w14:textId="77777777" w:rsidR="00994F93" w:rsidRPr="00B03B51" w:rsidRDefault="00994F93" w:rsidP="00994F93">
      <w:pPr>
        <w:jc w:val="both"/>
        <w:rPr>
          <w:rFonts w:ascii="Times New Roman" w:eastAsia="Arial" w:hAnsi="Times New Roman" w:cs="Times New Roman"/>
          <w:b/>
          <w:bCs/>
          <w:noProof/>
          <w:sz w:val="24"/>
          <w:szCs w:val="25"/>
        </w:rPr>
      </w:pPr>
    </w:p>
    <w:p w14:paraId="455BEAA4" w14:textId="6EDCEBFA" w:rsidR="00994F93" w:rsidRPr="00B03B51" w:rsidRDefault="0074512A" w:rsidP="00994F93">
      <w:pPr>
        <w:jc w:val="both"/>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5F60C5D1" wp14:editId="7A1EF814">
            <wp:extent cx="5760085" cy="14179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1417955"/>
                    </a:xfrm>
                    <a:prstGeom prst="rect">
                      <a:avLst/>
                    </a:prstGeom>
                    <a:noFill/>
                    <a:ln>
                      <a:noFill/>
                    </a:ln>
                  </pic:spPr>
                </pic:pic>
              </a:graphicData>
            </a:graphic>
          </wp:inline>
        </w:drawing>
      </w:r>
    </w:p>
    <w:p w14:paraId="724565E6" w14:textId="77777777" w:rsidR="00994F93" w:rsidRPr="00B03B51" w:rsidRDefault="00994F93" w:rsidP="00994F93">
      <w:pPr>
        <w:jc w:val="both"/>
        <w:rPr>
          <w:rFonts w:ascii="Times New Roman" w:eastAsia="Arial" w:hAnsi="Times New Roman" w:cs="Times New Roman"/>
          <w:b/>
          <w:bCs/>
          <w:noProof/>
          <w:sz w:val="24"/>
          <w:szCs w:val="17"/>
        </w:rPr>
      </w:pPr>
    </w:p>
    <w:p w14:paraId="6B63296E" w14:textId="4BC6CFFA"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i/>
          <w:iCs/>
          <w:sz w:val="24"/>
        </w:rPr>
        <w:t>t</w:t>
      </w:r>
      <w:r w:rsidRPr="00B03B51">
        <w:rPr>
          <w:rFonts w:ascii="Times New Roman" w:hAnsi="Times New Roman" w:cs="Times New Roman"/>
          <w:b/>
          <w:sz w:val="24"/>
        </w:rPr>
        <w:t xml:space="preserve"> gada </w:t>
      </w:r>
      <w:r w:rsidR="0071541E" w:rsidRPr="00B03B51">
        <w:rPr>
          <w:rFonts w:ascii="Times New Roman" w:hAnsi="Times New Roman" w:cs="Times New Roman"/>
          <w:b/>
          <w:sz w:val="24"/>
        </w:rPr>
        <w:t>beigu</w:t>
      </w:r>
      <w:r w:rsidRPr="00B03B51">
        <w:rPr>
          <w:rFonts w:ascii="Times New Roman" w:hAnsi="Times New Roman" w:cs="Times New Roman"/>
          <w:b/>
          <w:sz w:val="24"/>
        </w:rPr>
        <w:t xml:space="preserve"> bilance</w:t>
      </w:r>
    </w:p>
    <w:p w14:paraId="56394AFC" w14:textId="77777777" w:rsidR="00994F93" w:rsidRPr="00B03B51" w:rsidRDefault="00994F93" w:rsidP="00994F93">
      <w:pPr>
        <w:jc w:val="both"/>
        <w:rPr>
          <w:rFonts w:ascii="Times New Roman" w:eastAsia="Arial" w:hAnsi="Times New Roman" w:cs="Times New Roman"/>
          <w:b/>
          <w:bCs/>
          <w:noProof/>
          <w:sz w:val="24"/>
          <w:szCs w:val="26"/>
        </w:rPr>
      </w:pPr>
    </w:p>
    <w:p w14:paraId="6EFE8048" w14:textId="04587CE9" w:rsidR="00994F93" w:rsidRPr="00B03B51" w:rsidRDefault="0074512A" w:rsidP="00994F93">
      <w:pPr>
        <w:jc w:val="both"/>
        <w:rPr>
          <w:rFonts w:ascii="Times New Roman" w:eastAsia="Calibri" w:hAnsi="Times New Roman" w:cs="Times New Roman"/>
          <w:noProof/>
          <w:sz w:val="24"/>
          <w:szCs w:val="18"/>
        </w:rPr>
      </w:pPr>
      <w:r w:rsidRPr="00B03B51">
        <w:rPr>
          <w:rFonts w:ascii="Times New Roman" w:eastAsia="Calibri" w:hAnsi="Times New Roman" w:cs="Times New Roman"/>
          <w:noProof/>
          <w:sz w:val="24"/>
          <w:szCs w:val="18"/>
        </w:rPr>
        <w:drawing>
          <wp:inline distT="0" distB="0" distL="0" distR="0" wp14:anchorId="75311ED6" wp14:editId="66E60CC0">
            <wp:extent cx="5760085" cy="13462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1346200"/>
                    </a:xfrm>
                    <a:prstGeom prst="rect">
                      <a:avLst/>
                    </a:prstGeom>
                    <a:noFill/>
                    <a:ln>
                      <a:noFill/>
                    </a:ln>
                  </pic:spPr>
                </pic:pic>
              </a:graphicData>
            </a:graphic>
          </wp:inline>
        </w:drawing>
      </w:r>
    </w:p>
    <w:p w14:paraId="348C4916" w14:textId="77777777" w:rsidR="00994F93" w:rsidRPr="00B03B51" w:rsidRDefault="00994F93" w:rsidP="00994F93">
      <w:pPr>
        <w:jc w:val="both"/>
        <w:rPr>
          <w:rFonts w:ascii="Times New Roman" w:eastAsia="Arial" w:hAnsi="Times New Roman" w:cs="Times New Roman"/>
          <w:b/>
          <w:bCs/>
          <w:noProof/>
          <w:sz w:val="24"/>
          <w:szCs w:val="25"/>
        </w:rPr>
      </w:pPr>
    </w:p>
    <w:p w14:paraId="04DC9F72" w14:textId="77777777" w:rsidR="00994F93" w:rsidRPr="00FE5FF3" w:rsidRDefault="00994F93" w:rsidP="00FE5FF3">
      <w:pPr>
        <w:pStyle w:val="Heading6"/>
        <w:tabs>
          <w:tab w:val="left" w:pos="1279"/>
        </w:tabs>
        <w:ind w:left="0" w:firstLine="0"/>
        <w:jc w:val="both"/>
        <w:rPr>
          <w:rFonts w:ascii="Times New Roman" w:hAnsi="Times New Roman" w:cs="Times New Roman"/>
          <w:sz w:val="24"/>
        </w:rPr>
      </w:pPr>
      <w:r w:rsidRPr="00B03B51">
        <w:rPr>
          <w:rFonts w:ascii="Times New Roman" w:hAnsi="Times New Roman" w:cs="Times New Roman"/>
          <w:sz w:val="24"/>
        </w:rPr>
        <w:t>1.2.4.6. PUBLISKO SLIMNĪCU ĪPAŠAIS GADĪJUMS</w:t>
      </w:r>
    </w:p>
    <w:p w14:paraId="1EDD92B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5520FB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134. Saistībā ar publisko ražotāju sektoru klasifikāciju publiskās slimnīcas</w:t>
      </w:r>
      <w:r w:rsidRPr="00B03B51">
        <w:rPr>
          <w:rStyle w:val="FootnoteReference"/>
          <w:rFonts w:ascii="Times New Roman" w:hAnsi="Times New Roman" w:cs="Times New Roman"/>
          <w:noProof/>
          <w:sz w:val="24"/>
        </w:rPr>
        <w:footnoteReference w:id="51"/>
      </w:r>
      <w:r w:rsidRPr="00B03B51">
        <w:rPr>
          <w:rFonts w:ascii="Times New Roman" w:hAnsi="Times New Roman" w:cs="Times New Roman"/>
          <w:sz w:val="24"/>
        </w:rPr>
        <w:t xml:space="preserve"> ir īpašs gadījums.</w:t>
      </w:r>
      <w:r w:rsidRPr="00B03B51">
        <w:rPr>
          <w:rStyle w:val="FootnoteReference"/>
          <w:rFonts w:ascii="Times New Roman" w:hAnsi="Times New Roman" w:cs="Times New Roman"/>
          <w:noProof/>
          <w:sz w:val="24"/>
        </w:rPr>
        <w:footnoteReference w:id="52"/>
      </w:r>
      <w:r w:rsidRPr="00B03B51">
        <w:rPr>
          <w:rFonts w:ascii="Times New Roman" w:hAnsi="Times New Roman" w:cs="Times New Roman"/>
          <w:sz w:val="24"/>
        </w:rPr>
        <w:t xml:space="preserve"> Tā ir galvenokārt tāpēc, ka viens no valdības galvenajiem pienākumiem ir organizēt veselības aprūpes pakalpojumus katrā ES dalībvalstī, jo tā ir valsts politikas sastāvdaļa, lai nodrošinātu, ka visai kopienai ir pieejami veselības aprūpes pakalpojumu sniedzēji.</w:t>
      </w:r>
    </w:p>
    <w:p w14:paraId="28325AF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2ED7998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135. Valdība var organizēt veselības aprūpes pakalpojumu sniegšanu daudzos veidos. Piemēram, valdība var reglamentēt publisko un/vai privāto slimnīcu nodrošināšanu ģeogrāfisko zonu dalījumā vai noteikt ierobežojumus attiecībā uz vienādu pakalpojumu sniegšanu, vai regulēt vispārējo cenu sistēmu, nosakot vai nenosakot cenu katram konkrētam ārstēšanas veidam. Šīs apakšiedaļas mērķis tādējādi ir identificēt galvenos punktus, kas statistikas </w:t>
      </w:r>
      <w:r w:rsidRPr="00B03B51">
        <w:rPr>
          <w:rFonts w:ascii="Times New Roman" w:hAnsi="Times New Roman" w:cs="Times New Roman"/>
          <w:sz w:val="24"/>
        </w:rPr>
        <w:lastRenderedPageBreak/>
        <w:t>veidotājiem jāņem vērā, nodarbojoties ar publisko slimnīcu klasifikāciju, proti un galvenokārt, kāda ir valdības kontroles pakāpe, vai pastāv faktiska konkurence ar privātām slimnīcām un vai publiskās slimnīcas necieš finansiālus zaudējumus.</w:t>
      </w:r>
    </w:p>
    <w:p w14:paraId="2028CE6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5883AF9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136. Kontroli pār slimnīcu var noteikt no EKS 2010 20.309. punktā (un 1.2.3. sadaļā “Valdības kontrolētas institucionālās vienības jēdziens”) minēto rādītāju saraksta. Ja valdība nosaka publiskās slimnīcas vispārējo politiku, uzskatāms, ka valdība kontrolē slimnīcu. Šajā saistībā ir svarīgi novērtēt, kādā pakāpē valdība īsteno šo kontroli. Dažos gadījumos publiskā slimnīca </w:t>
      </w:r>
      <w:r w:rsidRPr="00B03B51">
        <w:rPr>
          <w:rFonts w:ascii="Times New Roman" w:hAnsi="Times New Roman" w:cs="Times New Roman"/>
          <w:i/>
          <w:iCs/>
          <w:sz w:val="24"/>
        </w:rPr>
        <w:t>de facto</w:t>
      </w:r>
      <w:r w:rsidRPr="00B03B51">
        <w:rPr>
          <w:rFonts w:ascii="Times New Roman" w:hAnsi="Times New Roman" w:cs="Times New Roman"/>
          <w:sz w:val="24"/>
        </w:rPr>
        <w:t xml:space="preserve"> nevar darboties pilnīgi autonomi. Jo īpaši tas varētu būt gadījumos, kad par tās kapitāla veidošanu (paplašināšanu/ēku renovāciju vai dārga aprīkojuma iegādi) lemj/uzliek veto kontrolējošā vienība vai iestāde, kas atbild par veselības aizsardzības politikas īstenošanu. Ja ir nepieciešama valdības atļauja tehnikas vai sarežģīta aprīkojuma iegādei vai aizņēmuma saņemšanai tirgos, kas nepieciešams, lai finansētu jaunu aktīvu iegādi, valdība (un nevis slimnīca) ir tā, kurai ir piešķirtas pilnvaras pieņemt ekonomiskos lēmumus par slimnīcas aktīviem un saistībām. Šādos gadījumos publiskās slimnīcas klasificē vispārējās valdības sektorā.</w:t>
      </w:r>
      <w:r w:rsidRPr="00B03B51">
        <w:rPr>
          <w:rStyle w:val="FootnoteReference"/>
          <w:rFonts w:ascii="Times New Roman" w:hAnsi="Times New Roman" w:cs="Times New Roman"/>
          <w:noProof/>
          <w:sz w:val="24"/>
        </w:rPr>
        <w:footnoteReference w:id="53"/>
      </w:r>
    </w:p>
    <w:p w14:paraId="4EF33F91"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4DA7B1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137. Rūpīgi jāpārbauda, vai pastāv faktiska tirgus konkurence, pārliecinoties, vai publiskās slimnīcas patiešām praksē konkurē ar privātajām slimnīcām. Konkurenci var novērtēt, pārbaudot, vai privātās slimnīcas darbojas visās dažādajās jomās un vai privātais sektors vēlas ieiet tirgū visās jomās. Šajā ziņā ir svarīgi pārliecināties, vai tirgus atvērtība ir vai nav tikai teorētiska. Citiem vārdiem, ir jāpārbauda, vai publiskās un privātās slimnīcas faktiski praksē sniedz tos pašus pakalpojumus visās jomās un vai pacientiem vai zāļu parakstītājiem ir iespējama reāla izvēle. Gadījumos, kad tirgus konkurence varētu būt tikai tīri teorētiska un būtībā nav konstatējama, publiskās slimnīcas klasificē valdības sektorā.</w:t>
      </w:r>
    </w:p>
    <w:p w14:paraId="2CB1CE6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C48B24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138. Tādējādi faktiskas tirgus konkurences situācijā slimnīca var izlemt, kurus veselības aprūpes pakalpojumus tā vēlas sniegt, pamatojoties uz ienesīguma apsvērumiem, vai arī tā var lemt par cenu pielāgošanu, lai ietekmētu pieprasījumu. Ir situācijas, kad cenas vienpusēji var noteikt valdība (kas parasti ir dominējošais pircējs) vai saskaņā ar pušu līgumisku vienošanos, plašākā kontekstā – saskaņā ar ekonomikas dalībnieku (valdības, slimnīcu un veselības apdrošināšanas vienību) vienošanos. Šajā saistībā būtu jāpārliecinās, vai konkrēta cenu sistēma pastāv tikai attiecībā uz publiskām slimnīcām, kura atšķirtos no privāto slimnīcu cenu sistēmas (attiecīgi šādā gadījumā publiskās slimnīcas ir jāpārklasificē vispārējās valdības sektorā), nevis, ka pastāv cenu noteikšanas sistēma, kas ir piemērojama gan privātajām, gan publiskajām slimnīcām. Turklāt ir arī jāpārbauda, vai cenas tiek noteiktas tādā veidā, ka nepieļauj </w:t>
      </w:r>
      <w:r w:rsidRPr="00B03B51">
        <w:rPr>
          <w:rFonts w:ascii="Times New Roman" w:hAnsi="Times New Roman" w:cs="Times New Roman"/>
          <w:i/>
          <w:iCs/>
          <w:sz w:val="24"/>
        </w:rPr>
        <w:t>de facto</w:t>
      </w:r>
      <w:r w:rsidRPr="00B03B51">
        <w:rPr>
          <w:rFonts w:ascii="Times New Roman" w:hAnsi="Times New Roman" w:cs="Times New Roman"/>
          <w:sz w:val="24"/>
        </w:rPr>
        <w:t xml:space="preserve"> tirgus konkurenci, piemēram, vai nevar novērot, ka dažu medicīnas pakalpojumu cenas ir pārāk zemas, lai varētu privātas vienības mudināt piedalīties šādu pakalpojumu sniegšanā, jo tas būtu nerentabli.</w:t>
      </w:r>
    </w:p>
    <w:p w14:paraId="4BEBBAE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2D6E5F2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139. Publiskām slimnīcām, ņemot vērā savu publiskā ražotāja statusu sabiedrības veselības nozarē, varētu būt pienākums sniegt šādus pakalpojumus (kas obligāti jāsniedz kādām vienībām), kuri visticamāk </w:t>
      </w:r>
      <w:r w:rsidRPr="00B03B51">
        <w:rPr>
          <w:rFonts w:ascii="Times New Roman" w:hAnsi="Times New Roman" w:cs="Times New Roman"/>
          <w:i/>
          <w:iCs/>
          <w:sz w:val="24"/>
        </w:rPr>
        <w:t>de facto</w:t>
      </w:r>
      <w:r w:rsidRPr="00B03B51">
        <w:rPr>
          <w:rFonts w:ascii="Times New Roman" w:hAnsi="Times New Roman" w:cs="Times New Roman"/>
          <w:sz w:val="24"/>
        </w:rPr>
        <w:t xml:space="preserve"> nesedz ražošanas izmaksas, tādējādi tās parasti darbotos ar zaudējumiem. Savukārt privāta slimnīca var nenākt tirgū saistībā ar nerentablu pakalpojumu sniegšanu, un, visticamāk, izlems to nedarīt, jo nevarēs izdzīvot, ja pastāvīgi cietīs zaudējumus. Tādējādi privātas slimnīcas varētu sniegt tikai ierobežotu veselības aprūpes pakalpojumu </w:t>
      </w:r>
      <w:r w:rsidRPr="00B03B51">
        <w:rPr>
          <w:rFonts w:ascii="Times New Roman" w:hAnsi="Times New Roman" w:cs="Times New Roman"/>
          <w:sz w:val="24"/>
        </w:rPr>
        <w:lastRenderedPageBreak/>
        <w:t>klāstu, kas ir rentabli, savukārt publiskās slimnīcas varētu sniegt plašāku veselības aprūpes pakalpojumu klāstu un attiecīgi ciest zaudējumus.</w:t>
      </w:r>
      <w:r w:rsidRPr="00B03B51">
        <w:rPr>
          <w:rStyle w:val="FootnoteReference"/>
          <w:rFonts w:ascii="Times New Roman" w:hAnsi="Times New Roman" w:cs="Times New Roman"/>
          <w:noProof/>
          <w:sz w:val="24"/>
        </w:rPr>
        <w:footnoteReference w:id="54"/>
      </w:r>
      <w:r w:rsidRPr="00B03B51">
        <w:rPr>
          <w:rFonts w:ascii="Times New Roman" w:hAnsi="Times New Roman" w:cs="Times New Roman"/>
          <w:sz w:val="24"/>
        </w:rPr>
        <w:t xml:space="preserve"> Šādos apstākļos, kad konkurence varētu būt ierobežota un publiskās slimnīcas vairumā gadījumu varētu gandrīz pastāvīgi ciest zaudējumus valdības politikas dēļ, publiskās slimnīcas būtu jāpārklasificē attiecīgajā kontrolējošās valdības apakšsektorā, kas ir atbildīgs par regulārā vai neregulārā deficīta segšanu.</w:t>
      </w:r>
      <w:r w:rsidRPr="00B03B51">
        <w:rPr>
          <w:rStyle w:val="FootnoteReference"/>
          <w:rFonts w:ascii="Times New Roman" w:hAnsi="Times New Roman" w:cs="Times New Roman"/>
          <w:noProof/>
          <w:sz w:val="24"/>
        </w:rPr>
        <w:footnoteReference w:id="55"/>
      </w:r>
    </w:p>
    <w:p w14:paraId="7E4615B7"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1BBFB8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140. Valdība var atbalstīt publiskās slimnīcas dažādos veidos, piemēram, regulāri vai neregulāri (piemēram, reizi 5 gados) segt to zaudējumus, tā var būt gatava uzņemties uzkrāto parādu (kā pēdējās instances debitors), finansēt pilnībā vai lielā apmērā iekārtu (jo īpaši ļoti dārgu iekārtu) iegādi utt.</w:t>
      </w:r>
      <w:r w:rsidRPr="00B03B51">
        <w:rPr>
          <w:rStyle w:val="FootnoteReference"/>
          <w:rFonts w:ascii="Times New Roman" w:hAnsi="Times New Roman" w:cs="Times New Roman"/>
          <w:noProof/>
          <w:sz w:val="24"/>
        </w:rPr>
        <w:footnoteReference w:id="56"/>
      </w:r>
      <w:r w:rsidRPr="00B03B51">
        <w:rPr>
          <w:rFonts w:ascii="Times New Roman" w:hAnsi="Times New Roman" w:cs="Times New Roman"/>
          <w:sz w:val="24"/>
        </w:rPr>
        <w:t xml:space="preserve"> Ikviena valdības iejaukšanās (vai nu novērota no pieredzes, vai paredzēta, ņemot vērā oficiālas apņemšanās), kas varētu ietvert publisko slimnīcu uzņēmējdarbības risku segšanu, varētu uzsvērt atšķirību attiecībā uz privāto sektoru un tādējādi atainot situāciju, kurā </w:t>
      </w:r>
      <w:r w:rsidRPr="00B03B51">
        <w:rPr>
          <w:rFonts w:ascii="Times New Roman" w:hAnsi="Times New Roman" w:cs="Times New Roman"/>
          <w:i/>
          <w:iCs/>
          <w:sz w:val="24"/>
        </w:rPr>
        <w:t>de facto</w:t>
      </w:r>
      <w:r w:rsidRPr="00B03B51">
        <w:rPr>
          <w:rFonts w:ascii="Times New Roman" w:hAnsi="Times New Roman" w:cs="Times New Roman"/>
          <w:sz w:val="24"/>
        </w:rPr>
        <w:t xml:space="preserve"> nepastāv faktiska tirgus konkurence. Tāpēc, ja slimnīcas ir publiskas un faktiskas tirgus konkurences nosacījumi netiek izpildīti (ko apliecina tostarp tas, ka publiskas/valsts slimnīcas cieš regulārus zaudējumus vai uzkrāj ievērojamus parādus, un tiek pastāvīgi novērots valdības atbalsts kopumā, nevis konkrētām publiskām slimnīcām atsevišķi), publiskās slimnīcas ir jāklasificē valdības sektorā.</w:t>
      </w:r>
    </w:p>
    <w:p w14:paraId="03AE239F"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A99449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141. Šajā saistībā jāuzsver, ka publisko slimnīcu klasifikācija valdības sektorā sniedz arī precīzāku ainu par valdības kontiem, jo zaudējumi katru gadu regulāri tiks uzskaitīti valdības neto aizdevumā/aizņēmumā (B.9) saskaņā ar atsevišķu slimnīcu darbības rezultātiem katrā gadā, nevis saskaņā ar to, kad valdība varētu izlemt segt zaudējumus, kas radušies (piemēram), uzņemoties slimnīcu parādu ik pēc </w:t>
      </w:r>
      <w:r w:rsidRPr="00B03B51">
        <w:rPr>
          <w:rFonts w:ascii="Times New Roman" w:hAnsi="Times New Roman" w:cs="Times New Roman"/>
          <w:i/>
          <w:iCs/>
          <w:sz w:val="24"/>
        </w:rPr>
        <w:t>X</w:t>
      </w:r>
      <w:r w:rsidRPr="00B03B51">
        <w:rPr>
          <w:rFonts w:ascii="Times New Roman" w:hAnsi="Times New Roman" w:cs="Times New Roman"/>
          <w:sz w:val="24"/>
        </w:rPr>
        <w:t xml:space="preserve"> gadiem un, iespējams, izvēloties vislabvēlīgāko momentu valdības kontu ietekmēšanai.</w:t>
      </w:r>
    </w:p>
    <w:p w14:paraId="74E9D0D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8FD9C7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142. Neatkarīgi no iepriekš teiktā</w:t>
      </w:r>
      <w:r w:rsidRPr="00B03B51">
        <w:rPr>
          <w:rStyle w:val="FootnoteReference"/>
          <w:rFonts w:ascii="Times New Roman" w:hAnsi="Times New Roman" w:cs="Times New Roman"/>
          <w:noProof/>
          <w:sz w:val="24"/>
        </w:rPr>
        <w:footnoteReference w:id="57"/>
      </w:r>
      <w:r w:rsidRPr="00B03B51">
        <w:rPr>
          <w:rFonts w:ascii="Times New Roman" w:hAnsi="Times New Roman" w:cs="Times New Roman"/>
          <w:sz w:val="24"/>
        </w:rPr>
        <w:t xml:space="preserve">, tajos gadījumos, kad cenu noteikšanas sistēma tiktu piemērota visā pilnībā gan publiskajām, gan privātajām slimnīcām attiecībā uz vairumu darbību, ko veic publiskās slimnīcas, kas pakļautas konkurencei, un publiskās slimnīcas nesaņemtu kompensāciju, pamatojoties vienkārši uz savām izmaksām, un neciestu zaudējumus gandrīz pastāvīgi, ko pēc tam segtu valdība (jo šādā veidā valdība varētu pamatā </w:t>
      </w:r>
      <w:r w:rsidRPr="00B03B51">
        <w:rPr>
          <w:rFonts w:ascii="Times New Roman" w:hAnsi="Times New Roman" w:cs="Times New Roman"/>
          <w:i/>
          <w:iCs/>
          <w:sz w:val="24"/>
        </w:rPr>
        <w:t>de facto</w:t>
      </w:r>
      <w:r w:rsidRPr="00B03B51">
        <w:rPr>
          <w:rFonts w:ascii="Times New Roman" w:hAnsi="Times New Roman" w:cs="Times New Roman"/>
          <w:sz w:val="24"/>
        </w:rPr>
        <w:t xml:space="preserve"> atlīdzināt slimnīcām zaudējumus uz radušos izmaksu bāzes), turpmākos maksājumus var uzskatīt par tirgus darbību rezultātu un tāpēc izmantot tirgus/ārpustirgus testa kontekstā, kas varētu būt pēdējais solis lēmumu pieņemšanas shēmā attiecībā uz publisko slimnīcu sektoru klasifikāciju.</w:t>
      </w:r>
    </w:p>
    <w:p w14:paraId="4468BC2D"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br w:type="page"/>
      </w:r>
    </w:p>
    <w:p w14:paraId="0107EB9C" w14:textId="77777777" w:rsidR="00994F93" w:rsidRPr="00B03B51" w:rsidRDefault="00994F93" w:rsidP="00994F93">
      <w:pPr>
        <w:jc w:val="both"/>
        <w:rPr>
          <w:rFonts w:ascii="Times New Roman" w:eastAsia="Arial" w:hAnsi="Times New Roman" w:cs="Times New Roman"/>
          <w:noProof/>
          <w:sz w:val="24"/>
          <w:szCs w:val="20"/>
        </w:rPr>
      </w:pPr>
    </w:p>
    <w:p w14:paraId="27E66A4F" w14:textId="77777777" w:rsidR="00994F93" w:rsidRPr="00B03B51" w:rsidRDefault="00994F93" w:rsidP="00994F93">
      <w:pPr>
        <w:jc w:val="both"/>
        <w:rPr>
          <w:rFonts w:ascii="Times New Roman" w:eastAsia="Arial" w:hAnsi="Times New Roman" w:cs="Times New Roman"/>
          <w:b/>
          <w:bCs/>
          <w:noProof/>
          <w:sz w:val="24"/>
          <w:szCs w:val="20"/>
        </w:rPr>
      </w:pPr>
      <w:r w:rsidRPr="00B03B51">
        <w:rPr>
          <w:rFonts w:ascii="Times New Roman" w:hAnsi="Times New Roman" w:cs="Times New Roman"/>
          <w:b/>
          <w:bCs/>
          <w:sz w:val="24"/>
          <w:szCs w:val="20"/>
        </w:rPr>
        <w:t>Lēmumu pieņemšanas shēma attiecībā uz publiskām slimnīcām</w:t>
      </w:r>
    </w:p>
    <w:p w14:paraId="4D8919BD" w14:textId="77777777" w:rsidR="00994F93" w:rsidRPr="00B03B51" w:rsidRDefault="00994F93" w:rsidP="00994F93">
      <w:pPr>
        <w:jc w:val="both"/>
        <w:rPr>
          <w:rFonts w:ascii="Times New Roman" w:eastAsia="Arial" w:hAnsi="Times New Roman" w:cs="Times New Roman"/>
          <w:noProof/>
          <w:sz w:val="24"/>
          <w:szCs w:val="20"/>
        </w:rPr>
      </w:pPr>
    </w:p>
    <w:p w14:paraId="1FAD401E" w14:textId="0A1ACA62" w:rsidR="00994F93" w:rsidRPr="00B03B51" w:rsidRDefault="009C7585" w:rsidP="00994F93">
      <w:pPr>
        <w:jc w:val="both"/>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0296B0FD" wp14:editId="69D8E3A5">
            <wp:extent cx="5760085" cy="67989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6798945"/>
                    </a:xfrm>
                    <a:prstGeom prst="rect">
                      <a:avLst/>
                    </a:prstGeom>
                    <a:noFill/>
                    <a:ln>
                      <a:noFill/>
                    </a:ln>
                  </pic:spPr>
                </pic:pic>
              </a:graphicData>
            </a:graphic>
          </wp:inline>
        </w:drawing>
      </w:r>
    </w:p>
    <w:p w14:paraId="7CD49F48" w14:textId="77777777" w:rsidR="00994F93" w:rsidRPr="00B03B51" w:rsidRDefault="00994F93" w:rsidP="00994F93">
      <w:pPr>
        <w:jc w:val="both"/>
        <w:rPr>
          <w:rFonts w:ascii="Times New Roman" w:eastAsia="Arial" w:hAnsi="Times New Roman" w:cs="Times New Roman"/>
          <w:noProof/>
          <w:sz w:val="24"/>
          <w:szCs w:val="20"/>
        </w:rPr>
      </w:pPr>
    </w:p>
    <w:p w14:paraId="15DE4D51" w14:textId="77777777" w:rsidR="00994F93" w:rsidRPr="00FE5FF3" w:rsidRDefault="00994F93" w:rsidP="00FE5FF3">
      <w:pPr>
        <w:pStyle w:val="Heading6"/>
        <w:tabs>
          <w:tab w:val="left" w:pos="1279"/>
        </w:tabs>
        <w:ind w:left="0" w:firstLine="0"/>
        <w:jc w:val="both"/>
        <w:rPr>
          <w:rFonts w:ascii="Times New Roman" w:hAnsi="Times New Roman" w:cs="Times New Roman"/>
          <w:sz w:val="24"/>
        </w:rPr>
      </w:pPr>
      <w:r w:rsidRPr="00B03B51">
        <w:rPr>
          <w:rFonts w:ascii="Times New Roman" w:hAnsi="Times New Roman" w:cs="Times New Roman"/>
          <w:sz w:val="24"/>
        </w:rPr>
        <w:t>1.2.4.7. VALSTS TV UN RADIOAPRAIDES ĪPAŠAIS GADĪJUMS</w:t>
      </w:r>
    </w:p>
    <w:p w14:paraId="0C48CD6F"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5FFDC6D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143. Apraide ir audio un video satura raidīšana plašai auditorijai, izmantojot elektroniskos plašsaziņas sakaru līdzekļus. Pēdējās desmitgadēs apraides pakalpojumu institucionāla vide ir būtiski mainījusies, un sabiedrisko apraidi ir ievērojami papildinājusi privātā apraide. Turklāt apraides tehnoloģijas ir ievērojami attīstījušās.</w:t>
      </w:r>
    </w:p>
    <w:p w14:paraId="25C2ADD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38946C6C"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144. Valsts apraide pastāv visās ES dalībvalstīs, tomēr ne visas dalībvalstis ir izveidojušas </w:t>
      </w:r>
      <w:r w:rsidRPr="00B03B51">
        <w:rPr>
          <w:rFonts w:ascii="Times New Roman" w:hAnsi="Times New Roman" w:cs="Times New Roman"/>
          <w:sz w:val="24"/>
        </w:rPr>
        <w:lastRenderedPageBreak/>
        <w:t>lietotāju mērķmaksājumus</w:t>
      </w:r>
      <w:r w:rsidRPr="00B03B51">
        <w:rPr>
          <w:rStyle w:val="FootnoteReference"/>
          <w:rFonts w:ascii="Times New Roman" w:hAnsi="Times New Roman" w:cs="Times New Roman"/>
          <w:noProof/>
          <w:sz w:val="24"/>
        </w:rPr>
        <w:footnoteReference w:id="58"/>
      </w:r>
      <w:r w:rsidRPr="00B03B51">
        <w:rPr>
          <w:rFonts w:ascii="Times New Roman" w:hAnsi="Times New Roman" w:cs="Times New Roman"/>
          <w:sz w:val="24"/>
        </w:rPr>
        <w:t>, ko iekasē no mājsaimniecībām (kā arī uzņēmumiem un citiem subjektiem). Dažās ES dalībvalstīs valdība var tieši noteikt šādus lietotāja maksājumus vai dot valsts apraides iestādei tiesības tos iekasēt. Citās ES dalībvalstīs lietotājiem netiek prasīts īpašs maksājums, un valsts apraide tiek finansēta no citiem avotiem.</w:t>
      </w:r>
    </w:p>
    <w:p w14:paraId="3110381D"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564571F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145. Valsts apraides pirmssākumos maksājums attiecās uz monopolistisko TV un radio pakalpojumu, savukārt tagad situācija ir būtiski mainījusies, jo privāto apraides organizāciju skaits ir daudzkāršojies. Tādējādi agrāk bija skaidra un tieša saikne starp lietotāja maksājumu un pakalpojumu, kas saņemts, skatoties/klausoties valsts apraides organizāciju (vienīgo pastāvošo subjektu, kas nodrošina apraidi), taču tagad tāda tieša saikne vairs nepastāv.</w:t>
      </w:r>
    </w:p>
    <w:p w14:paraId="413140B5"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98C39E5"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146. Iekasējot maksājumu par valsts apraidi, galvenais jautājums ir noteikt, kā klasificēt šo maksājumu nacionālajos kontos, t. i., vai nu kā nodokli (obligātu</w:t>
      </w:r>
      <w:r w:rsidRPr="00B03B51">
        <w:rPr>
          <w:rStyle w:val="FootnoteReference"/>
          <w:rFonts w:ascii="Times New Roman" w:hAnsi="Times New Roman" w:cs="Times New Roman"/>
          <w:noProof/>
          <w:sz w:val="24"/>
        </w:rPr>
        <w:footnoteReference w:id="59"/>
      </w:r>
      <w:r w:rsidRPr="00B03B51">
        <w:rPr>
          <w:rFonts w:ascii="Times New Roman" w:hAnsi="Times New Roman" w:cs="Times New Roman"/>
          <w:sz w:val="24"/>
        </w:rPr>
        <w:t>, neatlīdzināmu darījumu) vai kā maksu par pakalpojumu (atlīdzināmu darījumu).</w:t>
      </w:r>
    </w:p>
    <w:p w14:paraId="3395CD6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4F4A4C8"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147. ES dalībvalstīs ir atšķirīgs lietotāju maksas par valsts apraidi iekasēšanas pamatojums, taču var izšķirt divus pamata gadījumus. Pirmajā gadījumā lietotājs maksā par valsts apraidi, pamatojoties uz kādu vispārēju nosacījumu, piemēram, potenciālā lietotāja (indivīda, mājsaimniecības vai cita attiecīgā subjekta) pastāvīgo dzīvesvietu, lietotāja pieslēgumu elektroenerģijas tīklam, elektrības patēriņu, ienākumu līmeni utt. Otrajā gadījumā lietotājs maksā par valsts apraidi, pamatojoties uz TV/radio vai citas attiecīgās ierīces (tālruņa, klēpjdatora, personālā datora utt.) īpašumtiesībām/pieejamību.</w:t>
      </w:r>
    </w:p>
    <w:p w14:paraId="08625C6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07ED945"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148. Katrā gadījumā ir svarīgi izanalizēt, ir vai nav iespējams </w:t>
      </w:r>
      <w:r w:rsidRPr="00B03B51">
        <w:rPr>
          <w:rFonts w:ascii="Times New Roman" w:hAnsi="Times New Roman" w:cs="Times New Roman"/>
          <w:i/>
          <w:iCs/>
          <w:sz w:val="24"/>
        </w:rPr>
        <w:t>izvairīties</w:t>
      </w:r>
      <w:r w:rsidRPr="00B03B51">
        <w:rPr>
          <w:rFonts w:ascii="Times New Roman" w:hAnsi="Times New Roman" w:cs="Times New Roman"/>
          <w:sz w:val="24"/>
        </w:rPr>
        <w:t xml:space="preserve"> no prasītās maksas par valsts apraides pakalpojumiem, ja persona nevēlas skatīties/klausīties valsts TV/radio (t. i., persona nevēlas izmantot valsts apraides pakalpojumus).</w:t>
      </w:r>
    </w:p>
    <w:p w14:paraId="5D61F25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19B28B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149. Ja nav iespējams </w:t>
      </w:r>
      <w:r w:rsidRPr="00B03B51">
        <w:rPr>
          <w:rFonts w:ascii="Times New Roman" w:hAnsi="Times New Roman" w:cs="Times New Roman"/>
          <w:i/>
          <w:iCs/>
          <w:sz w:val="24"/>
        </w:rPr>
        <w:t>izvairīties</w:t>
      </w:r>
      <w:r w:rsidRPr="00B03B51">
        <w:rPr>
          <w:rFonts w:ascii="Times New Roman" w:hAnsi="Times New Roman" w:cs="Times New Roman"/>
          <w:sz w:val="24"/>
        </w:rPr>
        <w:t xml:space="preserve"> no maksājuma veikšanas par valsts apraides pakalpojumiem (piemēram, apliecinot, ka personas rīcībā nav attiecīgo ierīču, uz kurām attiecas obligātie maksājumi, vai ka persona neizmanto sabiedriskās apraides pakalpojumus), šis obligātais maksājums uzskatāms par neatlīdzināmu un nacionālajos kontos ierakstāms kā nodoklis (D.59 d) punkts, ja to maksā mājsaimniecības, D.29 e) punkts, ja maksā pārējie sektori). Šādā gadījumā uzskatāms, ka maksājumu par valsts apraidi uzliek valsts apraides iespējamajiem patērētājiem, kam nepieder (vai nav pieejamas) ierīces, kas ļautu izmantot valsts apraides pakalpojumu, vai kas nevēlas izmantot valsts apraides pakalpojumus. Līdzīgi maksājumu var piemērot attiecīgo ierīču īpašniekiem (vai personām, kam tās ir pieejamas), kuri nevēlas izmantot piedāvāto valsts apraides pakalpojumu, bet vēlas izmantot tikai privātās apraides pakalpojumus.</w:t>
      </w:r>
      <w:r w:rsidRPr="00B03B51">
        <w:rPr>
          <w:rStyle w:val="FootnoteReference"/>
          <w:rFonts w:ascii="Times New Roman" w:hAnsi="Times New Roman" w:cs="Times New Roman"/>
          <w:noProof/>
          <w:sz w:val="24"/>
        </w:rPr>
        <w:footnoteReference w:id="60"/>
      </w:r>
      <w:r w:rsidRPr="00B03B51">
        <w:rPr>
          <w:rFonts w:ascii="Times New Roman" w:hAnsi="Times New Roman" w:cs="Times New Roman"/>
          <w:sz w:val="24"/>
        </w:rPr>
        <w:t xml:space="preserve"> Tādējādi (iespējamajam) lietotājam ir liegta iespēja brīvi izvēlēties un tiek uzlikts pienākums finansēt valsts apraides pakalpojumus.</w:t>
      </w:r>
    </w:p>
    <w:p w14:paraId="0875829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F1ED43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150. Ja ir iespējams </w:t>
      </w:r>
      <w:r w:rsidRPr="00B03B51">
        <w:rPr>
          <w:rFonts w:ascii="Times New Roman" w:hAnsi="Times New Roman" w:cs="Times New Roman"/>
          <w:i/>
          <w:iCs/>
          <w:sz w:val="24"/>
        </w:rPr>
        <w:t>izvairīties</w:t>
      </w:r>
      <w:r w:rsidRPr="00B03B51">
        <w:rPr>
          <w:rFonts w:ascii="Times New Roman" w:hAnsi="Times New Roman" w:cs="Times New Roman"/>
          <w:sz w:val="24"/>
        </w:rPr>
        <w:t xml:space="preserve"> no valsts apraides pakalpojumu lietošanas, vienlaikus neietekmējot iespēju izmantot privātās apraides pakalpojumus, proti, būtu jāmaksā tikai tiem lietotājiem, kas vēlas izmantot valsts apraides pakalpojumus, tādējādi tas nozīmē, ka viņi piekrīt pakalpojuma cenai. Maksājumu līdz ar to var uzskatīt par atlīdzināmu un tādējādi nacionālajos kontos to aplūko kā maksu par pakalpojumu.</w:t>
      </w:r>
    </w:p>
    <w:p w14:paraId="7CBFE5CB"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68DF963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151. Ja lietotāja maksājums par valsts apraidi tiek uzskatīts par nodokli nacionālajos kontos un ja to iekasē subjekts, kas nav klasificēts valdības sektorā, šādu maksājumu principā pārvirza, izmantojot vispārējās valdības kontus (S.13), jo tikai vispārējai valdībai (un īpašos apstākļos pārējai pasaulei) ir pilnvaras iekasēt nodokļus. Skat. 1.2.4.5. apakšiedaļā “Pārkārtoti darījumi” sniegto uzskaites piemēru.</w:t>
      </w:r>
    </w:p>
    <w:p w14:paraId="649233A9" w14:textId="77777777" w:rsidR="00994F93" w:rsidRPr="00B03B51" w:rsidRDefault="00994F93" w:rsidP="00994F93">
      <w:pPr>
        <w:jc w:val="both"/>
        <w:rPr>
          <w:rFonts w:ascii="Times New Roman" w:eastAsia="Arial" w:hAnsi="Times New Roman" w:cs="Times New Roman"/>
          <w:noProof/>
          <w:sz w:val="24"/>
          <w:szCs w:val="14"/>
        </w:rPr>
      </w:pPr>
    </w:p>
    <w:p w14:paraId="57D4D46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152. Ja lietotāja maksājumu iekasē valdība un tad to nodod sabiedriskajai raidorganizācijai, kas klasificēta ārpus vispārējās valdības sektora, valdības maksājumus sabiedriskajai raidorganizācijai ieraksta kā citas ražošanas subsīdijas (D.39). Ja valsts apraides organizācija ir klasificēta vispārējā valdības sektorā un šī vienība izpilda nosacījumus saistībā ar tās atzīšanu par darījuma galveno veicēju, kā norādīts EKS 2010 1.78. punktā, lietotāja maksājumus ieraksta tieši šajā vienībā. Pretējā gadījumā ieraksta kārtējo pārvedumu (D.73) no vienības, kas izpilda EKS 2010 1.78. punkta nosacījumus, valsts apraides vienībai.</w:t>
      </w:r>
    </w:p>
    <w:p w14:paraId="1AE45BF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5A9CF14"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153. Tas, kā tiek klasificēti lietotāja maksājumi par valsts apraides pakalpojumiem (TV un/vai radio), var ietekmēt šos pakalpojumus sniedzošo publisko institucionālo vienību sektoru klasifikāciju. Lai noteiktu, kādā sektorā ir klasificējama valsts raidorganizācija, piemēro EKS 2010 kvalitatīvos un kvantitatīvos (tirgus/ārpustirgus testa) kritērijus (skat. šīs rokasgrāmatas 1.2.4. apakšiedaļu).</w:t>
      </w:r>
    </w:p>
    <w:p w14:paraId="1E7A07C3" w14:textId="77777777" w:rsidR="00994F93" w:rsidRPr="00B03B51" w:rsidRDefault="00994F93" w:rsidP="00994F93">
      <w:pPr>
        <w:jc w:val="both"/>
        <w:rPr>
          <w:rFonts w:ascii="Times New Roman" w:eastAsia="Arial" w:hAnsi="Times New Roman" w:cs="Times New Roman"/>
          <w:noProof/>
          <w:sz w:val="24"/>
          <w:szCs w:val="16"/>
        </w:rPr>
      </w:pPr>
    </w:p>
    <w:p w14:paraId="4A8880FB" w14:textId="77777777" w:rsidR="00994F93" w:rsidRPr="00B03B51" w:rsidRDefault="00994F93" w:rsidP="00994F93">
      <w:pPr>
        <w:pStyle w:val="Heading6"/>
        <w:tabs>
          <w:tab w:val="left" w:pos="1279"/>
        </w:tabs>
        <w:ind w:left="0" w:firstLine="0"/>
        <w:jc w:val="both"/>
        <w:rPr>
          <w:rFonts w:ascii="Times New Roman" w:hAnsi="Times New Roman" w:cs="Times New Roman"/>
          <w:noProof/>
          <w:sz w:val="24"/>
        </w:rPr>
      </w:pPr>
      <w:r w:rsidRPr="00B03B51">
        <w:rPr>
          <w:rFonts w:ascii="Times New Roman" w:hAnsi="Times New Roman" w:cs="Times New Roman"/>
          <w:sz w:val="24"/>
        </w:rPr>
        <w:t>1.2.4.8. ROBEŽLĪNIJA STARP NODOKĻIEM UN PAKALPOJUMU PĀRDOŠANU</w:t>
      </w:r>
    </w:p>
    <w:p w14:paraId="71C8FF69"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6FB645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154. Kad novērtē, vai vienība pēc būtības ir tirgus vienība vai ārpustirgus vienība, jāpārbauda, vai vienības ienākumi no valdības sektoram nepiederošiem avotiem nav klasificējami kā pārdošanas ienākumi vai kā citādi. Piemēram, maksājumi par atļauju veikt konkrētu uzņēmējdarbību vai individuālu darbību (ko parasti apliecina ar licenci) traktējami kā pakalpojuma pārdošanas ienākumi tikai tad, ja ieņēmumi tiek izmantoti tam, lai nodrošinātu kādu likumīgu regulējošu funkciju, kas saistīta ar šādu atļauju (piemēram, personas kompetences vai kvalifikācijas pārbaude, uzņēmējdarbībā izmantoto telpu atbilstības vai drošības pārbaude, izmantotā aprīkojuma uzticamības vai drošības pārbaude, saražoto preču vai pakalpojumu kvalitātes vai atbilstības standartam pārbaude), un ja maksājumi ievērojami nepārsniedz šādu pakalpojumu sniegšanas izmaksas. Tomēr jāņem vērā arī tas, cik lielā mērā maksātājiem ir pienākums šādas atļaujas saņemt, jo var būt situācijas, kad ekonomikas subjekti nedrīkst veikt konkrēto darbību, ja nav saņēmuši konkrētu atļauju, un līdz ar to cena neietekmē pieprasīto atļauju skaitu. Šādi maksājumi jātraktē kā nodokļi tad, ja kāds no šiem nosacījumiem nav izpildīts (skat. EKS 2010 4.79. punkta d) apakšpunktu), un līdz ar to vienība klasificēta kā vispārējās valdības vienība vai dažos gadījumos maksājumi virzīti caur valdību, jo tikai valdībai ir tiesības iekasēt nodokļus.</w:t>
      </w:r>
    </w:p>
    <w:p w14:paraId="3546427D"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6371952B" w14:textId="77777777" w:rsidR="00994F93" w:rsidRPr="00B03B51" w:rsidRDefault="00994F93" w:rsidP="00994F93">
      <w:pPr>
        <w:jc w:val="both"/>
        <w:rPr>
          <w:rFonts w:ascii="Times New Roman" w:eastAsia="Arial" w:hAnsi="Times New Roman" w:cs="Times New Roman"/>
          <w:noProof/>
          <w:sz w:val="24"/>
          <w:szCs w:val="21"/>
        </w:rPr>
      </w:pPr>
    </w:p>
    <w:p w14:paraId="177471B5"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22" w:name="1.3._Pension_institutions"/>
      <w:bookmarkStart w:id="23" w:name="_bookmark3"/>
      <w:bookmarkStart w:id="24" w:name="_Toc67565023"/>
      <w:bookmarkEnd w:id="22"/>
      <w:bookmarkEnd w:id="23"/>
      <w:r w:rsidRPr="00B03B51">
        <w:rPr>
          <w:rFonts w:ascii="Times New Roman" w:hAnsi="Times New Roman" w:cs="Times New Roman"/>
          <w:sz w:val="28"/>
          <w:szCs w:val="44"/>
        </w:rPr>
        <w:t>1.3. Pensiju institūcijas</w:t>
      </w:r>
      <w:bookmarkEnd w:id="24"/>
    </w:p>
    <w:p w14:paraId="693AF37C" w14:textId="77777777" w:rsidR="00994F93" w:rsidRPr="00197963" w:rsidRDefault="00994F93" w:rsidP="00197963">
      <w:pPr>
        <w:rPr>
          <w:rFonts w:ascii="Times New Roman" w:hAnsi="Times New Roman" w:cs="Times New Roman"/>
          <w:noProof/>
          <w:sz w:val="24"/>
          <w:szCs w:val="24"/>
        </w:rPr>
      </w:pPr>
      <w:bookmarkStart w:id="25" w:name="1.3.1_Background"/>
      <w:bookmarkEnd w:id="25"/>
    </w:p>
    <w:p w14:paraId="159BC7DF"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26" w:name="_Toc67565024"/>
      <w:r w:rsidRPr="00B03B51">
        <w:rPr>
          <w:rFonts w:ascii="Times New Roman" w:hAnsi="Times New Roman" w:cs="Times New Roman"/>
          <w:sz w:val="24"/>
        </w:rPr>
        <w:t>1.3.1. Vispārīga informācija</w:t>
      </w:r>
      <w:bookmarkEnd w:id="26"/>
    </w:p>
    <w:p w14:paraId="144F781A" w14:textId="77777777" w:rsidR="00994F93" w:rsidRPr="00FE5FF3" w:rsidRDefault="00994F93" w:rsidP="00FE5FF3">
      <w:pPr>
        <w:rPr>
          <w:rFonts w:ascii="Times New Roman" w:hAnsi="Times New Roman" w:cs="Times New Roman"/>
          <w:noProof/>
          <w:sz w:val="24"/>
          <w:szCs w:val="24"/>
        </w:rPr>
      </w:pPr>
      <w:bookmarkStart w:id="27" w:name="1.3.1.1_Main_definitions"/>
      <w:bookmarkEnd w:id="27"/>
    </w:p>
    <w:p w14:paraId="47BF38DD" w14:textId="77777777" w:rsidR="00994F93" w:rsidRPr="00B03B51" w:rsidRDefault="00994F93" w:rsidP="00994F93">
      <w:pPr>
        <w:pStyle w:val="Heading6"/>
        <w:tabs>
          <w:tab w:val="left" w:pos="1277"/>
        </w:tabs>
        <w:ind w:left="0" w:firstLine="0"/>
        <w:jc w:val="both"/>
        <w:rPr>
          <w:rFonts w:ascii="Times New Roman" w:hAnsi="Times New Roman" w:cs="Times New Roman"/>
          <w:noProof/>
          <w:sz w:val="24"/>
        </w:rPr>
      </w:pPr>
      <w:r w:rsidRPr="00B03B51">
        <w:rPr>
          <w:rFonts w:ascii="Times New Roman" w:hAnsi="Times New Roman" w:cs="Times New Roman"/>
          <w:sz w:val="24"/>
        </w:rPr>
        <w:t>1.3.1.1. GALVENĀS DEFINĪCIJAS</w:t>
      </w:r>
    </w:p>
    <w:p w14:paraId="0DF551B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74C0A95" w14:textId="2AD967E6"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Pensiju shēmas vairumā gadījumu nodrošina ienākumus pēc pensionēšanās un apgādnieka zaudējuma pensiju pārdzīvojušajam laulātajam. Dažkārt pensiju shēmā var būt apdrošināti arī papildu riski (piemēram, slimības atvaļinājums, invaliditāte). Tās var būt kā “sociālās apdrošināšanas shēmas”, kurās iekļautas gan “sociālā nodrošinā</w:t>
      </w:r>
      <w:r w:rsidR="00CC2796" w:rsidRPr="00B03B51">
        <w:rPr>
          <w:rFonts w:ascii="Times New Roman" w:hAnsi="Times New Roman" w:cs="Times New Roman"/>
          <w:sz w:val="24"/>
        </w:rPr>
        <w:t>juma</w:t>
      </w:r>
      <w:r w:rsidRPr="00B03B51">
        <w:rPr>
          <w:rFonts w:ascii="Times New Roman" w:hAnsi="Times New Roman" w:cs="Times New Roman"/>
          <w:sz w:val="24"/>
        </w:rPr>
        <w:t xml:space="preserve"> shēmas” un “ar nodarbinātību saistītas sociālās apdrošināšanas shēmas, kas nav sociālā nodrošinā</w:t>
      </w:r>
      <w:r w:rsidR="00CC2796" w:rsidRPr="00B03B51">
        <w:rPr>
          <w:rFonts w:ascii="Times New Roman" w:hAnsi="Times New Roman" w:cs="Times New Roman"/>
          <w:sz w:val="24"/>
        </w:rPr>
        <w:t>juma</w:t>
      </w:r>
      <w:r w:rsidRPr="00B03B51">
        <w:rPr>
          <w:rFonts w:ascii="Times New Roman" w:hAnsi="Times New Roman" w:cs="Times New Roman"/>
          <w:sz w:val="24"/>
        </w:rPr>
        <w:t xml:space="preserve"> shēmas”. Aizsardzību pret šiem riskiem var arī apdrošināt, izmantojot privātu apdrošināšanas polisi un citus (ilg)termiņa uzkrājumu instrumentus, ko personas noorganizē pēc saviem ieskatiem.</w:t>
      </w:r>
    </w:p>
    <w:p w14:paraId="5B3EC5B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233607D" w14:textId="10E8BD75"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Subjekti, kuri pārvalda sociālā nodrošinā</w:t>
      </w:r>
      <w:r w:rsidR="000509B8" w:rsidRPr="00B03B51">
        <w:rPr>
          <w:rFonts w:ascii="Times New Roman" w:hAnsi="Times New Roman" w:cs="Times New Roman"/>
          <w:sz w:val="24"/>
        </w:rPr>
        <w:t>juma</w:t>
      </w:r>
      <w:r w:rsidRPr="00B03B51">
        <w:rPr>
          <w:rFonts w:ascii="Times New Roman" w:hAnsi="Times New Roman" w:cs="Times New Roman"/>
          <w:sz w:val="24"/>
        </w:rPr>
        <w:t xml:space="preserve"> shēmas, parasti tiks klasificēti vispārējās valdības sektorā (S.13), turpretī subjekti, kas pārvalda citas ar nodarbinātību saistītas sociālās apdrošināšanas shēmas, parasti tiks klasificēti apakšsektorā “Apdrošināšanas sabiedrības” (S.128), “Pensiju fondi” (S.129) vai darba devēju sektorā (S.11, S.12, S.13 vai S.14). Subjekti, kas pārvalda privātās apdrošināšanas polises, tiks klasificēti apakšsektorā “Apdrošināšanas sabiedrības” (S.128). Subjekti, kas pārvalda uzkrājumu instrumentus, tiek iekļauti galvenokārt finanšu sabiedrību sektorā (S.12). Dažkārt atkarībā no valsts tiesiskā regulējuma šie subjekti var darboties arī kā apdrošinātāji “ar nodarbinātību saistītās sociālās apdrošināšanas shēmās, kas nav sociālā nodrošinā</w:t>
      </w:r>
      <w:r w:rsidR="000509B8" w:rsidRPr="00B03B51">
        <w:rPr>
          <w:rFonts w:ascii="Times New Roman" w:hAnsi="Times New Roman" w:cs="Times New Roman"/>
          <w:sz w:val="24"/>
        </w:rPr>
        <w:t>juma</w:t>
      </w:r>
      <w:r w:rsidRPr="00B03B51">
        <w:rPr>
          <w:rFonts w:ascii="Times New Roman" w:hAnsi="Times New Roman" w:cs="Times New Roman"/>
          <w:sz w:val="24"/>
        </w:rPr>
        <w:t xml:space="preserve"> shēmas”.</w:t>
      </w:r>
    </w:p>
    <w:p w14:paraId="5809439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6721FA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Nacionālajos kontos sociālā apdrošināšana nozīmē kolektīvi organizētu aizsardzību pret virkni “sociālo risku vai vajadzību”, piemēram, vecuma pensijas gadījumā pret risku saņemt nepietiekamus ienākumus vecumdienās. Galveno naudas plūsmu sociālās apdrošināšanas shēmā veido “sociālās iemaksas” (iemaksas shēmā) un “sociālie pabalsti” (izmaksas no shēmas).</w:t>
      </w:r>
    </w:p>
    <w:p w14:paraId="13359E9E" w14:textId="77777777" w:rsidR="00994F93" w:rsidRPr="00B03B51" w:rsidRDefault="00994F93" w:rsidP="00994F93">
      <w:pPr>
        <w:jc w:val="both"/>
        <w:rPr>
          <w:rFonts w:ascii="Times New Roman" w:eastAsia="Arial" w:hAnsi="Times New Roman" w:cs="Times New Roman"/>
          <w:noProof/>
          <w:sz w:val="24"/>
          <w:szCs w:val="16"/>
        </w:rPr>
      </w:pPr>
    </w:p>
    <w:p w14:paraId="0B12CF92" w14:textId="77777777" w:rsidR="00994F93" w:rsidRPr="00B03B51" w:rsidRDefault="00994F93" w:rsidP="00994F93">
      <w:pPr>
        <w:pStyle w:val="Heading6"/>
        <w:tabs>
          <w:tab w:val="left" w:pos="1277"/>
        </w:tabs>
        <w:ind w:left="0" w:firstLine="0"/>
        <w:jc w:val="both"/>
        <w:rPr>
          <w:rFonts w:ascii="Times New Roman" w:hAnsi="Times New Roman" w:cs="Times New Roman"/>
          <w:noProof/>
          <w:sz w:val="24"/>
        </w:rPr>
      </w:pPr>
      <w:bookmarkStart w:id="28" w:name="1.3.1.2_Social_assistance"/>
      <w:bookmarkEnd w:id="28"/>
      <w:r w:rsidRPr="00B03B51">
        <w:rPr>
          <w:rFonts w:ascii="Times New Roman" w:hAnsi="Times New Roman" w:cs="Times New Roman"/>
          <w:sz w:val="24"/>
        </w:rPr>
        <w:t>1.3.1.2. SOCIĀLĀ PALĪDZĪBA</w:t>
      </w:r>
    </w:p>
    <w:p w14:paraId="6BB1C20B" w14:textId="77777777" w:rsidR="00994F93" w:rsidRPr="00B03B51" w:rsidRDefault="00994F93" w:rsidP="00994F93">
      <w:pPr>
        <w:tabs>
          <w:tab w:val="left" w:pos="840"/>
        </w:tabs>
        <w:jc w:val="both"/>
        <w:rPr>
          <w:rFonts w:ascii="Times New Roman" w:hAnsi="Times New Roman" w:cs="Times New Roman"/>
          <w:noProof/>
          <w:sz w:val="24"/>
        </w:rPr>
      </w:pPr>
    </w:p>
    <w:p w14:paraId="1D6E0E11"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4. Nacionālajos kontos sociālā apdrošināšana tiek nošķirta no sociālās palīdzības. EKS 2010 noteikts, ka sociālās palīdzības maksājumi paredzēti tam, lai </w:t>
      </w:r>
      <w:r w:rsidRPr="00B03B51">
        <w:rPr>
          <w:rFonts w:ascii="Times New Roman" w:hAnsi="Times New Roman" w:cs="Times New Roman"/>
          <w:i/>
          <w:iCs/>
          <w:sz w:val="24"/>
        </w:rPr>
        <w:t>apmierinātu tās pašas vajadzības, ko apmierina sociālās apdrošināšanas pabalsti, bet tos neizmaksā saskaņā ar sociālās apdrošināšanas shēmu, kurā jāpiedalās, parasti veicot sociālās iemaksas</w:t>
      </w:r>
      <w:r w:rsidRPr="00B03B51">
        <w:rPr>
          <w:rFonts w:ascii="Times New Roman" w:hAnsi="Times New Roman" w:cs="Times New Roman"/>
          <w:sz w:val="24"/>
        </w:rPr>
        <w:t xml:space="preserve"> (skat. EKS 2010 4.105. punktu), un tie </w:t>
      </w:r>
      <w:r w:rsidRPr="00B03B51">
        <w:rPr>
          <w:rFonts w:ascii="Times New Roman" w:hAnsi="Times New Roman" w:cs="Times New Roman"/>
          <w:i/>
          <w:iCs/>
          <w:sz w:val="24"/>
        </w:rPr>
        <w:t>nav atkarīgi no iepriekš veiktām iemaksām un ir vispārīgi saistīti ar pieejamā ienākuma aprēķiniem</w:t>
      </w:r>
      <w:r w:rsidRPr="00B03B51">
        <w:rPr>
          <w:rFonts w:ascii="Times New Roman" w:hAnsi="Times New Roman" w:cs="Times New Roman"/>
          <w:sz w:val="24"/>
        </w:rPr>
        <w:t xml:space="preserve"> (skat. EKS 2010 4.85. punktu).</w:t>
      </w:r>
    </w:p>
    <w:p w14:paraId="221E7593" w14:textId="77777777" w:rsidR="00994F93" w:rsidRPr="00B03B51" w:rsidRDefault="00994F93" w:rsidP="00994F93">
      <w:pPr>
        <w:jc w:val="both"/>
        <w:rPr>
          <w:rFonts w:ascii="Times New Roman" w:eastAsia="Arial" w:hAnsi="Times New Roman" w:cs="Times New Roman"/>
          <w:noProof/>
          <w:sz w:val="24"/>
          <w:szCs w:val="16"/>
        </w:rPr>
      </w:pPr>
    </w:p>
    <w:p w14:paraId="05914240" w14:textId="77777777" w:rsidR="00994F93" w:rsidRPr="00B03B51" w:rsidRDefault="00994F93" w:rsidP="00994F93">
      <w:pPr>
        <w:pStyle w:val="Heading6"/>
        <w:tabs>
          <w:tab w:val="left" w:pos="1277"/>
        </w:tabs>
        <w:ind w:left="0" w:firstLine="0"/>
        <w:jc w:val="both"/>
        <w:rPr>
          <w:rFonts w:ascii="Times New Roman" w:hAnsi="Times New Roman" w:cs="Times New Roman"/>
          <w:noProof/>
          <w:sz w:val="24"/>
        </w:rPr>
      </w:pPr>
      <w:bookmarkStart w:id="29" w:name="1.3.1.3_Unfunded_and_funded_pension_sche"/>
      <w:bookmarkEnd w:id="29"/>
      <w:r w:rsidRPr="00B03B51">
        <w:rPr>
          <w:rFonts w:ascii="Times New Roman" w:hAnsi="Times New Roman" w:cs="Times New Roman"/>
          <w:sz w:val="24"/>
        </w:rPr>
        <w:t>1.3.1.3. NEFONDĒTAS UN FONDĒTAS PENSIJU SHĒMAS</w:t>
      </w:r>
    </w:p>
    <w:p w14:paraId="30A74D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D51D63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Apspriežot sociālās apdrošināšanas shēmu uzskaiti, “nefondētās” shēmas jānošķir no “fondētajām” shēmām.</w:t>
      </w:r>
    </w:p>
    <w:p w14:paraId="6794D03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3053AC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Nefondētās shēmas, ko bieži dēvē par “paaudžu solidaritātes shēmām”, ir shēmas, kad par shēmu atbildīgā vienība savos kontos nenorāda vai tikai daļēji norāda nenokārtotās saistības izmaksāt pensijas pabalstus nākotnē. Pensiju pabalsti, kas jāizmaksā gada laikā, galvenokārt tiek finansēti no tajā pašā gadā saņemtajām pensiju iemaksām.</w:t>
      </w:r>
    </w:p>
    <w:p w14:paraId="0AABD75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D717E5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Fondētās pensiju shēmās par shēmu atbildīgā vienība pilnīgi norāda neizmaksātās tiesības uz pensiju. Bilancē tiks iekļauts atsevišķs ieraksts, kurā būs atspoguļotas tiesības uz pensiju. Bilancē tiks norādīti arī līdzekļi, kas paredzēti pensiju pabalstu finansēšanai nākotnē. Gada laikā saņemtās pensiju iemaksas tiks apvienotas ar procentu plūsmu, kas iegūta no ieguldījumiem, lai papildinātu shēmas aktīvo dalībnieku (un to dalībnieku, kuriem atlikta tiesību uz pensiju izmantošana) un pensionāru tiesības uz pensiju. Šādā gadījumā attiecīgi pieaugs īpašajam mērķim paredzētie līdzekļi.</w:t>
      </w:r>
    </w:p>
    <w:p w14:paraId="0608F05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FF891D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Parasti īpašam mērķim paredzētie aktīvi ievērojami pārsniegs tiesību uz pensiju vērtību; šī starpība pastāv kā rezerve, ko var izmantot attiecībā uz iespējamo risku ietekmi (jo īpaši attiecībā uz cenu riskiem finanšu tirgos, procentu likmju izmaiņām vai ilgdzīvošanas risku). Pārraudzības iestādes var noteikt ierobežojumus attiecībā uz šo rezervju minimālo summu.</w:t>
      </w:r>
    </w:p>
    <w:p w14:paraId="1DFEEDD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7F6648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Īstermiņa iztrūkumi gadījumos, kad īpašam mērķim paredzēto līdzekļu summa ir mazāka par neizmaksāto tiesību uz pensiju summu (kas var būt palielināta ar obligāto rezervju summu), ne vienmēr apdraud fondētās shēmas klasifikāciju. Fondētas shēmas klasifikācija tiktu saglabāta, ja darba devējs un dažkārt arī aktīvie dalībnieki veiktu papildu pensiju iemaksas un/vai ja pensiju pabalsti tiktu samazināti līdz līmenim, kāds nepieciešams, lai atjaunotu minimālo rezerves līmeni.</w:t>
      </w:r>
    </w:p>
    <w:p w14:paraId="227BAE0B" w14:textId="77777777" w:rsidR="00994F93" w:rsidRPr="00B03B51" w:rsidRDefault="00994F93" w:rsidP="00994F93">
      <w:pPr>
        <w:jc w:val="both"/>
        <w:rPr>
          <w:rFonts w:ascii="Times New Roman" w:hAnsi="Times New Roman" w:cs="Times New Roman"/>
          <w:noProof/>
          <w:sz w:val="24"/>
        </w:rPr>
      </w:pPr>
    </w:p>
    <w:p w14:paraId="7DD0A06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Ja shēmā nav nodrošināti pietiekami līdzekļi, proti, rezerves apmērs samazinās zem obligātā līmeņa vai pat kļūst negatīvs, un darba devējs iegulda shēmā līdzekļus, šis ieguldījums jāieraksta kā darba devēja iemaksa.</w:t>
      </w:r>
    </w:p>
    <w:p w14:paraId="47A6896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AF2032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Sociālās apdrošināšanas shēmas, kas daļēji tiek finansētas ar konkrētu nolūku tā, ka īpašam mērķim paredzētie ieguldījumi ir ievērojami zemāki par shēmas saistībām, klasificē kā nefondētās shēmas.</w:t>
      </w:r>
    </w:p>
    <w:p w14:paraId="11705EC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EF140E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Nefondētu un fondētu pensiju shēmu dalībniekiem kolektīvi turētie un pārvaldītie aktīvi tieši nepieder (līdzīgi tam, kā kopfondu gadījumā), taču viņiem ir individuālas tiesības uz pensijas vienību (tiesības uz pensiju).</w:t>
      </w:r>
    </w:p>
    <w:p w14:paraId="2852B4E2" w14:textId="77777777" w:rsidR="00994F93" w:rsidRPr="00B03B51" w:rsidRDefault="00994F93" w:rsidP="00994F93">
      <w:pPr>
        <w:jc w:val="both"/>
        <w:rPr>
          <w:rFonts w:ascii="Times New Roman" w:eastAsia="Arial" w:hAnsi="Times New Roman" w:cs="Times New Roman"/>
          <w:noProof/>
          <w:sz w:val="24"/>
          <w:szCs w:val="16"/>
        </w:rPr>
      </w:pPr>
    </w:p>
    <w:p w14:paraId="07F1FDF9" w14:textId="77777777" w:rsidR="00994F93" w:rsidRPr="00B03B51" w:rsidRDefault="00994F93" w:rsidP="00994F93">
      <w:pPr>
        <w:pStyle w:val="Heading6"/>
        <w:tabs>
          <w:tab w:val="left" w:pos="1277"/>
        </w:tabs>
        <w:ind w:left="0" w:firstLine="0"/>
        <w:jc w:val="both"/>
        <w:rPr>
          <w:rFonts w:ascii="Times New Roman" w:hAnsi="Times New Roman" w:cs="Times New Roman"/>
          <w:noProof/>
          <w:sz w:val="24"/>
        </w:rPr>
      </w:pPr>
      <w:bookmarkStart w:id="30" w:name="1.3.1.4_Defined_contribution_and_defined"/>
      <w:bookmarkEnd w:id="30"/>
      <w:r w:rsidRPr="00B03B51">
        <w:rPr>
          <w:rFonts w:ascii="Times New Roman" w:hAnsi="Times New Roman" w:cs="Times New Roman"/>
          <w:sz w:val="24"/>
        </w:rPr>
        <w:t>1.3.1.4. DEFINĒTU IEMAKSU SHĒMAS UN DEFINĒTU PABALSTU SHĒMAS</w:t>
      </w:r>
    </w:p>
    <w:p w14:paraId="69A8F1F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156F5D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Definētu iemaksu shēmās personas pensijas pabalsti ir atkarīgi no uzkrāto aktīvu vērtības pensionēšanās brīdī vai pēc tās. Līdz ar to individuālām mājsaimniecībām jāuzņemas finanšu risks, kas saistīts ar īpašam mērķim paredzēto aktīvu izpildi, proti, tām nākas saskarties ar neskaidrību par pensijas līmeni nākotnē. Bieži (lai arī ne vienmēr) dalībniekiem shēmā var būt iespēja individuāli izvēlēties savu līdzekļu ieguldīšanas virzienu vienā vai vairākos tirgus segmentos vai ieguldījumu pārvaldnieku.</w:t>
      </w:r>
    </w:p>
    <w:p w14:paraId="5021BE3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98A91D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Aktīvu uzkrāšana un piešķiršana individuāliem dalībniekiem notiek ļoti līdzīgi tam, kā tiek veikti ieguldījumi ar kopieguldījumu fonda starpniecību. Parasti shēmas dalībnieki nevar piekļūt saviem uzkrājumiem pirms pensionēšanās, skat. arī EKS 2010 17.54. punktu. Lai attiecībā uz pensiju pabalstiem samazinātu ar finanšu tirgus norisēm saistīto risku, aktīvu komplektu konkrētam dalībniekam vai dalībnieku grupai dažus gadus pirms dalībnieku pensionēšanās var pārnest uz stabilākiem instrumentiem.</w:t>
      </w:r>
    </w:p>
    <w:p w14:paraId="140A448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8F454F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15. Parasti definētu iemaksu shēmas ir fondētas shēmas, lai gan var pastāvēt arī nefondētas definētu iemaksu shēmas. Nefondētajās definētu iemaksu shēmās personas pensijas tiesību </w:t>
      </w:r>
      <w:r w:rsidRPr="00B03B51">
        <w:rPr>
          <w:rFonts w:ascii="Times New Roman" w:hAnsi="Times New Roman" w:cs="Times New Roman"/>
          <w:sz w:val="24"/>
        </w:rPr>
        <w:lastRenderedPageBreak/>
        <w:t>apmērs pensionēšanās brīdī tiks aprēķināts, pamatojoties uz finanšu tirgus indeksu.</w:t>
      </w:r>
    </w:p>
    <w:p w14:paraId="006DA5F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9839FD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Definētu pabalstu shēmās pabalsti tiek aprēķināti saskaņā ar īpašu shēmas formulu. Bieži vien šādas formulas galvenie mainīgie ir darba stāžs un algas apmērs (pēdējā alga, vidējā alga). Senāk piešķiramo pabalstu summa bija pilnīgi atkarīga no rezultāta, kas aprēķināts, izmantojot šo formulu, dažkārt apvienojot to ar garantēto minimālo summu. Daudzos gadījumos darba devējam nācās ieguldīt papildu līdzekļus, lai dzēstu shēmas deficītu. Tas nozīmē, ka gadījumā, ja ieguldījumu vērtība bija mazāka par pensiju tiesību summu, kam pieskaitīta rezerve (daļa no rezerves), darba devējam nācās veikt papildu ieguldījumu shēmā.</w:t>
      </w:r>
    </w:p>
    <w:p w14:paraId="1998933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D537CB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Tomēr pēdējos gados darba devēji arvien biežāk atsakās uzņemties pilnīgu atbildību par shēmas papildināšanu vajadzības gadījumā. Attiecīgi ir grozīta shēmas formula un/vai mazināts pensijas beznosacījumu apsolījums shēmas dalībniekiem, proti, pensijas apsolījums atbilstīgi formulai bieži vien tika pārveidots par nosacījuma tiesībām uz pensiju. Līdz ar to formula atspoguļo paredzētās tiesības uz pensiju bez tiesiska spēka attiecībā uz to piemērošanu noteiktos apstākļos (skat. arī EKS 2010 17.57. punktu).</w:t>
      </w:r>
    </w:p>
    <w:p w14:paraId="56E4DD6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50F655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Daudzos gadījumos uzraudzības noteikumos paredzēts, ka šajās definētu pabalstu shēmās īpašam nolūkam paredzēto aktīvu vērtībai ievērojami jāpārsniedz pensiju tiesību vērtība. Šī obligātā rezerve var būt noteikta līmenī, kas augstāks pat par 30 % no pensiju tiesību vērtības. Var šķist, ka definētu pabalstu shēma ir nefondēta shēma. Tomēr atbilstīgi spēkā esošajiem kontu uzskaites noteikumiem nefondēto definēto pabalstu shēmas praktiski nav iespējams iekļaut sabiedrību sektorā; lielākajā daļā piemērojamo kontu uzskaites direktīvu norādīts, ka visām sabiedrību saistībām jābūt iekļautām to bilancē. Līdz ar to nefondētās definētu pabalstu shēmas galvenokārt tiks saistītas ar valdību.</w:t>
      </w:r>
    </w:p>
    <w:p w14:paraId="5AB0A34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575F79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Dažām sociālās apdrošināšanas shēmām piemīt gan definētu iemaksu shēmas, gan definētu pabalstu shēmas iezīmes. Šīs shēmas nacionālajos kontos un valdības finanšu statistikā tiek traktētas kā definētu pabalstu shēmas.</w:t>
      </w:r>
      <w:r w:rsidRPr="00B03B51">
        <w:rPr>
          <w:rStyle w:val="FootnoteReference"/>
          <w:rFonts w:ascii="Times New Roman" w:hAnsi="Times New Roman" w:cs="Times New Roman"/>
          <w:noProof/>
          <w:sz w:val="24"/>
        </w:rPr>
        <w:footnoteReference w:id="61"/>
      </w:r>
    </w:p>
    <w:p w14:paraId="59A78F21" w14:textId="77777777" w:rsidR="00994F93" w:rsidRPr="00B03B51" w:rsidRDefault="00994F93" w:rsidP="00994F93">
      <w:pPr>
        <w:jc w:val="both"/>
        <w:rPr>
          <w:rFonts w:ascii="Times New Roman" w:hAnsi="Times New Roman" w:cs="Times New Roman"/>
          <w:noProof/>
          <w:sz w:val="24"/>
        </w:rPr>
      </w:pPr>
    </w:p>
    <w:p w14:paraId="0C2ABED5"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31" w:name="1.3.2_Treatment_in_national_accounts"/>
      <w:bookmarkStart w:id="32" w:name="_Toc67565025"/>
      <w:bookmarkEnd w:id="31"/>
      <w:r w:rsidRPr="00B03B51">
        <w:rPr>
          <w:rFonts w:ascii="Times New Roman" w:hAnsi="Times New Roman" w:cs="Times New Roman"/>
          <w:sz w:val="24"/>
        </w:rPr>
        <w:t>1.3.2. Traktējums nacionālajos kontos</w:t>
      </w:r>
      <w:bookmarkEnd w:id="32"/>
    </w:p>
    <w:p w14:paraId="5EE79C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672E5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EKS 2010 sociālā apdrošināšana ir nošķirta no jebkādas citas individuālas aizsardzības pret sociālajiem riskiem vai nodrošinājuma vajadzību apmierināšanai (skatīt EKS 2010 4.84. punktu). Lai individuālu polisi varētu uzskatīt par sociālās apdrošināšanas shēmas daļu, varbūtībām vai apstākļiem, pret ko dalībnieki ir apdrošināti, jāatbilst EKS 2010 noteiktajiem riskiem vai vajadzībām. Turklāt jābūt izpildītam vienam vai vairākiem šādiem nosacījumiem:</w:t>
      </w:r>
    </w:p>
    <w:p w14:paraId="30D495BE"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668165C6"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dalība shēmā ir obligāta vai nu saskaņā ar tiesību aktiem, vai arī saskaņā ar darba ņēmēja vai darba ņēmēju grupas nodarbinātības nosacījumiem;</w:t>
      </w:r>
    </w:p>
    <w:p w14:paraId="0D2A4F46" w14:textId="77777777" w:rsidR="00994F93" w:rsidRPr="00B03B51" w:rsidRDefault="00994F93" w:rsidP="00994F93">
      <w:pPr>
        <w:jc w:val="both"/>
        <w:rPr>
          <w:rFonts w:ascii="Times New Roman" w:eastAsia="Arial" w:hAnsi="Times New Roman" w:cs="Times New Roman"/>
          <w:noProof/>
          <w:sz w:val="24"/>
          <w:szCs w:val="26"/>
        </w:rPr>
      </w:pPr>
    </w:p>
    <w:p w14:paraId="2B2FEAF3"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shēma ir kolektīva, to izmanto noteiktas darbinieku, darba ņēmēju, pašnodarbinātu personu vai nenodarbinātu personu grupas labā, un tā paredzēta vienīgi minētās grupas locekļiem;</w:t>
      </w:r>
    </w:p>
    <w:p w14:paraId="685540CB"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p>
    <w:p w14:paraId="29A3A7C1"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darba devējs veic (faktisku vai aprēķinātu) iemaksu shēmā darba ņēmēja vārdā neatkarīgi no tā, vai arī darba ņēmējs veic vai neveic iemaksu.</w:t>
      </w:r>
    </w:p>
    <w:p w14:paraId="06676232" w14:textId="77777777" w:rsidR="00994F93" w:rsidRPr="00B03B51" w:rsidRDefault="00994F93" w:rsidP="00994F93">
      <w:pPr>
        <w:jc w:val="both"/>
        <w:rPr>
          <w:rFonts w:ascii="Times New Roman" w:eastAsia="Arial" w:hAnsi="Times New Roman" w:cs="Times New Roman"/>
          <w:noProof/>
          <w:sz w:val="24"/>
          <w:szCs w:val="15"/>
        </w:rPr>
      </w:pPr>
    </w:p>
    <w:p w14:paraId="472ECBCA" w14:textId="77777777" w:rsidR="00994F93" w:rsidRPr="00B03B51" w:rsidRDefault="00994F93" w:rsidP="00994F93">
      <w:pPr>
        <w:pStyle w:val="Heading6"/>
        <w:tabs>
          <w:tab w:val="left" w:pos="1265"/>
          <w:tab w:val="left" w:pos="2444"/>
          <w:tab w:val="left" w:pos="4559"/>
          <w:tab w:val="left" w:pos="5133"/>
          <w:tab w:val="left" w:pos="5836"/>
          <w:tab w:val="left" w:pos="6615"/>
          <w:tab w:val="left" w:pos="8463"/>
          <w:tab w:val="left" w:pos="9194"/>
        </w:tabs>
        <w:ind w:left="0" w:firstLine="0"/>
        <w:jc w:val="both"/>
        <w:rPr>
          <w:rFonts w:ascii="Times New Roman" w:hAnsi="Times New Roman" w:cs="Times New Roman"/>
          <w:noProof/>
          <w:sz w:val="24"/>
        </w:rPr>
      </w:pPr>
      <w:bookmarkStart w:id="33" w:name="1.3.2.1_Sector_classification_of_the_uni"/>
      <w:bookmarkEnd w:id="33"/>
      <w:r w:rsidRPr="00B03B51">
        <w:rPr>
          <w:rFonts w:ascii="Times New Roman" w:hAnsi="Times New Roman" w:cs="Times New Roman"/>
          <w:sz w:val="24"/>
        </w:rPr>
        <w:lastRenderedPageBreak/>
        <w:t>1.3.2.1. PAR SOCIĀLĀS APDROŠINĀŠANAS SHĒMAS PĀRVALDĪBU ATBILDĪGĀS VIENĪBAS SEKTORA KLASIFIKĀCIJA</w:t>
      </w:r>
    </w:p>
    <w:p w14:paraId="694CE3F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5D3586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Sociālās apdrošināšanas institūcijas jāklasificē atbilstīgi to iezīmēm.</w:t>
      </w:r>
    </w:p>
    <w:p w14:paraId="57F3F635"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45393A54"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Uzskata, ka valsts pārvaldes vienība ir atbildīga par shēmas pārvaldību un apjomu, ja pienākums piedalīties tajā ir noteikts ar likumu vai īpašiem noteikumiem un valdības vienības finansē un kontrolē galveno plūsmu līmeni, nosakot (vai vismaz apstiprinot) attiecīgos noteikumus. Jāņem vērā, ka pārvaldības, kontroles un finansēšanas pienākums atšķiras no pienākuma, kas valdībai var būt jāveic institūciju uzraudzības jomā, lai nodrošinātu, ka tās tiek vadītas saskaņā ar piesardzības principiem, skat. EKS 2010 4.89. punkta a) apakšpunktu.</w:t>
      </w:r>
    </w:p>
    <w:p w14:paraId="3F7F71A5"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1737AB93" w14:textId="7B2DB500"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Šādas shēmas kvalificē kā “sociālā nodrošinā</w:t>
      </w:r>
      <w:r w:rsidR="0014508F" w:rsidRPr="00B03B51">
        <w:rPr>
          <w:rFonts w:ascii="Times New Roman" w:hAnsi="Times New Roman" w:cs="Times New Roman"/>
          <w:sz w:val="24"/>
        </w:rPr>
        <w:t>juma</w:t>
      </w:r>
      <w:r w:rsidRPr="00B03B51">
        <w:rPr>
          <w:rFonts w:ascii="Times New Roman" w:hAnsi="Times New Roman" w:cs="Times New Roman"/>
          <w:sz w:val="24"/>
        </w:rPr>
        <w:t xml:space="preserve"> shēmas” (EKS 2010 2.117. punkts un 4.89. punkta a) apakšpunkts). Ja šādas shēmas pārvaldošo valdības struktūrvienību ir iespējams skaidri identificēt, to klasificē apakšsektorā “Sociālā nodrošinā</w:t>
      </w:r>
      <w:r w:rsidR="0020655F" w:rsidRPr="00B03B51">
        <w:rPr>
          <w:rFonts w:ascii="Times New Roman" w:hAnsi="Times New Roman" w:cs="Times New Roman"/>
          <w:sz w:val="24"/>
        </w:rPr>
        <w:t>juma</w:t>
      </w:r>
      <w:r w:rsidRPr="00B03B51">
        <w:rPr>
          <w:rFonts w:ascii="Times New Roman" w:hAnsi="Times New Roman" w:cs="Times New Roman"/>
          <w:sz w:val="24"/>
        </w:rPr>
        <w:t xml:space="preserve"> fondi”. Ja šī struktūrvienība nav atsevišķa (kvazi)institucionāla vienība, tā jāklasificē tajā valdības apakšsektorā, kurā ir klasificēta šo struktūrvienību ietverošā lielākā vienība.</w:t>
      </w:r>
    </w:p>
    <w:p w14:paraId="4DBDD7B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0709022A"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Šo klasifikāciju piemēro neatkarīgi no tā, vai shēma ir fondēta vai nefondēta shēma. Par nefondētu shēmu bieži vien uzskata valsts pensiju shēmu, kurā pensiju pabalsti parasti pēc būtības ir veidoti saskaņā ar “vienoto likmi” un var būt atkarīgi vienīgi no līdzdalības gadu vai iemaksu veikšanas gadu skaita. Savukārt finansētās definētu iemaksu pensiju shēmas un privātās institūcijas, kas pārvalda shēmas ieguldījumus, netiek klasificētas vispārējās valdības sektorā.</w:t>
      </w:r>
    </w:p>
    <w:p w14:paraId="7FA4BCB4"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6DE82F1D"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Finanšu ieguldījumi, kas tiek turēti nefondētajā shēmā (galvenokārt likviditātes rezerve), tiek ierakstīti kā shēmas subjekta aktīvi, nevis pabalsta saņēmēju aktīvi.</w:t>
      </w:r>
    </w:p>
    <w:p w14:paraId="7F6450C2"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67B31F7" w14:textId="0591EA8E"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Ar nodarbinātību saistītās sociālās apdrošināšanas shēmas, kas nav sociālā nodrošinā</w:t>
      </w:r>
      <w:r w:rsidR="0020655F" w:rsidRPr="00B03B51">
        <w:rPr>
          <w:rFonts w:ascii="Times New Roman" w:hAnsi="Times New Roman" w:cs="Times New Roman"/>
          <w:sz w:val="24"/>
        </w:rPr>
        <w:t>juma</w:t>
      </w:r>
      <w:r w:rsidRPr="00B03B51">
        <w:rPr>
          <w:rFonts w:ascii="Times New Roman" w:hAnsi="Times New Roman" w:cs="Times New Roman"/>
          <w:sz w:val="24"/>
        </w:rPr>
        <w:t xml:space="preserve"> shēmas (tostarp ierēdņu shēmas), var būt organizētas turpmāk minētajos veidos.</w:t>
      </w:r>
    </w:p>
    <w:p w14:paraId="7F38A492"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3B0E7F0F" w14:textId="77777777" w:rsidR="00994F93" w:rsidRPr="00B03B51" w:rsidRDefault="00994F93" w:rsidP="00994F93">
      <w:pPr>
        <w:numPr>
          <w:ilvl w:val="2"/>
          <w:numId w:val="24"/>
        </w:numPr>
        <w:tabs>
          <w:tab w:val="left" w:pos="1409"/>
        </w:tabs>
        <w:ind w:left="709" w:hanging="425"/>
        <w:jc w:val="both"/>
        <w:rPr>
          <w:rFonts w:ascii="Times New Roman" w:hAnsi="Times New Roman" w:cs="Times New Roman"/>
          <w:b/>
          <w:noProof/>
          <w:sz w:val="24"/>
        </w:rPr>
      </w:pPr>
      <w:r w:rsidRPr="00B03B51">
        <w:rPr>
          <w:rFonts w:ascii="Times New Roman" w:hAnsi="Times New Roman" w:cs="Times New Roman"/>
          <w:b/>
          <w:sz w:val="24"/>
        </w:rPr>
        <w:t>Darba devēja vienība</w:t>
      </w:r>
    </w:p>
    <w:p w14:paraId="362D2C68"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E0D4FF8"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Šajā gadījumā darba ņēmējs organizē shēmas tikai saviem darbiniekiem (vai dažkārt tikai kādai to daļai), tieši pārvalda shēmas un ir pilnīgi atbildīgs par visām saistītajām plūsmām (dažas var būt aprēķinātās plūsmas nacionālajos kontos).</w:t>
      </w:r>
    </w:p>
    <w:p w14:paraId="5FC1D427" w14:textId="77777777" w:rsidR="00994F93" w:rsidRPr="00B03B51" w:rsidRDefault="00994F93" w:rsidP="00994F93">
      <w:pPr>
        <w:pStyle w:val="BodyText"/>
        <w:spacing w:before="0"/>
        <w:ind w:left="709" w:firstLine="0"/>
        <w:jc w:val="both"/>
        <w:rPr>
          <w:rFonts w:ascii="Times New Roman" w:hAnsi="Times New Roman" w:cs="Times New Roman"/>
          <w:noProof/>
          <w:sz w:val="24"/>
        </w:rPr>
      </w:pPr>
    </w:p>
    <w:p w14:paraId="29F4CE23"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Šīs shēmas kvalificējamas kā “neautonomas darba devēja pensiju shēmas”; ja tās ir fondētas shēmas, tās bieži vien dēvē arī par “grāmatvedības rezervju sistēmu” (skat. EKS 2010 2.106. punktu).</w:t>
      </w:r>
    </w:p>
    <w:p w14:paraId="2F94D2C2" w14:textId="77777777" w:rsidR="00994F93" w:rsidRPr="00B03B51" w:rsidRDefault="00994F93" w:rsidP="00994F93">
      <w:pPr>
        <w:pStyle w:val="BodyText"/>
        <w:spacing w:before="0"/>
        <w:ind w:left="709" w:firstLine="0"/>
        <w:jc w:val="both"/>
        <w:rPr>
          <w:rFonts w:ascii="Times New Roman" w:hAnsi="Times New Roman" w:cs="Times New Roman"/>
          <w:noProof/>
          <w:sz w:val="24"/>
        </w:rPr>
      </w:pPr>
    </w:p>
    <w:p w14:paraId="7B661F3C"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Visas plūsmas, aktīvi un saistības tiek iedalītas darba devēja vienībā un sektorā. Proti, šādas shēmas var klasificēt visos institucionālajos sektoros, izņemot mājsaimniecības.</w:t>
      </w:r>
    </w:p>
    <w:p w14:paraId="17C93AEF" w14:textId="77777777" w:rsidR="00994F93" w:rsidRPr="00B03B51" w:rsidRDefault="00994F93" w:rsidP="00994F93">
      <w:pPr>
        <w:pStyle w:val="BodyText"/>
        <w:spacing w:before="0"/>
        <w:ind w:left="709" w:firstLine="0"/>
        <w:jc w:val="both"/>
        <w:rPr>
          <w:rFonts w:ascii="Times New Roman" w:hAnsi="Times New Roman" w:cs="Times New Roman"/>
          <w:noProof/>
          <w:sz w:val="24"/>
        </w:rPr>
      </w:pPr>
    </w:p>
    <w:p w14:paraId="1DE6994D"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Vienība, kas pārvalda shēmu valdības darbinieku labā, parasti tiek uzskatīta par atsevišķu (kvazi)institucionālu vienību (atšķirībā no shēmām, kas saistītas ar sabiedrībām), kas jāklasificē kā pensiju fonds (skat. nākamo aizzīmi).</w:t>
      </w:r>
    </w:p>
    <w:p w14:paraId="3293D47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C4AF3F4" w14:textId="77777777" w:rsidR="00994F93" w:rsidRPr="00B03B51" w:rsidRDefault="00994F93" w:rsidP="00994F93">
      <w:pPr>
        <w:numPr>
          <w:ilvl w:val="2"/>
          <w:numId w:val="24"/>
        </w:numPr>
        <w:tabs>
          <w:tab w:val="left" w:pos="1409"/>
        </w:tabs>
        <w:ind w:left="709" w:hanging="425"/>
        <w:jc w:val="both"/>
        <w:rPr>
          <w:rFonts w:ascii="Times New Roman" w:hAnsi="Times New Roman" w:cs="Times New Roman"/>
          <w:b/>
          <w:noProof/>
          <w:sz w:val="24"/>
        </w:rPr>
      </w:pPr>
      <w:r w:rsidRPr="00B03B51">
        <w:rPr>
          <w:rFonts w:ascii="Times New Roman" w:hAnsi="Times New Roman" w:cs="Times New Roman"/>
          <w:b/>
          <w:sz w:val="24"/>
        </w:rPr>
        <w:t>Atsevišķa un speciāla vienība (pensiju fonds)</w:t>
      </w:r>
    </w:p>
    <w:p w14:paraId="127DDB38"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14FA553"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lastRenderedPageBreak/>
        <w:t>Ja darba devējs uztur shēmu vienīgi saviem darbiniekiem (vai dažos gadījumos tikai kādai to daļai) vai kopā ar citiem darba devējiem un šo shēmu pārvalda atsevišķs un tam īpaši paredzēts subjekts, kurš neietilpst darba devēja vienībā, šo vienību dēvē par pensiju fondu. Pensiju fonds ir pilnīgi atbildīgs par visām saistītajām plūsmām un uzkrājumiem.</w:t>
      </w:r>
    </w:p>
    <w:p w14:paraId="67861A8C" w14:textId="77777777" w:rsidR="00994F93" w:rsidRPr="00B03B51" w:rsidRDefault="00994F93" w:rsidP="00994F93">
      <w:pPr>
        <w:pStyle w:val="BodyText"/>
        <w:spacing w:before="0"/>
        <w:ind w:left="709" w:firstLine="0"/>
        <w:jc w:val="both"/>
        <w:rPr>
          <w:rFonts w:ascii="Times New Roman" w:hAnsi="Times New Roman" w:cs="Times New Roman"/>
          <w:noProof/>
          <w:sz w:val="24"/>
        </w:rPr>
      </w:pPr>
    </w:p>
    <w:p w14:paraId="1EB54BF2"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Šīs shēmas kvalificējamas kā “autonomas darba devēja pensiju shēmas”. Visas plūsmas, aktīvi un saistības ir iedalīti saistītajos pensiju fondos attiecīgajā apakšsektorā (S.129).</w:t>
      </w:r>
    </w:p>
    <w:p w14:paraId="2C2F551D"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EE0F6FA" w14:textId="77777777" w:rsidR="00994F93" w:rsidRPr="00B03B51" w:rsidRDefault="00994F93" w:rsidP="00994F93">
      <w:pPr>
        <w:numPr>
          <w:ilvl w:val="2"/>
          <w:numId w:val="24"/>
        </w:numPr>
        <w:tabs>
          <w:tab w:val="left" w:pos="1409"/>
        </w:tabs>
        <w:ind w:left="709" w:hanging="425"/>
        <w:jc w:val="both"/>
        <w:rPr>
          <w:rFonts w:ascii="Times New Roman" w:hAnsi="Times New Roman" w:cs="Times New Roman"/>
          <w:b/>
          <w:noProof/>
          <w:sz w:val="24"/>
        </w:rPr>
      </w:pPr>
      <w:r w:rsidRPr="00B03B51">
        <w:rPr>
          <w:rFonts w:ascii="Times New Roman" w:hAnsi="Times New Roman" w:cs="Times New Roman"/>
          <w:b/>
          <w:sz w:val="24"/>
        </w:rPr>
        <w:t>Apdrošinātājs</w:t>
      </w:r>
    </w:p>
    <w:p w14:paraId="076FAC91"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23BDEB0" w14:textId="77777777" w:rsidR="00994F93" w:rsidRPr="00B03B51" w:rsidRDefault="00994F93" w:rsidP="00994F93">
      <w:pPr>
        <w:pStyle w:val="BodyText"/>
        <w:spacing w:before="0"/>
        <w:ind w:left="709" w:firstLine="0"/>
        <w:jc w:val="both"/>
        <w:rPr>
          <w:rFonts w:ascii="Times New Roman" w:hAnsi="Times New Roman" w:cs="Times New Roman"/>
          <w:noProof/>
          <w:sz w:val="24"/>
        </w:rPr>
      </w:pPr>
      <w:r w:rsidRPr="00B03B51">
        <w:rPr>
          <w:rFonts w:ascii="Times New Roman" w:hAnsi="Times New Roman" w:cs="Times New Roman"/>
          <w:sz w:val="24"/>
        </w:rPr>
        <w:t>Šajā gadījumā darba devējs nodrošina shēmu vienīgi saviem darbiniekiem (vai dažos gadījumos to daļai) vai kopā ar citiem darba devējiem, pamatojoties uz apdrošināšanas līgumu ar dzīvības apdrošinātāju, kurš uzņemas pilnu atbildību par visām saistītajām plūsmām un uzkrājumiem. Šīs plūsmas un uzkrājumi ietilpst dzīvības apdrošinātāja plūsmās un uzkrājumos. Visas plūsmas, aktīvi un saistības tiek iekļautas apdrošinātāja sabiedrības apakšsektorā (S.128).</w:t>
      </w:r>
    </w:p>
    <w:p w14:paraId="2DDADFA1" w14:textId="77777777" w:rsidR="00994F93" w:rsidRPr="00B03B51" w:rsidRDefault="00994F93" w:rsidP="00994F93">
      <w:pPr>
        <w:jc w:val="both"/>
        <w:rPr>
          <w:rFonts w:ascii="Times New Roman" w:eastAsia="Arial" w:hAnsi="Times New Roman" w:cs="Times New Roman"/>
          <w:noProof/>
          <w:sz w:val="24"/>
          <w:szCs w:val="25"/>
        </w:rPr>
      </w:pPr>
    </w:p>
    <w:p w14:paraId="40C1E73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Pensiju fondu un dzīvības apdrošinātāju funkcija jānošķir no lielākās daļas citu tādu institūciju klašu funkcijas, kas var nodarboties ar pensiju shēmu pārvaldību darba ņēmēju vārdā.</w:t>
      </w:r>
      <w:r w:rsidRPr="00B03B51">
        <w:rPr>
          <w:rStyle w:val="FootnoteReference"/>
          <w:rFonts w:ascii="Times New Roman" w:hAnsi="Times New Roman" w:cs="Times New Roman"/>
          <w:noProof/>
          <w:sz w:val="24"/>
        </w:rPr>
        <w:footnoteReference w:id="62"/>
      </w:r>
      <w:r w:rsidRPr="00B03B51">
        <w:rPr>
          <w:rFonts w:ascii="Times New Roman" w:hAnsi="Times New Roman" w:cs="Times New Roman"/>
          <w:sz w:val="24"/>
          <w:szCs w:val="12"/>
        </w:rPr>
        <w:t xml:space="preserve"> </w:t>
      </w:r>
      <w:r w:rsidRPr="00B03B51">
        <w:rPr>
          <w:rFonts w:ascii="Times New Roman" w:hAnsi="Times New Roman" w:cs="Times New Roman"/>
          <w:sz w:val="24"/>
        </w:rPr>
        <w:t>Šīs citas institūcijas parasti organizē shēmu, neuzņemoties atbildību par shēmas saistībām – tās nodrošina vienīgi administrēšanu un veic palīgdarbības, tāpēc tās arī atbilstīgi jāklasificē. Jo īpaši šādas darbības veic apdrošinātāji, bankas un speciāli pensiju palīgpakalpojumu sniedzēji. Pats pensijas subjekts jāklasificē atsevišķi. Atkarībā no valsts tiesību aktiem dažkārt šīs citu klašu institūcijas var būt atbildīgas par shēmas saistībām. Pensiju shēmas darījumi jānorāda attiecīgo institūciju institucionālajā sektorā.</w:t>
      </w:r>
    </w:p>
    <w:p w14:paraId="69D0575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8B37214" w14:textId="5904C052"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Pēdējos gados dažas valstis ir izveidojušas fondētas definētu iemaksu pensiju shēmas, attiecībā uz kurām tā nosaka dalības pienākumu vai mudina piedalīties tajās un kurās tā var organizēt iemaksu savākšanu no darba devējiem/darba ņēmējiem/pašnodarbinātām personām un izmaksāt pensijas pabalstus pensionāriem. Valdība var arī noteikt iemaksu līmeni un lemt par piemērojamajiem noteikumiem. Valdība bieži ieguldījumu pārvaldību nodod privātsektora pārvaldniekiem (bankām, apdrošinātājiem un brokeriem). Fondētajās definētu iemaksu pensiju shēmās pensiju pabalsti galvenokārt ir atkarīgi no uzkrātajiem aktīviem. Šādos apstākļos netiek izpildīti visi EKS 2010 noteiktie kritēriji, saskaņā ar kuriem šādas shēmas klasificē kā sociālā nodrošinā</w:t>
      </w:r>
      <w:r w:rsidR="006E0AE3" w:rsidRPr="00B03B51">
        <w:rPr>
          <w:rFonts w:ascii="Times New Roman" w:hAnsi="Times New Roman" w:cs="Times New Roman"/>
          <w:sz w:val="24"/>
        </w:rPr>
        <w:t>juma</w:t>
      </w:r>
      <w:r w:rsidRPr="00B03B51">
        <w:rPr>
          <w:rFonts w:ascii="Times New Roman" w:hAnsi="Times New Roman" w:cs="Times New Roman"/>
          <w:sz w:val="24"/>
        </w:rPr>
        <w:t xml:space="preserve"> shēmas, jo valdība nenosaka pensiju pabalstu līmeni un neveic shēmas “kontroli un finansēšanu”.</w:t>
      </w:r>
    </w:p>
    <w:p w14:paraId="172C626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CC8BE8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Turklāt, ņemot vērā, ka visu ieguldījumu risku uzņemas polišu turētāji/pabalstu saņēmēji, šīs shēmas var pielīdzināt ieguldījumu fondam. Tas nozīmē, ka subjekts, kurš pārvalda šādu pensiju shēmu un veido atsevišķu institucionālu vienību, jāklasificē kā finanšu iestāde atbilstošajā apakšsektorā.</w:t>
      </w:r>
    </w:p>
    <w:p w14:paraId="5C40F23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29A01C6" w14:textId="23A83A02"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Tas, ka valdība garantē fondētās definētu iemaksu pensiju shēmas pabalstu līmeni, tādējādi uzņemoties daļu riska, nav pietiekams iemesls, lai klasificētu šo shēmu kā sociālā nodroš</w:t>
      </w:r>
      <w:r w:rsidR="00917CDF" w:rsidRPr="00B03B51">
        <w:rPr>
          <w:rFonts w:ascii="Times New Roman" w:hAnsi="Times New Roman" w:cs="Times New Roman"/>
          <w:sz w:val="24"/>
        </w:rPr>
        <w:t>inājuma</w:t>
      </w:r>
      <w:r w:rsidRPr="00B03B51">
        <w:rPr>
          <w:rFonts w:ascii="Times New Roman" w:hAnsi="Times New Roman" w:cs="Times New Roman"/>
          <w:sz w:val="24"/>
        </w:rPr>
        <w:t xml:space="preserve"> shēmu. Šādi to varētu klasificēt tikai tad, ja periodiski vairāku gadu garumā tiek pieprasīts piemērot garantiju un līdz ar to ir skaidrs, ka valdības garantija nav paredzēta izmantošanai ārkārtas vai pārejošos gadījumos. Šāda situācija var motivēt valdību pilnīgi pārņemt kontroli pār shēmu un koriģēt iemaksu un pabalstu līmeņus. Šāda pārklasificēšana var </w:t>
      </w:r>
      <w:r w:rsidRPr="00B03B51">
        <w:rPr>
          <w:rFonts w:ascii="Times New Roman" w:hAnsi="Times New Roman" w:cs="Times New Roman"/>
          <w:sz w:val="24"/>
        </w:rPr>
        <w:lastRenderedPageBreak/>
        <w:t>notikt pirms garantijas izmantošanas pieprasījuma iesniegšanas, ja ir pietiekami pierādījumi tam, ka šāds pieprasījums ir neizbēgams tuvākajā nākotnē. Pārklasificēšanu varētu apsvērt, ja valdības līdzdalība pabalstu izmaksāšanā no fondētās definētu iemaksu shēmas pārsniegtu no pašas shēmas līdzekļiem veikto izmaksu apmēru.</w:t>
      </w:r>
    </w:p>
    <w:p w14:paraId="2942ED2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791FF4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Līdz ar to gadījumā, ja valdība nav izsniegusi garantiju, iemaksu un pabalstu plūsmas šādā fondētā definētu iemaksu pensiju shēmā neieraksta kā valsts ieņēmumus vai izdevumus un šīs plūsmas neietekmē valdības budžeta neto aizdevumu/aizņēmumu (B.9).</w:t>
      </w:r>
    </w:p>
    <w:p w14:paraId="06FA895B" w14:textId="77777777" w:rsidR="00994F93" w:rsidRPr="00B03B51" w:rsidRDefault="00994F93" w:rsidP="00994F93">
      <w:pPr>
        <w:jc w:val="both"/>
        <w:rPr>
          <w:rFonts w:ascii="Times New Roman" w:eastAsia="Arial" w:hAnsi="Times New Roman" w:cs="Times New Roman"/>
          <w:noProof/>
          <w:sz w:val="24"/>
          <w:szCs w:val="16"/>
        </w:rPr>
      </w:pPr>
    </w:p>
    <w:p w14:paraId="54741DA2"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34" w:name="1.3.2.2_Government_guarantee_to_a_funded"/>
      <w:bookmarkEnd w:id="34"/>
      <w:r w:rsidRPr="00B03B51">
        <w:rPr>
          <w:rFonts w:ascii="Times New Roman" w:hAnsi="Times New Roman" w:cs="Times New Roman"/>
          <w:sz w:val="24"/>
        </w:rPr>
        <w:t>1.3.2.2. VALDĪBAS GARANTIJA FONDĒTAJAI SHĒMAI</w:t>
      </w:r>
    </w:p>
    <w:p w14:paraId="05A1A4D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53CE561" w14:textId="4BA5F9C6"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Pat ja valsts nav atbildīga par tādas shēmas pārvaldību, kas nav klasificēta kā sociālā nodrošinā</w:t>
      </w:r>
      <w:r w:rsidR="002F6A64" w:rsidRPr="00B03B51">
        <w:rPr>
          <w:rFonts w:ascii="Times New Roman" w:hAnsi="Times New Roman" w:cs="Times New Roman"/>
          <w:sz w:val="24"/>
        </w:rPr>
        <w:t>juma</w:t>
      </w:r>
      <w:r w:rsidRPr="00B03B51">
        <w:rPr>
          <w:rFonts w:ascii="Times New Roman" w:hAnsi="Times New Roman" w:cs="Times New Roman"/>
          <w:sz w:val="24"/>
        </w:rPr>
        <w:t xml:space="preserve"> shēma, tā var būt “ļoti ieinteresēta” shēmas ilgtspējā, jo tā ir daļa no valsts sociālās aizsardzības politikas. Valdība var rūpīgi uzraudzīt valdības sektoram nepiederošas pensiju shēmas, lai nodrošinātu, ka neviens sabiedrības loceklis nepaliek bez pienācīgas pensijas.</w:t>
      </w:r>
    </w:p>
    <w:p w14:paraId="2C3892F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16A76E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Šajā saistībā, ja valdība uzskata, ka valdības sektoram nepiederošā pensiju shēmā pastāv nepieņemami augsts nenoteiktības līmenis, piemēram, darbības risku, nepietiekama uzkrāto rezervju līmeņa vai tirgus sabrukuma dēļ, valdība var piešķirt skaidru garantiju, lai aizsargātu dalībniekus. Valdība darbojas kā pēdējās instances maksātājs, lai nodrošinātu, ka pabalsti tiek izmaksāti tādā apmērā, kāds uzskatāms par apmierinošu.</w:t>
      </w:r>
    </w:p>
    <w:p w14:paraId="3C5F603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1FB0CF3" w14:textId="33523634"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Iepriekš minētajos apstākļos valdības garantija fondētajai shēmai, kas nav klasificēta kā sociālā nodrošinā</w:t>
      </w:r>
      <w:r w:rsidR="008E39A3" w:rsidRPr="00B03B51">
        <w:rPr>
          <w:rFonts w:ascii="Times New Roman" w:hAnsi="Times New Roman" w:cs="Times New Roman"/>
          <w:sz w:val="24"/>
        </w:rPr>
        <w:t>juma</w:t>
      </w:r>
      <w:r w:rsidRPr="00B03B51">
        <w:rPr>
          <w:rFonts w:ascii="Times New Roman" w:hAnsi="Times New Roman" w:cs="Times New Roman"/>
          <w:sz w:val="24"/>
        </w:rPr>
        <w:t xml:space="preserve"> shēma, nenozīmē, ka saņēmēja pensiju shēma būtu jāpārklasificē par sociālā nodrošinā</w:t>
      </w:r>
      <w:r w:rsidR="008E39A3" w:rsidRPr="00B03B51">
        <w:rPr>
          <w:rFonts w:ascii="Times New Roman" w:hAnsi="Times New Roman" w:cs="Times New Roman"/>
          <w:sz w:val="24"/>
        </w:rPr>
        <w:t>juma</w:t>
      </w:r>
      <w:r w:rsidRPr="00B03B51">
        <w:rPr>
          <w:rFonts w:ascii="Times New Roman" w:hAnsi="Times New Roman" w:cs="Times New Roman"/>
          <w:sz w:val="24"/>
        </w:rPr>
        <w:t xml:space="preserve"> shēmu.</w:t>
      </w:r>
    </w:p>
    <w:p w14:paraId="072CA07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615CFE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Valdības garantija jāuzskata par vienreizēju garantiju (neparedzētu izdevumu saistībām), kas nav ierakstīta nacionālajos kontos kā valdības saistības saskaņā ar vispārējiem EKS 2010 principiem. Šajā ziņā valdība uzņemas tikai potenciālu risku, kas rodas tikai īpašos apstākļos. Līdz ar to valdības izdevumus un ieņēmumus neieraksta tik ilgi, kamēr garantija nav pieprasīta.</w:t>
      </w:r>
    </w:p>
    <w:p w14:paraId="1DD67BE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85B5D33" w14:textId="13B71F41"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Valdība var atbalstīt shēmu ārkārtas vai pārejošos gadījumos, piemēram, finanšu tirgus īstermiņa satricinājuma gadījumos (kā 1987., 1994. vai 2008. gadā) tā, ka valdības intervence ir ierobežota laika un/vai apjoma ziņā. Tas nenozīmē, ka shēma ir jāpārklasificē par sociālā nodrošinā</w:t>
      </w:r>
      <w:r w:rsidR="00F74657" w:rsidRPr="00B03B51">
        <w:rPr>
          <w:rFonts w:ascii="Times New Roman" w:hAnsi="Times New Roman" w:cs="Times New Roman"/>
          <w:sz w:val="24"/>
        </w:rPr>
        <w:t>juma</w:t>
      </w:r>
      <w:r w:rsidRPr="00B03B51">
        <w:rPr>
          <w:rFonts w:ascii="Times New Roman" w:hAnsi="Times New Roman" w:cs="Times New Roman"/>
          <w:sz w:val="24"/>
        </w:rPr>
        <w:t xml:space="preserve"> shēmu, ja vien valdība nav pārņēmusi kontroli pār shēmu un nav tieši koriģējusi iemaksu un pabalstu apmēru.</w:t>
      </w:r>
    </w:p>
    <w:p w14:paraId="74134E0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3A5875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Tas nozīmē, ka sākumā valdības atbalsts neizraisa tūlītēju shēmas pārklasificēšanu, lai arī tas ietekmē valdības budžeta neto aizdevumu/aizņēmumu (B.9).</w:t>
      </w:r>
    </w:p>
    <w:p w14:paraId="2044CC0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A53D25B" w14:textId="55033136"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Ja valdības atbalsts shēmai nav piešķirts ārkārtēju un pārejošu iemeslu dēļ, bet tiek sniegts regulāri, un to var uzskatīt par pastāvīgu atbalstu, nacionālo kontu speciālistiem ir rūpīgi jāpārbauda, vai valdība nav ieguvusi noteiktu kontroli pār shēmu un vai tādējādi nepastāv nosacījumi tās klasificēšanai par sociālā nodrošinā</w:t>
      </w:r>
      <w:r w:rsidR="00BA569B" w:rsidRPr="00B03B51">
        <w:rPr>
          <w:rFonts w:ascii="Times New Roman" w:hAnsi="Times New Roman" w:cs="Times New Roman"/>
          <w:sz w:val="24"/>
        </w:rPr>
        <w:t>juma</w:t>
      </w:r>
      <w:r w:rsidRPr="00B03B51">
        <w:rPr>
          <w:rFonts w:ascii="Times New Roman" w:hAnsi="Times New Roman" w:cs="Times New Roman"/>
          <w:sz w:val="24"/>
        </w:rPr>
        <w:t xml:space="preserve"> shēmu.</w:t>
      </w:r>
    </w:p>
    <w:p w14:paraId="4CB9AE2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A5BA1E8" w14:textId="1A164722"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Fondētās definētu iemaksu shēmas gadījumā šādu pārklasificēšanu par sociālā nodrošinā</w:t>
      </w:r>
      <w:r w:rsidR="00507E3C" w:rsidRPr="00B03B51">
        <w:rPr>
          <w:rFonts w:ascii="Times New Roman" w:hAnsi="Times New Roman" w:cs="Times New Roman"/>
          <w:sz w:val="24"/>
        </w:rPr>
        <w:t>juma</w:t>
      </w:r>
      <w:r w:rsidRPr="00B03B51">
        <w:rPr>
          <w:rFonts w:ascii="Times New Roman" w:hAnsi="Times New Roman" w:cs="Times New Roman"/>
          <w:sz w:val="24"/>
        </w:rPr>
        <w:t xml:space="preserve"> shēmu vajadzētu veikt tikai tad, ja valsts faktiski nodrošinātu pabalstu izmaksu un izmaksātā summa pārsniegtu summu, kura izmaksājama no fondā uzkrātajiem aktīviem.</w:t>
      </w:r>
    </w:p>
    <w:p w14:paraId="785F058A"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0646B2D" w14:textId="679ECA74"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Fondētās definētu pabalstu shēmas gadījumā šādu pārklasificēšanu par sociālā nodrošinā</w:t>
      </w:r>
      <w:r w:rsidR="00507E3C" w:rsidRPr="00B03B51">
        <w:rPr>
          <w:rFonts w:ascii="Times New Roman" w:hAnsi="Times New Roman" w:cs="Times New Roman"/>
          <w:sz w:val="24"/>
        </w:rPr>
        <w:t>juma</w:t>
      </w:r>
      <w:r w:rsidRPr="00B03B51">
        <w:rPr>
          <w:rFonts w:ascii="Times New Roman" w:hAnsi="Times New Roman" w:cs="Times New Roman"/>
          <w:sz w:val="24"/>
        </w:rPr>
        <w:t xml:space="preserve"> </w:t>
      </w:r>
      <w:r w:rsidRPr="00B03B51">
        <w:rPr>
          <w:rFonts w:ascii="Times New Roman" w:hAnsi="Times New Roman" w:cs="Times New Roman"/>
          <w:sz w:val="24"/>
        </w:rPr>
        <w:lastRenderedPageBreak/>
        <w:t>shēmu vajadzētu veikt tikai tad, ja valdība faktiski nodrošinātu pabalstu izmaksu par summu, kas pārsniedz 50 % no pensiju aktuārās vērtības no paša fonda resursiem.</w:t>
      </w:r>
    </w:p>
    <w:p w14:paraId="57709ADA" w14:textId="77777777" w:rsidR="00994F93" w:rsidRPr="00B03B51" w:rsidRDefault="00994F93" w:rsidP="00994F93">
      <w:pPr>
        <w:jc w:val="both"/>
        <w:rPr>
          <w:rFonts w:ascii="Times New Roman" w:eastAsia="Arial" w:hAnsi="Times New Roman" w:cs="Times New Roman"/>
          <w:noProof/>
          <w:sz w:val="24"/>
          <w:szCs w:val="20"/>
        </w:rPr>
      </w:pPr>
    </w:p>
    <w:p w14:paraId="15F180A1"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35" w:name="1.3.3_Rationale_of_the_treatment"/>
      <w:bookmarkStart w:id="36" w:name="_Toc67565026"/>
      <w:bookmarkEnd w:id="35"/>
      <w:r w:rsidRPr="00B03B51">
        <w:rPr>
          <w:rFonts w:ascii="Times New Roman" w:hAnsi="Times New Roman" w:cs="Times New Roman"/>
          <w:sz w:val="24"/>
        </w:rPr>
        <w:t>1.3.3. Traktējuma pamatojums</w:t>
      </w:r>
      <w:bookmarkEnd w:id="36"/>
    </w:p>
    <w:p w14:paraId="6CE0556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53899F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Pensiju līmenis ir atkarīgs no uzkrāto aktīvu vērtības, kas ir ieguldīti tirgū no fondētās definētu iemaksu shēmas. Līdz ar to valdība nekontrolē individuālo pensiju pabalstu līmeni, jo tā tieši neietekmē aktīvu darbības rezultātus tirgū.</w:t>
      </w:r>
    </w:p>
    <w:p w14:paraId="1776B0C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F69AB3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Visi pensiju fondi, kuros dalībnieki uzņemas finanšu riskus, ir jātraktē vienādi neatkarīgi no tā, vai shēmu pārvaldošā vienība ir valsts vai privāta vienība, kā arī neatkarīgi no shēmas obligātā vai brīvprātīgā rakstura. Tie ir mājsaimniecību uzkrātie ietaupījumi. Aktīvu pārvaldība citu vienību vārdā ir finanšu starpniecība, kas parasti neietilpst valdības funkcijās. Pārvaldot šādas shēmas, valdības darbība nav saistīta ar valsts politikas mērķiem, jo šajā gadījumā valdība darbojas līdzīgi finanšu iestādei.</w:t>
      </w:r>
    </w:p>
    <w:p w14:paraId="53DA821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0BEC5F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Fondētās definētu iemaksu shēmas klasifikācija pārvaldošā subjekta apakšsektorā, bieži vien S125 “apdrošināšanas sabiedrības”, S.128 vai/un “pensiju fondi” (S.129), bet, iespējams, (atkarībā no valsts tiesību aktiem) arī citā (apakš)sektorā, nozīmē to, ka, lai arī nākotnē izmaksājamo pensiju saistības netiek ierakstītas kā valdības saistības, tomēr valdības vērtspapīri, ko pārvaldītājs subjekts tur pensiju shēmas pensiju fonda vārdā, ir pareizi jāieraksta valdības parādā (nekonsolidētā). Šādos apstākļos subjekta pensiju fonda portfeļa struktūra nekādi neietekmē valdības parāda uzskaiti.</w:t>
      </w:r>
    </w:p>
    <w:p w14:paraId="31BE55E0" w14:textId="77777777" w:rsidR="00994F93" w:rsidRPr="00B03B51" w:rsidRDefault="00994F93" w:rsidP="00994F93">
      <w:pPr>
        <w:jc w:val="both"/>
        <w:rPr>
          <w:rFonts w:ascii="Times New Roman" w:eastAsia="Arial" w:hAnsi="Times New Roman" w:cs="Times New Roman"/>
          <w:noProof/>
          <w:sz w:val="24"/>
          <w:szCs w:val="26"/>
        </w:rPr>
      </w:pPr>
    </w:p>
    <w:p w14:paraId="6DF1397B"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37" w:name="1.3.4_Transfer_of_pension_entitlements_f"/>
      <w:bookmarkStart w:id="38" w:name="_Toc67565027"/>
      <w:bookmarkEnd w:id="37"/>
      <w:r w:rsidRPr="00B03B51">
        <w:rPr>
          <w:rFonts w:ascii="Times New Roman" w:hAnsi="Times New Roman" w:cs="Times New Roman"/>
          <w:sz w:val="24"/>
        </w:rPr>
        <w:t>1.3.4. Pensiju tiesību pārvedums no otrā līmeņa</w:t>
      </w:r>
      <w:bookmarkEnd w:id="38"/>
    </w:p>
    <w:p w14:paraId="5A37177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E8CD29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Dažkārt pensijas, kas uzkrātas otrajā līmenī, kopā ar saistītajiem aktīviem tiek pārvestas uz valsts pensiju sistēmas pirmo līmeni. Šāds pārvedums var būt brīvprātīgs, valdības veicināts vai obligāts. Traktējums būs atkarīgs no šādu pārvedumu iezīmēm to uzsākšanas brīdī, kuras līdz tam nav pilnīgi zināmas, proti, no atsevišķu kontu nozīmes nākotnē, kontu nākotnes vērtības aprēķināšanas u. c. jautājumiem. </w:t>
      </w:r>
      <w:r w:rsidRPr="00B03B51">
        <w:rPr>
          <w:rFonts w:ascii="Times New Roman" w:hAnsi="Times New Roman" w:cs="Times New Roman"/>
          <w:i/>
          <w:iCs/>
          <w:sz w:val="24"/>
        </w:rPr>
        <w:t>Eurostat</w:t>
      </w:r>
      <w:r w:rsidRPr="00B03B51">
        <w:rPr>
          <w:rFonts w:ascii="Times New Roman" w:hAnsi="Times New Roman" w:cs="Times New Roman"/>
          <w:sz w:val="24"/>
        </w:rPr>
        <w:t xml:space="preserve"> un valstu statistikas iestādes divpusēji pārbaudīs ietekmi uz valdības kontiem.</w:t>
      </w:r>
    </w:p>
    <w:p w14:paraId="4B774C2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AB0A26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Sākotnēji tiks ierakstīta identiska nodoto pensiju tiesību un saistīto aktīvu vērtība. Saskaņā ar šo pieņēmumam pārvedumam pēc būtības ir finanšu raksturs. Attiecīgi pārvedums neietekmē valdības neto aizdevumu/aizņēmumu (B.9). Tomēr valdības parāds var tikt netieši ietekmēts, konsolidējot aktīvos ietilpstošās valdības obligācijas.</w:t>
      </w:r>
    </w:p>
    <w:p w14:paraId="2553DC8E"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1D410CD4" w14:textId="77777777" w:rsidR="00994F93" w:rsidRPr="00B03B51" w:rsidRDefault="00994F93" w:rsidP="00994F93">
      <w:pPr>
        <w:jc w:val="both"/>
        <w:rPr>
          <w:rFonts w:ascii="Times New Roman" w:eastAsia="Arial" w:hAnsi="Times New Roman" w:cs="Times New Roman"/>
          <w:noProof/>
          <w:sz w:val="24"/>
          <w:szCs w:val="26"/>
        </w:rPr>
      </w:pPr>
    </w:p>
    <w:p w14:paraId="6395E14D"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39" w:name="1.4._Market_regulatory_agencies_in_agric"/>
      <w:bookmarkStart w:id="40" w:name="_bookmark4"/>
      <w:bookmarkStart w:id="41" w:name="_Toc67565028"/>
      <w:bookmarkEnd w:id="39"/>
      <w:bookmarkEnd w:id="40"/>
      <w:r w:rsidRPr="00B03B51">
        <w:rPr>
          <w:rFonts w:ascii="Times New Roman" w:hAnsi="Times New Roman" w:cs="Times New Roman"/>
          <w:sz w:val="28"/>
          <w:szCs w:val="44"/>
        </w:rPr>
        <w:t>1.4. Tirgu regulējošas institūcijas lauksaimniecības nozarē</w:t>
      </w:r>
      <w:bookmarkEnd w:id="41"/>
    </w:p>
    <w:p w14:paraId="07F14156" w14:textId="77777777" w:rsidR="00994F93" w:rsidRPr="00C13305" w:rsidRDefault="00994F93" w:rsidP="005B5080">
      <w:pPr>
        <w:rPr>
          <w:rFonts w:ascii="Times New Roman" w:hAnsi="Times New Roman" w:cs="Times New Roman"/>
          <w:noProof/>
          <w:sz w:val="24"/>
          <w:szCs w:val="24"/>
        </w:rPr>
      </w:pPr>
      <w:bookmarkStart w:id="42" w:name="1.4.1_Background"/>
      <w:bookmarkEnd w:id="42"/>
    </w:p>
    <w:p w14:paraId="4D64251B"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43" w:name="_Toc67565029"/>
      <w:r w:rsidRPr="00B03B51">
        <w:rPr>
          <w:rFonts w:ascii="Times New Roman" w:hAnsi="Times New Roman" w:cs="Times New Roman"/>
          <w:sz w:val="24"/>
        </w:rPr>
        <w:t>1.4.1. Vispārīga informācija</w:t>
      </w:r>
      <w:bookmarkEnd w:id="43"/>
    </w:p>
    <w:p w14:paraId="15F064B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25557A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punktā apspriesta tirgu regulējošu institūciju</w:t>
      </w:r>
      <w:r w:rsidRPr="00B03B51">
        <w:rPr>
          <w:rStyle w:val="FootnoteReference"/>
          <w:rFonts w:ascii="Times New Roman" w:hAnsi="Times New Roman" w:cs="Times New Roman"/>
          <w:noProof/>
          <w:sz w:val="24"/>
        </w:rPr>
        <w:footnoteReference w:id="63"/>
      </w:r>
      <w:r w:rsidRPr="00B03B51">
        <w:rPr>
          <w:rFonts w:ascii="Times New Roman" w:hAnsi="Times New Roman" w:cs="Times New Roman"/>
          <w:sz w:val="24"/>
        </w:rPr>
        <w:t xml:space="preserve"> sektora klasifikācija un to krājumu traktējums, kad šādas institūcijas darbojas lauksaimniecības jomā. Šos noteikumus var piemērot arī attiecībā uz tirgus aģentūrām, kuras iesaistās citos tirgos, piemēram, izejvielu tirgū (Eiropas Savienībā tas pašlaik netiek novērots).</w:t>
      </w:r>
      <w:r w:rsidRPr="00B03B51">
        <w:rPr>
          <w:rStyle w:val="FootnoteReference"/>
          <w:rFonts w:ascii="Times New Roman" w:hAnsi="Times New Roman" w:cs="Times New Roman"/>
          <w:noProof/>
          <w:sz w:val="24"/>
        </w:rPr>
        <w:footnoteReference w:id="64"/>
      </w:r>
    </w:p>
    <w:p w14:paraId="5F10E6A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66D82F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Tās ir valsts aģentūras, kas rīkojas Eiropas Savienības vai citu vienību vārdā, kuras veic gan tirgus, gan resursu pārdales darbības. Tās galvenokārt nodarbojas ar lauksaimniecības produkciju. Institucionālie nosacījumi katrā valstī ir atšķirīgi. Parasti to darbība ietver lauksaimniecības produkcijas iepirkšanu un glabāšanu, tiešo subsīdiju piešķiršanu lauksaimniekiem, nodevu iekasēšanu no ražotājiem un importa, subsīdiju piešķiršanu eksportam, dotāciju piešķiršanu ražošanas līdzekļu iegādei un apkārtējās vides sakārtošanai.</w:t>
      </w:r>
      <w:r w:rsidRPr="00B03B51">
        <w:rPr>
          <w:rStyle w:val="FootnoteReference"/>
          <w:rFonts w:ascii="Times New Roman" w:hAnsi="Times New Roman" w:cs="Times New Roman"/>
          <w:noProof/>
          <w:sz w:val="24"/>
        </w:rPr>
        <w:footnoteReference w:id="65"/>
      </w:r>
    </w:p>
    <w:p w14:paraId="5245FF9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26B371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w:t>
      </w:r>
      <w:r w:rsidRPr="00B03B51">
        <w:rPr>
          <w:rFonts w:ascii="Times New Roman" w:hAnsi="Times New Roman" w:cs="Times New Roman"/>
          <w:i/>
          <w:iCs/>
          <w:sz w:val="24"/>
        </w:rPr>
        <w:t>Eurostat</w:t>
      </w:r>
      <w:r w:rsidRPr="00B03B51">
        <w:rPr>
          <w:rFonts w:ascii="Times New Roman" w:hAnsi="Times New Roman" w:cs="Times New Roman"/>
          <w:sz w:val="24"/>
        </w:rPr>
        <w:t xml:space="preserve"> 2005. gada lēmumā par to, kā uzskaitāmi pārvedumi ES dalībvalstīm no ES budžeta, noteikts, ka ES pārvedumi nedrīkst ietekmēt valdības neto aizdevumu/aizņēmumu (B.9), jo tiek uzskatīts, ka valdība rīkojas ES “vārdā”. </w:t>
      </w:r>
      <w:r w:rsidRPr="00B03B51">
        <w:rPr>
          <w:rFonts w:ascii="Times New Roman" w:hAnsi="Times New Roman" w:cs="Times New Roman"/>
          <w:i/>
          <w:iCs/>
          <w:sz w:val="24"/>
        </w:rPr>
        <w:t>Eurostat</w:t>
      </w:r>
      <w:r w:rsidRPr="00B03B51">
        <w:rPr>
          <w:rFonts w:ascii="Times New Roman" w:hAnsi="Times New Roman" w:cs="Times New Roman"/>
          <w:sz w:val="24"/>
        </w:rPr>
        <w:t xml:space="preserve"> lēmumā galvenā uzmanība bija veltīta dažu EKS darījumu, piemēram, subsīdiju vai ieguldījuma dotāciju, uzskaitei. Iepriekš jau tika norādīts, ka tirgu regulējošas institūcijas pērk un pārdod produktus lielākoties ES vārdā, lai, veidojot krājumus vai rezerves, stabilizētu cenas. Nacionālo kontu izpratnē vispārējās valdības nav šo krājumu ekonomiskās īpašnieces. Tomēr krājumos veikto izmaiņu nodošana ES (“Pārējā pasaule” (S.2)) nozīmētu to, ka tirgu regulējošo institūciju iepirkumu/realizāciju ieraksta kā eksportu/importu ar ES iestādēm, kas nebūtu lietderīgs risinājums no konceptuālā un uzskaites viedokļa.</w:t>
      </w:r>
      <w:r w:rsidRPr="00B03B51">
        <w:rPr>
          <w:rStyle w:val="FootnoteReference"/>
          <w:rFonts w:ascii="Times New Roman" w:hAnsi="Times New Roman" w:cs="Times New Roman"/>
          <w:noProof/>
          <w:sz w:val="24"/>
        </w:rPr>
        <w:footnoteReference w:id="66"/>
      </w:r>
    </w:p>
    <w:p w14:paraId="462D7B7F" w14:textId="77777777" w:rsidR="00994F93" w:rsidRPr="00B03B51" w:rsidRDefault="00994F93" w:rsidP="00994F93">
      <w:pPr>
        <w:jc w:val="both"/>
        <w:rPr>
          <w:rFonts w:ascii="Times New Roman" w:hAnsi="Times New Roman" w:cs="Times New Roman"/>
          <w:noProof/>
          <w:sz w:val="24"/>
        </w:rPr>
      </w:pPr>
    </w:p>
    <w:p w14:paraId="59E78091"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44" w:name="1.4.2_Treatment_in_national_accounts"/>
      <w:bookmarkStart w:id="45" w:name="_Toc67565030"/>
      <w:bookmarkEnd w:id="44"/>
      <w:r w:rsidRPr="00B03B51">
        <w:rPr>
          <w:rFonts w:ascii="Times New Roman" w:hAnsi="Times New Roman" w:cs="Times New Roman"/>
          <w:sz w:val="24"/>
        </w:rPr>
        <w:t>1.4.2. Traktējums nacionālajos kontos</w:t>
      </w:r>
      <w:bookmarkEnd w:id="45"/>
    </w:p>
    <w:p w14:paraId="213C14D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8F75D1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 2010 20.53.–20.54. punktā ir skaidri nodalītas “tirgu regulējošās organizācijas”, kuras nodarbojas vienīgi vai galvenokārt ar subsīdiju piešķiršanu, un tās, kuras nodarbojas vienīgi vai galvenokārt ar lauksaimniecības vai pārtikas preču pirkšanu, glabāšanu un pārdošanu.</w:t>
      </w:r>
    </w:p>
    <w:p w14:paraId="64BBC41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25E02F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Tirgu regulējošās aģentūras, kuras izsniedz subsīdijas, tiek klasificētas vispārējās valdības sektorā (centrālās valdības apakšsektorā). Tirgu regulējošas aģentūras, kuras iesaistītas tirgus darījumos, klasificē nefinanšu sabiedrību sektorā.</w:t>
      </w:r>
    </w:p>
    <w:p w14:paraId="3BA587F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85CEED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Tomēr tirgu regulējošu aģentūru darbības jomā var ietilpt arī abu iepriekš minēto veidu darbības. Attiecībā uz šādiem gadījumiem EKS 2010 20.54. punktā noteikts, ka aģentūru var </w:t>
      </w:r>
      <w:r w:rsidRPr="00B03B51">
        <w:rPr>
          <w:rFonts w:ascii="Times New Roman" w:hAnsi="Times New Roman" w:cs="Times New Roman"/>
          <w:sz w:val="24"/>
        </w:rPr>
        <w:lastRenderedPageBreak/>
        <w:t>sadalīt divās institucionālās vienībās, un to var darīt, ja ir pierādījumi, kas liecina par to, ka vienas vienības darbības viena daļa būtiski atšķiras no otras daļas (kā tas var būt, piemēram, kvazisabiedrību gadījumā). Šādā gadījumā institucionālo vienību, kas veic tirgus intervences darbības, klasificē nefinanšu sabiedrību sektorā. Otru institucionālo vienību, kas izsniedz subsīdijas, klasificē vispārējās valdības sektorā.</w:t>
      </w:r>
    </w:p>
    <w:p w14:paraId="004349C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0714BE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Ja divas atsevišķas institucionālas vienības nav iespējams nošķirt (jo īpaši ar uzskaiti saistītu apsvērumu dēļ vai tādēļ, ka nav skaidra vadības dalījuma), “galvenā darbība” jānosaka saskaņā ar turpmāko noteikumu. Ja šo vienību izmaksas, kas radušās tirgus intervences laikā, salīdzinājumā ar kopējām izmaksām ir mazākas par 80 %, vienības klasificē vispārējās valdības sektorā; ja savukārt to izmaksas, kas radušās tirgus intervences laikā, salīdzinājumā ar kopējām izmaksām ir lielākas par 80 %, tās klasificē nefinanšu sabiedrību sektorā.</w:t>
      </w:r>
    </w:p>
    <w:p w14:paraId="057AA2A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CBDF9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Radušās izmaksas aprēķina tāpat kā ārpustirgus pakalpojumu produkcijas vērtību, t. i., kā starppatēriņa, darbinieku atalgojuma, pamatkapitāla patēriņa un citu ražošanas nodokļu summu, no kuras atņem citas ražošanas subsīdijas, bet neiekļauj procentu maksājumus (skat. EKS 2010 3.49. punktu).</w:t>
      </w:r>
    </w:p>
    <w:p w14:paraId="2F164C2C" w14:textId="77777777" w:rsidR="00994F93" w:rsidRPr="00B03B51" w:rsidRDefault="00994F93" w:rsidP="00994F93">
      <w:pPr>
        <w:jc w:val="both"/>
        <w:rPr>
          <w:rFonts w:ascii="Times New Roman" w:eastAsia="Arial" w:hAnsi="Times New Roman" w:cs="Times New Roman"/>
          <w:noProof/>
          <w:sz w:val="24"/>
          <w:szCs w:val="25"/>
        </w:rPr>
      </w:pPr>
    </w:p>
    <w:p w14:paraId="057506B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Šādos gadījumos, kad ES vārdā darbojošās tirgu regulējošas aģentūras (t. i., ES kopējās politikas kontekstā) klasificē kā vispārējo valdību, sabiedrību sektorā (S.11) ir ieteicams izveidot kvazisabiedrību, nevis nosacītu vienību, lai atspoguļotu izmaiņas lauksaimniecības krājumos un izvairītos no šādu izmaiņu ierakstīšanas nacionālajos valdības kontos (kā izmaiņas valsts krājumos, kuras ietekmē valdības budžeta neto aizdevumu/aizņēmumu (B.9)) vai pārējās pasaules kontos (kā eksportu un importu).</w:t>
      </w:r>
    </w:p>
    <w:p w14:paraId="758F159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D3CE2E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Šādas uzskaites pamatā galvenokārt ir uzskats, ka šādu krājumu ekonomiskā īpašniece ir ES, nevis valsts, un ka tirgu regulējošās aģentūras faktiski rīkojas ES vārdā, proti, ES veic kontroli, kā arī uzņemas ar šādiem krājumiem saistītos riskus un ieguvumus. Šāds traktējums saskan arī ar EKS 2010 minēto vienošanos par tirgu regulējošu aģentūru (S.11) sektora klasifikāciju.</w:t>
      </w:r>
    </w:p>
    <w:p w14:paraId="73DA959B" w14:textId="77777777" w:rsidR="00994F93" w:rsidRPr="00B03B51" w:rsidRDefault="00994F93" w:rsidP="00994F93">
      <w:pPr>
        <w:jc w:val="both"/>
        <w:rPr>
          <w:rFonts w:ascii="Times New Roman" w:eastAsia="Arial" w:hAnsi="Times New Roman" w:cs="Times New Roman"/>
          <w:noProof/>
          <w:sz w:val="24"/>
          <w:szCs w:val="20"/>
        </w:rPr>
      </w:pPr>
    </w:p>
    <w:p w14:paraId="23AA50A6"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46" w:name="1.4.3_Rationale_of_the_treatment"/>
      <w:bookmarkStart w:id="47" w:name="_Toc67565031"/>
      <w:bookmarkEnd w:id="46"/>
      <w:r w:rsidRPr="00B03B51">
        <w:rPr>
          <w:rFonts w:ascii="Times New Roman" w:hAnsi="Times New Roman" w:cs="Times New Roman"/>
          <w:sz w:val="24"/>
        </w:rPr>
        <w:t>1.4.3. Traktējuma pamatojums</w:t>
      </w:r>
      <w:bookmarkEnd w:id="47"/>
    </w:p>
    <w:p w14:paraId="57E4B52A" w14:textId="77777777" w:rsidR="00994F93" w:rsidRPr="00FE5FF3" w:rsidRDefault="00994F93" w:rsidP="00FE5FF3">
      <w:pPr>
        <w:rPr>
          <w:rFonts w:ascii="Times New Roman" w:hAnsi="Times New Roman" w:cs="Times New Roman"/>
          <w:noProof/>
          <w:sz w:val="24"/>
          <w:szCs w:val="24"/>
        </w:rPr>
      </w:pPr>
      <w:bookmarkStart w:id="48" w:name="1.4.3.1_THE_80_%_criteria"/>
      <w:bookmarkEnd w:id="48"/>
    </w:p>
    <w:p w14:paraId="7C06E352"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1.4.3.1. 80 % KRITĒRIJS</w:t>
      </w:r>
    </w:p>
    <w:p w14:paraId="2F4BC38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8995DA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Turpmāk sniegti galvenie iemesli, kāpēc ir noteikta tik augsta robežvērtība “80 %”.</w:t>
      </w:r>
    </w:p>
    <w:p w14:paraId="7EA98A7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9318158" w14:textId="77777777" w:rsidR="00994F93" w:rsidRPr="00B03B51" w:rsidRDefault="00994F93" w:rsidP="009636AA">
      <w:pPr>
        <w:pStyle w:val="BodyText"/>
        <w:numPr>
          <w:ilvl w:val="1"/>
          <w:numId w:val="2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Subsīdiju piešķiršana nav “ierasta” uzņēmuma (tirgus ražotāja) darbība.</w:t>
      </w:r>
    </w:p>
    <w:p w14:paraId="0B3BFAE4" w14:textId="77777777" w:rsidR="00994F93" w:rsidRPr="00B03B51" w:rsidRDefault="00994F93" w:rsidP="009636AA">
      <w:pPr>
        <w:pStyle w:val="BodyText"/>
        <w:numPr>
          <w:ilvl w:val="1"/>
          <w:numId w:val="2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Daudzos gadījumos aģentūra pēc juridiskā statusa ir valsts iestāde.</w:t>
      </w:r>
    </w:p>
    <w:p w14:paraId="1714C237" w14:textId="77777777" w:rsidR="00994F93" w:rsidRPr="00B03B51" w:rsidRDefault="00994F93" w:rsidP="009636AA">
      <w:pPr>
        <w:pStyle w:val="BodyText"/>
        <w:numPr>
          <w:ilvl w:val="1"/>
          <w:numId w:val="2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Saistībā ar kopējo lauksaimniecības politiku subsīdiju piešķiršana ir ievērojami izplatītāka darbība nekā tirgus intervences pasākumi.</w:t>
      </w:r>
    </w:p>
    <w:p w14:paraId="126B731A" w14:textId="77777777" w:rsidR="00994F93" w:rsidRPr="00B03B51" w:rsidRDefault="00994F93" w:rsidP="009636AA">
      <w:pPr>
        <w:pStyle w:val="BodyText"/>
        <w:numPr>
          <w:ilvl w:val="1"/>
          <w:numId w:val="2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Ir vajadzīgs tāds traktējums, kas tirgu regulējošo institūciju klasifikācijai nodrošina ilglaicīgu stabilitāti.</w:t>
      </w:r>
    </w:p>
    <w:p w14:paraId="3F2B6BFC" w14:textId="77777777" w:rsidR="00994F93" w:rsidRPr="00B03B51" w:rsidRDefault="00994F93" w:rsidP="00994F93">
      <w:pPr>
        <w:jc w:val="both"/>
        <w:rPr>
          <w:rFonts w:ascii="Times New Roman" w:eastAsia="Arial" w:hAnsi="Times New Roman" w:cs="Times New Roman"/>
          <w:noProof/>
          <w:sz w:val="24"/>
          <w:szCs w:val="15"/>
        </w:rPr>
      </w:pPr>
    </w:p>
    <w:p w14:paraId="7FDA7D95"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49" w:name="1.4.3.2_Economic_ownership_of_the_invent"/>
      <w:bookmarkEnd w:id="49"/>
      <w:r w:rsidRPr="00B03B51">
        <w:rPr>
          <w:rFonts w:ascii="Times New Roman" w:hAnsi="Times New Roman" w:cs="Times New Roman"/>
          <w:sz w:val="24"/>
        </w:rPr>
        <w:t>1.4.3.2. KRĀJUMU EKONOMISKĀS ĪPAŠUMTIESĪBAS</w:t>
      </w:r>
    </w:p>
    <w:p w14:paraId="7C10B19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778EC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Ņemot vērā to, ka tirgu regulējoša aģentūra “rīkojas ES vārdā” un neizmanto šos krājumus savā ražošanas procesā, šī institucionālā vienība nav šādu no tās tirgus intervencēm izrietošo krājumu ekonomiskā īpašniece. Par šādu krājumu ekonomisko īpašnieci ir uzskatāma ES.</w:t>
      </w:r>
    </w:p>
    <w:p w14:paraId="6502C49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63CDA1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Tomēr šajā gadījumā nešķiet vēlami vai pamatoti veikt eksporta/importa attiecību uzskaiti </w:t>
      </w:r>
      <w:r w:rsidRPr="00B03B51">
        <w:rPr>
          <w:rFonts w:ascii="Times New Roman" w:hAnsi="Times New Roman" w:cs="Times New Roman"/>
          <w:sz w:val="24"/>
        </w:rPr>
        <w:lastRenderedPageBreak/>
        <w:t>ar ES, jo tas nozīmētu, ka eksporta un importa plūsmas ir jāieraksta ikreiz, kad aģentūra veic pirkumu vai pārdevumu, kā rezultātā tiktu iegūti kopējie rādītāji ar ierobežotu analītisko vērtību. Turklāt regulējošo institūciju tirgus intervences tiek veiktas valsts līmenī, t. i., valstu tirgos, neatkarīgi no tā, ka tās rīkojas ES vārdā.</w:t>
      </w:r>
    </w:p>
    <w:p w14:paraId="5787097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2829F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Ir svarīgi analizēt tirgu regulējošo institūciju veidoto krājumu ekonomiskās īpašumtiesības. Saistībā ar valstu intervenci tirgū Komisija uzņemas visus finanšu riskus, tostarp visus zaudējumus, kurus izraisa intervence tirgū, jo ES kopējās lauksaimniecības politikas mērķis šajā jomā ir novērst jebkādas no tirgus intervencēm izrietošās finansiālās sekas ES dalībvalstij. Pretēja situācija rodas arī gadījumā, ja paaugstinās cenas, kad ES dalībvalsts pilnīgi atmaksā Komisijai starpību (peļņa no pārdošanas). Turklāt ES dalībvalsts ir atbildīga par to, lai tiktu veikti visi pasākumi, kas nepieciešami krājumu iekonservēšanai labā stāvoklī, bet vienlaikus tai nav kontroles pār šīm precēm, jo lēmumus par pirkšanu un tālākpārdošanu pieņem ES iestādes.</w:t>
      </w:r>
    </w:p>
    <w:p w14:paraId="18271A7B" w14:textId="77777777" w:rsidR="00994F93" w:rsidRPr="00B03B51" w:rsidRDefault="00994F93" w:rsidP="00994F93">
      <w:pPr>
        <w:jc w:val="both"/>
        <w:rPr>
          <w:rFonts w:ascii="Times New Roman" w:eastAsia="Arial" w:hAnsi="Times New Roman" w:cs="Times New Roman"/>
          <w:noProof/>
          <w:sz w:val="24"/>
          <w:szCs w:val="16"/>
        </w:rPr>
      </w:pPr>
    </w:p>
    <w:p w14:paraId="2F2FA6BE"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0" w:name="1.4.3.3_Classifying_the_inventories_in_t"/>
      <w:bookmarkEnd w:id="50"/>
      <w:r w:rsidRPr="00B03B51">
        <w:rPr>
          <w:rFonts w:ascii="Times New Roman" w:hAnsi="Times New Roman" w:cs="Times New Roman"/>
          <w:sz w:val="24"/>
        </w:rPr>
        <w:t>1.4.3.3. KRĀJUMU KLASIFICĒŠANA KORPORATĪVAJĀ SEKTORĀ</w:t>
      </w:r>
    </w:p>
    <w:p w14:paraId="521C9A7E" w14:textId="77777777" w:rsidR="00994F93" w:rsidRPr="00B03B51" w:rsidRDefault="00994F93" w:rsidP="00994F93">
      <w:pPr>
        <w:jc w:val="both"/>
        <w:rPr>
          <w:rFonts w:ascii="Times New Roman" w:hAnsi="Times New Roman" w:cs="Times New Roman"/>
          <w:b/>
          <w:noProof/>
          <w:sz w:val="24"/>
        </w:rPr>
      </w:pPr>
    </w:p>
    <w:p w14:paraId="2E5FBAF3"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Nosacīta vienība vai kvazisabiedrība</w:t>
      </w:r>
    </w:p>
    <w:p w14:paraId="2993DA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83966A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Nacionālajos kontos iespējamais risinājums (lai izvairītos no eksporta un importa ierakstīšanas pēc katras krājumu papildināšanas vai samazināšanas) varētu būt šādu lauksaimniecības krājumu (P.52) uzskaites iekļaušana nefinanšu sabiedrību sektorā (S.11). Tas atbilstu argumentam par to, ka vispārējā valdība nav tirgus intervences pasākumos radīto krājumu ekonomiskā īpašniece. Šī pieeja zināmā mērā atbilstu tam, ko nosaka iepriekš minētais EKS 2010 2.114 .punkts.</w:t>
      </w:r>
    </w:p>
    <w:p w14:paraId="3D250BC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140F68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Iepriekš minētā pieeja nozīmē to, ka būtu jārada mākslīga vienība, lai atspoguļotu darījumus ar krājumiem S.11 sektorā gadījumos, kuros tirgu regulējošās aģentūras ir klasificētas centrālajā valdībā (S.1311).</w:t>
      </w:r>
    </w:p>
    <w:p w14:paraId="443F80B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339281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Viens no iespējamajiem risinājumiem varētu būt ES piederošas nosacītas rezidentvienības atzīšana. Nosacītas rezidentvienības izveidošana šķiet kopumā atbilst EKS 2010 2.29. punktam, kurā paskaidrots, ka pat tad, ja attiecībā uz nosacītām rezidentvienībām tiek uzturēta tikai daļa no kontiem un tām nav lēmumu pieņemšanas autonomijas, saskaņā ar vienošanos tās traktē kā institucionālas vienības. Šāda nosacīta rezidentvienība turētu krājumus, un tiktu uzskatīts, ka tā veic ar tiem darījumus. Tas nozīmē, ka subjekta īpašniece nacionālajos kontos ir ES.</w:t>
      </w:r>
    </w:p>
    <w:p w14:paraId="52C31A99" w14:textId="77777777" w:rsidR="00994F93" w:rsidRPr="00B03B51" w:rsidRDefault="00994F93" w:rsidP="00994F93">
      <w:pPr>
        <w:jc w:val="both"/>
        <w:rPr>
          <w:rFonts w:ascii="Times New Roman" w:eastAsia="Arial" w:hAnsi="Times New Roman" w:cs="Times New Roman"/>
          <w:noProof/>
          <w:sz w:val="24"/>
          <w:szCs w:val="25"/>
        </w:rPr>
      </w:pPr>
    </w:p>
    <w:p w14:paraId="21E0342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Cita iespēja varētu būt kvazisabiedrības atzīšana nacionālajos kontos ar tādu pašu mērķi kā iepriekš minētās nosacītās rezidentvienības gadījumā (t. i., atspoguļot darījumus ar krājumiem gadījumā, ja tirgu regulējošo aģentūru klasificē centrālās valdības sektorā). Parasti EKS ir pieejams pilnīgs kontu komplekts. Tas netiek garantēts, taču, ciktāl ES atlīdzina zaudējumus, kas izriet no krājumu turēšanas, tiek uzskatīts, ka ir pieejama atbilstoša un vispusīga informācija. Tas nozīmē, ka nacionālajos kontos par subjekta īpašnieci tiek uzskatīta valdība.</w:t>
      </w:r>
    </w:p>
    <w:p w14:paraId="313E7EF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5996A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Ar abiem šiem traktējumiem var izvairīties no tā, ka krājumu iegādes un pārdošanas izmaiņas jāieraksta kā eksports/imports uz ES.</w:t>
      </w:r>
    </w:p>
    <w:p w14:paraId="2990CC8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302C00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Kopumā var secināt, ka S.11 sektorā pastāv divas klasificēšanas iespējas atkarībā no tā, ko uzskata par krājumus turošā subjekta īpašnieku:</w:t>
      </w:r>
    </w:p>
    <w:p w14:paraId="0B8E228B" w14:textId="77777777" w:rsidR="00994F93" w:rsidRPr="00B03B51" w:rsidRDefault="00994F93" w:rsidP="00994F93">
      <w:pPr>
        <w:jc w:val="both"/>
        <w:rPr>
          <w:rFonts w:ascii="Times New Roman" w:eastAsia="Arial" w:hAnsi="Times New Roman" w:cs="Times New Roman"/>
          <w:noProof/>
          <w:sz w:val="24"/>
          <w:szCs w:val="25"/>
        </w:rPr>
      </w:pPr>
    </w:p>
    <w:p w14:paraId="66CFD8FA"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b/>
          <w:sz w:val="24"/>
        </w:rPr>
        <w:lastRenderedPageBreak/>
        <w:t>1. iespēja</w:t>
      </w:r>
      <w:r w:rsidRPr="00B03B51">
        <w:rPr>
          <w:rFonts w:ascii="Times New Roman" w:hAnsi="Times New Roman" w:cs="Times New Roman"/>
          <w:sz w:val="24"/>
        </w:rPr>
        <w:t> – kvazisabiedrības atzīšana, kas nozīmē, ka valsts pārvalde ir struktūras īpašniece, vai</w:t>
      </w:r>
    </w:p>
    <w:p w14:paraId="4EC3EEA6" w14:textId="77777777" w:rsidR="00994F93" w:rsidRPr="00B03B51" w:rsidRDefault="00994F93" w:rsidP="00994F93">
      <w:pPr>
        <w:pStyle w:val="BodyText"/>
        <w:spacing w:before="0"/>
        <w:ind w:left="284" w:firstLine="0"/>
        <w:jc w:val="both"/>
        <w:rPr>
          <w:rFonts w:ascii="Times New Roman" w:hAnsi="Times New Roman" w:cs="Times New Roman"/>
          <w:b/>
          <w:noProof/>
          <w:sz w:val="24"/>
        </w:rPr>
      </w:pPr>
    </w:p>
    <w:p w14:paraId="4DA72B7F"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b/>
          <w:bCs/>
          <w:sz w:val="24"/>
        </w:rPr>
        <w:t>2 .iespēja</w:t>
      </w:r>
      <w:r w:rsidRPr="00B03B51">
        <w:rPr>
          <w:rFonts w:ascii="Times New Roman" w:hAnsi="Times New Roman" w:cs="Times New Roman"/>
          <w:sz w:val="24"/>
        </w:rPr>
        <w:t> – nosacītas vienības atzīšana, kas nozīmē, ka subjekta īpašnieks ir pārējā pasaule (</w:t>
      </w:r>
      <w:r w:rsidRPr="00B03B51">
        <w:rPr>
          <w:rFonts w:ascii="Times New Roman" w:hAnsi="Times New Roman" w:cs="Times New Roman"/>
          <w:i/>
          <w:iCs/>
          <w:sz w:val="24"/>
        </w:rPr>
        <w:t>RoW</w:t>
      </w:r>
      <w:r w:rsidRPr="00B03B51">
        <w:rPr>
          <w:rFonts w:ascii="Times New Roman" w:hAnsi="Times New Roman" w:cs="Times New Roman"/>
          <w:sz w:val="24"/>
        </w:rPr>
        <w:t>).</w:t>
      </w:r>
    </w:p>
    <w:p w14:paraId="213C9522" w14:textId="77777777" w:rsidR="00994F93" w:rsidRPr="00B03B51" w:rsidRDefault="00994F93" w:rsidP="00994F93">
      <w:pPr>
        <w:jc w:val="both"/>
        <w:rPr>
          <w:rFonts w:ascii="Times New Roman" w:eastAsia="Arial" w:hAnsi="Times New Roman" w:cs="Times New Roman"/>
          <w:noProof/>
          <w:sz w:val="24"/>
          <w:szCs w:val="17"/>
        </w:rPr>
      </w:pPr>
    </w:p>
    <w:p w14:paraId="2C3205B4"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1" w:name="1.4.3.4_Net_worth_of_general_government"/>
      <w:bookmarkEnd w:id="51"/>
      <w:r w:rsidRPr="00B03B51">
        <w:rPr>
          <w:rFonts w:ascii="Times New Roman" w:hAnsi="Times New Roman" w:cs="Times New Roman"/>
          <w:sz w:val="24"/>
        </w:rPr>
        <w:t>1.4.3.4. VISPĀRĒJĀS VALDĪBAS NETO VĒRTĪBA</w:t>
      </w:r>
    </w:p>
    <w:p w14:paraId="1611A7C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E5D570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Ņemot vērā uzskatu, ka krājumi pieder ES, ir svarīgi noteikt, vai izmaiņas subjekta pašu līdzekļos, ko izraisa krājumu peļņa un zaudējumi pēc tirgus vērtības (kas vienā periodā var būt lielāka nekā citā periodā), ietekmētu vispārējās valdības neto vērtību vai pārējās pasaules neto vērtību, vai arī neietekmētu nevienu no tām.</w:t>
      </w:r>
    </w:p>
    <w:p w14:paraId="1DE07F1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877424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Ir svarīgi noteikt, vai kvazisabiedrība vai nosacītā vienība nodrošinātu atšķirīgu vai ļoti atšķirīgu peļņu no vispārējās valdības neto vērtības viedokļa. Sākotnēji var secināt, ka rezultāts būs atšķirīgs, ciktāl tas attiecas uz ES neto vērtību. Nosacītas vienības gadījumā to ietekmē krājumu peļņa un zaudējumi, savukārt kvazisabiedrības gadījumā tā nenotiek.</w:t>
      </w:r>
    </w:p>
    <w:p w14:paraId="2236AA3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62C9C3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Ja aģentūra ir valdības dibināts subjekts, tad var pastāvēt kāda pašu kapitāla saikne, kas atspoguļosies kā vispārējās valdības aktīvs, ja aģentūra tiek klasificēta ārpus vispārējās valdības. Tomēr izmaiņas krājumu cenā nevajadzētu atspoguļot subjekta pašu kapitāla vērtībā (t. i., tās nevajadzētu atspoguļot valdības aktīva cenā), jo saskaņā ar definīciju attiecībā uz valdību šāda peļņa un zaudējumi neuzkrājas, bet gan tos pēc tam nodod ES vai arī kompensēs ar ES subsīdijām. Tādējādi būtībā peļņa un zaudējumi vispirms nozīmētu, ka ES vajadzētu būt konkrētiem kreditoru/debitoru parādiem, kā rezultātā institūcijas pašu līdzekļiem būtu jāpaliek bez izmaiņām.</w:t>
      </w:r>
    </w:p>
    <w:p w14:paraId="1872494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3719AA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24. EKS noteikts, ka </w:t>
      </w:r>
      <w:r w:rsidRPr="00B03B51">
        <w:rPr>
          <w:rFonts w:ascii="Times New Roman" w:hAnsi="Times New Roman" w:cs="Times New Roman"/>
          <w:i/>
          <w:iCs/>
          <w:sz w:val="24"/>
        </w:rPr>
        <w:t>pašu līdzekļi</w:t>
      </w:r>
      <w:r w:rsidRPr="00B03B51">
        <w:rPr>
          <w:rFonts w:ascii="Times New Roman" w:hAnsi="Times New Roman" w:cs="Times New Roman"/>
          <w:sz w:val="24"/>
        </w:rPr>
        <w:t xml:space="preserve"> ir vienību neto aktīvi, kuros nav iekļautas pašu kapitāla saistības, turpretī </w:t>
      </w:r>
      <w:r w:rsidRPr="00B03B51">
        <w:rPr>
          <w:rFonts w:ascii="Times New Roman" w:hAnsi="Times New Roman" w:cs="Times New Roman"/>
          <w:i/>
          <w:iCs/>
          <w:sz w:val="24"/>
        </w:rPr>
        <w:t>neto vērtība</w:t>
      </w:r>
      <w:r w:rsidRPr="00B03B51">
        <w:rPr>
          <w:rFonts w:ascii="Times New Roman" w:hAnsi="Times New Roman" w:cs="Times New Roman"/>
          <w:sz w:val="24"/>
        </w:rPr>
        <w:t xml:space="preserve"> ir vienību neto aktīvi, kuros ir iekļautas pašu kapitāla saistības. Līdz ar to </w:t>
      </w:r>
      <w:r w:rsidRPr="00B03B51">
        <w:rPr>
          <w:rFonts w:ascii="Times New Roman" w:hAnsi="Times New Roman" w:cs="Times New Roman"/>
          <w:i/>
          <w:iCs/>
          <w:sz w:val="24"/>
        </w:rPr>
        <w:t>neto vērtību</w:t>
      </w:r>
      <w:r w:rsidRPr="00B03B51">
        <w:rPr>
          <w:rFonts w:ascii="Times New Roman" w:hAnsi="Times New Roman" w:cs="Times New Roman"/>
          <w:sz w:val="24"/>
        </w:rPr>
        <w:t xml:space="preserve"> iegūst, ja no </w:t>
      </w:r>
      <w:r w:rsidRPr="00B03B51">
        <w:rPr>
          <w:rFonts w:ascii="Times New Roman" w:hAnsi="Times New Roman" w:cs="Times New Roman"/>
          <w:i/>
          <w:iCs/>
          <w:sz w:val="24"/>
        </w:rPr>
        <w:t>pašu līdzekļu</w:t>
      </w:r>
      <w:r w:rsidRPr="00B03B51">
        <w:rPr>
          <w:rFonts w:ascii="Times New Roman" w:hAnsi="Times New Roman" w:cs="Times New Roman"/>
          <w:sz w:val="24"/>
        </w:rPr>
        <w:t xml:space="preserve"> vērtības atņem pašu kapitāla saistību vērtību (t. i., emitēto pašu kapitālu). Skat. EKS 2010 7.02. un 7.06. punktu. Līdz ar to EKS neto vērtību nedrīkst jaukt ar daļu turētāju pašu kapitāla vai neto vērtības jēdzienu, kurš tiek piemērots uzņēmumu grāmatvedībā. Faktiski uzņēmumu grāmatvedībā piemērotais neto vērtības jēdziens vairāk atbilst EKS piemērotajam pašu līdzekļu jēdzienam.</w:t>
      </w:r>
    </w:p>
    <w:p w14:paraId="6846060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16217F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Tomēr kopumā kreditoru/debitoru parādu atspoguļošanas laiks izriet arī no laika, kad ir ierakstīta subsīdija, kuras uzskaite ir īpaši reglamentēta EKS.</w:t>
      </w:r>
    </w:p>
    <w:p w14:paraId="0B3EBF1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134C29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Šis subsīdiju ierakstīšanas laiks visticamāk ietekmēs aģentūras pašu līdzekļus. Tomēr būtībā tam nevajadzētu ietekmēt aģentūras pašu kapitāla vērtību. Ja pati aģentūra ir jāpārdod, tās novērtējums nebūs atkarīgs no tās krājumu vērtības, jo ES ir pienākums segt zaudējumus, tiklīdz tie radīsies, un arī aģentūrai ir pienākums atdot peļņu ES.</w:t>
      </w:r>
    </w:p>
    <w:p w14:paraId="60193B3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302C2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Attiecīgi peļņai un zaudējumiem no krājumiem visos gadījumos (nosacīta vienība vai kvazisabiedrība) ir jābūt neitrāliem attiecībā uz vispārējās valdības neto vērtību, pat ja tie ir neitrāli arī attiecībā uz ES neto vērtību (kvazisabiedrība). Tādējādi turēšanas guvumi un zaudējumi no tirgus regulatīvās aģentūras krājumiem ietekmē tikai nefinanšu sabiedrību (S.11) neto vērtību, kamēr tiek gaidīta ar debitoru/kreditoru parādiem saistītās subsīdijas atzīšana.</w:t>
      </w:r>
    </w:p>
    <w:p w14:paraId="5BE962B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37C797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28. Tomēr tas nozīmē, ka kvazisabiedrības pašu kapitāla novērtējumam ir jāatbilst finansējumam, kas sniegts līdz tam, un tā vērtība nevar būt vienāda ar tās pašu līdzekļiem; </w:t>
      </w:r>
      <w:r w:rsidRPr="00B03B51">
        <w:rPr>
          <w:rFonts w:ascii="Times New Roman" w:hAnsi="Times New Roman" w:cs="Times New Roman"/>
          <w:sz w:val="24"/>
        </w:rPr>
        <w:lastRenderedPageBreak/>
        <w:t>tādējādi vienības neto vērtība būs vai nu pozitīva, vai negatīva, lai gan tikai īsos laika posmos, nerealizētās vai neatzītās un līdz ar to vēl nekompensētās vai ES neatdotās peļņas un zaudējumu no krājumiem dēļ. Šādas atkāpes tomēr var uzskatīt par pamatotu tuvinājumu saskaņā ar vienošanos, atbilstoši kurai kvazisabiedrības neto vērtībai jābūt vienādai ar nulli (EKS 2010 7.09. punkts).</w:t>
      </w:r>
    </w:p>
    <w:p w14:paraId="794BCD06" w14:textId="77777777" w:rsidR="00994F93" w:rsidRPr="00B03B51" w:rsidRDefault="00994F93" w:rsidP="00994F93">
      <w:pPr>
        <w:jc w:val="both"/>
        <w:rPr>
          <w:rFonts w:ascii="Times New Roman" w:eastAsia="Arial" w:hAnsi="Times New Roman" w:cs="Times New Roman"/>
          <w:noProof/>
          <w:sz w:val="24"/>
          <w:szCs w:val="16"/>
        </w:rPr>
      </w:pPr>
    </w:p>
    <w:p w14:paraId="6C054B60"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2" w:name="1.4.3.5_Valuation_of_transactions_in_inv"/>
      <w:bookmarkEnd w:id="52"/>
      <w:r w:rsidRPr="00B03B51">
        <w:rPr>
          <w:rFonts w:ascii="Times New Roman" w:hAnsi="Times New Roman" w:cs="Times New Roman"/>
          <w:sz w:val="24"/>
        </w:rPr>
        <w:t>1.4.3.5. DARĪJUMU AR KRĀJUMIEM NOVĒRTĒŠANA</w:t>
      </w:r>
    </w:p>
    <w:p w14:paraId="222986C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E255A1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Saistībā ar nosacītām vai kvazisabiedrības vienībām ar tirgus intervencēm saistītie darījumi nacionālajos kontos jāieraksta, piemērojot EKS 2010 4.33. un 4.35. punktu. Šie EKS punkti joprojām būtu piemērojami attiecībā uz nosacīto vai kvazisabiedrību vienību gadījumiem.</w:t>
      </w:r>
    </w:p>
    <w:p w14:paraId="69FDE23E" w14:textId="77777777" w:rsidR="00994F93" w:rsidRPr="00B03B51" w:rsidRDefault="00994F93" w:rsidP="00994F93">
      <w:pPr>
        <w:jc w:val="both"/>
        <w:rPr>
          <w:rFonts w:ascii="Times New Roman" w:eastAsia="Arial" w:hAnsi="Times New Roman" w:cs="Times New Roman"/>
          <w:noProof/>
          <w:sz w:val="24"/>
          <w:szCs w:val="25"/>
        </w:rPr>
      </w:pPr>
    </w:p>
    <w:p w14:paraId="4BDD661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Tālākpārdošanas darījuma vērtībā jāiekļauj ES subsīdija. Tādējādi izmaiņas krājumos ar laiku mēdz kompensēties. ES veiktā atmaksa atbilst starpībai starp pirkuma un tālākpārdevuma cenām, un nacionālajos kontos to atspoguļo kā ES izmaksātās subsīdijas.</w:t>
      </w:r>
    </w:p>
    <w:p w14:paraId="07A1C2EB" w14:textId="77777777" w:rsidR="00994F93" w:rsidRPr="00B03B51" w:rsidRDefault="00994F93" w:rsidP="00994F93">
      <w:pPr>
        <w:jc w:val="both"/>
        <w:rPr>
          <w:rFonts w:ascii="Times New Roman" w:eastAsia="Arial" w:hAnsi="Times New Roman" w:cs="Times New Roman"/>
          <w:noProof/>
          <w:sz w:val="24"/>
          <w:szCs w:val="17"/>
        </w:rPr>
      </w:pPr>
    </w:p>
    <w:p w14:paraId="63BF66F1"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3" w:name="1.4.3.6_Accounting_treatment_in_the_fina"/>
      <w:bookmarkEnd w:id="53"/>
      <w:r w:rsidRPr="00B03B51">
        <w:rPr>
          <w:rFonts w:ascii="Times New Roman" w:hAnsi="Times New Roman" w:cs="Times New Roman"/>
          <w:sz w:val="24"/>
        </w:rPr>
        <w:t>1.4.3.6. GRĀMATVEDĪBAS TRAKTĒJUMS FINANŠU KONTOS</w:t>
      </w:r>
    </w:p>
    <w:p w14:paraId="40DD26E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F29853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Turpmāk ir izklāstīts tas, kā finanšu kontos ierakstāma saistība starp nosacītu vai kvazisabiedrības vienību, no vienas puses, un ES un/vai valdību, no otras puses.</w:t>
      </w:r>
    </w:p>
    <w:p w14:paraId="76E7818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A60813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32. Ja piemēro </w:t>
      </w:r>
      <w:r w:rsidRPr="00B03B51">
        <w:rPr>
          <w:rFonts w:ascii="Times New Roman" w:hAnsi="Times New Roman" w:cs="Times New Roman"/>
          <w:b/>
          <w:bCs/>
          <w:sz w:val="24"/>
        </w:rPr>
        <w:t>nosacītas vienības pieeju</w:t>
      </w:r>
      <w:r w:rsidRPr="00B03B51">
        <w:rPr>
          <w:rFonts w:ascii="Times New Roman" w:hAnsi="Times New Roman" w:cs="Times New Roman"/>
          <w:sz w:val="24"/>
        </w:rPr>
        <w:t>, ierakstīšanu veic šādi: ieraksta ES pašu kapitāla iegādi (F.5), kam jāatbilst ES aizņēmumam (F.4) no subjekta, kurš finansē tirgu regulējošās aģentūras (kas nereti ir pati valdība). Tas nozīmētu pašreizējās uzskaites mainīšanu pārējās pasaules finanšu kontos.</w:t>
      </w:r>
    </w:p>
    <w:p w14:paraId="5348FF5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27915A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33. Ja piemēro </w:t>
      </w:r>
      <w:r w:rsidRPr="00B03B51">
        <w:rPr>
          <w:rFonts w:ascii="Times New Roman" w:hAnsi="Times New Roman" w:cs="Times New Roman"/>
          <w:b/>
          <w:bCs/>
          <w:sz w:val="24"/>
        </w:rPr>
        <w:t>kvazisabiedrības pieeju</w:t>
      </w:r>
      <w:r w:rsidRPr="00B03B51">
        <w:rPr>
          <w:rFonts w:ascii="Times New Roman" w:hAnsi="Times New Roman" w:cs="Times New Roman"/>
          <w:sz w:val="24"/>
        </w:rPr>
        <w:t>, pārējās pasaules kontos ierakstus neveic, jo darījumiem ar pašu kapitālu kvazisabiedrības saistību pusē ir ekvivalents ieraksts valdības kontos.</w:t>
      </w:r>
    </w:p>
    <w:p w14:paraId="6A3FBDF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A66BB7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34. Tādējādi abos gadījumos neto izmaiņas krājumos, kurus </w:t>
      </w:r>
      <w:r w:rsidRPr="00B03B51">
        <w:rPr>
          <w:rFonts w:ascii="Times New Roman" w:hAnsi="Times New Roman" w:cs="Times New Roman"/>
          <w:i/>
          <w:iCs/>
          <w:sz w:val="24"/>
        </w:rPr>
        <w:t>de facto</w:t>
      </w:r>
      <w:r w:rsidRPr="00B03B51">
        <w:rPr>
          <w:rFonts w:ascii="Times New Roman" w:hAnsi="Times New Roman" w:cs="Times New Roman"/>
          <w:sz w:val="24"/>
        </w:rPr>
        <w:t xml:space="preserve"> finansējis valdības sektorā esošs subjekts (aizņemoties no trešām pusēm vai izmantojot savus apgrozāmos līdzekļus), ieraksta vispārējās valdības finanšu kontos, nevis nefinanšu kontos, kā citkārt būtu jārīkojas šajā gadījumā (saskaņā ar izmaiņām krājumos – P.52) vai nu kā darījumu ar pašu kapitālu (F.5 – kvazisabiedrības gadījumā), vai kā aizdevumus ES (F.4 – nosacītas vienības gadījumā).</w:t>
      </w:r>
    </w:p>
    <w:p w14:paraId="42319F5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4B9A1E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Teorētiska nosacītas vienības priekšrocība salīdzinājumā ar kvazisabiedrību ir ES patieso ekonomisko īpašumtiesību atspoguļošana. Tomēr galvenais nosacītas vienības pieejas trūkums ir tas, ka ieraksti jāveic pārējās pasaules (</w:t>
      </w:r>
      <w:r w:rsidRPr="00B03B51">
        <w:rPr>
          <w:rFonts w:ascii="Times New Roman" w:hAnsi="Times New Roman" w:cs="Times New Roman"/>
          <w:i/>
          <w:iCs/>
          <w:sz w:val="24"/>
        </w:rPr>
        <w:t>RoW</w:t>
      </w:r>
      <w:r w:rsidRPr="00B03B51">
        <w:rPr>
          <w:rFonts w:ascii="Times New Roman" w:hAnsi="Times New Roman" w:cs="Times New Roman"/>
          <w:sz w:val="24"/>
        </w:rPr>
        <w:t>) finanšu kontos, kuri pat nepastāv, ja regulējošās institūcijas vienību vispirms klasificē ārpus vispārējās valdības. Tādējādi šķiet, ka nosacītas rezidentvienības pieeja rada acīmredzami nevienlīdzīgu traktējumu starp tām tirgu regulējošajām institūcijām, kuras ir klasificētas vispārējā valdībā, un tām tirgu regulējošajām institūcijām, kuras ir klasificētas ārpus vispārējās valdības. Tas, šķiet, ir pretrunā nepieciešamībai nodrošināt vienveidīgu traktējumu visās ES dalībvalstīs.</w:t>
      </w:r>
    </w:p>
    <w:p w14:paraId="608596C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FF5308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Turklāt ar subsīdijām vēl nesegtu krājumu tirgus vērtības izmaiņu ietekme visticamāk būs maza un īslaicīga un pēc noteikta laika vidēji būs vienāda ar nulli. Šajā saistībā var būt apšaubāms, vai ir lietderīgi piesaistīt ES valsts aizdevumu un vienlaikus ES finansēt krājumus.</w:t>
      </w:r>
    </w:p>
    <w:p w14:paraId="7C543AC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660E9D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Visbeidzot ir jāatgādina, ka tādas uzskaites stingra ievērošana, kas atspoguļo ekonomisko īpašumtiesību maiņu, netieši nozīmē importa un eksporta uzskaiti, kas netiek uzskatīta par īpaši </w:t>
      </w:r>
      <w:r w:rsidRPr="00B03B51">
        <w:rPr>
          <w:rFonts w:ascii="Times New Roman" w:hAnsi="Times New Roman" w:cs="Times New Roman"/>
          <w:sz w:val="24"/>
        </w:rPr>
        <w:lastRenderedPageBreak/>
        <w:t>lietderīgu analīzes vajadzībām (maksājumu bilances nolūkiem). Tomēr var norādīt, ka abas iespējas vienādi ietekmē valdības neto aizdevumu/aizņēmumu un parādu.</w:t>
      </w:r>
    </w:p>
    <w:p w14:paraId="0EF7EACC" w14:textId="77777777" w:rsidR="00994F93" w:rsidRPr="00B03B51" w:rsidRDefault="00994F93" w:rsidP="00994F93">
      <w:pPr>
        <w:jc w:val="both"/>
        <w:rPr>
          <w:rFonts w:ascii="Times New Roman" w:eastAsia="Arial" w:hAnsi="Times New Roman" w:cs="Times New Roman"/>
          <w:noProof/>
          <w:sz w:val="24"/>
          <w:szCs w:val="16"/>
        </w:rPr>
      </w:pPr>
    </w:p>
    <w:p w14:paraId="57F75A17"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4" w:name="1.4.3.7_‘Shell’_treatment"/>
      <w:bookmarkEnd w:id="54"/>
      <w:r w:rsidRPr="00B03B51">
        <w:rPr>
          <w:rFonts w:ascii="Times New Roman" w:hAnsi="Times New Roman" w:cs="Times New Roman"/>
          <w:sz w:val="24"/>
        </w:rPr>
        <w:t>1.4.3.7. “ČAULAS” TRAKTĒJUMS</w:t>
      </w:r>
    </w:p>
    <w:p w14:paraId="4748173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3AFAAA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Gadījumos, kad nosacītu vienību vai kvazisabiedrību uzskata par “čaulu”, nacionālajos kontos vienkāršības labad pieņem, ka tā tikai tur krājumus un kārto darījumus ar tiem, finanšu kontos veicot atbilstošu ierakstu: pašu kapitāla saistības. “Čaulas” pieeja nozīmē arī to, ka netiks ierakstīta nekāda atkārtoti ieguldītā peļņa.</w:t>
      </w:r>
    </w:p>
    <w:p w14:paraId="7532339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1F2E64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Pastāv arī cita iespēja, proti, šīs vienības var uzskatīt par pilnīgākiem subjektiem, atspoguļojot pilnīgāku nacionālo kontu secību, piemēram, iegūstot peļņu un radot izmaksas.</w:t>
      </w:r>
    </w:p>
    <w:p w14:paraId="7E79F0E9" w14:textId="77777777" w:rsidR="00994F93" w:rsidRPr="00B03B51" w:rsidRDefault="00994F93" w:rsidP="00994F93">
      <w:pPr>
        <w:jc w:val="both"/>
        <w:rPr>
          <w:rFonts w:ascii="Times New Roman" w:eastAsia="Arial" w:hAnsi="Times New Roman" w:cs="Times New Roman"/>
          <w:noProof/>
          <w:sz w:val="24"/>
          <w:szCs w:val="16"/>
        </w:rPr>
      </w:pPr>
    </w:p>
    <w:p w14:paraId="271C0BCA"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bookmarkStart w:id="55" w:name="1.4.3.8_Time_of_recording_of_the_subsidy"/>
      <w:bookmarkEnd w:id="55"/>
      <w:r w:rsidRPr="00B03B51">
        <w:rPr>
          <w:rFonts w:ascii="Times New Roman" w:hAnsi="Times New Roman" w:cs="Times New Roman"/>
          <w:sz w:val="24"/>
        </w:rPr>
        <w:t>1.4.3.8. SUBSĪDIJAS IERAKSTĪŠANAS LAIKS</w:t>
      </w:r>
    </w:p>
    <w:p w14:paraId="79FD02A5" w14:textId="77777777" w:rsidR="00994F93" w:rsidRPr="00B03B51" w:rsidRDefault="00994F93" w:rsidP="00994F93">
      <w:pPr>
        <w:tabs>
          <w:tab w:val="left" w:pos="840"/>
        </w:tabs>
        <w:jc w:val="both"/>
        <w:rPr>
          <w:rFonts w:ascii="Times New Roman" w:hAnsi="Times New Roman" w:cs="Times New Roman"/>
          <w:noProof/>
          <w:sz w:val="24"/>
        </w:rPr>
      </w:pPr>
    </w:p>
    <w:p w14:paraId="7A5B71F8"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40. EKS 2010 4.39. punkta a) apakšpunktā ir noteikts, ka </w:t>
      </w:r>
      <w:r w:rsidRPr="00B03B51">
        <w:rPr>
          <w:rFonts w:ascii="Times New Roman" w:hAnsi="Times New Roman" w:cs="Times New Roman"/>
          <w:i/>
          <w:iCs/>
          <w:sz w:val="24"/>
        </w:rPr>
        <w:t>subsīdijas, kas veidojas kā starpība starp pirkuma cenu un valdības noteikto pārdošanas cenu, ieraksta tad, kad aģentūra preces nopērk</w:t>
      </w:r>
      <w:r w:rsidRPr="00B03B51">
        <w:rPr>
          <w:rFonts w:ascii="Times New Roman" w:hAnsi="Times New Roman" w:cs="Times New Roman"/>
          <w:sz w:val="24"/>
        </w:rPr>
        <w:t>.</w:t>
      </w:r>
    </w:p>
    <w:p w14:paraId="2130250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F08CFE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41. Ja laika posmā </w:t>
      </w:r>
      <w:r w:rsidRPr="00B03B51">
        <w:rPr>
          <w:rFonts w:ascii="Times New Roman" w:hAnsi="Times New Roman" w:cs="Times New Roman"/>
          <w:i/>
          <w:iCs/>
          <w:sz w:val="24"/>
        </w:rPr>
        <w:t>T</w:t>
      </w:r>
      <w:r w:rsidRPr="00B03B51">
        <w:rPr>
          <w:rFonts w:ascii="Times New Roman" w:hAnsi="Times New Roman" w:cs="Times New Roman"/>
          <w:sz w:val="24"/>
        </w:rPr>
        <w:t xml:space="preserve"> aģentūra pērk produktu par 120 vienībām un laika posmā </w:t>
      </w:r>
      <w:r w:rsidRPr="00B03B51">
        <w:rPr>
          <w:rFonts w:ascii="Times New Roman" w:hAnsi="Times New Roman" w:cs="Times New Roman"/>
          <w:i/>
          <w:iCs/>
          <w:sz w:val="24"/>
        </w:rPr>
        <w:t>T+1</w:t>
      </w:r>
      <w:r w:rsidRPr="00B03B51">
        <w:rPr>
          <w:rFonts w:ascii="Times New Roman" w:hAnsi="Times New Roman" w:cs="Times New Roman"/>
          <w:sz w:val="24"/>
        </w:rPr>
        <w:t xml:space="preserve"> pārdod to tālāk par 100 vienībām, subsīdiju attiecībā uz produktu ieraksta laika posmā </w:t>
      </w:r>
      <w:r w:rsidRPr="00B03B51">
        <w:rPr>
          <w:rFonts w:ascii="Times New Roman" w:hAnsi="Times New Roman" w:cs="Times New Roman"/>
          <w:i/>
          <w:iCs/>
          <w:sz w:val="24"/>
        </w:rPr>
        <w:t>T</w:t>
      </w:r>
      <w:r w:rsidRPr="00B03B51">
        <w:rPr>
          <w:rFonts w:ascii="Times New Roman" w:hAnsi="Times New Roman" w:cs="Times New Roman"/>
          <w:sz w:val="24"/>
        </w:rPr>
        <w:t xml:space="preserve">. Tādā gadījumā laika posmā </w:t>
      </w:r>
      <w:r w:rsidRPr="00B03B51">
        <w:rPr>
          <w:rFonts w:ascii="Times New Roman" w:hAnsi="Times New Roman" w:cs="Times New Roman"/>
          <w:i/>
          <w:iCs/>
          <w:sz w:val="24"/>
        </w:rPr>
        <w:t>T</w:t>
      </w:r>
      <w:r w:rsidRPr="00B03B51">
        <w:rPr>
          <w:rFonts w:ascii="Times New Roman" w:hAnsi="Times New Roman" w:cs="Times New Roman"/>
          <w:sz w:val="24"/>
        </w:rPr>
        <w:t xml:space="preserve"> lauksaimnieku (S14/S11) produkcijas cena ir120 vienības, IKP ir 100 vienības, bet pārmaiņas krājumos ir +100 vienības. Laika posmā </w:t>
      </w:r>
      <w:r w:rsidRPr="00B03B51">
        <w:rPr>
          <w:rFonts w:ascii="Times New Roman" w:hAnsi="Times New Roman" w:cs="Times New Roman"/>
          <w:i/>
          <w:iCs/>
          <w:sz w:val="24"/>
        </w:rPr>
        <w:t>T+1</w:t>
      </w:r>
      <w:r w:rsidRPr="00B03B51">
        <w:rPr>
          <w:rFonts w:ascii="Times New Roman" w:hAnsi="Times New Roman" w:cs="Times New Roman"/>
          <w:sz w:val="24"/>
        </w:rPr>
        <w:t xml:space="preserve"> lauksaimnieku produkcijas izlaide ir 0, IKP ir 0, gala patēriņš ir 100 vienības un izmaiņas krājumos ir -100 vienības.</w:t>
      </w:r>
    </w:p>
    <w:p w14:paraId="201D061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47FA88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42. Taču EKS 2010 4.39. punkta a) apakšpunktā konkrēti norādīts: </w:t>
      </w:r>
      <w:r w:rsidRPr="00B03B51">
        <w:rPr>
          <w:rFonts w:ascii="Times New Roman" w:hAnsi="Times New Roman" w:cs="Times New Roman"/>
          <w:i/>
          <w:iCs/>
          <w:sz w:val="24"/>
        </w:rPr>
        <w:t>ja pārdošanas cena ir zināma tajā laikā</w:t>
      </w:r>
      <w:r w:rsidRPr="00B03B51">
        <w:rPr>
          <w:rFonts w:ascii="Times New Roman" w:hAnsi="Times New Roman" w:cs="Times New Roman"/>
          <w:sz w:val="24"/>
        </w:rPr>
        <w:t xml:space="preserve">, un tieši tas ir jāizskaidro. Tālākpārdošanas cena </w:t>
      </w:r>
      <w:r w:rsidRPr="00B03B51">
        <w:rPr>
          <w:rFonts w:ascii="Times New Roman" w:hAnsi="Times New Roman" w:cs="Times New Roman"/>
          <w:i/>
          <w:iCs/>
          <w:sz w:val="24"/>
        </w:rPr>
        <w:t>a priori</w:t>
      </w:r>
      <w:r w:rsidRPr="00B03B51">
        <w:rPr>
          <w:rFonts w:ascii="Times New Roman" w:hAnsi="Times New Roman" w:cs="Times New Roman"/>
          <w:sz w:val="24"/>
        </w:rPr>
        <w:t xml:space="preserve"> kopumā nav iepriekš zināma. Taču paredzamā cena var būt zināma; pieņemsim, ka minētajā piemērā tā bija 106 vienības. Tādā gadījumā vienīgais neparedzētais elements ir 6 (=20-14).</w:t>
      </w:r>
    </w:p>
    <w:p w14:paraId="007011E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66C088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Iepriekš minētā atsauce uz EKS 2010 iekļauta ar nolūku ir izvairīties no turēšanas guvumu/zaudējumu iekļaušanas ražošanas kontā. Produkcijā vajadzētu iekļaut tikai to daļu, kuru shēmā ir paredzēts finansēt. Taču vienlaikus lauksaimniecības tirgu regulējošu aģentūru gadījumā lauksaimnieki vai aģentūra neuzņemsies nekādu turēšanas guvumu un zaudējumus, proti, visas cenu izmaiņas beigās uzņemsies ES.</w:t>
      </w:r>
    </w:p>
    <w:p w14:paraId="59914BE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619250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44. Visbeidzot, preču pārdošanas cena līdz </w:t>
      </w:r>
      <w:r w:rsidRPr="00B03B51">
        <w:rPr>
          <w:rFonts w:ascii="Times New Roman" w:hAnsi="Times New Roman" w:cs="Times New Roman"/>
          <w:i/>
          <w:iCs/>
          <w:sz w:val="24"/>
        </w:rPr>
        <w:t>T</w:t>
      </w:r>
      <w:r w:rsidRPr="00B03B51">
        <w:rPr>
          <w:rFonts w:ascii="Times New Roman" w:hAnsi="Times New Roman" w:cs="Times New Roman"/>
          <w:sz w:val="24"/>
        </w:rPr>
        <w:t xml:space="preserve"> gada beigām var būt nokritusies līdz 102. Tā būs krājumu vērtība, kuru ieraksta bilancē laika posma </w:t>
      </w:r>
      <w:r w:rsidRPr="00B03B51">
        <w:rPr>
          <w:rFonts w:ascii="Times New Roman" w:hAnsi="Times New Roman" w:cs="Times New Roman"/>
          <w:i/>
          <w:iCs/>
          <w:sz w:val="24"/>
        </w:rPr>
        <w:t>T</w:t>
      </w:r>
      <w:r w:rsidRPr="00B03B51">
        <w:rPr>
          <w:rFonts w:ascii="Times New Roman" w:hAnsi="Times New Roman" w:cs="Times New Roman"/>
          <w:sz w:val="24"/>
        </w:rPr>
        <w:t xml:space="preserve"> beigās.</w:t>
      </w:r>
    </w:p>
    <w:p w14:paraId="7DAE1DA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BB5BFD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45. Ja EKS 2010 4.39. punkta a) apakšpunkts attiecināms arī uz gadījumiem, kuros pārdošanas cena būs zināma tikai nākamajā periodā, tad aģentūra kā subsīdiju </w:t>
      </w:r>
      <w:r w:rsidRPr="00B03B51">
        <w:rPr>
          <w:rFonts w:ascii="Times New Roman" w:hAnsi="Times New Roman" w:cs="Times New Roman"/>
          <w:i/>
          <w:iCs/>
          <w:sz w:val="24"/>
        </w:rPr>
        <w:t>T</w:t>
      </w:r>
      <w:r w:rsidRPr="00B03B51">
        <w:rPr>
          <w:rFonts w:ascii="Times New Roman" w:hAnsi="Times New Roman" w:cs="Times New Roman"/>
          <w:sz w:val="24"/>
        </w:rPr>
        <w:t xml:space="preserve"> periodā (līdztekus debitora parāda iegūšanai) ieraksta kādu no šīm summām:</w:t>
      </w:r>
    </w:p>
    <w:p w14:paraId="268E030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1164463" w14:textId="77777777" w:rsidR="00994F93" w:rsidRPr="00B03B51" w:rsidRDefault="00994F93" w:rsidP="004C2057">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 risinājums – faktisko </w:t>
      </w:r>
      <w:r w:rsidRPr="00B03B51">
        <w:rPr>
          <w:rFonts w:ascii="Times New Roman" w:hAnsi="Times New Roman" w:cs="Times New Roman"/>
          <w:i/>
          <w:iCs/>
          <w:sz w:val="24"/>
        </w:rPr>
        <w:t>T+1</w:t>
      </w:r>
      <w:r w:rsidRPr="00B03B51">
        <w:rPr>
          <w:rFonts w:ascii="Times New Roman" w:hAnsi="Times New Roman" w:cs="Times New Roman"/>
          <w:sz w:val="24"/>
        </w:rPr>
        <w:t xml:space="preserve"> periodā novēroto summu (20) vai</w:t>
      </w:r>
    </w:p>
    <w:p w14:paraId="3E4A4994" w14:textId="77777777" w:rsidR="00994F93" w:rsidRPr="00B03B51" w:rsidRDefault="00994F93" w:rsidP="004C2057">
      <w:pPr>
        <w:pStyle w:val="BodyText"/>
        <w:spacing w:before="0"/>
        <w:ind w:left="0" w:firstLine="0"/>
        <w:jc w:val="both"/>
        <w:rPr>
          <w:rFonts w:ascii="Times New Roman" w:hAnsi="Times New Roman" w:cs="Times New Roman"/>
          <w:noProof/>
          <w:sz w:val="24"/>
        </w:rPr>
      </w:pPr>
    </w:p>
    <w:p w14:paraId="42F594C6" w14:textId="77777777" w:rsidR="00994F93" w:rsidRPr="00B03B51" w:rsidRDefault="00994F93" w:rsidP="004C2057">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risinājums – gaidāmo </w:t>
      </w:r>
      <w:r w:rsidRPr="00B03B51">
        <w:rPr>
          <w:rFonts w:ascii="Times New Roman" w:hAnsi="Times New Roman" w:cs="Times New Roman"/>
          <w:i/>
          <w:iCs/>
          <w:sz w:val="24"/>
        </w:rPr>
        <w:t>T</w:t>
      </w:r>
      <w:r w:rsidRPr="00B03B51">
        <w:rPr>
          <w:rFonts w:ascii="Times New Roman" w:hAnsi="Times New Roman" w:cs="Times New Roman"/>
          <w:sz w:val="24"/>
        </w:rPr>
        <w:t xml:space="preserve"> periodā novēroto summu (14), vai</w:t>
      </w:r>
    </w:p>
    <w:p w14:paraId="625939E2" w14:textId="77777777" w:rsidR="00994F93" w:rsidRPr="00B03B51" w:rsidRDefault="00994F93" w:rsidP="004C2057">
      <w:pPr>
        <w:pStyle w:val="BodyText"/>
        <w:spacing w:before="0"/>
        <w:ind w:left="0" w:firstLine="0"/>
        <w:jc w:val="both"/>
        <w:rPr>
          <w:rFonts w:ascii="Times New Roman" w:hAnsi="Times New Roman" w:cs="Times New Roman"/>
          <w:noProof/>
          <w:sz w:val="24"/>
        </w:rPr>
      </w:pPr>
    </w:p>
    <w:p w14:paraId="140E77A9" w14:textId="77777777" w:rsidR="00994F93" w:rsidRPr="00B03B51" w:rsidRDefault="00994F93" w:rsidP="004C2057">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3. risinājums – summu, kas atspoguļo gada beigās novēroto tirgus cenu (18).</w:t>
      </w:r>
    </w:p>
    <w:p w14:paraId="0A1138B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1BA297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46. Pirmā risinājuma (1.) gadījumā uzskaite ir vienkārša, taču tā nozīmē, ka dati jāpārskata, tiklīdz informācija kļūst pakāpeniski pieejama (jo īpaši attiecībā uz ceturkšņa datiem). Otrā (2.) </w:t>
      </w:r>
      <w:r w:rsidRPr="00B03B51">
        <w:rPr>
          <w:rFonts w:ascii="Times New Roman" w:hAnsi="Times New Roman" w:cs="Times New Roman"/>
          <w:sz w:val="24"/>
        </w:rPr>
        <w:lastRenderedPageBreak/>
        <w:t xml:space="preserve">un trešā (3.) risinājuma gadījumā rodas jautājums par </w:t>
      </w:r>
      <w:r w:rsidRPr="00B03B51">
        <w:rPr>
          <w:rFonts w:ascii="Times New Roman" w:hAnsi="Times New Roman" w:cs="Times New Roman"/>
          <w:i/>
          <w:iCs/>
          <w:sz w:val="24"/>
        </w:rPr>
        <w:t>T+1</w:t>
      </w:r>
      <w:r w:rsidRPr="00B03B51">
        <w:rPr>
          <w:rFonts w:ascii="Times New Roman" w:hAnsi="Times New Roman" w:cs="Times New Roman"/>
          <w:sz w:val="24"/>
        </w:rPr>
        <w:t xml:space="preserve"> perioda starpības ierakstīšanu, proti, vai tā ierakstāma kā 6 (=20-14), vai arī kā 2 (=20-18). Viena pieeja ir iekļaut šīs plūsmas finanšu kontu pārvērtēšanas kontos (tādējādi ierakstot subsīdijas kā paredzamās subsīdijas), kas šķiet sarežģīti. Saskaņā ar citu pieeju ražošanas subsīdiju </w:t>
      </w:r>
      <w:r w:rsidRPr="00B03B51">
        <w:rPr>
          <w:rFonts w:ascii="Times New Roman" w:hAnsi="Times New Roman" w:cs="Times New Roman"/>
          <w:i/>
          <w:iCs/>
          <w:sz w:val="24"/>
        </w:rPr>
        <w:t>T+1</w:t>
      </w:r>
      <w:r w:rsidRPr="00B03B51">
        <w:rPr>
          <w:rFonts w:ascii="Times New Roman" w:hAnsi="Times New Roman" w:cs="Times New Roman"/>
          <w:sz w:val="24"/>
        </w:rPr>
        <w:t xml:space="preserve"> periodā var ierakstīt attiecībā uz atlikumu (kas var būt pozitīvs vai negatīvs), saskaņojot to ar ierakstu par izmaiņām krājumos (lai gan tas var šķist samāksloti). Šādi rīkojoties, 2. risinājuma gadījumā ieraksts pārvērtēšanas kontā attiecībā uz nefinanšu aktīviem parādās (+4=6-(20-18)=(20-14)-(20-18)=18-14)) </w:t>
      </w:r>
      <w:r w:rsidRPr="00B03B51">
        <w:rPr>
          <w:rFonts w:ascii="Times New Roman" w:hAnsi="Times New Roman" w:cs="Times New Roman"/>
          <w:i/>
          <w:iCs/>
          <w:sz w:val="24"/>
        </w:rPr>
        <w:t>T+1</w:t>
      </w:r>
      <w:r w:rsidRPr="00B03B51">
        <w:rPr>
          <w:rFonts w:ascii="Times New Roman" w:hAnsi="Times New Roman" w:cs="Times New Roman"/>
          <w:sz w:val="24"/>
        </w:rPr>
        <w:t xml:space="preserve"> periodā, kompensējot turēšanas zaudējumus, kas radušies </w:t>
      </w:r>
      <w:r w:rsidRPr="00B03B51">
        <w:rPr>
          <w:rFonts w:ascii="Times New Roman" w:hAnsi="Times New Roman" w:cs="Times New Roman"/>
          <w:i/>
          <w:iCs/>
          <w:sz w:val="24"/>
        </w:rPr>
        <w:t>T</w:t>
      </w:r>
      <w:r w:rsidRPr="00B03B51">
        <w:rPr>
          <w:rFonts w:ascii="Times New Roman" w:hAnsi="Times New Roman" w:cs="Times New Roman"/>
          <w:sz w:val="24"/>
        </w:rPr>
        <w:t xml:space="preserve"> periodā (-4=14-18).</w:t>
      </w:r>
    </w:p>
    <w:p w14:paraId="6DD5714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 Trešā (3.) risinājuma gadījumā nenotiek nekāda pārvērtēšana ne attiecībā uz </w:t>
      </w:r>
      <w:r w:rsidRPr="00B03B51">
        <w:rPr>
          <w:rFonts w:ascii="Times New Roman" w:hAnsi="Times New Roman" w:cs="Times New Roman"/>
          <w:i/>
          <w:iCs/>
          <w:sz w:val="24"/>
        </w:rPr>
        <w:t>T+1</w:t>
      </w:r>
      <w:r w:rsidRPr="00B03B51">
        <w:rPr>
          <w:rFonts w:ascii="Times New Roman" w:hAnsi="Times New Roman" w:cs="Times New Roman"/>
          <w:sz w:val="24"/>
        </w:rPr>
        <w:t xml:space="preserve">, ne </w:t>
      </w:r>
      <w:r w:rsidRPr="00B03B51">
        <w:rPr>
          <w:rFonts w:ascii="Times New Roman" w:hAnsi="Times New Roman" w:cs="Times New Roman"/>
          <w:i/>
          <w:iCs/>
          <w:sz w:val="24"/>
        </w:rPr>
        <w:t>T</w:t>
      </w:r>
      <w:r w:rsidRPr="00B03B51">
        <w:rPr>
          <w:rFonts w:ascii="Times New Roman" w:hAnsi="Times New Roman" w:cs="Times New Roman"/>
          <w:sz w:val="24"/>
        </w:rPr>
        <w:t xml:space="preserve"> periodu. Jānorāda, ka 3. risinājuma gadījumā kvazisabiedrības neto vērtība vienmēr ir vienāda ar nulli. Pirmā un otrā risinājuma gadījumā neto vērtība novirzās no nulles gan pozitīvām, gan negatīvām summām, taču tikai ierobežotos laikposmos.</w:t>
      </w:r>
    </w:p>
    <w:p w14:paraId="30688438"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34A52BE4" w14:textId="77777777" w:rsidR="00994F93" w:rsidRPr="00B03B51" w:rsidRDefault="00994F93" w:rsidP="00994F93">
      <w:pPr>
        <w:jc w:val="both"/>
        <w:rPr>
          <w:rFonts w:ascii="Times New Roman" w:eastAsia="Arial" w:hAnsi="Times New Roman" w:cs="Times New Roman"/>
          <w:noProof/>
          <w:sz w:val="24"/>
          <w:szCs w:val="20"/>
        </w:rPr>
      </w:pPr>
    </w:p>
    <w:p w14:paraId="3F91919C"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56" w:name="1.5._Units_engaged_in_financial_activiti"/>
      <w:bookmarkStart w:id="57" w:name="_bookmark5"/>
      <w:bookmarkStart w:id="58" w:name="_Toc67565032"/>
      <w:bookmarkEnd w:id="56"/>
      <w:bookmarkEnd w:id="57"/>
      <w:r w:rsidRPr="00B03B51">
        <w:rPr>
          <w:rFonts w:ascii="Times New Roman" w:hAnsi="Times New Roman" w:cs="Times New Roman"/>
          <w:sz w:val="28"/>
          <w:szCs w:val="44"/>
        </w:rPr>
        <w:t>1.5. Vienības, kas veic finansiālās darbības – vispārīgi jautājumi</w:t>
      </w:r>
      <w:bookmarkEnd w:id="58"/>
    </w:p>
    <w:p w14:paraId="4E8BE7F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84E9D7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nodaļā apspriests tas, vai noteiktu veidu publiskās vienības (proti, kuras kontrolē valdība), kuras veic finanšu darbības, t. i., kas darbojas ar diversificētiem finanšu instrumentiem bilances abās pusēs, jāklasificē vispārējās valdības sektorā (S.13) vai kā publiskas finanšu sabiedrības finanšu sabiedrību sektorā (S.12) (skat. finanšu sabiedrību vispārējo definīciju EKS 2010 2.55. un 2.56. punktā).</w:t>
      </w:r>
    </w:p>
    <w:p w14:paraId="2AFC851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489FA6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Vienības, kas nodarbojas galvenokārt ar EKS 2010 2.56.–2.58. punktā noteikto finanšu starpniecību, klasificē vienā no šiem apakšsektoriem: centrālā banka (S.121), noguldījumus pieņemošas sabiedrības, izņemot centrālo banku (S.122), naudas tirgus fondi (S.123), ieguldījumu fondi, kas nav naudas tirgus fondi (S.124), citi finanšu starpnieki, izņemot apdrošināšanas sabiedrības un pensiju fondus (S.125), apdrošināšanas sabiedrības (S.128) un pensiju fondi (S.129).</w:t>
      </w:r>
    </w:p>
    <w:p w14:paraId="2C5711D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3550EB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Vienības, kas nodarbojas ar finanšu palīgdarbībām, kas noteiktas EKS 2010 2.63. punktā, klasificē finanšu palīgsabiedrību apakšsektorā (S.126). Ieteicams piesaistošās finanšu iestādes, kas noteiktas EKS 2010 2.21.–2.23. punktā un EKS 2010 2.98.–2.99. punktā, klasificēt piesaistošo finanšu iestāžu un naudas aizdevēju apakšsektorā (S.127).</w:t>
      </w:r>
    </w:p>
    <w:p w14:paraId="112294F8" w14:textId="77777777" w:rsidR="00994F93" w:rsidRPr="00B03B51" w:rsidRDefault="00994F93" w:rsidP="00994F93">
      <w:pPr>
        <w:jc w:val="both"/>
        <w:rPr>
          <w:rFonts w:ascii="Times New Roman" w:eastAsia="Arial" w:hAnsi="Times New Roman" w:cs="Times New Roman"/>
          <w:noProof/>
          <w:sz w:val="24"/>
          <w:szCs w:val="20"/>
        </w:rPr>
      </w:pPr>
    </w:p>
    <w:p w14:paraId="76B9A5B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Uzraudzības iestādes</w:t>
      </w:r>
    </w:p>
    <w:p w14:paraId="4B164899" w14:textId="77777777" w:rsidR="00994F93" w:rsidRPr="00B03B51" w:rsidRDefault="00994F93" w:rsidP="00994F93">
      <w:pPr>
        <w:jc w:val="both"/>
        <w:rPr>
          <w:rFonts w:ascii="Times New Roman" w:eastAsia="Arial" w:hAnsi="Times New Roman" w:cs="Times New Roman"/>
          <w:b/>
          <w:bCs/>
          <w:noProof/>
          <w:sz w:val="24"/>
          <w:szCs w:val="21"/>
        </w:rPr>
      </w:pPr>
    </w:p>
    <w:p w14:paraId="30EBF29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Saskaņā ar EKS 2010, ja finanšu starpnieku un finanšu tirgu uzraudzības iestādes ir atsevišķas institucionālas vienības, tās klasificē finanšu palīgsabiedrību apakšsektorā (S.126). Proti, ar banku uzraudzību un, iespējams, arī ar apdrošināšanas un pensiju uzraudzību saistītus uzdevumus bieži vien veic valsts centrālā banka. Tā tas ir eiro zonā un citās ES dalībvalstīs, kas ir vienotā uzraudzības mehānisma dalībnieces, kur nozīmīgākās banku iestādes kopš 2014. gada novembra tieši uzrauga ECB. Finanšu tirgu (un citu saistīto darbību) uzraudzību kopumā veic īpašas iestādes un dažkārt Finanšu ministrija.</w:t>
      </w:r>
    </w:p>
    <w:p w14:paraId="66C58E7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3F7A41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Galvenais jautājums ir izlemt, vai šos uzdevumus veic autonomi un nošķir no uzņēmējas/mātessabiedrības, t. i., vai tos veic atsevišķa institucionālā vienība saskaņā ar vispārējo EKS 2010 definīciju. Jo īpaši ir jānovērtē, vai uzraudzības iestāžu regulējošās institūcijas drīkst pieņemt lēmumus pilnīgi neatkarīgi no valdības struktūrām jeb, vispārinot, no uzņēmējas vienības (piemēram, vai centrālās bankas gadījumā starp lēmumu pieņemšanu uzraudzības un monetārās politikas jomā pastāv “Ķīnas mūris”). Svarīga iezīme ir arī no pašu resursiem veidota autonoma budžeta esamība. Ja šie nosacījumi nav izpildīti, subjektu nevar uzskatīt par autonomu un tas jāiekļauj uzņēmējas/mātes vienībā.</w:t>
      </w:r>
    </w:p>
    <w:p w14:paraId="0E5E713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82A8F5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Kopumā finanšu iestādēm ir jāieveic iemaksas uzraudzības iestāžu kontos. Šajā gadījumā uzskatāms, ka uzraudzības iestādes sniedz pakalpojumus vienībām, kuras tiek uzraudzītas. Uzraudzības iestāžu sniegtie pakalpojumi vairo klientu/akcionāru uzticību, uzlabo vadības kvalitāti un veicina uzraudzīto finanšu institūciju rentabilitāti un attīstību. Uzraudzīto vienību īpašnieki arī gūst labumu no šīs uzraudzības, jo īpaši bankas, kur ir svarīgi izpildīt noteikumus par maksātspējas nodrošināšanu. Lai arī šīs iemaksas ir obligātas un noteiktas ar likumu vai cita veida noteikumiem, tās ir uzskatāmas par kompensāciju par pakalpojumu un tādējādi klasificējamas saskaņā ar EKS 2010 kā maksājumi par ārpustirgus produkciju (P.131), ar nosacījumu, ka tās ir noteiktas vispārējā līmenī, sedzot uzraudzības izmaksas.</w:t>
      </w:r>
      <w:r w:rsidRPr="00B03B51">
        <w:rPr>
          <w:rStyle w:val="FootnoteReference"/>
          <w:rFonts w:ascii="Times New Roman" w:hAnsi="Times New Roman" w:cs="Times New Roman"/>
          <w:noProof/>
          <w:sz w:val="24"/>
        </w:rPr>
        <w:footnoteReference w:id="67"/>
      </w:r>
      <w:r w:rsidRPr="00B03B51">
        <w:rPr>
          <w:rFonts w:ascii="Times New Roman" w:hAnsi="Times New Roman" w:cs="Times New Roman"/>
          <w:sz w:val="24"/>
        </w:rPr>
        <w:t xml:space="preserve"> Parasti tā arī ir, </w:t>
      </w:r>
      <w:r w:rsidRPr="00B03B51">
        <w:rPr>
          <w:rFonts w:ascii="Times New Roman" w:hAnsi="Times New Roman" w:cs="Times New Roman"/>
          <w:sz w:val="24"/>
        </w:rPr>
        <w:lastRenderedPageBreak/>
        <w:t>jo šādas uzraudzības iestādes nepārvalda īpašus fondus un neuzkrāj rezerves.</w:t>
      </w:r>
      <w:r w:rsidRPr="00B03B51">
        <w:rPr>
          <w:rStyle w:val="FootnoteReference"/>
          <w:rFonts w:ascii="Times New Roman" w:hAnsi="Times New Roman" w:cs="Times New Roman"/>
          <w:noProof/>
          <w:sz w:val="24"/>
        </w:rPr>
        <w:footnoteReference w:id="68"/>
      </w:r>
    </w:p>
    <w:p w14:paraId="73CAE60F" w14:textId="77777777" w:rsidR="00994F93" w:rsidRPr="00B03B51" w:rsidRDefault="00994F93" w:rsidP="00994F93">
      <w:pPr>
        <w:jc w:val="both"/>
        <w:rPr>
          <w:rFonts w:ascii="Times New Roman" w:hAnsi="Times New Roman" w:cs="Times New Roman"/>
          <w:noProof/>
          <w:sz w:val="24"/>
        </w:rPr>
      </w:pPr>
    </w:p>
    <w:p w14:paraId="49E8B04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Nacionālie aizsardzības fondi</w:t>
      </w:r>
    </w:p>
    <w:p w14:paraId="7EBF841B" w14:textId="77777777" w:rsidR="00994F93" w:rsidRPr="00B03B51" w:rsidRDefault="00994F93" w:rsidP="00994F93">
      <w:pPr>
        <w:jc w:val="both"/>
        <w:rPr>
          <w:rFonts w:ascii="Times New Roman" w:eastAsia="Arial" w:hAnsi="Times New Roman" w:cs="Times New Roman"/>
          <w:b/>
          <w:bCs/>
          <w:noProof/>
          <w:sz w:val="24"/>
          <w:szCs w:val="21"/>
        </w:rPr>
      </w:pPr>
    </w:p>
    <w:p w14:paraId="143C0AB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Nacionālie aizsardzības fondi ir subjekti, kas pārvalda fondus, lai samaksātu kompensācijas tiesīgiem kreditoriem finanšu nozares vienību saistību neizpildes gadījumā. Banku nozarē primāri ir runa par noguldījumu aizsardzības fondiem/shēmām, kuras var izmantot līdz konkrētai summai, lai kompensētu noguldītājiem ierobežotu summu par zaudētajiem noguldījumiem, ja banka neizpilda saistības (šādus noguldījumus sauc par “nodrošinātiem noguldījumiem”). Tas var būt arī noregulējuma fonds, kas izveidots konkrēti ar mērķi atbalstīt grūtībās nonākušas institūcijas, izmantojot dažādu veidu pasākumus un finansējumu, tādējādi izvairoties no vajadzības tūlītēji vērsties pēc valdības atbalsta. Aizsardzības fondi bieži vien ir izveidoti finanšu stabilitātes nodrošināšanai. Var būt arī citi šādi fondi, kuru papildu mērķis ir aizsargāt ieguldītājus finanšu tirgos.</w:t>
      </w:r>
    </w:p>
    <w:p w14:paraId="5E7452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F8AAC5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Noguldījumu aizsardzības fondi paši nelemj, kad un kādā līmenī iejaukties un aktivizēt uzkrātos līdzekļus. Kompetentai uzraudzības iestādei ir jāveic novērtējums. Aktivizēšana var notikt automātiski vai to var ierosināt ar uzraudzības iestādes lēmumu. Izmaksājamās kompensācijas apmērs var būt noteikts ar valsts vai ES tiesību aktiem, jo īpaši attiecībā uz noguldījumu aizsardzības shēmām.</w:t>
      </w:r>
    </w:p>
    <w:p w14:paraId="7602346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DA2745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Tiek nošķirtas tiesību aktos noteiktās aizsardzības shēmas un līgumiskās shēmas (kas galvenokārt ir brīvprātīgas). Tiesību aktos noteiktās shēmas ir izstrādātas un tiek reglamentētas ar likumu, un to mērķis parasti ir sniegt pakalpojumu plašai sabiedrībai. Līgumiskās shēmas bieži vien ir pilnībā privāti pārvaldītas.</w:t>
      </w:r>
    </w:p>
    <w:p w14:paraId="6C553A2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CA4547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Lai valdība nodrošinātu noguldījumu minimālo reglamentējošo aizsardzību, 2014. gadā tika īstenoti Eiropas tiesību akti</w:t>
      </w:r>
      <w:r w:rsidRPr="00B03B51">
        <w:rPr>
          <w:rStyle w:val="FootnoteReference"/>
          <w:rFonts w:ascii="Times New Roman" w:hAnsi="Times New Roman" w:cs="Times New Roman"/>
          <w:noProof/>
          <w:sz w:val="24"/>
        </w:rPr>
        <w:footnoteReference w:id="69"/>
      </w:r>
      <w:r w:rsidRPr="00B03B51">
        <w:rPr>
          <w:rFonts w:ascii="Times New Roman" w:hAnsi="Times New Roman" w:cs="Times New Roman"/>
          <w:sz w:val="24"/>
        </w:rPr>
        <w:t>, ar kuriem tika uzlikts pienākums izveidot tiesību aktos noteiktos fondus/shēmas, kuros dalība ir obligāta. Šādas shēmas ir nacionālie noguldījumu garantijas fondi (NGF) un atsevišķi – nacionālie noregulējuma fondi (NNF).</w:t>
      </w:r>
    </w:p>
    <w:p w14:paraId="6748331D" w14:textId="77777777" w:rsidR="00994F93" w:rsidRPr="00B03B51" w:rsidRDefault="00994F93" w:rsidP="00994F93">
      <w:pPr>
        <w:jc w:val="both"/>
        <w:rPr>
          <w:rFonts w:ascii="Times New Roman" w:hAnsi="Times New Roman" w:cs="Times New Roman"/>
          <w:noProof/>
          <w:sz w:val="24"/>
        </w:rPr>
      </w:pPr>
    </w:p>
    <w:p w14:paraId="57DDC4FD"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Tiesību aktos noteiktās shēmas</w:t>
      </w:r>
    </w:p>
    <w:p w14:paraId="71DAF580" w14:textId="77777777" w:rsidR="00994F93" w:rsidRPr="00B03B51" w:rsidRDefault="00994F93" w:rsidP="00994F93">
      <w:pPr>
        <w:jc w:val="both"/>
        <w:rPr>
          <w:rFonts w:ascii="Times New Roman" w:eastAsia="Arial" w:hAnsi="Times New Roman" w:cs="Times New Roman"/>
          <w:b/>
          <w:bCs/>
          <w:noProof/>
          <w:sz w:val="24"/>
          <w:szCs w:val="21"/>
        </w:rPr>
      </w:pPr>
    </w:p>
    <w:p w14:paraId="7809164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Visas tiesību aktos noteiktās shēmas ir jāklasificē vispārējās valdības sektorā, jo tās ir uzskatāmas par valdības vienības veidu EKS 2010 20.05.–20.12. punkta nozīmē. Pat, ja par to rodas šaubas, veicot pārbaudi saskaņā ar tradicionālo lēmumu pieņemšanas shēmas pieeju (EKS 2010 20.1. diagramma), šie subjekti ir klasificējami kā valdības sastāvdaļa, jo tie ir publiski kontrolēti un ārpustirgus subjekti.</w:t>
      </w:r>
    </w:p>
    <w:p w14:paraId="0FA969E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150AC5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Ņemot vērā nacionālo noregulējuma fondu (NNF) un zināmā mērā saistīto nacionālo noguldījumu garantiju fondu (NGF) uzbūvi un pamatmērķi, tos var tieši uzskatīt par “valdības vienībām”, jo tie ir juridiski subjekti, kas izveidoti politiskā procesā, un tiem ir tiesas vai izpildvaras pilnvaras pār citām institucionālām vienībām, kā arī tās pārdala bagātību, izmantojot obligātos maksājumus no citiem sektoriem piederošām vienībām (EKS 2010 20.29. punkts). NNF un NGF ir noteikti valsts politikas uzdevumi aizsargāt sabiedrības ietaupījumus un nodrošināt finanšu stabilitāti. Tālab tiem ir plašas pilnvaras. Nacionālajam noregulējuma </w:t>
      </w:r>
      <w:r w:rsidRPr="00B03B51">
        <w:rPr>
          <w:rFonts w:ascii="Times New Roman" w:hAnsi="Times New Roman" w:cs="Times New Roman"/>
          <w:sz w:val="24"/>
        </w:rPr>
        <w:lastRenderedPageBreak/>
        <w:t>fondam ir tiesai pielīdzināmas pilnvaras noteikt, kuriem kreditoriem būtu jāveic iekšējā rekapitalizācija, tādējādi veicot bagātības pārdali starp kreditoriem. Gan NNF, gan NGF var mobilizēt resursus, uzliekot nodokļus bankām un ārkārtas gadījumā bieži vien iegūstot līdzekļus tieši no valdības. NGF un NNF līdzekļi tiek iekasēti no iemaksām, kuru likmes nozīmīgi neataino šajos fondos iesaistīto iestāžu kredītriskus, tādējādi starp bankām notiek zināma resursu pārdale.</w:t>
      </w:r>
    </w:p>
    <w:p w14:paraId="3EF0754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9CEE49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NNF un NGF ir valsts kontrolēti ārpustirgus subjekti, un tādējādi tos klasificē vispārējās valdības sektorā. Tie darbojas, lai nodrošinātu, ka noguldītāji saņem atlīdzību, vai lai efektīvi un iespējami gludi likvidētu grūtībās nonākušās bankas tā, lai novērstu sistēmisku risku. Šo darbību nevar pielāgot tirgus apdrošināšanai, un tādējādi šos subjektus neklasificē S.128 apakšsektorā. Tā kā nepieciešamie kompensācijas maksājumi var būt visai ievērojami un tādējādi pārsniegt jebkāda privātuzņēmēja spējas, uzskatāms, ka šī riska seguma darbība ir vai nu neapdrošināms risks, vai arī ārpustirgus apdrošināms risks. Subjekti ir arī finanšu starpnieki, jo tie tur rezerves/aktīvus vienīgi ārkārtas situācijām un nevis ar mērķi veikt kāda veida līdzekļu pārveidi. Tie nav arī finanšu palīgsabiedrības, jo tie nepārdod tirgus pakalpojumus bankām un tiem nav lielas bilances, proti, tie tikai iekasē iemaksas, kas ekonomiski ir uzskatāmas par nodokļiem, kuri uzlikti, lai veidotu publisku resursu kopumu, ko var izlietot ārkārtas situācijā.</w:t>
      </w:r>
    </w:p>
    <w:p w14:paraId="0124C54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AB2279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 Iemaksas diez vai būtu uzskatāmas par pārdošanu, jo ir neatlīdzināmas. Turklāt svarīgs apsvērums par labu šo tiesību aktos noteikto fondu klasificēšanai S.12 sektorā varētu būt tas, ka ir jāidentificē klienti, kuriem šie fondi “pārdotu” vai sniegtu savu pakalpojumu. Ja iespējamie klienti </w:t>
      </w:r>
      <w:r w:rsidRPr="00B03B51">
        <w:rPr>
          <w:rFonts w:ascii="Times New Roman" w:hAnsi="Times New Roman" w:cs="Times New Roman"/>
          <w:i/>
          <w:iCs/>
          <w:sz w:val="24"/>
        </w:rPr>
        <w:t>a priori</w:t>
      </w:r>
      <w:r w:rsidRPr="00B03B51">
        <w:rPr>
          <w:rFonts w:ascii="Times New Roman" w:hAnsi="Times New Roman" w:cs="Times New Roman"/>
          <w:sz w:val="24"/>
        </w:rPr>
        <w:t xml:space="preserve"> var būt noguldītāji, bankas vai valdība, nevar viegli vai faktiski identificēt, kas ir tas, ko tiesību aktos noteiktie fondi varētu pārdot noguldītājiem vai bankām.</w:t>
      </w:r>
    </w:p>
    <w:p w14:paraId="1FA6898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2F7D19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NNF un NGF kontrolē publiskais sektors vai nu tieši (iejaucoties Finanšu ministrijai), vai netieši ar Centrālās bankas (kas tradicionāli ir publiskā sektora subjekts) vai finanšu uzrauga starpniecību, vai arī tos kontrolē ar tiesību aktiem (ar tā saucamo “pārmērīgo regulējumu”, kā noteikts EKS 2010 20.309. punkta h) apakšpunktā), pat gadījumos, ja direktori ir galvenokārt iecelti no privātā sektora. Dažos robežgadījumos tiesību aktos noteikto dažu aizsardzības fondu publiska kontrole līdzinās publiskai kontrolei, ko īsteno attiecībā uz dažām BPI, izmantojot pilnvarojuma dokumentus, kā arī riska līmeni (skat. EKS 2010 20.15. punkta b) un e) apakšpunktu.</w:t>
      </w:r>
    </w:p>
    <w:p w14:paraId="0830993A" w14:textId="77777777" w:rsidR="00994F93" w:rsidRPr="00B03B51" w:rsidRDefault="00994F93" w:rsidP="00994F93">
      <w:pPr>
        <w:jc w:val="both"/>
        <w:rPr>
          <w:rFonts w:ascii="Times New Roman" w:eastAsia="Arial" w:hAnsi="Times New Roman" w:cs="Times New Roman"/>
          <w:noProof/>
          <w:sz w:val="24"/>
          <w:szCs w:val="25"/>
        </w:rPr>
      </w:pPr>
    </w:p>
    <w:p w14:paraId="4B72F3D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Daudz grūtāk ir nospriest, vai subjektiem ir lēmumu autonomija. Tomēr arī tas nav izšķiroši klasificēšanai, ja ir noteikts, ka subjekts ir publiska un ārpustirgus vienība. Neatkarīgi no šā punkta NGF bieži vien ir automātiskam subjektam pielīdzināms subjekts, kura lēmumu autonomiju var apšaubīt, jo īpaši vienotā uzraudzības mehānisma (VUM) kontekstā, ar kuru sīki regulē lielu NGF darbības daļu. Turklāt var uzskatīt, ka NGF papildina noregulējumu tādā ziņā, ka a) bieži vien vispirms īsteno noregulējumu, pirms tiek īstenota tieša likvidācija, un b) NGF var izmantot, lai finansētu NNF, piešķirot summas, ko uzkrāj šis NGF, īstenojot šo noregulējumu. Līdzīgi kā nacionālais noguldītāju garantiju fonds arī nacionālais noregulējuma fonds lielākoties darbojas autopilota režīmā, taču tā iestādei – nacionālajai noregulējuma iestādei (NNI) – noteikti ir kāda lēmumu pieņemšanas autonomija.</w:t>
      </w:r>
    </w:p>
    <w:p w14:paraId="1401CB5D" w14:textId="77777777" w:rsidR="00994F93" w:rsidRPr="00B03B51" w:rsidRDefault="00994F93" w:rsidP="00994F93">
      <w:pPr>
        <w:pStyle w:val="BodyText"/>
        <w:tabs>
          <w:tab w:val="left" w:pos="917"/>
        </w:tabs>
        <w:spacing w:before="0"/>
        <w:ind w:left="0" w:firstLine="0"/>
        <w:jc w:val="both"/>
        <w:rPr>
          <w:rFonts w:ascii="Times New Roman" w:hAnsi="Times New Roman" w:cs="Times New Roman"/>
          <w:noProof/>
          <w:sz w:val="24"/>
        </w:rPr>
      </w:pPr>
    </w:p>
    <w:p w14:paraId="23E3681B" w14:textId="77777777" w:rsidR="00994F93" w:rsidRPr="00B03B51" w:rsidRDefault="00994F93" w:rsidP="00994F93">
      <w:pPr>
        <w:pStyle w:val="BodyText"/>
        <w:tabs>
          <w:tab w:val="left" w:pos="91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Ja nacionālā noregulējuma iestāde (un saistītais nacionālais noregulējuma fonds) ir organizēta ar centrālās bankas starpniecību (centrālā banka, kas pārvalda NNI), tad saskaņā ar EKS 2010 noteikumiem centrālā banka nevar būt nacionālā noregulējuma fonda (vai nacionālās noregulējuma iestādes un nacionālā noregulējuma fonda) mātessabiedrība, jo centrālajai bankai </w:t>
      </w:r>
      <w:r w:rsidRPr="00B03B51">
        <w:rPr>
          <w:rFonts w:ascii="Times New Roman" w:hAnsi="Times New Roman" w:cs="Times New Roman"/>
          <w:sz w:val="24"/>
        </w:rPr>
        <w:lastRenderedPageBreak/>
        <w:t>ir aizliegts finansēt nacionālo noregulējuma fondu.</w:t>
      </w:r>
      <w:r w:rsidRPr="00B03B51">
        <w:rPr>
          <w:rStyle w:val="FootnoteReference"/>
          <w:rFonts w:ascii="Times New Roman" w:hAnsi="Times New Roman" w:cs="Times New Roman"/>
          <w:noProof/>
          <w:sz w:val="24"/>
        </w:rPr>
        <w:footnoteReference w:id="70"/>
      </w:r>
      <w:r w:rsidRPr="00B03B51">
        <w:rPr>
          <w:rFonts w:ascii="Times New Roman" w:hAnsi="Times New Roman" w:cs="Times New Roman"/>
          <w:sz w:val="24"/>
        </w:rPr>
        <w:t xml:space="preserve"> Subjekts, kas nevar finansēt citu subjektu, nevar būt mātessabiedrība. Rezultātā mātessabiedrība būs Finanšu ministrija. Tādējādi, ja nacionālā noregulējuma iestāde ir organizēta kā centrālās bankas sastāvdaļa, centrālā banka veic valdības uzdevumus valdības vārdā, un attiecīgi nacionālajos kontos tiek atzīts, ka īstenoto darījumu galvenais darītājs (ar noregulējuma fonda un saistītā noguldītāju garantiju fonda starpniecību) ir valdība.</w:t>
      </w:r>
    </w:p>
    <w:p w14:paraId="661DABE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B596DF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Minētie noteikumi izriet arī no tā, ka saskaņā ar Eiropas tiesisko regulējumu ir jānodrošina </w:t>
      </w:r>
      <w:r w:rsidRPr="00B03B51">
        <w:rPr>
          <w:rFonts w:ascii="Times New Roman" w:hAnsi="Times New Roman" w:cs="Times New Roman"/>
          <w:i/>
          <w:iCs/>
          <w:sz w:val="24"/>
        </w:rPr>
        <w:t>de facto</w:t>
      </w:r>
      <w:r w:rsidRPr="00B03B51">
        <w:rPr>
          <w:rFonts w:ascii="Times New Roman" w:hAnsi="Times New Roman" w:cs="Times New Roman"/>
          <w:sz w:val="24"/>
        </w:rPr>
        <w:t xml:space="preserve"> Eiropas shēmas vienveidīga klasifikācija, lai pēc tam dalībvalstis (izmantojot nacionālo tiesisko regulējumu) to pielāgotu tā, lai shēma vislabāk atbilstu valsts apstākļiem. Attiecīgi ir ieteicama vienota klasifikācija visā ES. Konsekvences labad šos noteikumus piemēro visiem tiesību aktos noteiktajiem fondiem, pat ja tie ir ārpus Eiropas tiesiskā regulējuma.</w:t>
      </w:r>
    </w:p>
    <w:p w14:paraId="50DBEEB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0621B2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ES tiesiskā regulējuma prasības valsts līmenī praksē var izpildīt dažādos veidos. Dažkārt tiek izveidoti vairāki fondi un/vai shēmas, lai sasniegtu regulējuma mērķus, kas prasa šo subjektu un esošā mehānisma pienācīgu statistisko novērtēšanu.</w:t>
      </w:r>
    </w:p>
    <w:p w14:paraId="6EB983B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DFF9CD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Subjektus, kuru funkcija ir izpildīt regulējumā prasītos mērķus, kas parasti ir noguldītāju garantijas fonds vai nacionālais noregulējuma fonds, klasificē valdības sektorā, jo tie ir tikai rīki, ar kuriem stiprina valdības shēmu, pat ja daži attiecīgie subjekti ir organizēti kā privāti subjekti.</w:t>
      </w:r>
    </w:p>
    <w:p w14:paraId="323099F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D8FFCA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Dažkārt tiesību aktos noteiktās shēmas un līgumiskās shēmas ir iekļautas vienā subjektā vai tās pārvalda viens subjekts. Šādos gadījumos subjektu var vai nu sadalīt divās vienībās, vai arī subjekts ir jāklasificē valdības sektorā un ārpus tiesību aktiem esošais komponents ir jāpārvirza ārpus valdības kontiem. Pārvirzīšanu praktiski var īstenot, vadības vienību nošķirot no konkrētā fonda, kurš ir klasificēts vispārējās valdības sektorā.</w:t>
      </w:r>
    </w:p>
    <w:p w14:paraId="67DCCE5C" w14:textId="77777777" w:rsidR="00994F93" w:rsidRPr="00B03B51" w:rsidRDefault="00994F93" w:rsidP="00994F93">
      <w:pPr>
        <w:jc w:val="both"/>
        <w:rPr>
          <w:rFonts w:ascii="Times New Roman" w:eastAsia="Arial" w:hAnsi="Times New Roman" w:cs="Times New Roman"/>
          <w:noProof/>
          <w:sz w:val="24"/>
          <w:szCs w:val="20"/>
        </w:rPr>
      </w:pPr>
    </w:p>
    <w:p w14:paraId="1CE5A00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Citi aizsardzības fondi</w:t>
      </w:r>
    </w:p>
    <w:p w14:paraId="3037EE27" w14:textId="77777777" w:rsidR="00994F93" w:rsidRPr="00B03B51" w:rsidRDefault="00994F93" w:rsidP="00994F93">
      <w:pPr>
        <w:jc w:val="both"/>
        <w:rPr>
          <w:rFonts w:ascii="Times New Roman" w:eastAsia="Arial" w:hAnsi="Times New Roman" w:cs="Times New Roman"/>
          <w:b/>
          <w:bCs/>
          <w:noProof/>
          <w:sz w:val="24"/>
          <w:szCs w:val="21"/>
        </w:rPr>
      </w:pPr>
    </w:p>
    <w:p w14:paraId="6CB812F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Attiecībā uz citām aizsardzības shēmām, kas ir galvenokārt brīvprātīgas, piemēram, līgumiskiem (ar tiesību aktiem neregulētiem) aizsardzības fondiem, attiecīgo analīzi var veikt, kā norādīts turpmāk. Aizsardzības fondi darbojas lielākoties kā “autopilots”. Tādējādi jautājums par to lēmumu pieņemšanas pilnvarām attiecībā uz uzkrāto līdzekļu aktivizēšanu bieži vien nav svarīgs. Šādi fondi var būt atkarīgi arī no citas iestādes, kas lemj par aktivizēšanu. Svarīgākais šeit ir novērtēt, vai aizsardzības fondu pārvaldes struktūra ir tiesīga neatkarīgi pieņemt lēmumu vai arī sniegt tikai kādus ierosinājumus (ja tādi ir), kas jāapstiprina citai iestādei (piemēram, centrālajai bankai vai Finanšu ministrijai).</w:t>
      </w:r>
    </w:p>
    <w:p w14:paraId="6CBBEAB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029353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 xml:space="preserve">23. Vēl ir arī jānovērtē, vai šie aizsardzības fondi var brīvi noteikt veicamo iemaksu līmeni. Aizsardzības fondiem var būt kādas pilnvaras, jo īpaši attiecībā uz atsevišķu iemaksu “modulāciju” atbilstīgi prognozētajiem faktiskajiem riskiem, ko uzņemas dalībnieki. Taču parasti to manevrēšanas iespējas ir visai ierobežotas (piemēram, precīzus kritērijus var noteikt cita iestāde). Aizsardzības fondi parasti nenosaka vispārējo summu. Lai arī tiem bieži vien ir </w:t>
      </w:r>
      <w:r w:rsidRPr="00B03B51">
        <w:rPr>
          <w:rFonts w:ascii="Times New Roman" w:hAnsi="Times New Roman" w:cs="Times New Roman"/>
          <w:sz w:val="24"/>
        </w:rPr>
        <w:lastRenderedPageBreak/>
        <w:t>tiesības pārdalīt vienībām piemērojamo iemaksu līmeni, tie nenosaka iekasējamo iemaksu vispārējo summu.</w:t>
      </w:r>
      <w:r w:rsidRPr="00B03B51">
        <w:rPr>
          <w:rStyle w:val="FootnoteReference"/>
          <w:rFonts w:ascii="Times New Roman" w:hAnsi="Times New Roman" w:cs="Times New Roman"/>
          <w:noProof/>
          <w:sz w:val="24"/>
        </w:rPr>
        <w:footnoteReference w:id="71"/>
      </w:r>
    </w:p>
    <w:p w14:paraId="47EC6A9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3C2A96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Turklāt, ja nav pieejami pietiekami resursi, ir svarīgi novērtēt, vai aizsardzības fonds var pieņemt pilnīgi neatkarīgu lēmumu par kompensācijas vai atbalsta finansēšanai nepieciešamo iespējamo neregulāro resursu (ārkārtas iemaksu, aizņēmumu tirgos, avansa maksājumu no Valsts kases utt.) būtību, summu, nosacījumiem un termiņiem. Ne vienmēr aizsardzības fondiem ir pieejami resursi lielas saistību neizpildes segšanai vai noregulējumam. Visticamāk, vismaz pirmajos gados pēc fondu izveides tiem var nākties balstīties uz šādiem ārkārtas resursiem.</w:t>
      </w:r>
    </w:p>
    <w:p w14:paraId="6DE9CEA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DA8B3C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Nacionālajos kontos šo aizsardzības fondu sektoru klasifikācijai arī būtu jābūt atkarīgai no šādu struktūru lēmumu pieņemšanas autonomijas. Ja vairumā gadījumu attiecībā uz svarīgajiem lēmumiem par šo fondu pamatdarbību, kuri jānošķir no vienkāršiem administratīvajiem uzdevumiem, aizsardzības fondam nav autonomijas vai lēmumu pieņemšanas pilnvaru, nacionālajos kontos šādu fondu neuzskata par institucionālo vienību un iekļauj to kontrolējošās vienības sastāvā. Šajā saistībā galvenie kritēriji attiecas uz lēmumu pieņemšanu par šādu aizsardzības fondu resursiem un jo īpaši par ārkārtas resursiem, kas varētu būt nepieciešami.</w:t>
      </w:r>
    </w:p>
    <w:p w14:paraId="0C05C99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5144A3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Ja par pēdējo minēto punktu nav lēmumu autonomijas, fonds būtu jāpārklasificē tās vienības sektorā, kurai pieder galīgais vārds attiecībā uz to. Ja tā ir valdība, subjekts ir jāklasificē centrālās valdības apakšsektorā. Attiecīgi tas, ka aizsardzības fondam varētu būt tiesības pieņemt lēmumus attiecībā uz uzkrāto līdzekļu ieguldīšanu (parasti, ievērojot kādus ierobežojošus norādījumus), vēl nav kritērijs, lai lemtu par lēmumu pieņemšanas autonomiju.</w:t>
      </w:r>
    </w:p>
    <w:p w14:paraId="067063C6" w14:textId="77777777" w:rsidR="00994F93" w:rsidRPr="00B03B51" w:rsidRDefault="00994F93" w:rsidP="00994F93">
      <w:pPr>
        <w:jc w:val="both"/>
        <w:rPr>
          <w:rFonts w:ascii="Times New Roman" w:eastAsia="Arial" w:hAnsi="Times New Roman" w:cs="Times New Roman"/>
          <w:noProof/>
          <w:sz w:val="24"/>
          <w:szCs w:val="20"/>
        </w:rPr>
      </w:pPr>
    </w:p>
    <w:p w14:paraId="20B04819"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Aizsardzības fondos veicamo iemaksu traktējums</w:t>
      </w:r>
    </w:p>
    <w:p w14:paraId="25CA9E28" w14:textId="77777777" w:rsidR="00994F93" w:rsidRPr="00B03B51" w:rsidRDefault="00994F93" w:rsidP="00994F93">
      <w:pPr>
        <w:jc w:val="both"/>
        <w:rPr>
          <w:rFonts w:ascii="Times New Roman" w:eastAsia="Arial" w:hAnsi="Times New Roman" w:cs="Times New Roman"/>
          <w:b/>
          <w:bCs/>
          <w:noProof/>
          <w:sz w:val="24"/>
          <w:szCs w:val="21"/>
        </w:rPr>
      </w:pPr>
    </w:p>
    <w:p w14:paraId="69222B6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Ja iemaksas ir obligātas (un saņēmēji nevar izvēlēties nepiedalīties shēmā, ja vien neizbeidz attiecīgo darbību), maksājumi, ko veic attiecīgās finanšu iestādes aizsardzības fondos, ir klasificējami kā nodokļi.</w:t>
      </w:r>
      <w:r w:rsidRPr="00B03B51">
        <w:rPr>
          <w:rStyle w:val="FootnoteReference"/>
          <w:rFonts w:ascii="Times New Roman" w:hAnsi="Times New Roman" w:cs="Times New Roman"/>
          <w:noProof/>
          <w:sz w:val="24"/>
        </w:rPr>
        <w:footnoteReference w:id="72"/>
      </w:r>
      <w:r w:rsidRPr="00B03B51">
        <w:rPr>
          <w:rFonts w:ascii="Times New Roman" w:hAnsi="Times New Roman" w:cs="Times New Roman"/>
          <w:sz w:val="24"/>
          <w:szCs w:val="12"/>
        </w:rPr>
        <w:t xml:space="preserve"> </w:t>
      </w:r>
      <w:r w:rsidRPr="00B03B51">
        <w:rPr>
          <w:rFonts w:ascii="Times New Roman" w:hAnsi="Times New Roman" w:cs="Times New Roman"/>
          <w:sz w:val="24"/>
        </w:rPr>
        <w:t>Tā ir tāpēc, ka aizsardzības fondi sniedz pakalpojumus ne tikai finanšu iestādēm, bet gan “visai kopienai”.</w:t>
      </w:r>
      <w:r w:rsidRPr="00B03B51">
        <w:rPr>
          <w:rStyle w:val="FootnoteReference"/>
          <w:rFonts w:ascii="Times New Roman" w:hAnsi="Times New Roman" w:cs="Times New Roman"/>
          <w:noProof/>
          <w:sz w:val="24"/>
        </w:rPr>
        <w:footnoteReference w:id="73"/>
      </w:r>
      <w:r w:rsidRPr="00B03B51">
        <w:rPr>
          <w:rFonts w:ascii="Times New Roman" w:hAnsi="Times New Roman" w:cs="Times New Roman"/>
          <w:sz w:val="24"/>
        </w:rPr>
        <w:t xml:space="preserve"> Arī maksājošās iestādes atsevišķu iemaksu līmenis ne vienmēr ir stingri saistīts ar riskiem, kas rodas aizsardzības fondam.</w:t>
      </w:r>
    </w:p>
    <w:p w14:paraId="5EE854E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20E022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Retos gadījumos, ja aizsardzības fondu klasificē ārpus valdības sektora, minētie maksājumi jāpārvirza caur centrālās valdības apakšsektoru. Summas, ko valdība nosacīti nodevusi aizsardzības fondiem, klasificē kā kārtējos pārvedumus. Ja fondi tiek izmantoti, pārkārtotajiem darījumiem arī ir jābūt B.9 neitrāliem attiecībā uz vispārējo valdību.</w:t>
      </w:r>
    </w:p>
    <w:p w14:paraId="3E746828" w14:textId="77777777" w:rsidR="00994F93" w:rsidRPr="00B03B51" w:rsidRDefault="00994F93" w:rsidP="00994F93">
      <w:pPr>
        <w:jc w:val="both"/>
        <w:rPr>
          <w:rFonts w:ascii="Times New Roman" w:eastAsia="Arial" w:hAnsi="Times New Roman" w:cs="Times New Roman"/>
          <w:noProof/>
          <w:sz w:val="24"/>
          <w:szCs w:val="20"/>
        </w:rPr>
      </w:pPr>
    </w:p>
    <w:p w14:paraId="12CC9AE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Atmaksājamu iemaksu traktējums</w:t>
      </w:r>
    </w:p>
    <w:p w14:paraId="4E5F57A0" w14:textId="77777777" w:rsidR="00994F93" w:rsidRPr="00B03B51" w:rsidRDefault="00994F93" w:rsidP="00994F93">
      <w:pPr>
        <w:jc w:val="both"/>
        <w:rPr>
          <w:rFonts w:ascii="Times New Roman" w:eastAsia="Arial" w:hAnsi="Times New Roman" w:cs="Times New Roman"/>
          <w:b/>
          <w:bCs/>
          <w:noProof/>
          <w:sz w:val="24"/>
          <w:szCs w:val="21"/>
        </w:rPr>
      </w:pPr>
    </w:p>
    <w:p w14:paraId="3AB1687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29. Saistībā ar aizsardzības fondiem dažkārt varētu izveidot tādu kārtību vai pieņemt, ka finanšu iestādes maksā iemaksas, kuras principā ir atmaksājamas, ja vien tās netiek norakstītas, pamatojoties uz kādu ierosinošu notikumu, piemēram, finanšu iestādes finanšu glābšanu vai </w:t>
      </w:r>
      <w:r w:rsidRPr="00B03B51">
        <w:rPr>
          <w:rFonts w:ascii="Times New Roman" w:hAnsi="Times New Roman" w:cs="Times New Roman"/>
          <w:sz w:val="24"/>
        </w:rPr>
        <w:lastRenderedPageBreak/>
        <w:t>saistību neizpildi. Šīs atmaksājamās iemaksas varētu būt atmaksa naudā vai tikai apsolījums samaksāt (piemēram, garantijas vai apņemšanās, skat. turpmāk). Īpašos gadījumos iemaksas var būt pašas bankas bilancē (un finanšu pārskatā) par aktīvu atzīta instrumenta iegāde, un tam var būt procenti.</w:t>
      </w:r>
    </w:p>
    <w:p w14:paraId="4300B6A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D6C0B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Šādas atmaksājamas iemaksas aizsardzības fondos ieraksta sākotnēji finanšu kontos un nevis kā ieņēmumus, tādējādi tas nozīmē, ka garantijas fondi ieraksta saistību uzņemšanos kā iespējamu nodokļa priekšapmaksu. Kad notiek ierosinošs notikums, saistības tiek dzēstas, it kā būtu atmaksātas, un tiek ierakstīts nodokļu ieņēmums, ietekmējot valdības B.9, ja noguldījuma garantijas fonds ir klasificēts vispārējās valdības sektorā.</w:t>
      </w:r>
    </w:p>
    <w:p w14:paraId="04FB1CC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08C164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Aizsardzības fondu saistības ieraksta kā citas kreditoru saistības (AF.8), atspoguļojot laika starpību starp nodokļu notikumu un atbilstošo priekšapmaksu.</w:t>
      </w:r>
    </w:p>
    <w:p w14:paraId="093E56D1" w14:textId="77777777" w:rsidR="00994F93" w:rsidRPr="00B03B51" w:rsidRDefault="00994F93" w:rsidP="00994F93">
      <w:pPr>
        <w:jc w:val="both"/>
        <w:rPr>
          <w:rFonts w:ascii="Times New Roman" w:eastAsia="Arial" w:hAnsi="Times New Roman" w:cs="Times New Roman"/>
          <w:noProof/>
          <w:sz w:val="24"/>
          <w:szCs w:val="20"/>
        </w:rPr>
      </w:pPr>
    </w:p>
    <w:p w14:paraId="379540EE"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Neatsaucamu maksājumu saistību veidā veiktu iemaksu traktējums</w:t>
      </w:r>
    </w:p>
    <w:p w14:paraId="73E8BC5B" w14:textId="77777777" w:rsidR="00994F93" w:rsidRPr="00B03B51" w:rsidRDefault="00994F93" w:rsidP="00994F93">
      <w:pPr>
        <w:jc w:val="both"/>
        <w:rPr>
          <w:rFonts w:ascii="Times New Roman" w:eastAsia="Arial" w:hAnsi="Times New Roman" w:cs="Times New Roman"/>
          <w:b/>
          <w:bCs/>
          <w:noProof/>
          <w:sz w:val="24"/>
          <w:szCs w:val="21"/>
        </w:rPr>
      </w:pPr>
    </w:p>
    <w:p w14:paraId="428EDD5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Saskaņā ar Direktīvu 2014/49/ES par noguldījumu garantiju sistēmām iekasētās iemaksas var būt vai nu naudas maksājumi, vai neatsaucamas maksājumu saistības (</w:t>
      </w:r>
      <w:r w:rsidRPr="00B03B51">
        <w:rPr>
          <w:rFonts w:ascii="Times New Roman" w:hAnsi="Times New Roman" w:cs="Times New Roman"/>
          <w:i/>
          <w:iCs/>
          <w:sz w:val="24"/>
        </w:rPr>
        <w:t>IPC</w:t>
      </w:r>
      <w:r w:rsidRPr="00B03B51">
        <w:rPr>
          <w:rFonts w:ascii="Times New Roman" w:hAnsi="Times New Roman" w:cs="Times New Roman"/>
          <w:sz w:val="24"/>
        </w:rPr>
        <w:t xml:space="preserve">). </w:t>
      </w:r>
      <w:r w:rsidRPr="00B03B51">
        <w:rPr>
          <w:rFonts w:ascii="Times New Roman" w:hAnsi="Times New Roman" w:cs="Times New Roman"/>
          <w:i/>
          <w:iCs/>
          <w:sz w:val="24"/>
        </w:rPr>
        <w:t>IPC</w:t>
      </w:r>
      <w:r w:rsidRPr="00B03B51">
        <w:rPr>
          <w:rFonts w:ascii="Times New Roman" w:hAnsi="Times New Roman" w:cs="Times New Roman"/>
          <w:sz w:val="24"/>
        </w:rPr>
        <w:t xml:space="preserve"> ir </w:t>
      </w:r>
      <w:r w:rsidRPr="00B03B51">
        <w:rPr>
          <w:rFonts w:ascii="Times New Roman" w:hAnsi="Times New Roman" w:cs="Times New Roman"/>
          <w:i/>
          <w:iCs/>
          <w:sz w:val="24"/>
        </w:rPr>
        <w:t>ex ante</w:t>
      </w:r>
      <w:r w:rsidRPr="00B03B51">
        <w:rPr>
          <w:rFonts w:ascii="Times New Roman" w:hAnsi="Times New Roman" w:cs="Times New Roman"/>
          <w:sz w:val="24"/>
        </w:rPr>
        <w:t xml:space="preserve"> veida iemaksas, kas paredzētas, lai elastīgāk sasniegtu prasīto ar riskiem pamatoto iemaksu mērķa līmeni, pārmērīgi nemazinot kredītiestādes aizdošanas spēju. </w:t>
      </w:r>
      <w:r w:rsidRPr="00B03B51">
        <w:rPr>
          <w:rFonts w:ascii="Times New Roman" w:hAnsi="Times New Roman" w:cs="Times New Roman"/>
          <w:i/>
          <w:iCs/>
          <w:sz w:val="24"/>
        </w:rPr>
        <w:t>IPC</w:t>
      </w:r>
      <w:r w:rsidRPr="00B03B51">
        <w:rPr>
          <w:rFonts w:ascii="Times New Roman" w:hAnsi="Times New Roman" w:cs="Times New Roman"/>
          <w:sz w:val="24"/>
        </w:rPr>
        <w:t xml:space="preserve"> tiek garantētas ar oficiālu zema riska aktīvu ķīlu, parasti tie ir vērtspapīri, bet var būt arī nauda. Nodrošinājumu vai nu nodod aizsardzības fondam, vai arī reģistrē centrālajā vērtspapīru depozitārijā par labu fondam. Katrā ziņā aktīviem ir vienmēr jābūt aizsardzības fondu rīcībā, un tie nedrīkst būt apgrūtināti ar trešo personu tiesībām. Var būt atmaksājamas vai neatmaksājamas </w:t>
      </w:r>
      <w:r w:rsidRPr="00B03B51">
        <w:rPr>
          <w:rFonts w:ascii="Times New Roman" w:hAnsi="Times New Roman" w:cs="Times New Roman"/>
          <w:i/>
          <w:iCs/>
          <w:sz w:val="24"/>
        </w:rPr>
        <w:t>IPC</w:t>
      </w:r>
      <w:r w:rsidRPr="00B03B51">
        <w:rPr>
          <w:rFonts w:ascii="Times New Roman" w:hAnsi="Times New Roman" w:cs="Times New Roman"/>
          <w:sz w:val="24"/>
        </w:rPr>
        <w:t xml:space="preserve"> (šajā saistībā skat. iepriekš iedaļu par atmaksājamām iemaksām).</w:t>
      </w:r>
    </w:p>
    <w:p w14:paraId="7DCEADE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CF3039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33. Tā kā </w:t>
      </w:r>
      <w:r w:rsidRPr="00B03B51">
        <w:rPr>
          <w:rFonts w:ascii="Times New Roman" w:hAnsi="Times New Roman" w:cs="Times New Roman"/>
          <w:i/>
          <w:iCs/>
          <w:sz w:val="24"/>
        </w:rPr>
        <w:t>IPC</w:t>
      </w:r>
      <w:r w:rsidRPr="00B03B51">
        <w:rPr>
          <w:rFonts w:ascii="Times New Roman" w:hAnsi="Times New Roman" w:cs="Times New Roman"/>
          <w:sz w:val="24"/>
        </w:rPr>
        <w:t xml:space="preserve"> ir tikai naudai alternatīvs veids, kā finansēt </w:t>
      </w:r>
      <w:r w:rsidRPr="00B03B51">
        <w:rPr>
          <w:rFonts w:ascii="Times New Roman" w:hAnsi="Times New Roman" w:cs="Times New Roman"/>
          <w:i/>
          <w:iCs/>
          <w:sz w:val="24"/>
        </w:rPr>
        <w:t>ex ante</w:t>
      </w:r>
      <w:r w:rsidRPr="00B03B51">
        <w:rPr>
          <w:rFonts w:ascii="Times New Roman" w:hAnsi="Times New Roman" w:cs="Times New Roman"/>
          <w:sz w:val="24"/>
        </w:rPr>
        <w:t xml:space="preserve"> iemaksas aizsardzības fondos, tās līdzīgi ir maksājumi, kas tiek klasificēti kā nodokļi, ar nosacījumu, ka šīm saistībām ir pilnīgs un pienācīgs nodrošinājums.</w:t>
      </w:r>
    </w:p>
    <w:p w14:paraId="11DE5F9A" w14:textId="77777777" w:rsidR="00994F93" w:rsidRPr="00B03B51" w:rsidRDefault="00994F93" w:rsidP="00994F93">
      <w:pPr>
        <w:jc w:val="both"/>
        <w:rPr>
          <w:rFonts w:ascii="Times New Roman" w:eastAsia="Arial" w:hAnsi="Times New Roman" w:cs="Times New Roman"/>
          <w:noProof/>
          <w:sz w:val="24"/>
          <w:szCs w:val="25"/>
        </w:rPr>
      </w:pPr>
    </w:p>
    <w:p w14:paraId="1B06480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Saskaņā ar ES tiesisko regulējumu </w:t>
      </w:r>
      <w:r w:rsidRPr="00B03B51">
        <w:rPr>
          <w:rFonts w:ascii="Times New Roman" w:hAnsi="Times New Roman" w:cs="Times New Roman"/>
          <w:i/>
          <w:iCs/>
          <w:sz w:val="24"/>
        </w:rPr>
        <w:t>IPC</w:t>
      </w:r>
      <w:r w:rsidRPr="00B03B51">
        <w:rPr>
          <w:rFonts w:ascii="Times New Roman" w:hAnsi="Times New Roman" w:cs="Times New Roman"/>
          <w:sz w:val="24"/>
        </w:rPr>
        <w:t xml:space="preserve"> vienmēr ir jābūt pilnībā nodrošinātām. Nodrošinājuma esamība garantē, ka pienākums veikt šos maksājumus nav vājāks par naudas maksājumiem, un tāpēc līdzsvaro neparedzētu izdevumu elementu, kas varētu būt saistīts ar neatsaucamajām maksājumu saistībām. </w:t>
      </w:r>
      <w:r w:rsidRPr="00B03B51">
        <w:rPr>
          <w:rFonts w:ascii="Times New Roman" w:hAnsi="Times New Roman" w:cs="Times New Roman"/>
          <w:i/>
          <w:iCs/>
          <w:sz w:val="24"/>
        </w:rPr>
        <w:t>IPC</w:t>
      </w:r>
      <w:r w:rsidRPr="00B03B51">
        <w:rPr>
          <w:rFonts w:ascii="Times New Roman" w:hAnsi="Times New Roman" w:cs="Times New Roman"/>
          <w:sz w:val="24"/>
        </w:rPr>
        <w:t xml:space="preserve"> nodrošinājumu ieraksta finanšu iestāžu bilancē.</w:t>
      </w:r>
    </w:p>
    <w:p w14:paraId="5B05E70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C7D7B2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Pienākums veikt maksājumu rodas, kad nodrošinājums tiek ieķīlāts par labu aizsardzības fondam, un saskaņā ar uzkrāšanas principu šajā laikā ieraksta nodokļu ieņēmumus (D.29) (izņemot, ja iemaksa ir atmaksājama – skat. iepriekš), kas atbilst iekasējamiem nodokļiem (citas debitoru saistības (AF.89)).</w:t>
      </w:r>
    </w:p>
    <w:p w14:paraId="44EB093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7CD991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35. Kredītiestāde, kas ir aizsardzības fonda dalībniece, var potenciāli no tā izstāties (piemēram, ja pievienojas citam aizsardzības fondam vai, piemēram, pārrobežu apvienošanās gadījumā). Pieņemot, ka nav noticis ierosinošs notikums un shēmu regulējošie valsts tiesību akti to atļauj, kredītiestādes </w:t>
      </w:r>
      <w:r w:rsidRPr="00B03B51">
        <w:rPr>
          <w:rFonts w:ascii="Times New Roman" w:hAnsi="Times New Roman" w:cs="Times New Roman"/>
          <w:i/>
          <w:iCs/>
          <w:sz w:val="24"/>
        </w:rPr>
        <w:t>IPC</w:t>
      </w:r>
      <w:r w:rsidRPr="00B03B51">
        <w:rPr>
          <w:rFonts w:ascii="Times New Roman" w:hAnsi="Times New Roman" w:cs="Times New Roman"/>
          <w:sz w:val="24"/>
        </w:rPr>
        <w:t xml:space="preserve"> tad būtu dzēšamas/anulējamas (atkarībā no tā, vai </w:t>
      </w:r>
      <w:r w:rsidRPr="00B03B51">
        <w:rPr>
          <w:rFonts w:ascii="Times New Roman" w:hAnsi="Times New Roman" w:cs="Times New Roman"/>
          <w:i/>
          <w:iCs/>
          <w:sz w:val="24"/>
        </w:rPr>
        <w:t>IPC</w:t>
      </w:r>
      <w:r w:rsidRPr="00B03B51">
        <w:rPr>
          <w:rFonts w:ascii="Times New Roman" w:hAnsi="Times New Roman" w:cs="Times New Roman"/>
          <w:sz w:val="24"/>
        </w:rPr>
        <w:t xml:space="preserve"> ir atmaksājamas vai neatmaksājamas, kā rezultātā atšķiras ierakstīšanas risinājumi).</w:t>
      </w:r>
    </w:p>
    <w:p w14:paraId="7575CDF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36C07D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36. Neatmaksājamu </w:t>
      </w:r>
      <w:r w:rsidRPr="00B03B51">
        <w:rPr>
          <w:rFonts w:ascii="Times New Roman" w:hAnsi="Times New Roman" w:cs="Times New Roman"/>
          <w:i/>
          <w:iCs/>
          <w:sz w:val="24"/>
        </w:rPr>
        <w:t>IPC</w:t>
      </w:r>
      <w:r w:rsidRPr="00B03B51">
        <w:rPr>
          <w:rFonts w:ascii="Times New Roman" w:hAnsi="Times New Roman" w:cs="Times New Roman"/>
          <w:sz w:val="24"/>
        </w:rPr>
        <w:t xml:space="preserve"> gadījumā shēmā tiks iekasēti ieķīlātie aktīvi, proti, nauda vai vērtspapīri, kas tiks ierakstīti kā darījums ar finanšu aktīviem ar atbilstošo ierakstu par AF.89 iekasējamo nodokļu dzēšanu.</w:t>
      </w:r>
    </w:p>
    <w:p w14:paraId="2275FEC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3BCD8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Atmaksājamu </w:t>
      </w:r>
      <w:r w:rsidRPr="00B03B51">
        <w:rPr>
          <w:rFonts w:ascii="Times New Roman" w:hAnsi="Times New Roman" w:cs="Times New Roman"/>
          <w:i/>
          <w:iCs/>
          <w:sz w:val="24"/>
        </w:rPr>
        <w:t>IPC</w:t>
      </w:r>
      <w:r w:rsidRPr="00B03B51">
        <w:rPr>
          <w:rFonts w:ascii="Times New Roman" w:hAnsi="Times New Roman" w:cs="Times New Roman"/>
          <w:sz w:val="24"/>
        </w:rPr>
        <w:t xml:space="preserve"> gadījumā ieķīlātie finanšu aktīvi tiek nodoti atpakaļ kredītiestādei </w:t>
      </w:r>
      <w:r w:rsidRPr="00B03B51">
        <w:rPr>
          <w:rFonts w:ascii="Times New Roman" w:hAnsi="Times New Roman" w:cs="Times New Roman"/>
          <w:sz w:val="24"/>
        </w:rPr>
        <w:lastRenderedPageBreak/>
        <w:t xml:space="preserve">finanšu darījuma veidā. Ja neatmaksājamās </w:t>
      </w:r>
      <w:r w:rsidRPr="00B03B51">
        <w:rPr>
          <w:rFonts w:ascii="Times New Roman" w:hAnsi="Times New Roman" w:cs="Times New Roman"/>
          <w:i/>
          <w:iCs/>
          <w:sz w:val="24"/>
        </w:rPr>
        <w:t>IPC</w:t>
      </w:r>
      <w:r w:rsidRPr="00B03B51">
        <w:rPr>
          <w:rFonts w:ascii="Times New Roman" w:hAnsi="Times New Roman" w:cs="Times New Roman"/>
          <w:sz w:val="24"/>
        </w:rPr>
        <w:t xml:space="preserve"> tiek anulētas, aizsardzības fonda nefinanšu kontos ieraksta nodokļu atmaksas darījumu, kas atbilst samazinājumam ailē “citas debitoru saistības” (iekasējamie nodokļi) finanšu kontos. Pieņemot, ka vispārējais segto noguldījumu līmenis ekonomikā nemainās, citiem aizsardzības fonda dalībniekiem, iespējams, būs jāpalielina savas iemaksas, saglabājot praktiski stabilu aizsardzības fonda nodokļu ieņēmumu līmeni šajā laikā. Šāda ierakstīšana ir nepieciešama, lai nepieļautu nodokļu ieņēmumu pārrakstīšanu anulēšanas brīdī un vidējā termiņā.</w:t>
      </w:r>
    </w:p>
    <w:p w14:paraId="1ED1A61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BDD852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38. </w:t>
      </w:r>
      <w:r w:rsidRPr="00B03B51">
        <w:rPr>
          <w:rFonts w:ascii="Times New Roman" w:hAnsi="Times New Roman" w:cs="Times New Roman"/>
          <w:i/>
          <w:iCs/>
          <w:sz w:val="24"/>
        </w:rPr>
        <w:t>IPC</w:t>
      </w:r>
      <w:r w:rsidRPr="00B03B51">
        <w:rPr>
          <w:rFonts w:ascii="Times New Roman" w:hAnsi="Times New Roman" w:cs="Times New Roman"/>
          <w:sz w:val="24"/>
        </w:rPr>
        <w:t xml:space="preserve"> anulēšanas gadījumā ailē “citas apjoma pārmaiņas” (K.5) neveic ierakstu. Uzskatāms, ka šāda anulēšana ir darījums, nevis “citas pārmaiņas” aktīvos. Ja veiktu iegrāmatojumu ailē “citas apjoma pārmaiņas”, tiktu neatbilstīgi ierakstīti neiekasētie nodokļu ieņēmumi (atmaksājamu </w:t>
      </w:r>
      <w:r w:rsidRPr="00B03B51">
        <w:rPr>
          <w:rFonts w:ascii="Times New Roman" w:hAnsi="Times New Roman" w:cs="Times New Roman"/>
          <w:i/>
          <w:iCs/>
          <w:sz w:val="24"/>
        </w:rPr>
        <w:t>IPC</w:t>
      </w:r>
      <w:r w:rsidRPr="00B03B51">
        <w:rPr>
          <w:rFonts w:ascii="Times New Roman" w:hAnsi="Times New Roman" w:cs="Times New Roman"/>
          <w:sz w:val="24"/>
        </w:rPr>
        <w:t xml:space="preserve"> gadījumā) vai veikti nevajadzīgi ieraksti citās ekonomiskajās plūsmās attiecībā uz konfiscēto nodrošinājumu (neatmaksājamu </w:t>
      </w:r>
      <w:r w:rsidRPr="00B03B51">
        <w:rPr>
          <w:rFonts w:ascii="Times New Roman" w:hAnsi="Times New Roman" w:cs="Times New Roman"/>
          <w:i/>
          <w:iCs/>
          <w:sz w:val="24"/>
        </w:rPr>
        <w:t>IPC</w:t>
      </w:r>
      <w:r w:rsidRPr="00B03B51">
        <w:rPr>
          <w:rFonts w:ascii="Times New Roman" w:hAnsi="Times New Roman" w:cs="Times New Roman"/>
          <w:sz w:val="24"/>
        </w:rPr>
        <w:t xml:space="preserve"> gadījumā).</w:t>
      </w:r>
    </w:p>
    <w:p w14:paraId="2C49862E"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1BAD4CEF" w14:textId="77777777" w:rsidR="00994F93" w:rsidRPr="00B03B51" w:rsidRDefault="00994F93" w:rsidP="00994F93">
      <w:pPr>
        <w:jc w:val="both"/>
        <w:rPr>
          <w:rFonts w:ascii="Times New Roman" w:eastAsia="Arial" w:hAnsi="Times New Roman" w:cs="Times New Roman"/>
          <w:noProof/>
          <w:sz w:val="24"/>
          <w:szCs w:val="21"/>
        </w:rPr>
      </w:pPr>
    </w:p>
    <w:p w14:paraId="626D2578"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59" w:name="1.6._Specific_public_entities"/>
      <w:bookmarkStart w:id="60" w:name="_bookmark6"/>
      <w:bookmarkStart w:id="61" w:name="_Toc67565033"/>
      <w:bookmarkEnd w:id="59"/>
      <w:bookmarkEnd w:id="60"/>
      <w:r w:rsidRPr="00B03B51">
        <w:rPr>
          <w:rFonts w:ascii="Times New Roman" w:hAnsi="Times New Roman" w:cs="Times New Roman"/>
          <w:sz w:val="28"/>
          <w:szCs w:val="44"/>
        </w:rPr>
        <w:t>1.6. Īpaši publiski subjekti</w:t>
      </w:r>
      <w:bookmarkEnd w:id="61"/>
    </w:p>
    <w:p w14:paraId="104352B9" w14:textId="77777777" w:rsidR="00994F93" w:rsidRPr="00C13305" w:rsidRDefault="00994F93" w:rsidP="00C13305">
      <w:pPr>
        <w:rPr>
          <w:rFonts w:ascii="Times New Roman" w:hAnsi="Times New Roman" w:cs="Times New Roman"/>
          <w:noProof/>
          <w:sz w:val="24"/>
          <w:szCs w:val="24"/>
        </w:rPr>
      </w:pPr>
      <w:bookmarkStart w:id="62" w:name="1.6.1_Overview"/>
      <w:bookmarkEnd w:id="62"/>
    </w:p>
    <w:p w14:paraId="01C94CCA"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63" w:name="_Toc67565034"/>
      <w:r w:rsidRPr="00B03B51">
        <w:rPr>
          <w:rFonts w:ascii="Times New Roman" w:hAnsi="Times New Roman" w:cs="Times New Roman"/>
          <w:sz w:val="24"/>
        </w:rPr>
        <w:t>1.6.1. Pārskats</w:t>
      </w:r>
      <w:bookmarkEnd w:id="63"/>
    </w:p>
    <w:p w14:paraId="2293A31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4E4B50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nodaļā sniegta informācija par dažām īpašām, valdības kontrolētām vienībām, kuras darbojas īpašā darbības jomā un attiecībā uz kurām nevar piemērot tirgus/ārpustirgus kritēriju (un 1.2.4.1. apakšiedaļā sniegto lēmumu pieņemšanas shēmu), ciktāl tas ir saistīts ar sektora klasifikāciju. Ir iekļauti šādi gadījumi – īpašam nolūkam dibinātas sabiedrības (ĪNDS), publiski centrālie biroji, publiskas kontrolakciju sabiedrības un to meitasuzņēmumi, pārstrukturēšanas un privatizācijas aģentūras, tirgu regulējošās struktūras, subjekti, kam ir piesaistošās finanšu iestādes pazīmes, un centrālās uzkrājumu uzturēšanas struktūras.</w:t>
      </w:r>
    </w:p>
    <w:p w14:paraId="250187D7" w14:textId="77777777" w:rsidR="00994F93" w:rsidRPr="00B03B51" w:rsidRDefault="00994F93" w:rsidP="00994F93">
      <w:pPr>
        <w:jc w:val="both"/>
        <w:rPr>
          <w:rFonts w:ascii="Times New Roman" w:eastAsia="Arial" w:hAnsi="Times New Roman" w:cs="Times New Roman"/>
          <w:noProof/>
          <w:sz w:val="24"/>
          <w:szCs w:val="20"/>
        </w:rPr>
      </w:pPr>
    </w:p>
    <w:p w14:paraId="46C502B8" w14:textId="77777777" w:rsidR="00994F93" w:rsidRPr="00B03B51" w:rsidRDefault="00994F93" w:rsidP="00994F93">
      <w:pPr>
        <w:pStyle w:val="Heading3"/>
        <w:tabs>
          <w:tab w:val="left" w:pos="1277"/>
        </w:tabs>
        <w:ind w:left="0" w:firstLine="0"/>
        <w:jc w:val="both"/>
        <w:rPr>
          <w:rFonts w:ascii="Times New Roman" w:hAnsi="Times New Roman" w:cs="Times New Roman"/>
          <w:noProof/>
          <w:sz w:val="24"/>
        </w:rPr>
      </w:pPr>
      <w:bookmarkStart w:id="64" w:name="1.6.2_Special_purpose_entities_(SPE)"/>
      <w:bookmarkStart w:id="65" w:name="_Toc67565035"/>
      <w:bookmarkEnd w:id="64"/>
      <w:r w:rsidRPr="00B03B51">
        <w:rPr>
          <w:rFonts w:ascii="Times New Roman" w:hAnsi="Times New Roman" w:cs="Times New Roman"/>
          <w:sz w:val="24"/>
        </w:rPr>
        <w:t>1.6.2. Īpašam nolūkam dibinātas sabiedrības (ĪNDS)</w:t>
      </w:r>
      <w:bookmarkEnd w:id="65"/>
    </w:p>
    <w:p w14:paraId="0F062ED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B402B2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Kopumā īpašam nolūkam dibinātas sabiedrības (dēvētas arī par “īpašam nolūkam izveidotām sabiedrībām”) ir juridiskas personas, kas ir izveidotas, lai kārtotu ekonomiskus un finanšu darījumus saistībā ar vienu juridisku līgumu vai kas ir saistītas ar juridisku līgumu kopumu.</w:t>
      </w:r>
      <w:r w:rsidRPr="00B03B51">
        <w:rPr>
          <w:rStyle w:val="FootnoteReference"/>
          <w:rFonts w:ascii="Times New Roman" w:hAnsi="Times New Roman" w:cs="Times New Roman"/>
          <w:noProof/>
          <w:sz w:val="24"/>
        </w:rPr>
        <w:footnoteReference w:id="74"/>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EKS 2010 2.17. punktā norādīts, ka ĪNDS parasti </w:t>
      </w:r>
      <w:r w:rsidRPr="00B03B51">
        <w:rPr>
          <w:rFonts w:ascii="Times New Roman" w:hAnsi="Times New Roman" w:cs="Times New Roman"/>
          <w:i/>
          <w:iCs/>
          <w:sz w:val="24"/>
        </w:rPr>
        <w:t>(..) izveido, lai sasniegtu ierobežotus, īpašus vai pagaidu mērķus un lai ierobežotu finanšu, īpašu fiskālo vai regulatīvo risku</w:t>
      </w:r>
      <w:r w:rsidRPr="00B03B51">
        <w:rPr>
          <w:rFonts w:ascii="Times New Roman" w:hAnsi="Times New Roman" w:cs="Times New Roman"/>
          <w:sz w:val="24"/>
        </w:rPr>
        <w:t>. ĪNDS valdi parasti veido trasts, kura vienīgais mērķis ir nodrošināt, lai ĪNDS efektīvi īstenotu juridisku līgumu. Tam nav pilnvaru uzdot ĪNDS iesaistīties citā saimnieciskajā darbībā. Juridisko līgumu parasti noformē tā, lai nepieļautu ĪNDS kļūšanu par maksātnespējīgu vai lielas peļņas gūšanas iespēju.</w:t>
      </w:r>
    </w:p>
    <w:p w14:paraId="67C4355B"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6D3FDB44" w14:textId="77777777" w:rsidR="00994F93" w:rsidRPr="00B03B51" w:rsidRDefault="00994F93" w:rsidP="00994F93">
      <w:pPr>
        <w:tabs>
          <w:tab w:val="left" w:pos="840"/>
        </w:tabs>
        <w:jc w:val="both"/>
        <w:rPr>
          <w:rFonts w:ascii="Times New Roman" w:eastAsia="Arial" w:hAnsi="Times New Roman" w:cs="Times New Roman"/>
          <w:i/>
          <w:noProof/>
          <w:sz w:val="24"/>
          <w:szCs w:val="19"/>
        </w:rPr>
      </w:pPr>
      <w:r w:rsidRPr="00B03B51">
        <w:rPr>
          <w:rFonts w:ascii="Times New Roman" w:hAnsi="Times New Roman" w:cs="Times New Roman"/>
          <w:sz w:val="24"/>
          <w:szCs w:val="19"/>
        </w:rPr>
        <w:t>3. EKS 2010 2.18. punktā norādītas dažas šādiem subjektiem “raksturīgas” pazīmes. Tās jāizmanto kā rādītāji, kas tiek pilnīgi vai daļēji konstatēti vai netiek nemaz konstatēti.</w:t>
      </w:r>
      <w:r w:rsidRPr="00B03B51">
        <w:rPr>
          <w:rStyle w:val="FootnoteReference"/>
          <w:rFonts w:ascii="Times New Roman" w:eastAsia="Arial" w:hAnsi="Times New Roman" w:cs="Times New Roman"/>
          <w:noProof/>
          <w:sz w:val="24"/>
          <w:szCs w:val="19"/>
        </w:rPr>
        <w:footnoteReference w:id="75"/>
      </w:r>
      <w:r w:rsidRPr="00B03B51">
        <w:rPr>
          <w:rFonts w:ascii="Times New Roman" w:hAnsi="Times New Roman" w:cs="Times New Roman"/>
          <w:sz w:val="24"/>
          <w:szCs w:val="12"/>
        </w:rPr>
        <w:t xml:space="preserve"> </w:t>
      </w:r>
      <w:r w:rsidRPr="00B03B51">
        <w:rPr>
          <w:rFonts w:ascii="Times New Roman" w:hAnsi="Times New Roman" w:cs="Times New Roman"/>
          <w:sz w:val="24"/>
          <w:szCs w:val="19"/>
        </w:rPr>
        <w:t xml:space="preserve">EKS 2010 2.19. punktā norādīts, ka, </w:t>
      </w:r>
      <w:r w:rsidRPr="00B03B51">
        <w:rPr>
          <w:rFonts w:ascii="Times New Roman" w:hAnsi="Times New Roman" w:cs="Times New Roman"/>
          <w:i/>
          <w:iCs/>
          <w:sz w:val="24"/>
          <w:szCs w:val="19"/>
        </w:rPr>
        <w:t>neņemot vērā to, vai vienībai piemīt visas vai neviena no šīm pazīmēm un vai to raksturo vai neraksturo kā ĪNDS vai ar līdzīgu apzīmējumu, tā jāuztver tāpat kā visas institucionālās vienības, iedalot sektorā un nozarē saskaņā ar tās galveno darbību, ja vien ĪNDS nav neatkarīgas rīcības tiesību</w:t>
      </w:r>
      <w:r w:rsidRPr="00B03B51">
        <w:rPr>
          <w:rFonts w:ascii="Times New Roman" w:hAnsi="Times New Roman" w:cs="Times New Roman"/>
          <w:sz w:val="24"/>
          <w:szCs w:val="19"/>
        </w:rPr>
        <w:t xml:space="preserve">. EKS 2010 2.20. punktā tas paskaidrots sīkāk, norādot, ka </w:t>
      </w:r>
      <w:r w:rsidRPr="00B03B51">
        <w:rPr>
          <w:rFonts w:ascii="Times New Roman" w:hAnsi="Times New Roman" w:cs="Times New Roman"/>
          <w:i/>
          <w:iCs/>
          <w:sz w:val="24"/>
          <w:szCs w:val="19"/>
        </w:rPr>
        <w:t>(..) piesaistošās finanšu iestādes, mākslīgi meitasuzņēmumi un vispārējās valdības īpašam nolūkam dibinātas sabiedrības, kam nav tiesību veikt neatkarīgu darbību, tiek iedalītas to kontrolējošās iestādes sektorā.</w:t>
      </w:r>
      <w:r w:rsidRPr="00B03B51">
        <w:rPr>
          <w:rFonts w:ascii="Times New Roman" w:hAnsi="Times New Roman" w:cs="Times New Roman"/>
          <w:i/>
          <w:sz w:val="24"/>
          <w:szCs w:val="19"/>
        </w:rPr>
        <w:t xml:space="preserve"> Izņēmums ir gadījumi, kad šādas sabiedrības nav rezidentsabiedrības, un šādos gadījumos tiek atzīts, ka tās ir no kontrolējošās iestādes atdalītas vienības. </w:t>
      </w:r>
      <w:r w:rsidRPr="00B03B51">
        <w:rPr>
          <w:rFonts w:ascii="Times New Roman" w:hAnsi="Times New Roman" w:cs="Times New Roman"/>
          <w:i/>
          <w:iCs/>
          <w:sz w:val="24"/>
        </w:rPr>
        <w:t>Valdības gadījumā meitasvienības darbības ir jāatspoguļo valdības kontos</w:t>
      </w:r>
      <w:r w:rsidRPr="00B03B51">
        <w:rPr>
          <w:rFonts w:ascii="Times New Roman" w:hAnsi="Times New Roman" w:cs="Times New Roman"/>
          <w:sz w:val="24"/>
        </w:rPr>
        <w:t>.</w:t>
      </w:r>
    </w:p>
    <w:p w14:paraId="45CBBF8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47F99C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 2010 nav sniegta informācija par “darbību neatkarības” trūkumu, kas ir termins, kuru izmanto attiecībā uz šiem subjektiem. Iepriekš jau tika minēts, ka var būt daži pienākumi, ko veic subjekts, ja vien tam ir pašam savi darbinieki utt. Tomēr darbību neatkarības trūkums skaidri nozīmē to, ka nav lielas rīcības brīvības attiecībā uz šāda subjekta galveno funkciju (piemēram, atvieglot valdībai aizņemšanos un pārvaldīt radušos parādu).</w:t>
      </w:r>
    </w:p>
    <w:p w14:paraId="1E3A305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95C7DE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Valdības izveidotas ĪNDS gadījums ir traktēts EKS 2010 (skat. 2.27. punktu un 20.47.–</w:t>
      </w:r>
      <w:r w:rsidRPr="00B03B51">
        <w:rPr>
          <w:rFonts w:ascii="Times New Roman" w:hAnsi="Times New Roman" w:cs="Times New Roman"/>
          <w:sz w:val="24"/>
        </w:rPr>
        <w:lastRenderedPageBreak/>
        <w:t xml:space="preserve">20.48. punktu). EKS 2.27. punktā norādīts, ka </w:t>
      </w:r>
      <w:r w:rsidRPr="00B03B51">
        <w:rPr>
          <w:rFonts w:ascii="Times New Roman" w:hAnsi="Times New Roman" w:cs="Times New Roman"/>
          <w:i/>
          <w:iCs/>
          <w:sz w:val="24"/>
        </w:rPr>
        <w:t>(..) šādas vienības, ja tās ir rezidenti, jāuztver kā vispārējās valdības neatņemama sastāvdaļa, nevis atsevišķas vienības</w:t>
      </w:r>
      <w:r w:rsidRPr="00B03B51">
        <w:rPr>
          <w:rFonts w:ascii="Times New Roman" w:hAnsi="Times New Roman" w:cs="Times New Roman"/>
          <w:sz w:val="24"/>
        </w:rPr>
        <w:t>, t. i., tās ir apvienotas ar kontrolējošo vienību (mātesvienību), jo tās nav institucionālās vienības. ĪNDS jāieraksta kā atsevišķa vienība tikai tad, ja ir skaidrs, ka ĪNDS nedarbojas valdības vārdā, kas savukārt nozīmē, ka tā lielā mērā spēj lemt, piemēram, par emitējamo instrumentu veidu un termiņu un pieņemt citus lēmumus, kas saistīti ar parāda pārvaldību un/vai atbilstīgajiem aktīviem.</w:t>
      </w:r>
    </w:p>
    <w:p w14:paraId="2C56BEAB"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16DD5EFF"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6. Ja subjekts neatrodas teritorijā, kurā atrodas tā mātesvienība, kā tas var būt vērtspapirizācijas darbību gadījumā vai cita iemeslu dēļ, kas saistīti ar finansēm, kad šādi subjekti bieži tiek veidoti aktīvos finanšu centros (atvieglota emisija un plašāks tirgus), ĪNDS jāuzskata par atsevišķu institucionālu vienību, un saskaņā ar EKS 2.27. punktu </w:t>
      </w:r>
      <w:r w:rsidRPr="00B03B51">
        <w:rPr>
          <w:rFonts w:ascii="Times New Roman" w:hAnsi="Times New Roman" w:cs="Times New Roman"/>
          <w:i/>
          <w:iCs/>
          <w:sz w:val="24"/>
          <w:szCs w:val="19"/>
        </w:rPr>
        <w:t>(..) visi darījumi, ko tās veic ārvalstīs, jāatspoguļo attiecīgajos darījumos ar valdību</w:t>
      </w:r>
      <w:r w:rsidRPr="00B03B51">
        <w:rPr>
          <w:rFonts w:ascii="Times New Roman" w:hAnsi="Times New Roman" w:cs="Times New Roman"/>
          <w:sz w:val="24"/>
          <w:szCs w:val="19"/>
        </w:rPr>
        <w:t>.</w:t>
      </w:r>
    </w:p>
    <w:p w14:paraId="45920AF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EBAA32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EKS 2010 20.48. punktā sniegts sīkāks paskaidrojums par šo punktu. Darījumi, ko veic ĪNDS, kura nav rezidentvienība, tiek ierakstīti teritorijā, bet nosacītie “spoguļa” darījumi tiks pievienoti starp ĪNDS un valdību. Piemēram, ĪNDS aizņēmums radīs valdībai saistības (pēc ienākumu no emisijas pārveduma) un līdz ar to palielinās valdības parādu. Gadījumā, ja vērtspapirizācija notiek ar nerezidentvienības ĪNDS starpniecību, aktīvu pārdošana (finanšu un nefinanšu) kā tāda nacionālajos kontos netiktu atzīta, un pasākuma rezultātā valdība ņemtu jaunu aizdevumu.</w:t>
      </w:r>
    </w:p>
    <w:p w14:paraId="2911123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EF3962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EKS 2010 2.19. punktā paredzēts gadījums, kad valdības kontrolēta ĪNDS var būt klasificēta ārpus valdības sektora (parasti S.12 sektorā). Tomēr šādā gadījumā jābūt pārliecinošiem pierādījumiem, kas apliecina, ka valdības kontrolētā ĪNDS faktiski varētu rīkoties “neatkarīgi”, nevis saskaņā ar noteiktiem ierobežojumiem, kurus pilnībā noteikusi valdība. Tomēr, ja ĪNDS ir izveidota ar mērķi apkalpot valdības vienību, par rīcības neatkarības trūkumu var liecināt cita starpā šādi apstākļi:</w:t>
      </w:r>
    </w:p>
    <w:p w14:paraId="31D514E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690234F" w14:textId="77777777" w:rsidR="00994F93" w:rsidRPr="00B03B51" w:rsidRDefault="00994F93" w:rsidP="00D100A9">
      <w:pPr>
        <w:pStyle w:val="BodyText"/>
        <w:numPr>
          <w:ilvl w:val="1"/>
          <w:numId w:val="22"/>
        </w:numPr>
        <w:tabs>
          <w:tab w:val="left" w:pos="1123"/>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valdība </w:t>
      </w:r>
      <w:r w:rsidRPr="00B03B51">
        <w:rPr>
          <w:rFonts w:ascii="Times New Roman" w:hAnsi="Times New Roman" w:cs="Times New Roman"/>
          <w:i/>
          <w:iCs/>
          <w:sz w:val="24"/>
        </w:rPr>
        <w:t>de facto</w:t>
      </w:r>
      <w:r w:rsidRPr="00B03B51">
        <w:rPr>
          <w:rFonts w:ascii="Times New Roman" w:hAnsi="Times New Roman" w:cs="Times New Roman"/>
          <w:sz w:val="24"/>
        </w:rPr>
        <w:t xml:space="preserve"> pārvalda</w:t>
      </w:r>
      <w:r w:rsidRPr="00B03B51">
        <w:rPr>
          <w:rStyle w:val="FootnoteReference"/>
          <w:rFonts w:ascii="Times New Roman" w:hAnsi="Times New Roman" w:cs="Times New Roman"/>
          <w:noProof/>
          <w:sz w:val="24"/>
        </w:rPr>
        <w:footnoteReference w:id="76"/>
      </w:r>
      <w:r w:rsidRPr="00B03B51">
        <w:rPr>
          <w:rFonts w:ascii="Times New Roman" w:hAnsi="Times New Roman" w:cs="Times New Roman"/>
          <w:sz w:val="24"/>
        </w:rPr>
        <w:t xml:space="preserve"> ĪNDS parādu (piemēram, šie pienākumi ir nodoti Valsts kases Parāda pārvaldības birojam), vai</w:t>
      </w:r>
    </w:p>
    <w:p w14:paraId="72A7606B" w14:textId="77777777" w:rsidR="00994F93" w:rsidRPr="00B03B51" w:rsidRDefault="00994F93" w:rsidP="00D100A9">
      <w:pPr>
        <w:pStyle w:val="BodyText"/>
        <w:numPr>
          <w:ilvl w:val="1"/>
          <w:numId w:val="22"/>
        </w:numPr>
        <w:tabs>
          <w:tab w:val="left" w:pos="1123"/>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tiesību vai spējas neesamība aktīvi pārvaldīt savus aktīvus, reaģējot uz tirgus apstākļiem (arbitrāža), jo valdībai ir tiesības apstiprināt jebkādu būtisku lēmumu attiecībā uz šo jautājumu, vai</w:t>
      </w:r>
    </w:p>
    <w:p w14:paraId="1A2AD718" w14:textId="77777777" w:rsidR="00994F93" w:rsidRPr="00B03B51" w:rsidRDefault="00994F93" w:rsidP="00D100A9">
      <w:pPr>
        <w:pStyle w:val="BodyText"/>
        <w:numPr>
          <w:ilvl w:val="1"/>
          <w:numId w:val="22"/>
        </w:numPr>
        <w:tabs>
          <w:tab w:val="left" w:pos="1123"/>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iepriekš saskaņots, valdības parakstīts līgums vai vienošanās, kurā ir pilnīgi noteikta ĪNDS darbība.</w:t>
      </w:r>
    </w:p>
    <w:p w14:paraId="788A6EAF" w14:textId="77777777" w:rsidR="00994F93" w:rsidRPr="00B03B51" w:rsidRDefault="00994F93" w:rsidP="00994F93">
      <w:pPr>
        <w:jc w:val="both"/>
        <w:rPr>
          <w:rFonts w:ascii="Times New Roman" w:eastAsia="Arial" w:hAnsi="Times New Roman" w:cs="Times New Roman"/>
          <w:noProof/>
          <w:sz w:val="24"/>
          <w:szCs w:val="19"/>
        </w:rPr>
      </w:pPr>
    </w:p>
    <w:p w14:paraId="71C52DE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ĪNDS, kas veic finanšu darbības</w:t>
      </w:r>
    </w:p>
    <w:p w14:paraId="347EDA59" w14:textId="77777777" w:rsidR="00994F93" w:rsidRPr="00B03B51" w:rsidRDefault="00994F93" w:rsidP="00994F93">
      <w:pPr>
        <w:jc w:val="both"/>
        <w:rPr>
          <w:rFonts w:ascii="Times New Roman" w:eastAsia="Arial" w:hAnsi="Times New Roman" w:cs="Times New Roman"/>
          <w:b/>
          <w:bCs/>
          <w:noProof/>
          <w:sz w:val="24"/>
          <w:szCs w:val="21"/>
        </w:rPr>
      </w:pPr>
    </w:p>
    <w:p w14:paraId="018B63A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Dažos gadījumos valdības kontrolēta ĪNDS var būt formāli izveidota ar finanšu iestādes statusu (kas nozīmē to, ka tai jāizpilda noteikti uzraudzības un regulēšanas pienākumi), lai veiktu darījumus valdības vārdā. Ja šajos gadījumos ĪNDS nedarbojas neatkarīgi un tai līdz ar to ir ļoti ierobežota lēmumu pieņemšanas autonomija un ja valdība tiešām ir ierosinājusi darījumu, tad ĪNDS darbojas tikai valdības vārdā, nepakļaujot sevi riskam, un nepieņem ar aktīvu pārvaldību saistītus lēmumus. Šajā saistībā EKS 2010 2.57. punktā ir noteikts, ka </w:t>
      </w:r>
      <w:r w:rsidRPr="00B03B51">
        <w:rPr>
          <w:rFonts w:ascii="Times New Roman" w:hAnsi="Times New Roman" w:cs="Times New Roman"/>
          <w:i/>
          <w:iCs/>
          <w:sz w:val="24"/>
        </w:rPr>
        <w:t>(..) finanšu starpnieks ne tikai darbojas kā citu institucionālo vienību aģents, bet arī pakļauj sevi riskam, savā vārdā pērkot finanšu aktīvus un uzņemoties saistības</w:t>
      </w:r>
      <w:r w:rsidRPr="00B03B51">
        <w:rPr>
          <w:rFonts w:ascii="Times New Roman" w:hAnsi="Times New Roman" w:cs="Times New Roman"/>
          <w:sz w:val="24"/>
        </w:rPr>
        <w:t xml:space="preserve">. Pretējā gadījumā šādu ĪNDS </w:t>
      </w:r>
      <w:r w:rsidRPr="00B03B51">
        <w:rPr>
          <w:rFonts w:ascii="Times New Roman" w:hAnsi="Times New Roman" w:cs="Times New Roman"/>
          <w:sz w:val="24"/>
        </w:rPr>
        <w:lastRenderedPageBreak/>
        <w:t>klasificē valdības sektorā. Praksē katrs šāds gadījums ir jāanalizē atsevišķi. Ja ĪNDS atbilst nosacījumiem, saskaņā ar kuriem to var uzskatīt par atsevišķu institucionālu vienību, un tai vienlaikus ir paplašinātas tiesības ar aktīviem un pasīviem saistīto risku aktīvā pārvaldībā, kuru dēļ tās veikto darbību var klasificēt kā finanšu starpniecību, tā jāklasificē kā finanšu sabiedrība (S.12).</w:t>
      </w:r>
    </w:p>
    <w:p w14:paraId="5B7B811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C13633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EKS 2010 2.90. punkts kopumā attiecas uz “finanšu instrumentsabiedrībām” (FIS), kas iesaistītas vērtspapirizācijas darījumos (lai arī tās ir labāk pazīstamas kā ĪNDS) un kas jāklasificē apakšsektorā “citi finanšu starpnieki, izņemot apdrošināšanas sabiedrības un pensiju fondus” (S.125), ja tās tiek atzītas par atsevišķu institucionālu vienību.</w:t>
      </w:r>
      <w:r w:rsidRPr="00B03B51">
        <w:rPr>
          <w:rStyle w:val="FootnoteReference"/>
          <w:rFonts w:ascii="Times New Roman" w:hAnsi="Times New Roman" w:cs="Times New Roman"/>
          <w:noProof/>
          <w:sz w:val="24"/>
        </w:rPr>
        <w:footnoteReference w:id="77"/>
      </w:r>
      <w:r w:rsidRPr="00B03B51">
        <w:rPr>
          <w:rFonts w:ascii="Times New Roman" w:hAnsi="Times New Roman" w:cs="Times New Roman"/>
          <w:sz w:val="24"/>
          <w:szCs w:val="12"/>
        </w:rPr>
        <w:t xml:space="preserve"> </w:t>
      </w:r>
      <w:r w:rsidRPr="00B03B51">
        <w:rPr>
          <w:rFonts w:ascii="Times New Roman" w:hAnsi="Times New Roman" w:cs="Times New Roman"/>
          <w:sz w:val="24"/>
        </w:rPr>
        <w:t>Attiecībā uz finanšu sabiedrību sektoru šī FIS identificēšana atsevišķi no labuma guvēja subjekta var būt būtiska no analīzes viedokļa. Savukārt, ja vērtspapirizācijas darījumā labuma guvējs ir valdības vienība, sektoru klasifikācija jāveic, ievērojot šīs rokasgrāmatas 5.5.2. iedaļas noteikumus.</w:t>
      </w:r>
      <w:r w:rsidRPr="00B03B51">
        <w:rPr>
          <w:rStyle w:val="FootnoteReference"/>
          <w:rFonts w:ascii="Times New Roman" w:hAnsi="Times New Roman" w:cs="Times New Roman"/>
          <w:noProof/>
          <w:sz w:val="24"/>
        </w:rPr>
        <w:footnoteReference w:id="78"/>
      </w:r>
      <w:r w:rsidRPr="00B03B51">
        <w:rPr>
          <w:rFonts w:ascii="Times New Roman" w:hAnsi="Times New Roman" w:cs="Times New Roman"/>
          <w:sz w:val="24"/>
        </w:rPr>
        <w:t xml:space="preserve"> Kā minēts iepriekš, EKS 2010 2.20. punktā norādīts, ka īpašas vispārējās valdības struktūras, kurām nav rīcības neatkarības, tiek iekļautas kontrolējošās valdības vienības apakšsektorā.</w:t>
      </w:r>
    </w:p>
    <w:p w14:paraId="7ED2D5FA" w14:textId="77777777" w:rsidR="00994F93" w:rsidRPr="00B03B51" w:rsidRDefault="00994F93" w:rsidP="00994F93">
      <w:pPr>
        <w:jc w:val="both"/>
        <w:rPr>
          <w:rFonts w:ascii="Times New Roman" w:hAnsi="Times New Roman" w:cs="Times New Roman"/>
          <w:noProof/>
          <w:sz w:val="24"/>
        </w:rPr>
      </w:pPr>
    </w:p>
    <w:p w14:paraId="7967C836"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66" w:name="_Toc67565036"/>
      <w:r w:rsidRPr="00B03B51">
        <w:rPr>
          <w:rFonts w:ascii="Times New Roman" w:hAnsi="Times New Roman" w:cs="Times New Roman"/>
          <w:sz w:val="24"/>
        </w:rPr>
        <w:t>1.6.3. Publiski centrālie biroji, publiskas kontrolakciju sabiedrības un to meitasuzņēmumi</w:t>
      </w:r>
      <w:bookmarkEnd w:id="66"/>
    </w:p>
    <w:p w14:paraId="1D78AB24" w14:textId="77777777" w:rsidR="00994F93" w:rsidRPr="009D08C4" w:rsidRDefault="00994F93" w:rsidP="009D08C4">
      <w:pPr>
        <w:rPr>
          <w:rFonts w:ascii="Times New Roman" w:hAnsi="Times New Roman" w:cs="Times New Roman"/>
          <w:noProof/>
          <w:sz w:val="24"/>
          <w:szCs w:val="24"/>
        </w:rPr>
      </w:pPr>
    </w:p>
    <w:p w14:paraId="394A50BB"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1.6.3.1. PUBLISKI CENTRĀLIE BIROJI</w:t>
      </w:r>
    </w:p>
    <w:p w14:paraId="7307E8CD"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117AFCA2"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11. Saskaņā ar EKS 2010 2.12. punktu: </w:t>
      </w:r>
      <w:r w:rsidRPr="00B03B51">
        <w:rPr>
          <w:rFonts w:ascii="Times New Roman" w:hAnsi="Times New Roman" w:cs="Times New Roman"/>
          <w:i/>
          <w:iCs/>
          <w:sz w:val="24"/>
          <w:szCs w:val="19"/>
        </w:rPr>
        <w:t>(..) institucionālā vienība ir ekonomisks subjekts, ko raksturo lēmumu pieņemšanas autonomija savu pamatfunkciju īstenošanā (..)</w:t>
      </w:r>
      <w:r w:rsidRPr="00B03B51">
        <w:rPr>
          <w:rFonts w:ascii="Times New Roman" w:hAnsi="Times New Roman" w:cs="Times New Roman"/>
          <w:sz w:val="24"/>
          <w:szCs w:val="19"/>
        </w:rPr>
        <w:t xml:space="preserve"> Citu kritēriju starpā šo var uzskatīt par pamatkritēriju. Svarīgs aspekts ir tas, ka neatkarīgi no tā, vai subjekts tiek atzīts par institucionālu vienību, tā klasifikācija ir jānovērtē individuāli. Galvenais jautājums, kas jāapsver centrālo biroju un to meitasuzņēmumu klasifikācijā, ir tas, vai noteicošais ir šis vispārīgais noteikums vai arī pastāv vai vajadzētu pastāvēt kādiem īpašiem noteikumiem attiecībā uz šiem subjektiem. </w:t>
      </w:r>
      <w:r w:rsidRPr="00B03B51">
        <w:rPr>
          <w:rFonts w:ascii="Times New Roman" w:hAnsi="Times New Roman" w:cs="Times New Roman"/>
          <w:sz w:val="24"/>
        </w:rPr>
        <w:t xml:space="preserve">EKS 2010 2.15. punktā ir noteikts, ka subjektu grupās </w:t>
      </w:r>
      <w:r w:rsidRPr="00B03B51">
        <w:rPr>
          <w:rFonts w:ascii="Times New Roman" w:hAnsi="Times New Roman" w:cs="Times New Roman"/>
          <w:i/>
          <w:iCs/>
          <w:sz w:val="24"/>
        </w:rPr>
        <w:t>(..) katrs grupas dalībnieks tiek uztverts kā atsevišķa institucionāla vienība, ja tas atbilst institucionālas vienības definīcijai (..)</w:t>
      </w:r>
      <w:r w:rsidRPr="00B03B51">
        <w:rPr>
          <w:rFonts w:ascii="Times New Roman" w:hAnsi="Times New Roman" w:cs="Times New Roman"/>
          <w:sz w:val="24"/>
        </w:rPr>
        <w:t>. Pretējā gadījumā tas jāapvieno ar vienību, kas to kontrolē (sīkāka informācija ir sniegta 1.6.3.3. apakšiedaļā).</w:t>
      </w:r>
    </w:p>
    <w:p w14:paraId="363A8594"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7E23577A"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12. Kopumā centrālais birojs ir institucionāla vienība, kas EKS 2010 2.14. punkta a) apakšpunktā ir definēts kā </w:t>
      </w:r>
      <w:r w:rsidRPr="00B03B51">
        <w:rPr>
          <w:rFonts w:ascii="Times New Roman" w:hAnsi="Times New Roman" w:cs="Times New Roman"/>
          <w:i/>
          <w:iCs/>
          <w:sz w:val="24"/>
          <w:szCs w:val="19"/>
        </w:rPr>
        <w:t>vienība, kas pārvalda savus meitasuzņēmumus</w:t>
      </w:r>
      <w:r w:rsidRPr="00B03B51">
        <w:rPr>
          <w:rFonts w:ascii="Times New Roman" w:hAnsi="Times New Roman" w:cs="Times New Roman"/>
          <w:sz w:val="24"/>
          <w:szCs w:val="19"/>
        </w:rPr>
        <w:t xml:space="preserve"> un kas ir iedalīta </w:t>
      </w:r>
      <w:r w:rsidRPr="00B03B51">
        <w:rPr>
          <w:rFonts w:ascii="Times New Roman" w:hAnsi="Times New Roman" w:cs="Times New Roman"/>
          <w:i/>
          <w:iCs/>
          <w:sz w:val="24"/>
          <w:szCs w:val="19"/>
        </w:rPr>
        <w:t>(..) savu meitasuzņēmumu galvenajā nefinanšu sabiedrību sektorā, ja vien visi vai lielākā daļa meitasuzņēmumu nav finanšu sabiedrības, jo tādā gadījumā tos uzskata par finanšu palīgsabiedrībām (S.126) finanšu sabiedrību sektorā (..)</w:t>
      </w:r>
      <w:r w:rsidRPr="00B03B51">
        <w:rPr>
          <w:rFonts w:ascii="Times New Roman" w:hAnsi="Times New Roman" w:cs="Times New Roman"/>
          <w:sz w:val="24"/>
          <w:szCs w:val="19"/>
        </w:rPr>
        <w:t xml:space="preserve"> (skat. arī EKS 2010 20.35. punktu). Līdz ar to centrālais birojs ir ievērojami iesaistīts citu grupas vienību (meitasuzņēmumu) pārvaldībā, sniedzot tiem atsevišķus pakalpojumus, tostarp nodrošinot grupas koordināciju. Tas nozīmē, ka centrālais birojs īsteno vadības uzdevumus un pilnvaras, kas nav tikai vienkārša regulāra līdzdalība grupā ietilpstošo meitasuzņēmumu sapulcē, un centrālā biroja vadības struktūras svarīgākos lēmumus pieņem vai apstiprina zemākā līmenī.</w:t>
      </w:r>
    </w:p>
    <w:p w14:paraId="2CDFE5E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484594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Saskaņā ar EKS 2010</w:t>
      </w:r>
      <w:r w:rsidRPr="00B03B51">
        <w:rPr>
          <w:rStyle w:val="FootnoteReference"/>
          <w:rFonts w:ascii="Times New Roman" w:hAnsi="Times New Roman" w:cs="Times New Roman"/>
          <w:noProof/>
          <w:sz w:val="24"/>
        </w:rPr>
        <w:footnoteReference w:id="79"/>
      </w:r>
      <w:r w:rsidRPr="00B03B51">
        <w:rPr>
          <w:rFonts w:ascii="Times New Roman" w:hAnsi="Times New Roman" w:cs="Times New Roman"/>
          <w:sz w:val="24"/>
        </w:rPr>
        <w:t xml:space="preserve"> centrālais birojs ir jānošķir no kontrolakciju sabiedrības </w:t>
      </w:r>
      <w:r w:rsidRPr="00B03B51">
        <w:rPr>
          <w:rFonts w:ascii="Times New Roman" w:hAnsi="Times New Roman" w:cs="Times New Roman"/>
          <w:sz w:val="24"/>
        </w:rPr>
        <w:lastRenderedPageBreak/>
        <w:t>(skat. 1.6.3.2. apakšiedaļu). Tāpēc ir svarīgi katru gadījumu izvērtēt atsevišķi</w:t>
      </w:r>
      <w:r w:rsidRPr="00B03B51">
        <w:rPr>
          <w:rStyle w:val="FootnoteReference"/>
          <w:rFonts w:ascii="Times New Roman" w:hAnsi="Times New Roman" w:cs="Times New Roman"/>
          <w:noProof/>
          <w:sz w:val="24"/>
        </w:rPr>
        <w:footnoteReference w:id="80"/>
      </w:r>
      <w:r w:rsidRPr="00B03B51">
        <w:rPr>
          <w:rFonts w:ascii="Times New Roman" w:hAnsi="Times New Roman" w:cs="Times New Roman"/>
          <w:sz w:val="24"/>
        </w:rPr>
        <w:t>, lai pārbaudītu šādu vienību faktiskos pienākumus grupas vadības jomā, to statūtus un iekšējos noteikumus, cilvēkresursus</w:t>
      </w:r>
      <w:r w:rsidRPr="00B03B51">
        <w:rPr>
          <w:rStyle w:val="FootnoteReference"/>
          <w:rFonts w:ascii="Times New Roman" w:hAnsi="Times New Roman" w:cs="Times New Roman"/>
          <w:noProof/>
          <w:sz w:val="24"/>
        </w:rPr>
        <w:footnoteReference w:id="81"/>
      </w:r>
      <w:r w:rsidRPr="00B03B51">
        <w:rPr>
          <w:rFonts w:ascii="Times New Roman" w:hAnsi="Times New Roman" w:cs="Times New Roman"/>
          <w:sz w:val="24"/>
        </w:rPr>
        <w:t xml:space="preserve"> un fiziskos līdzekļus, ieņēmumu avotu un izdevumu būtību.</w:t>
      </w:r>
      <w:r w:rsidRPr="00B03B51">
        <w:rPr>
          <w:rStyle w:val="FootnoteReference"/>
          <w:rFonts w:ascii="Times New Roman" w:hAnsi="Times New Roman" w:cs="Times New Roman"/>
          <w:noProof/>
          <w:sz w:val="24"/>
        </w:rPr>
        <w:footnoteReference w:id="82"/>
      </w:r>
      <w:r w:rsidRPr="00B03B51">
        <w:rPr>
          <w:rFonts w:ascii="Times New Roman" w:hAnsi="Times New Roman" w:cs="Times New Roman"/>
          <w:sz w:val="24"/>
        </w:rPr>
        <w:t xml:space="preserve"> Svarīgs rādītājs, kas jāņem vērā, ir arī privātu akcionāru esamība (ar faktisku ietekmi uz atsevišķiem lēmumiem, kas būtiski vismaz grupā ietilpstošajiem subjektiem).</w:t>
      </w:r>
    </w:p>
    <w:p w14:paraId="04623B7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78FCD9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Centrālajam birojam ir jāsniedz pakalpojumi meitasvienībām. Praksē tā nenotiktu, ja šādas struktūras būtu izveidotas kādas ierobežojošas darbības veikšanai, piemēram, lai pārorganizētu, pārstrukturētu meitasvienības un vadītu to pilnīgu vai daļēju atsavināšanu, uz ierobežotu laika posmu un ne kā pastāvīga struktūra.</w:t>
      </w:r>
    </w:p>
    <w:p w14:paraId="72CF351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235347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Atzītie publiskie centrālie biroji tiek klasificēti nefinanšu sabiedrību sektorā (S.11), ja tie kontrolē tirgus nefinanšu ražotāju grupu, vai finanšu sabiedrību sektorā (kā S.126 “finanšu palīgsabiedrības”), ja tās kontrolē grupu, kura galvenokārt nodarbojas ar finanšu starpniecību. Ja darbības ir “jauktas”, publisku centrālo biroju klasificē attiecīgā sektorā, pamatojoties uz tā meitasvienību dominējošo pievienotās vērtības daļu. Gadījumā, ja publiskais centrālais birojs kontrolē galvenokārt ārpustirgus meitasuzņēmumus, šādu centrālo biroju klasificē vispārējās valdības sektorā (S.13).</w:t>
      </w:r>
    </w:p>
    <w:p w14:paraId="1E296842" w14:textId="77777777" w:rsidR="00994F93" w:rsidRPr="00B03B51" w:rsidRDefault="00994F93" w:rsidP="00994F93">
      <w:pPr>
        <w:jc w:val="both"/>
        <w:rPr>
          <w:rFonts w:ascii="Times New Roman" w:eastAsia="Arial" w:hAnsi="Times New Roman" w:cs="Times New Roman"/>
          <w:noProof/>
          <w:sz w:val="24"/>
          <w:szCs w:val="16"/>
        </w:rPr>
      </w:pPr>
    </w:p>
    <w:p w14:paraId="35916EF7"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1.6.3.2. PUBLISKAS KONTROLAKCIJU SABIEDRĪBAS</w:t>
      </w:r>
    </w:p>
    <w:p w14:paraId="275ABC0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EECC25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Saskaņā ar EKS 2010 2.14. punkta b) apakšpunktu kontrolakciju sabiedrība</w:t>
      </w:r>
      <w:r w:rsidRPr="00B03B51">
        <w:rPr>
          <w:rStyle w:val="FootnoteReference"/>
          <w:rFonts w:ascii="Times New Roman" w:hAnsi="Times New Roman" w:cs="Times New Roman"/>
          <w:noProof/>
          <w:sz w:val="24"/>
        </w:rPr>
        <w:footnoteReference w:id="83"/>
      </w:r>
      <w:r w:rsidRPr="00B03B51">
        <w:rPr>
          <w:rFonts w:ascii="Times New Roman" w:hAnsi="Times New Roman" w:cs="Times New Roman"/>
          <w:sz w:val="24"/>
        </w:rPr>
        <w:t xml:space="preserve"> ir institucionālā vienība, kas tur meitasuzņēmumu aktīvus, īsteno kontroli pār tām, taču neuzņemas to pārvaldību, t. i., tās aktīvi neiesaistās grupas ikdienas darbībās. Kontrolakciju sabiedrības galvenokārt pārrauga meitasuzņēmumu ienākuma sadali un pārdala ienākumu savam(-iem) akcionāram(-iem). Precīzāk, šādi subjekti nesniedz nekādus citus pakalpojumus subjektiem, kuros tie tur aktīvus. Saskaņā ar EKS 2010 2.14. punkta b) apakšpunktu, vispārīgi raugoties, kontrolakciju sabiedrības ir jāuzskata par piesaistošām finanšu sabiedrībām (S.127), taču, šķiet, to nevar piemērot publiskām kontrolakciju sabiedrībām.</w:t>
      </w:r>
    </w:p>
    <w:p w14:paraId="3BE792D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DF90DC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Valdība var kontrolēt kontrolakciju sabiedrību, kuras darbība liecina par to, ka tā darbojas vienkārši kā valdības aģents. Norādes varētu sniegt tas, kādam darbības termiņam tā ir izveidota un/vai kādi ir tai uzticētie pienākumi (parasti ierobežotā darbības jomā).</w:t>
      </w:r>
    </w:p>
    <w:p w14:paraId="16929D0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19EFA8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Publisku kontrolakciju sabiedrību, kas tur meitasvienību aktīvus (pašu kapitālu un, iespējams, citus finanšu aktīvus) klasificē kā norādīts turpmāk:</w:t>
      </w:r>
    </w:p>
    <w:p w14:paraId="1AFEA1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5737C87"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klasificē vispārējā valdībā, ja:</w:t>
      </w:r>
    </w:p>
    <w:p w14:paraId="2A7D26BA"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1E4385B0" w14:textId="77777777" w:rsidR="00994F93" w:rsidRPr="00B03B51" w:rsidRDefault="00994F93" w:rsidP="00994F93">
      <w:pPr>
        <w:pStyle w:val="BodyText"/>
        <w:numPr>
          <w:ilvl w:val="1"/>
          <w:numId w:val="21"/>
        </w:numPr>
        <w:tabs>
          <w:tab w:val="left" w:pos="1409"/>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tā ir sava veida “čaula”, jo neveic savu meitasvienību pārvaldību un faktisku vadību, bet gan darbojas kā noteikta veida “uzskaites instruments”, meitasvienību faktisko vadību īstenojot valdībai, vai ja tā sniedz palīgpakalpojumus valdības vienībai, kura to kontrolē (piemēram, vāc datus no grupas);</w:t>
      </w:r>
    </w:p>
    <w:p w14:paraId="1F6C7BCB" w14:textId="77777777" w:rsidR="00994F93" w:rsidRPr="00B03B51" w:rsidRDefault="00994F93" w:rsidP="00994F93">
      <w:pPr>
        <w:pStyle w:val="BodyText"/>
        <w:numPr>
          <w:ilvl w:val="1"/>
          <w:numId w:val="21"/>
        </w:numPr>
        <w:tabs>
          <w:tab w:val="left" w:pos="1409"/>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tā pastāvīgi vai dažkārt tiek izmantota tipiskām valdības darbībām, piemēram, valsts subsīdiju piešķiršanai vai pārvaldībai, kas nozīmē to, ka jāveic valsts ieņēmumu un bagātības pārdale. Tā darbojas kā valdības aģents, jo valdība lielākoties tai piešķir galvenos līdzekļus, kas tiek pārdalīti grupā.</w:t>
      </w:r>
    </w:p>
    <w:p w14:paraId="1FD5DFD5"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AF8B3FC"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Abos gadījumos subjektu nevar uzskatīt par neatkarīgu lēmumu pieņemšanā, un attiecīgi to nevar uzskatīt par institucionālo vienību, un tāpēc to klasificē valdības sektorā, nevis finanšu sabiedrību sektorā (S.12), kā tas varētu būt privātu kontrolakciju sabiedrību gadījumā;</w:t>
      </w:r>
    </w:p>
    <w:p w14:paraId="621DC0EF"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2A7F6A5D"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to uzskata par “centrālo biroju” (skat. iepriekš). Šajā gadījumā ir jānovērtē, kādā sektorā ir klasificēti tā meitasuzņēmumi, atsaucoties uz standarta klasifikācijas noteikumiem.</w:t>
      </w:r>
    </w:p>
    <w:p w14:paraId="75204DF2" w14:textId="77777777" w:rsidR="00994F93" w:rsidRPr="00B03B51" w:rsidRDefault="00994F93" w:rsidP="00994F93">
      <w:pPr>
        <w:jc w:val="both"/>
        <w:rPr>
          <w:rFonts w:ascii="Times New Roman" w:eastAsia="Arial" w:hAnsi="Times New Roman" w:cs="Times New Roman"/>
          <w:noProof/>
          <w:sz w:val="24"/>
          <w:szCs w:val="15"/>
        </w:rPr>
      </w:pPr>
    </w:p>
    <w:p w14:paraId="735B26C9"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1.6.3.3. PUBLISKO KONTROLAKCIJU SABIEDRĪBU UN CENTRĀLO BIROJU MEITASUZŅĒMUMI</w:t>
      </w:r>
    </w:p>
    <w:p w14:paraId="0AEBE03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6044BF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Saskaņā ar EKS 2010 2.13. punkta e) apakšpunktu dažus meitasuzņēmumus uzskata par institucionālām vienībām, </w:t>
      </w:r>
      <w:r w:rsidRPr="00B03B51">
        <w:rPr>
          <w:rFonts w:ascii="Times New Roman" w:hAnsi="Times New Roman" w:cs="Times New Roman"/>
          <w:i/>
          <w:iCs/>
          <w:sz w:val="24"/>
        </w:rPr>
        <w:t>(..) pat ja tie ir daļēji atteikušies no savas lēmumu pieņemšanas autonomijas par labu centrālajai struktūrai (centrālajam birojam) (..)</w:t>
      </w:r>
      <w:r w:rsidRPr="00B03B51">
        <w:rPr>
          <w:rFonts w:ascii="Times New Roman" w:hAnsi="Times New Roman" w:cs="Times New Roman"/>
          <w:sz w:val="24"/>
        </w:rPr>
        <w:t>. Izņemot atsevišķus grupā ietilpstošus subjektus, par kuriem uzskata, ka tie var sniegt palīgpakalpojumus, kas vienīgi sniedz pakalpojumus centrālajai struktūrai, meitasuzņēmumu klasifikācija jāvērtē katrā gadījumā atsevišķi. Ja divus juridiski saistītus subjektus nevar pamatoti uzskatīt par atsevišķiem subjektiem, tie ir jātraktē kā vienota institucionālā vienība. Taču tiklīdz katru subjektu uzskata par institucionālu vienību, ir stingri jāievēro parastie sektora klasifikācijas noteikumi.</w:t>
      </w:r>
    </w:p>
    <w:p w14:paraId="3DE2CA8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0804C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Ja meitasuzņēmums ir atzīts par institucionālu vienību un ir noteikts, ka tā ir ārpustirgus vienība, tā jāklasificē vispārējās valdības sektorā, pat ja tā tikai netieši atrodas valdības kontrolē ar centrālā biroja/publiskas kontrolakciju sabiedrības starpniecību. Jāņem vērā, ka gadījumā, ja tirgus institucionālā vienība īsteno noteiktas darbības/darījumus valdības vārdā, jāpiemēro “pārkārtoto darījumu” noteikumi, kas noteikti EKS 2010 1.72. punktā un turpmākajos punktos.</w:t>
      </w:r>
    </w:p>
    <w:p w14:paraId="14FCD73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2D9CC6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Vēl viens aspekts ir saistīts ar valdības kontroli, t. i., vai ārpustirgus meitasuzņēmumu, kas atrodas tikai </w:t>
      </w:r>
      <w:r w:rsidRPr="00B03B51">
        <w:rPr>
          <w:rFonts w:ascii="Times New Roman" w:hAnsi="Times New Roman" w:cs="Times New Roman"/>
          <w:i/>
          <w:iCs/>
          <w:sz w:val="24"/>
        </w:rPr>
        <w:t>netiešā</w:t>
      </w:r>
      <w:r w:rsidRPr="00B03B51">
        <w:rPr>
          <w:rFonts w:ascii="Times New Roman" w:hAnsi="Times New Roman" w:cs="Times New Roman"/>
          <w:sz w:val="24"/>
        </w:rPr>
        <w:t xml:space="preserve"> valdības kontrolē, var klasificēt vispārējās valdības sektorā. EKS 2010 2.37. punktā noteikts:</w:t>
      </w:r>
    </w:p>
    <w:p w14:paraId="38842AD8" w14:textId="77777777" w:rsidR="00994F93" w:rsidRPr="00B03B51" w:rsidRDefault="00994F93" w:rsidP="00994F93">
      <w:pPr>
        <w:jc w:val="both"/>
        <w:rPr>
          <w:rFonts w:ascii="Times New Roman" w:eastAsia="Arial" w:hAnsi="Times New Roman" w:cs="Times New Roman"/>
          <w:i/>
          <w:noProof/>
          <w:sz w:val="24"/>
          <w:szCs w:val="19"/>
        </w:rPr>
      </w:pPr>
    </w:p>
    <w:p w14:paraId="416C719E" w14:textId="77777777" w:rsidR="00994F93" w:rsidRPr="00B03B51" w:rsidRDefault="00994F93" w:rsidP="00994F93">
      <w:pPr>
        <w:ind w:left="426"/>
        <w:jc w:val="both"/>
        <w:rPr>
          <w:rFonts w:ascii="Times New Roman" w:eastAsia="Arial" w:hAnsi="Times New Roman" w:cs="Times New Roman"/>
          <w:i/>
          <w:noProof/>
          <w:sz w:val="24"/>
          <w:szCs w:val="19"/>
        </w:rPr>
      </w:pPr>
      <w:r w:rsidRPr="00B03B51">
        <w:rPr>
          <w:rFonts w:ascii="Times New Roman" w:hAnsi="Times New Roman" w:cs="Times New Roman"/>
          <w:i/>
          <w:sz w:val="24"/>
          <w:szCs w:val="19"/>
        </w:rPr>
        <w:t>Lai kontrolētu vairāk nekā pusi no akcionāru balsstiesībām, nav vajadzīgs, lai institucionālajai vienībai pašai piederētu jebkādas balsstiesības. Noteikta sabiedrība – sabiedrība C – varētu būt meitasuzņēmums citai sabiedrībai B, kurā trešajai sabiedrībai A pieder lielākā daļa balsstiesību. Sabiedrība C ir sabiedrības B meitasuzņēmums, ja: vai nu, ja sabiedrība B kontrolē vairāk nekā pusi no akcionāru balsstiesībām sabiedrībā C, vai sabiedrība B ir sabiedrības C akcionārs ar tiesībām iecelt vai atcelt lielāko daļu sabiedrības C direktoru.</w:t>
      </w:r>
    </w:p>
    <w:p w14:paraId="784F895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E55EC9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21. Līdz ar to </w:t>
      </w:r>
      <w:r w:rsidRPr="00B03B51">
        <w:rPr>
          <w:rFonts w:ascii="Times New Roman" w:hAnsi="Times New Roman" w:cs="Times New Roman"/>
          <w:i/>
          <w:iCs/>
          <w:sz w:val="24"/>
        </w:rPr>
        <w:t>sabiedrība A</w:t>
      </w:r>
      <w:r w:rsidRPr="00B03B51">
        <w:rPr>
          <w:rFonts w:ascii="Times New Roman" w:hAnsi="Times New Roman" w:cs="Times New Roman"/>
          <w:sz w:val="24"/>
        </w:rPr>
        <w:t xml:space="preserve"> kontrolē arī </w:t>
      </w:r>
      <w:r w:rsidRPr="00B03B51">
        <w:rPr>
          <w:rFonts w:ascii="Times New Roman" w:hAnsi="Times New Roman" w:cs="Times New Roman"/>
          <w:i/>
          <w:iCs/>
          <w:sz w:val="24"/>
        </w:rPr>
        <w:t>sabiedrību C</w:t>
      </w:r>
      <w:r w:rsidRPr="00B03B51">
        <w:rPr>
          <w:rFonts w:ascii="Times New Roman" w:hAnsi="Times New Roman" w:cs="Times New Roman"/>
          <w:sz w:val="24"/>
        </w:rPr>
        <w:t xml:space="preserve"> “kaskādē”. Jāuzsver, ka valdības kontrole pār konkrētu vienību ir jānovērtē visā pilnībā, t. i., kā (visu) valdības vienību (iespējams, no </w:t>
      </w:r>
      <w:r w:rsidRPr="00B03B51">
        <w:rPr>
          <w:rFonts w:ascii="Times New Roman" w:hAnsi="Times New Roman" w:cs="Times New Roman"/>
          <w:sz w:val="24"/>
        </w:rPr>
        <w:lastRenderedPageBreak/>
        <w:t>atšķirīgiem valdības apakšsektoriem) visu interešu apvienojumu. EKS 2010 2.38. punkts attiecas arī uz citiem kontroles rādītājiem (skat. 1.2. nodaļu “Kritēriji vienību klasificēšanai vispārējās valdības sektorā”).</w:t>
      </w:r>
    </w:p>
    <w:p w14:paraId="6161FFB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79B3B4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Kad publiskas kontrolakciju sabiedrības/centrālā biroja meitasuzņēmumu klasificē vispārējās valdības sektorā, pašu kapitāla saistības (AF.5) ieraksta vispārējās valdības sektora finanšu kontos. Alternatīvs ierakstīšanas paņēmiens, kas dažkārt var būt piemērotāks risinājums, ir tā nosacītā pašu kapitāla ierakstīšana, ko valdība tur meitasuzņēmumā. Pēdējā minētajā gadījumā šāda AF.5 summa konsolidētajos finanšu kontos tiktu atskaitīta no vispārējās valdības AF.5 pozīcijas aktīva puses.</w:t>
      </w:r>
    </w:p>
    <w:p w14:paraId="693D4CE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FBB683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Attiecībā uz valdības pašu kapitāla saistību bruto vai neto atspoguļojumu varētu būt lietderīgi nošķirt gadījumus atkarībā no sabiedrības īpašniekiem. Ja vienīgā īpašniece ir publiska kontrolakciju sabiedrība/centrālais birojs, atbilstošs varētu būt gan neto, gan bruto atspoguļojums. Ja tomēr valdība nav vienīgā netiešā meitasuzņēmuma īpašniece, tad atbilstošāks ir bruto atspoguļojums, lai parādītu vispārējās valdības pašu kapitāla saistības ar citiem sektoriem.</w:t>
      </w:r>
    </w:p>
    <w:p w14:paraId="039B132E" w14:textId="77777777" w:rsidR="00994F93" w:rsidRPr="00B03B51" w:rsidRDefault="00994F93" w:rsidP="00994F93">
      <w:pPr>
        <w:jc w:val="both"/>
        <w:rPr>
          <w:rFonts w:ascii="Times New Roman" w:eastAsia="Arial" w:hAnsi="Times New Roman" w:cs="Times New Roman"/>
          <w:noProof/>
          <w:sz w:val="24"/>
          <w:szCs w:val="20"/>
        </w:rPr>
      </w:pPr>
    </w:p>
    <w:p w14:paraId="6F3B7A8A"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67" w:name="_Toc67565037"/>
      <w:r w:rsidRPr="00B03B51">
        <w:rPr>
          <w:rFonts w:ascii="Times New Roman" w:hAnsi="Times New Roman" w:cs="Times New Roman"/>
          <w:sz w:val="24"/>
        </w:rPr>
        <w:t>1.6.4. Pārstrukturēšanas un privatizācijas aģentūras</w:t>
      </w:r>
      <w:bookmarkEnd w:id="67"/>
    </w:p>
    <w:p w14:paraId="57D8EE20" w14:textId="77777777" w:rsidR="00994F93" w:rsidRPr="00A333EE" w:rsidRDefault="00994F93" w:rsidP="00A333EE">
      <w:pPr>
        <w:rPr>
          <w:rFonts w:ascii="Times New Roman" w:hAnsi="Times New Roman" w:cs="Times New Roman"/>
          <w:noProof/>
          <w:sz w:val="24"/>
          <w:szCs w:val="24"/>
        </w:rPr>
      </w:pPr>
    </w:p>
    <w:p w14:paraId="38343457"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1.6.4.1. PĀRSTRUKTURĒŠANAS AĢENTŪRAS</w:t>
      </w:r>
    </w:p>
    <w:p w14:paraId="45C8CAF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31F4C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Atbilstīgi tam, kā norādīts EKS 2010 20.44. punktā, valdība var kontrolēt pārstrukturēšanas aģentūras ar mērķi noteiktā laika posmā “pārstrukturēt” atsevišķas sabiedrības (galvenokārt publiskas sabiedrības, bet dažkārt arī privātas sabiedrības), jo īpaši gadījumos, kad tās pastāvīgi rada zaudējumus. Tas parasti nozīmē būtiskas pārmaiņas uzņēmējdarbības modelī un ievērojamas pārstrukturēto subjektu cilvēcisko un fizisko spēju korekcijas. Šajā saistībā šādas pārstrukturēšanas aģentūras var nodrošināt kapitāla pārvedumus, aizdevumus, iegūt pašu kapitālu vai piešķirt vienreizējas garantijas.</w:t>
      </w:r>
    </w:p>
    <w:p w14:paraId="22B3C03F"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64E2EA5B"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25. EKS 20.44. punktā sīkāk skaidrots, ka (..)</w:t>
      </w:r>
      <w:r w:rsidRPr="00B03B51">
        <w:rPr>
          <w:rFonts w:ascii="Times New Roman" w:hAnsi="Times New Roman" w:cs="Times New Roman"/>
          <w:i/>
          <w:iCs/>
          <w:sz w:val="24"/>
          <w:szCs w:val="19"/>
        </w:rPr>
        <w:t xml:space="preserve"> galvenais kritērijs pārstrukturēšanas aģentūru klasificēšanai sektoros ir tas, vai šādi subjekti ir finanšu starpnieki, kāds ir to galvenās darbības tirgus raksturojums un publiskās aģentūras riska pakāpe</w:t>
      </w:r>
      <w:r w:rsidRPr="00B03B51">
        <w:rPr>
          <w:rFonts w:ascii="Times New Roman" w:hAnsi="Times New Roman" w:cs="Times New Roman"/>
          <w:sz w:val="24"/>
          <w:szCs w:val="19"/>
        </w:rPr>
        <w:t>.</w:t>
      </w:r>
      <w:r w:rsidRPr="00B03B51">
        <w:rPr>
          <w:rFonts w:ascii="Times New Roman" w:hAnsi="Times New Roman" w:cs="Times New Roman"/>
          <w:i/>
          <w:sz w:val="24"/>
          <w:szCs w:val="19"/>
        </w:rPr>
        <w:t xml:space="preserve"> </w:t>
      </w:r>
      <w:r w:rsidRPr="00B03B51">
        <w:rPr>
          <w:rFonts w:ascii="Times New Roman" w:hAnsi="Times New Roman" w:cs="Times New Roman"/>
          <w:i/>
          <w:iCs/>
          <w:sz w:val="24"/>
          <w:szCs w:val="19"/>
        </w:rPr>
        <w:t>Daudzos gadījumos pārstrukturēšanas aģentūras riska pakāpe ir zema, jo tai ir valsts finanšu atbalsts un tā darbojas valdības vārdā (..)</w:t>
      </w:r>
      <w:r w:rsidRPr="00B03B51">
        <w:rPr>
          <w:rFonts w:ascii="Times New Roman" w:hAnsi="Times New Roman" w:cs="Times New Roman"/>
          <w:sz w:val="24"/>
          <w:szCs w:val="19"/>
        </w:rPr>
        <w:t>. Kad pārstrukturēšanas aģentūras rīkojas valdības vārdā, tās ciešā kontrolē un ar skaidru valdības finanšu atbalstu, šie subjekti jāklasificē valdības sektorā, nevis finanšu sabiedrību sektorā.</w:t>
      </w:r>
    </w:p>
    <w:p w14:paraId="70458B1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6F69A2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EKS 2010 20.44. punktā arī norādīts, ka pārstrukturēšanas aģentūras var nodarboties ar privatizāciju un sanāciju. Sanācijas struktūras (kuras bieži vien ir pārstrukturēšanas procesa daļa) ir apspriestas rokasgrāmatas 4. daļā (Attiecības starp valdību un finanšu sektoru).</w:t>
      </w:r>
    </w:p>
    <w:p w14:paraId="2D8469B7" w14:textId="77777777" w:rsidR="00994F93" w:rsidRPr="00B03B51" w:rsidRDefault="00994F93" w:rsidP="00994F93">
      <w:pPr>
        <w:jc w:val="both"/>
        <w:rPr>
          <w:rFonts w:ascii="Times New Roman" w:eastAsia="Arial" w:hAnsi="Times New Roman" w:cs="Times New Roman"/>
          <w:noProof/>
          <w:sz w:val="24"/>
          <w:szCs w:val="16"/>
        </w:rPr>
      </w:pPr>
    </w:p>
    <w:p w14:paraId="4BD85703"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1.6.4.2. PRIVATIZĀCIJAS AĢENTŪRAS</w:t>
      </w:r>
    </w:p>
    <w:p w14:paraId="458EFD82"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19A041E4"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27. EKS 20.210. punktā ir norādīts, ka </w:t>
      </w:r>
      <w:r w:rsidRPr="00B03B51">
        <w:rPr>
          <w:rFonts w:ascii="Times New Roman" w:hAnsi="Times New Roman" w:cs="Times New Roman"/>
          <w:i/>
          <w:iCs/>
          <w:sz w:val="24"/>
          <w:szCs w:val="19"/>
        </w:rPr>
        <w:t>privatizācija parasti ietver valdības veiktu publisko sabiedrību akciju vai cita pašu kapitāla pārdošanu (..)</w:t>
      </w:r>
      <w:r w:rsidRPr="00B03B51">
        <w:rPr>
          <w:rFonts w:ascii="Times New Roman" w:hAnsi="Times New Roman" w:cs="Times New Roman"/>
          <w:sz w:val="24"/>
          <w:szCs w:val="19"/>
        </w:rPr>
        <w:t>. Privatizācijas aģentūras tur daļas publiskajās sabiedrībās, kuras valdība plāno realizēt. Šādas vienības nav centrālie biroji saskaņā ar EKS 2010, jo tās reāli neiesaistās (vai iesaistās minimāli) to uzņēmumu vadībā, kuru aktīvus tās tur, bet ir izveidotas tikai ar mērķi veicināt to realizāciju finanšu tirgos.</w:t>
      </w:r>
    </w:p>
    <w:p w14:paraId="340C7D41" w14:textId="77777777" w:rsidR="00994F93" w:rsidRPr="00B03B51" w:rsidRDefault="00994F93" w:rsidP="00994F93">
      <w:pPr>
        <w:tabs>
          <w:tab w:val="left" w:pos="840"/>
        </w:tabs>
        <w:jc w:val="both"/>
        <w:rPr>
          <w:rFonts w:ascii="Times New Roman" w:hAnsi="Times New Roman" w:cs="Times New Roman"/>
          <w:noProof/>
          <w:sz w:val="24"/>
        </w:rPr>
      </w:pPr>
    </w:p>
    <w:p w14:paraId="5E2DEDA5"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28. Privatizācijas aģentūras jāklasificē vispārējās valdības sektorā, jo tās pārvalda aktīvus tās </w:t>
      </w:r>
      <w:r w:rsidRPr="00B03B51">
        <w:rPr>
          <w:rFonts w:ascii="Times New Roman" w:hAnsi="Times New Roman" w:cs="Times New Roman"/>
          <w:sz w:val="24"/>
        </w:rPr>
        <w:lastRenderedPageBreak/>
        <w:t xml:space="preserve">valdības vārdā, kura ir šo aktīvu galīgā īpašniece, un to </w:t>
      </w:r>
      <w:r w:rsidRPr="00B03B51">
        <w:rPr>
          <w:rFonts w:ascii="Times New Roman" w:hAnsi="Times New Roman" w:cs="Times New Roman"/>
          <w:i/>
          <w:iCs/>
          <w:sz w:val="24"/>
        </w:rPr>
        <w:t>galvenā funkcija ir pārdalīt nacionālo ienākumu un bagātību, novirzot līdzekļus no vienas vienības uz citu</w:t>
      </w:r>
      <w:r w:rsidRPr="00B03B51">
        <w:rPr>
          <w:rFonts w:ascii="Times New Roman" w:hAnsi="Times New Roman" w:cs="Times New Roman"/>
          <w:sz w:val="24"/>
        </w:rPr>
        <w:t>, skat. EKS 2010 20.45. punkta a) apakšpunktu.</w:t>
      </w:r>
    </w:p>
    <w:p w14:paraId="2302B446" w14:textId="77777777" w:rsidR="00994F93" w:rsidRPr="00B03B51" w:rsidRDefault="00994F93" w:rsidP="00994F93">
      <w:pPr>
        <w:tabs>
          <w:tab w:val="left" w:pos="840"/>
        </w:tabs>
        <w:jc w:val="both"/>
        <w:rPr>
          <w:rFonts w:ascii="Times New Roman" w:eastAsia="Arial" w:hAnsi="Times New Roman" w:cs="Times New Roman"/>
          <w:noProof/>
          <w:sz w:val="24"/>
          <w:szCs w:val="19"/>
        </w:rPr>
      </w:pPr>
    </w:p>
    <w:p w14:paraId="39CAB965" w14:textId="77777777" w:rsidR="00994F93" w:rsidRPr="00B03B51" w:rsidRDefault="00994F93" w:rsidP="00994F93">
      <w:pPr>
        <w:tabs>
          <w:tab w:val="left" w:pos="840"/>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29. Gadījumā, kad publisks centrālais birojs ir iesaistīts gan tirgus uzņēmējdarbībā (izmaksas sedz no pārdošanas ieņēmumiem), gan aktīvu pārvaldībā, lai veiktu privatizāciju attiecībā uz dažiem tā meitasuzņēmumiem, to var nebūt iespējams sadalīt divās atsevišķās institucionālās vienībās. Šajā gadījumā piemēro EKS 2010 20.45. punktu, proti: </w:t>
      </w:r>
      <w:r w:rsidRPr="00B03B51">
        <w:rPr>
          <w:rFonts w:ascii="Times New Roman" w:hAnsi="Times New Roman" w:cs="Times New Roman"/>
          <w:i/>
          <w:iCs/>
          <w:sz w:val="24"/>
          <w:szCs w:val="19"/>
        </w:rPr>
        <w:t>(..) vienību klasificē kā sabiedrību, un valdības vārdā veiktos darījumus novirza caur vispārējo valdību.</w:t>
      </w:r>
      <w:r w:rsidRPr="00B03B51">
        <w:rPr>
          <w:rFonts w:ascii="Times New Roman" w:hAnsi="Times New Roman" w:cs="Times New Roman"/>
          <w:i/>
          <w:sz w:val="24"/>
          <w:szCs w:val="19"/>
        </w:rPr>
        <w:t xml:space="preserve"> </w:t>
      </w:r>
      <w:r w:rsidRPr="00B03B51">
        <w:rPr>
          <w:rFonts w:ascii="Times New Roman" w:hAnsi="Times New Roman" w:cs="Times New Roman"/>
          <w:sz w:val="24"/>
          <w:szCs w:val="19"/>
        </w:rPr>
        <w:t>Tāpēc, ja kāda vienība veic darījumus citas vispārējās valdības sektorā iekļautas vienības vārdā, tad tos ieraksta valdības kontos.</w:t>
      </w:r>
    </w:p>
    <w:p w14:paraId="31373AF9" w14:textId="77777777" w:rsidR="00994F93" w:rsidRPr="00B03B51" w:rsidRDefault="00994F93" w:rsidP="00994F93">
      <w:pPr>
        <w:jc w:val="both"/>
        <w:rPr>
          <w:rFonts w:ascii="Times New Roman" w:eastAsia="Arial" w:hAnsi="Times New Roman" w:cs="Times New Roman"/>
          <w:noProof/>
          <w:sz w:val="24"/>
          <w:szCs w:val="19"/>
        </w:rPr>
      </w:pPr>
    </w:p>
    <w:p w14:paraId="2EDE2FC9"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68" w:name="_Toc67565038"/>
      <w:r w:rsidRPr="00B03B51">
        <w:rPr>
          <w:rFonts w:ascii="Times New Roman" w:hAnsi="Times New Roman" w:cs="Times New Roman"/>
          <w:sz w:val="24"/>
        </w:rPr>
        <w:t>1.6.5. Tirgu regulējošās struktūras un profesionālās apvienības</w:t>
      </w:r>
      <w:bookmarkEnd w:id="68"/>
    </w:p>
    <w:p w14:paraId="1CDBF6E2" w14:textId="77777777" w:rsidR="00994F93" w:rsidRPr="00A333EE" w:rsidRDefault="00994F93" w:rsidP="00A333EE">
      <w:pPr>
        <w:rPr>
          <w:rFonts w:ascii="Times New Roman" w:hAnsi="Times New Roman" w:cs="Times New Roman"/>
          <w:noProof/>
        </w:rPr>
      </w:pPr>
    </w:p>
    <w:p w14:paraId="3D9AECCE" w14:textId="77777777" w:rsidR="00994F93" w:rsidRPr="00B03B51" w:rsidRDefault="00994F93" w:rsidP="00994F93">
      <w:pPr>
        <w:pStyle w:val="Heading6"/>
        <w:tabs>
          <w:tab w:val="left" w:pos="1265"/>
        </w:tabs>
        <w:ind w:left="0" w:firstLine="0"/>
        <w:jc w:val="both"/>
        <w:rPr>
          <w:rFonts w:ascii="Times New Roman" w:hAnsi="Times New Roman" w:cs="Times New Roman"/>
          <w:noProof/>
          <w:sz w:val="24"/>
        </w:rPr>
      </w:pPr>
      <w:r w:rsidRPr="00B03B51">
        <w:rPr>
          <w:rFonts w:ascii="Times New Roman" w:hAnsi="Times New Roman" w:cs="Times New Roman"/>
          <w:sz w:val="24"/>
        </w:rPr>
        <w:t>1.6.5.1. TIRGU REGULĒJOŠĀS STRUKTŪRAS</w:t>
      </w:r>
    </w:p>
    <w:p w14:paraId="7B7B773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A999E1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Šajā nodaļā</w:t>
      </w:r>
      <w:r w:rsidRPr="00B03B51">
        <w:rPr>
          <w:rStyle w:val="FootnoteReference"/>
          <w:rFonts w:ascii="Times New Roman" w:hAnsi="Times New Roman" w:cs="Times New Roman"/>
          <w:noProof/>
          <w:sz w:val="24"/>
        </w:rPr>
        <w:footnoteReference w:id="84"/>
      </w:r>
      <w:r w:rsidRPr="00B03B51">
        <w:rPr>
          <w:rFonts w:ascii="Times New Roman" w:hAnsi="Times New Roman" w:cs="Times New Roman"/>
          <w:sz w:val="24"/>
        </w:rPr>
        <w:t xml:space="preserve"> raksturotās tirgu regulējošās struktūras (sauktas arī par iestādēm, aģentūrām, regulatoriem utt.) ir ar likumu pilnvarotas noteikt kādus noteikumus (normas, nosacījumus, saistības utt.). Šie noteikumi ir juridiski saistoši, un visiem tirgus dalībniekiem, kas darbojas konkrētā jomā, tie ir jāievēro, pretējā gadījumā tos var saukt pie atbildības (piemērot sankcijas). Tādējādi tirgu regulējošās struktūras pieņem lēmumus par dažiem galvenajiem mainīgajiem lielumiem, ietekmējot vienību darbību veikšanas un ieņēmumu saņemšanas veidu.</w:t>
      </w:r>
    </w:p>
    <w:p w14:paraId="0253F1F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97751D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31. Tirgu regulējošu struktūru pienākumos var ietilpt arī normu kontrolēšana, lai arī šo uzdevumu varētu deleģēt īpašai vienībai, kam nav normatīvo pilnvaru. Turklāt tirgu regulējošās struktūras var veikt </w:t>
      </w:r>
      <w:r w:rsidRPr="00B03B51">
        <w:rPr>
          <w:rFonts w:ascii="Times New Roman" w:hAnsi="Times New Roman" w:cs="Times New Roman"/>
          <w:i/>
          <w:iCs/>
          <w:sz w:val="24"/>
        </w:rPr>
        <w:t>ex ante</w:t>
      </w:r>
      <w:r w:rsidRPr="00B03B51">
        <w:rPr>
          <w:rFonts w:ascii="Times New Roman" w:hAnsi="Times New Roman" w:cs="Times New Roman"/>
          <w:sz w:val="24"/>
        </w:rPr>
        <w:t xml:space="preserve"> kontroli attiecībā uz pārstāvjiem, kas vēlas piedalīties darbībā, lai novērtētu viņu kompetenci, profesionālo statusu (licences, darbības atļaujas) un sniegt noteiktu apliecinājumu patērētājiem par amata kategorijas (ārstu, juristu utt.) profesionālo kompetenci un kvalifikāciju. Katrā ES dalībvalstī attiecībā uz vienībām, kas atbild par šo uzdevumu veikšanu, ir izstrādāti atšķirīgi modeļi. Pēdējās desmitgadēs šādas vienības ir izveidotas, piemēram, telekomunikāciju, transporta un enerģētikas nozarēs.</w:t>
      </w:r>
    </w:p>
    <w:p w14:paraId="218CC57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080FEF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EKS 2010 20. nodaļas (Valdības konti) pirmajos punktos ir nepārprotamas norādes par to, kā klasificējamas vienības, kuru darbības ir vērstas uz pakalpojumu sniegšanu kopienai. Šīm vienībām ir piešķirta suverenā vara, kas “ietekmē ekonomikas vienību rīcību.” 20. nodaļā ir skaidri nošķirtas “valdības galvenās vienības” (atkarībā no valsts budžeta) un citas valdības struktūras, kas tiek atzītas par autonomām institucionālām vienībām. Taču valdība daļu no saviem suverēnajiem uzdevumiem var deleģēt vienībām, kas nav valdības struktūras un kurām bieži vien ir bezpeļņas struktūras statuss. Ja šādu vienību darbība pārsvarā ir vērsta uz šo suverēno uzdevumu izpildi, ko cieši kontrolē valdība (kas var apstiprināt dažus lēmumus, vienību budžetu vai apstiprināt kādas sankcijas), šīs vienības iekļauj valdības regulējošo institūciju kopā un klasificē valdības sektorā.</w:t>
      </w:r>
    </w:p>
    <w:p w14:paraId="5FC2FA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618166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33. Daudzās ES dalībvalstīs tirgu regulējošās struktūras parasti uzskata par valdības vienībām (ko iekļauj centrālās valdības apakšsektorā, jo tās realizē savas pilnvaras visā valstī), lai arī kāds būtu to juridiskais statuss, locekļu iecelšanas veids, neatkarības pakāpe no izpildvienībām utt. Tā ir tāpēc, ka tās darbojas ne tikai tirgus dalībnieku interesēs, bet arī (iespējams, galvenokārt) </w:t>
      </w:r>
      <w:r w:rsidRPr="00B03B51">
        <w:rPr>
          <w:rFonts w:ascii="Times New Roman" w:hAnsi="Times New Roman" w:cs="Times New Roman"/>
          <w:sz w:val="24"/>
        </w:rPr>
        <w:lastRenderedPageBreak/>
        <w:t>kolektīvu mērķu labad, t. i., visas kopienas labā, jo īpaši, lai stiprinātu patērētāju uzticību, un/vai tāpēc, ka ražošanas sistēmā šādai darbībai ir liela nozīme.</w:t>
      </w:r>
    </w:p>
    <w:p w14:paraId="7520D09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6EF739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Tirgu regulējošās struktūras var saņemt finansējumu no valdības, taču var būt tiesīgas regulāri vai neregulāri saņemt līdzekļus tieši no pilnvarotajiem pārstāvjiem. Šādu ieņēmumu klasifikācija jāveic, ievērojot EKS 2010 vispārīgos noteikumus. Ja ražošanas vienībām (pilnvarotajiem pārstāvjiem) ir jāmaksā kopumā summa, kura atbilst izmaksām, kas regulatoram radusies saistībā ar savu uzdevumu veikšanu, to ieraksta kā pakalpojuma maksu (pakalpojumu pārdošanu). Ja maksājumi būtiski pārsniedz regulēšanas izmaksas (“pilnīgi neatbilst (..) izmaksām”, kā noteikts EKS 2010 4.23. punkta e) apakšpunktā), tās ir jāieraksta kā nodoklis.</w:t>
      </w:r>
      <w:r w:rsidRPr="00B03B51">
        <w:rPr>
          <w:rStyle w:val="FootnoteReference"/>
          <w:rFonts w:ascii="Times New Roman" w:hAnsi="Times New Roman" w:cs="Times New Roman"/>
          <w:noProof/>
          <w:sz w:val="24"/>
        </w:rPr>
        <w:footnoteReference w:id="85"/>
      </w:r>
    </w:p>
    <w:p w14:paraId="2B326B5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84D536E" w14:textId="77777777" w:rsidR="00994F93" w:rsidRPr="00B03B51" w:rsidRDefault="00994F93" w:rsidP="00994F93">
      <w:pPr>
        <w:pStyle w:val="Heading6"/>
        <w:ind w:left="0" w:firstLine="0"/>
        <w:jc w:val="both"/>
        <w:rPr>
          <w:rFonts w:ascii="Times New Roman" w:hAnsi="Times New Roman" w:cs="Times New Roman"/>
          <w:noProof/>
          <w:sz w:val="24"/>
        </w:rPr>
      </w:pPr>
      <w:r w:rsidRPr="00B03B51">
        <w:rPr>
          <w:rFonts w:ascii="Times New Roman" w:hAnsi="Times New Roman" w:cs="Times New Roman"/>
          <w:sz w:val="24"/>
        </w:rPr>
        <w:t>1.6.5.2. PROFESIONĀLĀS APVIENĪBAS</w:t>
      </w:r>
    </w:p>
    <w:p w14:paraId="598686D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8EFC4D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Bez iepriekš raksturotajām tirgu regulējošām struktūrām vairumā ES dalībvalstu pastāv daudzas “profesionālās apvienības”, kurās dalība var būt obligāta vai brīvprātīga. Šo struktūru galvenais mērķis ir “aizstāvēt” savu locekļu intereses kopumā, jo īpaši, slēdzot līgumus ar valdību vai regulējošām iestādēm, taču tās var arī neaprobežoties tikai ar to. Proti, profesionālās apvienības var arī īstenot savu locekļu un citu dalībnieku profesionālo kontroli. Kopumā profesionālās apvienības izmanto valdības noteiktās tiesību normas, tomēr tām var būt arī plašākas vai mazāk plašas valdības deleģētās normatīvās un regulējošās pilnvaras, kas ietekmē noteiktās jomās darbojošos tirgus dalībnieku darbības veidu. Valdība, piemēram, var izstrādāt vispārēju tiesisko regulējumu un šiem subjektiem tad uzdot izstrādāt praktiskas vadlīnijas par to, kā izpildīt prasības. Profesionālajām apvienībām var būt pat pilnvaras piemērot kādas (piemēram, finanšu) sankcijas profesionālas nolaidības gadījumos.</w:t>
      </w:r>
    </w:p>
    <w:p w14:paraId="415E502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A36CEC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36. EKS 2010 20.02. punktā norādīts, ka valdībām </w:t>
      </w:r>
      <w:r w:rsidRPr="00B03B51">
        <w:rPr>
          <w:rFonts w:ascii="Times New Roman" w:hAnsi="Times New Roman" w:cs="Times New Roman"/>
          <w:i/>
          <w:iCs/>
          <w:sz w:val="24"/>
        </w:rPr>
        <w:t>ir pilnvaras iekasēt nodokļus un citas obligātās nodevas un izdot likumus</w:t>
      </w:r>
      <w:r w:rsidRPr="00B03B51">
        <w:rPr>
          <w:rFonts w:ascii="Times New Roman" w:hAnsi="Times New Roman" w:cs="Times New Roman"/>
          <w:sz w:val="24"/>
        </w:rPr>
        <w:t>. Termins “likumi” ir jāsaprot plašā nozīmē, jo dažas normas var nebūt likuma formā, par ko balso parlaments, taču var līdzīgā veidā ierobežot ekonomikas subjektus attiecībā uz kādu saimniecisko darbību veikšanu. Ciktāl jautājums skar resursus, visas maksas, kas tiek piemērotas kādiem ekonomikas subjektiem tikai par to, ka tie nodarbojas ar kādu darbību (vai sniedz kādus pakalpojumus), un kuras skaidri liecina, ka tās nav proporcionālas sniegtā pakalpojuma izmaksām, ir jāklasificē kā nodoklis un jāieraksta valdības ieņēmumos. Savukārt, ja iekasētās summas var identificēt kā sniegtā pakalpojuma faktisku ekvivalentu, tās ieraksta kā pakalpojumu pārdošanu (skat. arī 1.2.4.5. apakšiedaļu “Robežlīnija starp nodokļiem un pakalpojumu pārdošanu”). Ja kāda privāta struktūra veic kādus reglamentējošus uzdevumus, taču netiek klasificēta valdības sektorā, jo galvenokārt nodarbojas ar savu locekļu lobēšanu/apkalpošanu, iespējamie obligātie resursi, kas identificēti kā nodokļi, ir jāpārvirza uz valdību, kas pēc tam pārskaitītu līdzvērtīgu summu šai vienībai.</w:t>
      </w:r>
    </w:p>
    <w:p w14:paraId="03A7688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861104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Profesionālās apvienības sniedz pakalpojumus galvenokārt saviem biedriem, un tās parasti neklasificē valdības sektorā. Taču atkarībā no valdības deleģēto uzdevumu “suverenitātes pakāpes”, no tā, kādā apmērā šīs apvienības var iespējami ietekmēt profesionālā regulējuma veidošanu, kas piemērojams visiem attiecīgajiem dalībniekiem, un no tā, kādā apmērā valdība kontrolē šo apvienību lēmumus, tās dažos gadījumos var tikt iekļautas valdības regulējošās struktūrās, ja šo uzdevumu veikšana ir apvienības darbības nozīmīgākā daļa. Profesionālajām apvienībām var būt ļauts iekasēt obligātos maksājumus no saviem locekļiem. Ja šiem resursiem nav pakalpojuma maksas pazīmju, tas nozīmē, ka tos var pārvirzīt valdībai kā nodokļus.</w:t>
      </w:r>
    </w:p>
    <w:p w14:paraId="4EB95CF6" w14:textId="77777777" w:rsidR="00994F93" w:rsidRPr="00B03B51" w:rsidRDefault="00994F93" w:rsidP="00994F93">
      <w:pPr>
        <w:jc w:val="both"/>
        <w:rPr>
          <w:rFonts w:ascii="Times New Roman" w:eastAsia="Arial" w:hAnsi="Times New Roman" w:cs="Times New Roman"/>
          <w:noProof/>
          <w:sz w:val="24"/>
          <w:szCs w:val="20"/>
        </w:rPr>
      </w:pPr>
    </w:p>
    <w:p w14:paraId="383030EB"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69" w:name="_Toc67565039"/>
      <w:r w:rsidRPr="00B03B51">
        <w:rPr>
          <w:rFonts w:ascii="Times New Roman" w:hAnsi="Times New Roman" w:cs="Times New Roman"/>
          <w:sz w:val="24"/>
        </w:rPr>
        <w:t>1.6.6. Subjekti, kam ir piesaistošās finanšu iestādes pazīmes</w:t>
      </w:r>
      <w:bookmarkEnd w:id="69"/>
    </w:p>
    <w:p w14:paraId="2BD1824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F7F047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EKS 2010 ir izveidota jauna finanšu sabiedrību kategorija “piesaistošās finanšu iestādes” (ko klasificē S.127 apakšsektorā), kas aprakstīta EKS 2010 2.21.–2.23. un 2.98.–2.99. punktā. Piesaistošās finanšu iestādes ir institucionālās vienības, kas nenodarbojas ar finanšu starpniecību un finanšu palīgpakalpojumiem. Tās nevajadzētu arī jaukt ar mākslīgiem meitasuzņēmumiem, kas raksturoti EKS 2010 2.24.–2.25. punktā</w:t>
      </w:r>
      <w:r w:rsidRPr="00B03B51">
        <w:rPr>
          <w:rStyle w:val="FootnoteReference"/>
          <w:rFonts w:ascii="Times New Roman" w:hAnsi="Times New Roman" w:cs="Times New Roman"/>
          <w:noProof/>
          <w:sz w:val="24"/>
        </w:rPr>
        <w:footnoteReference w:id="86"/>
      </w:r>
      <w:r w:rsidRPr="00B03B51">
        <w:rPr>
          <w:rFonts w:ascii="Times New Roman" w:hAnsi="Times New Roman" w:cs="Times New Roman"/>
          <w:sz w:val="24"/>
        </w:rPr>
        <w:t>, kas nav institucionālas vienības.</w:t>
      </w:r>
    </w:p>
    <w:p w14:paraId="66DBA8B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3E5547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39. EKS 2010 2.98. punktā skaidrots, ka piesaistošās finanšu iestādes </w:t>
      </w:r>
      <w:r w:rsidRPr="00B03B51">
        <w:rPr>
          <w:rFonts w:ascii="Times New Roman" w:hAnsi="Times New Roman" w:cs="Times New Roman"/>
          <w:i/>
          <w:iCs/>
          <w:sz w:val="24"/>
        </w:rPr>
        <w:t>(..) nenodarbojas ne ar finanšu starpniecību, ne ar finanšu palīgpakalpojumiem</w:t>
      </w:r>
      <w:r w:rsidRPr="00B03B51">
        <w:rPr>
          <w:rFonts w:ascii="Times New Roman" w:hAnsi="Times New Roman" w:cs="Times New Roman"/>
          <w:sz w:val="24"/>
        </w:rPr>
        <w:t>” (kā uzskaitīts EKS 2010 2.96. punktā), jo tās faktiski nepakļauj sevi riskam un turklāt “lielākā daļa to aktīvu vai saistību nav iesaistīti darījumos atklātos tirgos”. Tas varētu nozīmēt, ka to aktīvi ir neapgrozāmi instrumenti (pēc būtības vai tāpēc, ka pastāv viens vienīgs ekvivalents) vai ka šos aktīvus nefinansē bankas (noguldījumu veidā) vai finanšu tirgi (vērtspapīru veidā) atbilstoši noteicošajiem tirgus apstākļiem, bet gan divpusējās attiecībās ar šo iestāžu kontrolējošo vienību dažādos iespējamos veidos (ar aizdevumiem, pašu kapitālu, citiem vērtspapīriem).</w:t>
      </w:r>
    </w:p>
    <w:p w14:paraId="5FE74CF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77FE4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Piesaistošās finanšu iestādes uzskata par institucionālām vienībām saskaņā ar EKS 2010 kritērijiem (skat. EKS 2010 2.12. punktu)</w:t>
      </w:r>
      <w:r w:rsidRPr="00B03B51">
        <w:rPr>
          <w:rStyle w:val="FootnoteReference"/>
          <w:rFonts w:ascii="Times New Roman" w:hAnsi="Times New Roman" w:cs="Times New Roman"/>
          <w:noProof/>
          <w:sz w:val="24"/>
        </w:rPr>
        <w:footnoteReference w:id="87"/>
      </w:r>
      <w:r w:rsidRPr="00B03B51">
        <w:rPr>
          <w:rFonts w:ascii="Times New Roman" w:hAnsi="Times New Roman" w:cs="Times New Roman"/>
          <w:sz w:val="24"/>
        </w:rPr>
        <w:t>, taču tām ir ierobežota lemšanas spēja attiecībā uz savu kārtējo vadību, un tās ir ļoti atkarīgas no sava mātesuzņēmuma</w:t>
      </w:r>
      <w:r w:rsidRPr="00B03B51">
        <w:rPr>
          <w:rStyle w:val="FootnoteReference"/>
          <w:rFonts w:ascii="Times New Roman" w:hAnsi="Times New Roman" w:cs="Times New Roman"/>
          <w:noProof/>
          <w:sz w:val="24"/>
        </w:rPr>
        <w:footnoteReference w:id="88"/>
      </w:r>
      <w:r w:rsidRPr="00B03B51">
        <w:rPr>
          <w:rFonts w:ascii="Times New Roman" w:hAnsi="Times New Roman" w:cs="Times New Roman"/>
          <w:sz w:val="24"/>
        </w:rPr>
        <w:t xml:space="preserve"> (kontrolējošās vienības) attiecībā uz savu darbību veikšanu. Tādējādi kontrolējošās vienības ietekme ir lielāka nekā kontroles jēdziens nacionālajos kontos, kur kontrole attiecas uz vienības vispārējās politikas un stratēģijas ietekmi, t. i., mātesuzņēmuma kontrole sniedzas tālāk par galvenajiem lēmumiem, un nozīmīga ietekme ir vērojama arī “ikdienas” darbībās, ko veic, īstenojot noteikto stratēģiju.</w:t>
      </w:r>
    </w:p>
    <w:p w14:paraId="107508A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4DAE5C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Valdības kontrolētiem subjektiem var būt funkcijas, kas ir līdzīgas piesaistošo finanšu iestāžu funkcijām, var būt līdzīgas pazīmes, proti, darbošanās galvenokārt finanšu jomā (tās neražo preces un nesniedz nefinanšu pakalpojumus), to bilancē aktīvu pusē var būt pamatā finanšu aktīvi un ieņēmumi galvenokārt no īpašuma ienākuma, un valdība var būtiski ietekmēt to vadību. No risku viedokļa pieņem, ka valdība, visticamāk, automātiski un nekavējoties tieši vai netieši uzņemas negatīvās sekas, kas rodas no šo subjektu turējumā esošo aktīvu nepietiekamiem darbības rezultātiem. Parasti šādus subjektus, ko kontrolē valdība un kam vienlaikus piemīt turpmākajos punktos raksturotās un 47. punktā apkopotās pazīmes, klasificē vispārējās valdības sektorā (S.13)</w:t>
      </w:r>
      <w:r w:rsidRPr="00B03B51">
        <w:rPr>
          <w:rStyle w:val="FootnoteReference"/>
          <w:rFonts w:ascii="Times New Roman" w:hAnsi="Times New Roman" w:cs="Times New Roman"/>
          <w:noProof/>
          <w:sz w:val="24"/>
        </w:rPr>
        <w:footnoteReference w:id="89"/>
      </w:r>
      <w:r w:rsidRPr="00B03B51">
        <w:rPr>
          <w:rFonts w:ascii="Times New Roman" w:hAnsi="Times New Roman" w:cs="Times New Roman"/>
          <w:sz w:val="24"/>
        </w:rPr>
        <w:t>, nevis finanšu sabiedrību sektorā (S.12).</w:t>
      </w:r>
      <w:r w:rsidRPr="00B03B51">
        <w:rPr>
          <w:rStyle w:val="FootnoteReference"/>
          <w:rFonts w:ascii="Times New Roman" w:hAnsi="Times New Roman" w:cs="Times New Roman"/>
          <w:noProof/>
          <w:sz w:val="24"/>
        </w:rPr>
        <w:footnoteReference w:id="90"/>
      </w:r>
    </w:p>
    <w:p w14:paraId="0CAD288F" w14:textId="77777777" w:rsidR="00994F93" w:rsidRPr="00B03B51" w:rsidRDefault="00994F93" w:rsidP="00994F93">
      <w:pPr>
        <w:jc w:val="both"/>
        <w:rPr>
          <w:rFonts w:ascii="Times New Roman" w:hAnsi="Times New Roman" w:cs="Times New Roman"/>
          <w:noProof/>
          <w:sz w:val="24"/>
        </w:rPr>
      </w:pPr>
    </w:p>
    <w:p w14:paraId="69F9AAC5"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Darbību diapazons un no komercsubjektiem atšķirīga saimnieciskā rīcība</w:t>
      </w:r>
    </w:p>
    <w:p w14:paraId="2A1949F1" w14:textId="77777777" w:rsidR="00994F93" w:rsidRPr="00B03B51" w:rsidRDefault="00994F93" w:rsidP="00994F93">
      <w:pPr>
        <w:jc w:val="both"/>
        <w:rPr>
          <w:rFonts w:ascii="Times New Roman" w:eastAsia="Arial" w:hAnsi="Times New Roman" w:cs="Times New Roman"/>
          <w:b/>
          <w:bCs/>
          <w:noProof/>
          <w:sz w:val="24"/>
          <w:szCs w:val="21"/>
        </w:rPr>
      </w:pPr>
    </w:p>
    <w:p w14:paraId="27367E7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Valdības kontrolēts subjekts uz striktiem nosacījumiem (ja nav tiešu norādījumu par kādu konkrētu iejaukšanos) veic savu darbību, kas ietilpst ierobežotu darbību diapazonā, ko galvenokārt ir izstrādājis, būtiski ietekmē, cieši novēro un uzrauga mātesuzņēmums un ko nav iespējams mainīt. Lai arī vienībai tomēr ir zināma neatkarība ikdienas vadības jautājumos, tā tomēr īsteno mērķus, ko noteikusi tās kontrolējošā vienība, un tai ir piemēroti kādi konkrēti ierobežojumi. Svarīgi atzīmēt, ka mātesuzņēmums vienlaikus ietekmē arī aktīvus un saistības. Tādējādi šāda “piesaistošā” vienība darbojas atšķirīgi no privātas finanšu iestādes, t. i., tā nedarbojas kā “parasts” komerciāls subjekts, kas meklē veidus, kā paplašināt savu darbību klāstu, specializējas kādās (rentablākās) jomās, izšķiras par labu vienai vai citai stratēģijai, un kopumā meklē veidus, kā iegūt tirgus peļņas normu līdzīgās darbībās. Subjekta darbībās izšķiroša loma ir valdībai, un tai nav nepieciešama tirgus peļņas norma, t. i., tās mērķis nav nodrošināt peļņu valdībai (piemēram, minimālo atdeves likmi no pašu kapitāla). Šādas vienības nesniedz pakalpojumus valdības vienību labā, bet veic finansiālus uzdevumus gandrīz vienīgi saistībā ar valsts politikas mērķiem stingrā valdības uzraudzībā. Faktiski šie subjekti ir alternatīvs veids tam, kā šos uzdevumus tiešā veidā veiktu pati valdība.</w:t>
      </w:r>
    </w:p>
    <w:p w14:paraId="709F566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BC1A05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Šīs darbības un saimnieciskā rīcība atšķiras no tās, kāda ir valdības subjektiem, kas sniedz palīgpakalpojumus, un/vai mākslīgajiem meitasuzņēmumiem (abi nav institucionālās vienības), kas galvenokārt veic uzdevumus tikai kontrolējošai valdības vienībai (vai, iespējams, vairākām viena veida vienībām) un kuriem lielākā daļa to aktīvu nav prasījumi pret citiem sektoriem, izņemot valdību.</w:t>
      </w:r>
    </w:p>
    <w:p w14:paraId="3E308F4E" w14:textId="77777777" w:rsidR="00994F93" w:rsidRPr="00B03B51" w:rsidRDefault="00994F93" w:rsidP="00994F93">
      <w:pPr>
        <w:jc w:val="both"/>
        <w:rPr>
          <w:rFonts w:ascii="Times New Roman" w:eastAsia="Arial" w:hAnsi="Times New Roman" w:cs="Times New Roman"/>
          <w:noProof/>
          <w:sz w:val="24"/>
          <w:szCs w:val="20"/>
        </w:rPr>
      </w:pPr>
    </w:p>
    <w:p w14:paraId="67F6868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Ierobežojumi aktīvu pusē</w:t>
      </w:r>
    </w:p>
    <w:p w14:paraId="779448DA" w14:textId="77777777" w:rsidR="00994F93" w:rsidRPr="00B03B51" w:rsidRDefault="00994F93" w:rsidP="00994F93">
      <w:pPr>
        <w:jc w:val="both"/>
        <w:rPr>
          <w:rFonts w:ascii="Times New Roman" w:eastAsia="Arial" w:hAnsi="Times New Roman" w:cs="Times New Roman"/>
          <w:b/>
          <w:bCs/>
          <w:noProof/>
          <w:sz w:val="24"/>
          <w:szCs w:val="21"/>
        </w:rPr>
      </w:pPr>
    </w:p>
    <w:p w14:paraId="0EBBC28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Ierobežojumi aktīvu pusē nozīmē, ka mātesuzņēmums/kontrolējošā vienība piemēro nosacījumus, kādos vienība drīkst darboties, bez iespējas tos mainīt (vai ar iespēju tikai pavisam nedaudz tos mainīt) pēc savas iniciatīvas, piemēram, attiecībā uz to, kādus aktīvus tā drīkst turēt, kādā veidā un apmērā tā var iejaukties, kādai jābūt peļņai no atsevišķiem aktīviem, kādi ir vienības darbības labumu guvēju raksturlielumi, kā arī attiecībā uz citiem nosacījumiem, ko kontrolējošā iestāde ir precīzi noteikusi, vienībai neatstājot nekādas vai ļoti mazas manevra iespējas.</w:t>
      </w:r>
      <w:r w:rsidRPr="00B03B51">
        <w:rPr>
          <w:rStyle w:val="FootnoteReference"/>
          <w:rFonts w:ascii="Times New Roman" w:hAnsi="Times New Roman" w:cs="Times New Roman"/>
          <w:noProof/>
          <w:sz w:val="24"/>
        </w:rPr>
        <w:footnoteReference w:id="91"/>
      </w:r>
      <w:r w:rsidRPr="00B03B51">
        <w:rPr>
          <w:rFonts w:ascii="Times New Roman" w:hAnsi="Times New Roman" w:cs="Times New Roman"/>
          <w:sz w:val="24"/>
        </w:rPr>
        <w:t xml:space="preserve"> Šeit varētu ietilpt arī gadījumi, kad ir nepieciešama </w:t>
      </w:r>
      <w:r w:rsidRPr="00B03B51">
        <w:rPr>
          <w:rFonts w:ascii="Times New Roman" w:hAnsi="Times New Roman" w:cs="Times New Roman"/>
          <w:i/>
          <w:iCs/>
          <w:sz w:val="24"/>
        </w:rPr>
        <w:t>ex ante</w:t>
      </w:r>
      <w:r w:rsidRPr="00B03B51">
        <w:rPr>
          <w:rFonts w:ascii="Times New Roman" w:hAnsi="Times New Roman" w:cs="Times New Roman"/>
          <w:sz w:val="24"/>
        </w:rPr>
        <w:t xml:space="preserve"> atļauja, lai vienība varētu veikt nozīmīgu darbības daļu (piemēram, piešķirt aizdevumus vai iegādāties akcijas). Piemēram, ja vairumam aizdevumu (skaitliskā vai pamatsummas izteiksmē), ko piešķir šāda vienība, (vai ieguldījumiem citos finanšu instrumentos) ir nepieciešama kontrolējošās vienības </w:t>
      </w:r>
      <w:r w:rsidRPr="00B03B51">
        <w:rPr>
          <w:rFonts w:ascii="Times New Roman" w:hAnsi="Times New Roman" w:cs="Times New Roman"/>
          <w:i/>
          <w:iCs/>
          <w:sz w:val="24"/>
        </w:rPr>
        <w:t>ex ante</w:t>
      </w:r>
      <w:r w:rsidRPr="00B03B51">
        <w:rPr>
          <w:rFonts w:ascii="Times New Roman" w:hAnsi="Times New Roman" w:cs="Times New Roman"/>
          <w:sz w:val="24"/>
        </w:rPr>
        <w:t xml:space="preserve"> atļauja, uzskatāms, ka aktīvus kontrolē šī kontrolējošā iestāde un vienībai faktiski ir piesaistošai finanšu iestādei līdzīgas pazīmes.</w:t>
      </w:r>
    </w:p>
    <w:p w14:paraId="5422FEF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D9C844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Kā piemēru var minēt, teiksim, valdības kontrolētu subjektu, kam valdība uzticējusi veikt ar valsts politiku saistītas darbības, ko kopumā ierobežo kādi tieši šiem subjektiem noteiktie uzdevumi, piemēram, piešķirt aizdevumus ar labvēlīgākiem nosacījumiem nekā tirgus nosacījumi vai veikt ieguldījumu kādās īpašās vienībās vai sektoros (kā sviras rīku).</w:t>
      </w:r>
      <w:r w:rsidRPr="00B03B51">
        <w:rPr>
          <w:rStyle w:val="FootnoteReference"/>
          <w:rFonts w:ascii="Times New Roman" w:hAnsi="Times New Roman" w:cs="Times New Roman"/>
          <w:noProof/>
          <w:sz w:val="24"/>
        </w:rPr>
        <w:footnoteReference w:id="92"/>
      </w:r>
      <w:r w:rsidRPr="00B03B51">
        <w:rPr>
          <w:rFonts w:ascii="Times New Roman" w:hAnsi="Times New Roman" w:cs="Times New Roman"/>
          <w:sz w:val="24"/>
        </w:rPr>
        <w:t xml:space="preserve"> Šādas </w:t>
      </w:r>
      <w:r w:rsidRPr="00B03B51">
        <w:rPr>
          <w:rFonts w:ascii="Times New Roman" w:hAnsi="Times New Roman" w:cs="Times New Roman"/>
          <w:sz w:val="24"/>
        </w:rPr>
        <w:lastRenderedPageBreak/>
        <w:t>politikas piemēri ir ekonomikas attīstība, reģionālā politika, jaunas tehnoloģijas, klimata pārmaiņu mazināšana un pielāgošana, sociālā integrācija, nekustamā īpašuma īpašumtiesību pieejamība, terciārās izglītības pieejamība utt. Kā minēts iepriekš, valdības kontrolētas vienības pienākums ir veikt intervences pasākumus šaurā regulējumā, ko noteikusi valdība, pat ja valdība ne vienmēr oficiāli apstiprina/nosaka katru atsevišķu aktīvu piešķīrumu katram konkrētajam labuma guvējam, lai gan attiecībā uz nozīmīga lieluma darbībām tas bieži vien tomēr tā notiek.</w:t>
      </w:r>
    </w:p>
    <w:p w14:paraId="588C62C0" w14:textId="77777777" w:rsidR="00994F93" w:rsidRPr="00B03B51" w:rsidRDefault="00994F93" w:rsidP="00994F93">
      <w:pPr>
        <w:jc w:val="both"/>
        <w:rPr>
          <w:rFonts w:ascii="Times New Roman" w:hAnsi="Times New Roman" w:cs="Times New Roman"/>
          <w:noProof/>
          <w:sz w:val="24"/>
        </w:rPr>
      </w:pPr>
    </w:p>
    <w:p w14:paraId="1CB5455B"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Ierobežojumi saistību pusē</w:t>
      </w:r>
    </w:p>
    <w:p w14:paraId="71327338" w14:textId="77777777" w:rsidR="00994F93" w:rsidRPr="00B03B51" w:rsidRDefault="00994F93" w:rsidP="00994F93">
      <w:pPr>
        <w:jc w:val="both"/>
        <w:rPr>
          <w:rFonts w:ascii="Times New Roman" w:eastAsia="Arial" w:hAnsi="Times New Roman" w:cs="Times New Roman"/>
          <w:b/>
          <w:bCs/>
          <w:noProof/>
          <w:sz w:val="24"/>
          <w:szCs w:val="21"/>
        </w:rPr>
      </w:pPr>
    </w:p>
    <w:p w14:paraId="377B304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Ja tiek ietekmēta subjekta saistību puse, tas nozīmē, ka vienība nevar aizņemties bez mātesuzņēmuma atļaujas vai ka to finansē galvenokārt mātesuzņēmums, vai ka dažos gadījumos lielāko daļu tās aizņēmumu garantē mātesuzņēmums. Šādos apstākļos vienība nevar lemt pati par resursiem, kas varētu ļaut tai paplašināt savu darbību jomu vai reorganizēt savus intervences pasākumus.</w:t>
      </w:r>
    </w:p>
    <w:p w14:paraId="0BF7838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17DE8A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Rezumējot, vienībai, kas nodarbojas ar finanšu darbībām un ko kontrolē valdība, varētu būt piesaistošas finanšu iestādes pazīmes un tādējādi tā būtu klasificējama valdības sektorā, nevis finanšu sabiedrību sektorā (S.12), ja vienlaikus tiek izpildīti turpmāk minētie nosacījumi.</w:t>
      </w:r>
    </w:p>
    <w:p w14:paraId="465305E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A15D0A5"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Vienība veic ierobežotu darbību kopumu, ievērojot striktus nosacījumus, ko noteikusi valdība (saskaņā ar valsts politikas mērķiem).</w:t>
      </w:r>
    </w:p>
    <w:p w14:paraId="31F23B75"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p>
    <w:p w14:paraId="34DFD889"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Ir apliecinājums tam, ka vienlaikus pastāv valdības ietekme vai ierobežojumi abās pusēs:</w:t>
      </w:r>
    </w:p>
    <w:p w14:paraId="0A82E23B"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5A2D9878" w14:textId="77777777" w:rsidR="00994F93" w:rsidRPr="00B03B51" w:rsidRDefault="00994F93" w:rsidP="00994F93">
      <w:pPr>
        <w:pStyle w:val="BodyText"/>
        <w:numPr>
          <w:ilvl w:val="1"/>
          <w:numId w:val="19"/>
        </w:numPr>
        <w:tabs>
          <w:tab w:val="left" w:pos="1409"/>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vienības aktīvu pusē;</w:t>
      </w:r>
    </w:p>
    <w:p w14:paraId="223F25C9" w14:textId="77777777" w:rsidR="00994F93" w:rsidRPr="00B03B51" w:rsidRDefault="00994F93" w:rsidP="00994F93">
      <w:pPr>
        <w:pStyle w:val="BodyText"/>
        <w:numPr>
          <w:ilvl w:val="1"/>
          <w:numId w:val="19"/>
        </w:numPr>
        <w:tabs>
          <w:tab w:val="left" w:pos="1409"/>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saistību pusē.</w:t>
      </w:r>
    </w:p>
    <w:p w14:paraId="6B9962F6"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76767A7D" w14:textId="77777777" w:rsidR="00994F93" w:rsidRPr="00B03B51" w:rsidRDefault="00994F93" w:rsidP="00994F93">
      <w:pPr>
        <w:pStyle w:val="BodyText"/>
        <w:tabs>
          <w:tab w:val="left" w:pos="112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3) Vienība nedarbojas kā “parasts” komerciāls subjekts (piemēram, nav sagaidāma tirgus likme no pašu kapitāla atdeves).</w:t>
      </w:r>
    </w:p>
    <w:p w14:paraId="3A4608D1" w14:textId="77777777" w:rsidR="00994F93" w:rsidRPr="00B03B51" w:rsidRDefault="00994F93" w:rsidP="00994F93">
      <w:pPr>
        <w:pStyle w:val="BodyText"/>
        <w:tabs>
          <w:tab w:val="left" w:pos="1123"/>
        </w:tabs>
        <w:spacing w:before="0"/>
        <w:ind w:left="0" w:firstLine="0"/>
        <w:jc w:val="both"/>
        <w:rPr>
          <w:rFonts w:ascii="Times New Roman" w:hAnsi="Times New Roman" w:cs="Times New Roman"/>
          <w:noProof/>
          <w:sz w:val="24"/>
        </w:rPr>
      </w:pPr>
    </w:p>
    <w:p w14:paraId="2BCD1A0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Piemēram, vienībai, ko kontrolē valdība un kas darbojas valdības noteiktu stingru ierobežojumu apstākļos, taču sevi tieši finansē tirgū bez valdības atbalsta (t. i., nav vajadzības saņemt valdības garantijas vai subsīdijas), varētu nebūt (visu) piesaistošas finanšu iestādes pazīmju. Tomēr, ja gan aktīvu, gan saistību pusē ir redzama ietekme vai ierobežojumi, subjekts faktiski varētu darboties kontrolējošas iestādes (valdības) labā.</w:t>
      </w:r>
    </w:p>
    <w:p w14:paraId="766D8D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3C7849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49. Daži piesaistošu finanšu iestāžu piemēri ir sniegti EKS 2010 2.99. punktā, tomēr tie tieši neattiecas uz valdības kontrolēto piesaistošo finanšu iestāžu gadījumiem. Tomēr šie piemēri sniedz interesantu informāciju par dažiem šādu subjektu aspektiem. Proti, EKS 2010 2.99. punkta d) apakšpunktā minētas </w:t>
      </w:r>
      <w:r w:rsidRPr="00B03B51">
        <w:rPr>
          <w:rFonts w:ascii="Times New Roman" w:hAnsi="Times New Roman" w:cs="Times New Roman"/>
          <w:i/>
          <w:iCs/>
          <w:sz w:val="24"/>
        </w:rPr>
        <w:t>vienības, kas sniedz finanšu pakalpojumus tikai ar pašu līdzekļiem vai sponsoru nodrošinātiem līdzekļiem dažādiem klientiem un uzņemas saistības nepildošā parādnieka finanšu risku</w:t>
      </w:r>
      <w:r w:rsidRPr="00B03B51">
        <w:rPr>
          <w:rFonts w:ascii="Times New Roman" w:hAnsi="Times New Roman" w:cs="Times New Roman"/>
          <w:sz w:val="24"/>
        </w:rPr>
        <w:t xml:space="preserve">. Šim gadījumam ir nepieciešams pievērst īpašu uzmanību, ja šādas vienības kontrolē valdība, kura papildus tam, ka cieši kontrolē vairumu vienības darbību, kā minēts iepriekš, nodrošina vairumu tās resursu, izmantojot dažādus iespējamos finanšu instrumentus (piemēram, pašu kapitālu, noguldījumus, aizdevumus, vērtspapīrus). Svarīga pazīme, kā jau tika minēts iepriekš, ir tā, ka kopumā valdība nesniedz līdzekļus ar mērķi gūt tirgus peļņas normu (skat. piemēram, 3.2. nodaļu “Kapitāla iepludināšana publiskās </w:t>
      </w:r>
      <w:r w:rsidRPr="00B03B51">
        <w:rPr>
          <w:rFonts w:ascii="Times New Roman" w:hAnsi="Times New Roman" w:cs="Times New Roman"/>
          <w:sz w:val="24"/>
        </w:rPr>
        <w:lastRenderedPageBreak/>
        <w:t>sabiedrībās”), bet gan dod priekšroku dažu savas politikas mērķu īstenošanai.</w:t>
      </w:r>
      <w:r w:rsidRPr="00B03B51">
        <w:rPr>
          <w:rStyle w:val="FootnoteReference"/>
          <w:rFonts w:ascii="Times New Roman" w:hAnsi="Times New Roman" w:cs="Times New Roman"/>
          <w:noProof/>
          <w:sz w:val="24"/>
        </w:rPr>
        <w:footnoteReference w:id="93"/>
      </w:r>
      <w:r w:rsidRPr="00B03B51">
        <w:rPr>
          <w:rFonts w:ascii="Times New Roman" w:hAnsi="Times New Roman" w:cs="Times New Roman"/>
          <w:sz w:val="24"/>
          <w:szCs w:val="12"/>
        </w:rPr>
        <w:t xml:space="preserve"> </w:t>
      </w:r>
      <w:r w:rsidRPr="00B03B51">
        <w:rPr>
          <w:rFonts w:ascii="Times New Roman" w:hAnsi="Times New Roman" w:cs="Times New Roman"/>
          <w:sz w:val="24"/>
        </w:rPr>
        <w:t>Šādos apstākļos valdības kontrolētai vienībai nav jānodrošina pietiekama peļņas norma, lai segtu ar aizņēmumu saistītās tirgus izmaksas, kā to darītu “parastās” finanšu iestādes.</w:t>
      </w:r>
    </w:p>
    <w:p w14:paraId="78360F88" w14:textId="77777777" w:rsidR="00994F93" w:rsidRPr="00B03B51" w:rsidRDefault="00994F93" w:rsidP="00994F93">
      <w:pPr>
        <w:jc w:val="both"/>
        <w:rPr>
          <w:rFonts w:ascii="Times New Roman" w:eastAsia="Arial" w:hAnsi="Times New Roman" w:cs="Times New Roman"/>
          <w:noProof/>
          <w:sz w:val="24"/>
          <w:szCs w:val="20"/>
        </w:rPr>
      </w:pPr>
    </w:p>
    <w:p w14:paraId="4CFED894"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Daži īpaši gadījumi</w:t>
      </w:r>
    </w:p>
    <w:p w14:paraId="67C78F7D" w14:textId="77777777" w:rsidR="00994F93" w:rsidRPr="00B03B51" w:rsidRDefault="00994F93" w:rsidP="00994F93">
      <w:pPr>
        <w:jc w:val="both"/>
        <w:rPr>
          <w:rFonts w:ascii="Times New Roman" w:eastAsia="Arial" w:hAnsi="Times New Roman" w:cs="Times New Roman"/>
          <w:b/>
          <w:bCs/>
          <w:noProof/>
          <w:sz w:val="24"/>
          <w:szCs w:val="21"/>
        </w:rPr>
      </w:pPr>
    </w:p>
    <w:p w14:paraId="6DD8939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Saskaņā ar vispārīgiem noteikumiem, kas aprakstīti iepriekš un apkopoti iepriekšējā punktā, jāizvērtē būtu vēl daži papildu aspekti. Piemēram, var gadīties, ka valdība nav vienīgais līdzekļu piešķīrējs (sponsors), un ir iesaistītas arī citas vienības (piemēram, bankas). Vienību varētu klasificēt kā valdības vienību neatkarīgi no tā, cik lielu finansējuma daļu sniedz valdība, ja visi līdzekļi, ko saņem vienība, nenodrošina tirgus peļņas normu (piemēram, pašu kapitāla atdevi, ko prasa parastie privātie akcionāri, vai parasto procentu komerclikmi).</w:t>
      </w:r>
      <w:r w:rsidRPr="00B03B51">
        <w:rPr>
          <w:rStyle w:val="FootnoteReference"/>
          <w:rFonts w:ascii="Times New Roman" w:hAnsi="Times New Roman" w:cs="Times New Roman"/>
          <w:noProof/>
          <w:sz w:val="24"/>
        </w:rPr>
        <w:footnoteReference w:id="94"/>
      </w:r>
      <w:r w:rsidRPr="00B03B51">
        <w:rPr>
          <w:rFonts w:ascii="Times New Roman" w:hAnsi="Times New Roman" w:cs="Times New Roman"/>
          <w:sz w:val="24"/>
          <w:szCs w:val="12"/>
        </w:rPr>
        <w:t xml:space="preserve"> </w:t>
      </w:r>
      <w:r w:rsidRPr="00B03B51">
        <w:rPr>
          <w:rFonts w:ascii="Times New Roman" w:hAnsi="Times New Roman" w:cs="Times New Roman"/>
          <w:sz w:val="24"/>
        </w:rPr>
        <w:t>Var būt arī gadījumi, kad citi resursu sniedzēji varētu darboties kā “parastie” ieguldītāji un prasīt peļņas normu, kas ir tuva parastajai tirgus peļņas normai. Tomēr, ņemot vērā, ka valdība varētu izšķiroši ietekmēt subjektu (kā aprakstīts iepriekš) un neprasīt tādu peļņas normu, kas līdzinātos citu līdzekļu sniedzēju normām, arī tādā gadījumā vienība būtu klasificējama kā valdības vienība visos gadījumos, kad valdība nodrošinātu vienībai vairāk par 50 % no kopējiem resursiem (izņemot kreditoru saistības) jebkādā veidā (pašu kapitāls, aizdevumi, vērtspapīri, garantijas).</w:t>
      </w:r>
    </w:p>
    <w:p w14:paraId="28A1DD6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4B73CB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51. Valdība var sniegt arī tiešas garantijas attiecībā uz subjekta izsniegtajiem finanšu instrumentiem, kas ļaus subjektam saņemt līdzekļus ar labākiem nosacījumiem (parasti gūstot priekšrocības, ņemot vērā sava garantijas devēja reitingu) vai pat saņemt piekļuvi fondu tirgum. Ja garantija attiektos uz lielāko daļu subjekta aizņēmumu, ko izsniegušas ar valdību nesaistītas struktūras, tie būtu beznosacījuma un kreditori tos varētu aktivizēt “pēc pirmā pieprasījuma”, šādu garantiju varētu pielīdzināt tiešai līdzekļu sniegšanai. Vienība </w:t>
      </w:r>
      <w:r w:rsidRPr="00B03B51">
        <w:rPr>
          <w:rFonts w:ascii="Times New Roman" w:hAnsi="Times New Roman" w:cs="Times New Roman"/>
          <w:i/>
          <w:iCs/>
          <w:sz w:val="24"/>
        </w:rPr>
        <w:t>de facto</w:t>
      </w:r>
      <w:r w:rsidRPr="00B03B51">
        <w:rPr>
          <w:rFonts w:ascii="Times New Roman" w:hAnsi="Times New Roman" w:cs="Times New Roman"/>
          <w:sz w:val="24"/>
        </w:rPr>
        <w:t xml:space="preserve"> nepakļautu sevi riskam, un aizņēmuma izmaksas neatspoguļotu vienības riska līmeni, kurai valdības ietekmes dēļ varētu būt tikai ierobežota peļņa, ja tāda vispār varētu būt. Šādos gadījumos vienību klasificē vispārējās valdības sektorā.</w:t>
      </w:r>
    </w:p>
    <w:p w14:paraId="64A01356"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C12BD8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Visbeidzot, mēdz būt gadījumi, kad vienība var aizņemties tirgos, taču bez tiešām valdības garantijām attiecībā uz saviem parāda instrumentiem. Tomēr, ņemot vērā, ka valdība stingri kontrolē tās darbību un ka vienībai ir izšķiroša nozīme saistībā ar nozīmīgu valdības politiku, visticamāk, ieguldītājiem neradīsies nekādas šaubas par valdības atbalstu vajadzības gadījumā un novērtēs šādas situācijas “cenu”. Ja vienība nevarēs segt sava aizņēmuma tirgus izmaksas bez pastāvīga valdības atbalsta (kas varētu izpausties kā subsīdijas, ar kurām kompensē aktīvu procentu un saistību procentu starpību, kādas administratīvās izmaksas, sedz zaudējumus utt.), šādu vienību klasificē valdības sektorā.</w:t>
      </w:r>
    </w:p>
    <w:p w14:paraId="25FEDF55" w14:textId="77777777" w:rsidR="00994F93" w:rsidRPr="00B03B51" w:rsidRDefault="00994F93" w:rsidP="00994F93">
      <w:pPr>
        <w:jc w:val="both"/>
        <w:rPr>
          <w:rFonts w:ascii="Times New Roman" w:eastAsia="Arial" w:hAnsi="Times New Roman" w:cs="Times New Roman"/>
          <w:noProof/>
          <w:sz w:val="24"/>
          <w:szCs w:val="16"/>
        </w:rPr>
      </w:pPr>
    </w:p>
    <w:p w14:paraId="3DCA8557" w14:textId="77777777" w:rsidR="00994F93" w:rsidRPr="00B03B51" w:rsidRDefault="00994F93" w:rsidP="00D100A9">
      <w:pPr>
        <w:pStyle w:val="Heading3"/>
        <w:keepNext/>
        <w:tabs>
          <w:tab w:val="left" w:pos="1265"/>
        </w:tabs>
        <w:ind w:left="0" w:firstLine="0"/>
        <w:jc w:val="both"/>
        <w:rPr>
          <w:rFonts w:ascii="Times New Roman" w:hAnsi="Times New Roman" w:cs="Times New Roman"/>
          <w:b w:val="0"/>
          <w:bCs w:val="0"/>
          <w:noProof/>
          <w:sz w:val="24"/>
          <w:szCs w:val="19"/>
        </w:rPr>
      </w:pPr>
      <w:bookmarkStart w:id="70" w:name="_Toc67565040"/>
      <w:r w:rsidRPr="00B03B51">
        <w:rPr>
          <w:rFonts w:ascii="Times New Roman" w:hAnsi="Times New Roman" w:cs="Times New Roman"/>
          <w:sz w:val="24"/>
        </w:rPr>
        <w:lastRenderedPageBreak/>
        <w:t>1.6.7. Centrālās krājumu uzturēšanas struktūras (CKUS)</w:t>
      </w:r>
      <w:r w:rsidRPr="00B03B51">
        <w:rPr>
          <w:rStyle w:val="FootnoteReference"/>
          <w:rFonts w:ascii="Times New Roman" w:hAnsi="Times New Roman" w:cs="Times New Roman"/>
          <w:noProof/>
          <w:sz w:val="24"/>
        </w:rPr>
        <w:footnoteReference w:id="95"/>
      </w:r>
      <w:bookmarkEnd w:id="70"/>
    </w:p>
    <w:p w14:paraId="1D6A1CB2" w14:textId="77777777" w:rsidR="00994F93" w:rsidRPr="00B03B51" w:rsidRDefault="00994F93" w:rsidP="00D100A9">
      <w:pPr>
        <w:pStyle w:val="BodyText"/>
        <w:keepNext/>
        <w:tabs>
          <w:tab w:val="left" w:pos="840"/>
        </w:tabs>
        <w:spacing w:before="0"/>
        <w:ind w:left="0" w:firstLine="0"/>
        <w:jc w:val="both"/>
        <w:rPr>
          <w:rFonts w:ascii="Times New Roman" w:hAnsi="Times New Roman" w:cs="Times New Roman"/>
          <w:noProof/>
          <w:sz w:val="24"/>
        </w:rPr>
      </w:pPr>
    </w:p>
    <w:p w14:paraId="0ADB9416" w14:textId="77777777" w:rsidR="00994F93" w:rsidRPr="00B03B51" w:rsidRDefault="00994F93" w:rsidP="00D100A9">
      <w:pPr>
        <w:pStyle w:val="BodyText"/>
        <w:keepN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52. Saskaņā ar 2009. gada Direktīvu</w:t>
      </w:r>
      <w:r w:rsidRPr="00B03B51">
        <w:rPr>
          <w:rStyle w:val="FootnoteReference"/>
          <w:rFonts w:ascii="Times New Roman" w:hAnsi="Times New Roman" w:cs="Times New Roman"/>
          <w:noProof/>
          <w:sz w:val="24"/>
        </w:rPr>
        <w:footnoteReference w:id="96"/>
      </w:r>
      <w:r w:rsidRPr="00B03B51">
        <w:rPr>
          <w:rFonts w:ascii="Times New Roman" w:hAnsi="Times New Roman" w:cs="Times New Roman"/>
          <w:sz w:val="24"/>
        </w:rPr>
        <w:t xml:space="preserve"> ES dalībvalstis var izveidot centrālo uzkrājumu uzturēšanas struktūru, lai nodrošinātu jēlnaftas un/vai naftas produktu drošības rezervju uzturēšanu, kas būtu lietojamas krīzes gadījumā. Valdība var tieši pārvaldīt šīs drošības rezerves vai arī nodot šīs pilnvaras valdības izveidotai vai ieceltai CKUS. Bez tam šajā direktīvā noteikts, ka CKUS vai valdība uz noteiktu laiku var deleģēt ar drošības rezervju pārvaldīšanu saistītus uzdevumus, izņemot konkrēto rezervju pārdošanu un iegādi. Šādus uzdevumus drīkst deleģēt vienīgi: 1) citai ES dalībvalstij, kuras teritorijā tādi krājumi tiek uzglabāti; vai 2) šīs ES dalībvalsts izveidotajai CKUS; vai 3) uzņēmējiem.</w:t>
      </w:r>
      <w:r w:rsidRPr="00B03B51">
        <w:rPr>
          <w:rStyle w:val="FootnoteReference"/>
          <w:rFonts w:ascii="Times New Roman" w:hAnsi="Times New Roman" w:cs="Times New Roman"/>
          <w:noProof/>
          <w:sz w:val="24"/>
        </w:rPr>
        <w:footnoteReference w:id="97"/>
      </w:r>
    </w:p>
    <w:p w14:paraId="24CCC50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EB0018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Direktīvā noteikts, ka CKUS nav obligāti jādibina, taču, ja ES dalībvalsts ir nolēmusi izveidot šādu struktūru, tai ir jāievēro šādi nosacījumi: ES dalībvalstīm nav atļauts izveidot vairāk kā vienu CKUS, tai ir jābūt struktūrai vai dienestam, kura mērķis nav gūt peļņu un kurš darbojas vispārējās interesēs, un tās galvenais mērķis ir iegādāties, uzturēt un pārdot naftas krājumus šajā direktīvā noteiktajām vajadzībām. Maksas, ko uzņēmumi maksā par CKUS sniegtajiem pakalpojumiem, nepārsniedz pilnas sniegto pakalpojumu izmaksas, un tās nevar pieprasīt, pirms krājumi ir izveidoti.</w:t>
      </w:r>
    </w:p>
    <w:p w14:paraId="21384DC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80D613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CKUS galvenā darbība ietver tikai naftas krājumu iegādi, uzturēšanu un pārdošanu šās direktīvas vajadzībām, un tas ir ES dalībvalstu valsts politikas jautājums. CKUS netiek izveidota nolūkā gūt kādu peļņu no savas darbības un var nest pat zaudējumus.</w:t>
      </w:r>
    </w:p>
    <w:p w14:paraId="0456D6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26C882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55. CKUS darbības, mērķi un drošības rezervju raksturojumu un izlietojumu stingri reglamentē ES un valsts tiesību akti. Šie ierobežojumi paredzēti tādi, lai neapdraudētu šo krājumu pieejamību, fizisku piekļuvi tiem un to lietošanu krīzes gadījumā. Šie ierobežojumi ir jāņem vērā, izvērtējot citus valdības kontroles rādītājus. Ņemot vērā naftas rezerves krājumu stratēģisko būtību, attiecībā uz CKUS vienmēr pastāv valdības kontroles elements, ko nodrošina ar pārmērīgu regulējumu (skat. EKS 2010 20.309. punkta h) apakšpunktu).</w:t>
      </w:r>
    </w:p>
    <w:p w14:paraId="68AF623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B576DA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56. Praksē izšķir četrus CKUS pamatveidus:</w:t>
      </w:r>
    </w:p>
    <w:p w14:paraId="5415CCA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358CC40" w14:textId="77777777" w:rsidR="00994F93" w:rsidRPr="00B03B51" w:rsidRDefault="00994F93" w:rsidP="00D100A9">
      <w:pPr>
        <w:pStyle w:val="BodyText"/>
        <w:numPr>
          <w:ilvl w:val="1"/>
          <w:numId w:val="2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CKUS ir vispārējās valdības sektora sastāvdaļa (piemēram, budžeta vai ārpusbudžeta vienība utt.);</w:t>
      </w:r>
    </w:p>
    <w:p w14:paraId="60A0AC2F" w14:textId="77777777" w:rsidR="00994F93" w:rsidRPr="00B03B51" w:rsidRDefault="00994F93" w:rsidP="00D100A9">
      <w:pPr>
        <w:pStyle w:val="BodyText"/>
        <w:numPr>
          <w:ilvl w:val="1"/>
          <w:numId w:val="2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CKUS ir publiska sabiedrība (t. i., to kontrolē valdība);</w:t>
      </w:r>
    </w:p>
    <w:p w14:paraId="0EFA675C" w14:textId="77777777" w:rsidR="00994F93" w:rsidRPr="00B03B51" w:rsidRDefault="00994F93" w:rsidP="00D100A9">
      <w:pPr>
        <w:pStyle w:val="BodyText"/>
        <w:numPr>
          <w:ilvl w:val="1"/>
          <w:numId w:val="2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CKUS ir BPI/apvienība, kuras locekļi ir uzņēmēji;</w:t>
      </w:r>
    </w:p>
    <w:p w14:paraId="375BF78F" w14:textId="77777777" w:rsidR="00994F93" w:rsidRPr="00B03B51" w:rsidRDefault="00994F93" w:rsidP="00D100A9">
      <w:pPr>
        <w:pStyle w:val="BodyText"/>
        <w:numPr>
          <w:ilvl w:val="1"/>
          <w:numId w:val="2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CKUS var būt privāta sabiedrība, kas ir privātuzņēmēju īpašums.</w:t>
      </w:r>
    </w:p>
    <w:p w14:paraId="5E34F93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148E19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Pirmajā un otrajā gadījumā valdība kontrolē CKUS vispārējo politiku (EKS 2010 20.18. punkts).</w:t>
      </w:r>
    </w:p>
    <w:p w14:paraId="5403ED7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5B9FF9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58. Trešajā gadījumā galvenais jautājums ir, vai valdība faktiski kontrolē CKUS, ja tā ir apvienība/BPI, kuras locekļi ir uzņēmēji. Kontrole parasti tiek realizēta, nodrošinot balsstiesību vairākumu, paturot sev veto tiesības vai ieceļot valdes locekļu vairākumu. Citkārt valdība kontrolē CKUS, izmantojot citus līdzekļus, piemēram, ierobežo darbības, kuras CKUS drīkst </w:t>
      </w:r>
      <w:r w:rsidRPr="00B03B51">
        <w:rPr>
          <w:rFonts w:ascii="Times New Roman" w:hAnsi="Times New Roman" w:cs="Times New Roman"/>
          <w:sz w:val="24"/>
        </w:rPr>
        <w:lastRenderedPageBreak/>
        <w:t xml:space="preserve">veikt, kontrolē drošības rezervju izlietojumu un lemj par CKUS statūtu noteikumiem. Dažkārt tiek arī paredzēts, ka valdība garantē CKUS aizdevumus (EKS 2010 20.309. punkts). Ja vienības vienīgā vai dominējošā darbība ir izpildīt valdības noteiktās saistības, uzskatāms, ka vienība </w:t>
      </w:r>
      <w:r w:rsidRPr="00B03B51">
        <w:rPr>
          <w:rFonts w:ascii="Times New Roman" w:hAnsi="Times New Roman" w:cs="Times New Roman"/>
          <w:i/>
          <w:iCs/>
          <w:sz w:val="24"/>
        </w:rPr>
        <w:t>de facto</w:t>
      </w:r>
      <w:r w:rsidRPr="00B03B51">
        <w:rPr>
          <w:rFonts w:ascii="Times New Roman" w:hAnsi="Times New Roman" w:cs="Times New Roman"/>
          <w:sz w:val="24"/>
        </w:rPr>
        <w:t xml:space="preserve"> darbojas kā valdības pārstāvis, un ir klasificējama vispārējās valdības sektorā. Savukārt, ja vienība nodarbojas arī ar citām darbībām, nevis tikai izpilda valdības noteiktās rezervju turēšanas prasības, varētu secināt, ka valdība nenosaka vienības vispārējo politiku. Šādos konkrētos gadījumos vienību varētu klasificēt ārpus vispārējās valdības sektora.</w:t>
      </w:r>
    </w:p>
    <w:p w14:paraId="3B8F2C6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EA66DF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Kā norādīts ceturtajā gadījumā, CKUS var būt privāta sabiedrība, kas pieder privātuzņēmējiem. Šobrīd tas nav izplatīts gadījums, jo Direktīva paredz, ka CKUS ir jābūt struktūrai vai dienestam, kura mērķis nav gūt peļņu un kurš darbojas vispārējās interesēs. Tāpēc šajā gadījumā būtu rūpīgi jāpārbauda, vai valdība kontrolē CKUS, izmantojot citus līdzekļus. Ja nav norāžu par valdības kontroli (skat. EKS 2010 20.309. punktu), varētu uzskatīt, ka CKUS ir privāta vienība un tā jāklasificē nefinanšu sabiedrību sektorā (S.11).</w:t>
      </w:r>
    </w:p>
    <w:p w14:paraId="51D65A3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74F47E5"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60. Valdības kontrolētu CKUS klasificē vispārējās valdības sektorā (S.13), ņemot vērā tās īpašo būtību (kā norādīts Direktīvā). Ja CKUS kontrolē valdība, CKUS darbības, kas saistītas ar drošības rezervju uzturēšanu, būtībā ir uzskatāmas par ārpustirgus ražošanu, jo valdības prasītais krājumu līmenis pārsniedz uzkrājumu, kas nepieciešams komerciāliem mērķiem.</w:t>
      </w:r>
      <w:r w:rsidRPr="00B03B51">
        <w:rPr>
          <w:rStyle w:val="FootnoteReference"/>
          <w:rFonts w:ascii="Times New Roman" w:hAnsi="Times New Roman" w:cs="Times New Roman"/>
          <w:noProof/>
          <w:sz w:val="24"/>
        </w:rPr>
        <w:footnoteReference w:id="98"/>
      </w:r>
      <w:r w:rsidRPr="00B03B51">
        <w:rPr>
          <w:rFonts w:ascii="Times New Roman" w:hAnsi="Times New Roman" w:cs="Times New Roman"/>
          <w:sz w:val="24"/>
        </w:rPr>
        <w:t xml:space="preserve"> Visi maksājumi, ko veic uzņēmēji valdības kontrolētajām CKUS, ir uzskatāmi par produktu nodokļiem (D.21) (pat ja tie par tādiem netiek uzskatīti valsts tiesību aktos). Šīs nodevas, kas uzņēmējiem ir jāmaksā, nosaka valdība vai tās tiek noteiktas pēc saskaņotas formulas, un tas nozīmē, ka krājumus turošā vienība nereaģē uz tirgus signāliem (nemaina cenas, nepielāgo produkta apjomus utt.), kā tas būtu bijis tirgus darbības apstākļos.</w:t>
      </w:r>
    </w:p>
    <w:p w14:paraId="2785EF37" w14:textId="77777777" w:rsidR="00994F93" w:rsidRPr="00B03B51" w:rsidRDefault="00994F93" w:rsidP="00994F93">
      <w:pPr>
        <w:jc w:val="both"/>
        <w:rPr>
          <w:rFonts w:ascii="Times New Roman" w:eastAsia="Arial" w:hAnsi="Times New Roman" w:cs="Times New Roman"/>
          <w:noProof/>
          <w:sz w:val="24"/>
          <w:szCs w:val="25"/>
        </w:rPr>
      </w:pPr>
    </w:p>
    <w:p w14:paraId="5836CE5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61. Ja CKUS ir privātā kontrolē, jāanalizē ir uzņēmēju veikto maksājumu šai struktūrai būtība. Ja visi maksājumi, ko veic uzņēmēji CKUS, ir brīvprātīgi un ja uzņēmēji var izvēlēties, kā uzglabāt drošības rezerves (t. i., tie var pilnībā izlemt, vai uzglabāt rezerves krājumus pašiem ar CKUS starpniecību, vai deleģēt šo pienākumu citam uzņēmējam), šos maksājumus varētu uzskatīt par pakalpojumu pārdošanu. Ja CKUS ir privātā kontrolē, to klasificē nefinanšu sabiedrību sektorā (S.11). Šādā gadījumā valdība ir deleģējusi savu pienākumu uzturēt rezerves krājumus privātam subjektam. Ja privāti kontrolētā CKUS saņem obligātos maksājumus no uzņēmējiem, šie maksājumi ir uzskatāmi par nodokļiem, un tos pārvirza caur valdības kontiem (S.13), jo valdības deleģēto pilnvaru dēļ CKUS iekasē šos maksājumus. Savukārt, ja privāti kontrolētā CKUS saņem brīvprātīgas iemaksas/maksājumus no uzņēmējiem, šīs maksas var traktēt kā pakalpojumu pārdošanu.</w:t>
      </w:r>
    </w:p>
    <w:p w14:paraId="4996FD1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078C74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Ja CKUS ir klasificēta valdības sektorā (S.13), tai joprojām var būt kāda ļoti ierobežota tirgus darbība, taču tas nedrīkstētu atstāt nekādu ietekmi uz vienības sektora klasifikāciju.</w:t>
      </w:r>
    </w:p>
    <w:p w14:paraId="7482D4A6" w14:textId="77777777" w:rsidR="00994F93" w:rsidRPr="00B03B51" w:rsidRDefault="00994F93" w:rsidP="00994F93">
      <w:pPr>
        <w:rPr>
          <w:rFonts w:ascii="Times New Roman" w:eastAsia="Arial" w:hAnsi="Times New Roman" w:cs="Times New Roman"/>
          <w:noProof/>
          <w:sz w:val="24"/>
        </w:rPr>
      </w:pPr>
      <w:r w:rsidRPr="00B03B51">
        <w:rPr>
          <w:rFonts w:ascii="Times New Roman" w:hAnsi="Times New Roman" w:cs="Times New Roman"/>
        </w:rPr>
        <w:br w:type="page"/>
      </w:r>
    </w:p>
    <w:p w14:paraId="5A24D1EC" w14:textId="77777777" w:rsidR="00994F93" w:rsidRPr="00B03B51" w:rsidRDefault="00994F93" w:rsidP="00994F93">
      <w:pPr>
        <w:jc w:val="both"/>
        <w:rPr>
          <w:rFonts w:ascii="Times New Roman" w:eastAsia="Arial" w:hAnsi="Times New Roman" w:cs="Times New Roman"/>
          <w:noProof/>
          <w:sz w:val="24"/>
          <w:szCs w:val="26"/>
        </w:rPr>
      </w:pPr>
    </w:p>
    <w:p w14:paraId="5196410C"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71" w:name="1.7_Government_debt_management_offices"/>
      <w:bookmarkStart w:id="72" w:name="_bookmark7"/>
      <w:bookmarkStart w:id="73" w:name="_Toc67565041"/>
      <w:bookmarkEnd w:id="71"/>
      <w:bookmarkEnd w:id="72"/>
      <w:r w:rsidRPr="00B03B51">
        <w:rPr>
          <w:rFonts w:ascii="Times New Roman" w:hAnsi="Times New Roman" w:cs="Times New Roman"/>
          <w:sz w:val="28"/>
          <w:szCs w:val="44"/>
        </w:rPr>
        <w:t>1.7. Valdības parāda pārvaldības biroji</w:t>
      </w:r>
      <w:bookmarkEnd w:id="73"/>
    </w:p>
    <w:p w14:paraId="0C4A3BEF" w14:textId="77777777" w:rsidR="00994F93" w:rsidRPr="00C13305" w:rsidRDefault="00994F93" w:rsidP="00C13305">
      <w:pPr>
        <w:rPr>
          <w:rFonts w:ascii="Times New Roman" w:hAnsi="Times New Roman" w:cs="Times New Roman"/>
          <w:noProof/>
          <w:sz w:val="24"/>
          <w:szCs w:val="24"/>
        </w:rPr>
      </w:pPr>
      <w:bookmarkStart w:id="74" w:name="1.7.1_Background"/>
      <w:bookmarkEnd w:id="74"/>
    </w:p>
    <w:p w14:paraId="16E9F9BF"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75" w:name="_Toc67565042"/>
      <w:r w:rsidRPr="00B03B51">
        <w:rPr>
          <w:rFonts w:ascii="Times New Roman" w:hAnsi="Times New Roman" w:cs="Times New Roman"/>
          <w:sz w:val="24"/>
        </w:rPr>
        <w:t>1.7.1. Vispārīga informācija</w:t>
      </w:r>
      <w:bookmarkEnd w:id="75"/>
    </w:p>
    <w:p w14:paraId="291ED78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F3EFFE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Valsts parāda pārvaldības aģentūru vai biroju funkcijas, ko bieži vien iespējams novērot centrālās valdības līmenī, dažādās valstīs atšķiras. Šīs funkcijas var aptvert virkni finanšu darbību. Visizplatītākās funkcijas ir vērtspapīru emisija, citu aizdevumu veidu iespējama izmantošana, nodrošināšanās pret riskiem, valsts likviditātes pārvaldība (jo īpaši izmantojot pārdošanas ar atpirkšanu līgumus). Šādi biroji parasti tiek izveidoti ar mērķi nodrošināt īpašu finanšu ekspertīzi un ciešākas saites ar tirgus zonām. Dažos gadījumos tie var izsniegt aizdevumus citām publiskām vienībām (piemēram, kā ārkārtas atbalstu likviditātes nodrošināšanai vai ilgtermiņa aizdevumu, jo īpaši ārvalstu valdībām). Dažās valstīs centrālā banka var veikt dažus no šiem pienākumiem valdības vietā, savukārt citās dalībvalstīs tās tieši īsteno Finanšu ministrija (Valsts kase) vai cita apakšsektora iestādes.</w:t>
      </w:r>
    </w:p>
    <w:p w14:paraId="4EED158B" w14:textId="77777777" w:rsidR="00994F93" w:rsidRPr="00B03B51" w:rsidRDefault="00994F93" w:rsidP="00994F93">
      <w:pPr>
        <w:jc w:val="both"/>
        <w:rPr>
          <w:rFonts w:ascii="Times New Roman" w:eastAsia="Arial" w:hAnsi="Times New Roman" w:cs="Times New Roman"/>
          <w:noProof/>
          <w:sz w:val="24"/>
          <w:szCs w:val="20"/>
        </w:rPr>
      </w:pPr>
    </w:p>
    <w:p w14:paraId="7860454B"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76" w:name="1.7.2_Treatment_in_national_accounts"/>
      <w:bookmarkStart w:id="77" w:name="_Toc67565043"/>
      <w:bookmarkEnd w:id="76"/>
      <w:r w:rsidRPr="00B03B51">
        <w:rPr>
          <w:rFonts w:ascii="Times New Roman" w:hAnsi="Times New Roman" w:cs="Times New Roman"/>
          <w:sz w:val="24"/>
        </w:rPr>
        <w:t>1.7.2. Traktējums nacionālajos kontos</w:t>
      </w:r>
      <w:bookmarkEnd w:id="77"/>
    </w:p>
    <w:p w14:paraId="204F393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A53E80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Ja valsts parāda pārvaldības biroji ir atsevišķas institucionālas vienības, tos klasificē vispārējās valdības sektorā, jo tie darbojas vispārējās valdības vārdā. Tie ir vienkāršas aģentūras, un to darbība ļoti līdzinās palīgdarbībai.</w:t>
      </w:r>
    </w:p>
    <w:p w14:paraId="1FF9FD1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46FF27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Tos neklasificē kā finanšu sabiedrības, jo tie nenodarbojas ar finanšu starpniecību. Ienākumus no aizdevuma parāda pārvaldības biroji nodod valdībai, un tie parasti netiek norādīti parāda pārvaldības struktūras bilancē, bet gan tās valdības vienības kontā, kuru attiecīgā struktūra apkalpo. Līdzīgi aizdevuma atmaksu veic šī valdības vienība no saviem līdzekļiem vai ar parāda refinansēšanu, izmantojot jaunas emisijas, ko īsteno parāda pārvaldības birojs.</w:t>
      </w:r>
    </w:p>
    <w:p w14:paraId="65B58A28"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008212F3" w14:textId="77777777" w:rsidR="00994F93" w:rsidRPr="00B03B51" w:rsidRDefault="00994F93" w:rsidP="00994F93">
      <w:pPr>
        <w:jc w:val="both"/>
        <w:rPr>
          <w:rFonts w:ascii="Times New Roman" w:eastAsia="Arial" w:hAnsi="Times New Roman" w:cs="Times New Roman"/>
          <w:noProof/>
          <w:sz w:val="24"/>
          <w:szCs w:val="26"/>
        </w:rPr>
      </w:pPr>
    </w:p>
    <w:p w14:paraId="191DB5C4" w14:textId="77777777" w:rsidR="00994F93" w:rsidRPr="00B03B51" w:rsidRDefault="00994F93" w:rsidP="00994F93">
      <w:pPr>
        <w:pStyle w:val="Heading2"/>
        <w:tabs>
          <w:tab w:val="left" w:pos="1277"/>
        </w:tabs>
        <w:spacing w:before="0"/>
        <w:ind w:left="0" w:firstLine="0"/>
        <w:jc w:val="both"/>
        <w:rPr>
          <w:rFonts w:ascii="Times New Roman" w:hAnsi="Times New Roman" w:cs="Times New Roman"/>
          <w:noProof/>
          <w:sz w:val="28"/>
          <w:szCs w:val="44"/>
        </w:rPr>
      </w:pPr>
      <w:bookmarkStart w:id="78" w:name="1.8_Joint_ventures"/>
      <w:bookmarkStart w:id="79" w:name="_bookmark8"/>
      <w:bookmarkStart w:id="80" w:name="_Toc67565044"/>
      <w:bookmarkEnd w:id="78"/>
      <w:bookmarkEnd w:id="79"/>
      <w:r w:rsidRPr="00B03B51">
        <w:rPr>
          <w:rFonts w:ascii="Times New Roman" w:hAnsi="Times New Roman" w:cs="Times New Roman"/>
          <w:sz w:val="28"/>
          <w:szCs w:val="44"/>
        </w:rPr>
        <w:t>1.8. Kopuzņēmumi</w:t>
      </w:r>
      <w:bookmarkEnd w:id="80"/>
    </w:p>
    <w:p w14:paraId="23D2F09B" w14:textId="77777777" w:rsidR="00994F93" w:rsidRPr="009F09E5" w:rsidRDefault="00994F93" w:rsidP="009F09E5">
      <w:pPr>
        <w:rPr>
          <w:rFonts w:ascii="Times New Roman" w:hAnsi="Times New Roman" w:cs="Times New Roman"/>
          <w:noProof/>
          <w:sz w:val="24"/>
          <w:szCs w:val="24"/>
        </w:rPr>
      </w:pPr>
      <w:bookmarkStart w:id="81" w:name="1.8.1_Background"/>
      <w:bookmarkEnd w:id="81"/>
    </w:p>
    <w:p w14:paraId="6E652576"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82" w:name="_Toc67565045"/>
      <w:r w:rsidRPr="00B03B51">
        <w:rPr>
          <w:rFonts w:ascii="Times New Roman" w:hAnsi="Times New Roman" w:cs="Times New Roman"/>
          <w:sz w:val="24"/>
        </w:rPr>
        <w:t>1.8.1. Vispārīga informācija</w:t>
      </w:r>
      <w:bookmarkEnd w:id="82"/>
    </w:p>
    <w:p w14:paraId="395B1C7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75EBA9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 Kopuzņēmumu gadījumi, kuros iesaistītas valdības vienības, ir apskatīti EKS 2010 20. nodaļā “Valdības konti”. EKS 2010 20.49. punktā norādīts, ka “daudzas publiskas vienības slēdz līgumus ar privātiem subjektiem vai citām publiskām vienībām, lai kopīgi veiktu dažādas darbības tirgū vai ārpus tirgus”. Paredzēti trīs pasākumu veidi: kopīgi kontrolētas vienības (kopuzņēmumi), kopīgi kontrolētas darbības un kopīgi kontrolēti aktīvi. Šajā nodaļā nav apspriesti tādi kopuzņēmumi, kurus privātajā sektorā veido publiskas tirgus sabiedrības.</w:t>
      </w:r>
      <w:r w:rsidRPr="00B03B51">
        <w:rPr>
          <w:rStyle w:val="FootnoteReference"/>
          <w:rFonts w:ascii="Times New Roman" w:hAnsi="Times New Roman" w:cs="Times New Roman"/>
          <w:noProof/>
          <w:sz w:val="24"/>
        </w:rPr>
        <w:footnoteReference w:id="99"/>
      </w:r>
    </w:p>
    <w:p w14:paraId="0829451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24D58F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Kopuzņēmumu gadījumā tiek izveidota vienība (kā sabiedrība, partnerība vai citā juridiskā formā), kas nepārprotami ir institucionāla vienība, proti, atbilst kritērijiem, kuri noteikti EKS 2010 2.12. punktā, t. i., slēdz līgumus savā vārdā un piesaista finansējumu savām vajadzībām. Kopuzņēmumi ir ne tikai tādas vienības, kurās apvienojušies divi partneri; tie var būt arī sarežģītāki veidojumi. Turklāt kopuzņēmums var būt izveidots ar nolūku īstenot pasākumus nerezidentu teritorijā un var piemērot noteikumus, kas līdzinās tiem, kurus piemēro attiecībā uz nerezidentu ĪNDS. Kopuzņēmumu var izveidot arī PPP projektos, un šajā gadījumā jāpiemēro noteikumi, kas izklāstīti 4.4. nodaļā, ciktāl tas attiecas uz partneru klasifikāciju.</w:t>
      </w:r>
      <w:r w:rsidRPr="00B03B51">
        <w:rPr>
          <w:rStyle w:val="FootnoteReference"/>
          <w:rFonts w:ascii="Times New Roman" w:hAnsi="Times New Roman" w:cs="Times New Roman"/>
          <w:noProof/>
          <w:sz w:val="24"/>
        </w:rPr>
        <w:footnoteReference w:id="100"/>
      </w:r>
    </w:p>
    <w:p w14:paraId="5C5A664D" w14:textId="77777777" w:rsidR="00994F93" w:rsidRPr="00B03B51" w:rsidRDefault="00994F93" w:rsidP="00994F93">
      <w:pPr>
        <w:jc w:val="both"/>
        <w:rPr>
          <w:rFonts w:ascii="Times New Roman" w:hAnsi="Times New Roman" w:cs="Times New Roman"/>
          <w:noProof/>
          <w:sz w:val="24"/>
        </w:rPr>
      </w:pPr>
    </w:p>
    <w:p w14:paraId="131373C3" w14:textId="417D86A1" w:rsidR="00994F93" w:rsidRPr="00B03B51" w:rsidRDefault="00D100A9" w:rsidP="00994F93">
      <w:pPr>
        <w:pStyle w:val="Heading3"/>
        <w:tabs>
          <w:tab w:val="left" w:pos="1265"/>
        </w:tabs>
        <w:ind w:left="0" w:firstLine="0"/>
        <w:jc w:val="both"/>
        <w:rPr>
          <w:rFonts w:ascii="Times New Roman" w:hAnsi="Times New Roman" w:cs="Times New Roman"/>
          <w:noProof/>
          <w:sz w:val="24"/>
        </w:rPr>
      </w:pPr>
      <w:bookmarkStart w:id="83" w:name="1.8.2_Treatment_in_national_accounts"/>
      <w:bookmarkStart w:id="84" w:name="_Toc67565046"/>
      <w:bookmarkEnd w:id="83"/>
      <w:r w:rsidRPr="00B03B51">
        <w:rPr>
          <w:rFonts w:ascii="Times New Roman" w:hAnsi="Times New Roman" w:cs="Times New Roman"/>
          <w:sz w:val="24"/>
        </w:rPr>
        <w:t>1</w:t>
      </w:r>
      <w:r w:rsidR="00994F93" w:rsidRPr="00B03B51">
        <w:rPr>
          <w:rFonts w:ascii="Times New Roman" w:hAnsi="Times New Roman" w:cs="Times New Roman"/>
          <w:sz w:val="24"/>
        </w:rPr>
        <w:t>.8.</w:t>
      </w:r>
      <w:r w:rsidRPr="00B03B51">
        <w:rPr>
          <w:rFonts w:ascii="Times New Roman" w:hAnsi="Times New Roman" w:cs="Times New Roman"/>
          <w:sz w:val="24"/>
        </w:rPr>
        <w:t>2</w:t>
      </w:r>
      <w:r w:rsidR="00994F93" w:rsidRPr="00B03B51">
        <w:rPr>
          <w:rFonts w:ascii="Times New Roman" w:hAnsi="Times New Roman" w:cs="Times New Roman"/>
          <w:sz w:val="24"/>
        </w:rPr>
        <w:t>. Traktējums nacionālajos kontos</w:t>
      </w:r>
      <w:bookmarkEnd w:id="84"/>
    </w:p>
    <w:p w14:paraId="6C4CC6D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8763A5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Ja kopuzņēmums vienādās procentuālās daļās pieder valdības vienībai un privātai vienībai, īpašumtiesību rādītāja vietā ieteicams ņemt vērā citus EKS 2010 20.307. punktā noteiktos kontroles rādītājus. Dažkārt valdībai var būt lielākas tiesības nekā privātajam partnerim(-iem), piemēram, veto tiesības vai prioritāte atlīdzības saņemšanā, vai tā var uzņemties lielāku risku. Šādos gadījumos jāpiemēro 5. rindkopā noteiktais princips.</w:t>
      </w:r>
    </w:p>
    <w:p w14:paraId="4AA91A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457A8F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Attiecībā uz gadījumiem, kad kopuzņēmums vienādās procentuālās daļās pieder valdības vienībai un privātai vienībai un nav pierādījumu, kas apliecinātu, ka kādai no pusēm ir lielāka kontrole, EKS 2010 20.320. punktā noteikts, ka, ja kopīgi kontrolēta vienība neatbilst kritērijiem, saskaņā ar kuriem tā klasificējama kā tirgus ražotājs, tā pilnīgi jāiekļauj vispārējās valdības sektorā. Ja vienība tiek atzīta par tirgus ražotāju, tā jāiekļauj nefinanšu sabiedrību sektorā S.11, taču jāsadala, nosakot, ka viena daļa uzskatāma par valsts kontrolētu publisku sabiedrību, bet otru daļu iekļaujot privātajā sektorā.</w:t>
      </w:r>
    </w:p>
    <w:p w14:paraId="41FA480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9A9F9C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Ja kopuzņēmums nepieder vienādās daļās publiskajam un privātajam īpašniekam, tad šī vienība ir jāiekļauj tās puses sektorā, kurai pieder lielākā vienības daļa. Ja tā ir valdības vienība, tā tiks klasificēta valdības sektorā ar nosacījumu, ka kopuzņēmums veic galvenokārt ārpustirgus darbību, un kā publiska sabiedrība, ja atzīts, ka vienība ir tirgus ražotājs. Tomēr ir ieteicams pārbaudīt, vai citi noteikumi attiecībā uz tiesībām un lemšanas tiesībām faktiski neparedz citādi, ciktāl tas attiecas uz faktisko kontroli pār kopīgo vienību.</w:t>
      </w:r>
    </w:p>
    <w:p w14:paraId="48E01AD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87271E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Ja kopuzņēmumā iesaistītas vienīgi publiskajā sektorā klasificētas vienības (piemēram, </w:t>
      </w:r>
      <w:r w:rsidRPr="00B03B51">
        <w:rPr>
          <w:rFonts w:ascii="Times New Roman" w:hAnsi="Times New Roman" w:cs="Times New Roman"/>
          <w:sz w:val="24"/>
        </w:rPr>
        <w:lastRenderedPageBreak/>
        <w:t>kopuzņēmums starp publisku sabiedrību un valdības vienību), vienības sektora klasifikācija atkarīga no tā, vai šī vienība uzskatāma par tirgus vienību vai ārpustirgus vienību. Ārpustirgus vienības ieraksta valdības sektorā, bet tirgus vienības ieraksta publisko sabiedrību apakšsektorā (S.11).</w:t>
      </w:r>
    </w:p>
    <w:p w14:paraId="3987EBC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2E6C203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Attiecībā uz citiem veidojumiem, kurus nevada atsevišķa institucionāla vienība, taču kuros ir izmantoti vien atsevišķi aktīvi, jānosaka tas, kurai vienībai pieder aktīvi, pamatojoties uz to, kura vienība uzņemas lielāko daļu ar aktīviem saistīto risku un saņem no tiem lielāko atlīdzības daļu. Tomēr bruto izdevumus un ieņēmumus pārdala atbilstoši tam, kā to paredz vienošanās (EKS 2010 20.49. punkts).</w:t>
      </w:r>
    </w:p>
    <w:p w14:paraId="051D5E77" w14:textId="77777777" w:rsidR="00994F93" w:rsidRPr="00B03B51" w:rsidRDefault="00994F93" w:rsidP="00994F93">
      <w:pPr>
        <w:jc w:val="both"/>
        <w:rPr>
          <w:rFonts w:ascii="Times New Roman" w:eastAsia="Arial" w:hAnsi="Times New Roman" w:cs="Times New Roman"/>
          <w:noProof/>
          <w:sz w:val="24"/>
          <w:szCs w:val="20"/>
        </w:rPr>
      </w:pPr>
    </w:p>
    <w:p w14:paraId="52BDA557" w14:textId="4934D9AD" w:rsidR="00994F93" w:rsidRPr="00B03B51" w:rsidRDefault="005B2A11" w:rsidP="00994F93">
      <w:pPr>
        <w:pStyle w:val="Heading3"/>
        <w:tabs>
          <w:tab w:val="left" w:pos="1265"/>
        </w:tabs>
        <w:ind w:left="0" w:firstLine="0"/>
        <w:jc w:val="both"/>
        <w:rPr>
          <w:rFonts w:ascii="Times New Roman" w:hAnsi="Times New Roman" w:cs="Times New Roman"/>
          <w:noProof/>
          <w:sz w:val="24"/>
        </w:rPr>
      </w:pPr>
      <w:bookmarkStart w:id="85" w:name="1.8.3_Rationale_of_the_treatment"/>
      <w:bookmarkStart w:id="86" w:name="_Toc67565047"/>
      <w:bookmarkEnd w:id="85"/>
      <w:r w:rsidRPr="00B03B51">
        <w:rPr>
          <w:rFonts w:ascii="Times New Roman" w:hAnsi="Times New Roman" w:cs="Times New Roman"/>
          <w:sz w:val="24"/>
        </w:rPr>
        <w:t>1</w:t>
      </w:r>
      <w:r w:rsidR="00994F93" w:rsidRPr="00B03B51">
        <w:rPr>
          <w:rFonts w:ascii="Times New Roman" w:hAnsi="Times New Roman" w:cs="Times New Roman"/>
          <w:sz w:val="24"/>
        </w:rPr>
        <w:t>.8.</w:t>
      </w:r>
      <w:r w:rsidRPr="00B03B51">
        <w:rPr>
          <w:rFonts w:ascii="Times New Roman" w:hAnsi="Times New Roman" w:cs="Times New Roman"/>
          <w:sz w:val="24"/>
        </w:rPr>
        <w:t>3</w:t>
      </w:r>
      <w:r w:rsidR="00994F93" w:rsidRPr="00B03B51">
        <w:rPr>
          <w:rFonts w:ascii="Times New Roman" w:hAnsi="Times New Roman" w:cs="Times New Roman"/>
          <w:sz w:val="24"/>
        </w:rPr>
        <w:t>. Traktējuma pamatojums</w:t>
      </w:r>
      <w:bookmarkEnd w:id="86"/>
    </w:p>
    <w:p w14:paraId="507CD79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067A5A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Gadījumā, ja atsevišķa vienība ir kopīgi izveidota ar mērķi veikt kādu noteiktu darbību, īpašumtiesību procentuālā daļa var nebūt pietiekams kritērijs, lai klasificētu vienību noteiktā sektorā. Jāanalizē arī citas kontroles pazīmes. Daudzos gadījumos valdībai faktiski ir lielāka ietekme nekā tās privātajam(-iem) partnerim(-iem), un tā gūst lielāku labumu. Ir rūpīgi jāizskata vienības izveidošanas mērķis, jo īpaši tas, cik liela nozīme saistībā ar izveidošanu bija piešķirta valsts interesēm.</w:t>
      </w:r>
    </w:p>
    <w:p w14:paraId="034AE3C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B119A5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Attiecībā uz citiem veidojumu tipiem, kuros tiek izmantoti aktīvi, taču netiek kopīgi veidota atsevišķa vienība, visus aktīvus nacionālajos kontos piedēvē tikai vienai kontrolējošai vienībai un līdz ar to tās institucionālajam sektoram.</w:t>
      </w:r>
    </w:p>
    <w:p w14:paraId="1D5AF345"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45336B9E" w14:textId="77777777" w:rsidR="00994F93" w:rsidRPr="00B03B51" w:rsidRDefault="00994F93" w:rsidP="00994F93">
      <w:pPr>
        <w:jc w:val="both"/>
        <w:rPr>
          <w:rFonts w:ascii="Times New Roman" w:eastAsia="Arial" w:hAnsi="Times New Roman" w:cs="Times New Roman"/>
          <w:noProof/>
          <w:sz w:val="24"/>
          <w:szCs w:val="26"/>
        </w:rPr>
      </w:pPr>
    </w:p>
    <w:p w14:paraId="60B46629" w14:textId="77777777" w:rsidR="00994F93" w:rsidRPr="00B03B51" w:rsidRDefault="00994F93" w:rsidP="00994F93">
      <w:pPr>
        <w:pStyle w:val="Heading2"/>
        <w:tabs>
          <w:tab w:val="left" w:pos="1265"/>
        </w:tabs>
        <w:spacing w:before="0"/>
        <w:ind w:left="0" w:firstLine="0"/>
        <w:jc w:val="both"/>
        <w:rPr>
          <w:rFonts w:ascii="Times New Roman" w:hAnsi="Times New Roman" w:cs="Times New Roman"/>
          <w:noProof/>
          <w:sz w:val="28"/>
          <w:szCs w:val="44"/>
        </w:rPr>
      </w:pPr>
      <w:bookmarkStart w:id="87" w:name="1.9_European_entities_related_to_the_eur"/>
      <w:bookmarkStart w:id="88" w:name="_bookmark9"/>
      <w:bookmarkStart w:id="89" w:name="_Toc67565048"/>
      <w:bookmarkEnd w:id="87"/>
      <w:bookmarkEnd w:id="88"/>
      <w:r w:rsidRPr="00B03B51">
        <w:rPr>
          <w:rFonts w:ascii="Times New Roman" w:hAnsi="Times New Roman" w:cs="Times New Roman"/>
          <w:sz w:val="28"/>
          <w:szCs w:val="44"/>
        </w:rPr>
        <w:t>1.9. Eiropas subjekti, kas saistīti ar eirozonas valstu parādu krīzi</w:t>
      </w:r>
      <w:bookmarkEnd w:id="89"/>
    </w:p>
    <w:p w14:paraId="03C023F7" w14:textId="77777777" w:rsidR="00994F93" w:rsidRPr="009F09E5" w:rsidRDefault="00994F93" w:rsidP="009F09E5">
      <w:pPr>
        <w:rPr>
          <w:rFonts w:ascii="Times New Roman" w:hAnsi="Times New Roman" w:cs="Times New Roman"/>
          <w:noProof/>
          <w:sz w:val="24"/>
          <w:szCs w:val="24"/>
        </w:rPr>
      </w:pPr>
      <w:bookmarkStart w:id="90" w:name="1.9.1_Background"/>
      <w:bookmarkEnd w:id="90"/>
    </w:p>
    <w:p w14:paraId="7D3071E0"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91" w:name="_Toc67565049"/>
      <w:r w:rsidRPr="00B03B51">
        <w:rPr>
          <w:rFonts w:ascii="Times New Roman" w:hAnsi="Times New Roman" w:cs="Times New Roman"/>
          <w:sz w:val="24"/>
        </w:rPr>
        <w:t>1.9.1. Vispārīga informācija</w:t>
      </w:r>
      <w:bookmarkEnd w:id="91"/>
    </w:p>
    <w:p w14:paraId="468D929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403D7A3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Saistībā ar Eiropas valstu parādu krīzi, kas sākās 2010. gadā, tika izveidoti jauni subjekti vai struktūras, kuru mērķis ir sniegt ES dalībvalstīm starpvaldību finanšu atbalstu. Vispirms eirozonas dalībvalstis</w:t>
      </w:r>
      <w:r w:rsidRPr="00B03B51">
        <w:rPr>
          <w:rStyle w:val="FootnoteReference"/>
          <w:rFonts w:ascii="Times New Roman" w:hAnsi="Times New Roman" w:cs="Times New Roman"/>
          <w:noProof/>
          <w:sz w:val="24"/>
        </w:rPr>
        <w:footnoteReference w:id="101"/>
      </w:r>
      <w:r w:rsidRPr="00B03B51">
        <w:rPr>
          <w:rFonts w:ascii="Times New Roman" w:hAnsi="Times New Roman" w:cs="Times New Roman"/>
          <w:sz w:val="24"/>
        </w:rPr>
        <w:t xml:space="preserve"> vienojās piešķirt Grieķijai divpusējus aizdevumus no jaunā Eiropas finanšu stabilizācijas mehānisma (EFSM), kurā iesaistīta arī Eiropas Komisija un SVF. Šis finansiālais atbalsts ir bez sarežģījumiem ierakstīts valdības finanšu statistikā kā aizdevumi, kurus aizdevuma ņēmējas valstis saņēmušas tieši no eirozonas dalībvalstīm (divpusēji), Komisijas (EFSM) un SVF. Tomēr, ņemot vērā nelabvēlīgo ietekmi, papildu sekas un pārsnieguma ietekmi uz eirozonas finanšu tirgiem, ātri vien kļuva skaidrs, ka nepieciešamas specializētas institucionālas vienības.</w:t>
      </w:r>
    </w:p>
    <w:p w14:paraId="1186047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D653DF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Šajā saistībā eirozonas dalībvalstis, pamatojoties uz </w:t>
      </w:r>
      <w:r w:rsidRPr="00B03B51">
        <w:rPr>
          <w:rFonts w:ascii="Times New Roman" w:hAnsi="Times New Roman" w:cs="Times New Roman"/>
          <w:i/>
          <w:iCs/>
          <w:sz w:val="24"/>
        </w:rPr>
        <w:t>ECOFIN</w:t>
      </w:r>
      <w:r w:rsidRPr="00B03B51">
        <w:rPr>
          <w:rFonts w:ascii="Times New Roman" w:hAnsi="Times New Roman" w:cs="Times New Roman"/>
          <w:sz w:val="24"/>
        </w:rPr>
        <w:t xml:space="preserve"> Padomes 2010. gada 9. maijā pieņemto lēmumu, izveidoja Eiropas Finanšu stabilitātes instrumentu (EFSI) ar mērķi sniegt finanšu palīdzību eirozonas dalībvalstīm, kuras lūdz finanšu atbalstu, ar nosacījumu, ka tajās tiek īstenota makroekonomikas korekciju programma. EFSI, kas tika izveidots 2010. gada oktobrī kā pagaidu mehānisms atbalsta sniegšanai līdz 2013. gadam, bet turpināja darbību arī pēc tam, līdz tiek izpirktas visas obligācijas un aizdevumi, emitē obligācijas vai citus parāda instrumentus (vērtspapīrus) kapitāla tirgos. Turklāt tika nolemts, ka EFSI drīkst iesaistīties arī primārajos un sekundārajos obligāciju tirgos</w:t>
      </w:r>
      <w:r w:rsidRPr="00B03B51">
        <w:rPr>
          <w:rStyle w:val="FootnoteReference"/>
          <w:rFonts w:ascii="Times New Roman" w:hAnsi="Times New Roman" w:cs="Times New Roman"/>
          <w:noProof/>
          <w:sz w:val="24"/>
        </w:rPr>
        <w:footnoteReference w:id="102"/>
      </w:r>
      <w:r w:rsidRPr="00B03B51">
        <w:rPr>
          <w:rFonts w:ascii="Times New Roman" w:hAnsi="Times New Roman" w:cs="Times New Roman"/>
          <w:sz w:val="24"/>
        </w:rPr>
        <w:t>, rīkoties, pamatojoties uz piesardzības pasākumu programmu</w:t>
      </w:r>
      <w:r w:rsidRPr="00B03B51">
        <w:rPr>
          <w:rStyle w:val="FootnoteReference"/>
          <w:rFonts w:ascii="Times New Roman" w:hAnsi="Times New Roman" w:cs="Times New Roman"/>
          <w:noProof/>
          <w:sz w:val="24"/>
        </w:rPr>
        <w:footnoteReference w:id="103"/>
      </w:r>
      <w:r w:rsidRPr="00B03B51">
        <w:rPr>
          <w:rFonts w:ascii="Times New Roman" w:hAnsi="Times New Roman" w:cs="Times New Roman"/>
          <w:sz w:val="24"/>
        </w:rPr>
        <w:t>, izmantot vairāk oriģinālos rīkus (skat. turpmāk) un sniegt līdzekļus valdībām finanšu iestāžu rekapitalizācijai valstīs, kurās netiek īstenota programma.</w:t>
      </w:r>
    </w:p>
    <w:p w14:paraId="100606B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23B7A5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3. Lēmums par patstāvīga glābšanas mehānisma, proti, Eiropas Stabilitātes mehānisma (ESM), izveidošanu, pamatojoties uz īpašu nolīgumu, kas tika parakstīts 2011. gada 11. jūlijā, tika pieņemts 2010. gada oktobrī. Pēc ratifikācijas procedūras beigām minētais nolīgums stājās spēkā 2012. gada 27. septembrī, ESM tika “inaugurēts” 2012. gada 8. oktobrī un sāka darboties 2012. gada decembrī. Pašlaik tas ir mehānisms, ar kuru tiek finansētas jaunas atbalsta programmas, un līdzīgi EFSI ar to ir iespējams sniegt atbalstu, izmantojot dažādus instrumentus.</w:t>
      </w:r>
      <w:r w:rsidRPr="00B03B51">
        <w:rPr>
          <w:rStyle w:val="FootnoteReference"/>
          <w:rFonts w:ascii="Times New Roman" w:hAnsi="Times New Roman" w:cs="Times New Roman"/>
          <w:noProof/>
          <w:sz w:val="24"/>
        </w:rPr>
        <w:footnoteReference w:id="104"/>
      </w:r>
    </w:p>
    <w:p w14:paraId="4ED1EEE4" w14:textId="77777777" w:rsidR="00994F93" w:rsidRPr="009F09E5" w:rsidRDefault="00994F93" w:rsidP="009F09E5">
      <w:pPr>
        <w:rPr>
          <w:rFonts w:ascii="Times New Roman" w:hAnsi="Times New Roman" w:cs="Times New Roman"/>
          <w:noProof/>
          <w:sz w:val="24"/>
          <w:szCs w:val="24"/>
        </w:rPr>
      </w:pPr>
      <w:bookmarkStart w:id="92" w:name="1.9.2_Treatment_in_national_accounts(105"/>
      <w:bookmarkEnd w:id="92"/>
    </w:p>
    <w:p w14:paraId="66C68801" w14:textId="77777777" w:rsidR="00994F93" w:rsidRPr="00B03B51" w:rsidRDefault="00994F93" w:rsidP="00994F93">
      <w:pPr>
        <w:pStyle w:val="Heading3"/>
        <w:tabs>
          <w:tab w:val="left" w:pos="1265"/>
        </w:tabs>
        <w:ind w:left="0" w:firstLine="0"/>
        <w:jc w:val="both"/>
        <w:rPr>
          <w:rFonts w:ascii="Times New Roman" w:hAnsi="Times New Roman" w:cs="Times New Roman"/>
          <w:b w:val="0"/>
          <w:bCs w:val="0"/>
          <w:noProof/>
          <w:sz w:val="24"/>
          <w:szCs w:val="19"/>
        </w:rPr>
      </w:pPr>
      <w:bookmarkStart w:id="93" w:name="_Toc67565050"/>
      <w:r w:rsidRPr="00B03B51">
        <w:rPr>
          <w:rFonts w:ascii="Times New Roman" w:hAnsi="Times New Roman" w:cs="Times New Roman"/>
          <w:sz w:val="24"/>
        </w:rPr>
        <w:t>1.9.2. Traktējums nacionālajos kontos</w:t>
      </w:r>
      <w:r w:rsidRPr="00B03B51">
        <w:rPr>
          <w:rStyle w:val="FootnoteReference"/>
          <w:rFonts w:ascii="Times New Roman" w:hAnsi="Times New Roman" w:cs="Times New Roman"/>
          <w:noProof/>
          <w:sz w:val="24"/>
        </w:rPr>
        <w:footnoteReference w:id="105"/>
      </w:r>
      <w:bookmarkEnd w:id="93"/>
    </w:p>
    <w:p w14:paraId="695C6CC5" w14:textId="77777777" w:rsidR="00994F93" w:rsidRPr="00B03B51" w:rsidRDefault="00994F93" w:rsidP="00994F93">
      <w:pPr>
        <w:jc w:val="both"/>
        <w:rPr>
          <w:rFonts w:ascii="Times New Roman" w:hAnsi="Times New Roman" w:cs="Times New Roman"/>
          <w:b/>
          <w:noProof/>
          <w:sz w:val="24"/>
        </w:rPr>
      </w:pPr>
    </w:p>
    <w:p w14:paraId="19C5BCAD"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Eiropas Finanšu stabilitātes instruments</w:t>
      </w:r>
    </w:p>
    <w:p w14:paraId="51E3FD08" w14:textId="77777777" w:rsidR="00994F93" w:rsidRPr="00B03B51" w:rsidRDefault="00994F93" w:rsidP="00994F93">
      <w:pPr>
        <w:jc w:val="both"/>
        <w:rPr>
          <w:rFonts w:ascii="Times New Roman" w:eastAsia="Arial" w:hAnsi="Times New Roman" w:cs="Times New Roman"/>
          <w:b/>
          <w:bCs/>
          <w:noProof/>
          <w:sz w:val="24"/>
          <w:szCs w:val="21"/>
        </w:rPr>
      </w:pPr>
    </w:p>
    <w:p w14:paraId="326F00FC" w14:textId="77777777" w:rsidR="00994F93" w:rsidRPr="00B03B51" w:rsidRDefault="00994F93" w:rsidP="00994F93">
      <w:pPr>
        <w:pStyle w:val="BodyText"/>
        <w:tabs>
          <w:tab w:val="left" w:pos="91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 Kā paskaidrots </w:t>
      </w:r>
      <w:r w:rsidRPr="00B03B51">
        <w:rPr>
          <w:rFonts w:ascii="Times New Roman" w:hAnsi="Times New Roman" w:cs="Times New Roman"/>
          <w:i/>
          <w:iCs/>
          <w:sz w:val="24"/>
        </w:rPr>
        <w:t>Eurostat</w:t>
      </w:r>
      <w:r w:rsidRPr="00B03B51">
        <w:rPr>
          <w:rFonts w:ascii="Times New Roman" w:hAnsi="Times New Roman" w:cs="Times New Roman"/>
          <w:sz w:val="24"/>
        </w:rPr>
        <w:t xml:space="preserve"> 2011. gada 27. janvāra lēmumā par EFSI, uzskatāms, ka EFSI konceptuāli nav institucionāla vienība, jo tam nepiemīt institucionālajai vienībai raksturīgās pazīmes, kas noteiktas EKS 2010. Tas nevar rīkoties pēc savas iniciatīvas, un tam nav lēmumu </w:t>
      </w:r>
      <w:r w:rsidRPr="00B03B51">
        <w:rPr>
          <w:rFonts w:ascii="Times New Roman" w:hAnsi="Times New Roman" w:cs="Times New Roman"/>
          <w:sz w:val="24"/>
        </w:rPr>
        <w:lastRenderedPageBreak/>
        <w:t>pieņemšanas autonomijas galvenās funkcijas īstenošanā, proti, attiecībā uz aizdevumu piešķiršanu grūtībās nonākušām valstīm un to finansēšanu. Praksē lēmumi attiecībā uz tā galveno funkciju pirms to īstenošanas ir jāapstiprina (parasti vienbalsīgi) Eirogrupas</w:t>
      </w:r>
      <w:r w:rsidRPr="00B03B51">
        <w:rPr>
          <w:rStyle w:val="FootnoteReference"/>
          <w:rFonts w:ascii="Times New Roman" w:hAnsi="Times New Roman" w:cs="Times New Roman"/>
          <w:noProof/>
          <w:sz w:val="24"/>
        </w:rPr>
        <w:footnoteReference w:id="106"/>
      </w:r>
      <w:r w:rsidRPr="00B03B51">
        <w:rPr>
          <w:rFonts w:ascii="Times New Roman" w:hAnsi="Times New Roman" w:cs="Times New Roman"/>
          <w:sz w:val="24"/>
        </w:rPr>
        <w:t xml:space="preserve"> dalībniekiem, kuri piedalās atbalsta pasākumā. Turklāt EFSI nevar uzskatīt par starptautisku finanšu institūciju, jo tam nepiemīt neviena no tai raksturīgajām pazīmēm. Izveides brīdī to nevarētu konsolidēt ar nevienu Eiropas institūciju, kas izveidota, pamatojoties uz līgumiem. Visbeidzot, EFSI </w:t>
      </w:r>
      <w:r w:rsidRPr="00B03B51">
        <w:rPr>
          <w:rFonts w:ascii="Times New Roman" w:hAnsi="Times New Roman" w:cs="Times New Roman"/>
          <w:i/>
          <w:iCs/>
          <w:sz w:val="24"/>
        </w:rPr>
        <w:t>de facto</w:t>
      </w:r>
      <w:r w:rsidRPr="00B03B51">
        <w:rPr>
          <w:rFonts w:ascii="Times New Roman" w:hAnsi="Times New Roman" w:cs="Times New Roman"/>
          <w:sz w:val="24"/>
        </w:rPr>
        <w:t xml:space="preserve"> ir uzskaites un finanšu līdzekļu instruments, kas paredzēts tam, lai nodrošinātu visiem eirozonas dalībniekiem vienādus nosacījumus piekļuvei aizdevumiem, rīkojoties vienīgi šo dalībnieku vārdā un to pilnīgā kontrolē. Tā kā EFSI ir ļoti zema kapitāla bāze salīdzinājumā ar tā bilances lielumu, tas pastiprina viedokli, ka EFSI ir galvenokārt mākslīgs subjekts, kas radīts kā uzskaites rīks.</w:t>
      </w:r>
    </w:p>
    <w:p w14:paraId="67859EA8" w14:textId="77777777" w:rsidR="00994F93" w:rsidRPr="00B03B51" w:rsidRDefault="00994F93" w:rsidP="00994F93">
      <w:pPr>
        <w:jc w:val="both"/>
        <w:rPr>
          <w:rFonts w:ascii="Times New Roman" w:eastAsia="Arial" w:hAnsi="Times New Roman" w:cs="Times New Roman"/>
          <w:noProof/>
          <w:sz w:val="24"/>
          <w:szCs w:val="25"/>
        </w:rPr>
      </w:pPr>
    </w:p>
    <w:p w14:paraId="0C248E71"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Līdz ar to teorētiski nacionālo kontu tabulās EFSI darbības būtu jāiedala tām institucionālajām vienībām, kurām tas pieder, šajā gadījumā eirozonas dalībvalstu valdībām, vai jākonsolidē ar šīm institucionālajām vienībām.</w:t>
      </w:r>
    </w:p>
    <w:p w14:paraId="71793EB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368F9F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Praktisku iemeslu dēļ saskaņā ar </w:t>
      </w:r>
      <w:r w:rsidRPr="00B03B51">
        <w:rPr>
          <w:rFonts w:ascii="Times New Roman" w:hAnsi="Times New Roman" w:cs="Times New Roman"/>
          <w:i/>
          <w:iCs/>
          <w:sz w:val="24"/>
        </w:rPr>
        <w:t>Eurostat</w:t>
      </w:r>
      <w:r w:rsidRPr="00B03B51">
        <w:rPr>
          <w:rFonts w:ascii="Times New Roman" w:hAnsi="Times New Roman" w:cs="Times New Roman"/>
          <w:sz w:val="24"/>
        </w:rPr>
        <w:t xml:space="preserve"> lēmumu EFSI aizdevumi tomēr ir jāpārvirza ar garantijas devēju starpniecību, tādējādi tas nozīmē, ka EFSI tiek atzīts par statistikas vienību, kas jāklasificē valdības sektora ES iestāžu apakšsektorā pēc analoģijas ar ESM. </w:t>
      </w:r>
      <w:r w:rsidRPr="00B03B51">
        <w:rPr>
          <w:rFonts w:ascii="Times New Roman" w:hAnsi="Times New Roman" w:cs="Times New Roman"/>
          <w:i/>
          <w:iCs/>
          <w:sz w:val="24"/>
        </w:rPr>
        <w:t>Eurostat</w:t>
      </w:r>
      <w:r w:rsidRPr="00B03B51">
        <w:rPr>
          <w:rFonts w:ascii="Times New Roman" w:hAnsi="Times New Roman" w:cs="Times New Roman"/>
          <w:sz w:val="24"/>
        </w:rPr>
        <w:t xml:space="preserve"> 2012. gada lēmumā tika norādīts, ka EFSI darbības ir jāiedala garantijas devējiem, lai arī tikai daļēji (tas nozīmē, ka tehnisku iemeslu dēļ, kā skaidrots turpmāk, konsolidāciju veic, pamatojoties tikai uz dažiem aktīviem, ko tur EFSI, un nevis uz visu bilances kopumu). EFSI galvenokārt nodarbojas ar aizdevumu ņemšanu tirgos, pamatojoties uz dalībvalstu izsniegtu garantiju, atbilstīgi iemaksu skalai, kas saistīta ar tām piederošo daļu ECB kapitālā.</w:t>
      </w:r>
      <w:r w:rsidRPr="00B03B51">
        <w:rPr>
          <w:rStyle w:val="FootnoteReference"/>
          <w:rFonts w:ascii="Times New Roman" w:hAnsi="Times New Roman" w:cs="Times New Roman"/>
          <w:noProof/>
          <w:sz w:val="24"/>
        </w:rPr>
        <w:footnoteReference w:id="107"/>
      </w:r>
      <w:r w:rsidRPr="00B03B51">
        <w:rPr>
          <w:rFonts w:ascii="Times New Roman" w:hAnsi="Times New Roman" w:cs="Times New Roman"/>
          <w:sz w:val="24"/>
          <w:szCs w:val="12"/>
        </w:rPr>
        <w:t xml:space="preserve"> </w:t>
      </w:r>
      <w:r w:rsidRPr="00B03B51">
        <w:rPr>
          <w:rFonts w:ascii="Times New Roman" w:hAnsi="Times New Roman" w:cs="Times New Roman"/>
          <w:sz w:val="24"/>
        </w:rPr>
        <w:t>Sākotnēji, proti, līdz 2011. gada decembrim, lai iegūtu labāku kredītvērtējumu, viena daļa no ieņēmumiem, kas gūti no tirgus aizdevuma līdzekļiem, netika nodota aizdevuma ņēmējām valstīm aizdevumu veidā, bet ieguldīta augsta reitinga parāda instrumentos. To dēvēja par aizdevuma naudas rezervi [</w:t>
      </w:r>
      <w:r w:rsidRPr="00B03B51">
        <w:rPr>
          <w:rFonts w:ascii="Times New Roman" w:hAnsi="Times New Roman" w:cs="Times New Roman"/>
          <w:i/>
          <w:iCs/>
          <w:sz w:val="24"/>
        </w:rPr>
        <w:t>Loan Specific Cash Buffer</w:t>
      </w:r>
      <w:r w:rsidRPr="00B03B51">
        <w:rPr>
          <w:rFonts w:ascii="Times New Roman" w:hAnsi="Times New Roman" w:cs="Times New Roman"/>
          <w:sz w:val="24"/>
        </w:rPr>
        <w:t xml:space="preserve"> (</w:t>
      </w:r>
      <w:r w:rsidRPr="00B03B51">
        <w:rPr>
          <w:rFonts w:ascii="Times New Roman" w:hAnsi="Times New Roman" w:cs="Times New Roman"/>
          <w:i/>
          <w:iCs/>
          <w:sz w:val="24"/>
        </w:rPr>
        <w:t>LSCB</w:t>
      </w:r>
      <w:r w:rsidRPr="00B03B51">
        <w:rPr>
          <w:rFonts w:ascii="Times New Roman" w:hAnsi="Times New Roman" w:cs="Times New Roman"/>
          <w:sz w:val="24"/>
        </w:rPr>
        <w:t>)]. EFSI parādu, kas izmantots aizdevuma naudas rezervei (</w:t>
      </w:r>
      <w:r w:rsidRPr="00B03B51">
        <w:rPr>
          <w:rFonts w:ascii="Times New Roman" w:hAnsi="Times New Roman" w:cs="Times New Roman"/>
          <w:i/>
          <w:iCs/>
          <w:sz w:val="24"/>
        </w:rPr>
        <w:t>LSCB</w:t>
      </w:r>
      <w:r w:rsidRPr="00B03B51">
        <w:rPr>
          <w:rFonts w:ascii="Times New Roman" w:hAnsi="Times New Roman" w:cs="Times New Roman"/>
          <w:sz w:val="24"/>
        </w:rPr>
        <w:t>), neieraksta nacionālajos kontos kā dalībvalstu garantijas devēju nosacīto parādu. Tādējādi dalībvalstīm garantijas devējām pārvirza tikai EFSI aktīvu pusi, kas atbilst eirozonas dalībvalstīm sniegtajam faktiskajam atbalstam.</w:t>
      </w:r>
    </w:p>
    <w:p w14:paraId="7D4AEED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EBAAEF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Aizdevumi, kuros tomēr ir iekļauta skaidras naudas rezerve</w:t>
      </w:r>
      <w:r w:rsidRPr="00B03B51">
        <w:rPr>
          <w:rStyle w:val="FootnoteReference"/>
          <w:rFonts w:ascii="Times New Roman" w:hAnsi="Times New Roman" w:cs="Times New Roman"/>
          <w:noProof/>
          <w:sz w:val="24"/>
        </w:rPr>
        <w:footnoteReference w:id="108"/>
      </w:r>
      <w:r w:rsidRPr="00B03B51">
        <w:rPr>
          <w:rFonts w:ascii="Times New Roman" w:hAnsi="Times New Roman" w:cs="Times New Roman"/>
          <w:sz w:val="24"/>
        </w:rPr>
        <w:t>, kas nav izmaksāta, bet kas jāatmaksā aizdevuma ņēmējām valstīm, sākotnēji precīzi atbilda EFSI iegūtajiem aizdošanas nosacījumiem (procentu likmes un atmaksāšanas termiņi).</w:t>
      </w:r>
    </w:p>
    <w:p w14:paraId="1AD6036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F4E6F6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Neatkarīgi no tā, vai tiek izmantoti aizdevumi vai valsts obligācijas, EFSI aizdevumus saņēmējām dalībvalstīm ieraksta kā EFSI aizdevumus, kas piešķirti dalībvalstīm garantijas devējām, kurām rezultātā atbilstīgi pieaug to bruto parāds, bet attiecībā pret saņēmēju valsti tām ir līdzvērtīgs aizdevuma aktīvu prasījums. Aizdevuma ņēmējai valstij tas nozīmē vienīgi izmaiņas saņemtā aizdevuma ģeogrāfiskajā izvietojumā.</w:t>
      </w:r>
      <w:r w:rsidRPr="00B03B51">
        <w:rPr>
          <w:rStyle w:val="FootnoteReference"/>
          <w:rFonts w:ascii="Times New Roman" w:hAnsi="Times New Roman" w:cs="Times New Roman"/>
          <w:noProof/>
          <w:sz w:val="24"/>
        </w:rPr>
        <w:footnoteReference w:id="109"/>
      </w:r>
    </w:p>
    <w:p w14:paraId="1F15619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24ECD0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Turklāt 2011. gadā pēc Eirosamitos pieņemtajiem lēmumiem EFSI atbalsta shēma tika grozīta, proti, izzuda </w:t>
      </w:r>
      <w:r w:rsidRPr="00B03B51">
        <w:rPr>
          <w:rFonts w:ascii="Times New Roman" w:hAnsi="Times New Roman" w:cs="Times New Roman"/>
          <w:i/>
          <w:iCs/>
          <w:sz w:val="24"/>
        </w:rPr>
        <w:t>LSCB</w:t>
      </w:r>
      <w:r w:rsidRPr="00B03B51">
        <w:rPr>
          <w:rFonts w:ascii="Times New Roman" w:hAnsi="Times New Roman" w:cs="Times New Roman"/>
          <w:sz w:val="24"/>
        </w:rPr>
        <w:t xml:space="preserve"> (finansēšanas instrumentiem tika palielinātas garantijas līdz 165 %), </w:t>
      </w:r>
      <w:r w:rsidRPr="00B03B51">
        <w:rPr>
          <w:rFonts w:ascii="Times New Roman" w:hAnsi="Times New Roman" w:cs="Times New Roman"/>
          <w:sz w:val="24"/>
        </w:rPr>
        <w:lastRenderedPageBreak/>
        <w:t>ievērojami samazināta skaidras naudas rezerve (drošības rezerve vairs nepastāv), diversificēti un apkopoti līdzekļi (īstermiņa instrumenti), kas tika papildināti ar citiem intervences instrumentiem, kuri nav aizdevumi.</w:t>
      </w:r>
      <w:r w:rsidRPr="00B03B51">
        <w:rPr>
          <w:rStyle w:val="FootnoteReference"/>
          <w:rFonts w:ascii="Times New Roman" w:hAnsi="Times New Roman" w:cs="Times New Roman"/>
          <w:noProof/>
          <w:sz w:val="24"/>
        </w:rPr>
        <w:footnoteReference w:id="110"/>
      </w:r>
      <w:r w:rsidRPr="00B03B51">
        <w:rPr>
          <w:rFonts w:ascii="Times New Roman" w:hAnsi="Times New Roman" w:cs="Times New Roman"/>
          <w:sz w:val="24"/>
        </w:rPr>
        <w:t xml:space="preserve"> Jāņem vērā arī tas, ka EFSI izveidoja likviditātes rezervi, kas netika pārdalīta dalībvalstīm garantijas devējām.</w:t>
      </w:r>
      <w:r w:rsidRPr="00B03B51">
        <w:rPr>
          <w:rStyle w:val="FootnoteReference"/>
          <w:rFonts w:ascii="Times New Roman" w:hAnsi="Times New Roman" w:cs="Times New Roman"/>
          <w:noProof/>
          <w:sz w:val="24"/>
        </w:rPr>
        <w:footnoteReference w:id="111"/>
      </w:r>
    </w:p>
    <w:p w14:paraId="741B7AB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D3F0EF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Šādos apstākļos daļa no parāda, ko EFSI faktiski savāca, netika piedēvēts kā parāds dalībvalstīm garantijas devējām.</w:t>
      </w:r>
    </w:p>
    <w:p w14:paraId="572E60AA" w14:textId="77777777" w:rsidR="00994F93" w:rsidRPr="00B03B51" w:rsidRDefault="00994F93" w:rsidP="00994F93">
      <w:pPr>
        <w:jc w:val="both"/>
        <w:rPr>
          <w:rFonts w:ascii="Times New Roman" w:eastAsia="Arial" w:hAnsi="Times New Roman" w:cs="Times New Roman"/>
          <w:noProof/>
          <w:sz w:val="24"/>
          <w:szCs w:val="20"/>
        </w:rPr>
      </w:pPr>
    </w:p>
    <w:p w14:paraId="293F3D6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Eiropas Stabilitātes mehānisms</w:t>
      </w:r>
    </w:p>
    <w:p w14:paraId="7A23D54F" w14:textId="77777777" w:rsidR="00994F93" w:rsidRPr="00B03B51" w:rsidRDefault="00994F93" w:rsidP="00994F93">
      <w:pPr>
        <w:jc w:val="both"/>
        <w:rPr>
          <w:rFonts w:ascii="Times New Roman" w:eastAsia="Arial" w:hAnsi="Times New Roman" w:cs="Times New Roman"/>
          <w:b/>
          <w:bCs/>
          <w:noProof/>
          <w:sz w:val="24"/>
          <w:szCs w:val="21"/>
        </w:rPr>
      </w:pPr>
    </w:p>
    <w:p w14:paraId="4BBB34A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ESM tiek traktēts kā institucionāla vienība, precīzāk, kā Eiropas Savienības starptautiska organizācija (S.212), pamatojoties uz vairāku šādu faktoru kopējo analīzi: pastāvība, izveide, pamatojoties uz Līgumu, starptautisks tiesiskais regulējums, ievērojama kapitāla summa, tostarp iemaksātais kapitāls 80 miljardu apmērā</w:t>
      </w:r>
      <w:r w:rsidRPr="00B03B51">
        <w:rPr>
          <w:rStyle w:val="FootnoteReference"/>
          <w:rFonts w:ascii="Times New Roman" w:hAnsi="Times New Roman" w:cs="Times New Roman"/>
          <w:noProof/>
          <w:sz w:val="24"/>
        </w:rPr>
        <w:footnoteReference w:id="112"/>
      </w:r>
      <w:r w:rsidRPr="00B03B51">
        <w:rPr>
          <w:rFonts w:ascii="Times New Roman" w:hAnsi="Times New Roman" w:cs="Times New Roman"/>
          <w:sz w:val="24"/>
        </w:rPr>
        <w:t>, un lēmumu pieņemšanas autonomija, kas izriet no pārvaldības struktūras, kura līdzinās tai, kas novērota dažās citās starptautiskajās institūcijās finanšu jomā. ESM ir jāklasificē valdības sektora ES iestāžu apakšsektorā, tas ir, S.1315, kā noteikts EKS 2010 19. nodaļas 19.09. punktā.</w:t>
      </w:r>
    </w:p>
    <w:p w14:paraId="67E0D02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369E32F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Līdz ar to pretstatā EFSI tā īstenotās atbalsta darbības neietekmē eirozonas dalībvalstu parakstītāju parādu, bet ietekmē vien atbalsta saņēmējas valstis. Neviens aizdevums vai cita veida intervences pasākums netiek pārvietots/pārdalīts eirozonas dalībniekiem. Vienīgā ietekme uz šo dalībnieku parādu ir saistīta ar netiešo nepieciešamību aizņemties naudu kādam iemaksātā kapitāla laidienam, kas ir tikai daļa no aizdotās summas, lai arī ESM parāds principā ir jāieraksta kā ES valdības parāds vai eirozonas parāds, ņemot vērā, ka principā šajos agregātos ir jāiekļauj un jākonsolidē visi ES iestāžu sektora S.1315 darījumi un instrumenti.</w:t>
      </w:r>
    </w:p>
    <w:p w14:paraId="6E155264" w14:textId="77777777" w:rsidR="00994F93" w:rsidRPr="00B03B51" w:rsidRDefault="00994F93" w:rsidP="00994F93">
      <w:pPr>
        <w:jc w:val="both"/>
        <w:rPr>
          <w:rFonts w:ascii="Times New Roman" w:eastAsia="Arial" w:hAnsi="Times New Roman" w:cs="Times New Roman"/>
          <w:noProof/>
          <w:sz w:val="24"/>
          <w:szCs w:val="25"/>
        </w:rPr>
      </w:pPr>
    </w:p>
    <w:p w14:paraId="4306B66C" w14:textId="31428D6C"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Ja tomēr garantijas devēji vienojas par parāda </w:t>
      </w:r>
      <w:r w:rsidR="00EC47D1" w:rsidRPr="00B03B51">
        <w:rPr>
          <w:rFonts w:ascii="Times New Roman" w:hAnsi="Times New Roman" w:cs="Times New Roman"/>
          <w:sz w:val="24"/>
        </w:rPr>
        <w:t>anulēšanu</w:t>
      </w:r>
      <w:r w:rsidRPr="00B03B51">
        <w:rPr>
          <w:rFonts w:ascii="Times New Roman" w:hAnsi="Times New Roman" w:cs="Times New Roman"/>
          <w:sz w:val="24"/>
        </w:rPr>
        <w:t xml:space="preserve"> aizdevuma ņēmējai valstij, attiecībā uz EFSI kapitāla pārvedums būtu jāieraksta kā šo dalībvalstu izdevumi. Attiecībā uz ESM sākotnējā iemaksātā kapitāla faktiskais maksājums tiek uzskatīts par pašu kapitāla palielinājumu, savukārt pieprasāmais kapitāls tiek uzskatīts par iespējamajām saistībām. Faktiska pieprasījuma ietekme uz valdības kontiem tiktu traktēta kā kapitāla pārvedums tikai tad, ja ar to tiktu segti ESM zaudējumi vai iztrūkstošie maksājumi, ko parādniece valsts attiecīgi radījusi vai nav veikusi ESM.</w:t>
      </w:r>
    </w:p>
    <w:p w14:paraId="73911CE1" w14:textId="77777777" w:rsidR="00994F93" w:rsidRPr="00B03B51" w:rsidRDefault="00994F93" w:rsidP="00994F93">
      <w:pPr>
        <w:jc w:val="both"/>
        <w:rPr>
          <w:rFonts w:ascii="Times New Roman" w:eastAsia="Arial" w:hAnsi="Times New Roman" w:cs="Times New Roman"/>
          <w:noProof/>
          <w:sz w:val="24"/>
          <w:szCs w:val="20"/>
        </w:rPr>
      </w:pPr>
    </w:p>
    <w:p w14:paraId="210DE72A" w14:textId="77777777" w:rsidR="00994F93" w:rsidRPr="00B03B51" w:rsidRDefault="00994F93" w:rsidP="00994F93">
      <w:pPr>
        <w:pStyle w:val="Heading3"/>
        <w:tabs>
          <w:tab w:val="left" w:pos="1265"/>
        </w:tabs>
        <w:ind w:left="0" w:firstLine="0"/>
        <w:jc w:val="both"/>
        <w:rPr>
          <w:rFonts w:ascii="Times New Roman" w:hAnsi="Times New Roman" w:cs="Times New Roman"/>
          <w:noProof/>
          <w:sz w:val="24"/>
        </w:rPr>
      </w:pPr>
      <w:bookmarkStart w:id="94" w:name="_Toc67565051"/>
      <w:r w:rsidRPr="00B03B51">
        <w:rPr>
          <w:rFonts w:ascii="Times New Roman" w:hAnsi="Times New Roman" w:cs="Times New Roman"/>
          <w:sz w:val="24"/>
        </w:rPr>
        <w:t>1.9.3. Traktējuma pamatojums</w:t>
      </w:r>
      <w:bookmarkEnd w:id="94"/>
    </w:p>
    <w:p w14:paraId="2D6A00D0"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56ADFB2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 Attiecībā uz EFSI ir pierādījumi, kas apliecina to, ka EFSI nevar uzskatīt par faktisku finanšu starpnieku, jo tas neveic darījumus ar plašu sabiedrību abās bilances pusēs un neuzņemas nekādu risku, ņemot vērā garantiju shēmu. Turklāt iepriekš jau tika minēts, ka daļu turētājiem nav jāuzņemas būtisks risks, jo kapitālam ir vien formāla nozīme. EFSI arī nevar uzskatīt par starptautisku organizāciju, lai arī starpvaldību vienošanās to paredzēja. Iemesls tam </w:t>
      </w:r>
      <w:r w:rsidRPr="00B03B51">
        <w:rPr>
          <w:rFonts w:ascii="Times New Roman" w:hAnsi="Times New Roman" w:cs="Times New Roman"/>
          <w:sz w:val="24"/>
        </w:rPr>
        <w:lastRenderedPageBreak/>
        <w:t>ir tas, ka EFSI ir privātas sabiedrības statuss, un jo īpaši arī tas, ka Eirogrupai ir iepriekš jāapstiprina tā svarīgākie lēmumi.</w:t>
      </w:r>
    </w:p>
    <w:p w14:paraId="6B8843CE"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59E2AB9"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Izšķirīgs apstāklis ir tas, ka EFSI nav lēmumu pieņemšanas autonomijas tā galvenās funkcijas izpildē. Lēmumu iesaistīties finanšu glābšanas operācijā pieņem Eirogrupa, kura pārstāv eirozonas dalībvalstis. Lielākā daļa saistīto lēmumu ir jāpieņem vienprātīgi. Tāpat arī EFSI ir ierobežotas iniciatīvas tiesības attiecībā uz saistībām, kuras radušās tā vārdā, un tās ir atkarīgas no eirozonas dalībvalstu pieņemtajiem lēmumiem. Tā var aizņemties līdzekļus tikai ar garantijas devēju faktisku piekrišanu. Šajā ziņā tā manevra iespējas ir ierobežotas (piemēram, likviditātes rezervju termiņa, lieluma un ieguldījumu izvēle). Līdz ar to EFSI nepiemīt spēja rīkoties neatkarīgi, kas līdzinātos tai, kāda ir parasti novērojama finanšu starpniekam vai citām finanšu iestādēm. Tomēr EFSI nevar konsolidēt Eirogrupā. Tā finanšu pārskatus nav arī viegli proporcionāli sadalīt starp eirozonas dalībvalstīm, ņemot vērā praktiskos sarežģījumus, kas šādā gadījumā rastos (izmaiņas iemaksu skalā, paturētajos ieņēmumos no aizdevuma līdzekļiem un kopš 2011. gada decembra arī līdzekļu apvienošanā). EFSI intervences pasākumu pārvirzīšana uz dalībvalstīm garantijas devējām ir risinājums, kas jāpiemēro, lai atspoguļotu subjekta būtību.</w:t>
      </w:r>
    </w:p>
    <w:p w14:paraId="7FD9E2D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4DFE73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Luksemburgā EFSI juridiskais statuss ir sabiedrība ar ierobežotu atbildību, kas pakļauta parastajām pārskatu sniegšanas prasībām. Tomēr statistikas vajadzībām tā darbības tiek traktētas atbilstīgi tam, kā minēts iepriekš. EFSI traktē līdzīgi kā ESM, tas nozīmē, ka to klasificē S.13 no S.212. Šī iedalīšana apakšsektorā ir saistīta ar to, kas tas ir līdzīgs ESM kā ārpustirgus aizdevējs.</w:t>
      </w:r>
    </w:p>
    <w:p w14:paraId="7CB6CB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BA329E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w:t>
      </w:r>
      <w:r w:rsidRPr="00B03B51">
        <w:rPr>
          <w:rFonts w:ascii="Times New Roman" w:hAnsi="Times New Roman" w:cs="Times New Roman"/>
          <w:i/>
          <w:iCs/>
          <w:sz w:val="24"/>
        </w:rPr>
        <w:t>Eurostat</w:t>
      </w:r>
      <w:r w:rsidRPr="00B03B51">
        <w:rPr>
          <w:rFonts w:ascii="Times New Roman" w:hAnsi="Times New Roman" w:cs="Times New Roman"/>
          <w:sz w:val="24"/>
        </w:rPr>
        <w:t xml:space="preserve"> katru mēnesi sniedz dalībvalstīm būtisko informāciju, lai EFSI darbības tiktu reģistrētas saskaņā ar klasifikācijas lēmumu. Turklāt </w:t>
      </w:r>
      <w:r w:rsidRPr="00B03B51">
        <w:rPr>
          <w:rFonts w:ascii="Times New Roman" w:hAnsi="Times New Roman" w:cs="Times New Roman"/>
          <w:i/>
          <w:iCs/>
          <w:sz w:val="24"/>
        </w:rPr>
        <w:t>Eurostat</w:t>
      </w:r>
      <w:r w:rsidRPr="00B03B51">
        <w:rPr>
          <w:rFonts w:ascii="Times New Roman" w:hAnsi="Times New Roman" w:cs="Times New Roman"/>
          <w:sz w:val="24"/>
        </w:rPr>
        <w:t xml:space="preserve"> publicē informāciju par starpvaldību aizdevumiem Eiropas Savienībā, kas ietver pārvirzītos EFSI aizdevumus.</w:t>
      </w:r>
    </w:p>
    <w:p w14:paraId="0D8AB153"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1CC1780C"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Kā minēts iepriekš, tika nospriests, ka ESM piemīt visas institucionālas vienības pazīmes, precīzāk, starptautiskas organizācijas pazīmes. Tā ir pastāvīga vienība (kādas parasti ir starptautiskās vienības), kas izveidota, pamatojoties uz ES Līgumu (augsts statuss tiesiskajā regulējumā), tai ir starptautiskas organizācijas statuss, liels iemaksātais kapitāls un ievērojams pieprasāmais kapitāls, ar kuru tiks nodrošināti tā intervences pasākumi. Kapitāla lielums, kā arī EFSI dalībnieku veto tiesības nepārprotami ir būtisks aspekts, kas nosaka atšķirību starp EFSI un ESM saistībā ar tā atzīšanu par institucionālu vienību. Lai arī Eirogrupai ir liela ietekme, kas ir normāla iezīme saistībā ar tās patieso īpašo funkciju, ESM pārvaldība līdzinās tai, kas novērota citās starptautiskās institūcijās, proti, tai ir valde, direktoru padome un izpilddirektors, kuram piešķirtas ievērojamas pilnvaras. Visbeidzot atsevišķu tādu lēmumu gadījumā, kuru ietekmi nevar uzskatīt par niecīgu, vienprātība nav obligāta, kā tas ir EFSI gadījumā. Līdz ar to subjekts atbilst parastajiem EKS 2010 institucionālās vienības kritērijiem.</w:t>
      </w:r>
    </w:p>
    <w:p w14:paraId="4527355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C36CB77"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Parāda pieaugumu ierakstīs vienīgi aizdevuma ņēmēja valsts. Tomēr gadījumā, ja ESM tieši piedalītos vienas valsts banku rekapitalizācijā, attiecībā uz šīs valsts valdību parāds netiktu ierakstīts, ja tā nebūtu uzņēmusies saistības pret ESM saistībā ar aktīviem/prasījumiem, ko ESM tur attiecībā uz bankām.</w:t>
      </w:r>
    </w:p>
    <w:p w14:paraId="2D283AD2"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B6552A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Rezumējot, ESM ir institucionālā vienība, savukārt EFSI konceptuāli tāda nav. To nevar uzskatīt arī par finanšu starpnieku vai piesaistošo vienību. Tās tomēr klasificē vienādi, lai arī pastāv šīs atšķirības.</w:t>
      </w:r>
    </w:p>
    <w:p w14:paraId="792155CA"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0EE52756"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21. Saskaņā ar EKS 2010 ESM tiek klasificēts visu ES valstu kontos kā ārējais eirozonas </w:t>
      </w:r>
      <w:r w:rsidRPr="00B03B51">
        <w:rPr>
          <w:rFonts w:ascii="Times New Roman" w:hAnsi="Times New Roman" w:cs="Times New Roman"/>
          <w:sz w:val="24"/>
        </w:rPr>
        <w:lastRenderedPageBreak/>
        <w:t>rezidents pārējās pasaules sektora (S.2) apakšsektorā S.21 (Eiropas Savienība) un kā ES iestāde (S.212). Eiropas iestāžu (kas tiek uzskatītas par atsevišķu “dalībvalsti”) kontos ESM ir klasificēts vispārējās valdības sektorā (S.13) kā publisks ārpustirgus dalībnieks.</w:t>
      </w:r>
    </w:p>
    <w:p w14:paraId="0822D8F3" w14:textId="77777777" w:rsidR="00994F93" w:rsidRPr="00B03B51" w:rsidRDefault="00994F93" w:rsidP="00994F93">
      <w:pPr>
        <w:jc w:val="both"/>
        <w:rPr>
          <w:rFonts w:ascii="Times New Roman" w:hAnsi="Times New Roman" w:cs="Times New Roman"/>
          <w:noProof/>
          <w:sz w:val="24"/>
        </w:rPr>
      </w:pPr>
    </w:p>
    <w:p w14:paraId="3BE9996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ESM neatbilst finanšu starpniecības kritērijiem (saskaņā ar EKS 2010 2.56. un 2.61. punktu), jo galvenokārt neveic darījumus ar plašu sabiedrību abās bilances pusēs (tas tikai sniedz aizdevumus grūtībās nonākušām dalībvalstīm). Tas nav finanšu pakalpojumu tirgus ražotājs (tā aizdevuma likmes tuvinās aizdevuma izmaksām un aizdevuma cena netiek noteikta saskaņā ar riskiem). Tādējādi ESM nevar uzskatīt par S.125 sektora subjektu, un attiecīgi </w:t>
      </w:r>
      <w:r w:rsidRPr="00B03B51">
        <w:rPr>
          <w:rFonts w:ascii="Times New Roman" w:hAnsi="Times New Roman" w:cs="Times New Roman"/>
          <w:i/>
          <w:iCs/>
          <w:sz w:val="24"/>
        </w:rPr>
        <w:t>FISIM</w:t>
      </w:r>
      <w:r w:rsidRPr="00B03B51">
        <w:rPr>
          <w:rFonts w:ascii="Times New Roman" w:hAnsi="Times New Roman" w:cs="Times New Roman"/>
          <w:sz w:val="24"/>
        </w:rPr>
        <w:t xml:space="preserve"> aprēķini par ESM aizdevumu izsniegšanu dalībvalstīm nebūtu atbilstīgi.</w:t>
      </w:r>
    </w:p>
    <w:p w14:paraId="0BAFB874"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F43E30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ESM nevar uzskatīt arī par piesaistošo finanšu vienību ES iestāžu S.127 sektorā, jo tas ir ārpustirgus dalībnieks. Līdzīgi arī EFSI nevar uzskatīt (praktisku iemeslu dēļ un arī ņemot vērā tā darbības ierobežojumus) par piesaistošo finanšu vienību, ņemot vērā, ka tas nevar neatkarīgi pats izlemt, kam aizdot un ko tas aizņemas (un šā paša iemesla dēļ to nevar uzskatīt par institucionālo vienību, skat. EKS 2010 2.23. punktu).</w:t>
      </w:r>
    </w:p>
    <w:p w14:paraId="1A6A4A4F"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7AB1716B"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Visām vienībām, kas klasificētas S.12 (finanšu sabiedrības), ir jābūt tirgus ražotājiem (izņemot centrālajām bankām, kuras tradicionāli klasificē S.121), lai arī tirgus ražotāja raksturojums ne vienmēr tiek noteikts, pamatojoties uz 50 % testu. Nevar uzskatīt, ka procenti, ko iekasē ESM (tuvu izmaksām), atbilst ekonomiski nozīmīgas cenas definīcijai, kā arī šie procenti nevirza ne ESM aizdevumu piedāvājumu, ne pieprasījumu (EKS 2010 20.19. punkts).</w:t>
      </w:r>
    </w:p>
    <w:p w14:paraId="045902F8"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p>
    <w:p w14:paraId="65D3A98D" w14:textId="77777777" w:rsidR="00994F93" w:rsidRPr="00B03B51" w:rsidRDefault="00994F93" w:rsidP="00994F93">
      <w:pPr>
        <w:pStyle w:val="BodyText"/>
        <w:tabs>
          <w:tab w:val="left" w:pos="84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25. EFSI un ESM klasifikācija ir jāpiemēro saskanīgi visā makroekonomikas statistikā. Praksē EFSI/ESM klasifikācijas ietekme būtībā aprobežojas ar pretējā sektora sadalījumu (piemēram, vērtspapīru turēšanas statistikas dati, vērtspapīru emisijas statistikas dati un monetāro finanšu iestāžu bilances vai </w:t>
      </w:r>
      <w:r w:rsidRPr="00B03B51">
        <w:rPr>
          <w:rFonts w:ascii="Times New Roman" w:hAnsi="Times New Roman" w:cs="Times New Roman"/>
          <w:i/>
          <w:iCs/>
          <w:sz w:val="24"/>
        </w:rPr>
        <w:t>BOP/IIP</w:t>
      </w:r>
      <w:r w:rsidRPr="00B03B51">
        <w:rPr>
          <w:rFonts w:ascii="Times New Roman" w:hAnsi="Times New Roman" w:cs="Times New Roman"/>
          <w:sz w:val="24"/>
        </w:rPr>
        <w:t xml:space="preserve"> statistikas datu sīks sadalījums). Praksē tas arī nozīmē, ka abi subjekti netiek iekļauti </w:t>
      </w:r>
      <w:r w:rsidRPr="00B03B51">
        <w:rPr>
          <w:rFonts w:ascii="Times New Roman" w:hAnsi="Times New Roman" w:cs="Times New Roman"/>
          <w:i/>
          <w:iCs/>
          <w:sz w:val="24"/>
        </w:rPr>
        <w:t>FISIM</w:t>
      </w:r>
      <w:r w:rsidRPr="00B03B51">
        <w:rPr>
          <w:rFonts w:ascii="Times New Roman" w:hAnsi="Times New Roman" w:cs="Times New Roman"/>
          <w:sz w:val="24"/>
        </w:rPr>
        <w:t xml:space="preserve"> plūsmu aprēķinos par aizdevumiem garantijas devējiem (kas ietekmē NKI agregātu).</w:t>
      </w:r>
      <w:r w:rsidRPr="00B03B51">
        <w:rPr>
          <w:rStyle w:val="FootnoteReference"/>
          <w:rFonts w:ascii="Times New Roman" w:hAnsi="Times New Roman" w:cs="Times New Roman"/>
          <w:noProof/>
          <w:sz w:val="24"/>
        </w:rPr>
        <w:footnoteReference w:id="113"/>
      </w:r>
    </w:p>
    <w:p w14:paraId="041C6EAD"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51CE9E44" w14:textId="77777777" w:rsidR="00994F93" w:rsidRPr="00B03B51" w:rsidRDefault="00994F93" w:rsidP="00994F93">
      <w:pPr>
        <w:jc w:val="both"/>
        <w:rPr>
          <w:rFonts w:ascii="Times New Roman" w:eastAsia="Arial" w:hAnsi="Times New Roman" w:cs="Times New Roman"/>
          <w:noProof/>
          <w:sz w:val="24"/>
          <w:szCs w:val="20"/>
        </w:rPr>
      </w:pPr>
    </w:p>
    <w:p w14:paraId="7E9A721D" w14:textId="77777777" w:rsidR="00994F93" w:rsidRPr="00B03B51" w:rsidRDefault="00994F93" w:rsidP="00994F93">
      <w:pPr>
        <w:pStyle w:val="Heading2"/>
        <w:spacing w:before="0"/>
        <w:ind w:left="0" w:firstLine="0"/>
        <w:jc w:val="both"/>
        <w:rPr>
          <w:rFonts w:ascii="Times New Roman" w:hAnsi="Times New Roman" w:cs="Times New Roman"/>
          <w:noProof/>
          <w:sz w:val="28"/>
          <w:szCs w:val="44"/>
        </w:rPr>
      </w:pPr>
      <w:bookmarkStart w:id="95" w:name="1.10_Keywords_and_accounting_references"/>
      <w:bookmarkStart w:id="96" w:name="_bookmark10"/>
      <w:bookmarkStart w:id="97" w:name="_Toc67565052"/>
      <w:bookmarkEnd w:id="95"/>
      <w:bookmarkEnd w:id="96"/>
      <w:r w:rsidRPr="00B03B51">
        <w:rPr>
          <w:rFonts w:ascii="Times New Roman" w:hAnsi="Times New Roman" w:cs="Times New Roman"/>
          <w:sz w:val="28"/>
          <w:szCs w:val="44"/>
        </w:rPr>
        <w:t>1.10. Atslēgvārdi un atsauces</w:t>
      </w:r>
      <w:bookmarkEnd w:id="97"/>
    </w:p>
    <w:p w14:paraId="0618B375" w14:textId="77777777" w:rsidR="00994F93" w:rsidRPr="00B03B51" w:rsidRDefault="00994F93" w:rsidP="00994F93">
      <w:pPr>
        <w:jc w:val="both"/>
        <w:rPr>
          <w:rFonts w:ascii="Times New Roman" w:eastAsia="Arial" w:hAnsi="Times New Roman" w:cs="Times New Roman"/>
          <w:b/>
          <w:bCs/>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4396"/>
        <w:gridCol w:w="4675"/>
      </w:tblGrid>
      <w:tr w:rsidR="00994F93" w:rsidRPr="00B03B51" w14:paraId="780A31F7" w14:textId="77777777" w:rsidTr="005B2A11">
        <w:tc>
          <w:tcPr>
            <w:tcW w:w="2423" w:type="pct"/>
            <w:tcBorders>
              <w:top w:val="nil"/>
              <w:left w:val="nil"/>
              <w:bottom w:val="nil"/>
              <w:right w:val="nil"/>
            </w:tcBorders>
          </w:tcPr>
          <w:p w14:paraId="7CA938C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Piesaistošās finanšu iestādes</w:t>
            </w:r>
          </w:p>
        </w:tc>
        <w:tc>
          <w:tcPr>
            <w:tcW w:w="2577" w:type="pct"/>
            <w:tcBorders>
              <w:top w:val="nil"/>
              <w:left w:val="nil"/>
              <w:bottom w:val="nil"/>
              <w:right w:val="nil"/>
            </w:tcBorders>
          </w:tcPr>
          <w:p w14:paraId="02F47A7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2.298.–2.299. punkts</w:t>
            </w:r>
          </w:p>
        </w:tc>
      </w:tr>
      <w:tr w:rsidR="00994F93" w:rsidRPr="00B03B51" w14:paraId="6893B8AC" w14:textId="77777777" w:rsidTr="005B2A11">
        <w:tc>
          <w:tcPr>
            <w:tcW w:w="2423" w:type="pct"/>
            <w:tcBorders>
              <w:top w:val="nil"/>
              <w:left w:val="nil"/>
              <w:bottom w:val="nil"/>
              <w:right w:val="nil"/>
            </w:tcBorders>
          </w:tcPr>
          <w:p w14:paraId="3A2BC6A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Kontrole</w:t>
            </w:r>
          </w:p>
        </w:tc>
        <w:tc>
          <w:tcPr>
            <w:tcW w:w="2577" w:type="pct"/>
            <w:tcBorders>
              <w:top w:val="nil"/>
              <w:left w:val="nil"/>
              <w:bottom w:val="nil"/>
              <w:right w:val="nil"/>
            </w:tcBorders>
          </w:tcPr>
          <w:p w14:paraId="3C717B4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2.37.–2.38. un 20.309.–20.310. punkts</w:t>
            </w:r>
          </w:p>
        </w:tc>
      </w:tr>
      <w:tr w:rsidR="00994F93" w:rsidRPr="00B03B51" w14:paraId="519735BC" w14:textId="77777777" w:rsidTr="005B2A11">
        <w:tc>
          <w:tcPr>
            <w:tcW w:w="2423" w:type="pct"/>
            <w:tcBorders>
              <w:top w:val="nil"/>
              <w:left w:val="nil"/>
              <w:bottom w:val="nil"/>
              <w:right w:val="nil"/>
            </w:tcBorders>
          </w:tcPr>
          <w:p w14:paraId="062082D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Definētu pabalstu pensiju shēmas</w:t>
            </w:r>
          </w:p>
        </w:tc>
        <w:tc>
          <w:tcPr>
            <w:tcW w:w="2577" w:type="pct"/>
            <w:tcBorders>
              <w:top w:val="nil"/>
              <w:left w:val="nil"/>
              <w:bottom w:val="nil"/>
              <w:right w:val="nil"/>
            </w:tcBorders>
          </w:tcPr>
          <w:p w14:paraId="284747B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17.57. punkts</w:t>
            </w:r>
          </w:p>
        </w:tc>
      </w:tr>
      <w:tr w:rsidR="00994F93" w:rsidRPr="00B03B51" w14:paraId="551EE4BF" w14:textId="77777777" w:rsidTr="005B2A11">
        <w:tc>
          <w:tcPr>
            <w:tcW w:w="2423" w:type="pct"/>
            <w:tcBorders>
              <w:top w:val="nil"/>
              <w:left w:val="nil"/>
              <w:bottom w:val="nil"/>
              <w:right w:val="nil"/>
            </w:tcBorders>
          </w:tcPr>
          <w:p w14:paraId="30F5499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Definētu iemaksu pensiju shēmas</w:t>
            </w:r>
          </w:p>
        </w:tc>
        <w:tc>
          <w:tcPr>
            <w:tcW w:w="2577" w:type="pct"/>
            <w:tcBorders>
              <w:top w:val="nil"/>
              <w:left w:val="nil"/>
              <w:bottom w:val="nil"/>
              <w:right w:val="nil"/>
            </w:tcBorders>
          </w:tcPr>
          <w:p w14:paraId="4D15B71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17.54. punkts</w:t>
            </w:r>
          </w:p>
        </w:tc>
      </w:tr>
      <w:tr w:rsidR="00994F93" w:rsidRPr="00B03B51" w14:paraId="62A52451" w14:textId="77777777" w:rsidTr="005B2A11">
        <w:tc>
          <w:tcPr>
            <w:tcW w:w="2423" w:type="pct"/>
            <w:tcBorders>
              <w:top w:val="nil"/>
              <w:left w:val="nil"/>
              <w:bottom w:val="nil"/>
              <w:right w:val="nil"/>
            </w:tcBorders>
          </w:tcPr>
          <w:p w14:paraId="1D3A4DF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Ekonomiski nozīmīga cena</w:t>
            </w:r>
          </w:p>
        </w:tc>
        <w:tc>
          <w:tcPr>
            <w:tcW w:w="2577" w:type="pct"/>
            <w:tcBorders>
              <w:top w:val="nil"/>
              <w:left w:val="nil"/>
              <w:bottom w:val="nil"/>
              <w:right w:val="nil"/>
            </w:tcBorders>
          </w:tcPr>
          <w:p w14:paraId="60CE3A7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20.19.–20.22. punkts</w:t>
            </w:r>
          </w:p>
        </w:tc>
      </w:tr>
      <w:tr w:rsidR="00994F93" w:rsidRPr="00B03B51" w14:paraId="4876A8D7" w14:textId="77777777" w:rsidTr="005B2A11">
        <w:tc>
          <w:tcPr>
            <w:tcW w:w="2423" w:type="pct"/>
            <w:tcBorders>
              <w:top w:val="nil"/>
              <w:left w:val="nil"/>
              <w:bottom w:val="nil"/>
              <w:right w:val="nil"/>
            </w:tcBorders>
          </w:tcPr>
          <w:p w14:paraId="746F2FC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Darba devēja pensiju shēmas</w:t>
            </w:r>
          </w:p>
        </w:tc>
        <w:tc>
          <w:tcPr>
            <w:tcW w:w="2577" w:type="pct"/>
            <w:tcBorders>
              <w:top w:val="nil"/>
              <w:left w:val="nil"/>
              <w:bottom w:val="nil"/>
              <w:right w:val="nil"/>
            </w:tcBorders>
          </w:tcPr>
          <w:p w14:paraId="68881AB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17.49. punkts</w:t>
            </w:r>
          </w:p>
        </w:tc>
      </w:tr>
      <w:tr w:rsidR="00994F93" w:rsidRPr="00B03B51" w14:paraId="56F59015" w14:textId="77777777" w:rsidTr="005B2A11">
        <w:tc>
          <w:tcPr>
            <w:tcW w:w="2423" w:type="pct"/>
            <w:tcBorders>
              <w:top w:val="nil"/>
              <w:left w:val="nil"/>
              <w:bottom w:val="nil"/>
              <w:right w:val="nil"/>
            </w:tcBorders>
          </w:tcPr>
          <w:p w14:paraId="0B38145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Finanšu starpniecība</w:t>
            </w:r>
          </w:p>
        </w:tc>
        <w:tc>
          <w:tcPr>
            <w:tcW w:w="2577" w:type="pct"/>
            <w:tcBorders>
              <w:top w:val="nil"/>
              <w:left w:val="nil"/>
              <w:bottom w:val="nil"/>
              <w:right w:val="nil"/>
            </w:tcBorders>
          </w:tcPr>
          <w:p w14:paraId="0170944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2.57.–2.62. punkts</w:t>
            </w:r>
          </w:p>
        </w:tc>
      </w:tr>
      <w:tr w:rsidR="00994F93" w:rsidRPr="00B03B51" w14:paraId="5397E446" w14:textId="77777777" w:rsidTr="005B2A11">
        <w:tc>
          <w:tcPr>
            <w:tcW w:w="2423" w:type="pct"/>
            <w:tcBorders>
              <w:top w:val="nil"/>
              <w:left w:val="nil"/>
              <w:bottom w:val="nil"/>
              <w:right w:val="nil"/>
            </w:tcBorders>
          </w:tcPr>
          <w:p w14:paraId="25A54E1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Vispārējās valdības sektors un apakšsektori</w:t>
            </w:r>
          </w:p>
        </w:tc>
        <w:tc>
          <w:tcPr>
            <w:tcW w:w="2577" w:type="pct"/>
            <w:tcBorders>
              <w:top w:val="nil"/>
              <w:left w:val="nil"/>
              <w:bottom w:val="nil"/>
              <w:right w:val="nil"/>
            </w:tcBorders>
          </w:tcPr>
          <w:p w14:paraId="51B2CE0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2.111.–2.117. punkts</w:t>
            </w:r>
          </w:p>
        </w:tc>
      </w:tr>
      <w:tr w:rsidR="00994F93" w:rsidRPr="00B03B51" w14:paraId="7842AA3C" w14:textId="77777777" w:rsidTr="005B2A11">
        <w:tc>
          <w:tcPr>
            <w:tcW w:w="2423" w:type="pct"/>
            <w:tcBorders>
              <w:top w:val="nil"/>
              <w:left w:val="nil"/>
              <w:bottom w:val="nil"/>
              <w:right w:val="nil"/>
            </w:tcBorders>
          </w:tcPr>
          <w:p w14:paraId="051D2E9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Kontrolakciju sabiedrība, centrālais birojs</w:t>
            </w:r>
          </w:p>
        </w:tc>
        <w:tc>
          <w:tcPr>
            <w:tcW w:w="2577" w:type="pct"/>
            <w:tcBorders>
              <w:top w:val="nil"/>
              <w:left w:val="nil"/>
              <w:bottom w:val="nil"/>
              <w:right w:val="nil"/>
            </w:tcBorders>
          </w:tcPr>
          <w:p w14:paraId="4B90420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2.14. un 20.35.–20.37. punkts</w:t>
            </w:r>
          </w:p>
        </w:tc>
      </w:tr>
      <w:tr w:rsidR="00994F93" w:rsidRPr="00B03B51" w14:paraId="649D2FC4" w14:textId="77777777" w:rsidTr="005B2A11">
        <w:tc>
          <w:tcPr>
            <w:tcW w:w="2423" w:type="pct"/>
            <w:tcBorders>
              <w:top w:val="nil"/>
              <w:left w:val="nil"/>
              <w:bottom w:val="nil"/>
              <w:right w:val="nil"/>
            </w:tcBorders>
          </w:tcPr>
          <w:p w14:paraId="3089C4D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Institucionālā vienība</w:t>
            </w:r>
          </w:p>
        </w:tc>
        <w:tc>
          <w:tcPr>
            <w:tcW w:w="2577" w:type="pct"/>
            <w:tcBorders>
              <w:top w:val="nil"/>
              <w:left w:val="nil"/>
              <w:bottom w:val="nil"/>
              <w:right w:val="nil"/>
            </w:tcBorders>
          </w:tcPr>
          <w:p w14:paraId="3052694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2.12.–2.13. punkts</w:t>
            </w:r>
          </w:p>
        </w:tc>
      </w:tr>
      <w:tr w:rsidR="00994F93" w:rsidRPr="00B03B51" w14:paraId="57D9B1EC" w14:textId="77777777" w:rsidTr="005B2A11">
        <w:tc>
          <w:tcPr>
            <w:tcW w:w="2423" w:type="pct"/>
            <w:tcBorders>
              <w:top w:val="nil"/>
              <w:left w:val="nil"/>
              <w:bottom w:val="nil"/>
              <w:right w:val="nil"/>
            </w:tcBorders>
          </w:tcPr>
          <w:p w14:paraId="7D3E58C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Tirgus izlaide</w:t>
            </w:r>
          </w:p>
        </w:tc>
        <w:tc>
          <w:tcPr>
            <w:tcW w:w="2577" w:type="pct"/>
            <w:tcBorders>
              <w:top w:val="nil"/>
              <w:left w:val="nil"/>
              <w:bottom w:val="nil"/>
              <w:right w:val="nil"/>
            </w:tcBorders>
          </w:tcPr>
          <w:p w14:paraId="5BE0BDA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3.17.–3.19. punkts</w:t>
            </w:r>
          </w:p>
        </w:tc>
      </w:tr>
      <w:tr w:rsidR="00994F93" w:rsidRPr="00B03B51" w14:paraId="1E42DD49" w14:textId="77777777" w:rsidTr="005B2A11">
        <w:tc>
          <w:tcPr>
            <w:tcW w:w="2423" w:type="pct"/>
            <w:tcBorders>
              <w:top w:val="nil"/>
              <w:left w:val="nil"/>
              <w:bottom w:val="nil"/>
              <w:right w:val="nil"/>
            </w:tcBorders>
          </w:tcPr>
          <w:p w14:paraId="558B924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Tirgus/ārpustirgus</w:t>
            </w:r>
          </w:p>
        </w:tc>
        <w:tc>
          <w:tcPr>
            <w:tcW w:w="2577" w:type="pct"/>
            <w:tcBorders>
              <w:top w:val="nil"/>
              <w:left w:val="nil"/>
              <w:bottom w:val="nil"/>
              <w:right w:val="nil"/>
            </w:tcBorders>
          </w:tcPr>
          <w:p w14:paraId="6677D56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3.32.–3.37. un 20.19.–20.34. punkts</w:t>
            </w:r>
          </w:p>
        </w:tc>
      </w:tr>
      <w:tr w:rsidR="00994F93" w:rsidRPr="00B03B51" w14:paraId="34E578F9" w14:textId="77777777" w:rsidTr="005B2A11">
        <w:tc>
          <w:tcPr>
            <w:tcW w:w="2423" w:type="pct"/>
            <w:tcBorders>
              <w:top w:val="nil"/>
              <w:left w:val="nil"/>
              <w:bottom w:val="nil"/>
              <w:right w:val="nil"/>
            </w:tcBorders>
          </w:tcPr>
          <w:p w14:paraId="062FFF9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Ārpustirgus izlaide</w:t>
            </w:r>
          </w:p>
        </w:tc>
        <w:tc>
          <w:tcPr>
            <w:tcW w:w="2577" w:type="pct"/>
            <w:tcBorders>
              <w:top w:val="nil"/>
              <w:left w:val="nil"/>
              <w:bottom w:val="nil"/>
              <w:right w:val="nil"/>
            </w:tcBorders>
          </w:tcPr>
          <w:p w14:paraId="7A6CA43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3.23. punkts</w:t>
            </w:r>
          </w:p>
        </w:tc>
      </w:tr>
      <w:tr w:rsidR="00994F93" w:rsidRPr="00B03B51" w14:paraId="2F6EDBC5" w14:textId="77777777" w:rsidTr="005B2A11">
        <w:tc>
          <w:tcPr>
            <w:tcW w:w="2423" w:type="pct"/>
            <w:tcBorders>
              <w:top w:val="nil"/>
              <w:left w:val="nil"/>
              <w:bottom w:val="nil"/>
              <w:right w:val="nil"/>
            </w:tcBorders>
          </w:tcPr>
          <w:p w14:paraId="625EC6F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Bezpeļņas iestāde</w:t>
            </w:r>
          </w:p>
        </w:tc>
        <w:tc>
          <w:tcPr>
            <w:tcW w:w="2577" w:type="pct"/>
            <w:tcBorders>
              <w:top w:val="nil"/>
              <w:left w:val="nil"/>
              <w:bottom w:val="nil"/>
              <w:right w:val="nil"/>
            </w:tcBorders>
          </w:tcPr>
          <w:p w14:paraId="6902E74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2.129.–2.130. punkts</w:t>
            </w:r>
          </w:p>
        </w:tc>
      </w:tr>
      <w:tr w:rsidR="00994F93" w:rsidRPr="00B03B51" w14:paraId="6A31D990" w14:textId="77777777" w:rsidTr="005B2A11">
        <w:tc>
          <w:tcPr>
            <w:tcW w:w="2423" w:type="pct"/>
            <w:tcBorders>
              <w:top w:val="nil"/>
              <w:left w:val="nil"/>
              <w:bottom w:val="nil"/>
              <w:right w:val="nil"/>
            </w:tcBorders>
          </w:tcPr>
          <w:p w14:paraId="4AF1D3A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Pensiju fonds</w:t>
            </w:r>
          </w:p>
        </w:tc>
        <w:tc>
          <w:tcPr>
            <w:tcW w:w="2577" w:type="pct"/>
            <w:tcBorders>
              <w:top w:val="nil"/>
              <w:left w:val="nil"/>
              <w:bottom w:val="nil"/>
              <w:right w:val="nil"/>
            </w:tcBorders>
          </w:tcPr>
          <w:p w14:paraId="3A51ABA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2.105.–2.110. punkts</w:t>
            </w:r>
          </w:p>
        </w:tc>
      </w:tr>
      <w:tr w:rsidR="00994F93" w:rsidRPr="00B03B51" w14:paraId="667EBDAF" w14:textId="77777777" w:rsidTr="005B2A11">
        <w:tc>
          <w:tcPr>
            <w:tcW w:w="2423" w:type="pct"/>
            <w:tcBorders>
              <w:top w:val="nil"/>
              <w:left w:val="nil"/>
              <w:bottom w:val="nil"/>
              <w:right w:val="nil"/>
            </w:tcBorders>
          </w:tcPr>
          <w:p w14:paraId="15744B3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Publiskais/privātais ražotājs</w:t>
            </w:r>
          </w:p>
        </w:tc>
        <w:tc>
          <w:tcPr>
            <w:tcW w:w="2577" w:type="pct"/>
            <w:tcBorders>
              <w:top w:val="nil"/>
              <w:left w:val="nil"/>
              <w:bottom w:val="nil"/>
              <w:right w:val="nil"/>
            </w:tcBorders>
          </w:tcPr>
          <w:p w14:paraId="297772E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20.303. punkts</w:t>
            </w:r>
          </w:p>
        </w:tc>
      </w:tr>
      <w:tr w:rsidR="00994F93" w:rsidRPr="00B03B51" w14:paraId="31F4FE02" w14:textId="77777777" w:rsidTr="005B2A11">
        <w:tc>
          <w:tcPr>
            <w:tcW w:w="2423" w:type="pct"/>
            <w:tcBorders>
              <w:top w:val="nil"/>
              <w:left w:val="nil"/>
              <w:bottom w:val="nil"/>
              <w:right w:val="nil"/>
            </w:tcBorders>
          </w:tcPr>
          <w:p w14:paraId="273FD94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Kvazisabiedrība</w:t>
            </w:r>
          </w:p>
        </w:tc>
        <w:tc>
          <w:tcPr>
            <w:tcW w:w="2577" w:type="pct"/>
            <w:tcBorders>
              <w:top w:val="nil"/>
              <w:left w:val="nil"/>
              <w:bottom w:val="nil"/>
              <w:right w:val="nil"/>
            </w:tcBorders>
          </w:tcPr>
          <w:p w14:paraId="577EAE6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2.13. punkta f) apakšpunkts</w:t>
            </w:r>
          </w:p>
        </w:tc>
      </w:tr>
      <w:tr w:rsidR="00994F93" w:rsidRPr="00B03B51" w14:paraId="5D91DA1E" w14:textId="77777777" w:rsidTr="005B2A11">
        <w:tc>
          <w:tcPr>
            <w:tcW w:w="2423" w:type="pct"/>
            <w:tcBorders>
              <w:top w:val="nil"/>
              <w:left w:val="nil"/>
              <w:bottom w:val="nil"/>
              <w:right w:val="nil"/>
            </w:tcBorders>
          </w:tcPr>
          <w:p w14:paraId="1EC157B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Pārkārtoti darījumi</w:t>
            </w:r>
          </w:p>
        </w:tc>
        <w:tc>
          <w:tcPr>
            <w:tcW w:w="2577" w:type="pct"/>
            <w:tcBorders>
              <w:top w:val="nil"/>
              <w:left w:val="nil"/>
              <w:bottom w:val="nil"/>
              <w:right w:val="nil"/>
            </w:tcBorders>
          </w:tcPr>
          <w:p w14:paraId="7A4FAC4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1.75.–1.78. punkts</w:t>
            </w:r>
          </w:p>
        </w:tc>
      </w:tr>
      <w:tr w:rsidR="00994F93" w:rsidRPr="00B03B51" w14:paraId="4CEFB525" w14:textId="77777777" w:rsidTr="005B2A11">
        <w:tc>
          <w:tcPr>
            <w:tcW w:w="2423" w:type="pct"/>
            <w:tcBorders>
              <w:top w:val="nil"/>
              <w:left w:val="nil"/>
              <w:bottom w:val="nil"/>
              <w:right w:val="nil"/>
            </w:tcBorders>
          </w:tcPr>
          <w:p w14:paraId="3F698A2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Sociālā palīdzība</w:t>
            </w:r>
          </w:p>
        </w:tc>
        <w:tc>
          <w:tcPr>
            <w:tcW w:w="2577" w:type="pct"/>
            <w:tcBorders>
              <w:top w:val="nil"/>
              <w:left w:val="nil"/>
              <w:bottom w:val="nil"/>
              <w:right w:val="nil"/>
            </w:tcBorders>
          </w:tcPr>
          <w:p w14:paraId="4EE5475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4.105. punkts</w:t>
            </w:r>
          </w:p>
        </w:tc>
      </w:tr>
      <w:tr w:rsidR="00994F93" w:rsidRPr="00B03B51" w14:paraId="1A381ABA" w14:textId="77777777" w:rsidTr="005B2A11">
        <w:tc>
          <w:tcPr>
            <w:tcW w:w="2423" w:type="pct"/>
            <w:tcBorders>
              <w:top w:val="nil"/>
              <w:left w:val="nil"/>
              <w:bottom w:val="nil"/>
              <w:right w:val="nil"/>
            </w:tcBorders>
          </w:tcPr>
          <w:p w14:paraId="230517A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Sociālās apdrošināšanas shēma</w:t>
            </w:r>
          </w:p>
        </w:tc>
        <w:tc>
          <w:tcPr>
            <w:tcW w:w="2577" w:type="pct"/>
            <w:tcBorders>
              <w:top w:val="nil"/>
              <w:left w:val="nil"/>
              <w:bottom w:val="nil"/>
              <w:right w:val="nil"/>
            </w:tcBorders>
          </w:tcPr>
          <w:p w14:paraId="1569E30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4.88.–4.90. punkts</w:t>
            </w:r>
          </w:p>
        </w:tc>
      </w:tr>
      <w:tr w:rsidR="00994F93" w:rsidRPr="00B03B51" w14:paraId="38484EE8" w14:textId="77777777" w:rsidTr="005B2A11">
        <w:tc>
          <w:tcPr>
            <w:tcW w:w="2423" w:type="pct"/>
            <w:tcBorders>
              <w:top w:val="nil"/>
              <w:left w:val="nil"/>
              <w:bottom w:val="nil"/>
              <w:right w:val="nil"/>
            </w:tcBorders>
          </w:tcPr>
          <w:p w14:paraId="75662377" w14:textId="2AFB5E78"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Sociālā nodrošinā</w:t>
            </w:r>
            <w:r w:rsidR="005C3D38" w:rsidRPr="00B03B51">
              <w:rPr>
                <w:rFonts w:ascii="Times New Roman" w:hAnsi="Times New Roman" w:cs="Times New Roman"/>
                <w:sz w:val="24"/>
              </w:rPr>
              <w:t>juma</w:t>
            </w:r>
            <w:r w:rsidRPr="00B03B51">
              <w:rPr>
                <w:rFonts w:ascii="Times New Roman" w:hAnsi="Times New Roman" w:cs="Times New Roman"/>
                <w:sz w:val="24"/>
              </w:rPr>
              <w:t xml:space="preserve"> fonds</w:t>
            </w:r>
          </w:p>
        </w:tc>
        <w:tc>
          <w:tcPr>
            <w:tcW w:w="2577" w:type="pct"/>
            <w:tcBorders>
              <w:top w:val="nil"/>
              <w:left w:val="nil"/>
              <w:bottom w:val="nil"/>
              <w:right w:val="nil"/>
            </w:tcBorders>
          </w:tcPr>
          <w:p w14:paraId="6A6B7A8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2.117. punkts</w:t>
            </w:r>
          </w:p>
        </w:tc>
      </w:tr>
      <w:tr w:rsidR="00994F93" w:rsidRPr="00B03B51" w14:paraId="44D98D21" w14:textId="77777777" w:rsidTr="005B2A11">
        <w:tc>
          <w:tcPr>
            <w:tcW w:w="2423" w:type="pct"/>
            <w:tcBorders>
              <w:top w:val="nil"/>
              <w:left w:val="nil"/>
              <w:bottom w:val="nil"/>
              <w:right w:val="nil"/>
            </w:tcBorders>
          </w:tcPr>
          <w:p w14:paraId="4907E728" w14:textId="34B4DCFB"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Sociālā nodrošinā</w:t>
            </w:r>
            <w:r w:rsidR="005C3D38" w:rsidRPr="00B03B51">
              <w:rPr>
                <w:rFonts w:ascii="Times New Roman" w:hAnsi="Times New Roman" w:cs="Times New Roman"/>
                <w:sz w:val="24"/>
              </w:rPr>
              <w:t>juma</w:t>
            </w:r>
            <w:r w:rsidRPr="00B03B51">
              <w:rPr>
                <w:rFonts w:ascii="Times New Roman" w:hAnsi="Times New Roman" w:cs="Times New Roman"/>
                <w:sz w:val="24"/>
              </w:rPr>
              <w:t xml:space="preserve"> shēmas</w:t>
            </w:r>
          </w:p>
        </w:tc>
        <w:tc>
          <w:tcPr>
            <w:tcW w:w="2577" w:type="pct"/>
            <w:tcBorders>
              <w:top w:val="nil"/>
              <w:left w:val="nil"/>
              <w:bottom w:val="nil"/>
              <w:right w:val="nil"/>
            </w:tcBorders>
          </w:tcPr>
          <w:p w14:paraId="4F3BD14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4.88. punkts</w:t>
            </w:r>
          </w:p>
        </w:tc>
      </w:tr>
      <w:tr w:rsidR="00994F93" w:rsidRPr="00B03B51" w14:paraId="2FF682E4" w14:textId="77777777" w:rsidTr="005B2A11">
        <w:tc>
          <w:tcPr>
            <w:tcW w:w="2423" w:type="pct"/>
            <w:tcBorders>
              <w:top w:val="nil"/>
              <w:left w:val="nil"/>
              <w:bottom w:val="nil"/>
              <w:right w:val="nil"/>
            </w:tcBorders>
          </w:tcPr>
          <w:p w14:paraId="6908052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Īpašam nolūkam dibinātas valdības vienības</w:t>
            </w:r>
          </w:p>
        </w:tc>
        <w:tc>
          <w:tcPr>
            <w:tcW w:w="2577" w:type="pct"/>
            <w:tcBorders>
              <w:top w:val="nil"/>
              <w:left w:val="nil"/>
              <w:bottom w:val="nil"/>
              <w:right w:val="nil"/>
            </w:tcBorders>
          </w:tcPr>
          <w:p w14:paraId="73B98A2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2.27.–2.29. punkts</w:t>
            </w:r>
          </w:p>
        </w:tc>
      </w:tr>
    </w:tbl>
    <w:p w14:paraId="18D7C920" w14:textId="77777777" w:rsidR="00994F93" w:rsidRPr="00B03B51" w:rsidRDefault="00994F93" w:rsidP="00994F93">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294B92CA" w14:textId="77777777" w:rsidR="00994F93" w:rsidRPr="00B03B51" w:rsidRDefault="00994F93" w:rsidP="00994F93">
      <w:pPr>
        <w:jc w:val="both"/>
        <w:rPr>
          <w:rFonts w:ascii="Times New Roman" w:eastAsia="Arial" w:hAnsi="Times New Roman" w:cs="Times New Roman"/>
          <w:b/>
          <w:bCs/>
          <w:noProof/>
          <w:sz w:val="24"/>
          <w:szCs w:val="20"/>
        </w:rPr>
      </w:pPr>
    </w:p>
    <w:p w14:paraId="534B11C5" w14:textId="77777777" w:rsidR="00994F93" w:rsidRPr="00B03B51" w:rsidRDefault="00994F93" w:rsidP="00994F93">
      <w:pPr>
        <w:pStyle w:val="Heading1"/>
        <w:ind w:left="0"/>
        <w:jc w:val="both"/>
        <w:rPr>
          <w:rFonts w:ascii="Times New Roman" w:hAnsi="Times New Roman" w:cs="Times New Roman"/>
          <w:b w:val="0"/>
          <w:bCs w:val="0"/>
          <w:noProof/>
          <w:sz w:val="28"/>
          <w:szCs w:val="72"/>
        </w:rPr>
      </w:pPr>
      <w:bookmarkStart w:id="98" w:name="2._Time_of_recording"/>
      <w:bookmarkStart w:id="99" w:name="_bookmark11"/>
      <w:bookmarkStart w:id="100" w:name="_Toc67565053"/>
      <w:bookmarkEnd w:id="98"/>
      <w:bookmarkEnd w:id="99"/>
      <w:r w:rsidRPr="00B03B51">
        <w:rPr>
          <w:rFonts w:ascii="Times New Roman" w:hAnsi="Times New Roman" w:cs="Times New Roman"/>
          <w:sz w:val="28"/>
          <w:szCs w:val="72"/>
        </w:rPr>
        <w:t>2. Ierakstīšanas laiks</w:t>
      </w:r>
      <w:bookmarkEnd w:id="100"/>
    </w:p>
    <w:p w14:paraId="01F589DD" w14:textId="77777777" w:rsidR="00994F93" w:rsidRPr="00B03B51" w:rsidRDefault="00994F93" w:rsidP="00994F93">
      <w:pPr>
        <w:jc w:val="both"/>
        <w:rPr>
          <w:rFonts w:ascii="Times New Roman" w:eastAsia="Arial" w:hAnsi="Times New Roman" w:cs="Times New Roman"/>
          <w:b/>
          <w:bCs/>
          <w:noProof/>
          <w:sz w:val="24"/>
        </w:rPr>
      </w:pPr>
    </w:p>
    <w:p w14:paraId="43B687DA" w14:textId="77777777" w:rsidR="00994F93" w:rsidRPr="00B03B51" w:rsidRDefault="00994F93" w:rsidP="00994F93">
      <w:pPr>
        <w:pStyle w:val="Heading2"/>
        <w:tabs>
          <w:tab w:val="left" w:pos="2422"/>
        </w:tabs>
        <w:spacing w:before="0"/>
        <w:ind w:left="0" w:firstLine="0"/>
        <w:jc w:val="both"/>
        <w:rPr>
          <w:rFonts w:ascii="Times New Roman" w:hAnsi="Times New Roman" w:cs="Times New Roman"/>
          <w:noProof/>
          <w:sz w:val="28"/>
          <w:szCs w:val="44"/>
        </w:rPr>
      </w:pPr>
      <w:bookmarkStart w:id="101" w:name="_Toc67565054"/>
      <w:r w:rsidRPr="00B03B51">
        <w:rPr>
          <w:rFonts w:ascii="Times New Roman" w:hAnsi="Times New Roman" w:cs="Times New Roman"/>
          <w:sz w:val="28"/>
          <w:szCs w:val="44"/>
        </w:rPr>
        <w:t>2.1. Pārskats</w:t>
      </w:r>
      <w:bookmarkEnd w:id="101"/>
    </w:p>
    <w:p w14:paraId="4C868240"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5F3FA9BD"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Saskaņā ar EKS 2010 1.101. punktu plūsmas ieraksta pēc uzkrāšanas principa, tas ir, kad ekonomiskās vērtības tiek radītas, pārveidotas vai iznīcinātas vai kad prasības un saistības rodas, tiek pārveidotas vai dzēstas. Līdz ar to produkcija tiek ierakstīta, kad tā tiek saražota, nevis kad pircējs norēķinās par preci vai pakalpojumu. Aktīvu pārdošana tiek ierakstīta, kad mainās aktīvu ekonomiskā piederība, nevis kad tiek veikts attiecīgais maksājums. Procentus ieraksta tajā uzskaites periodā, kurā tie uzkrājas, neatkarīgi no tā, vai tie ir faktiski samaksāti konkrētajā periodā. Ierakstīšanu atbilstoši uzkrāšanas principam piemēro attiecībā uz vairumu monetāro un nemonetāro plūsmu gan vienības iekšienē, gan starp vienībām.</w:t>
      </w:r>
    </w:p>
    <w:p w14:paraId="285FA55B"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78576AE6"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Darījumu ierakstīšanas laiks ietekmē valdības neto aizdevumu/aizņēmumu (B.9). Tomēr ilgākā laika posmā atšķirība starp ierakstīšanu atbilstoši uzkrāšanas principam un naudas plūsmas ierakstīšanu izzūd, jo, ierakstīšanu veicot atbilstīgi uzkrāšanas principam, naudas darījumi tiek vienkārši pārnesti uz citu laika posmu. Finanšu instrumenta kategoriju “Citas debitoru/kreditoru saistības” (AF.8) izmanto, lai sasaistītu laika starpību starp darījumiem un tiem atbilstošo agrāk vai vēlāk notikušo naudas plūsmu. AF.8 ierakstīšana neietekmē valdības parādu</w:t>
      </w:r>
      <w:r w:rsidRPr="00B03B51">
        <w:rPr>
          <w:rStyle w:val="FootnoteReference"/>
          <w:rFonts w:ascii="Times New Roman" w:hAnsi="Times New Roman" w:cs="Times New Roman"/>
          <w:noProof/>
          <w:sz w:val="24"/>
        </w:rPr>
        <w:footnoteReference w:id="114"/>
      </w:r>
      <w:r w:rsidRPr="00B03B51">
        <w:rPr>
          <w:rFonts w:ascii="Times New Roman" w:hAnsi="Times New Roman" w:cs="Times New Roman"/>
          <w:sz w:val="24"/>
        </w:rPr>
        <w:t>, jo kreditoru saistības (kategorija, kas nosaka atšķirību starp uzkrājumu un skaidru naudu) netiek iekļautas šajā definīcijā.</w:t>
      </w:r>
    </w:p>
    <w:p w14:paraId="4CACE766"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203618FC"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Tomēr dažos gadījumos attiecībā uz ierakstīšanas laiku jāpiemēro elastība. Attiecībā uz nodokļu un sociālo iemaksu ierakstīšanu tiek piemērots viens rūpīgi apsvērts vispārīgā principa pielāgojums. Tā kā šāda veida valdības ieņēmumi bieži vien tiek ierakstīti, pamatojoties uz naudas plūsmu publiskajos kontos un pamatavota informāciju, tie ir jāpārveido atbilstīgi uzkrāšanas principam. Īpaši noteikumi attiecībā uz nodokļiem un sociālajām iemaksām tika izstrādāti tā, lai vispārējās valdības (un partnersektoru) neto aizdevumā/aizņēmumā (B.9) netiktu iekļautas tās nodokļu un sociālo iemaksu summas, kas visticamāk netiks iekasētas. Rokasgrāmatas 2.2.2. iedaļā ir pieejami un aprakstīti divi ierakstīšanas risinājumi, kuri ļauj izvairīties no to valdības ieņēmumu summu ierakstīšanas, kuras nekad netiks iekasētas.</w:t>
      </w:r>
    </w:p>
    <w:p w14:paraId="566948B9"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2017BE7F"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Nosakot pareizu ierakstīšanas laiku saskaņā ar uzkrāšanas principu, ir jāņem vērā ekonomiskie notikumi, kā arī dažos gadījumos juridiskie un administratīvie notikumi. Piemēram, ekonomiska darbība var radīt pienākumu samaksāt nodokļus, taču nodokļa summu var noteikt tikai pēc kāda laika kopš ekonomiskās darbības veikšanas brīža, tiklīdz kādā nākotnes datumā ir nosūtīts konkrēts dokuments, kurā prasīts veikt maksājumu. EKS 2010 4.82. punktā norādīts, ka attiecībā uz dažām ekonomiskām darbībām, darījumiem vai notikumiem “ierakstāmās summas nosaka, pamatojoties tikai uz tādām maksājamām summām, ko apstiprina nodokļu aprēķini, deklarācijas vai citi instrumenti, kuri nodokļu maksātājam rada saistības kā nepārprotamu pienākumu veikt maksājumu”.</w:t>
      </w:r>
    </w:p>
    <w:p w14:paraId="49F3C715"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p>
    <w:p w14:paraId="28294C45" w14:textId="77777777" w:rsidR="00994F93" w:rsidRPr="00B03B51" w:rsidRDefault="00994F93" w:rsidP="00994F93">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Laiks, kad tiek radītas nodokļu saistības, dažādiem nodokļu veidiem var atšķirties. Nacionālo kontu speciālistiem jālemj par to, kurā brīdī ierakstīt nodokļus un sociālās iemaksas, un viņiem pilnīgi jāņem vērā tas, ka daži maksājumi praksē nekad netiks iekasēti.</w:t>
      </w:r>
    </w:p>
    <w:p w14:paraId="535FAC29"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br w:type="page"/>
      </w:r>
    </w:p>
    <w:p w14:paraId="185C8A79" w14:textId="77777777" w:rsidR="00994F93" w:rsidRPr="00B03B51" w:rsidRDefault="00994F93" w:rsidP="00994F93">
      <w:pPr>
        <w:jc w:val="both"/>
        <w:rPr>
          <w:rFonts w:ascii="Times New Roman" w:eastAsia="Arial" w:hAnsi="Times New Roman" w:cs="Times New Roman"/>
          <w:noProof/>
          <w:sz w:val="24"/>
          <w:szCs w:val="20"/>
        </w:rPr>
      </w:pPr>
    </w:p>
    <w:p w14:paraId="3138F4D0"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102" w:name="2.2_Recording_of_taxes_and_social_contri"/>
      <w:bookmarkStart w:id="103" w:name="_bookmark13"/>
      <w:bookmarkStart w:id="104" w:name="_Toc67565055"/>
      <w:bookmarkEnd w:id="102"/>
      <w:bookmarkEnd w:id="103"/>
      <w:r w:rsidRPr="00B03B51">
        <w:rPr>
          <w:rFonts w:ascii="Times New Roman" w:hAnsi="Times New Roman" w:cs="Times New Roman"/>
          <w:sz w:val="28"/>
          <w:szCs w:val="44"/>
        </w:rPr>
        <w:t>2.2. Nodokļu un sociālo iemaksu ierakstīšana</w:t>
      </w:r>
      <w:bookmarkEnd w:id="104"/>
    </w:p>
    <w:p w14:paraId="71149385" w14:textId="77777777" w:rsidR="00994F93" w:rsidRPr="00B03B51" w:rsidRDefault="00994F93" w:rsidP="00994F93">
      <w:pPr>
        <w:tabs>
          <w:tab w:val="left" w:pos="1267"/>
        </w:tabs>
        <w:jc w:val="both"/>
        <w:rPr>
          <w:rFonts w:ascii="Times New Roman" w:hAnsi="Times New Roman" w:cs="Times New Roman"/>
          <w:b/>
          <w:noProof/>
          <w:sz w:val="24"/>
        </w:rPr>
      </w:pPr>
      <w:bookmarkStart w:id="105" w:name="2.2.1_Background"/>
      <w:bookmarkEnd w:id="105"/>
    </w:p>
    <w:p w14:paraId="3D6C4BDA" w14:textId="77777777" w:rsidR="00994F93" w:rsidRPr="0027353A" w:rsidRDefault="00994F93" w:rsidP="0027353A">
      <w:pPr>
        <w:pStyle w:val="Heading3"/>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2.2.1. Vispārīga informācija</w:t>
      </w:r>
    </w:p>
    <w:p w14:paraId="7EA6D1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0CC472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Eiropas Savienībā nodokļi un sociālās iemaksas ir valdības ieņēmumu galvenais avots. To ierakstīšana nacionālajos kontos ir īpaši būtiska saistībā ar pārmērīga budžeta deficīta novēršanas procedūru. To ierakstīšanas metodēm ir jābūt pārredzamām un valdības neto aizdevumam/aizņēmumam (B.9) ir jābūt salīdzināmam. Turklāt nesamaksātos nodokļus un sociālās iemaksas nedrīkst ierakstīt kā valdības ieņēmumus un uzkrātajām summām ilgākā laika posmā pilnīgi jāsakrīt ar samaksātajām summām.</w:t>
      </w:r>
    </w:p>
    <w:p w14:paraId="17D238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E07CD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EKS 2010</w:t>
      </w:r>
      <w:r w:rsidRPr="00B03B51">
        <w:rPr>
          <w:rStyle w:val="FootnoteReference"/>
          <w:rFonts w:ascii="Times New Roman" w:hAnsi="Times New Roman" w:cs="Times New Roman"/>
          <w:noProof/>
          <w:sz w:val="24"/>
        </w:rPr>
        <w:footnoteReference w:id="115"/>
      </w:r>
      <w:r w:rsidRPr="00B03B51">
        <w:rPr>
          <w:rFonts w:ascii="Times New Roman" w:hAnsi="Times New Roman" w:cs="Times New Roman"/>
          <w:sz w:val="24"/>
        </w:rPr>
        <w:t xml:space="preserve"> noteikts, ka nodokļi un sociālās iemaksas, kas uzkrātas (vai kas jāsaņem), bet kas visticamāk netiks iekasētas dažādu iemeslu dēļ (piemēram, uzņēmumu bankrots, nodokļu iekasēšanas sistēmas neefektivitāte, atsevišķu nodokļu maksātāju nozušana u. c.), nedrīkst iekļaut kā valdības ieņēmumus, un tādējādi tās neietekmē vispārējās valdības neto aizdevumu/aizņēmumu.</w:t>
      </w:r>
    </w:p>
    <w:p w14:paraId="1D2198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CECC4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EKS 2010 4.82. un 4.95. punktā norādīts, ka nodokļus un sociālās iemaksas, ko ieraksta kontos, iegūst no diviem avotiem: summām, ko apliecina nodokļu aprēķini un deklarācijas, vai gūtie naudas ieņēmumi.</w:t>
      </w:r>
    </w:p>
    <w:p w14:paraId="123F2828"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1BF442B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szCs w:val="12"/>
        </w:rPr>
      </w:pPr>
      <w:r w:rsidRPr="00B03B51">
        <w:rPr>
          <w:rFonts w:ascii="Times New Roman" w:hAnsi="Times New Roman" w:cs="Times New Roman"/>
          <w:sz w:val="24"/>
        </w:rPr>
        <w:t>a) Ja izmanto nodokļu aprēķinu un deklarācijas, ieņēmumu summas precizē ar koeficientu, kas atspoguļo tās aprēķinātās un deklarētās summas, kuras nekad netiks iekasētas. Var izmantot arī alternatīvu risinājumu, proti, var ierakstīt bruto ieņēmumus un kapitāla pārvedumu uz attiecīgajiem sektoriem var ierakstīt ar to pašu precizējumu. Attiecībā uz dažādiem nodokļu veidiem un darba devēju un mājsaimniecību faktisko sociālo iemaksu veidiem piemēro tiem īpaši paredzētus koeficientus.</w:t>
      </w:r>
      <w:r w:rsidRPr="00B03B51">
        <w:rPr>
          <w:rStyle w:val="FootnoteReference"/>
          <w:rFonts w:ascii="Times New Roman" w:hAnsi="Times New Roman" w:cs="Times New Roman"/>
          <w:noProof/>
          <w:sz w:val="24"/>
        </w:rPr>
        <w:footnoteReference w:id="116"/>
      </w:r>
    </w:p>
    <w:p w14:paraId="04AFA16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0CF8DC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izmanto kases ieņēmumus, laiku precizē tā, lai skaidrā nauda tiktu attiecināta uz uzkrāšanas laiku (kad notikušas darbības, darījumi vai citi notikumi, kas rada nodokļu saistības, vai dažu ienākuma nodokļu gadījumā, kad ir noteikta nodokļa summa). Precizējot šo laiku, par pamatu jāņem vidējais laikposms starp darbībām, darījumiem vai citiem notikumiem (vai nodokļa summas noteikšanu) un faktisko naudas saņemšanu kasē. Katram nodokļu veidam tas var atšķirties. Šo metodi sauc par “laikā precizēto naudu”.</w:t>
      </w:r>
    </w:p>
    <w:p w14:paraId="157E45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8300F2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 Papildus jautājumam par nodokļu un sociālo iemaksu ierakstīšanas laiku šajā iedaļā tiek sniegti norādījumi arī par citiem jautājumiem nodokļu jomā, piemēram, par nodokļu atmaksas, nodokļu amnestijas un nodokļu kredīta ierakstīšanas laiku. Visbeidzot, 1. ierāmējumā (kas iekļauts šīs nodaļas beigās), ir apkopota būtiskākā informācija, kas sniegta </w:t>
      </w:r>
      <w:r w:rsidRPr="00B03B51">
        <w:rPr>
          <w:rFonts w:ascii="Times New Roman" w:hAnsi="Times New Roman" w:cs="Times New Roman"/>
          <w:i/>
          <w:iCs/>
          <w:sz w:val="24"/>
        </w:rPr>
        <w:t>Eurostat</w:t>
      </w:r>
      <w:r w:rsidRPr="00B03B51">
        <w:rPr>
          <w:rFonts w:ascii="Times New Roman" w:hAnsi="Times New Roman" w:cs="Times New Roman"/>
          <w:sz w:val="24"/>
        </w:rPr>
        <w:t xml:space="preserve"> vadlīnijās par atliktā nodokļa aktīvu (</w:t>
      </w:r>
      <w:r w:rsidRPr="00B03B51">
        <w:rPr>
          <w:rFonts w:ascii="Times New Roman" w:hAnsi="Times New Roman" w:cs="Times New Roman"/>
          <w:i/>
          <w:iCs/>
          <w:sz w:val="24"/>
        </w:rPr>
        <w:t>DTA</w:t>
      </w:r>
      <w:r w:rsidRPr="00B03B51">
        <w:rPr>
          <w:rFonts w:ascii="Times New Roman" w:hAnsi="Times New Roman" w:cs="Times New Roman"/>
          <w:sz w:val="24"/>
        </w:rPr>
        <w:t xml:space="preserve">) traktējumu nacionālajos kontos un ar </w:t>
      </w:r>
      <w:r w:rsidRPr="00B03B51">
        <w:rPr>
          <w:rFonts w:ascii="Times New Roman" w:hAnsi="Times New Roman" w:cs="Times New Roman"/>
          <w:i/>
          <w:iCs/>
          <w:sz w:val="24"/>
        </w:rPr>
        <w:t>DTA</w:t>
      </w:r>
      <w:r w:rsidRPr="00B03B51">
        <w:rPr>
          <w:rFonts w:ascii="Times New Roman" w:hAnsi="Times New Roman" w:cs="Times New Roman"/>
          <w:sz w:val="24"/>
        </w:rPr>
        <w:t xml:space="preserve"> saistītu specifisku nodokļu kredītu ierakstīšanu.</w:t>
      </w:r>
    </w:p>
    <w:p w14:paraId="56C17201" w14:textId="77777777" w:rsidR="00994F93" w:rsidRPr="00B03B51" w:rsidRDefault="00994F93" w:rsidP="00994F93">
      <w:pPr>
        <w:jc w:val="both"/>
        <w:rPr>
          <w:rFonts w:ascii="Times New Roman" w:eastAsia="Arial" w:hAnsi="Times New Roman" w:cs="Times New Roman"/>
          <w:noProof/>
          <w:sz w:val="24"/>
          <w:szCs w:val="20"/>
        </w:rPr>
      </w:pPr>
    </w:p>
    <w:p w14:paraId="563F645B" w14:textId="77777777" w:rsidR="00994F93" w:rsidRPr="0027353A" w:rsidRDefault="00994F93" w:rsidP="0027353A">
      <w:pPr>
        <w:pStyle w:val="Heading3"/>
        <w:keepNext/>
        <w:tabs>
          <w:tab w:val="left" w:pos="1267"/>
        </w:tabs>
        <w:ind w:left="0" w:firstLine="0"/>
        <w:jc w:val="both"/>
        <w:rPr>
          <w:rFonts w:ascii="Times New Roman" w:hAnsi="Times New Roman" w:cs="Times New Roman"/>
          <w:sz w:val="24"/>
        </w:rPr>
      </w:pPr>
      <w:bookmarkStart w:id="106" w:name="2.2.2_Treatment_in_national_accounts"/>
      <w:bookmarkEnd w:id="106"/>
      <w:r w:rsidRPr="00B03B51">
        <w:rPr>
          <w:rFonts w:ascii="Times New Roman" w:hAnsi="Times New Roman" w:cs="Times New Roman"/>
          <w:sz w:val="24"/>
        </w:rPr>
        <w:lastRenderedPageBreak/>
        <w:t>2.2.2. Traktējums nacionālajos kontos</w:t>
      </w:r>
    </w:p>
    <w:p w14:paraId="58F9E8A6" w14:textId="77777777" w:rsidR="00994F93" w:rsidRPr="00B03B51" w:rsidRDefault="00994F93" w:rsidP="0027353A">
      <w:pPr>
        <w:keepNext/>
        <w:jc w:val="both"/>
        <w:rPr>
          <w:rFonts w:ascii="Times New Roman" w:hAnsi="Times New Roman" w:cs="Times New Roman"/>
          <w:b/>
          <w:noProof/>
          <w:sz w:val="24"/>
        </w:rPr>
      </w:pPr>
    </w:p>
    <w:p w14:paraId="065F103C" w14:textId="77777777" w:rsidR="00994F93" w:rsidRPr="00B03B51" w:rsidRDefault="00994F93" w:rsidP="0027353A">
      <w:pPr>
        <w:keepNext/>
        <w:jc w:val="both"/>
        <w:rPr>
          <w:rFonts w:ascii="Times New Roman" w:hAnsi="Times New Roman" w:cs="Times New Roman"/>
          <w:b/>
          <w:noProof/>
          <w:sz w:val="24"/>
        </w:rPr>
      </w:pPr>
      <w:r w:rsidRPr="00B03B51">
        <w:rPr>
          <w:rFonts w:ascii="Times New Roman" w:hAnsi="Times New Roman" w:cs="Times New Roman"/>
          <w:b/>
          <w:sz w:val="24"/>
        </w:rPr>
        <w:t>Vispārīgi principi</w:t>
      </w:r>
    </w:p>
    <w:p w14:paraId="07FE7ECE" w14:textId="77777777" w:rsidR="00994F93" w:rsidRPr="00B03B51" w:rsidRDefault="00994F93" w:rsidP="0027353A">
      <w:pPr>
        <w:keepNext/>
        <w:jc w:val="both"/>
        <w:rPr>
          <w:rFonts w:ascii="Times New Roman" w:eastAsia="Arial" w:hAnsi="Times New Roman" w:cs="Times New Roman"/>
          <w:b/>
          <w:bCs/>
          <w:noProof/>
          <w:sz w:val="24"/>
          <w:szCs w:val="21"/>
        </w:rPr>
      </w:pPr>
    </w:p>
    <w:p w14:paraId="4953505E" w14:textId="77777777" w:rsidR="00994F93" w:rsidRPr="00B03B51" w:rsidRDefault="00994F93" w:rsidP="0027353A">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Kā noteikts nacionālo kontu noteikumos, ierakstīšanas laika ekonomiskā būtība ir svarīgāka par tā juridisko formu, proti, tas ir laiks, kad notikusi saimnieciskā darbība, kurā radušās nodokļu saistības, bet atsevišķu ienākuma nodokļu gadījumā tas ir laiks, kad valdība ir precīzi noteikusi iekasējamā nodokļa summu, uzliekot pienākumu nodokļu maksātājam.</w:t>
      </w:r>
    </w:p>
    <w:p w14:paraId="1C3F147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001B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Valsts statistikas iestādes var izvēlēties jebkuru no 2.2.1. iedaļas 3. punkta a) un b) apakšpunktā aprakstītajām metodēm, ar noteikumu, ka tas ir labākais veids, kā ierakstīt ieņēmumus saskaņā ar uzkrāšanas principu, proti, vai nu pamatojoties uz koriģētiem nodokļu aprēķiniem un deklarācijām, ticami aplēšot summas, kuras, visticamāk, nekad netiks iekasētas, vai pamatojoties uz laikā precizētās naudas pieeju. </w:t>
      </w:r>
      <w:r w:rsidRPr="00B03B51">
        <w:rPr>
          <w:rFonts w:ascii="Times New Roman" w:hAnsi="Times New Roman" w:cs="Times New Roman"/>
          <w:i/>
          <w:iCs/>
          <w:sz w:val="24"/>
        </w:rPr>
        <w:t>Eurostat</w:t>
      </w:r>
      <w:r w:rsidRPr="00B03B51">
        <w:rPr>
          <w:rFonts w:ascii="Times New Roman" w:hAnsi="Times New Roman" w:cs="Times New Roman"/>
          <w:sz w:val="24"/>
        </w:rPr>
        <w:t xml:space="preserve"> rūpīgi analizē šīs metodes un var pieprasīt mainīt metodi, ja izrādās, ka statistikas iestāžu izraudzītā metode nav atbilstīga vai sniedz neapmierinošus rezultātus. Praktisku apsvērumu dēļ gadījumos, kad ir grūtības veikt ticamas aplēses par summām, kas, visticamāk, netiks iekasētas, vai ja nav pieejami ticami aprēķini, vēlamāka varētu būt laikā precizētās naudas pieeja. Šādos gadījumos laikā precizētā nauda ir uzkrāto summu pieņemams tuvinājums.</w:t>
      </w:r>
      <w:r w:rsidRPr="00B03B51">
        <w:rPr>
          <w:rStyle w:val="FootnoteReference"/>
          <w:rFonts w:ascii="Times New Roman" w:hAnsi="Times New Roman" w:cs="Times New Roman"/>
          <w:noProof/>
          <w:sz w:val="24"/>
        </w:rPr>
        <w:footnoteReference w:id="117"/>
      </w:r>
    </w:p>
    <w:p w14:paraId="0E233FA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4E6AE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Ja nodokļu ieņēmumus ieraksta, pamatojoties uz aprēķiniem un deklarācijām, ir divas iespējas, kā neiekļaut summas, kuras nekad netiks iekasētas:</w:t>
      </w:r>
    </w:p>
    <w:p w14:paraId="5067C2FC"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37B017B0"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aprēķinātās summas var koriģēt ar koeficientu, kas izsaka summas, kuras nekad netiks iekasētas. Koeficientus vajadzētu noteikt, pamatojoties uz iepriekšējo pieredzi un pašreizējo gaidāmo prognozi attiecībā uz aprēķinātajām, taču nekad neiekasētajām summām. Attiecīgā gadījumā koeficientu aktualizē, lai tas atspoguļotu ekonomisko realitāti;</w:t>
      </w:r>
    </w:p>
    <w:p w14:paraId="7989821E"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2B51A82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aprēķinātās iekasējamās summas ieraksta kā valdības ieņēmumus, un starpību starp šo teorētisko summu un faktiskajiem kases ieņēmumiem (kas ir aplēsti) ieraksta kā kapitāla pārvedumu (valdības izdevumus) nodokļu maksātājiem, kuri nav izpildījuši savas saistības.</w:t>
      </w:r>
    </w:p>
    <w:p w14:paraId="76AD496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E678D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Savukārt, ja nodokļu ieņēmumu ierakstīšanai izmanto naudas summas, tās ir jākoriģē laikā tā, lai šīs summas attiektos uz laiku, kad ir notikusi darbība, kas radījusi saistības. Piemēram, ja no brīža, kad tiek uzkrāts PVN, līdz brīdim, kad sabiedrības to samaksā nodokļu iestādēm, paiet 1–2 mēneši, nauda, kas tiek saņemta gada pirmajos 1–2 mēnešos, tiks attiecināta uz iepriekšējo gadu.</w:t>
      </w:r>
    </w:p>
    <w:p w14:paraId="54B7C52C" w14:textId="77777777" w:rsidR="00994F93" w:rsidRPr="00B03B51" w:rsidRDefault="00994F93" w:rsidP="00994F93">
      <w:pPr>
        <w:jc w:val="both"/>
        <w:rPr>
          <w:rFonts w:ascii="Times New Roman" w:eastAsia="Arial" w:hAnsi="Times New Roman" w:cs="Times New Roman"/>
          <w:noProof/>
          <w:sz w:val="24"/>
          <w:szCs w:val="20"/>
        </w:rPr>
      </w:pPr>
    </w:p>
    <w:p w14:paraId="291411D0"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Nodokļu atmaksas ierakstīšana</w:t>
      </w:r>
    </w:p>
    <w:p w14:paraId="01FC1077" w14:textId="77777777" w:rsidR="00994F93" w:rsidRPr="00B03B51" w:rsidRDefault="00994F93" w:rsidP="00994F93">
      <w:pPr>
        <w:jc w:val="both"/>
        <w:rPr>
          <w:rFonts w:ascii="Times New Roman" w:eastAsia="Arial" w:hAnsi="Times New Roman" w:cs="Times New Roman"/>
          <w:b/>
          <w:bCs/>
          <w:noProof/>
          <w:sz w:val="24"/>
          <w:szCs w:val="21"/>
        </w:rPr>
      </w:pPr>
    </w:p>
    <w:p w14:paraId="3E1045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Attiecībā uz dažiem nodokļiem nodokļu maksātāji regulāri (reizi mēnesī vai ceturksnī) veic priekšapmaksu, un galīgais nodokļu norēķins tiek veikts vēlāk, kad ir iesniegtas nodokļu deklarācijas un nodokļu iestādes ir veikušas aprēķinus.</w:t>
      </w:r>
      <w:r w:rsidRPr="00B03B51">
        <w:rPr>
          <w:rStyle w:val="FootnoteReference"/>
          <w:rFonts w:ascii="Times New Roman" w:hAnsi="Times New Roman" w:cs="Times New Roman"/>
          <w:noProof/>
          <w:sz w:val="24"/>
        </w:rPr>
        <w:footnoteReference w:id="118"/>
      </w:r>
      <w:r w:rsidRPr="00B03B51">
        <w:rPr>
          <w:rFonts w:ascii="Times New Roman" w:hAnsi="Times New Roman" w:cs="Times New Roman"/>
          <w:sz w:val="24"/>
        </w:rPr>
        <w:t xml:space="preserve"> Pēc galīgās korekcijas nodokļu maksātājam ir vai nu jāveic vēl kāds maksājums, vai arī nodokļu maksātājs var būt tiesīgs </w:t>
      </w:r>
      <w:r w:rsidRPr="00B03B51">
        <w:rPr>
          <w:rFonts w:ascii="Times New Roman" w:hAnsi="Times New Roman" w:cs="Times New Roman"/>
          <w:sz w:val="24"/>
        </w:rPr>
        <w:lastRenderedPageBreak/>
        <w:t>saņemt nodokļu atmaksu. Tiesības saņemt nodokļu atmaksu nosaka un attiecīgo summu vienmēr aprēķina un apstiprina nodokļu iestāde, un parasti tā ir saistīta ar nodokļu deklarācijām un galīgiem nodokļu norēķiniem.</w:t>
      </w:r>
    </w:p>
    <w:p w14:paraId="114DCA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55DA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Katrā valstī nodokļu atmaksas analizē katrā atsevišķā gadījumā, ņemot vērā datu pieejamību un valstī noteiktos nodokļu deklarāciju iesniegšanas termiņus. Nodokļu atmaksas ieraksta, balstoties uz pamatotiem datiem, kas iegūti, minimāli izmantojot aplēses, un kuriem ir maza varbūtība, ka tie būs turpmāk jāpārskata. Rūpīgi uzrauga neparastas nodokļu shēmas vai notikumus, kas varētu izraisīt neparastas tendences skaitļu rindā, lai nodrošinātu pareizu ierakstīšanas laiku.</w:t>
      </w:r>
    </w:p>
    <w:p w14:paraId="28B643E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358DA4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EKS 2010 4.82. punktā ir pieļaujama zināma elastība attiecībā uz kārtējo ienākuma nodokļu galīgo norēķinu, ja saistības var noteikt tikai vēlākā uzskaites periodā, nevis periodā, kurā tiek uzkrāts ienākums. Šādos gadījumos ir pieļaujams, ka nodokļu atmaksu ieraksta tad, kad valdība ir noteikusi saistības. Tā vietā, lai veiktu aplēses par nodokļu atmaksām, ja aplēšu veikšanas brīdī nav ticamas informācijas, vēlamāk ir ierakstīt nodokļu atmaksu vēlāk, izmantojot ierakstīšanas laiku, kad ir noteikta nodokļu atmaksa.</w:t>
      </w:r>
    </w:p>
    <w:p w14:paraId="32B9AC7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19CAD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Jāuzsver, ka attiecībā uz nodokļu atmaksu būtu jāizvairās no naudas ierakstīšanas prakses, kur nodokļu ieņēmumu ierakstīšanai izmanto aprēķinus un deklarācijas, jo šāda prakse ir ne tikai metodoloģiski neatbilstīga, bet varētu radīt arī būtisku laika starpību šo divu summu ierakstīšanas brīdī.</w:t>
      </w:r>
    </w:p>
    <w:p w14:paraId="30884944" w14:textId="77777777" w:rsidR="00994F93" w:rsidRPr="00B03B51" w:rsidRDefault="00994F93" w:rsidP="00994F93">
      <w:pPr>
        <w:jc w:val="both"/>
        <w:rPr>
          <w:rFonts w:ascii="Times New Roman" w:eastAsia="Arial" w:hAnsi="Times New Roman" w:cs="Times New Roman"/>
          <w:noProof/>
          <w:sz w:val="24"/>
          <w:szCs w:val="20"/>
        </w:rPr>
      </w:pPr>
    </w:p>
    <w:p w14:paraId="776F8C64"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Nodokļu amnestijas ierakstīšana</w:t>
      </w:r>
    </w:p>
    <w:p w14:paraId="0D69DE9A" w14:textId="77777777" w:rsidR="00994F93" w:rsidRPr="00B03B51" w:rsidRDefault="00994F93" w:rsidP="00994F93">
      <w:pPr>
        <w:jc w:val="both"/>
        <w:rPr>
          <w:rFonts w:ascii="Times New Roman" w:eastAsia="Arial" w:hAnsi="Times New Roman" w:cs="Times New Roman"/>
          <w:b/>
          <w:bCs/>
          <w:noProof/>
          <w:sz w:val="24"/>
          <w:szCs w:val="21"/>
        </w:rPr>
      </w:pPr>
    </w:p>
    <w:p w14:paraId="318D80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Nodokļu amnestija ir iespēja noteiktai nodokļu maksātāju grupai ierobežotā laikposmā samaksāt noteiktu summu bez bailēm, ka valdība varētu veikt tiesiskas darbības, apmaiņā pret ko tai tiek atlaistas nodokļu saistības, kas attiecas uz iepriekšējiem taksācijas periodiem.</w:t>
      </w:r>
    </w:p>
    <w:p w14:paraId="1C8B78C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DA616A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Nodokļu amnestiju parasti piemēro ar valdības izdotu likumu vai dekrētu, lai atlaistu nodokļu maksātāju iepriekšējos gados uzkrātos nodokļu parādus. Ar šo pasākumu valdība sniedz nodokļu maksātājiem labumu un vienlaikus iekasē vienreizējus ieņēmumus, kuri, ja netiktu piemērota nodokļu amnestija, tiktu iekasēti daudz vēlāk vai, iespējams, vispār netiktu iekasēti.</w:t>
      </w:r>
    </w:p>
    <w:p w14:paraId="57C0F2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02876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Nodokļu maksātāji saņem divējādu labumu:</w:t>
      </w:r>
    </w:p>
    <w:p w14:paraId="4B507A0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9669F55" w14:textId="77777777" w:rsidR="00994F93" w:rsidRPr="00B03B51" w:rsidRDefault="00994F93" w:rsidP="005B2A11">
      <w:pPr>
        <w:pStyle w:val="BodyText"/>
        <w:numPr>
          <w:ilvl w:val="0"/>
          <w:numId w:val="1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iespēju sniegt informāciju par iepriekšējiem taksācijas periodiem (par nedeklarētajiem iepriekšējiem nodokļiem vai ar nodokli apliekamajiem aktīviem, kas iepriekš nav paziņoti);</w:t>
      </w:r>
    </w:p>
    <w:p w14:paraId="20FB6795" w14:textId="77777777" w:rsidR="00994F93" w:rsidRPr="00B03B51" w:rsidRDefault="00994F93" w:rsidP="005B2A11">
      <w:pPr>
        <w:pStyle w:val="BodyText"/>
        <w:numPr>
          <w:ilvl w:val="0"/>
          <w:numId w:val="1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iespēju samaksāt iepriekšējos nodokļu parādus.</w:t>
      </w:r>
    </w:p>
    <w:p w14:paraId="67C18197" w14:textId="77777777" w:rsidR="00994F93" w:rsidRPr="00B03B51" w:rsidRDefault="00994F93" w:rsidP="00994F93">
      <w:pPr>
        <w:jc w:val="both"/>
        <w:rPr>
          <w:rFonts w:ascii="Times New Roman" w:eastAsia="Arial" w:hAnsi="Times New Roman" w:cs="Times New Roman"/>
          <w:noProof/>
          <w:sz w:val="24"/>
          <w:szCs w:val="14"/>
        </w:rPr>
      </w:pPr>
    </w:p>
    <w:p w14:paraId="05955C1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Abos gadījumos informācijas sniegšana par nodokļiem (vai ar nodokli apliekamajiem aktīviem) un nodokļu parādu apmaksa, kas atbrīvo nodokļu maksātājus no turpmākām valdības īstenotām tiesiskām darbībām, var notikt dažādos apstākļos, iespējams, bez soda naudas piemērošanas un pat piemērojot zemākas nodokļu likmes nekā parastos apstākļos.</w:t>
      </w:r>
    </w:p>
    <w:p w14:paraId="4DFBB1B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DD392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Nodokļu amnestiju parasti nosaka uz konkrētu laikposmu, un to var attiecināt uz kādā konkrētā laikposmā nenomaksātiem nodokļu parādiem. Tā var attiekties uz visu veidu faktiskajiem nodokļiem un sociālajām iemaksām.</w:t>
      </w:r>
    </w:p>
    <w:p w14:paraId="00E77E0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DB27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Attiecībā uz ierakstīšanas laiku katrs gadījums ir rūpīgi jāanalizē. Šajā saistībā maksājamo </w:t>
      </w:r>
      <w:r w:rsidRPr="00B03B51">
        <w:rPr>
          <w:rFonts w:ascii="Times New Roman" w:hAnsi="Times New Roman" w:cs="Times New Roman"/>
          <w:sz w:val="24"/>
        </w:rPr>
        <w:lastRenderedPageBreak/>
        <w:t>summu aplēses nav labākā nodokļu amnestijas ierakstīšanas iespēja, jo ir maz ticams, ka valdība var sniegt ticamus datu avotus, kas ļautu aprēķināt summas, kuras varētu tikt deklarētas un samaksātas, tā kā tai nav ziņu par nedeklarētajiem nodokļiem. Vēlamāk ir izmantot datus par nodokļu iekasēšanu neatkarīgi no nodokļu ieņēmumu ierakstīšanai izmantotās metodes. Šajā ziņā atbilstošāk ir izmantot naudas plūsmas ierakstīšanas principus.</w:t>
      </w:r>
      <w:r w:rsidRPr="00B03B51">
        <w:rPr>
          <w:rStyle w:val="FootnoteReference"/>
          <w:rFonts w:ascii="Times New Roman" w:hAnsi="Times New Roman" w:cs="Times New Roman"/>
          <w:noProof/>
          <w:sz w:val="24"/>
        </w:rPr>
        <w:footnoteReference w:id="119"/>
      </w:r>
    </w:p>
    <w:p w14:paraId="319248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3EB8D3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Ja nodokļu ieņēmumu ierakstīšanai izmanto nodokļu aprēķinu un deklarāciju metodi, pēc nodokļu amnestijas ir jāpārskata to summu koeficients, kuras visticamāk neiekasēs.</w:t>
      </w:r>
    </w:p>
    <w:p w14:paraId="0E94F3B0" w14:textId="77777777" w:rsidR="00994F93" w:rsidRPr="00B03B51" w:rsidRDefault="00994F93" w:rsidP="00994F93">
      <w:pPr>
        <w:jc w:val="both"/>
        <w:rPr>
          <w:rFonts w:ascii="Times New Roman" w:eastAsia="Arial" w:hAnsi="Times New Roman" w:cs="Times New Roman"/>
          <w:noProof/>
          <w:sz w:val="24"/>
          <w:szCs w:val="20"/>
        </w:rPr>
      </w:pPr>
    </w:p>
    <w:p w14:paraId="03555AB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Nodokļu kredītu ierakstīšana</w:t>
      </w:r>
    </w:p>
    <w:p w14:paraId="7C85E5A9" w14:textId="77777777" w:rsidR="00994F93" w:rsidRPr="00B03B51" w:rsidRDefault="00994F93" w:rsidP="00994F93">
      <w:pPr>
        <w:jc w:val="both"/>
        <w:rPr>
          <w:rFonts w:ascii="Times New Roman" w:eastAsia="Arial" w:hAnsi="Times New Roman" w:cs="Times New Roman"/>
          <w:b/>
          <w:bCs/>
          <w:noProof/>
          <w:sz w:val="24"/>
          <w:szCs w:val="21"/>
        </w:rPr>
      </w:pPr>
    </w:p>
    <w:p w14:paraId="37C873A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EKS 2010 4.81. un 20.167.–20.168. punktā ir aprakstīts nodokļu kredītu traktējums. Nodokļu kredīts ir sava veida nodokļu atvieglojums, ko atskaita tieši no labuma guvējam piemērotajām nodokļu saistībām pēc nodokļu saistību aprēķināšanas, pretēji citiem mehānismiem (piemēram, nodokļa atlaidēm, atbrīvojumiem vai atskaitījumiem), kas ietekmē nodokļa bāzi pirms nodokļa likmes piemērošanas.</w:t>
      </w:r>
    </w:p>
    <w:p w14:paraId="200A277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999B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EKS 2010 izšķir divu veidu nodokļu kredītus:</w:t>
      </w:r>
    </w:p>
    <w:p w14:paraId="5FDC8932"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2A882B7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“nemaksājamie” nodokļu kredīti (saukti arī par neatmaksājamiem, “zaudējamiem” nodokļu kredītiem), t. i., nodokļu kredīti, kas nepārsniedz nodokļu saistību summu tajā pašā fiskālajā gadā (vai vairākus fiskālos gadus ilgā posmā, ja ir atļauta pārnešana). Visas nodokļu kredīta summas, kas pārsniedz nodokļu maksātāja saistības spēkā esošajā laikposmā, tiek “zaudētas”;</w:t>
      </w:r>
    </w:p>
    <w:p w14:paraId="44F8481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03F1E490"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“maksājamie” nodokļu kredīti (saukti arī par atmaksājamiem vai “nezaudējamajiem” nodokļu kredītiem), t. i., labuma guvējam jebkurā gadījumā tiek izmaksāta pilna summa, tostarp arī pārpalikums, ja nodokļu atvieglojums ir lielāks par nodokļu saistībām. Ja izmanto maksājamo nodokļu kredītu sistēmu, maksājumus veic neatkarīgi no nodokļu saistību lieluma (pat ja nodokļu saistības vispār nepastāv). Maksājamie nodokļu kredīti ir valdības saistības, kas nav gadījuma saistības, proti, valdībai tie rada pienākumu.</w:t>
      </w:r>
    </w:p>
    <w:p w14:paraId="71DA0BC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501C1B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EKS 2010 ir norādīts, ka nemaksājamos nodokļu kredītus ieraksta kā nodokļu ieņēmumu samazinājumu, tāpēc tie samazina “nodokļu slogu” un kopējos ieņēmumus. Savukārt maksājamo nodokļu kredītu gadījumā pilnu nodokļu kredīta summu ieraksta kā valdības izdevumus, un nodokļu ieņēmumi nesamazinās. Šāda ierakstīšana ietekmē nodokļu slogu, kopējos ieņēmumus un kopējos izdevumus, kā arī attiecīgi to attiecību pret IKP.</w:t>
      </w:r>
    </w:p>
    <w:p w14:paraId="3F71FBE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2D88B2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EKS 2010 nav norādīts, kāda izdevumu kategorija jāizmanto maksājamo nodokļu kredītu ierakstīšanai, jo var būt dažādas iespējas. Maksājamos nodokļu kredītus var ierakstīt kā kārtējos izdevumus, un tādā gadījumā tie varētu būt subsīdijas (D.3) vai sociālie pabalsti, kas nav sociālie pārvedumi natūrā (D.62), atkarībā no labuma guvēja veida, vai pat dažādi kārtējie pārvedumi (D.75). Tos var ierakstīt arī kā kapitālizdevumus, šajā gadījumā kā ieguldījumu dotācijas (D.92) vai kā citus kapitāla pārvedumus (D.99).</w:t>
      </w:r>
      <w:r w:rsidRPr="00B03B51">
        <w:rPr>
          <w:rStyle w:val="FootnoteReference"/>
          <w:rFonts w:ascii="Times New Roman" w:hAnsi="Times New Roman" w:cs="Times New Roman"/>
          <w:noProof/>
          <w:sz w:val="24"/>
        </w:rPr>
        <w:footnoteReference w:id="120"/>
      </w:r>
    </w:p>
    <w:p w14:paraId="185F3BA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80190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23. Attiecībā uz nodokļu kredītu ierakstīšanas laiku ir jāatzīmē, ka valdībai (vai nodokļu iestādei) ir vienmēr jānovērtē, jākontrolē, jāapliecina vai jāapstiprina tiesības maksāt mazākus </w:t>
      </w:r>
      <w:r w:rsidRPr="00B03B51">
        <w:rPr>
          <w:rFonts w:ascii="Times New Roman" w:hAnsi="Times New Roman" w:cs="Times New Roman"/>
          <w:sz w:val="24"/>
        </w:rPr>
        <w:lastRenderedPageBreak/>
        <w:t>nodokļus vai saņemt maksājumu, un parasti to īsteno pēc nodokļu deklarāciju vai kāda cita oficiāla dokumenta iesniegšanas.</w:t>
      </w:r>
    </w:p>
    <w:p w14:paraId="054D3D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4D3D6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Jāatzīmē arī tas, ka nodokļu kredīti bieži vien ir saistīti ar ienākuma nodokļiem, un nodokļu iestādes parasti tos aprēķina, kad nodokļu maksātāji ir iesnieguši savas nodokļu deklarācijas. Tā kā nemaksājamie nodokļu kredīti samazina nodokļu ieņēmumus, to ierakstīšanas laiks parasti ir līdzīgs tā nodokļa ierakstīšanas laikam, kuram tie tiek piešķirti; tas attiecas gan uz aprēķināšanas metodi, gan uz laikā precizētās naudas metodi. Kad izmanto aprēķināšanas un deklarāciju metodes, ja nodokļu saistību noteikšanas brīdis ir ņemts kā uzkrājuma tuvinājuma punkts, ierakstīšanas laiks ir brīdis, kad ir aprēķinātas nodokļu saistības, nevis brīdis, kad nodokļu maksātājs ir faktiski nokārtojis savas saistības.</w:t>
      </w:r>
    </w:p>
    <w:p w14:paraId="513A95B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8EE8A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Maksājamie nodokļu kredīti ir labuma guvēju beznosacījuma prasījumi valdībai, tāpēc valdībai kādā no posmiem tie jāatzīst par saistībām. Attiecībā uz maksājamiem nodokļu kredītiem par uzkrājuma tuvinājuma punktu uzskata brīdi, kad nodokļu iestādes ir oficiāli atzinušas saistības. Šis tuvinājums ir labākais ierakstīšanas laika variants, jo, ja izmantotu tīro uzkrāšanas laiku maksājamajiem nodokļu kredītiem, tiktu ierakstītas summas, kas vēl nav precīzi noteiktas, tāpēc praktiski būtu jāveic aplēses, kuru ticamība nav noteikta, kā arī pēc tam būtu jāpārskata valdības ieņēmumi, izdevumi un neto aizdevumi/aizņēmumi (B.9). Ierakstīšanas laiks, kad nodokļu iestādes atzīst saistības, ir piemērojams neatkarīgi no tā, kāda izdevumu kategorija ir izraudzīta maksājamā nodokļu kredīta ierakstīšanai.</w:t>
      </w:r>
    </w:p>
    <w:p w14:paraId="387FE73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D7258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Izdevumus ieraksta brīdī, kad valdība atzīst prasījumu par visu summu, neatkarīgi no tā, kurā konkrētā brīdī maksājamais nodokļu kredīts tiks izmantots, lai samazinātu maksājamo nodokļu summu, un neatkarīgi no tā, kurā konkrētā brīdī nodokļu kredīts varētu tikt pilnībā atmaksāts labuma guvējam. Tādējādi tas varētu atstāt ietekmi uz valdības neto aizdevumu/aizņēmumu (B.9) vienā atsevišķā gadā, nevis uz vairākiem gadiem, kuros maksājamais nodokļu kredīts tiktu lietots.</w:t>
      </w:r>
    </w:p>
    <w:p w14:paraId="61C80E2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2D4B58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Ja ir laika nobīde starp izdevumu ierakstīšanas brīdi un brīdi, kad tie tiek izlietoti nodokļu saistību samazinājuma veidā vai kā nauda no valdības, jāizdara ieraksts sektorā “citas debitoru/kreditoru saistības” (AF.8).</w:t>
      </w:r>
    </w:p>
    <w:p w14:paraId="4544EC6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02F49D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Maksājamos nodokļu kredītus traktē citādi nekā nemaksājamos nodokļu kredītus. Tā kā nemaksājamos nodokļu kredītus traktē kā negatīvus nodokļu ieņēmumus, nevis kā izdevumus, tos ieraksta tad, kad tie tiek izmantoti nodokļu saistību mazināšanai, ietekmējot kontus par precīzu summu, kas tiek izlietota katru gadu, nevis ierakstot visu summu vienā gadā, kā tas ir maksājamo nodokļu kredītu gadījumā.</w:t>
      </w:r>
    </w:p>
    <w:p w14:paraId="3130D669" w14:textId="77777777" w:rsidR="00994F93" w:rsidRPr="00B03B51" w:rsidRDefault="00994F93" w:rsidP="00994F93">
      <w:pPr>
        <w:jc w:val="both"/>
        <w:rPr>
          <w:rFonts w:ascii="Times New Roman" w:eastAsia="Arial" w:hAnsi="Times New Roman" w:cs="Times New Roman"/>
          <w:noProof/>
          <w:sz w:val="24"/>
          <w:szCs w:val="20"/>
        </w:rPr>
      </w:pPr>
    </w:p>
    <w:p w14:paraId="399E460D"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07" w:name="_Toc67565056"/>
      <w:r w:rsidRPr="00B03B51">
        <w:rPr>
          <w:rFonts w:ascii="Times New Roman" w:hAnsi="Times New Roman" w:cs="Times New Roman"/>
          <w:sz w:val="24"/>
        </w:rPr>
        <w:t>2.2.3. Traktējuma pamatojums</w:t>
      </w:r>
      <w:bookmarkEnd w:id="107"/>
    </w:p>
    <w:p w14:paraId="07F222AA" w14:textId="77777777" w:rsidR="00994F93" w:rsidRPr="00B03B51" w:rsidRDefault="00994F93" w:rsidP="00994F93">
      <w:pPr>
        <w:pStyle w:val="BodyText"/>
        <w:tabs>
          <w:tab w:val="left" w:pos="895"/>
        </w:tabs>
        <w:spacing w:before="0"/>
        <w:ind w:left="0" w:firstLine="0"/>
        <w:jc w:val="both"/>
        <w:rPr>
          <w:rFonts w:ascii="Times New Roman" w:hAnsi="Times New Roman" w:cs="Times New Roman"/>
          <w:noProof/>
          <w:sz w:val="24"/>
        </w:rPr>
      </w:pPr>
    </w:p>
    <w:p w14:paraId="6F28813D" w14:textId="77777777" w:rsidR="00994F93" w:rsidRPr="00B03B51" w:rsidRDefault="00994F93" w:rsidP="00994F93">
      <w:pPr>
        <w:pStyle w:val="BodyText"/>
        <w:tabs>
          <w:tab w:val="left" w:pos="895"/>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Saskaņā ar pamatprincipu summas, kuru iekasēšana ir maz ticama, neiekļauj sistēmā ierakstīto nodokļu un sociālo iemaksu ietekmi uz vispārējās valdības neto aizņēmumu/aizdevumu (B.9). Tā pamatā ir šāds arguments – ja ir pierādījumi tam, ka daži aprēķinātie nodokļi un sociālās iemaksas nekad netiks iekasētas, tad starpība starp nodokļu aprēķinu un gaidāmo iekasējumu atspoguļo prasījumu, kuram nav nekādas reālas vērtības un kuru nedrīkst ierakstīt valdības ieņēmumos. Sistēmā atbilstoši uzkrāšanas principam ierakstīto nodokļu un sociālo iemaksu ietekmei uz vispārējās valdības neto aizņēmumu/aizdevumu (B.9) saprātīgā laika posmā jābūt vienādai ar faktiski saņemtajām atbilstīgajām naudas summām.</w:t>
      </w:r>
    </w:p>
    <w:p w14:paraId="7FF2E4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40EFE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30. Attiecībā uz nodokļu atmaksām un nodokļu amnestiju traktējums nacionālajos kontos </w:t>
      </w:r>
      <w:r w:rsidRPr="00B03B51">
        <w:rPr>
          <w:rFonts w:ascii="Times New Roman" w:hAnsi="Times New Roman" w:cs="Times New Roman"/>
          <w:sz w:val="24"/>
        </w:rPr>
        <w:lastRenderedPageBreak/>
        <w:t>nedrīkst būt atkarīgs no aplēsēm un kļūt par cēloni būtiskai pārskatīšanai, kas ietekmē valdības ieņēmumu datu ticamību.</w:t>
      </w:r>
    </w:p>
    <w:p w14:paraId="6A3F6F5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EA040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EKS 2010 ir definēti atšķirīgi nodokļu kredītu ierakstīšanas veidi atkarībā no tā, vai tie ir maksājami vai nemaksājami nodokļu kredīti. Nemaksājamie nodokļu kredīti nepārsniedz nodokļu saistību lielumu. Atbilstīgi tam, kā ieraksta nodokļu atlaides, atbrīvojumus un samazinājumus, nemaksājamos nodokļu kredītus ieraksta kā nodokļu saistību samazinājumu, un tādējādi tos uzskaita kā nodokļu ieņēmumu samazinājumu, kas ietekmē valdības neto aizdevumu/aizņēmumu (B.9), kad tie tiek izmantoti maksājamo nodokļu summas samazināšanai.</w:t>
      </w:r>
    </w:p>
    <w:p w14:paraId="04E359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0E6EFB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Savukārt saskaņā ar maksājamo nodokļu kredītu sistēmu labuma guvējam tiks izmaksātas summas, kas pārsniedz nodokļu saistības, un maksājumus var piešķirt gan nodokļu maksātājiem, gan nodokļu nemaksātājiem. Tas nozīmē, ka maksājamie nodokļu kredīti nav tikai taksācijas mehānisma sastāvdaļa, pat ja tie tiek aprēķināti nodokļu deklarāciju vai citu dokumentu kontekstā. Maksājamie nodokļu kredīti ir beznosacījuma pieprasījumi valdībai, un valdībai tie ir saistības, tāpēc nacionālajos kontos (AF.8) ir jāieraksta to pilna summa.</w:t>
      </w:r>
    </w:p>
    <w:p w14:paraId="56861CA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206648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To ekvivalents ir valdības izdevumi pilnā apmērā brīdī, kad nodokļu iestāde ir atzinusi saistības, neatkarīgi no brīža, kad nodokļu kredīts tiks izmantots maksājamo nodokļu summas samazināšanai, vai no brīža, kad summas varētu tikt izmaksātas labuma guvējam. Lai arī praksē maksājamos nodokļu kredītus var izmantot vairākus gadus (tostarp tajā gadā, kad valdība tos ir atzinusi), pilna summa ietekmēs valdības neto aizdevumu/aizņēmumu (B.9) vienā atsevišķā gadā. Nodokļu kredīta izlietojums ir finanšu darījums, kas samazina valdības citas kreditoru saistības (AF.8), neietekmējot valdības neto aizdevumu/aizņēmumu (B.9). Ja izmanto nodokļu kredītu, datu avoti vajadzības gadījumā ir jākoriģē, lai izvairītos no tā, ka tas tiek ierakstīts vai nu kā valdības izdevumu samazinājums, vai kā valdības izdevumu daļa.</w:t>
      </w:r>
    </w:p>
    <w:p w14:paraId="7A4C30F0" w14:textId="77777777" w:rsidR="00994F93" w:rsidRPr="00B03B51" w:rsidRDefault="00994F93" w:rsidP="00994F93">
      <w:pPr>
        <w:jc w:val="both"/>
        <w:rPr>
          <w:rFonts w:ascii="Times New Roman" w:hAnsi="Times New Roman" w:cs="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544E3238" w14:textId="77777777" w:rsidTr="001C4B02">
        <w:tc>
          <w:tcPr>
            <w:tcW w:w="9281" w:type="dxa"/>
          </w:tcPr>
          <w:p w14:paraId="57FE5E8C"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108" w:name="_Toc67565057"/>
            <w:r w:rsidRPr="00B03B51">
              <w:rPr>
                <w:rFonts w:ascii="Times New Roman" w:hAnsi="Times New Roman" w:cs="Times New Roman"/>
                <w:sz w:val="24"/>
              </w:rPr>
              <w:t>1. ierāmējums. Atliktā nodokļa aktīvu (</w:t>
            </w:r>
            <w:r w:rsidRPr="00B03B51">
              <w:rPr>
                <w:rFonts w:ascii="Times New Roman" w:hAnsi="Times New Roman" w:cs="Times New Roman"/>
                <w:i/>
                <w:iCs/>
                <w:sz w:val="24"/>
              </w:rPr>
              <w:t>DTA</w:t>
            </w:r>
            <w:r w:rsidRPr="00B03B51">
              <w:rPr>
                <w:rFonts w:ascii="Times New Roman" w:hAnsi="Times New Roman" w:cs="Times New Roman"/>
                <w:sz w:val="24"/>
              </w:rPr>
              <w:t xml:space="preserve">) traktējums nacionālajos kontos un ar </w:t>
            </w:r>
            <w:r w:rsidRPr="00B03B51">
              <w:rPr>
                <w:rFonts w:ascii="Times New Roman" w:hAnsi="Times New Roman" w:cs="Times New Roman"/>
                <w:i/>
                <w:iCs/>
                <w:sz w:val="24"/>
              </w:rPr>
              <w:t>DTA</w:t>
            </w:r>
            <w:r w:rsidRPr="00B03B51">
              <w:rPr>
                <w:rFonts w:ascii="Times New Roman" w:hAnsi="Times New Roman" w:cs="Times New Roman"/>
                <w:sz w:val="24"/>
              </w:rPr>
              <w:t xml:space="preserve"> saistītu nodokļu kredītu ierakstīšana</w:t>
            </w:r>
            <w:bookmarkEnd w:id="108"/>
          </w:p>
          <w:p w14:paraId="547E0856"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2129F2A"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Līdz ar Bāzeles III regulējuma ieviešanu dažas valstis ir veikušas konkrētas izmaiņas tiesību aktos, kas ļauj atliktā nodokļa aktīvus (</w:t>
            </w:r>
            <w:r w:rsidRPr="00B03B51">
              <w:rPr>
                <w:rFonts w:ascii="Times New Roman" w:hAnsi="Times New Roman" w:cs="Times New Roman"/>
                <w:i/>
                <w:iCs/>
                <w:sz w:val="24"/>
              </w:rPr>
              <w:t>DTA</w:t>
            </w:r>
            <w:r w:rsidRPr="00B03B51">
              <w:rPr>
                <w:rFonts w:ascii="Times New Roman" w:hAnsi="Times New Roman" w:cs="Times New Roman"/>
                <w:sz w:val="24"/>
              </w:rPr>
              <w:t xml:space="preserve">) konvertēt maksājamos nodokļu kredītos, kas ir tiešs prasījums valdībai. Vienlaikus EKS 2010 ir ieviesti skaidri noteikumi attiecībā uz nodokļu kredītu ierakstīšanu. Tā kā nacionālajos kontos nav norāžu par </w:t>
            </w:r>
            <w:r w:rsidRPr="00B03B51">
              <w:rPr>
                <w:rFonts w:ascii="Times New Roman" w:hAnsi="Times New Roman" w:cs="Times New Roman"/>
                <w:i/>
                <w:iCs/>
                <w:sz w:val="24"/>
              </w:rPr>
              <w:t>DTA</w:t>
            </w:r>
            <w:r w:rsidRPr="00B03B51">
              <w:rPr>
                <w:rFonts w:ascii="Times New Roman" w:hAnsi="Times New Roman" w:cs="Times New Roman"/>
                <w:sz w:val="24"/>
              </w:rPr>
              <w:t xml:space="preserve"> (</w:t>
            </w:r>
            <w:r w:rsidRPr="00B03B51">
              <w:rPr>
                <w:rFonts w:ascii="Times New Roman" w:hAnsi="Times New Roman" w:cs="Times New Roman"/>
                <w:i/>
                <w:iCs/>
                <w:sz w:val="24"/>
              </w:rPr>
              <w:t>DTA</w:t>
            </w:r>
            <w:r w:rsidRPr="00B03B51">
              <w:rPr>
                <w:rFonts w:ascii="Times New Roman" w:hAnsi="Times New Roman" w:cs="Times New Roman"/>
                <w:sz w:val="24"/>
              </w:rPr>
              <w:t xml:space="preserve"> netiek traktēti EKS 2010), </w:t>
            </w:r>
            <w:r w:rsidRPr="00B03B51">
              <w:rPr>
                <w:rFonts w:ascii="Times New Roman" w:hAnsi="Times New Roman" w:cs="Times New Roman"/>
                <w:i/>
                <w:iCs/>
                <w:sz w:val="24"/>
              </w:rPr>
              <w:t>Eurostat</w:t>
            </w:r>
            <w:r w:rsidRPr="00B03B51">
              <w:rPr>
                <w:rFonts w:ascii="Times New Roman" w:hAnsi="Times New Roman" w:cs="Times New Roman"/>
                <w:sz w:val="24"/>
              </w:rPr>
              <w:t xml:space="preserve"> ir izstrādājis vadlīnijas, kurās sniegti konkrēti norādījumi par </w:t>
            </w:r>
            <w:r w:rsidRPr="00B03B51">
              <w:rPr>
                <w:rFonts w:ascii="Times New Roman" w:hAnsi="Times New Roman" w:cs="Times New Roman"/>
                <w:i/>
                <w:iCs/>
                <w:sz w:val="24"/>
              </w:rPr>
              <w:t>DTA</w:t>
            </w:r>
            <w:r w:rsidRPr="00B03B51">
              <w:rPr>
                <w:rFonts w:ascii="Times New Roman" w:hAnsi="Times New Roman" w:cs="Times New Roman"/>
                <w:sz w:val="24"/>
              </w:rPr>
              <w:t xml:space="preserve"> traktēšanu nacionālajos kontos un ar </w:t>
            </w:r>
            <w:r w:rsidRPr="00B03B51">
              <w:rPr>
                <w:rFonts w:ascii="Times New Roman" w:hAnsi="Times New Roman" w:cs="Times New Roman"/>
                <w:i/>
                <w:iCs/>
                <w:sz w:val="24"/>
              </w:rPr>
              <w:t>DTA</w:t>
            </w:r>
            <w:r w:rsidRPr="00B03B51">
              <w:rPr>
                <w:rFonts w:ascii="Times New Roman" w:hAnsi="Times New Roman" w:cs="Times New Roman"/>
                <w:sz w:val="24"/>
              </w:rPr>
              <w:t xml:space="preserve"> saistīto nodokļu kredītu ierakstīšanu. Šajā ierāmējumā ir apkopota būtiskākā informācija no </w:t>
            </w:r>
            <w:r w:rsidRPr="00B03B51">
              <w:rPr>
                <w:rFonts w:ascii="Times New Roman" w:hAnsi="Times New Roman" w:cs="Times New Roman"/>
                <w:i/>
                <w:iCs/>
                <w:sz w:val="24"/>
              </w:rPr>
              <w:t>Eurostat</w:t>
            </w:r>
            <w:r w:rsidRPr="00B03B51">
              <w:rPr>
                <w:rFonts w:ascii="Times New Roman" w:hAnsi="Times New Roman" w:cs="Times New Roman"/>
                <w:sz w:val="24"/>
              </w:rPr>
              <w:t xml:space="preserve"> vadlīnijām šajā jautājumā.</w:t>
            </w:r>
          </w:p>
          <w:p w14:paraId="1F70D285"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648FE01"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Atliktā nodokļa aktīvi tiek definēti kā ienākumu nodokļa summas, ko sabiedrības var atgūt turpmākajos periodos ar nosacījumu, ka nākotnē būs pietiekama ar nodokli apliekamā peļņa. </w:t>
            </w:r>
            <w:r w:rsidRPr="00B03B51">
              <w:rPr>
                <w:rFonts w:ascii="Times New Roman" w:hAnsi="Times New Roman" w:cs="Times New Roman"/>
                <w:i/>
                <w:iCs/>
                <w:sz w:val="24"/>
              </w:rPr>
              <w:t>DTA</w:t>
            </w:r>
            <w:r w:rsidRPr="00B03B51">
              <w:rPr>
                <w:rFonts w:ascii="Times New Roman" w:hAnsi="Times New Roman" w:cs="Times New Roman"/>
                <w:sz w:val="24"/>
              </w:rPr>
              <w:t xml:space="preserve"> attiecas uz pagātnes darījumiem, kurus saskaņā ar 12. SGS var sagrupēt šādās 3 kategorijās:</w:t>
            </w:r>
          </w:p>
          <w:p w14:paraId="794533FE"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EE889FC" w14:textId="77777777" w:rsidR="00994F93" w:rsidRPr="00B03B51" w:rsidRDefault="00994F93" w:rsidP="0067635D">
            <w:pPr>
              <w:pStyle w:val="BodyText"/>
              <w:numPr>
                <w:ilvl w:val="0"/>
                <w:numId w:val="73"/>
              </w:numPr>
              <w:spacing w:before="0"/>
              <w:ind w:left="679" w:hanging="425"/>
              <w:jc w:val="both"/>
              <w:rPr>
                <w:rFonts w:ascii="Times New Roman" w:hAnsi="Times New Roman" w:cs="Times New Roman"/>
                <w:noProof/>
                <w:sz w:val="24"/>
              </w:rPr>
            </w:pPr>
            <w:r w:rsidRPr="00B03B51">
              <w:rPr>
                <w:rFonts w:ascii="Times New Roman" w:hAnsi="Times New Roman" w:cs="Times New Roman"/>
                <w:sz w:val="24"/>
              </w:rPr>
              <w:t>atskaitāmās pagaidu starpības;</w:t>
            </w:r>
          </w:p>
          <w:p w14:paraId="6A028C58" w14:textId="77777777" w:rsidR="00994F93" w:rsidRPr="00B03B51" w:rsidRDefault="00994F93" w:rsidP="0067635D">
            <w:pPr>
              <w:pStyle w:val="BodyText"/>
              <w:numPr>
                <w:ilvl w:val="0"/>
                <w:numId w:val="73"/>
              </w:numPr>
              <w:spacing w:before="0"/>
              <w:ind w:left="679" w:hanging="425"/>
              <w:jc w:val="both"/>
              <w:rPr>
                <w:rFonts w:ascii="Times New Roman" w:hAnsi="Times New Roman" w:cs="Times New Roman"/>
                <w:noProof/>
                <w:sz w:val="24"/>
              </w:rPr>
            </w:pPr>
            <w:r w:rsidRPr="00B03B51">
              <w:rPr>
                <w:rFonts w:ascii="Times New Roman" w:hAnsi="Times New Roman" w:cs="Times New Roman"/>
                <w:sz w:val="24"/>
              </w:rPr>
              <w:t>iepriekšējo periodu zaudējumu pārnešana;</w:t>
            </w:r>
          </w:p>
          <w:p w14:paraId="7ECEF949" w14:textId="77777777" w:rsidR="00994F93" w:rsidRPr="00B03B51" w:rsidRDefault="00994F93" w:rsidP="0067635D">
            <w:pPr>
              <w:pStyle w:val="BodyText"/>
              <w:numPr>
                <w:ilvl w:val="0"/>
                <w:numId w:val="73"/>
              </w:numPr>
              <w:spacing w:before="0"/>
              <w:ind w:left="679" w:hanging="425"/>
              <w:jc w:val="both"/>
              <w:rPr>
                <w:rFonts w:ascii="Times New Roman" w:hAnsi="Times New Roman" w:cs="Times New Roman"/>
                <w:noProof/>
                <w:sz w:val="24"/>
              </w:rPr>
            </w:pPr>
            <w:r w:rsidRPr="00B03B51">
              <w:rPr>
                <w:rFonts w:ascii="Times New Roman" w:hAnsi="Times New Roman" w:cs="Times New Roman"/>
                <w:sz w:val="24"/>
              </w:rPr>
              <w:t>neizmantoto nodokļu kredītu pārnešana.</w:t>
            </w:r>
          </w:p>
          <w:p w14:paraId="653E663F"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25E55B20"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DTA</w:t>
            </w:r>
            <w:r w:rsidRPr="00B03B51">
              <w:rPr>
                <w:rFonts w:ascii="Times New Roman" w:hAnsi="Times New Roman" w:cs="Times New Roman"/>
                <w:sz w:val="24"/>
              </w:rPr>
              <w:t xml:space="preserve"> ir sabiedrību iespējamie prasījumi pret valdību, jo tie, iespējams, var mazināt nodokļus, kas sabiedrībai būs jāmaksā no savas paredzamās peļņas.</w:t>
            </w:r>
          </w:p>
          <w:p w14:paraId="6AE5A51A"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6FBC56B"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Katrā valstī atšķiras </w:t>
            </w:r>
            <w:r w:rsidRPr="00B03B51">
              <w:rPr>
                <w:rFonts w:ascii="Times New Roman" w:hAnsi="Times New Roman" w:cs="Times New Roman"/>
                <w:i/>
                <w:iCs/>
                <w:sz w:val="24"/>
              </w:rPr>
              <w:t>DTA</w:t>
            </w:r>
            <w:r w:rsidRPr="00B03B51">
              <w:rPr>
                <w:rFonts w:ascii="Times New Roman" w:hAnsi="Times New Roman" w:cs="Times New Roman"/>
                <w:sz w:val="24"/>
              </w:rPr>
              <w:t xml:space="preserve"> izcelsme un lietošana, un parasti tie ir noteikti valsts tiesību aktos par ienākuma nodokļiem.</w:t>
            </w:r>
          </w:p>
          <w:p w14:paraId="03D14DCD"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FA2603B"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DTA</w:t>
            </w:r>
            <w:r w:rsidRPr="00B03B51">
              <w:rPr>
                <w:rFonts w:ascii="Times New Roman" w:hAnsi="Times New Roman" w:cs="Times New Roman"/>
                <w:sz w:val="24"/>
              </w:rPr>
              <w:t xml:space="preserve"> atzīšana un lietošana ir atkarīga no vairākiem faktoriem, piemēram, vai ir gaidāms, ka paredzamā peļņa būs pietiekama vai ka tiks atceltas atskaitāmās pagaidu starpības (piemēram, noteikumu apvērse).</w:t>
            </w:r>
          </w:p>
          <w:p w14:paraId="63527818"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DD6278D"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Ja </w:t>
            </w:r>
            <w:r w:rsidRPr="00B03B51">
              <w:rPr>
                <w:rFonts w:ascii="Times New Roman" w:hAnsi="Times New Roman" w:cs="Times New Roman"/>
                <w:i/>
                <w:iCs/>
                <w:sz w:val="24"/>
              </w:rPr>
              <w:t>DTA</w:t>
            </w:r>
            <w:r w:rsidRPr="00B03B51">
              <w:rPr>
                <w:rFonts w:ascii="Times New Roman" w:hAnsi="Times New Roman" w:cs="Times New Roman"/>
                <w:sz w:val="24"/>
              </w:rPr>
              <w:t xml:space="preserve"> ir parādīti uzņēmējdarbības grāmatvedībā sabiedrības bilancē, sabiedrībai ir tiesības maksāt mazāku nodokli nākotnē, taču </w:t>
            </w:r>
            <w:r w:rsidRPr="00B03B51">
              <w:rPr>
                <w:rFonts w:ascii="Times New Roman" w:hAnsi="Times New Roman" w:cs="Times New Roman"/>
                <w:i/>
                <w:iCs/>
                <w:sz w:val="24"/>
              </w:rPr>
              <w:t>DTA</w:t>
            </w:r>
            <w:r w:rsidRPr="00B03B51">
              <w:rPr>
                <w:rFonts w:ascii="Times New Roman" w:hAnsi="Times New Roman" w:cs="Times New Roman"/>
                <w:sz w:val="24"/>
              </w:rPr>
              <w:t xml:space="preserve"> nav nodokļu kredīts, kamēr pastāv šādas tiesības, un ir piemērojams noteiktai summai. Praktiski uzskatāms, ka </w:t>
            </w:r>
            <w:r w:rsidRPr="00B03B51">
              <w:rPr>
                <w:rFonts w:ascii="Times New Roman" w:hAnsi="Times New Roman" w:cs="Times New Roman"/>
                <w:i/>
                <w:iCs/>
                <w:sz w:val="24"/>
              </w:rPr>
              <w:t>DTA</w:t>
            </w:r>
            <w:r w:rsidRPr="00B03B51">
              <w:rPr>
                <w:rFonts w:ascii="Times New Roman" w:hAnsi="Times New Roman" w:cs="Times New Roman"/>
                <w:sz w:val="24"/>
              </w:rPr>
              <w:t xml:space="preserve"> kļūst par prasījumu ar nodokļu kredīta pazīmēm brīdī, kad ar ticamību var noteikt summas lielumu un kad to var izmantot maksājamo nodokļu samazināšanai, jo stātos spēkā faktiskas, nevis tikai teorētiskas tiesības maksāt mazāku nodokli.</w:t>
            </w:r>
          </w:p>
          <w:p w14:paraId="4BB84F92"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78D17DE9"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Nacionālajos kontos </w:t>
            </w:r>
            <w:r w:rsidRPr="00B03B51">
              <w:rPr>
                <w:rFonts w:ascii="Times New Roman" w:hAnsi="Times New Roman" w:cs="Times New Roman"/>
                <w:i/>
                <w:iCs/>
                <w:sz w:val="24"/>
              </w:rPr>
              <w:t>DTA</w:t>
            </w:r>
            <w:r w:rsidRPr="00B03B51">
              <w:rPr>
                <w:rFonts w:ascii="Times New Roman" w:hAnsi="Times New Roman" w:cs="Times New Roman"/>
                <w:sz w:val="24"/>
              </w:rPr>
              <w:t xml:space="preserve"> ir iespējamie aktīvi sabiedrībām (un tādējādi iespējamās saistības valdībai), un tāpēc finanšu kontos neieraksta valdības saistības. </w:t>
            </w:r>
            <w:r w:rsidRPr="00B03B51">
              <w:rPr>
                <w:rFonts w:ascii="Times New Roman" w:hAnsi="Times New Roman" w:cs="Times New Roman"/>
                <w:i/>
                <w:iCs/>
                <w:sz w:val="24"/>
              </w:rPr>
              <w:t>DTA</w:t>
            </w:r>
            <w:r w:rsidRPr="00B03B51">
              <w:rPr>
                <w:rFonts w:ascii="Times New Roman" w:hAnsi="Times New Roman" w:cs="Times New Roman"/>
                <w:sz w:val="24"/>
              </w:rPr>
              <w:t xml:space="preserve"> varētu ierakstīt nacionālajos kontos tikai gadījumos, kad tie izraisa prasījumus ar nodokļu kredīta pazīmēm, un tādā gadījumā piemēro EKS 2010 noteikumus par nodokļu kredītu ierakstīšanu (skat. iepriekš 24.–33. rindkopu).</w:t>
            </w:r>
          </w:p>
          <w:p w14:paraId="17D846BD"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5F1E7422"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DTA</w:t>
            </w:r>
            <w:r w:rsidRPr="00B03B51">
              <w:rPr>
                <w:rFonts w:ascii="Times New Roman" w:hAnsi="Times New Roman" w:cs="Times New Roman"/>
                <w:sz w:val="24"/>
              </w:rPr>
              <w:t xml:space="preserve"> varētu izraisīt prasījumus ar nodokļu kredīta pazīmēm šādos gadījumos:</w:t>
            </w:r>
          </w:p>
          <w:p w14:paraId="2E5A3463"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5598935A" w14:textId="77777777" w:rsidR="00994F93" w:rsidRPr="00B03B51" w:rsidRDefault="00994F93" w:rsidP="001C4B02">
            <w:pPr>
              <w:pStyle w:val="BodyText"/>
              <w:tabs>
                <w:tab w:val="left" w:pos="919"/>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parastais nodokļu ieskaits, jo sabiedrība ir rentabla un atskaitāmās pagaidu starpības tiek atgrieztas, utt.;</w:t>
            </w:r>
          </w:p>
          <w:p w14:paraId="5959D848" w14:textId="77777777" w:rsidR="00994F93" w:rsidRPr="00B03B51" w:rsidRDefault="00994F93" w:rsidP="001C4B02">
            <w:pPr>
              <w:pStyle w:val="BodyText"/>
              <w:tabs>
                <w:tab w:val="left" w:pos="919"/>
              </w:tabs>
              <w:spacing w:before="0"/>
              <w:ind w:left="284" w:firstLine="0"/>
              <w:jc w:val="both"/>
              <w:rPr>
                <w:rFonts w:ascii="Times New Roman" w:hAnsi="Times New Roman" w:cs="Times New Roman"/>
                <w:noProof/>
                <w:sz w:val="24"/>
              </w:rPr>
            </w:pPr>
          </w:p>
          <w:p w14:paraId="66CB3445" w14:textId="77777777" w:rsidR="00994F93" w:rsidRPr="00B03B51" w:rsidRDefault="00994F93" w:rsidP="001C4B02">
            <w:pPr>
              <w:pStyle w:val="BodyText"/>
              <w:tabs>
                <w:tab w:val="left" w:pos="919"/>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nodokļu kredīti, kas tika pārnesti uz nākamajiem periodiem;</w:t>
            </w:r>
          </w:p>
          <w:p w14:paraId="1CA12D69" w14:textId="77777777" w:rsidR="00994F93" w:rsidRPr="00B03B51" w:rsidRDefault="00994F93" w:rsidP="001C4B02">
            <w:pPr>
              <w:pStyle w:val="BodyText"/>
              <w:tabs>
                <w:tab w:val="left" w:pos="919"/>
              </w:tabs>
              <w:spacing w:before="0"/>
              <w:ind w:left="284" w:firstLine="0"/>
              <w:jc w:val="both"/>
              <w:rPr>
                <w:rFonts w:ascii="Times New Roman" w:hAnsi="Times New Roman" w:cs="Times New Roman"/>
                <w:noProof/>
                <w:sz w:val="24"/>
              </w:rPr>
            </w:pPr>
          </w:p>
          <w:p w14:paraId="6E57CFA9" w14:textId="77777777" w:rsidR="00994F93" w:rsidRPr="00B03B51" w:rsidRDefault="00994F93" w:rsidP="001C4B02">
            <w:pPr>
              <w:pStyle w:val="BodyText"/>
              <w:tabs>
                <w:tab w:val="left" w:pos="919"/>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c) izmaiņas tiesību aktos, kas noteiktus </w:t>
            </w:r>
            <w:r w:rsidRPr="00B03B51">
              <w:rPr>
                <w:rFonts w:ascii="Times New Roman" w:hAnsi="Times New Roman" w:cs="Times New Roman"/>
                <w:i/>
                <w:iCs/>
                <w:sz w:val="24"/>
              </w:rPr>
              <w:t>DTA</w:t>
            </w:r>
            <w:r w:rsidRPr="00B03B51">
              <w:rPr>
                <w:rFonts w:ascii="Times New Roman" w:hAnsi="Times New Roman" w:cs="Times New Roman"/>
                <w:sz w:val="24"/>
              </w:rPr>
              <w:t>, kurus ir maza varbūtība atgūt, ļauj pārveidot par pilnībā atgūstamiem nodokļu kredītiem īpašos apstākļos (piemēram, ja sabiedrība pārskatā norāda zaudējumus, likvidācijas gadījumā utt.).</w:t>
            </w:r>
          </w:p>
          <w:p w14:paraId="39C68147"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F5A5670"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 gadījumā prasījums, kas izriet no parasta nodokļu ieskaita, būtu jāuzskata par nemaksājamu nodokļu kredītu, proti, bez iespējas sabiedrībai samaksāt summu, kas pārsniedz nodokļu saistības. Tāpēc saskaņā ar EKS 2010 šie nodokļu kredīti būtu jāatskaita no nodokļu ieņēmumiem.</w:t>
            </w:r>
          </w:p>
          <w:p w14:paraId="17B2D1C5"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2262631" w14:textId="77777777" w:rsidR="00994F93" w:rsidRPr="00B03B51" w:rsidRDefault="00994F93" w:rsidP="001C4B02">
            <w:pPr>
              <w:pStyle w:val="BodyText"/>
              <w:spacing w:before="0"/>
              <w:ind w:left="0" w:firstLine="0"/>
              <w:jc w:val="both"/>
              <w:rPr>
                <w:rFonts w:ascii="Times New Roman" w:hAnsi="Times New Roman" w:cs="Times New Roman"/>
                <w:noProof/>
                <w:sz w:val="24"/>
                <w:szCs w:val="24"/>
              </w:rPr>
            </w:pPr>
            <w:r w:rsidRPr="00B03B51">
              <w:rPr>
                <w:rFonts w:ascii="Times New Roman" w:hAnsi="Times New Roman" w:cs="Times New Roman"/>
                <w:sz w:val="24"/>
              </w:rPr>
              <w:t>b) gadījumā ievēro EKS 2010 noteikto maksājamo un nemaksājamo nodokļu kredītu ierakstīšanas kārtību. Ja uz nākamajiem periodiem pārnestais nodokļu kredīts ir maksājamais nodokļu kredīts, tas būtu ierakstāms tikai vienreiz, t. i., brīdī, kad to atzinušas nodokļu iestādes, un pēc tam nekādas summas nebūtu jāieraksta, ja summas, kas katrā periodā nav izmantotas, lai maksātu mazāku nodokli, tiek pārnestas uz nākamajiem periodiem, pat ja uzņēmējdarbības grāmatvedības bilancē ir ierakstīti atliktā nodokļa aktīvi. Savukārt, ja uz nākamajiem periodiem tiek pārnests nemaksājamais nodokļu kredīts, summa, kas faktiski izmantota, lai katrā pārskata periodā maksātu mazāku nodokli, būtu jāieraksta kā nodokļu ieņēmumu samazinājums, bet atlikušās summas pārnestas uz nākamajiem periodiem un ierakstītas kā nodokļu ieņēmumu samazinājums turpmākajos pārskata periodos.</w:t>
            </w:r>
          </w:p>
          <w:p w14:paraId="4C940569" w14:textId="77777777" w:rsidR="00994F93" w:rsidRPr="00B03B51" w:rsidRDefault="00994F93" w:rsidP="001C4B02">
            <w:pPr>
              <w:jc w:val="both"/>
              <w:rPr>
                <w:rFonts w:ascii="Times New Roman" w:hAnsi="Times New Roman" w:cs="Times New Roman"/>
                <w:noProof/>
                <w:sz w:val="24"/>
                <w:szCs w:val="24"/>
              </w:rPr>
            </w:pPr>
          </w:p>
          <w:p w14:paraId="65A05E4A"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 xml:space="preserve">c) gadījumā nodokļu kredīts, kas radies, pēc definīcijas ir maksājamais nodokļu kredīts, un ir piemērojami EKS 2010 noteikumi par maksājamajiem nodokļu kredītiem. Tas nozīmē, ka </w:t>
            </w:r>
            <w:r w:rsidRPr="00B03B51">
              <w:rPr>
                <w:rFonts w:ascii="Times New Roman" w:hAnsi="Times New Roman" w:cs="Times New Roman"/>
                <w:sz w:val="24"/>
                <w:szCs w:val="24"/>
              </w:rPr>
              <w:lastRenderedPageBreak/>
              <w:t xml:space="preserve">valdības izdevumus ieraksta katru reizi, kad </w:t>
            </w:r>
            <w:r w:rsidRPr="00B03B51">
              <w:rPr>
                <w:rFonts w:ascii="Times New Roman" w:hAnsi="Times New Roman" w:cs="Times New Roman"/>
                <w:i/>
                <w:iCs/>
                <w:sz w:val="24"/>
                <w:szCs w:val="24"/>
              </w:rPr>
              <w:t>DTA</w:t>
            </w:r>
            <w:r w:rsidRPr="00B03B51">
              <w:rPr>
                <w:rFonts w:ascii="Times New Roman" w:hAnsi="Times New Roman" w:cs="Times New Roman"/>
                <w:sz w:val="24"/>
                <w:szCs w:val="24"/>
              </w:rPr>
              <w:t xml:space="preserve"> summa tiek konvertēta par nodokļu kredītu, brīdī, kad nodokļu iestādes atzīst saistības, un pilnā konvertētās summas apmērā. Šādu gadījumu ierakstīšanu paskaidro katrā atsevišķā gadījumā un abpusēji apspriež ar </w:t>
            </w:r>
            <w:r w:rsidRPr="00B03B51">
              <w:rPr>
                <w:rFonts w:ascii="Times New Roman" w:hAnsi="Times New Roman" w:cs="Times New Roman"/>
                <w:i/>
                <w:iCs/>
                <w:sz w:val="24"/>
                <w:szCs w:val="24"/>
              </w:rPr>
              <w:t>Eurostat</w:t>
            </w:r>
            <w:r w:rsidRPr="00B03B51">
              <w:rPr>
                <w:rFonts w:ascii="Times New Roman" w:hAnsi="Times New Roman" w:cs="Times New Roman"/>
                <w:sz w:val="24"/>
                <w:szCs w:val="24"/>
              </w:rPr>
              <w:t xml:space="preserve">, pamatojoties uz </w:t>
            </w:r>
            <w:r w:rsidRPr="00B03B51">
              <w:rPr>
                <w:rFonts w:ascii="Times New Roman" w:hAnsi="Times New Roman" w:cs="Times New Roman"/>
                <w:i/>
                <w:iCs/>
                <w:sz w:val="24"/>
                <w:szCs w:val="24"/>
              </w:rPr>
              <w:t>Eurostat</w:t>
            </w:r>
            <w:r w:rsidRPr="00B03B51">
              <w:rPr>
                <w:rFonts w:ascii="Times New Roman" w:hAnsi="Times New Roman" w:cs="Times New Roman"/>
                <w:sz w:val="24"/>
                <w:szCs w:val="24"/>
              </w:rPr>
              <w:t xml:space="preserve"> īpašajām vadlīnijām šajā jautājumā. Jāuzsver, ka gadījumā, ja tiesību akti ietekmē </w:t>
            </w:r>
            <w:r w:rsidRPr="00B03B51">
              <w:rPr>
                <w:rFonts w:ascii="Times New Roman" w:hAnsi="Times New Roman" w:cs="Times New Roman"/>
                <w:i/>
                <w:iCs/>
                <w:sz w:val="24"/>
                <w:szCs w:val="24"/>
              </w:rPr>
              <w:t>DTA</w:t>
            </w:r>
            <w:r w:rsidRPr="00B03B51">
              <w:rPr>
                <w:rFonts w:ascii="Times New Roman" w:hAnsi="Times New Roman" w:cs="Times New Roman"/>
                <w:sz w:val="24"/>
                <w:szCs w:val="24"/>
              </w:rPr>
              <w:t xml:space="preserve">, kam ir pazīmes, kas atšķiras no </w:t>
            </w:r>
            <w:r w:rsidRPr="00B03B51">
              <w:rPr>
                <w:rFonts w:ascii="Times New Roman" w:hAnsi="Times New Roman" w:cs="Times New Roman"/>
                <w:i/>
                <w:iCs/>
                <w:sz w:val="24"/>
                <w:szCs w:val="24"/>
              </w:rPr>
              <w:t>Eurostat</w:t>
            </w:r>
            <w:r w:rsidRPr="00B03B51">
              <w:rPr>
                <w:rFonts w:ascii="Times New Roman" w:hAnsi="Times New Roman" w:cs="Times New Roman"/>
                <w:sz w:val="24"/>
                <w:szCs w:val="24"/>
              </w:rPr>
              <w:t xml:space="preserve"> īpašajās vadlīnijās skatītajām un aprakstītajām, var būt piemērojami arī citi nacionālo kontu noteikumi (piemēram, tie, kas attiecas uz kapitāla iepludināšanu).</w:t>
            </w:r>
          </w:p>
        </w:tc>
      </w:tr>
    </w:tbl>
    <w:p w14:paraId="55E3C700" w14:textId="77777777" w:rsidR="00994F93" w:rsidRPr="00B03B51" w:rsidRDefault="00994F93" w:rsidP="00994F93">
      <w:pPr>
        <w:rPr>
          <w:rFonts w:ascii="Times New Roman" w:eastAsia="Arial" w:hAnsi="Times New Roman" w:cs="Times New Roman"/>
          <w:noProof/>
          <w:sz w:val="24"/>
          <w:szCs w:val="29"/>
        </w:rPr>
      </w:pPr>
      <w:r w:rsidRPr="00B03B51">
        <w:rPr>
          <w:rFonts w:ascii="Times New Roman" w:hAnsi="Times New Roman" w:cs="Times New Roman"/>
        </w:rPr>
        <w:lastRenderedPageBreak/>
        <w:br w:type="page"/>
      </w:r>
    </w:p>
    <w:p w14:paraId="1E562FA2" w14:textId="77777777" w:rsidR="00994F93" w:rsidRPr="00B03B51" w:rsidRDefault="00994F93" w:rsidP="00994F93">
      <w:pPr>
        <w:jc w:val="both"/>
        <w:rPr>
          <w:rFonts w:ascii="Times New Roman" w:eastAsia="Times New Roman" w:hAnsi="Times New Roman" w:cs="Times New Roman"/>
          <w:noProof/>
          <w:sz w:val="24"/>
          <w:szCs w:val="19"/>
        </w:rPr>
      </w:pPr>
    </w:p>
    <w:p w14:paraId="6B6E0B27"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109" w:name="2.3_Changes_in_the_due_for_payment_dates"/>
      <w:bookmarkStart w:id="110" w:name="_bookmark14"/>
      <w:bookmarkStart w:id="111" w:name="_Toc67565058"/>
      <w:bookmarkEnd w:id="109"/>
      <w:bookmarkEnd w:id="110"/>
      <w:r w:rsidRPr="00B03B51">
        <w:rPr>
          <w:rFonts w:ascii="Times New Roman" w:hAnsi="Times New Roman" w:cs="Times New Roman"/>
          <w:sz w:val="28"/>
          <w:szCs w:val="44"/>
        </w:rPr>
        <w:t>2.3. Maksājuma termiņa maiņa</w:t>
      </w:r>
      <w:bookmarkEnd w:id="111"/>
    </w:p>
    <w:p w14:paraId="77AEC4EF" w14:textId="77777777" w:rsidR="00994F93" w:rsidRPr="00E843F0" w:rsidRDefault="00994F93" w:rsidP="00E843F0">
      <w:pPr>
        <w:rPr>
          <w:rFonts w:ascii="Times New Roman" w:hAnsi="Times New Roman" w:cs="Times New Roman"/>
          <w:noProof/>
          <w:sz w:val="24"/>
          <w:szCs w:val="24"/>
        </w:rPr>
      </w:pPr>
      <w:bookmarkStart w:id="112" w:name="2.3.1_Background"/>
      <w:bookmarkEnd w:id="112"/>
    </w:p>
    <w:p w14:paraId="06C60914"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13" w:name="_Toc67565059"/>
      <w:r w:rsidRPr="00B03B51">
        <w:rPr>
          <w:rFonts w:ascii="Times New Roman" w:hAnsi="Times New Roman" w:cs="Times New Roman"/>
          <w:sz w:val="24"/>
        </w:rPr>
        <w:t>2.3.1. Vispārīga informācija</w:t>
      </w:r>
      <w:bookmarkEnd w:id="113"/>
    </w:p>
    <w:p w14:paraId="7656E84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1AE0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Dažkārt valdības maina nodokļu, subsīdiju, darbinieku atalgojuma, sociālo iemaksu un pabalstu maksājuma datumu, kas parasti ir pēdējais brīdis, kad vienības, kuras uzņēmušas saistības, var veikt maksājumus bez papildu maksas vai soda.</w:t>
      </w:r>
    </w:p>
    <w:p w14:paraId="451D21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99DF89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Ierakstīšanas laiks dažādiem darījumiem ir noteikts EKS 2010. Atbilstīgi vispārējam principam sistēmā plūsmas ieraksta pēc uzkrāšanas principa, tas ir, kad ekonomiskās vērtības tiek radītas, pārveidotas vai iznīcinātas vai kad saistības un prasības rodas, tiek pārveidotas vai dzēstas (EKS 2010 1.101. punkts).</w:t>
      </w:r>
    </w:p>
    <w:p w14:paraId="0C5794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6EF6B12"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szCs w:val="12"/>
        </w:rPr>
      </w:pPr>
      <w:r w:rsidRPr="00B03B51">
        <w:rPr>
          <w:rFonts w:ascii="Times New Roman" w:hAnsi="Times New Roman" w:cs="Times New Roman"/>
          <w:sz w:val="24"/>
        </w:rPr>
        <w:t>Algas un arī darba devēju un darbinieku faktiskās sociālās iemaksas ieraksta periodā, kad tiek veikts darbs. Tomēr īpašas prēmijas un citus ārkārtas maksājumus, 13. mēnešalgu utt. ieraksta tad, kad tie ir jāmaksā (EKS 2010 4.26. punkts).</w:t>
      </w:r>
      <w:r w:rsidRPr="00B03B51">
        <w:rPr>
          <w:rStyle w:val="FootnoteReference"/>
          <w:rFonts w:ascii="Times New Roman" w:hAnsi="Times New Roman" w:cs="Times New Roman"/>
          <w:noProof/>
          <w:sz w:val="24"/>
        </w:rPr>
        <w:footnoteReference w:id="121"/>
      </w:r>
    </w:p>
    <w:p w14:paraId="79EB4A2F"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Ražošanas un importa nodokļus ieraksta tad, kad notiek darbības, darījumi vai citi notikumi, kuri rada nodokļu maksāšanas saistības (EKS 2010 4.26. punkts).</w:t>
      </w:r>
    </w:p>
    <w:p w14:paraId="5289D333"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Subsīdijas ieraksta tad, kad notiek darījums vai notikums (ražošana, pārdošana, imports u. tml.), kas rada pamatu subsīdijai (EKS 4.39. punkts).</w:t>
      </w:r>
    </w:p>
    <w:p w14:paraId="0C783B8C"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Ienākuma, mantas u. tml. kārtējos nodokļus ieraksta tad, kad notiek darbības, darījumi vai citi notikumi, kas rada saistības veikt maksājumu (EKS 2010 4.82. punkts).</w:t>
      </w:r>
    </w:p>
    <w:p w14:paraId="7B913289"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Dažos gadījumos saistības maksāt ienākuma nodokļus var noteikt tikai vēlākā grāmatvedības pārskata periodā, nevis tajā periodā, kurā uzkrājas minētais ienākums. Tāpēc attiecībā uz laiku, kad ieraksta šādus nodokļus, ir jāpiemēro noteikta elastība. Ienākuma nodokļus, ko atskaita sākumpunktā, piemēram, “maksā, kad nopelni” nodokļus (</w:t>
      </w:r>
      <w:r w:rsidRPr="00B03B51">
        <w:rPr>
          <w:rFonts w:ascii="Times New Roman" w:hAnsi="Times New Roman" w:cs="Times New Roman"/>
          <w:i/>
          <w:iCs/>
          <w:sz w:val="24"/>
        </w:rPr>
        <w:t>PAYE</w:t>
      </w:r>
      <w:r w:rsidRPr="00B03B51">
        <w:rPr>
          <w:rFonts w:ascii="Times New Roman" w:hAnsi="Times New Roman" w:cs="Times New Roman"/>
          <w:sz w:val="24"/>
        </w:rPr>
        <w:t xml:space="preserve"> nodokļus) un regulārus ienākuma nodokļa priekšmaksājumus, var ierakstīt laika posmos, kad tos maksā, un jebkuras galīgās ienākuma nodokļa saistības var ierakstīt laika posmā, kad saistības konstatē (EKS 2010 4.82. punkts).</w:t>
      </w:r>
    </w:p>
    <w:p w14:paraId="0C4CB951" w14:textId="77777777" w:rsidR="00994F93" w:rsidRPr="00B03B51" w:rsidRDefault="00994F93" w:rsidP="003A6A04">
      <w:pPr>
        <w:pStyle w:val="BodyText"/>
        <w:numPr>
          <w:ilvl w:val="1"/>
          <w:numId w:val="1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Sociālos pabalstus skaidrā naudā ieraksta tad, kad tiek izveidotas prasības saņemt pabalstu (EKS 2010 4.107.punkts).</w:t>
      </w:r>
    </w:p>
    <w:p w14:paraId="766E2287" w14:textId="77777777" w:rsidR="00994F93" w:rsidRPr="00B03B51" w:rsidRDefault="00994F93" w:rsidP="00994F93">
      <w:pPr>
        <w:jc w:val="both"/>
        <w:rPr>
          <w:rFonts w:ascii="Times New Roman" w:eastAsia="Arial" w:hAnsi="Times New Roman" w:cs="Times New Roman"/>
          <w:noProof/>
          <w:sz w:val="24"/>
          <w:szCs w:val="20"/>
        </w:rPr>
      </w:pPr>
    </w:p>
    <w:p w14:paraId="7A2F8788"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14" w:name="2.3.2_Treatment_in_national_accounts"/>
      <w:bookmarkStart w:id="115" w:name="_Toc67565060"/>
      <w:bookmarkEnd w:id="114"/>
      <w:r w:rsidRPr="00B03B51">
        <w:rPr>
          <w:rFonts w:ascii="Times New Roman" w:hAnsi="Times New Roman" w:cs="Times New Roman"/>
          <w:sz w:val="24"/>
        </w:rPr>
        <w:t>2.3.2. Traktējums nacionālajos kontos</w:t>
      </w:r>
      <w:bookmarkEnd w:id="115"/>
    </w:p>
    <w:p w14:paraId="0C6F5B3B" w14:textId="77777777" w:rsidR="00994F93" w:rsidRPr="009E490B" w:rsidRDefault="00994F93" w:rsidP="009E490B">
      <w:pPr>
        <w:rPr>
          <w:rFonts w:ascii="Times New Roman" w:hAnsi="Times New Roman" w:cs="Times New Roman"/>
          <w:noProof/>
          <w:sz w:val="24"/>
          <w:szCs w:val="24"/>
        </w:rPr>
      </w:pPr>
      <w:bookmarkStart w:id="116" w:name="2.3.2.1_For_most_distributive_transactio"/>
      <w:bookmarkEnd w:id="116"/>
    </w:p>
    <w:p w14:paraId="270B8C6D"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2.3.2.1. BIEŽĀKAJIEM SADALES DARĪJUMIEM</w:t>
      </w:r>
    </w:p>
    <w:p w14:paraId="0116E89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6E5F57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Ierakstīšanas laiks attiecas uz “uzkrāšanas principu”: summās, kas jāieraksta </w:t>
      </w:r>
      <w:r w:rsidRPr="00B03B51">
        <w:rPr>
          <w:rFonts w:ascii="Times New Roman" w:hAnsi="Times New Roman" w:cs="Times New Roman"/>
          <w:i/>
          <w:iCs/>
          <w:sz w:val="24"/>
        </w:rPr>
        <w:t>n</w:t>
      </w:r>
      <w:r w:rsidRPr="00B03B51">
        <w:rPr>
          <w:rFonts w:ascii="Times New Roman" w:hAnsi="Times New Roman" w:cs="Times New Roman"/>
          <w:sz w:val="24"/>
        </w:rPr>
        <w:t xml:space="preserve"> gadā, jāiekļauj summas, kas jāmaksā saistībā ar darījumiem, kuri veikti no </w:t>
      </w:r>
      <w:r w:rsidRPr="00B03B51">
        <w:rPr>
          <w:rFonts w:ascii="Times New Roman" w:hAnsi="Times New Roman" w:cs="Times New Roman"/>
          <w:i/>
          <w:iCs/>
          <w:sz w:val="24"/>
        </w:rPr>
        <w:t>n</w:t>
      </w:r>
      <w:r w:rsidRPr="00B03B51">
        <w:rPr>
          <w:rFonts w:ascii="Times New Roman" w:hAnsi="Times New Roman" w:cs="Times New Roman"/>
          <w:sz w:val="24"/>
        </w:rPr>
        <w:t xml:space="preserve"> gada 1. janvāra līdz </w:t>
      </w:r>
      <w:r w:rsidRPr="00B03B51">
        <w:rPr>
          <w:rFonts w:ascii="Times New Roman" w:hAnsi="Times New Roman" w:cs="Times New Roman"/>
          <w:i/>
          <w:iCs/>
          <w:sz w:val="24"/>
        </w:rPr>
        <w:t>n</w:t>
      </w:r>
      <w:r w:rsidRPr="00B03B51">
        <w:rPr>
          <w:rFonts w:ascii="Times New Roman" w:hAnsi="Times New Roman" w:cs="Times New Roman"/>
          <w:sz w:val="24"/>
        </w:rPr>
        <w:t> gada 31. decembrim, t. i., summas attiecībā uz darījumiem, kuri veikti konkrētā gada 12 mēnešu laikā.</w:t>
      </w:r>
    </w:p>
    <w:p w14:paraId="1F07E0A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C4251F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Piemēram, tiek saīsināts termiņš PVN maksājumiem, ko valsts noteikusi uzņēmumiem: minēto termiņu saīsina, piemēram, no 2 mēnešiem uz 1 mēnesi. Līdz ar to PVN maksājuma termiņš tiek pavirzīts uz priekšu par vienu mēnesi. Tādā gadījumā, pamatojoties uz naudas plūsmas principu, valsts budžetā tiks ierakstīti trīspadsmit (13) PVN saņemšanas mēneši tajā gadā, kad piemēro minēto maksājuma termiņa saīsinājumu.</w:t>
      </w:r>
    </w:p>
    <w:p w14:paraId="674F4E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88D8D7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5. Tomēr PVN summā, kas nacionālajos kontos ierakstīta kā ieņēmumi, nedrīkst iekļaut papildu naudas ieņēmumus, kas saņemti par trīspadsmito mēnesi, un tai joprojām jābūt balstītai uz divpadsmit mēnešus ilgu gadu. Šādā gadījumā tiek skarti vienīgi finanšu konti (nauda (F.2) un citi debitoru parādi (F.8)).</w:t>
      </w:r>
    </w:p>
    <w:p w14:paraId="19790D6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4034B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Lai gan maksājuma termiņa maiņa ietekmē naudas summas publiskajos kontos, tā nav jāņem vērā, aprēķinot nodokļus, kas ierakstīti nacionālajos kontos atbilstīgi uzkrāšanas principam.</w:t>
      </w:r>
    </w:p>
    <w:p w14:paraId="1D800A8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421D8E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Iepriekš jau tika norādīts, ka nodokļi un sociālās iemaksas, kas ierakstītas kā valdības ieņēmumi, var būt iegūti no diviem avotiem: kases ieņēmumiem vai summām, ko apliecina nodokļu aprēķini un deklarācijas. Ja izmanto kases ieņēmumus, to laiks jāprecizē tā, lai nauda tiktu sadalīta brīdī, kad notiek darbība, kas rada nodokļa saistības (izņemot dažus ienākuma nodokļu gadījumus). Šo precizējumu var veikt, pamatojoties uz vidējo laika posmu starp darbību un nodokļu naudas ieņēmumiem. Tāpēc iepriekš minētajā piemērā gūtie kases ieņēmumi tiktu koriģēti, lai ņemtu vērā PVN maksājuma termiņa saīsinājumu, un trīspadsmitajā mēnesī gūtie papildu ieņēmumi tiktu neitralizēti.</w:t>
      </w:r>
    </w:p>
    <w:p w14:paraId="318BF92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1E22D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Tādējādi attiecībā uz lielāko sadales darījumu daļu maksājuma termiņa maiņa neietekmē valdības neto aizdevumu/aizņēmumu (B.9), kas aprēķināts, pamatojoties uz uzkrāšanas principu saskaņā ar EKS 2010 noteikumiem.</w:t>
      </w:r>
    </w:p>
    <w:p w14:paraId="3CE81EEC" w14:textId="77777777" w:rsidR="00994F93" w:rsidRPr="00B03B51" w:rsidRDefault="00994F93" w:rsidP="00994F93">
      <w:pPr>
        <w:jc w:val="both"/>
        <w:rPr>
          <w:rFonts w:ascii="Times New Roman" w:eastAsia="Arial" w:hAnsi="Times New Roman" w:cs="Times New Roman"/>
          <w:noProof/>
          <w:sz w:val="24"/>
          <w:szCs w:val="15"/>
        </w:rPr>
      </w:pPr>
    </w:p>
    <w:p w14:paraId="2FF72897"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17" w:name="2.3.2.2_Exceptions"/>
      <w:bookmarkEnd w:id="117"/>
      <w:r w:rsidRPr="00B03B51">
        <w:rPr>
          <w:rFonts w:ascii="Times New Roman" w:hAnsi="Times New Roman" w:cs="Times New Roman"/>
          <w:sz w:val="24"/>
        </w:rPr>
        <w:t>2.3.2.2. IZŅĒMUMI</w:t>
      </w:r>
    </w:p>
    <w:p w14:paraId="37DCEF1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CC1A3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Dažu sadales darījumu gadījumā ir pieļaujami izņēmumi no šī vispārīgā principa, piemēram, attiecībā uz vienreizējām prēmijām vai citiem ārkārtas maksājumiem, 13. mēnešalgu utt., ko darba devējs izmaksā saviem darbiniekiem, un noteiktiem ienākuma nodokļiem, pašnodarbināto un nenodarbināto personu sociālajām iemaksām, kurām maksājumu saistības var noteikt tikai vēlākā pārskata periodā. Tāpēc maksājuma termiņa maiņa (piemēram, pirmstermiņa maksājumi) attiecībā uz šādiem darījumu veidiem var ietekmēt valdības neto aizdevumu/aizņēmumu (B.9).</w:t>
      </w:r>
    </w:p>
    <w:p w14:paraId="7E16B5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83543F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Piemēram, gadā (</w:t>
      </w:r>
      <w:r w:rsidRPr="00B03B51">
        <w:rPr>
          <w:rFonts w:ascii="Times New Roman" w:hAnsi="Times New Roman" w:cs="Times New Roman"/>
          <w:i/>
          <w:iCs/>
          <w:sz w:val="24"/>
        </w:rPr>
        <w:t>n+1</w:t>
      </w:r>
      <w:r w:rsidRPr="00B03B51">
        <w:rPr>
          <w:rFonts w:ascii="Times New Roman" w:hAnsi="Times New Roman" w:cs="Times New Roman"/>
          <w:sz w:val="24"/>
        </w:rPr>
        <w:t>), kas seko ienākuma atsauces gadam (</w:t>
      </w:r>
      <w:r w:rsidRPr="00B03B51">
        <w:rPr>
          <w:rFonts w:ascii="Times New Roman" w:hAnsi="Times New Roman" w:cs="Times New Roman"/>
          <w:i/>
          <w:iCs/>
          <w:sz w:val="24"/>
        </w:rPr>
        <w:t>n</w:t>
      </w:r>
      <w:r w:rsidRPr="00B03B51">
        <w:rPr>
          <w:rFonts w:ascii="Times New Roman" w:hAnsi="Times New Roman" w:cs="Times New Roman"/>
          <w:sz w:val="24"/>
        </w:rPr>
        <w:t xml:space="preserve">), sabiedrības maksā ienākuma nodokli vairākos maksājumos. Tiek pieņemts, ka pirmais maksājums tām jāveic avansā </w:t>
      </w:r>
      <w:r w:rsidRPr="00B03B51">
        <w:rPr>
          <w:rFonts w:ascii="Times New Roman" w:hAnsi="Times New Roman" w:cs="Times New Roman"/>
          <w:i/>
          <w:iCs/>
          <w:sz w:val="24"/>
        </w:rPr>
        <w:t>n</w:t>
      </w:r>
      <w:r w:rsidRPr="00B03B51">
        <w:rPr>
          <w:rFonts w:ascii="Times New Roman" w:hAnsi="Times New Roman" w:cs="Times New Roman"/>
          <w:sz w:val="24"/>
        </w:rPr>
        <w:t xml:space="preserve"> gada beigās. Kad būtu jāieraksta šis pirmstermiņa maksājums? </w:t>
      </w:r>
      <w:r w:rsidRPr="00B03B51">
        <w:rPr>
          <w:rFonts w:ascii="Times New Roman" w:hAnsi="Times New Roman" w:cs="Times New Roman"/>
          <w:i/>
          <w:iCs/>
          <w:sz w:val="24"/>
        </w:rPr>
        <w:t>n</w:t>
      </w:r>
      <w:r w:rsidRPr="00B03B51">
        <w:rPr>
          <w:rFonts w:ascii="Times New Roman" w:hAnsi="Times New Roman" w:cs="Times New Roman"/>
          <w:sz w:val="24"/>
        </w:rPr>
        <w:t xml:space="preserve"> gadā vai </w:t>
      </w:r>
      <w:r w:rsidRPr="00B03B51">
        <w:rPr>
          <w:rFonts w:ascii="Times New Roman" w:hAnsi="Times New Roman" w:cs="Times New Roman"/>
          <w:i/>
          <w:iCs/>
          <w:sz w:val="24"/>
        </w:rPr>
        <w:t>n+1</w:t>
      </w:r>
      <w:r w:rsidRPr="00B03B51">
        <w:rPr>
          <w:rFonts w:ascii="Times New Roman" w:hAnsi="Times New Roman" w:cs="Times New Roman"/>
          <w:sz w:val="24"/>
        </w:rPr>
        <w:t xml:space="preserve"> gadā? Precīzāk, kādos apstākļos būtu uzskatāms, ka maksājuma termiņš ir mainīts?</w:t>
      </w:r>
    </w:p>
    <w:p w14:paraId="3E7CB57E" w14:textId="77777777" w:rsidR="00994F93" w:rsidRPr="00B03B51" w:rsidRDefault="00994F93" w:rsidP="00994F93">
      <w:pPr>
        <w:jc w:val="both"/>
        <w:rPr>
          <w:rFonts w:ascii="Times New Roman" w:eastAsia="Arial" w:hAnsi="Times New Roman" w:cs="Times New Roman"/>
          <w:noProof/>
          <w:sz w:val="24"/>
          <w:szCs w:val="15"/>
        </w:rPr>
      </w:pPr>
    </w:p>
    <w:p w14:paraId="514B720C"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18" w:name="2.3.2.3_Rule_concerning_the_change_in_th"/>
      <w:bookmarkEnd w:id="118"/>
      <w:r w:rsidRPr="00B03B51">
        <w:rPr>
          <w:rFonts w:ascii="Times New Roman" w:hAnsi="Times New Roman" w:cs="Times New Roman"/>
          <w:sz w:val="24"/>
        </w:rPr>
        <w:t>2.3.2.3. PRINCIPS, KO PIEMĒRO ATTIECĪBĀ UZ MAKSĀJUMA TERMIŅA MAIŅU</w:t>
      </w:r>
    </w:p>
    <w:p w14:paraId="566316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273FA9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Visas izmaiņas maksājuma termiņā, kuras skar valdības iekasētās summas un veiktas, pamatojoties uz tiesību aktiem vai vienkāršu administratīvu lēmumu, un tiks piemērotas pastāvīgi, proti, izmaiņas, kas nav vienreizējas izmaiņas, ietekmē nefinanšu kontos ierakstītās summas un līdz ar to arī vispārējās valdības neto aizdevumu/aizņēmumu (B.9).</w:t>
      </w:r>
    </w:p>
    <w:p w14:paraId="2660261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A196D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Turpretī gadījumā, ja paredzēts, ka tiesību aktos vai vienkāršā administratīvā lēmumā noteiktas maksājumu termiņa izmaiņas netiks piemērotas pastāvīgi (ir apliecinājums, ka tās tiks piemērotas tikai vienu reizi), un šīs izmaiņas ietekmē valdības saņemtās naudas summas, tās nav jāņem vērā, kad ierakstīšana tiek veikta atbilstīgi uzkrāšanas principam. Līdz ar to ietekme attiecībā uz vispārējās valdības neto aizdevumu/neto aizņēmumu (B.9) nepastāv.</w:t>
      </w:r>
    </w:p>
    <w:p w14:paraId="3F24C48B"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0094EDCE" w14:textId="77777777" w:rsidR="00994F93" w:rsidRPr="00B03B51" w:rsidRDefault="00994F93" w:rsidP="00994F93">
      <w:pPr>
        <w:jc w:val="both"/>
        <w:rPr>
          <w:rFonts w:ascii="Times New Roman" w:eastAsia="Arial" w:hAnsi="Times New Roman" w:cs="Times New Roman"/>
          <w:noProof/>
          <w:sz w:val="24"/>
          <w:szCs w:val="19"/>
        </w:rPr>
      </w:pPr>
    </w:p>
    <w:p w14:paraId="6C739B20"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119" w:name="2.4_Recording_of_interest"/>
      <w:bookmarkStart w:id="120" w:name="_bookmark15"/>
      <w:bookmarkStart w:id="121" w:name="_Toc67565061"/>
      <w:bookmarkEnd w:id="119"/>
      <w:bookmarkEnd w:id="120"/>
      <w:r w:rsidRPr="00B03B51">
        <w:rPr>
          <w:rFonts w:ascii="Times New Roman" w:hAnsi="Times New Roman" w:cs="Times New Roman"/>
          <w:sz w:val="28"/>
          <w:szCs w:val="44"/>
        </w:rPr>
        <w:t>2.4. Procentu ierakstīšana</w:t>
      </w:r>
      <w:bookmarkEnd w:id="121"/>
    </w:p>
    <w:p w14:paraId="2A1309AC" w14:textId="77777777" w:rsidR="00994F93" w:rsidRPr="00E843F0" w:rsidRDefault="00994F93" w:rsidP="00E843F0">
      <w:pPr>
        <w:rPr>
          <w:rFonts w:ascii="Times New Roman" w:hAnsi="Times New Roman" w:cs="Times New Roman"/>
          <w:noProof/>
          <w:sz w:val="24"/>
          <w:szCs w:val="24"/>
        </w:rPr>
      </w:pPr>
      <w:bookmarkStart w:id="122" w:name="2.4.1_Background"/>
      <w:bookmarkEnd w:id="122"/>
    </w:p>
    <w:p w14:paraId="3766D1D8"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23" w:name="_Toc67565062"/>
      <w:r w:rsidRPr="00B03B51">
        <w:rPr>
          <w:rFonts w:ascii="Times New Roman" w:hAnsi="Times New Roman" w:cs="Times New Roman"/>
          <w:sz w:val="24"/>
        </w:rPr>
        <w:t>2.4.1. Vispārīga informācija</w:t>
      </w:r>
      <w:bookmarkEnd w:id="123"/>
    </w:p>
    <w:p w14:paraId="7E8D147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556567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Procentu ierakstīšana, pamatojoties uz uzkrāšanas principu, ir vispārīgs princips, ko piemēro nacionālajos kontos un kas tika ieviests starptautiskajos statistikas standartos 20. gadsimta 90. gados.</w:t>
      </w:r>
    </w:p>
    <w:p w14:paraId="5C401993" w14:textId="77777777" w:rsidR="00994F93" w:rsidRPr="00B03B51" w:rsidRDefault="00994F93" w:rsidP="00994F93">
      <w:pPr>
        <w:jc w:val="both"/>
        <w:rPr>
          <w:rFonts w:ascii="Times New Roman" w:eastAsia="Arial" w:hAnsi="Times New Roman" w:cs="Times New Roman"/>
          <w:noProof/>
          <w:sz w:val="24"/>
          <w:szCs w:val="18"/>
        </w:rPr>
      </w:pPr>
    </w:p>
    <w:p w14:paraId="22221065"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24" w:name="2.4.2_Treatment_in_national_accounts"/>
      <w:bookmarkStart w:id="125" w:name="_Toc67565063"/>
      <w:bookmarkEnd w:id="124"/>
      <w:r w:rsidRPr="00B03B51">
        <w:rPr>
          <w:rFonts w:ascii="Times New Roman" w:hAnsi="Times New Roman" w:cs="Times New Roman"/>
          <w:sz w:val="24"/>
        </w:rPr>
        <w:t>2.4.2. Traktējums nacionālajos kontos</w:t>
      </w:r>
      <w:bookmarkEnd w:id="125"/>
    </w:p>
    <w:p w14:paraId="0FDBAD1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8B056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EKS 2010 vispārējie uzskaites noteikumi ir šādi:</w:t>
      </w:r>
    </w:p>
    <w:p w14:paraId="655AD19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826E52B"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visus finanšu instrumentus, kuriem piemēro procentus, ieraksta, pamatojoties uz uzkrāšanas principu;</w:t>
      </w:r>
    </w:p>
    <w:p w14:paraId="37328A9F"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procentus uzkrāj, pamatojoties uz “debitora pieeju”;</w:t>
      </w:r>
    </w:p>
    <w:p w14:paraId="28FCD419"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uzkrātos procentus var aprēķināt, izmantojot vienkāršas likmes metodi vai salikto procentu metodi;</w:t>
      </w:r>
    </w:p>
    <w:p w14:paraId="066190DD"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uzkrātos procentus vienmēr atkārtoti iegulda saskaņā ar attiecīgo instrumentu;</w:t>
      </w:r>
      <w:r w:rsidRPr="00B03B51">
        <w:rPr>
          <w:rStyle w:val="FootnoteReference"/>
          <w:rFonts w:ascii="Times New Roman" w:hAnsi="Times New Roman" w:cs="Times New Roman"/>
          <w:noProof/>
          <w:sz w:val="24"/>
        </w:rPr>
        <w:footnoteReference w:id="122"/>
      </w:r>
    </w:p>
    <w:p w14:paraId="67FF103A"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visus instrumentus, kas emitēti ar diskontu, traktē līdzīgā veidā;</w:t>
      </w:r>
    </w:p>
    <w:p w14:paraId="3F1E65C6"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nokavētus maksājumus saglabā pie instrumenta.</w:t>
      </w:r>
    </w:p>
    <w:p w14:paraId="0C333B9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80ECF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Īpašiem instrumentiem vai darījumiem piemērojamie noteikumi ir šādi:</w:t>
      </w:r>
    </w:p>
    <w:p w14:paraId="010F778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96A426D"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pamatsummas un procentu atdalīšana neietekmē uzkrāto procentu summu;</w:t>
      </w:r>
    </w:p>
    <w:p w14:paraId="0C832026"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precizējumi var būt vajadzīgi tādu instrumentu gadījumā, kuriem ir mainīga likme un savstarpēji aizvietojamas emisijas (tostarp uzkrājumu prēmijas);</w:t>
      </w:r>
    </w:p>
    <w:p w14:paraId="1D751ADD"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procentus saistībā ar loteriju instrumentiem arī ieraksta, pamatojoties uz uzkrāšanas principu;</w:t>
      </w:r>
    </w:p>
    <w:p w14:paraId="30944795"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 indeksējamām obligācijām attiecas procentu ierakstīšana, pamatojoties uz uzkrāšanas principu;</w:t>
      </w:r>
    </w:p>
    <w:p w14:paraId="438AFAEB"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īstermiņa apgrozāmiem vērstpapīriem nav īpašu noteikumu;</w:t>
      </w:r>
    </w:p>
    <w:p w14:paraId="45C8D067"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uzkrātos procentus var ierakstīt atvieglojumu periodos;</w:t>
      </w:r>
    </w:p>
    <w:p w14:paraId="43EFE0C0"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procenti, kas uzkrāti attiecībā uz ārvalstu valūtās izteiktiem instrumentiem, rada nepieciešamību veikt precizējumu pārvērtēšanas kontā;</w:t>
      </w:r>
    </w:p>
    <w:p w14:paraId="648DFDB7" w14:textId="77777777" w:rsidR="00994F93" w:rsidRPr="00B03B51" w:rsidRDefault="00994F93" w:rsidP="003A6A04">
      <w:pPr>
        <w:pStyle w:val="BodyText"/>
        <w:numPr>
          <w:ilvl w:val="1"/>
          <w:numId w:val="15"/>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parāda instrumentu pirmstermiņa izpirkšana (arī maiņa) var palielināt nominālos turēšanas ieguvumus.</w:t>
      </w:r>
    </w:p>
    <w:p w14:paraId="364B38C3" w14:textId="77777777" w:rsidR="00994F93" w:rsidRPr="00B03B51" w:rsidRDefault="00994F93" w:rsidP="00994F93">
      <w:pPr>
        <w:jc w:val="both"/>
        <w:rPr>
          <w:rFonts w:ascii="Times New Roman" w:eastAsia="Arial" w:hAnsi="Times New Roman" w:cs="Times New Roman"/>
          <w:noProof/>
          <w:sz w:val="24"/>
          <w:szCs w:val="19"/>
        </w:rPr>
      </w:pPr>
    </w:p>
    <w:p w14:paraId="7ECD5E2A"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26" w:name="2.4.3_Rationale_of_the_treatment"/>
      <w:bookmarkStart w:id="127" w:name="_Toc67565064"/>
      <w:bookmarkEnd w:id="126"/>
      <w:r w:rsidRPr="00B03B51">
        <w:rPr>
          <w:rFonts w:ascii="Times New Roman" w:hAnsi="Times New Roman" w:cs="Times New Roman"/>
          <w:sz w:val="24"/>
        </w:rPr>
        <w:t>2.4.3. Traktējuma pamatojums</w:t>
      </w:r>
      <w:bookmarkEnd w:id="127"/>
    </w:p>
    <w:p w14:paraId="27A25C7B" w14:textId="77777777" w:rsidR="00994F93" w:rsidRPr="009E490B" w:rsidRDefault="00994F93" w:rsidP="009E490B">
      <w:pPr>
        <w:rPr>
          <w:rFonts w:ascii="Times New Roman" w:hAnsi="Times New Roman" w:cs="Times New Roman"/>
          <w:noProof/>
          <w:sz w:val="24"/>
          <w:szCs w:val="24"/>
        </w:rPr>
      </w:pPr>
      <w:bookmarkStart w:id="128" w:name="2.4.3.1_Full_coverage"/>
      <w:bookmarkEnd w:id="128"/>
    </w:p>
    <w:p w14:paraId="1AC2B1D4"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2.4.3.1. PILNS TVĒRUMS</w:t>
      </w:r>
    </w:p>
    <w:p w14:paraId="3A2CCF0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0E540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Uzkrāšanas princips aptver visus finanšu instrumentus, kuriem piemēro procentus. EKS 2010 4. nodaļā “Sadales darījumi” ir minēti visu veidu parāda instrumenti, t. i., depozīti, aizdevumi, parāda vērtspapīri un citas kreditoru saistības (attiecīgā gadījumā). EKS 2010 4.50. punktā noteikts, ka “procenti laika gaitā pastāvīgi uzkrājas par nenomaksāto pamatsummu”. Attiecībā uz šā noteikuma piemērošanu nav norādīti nekādi izņēmumi.</w:t>
      </w:r>
    </w:p>
    <w:p w14:paraId="14BA2A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0D50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Procentu ierakstīšana atbilstīgi uzkrāšanas principam ir vispārīgs princips, kas jāpiemēro </w:t>
      </w:r>
      <w:r w:rsidRPr="00B03B51">
        <w:rPr>
          <w:rFonts w:ascii="Times New Roman" w:hAnsi="Times New Roman" w:cs="Times New Roman"/>
          <w:sz w:val="24"/>
        </w:rPr>
        <w:lastRenderedPageBreak/>
        <w:t>attiecībā uz visiem finanšu instrumentiem, kuri rada procentus, neatkarīgi no jebkādas īpašas kārtības, kāda var pastāvēt valsts līmenī.</w:t>
      </w:r>
    </w:p>
    <w:p w14:paraId="2AE2146E" w14:textId="77777777" w:rsidR="00994F93" w:rsidRPr="00B03B51" w:rsidRDefault="00994F93" w:rsidP="00994F93">
      <w:pPr>
        <w:jc w:val="both"/>
        <w:rPr>
          <w:rFonts w:ascii="Times New Roman" w:eastAsia="Arial" w:hAnsi="Times New Roman" w:cs="Times New Roman"/>
          <w:noProof/>
          <w:sz w:val="24"/>
          <w:szCs w:val="15"/>
        </w:rPr>
      </w:pPr>
    </w:p>
    <w:p w14:paraId="3E3683C5"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29" w:name="2.4.3.2_‘Debtor_approach’"/>
      <w:bookmarkEnd w:id="129"/>
      <w:r w:rsidRPr="00B03B51">
        <w:rPr>
          <w:rFonts w:ascii="Times New Roman" w:hAnsi="Times New Roman" w:cs="Times New Roman"/>
          <w:sz w:val="24"/>
        </w:rPr>
        <w:t>2.4.3.2. “DEBITORA PIEEJA”</w:t>
      </w:r>
    </w:p>
    <w:p w14:paraId="4C6A05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550BF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Kopumā procentus var uzkrāt atbilstīgi trim iespējamiem traktējumiem, kurus var dēvēt šādi:</w:t>
      </w:r>
    </w:p>
    <w:p w14:paraId="4BB948FE" w14:textId="77777777" w:rsidR="00994F93" w:rsidRPr="00B03B51" w:rsidRDefault="00994F93" w:rsidP="00994F93">
      <w:pPr>
        <w:jc w:val="both"/>
        <w:rPr>
          <w:rFonts w:ascii="Times New Roman" w:eastAsia="Arial" w:hAnsi="Times New Roman" w:cs="Times New Roman"/>
          <w:noProof/>
          <w:sz w:val="24"/>
          <w:szCs w:val="14"/>
        </w:rPr>
      </w:pPr>
    </w:p>
    <w:p w14:paraId="1E320394" w14:textId="77777777" w:rsidR="00994F93" w:rsidRPr="00B03B51" w:rsidRDefault="00994F93" w:rsidP="003A6A04">
      <w:pPr>
        <w:numPr>
          <w:ilvl w:val="1"/>
          <w:numId w:val="15"/>
        </w:numPr>
        <w:ind w:left="426" w:hanging="425"/>
        <w:jc w:val="both"/>
        <w:rPr>
          <w:rFonts w:ascii="Times New Roman" w:eastAsia="Arial" w:hAnsi="Times New Roman" w:cs="Times New Roman"/>
          <w:noProof/>
          <w:sz w:val="24"/>
          <w:szCs w:val="19"/>
        </w:rPr>
      </w:pPr>
      <w:r w:rsidRPr="00B03B51">
        <w:rPr>
          <w:rFonts w:ascii="Times New Roman" w:hAnsi="Times New Roman" w:cs="Times New Roman"/>
          <w:b/>
          <w:bCs/>
          <w:sz w:val="24"/>
          <w:szCs w:val="19"/>
        </w:rPr>
        <w:t>“debitora”</w:t>
      </w:r>
      <w:r w:rsidRPr="00B03B51">
        <w:rPr>
          <w:rFonts w:ascii="Times New Roman" w:hAnsi="Times New Roman" w:cs="Times New Roman"/>
          <w:sz w:val="24"/>
          <w:szCs w:val="19"/>
        </w:rPr>
        <w:t xml:space="preserve"> jeb </w:t>
      </w:r>
      <w:r w:rsidRPr="00B03B51">
        <w:rPr>
          <w:rFonts w:ascii="Times New Roman" w:hAnsi="Times New Roman" w:cs="Times New Roman"/>
          <w:b/>
          <w:bCs/>
          <w:sz w:val="24"/>
          <w:szCs w:val="19"/>
        </w:rPr>
        <w:t>“aizņēmuma sākotnējo izmaksu princips”</w:t>
      </w:r>
      <w:r w:rsidRPr="00B03B51">
        <w:rPr>
          <w:rFonts w:ascii="Times New Roman" w:hAnsi="Times New Roman" w:cs="Times New Roman"/>
          <w:sz w:val="24"/>
          <w:szCs w:val="19"/>
        </w:rPr>
        <w:t>, kura pamatā ir neatmaksātajai pamatsummai vai emisijas cenai piemērotā likme vai procenti, kas ir spēkā finanšu instrumenta izveides laikā;</w:t>
      </w:r>
    </w:p>
    <w:p w14:paraId="7FC00D4B" w14:textId="77777777" w:rsidR="00994F93" w:rsidRPr="00B03B51" w:rsidRDefault="00994F93" w:rsidP="003A6A04">
      <w:pPr>
        <w:pStyle w:val="BodyText"/>
        <w:numPr>
          <w:ilvl w:val="1"/>
          <w:numId w:val="15"/>
        </w:numPr>
        <w:spacing w:before="0"/>
        <w:ind w:left="426" w:hanging="425"/>
        <w:jc w:val="both"/>
        <w:rPr>
          <w:rFonts w:ascii="Times New Roman" w:hAnsi="Times New Roman" w:cs="Times New Roman"/>
          <w:noProof/>
          <w:sz w:val="24"/>
        </w:rPr>
      </w:pPr>
      <w:r w:rsidRPr="00B03B51">
        <w:rPr>
          <w:rFonts w:ascii="Times New Roman" w:hAnsi="Times New Roman" w:cs="Times New Roman"/>
          <w:b/>
          <w:bCs/>
          <w:sz w:val="24"/>
        </w:rPr>
        <w:t>“iegādes princips”</w:t>
      </w:r>
      <w:r w:rsidRPr="00B03B51">
        <w:rPr>
          <w:rFonts w:ascii="Times New Roman" w:hAnsi="Times New Roman" w:cs="Times New Roman"/>
          <w:sz w:val="24"/>
        </w:rPr>
        <w:t>, kura pamatā ir pirkšanas cenai piemērotā “vēsturiskā” likme vai procenti, kas ir spēkā brīdī, kad kreditors pirmo reizi ieraksta finanšu instrumentu savā bilancē;</w:t>
      </w:r>
    </w:p>
    <w:p w14:paraId="05CAEFDC" w14:textId="77777777" w:rsidR="00994F93" w:rsidRPr="00B03B51" w:rsidRDefault="00994F93" w:rsidP="003A6A04">
      <w:pPr>
        <w:pStyle w:val="BodyText"/>
        <w:numPr>
          <w:ilvl w:val="1"/>
          <w:numId w:val="15"/>
        </w:numPr>
        <w:spacing w:before="0"/>
        <w:ind w:left="426" w:hanging="425"/>
        <w:jc w:val="both"/>
        <w:rPr>
          <w:rFonts w:ascii="Times New Roman" w:hAnsi="Times New Roman" w:cs="Times New Roman"/>
          <w:noProof/>
          <w:sz w:val="24"/>
        </w:rPr>
      </w:pPr>
      <w:r w:rsidRPr="00B03B51">
        <w:rPr>
          <w:rFonts w:ascii="Times New Roman" w:hAnsi="Times New Roman" w:cs="Times New Roman"/>
          <w:b/>
          <w:bCs/>
          <w:sz w:val="24"/>
        </w:rPr>
        <w:t>“tirgus pieeja”</w:t>
      </w:r>
      <w:r w:rsidRPr="00B03B51">
        <w:rPr>
          <w:rFonts w:ascii="Times New Roman" w:hAnsi="Times New Roman" w:cs="Times New Roman"/>
          <w:sz w:val="24"/>
        </w:rPr>
        <w:t xml:space="preserve"> (EKS 2010 dēvēta arī par “kreditora pieeju”), kuras pamatā ir likme, kas ir spēkā konkrētajā brīdī, kad tā piemērota attiecībā uz tajā pašā brīdī spēkā esošo instrumenta tirgus cenu.</w:t>
      </w:r>
    </w:p>
    <w:p w14:paraId="556076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BE6DA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EKS 2010 20.180. punktā ir noteikts, ka procentus uzkrāj no debitora skatpunkta.</w:t>
      </w:r>
    </w:p>
    <w:p w14:paraId="5481BB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0120F6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EKS 2010 galvenā uzmanība pievērsta finanšu slogam, aizņēmuma izmaksām, kas tika prognozētas laikā, kad debitors piesaistīja līdzekļus, emitējot finanšu instrumentus. Darījumi sekundārajos tirgos neietekmē ierakstāmos uzkrātos procentus.</w:t>
      </w:r>
    </w:p>
    <w:p w14:paraId="1FE548F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A2C28A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Saskaņā ar šīm trim pieejām teorētiski visas plūsmas, kas izriet no līguma noteikumiem, būtu līdzīgas visā finanšu instrumenta darbības laikā. Taču atšķirība pastāvētu dalījumā starp darījumiem un citām plūsmām. Dažas finanšu instrumenta cenas izmaiņas var ierakstīt kā nominālos turēšanas guvumus/zaudējumus. Attiecībā uz cenas izmaiņu jēdzienu ir jānošķir patiesās cenu izmaiņas, ko rada tirgus svārstības, un instrumenta vērtības izmaiņas, ko rada tā apjoma izmaiņas. Piemēram, EKS 2010 6.54. punktā ir norādīts, ka uzkrātie procenti nerada turēšanas ienākumus, jo tie rada pamatu nefinanšu darījumam un vienlaikus arī finanšu darījumam kā “tāda aktīva iegāde, ko pievieno esošajam aktīvam”.</w:t>
      </w:r>
    </w:p>
    <w:p w14:paraId="4B2180F7" w14:textId="77777777" w:rsidR="00994F93" w:rsidRPr="00B03B51" w:rsidRDefault="00994F93" w:rsidP="00994F93">
      <w:pPr>
        <w:jc w:val="both"/>
        <w:rPr>
          <w:rFonts w:ascii="Times New Roman" w:eastAsia="Arial" w:hAnsi="Times New Roman" w:cs="Times New Roman"/>
          <w:noProof/>
          <w:sz w:val="24"/>
          <w:szCs w:val="15"/>
        </w:rPr>
      </w:pPr>
    </w:p>
    <w:p w14:paraId="5F5D50D5"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0" w:name="2.4.3.3_Method_for_calculating_accrued_i"/>
      <w:bookmarkEnd w:id="130"/>
      <w:r w:rsidRPr="00B03B51">
        <w:rPr>
          <w:rFonts w:ascii="Times New Roman" w:hAnsi="Times New Roman" w:cs="Times New Roman"/>
          <w:sz w:val="24"/>
        </w:rPr>
        <w:t>2.4.3.3. UZKRĀTO PROCENTU APRĒĶINĀŠANAS METODE</w:t>
      </w:r>
    </w:p>
    <w:p w14:paraId="19F2D1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3637D1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10. Uzkrāto procentu ierakstīšanu var veikt, izmantojot vienkāršo procentu likmi, ko piemēro vienīgi nenomaksātajai pamatsummai, vai salikto procentu likmi, kurā ņem vērā iepriekš uzkrāto procentu summu. Izvēle ir atkarīga no tā, vai uzkrātie procenti pārskata periodā faktiski tiek samaksāti kreditoram. EKS 2010 4.50. punktā tiek uzskatīts, ka nesamaksātie uzkrātie procenti “kreditoram [ir] kā finanšu aktīva [iegāde] un debitoram kā tādā pašā apmērā iegūtas saistības”, attiecībā uz ko teorētiski tiek piemēroti procenti. Vismaz konceptuāli procenti ir jāaprēķina saliktā veidā. Procentu faktiskie maksājumi ir finanšu darījumi.</w:t>
      </w:r>
      <w:r w:rsidRPr="00B03B51">
        <w:rPr>
          <w:rStyle w:val="FootnoteReference"/>
          <w:rFonts w:ascii="Times New Roman" w:hAnsi="Times New Roman" w:cs="Times New Roman"/>
          <w:noProof/>
          <w:sz w:val="24"/>
        </w:rPr>
        <w:footnoteReference w:id="123"/>
      </w:r>
    </w:p>
    <w:p w14:paraId="6AC2DCFB" w14:textId="77777777" w:rsidR="00994F93" w:rsidRPr="00453D55" w:rsidRDefault="00994F93" w:rsidP="00453D55">
      <w:pPr>
        <w:rPr>
          <w:rFonts w:ascii="Times New Roman" w:hAnsi="Times New Roman" w:cs="Times New Roman"/>
          <w:noProof/>
          <w:sz w:val="24"/>
          <w:szCs w:val="24"/>
        </w:rPr>
      </w:pPr>
      <w:bookmarkStart w:id="131" w:name="2.4.3.4_Reinvestment_of_accrued_interest"/>
      <w:bookmarkEnd w:id="131"/>
    </w:p>
    <w:p w14:paraId="50A46C2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2.4.3.4. UZKRĀTO PROCENTU ATKĀRTOTA IEGULDĪŠANA ATBILSTOŠI INSTRUMENTAM</w:t>
      </w:r>
    </w:p>
    <w:p w14:paraId="4ED65F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10A314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EKS 2010 5.242. punktā noteikts, ka </w:t>
      </w:r>
      <w:r w:rsidRPr="00B03B51">
        <w:rPr>
          <w:rFonts w:ascii="Times New Roman" w:hAnsi="Times New Roman" w:cs="Times New Roman"/>
          <w:i/>
          <w:iCs/>
          <w:sz w:val="24"/>
        </w:rPr>
        <w:t xml:space="preserve">uzkrātos un neizmaksātos procentus ieraksta kopā ar finanšu aktīvu vai saistību, attiecībā uz kuru tie uzkrājas, un nevis kā debitoru/kreditoru </w:t>
      </w:r>
      <w:r w:rsidRPr="00B03B51">
        <w:rPr>
          <w:rFonts w:ascii="Times New Roman" w:hAnsi="Times New Roman" w:cs="Times New Roman"/>
          <w:i/>
          <w:iCs/>
          <w:sz w:val="24"/>
        </w:rPr>
        <w:lastRenderedPageBreak/>
        <w:t>saistības</w:t>
      </w:r>
      <w:r w:rsidRPr="00B03B51">
        <w:rPr>
          <w:rFonts w:ascii="Times New Roman" w:hAnsi="Times New Roman" w:cs="Times New Roman"/>
          <w:sz w:val="24"/>
        </w:rPr>
        <w:t>. Tomēr šajā punktā ir norādīts arī tas, ka procentus var klasificēt kā citas debitoru/kreditoru saistības, “ja uzkrātos procentus neieraksta kā atkārtoti ieguldītus finanšu aktīvā”. Nav norādīts, kādos apstākļos tas būtu piemērojams.</w:t>
      </w:r>
      <w:r w:rsidRPr="00B03B51">
        <w:rPr>
          <w:rStyle w:val="FootnoteReference"/>
          <w:rFonts w:ascii="Times New Roman" w:hAnsi="Times New Roman" w:cs="Times New Roman"/>
          <w:noProof/>
          <w:sz w:val="24"/>
        </w:rPr>
        <w:footnoteReference w:id="124"/>
      </w:r>
      <w:r w:rsidRPr="00B03B51">
        <w:rPr>
          <w:rFonts w:ascii="Times New Roman" w:hAnsi="Times New Roman" w:cs="Times New Roman"/>
          <w:sz w:val="24"/>
          <w:szCs w:val="12"/>
        </w:rPr>
        <w:t xml:space="preserve"> </w:t>
      </w:r>
      <w:r w:rsidRPr="00B03B51">
        <w:rPr>
          <w:rFonts w:ascii="Times New Roman" w:hAnsi="Times New Roman" w:cs="Times New Roman"/>
          <w:sz w:val="24"/>
        </w:rPr>
        <w:t>Tāpēc procentus, kas uzkrājas ar instrumentu, vienmēr jāieraksta saistītā instrumenta kategorijā, ja iespējams, kādā no šā instrumenta kategorijas apakšpunktiem. Tas ir vienīgais iespējamais risinājums attiecībā uz bezkuponu obligācijām vai īstermiņa vērtspapīriem, kas emitēti ar diskontu, jo atšķirībā no cita veida parāda vērtspapīriem uzkrātie procenti, kas saistīti ar diskontu, netiek norādīti atsevišķi no pamatsummas vērtības, kad notiek darījums.</w:t>
      </w:r>
    </w:p>
    <w:p w14:paraId="4F10137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6C7339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EKS 2010 4.46. punkta b) apakšpunktā noteikts, ka obligācijām, kas emitētas ar diskontu, var būt divi procentu komponenti. Viens attiecībā uz diskontu, kas uzkrāts obligācijas darbības laikā, un otrs – attiecībā uz regulāri maksāto kuponu. Ciktāl tas attiecas uz uzkrāto procentu atkārtotu ieguldīšanu, šie komponenti ir jātraktē vienādi.</w:t>
      </w:r>
    </w:p>
    <w:p w14:paraId="1313EC2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E5726A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Ja darījums notiek sekundārajos tirgos, uzkrāto procentu summa tiek vienlaikus mainīta ar pamatsummu. To nevar laist apgrozībā atsevišķi. Darījums jāuzskata par vienotu veselumu. Pircējs maksā pārdevējam uzkrāto procentu summu. Visu darījuma vērtību ieraksta finanšu kontos, neierakstot īpašuma ienākumus. Šis darījums neietekmē uzkrāto procentu kompilāciju no emitenta viedokļa. Jaunā īpašnieka kontos procentus uzkrāj no datuma, kad veikts ieraksts viņa portfelī. Ja jaunais īpašnieks šo aktīvu ir paturējis, faktiskais kupona maksājums vēlāk tiktu ierakstīts tikai finanšu kontā (procentu uzkrāšanās pastāvīgi tiek ierakstīta nefinanšu kontā), un var uzskatīt, ka aktīva iegādes brīdī iegūtie uzkrātie procenti, kam pieskaitīti visi kopš šā datuma uzkrātie procenti, ir pārdoti atpakaļ emitentam.</w:t>
      </w:r>
    </w:p>
    <w:p w14:paraId="70738F84" w14:textId="77777777" w:rsidR="00994F93" w:rsidRPr="00B03B51" w:rsidRDefault="00994F93" w:rsidP="00994F93">
      <w:pPr>
        <w:tabs>
          <w:tab w:val="left" w:pos="843"/>
        </w:tabs>
        <w:jc w:val="both"/>
        <w:rPr>
          <w:rFonts w:ascii="Times New Roman" w:hAnsi="Times New Roman" w:cs="Times New Roman"/>
          <w:noProof/>
          <w:sz w:val="24"/>
        </w:rPr>
      </w:pPr>
    </w:p>
    <w:p w14:paraId="1C559EAF" w14:textId="77777777" w:rsidR="00994F93" w:rsidRPr="00B03B51" w:rsidRDefault="00994F93" w:rsidP="00994F93">
      <w:pPr>
        <w:tabs>
          <w:tab w:val="left" w:pos="843"/>
        </w:tabs>
        <w:jc w:val="both"/>
        <w:rPr>
          <w:rFonts w:ascii="Times New Roman" w:hAnsi="Times New Roman" w:cs="Times New Roman"/>
          <w:noProof/>
          <w:sz w:val="24"/>
        </w:rPr>
      </w:pPr>
      <w:r w:rsidRPr="00B03B51">
        <w:rPr>
          <w:rFonts w:ascii="Times New Roman" w:hAnsi="Times New Roman" w:cs="Times New Roman"/>
          <w:sz w:val="24"/>
        </w:rPr>
        <w:t>14. Līdzīgs traktējums jāpiemēro gadījumā, ja parāda vērtspapīri tiek emitēti laidienos.</w:t>
      </w:r>
      <w:r w:rsidRPr="00B03B51">
        <w:rPr>
          <w:rStyle w:val="FootnoteReference"/>
          <w:rFonts w:ascii="Times New Roman" w:hAnsi="Times New Roman" w:cs="Times New Roman"/>
          <w:noProof/>
          <w:sz w:val="24"/>
        </w:rPr>
        <w:footnoteReference w:id="125"/>
      </w:r>
      <w:r w:rsidRPr="00B03B51">
        <w:rPr>
          <w:rFonts w:ascii="Times New Roman" w:hAnsi="Times New Roman" w:cs="Times New Roman"/>
          <w:sz w:val="24"/>
        </w:rPr>
        <w:t xml:space="preserve"> Šādos gadījumos pārdošanas cena atainos procentus, kas uzkrāti kopš pirmā laidiena emisijas, un šajā cenā varētu būt iekļauti par nesamaksātajiem kuponiem uzkrātie procenti. EKS 2010 20.183. punktā noteikts: </w:t>
      </w:r>
      <w:r w:rsidRPr="00B03B51">
        <w:rPr>
          <w:rFonts w:ascii="Times New Roman" w:hAnsi="Times New Roman" w:cs="Times New Roman"/>
          <w:i/>
          <w:iCs/>
          <w:sz w:val="24"/>
        </w:rPr>
        <w:t>Šādi pārdotie kuponi nav ne valdības ieņēmumi pārdošanas brīdī, ne prēmijas.</w:t>
      </w:r>
      <w:r w:rsidRPr="00B03B51">
        <w:rPr>
          <w:rFonts w:ascii="Times New Roman" w:hAnsi="Times New Roman" w:cs="Times New Roman"/>
          <w:i/>
          <w:sz w:val="24"/>
        </w:rPr>
        <w:t xml:space="preserve"> </w:t>
      </w:r>
      <w:r w:rsidRPr="00B03B51">
        <w:rPr>
          <w:rFonts w:ascii="Times New Roman" w:hAnsi="Times New Roman" w:cs="Times New Roman"/>
          <w:i/>
          <w:iCs/>
          <w:sz w:val="24"/>
        </w:rPr>
        <w:t>Tos uzskata par finanšu avansu</w:t>
      </w:r>
      <w:r w:rsidRPr="00B03B51">
        <w:rPr>
          <w:rFonts w:ascii="Times New Roman" w:hAnsi="Times New Roman" w:cs="Times New Roman"/>
          <w:sz w:val="24"/>
        </w:rPr>
        <w:t>. Tie ir jāieraksta atbilstīgi emitētajam finanšu instrumentam, un tādējādi no uzkrāšanas viedokļa tos nedrīkst savienot kopā ar procentu izdevumiem.</w:t>
      </w:r>
    </w:p>
    <w:p w14:paraId="1BB5706D" w14:textId="77777777" w:rsidR="00994F93" w:rsidRPr="00B03B51" w:rsidRDefault="00994F93" w:rsidP="00994F93">
      <w:pPr>
        <w:jc w:val="both"/>
        <w:rPr>
          <w:rFonts w:ascii="Times New Roman" w:hAnsi="Times New Roman" w:cs="Times New Roman"/>
          <w:noProof/>
          <w:sz w:val="24"/>
        </w:rPr>
      </w:pPr>
    </w:p>
    <w:p w14:paraId="1AA6B8B4"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2" w:name="2.4.3.5_Non-negotiable_instruments"/>
      <w:bookmarkEnd w:id="132"/>
      <w:r w:rsidRPr="00B03B51">
        <w:rPr>
          <w:rFonts w:ascii="Times New Roman" w:hAnsi="Times New Roman" w:cs="Times New Roman"/>
          <w:sz w:val="24"/>
        </w:rPr>
        <w:t>2.4.3.5. NEAPGROZĀMI INSTRUMENTI</w:t>
      </w:r>
    </w:p>
    <w:p w14:paraId="09088039" w14:textId="77777777" w:rsidR="00994F93" w:rsidRPr="00B03B51" w:rsidRDefault="00994F93" w:rsidP="00994F93">
      <w:pPr>
        <w:tabs>
          <w:tab w:val="left" w:pos="843"/>
        </w:tabs>
        <w:jc w:val="both"/>
        <w:rPr>
          <w:rFonts w:ascii="Times New Roman" w:hAnsi="Times New Roman" w:cs="Times New Roman"/>
          <w:noProof/>
          <w:sz w:val="24"/>
        </w:rPr>
      </w:pPr>
    </w:p>
    <w:p w14:paraId="262BD257" w14:textId="77777777" w:rsidR="00994F93" w:rsidRPr="00B03B51" w:rsidRDefault="00994F93" w:rsidP="00994F93">
      <w:pPr>
        <w:tabs>
          <w:tab w:val="left" w:pos="843"/>
        </w:tabs>
        <w:jc w:val="both"/>
        <w:rPr>
          <w:rFonts w:ascii="Times New Roman" w:hAnsi="Times New Roman" w:cs="Times New Roman"/>
          <w:noProof/>
          <w:sz w:val="24"/>
        </w:rPr>
      </w:pPr>
      <w:r w:rsidRPr="00B03B51">
        <w:rPr>
          <w:rFonts w:ascii="Times New Roman" w:hAnsi="Times New Roman" w:cs="Times New Roman"/>
          <w:sz w:val="24"/>
        </w:rPr>
        <w:t>15. Attiecībā uz noguldījumiem (</w:t>
      </w:r>
      <w:r w:rsidRPr="00B03B51">
        <w:rPr>
          <w:rFonts w:ascii="Times New Roman" w:hAnsi="Times New Roman" w:cs="Times New Roman"/>
          <w:b/>
          <w:bCs/>
          <w:sz w:val="24"/>
        </w:rPr>
        <w:t>AF.22 un AF.29</w:t>
      </w:r>
      <w:r w:rsidRPr="00B03B51">
        <w:rPr>
          <w:rFonts w:ascii="Times New Roman" w:hAnsi="Times New Roman" w:cs="Times New Roman"/>
          <w:sz w:val="24"/>
        </w:rPr>
        <w:t xml:space="preserve">) EKS 2010 7.65. punktā noteikts vien tas, ka bilancē tiek ierakstīta to nominālvērtība, kas EKS 2010 7.39. punktā noteikta šādi – </w:t>
      </w:r>
      <w:r w:rsidRPr="00B03B51">
        <w:rPr>
          <w:rFonts w:ascii="Times New Roman" w:hAnsi="Times New Roman" w:cs="Times New Roman"/>
          <w:i/>
          <w:iCs/>
          <w:sz w:val="24"/>
        </w:rPr>
        <w:t>nominālvērtība atspoguļo sākotnēji piešķirto līdzekļu summu plus jebkuru vēlāku avansu mīnus jebkādus maksājumus plus uzkrātos procentus</w:t>
      </w:r>
      <w:r w:rsidRPr="00B03B51">
        <w:rPr>
          <w:rFonts w:ascii="Times New Roman" w:hAnsi="Times New Roman" w:cs="Times New Roman"/>
          <w:sz w:val="24"/>
        </w:rPr>
        <w:t>. Šai definīcijai atbilst gan noguldījumi pēc pieprasījuma un krājnoguldījumi, kad noguldītās summas uzkrāšanas periodā var mainīties, gan arī termiņnoguldījumi, kad teorētiski summa nemainās visā uzkrāšanas periodā.</w:t>
      </w:r>
    </w:p>
    <w:p w14:paraId="7A311FF4" w14:textId="77777777" w:rsidR="00994F93" w:rsidRPr="00B03B51" w:rsidRDefault="00994F93" w:rsidP="00994F93">
      <w:pPr>
        <w:tabs>
          <w:tab w:val="left" w:pos="843"/>
        </w:tabs>
        <w:jc w:val="both"/>
        <w:rPr>
          <w:rFonts w:ascii="Times New Roman" w:hAnsi="Times New Roman" w:cs="Times New Roman"/>
          <w:noProof/>
          <w:sz w:val="24"/>
        </w:rPr>
      </w:pPr>
    </w:p>
    <w:p w14:paraId="49A3D75D" w14:textId="77777777" w:rsidR="00994F93" w:rsidRPr="00B03B51" w:rsidRDefault="00994F93" w:rsidP="00994F93">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16. Attiecībā uz aizdevumiem EKS 2010 7.70. punktā noteikts, ka </w:t>
      </w:r>
      <w:r w:rsidRPr="00B03B51">
        <w:rPr>
          <w:rFonts w:ascii="Times New Roman" w:hAnsi="Times New Roman" w:cs="Times New Roman"/>
          <w:i/>
          <w:iCs/>
          <w:sz w:val="24"/>
        </w:rPr>
        <w:t>gan kreditoru, gan debitoru bilancēs ierakstāmās vērtības ir nominālvērtības neatkarīgi no tā, vai aizdevumi ir ienākumus nesoši vai nenesoši</w:t>
      </w:r>
      <w:r w:rsidRPr="00B03B51">
        <w:rPr>
          <w:rFonts w:ascii="Times New Roman" w:hAnsi="Times New Roman" w:cs="Times New Roman"/>
          <w:sz w:val="24"/>
        </w:rPr>
        <w:t>. Tas nozīmē, ka procenti vienmēr jāpieskaita atlikušajai aizdevuma pamatsummai.</w:t>
      </w:r>
    </w:p>
    <w:p w14:paraId="2D89F13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FF78A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Ar noguldījumiem un aizdevumiem saistīto uzkrāto procentu ierakstīšanu nedrīkst veikt atbilstīgi valstī pastāvošajai praksei vai pašu darījumu veicēju ieskatiem. Attiecībā uz noguldījumiem procentus pamatsummai var pievienot vienīgi saskaņā ar konkrētiem nosacījumiem (konkrētā perioda beigās). Attiecībā uz aizdevumiem līgumā starp debitoru un kreditoru skaidri nosaka pamatsummas vērtību (atmaksājamo kapitālu), kurā neietilpst procenti. Turklāt procentu maksājumiem un pamatsummas atmaksai nav obligāti jānotiek vienlaikus. Tomēr, tā kā EKS 2010 ir skaidri noteikts, ka uzkrātos procentus asimilē jaunu instrumenta summu iegādei, uzkrāto procentu atkārtota ieguldīšana analīzē jāuzskata par pamatsummu. Noguldījumu gadījumā uzkrāto procentu maksājums būtībā ir daļēja likvidācija, turpretī procentu maksājums par aizdevumiem ir iekļauts amortizācijas procesā.</w:t>
      </w:r>
    </w:p>
    <w:p w14:paraId="7678AC21" w14:textId="77777777" w:rsidR="00994F93" w:rsidRPr="00B03B51" w:rsidRDefault="00994F93" w:rsidP="00994F93">
      <w:pPr>
        <w:jc w:val="both"/>
        <w:rPr>
          <w:rFonts w:ascii="Times New Roman" w:eastAsia="Arial" w:hAnsi="Times New Roman" w:cs="Times New Roman"/>
          <w:noProof/>
          <w:sz w:val="24"/>
          <w:szCs w:val="15"/>
        </w:rPr>
      </w:pPr>
    </w:p>
    <w:p w14:paraId="0E7054CB"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3" w:name="2.4.3.6_Instruments_issued_at_a_discount"/>
      <w:bookmarkEnd w:id="133"/>
      <w:r w:rsidRPr="00B03B51">
        <w:rPr>
          <w:rFonts w:ascii="Times New Roman" w:hAnsi="Times New Roman" w:cs="Times New Roman"/>
          <w:sz w:val="24"/>
        </w:rPr>
        <w:t>2.4.3.6. INSTRUMENTI, KAS EMITĒTI AR DISKONTU</w:t>
      </w:r>
    </w:p>
    <w:p w14:paraId="0671AB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C6056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18. Vekseļi un citi īstermiņa instrumenti (kuru atmaksāšanas termiņš parasti nav ilgāks par vienu gadu) ir izdoti ar diskontu vai prēmiju, kas nozīmē, ka procenti ir vienādi ar emisijas cenas un termiņa beigās esošās izpirkšanas vērtības, kas parasti ir nominālvērtība, starpību. Šie procenti jāuzkrāj instrumenta darbības laikā, un gadījumā, ja tiek veikti darījumi sekundārajā tirgū, instrumenta tirgus cenas maiņas ietekme (kas ierakstīta kā turēšanas guvumi/zaudējumi) skaidri jānošķir no to uzkrāto procentu uzkrātās summas, ar ko puses apmainās. Pēc būtības šajā saistībā starp īstermiņa instrumentiem un bezkupona obligācijām, kas tiek emitētas ar ilgāku maksāšanas termiņu (parasti vismaz 5 gadi), atšķirības nepastāv. Šis jautājums ir apspriests EKS 2010 4.45.–4.46. punktā un EKS 2010 20.184.–20.186. punktā. Nav iemesla augsta diskonta obligācijas nošķirt no citām obligācijām, kas emitētas ar diskontu, teiksim, gadījumos, kad savstarpēji aizvietojamas obligācijas ir emitētas vairākos laidienos. Tās jātraktē vienādi neatkarīgi no diskonta apmēra. Apstiprinājums tam ir sniegts EKS 2010 20.184. punktā. Tas atbilst jau šīs rokasgrāmatas pirmajā izdevumā sniegtajam ieteikumam.</w:t>
      </w:r>
      <w:r w:rsidRPr="00B03B51">
        <w:rPr>
          <w:rStyle w:val="FootnoteReference"/>
          <w:rFonts w:ascii="Times New Roman" w:hAnsi="Times New Roman" w:cs="Times New Roman"/>
          <w:noProof/>
          <w:sz w:val="24"/>
        </w:rPr>
        <w:footnoteReference w:id="126"/>
      </w:r>
    </w:p>
    <w:p w14:paraId="34CA75D2" w14:textId="77777777" w:rsidR="00994F93" w:rsidRPr="00B03B51" w:rsidRDefault="00994F93" w:rsidP="00994F93">
      <w:pPr>
        <w:jc w:val="both"/>
        <w:rPr>
          <w:rFonts w:ascii="Times New Roman" w:eastAsia="Arial" w:hAnsi="Times New Roman" w:cs="Times New Roman"/>
          <w:noProof/>
          <w:sz w:val="24"/>
          <w:szCs w:val="14"/>
        </w:rPr>
      </w:pPr>
    </w:p>
    <w:p w14:paraId="5616C99C"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4" w:name="2.4.3.7_Arrears_of_interest_recorded_und"/>
      <w:bookmarkEnd w:id="134"/>
      <w:r w:rsidRPr="00B03B51">
        <w:rPr>
          <w:rFonts w:ascii="Times New Roman" w:hAnsi="Times New Roman" w:cs="Times New Roman"/>
          <w:sz w:val="24"/>
        </w:rPr>
        <w:t>2.4.3.7. NOKAVĒTIE PROCENTU MAKSĀJUMI, KAS IERAKSTĪTI ATBILSTOŠI INSTRUMENTAM</w:t>
      </w:r>
    </w:p>
    <w:p w14:paraId="43415B1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D5026AC" w14:textId="44F31F7C"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Nokavētie procentu maksājumi rodas, kad procenti netiek samaksāti līgumā noteiktajā maksājuma termiņā. Tos ieraksta pie instrumenta tāpat kā iepriekš apspriesto uzkrāto procentu atkārtotu ieguldījumu. Tos abus ieraksta atbilstoši instrumentam līdz brīdim, kad tie tiek faktiski samaksāti vai atsevišķos gadījumos atcelti</w:t>
      </w:r>
      <w:r w:rsidRPr="00B03B51">
        <w:rPr>
          <w:rStyle w:val="FootnoteReference"/>
          <w:rFonts w:ascii="Times New Roman" w:hAnsi="Times New Roman" w:cs="Times New Roman"/>
          <w:noProof/>
          <w:sz w:val="24"/>
        </w:rPr>
        <w:footnoteReference w:id="127"/>
      </w:r>
      <w:r w:rsidRPr="00B03B51">
        <w:rPr>
          <w:rFonts w:ascii="Times New Roman" w:hAnsi="Times New Roman" w:cs="Times New Roman"/>
          <w:sz w:val="24"/>
        </w:rPr>
        <w:t xml:space="preserve"> (kas tādējādi ir sava veida parāda </w:t>
      </w:r>
      <w:r w:rsidR="00646653" w:rsidRPr="00B03B51">
        <w:rPr>
          <w:rFonts w:ascii="Times New Roman" w:hAnsi="Times New Roman" w:cs="Times New Roman"/>
          <w:sz w:val="24"/>
        </w:rPr>
        <w:t>anulēšana</w:t>
      </w:r>
      <w:r w:rsidRPr="00B03B51">
        <w:rPr>
          <w:rFonts w:ascii="Times New Roman" w:hAnsi="Times New Roman" w:cs="Times New Roman"/>
          <w:sz w:val="24"/>
        </w:rPr>
        <w:t>, kura jātraktē atbilstoši ierastajai kārtībai).</w:t>
      </w:r>
    </w:p>
    <w:p w14:paraId="46E8597E" w14:textId="77777777" w:rsidR="00994F93" w:rsidRPr="00B03B51" w:rsidRDefault="00994F93" w:rsidP="00994F93">
      <w:pPr>
        <w:jc w:val="both"/>
        <w:rPr>
          <w:rFonts w:ascii="Times New Roman" w:eastAsia="Arial" w:hAnsi="Times New Roman" w:cs="Times New Roman"/>
          <w:noProof/>
          <w:sz w:val="24"/>
          <w:szCs w:val="16"/>
        </w:rPr>
      </w:pPr>
    </w:p>
    <w:p w14:paraId="5ABE1BC7"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5" w:name="2.4.3.8_Stripped_bonds"/>
      <w:bookmarkEnd w:id="135"/>
      <w:r w:rsidRPr="00B03B51">
        <w:rPr>
          <w:rFonts w:ascii="Times New Roman" w:hAnsi="Times New Roman" w:cs="Times New Roman"/>
          <w:sz w:val="24"/>
        </w:rPr>
        <w:t>2.4.3.8. SADALĪTĀS OBLIGĀCIJAS</w:t>
      </w:r>
    </w:p>
    <w:p w14:paraId="4A3C75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C7222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EKS 2010 5.96. punkta d) apakšpunktā ir minēta pamatsummas un procentu atdalīšana, proti, tas ir veids, kā “parasta” (jeb tradicionāla) obligācija pēc turētāju ierosmes tiek pārveidota par bezkuponu obligācijām. Tradicionāli tādējādi tiek izveidoti tirgū atsevišķi apgrozāmi sertifikāti, kas atspoguļo turpmākos procentu maksājumus un turpmāko pamatsummas atmaksu, bet “savstarpēji aizvietojamu sertifikātu” gadījumā visas plūsmas, kas saistītas ar konkrēto atmaksāšanas termiņu. Faktisko maksājumu plūsmu ziņā šī operācija emitentam ir </w:t>
      </w:r>
      <w:r w:rsidRPr="00B03B51">
        <w:rPr>
          <w:rFonts w:ascii="Times New Roman" w:hAnsi="Times New Roman" w:cs="Times New Roman"/>
          <w:sz w:val="24"/>
        </w:rPr>
        <w:lastRenderedPageBreak/>
        <w:t>neitrāla. Pamatsummas un procentu atdalīšana galvenokārt attiecas uz centrālās valdības emitētajām obligācijām.</w:t>
      </w:r>
    </w:p>
    <w:p w14:paraId="11AFE4E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EC63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Tā kā pamatsummas un procentu atdalīšanu ieguldītāji īsteno brīvprātīgi, pārrēķināšanu veic tikai attiecībā uz obligācijas kopējās neatmaksātās summas daļu. Parasti pamatsummas un procentu atdalīšana ir pastāvīgs risinājums, ko iespējams īstenot jebkurā laikā, un tas ir atgriezenisks, proti, jebkurā laikā obligāciju iespējams “atjaunot” tās sākotnējā stāvoklī, apvienojot visu atdalīto pamatsummas un procentu komplektu, un parasti to dara ieguldītājs. Ja atdalītie procenti un pamatsumma ir savstarpēji aizvietojami attiecībā uz atmaksāšanas termiņu, ir iespējams izveidot jaunu obligāciju no sertifikātiem, kuri emitēti no dažādām sākotnējām obligācijām. Atdalīto procentu un pamatsummas vērtību summa ir aktuāri vienāda ar kopējām plūsmām, tostarp ar sākotnējās obligācijas pamatsummas izpirkumu un regulārajiem procentu maksājumiem pamatsummas un procentu atdalīšanas brīdī.</w:t>
      </w:r>
    </w:p>
    <w:p w14:paraId="3EBF93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6870E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Atdalītos procentus un pamatsummu nedrīkst ierakstīt kā jaunus parāda instrumentus, kas atšķiras no sākotnējā instrumenta. Ja (emitenta grāmatvedības dokumentos un attiecībā uz pārmērīga budžeta deficīta novēršanas procedūru) ieraksta parāda nominālvērtību, sākotnējā parāda ierakstīšana nemainās, kad obligāciju sadala (skat. 8.2.2.1. apakšiedaļu). Ja ieraksta parāda tirgus vērtību, pamatsummas un procentu atdalīšana nemaina parāda kopējo tirgus vērtību.</w:t>
      </w:r>
    </w:p>
    <w:p w14:paraId="1647A2D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53E6F0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Līdz ar to pamatsummas un procentu atdalīšana nemaina aizņemšanās izmaksas un nenodrošina emitentam papildu finansējumu. Tas neietekmē uzkrātos procentu izdevumus, kuriem joprojām jābūt noteiktiem saskaņā ar likmi, kas piemērota sākotnējo obligāciju emisijas laikā, ievērojot debitora principu.</w:t>
      </w:r>
    </w:p>
    <w:p w14:paraId="5736AC2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777F02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Ja valdība iegādājas atdalītos procentus un pamatsummas, statistikas veidotājiem ir rūpīgi jānovērtē, kā darījumi ietekmē valdības deficītu un parādu, daļēji konsolidācijas dēļ (skat. arī 8.2.2.1. apakšiedaļu). Ja iegādi veic cita vienība, nevis tā, kas emitējusi obligāciju, atdalīto procentu un pamatsummas iegāde ir jāieraksta kā finanšu aktīva iegāde, kuru būtu nepieciešams konsolidēt, kad tiek iesniegti konsolidētie pārskati (nevis tad, kad iesniedz nekonsolidētos pārskatus). Ja iegādi ir veicis obligācijas emitents, atdalīto procentu un pamatsummas iegādi ieraksta kā saistību izpirkumu.</w:t>
      </w:r>
    </w:p>
    <w:p w14:paraId="7F44A5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786E12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Šo konsolidāciju ir iespējams veikt divējādi atkarībā no tā, vai vienībai ir vai nav pietiekami daudz atdalīto procentu un pamatsummu, lai veiktu atgriezenisko pārveidošanu:</w:t>
      </w:r>
    </w:p>
    <w:p w14:paraId="5C786F01"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1347716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atsevišķu atdalīto procentu un pamatsummas izdevumu D.41 konsolidācijas ietekme (piemēram, kad valdībai ir atsevišķi atdalītie procenti un pamatsummas, kurus nevar apvienot, lai dublētu obligāciju) ir jānosaka, izvērtējot katra konkrēta termiņa atdalīto procentu un pamatsummas vidējo ienesīgumu, kas jāaprēķina saskaņā ar debitora principu, un piemērojot vispārīgus noteikumus attiecībā uz D.41 konsolidāciju, proti, jāizmanto līdzīga loģika kā tā, ko piemēro obligācijas parastai atpirkšanai;</w:t>
      </w:r>
    </w:p>
    <w:p w14:paraId="36D62F7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51E6F6A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vienībai ir pietiekami daudz atdalīto procentu un pamatsummu, lai atdalītos procentus un pamatsummas apvienotu</w:t>
      </w:r>
      <w:r w:rsidRPr="00B03B51">
        <w:rPr>
          <w:rStyle w:val="FootnoteReference"/>
          <w:rFonts w:ascii="Times New Roman" w:hAnsi="Times New Roman" w:cs="Times New Roman"/>
          <w:noProof/>
          <w:sz w:val="24"/>
        </w:rPr>
        <w:footnoteReference w:id="128"/>
      </w:r>
      <w:r w:rsidRPr="00B03B51">
        <w:rPr>
          <w:rFonts w:ascii="Times New Roman" w:hAnsi="Times New Roman" w:cs="Times New Roman"/>
          <w:sz w:val="24"/>
        </w:rPr>
        <w:t xml:space="preserve">, konsolidāciju var veikt saskaņā ar parasto noteikumu, un to </w:t>
      </w:r>
      <w:r w:rsidRPr="00B03B51">
        <w:rPr>
          <w:rFonts w:ascii="Times New Roman" w:hAnsi="Times New Roman" w:cs="Times New Roman"/>
          <w:sz w:val="24"/>
        </w:rPr>
        <w:lastRenderedPageBreak/>
        <w:t>dara, samazinot parādu par tādas sintētiskās obligācijas “nominālvērtību”, kas izveidota, apvienojot atdalītos procentus un pamatsummas. Tādējādi valdības izdevumi par procentiem (D.41), veicot konsolidāciju, tiek samazināti līdzīgā veidā kā tad, kad valdība iegādājas attiecīgo obligāciju.</w:t>
      </w:r>
    </w:p>
    <w:p w14:paraId="2490BD55"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FBC31D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Tomēr jāatzīmē, ka obligācijas atjaunošanas tās sākotnējā stāvoklī gadījumā b) metodes piemērošana varētu nesniegt tieši tādus pašus rezultātus kā a) metodes piemērošana attiecībā uz visiem konkrētās obligācijas atdalītajiem procentiem un pamatsummām. Tālab statistikas veidotāji dažkārt vēlas veikt īpašas korekcijas.</w:t>
      </w:r>
    </w:p>
    <w:p w14:paraId="51D17F71" w14:textId="77777777" w:rsidR="00994F93" w:rsidRPr="00B03B51" w:rsidRDefault="00994F93" w:rsidP="00994F93">
      <w:pPr>
        <w:jc w:val="both"/>
        <w:rPr>
          <w:rFonts w:ascii="Times New Roman" w:eastAsia="Arial" w:hAnsi="Times New Roman" w:cs="Times New Roman"/>
          <w:noProof/>
          <w:sz w:val="24"/>
          <w:szCs w:val="14"/>
        </w:rPr>
      </w:pPr>
    </w:p>
    <w:p w14:paraId="6D12E69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Rezumējot, saskaņā ar statistikas veidotāju traktējumu atsevišķi atdalītie procenti un pamatsummas (kurus nevar apvienot, lai dublētu esošo obligāciju) ir atsevišķs parāda instruments, kas rada D.41 saistībā ar nosacījumiem, kas noteikti instrumenta darbības sākumā, ievērojot debitora principu (tas ir, kad tika emitēts sākotnējais parāda instruments, izmantojot unikālu katra no konkrētās obligācijas/laidiena izrietošā atdalīto procentu un pamatsummas ienesīgumu.</w:t>
      </w:r>
      <w:r w:rsidRPr="00B03B51">
        <w:rPr>
          <w:rStyle w:val="FootnoteReference"/>
          <w:rFonts w:ascii="Times New Roman" w:hAnsi="Times New Roman" w:cs="Times New Roman"/>
          <w:noProof/>
          <w:sz w:val="24"/>
        </w:rPr>
        <w:footnoteReference w:id="129"/>
      </w:r>
      <w:r w:rsidRPr="00B03B51">
        <w:rPr>
          <w:rFonts w:ascii="Times New Roman" w:hAnsi="Times New Roman" w:cs="Times New Roman"/>
          <w:sz w:val="24"/>
        </w:rPr>
        <w:t xml:space="preserve"> Piemēram, ja tirgus procentu likme obligācijas emisijas brīdī bija 5 % (ņemot vērā tās termiņu), uzskatāms, ka katram atdalīto procentu un pamatsummas komplektam procentu likme ir 5 %. Šāda pieeja statistikas veidotājiem, aplūkojot katra atdalīto procentu un pamatsummas komplekta vērtību, ļautu nošķirt, kādu daļu veido uzkrātie procenti, parāda atmaksa un attiecīgā gadījumā – pārvērtēšanas ietekme.</w:t>
      </w:r>
    </w:p>
    <w:p w14:paraId="092444B0" w14:textId="77777777" w:rsidR="00994F93" w:rsidRPr="00B03B51" w:rsidRDefault="00994F93" w:rsidP="00994F93">
      <w:pPr>
        <w:jc w:val="both"/>
        <w:rPr>
          <w:rFonts w:ascii="Times New Roman" w:hAnsi="Times New Roman" w:cs="Times New Roman"/>
          <w:noProof/>
          <w:sz w:val="24"/>
        </w:rPr>
      </w:pPr>
    </w:p>
    <w:p w14:paraId="4F6BB8B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36" w:name="2.4.3.9_Floating_rates_and_assimilated_i"/>
      <w:bookmarkEnd w:id="136"/>
      <w:r w:rsidRPr="00B03B51">
        <w:rPr>
          <w:rFonts w:ascii="Times New Roman" w:hAnsi="Times New Roman" w:cs="Times New Roman"/>
          <w:sz w:val="24"/>
        </w:rPr>
        <w:t>2.4.3.9. BRĪVI SVĀRSTĪGAS LIKMES UN LĪDZĪGI JAUTĀJUMI (TOSTARP UZKRĀJUMU PRĒMIJAS)</w:t>
      </w:r>
    </w:p>
    <w:p w14:paraId="729A988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FDA4E8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Parāda instrumentus var iedalīt triju veidu instrumentos:</w:t>
      </w:r>
    </w:p>
    <w:p w14:paraId="65038900"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53ABBDC9"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instrumenti ar fiksētu procentu likmi;</w:t>
      </w:r>
    </w:p>
    <w:p w14:paraId="7E9C9A5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58DAD38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instrumenti ar mainīgu procentu likmi:</w:t>
      </w:r>
    </w:p>
    <w:p w14:paraId="5DF1B1B1" w14:textId="77777777" w:rsidR="00994F93" w:rsidRPr="00B03B51" w:rsidRDefault="00994F93" w:rsidP="00994F93">
      <w:pPr>
        <w:pStyle w:val="BodyText"/>
        <w:tabs>
          <w:tab w:val="left" w:pos="1411"/>
        </w:tabs>
        <w:spacing w:before="0"/>
        <w:ind w:left="0" w:firstLine="0"/>
        <w:jc w:val="both"/>
        <w:rPr>
          <w:rFonts w:ascii="Times New Roman" w:hAnsi="Times New Roman" w:cs="Times New Roman"/>
          <w:noProof/>
          <w:sz w:val="24"/>
        </w:rPr>
      </w:pPr>
    </w:p>
    <w:p w14:paraId="1C3AB05D" w14:textId="77777777" w:rsidR="00994F93" w:rsidRPr="00B03B51" w:rsidRDefault="00994F93" w:rsidP="00994F93">
      <w:pPr>
        <w:pStyle w:val="BodyText"/>
        <w:tabs>
          <w:tab w:val="left" w:pos="1411"/>
        </w:tabs>
        <w:spacing w:before="0"/>
        <w:ind w:left="709" w:firstLine="0"/>
        <w:jc w:val="both"/>
        <w:rPr>
          <w:rFonts w:ascii="Times New Roman" w:hAnsi="Times New Roman" w:cs="Times New Roman"/>
          <w:noProof/>
          <w:sz w:val="24"/>
        </w:rPr>
      </w:pPr>
      <w:r w:rsidRPr="00B03B51">
        <w:rPr>
          <w:rFonts w:ascii="Times New Roman" w:hAnsi="Times New Roman" w:cs="Times New Roman"/>
          <w:sz w:val="24"/>
        </w:rPr>
        <w:t>1) indeksētie instrumenti;</w:t>
      </w:r>
    </w:p>
    <w:p w14:paraId="128CAA31" w14:textId="77777777" w:rsidR="00994F93" w:rsidRPr="00B03B51" w:rsidRDefault="00994F93" w:rsidP="00994F93">
      <w:pPr>
        <w:pStyle w:val="BodyText"/>
        <w:tabs>
          <w:tab w:val="left" w:pos="1411"/>
        </w:tabs>
        <w:spacing w:before="0"/>
        <w:ind w:left="709" w:firstLine="0"/>
        <w:jc w:val="both"/>
        <w:rPr>
          <w:rFonts w:ascii="Times New Roman" w:hAnsi="Times New Roman" w:cs="Times New Roman"/>
          <w:noProof/>
          <w:sz w:val="24"/>
        </w:rPr>
      </w:pPr>
    </w:p>
    <w:p w14:paraId="3969DB70" w14:textId="77777777" w:rsidR="00994F93" w:rsidRPr="00B03B51" w:rsidRDefault="00994F93" w:rsidP="00994F93">
      <w:pPr>
        <w:pStyle w:val="BodyText"/>
        <w:tabs>
          <w:tab w:val="left" w:pos="1411"/>
        </w:tabs>
        <w:spacing w:before="0"/>
        <w:ind w:left="709" w:firstLine="0"/>
        <w:jc w:val="both"/>
        <w:rPr>
          <w:rFonts w:ascii="Times New Roman" w:hAnsi="Times New Roman" w:cs="Times New Roman"/>
          <w:noProof/>
          <w:sz w:val="24"/>
        </w:rPr>
      </w:pPr>
      <w:r w:rsidRPr="00B03B51">
        <w:rPr>
          <w:rFonts w:ascii="Times New Roman" w:hAnsi="Times New Roman" w:cs="Times New Roman"/>
          <w:sz w:val="24"/>
        </w:rPr>
        <w:t>2) citi instrumenti ar mainīgu procentu likmi.</w:t>
      </w:r>
    </w:p>
    <w:p w14:paraId="2D14360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B6951F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Instrumenti ar fiksētu procentu likmi ir instrumenti ar pastāvīgiem kuponiem noteiktā periodā, kā arī instrumenti ar nepastāvīgiem kuponiem, kas ir fiksēti (t. i., zināmi) darbības sākumā, piemēram, pakāpeniskas likmes. Rokasgrāmatas 2.4.3.13. apakšiedaļā ir paskaidrots, ka pēdējā minētajā gadījumā nemainīgu ienesīgumu aprēķina instrumenta darbības laikā, dzēšot pieauguma vai samazinājuma profilu vai kādu citu sarežģītāku profilu, kas paredzēts instrumenta fiksētajos kuponos.</w:t>
      </w:r>
    </w:p>
    <w:p w14:paraId="1279EC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6B77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Instrumenti ar mainīgu procentu likmi (EKS 2010 5.98. punkts) var būt vai nu indeksētie instrumenti (skat. 2.4.3.11. apakšiedaļu), vai brīvi svārstīgas procentu likmes instrumenti.</w:t>
      </w:r>
    </w:p>
    <w:p w14:paraId="37D368E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46D0B4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30. Parāda instrumenti ar brīvi svārstīgo likmi nerada nekādus īpašus konceptuālus jautājumus </w:t>
      </w:r>
      <w:r w:rsidRPr="00B03B51">
        <w:rPr>
          <w:rFonts w:ascii="Times New Roman" w:hAnsi="Times New Roman" w:cs="Times New Roman"/>
          <w:sz w:val="24"/>
        </w:rPr>
        <w:lastRenderedPageBreak/>
        <w:t xml:space="preserve">attiecībā uz procentu ierakstīšanu atbilstīgi uzkrāšanas principam. Procenti, ko ieraksta (D.41 un attiecīgā gadījumā </w:t>
      </w:r>
      <w:r w:rsidRPr="00B03B51">
        <w:rPr>
          <w:rFonts w:ascii="Times New Roman" w:hAnsi="Times New Roman" w:cs="Times New Roman"/>
          <w:i/>
          <w:iCs/>
          <w:sz w:val="24"/>
        </w:rPr>
        <w:t>FISIM</w:t>
      </w:r>
      <w:r w:rsidRPr="00B03B51">
        <w:rPr>
          <w:rFonts w:ascii="Times New Roman" w:hAnsi="Times New Roman" w:cs="Times New Roman"/>
          <w:sz w:val="24"/>
        </w:rPr>
        <w:t>), mainās saskaņā ar noteiktu formulu.</w:t>
      </w:r>
    </w:p>
    <w:p w14:paraId="2655E7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8AE45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31. Jaukto procentu likmju instrumentu gadījumā, kad tiek apvienotas dažādas fiksētas un/vai brīvi svārstīgas likmes, ir jāaplūko divi (vai vairāki) dažādi instrumenti. Piemēram, obligācija, kas maksā </w:t>
      </w:r>
      <w:r w:rsidRPr="00B03B51">
        <w:rPr>
          <w:rFonts w:ascii="Times New Roman" w:hAnsi="Times New Roman" w:cs="Times New Roman"/>
          <w:i/>
          <w:iCs/>
          <w:sz w:val="24"/>
        </w:rPr>
        <w:t>Euribor</w:t>
      </w:r>
      <w:r w:rsidRPr="00B03B51">
        <w:rPr>
          <w:rFonts w:ascii="Times New Roman" w:hAnsi="Times New Roman" w:cs="Times New Roman"/>
          <w:sz w:val="24"/>
        </w:rPr>
        <w:t xml:space="preserve"> plus peļņas normu, ir jāsadala, ja peļņas norma ir fiksēta, bet nav konstanta obligācijas darbības laikā – un tikai procentu kompilēšanas vajadzībām – tā jāsadala </w:t>
      </w:r>
      <w:r w:rsidRPr="00B03B51">
        <w:rPr>
          <w:rFonts w:ascii="Times New Roman" w:hAnsi="Times New Roman" w:cs="Times New Roman"/>
          <w:i/>
          <w:iCs/>
          <w:sz w:val="24"/>
        </w:rPr>
        <w:t>Euribor</w:t>
      </w:r>
      <w:r w:rsidRPr="00B03B51">
        <w:rPr>
          <w:rFonts w:ascii="Times New Roman" w:hAnsi="Times New Roman" w:cs="Times New Roman"/>
          <w:sz w:val="24"/>
        </w:rPr>
        <w:t xml:space="preserve"> obligācijā un fiksētas likmes obligācijā.</w:t>
      </w:r>
    </w:p>
    <w:p w14:paraId="60A2F11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608584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EKS 2010 5.102. punkts attiecas uz parāda vērtspapīriem “ar jauktu procentu likmi”, un šajos gadījumos procenti vienlaikus vai secīgi sastāv no diviem fiksētiem/brīvi svārstīgiem komponentiem. Līdz ar to attiecībā uz katru komponentu piemēro atšķirīgus uzkrāto procentu noteikumus. Ja abi šie komponenti ir vienlaikus, izmantotā kompilēšanas metode atbilst tai, kas aprakstīta iepriekšējā punktā. Ja abi komponenti ir secīgi, ir nepieciešama kompleksāka pieeja, nevis tikai divu instrumentu identificēšana, ciktāl ir jāaprēķina kopīgā iekšējā atdeves likme visā instrumenta darbības laikā.</w:t>
      </w:r>
    </w:p>
    <w:p w14:paraId="692F497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62385B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Vērtspapīru gadījumā parasti pastāv saistība starp likmes indeksa būtību un procentu maksājumu biežumu. Procenti, kas indeksēti pa ceturkšņiem, parasti tiek maksāti katru ceturksni ar viena ceturkšņa kavēšanos. Tādējādi precīza summa, kas jāatmaksā turētājiem, ir zināma iepriekš. Šādā gadījumā uzskata, ka procenti ir “noteikti iepriekš”.</w:t>
      </w:r>
    </w:p>
    <w:p w14:paraId="2BCCE17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DF290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Tomēr procenti var būt arī “noteikti pēc tam”. Piemēram, ikgadējos procentus var indeksēt vidēji par iepriekšējiem divpadsmit mēnešiem. Precīzs kupons ir zināms neilgi pirms faktiskā maksājuma. Provizoriskās aplēses par uzkrātajiem procentiem var atšķirties no faktiskās summas, un tāpēc tās ir jāprecizē, tiklīdz ir zināma faktiskā summa.</w:t>
      </w:r>
    </w:p>
    <w:p w14:paraId="0D98019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82E43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Ja attiecībā uz aizdevumiem un noguldījumiem individuāla kompilācija nav praktiski iespējama, jāizmanto vispārēja informācija (jo īpaši attiecībā uz noguldījumiem). Šādos apstākļos procenti tiktu uzkrāti, pamatojoties uz aplēsēm par visiespējamāko likmi, saskaņā ar kuru maksājumi tiktu faktiski veikti.</w:t>
      </w:r>
    </w:p>
    <w:p w14:paraId="077AC9D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C9DC9C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EKS 2010 nav minētas uzkrājumu prēmijas. Šādas prēmijas izmaksā saskaņā ar noteikumiem attiecībā uz laika posmu, cik ilgi instruments ir turēts kā atlīdzība par stabilitāti. Tas ir papildu īpašuma ienākums, nevis nomināls turēšanas guvums. Uzkrāšanas prēmija ir jātraktē kā procenti un līdz ar to jāieraksta atbilstoši uzkrāšanas principam. Dažās shēmās prēmijas tiek iegūtas vienīgi pēc visa uzkrāšanas perioda beigām, un pirms tam nav iespējams ticami noteikt precīzu kopējo izmaksājamo summu. Tomēr parasti vienīgi neliela īpašnieku daļa nesaņem papildu atlīdzību, jo to lielākā daļa rīkojas racionāli, lai palielinātu savu peļņu no uzkrājuma. Līdz ar to procenti jāuzkrāj attiecībā uz “maksimālo bāzi”, t. i., iekļaujot tajā arī prēmiju. Kad ir noteikti zināms precīzs “racionālo” uzkrājēju īpatsvars, var pārskatīt iepriekšējos periodus. Citās shēmās “atlīdzība” izpaužas kā procentu likmes palielinājums turētājiem, kuri iepriekšējā(-os) gadā(-os) nav samazinājuši savus ietaupījumus. Šajā gadījumā, ja nav informācijas, kāds ir gaidāmais to noguldītāju īpatsvars, kuri saņem augstāku likmi, procenti ir jāuzkrāj, ņemot vērā augstāku likmi, un galīgo korekciju veic, kad ir pieejama precīza informācija.</w:t>
      </w:r>
    </w:p>
    <w:p w14:paraId="1C5258CB" w14:textId="77777777" w:rsidR="00994F93" w:rsidRPr="00B03B51" w:rsidRDefault="00994F93" w:rsidP="00994F93">
      <w:pPr>
        <w:jc w:val="both"/>
        <w:rPr>
          <w:rFonts w:ascii="Times New Roman" w:eastAsia="Arial" w:hAnsi="Times New Roman" w:cs="Times New Roman"/>
          <w:noProof/>
          <w:sz w:val="24"/>
          <w:szCs w:val="15"/>
        </w:rPr>
      </w:pPr>
    </w:p>
    <w:p w14:paraId="1E252F80"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bookmarkStart w:id="137" w:name="2.4.3.10_Lottery_instruments"/>
      <w:bookmarkEnd w:id="137"/>
      <w:r w:rsidRPr="00B03B51">
        <w:rPr>
          <w:rFonts w:ascii="Times New Roman" w:hAnsi="Times New Roman" w:cs="Times New Roman"/>
          <w:sz w:val="24"/>
        </w:rPr>
        <w:t>2.4.3.10. LOTERIJAS INSTRUMENTI</w:t>
      </w:r>
    </w:p>
    <w:p w14:paraId="139C0D7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BDE2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Loterijas instrumentu maksājumi, kad šie maksājumi ir veikti kā balvas nejauši izvēlētiem turētājiem, ir uzskatāmi par procentiem (EKS 2010 4.49. punkta c) apakšpunkts) un nevis par </w:t>
      </w:r>
      <w:r w:rsidRPr="00B03B51">
        <w:rPr>
          <w:rFonts w:ascii="Times New Roman" w:hAnsi="Times New Roman" w:cs="Times New Roman"/>
          <w:sz w:val="24"/>
        </w:rPr>
        <w:lastRenderedPageBreak/>
        <w:t>turēšanas guvumiem turētājam. Lai gan īpašnieki nezina, ko viņi saņems, emitentam ir zināma kopsumma, kas tiks izmaksāta balvās, tāpēc procentus ir iespējams ierakstīt, izmantojot parastos noteikumus, kurus piemēro saistībā ar debitora principu.</w:t>
      </w:r>
    </w:p>
    <w:p w14:paraId="639BB968" w14:textId="77777777" w:rsidR="00994F93" w:rsidRPr="00B03B51" w:rsidRDefault="00994F93" w:rsidP="00994F93">
      <w:pPr>
        <w:jc w:val="both"/>
        <w:rPr>
          <w:rFonts w:ascii="Times New Roman" w:eastAsia="Arial" w:hAnsi="Times New Roman" w:cs="Times New Roman"/>
          <w:noProof/>
          <w:sz w:val="24"/>
          <w:szCs w:val="15"/>
        </w:rPr>
      </w:pPr>
    </w:p>
    <w:p w14:paraId="6824C6C9"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bookmarkStart w:id="138" w:name="2.4.3.11_Index-linked_instruments"/>
      <w:bookmarkEnd w:id="138"/>
      <w:r w:rsidRPr="00B03B51">
        <w:rPr>
          <w:rFonts w:ascii="Times New Roman" w:hAnsi="Times New Roman" w:cs="Times New Roman"/>
          <w:sz w:val="24"/>
        </w:rPr>
        <w:t>2.4.3.11. INDEKSĒTIE INSTRUMENTI</w:t>
      </w:r>
    </w:p>
    <w:p w14:paraId="65EAFE7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330CED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Dažas vispārējās valdības vienības var emitēt parāda instrumentus (parasti obligāciju veidā), līguma noteikumos ietverot atrunu, kurā ir norādīts, ka visa atlīdzība vai tās daļa ir atkarīga no publicētā ekonomiskā indeksa numura. Šo atlīdzību var piemērot vienīgi attiecībā uz kuponu līdzīgi kā attiecībā uz finanšu instrumentiem ar mainīgu procentu likmi. Vai arī tas var attiekties vienīgi uz pamatsummas vērtību, un kupons tiek ietekmēts ar likmi, kas tiek piemērota pamatsummai. Citos gadījumos pamatsummai un kuponiem ir vienāds indekss.</w:t>
      </w:r>
    </w:p>
    <w:p w14:paraId="027C872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E5A4DC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39. NKS 2008 11.70. un 17.274.–17.282. punktā ir paskaidrota indeksēto instrumentu procentu ierakstīšana, kas bija īsi un neskaidri minēta NKS 1993 11.78. punktā.</w:t>
      </w:r>
    </w:p>
    <w:p w14:paraId="6966648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2BDC9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Attiecīgi EKS 2010 arī tika koriģēta salīdzinājumā ar EKS 1995. EKS 2010 4.46. punkta c) apakšpunktā un 6.56. punktā ir noteikta atšķirība starp “vispārējo cenu indeksu” un “šauru indeksu”.</w:t>
      </w:r>
      <w:r w:rsidRPr="00B03B51">
        <w:rPr>
          <w:rStyle w:val="FootnoteReference"/>
          <w:rFonts w:ascii="Times New Roman" w:hAnsi="Times New Roman" w:cs="Times New Roman"/>
          <w:noProof/>
          <w:sz w:val="24"/>
        </w:rPr>
        <w:footnoteReference w:id="130"/>
      </w:r>
      <w:r w:rsidRPr="00B03B51">
        <w:rPr>
          <w:rFonts w:ascii="Times New Roman" w:hAnsi="Times New Roman" w:cs="Times New Roman"/>
          <w:sz w:val="24"/>
        </w:rPr>
        <w:t xml:space="preserve"> Pirmais indekss ir, piemēram, patēriņu cenas indekss vai preču indekss, turpretī otrais indekss attiecas uz konkrētu preces vai krājuma cenu. Dažām valdībām ar inflāciju saistītas obligācijas ir būtiska to parāda daļa. Šaura indeksa kategorija nav tik bieži novērota, taču pagātne liecina, ka indeksācija var būt veikta attiecībā uz zeltu.</w:t>
      </w:r>
    </w:p>
    <w:p w14:paraId="65B9B01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FA5678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EKS 2010 4.46. punkta c) apakšpunktā ir noteikts, ka pirmajā gadījumā instrumenta vērtības maiņa, kas uzkrāšanas periodā notiek indeksa dēļ, tiek traktēta kā šajā periodā uzkrātie procenti papildus “parastajiem” procentiem (t. i., “kuponiem”), kas uzkrāti šajā periodā (un kas arī var būt saistīti ar indeksu).</w:t>
      </w:r>
    </w:p>
    <w:p w14:paraId="2780911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4ACEF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Attiecībā uz otro gadījumu turētāju var motivēt iespējamie turēšanas guvumi. Tomēr instrumenta vērtības izmaiņas ir jāieraksta kā procenti. Uzkrāto procentu summā, izmantojot sākotnējās tirgus prognozes, kas novērojamas ar ārpusbiržas nākotnes līgumu vai biržā tirgotu nākotnes līgumu u. c. starpniecību, ir jāiekļauj prognozētie turēšanas guvumi, kas saistīti ar sākotnējo indeksa atsauces līmeni, lai tos sadalītu uz visu līguma darbības laiku. Vēlāk jebkura novirze no šīm prognozēm būtu jāreģistrē kā pozitīva vai negatīva pārvērtēšanas ietekme. Ar šo procedūru tādējādi indeksētais parāda vērtspapīrs tiek pārveidots par līdzvērtīgu fiksētas likmes instrumentu no īpašuma ienākuma skatupunkta. Īpašuma ienākumu veido gaidāmie nākotnes kuponi (kas, iespējams, ir indeksēti) un gaidāmā peļņa no indeksētās pamatsummas.</w:t>
      </w:r>
    </w:p>
    <w:p w14:paraId="72F18DC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D8D4C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Rezultātā šaura indeksa instrumentam parasti veidojas uzkrātie turēšanas guvumi/zaudējumi visā instrumenta darbības laikā, kas nav nulle, pretstatā vispārējā cenu indeksa instrumentiem un parāda instrumentiem kopumā (skat. B piemēru salīdzinājumā ar A piemēru 1. ierāmējumā).</w:t>
      </w:r>
    </w:p>
    <w:p w14:paraId="1468774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6B542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Lai arī EKS 2010 20. nodaļā “Valdības konti” netiek nošķirti šaurie indeksi un vispārējie cenu indeksi, EKS 2010 4.46. punkta c) apakšpunktā ir skaidri norādīta iespēja ierakstīt turēšanas guvumus/zaudējumus.</w:t>
      </w:r>
    </w:p>
    <w:p w14:paraId="72BC62F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2CF73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45. Šaura indeksa piemērošanas gadījumā, kad parāda instruments (izteikts vietējā valūtā) ir </w:t>
      </w:r>
      <w:r w:rsidRPr="00B03B51">
        <w:rPr>
          <w:rFonts w:ascii="Times New Roman" w:hAnsi="Times New Roman" w:cs="Times New Roman"/>
          <w:sz w:val="24"/>
        </w:rPr>
        <w:lastRenderedPageBreak/>
        <w:t>saistīts ar ārvalsts valūtas kursu un nav skaidras tirgus norādes, kā šis kurss mainīsies instrumenta darbības laikā, visas instrumenta vērtības izmaiņas, kas saistītas ar valūtas kursa svārstībām, ir jāieraksta kā turēšanas guvumi vai zaudējumi, nevis kā procenti. Tas atbilst tam, kā tiek veikta ārvalstu valūtā izteiktu instrumentu uzskaite.</w:t>
      </w:r>
    </w:p>
    <w:p w14:paraId="1814EB66" w14:textId="77777777" w:rsidR="00994F93" w:rsidRPr="00B03B51" w:rsidRDefault="00994F93" w:rsidP="00994F93">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454BCB3E" w14:textId="77777777" w:rsidTr="001C4B02">
        <w:tc>
          <w:tcPr>
            <w:tcW w:w="9281" w:type="dxa"/>
          </w:tcPr>
          <w:p w14:paraId="7597698A"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139" w:name="_Toc67565065"/>
            <w:r w:rsidRPr="00B03B51">
              <w:rPr>
                <w:rFonts w:ascii="Times New Roman" w:hAnsi="Times New Roman" w:cs="Times New Roman"/>
                <w:sz w:val="24"/>
              </w:rPr>
              <w:t>1. ierāmējums. A piemērs. Procentu uzkrājuma aprēķins attiecībā uz indeksam piesaistītu obligāciju: visaptverošs indekss</w:t>
            </w:r>
            <w:bookmarkEnd w:id="139"/>
          </w:p>
          <w:p w14:paraId="4CB8C9E5"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8262C48"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5 gadu obligācija tiek izsniegta 1. gada 1. janvārī par cenu 1000, bez kuponiem, indeksēta ar visaptverošu cenas indeksu. Perioda sākumā indeksa vērtība ir 100.</w:t>
            </w:r>
          </w:p>
          <w:p w14:paraId="1B7DBB0C"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17D7C9F"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Šā indeksa un obligāciju vērtības ar atvasinātajiem procentiem un pārvērtējumiem ir šādas.</w:t>
            </w:r>
          </w:p>
          <w:p w14:paraId="0622C19F" w14:textId="77777777" w:rsidR="00994F93" w:rsidRPr="00B03B51" w:rsidRDefault="00994F93" w:rsidP="001C4B02">
            <w:pPr>
              <w:jc w:val="both"/>
              <w:rPr>
                <w:rFonts w:ascii="Times New Roman" w:eastAsia="Calibri" w:hAnsi="Times New Roman" w:cs="Times New Roman"/>
                <w:noProof/>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88"/>
              <w:gridCol w:w="2004"/>
              <w:gridCol w:w="1596"/>
              <w:gridCol w:w="1820"/>
              <w:gridCol w:w="1797"/>
            </w:tblGrid>
            <w:tr w:rsidR="00994F93" w:rsidRPr="00B03B51" w14:paraId="71D97AA4" w14:textId="77777777" w:rsidTr="00204583">
              <w:tc>
                <w:tcPr>
                  <w:tcW w:w="1788" w:type="dxa"/>
                </w:tcPr>
                <w:p w14:paraId="7E6AACC7" w14:textId="77777777" w:rsidR="00994F93" w:rsidRPr="00B03B51" w:rsidRDefault="00994F93" w:rsidP="001C4B02">
                  <w:pPr>
                    <w:jc w:val="both"/>
                    <w:rPr>
                      <w:rFonts w:ascii="Times New Roman" w:eastAsia="Calibri" w:hAnsi="Times New Roman" w:cs="Times New Roman"/>
                      <w:noProof/>
                      <w:sz w:val="24"/>
                      <w:szCs w:val="18"/>
                    </w:rPr>
                  </w:pPr>
                </w:p>
              </w:tc>
              <w:tc>
                <w:tcPr>
                  <w:tcW w:w="2004" w:type="dxa"/>
                  <w:vAlign w:val="bottom"/>
                </w:tcPr>
                <w:p w14:paraId="5D733B16" w14:textId="77777777" w:rsidR="00994F93" w:rsidRPr="00B03B51" w:rsidRDefault="00994F93" w:rsidP="001C4B02">
                  <w:pPr>
                    <w:jc w:val="center"/>
                    <w:rPr>
                      <w:rFonts w:ascii="Times New Roman" w:eastAsia="Calibri" w:hAnsi="Times New Roman" w:cs="Times New Roman"/>
                      <w:noProof/>
                      <w:sz w:val="24"/>
                      <w:szCs w:val="18"/>
                      <w:u w:val="single"/>
                    </w:rPr>
                  </w:pPr>
                  <w:r w:rsidRPr="00B03B51">
                    <w:rPr>
                      <w:rFonts w:ascii="Times New Roman" w:hAnsi="Times New Roman" w:cs="Times New Roman"/>
                      <w:sz w:val="24"/>
                      <w:szCs w:val="18"/>
                      <w:u w:val="single"/>
                    </w:rPr>
                    <w:t>Visaptverošs cenu indekss</w:t>
                  </w:r>
                </w:p>
                <w:p w14:paraId="28AEB14E" w14:textId="77777777" w:rsidR="00994F93" w:rsidRPr="00B03B51" w:rsidRDefault="00994F93" w:rsidP="001C4B02">
                  <w:pPr>
                    <w:jc w:val="center"/>
                    <w:rPr>
                      <w:rFonts w:ascii="Times New Roman" w:eastAsia="Calibri" w:hAnsi="Times New Roman" w:cs="Times New Roman"/>
                      <w:noProof/>
                      <w:sz w:val="24"/>
                      <w:szCs w:val="18"/>
                    </w:rPr>
                  </w:pPr>
                  <w:r w:rsidRPr="00B03B51">
                    <w:rPr>
                      <w:rFonts w:ascii="Times New Roman" w:hAnsi="Times New Roman" w:cs="Times New Roman"/>
                      <w:sz w:val="24"/>
                      <w:szCs w:val="18"/>
                    </w:rPr>
                    <w:t>Perioda beigas</w:t>
                  </w:r>
                </w:p>
              </w:tc>
              <w:tc>
                <w:tcPr>
                  <w:tcW w:w="1596" w:type="dxa"/>
                  <w:vAlign w:val="bottom"/>
                </w:tcPr>
                <w:p w14:paraId="50D4CFE8" w14:textId="77777777" w:rsidR="00994F93" w:rsidRPr="00B03B51" w:rsidRDefault="00994F93" w:rsidP="001C4B02">
                  <w:pPr>
                    <w:jc w:val="center"/>
                    <w:rPr>
                      <w:rFonts w:ascii="Times New Roman" w:eastAsia="Calibri" w:hAnsi="Times New Roman" w:cs="Times New Roman"/>
                      <w:noProof/>
                      <w:sz w:val="24"/>
                      <w:szCs w:val="18"/>
                    </w:rPr>
                  </w:pPr>
                  <w:r w:rsidRPr="00B03B51">
                    <w:rPr>
                      <w:rFonts w:ascii="Times New Roman" w:hAnsi="Times New Roman" w:cs="Times New Roman"/>
                      <w:sz w:val="24"/>
                      <w:szCs w:val="18"/>
                    </w:rPr>
                    <w:t>Procenti</w:t>
                  </w:r>
                </w:p>
              </w:tc>
              <w:tc>
                <w:tcPr>
                  <w:tcW w:w="1820" w:type="dxa"/>
                  <w:vAlign w:val="bottom"/>
                </w:tcPr>
                <w:p w14:paraId="0F38D791" w14:textId="77777777" w:rsidR="00994F93" w:rsidRPr="00B03B51" w:rsidRDefault="00994F93" w:rsidP="001C4B02">
                  <w:pPr>
                    <w:jc w:val="center"/>
                    <w:rPr>
                      <w:rFonts w:ascii="Times New Roman" w:eastAsia="Calibri" w:hAnsi="Times New Roman" w:cs="Times New Roman"/>
                      <w:noProof/>
                      <w:sz w:val="24"/>
                      <w:szCs w:val="18"/>
                    </w:rPr>
                  </w:pPr>
                  <w:r w:rsidRPr="00B03B51">
                    <w:rPr>
                      <w:rFonts w:ascii="Times New Roman" w:hAnsi="Times New Roman" w:cs="Times New Roman"/>
                      <w:sz w:val="24"/>
                      <w:szCs w:val="18"/>
                    </w:rPr>
                    <w:t>Pārvērtēšana</w:t>
                  </w:r>
                </w:p>
              </w:tc>
              <w:tc>
                <w:tcPr>
                  <w:tcW w:w="1797" w:type="dxa"/>
                  <w:vAlign w:val="bottom"/>
                </w:tcPr>
                <w:p w14:paraId="12B298D1" w14:textId="77777777" w:rsidR="00994F93" w:rsidRPr="00B03B51" w:rsidRDefault="00994F93" w:rsidP="001C4B02">
                  <w:pPr>
                    <w:jc w:val="center"/>
                    <w:rPr>
                      <w:rFonts w:ascii="Times New Roman" w:eastAsia="Calibri" w:hAnsi="Times New Roman" w:cs="Times New Roman"/>
                      <w:noProof/>
                      <w:sz w:val="24"/>
                      <w:szCs w:val="18"/>
                      <w:u w:val="single"/>
                    </w:rPr>
                  </w:pPr>
                  <w:r w:rsidRPr="00B03B51">
                    <w:rPr>
                      <w:rFonts w:ascii="Times New Roman" w:hAnsi="Times New Roman" w:cs="Times New Roman"/>
                      <w:sz w:val="24"/>
                      <w:szCs w:val="18"/>
                      <w:u w:val="single"/>
                    </w:rPr>
                    <w:t>Obligācija</w:t>
                  </w:r>
                </w:p>
                <w:p w14:paraId="689D33CF" w14:textId="77777777" w:rsidR="00994F93" w:rsidRPr="00B03B51" w:rsidRDefault="00994F93" w:rsidP="001C4B02">
                  <w:pPr>
                    <w:jc w:val="center"/>
                    <w:rPr>
                      <w:rFonts w:ascii="Times New Roman" w:eastAsia="Calibri" w:hAnsi="Times New Roman" w:cs="Times New Roman"/>
                      <w:noProof/>
                      <w:sz w:val="24"/>
                      <w:szCs w:val="18"/>
                    </w:rPr>
                  </w:pPr>
                  <w:r w:rsidRPr="00B03B51">
                    <w:rPr>
                      <w:rFonts w:ascii="Times New Roman" w:hAnsi="Times New Roman" w:cs="Times New Roman"/>
                      <w:sz w:val="24"/>
                      <w:szCs w:val="18"/>
                    </w:rPr>
                    <w:t>31. dec.</w:t>
                  </w:r>
                </w:p>
              </w:tc>
            </w:tr>
            <w:tr w:rsidR="00994F93" w:rsidRPr="00B03B51" w14:paraId="29857D5B" w14:textId="77777777" w:rsidTr="00204583">
              <w:tc>
                <w:tcPr>
                  <w:tcW w:w="1788" w:type="dxa"/>
                </w:tcPr>
                <w:p w14:paraId="3F42DBBE"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1. gads</w:t>
                  </w:r>
                </w:p>
              </w:tc>
              <w:tc>
                <w:tcPr>
                  <w:tcW w:w="2004" w:type="dxa"/>
                  <w:vAlign w:val="bottom"/>
                </w:tcPr>
                <w:p w14:paraId="02F4CCBD"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107,0</w:t>
                  </w:r>
                </w:p>
              </w:tc>
              <w:tc>
                <w:tcPr>
                  <w:tcW w:w="1596" w:type="dxa"/>
                  <w:vAlign w:val="bottom"/>
                </w:tcPr>
                <w:p w14:paraId="045F116E"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70</w:t>
                  </w:r>
                </w:p>
              </w:tc>
              <w:tc>
                <w:tcPr>
                  <w:tcW w:w="1820" w:type="dxa"/>
                  <w:vAlign w:val="bottom"/>
                </w:tcPr>
                <w:p w14:paraId="4E2C673A"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-12</w:t>
                  </w:r>
                </w:p>
              </w:tc>
              <w:tc>
                <w:tcPr>
                  <w:tcW w:w="1797" w:type="dxa"/>
                  <w:vAlign w:val="bottom"/>
                </w:tcPr>
                <w:p w14:paraId="18810ABC"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1058</w:t>
                  </w:r>
                </w:p>
              </w:tc>
            </w:tr>
            <w:tr w:rsidR="00994F93" w:rsidRPr="00B03B51" w14:paraId="717B749C" w14:textId="77777777" w:rsidTr="00204583">
              <w:tc>
                <w:tcPr>
                  <w:tcW w:w="1788" w:type="dxa"/>
                </w:tcPr>
                <w:p w14:paraId="0126C23C"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2. gads</w:t>
                  </w:r>
                </w:p>
              </w:tc>
              <w:tc>
                <w:tcPr>
                  <w:tcW w:w="2004" w:type="dxa"/>
                  <w:vAlign w:val="bottom"/>
                </w:tcPr>
                <w:p w14:paraId="46F637C9"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113,0</w:t>
                  </w:r>
                </w:p>
              </w:tc>
              <w:tc>
                <w:tcPr>
                  <w:tcW w:w="1596" w:type="dxa"/>
                  <w:vAlign w:val="bottom"/>
                </w:tcPr>
                <w:p w14:paraId="6EC6F881"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60</w:t>
                  </w:r>
                </w:p>
              </w:tc>
              <w:tc>
                <w:tcPr>
                  <w:tcW w:w="1820" w:type="dxa"/>
                  <w:vAlign w:val="bottom"/>
                </w:tcPr>
                <w:p w14:paraId="6238540A"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-17</w:t>
                  </w:r>
                </w:p>
              </w:tc>
              <w:tc>
                <w:tcPr>
                  <w:tcW w:w="1797" w:type="dxa"/>
                  <w:vAlign w:val="bottom"/>
                </w:tcPr>
                <w:p w14:paraId="25FCE21F"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1101</w:t>
                  </w:r>
                </w:p>
              </w:tc>
            </w:tr>
            <w:tr w:rsidR="00994F93" w:rsidRPr="00B03B51" w14:paraId="51F367EF" w14:textId="77777777" w:rsidTr="00204583">
              <w:tc>
                <w:tcPr>
                  <w:tcW w:w="1788" w:type="dxa"/>
                </w:tcPr>
                <w:p w14:paraId="28356B1A"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3. gads</w:t>
                  </w:r>
                </w:p>
              </w:tc>
              <w:tc>
                <w:tcPr>
                  <w:tcW w:w="2004" w:type="dxa"/>
                  <w:vAlign w:val="bottom"/>
                </w:tcPr>
                <w:p w14:paraId="245A839D"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129,0</w:t>
                  </w:r>
                </w:p>
              </w:tc>
              <w:tc>
                <w:tcPr>
                  <w:tcW w:w="1596" w:type="dxa"/>
                  <w:vAlign w:val="bottom"/>
                </w:tcPr>
                <w:p w14:paraId="3F77D63B"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160</w:t>
                  </w:r>
                </w:p>
              </w:tc>
              <w:tc>
                <w:tcPr>
                  <w:tcW w:w="1820" w:type="dxa"/>
                  <w:vAlign w:val="bottom"/>
                </w:tcPr>
                <w:p w14:paraId="7362781D"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58</w:t>
                  </w:r>
                </w:p>
              </w:tc>
              <w:tc>
                <w:tcPr>
                  <w:tcW w:w="1797" w:type="dxa"/>
                  <w:vAlign w:val="bottom"/>
                </w:tcPr>
                <w:p w14:paraId="23A6D2D8"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1319</w:t>
                  </w:r>
                </w:p>
              </w:tc>
            </w:tr>
            <w:tr w:rsidR="00994F93" w:rsidRPr="00B03B51" w14:paraId="2F6EB807" w14:textId="77777777" w:rsidTr="00204583">
              <w:tc>
                <w:tcPr>
                  <w:tcW w:w="1788" w:type="dxa"/>
                </w:tcPr>
                <w:p w14:paraId="01E70FE6"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4. gads</w:t>
                  </w:r>
                </w:p>
              </w:tc>
              <w:tc>
                <w:tcPr>
                  <w:tcW w:w="2004" w:type="dxa"/>
                  <w:vAlign w:val="bottom"/>
                </w:tcPr>
                <w:p w14:paraId="18599664"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148,0</w:t>
                  </w:r>
                </w:p>
              </w:tc>
              <w:tc>
                <w:tcPr>
                  <w:tcW w:w="1596" w:type="dxa"/>
                  <w:vAlign w:val="bottom"/>
                </w:tcPr>
                <w:p w14:paraId="3FEB37C6"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190</w:t>
                  </w:r>
                </w:p>
              </w:tc>
              <w:tc>
                <w:tcPr>
                  <w:tcW w:w="1820" w:type="dxa"/>
                  <w:vAlign w:val="bottom"/>
                </w:tcPr>
                <w:p w14:paraId="3DC76F50"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10</w:t>
                  </w:r>
                </w:p>
              </w:tc>
              <w:tc>
                <w:tcPr>
                  <w:tcW w:w="1797" w:type="dxa"/>
                  <w:vAlign w:val="bottom"/>
                </w:tcPr>
                <w:p w14:paraId="2706155F"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1519</w:t>
                  </w:r>
                </w:p>
              </w:tc>
            </w:tr>
            <w:tr w:rsidR="00994F93" w:rsidRPr="00B03B51" w14:paraId="1018D16E" w14:textId="77777777" w:rsidTr="00204583">
              <w:tc>
                <w:tcPr>
                  <w:tcW w:w="1788" w:type="dxa"/>
                </w:tcPr>
                <w:p w14:paraId="4596A834"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5. gads</w:t>
                  </w:r>
                </w:p>
              </w:tc>
              <w:tc>
                <w:tcPr>
                  <w:tcW w:w="2004" w:type="dxa"/>
                  <w:vAlign w:val="bottom"/>
                </w:tcPr>
                <w:p w14:paraId="3FBFAD8E"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140,3</w:t>
                  </w:r>
                </w:p>
              </w:tc>
              <w:tc>
                <w:tcPr>
                  <w:tcW w:w="1596" w:type="dxa"/>
                  <w:vAlign w:val="bottom"/>
                </w:tcPr>
                <w:p w14:paraId="3771F22F"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-77</w:t>
                  </w:r>
                </w:p>
              </w:tc>
              <w:tc>
                <w:tcPr>
                  <w:tcW w:w="1820" w:type="dxa"/>
                  <w:vAlign w:val="bottom"/>
                </w:tcPr>
                <w:p w14:paraId="2964C77F"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-39</w:t>
                  </w:r>
                </w:p>
              </w:tc>
              <w:tc>
                <w:tcPr>
                  <w:tcW w:w="1797" w:type="dxa"/>
                  <w:vAlign w:val="bottom"/>
                </w:tcPr>
                <w:p w14:paraId="1A46257C"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1403</w:t>
                  </w:r>
                </w:p>
              </w:tc>
            </w:tr>
            <w:tr w:rsidR="00994F93" w:rsidRPr="00B03B51" w14:paraId="5E7377AD" w14:textId="77777777" w:rsidTr="00204583">
              <w:tc>
                <w:tcPr>
                  <w:tcW w:w="1788" w:type="dxa"/>
                </w:tcPr>
                <w:p w14:paraId="23271219" w14:textId="77777777" w:rsidR="00994F93" w:rsidRPr="00B03B51" w:rsidRDefault="00994F93" w:rsidP="001C4B02">
                  <w:pPr>
                    <w:jc w:val="both"/>
                    <w:rPr>
                      <w:rFonts w:ascii="Times New Roman" w:eastAsia="Calibri" w:hAnsi="Times New Roman" w:cs="Times New Roman"/>
                      <w:noProof/>
                      <w:sz w:val="24"/>
                      <w:szCs w:val="18"/>
                    </w:rPr>
                  </w:pPr>
                  <w:r w:rsidRPr="00B03B51">
                    <w:rPr>
                      <w:rFonts w:ascii="Times New Roman" w:hAnsi="Times New Roman" w:cs="Times New Roman"/>
                      <w:sz w:val="24"/>
                      <w:szCs w:val="18"/>
                    </w:rPr>
                    <w:t>1.–5. gads</w:t>
                  </w:r>
                </w:p>
              </w:tc>
              <w:tc>
                <w:tcPr>
                  <w:tcW w:w="2004" w:type="dxa"/>
                  <w:vAlign w:val="bottom"/>
                </w:tcPr>
                <w:p w14:paraId="2CEE1835" w14:textId="77777777" w:rsidR="00994F93" w:rsidRPr="00B03B51" w:rsidRDefault="00994F93" w:rsidP="001C4B02">
                  <w:pPr>
                    <w:jc w:val="right"/>
                    <w:rPr>
                      <w:rFonts w:ascii="Times New Roman" w:eastAsia="Calibri" w:hAnsi="Times New Roman" w:cs="Times New Roman"/>
                      <w:noProof/>
                      <w:sz w:val="24"/>
                      <w:szCs w:val="18"/>
                    </w:rPr>
                  </w:pPr>
                </w:p>
              </w:tc>
              <w:tc>
                <w:tcPr>
                  <w:tcW w:w="1596" w:type="dxa"/>
                  <w:vAlign w:val="bottom"/>
                </w:tcPr>
                <w:p w14:paraId="45237BE6"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403</w:t>
                  </w:r>
                </w:p>
              </w:tc>
              <w:tc>
                <w:tcPr>
                  <w:tcW w:w="1820" w:type="dxa"/>
                  <w:vAlign w:val="bottom"/>
                </w:tcPr>
                <w:p w14:paraId="7D550DCD" w14:textId="77777777" w:rsidR="00994F93" w:rsidRPr="00B03B51" w:rsidRDefault="00994F93" w:rsidP="001C4B02">
                  <w:pPr>
                    <w:jc w:val="right"/>
                    <w:rPr>
                      <w:rFonts w:ascii="Times New Roman" w:eastAsia="Calibri" w:hAnsi="Times New Roman" w:cs="Times New Roman"/>
                      <w:noProof/>
                      <w:sz w:val="24"/>
                      <w:szCs w:val="18"/>
                    </w:rPr>
                  </w:pPr>
                  <w:r w:rsidRPr="00B03B51">
                    <w:rPr>
                      <w:rFonts w:ascii="Times New Roman" w:hAnsi="Times New Roman" w:cs="Times New Roman"/>
                      <w:sz w:val="24"/>
                      <w:szCs w:val="18"/>
                    </w:rPr>
                    <w:t>0</w:t>
                  </w:r>
                </w:p>
              </w:tc>
              <w:tc>
                <w:tcPr>
                  <w:tcW w:w="1797" w:type="dxa"/>
                  <w:vAlign w:val="bottom"/>
                </w:tcPr>
                <w:p w14:paraId="42FF7D37" w14:textId="77777777" w:rsidR="00994F93" w:rsidRPr="00B03B51" w:rsidRDefault="00994F93" w:rsidP="001C4B02">
                  <w:pPr>
                    <w:jc w:val="right"/>
                    <w:rPr>
                      <w:rFonts w:ascii="Times New Roman" w:eastAsia="Calibri" w:hAnsi="Times New Roman" w:cs="Times New Roman"/>
                      <w:noProof/>
                      <w:sz w:val="24"/>
                      <w:szCs w:val="18"/>
                    </w:rPr>
                  </w:pPr>
                </w:p>
              </w:tc>
            </w:tr>
          </w:tbl>
          <w:p w14:paraId="0EC319BE" w14:textId="77777777" w:rsidR="00994F93" w:rsidRPr="00B03B51" w:rsidRDefault="00994F93" w:rsidP="001C4B02">
            <w:pPr>
              <w:jc w:val="both"/>
              <w:rPr>
                <w:rFonts w:ascii="Times New Roman" w:eastAsia="Calibri" w:hAnsi="Times New Roman" w:cs="Times New Roman"/>
                <w:noProof/>
                <w:sz w:val="24"/>
                <w:szCs w:val="18"/>
              </w:rPr>
            </w:pPr>
          </w:p>
          <w:p w14:paraId="6DBF4518"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5DCA96F6"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00E5547"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Kopējais vērtības pieaugums piecu gadu periodā (t. i., 403) ir noteikts, pamatojoties uz indeksa vērtības maiņu (t. i., 40,3 procentu pieaugums).</w:t>
            </w:r>
          </w:p>
          <w:p w14:paraId="00EA4C94"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Tā kā šī ir obligācija, pārvērtēšana notiek arī tirgus apstākļos notiekošo izmaiņu dēļ, piemēram, tādēļ, ka mainās tirgus procentu likmes, kredītvērtējums un prognozes par turpmāko indeksa attīstību. Tomēr attiecībā uz visu obligācijas darbības laiku tās ir vienādas ar nulli, ja obligācija tiek atmaksāta indeksētajā vērtībā.</w:t>
            </w:r>
          </w:p>
          <w:p w14:paraId="37887DB1"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Negatīvas procentu vērtības var rasties laika posmos, kad samazinās indeksa vērtība.</w:t>
            </w:r>
          </w:p>
          <w:p w14:paraId="0A4AC46D"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Atbilstīgais ieraksts attiecībā uz uzkrātajiem procentiem ir parāda vērtspapīru pieaugums finanšu kontā.</w:t>
            </w:r>
          </w:p>
          <w:p w14:paraId="715E2F5C"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Tirgus procentu likmju vērtību maiņa izraisa izmaiņas obligācijas vērtībā, taču procentu aprēķins paliek neskarts.</w:t>
            </w:r>
          </w:p>
        </w:tc>
      </w:tr>
    </w:tbl>
    <w:p w14:paraId="07C0D5E1" w14:textId="77777777" w:rsidR="00994F93" w:rsidRPr="00B03B51" w:rsidRDefault="00994F93" w:rsidP="00994F93">
      <w:pPr>
        <w:jc w:val="both"/>
        <w:rPr>
          <w:rFonts w:ascii="Times New Roman" w:eastAsia="Arial" w:hAnsi="Times New Roman" w:cs="Times New Roman"/>
          <w:noProof/>
          <w:sz w:val="24"/>
          <w:szCs w:val="20"/>
        </w:rPr>
      </w:pPr>
    </w:p>
    <w:p w14:paraId="0BD9CFBD" w14:textId="77777777" w:rsidR="00994F93" w:rsidRPr="00B03B51" w:rsidRDefault="00994F93" w:rsidP="00994F93">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767E4F29" w14:textId="77777777" w:rsidTr="001C4B02">
        <w:tc>
          <w:tcPr>
            <w:tcW w:w="9281" w:type="dxa"/>
          </w:tcPr>
          <w:p w14:paraId="3E034593"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140" w:name="_Toc67565066"/>
            <w:r w:rsidRPr="00B03B51">
              <w:rPr>
                <w:rFonts w:ascii="Times New Roman" w:hAnsi="Times New Roman" w:cs="Times New Roman"/>
                <w:sz w:val="24"/>
              </w:rPr>
              <w:t>1. ierāmējums. B piemērs. Procentu uzkrājuma aprēķins attiecībā uz indeksam piesaistītu obligāciju: šaurs indekss</w:t>
            </w:r>
            <w:bookmarkEnd w:id="140"/>
          </w:p>
          <w:p w14:paraId="1E90EFEC" w14:textId="77777777" w:rsidR="00994F93" w:rsidRPr="00B03B51" w:rsidRDefault="00994F93" w:rsidP="001C4B02">
            <w:pPr>
              <w:jc w:val="both"/>
              <w:rPr>
                <w:rFonts w:ascii="Times New Roman" w:hAnsi="Times New Roman" w:cs="Times New Roman"/>
                <w:noProof/>
                <w:sz w:val="24"/>
              </w:rPr>
            </w:pPr>
          </w:p>
          <w:p w14:paraId="3950EA35" w14:textId="77777777" w:rsidR="00994F93" w:rsidRPr="00B03B51" w:rsidRDefault="00994F93" w:rsidP="001C4B02">
            <w:pPr>
              <w:jc w:val="both"/>
              <w:rPr>
                <w:rFonts w:ascii="Times New Roman" w:hAnsi="Times New Roman" w:cs="Times New Roman"/>
                <w:noProof/>
                <w:sz w:val="24"/>
              </w:rPr>
            </w:pPr>
            <w:r w:rsidRPr="00B03B51">
              <w:rPr>
                <w:rFonts w:ascii="Times New Roman" w:hAnsi="Times New Roman" w:cs="Times New Roman"/>
                <w:sz w:val="24"/>
              </w:rPr>
              <w:t>5 gadu obligācija tiek izsniegta 1. gada 1. janvārī par cenu 1000, bez kuponiem, indeksēta ar šauru indeksu. Perioda sākumā indeksa vērtība ir 100. Emisijas brīdī tirgus procentu likme ir 8 %.</w:t>
            </w:r>
          </w:p>
          <w:p w14:paraId="7035B2F1" w14:textId="77777777" w:rsidR="00994F93" w:rsidRPr="00B03B51" w:rsidRDefault="00994F93" w:rsidP="001C4B02">
            <w:pPr>
              <w:jc w:val="both"/>
              <w:rPr>
                <w:rFonts w:ascii="Times New Roman" w:hAnsi="Times New Roman" w:cs="Times New Roman"/>
                <w:noProof/>
                <w:sz w:val="24"/>
              </w:rPr>
            </w:pPr>
          </w:p>
          <w:p w14:paraId="571EB086" w14:textId="77777777" w:rsidR="00994F93" w:rsidRPr="00B03B51" w:rsidRDefault="00994F93" w:rsidP="001C4B02">
            <w:pPr>
              <w:jc w:val="both"/>
              <w:rPr>
                <w:rFonts w:ascii="Times New Roman" w:hAnsi="Times New Roman" w:cs="Times New Roman"/>
                <w:noProof/>
                <w:sz w:val="24"/>
              </w:rPr>
            </w:pPr>
            <w:r w:rsidRPr="00B03B51">
              <w:rPr>
                <w:rFonts w:ascii="Times New Roman" w:hAnsi="Times New Roman" w:cs="Times New Roman"/>
                <w:sz w:val="24"/>
              </w:rPr>
              <w:t>Turpmāk norādītas indeksa un obligāciju vērtības ar atvasinātajiem procentiem un pārvērtējumiem.</w:t>
            </w:r>
          </w:p>
          <w:p w14:paraId="4F66F0F3" w14:textId="77777777" w:rsidR="00994F93" w:rsidRPr="00B03B51" w:rsidRDefault="00994F93" w:rsidP="001C4B02">
            <w:pPr>
              <w:jc w:val="both"/>
              <w:rPr>
                <w:rFonts w:ascii="Times New Roman" w:eastAsia="Arial" w:hAnsi="Times New Roman" w:cs="Times New Roman"/>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1582"/>
              <w:gridCol w:w="2739"/>
              <w:gridCol w:w="1073"/>
              <w:gridCol w:w="1749"/>
              <w:gridCol w:w="1169"/>
              <w:gridCol w:w="693"/>
            </w:tblGrid>
            <w:tr w:rsidR="00994F93" w:rsidRPr="00B03B51" w14:paraId="0EDD3CC9" w14:textId="77777777" w:rsidTr="001C4B02">
              <w:tc>
                <w:tcPr>
                  <w:tcW w:w="878" w:type="pct"/>
                  <w:tcBorders>
                    <w:top w:val="nil"/>
                    <w:left w:val="nil"/>
                    <w:bottom w:val="nil"/>
                    <w:right w:val="nil"/>
                  </w:tcBorders>
                  <w:shd w:val="clear" w:color="auto" w:fill="auto"/>
                </w:tcPr>
                <w:p w14:paraId="3B36862D" w14:textId="77777777" w:rsidR="00994F93" w:rsidRPr="00B03B51" w:rsidRDefault="00994F93" w:rsidP="001C4B02">
                  <w:pPr>
                    <w:jc w:val="both"/>
                    <w:rPr>
                      <w:rFonts w:ascii="Times New Roman" w:hAnsi="Times New Roman" w:cs="Times New Roman"/>
                      <w:noProof/>
                      <w:sz w:val="24"/>
                    </w:rPr>
                  </w:pPr>
                </w:p>
              </w:tc>
              <w:tc>
                <w:tcPr>
                  <w:tcW w:w="1521" w:type="pct"/>
                  <w:tcBorders>
                    <w:top w:val="nil"/>
                    <w:left w:val="nil"/>
                    <w:bottom w:val="nil"/>
                    <w:right w:val="nil"/>
                  </w:tcBorders>
                  <w:shd w:val="clear" w:color="auto" w:fill="auto"/>
                </w:tcPr>
                <w:p w14:paraId="35C63567" w14:textId="77777777" w:rsidR="00994F93" w:rsidRPr="00B03B51" w:rsidRDefault="00994F93" w:rsidP="009C7585">
                  <w:pPr>
                    <w:pStyle w:val="TableParagraph"/>
                    <w:jc w:val="center"/>
                    <w:rPr>
                      <w:rFonts w:ascii="Times New Roman" w:eastAsia="Calibri" w:hAnsi="Times New Roman" w:cs="Times New Roman"/>
                      <w:noProof/>
                      <w:sz w:val="24"/>
                    </w:rPr>
                  </w:pPr>
                  <w:r w:rsidRPr="00B03B51">
                    <w:rPr>
                      <w:rFonts w:ascii="Times New Roman" w:hAnsi="Times New Roman" w:cs="Times New Roman"/>
                      <w:sz w:val="24"/>
                      <w:u w:val="single"/>
                    </w:rPr>
                    <w:t>Šaurs cenu indekss</w:t>
                  </w:r>
                  <w:r w:rsidRPr="00B03B51">
                    <w:rPr>
                      <w:rFonts w:ascii="Times New Roman" w:hAnsi="Times New Roman" w:cs="Times New Roman"/>
                      <w:sz w:val="24"/>
                    </w:rPr>
                    <w:br/>
                    <w:t>Perioda beigas</w:t>
                  </w:r>
                </w:p>
              </w:tc>
              <w:tc>
                <w:tcPr>
                  <w:tcW w:w="596" w:type="pct"/>
                  <w:tcBorders>
                    <w:top w:val="nil"/>
                    <w:left w:val="nil"/>
                    <w:bottom w:val="nil"/>
                    <w:right w:val="nil"/>
                  </w:tcBorders>
                  <w:shd w:val="clear" w:color="auto" w:fill="auto"/>
                </w:tcPr>
                <w:p w14:paraId="0FFB8E15" w14:textId="77777777" w:rsidR="00994F93" w:rsidRPr="00B03B51" w:rsidRDefault="00994F93" w:rsidP="009C7585">
                  <w:pPr>
                    <w:pStyle w:val="TableParagraph"/>
                    <w:jc w:val="center"/>
                    <w:rPr>
                      <w:rFonts w:ascii="Times New Roman" w:eastAsia="Arial" w:hAnsi="Times New Roman" w:cs="Times New Roman"/>
                      <w:noProof/>
                      <w:sz w:val="24"/>
                      <w:szCs w:val="31"/>
                    </w:rPr>
                  </w:pPr>
                </w:p>
                <w:p w14:paraId="4086710E" w14:textId="77777777" w:rsidR="00994F93" w:rsidRPr="00B03B51" w:rsidRDefault="00994F93" w:rsidP="009C7585">
                  <w:pPr>
                    <w:pStyle w:val="TableParagraph"/>
                    <w:jc w:val="center"/>
                    <w:rPr>
                      <w:rFonts w:ascii="Times New Roman" w:hAnsi="Times New Roman" w:cs="Times New Roman"/>
                      <w:noProof/>
                      <w:sz w:val="24"/>
                    </w:rPr>
                  </w:pPr>
                  <w:r w:rsidRPr="00B03B51">
                    <w:rPr>
                      <w:rFonts w:ascii="Times New Roman" w:hAnsi="Times New Roman" w:cs="Times New Roman"/>
                      <w:sz w:val="24"/>
                    </w:rPr>
                    <w:t>Procenti</w:t>
                  </w:r>
                </w:p>
              </w:tc>
              <w:tc>
                <w:tcPr>
                  <w:tcW w:w="971" w:type="pct"/>
                  <w:tcBorders>
                    <w:top w:val="nil"/>
                    <w:left w:val="nil"/>
                    <w:bottom w:val="nil"/>
                    <w:right w:val="nil"/>
                  </w:tcBorders>
                  <w:shd w:val="clear" w:color="auto" w:fill="auto"/>
                </w:tcPr>
                <w:p w14:paraId="00ABED1F" w14:textId="77777777" w:rsidR="00994F93" w:rsidRPr="00B03B51" w:rsidRDefault="00994F93" w:rsidP="009C7585">
                  <w:pPr>
                    <w:pStyle w:val="TableParagraph"/>
                    <w:jc w:val="center"/>
                    <w:rPr>
                      <w:rFonts w:ascii="Times New Roman" w:eastAsia="Arial" w:hAnsi="Times New Roman" w:cs="Times New Roman"/>
                      <w:noProof/>
                      <w:sz w:val="24"/>
                      <w:szCs w:val="31"/>
                    </w:rPr>
                  </w:pPr>
                </w:p>
                <w:p w14:paraId="5EB4793B" w14:textId="77777777" w:rsidR="00994F93" w:rsidRPr="00B03B51" w:rsidRDefault="00994F93" w:rsidP="009C7585">
                  <w:pPr>
                    <w:pStyle w:val="TableParagraph"/>
                    <w:jc w:val="center"/>
                    <w:rPr>
                      <w:rFonts w:ascii="Times New Roman" w:hAnsi="Times New Roman" w:cs="Times New Roman"/>
                      <w:noProof/>
                      <w:sz w:val="24"/>
                    </w:rPr>
                  </w:pPr>
                  <w:r w:rsidRPr="00B03B51">
                    <w:rPr>
                      <w:rFonts w:ascii="Times New Roman" w:hAnsi="Times New Roman" w:cs="Times New Roman"/>
                      <w:sz w:val="24"/>
                    </w:rPr>
                    <w:t>Pārvērtēšana</w:t>
                  </w:r>
                </w:p>
              </w:tc>
              <w:tc>
                <w:tcPr>
                  <w:tcW w:w="649" w:type="pct"/>
                  <w:tcBorders>
                    <w:top w:val="nil"/>
                    <w:left w:val="nil"/>
                    <w:bottom w:val="nil"/>
                    <w:right w:val="nil"/>
                  </w:tcBorders>
                  <w:shd w:val="clear" w:color="auto" w:fill="auto"/>
                </w:tcPr>
                <w:p w14:paraId="4C9BA466" w14:textId="77777777" w:rsidR="00994F93" w:rsidRPr="00B03B51" w:rsidRDefault="00994F93" w:rsidP="009C7585">
                  <w:pPr>
                    <w:pStyle w:val="TableParagraph"/>
                    <w:jc w:val="center"/>
                    <w:rPr>
                      <w:rFonts w:ascii="Times New Roman" w:eastAsia="Calibri" w:hAnsi="Times New Roman" w:cs="Times New Roman"/>
                      <w:noProof/>
                      <w:sz w:val="24"/>
                    </w:rPr>
                  </w:pPr>
                  <w:r w:rsidRPr="00B03B51">
                    <w:rPr>
                      <w:rFonts w:ascii="Times New Roman" w:hAnsi="Times New Roman" w:cs="Times New Roman"/>
                      <w:sz w:val="24"/>
                      <w:u w:val="single"/>
                    </w:rPr>
                    <w:t>Obligācija</w:t>
                  </w:r>
                  <w:r w:rsidRPr="00B03B51">
                    <w:rPr>
                      <w:rFonts w:ascii="Times New Roman" w:hAnsi="Times New Roman" w:cs="Times New Roman"/>
                      <w:sz w:val="24"/>
                    </w:rPr>
                    <w:br/>
                    <w:t>31. dec.</w:t>
                  </w:r>
                </w:p>
              </w:tc>
              <w:tc>
                <w:tcPr>
                  <w:tcW w:w="385" w:type="pct"/>
                  <w:tcBorders>
                    <w:top w:val="nil"/>
                    <w:left w:val="nil"/>
                    <w:bottom w:val="nil"/>
                    <w:right w:val="nil"/>
                  </w:tcBorders>
                  <w:shd w:val="clear" w:color="auto" w:fill="auto"/>
                </w:tcPr>
                <w:p w14:paraId="09FECBCD" w14:textId="77777777" w:rsidR="00994F93" w:rsidRPr="00B03B51" w:rsidRDefault="00994F93" w:rsidP="001C4B02">
                  <w:pPr>
                    <w:jc w:val="both"/>
                    <w:rPr>
                      <w:rFonts w:ascii="Times New Roman" w:hAnsi="Times New Roman" w:cs="Times New Roman"/>
                      <w:noProof/>
                      <w:sz w:val="24"/>
                    </w:rPr>
                  </w:pPr>
                </w:p>
              </w:tc>
            </w:tr>
            <w:tr w:rsidR="00994F93" w:rsidRPr="00B03B51" w14:paraId="7F687409" w14:textId="77777777" w:rsidTr="001C4B02">
              <w:tc>
                <w:tcPr>
                  <w:tcW w:w="878" w:type="pct"/>
                  <w:tcBorders>
                    <w:top w:val="nil"/>
                    <w:left w:val="nil"/>
                    <w:bottom w:val="nil"/>
                    <w:right w:val="nil"/>
                  </w:tcBorders>
                  <w:shd w:val="clear" w:color="auto" w:fill="auto"/>
                </w:tcPr>
                <w:p w14:paraId="58719F2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 gads</w:t>
                  </w:r>
                </w:p>
              </w:tc>
              <w:tc>
                <w:tcPr>
                  <w:tcW w:w="1521" w:type="pct"/>
                  <w:tcBorders>
                    <w:top w:val="nil"/>
                    <w:left w:val="nil"/>
                    <w:bottom w:val="nil"/>
                    <w:right w:val="nil"/>
                  </w:tcBorders>
                  <w:shd w:val="clear" w:color="auto" w:fill="auto"/>
                </w:tcPr>
                <w:p w14:paraId="19F41EA6"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107,0</w:t>
                  </w:r>
                </w:p>
              </w:tc>
              <w:tc>
                <w:tcPr>
                  <w:tcW w:w="596" w:type="pct"/>
                  <w:tcBorders>
                    <w:top w:val="nil"/>
                    <w:left w:val="nil"/>
                    <w:bottom w:val="nil"/>
                    <w:right w:val="nil"/>
                  </w:tcBorders>
                  <w:shd w:val="clear" w:color="auto" w:fill="auto"/>
                </w:tcPr>
                <w:p w14:paraId="45487A9B"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80</w:t>
                  </w:r>
                </w:p>
              </w:tc>
              <w:tc>
                <w:tcPr>
                  <w:tcW w:w="971" w:type="pct"/>
                  <w:tcBorders>
                    <w:top w:val="nil"/>
                    <w:left w:val="nil"/>
                    <w:bottom w:val="nil"/>
                    <w:right w:val="nil"/>
                  </w:tcBorders>
                  <w:shd w:val="clear" w:color="auto" w:fill="auto"/>
                </w:tcPr>
                <w:p w14:paraId="08945DE9"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-22</w:t>
                  </w:r>
                </w:p>
              </w:tc>
              <w:tc>
                <w:tcPr>
                  <w:tcW w:w="649" w:type="pct"/>
                  <w:tcBorders>
                    <w:top w:val="nil"/>
                    <w:left w:val="nil"/>
                    <w:bottom w:val="nil"/>
                    <w:right w:val="nil"/>
                  </w:tcBorders>
                  <w:shd w:val="clear" w:color="auto" w:fill="auto"/>
                </w:tcPr>
                <w:p w14:paraId="3EE35FB4" w14:textId="77777777" w:rsidR="00994F93" w:rsidRPr="00B03B51" w:rsidRDefault="00994F93" w:rsidP="009C7585">
                  <w:pPr>
                    <w:jc w:val="right"/>
                    <w:rPr>
                      <w:rFonts w:ascii="Times New Roman" w:hAnsi="Times New Roman" w:cs="Times New Roman"/>
                      <w:noProof/>
                      <w:sz w:val="24"/>
                    </w:rPr>
                  </w:pPr>
                </w:p>
              </w:tc>
              <w:tc>
                <w:tcPr>
                  <w:tcW w:w="385" w:type="pct"/>
                  <w:tcBorders>
                    <w:top w:val="nil"/>
                    <w:left w:val="nil"/>
                    <w:bottom w:val="nil"/>
                    <w:right w:val="nil"/>
                  </w:tcBorders>
                  <w:shd w:val="clear" w:color="auto" w:fill="auto"/>
                </w:tcPr>
                <w:p w14:paraId="33DB4EBD"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1058</w:t>
                  </w:r>
                </w:p>
              </w:tc>
            </w:tr>
            <w:tr w:rsidR="00994F93" w:rsidRPr="00B03B51" w14:paraId="7F5D46A6" w14:textId="77777777" w:rsidTr="001C4B02">
              <w:tc>
                <w:tcPr>
                  <w:tcW w:w="878" w:type="pct"/>
                  <w:tcBorders>
                    <w:top w:val="nil"/>
                    <w:left w:val="nil"/>
                    <w:bottom w:val="nil"/>
                    <w:right w:val="nil"/>
                  </w:tcBorders>
                  <w:shd w:val="clear" w:color="auto" w:fill="auto"/>
                </w:tcPr>
                <w:p w14:paraId="6538732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2. gads</w:t>
                  </w:r>
                </w:p>
              </w:tc>
              <w:tc>
                <w:tcPr>
                  <w:tcW w:w="1521" w:type="pct"/>
                  <w:tcBorders>
                    <w:top w:val="nil"/>
                    <w:left w:val="nil"/>
                    <w:bottom w:val="nil"/>
                    <w:right w:val="nil"/>
                  </w:tcBorders>
                  <w:shd w:val="clear" w:color="auto" w:fill="auto"/>
                </w:tcPr>
                <w:p w14:paraId="41A5AE8D"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113,0</w:t>
                  </w:r>
                </w:p>
              </w:tc>
              <w:tc>
                <w:tcPr>
                  <w:tcW w:w="596" w:type="pct"/>
                  <w:tcBorders>
                    <w:top w:val="nil"/>
                    <w:left w:val="nil"/>
                    <w:bottom w:val="nil"/>
                    <w:right w:val="nil"/>
                  </w:tcBorders>
                  <w:shd w:val="clear" w:color="auto" w:fill="auto"/>
                </w:tcPr>
                <w:p w14:paraId="0C2630D7"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86</w:t>
                  </w:r>
                </w:p>
              </w:tc>
              <w:tc>
                <w:tcPr>
                  <w:tcW w:w="971" w:type="pct"/>
                  <w:tcBorders>
                    <w:top w:val="nil"/>
                    <w:left w:val="nil"/>
                    <w:bottom w:val="nil"/>
                    <w:right w:val="nil"/>
                  </w:tcBorders>
                  <w:shd w:val="clear" w:color="auto" w:fill="auto"/>
                </w:tcPr>
                <w:p w14:paraId="302C64E0"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-43</w:t>
                  </w:r>
                </w:p>
              </w:tc>
              <w:tc>
                <w:tcPr>
                  <w:tcW w:w="649" w:type="pct"/>
                  <w:tcBorders>
                    <w:top w:val="nil"/>
                    <w:left w:val="nil"/>
                    <w:bottom w:val="nil"/>
                    <w:right w:val="nil"/>
                  </w:tcBorders>
                  <w:shd w:val="clear" w:color="auto" w:fill="auto"/>
                </w:tcPr>
                <w:p w14:paraId="3226A4C4" w14:textId="77777777" w:rsidR="00994F93" w:rsidRPr="00B03B51" w:rsidRDefault="00994F93" w:rsidP="009C7585">
                  <w:pPr>
                    <w:jc w:val="right"/>
                    <w:rPr>
                      <w:rFonts w:ascii="Times New Roman" w:hAnsi="Times New Roman" w:cs="Times New Roman"/>
                      <w:noProof/>
                      <w:sz w:val="24"/>
                    </w:rPr>
                  </w:pPr>
                </w:p>
              </w:tc>
              <w:tc>
                <w:tcPr>
                  <w:tcW w:w="385" w:type="pct"/>
                  <w:tcBorders>
                    <w:top w:val="nil"/>
                    <w:left w:val="nil"/>
                    <w:bottom w:val="nil"/>
                    <w:right w:val="nil"/>
                  </w:tcBorders>
                  <w:shd w:val="clear" w:color="auto" w:fill="auto"/>
                </w:tcPr>
                <w:p w14:paraId="0F8BC04F"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1101</w:t>
                  </w:r>
                </w:p>
              </w:tc>
            </w:tr>
            <w:tr w:rsidR="00994F93" w:rsidRPr="00B03B51" w14:paraId="6280A99E" w14:textId="77777777" w:rsidTr="001C4B02">
              <w:tc>
                <w:tcPr>
                  <w:tcW w:w="878" w:type="pct"/>
                  <w:tcBorders>
                    <w:top w:val="nil"/>
                    <w:left w:val="nil"/>
                    <w:bottom w:val="nil"/>
                    <w:right w:val="nil"/>
                  </w:tcBorders>
                  <w:shd w:val="clear" w:color="auto" w:fill="auto"/>
                </w:tcPr>
                <w:p w14:paraId="386C581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3. gads</w:t>
                  </w:r>
                </w:p>
              </w:tc>
              <w:tc>
                <w:tcPr>
                  <w:tcW w:w="1521" w:type="pct"/>
                  <w:tcBorders>
                    <w:top w:val="nil"/>
                    <w:left w:val="nil"/>
                    <w:bottom w:val="nil"/>
                    <w:right w:val="nil"/>
                  </w:tcBorders>
                  <w:shd w:val="clear" w:color="auto" w:fill="auto"/>
                </w:tcPr>
                <w:p w14:paraId="2F7C926C"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129,0</w:t>
                  </w:r>
                </w:p>
              </w:tc>
              <w:tc>
                <w:tcPr>
                  <w:tcW w:w="596" w:type="pct"/>
                  <w:tcBorders>
                    <w:top w:val="nil"/>
                    <w:left w:val="nil"/>
                    <w:bottom w:val="nil"/>
                    <w:right w:val="nil"/>
                  </w:tcBorders>
                  <w:shd w:val="clear" w:color="auto" w:fill="auto"/>
                </w:tcPr>
                <w:p w14:paraId="5909FCD2"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93</w:t>
                  </w:r>
                </w:p>
              </w:tc>
              <w:tc>
                <w:tcPr>
                  <w:tcW w:w="971" w:type="pct"/>
                  <w:tcBorders>
                    <w:top w:val="nil"/>
                    <w:left w:val="nil"/>
                    <w:bottom w:val="nil"/>
                    <w:right w:val="nil"/>
                  </w:tcBorders>
                  <w:shd w:val="clear" w:color="auto" w:fill="auto"/>
                </w:tcPr>
                <w:p w14:paraId="6F34D7FB"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124</w:t>
                  </w:r>
                </w:p>
              </w:tc>
              <w:tc>
                <w:tcPr>
                  <w:tcW w:w="649" w:type="pct"/>
                  <w:tcBorders>
                    <w:top w:val="nil"/>
                    <w:left w:val="nil"/>
                    <w:bottom w:val="nil"/>
                    <w:right w:val="nil"/>
                  </w:tcBorders>
                  <w:shd w:val="clear" w:color="auto" w:fill="auto"/>
                </w:tcPr>
                <w:p w14:paraId="594EB443" w14:textId="77777777" w:rsidR="00994F93" w:rsidRPr="00B03B51" w:rsidRDefault="00994F93" w:rsidP="009C7585">
                  <w:pPr>
                    <w:jc w:val="right"/>
                    <w:rPr>
                      <w:rFonts w:ascii="Times New Roman" w:hAnsi="Times New Roman" w:cs="Times New Roman"/>
                      <w:noProof/>
                      <w:sz w:val="24"/>
                    </w:rPr>
                  </w:pPr>
                </w:p>
              </w:tc>
              <w:tc>
                <w:tcPr>
                  <w:tcW w:w="385" w:type="pct"/>
                  <w:tcBorders>
                    <w:top w:val="nil"/>
                    <w:left w:val="nil"/>
                    <w:bottom w:val="nil"/>
                    <w:right w:val="nil"/>
                  </w:tcBorders>
                  <w:shd w:val="clear" w:color="auto" w:fill="auto"/>
                </w:tcPr>
                <w:p w14:paraId="3B6666C0"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1318</w:t>
                  </w:r>
                </w:p>
              </w:tc>
            </w:tr>
            <w:tr w:rsidR="00994F93" w:rsidRPr="00B03B51" w14:paraId="145136DF" w14:textId="77777777" w:rsidTr="001C4B02">
              <w:tc>
                <w:tcPr>
                  <w:tcW w:w="878" w:type="pct"/>
                  <w:tcBorders>
                    <w:top w:val="nil"/>
                    <w:left w:val="nil"/>
                    <w:bottom w:val="nil"/>
                    <w:right w:val="nil"/>
                  </w:tcBorders>
                  <w:shd w:val="clear" w:color="auto" w:fill="auto"/>
                </w:tcPr>
                <w:p w14:paraId="7CF7F26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 gads</w:t>
                  </w:r>
                </w:p>
              </w:tc>
              <w:tc>
                <w:tcPr>
                  <w:tcW w:w="1521" w:type="pct"/>
                  <w:tcBorders>
                    <w:top w:val="nil"/>
                    <w:left w:val="nil"/>
                    <w:bottom w:val="nil"/>
                    <w:right w:val="nil"/>
                  </w:tcBorders>
                  <w:shd w:val="clear" w:color="auto" w:fill="auto"/>
                </w:tcPr>
                <w:p w14:paraId="4F1A673A"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148,0</w:t>
                  </w:r>
                </w:p>
              </w:tc>
              <w:tc>
                <w:tcPr>
                  <w:tcW w:w="596" w:type="pct"/>
                  <w:tcBorders>
                    <w:top w:val="nil"/>
                    <w:left w:val="nil"/>
                    <w:bottom w:val="nil"/>
                    <w:right w:val="nil"/>
                  </w:tcBorders>
                  <w:shd w:val="clear" w:color="auto" w:fill="auto"/>
                </w:tcPr>
                <w:p w14:paraId="42F6FCCE"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101</w:t>
                  </w:r>
                </w:p>
              </w:tc>
              <w:tc>
                <w:tcPr>
                  <w:tcW w:w="971" w:type="pct"/>
                  <w:tcBorders>
                    <w:top w:val="nil"/>
                    <w:left w:val="nil"/>
                    <w:bottom w:val="nil"/>
                    <w:right w:val="nil"/>
                  </w:tcBorders>
                  <w:shd w:val="clear" w:color="auto" w:fill="auto"/>
                </w:tcPr>
                <w:p w14:paraId="184D316C"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100</w:t>
                  </w:r>
                </w:p>
              </w:tc>
              <w:tc>
                <w:tcPr>
                  <w:tcW w:w="649" w:type="pct"/>
                  <w:tcBorders>
                    <w:top w:val="nil"/>
                    <w:left w:val="nil"/>
                    <w:bottom w:val="nil"/>
                    <w:right w:val="nil"/>
                  </w:tcBorders>
                  <w:shd w:val="clear" w:color="auto" w:fill="auto"/>
                </w:tcPr>
                <w:p w14:paraId="646DB3C1" w14:textId="77777777" w:rsidR="00994F93" w:rsidRPr="00B03B51" w:rsidRDefault="00994F93" w:rsidP="009C7585">
                  <w:pPr>
                    <w:jc w:val="right"/>
                    <w:rPr>
                      <w:rFonts w:ascii="Times New Roman" w:hAnsi="Times New Roman" w:cs="Times New Roman"/>
                      <w:noProof/>
                      <w:sz w:val="24"/>
                    </w:rPr>
                  </w:pPr>
                </w:p>
              </w:tc>
              <w:tc>
                <w:tcPr>
                  <w:tcW w:w="385" w:type="pct"/>
                  <w:tcBorders>
                    <w:top w:val="nil"/>
                    <w:left w:val="nil"/>
                    <w:bottom w:val="nil"/>
                    <w:right w:val="nil"/>
                  </w:tcBorders>
                  <w:shd w:val="clear" w:color="auto" w:fill="auto"/>
                </w:tcPr>
                <w:p w14:paraId="5F95E3CE"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1519</w:t>
                  </w:r>
                </w:p>
              </w:tc>
            </w:tr>
            <w:tr w:rsidR="00994F93" w:rsidRPr="00B03B51" w14:paraId="43B05237" w14:textId="77777777" w:rsidTr="001C4B02">
              <w:tc>
                <w:tcPr>
                  <w:tcW w:w="878" w:type="pct"/>
                  <w:tcBorders>
                    <w:top w:val="nil"/>
                    <w:left w:val="nil"/>
                    <w:bottom w:val="single" w:sz="13" w:space="0" w:color="000000"/>
                    <w:right w:val="nil"/>
                  </w:tcBorders>
                  <w:shd w:val="clear" w:color="auto" w:fill="auto"/>
                </w:tcPr>
                <w:p w14:paraId="0AB2C51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 gads</w:t>
                  </w:r>
                </w:p>
              </w:tc>
              <w:tc>
                <w:tcPr>
                  <w:tcW w:w="1521" w:type="pct"/>
                  <w:tcBorders>
                    <w:top w:val="nil"/>
                    <w:left w:val="nil"/>
                    <w:bottom w:val="single" w:sz="13" w:space="0" w:color="000000"/>
                    <w:right w:val="nil"/>
                  </w:tcBorders>
                  <w:shd w:val="clear" w:color="auto" w:fill="auto"/>
                </w:tcPr>
                <w:p w14:paraId="07406A37"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140,3</w:t>
                  </w:r>
                </w:p>
              </w:tc>
              <w:tc>
                <w:tcPr>
                  <w:tcW w:w="596" w:type="pct"/>
                  <w:tcBorders>
                    <w:top w:val="nil"/>
                    <w:left w:val="nil"/>
                    <w:bottom w:val="single" w:sz="13" w:space="0" w:color="000000"/>
                    <w:right w:val="nil"/>
                  </w:tcBorders>
                  <w:shd w:val="clear" w:color="auto" w:fill="auto"/>
                </w:tcPr>
                <w:p w14:paraId="4D376572"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109</w:t>
                  </w:r>
                </w:p>
              </w:tc>
              <w:tc>
                <w:tcPr>
                  <w:tcW w:w="971" w:type="pct"/>
                  <w:tcBorders>
                    <w:top w:val="nil"/>
                    <w:left w:val="nil"/>
                    <w:bottom w:val="single" w:sz="13" w:space="0" w:color="000000"/>
                    <w:right w:val="nil"/>
                  </w:tcBorders>
                  <w:shd w:val="clear" w:color="auto" w:fill="auto"/>
                </w:tcPr>
                <w:p w14:paraId="613B995C"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-225</w:t>
                  </w:r>
                </w:p>
              </w:tc>
              <w:tc>
                <w:tcPr>
                  <w:tcW w:w="649" w:type="pct"/>
                  <w:tcBorders>
                    <w:top w:val="nil"/>
                    <w:left w:val="nil"/>
                    <w:bottom w:val="single" w:sz="13" w:space="0" w:color="000000"/>
                    <w:right w:val="nil"/>
                  </w:tcBorders>
                  <w:shd w:val="clear" w:color="auto" w:fill="auto"/>
                </w:tcPr>
                <w:p w14:paraId="46773B2F" w14:textId="77777777" w:rsidR="00994F93" w:rsidRPr="00B03B51" w:rsidRDefault="00994F93" w:rsidP="009C7585">
                  <w:pPr>
                    <w:jc w:val="right"/>
                    <w:rPr>
                      <w:rFonts w:ascii="Times New Roman" w:hAnsi="Times New Roman" w:cs="Times New Roman"/>
                      <w:noProof/>
                      <w:sz w:val="24"/>
                    </w:rPr>
                  </w:pPr>
                </w:p>
              </w:tc>
              <w:tc>
                <w:tcPr>
                  <w:tcW w:w="385" w:type="pct"/>
                  <w:tcBorders>
                    <w:top w:val="nil"/>
                    <w:left w:val="nil"/>
                    <w:bottom w:val="single" w:sz="13" w:space="0" w:color="000000"/>
                    <w:right w:val="nil"/>
                  </w:tcBorders>
                  <w:shd w:val="clear" w:color="auto" w:fill="auto"/>
                </w:tcPr>
                <w:p w14:paraId="67264EF7"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1403</w:t>
                  </w:r>
                </w:p>
              </w:tc>
            </w:tr>
            <w:tr w:rsidR="00994F93" w:rsidRPr="00B03B51" w14:paraId="5E59BBEE" w14:textId="77777777" w:rsidTr="001C4B02">
              <w:tc>
                <w:tcPr>
                  <w:tcW w:w="878" w:type="pct"/>
                  <w:tcBorders>
                    <w:top w:val="single" w:sz="13" w:space="0" w:color="000000"/>
                    <w:left w:val="nil"/>
                    <w:bottom w:val="single" w:sz="13" w:space="0" w:color="000000"/>
                    <w:right w:val="nil"/>
                  </w:tcBorders>
                  <w:shd w:val="clear" w:color="auto" w:fill="auto"/>
                </w:tcPr>
                <w:p w14:paraId="5E4EE4D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1.–5. gads</w:t>
                  </w:r>
                </w:p>
              </w:tc>
              <w:tc>
                <w:tcPr>
                  <w:tcW w:w="1521" w:type="pct"/>
                  <w:tcBorders>
                    <w:top w:val="single" w:sz="13" w:space="0" w:color="000000"/>
                    <w:left w:val="nil"/>
                    <w:bottom w:val="single" w:sz="13" w:space="0" w:color="000000"/>
                    <w:right w:val="nil"/>
                  </w:tcBorders>
                  <w:shd w:val="clear" w:color="auto" w:fill="auto"/>
                </w:tcPr>
                <w:p w14:paraId="13AD01CA" w14:textId="77777777" w:rsidR="00994F93" w:rsidRPr="00B03B51" w:rsidRDefault="00994F93" w:rsidP="001C4B02">
                  <w:pPr>
                    <w:jc w:val="both"/>
                    <w:rPr>
                      <w:rFonts w:ascii="Times New Roman" w:hAnsi="Times New Roman" w:cs="Times New Roman"/>
                      <w:noProof/>
                      <w:sz w:val="24"/>
                    </w:rPr>
                  </w:pPr>
                </w:p>
              </w:tc>
              <w:tc>
                <w:tcPr>
                  <w:tcW w:w="596" w:type="pct"/>
                  <w:tcBorders>
                    <w:top w:val="single" w:sz="13" w:space="0" w:color="000000"/>
                    <w:left w:val="nil"/>
                    <w:bottom w:val="single" w:sz="13" w:space="0" w:color="000000"/>
                    <w:right w:val="nil"/>
                  </w:tcBorders>
                  <w:shd w:val="clear" w:color="auto" w:fill="auto"/>
                </w:tcPr>
                <w:p w14:paraId="6F2A7061"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469</w:t>
                  </w:r>
                </w:p>
              </w:tc>
              <w:tc>
                <w:tcPr>
                  <w:tcW w:w="971" w:type="pct"/>
                  <w:tcBorders>
                    <w:top w:val="single" w:sz="13" w:space="0" w:color="000000"/>
                    <w:left w:val="nil"/>
                    <w:bottom w:val="single" w:sz="13" w:space="0" w:color="000000"/>
                    <w:right w:val="nil"/>
                  </w:tcBorders>
                  <w:shd w:val="clear" w:color="auto" w:fill="auto"/>
                </w:tcPr>
                <w:p w14:paraId="4A263CD0" w14:textId="77777777" w:rsidR="00994F93" w:rsidRPr="00B03B51" w:rsidRDefault="00994F93" w:rsidP="009C7585">
                  <w:pPr>
                    <w:pStyle w:val="TableParagraph"/>
                    <w:jc w:val="right"/>
                    <w:rPr>
                      <w:rFonts w:ascii="Times New Roman" w:hAnsi="Times New Roman" w:cs="Times New Roman"/>
                      <w:noProof/>
                      <w:sz w:val="24"/>
                    </w:rPr>
                  </w:pPr>
                  <w:r w:rsidRPr="00B03B51">
                    <w:rPr>
                      <w:rFonts w:ascii="Times New Roman" w:hAnsi="Times New Roman" w:cs="Times New Roman"/>
                      <w:sz w:val="24"/>
                    </w:rPr>
                    <w:t>-66</w:t>
                  </w:r>
                </w:p>
              </w:tc>
              <w:tc>
                <w:tcPr>
                  <w:tcW w:w="649" w:type="pct"/>
                  <w:tcBorders>
                    <w:top w:val="single" w:sz="13" w:space="0" w:color="000000"/>
                    <w:left w:val="nil"/>
                    <w:bottom w:val="single" w:sz="13" w:space="0" w:color="000000"/>
                    <w:right w:val="nil"/>
                  </w:tcBorders>
                  <w:shd w:val="clear" w:color="auto" w:fill="auto"/>
                </w:tcPr>
                <w:p w14:paraId="37F7CFE7" w14:textId="77777777" w:rsidR="00994F93" w:rsidRPr="00B03B51" w:rsidRDefault="00994F93" w:rsidP="001C4B02">
                  <w:pPr>
                    <w:jc w:val="both"/>
                    <w:rPr>
                      <w:rFonts w:ascii="Times New Roman" w:hAnsi="Times New Roman" w:cs="Times New Roman"/>
                      <w:noProof/>
                      <w:sz w:val="24"/>
                    </w:rPr>
                  </w:pPr>
                </w:p>
              </w:tc>
              <w:tc>
                <w:tcPr>
                  <w:tcW w:w="385" w:type="pct"/>
                  <w:tcBorders>
                    <w:top w:val="single" w:sz="13" w:space="0" w:color="000000"/>
                    <w:left w:val="nil"/>
                    <w:bottom w:val="single" w:sz="13" w:space="0" w:color="000000"/>
                    <w:right w:val="nil"/>
                  </w:tcBorders>
                  <w:shd w:val="clear" w:color="auto" w:fill="auto"/>
                </w:tcPr>
                <w:p w14:paraId="38EFB0AD" w14:textId="77777777" w:rsidR="00994F93" w:rsidRPr="00B03B51" w:rsidRDefault="00994F93" w:rsidP="001C4B02">
                  <w:pPr>
                    <w:jc w:val="both"/>
                    <w:rPr>
                      <w:rFonts w:ascii="Times New Roman" w:hAnsi="Times New Roman" w:cs="Times New Roman"/>
                      <w:noProof/>
                      <w:sz w:val="24"/>
                    </w:rPr>
                  </w:pPr>
                </w:p>
              </w:tc>
            </w:tr>
          </w:tbl>
          <w:p w14:paraId="338B868F" w14:textId="77777777" w:rsidR="00994F93" w:rsidRPr="00B03B51" w:rsidRDefault="00994F93" w:rsidP="001C4B02">
            <w:pPr>
              <w:pStyle w:val="BodyText"/>
              <w:tabs>
                <w:tab w:val="left" w:pos="919"/>
              </w:tabs>
              <w:spacing w:before="0"/>
              <w:ind w:left="0" w:firstLine="0"/>
              <w:jc w:val="both"/>
              <w:rPr>
                <w:rFonts w:ascii="Times New Roman" w:hAnsi="Times New Roman" w:cs="Times New Roman"/>
                <w:noProof/>
                <w:sz w:val="24"/>
              </w:rPr>
            </w:pPr>
          </w:p>
          <w:p w14:paraId="0AB5E169" w14:textId="77777777" w:rsidR="00994F93" w:rsidRPr="00B03B51" w:rsidRDefault="00994F93" w:rsidP="001C4B02">
            <w:pPr>
              <w:pStyle w:val="BodyText"/>
              <w:tabs>
                <w:tab w:val="left" w:pos="91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7E953B3A" w14:textId="77777777" w:rsidR="00994F93" w:rsidRPr="00B03B51" w:rsidRDefault="00994F93" w:rsidP="001C4B02">
            <w:pPr>
              <w:pStyle w:val="BodyText"/>
              <w:tabs>
                <w:tab w:val="left" w:pos="919"/>
              </w:tabs>
              <w:spacing w:before="0"/>
              <w:ind w:left="0" w:firstLine="0"/>
              <w:jc w:val="both"/>
              <w:rPr>
                <w:rFonts w:ascii="Times New Roman" w:hAnsi="Times New Roman" w:cs="Times New Roman"/>
                <w:noProof/>
                <w:sz w:val="24"/>
              </w:rPr>
            </w:pPr>
          </w:p>
          <w:p w14:paraId="3E0E2837"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Kopējais vērtības pieaugums piecu gadu periodā (t. i., 469 - 66 = 403) ir noteikts, pamatojoties uz indeksa vērtības maiņu (t. i., 40,3 procentu pieaugums).</w:t>
            </w:r>
          </w:p>
          <w:p w14:paraId="4029A178"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Saskaņā ar debitora pieeju procentus katrā periodā fiksē saskaņā ar sākotnējo procentu likmi. 1. gadā procentu apmērs ir 80 (8 procenti no 1000), 2. gadā tie ir 86 (8 procenti no 1000 + 80), 3. gadā tie ir 93 (8 procenti no 1000 + 80 + 86) utt.</w:t>
            </w:r>
          </w:p>
          <w:p w14:paraId="18244A1E"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Pārvērtēšana attiecībā uz visu obligācijas darbības laiku ir jāveic tāpēc, ka indeksa pieaugums atšķiras no saliktā pieauguma, kas varētu būt radies saskaņā ar procentu tirgus likmi. (Obligācijas darbības laikā pārvērtēšana notiek arī atsevišķos periodos tirgus apstākļu izmaiņu dēļ, piemēram, tādēļ, ka mainās tirgus procentu likmes, kredītvērtējums un prognozes par turpmāko indeksa attīstību.)</w:t>
            </w:r>
          </w:p>
          <w:p w14:paraId="433C2C5A"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Tirgus procentu likmju vērtību maiņa izraisa izmaiņas obligācijas vērtībā, taču procentu aprēķins paliek neskarts.</w:t>
            </w:r>
          </w:p>
        </w:tc>
      </w:tr>
    </w:tbl>
    <w:p w14:paraId="66AFC942" w14:textId="77777777" w:rsidR="00994F93" w:rsidRPr="00B03B51" w:rsidRDefault="00994F93" w:rsidP="00994F93">
      <w:pPr>
        <w:jc w:val="both"/>
        <w:rPr>
          <w:rFonts w:ascii="Times New Roman" w:eastAsia="Arial" w:hAnsi="Times New Roman" w:cs="Times New Roman"/>
          <w:noProof/>
          <w:sz w:val="24"/>
          <w:szCs w:val="26"/>
        </w:rPr>
      </w:pPr>
    </w:p>
    <w:p w14:paraId="00C8E271"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bookmarkStart w:id="141" w:name="2.4.3.12_Short-term_negotiable_instrumen"/>
      <w:bookmarkEnd w:id="141"/>
      <w:r w:rsidRPr="00B03B51">
        <w:rPr>
          <w:rFonts w:ascii="Times New Roman" w:hAnsi="Times New Roman" w:cs="Times New Roman"/>
          <w:sz w:val="24"/>
        </w:rPr>
        <w:t>2.4.3.12. ĪSTERMIŅA APGROZĀMIE INSTRUMENTI</w:t>
      </w:r>
    </w:p>
    <w:p w14:paraId="35A3A70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24B5DD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EKS 2010 5.1. pielikumā “Finanšu darījumu klasifikācija” 5.A1.14. punktā ir precīzi noteikts, ka par īsu atmaksāšanas termiņu ir uzskatāms termiņš, kas nav ilgāks par vienu gadu. Atmaksāšanas termiņš šajā gadījumā ir instrumenta termiņš vai paziņojuma periods, kad var veikt instrumentu atmaksāšanu pēc kreditora pieprasījuma. Lielākā daļa centrālo valdību emitē valsts kases parādzīmes uz šādu termiņu. Kā norādīts iepriekš, šie instrumenti ir izdoti ar diskontu (vai prēmiju), kas tiek traktēts kā instrumenta darbības laikā uzkrātie procenti. Kopumā kopējā summa, ko valdība emitējusi ar šiem īstermiņa instrumentiem, var ievērojami atšķirties gadu no gada tirgus apstākļu nepastāvības dēļ. Līdz ar to valdības īstermiņa finanšu statistikā ir svarīgi spēt pareizi iekļaut uzkrātos procentus attiecīgajā fiskālajā gadā vai ceturksnī.</w:t>
      </w:r>
    </w:p>
    <w:p w14:paraId="005B92B8" w14:textId="77777777" w:rsidR="00994F93" w:rsidRPr="00B03B51" w:rsidRDefault="00994F93" w:rsidP="00994F93">
      <w:pPr>
        <w:jc w:val="both"/>
        <w:rPr>
          <w:rFonts w:ascii="Times New Roman" w:eastAsia="Arial" w:hAnsi="Times New Roman" w:cs="Times New Roman"/>
          <w:noProof/>
          <w:sz w:val="24"/>
          <w:szCs w:val="15"/>
        </w:rPr>
      </w:pPr>
    </w:p>
    <w:p w14:paraId="54184441" w14:textId="77777777" w:rsidR="00994F93" w:rsidRPr="00B03B51" w:rsidRDefault="00994F93" w:rsidP="00994F93">
      <w:pPr>
        <w:pStyle w:val="Heading6"/>
        <w:tabs>
          <w:tab w:val="left" w:pos="1411"/>
          <w:tab w:val="left" w:pos="3228"/>
          <w:tab w:val="left" w:pos="4024"/>
          <w:tab w:val="left" w:pos="5210"/>
          <w:tab w:val="left" w:pos="6534"/>
          <w:tab w:val="left" w:pos="7237"/>
          <w:tab w:val="left" w:pos="9060"/>
        </w:tabs>
        <w:ind w:left="0" w:firstLine="0"/>
        <w:jc w:val="both"/>
        <w:rPr>
          <w:rFonts w:ascii="Times New Roman" w:hAnsi="Times New Roman" w:cs="Times New Roman"/>
          <w:noProof/>
          <w:sz w:val="24"/>
        </w:rPr>
      </w:pPr>
      <w:bookmarkStart w:id="142" w:name="2.4.3.13_Instruments_with_step-up_intere"/>
      <w:bookmarkEnd w:id="142"/>
      <w:r w:rsidRPr="00B03B51">
        <w:rPr>
          <w:rFonts w:ascii="Times New Roman" w:hAnsi="Times New Roman" w:cs="Times New Roman"/>
          <w:sz w:val="24"/>
        </w:rPr>
        <w:t>2.4.3.13. INSTRUMENTI AR PIEAUGOŠU PROCENTU LIKMI UN INSTRUMENTI AR ATVIEGLOJUMU PERIODU</w:t>
      </w:r>
    </w:p>
    <w:p w14:paraId="41FF604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D1D9D3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47. Īpaša kārtība paredzēta attiecībā uz instrumentiem ar “pieaugošu procentu likmi”'. Valdība var turēt vai emitēt vērtspapīrus vai citus parāda vērtspapīrus, kad kupons vai līgumsaistībās noteikts procentu maksājumu profils (regulāri maksājumi noteiktos datumos) apliecina “pieauguma” (vai otrādi – “samazinājuma”) profilu, pamatojoties uz nemainīgu procentu likmju sēriju, kas noteikta sākumā attiecībā uz secīgiem periodiem (piemēram, </w:t>
      </w:r>
      <w:r w:rsidRPr="00B03B51">
        <w:rPr>
          <w:rFonts w:ascii="Times New Roman" w:hAnsi="Times New Roman" w:cs="Times New Roman"/>
          <w:i/>
          <w:iCs/>
          <w:sz w:val="24"/>
        </w:rPr>
        <w:t>x</w:t>
      </w:r>
      <w:r w:rsidRPr="00B03B51">
        <w:rPr>
          <w:rFonts w:ascii="Times New Roman" w:hAnsi="Times New Roman" w:cs="Times New Roman"/>
          <w:sz w:val="24"/>
        </w:rPr>
        <w:t xml:space="preserve"> % 1.–4. gadā, </w:t>
      </w:r>
      <w:r w:rsidRPr="00B03B51">
        <w:rPr>
          <w:rFonts w:ascii="Times New Roman" w:hAnsi="Times New Roman" w:cs="Times New Roman"/>
          <w:i/>
          <w:iCs/>
          <w:sz w:val="24"/>
        </w:rPr>
        <w:t>x</w:t>
      </w:r>
      <w:r w:rsidRPr="00B03B51">
        <w:rPr>
          <w:rFonts w:ascii="Times New Roman" w:hAnsi="Times New Roman" w:cs="Times New Roman"/>
          <w:sz w:val="24"/>
        </w:rPr>
        <w:t>+1 % 5.–8. gadā u. tml.). Turklāt šādus instrumentus var emitēt ar diskontu, kas tiek uzskatīts par procentiem, kuri sadalīti pa visu instrumenta darbības laiku (skat. EKS 2010 4.46. punktu un iepriekš 2.4.3.6. apakšiedaļu “Instrumenti, kas emitēti ar diskontu”).</w:t>
      </w:r>
    </w:p>
    <w:p w14:paraId="742653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D66D8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 xml:space="preserve">48. Kā minēts EKS 2010 20.180. punktā, kā arī </w:t>
      </w:r>
      <w:r w:rsidRPr="00B03B51">
        <w:rPr>
          <w:rFonts w:ascii="Times New Roman" w:hAnsi="Times New Roman" w:cs="Times New Roman"/>
          <w:i/>
          <w:iCs/>
          <w:sz w:val="24"/>
        </w:rPr>
        <w:t>MGDD</w:t>
      </w:r>
      <w:r w:rsidRPr="00B03B51">
        <w:rPr>
          <w:rFonts w:ascii="Times New Roman" w:hAnsi="Times New Roman" w:cs="Times New Roman"/>
          <w:sz w:val="24"/>
        </w:rPr>
        <w:t xml:space="preserve"> 2.4.3.2. apakšiedaļā “Debitora pieeja”, uzkrātos procentus EKS 2010 nosaka saskaņā ar debitora pieeju, pamatojoties uz “aizņemšanās izmaksām”, kas konstatētas laikā, kad izveidots instruments. Līdz ar to procenti jāuzkrāj, izmantojot novērojamo tirgus likmi (ienesīgums līdz termiņa beigām) vai līgumā noteikto iekšējo peļņas normu instrumenta darbības laika sākumā. Konkrētajā periodā faktiski nesamaksātos procentus tomēr uzkrāj un uzskata, ka tie ir atkārtoti ieguldīti instrumentā. Tādējādi instrumentam ir tā pati procentu likme (skat. iepriekš 2.4.3.3. un 2.4.3.4. apakšiedaļu) neatkarīgi no tā, kurā brīdī kuponi tiek faktiski izmaksāti (skat. 2. ierāmējumu “Pieaugums un atvieglojumu periods”).</w:t>
      </w:r>
    </w:p>
    <w:p w14:paraId="6D857B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4ED781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Dažos finanšu instrumentos var būt iekļauts procentu atvieglojumu periods parasti attiecībā uz pirmajiem gadiem, kuru laikā debitoram nav jāmaksā kreditoram(-iem) procenti. Šādi instrumenti parasti ir valdības finanšu aktīvi, piemēram, aizdevumi, taču ES ir novēroti arī gadījumi (lai arī ne bieži), kad šādu atvieglojumu periodu piemēro attiecībā uz valdības saistībām. Šis gadījums ir minēts EKS 2010 20.241. punktā, taču procentu ierakstīšana tajā nav norādīta.</w:t>
      </w:r>
    </w:p>
    <w:p w14:paraId="152419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F6818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Debitora pieeja principā nozīmē to, ka procenti gan par aktīviem, gan saistībām jāuzkrāj visā instrumenta darbības laikā, tostarp atvieglojumu periodā, pamatojoties uz attiecīgo tirgus likmi, kas novērota sākumā (ienesīgums līdz termiņa beigām), vai līgumā noteikto likmi, kas pieejama sākumā (skat. 2. ierāmējumu “Pieaugums un atvieglojumu periods”).</w:t>
      </w:r>
    </w:p>
    <w:p w14:paraId="1FD429C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539C4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51. Tādējādi atvieglojuma periods tiek pieņemts kā vienkāršs un konkrēts “pieaugošas procentu likmes” parāda instrumenta gadījums, kurā pirmo izmaksāto kuponu vērtība vienāda ar nulli.</w:t>
      </w:r>
    </w:p>
    <w:p w14:paraId="079FE3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F13C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52. Tomēr izņēmuma kārtā atvieglojumu periodā procenti nav jāuzkrāj, ja tiek precīzi un kopīgi izpildīti abi turpmāk minētie nosacījumi:</w:t>
      </w:r>
    </w:p>
    <w:p w14:paraId="10A24F7B"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3DCFD370"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atvieglojumu periodā emitentam/debitoram ir tiesības izpirkt instrumenta pamatsummu (iespējams, tostarp arī proporcionālu diskontu maksājumu). Saistībā ar šo pirmstermiņa izpirkšanu nav jāparedz nekādi citi papildmaksājumi, izņemot parastās paredzētās izpirkšanas maksas vai soda naudas, kas ir uzskatāmas par atlīdzības veidu (skat. 2.4.3.16. apakšiedaļu);</w:t>
      </w:r>
    </w:p>
    <w:p w14:paraId="68EF3A8A"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CA5AB9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pēc atvieglojumu perioda debitors nekompensē procentu maksājumu neveikšanu atvieglojumu perioda laikā. Šāda kompensācija var būt regulāro procentu maksājumu palielināšana par iepriekš neizmaksātajām summām vai augstākas kupona likmes piemērošana salīdzinājumā ar līdzīgiem instrumentiem, attiecībā uz kuriem tajā pašā laikā netika piemērots atvieglojumu periods.</w:t>
      </w:r>
    </w:p>
    <w:p w14:paraId="3AB438BD" w14:textId="77777777" w:rsidR="00994F93" w:rsidRPr="00B03B51" w:rsidRDefault="00994F93" w:rsidP="00994F93">
      <w:pPr>
        <w:jc w:val="both"/>
        <w:rPr>
          <w:rFonts w:ascii="Times New Roman" w:eastAsia="Arial" w:hAnsi="Times New Roman" w:cs="Times New Roman"/>
          <w:noProof/>
          <w:sz w:val="2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92"/>
        <w:gridCol w:w="1111"/>
        <w:gridCol w:w="1645"/>
        <w:gridCol w:w="1118"/>
        <w:gridCol w:w="4295"/>
      </w:tblGrid>
      <w:tr w:rsidR="00994F93" w:rsidRPr="00B03B51" w14:paraId="5D42D4DF" w14:textId="77777777" w:rsidTr="009C7585">
        <w:tc>
          <w:tcPr>
            <w:tcW w:w="5000" w:type="pct"/>
            <w:gridSpan w:val="5"/>
            <w:tcBorders>
              <w:bottom w:val="nil"/>
            </w:tcBorders>
            <w:shd w:val="clear" w:color="auto" w:fill="auto"/>
          </w:tcPr>
          <w:p w14:paraId="2EF17AAF"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b/>
                <w:bCs/>
                <w:sz w:val="24"/>
                <w:szCs w:val="24"/>
              </w:rPr>
              <w:t>2. ierāmējums. Pieaugums un atvieglojumu periods</w:t>
            </w:r>
          </w:p>
          <w:p w14:paraId="00FC651E" w14:textId="77777777" w:rsidR="00994F93" w:rsidRPr="00B03B51" w:rsidRDefault="00994F93" w:rsidP="001C4B02">
            <w:pPr>
              <w:jc w:val="both"/>
              <w:rPr>
                <w:rFonts w:ascii="Times New Roman" w:hAnsi="Times New Roman" w:cs="Times New Roman"/>
                <w:noProof/>
                <w:sz w:val="24"/>
                <w:szCs w:val="24"/>
              </w:rPr>
            </w:pPr>
          </w:p>
          <w:p w14:paraId="6DBFE5B2"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Šis piemērs vienlaikus ir attiecināms uz jautājumiem, kas apspriesti 50. un 51. rindkopā. Aizdevumu gadījums ir apspriests otrajā daļā.</w:t>
            </w:r>
          </w:p>
          <w:p w14:paraId="75DBC789" w14:textId="77777777" w:rsidR="00994F93" w:rsidRPr="00B03B51" w:rsidRDefault="00994F93" w:rsidP="001C4B02">
            <w:pPr>
              <w:jc w:val="both"/>
              <w:rPr>
                <w:rFonts w:ascii="Times New Roman" w:eastAsia="Arial" w:hAnsi="Times New Roman" w:cs="Times New Roman"/>
                <w:noProof/>
                <w:sz w:val="24"/>
                <w:szCs w:val="24"/>
              </w:rPr>
            </w:pPr>
          </w:p>
          <w:p w14:paraId="0B82D17A"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Valdība 0. gada beigās ir emitējusi 15 gadu parāda vērtspapīru 100 naudas vienību vērtībā. Tam ir šāda kuponu shēma – pirmos piecus gadus ir atvieglojumu periods, kurā netiek veikti maksājumi, 6.–10. gadā 4 % un 11.–15. gadā 10 %. Pieņemsim, ka nav izpildīts neviens no 52. rindkopā minētajiem diviem nosacījumiem.</w:t>
            </w:r>
          </w:p>
          <w:p w14:paraId="34AAEECB" w14:textId="77777777" w:rsidR="00994F93" w:rsidRPr="00B03B51" w:rsidRDefault="00994F93" w:rsidP="001C4B02">
            <w:pPr>
              <w:jc w:val="both"/>
              <w:rPr>
                <w:rFonts w:ascii="Times New Roman" w:eastAsia="Arial" w:hAnsi="Times New Roman" w:cs="Times New Roman"/>
                <w:noProof/>
                <w:sz w:val="24"/>
                <w:szCs w:val="24"/>
              </w:rPr>
            </w:pPr>
          </w:p>
          <w:p w14:paraId="1C97A170"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 xml:space="preserve">Emisijas brīdī tirgus procentu likme ir nedaudz virs 4 % (4,0165 %). Vienkāršības labad vērtība </w:t>
            </w:r>
            <w:r w:rsidRPr="00B03B51">
              <w:rPr>
                <w:rFonts w:ascii="Times New Roman" w:hAnsi="Times New Roman" w:cs="Times New Roman"/>
                <w:sz w:val="24"/>
                <w:szCs w:val="24"/>
              </w:rPr>
              <w:lastRenderedPageBreak/>
              <w:t>100 ir arī izpirkšanas vērtība (nav diskonta vai prēmijas) un paliek nemainīga visā 15 gadu periodā. Vienkāršības labad pieņemsim, ka tirgus svārstības notiek tikai attiecībā uz procentiem. Tādējādi obligācijas tirgus vērtība svārstās tikai attiecībā uz uzkrātajiem procentiem. Saskaņā ar “debitora pieeju” (skat. 2.4.3.2. apakšiedaļu) procentu uzkrāšanai visā vērtspapīra darbības laikā jāizmanto sākotnējā tirgus likme (kas atšķiras no “kupona likmes”).</w:t>
            </w:r>
          </w:p>
          <w:p w14:paraId="0019084E" w14:textId="77777777" w:rsidR="00994F93" w:rsidRPr="00B03B51" w:rsidRDefault="00994F93" w:rsidP="001C4B02">
            <w:pPr>
              <w:jc w:val="both"/>
              <w:rPr>
                <w:rFonts w:ascii="Times New Roman" w:hAnsi="Times New Roman" w:cs="Times New Roman"/>
                <w:noProof/>
                <w:sz w:val="24"/>
                <w:szCs w:val="24"/>
              </w:rPr>
            </w:pPr>
          </w:p>
          <w:p w14:paraId="5B6037CE"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Tirgus vērtība (vai neto pašreizējā vērtība), kas jāieraksta valdības EKS bilancē, šajā vienkāršotajā piemērā ir vienāda ar emisijas vērtību, kurai pieskaitīti uzkrātie procenti (līdzīgi piemērotā kupona atkārtotai ieguldīšanai), taču nav izmaksāti katrā periodā, tirgus likmei nemainoties attiecībā uz līdzīgām obligācijām, ko emitējusi šī vienība.</w:t>
            </w:r>
          </w:p>
          <w:p w14:paraId="1549BEC5" w14:textId="77777777" w:rsidR="00994F93" w:rsidRPr="00B03B51" w:rsidRDefault="00994F93" w:rsidP="001C4B02">
            <w:pPr>
              <w:jc w:val="both"/>
              <w:rPr>
                <w:rFonts w:ascii="Times New Roman" w:hAnsi="Times New Roman" w:cs="Times New Roman"/>
                <w:noProof/>
                <w:sz w:val="24"/>
                <w:szCs w:val="24"/>
              </w:rPr>
            </w:pPr>
          </w:p>
          <w:p w14:paraId="49284004"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Šajā gadījumā uzkrātie procenti, kas ierakstīti EKS katrā periodā, nav vienādi ar kupona maksājumiem. Kupona maksājumi ir finanšu darījumi ar pamatā esošo instrumentu, jo uzkrātos procentus ieraksta kā atkārtotu ieguldījumu instrumentā. Izmantotā procentu metode ir saliktie procenti, jo tas ir ilgtermiņa vērtspapīrs.</w:t>
            </w:r>
          </w:p>
          <w:p w14:paraId="282CB8FD" w14:textId="77777777" w:rsidR="00994F93" w:rsidRPr="00B03B51" w:rsidRDefault="00994F93" w:rsidP="001C4B02">
            <w:pPr>
              <w:jc w:val="both"/>
              <w:rPr>
                <w:rFonts w:ascii="Times New Roman" w:eastAsia="Arial" w:hAnsi="Times New Roman" w:cs="Times New Roman"/>
                <w:noProof/>
                <w:sz w:val="24"/>
                <w:szCs w:val="24"/>
              </w:rPr>
            </w:pPr>
          </w:p>
          <w:p w14:paraId="56C18C17"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 xml:space="preserve">Turpmākajā tabulā AF.32 slejā (saistības) norādīta parāda vērtspapīru “tirgus vērtība” katra gada beigās, kas jāieraksta valdības EKS bilancē. </w:t>
            </w:r>
            <w:r w:rsidRPr="00B03B51">
              <w:rPr>
                <w:rFonts w:ascii="Times New Roman" w:hAnsi="Times New Roman" w:cs="Times New Roman"/>
                <w:sz w:val="24"/>
              </w:rPr>
              <w:t>Procenti (D.41) ir summa, kas valdībai ir jāmaksā parāda vērtspapīra turētājam uzskaites periodā, nesamazinot neatmaksāto pamatsummu. Šis ir vispārīgs princips, kas tiek piemērots attiecībā uz visiem finanšu instrumentiem.</w:t>
            </w:r>
          </w:p>
          <w:p w14:paraId="5A282173" w14:textId="77777777" w:rsidR="00994F93" w:rsidRPr="00B03B51" w:rsidRDefault="00994F93" w:rsidP="001C4B02">
            <w:pPr>
              <w:pStyle w:val="TableParagraph"/>
              <w:jc w:val="both"/>
              <w:rPr>
                <w:rFonts w:ascii="Times New Roman" w:hAnsi="Times New Roman" w:cs="Times New Roman"/>
                <w:noProof/>
                <w:sz w:val="24"/>
              </w:rPr>
            </w:pPr>
          </w:p>
          <w:p w14:paraId="5098237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Līdz ar to procentiem (D.41) attiecībā uz parāda vērtspapīriem (F.3) katrā uzskaites periodā ir divi komponenti (skat. EKS 2010 4.46. punkta b) apakšpunktu):</w:t>
            </w:r>
          </w:p>
          <w:p w14:paraId="7795CBF8" w14:textId="77777777" w:rsidR="00994F93" w:rsidRPr="00B03B51" w:rsidRDefault="00994F93" w:rsidP="001C4B02">
            <w:pPr>
              <w:pStyle w:val="TableParagraph"/>
              <w:jc w:val="both"/>
              <w:rPr>
                <w:rFonts w:ascii="Times New Roman" w:hAnsi="Times New Roman" w:cs="Times New Roman"/>
                <w:noProof/>
                <w:sz w:val="24"/>
              </w:rPr>
            </w:pPr>
          </w:p>
          <w:p w14:paraId="48BEE254" w14:textId="77777777" w:rsidR="00994F93" w:rsidRPr="00B03B51" w:rsidRDefault="00994F93" w:rsidP="00267CE5">
            <w:pPr>
              <w:pStyle w:val="ListParagraph"/>
              <w:numPr>
                <w:ilvl w:val="0"/>
                <w:numId w:val="74"/>
              </w:numPr>
              <w:ind w:left="709" w:hanging="425"/>
              <w:jc w:val="both"/>
              <w:rPr>
                <w:rFonts w:ascii="Times New Roman" w:hAnsi="Times New Roman" w:cs="Times New Roman"/>
                <w:noProof/>
                <w:sz w:val="24"/>
              </w:rPr>
            </w:pPr>
            <w:r w:rsidRPr="00B03B51">
              <w:rPr>
                <w:rFonts w:ascii="Times New Roman" w:hAnsi="Times New Roman" w:cs="Times New Roman"/>
                <w:sz w:val="24"/>
              </w:rPr>
              <w:t>procenti, kas valdībai jāmaksā no kupona maksājumiem attiecīgajā uzskaites periodā;</w:t>
            </w:r>
          </w:p>
          <w:p w14:paraId="5DFD8675" w14:textId="77777777" w:rsidR="00994F93" w:rsidRPr="00B03B51" w:rsidRDefault="00994F93" w:rsidP="00267CE5">
            <w:pPr>
              <w:pStyle w:val="ListParagraph"/>
              <w:numPr>
                <w:ilvl w:val="0"/>
                <w:numId w:val="74"/>
              </w:numPr>
              <w:ind w:left="709" w:hanging="425"/>
              <w:jc w:val="both"/>
              <w:rPr>
                <w:rFonts w:ascii="Times New Roman" w:hAnsi="Times New Roman" w:cs="Times New Roman"/>
                <w:noProof/>
                <w:sz w:val="24"/>
              </w:rPr>
            </w:pPr>
            <w:r w:rsidRPr="00B03B51">
              <w:rPr>
                <w:rFonts w:ascii="Times New Roman" w:hAnsi="Times New Roman" w:cs="Times New Roman"/>
                <w:sz w:val="24"/>
              </w:rPr>
              <w:t>procentu summa, kas uzkrājas attiecīgajā laika posmā un ir attiecināma uz starpību starp izpirkšanas cenu maksājuma termiņa beigās un emisijas cenu, ko aprēķina tāpat kā bezkupona obligācijām, proti, saskaņā ar debitora pieeju.</w:t>
            </w:r>
          </w:p>
          <w:p w14:paraId="621C1D74" w14:textId="77777777" w:rsidR="00994F93" w:rsidRPr="00B03B51" w:rsidRDefault="00994F93" w:rsidP="001C4B02">
            <w:pPr>
              <w:pStyle w:val="TableParagraph"/>
              <w:jc w:val="both"/>
              <w:rPr>
                <w:rFonts w:ascii="Times New Roman" w:hAnsi="Times New Roman" w:cs="Times New Roman"/>
                <w:noProof/>
                <w:sz w:val="24"/>
              </w:rPr>
            </w:pPr>
          </w:p>
          <w:p w14:paraId="6BA2DB0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Šajā saistībā katrā periodā uzkrātie procenti (D.41, maksājamie) ir vienādi ar izmaksātā kupona summu, kurai pieskaitīta parāda vērtspapīra tirgus vērtības maiņa tajā pašā laika posmā.</w:t>
            </w:r>
          </w:p>
          <w:p w14:paraId="61B8BCD5" w14:textId="77777777" w:rsidR="00994F93" w:rsidRPr="00B03B51" w:rsidRDefault="00994F93" w:rsidP="001C4B02">
            <w:pPr>
              <w:pStyle w:val="TableParagraph"/>
              <w:jc w:val="both"/>
              <w:rPr>
                <w:rFonts w:ascii="Times New Roman" w:hAnsi="Times New Roman" w:cs="Times New Roman"/>
                <w:b/>
                <w:noProof/>
                <w:sz w:val="24"/>
              </w:rPr>
            </w:pPr>
          </w:p>
          <w:p w14:paraId="073120CF" w14:textId="77777777" w:rsidR="00994F93" w:rsidRPr="00B03B51" w:rsidRDefault="00994F93" w:rsidP="001C4B02">
            <w:pPr>
              <w:pStyle w:val="TableParagraph"/>
              <w:jc w:val="both"/>
              <w:rPr>
                <w:rFonts w:ascii="Times New Roman" w:hAnsi="Times New Roman" w:cs="Times New Roman"/>
                <w:b/>
                <w:noProof/>
                <w:sz w:val="24"/>
              </w:rPr>
            </w:pPr>
            <w:r w:rsidRPr="00B03B51">
              <w:rPr>
                <w:rFonts w:ascii="Times New Roman" w:hAnsi="Times New Roman" w:cs="Times New Roman"/>
                <w:b/>
                <w:sz w:val="24"/>
              </w:rPr>
              <w:t>Atvieglojumu perioda/pieaugošas procentu likmes piemērs attiecībā uz vērtspapīru</w:t>
            </w:r>
          </w:p>
          <w:p w14:paraId="02C4481F" w14:textId="77777777" w:rsidR="00994F93" w:rsidRPr="00B03B51" w:rsidRDefault="00994F93" w:rsidP="001C4B02">
            <w:pPr>
              <w:pStyle w:val="TableParagraph"/>
              <w:jc w:val="both"/>
              <w:rPr>
                <w:rFonts w:ascii="Times New Roman" w:hAnsi="Times New Roman" w:cs="Times New Roman"/>
                <w:noProof/>
                <w:sz w:val="24"/>
              </w:rPr>
            </w:pPr>
          </w:p>
          <w:p w14:paraId="3F0F731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Pamatsumma: 100 (emisijas un izpirkšanas vērtība).</w:t>
            </w:r>
          </w:p>
          <w:p w14:paraId="4EBF7BDF" w14:textId="77777777" w:rsidR="00994F93" w:rsidRPr="00B03B51" w:rsidRDefault="00994F93" w:rsidP="001C4B02">
            <w:pPr>
              <w:pStyle w:val="TableParagraph"/>
              <w:jc w:val="both"/>
              <w:rPr>
                <w:rFonts w:ascii="Times New Roman" w:hAnsi="Times New Roman" w:cs="Times New Roman"/>
                <w:noProof/>
                <w:sz w:val="24"/>
              </w:rPr>
            </w:pPr>
          </w:p>
          <w:p w14:paraId="22FFF92C" w14:textId="77777777" w:rsidR="00994F93" w:rsidRPr="00B03B51" w:rsidRDefault="00994F93" w:rsidP="001C4B02">
            <w:pPr>
              <w:pStyle w:val="TableParagraph"/>
              <w:jc w:val="both"/>
              <w:rPr>
                <w:rFonts w:ascii="Times New Roman" w:eastAsia="Arial" w:hAnsi="Times New Roman" w:cs="Times New Roman"/>
                <w:noProof/>
                <w:sz w:val="24"/>
                <w:szCs w:val="19"/>
              </w:rPr>
            </w:pPr>
            <w:r w:rsidRPr="00B03B51">
              <w:rPr>
                <w:rFonts w:ascii="Times New Roman" w:hAnsi="Times New Roman" w:cs="Times New Roman"/>
                <w:sz w:val="24"/>
                <w:szCs w:val="19"/>
              </w:rPr>
              <w:t>Sākotnējā tirgus procentu likme: 4,0165 % (nemainās visā periodā)</w:t>
            </w:r>
            <w:r w:rsidRPr="00B03B51">
              <w:rPr>
                <w:rFonts w:ascii="Times New Roman" w:hAnsi="Times New Roman" w:cs="Times New Roman"/>
                <w:sz w:val="24"/>
                <w:szCs w:val="19"/>
              </w:rPr>
              <w:br/>
              <w:t>Kuponi: 1.–5. gadā 0 %; 6.–10. gadā 4 %; 11.–15. gadā 10 %.</w:t>
            </w:r>
          </w:p>
          <w:p w14:paraId="5106DAAF" w14:textId="77777777" w:rsidR="00994F93" w:rsidRPr="00B03B51" w:rsidRDefault="00994F93" w:rsidP="001C4B02">
            <w:pPr>
              <w:pStyle w:val="TableParagraph"/>
              <w:jc w:val="both"/>
              <w:rPr>
                <w:rFonts w:ascii="Times New Roman" w:eastAsia="Arial" w:hAnsi="Times New Roman" w:cs="Times New Roman"/>
                <w:noProof/>
                <w:sz w:val="24"/>
                <w:szCs w:val="19"/>
              </w:rPr>
            </w:pPr>
          </w:p>
          <w:p w14:paraId="0F00534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D.41, maksājamā summa tiek iegūta, kupona summai pieskaitot instrumenta tirgus vērtības pieaugumu no iepriekšējā perioda.</w:t>
            </w:r>
          </w:p>
          <w:p w14:paraId="1A878D42" w14:textId="77777777" w:rsidR="00994F93" w:rsidRPr="00B03B51" w:rsidRDefault="00994F93" w:rsidP="001C4B02">
            <w:pPr>
              <w:pStyle w:val="TableParagraph"/>
              <w:tabs>
                <w:tab w:val="left" w:pos="1043"/>
                <w:tab w:val="left" w:pos="2141"/>
                <w:tab w:val="left" w:pos="3754"/>
                <w:tab w:val="left" w:pos="4978"/>
              </w:tabs>
              <w:jc w:val="both"/>
              <w:rPr>
                <w:rFonts w:ascii="Times New Roman" w:hAnsi="Times New Roman" w:cs="Times New Roman"/>
                <w:noProof/>
                <w:sz w:val="24"/>
              </w:rPr>
            </w:pPr>
          </w:p>
        </w:tc>
      </w:tr>
      <w:tr w:rsidR="00994F93" w:rsidRPr="00B03B51" w14:paraId="17F64381" w14:textId="77777777" w:rsidTr="009C7585">
        <w:tc>
          <w:tcPr>
            <w:tcW w:w="5000" w:type="pct"/>
            <w:gridSpan w:val="5"/>
            <w:tcBorders>
              <w:top w:val="nil"/>
              <w:bottom w:val="nil"/>
            </w:tcBorders>
            <w:shd w:val="clear" w:color="auto" w:fill="auto"/>
          </w:tcPr>
          <w:p w14:paraId="67ED5C2E" w14:textId="77777777" w:rsidR="00994F93" w:rsidRPr="00B03B51" w:rsidRDefault="00994F93" w:rsidP="001C4B02">
            <w:pPr>
              <w:pStyle w:val="TableParagraph"/>
              <w:jc w:val="both"/>
              <w:rPr>
                <w:rFonts w:ascii="Times New Roman" w:hAnsi="Times New Roman" w:cs="Times New Roman"/>
                <w:noProof/>
                <w:sz w:val="24"/>
              </w:rPr>
            </w:pPr>
          </w:p>
        </w:tc>
      </w:tr>
      <w:tr w:rsidR="00994F93" w:rsidRPr="00B03B51" w14:paraId="16AEB374" w14:textId="77777777" w:rsidTr="009C7585">
        <w:tc>
          <w:tcPr>
            <w:tcW w:w="492" w:type="pct"/>
            <w:tcBorders>
              <w:top w:val="nil"/>
              <w:left w:val="single" w:sz="4" w:space="0" w:color="auto"/>
              <w:bottom w:val="nil"/>
              <w:right w:val="nil"/>
            </w:tcBorders>
            <w:shd w:val="clear" w:color="auto" w:fill="auto"/>
          </w:tcPr>
          <w:p w14:paraId="5D8869D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Gads</w:t>
            </w:r>
          </w:p>
        </w:tc>
        <w:tc>
          <w:tcPr>
            <w:tcW w:w="613" w:type="pct"/>
            <w:tcBorders>
              <w:top w:val="nil"/>
              <w:left w:val="nil"/>
              <w:bottom w:val="nil"/>
              <w:right w:val="nil"/>
            </w:tcBorders>
            <w:shd w:val="clear" w:color="auto" w:fill="auto"/>
          </w:tcPr>
          <w:p w14:paraId="5550CC2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Kuponi:</w:t>
            </w:r>
          </w:p>
        </w:tc>
        <w:tc>
          <w:tcPr>
            <w:tcW w:w="908" w:type="pct"/>
            <w:tcBorders>
              <w:top w:val="nil"/>
              <w:left w:val="nil"/>
              <w:bottom w:val="nil"/>
              <w:right w:val="nil"/>
            </w:tcBorders>
            <w:shd w:val="clear" w:color="auto" w:fill="auto"/>
          </w:tcPr>
          <w:p w14:paraId="17B58BE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D.41 maksājamā vērtība</w:t>
            </w:r>
          </w:p>
        </w:tc>
        <w:tc>
          <w:tcPr>
            <w:tcW w:w="617" w:type="pct"/>
            <w:tcBorders>
              <w:top w:val="nil"/>
              <w:left w:val="nil"/>
              <w:bottom w:val="nil"/>
              <w:right w:val="nil"/>
            </w:tcBorders>
            <w:shd w:val="clear" w:color="auto" w:fill="auto"/>
          </w:tcPr>
          <w:p w14:paraId="2AC3ECB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F.32</w:t>
            </w:r>
          </w:p>
        </w:tc>
        <w:tc>
          <w:tcPr>
            <w:tcW w:w="2371" w:type="pct"/>
            <w:tcBorders>
              <w:top w:val="nil"/>
              <w:left w:val="nil"/>
              <w:bottom w:val="nil"/>
              <w:right w:val="single" w:sz="4" w:space="0" w:color="auto"/>
            </w:tcBorders>
            <w:shd w:val="clear" w:color="auto" w:fill="auto"/>
          </w:tcPr>
          <w:p w14:paraId="395BED6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AF.32</w:t>
            </w:r>
          </w:p>
        </w:tc>
      </w:tr>
      <w:tr w:rsidR="00994F93" w:rsidRPr="00B03B51" w14:paraId="5AF81857" w14:textId="77777777" w:rsidTr="009C7585">
        <w:tc>
          <w:tcPr>
            <w:tcW w:w="492" w:type="pct"/>
            <w:tcBorders>
              <w:top w:val="nil"/>
              <w:left w:val="single" w:sz="4" w:space="0" w:color="auto"/>
              <w:bottom w:val="nil"/>
              <w:right w:val="nil"/>
            </w:tcBorders>
            <w:shd w:val="clear" w:color="auto" w:fill="auto"/>
          </w:tcPr>
          <w:p w14:paraId="47271D5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613" w:type="pct"/>
            <w:tcBorders>
              <w:top w:val="nil"/>
              <w:left w:val="nil"/>
              <w:bottom w:val="nil"/>
              <w:right w:val="nil"/>
            </w:tcBorders>
            <w:shd w:val="clear" w:color="auto" w:fill="auto"/>
          </w:tcPr>
          <w:p w14:paraId="429E69C7" w14:textId="77777777" w:rsidR="00994F93" w:rsidRPr="00B03B51" w:rsidRDefault="00994F93" w:rsidP="001C4B02">
            <w:pPr>
              <w:pStyle w:val="TableParagraph"/>
              <w:jc w:val="both"/>
              <w:rPr>
                <w:rFonts w:ascii="Times New Roman" w:hAnsi="Times New Roman" w:cs="Times New Roman"/>
                <w:noProof/>
                <w:sz w:val="24"/>
              </w:rPr>
            </w:pPr>
          </w:p>
        </w:tc>
        <w:tc>
          <w:tcPr>
            <w:tcW w:w="908" w:type="pct"/>
            <w:tcBorders>
              <w:top w:val="nil"/>
              <w:left w:val="nil"/>
              <w:bottom w:val="nil"/>
              <w:right w:val="nil"/>
            </w:tcBorders>
            <w:shd w:val="clear" w:color="auto" w:fill="auto"/>
          </w:tcPr>
          <w:p w14:paraId="524CCDD6" w14:textId="77777777" w:rsidR="00994F93" w:rsidRPr="00B03B51" w:rsidRDefault="00994F93" w:rsidP="001C4B02">
            <w:pPr>
              <w:pStyle w:val="TableParagraph"/>
              <w:jc w:val="both"/>
              <w:rPr>
                <w:rFonts w:ascii="Times New Roman" w:hAnsi="Times New Roman" w:cs="Times New Roman"/>
                <w:noProof/>
                <w:sz w:val="24"/>
              </w:rPr>
            </w:pPr>
          </w:p>
        </w:tc>
        <w:tc>
          <w:tcPr>
            <w:tcW w:w="617" w:type="pct"/>
            <w:tcBorders>
              <w:top w:val="nil"/>
              <w:left w:val="nil"/>
              <w:bottom w:val="nil"/>
              <w:right w:val="nil"/>
            </w:tcBorders>
            <w:shd w:val="clear" w:color="auto" w:fill="auto"/>
          </w:tcPr>
          <w:p w14:paraId="67815CB6" w14:textId="77777777" w:rsidR="00994F93" w:rsidRPr="00B03B51" w:rsidRDefault="00994F93" w:rsidP="001C4B02">
            <w:pPr>
              <w:pStyle w:val="TableParagraph"/>
              <w:jc w:val="both"/>
              <w:rPr>
                <w:rFonts w:ascii="Times New Roman" w:hAnsi="Times New Roman" w:cs="Times New Roman"/>
                <w:noProof/>
                <w:sz w:val="24"/>
              </w:rPr>
            </w:pPr>
          </w:p>
        </w:tc>
        <w:tc>
          <w:tcPr>
            <w:tcW w:w="2371" w:type="pct"/>
            <w:tcBorders>
              <w:top w:val="nil"/>
              <w:left w:val="nil"/>
              <w:bottom w:val="nil"/>
              <w:right w:val="single" w:sz="4" w:space="0" w:color="auto"/>
            </w:tcBorders>
            <w:shd w:val="clear" w:color="auto" w:fill="auto"/>
          </w:tcPr>
          <w:p w14:paraId="68CEA761" w14:textId="77777777" w:rsidR="00994F93" w:rsidRPr="00B03B51" w:rsidRDefault="00994F93" w:rsidP="001C4B02">
            <w:pPr>
              <w:pStyle w:val="TableParagraph"/>
              <w:jc w:val="both"/>
              <w:rPr>
                <w:rFonts w:ascii="Times New Roman" w:hAnsi="Times New Roman" w:cs="Times New Roman"/>
                <w:noProof/>
                <w:sz w:val="24"/>
              </w:rPr>
            </w:pPr>
          </w:p>
        </w:tc>
      </w:tr>
      <w:tr w:rsidR="00994F93" w:rsidRPr="00B03B51" w14:paraId="3E941DD7" w14:textId="77777777" w:rsidTr="009C7585">
        <w:tc>
          <w:tcPr>
            <w:tcW w:w="492" w:type="pct"/>
            <w:tcBorders>
              <w:top w:val="nil"/>
              <w:left w:val="single" w:sz="4" w:space="0" w:color="auto"/>
              <w:bottom w:val="nil"/>
              <w:right w:val="nil"/>
            </w:tcBorders>
            <w:shd w:val="clear" w:color="auto" w:fill="auto"/>
          </w:tcPr>
          <w:p w14:paraId="7ACAB53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w:t>
            </w:r>
          </w:p>
        </w:tc>
        <w:tc>
          <w:tcPr>
            <w:tcW w:w="613" w:type="pct"/>
            <w:tcBorders>
              <w:top w:val="nil"/>
              <w:left w:val="nil"/>
              <w:bottom w:val="nil"/>
              <w:right w:val="nil"/>
            </w:tcBorders>
            <w:shd w:val="clear" w:color="auto" w:fill="auto"/>
          </w:tcPr>
          <w:p w14:paraId="4D97099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908" w:type="pct"/>
            <w:tcBorders>
              <w:top w:val="nil"/>
              <w:left w:val="nil"/>
              <w:bottom w:val="nil"/>
              <w:right w:val="nil"/>
            </w:tcBorders>
            <w:shd w:val="clear" w:color="auto" w:fill="auto"/>
          </w:tcPr>
          <w:p w14:paraId="36580DE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4,02</w:t>
            </w:r>
          </w:p>
        </w:tc>
        <w:tc>
          <w:tcPr>
            <w:tcW w:w="617" w:type="pct"/>
            <w:tcBorders>
              <w:top w:val="nil"/>
              <w:left w:val="nil"/>
              <w:bottom w:val="nil"/>
              <w:right w:val="nil"/>
            </w:tcBorders>
            <w:shd w:val="clear" w:color="auto" w:fill="auto"/>
          </w:tcPr>
          <w:p w14:paraId="6B1ADA5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4,02</w:t>
            </w:r>
          </w:p>
        </w:tc>
        <w:tc>
          <w:tcPr>
            <w:tcW w:w="2371" w:type="pct"/>
            <w:tcBorders>
              <w:top w:val="nil"/>
              <w:left w:val="nil"/>
              <w:bottom w:val="nil"/>
              <w:right w:val="single" w:sz="4" w:space="0" w:color="auto"/>
            </w:tcBorders>
            <w:shd w:val="clear" w:color="auto" w:fill="auto"/>
          </w:tcPr>
          <w:p w14:paraId="00364F7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104,02</w:t>
            </w:r>
          </w:p>
        </w:tc>
      </w:tr>
      <w:tr w:rsidR="00994F93" w:rsidRPr="00B03B51" w14:paraId="2502C5EC" w14:textId="77777777" w:rsidTr="009C7585">
        <w:tc>
          <w:tcPr>
            <w:tcW w:w="492" w:type="pct"/>
            <w:tcBorders>
              <w:top w:val="nil"/>
              <w:left w:val="single" w:sz="4" w:space="0" w:color="auto"/>
              <w:bottom w:val="nil"/>
              <w:right w:val="nil"/>
            </w:tcBorders>
            <w:shd w:val="clear" w:color="auto" w:fill="auto"/>
          </w:tcPr>
          <w:p w14:paraId="53499A1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2</w:t>
            </w:r>
          </w:p>
        </w:tc>
        <w:tc>
          <w:tcPr>
            <w:tcW w:w="613" w:type="pct"/>
            <w:tcBorders>
              <w:top w:val="nil"/>
              <w:left w:val="nil"/>
              <w:bottom w:val="nil"/>
              <w:right w:val="nil"/>
            </w:tcBorders>
            <w:shd w:val="clear" w:color="auto" w:fill="auto"/>
          </w:tcPr>
          <w:p w14:paraId="49AA776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908" w:type="pct"/>
            <w:tcBorders>
              <w:top w:val="nil"/>
              <w:left w:val="nil"/>
              <w:bottom w:val="nil"/>
              <w:right w:val="nil"/>
            </w:tcBorders>
            <w:shd w:val="clear" w:color="auto" w:fill="auto"/>
          </w:tcPr>
          <w:p w14:paraId="2BB3394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4,18</w:t>
            </w:r>
          </w:p>
        </w:tc>
        <w:tc>
          <w:tcPr>
            <w:tcW w:w="617" w:type="pct"/>
            <w:tcBorders>
              <w:top w:val="nil"/>
              <w:left w:val="nil"/>
              <w:bottom w:val="nil"/>
              <w:right w:val="nil"/>
            </w:tcBorders>
            <w:shd w:val="clear" w:color="auto" w:fill="auto"/>
          </w:tcPr>
          <w:p w14:paraId="15A84B1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4,18</w:t>
            </w:r>
          </w:p>
        </w:tc>
        <w:tc>
          <w:tcPr>
            <w:tcW w:w="2371" w:type="pct"/>
            <w:tcBorders>
              <w:top w:val="nil"/>
              <w:left w:val="nil"/>
              <w:bottom w:val="nil"/>
              <w:right w:val="single" w:sz="4" w:space="0" w:color="auto"/>
            </w:tcBorders>
            <w:shd w:val="clear" w:color="auto" w:fill="auto"/>
          </w:tcPr>
          <w:p w14:paraId="7456122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108,19</w:t>
            </w:r>
          </w:p>
        </w:tc>
      </w:tr>
      <w:tr w:rsidR="00994F93" w:rsidRPr="00B03B51" w14:paraId="462F7454" w14:textId="77777777" w:rsidTr="009C7585">
        <w:tc>
          <w:tcPr>
            <w:tcW w:w="492" w:type="pct"/>
            <w:tcBorders>
              <w:top w:val="nil"/>
              <w:left w:val="single" w:sz="4" w:space="0" w:color="auto"/>
              <w:bottom w:val="nil"/>
              <w:right w:val="nil"/>
            </w:tcBorders>
            <w:shd w:val="clear" w:color="auto" w:fill="auto"/>
          </w:tcPr>
          <w:p w14:paraId="766FB64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3</w:t>
            </w:r>
          </w:p>
        </w:tc>
        <w:tc>
          <w:tcPr>
            <w:tcW w:w="613" w:type="pct"/>
            <w:tcBorders>
              <w:top w:val="nil"/>
              <w:left w:val="nil"/>
              <w:bottom w:val="nil"/>
              <w:right w:val="nil"/>
            </w:tcBorders>
            <w:shd w:val="clear" w:color="auto" w:fill="auto"/>
          </w:tcPr>
          <w:p w14:paraId="36B120A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908" w:type="pct"/>
            <w:tcBorders>
              <w:top w:val="nil"/>
              <w:left w:val="nil"/>
              <w:bottom w:val="nil"/>
              <w:right w:val="nil"/>
            </w:tcBorders>
            <w:shd w:val="clear" w:color="auto" w:fill="auto"/>
          </w:tcPr>
          <w:p w14:paraId="443DA21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4,35</w:t>
            </w:r>
          </w:p>
        </w:tc>
        <w:tc>
          <w:tcPr>
            <w:tcW w:w="617" w:type="pct"/>
            <w:tcBorders>
              <w:top w:val="nil"/>
              <w:left w:val="nil"/>
              <w:bottom w:val="nil"/>
              <w:right w:val="nil"/>
            </w:tcBorders>
            <w:shd w:val="clear" w:color="auto" w:fill="auto"/>
          </w:tcPr>
          <w:p w14:paraId="0B814CB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4,35</w:t>
            </w:r>
          </w:p>
        </w:tc>
        <w:tc>
          <w:tcPr>
            <w:tcW w:w="2371" w:type="pct"/>
            <w:tcBorders>
              <w:top w:val="nil"/>
              <w:left w:val="nil"/>
              <w:bottom w:val="nil"/>
              <w:right w:val="single" w:sz="4" w:space="0" w:color="auto"/>
            </w:tcBorders>
            <w:shd w:val="clear" w:color="auto" w:fill="auto"/>
          </w:tcPr>
          <w:p w14:paraId="7A69C17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112,54</w:t>
            </w:r>
          </w:p>
        </w:tc>
      </w:tr>
      <w:tr w:rsidR="00994F93" w:rsidRPr="00B03B51" w14:paraId="39BBACA3" w14:textId="77777777" w:rsidTr="009C7585">
        <w:tc>
          <w:tcPr>
            <w:tcW w:w="492" w:type="pct"/>
            <w:tcBorders>
              <w:top w:val="nil"/>
              <w:left w:val="single" w:sz="4" w:space="0" w:color="auto"/>
              <w:bottom w:val="nil"/>
              <w:right w:val="nil"/>
            </w:tcBorders>
            <w:shd w:val="clear" w:color="auto" w:fill="auto"/>
          </w:tcPr>
          <w:p w14:paraId="258E97A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613" w:type="pct"/>
            <w:tcBorders>
              <w:top w:val="nil"/>
              <w:left w:val="nil"/>
              <w:bottom w:val="nil"/>
              <w:right w:val="nil"/>
            </w:tcBorders>
            <w:shd w:val="clear" w:color="auto" w:fill="auto"/>
          </w:tcPr>
          <w:p w14:paraId="6A5CB30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908" w:type="pct"/>
            <w:tcBorders>
              <w:top w:val="nil"/>
              <w:left w:val="nil"/>
              <w:bottom w:val="nil"/>
              <w:right w:val="nil"/>
            </w:tcBorders>
            <w:shd w:val="clear" w:color="auto" w:fill="auto"/>
          </w:tcPr>
          <w:p w14:paraId="014D6A8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4,52</w:t>
            </w:r>
          </w:p>
        </w:tc>
        <w:tc>
          <w:tcPr>
            <w:tcW w:w="617" w:type="pct"/>
            <w:tcBorders>
              <w:top w:val="nil"/>
              <w:left w:val="nil"/>
              <w:bottom w:val="nil"/>
              <w:right w:val="nil"/>
            </w:tcBorders>
            <w:shd w:val="clear" w:color="auto" w:fill="auto"/>
          </w:tcPr>
          <w:p w14:paraId="11FC024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4,52</w:t>
            </w:r>
          </w:p>
        </w:tc>
        <w:tc>
          <w:tcPr>
            <w:tcW w:w="2371" w:type="pct"/>
            <w:tcBorders>
              <w:top w:val="nil"/>
              <w:left w:val="nil"/>
              <w:bottom w:val="nil"/>
              <w:right w:val="single" w:sz="4" w:space="0" w:color="auto"/>
            </w:tcBorders>
            <w:shd w:val="clear" w:color="auto" w:fill="auto"/>
          </w:tcPr>
          <w:p w14:paraId="0BF10E3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117,06</w:t>
            </w:r>
          </w:p>
        </w:tc>
      </w:tr>
      <w:tr w:rsidR="00994F93" w:rsidRPr="00B03B51" w14:paraId="4F089356" w14:textId="77777777" w:rsidTr="009C7585">
        <w:tc>
          <w:tcPr>
            <w:tcW w:w="492" w:type="pct"/>
            <w:tcBorders>
              <w:top w:val="nil"/>
              <w:left w:val="single" w:sz="4" w:space="0" w:color="auto"/>
              <w:bottom w:val="nil"/>
              <w:right w:val="nil"/>
            </w:tcBorders>
            <w:shd w:val="clear" w:color="auto" w:fill="auto"/>
          </w:tcPr>
          <w:p w14:paraId="6FDAB81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lastRenderedPageBreak/>
              <w:t>5</w:t>
            </w:r>
          </w:p>
        </w:tc>
        <w:tc>
          <w:tcPr>
            <w:tcW w:w="613" w:type="pct"/>
            <w:tcBorders>
              <w:top w:val="nil"/>
              <w:left w:val="nil"/>
              <w:bottom w:val="nil"/>
              <w:right w:val="nil"/>
            </w:tcBorders>
            <w:shd w:val="clear" w:color="auto" w:fill="auto"/>
          </w:tcPr>
          <w:p w14:paraId="34D4A4B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w:t>
            </w:r>
          </w:p>
        </w:tc>
        <w:tc>
          <w:tcPr>
            <w:tcW w:w="908" w:type="pct"/>
            <w:tcBorders>
              <w:top w:val="nil"/>
              <w:left w:val="nil"/>
              <w:bottom w:val="nil"/>
              <w:right w:val="nil"/>
            </w:tcBorders>
            <w:shd w:val="clear" w:color="auto" w:fill="auto"/>
          </w:tcPr>
          <w:p w14:paraId="5CC0DFF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4,70</w:t>
            </w:r>
          </w:p>
        </w:tc>
        <w:tc>
          <w:tcPr>
            <w:tcW w:w="617" w:type="pct"/>
            <w:tcBorders>
              <w:top w:val="nil"/>
              <w:left w:val="nil"/>
              <w:bottom w:val="nil"/>
              <w:right w:val="nil"/>
            </w:tcBorders>
            <w:shd w:val="clear" w:color="auto" w:fill="auto"/>
          </w:tcPr>
          <w:p w14:paraId="6E5D09D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4,70</w:t>
            </w:r>
          </w:p>
        </w:tc>
        <w:tc>
          <w:tcPr>
            <w:tcW w:w="2371" w:type="pct"/>
            <w:tcBorders>
              <w:top w:val="nil"/>
              <w:left w:val="nil"/>
              <w:bottom w:val="nil"/>
              <w:right w:val="single" w:sz="4" w:space="0" w:color="auto"/>
            </w:tcBorders>
            <w:shd w:val="clear" w:color="auto" w:fill="auto"/>
          </w:tcPr>
          <w:p w14:paraId="024FEB7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121,76</w:t>
            </w:r>
          </w:p>
        </w:tc>
      </w:tr>
      <w:tr w:rsidR="00994F93" w:rsidRPr="00B03B51" w14:paraId="529AD149" w14:textId="77777777" w:rsidTr="009C7585">
        <w:tc>
          <w:tcPr>
            <w:tcW w:w="492" w:type="pct"/>
            <w:tcBorders>
              <w:top w:val="nil"/>
              <w:left w:val="single" w:sz="4" w:space="0" w:color="auto"/>
              <w:bottom w:val="nil"/>
              <w:right w:val="nil"/>
            </w:tcBorders>
            <w:shd w:val="clear" w:color="auto" w:fill="auto"/>
          </w:tcPr>
          <w:p w14:paraId="17092E0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6</w:t>
            </w:r>
          </w:p>
        </w:tc>
        <w:tc>
          <w:tcPr>
            <w:tcW w:w="613" w:type="pct"/>
            <w:tcBorders>
              <w:top w:val="nil"/>
              <w:left w:val="nil"/>
              <w:bottom w:val="nil"/>
              <w:right w:val="nil"/>
            </w:tcBorders>
            <w:shd w:val="clear" w:color="auto" w:fill="auto"/>
          </w:tcPr>
          <w:p w14:paraId="5638711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908" w:type="pct"/>
            <w:tcBorders>
              <w:top w:val="nil"/>
              <w:left w:val="nil"/>
              <w:bottom w:val="nil"/>
              <w:right w:val="nil"/>
            </w:tcBorders>
            <w:shd w:val="clear" w:color="auto" w:fill="auto"/>
          </w:tcPr>
          <w:p w14:paraId="4E57DE1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4,89</w:t>
            </w:r>
          </w:p>
        </w:tc>
        <w:tc>
          <w:tcPr>
            <w:tcW w:w="617" w:type="pct"/>
            <w:tcBorders>
              <w:top w:val="nil"/>
              <w:left w:val="nil"/>
              <w:bottom w:val="nil"/>
              <w:right w:val="nil"/>
            </w:tcBorders>
            <w:shd w:val="clear" w:color="auto" w:fill="auto"/>
          </w:tcPr>
          <w:p w14:paraId="1BF0FF6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0,89</w:t>
            </w:r>
          </w:p>
        </w:tc>
        <w:tc>
          <w:tcPr>
            <w:tcW w:w="2371" w:type="pct"/>
            <w:tcBorders>
              <w:top w:val="nil"/>
              <w:left w:val="nil"/>
              <w:bottom w:val="nil"/>
              <w:right w:val="single" w:sz="4" w:space="0" w:color="auto"/>
            </w:tcBorders>
            <w:shd w:val="clear" w:color="auto" w:fill="auto"/>
          </w:tcPr>
          <w:p w14:paraId="0783492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122,65</w:t>
            </w:r>
          </w:p>
        </w:tc>
      </w:tr>
      <w:tr w:rsidR="00994F93" w:rsidRPr="00B03B51" w14:paraId="2583858B" w14:textId="77777777" w:rsidTr="009C7585">
        <w:tc>
          <w:tcPr>
            <w:tcW w:w="492" w:type="pct"/>
            <w:tcBorders>
              <w:top w:val="nil"/>
              <w:left w:val="single" w:sz="4" w:space="0" w:color="auto"/>
              <w:bottom w:val="nil"/>
              <w:right w:val="nil"/>
            </w:tcBorders>
            <w:shd w:val="clear" w:color="auto" w:fill="auto"/>
          </w:tcPr>
          <w:p w14:paraId="185BAF1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7</w:t>
            </w:r>
          </w:p>
        </w:tc>
        <w:tc>
          <w:tcPr>
            <w:tcW w:w="613" w:type="pct"/>
            <w:tcBorders>
              <w:top w:val="nil"/>
              <w:left w:val="nil"/>
              <w:bottom w:val="nil"/>
              <w:right w:val="nil"/>
            </w:tcBorders>
            <w:shd w:val="clear" w:color="auto" w:fill="auto"/>
          </w:tcPr>
          <w:p w14:paraId="1059E45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908" w:type="pct"/>
            <w:tcBorders>
              <w:top w:val="nil"/>
              <w:left w:val="nil"/>
              <w:bottom w:val="nil"/>
              <w:right w:val="nil"/>
            </w:tcBorders>
            <w:shd w:val="clear" w:color="auto" w:fill="auto"/>
          </w:tcPr>
          <w:p w14:paraId="6398F02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4,93</w:t>
            </w:r>
          </w:p>
        </w:tc>
        <w:tc>
          <w:tcPr>
            <w:tcW w:w="617" w:type="pct"/>
            <w:tcBorders>
              <w:top w:val="nil"/>
              <w:left w:val="nil"/>
              <w:bottom w:val="nil"/>
              <w:right w:val="nil"/>
            </w:tcBorders>
            <w:shd w:val="clear" w:color="auto" w:fill="auto"/>
          </w:tcPr>
          <w:p w14:paraId="7D413A1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0,93</w:t>
            </w:r>
          </w:p>
        </w:tc>
        <w:tc>
          <w:tcPr>
            <w:tcW w:w="2371" w:type="pct"/>
            <w:tcBorders>
              <w:top w:val="nil"/>
              <w:left w:val="nil"/>
              <w:bottom w:val="nil"/>
              <w:right w:val="single" w:sz="4" w:space="0" w:color="auto"/>
            </w:tcBorders>
            <w:shd w:val="clear" w:color="auto" w:fill="auto"/>
          </w:tcPr>
          <w:p w14:paraId="4A5E7A3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123,58</w:t>
            </w:r>
          </w:p>
        </w:tc>
      </w:tr>
      <w:tr w:rsidR="00994F93" w:rsidRPr="00B03B51" w14:paraId="51BAB6E7" w14:textId="77777777" w:rsidTr="009C7585">
        <w:tc>
          <w:tcPr>
            <w:tcW w:w="492" w:type="pct"/>
            <w:tcBorders>
              <w:top w:val="nil"/>
              <w:left w:val="single" w:sz="4" w:space="0" w:color="auto"/>
              <w:bottom w:val="nil"/>
              <w:right w:val="nil"/>
            </w:tcBorders>
            <w:shd w:val="clear" w:color="auto" w:fill="auto"/>
          </w:tcPr>
          <w:p w14:paraId="41A6FF1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8</w:t>
            </w:r>
          </w:p>
        </w:tc>
        <w:tc>
          <w:tcPr>
            <w:tcW w:w="613" w:type="pct"/>
            <w:tcBorders>
              <w:top w:val="nil"/>
              <w:left w:val="nil"/>
              <w:bottom w:val="nil"/>
              <w:right w:val="nil"/>
            </w:tcBorders>
            <w:shd w:val="clear" w:color="auto" w:fill="auto"/>
          </w:tcPr>
          <w:p w14:paraId="3E95B84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908" w:type="pct"/>
            <w:tcBorders>
              <w:top w:val="nil"/>
              <w:left w:val="nil"/>
              <w:bottom w:val="nil"/>
              <w:right w:val="nil"/>
            </w:tcBorders>
            <w:shd w:val="clear" w:color="auto" w:fill="auto"/>
          </w:tcPr>
          <w:p w14:paraId="10CC47B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4,96</w:t>
            </w:r>
          </w:p>
        </w:tc>
        <w:tc>
          <w:tcPr>
            <w:tcW w:w="617" w:type="pct"/>
            <w:tcBorders>
              <w:top w:val="nil"/>
              <w:left w:val="nil"/>
              <w:bottom w:val="nil"/>
              <w:right w:val="nil"/>
            </w:tcBorders>
            <w:shd w:val="clear" w:color="auto" w:fill="auto"/>
          </w:tcPr>
          <w:p w14:paraId="07E877A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0,96</w:t>
            </w:r>
          </w:p>
        </w:tc>
        <w:tc>
          <w:tcPr>
            <w:tcW w:w="2371" w:type="pct"/>
            <w:tcBorders>
              <w:top w:val="nil"/>
              <w:left w:val="nil"/>
              <w:bottom w:val="nil"/>
              <w:right w:val="single" w:sz="4" w:space="0" w:color="auto"/>
            </w:tcBorders>
            <w:shd w:val="clear" w:color="auto" w:fill="auto"/>
          </w:tcPr>
          <w:p w14:paraId="7C43D7C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124,54</w:t>
            </w:r>
          </w:p>
        </w:tc>
      </w:tr>
      <w:tr w:rsidR="00994F93" w:rsidRPr="00B03B51" w14:paraId="2FA9280A" w14:textId="77777777" w:rsidTr="009C7585">
        <w:tc>
          <w:tcPr>
            <w:tcW w:w="492" w:type="pct"/>
            <w:tcBorders>
              <w:top w:val="nil"/>
              <w:left w:val="single" w:sz="4" w:space="0" w:color="auto"/>
              <w:bottom w:val="nil"/>
              <w:right w:val="nil"/>
            </w:tcBorders>
            <w:shd w:val="clear" w:color="auto" w:fill="auto"/>
          </w:tcPr>
          <w:p w14:paraId="0307974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9</w:t>
            </w:r>
          </w:p>
        </w:tc>
        <w:tc>
          <w:tcPr>
            <w:tcW w:w="613" w:type="pct"/>
            <w:tcBorders>
              <w:top w:val="nil"/>
              <w:left w:val="nil"/>
              <w:bottom w:val="nil"/>
              <w:right w:val="nil"/>
            </w:tcBorders>
            <w:shd w:val="clear" w:color="auto" w:fill="auto"/>
          </w:tcPr>
          <w:p w14:paraId="5542829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908" w:type="pct"/>
            <w:tcBorders>
              <w:top w:val="nil"/>
              <w:left w:val="nil"/>
              <w:bottom w:val="nil"/>
              <w:right w:val="nil"/>
            </w:tcBorders>
            <w:shd w:val="clear" w:color="auto" w:fill="auto"/>
          </w:tcPr>
          <w:p w14:paraId="7397A20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5,00</w:t>
            </w:r>
          </w:p>
        </w:tc>
        <w:tc>
          <w:tcPr>
            <w:tcW w:w="617" w:type="pct"/>
            <w:tcBorders>
              <w:top w:val="nil"/>
              <w:left w:val="nil"/>
              <w:bottom w:val="nil"/>
              <w:right w:val="nil"/>
            </w:tcBorders>
            <w:shd w:val="clear" w:color="auto" w:fill="auto"/>
          </w:tcPr>
          <w:p w14:paraId="1B2F137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1.00</w:t>
            </w:r>
          </w:p>
        </w:tc>
        <w:tc>
          <w:tcPr>
            <w:tcW w:w="2371" w:type="pct"/>
            <w:tcBorders>
              <w:top w:val="nil"/>
              <w:left w:val="nil"/>
              <w:bottom w:val="nil"/>
              <w:right w:val="single" w:sz="4" w:space="0" w:color="auto"/>
            </w:tcBorders>
            <w:shd w:val="clear" w:color="auto" w:fill="auto"/>
          </w:tcPr>
          <w:p w14:paraId="7809EBD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125,55</w:t>
            </w:r>
          </w:p>
        </w:tc>
      </w:tr>
      <w:tr w:rsidR="00994F93" w:rsidRPr="00B03B51" w14:paraId="47CBDF68" w14:textId="77777777" w:rsidTr="009C7585">
        <w:tc>
          <w:tcPr>
            <w:tcW w:w="492" w:type="pct"/>
            <w:tcBorders>
              <w:top w:val="nil"/>
              <w:left w:val="single" w:sz="4" w:space="0" w:color="auto"/>
              <w:bottom w:val="nil"/>
              <w:right w:val="nil"/>
            </w:tcBorders>
            <w:shd w:val="clear" w:color="auto" w:fill="auto"/>
          </w:tcPr>
          <w:p w14:paraId="0771E39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613" w:type="pct"/>
            <w:tcBorders>
              <w:top w:val="nil"/>
              <w:left w:val="nil"/>
              <w:bottom w:val="nil"/>
              <w:right w:val="nil"/>
            </w:tcBorders>
            <w:shd w:val="clear" w:color="auto" w:fill="auto"/>
          </w:tcPr>
          <w:p w14:paraId="37342D0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w:t>
            </w:r>
          </w:p>
        </w:tc>
        <w:tc>
          <w:tcPr>
            <w:tcW w:w="908" w:type="pct"/>
            <w:tcBorders>
              <w:top w:val="nil"/>
              <w:left w:val="nil"/>
              <w:bottom w:val="nil"/>
              <w:right w:val="nil"/>
            </w:tcBorders>
            <w:shd w:val="clear" w:color="auto" w:fill="auto"/>
          </w:tcPr>
          <w:p w14:paraId="67AF7ED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5,05</w:t>
            </w:r>
          </w:p>
        </w:tc>
        <w:tc>
          <w:tcPr>
            <w:tcW w:w="617" w:type="pct"/>
            <w:tcBorders>
              <w:top w:val="nil"/>
              <w:left w:val="nil"/>
              <w:bottom w:val="nil"/>
              <w:right w:val="nil"/>
            </w:tcBorders>
            <w:shd w:val="clear" w:color="auto" w:fill="auto"/>
          </w:tcPr>
          <w:p w14:paraId="52A0F0A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1,05</w:t>
            </w:r>
          </w:p>
        </w:tc>
        <w:tc>
          <w:tcPr>
            <w:tcW w:w="2371" w:type="pct"/>
            <w:tcBorders>
              <w:top w:val="nil"/>
              <w:left w:val="nil"/>
              <w:bottom w:val="nil"/>
              <w:right w:val="single" w:sz="4" w:space="0" w:color="auto"/>
            </w:tcBorders>
            <w:shd w:val="clear" w:color="auto" w:fill="auto"/>
          </w:tcPr>
          <w:p w14:paraId="033C9FD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126,59</w:t>
            </w:r>
          </w:p>
        </w:tc>
      </w:tr>
      <w:tr w:rsidR="00994F93" w:rsidRPr="00B03B51" w14:paraId="7167BA18" w14:textId="77777777" w:rsidTr="009C7585">
        <w:tc>
          <w:tcPr>
            <w:tcW w:w="492" w:type="pct"/>
            <w:tcBorders>
              <w:top w:val="nil"/>
              <w:left w:val="single" w:sz="4" w:space="0" w:color="auto"/>
              <w:bottom w:val="nil"/>
              <w:right w:val="nil"/>
            </w:tcBorders>
            <w:shd w:val="clear" w:color="auto" w:fill="auto"/>
          </w:tcPr>
          <w:p w14:paraId="7346616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11</w:t>
            </w:r>
          </w:p>
        </w:tc>
        <w:tc>
          <w:tcPr>
            <w:tcW w:w="613" w:type="pct"/>
            <w:tcBorders>
              <w:top w:val="nil"/>
              <w:left w:val="nil"/>
              <w:bottom w:val="nil"/>
              <w:right w:val="nil"/>
            </w:tcBorders>
            <w:shd w:val="clear" w:color="auto" w:fill="auto"/>
          </w:tcPr>
          <w:p w14:paraId="6E13042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908" w:type="pct"/>
            <w:tcBorders>
              <w:top w:val="nil"/>
              <w:left w:val="nil"/>
              <w:bottom w:val="nil"/>
              <w:right w:val="nil"/>
            </w:tcBorders>
            <w:shd w:val="clear" w:color="auto" w:fill="auto"/>
          </w:tcPr>
          <w:p w14:paraId="6A94443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5,09</w:t>
            </w:r>
          </w:p>
        </w:tc>
        <w:tc>
          <w:tcPr>
            <w:tcW w:w="617" w:type="pct"/>
            <w:tcBorders>
              <w:top w:val="nil"/>
              <w:left w:val="nil"/>
              <w:bottom w:val="nil"/>
              <w:right w:val="nil"/>
            </w:tcBorders>
            <w:shd w:val="clear" w:color="auto" w:fill="auto"/>
          </w:tcPr>
          <w:p w14:paraId="550A7E7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-4,91</w:t>
            </w:r>
          </w:p>
        </w:tc>
        <w:tc>
          <w:tcPr>
            <w:tcW w:w="2371" w:type="pct"/>
            <w:tcBorders>
              <w:top w:val="nil"/>
              <w:left w:val="nil"/>
              <w:bottom w:val="nil"/>
              <w:right w:val="single" w:sz="4" w:space="0" w:color="auto"/>
            </w:tcBorders>
            <w:shd w:val="clear" w:color="auto" w:fill="auto"/>
          </w:tcPr>
          <w:p w14:paraId="0EA1D4A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121,68</w:t>
            </w:r>
          </w:p>
        </w:tc>
      </w:tr>
      <w:tr w:rsidR="00994F93" w:rsidRPr="00B03B51" w14:paraId="584B2184" w14:textId="77777777" w:rsidTr="009C7585">
        <w:tc>
          <w:tcPr>
            <w:tcW w:w="492" w:type="pct"/>
            <w:tcBorders>
              <w:top w:val="nil"/>
              <w:left w:val="single" w:sz="4" w:space="0" w:color="auto"/>
              <w:bottom w:val="nil"/>
              <w:right w:val="nil"/>
            </w:tcBorders>
            <w:shd w:val="clear" w:color="auto" w:fill="auto"/>
          </w:tcPr>
          <w:p w14:paraId="335B2A1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12</w:t>
            </w:r>
          </w:p>
        </w:tc>
        <w:tc>
          <w:tcPr>
            <w:tcW w:w="613" w:type="pct"/>
            <w:tcBorders>
              <w:top w:val="nil"/>
              <w:left w:val="nil"/>
              <w:bottom w:val="nil"/>
              <w:right w:val="nil"/>
            </w:tcBorders>
            <w:shd w:val="clear" w:color="auto" w:fill="auto"/>
          </w:tcPr>
          <w:p w14:paraId="4B6AD2D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908" w:type="pct"/>
            <w:tcBorders>
              <w:top w:val="nil"/>
              <w:left w:val="nil"/>
              <w:bottom w:val="nil"/>
              <w:right w:val="nil"/>
            </w:tcBorders>
            <w:shd w:val="clear" w:color="auto" w:fill="auto"/>
          </w:tcPr>
          <w:p w14:paraId="5C26EF5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4,89</w:t>
            </w:r>
          </w:p>
        </w:tc>
        <w:tc>
          <w:tcPr>
            <w:tcW w:w="617" w:type="pct"/>
            <w:tcBorders>
              <w:top w:val="nil"/>
              <w:left w:val="nil"/>
              <w:bottom w:val="nil"/>
              <w:right w:val="nil"/>
            </w:tcBorders>
            <w:shd w:val="clear" w:color="auto" w:fill="auto"/>
          </w:tcPr>
          <w:p w14:paraId="5CB9FFF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-5,11</w:t>
            </w:r>
          </w:p>
        </w:tc>
        <w:tc>
          <w:tcPr>
            <w:tcW w:w="2371" w:type="pct"/>
            <w:tcBorders>
              <w:top w:val="nil"/>
              <w:left w:val="nil"/>
              <w:bottom w:val="nil"/>
              <w:right w:val="single" w:sz="4" w:space="0" w:color="auto"/>
            </w:tcBorders>
            <w:shd w:val="clear" w:color="auto" w:fill="auto"/>
          </w:tcPr>
          <w:p w14:paraId="669E0C4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116,58</w:t>
            </w:r>
          </w:p>
        </w:tc>
      </w:tr>
      <w:tr w:rsidR="00994F93" w:rsidRPr="00B03B51" w14:paraId="5FBB8D1E" w14:textId="77777777" w:rsidTr="009C7585">
        <w:tc>
          <w:tcPr>
            <w:tcW w:w="492" w:type="pct"/>
            <w:tcBorders>
              <w:top w:val="nil"/>
              <w:left w:val="single" w:sz="4" w:space="0" w:color="auto"/>
              <w:bottom w:val="nil"/>
              <w:right w:val="nil"/>
            </w:tcBorders>
            <w:shd w:val="clear" w:color="auto" w:fill="auto"/>
          </w:tcPr>
          <w:p w14:paraId="5551B79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13</w:t>
            </w:r>
          </w:p>
        </w:tc>
        <w:tc>
          <w:tcPr>
            <w:tcW w:w="613" w:type="pct"/>
            <w:tcBorders>
              <w:top w:val="nil"/>
              <w:left w:val="nil"/>
              <w:bottom w:val="nil"/>
              <w:right w:val="nil"/>
            </w:tcBorders>
            <w:shd w:val="clear" w:color="auto" w:fill="auto"/>
          </w:tcPr>
          <w:p w14:paraId="3AFD189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908" w:type="pct"/>
            <w:tcBorders>
              <w:top w:val="nil"/>
              <w:left w:val="nil"/>
              <w:bottom w:val="nil"/>
              <w:right w:val="nil"/>
            </w:tcBorders>
            <w:shd w:val="clear" w:color="auto" w:fill="auto"/>
          </w:tcPr>
          <w:p w14:paraId="1AA6031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4,69</w:t>
            </w:r>
          </w:p>
        </w:tc>
        <w:tc>
          <w:tcPr>
            <w:tcW w:w="617" w:type="pct"/>
            <w:tcBorders>
              <w:top w:val="nil"/>
              <w:left w:val="nil"/>
              <w:bottom w:val="nil"/>
              <w:right w:val="nil"/>
            </w:tcBorders>
            <w:shd w:val="clear" w:color="auto" w:fill="auto"/>
          </w:tcPr>
          <w:p w14:paraId="6DD0A0A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-5,31</w:t>
            </w:r>
          </w:p>
        </w:tc>
        <w:tc>
          <w:tcPr>
            <w:tcW w:w="2371" w:type="pct"/>
            <w:tcBorders>
              <w:top w:val="nil"/>
              <w:left w:val="nil"/>
              <w:bottom w:val="nil"/>
              <w:right w:val="single" w:sz="4" w:space="0" w:color="auto"/>
            </w:tcBorders>
            <w:shd w:val="clear" w:color="auto" w:fill="auto"/>
          </w:tcPr>
          <w:p w14:paraId="77B1169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111,26</w:t>
            </w:r>
          </w:p>
        </w:tc>
      </w:tr>
      <w:tr w:rsidR="00994F93" w:rsidRPr="00B03B51" w14:paraId="6553CEEB" w14:textId="77777777" w:rsidTr="009C7585">
        <w:tc>
          <w:tcPr>
            <w:tcW w:w="492" w:type="pct"/>
            <w:tcBorders>
              <w:top w:val="nil"/>
              <w:left w:val="single" w:sz="4" w:space="0" w:color="auto"/>
              <w:bottom w:val="nil"/>
              <w:right w:val="nil"/>
            </w:tcBorders>
            <w:shd w:val="clear" w:color="auto" w:fill="auto"/>
          </w:tcPr>
          <w:p w14:paraId="3921AD0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14</w:t>
            </w:r>
          </w:p>
        </w:tc>
        <w:tc>
          <w:tcPr>
            <w:tcW w:w="613" w:type="pct"/>
            <w:tcBorders>
              <w:top w:val="nil"/>
              <w:left w:val="nil"/>
              <w:bottom w:val="nil"/>
              <w:right w:val="nil"/>
            </w:tcBorders>
            <w:shd w:val="clear" w:color="auto" w:fill="auto"/>
          </w:tcPr>
          <w:p w14:paraId="5BF7224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908" w:type="pct"/>
            <w:tcBorders>
              <w:top w:val="nil"/>
              <w:left w:val="nil"/>
              <w:bottom w:val="nil"/>
              <w:right w:val="nil"/>
            </w:tcBorders>
            <w:shd w:val="clear" w:color="auto" w:fill="auto"/>
          </w:tcPr>
          <w:p w14:paraId="32EA137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4,48</w:t>
            </w:r>
          </w:p>
        </w:tc>
        <w:tc>
          <w:tcPr>
            <w:tcW w:w="617" w:type="pct"/>
            <w:tcBorders>
              <w:top w:val="nil"/>
              <w:left w:val="nil"/>
              <w:bottom w:val="nil"/>
              <w:right w:val="nil"/>
            </w:tcBorders>
            <w:shd w:val="clear" w:color="auto" w:fill="auto"/>
          </w:tcPr>
          <w:p w14:paraId="58F9C61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-5,52</w:t>
            </w:r>
          </w:p>
        </w:tc>
        <w:tc>
          <w:tcPr>
            <w:tcW w:w="2371" w:type="pct"/>
            <w:tcBorders>
              <w:top w:val="nil"/>
              <w:left w:val="nil"/>
              <w:bottom w:val="nil"/>
              <w:right w:val="single" w:sz="4" w:space="0" w:color="auto"/>
            </w:tcBorders>
            <w:shd w:val="clear" w:color="auto" w:fill="auto"/>
          </w:tcPr>
          <w:p w14:paraId="01318F5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105,74</w:t>
            </w:r>
          </w:p>
        </w:tc>
      </w:tr>
      <w:tr w:rsidR="00994F93" w:rsidRPr="00B03B51" w14:paraId="4A9F719C" w14:textId="77777777" w:rsidTr="009C7585">
        <w:tc>
          <w:tcPr>
            <w:tcW w:w="492" w:type="pct"/>
            <w:tcBorders>
              <w:top w:val="nil"/>
              <w:left w:val="single" w:sz="4" w:space="0" w:color="auto"/>
              <w:bottom w:val="nil"/>
              <w:right w:val="nil"/>
            </w:tcBorders>
            <w:shd w:val="clear" w:color="auto" w:fill="auto"/>
          </w:tcPr>
          <w:p w14:paraId="5B360BE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15</w:t>
            </w:r>
          </w:p>
        </w:tc>
        <w:tc>
          <w:tcPr>
            <w:tcW w:w="613" w:type="pct"/>
            <w:tcBorders>
              <w:top w:val="nil"/>
              <w:left w:val="nil"/>
              <w:bottom w:val="nil"/>
              <w:right w:val="nil"/>
            </w:tcBorders>
            <w:shd w:val="clear" w:color="auto" w:fill="auto"/>
          </w:tcPr>
          <w:p w14:paraId="4374606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w:t>
            </w:r>
          </w:p>
        </w:tc>
        <w:tc>
          <w:tcPr>
            <w:tcW w:w="908" w:type="pct"/>
            <w:tcBorders>
              <w:top w:val="nil"/>
              <w:left w:val="nil"/>
              <w:bottom w:val="nil"/>
              <w:right w:val="nil"/>
            </w:tcBorders>
            <w:shd w:val="clear" w:color="auto" w:fill="auto"/>
          </w:tcPr>
          <w:p w14:paraId="62A26EE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4,26</w:t>
            </w:r>
          </w:p>
        </w:tc>
        <w:tc>
          <w:tcPr>
            <w:tcW w:w="617" w:type="pct"/>
            <w:tcBorders>
              <w:top w:val="nil"/>
              <w:left w:val="nil"/>
              <w:bottom w:val="nil"/>
              <w:right w:val="nil"/>
            </w:tcBorders>
            <w:shd w:val="clear" w:color="auto" w:fill="auto"/>
          </w:tcPr>
          <w:p w14:paraId="0C85BC4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-5,74</w:t>
            </w:r>
          </w:p>
        </w:tc>
        <w:tc>
          <w:tcPr>
            <w:tcW w:w="2371" w:type="pct"/>
            <w:tcBorders>
              <w:top w:val="nil"/>
              <w:left w:val="nil"/>
              <w:bottom w:val="nil"/>
              <w:right w:val="single" w:sz="4" w:space="0" w:color="auto"/>
            </w:tcBorders>
            <w:shd w:val="clear" w:color="auto" w:fill="auto"/>
          </w:tcPr>
          <w:p w14:paraId="0194F59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100</w:t>
            </w:r>
          </w:p>
        </w:tc>
      </w:tr>
      <w:tr w:rsidR="00994F93" w:rsidRPr="00B03B51" w14:paraId="29B658E8" w14:textId="77777777" w:rsidTr="009C7585">
        <w:tc>
          <w:tcPr>
            <w:tcW w:w="492" w:type="pct"/>
            <w:tcBorders>
              <w:top w:val="nil"/>
              <w:left w:val="single" w:sz="4" w:space="0" w:color="auto"/>
              <w:bottom w:val="single" w:sz="4" w:space="0" w:color="auto"/>
              <w:right w:val="nil"/>
            </w:tcBorders>
            <w:shd w:val="clear" w:color="auto" w:fill="auto"/>
          </w:tcPr>
          <w:p w14:paraId="61D644E3" w14:textId="77777777" w:rsidR="00994F93" w:rsidRPr="00B03B51" w:rsidRDefault="00994F93" w:rsidP="001C4B02">
            <w:pPr>
              <w:pStyle w:val="TableParagraph"/>
              <w:jc w:val="both"/>
              <w:rPr>
                <w:rFonts w:ascii="Times New Roman" w:hAnsi="Times New Roman" w:cs="Times New Roman"/>
                <w:b/>
                <w:noProof/>
                <w:sz w:val="24"/>
              </w:rPr>
            </w:pPr>
            <w:r w:rsidRPr="00B03B51">
              <w:rPr>
                <w:rFonts w:ascii="Times New Roman" w:hAnsi="Times New Roman" w:cs="Times New Roman"/>
                <w:b/>
                <w:sz w:val="24"/>
              </w:rPr>
              <w:t>Kopā</w:t>
            </w:r>
          </w:p>
        </w:tc>
        <w:tc>
          <w:tcPr>
            <w:tcW w:w="613" w:type="pct"/>
            <w:tcBorders>
              <w:top w:val="nil"/>
              <w:left w:val="nil"/>
              <w:bottom w:val="single" w:sz="4" w:space="0" w:color="auto"/>
              <w:right w:val="nil"/>
            </w:tcBorders>
            <w:shd w:val="clear" w:color="auto" w:fill="auto"/>
          </w:tcPr>
          <w:p w14:paraId="741DAE4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70</w:t>
            </w:r>
          </w:p>
        </w:tc>
        <w:tc>
          <w:tcPr>
            <w:tcW w:w="908" w:type="pct"/>
            <w:tcBorders>
              <w:top w:val="nil"/>
              <w:left w:val="nil"/>
              <w:bottom w:val="single" w:sz="4" w:space="0" w:color="auto"/>
              <w:right w:val="nil"/>
            </w:tcBorders>
            <w:shd w:val="clear" w:color="auto" w:fill="auto"/>
          </w:tcPr>
          <w:p w14:paraId="31B2BBC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70</w:t>
            </w:r>
          </w:p>
        </w:tc>
        <w:tc>
          <w:tcPr>
            <w:tcW w:w="617" w:type="pct"/>
            <w:tcBorders>
              <w:top w:val="nil"/>
              <w:left w:val="nil"/>
              <w:bottom w:val="single" w:sz="4" w:space="0" w:color="auto"/>
              <w:right w:val="nil"/>
            </w:tcBorders>
            <w:shd w:val="clear" w:color="auto" w:fill="auto"/>
          </w:tcPr>
          <w:p w14:paraId="30DA4B69" w14:textId="77777777" w:rsidR="00994F93" w:rsidRPr="00B03B51" w:rsidRDefault="00994F93" w:rsidP="001C4B02">
            <w:pPr>
              <w:jc w:val="both"/>
              <w:rPr>
                <w:rFonts w:ascii="Times New Roman" w:hAnsi="Times New Roman" w:cs="Times New Roman"/>
                <w:noProof/>
                <w:sz w:val="24"/>
              </w:rPr>
            </w:pPr>
          </w:p>
        </w:tc>
        <w:tc>
          <w:tcPr>
            <w:tcW w:w="2371" w:type="pct"/>
            <w:tcBorders>
              <w:top w:val="nil"/>
              <w:left w:val="nil"/>
              <w:bottom w:val="single" w:sz="4" w:space="0" w:color="auto"/>
              <w:right w:val="single" w:sz="4" w:space="0" w:color="auto"/>
            </w:tcBorders>
            <w:shd w:val="clear" w:color="auto" w:fill="auto"/>
          </w:tcPr>
          <w:p w14:paraId="418BC2A0" w14:textId="77777777" w:rsidR="00994F93" w:rsidRPr="00B03B51" w:rsidRDefault="00994F93" w:rsidP="001C4B02">
            <w:pPr>
              <w:jc w:val="both"/>
              <w:rPr>
                <w:rFonts w:ascii="Times New Roman" w:hAnsi="Times New Roman" w:cs="Times New Roman"/>
                <w:noProof/>
                <w:sz w:val="24"/>
              </w:rPr>
            </w:pPr>
          </w:p>
        </w:tc>
      </w:tr>
    </w:tbl>
    <w:p w14:paraId="537D7B85" w14:textId="77777777" w:rsidR="00994F93" w:rsidRPr="00B03B51" w:rsidRDefault="00994F93" w:rsidP="00994F93">
      <w:pPr>
        <w:jc w:val="both"/>
        <w:rPr>
          <w:rFonts w:ascii="Times New Roman" w:eastAsia="Arial" w:hAnsi="Times New Roman" w:cs="Times New Roman"/>
          <w:noProof/>
          <w:sz w:val="24"/>
          <w:szCs w:val="10"/>
        </w:rPr>
      </w:pPr>
    </w:p>
    <w:p w14:paraId="0FF882D9" w14:textId="77777777" w:rsidR="00994F93" w:rsidRPr="00B03B51" w:rsidRDefault="00994F93" w:rsidP="00994F93">
      <w:pPr>
        <w:pStyle w:val="Heading6"/>
        <w:tabs>
          <w:tab w:val="left" w:pos="1411"/>
          <w:tab w:val="left" w:pos="2715"/>
          <w:tab w:val="left" w:pos="4012"/>
          <w:tab w:val="left" w:pos="4550"/>
          <w:tab w:val="left" w:pos="6346"/>
          <w:tab w:val="left" w:pos="8191"/>
          <w:tab w:val="left" w:pos="8620"/>
        </w:tabs>
        <w:ind w:left="0" w:firstLine="0"/>
        <w:jc w:val="both"/>
        <w:rPr>
          <w:rFonts w:ascii="Times New Roman" w:hAnsi="Times New Roman" w:cs="Times New Roman"/>
          <w:noProof/>
          <w:sz w:val="24"/>
        </w:rPr>
      </w:pPr>
      <w:bookmarkStart w:id="143" w:name="2.4.3.14_Accrued_interest_on_instruments"/>
      <w:bookmarkEnd w:id="143"/>
      <w:r w:rsidRPr="00B03B51">
        <w:rPr>
          <w:rFonts w:ascii="Times New Roman" w:hAnsi="Times New Roman" w:cs="Times New Roman"/>
          <w:sz w:val="24"/>
        </w:rPr>
        <w:t>2.4.3.14. UZKRĀTIE PROCENTI PAR ĀRVALSTU VALŪTĀS IZTEIKTIEM INSTRUMENTIEM</w:t>
      </w:r>
    </w:p>
    <w:p w14:paraId="4BC077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A32A3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Attiecībā uz šādiem finanšu aktīviem un saistībām piemēro parastos noteikumus par uzkrātajiem procentiem, taču īpaša uzmanība ir jāpievērš jautājumam par pārvēršanu valsts valūtā. EKS 2010 10.27. punktā noteikts, ka “nominālie turēšanas guvumi un zaudējumi (K.7), kas attiecas uz aktīvu, neatkarīgi no tā, vai tie ir vai nav realizēti, ir aktīva vērtības pieaugums vai samazinājums, kas rodas tā ekonomiskajam īpašniekam un izriet no aktīva cenas pieauguma vai samazinājuma, tostarp no valūtas kursu svārstībām”. EKS 2010 6.64. punktā ir noteikts:</w:t>
      </w:r>
    </w:p>
    <w:p w14:paraId="5B97AF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521EBEA" w14:textId="77777777" w:rsidR="00994F93" w:rsidRPr="00B03B51" w:rsidRDefault="00994F93" w:rsidP="00A70719">
      <w:pPr>
        <w:pStyle w:val="BodyText"/>
        <w:numPr>
          <w:ilvl w:val="0"/>
          <w:numId w:val="1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“Tādēļ nominālie turēšanas guvumi un zaudējumi var rasties gan aktīva cenas pārmaiņu dēļ, gan valūtas kursa svārstību dēļ”;</w:t>
      </w:r>
    </w:p>
    <w:p w14:paraId="61646A70" w14:textId="77777777" w:rsidR="00994F93" w:rsidRPr="00B03B51" w:rsidRDefault="00994F93" w:rsidP="00A70719">
      <w:pPr>
        <w:pStyle w:val="BodyText"/>
        <w:numPr>
          <w:ilvl w:val="0"/>
          <w:numId w:val="1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“ārvalstu valūtā denominētiem aktīviem un saistībām vērtību mēra pēc to faktiskās tirgus vērtības ārvalstu valūtā, kas konvertēta nacionālajā valūtā pēc faktiskā valūtas kursa”.</w:t>
      </w:r>
    </w:p>
    <w:p w14:paraId="6454433F" w14:textId="77777777" w:rsidR="00994F93" w:rsidRPr="00B03B51" w:rsidRDefault="00994F93" w:rsidP="00A70719">
      <w:pPr>
        <w:pStyle w:val="BodyText"/>
        <w:numPr>
          <w:ilvl w:val="0"/>
          <w:numId w:val="1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“Darījumus ar aktīviem un saistībām, kas denominēti ārvalstu valūtā, konvertē nacionālajā valūtā, izmantojot valūtas kursus laikā, kad šie darījumi notiek”.</w:t>
      </w:r>
    </w:p>
    <w:p w14:paraId="0FA4ABB2"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B5B7D0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Attiecīgi nominālie turēšanas guvumi un zaudējumi var rasties tāpēc, ka darījumos izmantotie valūtas kursi atšķiras no bilancēs izmantotajiem valūtas kursiem.</w:t>
      </w:r>
    </w:p>
    <w:p w14:paraId="3FD8DD5F" w14:textId="77777777" w:rsidR="00994F93" w:rsidRPr="00B03B51" w:rsidRDefault="00994F93" w:rsidP="00994F93">
      <w:pPr>
        <w:jc w:val="both"/>
        <w:rPr>
          <w:rFonts w:ascii="Times New Roman" w:hAnsi="Times New Roman" w:cs="Times New Roman"/>
          <w:noProof/>
          <w:sz w:val="24"/>
        </w:rPr>
      </w:pPr>
    </w:p>
    <w:p w14:paraId="7DB15F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Ja procenti ir izteikti ārvalstu valūtā, tie jākonvertē valsts valūtā pēc valūtas kursa, kas ir spēkā procentu uzkrāšanas brīdī. Ideālā gadījumā procenti jāuzkrāj katru dienu, un tas jādara, izmantojot dienas valūtas kursu. Praksē šāds aprēķins tiek veikts par periodu, pamatojoties uz vidējo valūtas kursu, kas novērots šajā periodā (nevis izmantojot “tūlītēju” valūtas kursu, kas novērots tikai kādā konkrētā brīdī). Ja procentus uzkrāj ar salikto metodi, teorētiski šāds vidējais maiņas kurss jāizvērtē salīdzinājumā ar uzkrāto procentu summām katrā laikā šajā periodā. Tomēr vienkāršs aritmētisks vidējais, šķiet, ir pieņemams aizstājējs.</w:t>
      </w:r>
    </w:p>
    <w:p w14:paraId="189E11A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31708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55. Faktisks procentu maksājums ir darījums ar pamatā esošo instrumentu, kura ekvivalents ir “valūta un noguldījumi” (F.2) un kuram izmanto valūtas kursu datumā, kad ir faktiski veikts maksājums. Lai gan uzkrāto procentu summa ir pilnīgi vienāda ar ārvalstu valūtu katrā periodā, uzkrātās un izmaksātās procentu summas valsts valūtā var atšķirties valūtas kursa svārstību dēļ. Tādēļ pārvērtēšanas kontā ir jāveic korekcija, ņemot vērā atšķirības starp “tūlītējo” valūtas kursu, kas novērots šajā laikā (un izmantots nenomaksātās summas konversijai), un vidējo likmi, kas izmantota procentiem, kuri uzkrāti pēdējā periodā, vai “tūlītējo” likmi, kas novērota iepriekšējā perioda beigās procentiem, kuri iepriekš uzkrāti, bet nav nomaksāti pēdējā periodā.</w:t>
      </w:r>
    </w:p>
    <w:p w14:paraId="25B7C7F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67EAE7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56. Būtībā valūtas kursa sekas ir atšķirīgas no gadījuma ar instrumentiem, kam ir mainīga </w:t>
      </w:r>
      <w:r w:rsidRPr="00B03B51">
        <w:rPr>
          <w:rFonts w:ascii="Times New Roman" w:hAnsi="Times New Roman" w:cs="Times New Roman"/>
          <w:sz w:val="24"/>
        </w:rPr>
        <w:lastRenderedPageBreak/>
        <w:t>procentu likme, kuriem uzkrāto un atkārtoti ieguldīto procentu summas korekciju var veikt, kad ir zināma precīza procentu likme. Gadījumā ar ārvalstu valūtās izteiktiem instrumentiem korekcija nav aplēses kļūdas rezultāts, bet izriet no tā, ka darījumi tiek veikti dažādā laikā. Vēlāk, kad notiek šo procentu faktiskais maksājums, pārvērtēšanas kontā tiek veikta jauna korekcija, kuras nepieciešamību, no vienas puses, nosaka starpība starp valūtas kursu šajā laikā un kursu, kas izmantots pēdējā perioda beigās, un, no otras puses, starpība starp likmi, kura izmantota uzkrāšanai kopš perioda sākuma, un likmi maksājuma brīdī.</w:t>
      </w:r>
    </w:p>
    <w:p w14:paraId="14F6E48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EA9700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Dažreiz, piemēram, kad gada pārskatus kompilē attiecībā uz procentiem, kas tiek maksāti reizi trijos vai sešos mēnešos, vai diskontētiem instrumentiem ar īsāku maksājuma termiņu, uzkrāšanas periods un maksājuma periods “nepārklājas”. Principā vajadzīga tikai viena korekcija, kā norādīts iepriekšējās rindkopas beigās. Šādā gadījumā visus procentus uzkrāj un maksā tajā pašā kompilācijas periodā. Jauno prasījumu/saistības, kas izriet no uzkrāto procentu atkārtotas ieguldīšanas, rada un dzēš tajā pašā periodā. Šādā laika mērogā uzkrāto procentu jēdzienu var aplūkot kā diezgan teorētisku. Tādējādi vienkāršošanas nolūkā varētu būt pieņemami valsts valūtā konvertētā faktiskā maksājuma summu ierakstīt tieši īpašuma ienākumā, izvairoties no jebkādas korekcijas.</w:t>
      </w:r>
    </w:p>
    <w:p w14:paraId="253B68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3200E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58. No ekonomiskā viedokļa šiem ierakstiem ir būtiska nozīme. Vispār šādu korekciju bieži novēro attiecībā uz finanšu instrumentiem, kuri izteikti ārvalstu valūtā un kuriem darījumus ar pretējām zīmēm (kā saistību rašanās/izbeigšanās) par vienādām summām oriģinālajā valūtā nevar atlīdzināt pēc pārrēķināšanas valsts valūtā.</w:t>
      </w:r>
    </w:p>
    <w:p w14:paraId="2FE000F4" w14:textId="77777777" w:rsidR="00994F93" w:rsidRPr="00B03B51" w:rsidRDefault="00994F93" w:rsidP="00994F93">
      <w:pPr>
        <w:jc w:val="both"/>
        <w:rPr>
          <w:rFonts w:ascii="Times New Roman" w:eastAsia="Arial" w:hAnsi="Times New Roman" w:cs="Times New Roman"/>
          <w:noProof/>
          <w:sz w:val="24"/>
          <w:szCs w:val="15"/>
        </w:rPr>
      </w:pPr>
    </w:p>
    <w:p w14:paraId="3F915F17"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bookmarkStart w:id="144" w:name="2.4.3.15_Income_of_mutual_funds"/>
      <w:bookmarkEnd w:id="144"/>
      <w:r w:rsidRPr="00B03B51">
        <w:rPr>
          <w:rFonts w:ascii="Times New Roman" w:hAnsi="Times New Roman" w:cs="Times New Roman"/>
          <w:sz w:val="24"/>
        </w:rPr>
        <w:t>2.4.3.15. KOPFONDU IENĀKUMS</w:t>
      </w:r>
    </w:p>
    <w:p w14:paraId="46F9D6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94171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Vispārējās valdības sektorā klasificētām vienībām var piederēt akcijas, kuras emitējuši kopfondi. Šajā nodaļā ir aprakstīts, kā ieraksta kopfondā saņemto ienākumu atbilstoši uzkrāšanas principam saskaņā ar EKS 2010 noteikumiem. Šā ienākuma summu un laiku arī ieraksta kā kopfonda akcionāru/ieguldītāju ienākuma summu un laiku, atņemot kopfonda pakalpojuma maksu. Akcionāriem šo ienākumu ieraksta kā atkārtotu ieguldījumu kopfondā. Kopfonda faktiskos maksājumus akcionāriem/ieguldītājiem ieraksta kā finanšu darījumus, proti, akcionāri/ieguldītāji izņem ieguldītos līdzekļus. Kopfondu pakalpojuma maksu ieraksta kā pakalpojuma pārdošanu (akcionāru patēriņš), nevis kā sadales darījumu vai kā finanšu darījumu.</w:t>
      </w:r>
    </w:p>
    <w:p w14:paraId="4145C92F" w14:textId="77777777" w:rsidR="00994F93" w:rsidRPr="00B03B51" w:rsidRDefault="00994F93" w:rsidP="00994F93">
      <w:pPr>
        <w:jc w:val="both"/>
        <w:rPr>
          <w:rFonts w:ascii="Times New Roman" w:eastAsia="Arial" w:hAnsi="Times New Roman" w:cs="Times New Roman"/>
          <w:noProof/>
          <w:sz w:val="24"/>
          <w:szCs w:val="15"/>
        </w:rPr>
      </w:pPr>
    </w:p>
    <w:p w14:paraId="2D43DA08" w14:textId="77777777" w:rsidR="00994F93" w:rsidRPr="00B03B51" w:rsidRDefault="00994F93" w:rsidP="00994F93">
      <w:pPr>
        <w:pStyle w:val="Heading6"/>
        <w:tabs>
          <w:tab w:val="left" w:pos="1411"/>
          <w:tab w:val="left" w:pos="2595"/>
          <w:tab w:val="left" w:pos="4510"/>
          <w:tab w:val="left" w:pos="5258"/>
          <w:tab w:val="left" w:pos="6297"/>
          <w:tab w:val="left" w:pos="8329"/>
        </w:tabs>
        <w:ind w:left="0" w:firstLine="0"/>
        <w:jc w:val="both"/>
        <w:rPr>
          <w:rFonts w:ascii="Times New Roman" w:hAnsi="Times New Roman" w:cs="Times New Roman"/>
          <w:noProof/>
          <w:sz w:val="24"/>
        </w:rPr>
      </w:pPr>
      <w:bookmarkStart w:id="145" w:name="2.4.3.16_Early_redemption_of_debt_instru"/>
      <w:bookmarkEnd w:id="145"/>
      <w:r w:rsidRPr="00B03B51">
        <w:rPr>
          <w:rFonts w:ascii="Times New Roman" w:hAnsi="Times New Roman" w:cs="Times New Roman"/>
          <w:sz w:val="24"/>
        </w:rPr>
        <w:t>2.4.3.16. PARĀDA INSTRUMENTU PIRMSTERMIŅA IZPIRKŠANA (TOSTARP APMAIŅA)</w:t>
      </w:r>
    </w:p>
    <w:p w14:paraId="1F10231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491F46C8"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60. Debitoram var būt tiesības lauzt sākotnējo līgumu un atlīdzināt savu parādu pirms sākumā saskaņotā maksājuma termiņa. Dažkārt ir jādod konkrēts paziņošanas termiņš. Parasti kreditoriem ir tiesības uz kompensāciju.</w:t>
      </w:r>
    </w:p>
    <w:p w14:paraId="4FEB32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CF1128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61. Vērtspapīru gadījumā pirmstermiņa izpirkšana var notikt kā atpirkšana tirgū, ko veic emitents. Tā arī var tikt īstenota vērtspapīru apmaiņas rezultātā. Emitents pieprasa kādas īpašas obligācijas un apmaiņā sniedz jaunu vērtspapīru vai jaunu iepriekš emitēta vērtspapīra laidienu. Tiek ņemta vērā starpība, ko dažkārt dēvē par prēmiju, starp nominālo vērtību un reālo izpirkuma vērtību. Ja šī starpība ir pozitīva, tad turētājam tie ir turēšanas guvumi, bet emitentam – turēšanas zaudējumi, ko ieraksta attiecīgajos pārvērtēšanas kontos. Saskaņā ar EKS 2010 dažu veidu finanšu instrumentus vērtē pašreizējās cenās, jo īpaši attiecībā uz parāda vērtspapīriem. Tādējādi ienākumi/zaudējumi ir vienādi ar starpību starp nenomaksātās summas vērtību iepriekšējā perioda beigās un apmaiņas cenu. Šādas obligāciju maiņas traktējums ļoti </w:t>
      </w:r>
      <w:r w:rsidRPr="00B03B51">
        <w:rPr>
          <w:rFonts w:ascii="Times New Roman" w:hAnsi="Times New Roman" w:cs="Times New Roman"/>
          <w:sz w:val="24"/>
        </w:rPr>
        <w:lastRenderedPageBreak/>
        <w:t>līdzinās tādiem darījumiem ar obligācijām otrreizējos tirgos, kas notiek starp vērtspapīru turētājiem.</w:t>
      </w:r>
    </w:p>
    <w:p w14:paraId="175FF2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6E5DF5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Veicot apmaiņu, emitenta izpirktās summas tirgus vērtība ir tāda pati kā jaunā emitētā summa, un, iespējams, ir jāveic skaidras naudas maksājums par jebkādu vērtības maksimālo starpību. Attiecībā uz obligācijām ar regulāriem procentu maksājumiem emitents papildus vēl arī maksā par uzkrāto kuponu. Šāda apmaiņa var notikt saistībā ar īpašām darbībām, kuru mērķis ir mazināt nominālo parādu. Neatkarīgi no apmaiņas procedūras, apmaiņas laikā netiek ietekmēts neto aizņēmums/aizdevums (B.9).</w:t>
      </w:r>
    </w:p>
    <w:p w14:paraId="4BB65F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E8A037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63. Pirmstermiņa izpirkšana iespējama arī aizdevumu gadījumā. Debitoram var būt atļauts atmaksāt aizdevumu pirms galīgā atmaksāšanas termiņa, un bieži vien kreditoram tiesību aktos ir piešķirtas tiesības pieprasīt kompensāciju. Nacionālajos kontos šo kompensāciju nevar uzskatīt par kapitāla pārvedumu. Jautājums ir, vai šī kompensācija ir kreditora ienākums (debitora izdevumi), vai arī tā jāieraksta finanšu kontos (atainojot to, ka debitors nokārto turēšanas zaudējumus).</w:t>
      </w:r>
    </w:p>
    <w:p w14:paraId="7FB32725" w14:textId="77777777" w:rsidR="00994F93" w:rsidRPr="00B03B51" w:rsidRDefault="00994F93" w:rsidP="00994F93">
      <w:pPr>
        <w:tabs>
          <w:tab w:val="left" w:pos="843"/>
        </w:tabs>
        <w:jc w:val="both"/>
        <w:rPr>
          <w:rFonts w:ascii="Times New Roman" w:hAnsi="Times New Roman" w:cs="Times New Roman"/>
          <w:noProof/>
          <w:sz w:val="24"/>
        </w:rPr>
      </w:pPr>
    </w:p>
    <w:p w14:paraId="16F1A484" w14:textId="77777777" w:rsidR="00994F93" w:rsidRPr="00B03B51" w:rsidRDefault="00994F93" w:rsidP="00994F93">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64. EKS 2010 20.228. punktā ir minēts, ka nodevas vai soda naudas par aizdevuma pirmstermiņa izpirkšanu ir ienākums, sīkāk nenorādot tā veidu: </w:t>
      </w:r>
      <w:r w:rsidRPr="00B03B51">
        <w:rPr>
          <w:rFonts w:ascii="Times New Roman" w:hAnsi="Times New Roman" w:cs="Times New Roman"/>
          <w:i/>
          <w:iCs/>
          <w:sz w:val="24"/>
        </w:rPr>
        <w:t>Ja saskaņā ar līgumu par pirmstermiņa izpirkšanu jāmaksā soda nauda vai nodeva aizdevējam, šo summu ieraksta kā aizdevēja ienākumu</w:t>
      </w:r>
      <w:r w:rsidRPr="00B03B51">
        <w:rPr>
          <w:rFonts w:ascii="Times New Roman" w:hAnsi="Times New Roman" w:cs="Times New Roman"/>
          <w:sz w:val="24"/>
        </w:rPr>
        <w:t xml:space="preserve">. Ar šo teikumu ir īpaši paredzēts uzsvērt, ka šīs soda naudas nav kapitāla pārveduma izdevumi, ņemot vērā, ka iepriekšējais teikums ir šāds: </w:t>
      </w:r>
      <w:r w:rsidRPr="00B03B51">
        <w:rPr>
          <w:rFonts w:ascii="Times New Roman" w:hAnsi="Times New Roman" w:cs="Times New Roman"/>
          <w:i/>
          <w:iCs/>
          <w:sz w:val="24"/>
        </w:rPr>
        <w:t>Ja debitoru valdības piedāvā atmaksāt parādu iepriekš par vērtību, kas ir zemāka par pamatvērtību, kas ietver kavētos procentu maksājumus, to ieraksta kapitāla kontā ar ietekmi uz valdības neto aizdevumiem/neto aizņēmumiem, jo tiek pieņemts, ka pastāv kreditora dotācija.</w:t>
      </w:r>
      <w:r w:rsidRPr="00B03B51">
        <w:rPr>
          <w:rFonts w:ascii="Times New Roman" w:hAnsi="Times New Roman" w:cs="Times New Roman"/>
          <w:i/>
          <w:sz w:val="24"/>
        </w:rPr>
        <w:t xml:space="preserve"> </w:t>
      </w:r>
      <w:r w:rsidRPr="00B03B51">
        <w:rPr>
          <w:rFonts w:ascii="Times New Roman" w:hAnsi="Times New Roman" w:cs="Times New Roman"/>
          <w:sz w:val="24"/>
        </w:rPr>
        <w:t>Šis pēdējais teikums jo īpaši attiecas uz starpvaldību aizdevumiem. Maksas vai soda naudas par pirmstermiņa (vai kavētu) atmaksu ir skaidri izteiktu maksājumu tipiski piemēri finanšu pakalpojumu jomā.</w:t>
      </w:r>
    </w:p>
    <w:p w14:paraId="4F4108F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D028B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65. EKS 2010 20.228. punktā sniegto atsauci </w:t>
      </w:r>
      <w:r w:rsidRPr="00B03B51">
        <w:rPr>
          <w:rFonts w:ascii="Times New Roman" w:hAnsi="Times New Roman" w:cs="Times New Roman"/>
          <w:i/>
          <w:iCs/>
          <w:sz w:val="24"/>
        </w:rPr>
        <w:t>saskaņā ar līgumu</w:t>
      </w:r>
      <w:r w:rsidRPr="00B03B51">
        <w:rPr>
          <w:rFonts w:ascii="Times New Roman" w:hAnsi="Times New Roman" w:cs="Times New Roman"/>
          <w:sz w:val="24"/>
        </w:rPr>
        <w:t xml:space="preserve"> ir nepieciešams nedaudz interpretēt. Varētu uzdot jautājumu, kāpēc lai debitors piekristu maksāt lielāku soda naudu nekā tā, kas paredzēta saskaņā ar līgumu. Ja tas tā tomēr ir, varētu pieņemt, ka tas pat vēl vairāk atbilst ienākuma plūsmai kreditora labā, proti, tas ir sava veida maksājums par pakalpojumu, ko kreditors ir sniedzis debitoram. Turklāt dažās jurisdikcijās šīs nodevas var tikt regulētas tiesību aktos vai nolikumos tādējādi, ka šādas līguma klauzulas ir vai nu nevajadzīgas, vai spēkā neesošas. Kopumā var pieņemt, ka šīs atsauces mērķis ir vien atgādināt, ka līgumos parasti ir atļauts veikt šādas pirmstermiņa atmaksas par maksu.</w:t>
      </w:r>
    </w:p>
    <w:p w14:paraId="35B84DA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A87874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66. EKS 2010 20.228. punkta pēdējā teikumā </w:t>
      </w:r>
      <w:r w:rsidRPr="00B03B51">
        <w:rPr>
          <w:rFonts w:ascii="Times New Roman" w:hAnsi="Times New Roman" w:cs="Times New Roman"/>
          <w:i/>
          <w:iCs/>
          <w:sz w:val="24"/>
        </w:rPr>
        <w:t>attiecībā uz vērtspapīriem atpakaļpirkumu tirgū ieraksta pārvērtēšanas kontos, ja vien vērtspapīru turētajam nepieprasa veikt pirmstermiņa izpirkšanu</w:t>
      </w:r>
      <w:r w:rsidRPr="00B03B51">
        <w:rPr>
          <w:rFonts w:ascii="Times New Roman" w:hAnsi="Times New Roman" w:cs="Times New Roman"/>
          <w:sz w:val="24"/>
        </w:rPr>
        <w:t xml:space="preserve"> tiek nošķirti parāda vērtspapīru brīvprātīgi norēķini, kuri jāieraksta finanšu kontos (tie ir turēšanas zaudējumi/guvumi, skat. iepriekš 61. rindkopu), no citu parādu norēķiniem vai no nosacītiem norēķiniem. Tirgū iegādātus aizdevumus un vērtspapīrus traktē atšķirīgi tāda iemesla dēļ, ka aizdevumu gadījumā debitoram ir jāvienojas ar kreditoru par saistību dzēšanu. Vērtspapīru gadījumā tas tā nav, jo debitors var iegādāties tirgū vērtspapīrus, kurus tas vēlas dzēst (pārdevējs vienīgi piekrīt pārdot vērtspapīrus par noteiktu cenu, bet ne obligāti piekrīt pircēja galīgajam mērķim, proti, saistību dzēšanai).</w:t>
      </w:r>
    </w:p>
    <w:p w14:paraId="3C5ECFC5" w14:textId="77777777" w:rsidR="00994F93" w:rsidRPr="00B03B51" w:rsidRDefault="00994F93" w:rsidP="00994F93">
      <w:pPr>
        <w:tabs>
          <w:tab w:val="left" w:pos="843"/>
        </w:tabs>
        <w:jc w:val="both"/>
        <w:rPr>
          <w:rFonts w:ascii="Times New Roman" w:hAnsi="Times New Roman" w:cs="Times New Roman"/>
          <w:noProof/>
          <w:sz w:val="24"/>
        </w:rPr>
      </w:pPr>
    </w:p>
    <w:p w14:paraId="1C558BF7"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67. Tomēr kompensācijas maksājumu, kas paredzēts, lai parādītu diskonta likmes izmaiņas, piemēram, bezriska likmes, varētu traktēt atšķirīgi. Piemēram, EKS 2010 20.231. punktā ir noteikts izņēmums tam, kā tiek veikts ieraksts saskaņā ar EKS 2010 20.229. punktu, kad zaudējumi parāda </w:t>
      </w:r>
      <w:r w:rsidRPr="00B03B51">
        <w:rPr>
          <w:rFonts w:ascii="Times New Roman" w:hAnsi="Times New Roman" w:cs="Times New Roman"/>
          <w:i/>
          <w:iCs/>
          <w:sz w:val="24"/>
        </w:rPr>
        <w:t>pārmaiņas tirgus procentu likmēs, nevis pārmaiņas kredīta vērtībā</w:t>
      </w:r>
      <w:r w:rsidRPr="00B03B51">
        <w:rPr>
          <w:rFonts w:ascii="Times New Roman" w:hAnsi="Times New Roman" w:cs="Times New Roman"/>
          <w:sz w:val="24"/>
        </w:rPr>
        <w:t>.</w:t>
      </w:r>
    </w:p>
    <w:p w14:paraId="18E73C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A0BB5E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68. Visbeidzot, aizdevumos var būt iekļauts nodalāms atvasināts instruments (skat. 2.4.3.17. apakšiedaļu) vai arī tas var būt indeksēts ar šauru indeksu (skat. 2.4.3.11. apakšiedaļu). Šādos gadījumos norēķinu maksājums var parādīt vien attiecīgā atvasinātā instrumenta patieso vērtību vai indeksa ietekmi atkārtotu sarunu laikā. Šajā gadījumā to maksājumu daļu, kas parāda šo pēdējo minēto vērtību, parasti ieraksta finanšu kontos.</w:t>
      </w:r>
    </w:p>
    <w:p w14:paraId="2E4F66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10540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69. Ņemot to visu vērā, jebkurai samaksātai summai, kas ir virs pamatsummas un uzkrātajiem nenomaksātajiem procentiem (“summa, kas pienākas”), lai arī kā šis maksājums sauktos (nodeva, soda nauda, kompensācija vai kā citādi), pareizs traktējums ir atkarīgs no aizdevuma veida:</w:t>
      </w:r>
    </w:p>
    <w:p w14:paraId="08742514"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6ABF1AE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ja aizdevums ir regulārs vai standarta veida aizdevums, kas ir visbiežākais gadījums un kas var būt ar fiksētu likmi, brīvi svārstīgu likmi vai indeksēts ar vispārējo cenu indeksu, summa ir jāieraksta kā ienākuma maksājumi (skaidras pakalpojuma maksas), izņemot, ja vien var konstatēt, ka kompensācija (vai tās daļa) vispārēji atspoguļo “tirgus procentu likmju” (t. i., tīru bezriska likmju vai vismaz tādu likmju, kas neatspoguļo atsevišķas “pārmaiņas kredīta vērtībā”, skat. EKS 2010 20.231. punktu) svārstības;</w:t>
      </w:r>
    </w:p>
    <w:p w14:paraId="4077D0F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F9813F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instruments ietver aizdevumu un atvasināto instrumentu, kas ir atdalāms (skat. 2.4.3.17. apakšiedaļu), summu ieraksta kā turēšanas zaudējumus (atvasināto instrumentu turēšanas zaudējumus), ja vien soda nauda nepārsniedz nenomaksāto atvasināto instrumentu patieso vērtību vai ja vien soda nauda nav iepriekš noteikts maksājums, kas izteikts vai nu kā vienreizējs maksājums, vai kā nemainīta procentuālā daļa no nenomaksātās pamatsummas. Abos pēdējos minētajos gadījumos debitors ieraksta izdevumos to maksājuma daļu, kas pārsniedz atvasinātā instrumenta patieso vērtību, vai fiksētu summu;</w:t>
      </w:r>
    </w:p>
    <w:p w14:paraId="1842666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65EA94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ja aizdevums ir indeksēts ar šauro indeksu (skat. 2.4.3.11. apakšiedaļu), summu ieraksta kā ienākumu, ja tā paredzēts līgumā, un nesaistīti ar indeksu. Pretējā gadījumā saskaņā ar iepriekšējā punktā minēto atdalāmo atvasināto instrumentu gadījumu vai pēc analoģijas ar to maksājums atspoguļo ar aizdevumiem saistītos debitora turēšanas zaudējumus (kreditora turēšanas guvumus).</w:t>
      </w:r>
    </w:p>
    <w:p w14:paraId="3890BCF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AD53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70. Kompensācijas maksu, ko ieraksta nefinanšu kontos, nacionālajos kontos nevar uzskatīt par kapitāla pārvedumu un ir jāuzskata par pakalpojuma maksu (P.1) vai gadījumā, ja kreditors ir finanšu iestāde, par kompensācijas pārvedumu (D.75).</w:t>
      </w:r>
    </w:p>
    <w:p w14:paraId="4B6C091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A4A2C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71. Soda sankcijas saistībā ar atkārtotām sarunām ir līdzīgas maksājumiem par pirmstermiņa izpirkšanu. Var apgalvot, ka atkārtotas sarunas/pārstrukturēšana neatšķiras no situācijas, kad tiek izbeigts viens līgums un vienlaikus stājas spēkā jauns līgums. Saskaņā ar iepriekšējiem punktiem maksas par atkārtotām sarunām ieraksta tad, kad tās tiek veiktas. Izņēmuma gadījumos, piemēram, kad atkārtotajās sarunās saskaņotie noteikumi nav tajā laikā tirgus noteikumi (un tādējādi var pieņemt, ka maksa par atkārtotajām sarunām ietver arī kompensāciju par ārpustirgus noteikumiem), var gadīties, ka daļa no šīs maksas nav jāsadala uz visu instrumenta darbības laiku. Šajā gadījumā varētu gadīties, ka maksa ir jāsadala divos komponentos, no kuriem viens ir kompensācija par pirmstermiņa izpirkšanu un otrs ir vērtība, kas izsaka starpību starp tirgus noteikumiem atkārtotu sarunu laikā un jaunajiem saskaņotajiem noteikumiem, kur pirmo minēto vērtību ieraksta vienošanās brīdī un otro sadala uz jauno periodu.</w:t>
      </w:r>
    </w:p>
    <w:p w14:paraId="6905585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D1B470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72. Dažu termiņnoguldījumu vai krājnoguldījumu gadījumā attiecīgo procentu likmi var maksāt </w:t>
      </w:r>
      <w:r w:rsidRPr="00B03B51">
        <w:rPr>
          <w:rFonts w:ascii="Times New Roman" w:hAnsi="Times New Roman" w:cs="Times New Roman"/>
          <w:sz w:val="24"/>
        </w:rPr>
        <w:lastRenderedPageBreak/>
        <w:t>vienīgi saskaņā ar noteikumu par minimālo noguldījuma termiņu. Pirmstermiņa likvidēšanu, ja vien līgumā tāda ir atļauta, līdzsvaro, samazinot turētājam izmaksājamo procentu likmi. Lai ierakstītu procentus atbilstoši uzkrāšanas principam, vērā ņemtā procentu likme ir maksimālā likme, ko noguldītājs varētu saņemt līguma standarta izpildes gaitā, t. i., ja tiek ievēroti noteikumi attiecībā uz atmaksāšanas termiņu un paziņojumu sniegšanu. Ja tā nav, iepriekš uzkrāto procentu summu koriģē atbilstoši galīgajai likmei. Tā kā, visticamāk, šī summa kopumā ir ļoti maza salīdzinājumā ar kopējiem procentiem par noguldījumiem, praktisku apsvērumu dēļ kopsummas korekciju var ierakstīt tikai pašā pēdējā periodā.</w:t>
      </w:r>
    </w:p>
    <w:p w14:paraId="6A813C5F" w14:textId="77777777" w:rsidR="00994F93" w:rsidRPr="00B03B51" w:rsidRDefault="00994F93" w:rsidP="00994F93">
      <w:pPr>
        <w:jc w:val="both"/>
        <w:rPr>
          <w:rFonts w:ascii="Times New Roman" w:eastAsia="Arial" w:hAnsi="Times New Roman" w:cs="Times New Roman"/>
          <w:noProof/>
          <w:sz w:val="24"/>
          <w:szCs w:val="15"/>
        </w:rPr>
      </w:pPr>
    </w:p>
    <w:p w14:paraId="7AF5FE5F"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bookmarkStart w:id="146" w:name="2.4.3.17_Recording_interest_when_there_i"/>
      <w:bookmarkEnd w:id="146"/>
      <w:r w:rsidRPr="00B03B51">
        <w:rPr>
          <w:rFonts w:ascii="Times New Roman" w:hAnsi="Times New Roman" w:cs="Times New Roman"/>
          <w:sz w:val="24"/>
        </w:rPr>
        <w:t>2.4.3.17. PROCENTU IERAKSTĪŠANA, KAD PARĀDA INSTRUMENTS SATUR ATVASINĀTU INSTRUMENTU</w:t>
      </w:r>
    </w:p>
    <w:p w14:paraId="4A2C7800" w14:textId="77777777" w:rsidR="00994F93" w:rsidRPr="00B03B51" w:rsidRDefault="00994F93" w:rsidP="00994F93">
      <w:pPr>
        <w:jc w:val="both"/>
        <w:rPr>
          <w:rFonts w:ascii="Times New Roman" w:eastAsia="Arial" w:hAnsi="Times New Roman" w:cs="Times New Roman"/>
          <w:b/>
          <w:bCs/>
          <w:noProof/>
          <w:sz w:val="24"/>
          <w:szCs w:val="21"/>
        </w:rPr>
      </w:pPr>
    </w:p>
    <w:p w14:paraId="27046AA6"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Vispārīgs princips</w:t>
      </w:r>
    </w:p>
    <w:p w14:paraId="6F7C2331" w14:textId="77777777" w:rsidR="00994F93" w:rsidRPr="00B03B51" w:rsidRDefault="00994F93" w:rsidP="00994F93">
      <w:pPr>
        <w:jc w:val="both"/>
        <w:rPr>
          <w:rFonts w:ascii="Times New Roman" w:eastAsia="Arial" w:hAnsi="Times New Roman" w:cs="Times New Roman"/>
          <w:b/>
          <w:bCs/>
          <w:noProof/>
          <w:sz w:val="24"/>
          <w:szCs w:val="21"/>
        </w:rPr>
      </w:pPr>
    </w:p>
    <w:p w14:paraId="085EF4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73. Kad ir uzskatāms, ka parāda instruments</w:t>
      </w:r>
      <w:r w:rsidRPr="00B03B51">
        <w:rPr>
          <w:rStyle w:val="FootnoteReference"/>
          <w:rFonts w:ascii="Times New Roman" w:hAnsi="Times New Roman" w:cs="Times New Roman"/>
          <w:noProof/>
          <w:sz w:val="24"/>
        </w:rPr>
        <w:footnoteReference w:id="131"/>
      </w:r>
      <w:r w:rsidRPr="00B03B51">
        <w:rPr>
          <w:rFonts w:ascii="Times New Roman" w:hAnsi="Times New Roman" w:cs="Times New Roman"/>
          <w:sz w:val="24"/>
        </w:rPr>
        <w:t xml:space="preserve"> satur atdalāmu atvasināto instrumentu, uzkrātajiem procentiem ir jāparāda divi komponenti: a) komponents, kas aprēķināts par parāda instrumentu, kurā neietilpst atvasinātais instruments, saskaņā ar rezultātā iegūto instrumentu būtību pēc minētā atvasinātā instrumenta atdalīšanas, un b) vēl viens komponents, kas ietver minēto atvasināto instrumentu patieso vērtību instrumenta darbības sākumā. Abus šos komponentus sadala laikā saskaņā ar uzkrāšanas principu.</w:t>
      </w:r>
    </w:p>
    <w:p w14:paraId="3DCA596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6D4DC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74. Attiecīgais atvasinātais instruments var būt ārpusbiržas nākotnes atvasinātais instruments vai iespējas atvasinātais instruments. Iespējas atvasinātie instrumenti var tikt vienkāršoti, kļūstot par (asimetrisku) ārpusbiržas nākotnes atvasināto instrumentu, ja svārstīgums samazinās līdz nullei.</w:t>
      </w:r>
    </w:p>
    <w:p w14:paraId="7F228FE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BF8179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75. Pieņemsim, ka ir 100 vienību aizņēmuma līgums uz 10 gadiem ar fiksētu procentu likmi 4 % gadā, kā arī papildu summas, kas ir atkarīgas no kādas formulas, kas atkārtojama ar iespējas līgumu vai iespēju līgumu grozu (debitoram ir pārdošanas postenis). Pieņemsim, ka iespēju līgumi ir kompensējami, to novērojamā patiesā vērtība ir 15. Tad kopējie “procenti”(D.41 plus </w:t>
      </w:r>
      <w:r w:rsidRPr="00B03B51">
        <w:rPr>
          <w:rFonts w:ascii="Times New Roman" w:hAnsi="Times New Roman" w:cs="Times New Roman"/>
          <w:i/>
          <w:iCs/>
          <w:sz w:val="24"/>
        </w:rPr>
        <w:t>FISIM</w:t>
      </w:r>
      <w:r w:rsidRPr="00B03B51">
        <w:rPr>
          <w:rFonts w:ascii="Times New Roman" w:hAnsi="Times New Roman" w:cs="Times New Roman"/>
          <w:sz w:val="24"/>
        </w:rPr>
        <w:t>), kas jāieraksta nacionālajos kontos attiecībā uz šo instrumentu, ir 55 = 4 x 10 +15. Tie ir līdzvērtīgi 5,5 [procentiem] gadā, ja tiek sadalīti lineāri, vai kādai zemākai summai pirmajā gadā (apmēram 5,13), kas laika gaitā pieaug (līdz 5,93 [procentiem] 10. gadā), ja izmanto pašreizējās vērtības/salikto procentu pieeju. Var redzēt, ka pašreizējās vērtības/salikto procentu pieeju rada vai nu tas, ka debitors gūst procentus, vai ka laika gaitā pieaug saistības (skat. turpmāk “atvasināto instrumentu traktējums”). Parāda instrumenta ienesīgums ir apmēram 6,04 % (6,04 % x (100 - 15) = 5,13), kas būtiski atšķiras no pirmā tuvinājuma, kas ir 5,5 %.</w:t>
      </w:r>
    </w:p>
    <w:p w14:paraId="27AEDBF2" w14:textId="77777777" w:rsidR="00994F93" w:rsidRPr="00B03B51" w:rsidRDefault="00994F93" w:rsidP="00994F93">
      <w:pPr>
        <w:jc w:val="both"/>
        <w:rPr>
          <w:rFonts w:ascii="Times New Roman" w:eastAsia="Arial" w:hAnsi="Times New Roman" w:cs="Times New Roman"/>
          <w:noProof/>
          <w:sz w:val="24"/>
          <w:szCs w:val="20"/>
        </w:rPr>
      </w:pPr>
    </w:p>
    <w:p w14:paraId="7A389AC4" w14:textId="75EDB540" w:rsidR="00994F93" w:rsidRPr="00B03B51" w:rsidRDefault="007578E7" w:rsidP="007578E7">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lastRenderedPageBreak/>
        <w:drawing>
          <wp:inline distT="0" distB="0" distL="0" distR="0" wp14:anchorId="1DA58AA7" wp14:editId="404D70D0">
            <wp:extent cx="5760085" cy="48748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4874895"/>
                    </a:xfrm>
                    <a:prstGeom prst="rect">
                      <a:avLst/>
                    </a:prstGeom>
                    <a:noFill/>
                    <a:ln>
                      <a:noFill/>
                    </a:ln>
                  </pic:spPr>
                </pic:pic>
              </a:graphicData>
            </a:graphic>
          </wp:inline>
        </w:drawing>
      </w:r>
    </w:p>
    <w:p w14:paraId="7E548E84" w14:textId="77777777" w:rsidR="00994F93" w:rsidRPr="00B03B51" w:rsidRDefault="00994F93" w:rsidP="00994F93">
      <w:pPr>
        <w:jc w:val="both"/>
        <w:rPr>
          <w:rFonts w:ascii="Times New Roman" w:eastAsia="Arial" w:hAnsi="Times New Roman" w:cs="Times New Roman"/>
          <w:noProof/>
          <w:sz w:val="24"/>
          <w:szCs w:val="24"/>
        </w:rPr>
      </w:pPr>
    </w:p>
    <w:p w14:paraId="0CEC474E" w14:textId="5D76132A" w:rsidR="00994F93" w:rsidRPr="00B03B51" w:rsidRDefault="00994F93" w:rsidP="00994F93">
      <w:pPr>
        <w:jc w:val="both"/>
        <w:rPr>
          <w:rFonts w:ascii="Times New Roman" w:hAnsi="Times New Roman" w:cs="Times New Roman"/>
          <w:b/>
          <w:sz w:val="24"/>
        </w:rPr>
      </w:pPr>
      <w:r w:rsidRPr="00B03B51">
        <w:rPr>
          <w:rFonts w:ascii="Times New Roman" w:hAnsi="Times New Roman" w:cs="Times New Roman"/>
          <w:b/>
          <w:sz w:val="24"/>
        </w:rPr>
        <w:t>Atvasinātā instrumenta atzīšana</w:t>
      </w:r>
    </w:p>
    <w:p w14:paraId="15CA1936" w14:textId="77777777" w:rsidR="00AB2630" w:rsidRPr="00B03B51" w:rsidRDefault="00AB2630" w:rsidP="00994F93">
      <w:pPr>
        <w:jc w:val="both"/>
        <w:rPr>
          <w:rFonts w:ascii="Times New Roman" w:hAnsi="Times New Roman" w:cs="Times New Roman"/>
          <w:b/>
          <w:noProof/>
          <w:sz w:val="24"/>
        </w:rPr>
      </w:pPr>
    </w:p>
    <w:p w14:paraId="5F783DC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76. EKS 2010 5.220. punkta b) apakšpunktā ir minēts “strukturēto parāda vērtspapīru” gadījums, kurā parāda vērtspapīrs ir apvienots ar atvasināto instrumentu. Ja abi ir “nodalāmi”, katru attiecīgi klasificē. Ja abi nav nodalāmi, instrumentu klasificē atbilstīgi “sākotnēji ieguldītās pamatsummas” relatīvajam lielumam salīdzinājumā ar “gaidāmo ieņēmumu”. Ja relatīvais lielums ir mazs, instrumentu klasificē kā atvasināto instrumentu.</w:t>
      </w:r>
    </w:p>
    <w:p w14:paraId="22E7995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F3985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77. Lai arī EKS 2010 5.220. punkta b) apakšpunkts attiecas vien uz parāda vērtspapīriem, saskaņā ar satura pār formu principu ir jānodala atvasinātie instrumenti arī citiem instrumentiem, piemēram, aizdevumiem, ja tiek izpildīti kritēriji. Taču, ja atvasinātais instruments nav nodalāms, pieņem, ka aizdevuma instrumentu nevar pārklasificēt par atvasināto instrumentu, jo tas nav tirgojams (un nav kompensējams).</w:t>
      </w:r>
    </w:p>
    <w:p w14:paraId="01274E3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BF0784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78. EKS 2010 20.133. punktā ir paredzēts, ka ārpustirgus mijmaiņas darījumus ieraksta, instrumentu sadalot kā aizdevuma komponentu (AF.4) un parasto mijmaiņas darījumu (AF.7) (skat. 2.4.3.18. apakšiedaļu).</w:t>
      </w:r>
    </w:p>
    <w:p w14:paraId="334450DC" w14:textId="77777777" w:rsidR="00994F93" w:rsidRPr="00B03B51" w:rsidRDefault="00994F93" w:rsidP="00994F93">
      <w:pPr>
        <w:tabs>
          <w:tab w:val="left" w:pos="843"/>
        </w:tabs>
        <w:jc w:val="both"/>
        <w:rPr>
          <w:rFonts w:ascii="Times New Roman" w:hAnsi="Times New Roman" w:cs="Times New Roman"/>
          <w:noProof/>
          <w:sz w:val="24"/>
        </w:rPr>
      </w:pPr>
    </w:p>
    <w:p w14:paraId="5EDEC4E9" w14:textId="77777777" w:rsidR="00994F93" w:rsidRPr="00B03B51" w:rsidRDefault="00994F93" w:rsidP="00994F93">
      <w:pPr>
        <w:tabs>
          <w:tab w:val="left" w:pos="843"/>
        </w:tabs>
        <w:jc w:val="both"/>
        <w:rPr>
          <w:rFonts w:ascii="Times New Roman" w:hAnsi="Times New Roman" w:cs="Times New Roman"/>
          <w:i/>
          <w:noProof/>
          <w:sz w:val="24"/>
        </w:rPr>
      </w:pPr>
      <w:r w:rsidRPr="00B03B51">
        <w:rPr>
          <w:rFonts w:ascii="Times New Roman" w:hAnsi="Times New Roman" w:cs="Times New Roman"/>
          <w:sz w:val="24"/>
        </w:rPr>
        <w:t xml:space="preserve">79. Lai atzītu atvasināto instrumentu, tam ir jāatbilst EKS 2010 5.199. punktā noteiktajam definīciju kopumam: </w:t>
      </w:r>
      <w:r w:rsidRPr="00B03B51">
        <w:rPr>
          <w:rFonts w:ascii="Times New Roman" w:hAnsi="Times New Roman" w:cs="Times New Roman"/>
          <w:i/>
          <w:sz w:val="24"/>
        </w:rPr>
        <w:t xml:space="preserve">atvasinātie finanšu instrumenti ir finanšu instrumenti, kas ir piesaistīti kādam konkrētam finanšu instrumentam, rādītājam vai precei, ar kura starpniecību konkrētus finanšu riskus kā tādus var tirgot finanšu tirgū. Atvasinātie finanšu instrumenti atbilst šādiem </w:t>
      </w:r>
      <w:r w:rsidRPr="00B03B51">
        <w:rPr>
          <w:rFonts w:ascii="Times New Roman" w:hAnsi="Times New Roman" w:cs="Times New Roman"/>
          <w:i/>
          <w:sz w:val="24"/>
        </w:rPr>
        <w:lastRenderedPageBreak/>
        <w:t>nosacījumiem:</w:t>
      </w:r>
    </w:p>
    <w:p w14:paraId="2335194E" w14:textId="77777777" w:rsidR="00994F93" w:rsidRPr="00B03B51" w:rsidRDefault="00994F93" w:rsidP="00994F93">
      <w:pPr>
        <w:jc w:val="both"/>
        <w:rPr>
          <w:rFonts w:ascii="Times New Roman" w:hAnsi="Times New Roman" w:cs="Times New Roman"/>
          <w:i/>
          <w:noProof/>
          <w:sz w:val="24"/>
        </w:rPr>
      </w:pPr>
    </w:p>
    <w:p w14:paraId="47188613"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a) tie ir saistīti ar kādu finanšu vai nefinanšu aktīvu, aktīvu grupu vai indeksu;</w:t>
      </w:r>
    </w:p>
    <w:p w14:paraId="12DC5E59" w14:textId="77777777" w:rsidR="00994F93" w:rsidRPr="00B03B51" w:rsidRDefault="00994F93" w:rsidP="00994F93">
      <w:pPr>
        <w:tabs>
          <w:tab w:val="left" w:pos="1126"/>
        </w:tabs>
        <w:ind w:left="284"/>
        <w:jc w:val="both"/>
        <w:rPr>
          <w:rFonts w:ascii="Times New Roman" w:hAnsi="Times New Roman" w:cs="Times New Roman"/>
          <w:i/>
          <w:noProof/>
          <w:sz w:val="24"/>
        </w:rPr>
      </w:pPr>
    </w:p>
    <w:p w14:paraId="2B1C2ED6"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b) tie ir apgrozāmi vai tos var kompensēt tirgū, un</w:t>
      </w:r>
    </w:p>
    <w:p w14:paraId="733D8B8D" w14:textId="77777777" w:rsidR="00994F93" w:rsidRPr="00B03B51" w:rsidRDefault="00994F93" w:rsidP="00994F93">
      <w:pPr>
        <w:tabs>
          <w:tab w:val="left" w:pos="1126"/>
        </w:tabs>
        <w:ind w:left="284"/>
        <w:jc w:val="both"/>
        <w:rPr>
          <w:rFonts w:ascii="Times New Roman" w:hAnsi="Times New Roman" w:cs="Times New Roman"/>
          <w:i/>
          <w:noProof/>
          <w:sz w:val="24"/>
        </w:rPr>
      </w:pPr>
    </w:p>
    <w:p w14:paraId="1B1F88D3" w14:textId="77777777" w:rsidR="00994F93" w:rsidRPr="00B03B51" w:rsidRDefault="00994F93" w:rsidP="00994F93">
      <w:pPr>
        <w:tabs>
          <w:tab w:val="left" w:pos="1126"/>
        </w:tabs>
        <w:ind w:left="284"/>
        <w:jc w:val="both"/>
        <w:rPr>
          <w:rFonts w:ascii="Times New Roman" w:hAnsi="Times New Roman" w:cs="Times New Roman"/>
          <w:i/>
          <w:noProof/>
          <w:sz w:val="24"/>
        </w:rPr>
      </w:pPr>
      <w:r w:rsidRPr="00B03B51">
        <w:rPr>
          <w:rFonts w:ascii="Times New Roman" w:hAnsi="Times New Roman" w:cs="Times New Roman"/>
          <w:i/>
          <w:sz w:val="24"/>
        </w:rPr>
        <w:t>c) netiek avansā izmaksāta pamatsumma, kas jāatmaksā.</w:t>
      </w:r>
    </w:p>
    <w:p w14:paraId="23D0D00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CC8AFE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80. Praktisku iemeslu dēļ, ja statistikas veidotājiem nav pieejama informācija, uzskatāms, ka atvasinātais instruments ir nedalāms. Lai tas būtu nodalāms, ir nepieciešams, lai tas būtu kompensējams, un attiecīgi ir nepieciešams liels informācijas apjoms (piemēram, mikrodati).</w:t>
      </w:r>
    </w:p>
    <w:p w14:paraId="5A10D5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2E92174"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Saikne ar indeksētiem parādiem</w:t>
      </w:r>
    </w:p>
    <w:p w14:paraId="54B5326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65AD2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81. Var uzskatīt, ka indeksētie parādi, kuru traktējums ir sniegts 2.4.3.11. apakšiedaļā, ir līdzīgi (no instrumenta atdeves viedokļa) tāda veida parādam ar atvasināto instrumentu, kuram ir raksturīgs tas, ka tam ir tikai ārpusbiržas nākotnes līgums un nav “sviras efekta”.</w:t>
      </w:r>
    </w:p>
    <w:p w14:paraId="2540329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AE0DEA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82. Ja indekss ir šaurs, EKS 2010 un NKS 2008 tiek ņemts vērā spekulācijas motīvs un tiek atzīti turēšanas guvumi un zaudējumi visā instrumenta darbības laikā (attiecīgā negaidītā peļņa). Tas atbilst strukturētajiem instrumentiem, kuriem ir atdalāmie atvasinātie instrumenti, kur turēšanas guvumi un zaudējumi rodas apvienotā instrumenta visā darbības laikā un kas tiek ziņoti kā atvasināto instrumentu pārvērtēšana.</w:t>
      </w:r>
    </w:p>
    <w:p w14:paraId="0FCAC82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16D09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83. Ja indekss ir šaurs, procenti, kas uzkrājas indeksētajam instrumentam, būs tādi paši kā procenti, kas jāieraksta instrumentam, kuram ir atdalāms atvasinātais instruments (ārpusbiržas nākotnes līguma veids), izmantojot kristalizācijas metodi (skat. arī 71.–73. rindkopu).</w:t>
      </w:r>
    </w:p>
    <w:p w14:paraId="7F167B29" w14:textId="77777777" w:rsidR="00994F93" w:rsidRPr="00B03B51" w:rsidRDefault="00994F93" w:rsidP="00994F93">
      <w:pPr>
        <w:jc w:val="both"/>
        <w:rPr>
          <w:rFonts w:ascii="Times New Roman" w:hAnsi="Times New Roman" w:cs="Times New Roman"/>
          <w:b/>
          <w:noProof/>
          <w:sz w:val="24"/>
        </w:rPr>
      </w:pPr>
    </w:p>
    <w:p w14:paraId="1C7FDDD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Atvasinātā instrumenta traktējums</w:t>
      </w:r>
    </w:p>
    <w:p w14:paraId="706E440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342F2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84. Ja identificētais atvasinātais instruments ir ārpusbiržas nākotnes līgums, atvasinātā instrumenta patiesā vērtība darbības sākumā ir nulle, pretējā gadījumā ir jāatzīst, ka tas ir ārpustirgus mijmaiņas darījums (vai cits atvasinātais instruments) (skat. 2.4.3.18. apakšiedaļu par ārpustirgus mijmaiņas darījumiem).</w:t>
      </w:r>
    </w:p>
    <w:p w14:paraId="5A020C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A034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85. Ja identificētais atvasinātais instruments ir iespējas līgums, aizņēmēja saistību pusē (AF.7) ieraksta iespējas līguma patieso vērtību, saskaņojot to ar ierakstu citās debitoru saistībās (AF.8), nevis samazinot aizņemto summu (AF.4 saistības):</w:t>
      </w:r>
    </w:p>
    <w:p w14:paraId="6C027D5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68FE5A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a) ierakstāmie D.41 (attiecīgā gadījumā pirms </w:t>
      </w:r>
      <w:r w:rsidRPr="00B03B51">
        <w:rPr>
          <w:rFonts w:ascii="Times New Roman" w:hAnsi="Times New Roman" w:cs="Times New Roman"/>
          <w:i/>
          <w:iCs/>
          <w:sz w:val="24"/>
        </w:rPr>
        <w:t>FISIM</w:t>
      </w:r>
      <w:r w:rsidRPr="00B03B51">
        <w:rPr>
          <w:rFonts w:ascii="Times New Roman" w:hAnsi="Times New Roman" w:cs="Times New Roman"/>
          <w:sz w:val="24"/>
        </w:rPr>
        <w:t>) atbilst procentu likmei par instrumenta AF.4 komponentu, izmantojot konvencionālo metodi, kuriem pieskaita samazinājumu AF.8, kas sadalīts uz visu līguma darbības laiku;</w:t>
      </w:r>
    </w:p>
    <w:p w14:paraId="496ADA9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23519ECA"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konceptuāli AF.8 kopumā būtu uzskatāmas kā procentu uzkrāšana (valdības ieņēmumi) par summām, kas samazinās laika gaitā, reizē ar AF.8 posteņa pakāpenisku likvidāciju. Tomēr vienkāršāks ieraksta veids ir neņemt vērā procentu uzkrāšanu AF.8 pusē, un tā vietā šīs summas atskaitīt izdevumu pusē, proti, ierakstīt laika gaitā augošu procentu izdevumu plūsmu līdzīgi kā instrumentam, kas emitēts ar diskontu;</w:t>
      </w:r>
    </w:p>
    <w:p w14:paraId="0D45787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D2C035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Māstrihtas parāds paliek atmaksājamā parāda summa.</w:t>
      </w:r>
    </w:p>
    <w:p w14:paraId="5C89EA37" w14:textId="77777777" w:rsidR="00994F93" w:rsidRPr="00B03B51" w:rsidRDefault="00994F93" w:rsidP="00994F93">
      <w:pPr>
        <w:jc w:val="both"/>
        <w:rPr>
          <w:rFonts w:ascii="Times New Roman" w:hAnsi="Times New Roman" w:cs="Times New Roman"/>
          <w:b/>
          <w:i/>
          <w:noProof/>
          <w:sz w:val="24"/>
        </w:rPr>
      </w:pPr>
    </w:p>
    <w:p w14:paraId="31EB1B3F" w14:textId="77777777" w:rsidR="00994F93" w:rsidRPr="00B03B51" w:rsidRDefault="00994F93" w:rsidP="00AB2630">
      <w:pPr>
        <w:keepNext/>
        <w:jc w:val="both"/>
        <w:rPr>
          <w:rFonts w:ascii="Times New Roman" w:eastAsia="Arial" w:hAnsi="Times New Roman" w:cs="Times New Roman"/>
          <w:noProof/>
          <w:sz w:val="24"/>
          <w:szCs w:val="19"/>
        </w:rPr>
      </w:pPr>
      <w:r w:rsidRPr="00B03B51">
        <w:rPr>
          <w:rFonts w:ascii="Times New Roman" w:hAnsi="Times New Roman" w:cs="Times New Roman"/>
          <w:b/>
          <w:sz w:val="24"/>
        </w:rPr>
        <w:lastRenderedPageBreak/>
        <w:t xml:space="preserve">Atvasinātā instrumenta </w:t>
      </w:r>
      <w:r w:rsidRPr="00B03B51">
        <w:rPr>
          <w:rFonts w:ascii="Times New Roman" w:hAnsi="Times New Roman" w:cs="Times New Roman"/>
          <w:b/>
          <w:i/>
          <w:iCs/>
          <w:sz w:val="24"/>
        </w:rPr>
        <w:t>ex post</w:t>
      </w:r>
      <w:r w:rsidRPr="00B03B51">
        <w:rPr>
          <w:rFonts w:ascii="Times New Roman" w:hAnsi="Times New Roman" w:cs="Times New Roman"/>
          <w:b/>
          <w:sz w:val="24"/>
        </w:rPr>
        <w:t xml:space="preserve"> atzīšana</w:t>
      </w:r>
    </w:p>
    <w:p w14:paraId="2380FC81" w14:textId="77777777" w:rsidR="00994F93" w:rsidRPr="00B03B51" w:rsidRDefault="00994F93" w:rsidP="00AB2630">
      <w:pPr>
        <w:pStyle w:val="BodyText"/>
        <w:keepNext/>
        <w:tabs>
          <w:tab w:val="left" w:pos="843"/>
        </w:tabs>
        <w:spacing w:before="0"/>
        <w:ind w:left="0" w:firstLine="0"/>
        <w:jc w:val="both"/>
        <w:rPr>
          <w:rFonts w:ascii="Times New Roman" w:hAnsi="Times New Roman" w:cs="Times New Roman"/>
          <w:noProof/>
          <w:sz w:val="24"/>
        </w:rPr>
      </w:pPr>
    </w:p>
    <w:p w14:paraId="2663B8A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86. Ja statistikas veidotāji </w:t>
      </w:r>
      <w:r w:rsidRPr="00B03B51">
        <w:rPr>
          <w:rFonts w:ascii="Times New Roman" w:hAnsi="Times New Roman" w:cs="Times New Roman"/>
          <w:i/>
          <w:sz w:val="24"/>
        </w:rPr>
        <w:t xml:space="preserve">a posteriori </w:t>
      </w:r>
      <w:r w:rsidRPr="00B03B51">
        <w:rPr>
          <w:rFonts w:ascii="Times New Roman" w:hAnsi="Times New Roman" w:cs="Times New Roman"/>
          <w:sz w:val="24"/>
        </w:rPr>
        <w:t>konstatē atvasinātā instrumenta esamību līgumā, ir nepieciešama saskanīga traktēšana. Ierakstīšanas izmaiņas ir piemērojamas, kad ir piemērojami visi nosacījumi:</w:t>
      </w:r>
    </w:p>
    <w:p w14:paraId="5AB0C08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9D7DD2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ienākuma plūsmas ir pārskatītas visā līguma darbības laikā;</w:t>
      </w:r>
    </w:p>
    <w:p w14:paraId="794C0BA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756770AF"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visi līdzīgi līgumi tiek traktēti vienādā veidā;</w:t>
      </w:r>
    </w:p>
    <w:p w14:paraId="1C5AEF2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67963FBA"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ir pieejama kāda “mikroinformācija” saistībā ar konkrētiem līgumiem, vismaz attiecībā uz to reprezentatīviem paraugiem.</w:t>
      </w:r>
    </w:p>
    <w:p w14:paraId="0A17AD1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9593C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87. Ja statistikas veidotājs nevar to nodrošināt, uzskatāms, ka atdalāmu atvasināto instrumentu nevar atzīt. Tādējādi instruments tiek traktēts kā brīvi svārstīgas likmes veida instruments, kam ir mainīga likme. Kupona maksājumi sekotu katru gadu faktiski samaksātajai naudai (attiecīgā gadījumā pienācīgi sadalīti pa secīgiem gadiem). Piemēram, ja atvasinātais instruments bija iespējas līgums un nav īstenots, ieraksta līguma fiksēto zemo kupona maksājumu; bet, ja iespējas līgums ir īstenots, šajā periodā ieraksta augstāku kupona maksājumu par šo periodu (attiecīgā gadījumā to sadalot).</w:t>
      </w:r>
    </w:p>
    <w:p w14:paraId="7F851DEE" w14:textId="77777777" w:rsidR="00994F93" w:rsidRPr="00B03B51" w:rsidRDefault="00994F93" w:rsidP="00994F93">
      <w:pPr>
        <w:jc w:val="both"/>
        <w:rPr>
          <w:rFonts w:ascii="Times New Roman" w:hAnsi="Times New Roman" w:cs="Times New Roman"/>
          <w:noProof/>
          <w:sz w:val="24"/>
        </w:rPr>
      </w:pPr>
    </w:p>
    <w:p w14:paraId="30DA2EDE" w14:textId="0535F620" w:rsidR="00994F93" w:rsidRPr="00B03B51" w:rsidRDefault="00994F93" w:rsidP="00994F93">
      <w:pPr>
        <w:pStyle w:val="Heading6"/>
        <w:tabs>
          <w:tab w:val="left" w:pos="1411"/>
        </w:tabs>
        <w:ind w:left="0" w:firstLine="0"/>
        <w:jc w:val="both"/>
        <w:rPr>
          <w:rFonts w:ascii="Times New Roman" w:hAnsi="Times New Roman" w:cs="Times New Roman"/>
          <w:noProof/>
          <w:sz w:val="24"/>
        </w:rPr>
      </w:pPr>
      <w:r w:rsidRPr="00B03B51">
        <w:rPr>
          <w:rFonts w:ascii="Times New Roman" w:hAnsi="Times New Roman" w:cs="Times New Roman"/>
          <w:sz w:val="24"/>
        </w:rPr>
        <w:t>2.4.3.18. PROCENTI PAR ĀRPU</w:t>
      </w:r>
      <w:r w:rsidR="00AB2630" w:rsidRPr="00B03B51">
        <w:rPr>
          <w:rFonts w:ascii="Times New Roman" w:hAnsi="Times New Roman" w:cs="Times New Roman"/>
          <w:sz w:val="24"/>
        </w:rPr>
        <w:t>S</w:t>
      </w:r>
      <w:r w:rsidRPr="00B03B51">
        <w:rPr>
          <w:rFonts w:ascii="Times New Roman" w:hAnsi="Times New Roman" w:cs="Times New Roman"/>
          <w:sz w:val="24"/>
        </w:rPr>
        <w:t>TIRGUS MIJMAIŅAS DARĪJUMIEM</w:t>
      </w:r>
    </w:p>
    <w:p w14:paraId="3D44DAC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58A063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88. Instrumentiem, kas ir atvasinātie finanšu instrumenti, neuzkrājas īpašuma ienākums. Tā rezultātā maksājumu plūsmas, kas attiecas uz mijmaiņas darījumiem, proti, procentu likmju mijmaiņas darījumus (</w:t>
      </w:r>
      <w:r w:rsidRPr="00B03B51">
        <w:rPr>
          <w:rFonts w:ascii="Times New Roman" w:hAnsi="Times New Roman" w:cs="Times New Roman"/>
          <w:i/>
          <w:iCs/>
          <w:sz w:val="24"/>
        </w:rPr>
        <w:t>IRS</w:t>
      </w:r>
      <w:r w:rsidRPr="00B03B51">
        <w:rPr>
          <w:rFonts w:ascii="Times New Roman" w:hAnsi="Times New Roman" w:cs="Times New Roman"/>
          <w:sz w:val="24"/>
        </w:rPr>
        <w:t>), starpvalūtu mijmaiņas darījumus (</w:t>
      </w:r>
      <w:r w:rsidRPr="00B03B51">
        <w:rPr>
          <w:rFonts w:ascii="Times New Roman" w:hAnsi="Times New Roman" w:cs="Times New Roman"/>
          <w:i/>
          <w:iCs/>
          <w:sz w:val="24"/>
        </w:rPr>
        <w:t>CCS</w:t>
      </w:r>
      <w:r w:rsidRPr="00B03B51">
        <w:rPr>
          <w:rFonts w:ascii="Times New Roman" w:hAnsi="Times New Roman" w:cs="Times New Roman"/>
          <w:sz w:val="24"/>
        </w:rPr>
        <w:t xml:space="preserve">) vai </w:t>
      </w:r>
      <w:r w:rsidRPr="00B03B51">
        <w:rPr>
          <w:rFonts w:ascii="Times New Roman" w:hAnsi="Times New Roman" w:cs="Times New Roman"/>
          <w:i/>
          <w:iCs/>
          <w:sz w:val="24"/>
        </w:rPr>
        <w:t>FRA</w:t>
      </w:r>
      <w:r w:rsidRPr="00B03B51">
        <w:rPr>
          <w:rFonts w:ascii="Times New Roman" w:hAnsi="Times New Roman" w:cs="Times New Roman"/>
          <w:sz w:val="24"/>
        </w:rPr>
        <w:t xml:space="preserve"> utt. ieraksta finanšu kontos (F.7) un nevis kā procentus (D.41).</w:t>
      </w:r>
    </w:p>
    <w:p w14:paraId="6B1D6AD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2985B1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89. Tomēr EKS 2010 20.133. punktā ir paredzēts, ka vienreizēji maksājumi, kas saņemti par ārpustirgus mijmaiņas darījumiem, ir jāieraksta kā parāds (aizdevums, AF.4). Ārpustirgus mijmaiņas darījumus sadala kā aizdevuma komponentu un aktīva vērtībai atbilstoša mijmaiņas darījuma komponentu.</w:t>
      </w:r>
    </w:p>
    <w:p w14:paraId="09EABEB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DA46CD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90. Pats aizdevuma komponents uzkrāj procentus, pamatojoties uz fiksētu likmi, par kādu aizņēmējs spētu aizņemties uz tikpat ilgu mijmaiņas darījumu. Ja nav nekādas ticamas informācijas, statistikas veidotāji var izmantot ilgtermiņa tirgus likmi. Nav atbilstīgi izmantot paša mijmaiņas darījuma (ja tāds pastāv) fiksēto likmi vai mainīgo likmi, jo tieši šīs likmes ir tikai nosacītas un var būt pilnīgi mākslīgas, jo mijmaiņas darījums ir ārpustirgus darījums. Šī piezīme attiecas arī uz tradicionālajiem mijmaiņas darījumiem (kad mijmaiņas darījums nav ārpustirgus darījums), proti, formula, ko izmanto jebkurai daļai, var tikt samazināta vai palielināta par jebkuru summu, ņemot vērā, ka vienīgais, kas nepieciešams, ir to pašu darīt ar otru daļu (skat. 8.3.3. iedaļas 34. rindkopu).</w:t>
      </w:r>
    </w:p>
    <w:p w14:paraId="77F1656D" w14:textId="77777777" w:rsidR="00994F93" w:rsidRPr="00B03B51" w:rsidRDefault="00994F93" w:rsidP="00994F93">
      <w:pPr>
        <w:jc w:val="both"/>
        <w:rPr>
          <w:rFonts w:ascii="Times New Roman" w:eastAsia="Arial" w:hAnsi="Times New Roman" w:cs="Times New Roman"/>
          <w:noProof/>
          <w:sz w:val="24"/>
          <w:szCs w:val="15"/>
        </w:rPr>
      </w:pPr>
    </w:p>
    <w:p w14:paraId="02CCEC34"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r w:rsidRPr="00B03B51">
        <w:rPr>
          <w:rFonts w:ascii="Times New Roman" w:hAnsi="Times New Roman" w:cs="Times New Roman"/>
          <w:sz w:val="24"/>
        </w:rPr>
        <w:t>2.4.3.19. PROCENTI, KAS UZKRĀTI PAR STRĪDĪGIEM STARPVALDĪBU AIZDEVUMIEM</w:t>
      </w:r>
    </w:p>
    <w:p w14:paraId="0A8E460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F2265A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91. Procenti tiek uzkrāti saskaņā ar “debitora pieeju”, izmantojot procentu likmi, par kuru debitors un kreditors ir sākotnēji vienojušies, tādējādi šī pieeja ir piemērojama aizdevumiem, ko valdības izsniedz citām valstīm, galvenokārt saistībā ar attīstības programmām un sadarbību.</w:t>
      </w:r>
    </w:p>
    <w:p w14:paraId="35A264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FACB6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92. Dažādu iemeslu dēļ debitors vēlāk var apstrīdēt uzkrāto procentu aprēķinu, piemēram, var </w:t>
      </w:r>
      <w:r w:rsidRPr="00B03B51">
        <w:rPr>
          <w:rFonts w:ascii="Times New Roman" w:hAnsi="Times New Roman" w:cs="Times New Roman"/>
          <w:sz w:val="24"/>
        </w:rPr>
        <w:lastRenderedPageBreak/>
        <w:t>rasties strīds par vienkāršo vai salikto procentu piemērošanu.</w:t>
      </w:r>
    </w:p>
    <w:p w14:paraId="7D59902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FFBCCF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93. Piesardzības labad, ja rodas domstarpības par starpvaldības aizdevumu procentu aprēķināšanu, kamēr abas puses nav panākušas galīgo vienošanos, uzkrātie procenti (D.41), ko ieraksta nacionālajos kontos, ir procenti, kurus atzinis debitors, nevis tie, kurus ir gaidījis kreditors (kuri varētu būt augstāki), pieņemot, ka debitoram ir nopietns pamats analīzei.</w:t>
      </w:r>
    </w:p>
    <w:p w14:paraId="29F2B40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EF19FC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94. Kad ir panākta galīgā vienošanās, prasījuma vērtību vajadzības gadījumā pārrēķina atpakaļ, tostarp labo par pamatsummu uzkrātos procentus. Šāda ierakstīšana nozīmē, ka galīgās vienošanās noslēgšanas brīdī netiek ietekmēti valdības neto aizdevumi/aizņēmumi (B.9), izņemot procentu labojumus konkrētajā periodā, ne arī ietekmētas citas prasījuma apjoma pārmaiņas.</w:t>
      </w:r>
    </w:p>
    <w:p w14:paraId="768C4FD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DFD92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95. Ja procentu aprēķināšanas metodi apstrīd viena no pusēm, šādā situācijā nedrīkst nekonsekventi ierakstīt uzkrātos procentus kreditora un debitora kontos. Šeit paredzētais traktējums, ko piemēro līdz brīdim, kad tiek panākta galīgā vienošanās, nozīmē, ka kreditora kontā ieraksta uzkrāto procentu ieņēmumus tikai par to summu, kuru ir atzinis debitors un kura tāpēc, visticamāk, tiks saņemta.</w:t>
      </w:r>
    </w:p>
    <w:p w14:paraId="499B66BE" w14:textId="77777777" w:rsidR="00994F93" w:rsidRPr="00B03B51" w:rsidRDefault="00994F93" w:rsidP="00994F93">
      <w:pPr>
        <w:jc w:val="both"/>
        <w:rPr>
          <w:rFonts w:ascii="Times New Roman" w:eastAsia="Arial" w:hAnsi="Times New Roman" w:cs="Times New Roman"/>
          <w:noProof/>
          <w:sz w:val="24"/>
          <w:szCs w:val="15"/>
        </w:rPr>
      </w:pPr>
    </w:p>
    <w:p w14:paraId="69C1674E" w14:textId="77777777" w:rsidR="00994F93" w:rsidRPr="00B03B51" w:rsidRDefault="00994F93" w:rsidP="00994F93">
      <w:pPr>
        <w:pStyle w:val="Heading6"/>
        <w:tabs>
          <w:tab w:val="left" w:pos="1411"/>
        </w:tabs>
        <w:ind w:left="0" w:firstLine="0"/>
        <w:jc w:val="both"/>
        <w:rPr>
          <w:rFonts w:ascii="Times New Roman" w:hAnsi="Times New Roman" w:cs="Times New Roman"/>
          <w:noProof/>
          <w:sz w:val="24"/>
        </w:rPr>
      </w:pPr>
      <w:r w:rsidRPr="00B03B51">
        <w:rPr>
          <w:rFonts w:ascii="Times New Roman" w:hAnsi="Times New Roman" w:cs="Times New Roman"/>
          <w:sz w:val="24"/>
        </w:rPr>
        <w:t>2.4.3.20. PROCENTI, KAS UZKRĀTI PAR STARPVALDĪBU AIZDEVUMIEM, KURI, VISTICAMĀK, NETIKS APMAKSĀTI</w:t>
      </w:r>
    </w:p>
    <w:p w14:paraId="3BA504D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4B755F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96. Jo īpaši starpvaldību aizdevumu gadījumā var būt tādi aizdevumi, kas netiek atmaksāti ilgu laiku, tādējādi smagākajos gadījumos kļūstot par ieņēmumus nenesošiem aizdevumiem. Tipiski piemēri ir aizdevumi, ko valdība izsniegusi trešām valstīm (tostarp tie, kas izsniegti saskaņā ar bijušo Savstarpējās ekonomiskās palīdzības padomi (</w:t>
      </w:r>
      <w:r w:rsidRPr="00B03B51">
        <w:rPr>
          <w:rFonts w:ascii="Times New Roman" w:hAnsi="Times New Roman" w:cs="Times New Roman"/>
          <w:i/>
          <w:iCs/>
          <w:sz w:val="24"/>
        </w:rPr>
        <w:t>CMEA</w:t>
      </w:r>
      <w:r w:rsidRPr="00B03B51">
        <w:rPr>
          <w:rFonts w:ascii="Times New Roman" w:hAnsi="Times New Roman" w:cs="Times New Roman"/>
          <w:sz w:val="24"/>
        </w:rPr>
        <w:t>)), un aizdevumi, kas apspriesti saistībā ar Parīzes klubu, attiecībā uz kuriem ir paredzama maza iespēja, ka tie būs atgūstami.</w:t>
      </w:r>
    </w:p>
    <w:p w14:paraId="486AB95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155A7DC" w14:textId="55394831"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97. Procentu ieņēmumi (D.41), kas uzkrāti par starpvaldību prasījumiem, kuru atmaksa ir uzskatāma par maz ticamu, tiek neitralizēti, ierakstot maksājamo kapitāla pārvedumu (D.99) šo summu apmērā analoģiski parāda </w:t>
      </w:r>
      <w:r w:rsidR="00B3177B" w:rsidRPr="00B03B51">
        <w:rPr>
          <w:rFonts w:ascii="Times New Roman" w:hAnsi="Times New Roman" w:cs="Times New Roman"/>
          <w:sz w:val="24"/>
        </w:rPr>
        <w:t>anulēšanai</w:t>
      </w:r>
      <w:r w:rsidRPr="00B03B51">
        <w:rPr>
          <w:rFonts w:ascii="Times New Roman" w:hAnsi="Times New Roman" w:cs="Times New Roman"/>
          <w:sz w:val="24"/>
        </w:rPr>
        <w:t>. Tādējādi nacionālajos kontos būtu jāieraksta turpmāk norādītie četri kompensējoši ieraksti, kas kopumā neietekmē neto aizdevumu/aizņēmumu (B.9) un bilances. Proti:</w:t>
      </w:r>
    </w:p>
    <w:p w14:paraId="0E15678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6329B1C"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debitora uzkrātie procenti (D.41) kreditoram;</w:t>
      </w:r>
    </w:p>
    <w:p w14:paraId="3E7569EC"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uzskatāms, ka kreditors atkārtoti iegulda procentus debitoram izsniegtajā aizdevumā, tādējādi kreditora un debitora bilancēs palielinās aizdevuma (F.4) vērtība;</w:t>
      </w:r>
    </w:p>
    <w:p w14:paraId="396D5A07"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kreditora kapitāla pārvedums (D.99) debitoram ir vienāds ar uzkrāto procentu apmēru;</w:t>
      </w:r>
    </w:p>
    <w:p w14:paraId="33238979"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uzskatāms, ka debitors izmanto kapitāla pārvedumu, lai atmaksātu aizdevumu tādas summas apmērā, kas ir vienāda ar kapitāla pārveduma apmēru, tādējādi kreditora un debitora bilancēs samazinās aizdevuma (F.4) vērtība.</w:t>
      </w:r>
    </w:p>
    <w:p w14:paraId="755DB30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6A93B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98. Šāds traktējums tiek piemērots no brīža, kad pirmo reizi tiek uzskatīts, ka prasījums, visticamāk, netiks atmaksāts, un to turpina piemērot līdz brīdim, kad ir būtiskas liecības, ka prasījums atkal tiek pildīts, par ko liecina tas, ka debitors veic regulāras aizdevuma atmaksas (jebkādā veidā). Par ierosinājumu sākt šo ierakstīšanu varētu liecināt, piemēram, kāds no šiem rādītājiem:</w:t>
      </w:r>
    </w:p>
    <w:p w14:paraId="455F6D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8F17A04"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sz w:val="24"/>
        </w:rPr>
      </w:pPr>
      <w:r w:rsidRPr="00B03B51">
        <w:rPr>
          <w:rFonts w:ascii="Times New Roman" w:hAnsi="Times New Roman" w:cs="Times New Roman"/>
          <w:sz w:val="24"/>
        </w:rPr>
        <w:t>debitors nav veicis trīs secīgus (ikgadējos) atmaksājumus pēc kārtas jebkādā veidā (naudā vai natūrā);</w:t>
      </w:r>
    </w:p>
    <w:p w14:paraId="62E2D121"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sz w:val="24"/>
        </w:rPr>
      </w:pPr>
      <w:r w:rsidRPr="00B03B51">
        <w:rPr>
          <w:rFonts w:ascii="Times New Roman" w:hAnsi="Times New Roman" w:cs="Times New Roman"/>
          <w:sz w:val="24"/>
        </w:rPr>
        <w:t xml:space="preserve">mazas izredzes uz atmaksu, uz ko norāda zaudējumu nodrošinājumu ieraksti publiskajos </w:t>
      </w:r>
      <w:r w:rsidRPr="00B03B51">
        <w:rPr>
          <w:rFonts w:ascii="Times New Roman" w:hAnsi="Times New Roman" w:cs="Times New Roman"/>
          <w:sz w:val="24"/>
        </w:rPr>
        <w:lastRenderedPageBreak/>
        <w:t>kontos;</w:t>
      </w:r>
    </w:p>
    <w:p w14:paraId="327DCB8F"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sz w:val="24"/>
        </w:rPr>
      </w:pPr>
      <w:r w:rsidRPr="00B03B51">
        <w:rPr>
          <w:rFonts w:ascii="Times New Roman" w:hAnsi="Times New Roman" w:cs="Times New Roman"/>
          <w:sz w:val="24"/>
        </w:rPr>
        <w:t>kvalificēta eksperta novērtējums par mazām izredzēm atgūt līdzekļus;</w:t>
      </w:r>
    </w:p>
    <w:p w14:paraId="1EF70E5C" w14:textId="77777777" w:rsidR="00994F93" w:rsidRPr="00B03B51" w:rsidRDefault="00994F93" w:rsidP="00A70719">
      <w:pPr>
        <w:pStyle w:val="BodyText"/>
        <w:numPr>
          <w:ilvl w:val="0"/>
          <w:numId w:val="75"/>
        </w:numPr>
        <w:spacing w:before="0"/>
        <w:ind w:left="426" w:hanging="425"/>
        <w:jc w:val="both"/>
        <w:rPr>
          <w:rFonts w:ascii="Times New Roman" w:hAnsi="Times New Roman" w:cs="Times New Roman"/>
          <w:sz w:val="24"/>
        </w:rPr>
      </w:pPr>
      <w:r w:rsidRPr="00B03B51">
        <w:rPr>
          <w:rFonts w:ascii="Times New Roman" w:hAnsi="Times New Roman" w:cs="Times New Roman"/>
          <w:sz w:val="24"/>
        </w:rPr>
        <w:t>ilgstošas nesekmīgas sarunas par prasījuma norēķiniem.</w:t>
      </w:r>
    </w:p>
    <w:p w14:paraId="06EE97F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49CA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99. Katrs rādītājs atsevišķi var nebūt pietiekams, lai noteiktu, ka prasījums, visticamāk, netiks atmaksāts. Bieži vien ir nepieciešams vairāku rādītāju apvienojums, lai būtu pietiekamas liecības.</w:t>
      </w:r>
    </w:p>
    <w:p w14:paraId="4BE7D206"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177117E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100. Vēlāk parāda atlaišanas gadījumā ir uzskatāms, ka kapitāla pārvedums (D.99) tādējādi (daļēji) sedz krājumus, kas pastāv finanšu kontos, proti, nenomaksāto pamatsummu un uzkrātos procentus, kas ir uzkrājušies pēc procentu ieņēmumu neitralizācijas ierakstīšanas izdevumu veidā.</w:t>
      </w:r>
    </w:p>
    <w:p w14:paraId="68ADFB90"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7598A192"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101. Kapitāla pārvedumu, kas kompensē uzkrātos procentus, ieraksta tāpēc, lai novērstu procentu uzkrāšanās praksi, kas palielina, visticamāk, neatmaksājamo starpvaldību aizdevumu krājumus, ja netiek saņemti nekādi naudas atmaksājumi vai citi norēķini no debitora. Tādējādi neto aizdevumus/aizņēmumus (B.9) neietekmē uzkrāto procentu ieņēmumi, kas galu galā varētu netikt iekasēti no debitora.</w:t>
      </w:r>
    </w:p>
    <w:p w14:paraId="7B7B4B35"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p>
    <w:p w14:paraId="4401231E" w14:textId="77777777" w:rsidR="00994F93" w:rsidRPr="00B03B51" w:rsidRDefault="00994F93" w:rsidP="00994F93">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102. Ja debitors atsāk atmaksu pēc nemaksāšanas perioda, uzskatāms, ka debitora atmaksājumi vispirms ir prasījuma nominālvērtības (bilancē ierakstītās pamatsummas un uzkrāto procentu) atmaksa. Papildus atgūtie līdzekļi tad tiek ierakstīti kā saņemamais kapitāla pārvedums (D.99).</w:t>
      </w:r>
    </w:p>
    <w:p w14:paraId="7AAD2144" w14:textId="77777777" w:rsidR="00994F93" w:rsidRPr="00B03B51" w:rsidRDefault="00994F93" w:rsidP="00994F93">
      <w:pPr>
        <w:jc w:val="both"/>
        <w:rPr>
          <w:rFonts w:ascii="Times New Roman" w:eastAsia="Arial" w:hAnsi="Times New Roman" w:cs="Times New Roman"/>
          <w:noProof/>
          <w:sz w:val="24"/>
          <w:szCs w:val="20"/>
        </w:rPr>
      </w:pPr>
    </w:p>
    <w:p w14:paraId="5EE23911" w14:textId="77777777" w:rsidR="00994F93" w:rsidRPr="00B03B51" w:rsidRDefault="00994F93" w:rsidP="00994F93">
      <w:pPr>
        <w:pStyle w:val="Heading3"/>
        <w:ind w:left="0" w:firstLine="0"/>
        <w:jc w:val="both"/>
        <w:rPr>
          <w:rFonts w:ascii="Times New Roman" w:hAnsi="Times New Roman" w:cs="Times New Roman"/>
          <w:noProof/>
          <w:sz w:val="24"/>
        </w:rPr>
      </w:pPr>
      <w:bookmarkStart w:id="147" w:name="_Toc67565067"/>
      <w:r w:rsidRPr="00B03B51">
        <w:rPr>
          <w:rFonts w:ascii="Times New Roman" w:hAnsi="Times New Roman" w:cs="Times New Roman"/>
          <w:sz w:val="24"/>
        </w:rPr>
        <w:t>2.4.4. Uzskaites piemēri</w:t>
      </w:r>
      <w:bookmarkEnd w:id="147"/>
    </w:p>
    <w:p w14:paraId="27B43BAF" w14:textId="77777777" w:rsidR="00994F93" w:rsidRPr="00B03B51" w:rsidRDefault="00994F93" w:rsidP="00994F93">
      <w:pPr>
        <w:jc w:val="both"/>
        <w:rPr>
          <w:rFonts w:ascii="Times New Roman" w:hAnsi="Times New Roman" w:cs="Times New Roman"/>
          <w:b/>
          <w:noProof/>
          <w:sz w:val="24"/>
        </w:rPr>
      </w:pPr>
    </w:p>
    <w:p w14:paraId="486281BD"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Instruments, kas emitēts atbilstoši nominālvērtībai, un regulāri kuponu/procentu maksājumi</w:t>
      </w:r>
    </w:p>
    <w:p w14:paraId="06180F5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4117B1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Pirmā gada 1. jūlijā centrālā valdība emitē obligāciju par 1000 vienībām, katru gadu šajā datumā tiek maksāta gada likme 5 % apmērā, maksājumu termiņš ir 10 gadi, un pilns izpirkums jāveic tajā pašā laikā. Pirmā gada beigās tirgus cena ir 1045 (tostarp 25 par uzkrātajiem, taču vēl nesamaksātajiem procentiem). Pirmā gada beigās tirgus cena ir 1075 (tostarp 25 par uzkrātajiem, taču vēl nesamaksātajiem procentiem).</w:t>
      </w:r>
    </w:p>
    <w:p w14:paraId="0DABC5D9" w14:textId="77777777" w:rsidR="00994F93" w:rsidRPr="00B03B51" w:rsidRDefault="00994F93" w:rsidP="00994F93">
      <w:pPr>
        <w:jc w:val="both"/>
        <w:rPr>
          <w:rFonts w:ascii="Times New Roman" w:eastAsia="Arial" w:hAnsi="Times New Roman" w:cs="Times New Roman"/>
          <w:noProof/>
          <w:sz w:val="24"/>
          <w:szCs w:val="20"/>
        </w:rPr>
      </w:pPr>
    </w:p>
    <w:p w14:paraId="11D1DAEB" w14:textId="19E38DD2" w:rsidR="00994F93" w:rsidRPr="00B03B51" w:rsidRDefault="00B05520" w:rsidP="00A70719">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6F96E816" wp14:editId="37E7B03B">
            <wp:extent cx="5760085" cy="33000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3300095"/>
                    </a:xfrm>
                    <a:prstGeom prst="rect">
                      <a:avLst/>
                    </a:prstGeom>
                    <a:noFill/>
                    <a:ln>
                      <a:noFill/>
                    </a:ln>
                  </pic:spPr>
                </pic:pic>
              </a:graphicData>
            </a:graphic>
          </wp:inline>
        </w:drawing>
      </w:r>
    </w:p>
    <w:p w14:paraId="4EDE2DDD" w14:textId="77777777" w:rsidR="00994F93" w:rsidRPr="00B03B51" w:rsidRDefault="00994F93" w:rsidP="00994F93">
      <w:pPr>
        <w:jc w:val="both"/>
        <w:rPr>
          <w:rFonts w:ascii="Times New Roman" w:eastAsia="Arial" w:hAnsi="Times New Roman" w:cs="Times New Roman"/>
          <w:noProof/>
          <w:sz w:val="24"/>
          <w:szCs w:val="20"/>
        </w:rPr>
      </w:pPr>
    </w:p>
    <w:p w14:paraId="3C9268BA" w14:textId="2CDC1944" w:rsidR="00994F93" w:rsidRPr="00B03B51" w:rsidRDefault="00B05520" w:rsidP="00A70719">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1F152768" wp14:editId="1964258B">
            <wp:extent cx="5760085" cy="19894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989455"/>
                    </a:xfrm>
                    <a:prstGeom prst="rect">
                      <a:avLst/>
                    </a:prstGeom>
                    <a:noFill/>
                    <a:ln>
                      <a:noFill/>
                    </a:ln>
                  </pic:spPr>
                </pic:pic>
              </a:graphicData>
            </a:graphic>
          </wp:inline>
        </w:drawing>
      </w:r>
    </w:p>
    <w:p w14:paraId="08F18BDE" w14:textId="77777777" w:rsidR="00994F93" w:rsidRPr="00B03B51" w:rsidRDefault="00994F93" w:rsidP="00994F93">
      <w:pPr>
        <w:jc w:val="both"/>
        <w:rPr>
          <w:rFonts w:ascii="Times New Roman" w:eastAsia="Arial" w:hAnsi="Times New Roman" w:cs="Times New Roman"/>
          <w:noProof/>
          <w:sz w:val="24"/>
          <w:szCs w:val="21"/>
        </w:rPr>
      </w:pPr>
    </w:p>
    <w:p w14:paraId="358F8B0E"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Instruments, kas emitēts ar diskontu, ar regulāriem kupona maksājumiem</w:t>
      </w:r>
    </w:p>
    <w:p w14:paraId="5ED675E5"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475BBE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Pirmā gada 1. oktobrī centrālā valdība emitē jaunu obligācijas daļu (pamatsumma – 1000, procentu likme – 5 %, maksājuma termiņš – 10 gadi, maksājuma diena – 1. jūlijs, izpirkšana par soda naudu). Emisijas cena ir 95 % (ienesīgums – aptuveni 6 %). Diskonts par 50 tiek sadalīts šādi: pirmajā gadā – 1, otrajā gadā – 4 un desmitajā gadā – 3. Vienkāršošanas nolūkā obligāciju perioda beigās vienmēr uzskata par 100 % (skaitļi ir noapaļoti).</w:t>
      </w:r>
    </w:p>
    <w:p w14:paraId="13B6E52A" w14:textId="77777777" w:rsidR="00994F93" w:rsidRPr="00B03B51" w:rsidRDefault="00994F93" w:rsidP="00994F93">
      <w:pPr>
        <w:jc w:val="both"/>
        <w:rPr>
          <w:rFonts w:ascii="Times New Roman" w:eastAsia="Arial" w:hAnsi="Times New Roman" w:cs="Times New Roman"/>
          <w:noProof/>
          <w:sz w:val="24"/>
          <w:szCs w:val="20"/>
        </w:rPr>
      </w:pPr>
    </w:p>
    <w:p w14:paraId="6A8237F9" w14:textId="74AAB0B5" w:rsidR="00994F93" w:rsidRPr="00B03B51" w:rsidRDefault="006E7283" w:rsidP="00A70719">
      <w:pPr>
        <w:jc w:val="center"/>
        <w:rPr>
          <w:rFonts w:ascii="Times New Roman" w:eastAsia="Arial" w:hAnsi="Times New Roman" w:cs="Times New Roman"/>
          <w:noProof/>
          <w:sz w:val="24"/>
          <w:szCs w:val="19"/>
        </w:rPr>
      </w:pPr>
      <w:r w:rsidRPr="00B03B51">
        <w:rPr>
          <w:rFonts w:ascii="Times New Roman" w:eastAsia="Arial" w:hAnsi="Times New Roman" w:cs="Times New Roman"/>
          <w:noProof/>
          <w:sz w:val="24"/>
          <w:szCs w:val="19"/>
        </w:rPr>
        <w:lastRenderedPageBreak/>
        <w:drawing>
          <wp:inline distT="0" distB="0" distL="0" distR="0" wp14:anchorId="045C7EA5" wp14:editId="5CE79FA1">
            <wp:extent cx="5760085" cy="38373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3837305"/>
                    </a:xfrm>
                    <a:prstGeom prst="rect">
                      <a:avLst/>
                    </a:prstGeom>
                    <a:noFill/>
                    <a:ln>
                      <a:noFill/>
                    </a:ln>
                  </pic:spPr>
                </pic:pic>
              </a:graphicData>
            </a:graphic>
          </wp:inline>
        </w:drawing>
      </w:r>
    </w:p>
    <w:p w14:paraId="20AA42BF" w14:textId="77777777" w:rsidR="00994F93" w:rsidRPr="00B03B51" w:rsidRDefault="00994F93" w:rsidP="00994F93">
      <w:pPr>
        <w:jc w:val="both"/>
        <w:rPr>
          <w:rFonts w:ascii="Times New Roman" w:eastAsia="Arial" w:hAnsi="Times New Roman" w:cs="Times New Roman"/>
          <w:noProof/>
          <w:sz w:val="24"/>
          <w:szCs w:val="19"/>
        </w:rPr>
      </w:pPr>
    </w:p>
    <w:p w14:paraId="3ECF5375"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Instruments, kas emitēts ar diskontu, bez regulāriem kupona maksājumiem</w:t>
      </w:r>
    </w:p>
    <w:p w14:paraId="32C18094"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446E75C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Centrālā valdība 1. jūlijā emitē bezkupona obligāciju uz 3 gadiem par 75 (nominālvērtība ir 100). Netiešā procentu likme ir 10 % (skaitļi ir noapaļoti, tirgus procentu likme nemainās).</w:t>
      </w:r>
    </w:p>
    <w:p w14:paraId="5CA8F5C2" w14:textId="77777777" w:rsidR="00994F93" w:rsidRPr="00B03B51" w:rsidRDefault="00994F93" w:rsidP="00994F93">
      <w:pPr>
        <w:jc w:val="both"/>
        <w:rPr>
          <w:rFonts w:ascii="Times New Roman" w:eastAsia="Arial" w:hAnsi="Times New Roman" w:cs="Times New Roman"/>
          <w:noProof/>
          <w:sz w:val="24"/>
          <w:szCs w:val="20"/>
        </w:rPr>
      </w:pPr>
    </w:p>
    <w:p w14:paraId="58E90298" w14:textId="7BA460E0" w:rsidR="00994F93" w:rsidRPr="00B03B51" w:rsidRDefault="007F20E8" w:rsidP="00A70719">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736DD40F" wp14:editId="588E3D7C">
            <wp:extent cx="5760085" cy="86893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689340"/>
                    </a:xfrm>
                    <a:prstGeom prst="rect">
                      <a:avLst/>
                    </a:prstGeom>
                    <a:noFill/>
                    <a:ln>
                      <a:noFill/>
                    </a:ln>
                  </pic:spPr>
                </pic:pic>
              </a:graphicData>
            </a:graphic>
          </wp:inline>
        </w:drawing>
      </w:r>
    </w:p>
    <w:p w14:paraId="73CC5194" w14:textId="77777777" w:rsidR="00994F93" w:rsidRPr="00B03B51" w:rsidRDefault="00994F93" w:rsidP="00994F93">
      <w:pPr>
        <w:jc w:val="both"/>
        <w:rPr>
          <w:rFonts w:ascii="Times New Roman" w:eastAsia="Arial" w:hAnsi="Times New Roman" w:cs="Times New Roman"/>
          <w:noProof/>
          <w:sz w:val="24"/>
          <w:szCs w:val="20"/>
        </w:rPr>
      </w:pPr>
    </w:p>
    <w:p w14:paraId="00628DDC" w14:textId="59ECE2AA" w:rsidR="00994F93" w:rsidRPr="00B03B51" w:rsidRDefault="007F20E8" w:rsidP="00A70719">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5E44C8AA" wp14:editId="77C3A0AD">
            <wp:extent cx="5760085" cy="28054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805430"/>
                    </a:xfrm>
                    <a:prstGeom prst="rect">
                      <a:avLst/>
                    </a:prstGeom>
                    <a:noFill/>
                    <a:ln>
                      <a:noFill/>
                    </a:ln>
                  </pic:spPr>
                </pic:pic>
              </a:graphicData>
            </a:graphic>
          </wp:inline>
        </w:drawing>
      </w:r>
    </w:p>
    <w:p w14:paraId="5FE8EFEF" w14:textId="77777777" w:rsidR="00994F93" w:rsidRPr="00B03B51" w:rsidRDefault="00994F93" w:rsidP="00994F93">
      <w:pPr>
        <w:jc w:val="both"/>
        <w:rPr>
          <w:rFonts w:ascii="Times New Roman" w:eastAsia="Arial" w:hAnsi="Times New Roman" w:cs="Times New Roman"/>
          <w:noProof/>
          <w:sz w:val="24"/>
          <w:szCs w:val="21"/>
        </w:rPr>
      </w:pPr>
    </w:p>
    <w:p w14:paraId="06499AD1"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Ar pārmaiņām tirgus likmē</w:t>
      </w:r>
    </w:p>
    <w:p w14:paraId="50C4F082"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E4B87F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Nākamā gada sākumā procentu likme tiek palielināta līdz 15 % divarpus gadus ilgam atmaksāšanas termiņam (un pēc tam vairs nemainās). Cena tirgū krītas līdz 70 (skaitļi ir noapaļoti).</w:t>
      </w:r>
    </w:p>
    <w:p w14:paraId="22ACC9CE" w14:textId="77777777" w:rsidR="00994F93" w:rsidRPr="00B03B51" w:rsidRDefault="00994F93" w:rsidP="00994F93">
      <w:pPr>
        <w:jc w:val="both"/>
        <w:rPr>
          <w:rFonts w:ascii="Times New Roman" w:eastAsia="Arial" w:hAnsi="Times New Roman" w:cs="Times New Roman"/>
          <w:noProof/>
          <w:sz w:val="24"/>
          <w:szCs w:val="8"/>
        </w:rPr>
      </w:pPr>
    </w:p>
    <w:p w14:paraId="59C6B5F5" w14:textId="26B1E9B6" w:rsidR="00994F93" w:rsidRPr="00B03B51" w:rsidRDefault="002771E9" w:rsidP="00A70719">
      <w:pPr>
        <w:jc w:val="center"/>
        <w:rPr>
          <w:rFonts w:ascii="Times New Roman" w:hAnsi="Times New Roman" w:cs="Times New Roman"/>
          <w:noProof/>
          <w:sz w:val="24"/>
        </w:rPr>
      </w:pPr>
      <w:r w:rsidRPr="00B03B51">
        <w:rPr>
          <w:rFonts w:ascii="Times New Roman" w:hAnsi="Times New Roman" w:cs="Times New Roman"/>
          <w:noProof/>
          <w:sz w:val="24"/>
        </w:rPr>
        <w:drawing>
          <wp:inline distT="0" distB="0" distL="0" distR="0" wp14:anchorId="5E6AE254" wp14:editId="0BF91DE5">
            <wp:extent cx="5760085" cy="48710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4871085"/>
                    </a:xfrm>
                    <a:prstGeom prst="rect">
                      <a:avLst/>
                    </a:prstGeom>
                    <a:noFill/>
                    <a:ln>
                      <a:noFill/>
                    </a:ln>
                  </pic:spPr>
                </pic:pic>
              </a:graphicData>
            </a:graphic>
          </wp:inline>
        </w:drawing>
      </w:r>
    </w:p>
    <w:p w14:paraId="373F54D7" w14:textId="77777777" w:rsidR="00994F93" w:rsidRPr="00B03B51" w:rsidRDefault="00994F93" w:rsidP="00994F93">
      <w:pPr>
        <w:jc w:val="both"/>
        <w:rPr>
          <w:rFonts w:ascii="Times New Roman" w:hAnsi="Times New Roman" w:cs="Times New Roman"/>
          <w:noProof/>
          <w:sz w:val="24"/>
        </w:rPr>
      </w:pPr>
    </w:p>
    <w:p w14:paraId="13A697F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Pamatsummas un procentu atdalīšana</w:t>
      </w:r>
    </w:p>
    <w:p w14:paraId="7920D317"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B4F1CE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Centrālā valdība ir emitējusi šādu obligāciju: nemainīga procentu likme – 15 %, pamatsumma – 1000, izpirkšana parāda atmaksāšanas termiņā, maksājuma datums – 1. jūlijs. Kad līdz maksājuma termiņa beigām ir palikuši 3 gadi, ir nolemts izveidot četrus pamatsummas un procentu atdalīšanas darījumus.</w:t>
      </w:r>
    </w:p>
    <w:p w14:paraId="2515AECE" w14:textId="77777777" w:rsidR="00994F93" w:rsidRPr="00B03B51" w:rsidRDefault="00994F93" w:rsidP="00994F93">
      <w:pPr>
        <w:jc w:val="both"/>
        <w:rPr>
          <w:rFonts w:ascii="Times New Roman" w:hAnsi="Times New Roman" w:cs="Times New Roman"/>
          <w:b/>
          <w:noProof/>
          <w:sz w:val="24"/>
        </w:rPr>
      </w:pPr>
    </w:p>
    <w:p w14:paraId="4BDFCE4E"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Pamatojoties uz sākotnējiem procentiem</w:t>
      </w:r>
    </w:p>
    <w:p w14:paraId="63FA6C63"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91CFAF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Tā kā procentu likme nemainās, obligācijas tirgus cena ir vienāda ar nominālvērtību. Tiek izveidoti trīs kuponu sertifikāti katram gada procentu maksājumam (novērtēti attiecīgi ar 99, 113, 130, pamatojoties uz cenu, kas vienāda ar 65,8 %, 75,7 % un 87 % no nominālvērtības, kas ir 150) un viens sertifikāts pamatsummas galīgajai atmaksai (novērtēts ar 658, jo cena ir 65,8 % no nominālvērtības, kura ir 1000). Četru sertifikātu kopējā tirgus vērtība vienmēr ir vienāda ar nominālvērtību. Uzkrātos procentus var aprēķināt, pamatojoties uz iepriekšējo obligācijas formu % vai laiku, kad veikta pamatsummas un procentu atdalīšana, kā starpību starp bezkuponu vērtspapīru tirgus cenu (citi faktori to neietekmē), t. i., 49, 10, 9 un 7 summu. Gada beigās četru sertifikātu tirgus vērtību summa ir 1075: 707+106+122+140 jeb 1000 (pamatsumma) un 75 (sešos mēnešos uzkrātie procenti) summa. Minētais piemērs skaidri atspoguļo valdības (EDP) parāda gadījumu, kas ierakstīts nominālvērtībā/norādītajā vērtībā, un tādējādi tajā nav ņemta vērā nekāda pamatsummas un procentu atdalīšanas ietekme uz sākotnējo parādu (skaitļi ir noapaļoti).</w:t>
      </w:r>
    </w:p>
    <w:p w14:paraId="07D3B563" w14:textId="77777777" w:rsidR="00994F93" w:rsidRPr="00B03B51" w:rsidRDefault="00994F93" w:rsidP="00994F93">
      <w:pPr>
        <w:jc w:val="both"/>
        <w:rPr>
          <w:rFonts w:ascii="Times New Roman" w:eastAsia="Arial" w:hAnsi="Times New Roman" w:cs="Times New Roman"/>
          <w:noProof/>
          <w:sz w:val="24"/>
          <w:szCs w:val="20"/>
        </w:rPr>
      </w:pPr>
    </w:p>
    <w:p w14:paraId="5FE25587" w14:textId="383E0D2A" w:rsidR="00994F93" w:rsidRPr="00B03B51" w:rsidRDefault="00F27871" w:rsidP="00994F93">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095801CB" wp14:editId="0EE31234">
            <wp:extent cx="345757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7575" cy="3333750"/>
                    </a:xfrm>
                    <a:prstGeom prst="rect">
                      <a:avLst/>
                    </a:prstGeom>
                    <a:noFill/>
                    <a:ln>
                      <a:noFill/>
                    </a:ln>
                  </pic:spPr>
                </pic:pic>
              </a:graphicData>
            </a:graphic>
          </wp:inline>
        </w:drawing>
      </w:r>
    </w:p>
    <w:p w14:paraId="08F80F96" w14:textId="77777777" w:rsidR="00994F93" w:rsidRPr="00B03B51" w:rsidRDefault="00994F93" w:rsidP="00994F93">
      <w:pPr>
        <w:jc w:val="both"/>
        <w:rPr>
          <w:rFonts w:ascii="Times New Roman" w:eastAsia="Arial" w:hAnsi="Times New Roman" w:cs="Times New Roman"/>
          <w:noProof/>
          <w:sz w:val="24"/>
          <w:szCs w:val="15"/>
        </w:rPr>
      </w:pPr>
    </w:p>
    <w:p w14:paraId="2F7AA46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Arī otrajā gadā uzkrātie procenti nemainās salīdzinājumā ar obligācijas iepriekšējo formu. Tie ir vienādi arī ar sertifikātu cenas starpību starp gada sākumu un pirmā kupona sertifikāta izpirkuma laiku un pārējo trīs (10, 106, 16, 18) sertifikātu izpirkuma laiku gada beigās. Gada beigās 1075 ir trīs sertifikātu (813, 122, 140) tirgus vērtību summa, un tā joprojām ir vienāda ar summu, ko veido 1000 (nominālvērtība) un 75 (sešu mēnešu laikā uzkrātie procenti).</w:t>
      </w:r>
    </w:p>
    <w:p w14:paraId="0F0255D2" w14:textId="77777777" w:rsidR="00994F93" w:rsidRPr="00B03B51" w:rsidRDefault="00994F93" w:rsidP="00994F93">
      <w:pPr>
        <w:jc w:val="both"/>
        <w:rPr>
          <w:rFonts w:ascii="Times New Roman" w:eastAsia="Arial" w:hAnsi="Times New Roman" w:cs="Times New Roman"/>
          <w:noProof/>
          <w:sz w:val="24"/>
          <w:szCs w:val="20"/>
        </w:rPr>
      </w:pPr>
    </w:p>
    <w:p w14:paraId="67A30E90" w14:textId="574B773E" w:rsidR="00994F93" w:rsidRPr="00B03B51" w:rsidRDefault="00F27871" w:rsidP="00994F93">
      <w:pPr>
        <w:jc w:val="center"/>
        <w:rPr>
          <w:rFonts w:ascii="Times New Roman" w:eastAsia="Arial" w:hAnsi="Times New Roman" w:cs="Times New Roman"/>
          <w:noProof/>
          <w:sz w:val="24"/>
          <w:szCs w:val="27"/>
        </w:rPr>
      </w:pPr>
      <w:r w:rsidRPr="00B03B51">
        <w:rPr>
          <w:rFonts w:ascii="Times New Roman" w:eastAsia="Arial" w:hAnsi="Times New Roman" w:cs="Times New Roman"/>
          <w:noProof/>
          <w:sz w:val="24"/>
          <w:szCs w:val="27"/>
        </w:rPr>
        <w:lastRenderedPageBreak/>
        <w:drawing>
          <wp:inline distT="0" distB="0" distL="0" distR="0" wp14:anchorId="2463760B" wp14:editId="46AC33C9">
            <wp:extent cx="3343275" cy="1695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14:paraId="757289C5" w14:textId="4503CCAD" w:rsidR="00994F93" w:rsidRPr="00B03B51" w:rsidRDefault="00F27871" w:rsidP="00994F93">
      <w:pPr>
        <w:jc w:val="center"/>
        <w:rPr>
          <w:rFonts w:ascii="Times New Roman" w:eastAsia="Arial" w:hAnsi="Times New Roman" w:cs="Times New Roman"/>
          <w:noProof/>
          <w:sz w:val="24"/>
          <w:szCs w:val="27"/>
        </w:rPr>
      </w:pPr>
      <w:r w:rsidRPr="00B03B51">
        <w:rPr>
          <w:rFonts w:ascii="Times New Roman" w:eastAsia="Arial" w:hAnsi="Times New Roman" w:cs="Times New Roman"/>
          <w:noProof/>
          <w:sz w:val="24"/>
          <w:szCs w:val="27"/>
        </w:rPr>
        <w:drawing>
          <wp:inline distT="0" distB="0" distL="0" distR="0" wp14:anchorId="53DF8CE4" wp14:editId="55E4C91A">
            <wp:extent cx="3381375" cy="145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p w14:paraId="461C3424" w14:textId="77777777" w:rsidR="00994F93" w:rsidRPr="00B03B51" w:rsidRDefault="00994F93" w:rsidP="00994F93">
      <w:pPr>
        <w:jc w:val="both"/>
        <w:rPr>
          <w:rFonts w:ascii="Times New Roman" w:eastAsia="Arial" w:hAnsi="Times New Roman" w:cs="Times New Roman"/>
          <w:noProof/>
          <w:sz w:val="24"/>
          <w:szCs w:val="27"/>
        </w:rPr>
      </w:pPr>
    </w:p>
    <w:p w14:paraId="4309205F"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Ar pārmaiņām procentu likmē</w:t>
      </w:r>
    </w:p>
    <w:p w14:paraId="502BA770"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5C3661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Pamatsummas un procentu atdalīšanu īsteno jaunos tirgus apstākļos, piemēram, kad tirgus likme ir samazinājusies līdz 10 %. Pašreizējā obligācijas cena ir 1125. Šoreiz pamatsummas un procentu atdalīšanas darījumu vērtība ir 113, 124, 136 un 752 (pamatojoties uz cenām procentos 75,2, 82,7 un 90,8). Gada beigās šo četru sertifikātu tirgus vērtību summa ir 1182 (790, 119, 130, 143), kas ir arī nomināla tirgus vērtības (1107) jeb “tīrās cenas” un uzkrāto procentu (vienmēr 75) summa.</w:t>
      </w:r>
    </w:p>
    <w:p w14:paraId="2430DB4C" w14:textId="77777777" w:rsidR="00994F93" w:rsidRPr="00B03B51" w:rsidRDefault="00994F93" w:rsidP="00994F93">
      <w:pPr>
        <w:jc w:val="both"/>
        <w:rPr>
          <w:rFonts w:ascii="Times New Roman" w:eastAsia="Arial" w:hAnsi="Times New Roman" w:cs="Times New Roman"/>
          <w:noProof/>
          <w:sz w:val="24"/>
          <w:szCs w:val="20"/>
        </w:rPr>
      </w:pPr>
    </w:p>
    <w:p w14:paraId="0159C30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Ierakstot aktīvu un saistību pusi, nebūtu asimetrijas. Tomēr minētais piemērs skaidri parāda, ka atšķirības tirgus cenās nevar izmantot attiecībā uz uzkrātajiem procentiem (summa pusgadam būtu 57 pret 75, kas ir sākotnējā likme). Tādējādi uzkrātie procenti jāaprēķina, pamatojoties uz iepriekšējo obligācijas formu, nevis uz turētāju sniegto informāciju. Precizējumu ieraksta pārvērtēšanas kontā. Zaudējums (pašreizējā saistību cena ir augstāka par “teorētisko” cenu) ir ienākums darījuma partneru kontos.</w:t>
      </w:r>
    </w:p>
    <w:p w14:paraId="6B9AF9BE" w14:textId="77777777" w:rsidR="00994F93" w:rsidRPr="00B03B51" w:rsidRDefault="00994F93" w:rsidP="00994F93">
      <w:pPr>
        <w:jc w:val="both"/>
        <w:rPr>
          <w:rFonts w:ascii="Times New Roman" w:eastAsia="Arial" w:hAnsi="Times New Roman" w:cs="Times New Roman"/>
          <w:noProof/>
          <w:sz w:val="24"/>
          <w:szCs w:val="20"/>
        </w:rPr>
      </w:pPr>
    </w:p>
    <w:p w14:paraId="336BDBF2" w14:textId="6AA50B84" w:rsidR="00994F93" w:rsidRPr="00B03B51" w:rsidRDefault="0026685E" w:rsidP="00994F93">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348CF991" wp14:editId="7263684B">
            <wp:extent cx="3495675" cy="451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4514850"/>
                    </a:xfrm>
                    <a:prstGeom prst="rect">
                      <a:avLst/>
                    </a:prstGeom>
                    <a:noFill/>
                    <a:ln>
                      <a:noFill/>
                    </a:ln>
                  </pic:spPr>
                </pic:pic>
              </a:graphicData>
            </a:graphic>
          </wp:inline>
        </w:drawing>
      </w:r>
    </w:p>
    <w:p w14:paraId="4BE1A3E9" w14:textId="77777777" w:rsidR="00994F93" w:rsidRPr="00B03B51" w:rsidRDefault="00994F93" w:rsidP="00994F93">
      <w:pPr>
        <w:jc w:val="both"/>
        <w:rPr>
          <w:rFonts w:ascii="Times New Roman" w:eastAsia="Arial" w:hAnsi="Times New Roman" w:cs="Times New Roman"/>
          <w:noProof/>
          <w:sz w:val="24"/>
          <w:szCs w:val="17"/>
        </w:rPr>
      </w:pPr>
    </w:p>
    <w:p w14:paraId="2A5A090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Uzkrāto procentu novērtējums kopš iepriekšējā gada nav mainījies. Trīs atlikušo sertifikātu tirgus vērtību (869, 131, 143) summa ir 1143, un tā ir arī pamatsummas (1068) tirgus vērtība, kura pieaugusi par sešu mēnešu laikā uzkrāto procentu vērtību (75). Šoreiz precizējums pārvērtēšanas kontā ir ienākums emitentam, un to aprēķina, pamatojoties vienīgi uz pašreizējām cenām perioda sākumā un beigās.</w:t>
      </w:r>
    </w:p>
    <w:p w14:paraId="5B19DE4F" w14:textId="77777777" w:rsidR="00994F93" w:rsidRPr="00B03B51" w:rsidRDefault="00994F93" w:rsidP="00994F93">
      <w:pPr>
        <w:jc w:val="both"/>
        <w:rPr>
          <w:rFonts w:ascii="Times New Roman" w:hAnsi="Times New Roman" w:cs="Times New Roman"/>
          <w:noProof/>
          <w:sz w:val="24"/>
        </w:rPr>
      </w:pPr>
    </w:p>
    <w:p w14:paraId="0A726B72" w14:textId="059ED9EB" w:rsidR="00994F93" w:rsidRPr="00B03B51" w:rsidRDefault="0026685E" w:rsidP="00994F93">
      <w:pPr>
        <w:jc w:val="center"/>
        <w:rPr>
          <w:rFonts w:ascii="Times New Roman" w:eastAsia="Arial" w:hAnsi="Times New Roman" w:cs="Times New Roman"/>
          <w:noProof/>
          <w:sz w:val="24"/>
          <w:szCs w:val="19"/>
        </w:rPr>
      </w:pPr>
      <w:r w:rsidRPr="00B03B51">
        <w:rPr>
          <w:rFonts w:ascii="Times New Roman" w:eastAsia="Arial" w:hAnsi="Times New Roman" w:cs="Times New Roman"/>
          <w:noProof/>
          <w:sz w:val="24"/>
          <w:szCs w:val="19"/>
        </w:rPr>
        <w:lastRenderedPageBreak/>
        <w:drawing>
          <wp:inline distT="0" distB="0" distL="0" distR="0" wp14:anchorId="14ADCCFD" wp14:editId="6C7C854E">
            <wp:extent cx="3343275" cy="4539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4569" cy="4541077"/>
                    </a:xfrm>
                    <a:prstGeom prst="rect">
                      <a:avLst/>
                    </a:prstGeom>
                    <a:noFill/>
                    <a:ln>
                      <a:noFill/>
                    </a:ln>
                  </pic:spPr>
                </pic:pic>
              </a:graphicData>
            </a:graphic>
          </wp:inline>
        </w:drawing>
      </w:r>
      <w:r w:rsidR="00994F93" w:rsidRPr="00B03B51">
        <w:rPr>
          <w:rFonts w:ascii="Times New Roman" w:hAnsi="Times New Roman" w:cs="Times New Roman"/>
          <w:noProof/>
          <w:sz w:val="24"/>
        </w:rPr>
        <mc:AlternateContent>
          <mc:Choice Requires="wpg">
            <w:drawing>
              <wp:anchor distT="0" distB="0" distL="114300" distR="114300" simplePos="0" relativeHeight="251659264" behindDoc="1" locked="0" layoutInCell="1" allowOverlap="1" wp14:anchorId="154883DB" wp14:editId="1A803C50">
                <wp:simplePos x="0" y="0"/>
                <wp:positionH relativeFrom="page">
                  <wp:posOffset>3778885</wp:posOffset>
                </wp:positionH>
                <wp:positionV relativeFrom="page">
                  <wp:posOffset>4749165</wp:posOffset>
                </wp:positionV>
                <wp:extent cx="1270" cy="139065"/>
                <wp:effectExtent l="6985" t="5715" r="1079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65"/>
                          <a:chOff x="5951" y="7479"/>
                          <a:chExt cx="2" cy="219"/>
                        </a:xfrm>
                      </wpg:grpSpPr>
                      <wps:wsp>
                        <wps:cNvPr id="4" name="Freeform 3"/>
                        <wps:cNvSpPr>
                          <a:spLocks/>
                        </wps:cNvSpPr>
                        <wps:spPr bwMode="auto">
                          <a:xfrm>
                            <a:off x="5951" y="7479"/>
                            <a:ext cx="2" cy="219"/>
                          </a:xfrm>
                          <a:custGeom>
                            <a:avLst/>
                            <a:gdLst>
                              <a:gd name="T0" fmla="+- 0 7479 7479"/>
                              <a:gd name="T1" fmla="*/ 7479 h 219"/>
                              <a:gd name="T2" fmla="+- 0 7698 7479"/>
                              <a:gd name="T3" fmla="*/ 7698 h 219"/>
                            </a:gdLst>
                            <a:ahLst/>
                            <a:cxnLst>
                              <a:cxn ang="0">
                                <a:pos x="0" y="T1"/>
                              </a:cxn>
                              <a:cxn ang="0">
                                <a:pos x="0" y="T3"/>
                              </a:cxn>
                            </a:cxnLst>
                            <a:rect l="0" t="0" r="r" b="b"/>
                            <a:pathLst>
                              <a:path h="219">
                                <a:moveTo>
                                  <a:pt x="0" y="0"/>
                                </a:moveTo>
                                <a:lnTo>
                                  <a:pt x="0" y="2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C5B97" id="Group 2" o:spid="_x0000_s1026" style="position:absolute;margin-left:297.55pt;margin-top:373.95pt;width:.1pt;height:10.95pt;z-index:-251657216;mso-position-horizontal-relative:page;mso-position-vertical-relative:page" coordorigin="5951,7479"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">
                <v:shape id="Freeform 3" o:spid="_x0000_s1027" style="position:absolute;left:5951;top:7479;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" path="m,l,219e" filled="f" strokeweight=".82pt">
                  <v:path arrowok="t" o:connecttype="custom" o:connectlocs="0,7479;0,7698" o:connectangles="0,0"/>
                </v:shape>
                <w10:wrap anchorx="page" anchory="page"/>
              </v:group>
            </w:pict>
          </mc:Fallback>
        </mc:AlternateContent>
      </w:r>
    </w:p>
    <w:p w14:paraId="6531C8B8" w14:textId="77777777" w:rsidR="00994F93" w:rsidRPr="00B03B51" w:rsidRDefault="00994F93" w:rsidP="00994F93">
      <w:pPr>
        <w:rPr>
          <w:rFonts w:ascii="Times New Roman" w:eastAsia="Arial" w:hAnsi="Times New Roman" w:cs="Times New Roman"/>
          <w:noProof/>
          <w:sz w:val="24"/>
          <w:szCs w:val="19"/>
        </w:rPr>
      </w:pPr>
      <w:r w:rsidRPr="00B03B51">
        <w:rPr>
          <w:rFonts w:ascii="Times New Roman" w:hAnsi="Times New Roman" w:cs="Times New Roman"/>
        </w:rPr>
        <w:br w:type="page"/>
      </w:r>
    </w:p>
    <w:p w14:paraId="41EE24DE" w14:textId="77777777" w:rsidR="00994F93" w:rsidRPr="00B03B51" w:rsidRDefault="00994F93" w:rsidP="00994F93">
      <w:pPr>
        <w:jc w:val="both"/>
        <w:rPr>
          <w:rFonts w:ascii="Times New Roman" w:eastAsia="Times New Roman" w:hAnsi="Times New Roman" w:cs="Times New Roman"/>
          <w:noProof/>
          <w:sz w:val="24"/>
          <w:szCs w:val="19"/>
        </w:rPr>
      </w:pPr>
    </w:p>
    <w:p w14:paraId="6809334F"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148" w:name="2.5_Military_expenditure"/>
      <w:bookmarkStart w:id="149" w:name="_bookmark16"/>
      <w:bookmarkStart w:id="150" w:name="_Toc67565068"/>
      <w:bookmarkEnd w:id="148"/>
      <w:bookmarkEnd w:id="149"/>
      <w:r w:rsidRPr="00B03B51">
        <w:rPr>
          <w:rFonts w:ascii="Times New Roman" w:hAnsi="Times New Roman" w:cs="Times New Roman"/>
          <w:sz w:val="28"/>
          <w:szCs w:val="44"/>
        </w:rPr>
        <w:t>2.5. Militārie izdevumi</w:t>
      </w:r>
      <w:bookmarkEnd w:id="150"/>
    </w:p>
    <w:p w14:paraId="440255A9" w14:textId="77777777" w:rsidR="00994F93" w:rsidRPr="00D06C6B" w:rsidRDefault="00994F93" w:rsidP="00E843F0">
      <w:pPr>
        <w:rPr>
          <w:rFonts w:ascii="Times New Roman" w:hAnsi="Times New Roman" w:cs="Times New Roman"/>
          <w:noProof/>
          <w:sz w:val="24"/>
          <w:szCs w:val="24"/>
        </w:rPr>
      </w:pPr>
      <w:bookmarkStart w:id="151" w:name="2.5.1_Background"/>
      <w:bookmarkEnd w:id="151"/>
    </w:p>
    <w:p w14:paraId="289D06D1"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52" w:name="_Toc67565069"/>
      <w:r w:rsidRPr="00B03B51">
        <w:rPr>
          <w:rFonts w:ascii="Times New Roman" w:hAnsi="Times New Roman" w:cs="Times New Roman"/>
          <w:sz w:val="24"/>
        </w:rPr>
        <w:t>2.5.1. Vispārīga informācija</w:t>
      </w:r>
      <w:bookmarkEnd w:id="152"/>
    </w:p>
    <w:p w14:paraId="2B1B52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23012C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Militārie izdevumi ir īpaša tādu valdības izdevumu kategorija, kuri bieži vien rodas saskaņā ar īpašiem iepirkuma līgumiem (tostarp dažkārt arī saistībā ar augstvērtīga aprīkojuma nomāšanu).</w:t>
      </w:r>
    </w:p>
    <w:p w14:paraId="194E5E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E93C82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Pēc būtības militārais aprīkojums parasti tiek iekļauts sarežģītās tehnoloģijas kategorijā. No tā izriet trīs dažādas sekas. Pirmkārt, militārais aprīkojums var būt veidots no daudziem dažādiem komponentiem, kurus bieži vien ražo dažādi piegādātāji. Otrkārt, ražošanas process var ilgt vairākus gadus. Treškārt, līgumos bieži vien iekļauti arī tehniskās apkopes noteikumi, lai nodrošinātu aprīkojuma atbilstību ekspluatācijas nosacījumiem. Tāpēc šī nodaļa ir veltīta jo īpaši jautājumam par valdības militārā aprīkojuma izdevumu ierakstīšanas laiku nacionālajos kontos.</w:t>
      </w:r>
    </w:p>
    <w:p w14:paraId="367252D1" w14:textId="77777777" w:rsidR="00994F93" w:rsidRPr="00B03B51" w:rsidRDefault="00994F93" w:rsidP="00994F93">
      <w:pPr>
        <w:jc w:val="both"/>
        <w:rPr>
          <w:rFonts w:ascii="Times New Roman" w:eastAsia="Arial" w:hAnsi="Times New Roman" w:cs="Times New Roman"/>
          <w:noProof/>
          <w:sz w:val="24"/>
          <w:szCs w:val="18"/>
        </w:rPr>
      </w:pPr>
    </w:p>
    <w:p w14:paraId="5ADFDCE3"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53" w:name="2.5.2_Treatment_in_national_accounts"/>
      <w:bookmarkStart w:id="154" w:name="_Toc67565070"/>
      <w:bookmarkEnd w:id="153"/>
      <w:r w:rsidRPr="00B03B51">
        <w:rPr>
          <w:rFonts w:ascii="Times New Roman" w:hAnsi="Times New Roman" w:cs="Times New Roman"/>
          <w:sz w:val="24"/>
        </w:rPr>
        <w:t>2.5.2. Traktējums nacionālajos kontos</w:t>
      </w:r>
      <w:bookmarkEnd w:id="154"/>
    </w:p>
    <w:p w14:paraId="5929DCCF" w14:textId="77777777" w:rsidR="00994F93" w:rsidRPr="00453D55" w:rsidRDefault="00994F93" w:rsidP="00453D55">
      <w:pPr>
        <w:rPr>
          <w:rFonts w:ascii="Times New Roman" w:hAnsi="Times New Roman" w:cs="Times New Roman"/>
          <w:noProof/>
          <w:sz w:val="24"/>
          <w:szCs w:val="24"/>
        </w:rPr>
      </w:pPr>
      <w:bookmarkStart w:id="155" w:name="2.5.2.1_Identification_of_military_equip"/>
      <w:bookmarkEnd w:id="155"/>
    </w:p>
    <w:p w14:paraId="3608E411"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2.5.2.1. MILITĀRĀ APRĪKOJUMA IDENTIFIKĀCIJA</w:t>
      </w:r>
    </w:p>
    <w:p w14:paraId="0E22251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F6813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EKS 2010 ir noteikts stingrs dalījums starp “ieroču sistēmām” un citiem priekšmetiem, ko izmanto bruņotie spēki. EKS 2010 (skat. 7. nodaļu un 7.1. pielikumu) ir noteikts, ka ieroču sistēmas (AN.114) ir pamatlīdzekļi – “transportlīdzekļi un citas iekārtas, piemēram, karakuģi, zemūdenes, militārās lidmašīnas, tanki, bumbvedēji, ložmetēji utt.” Šis saraksts nav pilnīgs, taču tas skaidri atspoguļo šāda aprīkojuma būtību. Daudzi ieroči, kas tiek piegādāti saskaņā ar šo sistēmu, tiek klasificēti kā militārie krājumi (AN.124), bet citi, piemēram, ballistiskās raķetes, kurām piemīt augsta iznīcināšanas spēja un kas nodrošina nepārtrauktu preventīvu aizsardzību pret agresoriem, klasificē kā pamatlīdzekļus. Klasifikācijas pamatojums ir tāds, ka šos ieročus principā nav paredzēts izmantot (un līdz ar to iznīcināt) un tie kalpo nepārtrauktas preventīvās aizsardzības nodrošināšanai.</w:t>
      </w:r>
    </w:p>
    <w:p w14:paraId="61C7A68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34C15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Attiecīgi šādu ieroču sistēmu iegāde tiek ierakstīta kā bruto pamatkapitāla veidošana un ir atkarīga no pamatkapitāla patēriņa līdzīgi jebkuram citam pamatlīdzeklim, ko iegādājušies bruņotie spēki. EKS 2010 (skat. 7.nodaļu un 7.1. pielikumu) ir noteikts, ka “militārajiem nolūkiem iegādātas mašīnas un iekārtas, kas nav ieroču sistēmas, iekļauj” kategorijā AN.113 “Mašīnas un iekārtas”, taču atsevišķi nenorāda kā šādas mašīnas un iekārtas. Militārajā bruto pamatkapitāla veidošanā (</w:t>
      </w:r>
      <w:r w:rsidRPr="00B03B51">
        <w:rPr>
          <w:rFonts w:ascii="Times New Roman" w:hAnsi="Times New Roman" w:cs="Times New Roman"/>
          <w:i/>
          <w:iCs/>
          <w:sz w:val="24"/>
        </w:rPr>
        <w:t>GFCF</w:t>
      </w:r>
      <w:r w:rsidRPr="00B03B51">
        <w:rPr>
          <w:rFonts w:ascii="Times New Roman" w:hAnsi="Times New Roman" w:cs="Times New Roman"/>
          <w:sz w:val="24"/>
        </w:rPr>
        <w:t>, P.51) ir iekļauti arī izdevumi par militāro pamatlīdzekļu uzlabošanu, piemēram, par “kapitālremontu”, kas paildzina to ekspluatācijas laiku, un par “modernizāciju”. Kategorija “militārie krājumi” (AN.124) ir īpaši paredzēta “munīcijai, reaktīvajiem šāviņiem</w:t>
      </w:r>
      <w:r w:rsidRPr="00B03B51">
        <w:rPr>
          <w:rStyle w:val="FootnoteReference"/>
          <w:rFonts w:ascii="Times New Roman" w:hAnsi="Times New Roman" w:cs="Times New Roman"/>
          <w:noProof/>
          <w:sz w:val="24"/>
        </w:rPr>
        <w:footnoteReference w:id="132"/>
      </w:r>
      <w:r w:rsidRPr="00B03B51">
        <w:rPr>
          <w:rFonts w:ascii="Times New Roman" w:hAnsi="Times New Roman" w:cs="Times New Roman"/>
          <w:sz w:val="24"/>
        </w:rPr>
        <w:t>, raķetēm, bumbām un citām vienreizējas lietošanas militārām lietām, kuras nogādā ieroči vai ieroču sistēmas”. Kad militārie krājumi ir izlietoti, tos ieraksta kā krājumu samazinājumu (P.52) un starppatēriņu (P.2), tādējādi neietekmējot valdības neto aizdevumu (B.9).</w:t>
      </w:r>
    </w:p>
    <w:p w14:paraId="58D29003" w14:textId="77777777" w:rsidR="00994F93" w:rsidRPr="00B03B51" w:rsidRDefault="00994F93" w:rsidP="00994F93">
      <w:pPr>
        <w:jc w:val="both"/>
        <w:rPr>
          <w:rFonts w:ascii="Times New Roman" w:hAnsi="Times New Roman" w:cs="Times New Roman"/>
          <w:noProof/>
          <w:sz w:val="24"/>
        </w:rPr>
      </w:pPr>
    </w:p>
    <w:p w14:paraId="20EBAFD0"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56" w:name="2.5.2.2_The_time_of_recording_of_militar"/>
      <w:bookmarkEnd w:id="156"/>
      <w:r w:rsidRPr="00B03B51">
        <w:rPr>
          <w:rFonts w:ascii="Times New Roman" w:hAnsi="Times New Roman" w:cs="Times New Roman"/>
          <w:sz w:val="24"/>
        </w:rPr>
        <w:t>2.5.2.2. IZDEVUMU MILITĀRAJAM APRĪKOJUMAM IERAKSTĪŠANAS LAIKS VISPĀRĪGS NOTEIKUMS</w:t>
      </w:r>
    </w:p>
    <w:p w14:paraId="0CC4878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90B63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Saskaņā ar vispārējiem nacionālo kontu principiem valdības izdevumi par aprīkojumu </w:t>
      </w:r>
      <w:r w:rsidRPr="00B03B51">
        <w:rPr>
          <w:rFonts w:ascii="Times New Roman" w:hAnsi="Times New Roman" w:cs="Times New Roman"/>
          <w:sz w:val="24"/>
        </w:rPr>
        <w:lastRenderedPageBreak/>
        <w:t>jāieraksta tā piegādes laikā, kas iezīmē ekonomisko īpašumtiesību maiņu. Tas attiecas ne tikai uz militāro aprīkojumu.</w:t>
      </w:r>
    </w:p>
    <w:p w14:paraId="4CAA2F5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E72FF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Pieņem, ka piegāde ir notikusi brīdī, kad bruņotie spēki ir pārņēmuši aprīkojumu savā īpašumā no ekonomiskā viedokļa, proti, ir uzņēmušies ar aprīkojuma ekonomiskajām īpašumtiesībām saistītos riskus un tā sniegtās priekšrocības. Tas attiecas uz jebkuru saistīto darbību, kas faktiski īstenota ar šo aprīkojumu, piemēram, uz apmācību vai faktiskām militārajām misijām. Pēc piegādes bruņotie spēki parasti ir tiesīgi izmantot militāros aktīvus bez ierobežojuma jebkurai darbībai. Attiecībā uz noteiktām iekārtām tiek piemērots testēšanas periods, jo īpaši iekārtām, kurās iekļautas augstās tehnoloģijas, to piegāde bieži vien notiek ilgu laika posmu, tostarp iekārtai laika gaitā veic būtiskus uzlabojumus (ko bieži vien dēvē par “standartu”). Testēšana kopumā notiek militāros objektos, tomēr būvētājs parasti joprojām ir atbildīgs par iekārtu. Tomēr dažkārt iekārta ir jāuzlabo būvētāja telpās, un tāpēc tā to nodod atpakaļ ražotājam (vai montētājam). Praktiski piegādes laiks būtu jānosaka kā brīdis, kad militārie spēki pirmo reizi uzņemas atbildību par iekārtu</w:t>
      </w:r>
      <w:r w:rsidRPr="00B03B51">
        <w:rPr>
          <w:rStyle w:val="FootnoteReference"/>
          <w:rFonts w:ascii="Times New Roman" w:hAnsi="Times New Roman" w:cs="Times New Roman"/>
          <w:noProof/>
          <w:sz w:val="24"/>
        </w:rPr>
        <w:footnoteReference w:id="133"/>
      </w:r>
      <w:r w:rsidRPr="00B03B51">
        <w:rPr>
          <w:rFonts w:ascii="Times New Roman" w:hAnsi="Times New Roman" w:cs="Times New Roman"/>
          <w:sz w:val="24"/>
        </w:rPr>
        <w:t>, kas parasti varētu būt pēc pirmās testēšanas un pēc iekārtas iespējamās pieregulēšanas/pielāgošanas. Tas neizslēdz iespēju, ka būvētājam varētu prasīt, lai pēc iekārtas pirmās oficiālās pieņemšanas tai veiktu turpmākas modifikācijas, par ko atbildība atkal tiek nodota būvētājam garantijas saistību veidā. Būtisks kritērijs attiecībā uz ierakstīšanas laika noteikšanu ir apdrošināšanas līgums, jo parasti militāro aprīkojumu, kad tas tiek faktiski lietots, pašapdrošina valdība. Piegādes laiks var atšķirties no laika, kad notiek attiecīgās naudas plūsmas. Šajā saistībā parasti pilnīga norēķināšanās par dārgu “smago” aprīkojumu nenotiek tā piegādes laikā. Bieži vien valdība pirms piegādes veic arī avansa maksājumus.</w:t>
      </w:r>
    </w:p>
    <w:p w14:paraId="3B28E1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A69E2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Dažādu iemeslu dēļ (piemēram, vienoto izmaksu palielināšanās, piegāžu kavējumu dēļ utt.) var gadīties, ka iekārtu piegādes līgumi, kas parasti ir spēkā ilgu laiku, tiek atkārtoti pārskatīti un grozīti. Tā var būt arī gadījumos, kad iekārtai ir veikti būtiski jauninājumi. Līguma kopējo vērtību var pārskatīt arī jau pēc dažu iekārtu piegādes. Šādos gadījumos izdevumi, kas jau iepriekš ir ierakstīti nacionālajos kontos, nav jāpārskata. Līguma sākotnējās un jaunās vērtības starpību proporcionāli sadala uz atlikušajām turpmākajām piegādēm. Dažkārt piegādājamo vienību skaits tiek samazināts tādējādi, ka būtu jāmaina turpmāk piegādājamo vienību vidējā cena. Nacionālajos kontos iepriekšējie dati nebūtu jāpārskata.</w:t>
      </w:r>
    </w:p>
    <w:p w14:paraId="3B1FB78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AD17B2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Gadījumos, kad iekārtu piegāde ir papildināta ar pakalpojumu tūlītēju vai vēlāku sniegšanu, ar šiem pakalpojumiem saistītie izdevumi ir jāidentificē atsevišķi un jāieraksta kā starppatēriņš brīdī, kad pakalpojums tiek sniegts. To nepiemēro ar īpašumtiesību nodošanu saistītajām izmaksām, kuras rodas jaunajam īpašniekam un ir noteiktas EKS 2010 3.133. punktā. Šo izmaksu tvērums ir visnotaļ ierobežots, un tajās neietilpst, piemēram, testēšanas izmaksas un kalibrēšana, kas nepieciešama ļoti sarežģītam militārajam aprīkojumam.</w:t>
      </w:r>
    </w:p>
    <w:p w14:paraId="616E8CB0" w14:textId="77777777" w:rsidR="00994F93" w:rsidRPr="00B03B51" w:rsidRDefault="00994F93" w:rsidP="00994F93">
      <w:pPr>
        <w:jc w:val="both"/>
        <w:rPr>
          <w:rFonts w:ascii="Times New Roman" w:eastAsia="Arial" w:hAnsi="Times New Roman" w:cs="Times New Roman"/>
          <w:noProof/>
          <w:sz w:val="24"/>
          <w:szCs w:val="15"/>
        </w:rPr>
      </w:pPr>
    </w:p>
    <w:p w14:paraId="69183000"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57" w:name="2.5.2.3_The_time_of_recording_of_the_exp"/>
      <w:bookmarkEnd w:id="157"/>
      <w:r w:rsidRPr="00B03B51">
        <w:rPr>
          <w:rFonts w:ascii="Times New Roman" w:hAnsi="Times New Roman" w:cs="Times New Roman"/>
          <w:sz w:val="24"/>
        </w:rPr>
        <w:t>2.5.2.3. IZDEVUMU PAR MILITĀRO APRĪKOJUMU IERAKSTĪŠANAS LAIKS SAISTĪBĀ AR ILGTERMIŅA LĪGUMIEM</w:t>
      </w:r>
    </w:p>
    <w:p w14:paraId="5FF657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88F56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Līgumiem, ko valdības iestādes parakstījušas, lai iegādātos militāro aprīkojumu, bieži piemīt šādas iezīmes:</w:t>
      </w:r>
    </w:p>
    <w:p w14:paraId="7E03C77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2079A4F"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daudzi ražojumi tiek piegādāti vairākus gadus ilgā laika posmā;</w:t>
      </w:r>
    </w:p>
    <w:p w14:paraId="28B7BB91"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pakalpojumi (piemēram, tehniskā apkope) tiek sniegti vairāku gadu garumā;</w:t>
      </w:r>
    </w:p>
    <w:p w14:paraId="2BA36EB0"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lai sarežģītas iekārtas padarītu pilnīgi izmantojamas militārajās misijās, nepieciešama galīgo detaļu piegāde. Piemēram, elektroniskais aprīkojums un ieroču sistēmas iznīcinātājiem, ko bieži vien piegādā citi uzņēmumi, nevis galvenais piegādātājs, un kas tiek montētas militārajos objektos. Šis gadījums ir skaidri jānošķir no gadījuma, kad detaļas, kas iegūtas no vairākiem apakšuzņēmējiem, montē būvētājs/ražotājs, bet rezultātā tiek nodrošināta viena piegāde (un izdots viens rēķins) valdībai.</w:t>
      </w:r>
    </w:p>
    <w:p w14:paraId="37DA14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45445E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Turpmāk norādīts laiks, kad ieraksta valdības neto aizdevumu/aizņēmumu (B.9) ietekmējošos valdības izdevumus:</w:t>
      </w:r>
    </w:p>
    <w:p w14:paraId="700AD4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92E8E1"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ilgtermiņa līgumi paredz identisku ražojumu (vai “principā” identisku ražojumu, kā tas ir lidaparātu “standartu” gadījumā) piegādi ilgā laika posmā, valdības izdevumus ieraksta katras vienības faktiskās piegādes brīdī;</w:t>
      </w:r>
    </w:p>
    <w:p w14:paraId="20FCFE4B"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ilgtermiņa līgumi paredz arī pakalpojumu sniegšanu ilgā laika posmā (piemēram, tehnisko apkopi vai tehnisko uzraudzību), valdības izdevumi jāieraksta pakalpojumu sniegšanas laikā; standarta analītiskās uzskaites paņēmieni ļauj sadalīt izdevumus starp precēm un pakalpojumiem, kas tiek attiecīgi piegādātas un sniegtas saskaņā ar līgumiem;</w:t>
      </w:r>
    </w:p>
    <w:p w14:paraId="24B45512"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ilgtermiņa līgumos paredzēta kompleksu sistēmu piegāde, valdības izdevumus ieraksta tad, kad tiek piegādāts katrs atsevišķais sistēmu veidojošais aprīkojuma elements (kas ir arī gatavs ekspluatācijai, proti, atsevišķais aprīkojuma elements atbilst visiem nepieciešamajiem tehniskajiem datiem, lai tas būtu pilnīgi darbspējīgs, tiklīdz tas tiks savienots ar citiem kompleksas sistēmas elementiem), nevis tad, kad ir piegādātas visas līgumā paredzētās daļas. Piemērs ir kuģis, kura korpusu un dzinējus nodrošina kuģu būvētava, bet specifiskāku militāro aprīkojumu – citi specializēti piegādātāji (iespējams, citā piegādes vietā).</w:t>
      </w:r>
    </w:p>
    <w:p w14:paraId="35305481"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rezerves daļas tehniskās apkopes un remonta vajadzībām tiek piegādātas vienlaikus ar aprīkojumu, tās tiek ierakstītas tajā pašā laikā kā galvenā bruto pamatkapitāla veidošana. Ja rezerves daļas ir paredzētas identificējamā tehniskās apkopes līgumā, tās ieraksta tad, kad tās tiek atsevišķi piegādātas bruņotajiem spēkiem. Var gadīties, ka globālā ilgtermiņa līgumā var nebūt sīkas informācijas par šo rezerves daļu precīzu piegādes laiku, kurām faktiskā summa var atšķirties katrā piegādē. Šādā gadījumā rezerves daļu piegādi var arī ierakstīt pēc tādas pašas shēmas, kā tiek ierakstīts galvenais piegādājamais militārais aprīkojums.</w:t>
      </w:r>
    </w:p>
    <w:p w14:paraId="1A269ED9" w14:textId="77777777" w:rsidR="00994F93" w:rsidRPr="00B03B51" w:rsidRDefault="00994F93" w:rsidP="00994F93">
      <w:pPr>
        <w:jc w:val="both"/>
        <w:rPr>
          <w:rFonts w:ascii="Times New Roman" w:eastAsia="Arial" w:hAnsi="Times New Roman" w:cs="Times New Roman"/>
          <w:noProof/>
          <w:sz w:val="24"/>
          <w:szCs w:val="15"/>
        </w:rPr>
      </w:pPr>
    </w:p>
    <w:p w14:paraId="56A8B755"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58" w:name="2.5.2.4_Military_equipment_built_over_ma"/>
      <w:bookmarkEnd w:id="158"/>
      <w:r w:rsidRPr="00B03B51">
        <w:rPr>
          <w:rFonts w:ascii="Times New Roman" w:hAnsi="Times New Roman" w:cs="Times New Roman"/>
          <w:sz w:val="24"/>
        </w:rPr>
        <w:t>2.5.2.4. MILITĀRAIS APRĪKOJUMS, KURA BŪVNIECĪBA NORIS DAUDZUS GADUS</w:t>
      </w:r>
    </w:p>
    <w:p w14:paraId="218E232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E853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Militāros aktīvus, kuru būvniecība noris daudzus gadus, piemēram, lielos kuģus vai zemūdenes, traktē kā pamatlīdzekļus. Šajā saistībā nav iemesla piemērot īpašus noteikumus, kas atšķirtos no EKS 2010 noteikumiem attiecībā uz pamatlīdzekļiem. EKS 2010 vispārīgais noteikums attiecībā uz pamatlīdzekļu būvniecību paredz to, ka nepabeigtas preces ir daļa no darba procesa, kas tiek ierakstīts ražotāja krājumos un ko samazina, kad ražošanas process ir pabeigts un ekonomiskās īpašumtiesības nodotas klientiem (skat. EKS 2010 3.148. punktu).</w:t>
      </w:r>
    </w:p>
    <w:p w14:paraId="3FD3AED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6E853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Izņēmums ir “nepabeigtās struktūras” (ēkas un citi nekustamie aktīvi, kas nav mājokļi), kas iegūtas, pamatojoties uz iepriekš noslēgtu pārdošanas līgumu. Tās ir jātraktē kā pircēja bruto pamatkapitāla veidošana. Pamatojums šādam risinājumam ir tas, ka pircējs ir apņēmies pārņemt struktūru ar nosacījumu, ka tā atbilst prasītajai specifikācijai. Šajā gadījumā tiek pieņemts, ka īpašumtiesības tiek nodotas pakāpeniski. Praksē bruto pamatkapitāla veidošana tiktu ierakstīta atbilstīgi starpposma maksājumiem, vai, ja tādu nav, tad atbilstīgi citiem rādītājiem, piemēram, atbilstīgi izmaksām, kuras radušās būvētājam attiecīgajā gadā. Pamatojums ir tas, ka pastāv </w:t>
      </w:r>
      <w:r w:rsidRPr="00B03B51">
        <w:rPr>
          <w:rFonts w:ascii="Times New Roman" w:hAnsi="Times New Roman" w:cs="Times New Roman"/>
          <w:sz w:val="24"/>
        </w:rPr>
        <w:lastRenderedPageBreak/>
        <w:t>augsta varbūtība, ka pasūtītāja vienība iegādāsies šo struktūru.</w:t>
      </w:r>
    </w:p>
    <w:p w14:paraId="09D5D2E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B08618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13. Iepriekš minētais noteikums netiek piemērots attiecībā uz “nepabeigtiem citiem pamatlīdzekļiem”. EKS 2010 3.148. punktā kā piemērs ir minēti kuģi. Līdz ar to tas neparedz nekādu izņēmumu attiecībā uz militāro aprīkojumu, kas ierakstīts kā aktīvi. Šajā gadījumā nepabeigtie produkti tiek ierakstīti tā ražotāja krājumos līdz brīdim, kad tie tiek nodoti pircējam. Šādos apstākļos militārais aprīkojums tiktu ierakstīts īpašumtiesību nodošanas laikā, pamatojoties uz piegādi, tāpat kā jebkurš cits pamatlīdzeklis, attiecībā uz kuru netiek piemērots izņēmums.</w:t>
      </w:r>
      <w:r w:rsidRPr="00B03B51">
        <w:rPr>
          <w:rStyle w:val="FootnoteReference"/>
          <w:rFonts w:ascii="Times New Roman" w:hAnsi="Times New Roman" w:cs="Times New Roman"/>
          <w:noProof/>
          <w:sz w:val="24"/>
        </w:rPr>
        <w:footnoteReference w:id="134"/>
      </w:r>
    </w:p>
    <w:p w14:paraId="3B932734" w14:textId="77777777" w:rsidR="00994F93" w:rsidRPr="00453D55" w:rsidRDefault="00994F93" w:rsidP="00453D55">
      <w:pPr>
        <w:rPr>
          <w:rFonts w:ascii="Times New Roman" w:hAnsi="Times New Roman" w:cs="Times New Roman"/>
          <w:noProof/>
          <w:sz w:val="24"/>
          <w:szCs w:val="24"/>
        </w:rPr>
      </w:pPr>
      <w:bookmarkStart w:id="159" w:name="2.5.2.5_The_treatment_of_leases_relating"/>
      <w:bookmarkEnd w:id="159"/>
    </w:p>
    <w:p w14:paraId="1753CCBC"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2.5.2.5. MILITĀRĀ APRĪKOJUMA NOMAS TRAKTĒJUMS</w:t>
      </w:r>
    </w:p>
    <w:p w14:paraId="04E20FC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F842A1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Daži militārā aprīkojuma ražotāji (dažkārt pēc valdības ierosmes) piedāvā līgumus, ar kuriem aprīkojums tiek iznomāts. Dažās ES dalībvalstīs šāda prakse tiek piemērota attiecībā uz iznīcinātājiem. Rodas jautājums, vai nacionālajos kontos šāda noma jāuzskata par finanšu nomu vai operatīvo nomu.</w:t>
      </w:r>
    </w:p>
    <w:p w14:paraId="3C4EDA2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8137C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Uzskatāms, ka militārā aprīkojuma noma ir finanšu noma, un tāpēc tā jāieraksta kā aprīkojuma ekonomiskā iegāde, ko veic valdība (kā nomnieks), uzņemoties atbilstošas saistības pret iznomātāju atbilstīgi tam, kā noteikts EKS 2010 20.192. punktā.</w:t>
      </w:r>
    </w:p>
    <w:p w14:paraId="5EA024D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B33B5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Līdz ar to valdības neto aizdevums/aizņēmums (B.9) tiek ietekmēts brīdī, kad preces nodod militāro iestāžu rīcībā saskaņā ar turpmāk aprakstītajiem nosacījumiem, nevis ar nomu saistīto maksājumu veikšanas brīdī. Tā kā atbilstošās saistības ir nosacītais aizdevums, tad tajā pašā brīdī tiek ietekmēts arī valdības parāds. Tiek uzskatīts, ka maksājumi tiek veikti par parāda apkalpošanu un nosacītā aizdevuma sadalīšanu procentos un pamatsummas maksājumos.</w:t>
      </w:r>
    </w:p>
    <w:p w14:paraId="36F7E7D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F85491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Daži nomas līgumi attiecas uz civilo aprīkojumu, ko var izmantot arī militāro darbību atbalstam, iespējams, ātri pievienojot vieglus tehniskos instrumentus. Piemēri ir liduzpildes gaisa kuģi un gaisa kravas. Bieži vien tos nav iespējams nošķirt no līdzīgajiem aktīviem, kurus izmanto civilās vienības. Tos var traktēt kā operatīvo nomu tikai tad, ja ir pierādījumi, kas apliecina to, ka aprīkojums lielākoties tiks izmantots vienīgi civilām vajadzībām. Tomēr, ja iekārtu pastāvīgi izmanto vienīgi militārie spēki, tā ir jāieraksta kā finanšu noma. Piemēram, ja noteikts flotes vienību daudzums pastāvīgi atrodas vienīgi bruņoto spēku rīcībā (kas tās pilnīgi izmanto pēc saviem ieskatiem) un tās skar apdraudējums, kad, piemēram, tās tiek izmantotas galvenokārt militārajās misijās (iznīcinātāju liduzpilde, karaspēka transportēšana uz karadarbības zonām). Šis noteikums attiecas arī uz transportlīdzekļiem un sakaru iekārtām (tostarp satelītiem), kuras var izmantot civiliem mērķiem.</w:t>
      </w:r>
    </w:p>
    <w:p w14:paraId="1752D7F9" w14:textId="77777777" w:rsidR="00994F93" w:rsidRPr="00B03B51" w:rsidRDefault="00994F93" w:rsidP="00994F93">
      <w:pPr>
        <w:jc w:val="both"/>
        <w:rPr>
          <w:rFonts w:ascii="Times New Roman" w:eastAsia="Arial" w:hAnsi="Times New Roman" w:cs="Times New Roman"/>
          <w:noProof/>
          <w:sz w:val="24"/>
          <w:szCs w:val="15"/>
        </w:rPr>
      </w:pPr>
    </w:p>
    <w:p w14:paraId="6034174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60" w:name="2.5.2.6_Recording_of_military_research_a"/>
      <w:bookmarkEnd w:id="160"/>
      <w:r w:rsidRPr="00B03B51">
        <w:rPr>
          <w:rFonts w:ascii="Times New Roman" w:hAnsi="Times New Roman" w:cs="Times New Roman"/>
          <w:sz w:val="24"/>
        </w:rPr>
        <w:t>2.5.2.6. MILITĀRĀS PĒTNIECĪBAS UN IZSTRĀDES IERAKSTĪŠANA</w:t>
      </w:r>
    </w:p>
    <w:p w14:paraId="496E55B0" w14:textId="77777777" w:rsidR="00994F93" w:rsidRPr="00B03B51" w:rsidRDefault="00994F93" w:rsidP="00994F93">
      <w:pPr>
        <w:tabs>
          <w:tab w:val="left" w:pos="843"/>
        </w:tabs>
        <w:jc w:val="both"/>
        <w:rPr>
          <w:rFonts w:ascii="Times New Roman" w:eastAsia="Arial" w:hAnsi="Times New Roman" w:cs="Times New Roman"/>
          <w:noProof/>
          <w:sz w:val="24"/>
          <w:szCs w:val="19"/>
        </w:rPr>
      </w:pPr>
    </w:p>
    <w:p w14:paraId="28DA18AE"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18. EKS 2010 ir veikti būtiski grozījumi salīdzinājumā ar iepriekšējām redakcijām attiecībā uz pētniecību un izstrādi (P&amp;I). EKS 2010 3.127. punktā ir norādīts, ka P&amp;I ir bruto pamatkapitāla veidošana, </w:t>
      </w:r>
      <w:r w:rsidRPr="00B03B51">
        <w:rPr>
          <w:rFonts w:ascii="Times New Roman" w:hAnsi="Times New Roman" w:cs="Times New Roman"/>
          <w:i/>
          <w:iCs/>
          <w:sz w:val="24"/>
          <w:szCs w:val="19"/>
        </w:rPr>
        <w:t>(..) ieskaitot brīvi pieejamo pētniecību un izstrādi</w:t>
      </w:r>
      <w:r w:rsidRPr="00B03B51">
        <w:rPr>
          <w:rFonts w:ascii="Times New Roman" w:hAnsi="Times New Roman" w:cs="Times New Roman"/>
          <w:sz w:val="24"/>
          <w:szCs w:val="19"/>
        </w:rPr>
        <w:t xml:space="preserve">. Tomēr EKS 2010 (7. nodaļā un </w:t>
      </w:r>
      <w:r w:rsidRPr="00B03B51">
        <w:rPr>
          <w:rFonts w:ascii="Times New Roman" w:hAnsi="Times New Roman" w:cs="Times New Roman"/>
          <w:sz w:val="24"/>
          <w:szCs w:val="19"/>
        </w:rPr>
        <w:lastRenderedPageBreak/>
        <w:t xml:space="preserve">7.1. pielikumā) ir norādīts, ka: </w:t>
      </w:r>
      <w:r w:rsidRPr="00B03B51">
        <w:rPr>
          <w:rFonts w:ascii="Times New Roman" w:hAnsi="Times New Roman" w:cs="Times New Roman"/>
          <w:i/>
          <w:iCs/>
          <w:sz w:val="24"/>
          <w:szCs w:val="19"/>
        </w:rPr>
        <w:t>Pētniecību un izstrādi, no kā īpašnieks negūst labumu, neklasificē kā aktīvu, bet ieraksta kā starppatēriņu</w:t>
      </w:r>
      <w:r w:rsidRPr="00B03B51">
        <w:rPr>
          <w:rFonts w:ascii="Times New Roman" w:hAnsi="Times New Roman" w:cs="Times New Roman"/>
          <w:sz w:val="24"/>
          <w:szCs w:val="19"/>
        </w:rPr>
        <w:t>. Tāpēc jautājums ir par to, vai valdība gūst labumu no pētniecības un izstrādes izdevumiem, ko tā veic militārajām vajadzībām. Tas tā varētu būt saistībā ar “novatoriska” aprīkojuma vai ieroču sistēmu pētniecību un izstrādi, jo īpaši programmas sākuma posmos, kas pēc tam var tikt apturēta. Katrs šāds gadījums ir jāanalizē atsevišķi.</w:t>
      </w:r>
    </w:p>
    <w:p w14:paraId="51F1999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C9DE9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Ja P&amp;I tiek īstenota neatkarīgi no gala produkta vai to nav paredzēts atlīdzināt gadījumā, ja netiek iegūti “apmierinoši rezultāti” un tā faktiski nav saistīta ar kādu īpašu piegādājamu militāru aprīkojumu, atbilstīgos izdevumus ieraksta, kad tiek īstenots pētniecības un izstrādes darbs.</w:t>
      </w:r>
      <w:r w:rsidRPr="00B03B51">
        <w:rPr>
          <w:rStyle w:val="FootnoteReference"/>
          <w:rFonts w:ascii="Times New Roman" w:hAnsi="Times New Roman" w:cs="Times New Roman"/>
          <w:noProof/>
          <w:sz w:val="24"/>
        </w:rPr>
        <w:footnoteReference w:id="135"/>
      </w:r>
      <w:r w:rsidRPr="00B03B51">
        <w:rPr>
          <w:rFonts w:ascii="Times New Roman" w:hAnsi="Times New Roman" w:cs="Times New Roman"/>
          <w:sz w:val="24"/>
        </w:rPr>
        <w:t xml:space="preserve"> Kas attiecas uz ierakstīšanu bruto ieguldījumos pamatkapitālā, jānošķir vairāki gadījumi.</w:t>
      </w:r>
    </w:p>
    <w:p w14:paraId="110773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5F2ADD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Ja P&amp;I izdevumi nav saistīti ar iekārtas ražošanu</w:t>
      </w:r>
      <w:r w:rsidRPr="00B03B51">
        <w:rPr>
          <w:rStyle w:val="FootnoteReference"/>
          <w:rFonts w:ascii="Times New Roman" w:hAnsi="Times New Roman" w:cs="Times New Roman"/>
          <w:noProof/>
          <w:sz w:val="24"/>
        </w:rPr>
        <w:footnoteReference w:id="136"/>
      </w:r>
      <w:r w:rsidRPr="00B03B51">
        <w:rPr>
          <w:rFonts w:ascii="Times New Roman" w:hAnsi="Times New Roman" w:cs="Times New Roman"/>
          <w:sz w:val="24"/>
        </w:rPr>
        <w:t>, vismaz ne šajā pētniecības posmā:</w:t>
      </w:r>
    </w:p>
    <w:p w14:paraId="2A0391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5FF515A"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nu pastāv pierādījumi tam, ka labumu “piesavinājusies” valdība (kas, iespējams, ir vienīgā labuma guvēja no pētniecības rezultātiem), vai ka šie rezultāti “altruistiski” darīti brīvi pieejami jebkurai citai vienībai (kas ir maz ticams gadījumā, ja P&amp;I pasākums ir ar augstu konfidencialitātes pakāpi); uzskata, ka izdevumi ir bruto pamatkapitāla veidošana intelektuālā īpašuma produktos (AN.117), un to ieraksta laikā, kad tiek veikts maksājums;</w:t>
      </w:r>
    </w:p>
    <w:p w14:paraId="0EE0DEE3" w14:textId="77777777" w:rsidR="00994F93" w:rsidRPr="00B03B51" w:rsidRDefault="00994F93" w:rsidP="00E761B2">
      <w:pPr>
        <w:pStyle w:val="BodyText"/>
        <w:numPr>
          <w:ilvl w:val="1"/>
          <w:numId w:val="1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arī iespējamo labumu no valdības finansētas P&amp;I pilnīgi un ekskluzīvi pārņem vienība, kas uzņēmusies šo P&amp;I (iespējamo “blakusproduktu” veidā saistībā ar citiem saviem produktiem vai ar patentu starpniecību); tā kā maksājošā valdība labumu negūst, izdevumi valdības kontos jāieraksta kā ieguldījumu dotācija (D.92), jo rezultātā intelektuālā īpašuma produktus (AN.117) maksājuma veikšanas brīdī iegūst vienība, kas uzņēmusies P&amp;I.</w:t>
      </w:r>
    </w:p>
    <w:p w14:paraId="63D361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F46328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Citos gadījumos visi P&amp;I izdevumi vai to daļa (skaidri identificēta) ir cieši saistīta ar līgumu, kas paredz noteikta identisku militārā aprīkojuma vienību daudzuma ražošanu, pamatojoties uz militārā aprīkojuma galīgo pasūtījumu (pat ja tas, iespējams, ir pārskatīts). Šajā gadījumā atbilstošie izdevumi ir jāattiecina uz piegādājamajiem aktīviem un jāieraksta vēlāk. Ja valdība par P&amp;I maksā citā laikā, nevis iekārtas piegādes brīdī, šī starpība ir jāuzskaita kā aizdevums (AF.42) ilgtermiņa līgumu gadījumā vai kā tirdzniecības kredīti un avansi (AF.81) īstermiņa līgumu gadījumā.</w:t>
      </w:r>
      <w:r w:rsidRPr="00B03B51">
        <w:rPr>
          <w:rStyle w:val="FootnoteReference"/>
          <w:rFonts w:ascii="Times New Roman" w:hAnsi="Times New Roman" w:cs="Times New Roman"/>
          <w:noProof/>
          <w:sz w:val="24"/>
        </w:rPr>
        <w:footnoteReference w:id="137"/>
      </w:r>
      <w:r w:rsidRPr="00B03B51">
        <w:rPr>
          <w:rFonts w:ascii="Times New Roman" w:hAnsi="Times New Roman" w:cs="Times New Roman"/>
          <w:sz w:val="24"/>
        </w:rPr>
        <w:t xml:space="preserve"> Katras atsevišķas aprīkojuma vienības piegādes laikā atbilstoša AF.42/AF.81 daļa tiek pārnesta uz valdības iegūtā ieroču sistēmu aktīva (AN.114) vērtību.</w:t>
      </w:r>
      <w:r w:rsidRPr="00B03B51">
        <w:rPr>
          <w:rStyle w:val="FootnoteReference"/>
          <w:rFonts w:ascii="Times New Roman" w:hAnsi="Times New Roman" w:cs="Times New Roman"/>
          <w:noProof/>
          <w:sz w:val="24"/>
        </w:rPr>
        <w:footnoteReference w:id="138"/>
      </w:r>
    </w:p>
    <w:p w14:paraId="030D6F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573223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Ja sākotnējā līgumā tika noteikts, ka kāda šo P&amp;I izdevumu daļa netiks iekļauta līgumu rūpniecības posmā piegādājamo atsevišķo vienību cenās, šī daļa jāieraksta kā bruto pamatkapitāla veidošana intelektuālā īpašuma produktos (AN.117).</w:t>
      </w:r>
    </w:p>
    <w:p w14:paraId="1CF4FBB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D6880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Var gadīties, ka P&amp;I faktiski ir saistīta ar turpmākā militārā aprīkojuma nodrošināšanu, taču attiecas uz vairākiem dažādiem projektiem, kas nav atsevišķi identificēti publiskajos kontos, tādējādi nav iespējams izveidot tiešu saikni starp militāro ražojumu piegādēm un attiecīgo P&amp;I. Šajā gadījumā P&amp;I izdevumus varētu ierakstīt kā bruto pamatkapitāla veidošanu pēc uzkrājuma principa.</w:t>
      </w:r>
    </w:p>
    <w:p w14:paraId="2D0383E0" w14:textId="77777777" w:rsidR="00994F93" w:rsidRPr="00B03B51" w:rsidRDefault="00994F93" w:rsidP="00994F93">
      <w:pPr>
        <w:jc w:val="both"/>
        <w:rPr>
          <w:rFonts w:ascii="Times New Roman" w:eastAsia="Arial" w:hAnsi="Times New Roman" w:cs="Times New Roman"/>
          <w:noProof/>
          <w:sz w:val="24"/>
          <w:szCs w:val="19"/>
        </w:rPr>
      </w:pPr>
    </w:p>
    <w:p w14:paraId="7AE6F639" w14:textId="445E0DA8" w:rsidR="00994F93" w:rsidRPr="00B03B51" w:rsidRDefault="00453D55" w:rsidP="00994F93">
      <w:pPr>
        <w:pStyle w:val="Heading3"/>
        <w:tabs>
          <w:tab w:val="left" w:pos="1267"/>
        </w:tabs>
        <w:ind w:left="0" w:firstLine="0"/>
        <w:jc w:val="both"/>
        <w:rPr>
          <w:rFonts w:ascii="Times New Roman" w:hAnsi="Times New Roman" w:cs="Times New Roman"/>
          <w:noProof/>
          <w:sz w:val="24"/>
        </w:rPr>
      </w:pPr>
      <w:bookmarkStart w:id="161" w:name="2.5.3_Rationale_of_the_treatment"/>
      <w:bookmarkStart w:id="162" w:name="_Toc67565071"/>
      <w:bookmarkEnd w:id="161"/>
      <w:r>
        <w:rPr>
          <w:rFonts w:ascii="Times New Roman" w:hAnsi="Times New Roman" w:cs="Times New Roman"/>
          <w:sz w:val="24"/>
        </w:rPr>
        <w:t>2</w:t>
      </w:r>
      <w:r w:rsidR="00994F93" w:rsidRPr="00B03B51">
        <w:rPr>
          <w:rFonts w:ascii="Times New Roman" w:hAnsi="Times New Roman" w:cs="Times New Roman"/>
          <w:sz w:val="24"/>
        </w:rPr>
        <w:t>.5.</w:t>
      </w:r>
      <w:r>
        <w:rPr>
          <w:rFonts w:ascii="Times New Roman" w:hAnsi="Times New Roman" w:cs="Times New Roman"/>
          <w:sz w:val="24"/>
        </w:rPr>
        <w:t>3</w:t>
      </w:r>
      <w:r w:rsidR="00994F93" w:rsidRPr="00B03B51">
        <w:rPr>
          <w:rFonts w:ascii="Times New Roman" w:hAnsi="Times New Roman" w:cs="Times New Roman"/>
          <w:sz w:val="24"/>
        </w:rPr>
        <w:t>. Traktējuma pamatojums</w:t>
      </w:r>
      <w:bookmarkEnd w:id="162"/>
    </w:p>
    <w:p w14:paraId="0980DE59" w14:textId="77777777" w:rsidR="00994F93" w:rsidRPr="00453D55" w:rsidRDefault="00994F93" w:rsidP="00453D55">
      <w:pPr>
        <w:rPr>
          <w:rFonts w:ascii="Times New Roman" w:hAnsi="Times New Roman" w:cs="Times New Roman"/>
          <w:noProof/>
          <w:sz w:val="24"/>
          <w:szCs w:val="24"/>
        </w:rPr>
      </w:pPr>
      <w:bookmarkStart w:id="163" w:name="2.5.3.1_The_time_of_recording_of_militar"/>
      <w:bookmarkEnd w:id="163"/>
    </w:p>
    <w:p w14:paraId="2FDEB6B4" w14:textId="77777777" w:rsidR="00994F93" w:rsidRPr="00B03B51" w:rsidRDefault="00994F93" w:rsidP="00994F93">
      <w:pPr>
        <w:pStyle w:val="Heading6"/>
        <w:tabs>
          <w:tab w:val="left" w:pos="1267"/>
          <w:tab w:val="left" w:pos="1914"/>
          <w:tab w:val="left" w:pos="2645"/>
          <w:tab w:val="left" w:pos="3158"/>
          <w:tab w:val="left" w:pos="4711"/>
          <w:tab w:val="left" w:pos="5224"/>
          <w:tab w:val="left" w:pos="6467"/>
          <w:tab w:val="left" w:pos="7983"/>
        </w:tabs>
        <w:ind w:left="0" w:firstLine="0"/>
        <w:jc w:val="both"/>
        <w:rPr>
          <w:rFonts w:ascii="Times New Roman" w:hAnsi="Times New Roman" w:cs="Times New Roman"/>
          <w:noProof/>
          <w:sz w:val="24"/>
        </w:rPr>
      </w:pPr>
      <w:r w:rsidRPr="00B03B51">
        <w:rPr>
          <w:rFonts w:ascii="Times New Roman" w:hAnsi="Times New Roman" w:cs="Times New Roman"/>
          <w:sz w:val="24"/>
        </w:rPr>
        <w:t>2.5.3.1. IZDEVUMU MILITĀRAJAM APRĪKOJUMAM IERAKSTĪŠANAS LAIKS: VISPĀRĪGS NOTEIKUMS</w:t>
      </w:r>
    </w:p>
    <w:p w14:paraId="0E13DD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B37775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Principā nacionālajos kontos pieņem, ka preču iegādes ierakstīšanas laiks ir laiks, kad notikusi ekonomisko īpašumtiesību maiņa. Saistībā ar militārā aprīkojuma ilgtermiņa līgumiem ir iespējami vairāki notikumi, kas var atbilst īpašumtiesību maiņai, piemēram, līguma parakstīšanas laiks (ņemot vērā augsto varbūtību, ka valdība visbeidzot pieņems aprīkojuma piegādi vai vismaz nodrošinās finansējumu atbilstīgo pētniecības un izstrādes izmaksu segšanai), norādītais piegādes laiks, skaidras naudas maksājuma veikšanas laiks vai laiks, kad izpildītas līguma saistības (kad par aprīkojumu atbildību uzņemas bruņotie spēki).</w:t>
      </w:r>
    </w:p>
    <w:p w14:paraId="09EA354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0B85A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25. Dažos atsevišķos gadījumos EKS 2010 paredz, ka izdevumus ieraksta pirms preču piegādes pabeigšanas, piemēram, attiecībā uz būvniecības projektiem saskaņā ar iepriekš saskaņotu pārdošanas līgumu, kā arī būvniecībā, kas tiek veikta par pašu līdzekļiem. Attiecībā uz “Mašīnām un iekārtām” (AN.113) ierakstīšanas laiks ir īpašumtiesību maiņas laiks, kas ekonomiskā izpratnē ir piegāde (var atšķirties no “fiziskās piegādes” laika), un ietver arī tos gadījumus, kad produkcija tiek sadalīta pa vairākiem uzskaites periodiem. Tas, ka militārais aprīkojums saskaņā ar definīciju ir aktīvu kategorija </w:t>
      </w:r>
      <w:r w:rsidRPr="00B03B51">
        <w:rPr>
          <w:rFonts w:ascii="Times New Roman" w:hAnsi="Times New Roman" w:cs="Times New Roman"/>
          <w:i/>
          <w:iCs/>
          <w:sz w:val="24"/>
        </w:rPr>
        <w:t>sui generis</w:t>
      </w:r>
      <w:r w:rsidRPr="00B03B51">
        <w:rPr>
          <w:rFonts w:ascii="Times New Roman" w:hAnsi="Times New Roman" w:cs="Times New Roman"/>
          <w:sz w:val="24"/>
        </w:rPr>
        <w:t>, kas klasificēta kā ieroču sistēmas (AN.114), ar augstu specifiku, un pārliecība par to, ka pasūtītāja valdības vienība faktiski pārņems šo aprīkojumu, nozīmē, ka izstrādes procesā esošo aprīkojumu nedrīkst uzskatīt par piegādātu valdībai pirms tā pilnīgas pabeigšanas.</w:t>
      </w:r>
    </w:p>
    <w:p w14:paraId="4A12C70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D6A71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Priekšmaksājumi par militārā aprīkojuma un citu preču piegādēm (kas var daļēji segt ar programmu saistītās P&amp;I izmaksas) ir jāieraksta kā finanšu darījumi (attiecīgi kā aizdevumi (F.42) vai kā finanšu avansi (AF.81), valdības aktīvs, atkarībā no tā, vai ir ilgtermiņa vai īstermiņa līgums), savukārt sekojošās piegādes ieraksta kā izdevumus ar pretējo finanšu darījumu, ar kuru tiek mazināts valdības finanšu aktīvs.</w:t>
      </w:r>
    </w:p>
    <w:p w14:paraId="079D5F0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5466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Ja maksājumus veic pēc militārā aprīkojuma piegādes, valdības izdevumus ieraksta militārā aprīkojuma piegādes laikā un saskaņo ar finanšu darījumu (F.42 vai F.81 valdības saistības, atkarībā no tā, vai ir ilgtermiņa vai īstermiņa līgums). Kad vēlāk tiek veikts norēķins skaidrā naudā, tas tiek ierakstīts kā finanšu darījumi (t. i., viens skaidrā naudā un viens, ar ko tiek mazinātas valdības saistības).</w:t>
      </w:r>
    </w:p>
    <w:p w14:paraId="2FF830E5" w14:textId="77777777" w:rsidR="00994F93" w:rsidRPr="00B03B51" w:rsidRDefault="00994F93" w:rsidP="00994F93">
      <w:pPr>
        <w:jc w:val="both"/>
        <w:rPr>
          <w:rFonts w:ascii="Times New Roman" w:eastAsia="Arial" w:hAnsi="Times New Roman" w:cs="Times New Roman"/>
          <w:noProof/>
          <w:sz w:val="24"/>
          <w:szCs w:val="15"/>
        </w:rPr>
      </w:pPr>
    </w:p>
    <w:p w14:paraId="5F788F0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64" w:name="2.5.3.2_Time_of_recording_of_government_"/>
      <w:bookmarkEnd w:id="164"/>
      <w:r w:rsidRPr="00B03B51">
        <w:rPr>
          <w:rFonts w:ascii="Times New Roman" w:hAnsi="Times New Roman" w:cs="Times New Roman"/>
          <w:sz w:val="24"/>
        </w:rPr>
        <w:t>2.5.3.2. VALDĪBAS IZDEVUMU PAR MILITĀRO APRĪKOJUMU IERAKSTĪŠANAS LAIKS SAISTĪBĀ AR ILGTERMIŅA LĪGUMIEM</w:t>
      </w:r>
    </w:p>
    <w:p w14:paraId="2F1468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CF0FFA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Līgumos bieži paredzēta līdzīgu ražojumu pakāpeniska piegāde daudzu gadu laikā. Kā piemēru var minēt iznīcinātājus, kurus piegādā partijās noteiktā laika posmā, vai karakuģu sēriju, ko piegādā vairāku gadu laikā.</w:t>
      </w:r>
    </w:p>
    <w:p w14:paraId="048C62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A47D3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29. Uzkrāšanas noteikuma piemērošana attiecībā uz militāro preču iegādes ierakstīšanu nozīmē </w:t>
      </w:r>
      <w:r w:rsidRPr="00B03B51">
        <w:rPr>
          <w:rFonts w:ascii="Times New Roman" w:hAnsi="Times New Roman" w:cs="Times New Roman"/>
          <w:sz w:val="24"/>
        </w:rPr>
        <w:lastRenderedPageBreak/>
        <w:t>to, ka šādas pakāpeniskas piegādes jāieraksta kā valdības bruto pamatkapitāla veidošana, tiklīdz tas rodas. Standarta analītiskās uzskaites metodēm jānodrošina iespēja noskaidrot daļējo piegāžu vērtību. Konfidencialitāte nav svarīgākais jautājums, jo nacionālo kontu datos netiek precīzi atklāta aprīkojuma būtība. Tādējādi valdības neto aizdevums/aizņēmums (B.9) netiek ietekmēts līguma saistību izpildes vai maksājuma veikšanas brīdī, bet gan atbilstoši piegāžu shēmai. Pamatojums ir tas, ka katra detaļa (vai kopā piegādātu detaļu komplekts) ir jāvērtē atsevišķi attiecībā uz riskiem un priekšrocībām, kuras ir ar to saistītas.</w:t>
      </w:r>
    </w:p>
    <w:p w14:paraId="79638A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AC0934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Sarežģīta militārā aprīkojuma piegāde bieži ir saistīta ar apmācības un saistīto pakalpojumu nodrošināšanu. Tā kā īpašu augsto tehnoloģiju iekārtu tehniskajai apkopei ir nepieciešamas īpašas prasmes, arvien biežāk piegādātājuzņēmumi tiek cieši sasaistīti ar šiem uzdevumiem, bieži vien saskaņā ar vienu līgumu, kas paredz gan iekārtas piegādi, gan tās turpmāko tehnisko apkopi. Uzkrāšanas princips nozīmē, ka valdības izdevumi par pakalpojumiem ir jāuzskaita tad, kad tie ir reāli sniegti un ierakstīti starppatēriņā. Standarta analītiskās uzskaites paņēmieni ļauj arī sadalīt ar sniegtajiem pakalpojumiem saistītos izdevumus pa visu laika posmu, būtiskajai informācijai, visticamāk, esot pieejamai līgumā.</w:t>
      </w:r>
    </w:p>
    <w:p w14:paraId="48E04971" w14:textId="77777777" w:rsidR="00994F93" w:rsidRPr="00B03B51" w:rsidRDefault="00994F93" w:rsidP="00994F93">
      <w:pPr>
        <w:jc w:val="both"/>
        <w:rPr>
          <w:rFonts w:ascii="Times New Roman" w:hAnsi="Times New Roman" w:cs="Times New Roman"/>
          <w:noProof/>
          <w:sz w:val="24"/>
        </w:rPr>
      </w:pPr>
    </w:p>
    <w:p w14:paraId="5F6E44B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Kompleksu sistēmu gadījumā pēc piegādes nereti ir jāveic noteikti pasākumi, lai sagatavotu aprīkojumu ekspluatācijai. Militārajam aprīkojumam parasti nepieciešama īpaša sagatavošana, tostarp papildu detaļas. Piegādātais aprīkojums var nebūt pilnīgi gatavs ekspluatācijai, kamēr nav pabeigts vai samontēts kāds cits aprīkojums (piemēram, elektroniskās ieroču sistēmas).</w:t>
      </w:r>
    </w:p>
    <w:p w14:paraId="245045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67E923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Dažas militārās programmas, kurām ir piešķirtas ievērojamas naudas summas, ir saistītas ar vairāku veidu komponentu apvienošanu, kurus var pabeigt atšķirīgos termiņos, sadalot izdevumus pa vairākiem finanšu gadiem pirms sistēmas pilnīgas nodošanas ekspluatācijā. Šajā saistībā rodas jautājums, vai uzdevumi, kas veicami pēc piegādes, ietilpst iestāžu/bruņoto spēku atbildībā vai tomēr piegādātāju atbildībā.</w:t>
      </w:r>
    </w:p>
    <w:p w14:paraId="30BCA8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091FE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Ja pēc piegādes veicamie uzdevumi pilnīgi ietilpst piegādātāja atbildībā, tas nozīmē, ka piegādātājs vēl nav izpildījis līgumā noteiktos pienākumus, un aprīkojuma piegādi ieraksta tikai tajā brīdī, kad šie pienākumi ir izpildīti.</w:t>
      </w:r>
    </w:p>
    <w:p w14:paraId="0BE99E8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C7250A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Ja pilnu atbildību par visiem šiem uzdevumiem (un jo īpaši par to izpildes grafiku) uzņemas valdības iestādes/ bruņotie spēki, tiek pieņemts, ka komponentu piegādātājs ir izpildījis savas līgumsaistības. Līdz ar to preču piegādes ierakstīšanas laiks nav brīdis, kad tiek pilnīgi izpildītas visas līgumsaistības, un to nosaka atbilstoši piegādei vai, iespējams, atbilstoši īpašumtiesību pakāpeniskai nodošanai.</w:t>
      </w:r>
    </w:p>
    <w:p w14:paraId="688D847D" w14:textId="77777777" w:rsidR="00994F93" w:rsidRPr="00B03B51" w:rsidRDefault="00994F93" w:rsidP="00994F93">
      <w:pPr>
        <w:jc w:val="both"/>
        <w:rPr>
          <w:rFonts w:ascii="Times New Roman" w:eastAsia="Arial" w:hAnsi="Times New Roman" w:cs="Times New Roman"/>
          <w:noProof/>
          <w:sz w:val="24"/>
          <w:szCs w:val="15"/>
        </w:rPr>
      </w:pPr>
    </w:p>
    <w:p w14:paraId="18209D7C"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65" w:name="2.5.3.3_The_treatment_of_leases_relating"/>
      <w:bookmarkEnd w:id="165"/>
      <w:r w:rsidRPr="00B03B51">
        <w:rPr>
          <w:rFonts w:ascii="Times New Roman" w:hAnsi="Times New Roman" w:cs="Times New Roman"/>
          <w:sz w:val="24"/>
        </w:rPr>
        <w:t>2.5.3.3. AR MILITĀRAJĀM PRECĒM SAISTĪTĀS NOMAS TRAKTĒJUMS</w:t>
      </w:r>
    </w:p>
    <w:p w14:paraId="36464B0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1B83E9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Tā vietā, lai militāro aprīkojumu iegādātos, to var nomāt. Tam, vai līgumā noma ir nodēvēta par operatīvo nomu vai finanšu nomu, nav būtiskas nozīmes. Rodas jautājums par šādas nomas pareizu klasifikāciju nacionālajos kontos.</w:t>
      </w:r>
    </w:p>
    <w:p w14:paraId="5446809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FC041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Jāatgādina, ka tas, vai nacionālajos kontos noma tiks klasificēta kā finanšu noma vai operatīvā noma, ir atkarīgs galvenokārt no riska nodošanas (EKS 2010 15.05. punkts), un klasifikācija nav atkarīga no līgumā lietotās juridiskās terminoloģijas.</w:t>
      </w:r>
    </w:p>
    <w:p w14:paraId="7DA095F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4A7193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Viens jautājums ir par to, vai operatīvo nomu vai finanšu nomu ir iespējams ierakstīt attiecībā uz preci, kas saskaņā ar EKS 2010 nav pamatlīdzeklis. Atbilde ir tāda, ka nacionālajos kontos var ierakstīt abas nomas neatkarīgi no tā, vai prece ir ekonomiskais aktīvs. Piemēram, </w:t>
      </w:r>
      <w:r w:rsidRPr="00B03B51">
        <w:rPr>
          <w:rFonts w:ascii="Times New Roman" w:hAnsi="Times New Roman" w:cs="Times New Roman"/>
          <w:sz w:val="24"/>
        </w:rPr>
        <w:lastRenderedPageBreak/>
        <w:t>nacionālo kontu sistēmā automobiļus pieņemts neuzskatīt par mājsaimniecību ekonomiskajiem aktīviem, taču finanšu noma attiecībā uz automobiļiem ir plaši izplatīta un tiek šādi ierakstīta.</w:t>
      </w:r>
    </w:p>
    <w:p w14:paraId="697E90F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8C52F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Militārā aprīkojuma gadījumā riska nodošana, tādējādi nododot arī ekonomiskās īpašumtiesības, notiek, kad bruņotie spēki iegūst aprīkojumu savā īpašumā un sāk pieņemt lēmumus attiecībā uz tā izmantošanu. Tie uzņemsies visus riskus, kuri var būt saistīti ar militārajām misijām.</w:t>
      </w:r>
    </w:p>
    <w:p w14:paraId="1D576B2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DB785F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Militāro misiju īpatnība ir militārā aprīkojuma apzināta pakļaušana riskam, turpretī citās saimnieciskajās darbībās preču pakļaušana riskam parasti netiek pieļauta vai arī tiek veikti pasākumi, lai nodrošinātos pret šādiem riskiem. Militārais aprīkojums pēc būtības ir paredzēts izmantošanai misijās, kurās to visticamāk mēģinās iznīcināt vai samazināt tā darbspēju. Vēl viens jautājums ir saistīts ar šāda aprīkojuma iespējamo ātro nolietošanos, kad tā nomaiņa nepieciešama ātrāk, nekā paredzēts.</w:t>
      </w:r>
    </w:p>
    <w:p w14:paraId="449A84A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DF0E0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Ņemot vērā iepriekš minētos apstākļus, ar militāro aprīkojumu saistītie riski pēc būtības ietilpst valdības iestāžu/militāro spēku atbildībā, un tikai šādas iestādes ir kompetentas lemt par to, vai izmantot šādu aprīkojumu konfliktos un kad to izmantot, tādējādi apzināti pakļaujot preces iespējamiem bojājumiem.</w:t>
      </w:r>
    </w:p>
    <w:p w14:paraId="6629C77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BD6A8A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41. Šajā saistībā visus militārā aprīkojuma nomas līgumus (kas noteikti iepriekš) nacionālajos kontos traktē kā finanšu nomu, pat ja līgumā šāda noma ir dēvēta par operatīvo nomu. Līdz ar to militārā aprīkojuma iegūšanas ierakstīšanas laiks būs brīdis, kad bruņotie spēki uzņemas pilnu atbildību par tā izmantošanu. Saistības, ko nomnieks uzņemas finanšu nomā, nacionālajos kontos ir klasificētas kā aizdevumi (F.4), un līdz ar to ir valdības </w:t>
      </w:r>
      <w:r w:rsidRPr="00B03B51">
        <w:rPr>
          <w:rFonts w:ascii="Times New Roman" w:hAnsi="Times New Roman" w:cs="Times New Roman"/>
          <w:i/>
          <w:iCs/>
          <w:sz w:val="24"/>
        </w:rPr>
        <w:t>(EDP</w:t>
      </w:r>
      <w:r w:rsidRPr="00B03B51">
        <w:rPr>
          <w:rFonts w:ascii="Times New Roman" w:hAnsi="Times New Roman" w:cs="Times New Roman"/>
          <w:sz w:val="24"/>
        </w:rPr>
        <w:t>) parāda komponente, ja nomnieks ir valdība.</w:t>
      </w:r>
    </w:p>
    <w:p w14:paraId="2510E8E2" w14:textId="77777777" w:rsidR="00994F93" w:rsidRPr="00B03B51" w:rsidRDefault="00994F93" w:rsidP="00994F93">
      <w:pPr>
        <w:jc w:val="both"/>
        <w:rPr>
          <w:rFonts w:ascii="Times New Roman" w:eastAsia="Arial" w:hAnsi="Times New Roman" w:cs="Times New Roman"/>
          <w:noProof/>
          <w:sz w:val="24"/>
          <w:szCs w:val="15"/>
        </w:rPr>
      </w:pPr>
    </w:p>
    <w:p w14:paraId="14C2F441"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66" w:name="2.5.3.4_Research_and_development"/>
      <w:bookmarkEnd w:id="166"/>
      <w:r w:rsidRPr="00B03B51">
        <w:rPr>
          <w:rFonts w:ascii="Times New Roman" w:hAnsi="Times New Roman" w:cs="Times New Roman"/>
          <w:sz w:val="24"/>
        </w:rPr>
        <w:t>2.5.3.4. PĒTNIECĪBA UN IZSTRĀDE</w:t>
      </w:r>
    </w:p>
    <w:p w14:paraId="16212666"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0CAE728"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42. Grūtības var rasties gadījumā, ja līgumā ir noteikts, ka izdevumi ir radušies saistībā ar pētniecību un izstrādi iepriekšējos līguma darbības gados, proti, ievērojamu laika posmu pirms faktiskajām piegādēm. Šādā gadījumā ir svarīgi noskaidrot šādu P&amp;I izdevumu būtību.</w:t>
      </w:r>
    </w:p>
    <w:p w14:paraId="5312A3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D1DFB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Ja P&amp;I ir īstenota neatkarīgi no gala produkta (bet var būt izmantota prototipu izstrādē) vai arī finansējums tiek pilnīgi iztērēts (un netiek atlīdzināts nevienā formā) un P&amp;I faktiski nav saistāma vienīgi ar īpašu piegādājamo militāro aprīkojumu, attiecīgos izdevumus tāpat kā jebkuru citu valsts iepirkto P&amp;I darbību ieraksta, kad notiek darbs vai kad valdība veic pārskaitījumu šāda darba finansēšanai. Parasti saskaņā ar EKS 2010 tas tiek ierakstīts kā bruto pamatkapitāla veidošana saistībā ar intelektuālā īpašuma produktiem (AN.117). Ja tomēr skaidrs labums valdībai nav paredzams (tostarp iespēja nodot rezultātus plašākai sabiedrībai) vai ja iespējamie rezultāti nonāktu vienīgi finansējuma saņēmēja rīcībā, izdevumus ieraksta kā starpposma patēriņu, nevis kā bruto pamatkapitāla veidošanu.</w:t>
      </w:r>
    </w:p>
    <w:p w14:paraId="52551DB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661BEB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Dažos gadījumos pētniecība un izstrāde tiek paredzēta līgumā, kurā tiek pasūtīta vismaz pirmā aprīkojuma vienību sērija, neatkarīgi no tā, cik ilgi ilgst pētniecības un izstrādes posms pirms ražošanas posma uzsākšanas. Tā kā P&amp;I tiks iekļauta atsevišķo aprīkojuma vienību cenā, tā jāieraksta kā finanšu avanss, kas piešķirts ieroču sistēmu (AN.114) aktīvu turpmākajām piegādēm. Šis traktējums tiek piemērots vienīgi tad, ja līgumā tiek paredzēti kopējie izdevumi par piegādājamo aprīkojumu, nevis gadījumos, kad aprīkojuma pasūtījums atkarīgs no P&amp;I rezultātiem.</w:t>
      </w:r>
    </w:p>
    <w:p w14:paraId="0EDD2B2D" w14:textId="77777777" w:rsidR="00994F93" w:rsidRPr="00B03B51" w:rsidRDefault="00994F93" w:rsidP="00994F93">
      <w:pPr>
        <w:jc w:val="both"/>
        <w:rPr>
          <w:rFonts w:ascii="Times New Roman" w:eastAsia="Arial" w:hAnsi="Times New Roman" w:cs="Times New Roman"/>
          <w:noProof/>
          <w:sz w:val="24"/>
          <w:szCs w:val="19"/>
        </w:rPr>
      </w:pPr>
    </w:p>
    <w:p w14:paraId="55CE0A87"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67" w:name="2.5.4_Accounting_examples"/>
      <w:bookmarkStart w:id="168" w:name="_Toc67565072"/>
      <w:bookmarkEnd w:id="167"/>
      <w:r w:rsidRPr="00B03B51">
        <w:rPr>
          <w:rFonts w:ascii="Times New Roman" w:hAnsi="Times New Roman" w:cs="Times New Roman"/>
          <w:sz w:val="24"/>
        </w:rPr>
        <w:lastRenderedPageBreak/>
        <w:t>2.5.4. Uzskaites piemēri</w:t>
      </w:r>
      <w:bookmarkEnd w:id="168"/>
    </w:p>
    <w:p w14:paraId="5C76CB30" w14:textId="77777777" w:rsidR="00994F93" w:rsidRPr="00B03B51" w:rsidRDefault="00994F93" w:rsidP="00994F93">
      <w:pPr>
        <w:jc w:val="both"/>
        <w:rPr>
          <w:rFonts w:ascii="Times New Roman" w:hAnsi="Times New Roman" w:cs="Times New Roman"/>
          <w:b/>
          <w:noProof/>
          <w:sz w:val="24"/>
        </w:rPr>
      </w:pPr>
    </w:p>
    <w:p w14:paraId="545DCAB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1. piemērs</w:t>
      </w:r>
    </w:p>
    <w:p w14:paraId="2D3716B1" w14:textId="77777777" w:rsidR="00994F93" w:rsidRPr="00B03B51" w:rsidRDefault="00994F93" w:rsidP="00994F93">
      <w:pPr>
        <w:jc w:val="both"/>
        <w:rPr>
          <w:rFonts w:ascii="Times New Roman" w:eastAsia="Arial" w:hAnsi="Times New Roman" w:cs="Times New Roman"/>
          <w:b/>
          <w:bCs/>
          <w:noProof/>
          <w:sz w:val="24"/>
        </w:rPr>
      </w:pPr>
    </w:p>
    <w:p w14:paraId="356E44F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pasūta militāro starppatēriņa preci, kuras vērtība ir 100. Pirmajā gadā tā samaksā 45. Otrajā gadā preci piegādā, un bruņotie spēki to nekavējoties izmanto, savukārt valdība samaksā 30. Trešajā gadā valdība samaksā atlikušo summu (vienkāršības labad piegādātāja izmaksas netiek norādītas).</w:t>
      </w:r>
    </w:p>
    <w:p w14:paraId="62588834" w14:textId="77777777" w:rsidR="00994F93" w:rsidRPr="00B03B51" w:rsidRDefault="00994F93" w:rsidP="00994F93">
      <w:pPr>
        <w:jc w:val="both"/>
        <w:rPr>
          <w:rFonts w:ascii="Times New Roman" w:eastAsia="Arial" w:hAnsi="Times New Roman" w:cs="Times New Roman"/>
          <w:noProof/>
          <w:sz w:val="24"/>
          <w:szCs w:val="8"/>
        </w:rPr>
      </w:pPr>
    </w:p>
    <w:p w14:paraId="796E0FE0" w14:textId="69FDF59D" w:rsidR="00994F93" w:rsidRPr="00B03B51" w:rsidRDefault="002315AB" w:rsidP="00116E46">
      <w:pPr>
        <w:jc w:val="center"/>
        <w:rPr>
          <w:rFonts w:ascii="Times New Roman" w:eastAsia="Arial" w:hAnsi="Times New Roman" w:cs="Times New Roman"/>
          <w:noProof/>
          <w:sz w:val="24"/>
          <w:szCs w:val="17"/>
        </w:rPr>
      </w:pPr>
      <w:r w:rsidRPr="00B03B51">
        <w:rPr>
          <w:rFonts w:ascii="Times New Roman" w:eastAsia="Arial" w:hAnsi="Times New Roman" w:cs="Times New Roman"/>
          <w:noProof/>
          <w:sz w:val="24"/>
          <w:szCs w:val="17"/>
        </w:rPr>
        <w:drawing>
          <wp:inline distT="0" distB="0" distL="0" distR="0" wp14:anchorId="7293CE97" wp14:editId="35A2B8ED">
            <wp:extent cx="5760085" cy="4545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545965"/>
                    </a:xfrm>
                    <a:prstGeom prst="rect">
                      <a:avLst/>
                    </a:prstGeom>
                    <a:noFill/>
                    <a:ln>
                      <a:noFill/>
                    </a:ln>
                  </pic:spPr>
                </pic:pic>
              </a:graphicData>
            </a:graphic>
          </wp:inline>
        </w:drawing>
      </w:r>
    </w:p>
    <w:p w14:paraId="0E63EE2D" w14:textId="05544D18" w:rsidR="00994F93" w:rsidRPr="00B03B51" w:rsidRDefault="002315AB" w:rsidP="00116E46">
      <w:pPr>
        <w:jc w:val="center"/>
        <w:rPr>
          <w:rFonts w:ascii="Times New Roman" w:eastAsia="Arial" w:hAnsi="Times New Roman" w:cs="Times New Roman"/>
          <w:noProof/>
          <w:sz w:val="24"/>
          <w:szCs w:val="17"/>
        </w:rPr>
      </w:pPr>
      <w:r w:rsidRPr="00B03B51">
        <w:rPr>
          <w:rFonts w:ascii="Times New Roman" w:eastAsia="Arial" w:hAnsi="Times New Roman" w:cs="Times New Roman"/>
          <w:noProof/>
          <w:sz w:val="24"/>
          <w:szCs w:val="17"/>
        </w:rPr>
        <w:lastRenderedPageBreak/>
        <w:drawing>
          <wp:inline distT="0" distB="0" distL="0" distR="0" wp14:anchorId="4150342B" wp14:editId="1486E4C9">
            <wp:extent cx="5760085" cy="38011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801110"/>
                    </a:xfrm>
                    <a:prstGeom prst="rect">
                      <a:avLst/>
                    </a:prstGeom>
                    <a:noFill/>
                    <a:ln>
                      <a:noFill/>
                    </a:ln>
                  </pic:spPr>
                </pic:pic>
              </a:graphicData>
            </a:graphic>
          </wp:inline>
        </w:drawing>
      </w:r>
    </w:p>
    <w:p w14:paraId="25DDA001" w14:textId="77777777" w:rsidR="00994F93" w:rsidRPr="00B03B51" w:rsidRDefault="00994F93" w:rsidP="00994F93">
      <w:pPr>
        <w:jc w:val="both"/>
        <w:rPr>
          <w:rFonts w:ascii="Times New Roman" w:eastAsia="Arial" w:hAnsi="Times New Roman" w:cs="Times New Roman"/>
          <w:noProof/>
          <w:sz w:val="24"/>
          <w:szCs w:val="17"/>
        </w:rPr>
      </w:pPr>
    </w:p>
    <w:p w14:paraId="425009F3"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2. piemērs</w:t>
      </w:r>
    </w:p>
    <w:p w14:paraId="139A82FA" w14:textId="77777777" w:rsidR="00994F93" w:rsidRPr="00B03B51" w:rsidRDefault="00994F93" w:rsidP="00994F93">
      <w:pPr>
        <w:jc w:val="both"/>
        <w:rPr>
          <w:rFonts w:ascii="Times New Roman" w:eastAsia="Arial" w:hAnsi="Times New Roman" w:cs="Times New Roman"/>
          <w:b/>
          <w:bCs/>
          <w:noProof/>
          <w:sz w:val="24"/>
        </w:rPr>
      </w:pPr>
    </w:p>
    <w:p w14:paraId="299F602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noslēdz nomas līgumu ar militārā aprīkojuma preces piegādātāju. Līgumā ir paredzēts, ka preces vērtība ir 100 un ka valdība 1. gadā veiks 10 gada maksājumus no 14 (kas atbilst apmēram 6,6 gada procentu maksājumiem) no piegādes brīža. Prece ir izmantojama uzreiz pēc piegādes (vienkāršības labad piegādātāja izmaksas netiek norādītas). Jāņem vērā arī tas, ka ierakstītie procenti perioda laikā faktiski samazināsies. Kapitālpreces ekspluatācijas laiks ir 25 gadi.</w:t>
      </w:r>
    </w:p>
    <w:p w14:paraId="62397064" w14:textId="77777777" w:rsidR="00994F93" w:rsidRPr="00B03B51" w:rsidRDefault="00994F93" w:rsidP="00994F93">
      <w:pPr>
        <w:jc w:val="both"/>
        <w:rPr>
          <w:rFonts w:ascii="Times New Roman" w:eastAsia="Arial" w:hAnsi="Times New Roman" w:cs="Times New Roman"/>
          <w:noProof/>
          <w:sz w:val="24"/>
          <w:szCs w:val="20"/>
        </w:rPr>
      </w:pPr>
    </w:p>
    <w:p w14:paraId="5099A88F" w14:textId="7850102E" w:rsidR="00994F93" w:rsidRPr="00B03B51" w:rsidRDefault="002315AB" w:rsidP="00116E46">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66A689BB" wp14:editId="0DE95FB9">
            <wp:extent cx="5760085" cy="3251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251200"/>
                    </a:xfrm>
                    <a:prstGeom prst="rect">
                      <a:avLst/>
                    </a:prstGeom>
                    <a:noFill/>
                    <a:ln>
                      <a:noFill/>
                    </a:ln>
                  </pic:spPr>
                </pic:pic>
              </a:graphicData>
            </a:graphic>
          </wp:inline>
        </w:drawing>
      </w:r>
    </w:p>
    <w:p w14:paraId="31E455EF" w14:textId="097AE96E" w:rsidR="00994F93" w:rsidRPr="00B03B51" w:rsidRDefault="00361392" w:rsidP="00116E46">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4D268AAE" wp14:editId="3B855A3A">
            <wp:extent cx="5760085" cy="3467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467735"/>
                    </a:xfrm>
                    <a:prstGeom prst="rect">
                      <a:avLst/>
                    </a:prstGeom>
                    <a:noFill/>
                    <a:ln>
                      <a:noFill/>
                    </a:ln>
                  </pic:spPr>
                </pic:pic>
              </a:graphicData>
            </a:graphic>
          </wp:inline>
        </w:drawing>
      </w:r>
    </w:p>
    <w:p w14:paraId="6E5F996A" w14:textId="77777777" w:rsidR="00994F93" w:rsidRPr="00B03B51" w:rsidRDefault="00994F93" w:rsidP="00994F93">
      <w:pPr>
        <w:jc w:val="both"/>
        <w:rPr>
          <w:rFonts w:ascii="Times New Roman" w:eastAsia="Arial" w:hAnsi="Times New Roman" w:cs="Times New Roman"/>
          <w:noProof/>
          <w:sz w:val="24"/>
          <w:szCs w:val="19"/>
        </w:rPr>
      </w:pPr>
    </w:p>
    <w:p w14:paraId="648D5F82"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3. piemērs</w:t>
      </w:r>
    </w:p>
    <w:p w14:paraId="1E95DC90" w14:textId="77777777" w:rsidR="00994F93" w:rsidRPr="00B03B51" w:rsidRDefault="00994F93" w:rsidP="00994F93">
      <w:pPr>
        <w:jc w:val="both"/>
        <w:rPr>
          <w:rFonts w:ascii="Times New Roman" w:eastAsia="Arial" w:hAnsi="Times New Roman" w:cs="Times New Roman"/>
          <w:b/>
          <w:bCs/>
          <w:noProof/>
          <w:sz w:val="24"/>
          <w:szCs w:val="21"/>
        </w:rPr>
      </w:pPr>
    </w:p>
    <w:p w14:paraId="763B4E1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1. gadā pasūta militāro kapitālieguldījumu preci, kuras vērtība ir 100, un tās piegādei ir nepieciešami četri gadi. Valdība maksā 10 naudas vienības katrā no pirmajiem trīs gadiem un atlikušo summu nomaksā piegādes brīdī 4. gadā. Pieņem, ka prece ir izmantojama uzreiz pēc piegādes. Vienkāršības labad piegādātāja izmaksas netiek norādītas.</w:t>
      </w:r>
    </w:p>
    <w:p w14:paraId="5C2F90A9" w14:textId="77777777" w:rsidR="00994F93" w:rsidRPr="00B03B51" w:rsidRDefault="00994F93" w:rsidP="00994F93">
      <w:pPr>
        <w:jc w:val="both"/>
        <w:rPr>
          <w:rFonts w:ascii="Times New Roman" w:eastAsia="Arial" w:hAnsi="Times New Roman" w:cs="Times New Roman"/>
          <w:noProof/>
          <w:sz w:val="24"/>
          <w:szCs w:val="18"/>
        </w:rPr>
      </w:pPr>
    </w:p>
    <w:p w14:paraId="27CD882D" w14:textId="47ECBA92" w:rsidR="00994F93" w:rsidRPr="00B03B51" w:rsidRDefault="00BB494B" w:rsidP="00116E46">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drawing>
          <wp:inline distT="0" distB="0" distL="0" distR="0" wp14:anchorId="0DA8EF47" wp14:editId="63D389BD">
            <wp:extent cx="5446315" cy="40671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0587" cy="4070366"/>
                    </a:xfrm>
                    <a:prstGeom prst="rect">
                      <a:avLst/>
                    </a:prstGeom>
                    <a:noFill/>
                    <a:ln>
                      <a:noFill/>
                    </a:ln>
                  </pic:spPr>
                </pic:pic>
              </a:graphicData>
            </a:graphic>
          </wp:inline>
        </w:drawing>
      </w:r>
    </w:p>
    <w:p w14:paraId="12EDE597" w14:textId="5335092C" w:rsidR="00994F93" w:rsidRPr="00B03B51" w:rsidRDefault="00BB494B" w:rsidP="00116E46">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lastRenderedPageBreak/>
        <w:drawing>
          <wp:inline distT="0" distB="0" distL="0" distR="0" wp14:anchorId="32A32621" wp14:editId="35491505">
            <wp:extent cx="5760085" cy="7610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7610475"/>
                    </a:xfrm>
                    <a:prstGeom prst="rect">
                      <a:avLst/>
                    </a:prstGeom>
                    <a:noFill/>
                    <a:ln>
                      <a:noFill/>
                    </a:ln>
                  </pic:spPr>
                </pic:pic>
              </a:graphicData>
            </a:graphic>
          </wp:inline>
        </w:drawing>
      </w:r>
    </w:p>
    <w:p w14:paraId="4B8D9105" w14:textId="77777777" w:rsidR="00994F93" w:rsidRPr="00B03B51" w:rsidRDefault="00994F93" w:rsidP="00994F93">
      <w:pPr>
        <w:jc w:val="both"/>
        <w:rPr>
          <w:rFonts w:ascii="Times New Roman" w:eastAsia="Arial" w:hAnsi="Times New Roman" w:cs="Times New Roman"/>
          <w:noProof/>
          <w:sz w:val="24"/>
          <w:szCs w:val="18"/>
        </w:rPr>
      </w:pPr>
    </w:p>
    <w:p w14:paraId="11014B61" w14:textId="77777777" w:rsidR="00994F93" w:rsidRPr="00B03B51" w:rsidRDefault="00994F93" w:rsidP="00994F93">
      <w:pPr>
        <w:rPr>
          <w:rFonts w:ascii="Times New Roman" w:eastAsia="Arial" w:hAnsi="Times New Roman" w:cs="Times New Roman"/>
          <w:noProof/>
          <w:sz w:val="24"/>
          <w:szCs w:val="18"/>
        </w:rPr>
      </w:pPr>
      <w:r w:rsidRPr="00B03B51">
        <w:rPr>
          <w:rFonts w:ascii="Times New Roman" w:hAnsi="Times New Roman" w:cs="Times New Roman"/>
        </w:rPr>
        <w:br w:type="page"/>
      </w:r>
    </w:p>
    <w:p w14:paraId="79B5848D" w14:textId="77777777" w:rsidR="00994F93" w:rsidRPr="00B03B51" w:rsidRDefault="00994F93" w:rsidP="00994F93">
      <w:pPr>
        <w:jc w:val="both"/>
        <w:rPr>
          <w:rFonts w:ascii="Times New Roman" w:eastAsia="Arial" w:hAnsi="Times New Roman" w:cs="Times New Roman"/>
          <w:noProof/>
          <w:sz w:val="24"/>
          <w:szCs w:val="18"/>
        </w:rPr>
      </w:pPr>
    </w:p>
    <w:p w14:paraId="43AB1DE4"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169" w:name="2.6_Grants_from_and_contributions_to_the"/>
      <w:bookmarkStart w:id="170" w:name="_bookmark17"/>
      <w:bookmarkStart w:id="171" w:name="_Toc67565073"/>
      <w:bookmarkEnd w:id="169"/>
      <w:bookmarkEnd w:id="170"/>
      <w:r w:rsidRPr="00B03B51">
        <w:rPr>
          <w:rFonts w:ascii="Times New Roman" w:hAnsi="Times New Roman" w:cs="Times New Roman"/>
          <w:sz w:val="28"/>
          <w:szCs w:val="44"/>
        </w:rPr>
        <w:t>2.6. Dotācijas no ES budžeta un iemaksas ES budžetā</w:t>
      </w:r>
      <w:bookmarkEnd w:id="171"/>
    </w:p>
    <w:p w14:paraId="16A699A9" w14:textId="77777777" w:rsidR="00994F93" w:rsidRPr="00100B51" w:rsidRDefault="00994F93" w:rsidP="00100B51">
      <w:pPr>
        <w:rPr>
          <w:rFonts w:ascii="Times New Roman" w:hAnsi="Times New Roman" w:cs="Times New Roman"/>
          <w:noProof/>
          <w:sz w:val="24"/>
          <w:szCs w:val="24"/>
        </w:rPr>
      </w:pPr>
      <w:bookmarkStart w:id="172" w:name="2.6.1_Grants_from_the_EU_budget"/>
      <w:bookmarkEnd w:id="172"/>
    </w:p>
    <w:p w14:paraId="1061961B"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73" w:name="_Toc67565074"/>
      <w:r w:rsidRPr="00B03B51">
        <w:rPr>
          <w:rFonts w:ascii="Times New Roman" w:hAnsi="Times New Roman" w:cs="Times New Roman"/>
          <w:sz w:val="24"/>
        </w:rPr>
        <w:t>2.6.1. Dotācijas no ES budžeta</w:t>
      </w:r>
      <w:bookmarkEnd w:id="173"/>
    </w:p>
    <w:p w14:paraId="0AC835A5" w14:textId="77777777" w:rsidR="00994F93" w:rsidRPr="00453D55" w:rsidRDefault="00994F93" w:rsidP="00453D55">
      <w:pPr>
        <w:rPr>
          <w:rFonts w:ascii="Times New Roman" w:hAnsi="Times New Roman" w:cs="Times New Roman"/>
          <w:noProof/>
          <w:sz w:val="24"/>
          <w:szCs w:val="24"/>
        </w:rPr>
      </w:pPr>
      <w:bookmarkStart w:id="174" w:name="2.6.1.1_Background"/>
      <w:bookmarkEnd w:id="174"/>
    </w:p>
    <w:p w14:paraId="3DBEB862"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2.6.1.1. VISPĀRĪGA INFORMĀCIJA</w:t>
      </w:r>
    </w:p>
    <w:p w14:paraId="58B45F5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BA815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Eiropas iestādes veic ievērojamus pārskaitījumus dalībvalstīm no ES budžeta dažādiem kopējiem politiskiem mērķiem, galvenokārt kopējai lauksaimniecības politikai un struktūrfondiem. Šīs naudas plūsmas var būt ļoti dažādas, turpretim galasaņēmēji var būt valdības sektoram nepiederošas vienības (tas attiecas uz lielāko daļu pārskaitījumu, ko veic kopējās lauksaimniecības politikas mērķiem) vai arī valdības vienības (tas attiecas uz lielāko daļu pārskaitījumu, ko veic saistībā ar struktūrfondiem).</w:t>
      </w:r>
    </w:p>
    <w:p w14:paraId="0000E6A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D9DA52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Praksē pastāv divi galvenie ES dotāciju veidi, kuriem jāpievērš īpaša uzmanība, tos ierakstot nacionālajos kontos. Pirmkārt, ir dotācijas, kuras maksā no Eiropas Lauksaimniecības garantiju fonda (ELGF). Šīs galvenokārt ir subsīdijas, kuras tiek izmaksātas valdības sektoram nepiederošām vienībām kā galasaņēmējām. Otrkārt, ir dotācijas, kuras izmaksā saistībā ar kohēzijas politiku no struktūrfondiem (un Eiropas Lauksaimniecības fonda lauku attīstībai (ELFLA), Zivsaimniecības vadības finansēšanas instrumenta (ZVFI), Eiropas Sociālā fonda (ESF) un Eiropas Reģionālās attīstības fonda (ERAF)) un Kohēzijas fonda. Tie galvenokārt ir kārtējie pārskaitījumi vai kapitāla pārvedumi, ko saņem gan valdības vienības, gan valdības sektoram nepiederošas vienības. Eiropas iestāžu kārtējā budžetā ir iekļauti arī citi izdevumi. Aizvien lielāka daļa šādu izdevumu tiek paredzēta pētniecības un izstrādes atbalstam ES. Parasti ES dotāciju saņēmēji ir valdības sektoram nepiederošas vienības, bet tās var saņemt arī valdības vienības.</w:t>
      </w:r>
    </w:p>
    <w:p w14:paraId="63D4C49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487E30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Papildus iepriekš minētajam ir būtiski norādīt vēl trīs svarīgus dotāciju veidus: Šengenas konvencijas finanšu programma, pārejas instruments un naudas plūsmas instruments, no kuriem sniedz pagaidu finanšu palīdzību dalībvalstīm, kas ir nesen pievienojušās ES. Šengenas konvencijas finanšu programmas un pārejas instrumentu gadījumā ES nosaka pasākumus, kuriem ES dalībvalstis var izmantot šo instrumentu finansējumu. Šie pasākumi skar dažādas ES kopīgās politikas jomas un iniciatīvas (piemēram, Šengenas zonu, muitas savienību, kā arī kopējās lauksaimniecības politikas valsts pārvaldes struktūras), tāpēc šajā nodaļā izklāstītie noteikumi attiecas arī uz šiem diviem instrumentiem. Savukārt naudas plūsmas instrumenta līdzekļus ES piešķir bez nosacījumiem, nenorādot jomas, kurās šos līdzekļus drīkst tērēt. Eiropas iestādes neuzrauga, kā saņēmējas dalībvalstis izmanto šos naudas līdzekļus. ES nav arī tiesību apturēt savus ikmēneša maksājumus vai pieprasīt atmaksāt ES budžetā jebkādas summas, tādējādi naudas plūsmas instrumenta līdzekļiem drīzāk ir kārtējo pārskaitījumu pazīmes starptautiskās sadarbības kontekstā, kā ir definēts EKS 2010 4.121.–4.124. punktā.</w:t>
      </w:r>
    </w:p>
    <w:p w14:paraId="1C1D40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9333C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Pārskaitījumi ir sadales darījumu veids, kuros bieži ir iesaistītas tikai divas puses – maksātājs un saņēmējs. Taču gadījumā, ja pārskaitījumus veic Eiropas iestādes, praksē tajos var būt iesaistītas trīs vai pat vairāk puses. Papildus jānorāda, ka parasti šādi maksājumi tiek nodoti ar valdības starpniecību pat tad, ja galasaņēmēji ir valdības sektoram nepiederošas vienības (parasti saistībā ar līdzfinansēšanas procedūru, kad Eiropas iestādes atbalsta valdības ieguldījumu pasākumus, taču neaizstāj tos).</w:t>
      </w:r>
    </w:p>
    <w:p w14:paraId="2DAFC7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7ED95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Praktiski Eiropas iestādes veic maksājumus galasaņēmējiem, pamatojoties uz informāciju, kuru tās saņem no valstu valdībām. Lielākā daļa maksājumu tiek virzīti caur valdību kontiem </w:t>
      </w:r>
      <w:r w:rsidRPr="00B03B51">
        <w:rPr>
          <w:rFonts w:ascii="Times New Roman" w:hAnsi="Times New Roman" w:cs="Times New Roman"/>
          <w:sz w:val="24"/>
        </w:rPr>
        <w:lastRenderedPageBreak/>
        <w:t>(atsevišķi izņēmumi pastāv tikai ar lauksaimniecības politiku saistīto maksājumu gadījumā), pat ja šajā gadījumā valstu valdības netiek iesaistītas tajā ekonomiskajā lēmumā, ar ko nosaka ES maksājumu. Tas, ka naudas pārskaitījumi no ES fondiem nonāk īpašos kontos, kurus šajās valstīs pārvalda valdības vienības, protams, ir jāuzskata par pozitīvu faktoru saistībā ar tās informācijas pieejamību, kas ir nepieciešama nacionālo kontu speciālistiem. Dažās valstīs visiem maksājumiem, ko ES dalībvalsts veic Eiropas institūcijām, un maksājumiem, ko Eiropas iestādes veic ES dalībvalstij, var būt izmantots tikai vienu konts. Šādos gadījumos ir pareizi jānovērtē no ES ienākošo plūsmu (piemēram, avansa maksājumu daudzgadu programmas sākumā) ietekme uz neto aizdevumu/aizņēmumu (B.9).</w:t>
      </w:r>
    </w:p>
    <w:p w14:paraId="5C6430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924A9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Neatkarīgi no jautājumiem, kas rodas sakarā ar atšķirību starp datu avotiem (ES budžets, maksājumu bilance), kuriem ir nepieciešama īpaša izpēte laikā, kad tiek apkopoti dati nacionālajos kontos, ir jāizskata divi svarīgi jautājumi – pirmkārt, ierakstīšanas laiks, un, otrkārt, konkrēta darījuma klasificēšana nacionālajos kontos.</w:t>
      </w:r>
    </w:p>
    <w:p w14:paraId="29444D7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C5D64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Darījumu nacionālajos kontos var klasificēt vienā no turpmāk minētajām formām vai kā šādu darījumu apvienojumu:</w:t>
      </w:r>
    </w:p>
    <w:p w14:paraId="65E8C6D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E2081EB" w14:textId="77777777" w:rsidR="00994F93" w:rsidRPr="00B03B51" w:rsidRDefault="00994F93" w:rsidP="00116E46">
      <w:pPr>
        <w:pStyle w:val="BodyText"/>
        <w:numPr>
          <w:ilvl w:val="1"/>
          <w:numId w:val="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subsīdijas (D.3);</w:t>
      </w:r>
    </w:p>
    <w:p w14:paraId="3024D21D" w14:textId="77777777" w:rsidR="00994F93" w:rsidRPr="00B03B51" w:rsidRDefault="00994F93" w:rsidP="00116E46">
      <w:pPr>
        <w:pStyle w:val="BodyText"/>
        <w:numPr>
          <w:ilvl w:val="1"/>
          <w:numId w:val="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citi kārtējie pārvedumi (D.7);</w:t>
      </w:r>
    </w:p>
    <w:p w14:paraId="0F9D6FCA" w14:textId="77777777" w:rsidR="00994F93" w:rsidRPr="00B03B51" w:rsidRDefault="00994F93" w:rsidP="00116E46">
      <w:pPr>
        <w:pStyle w:val="BodyText"/>
        <w:numPr>
          <w:ilvl w:val="1"/>
          <w:numId w:val="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kapitāla pārvedumi (D.9).</w:t>
      </w:r>
    </w:p>
    <w:p w14:paraId="25D656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AB896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Tā kā šāda klasifikācija var ietekmēt dažus kopsavilkuma rādītājus vai bilances posteņus nacionālajos kontos (bet ne neto aizņēmumu/aizdevumu (B.9), kas ir izšķiroši saistībā ar </w:t>
      </w:r>
      <w:r w:rsidRPr="00B03B51">
        <w:rPr>
          <w:rFonts w:ascii="Times New Roman" w:hAnsi="Times New Roman" w:cs="Times New Roman"/>
          <w:i/>
          <w:iCs/>
          <w:sz w:val="24"/>
        </w:rPr>
        <w:t>EDP</w:t>
      </w:r>
      <w:r w:rsidRPr="00B03B51">
        <w:rPr>
          <w:rFonts w:ascii="Times New Roman" w:hAnsi="Times New Roman" w:cs="Times New Roman"/>
          <w:sz w:val="24"/>
        </w:rPr>
        <w:t>), līdzīgi darījumi būtu jāklasificē tajās pašās (iepriekš minētajās) EKS 2010 kategorijās, lai nodrošinātu salīdzināmību. Šajā nodaļā nav sniegtas norādes par šādu darījumu klasifikāciju.</w:t>
      </w:r>
    </w:p>
    <w:p w14:paraId="067707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F64231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ES budžeta noteikumi ir sarežģīti. Tie ievērojami atšķiras lauksaimniecības maksājumu gadījumā (kas galvenokārt ir subsīdijas) un struktūrfondu kohēzijas politikas maksājumu gadījumā (kas galvenokārt ir kārtējie vai kapitāla pārvedumi), tostarp pastāv arī iepriekšējie maksājumi, starpposma maksājumi un gala maksājumi, un šos maksājumus, kā jau iepriekš minēts, nereti veic nevis galasaņēmējam, bet gan valdības aģentūrai, kura pēc tam veic maksājumu galasaņēmējam.</w:t>
      </w:r>
    </w:p>
    <w:p w14:paraId="5FA2B19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8413A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Kohēzijas politikas maksājumus piešķir atbilstoši septiņus gadus ilgiem plānošanas periodiem. Tiklīdz ir pieņemtas obligātās valsts programmas, ES dalībvalstis saņem avansa maksājumus par visu periodu. Plānošanas perioda laikā Eiropas iestādes veic starpposma maksājumus, lai atlīdzinātu ES dalībvalstu apliecinātos faktiskos izdevumus līdz pat 95 % (tostarp avansa maksājumu plānošanas perioda sākumā). Atlikumu 5 % apmērā samaksā programmas slēgšanas brīdī, tiklīdz iestādēm ir iesniegti un apstiprināti visi dokumenti.</w:t>
      </w:r>
    </w:p>
    <w:p w14:paraId="08F3863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1702EC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Pastāv jautājums par ierakstīšanas laiku, kas var tieši ietekmēt neto aizdevumu/aizņēmumu (B.9). Tiklīdz galasaņēmējam ir radušies izdevumi (parasti ar ļoti nelielu aizkavēšanos), pārvaldības iestāde nosūta Eiropas iestādei visus attiecīgos dokumentus, lai nodrošinātu atbilstošās (un likumīgās) summas atmaksāšanu. Eiropas iestādes apstiprina un veic maksājumus saņēmējiem tikai pēc tam, kad, pamatojoties uz saņemtajiem apliecinošajiem dokumentiem, ir pārbaudījušas atbilstību noteikumiem un nosacījumiem, par kuriem panākta vienošanās. Parasti no apliecinošo dokumentu saņemšanas brīža līdz maksājuma apstiprināšanai aizrit ne vairāk par diviem mēnešiem.</w:t>
      </w:r>
    </w:p>
    <w:p w14:paraId="47BEDFA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09805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Šādos apstākļos katra gada beigās tiek novērotas neatbilstības (galvenokārt administratīvo </w:t>
      </w:r>
      <w:r w:rsidRPr="00B03B51">
        <w:rPr>
          <w:rFonts w:ascii="Times New Roman" w:hAnsi="Times New Roman" w:cs="Times New Roman"/>
          <w:sz w:val="24"/>
        </w:rPr>
        <w:lastRenderedPageBreak/>
        <w:t>kavējumu dēļ), un ir bijuši arī gadījumi, kuros ES pārskaitījums ir ticis atteikts vai atcelts, piemēram, krāpšanas gadījumā. Maksājumus atsaka, ja valdība ir izmaksājusi subsīdijas vai veikusi citus pārskaitījumus ES vārdā, taču pēc veiktās revīzijas ES neapstiprina daļu izdevumu vai visus izdevumus un atsakās atmaksāt vismaz daļu no tiem.</w:t>
      </w:r>
    </w:p>
    <w:p w14:paraId="630B9B6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55117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Daži šo ES dotāciju maksājumu aspektiem var ievērojami ietekmēt valdības neto aizdevumu/aizņēmumu (B.9). Var rasties situācija, kad valdības izmaksā lauksaimniecības subsīdijas avansā (piemēram, </w:t>
      </w:r>
      <w:r w:rsidRPr="00B03B51">
        <w:rPr>
          <w:rFonts w:ascii="Times New Roman" w:hAnsi="Times New Roman" w:cs="Times New Roman"/>
          <w:i/>
          <w:iCs/>
          <w:sz w:val="24"/>
        </w:rPr>
        <w:t>t</w:t>
      </w:r>
      <w:r w:rsidRPr="00B03B51">
        <w:rPr>
          <w:rFonts w:ascii="Times New Roman" w:hAnsi="Times New Roman" w:cs="Times New Roman"/>
          <w:sz w:val="24"/>
        </w:rPr>
        <w:t xml:space="preserve"> gada septembrī), kamēr to atmaksa no Eiropas Lauksaimniecības garantiju fonda (ELGF) tiek veikta tikai vēlāk (piemēram, </w:t>
      </w:r>
      <w:r w:rsidRPr="00B03B51">
        <w:rPr>
          <w:rFonts w:ascii="Times New Roman" w:hAnsi="Times New Roman" w:cs="Times New Roman"/>
          <w:i/>
          <w:iCs/>
          <w:sz w:val="24"/>
        </w:rPr>
        <w:t>t+1</w:t>
      </w:r>
      <w:r w:rsidRPr="00B03B51">
        <w:rPr>
          <w:rFonts w:ascii="Times New Roman" w:hAnsi="Times New Roman" w:cs="Times New Roman"/>
          <w:sz w:val="24"/>
        </w:rPr>
        <w:t> gada janvārī). Līdzīgi arī no struktūrfondiem var veikt priekšmaksājumus valdībām programmas perioda sākumā.</w:t>
      </w:r>
    </w:p>
    <w:p w14:paraId="0D8BC1C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957D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Šajā nodaļā sniegti norādījumi par ES dotāciju vienveidīgu ierakstīšanu ES dalībvalstīs un ar ES saistīto plūsmu ietekmes uz laiku neitralizēšanu. Tā kā valdība, pārskaitot dotācijas galasaņēmējiem, rīkojas kā Eiropas iestāžu deleģēta pārstāve, tad tas, kāda metode tiks izmantota, ietekmē ne tikai pārējās pasaules kontus, bet arī valdības kontu.</w:t>
      </w:r>
    </w:p>
    <w:p w14:paraId="1300716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30AA0C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Attiecīgie norādījumi par to, kā ierakstāmas tirgu regulējošo institūciju krājumu pārmaiņas, ir sniegti 1.4. nodaļā “Tirgu regulējošās institūcijas lauksaimniecības nozarē”, tāpēc šajā nodaļā šis jautājums netiek analizēts.</w:t>
      </w:r>
    </w:p>
    <w:p w14:paraId="19C6ECE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7A2D8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Visbeidzot, šajā nodaļā ir aplūkots jautājums par dalībvalstu iemaksām ES budžetā (skat. 2.6.2. iedaļu).</w:t>
      </w:r>
    </w:p>
    <w:p w14:paraId="0D30AFCB" w14:textId="77777777" w:rsidR="00994F93" w:rsidRPr="00B03B51" w:rsidRDefault="00994F93" w:rsidP="00994F93">
      <w:pPr>
        <w:jc w:val="both"/>
        <w:rPr>
          <w:rFonts w:ascii="Times New Roman" w:hAnsi="Times New Roman" w:cs="Times New Roman"/>
          <w:noProof/>
          <w:sz w:val="24"/>
        </w:rPr>
      </w:pPr>
    </w:p>
    <w:p w14:paraId="1FD4B106"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175" w:name="2.6.1.2_Treatment_in_national_accounts"/>
      <w:bookmarkEnd w:id="175"/>
      <w:r w:rsidRPr="00B03B51">
        <w:rPr>
          <w:rFonts w:ascii="Times New Roman" w:hAnsi="Times New Roman" w:cs="Times New Roman"/>
          <w:sz w:val="24"/>
        </w:rPr>
        <w:t>2.6.1.2. TRAKTĒJUMS NACIONĀLAJOS KONTOS</w:t>
      </w:r>
    </w:p>
    <w:p w14:paraId="3D980873" w14:textId="77777777" w:rsidR="00994F93" w:rsidRPr="00B03B51" w:rsidRDefault="00994F93" w:rsidP="00994F93">
      <w:pPr>
        <w:jc w:val="both"/>
        <w:rPr>
          <w:rFonts w:ascii="Times New Roman" w:eastAsia="Arial" w:hAnsi="Times New Roman" w:cs="Times New Roman"/>
          <w:b/>
          <w:bCs/>
          <w:noProof/>
          <w:sz w:val="24"/>
          <w:szCs w:val="21"/>
        </w:rPr>
      </w:pPr>
    </w:p>
    <w:p w14:paraId="0C88F261"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Vispārīgs noteikums</w:t>
      </w:r>
    </w:p>
    <w:p w14:paraId="7CC73B77" w14:textId="77777777" w:rsidR="00994F93" w:rsidRPr="00B03B51" w:rsidRDefault="00994F93" w:rsidP="00994F93">
      <w:pPr>
        <w:jc w:val="both"/>
        <w:rPr>
          <w:rFonts w:ascii="Times New Roman" w:eastAsia="Arial" w:hAnsi="Times New Roman" w:cs="Times New Roman"/>
          <w:b/>
          <w:bCs/>
          <w:noProof/>
          <w:sz w:val="24"/>
        </w:rPr>
      </w:pPr>
    </w:p>
    <w:p w14:paraId="024148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Parasti ES pārskaitījumi to veikšanas brīdī nekādi neietekmē valdības neto aizdevumu/aizņēmumu (B.9). Proti, iespējamā laika nobīde starp ieņēmumu un izdevumu plūsmām vai šo darījumu finansējumā neizraisa vispārējās valdības neto aizdevuma/aizņēmuma (B.9) stāvokļa uzlabošanos vai pasliktināšanos nacionālajos kontos.</w:t>
      </w:r>
    </w:p>
    <w:p w14:paraId="1D80A15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BA9D3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Traktējums nacionālajos kontos ir atkarīgs no šo ES dotāciju galasaņēmēja (proti, no vienības, kas veic darbību, attiecībā uz kuru var piešķirt ES dotāciju). Dotācijas, kuras valdības vienība saņem kā galasaņēmēja, traktē atšķirīgi no dotācijām, kuru galasaņēmējs ir valdības sektoram nepiederoša vienība.</w:t>
      </w:r>
    </w:p>
    <w:p w14:paraId="142E1535" w14:textId="77777777" w:rsidR="00994F93" w:rsidRPr="00453D55" w:rsidRDefault="00994F93" w:rsidP="00453D55">
      <w:pPr>
        <w:rPr>
          <w:rFonts w:ascii="Times New Roman" w:hAnsi="Times New Roman" w:cs="Times New Roman"/>
          <w:noProof/>
          <w:sz w:val="24"/>
          <w:szCs w:val="24"/>
        </w:rPr>
      </w:pPr>
    </w:p>
    <w:p w14:paraId="46F05E02"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2.6.1.2.1. ES dotāciju saņēmējs nav valdības vienība</w:t>
      </w:r>
    </w:p>
    <w:p w14:paraId="0E533EB5" w14:textId="77777777" w:rsidR="00994F93" w:rsidRPr="00B03B51" w:rsidRDefault="00994F93" w:rsidP="00994F93">
      <w:pPr>
        <w:jc w:val="both"/>
        <w:rPr>
          <w:rFonts w:ascii="Times New Roman" w:eastAsia="Arial" w:hAnsi="Times New Roman" w:cs="Times New Roman"/>
          <w:b/>
          <w:bCs/>
          <w:noProof/>
          <w:sz w:val="24"/>
          <w:szCs w:val="20"/>
        </w:rPr>
      </w:pPr>
    </w:p>
    <w:p w14:paraId="2A996046"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Vispārīgs noteikums</w:t>
      </w:r>
    </w:p>
    <w:p w14:paraId="590F31F3" w14:textId="77777777" w:rsidR="00994F93" w:rsidRPr="00B03B51" w:rsidRDefault="00994F93" w:rsidP="00994F93">
      <w:pPr>
        <w:jc w:val="both"/>
        <w:rPr>
          <w:rFonts w:ascii="Times New Roman" w:eastAsia="Arial" w:hAnsi="Times New Roman" w:cs="Times New Roman"/>
          <w:b/>
          <w:bCs/>
          <w:noProof/>
          <w:sz w:val="24"/>
        </w:rPr>
      </w:pPr>
    </w:p>
    <w:p w14:paraId="36FC0C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Ja galasaņēmējs nav valdība, pārskaitījumu ieraksta galasaņēmēja kontos saskaņā ar EKS 2010 noteikumiem, bet saistītos darījumus ieraksta tikai vispārējās valdības finanšu kontos bez jebkādas ietekmes uz valdības neto aizdevumu/aizņēmumu (B.9).</w:t>
      </w:r>
    </w:p>
    <w:p w14:paraId="7E8884C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65BF98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Nacionālajos kontos šie pārskaitījumi ir jāieraksta kā sadales darījumi tieši starp Eiropas iestādēm (izlietojums) un valdības sektoram nepiederošiem saņēmējiem (resursi). Subsīdiju (D.3) gadījumā summas ieraksta tajā uzskaites periodā, kad notiek darījums vai notikums (ražošana, pārdošana, ievešana utt.), kas tiek izmantots par pamatu subsīdijai. Tas ir vispārīgs noteikums (EKS 2010 4.39. punkts), kas jāievēro, ciktāl tas vien ir iespējams. Taču atsevišķos </w:t>
      </w:r>
      <w:r w:rsidRPr="00B03B51">
        <w:rPr>
          <w:rFonts w:ascii="Times New Roman" w:hAnsi="Times New Roman" w:cs="Times New Roman"/>
          <w:sz w:val="24"/>
        </w:rPr>
        <w:lastRenderedPageBreak/>
        <w:t>ļoti īpašos izņēmuma gadījumos var būt sarežģīti iegūt informāciju par precīzu periodu, kurā attiecīgā saimnieciskā darbība ir notikusi. Ir vispārpieņemts, ka ierakstīšanā, ko veic atbilstoši uzkrāšanas principam, par aizstājējperiodu var uzskatīt laiku, kad tiek veikts naudas maksājums (vai nu no Eiropas iestādēm, vai arī no valdības avansa veidā, skat. turpmāk). Tomēr statistikas iestādēm jādara viss iespējamais, lai iegūtu atbilstošu informāciju vai piemērotas aplēses metodes attiecībā uz lielāko daļu darījumu, kuros laika nobīde starp saimniecisko darbību un maksājumu var būt par iemeslu nepareizam atspoguļojumam valdības bilancē.</w:t>
      </w:r>
    </w:p>
    <w:p w14:paraId="218175E9" w14:textId="77777777" w:rsidR="00994F93" w:rsidRPr="00B03B51" w:rsidRDefault="00994F93" w:rsidP="00994F93">
      <w:pPr>
        <w:tabs>
          <w:tab w:val="left" w:pos="843"/>
        </w:tabs>
        <w:jc w:val="both"/>
        <w:rPr>
          <w:rFonts w:ascii="Times New Roman" w:hAnsi="Times New Roman" w:cs="Times New Roman"/>
          <w:noProof/>
          <w:sz w:val="24"/>
        </w:rPr>
      </w:pPr>
    </w:p>
    <w:p w14:paraId="7E951D65"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21. Citu kārtējo pārvedumu (D.7) gadījumā summas ieraksta tajā pārskata periodā, kurā rodas maksājuma saistības (EKS 2010 4.123. punkts: </w:t>
      </w:r>
      <w:r w:rsidRPr="00B03B51">
        <w:rPr>
          <w:rFonts w:ascii="Times New Roman" w:hAnsi="Times New Roman" w:cs="Times New Roman"/>
          <w:i/>
          <w:iCs/>
          <w:sz w:val="24"/>
        </w:rPr>
        <w:t>ieraksta tad, kad spēkā esošais regulējums paredz veikt pārvedumus obligāto pārvedumu gadījumā vai kad veic pārvedumus brīvprātīgo pārvedumu gadījumā</w:t>
      </w:r>
      <w:r w:rsidRPr="00B03B51">
        <w:rPr>
          <w:rFonts w:ascii="Times New Roman" w:hAnsi="Times New Roman" w:cs="Times New Roman"/>
          <w:sz w:val="24"/>
        </w:rPr>
        <w:t>).</w:t>
      </w:r>
    </w:p>
    <w:p w14:paraId="39959CE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B15B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Kapitāla pārvedumu (ieguldījumu dotācijas D.92) gadījumā summas ieraksta periodā, kad </w:t>
      </w:r>
      <w:r w:rsidRPr="00B03B51">
        <w:rPr>
          <w:rFonts w:ascii="Times New Roman" w:hAnsi="Times New Roman" w:cs="Times New Roman"/>
          <w:i/>
          <w:iCs/>
          <w:sz w:val="24"/>
        </w:rPr>
        <w:t>jāveic maksājums</w:t>
      </w:r>
      <w:r w:rsidRPr="00B03B51">
        <w:rPr>
          <w:rFonts w:ascii="Times New Roman" w:hAnsi="Times New Roman" w:cs="Times New Roman"/>
          <w:sz w:val="24"/>
        </w:rPr>
        <w:t xml:space="preserve"> (EKS 2010 4.162. punkts).</w:t>
      </w:r>
    </w:p>
    <w:p w14:paraId="1E1BBA6A" w14:textId="77777777" w:rsidR="00994F93" w:rsidRPr="00B03B51" w:rsidRDefault="00994F93" w:rsidP="00994F93">
      <w:pPr>
        <w:jc w:val="both"/>
        <w:rPr>
          <w:rFonts w:ascii="Times New Roman" w:eastAsia="Arial" w:hAnsi="Times New Roman" w:cs="Times New Roman"/>
          <w:noProof/>
          <w:sz w:val="24"/>
        </w:rPr>
      </w:pPr>
    </w:p>
    <w:p w14:paraId="28CB406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23. Piemēram, aplūkosim gadījumu, kad Eiropas iestādes noteiktajā termiņā </w:t>
      </w:r>
      <w:r w:rsidRPr="00B03B51">
        <w:rPr>
          <w:rFonts w:ascii="Times New Roman" w:hAnsi="Times New Roman" w:cs="Times New Roman"/>
          <w:i/>
          <w:iCs/>
          <w:sz w:val="24"/>
        </w:rPr>
        <w:t>t+1</w:t>
      </w:r>
      <w:r w:rsidRPr="00B03B51">
        <w:rPr>
          <w:rFonts w:ascii="Times New Roman" w:hAnsi="Times New Roman" w:cs="Times New Roman"/>
          <w:sz w:val="24"/>
        </w:rPr>
        <w:t xml:space="preserve"> gada februārī veic maksājumu valdības sektoram nepiederošai vienībai par </w:t>
      </w:r>
      <w:r w:rsidRPr="00B03B51">
        <w:rPr>
          <w:rFonts w:ascii="Times New Roman" w:hAnsi="Times New Roman" w:cs="Times New Roman"/>
          <w:i/>
          <w:iCs/>
          <w:sz w:val="24"/>
        </w:rPr>
        <w:t>t </w:t>
      </w:r>
      <w:r w:rsidRPr="00B03B51">
        <w:rPr>
          <w:rFonts w:ascii="Times New Roman" w:hAnsi="Times New Roman" w:cs="Times New Roman"/>
          <w:sz w:val="24"/>
        </w:rPr>
        <w:t xml:space="preserve">gada ceturto ceturksni. Ja šis maksājums ir subsīdija, tā jāieraksta </w:t>
      </w:r>
      <w:r w:rsidRPr="00B03B51">
        <w:rPr>
          <w:rFonts w:ascii="Times New Roman" w:hAnsi="Times New Roman" w:cs="Times New Roman"/>
          <w:i/>
          <w:iCs/>
          <w:sz w:val="24"/>
        </w:rPr>
        <w:t>t</w:t>
      </w:r>
      <w:r w:rsidRPr="00B03B51">
        <w:rPr>
          <w:rFonts w:ascii="Times New Roman" w:hAnsi="Times New Roman" w:cs="Times New Roman"/>
          <w:sz w:val="24"/>
        </w:rPr>
        <w:t xml:space="preserve"> gada kontos kā valdības sektoram nepiederošas vienības resurss, kuru izmanto pārējās pasaules kontiem. Ja tas ir kapitāla pārvedums, tas ir jāieraksta kā ieņēmumi, ko valdības sektoram nepiederoša vienība guvusi līdz </w:t>
      </w:r>
      <w:r w:rsidRPr="00B03B51">
        <w:rPr>
          <w:rFonts w:ascii="Times New Roman" w:hAnsi="Times New Roman" w:cs="Times New Roman"/>
          <w:i/>
          <w:iCs/>
          <w:sz w:val="24"/>
        </w:rPr>
        <w:t>t+1</w:t>
      </w:r>
      <w:r w:rsidRPr="00B03B51">
        <w:rPr>
          <w:rFonts w:ascii="Times New Roman" w:hAnsi="Times New Roman" w:cs="Times New Roman"/>
          <w:sz w:val="24"/>
        </w:rPr>
        <w:t> gadam, kad Eiropas iestādēm ir jāveic maksājums, neatkarīgi no tā, kurā periodā šie kapitālizdevumi ir radušies.</w:t>
      </w:r>
    </w:p>
    <w:p w14:paraId="1872D610" w14:textId="77777777" w:rsidR="00994F93" w:rsidRPr="00B03B51" w:rsidRDefault="00994F93" w:rsidP="00994F93">
      <w:pPr>
        <w:jc w:val="both"/>
        <w:rPr>
          <w:rFonts w:ascii="Times New Roman" w:eastAsia="Arial" w:hAnsi="Times New Roman" w:cs="Times New Roman"/>
          <w:noProof/>
          <w:sz w:val="24"/>
          <w:szCs w:val="18"/>
        </w:rPr>
      </w:pPr>
    </w:p>
    <w:p w14:paraId="088AD61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Īpašs gadījums, kad valdība veic avansa maksājumu</w:t>
      </w:r>
    </w:p>
    <w:p w14:paraId="514405A0" w14:textId="77777777" w:rsidR="00994F93" w:rsidRPr="00B03B51" w:rsidRDefault="00994F93" w:rsidP="00994F93">
      <w:pPr>
        <w:jc w:val="both"/>
        <w:rPr>
          <w:rFonts w:ascii="Times New Roman" w:eastAsia="Arial" w:hAnsi="Times New Roman" w:cs="Times New Roman"/>
          <w:b/>
          <w:bCs/>
          <w:noProof/>
          <w:sz w:val="24"/>
        </w:rPr>
      </w:pPr>
    </w:p>
    <w:p w14:paraId="399899B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Bieži valdība veic avansa maksājumus valdības sektoram nepiederošai vienībai, kurai ir tiesības saņemt pārskaitījumus no Eiropas iestādēm (galvenokārt tiktāl, ciktāl tas attiecas uz lauksaimniekiem). Tas tiek darīts, lai samazinātu saņēmējiem finanšu slogu; viņi saņem naudu tuvāk tam laikam, kad tie īsteno attiecīgo saimniecisko darbību.</w:t>
      </w:r>
    </w:p>
    <w:p w14:paraId="2E4E3CC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7F623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Jebkurš šāds avansa maksājums neatkarīgi no tā pamatā esošā darījuma klasifikācijas nacionālajos kontos (D.3, D.7 vai D.9) ir jāieraksta kā finanšu darījums (valdības finanšu aktīva un attiecīgu pārējās pasaules saistību rašanās AF.7 kategorijā) laikā, kad valdība šo maksājumu ir veikusi, vai, ja izmanto saistību uzskaites sistēmu, laikā, kad kompetentā iestāde ir izsniegusi maksājuma uzdevumu.</w:t>
      </w:r>
    </w:p>
    <w:p w14:paraId="53E76E02" w14:textId="77777777" w:rsidR="00994F93" w:rsidRPr="00B03B51" w:rsidRDefault="00994F93" w:rsidP="00994F93">
      <w:pPr>
        <w:jc w:val="both"/>
        <w:rPr>
          <w:rFonts w:ascii="Times New Roman" w:hAnsi="Times New Roman" w:cs="Times New Roman"/>
          <w:noProof/>
          <w:sz w:val="24"/>
        </w:rPr>
      </w:pPr>
    </w:p>
    <w:p w14:paraId="70742C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Traktējot šādi, tas neiespaido valdības neto aizdevumu/aizņēmumu (B.9), jo šādus pārvedumus no ES institūcijām neuzskata par valdības izdevumiem, bet gan par ES izdevumiem. Vienīgie izdevumi, kas rodas valdībai, ir avansa maksājuma finansēšanas izmaksas.</w:t>
      </w:r>
    </w:p>
    <w:p w14:paraId="33C8DDB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b/>
          <w:noProof/>
          <w:sz w:val="24"/>
        </w:rPr>
      </w:pPr>
    </w:p>
    <w:p w14:paraId="3BEE3D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Cs/>
          <w:sz w:val="24"/>
        </w:rPr>
        <w:t xml:space="preserve">27. </w:t>
      </w:r>
      <w:r w:rsidRPr="00B03B51">
        <w:rPr>
          <w:rFonts w:ascii="Times New Roman" w:hAnsi="Times New Roman" w:cs="Times New Roman"/>
          <w:b/>
          <w:bCs/>
          <w:sz w:val="24"/>
        </w:rPr>
        <w:t>Piemēram</w:t>
      </w:r>
      <w:r w:rsidRPr="00B03B51">
        <w:rPr>
          <w:rFonts w:ascii="Times New Roman" w:hAnsi="Times New Roman" w:cs="Times New Roman"/>
          <w:sz w:val="24"/>
        </w:rPr>
        <w:t xml:space="preserve">, valdība ES vārdā veic maksājumu valdības sektoram nepiederošai vienībai </w:t>
      </w:r>
      <w:r w:rsidRPr="00B03B51">
        <w:rPr>
          <w:rFonts w:ascii="Times New Roman" w:hAnsi="Times New Roman" w:cs="Times New Roman"/>
          <w:i/>
          <w:iCs/>
          <w:sz w:val="24"/>
        </w:rPr>
        <w:t>t</w:t>
      </w:r>
      <w:r w:rsidRPr="00B03B51">
        <w:rPr>
          <w:rFonts w:ascii="Times New Roman" w:hAnsi="Times New Roman" w:cs="Times New Roman"/>
          <w:sz w:val="24"/>
        </w:rPr>
        <w:t xml:space="preserve"> gada septembrī. Tas ir jāieraksta tajā pašā pārskata periodā, kad tiek ierakstīti valdības sektoram nepiederošas vienības ieņēmumi, kas saņemti no pārējās pasaules (to neuzskata par valdības izdevumiem). Šis valdības maksājums rada pamatu finanšu prasījumam pret Eiropas iestādēm (AF.89 aktīvs valdībai). Pēc pārbaudes procedūras Eiropas iestādes to samaksā valdībai </w:t>
      </w:r>
      <w:r w:rsidRPr="00B03B51">
        <w:rPr>
          <w:rFonts w:ascii="Times New Roman" w:hAnsi="Times New Roman" w:cs="Times New Roman"/>
          <w:i/>
          <w:iCs/>
          <w:sz w:val="24"/>
        </w:rPr>
        <w:t>t+1</w:t>
      </w:r>
      <w:r w:rsidRPr="00B03B51">
        <w:rPr>
          <w:rFonts w:ascii="Times New Roman" w:hAnsi="Times New Roman" w:cs="Times New Roman"/>
          <w:sz w:val="24"/>
        </w:rPr>
        <w:t> gada janvārī. Ar šādu maksājumu valdības prasījums tiek likvidēts maksājuma izdarīšanas brīdī. Tādējādi valsts maksājumu nevalstiskai vienībai ES vārdā ieraksta kā finanšu darījumu bez jebkādas ietekmes uz valsts neto aizdevumu/aizņēmumu (B.9).</w:t>
      </w:r>
    </w:p>
    <w:p w14:paraId="3DAE9C34" w14:textId="77777777" w:rsidR="00994F93" w:rsidRPr="00C143EC" w:rsidRDefault="00994F93" w:rsidP="00C143EC">
      <w:pPr>
        <w:rPr>
          <w:rFonts w:ascii="Times New Roman" w:hAnsi="Times New Roman" w:cs="Times New Roman"/>
          <w:noProof/>
          <w:sz w:val="24"/>
          <w:szCs w:val="24"/>
        </w:rPr>
      </w:pPr>
    </w:p>
    <w:p w14:paraId="6EAB4616" w14:textId="77777777" w:rsidR="00994F93" w:rsidRPr="00B03B51" w:rsidRDefault="00994F93" w:rsidP="00DA39FD">
      <w:pPr>
        <w:pStyle w:val="Heading6"/>
        <w:keepNext/>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2.6.1.2.2. ES dotāciju saņēmējs ir valdības vienība</w:t>
      </w:r>
    </w:p>
    <w:p w14:paraId="3BACB9F8" w14:textId="77777777" w:rsidR="00994F93" w:rsidRPr="00B03B51" w:rsidRDefault="00994F93" w:rsidP="00DA39FD">
      <w:pPr>
        <w:pStyle w:val="BodyText"/>
        <w:keepNext/>
        <w:spacing w:before="0"/>
        <w:ind w:left="0" w:firstLine="0"/>
        <w:jc w:val="both"/>
        <w:rPr>
          <w:rFonts w:ascii="Times New Roman" w:hAnsi="Times New Roman" w:cs="Times New Roman"/>
          <w:noProof/>
          <w:sz w:val="24"/>
        </w:rPr>
      </w:pPr>
    </w:p>
    <w:p w14:paraId="6C674239" w14:textId="77777777" w:rsidR="00994F93" w:rsidRPr="00B03B51" w:rsidRDefault="00994F93" w:rsidP="00DA39FD">
      <w:pPr>
        <w:pStyle w:val="BodyText"/>
        <w:keepN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28. ES pārveduma gala saņēmējs ir valdības sektora vienība, ja šis pārvedums sedz valdības sektora vienības izdevumus kādam no šādiem mērķiem: sociālā palīdzība, mācības, izglītība, vai valsts īpašumā esošo pamatlīdzekļu palielinājums. Valdības vienība, kura pieņem ekonomisku lēmumu (projekta vadītājs), ir jānošķir no tās valdības vienības, kura saņem un pārdala ES līdzekļus (naudas pārvaldītājs). Nacionālo kontu gadījumā tas ir būtiski tad, ja šīs vienības atrodas dažādos apakšsektoros.</w:t>
      </w:r>
    </w:p>
    <w:p w14:paraId="50646A76" w14:textId="77777777" w:rsidR="00994F93" w:rsidRPr="00B03B51" w:rsidRDefault="00994F93" w:rsidP="00994F93">
      <w:pPr>
        <w:jc w:val="both"/>
        <w:rPr>
          <w:rFonts w:ascii="Times New Roman" w:eastAsia="Arial" w:hAnsi="Times New Roman" w:cs="Times New Roman"/>
          <w:noProof/>
          <w:sz w:val="24"/>
          <w:szCs w:val="19"/>
        </w:rPr>
      </w:pPr>
    </w:p>
    <w:p w14:paraId="3754FE1E"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Vispārīgs noteikums</w:t>
      </w:r>
    </w:p>
    <w:p w14:paraId="52A5A927" w14:textId="77777777" w:rsidR="00994F93" w:rsidRPr="00B03B51" w:rsidRDefault="00994F93" w:rsidP="00994F93">
      <w:pPr>
        <w:jc w:val="both"/>
        <w:rPr>
          <w:rFonts w:ascii="Times New Roman" w:eastAsia="Arial" w:hAnsi="Times New Roman" w:cs="Times New Roman"/>
          <w:b/>
          <w:bCs/>
          <w:noProof/>
          <w:sz w:val="24"/>
        </w:rPr>
      </w:pPr>
    </w:p>
    <w:p w14:paraId="3857185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Kopumā valdības ieņēmumus, ko tā saņēmusi no ES, ieraksta tajā pašā laikā, kad ieraksta valdības izdevumus, kas tiek segti ar ES dotāciju. Tas tiek darīts praktisku apsvērumu dēļ, lai nodrošinātu, ka šie darījumi neietekmē valdības budžeta neto aizdevumu/aizņēmumu (B.9).</w:t>
      </w:r>
    </w:p>
    <w:p w14:paraId="004E37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b/>
          <w:noProof/>
          <w:sz w:val="24"/>
        </w:rPr>
      </w:pPr>
    </w:p>
    <w:p w14:paraId="53A389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Cs/>
          <w:sz w:val="24"/>
        </w:rPr>
        <w:t xml:space="preserve">30. </w:t>
      </w:r>
      <w:r w:rsidRPr="00B03B51">
        <w:rPr>
          <w:rFonts w:ascii="Times New Roman" w:hAnsi="Times New Roman" w:cs="Times New Roman"/>
          <w:b/>
          <w:sz w:val="24"/>
        </w:rPr>
        <w:t>Piemēram</w:t>
      </w:r>
      <w:r w:rsidRPr="00B03B51">
        <w:rPr>
          <w:rFonts w:ascii="Times New Roman" w:hAnsi="Times New Roman" w:cs="Times New Roman"/>
          <w:sz w:val="24"/>
        </w:rPr>
        <w:t xml:space="preserve">, valdība </w:t>
      </w:r>
      <w:r w:rsidRPr="00B03B51">
        <w:rPr>
          <w:rFonts w:ascii="Times New Roman" w:hAnsi="Times New Roman" w:cs="Times New Roman"/>
          <w:i/>
          <w:iCs/>
          <w:sz w:val="24"/>
        </w:rPr>
        <w:t>t</w:t>
      </w:r>
      <w:r w:rsidRPr="00B03B51">
        <w:rPr>
          <w:rFonts w:ascii="Times New Roman" w:hAnsi="Times New Roman" w:cs="Times New Roman"/>
          <w:sz w:val="24"/>
        </w:rPr>
        <w:t xml:space="preserve"> gada oktobrī projektā iztērē summu, kas atbilst 100 naudas vienībām. Pēc tam valdība </w:t>
      </w:r>
      <w:r w:rsidRPr="00B03B51">
        <w:rPr>
          <w:rFonts w:ascii="Times New Roman" w:hAnsi="Times New Roman" w:cs="Times New Roman"/>
          <w:i/>
          <w:iCs/>
          <w:sz w:val="24"/>
        </w:rPr>
        <w:t>t</w:t>
      </w:r>
      <w:r w:rsidRPr="00B03B51">
        <w:rPr>
          <w:rFonts w:ascii="Times New Roman" w:hAnsi="Times New Roman" w:cs="Times New Roman"/>
          <w:sz w:val="24"/>
        </w:rPr>
        <w:t xml:space="preserve"> gada novembrī nosūta Eiropas iestādei attiecīgus dokumentus. Oktobrī valdība ieraksta pārvedumu no pārējās pasaules kā valdības ieņēmumus, kodējot to atbilstīgi darījuma būtībai (kas neiespaido ierakstīšanas laiku). Valdības finanšu kontā (F.89 aktīvi) kā ekvivalentu ieraksta prasījumu pret ES. Pēc tam Eiropas iestāde </w:t>
      </w:r>
      <w:r w:rsidRPr="00B03B51">
        <w:rPr>
          <w:rFonts w:ascii="Times New Roman" w:hAnsi="Times New Roman" w:cs="Times New Roman"/>
          <w:i/>
          <w:iCs/>
          <w:sz w:val="24"/>
        </w:rPr>
        <w:t>t+1</w:t>
      </w:r>
      <w:r w:rsidRPr="00B03B51">
        <w:rPr>
          <w:rFonts w:ascii="Times New Roman" w:hAnsi="Times New Roman" w:cs="Times New Roman"/>
          <w:sz w:val="24"/>
        </w:rPr>
        <w:t> gada februārī atmaksā 100 vienības. Šajā brīdī šo prasījumu dzēš.</w:t>
      </w:r>
    </w:p>
    <w:p w14:paraId="43DDE2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23F185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Ja Eiropas iestāde vēlāk nolemj neveikt valdībai atmaksu, ko tā pieprasījusi, un laika nobīde ir īsa (parasti ne ilgāka par vienu gadu), var pārskatīt iepriekšējos kontus, lai dzēstu valdības ieņēmumus un citas debitoru saistības vai to daļu.</w:t>
      </w:r>
    </w:p>
    <w:p w14:paraId="39965558" w14:textId="77777777" w:rsidR="00994F93" w:rsidRPr="00B03B51" w:rsidRDefault="00994F93" w:rsidP="00994F93">
      <w:pPr>
        <w:jc w:val="both"/>
        <w:rPr>
          <w:rFonts w:ascii="Times New Roman" w:eastAsia="Arial" w:hAnsi="Times New Roman" w:cs="Times New Roman"/>
          <w:noProof/>
          <w:sz w:val="24"/>
          <w:szCs w:val="18"/>
        </w:rPr>
      </w:pPr>
    </w:p>
    <w:p w14:paraId="5754D53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Īpašs gadījums</w:t>
      </w:r>
    </w:p>
    <w:p w14:paraId="6C84FE1D" w14:textId="77777777" w:rsidR="00994F93" w:rsidRPr="00B03B51" w:rsidRDefault="00994F93" w:rsidP="00994F93">
      <w:pPr>
        <w:jc w:val="both"/>
        <w:rPr>
          <w:rFonts w:ascii="Times New Roman" w:eastAsia="Arial" w:hAnsi="Times New Roman" w:cs="Times New Roman"/>
          <w:b/>
          <w:bCs/>
          <w:noProof/>
          <w:sz w:val="24"/>
        </w:rPr>
      </w:pPr>
    </w:p>
    <w:p w14:paraId="45159B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Var gadīties, ka izdevumu laiks būtiski atšķiras no laika, kad iesniegti prasījumi Eiropas iestādēm, jo izdevumu rašanās laikā vēl nebija zināms nodoms par prasījuma iesniegšanu. Šādā gadījumā izdevumu rašanās brīdi var aizstāt ar prasījumu iesniegšanas laiku, lai noteiktu ierakstīšanas laiku, atkarībā no tā, kāda informācija ir pieejama par izdevumiem, iesaistīto summu un laika nobīdi starp izdevumu rašanās brīdi un prasījumu iesniegšanas brīdi. Tomēr prasību iesniegšanas laiku var izmantot kā ierakstīšanas laiku tikai pamatotos gadījumos.</w:t>
      </w:r>
    </w:p>
    <w:p w14:paraId="690A4F5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91E04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Saskaņā ar 32. punktu ierakstīšanas laiks ir prasību iesniegšanas laiks, ja nav pieejama nekāda ticama informācija par izdevumu rašanās datumu; vai gadījumā, ja ir iesaistītas ļoti nelielas naudas summas; vai gadījumā, ja ir iesaistītas lielas naudas summas, bet laikposms starp izdevumu rašanās brīdi un prasību iesniegšanas brīdi ir ļoti īss (elastīgas pieejas iespēja).</w:t>
      </w:r>
    </w:p>
    <w:p w14:paraId="36567F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F654A2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Pēc prasījumu nosūtīšanas, gaidot maksājumu no Eiropas iestādēm, ieraksta ekvivalentu valdības ieņēmumu finanšu darījumu citu debitoru saistību veidā (prasījums pret Eiropas iestādēm), ko kodē kā AF.8. To dzēš brīdī, kad saņemts maksājums no Eiropas iestādēm.</w:t>
      </w:r>
    </w:p>
    <w:p w14:paraId="5BDB9EE6" w14:textId="77777777" w:rsidR="00994F93" w:rsidRPr="00C143EC" w:rsidRDefault="00994F93" w:rsidP="00C143EC">
      <w:pPr>
        <w:rPr>
          <w:rFonts w:ascii="Times New Roman" w:hAnsi="Times New Roman" w:cs="Times New Roman"/>
          <w:noProof/>
          <w:sz w:val="24"/>
          <w:szCs w:val="24"/>
        </w:rPr>
      </w:pPr>
    </w:p>
    <w:p w14:paraId="136BD5BE"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2.6.1.2.3. Eiropas iestāžu sākotnējais avansa maksājums</w:t>
      </w:r>
    </w:p>
    <w:p w14:paraId="2AF39AF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E8DA1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Visi maksājumi, kurus valdības saņem no Eiropas iestādēm daudzgadu plānošanas periodu sākumā, jātraktē kā finanšu avansi (AF.8), valdības saistības. Attiecīgi netiek ietekmēts valdības neto aizdevums/aizņēmums (B.9).</w:t>
      </w:r>
    </w:p>
    <w:p w14:paraId="7A889AB1" w14:textId="77777777" w:rsidR="00994F93" w:rsidRPr="00B03B51" w:rsidRDefault="00994F93" w:rsidP="00994F93">
      <w:pPr>
        <w:jc w:val="both"/>
        <w:rPr>
          <w:rFonts w:ascii="Times New Roman" w:hAnsi="Times New Roman" w:cs="Times New Roman"/>
          <w:noProof/>
          <w:sz w:val="24"/>
        </w:rPr>
      </w:pPr>
    </w:p>
    <w:p w14:paraId="65A3639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36. Šī saistība paliek bez izmaiņām līdz brīdim, kad kopējie Eiropas iestāžu maksājumi ir </w:t>
      </w:r>
      <w:r w:rsidRPr="00B03B51">
        <w:rPr>
          <w:rFonts w:ascii="Times New Roman" w:hAnsi="Times New Roman" w:cs="Times New Roman"/>
          <w:sz w:val="24"/>
        </w:rPr>
        <w:lastRenderedPageBreak/>
        <w:t>sasnieguši aprēķināto robežvērtību 95 % apmērā no kopsummas, kuru Eiropas iestādes ir saskaņojušas visiem daudzgadu periodiem, atņemot sākotnējo avansa maksājumu summu. Pēc tam līdz robežvērtības procentuālās attiecības sasniegšanas brīdim (parasti 95 %, jo būtībā Eiropas iestādes patur 5 % no kopējās saskaņotās summas) gala saņēmēju izdevumu atmaksu ieraksta kā ieņēmumus par tādu pašu summu ar ekvivalentu finanšu darījumu valsts saņemtā avansa samazinājuma veidā.</w:t>
      </w:r>
    </w:p>
    <w:p w14:paraId="4830C2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1A6FFA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Galasaņēmējam ir jānodrošina priekšfinansējums atlikušajai (5 %) projekta izdevumu daļai (ko traktē kā citas debitora saistības (F.89)), un ES atmaksās šos izdevumus tikai vēlāk (kad tiks neitralizētas visas citas debitoru saistības).</w:t>
      </w:r>
    </w:p>
    <w:p w14:paraId="4EAAF58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F9ADF1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Ja daudzgadu perioda beigās kopējie valsts izdevumi nesasniedz maksimālo procentuālo daļu no perioda kopējās saskaņotās summas, tad daļa no šī avansa, ko valsts nav “izmantojusi”, tiek atmaksāta Eiropas iestādēm, neietekmējot valdības ieņēmumus un ietekmējot tikai finanšu kontus.</w:t>
      </w:r>
    </w:p>
    <w:p w14:paraId="436C5589" w14:textId="77777777" w:rsidR="00994F93" w:rsidRPr="00C143EC" w:rsidRDefault="00994F93" w:rsidP="00C143EC">
      <w:pPr>
        <w:rPr>
          <w:rFonts w:ascii="Times New Roman" w:hAnsi="Times New Roman" w:cs="Times New Roman"/>
          <w:noProof/>
          <w:sz w:val="24"/>
          <w:szCs w:val="24"/>
        </w:rPr>
      </w:pPr>
    </w:p>
    <w:p w14:paraId="2E1A31C0"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2.6.1.2.4. Pasākumi attiecībā uz iztrūkumu ES dalībvalstīs</w:t>
      </w:r>
    </w:p>
    <w:p w14:paraId="3DF36971" w14:textId="77777777" w:rsidR="00994F93" w:rsidRPr="00B03B51" w:rsidRDefault="00994F93" w:rsidP="00994F93">
      <w:pPr>
        <w:jc w:val="both"/>
        <w:rPr>
          <w:rFonts w:ascii="Times New Roman" w:eastAsia="Arial" w:hAnsi="Times New Roman" w:cs="Times New Roman"/>
          <w:b/>
          <w:bCs/>
          <w:noProof/>
          <w:sz w:val="24"/>
          <w:szCs w:val="20"/>
        </w:rPr>
      </w:pPr>
    </w:p>
    <w:p w14:paraId="3E20F3F6"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Maksājumu atteikums</w:t>
      </w:r>
    </w:p>
    <w:p w14:paraId="113BEB07" w14:textId="77777777" w:rsidR="00994F93" w:rsidRPr="00B03B51" w:rsidRDefault="00994F93" w:rsidP="00994F93">
      <w:pPr>
        <w:jc w:val="both"/>
        <w:rPr>
          <w:rFonts w:ascii="Times New Roman" w:eastAsia="Arial" w:hAnsi="Times New Roman" w:cs="Times New Roman"/>
          <w:b/>
          <w:bCs/>
          <w:noProof/>
          <w:sz w:val="24"/>
        </w:rPr>
      </w:pPr>
    </w:p>
    <w:p w14:paraId="42B42A0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Var rasties situācijas, kad Eiropas iestādes nolemj, ka daļa no summas, kuru valsts ES vārdā ir izmaksājusi galasaņēmējiem, ir izmaksāta nepamatoti, vai arī ka ES dalībvalstij ir jāmaksā soda nauda (piemēram, par lauksaimniecības pārprodukciju). Šādā gadījumā Eiropas iestādes piemēros sankcijas, ieturot atmaksu nākamajā periodā pēc maksājumu veikšanas galasaņēmējiem vai ieturot konkrēto summu no turpmākā maksājuma. Šajā saistībā pastāv trīs galvenie jautājumi, proti, ierakstīšanas laiks, sektori, kuros jāveic ieraksti, un ierakstāmā informācija.</w:t>
      </w:r>
    </w:p>
    <w:p w14:paraId="14BD617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5166B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Ierakstīšanas laiks ir brīdis, kad Komisija pieņem lēmumu par daļēju to summu atmaksu, kuras ES dalībvalstu maksājumu aģentūras ir izmaksājušas gala saņēmējiem.</w:t>
      </w:r>
    </w:p>
    <w:p w14:paraId="0DDECC8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58500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Pretvērtību sektors ir atkarīgs no tā, vai gala saņēmējam ir atļauts paturēt maksājumu, savukārt pārprodukcijas dēļ piemērotas sankcijas gadījumā – vai valstij ir atļauts veikt maksājumu tā sektora vārdā, kuram ir piemērots sods (piemēram, ja to neuzskata par ES iekšējā tirgus konkurences kropļošanu).</w:t>
      </w:r>
    </w:p>
    <w:p w14:paraId="5202C3E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21767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Ja galasaņēmējiem noteikti bija iespēja iegūt no valdības avansa maksājumu (valdībai bija atļauts pabeigt ES atbalsta sniegšanu), tad brīdī, kad Eiropas iestāde pieņem lēmumu par galīgo atmaksāšanu (vai neatmaksāšanu), sākotnējā summa ir jāieraksta kā kapitāla pārvedums (D.9) no valdības galasaņēmējam un vienlaikus kā galasaņēmēja pārvedums pārējās pasaules sektoram (Eiropas iestādēm).</w:t>
      </w:r>
    </w:p>
    <w:p w14:paraId="51C98F8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C9372D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Ja galasaņēmēji nevar paturēt valdības avansa maksājumu (valdībai nav atļauts izmaksāt vairāk, kā ir noteikts ES noteikumos), ir jānošķir divi gadījumi.</w:t>
      </w:r>
    </w:p>
    <w:p w14:paraId="7FA9DC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269DEC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Ja galasaņēmējs spēj atmaksāt valdībai avansa maksājumu, par atmaksāto summu aprēķina atmaksu no galasaņēmēja pārējās pasaules (</w:t>
      </w:r>
      <w:r w:rsidRPr="00B03B51">
        <w:rPr>
          <w:rFonts w:ascii="Times New Roman" w:hAnsi="Times New Roman" w:cs="Times New Roman"/>
          <w:i/>
          <w:iCs/>
          <w:sz w:val="24"/>
        </w:rPr>
        <w:t>RoW</w:t>
      </w:r>
      <w:r w:rsidRPr="00B03B51">
        <w:rPr>
          <w:rFonts w:ascii="Times New Roman" w:hAnsi="Times New Roman" w:cs="Times New Roman"/>
          <w:sz w:val="24"/>
        </w:rPr>
        <w:t>) sektoram un atmaksas summu ieraksta valdības finanšu kontos Eiropas iestāžu lēmuma pieņemšanas brīdī.</w:t>
      </w:r>
    </w:p>
    <w:p w14:paraId="2294CFB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1F15B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45. Ja no galasaņēmēja nav saņemta pilna atmaksa un Eiropas iestāde piemēro valdībai sodu, valdība ieraksta kārtējo pārvedumu no vispārējās valdības uz pārējās pasaules sektoru (Eiropas </w:t>
      </w:r>
      <w:r w:rsidRPr="00B03B51">
        <w:rPr>
          <w:rFonts w:ascii="Times New Roman" w:hAnsi="Times New Roman" w:cs="Times New Roman"/>
          <w:sz w:val="24"/>
        </w:rPr>
        <w:lastRenderedPageBreak/>
        <w:t>iestādēm) Eiropas iestādes lēmuma pieņemšanas brīdī.</w:t>
      </w:r>
    </w:p>
    <w:p w14:paraId="63476452" w14:textId="77777777" w:rsidR="00994F93" w:rsidRPr="00B03B51" w:rsidRDefault="00994F93" w:rsidP="00994F93">
      <w:pPr>
        <w:jc w:val="both"/>
        <w:rPr>
          <w:rFonts w:ascii="Times New Roman" w:eastAsia="Arial" w:hAnsi="Times New Roman" w:cs="Times New Roman"/>
          <w:noProof/>
          <w:sz w:val="24"/>
          <w:szCs w:val="18"/>
        </w:rPr>
      </w:pPr>
    </w:p>
    <w:p w14:paraId="44E07A1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Maksājuma termiņa pārtraukšana, maksājumu atlikšana, finanšu korekcijas</w:t>
      </w:r>
    </w:p>
    <w:p w14:paraId="72B908E4" w14:textId="77777777" w:rsidR="00994F93" w:rsidRPr="00B03B51" w:rsidRDefault="00994F93" w:rsidP="00994F93">
      <w:pPr>
        <w:jc w:val="both"/>
        <w:rPr>
          <w:rFonts w:ascii="Times New Roman" w:eastAsia="Arial" w:hAnsi="Times New Roman" w:cs="Times New Roman"/>
          <w:b/>
          <w:bCs/>
          <w:noProof/>
          <w:sz w:val="24"/>
        </w:rPr>
      </w:pPr>
    </w:p>
    <w:p w14:paraId="3F96FD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Komisija var pagarināt maksājumu termiņu uz laiku, kas nepārsniedz 6 mēnešus (oficiāli to dēvē par maksājuma termiņa pārtraukšanu), lai veiktu papildu pārbaudes attiecībā uz apstiprināto izdevumu pārskatu (Eiropas Savienībai nosūtīto prasījumu). Tas nedrīkst ietekmēt ierakstu nacionālajos kontos, proti, ES dalībvalsts ieraksta ienākumus un iesniedz prasījumu (F.8) Eiropas Savienībai. Taču naudas saņemšanai (F.2) un prasījuma dzēšanai (F.8) var būt nepieciešams ilgāks laiks.</w:t>
      </w:r>
    </w:p>
    <w:p w14:paraId="1E8EB0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319430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Komisija var arī atlikt visus starpposma maksājumus vai to daļu prioritāšu vai programmu līmenī, ja pastāv būtiski vadības vai kontroles sistēmas trūkumi un būtiskas nepilnības, kuras nav novērstas, vai ja ES dalībvalsts nav izpildījusi savas saistības (maksājumu atlikšana). Gadījumā, ja ES dalībvalsts ir veikusi nepieciešamos pasākumus (parasti 2 mēnešu laikā), šī atlikšana tiek pārtraukta. Ja ES dalībvalsts nav veikusi nepieciešamos pasākumus, Komisija var pieņemt lēmumu, ar kuru tiek atceltas visas kopienas iemaksas darbības programmā vai kāda to daļa (finanšu korekcijas).</w:t>
      </w:r>
    </w:p>
    <w:p w14:paraId="5B2E64B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DBEC7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Līdzīgi kā maksājuma termiņa pārtraukšanai, arī maksājumu atlikšanai nav tiešas ietekmes uz ierakstīšanu nacionālajos kontos. Tomēr gadījumā, ja pēc maksājuma atlikšanas seko finanšu korekcija (proti, ja tiek atcelts ES finansējums), tas ir jāatspoguļo nacionālajos kontos līdzīgi 39. rindkopā minētajam gadījumam, kad maksājums tiek atteikts. Jāņem vērā, ka finanšu korekcijas var tikt veiktas arī tad, kad maksājumi netiek atcelti.</w:t>
      </w:r>
    </w:p>
    <w:p w14:paraId="190BA5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EE4FD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Ar iepriekšējiem izdevumiem saistītu finanšu korekciju ierakstīšanas laiks ir brīdis, kad ES dalībvalsts apstiprina ES ierosināto finanšu korekciju vai kad Komisija pieņem lēmumu, atkarībā no tā, kurš no šiem notikumiem notiek agrāk. Ja finanšu korekcijā ietilpst arī finansējuma atcelšana turpmākajiem projektiem, tad ierakstīšanas laiks ir faktisko turpmāko izdevumu brīdis.</w:t>
      </w:r>
    </w:p>
    <w:p w14:paraId="61EA324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9801F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Valdības izdevumu pretvērtības sektors ir Eiropas Savienības iestādes un struktūras (S.212).</w:t>
      </w:r>
    </w:p>
    <w:p w14:paraId="1291678F" w14:textId="77777777" w:rsidR="00994F93" w:rsidRPr="00B03B51" w:rsidRDefault="00994F93" w:rsidP="00994F93">
      <w:pPr>
        <w:jc w:val="both"/>
        <w:rPr>
          <w:rFonts w:ascii="Times New Roman" w:eastAsia="Arial" w:hAnsi="Times New Roman" w:cs="Times New Roman"/>
          <w:noProof/>
          <w:sz w:val="24"/>
          <w:szCs w:val="15"/>
        </w:rPr>
      </w:pPr>
    </w:p>
    <w:p w14:paraId="6F3E9D35"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2.6.1.3. TRAKTĒJUMA PAMATOJUMS</w:t>
      </w:r>
    </w:p>
    <w:p w14:paraId="5021E64D" w14:textId="77777777" w:rsidR="00994F93" w:rsidRPr="00B03B51" w:rsidRDefault="00994F93" w:rsidP="00994F93">
      <w:pPr>
        <w:tabs>
          <w:tab w:val="left" w:pos="1692"/>
        </w:tabs>
        <w:jc w:val="both"/>
        <w:rPr>
          <w:rFonts w:ascii="Times New Roman" w:hAnsi="Times New Roman" w:cs="Times New Roman"/>
          <w:b/>
          <w:noProof/>
          <w:sz w:val="24"/>
        </w:rPr>
      </w:pPr>
    </w:p>
    <w:p w14:paraId="3F8CEF1D" w14:textId="77777777" w:rsidR="00994F93" w:rsidRPr="00C143EC" w:rsidRDefault="00994F93" w:rsidP="00C143EC">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2.6.1.3.1. Valdības sektoram nepiederoša vienība kā saņēmējs</w:t>
      </w:r>
    </w:p>
    <w:p w14:paraId="1CBE0EE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24E151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51. Valdība nav galasaņēmējs, jo vai nu subsīdija ir saistīta ar valdības sektorā neietilpstošu vienību saimniecisko darbību, vai pārskaitījums acīmredzami palielina tieši valdības sektorā neietilpstošas vienības ieņēmumus, vai arī ar šo pārskaitījumu sedz kādu kapitāla darījumu, kas paredzēts valdības sektorā neietilpstošas vienības veiktas nefinanšu aktīvu iegādes pilnīgai vai daļējai finansēšanai. Te ietilpst arī gadījums, kad maksājumi tiek veikti regulējošajām vienībām, kuras ir klasificētas kā tirgus ražotāji, kas atrodas ārpus vispārējās valdības sektora (skat. šīs rokasgrāmatas 1. daļu “Vispārējās valdības sektora norobežošana”). Šis gadījums galvenokārt ir saistīts ar kopējo lauksaimniecības politiku, taču tas varētu būt saistīts arī ar atsevišķiem maksājumiem no citiem struktūrfondiem (jo īpaši no Sociālā fonda un Kohēzijas fonda).</w:t>
      </w:r>
    </w:p>
    <w:p w14:paraId="488D2D5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B12203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52. Traktējums atbilst EKS 2010 noteikumiem attiecībā uz laiku, kad veicama ierakstīšana atbilstīgi “uzkrāšanas” principam. Subsīdijas ieraksta tad, kad notiek darījums vai notikums (ražošana, pārdošana, imports u. tml.), kas rada pamatu subsīdijai (EKS 2010 4.39. punkts). </w:t>
      </w:r>
      <w:r w:rsidRPr="00B03B51">
        <w:rPr>
          <w:rFonts w:ascii="Times New Roman" w:hAnsi="Times New Roman" w:cs="Times New Roman"/>
          <w:sz w:val="24"/>
        </w:rPr>
        <w:lastRenderedPageBreak/>
        <w:t>Šāds notikums var būt, piemēram, lauksaimnieciskā ražošana vai preču eksports. Citu kārtējo pārvedumu (skaidrā naudā) ierakstīšanas laiks ir brīdis, kad spēkā esošais regulējums (vai līgumiska vienošanās) paredz veikt pārvedumus (EKS 2010 4.123. punkts). Ieguldījumu dotācijas naudā ieraksta, kad ir jāveic maksājums vienībai, kura izdevumus bruto ieguldījumiem pamatkapitālā ieraksta savos kontos (EKS 2010 4.162. punkts).</w:t>
      </w:r>
    </w:p>
    <w:p w14:paraId="316B29F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734A02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Praksē summas nevalstiskiem gala saņēmējiem parasti novirza ar valdības kontu starpniecību. Tomēr ir tieši jāieraksta, ka šīs ir abu iesaistīto pušu (ES un valdības sektoram nepiederošā saņēmēja) savstarpējās nefinanšu plūsmas, un valdības loma tiek ierakstīta vien finanšu kontos. Iemesls ir tāds, ka EKS 2010 4.122. punkta b) apakšpunktā noteikts, ka kārtējos pārvedumus, kurus Eiropas Savienība veic tirgus ražotājiem rezidentiem, uzrāda kā pārējās pasaules izmaksātās subsīdijas. Līdzīgs princips ir noteikts EKS 2010 4.152. punktā attiecībā uz ieguldījumu dotācijām.</w:t>
      </w:r>
    </w:p>
    <w:p w14:paraId="38F0A1F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282DB7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Ciktāl tas skar darījumu ierakstīšanas laiku, var rasties laika starpība attiecībā uz to brīdi, kad saistība tiek atzīta, un brīdi, kad Eiropas iestāde veic maksājumu. Tomēr praksē pēc tam, kad Eiropas iestādes ir pieņēmušas lēmumu par samaksu, šo naudas līdzekļu faktiskā pārveduma kavējums ir ļoti neliels. Turklāt dažām valstīm informācija tiešā veidā ir pieejama tikai no kases datiem pārskatu sistēmās.</w:t>
      </w:r>
    </w:p>
    <w:p w14:paraId="7129864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110E77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55. Ja valdība ES vārdā izmaksā avansu valdības sektorā neietilpstošam saņēmējam, 254. rindkopā minētais traktējums no ekonomiskā viedokļa ir pamatots, jo galasaņēmēja finansiālais stāvoklis tiek ietekmēts laikā, kad valdība šo avansu izmaksā, un tas skar saņēmēja saimniecisko rīcību. Šajā gadījumā valsts rīkojas Eiropas iestāžu “vārdā”. Nacionālajos kontos ir jāieraksta valdības finanšu prasījums pret Eiropas iestādēm.</w:t>
      </w:r>
    </w:p>
    <w:p w14:paraId="608C043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8A78D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56. Praksē naudas summa, kuru valdība ir izmaksājusi saņēmējiem, atšķirsies no galīgā maksājuma, ko veikušas Eiropas iestādes, tikai izņēmuma gadījumos – galvenokārt kļūdu un krāpniecisku darbību dēļ. Tomēr daudz biežāk gadās, ka Eiropas iestādes pieprasa papildu dokumentāciju, un līdz ar to atmaksa tiek aizkavēta.</w:t>
      </w:r>
    </w:p>
    <w:p w14:paraId="394B89AE" w14:textId="77777777" w:rsidR="00994F93" w:rsidRPr="00B03B51" w:rsidRDefault="00994F93" w:rsidP="00994F93">
      <w:pPr>
        <w:jc w:val="both"/>
        <w:rPr>
          <w:rFonts w:ascii="Times New Roman" w:hAnsi="Times New Roman" w:cs="Times New Roman"/>
          <w:noProof/>
          <w:sz w:val="24"/>
        </w:rPr>
      </w:pPr>
    </w:p>
    <w:p w14:paraId="21EDB87F"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2.6.1.3.2. Valdības vienība kā galasaņēmējs</w:t>
      </w:r>
    </w:p>
    <w:p w14:paraId="37CBA3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4384A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Dažādās ES shēmās valdības vienības var būt galasaņēmēji. Tas īpaši attiecas uz reģionālās attīstības un sociālajiem fondiem, kad valdības vienība pārvalda projektu saskaņā ar vienošanos ar Eiropas iestādēm, taču tai ir noteikta autonomija attiecībā uz konkrētā projekta pabeigšanu. Valdības izdevumi pēc būtības var būt dažādi: P.2, P.5, P.7, D.1 un, iespējams, citi sadales darījumi (D.3, D.7 un D.9). Šķiet, ka ļoti īpašos gadījumos valdība var arī iegādāties akcijas.</w:t>
      </w:r>
    </w:p>
    <w:p w14:paraId="2B45CF4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02E400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58. Tiklīdz valdībai ir radušies izdevumi, tā (parasti ar nelielu aizkavēšanos) nosūta Eiropas iestādēm visus attiecīgos dokumentus, kas nepieciešami atlīdzinājuma saņemšanai. Tomēr valdības nodoms ne vienmēr ir zināms izdevumu rašanās brīdī.</w:t>
      </w:r>
    </w:p>
    <w:p w14:paraId="795BD0FE" w14:textId="77777777" w:rsidR="00994F93" w:rsidRPr="00B03B51" w:rsidRDefault="00994F93" w:rsidP="00994F93">
      <w:pPr>
        <w:jc w:val="both"/>
        <w:rPr>
          <w:rFonts w:ascii="Times New Roman" w:eastAsia="Arial" w:hAnsi="Times New Roman" w:cs="Times New Roman"/>
          <w:noProof/>
          <w:sz w:val="24"/>
          <w:szCs w:val="18"/>
        </w:rPr>
      </w:pPr>
    </w:p>
    <w:p w14:paraId="526D88CC"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Īpašs gadījums, kad prasījuma iesniegšanas nodoms nav zināms izdevumu rašanās brīdī</w:t>
      </w:r>
    </w:p>
    <w:p w14:paraId="4F25E2EF" w14:textId="77777777" w:rsidR="00994F93" w:rsidRPr="00B03B51" w:rsidRDefault="00994F93" w:rsidP="00994F93">
      <w:pPr>
        <w:jc w:val="both"/>
        <w:rPr>
          <w:rFonts w:ascii="Times New Roman" w:eastAsia="Arial" w:hAnsi="Times New Roman" w:cs="Times New Roman"/>
          <w:b/>
          <w:bCs/>
          <w:noProof/>
          <w:sz w:val="24"/>
        </w:rPr>
      </w:pPr>
    </w:p>
    <w:p w14:paraId="7B7FC91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Tikai šajā iepriekš minētajā gadījumā, lai labāk atspoguļotu ekonomisko realitāti, praktisku apsvērumu dēļ valdības ieņēmumus būtu atbilstošāk ierakstīt brīdī, kad valdība nosūta dokumentus Eiropas iestādēm.</w:t>
      </w:r>
    </w:p>
    <w:p w14:paraId="705217C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67DF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60. Šeit paredzētā traktējuma pamatā ir pieredze, kas apliecina to, ka Eiropas iestādes gandrīz vienmēr samaksā to, kas ir faktiski deklarēts. Gadījumi, kad ES pilnībā neatmaksā valdības </w:t>
      </w:r>
      <w:r w:rsidRPr="00B03B51">
        <w:rPr>
          <w:rFonts w:ascii="Times New Roman" w:hAnsi="Times New Roman" w:cs="Times New Roman"/>
          <w:sz w:val="24"/>
        </w:rPr>
        <w:lastRenderedPageBreak/>
        <w:t>izdevumus, faktiski ir ļoti reti (un salīdzinājumā ar kopējo naudas summu parasti neatmaksātās naudas summas ir ļoti mazas).</w:t>
      </w:r>
    </w:p>
    <w:p w14:paraId="64083ED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B5F300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61. Ņemot vērā vienošanās ar ES, valsts izdevumiem vienmēr ir jāatbilst precīzām prasībām un valstīm nebūtu jāmēģina iegūt neatbilstošus ieņēmumus. Papildus tam Eiropas iestādes veic arī vietējos kontroles pasākumus, tāpēc finanšu līdzekļu nepareiza izmantošana, programmu nepabeigšana, krāpšanas gadījumi u. tml. gadījumi notiek ļoti reti. Ja tomēr Eiropas iestādes neatmaksā valdībai izdevumus (ņemot vērā, ka laika nobīde parasti ir neliela), Eiropas iestādēm būtu jāveic atbilstoša valdības ienākumu atpakaļvērstā pārskatīšana.</w:t>
      </w:r>
    </w:p>
    <w:p w14:paraId="7DC203F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71ECD8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Piedāvātais traktējums atbilst arī EKS 2010 4.162. punktam, kurā ir noteikts, ka ieguldījumu dotācijas skaidrā naudā ieraksta brīdī, kad jāveic maksājums. Frāze “kad jāveic maksājums” liecina par to, ka valdība paredz, ka tiks saņemta atmaksa. Ja izdevumu rašanās brīdī nav bijušas nekādas prognozes attiecībā uz izdevumu atmaksāšanu, ieņēmumu ierakstīšanas laiks nav izdevumu rašanās brīdis. Valdības ieņēmumi tiek ierakstīti brīdī, kad pamatoti rodas atmaksas prognozes, proti, brīdī, kad tiek iesniegts prasījums. Tas atbilst šajā nodaļā izklāstītajiem principiem.</w:t>
      </w:r>
    </w:p>
    <w:p w14:paraId="13BFBA3E" w14:textId="77777777" w:rsidR="00994F93" w:rsidRPr="00B03B51" w:rsidRDefault="00994F93" w:rsidP="00994F93">
      <w:pPr>
        <w:jc w:val="both"/>
        <w:rPr>
          <w:rFonts w:ascii="Times New Roman" w:eastAsia="Arial" w:hAnsi="Times New Roman" w:cs="Times New Roman"/>
          <w:noProof/>
          <w:sz w:val="24"/>
          <w:szCs w:val="19"/>
        </w:rPr>
      </w:pPr>
    </w:p>
    <w:p w14:paraId="3D589C37"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Īpašs gadījums, kad izdevumu rašanās brīdī nav zināma precīza paredzamās atmaksas summa</w:t>
      </w:r>
    </w:p>
    <w:p w14:paraId="0B6DAC98" w14:textId="77777777" w:rsidR="00994F93" w:rsidRPr="00B03B51" w:rsidRDefault="00994F93" w:rsidP="00994F93">
      <w:pPr>
        <w:jc w:val="both"/>
        <w:rPr>
          <w:rFonts w:ascii="Times New Roman" w:eastAsia="Arial" w:hAnsi="Times New Roman" w:cs="Times New Roman"/>
          <w:b/>
          <w:bCs/>
          <w:noProof/>
          <w:sz w:val="24"/>
        </w:rPr>
      </w:pPr>
    </w:p>
    <w:p w14:paraId="0983090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63. Ja atmaksa tiek prognozēta projekta izdevumu rašanās brīdī, taču nav zināma precīza paredzamās atmaksas summa (procentuāla daļa no izdevumu summas), ir jāveic piesardzīga paredzamā Eiropas iestāžu sākotnējā maksājuma aplēse.</w:t>
      </w:r>
    </w:p>
    <w:p w14:paraId="02FF1CA8" w14:textId="77777777" w:rsidR="00994F93" w:rsidRPr="00C143EC" w:rsidRDefault="00994F93" w:rsidP="00C143EC">
      <w:pPr>
        <w:rPr>
          <w:rFonts w:ascii="Times New Roman" w:hAnsi="Times New Roman" w:cs="Times New Roman"/>
          <w:noProof/>
          <w:sz w:val="24"/>
          <w:szCs w:val="24"/>
        </w:rPr>
      </w:pPr>
    </w:p>
    <w:p w14:paraId="0FFAFFD9"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2.6.1.3.3. Eiropas iestāžu sākotnējais maksājums</w:t>
      </w:r>
    </w:p>
    <w:p w14:paraId="2B35DE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CAF886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64. Nacionālajos kontos Eiropas iestāžu sākotnējo maksājumu var traktēt vienīgi kā finanšu avansu bez jebkādas ietekmes uz valdības neto aizdevumu/aizņēmumu (B.9).</w:t>
      </w:r>
    </w:p>
    <w:p w14:paraId="0511902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DD4A1E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65. Šāda traktējuma pamatā ir fakts, ka ES noteikumi nosaka, ka valdība drīkst pieprasīt Eiropas iestādēm veikt atmaksu saskaņā ar iepriekš noteiktiem nosacījumiem vienīgi tad, kad valdībai ir radušies izdevumi. Līdz ar to avansu nevar ierakstīt kā ieņēmumus līdz brīdim, kad rodas atbilstošie izdevumi.</w:t>
      </w:r>
    </w:p>
    <w:p w14:paraId="3154046B" w14:textId="77777777" w:rsidR="00994F93" w:rsidRPr="00B03B51" w:rsidRDefault="00994F93" w:rsidP="00994F93">
      <w:pPr>
        <w:jc w:val="both"/>
        <w:rPr>
          <w:rFonts w:ascii="Times New Roman" w:eastAsia="Arial" w:hAnsi="Times New Roman" w:cs="Times New Roman"/>
          <w:noProof/>
          <w:sz w:val="24"/>
          <w:szCs w:val="19"/>
        </w:rPr>
      </w:pPr>
    </w:p>
    <w:p w14:paraId="7F3A4D1E"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76" w:name="_Toc67565075"/>
      <w:r w:rsidRPr="00B03B51">
        <w:rPr>
          <w:rFonts w:ascii="Times New Roman" w:hAnsi="Times New Roman" w:cs="Times New Roman"/>
          <w:sz w:val="24"/>
        </w:rPr>
        <w:t>2.6.2. ES dalībvalstu iemaksas ES budžetā</w:t>
      </w:r>
      <w:bookmarkEnd w:id="176"/>
    </w:p>
    <w:p w14:paraId="7AAD665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93C0DE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66. EKS 2010 ir noteikts, kā nacionālajos kontos ir traktējamas dažādas ES dalībvalstu veiktās iemaksas ES budžetā.</w:t>
      </w:r>
    </w:p>
    <w:p w14:paraId="3FEEC30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BC57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67. Muitas un lauksaimniecības nodevas, kas piemērotas uz Eiropas Savienības ārējām robežām, klasificē kā importa nodokļus un nodevas, izņemot PVN (D.212). Tos ieraksta saskaņā ar šīs rokasgrāmatas 2.2. nodaļā “Nodokļu un sociālo iemaksu ierakstīšana” aprakstītajiem noteikumiem pēc bruto principa, kuros iekļauj iekasēšanas izmaksas. Muitas un lauksaimniecības nodevas iekasē ES iestāžu vārdā, un tās nedrīkst ierakstīt kā valdības ieņēmumus. Tikai iekasēšanas izmaksas ieraksta valdības finanšu statistikā</w:t>
      </w:r>
      <w:r w:rsidRPr="00B03B51">
        <w:rPr>
          <w:rStyle w:val="FootnoteReference"/>
          <w:rFonts w:ascii="Times New Roman" w:hAnsi="Times New Roman" w:cs="Times New Roman"/>
          <w:noProof/>
          <w:sz w:val="24"/>
        </w:rPr>
        <w:footnoteReference w:id="139"/>
      </w:r>
      <w:r w:rsidRPr="00B03B51">
        <w:rPr>
          <w:rFonts w:ascii="Times New Roman" w:hAnsi="Times New Roman" w:cs="Times New Roman"/>
          <w:sz w:val="24"/>
        </w:rPr>
        <w:t>, un praktisku apsvērumu dēļ ir ieteicams tās ierakstīt tad, kad summas ir atskaitītas no maksājumiem ES iestādēm.</w:t>
      </w:r>
    </w:p>
    <w:p w14:paraId="657D79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9B54B3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68. Ražošanas maksas, kuras piemēro par cukura, izoglikozes un inulīna sīrupa kvotām, ko tur ražotāji, tiek klasificētās kā “produktu nodokļi, izņemot PVN un importa nodokļus” (D.214) pēc bruto principa. Ievēro to pašu ierakstīšanas principu, kāds ir muitas un lauksaimniecības nodevu ierakstīšanai (t. i., valdības kontos ieraksta tikai iekasēšanas izmaksas).</w:t>
      </w:r>
    </w:p>
    <w:p w14:paraId="5B125B5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47B9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69. Kontā “uz PVN un NKI balstīti ES pašu resursi” (D.76) ietver maksājumus par kārtējā gada PVN un NKI resursiem, kā arī bilanci par iepriekšējiem gadiem un budžeta nelīdzsvarotības korekciju, ko samaksājušas citas dalībvalstis attiecīgajām valstīm.</w:t>
      </w:r>
    </w:p>
    <w:p w14:paraId="5CB698B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0C953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70. Maksājumus par kārtējā gada PVN un NKI resursiem veic kā ikmēneša maksājumus ES budžetā</w:t>
      </w:r>
      <w:r w:rsidRPr="00B03B51">
        <w:rPr>
          <w:rStyle w:val="FootnoteReference"/>
          <w:rFonts w:ascii="Times New Roman" w:hAnsi="Times New Roman" w:cs="Times New Roman"/>
          <w:noProof/>
          <w:sz w:val="24"/>
        </w:rPr>
        <w:footnoteReference w:id="140"/>
      </w:r>
      <w:r w:rsidRPr="00B03B51">
        <w:rPr>
          <w:rFonts w:ascii="Times New Roman" w:hAnsi="Times New Roman" w:cs="Times New Roman"/>
          <w:sz w:val="24"/>
        </w:rPr>
        <w:t>, kurus aprēķina kā 1/12 daļu no gada summas, kas iekļauta sākotnējā ES gada budžetā. Sākotnējā ES gada budžetā iekļautās gada summas gada laikā var tikt palielinātas vai samazinātas (piemēram, kad iekļauj ES budžeta pārpalikumu no iepriekšējā gada), veicot ES budžeta grozījumus, kā rezultātā mainās ikmēneša maksājumi. Ja ES budžeta grozījumi gadā tiek apstiprināti pārāk vēlu, lai tos atspoguļotu ikmēneša maksājumos, gadā uzkrātā summa ir tā, kas norādīta budžeta grozījumos, nevis divpadsmit mēnešu maksājumu summa.</w:t>
      </w:r>
    </w:p>
    <w:p w14:paraId="51C553C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2C736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71. Bilanci par iepriekšējo gadu Eiropas Komisija paziņo oktobrī, un maksājums ir jāveic decembra pirmajā darba dienā. Tādēļ summas tiek atzītas tajā pašā gadā, kad tās tiek maksātas. Tomēr izņēmuma apstākļos</w:t>
      </w:r>
      <w:r w:rsidRPr="00B03B51">
        <w:rPr>
          <w:rStyle w:val="FootnoteReference"/>
          <w:rFonts w:ascii="Times New Roman" w:hAnsi="Times New Roman" w:cs="Times New Roman"/>
          <w:noProof/>
          <w:sz w:val="24"/>
        </w:rPr>
        <w:footnoteReference w:id="141"/>
      </w:r>
      <w:r w:rsidRPr="00B03B51">
        <w:rPr>
          <w:rFonts w:ascii="Times New Roman" w:hAnsi="Times New Roman" w:cs="Times New Roman"/>
          <w:sz w:val="24"/>
        </w:rPr>
        <w:t xml:space="preserve"> dalībvalstis var maksājumu atlikt līdz nākamā gada septembrim, taču, tā kā pastāv saistības un summa ir zināma, to uzkrāj kārtējā gadā, izdarot attiecīgu ierakstu maksājamās summās. Ņemot vērā, ka ES darbojas, pamatojoties uz sabalansētu naudas budžetu, atliktie maksājumi, ko izvēlējušās dažas dalībvalstis, samazina ES naudas ieņēmumus kārtējā gadā un palielina ES naudas ieņēmumus nākamajā gadā. Tas savukārt nozīmē, ka ES samazina atmaksas (vai palielina papildmaksājumus) kārtējā gadā, ko ir parādā citām dalībvalstīm (vai ko citas dalībvalstis ir parādā ES), un atmaksā tās nākamajā gadā. Tādējādi citas dalībvalstis iegūst saņemamās summas no ES, kas precīzi atbilst iepriekš minētajām maksājamām summām.</w:t>
      </w:r>
    </w:p>
    <w:p w14:paraId="36541C6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3D230B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72. Budžeta nelīdzsvarotības korekcijas, ko maksā citas dalībvalstis noteiktām valstīm, uzkrāj tajā gadā, kurā ir izdarītas korekcijas, neatkarīgi no tā, uz kuriem gadiem attiecas dati, kas izmantoti šo korekciju aprēķināšanai.</w:t>
      </w:r>
    </w:p>
    <w:p w14:paraId="41A30CFB" w14:textId="77777777" w:rsidR="00994F93" w:rsidRPr="00B03B51" w:rsidRDefault="00994F93" w:rsidP="00994F93">
      <w:pPr>
        <w:jc w:val="both"/>
        <w:rPr>
          <w:rFonts w:ascii="Times New Roman" w:eastAsia="Arial" w:hAnsi="Times New Roman" w:cs="Times New Roman"/>
          <w:noProof/>
          <w:sz w:val="24"/>
          <w:szCs w:val="19"/>
        </w:rPr>
      </w:pPr>
    </w:p>
    <w:p w14:paraId="2735DDBD" w14:textId="77777777" w:rsidR="00994F93" w:rsidRPr="00B03B51" w:rsidRDefault="00994F93" w:rsidP="00994F93">
      <w:pPr>
        <w:pStyle w:val="Heading3"/>
        <w:tabs>
          <w:tab w:val="left" w:pos="1267"/>
          <w:tab w:val="left" w:pos="3178"/>
          <w:tab w:val="left" w:pos="4814"/>
          <w:tab w:val="left" w:pos="5361"/>
          <w:tab w:val="left" w:pos="6074"/>
          <w:tab w:val="left" w:pos="7640"/>
          <w:tab w:val="left" w:pos="8319"/>
        </w:tabs>
        <w:ind w:left="0" w:firstLine="0"/>
        <w:jc w:val="both"/>
        <w:rPr>
          <w:rFonts w:ascii="Times New Roman" w:hAnsi="Times New Roman" w:cs="Times New Roman"/>
          <w:noProof/>
          <w:sz w:val="24"/>
        </w:rPr>
      </w:pPr>
      <w:bookmarkStart w:id="177" w:name="_Toc67565076"/>
      <w:r w:rsidRPr="00B03B51">
        <w:rPr>
          <w:rFonts w:ascii="Times New Roman" w:hAnsi="Times New Roman" w:cs="Times New Roman"/>
          <w:sz w:val="24"/>
        </w:rPr>
        <w:t>2.6.3. Tā saucamo ES “finanšu instrumentu” grāmatvedības traktējums</w:t>
      </w:r>
      <w:bookmarkEnd w:id="177"/>
    </w:p>
    <w:p w14:paraId="58886C5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4B1D0F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73. ES sniedz finanšu atbalsta pasākumus no ES strukturālajiem un investīciju fondiem, izmantojot juridiski tā saucamos “finanšu instrumentus”.</w:t>
      </w:r>
      <w:r w:rsidRPr="00B03B51">
        <w:rPr>
          <w:rStyle w:val="FootnoteReference"/>
          <w:rFonts w:ascii="Times New Roman" w:hAnsi="Times New Roman" w:cs="Times New Roman"/>
          <w:noProof/>
          <w:sz w:val="24"/>
        </w:rPr>
        <w:footnoteReference w:id="142"/>
      </w:r>
      <w:r w:rsidRPr="00B03B51">
        <w:rPr>
          <w:rFonts w:ascii="Times New Roman" w:hAnsi="Times New Roman" w:cs="Times New Roman"/>
          <w:sz w:val="24"/>
        </w:rPr>
        <w:t xml:space="preserve"> Šie instrumenti var būt “pašu kapitāla vai pašu kapitālam pielīdzināmi ieguldījumi, aizdevumi vai garantijas” un paredzēti tādu darbību atbalstīšanai, kuras radīs ienākumus vai ļaus turpmāk ietaupīt izdevumus. Pretēji dotācijām šie instrumenti nav dāvana galasaņēmējam, kurš parasti ir mazs vai vidējs uzņēmums (MVU), jo normālos apstākļos tiek gaidīts, ka līdzekļi tiks atmaksāti kreditoram un ir jāgūst </w:t>
      </w:r>
      <w:r w:rsidRPr="00B03B51">
        <w:rPr>
          <w:rFonts w:ascii="Times New Roman" w:hAnsi="Times New Roman" w:cs="Times New Roman"/>
          <w:sz w:val="24"/>
        </w:rPr>
        <w:lastRenderedPageBreak/>
        <w:t>peļņa no ieguldījuma (piemēram, aizdevuma procenti vai peļņa no pašu kapitāla turpmākās pārdošanas). ES tiesību aktos</w:t>
      </w:r>
      <w:r w:rsidRPr="00B03B51">
        <w:rPr>
          <w:rStyle w:val="FootnoteReference"/>
          <w:rFonts w:ascii="Times New Roman" w:hAnsi="Times New Roman" w:cs="Times New Roman"/>
          <w:noProof/>
          <w:sz w:val="24"/>
        </w:rPr>
        <w:footnoteReference w:id="143"/>
      </w:r>
      <w:r w:rsidRPr="00B03B51">
        <w:rPr>
          <w:rFonts w:ascii="Times New Roman" w:hAnsi="Times New Roman" w:cs="Times New Roman"/>
          <w:sz w:val="24"/>
        </w:rPr>
        <w:t xml:space="preserve"> ir atļauts izvēlēties, kā šie finanšu instrumenti tiek īstenoti valsts līmenī, proti, īstenošanas iestādes var izvēlēties, vai piešķirt īstenošanas uzdevumu jaunizveidotam subjektam vai noslēgt līgumu par pārvaldību ar EIF/EIB vai ar esošam finanšu iestādēm.</w:t>
      </w:r>
    </w:p>
    <w:p w14:paraId="34A9D7B7" w14:textId="77777777" w:rsidR="00994F93" w:rsidRPr="00B03B51" w:rsidRDefault="00994F93" w:rsidP="00994F93">
      <w:pPr>
        <w:jc w:val="both"/>
        <w:rPr>
          <w:rFonts w:ascii="Times New Roman" w:eastAsia="Arial" w:hAnsi="Times New Roman" w:cs="Times New Roman"/>
          <w:noProof/>
          <w:sz w:val="24"/>
          <w:szCs w:val="14"/>
        </w:rPr>
      </w:pPr>
    </w:p>
    <w:p w14:paraId="72C54E5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74. Vienība, kurai uzdots īstenot finanšu instrumentu vai pārvaldīt starpfondu ieguldījumu fondu, ir uzskatāma par “labuma guvēju”, ievērojot B.9 neitralitātes principu attiecībā uz ES plūsmu ierakstīšanu. Labuma guvējs tiek nošķirts no galasaņēmēja, proti, no subjekta, kas saņem finanšu atbalstu no finanšu instrumenta (piemēram, MVU, kam piešķirts aizdevums vai kas saņem garantiju). Iespējams, ka labuma guvējs un galasaņēmējs – viens no tiem, abi vai neviens – var būt vienība, kas klasificēta vispārējās valdības sektorā.</w:t>
      </w:r>
    </w:p>
    <w:p w14:paraId="165C19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63ED9F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75. Ja labuma guvēja vienība ir klasificēta ārpus vispārējās valdības sektora, visi līdzekļi no ES, kas tiek virzīti ar valdības/Valsts kases starpniecību, tiek ierakstīti kā finanšu darījumi (F.2 aktīvi naudas plūsmai, F.89 saistības, pretējā puse), neietekmējot valdības ieņēmumus/izdevumus, proti, kad Valsts kase veic avansa maksājumu vai kad šie līdzekļi vienīgi iziet cauri Valsts kasei vai citiem valdības kontiem. Ja līdzekļu plūsmā valdība nav iesaistīta kā galasaņēmējs, labuma guvējs vai kā līdzekļu virzītājs, valdības kontos nav nepieciešams ieraksts.</w:t>
      </w:r>
    </w:p>
    <w:p w14:paraId="143DCEC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232522E" w14:textId="0B13C61A"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76. Ja labuma guvējs ir vienība, kas klasificēta vispārējās valdības sektorā, nauda, kas saņemta, lai veidotu līdzekļus finanšu instrumentam, tiek ierakstītā kā “labuma guvēja” maksājamā summa (F.89) Eiropas Savienībai, nevis kā valdības ieņēmumi. Maksājamā summa samazinās, kad tiek uzskatīts, ka līdzekļi ir zuduši (piemēram, kad aizdevumi, ko labuma guvējs piešķīris galasaņēmējam, ir atcelti vai ir pieprasīta garantija) attiecībā uz valdības ieņēmumiem no ES (kas tādējādi neitralizē kapitāla pārvedumu par aizdevuma </w:t>
      </w:r>
      <w:r w:rsidR="00AE7172" w:rsidRPr="00B03B51">
        <w:rPr>
          <w:rFonts w:ascii="Times New Roman" w:hAnsi="Times New Roman" w:cs="Times New Roman"/>
          <w:sz w:val="24"/>
        </w:rPr>
        <w:t>anulēšanu</w:t>
      </w:r>
      <w:r w:rsidRPr="00B03B51">
        <w:rPr>
          <w:rFonts w:ascii="Times New Roman" w:hAnsi="Times New Roman" w:cs="Times New Roman"/>
          <w:sz w:val="24"/>
        </w:rPr>
        <w:t xml:space="preserve"> vai garantijas pieprasījumu). Maksājamā summa palielinās par uzkrāto procentu un maksu un saņemto dividenžu summu.</w:t>
      </w:r>
    </w:p>
    <w:p w14:paraId="7F8776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AE5198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77. AF.89 maksājamā summa Eiropas Savienībai paliks sistēmā, līdz tiks pieņemts lēmums par šo līdzekļu galīgo apropriāciju.</w:t>
      </w:r>
    </w:p>
    <w:p w14:paraId="1211D49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14AE2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78. Gadījumos, kad Valsts kase nodrošina labuma guvējam naudu avansā, pārvedumu ieraksta kā Valsts kases saņemamo summu (F.8) pret ES, kopā ar to, ka saņēmējs uzņemas maksājamo summu (F.8) pret ES. Kad tiek saņemts ES maksājums, Valsts kases saņemamā summa tiek dzēsta.</w:t>
      </w:r>
    </w:p>
    <w:p w14:paraId="216A8C4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F934AE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79. Saskaņā ar šo ierakstīšanas veidu ES korekcija tiek īstenota tikai labuma guvēja līmenī (t. i., fonda pārvaldītāja līmenī). Plūsmas saņēmēja virzienā, izmantojot “finanšu instrumentus”, ir uzskatāmas nevis par ES strukturālo un investīciju fondu izdevumiem, bet par finansējumu un ir jāieraksta, izmantojot parastos EKS noteikumus. Tas nozīmē, ka gadījumā, ja galasaņēmējs ir klasificēts vispārējās valdības sektorā, B.9 ietekmi ieraksta attiecībā uz visiem izdevumiem, kas finansēti ar aizdevumu no “labuma guvēja”, vai procentiem, kas samaksāti par aizdevumu.</w:t>
      </w:r>
    </w:p>
    <w:p w14:paraId="20ADE0C8" w14:textId="77777777" w:rsidR="00994F93" w:rsidRPr="00B03B51" w:rsidRDefault="00994F93" w:rsidP="00994F93">
      <w:pPr>
        <w:jc w:val="both"/>
        <w:rPr>
          <w:rFonts w:ascii="Times New Roman" w:eastAsia="Arial" w:hAnsi="Times New Roman" w:cs="Times New Roman"/>
          <w:noProof/>
          <w:sz w:val="24"/>
          <w:szCs w:val="18"/>
        </w:rPr>
      </w:pPr>
    </w:p>
    <w:p w14:paraId="4995101A" w14:textId="77777777" w:rsidR="00994F93" w:rsidRPr="00B03B51" w:rsidRDefault="00994F93" w:rsidP="00DA39FD">
      <w:pPr>
        <w:pStyle w:val="Heading3"/>
        <w:keepNext/>
        <w:tabs>
          <w:tab w:val="left" w:pos="1267"/>
        </w:tabs>
        <w:ind w:left="0" w:firstLine="0"/>
        <w:jc w:val="both"/>
        <w:rPr>
          <w:rFonts w:ascii="Times New Roman" w:hAnsi="Times New Roman" w:cs="Times New Roman"/>
          <w:noProof/>
          <w:sz w:val="24"/>
        </w:rPr>
      </w:pPr>
      <w:bookmarkStart w:id="178" w:name="_Toc67565077"/>
      <w:r w:rsidRPr="00B03B51">
        <w:rPr>
          <w:rFonts w:ascii="Times New Roman" w:hAnsi="Times New Roman" w:cs="Times New Roman"/>
          <w:sz w:val="24"/>
        </w:rPr>
        <w:lastRenderedPageBreak/>
        <w:t>2.6.4. Uzskaites piemēri</w:t>
      </w:r>
      <w:bookmarkEnd w:id="178"/>
    </w:p>
    <w:p w14:paraId="76979F2B" w14:textId="77777777" w:rsidR="00994F93" w:rsidRPr="00B03B51" w:rsidRDefault="00994F93" w:rsidP="00DA39FD">
      <w:pPr>
        <w:keepNext/>
        <w:tabs>
          <w:tab w:val="left" w:pos="770"/>
        </w:tabs>
        <w:jc w:val="both"/>
        <w:rPr>
          <w:rFonts w:ascii="Times New Roman" w:hAnsi="Times New Roman" w:cs="Times New Roman"/>
          <w:b/>
          <w:noProof/>
          <w:sz w:val="24"/>
        </w:rPr>
      </w:pPr>
    </w:p>
    <w:p w14:paraId="31C219C7" w14:textId="77777777" w:rsidR="00994F93" w:rsidRPr="00B03B51" w:rsidRDefault="00994F93" w:rsidP="00DA39FD">
      <w:pPr>
        <w:keepNext/>
        <w:tabs>
          <w:tab w:val="left" w:pos="770"/>
        </w:tabs>
        <w:jc w:val="both"/>
        <w:rPr>
          <w:rFonts w:ascii="Times New Roman" w:hAnsi="Times New Roman" w:cs="Times New Roman"/>
          <w:b/>
          <w:noProof/>
          <w:sz w:val="24"/>
        </w:rPr>
      </w:pPr>
      <w:r w:rsidRPr="00B03B51">
        <w:rPr>
          <w:rFonts w:ascii="Times New Roman" w:hAnsi="Times New Roman" w:cs="Times New Roman"/>
          <w:b/>
          <w:sz w:val="24"/>
        </w:rPr>
        <w:t>1. Galasaņēmējs nav valdības vienība (valsts avansa gadījums)</w:t>
      </w:r>
    </w:p>
    <w:p w14:paraId="7E63A328" w14:textId="77777777" w:rsidR="00994F93" w:rsidRPr="00B03B51" w:rsidRDefault="00994F93" w:rsidP="00DA39FD">
      <w:pPr>
        <w:keepNext/>
        <w:jc w:val="both"/>
        <w:rPr>
          <w:rFonts w:ascii="Times New Roman" w:eastAsia="Arial" w:hAnsi="Times New Roman" w:cs="Times New Roman"/>
          <w:b/>
          <w:bCs/>
          <w:noProof/>
          <w:sz w:val="24"/>
        </w:rPr>
      </w:pPr>
    </w:p>
    <w:p w14:paraId="4F773AC1" w14:textId="77777777" w:rsidR="00994F93" w:rsidRPr="00B03B51" w:rsidRDefault="00994F93" w:rsidP="00DA39FD">
      <w:pPr>
        <w:pStyle w:val="BodyText"/>
        <w:keepN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Valdības sektoram nepiederošam ražotājam ir tiesības saņemt 1000 vienības no Eiropas iestādes kā ieguldījumu atbalstu </w:t>
      </w:r>
      <w:r w:rsidRPr="00B03B51">
        <w:rPr>
          <w:rFonts w:ascii="Times New Roman" w:hAnsi="Times New Roman" w:cs="Times New Roman"/>
          <w:i/>
          <w:iCs/>
          <w:sz w:val="24"/>
        </w:rPr>
        <w:t>t</w:t>
      </w:r>
      <w:r w:rsidRPr="00B03B51">
        <w:rPr>
          <w:rFonts w:ascii="Times New Roman" w:hAnsi="Times New Roman" w:cs="Times New Roman"/>
          <w:sz w:val="24"/>
        </w:rPr>
        <w:t xml:space="preserve"> gadā. Tas šo summu </w:t>
      </w:r>
      <w:r w:rsidRPr="00B03B51">
        <w:rPr>
          <w:rFonts w:ascii="Times New Roman" w:hAnsi="Times New Roman" w:cs="Times New Roman"/>
          <w:i/>
          <w:iCs/>
          <w:sz w:val="24"/>
        </w:rPr>
        <w:t>t</w:t>
      </w:r>
      <w:r w:rsidRPr="00B03B51">
        <w:rPr>
          <w:rFonts w:ascii="Times New Roman" w:hAnsi="Times New Roman" w:cs="Times New Roman"/>
          <w:sz w:val="24"/>
        </w:rPr>
        <w:t xml:space="preserve"> gadā saņem no valsts, taču Eiropas iestāde atmaksas maksājumu 1000 apmērā veic vēlāk </w:t>
      </w:r>
      <w:r w:rsidRPr="00B03B51">
        <w:rPr>
          <w:rFonts w:ascii="Times New Roman" w:hAnsi="Times New Roman" w:cs="Times New Roman"/>
          <w:i/>
          <w:iCs/>
          <w:sz w:val="24"/>
        </w:rPr>
        <w:t>t+1</w:t>
      </w:r>
      <w:r w:rsidRPr="00B03B51">
        <w:rPr>
          <w:rFonts w:ascii="Times New Roman" w:hAnsi="Times New Roman" w:cs="Times New Roman"/>
          <w:sz w:val="24"/>
        </w:rPr>
        <w:t> gadā.</w:t>
      </w:r>
    </w:p>
    <w:p w14:paraId="2C15D675" w14:textId="77777777" w:rsidR="00994F93" w:rsidRPr="00B03B51" w:rsidRDefault="00994F93" w:rsidP="00994F93">
      <w:pPr>
        <w:jc w:val="both"/>
        <w:rPr>
          <w:rFonts w:ascii="Times New Roman" w:eastAsia="Arial" w:hAnsi="Times New Roman" w:cs="Times New Roman"/>
          <w:noProof/>
          <w:sz w:val="24"/>
          <w:szCs w:val="18"/>
        </w:rPr>
      </w:pPr>
    </w:p>
    <w:p w14:paraId="5CD0FFE6" w14:textId="7265EB4B" w:rsidR="00994F93" w:rsidRPr="00B03B51" w:rsidRDefault="001A1FF6" w:rsidP="00281D6D">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drawing>
          <wp:inline distT="0" distB="0" distL="0" distR="0" wp14:anchorId="6EC81374" wp14:editId="38118EEB">
            <wp:extent cx="5760085" cy="29254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inline>
        </w:drawing>
      </w:r>
    </w:p>
    <w:p w14:paraId="58F5F9A3" w14:textId="19518887" w:rsidR="00994F93" w:rsidRPr="00B03B51" w:rsidRDefault="001A1FF6" w:rsidP="00CB1E01">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lastRenderedPageBreak/>
        <w:drawing>
          <wp:inline distT="0" distB="0" distL="0" distR="0" wp14:anchorId="3E1511A5" wp14:editId="2299B7F5">
            <wp:extent cx="5760085" cy="49396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4939665"/>
                    </a:xfrm>
                    <a:prstGeom prst="rect">
                      <a:avLst/>
                    </a:prstGeom>
                    <a:noFill/>
                    <a:ln>
                      <a:noFill/>
                    </a:ln>
                  </pic:spPr>
                </pic:pic>
              </a:graphicData>
            </a:graphic>
          </wp:inline>
        </w:drawing>
      </w:r>
    </w:p>
    <w:p w14:paraId="2D8914E6" w14:textId="77777777" w:rsidR="00994F93" w:rsidRPr="00B03B51" w:rsidRDefault="00994F93" w:rsidP="00994F93">
      <w:pPr>
        <w:jc w:val="both"/>
        <w:rPr>
          <w:rFonts w:ascii="Times New Roman" w:eastAsia="Arial" w:hAnsi="Times New Roman" w:cs="Times New Roman"/>
          <w:noProof/>
          <w:sz w:val="24"/>
          <w:szCs w:val="18"/>
        </w:rPr>
      </w:pPr>
    </w:p>
    <w:p w14:paraId="7EF393D1" w14:textId="77777777" w:rsidR="00994F93" w:rsidRPr="00B03B51" w:rsidRDefault="00994F93" w:rsidP="00994F93">
      <w:pPr>
        <w:tabs>
          <w:tab w:val="left" w:pos="770"/>
        </w:tabs>
        <w:jc w:val="both"/>
        <w:rPr>
          <w:rFonts w:ascii="Times New Roman" w:hAnsi="Times New Roman" w:cs="Times New Roman"/>
          <w:b/>
          <w:noProof/>
          <w:sz w:val="24"/>
        </w:rPr>
      </w:pPr>
      <w:r w:rsidRPr="00B03B51">
        <w:rPr>
          <w:rFonts w:ascii="Times New Roman" w:hAnsi="Times New Roman" w:cs="Times New Roman"/>
          <w:b/>
          <w:sz w:val="24"/>
        </w:rPr>
        <w:t>2. Galasaņēmējs ir valdības vienība</w:t>
      </w:r>
    </w:p>
    <w:p w14:paraId="617AB814" w14:textId="77777777" w:rsidR="00994F93" w:rsidRPr="00B03B51" w:rsidRDefault="00994F93" w:rsidP="00994F93">
      <w:pPr>
        <w:jc w:val="both"/>
        <w:rPr>
          <w:rFonts w:ascii="Times New Roman" w:eastAsia="Arial" w:hAnsi="Times New Roman" w:cs="Times New Roman"/>
          <w:b/>
          <w:bCs/>
          <w:noProof/>
          <w:sz w:val="24"/>
        </w:rPr>
      </w:pPr>
    </w:p>
    <w:p w14:paraId="3BF4BA8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Valdības vienība </w:t>
      </w:r>
      <w:r w:rsidRPr="00B03B51">
        <w:rPr>
          <w:rFonts w:ascii="Times New Roman" w:hAnsi="Times New Roman" w:cs="Times New Roman"/>
          <w:i/>
          <w:iCs/>
          <w:sz w:val="24"/>
        </w:rPr>
        <w:t>t</w:t>
      </w:r>
      <w:r w:rsidRPr="00B03B51">
        <w:rPr>
          <w:rFonts w:ascii="Times New Roman" w:hAnsi="Times New Roman" w:cs="Times New Roman"/>
          <w:sz w:val="24"/>
        </w:rPr>
        <w:t xml:space="preserve"> gadā ir iztērējusi 2000 vienību (šajā gadījumā kā bruto pamatkapitāla veidošanu) projektā, kurā līdzfinansējums ir līdz 50 %. Attiecīgie dokumenti tiek nosūtīti Eiropas iestādei, tomēr tā atmaksā 1000 vienības tikai nākamā </w:t>
      </w:r>
      <w:r w:rsidRPr="00B03B51">
        <w:rPr>
          <w:rFonts w:ascii="Times New Roman" w:hAnsi="Times New Roman" w:cs="Times New Roman"/>
          <w:i/>
          <w:iCs/>
          <w:sz w:val="24"/>
        </w:rPr>
        <w:t>t+1</w:t>
      </w:r>
      <w:r w:rsidRPr="00B03B51">
        <w:rPr>
          <w:rFonts w:ascii="Times New Roman" w:hAnsi="Times New Roman" w:cs="Times New Roman"/>
          <w:sz w:val="24"/>
        </w:rPr>
        <w:t> gada laikā.</w:t>
      </w:r>
    </w:p>
    <w:p w14:paraId="36A55A30" w14:textId="77777777" w:rsidR="00994F93" w:rsidRPr="00B03B51" w:rsidRDefault="00994F93" w:rsidP="00994F93">
      <w:pPr>
        <w:jc w:val="both"/>
        <w:rPr>
          <w:rFonts w:ascii="Times New Roman" w:eastAsia="Arial" w:hAnsi="Times New Roman" w:cs="Times New Roman"/>
          <w:noProof/>
          <w:sz w:val="24"/>
          <w:szCs w:val="18"/>
        </w:rPr>
      </w:pPr>
    </w:p>
    <w:p w14:paraId="0081A84D" w14:textId="35917A58" w:rsidR="00994F93" w:rsidRPr="00B03B51" w:rsidRDefault="00DA6690" w:rsidP="00DA6690">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drawing>
          <wp:inline distT="0" distB="0" distL="0" distR="0" wp14:anchorId="6EA73FC9" wp14:editId="160614E1">
            <wp:extent cx="5760085" cy="23787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378710"/>
                    </a:xfrm>
                    <a:prstGeom prst="rect">
                      <a:avLst/>
                    </a:prstGeom>
                    <a:noFill/>
                    <a:ln>
                      <a:noFill/>
                    </a:ln>
                  </pic:spPr>
                </pic:pic>
              </a:graphicData>
            </a:graphic>
          </wp:inline>
        </w:drawing>
      </w:r>
    </w:p>
    <w:p w14:paraId="092242AE" w14:textId="4C56D61D" w:rsidR="00994F93" w:rsidRPr="00B03B51" w:rsidRDefault="00DA6690" w:rsidP="00587E78">
      <w:pPr>
        <w:jc w:val="center"/>
        <w:rPr>
          <w:rFonts w:ascii="Times New Roman" w:eastAsia="Arial" w:hAnsi="Times New Roman" w:cs="Times New Roman"/>
          <w:noProof/>
          <w:sz w:val="24"/>
          <w:szCs w:val="18"/>
        </w:rPr>
      </w:pPr>
      <w:r w:rsidRPr="00B03B51">
        <w:rPr>
          <w:rFonts w:ascii="Times New Roman" w:eastAsia="Arial" w:hAnsi="Times New Roman" w:cs="Times New Roman"/>
          <w:noProof/>
          <w:sz w:val="24"/>
          <w:szCs w:val="18"/>
        </w:rPr>
        <w:lastRenderedPageBreak/>
        <w:drawing>
          <wp:inline distT="0" distB="0" distL="0" distR="0" wp14:anchorId="3635AB9A" wp14:editId="6ED707A1">
            <wp:extent cx="5760085" cy="3950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950970"/>
                    </a:xfrm>
                    <a:prstGeom prst="rect">
                      <a:avLst/>
                    </a:prstGeom>
                    <a:noFill/>
                    <a:ln>
                      <a:noFill/>
                    </a:ln>
                  </pic:spPr>
                </pic:pic>
              </a:graphicData>
            </a:graphic>
          </wp:inline>
        </w:drawing>
      </w:r>
    </w:p>
    <w:p w14:paraId="2B2F085D" w14:textId="77777777" w:rsidR="00994F93" w:rsidRPr="00B03B51" w:rsidRDefault="00994F93" w:rsidP="00994F93">
      <w:pPr>
        <w:jc w:val="both"/>
        <w:rPr>
          <w:rFonts w:ascii="Times New Roman" w:eastAsia="Arial" w:hAnsi="Times New Roman" w:cs="Times New Roman"/>
          <w:noProof/>
          <w:sz w:val="24"/>
          <w:szCs w:val="18"/>
        </w:rPr>
      </w:pPr>
    </w:p>
    <w:p w14:paraId="4660AF27" w14:textId="77777777" w:rsidR="00994F93" w:rsidRPr="00B03B51" w:rsidRDefault="00994F93" w:rsidP="00994F93">
      <w:pPr>
        <w:tabs>
          <w:tab w:val="left" w:pos="775"/>
        </w:tabs>
        <w:jc w:val="both"/>
        <w:rPr>
          <w:rFonts w:ascii="Times New Roman" w:hAnsi="Times New Roman" w:cs="Times New Roman"/>
          <w:b/>
          <w:noProof/>
          <w:sz w:val="24"/>
        </w:rPr>
      </w:pPr>
      <w:r w:rsidRPr="00B03B51">
        <w:rPr>
          <w:rFonts w:ascii="Times New Roman" w:hAnsi="Times New Roman" w:cs="Times New Roman"/>
          <w:b/>
          <w:sz w:val="24"/>
        </w:rPr>
        <w:t>3. Lauksaimniecības maksājumu atteikumi, kuru gadījumā valdībai ir atļauts papildināt sākotnējo maksājumu</w:t>
      </w:r>
    </w:p>
    <w:p w14:paraId="062C3D1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(42. rindkopa)</w:t>
      </w:r>
    </w:p>
    <w:p w14:paraId="6A2F7D1B" w14:textId="77777777" w:rsidR="00994F93" w:rsidRPr="00B03B51" w:rsidRDefault="00994F93" w:rsidP="00994F93">
      <w:pPr>
        <w:jc w:val="both"/>
        <w:rPr>
          <w:rFonts w:ascii="Times New Roman" w:eastAsia="Arial" w:hAnsi="Times New Roman" w:cs="Times New Roman"/>
          <w:noProof/>
          <w:sz w:val="24"/>
        </w:rPr>
      </w:pPr>
    </w:p>
    <w:p w14:paraId="3ADF5D09"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Valdība nosūta Eiropas iestādēm prasījumu par 1000 vienībām ar lūgumu atmaksāt </w:t>
      </w:r>
      <w:r w:rsidRPr="00B03B51">
        <w:rPr>
          <w:rFonts w:ascii="Times New Roman" w:hAnsi="Times New Roman" w:cs="Times New Roman"/>
          <w:i/>
          <w:iCs/>
          <w:sz w:val="24"/>
        </w:rPr>
        <w:t>t</w:t>
      </w:r>
      <w:r w:rsidRPr="00B03B51">
        <w:rPr>
          <w:rFonts w:ascii="Times New Roman" w:hAnsi="Times New Roman" w:cs="Times New Roman"/>
          <w:sz w:val="24"/>
        </w:rPr>
        <w:t xml:space="preserve"> gada novembrī izmaksātās subsīdijas, taču Eiropas iestādes atmaksā tikai 800 vienības </w:t>
      </w:r>
      <w:r w:rsidRPr="00B03B51">
        <w:rPr>
          <w:rFonts w:ascii="Times New Roman" w:hAnsi="Times New Roman" w:cs="Times New Roman"/>
          <w:i/>
          <w:iCs/>
          <w:sz w:val="24"/>
        </w:rPr>
        <w:t>t+1</w:t>
      </w:r>
      <w:r w:rsidRPr="00B03B51">
        <w:rPr>
          <w:rFonts w:ascii="Times New Roman" w:hAnsi="Times New Roman" w:cs="Times New Roman"/>
          <w:sz w:val="24"/>
        </w:rPr>
        <w:t> gada janvārī, jo 200 vienības tiek ieturētas kā soda nauda par neatbilstošiem prasījumiem iepriekšējos periodos (</w:t>
      </w:r>
      <w:r w:rsidRPr="00B03B51">
        <w:rPr>
          <w:rFonts w:ascii="Times New Roman" w:hAnsi="Times New Roman" w:cs="Times New Roman"/>
          <w:i/>
          <w:iCs/>
          <w:sz w:val="24"/>
        </w:rPr>
        <w:t>t-1</w:t>
      </w:r>
      <w:r w:rsidRPr="00B03B51">
        <w:rPr>
          <w:rFonts w:ascii="Times New Roman" w:hAnsi="Times New Roman" w:cs="Times New Roman"/>
          <w:sz w:val="24"/>
        </w:rPr>
        <w:t> gadā vai pirms tam). Galasaņēmējs patur sākotnējo subsīdiju.</w:t>
      </w:r>
    </w:p>
    <w:p w14:paraId="2600EF26" w14:textId="77777777" w:rsidR="00994F93" w:rsidRPr="00B03B51" w:rsidRDefault="00994F93" w:rsidP="00994F93">
      <w:pPr>
        <w:jc w:val="both"/>
        <w:rPr>
          <w:rFonts w:ascii="Times New Roman" w:eastAsia="Arial" w:hAnsi="Times New Roman" w:cs="Times New Roman"/>
          <w:b/>
          <w:bCs/>
          <w:noProof/>
          <w:sz w:val="24"/>
          <w:szCs w:val="24"/>
        </w:rPr>
      </w:pPr>
    </w:p>
    <w:p w14:paraId="0CE34638" w14:textId="7EE3A8FF" w:rsidR="00994F93" w:rsidRPr="00B03B51" w:rsidRDefault="009A2A25" w:rsidP="00587E78">
      <w:pPr>
        <w:jc w:val="center"/>
        <w:rPr>
          <w:rFonts w:ascii="Times New Roman" w:eastAsia="Arial" w:hAnsi="Times New Roman" w:cs="Times New Roman"/>
          <w:b/>
          <w:bCs/>
          <w:noProof/>
          <w:sz w:val="24"/>
          <w:szCs w:val="24"/>
        </w:rPr>
      </w:pPr>
      <w:r w:rsidRPr="00B03B51">
        <w:rPr>
          <w:rFonts w:ascii="Times New Roman" w:eastAsia="Arial" w:hAnsi="Times New Roman" w:cs="Times New Roman"/>
          <w:b/>
          <w:bCs/>
          <w:noProof/>
          <w:sz w:val="24"/>
          <w:szCs w:val="24"/>
        </w:rPr>
        <w:drawing>
          <wp:inline distT="0" distB="0" distL="0" distR="0" wp14:anchorId="712062EB" wp14:editId="58461E8A">
            <wp:extent cx="5760085" cy="30270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3027045"/>
                    </a:xfrm>
                    <a:prstGeom prst="rect">
                      <a:avLst/>
                    </a:prstGeom>
                    <a:noFill/>
                    <a:ln>
                      <a:noFill/>
                    </a:ln>
                  </pic:spPr>
                </pic:pic>
              </a:graphicData>
            </a:graphic>
          </wp:inline>
        </w:drawing>
      </w:r>
    </w:p>
    <w:p w14:paraId="06099BC7" w14:textId="0D7A8E06" w:rsidR="00994F93" w:rsidRPr="00B03B51" w:rsidRDefault="009A2A25" w:rsidP="00587E78">
      <w:pPr>
        <w:jc w:val="center"/>
        <w:rPr>
          <w:rFonts w:ascii="Times New Roman" w:eastAsia="Arial" w:hAnsi="Times New Roman" w:cs="Times New Roman"/>
          <w:b/>
          <w:bCs/>
          <w:noProof/>
          <w:sz w:val="24"/>
          <w:szCs w:val="24"/>
        </w:rPr>
      </w:pPr>
      <w:r w:rsidRPr="00B03B51">
        <w:rPr>
          <w:rFonts w:ascii="Times New Roman" w:eastAsia="Arial" w:hAnsi="Times New Roman" w:cs="Times New Roman"/>
          <w:b/>
          <w:bCs/>
          <w:noProof/>
          <w:sz w:val="24"/>
          <w:szCs w:val="24"/>
        </w:rPr>
        <w:lastRenderedPageBreak/>
        <w:drawing>
          <wp:inline distT="0" distB="0" distL="0" distR="0" wp14:anchorId="65F1FCF2" wp14:editId="58FDE172">
            <wp:extent cx="5760085" cy="5660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5660390"/>
                    </a:xfrm>
                    <a:prstGeom prst="rect">
                      <a:avLst/>
                    </a:prstGeom>
                    <a:noFill/>
                    <a:ln>
                      <a:noFill/>
                    </a:ln>
                  </pic:spPr>
                </pic:pic>
              </a:graphicData>
            </a:graphic>
          </wp:inline>
        </w:drawing>
      </w:r>
    </w:p>
    <w:p w14:paraId="19462043" w14:textId="77777777" w:rsidR="00994F93" w:rsidRPr="00B03B51" w:rsidRDefault="00994F93" w:rsidP="00994F93">
      <w:pPr>
        <w:jc w:val="both"/>
        <w:rPr>
          <w:rFonts w:ascii="Times New Roman" w:eastAsia="Arial" w:hAnsi="Times New Roman" w:cs="Times New Roman"/>
          <w:b/>
          <w:bCs/>
          <w:noProof/>
          <w:sz w:val="24"/>
          <w:szCs w:val="24"/>
        </w:rPr>
      </w:pPr>
    </w:p>
    <w:p w14:paraId="32506383" w14:textId="77777777" w:rsidR="00994F93" w:rsidRPr="00B03B51" w:rsidRDefault="00994F93" w:rsidP="00994F93">
      <w:pPr>
        <w:tabs>
          <w:tab w:val="left" w:pos="816"/>
        </w:tabs>
        <w:jc w:val="both"/>
        <w:rPr>
          <w:rFonts w:ascii="Times New Roman" w:eastAsia="Arial" w:hAnsi="Times New Roman" w:cs="Times New Roman"/>
          <w:noProof/>
          <w:sz w:val="24"/>
          <w:szCs w:val="19"/>
        </w:rPr>
      </w:pPr>
      <w:r w:rsidRPr="00B03B51">
        <w:rPr>
          <w:rFonts w:ascii="Times New Roman" w:hAnsi="Times New Roman" w:cs="Times New Roman"/>
          <w:b/>
          <w:sz w:val="24"/>
        </w:rPr>
        <w:t xml:space="preserve">4. </w:t>
      </w:r>
      <w:r w:rsidRPr="00B03B51">
        <w:rPr>
          <w:rFonts w:ascii="Times New Roman" w:hAnsi="Times New Roman" w:cs="Times New Roman"/>
          <w:b/>
          <w:bCs/>
          <w:sz w:val="24"/>
        </w:rPr>
        <w:t>Lauksaimniecības maksājumu atteikumi, kuru gadījumā valdībai nav atļauts pabeigt sākotnējo maksājumu un gala saņēmējs nespēj atmaksāt pilnu summu</w:t>
      </w:r>
      <w:r w:rsidRPr="00B03B51">
        <w:rPr>
          <w:rFonts w:ascii="Times New Roman" w:hAnsi="Times New Roman" w:cs="Times New Roman"/>
          <w:sz w:val="24"/>
        </w:rPr>
        <w:t xml:space="preserve"> (45. rindkopa)</w:t>
      </w:r>
    </w:p>
    <w:p w14:paraId="510662C5" w14:textId="77777777" w:rsidR="00994F93" w:rsidRPr="00B03B51" w:rsidRDefault="00994F93" w:rsidP="00994F93">
      <w:pPr>
        <w:jc w:val="both"/>
        <w:rPr>
          <w:rFonts w:ascii="Times New Roman" w:eastAsia="Arial" w:hAnsi="Times New Roman" w:cs="Times New Roman"/>
          <w:noProof/>
          <w:sz w:val="24"/>
        </w:rPr>
      </w:pPr>
    </w:p>
    <w:p w14:paraId="7D07F2A9"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Valdība nosūta Eiropas iestādēm prasību par 1000 vienībām ar lūgumu atmaksāt </w:t>
      </w:r>
      <w:r w:rsidRPr="00B03B51">
        <w:rPr>
          <w:rFonts w:ascii="Times New Roman" w:hAnsi="Times New Roman" w:cs="Times New Roman"/>
          <w:i/>
          <w:iCs/>
          <w:sz w:val="24"/>
        </w:rPr>
        <w:t>t</w:t>
      </w:r>
      <w:r w:rsidRPr="00B03B51">
        <w:rPr>
          <w:rFonts w:ascii="Times New Roman" w:hAnsi="Times New Roman" w:cs="Times New Roman"/>
          <w:sz w:val="24"/>
        </w:rPr>
        <w:t xml:space="preserve"> gada novembrī izmaksātās subsīdijas, taču Eiropas iestādes atmaksā tikai 800 vienības </w:t>
      </w:r>
      <w:r w:rsidRPr="00B03B51">
        <w:rPr>
          <w:rFonts w:ascii="Times New Roman" w:hAnsi="Times New Roman" w:cs="Times New Roman"/>
          <w:i/>
          <w:iCs/>
          <w:sz w:val="24"/>
        </w:rPr>
        <w:t>t+1</w:t>
      </w:r>
      <w:r w:rsidRPr="00B03B51">
        <w:rPr>
          <w:rFonts w:ascii="Times New Roman" w:hAnsi="Times New Roman" w:cs="Times New Roman"/>
          <w:sz w:val="24"/>
        </w:rPr>
        <w:t> gada janvārī, jo 200 vienības tiek ieturētas kā soda nauda par neatbilstošiem prasījumiem iepriekšējos periodos. Galasaņēmējs nevar paturēt sākotnējo soda naudu, taču vienlaikus galasaņēmējs arī nespēj to atmaksāt.</w:t>
      </w:r>
    </w:p>
    <w:p w14:paraId="34F52818" w14:textId="77777777" w:rsidR="00994F93" w:rsidRPr="00B03B51" w:rsidRDefault="00994F93" w:rsidP="00994F93">
      <w:pPr>
        <w:jc w:val="both"/>
        <w:rPr>
          <w:rFonts w:ascii="Times New Roman" w:eastAsia="Arial" w:hAnsi="Times New Roman" w:cs="Times New Roman"/>
          <w:b/>
          <w:bCs/>
          <w:noProof/>
          <w:sz w:val="24"/>
          <w:szCs w:val="18"/>
        </w:rPr>
      </w:pPr>
    </w:p>
    <w:p w14:paraId="3C0FED5F" w14:textId="5CF630C2" w:rsidR="00994F93" w:rsidRPr="00B03B51" w:rsidRDefault="00CB4C2E" w:rsidP="00587E78">
      <w:pPr>
        <w:jc w:val="center"/>
        <w:rPr>
          <w:rFonts w:ascii="Times New Roman" w:eastAsia="Arial" w:hAnsi="Times New Roman" w:cs="Times New Roman"/>
          <w:b/>
          <w:bCs/>
          <w:noProof/>
          <w:sz w:val="24"/>
          <w:szCs w:val="18"/>
        </w:rPr>
      </w:pPr>
      <w:r w:rsidRPr="00B03B51">
        <w:rPr>
          <w:rFonts w:ascii="Times New Roman" w:eastAsia="Arial" w:hAnsi="Times New Roman" w:cs="Times New Roman"/>
          <w:b/>
          <w:bCs/>
          <w:noProof/>
          <w:sz w:val="24"/>
          <w:szCs w:val="18"/>
        </w:rPr>
        <w:drawing>
          <wp:inline distT="0" distB="0" distL="0" distR="0" wp14:anchorId="03A0CE45" wp14:editId="55BA6CA4">
            <wp:extent cx="5760085" cy="13576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357630"/>
                    </a:xfrm>
                    <a:prstGeom prst="rect">
                      <a:avLst/>
                    </a:prstGeom>
                    <a:noFill/>
                    <a:ln>
                      <a:noFill/>
                    </a:ln>
                  </pic:spPr>
                </pic:pic>
              </a:graphicData>
            </a:graphic>
          </wp:inline>
        </w:drawing>
      </w:r>
    </w:p>
    <w:p w14:paraId="3692BB99" w14:textId="77777777" w:rsidR="00587E78" w:rsidRPr="00B03B51" w:rsidRDefault="00CB4C2E" w:rsidP="00587E78">
      <w:pPr>
        <w:jc w:val="center"/>
        <w:rPr>
          <w:rFonts w:ascii="Times New Roman" w:hAnsi="Times New Roman" w:cs="Times New Roman"/>
        </w:rPr>
      </w:pPr>
      <w:r w:rsidRPr="00B03B51">
        <w:rPr>
          <w:rFonts w:ascii="Times New Roman" w:hAnsi="Times New Roman" w:cs="Times New Roman"/>
          <w:noProof/>
        </w:rPr>
        <w:lastRenderedPageBreak/>
        <w:drawing>
          <wp:inline distT="0" distB="0" distL="0" distR="0" wp14:anchorId="2A831B6A" wp14:editId="6E728853">
            <wp:extent cx="5760085" cy="69900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6990080"/>
                    </a:xfrm>
                    <a:prstGeom prst="rect">
                      <a:avLst/>
                    </a:prstGeom>
                    <a:noFill/>
                    <a:ln>
                      <a:noFill/>
                    </a:ln>
                  </pic:spPr>
                </pic:pic>
              </a:graphicData>
            </a:graphic>
          </wp:inline>
        </w:drawing>
      </w:r>
    </w:p>
    <w:p w14:paraId="4A122862" w14:textId="27605B13" w:rsidR="00994F93" w:rsidRPr="00B03B51" w:rsidRDefault="00994F93" w:rsidP="00587E78">
      <w:pPr>
        <w:rPr>
          <w:rFonts w:ascii="Times New Roman" w:eastAsia="Arial" w:hAnsi="Times New Roman" w:cs="Times New Roman"/>
          <w:b/>
          <w:bCs/>
          <w:noProof/>
          <w:sz w:val="24"/>
          <w:szCs w:val="18"/>
        </w:rPr>
      </w:pPr>
      <w:r w:rsidRPr="00B03B51">
        <w:rPr>
          <w:rFonts w:ascii="Times New Roman" w:hAnsi="Times New Roman" w:cs="Times New Roman"/>
        </w:rPr>
        <w:br w:type="page"/>
      </w:r>
    </w:p>
    <w:p w14:paraId="35A40D65" w14:textId="77777777" w:rsidR="00994F93" w:rsidRPr="00B03B51" w:rsidRDefault="00994F93" w:rsidP="00994F93">
      <w:pPr>
        <w:jc w:val="both"/>
        <w:rPr>
          <w:rFonts w:ascii="Times New Roman" w:eastAsia="Arial" w:hAnsi="Times New Roman" w:cs="Times New Roman"/>
          <w:b/>
          <w:bCs/>
          <w:noProof/>
          <w:sz w:val="24"/>
          <w:szCs w:val="18"/>
        </w:rPr>
      </w:pPr>
    </w:p>
    <w:p w14:paraId="71A2B4B4"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179" w:name="2.7_Court_decisions_with_retroactive_eff"/>
      <w:bookmarkStart w:id="180" w:name="_bookmark18"/>
      <w:bookmarkStart w:id="181" w:name="_Toc67565078"/>
      <w:bookmarkEnd w:id="179"/>
      <w:bookmarkEnd w:id="180"/>
      <w:r w:rsidRPr="00B03B51">
        <w:rPr>
          <w:rFonts w:ascii="Times New Roman" w:hAnsi="Times New Roman" w:cs="Times New Roman"/>
          <w:sz w:val="28"/>
          <w:szCs w:val="44"/>
        </w:rPr>
        <w:t>2.7. Tiesas nolēmumi ar atpakaļejošu spēku</w:t>
      </w:r>
      <w:bookmarkEnd w:id="181"/>
    </w:p>
    <w:p w14:paraId="09FB5581" w14:textId="77777777" w:rsidR="00994F93" w:rsidRPr="00B03B51" w:rsidRDefault="00994F93" w:rsidP="00994F93">
      <w:pPr>
        <w:tabs>
          <w:tab w:val="left" w:pos="1267"/>
        </w:tabs>
        <w:jc w:val="both"/>
        <w:rPr>
          <w:rFonts w:ascii="Times New Roman" w:hAnsi="Times New Roman" w:cs="Times New Roman"/>
          <w:b/>
          <w:noProof/>
          <w:sz w:val="24"/>
        </w:rPr>
      </w:pPr>
      <w:bookmarkStart w:id="182" w:name="2.7.1_Background"/>
      <w:bookmarkEnd w:id="182"/>
    </w:p>
    <w:p w14:paraId="0A0BEFF0" w14:textId="77777777" w:rsidR="00994F93" w:rsidRPr="00D460B8" w:rsidRDefault="00994F93" w:rsidP="00D460B8">
      <w:pPr>
        <w:pStyle w:val="Heading3"/>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2.7.1. Vispārīga informācija</w:t>
      </w:r>
    </w:p>
    <w:p w14:paraId="070074E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791639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Kad pastāv domstarpības par prasījumiem/saistībām, var būt nepieciešams tiesas nolēmums vai kāds no citiem atzītiem strīda risināšanas paņēmieniem (arbitrāža), lai izšķirtu strīdu un noteiktu neapstrīdamās prasītāju tiesības uz noteikto summu attiecībā pret valdību. Šādam spriedumam jābūt galīgam un līdz ar to tieši piemērojamam attiecībā uz pusēm, kuras izsmēlušas visas pārsūdzības iespējas (vēršanos tiesā).</w:t>
      </w:r>
    </w:p>
    <w:p w14:paraId="5FA5542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99D8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Dažkārt valstij ir bijis jāizmaksā naudas līdzekļus jau vairākus gadus, bet tā to nav darījusi domstarpību dēļ. Tiesvedībai var būt nepieciešams ļoti ilgs laiks, jo īpaši ņemot vērā dažādos tiesvedības līmeņus, ko puses var izmantot.</w:t>
      </w:r>
    </w:p>
    <w:p w14:paraId="7D07DE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E88F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Tāpēc būtisks jautājums ir par to, kad šie prasījumi un saistības ir jāieraksta, jo teorētiski to var veikt:</w:t>
      </w:r>
    </w:p>
    <w:p w14:paraId="41CF9BD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49ACA38" w14:textId="77777777" w:rsidR="00994F93" w:rsidRPr="00B03B51" w:rsidRDefault="00994F93" w:rsidP="00587E78">
      <w:pPr>
        <w:pStyle w:val="BodyText"/>
        <w:numPr>
          <w:ilvl w:val="1"/>
          <w:numId w:val="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brīdī, kad tie uzkrājas vai ir jāizmaksā;</w:t>
      </w:r>
    </w:p>
    <w:p w14:paraId="514C9FE2" w14:textId="77777777" w:rsidR="00994F93" w:rsidRPr="00B03B51" w:rsidRDefault="00994F93" w:rsidP="00587E78">
      <w:pPr>
        <w:pStyle w:val="BodyText"/>
        <w:numPr>
          <w:ilvl w:val="1"/>
          <w:numId w:val="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brīdī, kad strīds tiek atrisināts ar tiesas nolēmumu, kurā negrozāmi noteiktas summas.</w:t>
      </w:r>
    </w:p>
    <w:p w14:paraId="039E7D44" w14:textId="77777777" w:rsidR="00994F93" w:rsidRPr="00B03B51" w:rsidRDefault="00994F93" w:rsidP="00994F93">
      <w:pPr>
        <w:jc w:val="both"/>
        <w:rPr>
          <w:rFonts w:ascii="Times New Roman" w:eastAsia="Arial" w:hAnsi="Times New Roman" w:cs="Times New Roman"/>
          <w:noProof/>
          <w:sz w:val="24"/>
          <w:szCs w:val="19"/>
        </w:rPr>
      </w:pPr>
    </w:p>
    <w:p w14:paraId="72385D36"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83" w:name="2.7.2_Treatment_in_national_accounts"/>
      <w:bookmarkStart w:id="184" w:name="_Toc67565079"/>
      <w:bookmarkEnd w:id="183"/>
      <w:r w:rsidRPr="00B03B51">
        <w:rPr>
          <w:rFonts w:ascii="Times New Roman" w:hAnsi="Times New Roman" w:cs="Times New Roman"/>
          <w:sz w:val="24"/>
        </w:rPr>
        <w:t>2.7.2. Traktējums nacionālajos kontos</w:t>
      </w:r>
      <w:bookmarkEnd w:id="184"/>
    </w:p>
    <w:p w14:paraId="775CD3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F32A09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 2010 20.189. punktā noteikts, ka gadījumā, ja tiesa galīgā spriedumā nolemj, ka jāmaksā kompensācija vai jāveic reverss darījums, izdevumus vai ieņēmumus ieraksta brīdī, kad vienai pusei tiek piešķirtas neapstrīdamas tiesības (un attiecīgi noteiktas saistības otrai pusei), ja ir precīzi noteikta izmaksājamā (vai atdodamā) summa. Tas var būt brīdī, kad tiesa pieņem lēmumu, ja vien šāds lēmums ir jāpiemēro nekavējoties. Pienākums veikt maksājumu valdībai var būt noteikts ar laika nobīdi. Atsevišķos gadījumos tiesa ir skaidri noteikusi savā lēmumā, ka maksājumi, kas jāveic valdībai vai ko valdībai ir tiesības saņemt, ir jāsadala.</w:t>
      </w:r>
      <w:r w:rsidRPr="00B03B51">
        <w:rPr>
          <w:rStyle w:val="FootnoteReference"/>
          <w:rFonts w:ascii="Times New Roman" w:hAnsi="Times New Roman" w:cs="Times New Roman"/>
          <w:noProof/>
          <w:sz w:val="24"/>
        </w:rPr>
        <w:footnoteReference w:id="144"/>
      </w:r>
    </w:p>
    <w:p w14:paraId="1447B8F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E8FBC1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Ja tiesa ir noteikusi vienīgi kompensācijas principu, bet nav noteikusi precīzu summu, atstājot to noteikšanai citā lēmumā (piemēram, citas tiesas ziņā), vai ja tiesības uz kompensāciju saistītas ar turpmākām pārbaudēm/novērtēšanu, kas prasītājam jāpieprasa īpašā pieteikumā (kā tas var būt “kopdarbības” gadījumā), tad izdevumus vai ienākumus ieraksta tikai brīdī, kad ir skaidri noteikta prasījumu/saistību summa.</w:t>
      </w:r>
    </w:p>
    <w:p w14:paraId="0B2F887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992E2F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Lai tiesas nolēmumu varētu īstenot, tam jābūt “galīgam”, t. i., tādam, ko puses vairs nevar pārsūdzēt. Tas ietver dažādus valsts tiesu sistēmas līmeņus, ES Tiesas instances un dažos gadījumos arī privātas “šķīrējtiesas”. Šo nosacījumu var piemērot arī tad, ja strīdā iesaistītās puses atklāti vai faktiski atsakās no pārsūdzības (kas parasti ir jāiesniedz, precīzi ievērojot noteikto termiņu). Dažkārt tiesa galīgajā nolēmumā var būt noteikusi, ka pusei ir tiesības uz kompensāciju, taču strīda izšķiršanu atstājusi zemākas instances tiesai. Šāda jauna vēršanās tiesā var notikt automātiski, </w:t>
      </w:r>
      <w:r w:rsidRPr="00B03B51">
        <w:rPr>
          <w:rFonts w:ascii="Times New Roman" w:hAnsi="Times New Roman" w:cs="Times New Roman"/>
          <w:i/>
          <w:iCs/>
          <w:sz w:val="24"/>
        </w:rPr>
        <w:t>de iure</w:t>
      </w:r>
      <w:r w:rsidRPr="00B03B51">
        <w:rPr>
          <w:rFonts w:ascii="Times New Roman" w:hAnsi="Times New Roman" w:cs="Times New Roman"/>
          <w:sz w:val="24"/>
        </w:rPr>
        <w:t xml:space="preserve"> vai arī brīvprātīgas rīcības rezultātā. Šādā gadījumā ierakstīšanas laiks būtu laiks, kad nolēmumu(-us) pieņēmusi tiesa, kas rīkojas kā otrās instances tiesa.</w:t>
      </w:r>
    </w:p>
    <w:p w14:paraId="531B191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9E79F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7. Jebkurā gadījumā summa ir jāieraksta citās kreditoru/debitoru saistībās (F.8) līdz brīdim, kad veikts faktiskais maksājums naudā. Summas nav jāsadala pa iepriekšējiem periodiem, kurās tās uzkrātas, izņemot par to prasījumu daļu, kuri nebija strīda priekšmets.</w:t>
      </w:r>
    </w:p>
    <w:p w14:paraId="47BB02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C49B0F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Tas, ka valdība vienkārši atliek maksājumus, neapstrīdot maksāšanas pienākumu, neliedz ierakstīt maksājumus brīdī, kad ir pienācis to maksājuma termiņš (skat. 2.3. nodaļu “Maksājuma termiņa maiņa”), veicot ierakstus citās debitoru/kreditoru saistībās (F.8) par uzkrātajām, taču vēl nesamaksātajām summām.</w:t>
      </w:r>
    </w:p>
    <w:p w14:paraId="6215E4B1" w14:textId="77777777" w:rsidR="00994F93" w:rsidRPr="00B03B51" w:rsidRDefault="00994F93" w:rsidP="00994F93">
      <w:pPr>
        <w:jc w:val="both"/>
        <w:rPr>
          <w:rFonts w:ascii="Times New Roman" w:hAnsi="Times New Roman" w:cs="Times New Roman"/>
          <w:noProof/>
          <w:sz w:val="24"/>
        </w:rPr>
      </w:pPr>
    </w:p>
    <w:p w14:paraId="7CF33DB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Kompensācijas summas parasti tiek ierakstītas kā citi kapitāla pārvedumi (D.99), kas attiecas uz summām, kuras būtu uzkrātas vairākus gadus ilgā laika posmā, taču daļu var ierakstīt arī kā naudas sodu (D.759).</w:t>
      </w:r>
    </w:p>
    <w:p w14:paraId="1A940A33" w14:textId="77777777" w:rsidR="00994F93" w:rsidRPr="00B03B51" w:rsidRDefault="00994F93" w:rsidP="00994F93">
      <w:pPr>
        <w:jc w:val="both"/>
        <w:rPr>
          <w:rFonts w:ascii="Times New Roman" w:eastAsia="Arial" w:hAnsi="Times New Roman" w:cs="Times New Roman"/>
          <w:noProof/>
          <w:sz w:val="24"/>
          <w:szCs w:val="18"/>
        </w:rPr>
      </w:pPr>
    </w:p>
    <w:p w14:paraId="3C58034B"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185" w:name="2.7.3_Rationale_of_the_treatment"/>
      <w:bookmarkStart w:id="186" w:name="_Toc67565080"/>
      <w:bookmarkEnd w:id="185"/>
      <w:r w:rsidRPr="00B03B51">
        <w:rPr>
          <w:rFonts w:ascii="Times New Roman" w:hAnsi="Times New Roman" w:cs="Times New Roman"/>
          <w:sz w:val="24"/>
        </w:rPr>
        <w:t>2.7.3. Traktējuma pamatojums</w:t>
      </w:r>
      <w:bookmarkEnd w:id="186"/>
    </w:p>
    <w:p w14:paraId="17833A00"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054DF1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10. Sadales darījumu (plašākā izpratnē – prasījumus un saistības) var ierakstīt kontos tad, kad tas ir noteikts ar pietiekamu pārliecību un kad tas zināms abām pusēm un tās abas to ir atzinušas (pat gadījumos, kad tas noteikts tiesību aktos, piemēram, nodokļu un sociālo iemaksu gadījumā).</w:t>
      </w:r>
    </w:p>
    <w:p w14:paraId="72FFBE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46224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Atsevišķos gadījumos, proti, kad tiek radīta jauna situācija (piemēram, jaunas tiesības un saistības), pretrunas un strīdu iespējams atrisināt vienīgi ar tiesas nolēmumu, kurā tiek noteikts pienākums veikt maksājumu un norādīta precīza maksājamā summa vai nosacījumi, saskaņā ar kuriem šī summa vēlāk tiek noteikta. Tāpēc laiks, kad jāieraksta darījumi, ir maksājuma veikšanas pienākuma datums.</w:t>
      </w:r>
    </w:p>
    <w:p w14:paraId="159D8C6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20355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Minētais attiecas arī uz visiem tiesas noteiktajiem sodiem un procentu maksājumiem.</w:t>
      </w:r>
    </w:p>
    <w:p w14:paraId="66AC2AD7"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75F4762F" w14:textId="77777777" w:rsidR="00994F93" w:rsidRPr="00B03B51" w:rsidRDefault="00994F93" w:rsidP="00994F93">
      <w:pPr>
        <w:jc w:val="both"/>
        <w:rPr>
          <w:rFonts w:ascii="Times New Roman" w:eastAsia="Arial" w:hAnsi="Times New Roman" w:cs="Times New Roman"/>
          <w:noProof/>
          <w:sz w:val="24"/>
          <w:szCs w:val="28"/>
        </w:rPr>
      </w:pPr>
    </w:p>
    <w:p w14:paraId="3E66E17C" w14:textId="77777777" w:rsidR="00994F93" w:rsidRPr="00B03B51" w:rsidRDefault="00994F93" w:rsidP="00994F93">
      <w:pPr>
        <w:pStyle w:val="Heading2"/>
        <w:spacing w:before="0"/>
        <w:ind w:left="0" w:firstLine="0"/>
        <w:jc w:val="both"/>
        <w:rPr>
          <w:rFonts w:ascii="Times New Roman" w:hAnsi="Times New Roman" w:cs="Times New Roman"/>
          <w:noProof/>
          <w:sz w:val="28"/>
          <w:szCs w:val="44"/>
        </w:rPr>
      </w:pPr>
      <w:bookmarkStart w:id="187" w:name="2.8_Keywords_and_accounting_references"/>
      <w:bookmarkStart w:id="188" w:name="_bookmark19"/>
      <w:bookmarkStart w:id="189" w:name="_Toc67565081"/>
      <w:bookmarkEnd w:id="187"/>
      <w:bookmarkEnd w:id="188"/>
      <w:r w:rsidRPr="00B03B51">
        <w:rPr>
          <w:rFonts w:ascii="Times New Roman" w:hAnsi="Times New Roman" w:cs="Times New Roman"/>
          <w:sz w:val="28"/>
          <w:szCs w:val="44"/>
        </w:rPr>
        <w:t>2.8. Atslēgvārdi un atsauces</w:t>
      </w:r>
      <w:bookmarkEnd w:id="189"/>
    </w:p>
    <w:p w14:paraId="713BFBDC" w14:textId="77777777" w:rsidR="00994F93" w:rsidRPr="00B03B51" w:rsidRDefault="00994F93" w:rsidP="00994F93">
      <w:pPr>
        <w:jc w:val="both"/>
        <w:rPr>
          <w:rFonts w:ascii="Times New Roman" w:eastAsia="Arial" w:hAnsi="Times New Roman" w:cs="Times New Roman"/>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5461"/>
        <w:gridCol w:w="3610"/>
      </w:tblGrid>
      <w:tr w:rsidR="00994F93" w:rsidRPr="00B03B51" w14:paraId="684C98B4" w14:textId="77777777" w:rsidTr="008A7C35">
        <w:tc>
          <w:tcPr>
            <w:tcW w:w="3010" w:type="pct"/>
            <w:tcBorders>
              <w:top w:val="nil"/>
              <w:left w:val="nil"/>
              <w:bottom w:val="nil"/>
              <w:right w:val="nil"/>
            </w:tcBorders>
          </w:tcPr>
          <w:p w14:paraId="253A16C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Uzkrātie procenti</w:t>
            </w:r>
          </w:p>
        </w:tc>
        <w:tc>
          <w:tcPr>
            <w:tcW w:w="1990" w:type="pct"/>
            <w:tcBorders>
              <w:top w:val="nil"/>
              <w:left w:val="nil"/>
              <w:bottom w:val="nil"/>
              <w:right w:val="nil"/>
            </w:tcBorders>
          </w:tcPr>
          <w:p w14:paraId="4089249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4.50. punkts</w:t>
            </w:r>
          </w:p>
        </w:tc>
      </w:tr>
      <w:tr w:rsidR="00994F93" w:rsidRPr="00B03B51" w14:paraId="20398B66" w14:textId="77777777" w:rsidTr="008A7C35">
        <w:tc>
          <w:tcPr>
            <w:tcW w:w="3010" w:type="pct"/>
            <w:tcBorders>
              <w:top w:val="nil"/>
              <w:left w:val="nil"/>
              <w:bottom w:val="nil"/>
              <w:right w:val="nil"/>
            </w:tcBorders>
          </w:tcPr>
          <w:p w14:paraId="5D8B1CE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Nokavēti maksājumi</w:t>
            </w:r>
          </w:p>
        </w:tc>
        <w:tc>
          <w:tcPr>
            <w:tcW w:w="1990" w:type="pct"/>
            <w:tcBorders>
              <w:top w:val="nil"/>
              <w:left w:val="nil"/>
              <w:bottom w:val="nil"/>
              <w:right w:val="nil"/>
            </w:tcBorders>
          </w:tcPr>
          <w:p w14:paraId="3CE1099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5.242. punkts</w:t>
            </w:r>
          </w:p>
        </w:tc>
      </w:tr>
      <w:tr w:rsidR="00994F93" w:rsidRPr="00B03B51" w14:paraId="6EB45C8B" w14:textId="77777777" w:rsidTr="008A7C35">
        <w:tc>
          <w:tcPr>
            <w:tcW w:w="3010" w:type="pct"/>
            <w:tcBorders>
              <w:top w:val="nil"/>
              <w:left w:val="nil"/>
              <w:bottom w:val="nil"/>
              <w:right w:val="nil"/>
            </w:tcBorders>
          </w:tcPr>
          <w:p w14:paraId="5AA57B9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Kārtējā starptautiskā sadarbība</w:t>
            </w:r>
          </w:p>
        </w:tc>
        <w:tc>
          <w:tcPr>
            <w:tcW w:w="1990" w:type="pct"/>
            <w:tcBorders>
              <w:top w:val="nil"/>
              <w:left w:val="nil"/>
              <w:bottom w:val="nil"/>
              <w:right w:val="nil"/>
            </w:tcBorders>
          </w:tcPr>
          <w:p w14:paraId="1983C1F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4.123. punkts</w:t>
            </w:r>
          </w:p>
        </w:tc>
      </w:tr>
      <w:tr w:rsidR="00994F93" w:rsidRPr="00B03B51" w14:paraId="162054B1" w14:textId="77777777" w:rsidTr="008A7C35">
        <w:tc>
          <w:tcPr>
            <w:tcW w:w="3010" w:type="pct"/>
            <w:tcBorders>
              <w:top w:val="nil"/>
              <w:left w:val="nil"/>
              <w:bottom w:val="nil"/>
              <w:right w:val="nil"/>
            </w:tcBorders>
          </w:tcPr>
          <w:p w14:paraId="184F357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Diskonta obligācijas</w:t>
            </w:r>
          </w:p>
        </w:tc>
        <w:tc>
          <w:tcPr>
            <w:tcW w:w="1990" w:type="pct"/>
            <w:tcBorders>
              <w:top w:val="nil"/>
              <w:left w:val="nil"/>
              <w:bottom w:val="nil"/>
              <w:right w:val="nil"/>
            </w:tcBorders>
          </w:tcPr>
          <w:p w14:paraId="31C2B82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4.46., 5.96. punkts</w:t>
            </w:r>
          </w:p>
        </w:tc>
      </w:tr>
      <w:tr w:rsidR="00994F93" w:rsidRPr="00B03B51" w14:paraId="199DF246" w14:textId="77777777" w:rsidTr="008A7C35">
        <w:tc>
          <w:tcPr>
            <w:tcW w:w="3010" w:type="pct"/>
            <w:tcBorders>
              <w:top w:val="nil"/>
              <w:left w:val="nil"/>
              <w:bottom w:val="nil"/>
              <w:right w:val="nil"/>
            </w:tcBorders>
          </w:tcPr>
          <w:p w14:paraId="715DC29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ES subsīdijas</w:t>
            </w:r>
          </w:p>
        </w:tc>
        <w:tc>
          <w:tcPr>
            <w:tcW w:w="1990" w:type="pct"/>
            <w:tcBorders>
              <w:top w:val="nil"/>
              <w:left w:val="nil"/>
              <w:bottom w:val="nil"/>
              <w:right w:val="nil"/>
            </w:tcBorders>
          </w:tcPr>
          <w:p w14:paraId="34FE44B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4.31. punkts</w:t>
            </w:r>
          </w:p>
        </w:tc>
      </w:tr>
      <w:tr w:rsidR="00994F93" w:rsidRPr="00B03B51" w14:paraId="4CEE24A7" w14:textId="77777777" w:rsidTr="008A7C35">
        <w:tc>
          <w:tcPr>
            <w:tcW w:w="3010" w:type="pct"/>
            <w:tcBorders>
              <w:top w:val="nil"/>
              <w:left w:val="nil"/>
              <w:bottom w:val="nil"/>
              <w:right w:val="nil"/>
            </w:tcBorders>
          </w:tcPr>
          <w:p w14:paraId="5B64353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Vispārējais uzkrāšanas princips</w:t>
            </w:r>
          </w:p>
        </w:tc>
        <w:tc>
          <w:tcPr>
            <w:tcW w:w="1990" w:type="pct"/>
            <w:tcBorders>
              <w:top w:val="nil"/>
              <w:left w:val="nil"/>
              <w:bottom w:val="nil"/>
              <w:right w:val="nil"/>
            </w:tcBorders>
          </w:tcPr>
          <w:p w14:paraId="2E59FA9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1.101. punkts</w:t>
            </w:r>
          </w:p>
        </w:tc>
      </w:tr>
      <w:tr w:rsidR="00994F93" w:rsidRPr="00B03B51" w14:paraId="72B0F9F2" w14:textId="77777777" w:rsidTr="008A7C35">
        <w:tc>
          <w:tcPr>
            <w:tcW w:w="3010" w:type="pct"/>
            <w:tcBorders>
              <w:top w:val="nil"/>
              <w:left w:val="nil"/>
              <w:bottom w:val="nil"/>
              <w:right w:val="nil"/>
            </w:tcBorders>
          </w:tcPr>
          <w:p w14:paraId="6700F94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Indeksētie vērtspapīri</w:t>
            </w:r>
          </w:p>
        </w:tc>
        <w:tc>
          <w:tcPr>
            <w:tcW w:w="1990" w:type="pct"/>
            <w:tcBorders>
              <w:top w:val="nil"/>
              <w:left w:val="nil"/>
              <w:bottom w:val="nil"/>
              <w:right w:val="nil"/>
            </w:tcBorders>
          </w:tcPr>
          <w:p w14:paraId="2B68E8A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4.46. un 5.100. punkts</w:t>
            </w:r>
          </w:p>
        </w:tc>
      </w:tr>
      <w:tr w:rsidR="00994F93" w:rsidRPr="00B03B51" w14:paraId="38BA835F" w14:textId="77777777" w:rsidTr="008A7C35">
        <w:tc>
          <w:tcPr>
            <w:tcW w:w="3010" w:type="pct"/>
            <w:tcBorders>
              <w:top w:val="nil"/>
              <w:left w:val="nil"/>
              <w:bottom w:val="nil"/>
              <w:right w:val="nil"/>
            </w:tcBorders>
          </w:tcPr>
          <w:p w14:paraId="0A719F1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Ārvalstu valūtās izteikti instrumenti</w:t>
            </w:r>
          </w:p>
        </w:tc>
        <w:tc>
          <w:tcPr>
            <w:tcW w:w="1990" w:type="pct"/>
            <w:tcBorders>
              <w:top w:val="nil"/>
              <w:left w:val="nil"/>
              <w:bottom w:val="nil"/>
              <w:right w:val="nil"/>
            </w:tcBorders>
          </w:tcPr>
          <w:p w14:paraId="43F2127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6.64. punkts</w:t>
            </w:r>
          </w:p>
        </w:tc>
      </w:tr>
      <w:tr w:rsidR="00994F93" w:rsidRPr="00B03B51" w14:paraId="5A5DAD3E" w14:textId="77777777" w:rsidTr="008A7C35">
        <w:tc>
          <w:tcPr>
            <w:tcW w:w="3010" w:type="pct"/>
            <w:tcBorders>
              <w:top w:val="nil"/>
              <w:left w:val="nil"/>
              <w:bottom w:val="nil"/>
              <w:right w:val="nil"/>
            </w:tcBorders>
          </w:tcPr>
          <w:p w14:paraId="664E92D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Procenti un finanšu darījums</w:t>
            </w:r>
          </w:p>
        </w:tc>
        <w:tc>
          <w:tcPr>
            <w:tcW w:w="1990" w:type="pct"/>
            <w:tcBorders>
              <w:top w:val="nil"/>
              <w:left w:val="nil"/>
              <w:bottom w:val="nil"/>
              <w:right w:val="nil"/>
            </w:tcBorders>
          </w:tcPr>
          <w:p w14:paraId="6F63952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5.41.–5.44. punkts</w:t>
            </w:r>
          </w:p>
        </w:tc>
      </w:tr>
      <w:tr w:rsidR="00994F93" w:rsidRPr="00B03B51" w14:paraId="598A6E56" w14:textId="77777777" w:rsidTr="008A7C35">
        <w:tc>
          <w:tcPr>
            <w:tcW w:w="3010" w:type="pct"/>
            <w:tcBorders>
              <w:top w:val="nil"/>
              <w:left w:val="nil"/>
              <w:bottom w:val="nil"/>
              <w:right w:val="nil"/>
            </w:tcBorders>
          </w:tcPr>
          <w:p w14:paraId="56CC06A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Kopfondu akcijas</w:t>
            </w:r>
          </w:p>
        </w:tc>
        <w:tc>
          <w:tcPr>
            <w:tcW w:w="1990" w:type="pct"/>
            <w:tcBorders>
              <w:top w:val="nil"/>
              <w:left w:val="nil"/>
              <w:bottom w:val="nil"/>
              <w:right w:val="nil"/>
            </w:tcBorders>
          </w:tcPr>
          <w:p w14:paraId="6C281A6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5.160.–5.166. punkts</w:t>
            </w:r>
          </w:p>
        </w:tc>
      </w:tr>
      <w:tr w:rsidR="00994F93" w:rsidRPr="00B03B51" w14:paraId="584AA264" w14:textId="77777777" w:rsidTr="008A7C35">
        <w:tc>
          <w:tcPr>
            <w:tcW w:w="3010" w:type="pct"/>
            <w:tcBorders>
              <w:top w:val="nil"/>
              <w:left w:val="nil"/>
              <w:bottom w:val="nil"/>
              <w:right w:val="nil"/>
            </w:tcBorders>
          </w:tcPr>
          <w:p w14:paraId="2EB7AFA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Nominālie turēšanas guvumi</w:t>
            </w:r>
          </w:p>
        </w:tc>
        <w:tc>
          <w:tcPr>
            <w:tcW w:w="1990" w:type="pct"/>
            <w:tcBorders>
              <w:top w:val="nil"/>
              <w:left w:val="nil"/>
              <w:bottom w:val="nil"/>
              <w:right w:val="nil"/>
            </w:tcBorders>
          </w:tcPr>
          <w:p w14:paraId="57D9C44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6.27.–6.36. punkts</w:t>
            </w:r>
          </w:p>
        </w:tc>
      </w:tr>
      <w:tr w:rsidR="00994F93" w:rsidRPr="00B03B51" w14:paraId="0FD625C1" w14:textId="77777777" w:rsidTr="008A7C35">
        <w:tc>
          <w:tcPr>
            <w:tcW w:w="3010" w:type="pct"/>
            <w:tcBorders>
              <w:top w:val="nil"/>
              <w:left w:val="nil"/>
              <w:bottom w:val="nil"/>
              <w:right w:val="nil"/>
            </w:tcBorders>
          </w:tcPr>
          <w:p w14:paraId="4244B9A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Citas debitoru/kreditoru saistības (AF.8)</w:t>
            </w:r>
          </w:p>
        </w:tc>
        <w:tc>
          <w:tcPr>
            <w:tcW w:w="1990" w:type="pct"/>
            <w:tcBorders>
              <w:top w:val="nil"/>
              <w:left w:val="nil"/>
              <w:bottom w:val="nil"/>
              <w:right w:val="nil"/>
            </w:tcBorders>
          </w:tcPr>
          <w:p w14:paraId="619442D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5.230.–5.244. punkts</w:t>
            </w:r>
          </w:p>
        </w:tc>
      </w:tr>
      <w:tr w:rsidR="00994F93" w:rsidRPr="00B03B51" w14:paraId="3B47D1EF" w14:textId="77777777" w:rsidTr="008A7C35">
        <w:tc>
          <w:tcPr>
            <w:tcW w:w="3010" w:type="pct"/>
            <w:tcBorders>
              <w:top w:val="nil"/>
              <w:left w:val="nil"/>
              <w:bottom w:val="nil"/>
              <w:right w:val="nil"/>
            </w:tcBorders>
          </w:tcPr>
          <w:p w14:paraId="25730E3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Citi kārtējie pārvedumi (ierakstīšanas laiks)</w:t>
            </w:r>
          </w:p>
        </w:tc>
        <w:tc>
          <w:tcPr>
            <w:tcW w:w="1990" w:type="pct"/>
            <w:tcBorders>
              <w:top w:val="nil"/>
              <w:left w:val="nil"/>
              <w:bottom w:val="nil"/>
              <w:right w:val="nil"/>
            </w:tcBorders>
          </w:tcPr>
          <w:p w14:paraId="49F446A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4.166. punkts</w:t>
            </w:r>
          </w:p>
        </w:tc>
      </w:tr>
      <w:tr w:rsidR="00994F93" w:rsidRPr="00B03B51" w14:paraId="19EAD7CB" w14:textId="77777777" w:rsidTr="008A7C35">
        <w:tc>
          <w:tcPr>
            <w:tcW w:w="3010" w:type="pct"/>
            <w:tcBorders>
              <w:top w:val="nil"/>
              <w:left w:val="nil"/>
              <w:bottom w:val="nil"/>
              <w:right w:val="nil"/>
            </w:tcBorders>
          </w:tcPr>
          <w:p w14:paraId="4D4D800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Sociālās iemaksas</w:t>
            </w:r>
          </w:p>
        </w:tc>
        <w:tc>
          <w:tcPr>
            <w:tcW w:w="1990" w:type="pct"/>
            <w:tcBorders>
              <w:top w:val="nil"/>
              <w:left w:val="nil"/>
              <w:bottom w:val="nil"/>
              <w:right w:val="nil"/>
            </w:tcBorders>
          </w:tcPr>
          <w:p w14:paraId="3136AF2B"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4.96. punkts</w:t>
            </w:r>
          </w:p>
        </w:tc>
      </w:tr>
      <w:tr w:rsidR="00994F93" w:rsidRPr="00B03B51" w14:paraId="1349E1DD" w14:textId="77777777" w:rsidTr="008A7C35">
        <w:tc>
          <w:tcPr>
            <w:tcW w:w="3010" w:type="pct"/>
            <w:tcBorders>
              <w:top w:val="nil"/>
              <w:left w:val="nil"/>
              <w:bottom w:val="nil"/>
              <w:right w:val="nil"/>
            </w:tcBorders>
          </w:tcPr>
          <w:p w14:paraId="6165520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Subsīdijas (ierakstīšanas laiks)</w:t>
            </w:r>
          </w:p>
        </w:tc>
        <w:tc>
          <w:tcPr>
            <w:tcW w:w="1990" w:type="pct"/>
            <w:tcBorders>
              <w:top w:val="nil"/>
              <w:left w:val="nil"/>
              <w:bottom w:val="nil"/>
              <w:right w:val="nil"/>
            </w:tcBorders>
          </w:tcPr>
          <w:p w14:paraId="0709854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4.39. punkts</w:t>
            </w:r>
          </w:p>
        </w:tc>
      </w:tr>
      <w:tr w:rsidR="00994F93" w:rsidRPr="00B03B51" w14:paraId="5999D405" w14:textId="77777777" w:rsidTr="008A7C35">
        <w:tc>
          <w:tcPr>
            <w:tcW w:w="3010" w:type="pct"/>
            <w:tcBorders>
              <w:top w:val="nil"/>
              <w:left w:val="nil"/>
              <w:bottom w:val="nil"/>
              <w:right w:val="nil"/>
            </w:tcBorders>
          </w:tcPr>
          <w:p w14:paraId="146A873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Ienākuma un mantas nodokļi</w:t>
            </w:r>
          </w:p>
        </w:tc>
        <w:tc>
          <w:tcPr>
            <w:tcW w:w="1990" w:type="pct"/>
            <w:tcBorders>
              <w:top w:val="nil"/>
              <w:left w:val="nil"/>
              <w:bottom w:val="nil"/>
              <w:right w:val="nil"/>
            </w:tcBorders>
          </w:tcPr>
          <w:p w14:paraId="55D14D9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4.80.–4.82. punkts</w:t>
            </w:r>
          </w:p>
        </w:tc>
      </w:tr>
      <w:tr w:rsidR="00994F93" w:rsidRPr="00B03B51" w14:paraId="000AEE23" w14:textId="77777777" w:rsidTr="008A7C35">
        <w:tc>
          <w:tcPr>
            <w:tcW w:w="3010" w:type="pct"/>
            <w:tcBorders>
              <w:top w:val="nil"/>
              <w:left w:val="nil"/>
              <w:bottom w:val="nil"/>
              <w:right w:val="nil"/>
            </w:tcBorders>
          </w:tcPr>
          <w:p w14:paraId="7D67B8E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Ražošanas nodokļi (citi)</w:t>
            </w:r>
          </w:p>
        </w:tc>
        <w:tc>
          <w:tcPr>
            <w:tcW w:w="1990" w:type="pct"/>
            <w:tcBorders>
              <w:top w:val="nil"/>
              <w:left w:val="nil"/>
              <w:bottom w:val="nil"/>
              <w:right w:val="nil"/>
            </w:tcBorders>
          </w:tcPr>
          <w:p w14:paraId="0F2E58A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4.26.–4.27. punkts</w:t>
            </w:r>
          </w:p>
        </w:tc>
      </w:tr>
      <w:tr w:rsidR="00994F93" w:rsidRPr="00B03B51" w14:paraId="56401986" w14:textId="77777777" w:rsidTr="008A7C35">
        <w:tc>
          <w:tcPr>
            <w:tcW w:w="3010" w:type="pct"/>
            <w:tcBorders>
              <w:top w:val="nil"/>
              <w:left w:val="nil"/>
              <w:bottom w:val="nil"/>
              <w:right w:val="nil"/>
            </w:tcBorders>
          </w:tcPr>
          <w:p w14:paraId="3E5E596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Procentu ierakstīšanas laiks</w:t>
            </w:r>
          </w:p>
        </w:tc>
        <w:tc>
          <w:tcPr>
            <w:tcW w:w="1990" w:type="pct"/>
            <w:tcBorders>
              <w:top w:val="nil"/>
              <w:left w:val="nil"/>
              <w:bottom w:val="nil"/>
              <w:right w:val="nil"/>
            </w:tcBorders>
          </w:tcPr>
          <w:p w14:paraId="4499AAF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4.50. punkts</w:t>
            </w:r>
          </w:p>
        </w:tc>
      </w:tr>
      <w:tr w:rsidR="00994F93" w:rsidRPr="00B03B51" w14:paraId="5323EEB4" w14:textId="77777777" w:rsidTr="008A7C35">
        <w:tc>
          <w:tcPr>
            <w:tcW w:w="3010" w:type="pct"/>
            <w:tcBorders>
              <w:top w:val="nil"/>
              <w:left w:val="nil"/>
              <w:bottom w:val="nil"/>
              <w:right w:val="nil"/>
            </w:tcBorders>
          </w:tcPr>
          <w:p w14:paraId="741FFD1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Sociālo pabalstu ierakstīšanas laiks</w:t>
            </w:r>
          </w:p>
        </w:tc>
        <w:tc>
          <w:tcPr>
            <w:tcW w:w="1990" w:type="pct"/>
            <w:tcBorders>
              <w:top w:val="nil"/>
              <w:left w:val="nil"/>
              <w:bottom w:val="nil"/>
              <w:right w:val="nil"/>
            </w:tcBorders>
          </w:tcPr>
          <w:p w14:paraId="0A3CA21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4.106. punkts</w:t>
            </w:r>
          </w:p>
        </w:tc>
      </w:tr>
    </w:tbl>
    <w:p w14:paraId="40F9578C" w14:textId="77777777" w:rsidR="00994F93" w:rsidRPr="00B03B51" w:rsidRDefault="00994F93" w:rsidP="00994F93">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38A0692E" w14:textId="77777777" w:rsidR="00994F93" w:rsidRPr="00B03B51" w:rsidRDefault="00994F93" w:rsidP="00994F93">
      <w:pPr>
        <w:jc w:val="both"/>
        <w:rPr>
          <w:rFonts w:ascii="Times New Roman" w:eastAsia="Arial" w:hAnsi="Times New Roman" w:cs="Times New Roman"/>
          <w:b/>
          <w:bCs/>
          <w:noProof/>
          <w:sz w:val="24"/>
        </w:rPr>
      </w:pPr>
    </w:p>
    <w:p w14:paraId="7CEFE2F2" w14:textId="77777777" w:rsidR="00994F93" w:rsidRPr="00B03B51" w:rsidRDefault="00994F93" w:rsidP="00994F93">
      <w:pPr>
        <w:pStyle w:val="Heading1"/>
        <w:ind w:left="0"/>
        <w:jc w:val="both"/>
        <w:rPr>
          <w:rFonts w:ascii="Times New Roman" w:hAnsi="Times New Roman" w:cs="Times New Roman"/>
          <w:noProof/>
          <w:sz w:val="28"/>
          <w:szCs w:val="72"/>
        </w:rPr>
      </w:pPr>
      <w:bookmarkStart w:id="190" w:name="3._General_government_and_entities_contr"/>
      <w:bookmarkStart w:id="191" w:name="_bookmark20"/>
      <w:bookmarkStart w:id="192" w:name="_Toc67565082"/>
      <w:bookmarkEnd w:id="190"/>
      <w:bookmarkEnd w:id="191"/>
      <w:r w:rsidRPr="00B03B51">
        <w:rPr>
          <w:rFonts w:ascii="Times New Roman" w:hAnsi="Times New Roman" w:cs="Times New Roman"/>
          <w:sz w:val="28"/>
          <w:szCs w:val="72"/>
        </w:rPr>
        <w:t>3. Vispārējā valdība un valdības kontrolēti subjekti</w:t>
      </w:r>
      <w:bookmarkEnd w:id="192"/>
    </w:p>
    <w:p w14:paraId="19E26AEF" w14:textId="77777777" w:rsidR="00994F93" w:rsidRPr="00B03B51" w:rsidRDefault="00994F93" w:rsidP="00994F93">
      <w:pPr>
        <w:jc w:val="both"/>
        <w:rPr>
          <w:rFonts w:ascii="Times New Roman" w:eastAsia="Arial" w:hAnsi="Times New Roman" w:cs="Times New Roman"/>
          <w:b/>
          <w:bCs/>
          <w:noProof/>
          <w:sz w:val="24"/>
          <w:szCs w:val="24"/>
        </w:rPr>
      </w:pPr>
    </w:p>
    <w:p w14:paraId="1E2D009C" w14:textId="77777777" w:rsidR="00994F93" w:rsidRPr="00B03B51" w:rsidRDefault="00994F93" w:rsidP="00994F93">
      <w:pPr>
        <w:pStyle w:val="Heading2"/>
        <w:tabs>
          <w:tab w:val="left" w:pos="2139"/>
        </w:tabs>
        <w:spacing w:before="0"/>
        <w:ind w:left="0" w:firstLine="0"/>
        <w:jc w:val="both"/>
        <w:rPr>
          <w:rFonts w:ascii="Times New Roman" w:hAnsi="Times New Roman" w:cs="Times New Roman"/>
          <w:noProof/>
          <w:sz w:val="28"/>
          <w:szCs w:val="44"/>
        </w:rPr>
      </w:pPr>
      <w:bookmarkStart w:id="193" w:name="3.1_Overview"/>
      <w:bookmarkStart w:id="194" w:name="_bookmark21"/>
      <w:bookmarkStart w:id="195" w:name="_Toc67565083"/>
      <w:bookmarkEnd w:id="193"/>
      <w:bookmarkEnd w:id="194"/>
      <w:r w:rsidRPr="00B03B51">
        <w:rPr>
          <w:rFonts w:ascii="Times New Roman" w:hAnsi="Times New Roman" w:cs="Times New Roman"/>
          <w:sz w:val="28"/>
          <w:szCs w:val="44"/>
        </w:rPr>
        <w:t>3.1. Pārskats</w:t>
      </w:r>
      <w:bookmarkEnd w:id="195"/>
    </w:p>
    <w:p w14:paraId="3F7D1379"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3C60E8A4"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Darījumu starp valdību un publisku subjektu var būt sarežģīti klasificēt, jo valdība ekonomikā veic dažādus pienākumus. Darījumu var veikt dažādu iemeslu dēļ saistībā ar atšķirīgiem valdības darbības mērķiem. Šādas darbības ietver turpmāk minētos valdības pienākumus.</w:t>
      </w:r>
    </w:p>
    <w:p w14:paraId="6CC9B3B1"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10FF7E85" w14:textId="77777777" w:rsidR="00994F93" w:rsidRPr="00B03B51" w:rsidRDefault="00994F93" w:rsidP="008A7C35">
      <w:pPr>
        <w:numPr>
          <w:ilvl w:val="1"/>
          <w:numId w:val="7"/>
        </w:numPr>
        <w:ind w:left="426" w:hanging="425"/>
        <w:jc w:val="both"/>
        <w:rPr>
          <w:rFonts w:ascii="Times New Roman" w:eastAsia="Arial" w:hAnsi="Times New Roman" w:cs="Times New Roman"/>
          <w:noProof/>
          <w:sz w:val="24"/>
          <w:szCs w:val="19"/>
        </w:rPr>
      </w:pPr>
      <w:r w:rsidRPr="00B03B51">
        <w:rPr>
          <w:rFonts w:ascii="Times New Roman" w:hAnsi="Times New Roman" w:cs="Times New Roman"/>
          <w:sz w:val="24"/>
        </w:rPr>
        <w:t xml:space="preserve">Kā </w:t>
      </w:r>
      <w:r w:rsidRPr="00B03B51">
        <w:rPr>
          <w:rFonts w:ascii="Times New Roman" w:hAnsi="Times New Roman" w:cs="Times New Roman"/>
          <w:b/>
          <w:sz w:val="24"/>
        </w:rPr>
        <w:t>finanšu aktīvu īpašniece</w:t>
      </w:r>
      <w:r w:rsidRPr="00B03B51">
        <w:rPr>
          <w:rFonts w:ascii="Times New Roman" w:hAnsi="Times New Roman" w:cs="Times New Roman"/>
          <w:sz w:val="24"/>
        </w:rPr>
        <w:t>:</w:t>
      </w:r>
    </w:p>
    <w:p w14:paraId="34A5797A"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līdzīgi ilgtermiņa ieguldītājam cenšas nodrošināt ieguldījuma atdevi;</w:t>
      </w:r>
    </w:p>
    <w:p w14:paraId="4B3209E6"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pārvalda Valsts kasi.</w:t>
      </w:r>
    </w:p>
    <w:p w14:paraId="59B28875" w14:textId="77777777" w:rsidR="00994F93" w:rsidRPr="00B03B51" w:rsidRDefault="00994F93" w:rsidP="008A7C35">
      <w:pPr>
        <w:numPr>
          <w:ilvl w:val="1"/>
          <w:numId w:val="7"/>
        </w:numPr>
        <w:ind w:left="426" w:hanging="425"/>
        <w:jc w:val="both"/>
        <w:rPr>
          <w:rFonts w:ascii="Times New Roman" w:hAnsi="Times New Roman" w:cs="Times New Roman"/>
          <w:b/>
          <w:noProof/>
          <w:sz w:val="24"/>
        </w:rPr>
      </w:pPr>
      <w:r w:rsidRPr="00B03B51">
        <w:rPr>
          <w:rFonts w:ascii="Times New Roman" w:hAnsi="Times New Roman" w:cs="Times New Roman"/>
          <w:b/>
          <w:sz w:val="24"/>
        </w:rPr>
        <w:t>Darbojoties ar mērķi īstenot valsts politiku un veicinot ekonomiskās un sociālās politikas īstenošanu:</w:t>
      </w:r>
    </w:p>
    <w:p w14:paraId="3129CA6B"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izmaksā subsīdijas un ieguldījumu dotācijas;</w:t>
      </w:r>
    </w:p>
    <w:p w14:paraId="2B474383"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izmanto publiskas vienības, lai palīdzētu īstenot ar sabiedrības interesēm saistītu politiku, piemēram, nodrošināt sabiedriskā transporta pakalpojumus;</w:t>
      </w:r>
    </w:p>
    <w:p w14:paraId="67F5CDDB"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pārstrukturē publiskas vienības.</w:t>
      </w:r>
    </w:p>
    <w:p w14:paraId="5BE73F85" w14:textId="77777777" w:rsidR="00994F93" w:rsidRPr="00B03B51" w:rsidRDefault="00994F93" w:rsidP="008A7C35">
      <w:pPr>
        <w:numPr>
          <w:ilvl w:val="1"/>
          <w:numId w:val="7"/>
        </w:numPr>
        <w:ind w:left="426" w:hanging="425"/>
        <w:jc w:val="both"/>
        <w:rPr>
          <w:rFonts w:ascii="Times New Roman" w:eastAsia="Arial" w:hAnsi="Times New Roman" w:cs="Times New Roman"/>
          <w:noProof/>
          <w:sz w:val="24"/>
          <w:szCs w:val="19"/>
        </w:rPr>
      </w:pPr>
      <w:r w:rsidRPr="00B03B51">
        <w:rPr>
          <w:rFonts w:ascii="Times New Roman" w:hAnsi="Times New Roman" w:cs="Times New Roman"/>
          <w:sz w:val="24"/>
        </w:rPr>
        <w:t xml:space="preserve">Īstenojot </w:t>
      </w:r>
      <w:r w:rsidRPr="00B03B51">
        <w:rPr>
          <w:rFonts w:ascii="Times New Roman" w:hAnsi="Times New Roman" w:cs="Times New Roman"/>
          <w:b/>
          <w:bCs/>
          <w:sz w:val="24"/>
        </w:rPr>
        <w:t>budžetu</w:t>
      </w:r>
      <w:r w:rsidRPr="00B03B51">
        <w:rPr>
          <w:rFonts w:ascii="Times New Roman" w:hAnsi="Times New Roman" w:cs="Times New Roman"/>
          <w:sz w:val="24"/>
        </w:rPr>
        <w:t>, valdība:</w:t>
      </w:r>
    </w:p>
    <w:p w14:paraId="517CBFE9"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iekasē nodokļus un sociālās iemaksas;</w:t>
      </w:r>
    </w:p>
    <w:p w14:paraId="39DB2B61"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nodrošina optimālu finansējumu;</w:t>
      </w:r>
    </w:p>
    <w:p w14:paraId="281C0AFF" w14:textId="77777777" w:rsidR="00994F93" w:rsidRPr="00B03B51" w:rsidRDefault="00994F93" w:rsidP="008A7C35">
      <w:pPr>
        <w:pStyle w:val="BodyText"/>
        <w:numPr>
          <w:ilvl w:val="2"/>
          <w:numId w:val="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uzņemas pensiju saistības.</w:t>
      </w:r>
    </w:p>
    <w:p w14:paraId="56DE9B8C"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35022B91"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Robežgadījumos, nosakot darījuma klasifikāciju, jāapsver tas, kuru pienākumu valdība pilda konkrētajā darījumā, un jāpiemēro tāda uzskaite, kurā ir atpazīta darījuma ekonomiskā būtība, ja tā atšķiras no tā juridiskās formas. Dažos gadījumos pastāv atbilstība vairākām pienākumu jomām; šādos gadījumos jāapsver, kurš pienākums ir svarīgāks, lai visprecīzāk ierakstītu darījuma ekonomisko realitāti.</w:t>
      </w:r>
    </w:p>
    <w:p w14:paraId="2F4E2E1F"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654C29EF"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Dažām darbībām raksturīgs tas, ka tās vienmēr veic valdība, bet nekad neveic tirgus vienības, proti, valdība rīkojas ne tikai kā aktīvu pārvaldniece, kas cenšas gūt finansiālu peļņu. Valdība var arī zināmā mērā pārvaldīt aktīvus, lai atbalstītu saimniecisko darbību un īstenotu sociālos mērķus. Vienīgi valdība spēj veikt lielus pārskaitījumus citiem ekonomikas dalībniekiem.</w:t>
      </w:r>
    </w:p>
    <w:p w14:paraId="35F1AB63"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1348CE95"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Tas nozīmē, ka plūsmas uz publiskām sabiedrībām un no tām ne vienmēr tiek ierakstītas simetriski. Piemēram, neatlīdzināms maksājums, kas ierakstīts kā “ieguldījumu dotācija” jeb nefinanšu darījums (“kaut kas pret neko”, kā noteikts EKS 2010 1. nodaļā “Vispārējs raksturojums un pamatprincipi”), var būtiski uzlabot uzņēmuma mantisko stāvokli vidējā termiņā. Ja publisks uzņēmums pēc tam veiktu ārkārtas maksājumu no pašu līdzekļiem, to pamatoti varētu ierakstīt kā pašu kapitāla izņemšanu (daļēju aktīvu dzēšanu).</w:t>
      </w:r>
    </w:p>
    <w:p w14:paraId="6B29E6E5"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p>
    <w:p w14:paraId="418BC4F2" w14:textId="77777777" w:rsidR="00994F93" w:rsidRPr="00B03B51" w:rsidRDefault="00994F93" w:rsidP="00994F93">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Lai klasificētu vienības un darījumus, nacionālo kontu speciālisti rūpīgi apsver to ekonomisko kontekstu. Tomēr dažkārt ir svarīgi izvērtēt institucionālas vienības vai saimnieciskas plūsmas juridisko formu, kā arī ziņot par ekonomisko realitāti. Tas attiecas gan uz vienību, gan plūsmu klasificēšanu.</w:t>
      </w:r>
    </w:p>
    <w:p w14:paraId="2A0F452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6DD408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6.</w:t>
      </w:r>
    </w:p>
    <w:p w14:paraId="1100BCC8" w14:textId="77777777" w:rsidR="00994F93" w:rsidRPr="00B03B51" w:rsidRDefault="00994F93" w:rsidP="00994F93">
      <w:pPr>
        <w:jc w:val="both"/>
        <w:rPr>
          <w:rFonts w:ascii="Times New Roman" w:eastAsia="Arial" w:hAnsi="Times New Roman" w:cs="Times New Roman"/>
          <w:noProof/>
          <w:sz w:val="24"/>
          <w:szCs w:val="13"/>
        </w:rPr>
      </w:pPr>
    </w:p>
    <w:p w14:paraId="6456FA4E" w14:textId="77777777" w:rsidR="00994F93" w:rsidRPr="00B03B51" w:rsidRDefault="00994F93" w:rsidP="00DA39FD">
      <w:pPr>
        <w:keepNext/>
        <w:jc w:val="both"/>
        <w:rPr>
          <w:rFonts w:ascii="Times New Roman" w:hAnsi="Times New Roman" w:cs="Times New Roman"/>
          <w:b/>
          <w:noProof/>
          <w:sz w:val="24"/>
        </w:rPr>
      </w:pPr>
      <w:r w:rsidRPr="00B03B51">
        <w:rPr>
          <w:rFonts w:ascii="Times New Roman" w:hAnsi="Times New Roman" w:cs="Times New Roman"/>
          <w:b/>
          <w:sz w:val="24"/>
        </w:rPr>
        <w:lastRenderedPageBreak/>
        <w:t>Turpmāk ir sniegti piemēri.</w:t>
      </w:r>
    </w:p>
    <w:p w14:paraId="77CD5E45" w14:textId="77777777" w:rsidR="00994F93" w:rsidRPr="00B03B51" w:rsidRDefault="00994F93" w:rsidP="00DA39FD">
      <w:pPr>
        <w:keepNext/>
        <w:jc w:val="both"/>
        <w:rPr>
          <w:rFonts w:ascii="Times New Roman" w:eastAsia="Arial" w:hAnsi="Times New Roman" w:cs="Times New Roman"/>
          <w:b/>
          <w:bCs/>
          <w:noProof/>
          <w:sz w:val="24"/>
        </w:rPr>
      </w:pPr>
    </w:p>
    <w:p w14:paraId="1CA67867" w14:textId="77777777" w:rsidR="00994F93" w:rsidRPr="00B03B51" w:rsidRDefault="00994F93" w:rsidP="00DA39FD">
      <w:pPr>
        <w:pStyle w:val="BodyText"/>
        <w:keepN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Vienība var uzņemties valdības vienībai raksturīgas darbības, bet nebūt iekļauta valdības kontos. Šādas darbības, piemēram, var būt neatlīdzināmu maksājumu veikšana citām vienībām, nodevu iekasēšana no noteiktām nozarēm, nodrošinājumu piešķiršana zemas kvalitātes aizdevumiem, galvojumu piešķiršana aizdevumiem, sabiedriskās infrastruktūras būvniecība u. tml. Pirmais jautājums ir par to, vai vienība jāklasificē kā vispārējā valdība (pat ja to dēvē par sabiedrību vai parasti neuzskata par valdības daļu).</w:t>
      </w:r>
    </w:p>
    <w:p w14:paraId="3965BA4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0EA8B5E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vienība ir pareizi klasificēta kā tirgus vienība, rodas nākamais jautājums, proti, vai līdzvērtīgi un pretēji maksājumi ir jāvirza caur valdību (ko dēvē arī par pārvirzīšanu), lai apliecinātu, ka daži no vienības darījumiem ir veikti valdības vārdā. Piemēram, to var attiecināt uz jebkādiem neatlīdzināmiem maksājumiem (piemēram, subsīdijām), ko veic citām vienībām – tie tiktu ierakstīti kā valdības veikti maksājumi ar korekciju attiecībā uz citiem darījumiem starp vienību un valdību, lai līdzsvarotu kontus.</w:t>
      </w:r>
    </w:p>
    <w:p w14:paraId="79570C8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1B89487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Pārvirzīšana var būt piemērota netiešas privatizācijas gadījumos, kad ieņēmumus patur publiska sabiedrība, lai finansētu citām vienībām veiktus neatlīdzināmos maksājumus (skat. 5.2. nodaļu “Finanšu un nefinanšu aktīvu pārdošana”) vai lai finansētu vienības darbības, kas rada zaudējumus, saskaņā ar valdības norādījumiem kā daļu no valdības ekonomikas un sociālās politikas (sabiedrības, kuras veic noteiktu ārpustirgus darbību). Šādos gadījumos maksājumus, kas pārvirzīti caur valdību, uzrāda kā tādus, kurus finansē no maksājumiem, ko publiska vienība veic valdībai par netiešu privatizāciju.</w:t>
      </w:r>
    </w:p>
    <w:p w14:paraId="7CAD4BB3"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1F3E0FC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Klasificējot darījumu nacionālajos kontos, nosaukums, kas darījumam piešķirts publiskajos kontos vai uzņēmumu grāmatvedībā, nav obligāti jāņem vērā. Piemēram, dažos konkrētos gadījumos to, ko nodokļu tiesību aktos dēvē par nodokli vai par dividendi sabiedrību kontos, nacionālajos kontos būtu atbilstošāk ierakstīt kā finanšu darījumu.</w:t>
      </w:r>
    </w:p>
    <w:p w14:paraId="2AEF578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AFD858C"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e) No otras puses, dažas plūsmas, kuru juridiskais nosaukums ir ieguldījums pašu kapitālā, nacionālajos kontos var klasificēt kā kapitāla pārvedumus vai nu tāpēc, ka no ieguldījumiem pašu kapitālā patiesībā netiek gaidīts nekāds ekonomiskais ieguvums (piemēram, palielinātas dividendes), vai tāpēc, ka šis ieguvums ir saistīts ar pamatlīdzekļu iegādi (un tādēļ to uzskata par ieguldījumu dotāciju). Šajā saistībā ir svarīgi nošķirt no citiem maksājumu veidiem plūsmas, kas ienākumus novirza no valsts komercsabiedrībām valdībai. Šādas ienākumu novirzīšanas plūsmas neapšaubāmi jāklasificē kā nefinanšu darījumi. Otrajā kategorijā jo īpaši ietilpst lieli maksājumi, ko publiskās sabiedrības ir veikušas no aktīvu pārdošanas ieņēmumiem. Tie jāklasificē kā finanšu darījumi (skat. lēmumu pieņemšanas shēmu 3.2. nodaļā “Kapitāla iepludināšana publiskās sabiedrībās”).</w:t>
      </w:r>
    </w:p>
    <w:p w14:paraId="2AF92BD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413CB1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f) Kopumā principus, kas attiecas uz darījumiem starp vispārējo valdību un publiskām sabiedrībām, piemēro arī attiecībā uz darījumiem starp valdību un privātajām sabiedrībām, kā arī starp valdību un citām valdībām. Daži privātie uzņēmumi var būt “pārāk lieli, lai sabruktu”, vai arī tiem var būt izšķirīga nozīme tautsaimniecībā, piemēram, tiem pieder vai to lietošanā atrodas svarīga infrastruktūra un komunālā saimniecība, tāpēc valdība ir spiesta turpināt nodrošināt šādu uzņēmumu pastāvēšanu, kārtojot ar tiem darījumus. Šādos gadījumos maksājumus šiem uzņēmumiem, kurus uzrāda kā finanšu darījumus (kapitāla vai pašu kapitāla iepludināšana), ekonomikas izpratnē var uzskatīt par dotācijām.</w:t>
      </w:r>
    </w:p>
    <w:p w14:paraId="76633873"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577980B9" w14:textId="77777777" w:rsidR="00994F93" w:rsidRPr="00B03B51" w:rsidRDefault="00994F93" w:rsidP="00994F93">
      <w:pPr>
        <w:jc w:val="both"/>
        <w:rPr>
          <w:rFonts w:ascii="Times New Roman" w:eastAsia="Arial" w:hAnsi="Times New Roman" w:cs="Times New Roman"/>
          <w:noProof/>
          <w:sz w:val="24"/>
          <w:szCs w:val="18"/>
        </w:rPr>
      </w:pPr>
    </w:p>
    <w:p w14:paraId="6B4C173D"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196" w:name="3.2_Capital_injections_into_public_corpo"/>
      <w:bookmarkStart w:id="197" w:name="_bookmark22"/>
      <w:bookmarkStart w:id="198" w:name="_Toc67565084"/>
      <w:bookmarkEnd w:id="196"/>
      <w:bookmarkEnd w:id="197"/>
      <w:r w:rsidRPr="00B03B51">
        <w:rPr>
          <w:rFonts w:ascii="Times New Roman" w:hAnsi="Times New Roman" w:cs="Times New Roman"/>
          <w:sz w:val="28"/>
          <w:szCs w:val="44"/>
        </w:rPr>
        <w:t>3.2. Kapitāla iepludināšana publiskās sabiedrībās</w:t>
      </w:r>
      <w:bookmarkEnd w:id="198"/>
    </w:p>
    <w:p w14:paraId="61247DCA" w14:textId="77777777" w:rsidR="00994F93" w:rsidRPr="00100B51" w:rsidRDefault="00994F93" w:rsidP="00100B51">
      <w:pPr>
        <w:rPr>
          <w:rFonts w:ascii="Times New Roman" w:hAnsi="Times New Roman" w:cs="Times New Roman"/>
          <w:noProof/>
          <w:sz w:val="24"/>
          <w:szCs w:val="24"/>
        </w:rPr>
      </w:pPr>
      <w:bookmarkStart w:id="199" w:name="3.2.1_Background"/>
      <w:bookmarkEnd w:id="199"/>
    </w:p>
    <w:p w14:paraId="4FFA8752"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00" w:name="_Toc67565085"/>
      <w:r w:rsidRPr="00B03B51">
        <w:rPr>
          <w:rFonts w:ascii="Times New Roman" w:hAnsi="Times New Roman" w:cs="Times New Roman"/>
          <w:sz w:val="24"/>
        </w:rPr>
        <w:t>3.2.1. Vispārīga informācija</w:t>
      </w:r>
      <w:bookmarkEnd w:id="200"/>
    </w:p>
    <w:p w14:paraId="592645E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C559F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Analītiķi plašsaziņas līdzekļos par “kapitāla iepludināšanu” publiskā sabiedrībā parasti runā, ja sabiedrībai ir sniegts ievērojams finansiāls atbalsts, cenšoties kapitalizēt vai rekapitalizēt sabiedrību.</w:t>
      </w:r>
    </w:p>
    <w:p w14:paraId="6BE5AA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C25BCE" w14:textId="2B888B76"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EKS 2010 un SNA 2008 tiek izmantots vispārējs apzīmējums “kapitāla iepludināšana”, un tāpat kā plašsaziņas līdzekļos to var attiecināt uz dažādiem maksājumu veidiem, ko valdība veic publiskai sabiedrībai un ko nacionālajos kontos klasificē dažādās kategorijās kā kapitāla pārvedumus vai finanšu darījumus. Piemēram, šī terminoloģija ietver darījumus, kurus publiskajos kontos varētu norādīt kā ieguldījumu dotācijas, kapitāla dotācijas, parāda apkalpošanas dotācijas, aizdevumus un ieguldījumus pašu kapitālā, akciju kapitāla iegādi. Par kapitāla iepludināšanu var uzskatīt arī citas atbalsta formas, piemēram, parāda uzņemšanos, </w:t>
      </w:r>
      <w:r w:rsidR="00AE7172" w:rsidRPr="00B03B51">
        <w:rPr>
          <w:rFonts w:ascii="Times New Roman" w:hAnsi="Times New Roman" w:cs="Times New Roman"/>
          <w:sz w:val="24"/>
        </w:rPr>
        <w:t>anulēšanu</w:t>
      </w:r>
      <w:r w:rsidRPr="00B03B51">
        <w:rPr>
          <w:rFonts w:ascii="Times New Roman" w:hAnsi="Times New Roman" w:cs="Times New Roman"/>
          <w:sz w:val="24"/>
        </w:rPr>
        <w:t xml:space="preserve"> un pārstrukturizāciju (skat. 7.2. nodaļu “Parāda pārņemšana un parāda </w:t>
      </w:r>
      <w:r w:rsidR="00AE7172" w:rsidRPr="00B03B51">
        <w:rPr>
          <w:rFonts w:ascii="Times New Roman" w:hAnsi="Times New Roman" w:cs="Times New Roman"/>
          <w:sz w:val="24"/>
        </w:rPr>
        <w:t>anulēšana</w:t>
      </w:r>
      <w:r w:rsidRPr="00B03B51">
        <w:rPr>
          <w:rFonts w:ascii="Times New Roman" w:hAnsi="Times New Roman" w:cs="Times New Roman"/>
          <w:sz w:val="24"/>
        </w:rPr>
        <w:t>”).</w:t>
      </w:r>
    </w:p>
    <w:p w14:paraId="0F48CA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9F83D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Maksājums no valdības, ko parasti dēvē par “kapitāla iepludināšanu”, jāieraksta nacionālajos kontos kā:</w:t>
      </w:r>
    </w:p>
    <w:p w14:paraId="60913FE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F4D12FA"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finanšu darījumu – vispārīgā gadījumā tas attiecas uz pašu kapitāla palielināšanu, bet citos gadījumos – uz aizdevumiem vai vērtspapīriem, izņemot akcijas, kurus ieraksta finanšu kontos bez jebkādas ietekmes uz valdības neto aizdevumu/aizņēmumu (B.9); vai</w:t>
      </w:r>
    </w:p>
    <w:p w14:paraId="0ADDD20C"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nefinanšu darījumu – pieņemot, ka tas ir neatlīdzināms maksājums, tas būtu kapitāla pārvedums jeb valdības izdevumi ar negatīvu ietekmi uz neto aizdevumu/aizņēmumu (B.9).</w:t>
      </w:r>
    </w:p>
    <w:p w14:paraId="7ACFC5F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FE96F2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Retos gadījumos maksājumam var būt abu iepriekš minēto gadījumu pazīmes (skat. 3.2. nodaļas “Kapitāla iepludināšana publiskās sabiedrībās” 3.2.2. iedaļu “Traktējums nacionālajos kontos”).</w:t>
      </w:r>
    </w:p>
    <w:p w14:paraId="095981B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9D2D1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Kapitāla iepludināšanu visbiežāk veic naudā, taču to var veikt arī natūrā. Šajā nodaļā ir apspriesta naudas iepludināšana. Iepludināšana natūrā ir apspriesta citā nodaļā (skat. 3.4. nodaļu “Kapitāla iepludināšana natūrā”). Iepludināšana natūrā ir ļoti īpašs gadījums, kas neatbilst dažām no naudas iepludināšanas (ko ieraksta kā finanšu darījumus) pazīmēm, jo īpaši tas attiecas uz noteiktu sabiedrības rīcības brīvību attiecībā uz iepludināto līdzekļu izlietojumu (skat. arī 3.2. nodaļas “Kapitāla iepludināšana publiskās sabiedrībās” 3.2.3. iedaļu “Traktējuma pamatojums”).</w:t>
      </w:r>
    </w:p>
    <w:p w14:paraId="37CE450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3A016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Šajā nodaļā ir apspriests tikai darījuma gadījums, t. i., ekonomiska plūsma, kas rodas divu institucionālu vienību mijiedarbībā pēc to savstarpējas vienošanās (vai darbība institucionālas vienības iekšienē, ko ir lietderīgi uzskatīt par darījumu; skat. EKS 2010 1.66. punktu). Tādējādi tiek izslēgts uzņēmuma pārstrukturizācijas gadījums, kas ietver aktīvu un saistību pārstrukturizāciju vai vienību pārklasificēšanu.</w:t>
      </w:r>
    </w:p>
    <w:p w14:paraId="6F5444D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EE22BD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Šajā nodaļā ir apspriesta tikai valdības kapitāla iepludināšana publiskās sabiedrībās (kuras pieder (kaut vai tikai daļēji) vispārējai valdībai vai atrodas tās kontrolē), tostarp centrālajā bankā. Kapitāla iepludināšana publiskās kvazisabiedrībās ir apspriesta turpmāk 3.3. nodaļā. To var attiecināt arī uz kapitāla iepludināšanu valdības nekontrolētās sabiedrībās, ja pēc kapitāla </w:t>
      </w:r>
      <w:r w:rsidRPr="00B03B51">
        <w:rPr>
          <w:rFonts w:ascii="Times New Roman" w:hAnsi="Times New Roman" w:cs="Times New Roman"/>
          <w:sz w:val="24"/>
        </w:rPr>
        <w:lastRenderedPageBreak/>
        <w:t>iepludināšanas valdībai ir ievērojama ietekme sabiedrībā (kas pārsniedz jebkura cita privāta akcionāra ietekmi) vai tā šādu ietekmi iegūst.</w:t>
      </w:r>
    </w:p>
    <w:p w14:paraId="15B8F6C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3E00D0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Valdība veic kapitāla iepludināšanu arī publiskās un privātās finanšu iestādēs, jo īpaši saistībā ar finanšu krīzi, un dažos gadījumos šādi ieguldījumi sasniedz ievērojamu apmēru. Attiecībā uz šādu operāciju klasifikāciju piemēro tos pašus pamatprincipus. Tomēr ir jāņem vērā īpaši apsvērumi, jo attiecībā uz banku sektoru (tāpat kā attiecībā uz apdrošināšanas sektoru) piemēro īpašus noteikumus (piemēram, minimālā kapitāla pietiekamība), kurus nepiemēro attiecībā uz nefinanšu sabiedrībām.</w:t>
      </w:r>
      <w:r w:rsidRPr="00B03B51">
        <w:rPr>
          <w:rStyle w:val="FootnoteReference"/>
          <w:rFonts w:ascii="Times New Roman" w:hAnsi="Times New Roman" w:cs="Times New Roman"/>
          <w:noProof/>
          <w:sz w:val="24"/>
        </w:rPr>
        <w:footnoteReference w:id="145"/>
      </w:r>
    </w:p>
    <w:p w14:paraId="7561A6FA" w14:textId="77777777" w:rsidR="00994F93" w:rsidRPr="00B03B51" w:rsidRDefault="00994F93" w:rsidP="00994F93">
      <w:pPr>
        <w:jc w:val="both"/>
        <w:rPr>
          <w:rFonts w:ascii="Times New Roman" w:hAnsi="Times New Roman" w:cs="Times New Roman"/>
          <w:noProof/>
          <w:sz w:val="24"/>
        </w:rPr>
      </w:pPr>
    </w:p>
    <w:p w14:paraId="3E4FBD61"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01" w:name="3.2.2_Treatment_in_national_accounts"/>
      <w:bookmarkStart w:id="202" w:name="_Toc67565086"/>
      <w:bookmarkEnd w:id="201"/>
      <w:r w:rsidRPr="00B03B51">
        <w:rPr>
          <w:rFonts w:ascii="Times New Roman" w:hAnsi="Times New Roman" w:cs="Times New Roman"/>
          <w:sz w:val="24"/>
        </w:rPr>
        <w:t>3.2.2. Traktējums nacionālajos kontos</w:t>
      </w:r>
      <w:bookmarkEnd w:id="202"/>
    </w:p>
    <w:p w14:paraId="1421161F" w14:textId="77777777" w:rsidR="00994F93" w:rsidRPr="00D460B8" w:rsidRDefault="00994F93" w:rsidP="00D460B8">
      <w:pPr>
        <w:rPr>
          <w:rFonts w:ascii="Times New Roman" w:hAnsi="Times New Roman" w:cs="Times New Roman"/>
          <w:noProof/>
          <w:sz w:val="24"/>
          <w:szCs w:val="24"/>
        </w:rPr>
      </w:pPr>
      <w:bookmarkStart w:id="203" w:name="3.2.2.1_General_principle"/>
      <w:bookmarkEnd w:id="203"/>
    </w:p>
    <w:p w14:paraId="545A5B9B"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3.2.2.1. VISPĀRĪGS PRINCIPS</w:t>
      </w:r>
    </w:p>
    <w:p w14:paraId="297939E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AB013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Turpmāk izklāstīts vispārīgs princips, kuru dēvē arī par “kapitāla iepludināšanas testu”.</w:t>
      </w:r>
    </w:p>
    <w:p w14:paraId="3FDBF279" w14:textId="77777777" w:rsidR="00994F93" w:rsidRPr="00B03B51" w:rsidRDefault="00994F93" w:rsidP="00994F93">
      <w:pPr>
        <w:jc w:val="both"/>
        <w:rPr>
          <w:rFonts w:ascii="Times New Roman" w:eastAsia="Arial" w:hAnsi="Times New Roman" w:cs="Times New Roman"/>
          <w:noProof/>
          <w:sz w:val="24"/>
          <w:szCs w:val="14"/>
        </w:rPr>
      </w:pPr>
    </w:p>
    <w:p w14:paraId="73F1D8FB"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valdība, rīkojoties tādā pašā statusā kā privāts akcionārs, nodrošina līdzekļus, atbilstoši līgumam saņemot kaut ko pretī (parasti tādus finanšu instrumentus kā akcijas vai parāda vērtspapīrus) tādā pašā vērtībā un cerot nopelnīt pietiekamu peļņas normu no sava ieguldījuma (galvenokārt dividenžu un procentu formā) un uz augstāku tā finanšu instrumenta vērtību, kas apliecina valdības īpašumtiesības uz sabiedrību, kapitāla iepludināšanu ieraksta kā finanšu darījumu ar akcijām un citu pašu kapitālu (skat. arī 3.2.3. iedaļas “Traktējuma pamatojums” 2. ierāmējumu). Nacionālo kontu izpratnē šāds finanšu darījums nekādi neietekmē valdības neto aizņēmumu/aizdevumu (B.9).</w:t>
      </w:r>
    </w:p>
    <w:p w14:paraId="201E0AE6"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Bieži valdība pārvalda līdzekļus ar nolūku sasniegt sociālās vai kopējās politikas mērķus, kuru īstenošanai var nebūt pieejams privātais kapitāls, nevis ar mērķi iegūt ienesīgus aktīvus (kā to dara privātie akcionāri). Šāda rīcība ir aktīvu pārvaldība ar nolūku īstenot valsts politikas mērķus. Tāpēc kapitāla iepludināšana ir jāieraksta kā kapitāla pārvedums, ja līdzekļi ir piešķirti vienā no šādiem gadījumiem:</w:t>
      </w:r>
    </w:p>
    <w:p w14:paraId="3B94DAD1" w14:textId="77777777" w:rsidR="00994F93" w:rsidRPr="00B03B51" w:rsidRDefault="00994F93" w:rsidP="008A7C35">
      <w:pPr>
        <w:pStyle w:val="BodyText"/>
        <w:numPr>
          <w:ilvl w:val="2"/>
          <w:numId w:val="6"/>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līdzekļi ir piešķirti, apmaiņā nesaņemot neko ar tādu pašu vērtību;</w:t>
      </w:r>
    </w:p>
    <w:p w14:paraId="589B65C8" w14:textId="77777777" w:rsidR="00994F93" w:rsidRPr="00B03B51" w:rsidRDefault="00994F93" w:rsidP="008A7C35">
      <w:pPr>
        <w:pStyle w:val="BodyText"/>
        <w:numPr>
          <w:ilvl w:val="2"/>
          <w:numId w:val="6"/>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līdzekļi ir piešķirti, negaidot pietiekamu peļņas normu no ieguldījuma;</w:t>
      </w:r>
    </w:p>
    <w:p w14:paraId="5C9C8C09" w14:textId="77777777" w:rsidR="00994F93" w:rsidRPr="00B03B51" w:rsidRDefault="00994F93" w:rsidP="008A7C35">
      <w:pPr>
        <w:pStyle w:val="BodyText"/>
        <w:numPr>
          <w:ilvl w:val="2"/>
          <w:numId w:val="6"/>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līdzekļi ir piešķirti sabiedrībai, kas nesenā pagātnē ir cietusi zaudējumus.</w:t>
      </w:r>
    </w:p>
    <w:p w14:paraId="7CB5221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E8B62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10. Kapitāla iepludināšana, kuru ieraksta kā kapitāla pārvedumu (nefinanšu darījumu), ietekmē valdības neto aizdevumu/aizņēmumu (B.9), t. i., palielinās deficīts vai samazinās pārpalikums). Valdības neto vērtības iespējamās pārmaiņas būs atkarīgas no tā, vai kapitāla iepludināšana rada pamatu sabiedrības aktīvu pārvērtēšanai (atšķirība starp aktīvu novērtēšanu saskaņā ar “darbības turpināšanas” principu un “darbības neturpināšanas” principu). Attiecīgi palielināsies valdības pašu kapitāla aktīvu vērtība. Ņemot vērā valdības specifiku, pietiekamai prognozētajai peļņas normai no ieguldītajiem līdzekļiem (skat. arī 3.2.3. iedaļas “Traktējuma pamatojums” 2. ierāmējumu) būtu vismaz jāatbilst ilgtermiņa (10 gadu)</w:t>
      </w:r>
      <w:r w:rsidRPr="00B03B51">
        <w:rPr>
          <w:rStyle w:val="FootnoteReference"/>
          <w:rFonts w:ascii="Times New Roman" w:hAnsi="Times New Roman" w:cs="Times New Roman"/>
          <w:noProof/>
          <w:sz w:val="24"/>
        </w:rPr>
        <w:footnoteReference w:id="146"/>
      </w:r>
      <w:r w:rsidRPr="00B03B51">
        <w:rPr>
          <w:rFonts w:ascii="Times New Roman" w:hAnsi="Times New Roman" w:cs="Times New Roman"/>
          <w:sz w:val="24"/>
        </w:rPr>
        <w:t xml:space="preserve"> valsts obligāciju likmēm</w:t>
      </w:r>
      <w:r w:rsidRPr="00B03B51">
        <w:rPr>
          <w:rStyle w:val="FootnoteReference"/>
          <w:rFonts w:ascii="Times New Roman" w:hAnsi="Times New Roman" w:cs="Times New Roman"/>
          <w:noProof/>
          <w:sz w:val="24"/>
        </w:rPr>
        <w:footnoteReference w:id="147"/>
      </w:r>
      <w:r w:rsidRPr="00B03B51">
        <w:rPr>
          <w:rFonts w:ascii="Times New Roman" w:hAnsi="Times New Roman" w:cs="Times New Roman"/>
          <w:sz w:val="24"/>
        </w:rPr>
        <w:t xml:space="preserve"> vai atsevišķos gadījumos (jo īpaši, kad valdība veic ieguldījumus kopā ar citiem ieguldītājiem) ar risku koriģētajām minimālajām peļņas normām (kas parasti tiek dēvētas par pašu kapitāla atdevi), kuras privāti ieguldītāji parasti pieprasa no līdzīgiem ieguldījumiem pašu kapitālā tajā </w:t>
      </w:r>
      <w:r w:rsidRPr="00B03B51">
        <w:rPr>
          <w:rFonts w:ascii="Times New Roman" w:hAnsi="Times New Roman" w:cs="Times New Roman"/>
          <w:sz w:val="24"/>
        </w:rPr>
        <w:lastRenderedPageBreak/>
        <w:t>pašā darbības sektorā.</w:t>
      </w:r>
      <w:r w:rsidRPr="00B03B51">
        <w:rPr>
          <w:rStyle w:val="FootnoteReference"/>
          <w:rFonts w:ascii="Times New Roman" w:hAnsi="Times New Roman" w:cs="Times New Roman"/>
          <w:noProof/>
          <w:sz w:val="24"/>
        </w:rPr>
        <w:footnoteReference w:id="148"/>
      </w:r>
    </w:p>
    <w:p w14:paraId="399FBC4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068A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Kopumā turpmākos nosacījumus iespējams īstenot vienīgi tad, ja katrs gadījums tiek analizēts atsevišķi, pamatojoties uz pieejamo informāciju. Lai veiktu šādu analīzi, kā darbības norādījumi ir jāizskata turpmākie pamatjautājumi.</w:t>
      </w:r>
    </w:p>
    <w:p w14:paraId="55F52AC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977F176"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valdība rīkojas viena (iespējams, kopā ar vienu vai vairākām publiskām sabiedrībām, kuru dalība ir maznozīmīga) vai kopā ar privātiem akcionāriem (kā noteikts EKS 2010 2. nodaļā “Vienības un vienību grupējumi”), kuri piedalās iepludināšanā?</w:t>
      </w:r>
    </w:p>
    <w:p w14:paraId="4977006D"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szCs w:val="12"/>
        </w:rPr>
      </w:pPr>
      <w:r w:rsidRPr="00B03B51">
        <w:rPr>
          <w:rFonts w:ascii="Times New Roman" w:hAnsi="Times New Roman" w:cs="Times New Roman"/>
          <w:sz w:val="24"/>
        </w:rPr>
        <w:t>Vai publiskā sabiedrība (un dažos gadījumos, iespējams, arī privātā sabiedrība</w:t>
      </w:r>
      <w:r w:rsidRPr="00B03B51">
        <w:rPr>
          <w:rStyle w:val="FootnoteReference"/>
          <w:rFonts w:ascii="Times New Roman" w:hAnsi="Times New Roman" w:cs="Times New Roman"/>
          <w:noProof/>
          <w:sz w:val="24"/>
        </w:rPr>
        <w:footnoteReference w:id="149"/>
      </w:r>
      <w:r w:rsidRPr="00B03B51">
        <w:rPr>
          <w:rFonts w:ascii="Times New Roman" w:hAnsi="Times New Roman" w:cs="Times New Roman"/>
          <w:sz w:val="24"/>
        </w:rPr>
        <w:t>) ir uzkrājusi neto zaudējumus vairāku gadu laikā vai pēdējās darbības laikā (ko dēvē par “vienreizēju zaudējumu” pretstatā “ārkārtas zaudējumiem”), kas ierakstīti atbilstīgi nacionālajiem kontiem (piemēram, neto uzkrājumi) atbilstīgi vispārpieņemtam uzskaites principam, vai pamatojoties uz citiem pierādījumiem, piemēram, uz negatīvu tendenci pašas sabiedrības finanšu līdzekļos?</w:t>
      </w:r>
      <w:r w:rsidRPr="00B03B51">
        <w:rPr>
          <w:rStyle w:val="FootnoteReference"/>
          <w:rFonts w:ascii="Times New Roman" w:hAnsi="Times New Roman" w:cs="Times New Roman"/>
          <w:noProof/>
          <w:sz w:val="24"/>
        </w:rPr>
        <w:footnoteReference w:id="150"/>
      </w:r>
    </w:p>
    <w:p w14:paraId="75583727"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ir ticams, ka valdība saņems pietiekamu peļņas normu no sava ieguldījuma?</w:t>
      </w:r>
    </w:p>
    <w:p w14:paraId="5448C00A" w14:textId="77777777" w:rsidR="00994F93" w:rsidRPr="00B03B51" w:rsidRDefault="00994F93" w:rsidP="00994F93">
      <w:pPr>
        <w:jc w:val="both"/>
        <w:rPr>
          <w:rFonts w:ascii="Times New Roman" w:eastAsia="Arial" w:hAnsi="Times New Roman" w:cs="Times New Roman"/>
          <w:noProof/>
          <w:sz w:val="24"/>
          <w:szCs w:val="14"/>
        </w:rPr>
      </w:pPr>
    </w:p>
    <w:p w14:paraId="05FC16A1"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04" w:name="3.2.2.2_There_are_no_private_shareholder"/>
      <w:bookmarkEnd w:id="204"/>
      <w:r w:rsidRPr="00B03B51">
        <w:rPr>
          <w:rFonts w:ascii="Times New Roman" w:hAnsi="Times New Roman" w:cs="Times New Roman"/>
          <w:sz w:val="24"/>
        </w:rPr>
        <w:t>3.2.2.2. PRIVĀTIE AKCIONĀRI NEVEIC IEGULDĪJUMUS</w:t>
      </w:r>
    </w:p>
    <w:p w14:paraId="32FCCD8B" w14:textId="77777777" w:rsidR="00994F93" w:rsidRPr="00B03B51" w:rsidRDefault="00994F93" w:rsidP="00994F93">
      <w:pPr>
        <w:tabs>
          <w:tab w:val="left" w:pos="1692"/>
        </w:tabs>
        <w:jc w:val="both"/>
        <w:rPr>
          <w:rFonts w:ascii="Times New Roman" w:hAnsi="Times New Roman" w:cs="Times New Roman"/>
          <w:b/>
          <w:noProof/>
          <w:sz w:val="24"/>
        </w:rPr>
      </w:pPr>
      <w:bookmarkStart w:id="205" w:name="3.2.2.2.1._The_corporation_has_accumulat"/>
      <w:bookmarkEnd w:id="205"/>
    </w:p>
    <w:p w14:paraId="27662A09" w14:textId="77777777" w:rsidR="00994F93" w:rsidRPr="00B03B51" w:rsidRDefault="00994F93" w:rsidP="00994F93">
      <w:pPr>
        <w:tabs>
          <w:tab w:val="left" w:pos="1692"/>
        </w:tabs>
        <w:jc w:val="both"/>
        <w:rPr>
          <w:rFonts w:ascii="Times New Roman" w:hAnsi="Times New Roman" w:cs="Times New Roman"/>
          <w:b/>
          <w:noProof/>
          <w:sz w:val="24"/>
        </w:rPr>
      </w:pPr>
      <w:r w:rsidRPr="00B03B51">
        <w:rPr>
          <w:rFonts w:ascii="Times New Roman" w:hAnsi="Times New Roman" w:cs="Times New Roman"/>
          <w:b/>
          <w:sz w:val="24"/>
        </w:rPr>
        <w:t>3.2.2.2.1. Sabiedrība ir uzkrājusi neto zaudējumus, vai tai ir radušies vienreizēji ārkārtas zaudējumi</w:t>
      </w:r>
    </w:p>
    <w:p w14:paraId="15675B4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924D17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Ja sabiedrība ir uzkrājusi neto zaudējumus vai tai ir radušies “vienreizēji” zaudējumi, tad saskaņā ar vispārpieņemtu praksi kapitāla iepludināšanu traktē kā nefinanšu darījumu par pilnu ieguldījuma summu.</w:t>
      </w:r>
    </w:p>
    <w:p w14:paraId="548477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8EC4F3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Īpašs gadījums (darījuma sadalīšana): ja kapitāla iepludināšana pārsniedz zaudējumu neto summu un:</w:t>
      </w:r>
    </w:p>
    <w:p w14:paraId="1CA6F04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B5BC55B"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valdība var pierādīt, ka šādiem pārsnieguma līdzekļiem būs pietiekama peļņas norma (piemēram, tos izmanto īpaši tam, lai veiktu turpmākus ieguldījumus peļņu nesošās sabiedrības darbības jomās, ko apliecina iepriekšējie rezultāti, vai arī saistībā ar plānoto uzņēmuma privatizāciju), vai</w:t>
      </w:r>
    </w:p>
    <w:p w14:paraId="1AAF0270"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6FD3603"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b) notiek acīmredzama pilnīga sabiedrības pārstrukturizācija, lai nepieļautu jaunus zaudējumus un atgrieztos pie ilgtspējīga ienesīguma pēc jauna uzņēmējdarbības plāna pilnīgas ieviešanas, un var pamatoti uzskatīt, ka valdībai būs nodrošināta pietiekama peļņas norma no tās jaunā ieguldījuma. Ir jābūt vispārējai vienprātībai par to, ka pārstrukturizācija būs efektīva. Iepriekš minēto nepiemēro, ja joprojām nav zināma peļņas norma no jaunā ieguldījuma (pārstrukturizācijas plānu lielā mērā uzskata par neefektīvu attiecībā uz galvenajiem zaudējumu cēloņiem, un/vai ienesīguma atjaunošana galvenokārt ir atkarīga no faktoriem, kurus sabiedrība nespēj kontrolēt), kā rezultātā uzkrāto zaudējumu atgūšanai būs </w:t>
      </w:r>
      <w:r w:rsidRPr="00B03B51">
        <w:rPr>
          <w:rFonts w:ascii="Times New Roman" w:hAnsi="Times New Roman" w:cs="Times New Roman"/>
          <w:sz w:val="24"/>
        </w:rPr>
        <w:lastRenderedPageBreak/>
        <w:t>nepieciešams laiks.</w:t>
      </w:r>
    </w:p>
    <w:p w14:paraId="7B0DFB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26A421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Šajā īpašajā gadījumā kapitāla ieguldījumu uzskata par nefinanšu darījumu zaudējumu maksimālās summas apmērā un par finanšu darījumu, kas pārsniedz šo summu.</w:t>
      </w:r>
    </w:p>
    <w:p w14:paraId="21757A1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2D99E1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Šajā īpašajā gadījumā darbības norādījumi var būt parāda vērtības noteikšana vai vērtības mainīšana (jo īpaši ilgtermiņa parādam), pārvaldības reorganizācijas būtiskā nozīme, darbības virzienu maiņa, konkurētspēja tirgū u. c.</w:t>
      </w:r>
    </w:p>
    <w:p w14:paraId="6193D5F7" w14:textId="77777777" w:rsidR="00994F93" w:rsidRPr="00D460B8" w:rsidRDefault="00994F93" w:rsidP="00D460B8">
      <w:pPr>
        <w:rPr>
          <w:rFonts w:ascii="Times New Roman" w:hAnsi="Times New Roman" w:cs="Times New Roman"/>
          <w:noProof/>
          <w:sz w:val="24"/>
          <w:szCs w:val="24"/>
        </w:rPr>
      </w:pPr>
      <w:bookmarkStart w:id="206" w:name="3.2.2.2.2._The_corporation_has_not_accum"/>
      <w:bookmarkEnd w:id="206"/>
    </w:p>
    <w:p w14:paraId="7F84423D" w14:textId="037AC6DC"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3.2.2.</w:t>
      </w:r>
      <w:r w:rsidR="00DD269F">
        <w:rPr>
          <w:rFonts w:ascii="Times New Roman" w:hAnsi="Times New Roman" w:cs="Times New Roman"/>
          <w:sz w:val="24"/>
        </w:rPr>
        <w:t>3</w:t>
      </w:r>
      <w:r w:rsidRPr="00B03B51">
        <w:rPr>
          <w:rFonts w:ascii="Times New Roman" w:hAnsi="Times New Roman" w:cs="Times New Roman"/>
          <w:sz w:val="24"/>
        </w:rPr>
        <w:t>. Sabiedrībai nav uzkrātu neto zaudējumu</w:t>
      </w:r>
    </w:p>
    <w:p w14:paraId="0FEE126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43BC3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Parasti tas nozīmē, ka sabiedrība regulāri gūst peļņu, kuru vai nu sadala, vai atkal iegulda.</w:t>
      </w:r>
    </w:p>
    <w:p w14:paraId="3098BE4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EC7C4D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Ja valdība rīkojas līdzīgi privātajam daļu turētājam, kas nozīmē, ka tā piešķir līdzekļus, pretī saņemot finanšu aktīvus, un gaida no sava ieguldījuma pietiekamu peļņas normu (dividenžu vai augstākas tā finanšu instrumenta vērtības veidā, kas apliecina valdības īpašumtiesības sabiedrībā).</w:t>
      </w:r>
    </w:p>
    <w:p w14:paraId="00D838C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207637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Kapitāla ieguldījumu ieraksta kā finanšu darījumu ar akcijām un citu pašu kapitālu par pilnu ieguldījuma summu.</w:t>
      </w:r>
    </w:p>
    <w:p w14:paraId="707EB98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8A015F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Ja kapitāla iepludināšanu veic ar nolūku īstenot konkrētus valsts politikas mērķus vai saistībā ar būtiskām izmaiņām apstākļos, kuros tiek veiktas darbības un kurus noteikusi valdība, ir rūpīgi jāpārbauda jaunā valdības ieguldījuma nākotnes ienesīgums. Šādos gadījumos:</w:t>
      </w:r>
    </w:p>
    <w:p w14:paraId="4078875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EDEFAC"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gaidāmā pietiekamā peļņas norma joprojām ir ļoti ticama, kapitāla iepludināšanu traktē kā finanšu darījumu par pilnu ieguldījuma summu;</w:t>
      </w:r>
    </w:p>
    <w:p w14:paraId="4510811C"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pietiekama peļņas norma ir maz ticama, kapitāla iepludināšanu traktē kā nefinanšu darījumu par pilnu ieguldījuma summu.</w:t>
      </w:r>
    </w:p>
    <w:p w14:paraId="2535F1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16F5BC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Dažām publiskām sabiedrībām var būt noteikts pienākums ievērot obligātu noteikumu, saskaņā ar kuru to ieņēmumi var būt vienādi ar kopējām izmaksām, taču nedrīkst tās pārsniegt (tas, piemēram, var attiekties uz tirgus bezpeļņas organizācijām, kuras klasificē nefinanšu sabiedrību sektorā). Šādas organizācijas pēc būtības nevar nodrošināt tirgus ienesīgumu, un valdība, veicot ieguldījumus šādās vienībās, nerīkojas tāpat kā privātais akcionārs. Šādi gadījumi ir jāpielīdzina kapitāla iepludināšanai, ko veic ar nolūku īstenot valsts politikas mērķus.</w:t>
      </w:r>
    </w:p>
    <w:p w14:paraId="4821636C" w14:textId="77777777" w:rsidR="00994F93" w:rsidRPr="00B03B51" w:rsidRDefault="00994F93" w:rsidP="00994F93">
      <w:pPr>
        <w:jc w:val="both"/>
        <w:rPr>
          <w:rFonts w:ascii="Times New Roman" w:hAnsi="Times New Roman" w:cs="Times New Roman"/>
          <w:noProof/>
          <w:sz w:val="24"/>
        </w:rPr>
      </w:pPr>
    </w:p>
    <w:p w14:paraId="43EFF68F" w14:textId="77777777" w:rsidR="00994F93" w:rsidRPr="00B03B51" w:rsidRDefault="00994F93" w:rsidP="00994F93">
      <w:pPr>
        <w:tabs>
          <w:tab w:val="left" w:pos="1267"/>
        </w:tabs>
        <w:jc w:val="both"/>
        <w:rPr>
          <w:rFonts w:ascii="Times New Roman" w:hAnsi="Times New Roman" w:cs="Times New Roman"/>
          <w:b/>
          <w:noProof/>
          <w:sz w:val="24"/>
        </w:rPr>
      </w:pPr>
      <w:bookmarkStart w:id="207" w:name="3.2.2.3_There_are_private_shareholders_i"/>
      <w:bookmarkEnd w:id="207"/>
      <w:r w:rsidRPr="00B03B51">
        <w:rPr>
          <w:rFonts w:ascii="Times New Roman" w:hAnsi="Times New Roman" w:cs="Times New Roman"/>
          <w:b/>
          <w:sz w:val="24"/>
        </w:rPr>
        <w:t>3.2.2.3. PRIVĀTIE AKCIONĀRI VEIC IEGULDĪJUMUS</w:t>
      </w:r>
    </w:p>
    <w:p w14:paraId="67D29AFF" w14:textId="77777777" w:rsidR="00994F93" w:rsidRPr="00B03B51" w:rsidRDefault="00994F93" w:rsidP="00994F93">
      <w:pPr>
        <w:tabs>
          <w:tab w:val="left" w:pos="1692"/>
        </w:tabs>
        <w:jc w:val="both"/>
        <w:rPr>
          <w:rFonts w:ascii="Times New Roman" w:hAnsi="Times New Roman" w:cs="Times New Roman"/>
          <w:b/>
          <w:noProof/>
          <w:sz w:val="24"/>
        </w:rPr>
      </w:pPr>
      <w:bookmarkStart w:id="208" w:name="3.2.2.3.1._Private_shareholders_particip"/>
      <w:bookmarkEnd w:id="208"/>
    </w:p>
    <w:p w14:paraId="15911AAE" w14:textId="77777777" w:rsidR="00994F93" w:rsidRPr="00721944" w:rsidRDefault="00994F93" w:rsidP="00721944">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3.2.2.3.1. Privātie akcionāri piedalās kapitāla iepludināšanā nekotētajās akcijās</w:t>
      </w:r>
    </w:p>
    <w:p w14:paraId="7AB94A3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612B5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Privātajiem akcionāriem jau var piederēt sabiedrības pašu kapitāls. Šis gadījums ietver arī privāto akcionāru sākotnējo iesaistīšanu kārtējās iepludināšanas pasākumā, piemēram, pārstrukturizācijas procesa laikā.</w:t>
      </w:r>
    </w:p>
    <w:p w14:paraId="77C8C97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CE6267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Ja privātie ieguldītāji:</w:t>
      </w:r>
    </w:p>
    <w:p w14:paraId="545F42E1"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659597D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kapitāla iepludināšanas laikā saņem ievērojamu pašu kapitāla daļu proporcionāli daļām, kas tiem jau pieder (attiecīgajā gadījumā), tajā pašā laikā, kad valdība veic kapitāla iepludināšanu;</w:t>
      </w:r>
    </w:p>
    <w:p w14:paraId="36EFE93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2CD33E2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realizē parasto mazākuma akcionāru ietekmi saskaņā ar tiesībām, kas paredzētas spēkā esošajos korporatīvajos tiesību aktos;</w:t>
      </w:r>
    </w:p>
    <w:p w14:paraId="3F03F6BF"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161DC70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līdzīgi valdībai uzņemas riskus un priekšrocības, piemēram, attiecībā uz savām tiesībām uz neto aktīviem likvidācijas gadījumā (EKS 2010 5.148. punkts), –</w:t>
      </w:r>
    </w:p>
    <w:p w14:paraId="0F69B9AE"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605030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traktē kā finanšu darījumu par pilnu ieguldījuma summu.</w:t>
      </w:r>
    </w:p>
    <w:p w14:paraId="695213E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CD3A35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Ja privātie ieguldītāji neatbilst kādam no iepriekš minētajiem nosacījumiem, kapitāla iepludināšana jātraktē atbilstoši noteikumiem, kas paredzēti gadījumiem, kuros nav privāto akcionāru.</w:t>
      </w:r>
    </w:p>
    <w:p w14:paraId="2E2E59E9" w14:textId="77777777" w:rsidR="00994F93" w:rsidRPr="00721944" w:rsidRDefault="00994F93" w:rsidP="00721944">
      <w:pPr>
        <w:rPr>
          <w:rFonts w:ascii="Times New Roman" w:hAnsi="Times New Roman" w:cs="Times New Roman"/>
          <w:noProof/>
          <w:sz w:val="24"/>
          <w:szCs w:val="24"/>
        </w:rPr>
      </w:pPr>
      <w:bookmarkStart w:id="209" w:name="3.2.2.3.2._Private_shareholders_particip"/>
      <w:bookmarkEnd w:id="209"/>
    </w:p>
    <w:p w14:paraId="433C0B8C"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3.2.2.3.2. Privātie akcionāri piedalās kapitāla iepludināšanā kotētajās akcijās</w:t>
      </w:r>
    </w:p>
    <w:p w14:paraId="7193D3C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302B9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Ja apmaiņā pret savu maksājumu sabiedrībai valdība iegūst kotētās akcijas, kuras tā nekavējoties varētu pārdot par samaksāto cenu, tad darījums būtībā ir finanšu darījums ar akcijām un citu pašu kapitālu (F.511).</w:t>
      </w:r>
      <w:r w:rsidRPr="00B03B51">
        <w:rPr>
          <w:rStyle w:val="FootnoteReference"/>
          <w:rFonts w:ascii="Times New Roman" w:hAnsi="Times New Roman" w:cs="Times New Roman"/>
          <w:noProof/>
          <w:sz w:val="24"/>
        </w:rPr>
        <w:footnoteReference w:id="151"/>
      </w:r>
    </w:p>
    <w:p w14:paraId="06045563" w14:textId="77777777" w:rsidR="00994F93" w:rsidRPr="00721944" w:rsidRDefault="00994F93" w:rsidP="00721944">
      <w:pPr>
        <w:rPr>
          <w:rFonts w:ascii="Times New Roman" w:hAnsi="Times New Roman" w:cs="Times New Roman"/>
          <w:noProof/>
          <w:sz w:val="24"/>
          <w:szCs w:val="24"/>
        </w:rPr>
      </w:pPr>
      <w:bookmarkStart w:id="210" w:name="3.2.2.3.3._Special_case:_It_is_a_new_cor"/>
      <w:bookmarkEnd w:id="210"/>
    </w:p>
    <w:p w14:paraId="6F4C662B"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3.2.2.3.3. Īpašs gadījums. Tā ir jauna sabiedrība, vai tiek apsvērta jauna darbība/aktīvi</w:t>
      </w:r>
    </w:p>
    <w:p w14:paraId="60F86A1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50AF8E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Traktējums būs atkarīgs no īpašas izpētes, pamatojoties uz dažādiem rādītājiem, kurus parasti izmanto ieguldījumu analīzē. Būtisks rādītājs varētu būt arī privāto ieguldītāju esamība. Jebkurā gadījumā jābūt skaidram, ka valdība jauno vienību plāno izmantot ne tikai valsts politikas mērķiem.</w:t>
      </w:r>
    </w:p>
    <w:p w14:paraId="00FB9C2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A121C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Līdz ar to:</w:t>
      </w:r>
    </w:p>
    <w:p w14:paraId="739AE62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7C5750"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apstākļi apstiprina secinājumu, ka pēc “parasta” īslaicīga zaudējumu perioda (ko bieži var novērot arī līdzīgu privātu ieguldījumu gadījumā) sabiedrība kļūs strukturāli ienesīga, nodrošinot kopumā atbilstošu peļņas normu, valdības kapitāla iepludināšanu traktē kā finanšu darījumu par pilnu ieguldījuma summu;</w:t>
      </w:r>
    </w:p>
    <w:p w14:paraId="752E5653" w14:textId="77777777" w:rsidR="00994F93" w:rsidRPr="00B03B51" w:rsidRDefault="00994F93" w:rsidP="008A7C35">
      <w:pPr>
        <w:pStyle w:val="BodyText"/>
        <w:numPr>
          <w:ilvl w:val="1"/>
          <w:numId w:val="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savukārt dažādu faktoru dēļ (nenoteikta ekonomiskā vide, darbības un nozares būtība, atsevišķu valdības noteiktu izmaksu neatlīdzināšana, neatkarīgu dažādu jomu, piemēram, grāmatvedības, ekonomikas, finanšu analīzes u. c., ekspertu vienprātīgs atzinums) pastāv šaubas par projekta ilgtermiņa ienesīgumu, kapitāla iepludināšanu traktē kā nefinanšu darījumu par pilnu ieguldījuma summu.</w:t>
      </w:r>
    </w:p>
    <w:p w14:paraId="0DB2AC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844EA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Ja peļņa no kapitāla iepludināšanas ievērojami atšķiras no sākotnēji prognozētās peļņas (piemēram, plānoto zaudējumu vietā tiek gūta peļņa vai citi ieņēmumi vai paredzētās peļņas vietā rodas zaudējumi), kapitāla iepludināšanas uzskaite netiek pārskatīta, kad tiek saņemta jauna informācija vai rodas jauni apstākļi, ja vien sākotnējais plāns nav bijis maldinošs un nav nepareizi atspoguļojis ekonomisko realitāti (skat. 2. ierāmējumu 3.2.3. iedaļā). Neieraksta nekādus ieņēmumus vai izdevumus, lai atspoguļotu šīs atšķirības; tā vietā šādas atšķirības starp realitāti un prognozēm atspoguļo pārvērtēšanas kontos.</w:t>
      </w:r>
    </w:p>
    <w:p w14:paraId="60C962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8CA79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28. Proti, gadījumā, ja valdībai naudu atmaksā subjekts, kurā iepriekšējos gados ir iepludināts </w:t>
      </w:r>
      <w:r w:rsidRPr="00B03B51">
        <w:rPr>
          <w:rFonts w:ascii="Times New Roman" w:hAnsi="Times New Roman" w:cs="Times New Roman"/>
          <w:sz w:val="24"/>
        </w:rPr>
        <w:lastRenderedPageBreak/>
        <w:t>kapitāls, ierakstot to kā valdības izdevumus par kapitāla pārvedumu, tas nav obligāti jāieraksta kā valdības ieņēmumi. Tā vietā attiecībā uz valdības iekasētajiem ienākumiem veic superdividenžu testu, lai noteiktu, vai šie ienākumi ir valdības ieņēmumi vai tomēr pašu kapitāla izņemšana.</w:t>
      </w:r>
    </w:p>
    <w:p w14:paraId="7A9B7EB1" w14:textId="77777777" w:rsidR="00994F93" w:rsidRPr="00B03B51" w:rsidRDefault="00994F93" w:rsidP="00994F93">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6A614FD2" w14:textId="77777777" w:rsidTr="001C4B02">
        <w:tc>
          <w:tcPr>
            <w:tcW w:w="9281" w:type="dxa"/>
          </w:tcPr>
          <w:p w14:paraId="3A584DB4"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211" w:name="_Toc67565087"/>
            <w:r w:rsidRPr="00B03B51">
              <w:rPr>
                <w:rFonts w:ascii="Times New Roman" w:hAnsi="Times New Roman" w:cs="Times New Roman"/>
                <w:sz w:val="24"/>
              </w:rPr>
              <w:t>1. ierāmējums. Darījumu ierakstīšana: vienkārši gadījumi un sarežģītas jomas</w:t>
            </w:r>
            <w:bookmarkEnd w:id="211"/>
          </w:p>
          <w:p w14:paraId="68A9C08A"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534C5948"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Praksē statistikas veidotāji var saskarties ar vienkāršiem gadījumiem, attiecībā uz kuriem iespējams skaidrs statistiskais traktējums, vai ar robežgadījumiem, attiecībā uz kuriem ir jāveic padziļināta izpēte un jāizmanto dažādi testi.</w:t>
            </w:r>
          </w:p>
          <w:p w14:paraId="3309EF41" w14:textId="77777777" w:rsidR="00994F93" w:rsidRPr="00B03B51" w:rsidRDefault="00994F93" w:rsidP="001C4B02">
            <w:pPr>
              <w:jc w:val="both"/>
              <w:rPr>
                <w:rFonts w:ascii="Times New Roman" w:hAnsi="Times New Roman" w:cs="Times New Roman"/>
                <w:b/>
                <w:noProof/>
                <w:sz w:val="24"/>
              </w:rPr>
            </w:pPr>
          </w:p>
          <w:p w14:paraId="1F2C7120" w14:textId="77777777" w:rsidR="00994F93" w:rsidRPr="00B03B51" w:rsidRDefault="00994F93" w:rsidP="001C4B02">
            <w:pPr>
              <w:jc w:val="both"/>
              <w:rPr>
                <w:rFonts w:ascii="Times New Roman" w:hAnsi="Times New Roman" w:cs="Times New Roman"/>
                <w:b/>
                <w:noProof/>
                <w:sz w:val="24"/>
              </w:rPr>
            </w:pPr>
            <w:r w:rsidRPr="00B03B51">
              <w:rPr>
                <w:rFonts w:ascii="Times New Roman" w:hAnsi="Times New Roman" w:cs="Times New Roman"/>
                <w:b/>
                <w:sz w:val="24"/>
              </w:rPr>
              <w:t>Vienkārši gadījumi</w:t>
            </w:r>
          </w:p>
          <w:p w14:paraId="06FC8A4E" w14:textId="77777777" w:rsidR="00994F93" w:rsidRPr="00B03B51" w:rsidRDefault="00994F93" w:rsidP="001C4B02">
            <w:pPr>
              <w:tabs>
                <w:tab w:val="left" w:pos="780"/>
              </w:tabs>
              <w:jc w:val="both"/>
              <w:rPr>
                <w:rFonts w:ascii="Times New Roman" w:hAnsi="Times New Roman" w:cs="Times New Roman"/>
                <w:b/>
                <w:noProof/>
                <w:sz w:val="24"/>
              </w:rPr>
            </w:pPr>
          </w:p>
          <w:p w14:paraId="21529639" w14:textId="77777777" w:rsidR="00994F93" w:rsidRPr="00B03B51" w:rsidRDefault="00994F93" w:rsidP="001C4B02">
            <w:pPr>
              <w:tabs>
                <w:tab w:val="left" w:pos="780"/>
              </w:tabs>
              <w:jc w:val="both"/>
              <w:rPr>
                <w:rFonts w:ascii="Times New Roman" w:hAnsi="Times New Roman" w:cs="Times New Roman"/>
                <w:b/>
                <w:noProof/>
                <w:sz w:val="24"/>
              </w:rPr>
            </w:pPr>
            <w:r w:rsidRPr="00B03B51">
              <w:rPr>
                <w:rFonts w:ascii="Times New Roman" w:hAnsi="Times New Roman" w:cs="Times New Roman"/>
                <w:b/>
                <w:sz w:val="24"/>
              </w:rPr>
              <w:t>a) Ieguldījumu dotācija D.92</w:t>
            </w:r>
          </w:p>
          <w:p w14:paraId="7859D1E9"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kas “veidota no kapitāla pārvedumiem skaidrā naudā vai natūrā, ko valdība (..) veic citām institucionālām rezidentvienībām (..), lai finansētu visas izmaksas vai to daļu, tām iegādājoties pamatlīdzekļus”, ieraksta kā ieguldījumu dotāciju (D.92) (EKS 2010 4.152. punkts).</w:t>
            </w:r>
          </w:p>
          <w:p w14:paraId="28D6C33E" w14:textId="77777777" w:rsidR="00994F93" w:rsidRPr="00B03B51" w:rsidRDefault="00994F93" w:rsidP="001C4B02">
            <w:pPr>
              <w:tabs>
                <w:tab w:val="left" w:pos="790"/>
              </w:tabs>
              <w:jc w:val="both"/>
              <w:rPr>
                <w:rFonts w:ascii="Times New Roman" w:hAnsi="Times New Roman" w:cs="Times New Roman"/>
                <w:b/>
                <w:noProof/>
                <w:sz w:val="24"/>
              </w:rPr>
            </w:pPr>
          </w:p>
          <w:p w14:paraId="520CF511" w14:textId="77777777" w:rsidR="00994F93" w:rsidRPr="00B03B51" w:rsidRDefault="00994F93" w:rsidP="001C4B02">
            <w:pPr>
              <w:tabs>
                <w:tab w:val="left" w:pos="790"/>
              </w:tabs>
              <w:jc w:val="both"/>
              <w:rPr>
                <w:rFonts w:ascii="Times New Roman" w:hAnsi="Times New Roman" w:cs="Times New Roman"/>
                <w:b/>
                <w:noProof/>
                <w:sz w:val="24"/>
              </w:rPr>
            </w:pPr>
            <w:r w:rsidRPr="00B03B51">
              <w:rPr>
                <w:rFonts w:ascii="Times New Roman" w:hAnsi="Times New Roman" w:cs="Times New Roman"/>
                <w:b/>
                <w:sz w:val="24"/>
              </w:rPr>
              <w:t>b) Iepriekšējie zaudējumi D.99</w:t>
            </w:r>
          </w:p>
          <w:p w14:paraId="56227B52"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kas veikta, lai segtu uzkrātos zaudējumus, ieraksta kā kapitāla pārvedumu (D.99) (EKS 2010 4.165. punkta b) apakšpunkts).</w:t>
            </w:r>
          </w:p>
          <w:p w14:paraId="03E1D315" w14:textId="77777777" w:rsidR="00994F93" w:rsidRPr="00B03B51" w:rsidRDefault="00994F93" w:rsidP="001C4B02">
            <w:pPr>
              <w:tabs>
                <w:tab w:val="left" w:pos="783"/>
              </w:tabs>
              <w:jc w:val="both"/>
              <w:rPr>
                <w:rFonts w:ascii="Times New Roman" w:hAnsi="Times New Roman" w:cs="Times New Roman"/>
                <w:b/>
                <w:noProof/>
                <w:sz w:val="24"/>
              </w:rPr>
            </w:pPr>
          </w:p>
          <w:p w14:paraId="096B7B63" w14:textId="77777777" w:rsidR="00994F93" w:rsidRPr="00B03B51" w:rsidRDefault="00994F93" w:rsidP="001C4B02">
            <w:pPr>
              <w:tabs>
                <w:tab w:val="left" w:pos="783"/>
              </w:tabs>
              <w:jc w:val="both"/>
              <w:rPr>
                <w:rFonts w:ascii="Times New Roman" w:hAnsi="Times New Roman" w:cs="Times New Roman"/>
                <w:b/>
                <w:noProof/>
                <w:sz w:val="24"/>
              </w:rPr>
            </w:pPr>
            <w:r w:rsidRPr="00B03B51">
              <w:rPr>
                <w:rFonts w:ascii="Times New Roman" w:hAnsi="Times New Roman" w:cs="Times New Roman"/>
                <w:b/>
                <w:sz w:val="24"/>
              </w:rPr>
              <w:t>c) Kotēto akciju iegāde F.5</w:t>
            </w:r>
          </w:p>
          <w:p w14:paraId="7B6945A0"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kas izriet no tā, ka valdība iegādājas kotētas akcijas tādā pašā vērtībā, ieraksta kā darījumu ar akcijām un citu pašu kapitālu (F.5).</w:t>
            </w:r>
          </w:p>
          <w:p w14:paraId="10A101F7" w14:textId="77777777" w:rsidR="00994F93" w:rsidRPr="00B03B51" w:rsidRDefault="00994F93" w:rsidP="001C4B02">
            <w:pPr>
              <w:tabs>
                <w:tab w:val="left" w:pos="790"/>
              </w:tabs>
              <w:jc w:val="both"/>
              <w:rPr>
                <w:rFonts w:ascii="Times New Roman" w:hAnsi="Times New Roman" w:cs="Times New Roman"/>
                <w:b/>
                <w:noProof/>
                <w:sz w:val="24"/>
              </w:rPr>
            </w:pPr>
          </w:p>
          <w:p w14:paraId="0BD51782" w14:textId="77777777" w:rsidR="00994F93" w:rsidRPr="00B03B51" w:rsidRDefault="00994F93" w:rsidP="001C4B02">
            <w:pPr>
              <w:tabs>
                <w:tab w:val="left" w:pos="790"/>
              </w:tabs>
              <w:jc w:val="both"/>
              <w:rPr>
                <w:rFonts w:ascii="Times New Roman" w:hAnsi="Times New Roman" w:cs="Times New Roman"/>
                <w:b/>
                <w:noProof/>
                <w:sz w:val="24"/>
              </w:rPr>
            </w:pPr>
            <w:r w:rsidRPr="00B03B51">
              <w:rPr>
                <w:rFonts w:ascii="Times New Roman" w:hAnsi="Times New Roman" w:cs="Times New Roman"/>
                <w:b/>
                <w:sz w:val="24"/>
              </w:rPr>
              <w:t>d) Aizdevumi un obligācijas (F.3 un F.4)</w:t>
            </w:r>
          </w:p>
          <w:p w14:paraId="08F3813D" w14:textId="77777777" w:rsidR="00994F93" w:rsidRPr="00B03B51" w:rsidRDefault="00994F93" w:rsidP="001C4B02">
            <w:pPr>
              <w:tabs>
                <w:tab w:val="left" w:pos="790"/>
              </w:tabs>
              <w:jc w:val="both"/>
              <w:rPr>
                <w:rFonts w:ascii="Times New Roman" w:hAnsi="Times New Roman" w:cs="Times New Roman"/>
                <w:b/>
                <w:noProof/>
                <w:sz w:val="24"/>
              </w:rPr>
            </w:pPr>
          </w:p>
          <w:p w14:paraId="00B1BEAE" w14:textId="77777777" w:rsidR="00994F93" w:rsidRPr="00B03B51" w:rsidRDefault="00994F93" w:rsidP="00994F93">
            <w:pPr>
              <w:pStyle w:val="BodyText"/>
              <w:numPr>
                <w:ilvl w:val="2"/>
                <w:numId w:val="20"/>
              </w:numPr>
              <w:tabs>
                <w:tab w:val="left" w:pos="843"/>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Aizdevumi – līdzekļu piešķīrumu aizdevuma veidā, ko apstiprina juridisks dokuments, kurā norādītas aizdevuma ņēmēja saistības (pamatsummas izpirkšanas datums un maksājamie procenti), ieraksta kā darījumu pozīcijā F.4.</w:t>
            </w:r>
          </w:p>
          <w:p w14:paraId="3DECD18F" w14:textId="77777777" w:rsidR="00994F93" w:rsidRPr="00B03B51" w:rsidRDefault="00994F93" w:rsidP="00994F93">
            <w:pPr>
              <w:pStyle w:val="BodyText"/>
              <w:numPr>
                <w:ilvl w:val="2"/>
                <w:numId w:val="20"/>
              </w:numPr>
              <w:tabs>
                <w:tab w:val="left" w:pos="843"/>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Obligācijas – valdības piešķirtos līdzekļus sabiedrības emitēto obligāciju iegādei (arī šajā gadījumā jābūt apliecinošam juridiskam dokumentam) ieraksta kā darījumu pozīcijā F.3.</w:t>
            </w:r>
          </w:p>
          <w:p w14:paraId="41302534" w14:textId="77777777" w:rsidR="00994F93" w:rsidRPr="00B03B51" w:rsidRDefault="00994F93" w:rsidP="001C4B02">
            <w:pPr>
              <w:tabs>
                <w:tab w:val="left" w:pos="780"/>
              </w:tabs>
              <w:jc w:val="both"/>
              <w:rPr>
                <w:rFonts w:ascii="Times New Roman" w:hAnsi="Times New Roman" w:cs="Times New Roman"/>
                <w:b/>
                <w:noProof/>
                <w:sz w:val="24"/>
              </w:rPr>
            </w:pPr>
          </w:p>
          <w:p w14:paraId="6F10216A" w14:textId="6C7E48E5" w:rsidR="00994F93" w:rsidRPr="00B03B51" w:rsidRDefault="00994F93" w:rsidP="001C4B02">
            <w:pPr>
              <w:tabs>
                <w:tab w:val="left" w:pos="780"/>
              </w:tabs>
              <w:jc w:val="both"/>
              <w:rPr>
                <w:rFonts w:ascii="Times New Roman" w:hAnsi="Times New Roman" w:cs="Times New Roman"/>
                <w:b/>
                <w:noProof/>
                <w:sz w:val="24"/>
              </w:rPr>
            </w:pPr>
            <w:r w:rsidRPr="00B03B51">
              <w:rPr>
                <w:rFonts w:ascii="Times New Roman" w:hAnsi="Times New Roman" w:cs="Times New Roman"/>
                <w:b/>
                <w:sz w:val="24"/>
              </w:rPr>
              <w:t xml:space="preserve">e) Parāda </w:t>
            </w:r>
            <w:r w:rsidR="004A07B4" w:rsidRPr="00B03B51">
              <w:rPr>
                <w:rFonts w:ascii="Times New Roman" w:hAnsi="Times New Roman" w:cs="Times New Roman"/>
                <w:b/>
                <w:sz w:val="24"/>
              </w:rPr>
              <w:t>anulēšana</w:t>
            </w:r>
            <w:r w:rsidRPr="00B03B51">
              <w:rPr>
                <w:rFonts w:ascii="Times New Roman" w:hAnsi="Times New Roman" w:cs="Times New Roman"/>
                <w:b/>
                <w:sz w:val="24"/>
              </w:rPr>
              <w:t>/uzņemšanās</w:t>
            </w:r>
          </w:p>
          <w:p w14:paraId="58DEE46E" w14:textId="752709CB"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Parāda </w:t>
            </w:r>
            <w:r w:rsidR="004A07B4" w:rsidRPr="00B03B51">
              <w:rPr>
                <w:rFonts w:ascii="Times New Roman" w:hAnsi="Times New Roman" w:cs="Times New Roman"/>
                <w:sz w:val="24"/>
              </w:rPr>
              <w:t>anulēšana</w:t>
            </w:r>
            <w:r w:rsidRPr="00B03B51">
              <w:rPr>
                <w:rFonts w:ascii="Times New Roman" w:hAnsi="Times New Roman" w:cs="Times New Roman"/>
                <w:sz w:val="24"/>
              </w:rPr>
              <w:t xml:space="preserve"> vai parāda uzņemšanās nozīmē kapitāla pārvedumu vai to, ka vienību privatizē, nepārsniedzot privatizācijas ieņēmumu summu (EKS 2010 20.227. punkts).</w:t>
            </w:r>
          </w:p>
          <w:p w14:paraId="79EE32CA" w14:textId="77777777" w:rsidR="00994F93" w:rsidRPr="00B03B51" w:rsidRDefault="00994F93" w:rsidP="001C4B02">
            <w:pPr>
              <w:tabs>
                <w:tab w:val="left" w:pos="737"/>
              </w:tabs>
              <w:jc w:val="both"/>
              <w:rPr>
                <w:rFonts w:ascii="Times New Roman" w:hAnsi="Times New Roman" w:cs="Times New Roman"/>
                <w:b/>
                <w:noProof/>
                <w:sz w:val="24"/>
              </w:rPr>
            </w:pPr>
          </w:p>
          <w:p w14:paraId="421F5FA0" w14:textId="77777777" w:rsidR="00994F93" w:rsidRPr="00B03B51" w:rsidRDefault="00994F93" w:rsidP="001C4B02">
            <w:pPr>
              <w:tabs>
                <w:tab w:val="left" w:pos="737"/>
              </w:tabs>
              <w:jc w:val="both"/>
              <w:rPr>
                <w:rFonts w:ascii="Times New Roman" w:hAnsi="Times New Roman" w:cs="Times New Roman"/>
                <w:b/>
                <w:noProof/>
                <w:sz w:val="24"/>
              </w:rPr>
            </w:pPr>
            <w:r w:rsidRPr="00B03B51">
              <w:rPr>
                <w:rFonts w:ascii="Times New Roman" w:hAnsi="Times New Roman" w:cs="Times New Roman"/>
                <w:b/>
                <w:sz w:val="24"/>
              </w:rPr>
              <w:t>f) Privatizācija F.5</w:t>
            </w:r>
          </w:p>
          <w:p w14:paraId="48A45ADC" w14:textId="3FE3059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ko veic kā daļu no privatizācijas procesa īstermiņā (mazāk nekā viens gads), kad valdība plāno saņemt atpakaļ savu naudu, ieraksta pozīcijā F.5 privatizācijas ieņēmumu summas robežās (saskaņā ar EKS 2010 20.227. punktā sniegto pamatojumu parāda</w:t>
            </w:r>
            <w:r w:rsidR="00A51C3F" w:rsidRPr="00B03B51">
              <w:rPr>
                <w:rFonts w:ascii="Times New Roman" w:hAnsi="Times New Roman" w:cs="Times New Roman"/>
                <w:sz w:val="24"/>
              </w:rPr>
              <w:t xml:space="preserve"> anulēšanas</w:t>
            </w:r>
            <w:r w:rsidRPr="00B03B51">
              <w:rPr>
                <w:rFonts w:ascii="Times New Roman" w:hAnsi="Times New Roman" w:cs="Times New Roman"/>
                <w:sz w:val="24"/>
              </w:rPr>
              <w:t>/uzņemšanās gadījumā; skat. arī iepriekš e) punktu).</w:t>
            </w:r>
          </w:p>
          <w:p w14:paraId="643E8CAD" w14:textId="77777777" w:rsidR="00994F93" w:rsidRPr="00B03B51" w:rsidRDefault="00994F93" w:rsidP="001C4B02">
            <w:pPr>
              <w:jc w:val="both"/>
              <w:rPr>
                <w:rFonts w:ascii="Times New Roman" w:eastAsia="Arial" w:hAnsi="Times New Roman" w:cs="Times New Roman"/>
                <w:noProof/>
                <w:sz w:val="24"/>
                <w:szCs w:val="20"/>
              </w:rPr>
            </w:pPr>
          </w:p>
          <w:p w14:paraId="4EA7B21F" w14:textId="77777777" w:rsidR="00994F93" w:rsidRPr="00B03B51" w:rsidRDefault="00994F93" w:rsidP="001C4B02">
            <w:pPr>
              <w:jc w:val="both"/>
              <w:rPr>
                <w:rFonts w:ascii="Times New Roman" w:hAnsi="Times New Roman" w:cs="Times New Roman"/>
                <w:b/>
                <w:noProof/>
                <w:sz w:val="24"/>
              </w:rPr>
            </w:pPr>
            <w:r w:rsidRPr="00B03B51">
              <w:rPr>
                <w:rFonts w:ascii="Times New Roman" w:hAnsi="Times New Roman" w:cs="Times New Roman"/>
                <w:b/>
                <w:sz w:val="24"/>
              </w:rPr>
              <w:t>Robežgadījumi</w:t>
            </w:r>
          </w:p>
          <w:p w14:paraId="126930F9"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8886E89"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minētajās sarežģītajās jomās ir ļoti lietderīgi ievērot šādas divas vadlīnijas:</w:t>
            </w:r>
          </w:p>
          <w:p w14:paraId="550572CE"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D123E66"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lastRenderedPageBreak/>
              <w:t>atkārtoti maksājumi liecina par neatlīdzināmiem pārvedumiem, tāpēc tos ieraksta kā kapitāla pārvedumu;</w:t>
            </w:r>
          </w:p>
          <w:p w14:paraId="4FF0A8AB" w14:textId="77777777" w:rsidR="00994F93" w:rsidRPr="00B03B51" w:rsidRDefault="00994F93" w:rsidP="00994F93">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ja Eiropas Komisija klasificē valdības veiktos maksājumus kā “valsts atbalstu”, tas statistikas traktējumā jāņem vērā kā analītisks rādītājs. Plūsmas, kuras uzskata par valsts atbalstu, jāieraksta kā kapitāla pārvedumi.</w:t>
            </w:r>
          </w:p>
          <w:p w14:paraId="5E838B40" w14:textId="77777777" w:rsidR="00994F93" w:rsidRPr="00B03B51" w:rsidRDefault="00994F93" w:rsidP="001C4B02">
            <w:pPr>
              <w:tabs>
                <w:tab w:val="left" w:pos="780"/>
              </w:tabs>
              <w:jc w:val="both"/>
              <w:rPr>
                <w:rFonts w:ascii="Times New Roman" w:hAnsi="Times New Roman" w:cs="Times New Roman"/>
                <w:b/>
                <w:noProof/>
                <w:sz w:val="24"/>
              </w:rPr>
            </w:pPr>
          </w:p>
          <w:p w14:paraId="7781FC00" w14:textId="77777777" w:rsidR="00994F93" w:rsidRPr="00B03B51" w:rsidRDefault="00994F93" w:rsidP="001C4B02">
            <w:pPr>
              <w:tabs>
                <w:tab w:val="left" w:pos="780"/>
              </w:tabs>
              <w:jc w:val="both"/>
              <w:rPr>
                <w:rFonts w:ascii="Times New Roman" w:hAnsi="Times New Roman" w:cs="Times New Roman"/>
                <w:b/>
                <w:noProof/>
                <w:sz w:val="24"/>
              </w:rPr>
            </w:pPr>
            <w:r w:rsidRPr="00B03B51">
              <w:rPr>
                <w:rFonts w:ascii="Times New Roman" w:hAnsi="Times New Roman" w:cs="Times New Roman"/>
                <w:b/>
                <w:sz w:val="24"/>
              </w:rPr>
              <w:t>a) Paredzami turpmāki zaudējumi/ atkārtoti zaudējumi D.9</w:t>
            </w:r>
          </w:p>
          <w:p w14:paraId="50AD7F77"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iepludināšana, kas veikta, lai segtu prognozētos zaudējumus, kā arī, iespējams, lai samazinātu sabiedrības aizņēmumu izmaksas, jāieraksta kā kapitāla pārvedums (D.9), pat ja tiek emitētas akcijas (vai to ekvivalents). Šajā saistībā pastāv augsta varbūtība, ka īpašo darbības apstākļu dēļ sabiedrība ilgstoši negūs peļņu. Ja ir emitētas akcijas, var pieņemt, ka tām nav nekādas vērtības.</w:t>
            </w:r>
          </w:p>
          <w:p w14:paraId="2AFFCEA0" w14:textId="77777777" w:rsidR="00994F93" w:rsidRPr="00B03B51" w:rsidRDefault="00994F93" w:rsidP="001C4B02">
            <w:pPr>
              <w:tabs>
                <w:tab w:val="left" w:pos="792"/>
              </w:tabs>
              <w:jc w:val="both"/>
              <w:rPr>
                <w:rFonts w:ascii="Times New Roman" w:hAnsi="Times New Roman" w:cs="Times New Roman"/>
                <w:b/>
                <w:noProof/>
                <w:sz w:val="24"/>
              </w:rPr>
            </w:pPr>
          </w:p>
          <w:p w14:paraId="32A69429" w14:textId="77777777" w:rsidR="00994F93" w:rsidRPr="00B03B51" w:rsidRDefault="00994F93" w:rsidP="001C4B02">
            <w:pPr>
              <w:tabs>
                <w:tab w:val="left" w:pos="792"/>
              </w:tabs>
              <w:jc w:val="both"/>
              <w:rPr>
                <w:rFonts w:ascii="Times New Roman" w:hAnsi="Times New Roman" w:cs="Times New Roman"/>
                <w:b/>
                <w:noProof/>
                <w:sz w:val="24"/>
              </w:rPr>
            </w:pPr>
            <w:r w:rsidRPr="00B03B51">
              <w:rPr>
                <w:rFonts w:ascii="Times New Roman" w:hAnsi="Times New Roman" w:cs="Times New Roman"/>
                <w:b/>
                <w:sz w:val="24"/>
              </w:rPr>
              <w:t>b) Prognozēts ienesīgs ieguldījums F.5</w:t>
            </w:r>
          </w:p>
          <w:p w14:paraId="3B8EC009"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iepludināšanu publiskā sabiedrībā, ko veic, lai palielinātu valdībai turpmāk izmaksājamās dividendes, ieraksta pozīcijā F.5. To ievēro gadījumā, ja sabiedrība var brīvi izmantot līdzekļus peļņas palielināšanai un valdība prognozē peļņas normu no sava ieguldījuma, t. i., peļņu apmērā, kas līdzīgs tam, kādu tā varētu saņemt, iegādājoties tirgū kotētas akcijas.</w:t>
            </w:r>
          </w:p>
          <w:p w14:paraId="6E69FC9F" w14:textId="77777777" w:rsidR="00994F93" w:rsidRPr="00B03B51" w:rsidRDefault="00994F93" w:rsidP="001C4B02">
            <w:pPr>
              <w:tabs>
                <w:tab w:val="left" w:pos="329"/>
              </w:tabs>
              <w:jc w:val="both"/>
              <w:rPr>
                <w:rFonts w:ascii="Times New Roman" w:hAnsi="Times New Roman" w:cs="Times New Roman"/>
                <w:b/>
                <w:noProof/>
                <w:sz w:val="24"/>
                <w:szCs w:val="24"/>
              </w:rPr>
            </w:pPr>
          </w:p>
          <w:p w14:paraId="730D5A6B" w14:textId="77777777" w:rsidR="00994F93" w:rsidRPr="00B03B51" w:rsidRDefault="00994F93" w:rsidP="001C4B02">
            <w:pPr>
              <w:tabs>
                <w:tab w:val="left" w:pos="329"/>
              </w:tabs>
              <w:jc w:val="both"/>
              <w:rPr>
                <w:rFonts w:ascii="Times New Roman" w:hAnsi="Times New Roman" w:cs="Times New Roman"/>
                <w:b/>
                <w:noProof/>
                <w:sz w:val="24"/>
                <w:szCs w:val="24"/>
              </w:rPr>
            </w:pPr>
            <w:r w:rsidRPr="00B03B51">
              <w:rPr>
                <w:rFonts w:ascii="Times New Roman" w:hAnsi="Times New Roman" w:cs="Times New Roman"/>
                <w:b/>
                <w:sz w:val="24"/>
                <w:szCs w:val="24"/>
              </w:rPr>
              <w:t>c) Sadarbība ar partneri no privātā sektora F.5</w:t>
            </w:r>
          </w:p>
          <w:p w14:paraId="6252A20C"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Ja valdība kopīgi ar privātu partneri veic kapitāla iepludināšanu vienībā, kā rezultātā īpašumtiesības, tostarp tiesības uz īpašuma ienākumu, tiek mainītas proporcionāli ieguldījuma vērtībai, tas liecina, ka ieguldījums paredzams kā ienesīgs un to var ierakstīt pozīcijā F.5.</w:t>
            </w:r>
          </w:p>
          <w:p w14:paraId="171F84D9"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Ja šāda proporcionalitāte nepastāv (īpašumtiesības nemainās tādā pašā proporcijā), tas var liecināt, ka valdība tiecas sasniegt valsts politikas mērķus un veic neatlīdzināmu pārvedumu. Šādā gadījumā ieguldījumu ieraksta kā kapitāla pārvedumu.</w:t>
            </w:r>
          </w:p>
          <w:p w14:paraId="2F382E2F" w14:textId="77777777" w:rsidR="00994F93" w:rsidRPr="00B03B51" w:rsidRDefault="00994F93" w:rsidP="001C4B02">
            <w:pPr>
              <w:tabs>
                <w:tab w:val="left" w:pos="339"/>
              </w:tabs>
              <w:jc w:val="both"/>
              <w:rPr>
                <w:rFonts w:ascii="Times New Roman" w:hAnsi="Times New Roman" w:cs="Times New Roman"/>
                <w:b/>
                <w:noProof/>
                <w:sz w:val="24"/>
                <w:szCs w:val="24"/>
              </w:rPr>
            </w:pPr>
          </w:p>
          <w:p w14:paraId="19508124" w14:textId="77777777" w:rsidR="00994F93" w:rsidRPr="00B03B51" w:rsidRDefault="00994F93" w:rsidP="001C4B02">
            <w:pPr>
              <w:tabs>
                <w:tab w:val="left" w:pos="339"/>
              </w:tabs>
              <w:jc w:val="both"/>
              <w:rPr>
                <w:rFonts w:ascii="Times New Roman" w:hAnsi="Times New Roman" w:cs="Times New Roman"/>
                <w:b/>
                <w:noProof/>
                <w:sz w:val="24"/>
                <w:szCs w:val="24"/>
              </w:rPr>
            </w:pPr>
            <w:r w:rsidRPr="00B03B51">
              <w:rPr>
                <w:rFonts w:ascii="Times New Roman" w:hAnsi="Times New Roman" w:cs="Times New Roman"/>
                <w:b/>
                <w:sz w:val="24"/>
                <w:szCs w:val="24"/>
              </w:rPr>
              <w:t>d) Struktūra pārvalda finanšu aktīvus valdības vārdā F.5</w:t>
            </w:r>
          </w:p>
          <w:p w14:paraId="4077012B"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Kapitāla iepludināšanu publiskā kontrolakciju sabiedrībā/centrālajā birojā vai finanšu sabiedrībā, kas valdības vārdā rentabli pārvalda aktīvus, lai iegūtu vairāk finanšu aktīvu, var ierakstīt kā darījumu pozīcijā F.5. Šajā gadījumā piemēro šādu nosacījumu – aktīvi tiek pārvaldīti, lai palielinātu valdības peļņu, un tiek prognozētas lielākas dividendes.</w:t>
            </w:r>
          </w:p>
          <w:p w14:paraId="3074A637" w14:textId="77777777" w:rsidR="00994F93" w:rsidRPr="00B03B51" w:rsidRDefault="00994F93" w:rsidP="001C4B02">
            <w:pPr>
              <w:jc w:val="both"/>
              <w:rPr>
                <w:rFonts w:ascii="Times New Roman" w:hAnsi="Times New Roman" w:cs="Times New Roman"/>
                <w:b/>
                <w:noProof/>
                <w:sz w:val="24"/>
                <w:szCs w:val="24"/>
              </w:rPr>
            </w:pPr>
          </w:p>
          <w:p w14:paraId="06194C6C" w14:textId="77777777" w:rsidR="00994F93" w:rsidRPr="00B03B51" w:rsidRDefault="00994F93" w:rsidP="001C4B02">
            <w:pPr>
              <w:jc w:val="both"/>
              <w:rPr>
                <w:rFonts w:ascii="Times New Roman" w:hAnsi="Times New Roman" w:cs="Times New Roman"/>
                <w:b/>
                <w:noProof/>
                <w:sz w:val="24"/>
                <w:szCs w:val="24"/>
              </w:rPr>
            </w:pPr>
            <w:r w:rsidRPr="00B03B51">
              <w:rPr>
                <w:rFonts w:ascii="Times New Roman" w:hAnsi="Times New Roman" w:cs="Times New Roman"/>
                <w:b/>
                <w:sz w:val="24"/>
                <w:szCs w:val="24"/>
              </w:rPr>
              <w:t>e) Aizdevumi, ko piešķir noteiktos apstākļos</w:t>
            </w:r>
          </w:p>
          <w:p w14:paraId="139586CE"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Noteiktos apstākļos (piemēram, finanšu darījumu anulēšana, uzņēmējdarbības glābšana, eksporta apdrošināšana u. c.) rūpīgi jāpārbauda valdības piešķirto aizdevumu (un līgumsaistību) pazīmes, lai noteiktu, vai ir iespējama to klasifikācija aizdevumu pozīcijā F.4. Īpašā gadījumā, kurā aizdevumu saņēmusī publiskā sabiedrība atrodas finanšu grūtībās un nespēj atmaksāt aizdevumu, līdzekļu piešķīrumu ieraksta kā kapitāla pārvedumu (D.99). Ja publiska sabiedrība (un, iespējams, dažos gadījumos arī privāta sabiedrība) spēj atmaksāt lielāko aizdevuma daļu, taču ne visu aizdevumu, tad aizdevumu var sadalīt starp F.4 pozīciju un citu kapitāla pārvedumu pozīciju (D.99) (skat. EKS 2010 1.72. punktu un 1.76.–1.77. punktu).</w:t>
            </w:r>
          </w:p>
        </w:tc>
      </w:tr>
    </w:tbl>
    <w:p w14:paraId="324013F7" w14:textId="77777777" w:rsidR="00994F93" w:rsidRPr="00B03B51" w:rsidRDefault="00994F93" w:rsidP="00994F93">
      <w:pPr>
        <w:jc w:val="both"/>
        <w:rPr>
          <w:rFonts w:ascii="Times New Roman" w:eastAsia="Arial" w:hAnsi="Times New Roman" w:cs="Times New Roman"/>
          <w:noProof/>
          <w:sz w:val="24"/>
          <w:szCs w:val="18"/>
        </w:rPr>
      </w:pPr>
    </w:p>
    <w:p w14:paraId="5F4ABB0D" w14:textId="77777777" w:rsidR="00994F93" w:rsidRPr="00B03B51" w:rsidRDefault="00994F93" w:rsidP="00C171EC">
      <w:pPr>
        <w:pStyle w:val="Heading3"/>
        <w:keepNext/>
        <w:keepLines/>
        <w:tabs>
          <w:tab w:val="left" w:pos="1267"/>
        </w:tabs>
        <w:ind w:left="0" w:firstLine="0"/>
        <w:jc w:val="both"/>
        <w:rPr>
          <w:rFonts w:ascii="Times New Roman" w:hAnsi="Times New Roman" w:cs="Times New Roman"/>
          <w:noProof/>
          <w:sz w:val="24"/>
        </w:rPr>
      </w:pPr>
      <w:bookmarkStart w:id="212" w:name="3.2.3_Rationale_of_the_treatment"/>
      <w:bookmarkStart w:id="213" w:name="_Toc67565088"/>
      <w:bookmarkEnd w:id="212"/>
      <w:r w:rsidRPr="00B03B51">
        <w:rPr>
          <w:rFonts w:ascii="Times New Roman" w:hAnsi="Times New Roman" w:cs="Times New Roman"/>
          <w:sz w:val="24"/>
        </w:rPr>
        <w:lastRenderedPageBreak/>
        <w:t>3.2.3. Traktējuma pamatojums</w:t>
      </w:r>
      <w:bookmarkEnd w:id="213"/>
    </w:p>
    <w:p w14:paraId="50F6D722" w14:textId="77777777" w:rsidR="00994F93" w:rsidRPr="00721944" w:rsidRDefault="00994F93" w:rsidP="00C171EC">
      <w:pPr>
        <w:keepNext/>
        <w:rPr>
          <w:rFonts w:ascii="Times New Roman" w:hAnsi="Times New Roman" w:cs="Times New Roman"/>
          <w:noProof/>
          <w:sz w:val="24"/>
          <w:szCs w:val="24"/>
        </w:rPr>
      </w:pPr>
      <w:bookmarkStart w:id="214" w:name="3.2.3.1_Three_common_ways_of_providing_f"/>
      <w:bookmarkEnd w:id="214"/>
    </w:p>
    <w:p w14:paraId="28A82565" w14:textId="77777777" w:rsidR="00994F93" w:rsidRPr="00B03B51" w:rsidRDefault="00994F93" w:rsidP="00C171EC">
      <w:pPr>
        <w:pStyle w:val="Heading6"/>
        <w:keepNext/>
        <w:keepLines/>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3.2.3.1. TRĪS IZPLATĪTI VEIDI, KĀ PUBLISKĀM SABIEDRĪBĀM PIEŠĶIR LĪDZEKĻUS</w:t>
      </w:r>
    </w:p>
    <w:p w14:paraId="55AF58B3" w14:textId="77777777" w:rsidR="00994F93" w:rsidRPr="00B03B51" w:rsidRDefault="00994F93" w:rsidP="00C171EC">
      <w:pPr>
        <w:pStyle w:val="BodyText"/>
        <w:keepNext/>
        <w:keepLines/>
        <w:tabs>
          <w:tab w:val="left" w:pos="843"/>
        </w:tabs>
        <w:spacing w:before="0"/>
        <w:ind w:left="0" w:firstLine="0"/>
        <w:jc w:val="both"/>
        <w:rPr>
          <w:rFonts w:ascii="Times New Roman" w:hAnsi="Times New Roman" w:cs="Times New Roman"/>
          <w:noProof/>
          <w:sz w:val="24"/>
        </w:rPr>
      </w:pPr>
    </w:p>
    <w:p w14:paraId="42EAB008" w14:textId="77777777" w:rsidR="00994F93" w:rsidRPr="00B03B51" w:rsidRDefault="00994F93" w:rsidP="00C171EC">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Valdība noteiktā brīdī var palielināt publiskas sabiedrības finanšu aktīvus (parasti – naudas līdzekļus), parasti izmantojot kādu no šādiem trīs veidiem: a) piešķirot dotāciju; b) piešķirot pašu kapitālu; c) piešķirot aizdevuma kapitālu. Nacionālajos kontos šos veidus ir būtiski skaidri nošķirt, jo saskaņā ar EKS 2010 paredzēto darījumu un aktīvu klasifikāciju tie tiek traktēti atšķirīgi.</w:t>
      </w:r>
    </w:p>
    <w:p w14:paraId="406FF70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26586E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bCs/>
          <w:sz w:val="24"/>
        </w:rPr>
        <w:t xml:space="preserve">a) </w:t>
      </w:r>
      <w:r w:rsidRPr="00B03B51">
        <w:rPr>
          <w:rFonts w:ascii="Times New Roman" w:hAnsi="Times New Roman" w:cs="Times New Roman"/>
          <w:b/>
          <w:bCs/>
          <w:sz w:val="24"/>
        </w:rPr>
        <w:t>Dotācijas (t. i., dāvinājuma) piešķiršana</w:t>
      </w:r>
      <w:r w:rsidRPr="00B03B51">
        <w:rPr>
          <w:rFonts w:ascii="Times New Roman" w:hAnsi="Times New Roman" w:cs="Times New Roman"/>
          <w:bCs/>
          <w:sz w:val="24"/>
        </w:rPr>
        <w:t> – nacionālo kontu izpratnē tas ir kapitāla pārvedums.</w:t>
      </w:r>
      <w:r w:rsidRPr="00B03B51">
        <w:rPr>
          <w:rFonts w:ascii="Times New Roman" w:hAnsi="Times New Roman" w:cs="Times New Roman"/>
          <w:sz w:val="24"/>
        </w:rPr>
        <w:t xml:space="preserve"> Tas var mainīt neto aizdevumu/aizņēmumu (B.9), kā arī neto vērtību uzkrājuma un kapitāla pārvedumu dēļ (B.10.1.) un tādējādi sabiedrības pašu līdzekļus. Šādu kapitāla pārvedumu būtiska pazīme ir tā, ka tie ir darījumi, kādus parasti veic vienīgi valdība. Šādu pārvedumu saņēmēji parasti ir uzņēmumi, kuri nestrādā tirgū konkurences apstākļos. Šādi rīkojoties, valdība negaida no sava ieguldījuma nekādu peļņu dividenžu veidā (šādus pārvedumus saņemošais uzņēmums lielāko daļu laika nemaksā dividendes) vai citu ieņēmumu veidā, kuri parasti tiek gūti privatizācijā. Valdības rīkojas ar nolūku īstenot valsts politikas mērķus un gaida vienīgi to, ka izlietotie līdzekļi dos noteiktus rezultātus ekonomikas vai sociālajā jomā.</w:t>
      </w:r>
    </w:p>
    <w:p w14:paraId="2BF4922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b/>
          <w:noProof/>
          <w:sz w:val="24"/>
        </w:rPr>
      </w:pPr>
    </w:p>
    <w:p w14:paraId="609793EB"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bCs/>
          <w:sz w:val="24"/>
        </w:rPr>
        <w:t xml:space="preserve">b) </w:t>
      </w:r>
      <w:r w:rsidRPr="00B03B51">
        <w:rPr>
          <w:rFonts w:ascii="Times New Roman" w:hAnsi="Times New Roman" w:cs="Times New Roman"/>
          <w:b/>
          <w:bCs/>
          <w:sz w:val="24"/>
        </w:rPr>
        <w:t>Pašu kapitāla piešķiršana</w:t>
      </w:r>
      <w:r w:rsidRPr="00B03B51">
        <w:rPr>
          <w:rFonts w:ascii="Times New Roman" w:hAnsi="Times New Roman" w:cs="Times New Roman"/>
          <w:bCs/>
          <w:sz w:val="24"/>
        </w:rPr>
        <w:t> – tas ir finanšu darījums ar akcijām un citu pašu kapitālu.</w:t>
      </w:r>
      <w:r w:rsidRPr="00B03B51">
        <w:rPr>
          <w:rFonts w:ascii="Times New Roman" w:hAnsi="Times New Roman" w:cs="Times New Roman"/>
          <w:sz w:val="24"/>
        </w:rPr>
        <w:t xml:space="preserve"> Neto aizdevums/aizņēmums (B.9) un neto vērtība nemainās (bet pašu kapitāla palielināšanas dēļ mainās pašu līdzekļi). Parasti sabiedrības, kuras palielina pašu kapitālu, konkurē tirgos, un tām ir jāstiprina savs finanšu stāvoklis, palielinot pašu līdzekļus, lai plānotu ieguldījumus u. tml. Piešķirot sabiedrībai pašu kapitālu, valdība rīkojas līdzīgi privātam akcionāram, pamatoti gaidot pietiekamu peļņu no ieguldījuma. Šajā saistībā faktiskie dividenžu maksājumi akcionāriem un/vai pozitīva akciju vērtības tendence ir izšķirīgi kritēriji, lai iepludināšanu traktētu kā pašu kapitāla palielinājumu. Turklāt, kā parādīts lēmumu pieņemšanas shēmā (skat. šīs nodaļās beigās), privāto akcionāru dalība uzņēmumā arī ir spēcīgs rādītājs ierakstīšanai pašu kapitālā, jo īpaši tad, ja akcijas tiek kotētas biržā. Tomēr privāto ieguldītāju daļa sabiedrības pašu kapitālā nedrīkst mazināties līdz ar valdības veiktu jaunu akciju iegādi (kas samazinātu privāto ieguldītāju līdzdalību tiktāl, ka tie vairs nevarētu realizēt savu ietekmi). Viņiem arī jāuzņemas tādi paši riski un jāsaņem priekšrocības, kādus attiecīgi uzņemas un saņem valdība, jo īpaši saistībā ar tiesībām uz sabiedrības neto aktīviem likvidācijas gadījumā (gadījums, kad tiek emitētas akcijas ar īpašām tiesībām).</w:t>
      </w:r>
    </w:p>
    <w:p w14:paraId="32128F97"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b/>
          <w:noProof/>
          <w:sz w:val="24"/>
        </w:rPr>
      </w:pPr>
    </w:p>
    <w:p w14:paraId="0D1B58F1"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c) </w:t>
      </w:r>
      <w:r w:rsidRPr="00B03B51">
        <w:rPr>
          <w:rFonts w:ascii="Times New Roman" w:hAnsi="Times New Roman" w:cs="Times New Roman"/>
          <w:b/>
          <w:bCs/>
          <w:sz w:val="24"/>
        </w:rPr>
        <w:t>Aizdevuma kapitāla piešķiršana (vai, iespējams, sabiedrības obligāciju iegāde)</w:t>
      </w:r>
      <w:r w:rsidRPr="00B03B51">
        <w:rPr>
          <w:rFonts w:ascii="Times New Roman" w:hAnsi="Times New Roman" w:cs="Times New Roman"/>
          <w:sz w:val="24"/>
        </w:rPr>
        <w:t> – kopumā tas ir finanšu darījums. Šajā gadījumā nemainās ne valdības, ne komercsabiedrības neto aizdevums/aizņēmums (B.9), ne arī tīrā vērtība (B.90), un nemainās arī pašu līdzekļi. Valdība kā aizdevēja gaida, ka publiska sabiedrība kā aizdevuma ņēmēja spēs atmaksāt aizdevumus atbilstoši sākotnēji saskaņotajam grafikam.</w:t>
      </w:r>
    </w:p>
    <w:p w14:paraId="6D2FDB28" w14:textId="77777777" w:rsidR="00994F93" w:rsidRPr="00B03B51" w:rsidRDefault="00994F93" w:rsidP="00994F93">
      <w:pPr>
        <w:jc w:val="both"/>
        <w:rPr>
          <w:rFonts w:ascii="Times New Roman" w:hAnsi="Times New Roman" w:cs="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5729C39B" w14:textId="77777777" w:rsidTr="001C4B02">
        <w:tc>
          <w:tcPr>
            <w:tcW w:w="9281" w:type="dxa"/>
          </w:tcPr>
          <w:p w14:paraId="5FF783EB"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215" w:name="_Toc67565089"/>
            <w:r w:rsidRPr="00B03B51">
              <w:rPr>
                <w:rFonts w:ascii="Times New Roman" w:hAnsi="Times New Roman" w:cs="Times New Roman"/>
                <w:sz w:val="24"/>
              </w:rPr>
              <w:t>2. ierāmējums. Pietiekama peļņas norma</w:t>
            </w:r>
            <w:bookmarkEnd w:id="215"/>
          </w:p>
          <w:p w14:paraId="358CA7E9"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701271CE"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Lai noskaidrotu, vai valdība rīkojas tāpat kā privātais ieguldītājs/akcionārs, lai kapitāla ieguldījumu varētu traktēt kā pašu kapitāla palielinājumu (F.5), izšķirīgs rādītājs ir no ieguldījuma gaidāmā peļņa (ko parasti dēvē par pašu kapitāla atdevi (</w:t>
            </w:r>
            <w:r w:rsidRPr="00B03B51">
              <w:rPr>
                <w:rFonts w:ascii="Times New Roman" w:hAnsi="Times New Roman" w:cs="Times New Roman"/>
                <w:i/>
                <w:iCs/>
                <w:sz w:val="24"/>
              </w:rPr>
              <w:t>RoE</w:t>
            </w:r>
            <w:r w:rsidRPr="00B03B51">
              <w:rPr>
                <w:rFonts w:ascii="Times New Roman" w:hAnsi="Times New Roman" w:cs="Times New Roman"/>
                <w:sz w:val="24"/>
              </w:rPr>
              <w:t xml:space="preserve">)). Šāda atdeve dividenžu vai turēšanas guvumu veidā liecina par to, ka juridisks finanšu instruments </w:t>
            </w:r>
            <w:r w:rsidRPr="00B03B51">
              <w:rPr>
                <w:rFonts w:ascii="Times New Roman" w:hAnsi="Times New Roman" w:cs="Times New Roman"/>
                <w:sz w:val="24"/>
              </w:rPr>
              <w:lastRenderedPageBreak/>
              <w:t>(piemēram, akcijas), kas izsniegts tā īpašniekiem apmaiņā pret ieguldītajiem līdzekļiem, ir nākotnes ekonomisko labumu avots (kas tādējādi atbilst EKS 2010 noteiktajai aktīva pamatdefinīcijai) un ka tam ir tirgus vērtība.</w:t>
            </w:r>
          </w:p>
          <w:p w14:paraId="0EA4D5B7"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4A773EB"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Šādu gaidāmo “atbilstošo atdeves normu” vai “tirgus atdeves normu” valsts finanšu statistikā var uzskatīt par “pietiekamu atdeves normu” (skat. 3.2.2.1. apakšiedaļu).</w:t>
            </w:r>
          </w:p>
          <w:p w14:paraId="0716DF2F"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137CB544"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Valdībai ekonomikā ir ļoti specifiskas funkcijas. Tai ir jārisina kopējās problēmas un jāmazina ārēju faktoru ietekme, lai ilgtermiņā nodrošinātu sabiedrības labklājību un pārticību (sabiedrības veselību un izglītību, sabiedrisko kārtību un drošību, sabiedrisko infrastruktūru, apkārtējo vidi u. c.), un tādējādi tā galvenokārt rīkojas kā ārpustirgus ražotājs. Līdzekļi, kas šādā saistībā ieguldīti, tiek nodrošināti ar nolūku īstenot valsts politikas mērķus, negaidot nekādu tiešu finansiālu peļņu: nacionālajos kontos šādus ieguldītos līdzekļus ieraksta kā kapitāla pārvedumus (D.9).</w:t>
            </w:r>
          </w:p>
          <w:p w14:paraId="3242A51B"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1C4C783"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Tomēr valdība arī tieši iesaistās ekonomikā tāpat kā citi ieguldītāji un akcionāri, piemēram, ar publisko sabiedrību starpniecību, tiecoties tās padarīt iespējami efektīvākas un ienesīgākas, lai tās būtu arī ieņēmumu avots vai sniegtu citus labumus.</w:t>
            </w:r>
          </w:p>
          <w:p w14:paraId="3526CA1A"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2C24154C"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Valdības ieguldītajam kapitālam vienmēr ir alternatīvās izmaksas. Līdz ar to, kad valdība veic ieguldījumus, vēloties saņemt peļņu no sava ieguldījuma, ideālos apstākļos līdzīgai peļņai būtu jābūt sagaidāmai arī no salīdzināmiem privātiem ieguldījumiem. Tas nozīmē, ka tirgus peļņas normas ir jāizmanto kā salīdzināšanas rādītāji. Tomēr var pastāvēt iemesli, kuru dēļ valdība tiecas gūt no ieguldījuma atšķirīgu nepieciešamo gaidāmo peļņu. Kapitāla tirgos var rasties sarežģījumi, tāpēc tirgus peļņas normās var nebūt atspoguļotas pareizās alternatīvās izmaksas. Turklāt valdība nereti iegulda jomās vai rūpnieciskās ražošanas posmos, kuros privāti ieguldītāji neiesaistās, un tas attiecīgi apgrūtina salīdzināšanu ar privātā sektora peļņu.</w:t>
            </w:r>
          </w:p>
          <w:p w14:paraId="7F51D3E1"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13A65B0"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Lai noteiktu atbilstošu minimālo peļņu no ieguldījuma, finanšu teorijā ir zināmas vairākas standarta metodes. Šajās metodēs bieži izmanto alternatīvo izmaksu pieeju, ņemot vērā likmes, kuras piemēro alternatīviem ieguldījumiem vai finansējuma izmaksām (t. i., citām alternatīvām). Šīs metodes izmanto, lai, izpētot uzņēmuma aktīvus (ieguldījumus) un saistības (finansējumu), aprēķinātu no ieguldījuma gaidāmo peļņas normu. Viena plaši izmantota metode ir kapitāla aktīvu cenas noteikšanas modelis [</w:t>
            </w:r>
            <w:r w:rsidRPr="00B03B51">
              <w:rPr>
                <w:rFonts w:ascii="Times New Roman" w:hAnsi="Times New Roman" w:cs="Times New Roman"/>
                <w:i/>
                <w:iCs/>
                <w:sz w:val="24"/>
              </w:rPr>
              <w:t>Capital Asset Pricing Model</w:t>
            </w:r>
            <w:r w:rsidRPr="00B03B51">
              <w:rPr>
                <w:rFonts w:ascii="Times New Roman" w:hAnsi="Times New Roman" w:cs="Times New Roman"/>
                <w:sz w:val="24"/>
              </w:rPr>
              <w:t>, (</w:t>
            </w:r>
            <w:r w:rsidRPr="00B03B51">
              <w:rPr>
                <w:rFonts w:ascii="Times New Roman" w:hAnsi="Times New Roman" w:cs="Times New Roman"/>
                <w:i/>
                <w:iCs/>
                <w:sz w:val="24"/>
              </w:rPr>
              <w:t>CAPM</w:t>
            </w:r>
            <w:r w:rsidRPr="00B03B51">
              <w:rPr>
                <w:rFonts w:ascii="Times New Roman" w:hAnsi="Times New Roman" w:cs="Times New Roman"/>
                <w:sz w:val="24"/>
              </w:rPr>
              <w:t>)], ko var būt atbilstoši piemērot noteiktos gadījumos. Saskaņā ar šo modeli novērtē peļņu no aktīviem, un tas nozīmē, ka novērtē arī atbilstoši riskam koriģēto peļņas normu. Tas ietver nepieciešamās minimālās, no ieguldījuma gaidāmās peļņas normas aprēķināšanu, pamatojoties uz pastāvošo risku, kad peļņu var aprēķināt, izmantojot vienādojumu ar riska neietekmēto procentu likmi, vidējo tirgus peļņu un rādītāju, kas izsaka konkrētajai aktīvu kategorijai raksturīgo risku.</w:t>
            </w:r>
          </w:p>
          <w:p w14:paraId="385BC9A9"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34541F21"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Praksē gaidāmās pietiekamās peļņas normas noteikšanai var izmantot iepriekš novēroto peļņu (ja vien ir pamats uzskatīt, ka turpmāk tā nemainīsies), jo īpaši gadījumā, ja nav veikta uzņēmējdarbības plāna analīze.</w:t>
            </w:r>
          </w:p>
          <w:p w14:paraId="1A3B05EA"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55E9C13"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Ņemot vērā īpatnības, kas valdībām piemīt ieguldītāja statusā, “pietiekamu peļņas normu” izmanto kā gaidāmās tirgus peļņas tuvinājumu rādītāju vispusīgam salīdzinājumam, lai noteiktu atbilstošu no valdības ieguldījumiem gaidāmo peļņu.</w:t>
            </w:r>
          </w:p>
          <w:p w14:paraId="79967C56" w14:textId="77777777" w:rsidR="00994F93" w:rsidRPr="00B03B51" w:rsidRDefault="00994F93" w:rsidP="001C4B02">
            <w:pPr>
              <w:jc w:val="both"/>
              <w:rPr>
                <w:rFonts w:ascii="Times New Roman" w:eastAsia="Arial" w:hAnsi="Times New Roman" w:cs="Times New Roman"/>
                <w:noProof/>
                <w:sz w:val="24"/>
                <w:szCs w:val="24"/>
              </w:rPr>
            </w:pPr>
          </w:p>
          <w:p w14:paraId="1D2CDD9D"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 xml:space="preserve">Tādējādi, ievērojot valdības īpatnības, no ieguldītajiem līdzekļiem gaidāmajai “pietiekamai </w:t>
            </w:r>
            <w:r w:rsidRPr="00B03B51">
              <w:rPr>
                <w:rFonts w:ascii="Times New Roman" w:hAnsi="Times New Roman" w:cs="Times New Roman"/>
                <w:sz w:val="24"/>
                <w:szCs w:val="24"/>
              </w:rPr>
              <w:lastRenderedPageBreak/>
              <w:t>peļņas normai” ir jāatbilst vismaz turpmāk norādītajām peļņas normām:</w:t>
            </w:r>
          </w:p>
          <w:p w14:paraId="5D3E98F0" w14:textId="77777777" w:rsidR="00994F93" w:rsidRPr="00B03B51" w:rsidRDefault="00994F93" w:rsidP="001C4B02">
            <w:pPr>
              <w:jc w:val="both"/>
              <w:rPr>
                <w:rFonts w:ascii="Times New Roman" w:eastAsia="Arial" w:hAnsi="Times New Roman" w:cs="Times New Roman"/>
                <w:noProof/>
                <w:sz w:val="24"/>
                <w:szCs w:val="24"/>
              </w:rPr>
            </w:pPr>
          </w:p>
          <w:p w14:paraId="457E2546" w14:textId="77777777" w:rsidR="00994F93" w:rsidRPr="00B03B51" w:rsidRDefault="00994F93" w:rsidP="00994F93">
            <w:pPr>
              <w:numPr>
                <w:ilvl w:val="0"/>
                <w:numId w:val="5"/>
              </w:numPr>
              <w:ind w:left="709" w:hanging="425"/>
              <w:jc w:val="both"/>
              <w:rPr>
                <w:rFonts w:ascii="Times New Roman" w:eastAsia="Arial" w:hAnsi="Times New Roman" w:cs="Times New Roman"/>
                <w:noProof/>
                <w:sz w:val="24"/>
                <w:szCs w:val="24"/>
              </w:rPr>
            </w:pPr>
            <w:r w:rsidRPr="00B03B51">
              <w:rPr>
                <w:rFonts w:ascii="Times New Roman" w:hAnsi="Times New Roman" w:cs="Times New Roman"/>
                <w:sz w:val="24"/>
                <w:szCs w:val="24"/>
              </w:rPr>
              <w:t>ja valdība ir vienīgais sabiedrības ieguldītājs, tai principā jāatbilst ilgtermiņa (10 gadu)</w:t>
            </w:r>
            <w:r w:rsidRPr="00B03B51">
              <w:rPr>
                <w:rStyle w:val="FootnoteReference"/>
                <w:rFonts w:ascii="Times New Roman" w:hAnsi="Times New Roman" w:cs="Times New Roman"/>
                <w:noProof/>
                <w:sz w:val="24"/>
                <w:szCs w:val="24"/>
              </w:rPr>
              <w:footnoteReference w:id="152"/>
            </w:r>
            <w:r w:rsidRPr="00B03B51">
              <w:rPr>
                <w:rFonts w:ascii="Times New Roman" w:hAnsi="Times New Roman" w:cs="Times New Roman"/>
                <w:sz w:val="24"/>
                <w:szCs w:val="24"/>
              </w:rPr>
              <w:t xml:space="preserve"> valdības obligāciju likmēm, kas savukārt nozīmē, ka valdība neplāno saņemt peļņu, kas būtu zemāka par tās aizņemšanās izmaksām;</w:t>
            </w:r>
          </w:p>
          <w:p w14:paraId="1368D276" w14:textId="77777777" w:rsidR="00994F93" w:rsidRPr="00B03B51" w:rsidRDefault="00994F93" w:rsidP="00994F93">
            <w:pPr>
              <w:numPr>
                <w:ilvl w:val="0"/>
                <w:numId w:val="5"/>
              </w:numPr>
              <w:ind w:left="709" w:hanging="425"/>
              <w:jc w:val="both"/>
              <w:rPr>
                <w:rFonts w:ascii="Times New Roman" w:hAnsi="Times New Roman" w:cs="Times New Roman"/>
                <w:noProof/>
                <w:sz w:val="24"/>
                <w:szCs w:val="24"/>
              </w:rPr>
            </w:pPr>
            <w:r w:rsidRPr="00B03B51">
              <w:rPr>
                <w:rFonts w:ascii="Times New Roman" w:hAnsi="Times New Roman" w:cs="Times New Roman"/>
                <w:sz w:val="24"/>
                <w:szCs w:val="24"/>
              </w:rPr>
              <w:t>ja valdība veic ieguldījumu kopā ar privātiem ieguldītājiem (neatkarīgi no to īpašumtiesību daļas sabiedrībā), tai jāatbilst atbilstoši riskam koriģētajām peļņas normām, ko privātie ieguldītāji vidēji un atbilstošā laika posmā vēlētos iegūt no līdzīgiem ieguldījumiem pašu kapitālā tajā pašā darbības jomā; praksē kā tuvinājumu var izmantot vidējo pašu kapitāla atdevi, kas konkrētajā brīdī tiek novērota (līdzīga lieluma) sabiedrību sektorā (nozarē), ja šāds rādītājs ir pieejams.</w:t>
            </w:r>
            <w:r w:rsidRPr="00B03B51">
              <w:rPr>
                <w:rStyle w:val="FootnoteReference"/>
                <w:rFonts w:ascii="Times New Roman" w:hAnsi="Times New Roman" w:cs="Times New Roman"/>
                <w:noProof/>
                <w:sz w:val="24"/>
                <w:szCs w:val="24"/>
              </w:rPr>
              <w:footnoteReference w:id="153"/>
            </w:r>
          </w:p>
          <w:p w14:paraId="375EBF27" w14:textId="77777777" w:rsidR="00994F93" w:rsidRPr="00B03B51" w:rsidRDefault="00994F93" w:rsidP="001C4B02">
            <w:pPr>
              <w:jc w:val="both"/>
              <w:rPr>
                <w:rFonts w:ascii="Times New Roman" w:hAnsi="Times New Roman" w:cs="Times New Roman"/>
                <w:noProof/>
                <w:sz w:val="24"/>
                <w:szCs w:val="24"/>
              </w:rPr>
            </w:pPr>
          </w:p>
          <w:p w14:paraId="48D7FD2E"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Jāsalīdzina likmes, kurām ir vienots pamats, proti, reālās likmes jāsalīdzina ar reālajām likmēm un nominālās likmes ar nominālajām likmēm.</w:t>
            </w:r>
          </w:p>
          <w:p w14:paraId="2118A887" w14:textId="77777777" w:rsidR="00994F93" w:rsidRPr="00B03B51" w:rsidRDefault="00994F93" w:rsidP="001C4B02">
            <w:pPr>
              <w:jc w:val="both"/>
              <w:rPr>
                <w:rFonts w:ascii="Times New Roman" w:hAnsi="Times New Roman" w:cs="Times New Roman"/>
                <w:noProof/>
                <w:sz w:val="24"/>
                <w:szCs w:val="24"/>
              </w:rPr>
            </w:pPr>
          </w:p>
          <w:p w14:paraId="4A05FC37"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Valdības vai starptautisku organizāciju veikti pārveduma maksājumi ražotājiem subsīdiju veidā zaudējumu segšanai, citi kārtējie pārvedumi vai kapitāla pārvedumi (kas nav tieši produkcijas iepirkumi) nav jāiekļauj ieguldījuma peļņas aprēķinā (t. i., tie jāņem vērā kā negatīvi diskontētas naudas plūsmas). Šādus maksājumus kopā ar pārējiem maksājumiem, ko veic vispārējā deficīta segšanai, nedrīkst iekļaut ieguldītā kapitāla aprēķinā. Tomēr atsevišķus maksājumus, piemēram, maksājumus, kas piešķirti kādam ražotājam konkrētajā darbības jomā (ja ir konstatēts, ka tajā ir gan publiskie, gan privātie saņēmēji), tostarp visus ar produkcijas apjomu vai vērtību saistītos maksājumus, var iekļaut peļņas normas aprēķinā.</w:t>
            </w:r>
          </w:p>
          <w:p w14:paraId="62A99428" w14:textId="77777777" w:rsidR="00994F93" w:rsidRPr="00B03B51" w:rsidRDefault="00994F93" w:rsidP="001C4B02">
            <w:pPr>
              <w:jc w:val="both"/>
              <w:rPr>
                <w:rFonts w:ascii="Times New Roman" w:hAnsi="Times New Roman" w:cs="Times New Roman"/>
                <w:noProof/>
                <w:sz w:val="24"/>
                <w:szCs w:val="24"/>
              </w:rPr>
            </w:pPr>
          </w:p>
          <w:p w14:paraId="1EA5BBFE"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Gadījums, kad ir izmantots uzņēmējdarbības plāns: iepludināšanas darījuma sākotnējā klasifikācija nav jāpārskata, pat ja sākotnējā situācija ir mainījusies turpmāku ekonomikas norišu dēļ. Ja tomēr pēc tam publicētie gada pārskati, precizētie uzņēmējdarbības plāni vai revīzijas atskaites liecina par to, ka sākotnējais uzņēmējdarbības plāns ir bijis nepareizs vai nepareizi interpretēts, sākotnējā statistiskā klasifikācija ir jāpārvērtē un pēc tam jāpārskata arī dati.</w:t>
            </w:r>
          </w:p>
        </w:tc>
      </w:tr>
    </w:tbl>
    <w:p w14:paraId="78420452" w14:textId="77777777" w:rsidR="00994F93" w:rsidRPr="00B03B51" w:rsidRDefault="00994F93" w:rsidP="00994F93">
      <w:pPr>
        <w:jc w:val="both"/>
        <w:rPr>
          <w:rFonts w:ascii="Times New Roman" w:eastAsia="Arial" w:hAnsi="Times New Roman" w:cs="Times New Roman"/>
          <w:noProof/>
          <w:sz w:val="24"/>
          <w:szCs w:val="20"/>
        </w:rPr>
      </w:pPr>
    </w:p>
    <w:p w14:paraId="17ACB707"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16" w:name="3.2.3.2_Characteristics_of_financial_and"/>
      <w:bookmarkEnd w:id="216"/>
      <w:r w:rsidRPr="00B03B51">
        <w:rPr>
          <w:rFonts w:ascii="Times New Roman" w:hAnsi="Times New Roman" w:cs="Times New Roman"/>
          <w:sz w:val="24"/>
        </w:rPr>
        <w:t>3.2.3.2. IESAISTĪTO FINANŠU UN NEFINANŠU DARĪJUMU ĪPAŠĪBAS</w:t>
      </w:r>
    </w:p>
    <w:p w14:paraId="57F6371F" w14:textId="77777777" w:rsidR="00994F93" w:rsidRPr="00B03B51" w:rsidRDefault="00994F93" w:rsidP="00994F93">
      <w:pPr>
        <w:tabs>
          <w:tab w:val="left" w:pos="1692"/>
        </w:tabs>
        <w:jc w:val="both"/>
        <w:rPr>
          <w:rFonts w:ascii="Times New Roman" w:hAnsi="Times New Roman" w:cs="Times New Roman"/>
          <w:b/>
          <w:noProof/>
          <w:sz w:val="24"/>
        </w:rPr>
      </w:pPr>
      <w:bookmarkStart w:id="217" w:name="3.2.3.2.1._Recording_a_financial_transac"/>
      <w:bookmarkEnd w:id="217"/>
    </w:p>
    <w:p w14:paraId="1BAD8737" w14:textId="77777777" w:rsidR="00994F93" w:rsidRPr="00721944" w:rsidRDefault="00994F93" w:rsidP="00721944">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3.2.3.2.1. Finanšu darījuma ierakstīšana pašu kapitālā</w:t>
      </w:r>
    </w:p>
    <w:p w14:paraId="6B29127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1B70028"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30. Kapitāla iepludināšanu ieraksta kā finanšu darījumu tikai tad, ja valdība pretī saņem finanšu aktīvu, kur vērtība atbilst maksājuma vērtībai. Tā ir būtiska finanšu darījuma pazīme. Turēšanas guvumi no akcijām un cita pašu kapitāla, kas, iespējams, ierakstīti pēc kapitāla iepludināšanas, ir nevis “pretī saņemts finanšu aktīvs”, bet “cita plūsma”.</w:t>
      </w:r>
    </w:p>
    <w:p w14:paraId="048DC19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D48AD8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Lielākajā daļā gadījumu iesaistītie finanšu instrumenti ir akcijas un cits pašu kapitāls (AF.5). Darījums ar pašu kapitālu šajā saistībā ir darbība, ar ko “nodod līdzekļus sabiedrību rīcībā” (EKS 2010 4.53. punkts), palielinot pašu kapitālu. Nacionālajos kontos to ieraksta kā finanšu darījumu ar akcijām un citu pašu kapitālu (F.5). Saskaņā ar EKS 2010 4.53. un 5.142. punktu šis darījums palielina sabiedrības akcionāru īpašumtiesības. Ieguldījumu galvenokārt veic tirgus apstākļos un ne tikai valsts politikas mērķu sasniegšanai.</w:t>
      </w:r>
    </w:p>
    <w:p w14:paraId="7834D3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AA6F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32. Īpaši jāuzsver, ka, piešķirot sabiedrībai pašu kapitālu, valdība rīkojas kā akcionārs atbilstoši tirgus apstākļiem, parasti pretī vēloties saņemt dividendes. Faktiskais dividenžu maksājums akcionāram ir būtisks kritērijs tam, lai ieguldījumu traktētu kā pašu kapitālu.</w:t>
      </w:r>
    </w:p>
    <w:p w14:paraId="2E906D1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5B5956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Turklāt kapitāla iepludināšanu, ko privatizācijas procesā veic īsā termiņā (kas mazāks par vienu gadu), valdībai plānojot saņemt savu naudu atpakaļ, ieraksta pozīcijā F.5 privatizācijas ieņēmumu summas robežās (atbilstoši EKS 2010 20.201. punktam). Šis gadījums un arī citi šajā nodaļā minētie gadījumi ir jāuzskata par izņēmumiem no noteikuma, kas paredz, ka tādas plūsmas ierakstīšana nacionālajos kontos, kura palielina kotētas sabiedrības akcijas un citu pašu kapitālu (F.5), parasti jāattiecina uz jaunu akciju faktisko emisiju.</w:t>
      </w:r>
    </w:p>
    <w:p w14:paraId="52312A91" w14:textId="77777777" w:rsidR="00994F93" w:rsidRPr="00B03B51" w:rsidRDefault="00994F93" w:rsidP="00994F93">
      <w:pPr>
        <w:jc w:val="both"/>
        <w:rPr>
          <w:rFonts w:ascii="Times New Roman" w:hAnsi="Times New Roman" w:cs="Times New Roman"/>
          <w:noProof/>
          <w:sz w:val="24"/>
        </w:rPr>
      </w:pPr>
    </w:p>
    <w:p w14:paraId="433AE5A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Ir jānošķir divi gadījumi, kas izklāstīti turpmāk.</w:t>
      </w:r>
    </w:p>
    <w:p w14:paraId="4588FD8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371FC6E" w14:textId="77777777" w:rsidR="00994F93" w:rsidRPr="00B03B51" w:rsidRDefault="00994F93" w:rsidP="008A7C35">
      <w:pPr>
        <w:pStyle w:val="BodyText"/>
        <w:numPr>
          <w:ilvl w:val="1"/>
          <w:numId w:val="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Kotēto akciju gadījums. Kapitāla iepludināšana, kuras rezultātā valdība iegūst kotētas akcijas tādā pašā vērtībā, ir vienkāršs gadījums. To parasti ieraksta kā pašu kapitāla iegādi (F.5). Fakts, ka akcijas tiek kotētas, nozīmē to, ka akcijas tirgū var tirgot privāti ieguldītāji (kā noteikts EKS 2010 2. nodaļā “Vienības un vienību grupējumi”) un ka līdz ar to sabiedrība ilgtermiņā ievēro noteiktas minimālās tirgus prasības.</w:t>
      </w:r>
    </w:p>
    <w:p w14:paraId="36EDD523" w14:textId="77777777" w:rsidR="00994F93" w:rsidRPr="00B03B51" w:rsidRDefault="00994F93" w:rsidP="008A7C35">
      <w:pPr>
        <w:pStyle w:val="BodyText"/>
        <w:numPr>
          <w:ilvl w:val="1"/>
          <w:numId w:val="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Nekotēta pašu kapitāla gadījums. Ja kapitāla iepludināšana ir veikta biržas sarakstā neiekļautā publiskajā sabiedrībā, kapitāla iepludināšanu ieraksta pozīcijā F.5 tikai tad, ja valdības mērķis ir palielināt savu bagātību dividenžu vai saņemtā ekvivalentā finanšu instrumenta paaugstinātas vērtības veidā (vai arī īstermiņā tās vērtība sasniegs vismaz summu, kas iepludināta privatizācijas procesa laikā).</w:t>
      </w:r>
    </w:p>
    <w:p w14:paraId="5D167D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2C6484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Parasti ievēro nosacījumu, kas paredz, ka publiskai sabiedrībai nav uzkrātu neto zaudējumu, kas būtu ierakstīti tās bilancē saskaņā ar vispārpieņemtiem uzskaites standartiem vai ko apliecinātu, piemēram, negatīvas tendences pašu līdzekļos. Tomēr pat šādos gadījumos kā finanšu darījumu (parasti F.5 pozīcijā) var ierakstīt jebkuru iepludinātā kapitāla daļu (kas pārsniedz uzkrātos zaudējumus), kuru izmanto ieguldījumiem ienesīgās darbības jomās, no kā valdība gūs atbilstošu peļņu no sava ieguldījuma.</w:t>
      </w:r>
    </w:p>
    <w:p w14:paraId="4BD0DA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654F4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Kapitāla iepludināšanu var ierakstīt kā finanšu darījumu arī divos īpašos gadījumos, kas minēti turpmāk.</w:t>
      </w:r>
    </w:p>
    <w:p w14:paraId="243C609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B52CB2A" w14:textId="77777777" w:rsidR="00994F93" w:rsidRPr="00B03B51" w:rsidRDefault="00994F93" w:rsidP="008A7C35">
      <w:pPr>
        <w:pStyle w:val="BodyText"/>
        <w:numPr>
          <w:ilvl w:val="1"/>
          <w:numId w:val="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Jaunas sabiedrības vai kvazisabiedrības (jaunuzņēmumi). Ja valdība izveido jaunu tirgus vienību, kura nav radusies esošu sabiedrību pārstrukturēšanas rezultātā, traktējums ir atkarīgs no sīkākas projekta izpētes, izmantojot dažādus rādītājus, kas līdzinās ieguldījumu analīzei, un ņemot vērā citus ar darījumu saistītus aspektus. Līdz ar to atkarībā no analīzes rezultātiem darījumu pilnā tā apmērā var uzskatīt par finanšu darījumu vai nefinanšu darījumu. Tas attiecas arī uz gadījumu, kad esoša sabiedrība sāk pilnīgi jaunu darbību vai iegūst jauna veida aktīvus par lielām summām.</w:t>
      </w:r>
    </w:p>
    <w:p w14:paraId="7248CE37" w14:textId="77777777" w:rsidR="00994F93" w:rsidRPr="00B03B51" w:rsidRDefault="00994F93" w:rsidP="008A7C35">
      <w:pPr>
        <w:pStyle w:val="BodyText"/>
        <w:numPr>
          <w:ilvl w:val="1"/>
          <w:numId w:val="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Struktūras, kuras pārvalda finanšu aktīvus valdības vārdā. Kapitāla iepludināšanu publiskā kontrolakciju sabiedrībā/centrālajā birojā vai finanšu sabiedrībā, kas valdības vārdā rentabli pārvalda aktīvus, lai iegūtu vairāk finanšu aktīvu, var ierakstīt kā darījumu pozīcijā F.5. Šajā gadījumā ievēro šādu noteikumu – aktīvi tiek pārvaldīti, lai palielinātu valdības peļņu, un tiek plānots saņemt lielākas dividendes vai lielāku pašu kapitālu.</w:t>
      </w:r>
    </w:p>
    <w:p w14:paraId="6E1C0A84" w14:textId="77777777" w:rsidR="00994F93" w:rsidRPr="00721944" w:rsidRDefault="00994F93" w:rsidP="00721944">
      <w:pPr>
        <w:rPr>
          <w:rFonts w:ascii="Times New Roman" w:hAnsi="Times New Roman" w:cs="Times New Roman"/>
          <w:noProof/>
          <w:sz w:val="24"/>
          <w:szCs w:val="24"/>
        </w:rPr>
      </w:pPr>
      <w:bookmarkStart w:id="218" w:name="3.2.3.2.2._Special_cases_—_transactions_"/>
      <w:bookmarkEnd w:id="218"/>
    </w:p>
    <w:p w14:paraId="44CC5194" w14:textId="77777777" w:rsidR="00994F93" w:rsidRPr="00B03B51" w:rsidRDefault="00994F93" w:rsidP="00994F93">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3.2.3.2.2. Īpaši gadījumi. Darījumi ar citiem finanšu instrumentiem</w:t>
      </w:r>
    </w:p>
    <w:p w14:paraId="6D627CB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56A2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Ne katrs līdzekļu piešķīrums, kas ierakstīts kā finanšu darījums, notiek pašu kapitāla iegādes veidā (F.5); pastāv arī citas iespējas – aizdevuma piešķiršana (F.4) vai obligāciju </w:t>
      </w:r>
      <w:r w:rsidRPr="00B03B51">
        <w:rPr>
          <w:rFonts w:ascii="Times New Roman" w:hAnsi="Times New Roman" w:cs="Times New Roman"/>
          <w:sz w:val="24"/>
        </w:rPr>
        <w:lastRenderedPageBreak/>
        <w:t>pirkšana (F.3).</w:t>
      </w:r>
    </w:p>
    <w:p w14:paraId="749235E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82B305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Aizdevumi – parasti līdzekļu piešķīrums aizdevuma veidā, ko apstiprina juridisks dokuments, kurā norādītas aizdevuma ņēmēja saistības (pamatsummas izpirkšanas datums un maksājamie procenti), jāieraksta kā darījums F.4 pozīcijā.</w:t>
      </w:r>
    </w:p>
    <w:p w14:paraId="1BEA6D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B83E091" w14:textId="517F2ACB"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Viens izņēmums ir gadījums, kad valdība piešķir aizdevumu zaudējumus nesošai publiskai sabiedrībai situācijā, kurā sabiedrība, visticamāk, nespēs atmaksāt lielāko daļu aizdevuma savu periodisko zaudējumu dēļ (un nevis ārkārtas zaudējumu dēļ, kuri radušies gadā, kad piešķirts aizdevums) un tāpēc, ka ienesīguma atjaunošanās pirms atmaksas termiņa(-iem) nav paredzama. Šajā gadījumā līdzekļus, kurus valdība ir pārskaitījusi sabiedrībai, ieraksta kā nefinanšu darījumu par pilnu summu, ja vien nav pieejamas pamatotas zaudējumu aplēses, kuras ļauj sadalīt aizdevumu. Ja būtu iespējams prognozēt, ka aizdevuma ņēmējs spēs pats</w:t>
      </w:r>
      <w:r w:rsidRPr="00B03B51">
        <w:rPr>
          <w:rStyle w:val="FootnoteReference"/>
          <w:rFonts w:ascii="Times New Roman" w:hAnsi="Times New Roman" w:cs="Times New Roman"/>
          <w:noProof/>
          <w:sz w:val="24"/>
        </w:rPr>
        <w:footnoteReference w:id="154"/>
      </w:r>
      <w:r w:rsidRPr="00B03B51">
        <w:rPr>
          <w:rFonts w:ascii="Times New Roman" w:hAnsi="Times New Roman" w:cs="Times New Roman"/>
          <w:sz w:val="24"/>
        </w:rPr>
        <w:t xml:space="preserve"> atmaksāt lielāko daļu aizdevuma, tad uz šo gadījumu attiektos aizdevuma sadalīšana, un to daļu, kas atbilst paredzamajiem zaudējumiem, aizdevuma piešķiršanas brīdī ierakstītu kā kapitāla pārvedumu. Bilancē iekļaujamais aizdevumu fonds jāpalielina par summu, kas atbilst ierakstītā aizdevuma darījuma vērtībai. Ja valdība pēc tam atzīst jebkādus aizdevumus vai to daļas, kuras netiks atmaksātas, tas jātraktē saskaņā ar 7.2. nodaļā “Parāda pārņemšana un parāda </w:t>
      </w:r>
      <w:r w:rsidR="004D44FD" w:rsidRPr="00B03B51">
        <w:rPr>
          <w:rFonts w:ascii="Times New Roman" w:hAnsi="Times New Roman" w:cs="Times New Roman"/>
          <w:sz w:val="24"/>
        </w:rPr>
        <w:t>anulēšana</w:t>
      </w:r>
      <w:r w:rsidRPr="00B03B51">
        <w:rPr>
          <w:rFonts w:ascii="Times New Roman" w:hAnsi="Times New Roman" w:cs="Times New Roman"/>
          <w:sz w:val="24"/>
        </w:rPr>
        <w:t>” sniegtajām vadlīnijām.</w:t>
      </w:r>
    </w:p>
    <w:p w14:paraId="5D4AD4E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AD6343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Tādējādi noteiktos īpašos apstākļos (finanšu darījumu anulēšana, uzņēmējdarbības glābšana, eksporta apdrošināšana un citi apstākļi) rūpīgi jāpārbauda valdības piešķirto aizdevumu (un līgumsaistību) pazīmes, lai noteiktu, vai ir pareizi tos klasificēt pozīcijā F.4.</w:t>
      </w:r>
    </w:p>
    <w:p w14:paraId="269D6EA8" w14:textId="77777777" w:rsidR="00994F93" w:rsidRPr="00B03B51" w:rsidRDefault="00994F93" w:rsidP="00994F93">
      <w:pPr>
        <w:jc w:val="both"/>
        <w:rPr>
          <w:rFonts w:ascii="Times New Roman" w:eastAsia="Arial" w:hAnsi="Times New Roman" w:cs="Times New Roman"/>
          <w:noProof/>
          <w:sz w:val="24"/>
          <w:szCs w:val="14"/>
        </w:rPr>
      </w:pPr>
    </w:p>
    <w:p w14:paraId="00AAEC9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Parāda instrumenti – līdzekļu piešķīrumu, valdībai iegādājoties sabiedrības emitētas obligācijas, parādzīmes vai hibrīdu instrumentus</w:t>
      </w:r>
      <w:r w:rsidRPr="00B03B51">
        <w:rPr>
          <w:rStyle w:val="FootnoteReference"/>
          <w:rFonts w:ascii="Times New Roman" w:hAnsi="Times New Roman" w:cs="Times New Roman"/>
          <w:noProof/>
          <w:sz w:val="24"/>
        </w:rPr>
        <w:footnoteReference w:id="155"/>
      </w:r>
      <w:r w:rsidRPr="00B03B51">
        <w:rPr>
          <w:rFonts w:ascii="Times New Roman" w:hAnsi="Times New Roman" w:cs="Times New Roman"/>
          <w:sz w:val="24"/>
        </w:rPr>
        <w:t xml:space="preserve"> (tam ir jābūt arī apstiprinātam ar juridisku dokumentu), ieraksta kā darījumu parāda vērtspapīru pozīcijā (F.3).</w:t>
      </w:r>
    </w:p>
    <w:p w14:paraId="384404C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76F8B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Ja tomēr sabiedrībai ir uzkrāti ievērojami zaudējumi un valdība ir faktiski vienīgais obligāciju pircējs, šādu valdības veikto iegādi uzskata par nefinanšu darījumu.</w:t>
      </w:r>
    </w:p>
    <w:p w14:paraId="032F73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6BB6E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Turklāt rūpīgi jāizpēta gadījums, kad obligācijas emitē sabiedrība ar parādsaistību nepildīšanas vēsturi, kas nozīmē to, ka privātajiem ieguldītājiem obligācijas varētu pārdot tikai ar pilnu valdības galvojumu (ar ieguldītāju atzinumu kā apliecinājumu). Lai to ierakstītu kā darījumu parāda vērtspapīru (F.3) pozīcijā, darījuma laikā jānodrošina ticamība, ka sabiedrība spēs izpildīt savas parādsaistības (samaksāt procentus un pamatsummu) saskaņā ar līgumā noteikto maksājumu grafiku.</w:t>
      </w:r>
    </w:p>
    <w:p w14:paraId="15546608" w14:textId="77777777" w:rsidR="00994F93" w:rsidRPr="00721944" w:rsidRDefault="00994F93" w:rsidP="00721944">
      <w:pPr>
        <w:rPr>
          <w:rFonts w:ascii="Times New Roman" w:hAnsi="Times New Roman" w:cs="Times New Roman"/>
          <w:noProof/>
          <w:sz w:val="24"/>
          <w:szCs w:val="24"/>
        </w:rPr>
      </w:pPr>
      <w:bookmarkStart w:id="219" w:name="3.2.3.2.3._Recording_a_non-financial_tra"/>
      <w:bookmarkEnd w:id="219"/>
    </w:p>
    <w:p w14:paraId="61DB0E88" w14:textId="77777777" w:rsidR="00994F93" w:rsidRPr="00B03B51" w:rsidRDefault="00994F93" w:rsidP="00497519">
      <w:pPr>
        <w:pStyle w:val="Heading6"/>
        <w:keepNext/>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3.2.3.2.3. Nefinanšu darījuma ierakstīšana</w:t>
      </w:r>
    </w:p>
    <w:p w14:paraId="2BC95824" w14:textId="77777777" w:rsidR="00994F93" w:rsidRPr="00B03B51" w:rsidRDefault="00994F93" w:rsidP="00497519">
      <w:pPr>
        <w:pStyle w:val="BodyText"/>
        <w:keepNext/>
        <w:tabs>
          <w:tab w:val="left" w:pos="843"/>
        </w:tabs>
        <w:spacing w:before="0"/>
        <w:ind w:left="0" w:firstLine="0"/>
        <w:jc w:val="both"/>
        <w:rPr>
          <w:rFonts w:ascii="Times New Roman" w:hAnsi="Times New Roman" w:cs="Times New Roman"/>
          <w:noProof/>
          <w:sz w:val="24"/>
        </w:rPr>
      </w:pPr>
    </w:p>
    <w:p w14:paraId="664723A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Izņemot subsīdijas (D.3), skat. EKS 2010 4.30. punktu un turpmākos punktus, un citus kārtējos pārvedumus (D.75), skat. jo īpaši EKS 2010 4.138. punkta b) apakšpunktu, ar kapitāla iepludināšanu saistītais nefinanšu darījums ir kapitāla pārvedums.</w:t>
      </w:r>
    </w:p>
    <w:p w14:paraId="522FE84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2EEDC7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Kapitāla ieguldījumu natūrā gadījums (piemēram, pamatlīdzekļu nodošana) ir aplūkots šīs rokasgrāmatas 3.4. nodaļā, bet šeit ir aprakstīti tikai kapitāla pārvedumi naudā.</w:t>
      </w:r>
    </w:p>
    <w:p w14:paraId="708D621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AF87BB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Kapitāla iepludināšanu uzskata par nefinanšu darījumu, ja līdzekļu piešķiršana ir neatlīdzināms darījums. Valdība apmaiņā nesaņem tādas pašas vērtības finanšu aktīvu, un jebkāda iespējamā ietekme uz valdības pašu kapitālu ir netieša, dažkārt arī tā nav tūlītēja, ir nenoteikta un atšķiras pēc sava apmēra. Šāda veida maksājumu ieraksta kā kapitāla pārvedumu (D.9), proti, vai nu kā ieguldījumu dotāciju (D.92) vai kā citu kapitāla pārvedumu (D.99).</w:t>
      </w:r>
    </w:p>
    <w:p w14:paraId="29AF35C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1AE2D5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Parasti kapitāla pārvedumi ir valdības darījumi, kurus tā veic ar nolūku īstenot valsts politikas mērķus, kas ir svarīga kapitāla pārvedumu pazīme. Šādi rīkojoties, valdība neplāno pretī saņemt dividendes (parasti uzņēmumi, kas saņem šādus pārvedumus, dividendes nemaksā), bet vēlas vienīgi uzlabot sabiedrības finanšu stāvokli un nodrošināt noteiktas sociālās vajadzības (sabiedriskā infrastruktūra, nodarbinātība u. tml.).</w:t>
      </w:r>
    </w:p>
    <w:p w14:paraId="520D4E19" w14:textId="77777777" w:rsidR="00994F93" w:rsidRPr="00B03B51" w:rsidRDefault="00994F93" w:rsidP="00994F93">
      <w:pPr>
        <w:pStyle w:val="BodyText"/>
        <w:tabs>
          <w:tab w:val="left" w:pos="1126"/>
        </w:tabs>
        <w:spacing w:before="0"/>
        <w:ind w:left="0" w:firstLine="0"/>
        <w:jc w:val="both"/>
        <w:rPr>
          <w:rFonts w:ascii="Times New Roman" w:hAnsi="Times New Roman" w:cs="Times New Roman"/>
          <w:noProof/>
          <w:sz w:val="24"/>
        </w:rPr>
      </w:pPr>
    </w:p>
    <w:p w14:paraId="6379EE7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Ieguldījumu dotācijas (D.92).</w:t>
      </w:r>
    </w:p>
    <w:p w14:paraId="57BE662E"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3E62E4D4"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Kapitāla iepludināšanu, kas “veidota no kapitāla pārvedumiem skaidrā naudā vai natūrā, ko valdība (..) veic citām institucionālām rezidentvienībām (..), lai finansētu visas izmaksas vai to daļu, tām iegādājoties pamatlīdzekļus”, ieraksta kā ieguldījumu dotāciju (D.92).</w:t>
      </w:r>
    </w:p>
    <w:p w14:paraId="72F164FD"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31BC4528"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Citi kapitāla pārvedumi (D.99) par uzkrātajiem zaudējumiem.</w:t>
      </w:r>
    </w:p>
    <w:p w14:paraId="1EB5E421" w14:textId="77777777" w:rsidR="00994F93" w:rsidRPr="00B03B51" w:rsidRDefault="00994F93" w:rsidP="00994F93">
      <w:pPr>
        <w:pStyle w:val="BodyText"/>
        <w:spacing w:before="0"/>
        <w:ind w:left="284" w:firstLine="0"/>
        <w:jc w:val="both"/>
        <w:rPr>
          <w:rFonts w:ascii="Times New Roman" w:hAnsi="Times New Roman" w:cs="Times New Roman"/>
          <w:noProof/>
          <w:sz w:val="24"/>
        </w:rPr>
      </w:pPr>
    </w:p>
    <w:p w14:paraId="42FD7C3D" w14:textId="77777777" w:rsidR="00994F93" w:rsidRPr="00B03B51" w:rsidRDefault="00994F93" w:rsidP="00994F93">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Kapitāla iepludināšanu, kura veikta, lai segtu uzkrātos zaudējumus (radušos vai nu regulāri dažu pēdējo finanšu gadu laikā, vai arī neregulāri, bet tādā apmērā, ka tos nav iespējams nosegt ar peļņu), kas ierakstīti saskaņā ar vispārpieņemtiem uzskaites principiem un par ko liecina, piemēram, sabiedrības pašu līdzekļu tendence, parasti uzskata par nefinanšu darījumu par pilnu tā summu (uzskatot to par kapitāla pārvedumu D.99), pat ja ir emitēti noteikti vērtspapīri (akcijas vai to ekvivalents).</w:t>
      </w:r>
    </w:p>
    <w:p w14:paraId="1193F71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47C144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Tāpat arī kapitāla iepludināšanu, kuru veic, lai kompensētu kapitāla īpašniekiem preces, kas iznīcinātas karadarbības, citu politisku notikumu vai dabas katastrofu dēļ, ieraksta kā kapitāla pārvedumus (D.99).</w:t>
      </w:r>
    </w:p>
    <w:p w14:paraId="57222A6D" w14:textId="77777777" w:rsidR="00994F93" w:rsidRPr="00B03B51" w:rsidRDefault="00994F93" w:rsidP="00994F93">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994F93" w:rsidRPr="00B03B51" w14:paraId="457ACBEE" w14:textId="77777777" w:rsidTr="001C4B02">
        <w:tc>
          <w:tcPr>
            <w:tcW w:w="9281" w:type="dxa"/>
          </w:tcPr>
          <w:p w14:paraId="54C27A94" w14:textId="77777777" w:rsidR="00994F93" w:rsidRPr="00B03B51" w:rsidRDefault="00994F93" w:rsidP="001C4B02">
            <w:pPr>
              <w:pStyle w:val="Heading3"/>
              <w:ind w:left="0" w:firstLine="0"/>
              <w:jc w:val="both"/>
              <w:outlineLvl w:val="2"/>
              <w:rPr>
                <w:rFonts w:ascii="Times New Roman" w:hAnsi="Times New Roman" w:cs="Times New Roman"/>
                <w:noProof/>
                <w:sz w:val="24"/>
              </w:rPr>
            </w:pPr>
            <w:bookmarkStart w:id="220" w:name="_Toc67565090"/>
            <w:r w:rsidRPr="00B03B51">
              <w:rPr>
                <w:rFonts w:ascii="Times New Roman" w:hAnsi="Times New Roman" w:cs="Times New Roman"/>
                <w:sz w:val="24"/>
              </w:rPr>
              <w:t>3. ierāmējums. EKS jēdzieni</w:t>
            </w:r>
            <w:bookmarkEnd w:id="220"/>
          </w:p>
          <w:p w14:paraId="43E55795" w14:textId="77777777" w:rsidR="00994F93" w:rsidRPr="00B03B51" w:rsidRDefault="00994F93" w:rsidP="001C4B02">
            <w:pPr>
              <w:jc w:val="both"/>
              <w:rPr>
                <w:rFonts w:ascii="Times New Roman" w:eastAsia="Arial" w:hAnsi="Times New Roman" w:cs="Times New Roman"/>
                <w:b/>
                <w:bCs/>
                <w:noProof/>
                <w:sz w:val="24"/>
                <w:szCs w:val="24"/>
              </w:rPr>
            </w:pPr>
          </w:p>
          <w:p w14:paraId="505DC479" w14:textId="77777777" w:rsidR="00994F93" w:rsidRPr="00B03B51" w:rsidRDefault="00994F93" w:rsidP="00994F93">
            <w:pPr>
              <w:numPr>
                <w:ilvl w:val="2"/>
                <w:numId w:val="20"/>
              </w:numPr>
              <w:ind w:left="284" w:hanging="284"/>
              <w:jc w:val="both"/>
              <w:rPr>
                <w:rFonts w:ascii="Times New Roman" w:hAnsi="Times New Roman" w:cs="Times New Roman"/>
                <w:b/>
                <w:noProof/>
                <w:sz w:val="24"/>
              </w:rPr>
            </w:pPr>
            <w:r w:rsidRPr="00B03B51">
              <w:rPr>
                <w:rFonts w:ascii="Times New Roman" w:hAnsi="Times New Roman" w:cs="Times New Roman"/>
                <w:b/>
                <w:sz w:val="24"/>
              </w:rPr>
              <w:t>Pašu līdzekļi un pašu kapitāls</w:t>
            </w:r>
          </w:p>
          <w:p w14:paraId="38472B87" w14:textId="77777777" w:rsidR="00994F93" w:rsidRPr="00B03B51" w:rsidRDefault="00994F93" w:rsidP="001C4B02">
            <w:pPr>
              <w:jc w:val="both"/>
              <w:rPr>
                <w:rFonts w:ascii="Times New Roman" w:hAnsi="Times New Roman" w:cs="Times New Roman"/>
                <w:noProof/>
                <w:sz w:val="24"/>
              </w:rPr>
            </w:pPr>
          </w:p>
          <w:p w14:paraId="1D5D9E28" w14:textId="77777777" w:rsidR="00994F93" w:rsidRPr="00B03B51" w:rsidRDefault="00994F93" w:rsidP="001C4B02">
            <w:pPr>
              <w:jc w:val="both"/>
              <w:rPr>
                <w:rFonts w:ascii="Times New Roman" w:eastAsia="Arial" w:hAnsi="Times New Roman" w:cs="Times New Roman"/>
                <w:noProof/>
                <w:sz w:val="24"/>
                <w:szCs w:val="19"/>
              </w:rPr>
            </w:pPr>
            <w:r w:rsidRPr="00B03B51">
              <w:rPr>
                <w:rFonts w:ascii="Times New Roman" w:hAnsi="Times New Roman" w:cs="Times New Roman"/>
                <w:sz w:val="24"/>
              </w:rPr>
              <w:t xml:space="preserve">EKS 2010 7.07. punktā ir sniegta šāda pašu līdzekļu definīcija: </w:t>
            </w:r>
            <w:r w:rsidRPr="00B03B51">
              <w:rPr>
                <w:rFonts w:ascii="Times New Roman" w:hAnsi="Times New Roman" w:cs="Times New Roman"/>
                <w:i/>
                <w:iCs/>
                <w:sz w:val="24"/>
              </w:rPr>
              <w:t>Pašu līdzekļi ir summa, ko veido neto vērtība (B.90) un pašu kapitāla un ieguldījumu fondu apliecību vērtība (AF.5) un kas bilancē ir saistības</w:t>
            </w:r>
            <w:r w:rsidRPr="00B03B51">
              <w:rPr>
                <w:rFonts w:ascii="Times New Roman" w:hAnsi="Times New Roman" w:cs="Times New Roman"/>
                <w:sz w:val="24"/>
              </w:rPr>
              <w:t>.</w:t>
            </w:r>
          </w:p>
          <w:p w14:paraId="2B891C48"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60EAF07"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“Sabiedrības palielina pašu kapitālu, lai stiprinātu tirgū savu finansiālo stāvokli, palielinot pašu līdzekļus. Tādējādi pašu kapitāls ir daļa no pašu līdzekļiem, jo to izsaka, emitējot akcijas”.</w:t>
            </w:r>
          </w:p>
          <w:p w14:paraId="3C5D7436"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8401F32"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Pašu kapitāla nodrošināšanas un pašu līdzekļu palielināšanas tūlītējs rezultāts ir tāds, ka sabiedrība ir labākā stāvoklī, lai finansētu ieguldījumu, atmaksātu esošu parādu vai vajadzības gadījumā aizņemtos papildu līdzekļus (garantijas kreditoriem sniedz sabiedrības maksātspēja) un, visbeidzot, gūtu un sadalītu peļņu. Akcijas un citu pašu kapitālu (AF.5) korporatīvā uzņēmuma bilancē ieraksta tāpat kā lielāko daļu aktīvu un saistību nacionālajos kontos, proti, atbilstoši tirgus vērtībai (EKS 2010 7.34., 7.25. un 7.71. punkts).</w:t>
            </w:r>
          </w:p>
          <w:p w14:paraId="7EF9AA5C"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B098C86" w14:textId="77777777" w:rsidR="00994F93" w:rsidRPr="00B03B51" w:rsidRDefault="00994F93" w:rsidP="00994F93">
            <w:pPr>
              <w:numPr>
                <w:ilvl w:val="2"/>
                <w:numId w:val="20"/>
              </w:numPr>
              <w:ind w:left="284" w:hanging="284"/>
              <w:jc w:val="both"/>
              <w:rPr>
                <w:rFonts w:ascii="Times New Roman" w:hAnsi="Times New Roman" w:cs="Times New Roman"/>
                <w:b/>
                <w:noProof/>
                <w:sz w:val="24"/>
              </w:rPr>
            </w:pPr>
            <w:r w:rsidRPr="00B03B51">
              <w:rPr>
                <w:rFonts w:ascii="Times New Roman" w:hAnsi="Times New Roman" w:cs="Times New Roman"/>
                <w:b/>
                <w:sz w:val="24"/>
              </w:rPr>
              <w:t>Dividendes (D.421)</w:t>
            </w:r>
          </w:p>
          <w:p w14:paraId="4860C952"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4418240F"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“Dividendes (D.421) ir īpašuma ienākuma veids, ko saņem akciju (AF.5) īpašnieki, uz kuriem viņi iegūst tiesības tā rezultātā, ka nodod līdzekļus sabiedrību rīcībā. Pašu kapitāla palielināšana, emitējot akcijas, ir alternatīvs veids, kā piesaistīt līdzekļus, izmantojot aizņemšanos. Pretstatā aizdevuma kapitālam pašu kapitāls tomēr nerada naudas izteiksmē fiksētas saistības un nedod sabiedrības akciju turētājiem tiesības saņemt fiksētu vai iepriekšnoteiktu ienākumu” (EKS 2010 4.53. punkts).</w:t>
            </w:r>
          </w:p>
          <w:p w14:paraId="6D2C220C"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512314F4" w14:textId="77777777" w:rsidR="00994F93" w:rsidRPr="00B03B51" w:rsidRDefault="00994F93" w:rsidP="00994F93">
            <w:pPr>
              <w:numPr>
                <w:ilvl w:val="2"/>
                <w:numId w:val="20"/>
              </w:numPr>
              <w:ind w:left="284" w:hanging="284"/>
              <w:jc w:val="both"/>
              <w:rPr>
                <w:rFonts w:ascii="Times New Roman" w:hAnsi="Times New Roman" w:cs="Times New Roman"/>
                <w:b/>
                <w:noProof/>
                <w:sz w:val="24"/>
              </w:rPr>
            </w:pPr>
            <w:r w:rsidRPr="00B03B51">
              <w:rPr>
                <w:rFonts w:ascii="Times New Roman" w:hAnsi="Times New Roman" w:cs="Times New Roman"/>
                <w:b/>
                <w:sz w:val="24"/>
              </w:rPr>
              <w:t>Akcijas un cits pašu kapitāls (F.5)</w:t>
            </w:r>
          </w:p>
          <w:p w14:paraId="49E7B260"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58B2EFA1"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Kategorija “akcijas un cits pašu kapitāls” (F.5) sastāv no visiem darījumiem ar akcijām un citu pašu kapitālu (AF.5), kas ir finanšu aktīvi, kuri apliecina īpašumtiesības uz sabiedrībām vai kvazisabiedrībām. Šādi finanšu aktīvi parasti dod to turētājiem tiesības uz daļu no sabiedrību vai kvazisabiedrību peļņas un uz daļu no pašu tīrajiem aktīviem sabiedrības likvidācijas gadījumā (EKS 2010 5.142. punkts). Tādējādi darījumiem ar akcijām un citu pašu kapitālu, piemēram, kapitāla iepludināšanai, kas sabiedrībai nodrošina pašu kapitālu, ir spēcīgs juridiskais pamats, jo šie finanšu aktīvi apliecina īpašumtiesības uz sabiedrību.</w:t>
            </w:r>
          </w:p>
          <w:p w14:paraId="639FDCC3"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06E5068D"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Darījumam ar pašu kapitālu parasti ir trīs pazīmes:</w:t>
            </w:r>
          </w:p>
          <w:p w14:paraId="1B38FD4E" w14:textId="77777777" w:rsidR="00994F93" w:rsidRPr="00B03B51" w:rsidRDefault="00994F93" w:rsidP="00994F93">
            <w:pPr>
              <w:pStyle w:val="BodyText"/>
              <w:numPr>
                <w:ilvl w:val="3"/>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līdzekļus nodod sabiedrības rīcībā, un tā var ļoti brīvi ar tiem rīkoties;</w:t>
            </w:r>
          </w:p>
          <w:p w14:paraId="745A6802" w14:textId="77777777" w:rsidR="00994F93" w:rsidRPr="00B03B51" w:rsidRDefault="00994F93" w:rsidP="00994F93">
            <w:pPr>
              <w:pStyle w:val="BodyText"/>
              <w:numPr>
                <w:ilvl w:val="3"/>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akcionāriem ir tiesības saņemt peļņu no saviem ieguldījumiem;</w:t>
            </w:r>
          </w:p>
          <w:p w14:paraId="4B550A4A" w14:textId="77777777" w:rsidR="00994F93" w:rsidRPr="00B03B51" w:rsidRDefault="00994F93" w:rsidP="00994F93">
            <w:pPr>
              <w:pStyle w:val="BodyText"/>
              <w:numPr>
                <w:ilvl w:val="3"/>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ja sabiedrības juridiskais statuss ir “akciju sabiedrība”, emitē jaunas akcijas (par summu, kas vienāda ar piešķirtajiem līdzekļiem vai saistīta ar to).</w:t>
            </w:r>
          </w:p>
          <w:p w14:paraId="18789293"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649BD523"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Līdz ar to nacionālajos kontos akcijas un cits pašu kapitāls jānovērtē pēc tirgus vērtības, kas atspoguļo cerības uz peļņu gan turētāja, gan emitenta nacionālo kontu bilancē, turpretim paša emitenta bilancē tos parasti reģistrē atbilstoši vēsturiskajai vērtībai (vai uzskaites vērtībai). Ja akcijas ir iekļautas tirgus sarakstā, to vērtība ir novērotā cena. Ja pašu kapitālu neveido akcijas vai tas veidots no akcijām, kuras nav tirgojamas tirgū, kā tas bieži ir publisku sabiedrību gadījumā, nacionālajos kontos jāievieš tirgus aizstājējvērtība (skat. EKS 2010 7.73. punktu un turpmākos punktus).</w:t>
            </w:r>
          </w:p>
          <w:p w14:paraId="494C8159"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170B00D0" w14:textId="77777777" w:rsidR="00994F93" w:rsidRPr="00B03B51" w:rsidRDefault="00994F93" w:rsidP="00994F93">
            <w:pPr>
              <w:numPr>
                <w:ilvl w:val="2"/>
                <w:numId w:val="20"/>
              </w:numPr>
              <w:ind w:left="284" w:hanging="284"/>
              <w:jc w:val="both"/>
              <w:rPr>
                <w:rFonts w:ascii="Times New Roman" w:hAnsi="Times New Roman" w:cs="Times New Roman"/>
                <w:b/>
                <w:noProof/>
                <w:sz w:val="24"/>
              </w:rPr>
            </w:pPr>
            <w:r w:rsidRPr="00B03B51">
              <w:rPr>
                <w:rFonts w:ascii="Times New Roman" w:hAnsi="Times New Roman" w:cs="Times New Roman"/>
                <w:b/>
                <w:sz w:val="24"/>
              </w:rPr>
              <w:t>Kapitāla pārvedumi (D.9)</w:t>
            </w:r>
          </w:p>
          <w:p w14:paraId="1C2AD7FF" w14:textId="77777777" w:rsidR="00994F93" w:rsidRPr="00B03B51" w:rsidRDefault="00994F93" w:rsidP="001C4B02">
            <w:pPr>
              <w:pStyle w:val="BodyText"/>
              <w:spacing w:before="0"/>
              <w:ind w:left="0" w:firstLine="0"/>
              <w:jc w:val="both"/>
              <w:rPr>
                <w:rFonts w:ascii="Times New Roman" w:hAnsi="Times New Roman" w:cs="Times New Roman"/>
                <w:noProof/>
                <w:sz w:val="24"/>
              </w:rPr>
            </w:pPr>
          </w:p>
          <w:p w14:paraId="32AD2076" w14:textId="77777777" w:rsidR="00994F93" w:rsidRPr="00B03B51" w:rsidRDefault="00994F93" w:rsidP="001C4B02">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pārveduma jēdziens ir izklāstīts EKS 2010 4. nodaļā “Sadales darījumi”. Kapitāla pārvedums nozīmē brīvprātīgu bagātības nodošanu starp divām vienībām (kaut kas pret neko). Kapitāla pārvedumiem ir trīs galvenās pazīmes (skat. SNA 2008 8.10. punktu):</w:t>
            </w:r>
          </w:p>
          <w:p w14:paraId="36C32C01" w14:textId="77777777" w:rsidR="00994F93" w:rsidRPr="00B03B51" w:rsidRDefault="00994F93" w:rsidP="00994F93">
            <w:pPr>
              <w:pStyle w:val="BodyText"/>
              <w:numPr>
                <w:ilvl w:val="3"/>
                <w:numId w:val="20"/>
              </w:numPr>
              <w:tabs>
                <w:tab w:val="left" w:pos="1126"/>
              </w:tabs>
              <w:spacing w:before="0"/>
              <w:ind w:left="709" w:hanging="425"/>
              <w:jc w:val="both"/>
              <w:rPr>
                <w:rFonts w:ascii="Times New Roman" w:hAnsi="Times New Roman" w:cs="Times New Roman"/>
                <w:noProof/>
                <w:sz w:val="24"/>
              </w:rPr>
            </w:pPr>
            <w:r w:rsidRPr="00B03B51">
              <w:rPr>
                <w:rFonts w:ascii="Times New Roman" w:hAnsi="Times New Roman" w:cs="Times New Roman"/>
                <w:sz w:val="24"/>
              </w:rPr>
              <w:t>tie ir darījumi, kurus veic saskaņā ar divu vienību savstarpēju vienošanos (atšķirībā no citām izmaiņām aktīvos);</w:t>
            </w:r>
          </w:p>
          <w:p w14:paraId="787BF3BB" w14:textId="77777777" w:rsidR="00994F93" w:rsidRPr="00B03B51" w:rsidRDefault="00994F93" w:rsidP="00994F93">
            <w:pPr>
              <w:numPr>
                <w:ilvl w:val="0"/>
                <w:numId w:val="3"/>
              </w:numPr>
              <w:tabs>
                <w:tab w:val="left" w:pos="675"/>
              </w:tabs>
              <w:ind w:left="709" w:hanging="425"/>
              <w:jc w:val="both"/>
              <w:rPr>
                <w:rFonts w:ascii="Times New Roman" w:hAnsi="Times New Roman" w:cs="Times New Roman"/>
                <w:noProof/>
                <w:sz w:val="24"/>
                <w:szCs w:val="24"/>
              </w:rPr>
            </w:pPr>
            <w:r w:rsidRPr="00B03B51">
              <w:rPr>
                <w:rFonts w:ascii="Times New Roman" w:hAnsi="Times New Roman" w:cs="Times New Roman"/>
                <w:sz w:val="24"/>
                <w:szCs w:val="24"/>
              </w:rPr>
              <w:t>pretī nesaņem nekādu ekvivalentu;</w:t>
            </w:r>
          </w:p>
          <w:p w14:paraId="4642572D" w14:textId="77777777" w:rsidR="00994F93" w:rsidRPr="00B03B51" w:rsidRDefault="00994F93" w:rsidP="00994F93">
            <w:pPr>
              <w:numPr>
                <w:ilvl w:val="0"/>
                <w:numId w:val="3"/>
              </w:numPr>
              <w:tabs>
                <w:tab w:val="left" w:pos="675"/>
              </w:tabs>
              <w:ind w:left="709" w:hanging="425"/>
              <w:jc w:val="both"/>
              <w:rPr>
                <w:rFonts w:ascii="Times New Roman" w:hAnsi="Times New Roman" w:cs="Times New Roman"/>
                <w:noProof/>
                <w:sz w:val="24"/>
                <w:szCs w:val="24"/>
              </w:rPr>
            </w:pPr>
            <w:r w:rsidRPr="00B03B51">
              <w:rPr>
                <w:rFonts w:ascii="Times New Roman" w:hAnsi="Times New Roman" w:cs="Times New Roman"/>
                <w:sz w:val="24"/>
                <w:szCs w:val="24"/>
              </w:rPr>
              <w:t xml:space="preserve">tie ir saistīti ar proporcionālām izmaiņām īpašumtiesībās uz aktīviem (vai ar saistību </w:t>
            </w:r>
            <w:r w:rsidRPr="00B03B51">
              <w:rPr>
                <w:rFonts w:ascii="Times New Roman" w:hAnsi="Times New Roman" w:cs="Times New Roman"/>
                <w:sz w:val="24"/>
                <w:szCs w:val="24"/>
              </w:rPr>
              <w:lastRenderedPageBreak/>
              <w:t>dzēšanu, ko veic kreditors) starp abām pusēm vai ar aktīvu iegādi vai realizāciju.</w:t>
            </w:r>
          </w:p>
          <w:p w14:paraId="7A173821" w14:textId="77777777" w:rsidR="00994F93" w:rsidRPr="00B03B51" w:rsidRDefault="00994F93" w:rsidP="001C4B02">
            <w:pPr>
              <w:jc w:val="both"/>
              <w:rPr>
                <w:rFonts w:ascii="Times New Roman" w:hAnsi="Times New Roman" w:cs="Times New Roman"/>
                <w:noProof/>
                <w:sz w:val="24"/>
                <w:szCs w:val="24"/>
              </w:rPr>
            </w:pPr>
          </w:p>
          <w:p w14:paraId="67D14192"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Pirmās divas īpašības ir kopīgas visiem pārvedumiem (kārtējiem pārvedumiem un kapitāla pārvedumiem). Turklāt visus pārvedumus var veikt naudā vai natūrā.</w:t>
            </w:r>
          </w:p>
          <w:p w14:paraId="61CD7A58" w14:textId="77777777" w:rsidR="00994F93" w:rsidRPr="00B03B51" w:rsidRDefault="00994F93" w:rsidP="001C4B02">
            <w:pPr>
              <w:jc w:val="both"/>
              <w:rPr>
                <w:rFonts w:ascii="Times New Roman" w:hAnsi="Times New Roman" w:cs="Times New Roman"/>
                <w:noProof/>
                <w:sz w:val="24"/>
                <w:szCs w:val="24"/>
              </w:rPr>
            </w:pPr>
          </w:p>
          <w:p w14:paraId="22DB68EC"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Vēl viena kapitāla pārvedumu pazīme ir tā, ka tie mēdz būt apjomīgi un reti. Izšķir divu veidu kapitāla pārvedumus (EKS 2010 4.146. punkts).</w:t>
            </w:r>
          </w:p>
          <w:p w14:paraId="5654EF3D" w14:textId="77777777" w:rsidR="00994F93" w:rsidRPr="00B03B51" w:rsidRDefault="00994F93" w:rsidP="00994F93">
            <w:pPr>
              <w:numPr>
                <w:ilvl w:val="0"/>
                <w:numId w:val="3"/>
              </w:numPr>
              <w:ind w:left="709" w:hanging="425"/>
              <w:jc w:val="both"/>
              <w:rPr>
                <w:rFonts w:ascii="Times New Roman" w:hAnsi="Times New Roman" w:cs="Times New Roman"/>
                <w:noProof/>
                <w:sz w:val="24"/>
                <w:szCs w:val="24"/>
              </w:rPr>
            </w:pPr>
            <w:r w:rsidRPr="00B03B51">
              <w:rPr>
                <w:rFonts w:ascii="Times New Roman" w:hAnsi="Times New Roman" w:cs="Times New Roman"/>
                <w:sz w:val="24"/>
                <w:szCs w:val="24"/>
              </w:rPr>
              <w:t>Kapitāla pārvedumi naudā – tie ietver naudas pārvedumus ar aktīvu īpašumtiesību maiņu. Saņēmējam bieži ir pienākums izmantot skaidru naudu, lai iegādātos aktīvus, un tas ir nosacījums pārveduma veikšanai (piemēram, ieguldījumu dotācija), skat. EKS 2010 4.146. punktu.</w:t>
            </w:r>
          </w:p>
          <w:p w14:paraId="136AD845" w14:textId="009E1156" w:rsidR="00994F93" w:rsidRPr="00B03B51" w:rsidRDefault="00994F93" w:rsidP="00994F93">
            <w:pPr>
              <w:numPr>
                <w:ilvl w:val="0"/>
                <w:numId w:val="3"/>
              </w:numPr>
              <w:ind w:left="709" w:hanging="425"/>
              <w:jc w:val="both"/>
              <w:rPr>
                <w:rFonts w:ascii="Times New Roman" w:hAnsi="Times New Roman" w:cs="Times New Roman"/>
                <w:noProof/>
                <w:sz w:val="24"/>
                <w:szCs w:val="24"/>
              </w:rPr>
            </w:pPr>
            <w:r w:rsidRPr="00B03B51">
              <w:rPr>
                <w:rFonts w:ascii="Times New Roman" w:hAnsi="Times New Roman" w:cs="Times New Roman"/>
                <w:sz w:val="24"/>
                <w:szCs w:val="24"/>
              </w:rPr>
              <w:t xml:space="preserve">Kapitāla pārvedumi natūrā – citi aktīvu īpašumtiesību nodošanas gadījumi, izņemot naudu, kā arī parāda </w:t>
            </w:r>
            <w:r w:rsidR="000820B6" w:rsidRPr="00B03B51">
              <w:rPr>
                <w:rFonts w:ascii="Times New Roman" w:hAnsi="Times New Roman" w:cs="Times New Roman"/>
                <w:sz w:val="24"/>
                <w:szCs w:val="24"/>
              </w:rPr>
              <w:t>anulēšana</w:t>
            </w:r>
            <w:r w:rsidRPr="00B03B51">
              <w:rPr>
                <w:rFonts w:ascii="Times New Roman" w:hAnsi="Times New Roman" w:cs="Times New Roman"/>
                <w:sz w:val="24"/>
                <w:szCs w:val="24"/>
              </w:rPr>
              <w:t xml:space="preserve"> vai uzņemšanās bez ekvivalenta saņemšanas.</w:t>
            </w:r>
          </w:p>
          <w:p w14:paraId="04F79222" w14:textId="77777777" w:rsidR="00994F93" w:rsidRPr="00B03B51" w:rsidRDefault="00994F93" w:rsidP="001C4B02">
            <w:pPr>
              <w:jc w:val="both"/>
              <w:rPr>
                <w:rFonts w:ascii="Times New Roman" w:hAnsi="Times New Roman" w:cs="Times New Roman"/>
                <w:noProof/>
                <w:sz w:val="24"/>
                <w:szCs w:val="24"/>
              </w:rPr>
            </w:pPr>
          </w:p>
          <w:p w14:paraId="28ADC545" w14:textId="77777777" w:rsidR="00994F93" w:rsidRPr="00B03B51" w:rsidRDefault="00994F93" w:rsidP="001C4B02">
            <w:pPr>
              <w:jc w:val="both"/>
              <w:rPr>
                <w:rFonts w:ascii="Times New Roman" w:hAnsi="Times New Roman" w:cs="Times New Roman"/>
                <w:noProof/>
                <w:sz w:val="24"/>
                <w:szCs w:val="24"/>
              </w:rPr>
            </w:pPr>
            <w:r w:rsidRPr="00B03B51">
              <w:rPr>
                <w:rFonts w:ascii="Times New Roman" w:hAnsi="Times New Roman" w:cs="Times New Roman"/>
                <w:sz w:val="24"/>
                <w:szCs w:val="24"/>
              </w:rPr>
              <w:t>Kapitāla pārvedumi parasti ir valdības darījumi; valsts politikas mērķu dēļ valdībai var būt vajadzība veikt pārvedumus sabiedrībām bez ekvivalenta saņemšanas. Kapitāla pārveduma paredzamā ietekme uz pašu kapitāla vērtību (piemēram, tirgus reakcijas dēļ) nav pamatots iemesls, lai šo darījumu uzskatītu par finanšu darījumu; arī šajā gadījumā nav skaidri zināms ne tas, kāda būs ietekme, ne arī tās apmērs.</w:t>
            </w:r>
          </w:p>
          <w:p w14:paraId="2D75B445" w14:textId="77777777" w:rsidR="00994F93" w:rsidRPr="00B03B51" w:rsidRDefault="00994F93" w:rsidP="001C4B02">
            <w:pPr>
              <w:jc w:val="both"/>
              <w:rPr>
                <w:rFonts w:ascii="Times New Roman" w:eastAsia="Arial" w:hAnsi="Times New Roman" w:cs="Times New Roman"/>
                <w:noProof/>
                <w:sz w:val="24"/>
                <w:szCs w:val="24"/>
              </w:rPr>
            </w:pPr>
          </w:p>
          <w:p w14:paraId="17918A7E" w14:textId="77777777" w:rsidR="00994F93" w:rsidRPr="00B03B51" w:rsidRDefault="00994F93" w:rsidP="001C4B02">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Tāpēc atšķirībā no finanšu darījumiem kapitāla pārvedumi ir ekvivalentā plūsma “vienvirziena” izmaiņām aktīvos vai saistībās, un tas nozīmē, ka saņēmējs ir kļuvis bagātāks, savukārt otra puse – nabadzīgāka. To izsaka ar neto vērtības pieaugumu pirmās puses bilancē un neto vērtības samazinājumu otras puses bilancē.</w:t>
            </w:r>
          </w:p>
        </w:tc>
      </w:tr>
    </w:tbl>
    <w:p w14:paraId="5922D7F2"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lastRenderedPageBreak/>
        <w:br w:type="page"/>
      </w:r>
    </w:p>
    <w:p w14:paraId="28C347D1" w14:textId="77777777" w:rsidR="00994F93" w:rsidRPr="00B03B51" w:rsidRDefault="00994F93" w:rsidP="00994F93">
      <w:pPr>
        <w:jc w:val="both"/>
        <w:rPr>
          <w:rFonts w:ascii="Times New Roman" w:eastAsia="Times New Roman" w:hAnsi="Times New Roman" w:cs="Times New Roman"/>
          <w:noProof/>
          <w:sz w:val="24"/>
          <w:szCs w:val="19"/>
        </w:rPr>
      </w:pPr>
    </w:p>
    <w:p w14:paraId="66A6DBC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Lēmuma pieņemšanas shēma attiecībā uz kapitāla iepludināšanu</w:t>
      </w:r>
    </w:p>
    <w:p w14:paraId="2A4ABD6F"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(izņemot ieguldījumu dotācijas (D.92))</w:t>
      </w:r>
    </w:p>
    <w:p w14:paraId="10521821" w14:textId="77777777" w:rsidR="00994F93" w:rsidRPr="00B03B51" w:rsidRDefault="00994F93" w:rsidP="00994F93">
      <w:pPr>
        <w:jc w:val="both"/>
        <w:rPr>
          <w:rFonts w:ascii="Times New Roman" w:eastAsia="Arial" w:hAnsi="Times New Roman" w:cs="Times New Roman"/>
          <w:b/>
          <w:bCs/>
          <w:noProof/>
          <w:sz w:val="24"/>
          <w:szCs w:val="20"/>
        </w:rPr>
      </w:pPr>
    </w:p>
    <w:p w14:paraId="3874646F" w14:textId="53476BE2" w:rsidR="00994F93" w:rsidRPr="00B03B51" w:rsidRDefault="005F7E5D" w:rsidP="008A7C35">
      <w:pPr>
        <w:jc w:val="center"/>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drawing>
          <wp:inline distT="0" distB="0" distL="0" distR="0" wp14:anchorId="49F9D09F" wp14:editId="0085E143">
            <wp:extent cx="5760085" cy="41611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4161155"/>
                    </a:xfrm>
                    <a:prstGeom prst="rect">
                      <a:avLst/>
                    </a:prstGeom>
                    <a:noFill/>
                    <a:ln>
                      <a:noFill/>
                    </a:ln>
                  </pic:spPr>
                </pic:pic>
              </a:graphicData>
            </a:graphic>
          </wp:inline>
        </w:drawing>
      </w:r>
    </w:p>
    <w:p w14:paraId="037AFCBF" w14:textId="77777777" w:rsidR="00994F93" w:rsidRPr="00B03B51" w:rsidRDefault="00994F93" w:rsidP="00994F93">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203EE0E3" w14:textId="77777777" w:rsidR="00994F93" w:rsidRPr="00B03B51" w:rsidRDefault="00994F93" w:rsidP="00994F93">
      <w:pPr>
        <w:jc w:val="both"/>
        <w:rPr>
          <w:rFonts w:ascii="Times New Roman" w:eastAsia="Arial" w:hAnsi="Times New Roman" w:cs="Times New Roman"/>
          <w:noProof/>
          <w:sz w:val="24"/>
          <w:szCs w:val="29"/>
        </w:rPr>
      </w:pPr>
    </w:p>
    <w:p w14:paraId="27463278"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221" w:name="3.3_Capital_injections_into_public_quasi"/>
      <w:bookmarkStart w:id="222" w:name="_bookmark23"/>
      <w:bookmarkStart w:id="223" w:name="_Toc67565091"/>
      <w:bookmarkEnd w:id="221"/>
      <w:bookmarkEnd w:id="222"/>
      <w:r w:rsidRPr="00B03B51">
        <w:rPr>
          <w:rFonts w:ascii="Times New Roman" w:hAnsi="Times New Roman" w:cs="Times New Roman"/>
          <w:sz w:val="28"/>
          <w:szCs w:val="44"/>
        </w:rPr>
        <w:t>3.3. Kapitāla iepludināšana publiskās kvazisabiedrībās</w:t>
      </w:r>
      <w:bookmarkEnd w:id="223"/>
    </w:p>
    <w:p w14:paraId="4B0ADC71" w14:textId="77777777" w:rsidR="00994F93" w:rsidRPr="00100B51" w:rsidRDefault="00994F93" w:rsidP="00100B51">
      <w:pPr>
        <w:rPr>
          <w:rFonts w:ascii="Times New Roman" w:hAnsi="Times New Roman" w:cs="Times New Roman"/>
          <w:noProof/>
          <w:sz w:val="24"/>
          <w:szCs w:val="24"/>
        </w:rPr>
      </w:pPr>
      <w:bookmarkStart w:id="224" w:name="3.3.1_Background"/>
      <w:bookmarkEnd w:id="224"/>
    </w:p>
    <w:p w14:paraId="7AB7B363"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25" w:name="_Toc67565092"/>
      <w:r w:rsidRPr="00B03B51">
        <w:rPr>
          <w:rFonts w:ascii="Times New Roman" w:hAnsi="Times New Roman" w:cs="Times New Roman"/>
          <w:sz w:val="24"/>
        </w:rPr>
        <w:t>3.3.1. Vispārīga informācija</w:t>
      </w:r>
      <w:bookmarkEnd w:id="225"/>
    </w:p>
    <w:p w14:paraId="7469E31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39A23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Viens no nacionālo kontu pamatelementiem ir institucionālo vienību jēdziens un šo vienību apvienošana institucionālajos sektoros. Tā kā sistēmas mērķis ekonomiskās analīzes pamatošanai ir aprakstīt saimnieciskās darbības subjektu mijiedarbību, tad galvenā pazīme, saskaņā ar kuru saimnieciskās darbības subjektu var atzīt par institucionālu vienību, ir tā spēja pieņemt autonomus ekonomiskos lēmumus attiecībā uz tā galvenās funkcijas īstenošanu, nevis kādi citi apsvērumi, piemēram, juridiskais statuss.</w:t>
      </w:r>
    </w:p>
    <w:p w14:paraId="47115F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095991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Publisku kvazisabiedrību jēdziens ir paredzēts ar mērķi nošķirt publiskus subjektus no to valdības īpašniekiem, jo tās ir iesaistītas tirgus darbībā tādā veidā, kas atbilst tirgus ražotāja kritērijiem, uzskatot, ka tām ir lēmumu pieņemšanas autonomija. Pat ja tām nav juridiskā statusa, tās tomēr ir pietiekami neatkarīgas un rīkojas atšķirīgi no to īpašniekiem un līdzīgi sabiedrībām. Proti, tām var piederēt aktīvi, tās var pieņemt ekonomiskus lēmumus, slēgt līgumus un uzņemties saistības (EKS 2010 2.12. punkts). Publiskām kvazisabiedrībām ir jāuztur pilns kontu komplekts, vai vajadzības gadījumā jābūt iespējai apkopot šādu pilnu komplektu, kas būtu jēgpilns no ekonomiskā un juridiskā viedokļa; pretējā gadījumā no uzskaites viedokļa šādas sabiedrības, visticamāk, nebūtu iespējams atšķirt no to īpašniekiem (EKS 2010 2.13. punkta f) apakšpunkts). Lai varētu uzskatīt, ka vienībai ir pilnīgs kontu komplekts, tai jāveic uzskaite, kas aptver visus tās ekonomiskos un finanšu darījumus, kurus tā veikusi uzskaites periodā, kā arī jāveido aktīvu un saistību bilance.</w:t>
      </w:r>
    </w:p>
    <w:p w14:paraId="061FAC4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81FEE5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Tā kā publiskas kvazisabiedrības nacionālajos kontos ir atzītas kā institucionālas vienības un tirgus ražotājas (t. i., tās piemēro ekonomiski nozīmīgas cenas), tās būtu jātraktē tāpat kā jebkura cita sabiedrība, kā noteikts EKS 2010 20.193. punktā. Šīs nodaļas mērķis ir sniegt īsus, taču vispusīgus norādījumus par to, kādos gadījumos valdības iepludinātais kapitāls vai citi pārvedumi to kvazisabiedrībām jāieraksta kā finanšu vai nefinanšu darījumi.</w:t>
      </w:r>
    </w:p>
    <w:p w14:paraId="4C084653" w14:textId="77777777" w:rsidR="00994F93" w:rsidRPr="00B03B51" w:rsidRDefault="00994F93" w:rsidP="00994F93">
      <w:pPr>
        <w:jc w:val="both"/>
        <w:rPr>
          <w:rFonts w:ascii="Times New Roman" w:eastAsia="Arial" w:hAnsi="Times New Roman" w:cs="Times New Roman"/>
          <w:noProof/>
          <w:sz w:val="24"/>
          <w:szCs w:val="19"/>
        </w:rPr>
      </w:pPr>
    </w:p>
    <w:p w14:paraId="747EC53B"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26" w:name="3.3.2_Treatment_in_national_accounts"/>
      <w:bookmarkStart w:id="227" w:name="_Toc67565093"/>
      <w:bookmarkEnd w:id="226"/>
      <w:r w:rsidRPr="00B03B51">
        <w:rPr>
          <w:rFonts w:ascii="Times New Roman" w:hAnsi="Times New Roman" w:cs="Times New Roman"/>
          <w:sz w:val="24"/>
        </w:rPr>
        <w:t>3.3.2. Traktējums nacionālajos kontos</w:t>
      </w:r>
      <w:bookmarkEnd w:id="227"/>
    </w:p>
    <w:p w14:paraId="3E616E1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AC9DD7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Ierakstot nacionālajos kontos valdības pārvedumu publiskajām kvazisabiedrībām, kopumā jāievēro tie paši noteikumi, ko piemēro attiecībā uz citām publiskajām sabiedrībām (skat. 3.2. nodaļu “Kapitāla iepludināšana publiskās sabiedrībās”), ja vien EKS 2010 nav skaidri noteikts citādi. Kapitāla iepludināšanas tests, kas noteikts šīs rokasgrāmatas 3.2.2. apakšiedaļā, jāpiemēro atkarībā no tā, kā kvazisabiedrības strādā – ar zaudējumiem vai ar peļņu.</w:t>
      </w:r>
    </w:p>
    <w:p w14:paraId="6D413DD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AEF7D9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Jāievēro turpmāk minētie darbības norādījumi:</w:t>
      </w:r>
    </w:p>
    <w:p w14:paraId="50B1BAC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D577C06"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ja publiska kvazisabiedrība gūst peļņu un plāno arī turpmāk gūt pietiekamu peļņu, valdības veikti kapitāla pārvedumi, piemēram, aktīvu iegādes vai saistību samazināšanas nolūkā, jāieraksta kā finanšu darījumi, cits pašu kapitāls (F.519) (EKS 2010 5.154. punkta f) apakšpunkts), bet citos gadījumos tie jāieraksta kā kapitāla pārvedums;</w:t>
      </w:r>
    </w:p>
    <w:p w14:paraId="303DC534"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CC3194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b) ja valdības vai Eiropas apzinātas ekonomiskās un sociālās politikas dēļ publiska kvazisabiedrība saskaras ar pastāvīgu darbības deficītu, attiecībā uz galalietotājiem piemērojot nepietiekami augstu cenu, regulāri valdības pārvedumi ir jāieraksta kā citas produktu subsīdijas (D.319) (EKS 2010 4.35. punkta c) apakšpunkts un EKS 2010 </w:t>
      </w:r>
      <w:r w:rsidRPr="00B03B51">
        <w:rPr>
          <w:rFonts w:ascii="Times New Roman" w:hAnsi="Times New Roman" w:cs="Times New Roman"/>
          <w:sz w:val="24"/>
        </w:rPr>
        <w:lastRenderedPageBreak/>
        <w:t>4.61. punkts);</w:t>
      </w:r>
    </w:p>
    <w:p w14:paraId="73ACC9BF"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46C49D3F"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ja publiska kvazisabiedrība saņem pārvedumus no valdības, lai segtu uzkrātos zaudējumus vai ārkārtas zaudējumus, kuru iemeslus tā nespēj kontrolēt, tos ieraksta kā citus kapitāla pārvedumus (D.99) (EKS 2010 4.165. punkta b) apakšpunkts). Tomēr jebkuru iepludinātā kapitāla daļu, kas pārsniedz uzkrātos zaudējumus, var ierakstīt kā finanšu darījumu (F.519), ja vien tas ir atbilstoši dokumentēts. Maksājumus, kas paredzēti turpmāko zaudējumu segšanai, arī traktē kā citus kapitāla pārvedumus (D.99);</w:t>
      </w:r>
    </w:p>
    <w:p w14:paraId="7FD15346" w14:textId="77777777" w:rsidR="00994F93" w:rsidRPr="00B03B51" w:rsidRDefault="00994F93" w:rsidP="00994F93">
      <w:pPr>
        <w:ind w:left="284"/>
        <w:jc w:val="both"/>
        <w:rPr>
          <w:rFonts w:ascii="Times New Roman" w:hAnsi="Times New Roman" w:cs="Times New Roman"/>
          <w:noProof/>
          <w:sz w:val="24"/>
        </w:rPr>
      </w:pPr>
    </w:p>
    <w:p w14:paraId="1C74990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ja valdības īpašnieks dzēš finanšu prasījumus pret publisku kvazisabiedrību vai uzņemas tās saistības, jāieraksta finanšu darījumi pozīcijā “cits pašu kapitāls” (F.519) (EKS 2010 4.165. punkta f) apakšpunkts), ja vien operācija netiek veikta ar mērķi segt uzkrātos zaudējumus vai ārkārtīgi lielu zaudējumu, kas nav ietverts c) apakšpunktā minētajā gadījumā, ierakstot citus kapitāla pārvedumus (D.99) (EKS 2010 5.37. punkts). Arī turpmāko gaidāmo zaudējumu gadījumā to var traktēt kā citus kapitāla pārvedumus (D.99) (EKS 2010 4.165. punkta b) apakšpunkts);</w:t>
      </w:r>
    </w:p>
    <w:p w14:paraId="401F2092"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p>
    <w:p w14:paraId="05314D05" w14:textId="77777777" w:rsidR="00994F93" w:rsidRPr="00B03B51" w:rsidRDefault="00994F93" w:rsidP="00994F93">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e) ja valdība veic pārvedumus publiskām kvazisabiedrībām, lai pilnībā vai daļēji finansētu tām ar pamatlīdzekļu iegādi saistītās izmaksas, tos ieraksta kā ieguldījumu dotāciju (D.92) (EKS 2010 4.157. un 20.42. punkts). Šajā gadījumā ir skaidri jānorāda, ka ar līdzekļu piešķiršanu tiek finansēta konkrētu pamatlīdzekļu iegāde vai to būtiska uzlabošana, nevis tiek veikta “vispārīga”, nenoteikta līdzekļu piešķiršana kvazisabiedrībai.</w:t>
      </w:r>
    </w:p>
    <w:p w14:paraId="4F6473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BA97E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Šādos apstākļos līdzekļu pieplūdums peļņu nenesošai publiskai kvazisabiedrībai no valdības naudā vai natūrā jāieraksta kā nefinanšu darījums (šādos gadījumos piemēro EKS 2010 4.165. punkta b) apakšpunktu, nevis f) apakšpunktu), kā norādīts EKS 2010 5.37. punktā. Līdzekļu pieplūdumu no valdības, kas pārsniedz uzkrātos vai paredzamos zaudējumus, var ierakstīt kā finanšu darījumus.</w:t>
      </w:r>
    </w:p>
    <w:p w14:paraId="1070D47C" w14:textId="77777777" w:rsidR="00994F93" w:rsidRPr="00B03B51" w:rsidRDefault="00994F93" w:rsidP="00994F93">
      <w:pPr>
        <w:jc w:val="both"/>
        <w:rPr>
          <w:rFonts w:ascii="Times New Roman" w:eastAsia="Arial" w:hAnsi="Times New Roman" w:cs="Times New Roman"/>
          <w:noProof/>
          <w:sz w:val="24"/>
          <w:szCs w:val="18"/>
        </w:rPr>
      </w:pPr>
    </w:p>
    <w:p w14:paraId="53946420"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28" w:name="3.3.3_Rationale_of_the_treatment"/>
      <w:bookmarkStart w:id="229" w:name="_Toc67565094"/>
      <w:bookmarkEnd w:id="228"/>
      <w:r w:rsidRPr="00B03B51">
        <w:rPr>
          <w:rFonts w:ascii="Times New Roman" w:hAnsi="Times New Roman" w:cs="Times New Roman"/>
          <w:sz w:val="24"/>
        </w:rPr>
        <w:t>3.3.3. Traktējuma pamatojums</w:t>
      </w:r>
      <w:bookmarkEnd w:id="229"/>
    </w:p>
    <w:p w14:paraId="7ED1F99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61DBA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Publisku kvazisabiedrību jēdziens ir ieviests nacionālo kontu sistēmā tāpēc, ka to darbība atšķiras no to valdības īpašnieku darbības un līdzinās sabiedrību darbībai; tāpēc tās ir atzītas kā institucionālas vienības un tirgus ražotāji. Līdz ar to nacionālajos kontos cenšas atspoguļot kvazisabiedrību un to valdības īpašnieku savstarpējo darījumu ekonomisko būtību. Publisku kvazisabiedrību traktējumu ir pamatoti pielīdzināt citu publisku sabiedrību traktējumam, ņemot vērā līdzības, kas pastāv abu šādu vienību darbībā.</w:t>
      </w:r>
    </w:p>
    <w:p w14:paraId="3D341A1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2D9B3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Lai publiska kvazisabiedrība tiktu atzīta nacionālajos kontos, valdībai ir jāpiešķir uzņēmuma vadībai ievērojama rīcības brīvība attiecībā uz ražošanas procesa vadību un pašu līdzekļu izmantošanu, kā definēts EKS 2010 7.07. punktā, kā arī jābūt ievērotam lēmumu pieņemšanas autonomijas kritērijam (EKS 2010 2.12. punkts). Publiskām kvazisabiedrībām jāspēj uzturēt savu budžeta deficītu/pārpalikumu un uzņēmējdarbības kredītu, kā arī jāspēj finansēt dažus vai visus savus kapitālieguldījumus no saviem uzkrājumiem, rezervēm vai aizņēmumiem. Tas, ka starp kvazisabiedrībām un valdību ir iespējams nošķirt ienākumu un kapitāla plūsmas, nozīmē to, ka praksē kvazisabiedrību darbību un finansēšanas darījumus finanšu statistikā vajadzētu būt iespējams pilnīgi nošķirt no valdības ienākumiem, lai arī tās nav atsevišķas juridiskas personas. Publiskas kvazisabiedrības neto darbības pārpalikums neietilpst valdības ienākumos, un valdības kontos ieraksta tikai ienākumu un kapitāla plūsmas starp kvazisabiedrību un valdību. Ja šajā ziņā subjektus nav iespējams nodalīt no valdības īpašniekiem, tos nevar traktēt kā kvazisabiedrības.</w:t>
      </w:r>
    </w:p>
    <w:p w14:paraId="44C188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FA1D1F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Nulles neto vērtības nosacījums (t. i., EKS 2010 7.09. punktā noteikts, ka attiecībā uz kvazisabiedrībām pieņem, ka īpašnieka pašu kapitāls ir vienāds ar tās neto aktīviem) dažkārt tiek uzsvērts kā konceptuāls pamatojums tam, lai noteiktu to, kā jāieraksta darījumi starp valdību un tās kvazisabiedrībām (kā darījumi ar pašu kapitālu). Tomēr fakts, ka kvazisabiedrību neto vērtība ir nulle, praksē nesniedz pietiekamu pamatu tam, lai darījumus traktētu kā finanšu darījumus, nevis nefinanšu darījumus, jo iepludinātā kapitāla neto vērtība saņēmējiem kopumā ir neitrāla tāpēc, ka to pašu kapitāla saistību novērtējums parasti tiek palielināts par saņemto summu (EKS 2010 20.200. punkts). Piemēram, nekotētu publisku sabiedrību pašu kapitālu saskaņā ar ierasto praksi var novērtēt kā neto aktīvus, taču tas neliegtu piemērot kapitāla iepludināšanas testu. Šādos gadījumos ierakstot kapitāla iepludināšanu kā nefinanšu darījumu, ieraksts jāveic pārvērtēšanas kontā. Ierakstot darījumus starp valdībām un tās kvazisabiedrībām, jāatspoguļo darījuma ekonomiskā būtība neatkarīgi no izmantotās pašu kapitāla novērtēšanas metodes.</w:t>
      </w:r>
    </w:p>
    <w:p w14:paraId="0E01952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DC4B7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Ja valdības maksājumi publiskām sabiedrībām un publiskām kvazisabiedrībām ir paredzēti uzkrāto vai paredzamo zaudējumu segšanai, tos traktē kā kapitāla pārvedumus saskaņā ar EKS 2010 4.165. punkta b) apakšpunktu, kā sīkāk paskaidrots 3.2. nodaļā “Kapitāla iepludināšana publiskās sabiedrībās”. Ja regulārus valdības pārvedumus veic publiskām kvazisabiedrībām, kurām pastāvīgi ir darbības deficīts, subsīdijas ieraksta kā citas produktu subsīdijas (D.319) saskaņā ar EKS 2010 4.61. punktu un 4.35. punkta c) apakšpunktu.</w:t>
      </w:r>
    </w:p>
    <w:p w14:paraId="2EADDBDC" w14:textId="77777777" w:rsidR="00994F93" w:rsidRPr="00B03B51" w:rsidRDefault="00994F93" w:rsidP="00994F93">
      <w:pPr>
        <w:jc w:val="both"/>
        <w:rPr>
          <w:rFonts w:ascii="Times New Roman" w:hAnsi="Times New Roman" w:cs="Times New Roman"/>
          <w:noProof/>
          <w:sz w:val="24"/>
        </w:rPr>
      </w:pPr>
    </w:p>
    <w:p w14:paraId="5ED864CE" w14:textId="3723B6DE"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Ja valdības </w:t>
      </w:r>
      <w:r w:rsidR="0024682A" w:rsidRPr="00B03B51">
        <w:rPr>
          <w:rFonts w:ascii="Times New Roman" w:hAnsi="Times New Roman" w:cs="Times New Roman"/>
          <w:sz w:val="24"/>
        </w:rPr>
        <w:t>anulē</w:t>
      </w:r>
      <w:r w:rsidRPr="00B03B51">
        <w:rPr>
          <w:rFonts w:ascii="Times New Roman" w:hAnsi="Times New Roman" w:cs="Times New Roman"/>
          <w:sz w:val="24"/>
        </w:rPr>
        <w:t xml:space="preserve"> parādu vai uzņemas parādu savu kvazisabiedrību labā, darījumus pieņemts ierakstīt kā finanšu darījumus atbilstoši EKS 2010 4.165. punkta f) apakšpunktam, atkāpjoties no vispārējās ierakstīšanas prakses, ko piemēro attiecībā uz sabiedrībām (kapitāla pārvedums), taču, ja darījums ir paredzēts zaudējumu segšanai, tad piemēro EKS 2010 4.165. punkta b) apakšpunktu, kā norādīts EKS 2010 5.37. punktā. EKS 2010 4.165. punkta b) apakšpunktu piemēro attiecībā uz parāda </w:t>
      </w:r>
      <w:r w:rsidR="00AB24E2" w:rsidRPr="00B03B51">
        <w:rPr>
          <w:rFonts w:ascii="Times New Roman" w:hAnsi="Times New Roman" w:cs="Times New Roman"/>
          <w:sz w:val="24"/>
        </w:rPr>
        <w:t>anulēšanas</w:t>
      </w:r>
      <w:r w:rsidRPr="00B03B51">
        <w:rPr>
          <w:rFonts w:ascii="Times New Roman" w:hAnsi="Times New Roman" w:cs="Times New Roman"/>
          <w:sz w:val="24"/>
        </w:rPr>
        <w:t>/ parāda uzņemšanās gadījumiem, kā arī attiecībā uz naudas pārvedumiem, jo līdzekļiem, kas naudas vai citu finanšu aktīvu/saistību izteiksmē paredzēti subjektu rekapitalizācijai, parasti nevajadzētu mainīt konkrētā darījuma uzskaites ierakstu.</w:t>
      </w:r>
    </w:p>
    <w:p w14:paraId="2EA0238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07FD31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Ja valdība sniedz līdzekļus kvazisabiedrībai pamatlīdzekļu iegādei, tos ieraksta kā ieguldījumu dotācijas (D.92) saskaņā ar EKS 2010 4.157. punktu, kurā nenošķir sabiedrības un publiskās sabiedrības. Tas ir arī skaidri pateikts EKS 2010 20.42. punktā, kas formulēts šādi: </w:t>
      </w:r>
      <w:r w:rsidRPr="00B03B51">
        <w:rPr>
          <w:rFonts w:ascii="Times New Roman" w:hAnsi="Times New Roman" w:cs="Times New Roman"/>
          <w:i/>
          <w:iCs/>
          <w:sz w:val="24"/>
        </w:rPr>
        <w:t>proti, ieguldījumu dotācijas ieraksta kā kapitāla pārvedumus</w:t>
      </w:r>
      <w:r w:rsidRPr="00B03B51">
        <w:rPr>
          <w:rFonts w:ascii="Times New Roman" w:hAnsi="Times New Roman" w:cs="Times New Roman"/>
          <w:sz w:val="24"/>
        </w:rPr>
        <w:t>. Šī klasifikācija nav atkarīga no kvazisabiedrības finanšu stāvokļa, no tā, vai tā ir rentabla vai zaudējumus nesoša, bet gan veidota, pamatojoties uz maksājuma mērķi. Ieguldījumu dotācija ir naudas pārvedums (dažos drīzāk izņēmuma gadījumos – pārvedums natūrā kāda esoša aktīva veidā), lai iegādātos pamatlīdzekli (iegādātos vai ražotu kapitāla pašveidošanos) vai lai to būtiski uzlabotu. Aktīva veidu nosaka tā piešķīrējs, un kopumā saņēmējam ir jāizpilda precīzas prasības (aktīva galvenās iezīmes, tā lietošana, realizācijas laiks utt.); pretējā gadījumā viņam var uzlikt par pienākumu līdzekļus atdot atpakaļ. Nav nozīmes, vai pārvedumu veic vienība, kurai pieder kvazisabiedrība (no kuras tā tika atdalīta nacionālajos kontos, lai arī tai nav neatkarīga juridiskā statusa), vai arī cita valdības vienība, piemēram, saistībā ar īpašām ieguldījumu programmām, ko šī vienība ir izstrādājusi (ilustratīvs piemērs ir vietējā kvazisabiedrība un centrālā valdība). Šādus pārvedumus valdība var piešķirt tiešā veidā vai ar attīstības vai attīstību veicinošu banku starpniecību, kas darbojas valdības vārdā (pārvirzīšana). Turklāt nav nozīmes, vai ieguldījumu dotācija tiek īstenota vispārējas shēmas ietvaros, aptverot publiskus vai privātus subjektus, vai arī ir izstrādāta konkrēti publiskiem subjektiem, kas ir iesaistīti darbībās, ko valdība ir paredzējusi atbalstīt/attīstīt.</w:t>
      </w:r>
    </w:p>
    <w:p w14:paraId="52D1625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5B730D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Šajā saistībā ieguldījumu dotācija visai atšķiras no līdzekļu piešķiršanas, ko veic kvazisabiedrības īpašnieks, nesniedzot precīzu norādi par konkrēto aktīva veidu. Kvazisabiedrība drīkst izmantot līdzekļus dažādos veidos (piemēram, akciju iegādei) un pati var noteikt ieguldījumu programmu (piemēram, gadījumā, ja kvazisabiedrība ir iesaistīta sociālo mājokļu būvniecībā). Šajā gadījumā ierakstīšanu nacionālajos kontos veic, ievērojot parasto kārtību, pamatojoties uz to, vai kvazisabiedrība ir vai nav rentabla (saskaņā ar paredzēšanas pieeju) (pašu kapitāls AF.519 vai kapitāla pārvedums D.99). Var gadīties, ka statistiķiem nav pieejama visa informācija par līdzekļu sniegšanu. Šādā gadījumā, ja kvazisabiedrība parasti parāda kapitāla veidošanu un nevis gandrīz vienīgi pakalpojumu sniegšanu, līdzekļu sniegšanu ieteicams ierakstīt kā ieguldījumu dotāciju (D.92).</w:t>
      </w:r>
    </w:p>
    <w:p w14:paraId="1FD8DA7B" w14:textId="77777777" w:rsidR="00994F93" w:rsidRPr="00B03B51" w:rsidRDefault="00994F93" w:rsidP="00994F93">
      <w:pPr>
        <w:jc w:val="both"/>
        <w:rPr>
          <w:rFonts w:ascii="Times New Roman" w:eastAsia="Arial" w:hAnsi="Times New Roman" w:cs="Times New Roman"/>
          <w:noProof/>
          <w:sz w:val="24"/>
          <w:szCs w:val="18"/>
        </w:rPr>
      </w:pPr>
    </w:p>
    <w:p w14:paraId="5D4273A1"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30" w:name="3.3.4_Accounting_examples"/>
      <w:bookmarkStart w:id="231" w:name="_Toc67565095"/>
      <w:bookmarkEnd w:id="230"/>
      <w:r w:rsidRPr="00B03B51">
        <w:rPr>
          <w:rFonts w:ascii="Times New Roman" w:hAnsi="Times New Roman" w:cs="Times New Roman"/>
          <w:sz w:val="24"/>
        </w:rPr>
        <w:t>3.3.4. Uzskaites piemēri</w:t>
      </w:r>
      <w:bookmarkEnd w:id="231"/>
    </w:p>
    <w:p w14:paraId="595AC440" w14:textId="77777777" w:rsidR="00994F93" w:rsidRPr="00B03B51" w:rsidRDefault="00994F93" w:rsidP="00994F93">
      <w:pPr>
        <w:jc w:val="both"/>
        <w:rPr>
          <w:rFonts w:ascii="Times New Roman" w:hAnsi="Times New Roman" w:cs="Times New Roman"/>
          <w:b/>
          <w:noProof/>
          <w:sz w:val="24"/>
        </w:rPr>
      </w:pPr>
    </w:p>
    <w:p w14:paraId="0A27A026"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1. piemērs</w:t>
      </w:r>
    </w:p>
    <w:p w14:paraId="2D377D90" w14:textId="77777777" w:rsidR="00994F93" w:rsidRPr="00B03B51" w:rsidRDefault="00994F93" w:rsidP="00994F93">
      <w:pPr>
        <w:jc w:val="both"/>
        <w:rPr>
          <w:rFonts w:ascii="Times New Roman" w:eastAsia="Arial" w:hAnsi="Times New Roman" w:cs="Times New Roman"/>
          <w:b/>
          <w:bCs/>
          <w:noProof/>
          <w:sz w:val="24"/>
          <w:szCs w:val="21"/>
        </w:rPr>
      </w:pPr>
    </w:p>
    <w:p w14:paraId="44D8DA2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kvazisabiedrībā iepludina naudu 100 vienību apmērā, lai finansētu pamatlīdzekļus.</w:t>
      </w:r>
      <w:r w:rsidRPr="00B03B51">
        <w:rPr>
          <w:rStyle w:val="FootnoteReference"/>
          <w:rFonts w:ascii="Times New Roman" w:hAnsi="Times New Roman" w:cs="Times New Roman"/>
          <w:noProof/>
          <w:sz w:val="24"/>
        </w:rPr>
        <w:footnoteReference w:id="156"/>
      </w:r>
    </w:p>
    <w:p w14:paraId="4E35BFAB" w14:textId="77777777" w:rsidR="00994F93" w:rsidRPr="00B03B51" w:rsidRDefault="00994F93" w:rsidP="00994F93">
      <w:pPr>
        <w:jc w:val="both"/>
        <w:rPr>
          <w:rFonts w:ascii="Times New Roman" w:hAnsi="Times New Roman" w:cs="Times New Roman"/>
          <w:noProof/>
          <w:sz w:val="24"/>
        </w:rPr>
      </w:pPr>
    </w:p>
    <w:p w14:paraId="7F06D11E" w14:textId="4E593359" w:rsidR="00994F93" w:rsidRPr="00B03B51" w:rsidRDefault="005F7E5D" w:rsidP="008A7C35">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25EE4E75" wp14:editId="496A5123">
            <wp:extent cx="5760085" cy="14839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483995"/>
                    </a:xfrm>
                    <a:prstGeom prst="rect">
                      <a:avLst/>
                    </a:prstGeom>
                    <a:noFill/>
                    <a:ln>
                      <a:noFill/>
                    </a:ln>
                  </pic:spPr>
                </pic:pic>
              </a:graphicData>
            </a:graphic>
          </wp:inline>
        </w:drawing>
      </w:r>
    </w:p>
    <w:p w14:paraId="43916F79" w14:textId="14B711B1" w:rsidR="00994F93" w:rsidRPr="00B03B51" w:rsidRDefault="005F7E5D" w:rsidP="008A7C35">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drawing>
          <wp:inline distT="0" distB="0" distL="0" distR="0" wp14:anchorId="5214958D" wp14:editId="1AB52D87">
            <wp:extent cx="5760085" cy="34429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442970"/>
                    </a:xfrm>
                    <a:prstGeom prst="rect">
                      <a:avLst/>
                    </a:prstGeom>
                    <a:noFill/>
                    <a:ln>
                      <a:noFill/>
                    </a:ln>
                  </pic:spPr>
                </pic:pic>
              </a:graphicData>
            </a:graphic>
          </wp:inline>
        </w:drawing>
      </w:r>
    </w:p>
    <w:p w14:paraId="50BC46A3" w14:textId="77777777" w:rsidR="00994F93" w:rsidRPr="00B03B51" w:rsidRDefault="00994F93" w:rsidP="00994F93">
      <w:pPr>
        <w:jc w:val="both"/>
        <w:rPr>
          <w:rFonts w:ascii="Times New Roman" w:eastAsia="Arial" w:hAnsi="Times New Roman" w:cs="Times New Roman"/>
          <w:noProof/>
          <w:sz w:val="24"/>
          <w:szCs w:val="19"/>
        </w:rPr>
      </w:pPr>
    </w:p>
    <w:p w14:paraId="61EEBD72" w14:textId="77777777" w:rsidR="00994F93" w:rsidRPr="00B03B51" w:rsidRDefault="00994F93" w:rsidP="00497519">
      <w:pPr>
        <w:keepNext/>
        <w:jc w:val="both"/>
        <w:rPr>
          <w:rFonts w:ascii="Times New Roman" w:hAnsi="Times New Roman" w:cs="Times New Roman"/>
          <w:b/>
          <w:noProof/>
          <w:sz w:val="24"/>
        </w:rPr>
      </w:pPr>
      <w:r w:rsidRPr="00B03B51">
        <w:rPr>
          <w:rFonts w:ascii="Times New Roman" w:hAnsi="Times New Roman" w:cs="Times New Roman"/>
          <w:b/>
          <w:sz w:val="24"/>
        </w:rPr>
        <w:lastRenderedPageBreak/>
        <w:t>2. piemērs</w:t>
      </w:r>
    </w:p>
    <w:p w14:paraId="1EE69D47" w14:textId="77777777" w:rsidR="00994F93" w:rsidRPr="00B03B51" w:rsidRDefault="00994F93" w:rsidP="00497519">
      <w:pPr>
        <w:keepNext/>
        <w:jc w:val="both"/>
        <w:rPr>
          <w:rFonts w:ascii="Times New Roman" w:eastAsia="Arial" w:hAnsi="Times New Roman" w:cs="Times New Roman"/>
          <w:b/>
          <w:bCs/>
          <w:noProof/>
          <w:sz w:val="24"/>
          <w:szCs w:val="21"/>
        </w:rPr>
      </w:pPr>
    </w:p>
    <w:p w14:paraId="102C5EA0" w14:textId="77777777" w:rsidR="00994F93" w:rsidRPr="00B03B51" w:rsidRDefault="00994F93" w:rsidP="00497519">
      <w:pPr>
        <w:pStyle w:val="BodyText"/>
        <w:keepN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2. periodā iepludina naudu 100 vienību apmērā peļņu nesošā kvazisabiedrībā, kura var brīvi izlietot attiecīgos līdzekļus (nav pienākuma iegādāties konkrētus pamatlīdzekļus, ko noteicis līdzekļu devējs).</w:t>
      </w:r>
    </w:p>
    <w:p w14:paraId="1136CB96" w14:textId="77777777" w:rsidR="00994F93" w:rsidRPr="00B03B51" w:rsidRDefault="00994F93" w:rsidP="00994F93">
      <w:pPr>
        <w:jc w:val="both"/>
        <w:rPr>
          <w:rFonts w:ascii="Times New Roman" w:eastAsia="Arial" w:hAnsi="Times New Roman" w:cs="Times New Roman"/>
          <w:noProof/>
          <w:sz w:val="24"/>
          <w:szCs w:val="20"/>
        </w:rPr>
      </w:pPr>
    </w:p>
    <w:p w14:paraId="7E2CFA74" w14:textId="0C1399D8" w:rsidR="00994F93" w:rsidRPr="00B03B51" w:rsidRDefault="005F7E5D" w:rsidP="008A7C35">
      <w:pPr>
        <w:jc w:val="center"/>
        <w:rPr>
          <w:rFonts w:ascii="Times New Roman" w:eastAsia="Arial" w:hAnsi="Times New Roman" w:cs="Times New Roman"/>
          <w:noProof/>
          <w:sz w:val="24"/>
          <w:szCs w:val="19"/>
        </w:rPr>
      </w:pPr>
      <w:r w:rsidRPr="00B03B51">
        <w:rPr>
          <w:rFonts w:ascii="Times New Roman" w:eastAsia="Arial" w:hAnsi="Times New Roman" w:cs="Times New Roman"/>
          <w:noProof/>
          <w:sz w:val="24"/>
          <w:szCs w:val="19"/>
        </w:rPr>
        <w:drawing>
          <wp:inline distT="0" distB="0" distL="0" distR="0" wp14:anchorId="58937696" wp14:editId="0F12C501">
            <wp:extent cx="5760085" cy="46469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4646930"/>
                    </a:xfrm>
                    <a:prstGeom prst="rect">
                      <a:avLst/>
                    </a:prstGeom>
                    <a:noFill/>
                    <a:ln>
                      <a:noFill/>
                    </a:ln>
                  </pic:spPr>
                </pic:pic>
              </a:graphicData>
            </a:graphic>
          </wp:inline>
        </w:drawing>
      </w:r>
    </w:p>
    <w:p w14:paraId="1E91207D" w14:textId="77777777" w:rsidR="00994F93" w:rsidRPr="00B03B51" w:rsidRDefault="00994F93" w:rsidP="00994F93">
      <w:pPr>
        <w:rPr>
          <w:rFonts w:ascii="Times New Roman" w:eastAsia="Arial" w:hAnsi="Times New Roman" w:cs="Times New Roman"/>
          <w:noProof/>
          <w:sz w:val="24"/>
          <w:szCs w:val="19"/>
        </w:rPr>
      </w:pPr>
      <w:r w:rsidRPr="00B03B51">
        <w:rPr>
          <w:rFonts w:ascii="Times New Roman" w:hAnsi="Times New Roman" w:cs="Times New Roman"/>
        </w:rPr>
        <w:br w:type="page"/>
      </w:r>
    </w:p>
    <w:p w14:paraId="40982810" w14:textId="77777777" w:rsidR="00994F93" w:rsidRPr="00B03B51" w:rsidRDefault="00994F93" w:rsidP="00994F93">
      <w:pPr>
        <w:jc w:val="both"/>
        <w:rPr>
          <w:rFonts w:ascii="Times New Roman" w:eastAsia="Arial" w:hAnsi="Times New Roman" w:cs="Times New Roman"/>
          <w:noProof/>
          <w:sz w:val="24"/>
          <w:szCs w:val="18"/>
        </w:rPr>
      </w:pPr>
    </w:p>
    <w:p w14:paraId="2845C0AF"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232" w:name="3.4_Capital_injections_in_kind"/>
      <w:bookmarkStart w:id="233" w:name="_bookmark24"/>
      <w:bookmarkStart w:id="234" w:name="_Toc67565096"/>
      <w:bookmarkEnd w:id="232"/>
      <w:bookmarkEnd w:id="233"/>
      <w:r w:rsidRPr="00B03B51">
        <w:rPr>
          <w:rFonts w:ascii="Times New Roman" w:hAnsi="Times New Roman" w:cs="Times New Roman"/>
          <w:sz w:val="28"/>
          <w:szCs w:val="44"/>
        </w:rPr>
        <w:t>3.4. Kapitāla iepludināšana natūrā</w:t>
      </w:r>
      <w:bookmarkEnd w:id="234"/>
    </w:p>
    <w:p w14:paraId="16FDCF5F" w14:textId="77777777" w:rsidR="00994F93" w:rsidRPr="00100B51" w:rsidRDefault="00994F93" w:rsidP="00100B51">
      <w:pPr>
        <w:rPr>
          <w:rFonts w:ascii="Times New Roman" w:hAnsi="Times New Roman" w:cs="Times New Roman"/>
          <w:noProof/>
          <w:sz w:val="24"/>
          <w:szCs w:val="24"/>
        </w:rPr>
      </w:pPr>
      <w:bookmarkStart w:id="235" w:name="3.4.1_Background"/>
      <w:bookmarkEnd w:id="235"/>
    </w:p>
    <w:p w14:paraId="2209222A"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36" w:name="_Toc67565097"/>
      <w:r w:rsidRPr="00B03B51">
        <w:rPr>
          <w:rFonts w:ascii="Times New Roman" w:hAnsi="Times New Roman" w:cs="Times New Roman"/>
          <w:sz w:val="24"/>
        </w:rPr>
        <w:t>3.4.1. Vispārīga informācija</w:t>
      </w:r>
      <w:bookmarkEnd w:id="236"/>
    </w:p>
    <w:p w14:paraId="5370770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C9241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Dažkārt valdības nodod pamatlīdzekļus (piemēram, ēkas) un/vai neražotus nefinanšu aktīvus (piemēram, zemi) publiskai vai privātai sabiedrībai, kas jau eksistē vai tiek dibināta ar mērķi turēt šādus aktīvus. Šādā gadījumā kapitāla iepludināšana nav parastā finanšu aktīvu plūsma (kas parasti notiek naudā, AF.2), bet gan nefinanšu aktīvu plūsma. Parasti tas tiek darīts tādēļ, lai uzņēmums šos aktīvus varētu izmantot ražošanas procesā, jo tiek pieņemts, ka uzņēmuma stāvoklis ir vairāk piemērots šādas saimnieciskās darbības veikšanai nekā valdības stāvoklis.</w:t>
      </w:r>
    </w:p>
    <w:p w14:paraId="31F0205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14693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Dažos gadījumos valdība no aktīva nodošanas plāno iegūt kādu tiešu labumu īpašuma ienākuma plūsmu (piemēram, dividendes) vai sabiedrības ekonomiskās vērtības pieauguma veidā. Citos gadījumos valdību apmierina tas, ka valsts kopumā gūst pietiekamus saimnieciskos un sociālos labumus, kas atsver valdības zaudēto aktīvu. Dažās valstīs šāda nodošana var notikt kā “komunālās saimniecības koncesija”, kurā publisku infrastruktūru, pamatojoties uz terminētu līgumu (ar samērā ilgu darbības termiņu), pārvalda “koncesionārs”, kas dažos gadījumos var būt publiska sabiedrība, taču biežāk ir privāta vienība (skat. 6.4. nodaļu “Publiskas un privātas partnerības (PPP)”). Tādējādi piemērojamos noteikumus var attiecināt arī uz darījumiem ar privātām sabiedrībām.</w:t>
      </w:r>
    </w:p>
    <w:p w14:paraId="7E144541" w14:textId="77777777" w:rsidR="00994F93" w:rsidRPr="00B03B51" w:rsidRDefault="00994F93" w:rsidP="00994F93">
      <w:pPr>
        <w:jc w:val="both"/>
        <w:rPr>
          <w:rFonts w:ascii="Times New Roman" w:eastAsia="Arial" w:hAnsi="Times New Roman" w:cs="Times New Roman"/>
          <w:noProof/>
          <w:sz w:val="24"/>
          <w:szCs w:val="19"/>
        </w:rPr>
      </w:pPr>
    </w:p>
    <w:p w14:paraId="6AB1C140"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37" w:name="3.4.2_Treatment_in_national_accounts"/>
      <w:bookmarkStart w:id="238" w:name="_Toc67565098"/>
      <w:bookmarkEnd w:id="237"/>
      <w:r w:rsidRPr="00B03B51">
        <w:rPr>
          <w:rFonts w:ascii="Times New Roman" w:hAnsi="Times New Roman" w:cs="Times New Roman"/>
          <w:sz w:val="24"/>
        </w:rPr>
        <w:t>3.4.2. Traktējums nacionālajos kontos</w:t>
      </w:r>
      <w:bookmarkEnd w:id="238"/>
    </w:p>
    <w:p w14:paraId="404FB128" w14:textId="77777777" w:rsidR="00994F93" w:rsidRPr="00721944" w:rsidRDefault="00994F93" w:rsidP="00721944">
      <w:pPr>
        <w:rPr>
          <w:rFonts w:ascii="Times New Roman" w:hAnsi="Times New Roman" w:cs="Times New Roman"/>
          <w:noProof/>
          <w:sz w:val="24"/>
          <w:szCs w:val="24"/>
        </w:rPr>
      </w:pPr>
      <w:bookmarkStart w:id="239" w:name="3.4.2.1_No_expectations_of_return"/>
      <w:bookmarkEnd w:id="239"/>
    </w:p>
    <w:p w14:paraId="4C4C1D81"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3.4.2.1. PEĻŅA NAV GAIDĀMA</w:t>
      </w:r>
    </w:p>
    <w:p w14:paraId="1F14AC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73498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Nefinanšu aktīva tiešs pārvedums bez jebkādu citu tiesību vai pienākumu noteikšanas un bez jaunu vienību izveidošanas ir valdības “dāvinājums” sabiedrībai, un tāpēc tas ir jāieraksta kā nefinanšu darījums.</w:t>
      </w:r>
    </w:p>
    <w:p w14:paraId="37DC49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8EFB4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Šajā saistībā nefinanšu aktīvu pārvedums ir tāda valdības veikta ieguldījumu dotācija natūrā (D.92), kas tiek līdzsvarota ar samazinājumu bruto pamatkapitāla veidošanā (P.51g) un/vai NP, ja ir iesaistīta zeme (EKS 2010 20.203. punkts).</w:t>
      </w:r>
    </w:p>
    <w:p w14:paraId="3EEFC0A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EBE783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Ja nefinanšu kontā ieraksta divas vienāda apmēra plūsmas, tad neto aizdevums/aizņēmums (B.9) netiek ietekmēts.</w:t>
      </w:r>
    </w:p>
    <w:p w14:paraId="3C15F2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0403C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Kapitāla pārveduma (ieguldījuma dotācijas) dēļ palielinās sabiedrības neto vērtība un simetriski samazinās valdības neto vērtība. Atkarībā no metodes, ko nacionālajos kontos izmanto, lai novērtētu valdības pašu kapitālu sabiedrībā, iespējams, jāpieņem, ka vispārējās valdības pašu kapitāla vērtība publiskā uzņēmumā atspoguļo šā uzņēmuma neto vērtības pieaugumu. Ja tā ir, tad pozitīvās neto vērtības (B.90) transformāciju pašu kapitālā (F.5) uzņēmuma kontā var aprakstīt pārvērtēšanas kontā, izmantojot turēšanas guvumu (K.7).</w:t>
      </w:r>
    </w:p>
    <w:p w14:paraId="0211610E" w14:textId="77777777" w:rsidR="00994F93" w:rsidRPr="00B03B51" w:rsidRDefault="00994F93" w:rsidP="00994F93">
      <w:pPr>
        <w:jc w:val="both"/>
        <w:rPr>
          <w:rFonts w:ascii="Times New Roman" w:eastAsia="Arial" w:hAnsi="Times New Roman" w:cs="Times New Roman"/>
          <w:noProof/>
          <w:sz w:val="24"/>
          <w:szCs w:val="15"/>
        </w:rPr>
      </w:pPr>
    </w:p>
    <w:p w14:paraId="6FC50A4F"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40" w:name="3.4.2.2_Expectation_of_higher_return"/>
      <w:bookmarkEnd w:id="240"/>
      <w:r w:rsidRPr="00B03B51">
        <w:rPr>
          <w:rFonts w:ascii="Times New Roman" w:hAnsi="Times New Roman" w:cs="Times New Roman"/>
          <w:sz w:val="24"/>
        </w:rPr>
        <w:t>3.4.2.2. CERĪBAS UZ LIELĀKU PEĻŅU</w:t>
      </w:r>
    </w:p>
    <w:p w14:paraId="752969B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0C898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Tā vietā, lai valdības pašas tieši izmantotu aktīvus, tās var nodot nefinanšu aktīvus publiskai sabiedrībai, cerot tādējādi saņemt lielāku ekonomisko peļņu, jo tiek uzskatīts, ka sabiedrība spēs efektīvāk pārvaldīt šos aktīvus. Turklāt šī nodošana var ietilpt plašākā pasākumu pakotnē, ar kuriem tiek mainīti daži aspekti attiecībās starp valdību un sabiedrību (piemēram, tiek ieviesti </w:t>
      </w:r>
      <w:r w:rsidRPr="00B03B51">
        <w:rPr>
          <w:rFonts w:ascii="Times New Roman" w:hAnsi="Times New Roman" w:cs="Times New Roman"/>
          <w:sz w:val="24"/>
        </w:rPr>
        <w:lastRenderedPageBreak/>
        <w:t>jauni pienākumi, tiesības un prasības) vai izveidotas jaunas vienības.</w:t>
      </w:r>
    </w:p>
    <w:p w14:paraId="3A9F65A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00CBD2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Šo situāciju var uzskatīt par nefinanšu aktīva maiņu pret finanšu aktīvu (valdības pašu kapitāls publiskā sabiedrībā). Iepriekš izklāstītajā gadījumā darījums nav jāieraksta. Tā vietā nodotais aktīvs ir jāieraksta sabiedrības bilancē (un attiecīgi jādzēš no valdības bilances), šim nolūkam izmantojot kontu, kurā reģistrē citas pārmaiņas aktīvu apjomā (K.61), skat. EKS 2010 20.203. punktu un EKS 2010 6.19. punktu.</w:t>
      </w:r>
    </w:p>
    <w:p w14:paraId="53C114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44E6B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Šajā gadījumā, tāpat kā iepriekš minētajā gadījumā, neto aizdevums/aizņēmums (B.9) netiek ietekmēts. Arī neto vērtība netiek ietekmēta, jo ieraksta divas vienāda apmēra plūsmas, kuras līdzsvaro kontā “Citas aktīvu pārmaiņas”.</w:t>
      </w:r>
    </w:p>
    <w:p w14:paraId="3B537E01" w14:textId="77777777" w:rsidR="00994F93" w:rsidRPr="00B03B51" w:rsidRDefault="00994F93" w:rsidP="00994F93">
      <w:pPr>
        <w:jc w:val="both"/>
        <w:rPr>
          <w:rFonts w:ascii="Times New Roman" w:hAnsi="Times New Roman" w:cs="Times New Roman"/>
          <w:noProof/>
          <w:sz w:val="24"/>
        </w:rPr>
      </w:pPr>
    </w:p>
    <w:p w14:paraId="0D15B473"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41" w:name="3.4.3_Rationale_of_the_treatment"/>
      <w:bookmarkStart w:id="242" w:name="_Toc67565099"/>
      <w:bookmarkEnd w:id="241"/>
      <w:r w:rsidRPr="00B03B51">
        <w:rPr>
          <w:rFonts w:ascii="Times New Roman" w:hAnsi="Times New Roman" w:cs="Times New Roman"/>
          <w:sz w:val="24"/>
        </w:rPr>
        <w:t>3.4.3. Traktējuma pamatojums</w:t>
      </w:r>
      <w:bookmarkEnd w:id="242"/>
    </w:p>
    <w:p w14:paraId="14B84937" w14:textId="77777777" w:rsidR="00994F93" w:rsidRPr="00721944" w:rsidRDefault="00994F93" w:rsidP="00721944">
      <w:pPr>
        <w:rPr>
          <w:rFonts w:ascii="Times New Roman" w:hAnsi="Times New Roman" w:cs="Times New Roman"/>
          <w:noProof/>
          <w:sz w:val="24"/>
          <w:szCs w:val="24"/>
        </w:rPr>
      </w:pPr>
      <w:bookmarkStart w:id="243" w:name="3.4.3.1_For_treatment_as_investment_gran"/>
      <w:bookmarkEnd w:id="243"/>
    </w:p>
    <w:p w14:paraId="7CDD879D"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3.4.3.1. LAI TRAKTĒTU KĀ IEGULDĪJUMU DOTĀCIJU</w:t>
      </w:r>
    </w:p>
    <w:p w14:paraId="59A87A8F" w14:textId="77777777" w:rsidR="00994F93" w:rsidRPr="00B03B51" w:rsidRDefault="00994F93" w:rsidP="00994F93">
      <w:pPr>
        <w:tabs>
          <w:tab w:val="left" w:pos="843"/>
        </w:tabs>
        <w:jc w:val="both"/>
        <w:rPr>
          <w:rFonts w:ascii="Times New Roman" w:hAnsi="Times New Roman" w:cs="Times New Roman"/>
          <w:b/>
          <w:noProof/>
          <w:sz w:val="24"/>
        </w:rPr>
      </w:pPr>
    </w:p>
    <w:p w14:paraId="2F72A8C6" w14:textId="77777777" w:rsidR="00994F93" w:rsidRPr="00B03B51" w:rsidRDefault="00994F93" w:rsidP="00994F93">
      <w:pPr>
        <w:tabs>
          <w:tab w:val="left" w:pos="843"/>
        </w:tabs>
        <w:jc w:val="both"/>
        <w:rPr>
          <w:rFonts w:ascii="Times New Roman" w:hAnsi="Times New Roman" w:cs="Times New Roman"/>
          <w:i/>
          <w:noProof/>
          <w:sz w:val="24"/>
        </w:rPr>
      </w:pPr>
      <w:r w:rsidRPr="00B03B51">
        <w:rPr>
          <w:rFonts w:ascii="Times New Roman" w:hAnsi="Times New Roman" w:cs="Times New Roman"/>
          <w:bCs/>
          <w:sz w:val="24"/>
        </w:rPr>
        <w:t xml:space="preserve">10. </w:t>
      </w:r>
      <w:r w:rsidRPr="00B03B51">
        <w:rPr>
          <w:rFonts w:ascii="Times New Roman" w:hAnsi="Times New Roman" w:cs="Times New Roman"/>
          <w:b/>
          <w:sz w:val="24"/>
        </w:rPr>
        <w:t xml:space="preserve">EKS 2010 1.70. punktā noteikts: </w:t>
      </w:r>
      <w:r w:rsidRPr="00B03B51">
        <w:rPr>
          <w:rFonts w:ascii="Times New Roman" w:hAnsi="Times New Roman" w:cs="Times New Roman"/>
          <w:i/>
          <w:sz w:val="24"/>
        </w:rPr>
        <w:t>Sistēma visus darījumus ieraksta naudas izteiksmē. Tāpēc vērtības, kas jāieraksta par beznaudas darījumiem, jāmēra netieši vai jāaplēš citā veidā.</w:t>
      </w:r>
    </w:p>
    <w:p w14:paraId="5CC19230" w14:textId="77777777" w:rsidR="00994F93" w:rsidRPr="00B03B51" w:rsidRDefault="00994F93" w:rsidP="00994F93">
      <w:pPr>
        <w:tabs>
          <w:tab w:val="left" w:pos="843"/>
        </w:tabs>
        <w:jc w:val="both"/>
        <w:rPr>
          <w:rFonts w:ascii="Times New Roman" w:hAnsi="Times New Roman" w:cs="Times New Roman"/>
          <w:b/>
          <w:noProof/>
          <w:sz w:val="24"/>
        </w:rPr>
      </w:pPr>
    </w:p>
    <w:p w14:paraId="0912289D"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bCs/>
          <w:sz w:val="24"/>
        </w:rPr>
        <w:t xml:space="preserve">11. </w:t>
      </w:r>
      <w:r w:rsidRPr="00B03B51">
        <w:rPr>
          <w:rFonts w:ascii="Times New Roman" w:hAnsi="Times New Roman" w:cs="Times New Roman"/>
          <w:b/>
          <w:bCs/>
          <w:sz w:val="24"/>
        </w:rPr>
        <w:t>EKS 2010 4.145. punkts:</w:t>
      </w:r>
      <w:r w:rsidRPr="00B03B51">
        <w:rPr>
          <w:rFonts w:ascii="Times New Roman" w:hAnsi="Times New Roman" w:cs="Times New Roman"/>
          <w:sz w:val="24"/>
        </w:rPr>
        <w:t xml:space="preserve"> </w:t>
      </w:r>
      <w:r w:rsidRPr="00B03B51">
        <w:rPr>
          <w:rFonts w:ascii="Times New Roman" w:hAnsi="Times New Roman" w:cs="Times New Roman"/>
          <w:i/>
          <w:sz w:val="24"/>
        </w:rPr>
        <w:t xml:space="preserve">Kapitāla pārvedumiem nepieciešams, lai vismaz viena darījumā iesaistītā puse iegādājas vai atsavina aktīvu vai aktīvus. </w:t>
      </w:r>
      <w:r w:rsidRPr="00B03B51">
        <w:rPr>
          <w:rFonts w:ascii="Times New Roman" w:hAnsi="Times New Roman" w:cs="Times New Roman"/>
          <w:i/>
          <w:iCs/>
          <w:sz w:val="24"/>
        </w:rPr>
        <w:t>Neatkarīgi no tā, vai tie veikti naudā vai natūrā, kapitāla pārvedumu rezultātā rodas samērīgas pārmaiņas finanšu vai nefinanšu aktīvos, kas tiek uzrādītas vienas vai abu darījumā iesaistīto pušu bilancēs</w:t>
      </w:r>
      <w:r w:rsidRPr="00B03B51">
        <w:rPr>
          <w:rFonts w:ascii="Times New Roman" w:hAnsi="Times New Roman" w:cs="Times New Roman"/>
          <w:sz w:val="24"/>
        </w:rPr>
        <w:t>.</w:t>
      </w:r>
    </w:p>
    <w:p w14:paraId="18ACB51A" w14:textId="77777777" w:rsidR="00994F93" w:rsidRPr="00B03B51" w:rsidRDefault="00994F93" w:rsidP="00994F93">
      <w:pPr>
        <w:tabs>
          <w:tab w:val="left" w:pos="843"/>
        </w:tabs>
        <w:jc w:val="both"/>
        <w:rPr>
          <w:rFonts w:ascii="Times New Roman" w:hAnsi="Times New Roman" w:cs="Times New Roman"/>
          <w:b/>
          <w:noProof/>
          <w:sz w:val="24"/>
        </w:rPr>
      </w:pPr>
    </w:p>
    <w:p w14:paraId="34AC6469"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bCs/>
          <w:sz w:val="24"/>
        </w:rPr>
        <w:t xml:space="preserve">12. </w:t>
      </w:r>
      <w:r w:rsidRPr="00B03B51">
        <w:rPr>
          <w:rFonts w:ascii="Times New Roman" w:hAnsi="Times New Roman" w:cs="Times New Roman"/>
          <w:b/>
          <w:bCs/>
          <w:sz w:val="24"/>
        </w:rPr>
        <w:t>EKS 2010 4.146. punkts:</w:t>
      </w:r>
      <w:r w:rsidRPr="00B03B51">
        <w:rPr>
          <w:rFonts w:ascii="Times New Roman" w:hAnsi="Times New Roman" w:cs="Times New Roman"/>
          <w:sz w:val="24"/>
        </w:rPr>
        <w:t xml:space="preserve"> </w:t>
      </w:r>
      <w:r w:rsidRPr="00B03B51">
        <w:rPr>
          <w:rFonts w:ascii="Times New Roman" w:hAnsi="Times New Roman" w:cs="Times New Roman"/>
          <w:i/>
          <w:iCs/>
          <w:sz w:val="24"/>
        </w:rPr>
        <w:t>Kapitāla pārvedumu natūrā veido aktīva (izņemot inventāra un naudas) īpašumtiesību maiņa vai kreditora anulētas saistības, par to nesaņemot nekādu pretvērtību</w:t>
      </w:r>
      <w:r w:rsidRPr="00B03B51">
        <w:rPr>
          <w:rFonts w:ascii="Times New Roman" w:hAnsi="Times New Roman" w:cs="Times New Roman"/>
          <w:sz w:val="24"/>
        </w:rPr>
        <w:t>.</w:t>
      </w:r>
    </w:p>
    <w:p w14:paraId="5494F24D" w14:textId="77777777" w:rsidR="00994F93" w:rsidRPr="00B03B51" w:rsidRDefault="00994F93" w:rsidP="00994F93">
      <w:pPr>
        <w:tabs>
          <w:tab w:val="left" w:pos="843"/>
        </w:tabs>
        <w:jc w:val="both"/>
        <w:rPr>
          <w:rFonts w:ascii="Times New Roman" w:hAnsi="Times New Roman" w:cs="Times New Roman"/>
          <w:b/>
          <w:noProof/>
          <w:sz w:val="24"/>
        </w:rPr>
      </w:pPr>
    </w:p>
    <w:p w14:paraId="71204BDC"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bCs/>
          <w:sz w:val="24"/>
        </w:rPr>
        <w:t xml:space="preserve">13. </w:t>
      </w:r>
      <w:r w:rsidRPr="00B03B51">
        <w:rPr>
          <w:rFonts w:ascii="Times New Roman" w:hAnsi="Times New Roman" w:cs="Times New Roman"/>
          <w:b/>
          <w:bCs/>
          <w:sz w:val="24"/>
        </w:rPr>
        <w:t>EKS 2010 4.153. punkts:</w:t>
      </w:r>
      <w:r w:rsidRPr="00B03B51">
        <w:rPr>
          <w:rFonts w:ascii="Times New Roman" w:hAnsi="Times New Roman" w:cs="Times New Roman"/>
          <w:sz w:val="24"/>
        </w:rPr>
        <w:t xml:space="preserve"> </w:t>
      </w:r>
      <w:r w:rsidRPr="00B03B51">
        <w:rPr>
          <w:rFonts w:ascii="Times New Roman" w:hAnsi="Times New Roman" w:cs="Times New Roman"/>
          <w:i/>
          <w:iCs/>
          <w:sz w:val="24"/>
        </w:rPr>
        <w:t>Ieguldījumu dotācijas natūrā veido valdību veikti transportlīdzekļu, mašīnu un citu iekārtu pārvedumi citām rezidentu vai nerezidentu vienībām, kā arī tieša ēku un citu celtņu nodrošināšana rezidentu vai nerezidentu vienībām</w:t>
      </w:r>
      <w:r w:rsidRPr="00B03B51">
        <w:rPr>
          <w:rFonts w:ascii="Times New Roman" w:hAnsi="Times New Roman" w:cs="Times New Roman"/>
          <w:sz w:val="24"/>
        </w:rPr>
        <w:t>.</w:t>
      </w:r>
    </w:p>
    <w:p w14:paraId="7F0B399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CAD74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Iepriekš minētie punkti norāda, ka atbilstoši EKS 2010 pamatlīdzekļa dāvinājumu var ierakstīt kā kapitāla pārvedumu natūrā (var izmantot arī pieeju, kas ir līdzvērtīga saistībā ar ietekmi uz uzskaiti, proti, kapitāla pārvedumu uzskata par nosacītu līdzekļu plūsmu, ko sabiedrība izmanto, lai iegādātos aktīvus no valdības).</w:t>
      </w:r>
    </w:p>
    <w:p w14:paraId="55491B77" w14:textId="77777777" w:rsidR="00994F93" w:rsidRPr="00B03B51" w:rsidRDefault="00994F93" w:rsidP="00994F93">
      <w:pPr>
        <w:jc w:val="both"/>
        <w:rPr>
          <w:rFonts w:ascii="Times New Roman" w:eastAsia="Arial" w:hAnsi="Times New Roman" w:cs="Times New Roman"/>
          <w:noProof/>
          <w:sz w:val="24"/>
          <w:szCs w:val="15"/>
        </w:rPr>
      </w:pPr>
    </w:p>
    <w:p w14:paraId="70AF85DC"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44" w:name="3.4.3.2_For_treatment_in_other_flow_acco"/>
      <w:bookmarkEnd w:id="244"/>
      <w:r w:rsidRPr="00B03B51">
        <w:rPr>
          <w:rFonts w:ascii="Times New Roman" w:hAnsi="Times New Roman" w:cs="Times New Roman"/>
          <w:sz w:val="24"/>
        </w:rPr>
        <w:t>3.4.3.2. LAI TRAKTĒTU CITOS PLŪSMAS KONTOS</w:t>
      </w:r>
    </w:p>
    <w:p w14:paraId="18AF3C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5BAD7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Aktīvu un saistību pārstrukturēšana, šim nolūkam izmantojot ievērojamu aktīvu pārvedumu, atšķiras no darījumiem šā termina ierastajā nozīmē un, jebkurā gadījumā, no vienkāršas aktīva piešķiršanas.</w:t>
      </w:r>
    </w:p>
    <w:p w14:paraId="3BF516C8" w14:textId="77777777" w:rsidR="00994F93" w:rsidRPr="00B03B51" w:rsidRDefault="00994F93" w:rsidP="00994F93">
      <w:pPr>
        <w:tabs>
          <w:tab w:val="left" w:pos="843"/>
        </w:tabs>
        <w:jc w:val="both"/>
        <w:rPr>
          <w:rFonts w:ascii="Times New Roman" w:hAnsi="Times New Roman" w:cs="Times New Roman"/>
          <w:b/>
          <w:noProof/>
          <w:sz w:val="24"/>
        </w:rPr>
      </w:pPr>
    </w:p>
    <w:p w14:paraId="4477CB8D"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bCs/>
          <w:sz w:val="24"/>
        </w:rPr>
        <w:t xml:space="preserve">16. </w:t>
      </w:r>
      <w:r w:rsidRPr="00B03B51">
        <w:rPr>
          <w:rFonts w:ascii="Times New Roman" w:hAnsi="Times New Roman" w:cs="Times New Roman"/>
          <w:b/>
          <w:bCs/>
          <w:sz w:val="24"/>
        </w:rPr>
        <w:t>EKS 2010 6.20. punkts:</w:t>
      </w:r>
      <w:r w:rsidRPr="00B03B51">
        <w:rPr>
          <w:rFonts w:ascii="Times New Roman" w:hAnsi="Times New Roman" w:cs="Times New Roman"/>
          <w:sz w:val="24"/>
        </w:rPr>
        <w:t xml:space="preserve"> </w:t>
      </w:r>
      <w:r w:rsidRPr="00B03B51">
        <w:rPr>
          <w:rFonts w:ascii="Times New Roman" w:hAnsi="Times New Roman" w:cs="Times New Roman"/>
          <w:i/>
          <w:iCs/>
          <w:sz w:val="24"/>
        </w:rPr>
        <w:t>Ja sabiedrību juridiski sadala divās vai vairākās institucionālās vienībās, finanšu aktīvu un saistību rašanos ieraksta kā sektoru klasifikācijas un struktūras pārmaiņas</w:t>
      </w:r>
      <w:r w:rsidRPr="00B03B51">
        <w:rPr>
          <w:rFonts w:ascii="Times New Roman" w:hAnsi="Times New Roman" w:cs="Times New Roman"/>
          <w:sz w:val="24"/>
        </w:rPr>
        <w:t>.</w:t>
      </w:r>
    </w:p>
    <w:p w14:paraId="42C8B258" w14:textId="77777777" w:rsidR="00994F93" w:rsidRPr="00B03B51" w:rsidRDefault="00994F93" w:rsidP="00994F93">
      <w:pPr>
        <w:tabs>
          <w:tab w:val="left" w:pos="843"/>
        </w:tabs>
        <w:jc w:val="both"/>
        <w:rPr>
          <w:rFonts w:ascii="Times New Roman" w:hAnsi="Times New Roman" w:cs="Times New Roman"/>
          <w:b/>
          <w:noProof/>
          <w:sz w:val="24"/>
        </w:rPr>
      </w:pPr>
    </w:p>
    <w:p w14:paraId="286EB6CF"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bCs/>
          <w:sz w:val="24"/>
        </w:rPr>
        <w:t xml:space="preserve">17. </w:t>
      </w:r>
      <w:r w:rsidRPr="00B03B51">
        <w:rPr>
          <w:rFonts w:ascii="Times New Roman" w:hAnsi="Times New Roman" w:cs="Times New Roman"/>
          <w:b/>
          <w:bCs/>
          <w:sz w:val="24"/>
        </w:rPr>
        <w:t>EKS 2010 6.19. punkts:</w:t>
      </w:r>
      <w:r w:rsidRPr="00B03B51">
        <w:rPr>
          <w:rFonts w:ascii="Times New Roman" w:hAnsi="Times New Roman" w:cs="Times New Roman"/>
          <w:sz w:val="24"/>
        </w:rPr>
        <w:t xml:space="preserve"> </w:t>
      </w:r>
      <w:r w:rsidRPr="00B03B51">
        <w:rPr>
          <w:rFonts w:ascii="Times New Roman" w:hAnsi="Times New Roman" w:cs="Times New Roman"/>
          <w:i/>
          <w:iCs/>
          <w:sz w:val="24"/>
        </w:rPr>
        <w:t>Institucionālo vienību struktūras pārmaiņas ietver noteiktu finanšu aktīvu un saistību rašanos un izzušanu, kas rodas no uzņēmumu pārstrukturēšanas</w:t>
      </w:r>
      <w:r w:rsidRPr="00B03B51">
        <w:rPr>
          <w:rFonts w:ascii="Times New Roman" w:hAnsi="Times New Roman" w:cs="Times New Roman"/>
          <w:sz w:val="24"/>
        </w:rPr>
        <w:t>.</w:t>
      </w:r>
    </w:p>
    <w:p w14:paraId="3A67D8B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CF119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Pozīcija “Sektoru klasifikācijas un struktūras pārmaiņas” (K.61), šķiet, arī ir piemērojama </w:t>
      </w:r>
      <w:r w:rsidRPr="00B03B51">
        <w:rPr>
          <w:rFonts w:ascii="Times New Roman" w:hAnsi="Times New Roman" w:cs="Times New Roman"/>
          <w:sz w:val="24"/>
        </w:rPr>
        <w:lastRenderedPageBreak/>
        <w:t>nefinanšu aktīviem. Pieņem, ka “struktūras pārmaiņas” ietver būtiskas izmaiņas vienības bilancē, ja tās sakrīt ar citām izmaiņām, piemēram, ar izmaiņām vienības funkcijās.</w:t>
      </w:r>
    </w:p>
    <w:p w14:paraId="0859FEC2" w14:textId="77777777" w:rsidR="00994F93" w:rsidRPr="00B03B51" w:rsidRDefault="00994F93" w:rsidP="00994F93">
      <w:pPr>
        <w:jc w:val="both"/>
        <w:rPr>
          <w:rFonts w:ascii="Times New Roman" w:eastAsia="Arial" w:hAnsi="Times New Roman" w:cs="Times New Roman"/>
          <w:noProof/>
          <w:sz w:val="24"/>
          <w:szCs w:val="15"/>
        </w:rPr>
      </w:pPr>
    </w:p>
    <w:p w14:paraId="7F8F0A73"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45" w:name="3.4.3.3_Comment_on_recording_the_event_a"/>
      <w:bookmarkEnd w:id="245"/>
      <w:r w:rsidRPr="00B03B51">
        <w:rPr>
          <w:rFonts w:ascii="Times New Roman" w:hAnsi="Times New Roman" w:cs="Times New Roman"/>
          <w:sz w:val="24"/>
        </w:rPr>
        <w:t>3.4.3.3. KOMENTĀRS PAR DARĪJUMA IERAKSTĪŠANU POZĪCIJĀ F.5 KĀ IEGULDĪJUMU CITĀ PAŠU KAPITĀLĀ</w:t>
      </w:r>
    </w:p>
    <w:p w14:paraId="2D90E3E7"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p>
    <w:p w14:paraId="2A83CDCA"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Citu ieguldījumu pašu kapitālā nav atbilstoši ierakstīt finanšu kontā. Pozīciju F.519 (cits pašu kapitāls = kapitāls, kas nav apliecināts ar akcijām) nacionālajos kontos drīkst izmantot tikai dažos skaidri noteiktos gadījumos. Šāds traktējums mākslīgi uzlabotu valdības neto aizdevumu/aizņēmumu (B.9) (ar ekvivalentu darījuma starpniecību pozīcijās P.51g vai NP).</w:t>
      </w:r>
    </w:p>
    <w:p w14:paraId="1D7A930E"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p>
    <w:p w14:paraId="02683D4E"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Turklāt, pat ja no uzskaites viedokļa šāda rīcība nebūtu nepareiza, tai nebūtu ekonomiska satura. Faktiski, ja vienībai ir neto aizņēmums (deficīts), tas nozīmē, ka ir pastāvējis līdzekļu iztrūkums, kas, iespējams, bijis jāfinansē, samazinot vienības aktīvus. Šajā situācijā cita pašu kapitāla rašanās ir diezgan automātiska, un to atbilstošāk ir ierakstīt kontā “Citas pārmaiņas aktīvu apjomā”.</w:t>
      </w:r>
    </w:p>
    <w:p w14:paraId="74049C2B" w14:textId="77777777" w:rsidR="00994F93" w:rsidRPr="00B03B51" w:rsidRDefault="00994F93" w:rsidP="00994F93">
      <w:pPr>
        <w:jc w:val="both"/>
        <w:rPr>
          <w:rFonts w:ascii="Times New Roman" w:eastAsia="Arial" w:hAnsi="Times New Roman" w:cs="Times New Roman"/>
          <w:noProof/>
          <w:sz w:val="24"/>
          <w:szCs w:val="20"/>
        </w:rPr>
      </w:pPr>
    </w:p>
    <w:p w14:paraId="6FE81EB9"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46" w:name="3.4.4_Accounting_examples"/>
      <w:bookmarkStart w:id="247" w:name="_Toc67565100"/>
      <w:bookmarkEnd w:id="246"/>
      <w:r w:rsidRPr="00B03B51">
        <w:rPr>
          <w:rFonts w:ascii="Times New Roman" w:hAnsi="Times New Roman" w:cs="Times New Roman"/>
          <w:sz w:val="24"/>
        </w:rPr>
        <w:t>3.4.4. Uzskaites piemēri</w:t>
      </w:r>
      <w:bookmarkEnd w:id="247"/>
    </w:p>
    <w:p w14:paraId="36EF8EC7"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F452D9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Turpmākajā piemērā tiek pieņemts, ka valdība nodod publiskai sabiedrībai ēku, kuras vērtība ir 100. Pirmajā gadījumā tas nepārprotami ir dāvinājums un nav nekādu saistītu notikumu, un valsts arī necer uz īpašuma ienākuma palielināšanos, kas varētu rasties šā aktīva nodošanas rezultātā. Otrajā gadījumā šā aktīva nodošana ir daļa no dažu tādu pakalpojumu sniegšanas reorganizācijas, kuros sabiedrība ir iesaistīta.</w:t>
      </w:r>
    </w:p>
    <w:p w14:paraId="3BF34776" w14:textId="77777777" w:rsidR="00994F93" w:rsidRPr="00B03B51" w:rsidRDefault="00994F93" w:rsidP="00994F93">
      <w:pPr>
        <w:jc w:val="both"/>
        <w:rPr>
          <w:rFonts w:ascii="Times New Roman" w:hAnsi="Times New Roman" w:cs="Times New Roman"/>
          <w:noProof/>
          <w:sz w:val="24"/>
        </w:rPr>
      </w:pPr>
    </w:p>
    <w:p w14:paraId="7F093D86"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Kapitāla pārveduma un kapitāla veidošanas ierakstīšana</w:t>
      </w:r>
    </w:p>
    <w:p w14:paraId="208A3EB5" w14:textId="77777777" w:rsidR="00994F93" w:rsidRPr="00B03B51" w:rsidRDefault="00994F93" w:rsidP="00994F93">
      <w:pPr>
        <w:jc w:val="both"/>
        <w:rPr>
          <w:rFonts w:ascii="Times New Roman" w:eastAsia="Arial" w:hAnsi="Times New Roman" w:cs="Times New Roman"/>
          <w:b/>
          <w:bCs/>
          <w:noProof/>
          <w:sz w:val="24"/>
          <w:szCs w:val="21"/>
        </w:rPr>
      </w:pPr>
    </w:p>
    <w:p w14:paraId="7294777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Turpmākajā piemērā tiek pieņemts, ka kapitāla pārveduma dēļ, pirmkārt, palielinās publiska uzņēmuma neto vērtība. Pēc tam ir iespējams pieņemt, ka šo neto vērtības palielinājumu ar pārvērtēšanas konta starpniecību “absorbē” ekvivalents palielinājums valdības pašu kapitālā, kas tai pieder publiskajā uzņēmumā; šis otrais solis šeit nav apspriests. Turklāt beigu bilancē pārmaiņas ir uzrādītas vienīgi neto vērtībā.</w:t>
      </w:r>
    </w:p>
    <w:p w14:paraId="44B949DC" w14:textId="77777777" w:rsidR="00994F93" w:rsidRPr="00B03B51" w:rsidRDefault="00994F93" w:rsidP="00994F93">
      <w:pPr>
        <w:jc w:val="both"/>
        <w:rPr>
          <w:rFonts w:ascii="Times New Roman" w:eastAsia="Arial" w:hAnsi="Times New Roman" w:cs="Times New Roman"/>
          <w:noProof/>
          <w:sz w:val="24"/>
          <w:szCs w:val="20"/>
        </w:rPr>
      </w:pPr>
    </w:p>
    <w:p w14:paraId="1353472E" w14:textId="75E95FA4" w:rsidR="00994F93" w:rsidRPr="00B03B51" w:rsidRDefault="00A330D7" w:rsidP="008A7C35">
      <w:pPr>
        <w:jc w:val="center"/>
        <w:rPr>
          <w:rFonts w:ascii="Times New Roman" w:eastAsia="Arial" w:hAnsi="Times New Roman" w:cs="Times New Roman"/>
          <w:noProof/>
          <w:sz w:val="24"/>
          <w:szCs w:val="20"/>
        </w:rPr>
      </w:pPr>
      <w:r w:rsidRPr="00B03B51">
        <w:rPr>
          <w:rFonts w:ascii="Times New Roman" w:eastAsia="Arial" w:hAnsi="Times New Roman" w:cs="Times New Roman"/>
          <w:noProof/>
          <w:sz w:val="24"/>
          <w:szCs w:val="20"/>
        </w:rPr>
        <w:lastRenderedPageBreak/>
        <w:drawing>
          <wp:inline distT="0" distB="0" distL="0" distR="0" wp14:anchorId="0294EB7D" wp14:editId="1CE202B2">
            <wp:extent cx="5760085" cy="62763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6276340"/>
                    </a:xfrm>
                    <a:prstGeom prst="rect">
                      <a:avLst/>
                    </a:prstGeom>
                    <a:noFill/>
                    <a:ln>
                      <a:noFill/>
                    </a:ln>
                  </pic:spPr>
                </pic:pic>
              </a:graphicData>
            </a:graphic>
          </wp:inline>
        </w:drawing>
      </w:r>
    </w:p>
    <w:p w14:paraId="3492A555"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br w:type="page"/>
      </w:r>
    </w:p>
    <w:p w14:paraId="78DD73EF" w14:textId="77777777" w:rsidR="00994F93" w:rsidRPr="00B03B51" w:rsidRDefault="00994F93" w:rsidP="00994F93">
      <w:pPr>
        <w:jc w:val="both"/>
        <w:rPr>
          <w:rFonts w:ascii="Times New Roman" w:eastAsia="Arial" w:hAnsi="Times New Roman" w:cs="Times New Roman"/>
          <w:noProof/>
          <w:sz w:val="24"/>
          <w:szCs w:val="20"/>
        </w:rPr>
      </w:pPr>
    </w:p>
    <w:p w14:paraId="62B591A8"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248" w:name="3.5_Dividends,_super-dividends,_interim_"/>
      <w:bookmarkStart w:id="249" w:name="_bookmark25"/>
      <w:bookmarkStart w:id="250" w:name="_Toc67565101"/>
      <w:bookmarkEnd w:id="248"/>
      <w:bookmarkEnd w:id="249"/>
      <w:r w:rsidRPr="00B03B51">
        <w:rPr>
          <w:rFonts w:ascii="Times New Roman" w:hAnsi="Times New Roman" w:cs="Times New Roman"/>
          <w:sz w:val="28"/>
          <w:szCs w:val="44"/>
        </w:rPr>
        <w:t>3.5. Dividendes, superdividendes, starpperioda dividendes</w:t>
      </w:r>
      <w:bookmarkEnd w:id="250"/>
    </w:p>
    <w:p w14:paraId="6AA1C15B" w14:textId="77777777" w:rsidR="00994F93" w:rsidRPr="00100B51" w:rsidRDefault="00994F93" w:rsidP="00100B51">
      <w:pPr>
        <w:rPr>
          <w:rFonts w:ascii="Times New Roman" w:hAnsi="Times New Roman" w:cs="Times New Roman"/>
          <w:noProof/>
          <w:sz w:val="24"/>
          <w:szCs w:val="24"/>
        </w:rPr>
      </w:pPr>
      <w:bookmarkStart w:id="251" w:name="3.5.1_Background"/>
      <w:bookmarkEnd w:id="251"/>
    </w:p>
    <w:p w14:paraId="5A83AC67"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52" w:name="_Toc67565102"/>
      <w:r w:rsidRPr="00B03B51">
        <w:rPr>
          <w:rFonts w:ascii="Times New Roman" w:hAnsi="Times New Roman" w:cs="Times New Roman"/>
          <w:sz w:val="24"/>
        </w:rPr>
        <w:t>3.5.1. Vispārīga informācija</w:t>
      </w:r>
      <w:bookmarkEnd w:id="252"/>
    </w:p>
    <w:p w14:paraId="0879DE4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6515B7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 Maksājumus, kurus valsts komercsabiedrības veic valdībai kā akcionāram, parasti dēvē par “dividendēm”, atsaucoties uz komerctiesībām un saimnieciskās darbības grāmatvedības uzskaiti.</w:t>
      </w:r>
      <w:r w:rsidRPr="00B03B51">
        <w:rPr>
          <w:rStyle w:val="FootnoteReference"/>
          <w:rFonts w:ascii="Times New Roman" w:hAnsi="Times New Roman" w:cs="Times New Roman"/>
          <w:noProof/>
          <w:sz w:val="24"/>
        </w:rPr>
        <w:footnoteReference w:id="157"/>
      </w:r>
      <w:r w:rsidRPr="00B03B51">
        <w:rPr>
          <w:rFonts w:ascii="Times New Roman" w:hAnsi="Times New Roman" w:cs="Times New Roman"/>
          <w:sz w:val="24"/>
          <w:szCs w:val="12"/>
        </w:rPr>
        <w:t xml:space="preserve"> </w:t>
      </w:r>
      <w:r w:rsidRPr="00B03B51">
        <w:rPr>
          <w:rFonts w:ascii="Times New Roman" w:hAnsi="Times New Roman" w:cs="Times New Roman"/>
          <w:sz w:val="24"/>
        </w:rPr>
        <w:t>Lielākajā daļā gadījumu EKS šos starpposma maksājumus ieraksta arī kā īpašuma ienākumu (dividendes, D.42). Šajā nodaļā apspriests jautājums par to, vai pastāv tādi publisku sabiedrību veikti maksājumi valdībai, kuriem saistībā ar makroekonomikas statistiku ir nepieciešams atšķirīgs traktējums EKS, lai arī saimnieciskās darbības grāmatvedības uzskaitē tos var kvalificēt kā dividendes, t. i., vai tie ir jāieraksta atšķirīgi no īpašuma ienākuma. Turpmākos noteikumus parasti nepiemēro attiecībā uz privātu sabiedrību veiktiem dividenžu maksājumiem, kad valdība ir mazākuma akcionārs, ja vien nav pierādījumu, ka valdībai ir bijusi izšķiroša ietekme uz ienākumu piešķiršanu un sadali.</w:t>
      </w:r>
      <w:r w:rsidRPr="00B03B51">
        <w:rPr>
          <w:rStyle w:val="FootnoteReference"/>
          <w:rFonts w:ascii="Times New Roman" w:hAnsi="Times New Roman" w:cs="Times New Roman"/>
          <w:noProof/>
          <w:sz w:val="24"/>
        </w:rPr>
        <w:footnoteReference w:id="158"/>
      </w:r>
    </w:p>
    <w:p w14:paraId="3A2E4F2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A0499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Īpaši svarīgi var būt divi jautājumi, kas skar darījuma būtību un attiecīgi arī EKS paredzēto maksājuma klasifikāciju: maksājuma lielums saistībā ar sabiedrības uzkrāto peļņu un maksājuma laiks, turklāt dažkārt ir jāņem vērā abi šie jautājumi.</w:t>
      </w:r>
    </w:p>
    <w:p w14:paraId="2934E4D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D3B55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Dividendes tiek izmaksātas un ierakstītas sabiedrības kontos, kad to nolemj sabiedrības īpašnieki (parasti tam nepieciešams valdes priekšlikums un lielākās akcionāru sapulces daļas apstiprinājums), parasti pamatojoties uz pārskata gadā gūtajiem ienākumiem. Šāds lēmums parasti tiek pieņemts nākamajā gadā pēc gūto ienākumu pārskata gada, kad attiecībā uz šo gadu ir apstiprināti pārskati. Tomēr nereti (jo īpaši tādu lielu sabiedrību gadījumā, kas sagatavo pusgada vai ceturkšņa pārskatus vai regulāri publicē paziņojumus par ienākumiem) starpperioda dividendes tiek izmaksātas pārskata gadā, pirms ir zināmi galīgie gada ienākumi. Komercuzņēmumu grāmatvedībā šī ir bieži izmantota prakse. Līdzīga prakse ir arī dažām publiskām sabiedrībām (tostarp centrālajām bankām) ES. EKS 2010 ir skaidri izskatīts jautājums par starpperioda dividendēm.</w:t>
      </w:r>
    </w:p>
    <w:p w14:paraId="18599F4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140563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Vēl viens jautājums ir par maksājuma apmēru. Saskaņā ar ienākuma definīciju nacionālajos kontos lielu maksājumu var veikt kā atskaitījumu no sabiedrības iepriekš uzkrātajām rezervēm, kas iekļautas tās pašu līdzekļos, nevis no tās gada peļņas. Maksājumi, kurus veic valdībai gan pēc tam, kad ir zināma sabiedrības gada peļņa, gan arī pirms tam (starpposma maksājumi), ir rūpīgi jāanalizē, lai noteiktu, kā ierakstīt darījumus nacionālajos kontos.</w:t>
      </w:r>
    </w:p>
    <w:p w14:paraId="5C383347" w14:textId="77777777" w:rsidR="00994F93" w:rsidRPr="00B03B51" w:rsidRDefault="00994F93" w:rsidP="00994F93">
      <w:pPr>
        <w:jc w:val="both"/>
        <w:rPr>
          <w:rFonts w:ascii="Times New Roman" w:eastAsia="Arial" w:hAnsi="Times New Roman" w:cs="Times New Roman"/>
          <w:noProof/>
          <w:sz w:val="24"/>
          <w:szCs w:val="18"/>
        </w:rPr>
      </w:pPr>
    </w:p>
    <w:p w14:paraId="73140694"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53" w:name="3.5.2_Treatment_in_national_accounts"/>
      <w:bookmarkStart w:id="254" w:name="_Toc67565103"/>
      <w:bookmarkEnd w:id="253"/>
      <w:r w:rsidRPr="00B03B51">
        <w:rPr>
          <w:rFonts w:ascii="Times New Roman" w:hAnsi="Times New Roman" w:cs="Times New Roman"/>
          <w:sz w:val="24"/>
        </w:rPr>
        <w:t>3.5.2. Traktējums nacionālajos kontos</w:t>
      </w:r>
      <w:bookmarkEnd w:id="254"/>
    </w:p>
    <w:p w14:paraId="624D4929" w14:textId="77777777" w:rsidR="00994F93" w:rsidRPr="00721944" w:rsidRDefault="00994F93" w:rsidP="00721944">
      <w:pPr>
        <w:rPr>
          <w:rFonts w:ascii="Times New Roman" w:hAnsi="Times New Roman" w:cs="Times New Roman"/>
          <w:noProof/>
          <w:sz w:val="24"/>
          <w:szCs w:val="24"/>
        </w:rPr>
      </w:pPr>
      <w:bookmarkStart w:id="255" w:name="3.5.2.1_Dividends_and_super-dividends:_d"/>
      <w:bookmarkEnd w:id="255"/>
    </w:p>
    <w:p w14:paraId="49FC8B3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3.5.2.1. DIVIDENDES UN SUPERDIVIDENDES. DEFINĪCIJAS</w:t>
      </w:r>
    </w:p>
    <w:p w14:paraId="78760808" w14:textId="77777777" w:rsidR="00994F93" w:rsidRPr="00B03B51" w:rsidRDefault="00994F93" w:rsidP="00994F93">
      <w:pPr>
        <w:tabs>
          <w:tab w:val="left" w:pos="843"/>
        </w:tabs>
        <w:jc w:val="both"/>
        <w:rPr>
          <w:rFonts w:ascii="Times New Roman" w:hAnsi="Times New Roman" w:cs="Times New Roman"/>
          <w:noProof/>
          <w:sz w:val="24"/>
        </w:rPr>
      </w:pPr>
    </w:p>
    <w:p w14:paraId="631F248C"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5. Dividendes. EKS 2010 4.53. punktā noteikts: </w:t>
      </w:r>
      <w:r w:rsidRPr="00B03B51">
        <w:rPr>
          <w:rFonts w:ascii="Times New Roman" w:hAnsi="Times New Roman" w:cs="Times New Roman"/>
          <w:i/>
          <w:sz w:val="24"/>
        </w:rPr>
        <w:t>Dividendes (D.421) ir īpašuma ienākuma veids, ko ir tiesības saņemt akciju īpašniekiem (AF.5), piemēram, par sabiedrību rīcībā nodotajiem līdzekļiem</w:t>
      </w:r>
      <w:r w:rsidRPr="00B03B51">
        <w:rPr>
          <w:rFonts w:ascii="Times New Roman" w:hAnsi="Times New Roman" w:cs="Times New Roman"/>
          <w:sz w:val="24"/>
        </w:rPr>
        <w:t>.</w:t>
      </w:r>
    </w:p>
    <w:p w14:paraId="3CCA02A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CD37FF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EKS 2010 ir noteikti turpmākie principi.</w:t>
      </w:r>
    </w:p>
    <w:p w14:paraId="48E0869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8980540" w14:textId="77777777" w:rsidR="00994F93" w:rsidRPr="00B03B51" w:rsidRDefault="00994F93" w:rsidP="008A7C35">
      <w:pPr>
        <w:pStyle w:val="BodyText"/>
        <w:numPr>
          <w:ilvl w:val="1"/>
          <w:numId w:val="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Līdzekļi, kas vienībai (sabiedrībai) ir pieejami sadalei kā dividendes, (..) ir vienības sadalāmie ienākumi, kas atbilst uzņēmējdarbības ienākumiem (B.4), kam pieskaita visus saņemamos kārtējos pārvedumus un no kā atskaita visus maksājamos kārtējos pārvedumus un korekciju saistībā ar pensiju tiesību pārmaiņām (EKS 2010 4.55. punkts).</w:t>
      </w:r>
    </w:p>
    <w:p w14:paraId="2B0E6382" w14:textId="77777777" w:rsidR="00994F93" w:rsidRPr="00B03B51" w:rsidRDefault="00994F93" w:rsidP="008A7C35">
      <w:pPr>
        <w:pStyle w:val="BodyText"/>
        <w:numPr>
          <w:ilvl w:val="1"/>
          <w:numId w:val="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Ievērojot šādu loģiku, līdzekļos, no kuriem jāizmaksā dividendes, neiekļauj ne aktīvu pārdošanas ieņēmumus, ne turēšanas guvumus (..), kuri neietilpst sadalāmajos ienākumos.</w:t>
      </w:r>
    </w:p>
    <w:p w14:paraId="620C4459" w14:textId="77777777" w:rsidR="00994F93" w:rsidRPr="00B03B51" w:rsidRDefault="00994F93" w:rsidP="008A7C35">
      <w:pPr>
        <w:pStyle w:val="BodyText"/>
        <w:numPr>
          <w:ilvl w:val="1"/>
          <w:numId w:val="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No rezervēm veikts liels maksājums, samazinot komercsabiedrības pašu līdzekļus, nav ienākuma sadale. Šāds maksājums būtībā ir kapitāla izņemšana, ko ieraksta kā darījumu ar akcijām un citu pašu kapitālu.</w:t>
      </w:r>
    </w:p>
    <w:p w14:paraId="0BA6E72C" w14:textId="77777777" w:rsidR="00994F93" w:rsidRPr="00B03B51" w:rsidRDefault="00994F93" w:rsidP="008A7C35">
      <w:pPr>
        <w:pStyle w:val="BodyText"/>
        <w:numPr>
          <w:ilvl w:val="1"/>
          <w:numId w:val="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Praksē</w:t>
      </w:r>
      <w:r w:rsidRPr="00B03B51">
        <w:rPr>
          <w:rStyle w:val="FootnoteReference"/>
          <w:rFonts w:ascii="Times New Roman" w:hAnsi="Times New Roman" w:cs="Times New Roman"/>
          <w:noProof/>
          <w:sz w:val="24"/>
        </w:rPr>
        <w:footnoteReference w:id="159"/>
      </w:r>
      <w:r w:rsidRPr="00B03B51">
        <w:rPr>
          <w:rFonts w:ascii="Times New Roman" w:hAnsi="Times New Roman" w:cs="Times New Roman"/>
          <w:sz w:val="24"/>
        </w:rPr>
        <w:t xml:space="preserve"> attiecībā uz uzņēmējdarbības ienākumiem kā tuvinājumu var izmantot sabiedrības pamatdarbības peļņu vai pārpalikumu (tostarp neto procentu maksājumus, lai nodrošinātu atbilstību “B.4” jēdzienam, kas noteikts EKS 2010 8.26.–8.27. punktā).</w:t>
      </w:r>
      <w:r w:rsidRPr="00B03B51">
        <w:rPr>
          <w:rStyle w:val="FootnoteReference"/>
          <w:rFonts w:ascii="Times New Roman" w:hAnsi="Times New Roman" w:cs="Times New Roman"/>
          <w:noProof/>
          <w:sz w:val="24"/>
        </w:rPr>
        <w:footnoteReference w:id="160"/>
      </w:r>
    </w:p>
    <w:p w14:paraId="1CFF387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626BB0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Sabiedrības var izlīdzināt dividenžu summas, kuras tās izmaksā katru gadu. Vienā gadā tās var novirzīt daļu peļņas rezervēs un izmantot to nākamajā gadā, lai nodrošinātu akcionāriem kaut cik regulāru ienākumu no saviem ieguldījumiem (dividenžu izlīdzināšanu). Konceptuāli nacionālo kontu sistēmā ir pieņemami šādus izlīdzinātus maksājumus uzskatīt par dividendēm, jo tie faktiski iegūti no sadalāmiem ienākumiem (ar nosacījumu, ka sabiedrības akcionāru sapulce ir to skaidri apstiprinājusi iepriekšējā gadā un tas ir ierakstīts identificētā rezervē, kas izveidota vienīgi šim nolūkam). Tomēr lielu maksājumu gadījumā, kuri pārsniedz īstermiņa koriģēšanai izveidoto speciālo rezervi un attiecībā uz kuriem ir pierādījumi, ka tie veidoti no rezervēm, kas uzkrātas no vairāk nekā viena iepriekšējā gada, tos pēc būtības uzskata par kapitāla izņemšanu, kas nacionālajos kontos ieraksta kā finanšu darījums ar akcijām un citu pašu kapitālu.</w:t>
      </w:r>
    </w:p>
    <w:p w14:paraId="16E2989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E03F16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Superdividendes pēc savas būtības atšķiras no dividendēm, jo tās tiek izmaksātas no uzkrātajām rezervēm, kuras ir reģistrētas sabiedrības pašu līdzekļos. Jebkādus atvilkumus no pašu līdzekļiem ieraksta kā pašu kapitāla izņemšanu (F.5) vismaz attiecībā uz to summu, kas pārsniedz pārskata gada sadalāmos ienākumus.</w:t>
      </w:r>
    </w:p>
    <w:p w14:paraId="484FF5F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E9D16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Lai arī EKS 2010 4.55. punktā ir prasīts veikt ticamības pārbaudi dividendēm, kuru sadale ir būtiski lielāka salīdzinājumā ar ienākumu</w:t>
      </w:r>
      <w:r w:rsidRPr="00B03B51">
        <w:rPr>
          <w:rStyle w:val="FootnoteReference"/>
          <w:rFonts w:ascii="Times New Roman" w:hAnsi="Times New Roman" w:cs="Times New Roman"/>
          <w:noProof/>
          <w:sz w:val="24"/>
        </w:rPr>
        <w:footnoteReference w:id="161"/>
      </w:r>
      <w:r w:rsidRPr="00B03B51">
        <w:rPr>
          <w:rFonts w:ascii="Times New Roman" w:hAnsi="Times New Roman" w:cs="Times New Roman"/>
          <w:sz w:val="24"/>
        </w:rPr>
        <w:t xml:space="preserve">, attiecībā uz sadali, ko veic publiskās sabiedrības, to darīt nav lielas nozīmes. Tas tā ir tāpēc, ka EKS 2010 4.56. punktā ir iekļauti īpaši noteikumi attiecībā uz publiskām sabiedrībām, kas nosaka, ka superdividendes ir lieli un neregulāri maksājumi vai maksājumi, kas pārsniedz ienākumu attiecīgajā uzskaites periodā. EKS 2010 4.55. punktā ir minēts jēdziens “sadalāmais ienākums” attiecībā uz privātām sabiedrībām, savukārt 4.56. punktā ir minēts jēdziens “uzņēmējdarbības ienākums” attiecībā uz publiskām sabiedrībām. Visticamāk, ir paredzēts, ka tie abi ietver vienu principu un praksi, nevis šajā ziņā būtiski nošķir publiskās un privātās sabiedrības. Tāpēc skaidrības labad, norādot šo jēdzienu, turpmāk tekstā tiks izmantots termins “sadalāmais/uzņēmējdarbības ienākums”. Statistikas veidotājiem, vērtējot valdības saņemtās dividendes, ir jāizvērtē nepieciešamās korekcijas, </w:t>
      </w:r>
      <w:r w:rsidRPr="00B03B51">
        <w:rPr>
          <w:rFonts w:ascii="Times New Roman" w:hAnsi="Times New Roman" w:cs="Times New Roman"/>
          <w:sz w:val="24"/>
        </w:rPr>
        <w:lastRenderedPageBreak/>
        <w:t>pamatojoties uz izmantoto ienākumu.</w:t>
      </w:r>
    </w:p>
    <w:p w14:paraId="2B7D7D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8554C0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EKS 2010 20.206.–20.207. punktā noteiktais “superdividenžu tests” ir jāpiemēro attiecībā uz visiem lielajiem maksājumiem, kas ievērojami atšķiras no parastajām dividenžu summām un/vai kuriem ir neparasti augsta dividenžu izmaksu attiecība (kas nozīmē, ka dividenžu attiecība proporcionāli neatbilst vidējiem sadalāmajiem ienākumiem, kas gūti nesenā pagātnē). Kā īpašuma ienākumus var ierakstīt tikai to daļu, kas ir vienāda ar sadalāmajiem/uzņēmējdarbības ienākumiem. Pārsnieguma summa jāieraksta kā darījums ar pašu kapitālu (F.5). Šis ieteikums attiecas uz visām sabiedrībām, tostarp centrālo banku, lai arī attiecībā uz šo īpašo gadījumu EKS 2010 20.217. punktā sadalāmais/uzņēmējdarbības ienākums ir aizstāts ar neto darbības ienākumu.</w:t>
      </w:r>
    </w:p>
    <w:p w14:paraId="4B51D12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CD28D2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Gadījumā, ja maksājumus ir veicis kontrolakciju subjekts</w:t>
      </w:r>
      <w:r w:rsidRPr="00B03B51">
        <w:rPr>
          <w:rStyle w:val="FootnoteReference"/>
          <w:rFonts w:ascii="Times New Roman" w:hAnsi="Times New Roman" w:cs="Times New Roman"/>
          <w:noProof/>
          <w:sz w:val="24"/>
        </w:rPr>
        <w:footnoteReference w:id="162"/>
      </w:r>
      <w:r w:rsidRPr="00B03B51">
        <w:rPr>
          <w:rFonts w:ascii="Times New Roman" w:hAnsi="Times New Roman" w:cs="Times New Roman"/>
          <w:sz w:val="24"/>
        </w:rPr>
        <w:t>, dažkārt ir grūti noteikt šīs vienības sadalāmo/uzņēmējdarbības ienākumu, jo tās uzņēmējdarbības kontos deklarēto ienākumu lielā mērā var veidot dividendes, kas saņemtas no meitasuzņēmumiem. Šīs dividendes nav uzskatāmas par mātes/kontrolakciju subjekta darbības ienākumu tīri to formas dēļ (dividendes), jo var gadīties, ka meitasuzņēmumi ir izmaksājuši dividendes, kas pārsniedz pašu sadalāmo/uzņēmējdarbības ienākumu (piemēram, aktīvu vai uzņēmuma pārvērtēšanas vai realizācijas dēļ). Šis jautājums ir piemērojams visām sabiedrībām, kurām ir meitasuzņēmumi. Tas nozīmē, ka ir rūpīgi jāanalizē katras grupā iekļautās vienības finanšu pārskati, kas var būt laikietilpīgi un ko ir grūti skaitliski novērtēt. Pragmatisks risinājums statistikas veidotājiem tādējādi būtu izmantot konsolidētos kontus, kas palīdz atklāt (būtiskus) neparastus meitasuzņēmumu darījumus. Ievērojot šo pieeju, statistikas veidotājiem ir jāizmanto auditēti/konsolidēti konti un tie konsekventi visu laiku jāpiemēro visiem maksājumiem, ko veikušas attiecīgās kontrolakciju sabiedrības.</w:t>
      </w:r>
    </w:p>
    <w:p w14:paraId="547D066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B6B67F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Ja kontrolakciju subjektu klasificē valdības sektorā, tā [ienākuma] sadali akcionāriem parasti uzskata par D.73 (kārtējie pārvedumi vispārējās valdības sektorā), ja vien (izņēmuma gadījumos) kontrolakciju subjekta pašu kapitāla daļa nav skaidri parādīta finanšu kontos (nevis atmesta). Pēdējais minētais gadījums var būt jo īpaši tad, ja kontrolakciju subjektam ir kādi akcionāri, kas nav klasificēti valdības sektorā.</w:t>
      </w:r>
    </w:p>
    <w:p w14:paraId="42808B0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6287F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Iespējamais sadales veids ir akciju atpirkšanas programmas, kuras publiskās sabiedrības izmanto, lai iegādātos pašas savas akcijas ar mērķi mazināt nenomaksāto akciju skaitu. Akciju atpirkšanas programmas ekonomiski rada tādu pašu ietekmi kā dividendes. Saskaņā ar satura pār formu principu (EKS 2010 20.164. punkts) divi ekonomiski līdzīgi darījumi ir jāieraksta vienādā veidā. Tomēr EKS 2010 5.151. punktā ir norādīts, ka “akciju atpirkumu ieraksta kā finanšu darījumu, kas nodrošina naudu esošajiem akcionāriem apmaiņā pret daļu no sabiedrības emitētā pašu kapitāla. Tas nozīmē, ka naudu apmaina pret emitētā, bet neizpirktā akciju skaita samazinājumu”, un tas varētu nozīmēt, ka dividendes un akciju atpirkšanu ieraksta atšķirīgi.</w:t>
      </w:r>
    </w:p>
    <w:p w14:paraId="57083686" w14:textId="77777777" w:rsidR="00994F93" w:rsidRPr="00B03B51" w:rsidRDefault="00994F93" w:rsidP="00994F93">
      <w:pPr>
        <w:jc w:val="both"/>
        <w:rPr>
          <w:rFonts w:ascii="Times New Roman" w:eastAsia="Arial" w:hAnsi="Times New Roman" w:cs="Times New Roman"/>
          <w:noProof/>
          <w:sz w:val="24"/>
          <w:szCs w:val="15"/>
        </w:rPr>
      </w:pPr>
    </w:p>
    <w:p w14:paraId="71209A4E"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56" w:name="3.5.2.2_Time_of_recording"/>
      <w:bookmarkEnd w:id="256"/>
      <w:r w:rsidRPr="00B03B51">
        <w:rPr>
          <w:rFonts w:ascii="Times New Roman" w:hAnsi="Times New Roman" w:cs="Times New Roman"/>
          <w:sz w:val="24"/>
        </w:rPr>
        <w:t>3.5.2.2. IERAKSTĪŠANAS LAIKS</w:t>
      </w:r>
    </w:p>
    <w:p w14:paraId="0ACC84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2F82E5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EKS 2010 ir sniegti turpmāk izklāstītie norādījumi.</w:t>
      </w:r>
    </w:p>
    <w:p w14:paraId="6616473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FB829F4" w14:textId="77777777" w:rsidR="00994F93" w:rsidRPr="00B03B51" w:rsidRDefault="00994F93" w:rsidP="008A7C35">
      <w:pPr>
        <w:numPr>
          <w:ilvl w:val="1"/>
          <w:numId w:val="2"/>
        </w:numPr>
        <w:ind w:left="426" w:hanging="425"/>
        <w:jc w:val="both"/>
        <w:rPr>
          <w:rFonts w:ascii="Times New Roman" w:eastAsia="Arial" w:hAnsi="Times New Roman" w:cs="Times New Roman"/>
          <w:noProof/>
          <w:sz w:val="24"/>
          <w:szCs w:val="19"/>
        </w:rPr>
      </w:pPr>
      <w:r w:rsidRPr="00B03B51">
        <w:rPr>
          <w:rFonts w:ascii="Times New Roman" w:hAnsi="Times New Roman" w:cs="Times New Roman"/>
          <w:sz w:val="24"/>
        </w:rPr>
        <w:t xml:space="preserve">Attiecībā uz dividendēm (D.421), kas saistītas ar kotētajām akcijām, EKS 2010 </w:t>
      </w:r>
      <w:r w:rsidRPr="00B03B51">
        <w:rPr>
          <w:rFonts w:ascii="Times New Roman" w:hAnsi="Times New Roman" w:cs="Times New Roman"/>
          <w:sz w:val="24"/>
        </w:rPr>
        <w:lastRenderedPageBreak/>
        <w:t xml:space="preserve">4.57. punktā ir noteikts, ka </w:t>
      </w:r>
      <w:r w:rsidRPr="00B03B51">
        <w:rPr>
          <w:rFonts w:ascii="Times New Roman" w:hAnsi="Times New Roman" w:cs="Times New Roman"/>
          <w:i/>
          <w:iCs/>
          <w:sz w:val="24"/>
        </w:rPr>
        <w:t>dividenžu ierakstīšana notiek laikā, kad akciju cenu sāk kotēt bez dividendēm, nevis par cenu, kurā ietvertas dividendes</w:t>
      </w:r>
      <w:r w:rsidRPr="00B03B51">
        <w:rPr>
          <w:rFonts w:ascii="Times New Roman" w:hAnsi="Times New Roman" w:cs="Times New Roman"/>
          <w:sz w:val="24"/>
        </w:rPr>
        <w:t>. Praksē tas ir ļoti tuvu brīdim, kad tās tiek faktiski izmaksātas akcionāriem. Nekotētu akciju gadījumā tas ir brīdis, kad dividende ir jāizmaksā.</w:t>
      </w:r>
      <w:r w:rsidRPr="00B03B51">
        <w:rPr>
          <w:rStyle w:val="FootnoteReference"/>
          <w:rFonts w:ascii="Times New Roman" w:hAnsi="Times New Roman" w:cs="Times New Roman"/>
          <w:noProof/>
          <w:sz w:val="24"/>
        </w:rPr>
        <w:footnoteReference w:id="163"/>
      </w:r>
      <w:r w:rsidRPr="00B03B51">
        <w:rPr>
          <w:rFonts w:ascii="Times New Roman" w:hAnsi="Times New Roman" w:cs="Times New Roman"/>
          <w:sz w:val="24"/>
        </w:rPr>
        <w:t xml:space="preserve"> Līdz ar to tas acīmredzami nav brīdis, kad tiek pieņemts/apstiprināts galīgais lēmums par sadali</w:t>
      </w:r>
      <w:r w:rsidRPr="00B03B51">
        <w:rPr>
          <w:rStyle w:val="FootnoteReference"/>
          <w:rFonts w:ascii="Times New Roman" w:hAnsi="Times New Roman" w:cs="Times New Roman"/>
          <w:noProof/>
          <w:sz w:val="24"/>
        </w:rPr>
        <w:footnoteReference w:id="164"/>
      </w:r>
      <w:r w:rsidRPr="00B03B51">
        <w:rPr>
          <w:rFonts w:ascii="Times New Roman" w:hAnsi="Times New Roman" w:cs="Times New Roman"/>
          <w:sz w:val="24"/>
        </w:rPr>
        <w:t>, un tas atbilst kotēto akciju bez dividenžu novērtēšanas principam.</w:t>
      </w:r>
    </w:p>
    <w:p w14:paraId="572E6F53" w14:textId="77777777" w:rsidR="00994F93" w:rsidRPr="00B03B51" w:rsidRDefault="00994F93" w:rsidP="008A7C35">
      <w:pPr>
        <w:pStyle w:val="BodyText"/>
        <w:numPr>
          <w:ilvl w:val="1"/>
          <w:numId w:val="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atvilkumiem no kvazisabiedrību ienākuma (D.422) EKS 2010 4.62. punktā ir noteikts, ka ierakstīšanas laiks ir tad, “kad tos veic īpašnieki”. Līdz ar to tie tiek ierakstīti saskaņā ar naudas plūsmas principu.</w:t>
      </w:r>
    </w:p>
    <w:p w14:paraId="2B719C65" w14:textId="77777777" w:rsidR="00994F93" w:rsidRPr="00B03B51" w:rsidRDefault="00994F93" w:rsidP="00994F93">
      <w:pPr>
        <w:jc w:val="both"/>
        <w:rPr>
          <w:rFonts w:ascii="Times New Roman" w:eastAsia="Arial" w:hAnsi="Times New Roman" w:cs="Times New Roman"/>
          <w:noProof/>
          <w:sz w:val="24"/>
          <w:szCs w:val="16"/>
        </w:rPr>
      </w:pPr>
    </w:p>
    <w:p w14:paraId="40898EFB"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57" w:name="3.5.2.3_The_case_of_interim_dividends"/>
      <w:bookmarkEnd w:id="257"/>
      <w:r w:rsidRPr="00B03B51">
        <w:rPr>
          <w:rFonts w:ascii="Times New Roman" w:hAnsi="Times New Roman" w:cs="Times New Roman"/>
          <w:sz w:val="24"/>
        </w:rPr>
        <w:t>3.5.2.3. STARPPERIODA DIVIDENŽU GADĪJUMS</w:t>
      </w:r>
    </w:p>
    <w:p w14:paraId="783F072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5033A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Iepriekš jau tika minēts, ka “starpperioda dividende” attiecas uz gadījumu, kad sabiedrība veic maksājumu akcionāram pārskata gadā, pirms galīgo sabiedrības gada rezultātu uzzināšanas. Informācija par tām ir sniegta EKS 2010 20.207. punktā.</w:t>
      </w:r>
    </w:p>
    <w:p w14:paraId="07F8F11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446BCE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Parasti atbilstīgi superdividendēm starpposma maksājumus, ko publiskas sabiedrības, tostarp centrālā banka, veic valdībai, ir jānovērtē katrā atsevišķā gadījumā, lai noteiktu, vai tie ir ierakstīti kā īpašuma ienākums vai kā finanšu avansi.</w:t>
      </w:r>
    </w:p>
    <w:p w14:paraId="58C9BB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3708E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Starpposma dividenžu maksājums nacionālajos kontos ir ierakstīts kā īpašuma ienākums (D.42), ja tiek izpildīti divi nosacījumi. Pirmkārt, izmaksātās dividendes summa ir noteikta, pamatojoties uz publiski pieejamiem pārskatiem par īsiem laika posmiem, kas ietver vismaz divus ceturkšņus (līdz ar to jābūt pierādījumiem, ka dividendes ir iespējams finansēt no sadalāmā/uzņēmējdarbības ienākuma (vai no darbības pārpalikuma uzņēmuma grāmatvedībā kā tuvinājuma)). Otrkārt, starpposma dividendei ir jāatbilst iepriekšējos gados novērotajai dividenžu sadalei, ņemot vērā uzņēmuma ienesīguma tendences.</w:t>
      </w:r>
    </w:p>
    <w:p w14:paraId="305E81A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4A0D2C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Ja neviens no šiem nosacījumiem nav izpildīts, starpposma maksājums jāieraksta kā finanšu avanss (attiecībā uz valdību F.8 pozīcijā “citas kreditoru saistības”). Tādējādi, piemērojot “superdividenžu testu”, visas dividendes nacionālajos kontos ieraksta kā īpašuma ienākumu (D.42) tikai tad, kad akcionāriem ir nodota pēdējā dividende, kas notiek tikai pēc tam, kad ir skaidri zināmi sabiedrības gada darbības rezultāti (nākamajā gadā).</w:t>
      </w:r>
    </w:p>
    <w:p w14:paraId="18C3512C" w14:textId="77777777" w:rsidR="00994F93" w:rsidRPr="00B03B51" w:rsidRDefault="00994F93" w:rsidP="00994F93">
      <w:pPr>
        <w:jc w:val="both"/>
        <w:rPr>
          <w:rFonts w:ascii="Times New Roman" w:hAnsi="Times New Roman" w:cs="Times New Roman"/>
          <w:noProof/>
          <w:sz w:val="24"/>
        </w:rPr>
      </w:pPr>
    </w:p>
    <w:p w14:paraId="180DCAE5"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58" w:name="3.5.2.4_Rules_to_orecord_and_partition_t"/>
      <w:bookmarkEnd w:id="258"/>
      <w:r w:rsidRPr="00B03B51">
        <w:rPr>
          <w:rFonts w:ascii="Times New Roman" w:hAnsi="Times New Roman" w:cs="Times New Roman"/>
          <w:sz w:val="24"/>
        </w:rPr>
        <w:t>3.5.2.4. NOTEIKUMI PAR DARĪJUMA IERAKSTĪŠANU UN SADALĪŠANU</w:t>
      </w:r>
    </w:p>
    <w:p w14:paraId="642D78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F7D40A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Lai pieņemtu lēmumu par to, kā sadalīt starpposma dividendes starp dividendēm un finanšu komponentiem, sadalīto summu salīdzina ar sadalāmo/uzņēmējdarbības ienākumu (kas praksē ir darbības pārpalikums) par laika posmu no pārskata gada sākumā līdz brīdim, kad tas tika paziņots. Ja šie ienākumi ir lielāki par sadalīto summu, visu summu ieraksta kā dividendes. Jebkuru sadales pārsniegumu virs sadalāmā/uzņēmējdarbības ienākuma, kas jau ir publicēts pārskatos</w:t>
      </w:r>
      <w:r w:rsidRPr="00B03B51">
        <w:rPr>
          <w:rStyle w:val="FootnoteReference"/>
          <w:rFonts w:ascii="Times New Roman" w:hAnsi="Times New Roman" w:cs="Times New Roman"/>
          <w:noProof/>
          <w:sz w:val="24"/>
        </w:rPr>
        <w:footnoteReference w:id="165"/>
      </w:r>
      <w:r w:rsidRPr="00B03B51">
        <w:rPr>
          <w:rFonts w:ascii="Times New Roman" w:hAnsi="Times New Roman" w:cs="Times New Roman"/>
          <w:sz w:val="24"/>
        </w:rPr>
        <w:t xml:space="preserve">, ieraksta kā citas valdības kreditoru saistības, kamēr tiek gaidīti galīgie gada </w:t>
      </w:r>
      <w:r w:rsidRPr="00B03B51">
        <w:rPr>
          <w:rFonts w:ascii="Times New Roman" w:hAnsi="Times New Roman" w:cs="Times New Roman"/>
          <w:sz w:val="24"/>
        </w:rPr>
        <w:lastRenderedPageBreak/>
        <w:t>rezultāti. Galīgajā novērtēšanā šī plūsma tiks konvertēta vai nu dividendēs, vai arī pašu kapitāla izņemšanā (superdividenžu gadījumā).</w:t>
      </w:r>
    </w:p>
    <w:p w14:paraId="432517C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10E55D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Vispārīgā pieeja galīgo dividenžu vai superdividenžu sadalīšanai starp dividendēm un finanšu komponentiem paredz, ka tiek salīdzināts sadalāmais/uzņēmējdarbības ienākums (kas praksē ir darbības pārpalikums) par attiecīgo laika posmu, atskaitot visas summas, kuras ir ierakstītas kā dividendes saistībā ar starpperioda dividendēm, kas ir izmaksātas kopš brīža, kad tika izmaksātas pēdējās gada dividendes.</w:t>
      </w:r>
    </w:p>
    <w:p w14:paraId="1DFEAD3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4891C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Ja sadalāmais/uzņēmējdarbības ienākums pārsniedz sadalīto summu, visu summu ieraksta kā dividendes. Jebkuru sadales pārsniegumu virs saistītā sadalāmā/uzņēmējdarbības ienākuma ieraksta kā pašu kapitāla izņemšanu. Tā kā galīgās dividendes parasti ir saistītas ar ienākumiem, kas gūti sabiedrības pārskata gadā pirms maksājuma veikšanas, tas ir atbilstošais sadalāmā/uzņēmējdarbības ienākuma periods.</w:t>
      </w:r>
    </w:p>
    <w:p w14:paraId="510CEFAB" w14:textId="77777777" w:rsidR="00994F93" w:rsidRPr="00B03B51" w:rsidRDefault="00994F93" w:rsidP="00994F93">
      <w:pPr>
        <w:jc w:val="both"/>
        <w:rPr>
          <w:rFonts w:ascii="Times New Roman" w:eastAsia="Arial" w:hAnsi="Times New Roman" w:cs="Times New Roman"/>
          <w:noProof/>
          <w:sz w:val="24"/>
          <w:szCs w:val="18"/>
        </w:rPr>
      </w:pPr>
    </w:p>
    <w:p w14:paraId="78536502"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59" w:name="3.5.3_Rationale_of_the_treatment"/>
      <w:bookmarkStart w:id="260" w:name="_Toc67565104"/>
      <w:bookmarkEnd w:id="259"/>
      <w:r w:rsidRPr="00B03B51">
        <w:rPr>
          <w:rFonts w:ascii="Times New Roman" w:hAnsi="Times New Roman" w:cs="Times New Roman"/>
          <w:sz w:val="24"/>
        </w:rPr>
        <w:t>3.5.3. Traktējuma pamatojums</w:t>
      </w:r>
      <w:bookmarkEnd w:id="260"/>
    </w:p>
    <w:p w14:paraId="3257018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E25F0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Pamatojums tam, ka sadale tiek ierakstīta kā dividendes, ir tas, ka šādai sadalei jāizriet no sabiedrības sadalāmā/uzņēmējdarbības ienākuma, kas uzkrāts periodā, uz kuru attiecas minētās dividendes. Šādā gadījumā pastāv cieša saistība starp dividenžu maksājumu un sabiedrības uzkrātajiem (kārtējiem) ienākumiem.</w:t>
      </w:r>
    </w:p>
    <w:p w14:paraId="5D635D5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80194D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Pamatojums tam, ka superdividendes tiek ierakstītas kā finanšu darījumi, ir tas, ka superdividendes pēc būtības atšķiras no dividendēm, proti, dividendes atbilst ienākuma sadalei, savukārt superdividendes atbilst sabiedrības bagātības sadalei, samazinot sabiedrības pašu līdzekļus. Ja tiek veikti lieli maksājumi no uzkrātajām rezervēm, nepastāv nekāda saistība ar ienākumiem, ko sabiedrība ir uzkrājusi attiecīgajā pārskata gadā. Nacionālajos kontos kā īpašuma ienākumus (D.42) var sadalīt tikai sadalāmo/uzņēmējdarbības ienākumu.</w:t>
      </w:r>
    </w:p>
    <w:p w14:paraId="7FB911E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F1353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Iespēja ierakstīt starpposma dividendes kā īpašuma ienākumu pamatojama ar to, ka noteiktos apstākļos, pamatojoties uz atsevišķiem kritērijiem (novērotie ienākumi, sadales attiecība un sabiedrības ieņēmumu pieauguma tendence), starpposma maksājumu var uzskatīt par uzkrātā ienākuma pārvedumu. Šajā gadījumā īpašuma ienākuma ierakstīšana, pirms ir zināmi gada rezultāti, nav pretrunā statistikas un grāmatvedības pamatnoteikumiem.</w:t>
      </w:r>
    </w:p>
    <w:p w14:paraId="35937EE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677805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Ja starpposma maksājuma veikšanas brīdī nav izpildīti dividenžu ierakstīšanas kritēriji un nosacījumi, šo maksājumu ieraksta kā finanšu avansu, atsaucoties uz EKS 2010 5.240. punktu, proti, citas debitoru/kreditoru saistības, izņemot tirdzniecības kredītus un avansus (F.89), ir “finanšu prasības, ko rada laika starpības starp sadales darījumiem (..) un atbilstošo maksājumu”. Dividendes ir minētas kā piemērs 5.241. punktā. Finanšu avansa ierakstīšanas pamatojums ir šāds – kamēr nav skaidri zināmi gada rezultāti un sadalāmais/uzņēmējdarbības ienākums, pastāv risks, ka maksājums var būt lielāks par sadalāmo/uzņēmējdarbības ienākumu, kas tādējādi ietver superdividenžu elementu.</w:t>
      </w:r>
    </w:p>
    <w:p w14:paraId="61835415" w14:textId="77777777" w:rsidR="00994F93" w:rsidRPr="00B03B51" w:rsidRDefault="00994F93" w:rsidP="00994F93">
      <w:pPr>
        <w:rPr>
          <w:rFonts w:ascii="Times New Roman" w:eastAsia="Arial" w:hAnsi="Times New Roman" w:cs="Times New Roman"/>
          <w:noProof/>
          <w:sz w:val="24"/>
          <w:szCs w:val="20"/>
        </w:rPr>
      </w:pPr>
      <w:r w:rsidRPr="00B03B51">
        <w:rPr>
          <w:rFonts w:ascii="Times New Roman" w:hAnsi="Times New Roman" w:cs="Times New Roman"/>
        </w:rPr>
        <w:br w:type="page"/>
      </w:r>
    </w:p>
    <w:p w14:paraId="063D98C0" w14:textId="77777777" w:rsidR="00994F93" w:rsidRPr="00B03B51" w:rsidRDefault="00994F93" w:rsidP="00994F93">
      <w:pPr>
        <w:jc w:val="both"/>
        <w:rPr>
          <w:rFonts w:ascii="Times New Roman" w:hAnsi="Times New Roman" w:cs="Times New Roman"/>
          <w:noProof/>
          <w:sz w:val="24"/>
        </w:rPr>
      </w:pPr>
    </w:p>
    <w:p w14:paraId="0419BF8B" w14:textId="77777777" w:rsidR="00994F93" w:rsidRPr="00B03B51" w:rsidRDefault="00994F93" w:rsidP="00994F93">
      <w:pPr>
        <w:pStyle w:val="Heading2"/>
        <w:tabs>
          <w:tab w:val="left" w:pos="1267"/>
        </w:tabs>
        <w:spacing w:before="0"/>
        <w:ind w:left="0" w:firstLine="0"/>
        <w:jc w:val="both"/>
        <w:rPr>
          <w:rFonts w:ascii="Times New Roman" w:hAnsi="Times New Roman" w:cs="Times New Roman"/>
          <w:noProof/>
          <w:sz w:val="28"/>
          <w:szCs w:val="44"/>
        </w:rPr>
      </w:pPr>
      <w:bookmarkStart w:id="261" w:name="3.6_Impact_on_government_accounts_of_tra"/>
      <w:bookmarkStart w:id="262" w:name="_bookmark26"/>
      <w:bookmarkStart w:id="263" w:name="_Toc67565105"/>
      <w:bookmarkEnd w:id="261"/>
      <w:bookmarkEnd w:id="262"/>
      <w:r w:rsidRPr="00B03B51">
        <w:rPr>
          <w:rFonts w:ascii="Times New Roman" w:hAnsi="Times New Roman" w:cs="Times New Roman"/>
          <w:sz w:val="28"/>
          <w:szCs w:val="44"/>
        </w:rPr>
        <w:t>3.6. Pensiju saistību nodošanas ietekme uz valdības kontiem</w:t>
      </w:r>
      <w:bookmarkEnd w:id="263"/>
    </w:p>
    <w:p w14:paraId="6AD5D70A" w14:textId="77777777" w:rsidR="00994F93" w:rsidRPr="00100B51" w:rsidRDefault="00994F93" w:rsidP="00100B51">
      <w:pPr>
        <w:rPr>
          <w:rFonts w:ascii="Times New Roman" w:hAnsi="Times New Roman" w:cs="Times New Roman"/>
          <w:noProof/>
          <w:sz w:val="24"/>
          <w:szCs w:val="24"/>
        </w:rPr>
      </w:pPr>
      <w:bookmarkStart w:id="264" w:name="3.6.1_Background"/>
      <w:bookmarkEnd w:id="264"/>
    </w:p>
    <w:p w14:paraId="28A78688"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65" w:name="_Toc67565106"/>
      <w:r w:rsidRPr="00B03B51">
        <w:rPr>
          <w:rFonts w:ascii="Times New Roman" w:hAnsi="Times New Roman" w:cs="Times New Roman"/>
          <w:sz w:val="24"/>
        </w:rPr>
        <w:t>3.6.1. Vispārīga informācija</w:t>
      </w:r>
      <w:bookmarkEnd w:id="265"/>
    </w:p>
    <w:p w14:paraId="3DE0D87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5DD0486" w14:textId="7C79B8E6"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 Šajā nodaļā apspriests vienīgi jautājums par tādu ieņēmumu ierakstīšanu, ko valdība saņem no publiskas sabiedrības un, iespējams, arī no privātas sabiedrības (un ko bieži vien dēvē par “vienreizēju </w:t>
      </w:r>
      <w:r w:rsidR="00CF2842" w:rsidRPr="00B03B51">
        <w:rPr>
          <w:rFonts w:ascii="Times New Roman" w:hAnsi="Times New Roman" w:cs="Times New Roman"/>
          <w:sz w:val="24"/>
        </w:rPr>
        <w:t>maksājumu</w:t>
      </w:r>
      <w:r w:rsidRPr="00B03B51">
        <w:rPr>
          <w:rFonts w:ascii="Times New Roman" w:hAnsi="Times New Roman" w:cs="Times New Roman"/>
          <w:sz w:val="24"/>
        </w:rPr>
        <w:t>”) saistībā ar pensiju saistību nodošanu valdībai vienreizējās operācijās.</w:t>
      </w:r>
    </w:p>
    <w:p w14:paraId="3B038AD5" w14:textId="77777777" w:rsidR="00994F93" w:rsidRPr="00721944" w:rsidRDefault="00994F93" w:rsidP="00721944">
      <w:pPr>
        <w:rPr>
          <w:rFonts w:ascii="Times New Roman" w:hAnsi="Times New Roman" w:cs="Times New Roman"/>
          <w:noProof/>
          <w:sz w:val="24"/>
          <w:szCs w:val="24"/>
        </w:rPr>
      </w:pPr>
      <w:bookmarkStart w:id="266" w:name="3.6.1.1_Employers’_pension_schemes(166)"/>
      <w:bookmarkEnd w:id="266"/>
    </w:p>
    <w:p w14:paraId="11F1D47D" w14:textId="77777777" w:rsidR="00994F93" w:rsidRPr="00B03B51" w:rsidRDefault="00994F93" w:rsidP="00994F93">
      <w:pPr>
        <w:pStyle w:val="Heading6"/>
        <w:tabs>
          <w:tab w:val="left" w:pos="1267"/>
        </w:tabs>
        <w:ind w:left="0" w:firstLine="0"/>
        <w:jc w:val="both"/>
        <w:rPr>
          <w:rFonts w:ascii="Times New Roman" w:hAnsi="Times New Roman" w:cs="Times New Roman"/>
          <w:b w:val="0"/>
          <w:bCs w:val="0"/>
          <w:noProof/>
          <w:sz w:val="24"/>
          <w:szCs w:val="14"/>
        </w:rPr>
      </w:pPr>
      <w:r w:rsidRPr="00B03B51">
        <w:rPr>
          <w:rFonts w:ascii="Times New Roman" w:hAnsi="Times New Roman" w:cs="Times New Roman"/>
          <w:sz w:val="24"/>
        </w:rPr>
        <w:t>3.6.1.1. DARBA DEVĒJU PENSIJU SHĒMAS</w:t>
      </w:r>
      <w:r w:rsidRPr="00B03B51">
        <w:rPr>
          <w:rStyle w:val="FootnoteReference"/>
          <w:rFonts w:ascii="Times New Roman" w:hAnsi="Times New Roman" w:cs="Times New Roman"/>
          <w:noProof/>
          <w:sz w:val="24"/>
        </w:rPr>
        <w:footnoteReference w:id="166"/>
      </w:r>
    </w:p>
    <w:p w14:paraId="0571815A" w14:textId="77777777" w:rsidR="00994F93" w:rsidRPr="00B03B51" w:rsidRDefault="00994F93" w:rsidP="00994F93">
      <w:pPr>
        <w:tabs>
          <w:tab w:val="left" w:pos="843"/>
        </w:tabs>
        <w:jc w:val="both"/>
        <w:rPr>
          <w:rFonts w:ascii="Times New Roman" w:eastAsia="Arial" w:hAnsi="Times New Roman" w:cs="Times New Roman"/>
          <w:noProof/>
          <w:sz w:val="24"/>
          <w:szCs w:val="19"/>
        </w:rPr>
      </w:pPr>
    </w:p>
    <w:p w14:paraId="6E7C072D" w14:textId="20A80231"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2. Vairākās ES dalībvalstīs institucionālas vienības, tostarp publiskas sabiedrības un valdība, drīkst veidot pensiju shēmas, kas paredzētas vienīgi to darbiniekiem. EKS 2010 4.89. punkta b) apakšpunktā noteikts, ka šīs ir otrā veida sociālās apdrošināšanas shēmas: </w:t>
      </w:r>
      <w:r w:rsidRPr="00B03B51">
        <w:rPr>
          <w:rFonts w:ascii="Times New Roman" w:hAnsi="Times New Roman" w:cs="Times New Roman"/>
          <w:i/>
          <w:sz w:val="24"/>
          <w:szCs w:val="19"/>
        </w:rPr>
        <w:t>Otrā veida shēmas veido citas ar nodarbinātību saistītas shēmas. Šādas shēmas rodas darba devēja un darba ņēmēja attiecību rezultātā, nodrošinot pensiju un varbūtējas citas tiesības, kas ir daļa no nodarbinātības nosacījumiem, un ja atbildība par pabalstu nodrošināšanu netiek nodota vispārējai valdībai saskaņā ar sociālā nodrošinā</w:t>
      </w:r>
      <w:r w:rsidR="00C0571D" w:rsidRPr="00B03B51">
        <w:rPr>
          <w:rFonts w:ascii="Times New Roman" w:hAnsi="Times New Roman" w:cs="Times New Roman"/>
          <w:i/>
          <w:sz w:val="24"/>
          <w:szCs w:val="19"/>
        </w:rPr>
        <w:t>juma</w:t>
      </w:r>
      <w:r w:rsidRPr="00B03B51">
        <w:rPr>
          <w:rFonts w:ascii="Times New Roman" w:hAnsi="Times New Roman" w:cs="Times New Roman"/>
          <w:i/>
          <w:sz w:val="24"/>
          <w:szCs w:val="19"/>
        </w:rPr>
        <w:t xml:space="preserve"> noteikumiem</w:t>
      </w:r>
      <w:r w:rsidRPr="00B03B51">
        <w:rPr>
          <w:rFonts w:ascii="Times New Roman" w:hAnsi="Times New Roman" w:cs="Times New Roman"/>
          <w:sz w:val="24"/>
          <w:szCs w:val="19"/>
        </w:rPr>
        <w:t>. Saskaņā ar EKS 2010 šāda atbildība tiek uzticēta “pensiju pārvaldītājam” (“sponsoram” saskaņā ar EKS 2010), nevis “pensiju administratoram”, kurš rīkojas vienīgi minētā pārvaldītāja vārdā. Šādas shēmas var būt organizētas atsevišķi no mātesvienības (EKS 2010 2.106. punktā dēvētas par “autonomām” vai “neautonomām” pensiju shēmām), un šādos gadījumos tās ir klasificētas pensiju fondu apakšsektorā (S.129) vai pat apdrošināšanas sabiedrību apakšsektorā (S.128). Vienība tās var organizēt tieši kā atsevišķi nodalītu rezervi, vai, piemērojot uzskaites principus, tiek atzīts ekvivalents. Šajā gadījumā nacionālajos kontos tās netiek uzskatītas par institucionālām vienībām un nacionālajos kontos tās tiek ierakstītas attiecīgajā vienībā.</w:t>
      </w:r>
    </w:p>
    <w:p w14:paraId="272C2D0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4C74951" w14:textId="49C16E1D"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Nacionālajos kontos šādas darba devēju pensiju shēmas netiek traktētas kā sociālā </w:t>
      </w:r>
      <w:r w:rsidR="0002159B" w:rsidRPr="00B03B51">
        <w:rPr>
          <w:rFonts w:ascii="Times New Roman" w:hAnsi="Times New Roman" w:cs="Times New Roman"/>
          <w:sz w:val="24"/>
        </w:rPr>
        <w:t>no</w:t>
      </w:r>
      <w:r w:rsidRPr="00B03B51">
        <w:rPr>
          <w:rFonts w:ascii="Times New Roman" w:hAnsi="Times New Roman" w:cs="Times New Roman"/>
          <w:sz w:val="24"/>
        </w:rPr>
        <w:t>droš</w:t>
      </w:r>
      <w:r w:rsidR="008D5B54" w:rsidRPr="00B03B51">
        <w:rPr>
          <w:rFonts w:ascii="Times New Roman" w:hAnsi="Times New Roman" w:cs="Times New Roman"/>
          <w:sz w:val="24"/>
        </w:rPr>
        <w:t>inājuma</w:t>
      </w:r>
      <w:r w:rsidRPr="00B03B51">
        <w:rPr>
          <w:rFonts w:ascii="Times New Roman" w:hAnsi="Times New Roman" w:cs="Times New Roman"/>
          <w:sz w:val="24"/>
        </w:rPr>
        <w:t xml:space="preserve"> shēmas, t. i., iemaksu (darba devēju un/vai darba ņēmēju) un pensiju pabalstu plūsmas nav daļa no valdības ieņēmumiem vai izdevumiem. Līdz ar to plūsmas un uzkrājumi tiek iekļauti pensiju fonda apakšsektorā, dzīvības apdrošinātāja apakšsektorā vai sektorā, kurā klasificēts darba devējs, kas organizē/pārvalda shēmu (sektors S.11 attiecībā uz nefinanšu sabiedrībām vai sektors S.12 attiecībā uz finanšu sabiedrībām). Sabiedrības, kuras organizē shēmu, var būt publiskas vai privātas sabiedrības.</w:t>
      </w:r>
    </w:p>
    <w:p w14:paraId="4C548CF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2B149E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Ja shēma ir klasificēta apakšsektorā S.129 vai S.128, tā saskaņā ar definīciju ir fondēta shēma. Ja shēma ir klasificēta darba devēju sektorā, tā var būt fondēta vai nefondēta shēma.</w:t>
      </w:r>
    </w:p>
    <w:p w14:paraId="466C2EA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F45B3E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Darba devēja shēma ir fondēta shēma, ja darba devējs izveido atsevišķi nodalītu rezervi savā bilancē (neatkarīgi no tā, vai darba devējs šādi rīkojas tiesisku saistību, īpašu noteikumu, līgumsaistību vai grāmatvedības standartu dēļ vai brīvprātīgi), kas atspoguļo pensiju saistības (atbilstīgi uzkrāšanas principam) attiecībā pret saņēmējiem. Šī rezerve un ar to saistītie, noteiktam mērķim paredzētie aktīvi nodrošina būtisku saņēmēju pensiju tiesību aizsardzību; tas jo īpaši attiecas uz darba devēja apvienošanas vai bankrota gadījumiem (tā tiek uzskatīta par saņēmēju īpašumu).</w:t>
      </w:r>
    </w:p>
    <w:p w14:paraId="701451F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699DD9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Nefondēta darba devēju pensiju shēma ir tāda shēma, kurā aktīvi netiek turēti ar konkrētu </w:t>
      </w:r>
      <w:r w:rsidRPr="00B03B51">
        <w:rPr>
          <w:rFonts w:ascii="Times New Roman" w:hAnsi="Times New Roman" w:cs="Times New Roman"/>
          <w:sz w:val="24"/>
        </w:rPr>
        <w:lastRenderedPageBreak/>
        <w:t>mērķi izpildīt pensiju saistības. Šādas shēmas bieži vien tiek dēvētas arī par “paaudžu solidaritātes” (</w:t>
      </w:r>
      <w:r w:rsidRPr="00B03B51">
        <w:rPr>
          <w:rFonts w:ascii="Times New Roman" w:hAnsi="Times New Roman" w:cs="Times New Roman"/>
          <w:i/>
          <w:iCs/>
          <w:sz w:val="24"/>
        </w:rPr>
        <w:t>PAYG</w:t>
      </w:r>
      <w:r w:rsidRPr="00B03B51">
        <w:rPr>
          <w:rFonts w:ascii="Times New Roman" w:hAnsi="Times New Roman" w:cs="Times New Roman"/>
          <w:sz w:val="24"/>
        </w:rPr>
        <w:t>) shēmām. Šādās shēmās pensiju pabalsti, kas jāizmaksā konkrētajā gadā, tiek finansēti no tajā pašā gadā uzkrātajām iemaksām un iespējamiem papildu maksājumiem. Vismaz dažu sabiedrību gadījumā (jo īpaši to, kuras ir kotētas biržā) uzņēmējdarbības pārskatos ir jābūt atzītām saistībām, tostarp tām, kuras ir uzkrājuma formā (ņemot vērā, ka maksājuma veikšana tiek uzskatīta par neizbēgamu). Citos gadījumos tā var būt vienīgi papildu informācija, kas tiek sniegta sabiedrības gada pārskatā. EKS 2010 pamatkontos atzīst darba devēju pensiju shēmu pensiju saistības S.11 un S.12 sektorā.</w:t>
      </w:r>
    </w:p>
    <w:p w14:paraId="67D6570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4D650D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Pensiju saistības attiecībā pret saņēmējiem EKS 2010 tiek ierakstītas kā pensiju tiesības (AF.63). Ja darba devēja shēmā nav pietiekami daudz līdzekļu, darba devēja saistības attiecībā pret pensiju administratoru tiek ierakstītas kā “pensiju fondu prasības pret pensiju pārvaldītājiem” (AF.64), bet tikai tad, ja shēma nav ierakstīta attiecīgā darba devēja sektorā, sedzot iztrūkumu, kas pastāv starp saistību pret saņēmējiem pašreizējām vērtībām, kas ierakstītas kā AF.63, un īpašam nolūkam paredzētiem aktīviem. Jāatceras, ka noteiktu pabalstu fondētās shēmas gadījumā (pensijas tiek noteiktas saskaņā ar formulu, kurā tās tiek saistītas ar algu) šīs saistības tiek noteiktas kā darba devēja neizmaksāto pensiju neto saistību pašreizējā vērtība. Noteiktu iemaksu shēmu gadījumā neizmaksāto pensiju saistību vērtība atbilst ieguldījumu tirgus vērtībai, jo šajā gadījumā pārvaldītājs parasti neuzņemas nekādu risku attiecībā uz pensiju saistībām un līdz ar to nebūtu atbilstoši attiecībā uz darba devēju, kurš veic pārvaldītāja funkcijas, ierakstīt AF.63 saistības.</w:t>
      </w:r>
    </w:p>
    <w:p w14:paraId="4CE8D82B" w14:textId="77777777" w:rsidR="00994F93" w:rsidRPr="00B03B51" w:rsidRDefault="00994F93" w:rsidP="00994F93">
      <w:pPr>
        <w:jc w:val="both"/>
        <w:rPr>
          <w:rFonts w:ascii="Times New Roman" w:eastAsia="Arial" w:hAnsi="Times New Roman" w:cs="Times New Roman"/>
          <w:noProof/>
          <w:sz w:val="24"/>
          <w:szCs w:val="15"/>
        </w:rPr>
      </w:pPr>
    </w:p>
    <w:p w14:paraId="1BB9D811"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67" w:name="3.6.1.2_Transfer_of_employers’_pension_o"/>
      <w:bookmarkEnd w:id="267"/>
      <w:r w:rsidRPr="00B03B51">
        <w:rPr>
          <w:rFonts w:ascii="Times New Roman" w:hAnsi="Times New Roman" w:cs="Times New Roman"/>
          <w:sz w:val="24"/>
        </w:rPr>
        <w:t>3.6.1.2. DARBA DEVĒJU PENSIJU SAISTĪBU NODOŠANA VALDĪBAI</w:t>
      </w:r>
    </w:p>
    <w:p w14:paraId="43A2D3F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8AAE274" w14:textId="37D55B81"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Valdība dažādu iemeslu dēļ var pārņemt šīs pensiju saistības. Piemēri ir plāni attiecībā uz (pilnīgu vai daļēju) privatizāciju vai jaunu biržas kotāciju. Valdība kā publisku sabiedrību īpašniece (vai saistībā ar atbalstu privātam uzņēmumam) var vēlēties uzlabot to finanšu stāvokli, “dzēšot” saistības no to bilances. Piemēram, plānotas privatizācijas gadījumā ieguldītāji var nevēlēties pirkt tādas sabiedrības pašu kapitālu, kura ir uzņēmusies pensiju saistības, jo īpaši līdzekļu nepietiekamības gadījumā (kad shēmas aktīvu vērtība ir zemāka par to saistību vērtību un darba devējs ir uzņēmies segt iztrūkumu). Privātas sabiedrības gadījumā iemesls var būt arī uzlabot sabiedrības situāciju un, iespējams, arī paplašināt sociālā </w:t>
      </w:r>
      <w:r w:rsidR="008D5B54" w:rsidRPr="00B03B51">
        <w:rPr>
          <w:rFonts w:ascii="Times New Roman" w:hAnsi="Times New Roman" w:cs="Times New Roman"/>
          <w:sz w:val="24"/>
        </w:rPr>
        <w:t>no</w:t>
      </w:r>
      <w:r w:rsidRPr="00B03B51">
        <w:rPr>
          <w:rFonts w:ascii="Times New Roman" w:hAnsi="Times New Roman" w:cs="Times New Roman"/>
          <w:sz w:val="24"/>
        </w:rPr>
        <w:t>droš</w:t>
      </w:r>
      <w:r w:rsidR="008D5B54" w:rsidRPr="00B03B51">
        <w:rPr>
          <w:rFonts w:ascii="Times New Roman" w:hAnsi="Times New Roman" w:cs="Times New Roman"/>
          <w:sz w:val="24"/>
        </w:rPr>
        <w:t>inājuma</w:t>
      </w:r>
      <w:r w:rsidRPr="00B03B51">
        <w:rPr>
          <w:rFonts w:ascii="Times New Roman" w:hAnsi="Times New Roman" w:cs="Times New Roman"/>
          <w:sz w:val="24"/>
        </w:rPr>
        <w:t xml:space="preserve"> tvērumu.</w:t>
      </w:r>
    </w:p>
    <w:p w14:paraId="2EBE64AB" w14:textId="77777777" w:rsidR="00994F93" w:rsidRPr="00B03B51" w:rsidRDefault="00994F93" w:rsidP="00994F93">
      <w:pPr>
        <w:jc w:val="both"/>
        <w:rPr>
          <w:rFonts w:ascii="Times New Roman" w:eastAsia="Arial" w:hAnsi="Times New Roman" w:cs="Times New Roman"/>
          <w:noProof/>
          <w:sz w:val="24"/>
          <w:szCs w:val="15"/>
        </w:rPr>
      </w:pPr>
    </w:p>
    <w:p w14:paraId="5928B682"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68" w:name="3.6.1.3_The_key_issue_in_national_accoun"/>
      <w:bookmarkEnd w:id="268"/>
      <w:r w:rsidRPr="00B03B51">
        <w:rPr>
          <w:rFonts w:ascii="Times New Roman" w:hAnsi="Times New Roman" w:cs="Times New Roman"/>
          <w:sz w:val="24"/>
        </w:rPr>
        <w:t>3.6.1.3. GALVENĀ PROBLĒMA NACIONĀLAJOS KONTOS</w:t>
      </w:r>
    </w:p>
    <w:p w14:paraId="09EE708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B5F693F" w14:textId="799FC471"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Nododot pensiju saistības valdībai, sabiedrībai ir jāsamaksā (iespējams, vairākos maksājumos noteiktā laika posmā) </w:t>
      </w:r>
      <w:r w:rsidR="00C8200B" w:rsidRPr="00B03B51">
        <w:rPr>
          <w:rFonts w:ascii="Times New Roman" w:hAnsi="Times New Roman" w:cs="Times New Roman"/>
          <w:sz w:val="24"/>
        </w:rPr>
        <w:t>vienreizējs maksājums</w:t>
      </w:r>
      <w:r w:rsidRPr="00B03B51">
        <w:rPr>
          <w:rFonts w:ascii="Times New Roman" w:hAnsi="Times New Roman" w:cs="Times New Roman"/>
          <w:sz w:val="24"/>
        </w:rPr>
        <w:t xml:space="preserve"> (naudā vai citos finanšu aktīvos, piemēram, vērtspapīros</w:t>
      </w:r>
      <w:r w:rsidRPr="00B03B51">
        <w:rPr>
          <w:rStyle w:val="FootnoteReference"/>
          <w:rFonts w:ascii="Times New Roman" w:hAnsi="Times New Roman" w:cs="Times New Roman"/>
          <w:noProof/>
          <w:sz w:val="24"/>
        </w:rPr>
        <w:footnoteReference w:id="167"/>
      </w:r>
      <w:r w:rsidRPr="00B03B51">
        <w:rPr>
          <w:rFonts w:ascii="Times New Roman" w:hAnsi="Times New Roman" w:cs="Times New Roman"/>
          <w:sz w:val="24"/>
        </w:rPr>
        <w:t xml:space="preserve">), lai kompensētu valdībai atbildības uzņemšanos par pensiju apkalpošanu (gan attiecībā uz pensionētajām personām, gan turpmākajiem saņēmējiem, kuri vēl darbojas darba tirgū), ņemot vērā, ka lielākajā daļā gadījumu uz sabiedrības darba ņēmējiem tiks attiecinātas “parastās” sociālā </w:t>
      </w:r>
      <w:r w:rsidR="00FC2434" w:rsidRPr="00B03B51">
        <w:rPr>
          <w:rFonts w:ascii="Times New Roman" w:hAnsi="Times New Roman" w:cs="Times New Roman"/>
          <w:sz w:val="24"/>
        </w:rPr>
        <w:t>no</w:t>
      </w:r>
      <w:r w:rsidRPr="00B03B51">
        <w:rPr>
          <w:rFonts w:ascii="Times New Roman" w:hAnsi="Times New Roman" w:cs="Times New Roman"/>
          <w:sz w:val="24"/>
        </w:rPr>
        <w:t>droš</w:t>
      </w:r>
      <w:r w:rsidR="00FC2434" w:rsidRPr="00B03B51">
        <w:rPr>
          <w:rFonts w:ascii="Times New Roman" w:hAnsi="Times New Roman" w:cs="Times New Roman"/>
          <w:sz w:val="24"/>
        </w:rPr>
        <w:t>inājuma</w:t>
      </w:r>
      <w:r w:rsidRPr="00B03B51">
        <w:rPr>
          <w:rFonts w:ascii="Times New Roman" w:hAnsi="Times New Roman" w:cs="Times New Roman"/>
          <w:sz w:val="24"/>
        </w:rPr>
        <w:t xml:space="preserve"> shēmas saistības, pamatojoties uz </w:t>
      </w:r>
      <w:r w:rsidRPr="00B03B51">
        <w:rPr>
          <w:rFonts w:ascii="Times New Roman" w:hAnsi="Times New Roman" w:cs="Times New Roman"/>
          <w:i/>
          <w:iCs/>
          <w:sz w:val="24"/>
        </w:rPr>
        <w:t>PAYG</w:t>
      </w:r>
      <w:r w:rsidRPr="00B03B51">
        <w:rPr>
          <w:rFonts w:ascii="Times New Roman" w:hAnsi="Times New Roman" w:cs="Times New Roman"/>
          <w:sz w:val="24"/>
        </w:rPr>
        <w:t xml:space="preserve"> sistēmu. Tas nozīmē, ka ar šādu nodošanu jebkura fondēta shēma tajā pat brīdī tiktu pārveidota par nefondētu shēmu. No analītiskā viedokļa var uzskatīt, ka valdība pārņem pensiju saistības, kas tiks uzskatītas par nefondēto shēmu (EKS 2010 nav paredzētas AF.63 saistības) neatkarīgi no tās shēmas būtības, kurā šīs saistības tika atzītas. Dažas operācijas var notikt pirms nodošanas, taču tās skars vienīgi sabiedrības, mājsaimniecību, kā arī, iespējams, pensiju shēmas vai apdrošināšanas sabiedrības, kontus, taču ne valdību (skat. turpmāk). Iespējami arī gadījumi, </w:t>
      </w:r>
      <w:r w:rsidRPr="00B03B51">
        <w:rPr>
          <w:rFonts w:ascii="Times New Roman" w:hAnsi="Times New Roman" w:cs="Times New Roman"/>
          <w:sz w:val="24"/>
        </w:rPr>
        <w:lastRenderedPageBreak/>
        <w:t>kad izmaiņas notiek vienīgi fondētās shēmas pārvaldībā bez izmaiņām shēmas būtībā (t. i., tās izzušana, aizvietojot to ar nefondētu shēmu attiecībā uz tā paša līmeņa pensiju tiesībām).</w:t>
      </w:r>
    </w:p>
    <w:p w14:paraId="365561F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49B1C0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Kad aktīvu vērtība atbilst pensiju saistību vērtībai, tas jāuzskata par finanšu darījumu bez ietekmes uz valdības neto aizdevumu/aizņēmumu (B.9). Aktīvu pārvedums tiek līdzsvarots ar saistībām. Saskaņā ar EKS 2010 20.273.–20.275. punktu tas jāuztver kā finanšu avanss, sociālo iemaksu priekšmaksājums. Šie jaunie dalībnieki, kuri turpmāk veiks parastās iemaksas valdībai tik ilgi, kamēr būs darbspējas vecumā, ir ieguvuši tiesības uz pensijām, lai arī pirms nodošanas nav veikuši iemaksas šajā shēmā. Tas attiecas arī uz personām, kuras nodošanas laikā jau bija kļuvušas par saņēmējiem. Jāatzīmē, ka gadījumā, ja ar kompensācijas pakotni tiktu nodoti kādi nefinanšu aktīvi (piemēram, ēkas), valdības neto aizdevums/aizņēmums (B.9) tiktu ietekmēts, pieaugot bruto pamatkapitāla veidošanai.</w:t>
      </w:r>
    </w:p>
    <w:p w14:paraId="4D8F7C08" w14:textId="77777777" w:rsidR="00994F93" w:rsidRPr="00B03B51" w:rsidRDefault="00994F93" w:rsidP="00994F93">
      <w:pPr>
        <w:jc w:val="both"/>
        <w:rPr>
          <w:rFonts w:ascii="Times New Roman" w:eastAsia="Arial" w:hAnsi="Times New Roman" w:cs="Times New Roman"/>
          <w:noProof/>
          <w:sz w:val="24"/>
          <w:szCs w:val="19"/>
        </w:rPr>
      </w:pPr>
    </w:p>
    <w:p w14:paraId="149614ED"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69" w:name="3.6.2_Treatment_in_national_accounts"/>
      <w:bookmarkStart w:id="270" w:name="_Toc67565107"/>
      <w:bookmarkEnd w:id="269"/>
      <w:r w:rsidRPr="00B03B51">
        <w:rPr>
          <w:rFonts w:ascii="Times New Roman" w:hAnsi="Times New Roman" w:cs="Times New Roman"/>
          <w:sz w:val="24"/>
        </w:rPr>
        <w:t>3.6.2. Traktējums nacionālajos kontos</w:t>
      </w:r>
      <w:bookmarkEnd w:id="270"/>
    </w:p>
    <w:p w14:paraId="5CAD8FA7" w14:textId="77777777" w:rsidR="00994F93" w:rsidRPr="00721944" w:rsidRDefault="00994F93" w:rsidP="00721944">
      <w:pPr>
        <w:rPr>
          <w:rFonts w:ascii="Times New Roman" w:hAnsi="Times New Roman" w:cs="Times New Roman"/>
          <w:noProof/>
          <w:sz w:val="24"/>
          <w:szCs w:val="24"/>
        </w:rPr>
      </w:pPr>
      <w:bookmarkStart w:id="271" w:name="3.6.2.1_Case_1_—_The_pension_obligations"/>
      <w:bookmarkEnd w:id="271"/>
    </w:p>
    <w:p w14:paraId="096CE56B" w14:textId="77777777" w:rsidR="00994F93" w:rsidRPr="00B03B51" w:rsidRDefault="00994F93" w:rsidP="00994F93">
      <w:pPr>
        <w:pStyle w:val="Heading6"/>
        <w:tabs>
          <w:tab w:val="left" w:pos="1267"/>
          <w:tab w:val="left" w:pos="2077"/>
          <w:tab w:val="left" w:pos="2401"/>
          <w:tab w:val="left" w:pos="2827"/>
          <w:tab w:val="left" w:pos="3467"/>
          <w:tab w:val="left" w:pos="4661"/>
          <w:tab w:val="left" w:pos="6396"/>
          <w:tab w:val="left" w:pos="7056"/>
          <w:tab w:val="left" w:pos="9406"/>
        </w:tabs>
        <w:ind w:left="0" w:firstLine="0"/>
        <w:jc w:val="both"/>
        <w:rPr>
          <w:rFonts w:ascii="Times New Roman" w:hAnsi="Times New Roman" w:cs="Times New Roman"/>
          <w:noProof/>
          <w:sz w:val="24"/>
        </w:rPr>
      </w:pPr>
      <w:r w:rsidRPr="00B03B51">
        <w:rPr>
          <w:rFonts w:ascii="Times New Roman" w:hAnsi="Times New Roman" w:cs="Times New Roman"/>
          <w:sz w:val="24"/>
        </w:rPr>
        <w:t>3.6.2.1. PIRMAIS GADĪJUMS – PENSIJU SAISTĪBAS NETIEK ATZĪTAS VALDĪBAS KONTOS</w:t>
      </w:r>
    </w:p>
    <w:p w14:paraId="31A9F4FE"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02873D0" w14:textId="27211284"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Pirmais gadījums ir darba devēja pensiju saistību nodošana nefondētajai shēmai valdības atbildībā, t. i., sociālā nodrošinā</w:t>
      </w:r>
      <w:r w:rsidR="0029364E" w:rsidRPr="00B03B51">
        <w:rPr>
          <w:rFonts w:ascii="Times New Roman" w:hAnsi="Times New Roman" w:cs="Times New Roman"/>
          <w:sz w:val="24"/>
        </w:rPr>
        <w:t>juma</w:t>
      </w:r>
      <w:r w:rsidRPr="00B03B51">
        <w:rPr>
          <w:rFonts w:ascii="Times New Roman" w:hAnsi="Times New Roman" w:cs="Times New Roman"/>
          <w:sz w:val="24"/>
        </w:rPr>
        <w:t xml:space="preserve"> shēmai. Saistības (to pašreizējā vērtība) jāaprēķina, pamatojoties uz dažādiem pensiju parametriem, kas novēroti konkrētā nodošanas brīdī, nevis uz noteiktiem valdības turpmākajiem lēmumiem, ar ko tiek mainīti atsevišķi šajā aprēķinā izmantotie parametri, piemēram, diskonta likme.</w:t>
      </w:r>
      <w:r w:rsidRPr="00B03B51">
        <w:rPr>
          <w:rStyle w:val="FootnoteReference"/>
          <w:rFonts w:ascii="Times New Roman" w:hAnsi="Times New Roman" w:cs="Times New Roman"/>
          <w:noProof/>
          <w:sz w:val="24"/>
        </w:rPr>
        <w:footnoteReference w:id="168"/>
      </w:r>
      <w:r w:rsidRPr="00B03B51">
        <w:rPr>
          <w:rFonts w:ascii="Times New Roman" w:hAnsi="Times New Roman" w:cs="Times New Roman"/>
          <w:sz w:val="24"/>
        </w:rPr>
        <w:t xml:space="preserve"> Pat tad, ja neilgi pēc nodošanas valdība mainītu dažus parametrus (piemēram, pensiju līmeni vai noteikto iemaksu veikšanas laiku), piemēram, pielīdzinot tos valdības shēmas parametriem, tas tiktu apsvērts neatkarīgi no sākotnējiem apstākļiem, kādos nodošana tika veikta. Darba devēja pensiju shēma faktiski tiktu “likvidēta” tieši pirms nodošanas un ierakstīta vienīgi sabiedrību un mājsaimniecību kontos (kas skartu shēmas un mājsaimniecību kontus vienīgi kā K.62 cita plūsma tādā apjomā, kāds atbilst dzēstajām AF.63 saistībām), un šajā gadījumā tiktu uzskatīts, ka aktīvi no mājsaimniecībām ir nodoti valdībai. Tas nemaina ietekmi uz valdības kontiem, bet vienīgi partnersektoru.</w:t>
      </w:r>
    </w:p>
    <w:p w14:paraId="0AEFCD9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CAF5B06" w14:textId="7055134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Principā šajā gadījumā tiek pieņemts, ka parasti “vienreizēj</w:t>
      </w:r>
      <w:r w:rsidR="0029364E" w:rsidRPr="00B03B51">
        <w:rPr>
          <w:rFonts w:ascii="Times New Roman" w:hAnsi="Times New Roman" w:cs="Times New Roman"/>
          <w:sz w:val="24"/>
        </w:rPr>
        <w:t>ais</w:t>
      </w:r>
      <w:r w:rsidR="002E6ABB" w:rsidRPr="00B03B51">
        <w:rPr>
          <w:rFonts w:ascii="Times New Roman" w:hAnsi="Times New Roman" w:cs="Times New Roman"/>
          <w:sz w:val="24"/>
        </w:rPr>
        <w:t xml:space="preserve"> maksājums</w:t>
      </w:r>
      <w:r w:rsidRPr="00B03B51">
        <w:rPr>
          <w:rFonts w:ascii="Times New Roman" w:hAnsi="Times New Roman" w:cs="Times New Roman"/>
          <w:sz w:val="24"/>
        </w:rPr>
        <w:t>”, kas tiek maksāt</w:t>
      </w:r>
      <w:r w:rsidR="002E6ABB" w:rsidRPr="00B03B51">
        <w:rPr>
          <w:rFonts w:ascii="Times New Roman" w:hAnsi="Times New Roman" w:cs="Times New Roman"/>
          <w:sz w:val="24"/>
        </w:rPr>
        <w:t>s</w:t>
      </w:r>
      <w:r w:rsidRPr="00B03B51">
        <w:rPr>
          <w:rFonts w:ascii="Times New Roman" w:hAnsi="Times New Roman" w:cs="Times New Roman"/>
          <w:sz w:val="24"/>
        </w:rPr>
        <w:t xml:space="preserve"> valdībai, atbilst vai atbildīs</w:t>
      </w:r>
      <w:r w:rsidRPr="00B03B51">
        <w:rPr>
          <w:rStyle w:val="FootnoteReference"/>
          <w:rFonts w:ascii="Times New Roman" w:hAnsi="Times New Roman" w:cs="Times New Roman"/>
          <w:noProof/>
          <w:sz w:val="24"/>
        </w:rPr>
        <w:footnoteReference w:id="169"/>
      </w:r>
      <w:r w:rsidRPr="00B03B51">
        <w:rPr>
          <w:rFonts w:ascii="Times New Roman" w:hAnsi="Times New Roman" w:cs="Times New Roman"/>
          <w:sz w:val="24"/>
        </w:rPr>
        <w:t xml:space="preserve"> pensiju saistībām, ko valdība uzņemas. Valdības bilancē nav jāieraksta AF.63 saistības, bet gan vienīgi AF.89 saistības atbilstoši pretī saņemto aktīvu vērtībai. Nodošanas laikā tas neietekmē valdības neto aizdevumu/aizņēmumu (B.9) (ja vien netiek nodoti arī nefinanšu aktīvi). Ietekme uz valdības neto aizdevumu/aizņēmumu (B.9) parādītos tikai pēc šo AF.8 saistību dzēšanas.</w:t>
      </w:r>
    </w:p>
    <w:p w14:paraId="5E43B2F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636B4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Izņēmuma gadījumos var pastāvēt pierādījumi, pamatojoties uz noteiktu publiski pieejamu informāciju un ekspertu un/vai parlamentārā apspriedē panāktu vienprātību, ka neto faktisko pensiju saistību novērtējums ir zemāks par to patieso vērtību</w:t>
      </w:r>
      <w:r w:rsidRPr="00B03B51">
        <w:rPr>
          <w:rStyle w:val="FootnoteReference"/>
          <w:rFonts w:ascii="Times New Roman" w:hAnsi="Times New Roman" w:cs="Times New Roman"/>
          <w:noProof/>
          <w:sz w:val="24"/>
        </w:rPr>
        <w:footnoteReference w:id="170"/>
      </w:r>
      <w:r w:rsidRPr="00B03B51">
        <w:rPr>
          <w:rFonts w:ascii="Times New Roman" w:hAnsi="Times New Roman" w:cs="Times New Roman"/>
          <w:sz w:val="24"/>
        </w:rPr>
        <w:t xml:space="preserve"> vai ka valdība apmaiņā pret šādu pensiju saistību pārņemšanu nav saņēmusi pietiekami daudz aktīvu, novērtējot šos aktīvus </w:t>
      </w:r>
      <w:r w:rsidRPr="00B03B51">
        <w:rPr>
          <w:rFonts w:ascii="Times New Roman" w:hAnsi="Times New Roman" w:cs="Times New Roman"/>
          <w:sz w:val="24"/>
        </w:rPr>
        <w:lastRenderedPageBreak/>
        <w:t>ar vispārpieņemtiem aprēķināšanas paņēmieniem. Šādos gadījumos atkārtoti jānovērtē iepriekš minētās AF.89 saistības un konkrētajā brīdī jāieraksta ikviena atšķirība starp šo jauno saistību summu un visu to aktīvu vērtību, kas saņemti kā kompensācija un kapitāla pārvedums un uzreiz ietekmē valdības neto aizdevumu/aizņēmumu (B.9). Šajā gadījumā tiktu uzskatīts, ka valdība ir apzināti piekritusi nelīdzsvarotam darījumam ar skaidru nolūku sniegt atbalstu sabiedrībai.</w:t>
      </w:r>
    </w:p>
    <w:p w14:paraId="5BC515B1" w14:textId="77777777" w:rsidR="00994F93" w:rsidRPr="00B03B51" w:rsidRDefault="00994F93" w:rsidP="00994F93">
      <w:pPr>
        <w:jc w:val="both"/>
        <w:rPr>
          <w:rFonts w:ascii="Times New Roman" w:hAnsi="Times New Roman" w:cs="Times New Roman"/>
          <w:noProof/>
          <w:sz w:val="24"/>
        </w:rPr>
      </w:pPr>
    </w:p>
    <w:p w14:paraId="32DE02DD"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72" w:name="3.6.2.2_Case_2_—_The_pension_obligations"/>
      <w:bookmarkEnd w:id="272"/>
      <w:r w:rsidRPr="00B03B51">
        <w:rPr>
          <w:rFonts w:ascii="Times New Roman" w:hAnsi="Times New Roman" w:cs="Times New Roman"/>
          <w:sz w:val="24"/>
        </w:rPr>
        <w:t>3.6.2.2. OTRAIS GADĪJUMS – PENSIJU SAISTĪBAS TIEK ATZĪTAS VALDĪBAS KONTOS</w:t>
      </w:r>
    </w:p>
    <w:p w14:paraId="0A20B0C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2A89A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Šajā gadījumā pensiju saistības tiek nodotas valdībai, kas vismaz pirmajā periodā ievieto tās shēmā, kur saņēmēju tiesības tiek atzītas nacionālajos pamatkontos ar AF.63 saistībām valdības kontos. Tomēr valdība visticamāk nepārņems pensiju administratora pienākumus, tāpēc shēma tiks klasificēta kā S.129 vai S.128.</w:t>
      </w:r>
    </w:p>
    <w:p w14:paraId="31EE95F8"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8FC129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shēma nacionālajos kontos tomēr tiktu klasificēta pensiju apakšsektorā, valdībai no sabiedrības pārņemot “pārvaldītāja” pienākumus, taču ne “administratora” pienākumus, šo izmaiņu laikā sabiedrībai tiktu sniegts līdzekļu prasījums, ja shēmas finansējums nebūtu pietiekams (EKS 2010 ierakstīts kā AF.64). Atbilstošā summa jāuztver kā parādsaistību uzņemšanās, tāpēc kapitāla pārvedums sabiedrībai no valdības jāieraksta neatkarīgi no tā, ka valdība pēc pārveduma veic pasākumus, lai uzlabotu fonda neto stāvokli.</w:t>
      </w:r>
    </w:p>
    <w:p w14:paraId="6961762E"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AFFA85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Kopumā pamatpieņēmums ir tas, ka valdībai nodoto aktīvu tirgus vērtība (skaidra nauda, akcijas, parāda vērtspapīri un, iespējams, arī nefinanšu aktīvi) atbilst tajā laikā nodoto pensiju saistību (kas nacionālajos kontos ierakstītas kā AF.63) vērtībai. Līdz ar to šī ekvivalence neietekmē valdības neto aizdevumu/aizņēmumu (B.9) (izņemot nefinanšu aktīvus atbilstīgi tam, kā minēts iepriekš). Ja tomēr finanšu aktīvu tirgus vērtība atšķiras no saistību vērtības (kā minēts iepriekš, tas nav attiecināms uz noteiktu iemaksu shēmu), pārveduma laikā pastāvošā starpība jāieraksta kā kapitāla pārvedums, kas ietekmē neto aizdevumu/aizņēmumu (B.9), lai atspoguļotu nelīdzsvarota darījuma radīto valdības neto vērtības samazinājumu.</w:t>
      </w:r>
    </w:p>
    <w:p w14:paraId="1CE8EA98" w14:textId="77777777" w:rsidR="00994F93" w:rsidRPr="00B03B51" w:rsidRDefault="00994F93" w:rsidP="00994F93">
      <w:pPr>
        <w:jc w:val="both"/>
        <w:rPr>
          <w:rFonts w:ascii="Times New Roman" w:eastAsia="Arial" w:hAnsi="Times New Roman" w:cs="Times New Roman"/>
          <w:noProof/>
          <w:sz w:val="24"/>
          <w:szCs w:val="15"/>
        </w:rPr>
      </w:pPr>
    </w:p>
    <w:p w14:paraId="2E7C816B"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73" w:name="3.6.2.3_The_recording_of_transactions_af"/>
      <w:bookmarkEnd w:id="273"/>
      <w:r w:rsidRPr="00B03B51">
        <w:rPr>
          <w:rFonts w:ascii="Times New Roman" w:hAnsi="Times New Roman" w:cs="Times New Roman"/>
          <w:sz w:val="24"/>
        </w:rPr>
        <w:t>3.6.2.3. DARĪJUMU IERAKSTĪŠANA PĒC NODOŠANAS</w:t>
      </w:r>
    </w:p>
    <w:p w14:paraId="797DA22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3C3EDB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Pēc nodošanas tas, ka valdība pārvalda shēmu (proti, saņem sociālos maksājumus un izmaksā pensiju pabalstus, tos abus ierakstot atbilstoši uzkrāšanas principam), nedrīkst skart valdības neto aizdevumu/aizņēmumu (B.9) līdz brīdim, kad tiek pilnīgi dzēstas AF.8 saistības. Tas nozīmē maksājumu avansā, kas ir “jāamortizē” D.759 nosacīto ieņēmumu formā, kompensējot pabalstu faktisko izmaksāšanu bijušās darba devēja shēmas pensionāriem. Šī pakāpeniskā saistību dzēšana var tikt īstenota saskaņā ar plānotu pabalsta maksājumu grafiku vai praktisku iemeslu dēļ būt veidota kā lineāra trūkstošās vērtības aprēķināšana attiecībā uz konkrēto laika posmu (piemēram, 20–25 gadiem). Svarīgi atzīmēt, ka nav būtiski pārbaudīt, vai pensiju izmaksa bijušajiem sabiedrības darbiniekiem precīzi atbilst tam, kas bija paredzēts nodošanas brīdī. Citiem vārdiem sakot, realitātē valdība, visticamāk, varētu faktiski izmaksāt summu, kas aptuveni atbilst tai, kura bija paredzēta nodošanas laikā</w:t>
      </w:r>
      <w:r w:rsidRPr="00B03B51">
        <w:rPr>
          <w:rStyle w:val="FootnoteReference"/>
          <w:rFonts w:ascii="Times New Roman" w:hAnsi="Times New Roman" w:cs="Times New Roman"/>
          <w:noProof/>
          <w:sz w:val="24"/>
        </w:rPr>
        <w:footnoteReference w:id="171"/>
      </w:r>
      <w:r w:rsidRPr="00B03B51">
        <w:rPr>
          <w:rFonts w:ascii="Times New Roman" w:hAnsi="Times New Roman" w:cs="Times New Roman"/>
          <w:sz w:val="24"/>
        </w:rPr>
        <w:t>, un tas netieši ietekmētu valdības neto aizdevumu/aizņēmumu (B.9). Šāds gadījums rastos jo īpaši tādēļ, ka tiek pārskatīti daži parametri.</w:t>
      </w:r>
    </w:p>
    <w:p w14:paraId="6E8477D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AF6BA43" w14:textId="0E6BD1C6"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 xml:space="preserve">16. Tomēr saistībā ar laika ekvivalenci šī situācija pabalstu faktiskās izmaksāšanas brīdī ir jāpagriež pretējā virzienā, jo saistības tiek aprēķinātas izrietoši no pastāvošajiem apstākļiem </w:t>
      </w:r>
      <w:r w:rsidRPr="00B03B51">
        <w:rPr>
          <w:rFonts w:ascii="Times New Roman" w:hAnsi="Times New Roman" w:cs="Times New Roman"/>
          <w:sz w:val="24"/>
        </w:rPr>
        <w:lastRenderedPageBreak/>
        <w:t xml:space="preserve">(visiem izdevumiem nākotnē ir zemāka faktiskā vērtība). Šā iemesla dēļ arī procentu izdevumi ir jāpiedēvē valdības nefinanšu kontam. Šajā saistībā var izmantot diskonta likmi, kas izmantota tam, lai aprēķinātu pensiju saistības brīdī, kad tās tiek nodotas valdībai, vai valdības ilgtermiņa procentu pamatlikmi. </w:t>
      </w:r>
      <w:r w:rsidR="00F80FC3" w:rsidRPr="00B03B51">
        <w:rPr>
          <w:rFonts w:ascii="Times New Roman" w:hAnsi="Times New Roman" w:cs="Times New Roman"/>
          <w:sz w:val="24"/>
        </w:rPr>
        <w:t>Vienreizējā maksājumā</w:t>
      </w:r>
      <w:r w:rsidRPr="00B03B51">
        <w:rPr>
          <w:rFonts w:ascii="Times New Roman" w:hAnsi="Times New Roman" w:cs="Times New Roman"/>
          <w:sz w:val="24"/>
        </w:rPr>
        <w:t xml:space="preserve"> var ieguldīt īpašam mērķim paredzētus aktīvus (darījuma konts), no kuriem gūtie ieņēmumi tiks izmantoti saistību vērtības palielināšanai (no neto pašreizējās vērtības līdz faktiskajai vērtībai). Parasti valdība tā nerīkojas, </w:t>
      </w:r>
      <w:r w:rsidR="00DD4B3F" w:rsidRPr="00B03B51">
        <w:rPr>
          <w:rFonts w:ascii="Times New Roman" w:hAnsi="Times New Roman" w:cs="Times New Roman"/>
          <w:sz w:val="24"/>
        </w:rPr>
        <w:t>vienreizējo maksājumu</w:t>
      </w:r>
      <w:r w:rsidRPr="00B03B51">
        <w:rPr>
          <w:rFonts w:ascii="Times New Roman" w:hAnsi="Times New Roman" w:cs="Times New Roman"/>
          <w:sz w:val="24"/>
        </w:rPr>
        <w:t xml:space="preserve"> izmantojot tam, lai samazinātu tās aizņemšanās vajadzības nodošanas gadā. Tomēr šajā gadījumā, samazinoties aizņēmumam, valdībai rodas “neplānots guvums”, un konceptuāli tas būtu līdzvērtīgs ieguldījumam aktīvos.</w:t>
      </w:r>
      <w:r w:rsidRPr="00B03B51">
        <w:rPr>
          <w:rStyle w:val="FootnoteReference"/>
          <w:rFonts w:ascii="Times New Roman" w:hAnsi="Times New Roman" w:cs="Times New Roman"/>
          <w:noProof/>
          <w:sz w:val="24"/>
        </w:rPr>
        <w:footnoteReference w:id="172"/>
      </w:r>
    </w:p>
    <w:p w14:paraId="1654950D" w14:textId="77777777" w:rsidR="00994F93" w:rsidRPr="00B03B51" w:rsidRDefault="00994F93" w:rsidP="00994F93">
      <w:pPr>
        <w:jc w:val="both"/>
        <w:rPr>
          <w:rFonts w:ascii="Times New Roman" w:hAnsi="Times New Roman" w:cs="Times New Roman"/>
          <w:noProof/>
          <w:sz w:val="24"/>
          <w:szCs w:val="12"/>
        </w:rPr>
      </w:pPr>
    </w:p>
    <w:p w14:paraId="45E6DF2D"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74" w:name="3.6.3_Rationale_of_the_treatment"/>
      <w:bookmarkStart w:id="275" w:name="_Toc67565108"/>
      <w:bookmarkEnd w:id="274"/>
      <w:r w:rsidRPr="00B03B51">
        <w:rPr>
          <w:rFonts w:ascii="Times New Roman" w:hAnsi="Times New Roman" w:cs="Times New Roman"/>
          <w:sz w:val="24"/>
        </w:rPr>
        <w:t>3.6.3. Traktējuma pamatojums</w:t>
      </w:r>
      <w:bookmarkEnd w:id="275"/>
    </w:p>
    <w:p w14:paraId="450C97D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F28F7E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Turpmāk sniegtas galvenās atsauces uz EKS 2010.</w:t>
      </w:r>
    </w:p>
    <w:p w14:paraId="31BC387C" w14:textId="77777777" w:rsidR="00994F93" w:rsidRPr="00B03B51" w:rsidRDefault="00994F93" w:rsidP="00994F93">
      <w:pPr>
        <w:jc w:val="both"/>
        <w:rPr>
          <w:rFonts w:ascii="Times New Roman" w:hAnsi="Times New Roman" w:cs="Times New Roman"/>
          <w:noProof/>
          <w:sz w:val="24"/>
        </w:rPr>
      </w:pPr>
    </w:p>
    <w:p w14:paraId="1CCFAA6A" w14:textId="77777777" w:rsidR="00994F93" w:rsidRPr="00B03B51" w:rsidRDefault="00994F93" w:rsidP="00994F93">
      <w:pPr>
        <w:jc w:val="both"/>
        <w:rPr>
          <w:rFonts w:ascii="Times New Roman" w:hAnsi="Times New Roman" w:cs="Times New Roman"/>
          <w:i/>
          <w:noProof/>
          <w:sz w:val="24"/>
        </w:rPr>
      </w:pPr>
      <w:r w:rsidRPr="00B03B51">
        <w:rPr>
          <w:rFonts w:ascii="Times New Roman" w:hAnsi="Times New Roman" w:cs="Times New Roman"/>
          <w:sz w:val="24"/>
        </w:rPr>
        <w:t xml:space="preserve">EKS 2010 20.273. punkts: </w:t>
      </w:r>
      <w:r w:rsidRPr="00B03B51">
        <w:rPr>
          <w:rFonts w:ascii="Times New Roman" w:hAnsi="Times New Roman" w:cs="Times New Roman"/>
          <w:i/>
          <w:sz w:val="24"/>
        </w:rPr>
        <w:t>Atsevišķos gadījumos vienības var maksāt vienreizēju maksājumu valdībai par atsevišķu to pensiju saistību pārņemšanu. Šādi lieli vienreizēji darījumi notiek starp valdību un citu vienību, parasti publisku sabiedrību, un tie bieži ir saistīti ar pārmaiņām sabiedrības statusā vai ar tās privatizāciju. Valdība parasti pārņem attiecīgās saistības apmaiņā pret maksājumu naudā, kas sedz paredzamo pārveduma radīto neto aizņēmumu (deficītu)</w:t>
      </w:r>
      <w:r w:rsidRPr="00B03B51">
        <w:rPr>
          <w:rFonts w:ascii="Times New Roman" w:hAnsi="Times New Roman" w:cs="Times New Roman"/>
          <w:sz w:val="24"/>
        </w:rPr>
        <w:t>.</w:t>
      </w:r>
    </w:p>
    <w:p w14:paraId="65C97547" w14:textId="77777777" w:rsidR="00994F93" w:rsidRPr="00B03B51" w:rsidRDefault="00994F93" w:rsidP="00994F93">
      <w:pPr>
        <w:tabs>
          <w:tab w:val="left" w:pos="843"/>
        </w:tabs>
        <w:jc w:val="both"/>
        <w:rPr>
          <w:rFonts w:ascii="Times New Roman" w:hAnsi="Times New Roman" w:cs="Times New Roman"/>
          <w:noProof/>
          <w:sz w:val="24"/>
        </w:rPr>
      </w:pPr>
    </w:p>
    <w:p w14:paraId="7CA51DA6" w14:textId="71EEA77B" w:rsidR="00994F93" w:rsidRPr="00B03B51" w:rsidRDefault="00994F93" w:rsidP="00994F93">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18. EKS 2010 20.274. punkts: </w:t>
      </w:r>
      <w:r w:rsidRPr="00B03B51">
        <w:rPr>
          <w:rFonts w:ascii="Times New Roman" w:hAnsi="Times New Roman" w:cs="Times New Roman"/>
          <w:i/>
          <w:sz w:val="24"/>
        </w:rPr>
        <w:t>Tā kā konceptuāli darījums ir līdzvērtīgs naudas apmaiņai pret pienākuma pārņemšanu, kas ir saistība, darījumam nevajadzētu ietekmēt neto vērtības un finanšu neto vērtības mērus, ne arī izmainīt valdības neto aizdevumus/aizņēmumus (B.9). Tomēr pensiju saistības var neparādīties kā saistības nevienas vienības (ne tās, kas nodod, ne tās, kas pārņem saistības) bilancē. Piemēram, pensiju saistības, ja tās nodod valdībai, var tikt apvienotas ar sociālā nodrošinā</w:t>
      </w:r>
      <w:r w:rsidR="003815B2" w:rsidRPr="00B03B51">
        <w:rPr>
          <w:rFonts w:ascii="Times New Roman" w:hAnsi="Times New Roman" w:cs="Times New Roman"/>
          <w:i/>
          <w:sz w:val="24"/>
        </w:rPr>
        <w:t>juma</w:t>
      </w:r>
      <w:r w:rsidRPr="00B03B51">
        <w:rPr>
          <w:rFonts w:ascii="Times New Roman" w:hAnsi="Times New Roman" w:cs="Times New Roman"/>
          <w:i/>
          <w:sz w:val="24"/>
        </w:rPr>
        <w:t xml:space="preserve"> shēmu, kurai neatzīst saistības</w:t>
      </w:r>
      <w:r w:rsidRPr="00B03B51">
        <w:rPr>
          <w:rStyle w:val="FootnoteReference"/>
          <w:rFonts w:ascii="Times New Roman" w:hAnsi="Times New Roman" w:cs="Times New Roman"/>
          <w:noProof/>
          <w:sz w:val="24"/>
        </w:rPr>
        <w:footnoteReference w:id="173"/>
      </w:r>
      <w:r w:rsidRPr="00B03B51">
        <w:rPr>
          <w:rFonts w:ascii="Times New Roman" w:hAnsi="Times New Roman" w:cs="Times New Roman"/>
          <w:i/>
          <w:sz w:val="24"/>
        </w:rPr>
        <w:t>.</w:t>
      </w:r>
    </w:p>
    <w:p w14:paraId="656F68FB" w14:textId="77777777" w:rsidR="00994F93" w:rsidRPr="00B03B51" w:rsidRDefault="00994F93" w:rsidP="00994F93">
      <w:pPr>
        <w:tabs>
          <w:tab w:val="left" w:pos="843"/>
        </w:tabs>
        <w:jc w:val="both"/>
        <w:rPr>
          <w:rFonts w:ascii="Times New Roman" w:hAnsi="Times New Roman" w:cs="Times New Roman"/>
          <w:noProof/>
          <w:sz w:val="24"/>
        </w:rPr>
      </w:pPr>
    </w:p>
    <w:p w14:paraId="7E1B52CD" w14:textId="77777777" w:rsidR="00994F93" w:rsidRPr="00B03B51" w:rsidRDefault="00994F93" w:rsidP="00994F93">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19. EKS 2010 20.275. punktā noteikts: </w:t>
      </w:r>
      <w:r w:rsidRPr="00B03B51">
        <w:rPr>
          <w:rFonts w:ascii="Times New Roman" w:hAnsi="Times New Roman" w:cs="Times New Roman"/>
          <w:i/>
          <w:sz w:val="24"/>
        </w:rPr>
        <w:t>Šajā kontekstā šādu vienreizēju maksājumu uzskata par sociālo iemaksu priekšapmaksu. Ņemot vērā dažādas praksē novērotas vienošanās un lai izvairītos no jebkādiem sagrozījumiem dažu agregātu, piemēram, darbaspēka izmaksu un obligāto nodevu, aprēķinā, vienreizēju maksājumu ieraksta kā finanšu avansu (F.8) – dažādu kārtējo pārvedumu (D.75) priekšapmaksu, ko ierakstīs nākotnē proporcionāli attiecīgajiem pensiju maksājumiem. Rezultātā vienreizējs maksājums neietekmē vispārējās valdības neto aizdevumus/aizņēmumus (B.9) gadā, kurā tiek nodotas saistības</w:t>
      </w:r>
      <w:r w:rsidRPr="00B03B51">
        <w:rPr>
          <w:rFonts w:ascii="Times New Roman" w:hAnsi="Times New Roman" w:cs="Times New Roman"/>
          <w:sz w:val="24"/>
        </w:rPr>
        <w:t>.</w:t>
      </w:r>
    </w:p>
    <w:p w14:paraId="794478B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2D7A9D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Gadījumā, ja saistības, ko valdība uzņemas, nav atzītas tās bilancē, kapitāla pārvedumu parasti neieraksta. Tiek pieņemts, ka šādi pārvedumi parasti notiek saskaņā ar procedūru, ar kuru nodrošina, ka valdība saņem “godīgu” kompensāciju. Pastāv demokrātijas kontrole, ko īsteno parlaments, un tādiem gadījumiem, kad valdība faktiski saņem būtiski nepietiekamu kompensāciju un iesaistās “neizdevīgā darījumā”, ko apliecinātu neatkarīgi eksperti, būtu jānotiek ārkārtīgi reti. Turklāt parasti būtu nepieciešama Eiropas Komisijas piekrišana, jo pensiju saistību nepietiekamu samazināšanu bez atbilstoša samazinājuma sabiedrības aktīvos, sniedzot kompensāciju valdībai, atbilstīgi konkurences noteikumiem varētu uzskatīt par izkropļojuma avotu, šādiem nelīdzsvarotiem darījumiem nekavējoties uzlabojot sabiedrības finanšu stāvokli (kas atbilstīgi tam, kā minēts iepriekš, parasti ir iemesls šādas operācijas </w:t>
      </w:r>
      <w:r w:rsidRPr="00B03B51">
        <w:rPr>
          <w:rFonts w:ascii="Times New Roman" w:hAnsi="Times New Roman" w:cs="Times New Roman"/>
          <w:sz w:val="24"/>
        </w:rPr>
        <w:lastRenderedPageBreak/>
        <w:t>īstenošanai). Tas tiktu uzskatīts par nepārprotamu valdības atbalstu sabiedrībai, kas pārredzamības nodrošināšanas nolūkā un pēc būtības ir jāieraksta nacionālajos kontos.</w:t>
      </w:r>
    </w:p>
    <w:p w14:paraId="369C9C1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11BF9A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Tomēr šādi nelīdzsvarotas kompensācijas gadījumi faktiski var notikt īpašu apstākļu ietekmē un dažādu iemeslu dēļ (piemēram, uz sabiedrībām nav attiecināmi konkurences noteikumi, ņemot vērā to darbības jomu vai to, ka tajā brīdī tiek īstenots privatizācijas plāns). Tāpēc šajā rokasgrāmatā ir jāpapildina EKS 2010, jo iepriekš minētajā gadījumā tiktu ietekmēta gan valdības neto vērtība (negatīva ietekme), gan darījumā iesaistītās sabiedrības neto vērtība (pozitīva ietekme).</w:t>
      </w:r>
    </w:p>
    <w:p w14:paraId="1945BF2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3C3378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Saskaņā ar vispārīgu principu kapitāla pārvedums jāieraksta nacionālajos kontos, kad valdība īsteno nevienlīdzīgu darījumu un ir pierādījumi, ka tas netiek darīts “tikai komerciālos nolūkos”, kas nozīmētu, ka abiem darījuma posmiem jābūt savstarpējā līdzsvarā. EKS 2010 5.21. punktā noteikts, ka finanšu darījuma (pilnīga vai daļēja) pretējā pārveduma gadījumā </w:t>
      </w:r>
      <w:r w:rsidRPr="00B03B51">
        <w:rPr>
          <w:rFonts w:ascii="Times New Roman" w:hAnsi="Times New Roman" w:cs="Times New Roman"/>
          <w:i/>
          <w:sz w:val="24"/>
        </w:rPr>
        <w:t>par darījuma vērtību uzskata iesaistīto finanšu aktīvu un/vai saistību pašreizējo tirgus vērtību</w:t>
      </w:r>
      <w:r w:rsidRPr="00B03B51">
        <w:rPr>
          <w:rFonts w:ascii="Times New Roman" w:hAnsi="Times New Roman" w:cs="Times New Roman"/>
          <w:sz w:val="24"/>
        </w:rPr>
        <w:t>. Citiem vārdiem sakot, finanšu darījums tiek ierakstīts par summu, kas augstāka par novēroto summu, un tajā iekļauta pārveduma komponente, kura ir pievienota to aktīvu faktiskajai summai, ar kuriem puses apmainās.</w:t>
      </w:r>
    </w:p>
    <w:p w14:paraId="1336E3C8" w14:textId="77777777" w:rsidR="00994F93" w:rsidRPr="00B03B51" w:rsidRDefault="00994F93" w:rsidP="00994F93">
      <w:pPr>
        <w:jc w:val="both"/>
        <w:rPr>
          <w:rFonts w:ascii="Times New Roman" w:eastAsia="Arial" w:hAnsi="Times New Roman" w:cs="Times New Roman"/>
          <w:iCs/>
          <w:noProof/>
          <w:sz w:val="24"/>
          <w:szCs w:val="19"/>
        </w:rPr>
      </w:pPr>
    </w:p>
    <w:p w14:paraId="3BCD350A" w14:textId="4433D37C" w:rsidR="00994F93" w:rsidRPr="00B03B51" w:rsidRDefault="00994F93" w:rsidP="00994F93">
      <w:pPr>
        <w:jc w:val="both"/>
        <w:rPr>
          <w:rFonts w:ascii="Times New Roman" w:eastAsia="Arial" w:hAnsi="Times New Roman" w:cs="Times New Roman"/>
          <w:noProof/>
          <w:sz w:val="24"/>
          <w:szCs w:val="19"/>
        </w:rPr>
      </w:pPr>
      <w:r w:rsidRPr="00B03B51">
        <w:rPr>
          <w:rFonts w:ascii="Times New Roman" w:hAnsi="Times New Roman" w:cs="Times New Roman"/>
          <w:sz w:val="24"/>
          <w:szCs w:val="19"/>
        </w:rPr>
        <w:t>23.</w:t>
      </w:r>
      <w:r w:rsidRPr="00B03B51">
        <w:rPr>
          <w:rFonts w:ascii="Times New Roman" w:hAnsi="Times New Roman" w:cs="Times New Roman"/>
          <w:i/>
          <w:sz w:val="24"/>
          <w:szCs w:val="19"/>
        </w:rPr>
        <w:t xml:space="preserve"> </w:t>
      </w:r>
      <w:r w:rsidRPr="00B03B51">
        <w:rPr>
          <w:rFonts w:ascii="Times New Roman" w:hAnsi="Times New Roman" w:cs="Times New Roman"/>
          <w:sz w:val="24"/>
          <w:szCs w:val="19"/>
        </w:rPr>
        <w:t xml:space="preserve">Attiecībā uz gadījumu, kad tiek nodotas pensiju saistības, NKS 2008 17.188. punktā ir skaidri noteikts tas, kā jāieraksta atšķirība starp </w:t>
      </w:r>
      <w:r w:rsidR="00EB757D" w:rsidRPr="00B03B51">
        <w:rPr>
          <w:rFonts w:ascii="Times New Roman" w:hAnsi="Times New Roman" w:cs="Times New Roman"/>
          <w:sz w:val="24"/>
          <w:szCs w:val="19"/>
        </w:rPr>
        <w:t>vienreizējo maksājumu</w:t>
      </w:r>
      <w:r w:rsidRPr="00B03B51">
        <w:rPr>
          <w:rFonts w:ascii="Times New Roman" w:hAnsi="Times New Roman" w:cs="Times New Roman"/>
          <w:sz w:val="24"/>
          <w:szCs w:val="19"/>
        </w:rPr>
        <w:t xml:space="preserve"> un pensiju saistībām: </w:t>
      </w:r>
      <w:r w:rsidRPr="00B03B51">
        <w:rPr>
          <w:rFonts w:ascii="Times New Roman" w:hAnsi="Times New Roman" w:cs="Times New Roman"/>
          <w:i/>
          <w:sz w:val="24"/>
          <w:szCs w:val="19"/>
        </w:rPr>
        <w:t>Ja valdība uzņemas atbildību par pensiju nodrošināšanu ar valdību nesaistītas vienības darba ņēmējiem, veicot skaidri izteiktu darījumu, pensiju saistības ir jāieraksta valdības bilancē. Ja valdība pretī nesaņem atbilstošus aktīvus, atšķirība starp valdības saistību pieaugumu un saņemtajiem aktīviem tiek norādīta kā kapitāla pārvedums ar valdību nesaistītam darba devējam</w:t>
      </w:r>
      <w:r w:rsidRPr="00B03B51">
        <w:rPr>
          <w:rFonts w:ascii="Times New Roman" w:hAnsi="Times New Roman" w:cs="Times New Roman"/>
          <w:sz w:val="24"/>
          <w:szCs w:val="19"/>
        </w:rPr>
        <w:t>.</w:t>
      </w:r>
    </w:p>
    <w:p w14:paraId="4A78A21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0F01871" w14:textId="7D5BF10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24. Atšķirībā no NKS 2008 EKS 2010 neatzīst pensiju saistības valdības bilancē, jo īpaši attiecībā uz sociālā </w:t>
      </w:r>
      <w:r w:rsidR="006D285C" w:rsidRPr="00B03B51">
        <w:rPr>
          <w:rFonts w:ascii="Times New Roman" w:hAnsi="Times New Roman" w:cs="Times New Roman"/>
          <w:sz w:val="24"/>
        </w:rPr>
        <w:t>no</w:t>
      </w:r>
      <w:r w:rsidRPr="00B03B51">
        <w:rPr>
          <w:rFonts w:ascii="Times New Roman" w:hAnsi="Times New Roman" w:cs="Times New Roman"/>
          <w:sz w:val="24"/>
        </w:rPr>
        <w:t>droš</w:t>
      </w:r>
      <w:r w:rsidR="006D285C" w:rsidRPr="00B03B51">
        <w:rPr>
          <w:rFonts w:ascii="Times New Roman" w:hAnsi="Times New Roman" w:cs="Times New Roman"/>
          <w:sz w:val="24"/>
        </w:rPr>
        <w:t>inājuma</w:t>
      </w:r>
      <w:r w:rsidRPr="00B03B51">
        <w:rPr>
          <w:rFonts w:ascii="Times New Roman" w:hAnsi="Times New Roman" w:cs="Times New Roman"/>
          <w:sz w:val="24"/>
        </w:rPr>
        <w:t xml:space="preserve"> shēmām vai tās pašas darba devēja pensiju shēmām. Tieši tādēļ valdības kontos iespējams ierakstīt vienīgi AF.8 saistības (nevis AF.63). Tomēr abos gadījumos, pārņemot pensiju saistības, valdība uzņemas nākotnes saistības, un ir skaidrs, ka valdība nav iesaistījusies darījumā ar mērķi saņemt pilnu kompensāciju par pārņemtajām saistībām. Tā ir apzināti piekritusi iesaistīties darījumā, attiecībā uz kuru ir pierādījumi, ka tajā ietilpst neatlīdzināms elements. No ekonomiskā viedokļa būtība ir visnotaļ līdzīga.</w:t>
      </w:r>
    </w:p>
    <w:p w14:paraId="65E65BB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59BCA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Šādos apstākļos nacionālo kontu speciālistiem, kuriem ir jāsniedz tāds apraksts, kas ir “piemērots ekonomiskajai analīzei un ekonomiskās politikas novērtēšanai” (EKS 2010 1.25. punkta d) apakšpunkts), jāpieņem, ka saistību kodifikācija ir konvencionāla, un jāuztver tā kā otršķirīgs tehnisks aspekts. Tas jo īpaši attiecas uz gadījumiem, kuros varētu būt apsverams nelīdzsvarots darījums; valdība pat varētu nolemt pārņemt no sabiedrības pensiju saistības pilnīgi bez maksas vai par simbolisku samaksu.</w:t>
      </w:r>
    </w:p>
    <w:p w14:paraId="7AA6EA1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707B7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26. Līdz ar to neatkarīgi no vienošanās par to, kā nacionālajos kontos tiek ierakstītas pensiju saistības, attiecībā uz darījumu ekonomisko būtību nav atšķirības starp NKS 2008 un EKS 2010, kas ir juridiski saistoša Eiropas Savienībai. Abos gadījumos valdības bilancē jābūt norādītām saistībām precīzā to vērtībā. Tas nozīmē, ka gadījumā, ja darījums kāda iemesla dēļ nav līdzsvarots, t. i., pensiju saistības pārsniedz pretī saņemto aktīvu vērtību, darījums ir “jāpārlīdzsvaro”, un saskaņā ar EKS 2010 vienīgais veids, kā to paveikt, ir koriģēt saistības nacionālajos kontos neatkarīgi no šo saistību kodifikācijas. Tādējādi tiks radīts iztrūkums starp aktīviem, ko valdība saņēmusi darījumā, un “galīgo” saistību summu, kas ierakstīta bilancē. Saskaņā ar nacionālo kontu pamatprincipu tas jāieraksta kā kapitāla pārvedums ar ietekmi uz </w:t>
      </w:r>
      <w:r w:rsidRPr="00B03B51">
        <w:rPr>
          <w:rFonts w:ascii="Times New Roman" w:hAnsi="Times New Roman" w:cs="Times New Roman"/>
          <w:sz w:val="24"/>
        </w:rPr>
        <w:lastRenderedPageBreak/>
        <w:t>valdības neto aizdevumu/aizņēmumu (B.9).</w:t>
      </w:r>
    </w:p>
    <w:p w14:paraId="263DFD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33F169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Tas nav atkarīgs no neviena pasākuma (kura ietekme un laiks nav zināms un paredzams darījuma laikā), ko valdība varētu piemērot nākotnē, lai segtu iztrūkumu. Citos gadījumos kapitāla pārvedums tiek ierakstīts, pamatojoties vienīgi uz ietekmi uz valdības finanšu stāvokli, kas novērots darījuma brīdī, nevis uz informāciju par iespējamajām (taču pilnīgi nenoteiktajām un visnotaļ neparedzamajām) valdības turpmākajām darbībām vai turpmākajiem notikumiem.</w:t>
      </w:r>
    </w:p>
    <w:p w14:paraId="165171C6" w14:textId="77777777" w:rsidR="00994F93" w:rsidRPr="00B03B51" w:rsidRDefault="00994F93" w:rsidP="00994F93">
      <w:pPr>
        <w:jc w:val="both"/>
        <w:rPr>
          <w:rFonts w:ascii="Times New Roman" w:hAnsi="Times New Roman" w:cs="Times New Roman"/>
          <w:noProof/>
          <w:sz w:val="24"/>
        </w:rPr>
      </w:pPr>
    </w:p>
    <w:p w14:paraId="4D867C24" w14:textId="77777777" w:rsidR="00994F93" w:rsidRPr="00B03B51" w:rsidRDefault="00994F93" w:rsidP="00994F93">
      <w:pPr>
        <w:pStyle w:val="Heading3"/>
        <w:tabs>
          <w:tab w:val="left" w:pos="1267"/>
        </w:tabs>
        <w:ind w:left="0" w:firstLine="0"/>
        <w:jc w:val="both"/>
        <w:rPr>
          <w:rFonts w:ascii="Times New Roman" w:hAnsi="Times New Roman" w:cs="Times New Roman"/>
          <w:b w:val="0"/>
          <w:bCs w:val="0"/>
          <w:noProof/>
          <w:sz w:val="24"/>
          <w:szCs w:val="19"/>
        </w:rPr>
      </w:pPr>
      <w:bookmarkStart w:id="276" w:name="3.6.4_Accounting_examples_(simplified)(1"/>
      <w:bookmarkStart w:id="277" w:name="_Toc67565109"/>
      <w:bookmarkEnd w:id="276"/>
      <w:r w:rsidRPr="00B03B51">
        <w:rPr>
          <w:rFonts w:ascii="Times New Roman" w:hAnsi="Times New Roman" w:cs="Times New Roman"/>
          <w:sz w:val="24"/>
        </w:rPr>
        <w:t>3.6.4. Uzskaites piemēri (vienkāršoti)</w:t>
      </w:r>
      <w:r w:rsidRPr="00B03B51">
        <w:rPr>
          <w:rStyle w:val="FootnoteReference"/>
          <w:rFonts w:ascii="Times New Roman" w:hAnsi="Times New Roman" w:cs="Times New Roman"/>
          <w:noProof/>
          <w:sz w:val="24"/>
        </w:rPr>
        <w:footnoteReference w:id="174"/>
      </w:r>
      <w:bookmarkEnd w:id="277"/>
    </w:p>
    <w:p w14:paraId="3B55484C" w14:textId="77777777" w:rsidR="00994F93" w:rsidRPr="00B03B51" w:rsidRDefault="00994F93" w:rsidP="00994F93">
      <w:pPr>
        <w:jc w:val="both"/>
        <w:rPr>
          <w:rFonts w:ascii="Times New Roman" w:hAnsi="Times New Roman" w:cs="Times New Roman"/>
          <w:b/>
          <w:noProof/>
          <w:sz w:val="24"/>
        </w:rPr>
      </w:pPr>
    </w:p>
    <w:p w14:paraId="51C34F92"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Pirmais gadījums – pensiju saistības netiek atzītas valdības kontos</w:t>
      </w:r>
    </w:p>
    <w:p w14:paraId="4CD06436" w14:textId="77777777" w:rsidR="00994F93" w:rsidRPr="00B03B51" w:rsidRDefault="00994F93" w:rsidP="00994F93">
      <w:pPr>
        <w:jc w:val="both"/>
        <w:rPr>
          <w:rFonts w:ascii="Times New Roman" w:eastAsia="Arial" w:hAnsi="Times New Roman" w:cs="Times New Roman"/>
          <w:b/>
          <w:bCs/>
          <w:noProof/>
          <w:sz w:val="24"/>
          <w:szCs w:val="21"/>
        </w:rPr>
      </w:pPr>
    </w:p>
    <w:p w14:paraId="71A15317" w14:textId="568C8BC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Publiska sabiedrība nodod valdībai savas saistības attiecībā uz sabiedrības darbinieku pensijām, kuras sabiedrība ir organizējusi saviem spēkiem (nacionālajos kontos ierakstītas kā pensiju tiesības (AF.63)). Valdība piekrīt maksāt turpmākās pensijas no “vispārējām” sociālā </w:t>
      </w:r>
      <w:r w:rsidR="008B4E0E" w:rsidRPr="00B03B51">
        <w:rPr>
          <w:rFonts w:ascii="Times New Roman" w:hAnsi="Times New Roman" w:cs="Times New Roman"/>
          <w:sz w:val="24"/>
        </w:rPr>
        <w:t>no</w:t>
      </w:r>
      <w:r w:rsidRPr="00B03B51">
        <w:rPr>
          <w:rFonts w:ascii="Times New Roman" w:hAnsi="Times New Roman" w:cs="Times New Roman"/>
          <w:sz w:val="24"/>
        </w:rPr>
        <w:t>droš</w:t>
      </w:r>
      <w:r w:rsidR="008B4E0E" w:rsidRPr="00B03B51">
        <w:rPr>
          <w:rFonts w:ascii="Times New Roman" w:hAnsi="Times New Roman" w:cs="Times New Roman"/>
          <w:sz w:val="24"/>
        </w:rPr>
        <w:t>inājuma</w:t>
      </w:r>
      <w:r w:rsidRPr="00B03B51">
        <w:rPr>
          <w:rFonts w:ascii="Times New Roman" w:hAnsi="Times New Roman" w:cs="Times New Roman"/>
          <w:sz w:val="24"/>
        </w:rPr>
        <w:t xml:space="preserve"> shēmām. Nolemts (un turpmāk vairs netiek apspriests), ka pensiju saistību neto pašreizējā vērtība ir 1000. Konkrētā gadā tālākā nākotnē (</w:t>
      </w:r>
      <w:r w:rsidRPr="00B03B51">
        <w:rPr>
          <w:rFonts w:ascii="Times New Roman" w:hAnsi="Times New Roman" w:cs="Times New Roman"/>
          <w:i/>
          <w:iCs/>
          <w:sz w:val="24"/>
        </w:rPr>
        <w:t>t+20</w:t>
      </w:r>
      <w:r w:rsidRPr="00B03B51">
        <w:rPr>
          <w:rFonts w:ascii="Times New Roman" w:hAnsi="Times New Roman" w:cs="Times New Roman"/>
          <w:sz w:val="24"/>
        </w:rPr>
        <w:t> gadā) pensijas bijušajiem sabiedrības darbiniekiem (pieņemot, ka viņi ir identificējami) jāizmaksā 50 vienību apmērā, lai gan nodošanas laikā tika paredzēts, ka pensijas būs jāizmaksā 40 vienību apmērā atbilstīgi grafikam, kas pieejams šajā laikā, un pēc pārrēķināšanas uz faktisko vērtību (piemērojot vienkāršošanu, procentu likme attiecībā uz valdības turējumiem atbilst diskonta likmei un sabiedrība un mājsaimniecības tiek atspoguļotas konsolidētā veidā.)</w:t>
      </w:r>
    </w:p>
    <w:p w14:paraId="54FD93A3" w14:textId="77777777" w:rsidR="00994F93" w:rsidRPr="00B03B51" w:rsidRDefault="00994F93" w:rsidP="00994F93">
      <w:pPr>
        <w:jc w:val="both"/>
        <w:rPr>
          <w:rFonts w:ascii="Times New Roman" w:eastAsia="Arial" w:hAnsi="Times New Roman" w:cs="Times New Roman"/>
          <w:noProof/>
          <w:sz w:val="24"/>
          <w:szCs w:val="20"/>
        </w:rPr>
      </w:pPr>
    </w:p>
    <w:p w14:paraId="1F15BED7" w14:textId="77777777" w:rsidR="00994F93" w:rsidRPr="00B03B51" w:rsidRDefault="00994F93" w:rsidP="00994F93">
      <w:pPr>
        <w:tabs>
          <w:tab w:val="left" w:pos="919"/>
        </w:tabs>
        <w:jc w:val="both"/>
        <w:rPr>
          <w:rFonts w:ascii="Times New Roman" w:hAnsi="Times New Roman" w:cs="Times New Roman"/>
          <w:b/>
          <w:noProof/>
          <w:sz w:val="24"/>
        </w:rPr>
      </w:pPr>
      <w:r w:rsidRPr="00B03B51">
        <w:rPr>
          <w:rFonts w:ascii="Times New Roman" w:hAnsi="Times New Roman" w:cs="Times New Roman"/>
          <w:b/>
          <w:sz w:val="24"/>
        </w:rPr>
        <w:t>a) Darījums ir līdzsvarots</w:t>
      </w:r>
    </w:p>
    <w:p w14:paraId="204703CB" w14:textId="77777777" w:rsidR="00994F93" w:rsidRPr="00B03B51" w:rsidRDefault="00994F93" w:rsidP="00994F93">
      <w:pPr>
        <w:jc w:val="both"/>
        <w:rPr>
          <w:rFonts w:ascii="Times New Roman" w:eastAsia="Arial" w:hAnsi="Times New Roman" w:cs="Times New Roman"/>
          <w:b/>
          <w:bCs/>
          <w:noProof/>
          <w:sz w:val="24"/>
          <w:szCs w:val="21"/>
        </w:rPr>
      </w:pPr>
    </w:p>
    <w:p w14:paraId="5F69335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pretī saņem skaidras naudas maksājumu 1000 vienību apmērā, kas atbilst pārņemtajām pensiju saistībām, un nekavējoties iegulda to vērtspapīros. Ietekmi uz neto aizdevumu/aizņēmumu (B.9) iespējams konstatēt vienīgi tad, kad ir dzēstas AF.89 saistības, kas šajā gadījumā nav paredzams pēc 20 gadiem, pat ja faktiskie maksājumi neatbilst paredzētajai summai.</w:t>
      </w:r>
    </w:p>
    <w:p w14:paraId="61E4BF4B" w14:textId="77777777" w:rsidR="00994F93" w:rsidRPr="00B03B51" w:rsidRDefault="00994F93" w:rsidP="00994F93">
      <w:pPr>
        <w:jc w:val="both"/>
        <w:rPr>
          <w:rFonts w:ascii="Times New Roman" w:hAnsi="Times New Roman" w:cs="Times New Roman"/>
          <w:noProof/>
          <w:sz w:val="24"/>
        </w:rPr>
      </w:pPr>
    </w:p>
    <w:p w14:paraId="1F8B7CC9" w14:textId="43B6534F" w:rsidR="00994F93" w:rsidRPr="00B03B51" w:rsidRDefault="000E669F" w:rsidP="003E20F3">
      <w:pPr>
        <w:jc w:val="center"/>
        <w:rPr>
          <w:rFonts w:ascii="Times New Roman" w:hAnsi="Times New Roman" w:cs="Times New Roman"/>
          <w:noProof/>
          <w:sz w:val="24"/>
        </w:rPr>
      </w:pPr>
      <w:r w:rsidRPr="00B03B51">
        <w:rPr>
          <w:rFonts w:ascii="Times New Roman" w:hAnsi="Times New Roman" w:cs="Times New Roman"/>
          <w:noProof/>
          <w:sz w:val="24"/>
        </w:rPr>
        <w:lastRenderedPageBreak/>
        <w:drawing>
          <wp:inline distT="0" distB="0" distL="0" distR="0" wp14:anchorId="1CF64A83" wp14:editId="63B3886F">
            <wp:extent cx="5760085" cy="52381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5238115"/>
                    </a:xfrm>
                    <a:prstGeom prst="rect">
                      <a:avLst/>
                    </a:prstGeom>
                    <a:noFill/>
                    <a:ln>
                      <a:noFill/>
                    </a:ln>
                  </pic:spPr>
                </pic:pic>
              </a:graphicData>
            </a:graphic>
          </wp:inline>
        </w:drawing>
      </w:r>
    </w:p>
    <w:p w14:paraId="1BD096F0" w14:textId="77777777" w:rsidR="00994F93" w:rsidRPr="00B03B51" w:rsidRDefault="00994F93" w:rsidP="00994F93">
      <w:pPr>
        <w:jc w:val="both"/>
        <w:rPr>
          <w:rFonts w:ascii="Times New Roman" w:eastAsia="Arial" w:hAnsi="Times New Roman" w:cs="Times New Roman"/>
          <w:noProof/>
          <w:sz w:val="24"/>
          <w:szCs w:val="14"/>
        </w:rPr>
      </w:pPr>
    </w:p>
    <w:p w14:paraId="2C3B3CF8" w14:textId="77777777" w:rsidR="00994F93" w:rsidRPr="00B03B51" w:rsidRDefault="00994F93" w:rsidP="00994F93">
      <w:pPr>
        <w:tabs>
          <w:tab w:val="left" w:pos="919"/>
        </w:tabs>
        <w:jc w:val="both"/>
        <w:rPr>
          <w:rFonts w:ascii="Times New Roman" w:hAnsi="Times New Roman" w:cs="Times New Roman"/>
          <w:b/>
          <w:noProof/>
          <w:sz w:val="24"/>
        </w:rPr>
      </w:pPr>
      <w:r w:rsidRPr="00B03B51">
        <w:rPr>
          <w:rFonts w:ascii="Times New Roman" w:hAnsi="Times New Roman" w:cs="Times New Roman"/>
          <w:b/>
          <w:sz w:val="24"/>
        </w:rPr>
        <w:t>b) Darījums nav līdzsvarots</w:t>
      </w:r>
    </w:p>
    <w:p w14:paraId="779ED061" w14:textId="77777777" w:rsidR="00994F93" w:rsidRPr="00B03B51" w:rsidRDefault="00994F93" w:rsidP="00994F93">
      <w:pPr>
        <w:jc w:val="both"/>
        <w:rPr>
          <w:rFonts w:ascii="Times New Roman" w:eastAsia="Arial" w:hAnsi="Times New Roman" w:cs="Times New Roman"/>
          <w:b/>
          <w:bCs/>
          <w:noProof/>
          <w:sz w:val="24"/>
          <w:szCs w:val="21"/>
        </w:rPr>
      </w:pPr>
    </w:p>
    <w:p w14:paraId="22AD14B9" w14:textId="6F7EF7F4"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pretī saņem skaidras naudas maksājumu 500 vienību apmērā, kas ir mazāk par pārņemtajām pensiju saistībām (1000), un nekavējoties iegulda to vērtspapīros. Kapitāla pārvedums tiek ierakstīts attiecībā uz iztrūkumu, ievērojot to, ka AF.89 neatbilst darījumā saņemtajiem aktīviem. Tas ietekmē valdības neto aizdevumu/aizņēmumu (B.9) tajā gadā, kad notiek nodošana, taču ne turpmākajos gados, kamēr nav dzēstas AF.89 saistības. Atšķirība no iepriekšējā gadījuma ir tāda, ka tas notiek pirms 20. gada (</w:t>
      </w:r>
      <w:r w:rsidR="00C55DCA" w:rsidRPr="00B03B51">
        <w:rPr>
          <w:rFonts w:ascii="Times New Roman" w:hAnsi="Times New Roman" w:cs="Times New Roman"/>
          <w:sz w:val="24"/>
        </w:rPr>
        <w:t>beigu</w:t>
      </w:r>
      <w:r w:rsidRPr="00B03B51">
        <w:rPr>
          <w:rFonts w:ascii="Times New Roman" w:hAnsi="Times New Roman" w:cs="Times New Roman"/>
          <w:sz w:val="24"/>
        </w:rPr>
        <w:t xml:space="preserve"> bilance gadā </w:t>
      </w:r>
      <w:r w:rsidRPr="00B03B51">
        <w:rPr>
          <w:rFonts w:ascii="Times New Roman" w:hAnsi="Times New Roman" w:cs="Times New Roman"/>
          <w:i/>
          <w:iCs/>
          <w:sz w:val="24"/>
        </w:rPr>
        <w:t>t+20</w:t>
      </w:r>
      <w:r w:rsidRPr="00B03B51">
        <w:rPr>
          <w:rFonts w:ascii="Times New Roman" w:hAnsi="Times New Roman" w:cs="Times New Roman"/>
          <w:sz w:val="24"/>
        </w:rPr>
        <w:t xml:space="preserve"> nav atspoguļota, jo vairs nepastāv saistība ar sākotnējo darījumu).</w:t>
      </w:r>
    </w:p>
    <w:p w14:paraId="6500BDDE" w14:textId="77777777" w:rsidR="00994F93" w:rsidRPr="00B03B51" w:rsidRDefault="00994F93" w:rsidP="00994F93">
      <w:pPr>
        <w:jc w:val="both"/>
        <w:rPr>
          <w:rFonts w:ascii="Times New Roman" w:eastAsia="Arial" w:hAnsi="Times New Roman" w:cs="Times New Roman"/>
          <w:noProof/>
          <w:sz w:val="24"/>
          <w:szCs w:val="20"/>
        </w:rPr>
      </w:pPr>
    </w:p>
    <w:p w14:paraId="6880E47C" w14:textId="3CCE7D86" w:rsidR="00994F93" w:rsidRPr="00B03B51" w:rsidRDefault="000E669F" w:rsidP="003E20F3">
      <w:pPr>
        <w:jc w:val="center"/>
        <w:rPr>
          <w:rFonts w:ascii="Times New Roman" w:eastAsia="Arial" w:hAnsi="Times New Roman" w:cs="Times New Roman"/>
          <w:b/>
          <w:bCs/>
          <w:noProof/>
          <w:sz w:val="24"/>
          <w:szCs w:val="20"/>
        </w:rPr>
      </w:pPr>
      <w:r w:rsidRPr="00B03B51">
        <w:rPr>
          <w:rFonts w:ascii="Times New Roman" w:eastAsia="Arial" w:hAnsi="Times New Roman" w:cs="Times New Roman"/>
          <w:b/>
          <w:bCs/>
          <w:noProof/>
          <w:sz w:val="24"/>
          <w:szCs w:val="20"/>
        </w:rPr>
        <w:lastRenderedPageBreak/>
        <w:drawing>
          <wp:inline distT="0" distB="0" distL="0" distR="0" wp14:anchorId="6938B4CE" wp14:editId="24EF7FBB">
            <wp:extent cx="5760085" cy="55600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5560060"/>
                    </a:xfrm>
                    <a:prstGeom prst="rect">
                      <a:avLst/>
                    </a:prstGeom>
                    <a:noFill/>
                    <a:ln>
                      <a:noFill/>
                    </a:ln>
                  </pic:spPr>
                </pic:pic>
              </a:graphicData>
            </a:graphic>
          </wp:inline>
        </w:drawing>
      </w:r>
    </w:p>
    <w:p w14:paraId="33CA4609" w14:textId="77777777" w:rsidR="00994F93" w:rsidRPr="00B03B51" w:rsidRDefault="00994F93" w:rsidP="00994F93">
      <w:pPr>
        <w:jc w:val="both"/>
        <w:rPr>
          <w:rFonts w:ascii="Times New Roman" w:eastAsia="Arial" w:hAnsi="Times New Roman" w:cs="Times New Roman"/>
          <w:b/>
          <w:bCs/>
          <w:noProof/>
          <w:sz w:val="24"/>
          <w:szCs w:val="17"/>
        </w:rPr>
      </w:pPr>
    </w:p>
    <w:p w14:paraId="71ED8AB4"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Otrais gadījums – pensiju saistības tiek atzītas valdības kontos pēc saistību nodošanas</w:t>
      </w:r>
    </w:p>
    <w:p w14:paraId="40EF0783" w14:textId="77777777" w:rsidR="00994F93" w:rsidRPr="00B03B51" w:rsidRDefault="00994F93" w:rsidP="00994F93">
      <w:pPr>
        <w:jc w:val="both"/>
        <w:rPr>
          <w:rFonts w:ascii="Times New Roman" w:eastAsia="Arial" w:hAnsi="Times New Roman" w:cs="Times New Roman"/>
          <w:b/>
          <w:bCs/>
          <w:noProof/>
          <w:sz w:val="24"/>
          <w:szCs w:val="21"/>
        </w:rPr>
      </w:pPr>
    </w:p>
    <w:p w14:paraId="2D000AA0" w14:textId="77777777" w:rsidR="00994F93" w:rsidRPr="00B03B51" w:rsidRDefault="00994F93" w:rsidP="00994F93">
      <w:pPr>
        <w:tabs>
          <w:tab w:val="left" w:pos="919"/>
        </w:tabs>
        <w:jc w:val="both"/>
        <w:rPr>
          <w:rFonts w:ascii="Times New Roman" w:hAnsi="Times New Roman" w:cs="Times New Roman"/>
          <w:b/>
          <w:noProof/>
          <w:sz w:val="24"/>
        </w:rPr>
      </w:pPr>
      <w:r w:rsidRPr="00B03B51">
        <w:rPr>
          <w:rFonts w:ascii="Times New Roman" w:hAnsi="Times New Roman" w:cs="Times New Roman"/>
          <w:b/>
          <w:sz w:val="24"/>
        </w:rPr>
        <w:t>a) Darījums ir līdzsvarots</w:t>
      </w:r>
    </w:p>
    <w:p w14:paraId="75A47463" w14:textId="77777777" w:rsidR="00994F93" w:rsidRPr="00B03B51" w:rsidRDefault="00994F93" w:rsidP="00994F93">
      <w:pPr>
        <w:jc w:val="both"/>
        <w:rPr>
          <w:rFonts w:ascii="Times New Roman" w:eastAsia="Arial" w:hAnsi="Times New Roman" w:cs="Times New Roman"/>
          <w:b/>
          <w:bCs/>
          <w:noProof/>
          <w:sz w:val="24"/>
          <w:szCs w:val="21"/>
        </w:rPr>
      </w:pPr>
    </w:p>
    <w:p w14:paraId="4111F91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Gadā</w:t>
      </w:r>
      <w:r w:rsidRPr="00B03B51">
        <w:rPr>
          <w:rFonts w:ascii="Times New Roman" w:hAnsi="Times New Roman" w:cs="Times New Roman"/>
          <w:i/>
          <w:iCs/>
          <w:sz w:val="24"/>
        </w:rPr>
        <w:t> t</w:t>
      </w:r>
      <w:r w:rsidRPr="00B03B51">
        <w:rPr>
          <w:rFonts w:ascii="Times New Roman" w:hAnsi="Times New Roman" w:cs="Times New Roman"/>
          <w:sz w:val="24"/>
        </w:rPr>
        <w:t xml:space="preserve"> publiskā sabiedrība nodod valdībai AF.63 pensiju saistības attiecībā uz tās pašreizējiem un bijušajiem darbiniekiem. Valdība pensijas nākotnē maksās no shēmas, attiecībā uz kuru AF.63 pensiju saistības joprojām ir atzītas nacionālajos kontos (un šeit ierakstītas valdībā). Valdība pretī saņem naudu 1000 vienību apmērā un nekavējoties iegulda to F.3 (vai visticamāk tieši F.3 vai F.5 aktīvos – šajā vienkāršotajā piemērā cena nemainās). Konkrētā gadā tālākā nākotnē (gadā </w:t>
      </w:r>
      <w:r w:rsidRPr="00B03B51">
        <w:rPr>
          <w:rFonts w:ascii="Times New Roman" w:hAnsi="Times New Roman" w:cs="Times New Roman"/>
          <w:i/>
          <w:iCs/>
          <w:sz w:val="24"/>
        </w:rPr>
        <w:t>t+20</w:t>
      </w:r>
      <w:r w:rsidRPr="00B03B51">
        <w:rPr>
          <w:rFonts w:ascii="Times New Roman" w:hAnsi="Times New Roman" w:cs="Times New Roman"/>
          <w:sz w:val="24"/>
        </w:rPr>
        <w:t>) ir jāizmaksā pensijas 50 vienību apmērā, un tās tiek maksātas no nodotajiem aktīviem. Ietekmes uz valdības neto aizdevumu/aizņēmumu (B.9) nav, jo nav jāņem aizdevums, lai varētu izmaksāt pensijas (korekcija nefinanšu kontos ir ierakstīta kā D.75).</w:t>
      </w:r>
    </w:p>
    <w:p w14:paraId="698ED72D" w14:textId="77777777" w:rsidR="00994F93" w:rsidRPr="00B03B51" w:rsidRDefault="00994F93" w:rsidP="00994F93">
      <w:pPr>
        <w:jc w:val="both"/>
        <w:rPr>
          <w:rFonts w:ascii="Times New Roman" w:eastAsia="Arial" w:hAnsi="Times New Roman" w:cs="Times New Roman"/>
          <w:noProof/>
          <w:sz w:val="24"/>
          <w:szCs w:val="14"/>
        </w:rPr>
      </w:pPr>
    </w:p>
    <w:p w14:paraId="27E1CD0A" w14:textId="2A86822D" w:rsidR="00994F93" w:rsidRPr="00B03B51" w:rsidRDefault="000E669F" w:rsidP="003E20F3">
      <w:pPr>
        <w:jc w:val="center"/>
        <w:rPr>
          <w:rFonts w:ascii="Times New Roman" w:hAnsi="Times New Roman" w:cs="Times New Roman"/>
          <w:b/>
          <w:noProof/>
          <w:sz w:val="24"/>
        </w:rPr>
      </w:pPr>
      <w:r w:rsidRPr="00B03B51">
        <w:rPr>
          <w:rFonts w:ascii="Times New Roman" w:hAnsi="Times New Roman" w:cs="Times New Roman"/>
          <w:b/>
          <w:noProof/>
          <w:sz w:val="24"/>
        </w:rPr>
        <w:lastRenderedPageBreak/>
        <w:drawing>
          <wp:inline distT="0" distB="0" distL="0" distR="0" wp14:anchorId="35094F8D" wp14:editId="23E94376">
            <wp:extent cx="5760085" cy="54502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5450205"/>
                    </a:xfrm>
                    <a:prstGeom prst="rect">
                      <a:avLst/>
                    </a:prstGeom>
                    <a:noFill/>
                    <a:ln>
                      <a:noFill/>
                    </a:ln>
                  </pic:spPr>
                </pic:pic>
              </a:graphicData>
            </a:graphic>
          </wp:inline>
        </w:drawing>
      </w:r>
    </w:p>
    <w:p w14:paraId="1C83BD7F" w14:textId="77777777" w:rsidR="00994F93" w:rsidRPr="00B03B51" w:rsidRDefault="00994F93" w:rsidP="00994F93">
      <w:pPr>
        <w:jc w:val="both"/>
        <w:rPr>
          <w:rFonts w:ascii="Times New Roman" w:eastAsia="Arial" w:hAnsi="Times New Roman" w:cs="Times New Roman"/>
          <w:noProof/>
          <w:sz w:val="24"/>
        </w:rPr>
      </w:pPr>
    </w:p>
    <w:p w14:paraId="050961D8" w14:textId="77777777" w:rsidR="00994F93" w:rsidRPr="00B03B51" w:rsidRDefault="00994F93" w:rsidP="00994F93">
      <w:pPr>
        <w:tabs>
          <w:tab w:val="left" w:pos="919"/>
        </w:tabs>
        <w:jc w:val="both"/>
        <w:rPr>
          <w:rFonts w:ascii="Times New Roman" w:hAnsi="Times New Roman" w:cs="Times New Roman"/>
          <w:b/>
          <w:noProof/>
          <w:sz w:val="24"/>
        </w:rPr>
      </w:pPr>
      <w:r w:rsidRPr="00B03B51">
        <w:rPr>
          <w:rFonts w:ascii="Times New Roman" w:hAnsi="Times New Roman" w:cs="Times New Roman"/>
          <w:b/>
          <w:sz w:val="24"/>
        </w:rPr>
        <w:t>b) Darījums nav līdzsvarots</w:t>
      </w:r>
    </w:p>
    <w:p w14:paraId="53FB517E" w14:textId="77777777" w:rsidR="00994F93" w:rsidRPr="00B03B51" w:rsidRDefault="00994F93" w:rsidP="00994F93">
      <w:pPr>
        <w:jc w:val="both"/>
        <w:rPr>
          <w:rFonts w:ascii="Times New Roman" w:eastAsia="Arial" w:hAnsi="Times New Roman" w:cs="Times New Roman"/>
          <w:b/>
          <w:bCs/>
          <w:noProof/>
          <w:sz w:val="24"/>
          <w:szCs w:val="21"/>
        </w:rPr>
      </w:pPr>
    </w:p>
    <w:p w14:paraId="6B72273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Tajā pašā operācijā, pensiju saistību vērtībai atbilstot 1000 vienībām, valdība pretī saņem naudu 500 vienību apmērā un nekavējoties iegulda to F.3 (vai visticamāk tieši F.3 vai F.5 aktīvos – šajā vienkāršotajā piemērā cena nemainās). Šis iztrūkums tiek atspoguļots kā kapitāla pārvedums, jo valdība ir faktiski uzņēmusies sabiedrības netiešas AF.64 saistības mājsaimniecībām (kas neparādās piemērā, jo sabiedrību sektors ir konsolidēts ar mājsaimniecību sektoru). Atšķirībā no iepriekšējā piemēra šajā gadījumā gadā </w:t>
      </w:r>
      <w:r w:rsidRPr="00B03B51">
        <w:rPr>
          <w:rFonts w:ascii="Times New Roman" w:hAnsi="Times New Roman" w:cs="Times New Roman"/>
          <w:i/>
          <w:iCs/>
          <w:sz w:val="24"/>
        </w:rPr>
        <w:t>t+20</w:t>
      </w:r>
      <w:r w:rsidRPr="00B03B51">
        <w:rPr>
          <w:rFonts w:ascii="Times New Roman" w:hAnsi="Times New Roman" w:cs="Times New Roman"/>
          <w:sz w:val="24"/>
        </w:rPr>
        <w:t xml:space="preserve"> izmaksājamo pensiju vērtība atbilst 50 vienībām, taču valdībai vairs nav aktīvu, no kuriem tā varētu finansēt šīs pensijas, tāpēc tai jāņem jauni aizņēmumi, kas aizstātu AF.63 (tas varētu ietekmēt valdības (</w:t>
      </w:r>
      <w:r w:rsidRPr="00B03B51">
        <w:rPr>
          <w:rFonts w:ascii="Times New Roman" w:hAnsi="Times New Roman" w:cs="Times New Roman"/>
          <w:i/>
          <w:iCs/>
          <w:sz w:val="24"/>
        </w:rPr>
        <w:t>EDP</w:t>
      </w:r>
      <w:r w:rsidRPr="00B03B51">
        <w:rPr>
          <w:rFonts w:ascii="Times New Roman" w:hAnsi="Times New Roman" w:cs="Times New Roman"/>
          <w:sz w:val="24"/>
        </w:rPr>
        <w:t>) parādu, jo pretēji AF.6 tas ir instruments, kurš tajā ir iekļauts).</w:t>
      </w:r>
    </w:p>
    <w:p w14:paraId="1556432B" w14:textId="77777777" w:rsidR="00994F93" w:rsidRPr="00B03B51" w:rsidRDefault="00994F93" w:rsidP="00994F93">
      <w:pPr>
        <w:jc w:val="both"/>
        <w:rPr>
          <w:rFonts w:ascii="Times New Roman" w:eastAsia="Arial" w:hAnsi="Times New Roman" w:cs="Times New Roman"/>
          <w:noProof/>
          <w:sz w:val="24"/>
          <w:szCs w:val="20"/>
        </w:rPr>
      </w:pPr>
    </w:p>
    <w:p w14:paraId="295B7D4C" w14:textId="417C57DC" w:rsidR="00994F93" w:rsidRPr="00B03B51" w:rsidRDefault="000E669F" w:rsidP="00994F93">
      <w:pPr>
        <w:jc w:val="both"/>
        <w:rPr>
          <w:rFonts w:ascii="Times New Roman" w:eastAsia="Arial" w:hAnsi="Times New Roman" w:cs="Times New Roman"/>
          <w:noProof/>
          <w:sz w:val="24"/>
          <w:szCs w:val="29"/>
        </w:rPr>
      </w:pPr>
      <w:r w:rsidRPr="00B03B51">
        <w:rPr>
          <w:rFonts w:ascii="Times New Roman" w:eastAsia="Arial" w:hAnsi="Times New Roman" w:cs="Times New Roman"/>
          <w:noProof/>
          <w:sz w:val="24"/>
          <w:szCs w:val="29"/>
        </w:rPr>
        <w:lastRenderedPageBreak/>
        <w:drawing>
          <wp:inline distT="0" distB="0" distL="0" distR="0" wp14:anchorId="33BA1043" wp14:editId="27C0AC7B">
            <wp:extent cx="5760085" cy="13671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1367155"/>
                    </a:xfrm>
                    <a:prstGeom prst="rect">
                      <a:avLst/>
                    </a:prstGeom>
                    <a:noFill/>
                    <a:ln>
                      <a:noFill/>
                    </a:ln>
                  </pic:spPr>
                </pic:pic>
              </a:graphicData>
            </a:graphic>
          </wp:inline>
        </w:drawing>
      </w:r>
    </w:p>
    <w:p w14:paraId="35E29AB0" w14:textId="596F7D07" w:rsidR="00994F93" w:rsidRPr="00B03B51" w:rsidRDefault="000E669F" w:rsidP="003E20F3">
      <w:pPr>
        <w:jc w:val="center"/>
        <w:rPr>
          <w:rFonts w:ascii="Times New Roman" w:eastAsia="Arial" w:hAnsi="Times New Roman" w:cs="Times New Roman"/>
          <w:noProof/>
          <w:sz w:val="24"/>
          <w:szCs w:val="29"/>
        </w:rPr>
      </w:pPr>
      <w:r w:rsidRPr="00B03B51">
        <w:rPr>
          <w:rFonts w:ascii="Times New Roman" w:eastAsia="Arial" w:hAnsi="Times New Roman" w:cs="Times New Roman"/>
          <w:noProof/>
          <w:sz w:val="24"/>
          <w:szCs w:val="29"/>
        </w:rPr>
        <w:drawing>
          <wp:inline distT="0" distB="0" distL="0" distR="0" wp14:anchorId="4A92A8DD" wp14:editId="0D0C74EE">
            <wp:extent cx="5760085" cy="48596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4859655"/>
                    </a:xfrm>
                    <a:prstGeom prst="rect">
                      <a:avLst/>
                    </a:prstGeom>
                    <a:noFill/>
                    <a:ln>
                      <a:noFill/>
                    </a:ln>
                  </pic:spPr>
                </pic:pic>
              </a:graphicData>
            </a:graphic>
          </wp:inline>
        </w:drawing>
      </w:r>
    </w:p>
    <w:p w14:paraId="3837E13A" w14:textId="77777777" w:rsidR="00994F93" w:rsidRPr="00B03B51" w:rsidRDefault="00994F93" w:rsidP="00994F93">
      <w:pPr>
        <w:rPr>
          <w:rFonts w:ascii="Times New Roman" w:eastAsia="Arial" w:hAnsi="Times New Roman" w:cs="Times New Roman"/>
          <w:noProof/>
          <w:sz w:val="24"/>
          <w:szCs w:val="29"/>
        </w:rPr>
      </w:pPr>
      <w:r w:rsidRPr="00B03B51">
        <w:rPr>
          <w:rFonts w:ascii="Times New Roman" w:hAnsi="Times New Roman" w:cs="Times New Roman"/>
        </w:rPr>
        <w:br w:type="page"/>
      </w:r>
    </w:p>
    <w:p w14:paraId="52C844E9" w14:textId="77777777" w:rsidR="00994F93" w:rsidRPr="00B03B51" w:rsidRDefault="00994F93" w:rsidP="00994F93">
      <w:pPr>
        <w:jc w:val="both"/>
        <w:rPr>
          <w:rFonts w:ascii="Times New Roman" w:eastAsia="Arial" w:hAnsi="Times New Roman" w:cs="Times New Roman"/>
          <w:noProof/>
          <w:sz w:val="24"/>
          <w:szCs w:val="29"/>
        </w:rPr>
      </w:pPr>
    </w:p>
    <w:p w14:paraId="68088C7D" w14:textId="77777777" w:rsidR="00994F93" w:rsidRPr="00B03B51" w:rsidRDefault="00994F93" w:rsidP="00994F93">
      <w:pPr>
        <w:pStyle w:val="Heading2"/>
        <w:spacing w:before="0"/>
        <w:ind w:left="0" w:firstLine="0"/>
        <w:jc w:val="both"/>
        <w:rPr>
          <w:rFonts w:ascii="Times New Roman" w:hAnsi="Times New Roman" w:cs="Times New Roman"/>
          <w:noProof/>
          <w:sz w:val="28"/>
          <w:szCs w:val="44"/>
        </w:rPr>
      </w:pPr>
      <w:bookmarkStart w:id="278" w:name="3.7_Impact_on_government_accounts_of__tr"/>
      <w:bookmarkStart w:id="279" w:name="_bookmark27"/>
      <w:bookmarkStart w:id="280" w:name="_Toc67565110"/>
      <w:bookmarkEnd w:id="278"/>
      <w:bookmarkEnd w:id="279"/>
      <w:r w:rsidRPr="00B03B51">
        <w:rPr>
          <w:rFonts w:ascii="Times New Roman" w:hAnsi="Times New Roman" w:cs="Times New Roman"/>
          <w:sz w:val="28"/>
          <w:szCs w:val="44"/>
        </w:rPr>
        <w:t>3.7. Ekspluatācijas pārtraukšanas izmaksu pārneses ietekme uz valdības kontiem</w:t>
      </w:r>
      <w:bookmarkEnd w:id="280"/>
    </w:p>
    <w:p w14:paraId="2B027C31" w14:textId="77777777" w:rsidR="00994F93" w:rsidRPr="00100B51" w:rsidRDefault="00994F93" w:rsidP="00100B51">
      <w:pPr>
        <w:rPr>
          <w:rFonts w:ascii="Times New Roman" w:hAnsi="Times New Roman" w:cs="Times New Roman"/>
          <w:noProof/>
          <w:sz w:val="24"/>
          <w:szCs w:val="24"/>
        </w:rPr>
      </w:pPr>
      <w:bookmarkStart w:id="281" w:name="3.7.1_Background"/>
      <w:bookmarkEnd w:id="281"/>
    </w:p>
    <w:p w14:paraId="1963230B" w14:textId="77777777" w:rsidR="00994F93" w:rsidRPr="00B03B51" w:rsidRDefault="00994F93" w:rsidP="00994F93">
      <w:pPr>
        <w:pStyle w:val="Heading3"/>
        <w:ind w:left="0" w:firstLine="0"/>
        <w:jc w:val="both"/>
        <w:rPr>
          <w:rFonts w:ascii="Times New Roman" w:hAnsi="Times New Roman" w:cs="Times New Roman"/>
          <w:noProof/>
          <w:sz w:val="24"/>
        </w:rPr>
      </w:pPr>
      <w:bookmarkStart w:id="282" w:name="_Toc67565111"/>
      <w:r w:rsidRPr="00B03B51">
        <w:rPr>
          <w:rFonts w:ascii="Times New Roman" w:hAnsi="Times New Roman" w:cs="Times New Roman"/>
          <w:sz w:val="24"/>
        </w:rPr>
        <w:t>3.7.1. Vispārīga informācija</w:t>
      </w:r>
      <w:bookmarkEnd w:id="282"/>
    </w:p>
    <w:p w14:paraId="0B441C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EF92F7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Ekspluatācijas pārtraukšana ir darbība, kas ietver ražošanas/rūpniecības vietas demontāžu (nojaukšanu), lai to sakārtotu tā, lai šī vieta vai teritorija ap to būtu pieejama turpmākai izmantošanai. Mērķis varētu būt atkārtoti izmantot ēkas un/vai citas ietaises vai pilnībā pārveidot šo vietu citiem nolūkiem (piemēram, pārveidot to par parku).</w:t>
      </w:r>
    </w:p>
    <w:p w14:paraId="489E57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D9BF59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Šajā nodaļā tiek skatīts galvenokārt jautājums par ekspluatācijas pārtraukšanas ierakstīšanu gadījumos, kad no ekspluatācijas noņemamais aktīvs tiek nodots valdībai, kas pārņems turpmākās ekspluatācijas pārtraukšanas izmaksas. Šis gadījums atšķiras no tā, kad valdībai jau no paša sākuma pieder aktīvs, kura ekspluatācija būs kādreiz nākotnē jāpārtrauc. Ir vairāki šādi situāciju piemēri, piemēram, “eksperimentālās” iekārtas (piemēram, kodolenerģētikas jomā), militārās bāzes, laboratorijas, citas ļoti nozīmīgas ietaises utt. Tas atšķiras arī no gadījuma, kurā publiska sabiedrība tur tikai no ekspluatācijas noņemamos aktīvus, un tā būtu pārklasificējama vispārējās valdības sektorā, tiklīdz tā vairs neatbilst tirgus vienības kritērijam, kas notiks vēlākais tad, kad vienība vairs nenodarbosies ar ražojošu darbību (piemēram, spēkstacija tiek atvienota no elektroenerģijas tīkla).</w:t>
      </w:r>
    </w:p>
    <w:p w14:paraId="6329AE0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106D68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Šajā nodaļā tiek skatīts jautājums arī par iemaksām ekspluatācijas pārtraukšanas fondos, ko klasificē vispārējās valdības sektorā. Šie fondi ietver visu veidu aktīvus, kas īpaši paredzēti ietaišu ekspluatācijas pārtraukšanai nepieciešamo izdevumu segšanai, un parasti tos pārvalda iecelta struktūra, kas pieņem lēmumus neatkarīgi no subjektiem, kas veic iemaksas šajā fondā un kas var būt publiski vai privāti subjekti.</w:t>
      </w:r>
    </w:p>
    <w:p w14:paraId="0E5FEC0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0EEA83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Ekspluatācijas pārtraukšanas process var attiekties uz šādiem aktīviem: kodolspēkstacijām, naftas urbjtorņiem, raktuvēm, karjeriem, kompleksām ražošanas rūpnīcām (ķīmijas, pārstrādes utt.), pildizgāztuvēm u. c. Šis saraksts ir nepilnīgs. Dažu aktīvu ekspluatācijas pārtraukšana var ilgt vairākus gadus. Tas jo īpaši tā ir kodolspēkstaciju gadījumā, kad esošā radioaktivitātes līmeņa dēļ būtiskas darbības ar reaktora serdi drīkst veikt tikai tad, kad radioaktivitātes līmenis ir ievērojami samazinājies. Citos gadījumos šīs darbības var veikt salīdzinoši īsākā laikā.</w:t>
      </w:r>
    </w:p>
    <w:p w14:paraId="2EB89130"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A6A9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Izmaksas var būt ļoti dažādas, sākot no visai niecīgām salīdzinājumā ar pamatlīdzekļu sākotnējo vērtību līdz pat ļoti būtiskām, jo īpaši, ja ir jānodrošina vides aizsardzība. Praksē ekspluatācijas pārtraukšanas projekts var iekļaut arī būtiskas izmaksas, kas ir saistītas ar ilgtermiņa atkritumu apsaimniekošanas darbībām, piemēram, bieži vien kodolspēkstaciju gadījumā projekta kopējām izmaksām varētu pievienot kodolatkritumu turpmākās apstrādes un/vai uzglabāšanas izmaksas (t. i., pēc to drošas aizvākšanas no kodolspēkstacijas). Vienkāršības labad ekspluatācijas pārtraukšanas un ilgtermiņa atkritumu apsaimniekošanas apvienotās izmaksas šajā dokumentā norāda kā ekspluatācijas pārtraukšanas izmaksas.</w:t>
      </w:r>
    </w:p>
    <w:p w14:paraId="09B96755"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8BDEDA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Kopumā šādas ražošanas vietas parasti pieder sabiedrībām, kas tiek uzskatītas par tirgus ražotājiem, ko klasificē nefinanšu sabiedrību sektorā (S.11), un kas arī ir atbildīgas par izbeigšanas (ekspluatācijas pārtraukšanas) izmaksām, valdībai tieši finansiāli neiesaistoties. Dažām no tām (jo īpaši, kad tās ir kotētas sabiedrības) uzņēmējdarbības struktūra un grāmatvedības prasības var uzlikt par pienākumu izstrādāt noteikumus, lai arī ir skaidrs, ka būs nepieciešami turpmākie izdevumi, precīzas summas nav skaidras un tiek noteiktas, balstoties </w:t>
      </w:r>
      <w:r w:rsidRPr="00B03B51">
        <w:rPr>
          <w:rFonts w:ascii="Times New Roman" w:hAnsi="Times New Roman" w:cs="Times New Roman"/>
          <w:sz w:val="24"/>
        </w:rPr>
        <w:lastRenderedPageBreak/>
        <w:t>uz aplēsēm. Ņemot vērā, ka ir iespējamas papildu sekas, var būt arī īpaši starptautiski nolīgumi dažās ražošanas jomās, kā tas ir attiecībā uz kodolenerģiju.</w:t>
      </w:r>
    </w:p>
    <w:p w14:paraId="1952642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08D9E3A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Valdība var iesaistīties ekspluatācijas pārtraukšanas darbībās dažādos veidos. Valdības vienībai var piederēt šādi aktīvi jau no to ekspluatācijas laika sākuma vai arī tā var tos iegādāties vēlāk dažādos veidos. Valdība var arī finansēt ekspluatācijas pārtraukšanas izmaksas par aktīviem, kas pieder sabiedrībām, ar dotāciju (D.92) starpniecību, ja tiek uzskatīts, ka izmaksas ir būtiskas, vai arī kādu citu iemeslu dēļ, piemēram, ja valdība ir atbildīga par vides aizsardzību.</w:t>
      </w:r>
    </w:p>
    <w:p w14:paraId="29FF0DD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8C3470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Valdība var arī pieprasīt īpašu fondu izveidi, zinot, ka nefinanšu sabiedrību sektorā ir iekārtas, kuras nākotnē būs jāizņem no ekspluatācijas. Šos fondus var pat nodot valdības pārziņā, lai nodrošinātu to pieejamību un pietiekamību. Var veikt regulāras iemaksas fondos (piemēram, gada maksājumus) vai arī izmantot vienreizējus maksājumus. Atbildība par iespējamu turpmāko fonda nepietiekamību būs atkarīga no valsts tiesiskā un normatīvā regulējuma.</w:t>
      </w:r>
    </w:p>
    <w:p w14:paraId="3688A16C" w14:textId="77777777" w:rsidR="00994F93" w:rsidRPr="00B03B51" w:rsidRDefault="00994F93" w:rsidP="00994F93">
      <w:pPr>
        <w:jc w:val="both"/>
        <w:rPr>
          <w:rFonts w:ascii="Times New Roman" w:eastAsia="Arial" w:hAnsi="Times New Roman" w:cs="Times New Roman"/>
          <w:noProof/>
          <w:sz w:val="24"/>
          <w:szCs w:val="15"/>
        </w:rPr>
      </w:pPr>
    </w:p>
    <w:p w14:paraId="32A589D2" w14:textId="77777777" w:rsidR="00994F93" w:rsidRPr="00B03B51" w:rsidRDefault="00994F93" w:rsidP="00994F93">
      <w:pPr>
        <w:pStyle w:val="Heading6"/>
        <w:ind w:left="0" w:firstLine="0"/>
        <w:jc w:val="both"/>
        <w:rPr>
          <w:rFonts w:ascii="Times New Roman" w:hAnsi="Times New Roman" w:cs="Times New Roman"/>
          <w:noProof/>
          <w:sz w:val="24"/>
        </w:rPr>
      </w:pPr>
      <w:bookmarkStart w:id="283" w:name="3.7.1.1_Overview_of_the_treatment_in_nat"/>
      <w:bookmarkEnd w:id="283"/>
      <w:r w:rsidRPr="00B03B51">
        <w:rPr>
          <w:rFonts w:ascii="Times New Roman" w:hAnsi="Times New Roman" w:cs="Times New Roman"/>
          <w:sz w:val="24"/>
        </w:rPr>
        <w:t>3.7.1.1. PĀRSKATS PAR TRAKTĒJUMU NACIONĀLAJOS KONTOS</w:t>
      </w:r>
    </w:p>
    <w:p w14:paraId="13A5121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EB4875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Noteikumi par ekspluatācijas pārtraukšanas izmaksām tika ieviesti 2008 NKS un EKS 2010. Atzīstot praktiskas grūtības NKS 2008 pieejas vispārējā piemērošanā, rokasgrāmatā </w:t>
      </w:r>
      <w:r w:rsidRPr="00B03B51">
        <w:rPr>
          <w:rFonts w:ascii="Times New Roman" w:hAnsi="Times New Roman" w:cs="Times New Roman"/>
          <w:i/>
          <w:iCs/>
          <w:sz w:val="24"/>
        </w:rPr>
        <w:t>Manual on the changes between ESA 95 and ESA 2010</w:t>
      </w:r>
      <w:r w:rsidRPr="00B03B51">
        <w:rPr>
          <w:rFonts w:ascii="Times New Roman" w:hAnsi="Times New Roman" w:cs="Times New Roman"/>
          <w:sz w:val="24"/>
        </w:rPr>
        <w:t xml:space="preserve"> [Rokasgrāmata par izmaiņām EKS 2010 attiecībā pret EKS 95] sniegts ieteikums izmantot praktisku pieeju.</w:t>
      </w:r>
    </w:p>
    <w:p w14:paraId="2EB85C1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1B279A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Praktiska pieeja nozīmē, ka ekspluatācijas pārtraukšanas izmaksas var parādīt pamatkapitāla patēriņā (P.51c) aktīva ekspluatācijas termiņa beigās (brīdī, kad rodas faktiskie izdevumi). Vai arī gaidāmās ekspluatācijas pārtraukšanas izmaksas var parādīt pamatkapitāla patēriņā visā aktīva ekspluatācijas periodā, kas ir NKS teorētiskā pieeja, ja ir pieejama uzticama informācija. Ir pieļaujami abi traktējuma veidi.</w:t>
      </w:r>
    </w:p>
    <w:p w14:paraId="66F219E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0D917D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EKS 2010 3.129. punkta h) apakšpunktā norādīts, ka gala izmaksas, t. i., lielas izmaksas, kas saistītas ar likvidāciju, piemēram, kodolspēkstaciju ekspluatācijas pārtraukšanas izmaksas vai pildizgāztuvju uzkopšanas izmaksas, tiek uzskatītas par bruto pamatkapitāla veidošanu (</w:t>
      </w:r>
      <w:r w:rsidRPr="00B03B51">
        <w:rPr>
          <w:rFonts w:ascii="Times New Roman" w:hAnsi="Times New Roman" w:cs="Times New Roman"/>
          <w:i/>
          <w:iCs/>
          <w:sz w:val="24"/>
        </w:rPr>
        <w:t>GFCF</w:t>
      </w:r>
      <w:r w:rsidRPr="00B03B51">
        <w:rPr>
          <w:rFonts w:ascii="Times New Roman" w:hAnsi="Times New Roman" w:cs="Times New Roman"/>
          <w:sz w:val="24"/>
        </w:rPr>
        <w:t xml:space="preserve">, P.51g) periodā, kurā tās faktiski notiek. Tomēr sliekšņa noteikšana šādām “lielām” izmaksām varētu būt visai patvaļīga. Attiecīgi nav ieteicams ekspluatācijas pārtraukšanas izmaksu vērtību uzskatīt par operatīvu kritēriju attiecībā uz šo izmaksu klasificēšanu kā </w:t>
      </w:r>
      <w:r w:rsidRPr="00B03B51">
        <w:rPr>
          <w:rFonts w:ascii="Times New Roman" w:hAnsi="Times New Roman" w:cs="Times New Roman"/>
          <w:i/>
          <w:iCs/>
          <w:sz w:val="24"/>
        </w:rPr>
        <w:t>GFCF</w:t>
      </w:r>
      <w:r w:rsidRPr="00B03B51">
        <w:rPr>
          <w:rFonts w:ascii="Times New Roman" w:hAnsi="Times New Roman" w:cs="Times New Roman"/>
          <w:sz w:val="24"/>
        </w:rPr>
        <w:t xml:space="preserve">, jo tas var mazināt ES dalībvalstu datu salīdzināmību. Tā vietā pieņemamāka alternatīva varētu būt kā kritēriju izmantot periodu, kas nepieciešams ekspluatācijas pārtraukšanai, t. i., “vairāk vai mazāk par vienu gadu”, lai izlemtu, vai ar ekspluatācijas pārtraukšanas darbību saistītās izmaksas ir ierakstāmas kā </w:t>
      </w:r>
      <w:r w:rsidRPr="00B03B51">
        <w:rPr>
          <w:rFonts w:ascii="Times New Roman" w:hAnsi="Times New Roman" w:cs="Times New Roman"/>
          <w:i/>
          <w:iCs/>
          <w:sz w:val="24"/>
        </w:rPr>
        <w:t>GFCF</w:t>
      </w:r>
      <w:r w:rsidRPr="00B03B51">
        <w:rPr>
          <w:rFonts w:ascii="Times New Roman" w:hAnsi="Times New Roman" w:cs="Times New Roman"/>
          <w:sz w:val="24"/>
        </w:rPr>
        <w:t xml:space="preserve">. Tomēr kā iespējamais izņēmums varētu būt arī gadījumi, kad nozīmīgi ekspluatācijas pārtraukšanas izdevumi notiek periodā, kas ir īsāks par vienu gadu, tomēr joprojām tiek uzskatīti par </w:t>
      </w:r>
      <w:r w:rsidRPr="00B03B51">
        <w:rPr>
          <w:rFonts w:ascii="Times New Roman" w:hAnsi="Times New Roman" w:cs="Times New Roman"/>
          <w:i/>
          <w:iCs/>
          <w:sz w:val="24"/>
        </w:rPr>
        <w:t>GFCF</w:t>
      </w:r>
      <w:r w:rsidRPr="00B03B51">
        <w:rPr>
          <w:rFonts w:ascii="Times New Roman" w:hAnsi="Times New Roman" w:cs="Times New Roman"/>
          <w:sz w:val="24"/>
        </w:rPr>
        <w:t>.</w:t>
      </w:r>
    </w:p>
    <w:p w14:paraId="5373D01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D04006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Izmaksas, kas nav kvalificējamas kā ekspluatācijas pārtraukšanas izmaksas, traktē nevis kā </w:t>
      </w:r>
      <w:r w:rsidRPr="00B03B51">
        <w:rPr>
          <w:rFonts w:ascii="Times New Roman" w:hAnsi="Times New Roman" w:cs="Times New Roman"/>
          <w:i/>
          <w:iCs/>
          <w:sz w:val="24"/>
        </w:rPr>
        <w:t>GFCF</w:t>
      </w:r>
      <w:r w:rsidRPr="00B03B51">
        <w:rPr>
          <w:rFonts w:ascii="Times New Roman" w:hAnsi="Times New Roman" w:cs="Times New Roman"/>
          <w:sz w:val="24"/>
        </w:rPr>
        <w:t>, bet kopumā kā starppatēriņu (P.2).</w:t>
      </w:r>
    </w:p>
    <w:p w14:paraId="3D90C377" w14:textId="77777777" w:rsidR="00994F93" w:rsidRPr="00B03B51" w:rsidRDefault="00994F93" w:rsidP="00994F93">
      <w:pPr>
        <w:jc w:val="both"/>
        <w:rPr>
          <w:rFonts w:ascii="Times New Roman" w:eastAsia="Arial" w:hAnsi="Times New Roman" w:cs="Times New Roman"/>
          <w:noProof/>
          <w:sz w:val="24"/>
          <w:szCs w:val="18"/>
        </w:rPr>
      </w:pPr>
    </w:p>
    <w:p w14:paraId="75A787B7"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84" w:name="3.7.2_Treatment_in_national_accounts"/>
      <w:bookmarkStart w:id="285" w:name="_Toc67565112"/>
      <w:bookmarkEnd w:id="284"/>
      <w:r w:rsidRPr="00B03B51">
        <w:rPr>
          <w:rFonts w:ascii="Times New Roman" w:hAnsi="Times New Roman" w:cs="Times New Roman"/>
          <w:sz w:val="24"/>
        </w:rPr>
        <w:t>3.7.2. Traktējums nacionālajos kontos</w:t>
      </w:r>
      <w:bookmarkEnd w:id="285"/>
    </w:p>
    <w:p w14:paraId="370E6F5E" w14:textId="77777777" w:rsidR="00994F93" w:rsidRPr="00186A44" w:rsidRDefault="00994F93" w:rsidP="00186A44">
      <w:pPr>
        <w:rPr>
          <w:rFonts w:ascii="Times New Roman" w:hAnsi="Times New Roman" w:cs="Times New Roman"/>
          <w:noProof/>
          <w:sz w:val="24"/>
          <w:szCs w:val="24"/>
        </w:rPr>
      </w:pPr>
      <w:bookmarkStart w:id="286" w:name="3.7.2.1_Transfer_of_assets_to_government"/>
      <w:bookmarkEnd w:id="286"/>
    </w:p>
    <w:p w14:paraId="3FD3349A"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3.7.2.1. AKTĪVU PĀRVEDUMS VALDĪBAI</w:t>
      </w:r>
    </w:p>
    <w:p w14:paraId="2495CE6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21C838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w:t>
      </w:r>
      <w:r w:rsidRPr="00B03B51">
        <w:rPr>
          <w:rFonts w:ascii="Times New Roman" w:hAnsi="Times New Roman" w:cs="Times New Roman"/>
          <w:i/>
          <w:iCs/>
          <w:sz w:val="24"/>
        </w:rPr>
        <w:t>GFCF</w:t>
      </w:r>
      <w:r w:rsidRPr="00B03B51">
        <w:rPr>
          <w:rFonts w:ascii="Times New Roman" w:hAnsi="Times New Roman" w:cs="Times New Roman"/>
          <w:sz w:val="24"/>
        </w:rPr>
        <w:t xml:space="preserve"> postenī ir jāieraksta darījuma novērotā summa. Ja aktīvs tiek pārnests bez maksas, valdības </w:t>
      </w:r>
      <w:r w:rsidRPr="00B03B51">
        <w:rPr>
          <w:rFonts w:ascii="Times New Roman" w:hAnsi="Times New Roman" w:cs="Times New Roman"/>
          <w:i/>
          <w:iCs/>
          <w:sz w:val="24"/>
        </w:rPr>
        <w:t>GFCF</w:t>
      </w:r>
      <w:r w:rsidRPr="00B03B51">
        <w:rPr>
          <w:rFonts w:ascii="Times New Roman" w:hAnsi="Times New Roman" w:cs="Times New Roman"/>
          <w:sz w:val="24"/>
        </w:rPr>
        <w:t xml:space="preserve"> palielinājums būtu jākompensē ar kapitāla pārvedumu (natūrā), neietekmējot </w:t>
      </w:r>
      <w:r w:rsidRPr="00B03B51">
        <w:rPr>
          <w:rFonts w:ascii="Times New Roman" w:hAnsi="Times New Roman" w:cs="Times New Roman"/>
          <w:sz w:val="24"/>
        </w:rPr>
        <w:lastRenderedPageBreak/>
        <w:t>valdības neto aizdevumu/aizņēmumu (B.9).</w:t>
      </w:r>
    </w:p>
    <w:p w14:paraId="3AEE0B9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940436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Kad aktīvs tiek pārnests valdībai, būtībā pārvedumā iekļauj arī ar aktīva ekspluatācijas pārtraukšanu saistītās saistības. Pārnesot aktīvu, valdībai līdztekus var veikt vienu vai vairākus secīgus vienreizējus maksājumus.</w:t>
      </w:r>
    </w:p>
    <w:p w14:paraId="1166973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7C3054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Ja valdībai tiek sniegts vienreizējs maksājums, kas paredzēts kādu turpmāko ekspluatācijas pārtraukšanas izmaksu segšanai, šī summa ir jāieraksta nevis kā valdības ieņēmumi, bet gan kā finanšu avanss valdībai. Nodotā aktīva sākotnējais īpašnieks vairs nebūs iesaistīts turpmākajā ekspluatācijas pārtraukšanas procesā, tādējādi tas kompensē valdībai to, ka tā uzņemas šo atbildību. Finanšu aktīvu pārvedums “vienreizēja maksājuma” veidā, kas atbilst noteiktai uzkrātai rezervei, ir finanšu darījums ar atbilstošu ierakstu citās kreditoru saistībās (F.8).</w:t>
      </w:r>
    </w:p>
    <w:p w14:paraId="7FAF0DE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9B6045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Ja ir uzskatāms, ka pieejamā informācija ir uzticama, sākumā ir jāsalīdzina ekspluatācijas pārtraukšanas provizoriskās izmaksas un saņemtais vienreizējais maksājums.</w:t>
      </w:r>
    </w:p>
    <w:p w14:paraId="56D1E70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D980A5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Var gadīties, ka spēkā esošās ekspluatācijas pārtraukšanas neto saistības ir zemākas par to patieso vērtību; tādējādi valdība saņem nepietiekamus aktīvus apmaiņā pret to, ka pārņem ekspluatācijas pārtraukšanas saistības, kuru vērtība ir noteikta saskaņā ar vispārpieņemtām aprēķina metodēm. Šādos gadījumos minētās AF.8 saistības palielina līdz pareizai vērtībai un šīs vērtības un nodoto aktīvu vērtības starpību izlīdzina, izmantojot D.99 kapitāla pārvedumu, tādējādi uzreiz tiek ietekmēts valdības neto aizdevums/aizņēmums (B.9). Uzskatāms, ka valdība ir apzināti piekritusi nelīdzsvarotam darījumam, lai sniegtu atbalstu sabiedrībai.</w:t>
      </w:r>
    </w:p>
    <w:p w14:paraId="5CD2C5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CF9AF3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Kad valdībai rodas ekspluatācijas pārtraukšanas izdevumi, tā tos ieraksta kā finansētus no paredzētajām rezervēm, kas tādējādi nozīmē, ka tiek samazinātas citas kreditoru saistības (F.8) līdz pilnīgai summas izsmelšanai. Tā kā vienreizējs maksājums ir diskontētas vērtības veidā (t. i., tiek ņemts vērā tas, ka izdevumi rodas kādā laikposmā), tas ir atbilstīgi jāpārvērtē, izmantojot īpašuma ienākumu.</w:t>
      </w:r>
    </w:p>
    <w:p w14:paraId="31C3C7F8"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EDB39A7"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Tādējādi līdzīgi kā pensiju saistību nodošanas gadījumā tiklīdz rodas ar ekspluatācijas pārtraukšanu saistītie izdevumi, ietekmi uz valdības neto aizdevumu/aizņēmumu (B.9) neitralizē ar nosacītu ierakstu (ieņēmumiem) valdībai. Šādu ieņēmumu ieraksta vai nu kā saņemamo kapitāla pārvedumu (D.99) (kapitālizdevumiem, kas attiecas uz aktīviem), vai kā saņemamo kārtējo pārvedumu (D.75) (starppatēriņa izdevumiem) par tādu pašu summu, kāda ir ekspluatācijas pārtraukšanas izdevumu summa. Lai arī sākotnējais aktīvu īpašnieks (sabiedrība) šajā laikā varētu jau būt izzudis, tas neliedz īstenot minēto neitralizācijas noteikumu. Tādējādi pēc rezervju (AF.8) izsīkšanas rodas negatīva ietekme uz valdības neto aizdevumu/aizņēmumu (B.9).</w:t>
      </w:r>
    </w:p>
    <w:p w14:paraId="7B3F9D39" w14:textId="77777777" w:rsidR="00994F93" w:rsidRPr="00B03B51" w:rsidRDefault="00994F93" w:rsidP="00994F93">
      <w:pPr>
        <w:jc w:val="both"/>
        <w:rPr>
          <w:rFonts w:ascii="Times New Roman" w:eastAsia="Arial" w:hAnsi="Times New Roman" w:cs="Times New Roman"/>
          <w:noProof/>
          <w:sz w:val="24"/>
          <w:szCs w:val="15"/>
        </w:rPr>
      </w:pPr>
    </w:p>
    <w:p w14:paraId="527F8094" w14:textId="77777777" w:rsidR="00994F93" w:rsidRPr="00B03B51" w:rsidRDefault="00994F93" w:rsidP="00994F93">
      <w:pPr>
        <w:pStyle w:val="Heading6"/>
        <w:tabs>
          <w:tab w:val="left" w:pos="1267"/>
        </w:tabs>
        <w:ind w:left="0" w:firstLine="0"/>
        <w:jc w:val="both"/>
        <w:rPr>
          <w:rFonts w:ascii="Times New Roman" w:hAnsi="Times New Roman" w:cs="Times New Roman"/>
          <w:noProof/>
          <w:sz w:val="24"/>
        </w:rPr>
      </w:pPr>
      <w:bookmarkStart w:id="287" w:name="3.7.2.2_Payments_to_government_with_no_o"/>
      <w:bookmarkEnd w:id="287"/>
      <w:r w:rsidRPr="00B03B51">
        <w:rPr>
          <w:rFonts w:ascii="Times New Roman" w:hAnsi="Times New Roman" w:cs="Times New Roman"/>
          <w:sz w:val="24"/>
        </w:rPr>
        <w:t>3.7.2.2. MAKSĀJUMI VALDĪBAI, NEVEICOT CITUS AKTĪVU PĀRVEDUMUS</w:t>
      </w:r>
    </w:p>
    <w:p w14:paraId="007484C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1115DBE6"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Var gadīties, ka valdība saņem vienu vai vairākus maksājumus apmaiņā pret to, ka uzņemas turpmākās ekspluatācijas pārtraukšanas saistības, taču attiecīgo iekārtu īpašumtiesības nemainās.</w:t>
      </w:r>
    </w:p>
    <w:p w14:paraId="0EA1BCB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6DD21D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21. Var arī gadīties, ka normatīvā vide paredz, ka aktīva ekspluatanti regulāri veic iemaksas neatkarīgi pārvaldītā fondā, parasti saskaņā ar stingriem valdības izstrādātiem noteikumiem, tādējādi valdība </w:t>
      </w:r>
      <w:r w:rsidRPr="00B03B51">
        <w:rPr>
          <w:rFonts w:ascii="Times New Roman" w:hAnsi="Times New Roman" w:cs="Times New Roman"/>
          <w:i/>
          <w:iCs/>
          <w:sz w:val="24"/>
        </w:rPr>
        <w:t>de facto</w:t>
      </w:r>
      <w:r w:rsidRPr="00B03B51">
        <w:rPr>
          <w:rFonts w:ascii="Times New Roman" w:hAnsi="Times New Roman" w:cs="Times New Roman"/>
          <w:sz w:val="24"/>
        </w:rPr>
        <w:t xml:space="preserve"> kontrolē fondu. Šāda regulējuma mērķis ir nodrošināt fondu pieejamību vajadzīgajā brīdī neatkarīgi no tā, vai par ekspluatācijas pārtraukšanas darbībām joprojām ir atbildīgs ekspluatants.</w:t>
      </w:r>
    </w:p>
    <w:p w14:paraId="30BFA55E"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337E36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Abos gadījumos šo grāmatvedības traktējumu var pielāgot situācijai, kad aktīvu (piemēram, kodolspēkstaciju) arī nodod valdībai, lai arī šajā gadījumā aktīvs attiecas uz saņemto naudu vai citiem finanšu aktīviem, nevis uz pašu aprīkojumu.</w:t>
      </w:r>
    </w:p>
    <w:p w14:paraId="521B1771"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45F390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Kā minēts iepriekš, ja īpašnieks sniedz valdībai vienreizēju maksājumu (vai vairākus secīgus maksājumus), kas paredzēts kādu turpmāko ekspluatācijas pārtraukšanas izmaksu segšanai, šo summu ieraksta kā finanšu avansu valdībai. Finanšu aktīvu pārvedums ir finanšu darījums, kuram atbilstošais ieraksts tiek veikts citās kreditoru saistībās (F.8). Ja līdzekļu pārvedums nozīmē, ka tiek nodota atbildība par ekspluatācijas pārtraukšanas darbību veikšanu, un ja pieejamā informācija ir uzskatāma par ticamu, sākumā ir jāsalīdzina ekspluatācijas pārtraukšanas provizoriskās izmaksas un saņemtais vienreizējais maksājums (ja tiek veikts viens maksājums) vai saņemamie maksājumi (ja tiek veikti vairāki secīgi maksājumi).</w:t>
      </w:r>
    </w:p>
    <w:p w14:paraId="041B4F09"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26B3B40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Ja uzņēmums, pārskaitot līdzekļus īpaši paredzētam fondam, nenodod atbildību (piemēram, gadījumā, kad naudu uzkrāj papildu garantiju fondā), attiecīgās summas ieraksta kā finanšu avansu. Vēlāk no šā fonda izņemtos līdzekļus ierakstīs finanšu kontos.</w:t>
      </w:r>
    </w:p>
    <w:p w14:paraId="570F683B" w14:textId="77777777" w:rsidR="00994F93" w:rsidRPr="00B03B51" w:rsidRDefault="00994F93" w:rsidP="00994F93">
      <w:pPr>
        <w:jc w:val="both"/>
        <w:rPr>
          <w:rFonts w:ascii="Times New Roman" w:eastAsia="Arial" w:hAnsi="Times New Roman" w:cs="Times New Roman"/>
          <w:noProof/>
          <w:sz w:val="24"/>
          <w:szCs w:val="18"/>
        </w:rPr>
      </w:pPr>
    </w:p>
    <w:p w14:paraId="051E95E6"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88" w:name="3.7.3_Rationale_of_the_treatment"/>
      <w:bookmarkStart w:id="289" w:name="_Toc67565113"/>
      <w:bookmarkEnd w:id="288"/>
      <w:r w:rsidRPr="00B03B51">
        <w:rPr>
          <w:rFonts w:ascii="Times New Roman" w:hAnsi="Times New Roman" w:cs="Times New Roman"/>
          <w:sz w:val="24"/>
        </w:rPr>
        <w:t>3.7.3. Traktējuma pamatojums</w:t>
      </w:r>
      <w:bookmarkEnd w:id="289"/>
    </w:p>
    <w:p w14:paraId="016952B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40967512"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Pastāv stingra analoģija ar pensiju saistību nodošanu, lai arī kopumā provizoriskās turpmākās izmaksas pensiju saistību gadījumā ir ticamākas (skat. šīs rokasgrāmatas 3.6. nodaļu). Tādējādi var izmantot līdzīgu pamatojumu (EKS 2010 20.273. un 20.274. punkts), t. i., tiek uzskatīts, ka darījums ir līdzvērtīgs finanšu aktīvu apmaiņai pret pienākuma uzņemšanos, kas ir saistība, un tādējādi “darījumam nevajadzētu ietekmēt neto vērtības un finanšu neto vērtības mērus”. Identiska situācija pastāv saistībā ar noteikumiem par EKS 2010 aktīvu/saistību robežu. Tā kā nacionālajos kontos ekspluatācijas pārtraukšanas saistības netiek uzskatītas par rezervju nodrošinājuma posteni, tās var ierakstīt tikai kā citas kreditoru saistības (F.8).</w:t>
      </w:r>
    </w:p>
    <w:p w14:paraId="6715F76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0C1E544"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Lai nacionālajos kontos nodrošinātu vispārēju atbilstību (“četrkāršā ieraksta” principu), maksājamā summa valdības sektorā ir jālīdzsvaro, ierakstot saņemamo summu nefinanšu sabiedrību sektorā. Ja aktīva iepriekšējais īpašnieks vairs nav institucionāla vienība likvidācijas, apvienošanas/iegādes u. c. iemeslu dēļ (pat ja tiesību pārņēmējs neatzīst šādu debitoru saistību aktīvu savā uzņēmējdarbības grāmatvedības bilancē), saņemamā summa joprojām ir jāieraksta sektora kontos kā šā sektora nosacītā vienība. Lai arī statistikas veidotājiem dažkārt ir grūti savākt datus no saviem parastajiem datu avotiem par šādu trūkstošo vērtību aprēķināšanu, tā ir nepieciešama ierakstīšanas sastāvdaļa.</w:t>
      </w:r>
    </w:p>
    <w:p w14:paraId="39854549" w14:textId="77777777" w:rsidR="00994F93" w:rsidRPr="00B03B51" w:rsidRDefault="00994F93" w:rsidP="00994F93">
      <w:pPr>
        <w:jc w:val="both"/>
        <w:rPr>
          <w:rFonts w:ascii="Times New Roman" w:hAnsi="Times New Roman" w:cs="Times New Roman"/>
          <w:noProof/>
          <w:sz w:val="24"/>
        </w:rPr>
      </w:pPr>
    </w:p>
    <w:p w14:paraId="48BFC45B"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90" w:name="3.7.4_Accounting_example_(simplified)"/>
      <w:bookmarkStart w:id="291" w:name="_Toc67565114"/>
      <w:bookmarkEnd w:id="290"/>
      <w:r w:rsidRPr="00B03B51">
        <w:rPr>
          <w:rFonts w:ascii="Times New Roman" w:hAnsi="Times New Roman" w:cs="Times New Roman"/>
          <w:sz w:val="24"/>
        </w:rPr>
        <w:t>3.7.4. Uzskaites piemērs (vienkāršots)</w:t>
      </w:r>
      <w:bookmarkEnd w:id="291"/>
    </w:p>
    <w:p w14:paraId="7FDCB1CB"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09DB7AD"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27. Tieši pirms </w:t>
      </w:r>
      <w:r w:rsidRPr="00B03B51">
        <w:rPr>
          <w:rFonts w:ascii="Times New Roman" w:hAnsi="Times New Roman" w:cs="Times New Roman"/>
          <w:i/>
          <w:iCs/>
          <w:sz w:val="24"/>
        </w:rPr>
        <w:t>t </w:t>
      </w:r>
      <w:r w:rsidRPr="00B03B51">
        <w:rPr>
          <w:rFonts w:ascii="Times New Roman" w:hAnsi="Times New Roman" w:cs="Times New Roman"/>
          <w:sz w:val="24"/>
        </w:rPr>
        <w:t>gada beigām valdība īsteno jaunu enerģētikas politiku, kas paredz slēgt kodolstacijas 5 gadu laikā. Tā ir aplēsusi, ka visu kodolspēkstaciju ekspluatācijas pārtraukšanas kopējās izmaksas varētu būt 25 miljardi EUR. Sākotnēji tika uzskatīts, ka par procesu atbildīgi būs enerģētikas uzņēmumi. Valdība uzskata, ka tas ir pārāk augsts risks privātiem enerģijas ražotājiem, un nolemj pārņemt ar kodolenerģiju saistītās saistības apmaiņā pret 20 miljardiem EUR (tā ir summa, kas enerģētikas uzņēmumiem bija grāmatvedības noteikumos uz nolīguma noslēgšanas dienu).</w:t>
      </w:r>
    </w:p>
    <w:p w14:paraId="4D9C364C"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7CDBE243"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28. Vienlaikus valdība izveido kodolatkritumu apsaimniekošanas fondu, lai risinātu turpmākās izmaksas saistībā ar komerciālās kodolenerģijas ražošanas procesā radīto radioaktīvo materiālu </w:t>
      </w:r>
      <w:r w:rsidRPr="00B03B51">
        <w:rPr>
          <w:rFonts w:ascii="Times New Roman" w:hAnsi="Times New Roman" w:cs="Times New Roman"/>
          <w:sz w:val="24"/>
        </w:rPr>
        <w:lastRenderedPageBreak/>
        <w:t>drošu utilizāciju. Fonds saņem 20 miljardus EUR naudā no enerģētikas uzņēmumiem. Fonda valde apstiprina ieguldījuma stratēģiju finanšu aktīvos, kuriem ir ļoti zems svārstīgums, iegūstot ilgtermiņa peļņu 1,7 % apmērā, tādējādi pārveduma nosacītā vērtība ir 23 miljardi EUR (nevis 20 miljardi EUR).</w:t>
      </w:r>
    </w:p>
    <w:p w14:paraId="1A8430AF"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5C4C654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Ekspluatācijas pārtraukšanas un atkritumu apsaimniekošanas darbības sākas uzreiz pēc ražotņu slēgšanas (</w:t>
      </w:r>
      <w:r w:rsidRPr="00B03B51">
        <w:rPr>
          <w:rFonts w:ascii="Times New Roman" w:hAnsi="Times New Roman" w:cs="Times New Roman"/>
          <w:i/>
          <w:iCs/>
          <w:sz w:val="24"/>
        </w:rPr>
        <w:t>t+5</w:t>
      </w:r>
      <w:r w:rsidRPr="00B03B51">
        <w:rPr>
          <w:rFonts w:ascii="Times New Roman" w:hAnsi="Times New Roman" w:cs="Times New Roman"/>
          <w:sz w:val="24"/>
        </w:rPr>
        <w:t xml:space="preserve"> gada beigās). Vienkāršības labad pieņemsim, ka tās tiek pabeigtas viena gada laikā un ka inflācijas līmenis ir 0 %. Ienākošās naudas plūsmas laikposmā no </w:t>
      </w:r>
      <w:r w:rsidRPr="00B03B51">
        <w:rPr>
          <w:rFonts w:ascii="Times New Roman" w:hAnsi="Times New Roman" w:cs="Times New Roman"/>
          <w:i/>
          <w:iCs/>
          <w:sz w:val="24"/>
        </w:rPr>
        <w:t>t+1</w:t>
      </w:r>
      <w:r w:rsidRPr="00B03B51">
        <w:rPr>
          <w:rFonts w:ascii="Times New Roman" w:hAnsi="Times New Roman" w:cs="Times New Roman"/>
          <w:sz w:val="24"/>
        </w:rPr>
        <w:t xml:space="preserve"> gada līdz </w:t>
      </w:r>
      <w:r w:rsidRPr="00B03B51">
        <w:rPr>
          <w:rFonts w:ascii="Times New Roman" w:hAnsi="Times New Roman" w:cs="Times New Roman"/>
          <w:i/>
          <w:iCs/>
          <w:sz w:val="24"/>
        </w:rPr>
        <w:t>t+5</w:t>
      </w:r>
      <w:r w:rsidRPr="00B03B51">
        <w:rPr>
          <w:rFonts w:ascii="Times New Roman" w:hAnsi="Times New Roman" w:cs="Times New Roman"/>
          <w:sz w:val="24"/>
        </w:rPr>
        <w:t> gadam ietver procentus par finanšu aktīviem.</w:t>
      </w:r>
    </w:p>
    <w:p w14:paraId="79D6BF2A" w14:textId="77777777" w:rsidR="00994F93" w:rsidRPr="00B03B51" w:rsidRDefault="00994F93" w:rsidP="00994F93">
      <w:pPr>
        <w:pStyle w:val="BodyText"/>
        <w:tabs>
          <w:tab w:val="left" w:pos="843"/>
        </w:tabs>
        <w:spacing w:before="0"/>
        <w:ind w:left="0" w:firstLine="0"/>
        <w:jc w:val="both"/>
        <w:rPr>
          <w:rFonts w:ascii="Times New Roman" w:hAnsi="Times New Roman" w:cs="Times New Roman"/>
          <w:noProof/>
          <w:sz w:val="24"/>
        </w:rPr>
      </w:pPr>
    </w:p>
    <w:p w14:paraId="3E70B50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Valdības naudas plūsmas mlj. EUR</w:t>
      </w:r>
    </w:p>
    <w:p w14:paraId="04DEAB3D" w14:textId="77777777" w:rsidR="00994F93" w:rsidRPr="00B03B51" w:rsidRDefault="00994F93" w:rsidP="00994F93">
      <w:pPr>
        <w:jc w:val="both"/>
        <w:rPr>
          <w:rFonts w:ascii="Times New Roman" w:eastAsia="Arial" w:hAnsi="Times New Roman" w:cs="Times New Roman"/>
          <w:noProof/>
          <w:sz w:val="2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08"/>
        <w:gridCol w:w="1049"/>
        <w:gridCol w:w="1049"/>
        <w:gridCol w:w="1049"/>
        <w:gridCol w:w="1049"/>
        <w:gridCol w:w="1049"/>
        <w:gridCol w:w="2008"/>
      </w:tblGrid>
      <w:tr w:rsidR="00994F93" w:rsidRPr="00B03B51" w14:paraId="6B3DDE33" w14:textId="77777777" w:rsidTr="003E20F3">
        <w:tc>
          <w:tcPr>
            <w:tcW w:w="997" w:type="pct"/>
            <w:vAlign w:val="center"/>
          </w:tcPr>
          <w:p w14:paraId="6D5BEBC5" w14:textId="77777777" w:rsidR="00994F93" w:rsidRPr="00B03B51" w:rsidRDefault="00994F93" w:rsidP="001C4B02">
            <w:pPr>
              <w:pStyle w:val="TableParagraph"/>
              <w:tabs>
                <w:tab w:val="left" w:pos="774"/>
              </w:tabs>
              <w:jc w:val="center"/>
              <w:rPr>
                <w:rFonts w:ascii="Times New Roman" w:hAnsi="Times New Roman" w:cs="Times New Roman"/>
                <w:noProof/>
                <w:sz w:val="24"/>
              </w:rPr>
            </w:pPr>
            <w:r w:rsidRPr="00B03B51">
              <w:rPr>
                <w:rFonts w:ascii="Times New Roman" w:hAnsi="Times New Roman" w:cs="Times New Roman"/>
                <w:sz w:val="24"/>
              </w:rPr>
              <w:t xml:space="preserve">Gads </w:t>
            </w:r>
            <w:r w:rsidRPr="00B03B51">
              <w:rPr>
                <w:rFonts w:ascii="Times New Roman" w:hAnsi="Times New Roman" w:cs="Times New Roman"/>
                <w:i/>
                <w:iCs/>
                <w:sz w:val="24"/>
              </w:rPr>
              <w:t>t</w:t>
            </w:r>
          </w:p>
        </w:tc>
        <w:tc>
          <w:tcPr>
            <w:tcW w:w="579" w:type="pct"/>
          </w:tcPr>
          <w:p w14:paraId="7A70CFA3"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579" w:type="pct"/>
            <w:vAlign w:val="center"/>
          </w:tcPr>
          <w:p w14:paraId="54DA8FC8"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t+2</w:t>
            </w:r>
          </w:p>
        </w:tc>
        <w:tc>
          <w:tcPr>
            <w:tcW w:w="579" w:type="pct"/>
            <w:vAlign w:val="center"/>
          </w:tcPr>
          <w:p w14:paraId="5FCAD754"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t+3</w:t>
            </w:r>
          </w:p>
        </w:tc>
        <w:tc>
          <w:tcPr>
            <w:tcW w:w="579" w:type="pct"/>
            <w:vAlign w:val="center"/>
          </w:tcPr>
          <w:p w14:paraId="03B38C08"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t+4</w:t>
            </w:r>
          </w:p>
        </w:tc>
        <w:tc>
          <w:tcPr>
            <w:tcW w:w="579" w:type="pct"/>
            <w:vAlign w:val="center"/>
          </w:tcPr>
          <w:p w14:paraId="1A0FD292"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t+5</w:t>
            </w:r>
          </w:p>
        </w:tc>
        <w:tc>
          <w:tcPr>
            <w:tcW w:w="1108" w:type="pct"/>
            <w:vAlign w:val="center"/>
          </w:tcPr>
          <w:p w14:paraId="6C0DDF56"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t+6</w:t>
            </w:r>
          </w:p>
        </w:tc>
      </w:tr>
      <w:tr w:rsidR="00994F93" w:rsidRPr="00B03B51" w14:paraId="5444916F" w14:textId="77777777" w:rsidTr="003E20F3">
        <w:tc>
          <w:tcPr>
            <w:tcW w:w="997" w:type="pct"/>
            <w:vAlign w:val="center"/>
          </w:tcPr>
          <w:p w14:paraId="3F824363"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20 000</w:t>
            </w:r>
          </w:p>
        </w:tc>
        <w:tc>
          <w:tcPr>
            <w:tcW w:w="579" w:type="pct"/>
          </w:tcPr>
          <w:p w14:paraId="0360065C"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340</w:t>
            </w:r>
          </w:p>
        </w:tc>
        <w:tc>
          <w:tcPr>
            <w:tcW w:w="579" w:type="pct"/>
            <w:vAlign w:val="center"/>
          </w:tcPr>
          <w:p w14:paraId="15E09F49"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346</w:t>
            </w:r>
          </w:p>
        </w:tc>
        <w:tc>
          <w:tcPr>
            <w:tcW w:w="579" w:type="pct"/>
            <w:vAlign w:val="center"/>
          </w:tcPr>
          <w:p w14:paraId="654B7F45"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352</w:t>
            </w:r>
          </w:p>
        </w:tc>
        <w:tc>
          <w:tcPr>
            <w:tcW w:w="579" w:type="pct"/>
            <w:vAlign w:val="center"/>
          </w:tcPr>
          <w:p w14:paraId="1C5E6C69"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358</w:t>
            </w:r>
          </w:p>
        </w:tc>
        <w:tc>
          <w:tcPr>
            <w:tcW w:w="579" w:type="pct"/>
            <w:vAlign w:val="center"/>
          </w:tcPr>
          <w:p w14:paraId="6D71B2A9"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364</w:t>
            </w:r>
          </w:p>
        </w:tc>
        <w:tc>
          <w:tcPr>
            <w:tcW w:w="1108" w:type="pct"/>
            <w:vAlign w:val="center"/>
          </w:tcPr>
          <w:p w14:paraId="3DDFF847" w14:textId="77777777" w:rsidR="00994F93" w:rsidRPr="00B03B51" w:rsidRDefault="00994F93" w:rsidP="001C4B02">
            <w:pPr>
              <w:pStyle w:val="TableParagraph"/>
              <w:jc w:val="center"/>
              <w:rPr>
                <w:rFonts w:ascii="Times New Roman" w:eastAsia="Arial" w:hAnsi="Times New Roman" w:cs="Times New Roman"/>
                <w:noProof/>
                <w:sz w:val="24"/>
                <w:szCs w:val="19"/>
              </w:rPr>
            </w:pPr>
            <w:r w:rsidRPr="00B03B51">
              <w:rPr>
                <w:rFonts w:ascii="Times New Roman" w:hAnsi="Times New Roman" w:cs="Times New Roman"/>
                <w:sz w:val="24"/>
                <w:szCs w:val="19"/>
              </w:rPr>
              <w:t>-25 000</w:t>
            </w:r>
          </w:p>
        </w:tc>
      </w:tr>
    </w:tbl>
    <w:p w14:paraId="658C40C4" w14:textId="77777777" w:rsidR="00994F93" w:rsidRPr="00B03B51" w:rsidRDefault="00994F93" w:rsidP="00994F93">
      <w:pPr>
        <w:jc w:val="both"/>
        <w:rPr>
          <w:rFonts w:ascii="Times New Roman" w:eastAsia="Arial" w:hAnsi="Times New Roman" w:cs="Times New Roman"/>
          <w:noProof/>
          <w:sz w:val="24"/>
          <w:szCs w:val="26"/>
        </w:rPr>
      </w:pPr>
    </w:p>
    <w:p w14:paraId="509D793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Procentu pieaugums un galīgais saldo (noapaļots) AF.89 mlj. EUR</w:t>
      </w:r>
    </w:p>
    <w:p w14:paraId="443F2C69" w14:textId="77777777" w:rsidR="00994F93" w:rsidRPr="00B03B51" w:rsidRDefault="00994F93" w:rsidP="00994F93">
      <w:pPr>
        <w:jc w:val="both"/>
        <w:rPr>
          <w:rFonts w:ascii="Times New Roman" w:eastAsia="Arial" w:hAnsi="Times New Roman" w:cs="Times New Roman"/>
          <w:noProof/>
          <w:sz w:val="2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96"/>
        <w:gridCol w:w="929"/>
        <w:gridCol w:w="930"/>
        <w:gridCol w:w="930"/>
        <w:gridCol w:w="930"/>
        <w:gridCol w:w="930"/>
        <w:gridCol w:w="2816"/>
      </w:tblGrid>
      <w:tr w:rsidR="00994F93" w:rsidRPr="00B03B51" w14:paraId="41519013" w14:textId="77777777" w:rsidTr="003E20F3">
        <w:tc>
          <w:tcPr>
            <w:tcW w:w="881" w:type="pct"/>
            <w:vAlign w:val="center"/>
          </w:tcPr>
          <w:p w14:paraId="4697894B" w14:textId="77777777" w:rsidR="00994F93" w:rsidRPr="00B03B51" w:rsidRDefault="00994F93" w:rsidP="001C4B02">
            <w:pPr>
              <w:pStyle w:val="TableParagraph"/>
              <w:tabs>
                <w:tab w:val="left" w:pos="774"/>
              </w:tabs>
              <w:jc w:val="center"/>
              <w:rPr>
                <w:rFonts w:ascii="Times New Roman" w:hAnsi="Times New Roman" w:cs="Times New Roman"/>
                <w:noProof/>
                <w:sz w:val="24"/>
              </w:rPr>
            </w:pPr>
            <w:r w:rsidRPr="00B03B51">
              <w:rPr>
                <w:rFonts w:ascii="Times New Roman" w:hAnsi="Times New Roman" w:cs="Times New Roman"/>
                <w:sz w:val="24"/>
              </w:rPr>
              <w:t xml:space="preserve">Gads </w:t>
            </w:r>
            <w:r w:rsidRPr="00B03B51">
              <w:rPr>
                <w:rFonts w:ascii="Times New Roman" w:hAnsi="Times New Roman" w:cs="Times New Roman"/>
                <w:i/>
                <w:iCs/>
                <w:sz w:val="24"/>
              </w:rPr>
              <w:t>t</w:t>
            </w:r>
          </w:p>
        </w:tc>
        <w:tc>
          <w:tcPr>
            <w:tcW w:w="513" w:type="pct"/>
          </w:tcPr>
          <w:p w14:paraId="3E7AD139"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513" w:type="pct"/>
            <w:vAlign w:val="center"/>
          </w:tcPr>
          <w:p w14:paraId="08B93C6C"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513" w:type="pct"/>
            <w:vAlign w:val="center"/>
          </w:tcPr>
          <w:p w14:paraId="454F9E00"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513" w:type="pct"/>
            <w:vAlign w:val="center"/>
          </w:tcPr>
          <w:p w14:paraId="1A6D4AA2"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513" w:type="pct"/>
            <w:vAlign w:val="center"/>
          </w:tcPr>
          <w:p w14:paraId="6DD4DA27"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i/>
                <w:iCs/>
                <w:sz w:val="24"/>
              </w:rPr>
              <w:t>t+1</w:t>
            </w:r>
          </w:p>
        </w:tc>
        <w:tc>
          <w:tcPr>
            <w:tcW w:w="1556" w:type="pct"/>
            <w:vAlign w:val="center"/>
          </w:tcPr>
          <w:p w14:paraId="19C1F7F1"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Gala summa</w:t>
            </w:r>
          </w:p>
        </w:tc>
      </w:tr>
      <w:tr w:rsidR="00994F93" w:rsidRPr="00B03B51" w14:paraId="43E778D1" w14:textId="77777777" w:rsidTr="003E20F3">
        <w:tc>
          <w:tcPr>
            <w:tcW w:w="881" w:type="pct"/>
            <w:vAlign w:val="center"/>
          </w:tcPr>
          <w:p w14:paraId="7110F33B"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23 000</w:t>
            </w:r>
          </w:p>
        </w:tc>
        <w:tc>
          <w:tcPr>
            <w:tcW w:w="513" w:type="pct"/>
          </w:tcPr>
          <w:p w14:paraId="324FFF78"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390</w:t>
            </w:r>
          </w:p>
        </w:tc>
        <w:tc>
          <w:tcPr>
            <w:tcW w:w="513" w:type="pct"/>
            <w:vAlign w:val="center"/>
          </w:tcPr>
          <w:p w14:paraId="42085AC3"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394</w:t>
            </w:r>
          </w:p>
        </w:tc>
        <w:tc>
          <w:tcPr>
            <w:tcW w:w="513" w:type="pct"/>
            <w:vAlign w:val="center"/>
          </w:tcPr>
          <w:p w14:paraId="558EBF35"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402</w:t>
            </w:r>
          </w:p>
        </w:tc>
        <w:tc>
          <w:tcPr>
            <w:tcW w:w="513" w:type="pct"/>
            <w:vAlign w:val="center"/>
          </w:tcPr>
          <w:p w14:paraId="604A4252"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408</w:t>
            </w:r>
          </w:p>
        </w:tc>
        <w:tc>
          <w:tcPr>
            <w:tcW w:w="513" w:type="pct"/>
            <w:vAlign w:val="center"/>
          </w:tcPr>
          <w:p w14:paraId="1BDF3D7A"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406</w:t>
            </w:r>
          </w:p>
        </w:tc>
        <w:tc>
          <w:tcPr>
            <w:tcW w:w="1556" w:type="pct"/>
            <w:vAlign w:val="center"/>
          </w:tcPr>
          <w:p w14:paraId="5E462432" w14:textId="77777777" w:rsidR="00994F93" w:rsidRPr="00B03B51" w:rsidRDefault="00994F93" w:rsidP="001C4B02">
            <w:pPr>
              <w:pStyle w:val="TableParagraph"/>
              <w:jc w:val="center"/>
              <w:rPr>
                <w:rFonts w:ascii="Times New Roman" w:hAnsi="Times New Roman" w:cs="Times New Roman"/>
                <w:noProof/>
                <w:sz w:val="24"/>
              </w:rPr>
            </w:pPr>
            <w:r w:rsidRPr="00B03B51">
              <w:rPr>
                <w:rFonts w:ascii="Times New Roman" w:hAnsi="Times New Roman" w:cs="Times New Roman"/>
                <w:sz w:val="24"/>
              </w:rPr>
              <w:t>25 000</w:t>
            </w:r>
          </w:p>
        </w:tc>
      </w:tr>
    </w:tbl>
    <w:p w14:paraId="2212BDE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440CD1F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Ekspluatācijas pārtraukšanas turpmāko izmaksu neto pašreizējā vērtība (mlj. EUR) ir:</w:t>
      </w:r>
    </w:p>
    <w:p w14:paraId="3ADFB24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2C7BE9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NPV</w:t>
      </w:r>
      <w:r w:rsidRPr="00B03B51">
        <w:rPr>
          <w:rFonts w:ascii="Times New Roman" w:hAnsi="Times New Roman" w:cs="Times New Roman"/>
          <w:sz w:val="24"/>
        </w:rPr>
        <w:t>: €25 000 ∕ (1+1,7 %)5 ≈ 23 000 EUR</w:t>
      </w:r>
    </w:p>
    <w:p w14:paraId="33E85EEF" w14:textId="77777777" w:rsidR="00994F93" w:rsidRPr="00B03B51" w:rsidRDefault="00994F93" w:rsidP="00994F93">
      <w:pPr>
        <w:jc w:val="both"/>
        <w:rPr>
          <w:rFonts w:ascii="Times New Roman" w:eastAsia="Arial" w:hAnsi="Times New Roman" w:cs="Times New Roman"/>
          <w:noProof/>
          <w:sz w:val="24"/>
          <w:szCs w:val="29"/>
        </w:rPr>
      </w:pPr>
    </w:p>
    <w:p w14:paraId="748EBEC1" w14:textId="0C16DD79" w:rsidR="00994F93" w:rsidRPr="00B03B51" w:rsidRDefault="00595E94" w:rsidP="003E20F3">
      <w:pPr>
        <w:jc w:val="center"/>
        <w:rPr>
          <w:rFonts w:ascii="Times New Roman" w:eastAsia="Arial" w:hAnsi="Times New Roman" w:cs="Times New Roman"/>
          <w:noProof/>
          <w:sz w:val="24"/>
          <w:szCs w:val="29"/>
        </w:rPr>
      </w:pPr>
      <w:r w:rsidRPr="00B03B51">
        <w:rPr>
          <w:rFonts w:ascii="Times New Roman" w:eastAsia="Arial" w:hAnsi="Times New Roman" w:cs="Times New Roman"/>
          <w:noProof/>
          <w:sz w:val="24"/>
          <w:szCs w:val="29"/>
        </w:rPr>
        <w:drawing>
          <wp:inline distT="0" distB="0" distL="0" distR="0" wp14:anchorId="1E511D83" wp14:editId="77A3AF77">
            <wp:extent cx="5760085" cy="3454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3454400"/>
                    </a:xfrm>
                    <a:prstGeom prst="rect">
                      <a:avLst/>
                    </a:prstGeom>
                    <a:noFill/>
                    <a:ln>
                      <a:noFill/>
                    </a:ln>
                  </pic:spPr>
                </pic:pic>
              </a:graphicData>
            </a:graphic>
          </wp:inline>
        </w:drawing>
      </w:r>
    </w:p>
    <w:p w14:paraId="2338DA57" w14:textId="57B3625A" w:rsidR="00994F93" w:rsidRPr="00B03B51" w:rsidRDefault="00595E94" w:rsidP="003E20F3">
      <w:pPr>
        <w:jc w:val="center"/>
        <w:rPr>
          <w:rFonts w:ascii="Times New Roman" w:eastAsia="Arial" w:hAnsi="Times New Roman" w:cs="Times New Roman"/>
          <w:noProof/>
          <w:sz w:val="24"/>
          <w:szCs w:val="29"/>
        </w:rPr>
      </w:pPr>
      <w:r w:rsidRPr="00B03B51">
        <w:rPr>
          <w:rFonts w:ascii="Times New Roman" w:eastAsia="Arial" w:hAnsi="Times New Roman" w:cs="Times New Roman"/>
          <w:noProof/>
          <w:sz w:val="24"/>
          <w:szCs w:val="29"/>
        </w:rPr>
        <w:lastRenderedPageBreak/>
        <w:drawing>
          <wp:inline distT="0" distB="0" distL="0" distR="0" wp14:anchorId="2B45AFFB" wp14:editId="7ADEACC7">
            <wp:extent cx="5760085" cy="849122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8491220"/>
                    </a:xfrm>
                    <a:prstGeom prst="rect">
                      <a:avLst/>
                    </a:prstGeom>
                    <a:noFill/>
                    <a:ln>
                      <a:noFill/>
                    </a:ln>
                  </pic:spPr>
                </pic:pic>
              </a:graphicData>
            </a:graphic>
          </wp:inline>
        </w:drawing>
      </w:r>
    </w:p>
    <w:p w14:paraId="571D088E" w14:textId="50D6D345" w:rsidR="00994F93" w:rsidRPr="00B03B51" w:rsidRDefault="00595E94" w:rsidP="003E20F3">
      <w:pPr>
        <w:jc w:val="center"/>
        <w:rPr>
          <w:rFonts w:ascii="Times New Roman" w:eastAsia="Arial" w:hAnsi="Times New Roman" w:cs="Times New Roman"/>
          <w:noProof/>
          <w:sz w:val="24"/>
          <w:szCs w:val="29"/>
        </w:rPr>
      </w:pPr>
      <w:r w:rsidRPr="00B03B51">
        <w:rPr>
          <w:rFonts w:ascii="Times New Roman" w:eastAsia="Arial" w:hAnsi="Times New Roman" w:cs="Times New Roman"/>
          <w:noProof/>
          <w:sz w:val="24"/>
          <w:szCs w:val="29"/>
        </w:rPr>
        <w:lastRenderedPageBreak/>
        <w:drawing>
          <wp:inline distT="0" distB="0" distL="0" distR="0" wp14:anchorId="7383A078" wp14:editId="4E4DE6D4">
            <wp:extent cx="5760085" cy="52927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5292725"/>
                    </a:xfrm>
                    <a:prstGeom prst="rect">
                      <a:avLst/>
                    </a:prstGeom>
                    <a:noFill/>
                    <a:ln>
                      <a:noFill/>
                    </a:ln>
                  </pic:spPr>
                </pic:pic>
              </a:graphicData>
            </a:graphic>
          </wp:inline>
        </w:drawing>
      </w:r>
    </w:p>
    <w:p w14:paraId="12E5997F" w14:textId="77777777" w:rsidR="00994F93" w:rsidRPr="00B03B51" w:rsidRDefault="00994F93" w:rsidP="00994F93">
      <w:pPr>
        <w:rPr>
          <w:rFonts w:ascii="Times New Roman" w:eastAsia="Arial" w:hAnsi="Times New Roman" w:cs="Times New Roman"/>
          <w:noProof/>
          <w:sz w:val="24"/>
          <w:szCs w:val="29"/>
        </w:rPr>
      </w:pPr>
      <w:r w:rsidRPr="00B03B51">
        <w:rPr>
          <w:rFonts w:ascii="Times New Roman" w:hAnsi="Times New Roman" w:cs="Times New Roman"/>
        </w:rPr>
        <w:br w:type="page"/>
      </w:r>
    </w:p>
    <w:p w14:paraId="0D3E502B" w14:textId="77777777" w:rsidR="00994F93" w:rsidRPr="00B03B51" w:rsidRDefault="00994F93" w:rsidP="00994F93">
      <w:pPr>
        <w:jc w:val="both"/>
        <w:rPr>
          <w:rFonts w:ascii="Times New Roman" w:eastAsia="Arial" w:hAnsi="Times New Roman" w:cs="Times New Roman"/>
          <w:noProof/>
          <w:sz w:val="24"/>
          <w:szCs w:val="29"/>
        </w:rPr>
      </w:pPr>
    </w:p>
    <w:p w14:paraId="2A96297C"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292" w:name="3.8_Annex:_selected_ESA_2010_transaction"/>
      <w:bookmarkStart w:id="293" w:name="_bookmark28"/>
      <w:bookmarkStart w:id="294" w:name="_Toc67565115"/>
      <w:bookmarkEnd w:id="292"/>
      <w:bookmarkEnd w:id="293"/>
      <w:r w:rsidRPr="00B03B51">
        <w:rPr>
          <w:rFonts w:ascii="Times New Roman" w:hAnsi="Times New Roman" w:cs="Times New Roman"/>
          <w:sz w:val="28"/>
          <w:szCs w:val="44"/>
        </w:rPr>
        <w:t>3.8. Pielikums. EKS 2010 darījumu izlase</w:t>
      </w:r>
      <w:bookmarkEnd w:id="294"/>
    </w:p>
    <w:p w14:paraId="5DC245CC" w14:textId="77777777" w:rsidR="00994F93" w:rsidRPr="00B03B51" w:rsidRDefault="00994F93" w:rsidP="00994F93">
      <w:pPr>
        <w:tabs>
          <w:tab w:val="left" w:pos="1267"/>
        </w:tabs>
        <w:jc w:val="both"/>
        <w:rPr>
          <w:rFonts w:ascii="Times New Roman" w:hAnsi="Times New Roman" w:cs="Times New Roman"/>
          <w:b/>
          <w:noProof/>
          <w:sz w:val="24"/>
        </w:rPr>
      </w:pPr>
      <w:bookmarkStart w:id="295" w:name="3.8.1_Payments_by_public_corporations_to"/>
      <w:bookmarkEnd w:id="295"/>
    </w:p>
    <w:p w14:paraId="00FC9574" w14:textId="77777777" w:rsidR="00994F93" w:rsidRPr="00186A44" w:rsidRDefault="00994F93" w:rsidP="00186A44">
      <w:pPr>
        <w:pStyle w:val="Heading3"/>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3.8.1. Publisku sabiedrību maksājumi valdībai</w:t>
      </w:r>
    </w:p>
    <w:p w14:paraId="74FE3DA8" w14:textId="77777777" w:rsidR="00994F93" w:rsidRPr="00B03B51" w:rsidRDefault="00994F93" w:rsidP="00994F93">
      <w:pPr>
        <w:tabs>
          <w:tab w:val="left" w:pos="843"/>
        </w:tabs>
        <w:jc w:val="both"/>
        <w:rPr>
          <w:rFonts w:ascii="Times New Roman" w:hAnsi="Times New Roman" w:cs="Times New Roman"/>
          <w:b/>
          <w:noProof/>
          <w:sz w:val="24"/>
        </w:rPr>
      </w:pPr>
    </w:p>
    <w:p w14:paraId="589050EA"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1. Citi ražošanas nodokļi (D.29)</w:t>
      </w:r>
    </w:p>
    <w:p w14:paraId="337D0231"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DC9DBD4"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kategorijā ietilpst visi nodokļi, kas uzņēmumiem jāmaksā, nodarbojoties ar ražošanu. Tie var būt maksājami par zemi, pamatlīdzekļiem vai darbaspēku, kas nodarbināts ražošanas procesā, vai par noteiktām darbībām vai darījumiem. Tie ir būtiska daļa no maksājumiem, ko sabiedrības maksā valdībai.</w:t>
      </w:r>
    </w:p>
    <w:p w14:paraId="24033F8A" w14:textId="77777777" w:rsidR="00994F93" w:rsidRPr="00B03B51" w:rsidRDefault="00994F93" w:rsidP="00994F93">
      <w:pPr>
        <w:tabs>
          <w:tab w:val="left" w:pos="843"/>
        </w:tabs>
        <w:jc w:val="both"/>
        <w:rPr>
          <w:rFonts w:ascii="Times New Roman" w:hAnsi="Times New Roman" w:cs="Times New Roman"/>
          <w:b/>
          <w:noProof/>
          <w:sz w:val="24"/>
        </w:rPr>
      </w:pPr>
    </w:p>
    <w:p w14:paraId="2BA95DB6"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2. Ienākuma un mantas kārtējie nodokļi (D.5) un kapitāla nodokļi (D.91)</w:t>
      </w:r>
    </w:p>
    <w:p w14:paraId="1B7CDB06"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FEB28B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Kopumā jābūt skaidrībai par to, kas ir nodoklis un ka publiskas sabiedrības nodokļus maksā tāpat kā citi. Tomēr klasifikācijas jautājumu gadījumos valdības funkcija nodokļu iekasēšanas jomā var būt pretrunā tās kā publiskas vienības īpašnieces funkcijai, un tāpēc nodokļu maksājumus ir pareizāk traktēt kā pašu kapitāla izņemšanu. Tas visticamāk attieksies uz nodokļiem, ko piemēro attiecībā uz valdības ierosinātajiem darījumiem.</w:t>
      </w:r>
    </w:p>
    <w:p w14:paraId="1B866694"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E19EAA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Attiecīgie piemēri ir lieli ar privatizāciju saistīti maksājumi un lieli maksājumi, kas saistīti ar ārvalstu aktīvu rezervju ārkārtas pārdošanu vai pārvērtēšanu.</w:t>
      </w:r>
    </w:p>
    <w:p w14:paraId="134C9716" w14:textId="77777777" w:rsidR="00994F93" w:rsidRPr="00B03B51" w:rsidRDefault="00994F93" w:rsidP="00994F93">
      <w:pPr>
        <w:tabs>
          <w:tab w:val="left" w:pos="843"/>
        </w:tabs>
        <w:jc w:val="both"/>
        <w:rPr>
          <w:rFonts w:ascii="Times New Roman" w:hAnsi="Times New Roman" w:cs="Times New Roman"/>
          <w:b/>
          <w:noProof/>
          <w:sz w:val="24"/>
        </w:rPr>
      </w:pPr>
    </w:p>
    <w:p w14:paraId="7C4CEF38"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3. Dažādi kārtējie pārvedumi (D.75)</w:t>
      </w:r>
    </w:p>
    <w:p w14:paraId="2E823B72"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52F40E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kategorijā ietilpst naudas sodu maksājumi, ja tie nav nošķirami no nodokļiem.</w:t>
      </w:r>
      <w:r w:rsidRPr="00B03B51">
        <w:rPr>
          <w:rStyle w:val="FootnoteReference"/>
          <w:rFonts w:ascii="Times New Roman" w:hAnsi="Times New Roman" w:cs="Times New Roman"/>
          <w:noProof/>
          <w:sz w:val="24"/>
        </w:rPr>
        <w:footnoteReference w:id="175"/>
      </w:r>
    </w:p>
    <w:p w14:paraId="10D8E7FC" w14:textId="77777777" w:rsidR="00994F93" w:rsidRPr="00B03B51" w:rsidRDefault="00994F93" w:rsidP="00994F93">
      <w:pPr>
        <w:tabs>
          <w:tab w:val="left" w:pos="843"/>
        </w:tabs>
        <w:jc w:val="both"/>
        <w:rPr>
          <w:rFonts w:ascii="Times New Roman" w:hAnsi="Times New Roman" w:cs="Times New Roman"/>
          <w:b/>
          <w:noProof/>
          <w:sz w:val="24"/>
        </w:rPr>
      </w:pPr>
    </w:p>
    <w:p w14:paraId="6C4865C4"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4. Dividendes (D.421)</w:t>
      </w:r>
    </w:p>
    <w:p w14:paraId="30750B63"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542A01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Dividendes izriet no īpašumtiesībām uz vienību. Tās šajā gadījumā attiecas uz maksājumiem, kurus vienība veic valdībai no vienības ienākumiem. EKS 2010 ir noteikts, ka dividendes neattiecas uz maksājumiem, kurus finansē no aktīvu tirdzniecības, kapitāla pieauguma vai vairāku gadu laikā uzkrātajām rezervēm (izņemot dividenžu izlīdzināšanai paredzētos maksājumus), pat ja vienības kontos šādus maksājumus atzīmē kā dividendes. Pozīcijā F.5 šādus maksājumus ieraksta kā pašu kapitāla izņemšanu. Skat. iepriekš 3.5. nodaļu par jēdzieniem “ienākumi” un “dividendes”.</w:t>
      </w:r>
    </w:p>
    <w:p w14:paraId="38057FDB" w14:textId="77777777" w:rsidR="00994F93" w:rsidRPr="00B03B51" w:rsidRDefault="00994F93" w:rsidP="00994F93">
      <w:pPr>
        <w:tabs>
          <w:tab w:val="left" w:pos="843"/>
        </w:tabs>
        <w:jc w:val="both"/>
        <w:rPr>
          <w:rFonts w:ascii="Times New Roman" w:hAnsi="Times New Roman" w:cs="Times New Roman"/>
          <w:b/>
          <w:noProof/>
          <w:sz w:val="24"/>
        </w:rPr>
      </w:pPr>
    </w:p>
    <w:p w14:paraId="4606D00C"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5. Citi kapitāla pārvedumi (D.99)</w:t>
      </w:r>
    </w:p>
    <w:p w14:paraId="0E682DE2"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4DB5028E"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dotācijas ir neatlīdzināmi maksājumi, tāpēc ir grūti paredzēt apstākļus, kuros pozīciju D.99 varētu piemērot, lai klasificētu maksājumu, ko tirgus vienība veic valdībai, jo nav paredzēts, ka sabiedrības atdod savu naudu, pretī neko nesaņemot. EKS 2010 ir uzskaitītas tostarp šādas iespējas:</w:t>
      </w:r>
    </w:p>
    <w:p w14:paraId="342FD80E"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A805C17" w14:textId="77777777" w:rsidR="00994F93" w:rsidRPr="00B03B51" w:rsidRDefault="00994F93" w:rsidP="009534B7">
      <w:pPr>
        <w:pStyle w:val="BodyText"/>
        <w:numPr>
          <w:ilvl w:val="1"/>
          <w:numId w:val="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EKS 2010 4.165. punkta h) apakšpunkts “Lieli maksājumi, lai atlīdzinātu būtisku kaitējumu vai miesas bojājumus, ko nesedz apdrošināšanas polises” (izņemot maksājumus, ko vispārējā valdība vai pārējā pasaule maksā kapitālpreču īpašniekiem par precēm, kas iznīcinātas vai bojātas karadarbības, citu politisku notikumu vai dabas katastrofu (plūdu utt.) dēļ). Maksājumus var piešķirt ar tiesas lēmumu vai nokārtot ārpustiesas kārtībā (skat. </w:t>
      </w:r>
      <w:r w:rsidRPr="00B03B51">
        <w:rPr>
          <w:rFonts w:ascii="Times New Roman" w:hAnsi="Times New Roman" w:cs="Times New Roman"/>
          <w:sz w:val="24"/>
        </w:rPr>
        <w:lastRenderedPageBreak/>
        <w:t>EKS 2010 4.165. punkta h) apakšpunktu). Piemēram, kompensācijas maksājumi par kaitējumu, ko radījuši lieli sprādzieni, naftas noplūde, medikamentu blakusiedarbība utt.;</w:t>
      </w:r>
    </w:p>
    <w:p w14:paraId="1959B161" w14:textId="77777777" w:rsidR="00994F93" w:rsidRPr="00B03B51" w:rsidRDefault="00994F93" w:rsidP="009534B7">
      <w:pPr>
        <w:pStyle w:val="BodyText"/>
        <w:numPr>
          <w:ilvl w:val="1"/>
          <w:numId w:val="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EKS 2010 4.165. punkta i) apakšpunkts. Ārkārtas maksājumi sociālās apdrošināšanas fondos, ko veic darba devēji (tostarp valdība) vai valdība (kā daļu savas sociālās funkcijas) tiktāl, ciktāl tādi maksājumi ir paredzēti tādu fondu aktuāru rezervju palielināšanai. Šādas iespējas īstenošanai vajadzīgs tāds faktisks aktīvu fonds sociālo pabalstu finansēšanai, kura rīcībā ir aktīvi un saistības, kas ierakstītas kā AF.6. Tas neattiecas uz valdības pārvaldītām nefondētām sociālās apdrošināšanas shēmām; gadījums, kad sākotnējais debitors atmaksā līdzekļus valdībai par iepriekš pieprasītu garantiju (jāveic superdividenžu tests, kā noteikts EKS 2010 20.259. punktā).</w:t>
      </w:r>
    </w:p>
    <w:p w14:paraId="20F6939B" w14:textId="77777777" w:rsidR="00994F93" w:rsidRPr="00B03B51" w:rsidRDefault="00994F93" w:rsidP="00994F93">
      <w:pPr>
        <w:tabs>
          <w:tab w:val="left" w:pos="843"/>
        </w:tabs>
        <w:jc w:val="both"/>
        <w:rPr>
          <w:rFonts w:ascii="Times New Roman" w:hAnsi="Times New Roman" w:cs="Times New Roman"/>
          <w:b/>
          <w:noProof/>
          <w:sz w:val="24"/>
        </w:rPr>
      </w:pPr>
    </w:p>
    <w:p w14:paraId="2E897215"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6. Standartizētās garantiju shēmas (F.66)</w:t>
      </w:r>
    </w:p>
    <w:p w14:paraId="69EA621F"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FC33EF0"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F.66 pozīcijā “uzkrājumi standarta garantiju prasījumiem” iekļauj paredzamo zaudējumu summas, ko valdība paredz saistībā ar garantijām, kas izsniegtas šādās shēmās. Ekvivalents ir kapitāla pārvedums, skat. 7.4. nodaļu “Valdības garantijas”.</w:t>
      </w:r>
    </w:p>
    <w:p w14:paraId="60526ACE" w14:textId="77777777" w:rsidR="00994F93" w:rsidRPr="00B03B51" w:rsidRDefault="00994F93" w:rsidP="00994F93">
      <w:pPr>
        <w:jc w:val="both"/>
        <w:rPr>
          <w:rFonts w:ascii="Times New Roman" w:eastAsia="Arial" w:hAnsi="Times New Roman" w:cs="Times New Roman"/>
          <w:noProof/>
          <w:sz w:val="24"/>
          <w:szCs w:val="14"/>
        </w:rPr>
      </w:pPr>
    </w:p>
    <w:p w14:paraId="54D85712"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7. Aizdevumi (F.4)</w:t>
      </w:r>
    </w:p>
    <w:p w14:paraId="0A913F82"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13E1C45" w14:textId="27E9DFDF"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Tas ietver aizdevuma faktisko atmaksu un nosacītās atmaksas, kas saistītas ar parāda </w:t>
      </w:r>
      <w:r w:rsidR="0024656E" w:rsidRPr="00B03B51">
        <w:rPr>
          <w:rFonts w:ascii="Times New Roman" w:hAnsi="Times New Roman" w:cs="Times New Roman"/>
          <w:sz w:val="24"/>
        </w:rPr>
        <w:t>anulēšanu</w:t>
      </w:r>
      <w:r w:rsidRPr="00B03B51">
        <w:rPr>
          <w:rFonts w:ascii="Times New Roman" w:hAnsi="Times New Roman" w:cs="Times New Roman"/>
          <w:sz w:val="24"/>
        </w:rPr>
        <w:t xml:space="preserve">. Vairumā gadījumu parāda </w:t>
      </w:r>
      <w:r w:rsidR="002C6576" w:rsidRPr="00B03B51">
        <w:rPr>
          <w:rFonts w:ascii="Times New Roman" w:hAnsi="Times New Roman" w:cs="Times New Roman"/>
          <w:sz w:val="24"/>
        </w:rPr>
        <w:t>anulēšana</w:t>
      </w:r>
      <w:r w:rsidRPr="00B03B51">
        <w:rPr>
          <w:rFonts w:ascii="Times New Roman" w:hAnsi="Times New Roman" w:cs="Times New Roman"/>
          <w:sz w:val="24"/>
        </w:rPr>
        <w:t xml:space="preserve"> ir jāieraksta kā darījums pozīcijā F.4. Ekvivalents parasti ir kapitāla pārvedums no valdības, ko veic valdība (D.99), izņemot gadījumu, ja privatizācija ir nenovēršama, tādā gadījumā ekvivalents ir darījums ar pašu kapitālu (F.5).</w:t>
      </w:r>
    </w:p>
    <w:p w14:paraId="46CF45D4"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8B6A9C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Dažos gadījumos parāda norakstīšana tiek ierakstīta kā citur neklasificētas citas apjoma pārmaiņas (K.5). To varētu ierakstīt arī kā sektoru klasifikācijas un institucionālās vienības struktūras pārmaiņas (K.61), bet tikai tad, ja norakstīšana ir saistīta ar vienību parādīšanos un izzušanu.</w:t>
      </w:r>
    </w:p>
    <w:p w14:paraId="329C6C2C" w14:textId="77777777" w:rsidR="00994F93" w:rsidRPr="00B03B51" w:rsidRDefault="00994F93" w:rsidP="00994F93">
      <w:pPr>
        <w:tabs>
          <w:tab w:val="left" w:pos="843"/>
        </w:tabs>
        <w:jc w:val="both"/>
        <w:rPr>
          <w:rFonts w:ascii="Times New Roman" w:hAnsi="Times New Roman" w:cs="Times New Roman"/>
          <w:b/>
          <w:noProof/>
          <w:sz w:val="24"/>
        </w:rPr>
      </w:pPr>
    </w:p>
    <w:p w14:paraId="35EE99E5"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8. Cits pašu kapitāls (F.519)</w:t>
      </w:r>
    </w:p>
    <w:p w14:paraId="1D92ABBA" w14:textId="77777777" w:rsidR="00994F93" w:rsidRPr="00B03B51" w:rsidRDefault="00994F93" w:rsidP="00994F93">
      <w:pPr>
        <w:tabs>
          <w:tab w:val="left" w:pos="843"/>
        </w:tabs>
        <w:jc w:val="both"/>
        <w:rPr>
          <w:rFonts w:ascii="Times New Roman" w:hAnsi="Times New Roman" w:cs="Times New Roman"/>
          <w:b/>
          <w:noProof/>
          <w:sz w:val="24"/>
        </w:rPr>
      </w:pPr>
    </w:p>
    <w:p w14:paraId="1ED2C7A1"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Pašu kapitāla izņemšana</w:t>
      </w:r>
    </w:p>
    <w:p w14:paraId="174122CA"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8E054C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Šeit ietilpst nozīmīgi valdībai veikti vienreizēji maksājumi, kad šāds maksājums tiek finansēts, likvidējot aktīvus, piemēram, no uzkrātajām rezervēm, finanšu vai nefinanšu aktīvu tirdzniecības vai kapitāla pieauguma realizācijas. Šeit neiekļauj maksājumus, kas klasificējami kā dividendes.</w:t>
      </w:r>
    </w:p>
    <w:p w14:paraId="1122503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C6CC8C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Maksājumus, kas veikti valdībai un izriet no ievērojamas aktīvu tirdzniecības pēc valdības pieprasījuma vai radušies saistībā ar valdības politiku, ieraksta kā pašu kapitāla izņemšanu, nevis kā dividendes vai citus nefinanšu darījumus.</w:t>
      </w:r>
    </w:p>
    <w:p w14:paraId="245EDF2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66A4580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Šāda klasifikācija ir atbilstoša pat tad, ja vienības publiskajos kontos minētais darījums ir norādīts kā kaut kas cits, piemēram, kā dividende vai dažos gadījumos kā nodoklis.</w:t>
      </w:r>
    </w:p>
    <w:p w14:paraId="49D2C5F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6023787"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Šis traktējums attiecas uz netiešo privatizāciju (skat. 5.2. nodaļu “Finanšu un nefinanšu aktīvu pārdošana”). Privatizācijas ieņēmumi nacionālajos kontos tiek traktēti kā valdības pašu kapitāla pārdošana apmaiņā pret cita veida finanšu aktīviem (kopumā pret likvīdiem aktīviem). Ievērojot šādu loģiku, privatizācijas ieņēmumi nesamazina valdības neto aizdevumu/aizņēmumu (B.9), bet maina tā finansējumu. Valdības jaunajiem likvīdajiem aktīviem būtu jāsamazina valdības parāds vai nu tieši, atpērkot valdības parāda vērtspapīrus, vai netieši, samazinot vajadzību pēc </w:t>
      </w:r>
      <w:r w:rsidRPr="00B03B51">
        <w:rPr>
          <w:rFonts w:ascii="Times New Roman" w:hAnsi="Times New Roman" w:cs="Times New Roman"/>
          <w:sz w:val="24"/>
        </w:rPr>
        <w:lastRenderedPageBreak/>
        <w:t>jaunas parāda vērtspapīru emisijas.</w:t>
      </w:r>
    </w:p>
    <w:p w14:paraId="0E190DDD"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235864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Lai garantētu konsekvenci un pārredzamību, tiešas privatizācijas traktējumu attiecina arī uz netiešu privatizāciju, kad valdības pašu kapitālu pārdod starpnieks, parasti centrālais birojs, un pārdošanas ieņēmumus nodod valdībai. Tas tā ir neatkarīgi no tā, kāda ir šīs atmaksas valdībai juridiskā forma – dividendes, nodoklis, pārvedums utt.</w:t>
      </w:r>
    </w:p>
    <w:p w14:paraId="0A6CB446"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74CA5B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Lai nodrošinātu konsekvenci ar finanšu aktīvu tirdzniecību, šo traktējumu attiecina arī uz ievērojamu nefinanšu aktīvu netiešo tirdzniecību (bez ietekmes uz neto aizdevumu/aizņēmumu (B.9)).</w:t>
      </w:r>
    </w:p>
    <w:p w14:paraId="227D3CFC" w14:textId="77777777" w:rsidR="00994F93" w:rsidRPr="00B03B51" w:rsidRDefault="00994F93" w:rsidP="00994F93">
      <w:pPr>
        <w:jc w:val="both"/>
        <w:rPr>
          <w:rFonts w:ascii="Times New Roman" w:hAnsi="Times New Roman" w:cs="Times New Roman"/>
          <w:b/>
          <w:noProof/>
          <w:sz w:val="24"/>
        </w:rPr>
      </w:pPr>
    </w:p>
    <w:p w14:paraId="3999668A"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Pašu kapitāla izņemšana natūrā</w:t>
      </w:r>
    </w:p>
    <w:p w14:paraId="4CFF918D"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37FAAC3"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Maksājumi valdībai natūrā ir sarežģīts gadījums, jo pastāv pretrunīga vēlme ievērot konsekvenci gan attiecībā uz nefinanšu aktīvu netiešās tirdzniecības traktējumu (traktēts kā F.5), gan attiecībā uz vēlmi ievērot simetriju ar maksājumiem natūrā, kurus valdība veic publiskai sabiedrībai (skat. D.9 turpmāk).</w:t>
      </w:r>
    </w:p>
    <w:p w14:paraId="53C6BAD4"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09FA358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aktīvu pārvedums starp publisku sabiedrību un valdību ir saistīts ar citu pārstrukturēšanos un pārmaiņām funkcijās un pienākumos, tad ir atbilstoši šos pārvedumus natūrā ierakstīt kā klasifikācijas un struktūras pārmaiņas (K.12) kontā “Citas aktīvu apjoma pārmaiņas”.</w:t>
      </w:r>
    </w:p>
    <w:p w14:paraId="5EE34B36" w14:textId="77777777" w:rsidR="00994F93" w:rsidRPr="00B03B51" w:rsidRDefault="00994F93" w:rsidP="00994F93">
      <w:pPr>
        <w:jc w:val="both"/>
        <w:rPr>
          <w:rFonts w:ascii="Times New Roman" w:hAnsi="Times New Roman" w:cs="Times New Roman"/>
          <w:b/>
          <w:noProof/>
          <w:sz w:val="24"/>
        </w:rPr>
      </w:pPr>
    </w:p>
    <w:p w14:paraId="50C93D0B"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Pašu kapitāla izņemšana no centrālās bankas</w:t>
      </w:r>
    </w:p>
    <w:p w14:paraId="5337B473"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B12775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Klasifikācija pozīcijā F.5 attiecas arī uz dažiem darījumiem starp valdību un centrālajām bankām. Tas tā ir, jo centrālās bankas aktīvus nacionālajos kontos traktē kā publisko īpašumu. Piemēram, samazinoties centrālās bankas zelta un ārvalsts valūtu rezervēm, varētu samazināties valdības pašu kapitāla vērtība centrālajā bankā.</w:t>
      </w:r>
    </w:p>
    <w:p w14:paraId="2E7A37F4" w14:textId="77777777" w:rsidR="00994F93" w:rsidRPr="00B03B51" w:rsidRDefault="00994F93" w:rsidP="00994F93">
      <w:pPr>
        <w:tabs>
          <w:tab w:val="left" w:pos="843"/>
        </w:tabs>
        <w:jc w:val="both"/>
        <w:rPr>
          <w:rFonts w:ascii="Times New Roman" w:hAnsi="Times New Roman" w:cs="Times New Roman"/>
          <w:b/>
          <w:noProof/>
          <w:sz w:val="24"/>
        </w:rPr>
      </w:pPr>
    </w:p>
    <w:p w14:paraId="21C14736"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
          <w:sz w:val="24"/>
        </w:rPr>
        <w:t>9. Izmaiņas sektoru klasifikācijā un institucionālās vienības struktūrā (K.61)</w:t>
      </w:r>
    </w:p>
    <w:p w14:paraId="0ED5A59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53EED9F"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Attiecas uz gadījumiem, kad dibina, slēdz vai apvieno vienības vai kad veic tādas būtiskas izmaiņas vienību funkcijās un atbildībā, kuras nevar atbilstoši ierakstīt darījumu kontos. Šī kategorija attiecas arī uz gadījumiem, kad aktīvus atdod valdības īpašumā pēc perioda, kurā tos bija atļauts izmantot publiskai sabiedrībai (skat. 6.3. nodaļu par līgumiem saistībā ar pamatlīdzekļiem, piemēram, koncesijas līgumiem).</w:t>
      </w:r>
    </w:p>
    <w:p w14:paraId="4A2EBD16" w14:textId="77777777" w:rsidR="00994F93" w:rsidRPr="00B03B51" w:rsidRDefault="00994F93" w:rsidP="00994F93">
      <w:pPr>
        <w:jc w:val="both"/>
        <w:rPr>
          <w:rFonts w:ascii="Times New Roman" w:hAnsi="Times New Roman" w:cs="Times New Roman"/>
          <w:noProof/>
          <w:sz w:val="24"/>
        </w:rPr>
      </w:pPr>
    </w:p>
    <w:p w14:paraId="7E18C40A" w14:textId="77777777" w:rsidR="00994F93" w:rsidRPr="00B03B51" w:rsidRDefault="00994F93" w:rsidP="00994F93">
      <w:pPr>
        <w:pStyle w:val="Heading3"/>
        <w:tabs>
          <w:tab w:val="left" w:pos="1267"/>
        </w:tabs>
        <w:ind w:left="0" w:firstLine="0"/>
        <w:jc w:val="both"/>
        <w:rPr>
          <w:rFonts w:ascii="Times New Roman" w:hAnsi="Times New Roman" w:cs="Times New Roman"/>
          <w:noProof/>
          <w:sz w:val="24"/>
        </w:rPr>
      </w:pPr>
      <w:bookmarkStart w:id="296" w:name="3.8.2_Payments_by_government_to_public_u"/>
      <w:bookmarkStart w:id="297" w:name="_Toc67565116"/>
      <w:bookmarkEnd w:id="296"/>
      <w:r w:rsidRPr="00B03B51">
        <w:rPr>
          <w:rFonts w:ascii="Times New Roman" w:hAnsi="Times New Roman" w:cs="Times New Roman"/>
          <w:sz w:val="24"/>
        </w:rPr>
        <w:t>3.8.2. Valdības veiktie maksājumi publiskām vienībām</w:t>
      </w:r>
      <w:bookmarkEnd w:id="297"/>
    </w:p>
    <w:p w14:paraId="1725A5AD"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p>
    <w:p w14:paraId="1A51A302" w14:textId="77777777" w:rsidR="00994F93" w:rsidRPr="00B03B51" w:rsidRDefault="00994F93" w:rsidP="00994F93">
      <w:pPr>
        <w:pStyle w:val="BodyText"/>
        <w:tabs>
          <w:tab w:val="left" w:pos="91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Vairākos šādos gadījumos ir svarīgi apsvērt, vai valdība veic maksājumu, lai palielinātu savus ieguldījumus finanšu aktīvos, kā to darītu ikviens racionāls ieguldītājs, vai arī tā cenšas atbalstīt noteiktu veidu saimniecisko darbību. Frāzi “kapitāla iepludināšana” bieži lieto, lai aprakstītu lielus maksājumus, ko valdība veic publiskām sabiedrībām. Tas nav nacionālo kontu jēdziens. Nacionālajos kontos tas varētu būt vai nu kapitāla pārvedums, vai darījums ar pašu kapitālu, vai šo abu sadalīšana.</w:t>
      </w:r>
    </w:p>
    <w:p w14:paraId="48E7504E" w14:textId="77777777" w:rsidR="00994F93" w:rsidRPr="00B03B51" w:rsidRDefault="00994F93" w:rsidP="00994F93">
      <w:pPr>
        <w:tabs>
          <w:tab w:val="left" w:pos="843"/>
        </w:tabs>
        <w:jc w:val="both"/>
        <w:rPr>
          <w:rFonts w:ascii="Times New Roman" w:hAnsi="Times New Roman" w:cs="Times New Roman"/>
          <w:b/>
          <w:noProof/>
          <w:sz w:val="24"/>
        </w:rPr>
      </w:pPr>
    </w:p>
    <w:p w14:paraId="6D008C3C"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11.</w:t>
      </w:r>
      <w:r w:rsidRPr="00B03B51">
        <w:rPr>
          <w:rFonts w:ascii="Times New Roman" w:hAnsi="Times New Roman" w:cs="Times New Roman"/>
          <w:b/>
          <w:sz w:val="24"/>
        </w:rPr>
        <w:t xml:space="preserve"> Subsīdijas (D.3)</w:t>
      </w:r>
    </w:p>
    <w:p w14:paraId="4910DA13"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68AE38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Subsīdijas ir regulāri maksājumi, ko valdība veic, lai samazinātu vienības noteiktās cenas un segtu zaudējumus. Ir neatbilstoši šādus maksājumus uzskatīt par ieguldījumiem pašu kapitālā (F.5), jo ar tiem finansē kārtējos izdevumus, un bieži šos maksājumus veic atkarībā no vienības, </w:t>
      </w:r>
      <w:r w:rsidRPr="00B03B51">
        <w:rPr>
          <w:rFonts w:ascii="Times New Roman" w:hAnsi="Times New Roman" w:cs="Times New Roman"/>
          <w:sz w:val="24"/>
        </w:rPr>
        <w:lastRenderedPageBreak/>
        <w:t>kura darbojas kādā konkrētā veidā, piemēram, nosakot zemas cenas, kas var samazināt pašu kapitāla vērtību.</w:t>
      </w:r>
    </w:p>
    <w:p w14:paraId="394820C4" w14:textId="77777777" w:rsidR="00994F93" w:rsidRPr="00B03B51" w:rsidRDefault="00994F93" w:rsidP="00994F93">
      <w:pPr>
        <w:tabs>
          <w:tab w:val="left" w:pos="843"/>
        </w:tabs>
        <w:jc w:val="both"/>
        <w:rPr>
          <w:rFonts w:ascii="Times New Roman" w:hAnsi="Times New Roman" w:cs="Times New Roman"/>
          <w:b/>
          <w:noProof/>
          <w:sz w:val="24"/>
        </w:rPr>
      </w:pPr>
    </w:p>
    <w:p w14:paraId="1F1DCDCE"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 xml:space="preserve">12. </w:t>
      </w:r>
      <w:r w:rsidRPr="00B03B51">
        <w:rPr>
          <w:rFonts w:ascii="Times New Roman" w:hAnsi="Times New Roman" w:cs="Times New Roman"/>
          <w:b/>
          <w:sz w:val="24"/>
        </w:rPr>
        <w:t>Citi kārtējie pārvedumi (D.7)</w:t>
      </w:r>
    </w:p>
    <w:p w14:paraId="556D2011"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67409E9"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Normai neatbilstoši pensiju maksājumi tiktu iekļauti dažādos kārtējos pārvedumos (D.75), skat. EKS 2010 4.138. punkta b) apakšpunktu.</w:t>
      </w:r>
    </w:p>
    <w:p w14:paraId="3CAD1267" w14:textId="77777777" w:rsidR="00994F93" w:rsidRPr="00B03B51" w:rsidRDefault="00994F93" w:rsidP="00994F93">
      <w:pPr>
        <w:tabs>
          <w:tab w:val="left" w:pos="843"/>
        </w:tabs>
        <w:jc w:val="both"/>
        <w:rPr>
          <w:rFonts w:ascii="Times New Roman" w:hAnsi="Times New Roman" w:cs="Times New Roman"/>
          <w:b/>
          <w:noProof/>
          <w:sz w:val="24"/>
        </w:rPr>
      </w:pPr>
    </w:p>
    <w:p w14:paraId="56A7BC54"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 xml:space="preserve">13. </w:t>
      </w:r>
      <w:r w:rsidRPr="00B03B51">
        <w:rPr>
          <w:rFonts w:ascii="Times New Roman" w:hAnsi="Times New Roman" w:cs="Times New Roman"/>
          <w:b/>
          <w:sz w:val="24"/>
        </w:rPr>
        <w:t>Ieguldījumu dotācijas (D.92)</w:t>
      </w:r>
    </w:p>
    <w:p w14:paraId="7BF0C438"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5EA4932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Šī pozīcija attiecas uz visiem publiskām vienībām veiktiem neatlīdzināmiem maksājumiem, kurus izmanto ieguldījumiem pamatkapitālā, nevis kārtējo izdevumu segšanai.</w:t>
      </w:r>
    </w:p>
    <w:p w14:paraId="6AAE0DEA"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258C68A"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Kapitālizdevumi, kurus finansē ar valdības veiktajiem maksājumiem, sākumā veicina valdības pašu kapitāla vērtības pieaugumu publiskā sabiedrībā. Tomēr tas nav pietiekams iemesls, lai šo maksājumu klasificētu kā ieguldījumu pašu kapitālā (F.5), skat. EKS 2010 20.200. punktu, jo īpaši tāpēc, ka nav pārliecības par to, ka valdības pašu kapitāla vērtība palielināsies tādā pašā apmērā. Sabiedrība kapitālieguldījumus var izmantot tam, lai īstenotu valdības ekonomisko un sociālo politiku (piemēram, dzelzceļa līniju būvniecībai vai slimnīcu celtniecībai), nevis ienesīguma palielināšanai. Proti, veicot “kapitāla iepludināšanu” publiskā sabiedrībā, ir svarīgi apsvērt valdības noteiktos mērķus.</w:t>
      </w:r>
    </w:p>
    <w:p w14:paraId="12C571A1"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BA4EAA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iepludināšana natūrā” ir valdības pamatkapitāla aktīvu īpašumtiesību nodošana kādai publiskai sabiedrībai (skat. 3.3. nodaļu “Kapitāla iepludināšana publiskās kvazisabiedrībās” un 3.3.2. iedaļu “Traktējums nacionālajos kontos”). Vienkāršu gadījumu, kad valdība nodod pamatlīdzekļu dāvinājumu sabiedrībai, pārkārto kā ieguldījumu dotācijas un atbilstīgās summas ieraksta kā aktīvu iegādi pozīcijā “bruto pamatkapitāla veidošana”. Tas neietekmē valdības neto aizdevumu/neto aizņēmumu (B.9).</w:t>
      </w:r>
    </w:p>
    <w:p w14:paraId="40CA04B8"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123E5B5"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Sarežģītākos gadījumos, kad ieguldījumi natūrā ir saistīti ar citu aktīvu un saistību pārstrukturēšanu un, iespējams, jaunu vienību dibināšanu, rezultātu labāk ierakstīt kontā “Citas aktīvu apjoma pārmaiņas” (K.5) vai kontā “Izmaiņas klasifikācijā un struktūrā” (K.61) atbilstīgi uzkrājumiem, kas saistīti ar šīm plūsmām. Tādējādi arī valdības neto aizdevums/neto aizņēmums (B.9) paliek nemainīgs.</w:t>
      </w:r>
    </w:p>
    <w:p w14:paraId="79300294" w14:textId="77777777" w:rsidR="00994F93" w:rsidRPr="00B03B51" w:rsidRDefault="00994F93" w:rsidP="00994F93">
      <w:pPr>
        <w:tabs>
          <w:tab w:val="left" w:pos="843"/>
        </w:tabs>
        <w:jc w:val="both"/>
        <w:rPr>
          <w:rFonts w:ascii="Times New Roman" w:hAnsi="Times New Roman" w:cs="Times New Roman"/>
          <w:b/>
          <w:noProof/>
          <w:sz w:val="24"/>
        </w:rPr>
      </w:pPr>
    </w:p>
    <w:p w14:paraId="41DFDFF3"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 xml:space="preserve">14. </w:t>
      </w:r>
      <w:r w:rsidRPr="00B03B51">
        <w:rPr>
          <w:rFonts w:ascii="Times New Roman" w:hAnsi="Times New Roman" w:cs="Times New Roman"/>
          <w:b/>
          <w:sz w:val="24"/>
        </w:rPr>
        <w:t>Citi kapitāla pārvedumi (D.99)</w:t>
      </w:r>
    </w:p>
    <w:p w14:paraId="449F549A"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2F7D844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EKS 2010 4.165. punktā ir noteikts, ka D.99 ir piemērojams attiecībā uz šādiem gadījumiem:</w:t>
      </w:r>
    </w:p>
    <w:p w14:paraId="7D48FDBF"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43B73AE" w14:textId="77777777" w:rsidR="00994F93" w:rsidRPr="00B03B51" w:rsidRDefault="00994F93" w:rsidP="009534B7">
      <w:pPr>
        <w:pStyle w:val="BodyText"/>
        <w:numPr>
          <w:ilvl w:val="1"/>
          <w:numId w:val="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kaitējuma atlīdzībai;</w:t>
      </w:r>
    </w:p>
    <w:p w14:paraId="27D1DE9C" w14:textId="77777777" w:rsidR="00994F93" w:rsidRPr="00B03B51" w:rsidRDefault="00994F93" w:rsidP="009534B7">
      <w:pPr>
        <w:pStyle w:val="BodyText"/>
        <w:numPr>
          <w:ilvl w:val="1"/>
          <w:numId w:val="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maksājumiem, lai segtu zaudējumus, kas radušies vairākos gados, vai ārkārtas zaudējumiem;</w:t>
      </w:r>
    </w:p>
    <w:p w14:paraId="3955DF03" w14:textId="0A527A35" w:rsidR="00994F93" w:rsidRPr="00B03B51" w:rsidRDefault="00994F93" w:rsidP="009534B7">
      <w:pPr>
        <w:pStyle w:val="BodyText"/>
        <w:numPr>
          <w:ilvl w:val="1"/>
          <w:numId w:val="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ekvivalentu parādu </w:t>
      </w:r>
      <w:r w:rsidR="002C6576" w:rsidRPr="00B03B51">
        <w:rPr>
          <w:rFonts w:ascii="Times New Roman" w:hAnsi="Times New Roman" w:cs="Times New Roman"/>
          <w:sz w:val="24"/>
        </w:rPr>
        <w:t>anulēšanas</w:t>
      </w:r>
      <w:r w:rsidRPr="00B03B51">
        <w:rPr>
          <w:rFonts w:ascii="Times New Roman" w:hAnsi="Times New Roman" w:cs="Times New Roman"/>
          <w:sz w:val="24"/>
        </w:rPr>
        <w:t xml:space="preserve"> darījumiem, izņemot, ja minētais ir daļa no privatizācijas (ierakstīts pozīcijā F.5).</w:t>
      </w:r>
    </w:p>
    <w:p w14:paraId="2E5955D9"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43F44E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Pozīcija D.99 attiecas arī uz gadījumiem, kad valdības veiktais finanšu aktīvu iegādes darījums notiek nevis par tirgus cenām, bet galvenokārt tāpēc, lai atbalstītu konkrēto vienību. Piemēram, valdība varētu nopirkt bezcerīgos parādus, piešķirt aizdevumus ar atvieglotiem nosacījumiem vai piešķirt no ienākumiem atkarīgus aizdevumus (skat. 4.7. nodaļu). Šādos gadījumos ir jānovērtē starpība starp iegūto finanšu aktīvu tirgus vērtību un valdības samaksāto cenu. Minēto starpību ieraksta kā valdības kapitāla pārvedumu vienībai. Būtībā šo maksājumu, ko veic </w:t>
      </w:r>
      <w:r w:rsidRPr="00B03B51">
        <w:rPr>
          <w:rFonts w:ascii="Times New Roman" w:hAnsi="Times New Roman" w:cs="Times New Roman"/>
          <w:sz w:val="24"/>
        </w:rPr>
        <w:lastRenderedPageBreak/>
        <w:t>valdība, traktē daļēji kā finanšu aktīvu iegādi un daļēji kā dāvinājumu. Šāds traktējums bieži ir atbilstošs finanšu darījumu anulēšanas struktūrvienībām, kas izveidotas banku glābšanai.</w:t>
      </w:r>
    </w:p>
    <w:p w14:paraId="7A43B21A" w14:textId="77777777" w:rsidR="00994F93" w:rsidRPr="00B03B51" w:rsidRDefault="00994F93" w:rsidP="00994F93">
      <w:pPr>
        <w:jc w:val="both"/>
        <w:rPr>
          <w:rFonts w:ascii="Times New Roman" w:hAnsi="Times New Roman" w:cs="Times New Roman"/>
          <w:noProof/>
          <w:sz w:val="24"/>
        </w:rPr>
      </w:pPr>
    </w:p>
    <w:p w14:paraId="12147B45"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15.</w:t>
      </w:r>
      <w:r w:rsidRPr="00B03B51">
        <w:rPr>
          <w:rFonts w:ascii="Times New Roman" w:hAnsi="Times New Roman" w:cs="Times New Roman"/>
          <w:b/>
          <w:sz w:val="24"/>
        </w:rPr>
        <w:t xml:space="preserve"> Aizdevumi (F.4)</w:t>
      </w:r>
    </w:p>
    <w:p w14:paraId="36C9C83B"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61341D1"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Gadījumos, kad maksājumus publiskām vienībām klasificē kā aizdevumus, ir svarīgi pārbaudīt atmaksas iespējamību, kā arī atmaksas un procentu maksājumu komerciālos noteikumus. Gadījumos, kad atmaksa ir nenoteikta, aizdevumus var būt atbilstošāk ierakstīt kā kapitāla pārvedumus vai, ja nav noteikti procentu maksājumi, ierakstīt tos kā cita pašu kapitāla iegādi.</w:t>
      </w:r>
    </w:p>
    <w:p w14:paraId="5BD0EC94"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910DB21" w14:textId="77777777" w:rsidR="00994F93" w:rsidRPr="00B03B51" w:rsidRDefault="00994F93" w:rsidP="00994F93">
      <w:pPr>
        <w:tabs>
          <w:tab w:val="left" w:pos="843"/>
        </w:tabs>
        <w:jc w:val="both"/>
        <w:rPr>
          <w:rFonts w:ascii="Times New Roman" w:hAnsi="Times New Roman" w:cs="Times New Roman"/>
          <w:b/>
          <w:noProof/>
          <w:sz w:val="24"/>
        </w:rPr>
      </w:pPr>
      <w:r w:rsidRPr="00B03B51">
        <w:rPr>
          <w:rFonts w:ascii="Times New Roman" w:hAnsi="Times New Roman" w:cs="Times New Roman"/>
          <w:bCs/>
          <w:sz w:val="24"/>
        </w:rPr>
        <w:t xml:space="preserve">16. </w:t>
      </w:r>
      <w:r w:rsidRPr="00B03B51">
        <w:rPr>
          <w:rFonts w:ascii="Times New Roman" w:hAnsi="Times New Roman" w:cs="Times New Roman"/>
          <w:b/>
          <w:sz w:val="24"/>
        </w:rPr>
        <w:t>Pašu kapitāls un ieguldījumu fondu apliecības vai daļas (F.5)</w:t>
      </w:r>
    </w:p>
    <w:p w14:paraId="16B37A60"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E6A723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Pašu kapitāla iegāde publiskās sabiedrībās – šajā kategorijā neietilpst maksājumi, ko veic saistībā ar pamatkapitāla iegādi, un maksājumi natūrā: tie jāieraksta kā ieguldījumu dotācijas. Svarīga pazīme ieguldījumam pašu kapitālā ir tā, ka publiskai vienībai jābūt rīcības brīvībai izmantot līdzekļus tā, kā tās skatījumā tie vislabāk palielinātu uzņēmuma vērtību. Ir trīs gadījumi.</w:t>
      </w:r>
    </w:p>
    <w:p w14:paraId="54AD854C" w14:textId="77777777" w:rsidR="00994F93" w:rsidRPr="00B03B51" w:rsidRDefault="00994F93" w:rsidP="00994F93">
      <w:pPr>
        <w:jc w:val="both"/>
        <w:rPr>
          <w:rFonts w:ascii="Times New Roman" w:hAnsi="Times New Roman" w:cs="Times New Roman"/>
          <w:b/>
          <w:noProof/>
          <w:sz w:val="24"/>
        </w:rPr>
      </w:pPr>
    </w:p>
    <w:p w14:paraId="1FDF8742"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Valdība ir vienīgais publiskas vienības akcionārs</w:t>
      </w:r>
    </w:p>
    <w:p w14:paraId="5D54AFDD"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4EB96AB"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Dažus valdības veiktus maksājumus varētu būt atbilstoši klasificēt kategorijā F.51 (pašu kapitāls), bet tikai tad, ja tiek piemēroti stingri nosacījumi. Maksājumi ir jāveic finansiālu apsvērumu dēļ ar tādiem pašiem mērķiem, kādi būtu privātam ieguldītājam, ieguldot līdzekļus kādā uzņēmumā.</w:t>
      </w:r>
    </w:p>
    <w:p w14:paraId="2CFFC862"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Proti, valdībai ir jāgūst peļņa atbilstoši tirgus likmēm, piemēram, jāsaņem lielākas dividendes no sava ieguldījuma, vai arī jāgūst augstāka pašu kapitāla vērtība. Maksājumi, kas vienībai veikti citos nolūkos (piemēram, zaudējumu segšanai), jāklasificē kā kapitāla pārvedumi.</w:t>
      </w:r>
    </w:p>
    <w:p w14:paraId="6BB71C29" w14:textId="77777777" w:rsidR="00994F93" w:rsidRPr="00B03B51" w:rsidRDefault="00994F93" w:rsidP="00994F93">
      <w:pPr>
        <w:jc w:val="both"/>
        <w:rPr>
          <w:rFonts w:ascii="Times New Roman" w:hAnsi="Times New Roman" w:cs="Times New Roman"/>
          <w:b/>
          <w:noProof/>
          <w:sz w:val="24"/>
        </w:rPr>
      </w:pPr>
    </w:p>
    <w:p w14:paraId="6AC03273"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Valdība un dažas citas vienības ir īpašumtiesību partneri</w:t>
      </w:r>
    </w:p>
    <w:p w14:paraId="6A5C52C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72E140F6"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Daži valdībai veiktie maksājumi dod tai tiesības saņemt lielāku vienības akciju un paredzamās peļņas daļu. Ja vienība saimnieciski darbojas tā, ka valdība varētu saņemt ienākumus no saviem ieguldījumiem, to būtu atbilstoši klasificēt pozīcijā F.5.</w:t>
      </w:r>
    </w:p>
    <w:p w14:paraId="468609F0"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1F381DAC"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mērķis palielināt valdības akciju daļas nesniedz tai finansiālu labumu (iespējams, tādēļ, ka vienības mērķis ir atbalstīt valdības ekonomisko un sociālo politiku, nevis gūt peļņu), piemērotāk būtu to klasificēt kā kapitāla pārvedumu.</w:t>
      </w:r>
    </w:p>
    <w:p w14:paraId="46D70F06" w14:textId="77777777" w:rsidR="00994F93" w:rsidRPr="00B03B51" w:rsidRDefault="00994F93" w:rsidP="00994F93">
      <w:pPr>
        <w:jc w:val="both"/>
        <w:rPr>
          <w:rFonts w:ascii="Times New Roman" w:hAnsi="Times New Roman" w:cs="Times New Roman"/>
          <w:b/>
          <w:noProof/>
          <w:sz w:val="24"/>
        </w:rPr>
      </w:pPr>
    </w:p>
    <w:p w14:paraId="43683438" w14:textId="77777777" w:rsidR="00994F93" w:rsidRPr="00B03B51" w:rsidRDefault="00994F93" w:rsidP="00994F93">
      <w:pPr>
        <w:jc w:val="both"/>
        <w:rPr>
          <w:rFonts w:ascii="Times New Roman" w:hAnsi="Times New Roman" w:cs="Times New Roman"/>
          <w:b/>
          <w:noProof/>
          <w:sz w:val="24"/>
        </w:rPr>
      </w:pPr>
      <w:r w:rsidRPr="00B03B51">
        <w:rPr>
          <w:rFonts w:ascii="Times New Roman" w:hAnsi="Times New Roman" w:cs="Times New Roman"/>
          <w:b/>
          <w:sz w:val="24"/>
        </w:rPr>
        <w:t>Valdībai publiskajā vienībā pieder tirgojamas akcijas</w:t>
      </w:r>
    </w:p>
    <w:p w14:paraId="0FA8166C" w14:textId="77777777" w:rsidR="00994F93" w:rsidRPr="00B03B51" w:rsidRDefault="00994F93" w:rsidP="00994F93">
      <w:pPr>
        <w:pStyle w:val="BodyText"/>
        <w:spacing w:before="0"/>
        <w:ind w:left="0" w:firstLine="0"/>
        <w:jc w:val="both"/>
        <w:rPr>
          <w:rFonts w:ascii="Times New Roman" w:hAnsi="Times New Roman" w:cs="Times New Roman"/>
          <w:noProof/>
          <w:sz w:val="24"/>
        </w:rPr>
      </w:pPr>
    </w:p>
    <w:p w14:paraId="3E70EB0D" w14:textId="77777777" w:rsidR="00994F93" w:rsidRPr="00B03B51" w:rsidRDefault="00994F93" w:rsidP="00994F9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valdība apmaiņā pret savu maksājumu iegūst tirgojamas akcijas, ko tā nekavējoties varētu pārdot par samaksāto cenu, to ir pareizi klasificēt kā akciju iegādi.</w:t>
      </w:r>
    </w:p>
    <w:p w14:paraId="0CF625F2" w14:textId="77777777" w:rsidR="00994F93" w:rsidRPr="00B03B51" w:rsidRDefault="00994F93" w:rsidP="00994F93">
      <w:pPr>
        <w:rPr>
          <w:rFonts w:ascii="Times New Roman" w:hAnsi="Times New Roman" w:cs="Times New Roman"/>
          <w:noProof/>
          <w:sz w:val="24"/>
        </w:rPr>
      </w:pPr>
      <w:r w:rsidRPr="00B03B51">
        <w:rPr>
          <w:rFonts w:ascii="Times New Roman" w:hAnsi="Times New Roman" w:cs="Times New Roman"/>
        </w:rPr>
        <w:br w:type="page"/>
      </w:r>
    </w:p>
    <w:p w14:paraId="5A1A6EAF" w14:textId="77777777" w:rsidR="00994F93" w:rsidRPr="00B03B51" w:rsidRDefault="00994F93" w:rsidP="00994F93">
      <w:pPr>
        <w:jc w:val="both"/>
        <w:rPr>
          <w:rFonts w:ascii="Times New Roman" w:eastAsia="Arial" w:hAnsi="Times New Roman" w:cs="Times New Roman"/>
          <w:noProof/>
          <w:sz w:val="24"/>
          <w:szCs w:val="29"/>
        </w:rPr>
      </w:pPr>
    </w:p>
    <w:p w14:paraId="43150B23" w14:textId="77777777" w:rsidR="00994F93" w:rsidRPr="00B03B51" w:rsidRDefault="00994F93" w:rsidP="00994F93">
      <w:pPr>
        <w:pStyle w:val="Heading2"/>
        <w:tabs>
          <w:tab w:val="left" w:pos="1279"/>
        </w:tabs>
        <w:spacing w:before="0"/>
        <w:ind w:left="0" w:firstLine="0"/>
        <w:jc w:val="both"/>
        <w:rPr>
          <w:rFonts w:ascii="Times New Roman" w:hAnsi="Times New Roman" w:cs="Times New Roman"/>
          <w:noProof/>
          <w:sz w:val="28"/>
          <w:szCs w:val="44"/>
        </w:rPr>
      </w:pPr>
      <w:bookmarkStart w:id="298" w:name="3.9_Keywords_and_accounting_references"/>
      <w:bookmarkStart w:id="299" w:name="_bookmark29"/>
      <w:bookmarkStart w:id="300" w:name="_Toc67565117"/>
      <w:bookmarkEnd w:id="298"/>
      <w:bookmarkEnd w:id="299"/>
      <w:r w:rsidRPr="00B03B51">
        <w:rPr>
          <w:rFonts w:ascii="Times New Roman" w:hAnsi="Times New Roman" w:cs="Times New Roman"/>
          <w:sz w:val="28"/>
          <w:szCs w:val="44"/>
        </w:rPr>
        <w:t>3.9. Atslēgvārdi un atsauces</w:t>
      </w:r>
      <w:bookmarkEnd w:id="300"/>
    </w:p>
    <w:p w14:paraId="19591635" w14:textId="77777777" w:rsidR="00994F93" w:rsidRPr="00B03B51" w:rsidRDefault="00994F93" w:rsidP="00994F93">
      <w:pPr>
        <w:jc w:val="both"/>
        <w:rPr>
          <w:rFonts w:ascii="Times New Roman" w:eastAsia="Arial" w:hAnsi="Times New Roman" w:cs="Times New Roman"/>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5103"/>
        <w:gridCol w:w="3968"/>
      </w:tblGrid>
      <w:tr w:rsidR="00994F93" w:rsidRPr="00B03B51" w14:paraId="45FDFDB9" w14:textId="77777777" w:rsidTr="009534B7">
        <w:tc>
          <w:tcPr>
            <w:tcW w:w="2813" w:type="pct"/>
            <w:tcBorders>
              <w:top w:val="nil"/>
              <w:left w:val="nil"/>
              <w:bottom w:val="nil"/>
              <w:right w:val="nil"/>
            </w:tcBorders>
          </w:tcPr>
          <w:p w14:paraId="09B5B69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Kapitāla pārvedumi</w:t>
            </w:r>
          </w:p>
        </w:tc>
        <w:tc>
          <w:tcPr>
            <w:tcW w:w="2187" w:type="pct"/>
            <w:tcBorders>
              <w:top w:val="nil"/>
              <w:left w:val="nil"/>
              <w:bottom w:val="nil"/>
              <w:right w:val="nil"/>
            </w:tcBorders>
          </w:tcPr>
          <w:p w14:paraId="1B2A6F5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4.145. punkts un turpmākie punkti</w:t>
            </w:r>
          </w:p>
        </w:tc>
      </w:tr>
      <w:tr w:rsidR="00994F93" w:rsidRPr="00B03B51" w14:paraId="45FA3255" w14:textId="77777777" w:rsidTr="009534B7">
        <w:tc>
          <w:tcPr>
            <w:tcW w:w="2813" w:type="pct"/>
            <w:tcBorders>
              <w:top w:val="nil"/>
              <w:left w:val="nil"/>
              <w:bottom w:val="nil"/>
              <w:right w:val="nil"/>
            </w:tcBorders>
          </w:tcPr>
          <w:p w14:paraId="3BFB86F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Kapitāla pārvedumi natūrā</w:t>
            </w:r>
          </w:p>
        </w:tc>
        <w:tc>
          <w:tcPr>
            <w:tcW w:w="2187" w:type="pct"/>
            <w:tcBorders>
              <w:top w:val="nil"/>
              <w:left w:val="nil"/>
              <w:bottom w:val="nil"/>
              <w:right w:val="nil"/>
            </w:tcBorders>
          </w:tcPr>
          <w:p w14:paraId="3B76572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4.146. punkts</w:t>
            </w:r>
          </w:p>
        </w:tc>
      </w:tr>
      <w:tr w:rsidR="00994F93" w:rsidRPr="00B03B51" w14:paraId="3AC0C474" w14:textId="77777777" w:rsidTr="009534B7">
        <w:tc>
          <w:tcPr>
            <w:tcW w:w="2813" w:type="pct"/>
            <w:tcBorders>
              <w:top w:val="nil"/>
              <w:left w:val="nil"/>
              <w:bottom w:val="nil"/>
              <w:right w:val="nil"/>
            </w:tcBorders>
          </w:tcPr>
          <w:p w14:paraId="2A69C57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Klasifikācijas un struktūras pārmaiņas</w:t>
            </w:r>
          </w:p>
        </w:tc>
        <w:tc>
          <w:tcPr>
            <w:tcW w:w="2187" w:type="pct"/>
            <w:tcBorders>
              <w:top w:val="nil"/>
              <w:left w:val="nil"/>
              <w:bottom w:val="nil"/>
              <w:right w:val="nil"/>
            </w:tcBorders>
          </w:tcPr>
          <w:p w14:paraId="36C83C5E"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6.17.–6.20. punkts</w:t>
            </w:r>
          </w:p>
        </w:tc>
      </w:tr>
      <w:tr w:rsidR="00994F93" w:rsidRPr="00B03B51" w14:paraId="5104F674" w14:textId="77777777" w:rsidTr="009534B7">
        <w:tc>
          <w:tcPr>
            <w:tcW w:w="2813" w:type="pct"/>
            <w:tcBorders>
              <w:top w:val="nil"/>
              <w:left w:val="nil"/>
              <w:bottom w:val="nil"/>
              <w:right w:val="nil"/>
            </w:tcBorders>
          </w:tcPr>
          <w:p w14:paraId="103D7BF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Sabiedrības pārstrukturēšana</w:t>
            </w:r>
          </w:p>
        </w:tc>
        <w:tc>
          <w:tcPr>
            <w:tcW w:w="2187" w:type="pct"/>
            <w:tcBorders>
              <w:top w:val="nil"/>
              <w:left w:val="nil"/>
              <w:bottom w:val="nil"/>
              <w:right w:val="nil"/>
            </w:tcBorders>
          </w:tcPr>
          <w:p w14:paraId="21C9AD2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6.19.–6.20. punkts</w:t>
            </w:r>
          </w:p>
        </w:tc>
      </w:tr>
      <w:tr w:rsidR="00994F93" w:rsidRPr="00B03B51" w14:paraId="1BFCC569" w14:textId="77777777" w:rsidTr="009534B7">
        <w:tc>
          <w:tcPr>
            <w:tcW w:w="2813" w:type="pct"/>
            <w:tcBorders>
              <w:top w:val="nil"/>
              <w:left w:val="nil"/>
              <w:bottom w:val="nil"/>
              <w:right w:val="nil"/>
            </w:tcBorders>
          </w:tcPr>
          <w:p w14:paraId="466FA3F2" w14:textId="12EFC715"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 xml:space="preserve">Parāda </w:t>
            </w:r>
            <w:r w:rsidR="00C566C3" w:rsidRPr="00B03B51">
              <w:rPr>
                <w:rFonts w:ascii="Times New Roman" w:hAnsi="Times New Roman" w:cs="Times New Roman"/>
                <w:sz w:val="24"/>
              </w:rPr>
              <w:t>anulēšana</w:t>
            </w:r>
            <w:r w:rsidRPr="00B03B51">
              <w:rPr>
                <w:rFonts w:ascii="Times New Roman" w:hAnsi="Times New Roman" w:cs="Times New Roman"/>
                <w:sz w:val="24"/>
              </w:rPr>
              <w:t>, saistību uzņemšanās</w:t>
            </w:r>
          </w:p>
        </w:tc>
        <w:tc>
          <w:tcPr>
            <w:tcW w:w="2187" w:type="pct"/>
            <w:tcBorders>
              <w:top w:val="nil"/>
              <w:left w:val="nil"/>
              <w:bottom w:val="nil"/>
              <w:right w:val="nil"/>
            </w:tcBorders>
          </w:tcPr>
          <w:p w14:paraId="43F152A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5.36.–5.39. punkts</w:t>
            </w:r>
          </w:p>
        </w:tc>
      </w:tr>
      <w:tr w:rsidR="00994F93" w:rsidRPr="00B03B51" w14:paraId="087C98F0" w14:textId="77777777" w:rsidTr="009534B7">
        <w:tc>
          <w:tcPr>
            <w:tcW w:w="2813" w:type="pct"/>
            <w:tcBorders>
              <w:top w:val="nil"/>
              <w:left w:val="nil"/>
              <w:bottom w:val="nil"/>
              <w:right w:val="nil"/>
            </w:tcBorders>
          </w:tcPr>
          <w:p w14:paraId="4B2E007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Dividendes</w:t>
            </w:r>
          </w:p>
        </w:tc>
        <w:tc>
          <w:tcPr>
            <w:tcW w:w="2187" w:type="pct"/>
            <w:tcBorders>
              <w:top w:val="nil"/>
              <w:left w:val="nil"/>
              <w:bottom w:val="nil"/>
              <w:right w:val="nil"/>
            </w:tcBorders>
          </w:tcPr>
          <w:p w14:paraId="3ED4E5B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4.53. punkts</w:t>
            </w:r>
          </w:p>
        </w:tc>
      </w:tr>
      <w:tr w:rsidR="00994F93" w:rsidRPr="00B03B51" w14:paraId="79ACC663" w14:textId="77777777" w:rsidTr="009534B7">
        <w:tc>
          <w:tcPr>
            <w:tcW w:w="2813" w:type="pct"/>
            <w:tcBorders>
              <w:top w:val="nil"/>
              <w:left w:val="nil"/>
              <w:bottom w:val="nil"/>
              <w:right w:val="nil"/>
            </w:tcBorders>
          </w:tcPr>
          <w:p w14:paraId="2F03D64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Uzņēmējdarbības ienākumi</w:t>
            </w:r>
          </w:p>
        </w:tc>
        <w:tc>
          <w:tcPr>
            <w:tcW w:w="2187" w:type="pct"/>
            <w:tcBorders>
              <w:top w:val="nil"/>
              <w:left w:val="nil"/>
              <w:bottom w:val="nil"/>
              <w:right w:val="nil"/>
            </w:tcBorders>
          </w:tcPr>
          <w:p w14:paraId="41411AC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8.26.–8.28. punkts</w:t>
            </w:r>
          </w:p>
        </w:tc>
      </w:tr>
      <w:tr w:rsidR="00994F93" w:rsidRPr="00B03B51" w14:paraId="4E0F64C5" w14:textId="77777777" w:rsidTr="009534B7">
        <w:tc>
          <w:tcPr>
            <w:tcW w:w="2813" w:type="pct"/>
            <w:tcBorders>
              <w:top w:val="nil"/>
              <w:left w:val="nil"/>
              <w:bottom w:val="nil"/>
              <w:right w:val="nil"/>
            </w:tcBorders>
          </w:tcPr>
          <w:p w14:paraId="7443C77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Pašu kapitāls</w:t>
            </w:r>
          </w:p>
        </w:tc>
        <w:tc>
          <w:tcPr>
            <w:tcW w:w="2187" w:type="pct"/>
            <w:tcBorders>
              <w:top w:val="nil"/>
              <w:left w:val="nil"/>
              <w:bottom w:val="nil"/>
              <w:right w:val="nil"/>
            </w:tcBorders>
          </w:tcPr>
          <w:p w14:paraId="6747F1A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5.141. un turpmākie punkti</w:t>
            </w:r>
          </w:p>
        </w:tc>
      </w:tr>
      <w:tr w:rsidR="00994F93" w:rsidRPr="00B03B51" w14:paraId="7FE2CC44" w14:textId="77777777" w:rsidTr="009534B7">
        <w:tc>
          <w:tcPr>
            <w:tcW w:w="2813" w:type="pct"/>
            <w:tcBorders>
              <w:top w:val="nil"/>
              <w:left w:val="nil"/>
              <w:bottom w:val="nil"/>
              <w:right w:val="nil"/>
            </w:tcBorders>
          </w:tcPr>
          <w:p w14:paraId="3F99BB20"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Pašu kapitāls</w:t>
            </w:r>
          </w:p>
        </w:tc>
        <w:tc>
          <w:tcPr>
            <w:tcW w:w="2187" w:type="pct"/>
            <w:tcBorders>
              <w:top w:val="nil"/>
              <w:left w:val="nil"/>
              <w:bottom w:val="nil"/>
              <w:right w:val="nil"/>
            </w:tcBorders>
          </w:tcPr>
          <w:p w14:paraId="07AC812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5.148. punkts</w:t>
            </w:r>
          </w:p>
        </w:tc>
      </w:tr>
      <w:tr w:rsidR="00994F93" w:rsidRPr="00B03B51" w14:paraId="183F3786" w14:textId="77777777" w:rsidTr="009534B7">
        <w:tc>
          <w:tcPr>
            <w:tcW w:w="2813" w:type="pct"/>
            <w:tcBorders>
              <w:top w:val="nil"/>
              <w:left w:val="nil"/>
              <w:bottom w:val="nil"/>
              <w:right w:val="nil"/>
            </w:tcBorders>
          </w:tcPr>
          <w:p w14:paraId="3AC3418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Finanšu darījumi</w:t>
            </w:r>
          </w:p>
        </w:tc>
        <w:tc>
          <w:tcPr>
            <w:tcW w:w="2187" w:type="pct"/>
            <w:tcBorders>
              <w:top w:val="nil"/>
              <w:left w:val="nil"/>
              <w:bottom w:val="nil"/>
              <w:right w:val="nil"/>
            </w:tcBorders>
          </w:tcPr>
          <w:p w14:paraId="6FB545A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5.17., 5.19.–5.22., 5.32.–5.35. punkts</w:t>
            </w:r>
          </w:p>
        </w:tc>
      </w:tr>
      <w:tr w:rsidR="00994F93" w:rsidRPr="00B03B51" w14:paraId="44CA7928" w14:textId="77777777" w:rsidTr="009534B7">
        <w:tc>
          <w:tcPr>
            <w:tcW w:w="2813" w:type="pct"/>
            <w:tcBorders>
              <w:top w:val="nil"/>
              <w:left w:val="nil"/>
              <w:bottom w:val="nil"/>
              <w:right w:val="nil"/>
            </w:tcBorders>
          </w:tcPr>
          <w:p w14:paraId="4C41C75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Institucionālā vienība</w:t>
            </w:r>
          </w:p>
        </w:tc>
        <w:tc>
          <w:tcPr>
            <w:tcW w:w="2187" w:type="pct"/>
            <w:tcBorders>
              <w:top w:val="nil"/>
              <w:left w:val="nil"/>
              <w:bottom w:val="nil"/>
              <w:right w:val="nil"/>
            </w:tcBorders>
          </w:tcPr>
          <w:p w14:paraId="12899FF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2.12. punkts</w:t>
            </w:r>
          </w:p>
        </w:tc>
      </w:tr>
      <w:tr w:rsidR="00994F93" w:rsidRPr="00B03B51" w14:paraId="651DA3CB" w14:textId="77777777" w:rsidTr="009534B7">
        <w:tc>
          <w:tcPr>
            <w:tcW w:w="2813" w:type="pct"/>
            <w:tcBorders>
              <w:top w:val="nil"/>
              <w:left w:val="nil"/>
              <w:bottom w:val="nil"/>
              <w:right w:val="nil"/>
            </w:tcBorders>
          </w:tcPr>
          <w:p w14:paraId="2696D6B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Ieguldījumu dotācijas</w:t>
            </w:r>
          </w:p>
        </w:tc>
        <w:tc>
          <w:tcPr>
            <w:tcW w:w="2187" w:type="pct"/>
            <w:tcBorders>
              <w:top w:val="nil"/>
              <w:left w:val="nil"/>
              <w:bottom w:val="nil"/>
              <w:right w:val="nil"/>
            </w:tcBorders>
          </w:tcPr>
          <w:p w14:paraId="03B8D70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4.152.–4.163. punkts</w:t>
            </w:r>
          </w:p>
        </w:tc>
      </w:tr>
      <w:tr w:rsidR="00994F93" w:rsidRPr="00B03B51" w14:paraId="654A8542" w14:textId="77777777" w:rsidTr="009534B7">
        <w:tc>
          <w:tcPr>
            <w:tcW w:w="2813" w:type="pct"/>
            <w:tcBorders>
              <w:top w:val="nil"/>
              <w:left w:val="nil"/>
              <w:bottom w:val="nil"/>
              <w:right w:val="nil"/>
            </w:tcBorders>
          </w:tcPr>
          <w:p w14:paraId="3D219FC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Neto vērtība</w:t>
            </w:r>
          </w:p>
        </w:tc>
        <w:tc>
          <w:tcPr>
            <w:tcW w:w="2187" w:type="pct"/>
            <w:tcBorders>
              <w:top w:val="nil"/>
              <w:left w:val="nil"/>
              <w:bottom w:val="nil"/>
              <w:right w:val="nil"/>
            </w:tcBorders>
          </w:tcPr>
          <w:p w14:paraId="4DFC5B6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7.01. punkts</w:t>
            </w:r>
          </w:p>
        </w:tc>
      </w:tr>
      <w:tr w:rsidR="00994F93" w:rsidRPr="00B03B51" w14:paraId="3C8D49F9" w14:textId="77777777" w:rsidTr="009534B7">
        <w:tc>
          <w:tcPr>
            <w:tcW w:w="2813" w:type="pct"/>
            <w:tcBorders>
              <w:top w:val="nil"/>
              <w:left w:val="nil"/>
              <w:bottom w:val="nil"/>
              <w:right w:val="nil"/>
            </w:tcBorders>
          </w:tcPr>
          <w:p w14:paraId="76E719D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Beznaudas darījumi</w:t>
            </w:r>
          </w:p>
        </w:tc>
        <w:tc>
          <w:tcPr>
            <w:tcW w:w="2187" w:type="pct"/>
            <w:tcBorders>
              <w:top w:val="nil"/>
              <w:left w:val="nil"/>
              <w:bottom w:val="nil"/>
              <w:right w:val="nil"/>
            </w:tcBorders>
          </w:tcPr>
          <w:p w14:paraId="1AD6C69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1.70. punkts</w:t>
            </w:r>
          </w:p>
        </w:tc>
      </w:tr>
      <w:tr w:rsidR="00994F93" w:rsidRPr="00B03B51" w14:paraId="5938E3F1" w14:textId="77777777" w:rsidTr="009534B7">
        <w:tc>
          <w:tcPr>
            <w:tcW w:w="2813" w:type="pct"/>
            <w:tcBorders>
              <w:top w:val="nil"/>
              <w:left w:val="nil"/>
              <w:bottom w:val="nil"/>
              <w:right w:val="nil"/>
            </w:tcBorders>
          </w:tcPr>
          <w:p w14:paraId="135BBB5D"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Citas debitoru un kreditoru saistības</w:t>
            </w:r>
          </w:p>
        </w:tc>
        <w:tc>
          <w:tcPr>
            <w:tcW w:w="2187" w:type="pct"/>
            <w:tcBorders>
              <w:top w:val="nil"/>
              <w:left w:val="nil"/>
              <w:bottom w:val="nil"/>
              <w:right w:val="nil"/>
            </w:tcBorders>
          </w:tcPr>
          <w:p w14:paraId="412F9376"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5.230.–5.244. punkts</w:t>
            </w:r>
          </w:p>
        </w:tc>
      </w:tr>
      <w:tr w:rsidR="00994F93" w:rsidRPr="00B03B51" w14:paraId="17F1224E" w14:textId="77777777" w:rsidTr="009534B7">
        <w:tc>
          <w:tcPr>
            <w:tcW w:w="2813" w:type="pct"/>
            <w:tcBorders>
              <w:top w:val="nil"/>
              <w:left w:val="nil"/>
              <w:bottom w:val="nil"/>
              <w:right w:val="nil"/>
            </w:tcBorders>
          </w:tcPr>
          <w:p w14:paraId="768D78B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Citi kapitāla pārvedumi</w:t>
            </w:r>
          </w:p>
        </w:tc>
        <w:tc>
          <w:tcPr>
            <w:tcW w:w="2187" w:type="pct"/>
            <w:tcBorders>
              <w:top w:val="nil"/>
              <w:left w:val="nil"/>
              <w:bottom w:val="nil"/>
              <w:right w:val="nil"/>
            </w:tcBorders>
          </w:tcPr>
          <w:p w14:paraId="2C5D7228"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4.164.–4.167. punkts</w:t>
            </w:r>
          </w:p>
        </w:tc>
      </w:tr>
      <w:tr w:rsidR="00994F93" w:rsidRPr="00B03B51" w14:paraId="6E74A8AB" w14:textId="77777777" w:rsidTr="009534B7">
        <w:tc>
          <w:tcPr>
            <w:tcW w:w="2813" w:type="pct"/>
            <w:tcBorders>
              <w:top w:val="nil"/>
              <w:left w:val="nil"/>
              <w:bottom w:val="nil"/>
              <w:right w:val="nil"/>
            </w:tcBorders>
          </w:tcPr>
          <w:p w14:paraId="18BDBF8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Pašu līdzekļi</w:t>
            </w:r>
          </w:p>
        </w:tc>
        <w:tc>
          <w:tcPr>
            <w:tcW w:w="2187" w:type="pct"/>
            <w:tcBorders>
              <w:top w:val="nil"/>
              <w:left w:val="nil"/>
              <w:bottom w:val="nil"/>
              <w:right w:val="nil"/>
            </w:tcBorders>
          </w:tcPr>
          <w:p w14:paraId="4269C343"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7.07. punkts</w:t>
            </w:r>
          </w:p>
        </w:tc>
      </w:tr>
      <w:tr w:rsidR="00994F93" w:rsidRPr="00B03B51" w14:paraId="70FC5149" w14:textId="77777777" w:rsidTr="009534B7">
        <w:tc>
          <w:tcPr>
            <w:tcW w:w="2813" w:type="pct"/>
            <w:tcBorders>
              <w:top w:val="nil"/>
              <w:left w:val="nil"/>
              <w:bottom w:val="nil"/>
              <w:right w:val="nil"/>
            </w:tcBorders>
          </w:tcPr>
          <w:p w14:paraId="0C77A55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Pastāvīgi zaudējumi</w:t>
            </w:r>
          </w:p>
        </w:tc>
        <w:tc>
          <w:tcPr>
            <w:tcW w:w="2187" w:type="pct"/>
            <w:tcBorders>
              <w:top w:val="nil"/>
              <w:left w:val="nil"/>
              <w:bottom w:val="nil"/>
              <w:right w:val="nil"/>
            </w:tcBorders>
          </w:tcPr>
          <w:p w14:paraId="650E4F12"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4.35. punkta c) apakšpunkts, 4.61. punkts</w:t>
            </w:r>
          </w:p>
        </w:tc>
      </w:tr>
      <w:tr w:rsidR="00994F93" w:rsidRPr="00B03B51" w14:paraId="79D300D3" w14:textId="77777777" w:rsidTr="009534B7">
        <w:tc>
          <w:tcPr>
            <w:tcW w:w="2813" w:type="pct"/>
            <w:tcBorders>
              <w:top w:val="nil"/>
              <w:left w:val="nil"/>
              <w:bottom w:val="nil"/>
              <w:right w:val="nil"/>
            </w:tcBorders>
          </w:tcPr>
          <w:p w14:paraId="1AC73F01"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Īpašuma ienākums</w:t>
            </w:r>
          </w:p>
        </w:tc>
        <w:tc>
          <w:tcPr>
            <w:tcW w:w="2187" w:type="pct"/>
            <w:tcBorders>
              <w:top w:val="nil"/>
              <w:left w:val="nil"/>
              <w:bottom w:val="nil"/>
              <w:right w:val="nil"/>
            </w:tcBorders>
          </w:tcPr>
          <w:p w14:paraId="68C8C8F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4.41. punkts</w:t>
            </w:r>
          </w:p>
        </w:tc>
      </w:tr>
      <w:tr w:rsidR="00994F93" w:rsidRPr="00B03B51" w14:paraId="505C24DF" w14:textId="77777777" w:rsidTr="009534B7">
        <w:tc>
          <w:tcPr>
            <w:tcW w:w="2813" w:type="pct"/>
            <w:tcBorders>
              <w:top w:val="nil"/>
              <w:left w:val="nil"/>
              <w:bottom w:val="nil"/>
              <w:right w:val="nil"/>
            </w:tcBorders>
          </w:tcPr>
          <w:p w14:paraId="2ED38EF9"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Kvazisabiedrība</w:t>
            </w:r>
          </w:p>
        </w:tc>
        <w:tc>
          <w:tcPr>
            <w:tcW w:w="2187" w:type="pct"/>
            <w:tcBorders>
              <w:top w:val="nil"/>
              <w:left w:val="nil"/>
              <w:bottom w:val="nil"/>
              <w:right w:val="nil"/>
            </w:tcBorders>
          </w:tcPr>
          <w:p w14:paraId="0520A4BA"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2.13. punkts</w:t>
            </w:r>
          </w:p>
        </w:tc>
      </w:tr>
      <w:tr w:rsidR="00994F93" w:rsidRPr="00B03B51" w14:paraId="45BA48F4" w14:textId="77777777" w:rsidTr="009534B7">
        <w:tc>
          <w:tcPr>
            <w:tcW w:w="2813" w:type="pct"/>
            <w:tcBorders>
              <w:top w:val="nil"/>
              <w:left w:val="nil"/>
              <w:bottom w:val="nil"/>
              <w:right w:val="nil"/>
            </w:tcBorders>
          </w:tcPr>
          <w:p w14:paraId="79FF6CC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Subsīdijas</w:t>
            </w:r>
          </w:p>
        </w:tc>
        <w:tc>
          <w:tcPr>
            <w:tcW w:w="2187" w:type="pct"/>
            <w:tcBorders>
              <w:top w:val="nil"/>
              <w:left w:val="nil"/>
              <w:bottom w:val="nil"/>
              <w:right w:val="nil"/>
            </w:tcBorders>
          </w:tcPr>
          <w:p w14:paraId="56FD1277"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4.30. punkts</w:t>
            </w:r>
          </w:p>
        </w:tc>
      </w:tr>
      <w:tr w:rsidR="00994F93" w:rsidRPr="00B03B51" w14:paraId="4C6ED3F0" w14:textId="77777777" w:rsidTr="009534B7">
        <w:tc>
          <w:tcPr>
            <w:tcW w:w="2813" w:type="pct"/>
            <w:tcBorders>
              <w:top w:val="nil"/>
              <w:left w:val="nil"/>
              <w:bottom w:val="nil"/>
              <w:right w:val="nil"/>
            </w:tcBorders>
          </w:tcPr>
          <w:p w14:paraId="168D9DCC"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Gala (piem., ekspluatācijas pārtraukšanas) izmaksas</w:t>
            </w:r>
          </w:p>
        </w:tc>
        <w:tc>
          <w:tcPr>
            <w:tcW w:w="2187" w:type="pct"/>
            <w:tcBorders>
              <w:top w:val="nil"/>
              <w:left w:val="nil"/>
              <w:bottom w:val="nil"/>
              <w:right w:val="nil"/>
            </w:tcBorders>
          </w:tcPr>
          <w:p w14:paraId="51EB56D4"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3.129. punkta h) apakšpunkts</w:t>
            </w:r>
          </w:p>
        </w:tc>
      </w:tr>
      <w:tr w:rsidR="00994F93" w:rsidRPr="00B03B51" w14:paraId="34EA5BC0" w14:textId="77777777" w:rsidTr="009534B7">
        <w:tc>
          <w:tcPr>
            <w:tcW w:w="2813" w:type="pct"/>
            <w:tcBorders>
              <w:top w:val="nil"/>
              <w:left w:val="nil"/>
              <w:bottom w:val="nil"/>
              <w:right w:val="nil"/>
            </w:tcBorders>
          </w:tcPr>
          <w:p w14:paraId="52C57E9F"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Pamatkapitāla patēriņš gala izmaksām</w:t>
            </w:r>
          </w:p>
        </w:tc>
        <w:tc>
          <w:tcPr>
            <w:tcW w:w="2187" w:type="pct"/>
            <w:tcBorders>
              <w:top w:val="nil"/>
              <w:left w:val="nil"/>
              <w:bottom w:val="nil"/>
              <w:right w:val="nil"/>
            </w:tcBorders>
          </w:tcPr>
          <w:p w14:paraId="7D976AD5" w14:textId="77777777" w:rsidR="00994F93" w:rsidRPr="00B03B51" w:rsidRDefault="00994F93" w:rsidP="001C4B02">
            <w:pPr>
              <w:pStyle w:val="TableParagraph"/>
              <w:jc w:val="both"/>
              <w:rPr>
                <w:rFonts w:ascii="Times New Roman" w:hAnsi="Times New Roman" w:cs="Times New Roman"/>
                <w:noProof/>
                <w:sz w:val="24"/>
              </w:rPr>
            </w:pPr>
            <w:r w:rsidRPr="00B03B51">
              <w:rPr>
                <w:rFonts w:ascii="Times New Roman" w:hAnsi="Times New Roman" w:cs="Times New Roman"/>
                <w:sz w:val="24"/>
              </w:rPr>
              <w:t>EKS 2010 3.139. punkts</w:t>
            </w:r>
          </w:p>
        </w:tc>
      </w:tr>
    </w:tbl>
    <w:p w14:paraId="56640D09" w14:textId="1503EBBC" w:rsidR="00443399" w:rsidRPr="00B03B51" w:rsidRDefault="00443399">
      <w:pPr>
        <w:widowControl/>
        <w:spacing w:after="160" w:line="259" w:lineRule="auto"/>
        <w:rPr>
          <w:rFonts w:ascii="Times New Roman" w:hAnsi="Times New Roman" w:cs="Times New Roman"/>
          <w:sz w:val="24"/>
        </w:rPr>
      </w:pPr>
      <w:r w:rsidRPr="00B03B51">
        <w:rPr>
          <w:rFonts w:ascii="Times New Roman" w:hAnsi="Times New Roman" w:cs="Times New Roman"/>
          <w:sz w:val="24"/>
        </w:rPr>
        <w:br w:type="page"/>
      </w:r>
    </w:p>
    <w:p w14:paraId="43C70291" w14:textId="77777777" w:rsidR="00443399" w:rsidRPr="00B03B51" w:rsidRDefault="00443399" w:rsidP="00443399">
      <w:pPr>
        <w:jc w:val="both"/>
        <w:rPr>
          <w:rFonts w:ascii="Times New Roman" w:eastAsia="Arial" w:hAnsi="Times New Roman" w:cs="Times New Roman"/>
          <w:b/>
          <w:bCs/>
          <w:noProof/>
          <w:sz w:val="24"/>
          <w:szCs w:val="26"/>
        </w:rPr>
      </w:pPr>
    </w:p>
    <w:p w14:paraId="44BA5376" w14:textId="77777777" w:rsidR="00443399" w:rsidRPr="00B03B51" w:rsidRDefault="00443399" w:rsidP="00443399">
      <w:pPr>
        <w:pStyle w:val="Heading1"/>
        <w:ind w:left="0"/>
        <w:jc w:val="both"/>
        <w:rPr>
          <w:rFonts w:ascii="Times New Roman" w:hAnsi="Times New Roman" w:cs="Times New Roman"/>
          <w:noProof/>
          <w:sz w:val="28"/>
          <w:szCs w:val="72"/>
        </w:rPr>
      </w:pPr>
      <w:bookmarkStart w:id="301" w:name="4._Relations_between_government_and_the"/>
      <w:bookmarkStart w:id="302" w:name="_bookmark30"/>
      <w:bookmarkStart w:id="303" w:name="_Toc67565118"/>
      <w:bookmarkEnd w:id="301"/>
      <w:bookmarkEnd w:id="302"/>
      <w:r w:rsidRPr="00B03B51">
        <w:rPr>
          <w:rFonts w:ascii="Times New Roman" w:hAnsi="Times New Roman" w:cs="Times New Roman"/>
          <w:sz w:val="28"/>
          <w:szCs w:val="72"/>
        </w:rPr>
        <w:t>4. Attiecības starp valdību un finanšu sektoru</w:t>
      </w:r>
      <w:bookmarkEnd w:id="303"/>
    </w:p>
    <w:p w14:paraId="3B20A717" w14:textId="77777777" w:rsidR="00443399" w:rsidRPr="00B03B51" w:rsidRDefault="00443399" w:rsidP="00443399">
      <w:pPr>
        <w:jc w:val="both"/>
        <w:rPr>
          <w:rFonts w:ascii="Times New Roman" w:eastAsia="Arial" w:hAnsi="Times New Roman" w:cs="Times New Roman"/>
          <w:b/>
          <w:bCs/>
          <w:noProof/>
          <w:sz w:val="24"/>
          <w:szCs w:val="24"/>
        </w:rPr>
      </w:pPr>
    </w:p>
    <w:p w14:paraId="6EB6F34C"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304" w:name="4.1_Overview"/>
      <w:bookmarkStart w:id="305" w:name="_bookmark31"/>
      <w:bookmarkStart w:id="306" w:name="_Toc67565119"/>
      <w:bookmarkEnd w:id="304"/>
      <w:bookmarkEnd w:id="305"/>
      <w:r w:rsidRPr="00B03B51">
        <w:rPr>
          <w:rFonts w:ascii="Times New Roman" w:hAnsi="Times New Roman" w:cs="Times New Roman"/>
          <w:sz w:val="28"/>
          <w:szCs w:val="44"/>
        </w:rPr>
        <w:t>4.1. Pārskats</w:t>
      </w:r>
      <w:bookmarkEnd w:id="306"/>
    </w:p>
    <w:p w14:paraId="7BA0918F"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59FD0AF7"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daļā ir aprakstīta valdības un valsts centrālās bankas (VCB), kā arī valdības un citu finanšu iestāžu, savstarpējo attiecību ierakstīšana saistībā ar tām sniegto valsts atbalstu.</w:t>
      </w:r>
    </w:p>
    <w:p w14:paraId="5B9A94D9"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544D30FB"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Ir konstatēts, ka dažas VCB veic ievērojamus maksājumus valdībai. Ja šādus maksājumus ieraksta kā nefinanšu darījumus, tie samazina valdības neto aizdevumu/aizņēmumu (B.9). Ne vienmēr ir viegli noteikt, vai šādi maksājumi ir finanšu darījumi vai tomēr nefinanšu darījumi, jo valdība zināmā mērā ir valsts centrālās bankas īpašniece un var to ietekmēt, uzdodot veikt darījumus, lai samazinātu valdības neto aizdevumu/aizņēmumu (B.9). Galvenā problēma ir noteikt, vai valdības ieņēmumi no VCB, kurus apzīmē kā dividendes vai nodokļus, būtu jāieraksta nacionālajos kontos kā pašu kapitāla izņemšana, jo tas labāk atspoguļo ekonomisko realitāti (taču nesamazina valdības neto aizdevumu/aizņēmumu (B.9)).</w:t>
      </w:r>
    </w:p>
    <w:p w14:paraId="305CF975"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79DAC309"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Šajā rokasgrāmatā nav aplūkots valdības atbalsts finanšu iestādēm smagu finanšu krīžu laikā, taču uz to attiecas atsevišķas </w:t>
      </w:r>
      <w:r w:rsidRPr="00B03B51">
        <w:rPr>
          <w:rFonts w:ascii="Times New Roman" w:hAnsi="Times New Roman" w:cs="Times New Roman"/>
          <w:i/>
          <w:iCs/>
          <w:sz w:val="24"/>
        </w:rPr>
        <w:t>Eurostat</w:t>
      </w:r>
      <w:r w:rsidRPr="00B03B51">
        <w:rPr>
          <w:rFonts w:ascii="Times New Roman" w:hAnsi="Times New Roman" w:cs="Times New Roman"/>
          <w:sz w:val="24"/>
        </w:rPr>
        <w:t xml:space="preserve"> izstrādātas vienošanās par uzskaiti. Citi finanšu atbalsta gadījumi, kad nav šādu krīžu un kurus dažkārt dēvē par “finanšu sanāciju”, ir apspriesti 4.5. nodaļā.</w:t>
      </w:r>
    </w:p>
    <w:p w14:paraId="58791FB0"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39C180AC" w14:textId="77777777" w:rsidR="00443399" w:rsidRPr="00B03B51" w:rsidRDefault="00443399" w:rsidP="00443399">
      <w:pPr>
        <w:jc w:val="both"/>
        <w:rPr>
          <w:rFonts w:ascii="Times New Roman" w:eastAsia="Arial" w:hAnsi="Times New Roman" w:cs="Times New Roman"/>
          <w:noProof/>
          <w:sz w:val="24"/>
          <w:szCs w:val="29"/>
        </w:rPr>
      </w:pPr>
    </w:p>
    <w:p w14:paraId="4F72293D"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307" w:name="4.2_Payments_between_the_central_bank_an"/>
      <w:bookmarkStart w:id="308" w:name="_bookmark32"/>
      <w:bookmarkStart w:id="309" w:name="_Toc67565120"/>
      <w:bookmarkEnd w:id="307"/>
      <w:bookmarkEnd w:id="308"/>
      <w:r w:rsidRPr="00B03B51">
        <w:rPr>
          <w:rFonts w:ascii="Times New Roman" w:hAnsi="Times New Roman" w:cs="Times New Roman"/>
          <w:sz w:val="28"/>
          <w:szCs w:val="44"/>
        </w:rPr>
        <w:t>4.2. Maksājumi starp centrālo banku un valdību</w:t>
      </w:r>
      <w:bookmarkEnd w:id="309"/>
    </w:p>
    <w:p w14:paraId="69A4F26F" w14:textId="77777777" w:rsidR="00443399" w:rsidRPr="00B03B51" w:rsidRDefault="00443399" w:rsidP="00443399">
      <w:pPr>
        <w:tabs>
          <w:tab w:val="left" w:pos="1267"/>
        </w:tabs>
        <w:jc w:val="both"/>
        <w:rPr>
          <w:rFonts w:ascii="Times New Roman" w:hAnsi="Times New Roman" w:cs="Times New Roman"/>
          <w:b/>
          <w:noProof/>
          <w:sz w:val="24"/>
        </w:rPr>
      </w:pPr>
      <w:bookmarkStart w:id="310" w:name="4.2.1_Background"/>
      <w:bookmarkEnd w:id="310"/>
    </w:p>
    <w:p w14:paraId="77F56E07" w14:textId="77777777" w:rsidR="00443399" w:rsidRPr="00186A44" w:rsidRDefault="00443399" w:rsidP="00186A44">
      <w:pPr>
        <w:pStyle w:val="Heading3"/>
        <w:ind w:left="0" w:firstLine="0"/>
        <w:jc w:val="both"/>
        <w:rPr>
          <w:rFonts w:ascii="Times New Roman" w:hAnsi="Times New Roman" w:cs="Times New Roman"/>
          <w:sz w:val="24"/>
        </w:rPr>
      </w:pPr>
      <w:r w:rsidRPr="00B03B51">
        <w:rPr>
          <w:rFonts w:ascii="Times New Roman" w:hAnsi="Times New Roman" w:cs="Times New Roman"/>
          <w:sz w:val="24"/>
        </w:rPr>
        <w:t>4.2.1. Vispārīga informācija</w:t>
      </w:r>
    </w:p>
    <w:p w14:paraId="1D8AFD5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2634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Aktīvu portfeļu pārvaldība un intervence ārvalstu valūtu tirgos ar nolūku īstenot monetārās politikas mērķus var radīt centrālajām bankām kapitāla pieaugumu, ko var izmaksāt vispārējai valdībai galvenokārt dividenžu veidā. Iesaistītās summas dažkārt var būt ļoti lielas.</w:t>
      </w:r>
    </w:p>
    <w:p w14:paraId="6CB6CF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C465C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Kapitāla pieaugumu nacionālajos kontos neuzskata par ienākumiem, un attiecīgi no kapitāla pieauguma finansētus maksājumus valdībai nevar ierakstīt kā īpašuma ienākumus. Šajā nodaļā ir izklāstīts, kā nepieļaut to, ka no centrālās bankas gūtais kapitāla pieaugums tiek ierakstīts valdības kontos kā īpašuma ienākumi. Šeit ir arī ierosināts piemērot noteikumus par kapitāla iepludināšanu, kad valdība veic maksājumu centrālajai bankai. Valdība šādus maksājumus var veikt, lai segtu centrālajai bankai radušos zaudējumus. Kapitāla zaudējumi var rasties ārvalstu valūtu turēšanas zaudējumu dēļ. Pamatdarbības zaudējumi var rasties tādēļ, ka procenti un citi pamatdarbības ienākumi nesedz centrālās bankas pamatdarbības izmaksas.</w:t>
      </w:r>
      <w:r w:rsidRPr="00B03B51">
        <w:rPr>
          <w:rStyle w:val="FootnoteReference"/>
          <w:rFonts w:ascii="Times New Roman" w:hAnsi="Times New Roman" w:cs="Times New Roman"/>
          <w:noProof/>
          <w:sz w:val="24"/>
        </w:rPr>
        <w:footnoteReference w:id="176"/>
      </w:r>
    </w:p>
    <w:p w14:paraId="7261E314" w14:textId="77777777" w:rsidR="00443399" w:rsidRPr="00B03B51" w:rsidRDefault="00443399" w:rsidP="00443399">
      <w:pPr>
        <w:jc w:val="both"/>
        <w:rPr>
          <w:rFonts w:ascii="Times New Roman" w:hAnsi="Times New Roman" w:cs="Times New Roman"/>
          <w:noProof/>
          <w:sz w:val="24"/>
        </w:rPr>
      </w:pPr>
    </w:p>
    <w:p w14:paraId="30517D96" w14:textId="77777777" w:rsidR="00443399" w:rsidRPr="00186A44" w:rsidRDefault="00443399" w:rsidP="00186A44">
      <w:pPr>
        <w:pStyle w:val="Heading3"/>
        <w:ind w:left="0" w:firstLine="0"/>
        <w:jc w:val="both"/>
        <w:rPr>
          <w:rFonts w:ascii="Times New Roman" w:hAnsi="Times New Roman" w:cs="Times New Roman"/>
          <w:sz w:val="24"/>
        </w:rPr>
      </w:pPr>
      <w:bookmarkStart w:id="311" w:name="4.2.2_Treatment_in_national_accounts"/>
      <w:bookmarkEnd w:id="311"/>
      <w:r w:rsidRPr="00B03B51">
        <w:rPr>
          <w:rFonts w:ascii="Times New Roman" w:hAnsi="Times New Roman" w:cs="Times New Roman"/>
          <w:sz w:val="24"/>
        </w:rPr>
        <w:t>4.2.2. Traktējums nacionālajos kontos</w:t>
      </w:r>
    </w:p>
    <w:p w14:paraId="414BBF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F034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Nacionālajos kontos kapitāla pieaugums ir jāizslēdz no centrālās bankas sadalāmajiem ienākumiem, kas līdz ar to galvenokārt izriet no neto procentu ieņēmumiem (no ārvalstu valūtas, banku sistēmā veiktajām naudas operācijām un citiem aktīviem un saistībām), no vienas puses, un centrālo banku darbības izmaksām, no otras puses. Tāpat ieņēmumi dažādās proporcionālās daļās var būt gūti arī no noteiktu pakalpojumu pārdošanas (tostarp valdībai). Šajā saistībā var piemērot praktisku metodi, izmantojot vispārēju pieejamo informāciju par centrālās bankas peļņu, zaudējumiem un maksājumiem starp centrālo banku un valdību. Tās pamatā ir divu šādu summu salīdzināšana:</w:t>
      </w:r>
    </w:p>
    <w:p w14:paraId="4718E2FD"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20C8DB21"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pamatdarbības peļņas/zaudējumu summa – šī summa ir vienāda ar VCB kopējo peļņu/zaudējumiem pirms sadales, atņemot kopējā peļņā/zaudējumos iekļauto kapitāla pieaugumu/zaudējumus. Tādējādi tā ir vienāda ar neto procentu ienākumu un citiem pamatdarbības ienākumiem, no kuriem atņem pamatdarbības izmaksas, piemēram, personāla izmaksas;</w:t>
      </w:r>
    </w:p>
    <w:p w14:paraId="548B44F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DE0EE7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summa, kas izmaksāta vispārējai valdībai kā daļa no sadalītās peļņas.</w:t>
      </w:r>
    </w:p>
    <w:p w14:paraId="3928994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8C26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 Centrālajām bankām, kuras piemēro Eirosistēmas uzskaites noteikumus (tostarp daudzām ES dalībvalstīm, kas neietilpst eirozonā), postenis “Finanšu operāciju, norakstījumu un riska uzkrājumu neto rezultāts” (Pamatnostādņu ECB/2010/20 IX pielikumā iekļautā peļņas un zaudējumu pārskata 2.1., 2.2. un 2.3. postenis) ir jāatņem no gada kopējās peļņas/zaudējumiem, tādējādi iegūstot pamatdarbības peļņu/zaudējumus. Finanšu operāciju neto rezultāts ietver realizētos turēšanas guvumus/zaudējumus, kas izriet no finanšu operācijām, kā arī nerealizētos turēšanas zaudējumus (ko dēvē par “norakstījumiem”) un pārskaitījumus uz valūtas kursa un procentu likmes riska uzkrājumu un pārskaitījumus no tā. Lai pamatdarbības peļņas/zaudējumu </w:t>
      </w:r>
      <w:r w:rsidRPr="00B03B51">
        <w:rPr>
          <w:rFonts w:ascii="Times New Roman" w:hAnsi="Times New Roman" w:cs="Times New Roman"/>
          <w:sz w:val="24"/>
        </w:rPr>
        <w:lastRenderedPageBreak/>
        <w:t>aprēķins ES dalībvalstīs būtu saskaņots, nerealizētos guvumus no finanšu aktīviem, kas ir daļa no kopējās peļņas, kuru ir guvušas Eirosistēmā neietilpstošas centrālās bankas, vajadzētu atskaitīt no kopējās peļņas kopā ar jebkādiem realizētajiem turēšanas guvumiem un (ne)realizētajiem zaudējumiem, kas iekļauti kopējā peļņā.</w:t>
      </w:r>
    </w:p>
    <w:p w14:paraId="4CB1F9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2CCD4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Piemēro turpmākos noteikumus.</w:t>
      </w:r>
    </w:p>
    <w:p w14:paraId="67004A0C"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1125A69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Ja maksājums valdībai (B) ir vienāds ar pamatdarbības peļņu (A), visu maksājumu valdībai (B) ieraksta kā īpašuma ienākumu (D.4) valdības kontos.</w:t>
      </w:r>
    </w:p>
    <w:p w14:paraId="6C75E9B1"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02931388"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Ja maksājums valdībai (B) ir mazāks par pamatdarbības peļņu (A), visu maksājumu valdībai (B) arī ieraksta kā īpašuma ienākumu valdības kontos. Tas attiecas uz visiem gadījumiem, kuros maksājums valdībai (B) ir mazāks par pamatdarbības peļņu (A) saistībā ar kapitāla zaudējumu vai arī iekļaušanu centrālās bankas rezervēs.</w:t>
      </w:r>
    </w:p>
    <w:p w14:paraId="5F60EEF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4BD750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3) Ja maksājums valdībai netiek veikts, valdības kontos īpašuma ienākumus neieraksta.</w:t>
      </w:r>
    </w:p>
    <w:p w14:paraId="133F1D2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74D4C6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4) Ja maksājums valdībai (B) ir lielāks par pamatdarbības peļņu (A), summu, kas ir vienāda ar (A), ieraksta kā īpašuma ienākumu. Starpību starp (B) un (A) ieraksta kā valdības veiktu pašu kapitāla izņemšanu.</w:t>
      </w:r>
    </w:p>
    <w:p w14:paraId="6B7A292B"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488A57B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5) Ja pamatdarbības peļņa (A) ir nulle vai ja ir pamatdarbības zaudējumi, nevienu summu neieraksta kā īpašuma ienākumus un visu maksājumu (B) ieraksta kā valdības īstenotu pašu kapitāla izņemšanu (F.5).</w:t>
      </w:r>
    </w:p>
    <w:p w14:paraId="7E542C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49561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Šie noteikumi attiecas uz maksājumiem, kurus valdība saņem kā centrālās bankas akcionāre. Regulāros uzņēmuma peļņas nodokļus (kurus iekasē arī no citu sabiedrības peļņas), ko centrālā banka maksā valdībai, ieraksta kā kārtējo ienākuma un mantas nodokli.</w:t>
      </w:r>
    </w:p>
    <w:p w14:paraId="5E78F2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F03E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Ja valdība nav vienīgais centrālās bankas peļņas saņēmējs un peļņu sadala vairākiem īpašniekiem, 4.2.2. iedaļā izklāstītos noteikumus izmanto, lai noteiktu, kāda kopējās sadalāmās peļņas daļa būtu jāieraksta kā īpašuma ienākums, kuru centrālā banka maksā visiem īpašniekiem, un kāda tās daļa būtu jāieraksta kā visu īpašnieku veikta kapitāla izņemšana. Ja valdība saņem daļu no sadalāmās peļņas, tad tādu pašu kopējā īpašuma ienākuma daļu var ierakstīt valdības kontos kā īpašuma ienākumu un tāda pati no pašu kapitāla izņemtās kopsummas daļa ir jāieraksta valdības kontos kā valdības veikta pašu kapitāla izņemšana.</w:t>
      </w:r>
    </w:p>
    <w:p w14:paraId="7B96F83D" w14:textId="77777777" w:rsidR="00443399" w:rsidRPr="00B03B51" w:rsidRDefault="00443399" w:rsidP="00443399">
      <w:pPr>
        <w:jc w:val="both"/>
        <w:rPr>
          <w:rFonts w:ascii="Times New Roman" w:eastAsia="Arial" w:hAnsi="Times New Roman" w:cs="Times New Roman"/>
          <w:noProof/>
          <w:sz w:val="24"/>
          <w:szCs w:val="18"/>
        </w:rPr>
      </w:pPr>
    </w:p>
    <w:p w14:paraId="69BE41E8" w14:textId="77777777" w:rsidR="00443399" w:rsidRPr="00B03B51" w:rsidRDefault="00443399" w:rsidP="00443399">
      <w:pPr>
        <w:pStyle w:val="Heading3"/>
        <w:ind w:left="0" w:firstLine="0"/>
        <w:jc w:val="both"/>
        <w:rPr>
          <w:rFonts w:ascii="Times New Roman" w:hAnsi="Times New Roman" w:cs="Times New Roman"/>
          <w:noProof/>
          <w:sz w:val="24"/>
        </w:rPr>
      </w:pPr>
      <w:bookmarkStart w:id="312" w:name="4.2.3_Rationale_of_the_treatment"/>
      <w:bookmarkStart w:id="313" w:name="_Toc67565121"/>
      <w:bookmarkEnd w:id="312"/>
      <w:r w:rsidRPr="00B03B51">
        <w:rPr>
          <w:rFonts w:ascii="Times New Roman" w:hAnsi="Times New Roman" w:cs="Times New Roman"/>
          <w:sz w:val="24"/>
        </w:rPr>
        <w:t>4.2.3. Traktējuma pamatojums</w:t>
      </w:r>
      <w:bookmarkEnd w:id="313"/>
    </w:p>
    <w:p w14:paraId="42F343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8316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Turēšanas guvumi un zaudējumi rodas aktīvu cenu pārmaiņu dēļ. Tie nav ražošanas vai ražošanas ienākuma sadalīšanas rezultāts, un tos ieraksta kontā “Citas aktīvu pārmaiņas”, proti, kā aktīvu un saistību vērtības pārmaiņas (skat. EKS 2010 1.80. un 1.81. punktu). Tā kā turēšanas guvumi nav sadales darījumi, tos nevar ierakstīt kā īpašuma ienākumu (skat. EKS 2010 4.01. punktu). Centrālo banku kapitāla pieaugums, kas norādīts privātajā grāmatvedībā, konceptuāli neatšķiras no turēšanas guvumiem tādā izpratnē, kāda tiek pieņemta nacionālajos kontos – vienīgā atšķirība ir to aprēķināšanas veids. Piemēram, Eirosistēmā ietilpstošo centrālo banku grāmatvedībā kopējā peļņā kā kapitāla pieaugums/zaudējumi tiek iekļauti realizētie turēšanas guvumi, kā arī realizētie un nerealizētie turēšanas zaudējumi. Dažas Eirosistēmā neietilpstošas centrālās bankas savā kopējā peļņā var iekļaut arī nerealizētos </w:t>
      </w:r>
      <w:r w:rsidRPr="00B03B51">
        <w:rPr>
          <w:rFonts w:ascii="Times New Roman" w:hAnsi="Times New Roman" w:cs="Times New Roman"/>
          <w:sz w:val="24"/>
        </w:rPr>
        <w:lastRenderedPageBreak/>
        <w:t>turēšanas guvumus.</w:t>
      </w:r>
      <w:r w:rsidRPr="00B03B51">
        <w:rPr>
          <w:rStyle w:val="FootnoteReference"/>
          <w:rFonts w:ascii="Times New Roman" w:hAnsi="Times New Roman" w:cs="Times New Roman"/>
          <w:noProof/>
          <w:sz w:val="24"/>
        </w:rPr>
        <w:footnoteReference w:id="177"/>
      </w:r>
      <w:r w:rsidRPr="00B03B51">
        <w:rPr>
          <w:rFonts w:ascii="Times New Roman" w:hAnsi="Times New Roman" w:cs="Times New Roman"/>
          <w:sz w:val="24"/>
        </w:rPr>
        <w:t xml:space="preserve"> Kapitāla ienākumi nav daļa no ienākuma neatkarīgi no to aprēķināšanas metodes.</w:t>
      </w:r>
    </w:p>
    <w:p w14:paraId="0509AA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ED793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Ja kapitāla zaudējumu dēļ centrālās bankas maksājums valdībai (B) ir mazāks par pamatdarbības peļņu (A), kopējo maksājumu (B) ieraksta kā īpašuma ienākumu (skat. 2. noteikumu iepriekšējās 4.2.2. iedaļas 5. punktā). Šādā gadījumā nav atļauts ierakstīt summu (A) kā īpašuma ienākumus un starpību starp (B) un (A) kā valdības veiktu centrālās bankas pašu kapitāla iegādi. Tādējādi kapitāla pieauguma un zaudējumu traktējums zināmā mērā nav simetrisks. Šis jautājums ir izskatīts sīkāk 1. tabulā.</w:t>
      </w:r>
    </w:p>
    <w:p w14:paraId="0F3451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294BA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1. tabulā ir minēti šādi divi gadījumi:</w:t>
      </w:r>
    </w:p>
    <w:p w14:paraId="7C48907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6DC4CE1" w14:textId="77777777" w:rsidR="00443399" w:rsidRPr="00B03B51" w:rsidRDefault="00443399" w:rsidP="009534B7">
      <w:pPr>
        <w:pStyle w:val="BodyText"/>
        <w:numPr>
          <w:ilvl w:val="0"/>
          <w:numId w:val="69"/>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X</w:t>
      </w:r>
      <w:r w:rsidRPr="00B03B51">
        <w:rPr>
          <w:rFonts w:ascii="Times New Roman" w:hAnsi="Times New Roman" w:cs="Times New Roman"/>
          <w:sz w:val="24"/>
        </w:rPr>
        <w:t> gadījums – centrālā banka cieš kapitāla zaudējumus;</w:t>
      </w:r>
    </w:p>
    <w:p w14:paraId="4C7E0737" w14:textId="77777777" w:rsidR="00443399" w:rsidRPr="00B03B51" w:rsidRDefault="00443399" w:rsidP="009534B7">
      <w:pPr>
        <w:pStyle w:val="BodyText"/>
        <w:numPr>
          <w:ilvl w:val="0"/>
          <w:numId w:val="69"/>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Y</w:t>
      </w:r>
      <w:r w:rsidRPr="00B03B51">
        <w:rPr>
          <w:rFonts w:ascii="Times New Roman" w:hAnsi="Times New Roman" w:cs="Times New Roman"/>
          <w:sz w:val="24"/>
        </w:rPr>
        <w:t> gadījums – centrālajai bankai ir kapitāla pieaugums.</w:t>
      </w:r>
    </w:p>
    <w:p w14:paraId="19E79AA8" w14:textId="77777777" w:rsidR="00443399" w:rsidRPr="00B03B51" w:rsidRDefault="00443399" w:rsidP="00443399">
      <w:pPr>
        <w:jc w:val="both"/>
        <w:rPr>
          <w:rFonts w:ascii="Times New Roman" w:hAnsi="Times New Roman" w:cs="Times New Roman"/>
          <w:noProof/>
          <w:sz w:val="24"/>
        </w:rPr>
      </w:pPr>
    </w:p>
    <w:p w14:paraId="6524D20E"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 tabula. Centrālās bankas un valdības gada pārskati</w:t>
      </w:r>
    </w:p>
    <w:p w14:paraId="509B57AC" w14:textId="77777777" w:rsidR="00443399" w:rsidRPr="00B03B51" w:rsidRDefault="00443399" w:rsidP="00443399">
      <w:pPr>
        <w:jc w:val="both"/>
        <w:rPr>
          <w:rFonts w:ascii="Times New Roman" w:eastAsia="Arial" w:hAnsi="Times New Roman" w:cs="Times New Roman"/>
          <w:b/>
          <w:bCs/>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5051"/>
        <w:gridCol w:w="1926"/>
        <w:gridCol w:w="2082"/>
      </w:tblGrid>
      <w:tr w:rsidR="00443399" w:rsidRPr="00B03B51" w14:paraId="6F067DA8"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727F5399" w14:textId="77777777" w:rsidR="00443399" w:rsidRPr="00B03B51" w:rsidRDefault="00443399" w:rsidP="0054365B">
            <w:pPr>
              <w:pStyle w:val="TableParagraph"/>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t>Ierakstīšana centrālās bankas grāmatvedībā</w:t>
            </w:r>
          </w:p>
        </w:tc>
        <w:tc>
          <w:tcPr>
            <w:tcW w:w="1063" w:type="pct"/>
            <w:tcBorders>
              <w:top w:val="single" w:sz="5" w:space="0" w:color="000000"/>
              <w:left w:val="single" w:sz="5" w:space="0" w:color="000000"/>
              <w:bottom w:val="single" w:sz="5" w:space="0" w:color="000000"/>
              <w:right w:val="single" w:sz="5" w:space="0" w:color="000000"/>
            </w:tcBorders>
          </w:tcPr>
          <w:p w14:paraId="19B706ED"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i/>
                <w:iCs/>
                <w:sz w:val="24"/>
              </w:rPr>
              <w:t>X</w:t>
            </w:r>
            <w:r w:rsidRPr="00B03B51">
              <w:rPr>
                <w:rFonts w:ascii="Times New Roman" w:hAnsi="Times New Roman" w:cs="Times New Roman"/>
                <w:b/>
                <w:sz w:val="24"/>
              </w:rPr>
              <w:t> gadījums</w:t>
            </w:r>
          </w:p>
        </w:tc>
        <w:tc>
          <w:tcPr>
            <w:tcW w:w="1149" w:type="pct"/>
            <w:tcBorders>
              <w:top w:val="single" w:sz="5" w:space="0" w:color="000000"/>
              <w:left w:val="single" w:sz="5" w:space="0" w:color="000000"/>
              <w:bottom w:val="single" w:sz="5" w:space="0" w:color="000000"/>
              <w:right w:val="single" w:sz="5" w:space="0" w:color="000000"/>
            </w:tcBorders>
          </w:tcPr>
          <w:p w14:paraId="1D916CC5"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i/>
                <w:iCs/>
                <w:sz w:val="24"/>
              </w:rPr>
              <w:t>Y</w:t>
            </w:r>
            <w:r w:rsidRPr="00B03B51">
              <w:rPr>
                <w:rFonts w:ascii="Times New Roman" w:hAnsi="Times New Roman" w:cs="Times New Roman"/>
                <w:b/>
                <w:sz w:val="24"/>
              </w:rPr>
              <w:t> gadījums</w:t>
            </w:r>
          </w:p>
        </w:tc>
      </w:tr>
      <w:tr w:rsidR="00443399" w:rsidRPr="00B03B51" w14:paraId="75187300"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670F89C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Pamatdarbības peļņa (a)</w:t>
            </w:r>
          </w:p>
        </w:tc>
        <w:tc>
          <w:tcPr>
            <w:tcW w:w="1063" w:type="pct"/>
            <w:tcBorders>
              <w:top w:val="single" w:sz="5" w:space="0" w:color="000000"/>
              <w:left w:val="single" w:sz="5" w:space="0" w:color="000000"/>
              <w:bottom w:val="single" w:sz="5" w:space="0" w:color="000000"/>
              <w:right w:val="single" w:sz="5" w:space="0" w:color="000000"/>
            </w:tcBorders>
          </w:tcPr>
          <w:p w14:paraId="5A26230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1149" w:type="pct"/>
            <w:tcBorders>
              <w:top w:val="single" w:sz="5" w:space="0" w:color="000000"/>
              <w:left w:val="single" w:sz="5" w:space="0" w:color="000000"/>
              <w:bottom w:val="single" w:sz="5" w:space="0" w:color="000000"/>
              <w:right w:val="single" w:sz="5" w:space="0" w:color="000000"/>
            </w:tcBorders>
          </w:tcPr>
          <w:p w14:paraId="041A040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030B7708"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4600C2A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Kapitāla pieaugums/zaudējumi (d)</w:t>
            </w:r>
          </w:p>
        </w:tc>
        <w:tc>
          <w:tcPr>
            <w:tcW w:w="1063" w:type="pct"/>
            <w:tcBorders>
              <w:top w:val="single" w:sz="5" w:space="0" w:color="000000"/>
              <w:left w:val="single" w:sz="5" w:space="0" w:color="000000"/>
              <w:bottom w:val="single" w:sz="5" w:space="0" w:color="000000"/>
              <w:right w:val="single" w:sz="5" w:space="0" w:color="000000"/>
            </w:tcBorders>
          </w:tcPr>
          <w:p w14:paraId="26378F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w:t>
            </w:r>
          </w:p>
        </w:tc>
        <w:tc>
          <w:tcPr>
            <w:tcW w:w="1149" w:type="pct"/>
            <w:tcBorders>
              <w:top w:val="single" w:sz="5" w:space="0" w:color="000000"/>
              <w:left w:val="single" w:sz="5" w:space="0" w:color="000000"/>
              <w:bottom w:val="single" w:sz="5" w:space="0" w:color="000000"/>
              <w:right w:val="single" w:sz="5" w:space="0" w:color="000000"/>
            </w:tcBorders>
          </w:tcPr>
          <w:p w14:paraId="3C8CDD1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w:t>
            </w:r>
          </w:p>
        </w:tc>
      </w:tr>
      <w:tr w:rsidR="00443399" w:rsidRPr="00B03B51" w14:paraId="5A5954F7"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69E22B0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Kopējā peļņa (e) = (a) + (d)</w:t>
            </w:r>
          </w:p>
        </w:tc>
        <w:tc>
          <w:tcPr>
            <w:tcW w:w="1063" w:type="pct"/>
            <w:tcBorders>
              <w:top w:val="single" w:sz="5" w:space="0" w:color="000000"/>
              <w:left w:val="single" w:sz="5" w:space="0" w:color="000000"/>
              <w:bottom w:val="single" w:sz="5" w:space="0" w:color="000000"/>
              <w:right w:val="single" w:sz="5" w:space="0" w:color="000000"/>
            </w:tcBorders>
          </w:tcPr>
          <w:p w14:paraId="249A4D9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1149" w:type="pct"/>
            <w:tcBorders>
              <w:top w:val="single" w:sz="5" w:space="0" w:color="000000"/>
              <w:left w:val="single" w:sz="5" w:space="0" w:color="000000"/>
              <w:bottom w:val="single" w:sz="5" w:space="0" w:color="000000"/>
              <w:right w:val="single" w:sz="5" w:space="0" w:color="000000"/>
            </w:tcBorders>
          </w:tcPr>
          <w:p w14:paraId="4E9F8FB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120</w:t>
            </w:r>
          </w:p>
        </w:tc>
      </w:tr>
      <w:tr w:rsidR="00443399" w:rsidRPr="00B03B51" w14:paraId="5A5287E0"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301D80B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Maksājums valdībai (b)</w:t>
            </w:r>
          </w:p>
        </w:tc>
        <w:tc>
          <w:tcPr>
            <w:tcW w:w="1063" w:type="pct"/>
            <w:tcBorders>
              <w:top w:val="single" w:sz="5" w:space="0" w:color="000000"/>
              <w:left w:val="single" w:sz="5" w:space="0" w:color="000000"/>
              <w:bottom w:val="single" w:sz="5" w:space="0" w:color="000000"/>
              <w:right w:val="single" w:sz="5" w:space="0" w:color="000000"/>
            </w:tcBorders>
          </w:tcPr>
          <w:p w14:paraId="76E0B9E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1149" w:type="pct"/>
            <w:tcBorders>
              <w:top w:val="single" w:sz="5" w:space="0" w:color="000000"/>
              <w:left w:val="single" w:sz="5" w:space="0" w:color="000000"/>
              <w:bottom w:val="single" w:sz="5" w:space="0" w:color="000000"/>
              <w:right w:val="single" w:sz="5" w:space="0" w:color="000000"/>
            </w:tcBorders>
          </w:tcPr>
          <w:p w14:paraId="2649050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120</w:t>
            </w:r>
          </w:p>
        </w:tc>
      </w:tr>
      <w:tr w:rsidR="00443399" w:rsidRPr="00B03B51" w14:paraId="088F13EA"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2B338E45" w14:textId="77777777" w:rsidR="00443399" w:rsidRPr="00B03B51" w:rsidRDefault="00443399" w:rsidP="0054365B">
            <w:pPr>
              <w:pStyle w:val="TableParagraph"/>
              <w:jc w:val="both"/>
              <w:rPr>
                <w:rFonts w:ascii="Times New Roman" w:hAnsi="Times New Roman" w:cs="Times New Roman"/>
                <w:b/>
                <w:noProof/>
                <w:sz w:val="24"/>
              </w:rPr>
            </w:pPr>
            <w:r w:rsidRPr="00B03B51">
              <w:rPr>
                <w:rFonts w:ascii="Times New Roman" w:hAnsi="Times New Roman" w:cs="Times New Roman"/>
                <w:b/>
                <w:sz w:val="24"/>
              </w:rPr>
              <w:t>Maksājuma ierakstīšana valdības kontos</w:t>
            </w:r>
          </w:p>
        </w:tc>
        <w:tc>
          <w:tcPr>
            <w:tcW w:w="1063" w:type="pct"/>
            <w:tcBorders>
              <w:top w:val="single" w:sz="5" w:space="0" w:color="000000"/>
              <w:left w:val="single" w:sz="5" w:space="0" w:color="000000"/>
              <w:bottom w:val="single" w:sz="5" w:space="0" w:color="000000"/>
              <w:right w:val="single" w:sz="5" w:space="0" w:color="000000"/>
            </w:tcBorders>
          </w:tcPr>
          <w:p w14:paraId="73E5A423"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i/>
                <w:iCs/>
                <w:sz w:val="24"/>
              </w:rPr>
              <w:t>X</w:t>
            </w:r>
            <w:r w:rsidRPr="00B03B51">
              <w:rPr>
                <w:rFonts w:ascii="Times New Roman" w:hAnsi="Times New Roman" w:cs="Times New Roman"/>
                <w:b/>
                <w:sz w:val="24"/>
              </w:rPr>
              <w:t> gadījums</w:t>
            </w:r>
          </w:p>
        </w:tc>
        <w:tc>
          <w:tcPr>
            <w:tcW w:w="1149" w:type="pct"/>
            <w:tcBorders>
              <w:top w:val="single" w:sz="5" w:space="0" w:color="000000"/>
              <w:left w:val="single" w:sz="5" w:space="0" w:color="000000"/>
              <w:bottom w:val="single" w:sz="5" w:space="0" w:color="000000"/>
              <w:right w:val="single" w:sz="5" w:space="0" w:color="000000"/>
            </w:tcBorders>
          </w:tcPr>
          <w:p w14:paraId="4BD6BFF6"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i/>
                <w:iCs/>
                <w:sz w:val="24"/>
              </w:rPr>
              <w:t>Y</w:t>
            </w:r>
            <w:r w:rsidRPr="00B03B51">
              <w:rPr>
                <w:rFonts w:ascii="Times New Roman" w:hAnsi="Times New Roman" w:cs="Times New Roman"/>
                <w:b/>
                <w:sz w:val="24"/>
              </w:rPr>
              <w:t> gadījums</w:t>
            </w:r>
          </w:p>
        </w:tc>
      </w:tr>
      <w:tr w:rsidR="00443399" w:rsidRPr="00B03B51" w14:paraId="5D103BD7"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73FBBFC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D.4R Īpašuma ienākums</w:t>
            </w:r>
          </w:p>
        </w:tc>
        <w:tc>
          <w:tcPr>
            <w:tcW w:w="1063" w:type="pct"/>
            <w:tcBorders>
              <w:top w:val="single" w:sz="5" w:space="0" w:color="000000"/>
              <w:left w:val="single" w:sz="5" w:space="0" w:color="000000"/>
              <w:bottom w:val="single" w:sz="5" w:space="0" w:color="000000"/>
              <w:right w:val="single" w:sz="5" w:space="0" w:color="000000"/>
            </w:tcBorders>
          </w:tcPr>
          <w:p w14:paraId="1BF982A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1149" w:type="pct"/>
            <w:tcBorders>
              <w:top w:val="single" w:sz="5" w:space="0" w:color="000000"/>
              <w:left w:val="single" w:sz="5" w:space="0" w:color="000000"/>
              <w:bottom w:val="single" w:sz="5" w:space="0" w:color="000000"/>
              <w:right w:val="single" w:sz="5" w:space="0" w:color="000000"/>
            </w:tcBorders>
          </w:tcPr>
          <w:p w14:paraId="4E16D5A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5F7ED3A5"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52D499D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B.9 Neto aizdevums/aizņēmums</w:t>
            </w:r>
          </w:p>
        </w:tc>
        <w:tc>
          <w:tcPr>
            <w:tcW w:w="1063" w:type="pct"/>
            <w:tcBorders>
              <w:top w:val="single" w:sz="5" w:space="0" w:color="000000"/>
              <w:left w:val="single" w:sz="5" w:space="0" w:color="000000"/>
              <w:bottom w:val="single" w:sz="5" w:space="0" w:color="000000"/>
              <w:right w:val="single" w:sz="5" w:space="0" w:color="000000"/>
            </w:tcBorders>
          </w:tcPr>
          <w:p w14:paraId="411DEA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1149" w:type="pct"/>
            <w:tcBorders>
              <w:top w:val="single" w:sz="5" w:space="0" w:color="000000"/>
              <w:left w:val="single" w:sz="5" w:space="0" w:color="000000"/>
              <w:bottom w:val="single" w:sz="5" w:space="0" w:color="000000"/>
              <w:right w:val="single" w:sz="5" w:space="0" w:color="000000"/>
            </w:tcBorders>
          </w:tcPr>
          <w:p w14:paraId="33BFC89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4C7DB1BA"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1F8A40C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F.2. Valūta un noguldījumi</w:t>
            </w:r>
          </w:p>
        </w:tc>
        <w:tc>
          <w:tcPr>
            <w:tcW w:w="1063" w:type="pct"/>
            <w:tcBorders>
              <w:top w:val="single" w:sz="5" w:space="0" w:color="000000"/>
              <w:left w:val="single" w:sz="5" w:space="0" w:color="000000"/>
              <w:bottom w:val="single" w:sz="5" w:space="0" w:color="000000"/>
              <w:right w:val="single" w:sz="5" w:space="0" w:color="000000"/>
            </w:tcBorders>
          </w:tcPr>
          <w:p w14:paraId="15E3D1F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1149" w:type="pct"/>
            <w:tcBorders>
              <w:top w:val="single" w:sz="5" w:space="0" w:color="000000"/>
              <w:left w:val="single" w:sz="5" w:space="0" w:color="000000"/>
              <w:bottom w:val="single" w:sz="5" w:space="0" w:color="000000"/>
              <w:right w:val="single" w:sz="5" w:space="0" w:color="000000"/>
            </w:tcBorders>
          </w:tcPr>
          <w:p w14:paraId="5FFB732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120</w:t>
            </w:r>
          </w:p>
        </w:tc>
      </w:tr>
      <w:tr w:rsidR="00443399" w:rsidRPr="00B03B51" w14:paraId="7950C1BB"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0D18118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F.5. Pašu kapitāla iepludināšana</w:t>
            </w:r>
          </w:p>
        </w:tc>
        <w:tc>
          <w:tcPr>
            <w:tcW w:w="1063" w:type="pct"/>
            <w:tcBorders>
              <w:top w:val="single" w:sz="5" w:space="0" w:color="000000"/>
              <w:left w:val="single" w:sz="5" w:space="0" w:color="000000"/>
              <w:bottom w:val="single" w:sz="5" w:space="0" w:color="000000"/>
              <w:right w:val="single" w:sz="5" w:space="0" w:color="000000"/>
            </w:tcBorders>
          </w:tcPr>
          <w:p w14:paraId="6F6428A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1149" w:type="pct"/>
            <w:tcBorders>
              <w:top w:val="single" w:sz="5" w:space="0" w:color="000000"/>
              <w:left w:val="single" w:sz="5" w:space="0" w:color="000000"/>
              <w:bottom w:val="single" w:sz="5" w:space="0" w:color="000000"/>
              <w:right w:val="single" w:sz="5" w:space="0" w:color="000000"/>
            </w:tcBorders>
          </w:tcPr>
          <w:p w14:paraId="70795221" w14:textId="77777777" w:rsidR="00443399" w:rsidRPr="00B03B51" w:rsidRDefault="00443399" w:rsidP="0054365B">
            <w:pPr>
              <w:jc w:val="center"/>
              <w:rPr>
                <w:rFonts w:ascii="Times New Roman" w:hAnsi="Times New Roman" w:cs="Times New Roman"/>
                <w:noProof/>
                <w:sz w:val="24"/>
              </w:rPr>
            </w:pPr>
          </w:p>
        </w:tc>
      </w:tr>
      <w:tr w:rsidR="00443399" w:rsidRPr="00B03B51" w14:paraId="39A6A51A"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2A252BF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F.5. Pašu kapitāla izņemšana</w:t>
            </w:r>
          </w:p>
        </w:tc>
        <w:tc>
          <w:tcPr>
            <w:tcW w:w="1063" w:type="pct"/>
            <w:tcBorders>
              <w:top w:val="single" w:sz="5" w:space="0" w:color="000000"/>
              <w:left w:val="single" w:sz="5" w:space="0" w:color="000000"/>
              <w:bottom w:val="single" w:sz="5" w:space="0" w:color="000000"/>
              <w:right w:val="single" w:sz="5" w:space="0" w:color="000000"/>
            </w:tcBorders>
          </w:tcPr>
          <w:p w14:paraId="6F14F833" w14:textId="77777777" w:rsidR="00443399" w:rsidRPr="00B03B51" w:rsidRDefault="00443399" w:rsidP="0054365B">
            <w:pPr>
              <w:jc w:val="center"/>
              <w:rPr>
                <w:rFonts w:ascii="Times New Roman" w:hAnsi="Times New Roman" w:cs="Times New Roman"/>
                <w:noProof/>
                <w:sz w:val="24"/>
              </w:rPr>
            </w:pPr>
          </w:p>
        </w:tc>
        <w:tc>
          <w:tcPr>
            <w:tcW w:w="1149" w:type="pct"/>
            <w:tcBorders>
              <w:top w:val="single" w:sz="5" w:space="0" w:color="000000"/>
              <w:left w:val="single" w:sz="5" w:space="0" w:color="000000"/>
              <w:bottom w:val="single" w:sz="5" w:space="0" w:color="000000"/>
              <w:right w:val="single" w:sz="5" w:space="0" w:color="000000"/>
            </w:tcBorders>
          </w:tcPr>
          <w:p w14:paraId="1282A95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w:t>
            </w:r>
          </w:p>
        </w:tc>
      </w:tr>
      <w:tr w:rsidR="00443399" w:rsidRPr="00B03B51" w14:paraId="05A2515D" w14:textId="77777777" w:rsidTr="009534B7">
        <w:tc>
          <w:tcPr>
            <w:tcW w:w="2788" w:type="pct"/>
            <w:tcBorders>
              <w:top w:val="single" w:sz="5" w:space="0" w:color="000000"/>
              <w:left w:val="single" w:sz="5" w:space="0" w:color="000000"/>
              <w:bottom w:val="single" w:sz="5" w:space="0" w:color="000000"/>
              <w:right w:val="single" w:sz="5" w:space="0" w:color="000000"/>
            </w:tcBorders>
          </w:tcPr>
          <w:p w14:paraId="4918A904"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F.5. Pārvērtēšana</w:t>
            </w:r>
          </w:p>
        </w:tc>
        <w:tc>
          <w:tcPr>
            <w:tcW w:w="1063" w:type="pct"/>
            <w:tcBorders>
              <w:top w:val="single" w:sz="5" w:space="0" w:color="000000"/>
              <w:left w:val="single" w:sz="5" w:space="0" w:color="000000"/>
              <w:bottom w:val="single" w:sz="5" w:space="0" w:color="000000"/>
              <w:right w:val="single" w:sz="5" w:space="0" w:color="000000"/>
            </w:tcBorders>
          </w:tcPr>
          <w:p w14:paraId="5218DEB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1149" w:type="pct"/>
            <w:tcBorders>
              <w:top w:val="single" w:sz="5" w:space="0" w:color="000000"/>
              <w:left w:val="single" w:sz="5" w:space="0" w:color="000000"/>
              <w:bottom w:val="single" w:sz="5" w:space="0" w:color="000000"/>
              <w:right w:val="single" w:sz="5" w:space="0" w:color="000000"/>
            </w:tcBorders>
          </w:tcPr>
          <w:p w14:paraId="1F25BBC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w:t>
            </w:r>
          </w:p>
        </w:tc>
      </w:tr>
    </w:tbl>
    <w:p w14:paraId="3F17FE81" w14:textId="77777777" w:rsidR="00443399" w:rsidRPr="00B03B51" w:rsidRDefault="00443399" w:rsidP="00443399">
      <w:pPr>
        <w:jc w:val="both"/>
        <w:rPr>
          <w:rFonts w:ascii="Times New Roman" w:eastAsia="Arial" w:hAnsi="Times New Roman" w:cs="Times New Roman"/>
          <w:b/>
          <w:bCs/>
          <w:noProof/>
          <w:sz w:val="24"/>
          <w:szCs w:val="14"/>
        </w:rPr>
      </w:pPr>
    </w:p>
    <w:p w14:paraId="168B6AA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Abos gadījumos kopējā peļņa tiek izmaksāta valdībai. Tabulas augšējā daļā ir attēlota uzskaite centrālās bankas grāmatvedības sistēmā.</w:t>
      </w:r>
    </w:p>
    <w:p w14:paraId="7D87C06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Pirmās tabulas apakšējā daļā ir attēlota </w:t>
      </w:r>
      <w:r w:rsidRPr="00B03B51">
        <w:rPr>
          <w:rFonts w:ascii="Times New Roman" w:hAnsi="Times New Roman" w:cs="Times New Roman"/>
          <w:i/>
          <w:iCs/>
          <w:sz w:val="24"/>
        </w:rPr>
        <w:t>X</w:t>
      </w:r>
      <w:r w:rsidRPr="00B03B51">
        <w:rPr>
          <w:rFonts w:ascii="Times New Roman" w:hAnsi="Times New Roman" w:cs="Times New Roman"/>
          <w:sz w:val="24"/>
        </w:rPr>
        <w:t xml:space="preserve"> un </w:t>
      </w:r>
      <w:r w:rsidRPr="00B03B51">
        <w:rPr>
          <w:rFonts w:ascii="Times New Roman" w:hAnsi="Times New Roman" w:cs="Times New Roman"/>
          <w:i/>
          <w:iCs/>
          <w:sz w:val="24"/>
        </w:rPr>
        <w:t>Y</w:t>
      </w:r>
      <w:r w:rsidRPr="00B03B51">
        <w:rPr>
          <w:rFonts w:ascii="Times New Roman" w:hAnsi="Times New Roman" w:cs="Times New Roman"/>
          <w:sz w:val="24"/>
        </w:rPr>
        <w:t> gadījuma uzskaite saskaņā ar 4.2.2. iedaļā “Traktējums nacionālajos kontos” izklāstītajiem noteikumiem.</w:t>
      </w:r>
    </w:p>
    <w:p w14:paraId="5BECA4D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7D28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Saskaņā ar 4.2.2. iedaļā minēto 2. noteikumu </w:t>
      </w:r>
      <w:r w:rsidRPr="00B03B51">
        <w:rPr>
          <w:rFonts w:ascii="Times New Roman" w:hAnsi="Times New Roman" w:cs="Times New Roman"/>
          <w:i/>
          <w:iCs/>
          <w:sz w:val="24"/>
        </w:rPr>
        <w:t>X</w:t>
      </w:r>
      <w:r w:rsidRPr="00B03B51">
        <w:rPr>
          <w:rFonts w:ascii="Times New Roman" w:hAnsi="Times New Roman" w:cs="Times New Roman"/>
          <w:sz w:val="24"/>
        </w:rPr>
        <w:t xml:space="preserve"> gadījumā viss maksājums jāieraksta kā īpašuma ienākumi. Savukārt 4. noteikums paredz to, ka </w:t>
      </w:r>
      <w:r w:rsidRPr="00B03B51">
        <w:rPr>
          <w:rFonts w:ascii="Times New Roman" w:hAnsi="Times New Roman" w:cs="Times New Roman"/>
          <w:i/>
          <w:iCs/>
          <w:sz w:val="24"/>
        </w:rPr>
        <w:t>Y</w:t>
      </w:r>
      <w:r w:rsidRPr="00B03B51">
        <w:rPr>
          <w:rFonts w:ascii="Times New Roman" w:hAnsi="Times New Roman" w:cs="Times New Roman"/>
          <w:sz w:val="24"/>
        </w:rPr>
        <w:t xml:space="preserve"> gadījumā daļa no maksājuma jāieraksta kā īpašuma ienākumi un ka daļa no maksājuma jāieraksta kā pašu kapitāla izņemšana. </w:t>
      </w:r>
      <w:r w:rsidRPr="00B03B51">
        <w:rPr>
          <w:rFonts w:ascii="Times New Roman" w:hAnsi="Times New Roman" w:cs="Times New Roman"/>
          <w:i/>
          <w:iCs/>
          <w:sz w:val="24"/>
        </w:rPr>
        <w:t>X</w:t>
      </w:r>
      <w:r w:rsidRPr="00B03B51">
        <w:rPr>
          <w:rFonts w:ascii="Times New Roman" w:hAnsi="Times New Roman" w:cs="Times New Roman"/>
          <w:sz w:val="24"/>
        </w:rPr>
        <w:t> gadījumā kapitāla pieauguma un zaudējumu simetriska ierakstīšana nozīmētu to, ka 100 tiktu ierakstīts kā īpašuma ienākumi un 20 kā valdības pašu kapitāla iepludināšana. Šāds traktējums būtu piemērots saistībā ar atkārtoti ieguldītu peļņu, taču šāda pieeja starptautiskajos uzskaites standartos (EKS 2010, SVF Maksājumu bilances rokasgrāmata) tiek pieņemta vienīgi tieša ārvalstu ieguldījuma gadījumā.</w:t>
      </w:r>
    </w:p>
    <w:p w14:paraId="7C752613" w14:textId="77777777" w:rsidR="00443399" w:rsidRPr="00B03B51" w:rsidRDefault="00443399" w:rsidP="00443399">
      <w:pPr>
        <w:jc w:val="both"/>
        <w:rPr>
          <w:rFonts w:ascii="Times New Roman" w:eastAsia="Arial" w:hAnsi="Times New Roman" w:cs="Times New Roman"/>
          <w:noProof/>
          <w:sz w:val="24"/>
          <w:szCs w:val="15"/>
        </w:rPr>
      </w:pPr>
    </w:p>
    <w:p w14:paraId="35429413" w14:textId="77777777" w:rsidR="00443399" w:rsidRPr="00B03B51" w:rsidRDefault="00443399" w:rsidP="00443399">
      <w:pPr>
        <w:pStyle w:val="Heading6"/>
        <w:tabs>
          <w:tab w:val="left" w:pos="1267"/>
        </w:tabs>
        <w:ind w:left="0" w:firstLine="0"/>
        <w:jc w:val="both"/>
        <w:rPr>
          <w:rFonts w:ascii="Times New Roman" w:hAnsi="Times New Roman" w:cs="Times New Roman"/>
          <w:sz w:val="24"/>
        </w:rPr>
      </w:pPr>
      <w:bookmarkStart w:id="314" w:name="4.2.3.1_Legal_and_economic_ownership"/>
      <w:bookmarkEnd w:id="314"/>
      <w:r w:rsidRPr="00B03B51">
        <w:rPr>
          <w:rFonts w:ascii="Times New Roman" w:hAnsi="Times New Roman" w:cs="Times New Roman"/>
          <w:sz w:val="24"/>
        </w:rPr>
        <w:lastRenderedPageBreak/>
        <w:t>4.2.3.1. JURIDISKĀS UN EKONOMISKĀS ĪPAŠUMTIESĪBAS</w:t>
      </w:r>
    </w:p>
    <w:p w14:paraId="5637696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D37FB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Noteikumi, kas minēti 4.2.2. iedaļā, attiecas tikai uz maksājumiem, kas veikti valdībai kā centrālās bankas akcionārei. Pat ja no juridiskā viedokļa starp valdību un centrālo banku nepastāv īpašumtiesību attiecības, nacionālajos kontos ir jāieraksta pašu kapitāls, lai atspoguļotu faktu, ka centrālā banka tautas un valdības vārdā tur un pārvalda rezervju aktīvus. Turklāt, ja valdība regulāri saņem daļu peļņas vai tai ir tiesības uz neto aktīviem likvidācijas gadījumā, arī tas liecina, ka valdība ir centrālās bankas ekonomiskā īpašniece. Šādos gadījumos, ja valdībai ir ekonomiskās īpašumtiesības, pat ja tā nav juridiskā īpašniece, valdības īpašumtiesības centrālajā bankā ieraksta nacionālajos kontos kā “citu pašu kapitālu”.</w:t>
      </w:r>
    </w:p>
    <w:p w14:paraId="1AD76D85" w14:textId="77777777" w:rsidR="00443399" w:rsidRPr="00B03B51" w:rsidRDefault="00443399" w:rsidP="00443399">
      <w:pPr>
        <w:jc w:val="both"/>
        <w:rPr>
          <w:rFonts w:ascii="Times New Roman" w:eastAsia="Arial" w:hAnsi="Times New Roman" w:cs="Times New Roman"/>
          <w:noProof/>
          <w:sz w:val="24"/>
          <w:szCs w:val="15"/>
        </w:rPr>
      </w:pPr>
    </w:p>
    <w:p w14:paraId="5591393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15" w:name="4.2.3.2_Valuation_of_government_equity"/>
      <w:bookmarkEnd w:id="315"/>
      <w:r w:rsidRPr="00B03B51">
        <w:rPr>
          <w:rFonts w:ascii="Times New Roman" w:hAnsi="Times New Roman" w:cs="Times New Roman"/>
          <w:sz w:val="24"/>
        </w:rPr>
        <w:t>4.2.3.2. VALDĪBAS PAŠU KAPITĀLA NOVĒRTĒŠANA</w:t>
      </w:r>
    </w:p>
    <w:p w14:paraId="3F4CF2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F1E5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Valdības pašu kapitāla daļu centrālajā bankā novērtē atbilstoši neto aktīviem. Tā ietver pašu kapitālu (emitēto), pārvērtēšanas rezerves (jo īpaši zeltu un ārvalstu valūtas), juridiskās un speciālās rezerves un paturētos ieņēmumus.</w:t>
      </w:r>
    </w:p>
    <w:p w14:paraId="2C00654F" w14:textId="77777777" w:rsidR="00443399" w:rsidRPr="00B03B51" w:rsidRDefault="00443399" w:rsidP="00443399">
      <w:pPr>
        <w:jc w:val="both"/>
        <w:rPr>
          <w:rFonts w:ascii="Times New Roman" w:eastAsia="Arial" w:hAnsi="Times New Roman" w:cs="Times New Roman"/>
          <w:noProof/>
          <w:sz w:val="24"/>
          <w:szCs w:val="15"/>
        </w:rPr>
      </w:pPr>
    </w:p>
    <w:p w14:paraId="263B50AE"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16" w:name="4.2.3.3_Other_payments"/>
      <w:bookmarkEnd w:id="316"/>
      <w:r w:rsidRPr="00B03B51">
        <w:rPr>
          <w:rFonts w:ascii="Times New Roman" w:hAnsi="Times New Roman" w:cs="Times New Roman"/>
          <w:sz w:val="24"/>
        </w:rPr>
        <w:t>4.2.3.3. CITI MAKSĀJUMI</w:t>
      </w:r>
    </w:p>
    <w:p w14:paraId="4C92F9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89F2D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Iepriekš minētie noteikumi neattiecas uz maksājumiem, kurus centrālā banka ir veikusi par valdības sniegtajiem pakalpojumiem vai saistībā ar nodokļu nomaksu. Arī citām komercsabiedrībām piemērojamos regulāros uzņēmuma nodokļus, kurus centrālā banka ir samaksājusi valdībai, ieraksta kā ienākuma nodokli (D.51), izņemot nodokļus, kas ir samaksāti par izņēmuma darījumiem (skat. 4.3. nodaļu “Zelta tirdzniecība un ārvalstu valūtu maiņa centrālajā bankā”). Sarežģījumus nerada arī tas, ka kapitāla pieaugumu var aplikt ar nodokli. Saskaņā ar EKS 2010 ienākuma nodokļus iekasē ne tikai par ienākumiem, bet arī par peļņu un kapitāla pieaugumu (skat. EKS 2010 4.78. punktu).</w:t>
      </w:r>
    </w:p>
    <w:p w14:paraId="703575AC" w14:textId="77777777" w:rsidR="00443399" w:rsidRPr="00B03B51" w:rsidRDefault="00443399" w:rsidP="00443399">
      <w:pPr>
        <w:jc w:val="both"/>
        <w:rPr>
          <w:rFonts w:ascii="Times New Roman" w:hAnsi="Times New Roman" w:cs="Times New Roman"/>
          <w:noProof/>
          <w:sz w:val="24"/>
        </w:rPr>
      </w:pPr>
    </w:p>
    <w:p w14:paraId="4DF02C56"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17" w:name="4.2.4_Accounting_examples"/>
      <w:bookmarkStart w:id="318" w:name="_Toc67565122"/>
      <w:bookmarkEnd w:id="317"/>
      <w:r w:rsidRPr="00B03B51">
        <w:rPr>
          <w:rFonts w:ascii="Times New Roman" w:hAnsi="Times New Roman" w:cs="Times New Roman"/>
          <w:sz w:val="24"/>
        </w:rPr>
        <w:t>4.2.4. Uzskaites piemēri</w:t>
      </w:r>
      <w:bookmarkEnd w:id="318"/>
    </w:p>
    <w:p w14:paraId="11E1CBF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E5A8BB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tabulā ir iekļauti daži tipiski piemēri attiecībā uz centrālās bankas gada peļņas un zaudējumu pārskatu un maksājumiem valdībai. Atbilstošu ierakstīšanu valsts kontos var noteikt, salīdzinot maksājumu valdībai (B) ar pamatdarbības peļņu/zaudējumiem (A). Vispārējās valdības turēšanas guvumus/zaudējumus F.5 aprēķina, no kopējās peļņas atskaitot samaksāto īpašuma ienākumu summu.</w:t>
      </w:r>
    </w:p>
    <w:p w14:paraId="12AE9BD0" w14:textId="77777777" w:rsidR="00443399" w:rsidRPr="00B03B51" w:rsidRDefault="00443399" w:rsidP="00443399">
      <w:pPr>
        <w:jc w:val="both"/>
        <w:rPr>
          <w:rFonts w:ascii="Times New Roman" w:hAnsi="Times New Roman" w:cs="Times New Roman"/>
          <w:b/>
          <w:noProof/>
          <w:sz w:val="24"/>
        </w:rPr>
      </w:pPr>
    </w:p>
    <w:p w14:paraId="4F9C341B"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tabula. Centrālās bankas maksājumi valdībai un to ierakstīšana nacionālajos kontos</w:t>
      </w:r>
    </w:p>
    <w:p w14:paraId="3687DCD5" w14:textId="77777777" w:rsidR="00443399" w:rsidRPr="00B03B51" w:rsidRDefault="00443399" w:rsidP="00443399">
      <w:pPr>
        <w:jc w:val="both"/>
        <w:rPr>
          <w:rFonts w:ascii="Times New Roman" w:eastAsia="Arial" w:hAnsi="Times New Roman" w:cs="Times New Roman"/>
          <w:b/>
          <w:bCs/>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5197"/>
        <w:gridCol w:w="466"/>
        <w:gridCol w:w="466"/>
        <w:gridCol w:w="466"/>
        <w:gridCol w:w="466"/>
        <w:gridCol w:w="466"/>
        <w:gridCol w:w="466"/>
        <w:gridCol w:w="466"/>
        <w:gridCol w:w="600"/>
      </w:tblGrid>
      <w:tr w:rsidR="00443399" w:rsidRPr="00B03B51" w14:paraId="20751604"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152F95DF" w14:textId="77777777" w:rsidR="00443399" w:rsidRPr="00B03B51" w:rsidRDefault="00443399" w:rsidP="0054365B">
            <w:pPr>
              <w:jc w:val="both"/>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5D955238"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1</w:t>
            </w:r>
          </w:p>
        </w:tc>
        <w:tc>
          <w:tcPr>
            <w:tcW w:w="257" w:type="pct"/>
            <w:tcBorders>
              <w:top w:val="single" w:sz="5" w:space="0" w:color="000000"/>
              <w:left w:val="single" w:sz="5" w:space="0" w:color="000000"/>
              <w:bottom w:val="single" w:sz="5" w:space="0" w:color="000000"/>
              <w:right w:val="single" w:sz="5" w:space="0" w:color="000000"/>
            </w:tcBorders>
          </w:tcPr>
          <w:p w14:paraId="44800FC0"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2</w:t>
            </w:r>
          </w:p>
        </w:tc>
        <w:tc>
          <w:tcPr>
            <w:tcW w:w="257" w:type="pct"/>
            <w:tcBorders>
              <w:top w:val="single" w:sz="5" w:space="0" w:color="000000"/>
              <w:left w:val="single" w:sz="5" w:space="0" w:color="000000"/>
              <w:bottom w:val="single" w:sz="5" w:space="0" w:color="000000"/>
              <w:right w:val="single" w:sz="5" w:space="0" w:color="000000"/>
            </w:tcBorders>
          </w:tcPr>
          <w:p w14:paraId="7FE917AE"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3</w:t>
            </w:r>
          </w:p>
        </w:tc>
        <w:tc>
          <w:tcPr>
            <w:tcW w:w="257" w:type="pct"/>
            <w:tcBorders>
              <w:top w:val="single" w:sz="5" w:space="0" w:color="000000"/>
              <w:left w:val="single" w:sz="5" w:space="0" w:color="000000"/>
              <w:bottom w:val="single" w:sz="5" w:space="0" w:color="000000"/>
              <w:right w:val="single" w:sz="5" w:space="0" w:color="000000"/>
            </w:tcBorders>
          </w:tcPr>
          <w:p w14:paraId="2C3E73BC"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4</w:t>
            </w:r>
          </w:p>
        </w:tc>
        <w:tc>
          <w:tcPr>
            <w:tcW w:w="257" w:type="pct"/>
            <w:tcBorders>
              <w:top w:val="single" w:sz="5" w:space="0" w:color="000000"/>
              <w:left w:val="single" w:sz="5" w:space="0" w:color="000000"/>
              <w:bottom w:val="single" w:sz="5" w:space="0" w:color="000000"/>
              <w:right w:val="single" w:sz="5" w:space="0" w:color="000000"/>
            </w:tcBorders>
          </w:tcPr>
          <w:p w14:paraId="72EAC125"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5</w:t>
            </w:r>
          </w:p>
        </w:tc>
        <w:tc>
          <w:tcPr>
            <w:tcW w:w="257" w:type="pct"/>
            <w:tcBorders>
              <w:top w:val="single" w:sz="5" w:space="0" w:color="000000"/>
              <w:left w:val="single" w:sz="5" w:space="0" w:color="000000"/>
              <w:bottom w:val="single" w:sz="5" w:space="0" w:color="000000"/>
              <w:right w:val="single" w:sz="5" w:space="0" w:color="000000"/>
            </w:tcBorders>
          </w:tcPr>
          <w:p w14:paraId="33009E14"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6</w:t>
            </w:r>
          </w:p>
        </w:tc>
        <w:tc>
          <w:tcPr>
            <w:tcW w:w="257" w:type="pct"/>
            <w:tcBorders>
              <w:top w:val="single" w:sz="5" w:space="0" w:color="000000"/>
              <w:left w:val="single" w:sz="5" w:space="0" w:color="000000"/>
              <w:bottom w:val="single" w:sz="5" w:space="0" w:color="000000"/>
              <w:right w:val="single" w:sz="5" w:space="0" w:color="000000"/>
            </w:tcBorders>
          </w:tcPr>
          <w:p w14:paraId="39BD4600"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7</w:t>
            </w:r>
          </w:p>
        </w:tc>
        <w:tc>
          <w:tcPr>
            <w:tcW w:w="331" w:type="pct"/>
            <w:tcBorders>
              <w:top w:val="single" w:sz="5" w:space="0" w:color="000000"/>
              <w:left w:val="single" w:sz="5" w:space="0" w:color="000000"/>
              <w:bottom w:val="single" w:sz="5" w:space="0" w:color="000000"/>
              <w:right w:val="single" w:sz="5" w:space="0" w:color="000000"/>
            </w:tcBorders>
          </w:tcPr>
          <w:p w14:paraId="2D333495"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8</w:t>
            </w:r>
          </w:p>
        </w:tc>
      </w:tr>
      <w:tr w:rsidR="00443399" w:rsidRPr="00B03B51" w14:paraId="04CAD7E4"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46DA61C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Kopējā peļņa (+)/zaudējumi (–)</w:t>
            </w:r>
          </w:p>
        </w:tc>
        <w:tc>
          <w:tcPr>
            <w:tcW w:w="257" w:type="pct"/>
            <w:tcBorders>
              <w:top w:val="single" w:sz="5" w:space="0" w:color="000000"/>
              <w:left w:val="single" w:sz="5" w:space="0" w:color="000000"/>
              <w:bottom w:val="single" w:sz="5" w:space="0" w:color="000000"/>
              <w:right w:val="single" w:sz="5" w:space="0" w:color="000000"/>
            </w:tcBorders>
          </w:tcPr>
          <w:p w14:paraId="42E616B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1001406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1B10301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5711D48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6213D1C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2D64A89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09A4CA7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331" w:type="pct"/>
            <w:tcBorders>
              <w:top w:val="single" w:sz="5" w:space="0" w:color="000000"/>
              <w:left w:val="single" w:sz="5" w:space="0" w:color="000000"/>
              <w:bottom w:val="single" w:sz="5" w:space="0" w:color="000000"/>
              <w:right w:val="single" w:sz="5" w:space="0" w:color="000000"/>
            </w:tcBorders>
          </w:tcPr>
          <w:p w14:paraId="11F87C7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r>
      <w:tr w:rsidR="00443399" w:rsidRPr="00B03B51" w14:paraId="18A5076A"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74C8FB5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Pamatdarbības peļņa (+)/zaudējumi (–)</w:t>
            </w:r>
          </w:p>
        </w:tc>
        <w:tc>
          <w:tcPr>
            <w:tcW w:w="257" w:type="pct"/>
            <w:tcBorders>
              <w:top w:val="single" w:sz="5" w:space="0" w:color="000000"/>
              <w:left w:val="single" w:sz="5" w:space="0" w:color="000000"/>
              <w:bottom w:val="single" w:sz="5" w:space="0" w:color="000000"/>
              <w:right w:val="single" w:sz="5" w:space="0" w:color="000000"/>
            </w:tcBorders>
          </w:tcPr>
          <w:p w14:paraId="5D5E938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104E0C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1D385F7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16B35A3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799968E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0D59DC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4B6932B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331" w:type="pct"/>
            <w:tcBorders>
              <w:top w:val="single" w:sz="5" w:space="0" w:color="000000"/>
              <w:left w:val="single" w:sz="5" w:space="0" w:color="000000"/>
              <w:bottom w:val="single" w:sz="5" w:space="0" w:color="000000"/>
              <w:right w:val="single" w:sz="5" w:space="0" w:color="000000"/>
            </w:tcBorders>
          </w:tcPr>
          <w:p w14:paraId="1DCB3B0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r>
      <w:tr w:rsidR="00443399" w:rsidRPr="00B03B51" w14:paraId="171A1B5E"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0E1A2F0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Kapitāla pieaugums (+)/zaudējumi (–)</w:t>
            </w:r>
          </w:p>
        </w:tc>
        <w:tc>
          <w:tcPr>
            <w:tcW w:w="257" w:type="pct"/>
            <w:tcBorders>
              <w:top w:val="single" w:sz="5" w:space="0" w:color="000000"/>
              <w:left w:val="single" w:sz="5" w:space="0" w:color="000000"/>
              <w:bottom w:val="single" w:sz="5" w:space="0" w:color="000000"/>
              <w:right w:val="single" w:sz="5" w:space="0" w:color="000000"/>
            </w:tcBorders>
          </w:tcPr>
          <w:p w14:paraId="1D89BD0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257" w:type="pct"/>
            <w:tcBorders>
              <w:top w:val="single" w:sz="5" w:space="0" w:color="000000"/>
              <w:left w:val="single" w:sz="5" w:space="0" w:color="000000"/>
              <w:bottom w:val="single" w:sz="5" w:space="0" w:color="000000"/>
              <w:right w:val="single" w:sz="5" w:space="0" w:color="000000"/>
            </w:tcBorders>
          </w:tcPr>
          <w:p w14:paraId="4825D84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6EE7567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3BEBF26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65C06D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22471D7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1D42CA7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331" w:type="pct"/>
            <w:tcBorders>
              <w:top w:val="single" w:sz="5" w:space="0" w:color="000000"/>
              <w:left w:val="single" w:sz="5" w:space="0" w:color="000000"/>
              <w:bottom w:val="single" w:sz="5" w:space="0" w:color="000000"/>
              <w:right w:val="single" w:sz="5" w:space="0" w:color="000000"/>
            </w:tcBorders>
          </w:tcPr>
          <w:p w14:paraId="265E9F8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491D78F3"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5F98902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VCB maksājums valdībai</w:t>
            </w:r>
          </w:p>
        </w:tc>
        <w:tc>
          <w:tcPr>
            <w:tcW w:w="257" w:type="pct"/>
            <w:tcBorders>
              <w:top w:val="single" w:sz="5" w:space="0" w:color="000000"/>
              <w:left w:val="single" w:sz="5" w:space="0" w:color="000000"/>
              <w:bottom w:val="single" w:sz="5" w:space="0" w:color="000000"/>
              <w:right w:val="single" w:sz="5" w:space="0" w:color="000000"/>
            </w:tcBorders>
          </w:tcPr>
          <w:p w14:paraId="7ADF32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5F9DC4D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4295CFD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085238A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555338B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74B31E6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16A2BE3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331" w:type="pct"/>
            <w:tcBorders>
              <w:top w:val="single" w:sz="5" w:space="0" w:color="000000"/>
              <w:left w:val="single" w:sz="5" w:space="0" w:color="000000"/>
              <w:bottom w:val="single" w:sz="5" w:space="0" w:color="000000"/>
              <w:right w:val="single" w:sz="5" w:space="0" w:color="000000"/>
            </w:tcBorders>
          </w:tcPr>
          <w:p w14:paraId="7C6851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5B6056D4"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0AB5E4D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Pārmaiņas rezervēs ieņēmumu paturēšanas dēļ*</w:t>
            </w:r>
          </w:p>
        </w:tc>
        <w:tc>
          <w:tcPr>
            <w:tcW w:w="257" w:type="pct"/>
            <w:tcBorders>
              <w:top w:val="single" w:sz="5" w:space="0" w:color="000000"/>
              <w:left w:val="single" w:sz="5" w:space="0" w:color="000000"/>
              <w:bottom w:val="single" w:sz="5" w:space="0" w:color="000000"/>
              <w:right w:val="single" w:sz="5" w:space="0" w:color="000000"/>
            </w:tcBorders>
          </w:tcPr>
          <w:p w14:paraId="7F17AD9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257" w:type="pct"/>
            <w:tcBorders>
              <w:top w:val="single" w:sz="5" w:space="0" w:color="000000"/>
              <w:left w:val="single" w:sz="5" w:space="0" w:color="000000"/>
              <w:bottom w:val="single" w:sz="5" w:space="0" w:color="000000"/>
              <w:right w:val="single" w:sz="5" w:space="0" w:color="000000"/>
            </w:tcBorders>
          </w:tcPr>
          <w:p w14:paraId="4A6A81B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73004FC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6E018BD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257" w:type="pct"/>
            <w:tcBorders>
              <w:top w:val="single" w:sz="5" w:space="0" w:color="000000"/>
              <w:left w:val="single" w:sz="5" w:space="0" w:color="000000"/>
              <w:bottom w:val="single" w:sz="5" w:space="0" w:color="000000"/>
              <w:right w:val="single" w:sz="5" w:space="0" w:color="000000"/>
            </w:tcBorders>
          </w:tcPr>
          <w:p w14:paraId="4C5F7FD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06B7496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257" w:type="pct"/>
            <w:tcBorders>
              <w:top w:val="single" w:sz="5" w:space="0" w:color="000000"/>
              <w:left w:val="single" w:sz="5" w:space="0" w:color="000000"/>
              <w:bottom w:val="single" w:sz="5" w:space="0" w:color="000000"/>
              <w:right w:val="single" w:sz="5" w:space="0" w:color="000000"/>
            </w:tcBorders>
          </w:tcPr>
          <w:p w14:paraId="408690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331" w:type="pct"/>
            <w:tcBorders>
              <w:top w:val="single" w:sz="5" w:space="0" w:color="000000"/>
              <w:left w:val="single" w:sz="5" w:space="0" w:color="000000"/>
              <w:bottom w:val="single" w:sz="5" w:space="0" w:color="000000"/>
              <w:right w:val="single" w:sz="5" w:space="0" w:color="000000"/>
            </w:tcBorders>
          </w:tcPr>
          <w:p w14:paraId="055650A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r>
      <w:tr w:rsidR="00443399" w:rsidRPr="00B03B51" w14:paraId="067F3E90"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19EFE626" w14:textId="77777777" w:rsidR="00443399" w:rsidRPr="00B03B51" w:rsidRDefault="00443399" w:rsidP="0054365B">
            <w:pPr>
              <w:pStyle w:val="TableParagraph"/>
              <w:jc w:val="both"/>
              <w:rPr>
                <w:rFonts w:ascii="Times New Roman" w:hAnsi="Times New Roman" w:cs="Times New Roman"/>
                <w:b/>
                <w:noProof/>
                <w:sz w:val="24"/>
              </w:rPr>
            </w:pPr>
            <w:r w:rsidRPr="00B03B51">
              <w:rPr>
                <w:rFonts w:ascii="Times New Roman" w:hAnsi="Times New Roman" w:cs="Times New Roman"/>
                <w:b/>
                <w:sz w:val="24"/>
              </w:rPr>
              <w:t>Ierakstīšana valdības kontos</w:t>
            </w:r>
          </w:p>
        </w:tc>
        <w:tc>
          <w:tcPr>
            <w:tcW w:w="257" w:type="pct"/>
            <w:tcBorders>
              <w:top w:val="single" w:sz="5" w:space="0" w:color="000000"/>
              <w:left w:val="single" w:sz="5" w:space="0" w:color="000000"/>
              <w:bottom w:val="single" w:sz="5" w:space="0" w:color="000000"/>
              <w:right w:val="single" w:sz="5" w:space="0" w:color="000000"/>
            </w:tcBorders>
          </w:tcPr>
          <w:p w14:paraId="235CFF32"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41B6EE44"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21DF7D06"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15CC0C40"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4FFEA826"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77859CC8"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5BDCA2D6" w14:textId="77777777" w:rsidR="00443399" w:rsidRPr="00B03B51" w:rsidRDefault="00443399" w:rsidP="0054365B">
            <w:pPr>
              <w:jc w:val="center"/>
              <w:rPr>
                <w:rFonts w:ascii="Times New Roman" w:hAnsi="Times New Roman" w:cs="Times New Roman"/>
                <w:noProof/>
                <w:sz w:val="24"/>
              </w:rPr>
            </w:pPr>
          </w:p>
        </w:tc>
        <w:tc>
          <w:tcPr>
            <w:tcW w:w="331" w:type="pct"/>
            <w:tcBorders>
              <w:top w:val="single" w:sz="5" w:space="0" w:color="000000"/>
              <w:left w:val="single" w:sz="5" w:space="0" w:color="000000"/>
              <w:bottom w:val="single" w:sz="5" w:space="0" w:color="000000"/>
              <w:right w:val="single" w:sz="5" w:space="0" w:color="000000"/>
            </w:tcBorders>
          </w:tcPr>
          <w:p w14:paraId="3A5FC116" w14:textId="77777777" w:rsidR="00443399" w:rsidRPr="00B03B51" w:rsidRDefault="00443399" w:rsidP="0054365B">
            <w:pPr>
              <w:jc w:val="center"/>
              <w:rPr>
                <w:rFonts w:ascii="Times New Roman" w:hAnsi="Times New Roman" w:cs="Times New Roman"/>
                <w:noProof/>
                <w:sz w:val="24"/>
              </w:rPr>
            </w:pPr>
          </w:p>
        </w:tc>
      </w:tr>
      <w:tr w:rsidR="00443399" w:rsidRPr="00B03B51" w14:paraId="0A54D1AB"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5A8FDE6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Saņemtais D.4R īpašuma ienākums</w:t>
            </w:r>
          </w:p>
        </w:tc>
        <w:tc>
          <w:tcPr>
            <w:tcW w:w="257" w:type="pct"/>
            <w:tcBorders>
              <w:top w:val="single" w:sz="5" w:space="0" w:color="000000"/>
              <w:left w:val="single" w:sz="5" w:space="0" w:color="000000"/>
              <w:bottom w:val="single" w:sz="5" w:space="0" w:color="000000"/>
              <w:right w:val="single" w:sz="5" w:space="0" w:color="000000"/>
            </w:tcBorders>
          </w:tcPr>
          <w:p w14:paraId="5C54B35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387116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656D9D8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39425A8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4197D6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7902E34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7ED559E7" w14:textId="77777777" w:rsidR="00443399" w:rsidRPr="00B03B51" w:rsidRDefault="00443399" w:rsidP="0054365B">
            <w:pPr>
              <w:jc w:val="center"/>
              <w:rPr>
                <w:rFonts w:ascii="Times New Roman" w:hAnsi="Times New Roman" w:cs="Times New Roman"/>
                <w:noProof/>
                <w:sz w:val="24"/>
              </w:rPr>
            </w:pPr>
          </w:p>
        </w:tc>
        <w:tc>
          <w:tcPr>
            <w:tcW w:w="331" w:type="pct"/>
            <w:tcBorders>
              <w:top w:val="single" w:sz="5" w:space="0" w:color="000000"/>
              <w:left w:val="single" w:sz="5" w:space="0" w:color="000000"/>
              <w:bottom w:val="single" w:sz="5" w:space="0" w:color="000000"/>
              <w:right w:val="single" w:sz="5" w:space="0" w:color="000000"/>
            </w:tcBorders>
          </w:tcPr>
          <w:p w14:paraId="59E6E7BB" w14:textId="77777777" w:rsidR="00443399" w:rsidRPr="00B03B51" w:rsidRDefault="00443399" w:rsidP="0054365B">
            <w:pPr>
              <w:jc w:val="center"/>
              <w:rPr>
                <w:rFonts w:ascii="Times New Roman" w:hAnsi="Times New Roman" w:cs="Times New Roman"/>
                <w:noProof/>
                <w:sz w:val="24"/>
              </w:rPr>
            </w:pPr>
          </w:p>
        </w:tc>
      </w:tr>
      <w:tr w:rsidR="00443399" w:rsidRPr="00B03B51" w14:paraId="55415B5F"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72FC53B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Ietekme uz B.9 neto aizdevumu (+)</w:t>
            </w:r>
          </w:p>
        </w:tc>
        <w:tc>
          <w:tcPr>
            <w:tcW w:w="257" w:type="pct"/>
            <w:tcBorders>
              <w:top w:val="single" w:sz="5" w:space="0" w:color="000000"/>
              <w:left w:val="single" w:sz="5" w:space="0" w:color="000000"/>
              <w:bottom w:val="single" w:sz="5" w:space="0" w:color="000000"/>
              <w:right w:val="single" w:sz="5" w:space="0" w:color="000000"/>
            </w:tcBorders>
          </w:tcPr>
          <w:p w14:paraId="5523FE4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60DEB43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5AB3CA2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3E5F8B9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727B13F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tc>
        <w:tc>
          <w:tcPr>
            <w:tcW w:w="257" w:type="pct"/>
            <w:tcBorders>
              <w:top w:val="single" w:sz="5" w:space="0" w:color="000000"/>
              <w:left w:val="single" w:sz="5" w:space="0" w:color="000000"/>
              <w:bottom w:val="single" w:sz="5" w:space="0" w:color="000000"/>
              <w:right w:val="single" w:sz="5" w:space="0" w:color="000000"/>
            </w:tcBorders>
          </w:tcPr>
          <w:p w14:paraId="76BAE5F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7B143353" w14:textId="77777777" w:rsidR="00443399" w:rsidRPr="00B03B51" w:rsidRDefault="00443399" w:rsidP="0054365B">
            <w:pPr>
              <w:jc w:val="center"/>
              <w:rPr>
                <w:rFonts w:ascii="Times New Roman" w:hAnsi="Times New Roman" w:cs="Times New Roman"/>
                <w:noProof/>
                <w:sz w:val="24"/>
              </w:rPr>
            </w:pPr>
          </w:p>
        </w:tc>
        <w:tc>
          <w:tcPr>
            <w:tcW w:w="331" w:type="pct"/>
            <w:tcBorders>
              <w:top w:val="single" w:sz="5" w:space="0" w:color="000000"/>
              <w:left w:val="single" w:sz="5" w:space="0" w:color="000000"/>
              <w:bottom w:val="single" w:sz="5" w:space="0" w:color="000000"/>
              <w:right w:val="single" w:sz="5" w:space="0" w:color="000000"/>
            </w:tcBorders>
          </w:tcPr>
          <w:p w14:paraId="51020331" w14:textId="77777777" w:rsidR="00443399" w:rsidRPr="00B03B51" w:rsidRDefault="00443399" w:rsidP="0054365B">
            <w:pPr>
              <w:jc w:val="center"/>
              <w:rPr>
                <w:rFonts w:ascii="Times New Roman" w:hAnsi="Times New Roman" w:cs="Times New Roman"/>
                <w:noProof/>
                <w:sz w:val="24"/>
              </w:rPr>
            </w:pPr>
          </w:p>
        </w:tc>
      </w:tr>
      <w:tr w:rsidR="00443399" w:rsidRPr="00B03B51" w14:paraId="752EFDD6"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475B2CE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Pašu kapitāla iegāde F.5 A</w:t>
            </w:r>
          </w:p>
        </w:tc>
        <w:tc>
          <w:tcPr>
            <w:tcW w:w="257" w:type="pct"/>
            <w:tcBorders>
              <w:top w:val="single" w:sz="5" w:space="0" w:color="000000"/>
              <w:left w:val="single" w:sz="5" w:space="0" w:color="000000"/>
              <w:bottom w:val="single" w:sz="5" w:space="0" w:color="000000"/>
              <w:right w:val="single" w:sz="5" w:space="0" w:color="000000"/>
            </w:tcBorders>
          </w:tcPr>
          <w:p w14:paraId="0FD7124F"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48E6197F"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3E6CEAD6"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7379FB71"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29B006E1"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61049DB5"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09231CE5" w14:textId="77777777" w:rsidR="00443399" w:rsidRPr="00B03B51" w:rsidRDefault="00443399" w:rsidP="0054365B">
            <w:pPr>
              <w:jc w:val="center"/>
              <w:rPr>
                <w:rFonts w:ascii="Times New Roman" w:hAnsi="Times New Roman" w:cs="Times New Roman"/>
                <w:noProof/>
                <w:sz w:val="24"/>
              </w:rPr>
            </w:pPr>
          </w:p>
        </w:tc>
        <w:tc>
          <w:tcPr>
            <w:tcW w:w="331" w:type="pct"/>
            <w:tcBorders>
              <w:top w:val="single" w:sz="5" w:space="0" w:color="000000"/>
              <w:left w:val="single" w:sz="5" w:space="0" w:color="000000"/>
              <w:bottom w:val="single" w:sz="5" w:space="0" w:color="000000"/>
              <w:right w:val="single" w:sz="5" w:space="0" w:color="000000"/>
            </w:tcBorders>
          </w:tcPr>
          <w:p w14:paraId="23184580" w14:textId="77777777" w:rsidR="00443399" w:rsidRPr="00B03B51" w:rsidRDefault="00443399" w:rsidP="0054365B">
            <w:pPr>
              <w:jc w:val="center"/>
              <w:rPr>
                <w:rFonts w:ascii="Times New Roman" w:hAnsi="Times New Roman" w:cs="Times New Roman"/>
                <w:noProof/>
                <w:sz w:val="24"/>
              </w:rPr>
            </w:pPr>
          </w:p>
        </w:tc>
      </w:tr>
      <w:tr w:rsidR="00443399" w:rsidRPr="00B03B51" w14:paraId="35FD4B29"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26CCFFB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lastRenderedPageBreak/>
              <w:t>Pašu kapitāla izņemšana F.5 A</w:t>
            </w:r>
          </w:p>
        </w:tc>
        <w:tc>
          <w:tcPr>
            <w:tcW w:w="257" w:type="pct"/>
            <w:tcBorders>
              <w:top w:val="single" w:sz="5" w:space="0" w:color="000000"/>
              <w:left w:val="single" w:sz="5" w:space="0" w:color="000000"/>
              <w:bottom w:val="single" w:sz="5" w:space="0" w:color="000000"/>
              <w:right w:val="single" w:sz="5" w:space="0" w:color="000000"/>
            </w:tcBorders>
          </w:tcPr>
          <w:p w14:paraId="217BDF63"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283597C2"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2B0BA932"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7966B415"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7417906C"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470C76B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44344C7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331" w:type="pct"/>
            <w:tcBorders>
              <w:top w:val="single" w:sz="5" w:space="0" w:color="000000"/>
              <w:left w:val="single" w:sz="5" w:space="0" w:color="000000"/>
              <w:bottom w:val="single" w:sz="5" w:space="0" w:color="000000"/>
              <w:right w:val="single" w:sz="5" w:space="0" w:color="000000"/>
            </w:tcBorders>
          </w:tcPr>
          <w:p w14:paraId="2565305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r>
      <w:tr w:rsidR="00443399" w:rsidRPr="00B03B51" w14:paraId="4B2508C5" w14:textId="77777777" w:rsidTr="00422349">
        <w:tc>
          <w:tcPr>
            <w:tcW w:w="2868" w:type="pct"/>
            <w:tcBorders>
              <w:top w:val="single" w:sz="5" w:space="0" w:color="000000"/>
              <w:left w:val="single" w:sz="5" w:space="0" w:color="000000"/>
              <w:bottom w:val="single" w:sz="5" w:space="0" w:color="000000"/>
              <w:right w:val="single" w:sz="5" w:space="0" w:color="000000"/>
            </w:tcBorders>
          </w:tcPr>
          <w:p w14:paraId="5139228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Turēšanas guvums (+) zaudējumi (–) F.5 A</w:t>
            </w:r>
          </w:p>
        </w:tc>
        <w:tc>
          <w:tcPr>
            <w:tcW w:w="257" w:type="pct"/>
            <w:tcBorders>
              <w:top w:val="single" w:sz="5" w:space="0" w:color="000000"/>
              <w:left w:val="single" w:sz="5" w:space="0" w:color="000000"/>
              <w:bottom w:val="single" w:sz="5" w:space="0" w:color="000000"/>
              <w:right w:val="single" w:sz="5" w:space="0" w:color="000000"/>
            </w:tcBorders>
          </w:tcPr>
          <w:p w14:paraId="17EEB5EB" w14:textId="77777777" w:rsidR="00443399" w:rsidRPr="00B03B51" w:rsidRDefault="00443399" w:rsidP="0054365B">
            <w:pPr>
              <w:jc w:val="center"/>
              <w:rPr>
                <w:rFonts w:ascii="Times New Roman" w:hAnsi="Times New Roman" w:cs="Times New Roman"/>
                <w:noProof/>
                <w:sz w:val="24"/>
              </w:rPr>
            </w:pPr>
          </w:p>
        </w:tc>
        <w:tc>
          <w:tcPr>
            <w:tcW w:w="257" w:type="pct"/>
            <w:tcBorders>
              <w:top w:val="single" w:sz="5" w:space="0" w:color="000000"/>
              <w:left w:val="single" w:sz="5" w:space="0" w:color="000000"/>
              <w:bottom w:val="single" w:sz="5" w:space="0" w:color="000000"/>
              <w:right w:val="single" w:sz="5" w:space="0" w:color="000000"/>
            </w:tcBorders>
          </w:tcPr>
          <w:p w14:paraId="3BC5AB2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294496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100</w:t>
            </w:r>
          </w:p>
        </w:tc>
        <w:tc>
          <w:tcPr>
            <w:tcW w:w="257" w:type="pct"/>
            <w:tcBorders>
              <w:top w:val="single" w:sz="5" w:space="0" w:color="000000"/>
              <w:left w:val="single" w:sz="5" w:space="0" w:color="000000"/>
              <w:bottom w:val="single" w:sz="5" w:space="0" w:color="000000"/>
              <w:right w:val="single" w:sz="5" w:space="0" w:color="000000"/>
            </w:tcBorders>
          </w:tcPr>
          <w:p w14:paraId="4754F63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tc>
        <w:tc>
          <w:tcPr>
            <w:tcW w:w="257" w:type="pct"/>
            <w:tcBorders>
              <w:top w:val="single" w:sz="5" w:space="0" w:color="000000"/>
              <w:left w:val="single" w:sz="5" w:space="0" w:color="000000"/>
              <w:bottom w:val="single" w:sz="5" w:space="0" w:color="000000"/>
              <w:right w:val="single" w:sz="5" w:space="0" w:color="000000"/>
            </w:tcBorders>
          </w:tcPr>
          <w:p w14:paraId="21774D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78D2578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257" w:type="pct"/>
            <w:tcBorders>
              <w:top w:val="single" w:sz="5" w:space="0" w:color="000000"/>
              <w:left w:val="single" w:sz="5" w:space="0" w:color="000000"/>
              <w:bottom w:val="single" w:sz="5" w:space="0" w:color="000000"/>
              <w:right w:val="single" w:sz="5" w:space="0" w:color="000000"/>
            </w:tcBorders>
          </w:tcPr>
          <w:p w14:paraId="38750EB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c>
          <w:tcPr>
            <w:tcW w:w="331" w:type="pct"/>
            <w:tcBorders>
              <w:top w:val="single" w:sz="5" w:space="0" w:color="000000"/>
              <w:left w:val="single" w:sz="5" w:space="0" w:color="000000"/>
              <w:bottom w:val="single" w:sz="5" w:space="0" w:color="000000"/>
              <w:right w:val="single" w:sz="5" w:space="0" w:color="000000"/>
            </w:tcBorders>
          </w:tcPr>
          <w:p w14:paraId="7DC35F1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w:t>
            </w:r>
          </w:p>
        </w:tc>
      </w:tr>
    </w:tbl>
    <w:p w14:paraId="66CE459B" w14:textId="77777777" w:rsidR="00443399" w:rsidRPr="00B03B51" w:rsidRDefault="00443399" w:rsidP="00443399">
      <w:pPr>
        <w:jc w:val="both"/>
        <w:rPr>
          <w:rFonts w:ascii="Times New Roman" w:hAnsi="Times New Roman" w:cs="Times New Roman"/>
          <w:noProof/>
          <w:sz w:val="20"/>
          <w:szCs w:val="18"/>
        </w:rPr>
      </w:pPr>
      <w:r w:rsidRPr="00B03B51">
        <w:rPr>
          <w:rFonts w:ascii="Times New Roman" w:hAnsi="Times New Roman" w:cs="Times New Roman"/>
          <w:sz w:val="20"/>
          <w:szCs w:val="18"/>
        </w:rPr>
        <w:t>* Šajos piemēros nav ņemtas vērā izmaiņas rezervēs, kas radušās citu iemeslu dēļ (likumīgās un īpašam nolūkam paredzētās rezervēs).</w:t>
      </w:r>
    </w:p>
    <w:p w14:paraId="1251358F" w14:textId="77777777" w:rsidR="00443399" w:rsidRPr="00B03B51" w:rsidRDefault="00443399" w:rsidP="00443399">
      <w:pPr>
        <w:jc w:val="both"/>
        <w:rPr>
          <w:rFonts w:ascii="Times New Roman" w:eastAsia="Arial" w:hAnsi="Times New Roman" w:cs="Times New Roman"/>
          <w:noProof/>
          <w:sz w:val="24"/>
          <w:szCs w:val="18"/>
        </w:rPr>
      </w:pPr>
    </w:p>
    <w:p w14:paraId="50807827"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3. tabula. Centrālās bankas peļņas un zaudējumu pārskats</w:t>
      </w:r>
    </w:p>
    <w:p w14:paraId="6B8E5BC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F6341B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3. tabulā ir attēloti tādas centrālās bankas publicētie peļņas un zaudējumu pārskati, kura piemēro Eirosistēmas grāmatvedības noteikumus.</w:t>
      </w:r>
    </w:p>
    <w:p w14:paraId="2DDE2A9C" w14:textId="77777777" w:rsidR="00443399" w:rsidRPr="00B03B51" w:rsidRDefault="00443399" w:rsidP="00443399">
      <w:pPr>
        <w:jc w:val="both"/>
        <w:rPr>
          <w:rFonts w:ascii="Times New Roman" w:eastAsia="Arial" w:hAnsi="Times New Roman" w:cs="Times New Roman"/>
          <w:noProof/>
          <w:sz w:val="24"/>
          <w:szCs w:val="8"/>
        </w:rPr>
      </w:pPr>
    </w:p>
    <w:tbl>
      <w:tblPr>
        <w:tblW w:w="5000" w:type="pct"/>
        <w:tblCellMar>
          <w:top w:w="28" w:type="dxa"/>
          <w:left w:w="28" w:type="dxa"/>
          <w:bottom w:w="28" w:type="dxa"/>
          <w:right w:w="28" w:type="dxa"/>
        </w:tblCellMar>
        <w:tblLook w:val="01E0" w:firstRow="1" w:lastRow="1" w:firstColumn="1" w:lastColumn="1" w:noHBand="0" w:noVBand="0"/>
      </w:tblPr>
      <w:tblGrid>
        <w:gridCol w:w="9059"/>
      </w:tblGrid>
      <w:tr w:rsidR="00443399" w:rsidRPr="00B03B51" w14:paraId="31B354AD"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3F155D9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1.1. Procentu ienākumi</w:t>
            </w:r>
          </w:p>
        </w:tc>
      </w:tr>
      <w:tr w:rsidR="00443399" w:rsidRPr="00B03B51" w14:paraId="4CBA9E6A"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47C431E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1.2. Procentu izdevumi</w:t>
            </w:r>
          </w:p>
        </w:tc>
      </w:tr>
      <w:tr w:rsidR="00443399" w:rsidRPr="00B03B51" w14:paraId="22C07DED"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2E5C374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 Neto procentu ienākumi</w:t>
            </w:r>
          </w:p>
        </w:tc>
      </w:tr>
      <w:tr w:rsidR="00443399" w:rsidRPr="00B03B51" w14:paraId="4C55D7E9"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4DABA13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2.1. Realizētie guvumi/zaudējumi no finanšu operācijām</w:t>
            </w:r>
          </w:p>
        </w:tc>
      </w:tr>
      <w:tr w:rsidR="00443399" w:rsidRPr="00B03B51" w14:paraId="4AD2084C"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1448E05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2.2. Finanšu aktīvu un uzkrājumu norakstīšana</w:t>
            </w:r>
          </w:p>
        </w:tc>
      </w:tr>
      <w:tr w:rsidR="00443399" w:rsidRPr="00B03B51" w14:paraId="51ADEB40"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76951E0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2.3. Pārskaitījumi uzkrājumiem un no tiem atbilstīgi ārvalstu valūtas kursam, procentu likme, kredīta un zelta likmes riskiem</w:t>
            </w:r>
          </w:p>
        </w:tc>
      </w:tr>
      <w:tr w:rsidR="00443399" w:rsidRPr="00B03B51" w14:paraId="27A1AAA5"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1826E81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2. Finanšu operāciju, norakstījumu un riska uzkrājumu neto rezultāts</w:t>
            </w:r>
          </w:p>
        </w:tc>
      </w:tr>
      <w:tr w:rsidR="00443399" w:rsidRPr="00B03B51" w14:paraId="57DA84EF"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001C46F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3.1. Ienākumi no maksājumiem un komisijas maksām</w:t>
            </w:r>
          </w:p>
        </w:tc>
      </w:tr>
      <w:tr w:rsidR="00443399" w:rsidRPr="00B03B51" w14:paraId="00912EC0"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752AA88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3.2. Izdevumi par maksājumiem un komisijas maksām</w:t>
            </w:r>
          </w:p>
        </w:tc>
      </w:tr>
      <w:tr w:rsidR="00443399" w:rsidRPr="00B03B51" w14:paraId="1243AA70"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5CBB233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3. Maksājumu un komisijas maksu neto ienākumi/izdevumi</w:t>
            </w:r>
          </w:p>
        </w:tc>
      </w:tr>
      <w:tr w:rsidR="00443399" w:rsidRPr="00B03B51" w14:paraId="798E2380"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48EE505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4. Ienākumi no akcijām un līdzdalības daļām</w:t>
            </w:r>
          </w:p>
        </w:tc>
      </w:tr>
      <w:tr w:rsidR="00443399" w:rsidRPr="00B03B51" w14:paraId="397363B2"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5CF4E14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5. Monetārā ienākuma apvienošanas kopējā fondā neto rezultāts</w:t>
            </w:r>
          </w:p>
        </w:tc>
      </w:tr>
      <w:tr w:rsidR="00443399" w:rsidRPr="00B03B51" w14:paraId="7B2FDC26"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1AC463A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6. Citi ienākumi</w:t>
            </w:r>
          </w:p>
        </w:tc>
      </w:tr>
      <w:tr w:rsidR="00443399" w:rsidRPr="00B03B51" w14:paraId="698B612A"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761D9FE1" w14:textId="77777777" w:rsidR="00443399" w:rsidRPr="00B03B51" w:rsidRDefault="00443399" w:rsidP="0054365B">
            <w:pPr>
              <w:pStyle w:val="TableParagraph"/>
              <w:jc w:val="right"/>
              <w:rPr>
                <w:rFonts w:ascii="Times New Roman" w:hAnsi="Times New Roman" w:cs="Times New Roman"/>
                <w:b/>
                <w:noProof/>
                <w:sz w:val="24"/>
              </w:rPr>
            </w:pPr>
            <w:r w:rsidRPr="00B03B51">
              <w:rPr>
                <w:rFonts w:ascii="Times New Roman" w:hAnsi="Times New Roman" w:cs="Times New Roman"/>
                <w:b/>
                <w:sz w:val="24"/>
              </w:rPr>
              <w:t>Kopējais neto ienākums</w:t>
            </w:r>
          </w:p>
        </w:tc>
      </w:tr>
      <w:tr w:rsidR="00443399" w:rsidRPr="00B03B51" w14:paraId="6E4F9694"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231B6DC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7. Personāla izmaksas</w:t>
            </w:r>
          </w:p>
        </w:tc>
      </w:tr>
      <w:tr w:rsidR="00443399" w:rsidRPr="00B03B51" w14:paraId="73758DCB"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7E508E7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8. Administratīvie izdevumi</w:t>
            </w:r>
          </w:p>
        </w:tc>
      </w:tr>
      <w:tr w:rsidR="00443399" w:rsidRPr="00B03B51" w14:paraId="0C583165" w14:textId="77777777" w:rsidTr="00422349">
        <w:tc>
          <w:tcPr>
            <w:tcW w:w="5000" w:type="pct"/>
            <w:tcBorders>
              <w:top w:val="single" w:sz="5" w:space="0" w:color="000000"/>
              <w:left w:val="single" w:sz="5" w:space="0" w:color="000000"/>
              <w:bottom w:val="single" w:sz="5" w:space="0" w:color="000000"/>
              <w:right w:val="single" w:sz="5" w:space="0" w:color="000000"/>
            </w:tcBorders>
          </w:tcPr>
          <w:p w14:paraId="7FCD919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9. Materiālo un nemateriālo pamatlīdzekļu nolietojums</w:t>
            </w:r>
          </w:p>
        </w:tc>
      </w:tr>
      <w:tr w:rsidR="00443399" w:rsidRPr="00B03B51" w14:paraId="71B8C1CB" w14:textId="77777777" w:rsidTr="00422349">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14:paraId="2E6B9ED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10. Banknošu ražošanas pakalpojumi</w:t>
            </w:r>
          </w:p>
        </w:tc>
      </w:tr>
      <w:tr w:rsidR="00443399" w:rsidRPr="00B03B51" w14:paraId="16E7D7C2" w14:textId="77777777" w:rsidTr="00422349">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14:paraId="57EF6AF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11. Citi izdevumi</w:t>
            </w:r>
          </w:p>
        </w:tc>
      </w:tr>
      <w:tr w:rsidR="00443399" w:rsidRPr="00B03B51" w14:paraId="3C2AD922" w14:textId="77777777" w:rsidTr="00422349">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14:paraId="574CE645"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12. Ienākuma nodoklis un citi maksājumi valstij par ienākumiem</w:t>
            </w:r>
          </w:p>
        </w:tc>
      </w:tr>
      <w:tr w:rsidR="00443399" w:rsidRPr="00B03B51" w14:paraId="5DB27EC3" w14:textId="77777777" w:rsidTr="00422349">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14:paraId="52D8AEB0" w14:textId="77777777" w:rsidR="00443399" w:rsidRPr="00B03B51" w:rsidRDefault="00443399" w:rsidP="0054365B">
            <w:pPr>
              <w:pStyle w:val="TableParagraph"/>
              <w:jc w:val="right"/>
              <w:rPr>
                <w:rFonts w:ascii="Times New Roman" w:hAnsi="Times New Roman" w:cs="Times New Roman"/>
                <w:b/>
                <w:noProof/>
                <w:sz w:val="24"/>
              </w:rPr>
            </w:pPr>
            <w:r w:rsidRPr="00B03B51">
              <w:rPr>
                <w:rFonts w:ascii="Times New Roman" w:hAnsi="Times New Roman" w:cs="Times New Roman"/>
                <w:b/>
                <w:sz w:val="24"/>
              </w:rPr>
              <w:t>Gada (zaudējumi)/peļņa</w:t>
            </w:r>
          </w:p>
        </w:tc>
      </w:tr>
    </w:tbl>
    <w:p w14:paraId="23B5DD1A" w14:textId="77777777" w:rsidR="00443399" w:rsidRPr="00B03B51" w:rsidRDefault="00443399" w:rsidP="00443399">
      <w:pPr>
        <w:jc w:val="both"/>
        <w:rPr>
          <w:rFonts w:ascii="Times New Roman" w:eastAsia="Arial" w:hAnsi="Times New Roman" w:cs="Times New Roman"/>
          <w:noProof/>
          <w:sz w:val="24"/>
          <w:szCs w:val="14"/>
        </w:rPr>
      </w:pPr>
    </w:p>
    <w:p w14:paraId="12EFF54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Pamatdarbības peļņu/zaudējumus parasti var aprēķināt, atņemot peļņas un zaudējumu pārskata 2. posteni “Finanšu operāciju, norakstījumu un riska uzkrājumu neto rezultāts” no gada kopējās peļņas/zaudējumiem, iegūstot pamatdarbības peļņu/zaudējumus, kā arī atņemot visus pārējos 2. postenī neierakstītos uzkrājumus un rezerves, jo nav iespējams pilnīgi izslēgt, izņemot 2. posteni, ka arī citi centrālās bankas peļņas un zaudējumu pārskata posteņi nesatur uzkrājumus un rezerves (piemēram, 5. postenis). Arī šādi uzkrājumi un rezerves ir jāatņem no kopējās peļņas/zaudējumiem, lai iegūtu pamatdarbības peļņu/zaudējumus.</w:t>
      </w:r>
    </w:p>
    <w:p w14:paraId="1AA08B0B" w14:textId="77777777" w:rsidR="00443399" w:rsidRPr="00B03B51" w:rsidRDefault="00443399" w:rsidP="00443399">
      <w:pPr>
        <w:jc w:val="both"/>
        <w:rPr>
          <w:rFonts w:ascii="Times New Roman" w:eastAsia="Arial" w:hAnsi="Times New Roman" w:cs="Times New Roman"/>
          <w:noProof/>
          <w:sz w:val="24"/>
          <w:szCs w:val="19"/>
        </w:rPr>
      </w:pPr>
    </w:p>
    <w:p w14:paraId="1C02E2F7" w14:textId="77777777" w:rsidR="00443399" w:rsidRPr="00B03B51" w:rsidRDefault="00443399" w:rsidP="000F6153">
      <w:pPr>
        <w:pStyle w:val="Heading3"/>
        <w:keepNext/>
        <w:tabs>
          <w:tab w:val="left" w:pos="1267"/>
        </w:tabs>
        <w:ind w:left="0" w:firstLine="0"/>
        <w:jc w:val="both"/>
        <w:rPr>
          <w:rFonts w:ascii="Times New Roman" w:hAnsi="Times New Roman" w:cs="Times New Roman"/>
          <w:noProof/>
          <w:sz w:val="24"/>
        </w:rPr>
      </w:pPr>
      <w:bookmarkStart w:id="319" w:name="4.2.5_Annex:_Bookkeeping_in_central_bank"/>
      <w:bookmarkStart w:id="320" w:name="_Toc67565123"/>
      <w:bookmarkEnd w:id="319"/>
      <w:r w:rsidRPr="00B03B51">
        <w:rPr>
          <w:rFonts w:ascii="Times New Roman" w:hAnsi="Times New Roman" w:cs="Times New Roman"/>
          <w:sz w:val="24"/>
        </w:rPr>
        <w:lastRenderedPageBreak/>
        <w:t>4.2.5. Pielikums. Grāmatvedība centrālajās bankās</w:t>
      </w:r>
      <w:bookmarkEnd w:id="320"/>
    </w:p>
    <w:p w14:paraId="35C9D986" w14:textId="77777777" w:rsidR="00443399" w:rsidRPr="00186A44" w:rsidRDefault="00443399" w:rsidP="000F6153">
      <w:pPr>
        <w:keepNext/>
        <w:rPr>
          <w:rFonts w:ascii="Times New Roman" w:hAnsi="Times New Roman" w:cs="Times New Roman"/>
          <w:noProof/>
          <w:sz w:val="24"/>
          <w:szCs w:val="24"/>
        </w:rPr>
      </w:pPr>
      <w:bookmarkStart w:id="321" w:name="4.2.5.1_Introduction"/>
      <w:bookmarkEnd w:id="321"/>
    </w:p>
    <w:p w14:paraId="1BAAC193" w14:textId="77777777" w:rsidR="00443399" w:rsidRPr="00B03B51" w:rsidRDefault="00443399" w:rsidP="000F6153">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4.2.5.1. IEVADS</w:t>
      </w:r>
    </w:p>
    <w:p w14:paraId="00D0DA5B" w14:textId="77777777" w:rsidR="00443399" w:rsidRPr="00B03B51" w:rsidRDefault="00443399" w:rsidP="000F6153">
      <w:pPr>
        <w:pStyle w:val="BodyText"/>
        <w:keepNext/>
        <w:tabs>
          <w:tab w:val="left" w:pos="843"/>
        </w:tabs>
        <w:spacing w:before="0"/>
        <w:ind w:left="0" w:firstLine="0"/>
        <w:jc w:val="both"/>
        <w:rPr>
          <w:rFonts w:ascii="Times New Roman" w:hAnsi="Times New Roman" w:cs="Times New Roman"/>
          <w:noProof/>
          <w:sz w:val="24"/>
        </w:rPr>
      </w:pPr>
    </w:p>
    <w:p w14:paraId="67558024" w14:textId="77777777" w:rsidR="00443399" w:rsidRPr="00B03B51" w:rsidRDefault="00443399" w:rsidP="000F6153">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Pēc eirozonas izveides Eiropas Centrālo banku sistēma (ECBS) ir saskaņojusi savu uzskaites praksi visos centrālo banku darbības pasākumos saistībā ar Eirosistēmas finanšu pārskatiem. Saskaņošanas noteikumi ir izklāstīti ECB 2010. gada 11. novembra pamatnostādnēs par Eiropas Centrālo banku sistēmas tiesisko regulējumu un finanšu pārskatiem (ECB/2010/20) un grozošajās ECB 2012. gada 10. decembra pamatnostādnēs (ECB/2012/29).</w:t>
      </w:r>
    </w:p>
    <w:p w14:paraId="5621CF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A329D2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16. ECB pamatnostādnes ir juridiski saistošas eirozonas VCB (Eirosistēmai), taču lielākā daļa tajā neietilpstošo ES dalībvalstu VCB arī ir saskaņojušas savu praksi ar pamatnostādnēm, tādējādi gatavojoties iespējamai </w:t>
      </w:r>
      <w:r w:rsidRPr="00B03B51">
        <w:rPr>
          <w:rFonts w:ascii="Times New Roman" w:hAnsi="Times New Roman" w:cs="Times New Roman"/>
          <w:i/>
          <w:iCs/>
          <w:sz w:val="24"/>
        </w:rPr>
        <w:t>euro</w:t>
      </w:r>
      <w:r w:rsidRPr="00B03B51">
        <w:rPr>
          <w:rFonts w:ascii="Times New Roman" w:hAnsi="Times New Roman" w:cs="Times New Roman"/>
          <w:sz w:val="24"/>
        </w:rPr>
        <w:t xml:space="preserve"> ieviešanai. Pamatnostādnes nav obligātas attiecībā uz dažiem posteņiem (“Citi aktīvi”), attiecībā uz kuriem noteikumiem ir tikai ieteikuma raksturs. Gadījumos, kad kāds postenis nav apspriests pamatnostādnēs, centrālās bankas rīkojas saskaņā ar starptautiskajiem finanšu standartiem vai valsts tiesību aktiem.</w:t>
      </w:r>
    </w:p>
    <w:p w14:paraId="32C3A3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66EF57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Ieviešot iepriekš minētās ECB pamatnostādnes, tika saskaņots ienākumu un zaudējumu uzskaites traktējums Eirosistēmā. Tomēr iepriekš minētās pamatnostādnes nenosaka VCB peļņas sadali, jo šo jautājumu reglamentē valsts tiesību akti vai līgums ar finanšu ministriju, un šie nosacījumi katrā valstī joprojām ievērojami atšķiras.</w:t>
      </w:r>
    </w:p>
    <w:p w14:paraId="39CCA157" w14:textId="77777777" w:rsidR="00443399" w:rsidRPr="00B03B51" w:rsidRDefault="00443399" w:rsidP="00443399">
      <w:pPr>
        <w:jc w:val="both"/>
        <w:rPr>
          <w:rFonts w:ascii="Times New Roman" w:eastAsia="Arial" w:hAnsi="Times New Roman" w:cs="Times New Roman"/>
          <w:noProof/>
          <w:sz w:val="24"/>
          <w:szCs w:val="15"/>
        </w:rPr>
      </w:pPr>
    </w:p>
    <w:p w14:paraId="7A5653C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22" w:name="4.2.5.2_Recording_capital_gains/losses"/>
      <w:bookmarkEnd w:id="322"/>
      <w:r w:rsidRPr="00B03B51">
        <w:rPr>
          <w:rFonts w:ascii="Times New Roman" w:hAnsi="Times New Roman" w:cs="Times New Roman"/>
          <w:sz w:val="24"/>
        </w:rPr>
        <w:t>4.2.5.2. KAPITĀLA PIEAUGUMA/ZAUDĒJUMU IERAKSTĪŠANA</w:t>
      </w:r>
    </w:p>
    <w:p w14:paraId="5CD8FC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6C88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Realizētie ienākumi vai zaudējumi rodas, tiklīdz tiek pārdoti finanšu aktīvi, savukārt nerealizētos ienākumus vai zaudējumus rada finanšu aktīvu saglabāšana grāmatvedības uzskaitē un to pārvērtēšana. Šajā pielikumā ir aplūkots, pirmkārt, gan realizēto, gan nerealizēto guvumu un zaudējumu traktējums Eirosistēmas grāmatvedībā un, otrkārt, pastāvošā prakse attiecībā uz ES VCB peļņas sadali. Izmantotie Eirosistēmas uzskaites jēdzieni var neatbilst nacionālajos kontos izmantotajiem formulējumiem (piemēram, ienākumi).</w:t>
      </w:r>
    </w:p>
    <w:p w14:paraId="5DCE1B6E" w14:textId="77777777" w:rsidR="00443399" w:rsidRPr="00BE27DC" w:rsidRDefault="00443399" w:rsidP="00BE27DC">
      <w:pPr>
        <w:rPr>
          <w:rFonts w:ascii="Times New Roman" w:hAnsi="Times New Roman" w:cs="Times New Roman"/>
          <w:noProof/>
          <w:sz w:val="24"/>
          <w:szCs w:val="24"/>
        </w:rPr>
      </w:pPr>
      <w:bookmarkStart w:id="323" w:name="4.2.5.2.1._Income_recognition_and_balanc"/>
      <w:bookmarkEnd w:id="323"/>
    </w:p>
    <w:p w14:paraId="46FF264C"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4.2.5.2.1. Eirosistēmas noteikumi attiecībā uz ienākumu atzīšanu un bilances novērtēšanu</w:t>
      </w:r>
    </w:p>
    <w:p w14:paraId="456D1B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C710A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Ienākumu atzīšanas un bilances novērtēšanas noteikumu pamatā ir piesardzīga uzskaites pieeja, kurā nerealizētais kapitāla pieaugums netiek uzskatīts par ienākumiem (un līdz ar to netiek sadalīts). Piemēro šādus galvenos noteikumus:</w:t>
      </w:r>
    </w:p>
    <w:p w14:paraId="40D65F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B20A870" w14:textId="77777777" w:rsidR="00443399" w:rsidRPr="00B03B51" w:rsidRDefault="00443399" w:rsidP="00422349">
      <w:pPr>
        <w:pStyle w:val="BodyText"/>
        <w:numPr>
          <w:ilvl w:val="0"/>
          <w:numId w:val="6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realizētos guvumus un zaudējumus iekļauj peļņas un zaudējumu pārskatā;</w:t>
      </w:r>
    </w:p>
    <w:p w14:paraId="2EEACCEC" w14:textId="77777777" w:rsidR="00443399" w:rsidRPr="00B03B51" w:rsidRDefault="00443399" w:rsidP="00422349">
      <w:pPr>
        <w:pStyle w:val="BodyText"/>
        <w:numPr>
          <w:ilvl w:val="0"/>
          <w:numId w:val="6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nerealizētos guvumus neatzīst par ienākumiem peļņas un zaudējumu kontā, taču ieraksta bilancē pārvērtēšanas kontā;</w:t>
      </w:r>
    </w:p>
    <w:p w14:paraId="00C43382" w14:textId="77777777" w:rsidR="00443399" w:rsidRPr="00B03B51" w:rsidRDefault="00443399" w:rsidP="00422349">
      <w:pPr>
        <w:pStyle w:val="BodyText"/>
        <w:numPr>
          <w:ilvl w:val="0"/>
          <w:numId w:val="6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nerealizētos zaudējumus gada beigās iekļauj peļņas un zaudējumu pārskatā, ja tie pārsniedz pārvērtēšanas kontā reģistrētos iepriekšējos pārvērtēšanas ienākumus; peļņas un zaudējumu pārskatā iekļautos nerealizētos zaudējumus turpmākajos gados neapvērš, pamatojoties uz jauniem nerealizētajiem ienākumiem;</w:t>
      </w:r>
    </w:p>
    <w:p w14:paraId="01F8B76E" w14:textId="77777777" w:rsidR="00443399" w:rsidRPr="00B03B51" w:rsidRDefault="00443399" w:rsidP="00422349">
      <w:pPr>
        <w:pStyle w:val="BodyText"/>
        <w:numPr>
          <w:ilvl w:val="0"/>
          <w:numId w:val="68"/>
        </w:numPr>
        <w:tabs>
          <w:tab w:val="left" w:pos="1126"/>
        </w:tabs>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netiek veikts nekāds nerealizēto zaudējumu ieskaits jebkādā vērtspapīrā, valūtā vai zelta krājumos pret nerealizētajiem ienākumiem citos vērtspapīros, valūtā vai zeltā.</w:t>
      </w:r>
    </w:p>
    <w:p w14:paraId="3DA1A9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E0AA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Šie noteikumi attiecas uz zeltu, aktīviem un saistībām ārvalstu valūtā, tirgojamiem vērtspapīriem, kas nav līdz termiņa beigām turēti vērtspapīri, un tirgojamiem pašu kapitāla instrumentiem, kas nav dalības tiesības un netiek turēti kā pastāvīgi ieguldījumi, un </w:t>
      </w:r>
      <w:r w:rsidRPr="00B03B51">
        <w:rPr>
          <w:rFonts w:ascii="Times New Roman" w:hAnsi="Times New Roman" w:cs="Times New Roman"/>
          <w:sz w:val="24"/>
        </w:rPr>
        <w:lastRenderedPageBreak/>
        <w:t>ārpusbilances instrumentiem. Līdz termiņa beigām turēti vērtspapīri un netirgojami vērtspapīri tiek uzrādīti ar amortizētajām izmaksām atbilstīgi vērtības samazinājumam. Nelikvīdas pašu kapitāla daļas, dalības tiesības un citas kapitāla daļas, kas tiek turētas kā pastāvīgs ieguldījums, arī tiek novērtētas ar izmaksām atbilstīgi vērtības samazinājumam, savukārt aizdevumi tiek uzrādīti nominālvērtībā (vai ar izmaksām).</w:t>
      </w:r>
    </w:p>
    <w:p w14:paraId="2EEDC1F7" w14:textId="77777777" w:rsidR="00443399" w:rsidRPr="00BE27DC" w:rsidRDefault="00443399" w:rsidP="00BE27DC">
      <w:pPr>
        <w:rPr>
          <w:rFonts w:ascii="Times New Roman" w:hAnsi="Times New Roman" w:cs="Times New Roman"/>
          <w:noProof/>
          <w:sz w:val="24"/>
          <w:szCs w:val="24"/>
        </w:rPr>
      </w:pPr>
      <w:bookmarkStart w:id="324" w:name="4.2.5.2.2._Other_systems"/>
      <w:bookmarkEnd w:id="324"/>
    </w:p>
    <w:p w14:paraId="7236E1FE" w14:textId="77777777" w:rsidR="00443399" w:rsidRPr="00B03B51" w:rsidRDefault="00443399" w:rsidP="00BC7838">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4.2.5.2.2. Citas sistēmas</w:t>
      </w:r>
    </w:p>
    <w:p w14:paraId="3E88AF21" w14:textId="77777777" w:rsidR="00443399" w:rsidRPr="00B03B51" w:rsidRDefault="00443399" w:rsidP="00BC7838">
      <w:pPr>
        <w:pStyle w:val="BodyText"/>
        <w:tabs>
          <w:tab w:val="left" w:pos="843"/>
        </w:tabs>
        <w:spacing w:before="0"/>
        <w:ind w:left="0" w:firstLine="0"/>
        <w:jc w:val="both"/>
        <w:rPr>
          <w:rFonts w:ascii="Times New Roman" w:hAnsi="Times New Roman" w:cs="Times New Roman"/>
          <w:noProof/>
          <w:sz w:val="24"/>
        </w:rPr>
      </w:pPr>
    </w:p>
    <w:p w14:paraId="1CB3678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Tām valstu centrālajām bankām, kuras vēl nav ieviesušas ECBS pamatnostādnes, var būt pieejams arī bilances pārvērtēšanas postenis, kas ietver nerealizētos guvumus. Tomēr atsevišķos gadījumos visus novērtējamos ieņēmumus un zaudējumus uzskaita peļņas un zaudējumu pārskatā.</w:t>
      </w:r>
    </w:p>
    <w:p w14:paraId="29972DB0" w14:textId="77777777" w:rsidR="00443399" w:rsidRPr="00B03B51" w:rsidRDefault="00443399" w:rsidP="00443399">
      <w:pPr>
        <w:jc w:val="both"/>
        <w:rPr>
          <w:rFonts w:ascii="Times New Roman" w:eastAsia="Arial" w:hAnsi="Times New Roman" w:cs="Times New Roman"/>
          <w:noProof/>
          <w:sz w:val="24"/>
          <w:szCs w:val="15"/>
        </w:rPr>
      </w:pPr>
    </w:p>
    <w:p w14:paraId="27C080A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25" w:name="4.2.5.3_Recording_distribution_of_profit"/>
      <w:bookmarkEnd w:id="325"/>
      <w:r w:rsidRPr="00B03B51">
        <w:rPr>
          <w:rFonts w:ascii="Times New Roman" w:hAnsi="Times New Roman" w:cs="Times New Roman"/>
          <w:sz w:val="24"/>
        </w:rPr>
        <w:t>4.2.5.3. PEĻŅAS SADALES IERAKSTĪŠANA</w:t>
      </w:r>
    </w:p>
    <w:p w14:paraId="1F140D4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4D9C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Valdības parasti ir valstu centrālo banku galvenās akcionāres un attiecīgi arī galvenās to sadalītās peļņas saņēmējas. Tomēr noteikumi, saskaņā ar kuriem VCB peļņu sadala un izmaksā attiecīgajām valdībām, katrā ES dalībvalstī atšķiras, jo tos nosaka katrā valstī pastāvošā prakse.</w:t>
      </w:r>
    </w:p>
    <w:p w14:paraId="3F7CC0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EE9C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Lielākajā daļā gadījumu VCB peļņas izmaksa ir reglamentēta valsts tiesību aktos, taču dažos gadījumus peļņu sadala saskaņā ar centrālās bankas un Finanšu ministrijas līgumu. Gadījumā, kad valdība juridiski nav akcionāre, lielākā daļa VCB peļņas tiek nodota valdībai. Šajā gadījumā valdības ekonomiskās īpašumtiesības uz VCB nacionālajos kontos ir atzītas, ierakstot valdību kā “cita pašu kapitāla” turētāju VCB.</w:t>
      </w:r>
    </w:p>
    <w:p w14:paraId="7004BB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A8684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Akcionāriem izmaksātās peļņas apmērs ECBS atšķiras. Dažos gadījumus peļņu sadala vienādās daļās starp VCB un akcionāriem, savukārt citos gadījumos akcionāri (galvenokārt valdība) saņem lielāko daļu no tīrās peļņas. Dažas VCB sadala iepriekš noteiktu tīrās peļņas procentuālo daļu, savukārt citas VCB ierobežo peļņas sadali atkarībā no rezervju un uzkrājumu līmeņa.</w:t>
      </w:r>
    </w:p>
    <w:p w14:paraId="57B629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25FA0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Lai pasargātu sevi no ārvalstu valūtu maiņas kursa un procentu likmju riska, virkne VCB var novirzīt daļu peļņas uzkrājumos un rezervēs. Peļņas izmaksa valdībai ir asimetriska, jo peļņas gadījumā valdība saņem vismaz nepilnus maksājumus, savukārt zaudējumu gadījumā valdība ne vienmēr veic maksājumu VCB (valdība šādu maksājumu veic tikai izņēmuma gadījumos). Lai segtu iespējamos zaudējumus to rašanās gadījumā, finanšu drošības nolūkā var izveidot vispārējus riska uzkrājumus un rezerves.</w:t>
      </w:r>
    </w:p>
    <w:p w14:paraId="29985227"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53945C64"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26. ECB Pamatnostādnēs ECB/2012/29 tika iekļauta šāda jauna rindkopa: </w:t>
      </w:r>
      <w:r w:rsidRPr="00B03B51">
        <w:rPr>
          <w:rFonts w:ascii="Times New Roman" w:hAnsi="Times New Roman" w:cs="Times New Roman"/>
          <w:i/>
          <w:sz w:val="24"/>
          <w:szCs w:val="19"/>
        </w:rPr>
        <w:t xml:space="preserve">Ņemot vērā valsts centrālo banku darbības būtību, valsts centrālā banka var izveidot savā bilancē uzkrājumu attiecībā uz ārvalstu valūtas kursu, procentu likmes, kredīta un zelta cenu riskiem. </w:t>
      </w:r>
      <w:r w:rsidRPr="00B03B51">
        <w:rPr>
          <w:rFonts w:ascii="Times New Roman" w:hAnsi="Times New Roman" w:cs="Times New Roman"/>
          <w:i/>
          <w:iCs/>
          <w:sz w:val="24"/>
          <w:szCs w:val="19"/>
        </w:rPr>
        <w:t>VCB ir jānosaka uzkrājuma apmērs un izmantošana, pamatojoties uz argumentētu VCB riska līmeņa novērtējumu.</w:t>
      </w:r>
      <w:r w:rsidRPr="00B03B51">
        <w:rPr>
          <w:rFonts w:ascii="Times New Roman" w:hAnsi="Times New Roman" w:cs="Times New Roman"/>
          <w:sz w:val="24"/>
          <w:szCs w:val="19"/>
        </w:rPr>
        <w:t xml:space="preserve"> Tomēr ar šo normu nevar aizstāt valsts tiesību aktus, un uzkrājumi un rezerves kopumā joprojām jāveido saskaņā ar valsts tiesību aktiem. Turpmāk sniegta šo abu jēdzienu vispārpieņemta definīcija (šīs definīcijas tiek izmantotas ECBS uzskaites pamatnostādnēs).</w:t>
      </w:r>
    </w:p>
    <w:p w14:paraId="7DA937F9"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5FD54EE1" w14:textId="77777777" w:rsidR="00443399" w:rsidRPr="00B03B51" w:rsidRDefault="00443399" w:rsidP="00422349">
      <w:pPr>
        <w:pStyle w:val="BodyText"/>
        <w:numPr>
          <w:ilvl w:val="0"/>
          <w:numId w:val="6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w:t>
      </w:r>
      <w:r w:rsidRPr="00B03B51">
        <w:rPr>
          <w:rFonts w:ascii="Times New Roman" w:hAnsi="Times New Roman" w:cs="Times New Roman"/>
          <w:b/>
          <w:bCs/>
          <w:sz w:val="24"/>
        </w:rPr>
        <w:t>Uzkrājumi</w:t>
      </w:r>
      <w:r w:rsidRPr="00B03B51">
        <w:rPr>
          <w:rFonts w:ascii="Times New Roman" w:hAnsi="Times New Roman" w:cs="Times New Roman"/>
          <w:sz w:val="24"/>
        </w:rPr>
        <w:t xml:space="preserve"> ir summas, kas atskaitītas pirms peļņas vai zaudējumu aprēķināšanas, lai nodrošinātos pret jebkādu zināmu vai gaidāmu saistību vai risku, kura izmaksas nevar precīzi noteikt.”</w:t>
      </w:r>
    </w:p>
    <w:p w14:paraId="153FFEA8" w14:textId="77777777" w:rsidR="00443399" w:rsidRPr="00B03B51" w:rsidRDefault="00443399" w:rsidP="00422349">
      <w:pPr>
        <w:pStyle w:val="BodyText"/>
        <w:numPr>
          <w:ilvl w:val="0"/>
          <w:numId w:val="6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w:t>
      </w:r>
      <w:r w:rsidRPr="00B03B51">
        <w:rPr>
          <w:rFonts w:ascii="Times New Roman" w:hAnsi="Times New Roman" w:cs="Times New Roman"/>
          <w:b/>
          <w:bCs/>
          <w:sz w:val="24"/>
        </w:rPr>
        <w:t>Rezerves</w:t>
      </w:r>
      <w:r w:rsidRPr="00B03B51">
        <w:rPr>
          <w:rFonts w:ascii="Times New Roman" w:hAnsi="Times New Roman" w:cs="Times New Roman"/>
          <w:sz w:val="24"/>
        </w:rPr>
        <w:t xml:space="preserve"> ir summas, kuras atskaitītas no sadalāmās peļņas un kuras nav paredzētas tam, lai segtu jebkādas īpašas saistības, neparedzētus izdevumus vai gaidāmu aktīvu vērtības </w:t>
      </w:r>
      <w:r w:rsidRPr="00B03B51">
        <w:rPr>
          <w:rFonts w:ascii="Times New Roman" w:hAnsi="Times New Roman" w:cs="Times New Roman"/>
          <w:sz w:val="24"/>
        </w:rPr>
        <w:lastRenderedPageBreak/>
        <w:t>samazināšanos, kas pastāv bilances datumā.”</w:t>
      </w:r>
    </w:p>
    <w:p w14:paraId="5319429B" w14:textId="77777777" w:rsidR="00443399" w:rsidRPr="00B03B51" w:rsidRDefault="00443399" w:rsidP="00443399">
      <w:pPr>
        <w:jc w:val="both"/>
        <w:rPr>
          <w:rFonts w:ascii="Times New Roman" w:eastAsia="Arial" w:hAnsi="Times New Roman" w:cs="Times New Roman"/>
          <w:noProof/>
          <w:sz w:val="24"/>
          <w:szCs w:val="16"/>
        </w:rPr>
      </w:pPr>
    </w:p>
    <w:p w14:paraId="0B1D0A6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26" w:name="4.2.5.4_Special_transitional_rules_for_c"/>
      <w:bookmarkEnd w:id="326"/>
      <w:r w:rsidRPr="00B03B51">
        <w:rPr>
          <w:rFonts w:ascii="Times New Roman" w:hAnsi="Times New Roman" w:cs="Times New Roman"/>
          <w:sz w:val="24"/>
        </w:rPr>
        <w:t>4.2.5.4. ĪPAŠI PĀREJAS NOTEIKUMI VALSTĪM, KAS PIEVIENOJAS EIROZONAI</w:t>
      </w:r>
    </w:p>
    <w:p w14:paraId="7424DF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B008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VCB pārvērtē visus finanšu aktīvus un saistības datumā, kad tās kļūst par Eirosistēmas dalībniecēm. Nerealizētos guvumus, kas radušies pirms iestāšanās eirozonā, nodala no tiem nerealizētajiem novērtēšanas guvumiem, kas radušies pēc iestāšanās eirozonā. ECB Uzskaites pamatnostādnēs VCB ir ieteikts nesadalīt nerealizētos guvumus pārejas periodā, pēc kura notiek iestāšanās Eirosistēmā. Šajā gadījumā nerealizētos guvumus, kas radušies pirms iestāšanās eirozonā, var sadalīt, tiklīdz tie ir faktiski realizēti darījumos, kas veikti pēc iestāšanās eirozonā.</w:t>
      </w:r>
    </w:p>
    <w:p w14:paraId="3331723F" w14:textId="77777777" w:rsidR="000F6153" w:rsidRDefault="000F6153">
      <w:pPr>
        <w:widowControl/>
        <w:spacing w:after="160" w:line="259" w:lineRule="auto"/>
        <w:rPr>
          <w:rFonts w:ascii="Times New Roman" w:eastAsia="Arial" w:hAnsi="Times New Roman" w:cs="Times New Roman"/>
          <w:b/>
          <w:bCs/>
          <w:sz w:val="28"/>
          <w:szCs w:val="44"/>
        </w:rPr>
      </w:pPr>
      <w:bookmarkStart w:id="327" w:name="4.3_The_sale_of_gold_and_foreign_exchang"/>
      <w:bookmarkStart w:id="328" w:name="_bookmark33"/>
      <w:bookmarkStart w:id="329" w:name="_Toc67565124"/>
      <w:bookmarkEnd w:id="327"/>
      <w:bookmarkEnd w:id="328"/>
      <w:r>
        <w:rPr>
          <w:rFonts w:ascii="Times New Roman" w:hAnsi="Times New Roman" w:cs="Times New Roman"/>
          <w:sz w:val="28"/>
          <w:szCs w:val="44"/>
        </w:rPr>
        <w:br w:type="page"/>
      </w:r>
    </w:p>
    <w:p w14:paraId="0016F525" w14:textId="5F5AA324" w:rsidR="00443399" w:rsidRPr="00B03B51" w:rsidRDefault="00443399" w:rsidP="00BC7838">
      <w:pPr>
        <w:pStyle w:val="Heading2"/>
        <w:tabs>
          <w:tab w:val="left" w:pos="1135"/>
        </w:tabs>
        <w:spacing w:before="0"/>
        <w:ind w:left="0" w:firstLine="0"/>
        <w:jc w:val="both"/>
        <w:rPr>
          <w:rFonts w:ascii="Times New Roman" w:hAnsi="Times New Roman" w:cs="Times New Roman"/>
          <w:noProof/>
          <w:sz w:val="28"/>
          <w:szCs w:val="44"/>
        </w:rPr>
      </w:pPr>
      <w:r w:rsidRPr="00B03B51">
        <w:rPr>
          <w:rFonts w:ascii="Times New Roman" w:hAnsi="Times New Roman" w:cs="Times New Roman"/>
          <w:sz w:val="28"/>
          <w:szCs w:val="44"/>
        </w:rPr>
        <w:lastRenderedPageBreak/>
        <w:t>4.3. Zelta tirdzniecība un ārvalstu valūtu maiņa centrālajā bankā</w:t>
      </w:r>
      <w:bookmarkEnd w:id="329"/>
    </w:p>
    <w:p w14:paraId="0BC74EC2" w14:textId="77777777" w:rsidR="00443399" w:rsidRPr="00100B51" w:rsidRDefault="00443399" w:rsidP="00100B51">
      <w:pPr>
        <w:rPr>
          <w:rFonts w:ascii="Times New Roman" w:hAnsi="Times New Roman" w:cs="Times New Roman"/>
          <w:noProof/>
          <w:sz w:val="24"/>
          <w:szCs w:val="24"/>
        </w:rPr>
      </w:pPr>
      <w:bookmarkStart w:id="330" w:name="4.3.1_Background"/>
      <w:bookmarkEnd w:id="330"/>
    </w:p>
    <w:p w14:paraId="7825126F" w14:textId="77777777" w:rsidR="00443399" w:rsidRPr="00B03B51" w:rsidRDefault="00443399" w:rsidP="00BC7838">
      <w:pPr>
        <w:pStyle w:val="Heading3"/>
        <w:tabs>
          <w:tab w:val="left" w:pos="1267"/>
        </w:tabs>
        <w:ind w:left="0" w:firstLine="0"/>
        <w:jc w:val="both"/>
        <w:rPr>
          <w:rFonts w:ascii="Times New Roman" w:hAnsi="Times New Roman" w:cs="Times New Roman"/>
          <w:noProof/>
          <w:sz w:val="24"/>
        </w:rPr>
      </w:pPr>
      <w:bookmarkStart w:id="331" w:name="_Toc67565125"/>
      <w:r w:rsidRPr="00B03B51">
        <w:rPr>
          <w:rFonts w:ascii="Times New Roman" w:hAnsi="Times New Roman" w:cs="Times New Roman"/>
          <w:sz w:val="24"/>
        </w:rPr>
        <w:t>4.3.1. Vispārīga informācija</w:t>
      </w:r>
      <w:bookmarkEnd w:id="331"/>
    </w:p>
    <w:p w14:paraId="41412F6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CC3FB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Ieņēmumi no centrālās bankas zelta vai citu rezervju aktīvu pārdošanas var tikt nodoti valdībai. Šajā nodaļā paskaidrots, kāpēc šāds pārvedums neietekmē valdības neto aizdevumu/aizņēmumu, jo tas tiek uzskatīts par pašu kapitāla izņemšanu. Šis traktējums ir īsi pieminēts EKS 2010 20.217. punktā.</w:t>
      </w:r>
    </w:p>
    <w:p w14:paraId="05A387F7"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6DA3C74D"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2. Pirmkārt, ir lietderīgi sniegt rezervju aktīvu definīciju. Šāda definīcija ir sniegta SVF Maksājumu bilances rokasgrāmatā: </w:t>
      </w:r>
      <w:r w:rsidRPr="00B03B51">
        <w:rPr>
          <w:rFonts w:ascii="Times New Roman" w:hAnsi="Times New Roman" w:cs="Times New Roman"/>
          <w:i/>
          <w:iCs/>
          <w:sz w:val="24"/>
          <w:szCs w:val="19"/>
        </w:rPr>
        <w:t>Rezervju aktīvi ir tādi monetārajām iestādēm nekavējoties pieejami un to kontrolē esoši ārējie aktīvi, kurus tās izmanto maksājumu bilances finansēšanas vajadzībām, intervencei valūtas maiņas tirgos nolūkā ietekmēt valūtas kursu un citiem saistītiem mērķiem (piemēram, lai uzturētu uzticību valūtai un tautsaimniecībai un izmantotu par pamatu ārvalstu aizņēmumu saņemšanai).</w:t>
      </w:r>
      <w:r w:rsidRPr="00B03B51">
        <w:rPr>
          <w:rFonts w:ascii="Times New Roman" w:hAnsi="Times New Roman" w:cs="Times New Roman"/>
          <w:sz w:val="24"/>
          <w:szCs w:val="19"/>
        </w:rPr>
        <w:t xml:space="preserve"> Rezervju aktīvi ir ārvalstu valūtu aktīvi un reāli pastāvoši aktīvi. Iespējamie aktīvi netiek iekļauti. Rezerves aktīvu jēdziena pamatā ir tādi jēdzieni kā monetāro iestāžu “kontrole” un “pieejamība izmantošanai” šādām iestādēm.</w:t>
      </w:r>
      <w:r w:rsidRPr="00B03B51">
        <w:rPr>
          <w:rStyle w:val="FootnoteReference"/>
          <w:rFonts w:ascii="Times New Roman" w:eastAsia="Arial" w:hAnsi="Times New Roman" w:cs="Times New Roman"/>
          <w:noProof/>
          <w:sz w:val="24"/>
          <w:szCs w:val="19"/>
        </w:rPr>
        <w:footnoteReference w:id="178"/>
      </w:r>
      <w:r w:rsidRPr="00B03B51">
        <w:rPr>
          <w:rFonts w:ascii="Times New Roman" w:hAnsi="Times New Roman" w:cs="Times New Roman"/>
          <w:sz w:val="24"/>
          <w:szCs w:val="12"/>
        </w:rPr>
        <w:t xml:space="preserve"> </w:t>
      </w:r>
      <w:r w:rsidRPr="00B03B51">
        <w:rPr>
          <w:rFonts w:ascii="Times New Roman" w:hAnsi="Times New Roman" w:cs="Times New Roman"/>
          <w:sz w:val="24"/>
          <w:szCs w:val="19"/>
        </w:rPr>
        <w:t>Rezerves aktīvi ir monetārais zelts, speciālo aizņēmuma tiesību (</w:t>
      </w:r>
      <w:r w:rsidRPr="00B03B51">
        <w:rPr>
          <w:rFonts w:ascii="Times New Roman" w:hAnsi="Times New Roman" w:cs="Times New Roman"/>
          <w:i/>
          <w:iCs/>
          <w:sz w:val="24"/>
          <w:szCs w:val="19"/>
        </w:rPr>
        <w:t>SDR</w:t>
      </w:r>
      <w:r w:rsidRPr="00B03B51">
        <w:rPr>
          <w:rFonts w:ascii="Times New Roman" w:hAnsi="Times New Roman" w:cs="Times New Roman"/>
          <w:sz w:val="24"/>
          <w:szCs w:val="19"/>
        </w:rPr>
        <w:t>) turējumi, rezerves posteņi SVF, valūta un noguldījumi, vērtspapīri (tostarp parāda un pašu kapitāla vērtspapīri), atvasinātie finanšu instrumenti un citi prasījumi (aizdevumi un citi finanšu instrumenti).</w:t>
      </w:r>
      <w:r w:rsidRPr="00B03B51">
        <w:rPr>
          <w:rStyle w:val="FootnoteReference"/>
          <w:rFonts w:ascii="Times New Roman" w:eastAsia="Arial" w:hAnsi="Times New Roman" w:cs="Times New Roman"/>
          <w:noProof/>
          <w:sz w:val="24"/>
          <w:szCs w:val="19"/>
        </w:rPr>
        <w:footnoteReference w:id="179"/>
      </w:r>
      <w:r w:rsidRPr="00B03B51">
        <w:rPr>
          <w:rFonts w:ascii="Times New Roman" w:hAnsi="Times New Roman" w:cs="Times New Roman"/>
          <w:sz w:val="24"/>
          <w:szCs w:val="12"/>
        </w:rPr>
        <w:t xml:space="preserve"> </w:t>
      </w:r>
      <w:r w:rsidRPr="00B03B51">
        <w:rPr>
          <w:rFonts w:ascii="Times New Roman" w:hAnsi="Times New Roman" w:cs="Times New Roman"/>
          <w:sz w:val="24"/>
          <w:szCs w:val="19"/>
        </w:rPr>
        <w:t>Turpmākajās sadaļās ir aplūkots tikai zelts un ārvalstu valūtu aktīvi.</w:t>
      </w:r>
    </w:p>
    <w:p w14:paraId="3F21B422" w14:textId="77777777" w:rsidR="00443399" w:rsidRPr="00B03B51" w:rsidRDefault="00443399" w:rsidP="00443399">
      <w:pPr>
        <w:jc w:val="both"/>
        <w:rPr>
          <w:rFonts w:ascii="Times New Roman" w:eastAsia="Arial" w:hAnsi="Times New Roman" w:cs="Times New Roman"/>
          <w:noProof/>
          <w:sz w:val="24"/>
          <w:szCs w:val="19"/>
        </w:rPr>
      </w:pPr>
    </w:p>
    <w:p w14:paraId="0B084A35"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32" w:name="4.3.2_Treatment_in_national_accounts"/>
      <w:bookmarkStart w:id="333" w:name="_Toc67565126"/>
      <w:bookmarkEnd w:id="332"/>
      <w:r w:rsidRPr="00B03B51">
        <w:rPr>
          <w:rFonts w:ascii="Times New Roman" w:hAnsi="Times New Roman" w:cs="Times New Roman"/>
          <w:sz w:val="24"/>
        </w:rPr>
        <w:t>4.3.2. Traktējums nacionālajos kontos</w:t>
      </w:r>
      <w:bookmarkEnd w:id="333"/>
    </w:p>
    <w:p w14:paraId="58137C2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8F37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Centrālā banka var pārdot ievērojamu daļu no saviem rezervju aktīviem un pārskaitīt valdībai visus ieņēmumus vai to daļu. Šādā gadījumā ieņēmumu maksājumu valdībai pilnīgi ieraksta valsts un centrālās bankas finanšu kontos. To ieraksta kā valdības veiktu akciju vai cita pašu kapitāla (F.5) izņemšanu no centrālās bankas ar pretēju ierakstu valdības turēto finanšu aktīvu palielināšanai (lielākoties noguldījumi (F.2)) vai, iespējams, valdības finanšu prasījuma pret centrālo banku samazināšanai (piemēram, aizdevumi (F.4)).</w:t>
      </w:r>
    </w:p>
    <w:p w14:paraId="575E12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E9C8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Šāds traktējums nacionālajos kontos jāievēro neatkarīgi no tā, kā šis maksājums ir nosaukts centrālās bankas grāmatvedībā vai publiskajos kontos, piemēram, vai kā dividendes vai nodokļi. Lielu ar zelta vai ārvalstu valūtu rezervju ārkārtas pārdevumu saistītu maksājumu gadījumā nodokļu maksājumu ieraksta kā pašu kapitāla izņemšanu (skatīt 4.2. nodaļu “Maksājumi starp centrālo banku un valdību”).</w:t>
      </w:r>
    </w:p>
    <w:p w14:paraId="79C3EB5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282A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Nacionālajos kontos zelta pārdevuma pareiza ierakstīšana VCB kontos ir atkarīga no tā, kāds zelts ir pārdots – monetārais vai nemonetārais. Monetārais zelts ir finanšu aktīvs, un monetārajām iestādēm (vai citām iestādēm, kuras atrodas faktiskā monetāro iestāžu kontrolē) pieder īpašumtiesības uz šādu zeltu, un tas tiek turēts kā rezervju aktīvi. Nemonetārais zelts ir dārgmetāls un tātad nefinanšu aktīvs. Monetārā zelta pārdošana nekādi neietekmēs centrālās bankas neto aizdevumu/aizņēmumu (B.9). Nemonetārā zelta (t. i., demonetizēta monetārā zelta) pārdevums ietekmēs centrālās bankas neto aizdevumu/aizņēmumu (B.9). Abos gadījumos centrālās bankas ieņēmumu maksājums valdībai neietekmē valdības neto aizdevumu/aizņēmumu (B.9).</w:t>
      </w:r>
    </w:p>
    <w:p w14:paraId="5BEC4ACD" w14:textId="77777777" w:rsidR="00443399" w:rsidRPr="00B03B51" w:rsidRDefault="00443399" w:rsidP="00443399">
      <w:pPr>
        <w:jc w:val="both"/>
        <w:rPr>
          <w:rFonts w:ascii="Times New Roman" w:eastAsia="Arial" w:hAnsi="Times New Roman" w:cs="Times New Roman"/>
          <w:noProof/>
          <w:sz w:val="24"/>
          <w:szCs w:val="18"/>
        </w:rPr>
      </w:pPr>
    </w:p>
    <w:p w14:paraId="12FE9189"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34" w:name="4.3.3_Rationale_of_the_treatment"/>
      <w:bookmarkStart w:id="335" w:name="_Toc67565127"/>
      <w:bookmarkEnd w:id="334"/>
      <w:r w:rsidRPr="00B03B51">
        <w:rPr>
          <w:rFonts w:ascii="Times New Roman" w:hAnsi="Times New Roman" w:cs="Times New Roman"/>
          <w:sz w:val="24"/>
        </w:rPr>
        <w:t>4.3.3. Traktējuma pamatojums</w:t>
      </w:r>
      <w:bookmarkEnd w:id="335"/>
    </w:p>
    <w:p w14:paraId="4B22004C" w14:textId="77777777" w:rsidR="00443399" w:rsidRPr="00BE27DC" w:rsidRDefault="00443399" w:rsidP="00BE27DC">
      <w:pPr>
        <w:rPr>
          <w:rFonts w:ascii="Times New Roman" w:hAnsi="Times New Roman" w:cs="Times New Roman"/>
          <w:noProof/>
          <w:sz w:val="24"/>
          <w:szCs w:val="24"/>
        </w:rPr>
      </w:pPr>
      <w:bookmarkStart w:id="336" w:name="4.3.3.1_The_specific_nature_of_reserve_a"/>
      <w:bookmarkEnd w:id="336"/>
    </w:p>
    <w:p w14:paraId="7272410B"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4.3.3.1. REZERVJU AKTĪVU ĪPAŠĀS IEZĪMES</w:t>
      </w:r>
    </w:p>
    <w:p w14:paraId="243630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E58E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Salīdzinājumā ar citiem finanšu aktīviem rezervju aktīviem ir īpašas iezīmes. Lai gan centrālajai bankai ir pilnīga autonomija attiecībā uz aktīvu pārvaldību, šī iestāde nerīkojas savās interesēs kā sabiedrība, piemēram, palielinot savu akcionāru peļņu vai bagātību. Centrālās bankas uzdevums ārvalstu aktīvu pārvaldības jomā ir noteikts īpašos tiesību aktos. Tos atbilstoši monetārajai politikai pārvalda ar nolūku īstenot makroekonomikas mērķus un sabiedrības intereses. Tādējādi šie aktīvi faktiski nav to vienību īpašums, kuras tos pārvalda. Tie pieder valstij, ko nacionālajos kontos pārstāv vispārējā valdība.</w:t>
      </w:r>
    </w:p>
    <w:p w14:paraId="7A881051" w14:textId="77777777" w:rsidR="00443399" w:rsidRPr="00B03B51" w:rsidRDefault="00443399" w:rsidP="00443399">
      <w:pPr>
        <w:jc w:val="both"/>
        <w:rPr>
          <w:rFonts w:ascii="Times New Roman" w:eastAsia="Arial" w:hAnsi="Times New Roman" w:cs="Times New Roman"/>
          <w:noProof/>
          <w:sz w:val="24"/>
          <w:szCs w:val="15"/>
        </w:rPr>
      </w:pPr>
    </w:p>
    <w:p w14:paraId="50E6F41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37" w:name="4.3.3.2_The_recording_of_foreign_exchang"/>
      <w:bookmarkEnd w:id="337"/>
      <w:r w:rsidRPr="00B03B51">
        <w:rPr>
          <w:rFonts w:ascii="Times New Roman" w:hAnsi="Times New Roman" w:cs="Times New Roman"/>
          <w:sz w:val="24"/>
        </w:rPr>
        <w:t>4.3.3.2. ĀRVALSTU VALŪTU IERAKSTĪŠANA CENTRĀLĀS BANKAS BILANCĒ</w:t>
      </w:r>
    </w:p>
    <w:p w14:paraId="472E78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CD00E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Iepriekš minētās centrālās bankas īpašumā esošo ārvalstu valūtu īpašās iezīmes jāatspoguļo nacionālajos kontos kā pašu kapitāls, kas ierakstīts vispārējās valdības aktīva pusē un centrālās bankas pasīva pusē. Statistiskā traktējuma vienveidīgumam un apsvērumiem visās ES dalībvalstīs ir lielāka nozīme nekā centrālās bankas juridiskajam statusam. Pat ja juridiskā izpratnē starp valdību un centrālo banku nav nekādu īpašumtiesību attiecību, pašu kapitāls ir jāieraksta nacionālajos kontos, lai atspoguļotu faktu, ka centrālā banka tur un pārvalda rezervju aktīvus valsts un attiecīgi valdības vārdā vai ka valdība ir centrālās bankas ekonomiskā īpašniece, jo tai ir tiesības uz neto aktīviem likvidācijas gadījumā vai arī tai regulāri izmaksā daļu peļņas (EKS 2010 5.148. punkts).</w:t>
      </w:r>
    </w:p>
    <w:p w14:paraId="34C910D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9858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Jautājums ir par to, kā novērtēt valdības pašu kapitālu centrālajā bankā attiecībā uz rezervju aktīvu turējumu. Lai atbildētu uz šo jautājumu, ir lietderīgi izvērtēt naudas rašanās procesu ārvalstu darījumu rezultātā, proti, laikā, kad centrālā banka iegūst rezervju aktīvus, visticamāk, tās bilancē veic pretēju ierakstu pasīva pusē, lai ierakstītu (pamata) naudas emisiju. Turēšanas guvumi rodas tad, kad palielinās šādi iegūto rezervju aktīvu tirgus cena. Nacionālo kontu bilancēs turēšanas guvumi izraisa instrumenta vērtības palielināšanos centrālās bankas bilances aktīva pusē. Šādam palielinājumam aktīva pusē ir ekvivalents pasīva pusē: valdības pašu kapitāla palielināšanās.</w:t>
      </w:r>
    </w:p>
    <w:p w14:paraId="0F8A25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DB66C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Tādējādi kādā konkrētā brīdī valdības pašu kapitāla vērtība centrālās bankas bilancē attiecībā uz rezervju aktīviem tiks atspoguļota ar starpību starp cenām, par kurām centrālā banka iegādājās šos aktīvus, un to pašreizējām tirgus cenām. Precīzāk, tā ir vienāda ar turēšanas guvumu/zaudējumu uzkrājumu, no kā atņem valdības izņemto pašu kapitālu. Šajā posmā ir lietderīgi nošķirt monetāro zeltu un ārvalstu valūtas aktīvus.</w:t>
      </w:r>
    </w:p>
    <w:p w14:paraId="1903A6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C0FE4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Parasti centrālās bankas zeltu ir iegādājušās ļoti sen, un zelta cenas kopš tā brīža ir ievērojami pieaugušas. Tādējādi valdības pašu kapitāls attiecībā uz monetārā zelta turējumiem ir kopumā svarīgs tiktāl, ciktāl centrālās bankas ir paturējušas rezervju aktīvus saskaņā ar šo formu.</w:t>
      </w:r>
    </w:p>
    <w:p w14:paraId="48B992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46ED6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Grūtāk ir izdarīt pārliecinošus secinājumus par pašu kapitālu, kas saistīts ar ārvalstu valūtu aktīviem; valūtas kursu svārstību galīgā ietekme ir atkarīga no ļoti daudziem faktoriem, piemēram, no ietekmes uz importu un eksportu, norēķinu valūtu u. c. Iespējams, ka turēšanas zaudējumu dēļ pašu kapitāla vērtība krīt vai pat kļūst negatīva.</w:t>
      </w:r>
    </w:p>
    <w:p w14:paraId="460DAD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C707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Tomēr tas, ka valdībai ir maksājumi, kas saistīti ar ārvalstu valūtu aktīviem, nozīmē, ka </w:t>
      </w:r>
      <w:r w:rsidRPr="00B03B51">
        <w:rPr>
          <w:rFonts w:ascii="Times New Roman" w:hAnsi="Times New Roman" w:cs="Times New Roman"/>
          <w:sz w:val="24"/>
        </w:rPr>
        <w:lastRenderedPageBreak/>
        <w:t>pastāv pozitīva starpība starp ārvalstu valūtu pašreizējo tirgus vērtību un to iegādes cenu – ja būtu radušies zaudējumi, nebūtu iespējams veikt maksājumus no centrālās bankas valdībai. Tātad šeit aplūkotajos gadījumos pastāv turēšanas guvums, un tādējādi valdības pašu kapitāla vērtība centrālajā bankā attiecībā uz ārvalstu valūtu aktīviem ir palielinājusies.</w:t>
      </w:r>
    </w:p>
    <w:p w14:paraId="0F7ABC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9B0DD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Visi centrālās bankas maksājumi valdībai saistībā ar rezervju aktīvu turēšanu un pārvaldību notiek tāpēc, ka valdībai pieder pašu kapitāls centrālajā bankā attiecībā uz šādiem rezervju aktīviem. Tādējādi tos traktē kā akciju un cita pašu kapitāla izņemšanu (F.5).</w:t>
      </w:r>
    </w:p>
    <w:p w14:paraId="416DE690" w14:textId="77777777" w:rsidR="00443399" w:rsidRPr="00B03B51" w:rsidRDefault="00443399" w:rsidP="00443399">
      <w:pPr>
        <w:jc w:val="both"/>
        <w:rPr>
          <w:rFonts w:ascii="Times New Roman" w:eastAsia="Arial" w:hAnsi="Times New Roman" w:cs="Times New Roman"/>
          <w:noProof/>
          <w:sz w:val="24"/>
          <w:szCs w:val="15"/>
        </w:rPr>
      </w:pPr>
    </w:p>
    <w:p w14:paraId="303301D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38" w:name="4.3.3.3_Monetary_vs._non-monetary_gold"/>
      <w:bookmarkEnd w:id="338"/>
      <w:r w:rsidRPr="00B03B51">
        <w:rPr>
          <w:rFonts w:ascii="Times New Roman" w:hAnsi="Times New Roman" w:cs="Times New Roman"/>
          <w:sz w:val="24"/>
        </w:rPr>
        <w:t>4.3.3.3. MONETĀRAIS UN NEMONETĀRAIS ZELTS</w:t>
      </w:r>
    </w:p>
    <w:p w14:paraId="2FDAAC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305C2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Monetārā zelta pārdevuma uzskaite VCB kontos atšķiras no nemonetārā zelta pārdevuma uzskaites. Monetārais zelts ir finanšu aktīvs, kuru tur monetārās iestādes (centrālā banka vai dažās valstīs – centrālā valdība) kā daļu no ārvalstu rezervēm (skat. EKS 2010 5.57. punktu). Ja VCB pārdod zeltu citām (t. i., ārvalstu) monetārajām iestādēm, to ieraksta iekšzemes centrālās bankas finanšu kontos kā finanšu aktīvu samazinājumu ar ekvivalentu samazinājuma ierakstu centrālās bankas pasīvā attiecībā pret ārvalstu monetārajām iestādēm (vai kā centrālās bankas finanšu prasību pieaugumu pret ārvalstu monetārajām iestādēm). Ja zeltu pārdod nemonetārajām iestādēm, to traktē kā dārgmetāla realizāciju. Pirms šāda pārdevuma monetāro zeltu centrālās bankas kontos demonetizē.</w:t>
      </w:r>
    </w:p>
    <w:p w14:paraId="3EF76FC6" w14:textId="77777777" w:rsidR="00443399" w:rsidRPr="00B03B51" w:rsidRDefault="00443399" w:rsidP="00443399">
      <w:pPr>
        <w:jc w:val="both"/>
        <w:rPr>
          <w:rFonts w:ascii="Times New Roman" w:eastAsia="Arial" w:hAnsi="Times New Roman" w:cs="Times New Roman"/>
          <w:noProof/>
          <w:sz w:val="24"/>
        </w:rPr>
      </w:pPr>
    </w:p>
    <w:p w14:paraId="3587CB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Demonetizāciju, proti, monetārā zelta pārklasificēšanu par nemonetāro zeltu, ieraksta centrālās bankas aktīvu un saistību klasifikācijas pārmaiņas kontos (K.62), skat. EKS 2010 6.22.–6.24. punktu.</w:t>
      </w:r>
      <w:r w:rsidRPr="00B03B51">
        <w:rPr>
          <w:rStyle w:val="FootnoteReference"/>
          <w:rFonts w:ascii="Times New Roman" w:hAnsi="Times New Roman" w:cs="Times New Roman"/>
          <w:noProof/>
          <w:sz w:val="24"/>
        </w:rPr>
        <w:footnoteReference w:id="180"/>
      </w:r>
      <w:r w:rsidRPr="00B03B51">
        <w:rPr>
          <w:rFonts w:ascii="Times New Roman" w:hAnsi="Times New Roman" w:cs="Times New Roman"/>
          <w:sz w:val="24"/>
          <w:szCs w:val="12"/>
        </w:rPr>
        <w:t xml:space="preserve"> </w:t>
      </w:r>
      <w:r w:rsidRPr="00B03B51">
        <w:rPr>
          <w:rFonts w:ascii="Times New Roman" w:hAnsi="Times New Roman" w:cs="Times New Roman"/>
          <w:sz w:val="24"/>
        </w:rPr>
        <w:t>Lai gan nemonetārā zelta pārdevumu centrālās bankas kontā ieraksta atšķirīgi no monetārā zelta pārdevuma, ieņēmumu pārvedumu abos gadījumos ieraksta kā pašu kapitāla izņemšanu, jo abos gadījumos zeltu pārvalda centrālā banka tautas un attiecīgi valdības vārdā.</w:t>
      </w:r>
    </w:p>
    <w:p w14:paraId="3599E6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1963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Turklāt zelta pārdevums neietekmē centrālās bankas pamatdarbības peļņu. Tādējādi pārdevuma ieņēmumu pārvedumu valdībai nevar ierakstīt kā īpašuma ienākumu valdības kontos neatkarīgi no tā, kam ir pārdots zelts – monetārajām iestādēm vai citiem institucionālajiem sektoriem. Šis nemonetārā zelta pārdevuma traktējums atbilst nefinanšu aktīvu netiešo pārdevumu uzskaitei (skat. 5.2.2.4. apakšiedaļu “Nefinanšu aktīvu netieša pārdošana”).</w:t>
      </w:r>
    </w:p>
    <w:p w14:paraId="25163BC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FF79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Līgums par zelta pārdošanu 5 gadus ilgā laika posmā starp vairākām Eiropas centrālajām bankām tika atjaunots 2009. gadā, un tajā bija ierosināta saskaņota pārdošanas programma attiecībā uz 5 gadus ilgu laika posmu un maksimālais pieļaujamais pārdošanas apjoms – kopā ne vairāk par 500 tonnām katru gadu.</w:t>
      </w:r>
      <w:r w:rsidRPr="00B03B51">
        <w:rPr>
          <w:rStyle w:val="FootnoteReference"/>
          <w:rFonts w:ascii="Times New Roman" w:hAnsi="Times New Roman" w:cs="Times New Roman"/>
          <w:noProof/>
          <w:sz w:val="24"/>
        </w:rPr>
        <w:footnoteReference w:id="181"/>
      </w:r>
    </w:p>
    <w:p w14:paraId="43E84FDA" w14:textId="77777777" w:rsidR="00443399" w:rsidRPr="00BE27DC" w:rsidRDefault="00443399" w:rsidP="00BE27DC">
      <w:pPr>
        <w:rPr>
          <w:rFonts w:ascii="Times New Roman" w:hAnsi="Times New Roman" w:cs="Times New Roman"/>
          <w:noProof/>
          <w:sz w:val="24"/>
          <w:szCs w:val="24"/>
        </w:rPr>
      </w:pPr>
      <w:bookmarkStart w:id="339" w:name="4.3.3.4_Accounting_examples"/>
      <w:bookmarkEnd w:id="339"/>
    </w:p>
    <w:p w14:paraId="424C284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4.3.3.4. UZSKAITES PIEMĒRI</w:t>
      </w:r>
    </w:p>
    <w:p w14:paraId="7EB2DE19" w14:textId="77777777" w:rsidR="00443399" w:rsidRPr="00B03B51" w:rsidRDefault="00443399" w:rsidP="00443399">
      <w:pPr>
        <w:jc w:val="both"/>
        <w:rPr>
          <w:rFonts w:ascii="Times New Roman" w:eastAsia="Arial" w:hAnsi="Times New Roman" w:cs="Times New Roman"/>
          <w:b/>
          <w:bCs/>
          <w:noProof/>
          <w:sz w:val="24"/>
          <w:szCs w:val="20"/>
        </w:rPr>
      </w:pPr>
    </w:p>
    <w:p w14:paraId="2EFF53E7"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 piemērs</w:t>
      </w:r>
    </w:p>
    <w:p w14:paraId="14429146" w14:textId="77777777" w:rsidR="00443399" w:rsidRPr="00B03B51" w:rsidRDefault="00443399" w:rsidP="00443399">
      <w:pPr>
        <w:jc w:val="both"/>
        <w:rPr>
          <w:rFonts w:ascii="Times New Roman" w:eastAsia="Arial" w:hAnsi="Times New Roman" w:cs="Times New Roman"/>
          <w:b/>
          <w:bCs/>
          <w:noProof/>
          <w:sz w:val="24"/>
        </w:rPr>
      </w:pPr>
    </w:p>
    <w:p w14:paraId="58CBE16D" w14:textId="77777777" w:rsidR="00443399" w:rsidRPr="00B03B51" w:rsidRDefault="00443399" w:rsidP="00422349">
      <w:pPr>
        <w:pStyle w:val="BodyText"/>
        <w:numPr>
          <w:ilvl w:val="4"/>
          <w:numId w:val="6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Pieņemsim, ka centrālā banka tur monetāro zeltu, kura vērtība 1. gadā palielinās par 100 miljoniem </w:t>
      </w:r>
      <w:r w:rsidRPr="00B03B51">
        <w:rPr>
          <w:rFonts w:ascii="Times New Roman" w:hAnsi="Times New Roman" w:cs="Times New Roman"/>
          <w:i/>
          <w:iCs/>
          <w:sz w:val="24"/>
        </w:rPr>
        <w:t>euro</w:t>
      </w:r>
      <w:r w:rsidRPr="00B03B51">
        <w:rPr>
          <w:rFonts w:ascii="Times New Roman" w:hAnsi="Times New Roman" w:cs="Times New Roman"/>
          <w:sz w:val="24"/>
        </w:rPr>
        <w:t>.</w:t>
      </w:r>
    </w:p>
    <w:p w14:paraId="2093F8E1" w14:textId="77777777" w:rsidR="00443399" w:rsidRPr="00B03B51" w:rsidRDefault="00443399" w:rsidP="00422349">
      <w:pPr>
        <w:pStyle w:val="BodyText"/>
        <w:numPr>
          <w:ilvl w:val="4"/>
          <w:numId w:val="6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Otrajā gadā centrālā banka pārdod ārvalstu monetārajām iestādēm zeltu 90 miljonu </w:t>
      </w:r>
      <w:r w:rsidRPr="00B03B51">
        <w:rPr>
          <w:rFonts w:ascii="Times New Roman" w:hAnsi="Times New Roman" w:cs="Times New Roman"/>
          <w:i/>
          <w:iCs/>
          <w:sz w:val="24"/>
        </w:rPr>
        <w:t>euro</w:t>
      </w:r>
      <w:r w:rsidRPr="00B03B51">
        <w:rPr>
          <w:rFonts w:ascii="Times New Roman" w:hAnsi="Times New Roman" w:cs="Times New Roman"/>
          <w:sz w:val="24"/>
        </w:rPr>
        <w:t xml:space="preserve"> </w:t>
      </w:r>
      <w:r w:rsidRPr="00B03B51">
        <w:rPr>
          <w:rFonts w:ascii="Times New Roman" w:hAnsi="Times New Roman" w:cs="Times New Roman"/>
          <w:sz w:val="24"/>
        </w:rPr>
        <w:lastRenderedPageBreak/>
        <w:t>vērtībā.</w:t>
      </w:r>
    </w:p>
    <w:p w14:paraId="67BF80E4" w14:textId="419DBD9F" w:rsidR="00443399" w:rsidRPr="00B03B51" w:rsidRDefault="00443399" w:rsidP="00422349">
      <w:pPr>
        <w:pStyle w:val="BodyText"/>
        <w:numPr>
          <w:ilvl w:val="4"/>
          <w:numId w:val="6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3. gadā ieņēmumus pārskaita valdībai.</w:t>
      </w:r>
    </w:p>
    <w:p w14:paraId="5B804A16" w14:textId="77777777" w:rsidR="00500EA4" w:rsidRPr="00B03B51" w:rsidRDefault="00500EA4" w:rsidP="00500EA4">
      <w:pPr>
        <w:pStyle w:val="BodyText"/>
        <w:spacing w:before="0"/>
        <w:ind w:left="1" w:firstLine="0"/>
        <w:jc w:val="both"/>
        <w:rPr>
          <w:rFonts w:ascii="Times New Roman" w:hAnsi="Times New Roman" w:cs="Times New Roman"/>
          <w:noProof/>
          <w:sz w:val="24"/>
        </w:rPr>
      </w:pPr>
    </w:p>
    <w:p w14:paraId="38C08AAA" w14:textId="77777777" w:rsidR="00443399" w:rsidRPr="00B03B51" w:rsidRDefault="00443399" w:rsidP="00500EA4">
      <w:pPr>
        <w:jc w:val="center"/>
        <w:rPr>
          <w:rFonts w:ascii="Times New Roman" w:eastAsia="Arial" w:hAnsi="Times New Roman" w:cs="Times New Roman"/>
          <w:noProof/>
          <w:sz w:val="24"/>
          <w:szCs w:val="2"/>
        </w:rPr>
      </w:pPr>
      <w:r w:rsidRPr="00B03B51">
        <w:rPr>
          <w:rFonts w:ascii="Times New Roman" w:hAnsi="Times New Roman" w:cs="Times New Roman"/>
          <w:noProof/>
          <w:sz w:val="24"/>
          <w:szCs w:val="24"/>
        </w:rPr>
        <w:drawing>
          <wp:inline distT="0" distB="0" distL="0" distR="0" wp14:anchorId="247A1D37" wp14:editId="7BBF8192">
            <wp:extent cx="5756275" cy="457962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6275" cy="4579620"/>
                    </a:xfrm>
                    <a:prstGeom prst="rect">
                      <a:avLst/>
                    </a:prstGeom>
                  </pic:spPr>
                </pic:pic>
              </a:graphicData>
            </a:graphic>
          </wp:inline>
        </w:drawing>
      </w:r>
    </w:p>
    <w:p w14:paraId="4D945B72" w14:textId="77777777" w:rsidR="00443399" w:rsidRPr="00B03B51" w:rsidRDefault="00443399" w:rsidP="00500EA4">
      <w:pPr>
        <w:jc w:val="center"/>
        <w:rPr>
          <w:rFonts w:ascii="Times New Roman" w:eastAsia="Arial" w:hAnsi="Times New Roman" w:cs="Times New Roman"/>
          <w:noProof/>
          <w:sz w:val="24"/>
          <w:szCs w:val="2"/>
        </w:rPr>
      </w:pPr>
      <w:r w:rsidRPr="00B03B51">
        <w:rPr>
          <w:rFonts w:ascii="Times New Roman" w:hAnsi="Times New Roman" w:cs="Times New Roman"/>
          <w:noProof/>
        </w:rPr>
        <w:lastRenderedPageBreak/>
        <w:drawing>
          <wp:inline distT="0" distB="0" distL="0" distR="0" wp14:anchorId="7CDABFE3" wp14:editId="6F005F6C">
            <wp:extent cx="5756275" cy="455676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6275" cy="4556760"/>
                    </a:xfrm>
                    <a:prstGeom prst="rect">
                      <a:avLst/>
                    </a:prstGeom>
                  </pic:spPr>
                </pic:pic>
              </a:graphicData>
            </a:graphic>
          </wp:inline>
        </w:drawing>
      </w:r>
    </w:p>
    <w:p w14:paraId="4F850D63" w14:textId="77777777" w:rsidR="00443399" w:rsidRPr="00B03B51" w:rsidRDefault="00443399" w:rsidP="00443399">
      <w:pPr>
        <w:jc w:val="both"/>
        <w:rPr>
          <w:rFonts w:ascii="Times New Roman" w:eastAsia="Arial" w:hAnsi="Times New Roman" w:cs="Times New Roman"/>
          <w:noProof/>
          <w:sz w:val="24"/>
          <w:szCs w:val="20"/>
        </w:rPr>
      </w:pPr>
    </w:p>
    <w:p w14:paraId="3E5F7B2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piemērs</w:t>
      </w:r>
    </w:p>
    <w:p w14:paraId="7004B8D2" w14:textId="77777777" w:rsidR="00443399" w:rsidRPr="00B03B51" w:rsidRDefault="00443399" w:rsidP="00443399">
      <w:pPr>
        <w:jc w:val="both"/>
        <w:rPr>
          <w:rFonts w:ascii="Times New Roman" w:eastAsia="Arial" w:hAnsi="Times New Roman" w:cs="Times New Roman"/>
          <w:b/>
          <w:bCs/>
          <w:noProof/>
          <w:sz w:val="24"/>
        </w:rPr>
      </w:pPr>
    </w:p>
    <w:p w14:paraId="003343D5" w14:textId="77777777" w:rsidR="00443399" w:rsidRPr="00B03B51" w:rsidRDefault="00443399" w:rsidP="00500EA4">
      <w:pPr>
        <w:pStyle w:val="BodyText"/>
        <w:numPr>
          <w:ilvl w:val="0"/>
          <w:numId w:val="3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Pieņemsim, ka centrālā banka tur monetāro zeltu, kura vērtība 1. gadā palielinās par 100 miljoniem </w:t>
      </w:r>
      <w:r w:rsidRPr="00B03B51">
        <w:rPr>
          <w:rFonts w:ascii="Times New Roman" w:hAnsi="Times New Roman" w:cs="Times New Roman"/>
          <w:i/>
          <w:iCs/>
          <w:sz w:val="24"/>
        </w:rPr>
        <w:t>euro</w:t>
      </w:r>
      <w:r w:rsidRPr="00B03B51">
        <w:rPr>
          <w:rFonts w:ascii="Times New Roman" w:hAnsi="Times New Roman" w:cs="Times New Roman"/>
          <w:sz w:val="24"/>
        </w:rPr>
        <w:t>.</w:t>
      </w:r>
    </w:p>
    <w:p w14:paraId="49BDF973" w14:textId="77777777" w:rsidR="00443399" w:rsidRPr="00B03B51" w:rsidRDefault="00443399" w:rsidP="00500EA4">
      <w:pPr>
        <w:pStyle w:val="BodyText"/>
        <w:numPr>
          <w:ilvl w:val="0"/>
          <w:numId w:val="3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Otrajā gadā centrālā banka pārdod finanšu sabiedrībām zeltu 90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 Pirms faktiskā pārdevuma zeltu demonetizē.</w:t>
      </w:r>
    </w:p>
    <w:p w14:paraId="18179E07" w14:textId="77777777" w:rsidR="00443399" w:rsidRPr="00B03B51" w:rsidRDefault="00443399" w:rsidP="00500EA4">
      <w:pPr>
        <w:pStyle w:val="BodyText"/>
        <w:numPr>
          <w:ilvl w:val="0"/>
          <w:numId w:val="3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3. gadā ieņēmumus pārskaita valdībai.</w:t>
      </w:r>
    </w:p>
    <w:p w14:paraId="5D162DF6" w14:textId="77777777" w:rsidR="00443399" w:rsidRPr="00B03B51" w:rsidRDefault="00443399" w:rsidP="00443399">
      <w:pPr>
        <w:jc w:val="both"/>
        <w:rPr>
          <w:rFonts w:ascii="Times New Roman" w:eastAsia="Arial" w:hAnsi="Times New Roman" w:cs="Times New Roman"/>
          <w:noProof/>
          <w:sz w:val="24"/>
          <w:szCs w:val="20"/>
        </w:rPr>
      </w:pPr>
    </w:p>
    <w:p w14:paraId="36EE11C8" w14:textId="77777777" w:rsidR="00443399" w:rsidRPr="00B03B51" w:rsidRDefault="00443399" w:rsidP="00500EA4">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7C59AB17" wp14:editId="1705911C">
            <wp:extent cx="5756275" cy="2125345"/>
            <wp:effectExtent l="0" t="0" r="0"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6275" cy="2125345"/>
                    </a:xfrm>
                    <a:prstGeom prst="rect">
                      <a:avLst/>
                    </a:prstGeom>
                  </pic:spPr>
                </pic:pic>
              </a:graphicData>
            </a:graphic>
          </wp:inline>
        </w:drawing>
      </w:r>
    </w:p>
    <w:p w14:paraId="662CF035" w14:textId="77777777" w:rsidR="00443399" w:rsidRPr="00B03B51" w:rsidRDefault="00443399" w:rsidP="00443399">
      <w:pPr>
        <w:jc w:val="both"/>
        <w:rPr>
          <w:rFonts w:ascii="Times New Roman" w:eastAsia="Arial" w:hAnsi="Times New Roman" w:cs="Times New Roman"/>
          <w:noProof/>
          <w:sz w:val="24"/>
          <w:szCs w:val="20"/>
        </w:rPr>
      </w:pPr>
    </w:p>
    <w:p w14:paraId="65081730"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4B9CAD79" wp14:editId="54B7CDAD">
            <wp:extent cx="5756275" cy="530098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6275" cy="5300980"/>
                    </a:xfrm>
                    <a:prstGeom prst="rect">
                      <a:avLst/>
                    </a:prstGeom>
                  </pic:spPr>
                </pic:pic>
              </a:graphicData>
            </a:graphic>
          </wp:inline>
        </w:drawing>
      </w:r>
    </w:p>
    <w:p w14:paraId="026E88E6"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2A5A5412" wp14:editId="6657F16E">
            <wp:extent cx="5756275" cy="313055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6275" cy="3130550"/>
                    </a:xfrm>
                    <a:prstGeom prst="rect">
                      <a:avLst/>
                    </a:prstGeom>
                  </pic:spPr>
                </pic:pic>
              </a:graphicData>
            </a:graphic>
          </wp:inline>
        </w:drawing>
      </w:r>
    </w:p>
    <w:p w14:paraId="658687B7" w14:textId="0AF8B062" w:rsidR="000F6153" w:rsidRDefault="000F6153">
      <w:pPr>
        <w:widowControl/>
        <w:spacing w:after="160" w:line="259" w:lineRule="auto"/>
        <w:rPr>
          <w:rFonts w:ascii="Times New Roman" w:eastAsia="Arial" w:hAnsi="Times New Roman" w:cs="Times New Roman"/>
          <w:noProof/>
          <w:sz w:val="24"/>
          <w:szCs w:val="20"/>
        </w:rPr>
      </w:pPr>
      <w:r>
        <w:rPr>
          <w:rFonts w:ascii="Times New Roman" w:eastAsia="Arial" w:hAnsi="Times New Roman" w:cs="Times New Roman"/>
          <w:noProof/>
          <w:sz w:val="24"/>
          <w:szCs w:val="20"/>
        </w:rPr>
        <w:br w:type="page"/>
      </w:r>
    </w:p>
    <w:p w14:paraId="367A87AB" w14:textId="77777777" w:rsidR="00443399" w:rsidRPr="00B03B51" w:rsidRDefault="00443399" w:rsidP="00500EA4">
      <w:pPr>
        <w:pStyle w:val="Heading2"/>
        <w:keepNext/>
        <w:tabs>
          <w:tab w:val="left" w:pos="1135"/>
        </w:tabs>
        <w:spacing w:before="0"/>
        <w:ind w:left="0" w:firstLine="0"/>
        <w:jc w:val="both"/>
        <w:rPr>
          <w:rFonts w:ascii="Times New Roman" w:hAnsi="Times New Roman" w:cs="Times New Roman"/>
          <w:noProof/>
          <w:sz w:val="28"/>
          <w:szCs w:val="44"/>
        </w:rPr>
      </w:pPr>
      <w:bookmarkStart w:id="340" w:name="4.4_Non-returned_banknotes_and_coins_aft"/>
      <w:bookmarkStart w:id="341" w:name="_bookmark34"/>
      <w:bookmarkStart w:id="342" w:name="_Toc67565128"/>
      <w:bookmarkEnd w:id="340"/>
      <w:bookmarkEnd w:id="341"/>
      <w:r w:rsidRPr="00B03B51">
        <w:rPr>
          <w:rFonts w:ascii="Times New Roman" w:hAnsi="Times New Roman" w:cs="Times New Roman"/>
          <w:sz w:val="28"/>
          <w:szCs w:val="44"/>
        </w:rPr>
        <w:lastRenderedPageBreak/>
        <w:t>4.4. Neatgūtās banknotes un monētas pēc naudas nomaiņas</w:t>
      </w:r>
      <w:bookmarkEnd w:id="342"/>
    </w:p>
    <w:p w14:paraId="15B38483" w14:textId="77777777" w:rsidR="00443399" w:rsidRPr="00B03B51" w:rsidRDefault="00443399" w:rsidP="00500EA4">
      <w:pPr>
        <w:keepNext/>
        <w:tabs>
          <w:tab w:val="left" w:pos="1267"/>
        </w:tabs>
        <w:jc w:val="both"/>
        <w:rPr>
          <w:rFonts w:ascii="Times New Roman" w:hAnsi="Times New Roman" w:cs="Times New Roman"/>
          <w:b/>
          <w:noProof/>
          <w:sz w:val="24"/>
        </w:rPr>
      </w:pPr>
      <w:bookmarkStart w:id="343" w:name="4.4.1_Background"/>
      <w:bookmarkEnd w:id="343"/>
    </w:p>
    <w:p w14:paraId="22EF63D1" w14:textId="77777777" w:rsidR="00443399" w:rsidRPr="00BE27DC" w:rsidRDefault="00443399" w:rsidP="00BE27DC">
      <w:pPr>
        <w:pStyle w:val="Heading3"/>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4.4.1. Vispārīga informācija</w:t>
      </w:r>
    </w:p>
    <w:p w14:paraId="54D514AD" w14:textId="77777777" w:rsidR="00443399" w:rsidRPr="00B03B51" w:rsidRDefault="00443399" w:rsidP="00500EA4">
      <w:pPr>
        <w:pStyle w:val="BodyText"/>
        <w:keepNext/>
        <w:tabs>
          <w:tab w:val="left" w:pos="843"/>
        </w:tabs>
        <w:spacing w:before="0"/>
        <w:ind w:left="0" w:firstLine="0"/>
        <w:jc w:val="both"/>
        <w:rPr>
          <w:rFonts w:ascii="Times New Roman" w:hAnsi="Times New Roman" w:cs="Times New Roman"/>
          <w:noProof/>
          <w:sz w:val="24"/>
        </w:rPr>
      </w:pPr>
    </w:p>
    <w:p w14:paraId="0D872331" w14:textId="77777777" w:rsidR="00443399" w:rsidRPr="00B03B51" w:rsidRDefault="00443399" w:rsidP="00500EA4">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Naudas nomaiņas laikā apgrozībā esošās valsts valūtas banknotes un monētas nodod atpakaļ to attiecīgajiem emitentiem, kas banknošu gadījumā ir valstu centrālās bankas, bet monētu gadījumā tās parasti ir valdības. Tomēr daļa no iepriekš apgrozībā bijušās valsts valūtas nekad netiks saņemta atpakaļ, jo tā ir tikusi iznīcināta vai nozaudēta, vai arī tāpēc, ka turētāji ir nolēmuši to paturēt savā kolekcijā vai citiem mērķiem.</w:t>
      </w:r>
    </w:p>
    <w:p w14:paraId="145DC9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01234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Tiklīdz VCB vairs nemaina vai neplāno mainīt vecās valsts valūtas banknotes, tā noraksta saistību. Šo norakstīšanu pēc tam ieraksta kā peļņu VCB peļņas un zaudējumu pārskatā. Valdībai pēc tam var uzkrāties peļņa no valsts valūtas banknošu nesaņemšanas vai nu kā valstu centrālo banku (VCB) veikts atsevišķs maksājums, vai kā daļa no regulāriem dividenžu un/vai ienākuma nodokļa maksājumiem. Jautājums ir par to, ciktāl šāds maksājums ietekmē valdības neto aizņēmumu/aizdevumu (B.9).</w:t>
      </w:r>
    </w:p>
    <w:p w14:paraId="5FB4635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53F2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EKS 2010 ierakstīšanas noteikumi attiecas tikai uz krājumu un plūsmu ierakstīšanu nacionālajos kontos, un tajos nekas nav paredzēts attiecībā uz VCB faktiski kārtoto grāmatvedību. ECB Pamatnostādnes 2006/16 nosaka tiesisko regulējumu uzskaitei un finanšu ziņojumu sniegšanai Eiropas Centrālo banku sistēmā.</w:t>
      </w:r>
    </w:p>
    <w:p w14:paraId="7D7C703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E9EF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Kopumā monētas ir valdības saistības, un rodas jautājums, vai to neatgūšana ietekmē valdības neto aizdevumu/aizņēmumu (B.9) un parādu (skat. turpmāk 4.4.2.2. apakšiedaļas “Neatgūtās monētas” traktējumu, par kuru panākta vienošanās EKS 2010).</w:t>
      </w:r>
    </w:p>
    <w:p w14:paraId="0EA28FF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7A3C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Šajā nodaļā izklāstītos ierakstīšanas principus piemēro ne tikai attiecībā uz naudas nomaiņu uz </w:t>
      </w:r>
      <w:r w:rsidRPr="00B03B51">
        <w:rPr>
          <w:rFonts w:ascii="Times New Roman" w:hAnsi="Times New Roman" w:cs="Times New Roman"/>
          <w:i/>
          <w:iCs/>
          <w:sz w:val="24"/>
        </w:rPr>
        <w:t>euro</w:t>
      </w:r>
      <w:r w:rsidRPr="00B03B51">
        <w:rPr>
          <w:rFonts w:ascii="Times New Roman" w:hAnsi="Times New Roman" w:cs="Times New Roman"/>
          <w:sz w:val="24"/>
        </w:rPr>
        <w:t>, bet arī attiecībā uz citiem gadījumiem, kad esošās monētu un banknošu sērijas aizstāj ar jaunām monētu un banknošu sērijām, piemēram, banknošu noformējuma maiņas dēļ.</w:t>
      </w:r>
    </w:p>
    <w:p w14:paraId="2565E8DF" w14:textId="77777777" w:rsidR="00443399" w:rsidRPr="00B03B51" w:rsidRDefault="00443399" w:rsidP="00443399">
      <w:pPr>
        <w:jc w:val="both"/>
        <w:rPr>
          <w:rFonts w:ascii="Times New Roman" w:eastAsia="Arial" w:hAnsi="Times New Roman" w:cs="Times New Roman"/>
          <w:noProof/>
          <w:sz w:val="24"/>
          <w:szCs w:val="18"/>
        </w:rPr>
      </w:pPr>
    </w:p>
    <w:p w14:paraId="51A37E64" w14:textId="77777777" w:rsidR="00443399" w:rsidRPr="00B03B51" w:rsidRDefault="00443399" w:rsidP="009A567F">
      <w:pPr>
        <w:pStyle w:val="Heading3"/>
        <w:tabs>
          <w:tab w:val="left" w:pos="1267"/>
        </w:tabs>
        <w:ind w:left="0" w:firstLine="0"/>
        <w:jc w:val="both"/>
        <w:rPr>
          <w:rFonts w:ascii="Times New Roman" w:hAnsi="Times New Roman" w:cs="Times New Roman"/>
          <w:noProof/>
          <w:sz w:val="24"/>
        </w:rPr>
      </w:pPr>
      <w:bookmarkStart w:id="344" w:name="4.4.2_Treatment_in_national_accounts"/>
      <w:bookmarkStart w:id="345" w:name="_Toc67565129"/>
      <w:bookmarkEnd w:id="344"/>
      <w:r w:rsidRPr="00B03B51">
        <w:rPr>
          <w:rFonts w:ascii="Times New Roman" w:hAnsi="Times New Roman" w:cs="Times New Roman"/>
          <w:sz w:val="24"/>
        </w:rPr>
        <w:t>4.4.2. Traktējums nacionālajos kontos</w:t>
      </w:r>
      <w:bookmarkEnd w:id="345"/>
    </w:p>
    <w:p w14:paraId="083491D5" w14:textId="77777777" w:rsidR="00443399" w:rsidRPr="00BE27DC" w:rsidRDefault="00443399" w:rsidP="00BE27DC">
      <w:pPr>
        <w:rPr>
          <w:rFonts w:ascii="Times New Roman" w:hAnsi="Times New Roman" w:cs="Times New Roman"/>
          <w:noProof/>
          <w:sz w:val="24"/>
          <w:szCs w:val="24"/>
        </w:rPr>
      </w:pPr>
      <w:bookmarkStart w:id="346" w:name="4.4.2.1_Non-returned_banknotes"/>
      <w:bookmarkEnd w:id="346"/>
    </w:p>
    <w:p w14:paraId="63CB4123" w14:textId="77777777" w:rsidR="00443399" w:rsidRPr="00B03B51" w:rsidRDefault="00443399" w:rsidP="009A567F">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4.4.2.1. NEATGŪTĀS BANKNOTES</w:t>
      </w:r>
    </w:p>
    <w:p w14:paraId="078ED4BA" w14:textId="77777777" w:rsidR="00443399" w:rsidRPr="00B03B51" w:rsidRDefault="00443399" w:rsidP="009A567F">
      <w:pPr>
        <w:pStyle w:val="BodyText"/>
        <w:tabs>
          <w:tab w:val="left" w:pos="843"/>
        </w:tabs>
        <w:spacing w:before="0"/>
        <w:ind w:left="0" w:firstLine="0"/>
        <w:jc w:val="both"/>
        <w:rPr>
          <w:rFonts w:ascii="Times New Roman" w:hAnsi="Times New Roman" w:cs="Times New Roman"/>
          <w:noProof/>
          <w:sz w:val="24"/>
        </w:rPr>
      </w:pPr>
    </w:p>
    <w:p w14:paraId="0D83A476" w14:textId="77777777" w:rsidR="00443399" w:rsidRPr="00B03B51" w:rsidRDefault="00443399" w:rsidP="009A567F">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Ienākumi no neatgūtajām banknotēm nekādi neietekmē valdības neto aizdevumu/aizņēmumu (B.9). Apgrozībā esošās banknotes uzrāda VCB bilances postenī “Valūta un noguldījumi” (AF.2). Naudas nomaiņas gadījumā vecās valsts valūtas banknotes, kuras vairs nav likumīgs maksāšanas līdzeklis un nav atdotas VCB, klasificē VCB bilancē kā citas kreditoru saistības (AF.8). Kad banknotes, kuras vairs nav likumīgs maksāšanas līdzeklis, apmaina pret jaunām banknotēm, posteņa “Citas kreditoru saistības” samazinājumu ieraksta ar pretēju ierakstu postenī “Valūta un noguldījumi”.</w:t>
      </w:r>
    </w:p>
    <w:p w14:paraId="0E4901E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1DA0BB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Neatgūtās valsts valūtas banknotes noraksta no VCB bilances nacionālajos kontos, tiklīdz VCB vairs neveic to apmaiņu pret jaunām banknotēm. Valstīs, kurās vecās nacionālās valūtas banknotes var apmainīt pret jaunajām banknotēm neierobežotu laiku, vecās banknotes noraksta no VCB bilances brīdī, kad ir skaidrs, ka tās vairs netiks atgūtas, pat ja joprojām pastāv juridisks pienākums tās apmainīt. Šķiet, ka praksē tiek ievērota piesardzīga pieeja, saskaņā ar kuru statistiķi vairs neatzīst VCB saistības finanšu kontu veidošanas mērķiem, lai gan VCB grāmatveži vēl joprojām to dara. Šādu norakstīšanu ieraksta kā citas apjoma pārmaiņas VCB postenī “Citas kreditoru saistības”.</w:t>
      </w:r>
    </w:p>
    <w:p w14:paraId="4500A3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7F0A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Valdībai piederošā pašu kapitāla vērtība palielināsies par summu, kas atbilst norakstītajai summai, pieņemot, ka valdība ir vienīgā akcionāre, kam ir tiesības uz ienākumiem no neatgūtajām banknotēm. Šādu palielinājumu ieraksta gan VCB, gan valdības kontā “Citas aktīvu pārmaiņas”. Ja ienākumus no neatgūtajām banknotēm izmaksā valdībai, izmaksātās summas ieraksta kā finanšu darījumus (valdības veikta pašu kapitāla izņemšana (F.5)), nevis kā valdības ieņēmumus (dividendes, peļņas nodokļus vai kapitāla pārvedumus). Atsevišķās valstīs valdība juridiski nav VCB akcionāre, tomēr saskaņā ar tiesību aktiem valdībai ir tiesības saņemt ieņēmumus no neatgūtajām banknotēm. Šādos gadījumos nacionālajos kontos atzīst valdības ekonomiskās īpašumtiesības un ieraksta valdības pašu kapitāla daļu (F.519) VCB.</w:t>
      </w:r>
    </w:p>
    <w:p w14:paraId="58C4635E" w14:textId="77777777" w:rsidR="00443399" w:rsidRPr="00B03B51" w:rsidRDefault="00443399" w:rsidP="00443399">
      <w:pPr>
        <w:jc w:val="both"/>
        <w:rPr>
          <w:rFonts w:ascii="Times New Roman" w:hAnsi="Times New Roman" w:cs="Times New Roman"/>
          <w:noProof/>
          <w:sz w:val="24"/>
        </w:rPr>
      </w:pPr>
    </w:p>
    <w:p w14:paraId="0124E41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Ja VCB veic maksājumus valdībai, paredzot neatgūto banknošu norakstīšanu, maksājumus nacionālajos kontos uzskata par avansa maksājumiem. Maksājumus ieraksta kā citas kreditoru saistības (F.8) valdības kontos un kā citas debitoru saistības (F.8) VCB kontos ar pretējiem ierakstiem postenī “Valūta un noguldījumi” (F.2.). Tiklīdz notiek faktiska norakstīšana, F.8 iepriekš ierakstītās summas pārvērš par valdības veiktu pašu kapitāla izņemšanu.</w:t>
      </w:r>
    </w:p>
    <w:p w14:paraId="7F4E2E9F" w14:textId="77777777" w:rsidR="00443399" w:rsidRPr="00B03B51" w:rsidRDefault="00443399" w:rsidP="00443399">
      <w:pPr>
        <w:jc w:val="both"/>
        <w:rPr>
          <w:rFonts w:ascii="Times New Roman" w:eastAsia="Arial" w:hAnsi="Times New Roman" w:cs="Times New Roman"/>
          <w:noProof/>
          <w:sz w:val="24"/>
          <w:szCs w:val="15"/>
        </w:rPr>
      </w:pPr>
    </w:p>
    <w:p w14:paraId="755F90C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47" w:name="4.4.2.2_Non-returned_coins"/>
      <w:bookmarkEnd w:id="347"/>
      <w:r w:rsidRPr="00B03B51">
        <w:rPr>
          <w:rFonts w:ascii="Times New Roman" w:hAnsi="Times New Roman" w:cs="Times New Roman"/>
          <w:sz w:val="24"/>
        </w:rPr>
        <w:t>4.4.2.2. NEATGŪTĀS MONĒTAS</w:t>
      </w:r>
    </w:p>
    <w:p w14:paraId="6E423A2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BE8B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Neatgūtās monētas ietekmē valsts parādu atbilstīgi tam, kā noteikts attiecībā uz pārmērīga budžeta deficīta novēršanas procedūru, bet neietekmē valdības neto aizdevumu/aizņēmumu (B.9). Traktējums nacionālajos kontos ir tāds pats kā attiecībā uz neatgūtajām naudaszīmēm.</w:t>
      </w:r>
    </w:p>
    <w:p w14:paraId="11E7FAF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9469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Apgrozībā esošās monētas publiskajos kontos ir centrālās valdības saistības, nevis centrālās bankas saistības, tāpēc centrālā banka samaksā centrālajai valdībai emitēto monētu nominālvērtību. Tomēr monētas ir daļa no naudas rādītājiem un saistības, kas atbilst emitētajai summai, ir pieņemts norādīt kategorijā “Apgrozībā esošā valūta” centrālās bankas bilancē ar nosacītu prasījumu (AF.29) pret centrālo valdību un ar saistībām (AF.29) valdības kontos (skat. EKS 2010 5. nodaļas B.5.2. ierāmējumu un šīs rokasgrāmatas 8.2. nodaļu “Vispārējās valdības parāda aprēķināšana”).</w:t>
      </w:r>
    </w:p>
    <w:p w14:paraId="57B303F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9AB507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Naudas maiņas laikā vecās valsts valūtas monētas, kuras vairs nav likumīgs maksāšanas līdzeklis un vēl nav atdotas valdībai, taču kuras joprojām var apmainīt pret likumīgu maksāšanas līdzekli, pārklasificē kā citas kreditoru saistības (F.8) konta “Citas aktīvu pārmaiņas” postenī “Citas apjoma pārmaiņas” (K.5). Tas samazina parāda uzkrājumu, tiklīdz vecā valūta vairs nav likumīgs maksāšanas līdzeklis, jo citas kreditoru saistības nav daļa no valsts parāda. Ja veco valūtu apmaina pret jaunām monētām, valdības parāds palielinās, jo palielinās apgrozībā esošo monētu summa.</w:t>
      </w:r>
    </w:p>
    <w:p w14:paraId="0C3B31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5F780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Neatgūtās valsts valūtas monētas valdības bilancē noraksta brīdī, kad valdība vairs nemaina vecās valsts valūtas monētas pret jaunu likumīgo maksāšanas līdzekli vai arī kad kļuvis skaidrs, ka tās vairs netiks atgūtas. Nacionālajos kontos to ieraksta kā citas apjoma pārmaiņas (K.5), neietekmējot valdības neto aizdevumu/aizņēmumu (B.9).</w:t>
      </w:r>
    </w:p>
    <w:p w14:paraId="131AF665" w14:textId="77777777" w:rsidR="00443399" w:rsidRPr="00B03B51" w:rsidRDefault="00443399" w:rsidP="00443399">
      <w:pPr>
        <w:jc w:val="both"/>
        <w:rPr>
          <w:rFonts w:ascii="Times New Roman" w:eastAsia="Arial" w:hAnsi="Times New Roman" w:cs="Times New Roman"/>
          <w:noProof/>
          <w:sz w:val="24"/>
          <w:szCs w:val="18"/>
        </w:rPr>
      </w:pPr>
    </w:p>
    <w:p w14:paraId="0C6B4DCC"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48" w:name="4.4.3_Rationale_of_the_treatment"/>
      <w:bookmarkStart w:id="349" w:name="_Toc67565130"/>
      <w:bookmarkEnd w:id="348"/>
      <w:r w:rsidRPr="00B03B51">
        <w:rPr>
          <w:rFonts w:ascii="Times New Roman" w:hAnsi="Times New Roman" w:cs="Times New Roman"/>
          <w:sz w:val="24"/>
        </w:rPr>
        <w:t>4.4.3. Traktējuma pamatojums</w:t>
      </w:r>
      <w:bookmarkEnd w:id="349"/>
    </w:p>
    <w:p w14:paraId="0B943B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AAB8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EKS 2010 kategorijā “Valūta” (F.12) ietilpst monētas un banknotes, kuras plaši izmanto norēķiniem (skat. EKS 2010 5.76.–5.78. punktu). Tiklīdz vecās valsts valūtas banknotes un monētas vairs nav likumīgs maksāšanas līdzeklis, tās vairs nevar izmantot norēķiniem un attiecīgi tās ir jāizslēdz no EKS 2010 aktīvu kategorijas “Valūta” (F.21). Tā nav institucionālo vienību sadarbība uz savstarpējas vienošanās pamata un tāpēc to neieraksta kā finanšu darījumu </w:t>
      </w:r>
      <w:r w:rsidRPr="00B03B51">
        <w:rPr>
          <w:rFonts w:ascii="Times New Roman" w:hAnsi="Times New Roman" w:cs="Times New Roman"/>
          <w:sz w:val="24"/>
        </w:rPr>
        <w:lastRenderedPageBreak/>
        <w:t xml:space="preserve">(skat. EKS 2010 1.66. punktu). Tā vietā aktīva pārklasificēšanu, izņemot zelta (de)monetizāciju (K.62), ieraksta (EKS 2010 6.24. punktā) gan debitora, gan kreditora kontā “Citas aktīvu pārmaiņas”. Tik ilgi, kamēr vecās monētas un banknotes var apmainīt pret jaunām, tās ir uzskatāmas par finanšu prasījumiem pret emitentiem un attiecīgi arī par finanšu aktīviem (atšķirībā no dārgmetāliem), tāpēc tās ir jāpārklasificē EKS 2010 kategorijā “Citas debitoru/kreditoru saistības”. Tās </w:t>
      </w:r>
      <w:r w:rsidRPr="00B03B51">
        <w:rPr>
          <w:rFonts w:ascii="Times New Roman" w:hAnsi="Times New Roman" w:cs="Times New Roman"/>
          <w:i/>
          <w:iCs/>
          <w:sz w:val="24"/>
        </w:rPr>
        <w:t>de facto</w:t>
      </w:r>
      <w:r w:rsidRPr="00B03B51">
        <w:rPr>
          <w:rFonts w:ascii="Times New Roman" w:hAnsi="Times New Roman" w:cs="Times New Roman"/>
          <w:sz w:val="24"/>
        </w:rPr>
        <w:t xml:space="preserve"> pilda vērtību uzkrāšanas funkciju to turētājiem, savukārt to emitentam ir saistības, jo šo instrumentu uzrādīšanas gadījumā tie ir jāizpērk.</w:t>
      </w:r>
    </w:p>
    <w:p w14:paraId="406AFDC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96EA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Tiklīdz vecās valsts valūtas banknotes un monētas vairs nevar apmainīt pret jauno valūtu un tādējādi tās vairs neveido prasījumu pret to emitentu, ir jāieraksta citas finanšu aktīvu un saistību apjoma pārmaiņas (K.5) gan debitora, gan kreditora kontā “Citas aktīvu pārmaiņas”, jo šādas pārmaiņas nav radušās ne savstarpējas vienošanās, ne arī finanšu darījuma vai kapitāla pārveduma rezultātā. Praksē grāmatveži arī noraksta veco valūtu, tiklīdz ir (gandrīz pilnīgi) skaidrs, ka vecās banknotes un monētas vairs netiks mainītas, pat ja joprojām pastāv juridisks pienākums tās apmainīt. Grāmatveži no pieredzes zina, ka ne visas vecās banknotes un monētas tiks apmainītas vai nu ārkārtas zaudējumu dēļ (skat. EKS 2010 6.14. punkta a) apakšpunktu), vai arī tāpēc, ka vecās banknotes un monētas tiek paturētas kolekcionēšanai. Šādā gadījumā statistiķi ievēro tādu pašu pieeju kā grāmatveži un arī ieraksta norakstīšanu nacionālajos kontos, lai atspoguļotu ekonomisko, nevis juridisko realitāti. Ja norakstītās vecās banknotes un monētas pretēji gaidītajam tomēr nodod apmaiņai pret jaunām banknotēm un monētām, norakstīšanu apvērš gan debitora, gan kreditora kontā “Citas aktīvu pārmaiņas”.</w:t>
      </w:r>
    </w:p>
    <w:p w14:paraId="2FC236D1" w14:textId="77777777" w:rsidR="00443399" w:rsidRPr="00B03B51" w:rsidRDefault="00443399" w:rsidP="00443399">
      <w:pPr>
        <w:jc w:val="both"/>
        <w:rPr>
          <w:rFonts w:ascii="Times New Roman" w:hAnsi="Times New Roman" w:cs="Times New Roman"/>
          <w:noProof/>
          <w:sz w:val="24"/>
        </w:rPr>
      </w:pPr>
    </w:p>
    <w:p w14:paraId="48BDC54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Banknošu norakstīšanas dēļ palielināsies valdībai piederošā VCB pašu kapitāla vērtība, jo samazināsies VCB nenokārtoto saistību summa. Arī pārmaiņas pašu kapitāla novērtējumā ir jāieraksta kontā “Citas aktīvu pārmaiņas” (pārvērtēšanas kontā).</w:t>
      </w:r>
    </w:p>
    <w:p w14:paraId="3345BDA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88DA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Maksājumus, kurus VCB veic valdībai pēc ienākumu no neatgrieztajām banknotēm gūšanas, nevar ierakstīt kā dividenžu ienākumus (ņemot vērā, ka pašu kapitālu novērtē pēc VCB neto aktīviem). Šie ienākumi ir gūti norakstīšanas rezultātā, nevis ražošanas vai ražošanas pārdales rezultātā, un tāpēc tie nevar būt daļa no VCB pamatdarbības peļņas. Šā iemesla dēļ maksājums valdībai ir jāieraksta kā valdības veikta pašu kapitāla izņemšana bez izmaiņām valdības neto aizdevumā/aizņēmumā (B.9).</w:t>
      </w:r>
    </w:p>
    <w:p w14:paraId="3E2C80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4169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Pārklasificēšana vai veco monētu norakstīšana arī nerada nekādas izmaiņas neto aizdevumā/aizņēmumā (B.9). Saskaņā ar definīciju, ko izmanto pārmērīga budžeta deficīta novēršanas procedūrā, valdības parādā ietilpst valūtas un noguldījumi (F.2), parāda vērtspapīri (F.3) un aizdevumi (F.4). Veco monētu pārklasificēšana no valūtas un noguldījumiem uz citām kreditoru saistībām, tiklīdz tās vairs nav likumīgs maksāšanas līdzeklis, samazina parāda uzkrājumu, jo citas kreditoru saistības nav daļa no valdības parāda. Ja veco valūtu apmaina pret jaunām monētām, valdības parāds palielinās, jo palielinās apgrozībā esošo monētu summa.</w:t>
      </w:r>
    </w:p>
    <w:p w14:paraId="047C0113" w14:textId="77777777" w:rsidR="00443399" w:rsidRPr="00B03B51" w:rsidRDefault="00443399" w:rsidP="00443399">
      <w:pPr>
        <w:jc w:val="both"/>
        <w:rPr>
          <w:rFonts w:ascii="Times New Roman" w:eastAsia="Arial" w:hAnsi="Times New Roman" w:cs="Times New Roman"/>
          <w:noProof/>
          <w:sz w:val="24"/>
          <w:szCs w:val="18"/>
        </w:rPr>
      </w:pPr>
    </w:p>
    <w:p w14:paraId="2441F31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50" w:name="4.4.4_Accounting_examples"/>
      <w:bookmarkStart w:id="351" w:name="_Toc67565131"/>
      <w:bookmarkEnd w:id="350"/>
      <w:r w:rsidRPr="00B03B51">
        <w:rPr>
          <w:rFonts w:ascii="Times New Roman" w:hAnsi="Times New Roman" w:cs="Times New Roman"/>
          <w:sz w:val="24"/>
        </w:rPr>
        <w:t>4.4.4. Uzskaites piemēri</w:t>
      </w:r>
      <w:bookmarkEnd w:id="351"/>
    </w:p>
    <w:p w14:paraId="1118AF1A" w14:textId="77777777" w:rsidR="00443399" w:rsidRPr="00B03B51" w:rsidRDefault="00443399" w:rsidP="00443399">
      <w:pPr>
        <w:jc w:val="both"/>
        <w:rPr>
          <w:rFonts w:ascii="Times New Roman" w:hAnsi="Times New Roman" w:cs="Times New Roman"/>
          <w:b/>
          <w:noProof/>
          <w:sz w:val="24"/>
        </w:rPr>
      </w:pPr>
    </w:p>
    <w:p w14:paraId="7B022CD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 piemērs</w:t>
      </w:r>
    </w:p>
    <w:p w14:paraId="1D7E4CDB" w14:textId="77777777" w:rsidR="00443399" w:rsidRPr="00B03B51" w:rsidRDefault="00443399" w:rsidP="00443399">
      <w:pPr>
        <w:jc w:val="both"/>
        <w:rPr>
          <w:rFonts w:ascii="Times New Roman" w:eastAsia="Arial" w:hAnsi="Times New Roman" w:cs="Times New Roman"/>
          <w:b/>
          <w:bCs/>
          <w:noProof/>
          <w:sz w:val="24"/>
        </w:rPr>
      </w:pPr>
    </w:p>
    <w:p w14:paraId="11573C03"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Euro</w:t>
      </w:r>
      <w:r w:rsidRPr="00B03B51">
        <w:rPr>
          <w:rFonts w:ascii="Times New Roman" w:hAnsi="Times New Roman" w:cs="Times New Roman"/>
          <w:sz w:val="24"/>
        </w:rPr>
        <w:t xml:space="preserve"> ievieš 1. gada 1. dienā.</w:t>
      </w:r>
    </w:p>
    <w:p w14:paraId="5AA5F962"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pusgada vecās nacionālās valūtas banknotes vairs nepieņem kā likumīgu maksāšanas līdzekli. Līdz 1. gada beigām pret </w:t>
      </w:r>
      <w:r w:rsidRPr="00B03B51">
        <w:rPr>
          <w:rFonts w:ascii="Times New Roman" w:hAnsi="Times New Roman" w:cs="Times New Roman"/>
          <w:i/>
          <w:iCs/>
          <w:sz w:val="24"/>
        </w:rPr>
        <w:t>euro</w:t>
      </w:r>
      <w:r w:rsidRPr="00B03B51">
        <w:rPr>
          <w:rFonts w:ascii="Times New Roman" w:hAnsi="Times New Roman" w:cs="Times New Roman"/>
          <w:sz w:val="24"/>
        </w:rPr>
        <w:t xml:space="preserve"> vēl nav apmainītas vecās banknotes 100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w:t>
      </w:r>
    </w:p>
    <w:p w14:paraId="2C5D0A95"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pusotra gada vecās banknotes vairs nevar apmainīt pret </w:t>
      </w:r>
      <w:r w:rsidRPr="00B03B51">
        <w:rPr>
          <w:rFonts w:ascii="Times New Roman" w:hAnsi="Times New Roman" w:cs="Times New Roman"/>
          <w:i/>
          <w:iCs/>
          <w:sz w:val="24"/>
        </w:rPr>
        <w:t>euro</w:t>
      </w:r>
      <w:r w:rsidRPr="00B03B51">
        <w:rPr>
          <w:rFonts w:ascii="Times New Roman" w:hAnsi="Times New Roman" w:cs="Times New Roman"/>
          <w:sz w:val="24"/>
        </w:rPr>
        <w:t xml:space="preserve">. Līdz 2. gada beigām pret </w:t>
      </w:r>
      <w:r w:rsidRPr="00B03B51">
        <w:rPr>
          <w:rFonts w:ascii="Times New Roman" w:hAnsi="Times New Roman" w:cs="Times New Roman"/>
          <w:i/>
          <w:iCs/>
          <w:sz w:val="24"/>
        </w:rPr>
        <w:t>euro</w:t>
      </w:r>
      <w:r w:rsidRPr="00B03B51">
        <w:rPr>
          <w:rFonts w:ascii="Times New Roman" w:hAnsi="Times New Roman" w:cs="Times New Roman"/>
          <w:sz w:val="24"/>
        </w:rPr>
        <w:t xml:space="preserve"> vēl nav apmainītas vecās banknotes 15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 kuras attiecīgi tiek </w:t>
      </w:r>
      <w:r w:rsidRPr="00B03B51">
        <w:rPr>
          <w:rFonts w:ascii="Times New Roman" w:hAnsi="Times New Roman" w:cs="Times New Roman"/>
          <w:sz w:val="24"/>
        </w:rPr>
        <w:lastRenderedPageBreak/>
        <w:t>norakstītas.</w:t>
      </w:r>
    </w:p>
    <w:p w14:paraId="086BB1C7"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Otrā gada otrajā pusē VCB samaksā valdībai summu 15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apmērā.</w:t>
      </w:r>
    </w:p>
    <w:p w14:paraId="268FC2E3"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Vienkāršošanas nolūkā tiek pieņemts, ka vecās banknotes apmaina pret jaunām banknotēm, nevis pret monētām vai noguldījumiem.</w:t>
      </w:r>
    </w:p>
    <w:p w14:paraId="74343CA7" w14:textId="77777777" w:rsidR="00443399" w:rsidRPr="00B03B51" w:rsidRDefault="00443399" w:rsidP="00443399">
      <w:pPr>
        <w:jc w:val="both"/>
        <w:rPr>
          <w:rFonts w:ascii="Times New Roman" w:eastAsia="Arial" w:hAnsi="Times New Roman" w:cs="Times New Roman"/>
          <w:noProof/>
          <w:sz w:val="24"/>
          <w:szCs w:val="29"/>
        </w:rPr>
      </w:pPr>
    </w:p>
    <w:p w14:paraId="1307C9BB" w14:textId="77777777" w:rsidR="00443399" w:rsidRPr="00B03B51" w:rsidRDefault="00443399" w:rsidP="00500EA4">
      <w:pPr>
        <w:jc w:val="center"/>
        <w:rPr>
          <w:rFonts w:ascii="Times New Roman" w:eastAsia="Arial" w:hAnsi="Times New Roman" w:cs="Times New Roman"/>
          <w:noProof/>
          <w:sz w:val="24"/>
          <w:szCs w:val="29"/>
        </w:rPr>
      </w:pPr>
      <w:r w:rsidRPr="00B03B51">
        <w:rPr>
          <w:rFonts w:ascii="Times New Roman" w:hAnsi="Times New Roman" w:cs="Times New Roman"/>
          <w:noProof/>
        </w:rPr>
        <w:drawing>
          <wp:inline distT="0" distB="0" distL="0" distR="0" wp14:anchorId="56D60052" wp14:editId="6AD73130">
            <wp:extent cx="5756275" cy="368427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6275" cy="3684270"/>
                    </a:xfrm>
                    <a:prstGeom prst="rect">
                      <a:avLst/>
                    </a:prstGeom>
                  </pic:spPr>
                </pic:pic>
              </a:graphicData>
            </a:graphic>
          </wp:inline>
        </w:drawing>
      </w:r>
    </w:p>
    <w:p w14:paraId="2CD2D68A" w14:textId="77777777" w:rsidR="00443399" w:rsidRPr="00B03B51" w:rsidRDefault="00443399" w:rsidP="00443399">
      <w:pPr>
        <w:jc w:val="both"/>
        <w:rPr>
          <w:rFonts w:ascii="Times New Roman" w:eastAsia="Arial" w:hAnsi="Times New Roman" w:cs="Times New Roman"/>
          <w:noProof/>
          <w:sz w:val="24"/>
          <w:szCs w:val="29"/>
        </w:rPr>
      </w:pPr>
    </w:p>
    <w:p w14:paraId="2F7D2A2D" w14:textId="77777777" w:rsidR="00443399" w:rsidRPr="00B03B51" w:rsidRDefault="00443399" w:rsidP="00500EA4">
      <w:pPr>
        <w:jc w:val="center"/>
        <w:rPr>
          <w:rFonts w:ascii="Times New Roman" w:eastAsia="Arial" w:hAnsi="Times New Roman" w:cs="Times New Roman"/>
          <w:noProof/>
          <w:sz w:val="24"/>
          <w:szCs w:val="29"/>
        </w:rPr>
      </w:pPr>
      <w:r w:rsidRPr="00B03B51">
        <w:rPr>
          <w:rFonts w:ascii="Times New Roman" w:hAnsi="Times New Roman" w:cs="Times New Roman"/>
          <w:noProof/>
        </w:rPr>
        <w:lastRenderedPageBreak/>
        <w:drawing>
          <wp:inline distT="0" distB="0" distL="0" distR="0" wp14:anchorId="5C86F1C0" wp14:editId="3FF54192">
            <wp:extent cx="5756275" cy="5078095"/>
            <wp:effectExtent l="0" t="0" r="0" b="825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6275" cy="5078095"/>
                    </a:xfrm>
                    <a:prstGeom prst="rect">
                      <a:avLst/>
                    </a:prstGeom>
                  </pic:spPr>
                </pic:pic>
              </a:graphicData>
            </a:graphic>
          </wp:inline>
        </w:drawing>
      </w:r>
    </w:p>
    <w:p w14:paraId="6FC7C31B" w14:textId="77777777" w:rsidR="00443399" w:rsidRPr="00B03B51" w:rsidRDefault="00443399" w:rsidP="00443399">
      <w:pPr>
        <w:jc w:val="both"/>
        <w:rPr>
          <w:rFonts w:ascii="Times New Roman" w:eastAsia="Arial" w:hAnsi="Times New Roman" w:cs="Times New Roman"/>
          <w:noProof/>
          <w:sz w:val="24"/>
          <w:szCs w:val="20"/>
        </w:rPr>
      </w:pPr>
    </w:p>
    <w:p w14:paraId="5D94DCF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piemērs</w:t>
      </w:r>
    </w:p>
    <w:p w14:paraId="32ECE663" w14:textId="77777777" w:rsidR="00443399" w:rsidRPr="00B03B51" w:rsidRDefault="00443399" w:rsidP="00443399">
      <w:pPr>
        <w:jc w:val="both"/>
        <w:rPr>
          <w:rFonts w:ascii="Times New Roman" w:eastAsia="Arial" w:hAnsi="Times New Roman" w:cs="Times New Roman"/>
          <w:b/>
          <w:bCs/>
          <w:noProof/>
          <w:sz w:val="24"/>
        </w:rPr>
      </w:pPr>
    </w:p>
    <w:p w14:paraId="454F3FD4"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Euro</w:t>
      </w:r>
      <w:r w:rsidRPr="00B03B51">
        <w:rPr>
          <w:rFonts w:ascii="Times New Roman" w:hAnsi="Times New Roman" w:cs="Times New Roman"/>
          <w:sz w:val="24"/>
        </w:rPr>
        <w:t xml:space="preserve"> ievieš 1. gada 1. dienā.</w:t>
      </w:r>
    </w:p>
    <w:p w14:paraId="0C507605"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pusgada vecās nacionālās valūtas banknotes vairs nepieņem kā likumīgu maksāšanas līdzekli. Līdz 1. gada beigām pret </w:t>
      </w:r>
      <w:r w:rsidRPr="00B03B51">
        <w:rPr>
          <w:rFonts w:ascii="Times New Roman" w:hAnsi="Times New Roman" w:cs="Times New Roman"/>
          <w:i/>
          <w:iCs/>
          <w:sz w:val="24"/>
        </w:rPr>
        <w:t>euro</w:t>
      </w:r>
      <w:r w:rsidRPr="00B03B51">
        <w:rPr>
          <w:rFonts w:ascii="Times New Roman" w:hAnsi="Times New Roman" w:cs="Times New Roman"/>
          <w:sz w:val="24"/>
        </w:rPr>
        <w:t xml:space="preserve"> vēl nav apmainītas vecās banknotes 100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w:t>
      </w:r>
    </w:p>
    <w:p w14:paraId="05CC54AB"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pusotra gada vecās banknotes vairs nevar apmainīt pret </w:t>
      </w:r>
      <w:r w:rsidRPr="00B03B51">
        <w:rPr>
          <w:rFonts w:ascii="Times New Roman" w:hAnsi="Times New Roman" w:cs="Times New Roman"/>
          <w:i/>
          <w:iCs/>
          <w:sz w:val="24"/>
        </w:rPr>
        <w:t>euro</w:t>
      </w:r>
      <w:r w:rsidRPr="00B03B51">
        <w:rPr>
          <w:rFonts w:ascii="Times New Roman" w:hAnsi="Times New Roman" w:cs="Times New Roman"/>
          <w:sz w:val="24"/>
        </w:rPr>
        <w:t xml:space="preserve">. Otrajā gadā no VCB bilances noraksta vecās banknotes 15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 Pirmā gada laikā VCB samaksā valdībai avansā summu 15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apmērā.</w:t>
      </w:r>
    </w:p>
    <w:p w14:paraId="0AD8D61A"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Vienkāršošanas nolūkā tiek pieņemts, ka vecās banknotes apmaina pret jaunām banknotēm, nevis pret monētām vai noguldījumiem.</w:t>
      </w:r>
    </w:p>
    <w:p w14:paraId="3B9A5CD7" w14:textId="77777777" w:rsidR="00443399" w:rsidRPr="00B03B51" w:rsidRDefault="00443399" w:rsidP="00443399">
      <w:pPr>
        <w:jc w:val="both"/>
        <w:rPr>
          <w:rFonts w:ascii="Times New Roman" w:hAnsi="Times New Roman" w:cs="Times New Roman"/>
          <w:noProof/>
          <w:sz w:val="24"/>
        </w:rPr>
      </w:pPr>
    </w:p>
    <w:p w14:paraId="2BE88331"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3EE14A51" wp14:editId="63ECDBD1">
            <wp:extent cx="5756275" cy="8320405"/>
            <wp:effectExtent l="0" t="0" r="0" b="444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6275" cy="8320405"/>
                    </a:xfrm>
                    <a:prstGeom prst="rect">
                      <a:avLst/>
                    </a:prstGeom>
                  </pic:spPr>
                </pic:pic>
              </a:graphicData>
            </a:graphic>
          </wp:inline>
        </w:drawing>
      </w:r>
    </w:p>
    <w:p w14:paraId="11FDB589"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10B9CB54" wp14:editId="42BA064B">
            <wp:extent cx="5756275" cy="953770"/>
            <wp:effectExtent l="0" t="0" r="0"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6275" cy="953770"/>
                    </a:xfrm>
                    <a:prstGeom prst="rect">
                      <a:avLst/>
                    </a:prstGeom>
                  </pic:spPr>
                </pic:pic>
              </a:graphicData>
            </a:graphic>
          </wp:inline>
        </w:drawing>
      </w:r>
    </w:p>
    <w:p w14:paraId="4D2A0E3A" w14:textId="77777777" w:rsidR="00443399" w:rsidRPr="00B03B51" w:rsidRDefault="00443399" w:rsidP="00443399">
      <w:pPr>
        <w:jc w:val="both"/>
        <w:rPr>
          <w:rFonts w:ascii="Times New Roman" w:eastAsia="Arial" w:hAnsi="Times New Roman" w:cs="Times New Roman"/>
          <w:noProof/>
          <w:sz w:val="24"/>
          <w:szCs w:val="17"/>
        </w:rPr>
      </w:pPr>
    </w:p>
    <w:p w14:paraId="6170AF85"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3. piemērs</w:t>
      </w:r>
    </w:p>
    <w:p w14:paraId="3B0A6319" w14:textId="77777777" w:rsidR="00443399" w:rsidRPr="00B03B51" w:rsidRDefault="00443399" w:rsidP="00443399">
      <w:pPr>
        <w:jc w:val="both"/>
        <w:rPr>
          <w:rFonts w:ascii="Times New Roman" w:eastAsia="Arial" w:hAnsi="Times New Roman" w:cs="Times New Roman"/>
          <w:b/>
          <w:bCs/>
          <w:noProof/>
          <w:sz w:val="24"/>
        </w:rPr>
      </w:pPr>
    </w:p>
    <w:p w14:paraId="1888917F"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Euro</w:t>
      </w:r>
      <w:r w:rsidRPr="00B03B51">
        <w:rPr>
          <w:rFonts w:ascii="Times New Roman" w:hAnsi="Times New Roman" w:cs="Times New Roman"/>
          <w:sz w:val="24"/>
        </w:rPr>
        <w:t xml:space="preserve"> ievieš 1. gada 1. dienā. Monētas ir valdības saistības.</w:t>
      </w:r>
    </w:p>
    <w:p w14:paraId="4A427FB1"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pusgada vecās valsts valūtas monētas vairs nepieņem kā likumīgu maksāšanas līdzekli. Līdz 1. gada beigām pret </w:t>
      </w:r>
      <w:r w:rsidRPr="00B03B51">
        <w:rPr>
          <w:rFonts w:ascii="Times New Roman" w:hAnsi="Times New Roman" w:cs="Times New Roman"/>
          <w:i/>
          <w:iCs/>
          <w:sz w:val="24"/>
        </w:rPr>
        <w:t>euro</w:t>
      </w:r>
      <w:r w:rsidRPr="00B03B51">
        <w:rPr>
          <w:rFonts w:ascii="Times New Roman" w:hAnsi="Times New Roman" w:cs="Times New Roman"/>
          <w:sz w:val="24"/>
        </w:rPr>
        <w:t xml:space="preserve"> vēl nav apmainītas vecās monētas 100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w:t>
      </w:r>
    </w:p>
    <w:p w14:paraId="742978DF"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Pēc pusotra gada vecās monētas vairs nevar apmainīt pret </w:t>
      </w:r>
      <w:r w:rsidRPr="00B03B51">
        <w:rPr>
          <w:rFonts w:ascii="Times New Roman" w:hAnsi="Times New Roman" w:cs="Times New Roman"/>
          <w:i/>
          <w:iCs/>
          <w:sz w:val="24"/>
        </w:rPr>
        <w:t>euro</w:t>
      </w:r>
      <w:r w:rsidRPr="00B03B51">
        <w:rPr>
          <w:rFonts w:ascii="Times New Roman" w:hAnsi="Times New Roman" w:cs="Times New Roman"/>
          <w:sz w:val="24"/>
        </w:rPr>
        <w:t xml:space="preserve">. Līdz konkrētajam datumam pret </w:t>
      </w:r>
      <w:r w:rsidRPr="00B03B51">
        <w:rPr>
          <w:rFonts w:ascii="Times New Roman" w:hAnsi="Times New Roman" w:cs="Times New Roman"/>
          <w:i/>
          <w:iCs/>
          <w:sz w:val="24"/>
        </w:rPr>
        <w:t>euro</w:t>
      </w:r>
      <w:r w:rsidRPr="00B03B51">
        <w:rPr>
          <w:rFonts w:ascii="Times New Roman" w:hAnsi="Times New Roman" w:cs="Times New Roman"/>
          <w:sz w:val="24"/>
        </w:rPr>
        <w:t xml:space="preserve"> nav apmainītas vecās monētas 15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vērtībā. No 85 miljoniem veco monētu, kas tika apmainītas bankās, 40 miljoni tika apmainīti pret jaunajām </w:t>
      </w:r>
      <w:r w:rsidRPr="00B03B51">
        <w:rPr>
          <w:rFonts w:ascii="Times New Roman" w:hAnsi="Times New Roman" w:cs="Times New Roman"/>
          <w:i/>
          <w:iCs/>
          <w:sz w:val="24"/>
        </w:rPr>
        <w:t>euro</w:t>
      </w:r>
      <w:r w:rsidRPr="00B03B51">
        <w:rPr>
          <w:rFonts w:ascii="Times New Roman" w:hAnsi="Times New Roman" w:cs="Times New Roman"/>
          <w:sz w:val="24"/>
        </w:rPr>
        <w:t xml:space="preserve"> monētām. Bankas kontos tika noguldītas vecās monētas 45 miljonu </w:t>
      </w:r>
      <w:r w:rsidRPr="00B03B51">
        <w:rPr>
          <w:rFonts w:ascii="Times New Roman" w:hAnsi="Times New Roman" w:cs="Times New Roman"/>
          <w:i/>
          <w:iCs/>
          <w:sz w:val="24"/>
        </w:rPr>
        <w:t>euro</w:t>
      </w:r>
      <w:r w:rsidRPr="00B03B51">
        <w:rPr>
          <w:rFonts w:ascii="Times New Roman" w:hAnsi="Times New Roman" w:cs="Times New Roman"/>
          <w:sz w:val="24"/>
        </w:rPr>
        <w:t xml:space="preserve"> apmērā.</w:t>
      </w:r>
    </w:p>
    <w:p w14:paraId="760EFF7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86B6D32" w14:textId="77777777" w:rsidR="00443399" w:rsidRPr="00B03B51" w:rsidRDefault="00443399" w:rsidP="00443399">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75904E99" wp14:editId="3C243E3D">
            <wp:extent cx="5756275" cy="4283710"/>
            <wp:effectExtent l="0" t="0" r="0" b="254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6275" cy="4283710"/>
                    </a:xfrm>
                    <a:prstGeom prst="rect">
                      <a:avLst/>
                    </a:prstGeom>
                  </pic:spPr>
                </pic:pic>
              </a:graphicData>
            </a:graphic>
          </wp:inline>
        </w:drawing>
      </w:r>
    </w:p>
    <w:p w14:paraId="0C48DF7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2B1E34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Jāņem vērā, ka 1. gada beigās valdības parāds ir samazinājies par 100 veco nacionālās valūtas monētu pārklasificēšanas dēļ.</w:t>
      </w:r>
    </w:p>
    <w:p w14:paraId="5D69B93E" w14:textId="77777777" w:rsidR="00443399" w:rsidRPr="00B03B51" w:rsidRDefault="00443399" w:rsidP="00443399">
      <w:pPr>
        <w:jc w:val="both"/>
        <w:rPr>
          <w:rFonts w:ascii="Times New Roman" w:hAnsi="Times New Roman" w:cs="Times New Roman"/>
          <w:noProof/>
          <w:sz w:val="24"/>
        </w:rPr>
      </w:pPr>
    </w:p>
    <w:p w14:paraId="3BF4692C" w14:textId="77777777" w:rsidR="00443399" w:rsidRPr="00B03B51" w:rsidRDefault="00443399" w:rsidP="00443399">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noProof/>
        </w:rPr>
        <w:lastRenderedPageBreak/>
        <w:drawing>
          <wp:inline distT="0" distB="0" distL="0" distR="0" wp14:anchorId="55749156" wp14:editId="73F86EA6">
            <wp:extent cx="5756275" cy="5114925"/>
            <wp:effectExtent l="0" t="0" r="0" b="9525"/>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6275" cy="5114925"/>
                    </a:xfrm>
                    <a:prstGeom prst="rect">
                      <a:avLst/>
                    </a:prstGeom>
                  </pic:spPr>
                </pic:pic>
              </a:graphicData>
            </a:graphic>
          </wp:inline>
        </w:drawing>
      </w:r>
    </w:p>
    <w:p w14:paraId="2A739B2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014A6D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Galīgā ietekme uz valdības parādu līdz 2. gada beigām naudas nomaiņas dēļ ir mazāka nekā ietekme pēc 1. gada, jo liels daudzums veco monētu ir apmainīts pret jauno likumīgo maksāšanas līdzekli.</w:t>
      </w:r>
    </w:p>
    <w:p w14:paraId="2350BD34"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6B77317B" w14:textId="77777777" w:rsidR="00443399" w:rsidRPr="00B03B51" w:rsidRDefault="00443399" w:rsidP="00443399">
      <w:pPr>
        <w:jc w:val="both"/>
        <w:rPr>
          <w:rFonts w:ascii="Times New Roman" w:eastAsia="Arial" w:hAnsi="Times New Roman" w:cs="Times New Roman"/>
          <w:noProof/>
          <w:sz w:val="24"/>
          <w:szCs w:val="29"/>
        </w:rPr>
      </w:pPr>
    </w:p>
    <w:p w14:paraId="56B2215C"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352" w:name="4.5_Financial_defeasance"/>
      <w:bookmarkStart w:id="353" w:name="_bookmark35"/>
      <w:bookmarkStart w:id="354" w:name="_Toc67565132"/>
      <w:bookmarkEnd w:id="352"/>
      <w:bookmarkEnd w:id="353"/>
      <w:r w:rsidRPr="00B03B51">
        <w:rPr>
          <w:rFonts w:ascii="Times New Roman" w:hAnsi="Times New Roman" w:cs="Times New Roman"/>
          <w:sz w:val="28"/>
          <w:szCs w:val="44"/>
        </w:rPr>
        <w:t>4.5. Finanšu sanācija</w:t>
      </w:r>
      <w:bookmarkEnd w:id="354"/>
    </w:p>
    <w:p w14:paraId="0AB6B2FF" w14:textId="77777777" w:rsidR="00443399" w:rsidRPr="00100B51" w:rsidRDefault="00443399" w:rsidP="00100B51">
      <w:pPr>
        <w:rPr>
          <w:rFonts w:ascii="Times New Roman" w:hAnsi="Times New Roman" w:cs="Times New Roman"/>
          <w:noProof/>
          <w:sz w:val="24"/>
          <w:szCs w:val="24"/>
        </w:rPr>
      </w:pPr>
      <w:bookmarkStart w:id="355" w:name="4.5.1_Background"/>
      <w:bookmarkEnd w:id="355"/>
    </w:p>
    <w:p w14:paraId="1DFD9BA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56" w:name="_Toc67565133"/>
      <w:r w:rsidRPr="00B03B51">
        <w:rPr>
          <w:rFonts w:ascii="Times New Roman" w:hAnsi="Times New Roman" w:cs="Times New Roman"/>
          <w:sz w:val="24"/>
        </w:rPr>
        <w:t>4.5.1. Vispārīga informācija</w:t>
      </w:r>
      <w:bookmarkEnd w:id="356"/>
    </w:p>
    <w:p w14:paraId="254A412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CB207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Šis jautājums ir apspriests EKS 2010 20.46. punktā (sanācijas vienību klasifikācija) un EKS 2010 20.243.–20.248. punktā (noteiktu valdības intervences pasākumu, jo īpaši finanšu iestāžu “glābšanas”, ietekme uz valdības kontiem).</w:t>
      </w:r>
    </w:p>
    <w:p w14:paraId="44DA6C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86DD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Atbilstīgi Eiropas pieredzei 20. gadsimta 90. gados un kopš 2008. gada finanšu sanācija ir atzīta kā to finanšu iestāžu problemātisko (slikto) aktīvu pārvaldība, kuriem ir ievērojami nelabvēlīga ietekme uz tās rentabilitāti un bieži vien arī uz tās maksātspēju. Šajā saistībā valdības iesaistīšanās parasti ir galvenā finanšu sanācijas pazīme.</w:t>
      </w:r>
    </w:p>
    <w:p w14:paraId="72F1C56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02EDEA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Ar valsts politiku saistītu iemeslu dēļ valdība uzņemas galvenos riskus, kas saistīti ar aktīviem, un/vai nodrošina šādu aktīvu ilgtermiņa pārvaldību. Publisku vienību gadījumā valdība pārņem subjektu savā īpašumā (nacionalizācija) un īsteno tiešus intervences pasākumus (kapitāla iepludināšana zaudējumu segšanai, aizdevumi u. c.) vai netiešus intervences pasākumus, piešķirot garantijas un dažkārt izmantojot valdībai tieši vai netieši (ar noteiktu publisku finanšu sabiedrību starpniecību) piederošu publisku subjektu starpniecību.</w:t>
      </w:r>
    </w:p>
    <w:p w14:paraId="6121802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D3ECBF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rokasgrāmatā un nacionālajos kontos šāda iesaistīšanās tiks noteikta kā finanšu iestāžu glābšanas process, kuram ir šādas trīs galvenās pazīmes:</w:t>
      </w:r>
    </w:p>
    <w:p w14:paraId="4D245EA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74F4FC3"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finanšu iestāde ir nonākusi finanšu grūtībās, jo ir saistīta ar ievērojamiem problemātiskajiem (“sliktajiem” vai “ienākumus nenesošiem”) aktīviem;</w:t>
      </w:r>
    </w:p>
    <w:p w14:paraId="08B39654"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lielākajā daļā gadījumu (taču ne vienmēr) glābšanas process paredz tāda subjekta izveidi, kura uzdevums ir pārvaldīt problemātiskos aktīvus (sanācijas struktūra) un kuru mēdz dēvēt arī par “slikto banku”, savukārt “normālā” komercdarbība, kura tiek uzskatīta par rentablu, tiek uzticēta pašai finanšu iestādei;</w:t>
      </w:r>
    </w:p>
    <w:p w14:paraId="6C9AC79D"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ir tieši vai netieši iesaistīta glābšanas procesā dažādos veidos, piemēram, kapitāla iepludināšanā ar mērķi segt turpmākos zaudējumus, ko rada problemātiskie aktīvi (norakstīšana, realizētie zaudējumi), finansējuma piešķiršana saskaņā ar īpašiem nosacījumiem, garantiju piešķiršana vai nacionalizācija, un šādu iesaistīšanos var uzskatīt par kontroles vai riska uzņemšanos (faktiski uzņemoties lielāko daļu galīgā riska, kas piemīt sliktas kvalitātes aktīviem, lai arī tai var tikt piešķirtas tiesības uz iespējamo atlīdzību).</w:t>
      </w:r>
    </w:p>
    <w:p w14:paraId="08E8CD9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62407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Svarīgi atzīmēt, ka dažos gadījumos var būt apdraudēta (privātas un/vai publiskas) bankas likviditāte un valdībai un/vai centrālajai bankai var būt jāiesaistās, parasti sniedzot nodrošinājumu/likviditāti īpašās shēmās. Šāda veida glābšanas operācija netiks dēvēta par “sanāciju”, jo finanšu iestāde netiek atbrīvota no tās problemātisko aktīvu negatīvās ietekmes. Tomēr šiem gadījumiem var būt kopīgas iezīmes, un attiecībā uz to ierakstīšanu var sniegt līdzīgus ieteikumus (piemēram, atzīstot valdības īpašo nozīmi sanācijas procesā un jo īpaši attiecībā uz uzņemtajiem riskiem, skat. 4.5.2.6. apakšiedaļu).</w:t>
      </w:r>
    </w:p>
    <w:p w14:paraId="0F50E2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0AFC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 Būtisks aspekts ir problemātisko aktīvu pastāvēšana, un problemātiskie aktīvi ir precīzi jānosaka. Saskaņā ar vispārēju definīciju problemātiskie aktīvi ir tie ieņēmumus nenesošie aktīvi (finanšu aktīvi un mazākā mērā arī nefinanšu aktīvi), kas nelabvēlīgi ietekmē tā finanšu starpnieka ienesīgumu, kurš tur šos aktīvus, un kuru apjoms ir pietiekami liels, lai apdraudētu </w:t>
      </w:r>
      <w:r w:rsidRPr="00B03B51">
        <w:rPr>
          <w:rFonts w:ascii="Times New Roman" w:hAnsi="Times New Roman" w:cs="Times New Roman"/>
          <w:sz w:val="24"/>
        </w:rPr>
        <w:lastRenderedPageBreak/>
        <w:t>vienības maksātspēju. Tie ir aktīvi, no kuriem “parasts” finanšu starpnieks parasti būtu jāatbrīvo. Šādus aktīvus var nodot tirgus darījumos, tomēr šādā gadījumā vienībai rastos tūlītēji un bieži vien ievērojami zaudējumi, kurus nebūtu iespējams dzēst, izmantojot pašas vienības absorbcijas mehānismu. Kā norādīts turpmāk, par problemātiskiem aktīviem uzskata samazinātas vērtības aktīvus un nelikvīdus aktīvus.</w:t>
      </w:r>
    </w:p>
    <w:p w14:paraId="1976A4D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9E06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Uzņēmuma bilancē novērtēts, ka samazinātas vērtības aktīvi pārsniegs to ilgtermiņa tirgus vērtību vai patieso vērtību, un tāpēc prognozēts, ka turpmāk tiks ciesti zaudējumi. Šādu samazinātas vērtības aktīvu vērtība var jau būt samazināta (vai daļēji norakstīta) proporcionāli neparasti augstā līmenī salīdzinājumā ar ierasto praksi (kas novērota līdzīgu tirgū esošu konkurentu vidū), un tas nozīmē, ka tie pēc būtības atšķiras no tirgū pastāvošajiem standartiem, un problemātiskos aktīvus nenosaka ierakstīto vai paredzamo vērtības samazinājumu minimālā daļa). Taču parasti tiek paredzēti arī turpmāki zaudējumi, un finanšu iestāde nespēs segt šos zaudējumus, izmantojot savu zaudējumu absorbēšanas mehānismu. Tirgus aktīvu gadījumā vienība nevar tos realizēt īsā laika posmā, neciešot zaudējumus, tāpēc tā ir </w:t>
      </w:r>
      <w:r w:rsidRPr="00B03B51">
        <w:rPr>
          <w:rFonts w:ascii="Times New Roman" w:hAnsi="Times New Roman" w:cs="Times New Roman"/>
          <w:i/>
          <w:iCs/>
          <w:sz w:val="24"/>
        </w:rPr>
        <w:t>de facto</w:t>
      </w:r>
      <w:r w:rsidRPr="00B03B51">
        <w:rPr>
          <w:rFonts w:ascii="Times New Roman" w:hAnsi="Times New Roman" w:cs="Times New Roman"/>
          <w:sz w:val="24"/>
        </w:rPr>
        <w:t xml:space="preserve"> spiesta tos paturēt un piespiedu kārtā tiek pakļauta tirgus riskam.</w:t>
      </w:r>
    </w:p>
    <w:p w14:paraId="0471D9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EB31E5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Dažos gadījumos problemātiskie aktīvi var būt nelikvīdie aktīvi. Šajā rokasgrāmatā tiek pieņemts, ka tie ir tirgojami aktīvi, kuriem nav iespējams noteikt pienācīgu cenu un realizēt īsā laika posmā, jo nav tirgus, kas darbotos normālos apstākļos. Līdz ar to pastāv liela neskaidrība par turpmāko tirgus vērtību un vienīgais veids, kā aktīvu turētājs var cīnīties pret risku, kas to apdraud, ir nodot aktīvus sanācijas struktūrai. Tāpēc, lai nodrošinātu konsekventu traktējumu visās valstīs, šādu veidu aktīvi ir iekļauti šajā nodaļā izmantotajā problemātisko aktīvu definīcijā.</w:t>
      </w:r>
    </w:p>
    <w:p w14:paraId="589F7A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92194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Šajā saistībā vispārējā valdība var izmantot dažādu veidu tiešas intervences pasākumus:</w:t>
      </w:r>
    </w:p>
    <w:p w14:paraId="1855AA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8C1481"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sniedz grūtībās nonākušajām finanšu iestādēm garantiju, kas tiks pieprasīta, kad šīs iestādes savos pārskatos ierakstīs problemātisko aktīvu radītos zaudējumus;</w:t>
      </w:r>
    </w:p>
    <w:p w14:paraId="7DFB65BC"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tieši nopērk problemātiskos aktīvus no finanšu iestādēm;</w:t>
      </w:r>
    </w:p>
    <w:p w14:paraId="307AEB70"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izveido publiskas struktūras, kas turēs sliktās kvalitātes aktīvus.</w:t>
      </w:r>
    </w:p>
    <w:p w14:paraId="76A6F1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7FC5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Praksē var pastāvēt sarežģītāki pasākumi, valdībai īstenojot netiešāku intervenci ar tādu vienību starpniecību, kuras atrodas tās kontrolē vai ietekmē, piemēram, ar noteiktu publisku finanšu sabiedrību starpniecību. Ir jānoskaidro valdības pienākumi šādās situācijās, ņemot vērā garantijas, kurus dažas valdības vienības parasti piešķir kādam no glābšanas procesā iesaistītiem subjektiem. Parasti šīs ir konkrēti noteiktas garantijas, taču dažos gadījumos vienībai ir netieša valdības garantija tās publiskā juridiskā statusa dēļ.</w:t>
      </w:r>
    </w:p>
    <w:p w14:paraId="29D83EB5" w14:textId="77777777" w:rsidR="00443399" w:rsidRPr="00B03B51" w:rsidRDefault="00443399" w:rsidP="00443399">
      <w:pPr>
        <w:jc w:val="both"/>
        <w:rPr>
          <w:rFonts w:ascii="Times New Roman" w:eastAsia="Arial" w:hAnsi="Times New Roman" w:cs="Times New Roman"/>
          <w:noProof/>
          <w:sz w:val="24"/>
          <w:szCs w:val="18"/>
        </w:rPr>
      </w:pPr>
    </w:p>
    <w:p w14:paraId="67EA6F1B"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57" w:name="4.5.2_Treatment_in_national_accounts"/>
      <w:bookmarkStart w:id="358" w:name="_Toc67565134"/>
      <w:bookmarkEnd w:id="357"/>
      <w:r w:rsidRPr="00B03B51">
        <w:rPr>
          <w:rFonts w:ascii="Times New Roman" w:hAnsi="Times New Roman" w:cs="Times New Roman"/>
          <w:sz w:val="24"/>
        </w:rPr>
        <w:t>4.5.2. Traktējums nacionālajos kontos</w:t>
      </w:r>
      <w:bookmarkEnd w:id="358"/>
    </w:p>
    <w:p w14:paraId="27B55858" w14:textId="77777777" w:rsidR="00443399" w:rsidRPr="00BE27DC" w:rsidRDefault="00443399" w:rsidP="00BE27DC">
      <w:pPr>
        <w:rPr>
          <w:rFonts w:ascii="Times New Roman" w:hAnsi="Times New Roman" w:cs="Times New Roman"/>
          <w:noProof/>
          <w:sz w:val="24"/>
          <w:szCs w:val="24"/>
        </w:rPr>
      </w:pPr>
      <w:bookmarkStart w:id="359" w:name="4.5.2.1_Sector_classification_—_general_"/>
      <w:bookmarkEnd w:id="359"/>
    </w:p>
    <w:p w14:paraId="730AF34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4.5.2.1. SEKTORA KLASIFIKĀCIJA – VISPĀRĒJI NOTEIKUMI</w:t>
      </w:r>
    </w:p>
    <w:p w14:paraId="06238C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E38C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Problemātiskus aktīvus var konstatēt jebkurā finanšu iestādē, un daudzos gadījumos tie neapdraud iestādes turpmāko darbību. Svarīgi nošķirt finanšu starpniekus, kas noteikti EKS 2010 2.55.–2.58. punktā, no tiem, kuriem ir finanšu sanācijas struktūrām raksturīgas pazīmes, neatkarīgi no to juridiskā statusa.</w:t>
      </w:r>
    </w:p>
    <w:p w14:paraId="6096354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D87DC1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Finanšu sanācijas struktūra ir institucionāla vienība, kurai ir ievērojams daudzums problemātisko aktīvu un kuru pamatdarbība ir šo aktīvu sadalīšana parasti ilgākā laika posmā, nevis finanšu starpniecības pakalpojumu sniegšana. Šāda institucionāla vienība nav EKS 2010 </w:t>
      </w:r>
      <w:r w:rsidRPr="00B03B51">
        <w:rPr>
          <w:rFonts w:ascii="Times New Roman" w:hAnsi="Times New Roman" w:cs="Times New Roman"/>
          <w:sz w:val="24"/>
        </w:rPr>
        <w:lastRenderedPageBreak/>
        <w:t>noteiktais finanšu starpnieks.</w:t>
      </w:r>
    </w:p>
    <w:p w14:paraId="6013F1C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82FC77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Visas turpmāk sniegtajā sarakstā norādītās iezīmes vai dažas no tām liecina par to, ka vienība pēc būtības ir sanācijas struktūra, jo tās liek apšaubīt to, ka attiecīgo iestādi varētu klasificēt kā finanšu starpnieku.</w:t>
      </w:r>
    </w:p>
    <w:p w14:paraId="5C05294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D0E6AFA"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Vienība ir slēgta jauniem noguldījumiem vai arī atvērta šādiem noguldījumiem tikai daļēji un saskaņā ar ierobežojumiem. Tas ietver arī noguldījumu pieņemšanas pārtraukšanu no iedzīvotājiem vai noteiktām un samērā lielām sabiedrības apakšgrupām. Proti, noguldījumu pieņemšana no valdības un konkrētām publiskām sabiedrībām nav pietiekams pamatojums, lai varētu secināt, ka iestāde ir iesaistīta finanšu starpniecībā.</w:t>
      </w:r>
    </w:p>
    <w:p w14:paraId="3D2AEA43"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Vienība ir slēgta jauniem aizdevumiem vai arī atvērta šādiem aizdevumiem tikai daļēji un saskaņā ar ierobežojumiem. Tādu aizdevumu termiņa pagarināšana, kuri saistīti ar pastāvošo aktīvu pārvaldību, nav pietiekams pamatojums secinājumam, ka iestāde ir iesaistīta finanšu starpniecībā.</w:t>
      </w:r>
    </w:p>
    <w:p w14:paraId="3269E654"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Stingri, ārēji noteikti ierobežojumi attiecībā uz konkurēšanu banku un finanšu tirgos.</w:t>
      </w:r>
    </w:p>
    <w:p w14:paraId="23B60420"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Lielākajā daļā gadījumu paredzēts ierobežots darbības laiks, kas saistīts ar aktīvu pakāpenisku likvidāciju, veicot piedziņu vai pārdodot tos tirgū.</w:t>
      </w:r>
    </w:p>
    <w:p w14:paraId="18C910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954A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Attiecībā uz tām iestādēm, kuras neatbilst finanšu starpnieku klasifikācijas prasībām (neuzņemas risku, skat. EKS 2010 2.57. punktu), iespējams izšķirt vairākus gadījumus:</w:t>
      </w:r>
    </w:p>
    <w:p w14:paraId="1E676A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805B7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valdība izveido publisku struktūru ar skaidru mērķi uzticēt tai problemātiskos aktīvus bieži vien līdz to pilnīgai likvidēšanai un tieši uzņemties zaudējumus, ko “normāli” tirgus subjekti nevar atļauties;</w:t>
      </w:r>
    </w:p>
    <w:p w14:paraId="574242EB" w14:textId="77777777" w:rsidR="00443399" w:rsidRPr="00B03B51" w:rsidRDefault="00443399" w:rsidP="00443399">
      <w:pPr>
        <w:ind w:left="284"/>
        <w:jc w:val="both"/>
        <w:rPr>
          <w:rFonts w:ascii="Times New Roman" w:hAnsi="Times New Roman" w:cs="Times New Roman"/>
          <w:noProof/>
          <w:sz w:val="24"/>
        </w:rPr>
      </w:pPr>
    </w:p>
    <w:p w14:paraId="240E04EB"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citos gadījumos aktīvi tiek piešķirti subjektam, kas pieder valdībai vai ko valdība cieši kontrolē (iepriekšējiem akcionāriem saglabājot ierobežotas tiesības vai nesaglabājot tās vispār) un kas izveidota saistībā ar problemātiskos aktīvus turošās finanšu iestādes pārstrukturēšanu; tas var notikt vairākos veidos, atbilstīgi tam, kā tiek piešķirti problemātiskie aktīvi:</w:t>
      </w:r>
    </w:p>
    <w:p w14:paraId="48DF7E9E"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410945AC" w14:textId="77777777" w:rsidR="00443399" w:rsidRPr="00B03B51" w:rsidRDefault="00443399" w:rsidP="00443399">
      <w:pPr>
        <w:pStyle w:val="BodyText"/>
        <w:tabs>
          <w:tab w:val="left" w:pos="1411"/>
        </w:tabs>
        <w:spacing w:before="0"/>
        <w:ind w:left="709" w:firstLine="0"/>
        <w:jc w:val="both"/>
        <w:rPr>
          <w:rFonts w:ascii="Times New Roman" w:hAnsi="Times New Roman" w:cs="Times New Roman"/>
          <w:noProof/>
          <w:sz w:val="24"/>
        </w:rPr>
      </w:pPr>
      <w:r w:rsidRPr="00B03B51">
        <w:rPr>
          <w:rFonts w:ascii="Times New Roman" w:hAnsi="Times New Roman" w:cs="Times New Roman"/>
          <w:sz w:val="24"/>
        </w:rPr>
        <w:t>a) finanšu iestāde tiek sadalīta starp jaunu subjektu, kas pieder valdībai un ko valdība kontrolē, ar mērķi uzticēt tam problemātisko aktīvu pārvaldību, un atlikušo subjektu(-iem), kas, iespējams, ar jaunu nosaukumu turpinās nodarboties ar finanšu starpniecību, konkurējot banku/finanšu tirgū;</w:t>
      </w:r>
    </w:p>
    <w:p w14:paraId="1BC29BE5" w14:textId="77777777" w:rsidR="00443399" w:rsidRPr="00B03B51" w:rsidRDefault="00443399" w:rsidP="00443399">
      <w:pPr>
        <w:pStyle w:val="BodyText"/>
        <w:tabs>
          <w:tab w:val="left" w:pos="1411"/>
        </w:tabs>
        <w:spacing w:before="0"/>
        <w:ind w:left="709" w:firstLine="0"/>
        <w:jc w:val="both"/>
        <w:rPr>
          <w:rFonts w:ascii="Times New Roman" w:hAnsi="Times New Roman" w:cs="Times New Roman"/>
          <w:noProof/>
          <w:sz w:val="24"/>
        </w:rPr>
      </w:pPr>
    </w:p>
    <w:p w14:paraId="13E373D0" w14:textId="77777777" w:rsidR="00443399" w:rsidRPr="00B03B51" w:rsidRDefault="00443399" w:rsidP="00443399">
      <w:pPr>
        <w:pStyle w:val="BodyText"/>
        <w:tabs>
          <w:tab w:val="left" w:pos="1411"/>
        </w:tabs>
        <w:spacing w:before="0"/>
        <w:ind w:left="709" w:firstLine="0"/>
        <w:jc w:val="both"/>
        <w:rPr>
          <w:rFonts w:ascii="Times New Roman" w:hAnsi="Times New Roman" w:cs="Times New Roman"/>
          <w:noProof/>
          <w:sz w:val="24"/>
        </w:rPr>
      </w:pPr>
      <w:r w:rsidRPr="00B03B51">
        <w:rPr>
          <w:rFonts w:ascii="Times New Roman" w:hAnsi="Times New Roman" w:cs="Times New Roman"/>
          <w:sz w:val="24"/>
        </w:rPr>
        <w:t>b) finanšu iestāde, piemērojot dažādas procedūras, nodod savu “komerciāli ienesīgo darbību” (piemēram, noguldījumu pieņemšanu, kvalitatīvos aktīvus, zema riska aizdevumus); tādējādi vienības pārvaldībā paliek visi problemātiskie aktīvi vai to lielākā daļa, kas līdz ar to kļūst par vienības galveno nodarbošanos, un tas tiek panākts ar stingru valdības atbalstu un valdības kontrolē (valdībai tieši vai netieši (ar citu publisku struktūru starpniecību) esot galvenajam akcionāram).</w:t>
      </w:r>
    </w:p>
    <w:p w14:paraId="17DEC1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AAF03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Ja ir pierādījumi, kas liecina par to, ka valdība uzņemas visu risku vai lielāko tā daļu un atlīdzību, kas saistīta ar valdības kontrolētās sanācijas struktūras īstenotajām darbībām, kuras minētas iepriekš, šī struktūra jāklasificē vispārējās valdības sektorā neatkarīgi no tās juridiskā statusa. Piemēram, valdība apņemas segt lielāko daļu no aktīvu radītajiem zaudējumiem, sniedzot garantijas attiecībā uz tā subjekta finansēšanu, kurš tur problemātiskos aktīvus, un maksa par garantiju neatbilst pastāvošajiem riskiem vai galvenais finansējuma avots ir publiskais sektors. Minētais subjekts ir jāklasificē vispārējās valdības sektorā vai nu no brīža, </w:t>
      </w:r>
      <w:r w:rsidRPr="00B03B51">
        <w:rPr>
          <w:rFonts w:ascii="Times New Roman" w:hAnsi="Times New Roman" w:cs="Times New Roman"/>
          <w:sz w:val="24"/>
        </w:rPr>
        <w:lastRenderedPageBreak/>
        <w:t>kad tas ticis izveidots (1. gadījumā, kas minēts iepriekš) vai kad tas ir pārklasificēts (2. gadījumā).</w:t>
      </w:r>
    </w:p>
    <w:p w14:paraId="53CEDCED" w14:textId="77777777" w:rsidR="00443399" w:rsidRPr="00B03B51" w:rsidRDefault="00443399" w:rsidP="00443399">
      <w:pPr>
        <w:jc w:val="both"/>
        <w:rPr>
          <w:rFonts w:ascii="Times New Roman" w:eastAsia="Arial" w:hAnsi="Times New Roman" w:cs="Times New Roman"/>
          <w:noProof/>
          <w:sz w:val="24"/>
          <w:szCs w:val="15"/>
        </w:rPr>
      </w:pPr>
    </w:p>
    <w:p w14:paraId="41FE539A"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60" w:name="4.5.2.2_Sector_classification_—_implemen"/>
      <w:bookmarkEnd w:id="360"/>
      <w:r w:rsidRPr="00B03B51">
        <w:rPr>
          <w:rFonts w:ascii="Times New Roman" w:hAnsi="Times New Roman" w:cs="Times New Roman"/>
          <w:sz w:val="24"/>
        </w:rPr>
        <w:t>4.5.2.2. SEKTORA KLASIFIKĀCIJA – ĪSTENOŠANAS JAUTĀJUMI</w:t>
      </w:r>
    </w:p>
    <w:p w14:paraId="54DA1D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9E26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Visos gadījumos lēmums jautājumā par tādas valdības kontrolētas sanācijas struktūras sektora klasifikāciju, kuras turētie problemātiskie aktīvi veidos lielāko daļu no tās aktīviem, ir jāpieņem, analizējot valdības finansiālās līdzdalības līmeni glābšanas procesā. “Lielākā daļa” nozīmē, ka to aktīvu uzskaites vērtība, attiecībā uz kuriem ir ierakstīti ārkārtēji zaudējumi (skat. iepriekš) un joprojām paredzami arī turpmāki zaudējumi, veido lielāko daļu (dažkārt pat 100 %) no subjekta turētajiem “pelnošajiem aktīviem”.</w:t>
      </w:r>
    </w:p>
    <w:p w14:paraId="242C977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DBAC23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Iespējami robežgadījumi, kad subjekti, kuri atbilst lielākajai daļai no iepriekš minētajām sanācijas struktūras pamatpazīmēm, joprojām tiek paturēti monetāro finanšu iestāžu (MFI) sarakstā (ko izmanto, lai sagatavotu ECB monetāro finanšu iestāžu sarakstu, pamatojoties uz Eirosistēmas minimālajām rezervēm, kā arī to darījumu partneru sarakstu, kam ir tiesības uz Eirosistēmas operācijām). Šos gadījumus analizēs </w:t>
      </w:r>
      <w:r w:rsidRPr="00B03B51">
        <w:rPr>
          <w:rFonts w:ascii="Times New Roman" w:hAnsi="Times New Roman" w:cs="Times New Roman"/>
          <w:i/>
          <w:iCs/>
          <w:sz w:val="24"/>
        </w:rPr>
        <w:t>Eurostat</w:t>
      </w:r>
      <w:r w:rsidRPr="00B03B51">
        <w:rPr>
          <w:rFonts w:ascii="Times New Roman" w:hAnsi="Times New Roman" w:cs="Times New Roman"/>
          <w:sz w:val="24"/>
        </w:rPr>
        <w:t xml:space="preserve"> un valsts statistikas institūts (kas atbild par vienību sektora klasifikāciju nacionālajos kontos), iespējams, ciešā sadarbībā ar ECB un centrālo banku, neierobežojot to, kas noteikts EKS 2010 2.67., 2.68. un 2.75. punktā (kuros definētas monetārās finanšu iestādes, citas monetārās finanšu iestādes un noguldījumus pieņemošas sabiedrības, izņemot centrālo banku), no vienas puses, un EKS 2010 20.46. un 20.248. punktā (kuros definētas sanācijas struktūras/ “sliktās bankas”, kas klasificētas vispārējās valdības sektorā), no otras puses.</w:t>
      </w:r>
    </w:p>
    <w:p w14:paraId="60BA5F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E014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Var gadīties, ka grūtībās nonākušas publiskas finanšu sabiedrības likvidāciju sāk saskaņā ar “parasto” procedūru, ko piemēro jebkurai ekonomikas vienībai, kuru necenšas atgūt (jo īpaši ar valdības atbalstu). Šādai vienībai var būt vairums finanšu sanācijas struktūras pazīmju, jo īpaši tai var būt problemātiski aktīvi, tā ir slēgta jaunai uzņēmējdarbībai un tai ir ierobežots darbības laiks. Šī likvidējamā vienība var būt arī atlikusī daļa no grūtībās nonākušas finanšu iestādes, kas ir pārstrukturēta. Tas, ka šī vienība</w:t>
      </w:r>
      <w:r w:rsidRPr="00B03B51">
        <w:rPr>
          <w:rStyle w:val="FootnoteReference"/>
          <w:rFonts w:ascii="Times New Roman" w:hAnsi="Times New Roman" w:cs="Times New Roman"/>
          <w:noProof/>
          <w:sz w:val="24"/>
        </w:rPr>
        <w:footnoteReference w:id="182"/>
      </w:r>
      <w:r w:rsidRPr="00B03B51">
        <w:rPr>
          <w:rFonts w:ascii="Times New Roman" w:hAnsi="Times New Roman" w:cs="Times New Roman"/>
          <w:sz w:val="24"/>
        </w:rPr>
        <w:t xml:space="preserve"> tiek likvidēta, nenozīmē, ka to nedrīkst klasificēt vispārējās valdības sektorā, ja valdība </w:t>
      </w:r>
      <w:r w:rsidRPr="00B03B51">
        <w:rPr>
          <w:rFonts w:ascii="Times New Roman" w:hAnsi="Times New Roman" w:cs="Times New Roman"/>
          <w:i/>
          <w:iCs/>
          <w:sz w:val="24"/>
        </w:rPr>
        <w:t>de iure</w:t>
      </w:r>
      <w:r w:rsidRPr="00B03B51">
        <w:rPr>
          <w:rFonts w:ascii="Times New Roman" w:hAnsi="Times New Roman" w:cs="Times New Roman"/>
          <w:sz w:val="24"/>
        </w:rPr>
        <w:t xml:space="preserve"> vai </w:t>
      </w:r>
      <w:r w:rsidRPr="00B03B51">
        <w:rPr>
          <w:rFonts w:ascii="Times New Roman" w:hAnsi="Times New Roman" w:cs="Times New Roman"/>
          <w:i/>
          <w:iCs/>
          <w:sz w:val="24"/>
        </w:rPr>
        <w:t>de facto</w:t>
      </w:r>
      <w:r w:rsidRPr="00B03B51">
        <w:rPr>
          <w:rFonts w:ascii="Times New Roman" w:hAnsi="Times New Roman" w:cs="Times New Roman"/>
          <w:sz w:val="24"/>
        </w:rPr>
        <w:t xml:space="preserve"> kontrolē likvidācijas procesu (piemēram, īstenojot dominējošo ietekmi pār kreditoru komiteju), un/vai ir gaidāms, ka tā uzņemsies vairumu likvidācijas procesā gaidāmo zaudējumu, jo tai ir nozīmīgas prasības pret vienību (ņemot vērā tās stāvokli citu kreditoru vidū) un/vai atbalsta dēļ, kas piešķirts saistībā ar glābšanas procesa vadību.</w:t>
      </w:r>
    </w:p>
    <w:p w14:paraId="7783712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899904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15. Ja glābšanas struktūra ir īpašam nolūkam izveidota sabiedrība, kas neuzņemas lielāko daļu risku un nerīkojas kā privāts ieguldītājs, uzskata, ka šāda struktūra rīkojas valdības vārdā. Tādējādi to uzskata par valdības finansētu sanācijas struktūru, un tāpēc tā ir jāklasificē vispārējās valdības sektorā, izņemot gadījumus, kas norādīti </w:t>
      </w:r>
      <w:r w:rsidRPr="00B03B51">
        <w:rPr>
          <w:rFonts w:ascii="Times New Roman" w:hAnsi="Times New Roman" w:cs="Times New Roman"/>
          <w:i/>
          <w:iCs/>
          <w:sz w:val="24"/>
        </w:rPr>
        <w:t>Eurostat</w:t>
      </w:r>
      <w:r w:rsidRPr="00B03B51">
        <w:rPr>
          <w:rFonts w:ascii="Times New Roman" w:hAnsi="Times New Roman" w:cs="Times New Roman"/>
          <w:sz w:val="24"/>
        </w:rPr>
        <w:t xml:space="preserve"> 2009. gada jūlija norādījumos</w:t>
      </w:r>
      <w:r w:rsidRPr="00B03B51">
        <w:rPr>
          <w:rStyle w:val="FootnoteReference"/>
          <w:rFonts w:ascii="Times New Roman" w:hAnsi="Times New Roman" w:cs="Times New Roman"/>
          <w:noProof/>
          <w:sz w:val="24"/>
        </w:rPr>
        <w:footnoteReference w:id="183"/>
      </w:r>
      <w:r w:rsidRPr="00B03B51">
        <w:rPr>
          <w:rFonts w:ascii="Times New Roman" w:hAnsi="Times New Roman" w:cs="Times New Roman"/>
          <w:sz w:val="24"/>
        </w:rPr>
        <w:t>, kas būs spēkā līdz finanšu krīzes beigām.</w:t>
      </w:r>
    </w:p>
    <w:p w14:paraId="0640F832" w14:textId="77777777" w:rsidR="00443399" w:rsidRPr="00B03B51" w:rsidRDefault="00443399" w:rsidP="00443399">
      <w:pPr>
        <w:jc w:val="both"/>
        <w:rPr>
          <w:rFonts w:ascii="Times New Roman" w:eastAsia="Arial" w:hAnsi="Times New Roman" w:cs="Times New Roman"/>
          <w:noProof/>
          <w:sz w:val="24"/>
          <w:szCs w:val="16"/>
        </w:rPr>
      </w:pPr>
    </w:p>
    <w:p w14:paraId="057E4812" w14:textId="77777777" w:rsidR="00443399" w:rsidRPr="00B03B51" w:rsidRDefault="00443399" w:rsidP="00500EA4">
      <w:pPr>
        <w:pStyle w:val="Heading6"/>
        <w:keepNext/>
        <w:tabs>
          <w:tab w:val="left" w:pos="1267"/>
        </w:tabs>
        <w:ind w:left="0" w:firstLine="0"/>
        <w:jc w:val="both"/>
        <w:rPr>
          <w:rFonts w:ascii="Times New Roman" w:hAnsi="Times New Roman" w:cs="Times New Roman"/>
          <w:noProof/>
          <w:sz w:val="24"/>
        </w:rPr>
      </w:pPr>
      <w:bookmarkStart w:id="361" w:name="4.5.2.3_Impact_on_net_lending/borrowing_"/>
      <w:bookmarkEnd w:id="361"/>
      <w:r w:rsidRPr="00B03B51">
        <w:rPr>
          <w:rFonts w:ascii="Times New Roman" w:hAnsi="Times New Roman" w:cs="Times New Roman"/>
          <w:sz w:val="24"/>
        </w:rPr>
        <w:lastRenderedPageBreak/>
        <w:t>4.5.2.3. IETEKME UZ NETO AIZDEVUMU/AIZŅĒMUMU (B.9) UN PARĀDU</w:t>
      </w:r>
    </w:p>
    <w:p w14:paraId="589F8CF7" w14:textId="77777777" w:rsidR="00443399" w:rsidRPr="00B03B51" w:rsidRDefault="00443399" w:rsidP="00500EA4">
      <w:pPr>
        <w:pStyle w:val="BodyText"/>
        <w:keepNext/>
        <w:tabs>
          <w:tab w:val="left" w:pos="843"/>
        </w:tabs>
        <w:spacing w:before="0"/>
        <w:ind w:left="0" w:firstLine="0"/>
        <w:jc w:val="both"/>
        <w:rPr>
          <w:rFonts w:ascii="Times New Roman" w:hAnsi="Times New Roman" w:cs="Times New Roman"/>
          <w:noProof/>
          <w:sz w:val="24"/>
        </w:rPr>
      </w:pPr>
    </w:p>
    <w:p w14:paraId="7BEFC2EF" w14:textId="77777777" w:rsidR="00443399" w:rsidRPr="00B03B51" w:rsidRDefault="00443399" w:rsidP="00500EA4">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Kas attiecas uz ietekmi uz neto aizdevumu/aizņēmumu (B.9), ja pārklasificēšana nozīmē aktīvu nodošanu par summu, kas pārsniedz tirgus vērtību, kuru iespējams neatkarīgi aprēķināt, tad neatkarīgi no konkrētā gadījuma (gadījums, kad valdība izveido subjektu, iepriekš minētais a) gadījums vai b) gadījums, vai ĪNDS gadījums) jāuzskata, ka šī starpība ir kapitāla pārvedums, aktīvus to tirgus vērtībā pievienojot valdības bilancei. Visi turpmākie turēšanas guvumi/zaudējumi, kas izriet no šiem aktīviem, tiks ierakstīti pārvērtēšanas kontos.</w:t>
      </w:r>
    </w:p>
    <w:p w14:paraId="3816378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75DBEE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Gadījumā, ja sanācijas struktūra tiek izveidota, pārstrukturējot finanšu starpnieku, kurš pēc tam turpina darboties, taču ar izmaiņām tā darbības jomā (iepriekš minētais b) gadījums), operācija ir jāsadala divos posmos:</w:t>
      </w:r>
    </w:p>
    <w:p w14:paraId="7271F4A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8C41FE9"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pirmkārt, lai ņemtu vērā atbalstu, kas finanšu starpniekam sniegts saistībā ar operāciju, atšķirība starp nodoto aktīvu darījuma vērtību un to tirgus vērtību ir ierakstīta kā kapitāla nodošana sanācijas struktūras debitoriem;</w:t>
      </w:r>
    </w:p>
    <w:p w14:paraId="3708F4C1"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tad sanācijas struktūras klasifikācija valdības sektorā ir jāieraksta kā “citu aktīvu apjoma pārmaiņu konts” (sektoru klasifikācijas un institucionālās vienības struktūras pārmaiņas (K.61)).</w:t>
      </w:r>
    </w:p>
    <w:p w14:paraId="6DA252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32909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Kas attiecas uz ietekmi un valdības parādu, gadījumā, ja pārstrukturēšana tiek veikta iepriekš minētajos a) un b) gadījumos vai ĪNDS gadījumā, šo subjektu klasifikācija valdības sektorā nozīmē to, ka to aktīvi un saistības tiek iekļautas valdības bilancē un tāpēc attiecīgie subjektu parāda instrumenti ietilps valdības bruto parādā.</w:t>
      </w:r>
    </w:p>
    <w:p w14:paraId="39E0EE68" w14:textId="77777777" w:rsidR="00443399" w:rsidRPr="00B03B51" w:rsidRDefault="00443399" w:rsidP="00443399">
      <w:pPr>
        <w:jc w:val="both"/>
        <w:rPr>
          <w:rFonts w:ascii="Times New Roman" w:eastAsia="Arial" w:hAnsi="Times New Roman" w:cs="Times New Roman"/>
          <w:noProof/>
          <w:sz w:val="24"/>
          <w:szCs w:val="15"/>
        </w:rPr>
      </w:pPr>
    </w:p>
    <w:p w14:paraId="0526DC8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62" w:name="4.5.2.4_Treatments_to_be_followed_when_g"/>
      <w:bookmarkEnd w:id="362"/>
      <w:r w:rsidRPr="00B03B51">
        <w:rPr>
          <w:rFonts w:ascii="Times New Roman" w:hAnsi="Times New Roman" w:cs="Times New Roman"/>
          <w:sz w:val="24"/>
        </w:rPr>
        <w:t>4.5.2.4. TRAKTĒJUMI, KAS JĀIEVĒRO, JA VALDĪBA IESAISTĀS TIKAI KĀ GALVOTĀJA</w:t>
      </w:r>
    </w:p>
    <w:p w14:paraId="3EE8061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63E2C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Finanšu iestādes vai īpašas šo finanšu iestāžu kontrolētas vienības, kas klasificētas ārpus valdības sektora, var saņemt valdības garantiju attiecībā uz visiem problemātiskajiem/samazinātas vērtības aktīviem, kuri skaidri norādīti to portfelī, vai kādu to daļu.</w:t>
      </w:r>
    </w:p>
    <w:p w14:paraId="7A4F072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4D2F2D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pastāv šādi galvojumi, tad rīkojas, kā norādīts turpmāk.</w:t>
      </w:r>
    </w:p>
    <w:p w14:paraId="6BBBADA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A0291D4"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valdība uzņemas visus riskus vai to lielāko daļu un izsniedz atlīdzību tiešā saistībā ar problemātiskajiem aktīviem, tad valdību uzskata par šo aktīvu ekonomisko īpašnieci un valdības kontos jāieraksta finanšu aktīva iegūšana, kā pretvērtības darījumu ierakstot finanšu iestādes aizdevumu valdībai. Ja valdība iegādājas aktīvus virs to tirgus cenas vai patiesās vērtības, attiecībā uz tirgus cenas vai patiesās vērtības pārsniegumu jāieraksta valdības kapitāla pārvedums (skat. uzskaites piemēru).</w:t>
      </w:r>
    </w:p>
    <w:p w14:paraId="6FA12CAF"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tā vietā valdības garantija sedz vienīgi problemātisko aktīvu radītos zaudējumus, traktējumam nacionālajos kontos jāievēro vispārējie noteikumi attiecībā uz garantijām, kas noteikti šīs rokasgrāmatas 7.4. nodaļā, izņemot to, ka problemātisko aktīvu gadījumā nepiemēro noteikumu, kas attiecas uz atkārtotiem prasījumiem.</w:t>
      </w:r>
    </w:p>
    <w:p w14:paraId="153C180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D72B875" w14:textId="77777777" w:rsidR="00443399" w:rsidRPr="00B03B51" w:rsidRDefault="00443399" w:rsidP="00500EA4">
      <w:pPr>
        <w:pStyle w:val="BodyText"/>
        <w:spacing w:before="0"/>
        <w:ind w:left="426" w:firstLine="0"/>
        <w:jc w:val="both"/>
        <w:rPr>
          <w:rFonts w:ascii="Times New Roman" w:hAnsi="Times New Roman" w:cs="Times New Roman"/>
          <w:noProof/>
          <w:sz w:val="24"/>
        </w:rPr>
      </w:pPr>
      <w:r w:rsidRPr="00B03B51">
        <w:rPr>
          <w:rFonts w:ascii="Times New Roman" w:hAnsi="Times New Roman" w:cs="Times New Roman"/>
          <w:sz w:val="24"/>
        </w:rPr>
        <w:t>Jāizvērtē dažādi gadījumi.</w:t>
      </w:r>
    </w:p>
    <w:p w14:paraId="751B3A44" w14:textId="77777777" w:rsidR="00443399" w:rsidRPr="00B03B51" w:rsidRDefault="00443399" w:rsidP="00500EA4">
      <w:pPr>
        <w:pStyle w:val="BodyText"/>
        <w:spacing w:before="0"/>
        <w:ind w:left="426" w:firstLine="0"/>
        <w:jc w:val="both"/>
        <w:rPr>
          <w:rFonts w:ascii="Times New Roman" w:hAnsi="Times New Roman" w:cs="Times New Roman"/>
          <w:noProof/>
          <w:sz w:val="24"/>
        </w:rPr>
      </w:pPr>
    </w:p>
    <w:p w14:paraId="309733C5" w14:textId="77777777" w:rsidR="00443399" w:rsidRPr="00B03B51" w:rsidRDefault="00443399" w:rsidP="00500EA4">
      <w:pPr>
        <w:pStyle w:val="BodyText"/>
        <w:numPr>
          <w:ilvl w:val="2"/>
          <w:numId w:val="65"/>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 xml:space="preserve">Pirmkārt, problemātiska aktīva garantijas prasījums, ja prasījums ir daļējs un aktīvs tiek uzskatīts vismaz par daļēji atgūstamu (t. i., tas paliek bilancē), tādā gadījumā kapitāla pārvedumu (valdības izdevumus) ieraksta garantijas prasījuma summas </w:t>
      </w:r>
      <w:r w:rsidRPr="00B03B51">
        <w:rPr>
          <w:rFonts w:ascii="Times New Roman" w:hAnsi="Times New Roman" w:cs="Times New Roman"/>
          <w:sz w:val="24"/>
        </w:rPr>
        <w:lastRenderedPageBreak/>
        <w:t>apmērā prasījuma iesniegšanas brīdī.</w:t>
      </w:r>
    </w:p>
    <w:p w14:paraId="33A9EA27" w14:textId="77777777" w:rsidR="00443399" w:rsidRPr="00B03B51" w:rsidRDefault="00443399" w:rsidP="00500EA4">
      <w:pPr>
        <w:pStyle w:val="BodyText"/>
        <w:numPr>
          <w:ilvl w:val="2"/>
          <w:numId w:val="65"/>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Otrkārt, problemātiska aktīva garantijas prasījums, ja nav gaidāms kaut ko turpmāk atgūt (taču aktīvs paliek bilancē), ir ierakstāms kā kapitāla pārvedums (valdības izdevumi) prasījuma iesniegšanas brīdī par pilnu prasījuma summu. Jebkādas negaidītas atmaksas ir ierakstāmas kā pretējs kapitāla pārvedums (valdības ieņēmumi).</w:t>
      </w:r>
    </w:p>
    <w:p w14:paraId="1888AEFD" w14:textId="77777777" w:rsidR="00443399" w:rsidRPr="00B03B51" w:rsidRDefault="00443399" w:rsidP="00500EA4">
      <w:pPr>
        <w:pStyle w:val="BodyText"/>
        <w:numPr>
          <w:ilvl w:val="2"/>
          <w:numId w:val="65"/>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Treškārt, ja finanšu iestāde ir pārdevusi problemātisko aktīvu ar zaudējumiem un tiek pieprasīta garantija, kapitāla pārvedumu (valdības izdevumus) ieraksta garantijas prasījuma summas apmērā prasījuma iesniegšanas brīdī.</w:t>
      </w:r>
    </w:p>
    <w:p w14:paraId="4EADEB10" w14:textId="77777777" w:rsidR="00443399" w:rsidRPr="00B03B51" w:rsidRDefault="00443399" w:rsidP="00500EA4">
      <w:pPr>
        <w:pStyle w:val="BodyText"/>
        <w:numPr>
          <w:ilvl w:val="2"/>
          <w:numId w:val="65"/>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Ceturtkārt, var būt īpaša kārtība, saskaņā ar kuru, ja netiek veikts maksājums, kas jāveic par problemātiskajiem aktīviem, ko garantējusi valdība, var tikt ierosināts aktīva pārvedums valdībai. To ieraksta valdības kontos kā kapitāla pārvedumu (valdības izdevumus). Tikai gadījumā, ja var ticami aprēķināt, ka kādas summas var atgūt (neatkarīga struktūra), atgūstamo daļu varētu ierakstīt kā finanšu darījumu.</w:t>
      </w:r>
    </w:p>
    <w:p w14:paraId="011FA5C6" w14:textId="77777777" w:rsidR="00443399" w:rsidRPr="00B03B51" w:rsidRDefault="00443399" w:rsidP="00443399">
      <w:pPr>
        <w:jc w:val="both"/>
        <w:rPr>
          <w:rFonts w:ascii="Times New Roman" w:eastAsia="Arial" w:hAnsi="Times New Roman" w:cs="Times New Roman"/>
          <w:noProof/>
          <w:sz w:val="24"/>
          <w:szCs w:val="15"/>
        </w:rPr>
      </w:pPr>
    </w:p>
    <w:p w14:paraId="3627520E" w14:textId="77777777" w:rsidR="00443399" w:rsidRPr="00B03B51" w:rsidRDefault="00443399" w:rsidP="00443399">
      <w:pPr>
        <w:pStyle w:val="Heading6"/>
        <w:tabs>
          <w:tab w:val="left" w:pos="1267"/>
          <w:tab w:val="left" w:pos="3008"/>
          <w:tab w:val="left" w:pos="3552"/>
          <w:tab w:val="left" w:pos="4099"/>
          <w:tab w:val="left" w:pos="5601"/>
          <w:tab w:val="left" w:pos="6513"/>
          <w:tab w:val="left" w:pos="8331"/>
          <w:tab w:val="left" w:pos="9185"/>
        </w:tabs>
        <w:ind w:left="0" w:firstLine="0"/>
        <w:jc w:val="both"/>
        <w:rPr>
          <w:rFonts w:ascii="Times New Roman" w:hAnsi="Times New Roman" w:cs="Times New Roman"/>
          <w:noProof/>
          <w:sz w:val="24"/>
        </w:rPr>
      </w:pPr>
      <w:bookmarkStart w:id="363" w:name="4.5.2.5_Treatments_to_be_followed_when_g"/>
      <w:bookmarkEnd w:id="363"/>
      <w:r w:rsidRPr="00B03B51">
        <w:rPr>
          <w:rFonts w:ascii="Times New Roman" w:hAnsi="Times New Roman" w:cs="Times New Roman"/>
          <w:sz w:val="24"/>
        </w:rPr>
        <w:t>4.5.2.5. TRAKTĒJUMI, KAS JĀIEVĒRO, JA VALDĪBA PĒRK PROBLEMĀTISKOS AKTĪVUS</w:t>
      </w:r>
    </w:p>
    <w:p w14:paraId="1D83B4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B49B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Valdība var arī pirkt (vai pārņemt) problemātiskos aktīvus. Tā to dara tiešā veidā vai ar tādu īpaši izveidotu vienību starpniecību, kuras uzskata par daļu no valdības sektora. Šajā punktā pieņem, ka abos šajos gadījumos pirkumu ir veikusi valdība. Galvenais apsvērums ir tas, ka valdība pērk (vai pārņem) problemātiskos aktīvus no finanšu iestādes par cenu, kas konkrētajā brīdī var atšķirties no tirgus cenas (vai patiesās vērtības) vai būt augstāka par to.</w:t>
      </w:r>
    </w:p>
    <w:p w14:paraId="0BC1BE4F" w14:textId="77777777" w:rsidR="00443399" w:rsidRPr="00B03B51" w:rsidRDefault="00443399" w:rsidP="00443399">
      <w:pPr>
        <w:jc w:val="both"/>
        <w:rPr>
          <w:rFonts w:ascii="Times New Roman" w:eastAsia="Arial" w:hAnsi="Times New Roman" w:cs="Times New Roman"/>
          <w:noProof/>
          <w:sz w:val="24"/>
          <w:szCs w:val="18"/>
        </w:rPr>
      </w:pPr>
    </w:p>
    <w:p w14:paraId="22AE96FF"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a) Ieraksti sanācijas procesa sākumā</w:t>
      </w:r>
    </w:p>
    <w:p w14:paraId="1EE37441" w14:textId="77777777" w:rsidR="00443399" w:rsidRPr="00B03B51" w:rsidRDefault="00443399" w:rsidP="00443399">
      <w:pPr>
        <w:jc w:val="both"/>
        <w:rPr>
          <w:rFonts w:ascii="Times New Roman" w:eastAsia="Arial" w:hAnsi="Times New Roman" w:cs="Times New Roman"/>
          <w:b/>
          <w:bCs/>
          <w:noProof/>
          <w:sz w:val="24"/>
        </w:rPr>
      </w:pPr>
    </w:p>
    <w:p w14:paraId="16EF9D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Kopumā pieņemts uzskatīt, ka aktīvu iegāde ir finanšu darījums, taču iepriekš minētajos apstākļos jāieraksta kapitāla pārvedums, ja valdība pērk aktīvus no finanšu iestādes. Kapitāla pārveduma summai, kas veikta šādai finanšu iestādei, ir jābūt vienādai ar starpību starp summu, kas ir samaksāta par aktīviem, un to tirgus vērtību. Ir lietderīgi nošķirt dažādus aktīvu veidus.</w:t>
      </w:r>
    </w:p>
    <w:p w14:paraId="0170B6E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C26AD0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Jebkurā gadījumā ietekme uz neto aizdevumu/aizņēmumu (B.9) būs vienāda ar kapitāla pārveduma summu brīdī, kad aktīvi tiek nodoti valdības sanācijas struktūrai vai citai valdības vienībai. Ja aktīvu nodošana notiek saistībā ar sanācijas vienības klasifikācijas maiņu, kura izriet no pastāvošas finanšu iestādes pārstrukturēšanas atbilstīgi tam, kā noteikts iepriekš, ietekme uz parādu ir vienāda ar valdības pārņemtajām saistībām.</w:t>
      </w:r>
    </w:p>
    <w:p w14:paraId="52C8432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7C506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Lielākajai daļai aktīvu, kurus regulāri piedāvā tirgū, var konstatēt tirgus cenu. Tā tas ir vērtspapīru un kotēto akciju gadījumā un mazākā mērā (atkarībā no dažiem īpašiem apstākļiem) arī nekustamā īpašuma gadījumā. Ja (kā to var pieņemt) cena, par kādu šie aktīvi tiek pārdoti sanācijas struktūrai, atšķiras no šīs tirgus vērtības, kapitāla pārveduma summa ir vienāda ar starpību starp aktīvu pārdošanas cenu un tirgus vērtību.</w:t>
      </w:r>
    </w:p>
    <w:p w14:paraId="0C8A28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B39619A"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Saistībā ar nekustamā īpašuma aktīviem finanšu iestādes var būt nonākušas grūtībās tādēļ, ka tirgū samazinās nekustamā īpašuma cenas. Lai aprēķinātu nekustamā īpašuma aktīvu tirgus vērtību, attiecībā uz to pārdošanas cenu var piemērot nekustamo īpašumu cenu indeksus.</w:t>
      </w:r>
    </w:p>
    <w:p w14:paraId="536210EF"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Vērtspapīru un akciju gadījumā, izņemot funkcionējoša tirgus pastāvīga trūkuma gadījumus, tirgus cenas iespējams noskaidrot, pamatojoties uz biržas informāciju par kotētajiem instrumentiem. Nekotēto akciju cena jāatvasina no kotēto akciju tendencēm līdzīgā sektorā.</w:t>
      </w:r>
    </w:p>
    <w:p w14:paraId="74307F4E"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Problemātisko aizdevumu gadījumā patiesā vērtība (pašreizējā brīdī paredzamā izpirkšanas </w:t>
      </w:r>
      <w:r w:rsidRPr="00B03B51">
        <w:rPr>
          <w:rFonts w:ascii="Times New Roman" w:hAnsi="Times New Roman" w:cs="Times New Roman"/>
          <w:sz w:val="24"/>
        </w:rPr>
        <w:lastRenderedPageBreak/>
        <w:t>vērtība) būs mazāka par pamatsummu, kāda debitoriem jāmaksā. Finanšu iestādes tos parasti nodod par neatmaksāto pamatsummu (līgumā noteikto sākotnējo izpirkšanas vērtību). Tā kā aizdevumi pēc būtības nav pastāvošajos tirgos apgrozāmi instrumenti, tiem nav tirgus vērtības, tāpēc gadījumā, ja tiek īstenota ievērojama nodošana valdībai, to patiesā vērtība jāaprēķina neatkarīgai struktūrai, pamatojoties uz “reālistiskiem pieņēmumiem”. Nepastāvot nekādām pārrunām ar debitoriem, netiek veiktas izmaiņas to sākotnējās saistībās. Līdz ar to bilancē jāreģistrē aizdevumu nominālvērtība. Darījums netiek īstenots tīri komerciālu apsvērumu dēļ (t. i., cerot gūt peļņu pēc tā, skat. EKS 2010 5.21. punktu, kurā noteikts, ka starpība starp darījuma cenu un tirgus cenu ir jānosaka kā kapitāla pārvedums). Ja tomēr ir ticama informācija, ka daži aizdevumi ir pilnīgi vai gandrīz pilnīgi neatgūstami (jo, piemēram, ir pazudis debitors), jāpieņem, ka to patiesā vērtība ir vienāda ar nulli un kapitāla pārvedums jāieraksta pilnā aizdevuma apmērā, kāds pastāv brīdī, kad tiek veikts darījums ar sanācijas struktūru. Parasti sanācijas struktūrai šādi aizdevumi pēc darījuma ir jānoraksta.</w:t>
      </w:r>
    </w:p>
    <w:p w14:paraId="0390D56A" w14:textId="77777777" w:rsidR="00443399" w:rsidRPr="00B03B51" w:rsidRDefault="00443399" w:rsidP="00443399">
      <w:pPr>
        <w:jc w:val="both"/>
        <w:rPr>
          <w:rFonts w:ascii="Times New Roman" w:hAnsi="Times New Roman" w:cs="Times New Roman"/>
          <w:noProof/>
          <w:sz w:val="24"/>
        </w:rPr>
      </w:pPr>
    </w:p>
    <w:p w14:paraId="66580392"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b) Ieraksti sanācijas procesa laikā</w:t>
      </w:r>
    </w:p>
    <w:p w14:paraId="598DDD7E" w14:textId="77777777" w:rsidR="00443399" w:rsidRPr="00B03B51" w:rsidRDefault="00443399" w:rsidP="00443399">
      <w:pPr>
        <w:jc w:val="both"/>
        <w:rPr>
          <w:rFonts w:ascii="Times New Roman" w:eastAsia="Arial" w:hAnsi="Times New Roman" w:cs="Times New Roman"/>
          <w:b/>
          <w:bCs/>
          <w:noProof/>
          <w:sz w:val="24"/>
        </w:rPr>
      </w:pPr>
    </w:p>
    <w:p w14:paraId="327702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Arī šajā gadījumā jāņem vērā nodoto aktīvu dalījums.</w:t>
      </w:r>
    </w:p>
    <w:p w14:paraId="1AA2909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991AC6C"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Nefinanšu aktīvu, piemēram, ēku, gadījumā vai, vispārīgi runājot, nekustamā īpašuma gadījumā tirgus vērtība var mainīties laikā, kad šādus aktīvus tur vienība, kuru var uzskatīt par sanācijas struktūru. Izmaiņas jāieraksta pārvērtēšanas kontā, neietekmējot valdības neto aizdevumu/aizņēmumu (B.9). Ja nekustamo īpašumu pārdod vienībām, kuras klasificētas ārpus vispārējās valdības sektora, to pārdošanu ieraksta kā nefinanšu aktīvu realizāciju ar labvēlīgu ietekmi uz valdības aizdevumu/aizņēmumu (B.9) (un, iespējams, arī ar pārvērtēšanu, ja cena augstāka par bilancē ierakstīto vērtību).</w:t>
      </w:r>
    </w:p>
    <w:p w14:paraId="14909496"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Tas pats attiecas uz vērtspapīriem un aktīviem, izņemot to, ka to pārdošana neietekmē valdības neto aizdevumu/aizņēmumu, jo pēc būtības tas ir finanšu darījums.</w:t>
      </w:r>
    </w:p>
    <w:p w14:paraId="09A100CF" w14:textId="77777777" w:rsidR="00443399" w:rsidRPr="00B03B51" w:rsidRDefault="00443399" w:rsidP="00500EA4">
      <w:pPr>
        <w:pStyle w:val="BodyText"/>
        <w:numPr>
          <w:ilvl w:val="1"/>
          <w:numId w:val="6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aizdevumiem, kas netiek atmaksāti pilnas pamatvērtības apmērā, kuru ierakstījusi pircēja valdības vienība, var piemērot divas procedūras – atcelšanu, kas nozīmē kapitāla pārvedumu, ja debitors joprojām pastāv, vai (ļoti retos izņēmuma gadījumos) norakstīšanu, kas ierakstāma kontā “Citas aktīvu apjoma pārmaiņas”, ja debitors vairs nepastāv un galvotāja vienība nespēj atmaksāt parādu.</w:t>
      </w:r>
    </w:p>
    <w:p w14:paraId="00A8AF2A" w14:textId="77777777" w:rsidR="00443399" w:rsidRPr="00B03B51" w:rsidRDefault="00443399" w:rsidP="00443399">
      <w:pPr>
        <w:jc w:val="both"/>
        <w:rPr>
          <w:rFonts w:ascii="Times New Roman" w:eastAsia="Arial" w:hAnsi="Times New Roman" w:cs="Times New Roman"/>
          <w:noProof/>
          <w:sz w:val="24"/>
          <w:szCs w:val="15"/>
        </w:rPr>
      </w:pPr>
    </w:p>
    <w:p w14:paraId="625486F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4.5.2.6. GADĪJUMS, KAD VALDĪBA SNIEDZ TIEŠU FINANSĒJUMU</w:t>
      </w:r>
    </w:p>
    <w:p w14:paraId="5FC9BD9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97B40B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23. Vienība, kas nav pārklasificēta valdības sektorā un tur problemātiskos aktīvus vai piedalās ar problemātiskajiem aktīviem saistītā atbalsta operācijā, var saņemt valdības tiešu finanšu atbalstu, lai īstenotu īpašus darījumus pēc valdības ierosmes, ko parasts privāts ieguldītājs neuzņemtos un kas neietilpst tās ierastajā darbības jomā. Valdība jāuzskata par galveno attiecīgajā darījumā iesaistīto pusi, un darījums ir jāpārvirza caur valdības kontiem (EKS 2010 1.73.–1.75. punkts). Ja saistībā ar pārvirzītajiem darījumiem paredzēts, ka finanšu starpnieks valdības vārdā iepludinās kapitālu finanšu vai nefinanšu sabiedrībā, šī kapitāla iepludināšana jāieraksta atbilstīgi tam, kā noteikts šīs rokasgrāmatas 3.2. nodaļā vai </w:t>
      </w:r>
      <w:r w:rsidRPr="00B03B51">
        <w:rPr>
          <w:rFonts w:ascii="Times New Roman" w:hAnsi="Times New Roman" w:cs="Times New Roman"/>
          <w:i/>
          <w:iCs/>
          <w:sz w:val="24"/>
        </w:rPr>
        <w:t>Eurostat</w:t>
      </w:r>
      <w:r w:rsidRPr="00B03B51">
        <w:rPr>
          <w:rFonts w:ascii="Times New Roman" w:hAnsi="Times New Roman" w:cs="Times New Roman"/>
          <w:sz w:val="24"/>
        </w:rPr>
        <w:t xml:space="preserve"> 2009. gada jūlija lēmumā par to, </w:t>
      </w:r>
      <w:r w:rsidRPr="00B03B51">
        <w:rPr>
          <w:rFonts w:ascii="Times New Roman" w:hAnsi="Times New Roman" w:cs="Times New Roman"/>
          <w:i/>
          <w:iCs/>
          <w:sz w:val="24"/>
        </w:rPr>
        <w:t>kā statistikā reģistrē valsts atbalstu finanšu iestādēm un finanšu tirgiem finanšu krīzes laikā</w:t>
      </w:r>
      <w:r w:rsidRPr="00B03B51">
        <w:rPr>
          <w:rFonts w:ascii="Times New Roman" w:hAnsi="Times New Roman" w:cs="Times New Roman"/>
          <w:sz w:val="24"/>
        </w:rPr>
        <w:t>.</w:t>
      </w:r>
    </w:p>
    <w:p w14:paraId="686DA349" w14:textId="77777777" w:rsidR="00443399" w:rsidRPr="00B03B51" w:rsidRDefault="00443399" w:rsidP="00443399">
      <w:pPr>
        <w:jc w:val="both"/>
        <w:rPr>
          <w:rFonts w:ascii="Times New Roman" w:eastAsia="Arial" w:hAnsi="Times New Roman" w:cs="Times New Roman"/>
          <w:noProof/>
          <w:sz w:val="24"/>
          <w:szCs w:val="18"/>
        </w:rPr>
      </w:pPr>
    </w:p>
    <w:p w14:paraId="511E1151" w14:textId="77777777" w:rsidR="00443399" w:rsidRPr="00B03B51" w:rsidRDefault="00443399" w:rsidP="000F6153">
      <w:pPr>
        <w:pStyle w:val="Heading3"/>
        <w:keepNext/>
        <w:tabs>
          <w:tab w:val="left" w:pos="1267"/>
        </w:tabs>
        <w:ind w:left="0" w:firstLine="0"/>
        <w:jc w:val="both"/>
        <w:rPr>
          <w:rFonts w:ascii="Times New Roman" w:hAnsi="Times New Roman" w:cs="Times New Roman"/>
          <w:noProof/>
          <w:sz w:val="24"/>
        </w:rPr>
      </w:pPr>
      <w:bookmarkStart w:id="364" w:name="_Toc67565135"/>
      <w:r w:rsidRPr="00B03B51">
        <w:rPr>
          <w:rFonts w:ascii="Times New Roman" w:hAnsi="Times New Roman" w:cs="Times New Roman"/>
          <w:sz w:val="24"/>
        </w:rPr>
        <w:lastRenderedPageBreak/>
        <w:t>4.5.3. Traktējuma pamatojums</w:t>
      </w:r>
      <w:bookmarkEnd w:id="364"/>
    </w:p>
    <w:p w14:paraId="098B3C8D" w14:textId="77777777" w:rsidR="00443399" w:rsidRPr="00BE27DC" w:rsidRDefault="00443399" w:rsidP="000F6153">
      <w:pPr>
        <w:keepNext/>
        <w:rPr>
          <w:rFonts w:ascii="Times New Roman" w:hAnsi="Times New Roman" w:cs="Times New Roman"/>
          <w:noProof/>
          <w:sz w:val="24"/>
          <w:szCs w:val="24"/>
        </w:rPr>
      </w:pPr>
    </w:p>
    <w:p w14:paraId="3D9EA4D2" w14:textId="77777777" w:rsidR="00443399" w:rsidRPr="00B03B51" w:rsidRDefault="00443399" w:rsidP="000F6153">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4.5.3.1. KLASIFIKĀCIJAS PROBLĒMAS</w:t>
      </w:r>
    </w:p>
    <w:p w14:paraId="0A25DD97" w14:textId="77777777" w:rsidR="00443399" w:rsidRPr="00B03B51" w:rsidRDefault="00443399" w:rsidP="000F6153">
      <w:pPr>
        <w:pStyle w:val="BodyText"/>
        <w:keepNext/>
        <w:tabs>
          <w:tab w:val="left" w:pos="843"/>
        </w:tabs>
        <w:spacing w:before="0"/>
        <w:ind w:left="0" w:firstLine="0"/>
        <w:jc w:val="both"/>
        <w:rPr>
          <w:rFonts w:ascii="Times New Roman" w:hAnsi="Times New Roman" w:cs="Times New Roman"/>
          <w:noProof/>
          <w:sz w:val="24"/>
        </w:rPr>
      </w:pPr>
    </w:p>
    <w:p w14:paraId="69B2A067" w14:textId="77777777" w:rsidR="00443399" w:rsidRPr="00B03B51" w:rsidRDefault="00443399" w:rsidP="000F6153">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Sanācijas struktūras šķietami veic finanšu darbību – tās ir aizņēmušās līdzekļus (nodotus vai izdotus no jauna), lai finansētu savus samazinātās vērtības aktīvus. Tomēr šīs struktūras nevar uzskatīt par īstiem finanšu starpniekiem, jo faktiski tās neuzņemas risku, kurš saistīts ar finanšu aktīvu iegādi un saistību uzņemšanos savā vārdā, kas atbilstīgi tam, kā norādīts EKS 2010 2.57. punktā, ir tipiska finanšu starpnieku pazīme. Gluži pretēji, tās rīkojas valdības vārdā. Tādēļ šīs struktūras klasificē vispārējās valdības sektorā. Šādos apstākļos kompetentajām iestādēm ir rūpīgi jāizskata iepriekš minētie izņēmuma gadījumi.</w:t>
      </w:r>
    </w:p>
    <w:p w14:paraId="04C07241" w14:textId="77777777" w:rsidR="00443399" w:rsidRPr="00B03B51" w:rsidRDefault="00443399" w:rsidP="00443399">
      <w:pPr>
        <w:jc w:val="both"/>
        <w:rPr>
          <w:rFonts w:ascii="Times New Roman" w:eastAsia="Arial" w:hAnsi="Times New Roman" w:cs="Times New Roman"/>
          <w:noProof/>
          <w:sz w:val="24"/>
          <w:szCs w:val="15"/>
        </w:rPr>
      </w:pPr>
    </w:p>
    <w:p w14:paraId="65EBCB2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4.5.3.2. VISPĀRĒJS KAPITĀLA PĀRVEDUMU IERAKSTĪŠANAS PRINCIPS</w:t>
      </w:r>
    </w:p>
    <w:p w14:paraId="21DC8E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56723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No valdības saņemtu kapitāla pārvedumu, kas ietekmē valdības neto aizdevumu/aizņēmumu (B.9), var ierakstīt vienā no četriem laika posmiem:</w:t>
      </w:r>
    </w:p>
    <w:p w14:paraId="0068BFD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953BE1"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laikā, kad tiek sagatavots sanācijas process un valdība pērk (vai pārņem) attiecīgos aktīvus par summu, kas pārsniedz to tirgus vērtību vai patieso vērtību, kura pastāv pārveduma laikā;</w:t>
      </w:r>
    </w:p>
    <w:p w14:paraId="71270239"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sanācijas pārvaldības laikā, kad valdība (parasti – ar garantijas izmantošanas pieprasījumiem attiecībā uz aktīviem vai noteiktām saistībām) uzņemas zaudējumus no finanšu iestādēm vai citām vienībām, kas klasificētas ārpus vispārējās valdības sektora;</w:t>
      </w:r>
    </w:p>
    <w:p w14:paraId="008D4AFC"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sanācijas pārvaldības laikā, kad valdība iepludina kapitālu vienībā, lai segtu zaudējumus vai/un nodrošinātu nepieciešamos finanšu līdzekļus;</w:t>
      </w:r>
    </w:p>
    <w:p w14:paraId="478245D7"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sanācijas pārvaldības laikā, kad valdība atceļ aizdevumus, ko tā piešķīrusi vienībai.</w:t>
      </w:r>
    </w:p>
    <w:p w14:paraId="6BBE2D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9F608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Šajos gadījumos ieraksta kapitāla pārvedumu, jo starp dažādajām iesaistītajām vienībām tiek pārdalīta bagātība. Tas atbilst jēdziena “citi kapitāla pārvedumi” (D.99) definīcijai, kas sniegta EKS 2010 4.164. punktā.</w:t>
      </w:r>
    </w:p>
    <w:p w14:paraId="6E9F412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E941138" w14:textId="4765F9F9"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27. Kapitāla pārvedumu ieraksta laikā, kad notiek bagātības pārvedums. Gadījumā, ja aktīvus pārņem valdība, to var veikt brīdī, kad puses vienojas par šo operāciju. Citos gadījumos to ieraksta brīdī, kad valdība veic tādu summu pārvedumu, kas atbilst parāda pārņemšanai vai </w:t>
      </w:r>
      <w:r w:rsidR="00843ACE" w:rsidRPr="00B03B51">
        <w:rPr>
          <w:rFonts w:ascii="Times New Roman" w:hAnsi="Times New Roman" w:cs="Times New Roman"/>
          <w:sz w:val="24"/>
        </w:rPr>
        <w:t>anulēšanai</w:t>
      </w:r>
      <w:r w:rsidRPr="00B03B51">
        <w:rPr>
          <w:rFonts w:ascii="Times New Roman" w:hAnsi="Times New Roman" w:cs="Times New Roman"/>
          <w:sz w:val="24"/>
        </w:rPr>
        <w:t xml:space="preserve"> vai iepludinātajam kapitālam.</w:t>
      </w:r>
    </w:p>
    <w:p w14:paraId="41658243" w14:textId="77777777" w:rsidR="00443399" w:rsidRPr="00B03B51" w:rsidRDefault="00443399" w:rsidP="00443399">
      <w:pPr>
        <w:jc w:val="both"/>
        <w:rPr>
          <w:rFonts w:ascii="Times New Roman" w:eastAsia="Arial" w:hAnsi="Times New Roman" w:cs="Times New Roman"/>
          <w:noProof/>
          <w:sz w:val="24"/>
          <w:szCs w:val="15"/>
        </w:rPr>
      </w:pPr>
    </w:p>
    <w:p w14:paraId="6E4313F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4.5.3.3. VĒRTĪBAS NOTEIKŠANAS PROBLĒMAS SAISTĪBĀ AR AKTĪVIEM, KAS NAV AIZDEVUMI</w:t>
      </w:r>
    </w:p>
    <w:p w14:paraId="1E62ADF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B8F4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Vispārējs noteikums attiecībā uz šādu veidu aktīvu novērtēšanu nacionālajos kontos paredz, ka tie jāieraksta to tirgus vērtībā (patiesajā vērtībā), kas atbilst starptautiskajos grāmatvedības standartos (</w:t>
      </w:r>
      <w:r w:rsidRPr="00B03B51">
        <w:rPr>
          <w:rFonts w:ascii="Times New Roman" w:hAnsi="Times New Roman" w:cs="Times New Roman"/>
          <w:i/>
          <w:iCs/>
          <w:sz w:val="24"/>
        </w:rPr>
        <w:t>IFRS</w:t>
      </w:r>
      <w:r w:rsidRPr="00B03B51">
        <w:rPr>
          <w:rFonts w:ascii="Times New Roman" w:hAnsi="Times New Roman" w:cs="Times New Roman"/>
          <w:sz w:val="24"/>
        </w:rPr>
        <w:t xml:space="preserve">, </w:t>
      </w:r>
      <w:r w:rsidRPr="00B03B51">
        <w:rPr>
          <w:rFonts w:ascii="Times New Roman" w:hAnsi="Times New Roman" w:cs="Times New Roman"/>
          <w:i/>
          <w:iCs/>
          <w:sz w:val="24"/>
        </w:rPr>
        <w:t>IPSAS</w:t>
      </w:r>
      <w:r w:rsidRPr="00B03B51">
        <w:rPr>
          <w:rFonts w:ascii="Times New Roman" w:hAnsi="Times New Roman" w:cs="Times New Roman"/>
          <w:sz w:val="24"/>
        </w:rPr>
        <w:t>) noteiktam pamatprincipam. Kopumā finanšu iestādes, piemēram, bankas, var rīkoties saskaņā ar īpašiem noteikumiem, ievērojot uzraudzības noteikumus.</w:t>
      </w:r>
    </w:p>
    <w:p w14:paraId="3475E6A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A1EDDD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Finanšu iestāžu iekšējā grāmatvedībā dažus samazinātas vērtības aktīvus var novērtēt atbilstīgi to iegādes cenai. Citiem vārdiem sakot, šo aktīvu “uzskaites vērtība” neatbilst to tirgus vērtībai vai patiesajai vērtībai. Lai arī bankām saskaņā ar piesardzības pieeju būtu jāparedz iespējamie zaudējumi saistībā ar atsevišķiem aktīviem, ierakstot uzkrājumus, tās bieži vien mēdz nepietiekami novērtēt šādu ietekmi un nogaidīt, cik ilgi vien tas ir iespējams, ja vien tās nav saņēmušas skaidrus rīkojumus no uzraudzības iestādēm.</w:t>
      </w:r>
    </w:p>
    <w:p w14:paraId="7D31C2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907F4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30. Fakts, ka šādi aktīvi tiek nodoti sanācijai, nozīmē to, ka paredzamā realizācijas vērtība ir ievērojami zemāka par uzskaites vērtību. Ja tos pārved ar šādu uzskaites vērtību, nacionālajos kontos ir jāieraksta kapitāla pārvedums, lai atspoguļotu šo starpību starp uzskaites vērtību un tirgus (patieso) vērtību. Gadījumā, ja šādu vērtību nav iespējams noskaidrot, taču paredzamos zaudējumus var aprēķināt neatkarīga struktūra, pamatojoties uz parastajiem cenas noteikšanas paņēmieniem, šo aprēķināto vērtību var izmantot kā tuvinājumu starpībai starp uzskaites vērtību un tirgus vērtību.</w:t>
      </w:r>
    </w:p>
    <w:p w14:paraId="413A818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C87DB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Ja notiek turpmākas šo aktīvu tirgus (patiesās) cenas pārmaiņas laikā, kad šos aktīvus tur vispārējās valdības sektorā klasificētas vienības, tās ir jāieraksta kā turēšanas guvumi/zaudējumi, kas neietekmē neto aizdevumu/aizņēmumu.</w:t>
      </w:r>
    </w:p>
    <w:p w14:paraId="02ED6418" w14:textId="77777777" w:rsidR="00443399" w:rsidRPr="00B03B51" w:rsidRDefault="00443399" w:rsidP="00443399">
      <w:pPr>
        <w:jc w:val="both"/>
        <w:rPr>
          <w:rFonts w:ascii="Times New Roman" w:eastAsia="Arial" w:hAnsi="Times New Roman" w:cs="Times New Roman"/>
          <w:noProof/>
          <w:sz w:val="24"/>
          <w:szCs w:val="15"/>
        </w:rPr>
      </w:pPr>
    </w:p>
    <w:p w14:paraId="682592B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4.5.3.4. AIZDEVUMU GADĪJUMS</w:t>
      </w:r>
    </w:p>
    <w:p w14:paraId="047A07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86FE0D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Aizdevumu novērtējums ir apspriests EKS 2010 7.70. punktā. Saskaņā ar vispārēju noteikumu gan kreditoru, gan debitoru bilancē ieraksta “pamatsummas, kas debitoriem pēc līguma jāatmaksā kreditoriem pat tādos gadījumos, kad aizdevums tika tirgots ar diskontu vai prēmiju”. Šī ir nenomaksātā pamatsumma (līgumā noteiktā sākotnējā izpirkšanas vērtība). Tā ir arī summa, attiecībā uz kuru tiek uzkrāti procenti. Līdz ar to atšķirībā no uzņēmējdarbības un banku uzskaites sistēmām nacionālo kontu sistēmā jēdziens “patiesā vērtība” (jeb tirgus vērtība) netiek atzīts bilancēs attiecībā uz aizdevumiem.</w:t>
      </w:r>
    </w:p>
    <w:p w14:paraId="5710806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19C3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EKS 2010 5.122. punktā un EKS 2010 6.58. punktā sniegti turpmāki norādījumi attiecībā uz gadījumiem, kad aizdevumus tirgo (izņēmuma kārtā) par cenu, kas atšķiras no izpirkuma vērtības. Pārdevējam un pircējam darījums jāieraksta to finanšu kontos atbilstīgi tā faktiskajai cenai, taču attiecībā uz starpību starp darījuma vērtību un izpirkuma vērtību (ko ieraksta bilancē) pirms (pārdevējs) un pēc (pircējs) darījuma jāizmanto pārvērtēšanas konts. Pamatojums ir tas, ka pārdošanas brīdī aktīvi uz īsu brīdi tiek uzskatīti par tirgus aktīviem.</w:t>
      </w:r>
    </w:p>
    <w:p w14:paraId="0A6F1E6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ED77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Finanšu sanācijas gadījumā, kad finanšu iestādes pārdod/nodod aizdevumus īpašai valdības vienībai, darījuma vērtība bieži ir vienāda ar aizdevumu izpirkuma vērtību. Tomēr ir visnotaļ pamatoti uzskatīt, ka sanācijai nodotie aizdevumi netiks atgūti iepriekš paredzētajā vērtībā. Tā kā saskaņā ar pieejamajiem pierādījumiem valdība darījumu veic tādu iemeslu dēļ, kam nav izteikts komerciāls raksturs (skat. EKS 2010 5.21. punktu), lai šajā konkrētajā gadījumā atbalstītu grūtībās nonākušo finanšu iestādi, darījuma vērtības būtu jānorāda kā aizdevumu “pašreizējās tirgus (patiesās) vērtības”, kuras nav iespējams novērot praksē. Tomēr daudzos gadījumos kā samaksātās summas un patiesās/tirgus vērtības starpības tuvinājumu var izmantot pieejamās paredzamo zaudējumu aplēses (skat. arī 4.5.3.3. apakšiedaļu). Turklāt finanšu iestāžu grāmatvedības uzskaitē (bieži vien atbilstīgi uzraudzības iestāžu norādījumiem) attiecībā uz aizdevumu portfeļiem visticamāk būs piemēroti uzkrājumi (vērtības samazinājumi). Tas var sniegt papildu informāciju par ierakstāmā kapitāla pārveduma iespējamo apmēru. Tomēr EKS 2010 paredz, ka uzkrājumi bezcerīgajiem parādiem sistēmā nekur neparādās (4.165. punkta f) apakšpunkts).</w:t>
      </w:r>
    </w:p>
    <w:p w14:paraId="281265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D18F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Turklāt gadījumā, ja, pamatojoties uz nodotajiem aktīviem, pieejama ticama informācija, ka daži aizdevumi nekad netiks atmaksāti, kapitāla pārvedums finanšu iestādei, ar kuru šie aizdevumi tiek realizēti, jāuzskaita šādu aizdevumu pilnā vērtībā. Pēc tam tie jāsvītro (jānoraksta) no saņēmējas sanācijas vienības bilances, ievērojot minētos nosacījumus. To ieraksta finanšu iestāžu kontā “Citas aktīvu apjoma pārmaiņas”.</w:t>
      </w:r>
    </w:p>
    <w:p w14:paraId="5681D6E8" w14:textId="77777777" w:rsidR="00443399" w:rsidRPr="00B03B51" w:rsidRDefault="00443399" w:rsidP="00443399">
      <w:pPr>
        <w:jc w:val="both"/>
        <w:rPr>
          <w:rFonts w:ascii="Times New Roman" w:eastAsia="Arial" w:hAnsi="Times New Roman" w:cs="Times New Roman"/>
          <w:noProof/>
          <w:sz w:val="24"/>
          <w:szCs w:val="15"/>
        </w:rPr>
      </w:pPr>
    </w:p>
    <w:p w14:paraId="4E1E742C" w14:textId="77777777" w:rsidR="00443399" w:rsidRPr="00B03B51" w:rsidRDefault="00443399" w:rsidP="009A567F">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4.5.3.5. TRAKTĒJUMU VISPĀRĒJS NOVĒRTĒJUMS</w:t>
      </w:r>
    </w:p>
    <w:p w14:paraId="015B996D" w14:textId="77777777" w:rsidR="00443399" w:rsidRPr="00B03B51" w:rsidRDefault="00443399" w:rsidP="009A567F">
      <w:pPr>
        <w:pStyle w:val="BodyText"/>
        <w:keepNext/>
        <w:tabs>
          <w:tab w:val="left" w:pos="843"/>
        </w:tabs>
        <w:spacing w:before="0"/>
        <w:ind w:left="0" w:firstLine="0"/>
        <w:jc w:val="both"/>
        <w:rPr>
          <w:rFonts w:ascii="Times New Roman" w:hAnsi="Times New Roman" w:cs="Times New Roman"/>
          <w:noProof/>
          <w:sz w:val="24"/>
        </w:rPr>
      </w:pPr>
    </w:p>
    <w:p w14:paraId="32198B1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Valdības veiktas sanācijas rezultātā samazinās vispārējās valdības rīcībā esošie līdzekļi. Atbilstīgi iepriekš minētajiem noteikumiem šāda situācija var rasties trīs veidos:</w:t>
      </w:r>
    </w:p>
    <w:p w14:paraId="18FAD1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93C15F4"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kapitāla pārvedums tiek ierakstīts laikā, kad valdības vienība nopērk attiecīgos aktīvus vai tieši sedz ar šādiem aktīviem saistītos zaudējumus: tas tieši ietekmē vispārējās valdības neto aizdevumu/aizņēmumu brīdī, kad tiek ierakstīts pārvedums;</w:t>
      </w:r>
    </w:p>
    <w:p w14:paraId="412322D2"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rīkojas, izmantojot savu garantiju: tas ietekmē tās neto aizdevumu/aizņēmumu garantijas izmantošanas pieprasīšanas brīdī atbilstīgi tam, kā noteikts 7.4. nodaļā “Valdības garantijas”;</w:t>
      </w:r>
    </w:p>
    <w:p w14:paraId="7BFBA71B" w14:textId="77777777" w:rsidR="00443399" w:rsidRPr="00B03B51" w:rsidRDefault="00443399" w:rsidP="00500EA4">
      <w:pPr>
        <w:pStyle w:val="BodyText"/>
        <w:numPr>
          <w:ilvl w:val="1"/>
          <w:numId w:val="6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valdības vienības iegādātie aktīvi ir aizdevumi, kuri ir nodoti, neierakstot kapitāla pārvedumu. Tas ietekmē valdības neto aizdevumu/aizņēmumu kā citas pārmaiņas aktīvu apjomā, ja aizdevumi tiek atcelti par labu parādniekam un ja (dažos izņēmuma gadījumos) ir pierādījumi tam, ka debitors beidzis pastāvēt un nav nevienas citas vienības, kas būtu atbildīga par tā parādu.</w:t>
      </w:r>
    </w:p>
    <w:p w14:paraId="0046A8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1B459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Par sanācijas procesu atbildīgo vienību klasifikācija vispārējās valdības sektorā var ietekmēt valdības parādu arī ar to saistību summu. Tādā gadījumā tā ietekmēs vispārējās valdības neto aizdevumu/aizņēmumu arī ar parāda finansēšanas izmaksām (procentiem).</w:t>
      </w:r>
    </w:p>
    <w:p w14:paraId="6ECE4287" w14:textId="77777777" w:rsidR="00443399" w:rsidRPr="00B03B51" w:rsidRDefault="00443399" w:rsidP="00443399">
      <w:pPr>
        <w:jc w:val="both"/>
        <w:rPr>
          <w:rFonts w:ascii="Times New Roman" w:eastAsia="Arial" w:hAnsi="Times New Roman" w:cs="Times New Roman"/>
          <w:noProof/>
          <w:sz w:val="24"/>
          <w:szCs w:val="19"/>
        </w:rPr>
      </w:pPr>
    </w:p>
    <w:p w14:paraId="79DB3731"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65" w:name="_Toc67565136"/>
      <w:r w:rsidRPr="00B03B51">
        <w:rPr>
          <w:rFonts w:ascii="Times New Roman" w:hAnsi="Times New Roman" w:cs="Times New Roman"/>
          <w:sz w:val="24"/>
        </w:rPr>
        <w:t>4.5.4. Uzskaites piemēri</w:t>
      </w:r>
      <w:bookmarkEnd w:id="365"/>
    </w:p>
    <w:p w14:paraId="69E1404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16B7F7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Šeit sniegtajā piemērā apspriests tāds gadījums, kurā vienība, kas klasificēta vispārējās valdības sektorā, no finanšu iestādes pērk bezcerīgos aktīvus par to grāmatvedības uzskaites vērtību. Valdības pašu kapitāls finanšu iestādē nav uzrādīts.</w:t>
      </w:r>
    </w:p>
    <w:p w14:paraId="1404ECDE" w14:textId="77777777" w:rsidR="00443399" w:rsidRPr="00B03B51" w:rsidRDefault="00443399" w:rsidP="00443399">
      <w:pPr>
        <w:jc w:val="both"/>
        <w:rPr>
          <w:rFonts w:ascii="Times New Roman" w:eastAsia="Arial" w:hAnsi="Times New Roman" w:cs="Times New Roman"/>
          <w:noProof/>
          <w:sz w:val="24"/>
          <w:szCs w:val="18"/>
        </w:rPr>
      </w:pPr>
    </w:p>
    <w:p w14:paraId="1BFFB9D3"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Sanācijas sagatavošana</w:t>
      </w:r>
    </w:p>
    <w:p w14:paraId="3C8882F8" w14:textId="77777777" w:rsidR="00443399" w:rsidRPr="00B03B51" w:rsidRDefault="00443399" w:rsidP="00443399">
      <w:pPr>
        <w:jc w:val="both"/>
        <w:rPr>
          <w:rFonts w:ascii="Times New Roman" w:eastAsia="Arial" w:hAnsi="Times New Roman" w:cs="Times New Roman"/>
          <w:b/>
          <w:bCs/>
          <w:noProof/>
          <w:sz w:val="24"/>
        </w:rPr>
      </w:pPr>
    </w:p>
    <w:p w14:paraId="5C1545D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Finanšu iestādes nodod par sanāciju atbildīgajai publiskajai vienībai šādus aktīvus:</w:t>
      </w:r>
    </w:p>
    <w:p w14:paraId="37250DE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392B3EE"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vērtspapīrus/akcijas, kuru grāmatvedības uzskaites vērtība ir 40 naudas vienības un tirgus vērtība ir 25 naudas vienības (vērtība sākuma bilancē);</w:t>
      </w:r>
    </w:p>
    <w:p w14:paraId="4E0D6B9B"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ēkas, kuru grāmatvedības uzskaites vērtība ir 10 naudas vienības un tirgus vērtība ir 5 naudas vienības (sākuma bilancē);</w:t>
      </w:r>
    </w:p>
    <w:p w14:paraId="73E5F159"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aizdevumus, kuru izpirkuma vērtība ir 50 naudas vienības (sākuma bilancē): gada laikā un sanācijas sagatavošanas laikā dažus aizdevumus, kuru summa ir 10 naudas vienības, uzskata par neatgūstamiem.</w:t>
      </w:r>
    </w:p>
    <w:p w14:paraId="5768CD9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AA3967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Tā kā šo aktīvu grāmatvedības uzskaites vērtība ir 100 naudas vienības (10+40+50) un tirgus vērtība ir nokritusies līdz 70 naudas vienībām (5+25+40), tiek ierakstīts kapitāla pārvedums par 30 naudas vienībām. Pieņem, ka valdības vienība ir aizņēmusies visus savus finanšu līdzekļus.</w:t>
      </w:r>
    </w:p>
    <w:p w14:paraId="20D0E638" w14:textId="77777777" w:rsidR="00443399" w:rsidRPr="00B03B51" w:rsidRDefault="00443399" w:rsidP="00443399">
      <w:pPr>
        <w:jc w:val="both"/>
        <w:rPr>
          <w:rFonts w:ascii="Times New Roman" w:hAnsi="Times New Roman" w:cs="Times New Roman"/>
          <w:b/>
          <w:noProof/>
          <w:sz w:val="24"/>
        </w:rPr>
      </w:pPr>
    </w:p>
    <w:p w14:paraId="091CBDA6" w14:textId="77777777" w:rsidR="00443399" w:rsidRPr="00B03B51" w:rsidRDefault="00443399" w:rsidP="00443399">
      <w:pPr>
        <w:jc w:val="center"/>
        <w:rPr>
          <w:rFonts w:ascii="Times New Roman" w:hAnsi="Times New Roman" w:cs="Times New Roman"/>
          <w:b/>
          <w:noProof/>
          <w:sz w:val="24"/>
        </w:rPr>
      </w:pPr>
      <w:r w:rsidRPr="00B03B51">
        <w:rPr>
          <w:rFonts w:ascii="Times New Roman" w:hAnsi="Times New Roman" w:cs="Times New Roman"/>
          <w:noProof/>
        </w:rPr>
        <w:lastRenderedPageBreak/>
        <w:drawing>
          <wp:inline distT="0" distB="0" distL="0" distR="0" wp14:anchorId="1CB9D16A" wp14:editId="1FA393C5">
            <wp:extent cx="5756275" cy="5117465"/>
            <wp:effectExtent l="0" t="0" r="0" b="6985"/>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6275" cy="5117465"/>
                    </a:xfrm>
                    <a:prstGeom prst="rect">
                      <a:avLst/>
                    </a:prstGeom>
                  </pic:spPr>
                </pic:pic>
              </a:graphicData>
            </a:graphic>
          </wp:inline>
        </w:drawing>
      </w:r>
    </w:p>
    <w:p w14:paraId="2EA451D6" w14:textId="77777777" w:rsidR="00443399" w:rsidRPr="00B03B51" w:rsidRDefault="00443399" w:rsidP="00443399">
      <w:pPr>
        <w:jc w:val="both"/>
        <w:rPr>
          <w:rFonts w:ascii="Times New Roman" w:eastAsia="Arial" w:hAnsi="Times New Roman" w:cs="Times New Roman"/>
          <w:noProof/>
          <w:sz w:val="24"/>
          <w:szCs w:val="23"/>
        </w:rPr>
      </w:pPr>
    </w:p>
    <w:p w14:paraId="70E451FC"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Sanācijas pārvaldība</w:t>
      </w:r>
    </w:p>
    <w:p w14:paraId="022A292F" w14:textId="77777777" w:rsidR="00443399" w:rsidRPr="00B03B51" w:rsidRDefault="00443399" w:rsidP="00443399">
      <w:pPr>
        <w:jc w:val="both"/>
        <w:rPr>
          <w:rFonts w:ascii="Times New Roman" w:eastAsia="Arial" w:hAnsi="Times New Roman" w:cs="Times New Roman"/>
          <w:b/>
          <w:bCs/>
          <w:noProof/>
          <w:sz w:val="24"/>
        </w:rPr>
      </w:pPr>
    </w:p>
    <w:p w14:paraId="267AB4A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No sanācijas sākuma līdz brīdim, kad tiek likvidēta par aktīvu pārvaldību atbildīgā vienība, veic šādus pasākumus:</w:t>
      </w:r>
    </w:p>
    <w:p w14:paraId="4C708C6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4C775A8"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vērtspapīrus pārdod par 30 naudas vienībām;</w:t>
      </w:r>
    </w:p>
    <w:p w14:paraId="42F97BE2"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ēkas pārdod par 8 naudas vienībām;</w:t>
      </w:r>
    </w:p>
    <w:p w14:paraId="78125C5F" w14:textId="77777777" w:rsidR="00443399" w:rsidRPr="00B03B51" w:rsidRDefault="00443399" w:rsidP="00500EA4">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no kopējās aizdevumu summas (40 naudas vienības): 30 naudas vienības noslēgumā tiek atmaksātas, 6 tiek norakstītas un 4 – atceltas saskaņā ar savstarpēju vienošanos.</w:t>
      </w:r>
    </w:p>
    <w:p w14:paraId="736EAF7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84DFA9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Atmaksu, ko vienība veica par iegūto aizdevumu, kā arī procentu maksājumus neuzrāda.</w:t>
      </w:r>
    </w:p>
    <w:p w14:paraId="629339A9" w14:textId="77777777" w:rsidR="00443399" w:rsidRPr="00B03B51" w:rsidRDefault="00443399" w:rsidP="00443399">
      <w:pPr>
        <w:jc w:val="both"/>
        <w:rPr>
          <w:rFonts w:ascii="Times New Roman" w:eastAsia="Arial" w:hAnsi="Times New Roman" w:cs="Times New Roman"/>
          <w:noProof/>
          <w:sz w:val="24"/>
          <w:szCs w:val="16"/>
        </w:rPr>
      </w:pPr>
    </w:p>
    <w:p w14:paraId="4517FB42" w14:textId="77777777" w:rsidR="00443399" w:rsidRPr="00B03B51" w:rsidRDefault="00443399" w:rsidP="00443399">
      <w:pPr>
        <w:jc w:val="center"/>
        <w:rPr>
          <w:rFonts w:ascii="Times New Roman" w:eastAsia="Arial" w:hAnsi="Times New Roman" w:cs="Times New Roman"/>
          <w:noProof/>
          <w:sz w:val="24"/>
          <w:szCs w:val="16"/>
        </w:rPr>
      </w:pPr>
      <w:r w:rsidRPr="00B03B51">
        <w:rPr>
          <w:rFonts w:ascii="Times New Roman" w:hAnsi="Times New Roman" w:cs="Times New Roman"/>
          <w:noProof/>
        </w:rPr>
        <w:lastRenderedPageBreak/>
        <w:drawing>
          <wp:inline distT="0" distB="0" distL="0" distR="0" wp14:anchorId="6168B23F" wp14:editId="088B183F">
            <wp:extent cx="3409950" cy="1581150"/>
            <wp:effectExtent l="0" t="0" r="0"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9950" cy="1581150"/>
                    </a:xfrm>
                    <a:prstGeom prst="rect">
                      <a:avLst/>
                    </a:prstGeom>
                  </pic:spPr>
                </pic:pic>
              </a:graphicData>
            </a:graphic>
          </wp:inline>
        </w:drawing>
      </w:r>
    </w:p>
    <w:p w14:paraId="440EFE46" w14:textId="77777777" w:rsidR="00443399" w:rsidRPr="00B03B51" w:rsidRDefault="00443399" w:rsidP="00443399">
      <w:pPr>
        <w:jc w:val="center"/>
        <w:rPr>
          <w:rFonts w:ascii="Times New Roman" w:eastAsia="Arial" w:hAnsi="Times New Roman" w:cs="Times New Roman"/>
          <w:noProof/>
          <w:sz w:val="24"/>
          <w:szCs w:val="16"/>
        </w:rPr>
      </w:pPr>
      <w:r w:rsidRPr="00B03B51">
        <w:rPr>
          <w:rFonts w:ascii="Times New Roman" w:hAnsi="Times New Roman" w:cs="Times New Roman"/>
          <w:noProof/>
        </w:rPr>
        <w:drawing>
          <wp:inline distT="0" distB="0" distL="0" distR="0" wp14:anchorId="5B2DD7F1" wp14:editId="08C21517">
            <wp:extent cx="3495675" cy="5210175"/>
            <wp:effectExtent l="0" t="0" r="9525" b="9525"/>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95675" cy="5210175"/>
                    </a:xfrm>
                    <a:prstGeom prst="rect">
                      <a:avLst/>
                    </a:prstGeom>
                  </pic:spPr>
                </pic:pic>
              </a:graphicData>
            </a:graphic>
          </wp:inline>
        </w:drawing>
      </w:r>
    </w:p>
    <w:p w14:paraId="0E3DA178" w14:textId="77777777" w:rsidR="00443399" w:rsidRPr="00B03B51" w:rsidRDefault="00443399" w:rsidP="00443399">
      <w:pPr>
        <w:jc w:val="both"/>
        <w:rPr>
          <w:rFonts w:ascii="Times New Roman" w:eastAsia="Arial" w:hAnsi="Times New Roman" w:cs="Times New Roman"/>
          <w:noProof/>
          <w:sz w:val="24"/>
          <w:szCs w:val="16"/>
        </w:rPr>
      </w:pPr>
    </w:p>
    <w:p w14:paraId="6D682A7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piemērā valdība uzņemas risku un kompensē finanšu iestāžu turētos problemātiskos aktīvus (“ekonomisko īpašumtiesību” gadījums).</w:t>
      </w:r>
    </w:p>
    <w:p w14:paraId="503322ED" w14:textId="77777777" w:rsidR="00443399" w:rsidRPr="00B03B51" w:rsidRDefault="00443399" w:rsidP="00443399">
      <w:pPr>
        <w:jc w:val="both"/>
        <w:rPr>
          <w:rFonts w:ascii="Times New Roman" w:eastAsia="Arial" w:hAnsi="Times New Roman" w:cs="Times New Roman"/>
          <w:noProof/>
          <w:sz w:val="24"/>
          <w:szCs w:val="18"/>
        </w:rPr>
      </w:pPr>
    </w:p>
    <w:p w14:paraId="54CFC16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 Problemātisko aktīvu uzskaites vērtība ir 50 naudas vienības, proti, tā ir vienāda ar aktīvu tirgus/patieso vērtību.</w:t>
      </w:r>
    </w:p>
    <w:p w14:paraId="413A7391" w14:textId="77777777" w:rsidR="00443399" w:rsidRPr="00B03B51" w:rsidRDefault="00443399" w:rsidP="00443399">
      <w:pPr>
        <w:jc w:val="both"/>
        <w:rPr>
          <w:rFonts w:ascii="Times New Roman" w:eastAsia="Arial" w:hAnsi="Times New Roman" w:cs="Times New Roman"/>
          <w:b/>
          <w:bCs/>
          <w:noProof/>
          <w:sz w:val="24"/>
          <w:szCs w:val="20"/>
        </w:rPr>
      </w:pPr>
    </w:p>
    <w:p w14:paraId="7A704688" w14:textId="77777777" w:rsidR="00443399" w:rsidRPr="00B03B51" w:rsidRDefault="00443399" w:rsidP="00443399">
      <w:pPr>
        <w:jc w:val="center"/>
        <w:rPr>
          <w:rFonts w:ascii="Times New Roman" w:eastAsia="Arial" w:hAnsi="Times New Roman" w:cs="Times New Roman"/>
          <w:b/>
          <w:bCs/>
          <w:noProof/>
          <w:sz w:val="24"/>
          <w:szCs w:val="20"/>
        </w:rPr>
      </w:pPr>
      <w:r w:rsidRPr="00B03B51">
        <w:rPr>
          <w:rFonts w:ascii="Times New Roman" w:hAnsi="Times New Roman" w:cs="Times New Roman"/>
          <w:noProof/>
        </w:rPr>
        <w:lastRenderedPageBreak/>
        <w:drawing>
          <wp:inline distT="0" distB="0" distL="0" distR="0" wp14:anchorId="18AFD359" wp14:editId="2C4BB574">
            <wp:extent cx="5756275" cy="3300730"/>
            <wp:effectExtent l="0" t="0" r="0"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6275" cy="3300730"/>
                    </a:xfrm>
                    <a:prstGeom prst="rect">
                      <a:avLst/>
                    </a:prstGeom>
                  </pic:spPr>
                </pic:pic>
              </a:graphicData>
            </a:graphic>
          </wp:inline>
        </w:drawing>
      </w:r>
    </w:p>
    <w:p w14:paraId="404ECCD6" w14:textId="77777777" w:rsidR="00443399" w:rsidRPr="00B03B51" w:rsidRDefault="00443399" w:rsidP="00443399">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6F7CFEDA" wp14:editId="2949D7A0">
            <wp:extent cx="5756275" cy="612140"/>
            <wp:effectExtent l="0" t="0" r="0"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6275" cy="612140"/>
                    </a:xfrm>
                    <a:prstGeom prst="rect">
                      <a:avLst/>
                    </a:prstGeom>
                  </pic:spPr>
                </pic:pic>
              </a:graphicData>
            </a:graphic>
          </wp:inline>
        </w:drawing>
      </w:r>
    </w:p>
    <w:p w14:paraId="2A150A48" w14:textId="77777777" w:rsidR="00443399" w:rsidRPr="00B03B51" w:rsidRDefault="00443399" w:rsidP="00443399">
      <w:pPr>
        <w:jc w:val="both"/>
        <w:rPr>
          <w:rFonts w:ascii="Times New Roman" w:eastAsia="Arial" w:hAnsi="Times New Roman" w:cs="Times New Roman"/>
          <w:b/>
          <w:bCs/>
          <w:noProof/>
          <w:sz w:val="24"/>
          <w:szCs w:val="20"/>
        </w:rPr>
      </w:pPr>
    </w:p>
    <w:p w14:paraId="04382C2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2.a) Problemātiskie aktīvi tiek segti no valdības atbalsta shēmas (riski un priekšrocības) 50 naudas vienību apmērā, taču to tirgus/patiesā vērtība tiek novērtēta ar 40 naudas vienībām, ko apliecina ieraksts finanšu iestādes bilancē.</w:t>
      </w:r>
    </w:p>
    <w:p w14:paraId="7A0265EC" w14:textId="77777777" w:rsidR="00443399" w:rsidRPr="00B03B51" w:rsidRDefault="00443399" w:rsidP="00443399">
      <w:pPr>
        <w:jc w:val="both"/>
        <w:rPr>
          <w:rFonts w:ascii="Times New Roman" w:eastAsia="Arial" w:hAnsi="Times New Roman" w:cs="Times New Roman"/>
          <w:noProof/>
          <w:sz w:val="24"/>
          <w:szCs w:val="23"/>
        </w:rPr>
      </w:pPr>
    </w:p>
    <w:p w14:paraId="490D10CF" w14:textId="77777777" w:rsidR="00443399" w:rsidRPr="00B03B51" w:rsidRDefault="00443399" w:rsidP="00443399">
      <w:pPr>
        <w:jc w:val="center"/>
        <w:rPr>
          <w:rFonts w:ascii="Times New Roman" w:eastAsia="Arial" w:hAnsi="Times New Roman" w:cs="Times New Roman"/>
          <w:noProof/>
          <w:sz w:val="24"/>
          <w:szCs w:val="23"/>
        </w:rPr>
      </w:pPr>
      <w:r w:rsidRPr="00B03B51">
        <w:rPr>
          <w:rFonts w:ascii="Times New Roman" w:hAnsi="Times New Roman" w:cs="Times New Roman"/>
          <w:noProof/>
        </w:rPr>
        <w:lastRenderedPageBreak/>
        <w:drawing>
          <wp:inline distT="0" distB="0" distL="0" distR="0" wp14:anchorId="10E1D44B" wp14:editId="4299F971">
            <wp:extent cx="5756275" cy="4435475"/>
            <wp:effectExtent l="0" t="0" r="0" b="3175"/>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6275" cy="4435475"/>
                    </a:xfrm>
                    <a:prstGeom prst="rect">
                      <a:avLst/>
                    </a:prstGeom>
                  </pic:spPr>
                </pic:pic>
              </a:graphicData>
            </a:graphic>
          </wp:inline>
        </w:drawing>
      </w:r>
    </w:p>
    <w:p w14:paraId="154ABBA1" w14:textId="77777777" w:rsidR="00443399" w:rsidRPr="00B03B51" w:rsidRDefault="00443399" w:rsidP="00443399">
      <w:pPr>
        <w:jc w:val="both"/>
        <w:rPr>
          <w:rFonts w:ascii="Times New Roman" w:eastAsia="Arial" w:hAnsi="Times New Roman" w:cs="Times New Roman"/>
          <w:noProof/>
          <w:sz w:val="24"/>
          <w:szCs w:val="23"/>
        </w:rPr>
      </w:pPr>
    </w:p>
    <w:p w14:paraId="6F0CCE9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2.b) Valdības bilancē tiek ierakstīti aktīvu turēšanas zaudējumi 10 vienību apmērā. Valdībai ir jāpārskaita 10 naudas vienības finanšu iestādei (piemēram, finansējot tos no aizdevuma, kas saņemts tirgū, emitējot parāda vērtspapīrus).</w:t>
      </w:r>
    </w:p>
    <w:p w14:paraId="595DDB5B" w14:textId="77777777" w:rsidR="00443399" w:rsidRPr="00B03B51" w:rsidRDefault="00443399" w:rsidP="00443399">
      <w:pPr>
        <w:jc w:val="both"/>
        <w:rPr>
          <w:rFonts w:ascii="Times New Roman" w:eastAsia="Arial" w:hAnsi="Times New Roman" w:cs="Times New Roman"/>
          <w:noProof/>
          <w:sz w:val="24"/>
          <w:szCs w:val="20"/>
        </w:rPr>
      </w:pPr>
    </w:p>
    <w:p w14:paraId="00B518F0"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280346BC" wp14:editId="20BD563E">
            <wp:extent cx="5756275" cy="2207895"/>
            <wp:effectExtent l="0" t="0" r="0" b="1905"/>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56275" cy="2207895"/>
                    </a:xfrm>
                    <a:prstGeom prst="rect">
                      <a:avLst/>
                    </a:prstGeom>
                  </pic:spPr>
                </pic:pic>
              </a:graphicData>
            </a:graphic>
          </wp:inline>
        </w:drawing>
      </w:r>
    </w:p>
    <w:p w14:paraId="3E8A71B9" w14:textId="77777777" w:rsidR="00443399" w:rsidRPr="00B03B51" w:rsidRDefault="00443399" w:rsidP="00500EA4">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1AA247FE" wp14:editId="5EB088FA">
            <wp:extent cx="5756275" cy="2712085"/>
            <wp:effectExtent l="0" t="0" r="0"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6275" cy="2712085"/>
                    </a:xfrm>
                    <a:prstGeom prst="rect">
                      <a:avLst/>
                    </a:prstGeom>
                  </pic:spPr>
                </pic:pic>
              </a:graphicData>
            </a:graphic>
          </wp:inline>
        </w:drawing>
      </w:r>
    </w:p>
    <w:p w14:paraId="6039AB6F" w14:textId="77777777" w:rsidR="00443399" w:rsidRPr="00B03B51" w:rsidRDefault="00443399" w:rsidP="00443399">
      <w:pPr>
        <w:jc w:val="both"/>
        <w:rPr>
          <w:rFonts w:ascii="Times New Roman" w:eastAsia="Arial" w:hAnsi="Times New Roman" w:cs="Times New Roman"/>
          <w:b/>
          <w:bCs/>
          <w:noProof/>
          <w:sz w:val="24"/>
        </w:rPr>
      </w:pPr>
    </w:p>
    <w:p w14:paraId="1F72B5D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2.c) Aktīvu darbības termiņa beigās galīgais aktīvu turēšanas guvums ir 5 naudas vienības (valdība saņem 35 naudas vienības, nevis 30 naudas vienības). Valdība aizņemas tirgū 5 naudas vienības (piemēram, emitējot parāda vērtspapīrus), lai atmaksātu aizdevumu 40 naudas vienību apmērā.</w:t>
      </w:r>
    </w:p>
    <w:p w14:paraId="0EB6BDE5" w14:textId="77777777" w:rsidR="00443399" w:rsidRPr="00B03B51" w:rsidRDefault="00443399" w:rsidP="00443399">
      <w:pPr>
        <w:jc w:val="both"/>
        <w:rPr>
          <w:rFonts w:ascii="Times New Roman" w:eastAsia="Arial" w:hAnsi="Times New Roman" w:cs="Times New Roman"/>
          <w:noProof/>
          <w:sz w:val="24"/>
          <w:szCs w:val="20"/>
        </w:rPr>
      </w:pPr>
    </w:p>
    <w:p w14:paraId="139FA3EE"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3583D762" wp14:editId="1DEA880C">
            <wp:extent cx="5756275" cy="4688205"/>
            <wp:effectExtent l="0" t="0" r="0"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6275" cy="4688205"/>
                    </a:xfrm>
                    <a:prstGeom prst="rect">
                      <a:avLst/>
                    </a:prstGeom>
                  </pic:spPr>
                </pic:pic>
              </a:graphicData>
            </a:graphic>
          </wp:inline>
        </w:drawing>
      </w:r>
    </w:p>
    <w:p w14:paraId="73297DA7" w14:textId="77777777" w:rsidR="00443399" w:rsidRPr="00B03B51" w:rsidRDefault="00443399" w:rsidP="00443399">
      <w:pPr>
        <w:rPr>
          <w:rFonts w:ascii="Times New Roman" w:eastAsia="Arial" w:hAnsi="Times New Roman" w:cs="Times New Roman"/>
          <w:noProof/>
          <w:sz w:val="24"/>
          <w:szCs w:val="29"/>
        </w:rPr>
      </w:pPr>
      <w:r w:rsidRPr="00B03B51">
        <w:rPr>
          <w:rFonts w:ascii="Times New Roman" w:hAnsi="Times New Roman" w:cs="Times New Roman"/>
        </w:rPr>
        <w:br w:type="page"/>
      </w:r>
    </w:p>
    <w:p w14:paraId="19C66635" w14:textId="77777777" w:rsidR="00443399" w:rsidRPr="00B03B51" w:rsidRDefault="00443399" w:rsidP="00443399">
      <w:pPr>
        <w:jc w:val="both"/>
        <w:rPr>
          <w:rFonts w:ascii="Times New Roman" w:eastAsia="Arial" w:hAnsi="Times New Roman" w:cs="Times New Roman"/>
          <w:noProof/>
          <w:sz w:val="24"/>
          <w:szCs w:val="29"/>
        </w:rPr>
      </w:pPr>
    </w:p>
    <w:p w14:paraId="6B4BC084"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366" w:name="4.6_Capital_increases_in_multilateral_de"/>
      <w:bookmarkStart w:id="367" w:name="_bookmark36"/>
      <w:bookmarkStart w:id="368" w:name="_Toc67565137"/>
      <w:bookmarkEnd w:id="366"/>
      <w:bookmarkEnd w:id="367"/>
      <w:r w:rsidRPr="00B03B51">
        <w:rPr>
          <w:rFonts w:ascii="Times New Roman" w:hAnsi="Times New Roman" w:cs="Times New Roman"/>
          <w:sz w:val="28"/>
          <w:szCs w:val="44"/>
        </w:rPr>
        <w:t>4.6. Kapitāla pieaugums daudzpusējās attīstības bankās</w:t>
      </w:r>
      <w:bookmarkEnd w:id="368"/>
    </w:p>
    <w:p w14:paraId="542569CF" w14:textId="77777777" w:rsidR="00443399" w:rsidRPr="00B03B51" w:rsidRDefault="00443399" w:rsidP="00443399">
      <w:pPr>
        <w:tabs>
          <w:tab w:val="left" w:pos="1267"/>
        </w:tabs>
        <w:jc w:val="both"/>
        <w:rPr>
          <w:rFonts w:ascii="Times New Roman" w:hAnsi="Times New Roman" w:cs="Times New Roman"/>
          <w:b/>
          <w:noProof/>
          <w:sz w:val="24"/>
        </w:rPr>
      </w:pPr>
      <w:bookmarkStart w:id="369" w:name="4.6.1_Background"/>
      <w:bookmarkEnd w:id="369"/>
    </w:p>
    <w:p w14:paraId="3A590CBB" w14:textId="77777777" w:rsidR="00443399" w:rsidRPr="00BE27DC" w:rsidRDefault="00443399" w:rsidP="00BE27DC">
      <w:pPr>
        <w:pStyle w:val="Heading3"/>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4.6.1. Vispārīga informācija</w:t>
      </w:r>
    </w:p>
    <w:p w14:paraId="054A36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1216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Daudzpusējas attīstības bankas ir iestādes, kas sniedz finanšu atbalstu un profesionālus ieteikumus attiecībā uz ekonomiskās un sociālās attīstības pasākumiem attīstības valstīs. Terminu “daudzpusējās attīstības bankas” (DAB) parasti attiecina uz Pasaules Bankas grupu (jo īpaši uz Starptautisko rekonstrukcijas un attīstības banku (</w:t>
      </w:r>
      <w:r w:rsidRPr="00B03B51">
        <w:rPr>
          <w:rFonts w:ascii="Times New Roman" w:hAnsi="Times New Roman" w:cs="Times New Roman"/>
          <w:i/>
          <w:iCs/>
          <w:sz w:val="24"/>
        </w:rPr>
        <w:t>IBRD</w:t>
      </w:r>
      <w:r w:rsidRPr="00B03B51">
        <w:rPr>
          <w:rFonts w:ascii="Times New Roman" w:hAnsi="Times New Roman" w:cs="Times New Roman"/>
          <w:sz w:val="24"/>
        </w:rPr>
        <w:t>) un Starptautisko attīstības aģentūru (</w:t>
      </w:r>
      <w:r w:rsidRPr="00B03B51">
        <w:rPr>
          <w:rFonts w:ascii="Times New Roman" w:hAnsi="Times New Roman" w:cs="Times New Roman"/>
          <w:i/>
          <w:iCs/>
          <w:sz w:val="24"/>
        </w:rPr>
        <w:t>IDA</w:t>
      </w:r>
      <w:r w:rsidRPr="00B03B51">
        <w:rPr>
          <w:rFonts w:ascii="Times New Roman" w:hAnsi="Times New Roman" w:cs="Times New Roman"/>
          <w:sz w:val="24"/>
        </w:rPr>
        <w:t>)) un četrām reģionālās attīstības bankām:</w:t>
      </w:r>
    </w:p>
    <w:p w14:paraId="4FE477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C237AB" w14:textId="77777777" w:rsidR="00443399" w:rsidRPr="00B03B51" w:rsidRDefault="00443399" w:rsidP="00500EA4">
      <w:pPr>
        <w:pStyle w:val="BodyText"/>
        <w:numPr>
          <w:ilvl w:val="1"/>
          <w:numId w:val="6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Āfrikas Attīstības banku (</w:t>
      </w:r>
      <w:r w:rsidRPr="00B03B51">
        <w:rPr>
          <w:rFonts w:ascii="Times New Roman" w:hAnsi="Times New Roman" w:cs="Times New Roman"/>
          <w:i/>
          <w:iCs/>
          <w:sz w:val="24"/>
        </w:rPr>
        <w:t>AfDB</w:t>
      </w:r>
      <w:r w:rsidRPr="00B03B51">
        <w:rPr>
          <w:rFonts w:ascii="Times New Roman" w:hAnsi="Times New Roman" w:cs="Times New Roman"/>
          <w:sz w:val="24"/>
        </w:rPr>
        <w:t>);</w:t>
      </w:r>
    </w:p>
    <w:p w14:paraId="57DE5B69" w14:textId="77777777" w:rsidR="00443399" w:rsidRPr="00B03B51" w:rsidRDefault="00443399" w:rsidP="00500EA4">
      <w:pPr>
        <w:pStyle w:val="BodyText"/>
        <w:numPr>
          <w:ilvl w:val="1"/>
          <w:numId w:val="6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Āzijas Attīstības banku (</w:t>
      </w:r>
      <w:r w:rsidRPr="00B03B51">
        <w:rPr>
          <w:rFonts w:ascii="Times New Roman" w:hAnsi="Times New Roman" w:cs="Times New Roman"/>
          <w:i/>
          <w:iCs/>
          <w:sz w:val="24"/>
        </w:rPr>
        <w:t>AsDB</w:t>
      </w:r>
      <w:r w:rsidRPr="00B03B51">
        <w:rPr>
          <w:rFonts w:ascii="Times New Roman" w:hAnsi="Times New Roman" w:cs="Times New Roman"/>
          <w:sz w:val="24"/>
        </w:rPr>
        <w:t>);</w:t>
      </w:r>
    </w:p>
    <w:p w14:paraId="08659F25" w14:textId="77777777" w:rsidR="00443399" w:rsidRPr="00B03B51" w:rsidRDefault="00443399" w:rsidP="00500EA4">
      <w:pPr>
        <w:pStyle w:val="BodyText"/>
        <w:numPr>
          <w:ilvl w:val="1"/>
          <w:numId w:val="6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Eiropas Rekonstrukcijas un attīstības banku (ERAB);</w:t>
      </w:r>
    </w:p>
    <w:p w14:paraId="3D96F34E" w14:textId="77777777" w:rsidR="00443399" w:rsidRPr="00B03B51" w:rsidRDefault="00443399" w:rsidP="00500EA4">
      <w:pPr>
        <w:pStyle w:val="BodyText"/>
        <w:numPr>
          <w:ilvl w:val="1"/>
          <w:numId w:val="6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Amerikas Attīstības bankas grupu (</w:t>
      </w:r>
      <w:r w:rsidRPr="00B03B51">
        <w:rPr>
          <w:rFonts w:ascii="Times New Roman" w:hAnsi="Times New Roman" w:cs="Times New Roman"/>
          <w:i/>
          <w:iCs/>
          <w:sz w:val="24"/>
        </w:rPr>
        <w:t>IDB</w:t>
      </w:r>
      <w:r w:rsidRPr="00B03B51">
        <w:rPr>
          <w:rFonts w:ascii="Times New Roman" w:hAnsi="Times New Roman" w:cs="Times New Roman"/>
          <w:sz w:val="24"/>
        </w:rPr>
        <w:t>).</w:t>
      </w:r>
    </w:p>
    <w:p w14:paraId="6300DF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381E4B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DAB raksturīga plaša līdzdalība, sākot no attīstības valstīm, kuras ņem aizdevumus, līdz attīstītajām valstīm, kuras piešķir finansējumu, un tā netiek ierobežota līdz dalībvalstīm no konkrētās reģionālās attīstības bankas reģiona. Katrai bankai ir neatkarīgs juridiskais un darbības statuss, lai gan, ņemot vērā līdzīgo pilnvarojumu un ievērojamo kopējo īpašnieku skaitu, DAB cieši sadarbojas viena ar otru.</w:t>
      </w:r>
    </w:p>
    <w:p w14:paraId="192FC5A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8BE5F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Lielākajai daļai DAB ir pieejami divu veidu finanšu līdzekļi, ko bieži vien dēvē par “aizdevuma logiem” vai “aizdevuma mehānismiem”. Viena veida aizdevumu logs tiek izmantots, lai piešķirtu aizdevumus ar tirgum atbilstošām procentu likmēm. Atkarībā no DAB šādi nekoncesionāli aizdevumi tiek darīti pieejami valdībām un privātiem uzņēmumiem vidēji augstu ienākumu grupā un dažām kredītspējīgām valstīm zemu ienākumu grupā. Otrs aizdevuma loga veids tiek izmantots, lai valstīm ar zemiem ienākumiem piešķirtu aizdevumus ar procentu likmēm, kas ir (ievērojami) zemākas par tirgus procentu likmēm (koncesionālie aizdevumi).</w:t>
      </w:r>
    </w:p>
    <w:p w14:paraId="1A6658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69CA1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Lai izsniegtu nekoncesionālus aizdevumus, DAB aizņemas naudu starptautiskajos kapitāla tirgos un tad aizdod to attīstības valstīm. DAB spēj aizņemties starptautiskajos kapitāla tirgos, jo ir saņēmušas garantijas no savu dalībvalstu valdībām. Tas tiek nodrošināts, izmantojot īpašuma daļas, ko dalībvalstis paraksta katrā bankā. Tikai neliela daļa (parasti mazāk par 5–10 %) no šo kapitāldaļu vērtības tiek faktiski iemaksāta DAB (“apmaksātais kapitāls”). Vairums šo daļu tiek nodrošinātas garantijas veidā, kuras apliecina, ka donori ir gatavi vajadzības gadījumā sniegt bankai finansējumu. To dēvē par “pieprasāmo kapitālu”, jo donors faktiski nepārskaita finansējumu DAB, ja vien banka nepieprasa šādu finansējumu, jo tā ir izsmēlusi tai pieejamos finanšu līdzekļus, bet joprojām nav veikusi visus maksājumus obligāciju turētājiem.</w:t>
      </w:r>
    </w:p>
    <w:p w14:paraId="6C7A22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9136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Ja donori atzīst, ka turpmāk aizdevumu pieprasījums no DAB visticamāk pieaugs, tie regulāri palielina savu parakstīto kapitālu attiecībā uz DAB nekoncesionālo aizdevumu logu, lai ļautu DAB palielināt savu aizdevuma apjomu.</w:t>
      </w:r>
    </w:p>
    <w:p w14:paraId="71EA0B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D0590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DAB paplašinot savus nekoncesionālos aizdevumus un dotācijas valstīm ar zemiem ienākumiem, tiek sistemātiski izsmelti aizdevumu logu līdzekļi, kas pieejami šādiem pasākumiem. Donorvalstis regulāri tiekas, lai papildinātu šos līdzekļus. Tāpēc šādu līdzekļu palielināšanu sauc par “papildinājumiem”, un lielākā to daļa tiek piešķirta saskaņā ar plānveida </w:t>
      </w:r>
      <w:r w:rsidRPr="00B03B51">
        <w:rPr>
          <w:rFonts w:ascii="Times New Roman" w:hAnsi="Times New Roman" w:cs="Times New Roman"/>
          <w:sz w:val="24"/>
        </w:rPr>
        <w:lastRenderedPageBreak/>
        <w:t>grafiku vienu reizi 3–5 gados. Ja šie mehānismi netiek papildināti pienācīgā laikā, tie tiks izsmelti un būs ievērojami jāsamazina to darbības līmenis.</w:t>
      </w:r>
    </w:p>
    <w:p w14:paraId="65F42A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130D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Dažas DAB piedāvā vienīgi vai galvenokārt koncesionālus aizdevumus (un tās ir </w:t>
      </w:r>
      <w:r w:rsidRPr="00B03B51">
        <w:rPr>
          <w:rFonts w:ascii="Times New Roman" w:hAnsi="Times New Roman" w:cs="Times New Roman"/>
          <w:i/>
          <w:iCs/>
          <w:sz w:val="24"/>
        </w:rPr>
        <w:t>IDA</w:t>
      </w:r>
      <w:r w:rsidRPr="00B03B51">
        <w:rPr>
          <w:rFonts w:ascii="Times New Roman" w:hAnsi="Times New Roman" w:cs="Times New Roman"/>
          <w:sz w:val="24"/>
        </w:rPr>
        <w:t xml:space="preserve">, </w:t>
      </w:r>
      <w:r w:rsidRPr="00B03B51">
        <w:rPr>
          <w:rFonts w:ascii="Times New Roman" w:hAnsi="Times New Roman" w:cs="Times New Roman"/>
          <w:i/>
          <w:iCs/>
          <w:sz w:val="24"/>
        </w:rPr>
        <w:t>IDB</w:t>
      </w:r>
      <w:r w:rsidRPr="00B03B51">
        <w:rPr>
          <w:rFonts w:ascii="Times New Roman" w:hAnsi="Times New Roman" w:cs="Times New Roman"/>
          <w:sz w:val="24"/>
        </w:rPr>
        <w:t xml:space="preserve"> Īpašo operāciju fonds (</w:t>
      </w:r>
      <w:r w:rsidRPr="00B03B51">
        <w:rPr>
          <w:rFonts w:ascii="Times New Roman" w:hAnsi="Times New Roman" w:cs="Times New Roman"/>
          <w:i/>
          <w:iCs/>
          <w:sz w:val="24"/>
        </w:rPr>
        <w:t>FSO</w:t>
      </w:r>
      <w:r w:rsidRPr="00B03B51">
        <w:rPr>
          <w:rFonts w:ascii="Times New Roman" w:hAnsi="Times New Roman" w:cs="Times New Roman"/>
          <w:sz w:val="24"/>
        </w:rPr>
        <w:t xml:space="preserve">), </w:t>
      </w:r>
      <w:r w:rsidRPr="00B03B51">
        <w:rPr>
          <w:rFonts w:ascii="Times New Roman" w:hAnsi="Times New Roman" w:cs="Times New Roman"/>
          <w:i/>
          <w:iCs/>
          <w:sz w:val="24"/>
        </w:rPr>
        <w:t>AfDF</w:t>
      </w:r>
      <w:r w:rsidRPr="00B03B51">
        <w:rPr>
          <w:rFonts w:ascii="Times New Roman" w:hAnsi="Times New Roman" w:cs="Times New Roman"/>
          <w:sz w:val="24"/>
        </w:rPr>
        <w:t xml:space="preserve"> un </w:t>
      </w:r>
      <w:r w:rsidRPr="00B03B51">
        <w:rPr>
          <w:rFonts w:ascii="Times New Roman" w:hAnsi="Times New Roman" w:cs="Times New Roman"/>
          <w:i/>
          <w:iCs/>
          <w:sz w:val="24"/>
        </w:rPr>
        <w:t>AsDF</w:t>
      </w:r>
      <w:r w:rsidRPr="00B03B51">
        <w:rPr>
          <w:rFonts w:ascii="Times New Roman" w:hAnsi="Times New Roman" w:cs="Times New Roman"/>
          <w:sz w:val="24"/>
        </w:rPr>
        <w:t xml:space="preserve">), un līdz ar to tās galvenokārt tiek finansētas no savu bagātāko dalībvalstu veiktajām iemaksām vai no citiem DAB ienākumiem (piemēram, </w:t>
      </w:r>
      <w:r w:rsidRPr="00B03B51">
        <w:rPr>
          <w:rFonts w:ascii="Times New Roman" w:hAnsi="Times New Roman" w:cs="Times New Roman"/>
          <w:i/>
          <w:iCs/>
          <w:sz w:val="24"/>
        </w:rPr>
        <w:t>IDA</w:t>
      </w:r>
      <w:r w:rsidRPr="00B03B51">
        <w:rPr>
          <w:rFonts w:ascii="Times New Roman" w:hAnsi="Times New Roman" w:cs="Times New Roman"/>
          <w:sz w:val="24"/>
        </w:rPr>
        <w:t xml:space="preserve"> saņem papildu līdzekļus no </w:t>
      </w:r>
      <w:r w:rsidRPr="00B03B51">
        <w:rPr>
          <w:rFonts w:ascii="Times New Roman" w:hAnsi="Times New Roman" w:cs="Times New Roman"/>
          <w:i/>
          <w:iCs/>
          <w:sz w:val="24"/>
        </w:rPr>
        <w:t>IBRD</w:t>
      </w:r>
      <w:r w:rsidRPr="00B03B51">
        <w:rPr>
          <w:rFonts w:ascii="Times New Roman" w:hAnsi="Times New Roman" w:cs="Times New Roman"/>
          <w:sz w:val="24"/>
        </w:rPr>
        <w:t xml:space="preserve"> un </w:t>
      </w:r>
      <w:r w:rsidRPr="00B03B51">
        <w:rPr>
          <w:rFonts w:ascii="Times New Roman" w:hAnsi="Times New Roman" w:cs="Times New Roman"/>
          <w:i/>
          <w:iCs/>
          <w:sz w:val="24"/>
        </w:rPr>
        <w:t>IFC</w:t>
      </w:r>
      <w:r w:rsidRPr="00B03B51">
        <w:rPr>
          <w:rFonts w:ascii="Times New Roman" w:hAnsi="Times New Roman" w:cs="Times New Roman"/>
          <w:sz w:val="24"/>
        </w:rPr>
        <w:t xml:space="preserve"> ienākumiem) un no aizdevumu ņēmēju iepriekš ņemto kredītu atmaksājumiem.</w:t>
      </w:r>
    </w:p>
    <w:p w14:paraId="6CEFDF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956C71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DAB koncesionālajiem aizdevumiem ir ļoti raksturīga ļoti zema procentu likme un ilgs atmaksāšanas termiņš ar atvieglojumu periodiem. </w:t>
      </w:r>
      <w:r w:rsidRPr="00B03B51">
        <w:rPr>
          <w:rFonts w:ascii="Times New Roman" w:hAnsi="Times New Roman" w:cs="Times New Roman"/>
          <w:i/>
          <w:iCs/>
          <w:sz w:val="24"/>
        </w:rPr>
        <w:t>IDA</w:t>
      </w:r>
      <w:r w:rsidRPr="00B03B51">
        <w:rPr>
          <w:rFonts w:ascii="Times New Roman" w:hAnsi="Times New Roman" w:cs="Times New Roman"/>
          <w:sz w:val="24"/>
        </w:rPr>
        <w:t xml:space="preserve"> kredītus parasti izsniedz uz 35–40 gadiem ar 10 gadus ilgu atvieglojumu periodu pamatsummas atmaksāšanai. Procentu maksa netiek iekasēta, taču attiecībā uz kredītiem tiek piemērota neliela maksa par pakalpojumu 0,75 % apmērā no izmaksātajām summām. Šīs likmes ne tikai ir zemākas par tirgus procentu likmēm, bet arī nesedz finansēšanas un administratīvās izmaksas.</w:t>
      </w:r>
    </w:p>
    <w:p w14:paraId="2120C50E" w14:textId="77777777" w:rsidR="00443399" w:rsidRPr="00B03B51" w:rsidRDefault="00443399" w:rsidP="00443399">
      <w:pPr>
        <w:jc w:val="both"/>
        <w:rPr>
          <w:rFonts w:ascii="Times New Roman" w:eastAsia="Arial" w:hAnsi="Times New Roman" w:cs="Times New Roman"/>
          <w:noProof/>
          <w:sz w:val="24"/>
          <w:szCs w:val="19"/>
        </w:rPr>
      </w:pPr>
    </w:p>
    <w:p w14:paraId="01345BB1"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70" w:name="4.6.2_Treatment_in_national_accounts"/>
      <w:bookmarkStart w:id="371" w:name="_Toc67565138"/>
      <w:bookmarkEnd w:id="370"/>
      <w:r w:rsidRPr="00B03B51">
        <w:rPr>
          <w:rFonts w:ascii="Times New Roman" w:hAnsi="Times New Roman" w:cs="Times New Roman"/>
          <w:sz w:val="24"/>
        </w:rPr>
        <w:t>4.6.2. Traktējums nacionālajos kontos</w:t>
      </w:r>
      <w:bookmarkEnd w:id="371"/>
    </w:p>
    <w:p w14:paraId="50AE523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94FB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Tas, kā nacionālos kontos tiks traktēts finansējums, ko valdība iepludinājusi DAB, ir atkarīgs no tā, kāda veida aizdevumus DAB izsniedz. Finansējuma iepludināšana tādu DAB mehānismos, kuru galvenais vai vienīgais mērķis ir sniegt koncesionālus aizdevumus ar nelielu vai nulles procentu likmi, jāieraksta kā kapitāla pārvedums, savukārt ieguldījums tādu DAB mehānismos, kuri sniedz nekoncesionālus aizdevumus, jāieraksta kā cita pašu kapitāla iegāde, kā noteikts EKS 2010 5.154. punkta d) apakšpunktā, proti, “valdības ieguldījumus starptautisku un pārnacionālu organizāciju kapitālā, izņemot SVF, pat ja juridiski tās ir sabiedrības ar akciju kapitālu (piemēram, Eiropas Investīciju banka)” ieraksta kā AF.519, citu pašu kapitālu.</w:t>
      </w:r>
    </w:p>
    <w:p w14:paraId="5087C5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3BC654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DAB kapitāla pieauguma traktējums</w:t>
      </w:r>
    </w:p>
    <w:p w14:paraId="6D8513ED" w14:textId="77777777" w:rsidR="00443399" w:rsidRPr="00B03B51" w:rsidRDefault="00443399" w:rsidP="00443399">
      <w:pPr>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62"/>
        <w:gridCol w:w="1534"/>
        <w:gridCol w:w="62"/>
        <w:gridCol w:w="1249"/>
        <w:gridCol w:w="1319"/>
        <w:gridCol w:w="1263"/>
        <w:gridCol w:w="1390"/>
        <w:gridCol w:w="1044"/>
        <w:gridCol w:w="1136"/>
      </w:tblGrid>
      <w:tr w:rsidR="00443399" w:rsidRPr="00B03B51" w14:paraId="7DB64AE7" w14:textId="77777777" w:rsidTr="00500EA4">
        <w:tc>
          <w:tcPr>
            <w:tcW w:w="34" w:type="pct"/>
            <w:tcBorders>
              <w:top w:val="single" w:sz="5" w:space="0" w:color="000000"/>
              <w:left w:val="single" w:sz="5" w:space="0" w:color="000000"/>
              <w:bottom w:val="single" w:sz="5" w:space="0" w:color="000000"/>
              <w:right w:val="nil"/>
            </w:tcBorders>
            <w:shd w:val="clear" w:color="auto" w:fill="DFDFDF"/>
          </w:tcPr>
          <w:p w14:paraId="255A5679" w14:textId="77777777" w:rsidR="00443399" w:rsidRPr="00B03B51" w:rsidRDefault="00443399" w:rsidP="0054365B">
            <w:pPr>
              <w:jc w:val="both"/>
              <w:rPr>
                <w:rFonts w:ascii="Times New Roman" w:hAnsi="Times New Roman" w:cs="Times New Roman"/>
                <w:noProof/>
                <w:sz w:val="20"/>
                <w:szCs w:val="18"/>
              </w:rPr>
            </w:pPr>
          </w:p>
        </w:tc>
        <w:tc>
          <w:tcPr>
            <w:tcW w:w="847" w:type="pct"/>
            <w:tcBorders>
              <w:top w:val="single" w:sz="5" w:space="0" w:color="000000"/>
              <w:left w:val="nil"/>
              <w:bottom w:val="single" w:sz="5" w:space="0" w:color="000000"/>
              <w:right w:val="nil"/>
            </w:tcBorders>
            <w:shd w:val="clear" w:color="auto" w:fill="DFDFDF"/>
          </w:tcPr>
          <w:p w14:paraId="15B41EAD"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Iepludinātā kapitāla veids / DAB mehānisma veids</w:t>
            </w:r>
          </w:p>
        </w:tc>
        <w:tc>
          <w:tcPr>
            <w:tcW w:w="34" w:type="pct"/>
            <w:tcBorders>
              <w:top w:val="single" w:sz="5" w:space="0" w:color="000000"/>
              <w:left w:val="nil"/>
              <w:bottom w:val="single" w:sz="5" w:space="0" w:color="000000"/>
              <w:right w:val="single" w:sz="5" w:space="0" w:color="000000"/>
            </w:tcBorders>
            <w:shd w:val="clear" w:color="auto" w:fill="DFDFDF"/>
          </w:tcPr>
          <w:p w14:paraId="3A098799" w14:textId="77777777" w:rsidR="00443399" w:rsidRPr="00B03B51" w:rsidRDefault="00443399" w:rsidP="0054365B">
            <w:pPr>
              <w:jc w:val="both"/>
              <w:rPr>
                <w:rFonts w:ascii="Times New Roman" w:hAnsi="Times New Roman" w:cs="Times New Roman"/>
                <w:noProof/>
                <w:sz w:val="20"/>
                <w:szCs w:val="18"/>
              </w:rPr>
            </w:pPr>
          </w:p>
        </w:tc>
        <w:tc>
          <w:tcPr>
            <w:tcW w:w="690" w:type="pct"/>
            <w:tcBorders>
              <w:top w:val="single" w:sz="5" w:space="0" w:color="000000"/>
              <w:left w:val="single" w:sz="5" w:space="0" w:color="000000"/>
              <w:bottom w:val="single" w:sz="5" w:space="0" w:color="000000"/>
              <w:right w:val="single" w:sz="5" w:space="0" w:color="000000"/>
            </w:tcBorders>
            <w:shd w:val="clear" w:color="auto" w:fill="DFDFDF"/>
          </w:tcPr>
          <w:p w14:paraId="1AA3CDA1"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Apmaksātais kapitāls</w:t>
            </w:r>
          </w:p>
        </w:tc>
        <w:tc>
          <w:tcPr>
            <w:tcW w:w="728" w:type="pct"/>
            <w:tcBorders>
              <w:top w:val="single" w:sz="5" w:space="0" w:color="000000"/>
              <w:left w:val="single" w:sz="5" w:space="0" w:color="000000"/>
              <w:bottom w:val="single" w:sz="5" w:space="0" w:color="000000"/>
              <w:right w:val="single" w:sz="5" w:space="0" w:color="000000"/>
            </w:tcBorders>
            <w:shd w:val="clear" w:color="auto" w:fill="DFDFDF"/>
          </w:tcPr>
          <w:p w14:paraId="19145330"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Pieprasāmais kapitāls</w:t>
            </w:r>
          </w:p>
        </w:tc>
        <w:tc>
          <w:tcPr>
            <w:tcW w:w="697" w:type="pct"/>
            <w:tcBorders>
              <w:top w:val="single" w:sz="5" w:space="0" w:color="000000"/>
              <w:left w:val="single" w:sz="5" w:space="0" w:color="000000"/>
              <w:bottom w:val="single" w:sz="5" w:space="0" w:color="000000"/>
              <w:right w:val="single" w:sz="5" w:space="0" w:color="000000"/>
            </w:tcBorders>
            <w:shd w:val="clear" w:color="auto" w:fill="DFDFDF"/>
          </w:tcPr>
          <w:p w14:paraId="3BC806AB"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Rezervju konversija apmaksātajā kapitālā</w:t>
            </w:r>
          </w:p>
        </w:tc>
        <w:tc>
          <w:tcPr>
            <w:tcW w:w="767" w:type="pct"/>
            <w:tcBorders>
              <w:top w:val="single" w:sz="5" w:space="0" w:color="000000"/>
              <w:left w:val="single" w:sz="5" w:space="0" w:color="000000"/>
              <w:bottom w:val="single" w:sz="5" w:space="0" w:color="000000"/>
              <w:right w:val="single" w:sz="5" w:space="0" w:color="000000"/>
            </w:tcBorders>
            <w:shd w:val="clear" w:color="auto" w:fill="DFDFDF"/>
          </w:tcPr>
          <w:p w14:paraId="03B4AABD"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Hibrīdkapitāla pieaugums</w:t>
            </w:r>
          </w:p>
        </w:tc>
        <w:tc>
          <w:tcPr>
            <w:tcW w:w="576" w:type="pct"/>
            <w:tcBorders>
              <w:top w:val="single" w:sz="5" w:space="0" w:color="000000"/>
              <w:left w:val="single" w:sz="5" w:space="0" w:color="000000"/>
              <w:bottom w:val="single" w:sz="5" w:space="0" w:color="000000"/>
              <w:right w:val="single" w:sz="5" w:space="0" w:color="000000"/>
            </w:tcBorders>
            <w:shd w:val="clear" w:color="auto" w:fill="DFDFDF"/>
          </w:tcPr>
          <w:p w14:paraId="4506B541"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Pagaidu pieaugums</w:t>
            </w:r>
          </w:p>
        </w:tc>
        <w:tc>
          <w:tcPr>
            <w:tcW w:w="628" w:type="pct"/>
            <w:tcBorders>
              <w:top w:val="single" w:sz="5" w:space="0" w:color="000000"/>
              <w:left w:val="single" w:sz="5" w:space="0" w:color="000000"/>
              <w:bottom w:val="single" w:sz="5" w:space="0" w:color="000000"/>
              <w:right w:val="single" w:sz="5" w:space="0" w:color="000000"/>
            </w:tcBorders>
            <w:shd w:val="clear" w:color="auto" w:fill="DFDFDF"/>
          </w:tcPr>
          <w:p w14:paraId="2D6458FA"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Iekasēšanas periods</w:t>
            </w:r>
          </w:p>
        </w:tc>
      </w:tr>
      <w:tr w:rsidR="00443399" w:rsidRPr="00B03B51" w14:paraId="7EBBF155" w14:textId="77777777" w:rsidTr="00500EA4">
        <w:tc>
          <w:tcPr>
            <w:tcW w:w="34" w:type="pct"/>
            <w:tcBorders>
              <w:top w:val="single" w:sz="5" w:space="0" w:color="000000"/>
              <w:left w:val="single" w:sz="5" w:space="0" w:color="000000"/>
              <w:bottom w:val="single" w:sz="5" w:space="0" w:color="000000"/>
              <w:right w:val="nil"/>
            </w:tcBorders>
            <w:shd w:val="clear" w:color="auto" w:fill="E6E6E6"/>
          </w:tcPr>
          <w:p w14:paraId="55648930" w14:textId="77777777" w:rsidR="00443399" w:rsidRPr="00B03B51" w:rsidRDefault="00443399" w:rsidP="0054365B">
            <w:pPr>
              <w:jc w:val="both"/>
              <w:rPr>
                <w:rFonts w:ascii="Times New Roman" w:hAnsi="Times New Roman" w:cs="Times New Roman"/>
                <w:noProof/>
                <w:sz w:val="20"/>
                <w:szCs w:val="18"/>
              </w:rPr>
            </w:pPr>
          </w:p>
        </w:tc>
        <w:tc>
          <w:tcPr>
            <w:tcW w:w="847" w:type="pct"/>
            <w:tcBorders>
              <w:top w:val="single" w:sz="5" w:space="0" w:color="000000"/>
              <w:left w:val="nil"/>
              <w:bottom w:val="single" w:sz="5" w:space="0" w:color="000000"/>
              <w:right w:val="nil"/>
            </w:tcBorders>
            <w:shd w:val="clear" w:color="auto" w:fill="E6E6E6"/>
          </w:tcPr>
          <w:p w14:paraId="0CEFC74A"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DAB mehānismi, no kuriem tiek piešķirti nekoncesionāli aizdevumi</w:t>
            </w:r>
          </w:p>
        </w:tc>
        <w:tc>
          <w:tcPr>
            <w:tcW w:w="34" w:type="pct"/>
            <w:tcBorders>
              <w:top w:val="single" w:sz="5" w:space="0" w:color="000000"/>
              <w:left w:val="nil"/>
              <w:bottom w:val="single" w:sz="5" w:space="0" w:color="000000"/>
              <w:right w:val="single" w:sz="5" w:space="0" w:color="000000"/>
            </w:tcBorders>
            <w:shd w:val="clear" w:color="auto" w:fill="E6E6E6"/>
          </w:tcPr>
          <w:p w14:paraId="65BD14FB" w14:textId="77777777" w:rsidR="00443399" w:rsidRPr="00B03B51" w:rsidRDefault="00443399" w:rsidP="0054365B">
            <w:pPr>
              <w:jc w:val="both"/>
              <w:rPr>
                <w:rFonts w:ascii="Times New Roman" w:hAnsi="Times New Roman" w:cs="Times New Roman"/>
                <w:noProof/>
                <w:sz w:val="20"/>
                <w:szCs w:val="18"/>
              </w:rPr>
            </w:pPr>
          </w:p>
        </w:tc>
        <w:tc>
          <w:tcPr>
            <w:tcW w:w="690" w:type="pct"/>
            <w:tcBorders>
              <w:top w:val="single" w:sz="5" w:space="0" w:color="000000"/>
              <w:left w:val="single" w:sz="5" w:space="0" w:color="000000"/>
              <w:bottom w:val="single" w:sz="5" w:space="0" w:color="000000"/>
              <w:right w:val="single" w:sz="5" w:space="0" w:color="000000"/>
            </w:tcBorders>
          </w:tcPr>
          <w:p w14:paraId="21DADCBE"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Akcijas un cits pašu kapitāls F.5/F.513</w:t>
            </w:r>
          </w:p>
        </w:tc>
        <w:tc>
          <w:tcPr>
            <w:tcW w:w="728" w:type="pct"/>
            <w:tcBorders>
              <w:top w:val="single" w:sz="5" w:space="0" w:color="000000"/>
              <w:left w:val="single" w:sz="5" w:space="0" w:color="000000"/>
              <w:bottom w:val="single" w:sz="5" w:space="0" w:color="000000"/>
              <w:right w:val="single" w:sz="5" w:space="0" w:color="000000"/>
            </w:tcBorders>
          </w:tcPr>
          <w:p w14:paraId="64532CA7"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Neko neieraksta, kamēr nav saņemts pieprasījums</w:t>
            </w:r>
          </w:p>
        </w:tc>
        <w:tc>
          <w:tcPr>
            <w:tcW w:w="697" w:type="pct"/>
            <w:tcBorders>
              <w:top w:val="single" w:sz="5" w:space="0" w:color="000000"/>
              <w:left w:val="single" w:sz="5" w:space="0" w:color="000000"/>
              <w:bottom w:val="single" w:sz="5" w:space="0" w:color="000000"/>
              <w:right w:val="single" w:sz="5" w:space="0" w:color="000000"/>
            </w:tcBorders>
          </w:tcPr>
          <w:p w14:paraId="65E4F562"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Nav saistības</w:t>
            </w:r>
          </w:p>
        </w:tc>
        <w:tc>
          <w:tcPr>
            <w:tcW w:w="767" w:type="pct"/>
            <w:tcBorders>
              <w:top w:val="single" w:sz="5" w:space="0" w:color="000000"/>
              <w:left w:val="single" w:sz="5" w:space="0" w:color="000000"/>
              <w:bottom w:val="single" w:sz="5" w:space="0" w:color="000000"/>
              <w:right w:val="single" w:sz="5" w:space="0" w:color="000000"/>
            </w:tcBorders>
          </w:tcPr>
          <w:p w14:paraId="1BA68DF7"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Nosaka katrā gadījumā atsevišķi</w:t>
            </w:r>
          </w:p>
        </w:tc>
        <w:tc>
          <w:tcPr>
            <w:tcW w:w="576" w:type="pct"/>
            <w:tcBorders>
              <w:top w:val="single" w:sz="5" w:space="0" w:color="000000"/>
              <w:left w:val="single" w:sz="5" w:space="0" w:color="000000"/>
              <w:bottom w:val="single" w:sz="5" w:space="0" w:color="000000"/>
              <w:right w:val="single" w:sz="5" w:space="0" w:color="000000"/>
            </w:tcBorders>
          </w:tcPr>
          <w:p w14:paraId="5FA0FCA5"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Aizdevumi (F.4), ja atcelts D.9</w:t>
            </w:r>
          </w:p>
        </w:tc>
        <w:tc>
          <w:tcPr>
            <w:tcW w:w="628" w:type="pct"/>
            <w:tcBorders>
              <w:top w:val="single" w:sz="5" w:space="0" w:color="000000"/>
              <w:left w:val="single" w:sz="5" w:space="0" w:color="000000"/>
              <w:bottom w:val="single" w:sz="5" w:space="0" w:color="000000"/>
              <w:right w:val="single" w:sz="5" w:space="0" w:color="000000"/>
            </w:tcBorders>
          </w:tcPr>
          <w:p w14:paraId="3E091D75"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F.5 sākumā</w:t>
            </w:r>
          </w:p>
        </w:tc>
      </w:tr>
      <w:tr w:rsidR="00443399" w:rsidRPr="00B03B51" w14:paraId="048AE168" w14:textId="77777777" w:rsidTr="00500EA4">
        <w:tc>
          <w:tcPr>
            <w:tcW w:w="34" w:type="pct"/>
            <w:tcBorders>
              <w:top w:val="single" w:sz="5" w:space="0" w:color="000000"/>
              <w:left w:val="single" w:sz="5" w:space="0" w:color="000000"/>
              <w:bottom w:val="single" w:sz="5" w:space="0" w:color="000000"/>
              <w:right w:val="nil"/>
            </w:tcBorders>
            <w:shd w:val="clear" w:color="auto" w:fill="E6E6E6"/>
          </w:tcPr>
          <w:p w14:paraId="0B26564C" w14:textId="77777777" w:rsidR="00443399" w:rsidRPr="00B03B51" w:rsidRDefault="00443399" w:rsidP="0054365B">
            <w:pPr>
              <w:jc w:val="both"/>
              <w:rPr>
                <w:rFonts w:ascii="Times New Roman" w:hAnsi="Times New Roman" w:cs="Times New Roman"/>
                <w:noProof/>
                <w:sz w:val="20"/>
                <w:szCs w:val="18"/>
              </w:rPr>
            </w:pPr>
          </w:p>
        </w:tc>
        <w:tc>
          <w:tcPr>
            <w:tcW w:w="847" w:type="pct"/>
            <w:tcBorders>
              <w:top w:val="single" w:sz="5" w:space="0" w:color="000000"/>
              <w:left w:val="nil"/>
              <w:bottom w:val="single" w:sz="5" w:space="0" w:color="000000"/>
              <w:right w:val="nil"/>
            </w:tcBorders>
            <w:shd w:val="clear" w:color="auto" w:fill="E6E6E6"/>
          </w:tcPr>
          <w:p w14:paraId="58C9645F" w14:textId="77777777" w:rsidR="00443399" w:rsidRPr="00B03B51" w:rsidRDefault="00443399" w:rsidP="0054365B">
            <w:pPr>
              <w:pStyle w:val="TableParagraph"/>
              <w:jc w:val="both"/>
              <w:rPr>
                <w:rFonts w:ascii="Times New Roman" w:hAnsi="Times New Roman" w:cs="Times New Roman"/>
                <w:b/>
                <w:noProof/>
                <w:sz w:val="20"/>
                <w:szCs w:val="18"/>
              </w:rPr>
            </w:pPr>
            <w:r w:rsidRPr="00B03B51">
              <w:rPr>
                <w:rFonts w:ascii="Times New Roman" w:hAnsi="Times New Roman" w:cs="Times New Roman"/>
                <w:b/>
                <w:sz w:val="20"/>
                <w:szCs w:val="18"/>
              </w:rPr>
              <w:t>DAB mehānismi, no kuriem tiek piešķirti galvenokārt koncesionāli aizdevumi</w:t>
            </w:r>
          </w:p>
        </w:tc>
        <w:tc>
          <w:tcPr>
            <w:tcW w:w="34" w:type="pct"/>
            <w:tcBorders>
              <w:top w:val="single" w:sz="5" w:space="0" w:color="000000"/>
              <w:left w:val="nil"/>
              <w:bottom w:val="single" w:sz="5" w:space="0" w:color="000000"/>
              <w:right w:val="single" w:sz="5" w:space="0" w:color="000000"/>
            </w:tcBorders>
            <w:shd w:val="clear" w:color="auto" w:fill="E6E6E6"/>
          </w:tcPr>
          <w:p w14:paraId="411C6448" w14:textId="77777777" w:rsidR="00443399" w:rsidRPr="00B03B51" w:rsidRDefault="00443399" w:rsidP="0054365B">
            <w:pPr>
              <w:jc w:val="both"/>
              <w:rPr>
                <w:rFonts w:ascii="Times New Roman" w:hAnsi="Times New Roman" w:cs="Times New Roman"/>
                <w:noProof/>
                <w:sz w:val="20"/>
                <w:szCs w:val="18"/>
              </w:rPr>
            </w:pPr>
          </w:p>
        </w:tc>
        <w:tc>
          <w:tcPr>
            <w:tcW w:w="690" w:type="pct"/>
            <w:tcBorders>
              <w:top w:val="single" w:sz="5" w:space="0" w:color="000000"/>
              <w:left w:val="single" w:sz="5" w:space="0" w:color="000000"/>
              <w:bottom w:val="single" w:sz="5" w:space="0" w:color="000000"/>
              <w:right w:val="single" w:sz="5" w:space="0" w:color="000000"/>
            </w:tcBorders>
          </w:tcPr>
          <w:p w14:paraId="793FFAD7"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D.9</w:t>
            </w:r>
          </w:p>
        </w:tc>
        <w:tc>
          <w:tcPr>
            <w:tcW w:w="728" w:type="pct"/>
            <w:tcBorders>
              <w:top w:val="single" w:sz="5" w:space="0" w:color="000000"/>
              <w:left w:val="single" w:sz="5" w:space="0" w:color="000000"/>
              <w:bottom w:val="single" w:sz="5" w:space="0" w:color="000000"/>
              <w:right w:val="single" w:sz="5" w:space="0" w:color="000000"/>
            </w:tcBorders>
          </w:tcPr>
          <w:p w14:paraId="2686FE65"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Neko neieraksta, kamēr nav saņemts pieprasījums</w:t>
            </w:r>
          </w:p>
        </w:tc>
        <w:tc>
          <w:tcPr>
            <w:tcW w:w="697" w:type="pct"/>
            <w:tcBorders>
              <w:top w:val="single" w:sz="5" w:space="0" w:color="000000"/>
              <w:left w:val="single" w:sz="5" w:space="0" w:color="000000"/>
              <w:bottom w:val="single" w:sz="5" w:space="0" w:color="000000"/>
              <w:right w:val="single" w:sz="5" w:space="0" w:color="000000"/>
            </w:tcBorders>
          </w:tcPr>
          <w:p w14:paraId="23DA3EF0"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Nepiemēro</w:t>
            </w:r>
          </w:p>
        </w:tc>
        <w:tc>
          <w:tcPr>
            <w:tcW w:w="767" w:type="pct"/>
            <w:tcBorders>
              <w:top w:val="single" w:sz="5" w:space="0" w:color="000000"/>
              <w:left w:val="single" w:sz="5" w:space="0" w:color="000000"/>
              <w:bottom w:val="single" w:sz="5" w:space="0" w:color="000000"/>
              <w:right w:val="single" w:sz="5" w:space="0" w:color="000000"/>
            </w:tcBorders>
          </w:tcPr>
          <w:p w14:paraId="06AD334A"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Nosaka katrā gadījumā atsevišķi</w:t>
            </w:r>
          </w:p>
        </w:tc>
        <w:tc>
          <w:tcPr>
            <w:tcW w:w="576" w:type="pct"/>
            <w:tcBorders>
              <w:top w:val="single" w:sz="5" w:space="0" w:color="000000"/>
              <w:left w:val="single" w:sz="5" w:space="0" w:color="000000"/>
              <w:bottom w:val="single" w:sz="5" w:space="0" w:color="000000"/>
              <w:right w:val="single" w:sz="5" w:space="0" w:color="000000"/>
            </w:tcBorders>
          </w:tcPr>
          <w:p w14:paraId="3D9556E7"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Aizdevumi (F.4), ja atcelts D.9</w:t>
            </w:r>
          </w:p>
        </w:tc>
        <w:tc>
          <w:tcPr>
            <w:tcW w:w="628" w:type="pct"/>
            <w:tcBorders>
              <w:top w:val="single" w:sz="5" w:space="0" w:color="000000"/>
              <w:left w:val="single" w:sz="5" w:space="0" w:color="000000"/>
              <w:bottom w:val="single" w:sz="5" w:space="0" w:color="000000"/>
              <w:right w:val="single" w:sz="5" w:space="0" w:color="000000"/>
            </w:tcBorders>
          </w:tcPr>
          <w:p w14:paraId="2533BE87"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D.9,</w:t>
            </w:r>
          </w:p>
          <w:p w14:paraId="4D20F604" w14:textId="77777777" w:rsidR="00443399" w:rsidRPr="00B03B51" w:rsidRDefault="00443399" w:rsidP="0054365B">
            <w:pPr>
              <w:pStyle w:val="TableParagraph"/>
              <w:jc w:val="both"/>
              <w:rPr>
                <w:rFonts w:ascii="Times New Roman" w:hAnsi="Times New Roman" w:cs="Times New Roman"/>
                <w:noProof/>
                <w:sz w:val="20"/>
                <w:szCs w:val="18"/>
              </w:rPr>
            </w:pPr>
            <w:r w:rsidRPr="00B03B51">
              <w:rPr>
                <w:rFonts w:ascii="Times New Roman" w:hAnsi="Times New Roman" w:cs="Times New Roman"/>
                <w:sz w:val="20"/>
                <w:szCs w:val="18"/>
              </w:rPr>
              <w:t>kad sasniegts maksājuma termiņš</w:t>
            </w:r>
          </w:p>
        </w:tc>
      </w:tr>
    </w:tbl>
    <w:p w14:paraId="5EF6001C" w14:textId="77777777" w:rsidR="00443399" w:rsidRPr="00B03B51" w:rsidRDefault="00443399" w:rsidP="00443399">
      <w:pPr>
        <w:jc w:val="both"/>
        <w:rPr>
          <w:rFonts w:ascii="Times New Roman" w:eastAsia="Arial" w:hAnsi="Times New Roman" w:cs="Times New Roman"/>
          <w:b/>
          <w:bCs/>
          <w:noProof/>
          <w:sz w:val="24"/>
          <w:szCs w:val="15"/>
        </w:rPr>
      </w:pPr>
    </w:p>
    <w:p w14:paraId="1E6F2E41" w14:textId="77777777" w:rsidR="00443399" w:rsidRPr="00BE27DC" w:rsidRDefault="00443399" w:rsidP="00BE27DC">
      <w:pPr>
        <w:pStyle w:val="Heading3"/>
        <w:tabs>
          <w:tab w:val="left" w:pos="1267"/>
        </w:tabs>
        <w:ind w:left="0" w:firstLine="0"/>
        <w:jc w:val="both"/>
        <w:rPr>
          <w:rFonts w:ascii="Times New Roman" w:hAnsi="Times New Roman" w:cs="Times New Roman"/>
          <w:sz w:val="24"/>
        </w:rPr>
      </w:pPr>
      <w:bookmarkStart w:id="372" w:name="4.6.3_Rationale_of_the_treatment"/>
      <w:bookmarkEnd w:id="372"/>
      <w:r w:rsidRPr="00B03B51">
        <w:rPr>
          <w:rFonts w:ascii="Times New Roman" w:hAnsi="Times New Roman" w:cs="Times New Roman"/>
          <w:sz w:val="24"/>
        </w:rPr>
        <w:t>4.6.3. Traktējuma pamatojums</w:t>
      </w:r>
    </w:p>
    <w:p w14:paraId="2A4E45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D33A4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10. DAB var būt divu veidu aizdevuma mehānismi vai “aizdevuma logi”. Koncesionāli aizdevumi ir bezprocentu aizdevumi vai aizdevumi, kuru procentu likme ir ievērojami zemāka par tirgus procentu likmi. Parasti šie ir ilgtermiņa aizdevumi, un tiem ir ilgi atvieglojumu periodi. Lai arī DAB mehānismi, no kuriem tiek piešķirti koncesionāli aizdevumi, paredz </w:t>
      </w:r>
      <w:r w:rsidRPr="00B03B51">
        <w:rPr>
          <w:rFonts w:ascii="Times New Roman" w:hAnsi="Times New Roman" w:cs="Times New Roman"/>
          <w:sz w:val="24"/>
        </w:rPr>
        <w:lastRenderedPageBreak/>
        <w:t>nelielu maksu par pakalpojumu, tomēr ar to nav iespējams segt finansēšanas un/vai administratīvās izmaksas un līdz ar to šo mehānismu finansēšanas līdzekļi ar laiku izsīkst. Lai nodrošinātu savas darbības vismaz nemainīgā līmenī, DAB mehānismiem, no kuriem tiek piešķirti koncesionālie aizdevumi, ir nepieciešami papildinājumi no to donoriem. Jau no paša sākuma ir skaidrs, ka DAB mehānismi, no kuriem tiek piešķirti koncesionāli aizdevumi, nesniegs peļņu, un šie finanšu līdzekļu papildinājumi pēc būtības ir līdzīgi kapitāla iepludināšanai, ko veic ar nolūku segt zaudējumus. Tāpēc saskaņā ar kapitāla iepludināšanas noteikumiem finanšu līdzekļi, ko valdības iepludina DAB mehānismos, no kuriem tiek piešķirti koncesionāli aizdevumi, jātraktē kā kapitāla pārvedums.</w:t>
      </w:r>
    </w:p>
    <w:p w14:paraId="1D6EFC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D2C9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Nekoncesionālus aizdevumus izsniedz ar tirgus procentu likmi, un tas nozīmē, ka tiek paredzēta peļņa vai vismaz tas, ka tiks segtas aizņemšanās izmaksas un/vai DAB mehānisma administratīvās izmaksas. Ja DAB mehānismos, no kuriem tiek piešķirti nekoncesionāli aizdevumi, tiek uzkrātas rezerves, tās vēlāk var konvertēt kapitālā un izmantot turpmākām operācijām. Tāpēc praksē nav bieži tādi gadījumi, kad DAB izsmeļ savu pieprasāmo kapitālu. Faktiski donorvalstu valdībām parasti ir jāpalielina kapitāls saistībā ar jauniem pasākumiem vai pasākumu paplašināšanu. Līdz ar to valdības īstenota finansējuma iepludināšana tādos DAB mehānismos, no kuriem tiek piešķirti nekoncesionāli aizdevumi, jātraktē saskaņā ar EKS 2010 5.154. punkta c) apakšpunktu kā cits pašu kapitāls AF.519.</w:t>
      </w:r>
    </w:p>
    <w:p w14:paraId="4293B80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07AB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DAB gadījumā valdību īstenotā kapitāla palielināšana parasti notiek atbilstīgi vienam no šādiem veidiem: apmaksātais kapitāls, pieprasāmais kapitāls, rezervju konversija iemaksājumos pamatkapitālā, hibrīdkapitāla palielināšana, pagaidu palielināšana un iekasēšanas periods.</w:t>
      </w:r>
    </w:p>
    <w:p w14:paraId="193CC883" w14:textId="77777777" w:rsidR="00443399" w:rsidRPr="00B03B51" w:rsidRDefault="00443399" w:rsidP="00443399">
      <w:pPr>
        <w:jc w:val="both"/>
        <w:rPr>
          <w:rFonts w:ascii="Times New Roman" w:eastAsia="Arial" w:hAnsi="Times New Roman" w:cs="Times New Roman"/>
          <w:noProof/>
          <w:sz w:val="24"/>
          <w:szCs w:val="15"/>
        </w:rPr>
      </w:pPr>
    </w:p>
    <w:p w14:paraId="4BE513EB" w14:textId="77777777" w:rsidR="00443399" w:rsidRPr="00B03B51" w:rsidRDefault="00443399" w:rsidP="00443399">
      <w:pPr>
        <w:pStyle w:val="Heading6"/>
        <w:tabs>
          <w:tab w:val="left" w:pos="1267"/>
        </w:tabs>
        <w:ind w:left="0" w:firstLine="0"/>
        <w:jc w:val="both"/>
        <w:rPr>
          <w:rFonts w:ascii="Times New Roman" w:hAnsi="Times New Roman" w:cs="Times New Roman"/>
          <w:sz w:val="24"/>
        </w:rPr>
      </w:pPr>
      <w:bookmarkStart w:id="373" w:name="4.6.3.1_Paid-in_capital"/>
      <w:bookmarkEnd w:id="373"/>
      <w:r w:rsidRPr="00B03B51">
        <w:rPr>
          <w:rFonts w:ascii="Times New Roman" w:hAnsi="Times New Roman" w:cs="Times New Roman"/>
          <w:sz w:val="24"/>
        </w:rPr>
        <w:t>4.6.3.1. APMAKSĀTAIS KAPITĀLS</w:t>
      </w:r>
    </w:p>
    <w:p w14:paraId="2E39FF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207F4E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Lielākajā daļā DAB mehānismu, no kuriem tiek piešķirti nekoncesionāli aizdevumi, jauns apmaksātais kapitāls veido tikai daļu no to kopējā kapitāla. Šādā gadījumā apmaksātā daļa tiks uzskatīta par finanšu darījumu (pašu kapitāla iegāde), kas neietekmē valdības neto aizdevumu/aizņēmumu (B.9).</w:t>
      </w:r>
    </w:p>
    <w:p w14:paraId="064A02C8" w14:textId="77777777" w:rsidR="00443399" w:rsidRPr="00B03B51" w:rsidRDefault="00443399" w:rsidP="00443399">
      <w:pPr>
        <w:jc w:val="both"/>
        <w:rPr>
          <w:rFonts w:ascii="Times New Roman" w:hAnsi="Times New Roman" w:cs="Times New Roman"/>
          <w:noProof/>
          <w:sz w:val="24"/>
        </w:rPr>
      </w:pPr>
    </w:p>
    <w:p w14:paraId="605958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Gadījumā, ja šāds apmaksātais kapitāls tiek veikts tādiem DAB mehānismiem, no kuriem tiek piešķirtas galvenokārt vai vienīgi koncesionālas dotācijas vai aizdevumi, iepludināto kapitālu ieraksta kā kapitāla pārvedumu.</w:t>
      </w:r>
    </w:p>
    <w:p w14:paraId="5E968733" w14:textId="77777777" w:rsidR="00443399" w:rsidRPr="00B03B51" w:rsidRDefault="00443399" w:rsidP="00443399">
      <w:pPr>
        <w:jc w:val="both"/>
        <w:rPr>
          <w:rFonts w:ascii="Times New Roman" w:eastAsia="Arial" w:hAnsi="Times New Roman" w:cs="Times New Roman"/>
          <w:noProof/>
          <w:sz w:val="24"/>
          <w:szCs w:val="15"/>
        </w:rPr>
      </w:pPr>
    </w:p>
    <w:p w14:paraId="4FCD9A4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74" w:name="4.6.3.2_Callable_capital"/>
      <w:bookmarkEnd w:id="374"/>
      <w:r w:rsidRPr="00B03B51">
        <w:rPr>
          <w:rFonts w:ascii="Times New Roman" w:hAnsi="Times New Roman" w:cs="Times New Roman"/>
          <w:sz w:val="24"/>
        </w:rPr>
        <w:t>4.6.3.2. PIEPRASĀMAIS KAPITĀLS</w:t>
      </w:r>
    </w:p>
    <w:p w14:paraId="1DA54F9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9EB48F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15. Liela daļa no DAB kapitāla palielinājuma parasti ir strukturēta kā pieprasāmais kapitāls, proti, kapitāls, kas nav faktiski apmaksāts. Statistikā to traktē šādi: pieprasāmā daļa tiek uzskatīta par iespējamo darījumu, kas nav jāieraksta nacionālo kontu sistēmā. Tas attiecināms uz abiem DAB mehānismu veidiem. Protams, tiklīdz kapitāls tiek pieprasīts, tas jāanalizē kā apmaksātais kapitāls.</w:t>
      </w:r>
    </w:p>
    <w:p w14:paraId="025B2844" w14:textId="77777777" w:rsidR="00443399" w:rsidRPr="00B03B51" w:rsidRDefault="00443399" w:rsidP="00443399">
      <w:pPr>
        <w:jc w:val="both"/>
        <w:rPr>
          <w:rFonts w:ascii="Times New Roman" w:eastAsia="Arial" w:hAnsi="Times New Roman" w:cs="Times New Roman"/>
          <w:noProof/>
          <w:sz w:val="24"/>
          <w:szCs w:val="15"/>
        </w:rPr>
      </w:pPr>
    </w:p>
    <w:p w14:paraId="7E2467D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75" w:name="4.6.3.3_Conversion_of_reserves_into_paid"/>
      <w:bookmarkEnd w:id="375"/>
      <w:r w:rsidRPr="00B03B51">
        <w:rPr>
          <w:rFonts w:ascii="Times New Roman" w:hAnsi="Times New Roman" w:cs="Times New Roman"/>
          <w:sz w:val="24"/>
        </w:rPr>
        <w:t>4.6.3.3. REZERVJU KONVERSIJA APMAKSĀTAJĀ KAPITĀLĀ</w:t>
      </w:r>
    </w:p>
    <w:p w14:paraId="55B039E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4A98C6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16. Kapitāla pieaugumu (tā daļu) var nodrošināt, pārveidojot uzkrātās rezerves patstāvīgā apmaksātajā kapitālā, nesaņemot naudas pārskaitījumus no akcionāriem. Statistikā traktējums ir šāds: EKS 2010 tas nav pārbaudāmo akciju skaits, bet gan to vērtība. Ja daļa no rezervēm ir jākonvertē akcijās, tad akciju daļas vērtība joprojām paliktu nemainīga. Līdz ar to nepastāvētu tieša ietekme uz kontiem un valdības neto aizdevumu/aizņēmumu (B.9) un parādu.</w:t>
      </w:r>
    </w:p>
    <w:p w14:paraId="577C74E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C9DBD2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17. DAB mehānismiem, no kuriem galvenokārt tiek izsniegti koncesionālie aizdevumi un dotācijas, parasti nav uzkrātu rezervju, jo visi tiem pieejamie līdzekļi tiek iztērēti. Līdz ar to šis gadījums uz šādiem mehānismiem neattiecas.</w:t>
      </w:r>
    </w:p>
    <w:p w14:paraId="2A6F3979" w14:textId="77777777" w:rsidR="00443399" w:rsidRPr="00B03B51" w:rsidRDefault="00443399" w:rsidP="00443399">
      <w:pPr>
        <w:jc w:val="both"/>
        <w:rPr>
          <w:rFonts w:ascii="Times New Roman" w:eastAsia="Arial" w:hAnsi="Times New Roman" w:cs="Times New Roman"/>
          <w:noProof/>
          <w:sz w:val="24"/>
          <w:szCs w:val="15"/>
        </w:rPr>
      </w:pPr>
    </w:p>
    <w:p w14:paraId="07FC8D6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76" w:name="4.6.3.4_Hybrid_capital_increase"/>
      <w:bookmarkEnd w:id="376"/>
      <w:r w:rsidRPr="00B03B51">
        <w:rPr>
          <w:rFonts w:ascii="Times New Roman" w:hAnsi="Times New Roman" w:cs="Times New Roman"/>
          <w:sz w:val="24"/>
        </w:rPr>
        <w:t>4.6.3.4. HIBRĪDKAPITĀLA PIEAUGUMS</w:t>
      </w:r>
    </w:p>
    <w:p w14:paraId="7ECA90D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C22BCA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18. Kapitāla pieaugumu (tā daļu) var arī nodrošināt, emitējot hibrīdkapitāla instrumentu (apvienojumā ar pieprasāmo kapitālu) ar parāda un pašu kapitāla iezīmēm. Par statistikas traktējumu nevar spriest vispārīgi; precīzi apstākļi jāapsver katrā gadījumā atsevišķi.</w:t>
      </w:r>
    </w:p>
    <w:p w14:paraId="1BAC2FF5" w14:textId="77777777" w:rsidR="00443399" w:rsidRPr="00B03B51" w:rsidRDefault="00443399" w:rsidP="00443399">
      <w:pPr>
        <w:jc w:val="both"/>
        <w:rPr>
          <w:rFonts w:ascii="Times New Roman" w:eastAsia="Arial" w:hAnsi="Times New Roman" w:cs="Times New Roman"/>
          <w:noProof/>
          <w:sz w:val="24"/>
          <w:szCs w:val="15"/>
        </w:rPr>
      </w:pPr>
    </w:p>
    <w:p w14:paraId="37B882F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77" w:name="4.6.3.5_Temporary_increase"/>
      <w:bookmarkEnd w:id="377"/>
      <w:r w:rsidRPr="00B03B51">
        <w:rPr>
          <w:rFonts w:ascii="Times New Roman" w:hAnsi="Times New Roman" w:cs="Times New Roman"/>
          <w:sz w:val="24"/>
        </w:rPr>
        <w:t>4.6.3.5. PAGAIDU PIEAUGUMS</w:t>
      </w:r>
    </w:p>
    <w:p w14:paraId="3C847FE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22C13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Atšķirībā no patstāvīga pieauguma kapitāla pieaugumu var norādīt vienīgi attiecībā uz pagaidu periodu, un pēc noteikta laika posma tas (daļa no tā) tiek atmaksāta dalībniekiem (piemēram, pēc tam, kad beigusies krīze un aizdevuma darbības tiek atkal īstenotas parastajā līmenī). Statistikā traktējums ir šāds: pagaidu pieaugums ar grafikā noteiktu atmaksāšanu tiek uzskatīts par aizdevumu pat tad, ja tiek piemērota nulles procentu likme. Grafikā noteiktā atmaksāšana pakāpeniski samazinās aizdevuma neatmaksāto summu.</w:t>
      </w:r>
    </w:p>
    <w:p w14:paraId="2FF3A5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12CA7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Sākotnējais aizdevuma traktējums ir piemērojams attiecībā uz abiem DAB mehānismu gadījumiem. Ja pēc tam aizdevums tiek atcelts, tas jāieraksta kā kapitāla pārvedums.</w:t>
      </w:r>
    </w:p>
    <w:p w14:paraId="1911880C" w14:textId="77777777" w:rsidR="00443399" w:rsidRPr="00B03B51" w:rsidRDefault="00443399" w:rsidP="00443399">
      <w:pPr>
        <w:jc w:val="both"/>
        <w:rPr>
          <w:rFonts w:ascii="Times New Roman" w:eastAsia="Arial" w:hAnsi="Times New Roman" w:cs="Times New Roman"/>
          <w:noProof/>
          <w:sz w:val="24"/>
          <w:szCs w:val="15"/>
        </w:rPr>
      </w:pPr>
    </w:p>
    <w:p w14:paraId="509D048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378" w:name="4.6.3.6_Encashment_period"/>
      <w:bookmarkEnd w:id="378"/>
      <w:r w:rsidRPr="00B03B51">
        <w:rPr>
          <w:rFonts w:ascii="Times New Roman" w:hAnsi="Times New Roman" w:cs="Times New Roman"/>
          <w:sz w:val="24"/>
        </w:rPr>
        <w:t>4.6.3.6. IEKASĒŠANAS PERIODS</w:t>
      </w:r>
    </w:p>
    <w:p w14:paraId="32C3BC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31FE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Faktisko naudas maksājumu, ko dalībnieki nodrošina kā kapitāla pieauguma apmaksāto daļu, var nolemt pagarināt uz ilgāku laika posmu un sadalīt vairākos maksājumos (līdz pat 10 gadiem). Šajā ziņā divi minētie DAB mehānismi atšķiras.</w:t>
      </w:r>
    </w:p>
    <w:p w14:paraId="0AEAF0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16E4B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Attiecībā uz DAB mehānismu, no kura tiek piešķirti galvenokārt nekoncesionāli aizdevumi, statistikas traktējumā pieņem, ka lēmums par kapitāla pieaugumu tiek pieņemts sākumā (t. i., viens lēmums par kapitāla pieaugumu, lai arī ar atliktiem maksājumiem, nevis daudz lēmumu par atsevišķiem kapitāla palielināšanas maksājumiem daudzus gadus ilgā laika posmā). Pašu kapitāla iegūšana tiek ierakstīta pašā sākumā par pilnu apmaksātā kapitāla summu. To, kā ierakstāmas tādu summu finanšu pretvērtības, kuras sākotnēji netiek samaksātas naudā, lemj, pamatojoties uz laika posmu, kurā maksājumi ir jāveic. Ja tie ir jāveic ātri, proti, viena gada laikā, to daļu, kas vēl nav samaksāta, ieraksta kā citas kreditoru saistības (AF.8) bez ietekmes uz valdības (</w:t>
      </w:r>
      <w:r w:rsidRPr="00B03B51">
        <w:rPr>
          <w:rFonts w:ascii="Times New Roman" w:hAnsi="Times New Roman" w:cs="Times New Roman"/>
          <w:i/>
          <w:iCs/>
          <w:sz w:val="24"/>
        </w:rPr>
        <w:t>EDP</w:t>
      </w:r>
      <w:r w:rsidRPr="00B03B51">
        <w:rPr>
          <w:rFonts w:ascii="Times New Roman" w:hAnsi="Times New Roman" w:cs="Times New Roman"/>
          <w:sz w:val="24"/>
        </w:rPr>
        <w:t>) parādu. Turklāt pretvērtību ieraksta kā bankas aizdevumu valdībai (AF.4) ar ietekmi uz valdības (</w:t>
      </w:r>
      <w:r w:rsidRPr="00B03B51">
        <w:rPr>
          <w:rFonts w:ascii="Times New Roman" w:hAnsi="Times New Roman" w:cs="Times New Roman"/>
          <w:i/>
          <w:iCs/>
          <w:sz w:val="24"/>
        </w:rPr>
        <w:t>EDP</w:t>
      </w:r>
      <w:r w:rsidRPr="00B03B51">
        <w:rPr>
          <w:rFonts w:ascii="Times New Roman" w:hAnsi="Times New Roman" w:cs="Times New Roman"/>
          <w:sz w:val="24"/>
        </w:rPr>
        <w:t>) parādu.</w:t>
      </w:r>
    </w:p>
    <w:p w14:paraId="7351D74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BD07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Attiecībā uz DAB mehānismiem, no kuriem tiek piešķirti galvenokārt koncesionāli aizdevumi un dotācijas, šie maksājumi jāieraksta kā finanšu pārvedumi. Ierakstīšanas laikam būtu jāatbilst EKS 2010 4.166. punktam, proti, ierakstīšana jāveic laikā, kad ir jāveic maksājums.</w:t>
      </w:r>
    </w:p>
    <w:p w14:paraId="5FD0D174"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69003856" w14:textId="77777777" w:rsidR="00443399" w:rsidRPr="00B03B51" w:rsidRDefault="00443399" w:rsidP="00443399">
      <w:pPr>
        <w:jc w:val="both"/>
        <w:rPr>
          <w:rFonts w:ascii="Times New Roman" w:hAnsi="Times New Roman" w:cs="Times New Roman"/>
          <w:noProof/>
          <w:sz w:val="24"/>
        </w:rPr>
      </w:pPr>
    </w:p>
    <w:p w14:paraId="487E3C58"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379" w:name="_Toc67565139"/>
      <w:r w:rsidRPr="00B03B51">
        <w:rPr>
          <w:rFonts w:ascii="Times New Roman" w:hAnsi="Times New Roman" w:cs="Times New Roman"/>
          <w:sz w:val="28"/>
          <w:szCs w:val="44"/>
        </w:rPr>
        <w:t>4.7. No ienākumiem atkarīgu aizdevumu ierakstīšana</w:t>
      </w:r>
      <w:bookmarkEnd w:id="379"/>
    </w:p>
    <w:p w14:paraId="2DDDD489" w14:textId="77777777" w:rsidR="00443399" w:rsidRPr="00100B51" w:rsidRDefault="00443399" w:rsidP="00100B51">
      <w:pPr>
        <w:rPr>
          <w:rFonts w:ascii="Times New Roman" w:hAnsi="Times New Roman" w:cs="Times New Roman"/>
          <w:noProof/>
          <w:sz w:val="24"/>
          <w:szCs w:val="24"/>
        </w:rPr>
      </w:pPr>
      <w:bookmarkStart w:id="380" w:name="4.7.1_Background"/>
      <w:bookmarkEnd w:id="380"/>
    </w:p>
    <w:p w14:paraId="322F5A12"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81" w:name="_Toc67565140"/>
      <w:r w:rsidRPr="00B03B51">
        <w:rPr>
          <w:rFonts w:ascii="Times New Roman" w:hAnsi="Times New Roman" w:cs="Times New Roman"/>
          <w:sz w:val="24"/>
        </w:rPr>
        <w:t>4.7.1. Vispārīga informācija</w:t>
      </w:r>
      <w:bookmarkEnd w:id="381"/>
    </w:p>
    <w:p w14:paraId="5D9F37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017CD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nodaļā ir aplūkots gadījums, kad valdība sniedz naudas līdzekļus (tiešā veidā vai ar īpaša publiskā sektora subjekta starpniecību) likumīga aizdevuma veidā un tā atmaksa ir atkarīga no finansēšanas līgumā vai tiesību aktos definētiem elementiem. Šie iespējamie elementi, kas ļauj debitoram (pilnībā vai daļēji) neatmaksāt līdzekļus, var būt dažādi, piemēram, finansējuma saņēmēja ienākumi nākotnē, atmaksas perioda ierobežojums vai citi elementi, ko puses pilnībā nekontrolē. Gadījumos, kad valdība izsniedz aizdevumu ar iespēju pilnībā to anulēt tādu notikumu dēļ, kas ir atkarīgi vienīgi no aizņēmēja lēmuma vai kas ir vienīgi tā kontrolē, var būt nepieciešami citi noteikumi nekā šajā nodaļā aplūkotie.</w:t>
      </w:r>
    </w:p>
    <w:p w14:paraId="6C27D8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A6783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Šī nodaļa, kurā ir aplūkoti no ienākumiem atkarīgi aizdevumi, ir piemērojama arī situācijās, kas varētu būt pielīdzināmas šādiem aizdevumiem, t. i., aizdevumiem, kuriem ir vērā ņemami citi ar ienākumiem nesaistīti iespējamības elementi, piemēram, ar programmas sniegumu vai debitora nāvi saistīti iespējamības elementi.</w:t>
      </w:r>
    </w:p>
    <w:p w14:paraId="405F56E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95FC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Šādu finansējumu valdība parasti sniedz mājsaimniecībām, bet var sniegt arī citām institucionālām vienībām. Tā mērķis ir atbalstīt valsts politiku, tādējādi saņēmējiem nosacījumi būs izdevīgāki nekā gadījumos, kad aizdevumu izsniedz finanšu iestāde.</w:t>
      </w:r>
    </w:p>
    <w:p w14:paraId="29070A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E3B5E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Kopumā šādu finansējumu sauc par aizdevumiem, kas ir atkarīgi no ienākumiem. Tas ne vienmēr atbilst kritērijiem, lai to varētu uzskatīt par aizdevumu, kā minēts nacionālajos kontos, jo netiek izveidots beznosacījumu parāds, kā prasīts EKS 2010 5.113. punktā.</w:t>
      </w:r>
    </w:p>
    <w:p w14:paraId="16B368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BA9C3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No ienākumiem atkarīgos aizdevumus valdības parasti izsniedz samērā nelielās summās lielam debitoru skaitam saskaņā ar standarta nosacījumiem. Tāpēc nacionālajos kontos analīzi var piemērot visam aizdevumu portfelim, nevis katram atsevišķam piešķirtajam aizdevumam.</w:t>
      </w:r>
    </w:p>
    <w:p w14:paraId="3AC8AC3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F82BA3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Šajā nodaļā netiek aplūkotas tādas valsts shēmas, kurās privātu finanšu iestāžu sniegtajiem no ienākumiem atkarīgiem aizdevumiem iespējamības elementus garantē valdība, jo parasti tādiem aizdevumiem ir standartizēto garantiju īpašības (skat. 7.4.3. iedaļu).</w:t>
      </w:r>
    </w:p>
    <w:p w14:paraId="152F288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32744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Šādiem aizņēmumiem parasti ir ilgs atmaksas termiņš (līdz 30 gadiem vai pat ilgāk) un tiek piemēroti procenti. Procenti var tikt vai netikt kapitalizēti un tiem var piemērot tirgus likmi vai labvēlīgāku likmi. Izsniedzot no ienākumiem atkarīgos aizdevumus, parasti ietver nosacījumus, kas ļauj parādniekam neatmaksāt parādu termiņa beigās vai kad ir pienācis aizdevuma daļas atmaksas termiņš. Atkarībā no vairākiem nosacījumiem (piemēram, vecuma, ienākuma, fiziskām spējām, laika ierobežojuma u. c.) kreditors (valdība) var ierosināt visa aizņēmuma vai tā daļas dzēšanu.</w:t>
      </w:r>
    </w:p>
    <w:p w14:paraId="23A361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EE63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Tādējādi no ienākumiem atkarīgi aizdevumi var ietekmēt valdības ieņēmumus un izdevumus, proti:</w:t>
      </w:r>
    </w:p>
    <w:p w14:paraId="4D6F0E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7D5736" w14:textId="77777777" w:rsidR="00443399" w:rsidRPr="00B03B51" w:rsidRDefault="00443399" w:rsidP="00500EA4">
      <w:pPr>
        <w:pStyle w:val="BodyText"/>
        <w:numPr>
          <w:ilvl w:val="1"/>
          <w:numId w:val="6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šīs rokasgrāmatas 8.2.2.2. apakšiedaļā ir noteikts, ka nacionālajos kontos procentus ieraksta, kad tie uzkrājas, neatkarīgi no tā, vai tie tiek vai netiek samaksāti. Tāpēc uzkrātie procenti ietekmē neto aizdevumu/aizņēmumu (B.9), lai arī var gadīties, ka tie faktiski nekad netiek atmaksāti, jo netiek sasniegts nosacītais slieksnis atmaksas veikšanai, tādējādi </w:t>
      </w:r>
      <w:r w:rsidRPr="00B03B51">
        <w:rPr>
          <w:rFonts w:ascii="Times New Roman" w:hAnsi="Times New Roman" w:cs="Times New Roman"/>
          <w:sz w:val="24"/>
        </w:rPr>
        <w:lastRenderedPageBreak/>
        <w:t>iespējami kropļojot valdības izdevumu/ieņēmumu pārskatus,</w:t>
      </w:r>
    </w:p>
    <w:p w14:paraId="3B8782F1" w14:textId="0E675BA5" w:rsidR="00443399" w:rsidRPr="00B03B51" w:rsidRDefault="00443399" w:rsidP="00500EA4">
      <w:pPr>
        <w:pStyle w:val="BodyText"/>
        <w:numPr>
          <w:ilvl w:val="1"/>
          <w:numId w:val="6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jo aizdevumam ir ilgtermiņa būtība, norakstīšana un/vai parāda </w:t>
      </w:r>
      <w:r w:rsidR="00E52E0E" w:rsidRPr="00B03B51">
        <w:rPr>
          <w:rFonts w:ascii="Times New Roman" w:hAnsi="Times New Roman" w:cs="Times New Roman"/>
          <w:sz w:val="24"/>
        </w:rPr>
        <w:t>anulēšana</w:t>
      </w:r>
      <w:r w:rsidRPr="00B03B51">
        <w:rPr>
          <w:rFonts w:ascii="Times New Roman" w:hAnsi="Times New Roman" w:cs="Times New Roman"/>
          <w:sz w:val="24"/>
        </w:rPr>
        <w:t xml:space="preserve"> notiks tikai pēc ilga laika, kad iespējamības elements tiks noskaidrots, un tādējādi iespējamo zaudējumu atzīšana varētu tikt pārnesta uz tālu nākotni.</w:t>
      </w:r>
    </w:p>
    <w:p w14:paraId="58B72699" w14:textId="77777777" w:rsidR="00443399" w:rsidRPr="00B03B51" w:rsidRDefault="00443399" w:rsidP="00443399">
      <w:pPr>
        <w:jc w:val="both"/>
        <w:rPr>
          <w:rFonts w:ascii="Times New Roman" w:eastAsia="Arial" w:hAnsi="Times New Roman" w:cs="Times New Roman"/>
          <w:noProof/>
          <w:sz w:val="24"/>
          <w:szCs w:val="19"/>
        </w:rPr>
      </w:pPr>
    </w:p>
    <w:p w14:paraId="0550ADA0"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82" w:name="4.7.2_Treatment_in_national_accounts"/>
      <w:bookmarkStart w:id="383" w:name="_Toc67565141"/>
      <w:bookmarkEnd w:id="382"/>
      <w:r w:rsidRPr="00B03B51">
        <w:rPr>
          <w:rFonts w:ascii="Times New Roman" w:hAnsi="Times New Roman" w:cs="Times New Roman"/>
          <w:sz w:val="24"/>
        </w:rPr>
        <w:t>4.7.2. Traktējums nacionālajos kontos</w:t>
      </w:r>
      <w:bookmarkEnd w:id="383"/>
    </w:p>
    <w:p w14:paraId="032198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D6355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Saskaņā tostarp ar EKS 2010 20.121. punktu ir jānovērtē, vai valdības aizdevumi, visticamāk, tiks vai netiks atmaksāti. Ņemot vērā no ienākumiem atkarīgo aizdevumu iespējamības elementu, sākumā līdz ar to ir jānosaka gaidāmie zaudējumi.</w:t>
      </w:r>
    </w:p>
    <w:p w14:paraId="46C9B835" w14:textId="77777777" w:rsidR="00443399" w:rsidRPr="00B03B51" w:rsidRDefault="00443399" w:rsidP="00443399">
      <w:pPr>
        <w:jc w:val="both"/>
        <w:rPr>
          <w:rFonts w:ascii="Times New Roman" w:hAnsi="Times New Roman" w:cs="Times New Roman"/>
          <w:noProof/>
          <w:sz w:val="24"/>
        </w:rPr>
      </w:pPr>
    </w:p>
    <w:p w14:paraId="43AC93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Gaidāmo zaudējumu varbūtību var novērtēt dažādos veidos, piemēram:</w:t>
      </w:r>
    </w:p>
    <w:p w14:paraId="4E927D11"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64D4CE1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kādi ir novērotie zaudējumi līdzīgu aizdevumu gadījumā;</w:t>
      </w:r>
    </w:p>
    <w:p w14:paraId="52F41FA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A70145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gaidāmie zaudējumi tiek novērtēti, pamatojoties uz to, kāda ir varbūtība, ka debitoram iestāsies iespējamības notikums.</w:t>
      </w:r>
    </w:p>
    <w:p w14:paraId="38C8A4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51D48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Ņemot vērā šādu aizdevumu lielo skaitu (neatkarīgi no tā, ka ar valdības lēmumu var mainīties šo aizdevumu iespējamības elementu vispārējās iezīmes), piemērota pieeja ir analizēt saskanīgus apakšportfeļus (t. i., aizdevumus, kas piešķirti konkrētajā gadā vai izmantojot konkrētu aizdevuma shēmu).</w:t>
      </w:r>
    </w:p>
    <w:p w14:paraId="525368D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E97D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Ja izrādās, ka ir pieejama pietiekama informācija, lai apmierinoši noteiktu no ienākumiem atkarīgo aizdevumu portfeļa iespējamos zaudējumus, var identificēt trīs no ienākumiem atkarīgo aizdevumu kategorijas, lai tos varētu statistikā traktēt dažādos veidos:</w:t>
      </w:r>
    </w:p>
    <w:p w14:paraId="6C8B49A8"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3695905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sākumā iespējamības elementu dēļ radušies gaidāmie zaudējumi ir zemi, piemēram, maza daļa no izsniegtajiem līdzekļiem;</w:t>
      </w:r>
    </w:p>
    <w:p w14:paraId="22D03400"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867B34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sākumā iespējamības elementu dēļ radušies gaidāmie zaudējumi ir ļoti lieli, piemēram, gandrīz visi izsniegtie līdzekļi;</w:t>
      </w:r>
    </w:p>
    <w:p w14:paraId="2D556504"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4011031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sākumā iespējamības elementu dēļ radušies gaidāmie zaudējumi ir būtiski, piemēram, liela daļa no izsniegtajiem līdzekļiem.</w:t>
      </w:r>
    </w:p>
    <w:p w14:paraId="67B0BC35"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02312D3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Attiecībā uz a) apakšpunkta kategoriju no ienākumiem atkarīgos aizdevumus sākumā var ierakstīt kā aizdevumus, norādot to pilnu vērtību.</w:t>
      </w:r>
    </w:p>
    <w:p w14:paraId="339FBF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786C7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Attiecībā uz b) apakšpunkta kategoriju no ienākumiem atkarīgos aizdevumus sākumā var ierakstīt kā valdības izdevumus, norādot to pilno vērtību, un turpmākās atmaksas (ja tādas ir) ierakstīt kā valsts ieņēmumus.</w:t>
      </w:r>
    </w:p>
    <w:p w14:paraId="30E5F1E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7D777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Attiecībā uz c) apakšpunkta kategoriju finansējums ir jāsadala daļās. Daļa no valdības piešķirtā finansējuma ir jāieraksta kā aizdevums, t. i., kā finanšu darījums, kas neietekmē valdības neto aizņēmumu/neto aizdevumu (B.9), un daļa kā valdības izdevumi. Summu, ko ieraksta kā valdības izdevumus, provizoriski nosaka, pamatojoties uz iespējamības elementa radītiem gaidāmajiem zaudējumiem un izmantojot atbilstošu diskonta koeficientu, piemēram, aizņēmuma izmaksas valdībai.</w:t>
      </w:r>
    </w:p>
    <w:p w14:paraId="685C0C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E4765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16. Šīs iedaļas 15. punktā minēto pieeju var izmantot visiem no ienākumiem atkarīgajiem </w:t>
      </w:r>
      <w:r w:rsidRPr="00B03B51">
        <w:rPr>
          <w:rFonts w:ascii="Times New Roman" w:hAnsi="Times New Roman" w:cs="Times New Roman"/>
          <w:sz w:val="24"/>
        </w:rPr>
        <w:lastRenderedPageBreak/>
        <w:t>aizdevumiem, t. i., pat tad, ja gaidāmie zaudējumi ir ļoti zemi vai ļoti lieli, ja statistikas iestādes uzskata, ka tā ir vispiemērotākā pieeja.</w:t>
      </w:r>
    </w:p>
    <w:p w14:paraId="040A10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25615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Ja izrādās, ka nav pietiekamas informācijas, lai apmierinoši noteiktu no ienākumiem atkarīgo aizdevumu portfeļa iespējamos zaudējumus, šādu aizdevumu portfeli parasti ieraksta kā valdības izdevumus (turpmāk ierakstot valdības ieņēmumus, kad debitors veic atmaksu), piemērojot 12. punkta b) apakšpunktā minēto traktējumu. Ja iespējamības vispārējā ietekme varētu būt visai maza, aizdevumu var ierakstīt kā aizdevumu, piemērojot 12. punkta a) apakšpunktā minēto traktējumu, bet tikai tad, ja ir pamatots iemesls to darīt.</w:t>
      </w:r>
    </w:p>
    <w:p w14:paraId="621534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2856A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Valdības piešķirto no ienākumiem atkarīgo aizdevumu vērtību ietekmē tas, kā mainās aizņēmēja ieņēmumu izredzes, kā arī kā valdības politikā mainās no ienākumiem atkarīgo aizdevumu shēmas raksturlielumi. Ja izredzes mainās tiktāl, ka ir būtiski jāpārvērtē aizdevumu portfeļa (vai attiecīgā apakšportfeļa) gaidāmie zudumi, ir jāieraksta valdības izdevumi (vai negatīvie izdevumi).</w:t>
      </w:r>
      <w:r w:rsidRPr="00B03B51">
        <w:rPr>
          <w:rStyle w:val="FootnoteReference"/>
          <w:rFonts w:ascii="Times New Roman" w:hAnsi="Times New Roman" w:cs="Times New Roman"/>
          <w:noProof/>
          <w:sz w:val="24"/>
        </w:rPr>
        <w:footnoteReference w:id="184"/>
      </w:r>
      <w:r w:rsidRPr="00B03B51">
        <w:rPr>
          <w:rFonts w:ascii="Times New Roman" w:hAnsi="Times New Roman" w:cs="Times New Roman"/>
          <w:sz w:val="24"/>
        </w:rPr>
        <w:t xml:space="preserve"> Ne vienmēr ir nepieciešams ierakstīt valdības izdevumus, kad tiek pārvērtēti gaidāmie zaudējumi regulāri atjaunināto prognožu izmaiņu dēļ, ja izmaiņas nav būtiskas.</w:t>
      </w:r>
    </w:p>
    <w:p w14:paraId="336331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F7A78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Dažas valdības aktīvi pārvalda savus aizdevumu portfeļus, pārdodot visus šādus aizdevumus vai to daļu privātiem ieguldītājiem saskaņā ar kārtējā brīža tirgus nosacījumiem. No ienākumiem atkarīgo aizdevumu portfeļa tirgus vērtība var atšķirties no vērtības, kas ierakstīta EKS valdības bilancē:</w:t>
      </w:r>
    </w:p>
    <w:p w14:paraId="186A46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01C042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attiecībā uz a) kategorijas aizdevumiem starpība ir jāieraksta kā valdības izdevumi;</w:t>
      </w:r>
    </w:p>
    <w:p w14:paraId="0DD76BF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1C558D84"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attiecībā uz b) kategorijas aizdevumiem pārdošana ir jāieraksta kā valdības aizņēmums;</w:t>
      </w:r>
    </w:p>
    <w:p w14:paraId="1922CFE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678FA22B"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attiecībā uz c) kategorijas aizdevumiem, ja valdības bilancē ierakstītā vērtība (aizdevuma aktīvs plus uzkrātie procenti) būtiski atšķiras no darījuma kārtējā brīža tirgus cenas, ir jāieraksta papildu kapitāla pārvedums debitora vai valdības labā, lai nodrošinātu, ka atbilstīgi iepriekšējā punktā aprakstītajam tiek pilnībā ietverts no ienākumiem atkarīgā aizdevuma izdevumu/ieņēmumu elements.</w:t>
      </w:r>
    </w:p>
    <w:p w14:paraId="0C4D3B1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E1AC2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Aizdevumiem, kas ietilpst c) kategorijā, procenti uzkrājas (izmantojot diskonta koeficientu) un tiek pievienoti pamatsummai saskaņā ar EKS noteikumiem, bet tikai tai daļai, kas tiek ierakstīta kā aizdevums. Pamatsummas un procentu atmaksu ieraksta kā instrumenta samazinājumu.</w:t>
      </w:r>
    </w:p>
    <w:p w14:paraId="31969EED" w14:textId="77777777" w:rsidR="00443399" w:rsidRPr="00B03B51" w:rsidRDefault="00443399" w:rsidP="00443399">
      <w:pPr>
        <w:jc w:val="both"/>
        <w:rPr>
          <w:rFonts w:ascii="Times New Roman" w:eastAsia="Arial" w:hAnsi="Times New Roman" w:cs="Times New Roman"/>
          <w:noProof/>
          <w:sz w:val="24"/>
          <w:szCs w:val="19"/>
        </w:rPr>
      </w:pPr>
    </w:p>
    <w:p w14:paraId="7A5BB180"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384" w:name="4.7.3_Rationale_of_the_treatment"/>
      <w:bookmarkStart w:id="385" w:name="_Toc67565142"/>
      <w:bookmarkEnd w:id="384"/>
      <w:r w:rsidRPr="00B03B51">
        <w:rPr>
          <w:rFonts w:ascii="Times New Roman" w:hAnsi="Times New Roman" w:cs="Times New Roman"/>
          <w:sz w:val="24"/>
        </w:rPr>
        <w:t>4.7.3. Traktējuma pamatojums</w:t>
      </w:r>
      <w:bookmarkEnd w:id="385"/>
    </w:p>
    <w:p w14:paraId="2AB57F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EFD3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Saskaņā ar EKS 2010 vērtības noteikšanas noteikumiem aizdevumu pārdošanu un norakstīšanu piemēro aizdevumiem, kas atbilst EKS 2010 5.113. punktā minētajām iezīmēm. Tos var piemērot arī no ienākumiem atkarīgajiem aizdevumiem, ja iespējamības elements tikai nedaudz ietekmē valdības izsniegto līdzekļu atmaksu, piemēram, ja neatmaksāto aizdevumu provizoriskais īpatsvars vai līmenis parasti ir zems, proti, 5–10 % robežās. Savukārt, ja sagaidāms, ka iespējamības elementa ietekme ir ļoti liela, proti, 90–95 % robežās, atbilstošāk būtu uzskatīt, ka finansējums ir nevis aizdevums, bet valdības izdevumi (un ieņēmumi, ja tiek saņemta kāda atmaksa).</w:t>
      </w:r>
    </w:p>
    <w:p w14:paraId="7E867D6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885E0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Ja iespējamības elementa dēļ gaidāmie zaudējumi ir būtiski, visatbilstošāk būtu sadalīt instrumentu tā, lai nacionālajos kontos pareizi parādītu finansējuma faktisko veidu.</w:t>
      </w:r>
    </w:p>
    <w:p w14:paraId="13104F4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3BE648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Savukārt, ja sākumā tiek nospriests, ka pieejamā informācija nav pietiekama, lai pienācīgi novērtētu iespējamo atmaksas likmi, no ienākumiem atkarīgo aizdevumu uzskata nevis par aizdevumu, bet kopumā ieraksta kā valdības izdevumus un, ja debitors turpmāk veic atmaksu, to ieraksta kā valdības ieņēmumus. Aizdevumu kā aizdevumu ieraksta vien tad, ja ir pamatots iemesls to darīt.</w:t>
      </w:r>
    </w:p>
    <w:p w14:paraId="6A248E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8AFC6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EKS 2010 20.121. punktā ir precizēts, ka “valdības aizdevumus, kuri, visticamāk, netiks atmaksāti, ieraksta EKS kā kapitāla pārvedumus”. Tas kopumā attiecas uz situāciju, kad iespējamības elements, ja ir pietiekami daudz informācijas, varētu radīt būtiskus zaudējumus, piemēram, 5–10 % līdz 90–95 % robežās no valdības izsniegtajiem finanšu līdzekļiem. Citos gadījumos statistiķi var izlemt ierakstīt izsniegto finanšu līdzekļu kopējo summu kā aizdevumu (ja iespējamības elementa dēļ gaidāmie zaudējumi tikai nedaudz ietekmē atmaksu, piemēram, netiek atmaksāts mazāk par 5–10 %) vai kā kapitāla pārvedumu (ja iespējamības elementa dēļ gaidāmie zaudējumi pārsniedz 90–95 %).</w:t>
      </w:r>
    </w:p>
    <w:p w14:paraId="4A00BB27"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19189D90" w14:textId="77777777" w:rsidR="00443399" w:rsidRPr="00B03B51" w:rsidRDefault="00443399" w:rsidP="00443399">
      <w:pPr>
        <w:jc w:val="both"/>
        <w:rPr>
          <w:rFonts w:ascii="Times New Roman" w:eastAsia="Arial" w:hAnsi="Times New Roman" w:cs="Times New Roman"/>
          <w:noProof/>
          <w:sz w:val="24"/>
          <w:szCs w:val="29"/>
        </w:rPr>
      </w:pPr>
    </w:p>
    <w:p w14:paraId="60616159" w14:textId="77777777" w:rsidR="00443399" w:rsidRPr="00B03B51" w:rsidRDefault="00443399" w:rsidP="00443399">
      <w:pPr>
        <w:pStyle w:val="Heading2"/>
        <w:tabs>
          <w:tab w:val="left" w:pos="1361"/>
        </w:tabs>
        <w:spacing w:before="0"/>
        <w:ind w:left="0" w:firstLine="0"/>
        <w:jc w:val="both"/>
        <w:rPr>
          <w:rFonts w:ascii="Times New Roman" w:hAnsi="Times New Roman" w:cs="Times New Roman"/>
          <w:noProof/>
          <w:sz w:val="28"/>
          <w:szCs w:val="44"/>
        </w:rPr>
      </w:pPr>
      <w:bookmarkStart w:id="386" w:name="4.8_Keywords_and_accounting_references"/>
      <w:bookmarkStart w:id="387" w:name="_bookmark38"/>
      <w:bookmarkStart w:id="388" w:name="_Toc67565143"/>
      <w:bookmarkEnd w:id="386"/>
      <w:bookmarkEnd w:id="387"/>
      <w:r w:rsidRPr="00B03B51">
        <w:rPr>
          <w:rFonts w:ascii="Times New Roman" w:hAnsi="Times New Roman" w:cs="Times New Roman"/>
          <w:sz w:val="28"/>
          <w:szCs w:val="44"/>
        </w:rPr>
        <w:t>4.8. Atslēgvārdi un atsauces</w:t>
      </w:r>
      <w:bookmarkEnd w:id="388"/>
    </w:p>
    <w:p w14:paraId="12E06A7A" w14:textId="77777777" w:rsidR="00443399" w:rsidRPr="00B03B51" w:rsidRDefault="00443399" w:rsidP="00443399">
      <w:pPr>
        <w:jc w:val="both"/>
        <w:rPr>
          <w:rFonts w:ascii="Times New Roman" w:eastAsia="Arial" w:hAnsi="Times New Roman" w:cs="Times New Roman"/>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4820"/>
        <w:gridCol w:w="4251"/>
      </w:tblGrid>
      <w:tr w:rsidR="00443399" w:rsidRPr="00B03B51" w14:paraId="1E62762A" w14:textId="77777777" w:rsidTr="00500EA4">
        <w:tc>
          <w:tcPr>
            <w:tcW w:w="2657" w:type="pct"/>
            <w:tcBorders>
              <w:top w:val="nil"/>
              <w:left w:val="nil"/>
              <w:bottom w:val="nil"/>
              <w:right w:val="nil"/>
            </w:tcBorders>
          </w:tcPr>
          <w:p w14:paraId="4661875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Pārkārtoti darījumi</w:t>
            </w:r>
          </w:p>
        </w:tc>
        <w:tc>
          <w:tcPr>
            <w:tcW w:w="2343" w:type="pct"/>
            <w:tcBorders>
              <w:top w:val="nil"/>
              <w:left w:val="nil"/>
              <w:bottom w:val="nil"/>
              <w:right w:val="nil"/>
            </w:tcBorders>
          </w:tcPr>
          <w:p w14:paraId="2690DC5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1.73.–1.78. punkts</w:t>
            </w:r>
          </w:p>
        </w:tc>
      </w:tr>
      <w:tr w:rsidR="00443399" w:rsidRPr="00B03B51" w14:paraId="55626BFB" w14:textId="77777777" w:rsidTr="00500EA4">
        <w:tc>
          <w:tcPr>
            <w:tcW w:w="2657" w:type="pct"/>
            <w:tcBorders>
              <w:top w:val="nil"/>
              <w:left w:val="nil"/>
              <w:bottom w:val="nil"/>
              <w:right w:val="nil"/>
            </w:tcBorders>
          </w:tcPr>
          <w:p w14:paraId="425BDA5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Pārvirzīšana</w:t>
            </w:r>
          </w:p>
        </w:tc>
        <w:tc>
          <w:tcPr>
            <w:tcW w:w="2343" w:type="pct"/>
            <w:tcBorders>
              <w:top w:val="nil"/>
              <w:left w:val="nil"/>
              <w:bottom w:val="nil"/>
              <w:right w:val="nil"/>
            </w:tcBorders>
          </w:tcPr>
          <w:p w14:paraId="58D3EE1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1.73.–1.75. punkts</w:t>
            </w:r>
          </w:p>
        </w:tc>
      </w:tr>
      <w:tr w:rsidR="00443399" w:rsidRPr="00B03B51" w14:paraId="7981020B" w14:textId="77777777" w:rsidTr="00500EA4">
        <w:tc>
          <w:tcPr>
            <w:tcW w:w="2657" w:type="pct"/>
            <w:tcBorders>
              <w:top w:val="nil"/>
              <w:left w:val="nil"/>
              <w:bottom w:val="nil"/>
              <w:right w:val="nil"/>
            </w:tcBorders>
          </w:tcPr>
          <w:p w14:paraId="3BD564C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starpniecība/starpnieks</w:t>
            </w:r>
          </w:p>
        </w:tc>
        <w:tc>
          <w:tcPr>
            <w:tcW w:w="2343" w:type="pct"/>
            <w:tcBorders>
              <w:top w:val="nil"/>
              <w:left w:val="nil"/>
              <w:bottom w:val="nil"/>
              <w:right w:val="nil"/>
            </w:tcBorders>
          </w:tcPr>
          <w:p w14:paraId="04883C6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2.87.–2.88., 2.61. punkts</w:t>
            </w:r>
          </w:p>
        </w:tc>
      </w:tr>
      <w:tr w:rsidR="00443399" w:rsidRPr="00B03B51" w14:paraId="21D15D00" w14:textId="77777777" w:rsidTr="00500EA4">
        <w:tc>
          <w:tcPr>
            <w:tcW w:w="2657" w:type="pct"/>
            <w:tcBorders>
              <w:top w:val="nil"/>
              <w:left w:val="nil"/>
              <w:bottom w:val="nil"/>
              <w:right w:val="nil"/>
            </w:tcBorders>
          </w:tcPr>
          <w:p w14:paraId="653851A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Cits kapitāla pārvedums</w:t>
            </w:r>
          </w:p>
        </w:tc>
        <w:tc>
          <w:tcPr>
            <w:tcW w:w="2343" w:type="pct"/>
            <w:tcBorders>
              <w:top w:val="nil"/>
              <w:left w:val="nil"/>
              <w:bottom w:val="nil"/>
              <w:right w:val="nil"/>
            </w:tcBorders>
          </w:tcPr>
          <w:p w14:paraId="3CA1AF5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4.164.–4.167. punkts</w:t>
            </w:r>
          </w:p>
        </w:tc>
      </w:tr>
      <w:tr w:rsidR="00443399" w:rsidRPr="00B03B51" w14:paraId="77FE9BE3" w14:textId="77777777" w:rsidTr="00500EA4">
        <w:tc>
          <w:tcPr>
            <w:tcW w:w="2657" w:type="pct"/>
            <w:tcBorders>
              <w:top w:val="nil"/>
              <w:left w:val="nil"/>
              <w:bottom w:val="nil"/>
              <w:right w:val="nil"/>
            </w:tcBorders>
          </w:tcPr>
          <w:p w14:paraId="77E9972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Darījumu novērtējums</w:t>
            </w:r>
          </w:p>
        </w:tc>
        <w:tc>
          <w:tcPr>
            <w:tcW w:w="2343" w:type="pct"/>
            <w:tcBorders>
              <w:top w:val="nil"/>
              <w:left w:val="nil"/>
              <w:bottom w:val="nil"/>
              <w:right w:val="nil"/>
            </w:tcBorders>
          </w:tcPr>
          <w:p w14:paraId="575877F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5.19.–5.22. punkts</w:t>
            </w:r>
          </w:p>
        </w:tc>
      </w:tr>
      <w:tr w:rsidR="00443399" w:rsidRPr="00B03B51" w14:paraId="21AD34DE" w14:textId="77777777" w:rsidTr="00500EA4">
        <w:tc>
          <w:tcPr>
            <w:tcW w:w="2657" w:type="pct"/>
            <w:tcBorders>
              <w:top w:val="nil"/>
              <w:left w:val="nil"/>
              <w:bottom w:val="nil"/>
              <w:right w:val="nil"/>
            </w:tcBorders>
          </w:tcPr>
          <w:p w14:paraId="7DAF41E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Aktīvu novērtējums</w:t>
            </w:r>
          </w:p>
        </w:tc>
        <w:tc>
          <w:tcPr>
            <w:tcW w:w="2343" w:type="pct"/>
            <w:tcBorders>
              <w:top w:val="nil"/>
              <w:left w:val="nil"/>
              <w:bottom w:val="nil"/>
              <w:right w:val="nil"/>
            </w:tcBorders>
          </w:tcPr>
          <w:p w14:paraId="4780579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7.33.–7.41., 7.61. punkts</w:t>
            </w:r>
          </w:p>
        </w:tc>
      </w:tr>
    </w:tbl>
    <w:p w14:paraId="6BF91225" w14:textId="77777777" w:rsidR="00443399" w:rsidRPr="00B03B51" w:rsidRDefault="00443399" w:rsidP="00443399">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4D3A0C6D" w14:textId="77777777" w:rsidR="00443399" w:rsidRPr="00B03B51" w:rsidRDefault="00443399" w:rsidP="00443399">
      <w:pPr>
        <w:jc w:val="both"/>
        <w:rPr>
          <w:rFonts w:ascii="Times New Roman" w:eastAsia="Arial" w:hAnsi="Times New Roman" w:cs="Times New Roman"/>
          <w:b/>
          <w:bCs/>
          <w:noProof/>
          <w:sz w:val="24"/>
          <w:szCs w:val="26"/>
        </w:rPr>
      </w:pPr>
    </w:p>
    <w:p w14:paraId="46FB9C85" w14:textId="77777777" w:rsidR="00443399" w:rsidRPr="00B03B51" w:rsidRDefault="00443399" w:rsidP="00443399">
      <w:pPr>
        <w:pStyle w:val="Heading1"/>
        <w:ind w:left="0"/>
        <w:jc w:val="both"/>
        <w:rPr>
          <w:rFonts w:ascii="Times New Roman" w:hAnsi="Times New Roman" w:cs="Times New Roman"/>
          <w:b w:val="0"/>
          <w:bCs w:val="0"/>
          <w:noProof/>
          <w:sz w:val="28"/>
          <w:szCs w:val="72"/>
        </w:rPr>
      </w:pPr>
      <w:bookmarkStart w:id="389" w:name="_Toc67565144"/>
      <w:r w:rsidRPr="00B03B51">
        <w:rPr>
          <w:rFonts w:ascii="Times New Roman" w:hAnsi="Times New Roman" w:cs="Times New Roman"/>
          <w:sz w:val="28"/>
          <w:szCs w:val="72"/>
        </w:rPr>
        <w:t>5. Aktīvu pārdošana</w:t>
      </w:r>
      <w:bookmarkEnd w:id="389"/>
    </w:p>
    <w:p w14:paraId="3DB07BE0" w14:textId="77777777" w:rsidR="00443399" w:rsidRPr="00B03B51" w:rsidRDefault="00443399" w:rsidP="00443399">
      <w:pPr>
        <w:jc w:val="both"/>
        <w:rPr>
          <w:rFonts w:ascii="Times New Roman" w:eastAsia="Arial" w:hAnsi="Times New Roman" w:cs="Times New Roman"/>
          <w:b/>
          <w:bCs/>
          <w:noProof/>
          <w:sz w:val="24"/>
          <w:szCs w:val="20"/>
        </w:rPr>
      </w:pPr>
    </w:p>
    <w:p w14:paraId="5B4DE304"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390" w:name="5.1_Overview"/>
      <w:bookmarkStart w:id="391" w:name="_bookmark40"/>
      <w:bookmarkStart w:id="392" w:name="_Toc67565145"/>
      <w:bookmarkEnd w:id="390"/>
      <w:bookmarkEnd w:id="391"/>
      <w:r w:rsidRPr="00B03B51">
        <w:rPr>
          <w:rFonts w:ascii="Times New Roman" w:hAnsi="Times New Roman" w:cs="Times New Roman"/>
          <w:sz w:val="28"/>
          <w:szCs w:val="44"/>
        </w:rPr>
        <w:t>5.1. Pārskats</w:t>
      </w:r>
      <w:bookmarkEnd w:id="392"/>
    </w:p>
    <w:p w14:paraId="560B0544"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7FD5E25B"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Valdības pārdod finanšu un nefinanšu aktīvus, lai piesaistītu naudas līdzekļus vai optimizētu savu aktīvu apmēru. Valdības var arī novirzīt ieņēmumu plūsmas vai uzņemties turpmākās saistības veikt maksājumus apmaiņā pret pašreiz saņemtu skaidru naudu. Lielākajā daļā gadījumu nacionālajos kontos aktīva pārdošanu ieraksta kā pārdošanu par attiecīgā darījuma summu.</w:t>
      </w:r>
    </w:p>
    <w:p w14:paraId="4B59C966"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4E903023"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Tomēr pastāv daži sarežģītāki gadījumi, jo īpaši tad, ja:</w:t>
      </w:r>
    </w:p>
    <w:p w14:paraId="0C937FA4"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119470A7" w14:textId="77777777" w:rsidR="00443399" w:rsidRPr="00B03B51" w:rsidRDefault="00443399" w:rsidP="00500EA4">
      <w:pPr>
        <w:pStyle w:val="BodyText"/>
        <w:numPr>
          <w:ilvl w:val="3"/>
          <w:numId w:val="6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pārdošana notiek ar publisku sabiedrību starpniecību;</w:t>
      </w:r>
    </w:p>
    <w:p w14:paraId="06B26162" w14:textId="77777777" w:rsidR="00443399" w:rsidRPr="00B03B51" w:rsidRDefault="00443399" w:rsidP="00500EA4">
      <w:pPr>
        <w:pStyle w:val="BodyText"/>
        <w:numPr>
          <w:ilvl w:val="3"/>
          <w:numId w:val="6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ekonomiskie riski un priekšrocības netiek pilnīgi nodotas (nav “īsta pārdošana”);</w:t>
      </w:r>
    </w:p>
    <w:p w14:paraId="044E8E40" w14:textId="77777777" w:rsidR="00443399" w:rsidRPr="00B03B51" w:rsidRDefault="00443399" w:rsidP="00500EA4">
      <w:pPr>
        <w:pStyle w:val="BodyText"/>
        <w:numPr>
          <w:ilvl w:val="3"/>
          <w:numId w:val="6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par pārdošanu nesaņem atlīdzību naudā vai arī saņemtā summa atšķiras no pārdoto aktīvu tirgus/patiesās vērtības;</w:t>
      </w:r>
    </w:p>
    <w:p w14:paraId="54B3CFB7" w14:textId="77777777" w:rsidR="00443399" w:rsidRPr="00B03B51" w:rsidRDefault="00443399" w:rsidP="00500EA4">
      <w:pPr>
        <w:pStyle w:val="BodyText"/>
        <w:numPr>
          <w:ilvl w:val="3"/>
          <w:numId w:val="6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šķietami pārdotais aktīvs nacionālajos kontos nav ierakstīts valdības bilancē.</w:t>
      </w:r>
    </w:p>
    <w:p w14:paraId="11348E9A"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284F6BBC"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Turpmāk sniegtajos norādījumos galvenie piemērotie principi ir ekonomiskās būtības (nevis juridiskās formas) ierakstīšana, ekonomisko īpašumtiesību jēdziens, finanšu un nefinanšu plūsmu nošķiršana un ienākuma jēdziena ietveršana nacionālajos kontos.</w:t>
      </w:r>
    </w:p>
    <w:p w14:paraId="09E4D135"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2A3AA3CA" w14:textId="77777777" w:rsidR="00443399" w:rsidRPr="00B03B51" w:rsidRDefault="00443399" w:rsidP="00443399">
      <w:pPr>
        <w:jc w:val="both"/>
        <w:rPr>
          <w:rFonts w:ascii="Times New Roman" w:eastAsia="Arial" w:hAnsi="Times New Roman" w:cs="Times New Roman"/>
          <w:noProof/>
          <w:sz w:val="24"/>
          <w:szCs w:val="29"/>
        </w:rPr>
      </w:pPr>
    </w:p>
    <w:p w14:paraId="26AA4571"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393" w:name="5.2_Sales_of_financial_and_non-financial"/>
      <w:bookmarkStart w:id="394" w:name="_bookmark41"/>
      <w:bookmarkStart w:id="395" w:name="_Toc67565146"/>
      <w:bookmarkEnd w:id="393"/>
      <w:bookmarkEnd w:id="394"/>
      <w:r w:rsidRPr="00B03B51">
        <w:rPr>
          <w:rFonts w:ascii="Times New Roman" w:hAnsi="Times New Roman" w:cs="Times New Roman"/>
          <w:sz w:val="28"/>
          <w:szCs w:val="44"/>
        </w:rPr>
        <w:t>5.2. Finanšu un nefinanšu aktīvu pārdošana</w:t>
      </w:r>
      <w:bookmarkEnd w:id="395"/>
    </w:p>
    <w:p w14:paraId="6D36B758" w14:textId="77777777" w:rsidR="00443399" w:rsidRPr="00B03B51" w:rsidRDefault="00443399" w:rsidP="00443399">
      <w:pPr>
        <w:tabs>
          <w:tab w:val="left" w:pos="1267"/>
        </w:tabs>
        <w:jc w:val="both"/>
        <w:rPr>
          <w:rFonts w:ascii="Times New Roman" w:hAnsi="Times New Roman" w:cs="Times New Roman"/>
          <w:b/>
          <w:noProof/>
          <w:sz w:val="24"/>
        </w:rPr>
      </w:pPr>
      <w:bookmarkStart w:id="396" w:name="5.2.1_Background"/>
      <w:bookmarkEnd w:id="396"/>
    </w:p>
    <w:p w14:paraId="6724AD1E" w14:textId="77777777" w:rsidR="00443399" w:rsidRPr="00B03B51" w:rsidRDefault="00443399" w:rsidP="00443399">
      <w:pPr>
        <w:pStyle w:val="Heading3"/>
        <w:tabs>
          <w:tab w:val="left" w:pos="1267"/>
        </w:tabs>
        <w:ind w:left="0" w:firstLine="0"/>
        <w:jc w:val="both"/>
        <w:rPr>
          <w:rFonts w:ascii="Times New Roman" w:hAnsi="Times New Roman" w:cs="Times New Roman"/>
          <w:sz w:val="24"/>
        </w:rPr>
      </w:pPr>
      <w:bookmarkStart w:id="397" w:name="_Toc67565147"/>
      <w:r w:rsidRPr="00B03B51">
        <w:rPr>
          <w:rFonts w:ascii="Times New Roman" w:hAnsi="Times New Roman" w:cs="Times New Roman"/>
          <w:sz w:val="24"/>
        </w:rPr>
        <w:t>5.2.1. Vispārīga informācija</w:t>
      </w:r>
      <w:bookmarkEnd w:id="397"/>
    </w:p>
    <w:p w14:paraId="0512455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FC0F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Parasti privatizācija nozīmē vispārējās valdības atteikšanos no kontroles pār publisku uzņēmumu, realizējot savas uzņēmuma akcijas un citu pašu kapitālu. Tomēr šis formulējums ietver ko vairāk nekā tikai minēto darbību – tas attiecas arī uz plašāku gadījumu, kad vispārējā valdība pārdod uzņēmumu akcijas un citu pašu kapitālu un šiem uzņēmumiem nav obligāti jābūt tās kontrolē vai gadījumā, ja uzņēmumi atrodas tās kontrolē, tai nav obligāti jāatsakās no šādas kontroles. Šādu pārdošanu var veikt tieši vai netieši. Šeit ir apspriesta arī nefinanšu aktīvu pārdošana.</w:t>
      </w:r>
    </w:p>
    <w:p w14:paraId="68E982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144F1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Var izšķirt četrus gadījumus:</w:t>
      </w:r>
    </w:p>
    <w:p w14:paraId="2CEE5FAD"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4FD9467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valdība pārdod kāda uzņēmuma akcijas vai citu pašu kapitālu. To uzskata par “tiešu” pārdošanu;</w:t>
      </w:r>
    </w:p>
    <w:p w14:paraId="5D711C2B"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7528EC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pieņemsim, ka valdībai pieder uzņēmums A, kas pārdod akcijas vai citu pašu kapitālu uzņēmumā B un nodod valdībai pārdošanas ieņēmumus. Šādu gadījumu uzskata par valdības veiktu “netiešu” finanšu aktīvu pārdošanu;</w:t>
      </w:r>
    </w:p>
    <w:p w14:paraId="153BB35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E5B1A8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valdība pārdod nefinanšu aktīvus. To uzskata par “tiešu” nefinanšu aktīvu pārdošanu;</w:t>
      </w:r>
    </w:p>
    <w:p w14:paraId="78152FF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FDDF3C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valdībai pieder uzņēmums A, kurš pārdod nefinanšu aktīvus un pārdošanas ieņēmumus nodod valdībai. Šādu gadījumu uzskata par valdības veiktu “netiešu” nefinanšu aktīvu pārdošanu.</w:t>
      </w:r>
    </w:p>
    <w:p w14:paraId="60DE7D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279C2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Līdzekļus, kurus uzņēmums ir ieguvis netiešās pārdošanas rezultātā, valdībai var nodot ne tikai kā skaidru naudu, bet arī citādi. Piemēram, tas var notikt kā tādu naudas summu izpirkums, kuras uzņēmums ir parādā valdībai. Turpmāk ir aplūkota tikai likvīdu aktīvu piešķiršana, tomēr šis pieņēmums nemaina piedāvātos traktējumus.</w:t>
      </w:r>
    </w:p>
    <w:p w14:paraId="24294AF4" w14:textId="77777777" w:rsidR="00443399" w:rsidRPr="00B03B51" w:rsidRDefault="00443399" w:rsidP="00443399">
      <w:pPr>
        <w:jc w:val="both"/>
        <w:rPr>
          <w:rFonts w:ascii="Times New Roman" w:eastAsia="Arial" w:hAnsi="Times New Roman" w:cs="Times New Roman"/>
          <w:noProof/>
          <w:sz w:val="24"/>
          <w:szCs w:val="19"/>
        </w:rPr>
      </w:pPr>
    </w:p>
    <w:p w14:paraId="5F2D412A" w14:textId="77777777" w:rsidR="00443399" w:rsidRPr="00B03B51" w:rsidRDefault="00443399" w:rsidP="00443399">
      <w:pPr>
        <w:pStyle w:val="Heading3"/>
        <w:tabs>
          <w:tab w:val="left" w:pos="1267"/>
        </w:tabs>
        <w:ind w:left="0" w:firstLine="0"/>
        <w:jc w:val="both"/>
        <w:rPr>
          <w:rFonts w:ascii="Times New Roman" w:hAnsi="Times New Roman" w:cs="Times New Roman"/>
          <w:sz w:val="24"/>
        </w:rPr>
      </w:pPr>
      <w:bookmarkStart w:id="398" w:name="5.2.2_Treatment_in_national_accounts"/>
      <w:bookmarkStart w:id="399" w:name="_Toc67565148"/>
      <w:bookmarkEnd w:id="398"/>
      <w:r w:rsidRPr="00B03B51">
        <w:rPr>
          <w:rFonts w:ascii="Times New Roman" w:hAnsi="Times New Roman" w:cs="Times New Roman"/>
          <w:sz w:val="24"/>
        </w:rPr>
        <w:t>5.2.2. Traktējums nacionālajos kontos</w:t>
      </w:r>
      <w:bookmarkEnd w:id="399"/>
    </w:p>
    <w:p w14:paraId="6629CFE2" w14:textId="77777777" w:rsidR="00443399" w:rsidRPr="00BE27DC" w:rsidRDefault="00443399" w:rsidP="00BE27DC">
      <w:pPr>
        <w:rPr>
          <w:rFonts w:ascii="Times New Roman" w:hAnsi="Times New Roman" w:cs="Times New Roman"/>
          <w:noProof/>
          <w:sz w:val="24"/>
          <w:szCs w:val="24"/>
        </w:rPr>
      </w:pPr>
      <w:bookmarkStart w:id="400" w:name="5.2.2.1_Direct_sale_of_financial_assets"/>
      <w:bookmarkEnd w:id="400"/>
    </w:p>
    <w:p w14:paraId="6D18F2F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5.2.2.1. FINANŠU AKTĪVU TIEŠA PĀRDOŠANA</w:t>
      </w:r>
    </w:p>
    <w:p w14:paraId="712D836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A16337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Finanšu aktīvu tieša pārdošana ir pilnīgi jāieraksta vispārējās valdības un iesaistītā uzņēmuma finanšu kontos: tā ir akciju vai cita pašu kapitāla izņemšana (F.5) no uzņēmuma, kas daļēji vai pilnīgi ir piederējis valdībai, ar pretvērtības ierakstu par finanšu aktīva palielināšanu (galvenokārt likvīdi aktīvi (F.2)). Tas neietekmē vispārējās valdības neto aizdevumu/aizņēmumu (B.9).</w:t>
      </w:r>
    </w:p>
    <w:p w14:paraId="40C17FF3" w14:textId="77777777" w:rsidR="00443399" w:rsidRPr="00B03B51" w:rsidRDefault="00443399" w:rsidP="00443399">
      <w:pPr>
        <w:jc w:val="both"/>
        <w:rPr>
          <w:rFonts w:ascii="Times New Roman" w:eastAsia="Arial" w:hAnsi="Times New Roman" w:cs="Times New Roman"/>
          <w:noProof/>
          <w:sz w:val="24"/>
          <w:szCs w:val="15"/>
        </w:rPr>
      </w:pPr>
    </w:p>
    <w:p w14:paraId="5A5662C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01" w:name="5.2.2.2_Indirect_sale_of_financial_asset"/>
      <w:bookmarkEnd w:id="401"/>
      <w:r w:rsidRPr="00B03B51">
        <w:rPr>
          <w:rFonts w:ascii="Times New Roman" w:hAnsi="Times New Roman" w:cs="Times New Roman"/>
          <w:sz w:val="24"/>
        </w:rPr>
        <w:t>5.2.2.2. FINANŠU AKTĪVU NETIEŠA PĀRDOŠANA</w:t>
      </w:r>
    </w:p>
    <w:p w14:paraId="3F18031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3AAB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Arī finanšu aktīvu netieša pārdošana ir jāieraksta vispārējās valdības un iepriekš minētā uzņēmuma A finanšu kontos: tā ir akciju vai cita pašu kapitāla izņemšana no uzņēmuma A, veicot pretvērtības ierakstu finanšu aktīva palielināšanai. Tas jāievēro neatkarīgi no tā, vai uzņēmums A savai īpašniecei, t. i., valstij, nodod visus pārdošanas ieņēmumus vai to daļu. Finanšu aktīvu netieša pārdošana neietekmē vispārējās valdības neto aizdevumu/aizņēmumu </w:t>
      </w:r>
      <w:r w:rsidRPr="00B03B51">
        <w:rPr>
          <w:rFonts w:ascii="Times New Roman" w:hAnsi="Times New Roman" w:cs="Times New Roman"/>
          <w:sz w:val="24"/>
        </w:rPr>
        <w:lastRenderedPageBreak/>
        <w:t>(B.9).</w:t>
      </w:r>
    </w:p>
    <w:p w14:paraId="40DC836D" w14:textId="77777777" w:rsidR="00443399" w:rsidRPr="00B03B51" w:rsidRDefault="00443399" w:rsidP="00443399">
      <w:pPr>
        <w:jc w:val="both"/>
        <w:rPr>
          <w:rFonts w:ascii="Times New Roman" w:eastAsia="Arial" w:hAnsi="Times New Roman" w:cs="Times New Roman"/>
          <w:noProof/>
          <w:sz w:val="24"/>
          <w:szCs w:val="15"/>
        </w:rPr>
      </w:pPr>
    </w:p>
    <w:p w14:paraId="66AAC4C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02" w:name="5.2.2.3_Direct_sale_of_non-financial_ass"/>
      <w:bookmarkEnd w:id="402"/>
      <w:r w:rsidRPr="00B03B51">
        <w:rPr>
          <w:rFonts w:ascii="Times New Roman" w:hAnsi="Times New Roman" w:cs="Times New Roman"/>
          <w:sz w:val="24"/>
        </w:rPr>
        <w:t>5.2.2.3. NEFINANŠU AKTĪVU TIEŠA PĀRDOŠANA</w:t>
      </w:r>
    </w:p>
    <w:p w14:paraId="404C4B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9EDF13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Nefinanšu aktīvu tieša pārdošana jāieraksta vispārējās valdības kapitāla kontā: tā ir nefinanšu aktīvu realizācija, kas pozitīvi ietekmē vispārējās valdības neto aizdevumu/aizņēmumu (B.9). Par nefinanšu aktīviem uzskata pamatlīdzekļus, inventāru, dārgmetālus, zemi vai citus neražotus nefinanšu aktīvus.</w:t>
      </w:r>
    </w:p>
    <w:p w14:paraId="484BB754" w14:textId="77777777" w:rsidR="00443399" w:rsidRPr="00B03B51" w:rsidRDefault="00443399" w:rsidP="00443399">
      <w:pPr>
        <w:jc w:val="both"/>
        <w:rPr>
          <w:rFonts w:ascii="Times New Roman" w:eastAsia="Arial" w:hAnsi="Times New Roman" w:cs="Times New Roman"/>
          <w:noProof/>
          <w:sz w:val="24"/>
          <w:szCs w:val="15"/>
        </w:rPr>
      </w:pPr>
    </w:p>
    <w:p w14:paraId="1BC4DE0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03" w:name="5.2.2.4_Indirect_sale_of_non-financial_a"/>
      <w:bookmarkEnd w:id="403"/>
      <w:r w:rsidRPr="00B03B51">
        <w:rPr>
          <w:rFonts w:ascii="Times New Roman" w:hAnsi="Times New Roman" w:cs="Times New Roman"/>
          <w:sz w:val="24"/>
        </w:rPr>
        <w:t>5.2.2.4. NEFINANŠU AKTĪVU NETIEŠA PĀRDOŠANA</w:t>
      </w:r>
    </w:p>
    <w:p w14:paraId="6A862AC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22E5C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Nefinanšu aktīvu netiešu pārdošanu vispārējās valdības kontos ieraksta kā finanšu darījumu: tā ir akciju vai cita pašu kapitāla izņemšana no uzņēmuma A, kas daļēji vai pilnīgi ir piederējis valdībai, attiecībā uz saņemtajiem līdzekļiem veicot pretvērtības ierakstu par finanšu aktīva palielināšanu.</w:t>
      </w:r>
    </w:p>
    <w:p w14:paraId="2DD62849" w14:textId="77777777" w:rsidR="00443399" w:rsidRPr="00B03B51" w:rsidRDefault="00443399" w:rsidP="00443399">
      <w:pPr>
        <w:jc w:val="both"/>
        <w:rPr>
          <w:rFonts w:ascii="Times New Roman" w:hAnsi="Times New Roman" w:cs="Times New Roman"/>
          <w:noProof/>
          <w:sz w:val="24"/>
        </w:rPr>
      </w:pPr>
    </w:p>
    <w:p w14:paraId="0BD4515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04" w:name="5.2.2.5_Time_of_recording,_amounts_to_be"/>
      <w:bookmarkEnd w:id="404"/>
      <w:r w:rsidRPr="00B03B51">
        <w:rPr>
          <w:rFonts w:ascii="Times New Roman" w:hAnsi="Times New Roman" w:cs="Times New Roman"/>
          <w:sz w:val="24"/>
        </w:rPr>
        <w:t>5.2.2.5. IERAKSTĪŠANAS LAIKS, IERAKSTĀMĀS SUMMAS</w:t>
      </w:r>
    </w:p>
    <w:p w14:paraId="6B4026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2158A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Vispārējās valdības kontos:</w:t>
      </w:r>
    </w:p>
    <w:p w14:paraId="755254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85A882" w14:textId="77777777" w:rsidR="00443399" w:rsidRPr="00B03B51" w:rsidRDefault="00443399" w:rsidP="00500EA4">
      <w:pPr>
        <w:pStyle w:val="BodyText"/>
        <w:numPr>
          <w:ilvl w:val="0"/>
          <w:numId w:val="6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tiešas pārdošanas gadījumā darījumus ieraksta tad, kad notiek ekonomisko īpašumtiesību maiņa;</w:t>
      </w:r>
    </w:p>
    <w:p w14:paraId="0C9E8588" w14:textId="77777777" w:rsidR="00443399" w:rsidRPr="00B03B51" w:rsidRDefault="00443399" w:rsidP="00500EA4">
      <w:pPr>
        <w:pStyle w:val="BodyText"/>
        <w:numPr>
          <w:ilvl w:val="0"/>
          <w:numId w:val="6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netiešo pārdevumu gadījumos – tad, kad pārdošanas ieņēmumi tiek atmaksāti vispārējai valdībai.</w:t>
      </w:r>
    </w:p>
    <w:p w14:paraId="3875611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1A69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Ieraksta pilnas pārdošanas ieņēmumu summas (netiešas pārdošanas gadījumā atņemot jebkādas uzņēmuma īpašnieka paturētās summas) tā, kā tās ir samaksājuši pircēji: aktīvu pārdošanas gadījumā tās atbilst darījuma vērtībai atbilstīgi tam, kā noteikts EKS 2010 5.19. punktā.</w:t>
      </w:r>
    </w:p>
    <w:p w14:paraId="323CEC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642BC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Netiešas pārdošanas gadījumā ir iespējams, ka darījuma pušu iekšējā grāmatvedībā visus ieņēmumus vai dažas to daļas ieraksta kā dividendes, nodokļus vai cita veida plūsmu. Tomēr nacionālajos kontos tos ieraksta kā finanšu darījumus.</w:t>
      </w:r>
    </w:p>
    <w:p w14:paraId="2934929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E8853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Ja valdībai daļēji atmaksā netiešas pārdošanas ieņēmumus, pilno maksājumu valdībai traktē kā finanšu darījumu. Praksē šādas pārdošanas nolūkā valdībai var būt jāizmanto finanšu starpnieku pakalpojumi vai citi nefinanšu pakalpojumi. Tas īpaši attiecas uz privatizāciju. Šādu pakalpojumu izmaksas ieraksta kā starpposma patēriņu. Ja tos faktiski apmaksā no pārdošanas ieņēmumiem (samazinot valdībai pārskaitāmo summu), aprēķinu veic tā, lai kopējos pārdošanas ieņēmumus ierakstītu pirms pakalpojuma maksas ieturēšanas. Protams, ja maksājumus veic vispārējai valdībai, piemēram, kā dividendes vai nodokļus, papildus aktīvu pārdošanas ieņēmumiem, tie attiecīgā gadījumā jāieraksta konkrētajos nefinanšu darījumos.</w:t>
      </w:r>
    </w:p>
    <w:p w14:paraId="534B916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170B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Gadījums, kad daļu no pārdošanas ieņēmumiem patur uzņēmums A, ir apspriests turpmāk 5.3. nodaļā “Privatizācijas ieņēmumi no publiskām sabiedrībām”.</w:t>
      </w:r>
    </w:p>
    <w:p w14:paraId="302F14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3225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Šeit apspriestie netiešas pārdošanas gadījumi ir aktīvu pārdošana par ievērojamu summu, kas tiek atmaksāta atpakaļ vispārējai valdībai. Bieži vien šāda pārdošana ir daļa no valdības noteikta privatizācijas plāna. Tomēr uzņēmumi savas parastās darbības gaitā var pārdot dažus aktīvus un tādējādi realizēt noteiktu kapitāla pieaugumu. Šāds kapitāla pieaugums varētu tikt nodots vispārējai valdībai ar dividenžu vai īpašu nodokļu starpniecību tā, ka aktīvu pārdošanā </w:t>
      </w:r>
      <w:r w:rsidRPr="00B03B51">
        <w:rPr>
          <w:rFonts w:ascii="Times New Roman" w:hAnsi="Times New Roman" w:cs="Times New Roman"/>
          <w:sz w:val="24"/>
        </w:rPr>
        <w:lastRenderedPageBreak/>
        <w:t>gūtie ieņēmumi kļūst par daļu no valdības ieņēmumiem. Iespējamās grūtības iegūt informāciju nedrīkst būt par iemeslu tam, lai šādas plūsmas netiktu ierakstītas kā finanšu plūsmas visos gadījumos, kad tiek gūti samērā ievērojami pārdošanas ieņēmumi.</w:t>
      </w:r>
    </w:p>
    <w:p w14:paraId="33D95A24" w14:textId="77777777" w:rsidR="00443399" w:rsidRPr="00B03B51" w:rsidRDefault="00443399" w:rsidP="00443399">
      <w:pPr>
        <w:jc w:val="both"/>
        <w:rPr>
          <w:rFonts w:ascii="Times New Roman" w:eastAsia="Arial" w:hAnsi="Times New Roman" w:cs="Times New Roman"/>
          <w:noProof/>
          <w:sz w:val="24"/>
          <w:szCs w:val="18"/>
        </w:rPr>
      </w:pPr>
    </w:p>
    <w:p w14:paraId="3463DEB6"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05" w:name="5.2.3_Rationale_of_the_treatment"/>
      <w:bookmarkStart w:id="406" w:name="_Toc67565149"/>
      <w:bookmarkEnd w:id="405"/>
      <w:r w:rsidRPr="00B03B51">
        <w:rPr>
          <w:rFonts w:ascii="Times New Roman" w:hAnsi="Times New Roman" w:cs="Times New Roman"/>
          <w:sz w:val="24"/>
        </w:rPr>
        <w:t>5.2.3. Traktējuma pamatojums</w:t>
      </w:r>
      <w:bookmarkEnd w:id="406"/>
    </w:p>
    <w:p w14:paraId="7663B8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AA8B0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Noteikumu pamatojums attiecībā uz tiešo pārdošanu ir vienkāršs. Finanšu aktīvu pārdošanas noteikumi izriet no finanšu darījumu definīcijas (EKS 2010 5.01. un 5.02. punkts) un finanšu kontu definīcijas (EKS 2010 8.50. punkts). Būtībā, kad valdības bilancē notiek viena finanšu aktīva tieša apmaiņa pret citu finanšu aktīvu, nenotiek ne bagātības, ne ienākuma plūsmas pārmaiņas. Nefinanšu aktīvu pārdošanas noteikumi izriet no attiecīgo aktīvu realizācijas definīcijas un kapitāla konta definīcijas (EKS 2010, 8.46. punkts).</w:t>
      </w:r>
    </w:p>
    <w:p w14:paraId="649967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13DCA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Netiešās pārdošanas traktējuma pamatā, pirmkārt, ir fakts, ka pārdošanas ieņēmumu maksājums nav ienākuma pārvedums, bet ir bagātības/aktīvu pārvedums. Tomēr to nevar uzskatīt par kapitāla pārvedumu; šādu traktējumu nepieļauj cita kapitāla pārveduma definīcija (EKS 2010, 4.165. punkts). Turklāt šajos gadījumos maksājumus veic tikai tāpēc, ka valdībai ir īpašumtiesības uz iesaistītajiem uzņēmumiem.</w:t>
      </w:r>
    </w:p>
    <w:p w14:paraId="5103E414" w14:textId="77777777" w:rsidR="00443399" w:rsidRPr="00B03B51" w:rsidRDefault="00443399" w:rsidP="00443399">
      <w:pPr>
        <w:tabs>
          <w:tab w:val="left" w:pos="843"/>
        </w:tabs>
        <w:jc w:val="both"/>
        <w:rPr>
          <w:rFonts w:ascii="Times New Roman" w:hAnsi="Times New Roman" w:cs="Times New Roman"/>
          <w:noProof/>
          <w:sz w:val="24"/>
        </w:rPr>
      </w:pPr>
    </w:p>
    <w:p w14:paraId="1D51BA25"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16. Šis ir pamatojums kapitāla pārvedumu neiekļaušanai privatizācijas ieņēmumu maksājumā, kā norādīts EKS 2010 4.165. punkta g) apakšpunktā: </w:t>
      </w:r>
      <w:r w:rsidRPr="00B03B51">
        <w:rPr>
          <w:rFonts w:ascii="Times New Roman" w:hAnsi="Times New Roman" w:cs="Times New Roman"/>
          <w:i/>
          <w:iCs/>
          <w:sz w:val="24"/>
        </w:rPr>
        <w:t>Tomēr pretējos darījumus netieši veiktiem (piemēram, izmantojot kontrolakciju sabiedrību) privatizācijas ieņēmumu pārvedumiem vispārējai valdībai ieraksta kā finanšu darījumus ar pašu kapitālu un ieguldījumu fondu apliecībām vai daļām (F.5), un tie neietekmē vispārējās valdības neto aizdevumu/neto aizņēmumu līmeni.</w:t>
      </w:r>
    </w:p>
    <w:p w14:paraId="635EDFF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9C35F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Pārdošanas ienākumu atmaksāšana valdībai samazina uzņēmuma A aktīvus. Tas atbilst sabiedrības daļējai likvidēšanai, jo tā samazina savu neto vērtību, kam jāatspoguļojas (samazinājums) valdībai piederošā sabiedrības pašu kapitāla vērtībā. Šis netiešās privatizācijas traktējums ir jāpiemēro attiecībā uz jebkuru gadījumu, kad sabiedrība pārdod finanšu vai nefinanšu aktīvu.</w:t>
      </w:r>
    </w:p>
    <w:p w14:paraId="67223868" w14:textId="77777777" w:rsidR="00443399" w:rsidRPr="00B03B51" w:rsidRDefault="00443399" w:rsidP="00443399">
      <w:pPr>
        <w:jc w:val="both"/>
        <w:rPr>
          <w:rFonts w:ascii="Times New Roman" w:hAnsi="Times New Roman" w:cs="Times New Roman"/>
          <w:noProof/>
          <w:sz w:val="24"/>
        </w:rPr>
      </w:pPr>
    </w:p>
    <w:p w14:paraId="26DAE0F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Dividendes jēdziens nacionālajos kontos ir nepārprotams – tas ir īpašuma ienākums. Dividendēm jārodas no ienākuma plūsmām, nevis no aktīvu pārdošanas vai pārvērtēšanas. Ienākuma sadalīšana nedrīkst samazināt uzņēmuma neto bagātību / neto aktīvus. Īpašniekiem var sadalīt ienākumus no uzņēmējdarbības (EKS 2010 8.26.–8.28. punkts).</w:t>
      </w:r>
    </w:p>
    <w:p w14:paraId="35F484B9" w14:textId="77777777" w:rsidR="00443399" w:rsidRPr="00B03B51" w:rsidRDefault="00443399" w:rsidP="00443399">
      <w:pPr>
        <w:jc w:val="both"/>
        <w:rPr>
          <w:rFonts w:ascii="Times New Roman" w:eastAsia="Arial" w:hAnsi="Times New Roman" w:cs="Times New Roman"/>
          <w:noProof/>
          <w:sz w:val="24"/>
          <w:szCs w:val="18"/>
        </w:rPr>
      </w:pPr>
    </w:p>
    <w:p w14:paraId="00947AC3"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07" w:name="5.2.4_Accounting_examples"/>
      <w:bookmarkStart w:id="408" w:name="_Toc67565150"/>
      <w:bookmarkEnd w:id="407"/>
      <w:r w:rsidRPr="00B03B51">
        <w:rPr>
          <w:rFonts w:ascii="Times New Roman" w:hAnsi="Times New Roman" w:cs="Times New Roman"/>
          <w:sz w:val="24"/>
        </w:rPr>
        <w:t>5.2.4. Uzskaites piemēri</w:t>
      </w:r>
      <w:bookmarkEnd w:id="408"/>
    </w:p>
    <w:p w14:paraId="5B363E3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AFE9B3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Visos turpmāk sniegtajos piemēros pārdošanas pretvērtības plūsma ir darījums ar valūtu un noguldījumiem (AF.2). Uzņēmumu, kura akcijas vai citu pašu kapitālu pārdod vispārējā valdība vai no kura tā saņem šādus pārdošanas ieņēmumus, dēvē par publisku uzņēmumu.</w:t>
      </w:r>
    </w:p>
    <w:p w14:paraId="2495E90C" w14:textId="77777777" w:rsidR="00443399" w:rsidRPr="00B03B51" w:rsidRDefault="00443399" w:rsidP="00443399">
      <w:pPr>
        <w:jc w:val="both"/>
        <w:rPr>
          <w:rFonts w:ascii="Times New Roman" w:eastAsia="Arial" w:hAnsi="Times New Roman" w:cs="Times New Roman"/>
          <w:noProof/>
          <w:sz w:val="24"/>
          <w:szCs w:val="18"/>
        </w:rPr>
      </w:pPr>
    </w:p>
    <w:p w14:paraId="261A3732"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lastRenderedPageBreak/>
        <w:t>Finanšu aktīvu tieša pārdošana</w:t>
      </w:r>
    </w:p>
    <w:p w14:paraId="56C437BA" w14:textId="77777777" w:rsidR="00443399" w:rsidRPr="00B03B51" w:rsidRDefault="00443399" w:rsidP="00443399">
      <w:pPr>
        <w:keepNext/>
        <w:jc w:val="both"/>
        <w:rPr>
          <w:rFonts w:ascii="Times New Roman" w:eastAsia="Arial" w:hAnsi="Times New Roman" w:cs="Times New Roman"/>
          <w:b/>
          <w:bCs/>
          <w:noProof/>
          <w:sz w:val="24"/>
          <w:szCs w:val="20"/>
        </w:rPr>
      </w:pPr>
    </w:p>
    <w:p w14:paraId="409ACE1C" w14:textId="77777777" w:rsidR="00443399" w:rsidRPr="00B03B51" w:rsidRDefault="00443399" w:rsidP="00443399">
      <w:pPr>
        <w:keepNext/>
        <w:jc w:val="center"/>
        <w:rPr>
          <w:rFonts w:ascii="Times New Roman" w:eastAsia="Arial" w:hAnsi="Times New Roman" w:cs="Times New Roman"/>
          <w:b/>
          <w:bCs/>
          <w:noProof/>
          <w:sz w:val="24"/>
          <w:szCs w:val="21"/>
        </w:rPr>
      </w:pPr>
      <w:r w:rsidRPr="00B03B51">
        <w:rPr>
          <w:rFonts w:ascii="Times New Roman" w:hAnsi="Times New Roman" w:cs="Times New Roman"/>
          <w:noProof/>
        </w:rPr>
        <w:drawing>
          <wp:inline distT="0" distB="0" distL="0" distR="0" wp14:anchorId="4971E5BD" wp14:editId="31875209">
            <wp:extent cx="5756275" cy="2713990"/>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6275" cy="2713990"/>
                    </a:xfrm>
                    <a:prstGeom prst="rect">
                      <a:avLst/>
                    </a:prstGeom>
                  </pic:spPr>
                </pic:pic>
              </a:graphicData>
            </a:graphic>
          </wp:inline>
        </w:drawing>
      </w:r>
    </w:p>
    <w:p w14:paraId="0DE1E576" w14:textId="77777777" w:rsidR="00443399" w:rsidRPr="00B03B51" w:rsidRDefault="00443399" w:rsidP="00443399">
      <w:pPr>
        <w:jc w:val="both"/>
        <w:rPr>
          <w:rFonts w:ascii="Times New Roman" w:eastAsia="Arial" w:hAnsi="Times New Roman" w:cs="Times New Roman"/>
          <w:b/>
          <w:bCs/>
          <w:noProof/>
          <w:sz w:val="24"/>
          <w:szCs w:val="21"/>
        </w:rPr>
      </w:pPr>
    </w:p>
    <w:p w14:paraId="2E2C98D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aktīvu netieša pārdošana</w:t>
      </w:r>
    </w:p>
    <w:p w14:paraId="7FEF3F32" w14:textId="77777777" w:rsidR="00443399" w:rsidRPr="00B03B51" w:rsidRDefault="00443399" w:rsidP="00443399">
      <w:pPr>
        <w:jc w:val="both"/>
        <w:rPr>
          <w:rFonts w:ascii="Times New Roman" w:eastAsia="Arial" w:hAnsi="Times New Roman" w:cs="Times New Roman"/>
          <w:b/>
          <w:bCs/>
          <w:noProof/>
          <w:sz w:val="24"/>
          <w:szCs w:val="21"/>
        </w:rPr>
      </w:pPr>
    </w:p>
    <w:p w14:paraId="185866FD" w14:textId="77777777" w:rsidR="00443399" w:rsidRPr="00B03B51" w:rsidRDefault="00443399" w:rsidP="00443399">
      <w:pPr>
        <w:jc w:val="center"/>
        <w:rPr>
          <w:rFonts w:ascii="Times New Roman" w:eastAsia="Arial" w:hAnsi="Times New Roman" w:cs="Times New Roman"/>
          <w:b/>
          <w:bCs/>
          <w:noProof/>
          <w:sz w:val="24"/>
          <w:szCs w:val="21"/>
        </w:rPr>
      </w:pPr>
      <w:r w:rsidRPr="00B03B51">
        <w:rPr>
          <w:rFonts w:ascii="Times New Roman" w:hAnsi="Times New Roman" w:cs="Times New Roman"/>
          <w:noProof/>
        </w:rPr>
        <w:drawing>
          <wp:inline distT="0" distB="0" distL="0" distR="0" wp14:anchorId="2F62FCF6" wp14:editId="038F2D1B">
            <wp:extent cx="5756275" cy="2819400"/>
            <wp:effectExtent l="0" t="0" r="0"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6275" cy="2819400"/>
                    </a:xfrm>
                    <a:prstGeom prst="rect">
                      <a:avLst/>
                    </a:prstGeom>
                  </pic:spPr>
                </pic:pic>
              </a:graphicData>
            </a:graphic>
          </wp:inline>
        </w:drawing>
      </w:r>
    </w:p>
    <w:p w14:paraId="1273BB46" w14:textId="77777777" w:rsidR="00443399" w:rsidRPr="00B03B51" w:rsidRDefault="00443399" w:rsidP="00443399">
      <w:pPr>
        <w:jc w:val="both"/>
        <w:rPr>
          <w:rFonts w:ascii="Times New Roman" w:hAnsi="Times New Roman" w:cs="Times New Roman"/>
          <w:b/>
          <w:noProof/>
          <w:sz w:val="24"/>
        </w:rPr>
      </w:pPr>
    </w:p>
    <w:p w14:paraId="7CE42B37"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lastRenderedPageBreak/>
        <w:t>Nefinanšu aktīvu tieša pārdošana</w:t>
      </w:r>
    </w:p>
    <w:p w14:paraId="585AE56C" w14:textId="77777777" w:rsidR="00443399" w:rsidRPr="00B03B51" w:rsidRDefault="00443399" w:rsidP="00443399">
      <w:pPr>
        <w:keepNext/>
        <w:jc w:val="both"/>
        <w:rPr>
          <w:rFonts w:ascii="Times New Roman" w:eastAsia="Arial" w:hAnsi="Times New Roman" w:cs="Times New Roman"/>
          <w:b/>
          <w:bCs/>
          <w:noProof/>
          <w:sz w:val="24"/>
          <w:szCs w:val="20"/>
        </w:rPr>
      </w:pPr>
    </w:p>
    <w:p w14:paraId="32205799" w14:textId="77777777" w:rsidR="00443399" w:rsidRPr="00B03B51" w:rsidRDefault="00443399" w:rsidP="00443399">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26C22014" wp14:editId="00556CBF">
            <wp:extent cx="3048000" cy="4238625"/>
            <wp:effectExtent l="0" t="0" r="0" b="9525"/>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48000" cy="4238625"/>
                    </a:xfrm>
                    <a:prstGeom prst="rect">
                      <a:avLst/>
                    </a:prstGeom>
                  </pic:spPr>
                </pic:pic>
              </a:graphicData>
            </a:graphic>
          </wp:inline>
        </w:drawing>
      </w:r>
    </w:p>
    <w:p w14:paraId="1DCD499F" w14:textId="77777777" w:rsidR="00443399" w:rsidRPr="00B03B51" w:rsidRDefault="00443399" w:rsidP="00443399">
      <w:pPr>
        <w:jc w:val="both"/>
        <w:rPr>
          <w:rFonts w:ascii="Times New Roman" w:eastAsia="Arial" w:hAnsi="Times New Roman" w:cs="Times New Roman"/>
          <w:b/>
          <w:bCs/>
          <w:noProof/>
          <w:sz w:val="24"/>
          <w:szCs w:val="20"/>
        </w:rPr>
      </w:pPr>
    </w:p>
    <w:p w14:paraId="678E25B6" w14:textId="77777777" w:rsidR="00443399" w:rsidRPr="00B03B51" w:rsidRDefault="00443399" w:rsidP="00395F44">
      <w:pPr>
        <w:keepNext/>
        <w:jc w:val="both"/>
        <w:rPr>
          <w:rFonts w:ascii="Times New Roman" w:hAnsi="Times New Roman" w:cs="Times New Roman"/>
          <w:b/>
          <w:noProof/>
          <w:sz w:val="24"/>
        </w:rPr>
      </w:pPr>
      <w:r w:rsidRPr="00B03B51">
        <w:rPr>
          <w:rFonts w:ascii="Times New Roman" w:hAnsi="Times New Roman" w:cs="Times New Roman"/>
          <w:b/>
          <w:sz w:val="24"/>
        </w:rPr>
        <w:lastRenderedPageBreak/>
        <w:t>Nefinanšu aktīvu netieša pārdošana</w:t>
      </w:r>
    </w:p>
    <w:p w14:paraId="5349A5DC" w14:textId="77777777" w:rsidR="00443399" w:rsidRPr="00B03B51" w:rsidRDefault="00443399" w:rsidP="00395F44">
      <w:pPr>
        <w:keepNext/>
        <w:jc w:val="both"/>
        <w:rPr>
          <w:rFonts w:ascii="Times New Roman" w:eastAsia="Arial" w:hAnsi="Times New Roman" w:cs="Times New Roman"/>
          <w:b/>
          <w:bCs/>
          <w:noProof/>
          <w:sz w:val="24"/>
          <w:szCs w:val="18"/>
        </w:rPr>
      </w:pPr>
    </w:p>
    <w:p w14:paraId="4B6CD498" w14:textId="77777777" w:rsidR="00443399" w:rsidRPr="00B03B51" w:rsidRDefault="00443399" w:rsidP="00395F44">
      <w:pPr>
        <w:keepNext/>
        <w:jc w:val="center"/>
        <w:rPr>
          <w:rFonts w:ascii="Times New Roman" w:eastAsia="Arial" w:hAnsi="Times New Roman" w:cs="Times New Roman"/>
          <w:b/>
          <w:bCs/>
          <w:noProof/>
          <w:sz w:val="24"/>
          <w:szCs w:val="18"/>
        </w:rPr>
      </w:pPr>
      <w:r w:rsidRPr="00B03B51">
        <w:rPr>
          <w:rFonts w:ascii="Times New Roman" w:hAnsi="Times New Roman" w:cs="Times New Roman"/>
          <w:noProof/>
        </w:rPr>
        <w:drawing>
          <wp:inline distT="0" distB="0" distL="0" distR="0" wp14:anchorId="683987D1" wp14:editId="021C521F">
            <wp:extent cx="5756275" cy="4199890"/>
            <wp:effectExtent l="0" t="0" r="0"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6275" cy="4199890"/>
                    </a:xfrm>
                    <a:prstGeom prst="rect">
                      <a:avLst/>
                    </a:prstGeom>
                  </pic:spPr>
                </pic:pic>
              </a:graphicData>
            </a:graphic>
          </wp:inline>
        </w:drawing>
      </w:r>
    </w:p>
    <w:p w14:paraId="2CFB0BB0" w14:textId="77777777" w:rsidR="00500EA4" w:rsidRPr="00B03B51" w:rsidRDefault="00500EA4">
      <w:pPr>
        <w:widowControl/>
        <w:spacing w:after="160" w:line="259" w:lineRule="auto"/>
        <w:rPr>
          <w:rFonts w:ascii="Times New Roman" w:eastAsia="Arial" w:hAnsi="Times New Roman" w:cs="Times New Roman"/>
          <w:b/>
          <w:bCs/>
          <w:sz w:val="24"/>
          <w:szCs w:val="40"/>
        </w:rPr>
      </w:pPr>
      <w:bookmarkStart w:id="409" w:name="5.3_Privatisation_proceeds_from_public_c"/>
      <w:bookmarkStart w:id="410" w:name="_bookmark42"/>
      <w:bookmarkStart w:id="411" w:name="_Toc67565151"/>
      <w:bookmarkEnd w:id="409"/>
      <w:bookmarkEnd w:id="410"/>
      <w:r w:rsidRPr="00B03B51">
        <w:rPr>
          <w:rFonts w:ascii="Times New Roman" w:hAnsi="Times New Roman" w:cs="Times New Roman"/>
          <w:sz w:val="24"/>
        </w:rPr>
        <w:br w:type="page"/>
      </w:r>
    </w:p>
    <w:p w14:paraId="7DF6E0F4" w14:textId="4C38755B"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r w:rsidRPr="00B03B51">
        <w:rPr>
          <w:rFonts w:ascii="Times New Roman" w:hAnsi="Times New Roman" w:cs="Times New Roman"/>
          <w:sz w:val="28"/>
          <w:szCs w:val="44"/>
        </w:rPr>
        <w:lastRenderedPageBreak/>
        <w:t>5.3. Privatizācijas ieņēmumi no publiskām sabiedrībām</w:t>
      </w:r>
      <w:bookmarkEnd w:id="411"/>
    </w:p>
    <w:p w14:paraId="0320F1AC" w14:textId="77777777" w:rsidR="00443399" w:rsidRPr="00B03B51" w:rsidRDefault="00443399" w:rsidP="00443399">
      <w:pPr>
        <w:tabs>
          <w:tab w:val="left" w:pos="1267"/>
        </w:tabs>
        <w:jc w:val="both"/>
        <w:rPr>
          <w:rFonts w:ascii="Times New Roman" w:hAnsi="Times New Roman" w:cs="Times New Roman"/>
          <w:b/>
          <w:noProof/>
          <w:sz w:val="24"/>
        </w:rPr>
      </w:pPr>
      <w:bookmarkStart w:id="412" w:name="5.3.1_Background"/>
      <w:bookmarkEnd w:id="412"/>
    </w:p>
    <w:p w14:paraId="21E3FEDF" w14:textId="77777777" w:rsidR="00443399" w:rsidRPr="00BE27DC" w:rsidRDefault="00443399" w:rsidP="00BE27DC">
      <w:pPr>
        <w:pStyle w:val="Heading3"/>
        <w:keepNext/>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5.3.1. Vispārīga informācija</w:t>
      </w:r>
    </w:p>
    <w:p w14:paraId="42B56B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D70C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Dažās ES dalībvalstīs valdības ir izveidojušas centrālos birojus</w:t>
      </w:r>
      <w:r w:rsidRPr="00B03B51">
        <w:rPr>
          <w:rStyle w:val="FootnoteReference"/>
          <w:rFonts w:ascii="Times New Roman" w:hAnsi="Times New Roman" w:cs="Times New Roman"/>
          <w:noProof/>
          <w:sz w:val="24"/>
        </w:rPr>
        <w:footnoteReference w:id="185"/>
      </w:r>
      <w:r w:rsidRPr="00B03B51">
        <w:rPr>
          <w:rFonts w:ascii="Times New Roman" w:hAnsi="Times New Roman" w:cs="Times New Roman"/>
          <w:sz w:val="24"/>
        </w:rPr>
        <w:t xml:space="preserve"> atbilstīgi EKS 2010, kas vadītu un pārvaldītu komercuzņēmumu un kuru mērķi ir saistīti ar peļņas gūšanu un konkurēšanu tirgū. Šajā saistībā tie var pārstrukturēt grupu. Līdz ar to tie var organizēt privatizāciju un nodot citām publiskām sabiedrībām ieņēmumus no akciju pārdošanas (kas pieder vai nepieder centrālajam birojam), piešķirot dotācijas, aizdevumus vai veicot kapitāla iepludināšanu.</w:t>
      </w:r>
    </w:p>
    <w:p w14:paraId="091430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6A118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Citās valstīs šādas funkcijas var būt piešķirtas vienībām, kas pastāv jau ilgu laiku. Tas varētu attiekties arī uz gadījumiem, kad līdzekļus (tostarp akcijas un citu pašu kapitālu) pārvalda valdībai vai, iespējams, Eiropas iestādēm (struktūrfondu vai Kohēzijas fonda gadījumā) piederoši publiski subjekti, piemēram, reģionālās attīstības aģentūras.</w:t>
      </w:r>
    </w:p>
    <w:p w14:paraId="4D2703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AECB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Galvenais jautājums ir šāds: kurā atbilstošā sektorā jāklasificē šāda vienība, kas vada privatizāciju un, iespējams, piešķir dotācijas citiem uzņēmumiem, un vai var uzskatīt, ka šāda darbība tiek veikta valdības vārdā?</w:t>
      </w:r>
    </w:p>
    <w:p w14:paraId="08CFF22C" w14:textId="77777777" w:rsidR="00443399" w:rsidRPr="00B03B51" w:rsidRDefault="00443399" w:rsidP="00443399">
      <w:pPr>
        <w:jc w:val="both"/>
        <w:rPr>
          <w:rFonts w:ascii="Times New Roman" w:eastAsia="Arial" w:hAnsi="Times New Roman" w:cs="Times New Roman"/>
          <w:noProof/>
          <w:sz w:val="24"/>
          <w:szCs w:val="18"/>
        </w:rPr>
      </w:pPr>
    </w:p>
    <w:p w14:paraId="2C8A3277" w14:textId="77777777" w:rsidR="00443399" w:rsidRPr="00B03B51" w:rsidRDefault="00443399" w:rsidP="00395F44">
      <w:pPr>
        <w:pStyle w:val="Heading3"/>
        <w:keepNext/>
        <w:tabs>
          <w:tab w:val="left" w:pos="1267"/>
        </w:tabs>
        <w:ind w:left="0" w:firstLine="0"/>
        <w:jc w:val="both"/>
        <w:rPr>
          <w:rFonts w:ascii="Times New Roman" w:hAnsi="Times New Roman" w:cs="Times New Roman"/>
          <w:noProof/>
          <w:sz w:val="24"/>
        </w:rPr>
      </w:pPr>
      <w:bookmarkStart w:id="413" w:name="5.3.2_Treatment_in_national_accounts"/>
      <w:bookmarkStart w:id="414" w:name="_Toc67565152"/>
      <w:bookmarkEnd w:id="413"/>
      <w:r w:rsidRPr="00B03B51">
        <w:rPr>
          <w:rFonts w:ascii="Times New Roman" w:hAnsi="Times New Roman" w:cs="Times New Roman"/>
          <w:sz w:val="24"/>
        </w:rPr>
        <w:t>5.3.2. Traktējums nacionālajos kontos</w:t>
      </w:r>
      <w:bookmarkEnd w:id="414"/>
    </w:p>
    <w:p w14:paraId="4CBEC6B6" w14:textId="77777777" w:rsidR="00443399" w:rsidRPr="00B03B51" w:rsidRDefault="00443399" w:rsidP="00395F44">
      <w:pPr>
        <w:pStyle w:val="BodyText"/>
        <w:keepNext/>
        <w:tabs>
          <w:tab w:val="left" w:pos="843"/>
        </w:tabs>
        <w:spacing w:before="0"/>
        <w:ind w:left="0" w:firstLine="0"/>
        <w:jc w:val="both"/>
        <w:rPr>
          <w:rFonts w:ascii="Times New Roman" w:hAnsi="Times New Roman" w:cs="Times New Roman"/>
          <w:noProof/>
          <w:sz w:val="24"/>
        </w:rPr>
      </w:pPr>
    </w:p>
    <w:p w14:paraId="4DDA18E5" w14:textId="77777777" w:rsidR="00443399" w:rsidRPr="00B03B51" w:rsidRDefault="00443399" w:rsidP="00395F44">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Pastāv trīs iespējas.</w:t>
      </w:r>
    </w:p>
    <w:p w14:paraId="42F9EECB"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094AC74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Publisks centrālais birojs ir tirgus vienība, kas pārskaita līdzekļus grupas iekšienē atbilstoši grupas saimnieciskās darbības stratēģijai tāpat, kā to darītu privāta sabiedrība.</w:t>
      </w:r>
    </w:p>
    <w:p w14:paraId="14CBA6FE"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63D21A97"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Valdības kontos darījums netiek ierakstīts.</w:t>
      </w:r>
    </w:p>
    <w:p w14:paraId="0E52F52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1F940BB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Publisks centrālais birojs ir tirgus vienība, un tā pārvieto finanšu līdzekļus grupā, lai atbalstītu zaudējumus radošās darbības, kuras ir skaidri norādītas kā tādas, kas izriet no valdības ekonomiskās un sociālās politikas, attiecīgajiem subjektiem rīkojoties valdības vārdā un saskaņā ar apliecinātiem norādījumiem.</w:t>
      </w:r>
    </w:p>
    <w:p w14:paraId="0D928C48"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4A1C51FD"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Darījumi tiek novirzīti caur valdību.</w:t>
      </w:r>
    </w:p>
    <w:p w14:paraId="3B823AB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0E13563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3. Publisks centrālais birojs ir tirgus vienība, kas valdības vārdā sniedz dotācijas un subsīdijas vienībām ārpus grupas.</w:t>
      </w:r>
    </w:p>
    <w:p w14:paraId="16DF9716"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AB3DA52"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Visi darījumi tiek pārvirzīti caur valdību.</w:t>
      </w:r>
    </w:p>
    <w:p w14:paraId="00CB3F87" w14:textId="77777777" w:rsidR="00443399" w:rsidRPr="00B03B51" w:rsidRDefault="00443399" w:rsidP="00443399">
      <w:pPr>
        <w:jc w:val="both"/>
        <w:rPr>
          <w:rFonts w:ascii="Times New Roman" w:eastAsia="Arial" w:hAnsi="Times New Roman" w:cs="Times New Roman"/>
          <w:noProof/>
          <w:sz w:val="24"/>
          <w:szCs w:val="20"/>
        </w:rPr>
      </w:pPr>
    </w:p>
    <w:p w14:paraId="1050D951"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15" w:name="5.3.3_Rationale_of_the_treatment"/>
      <w:bookmarkStart w:id="416" w:name="_Toc67565153"/>
      <w:bookmarkEnd w:id="415"/>
      <w:r w:rsidRPr="00B03B51">
        <w:rPr>
          <w:rFonts w:ascii="Times New Roman" w:hAnsi="Times New Roman" w:cs="Times New Roman"/>
          <w:sz w:val="24"/>
        </w:rPr>
        <w:t>5.3.3. Traktējuma pamatojums</w:t>
      </w:r>
      <w:bookmarkEnd w:id="416"/>
    </w:p>
    <w:p w14:paraId="08AD9F8B" w14:textId="77777777" w:rsidR="00443399" w:rsidRPr="00B03B51" w:rsidRDefault="00443399" w:rsidP="00443399">
      <w:pPr>
        <w:tabs>
          <w:tab w:val="left" w:pos="843"/>
        </w:tabs>
        <w:jc w:val="both"/>
        <w:rPr>
          <w:rFonts w:ascii="Times New Roman" w:hAnsi="Times New Roman" w:cs="Times New Roman"/>
          <w:noProof/>
          <w:sz w:val="24"/>
        </w:rPr>
      </w:pPr>
    </w:p>
    <w:p w14:paraId="07CE4F6F" w14:textId="77777777" w:rsidR="00443399" w:rsidRPr="00B03B51" w:rsidRDefault="00443399" w:rsidP="00443399">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5. EKS 2010 2.14. punktā ir noteikts: </w:t>
      </w:r>
      <w:r w:rsidRPr="00B03B51">
        <w:rPr>
          <w:rFonts w:ascii="Times New Roman" w:hAnsi="Times New Roman" w:cs="Times New Roman"/>
          <w:i/>
          <w:iCs/>
          <w:sz w:val="24"/>
        </w:rPr>
        <w:t>Centrālais birojs ir vienība, kas pārvalda savus meitasuzņēmumus.</w:t>
      </w:r>
      <w:r w:rsidRPr="00B03B51">
        <w:rPr>
          <w:rFonts w:ascii="Times New Roman" w:hAnsi="Times New Roman" w:cs="Times New Roman"/>
          <w:sz w:val="24"/>
        </w:rPr>
        <w:t xml:space="preserve"> Parasti centrālos birojus atbilstoši grupas galvenajam darbības veidam var uzskatīt par nefinanšu vai finanšu tirgus ražotājiem.</w:t>
      </w:r>
    </w:p>
    <w:p w14:paraId="10CA0C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24BDB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Problēma rodas tad, kad centrālais birojs īsteno attīstības stratēģiju attiecībā uz savām meitasvienībām (atbilstīgi grupas ilgtermiņa plānam) un veic arī dažu grupā ietilpstošu </w:t>
      </w:r>
      <w:r w:rsidRPr="00B03B51">
        <w:rPr>
          <w:rFonts w:ascii="Times New Roman" w:hAnsi="Times New Roman" w:cs="Times New Roman"/>
          <w:sz w:val="24"/>
        </w:rPr>
        <w:lastRenderedPageBreak/>
        <w:t>sabiedrību pārstrukturēšanu un īpašumtiesību statusa maiņu, kā arī organizē finanšu līdzekļu pārvedumus starp šīm vienībām un ienākumu un bagātības pārdali.</w:t>
      </w:r>
    </w:p>
    <w:p w14:paraId="233EDE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EBC1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Šāds publiskā sektora reorganizācijas projekts, kas ietver aktīvu pārvaldību un ienākumu un bagātības pārdali, ir tieša centrālās valdības makroekonomiskās stratēģijas ieviešana. Daudzās ES dalībvalstīs to bieži īsteno (vai īstenoja) pati Valsts kase. Šeit aplūkotajā gadījumā Valsts kase izmanto starpnieku, kam jāpārvalda valsts aktīvi un jāpārdala līdzekļi īstermiņā vai vidējā termiņā.</w:t>
      </w:r>
    </w:p>
    <w:p w14:paraId="1868C676" w14:textId="77777777" w:rsidR="00443399" w:rsidRPr="00B03B51" w:rsidRDefault="00443399" w:rsidP="00443399">
      <w:pPr>
        <w:jc w:val="both"/>
        <w:rPr>
          <w:rFonts w:ascii="Times New Roman" w:eastAsia="Arial" w:hAnsi="Times New Roman" w:cs="Times New Roman"/>
          <w:noProof/>
          <w:sz w:val="24"/>
          <w:szCs w:val="14"/>
        </w:rPr>
      </w:pPr>
    </w:p>
    <w:p w14:paraId="069253B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Šāda darbība jāuzskata par aktīvu pārvaldību valdības vārdā ar nolūku īstenot valsts politikas mērķus.</w:t>
      </w:r>
    </w:p>
    <w:p w14:paraId="36A26B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0F370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Var rasties pretrunas starp vienību savstarpējo attiecību un darījumu ekonomisko būtību, kā arī starp šo vienību juridisko pārstāvniecību un to savstarpējām attiecībām. Daži EKS 2010 noteikumi (jo īpaši 1. nodaļā) pieļauj statistikas traktējumu, kas var atšķirties no tiesiskā regulējuma.</w:t>
      </w:r>
    </w:p>
    <w:p w14:paraId="32BFA67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612A25" w14:textId="77777777" w:rsidR="00443399" w:rsidRPr="00B03B51" w:rsidRDefault="00443399" w:rsidP="00500EA4">
      <w:pPr>
        <w:numPr>
          <w:ilvl w:val="0"/>
          <w:numId w:val="59"/>
        </w:numPr>
        <w:ind w:left="426" w:hanging="425"/>
        <w:jc w:val="both"/>
        <w:rPr>
          <w:rFonts w:ascii="Times New Roman" w:hAnsi="Times New Roman" w:cs="Times New Roman"/>
          <w:b/>
          <w:noProof/>
          <w:sz w:val="24"/>
        </w:rPr>
      </w:pPr>
      <w:r w:rsidRPr="00B03B51">
        <w:rPr>
          <w:rFonts w:ascii="Times New Roman" w:hAnsi="Times New Roman" w:cs="Times New Roman"/>
          <w:b/>
          <w:sz w:val="24"/>
        </w:rPr>
        <w:t>EKS 2010 1.72. punkts. Pārkārtoti darījumi</w:t>
      </w:r>
    </w:p>
    <w:p w14:paraId="139AB944" w14:textId="77777777" w:rsidR="00443399" w:rsidRPr="00B03B51" w:rsidRDefault="00443399" w:rsidP="00500EA4">
      <w:pPr>
        <w:ind w:left="426"/>
        <w:jc w:val="both"/>
        <w:rPr>
          <w:rFonts w:ascii="Times New Roman" w:eastAsia="Arial" w:hAnsi="Times New Roman" w:cs="Times New Roman"/>
          <w:noProof/>
          <w:sz w:val="24"/>
          <w:szCs w:val="19"/>
        </w:rPr>
      </w:pPr>
      <w:r w:rsidRPr="00B03B51">
        <w:rPr>
          <w:rFonts w:ascii="Times New Roman" w:hAnsi="Times New Roman" w:cs="Times New Roman"/>
          <w:i/>
          <w:sz w:val="24"/>
        </w:rPr>
        <w:t xml:space="preserve">(..) dažus darījumus pārkārto, lai skaidrāk izceltu noteicošās ekonomiskās attiecības. </w:t>
      </w:r>
      <w:r w:rsidRPr="00B03B51">
        <w:rPr>
          <w:rFonts w:ascii="Times New Roman" w:hAnsi="Times New Roman" w:cs="Times New Roman"/>
          <w:i/>
          <w:iCs/>
          <w:sz w:val="24"/>
        </w:rPr>
        <w:t>Darījumus var pārkārtot šādos trijos veidos: pārvirzot, sadalot, atpazīstot galveno darītāju.</w:t>
      </w:r>
    </w:p>
    <w:p w14:paraId="31C227DE" w14:textId="77777777" w:rsidR="00443399" w:rsidRPr="00B03B51" w:rsidRDefault="00443399" w:rsidP="00500EA4">
      <w:pPr>
        <w:numPr>
          <w:ilvl w:val="0"/>
          <w:numId w:val="59"/>
        </w:numPr>
        <w:ind w:left="426" w:hanging="425"/>
        <w:jc w:val="both"/>
        <w:rPr>
          <w:rFonts w:ascii="Times New Roman" w:hAnsi="Times New Roman" w:cs="Times New Roman"/>
          <w:b/>
          <w:noProof/>
          <w:sz w:val="24"/>
        </w:rPr>
      </w:pPr>
      <w:r w:rsidRPr="00B03B51">
        <w:rPr>
          <w:rFonts w:ascii="Times New Roman" w:hAnsi="Times New Roman" w:cs="Times New Roman"/>
          <w:b/>
          <w:sz w:val="24"/>
        </w:rPr>
        <w:t>EKS 2010 1.75. punkts. Pārvirzīšana</w:t>
      </w:r>
    </w:p>
    <w:p w14:paraId="0080320A" w14:textId="77777777" w:rsidR="00443399" w:rsidRPr="00B03B51" w:rsidRDefault="00443399" w:rsidP="00500EA4">
      <w:pPr>
        <w:ind w:left="426"/>
        <w:jc w:val="both"/>
        <w:rPr>
          <w:rFonts w:ascii="Times New Roman" w:hAnsi="Times New Roman" w:cs="Times New Roman"/>
          <w:i/>
          <w:noProof/>
          <w:sz w:val="24"/>
        </w:rPr>
      </w:pPr>
      <w:r w:rsidRPr="00B03B51">
        <w:rPr>
          <w:rFonts w:ascii="Times New Roman" w:hAnsi="Times New Roman" w:cs="Times New Roman"/>
          <w:i/>
          <w:sz w:val="24"/>
        </w:rPr>
        <w:t>(..) Cits pārvirzīšanas veids attiecas uz darījumiem, ko ieraksta kā darījumus starp divām vai vairākām institucionālām vienībām, kaut gan saskaņā ar iesaistīto personu viedokli nekāds darījums vispār nenotiek.</w:t>
      </w:r>
    </w:p>
    <w:p w14:paraId="510C5A8F" w14:textId="77777777" w:rsidR="00443399" w:rsidRPr="00B03B51" w:rsidRDefault="00443399" w:rsidP="00500EA4">
      <w:pPr>
        <w:numPr>
          <w:ilvl w:val="0"/>
          <w:numId w:val="59"/>
        </w:numPr>
        <w:ind w:left="426" w:hanging="425"/>
        <w:jc w:val="both"/>
        <w:rPr>
          <w:rFonts w:ascii="Times New Roman" w:hAnsi="Times New Roman" w:cs="Times New Roman"/>
          <w:b/>
          <w:noProof/>
          <w:sz w:val="24"/>
        </w:rPr>
      </w:pPr>
      <w:r w:rsidRPr="00B03B51">
        <w:rPr>
          <w:rFonts w:ascii="Times New Roman" w:hAnsi="Times New Roman" w:cs="Times New Roman"/>
          <w:b/>
          <w:sz w:val="24"/>
        </w:rPr>
        <w:t>EKS 2010 1.78. punkts. Galvenā darītāja atpazīšana</w:t>
      </w:r>
    </w:p>
    <w:p w14:paraId="61FB113D" w14:textId="77777777" w:rsidR="00443399" w:rsidRPr="00B03B51" w:rsidRDefault="00443399" w:rsidP="00500EA4">
      <w:pPr>
        <w:ind w:left="426"/>
        <w:jc w:val="both"/>
        <w:rPr>
          <w:rFonts w:ascii="Times New Roman" w:hAnsi="Times New Roman" w:cs="Times New Roman"/>
          <w:i/>
          <w:noProof/>
          <w:sz w:val="24"/>
        </w:rPr>
      </w:pPr>
      <w:r w:rsidRPr="00B03B51">
        <w:rPr>
          <w:rFonts w:ascii="Times New Roman" w:hAnsi="Times New Roman" w:cs="Times New Roman"/>
          <w:i/>
          <w:sz w:val="24"/>
        </w:rPr>
        <w:t>Ja vienība veic darījumu citas vienības vārdā (galvenais darītājs) un saņem finansējumu no šīs vienības, darījumu ieraksta tikai galvenā darītāja kontos.</w:t>
      </w:r>
    </w:p>
    <w:p w14:paraId="77D14F09" w14:textId="77777777" w:rsidR="00443399" w:rsidRPr="00B03B51" w:rsidRDefault="00443399" w:rsidP="00443399">
      <w:pPr>
        <w:tabs>
          <w:tab w:val="left" w:pos="843"/>
        </w:tabs>
        <w:jc w:val="both"/>
        <w:rPr>
          <w:rFonts w:ascii="Times New Roman" w:hAnsi="Times New Roman" w:cs="Times New Roman"/>
          <w:noProof/>
          <w:sz w:val="24"/>
        </w:rPr>
      </w:pPr>
    </w:p>
    <w:p w14:paraId="33D21278"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10. Šīs norādes izriet no vispārēja principa, saskaņā ar kuru </w:t>
      </w:r>
      <w:r w:rsidRPr="00B03B51">
        <w:rPr>
          <w:rFonts w:ascii="Times New Roman" w:hAnsi="Times New Roman" w:cs="Times New Roman"/>
          <w:i/>
          <w:iCs/>
          <w:sz w:val="24"/>
        </w:rPr>
        <w:t>nacionālo kontu pamatprincipi paredz, ka visus darījumus, kas rodas dažādos juridiskos apstākļos, bet kam ir vienādas ekonomiskās sekas, ieraksta vienādi</w:t>
      </w:r>
      <w:r w:rsidRPr="00B03B51">
        <w:rPr>
          <w:rFonts w:ascii="Times New Roman" w:hAnsi="Times New Roman" w:cs="Times New Roman"/>
          <w:sz w:val="24"/>
        </w:rPr>
        <w:t>.</w:t>
      </w:r>
    </w:p>
    <w:p w14:paraId="1D1B455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40A4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Plūsmu (aktīvu pārdošanā gūtie ieņēmumi un maksājumi publiskām sabiedrībām) pārvirzīšanai ir nozīme vienīgi tad, ja tikai nelielu daļu no tās darbības veido darbība valdības vārdā, kura tiek veikta ar nolūku īstenot valsts politikas mērķus (privatizācija, atbalsts publiskām sabiedrībām u. c.). Pretējā gadījumā tas nozīmētu, ka vienību (vairs) nevar uzskatīt par tirgus ražotāju un tā ir jā(pār)klasificē valdības sektorā. Šajā saistībā nozīme ir tam, vai maksājums tiek ierakstīts kā valdības dotācijas vai kā cita veida darījumi.</w:t>
      </w:r>
    </w:p>
    <w:p w14:paraId="5CE07C1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B04CA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Ja notiek finanšu darījums (piemēram, aizdevums) ar publisku sabiedrību, darījumu vispirms var ierakstīt kā darījumu starp valdību un publisku kontrolakciju sabiedrību un pēc tam kā darījumu starp publisku kontrolakciju sabiedrību un meitasvienību. Ieguldījumu dotācijas gadījumā būtu ieteicams veikt tiešu ierakstu starp valdību un publisku uzņēmumu.</w:t>
      </w:r>
    </w:p>
    <w:p w14:paraId="71CE1C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37DF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Ja publisks centrālais birojs piešķir dotācijas vai jebkādus citus pārvedumus uzņēmumiem (privātiem vai publiskiem), kas neietilpst tā grupā, tad tas ir vēl lielāks pamatojums pieņēmumam, ka šādi minētais centrālais birojs rīkojas valdības vārdā.</w:t>
      </w:r>
    </w:p>
    <w:p w14:paraId="797F547B" w14:textId="77777777" w:rsidR="00443399" w:rsidRPr="00B03B51" w:rsidRDefault="00443399" w:rsidP="00443399">
      <w:pPr>
        <w:jc w:val="both"/>
        <w:rPr>
          <w:rFonts w:ascii="Times New Roman" w:eastAsia="Arial" w:hAnsi="Times New Roman" w:cs="Times New Roman"/>
          <w:noProof/>
          <w:sz w:val="24"/>
          <w:szCs w:val="19"/>
        </w:rPr>
      </w:pPr>
    </w:p>
    <w:p w14:paraId="24D8F104" w14:textId="77777777" w:rsidR="00443399" w:rsidRPr="00B03B51" w:rsidRDefault="00443399" w:rsidP="00500EA4">
      <w:pPr>
        <w:pStyle w:val="Heading3"/>
        <w:keepNext/>
        <w:tabs>
          <w:tab w:val="left" w:pos="1267"/>
        </w:tabs>
        <w:ind w:left="0" w:firstLine="0"/>
        <w:jc w:val="both"/>
        <w:rPr>
          <w:rFonts w:ascii="Times New Roman" w:hAnsi="Times New Roman" w:cs="Times New Roman"/>
          <w:noProof/>
          <w:sz w:val="24"/>
        </w:rPr>
      </w:pPr>
      <w:bookmarkStart w:id="417" w:name="5.3.4_Accounting_examples"/>
      <w:bookmarkStart w:id="418" w:name="_Toc67565154"/>
      <w:bookmarkEnd w:id="417"/>
      <w:r w:rsidRPr="00B03B51">
        <w:rPr>
          <w:rFonts w:ascii="Times New Roman" w:hAnsi="Times New Roman" w:cs="Times New Roman"/>
          <w:sz w:val="24"/>
        </w:rPr>
        <w:lastRenderedPageBreak/>
        <w:t>5.3.4. Uzskaites piemēri</w:t>
      </w:r>
      <w:bookmarkEnd w:id="418"/>
    </w:p>
    <w:p w14:paraId="31A2E385" w14:textId="77777777" w:rsidR="00443399" w:rsidRPr="00B03B51" w:rsidRDefault="00443399" w:rsidP="00500EA4">
      <w:pPr>
        <w:pStyle w:val="BodyText"/>
        <w:keepNext/>
        <w:spacing w:before="0"/>
        <w:ind w:left="0" w:firstLine="0"/>
        <w:jc w:val="both"/>
        <w:rPr>
          <w:rFonts w:ascii="Times New Roman" w:hAnsi="Times New Roman" w:cs="Times New Roman"/>
          <w:noProof/>
          <w:sz w:val="24"/>
        </w:rPr>
      </w:pPr>
    </w:p>
    <w:p w14:paraId="50FF4094" w14:textId="77777777" w:rsidR="00443399" w:rsidRPr="00B03B51" w:rsidRDefault="00443399" w:rsidP="00500EA4">
      <w:pPr>
        <w:pStyle w:val="BodyText"/>
        <w:keepN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Valdībai pieder nefinanšu sabiedrību sektorā klasificēts centrālais birojs. Šī kontrolakciju sabiedrība realizē tai piederošās meitasvienības A akcijas 100 naudas vienību vērtībā kā daļu no valdības noteiktas privatizācijas programmas. Centrālais birojs patur ieņēmumus no šādas atsavināšanas; no šiem ieņēmumiem tas samaksā 20 naudas vienības citai meitasvienībai B. Analīzē konstatē, ka pēc būtības šis maksājums ir valdības maksājums (piemēram, cita ražošanas subsīdija), jo apmaiņā netiek saņemts finanšu aktīvs un nav sagaidāma arī peļņa īpašuma ienākuma veidā. Perioda sākumā valdības pašu kapitāla apmērs centrālajā birojā ir </w:t>
      </w:r>
      <w:r w:rsidRPr="00B03B51">
        <w:rPr>
          <w:rFonts w:ascii="Times New Roman" w:hAnsi="Times New Roman" w:cs="Times New Roman"/>
          <w:i/>
          <w:iCs/>
          <w:sz w:val="24"/>
        </w:rPr>
        <w:t>x</w:t>
      </w:r>
      <w:r w:rsidRPr="00B03B51">
        <w:rPr>
          <w:rFonts w:ascii="Times New Roman" w:hAnsi="Times New Roman" w:cs="Times New Roman"/>
          <w:sz w:val="24"/>
        </w:rPr>
        <w:t xml:space="preserve">; centrālā biroja pašu kapitāla apmērs tā meitasvienībā B ir </w:t>
      </w:r>
      <w:r w:rsidRPr="00B03B51">
        <w:rPr>
          <w:rFonts w:ascii="Times New Roman" w:hAnsi="Times New Roman" w:cs="Times New Roman"/>
          <w:i/>
          <w:iCs/>
          <w:sz w:val="24"/>
        </w:rPr>
        <w:t>z</w:t>
      </w:r>
      <w:r w:rsidRPr="00B03B51">
        <w:rPr>
          <w:rFonts w:ascii="Times New Roman" w:hAnsi="Times New Roman" w:cs="Times New Roman"/>
          <w:sz w:val="24"/>
        </w:rPr>
        <w:t>.</w:t>
      </w:r>
    </w:p>
    <w:p w14:paraId="6B5D50BE" w14:textId="77777777" w:rsidR="00443399" w:rsidRPr="00B03B51" w:rsidRDefault="00443399" w:rsidP="00443399">
      <w:pPr>
        <w:jc w:val="both"/>
        <w:rPr>
          <w:rFonts w:ascii="Times New Roman" w:eastAsia="Arial" w:hAnsi="Times New Roman" w:cs="Times New Roman"/>
          <w:noProof/>
          <w:sz w:val="24"/>
          <w:szCs w:val="20"/>
        </w:rPr>
      </w:pPr>
    </w:p>
    <w:p w14:paraId="75EF8733"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13870E0F" wp14:editId="3F332207">
            <wp:extent cx="5756275" cy="1089660"/>
            <wp:effectExtent l="0" t="0" r="0"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6275" cy="1089660"/>
                    </a:xfrm>
                    <a:prstGeom prst="rect">
                      <a:avLst/>
                    </a:prstGeom>
                  </pic:spPr>
                </pic:pic>
              </a:graphicData>
            </a:graphic>
          </wp:inline>
        </w:drawing>
      </w:r>
    </w:p>
    <w:p w14:paraId="0122AB3D" w14:textId="77777777" w:rsidR="00443399" w:rsidRPr="00B03B51" w:rsidRDefault="00443399" w:rsidP="00443399">
      <w:pPr>
        <w:jc w:val="both"/>
        <w:rPr>
          <w:rFonts w:ascii="Times New Roman" w:eastAsia="Arial" w:hAnsi="Times New Roman" w:cs="Times New Roman"/>
          <w:noProof/>
          <w:sz w:val="24"/>
          <w:szCs w:val="20"/>
        </w:rPr>
      </w:pPr>
    </w:p>
    <w:p w14:paraId="2A0FF271" w14:textId="77777777" w:rsidR="00443399" w:rsidRPr="00B03B51" w:rsidRDefault="00443399" w:rsidP="00443399">
      <w:pPr>
        <w:jc w:val="center"/>
        <w:rPr>
          <w:rFonts w:ascii="Times New Roman" w:eastAsia="Arial" w:hAnsi="Times New Roman" w:cs="Times New Roman"/>
          <w:noProof/>
          <w:sz w:val="24"/>
          <w:szCs w:val="18"/>
        </w:rPr>
      </w:pPr>
    </w:p>
    <w:p w14:paraId="40D4A421" w14:textId="77777777" w:rsidR="00443399" w:rsidRPr="00B03B51" w:rsidRDefault="00443399" w:rsidP="00443399">
      <w:pPr>
        <w:jc w:val="center"/>
        <w:rPr>
          <w:rFonts w:ascii="Times New Roman" w:eastAsia="Arial" w:hAnsi="Times New Roman" w:cs="Times New Roman"/>
          <w:noProof/>
          <w:sz w:val="24"/>
          <w:szCs w:val="18"/>
        </w:rPr>
      </w:pPr>
      <w:r w:rsidRPr="00B03B51">
        <w:rPr>
          <w:rFonts w:ascii="Times New Roman" w:hAnsi="Times New Roman" w:cs="Times New Roman"/>
          <w:noProof/>
        </w:rPr>
        <w:drawing>
          <wp:inline distT="0" distB="0" distL="0" distR="0" wp14:anchorId="27AD4973" wp14:editId="3DE791A0">
            <wp:extent cx="5756275" cy="3425825"/>
            <wp:effectExtent l="0" t="0" r="0" b="3175"/>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6275" cy="3425825"/>
                    </a:xfrm>
                    <a:prstGeom prst="rect">
                      <a:avLst/>
                    </a:prstGeom>
                  </pic:spPr>
                </pic:pic>
              </a:graphicData>
            </a:graphic>
          </wp:inline>
        </w:drawing>
      </w:r>
    </w:p>
    <w:p w14:paraId="568D159D" w14:textId="77777777" w:rsidR="00443399" w:rsidRPr="00B03B51" w:rsidRDefault="00443399" w:rsidP="00443399">
      <w:pPr>
        <w:rPr>
          <w:rFonts w:ascii="Times New Roman" w:eastAsia="Arial" w:hAnsi="Times New Roman" w:cs="Times New Roman"/>
          <w:noProof/>
          <w:sz w:val="24"/>
          <w:szCs w:val="18"/>
        </w:rPr>
      </w:pPr>
      <w:r w:rsidRPr="00B03B51">
        <w:rPr>
          <w:rFonts w:ascii="Times New Roman" w:hAnsi="Times New Roman" w:cs="Times New Roman"/>
        </w:rPr>
        <w:br w:type="page"/>
      </w:r>
    </w:p>
    <w:p w14:paraId="7D831042" w14:textId="77777777" w:rsidR="00443399" w:rsidRPr="00B03B51" w:rsidRDefault="00443399" w:rsidP="00443399">
      <w:pPr>
        <w:jc w:val="both"/>
        <w:rPr>
          <w:rFonts w:ascii="Times New Roman" w:eastAsia="Arial" w:hAnsi="Times New Roman" w:cs="Times New Roman"/>
          <w:noProof/>
          <w:sz w:val="24"/>
          <w:szCs w:val="18"/>
        </w:rPr>
      </w:pPr>
    </w:p>
    <w:p w14:paraId="2813A738"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419" w:name="5.4_Restitution_and_use_of_vouchers_for_"/>
      <w:bookmarkStart w:id="420" w:name="_bookmark43"/>
      <w:bookmarkStart w:id="421" w:name="_Toc67565155"/>
      <w:bookmarkEnd w:id="419"/>
      <w:bookmarkEnd w:id="420"/>
      <w:r w:rsidRPr="00B03B51">
        <w:rPr>
          <w:rFonts w:ascii="Times New Roman" w:hAnsi="Times New Roman" w:cs="Times New Roman"/>
          <w:sz w:val="28"/>
          <w:szCs w:val="44"/>
        </w:rPr>
        <w:t>5.4. Privatizācijas sertifikātu restitūcija un izmantošana</w:t>
      </w:r>
      <w:bookmarkEnd w:id="421"/>
    </w:p>
    <w:p w14:paraId="1502D0E9" w14:textId="77777777" w:rsidR="00443399" w:rsidRPr="00100B51" w:rsidRDefault="00443399" w:rsidP="00100B51">
      <w:pPr>
        <w:rPr>
          <w:rFonts w:ascii="Times New Roman" w:hAnsi="Times New Roman" w:cs="Times New Roman"/>
          <w:noProof/>
          <w:sz w:val="24"/>
          <w:szCs w:val="24"/>
        </w:rPr>
      </w:pPr>
      <w:bookmarkStart w:id="422" w:name="5.4.1_Background"/>
      <w:bookmarkEnd w:id="422"/>
    </w:p>
    <w:p w14:paraId="28152BA6" w14:textId="77777777" w:rsidR="00443399" w:rsidRPr="00B03B51" w:rsidRDefault="00443399" w:rsidP="00443399">
      <w:pPr>
        <w:pStyle w:val="Heading3"/>
        <w:ind w:left="0" w:firstLine="0"/>
        <w:jc w:val="both"/>
        <w:rPr>
          <w:rFonts w:ascii="Times New Roman" w:hAnsi="Times New Roman" w:cs="Times New Roman"/>
          <w:noProof/>
          <w:sz w:val="24"/>
        </w:rPr>
      </w:pPr>
      <w:bookmarkStart w:id="423" w:name="_Toc67565156"/>
      <w:r w:rsidRPr="00B03B51">
        <w:rPr>
          <w:rFonts w:ascii="Times New Roman" w:hAnsi="Times New Roman" w:cs="Times New Roman"/>
          <w:sz w:val="24"/>
        </w:rPr>
        <w:t>5.4.1. Vispārīga informācija</w:t>
      </w:r>
      <w:bookmarkEnd w:id="423"/>
    </w:p>
    <w:p w14:paraId="4F38513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E8FFF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Pārejas ekonomikas valstīs privatizācijas jēdzienu var attiecināt arī uz ikvienu pārvedumu (realizāciju) publiskiem vai bijušajiem (privātiem) valdības aktīvu īpašniekiem, ja šie aktīvi iepriekš bija nacionalizēti vai konfiscēti. Ir identificēti trīs gadījumi.</w:t>
      </w:r>
    </w:p>
    <w:p w14:paraId="35560384" w14:textId="77777777" w:rsidR="00443399" w:rsidRPr="00B03B51" w:rsidRDefault="00443399" w:rsidP="00443399">
      <w:pPr>
        <w:jc w:val="both"/>
        <w:rPr>
          <w:rFonts w:ascii="Times New Roman" w:eastAsia="Arial" w:hAnsi="Times New Roman" w:cs="Times New Roman"/>
          <w:noProof/>
          <w:sz w:val="24"/>
          <w:szCs w:val="15"/>
        </w:rPr>
      </w:pPr>
    </w:p>
    <w:p w14:paraId="3FD1ABD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24" w:name="5.4.1.1_Restitution_in_kind"/>
      <w:bookmarkEnd w:id="424"/>
      <w:r w:rsidRPr="00B03B51">
        <w:rPr>
          <w:rFonts w:ascii="Times New Roman" w:hAnsi="Times New Roman" w:cs="Times New Roman"/>
          <w:sz w:val="24"/>
        </w:rPr>
        <w:t>5.4.1.1. RESTITŪCIJA NATŪRĀ</w:t>
      </w:r>
    </w:p>
    <w:p w14:paraId="69B9CB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CBF4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Restitūcija natūrā attiecas uz nefinanšu aktīvu (parasti zemes un ēku, bet dažos gadījumos arī ražotņu) atdošanu sākotnējam īpašniekam, ja valdība šos nefinanšu aktīvus iepriekš ir nacionalizējusi vai konfiscējusi un ja kopumā restitūcijas laikā tie pieder valdībai, bet dažos gadījumos – publiskām sabiedrībām. Šādi nefinanšu aktīvi var būt pamatlīdzekļi, inventārs, dārgmetāli, zeme vai citi neražoti aktīvi.</w:t>
      </w:r>
    </w:p>
    <w:p w14:paraId="06633C7D" w14:textId="77777777" w:rsidR="00443399" w:rsidRPr="00B03B51" w:rsidRDefault="00443399" w:rsidP="00443399">
      <w:pPr>
        <w:jc w:val="both"/>
        <w:rPr>
          <w:rFonts w:ascii="Times New Roman" w:eastAsia="Arial" w:hAnsi="Times New Roman" w:cs="Times New Roman"/>
          <w:noProof/>
          <w:sz w:val="24"/>
          <w:szCs w:val="15"/>
        </w:rPr>
      </w:pPr>
    </w:p>
    <w:p w14:paraId="28144E9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25" w:name="5.4.1.2_Restitution_through_financial_co"/>
      <w:bookmarkEnd w:id="425"/>
      <w:r w:rsidRPr="00B03B51">
        <w:rPr>
          <w:rFonts w:ascii="Times New Roman" w:hAnsi="Times New Roman" w:cs="Times New Roman"/>
          <w:sz w:val="24"/>
        </w:rPr>
        <w:t>5.4.1.2. RESTITŪCIJA, IZMANTOJOT FINANŠU KOMPENSĀCIJU</w:t>
      </w:r>
    </w:p>
    <w:p w14:paraId="2E17E6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E429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Ja īpašums, kas jāatdod tā bijušajiem īpašniekiem, neeksistē vai to nevar atdot, ir iespējams piešķirt finanšu kompensāciju, kuru var izsniegt naudas vai citu finanšu instrumentu, piemēram, akciju vai obligāciju, veidā.</w:t>
      </w:r>
    </w:p>
    <w:p w14:paraId="7D131F5C" w14:textId="77777777" w:rsidR="00443399" w:rsidRPr="00B03B51" w:rsidRDefault="00443399" w:rsidP="00443399">
      <w:pPr>
        <w:jc w:val="both"/>
        <w:rPr>
          <w:rFonts w:ascii="Times New Roman" w:eastAsia="Arial" w:hAnsi="Times New Roman" w:cs="Times New Roman"/>
          <w:noProof/>
          <w:sz w:val="24"/>
          <w:szCs w:val="15"/>
        </w:rPr>
      </w:pPr>
    </w:p>
    <w:p w14:paraId="61A6F91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26" w:name="5.4.1.3_Privatisation_through_the_issue_"/>
      <w:bookmarkEnd w:id="426"/>
      <w:r w:rsidRPr="00B03B51">
        <w:rPr>
          <w:rFonts w:ascii="Times New Roman" w:hAnsi="Times New Roman" w:cs="Times New Roman"/>
          <w:sz w:val="24"/>
        </w:rPr>
        <w:t>5.4.1.3. PRIVATIZĀCIJA, EMITĒJOT SERTIFIKĀTUS</w:t>
      </w:r>
    </w:p>
    <w:p w14:paraId="5DADE9B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3EB60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Lai privatizētu valsts īpašumā esošus aktīvus, dažās pārejas ekonomikas valstīs valdība iedzīvotājiem ir izdalījusi sertifikātus – bez maksas vai pārdodot tos par nominālvērtību. Sertifikātu turētāji var iegūt akcijas un citu pašu kapitālu (tieši vai netieši), vai nefinanšu aktīvus.</w:t>
      </w:r>
    </w:p>
    <w:p w14:paraId="27EC8996" w14:textId="77777777" w:rsidR="00443399" w:rsidRPr="00B03B51" w:rsidRDefault="00443399" w:rsidP="00443399">
      <w:pPr>
        <w:jc w:val="both"/>
        <w:rPr>
          <w:rFonts w:ascii="Times New Roman" w:eastAsia="Arial" w:hAnsi="Times New Roman" w:cs="Times New Roman"/>
          <w:noProof/>
          <w:sz w:val="24"/>
          <w:szCs w:val="18"/>
        </w:rPr>
      </w:pPr>
    </w:p>
    <w:p w14:paraId="38670A7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27" w:name="5.4.2_Treatment_in_national_accounts"/>
      <w:bookmarkStart w:id="428" w:name="_Toc67565157"/>
      <w:bookmarkEnd w:id="427"/>
      <w:r w:rsidRPr="00B03B51">
        <w:rPr>
          <w:rFonts w:ascii="Times New Roman" w:hAnsi="Times New Roman" w:cs="Times New Roman"/>
          <w:sz w:val="24"/>
        </w:rPr>
        <w:t>5.4.2. Traktējums nacionālajos kontos</w:t>
      </w:r>
      <w:bookmarkEnd w:id="428"/>
    </w:p>
    <w:p w14:paraId="640A7D28" w14:textId="77777777" w:rsidR="00443399" w:rsidRPr="00BE27DC" w:rsidRDefault="00443399" w:rsidP="00BE27DC">
      <w:pPr>
        <w:rPr>
          <w:rFonts w:ascii="Times New Roman" w:hAnsi="Times New Roman" w:cs="Times New Roman"/>
          <w:noProof/>
          <w:sz w:val="24"/>
          <w:szCs w:val="24"/>
        </w:rPr>
      </w:pPr>
      <w:bookmarkStart w:id="429" w:name="5.4.2.1_Restitution_in_kind"/>
      <w:bookmarkEnd w:id="429"/>
    </w:p>
    <w:p w14:paraId="01704B4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5.4.2.1. RESTITŪCIJA NATŪRĀ</w:t>
      </w:r>
    </w:p>
    <w:p w14:paraId="4C041A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6A9D0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Restitūcija natūrā ir nefinanšu aktīvu pārvedums no valdības tiem sektoriem, kuri gūst labumu no šīs restitūcijas. Var izšķirt divus gadījumus.</w:t>
      </w:r>
    </w:p>
    <w:p w14:paraId="191720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74DBF2E"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a) Nefinanšu aktīvs, kas jāatdod, ir aptuveni tāds pats kā tas, kurš iepriekš tika nacionalizēts vai konfiscēts. Tas var attiekties uz gadījumiem, kad jāatdod zeme vai citi neražoti aktīvi.</w:t>
      </w:r>
    </w:p>
    <w:p w14:paraId="6CAC06E0"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E909DF0"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Šāda veida restitūciju var uzskatīt par pretēju darījumu nekompensētajai konfiskācijai, kas jāieraksta kontā “Citas aktīvu apjoma pārmaiņas”. Atbilstīgi EKS 2010 šādā gadījumā atdošana jāieraksta kā darījums – negatīvs kapitālieguldījums valdības kontā, kuru līdzsvaro “kapitāla pārveduma maksājums natūrā” (ar pretējām zīmēm saņemošā sektora kontos). Tomēr tas ietekmē aktīvu krājumu, kas ierakstīts bilancēs, un tāpēc palielina neto vērtību sektoriem, kuri gūst labumu no restitūcijas, un vienlaicīgi samazina vispārējās valdības neto vērtību.</w:t>
      </w:r>
    </w:p>
    <w:p w14:paraId="2D07BCA8" w14:textId="77777777" w:rsidR="00443399" w:rsidRPr="00B03B51" w:rsidRDefault="00443399" w:rsidP="00443399">
      <w:pPr>
        <w:tabs>
          <w:tab w:val="left" w:pos="1126"/>
        </w:tabs>
        <w:ind w:left="284"/>
        <w:jc w:val="both"/>
        <w:rPr>
          <w:rFonts w:ascii="Times New Roman" w:hAnsi="Times New Roman" w:cs="Times New Roman"/>
          <w:b/>
          <w:noProof/>
          <w:sz w:val="24"/>
        </w:rPr>
      </w:pPr>
    </w:p>
    <w:p w14:paraId="1CDD42EA"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 xml:space="preserve">b) Atgūstamais nefinanšu aktīvs atšķiras (izskata un vērtības ziņā) no tā, kas iepriekš </w:t>
      </w:r>
      <w:r w:rsidRPr="00B03B51">
        <w:rPr>
          <w:rFonts w:ascii="Times New Roman" w:hAnsi="Times New Roman" w:cs="Times New Roman"/>
          <w:b/>
          <w:sz w:val="24"/>
        </w:rPr>
        <w:lastRenderedPageBreak/>
        <w:t>tika nacionalizēts vai konfiscēts. Tas var attiekties uz mājokļiem vai citiem materiāliem pamatlīdzekļiem.</w:t>
      </w:r>
    </w:p>
    <w:p w14:paraId="6F5CC23A"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54942640"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Šādā gadījumā atdošana jāieraksta kā darījums – negatīvs kapitālieguldījums valdības kontā, kuru līdzsvaro “kapitāla pārveduma maksājums natūrā” (ar pretējām zīmēm saņēmēja sektora kontos). Tā kā kapitāla kontā abas plūsmas tiek līdzsvarotas, vispārējās valdības neto aizdevums/aizņēmums (B.9) netiek ietekmēts. Tomēr šis kapitāla pārvedums palielina neto vērtību sektoriem, kuri gūst labumu no restitūcijas, un vienlaikus samazina valdības neto vērtību.</w:t>
      </w:r>
    </w:p>
    <w:p w14:paraId="528C56C4"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6CE97E28"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Abos gadījumos ierakstīšanu veic brīdī, kad mainās ekonomiskās īpašumtiesības uz aktīviem.</w:t>
      </w:r>
    </w:p>
    <w:p w14:paraId="5499C662" w14:textId="77777777" w:rsidR="00443399" w:rsidRPr="00B03B51" w:rsidRDefault="00443399" w:rsidP="00443399">
      <w:pPr>
        <w:jc w:val="both"/>
        <w:rPr>
          <w:rFonts w:ascii="Times New Roman" w:hAnsi="Times New Roman" w:cs="Times New Roman"/>
          <w:noProof/>
          <w:sz w:val="24"/>
        </w:rPr>
      </w:pPr>
    </w:p>
    <w:p w14:paraId="2A5C6F3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30" w:name="5.4.2.2_Restitution_through_financial_co"/>
      <w:bookmarkEnd w:id="430"/>
      <w:r w:rsidRPr="00B03B51">
        <w:rPr>
          <w:rFonts w:ascii="Times New Roman" w:hAnsi="Times New Roman" w:cs="Times New Roman"/>
          <w:sz w:val="24"/>
        </w:rPr>
        <w:t>5.4.2.2. RESTITŪCIJA, IZMANTOJOT FINANŠU KOMPENSĀCIJU</w:t>
      </w:r>
    </w:p>
    <w:p w14:paraId="3722C9F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AA41A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Restitūcija, izmantojot finanšu kompensāciju, ir finanšu aktīvu pārvedums no valdības sektora tiem sektoriem, kuri gūst labumu no šīs kompensācijas. Tāpēc valdības kontos šis pārvedums jāieraksta kā finanšu aktīvu samazinājums, ko līdzsvaro kapitāla pārvedums natūrā vai skaidrā naudā (kreditora parāds), un saņēmēju sektoru kontos tas jāieraksta kā finanšu aktīvu palielinājums, kuru kompensē kapitāla pārvedums natūrā vai skaidrā naudā (debitora parāds). Šis kapitāla pārvedums negatīvi ietekmē vispārējās valdības neto aizdevumu/aizņēmumu (B.9), kā arī tās neto vērtību. Darījumu ieraksta brīdī, kad valdība atzīst saistības attiecībā uz noteiktu un neatmaksājamu summu.</w:t>
      </w:r>
    </w:p>
    <w:p w14:paraId="3AA46281" w14:textId="77777777" w:rsidR="00443399" w:rsidRPr="00B03B51" w:rsidRDefault="00443399" w:rsidP="00443399">
      <w:pPr>
        <w:jc w:val="both"/>
        <w:rPr>
          <w:rFonts w:ascii="Times New Roman" w:eastAsia="Arial" w:hAnsi="Times New Roman" w:cs="Times New Roman"/>
          <w:noProof/>
          <w:sz w:val="24"/>
          <w:szCs w:val="15"/>
        </w:rPr>
      </w:pPr>
    </w:p>
    <w:p w14:paraId="4F63BE5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31" w:name="5.4.2.3_Privatisation_through_the_issue_"/>
      <w:bookmarkEnd w:id="431"/>
      <w:r w:rsidRPr="00B03B51">
        <w:rPr>
          <w:rFonts w:ascii="Times New Roman" w:hAnsi="Times New Roman" w:cs="Times New Roman"/>
          <w:sz w:val="24"/>
        </w:rPr>
        <w:t>5.4.2.3. PRIVATIZĀCIJA, EMITĒJOT SERTIFIKĀTUS</w:t>
      </w:r>
    </w:p>
    <w:p w14:paraId="408AC4E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B0F14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Sertifikātus izmanto (galvenokārt mājsaimniecības), lai iegūtu finanšu vai nefinanšu aktīvus, un var uzskatīt, ka valdība tādā veidā uzņemas saistības izpirkt šos sertifikātus apmaiņā pret šādiem finanšu vai nefinanšu aktīviem. Kopumā sertifikāti ir derīgi tikai finanšu un nefinanšu aktīvu iegādei un tāpēc uzskatāmi par iespējamiem aktīviem, ko neieraksta sistēmā.</w:t>
      </w:r>
    </w:p>
    <w:p w14:paraId="6D258B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577CB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Sistēmā iespējamos aktīvus uzskata par finanšu aktīviem saskaņā ar šādiem nosacījumiem (EKS 2010 5.05. punkts):</w:t>
      </w:r>
    </w:p>
    <w:p w14:paraId="3B58E2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FB2C61"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ja tie ir tirgojami – tirgus izveidojas, ja tos var pārdot vai kompensēt tirgū;</w:t>
      </w:r>
    </w:p>
    <w:p w14:paraId="4DE262A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00F04DB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ja ir pieejama informācija par sertifikātiem – par veiktajiem darījumiem un par tirgus cenām;</w:t>
      </w:r>
    </w:p>
    <w:p w14:paraId="1DE2D25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1ABC0B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3) ja tirgū ir pietiekams darījumu apjoms, lai varētu noteikt kopējo tirgus vērtību;</w:t>
      </w:r>
    </w:p>
    <w:p w14:paraId="550D673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E3E722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4) ja sertifikātus uzskata par finanšu aktīviem, tos var uzskatīt par īpaša veida atvasinātiem finanšu instrumentiem (F.71).</w:t>
      </w:r>
    </w:p>
    <w:p w14:paraId="3CAF16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0A39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Atkarībā no tā, vai sertifikātus uzskata vai neuzskata par finanšu aktīviem, var izšķirt divus turpmāk minētos gadījumus.</w:t>
      </w:r>
    </w:p>
    <w:p w14:paraId="3754343C" w14:textId="77777777" w:rsidR="00443399" w:rsidRPr="00BE27DC" w:rsidRDefault="00443399" w:rsidP="00BE27DC">
      <w:pPr>
        <w:rPr>
          <w:rFonts w:ascii="Times New Roman" w:hAnsi="Times New Roman" w:cs="Times New Roman"/>
          <w:noProof/>
          <w:sz w:val="24"/>
          <w:szCs w:val="24"/>
        </w:rPr>
      </w:pPr>
      <w:bookmarkStart w:id="432" w:name="5.4.2.3.1._Vouchers_are_considered_to_be"/>
      <w:bookmarkEnd w:id="432"/>
    </w:p>
    <w:p w14:paraId="3464C215" w14:textId="77777777" w:rsidR="00443399" w:rsidRPr="00B03B51" w:rsidRDefault="00443399" w:rsidP="00443399">
      <w:pPr>
        <w:pStyle w:val="Heading6"/>
        <w:tabs>
          <w:tab w:val="left" w:pos="1978"/>
        </w:tabs>
        <w:ind w:left="0" w:firstLine="0"/>
        <w:jc w:val="both"/>
        <w:rPr>
          <w:rFonts w:ascii="Times New Roman" w:hAnsi="Times New Roman" w:cs="Times New Roman"/>
          <w:noProof/>
          <w:sz w:val="24"/>
        </w:rPr>
      </w:pPr>
      <w:r w:rsidRPr="00B03B51">
        <w:rPr>
          <w:rFonts w:ascii="Times New Roman" w:hAnsi="Times New Roman" w:cs="Times New Roman"/>
          <w:sz w:val="24"/>
        </w:rPr>
        <w:t>5.4.2.3.1. Sertifikātus uzskata par finanšu aktīviem, kad tos emitē</w:t>
      </w:r>
    </w:p>
    <w:p w14:paraId="187662C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B7C9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Šādā gadījumā sertifikātus ieraksta nacionālo kontu sistēmā brīdī, kad tos emitē.</w:t>
      </w:r>
    </w:p>
    <w:p w14:paraId="75B82F3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5F86D82"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lastRenderedPageBreak/>
        <w:t>a) Finanšu aktīvu iegāde</w:t>
      </w:r>
    </w:p>
    <w:p w14:paraId="168DD8F0"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5AC83851"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 pārvedums jāieraksta kā finanšu darījums (pozīcijā “Atvasinātie finanšu instrumenti” (F.71)), kuru līdzsvaro kapitāla pārvedums natūrā no vispārējās valdības. Tas negatīvi ietekmē vispārējās valdības neto aizdevumu/aizņēmumu (B.9), kā arī tās neto vērtību.</w:t>
      </w:r>
    </w:p>
    <w:p w14:paraId="4E25600E"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0AE2D0C1"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Tirgus attīstās, un sertifikātu vērtību tajā nosaka tādā apmērā, kādā šos sertifikātus var pārdot vai kompensēt tirgū. Darījumi ar sertifikātiem jāuzskaita kā finanšu darījumi starp attiecīgajiem sektoriem. Pārmaiņas sertifikātu vērtībā vienā un tajā pašā periodā jāieraksta kā turēšanas guvumi un zaudējumi dažādo iesaistīto sektoru kontos “Citas aktīvu pārmaiņas” (pārvērtēšanas kontā).</w:t>
      </w:r>
    </w:p>
    <w:p w14:paraId="3A6F4385"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597E2320"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 maiņa pret publisku sabiedrību akcijām pilnīgi jāieraksta vispārējās valdības finanšu kontā. Tas neietekmē vispārējās valdības neto aizdevumu/aizņēmumu (B.9).</w:t>
      </w:r>
    </w:p>
    <w:p w14:paraId="57166C59" w14:textId="77777777" w:rsidR="00443399" w:rsidRPr="00B03B51" w:rsidRDefault="00443399" w:rsidP="00443399">
      <w:pPr>
        <w:tabs>
          <w:tab w:val="left" w:pos="1126"/>
        </w:tabs>
        <w:ind w:left="284"/>
        <w:jc w:val="both"/>
        <w:rPr>
          <w:rFonts w:ascii="Times New Roman" w:hAnsi="Times New Roman" w:cs="Times New Roman"/>
          <w:b/>
          <w:noProof/>
          <w:sz w:val="24"/>
        </w:rPr>
      </w:pPr>
    </w:p>
    <w:p w14:paraId="1247777D"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b) Nefinanšu aktīvu iegāde</w:t>
      </w:r>
    </w:p>
    <w:p w14:paraId="5ABFB220"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07216CEA"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Sertifikātus maina pret nefinanšu sabiedrību pārdotajām precēm. Šīs nefinanšu sabiedrības iegūst prasījumu pret vispārējo valdību un izmanto to, lai pieteiktos izsolei uz akcijām, kuras pieder vispārējai valdībai un kuras tā pārdod.</w:t>
      </w:r>
    </w:p>
    <w:p w14:paraId="285C0714"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6D885B56"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 maiņa pret precēm jāieraksta kā galapatēriņa izdevumi (P.3), ko līdzsvaro atvasināto finanšu instrumentu (F.71) samazināšanās mājsaimniecību sektora aktīva pusē. Pasīva pusē valdībai jāieraksta atvasināto finanšu instrumentu samazināšanās un aktīva pusē jāieraksta pašu kapitāla (F.5) samazināšanās publiskās sabiedrībās. Tādējādi vispārējās valdības neto aizdevums/aizņēmums (B.9) un neto vērtība netiek ietekmēti.</w:t>
      </w:r>
    </w:p>
    <w:p w14:paraId="2324E09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8C9AFF0" w14:textId="77777777" w:rsidR="00443399" w:rsidRPr="00B03B51" w:rsidRDefault="00443399" w:rsidP="00443399">
      <w:pPr>
        <w:pStyle w:val="Heading6"/>
        <w:tabs>
          <w:tab w:val="left" w:pos="1978"/>
        </w:tabs>
        <w:ind w:left="0" w:firstLine="0"/>
        <w:jc w:val="both"/>
        <w:rPr>
          <w:rFonts w:ascii="Times New Roman" w:hAnsi="Times New Roman" w:cs="Times New Roman"/>
          <w:noProof/>
          <w:sz w:val="24"/>
        </w:rPr>
      </w:pPr>
      <w:bookmarkStart w:id="433" w:name="5.4.2.3.2._Vouchers_are_only_contingent_"/>
      <w:bookmarkEnd w:id="433"/>
      <w:r w:rsidRPr="00B03B51">
        <w:rPr>
          <w:rFonts w:ascii="Times New Roman" w:hAnsi="Times New Roman" w:cs="Times New Roman"/>
          <w:sz w:val="24"/>
        </w:rPr>
        <w:t>5.4.2.3.2. Sertifikāti ir tikai iespējamie aktīvi</w:t>
      </w:r>
    </w:p>
    <w:p w14:paraId="4C6F80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98E1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Ja sertifikātus uzskata par iespējamajiem aktīviem, tad tie nav jāieraksta sistēmā to emisijas brīdī. Tos var izmantot vienīgi finanšu vai nefinanšu aktīvu iegādei.</w:t>
      </w:r>
    </w:p>
    <w:p w14:paraId="400E3226" w14:textId="77777777" w:rsidR="00443399" w:rsidRPr="00B03B51" w:rsidRDefault="00443399" w:rsidP="00443399">
      <w:pPr>
        <w:jc w:val="both"/>
        <w:rPr>
          <w:rFonts w:ascii="Times New Roman" w:hAnsi="Times New Roman" w:cs="Times New Roman"/>
          <w:noProof/>
          <w:sz w:val="24"/>
        </w:rPr>
      </w:pPr>
    </w:p>
    <w:p w14:paraId="7BA6C4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Šādā gadījumā sertifikātu emisijas brīdī tos neieraksta; sertifikātus ieraksta tikai tad, kad tos apmaina pret finanšu vai nefinanšu aktīviem.</w:t>
      </w:r>
    </w:p>
    <w:p w14:paraId="47C6B344" w14:textId="77777777" w:rsidR="00443399" w:rsidRPr="00B03B51" w:rsidRDefault="00443399" w:rsidP="00443399">
      <w:pPr>
        <w:tabs>
          <w:tab w:val="left" w:pos="1126"/>
        </w:tabs>
        <w:jc w:val="both"/>
        <w:rPr>
          <w:rFonts w:ascii="Times New Roman" w:hAnsi="Times New Roman" w:cs="Times New Roman"/>
          <w:b/>
          <w:noProof/>
          <w:sz w:val="24"/>
        </w:rPr>
      </w:pPr>
    </w:p>
    <w:p w14:paraId="2CD80F25"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a) Finanšu aktīvu iegāde</w:t>
      </w:r>
    </w:p>
    <w:p w14:paraId="77C9D74E"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555B583"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 apmaiņa pret publisku sabiedrību akcijām jāieraksta kā finanšu darījums ar akcijām un citu pašu kapitālu (F.5), ko līdzsvaro kapitāla pārvedums natūrā (D.9) no vispārējās valdības. Mājsaimniecību sektoram tas palielina akcijas un citu pašu kapitālu aktīva pusē, savukārt valdībai samazina akcijas un citu pašu kapitālu aktīva pusē. Šī apmaiņa negatīvi ietekmē vispārējās valdības neto aizdevumu/aizņēmumu (B.9), kā arī tās neto vērtību.</w:t>
      </w:r>
    </w:p>
    <w:p w14:paraId="142124E8" w14:textId="77777777" w:rsidR="00443399" w:rsidRPr="00B03B51" w:rsidRDefault="00443399" w:rsidP="00443399">
      <w:pPr>
        <w:tabs>
          <w:tab w:val="left" w:pos="1126"/>
        </w:tabs>
        <w:ind w:left="284"/>
        <w:jc w:val="both"/>
        <w:rPr>
          <w:rFonts w:ascii="Times New Roman" w:hAnsi="Times New Roman" w:cs="Times New Roman"/>
          <w:b/>
          <w:noProof/>
          <w:sz w:val="24"/>
        </w:rPr>
      </w:pPr>
    </w:p>
    <w:p w14:paraId="5691823D" w14:textId="77777777" w:rsidR="00443399" w:rsidRPr="00B03B51" w:rsidRDefault="00443399" w:rsidP="00443399">
      <w:pPr>
        <w:tabs>
          <w:tab w:val="left" w:pos="1126"/>
        </w:tabs>
        <w:ind w:left="284"/>
        <w:jc w:val="both"/>
        <w:rPr>
          <w:rFonts w:ascii="Times New Roman" w:hAnsi="Times New Roman" w:cs="Times New Roman"/>
          <w:b/>
          <w:noProof/>
          <w:sz w:val="24"/>
        </w:rPr>
      </w:pPr>
      <w:r w:rsidRPr="00B03B51">
        <w:rPr>
          <w:rFonts w:ascii="Times New Roman" w:hAnsi="Times New Roman" w:cs="Times New Roman"/>
          <w:b/>
          <w:sz w:val="24"/>
        </w:rPr>
        <w:t>b) Nefinanšu aktīvu iegāde</w:t>
      </w:r>
    </w:p>
    <w:p w14:paraId="273E5393"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D18FA15"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Sertifikātu apmaiņa pret nefinanšu aktīviem jāieraksta kā negatīvs kapitālieguldījums (P.51g), ko līdzsvaro kapitāla pārvedums natūrā (D.9) no vispārējās valdības. Tas neietekmē vispārējās valdības neto aizdevumu/aizņēmumu (B.9). Tomēr šī apmaiņa samazina vispārējās valdības neto vērtību.</w:t>
      </w:r>
    </w:p>
    <w:p w14:paraId="623EBCA3" w14:textId="77777777" w:rsidR="00443399" w:rsidRPr="00B03B51" w:rsidRDefault="00443399" w:rsidP="00443399">
      <w:pPr>
        <w:jc w:val="both"/>
        <w:rPr>
          <w:rFonts w:ascii="Times New Roman" w:eastAsia="Arial" w:hAnsi="Times New Roman" w:cs="Times New Roman"/>
          <w:noProof/>
          <w:sz w:val="24"/>
          <w:szCs w:val="15"/>
        </w:rPr>
      </w:pPr>
    </w:p>
    <w:p w14:paraId="1BD79E39" w14:textId="77777777" w:rsidR="00443399" w:rsidRPr="00B03B51" w:rsidRDefault="00443399" w:rsidP="00443399">
      <w:pPr>
        <w:pStyle w:val="Heading6"/>
        <w:ind w:left="0" w:firstLine="0"/>
        <w:jc w:val="both"/>
        <w:rPr>
          <w:rFonts w:ascii="Times New Roman" w:hAnsi="Times New Roman" w:cs="Times New Roman"/>
          <w:noProof/>
          <w:sz w:val="24"/>
        </w:rPr>
      </w:pPr>
      <w:bookmarkStart w:id="434" w:name="5.4.2.4_Impact_of_vouchers_on_government"/>
      <w:bookmarkEnd w:id="434"/>
      <w:r w:rsidRPr="00B03B51">
        <w:rPr>
          <w:rFonts w:ascii="Times New Roman" w:hAnsi="Times New Roman" w:cs="Times New Roman"/>
          <w:sz w:val="24"/>
        </w:rPr>
        <w:t>5.4.2.4. SERTIFIKĀTU IETEKME UZ VALDĪBAS PARĀDU</w:t>
      </w:r>
    </w:p>
    <w:p w14:paraId="39DD9E7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615FA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Atbilstoši EKS 2010 sertifikātu ierakstīšana (tiklīdz tos uzskata par finanšu saistībām) valdības bilancē palielina valdības saistību krājumu.</w:t>
      </w:r>
    </w:p>
    <w:p w14:paraId="143AB9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BDB591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Sertifikāti neietekmē valsts parāda aprēķināšanu (skat. 8. daļu) atbilstoši pārmērīga budžeta deficīta novēršanas procedūrai tiktāl, ciktāl var pieņemt, ka atbilstošie ierakstāmie aktīvi/saistības ir atvasināti finanšu instrumenti (F.71).</w:t>
      </w:r>
    </w:p>
    <w:p w14:paraId="18F65207" w14:textId="77777777" w:rsidR="00443399" w:rsidRPr="00B03B51" w:rsidRDefault="00443399" w:rsidP="00443399">
      <w:pPr>
        <w:jc w:val="both"/>
        <w:rPr>
          <w:rFonts w:ascii="Times New Roman" w:eastAsia="Arial" w:hAnsi="Times New Roman" w:cs="Times New Roman"/>
          <w:noProof/>
          <w:sz w:val="24"/>
          <w:szCs w:val="18"/>
        </w:rPr>
      </w:pPr>
    </w:p>
    <w:p w14:paraId="3CB59BA1"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35" w:name="5.4.3_Rationale_of_the_treatment"/>
      <w:bookmarkStart w:id="436" w:name="_Toc67565158"/>
      <w:bookmarkEnd w:id="435"/>
      <w:r w:rsidRPr="00B03B51">
        <w:rPr>
          <w:rFonts w:ascii="Times New Roman" w:hAnsi="Times New Roman" w:cs="Times New Roman"/>
          <w:sz w:val="24"/>
        </w:rPr>
        <w:t>5.4.3. Traktējuma pamatojums</w:t>
      </w:r>
      <w:bookmarkEnd w:id="436"/>
    </w:p>
    <w:p w14:paraId="1E203519" w14:textId="77777777" w:rsidR="00443399" w:rsidRPr="00BE27DC" w:rsidRDefault="00443399" w:rsidP="00BE27DC">
      <w:pPr>
        <w:rPr>
          <w:rFonts w:ascii="Times New Roman" w:hAnsi="Times New Roman" w:cs="Times New Roman"/>
          <w:noProof/>
          <w:sz w:val="24"/>
          <w:szCs w:val="24"/>
        </w:rPr>
      </w:pPr>
      <w:bookmarkStart w:id="437" w:name="5.4.3.1_Restitution_in_kind:"/>
      <w:bookmarkEnd w:id="437"/>
    </w:p>
    <w:p w14:paraId="54A1D01B"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5.4.3.1. RESTITŪCIJA NATŪRĀ</w:t>
      </w:r>
    </w:p>
    <w:p w14:paraId="5EB975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D7B3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Var dažādi analizēt divus turpmāk minētos gadījumus.</w:t>
      </w:r>
    </w:p>
    <w:p w14:paraId="6D0DD2A5"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4656F708"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Atgūtais aktīvs ir tas pats aktīvs, kuru valdība ir konfiscējusi. Šī ir vienpusēja bagātības restitūcija, atdodot nefinanšu aktīvu, ko valdība iepriekš ir pārņēmusi, nepiešķirot kompensāciju. Šāda vienpusējas konfiskācijas nekompensētā daļa nav kapitāla pārvedums (EKS 2010, 6.10. punkts), bet tā jāieraksta kontā “Citas aktīvu apjoma pārmaiņas” (K.4). Tomēr restitūcija netiek traktēta simetriskā veidā un tiek ierakstīta kā aktīva realizācija, kurai valdības kontos atbilst kapitāla pārveduma izdevumi.</w:t>
      </w:r>
    </w:p>
    <w:p w14:paraId="114FC7C0"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3CAEBC0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Atgūtais aktīvs ir mainījies. Restitūciju analizē kā brīvprātīgu bagātības pārvedumu, ko veic saskaņā ar savstarpēju vienošanos (pretēji citām aktīvu apjoma pārmaiņām). Par pretvērtības darījumu uzskata kapitāla pārvedumu (citi kapitāla pārvedumi (D.99), EKS 2010 4.164. punkts). To var secināt no kapitāla pārvedumu definīcijas (EKS 2010 4.146. punkts: “Kapitāla pārvedumu natūrā veido aktīva (izņemot inventāra un naudas) īpašumtiesību maiņa vai kreditora anulētas saistības, par to nesaņemot nekādu pretvērtību.” Var arī uzskatīt, ka šādam pārvedumam nepieciešams neliels valsts finansējums (skat. arī EKS 2010 6.11. punktu).</w:t>
      </w:r>
    </w:p>
    <w:p w14:paraId="167164D7" w14:textId="77777777" w:rsidR="00443399" w:rsidRPr="00B03B51" w:rsidRDefault="00443399" w:rsidP="00443399">
      <w:pPr>
        <w:jc w:val="both"/>
        <w:rPr>
          <w:rFonts w:ascii="Times New Roman" w:eastAsia="Arial" w:hAnsi="Times New Roman" w:cs="Times New Roman"/>
          <w:noProof/>
          <w:sz w:val="24"/>
          <w:szCs w:val="15"/>
        </w:rPr>
      </w:pPr>
    </w:p>
    <w:p w14:paraId="17365A5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38" w:name="5.4.3.2_Restitution_though_financial_com"/>
      <w:bookmarkEnd w:id="438"/>
      <w:r w:rsidRPr="00B03B51">
        <w:rPr>
          <w:rFonts w:ascii="Times New Roman" w:hAnsi="Times New Roman" w:cs="Times New Roman"/>
          <w:sz w:val="24"/>
        </w:rPr>
        <w:t>5.4.3.2. RESTITŪCIJA, IZMANTOJOT FINANŠU KOMPENSĀCIJU</w:t>
      </w:r>
    </w:p>
    <w:p w14:paraId="1B343A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BA24D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Šādu kompensāciju parasti piešķir daudzus gadus pēc konfiskācijas (bieži pēc 40–50 gadiem). Atšķirībā no restitūcijas natūrā (kad aktīvs nav mainījies) restitūcijai, izmantojot finanšu kompensāciju, vajadzīgs valdības finansējums. Tāpat kā visos tajos bagātības pārvedumu gadījumos, ko veic saskaņā ar savstarpēju vienošanos, pretvērtības darījums ir kapitāla pārvedums (citi kapitāla pārvedumi (D.99), EKS 2010 4.164. punkts).</w:t>
      </w:r>
    </w:p>
    <w:p w14:paraId="2923B9E6" w14:textId="77777777" w:rsidR="00443399" w:rsidRPr="00B03B51" w:rsidRDefault="00443399" w:rsidP="00443399">
      <w:pPr>
        <w:jc w:val="both"/>
        <w:rPr>
          <w:rFonts w:ascii="Times New Roman" w:eastAsia="Arial" w:hAnsi="Times New Roman" w:cs="Times New Roman"/>
          <w:noProof/>
          <w:sz w:val="24"/>
          <w:szCs w:val="15"/>
        </w:rPr>
      </w:pPr>
    </w:p>
    <w:p w14:paraId="5A9F811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39" w:name="5.4.3.3_Exchange_of_vouchers:"/>
      <w:bookmarkEnd w:id="439"/>
      <w:r w:rsidRPr="00B03B51">
        <w:rPr>
          <w:rFonts w:ascii="Times New Roman" w:hAnsi="Times New Roman" w:cs="Times New Roman"/>
          <w:sz w:val="24"/>
        </w:rPr>
        <w:t>5.4.3.3. SERTIFIKĀTU APMAIŅA</w:t>
      </w:r>
    </w:p>
    <w:p w14:paraId="34278B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2144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Ja sertifikātus uzskata par finanšu aktīviem, to apmaiņa pret pašu kapitālu (AF.5) izriet no finanšu darījumu definīcijas (EKS 2010 5.02. punkts) un no finanšu kontu definīcijas (EKS 2010 8.50. punkts); kad valdības bilancē vienu finanšu aktīvu tieši apmaina pret citu finanšu aktīvu, ne bagātībā, ne ienākumu plūsmā pārmaiņas nenotiek. Kas attiecas uz sertifikātu apmaiņu pret nefinanšu aktīviem, noteikumi izriet no attiecīgo aktīvu realizācijas definīcijas un kapitāla konta definīcijas (EKS 2010 8.46. punkts).</w:t>
      </w:r>
    </w:p>
    <w:p w14:paraId="535E852D" w14:textId="77777777" w:rsidR="00443399" w:rsidRPr="00B03B51" w:rsidRDefault="00443399" w:rsidP="00443399">
      <w:pPr>
        <w:jc w:val="both"/>
        <w:rPr>
          <w:rFonts w:ascii="Times New Roman" w:eastAsia="Arial" w:hAnsi="Times New Roman" w:cs="Times New Roman"/>
          <w:noProof/>
          <w:sz w:val="24"/>
          <w:szCs w:val="19"/>
        </w:rPr>
      </w:pPr>
    </w:p>
    <w:p w14:paraId="6C27EF07" w14:textId="77777777" w:rsidR="00443399" w:rsidRPr="00B03B51" w:rsidRDefault="00443399" w:rsidP="00395F44">
      <w:pPr>
        <w:pStyle w:val="Heading3"/>
        <w:keepNext/>
        <w:tabs>
          <w:tab w:val="left" w:pos="1267"/>
        </w:tabs>
        <w:ind w:left="0" w:firstLine="0"/>
        <w:jc w:val="both"/>
        <w:rPr>
          <w:rFonts w:ascii="Times New Roman" w:hAnsi="Times New Roman" w:cs="Times New Roman"/>
          <w:noProof/>
          <w:sz w:val="24"/>
        </w:rPr>
      </w:pPr>
      <w:bookmarkStart w:id="440" w:name="5.4.4_Accounting_examples"/>
      <w:bookmarkStart w:id="441" w:name="_Toc67565159"/>
      <w:bookmarkEnd w:id="440"/>
      <w:r w:rsidRPr="00B03B51">
        <w:rPr>
          <w:rFonts w:ascii="Times New Roman" w:hAnsi="Times New Roman" w:cs="Times New Roman"/>
          <w:sz w:val="24"/>
        </w:rPr>
        <w:lastRenderedPageBreak/>
        <w:t>5.4.4. Uzskaites piemēri</w:t>
      </w:r>
      <w:bookmarkEnd w:id="441"/>
    </w:p>
    <w:p w14:paraId="5309DE05" w14:textId="77777777" w:rsidR="00443399" w:rsidRPr="00B03B51" w:rsidRDefault="00443399" w:rsidP="00395F44">
      <w:pPr>
        <w:keepNext/>
        <w:tabs>
          <w:tab w:val="left" w:pos="770"/>
        </w:tabs>
        <w:jc w:val="both"/>
        <w:rPr>
          <w:rFonts w:ascii="Times New Roman" w:hAnsi="Times New Roman" w:cs="Times New Roman"/>
          <w:b/>
          <w:noProof/>
          <w:sz w:val="24"/>
        </w:rPr>
      </w:pPr>
    </w:p>
    <w:p w14:paraId="3C975709" w14:textId="77777777" w:rsidR="00443399" w:rsidRPr="00B03B51" w:rsidRDefault="00443399" w:rsidP="00395F44">
      <w:pPr>
        <w:keepNext/>
        <w:tabs>
          <w:tab w:val="left" w:pos="770"/>
        </w:tabs>
        <w:jc w:val="both"/>
        <w:rPr>
          <w:rFonts w:ascii="Times New Roman" w:hAnsi="Times New Roman" w:cs="Times New Roman"/>
          <w:b/>
          <w:noProof/>
          <w:sz w:val="24"/>
        </w:rPr>
      </w:pPr>
      <w:r w:rsidRPr="00B03B51">
        <w:rPr>
          <w:rFonts w:ascii="Times New Roman" w:hAnsi="Times New Roman" w:cs="Times New Roman"/>
          <w:b/>
          <w:sz w:val="24"/>
        </w:rPr>
        <w:t>1. Restitūcija natūrā</w:t>
      </w:r>
    </w:p>
    <w:p w14:paraId="14F2B95B" w14:textId="77777777" w:rsidR="00443399" w:rsidRPr="00B03B51" w:rsidRDefault="00443399" w:rsidP="00395F44">
      <w:pPr>
        <w:keepNext/>
        <w:tabs>
          <w:tab w:val="left" w:pos="843"/>
        </w:tabs>
        <w:jc w:val="both"/>
        <w:rPr>
          <w:rFonts w:ascii="Times New Roman" w:hAnsi="Times New Roman" w:cs="Times New Roman"/>
          <w:b/>
          <w:noProof/>
          <w:sz w:val="24"/>
        </w:rPr>
      </w:pPr>
    </w:p>
    <w:p w14:paraId="3EBD9DAB"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i) Nefinanšu aktīvs, kas jāatdod, ir aptuveni tāds pats kā tas, kurš iepriekš tika nacionalizēts vai konfiscēts.</w:t>
      </w:r>
    </w:p>
    <w:p w14:paraId="0B56792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F7259F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noProof/>
          <w:sz w:val="24"/>
        </w:rPr>
        <mc:AlternateContent>
          <mc:Choice Requires="wpg">
            <w:drawing>
              <wp:anchor distT="0" distB="0" distL="114300" distR="114300" simplePos="0" relativeHeight="251661312" behindDoc="1" locked="0" layoutInCell="1" allowOverlap="1" wp14:anchorId="77CA8096" wp14:editId="2EB3F60D">
                <wp:simplePos x="0" y="0"/>
                <wp:positionH relativeFrom="page">
                  <wp:posOffset>2292985</wp:posOffset>
                </wp:positionH>
                <wp:positionV relativeFrom="paragraph">
                  <wp:posOffset>1520190</wp:posOffset>
                </wp:positionV>
                <wp:extent cx="1270" cy="139065"/>
                <wp:effectExtent l="6985" t="13335" r="10795"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65"/>
                          <a:chOff x="3611" y="2394"/>
                          <a:chExt cx="2" cy="219"/>
                        </a:xfrm>
                      </wpg:grpSpPr>
                      <wps:wsp>
                        <wps:cNvPr id="16" name="Freeform 3"/>
                        <wps:cNvSpPr>
                          <a:spLocks/>
                        </wps:cNvSpPr>
                        <wps:spPr bwMode="auto">
                          <a:xfrm>
                            <a:off x="3611" y="2394"/>
                            <a:ext cx="2" cy="219"/>
                          </a:xfrm>
                          <a:custGeom>
                            <a:avLst/>
                            <a:gdLst>
                              <a:gd name="T0" fmla="+- 0 2394 2394"/>
                              <a:gd name="T1" fmla="*/ 2394 h 219"/>
                              <a:gd name="T2" fmla="+- 0 2612 2394"/>
                              <a:gd name="T3" fmla="*/ 2612 h 219"/>
                            </a:gdLst>
                            <a:ahLst/>
                            <a:cxnLst>
                              <a:cxn ang="0">
                                <a:pos x="0" y="T1"/>
                              </a:cxn>
                              <a:cxn ang="0">
                                <a:pos x="0" y="T3"/>
                              </a:cxn>
                            </a:cxnLst>
                            <a:rect l="0" t="0" r="r" b="b"/>
                            <a:pathLst>
                              <a:path h="219">
                                <a:moveTo>
                                  <a:pt x="0" y="0"/>
                                </a:moveTo>
                                <a:lnTo>
                                  <a:pt x="0" y="2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6CD03" id="Group 15" o:spid="_x0000_s1026" style="position:absolute;margin-left:180.55pt;margin-top:119.7pt;width:.1pt;height:10.95pt;z-index:-251655168;mso-position-horizontal-relative:page" coordorigin="3611,2394"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">
                <v:shape id="Freeform 3" o:spid="_x0000_s1027" style="position:absolute;left:3611;top:2394;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" path="m,l,218e" filled="f" strokeweight=".82pt">
                  <v:path arrowok="t" o:connecttype="custom" o:connectlocs="0,2394;0,2612" o:connectangles="0,0"/>
                </v:shape>
                <w10:wrap anchorx="page"/>
              </v:group>
            </w:pict>
          </mc:Fallback>
        </mc:AlternateContent>
      </w:r>
      <w:r w:rsidRPr="00B03B51">
        <w:rPr>
          <w:rFonts w:ascii="Times New Roman" w:hAnsi="Times New Roman" w:cs="Times New Roman"/>
          <w:noProof/>
          <w:sz w:val="24"/>
        </w:rPr>
        <mc:AlternateContent>
          <mc:Choice Requires="wpg">
            <w:drawing>
              <wp:anchor distT="0" distB="0" distL="114300" distR="114300" simplePos="0" relativeHeight="251662336" behindDoc="1" locked="0" layoutInCell="1" allowOverlap="1" wp14:anchorId="48F3186E" wp14:editId="30FD0748">
                <wp:simplePos x="0" y="0"/>
                <wp:positionH relativeFrom="page">
                  <wp:posOffset>5351780</wp:posOffset>
                </wp:positionH>
                <wp:positionV relativeFrom="paragraph">
                  <wp:posOffset>1520190</wp:posOffset>
                </wp:positionV>
                <wp:extent cx="1270" cy="139065"/>
                <wp:effectExtent l="8255" t="13335" r="952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65"/>
                          <a:chOff x="8428" y="2394"/>
                          <a:chExt cx="2" cy="219"/>
                        </a:xfrm>
                      </wpg:grpSpPr>
                      <wps:wsp>
                        <wps:cNvPr id="14" name="Freeform 5"/>
                        <wps:cNvSpPr>
                          <a:spLocks/>
                        </wps:cNvSpPr>
                        <wps:spPr bwMode="auto">
                          <a:xfrm>
                            <a:off x="8428" y="2394"/>
                            <a:ext cx="2" cy="219"/>
                          </a:xfrm>
                          <a:custGeom>
                            <a:avLst/>
                            <a:gdLst>
                              <a:gd name="T0" fmla="+- 0 2394 2394"/>
                              <a:gd name="T1" fmla="*/ 2394 h 219"/>
                              <a:gd name="T2" fmla="+- 0 2612 2394"/>
                              <a:gd name="T3" fmla="*/ 2612 h 219"/>
                            </a:gdLst>
                            <a:ahLst/>
                            <a:cxnLst>
                              <a:cxn ang="0">
                                <a:pos x="0" y="T1"/>
                              </a:cxn>
                              <a:cxn ang="0">
                                <a:pos x="0" y="T3"/>
                              </a:cxn>
                            </a:cxnLst>
                            <a:rect l="0" t="0" r="r" b="b"/>
                            <a:pathLst>
                              <a:path h="219">
                                <a:moveTo>
                                  <a:pt x="0" y="0"/>
                                </a:moveTo>
                                <a:lnTo>
                                  <a:pt x="0" y="2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4D1F8" id="Group 13" o:spid="_x0000_s1026" style="position:absolute;margin-left:421.4pt;margin-top:119.7pt;width:.1pt;height:10.95pt;z-index:-251654144;mso-position-horizontal-relative:page" coordorigin="8428,2394"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">
                <v:shape id="Freeform 5" o:spid="_x0000_s1027" style="position:absolute;left:8428;top:2394;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" path="m,l,218e" filled="f" strokeweight=".82pt">
                  <v:path arrowok="t" o:connecttype="custom" o:connectlocs="0,2394;0,2612" o:connectangles="0,0"/>
                </v:shape>
                <w10:wrap anchorx="page"/>
              </v:group>
            </w:pict>
          </mc:Fallback>
        </mc:AlternateContent>
      </w:r>
      <w:r w:rsidRPr="00B03B51">
        <w:rPr>
          <w:rFonts w:ascii="Times New Roman" w:hAnsi="Times New Roman" w:cs="Times New Roman"/>
          <w:sz w:val="24"/>
        </w:rPr>
        <w:t>Turpmāk minētajos piemēros valdība atdod mājsaimniecību sektoram nefinanšu aktīvus (zemi), kuru vērtība ir 100 naudas vienības.</w:t>
      </w:r>
    </w:p>
    <w:p w14:paraId="30F2CE59" w14:textId="77777777" w:rsidR="00443399" w:rsidRPr="00B03B51" w:rsidRDefault="00443399" w:rsidP="00443399">
      <w:pPr>
        <w:jc w:val="both"/>
        <w:rPr>
          <w:rFonts w:ascii="Times New Roman" w:eastAsia="Arial" w:hAnsi="Times New Roman" w:cs="Times New Roman"/>
          <w:noProof/>
          <w:sz w:val="24"/>
          <w:szCs w:val="20"/>
        </w:rPr>
      </w:pPr>
    </w:p>
    <w:p w14:paraId="6DE2EFD7" w14:textId="77777777" w:rsidR="00443399" w:rsidRPr="00B03B51" w:rsidRDefault="00443399" w:rsidP="00443399">
      <w:pPr>
        <w:jc w:val="center"/>
        <w:rPr>
          <w:rFonts w:ascii="Times New Roman" w:eastAsia="Arial" w:hAnsi="Times New Roman" w:cs="Times New Roman"/>
          <w:noProof/>
          <w:sz w:val="24"/>
          <w:szCs w:val="18"/>
        </w:rPr>
      </w:pPr>
      <w:r w:rsidRPr="00B03B51">
        <w:rPr>
          <w:rFonts w:ascii="Times New Roman" w:hAnsi="Times New Roman" w:cs="Times New Roman"/>
          <w:noProof/>
        </w:rPr>
        <w:drawing>
          <wp:inline distT="0" distB="0" distL="0" distR="0" wp14:anchorId="760D2E65" wp14:editId="72B9BF57">
            <wp:extent cx="5756275" cy="3082925"/>
            <wp:effectExtent l="0" t="0" r="0" b="3175"/>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6275" cy="3082925"/>
                    </a:xfrm>
                    <a:prstGeom prst="rect">
                      <a:avLst/>
                    </a:prstGeom>
                  </pic:spPr>
                </pic:pic>
              </a:graphicData>
            </a:graphic>
          </wp:inline>
        </w:drawing>
      </w:r>
    </w:p>
    <w:p w14:paraId="3617FE32" w14:textId="77777777" w:rsidR="00443399" w:rsidRPr="00B03B51" w:rsidRDefault="00443399" w:rsidP="00443399">
      <w:pPr>
        <w:jc w:val="both"/>
        <w:rPr>
          <w:rFonts w:ascii="Times New Roman" w:eastAsia="Arial" w:hAnsi="Times New Roman" w:cs="Times New Roman"/>
          <w:noProof/>
          <w:sz w:val="24"/>
          <w:szCs w:val="18"/>
        </w:rPr>
      </w:pPr>
    </w:p>
    <w:p w14:paraId="517F9E01"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ii) Nefinanšu aktīvs, kas jāatdod, atšķiras (izskata un vērtības ziņā) no tā, kas iepriekš tika nacionalizēts vai konfiscēts.</w:t>
      </w:r>
    </w:p>
    <w:p w14:paraId="27DD5E0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26D58A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Turpmākajā piemērā valdības sektors atdod mājsaimniecību sektoram mājokļus, kuru vērtība ir 100 naudas vienības.</w:t>
      </w:r>
    </w:p>
    <w:p w14:paraId="67EF199E" w14:textId="77777777" w:rsidR="00443399" w:rsidRPr="00B03B51" w:rsidRDefault="00443399" w:rsidP="00443399">
      <w:pPr>
        <w:jc w:val="both"/>
        <w:rPr>
          <w:rFonts w:ascii="Times New Roman" w:eastAsia="Arial" w:hAnsi="Times New Roman" w:cs="Times New Roman"/>
          <w:noProof/>
          <w:sz w:val="24"/>
          <w:szCs w:val="20"/>
        </w:rPr>
      </w:pPr>
    </w:p>
    <w:p w14:paraId="5AB6B483" w14:textId="77777777" w:rsidR="00443399" w:rsidRPr="00B03B51" w:rsidRDefault="00443399" w:rsidP="00443399">
      <w:pPr>
        <w:jc w:val="center"/>
        <w:rPr>
          <w:rFonts w:ascii="Times New Roman" w:eastAsia="Arial" w:hAnsi="Times New Roman" w:cs="Times New Roman"/>
          <w:noProof/>
          <w:sz w:val="24"/>
          <w:szCs w:val="19"/>
        </w:rPr>
      </w:pPr>
      <w:r w:rsidRPr="00B03B51">
        <w:rPr>
          <w:rFonts w:ascii="Times New Roman" w:hAnsi="Times New Roman" w:cs="Times New Roman"/>
          <w:noProof/>
        </w:rPr>
        <w:drawing>
          <wp:inline distT="0" distB="0" distL="0" distR="0" wp14:anchorId="5AEE671D" wp14:editId="06F69CC7">
            <wp:extent cx="5756275" cy="2757170"/>
            <wp:effectExtent l="0" t="0" r="0" b="508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6275" cy="2757170"/>
                    </a:xfrm>
                    <a:prstGeom prst="rect">
                      <a:avLst/>
                    </a:prstGeom>
                  </pic:spPr>
                </pic:pic>
              </a:graphicData>
            </a:graphic>
          </wp:inline>
        </w:drawing>
      </w:r>
    </w:p>
    <w:p w14:paraId="2E37F7EF" w14:textId="77777777" w:rsidR="00443399" w:rsidRPr="00B03B51" w:rsidRDefault="00443399" w:rsidP="00443399">
      <w:pPr>
        <w:jc w:val="both"/>
        <w:rPr>
          <w:rFonts w:ascii="Times New Roman" w:eastAsia="Arial" w:hAnsi="Times New Roman" w:cs="Times New Roman"/>
          <w:noProof/>
          <w:sz w:val="24"/>
          <w:szCs w:val="19"/>
        </w:rPr>
      </w:pPr>
    </w:p>
    <w:p w14:paraId="342F4658" w14:textId="77777777" w:rsidR="00443399" w:rsidRPr="00B03B51" w:rsidRDefault="00443399" w:rsidP="00443399">
      <w:pPr>
        <w:tabs>
          <w:tab w:val="left" w:pos="770"/>
        </w:tabs>
        <w:jc w:val="both"/>
        <w:rPr>
          <w:rFonts w:ascii="Times New Roman" w:hAnsi="Times New Roman" w:cs="Times New Roman"/>
          <w:b/>
          <w:noProof/>
          <w:sz w:val="24"/>
        </w:rPr>
      </w:pPr>
      <w:r w:rsidRPr="00B03B51">
        <w:rPr>
          <w:rFonts w:ascii="Times New Roman" w:hAnsi="Times New Roman" w:cs="Times New Roman"/>
          <w:b/>
          <w:sz w:val="24"/>
        </w:rPr>
        <w:t>2. Restitūcija, izmantojot finanšu kompensāciju</w:t>
      </w:r>
    </w:p>
    <w:p w14:paraId="14AA727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9F6FB0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Turpmākajā piemērā valdība bijušajiem īpašniekiem, piemēram, zemes vai mājokļu (mājsaimniecību) īpašniekiem, kā kompensāciju piešķir akcijas, kuru vērtība ir 100.</w:t>
      </w:r>
    </w:p>
    <w:p w14:paraId="430A132A" w14:textId="77777777" w:rsidR="00443399" w:rsidRPr="00B03B51" w:rsidRDefault="00443399" w:rsidP="00443399">
      <w:pPr>
        <w:jc w:val="both"/>
        <w:rPr>
          <w:rFonts w:ascii="Times New Roman" w:eastAsia="Arial" w:hAnsi="Times New Roman" w:cs="Times New Roman"/>
          <w:noProof/>
          <w:sz w:val="24"/>
          <w:szCs w:val="20"/>
        </w:rPr>
      </w:pPr>
    </w:p>
    <w:p w14:paraId="748E0C3E" w14:textId="77777777" w:rsidR="00443399" w:rsidRPr="00B03B51" w:rsidRDefault="00443399" w:rsidP="00500EA4">
      <w:pPr>
        <w:jc w:val="center"/>
        <w:rPr>
          <w:rFonts w:ascii="Times New Roman" w:eastAsia="Arial" w:hAnsi="Times New Roman" w:cs="Times New Roman"/>
          <w:noProof/>
          <w:sz w:val="24"/>
          <w:szCs w:val="19"/>
        </w:rPr>
      </w:pPr>
      <w:r w:rsidRPr="00B03B51">
        <w:rPr>
          <w:rFonts w:ascii="Times New Roman" w:hAnsi="Times New Roman" w:cs="Times New Roman"/>
          <w:noProof/>
        </w:rPr>
        <w:drawing>
          <wp:inline distT="0" distB="0" distL="0" distR="0" wp14:anchorId="3DE93E95" wp14:editId="3812AE20">
            <wp:extent cx="5756275" cy="356743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56275" cy="3567430"/>
                    </a:xfrm>
                    <a:prstGeom prst="rect">
                      <a:avLst/>
                    </a:prstGeom>
                  </pic:spPr>
                </pic:pic>
              </a:graphicData>
            </a:graphic>
          </wp:inline>
        </w:drawing>
      </w:r>
    </w:p>
    <w:p w14:paraId="0878AC80" w14:textId="77777777" w:rsidR="00443399" w:rsidRPr="00B03B51" w:rsidRDefault="00443399" w:rsidP="00443399">
      <w:pPr>
        <w:jc w:val="both"/>
        <w:rPr>
          <w:rFonts w:ascii="Times New Roman" w:eastAsia="Arial" w:hAnsi="Times New Roman" w:cs="Times New Roman"/>
          <w:noProof/>
          <w:sz w:val="24"/>
          <w:szCs w:val="21"/>
        </w:rPr>
      </w:pPr>
    </w:p>
    <w:p w14:paraId="187E5549" w14:textId="77777777" w:rsidR="00443399" w:rsidRPr="00B03B51" w:rsidRDefault="00443399" w:rsidP="00443399">
      <w:pPr>
        <w:tabs>
          <w:tab w:val="left" w:pos="770"/>
        </w:tabs>
        <w:jc w:val="both"/>
        <w:rPr>
          <w:rFonts w:ascii="Times New Roman" w:hAnsi="Times New Roman" w:cs="Times New Roman"/>
          <w:b/>
          <w:noProof/>
          <w:sz w:val="24"/>
        </w:rPr>
      </w:pPr>
      <w:r w:rsidRPr="00B03B51">
        <w:rPr>
          <w:rFonts w:ascii="Times New Roman" w:hAnsi="Times New Roman" w:cs="Times New Roman"/>
          <w:b/>
          <w:sz w:val="24"/>
        </w:rPr>
        <w:t>3. Privatizācija, emitējot sertifikātus</w:t>
      </w:r>
    </w:p>
    <w:p w14:paraId="419AA07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40BECD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minētajos piemēros privatizācijas aģentūra (kas ietilpst vispārējās valdības sektorā) emitē sertifikātus, kurus bez maksas sadala mājsaimniecību sektoram. Noteiktā laikposmā mājsaimniecības var izmantot, lai iegādātos akcijas un citu pašu kapitālu, kas publiskās sabiedrībās pieder valdībai, un/vai nefinanšu aktīvus (piemēram, pamatlīdzekļus (AN.11)).</w:t>
      </w:r>
    </w:p>
    <w:p w14:paraId="388A09F6" w14:textId="77777777" w:rsidR="00443399" w:rsidRPr="00B03B51" w:rsidRDefault="00443399" w:rsidP="00443399">
      <w:pPr>
        <w:jc w:val="both"/>
        <w:rPr>
          <w:rFonts w:ascii="Times New Roman" w:eastAsia="Arial" w:hAnsi="Times New Roman" w:cs="Times New Roman"/>
          <w:noProof/>
          <w:sz w:val="24"/>
          <w:szCs w:val="18"/>
        </w:rPr>
      </w:pPr>
    </w:p>
    <w:p w14:paraId="22AD06FF" w14:textId="77777777" w:rsidR="00443399" w:rsidRPr="00B03B51" w:rsidRDefault="00443399" w:rsidP="00B73481">
      <w:pPr>
        <w:keepNext/>
        <w:tabs>
          <w:tab w:val="left" w:pos="843"/>
        </w:tabs>
        <w:jc w:val="both"/>
        <w:rPr>
          <w:rFonts w:ascii="Times New Roman" w:hAnsi="Times New Roman" w:cs="Times New Roman"/>
          <w:b/>
          <w:noProof/>
          <w:sz w:val="24"/>
        </w:rPr>
      </w:pPr>
      <w:r w:rsidRPr="00B03B51">
        <w:rPr>
          <w:rFonts w:ascii="Times New Roman" w:hAnsi="Times New Roman" w:cs="Times New Roman"/>
          <w:b/>
          <w:sz w:val="24"/>
        </w:rPr>
        <w:lastRenderedPageBreak/>
        <w:t>i) Sertifikātus uzskata par finanšu aktīviem, kad tos emitē</w:t>
      </w:r>
    </w:p>
    <w:p w14:paraId="62F23C4D" w14:textId="77777777" w:rsidR="00443399" w:rsidRPr="00B03B51" w:rsidRDefault="00443399" w:rsidP="00B73481">
      <w:pPr>
        <w:keepNext/>
        <w:jc w:val="both"/>
        <w:rPr>
          <w:rFonts w:ascii="Times New Roman" w:hAnsi="Times New Roman" w:cs="Times New Roman"/>
          <w:b/>
          <w:noProof/>
          <w:sz w:val="24"/>
        </w:rPr>
      </w:pPr>
    </w:p>
    <w:p w14:paraId="020043BF" w14:textId="77777777" w:rsidR="00443399" w:rsidRPr="00B03B51" w:rsidRDefault="00443399" w:rsidP="00B73481">
      <w:pPr>
        <w:keepNext/>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3FAECCDA" wp14:editId="2FF5AF1F">
            <wp:extent cx="5756275" cy="3300095"/>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6275" cy="3300095"/>
                    </a:xfrm>
                    <a:prstGeom prst="rect">
                      <a:avLst/>
                    </a:prstGeom>
                  </pic:spPr>
                </pic:pic>
              </a:graphicData>
            </a:graphic>
          </wp:inline>
        </w:drawing>
      </w:r>
    </w:p>
    <w:p w14:paraId="5F33ADD5" w14:textId="77777777" w:rsidR="00443399" w:rsidRPr="00B03B51" w:rsidRDefault="00443399" w:rsidP="00443399">
      <w:pPr>
        <w:jc w:val="both"/>
        <w:rPr>
          <w:rFonts w:ascii="Times New Roman" w:hAnsi="Times New Roman" w:cs="Times New Roman"/>
          <w:b/>
          <w:noProof/>
          <w:sz w:val="24"/>
        </w:rPr>
      </w:pPr>
    </w:p>
    <w:p w14:paraId="5CA0AE1B"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t>Finanšu aktīvu iegāde</w:t>
      </w:r>
    </w:p>
    <w:p w14:paraId="1B44179B" w14:textId="77777777" w:rsidR="00443399" w:rsidRPr="00B03B51" w:rsidRDefault="00443399" w:rsidP="00443399">
      <w:pPr>
        <w:keepNext/>
        <w:jc w:val="both"/>
        <w:rPr>
          <w:rFonts w:ascii="Times New Roman" w:hAnsi="Times New Roman" w:cs="Times New Roman"/>
          <w:b/>
          <w:noProof/>
          <w:sz w:val="24"/>
        </w:rPr>
      </w:pPr>
    </w:p>
    <w:p w14:paraId="1E4A47F6" w14:textId="77777777" w:rsidR="00443399" w:rsidRPr="00B03B51" w:rsidRDefault="00443399" w:rsidP="00443399">
      <w:pPr>
        <w:keepNext/>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7F4C0FA0" wp14:editId="24006563">
            <wp:extent cx="5756275" cy="291592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56275" cy="2915920"/>
                    </a:xfrm>
                    <a:prstGeom prst="rect">
                      <a:avLst/>
                    </a:prstGeom>
                  </pic:spPr>
                </pic:pic>
              </a:graphicData>
            </a:graphic>
          </wp:inline>
        </w:drawing>
      </w:r>
    </w:p>
    <w:p w14:paraId="22B77A1E" w14:textId="77777777" w:rsidR="00443399" w:rsidRPr="00B03B51" w:rsidRDefault="00443399" w:rsidP="00443399">
      <w:pPr>
        <w:jc w:val="both"/>
        <w:rPr>
          <w:rFonts w:ascii="Times New Roman" w:eastAsia="Arial" w:hAnsi="Times New Roman" w:cs="Times New Roman"/>
          <w:noProof/>
          <w:sz w:val="24"/>
          <w:szCs w:val="21"/>
        </w:rPr>
      </w:pPr>
    </w:p>
    <w:p w14:paraId="73D48AE4"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ii) Sertifikāti ir tikai iespējami aktīvi, un tāpēc emisijas brīdī tos neieraksta sistēmā. Tos var izmantot vienīgi finanšu vai nefinanšu aktīvu iegādei.</w:t>
      </w:r>
    </w:p>
    <w:p w14:paraId="3BE13D4C" w14:textId="77777777" w:rsidR="00443399" w:rsidRPr="00B03B51" w:rsidRDefault="00443399" w:rsidP="00443399">
      <w:pPr>
        <w:jc w:val="both"/>
        <w:rPr>
          <w:rFonts w:ascii="Times New Roman" w:eastAsia="Arial" w:hAnsi="Times New Roman" w:cs="Times New Roman"/>
          <w:b/>
          <w:bCs/>
          <w:noProof/>
          <w:sz w:val="24"/>
        </w:rPr>
      </w:pPr>
    </w:p>
    <w:p w14:paraId="4AF958D0" w14:textId="77777777" w:rsidR="00443399" w:rsidRPr="00B03B51" w:rsidRDefault="00443399" w:rsidP="004205D9">
      <w:pPr>
        <w:keepNext/>
        <w:jc w:val="both"/>
        <w:rPr>
          <w:rFonts w:ascii="Times New Roman" w:hAnsi="Times New Roman" w:cs="Times New Roman"/>
          <w:b/>
          <w:noProof/>
          <w:sz w:val="24"/>
        </w:rPr>
      </w:pPr>
      <w:r w:rsidRPr="00B03B51">
        <w:rPr>
          <w:rFonts w:ascii="Times New Roman" w:hAnsi="Times New Roman" w:cs="Times New Roman"/>
          <w:b/>
          <w:sz w:val="24"/>
        </w:rPr>
        <w:lastRenderedPageBreak/>
        <w:t>Finanšu aktīvu iegāde</w:t>
      </w:r>
    </w:p>
    <w:p w14:paraId="5AD0F2FC" w14:textId="77777777" w:rsidR="00443399" w:rsidRPr="00B03B51" w:rsidRDefault="00443399" w:rsidP="004205D9">
      <w:pPr>
        <w:keepNext/>
        <w:jc w:val="both"/>
        <w:rPr>
          <w:rFonts w:ascii="Times New Roman" w:eastAsia="Arial" w:hAnsi="Times New Roman" w:cs="Times New Roman"/>
          <w:b/>
          <w:bCs/>
          <w:noProof/>
          <w:sz w:val="24"/>
          <w:szCs w:val="20"/>
        </w:rPr>
      </w:pPr>
    </w:p>
    <w:p w14:paraId="1D069C12" w14:textId="77777777" w:rsidR="00443399" w:rsidRPr="00B03B51" w:rsidRDefault="00443399" w:rsidP="004205D9">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3E3E4EF9" wp14:editId="77686F49">
            <wp:extent cx="5756275" cy="3423285"/>
            <wp:effectExtent l="0" t="0" r="0" b="5715"/>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6275" cy="3423285"/>
                    </a:xfrm>
                    <a:prstGeom prst="rect">
                      <a:avLst/>
                    </a:prstGeom>
                  </pic:spPr>
                </pic:pic>
              </a:graphicData>
            </a:graphic>
          </wp:inline>
        </w:drawing>
      </w:r>
    </w:p>
    <w:p w14:paraId="219E0EF2" w14:textId="77777777" w:rsidR="00443399" w:rsidRPr="00B03B51" w:rsidRDefault="00443399" w:rsidP="00443399">
      <w:pPr>
        <w:jc w:val="both"/>
        <w:rPr>
          <w:rFonts w:ascii="Times New Roman" w:hAnsi="Times New Roman" w:cs="Times New Roman"/>
          <w:b/>
          <w:noProof/>
          <w:sz w:val="24"/>
        </w:rPr>
      </w:pPr>
    </w:p>
    <w:p w14:paraId="47B01A6D"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t>Ražotu nefinanšu aktīvu iegāde</w:t>
      </w:r>
    </w:p>
    <w:p w14:paraId="49F2B07F" w14:textId="77777777" w:rsidR="00443399" w:rsidRPr="00B03B51" w:rsidRDefault="00443399" w:rsidP="00443399">
      <w:pPr>
        <w:keepNext/>
        <w:jc w:val="both"/>
        <w:rPr>
          <w:rFonts w:ascii="Times New Roman" w:eastAsia="Arial" w:hAnsi="Times New Roman" w:cs="Times New Roman"/>
          <w:b/>
          <w:bCs/>
          <w:noProof/>
          <w:sz w:val="24"/>
          <w:szCs w:val="20"/>
        </w:rPr>
      </w:pPr>
    </w:p>
    <w:p w14:paraId="7E69DD5D" w14:textId="77777777" w:rsidR="00443399" w:rsidRPr="00B03B51" w:rsidRDefault="00443399" w:rsidP="00443399">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7C8232A3" wp14:editId="29DD7F71">
            <wp:extent cx="5756275" cy="99187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56275" cy="991870"/>
                    </a:xfrm>
                    <a:prstGeom prst="rect">
                      <a:avLst/>
                    </a:prstGeom>
                  </pic:spPr>
                </pic:pic>
              </a:graphicData>
            </a:graphic>
          </wp:inline>
        </w:drawing>
      </w:r>
    </w:p>
    <w:p w14:paraId="3E5E21D6" w14:textId="77777777" w:rsidR="00443399" w:rsidRPr="00B03B51" w:rsidRDefault="00443399" w:rsidP="00443399">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316EDF01" wp14:editId="056DF1BF">
            <wp:extent cx="5756275" cy="172212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56275" cy="1722120"/>
                    </a:xfrm>
                    <a:prstGeom prst="rect">
                      <a:avLst/>
                    </a:prstGeom>
                  </pic:spPr>
                </pic:pic>
              </a:graphicData>
            </a:graphic>
          </wp:inline>
        </w:drawing>
      </w:r>
    </w:p>
    <w:p w14:paraId="38AD040C" w14:textId="77777777" w:rsidR="00443399" w:rsidRPr="00B03B51" w:rsidRDefault="00443399" w:rsidP="00443399">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608105AB" w14:textId="77777777" w:rsidR="00443399" w:rsidRPr="00B03B51" w:rsidRDefault="00443399" w:rsidP="00443399">
      <w:pPr>
        <w:jc w:val="both"/>
        <w:rPr>
          <w:rFonts w:ascii="Times New Roman" w:eastAsia="Arial" w:hAnsi="Times New Roman" w:cs="Times New Roman"/>
          <w:b/>
          <w:bCs/>
          <w:noProof/>
          <w:sz w:val="24"/>
          <w:szCs w:val="20"/>
        </w:rPr>
      </w:pPr>
    </w:p>
    <w:p w14:paraId="50C34BA2"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442" w:name="5.5_Securitisation_operations_undertaken"/>
      <w:bookmarkStart w:id="443" w:name="_bookmark44"/>
      <w:bookmarkStart w:id="444" w:name="_Toc67565160"/>
      <w:bookmarkEnd w:id="442"/>
      <w:bookmarkEnd w:id="443"/>
      <w:r w:rsidRPr="00B03B51">
        <w:rPr>
          <w:rFonts w:ascii="Times New Roman" w:hAnsi="Times New Roman" w:cs="Times New Roman"/>
          <w:sz w:val="28"/>
          <w:szCs w:val="44"/>
        </w:rPr>
        <w:t>5.5. Vispārējās valdības veiktās vērtspapīrošanas operācijas</w:t>
      </w:r>
      <w:bookmarkEnd w:id="444"/>
    </w:p>
    <w:p w14:paraId="6F396FDF" w14:textId="77777777" w:rsidR="00443399" w:rsidRPr="00100B51" w:rsidRDefault="00443399" w:rsidP="00100B51">
      <w:pPr>
        <w:rPr>
          <w:rFonts w:ascii="Times New Roman" w:hAnsi="Times New Roman" w:cs="Times New Roman"/>
          <w:noProof/>
          <w:sz w:val="24"/>
          <w:szCs w:val="24"/>
        </w:rPr>
      </w:pPr>
      <w:bookmarkStart w:id="445" w:name="5.5.1_Background"/>
      <w:bookmarkEnd w:id="445"/>
    </w:p>
    <w:p w14:paraId="0985BF0B" w14:textId="77777777" w:rsidR="00443399" w:rsidRPr="00B03B51" w:rsidRDefault="00443399" w:rsidP="00443399">
      <w:pPr>
        <w:pStyle w:val="Heading3"/>
        <w:ind w:left="0" w:firstLine="0"/>
        <w:jc w:val="both"/>
        <w:rPr>
          <w:rFonts w:ascii="Times New Roman" w:hAnsi="Times New Roman" w:cs="Times New Roman"/>
          <w:noProof/>
          <w:sz w:val="24"/>
        </w:rPr>
      </w:pPr>
      <w:bookmarkStart w:id="446" w:name="_Toc67565161"/>
      <w:r w:rsidRPr="00B03B51">
        <w:rPr>
          <w:rFonts w:ascii="Times New Roman" w:hAnsi="Times New Roman" w:cs="Times New Roman"/>
          <w:sz w:val="24"/>
        </w:rPr>
        <w:t>5.5.1. Vispārīga informācija</w:t>
      </w:r>
      <w:bookmarkEnd w:id="446"/>
    </w:p>
    <w:p w14:paraId="6AFEB4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5ACD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Valdības var iesaistīties vērtspapīrošanas pasākumos, ko parasti īsteno banka.</w:t>
      </w:r>
    </w:p>
    <w:p w14:paraId="5E8E30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F45B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Attiecībā uz valdības finanšu statistiku rodas jautājums, vai valdības veikta vērtspapīrošana nozīmē valdības aizņēmumu, kas tādējādi ietekmē valsts parādu, vai arī to var uzskatīt par valdības veiktu aktīva pārdošanu.</w:t>
      </w:r>
    </w:p>
    <w:p w14:paraId="2C72D46A" w14:textId="77777777" w:rsidR="00443399" w:rsidRPr="00B03B51" w:rsidRDefault="00443399" w:rsidP="00443399">
      <w:pPr>
        <w:jc w:val="both"/>
        <w:rPr>
          <w:rFonts w:ascii="Times New Roman" w:eastAsia="Arial" w:hAnsi="Times New Roman" w:cs="Times New Roman"/>
          <w:noProof/>
          <w:sz w:val="24"/>
          <w:szCs w:val="15"/>
        </w:rPr>
      </w:pPr>
    </w:p>
    <w:p w14:paraId="4C4BB38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47" w:name="5.5.1.1_Securitisation_arrangements_and_"/>
      <w:bookmarkEnd w:id="447"/>
      <w:r w:rsidRPr="00B03B51">
        <w:rPr>
          <w:rFonts w:ascii="Times New Roman" w:hAnsi="Times New Roman" w:cs="Times New Roman"/>
          <w:sz w:val="24"/>
        </w:rPr>
        <w:t>5.5.1.1. VĒRTSPAPĪROŠANAS PASĀKUMI UN DEFINĪCIJA</w:t>
      </w:r>
    </w:p>
    <w:p w14:paraId="0F335E1F" w14:textId="77777777" w:rsidR="00443399" w:rsidRPr="00B03B51" w:rsidRDefault="00443399" w:rsidP="00443399">
      <w:pPr>
        <w:tabs>
          <w:tab w:val="left" w:pos="843"/>
        </w:tabs>
        <w:jc w:val="both"/>
        <w:rPr>
          <w:rFonts w:ascii="Times New Roman" w:hAnsi="Times New Roman" w:cs="Times New Roman"/>
          <w:noProof/>
          <w:sz w:val="24"/>
        </w:rPr>
      </w:pPr>
    </w:p>
    <w:p w14:paraId="40AE8C73" w14:textId="77777777" w:rsidR="00443399" w:rsidRPr="00B03B51" w:rsidRDefault="00443399" w:rsidP="00443399">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3. Vērtspapīrošana ir finanšu paņēmiens, kas EKS 2010 5.104. punktā ir aprakstīts šādi: </w:t>
      </w:r>
      <w:r w:rsidRPr="00B03B51">
        <w:rPr>
          <w:rFonts w:ascii="Times New Roman" w:hAnsi="Times New Roman" w:cs="Times New Roman"/>
          <w:i/>
          <w:sz w:val="24"/>
        </w:rPr>
        <w:t xml:space="preserve">Vērstpapīrošana ir tādu parāda vērtspapīru emisija, kuru kupona vai pamatsummas maksājumi ir nodrošināti ar noteiktiem aktīviem vai nākotnes ienākumu plūsmām. </w:t>
      </w:r>
      <w:r w:rsidRPr="00B03B51">
        <w:rPr>
          <w:rFonts w:ascii="Times New Roman" w:hAnsi="Times New Roman" w:cs="Times New Roman"/>
          <w:i/>
          <w:iCs/>
          <w:sz w:val="24"/>
        </w:rPr>
        <w:t>Daudzi aktīvi vai nākotnes ienākumu plūsmas var būt vērtspapīrotas, tostarp hipotekārie aizdevumi mājokļa iegādei vai komerciālie hipotekārie aizdevumi, patēriņa kredīti, korporatīvie aizdevumi, valdības aizdevumi, apdrošināšanas līgumi, kredīta atvasinātie instrumenti un nākotnes ieņēmumi</w:t>
      </w:r>
      <w:r w:rsidRPr="00B03B51">
        <w:rPr>
          <w:rFonts w:ascii="Times New Roman" w:hAnsi="Times New Roman" w:cs="Times New Roman"/>
          <w:sz w:val="24"/>
        </w:rPr>
        <w:t>.</w:t>
      </w:r>
      <w:r w:rsidRPr="00B03B51">
        <w:rPr>
          <w:rStyle w:val="FootnoteReference"/>
          <w:rFonts w:ascii="Times New Roman" w:hAnsi="Times New Roman" w:cs="Times New Roman"/>
          <w:noProof/>
          <w:sz w:val="24"/>
        </w:rPr>
        <w:footnoteReference w:id="186"/>
      </w:r>
    </w:p>
    <w:p w14:paraId="034EF2AB" w14:textId="77777777" w:rsidR="00443399" w:rsidRPr="00B03B51" w:rsidRDefault="00443399" w:rsidP="00443399">
      <w:pPr>
        <w:tabs>
          <w:tab w:val="left" w:pos="843"/>
        </w:tabs>
        <w:jc w:val="both"/>
        <w:rPr>
          <w:rFonts w:ascii="Times New Roman" w:hAnsi="Times New Roman" w:cs="Times New Roman"/>
          <w:noProof/>
          <w:sz w:val="24"/>
        </w:rPr>
      </w:pPr>
    </w:p>
    <w:p w14:paraId="06C04A43"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4. EKS 2010 5.105. punktā ir arī noteikts, ka: </w:t>
      </w:r>
      <w:r w:rsidRPr="00B03B51">
        <w:rPr>
          <w:rFonts w:ascii="Times New Roman" w:hAnsi="Times New Roman" w:cs="Times New Roman"/>
          <w:i/>
          <w:sz w:val="24"/>
        </w:rPr>
        <w:t xml:space="preserve">Aktīvu vai nākotnes ienākumu plūsmu vērtspapīrošana ir svarīga finanšu inovācija, kuras rezultātā radītas un intensīvi tiek izmantotas jaunas finanšu sabiedrības, kas atvieglo parāda vērtspapīru radīšanu, tirgošanu un emitēšanu. Vērtspapīrošanu virza dažādi apsvērumi. </w:t>
      </w:r>
      <w:r w:rsidRPr="00B03B51">
        <w:rPr>
          <w:rFonts w:ascii="Times New Roman" w:hAnsi="Times New Roman" w:cs="Times New Roman"/>
          <w:i/>
          <w:iCs/>
          <w:sz w:val="24"/>
        </w:rPr>
        <w:t>Sabiedrībām tie ir šādi: finansējums ir lētāks nekā banku piedāvātās iespējas, mazākas regulatoru noteiktās kapitāla prasības, dažādu risku nodošana, piemēram, kredītriska vai apdrošināšanas riska, un finansējuma avotu dažādošana</w:t>
      </w:r>
      <w:r w:rsidRPr="00B03B51">
        <w:rPr>
          <w:rFonts w:ascii="Times New Roman" w:hAnsi="Times New Roman" w:cs="Times New Roman"/>
          <w:sz w:val="24"/>
        </w:rPr>
        <w:t>.</w:t>
      </w:r>
    </w:p>
    <w:p w14:paraId="19EDB26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E1DD8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Iniciators nodod juridiskās īpašumtiesības uz aktīviem un/vai konkrētām nākotnes plūsmām vērtspapīrošanas struktūrvienībai, kas apmaiņā pret to samaksā iniciatoram noteiktu naudas summu. Vērtspapīrošanas struktūrvienība finansē šādu maksājumu ar vērtspapīru emisiju, izmantojot aktīvus un/vai tiesības uz nākotnes plūsmām, kuras iniciators ir nodevis kā nodrošinājumu. Šāda vērtspapīrošanas struktūrvienība bieži, taču ne vienmēr, ir īpašam nolūkam dibināta sabiedrība (ĪNDS), kas ir izveidota vērtspapīrošanas mērķim un ir juridiski nošķirta no iniciatora (skat. turpmāk vērtspapīrošanā iesaistītās vienības klasifikāciju). Vērtspapīru emisiju var vadīt trešā puse, piemēram, privāta banka, tomēr šāda trešā puse parasti neuzņemas nekādus ar operāciju saistītus riskus vai priekšrocības.</w:t>
      </w:r>
    </w:p>
    <w:p w14:paraId="49FC06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85E0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Investori iegādājas vērtspapīrošanas struktūrvienības emitētos vērtspapīrus, pamatojoties uz aktīvu/tiesību radītajām plūsmām, nevis uz iniciatora kredītspēju. Investoriem parasti ir tiešs </w:t>
      </w:r>
      <w:r w:rsidRPr="00B03B51">
        <w:rPr>
          <w:rFonts w:ascii="Times New Roman" w:hAnsi="Times New Roman" w:cs="Times New Roman"/>
          <w:sz w:val="24"/>
        </w:rPr>
        <w:lastRenderedPageBreak/>
        <w:t>un juridisks prasījums attiecībā uz aktīvu vai citu tiesību radītajiem ieņēmumiem gadījumā, ja vērtspapīrošanas struktūrvienība nemaksā pienākošos procentus un kapitālu.</w:t>
      </w:r>
      <w:r w:rsidRPr="00B03B51">
        <w:rPr>
          <w:rStyle w:val="FootnoteReference"/>
          <w:rFonts w:ascii="Times New Roman" w:hAnsi="Times New Roman" w:cs="Times New Roman"/>
          <w:noProof/>
          <w:sz w:val="24"/>
        </w:rPr>
        <w:footnoteReference w:id="187"/>
      </w:r>
    </w:p>
    <w:p w14:paraId="7EF6643B" w14:textId="77777777" w:rsidR="00443399" w:rsidRPr="00B03B51" w:rsidRDefault="00443399" w:rsidP="00443399">
      <w:pPr>
        <w:jc w:val="both"/>
        <w:rPr>
          <w:rFonts w:ascii="Times New Roman" w:hAnsi="Times New Roman" w:cs="Times New Roman"/>
          <w:noProof/>
          <w:sz w:val="24"/>
        </w:rPr>
      </w:pPr>
    </w:p>
    <w:p w14:paraId="4D70209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48" w:name="5.5.1.2_Issues_for_national_accounts"/>
      <w:bookmarkEnd w:id="448"/>
      <w:r w:rsidRPr="00B03B51">
        <w:rPr>
          <w:rFonts w:ascii="Times New Roman" w:hAnsi="Times New Roman" w:cs="Times New Roman"/>
          <w:sz w:val="24"/>
        </w:rPr>
        <w:t>5.5.1.2. AR NACIONĀLAJIEM KONTIEM SAISTĪTI JAUTĀJUMI</w:t>
      </w:r>
    </w:p>
    <w:p w14:paraId="61A050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E4C58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Galvenais jautājums rodas saistībā ar to, kā nacionālajos kontos ierakstīt ieņēmumus, kurus valdība saņem no vērtspapīrošanas, un vai tie ietekmē valdības parādu un/vai valdības neto aizdevumu/aizņēmumu (B.9).</w:t>
      </w:r>
    </w:p>
    <w:p w14:paraId="31FC5FF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FAD8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Ir jānoskaidro, vai vērtspapīrošana piešķir tiesības pārdot pastāvošu EKS 2010 aktīvu vērtspapīrošanas struktūrvienībai jeb vai arī tā piešķir tiesības aizņemties, kā nodrošinājumu izmantojot turpmākos skaidras naudas ieņēmumus. Sekundārā problēma ir saistīta ar ietekmi uz valdības neto aizdevumu/aizņēmumu (B.9), ja vērtspapīrošanas operācijas objekts ir nefinanšu aktīvs.</w:t>
      </w:r>
    </w:p>
    <w:p w14:paraId="6751A3A8" w14:textId="77777777" w:rsidR="00443399" w:rsidRPr="00B03B51" w:rsidRDefault="00443399" w:rsidP="00443399">
      <w:pPr>
        <w:jc w:val="both"/>
        <w:rPr>
          <w:rFonts w:ascii="Times New Roman" w:hAnsi="Times New Roman" w:cs="Times New Roman"/>
          <w:noProof/>
          <w:sz w:val="24"/>
        </w:rPr>
      </w:pPr>
    </w:p>
    <w:p w14:paraId="420064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Vispārējai valdībai piederoša iniciatora veiktu aktīvu realizāciju nacionālajos kontos ieraksta vērtspapīrošanas operācijas veikšanas brīdī, ja:</w:t>
      </w:r>
    </w:p>
    <w:p w14:paraId="241AC31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1BAC9A8" w14:textId="77777777" w:rsidR="00443399" w:rsidRPr="00B03B51" w:rsidRDefault="00443399" w:rsidP="004205D9">
      <w:pPr>
        <w:pStyle w:val="BodyText"/>
        <w:numPr>
          <w:ilvl w:val="1"/>
          <w:numId w:val="5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vērtspapīrošanas operācijas objekts ir aktīvi, kuri ir šādi atzīti nacionālajos kontos un šādi nododami tālāk, un</w:t>
      </w:r>
    </w:p>
    <w:p w14:paraId="65D70161" w14:textId="77777777" w:rsidR="00443399" w:rsidRPr="00B03B51" w:rsidRDefault="00443399" w:rsidP="004205D9">
      <w:pPr>
        <w:pStyle w:val="BodyText"/>
        <w:numPr>
          <w:ilvl w:val="1"/>
          <w:numId w:val="5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operāciju veic tā, lai visi ar šiem aktīviem saistītie riski</w:t>
      </w:r>
      <w:r w:rsidRPr="00B03B51">
        <w:rPr>
          <w:rStyle w:val="FootnoteReference"/>
          <w:rFonts w:ascii="Times New Roman" w:hAnsi="Times New Roman" w:cs="Times New Roman"/>
          <w:noProof/>
          <w:sz w:val="24"/>
        </w:rPr>
        <w:footnoteReference w:id="188"/>
      </w:r>
      <w:r w:rsidRPr="00B03B51">
        <w:rPr>
          <w:rFonts w:ascii="Times New Roman" w:hAnsi="Times New Roman" w:cs="Times New Roman"/>
          <w:sz w:val="24"/>
        </w:rPr>
        <w:t xml:space="preserve"> un priekšrocības tiktu pilnīgi nodoti vērtspapīrošanas struktūrvienībai, un</w:t>
      </w:r>
    </w:p>
    <w:p w14:paraId="045CCDCB" w14:textId="77777777" w:rsidR="00443399" w:rsidRPr="00B03B51" w:rsidRDefault="00443399" w:rsidP="004205D9">
      <w:pPr>
        <w:pStyle w:val="BodyText"/>
        <w:numPr>
          <w:ilvl w:val="1"/>
          <w:numId w:val="5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vērtspapīrošanas struktūrvienība, kas iegādājas aktīvus no iniciatora, ir institucionāla vienība, kas neietilpst vispārējās valdības sektorā.</w:t>
      </w:r>
    </w:p>
    <w:p w14:paraId="774F994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B7D29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Šīs nodaļas mērķis ir izklāstīt noteikumus attiecībā uz to, ko nacionālajos kontos var ierakstīt kā pārdošanu vērtspapīrošanas operācijā ar valdības līdzdalību. Nodaļā ir apspriesta ne tikai valdības veikta aktīvu vērtspapīrošana, bet arī gadījums, kad valdības sektoram nepiederoša organizācija pārvērš vērtspapīros tai gaidāmo maksājumu plūsmu no valdības, piemēram, dotācijas.</w:t>
      </w:r>
    </w:p>
    <w:p w14:paraId="7E15F118" w14:textId="77777777" w:rsidR="00443399" w:rsidRPr="00B03B51" w:rsidRDefault="00443399" w:rsidP="00443399">
      <w:pPr>
        <w:jc w:val="both"/>
        <w:rPr>
          <w:rFonts w:ascii="Times New Roman" w:eastAsia="Arial" w:hAnsi="Times New Roman" w:cs="Times New Roman"/>
          <w:noProof/>
          <w:sz w:val="24"/>
          <w:szCs w:val="19"/>
        </w:rPr>
      </w:pPr>
    </w:p>
    <w:p w14:paraId="2ACF1F8E" w14:textId="77777777" w:rsidR="00443399" w:rsidRPr="00B03B51" w:rsidRDefault="00443399" w:rsidP="00443399">
      <w:pPr>
        <w:pStyle w:val="Heading3"/>
        <w:ind w:left="0" w:firstLine="0"/>
        <w:jc w:val="both"/>
        <w:rPr>
          <w:rFonts w:ascii="Times New Roman" w:hAnsi="Times New Roman" w:cs="Times New Roman"/>
          <w:noProof/>
          <w:sz w:val="24"/>
        </w:rPr>
      </w:pPr>
      <w:bookmarkStart w:id="449" w:name="5.5.2_Treatment_in_national_accounts"/>
      <w:bookmarkStart w:id="450" w:name="_Toc67565162"/>
      <w:bookmarkEnd w:id="449"/>
      <w:r w:rsidRPr="00B03B51">
        <w:rPr>
          <w:rFonts w:ascii="Times New Roman" w:hAnsi="Times New Roman" w:cs="Times New Roman"/>
          <w:sz w:val="24"/>
        </w:rPr>
        <w:t>5.5.2. Traktējums nacionālajos kontos</w:t>
      </w:r>
      <w:bookmarkEnd w:id="450"/>
    </w:p>
    <w:p w14:paraId="66FA4B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B3126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Pastāv divas iespējas, kā nacionālajos kontos (skat. EKS 2010 20.262.–20.271. punktu) var ierakstīt vērtspapīrošanas ieņēmumus, kurus gūst valdības sektoram piederošs iniciators:</w:t>
      </w:r>
    </w:p>
    <w:p w14:paraId="17938BC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65566A" w14:textId="77777777" w:rsidR="00443399" w:rsidRPr="00B03B51" w:rsidRDefault="00443399" w:rsidP="004205D9">
      <w:pPr>
        <w:pStyle w:val="BodyText"/>
        <w:numPr>
          <w:ilvl w:val="1"/>
          <w:numId w:val="5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aktīva pārdevums, t. i., valdības veikta aktīvu ekonomisko īpašumtiesību atsavināšana apmaiņā pret naudu vai citiem aktīviem, vai</w:t>
      </w:r>
    </w:p>
    <w:p w14:paraId="54B0D82E" w14:textId="77777777" w:rsidR="00443399" w:rsidRPr="00B03B51" w:rsidRDefault="00443399" w:rsidP="004205D9">
      <w:pPr>
        <w:pStyle w:val="BodyText"/>
        <w:numPr>
          <w:ilvl w:val="1"/>
          <w:numId w:val="5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valdības aizņēmums (uzņemoties saistības).</w:t>
      </w:r>
    </w:p>
    <w:p w14:paraId="1F6234F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9733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12. Secīgi kritēriji, kurus izmanto, lai pieņemtu lēmumu par atbilstošu uzskaiti, ir sniegti turpmāk iekļautajā lēmuma pieņemšanas shēmā.</w:t>
      </w:r>
    </w:p>
    <w:p w14:paraId="64A3CAE0" w14:textId="77777777" w:rsidR="00443399" w:rsidRPr="00B03B51" w:rsidRDefault="00443399" w:rsidP="00443399">
      <w:pPr>
        <w:jc w:val="both"/>
        <w:rPr>
          <w:rFonts w:ascii="Times New Roman" w:eastAsia="Arial" w:hAnsi="Times New Roman" w:cs="Times New Roman"/>
          <w:noProof/>
          <w:sz w:val="24"/>
          <w:szCs w:val="16"/>
        </w:rPr>
      </w:pPr>
    </w:p>
    <w:p w14:paraId="7AAAE01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51" w:name="5.5.2.1_Recognition_of_assets_in_nationa"/>
      <w:bookmarkEnd w:id="451"/>
      <w:r w:rsidRPr="00B03B51">
        <w:rPr>
          <w:rFonts w:ascii="Times New Roman" w:hAnsi="Times New Roman" w:cs="Times New Roman"/>
          <w:sz w:val="24"/>
        </w:rPr>
        <w:t>5.5.2.1. AKTĪVU ATZĪŠANA NACIONĀLAJOS KONTOS</w:t>
      </w:r>
    </w:p>
    <w:p w14:paraId="0863E81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BCA84A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13. Lai vērtspapīrošanas operāciju ierakstītu kā valdības veiktu aktīvu pārdošanu, nepieciešams (lai arī nepietiekams) nosacījums ir aktīvu atzīšana nacionālajos kontos par aktīviem un attiecīgi to ierakstīšana šādā statusā nacionālajos kontos valdības bilancē brīdī, kad veic vērtspapīrošanu. Šajā saistībā ir lietderīgi piemērot dalījumu starp finanšu aktīviem un nefinanšu aktīviem, apspriežot risku un priekšrocību jēdzienu. Turpmākajos punktos ir apspriesti gadījumi, kad vērtspapīros pārvērstie līdzekļi nacionālajos kontos nav atzīti par aktīviem vai netiek uzskatīti par nododamiem. Visos šajos gadījumos vērtspapīrošanu ieraksta kā valdības aizņēmumu.</w:t>
      </w:r>
    </w:p>
    <w:p w14:paraId="234FE884" w14:textId="77777777" w:rsidR="00443399" w:rsidRPr="00B03B51" w:rsidRDefault="00443399" w:rsidP="00443399">
      <w:pPr>
        <w:jc w:val="both"/>
        <w:rPr>
          <w:rFonts w:ascii="Times New Roman" w:eastAsia="Arial" w:hAnsi="Times New Roman" w:cs="Times New Roman"/>
          <w:noProof/>
          <w:sz w:val="24"/>
          <w:szCs w:val="15"/>
        </w:rPr>
      </w:pPr>
    </w:p>
    <w:p w14:paraId="4B97CE8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52" w:name="5.5.2.2_Securitisation_of_flows_attached"/>
      <w:bookmarkEnd w:id="452"/>
      <w:r w:rsidRPr="00B03B51">
        <w:rPr>
          <w:rFonts w:ascii="Times New Roman" w:hAnsi="Times New Roman" w:cs="Times New Roman"/>
          <w:sz w:val="24"/>
        </w:rPr>
        <w:t>5.5.2.2. NEATZĪTAM AKTĪVAM PIESAISTĪTU PLŪSMU VĒRTSPAPĪROŠANA</w:t>
      </w:r>
    </w:p>
    <w:p w14:paraId="19DA91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10C6C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Valdība var pārvērst vērtspapīros nākotnes ieņēmumus, kas ir neatlīdzināmi pārvedumi, piemēram, nākotnes nodokļu ieņēmumus. Tā kā tomēr tiesības saņemt šādus pārvedumus nacionālajos kontos nav atzītas kā aktīvs, šādos gadījumos nav iespējams ierakstīt aktīva pārdošanu. Ieņēmumi vēl nav uzkrāti, iespējams, tāpēc, ka vēl nav veikta darbība, kuras rezultātā rodas nodokļu saistības, un attiecīgi nacionālo kontu bilancē nepastāv neviens aktīvs. Tāpēc valdības veiktu nākotnes nodokļu ieņēmumu vērtspapīrošanu pirms nodokļu maksātāja saistību uzkrāšanās nacionālajos kontos vienmēr ieraksta kā valdības aizņēmumu.</w:t>
      </w:r>
    </w:p>
    <w:p w14:paraId="049A5AC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098A0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Tāpat (kā valdības aizņēmumu) ieraksta arī tādu pārvedumu vērtspapīrošanu, kurus valsts vienības plāno saņemt no ES iestādēm vai citām starptautiskām organizācijām, vai arī no loteriju ieņēmumiem, licenču maksām vai soda naudām. Vispārīgākā izpratnē par valdības aizņēmumu uzskata visus neatlīdzināmos sadales darījumus tiktāl, ciktāl nav paziņots neviens ieraksts nacionālo kontu bilancē.</w:t>
      </w:r>
    </w:p>
    <w:p w14:paraId="6A4357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9394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Aizdevumu aktīvus, kas sākumā nacionālajos kontos netika atzīti par aizdevuma aktīviem, jo pastāv zema varbūtība, ka tos būs iespējams atgūt, un kas līdz ar to valdības kontos tika uzskatīti par nefinanšu kapitāla pārvedumu, ieraksta kā aizņēmumu, ja tie ir vērtspapīroti.</w:t>
      </w:r>
    </w:p>
    <w:p w14:paraId="1CC2200D" w14:textId="77777777" w:rsidR="00443399" w:rsidRPr="00B03B51" w:rsidRDefault="00443399" w:rsidP="00443399">
      <w:pPr>
        <w:jc w:val="both"/>
        <w:rPr>
          <w:rFonts w:ascii="Times New Roman" w:hAnsi="Times New Roman" w:cs="Times New Roman"/>
          <w:noProof/>
          <w:sz w:val="24"/>
        </w:rPr>
      </w:pPr>
    </w:p>
    <w:p w14:paraId="5E5456AE"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lastRenderedPageBreak/>
        <w:t>Lēmuma pieņemšanas shēma: aktīva pārdošana vai valdības aizņēmums?</w:t>
      </w:r>
    </w:p>
    <w:p w14:paraId="648E47BF" w14:textId="77777777" w:rsidR="00443399" w:rsidRPr="00B03B51" w:rsidRDefault="00443399" w:rsidP="00443399">
      <w:pPr>
        <w:keepNext/>
        <w:jc w:val="both"/>
        <w:rPr>
          <w:rFonts w:ascii="Times New Roman" w:eastAsia="Arial" w:hAnsi="Times New Roman" w:cs="Times New Roman"/>
          <w:b/>
          <w:bCs/>
          <w:noProof/>
          <w:sz w:val="24"/>
          <w:szCs w:val="20"/>
        </w:rPr>
      </w:pPr>
    </w:p>
    <w:p w14:paraId="416351DD" w14:textId="77777777" w:rsidR="00443399" w:rsidRPr="00B03B51" w:rsidRDefault="00443399" w:rsidP="00443399">
      <w:pPr>
        <w:keepNext/>
        <w:jc w:val="center"/>
        <w:rPr>
          <w:rFonts w:ascii="Times New Roman" w:eastAsia="Arial" w:hAnsi="Times New Roman" w:cs="Times New Roman"/>
          <w:b/>
          <w:bCs/>
          <w:noProof/>
          <w:sz w:val="24"/>
        </w:rPr>
      </w:pPr>
      <w:r w:rsidRPr="00B03B51">
        <w:rPr>
          <w:rFonts w:ascii="Times New Roman" w:hAnsi="Times New Roman" w:cs="Times New Roman"/>
          <w:noProof/>
        </w:rPr>
        <w:drawing>
          <wp:inline distT="0" distB="0" distL="0" distR="0" wp14:anchorId="65DFF1B2" wp14:editId="5B48142D">
            <wp:extent cx="5756275" cy="7489825"/>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56275" cy="7489825"/>
                    </a:xfrm>
                    <a:prstGeom prst="rect">
                      <a:avLst/>
                    </a:prstGeom>
                  </pic:spPr>
                </pic:pic>
              </a:graphicData>
            </a:graphic>
          </wp:inline>
        </w:drawing>
      </w:r>
    </w:p>
    <w:p w14:paraId="1A485F35" w14:textId="77777777" w:rsidR="00443399" w:rsidRPr="00B03B51" w:rsidRDefault="00443399" w:rsidP="00443399">
      <w:pPr>
        <w:jc w:val="both"/>
        <w:rPr>
          <w:rFonts w:ascii="Times New Roman" w:eastAsia="Arial" w:hAnsi="Times New Roman" w:cs="Times New Roman"/>
          <w:b/>
          <w:bCs/>
          <w:noProof/>
          <w:sz w:val="24"/>
          <w:szCs w:val="18"/>
        </w:rPr>
      </w:pPr>
    </w:p>
    <w:p w14:paraId="65793883" w14:textId="77777777" w:rsidR="00443399" w:rsidRPr="00BE27DC" w:rsidRDefault="00443399" w:rsidP="00BE27DC">
      <w:pPr>
        <w:pStyle w:val="Heading6"/>
        <w:tabs>
          <w:tab w:val="left" w:pos="1267"/>
        </w:tabs>
        <w:ind w:left="0" w:firstLine="0"/>
        <w:jc w:val="both"/>
        <w:rPr>
          <w:rFonts w:ascii="Times New Roman" w:hAnsi="Times New Roman" w:cs="Times New Roman"/>
          <w:sz w:val="24"/>
        </w:rPr>
      </w:pPr>
      <w:bookmarkStart w:id="453" w:name="5.5.2.3_Securitisation_of_fiscal_flows"/>
      <w:bookmarkEnd w:id="453"/>
      <w:r w:rsidRPr="00B03B51">
        <w:rPr>
          <w:rFonts w:ascii="Times New Roman" w:hAnsi="Times New Roman" w:cs="Times New Roman"/>
          <w:sz w:val="24"/>
        </w:rPr>
        <w:t>5.5.2.3. FINANŠU PLŪSMU VĒRTSPAPĪROŠANA</w:t>
      </w:r>
    </w:p>
    <w:p w14:paraId="7679E5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6B75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Īpašumtiesības uz noteiktiem aktīviem, kas nacionālajos kontos ir ierakstīti valdības bilancē, ekonomiskā izpratnē var uzskatīt par nenododamām. Šādos gadījumos šo aktīvu vērtspapīrošanu obligāti traktē kā valdības aizņēmumu.</w:t>
      </w:r>
    </w:p>
    <w:p w14:paraId="5E7C47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D94DE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Piemērs ir finanšu prasījumi attiecībā uz nodokļiem, kas jau ir uzkrāti un nacionālo kontu bilancē ierakstīti kā finanšu aktīvi (dažkārt šādus prasījumus dēvē par “fiskālajiem prasījumiem”). Šie fiskālie prasījumi (debitoru parādi) atšķiras no tiesībām attiecībā uz nākotnes nodokļu ieņēmumiem (kas apspriesti iepriekš 5.5.2.3. apakšiedaļā “Neatzītam aktīvam piesaistītu plūsmu vērtspapīrošana”). Šie ieņēmumi ir ierakstīti nacionālajos kontos kopā ar finanšu aktīvu nacionālo kontu bilancē (fiskālie prasījumi).</w:t>
      </w:r>
    </w:p>
    <w:p w14:paraId="0B8E0610" w14:textId="77777777" w:rsidR="00443399" w:rsidRPr="00B03B51" w:rsidRDefault="00443399" w:rsidP="00443399">
      <w:pPr>
        <w:jc w:val="both"/>
        <w:rPr>
          <w:rFonts w:ascii="Times New Roman" w:hAnsi="Times New Roman" w:cs="Times New Roman"/>
          <w:noProof/>
          <w:sz w:val="24"/>
        </w:rPr>
      </w:pPr>
    </w:p>
    <w:p w14:paraId="628B4C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Nacionālo kontu bilances ierakstu fiskālajiem prasījumiem nedrīkst sajaukt ar valdības grāmatvedības uzskaites kontiem, jo tajos neiekļauj summas, kuras uzskata par nepiedzenamām. Arī tādu summu vērtspapīrošanu, kuras uzskatāmas par nepiedzenamām, nacionālajos kontos ieraksta kā valdības aizņēmumu.</w:t>
      </w:r>
    </w:p>
    <w:p w14:paraId="14FB4A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74DEA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Pat ja valdība nodod nodokļu piedziņu ārpakalpojumu sniedzējiem, nodokļus (un obligātās sociālās iemaksas) joprojām uzskata par valdības ieņēmumiem.</w:t>
      </w:r>
    </w:p>
    <w:p w14:paraId="298E6DA2" w14:textId="77777777" w:rsidR="00443399" w:rsidRPr="00B03B51" w:rsidRDefault="00443399" w:rsidP="00443399">
      <w:pPr>
        <w:jc w:val="both"/>
        <w:rPr>
          <w:rFonts w:ascii="Times New Roman" w:eastAsia="Arial" w:hAnsi="Times New Roman" w:cs="Times New Roman"/>
          <w:noProof/>
          <w:sz w:val="24"/>
          <w:szCs w:val="15"/>
        </w:rPr>
      </w:pPr>
    </w:p>
    <w:p w14:paraId="5810A5D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54" w:name="5.5.2.4_Securitisation_of_flows_from_non"/>
      <w:bookmarkEnd w:id="454"/>
      <w:r w:rsidRPr="00B03B51">
        <w:rPr>
          <w:rFonts w:ascii="Times New Roman" w:hAnsi="Times New Roman" w:cs="Times New Roman"/>
          <w:sz w:val="24"/>
        </w:rPr>
        <w:t>5.5.2.4. NENODOTO AKTĪVU PLŪSMU VĒRTSPAPĪROŠANA</w:t>
      </w:r>
    </w:p>
    <w:p w14:paraId="11B6CF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3968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Valdība var pārvērst vērtspapīros ienākumu plūsmu, ko rada nacionālo kontu bilancē ierakstītie aktīvi. Šīs plūsmas ietver renti, nomas maksu, procentus, dividendes un citus īpašuma ienākumus (P.1 un D.4). Piemēram, nedzīvojamās ēkas nomnieki maksā par to nomas maksu.</w:t>
      </w:r>
    </w:p>
    <w:p w14:paraId="0E771E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D32E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Ja valdība pārvērš vērtspapīros tikai dažus nomas periodus no visiem nākotnes nomas maksājumiem, kurus tā plāno saņemt, tā tomēr neatbrīvojas no visiem ar aktīviem saistītajiem riskiem un priekšrocībām un tādējādi arī no ekonomiskajām īpašumtiesībām uz pašām ēkām. Šādos gadījumos vērtspapīrošanas operāciju nacionālajos kontos ieraksta kā valdības aizņēmumu.</w:t>
      </w:r>
    </w:p>
    <w:p w14:paraId="62A897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CF11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Arī finanšu aktīvu radīto īpašuma ienākuma nākotnes plūsmu (daļēju) vērtspapīrošanu ieraksta kā valdības aizņēmumu, ja ekonomiskās īpašumtiesības uz finanšu aktīviem netiek pilnīgi nodotas. Ekonomisko īpašumtiesību noteikšanas kritēriji ir sniegti NKS 2008 3.26. punktā.</w:t>
      </w:r>
    </w:p>
    <w:p w14:paraId="3AE3074E" w14:textId="77777777" w:rsidR="00443399" w:rsidRPr="00B03B51" w:rsidRDefault="00443399" w:rsidP="00443399">
      <w:pPr>
        <w:jc w:val="both"/>
        <w:rPr>
          <w:rFonts w:ascii="Times New Roman" w:eastAsia="Arial" w:hAnsi="Times New Roman" w:cs="Times New Roman"/>
          <w:noProof/>
          <w:sz w:val="24"/>
          <w:szCs w:val="15"/>
        </w:rPr>
      </w:pPr>
    </w:p>
    <w:p w14:paraId="329C046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55" w:name="5.5.2.5_Transfer_of_ownership:_risks_and"/>
      <w:bookmarkEnd w:id="455"/>
      <w:r w:rsidRPr="00B03B51">
        <w:rPr>
          <w:rFonts w:ascii="Times New Roman" w:hAnsi="Times New Roman" w:cs="Times New Roman"/>
          <w:sz w:val="24"/>
        </w:rPr>
        <w:t>5.5.2.5. ĪPAŠUMTIESĪBU NODOŠANA – RISKI UN PRIEKŠROCĪBAS</w:t>
      </w:r>
    </w:p>
    <w:p w14:paraId="26614D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F9BE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Pieņemot, ka vērtspapīros pārvērstos līdzekļus nacionālajos kontos atzīst par nododamiem aktīviem, to pārdošanu nacionālajos kontos var ierakstīt tikai gadījumā, ja valdība pilnīgi nodod ekonomiskās īpašumtiesības vērtspapīrošanas struktūrvienībai. Ekonomiskās īpašumtiesības uz aktīviem tiek nodotas pilnīgi, ja tiek pilnīgi nodoti ar šādiem aktīviem saistītie riski un priekšrocības. Ja riskus un priekšrocības valdība nenodod pilnīgi vērtspapīrošanas struktūrvienībai, vērtspapīrošanu ieraksta kā valdības aizņēmumu.</w:t>
      </w:r>
    </w:p>
    <w:p w14:paraId="7115A00F" w14:textId="77777777" w:rsidR="00443399" w:rsidRPr="00B03B51" w:rsidRDefault="00443399" w:rsidP="00443399">
      <w:pPr>
        <w:jc w:val="both"/>
        <w:rPr>
          <w:rFonts w:ascii="Times New Roman" w:eastAsia="Arial" w:hAnsi="Times New Roman" w:cs="Times New Roman"/>
          <w:noProof/>
          <w:sz w:val="24"/>
          <w:szCs w:val="15"/>
        </w:rPr>
      </w:pPr>
    </w:p>
    <w:p w14:paraId="65AA40C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56" w:name="5.5.2.6_Notion_of_risks_and_rewards"/>
      <w:bookmarkEnd w:id="456"/>
      <w:r w:rsidRPr="00B03B51">
        <w:rPr>
          <w:rFonts w:ascii="Times New Roman" w:hAnsi="Times New Roman" w:cs="Times New Roman"/>
          <w:sz w:val="24"/>
        </w:rPr>
        <w:t>5.5.2.6. RISKU UN PRIEKŠROCĪBU JĒDZIENS</w:t>
      </w:r>
    </w:p>
    <w:p w14:paraId="4F8410B2" w14:textId="77777777" w:rsidR="00443399" w:rsidRPr="00B03B51" w:rsidRDefault="00443399" w:rsidP="00443399">
      <w:pPr>
        <w:jc w:val="both"/>
        <w:rPr>
          <w:rFonts w:ascii="Times New Roman" w:eastAsia="Arial" w:hAnsi="Times New Roman" w:cs="Times New Roman"/>
          <w:b/>
          <w:bCs/>
          <w:noProof/>
          <w:sz w:val="24"/>
          <w:szCs w:val="21"/>
        </w:rPr>
      </w:pPr>
    </w:p>
    <w:p w14:paraId="188166EA"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aktīvi</w:t>
      </w:r>
    </w:p>
    <w:p w14:paraId="3755E837" w14:textId="77777777" w:rsidR="00443399" w:rsidRPr="00B03B51" w:rsidRDefault="00443399" w:rsidP="00443399">
      <w:pPr>
        <w:jc w:val="both"/>
        <w:rPr>
          <w:rFonts w:ascii="Times New Roman" w:eastAsia="Arial" w:hAnsi="Times New Roman" w:cs="Times New Roman"/>
          <w:b/>
          <w:bCs/>
          <w:noProof/>
          <w:sz w:val="24"/>
        </w:rPr>
      </w:pPr>
    </w:p>
    <w:p w14:paraId="75BA4B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Ar finanšu aktīviem saistītās priekšrocības ir atlīdzība (beznosacījuma atlīdzība kā procenti vai iespējamā atlīdzība kā dividendes) un turēšanas guvumi, kas var izrietēt no to tirgus vērtības maiņas, turpretī riski galvenokārt tiek iedalīti šādi:</w:t>
      </w:r>
    </w:p>
    <w:p w14:paraId="06E450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FF212E5"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tirgus risks – portfeļa (ieguldījumu portfeļa vai tirdzniecības portfeļa) vērtības </w:t>
      </w:r>
      <w:r w:rsidRPr="00B03B51">
        <w:rPr>
          <w:rFonts w:ascii="Times New Roman" w:hAnsi="Times New Roman" w:cs="Times New Roman"/>
          <w:sz w:val="24"/>
        </w:rPr>
        <w:lastRenderedPageBreak/>
        <w:t>samazināšanās tādēļ, ka mainījusies šādu tirgus riska faktoru vērtība; pašu kapitāla risks (cenu izmaiņas), procentu likmes risks (izmaiņas ar ietekmi uz nemainīgās likmes vērtspapīru vērtību un pārfinansēšanu), valūtas riski (mainīgs valūtas kurss un atkārtota izlīdzināšana), preču risks (izmaiņas preču cenās); tajā ietilpst arī risks, ka sabiedrība nespēs nodrošināt “normālu” un pietiekamu atdeves normu no pašu kapitāla;</w:t>
      </w:r>
    </w:p>
    <w:p w14:paraId="04CBE2D1"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kredītrisks – aizdevuma ņēmēja nespēja izpildīt savas līgumsaistības noteiktajā termiņā (kavējums vai pilnīga nespēja uz nenoteiktu laiku) vai risks, ka sabiedrība bankrotēs;</w:t>
      </w:r>
    </w:p>
    <w:p w14:paraId="1CC916B6"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darījuma partnera risks – darījuma puses nespēja pilnīgi īstenot darījumu;</w:t>
      </w:r>
    </w:p>
    <w:p w14:paraId="69791317"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darbības risks (skat. iepriekšējo vēri).</w:t>
      </w:r>
    </w:p>
    <w:p w14:paraId="64DE446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F3F9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Dažos gadījumos valdība par noteiktu maksu rīkojas kā pārstāve, kas iekasē īpašuma ienākumu par pārdotajiem finanšu aktīviem un pēc tam nodod to pircējam. To nosaka tas, ka šādu darbību nodošana jaunajam īpašniekam var būt pārāk dārga vai arī to paredz ar aizņēmējiem noslēgta vienošanās aktīvu sākotnējās izveides laikā. Privātajā finanšu sektorā bieži var novērot, ka iekasēšanas funkciju uzņemas iniciators. Šādos apstākļos pārdošanu vēl joprojām var ierakstīt kā finanšu aktīvu realizāciju, ja vien iekasēšanas pasākums neietekmē risku un priekšrocību nodošanu vērtspapīrošanas struktūrvienībai un sedz nodoto aktīvu faktiskās pārvaldības izmaksas. Fakts, ka valdība iekasē īpašuma ienākumu, pats par sevi neietekmē ekonomisko īpašumtiesību nodošanu pircējam.</w:t>
      </w:r>
    </w:p>
    <w:p w14:paraId="53A7CBFC" w14:textId="77777777" w:rsidR="00443399" w:rsidRPr="00B03B51" w:rsidRDefault="00443399" w:rsidP="00443399">
      <w:pPr>
        <w:jc w:val="both"/>
        <w:rPr>
          <w:rFonts w:ascii="Times New Roman" w:hAnsi="Times New Roman" w:cs="Times New Roman"/>
          <w:noProof/>
          <w:sz w:val="24"/>
        </w:rPr>
      </w:pPr>
    </w:p>
    <w:p w14:paraId="67495A36"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Aizdevumi</w:t>
      </w:r>
    </w:p>
    <w:p w14:paraId="0416B764" w14:textId="77777777" w:rsidR="00443399" w:rsidRPr="00B03B51" w:rsidRDefault="00443399" w:rsidP="00443399">
      <w:pPr>
        <w:jc w:val="both"/>
        <w:rPr>
          <w:rFonts w:ascii="Times New Roman" w:eastAsia="Arial" w:hAnsi="Times New Roman" w:cs="Times New Roman"/>
          <w:b/>
          <w:bCs/>
          <w:noProof/>
          <w:sz w:val="24"/>
        </w:rPr>
      </w:pPr>
    </w:p>
    <w:p w14:paraId="76862E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Aizdevumus bieži pārdod arī kopā kā “kredītportfeli”, nevis atsevišķi. Šajā saistībā bieži notiek kredītportfeļa daļēja pārdošana, kuru var organizēt dažādi, piemēram, nejauši izvēloties (vērtspapīrošanas brīdī) aizņēmējus, kuru atmaksājamo daļu pārdod pircējam, vai arī pārdodot noteiktu daļu no portfeļa atmaksājamām summām, kuras katru dienu saņem no kredītportfeļa. Daļēju kredītportfeļa pārdošanu, pārdodot konkrēti izvēlētus prasījumus, nacionālajos kontos var ierakstīt kā aizdevumu pārdošanu. Valdības veiktu noteiktas kopējās atmaksājamās summas daļas pārdošanu bez tiešas savienošanas ar kādiem identificētiem aktīviem nacionālajos kontos nevar ierakstīt kā aizdevumu pārdošanu, un tas ir jāieraksta kā valdības aizņēmums.</w:t>
      </w:r>
    </w:p>
    <w:p w14:paraId="14BD4BA8" w14:textId="77777777" w:rsidR="00443399" w:rsidRPr="00B03B51" w:rsidRDefault="00443399" w:rsidP="00443399">
      <w:pPr>
        <w:jc w:val="both"/>
        <w:rPr>
          <w:rFonts w:ascii="Times New Roman" w:eastAsia="Arial" w:hAnsi="Times New Roman" w:cs="Times New Roman"/>
          <w:noProof/>
          <w:sz w:val="24"/>
          <w:szCs w:val="19"/>
        </w:rPr>
      </w:pPr>
    </w:p>
    <w:p w14:paraId="3D0C2AE6"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Nefinanšu aktīvi</w:t>
      </w:r>
    </w:p>
    <w:p w14:paraId="16D67C3E" w14:textId="77777777" w:rsidR="00443399" w:rsidRPr="00B03B51" w:rsidRDefault="00443399" w:rsidP="00443399">
      <w:pPr>
        <w:jc w:val="both"/>
        <w:rPr>
          <w:rFonts w:ascii="Times New Roman" w:eastAsia="Arial" w:hAnsi="Times New Roman" w:cs="Times New Roman"/>
          <w:b/>
          <w:bCs/>
          <w:noProof/>
          <w:sz w:val="24"/>
        </w:rPr>
      </w:pPr>
    </w:p>
    <w:p w14:paraId="3D6923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Vērtspapīrošanas struktūrvienība bieži vien nepārņem nefinanšu aktīvus ar mērķi turēt tos līdz aktīvu ekonomiskā cikla beigām; tā vietā struktūrvienības nolūks ir pārdot tos tālāk. Tādējādi papildus saistību neizpildes riskiem attiecībā uz ienākumu (nomas maksas un rente), kuri var būt saistīti ar šiem aktīviem, pastāv turēšanas zaudējumu risks, un pretēji – pastāv iespējamas priekšrocības, ja rodas turēšanas guvumi (attiecībā uz finanšu aktīviem), kā rezultātā ieņēmumi var būt mazāki vai lielāki, nekā tika plānots saņemt no galīgās aktīvu pārdošanas.</w:t>
      </w:r>
    </w:p>
    <w:p w14:paraId="057D07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A735E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Izvērtējot riska nodošanu gadījumos, kad vērtspapīrošana notiek ar nefinanšu aktīvu iesaistīšanu, ir jāapsver arī darbības risku un priekšrocību, piemēram, uzturēšanas un apdrošināšanas izmaksu mainīguma riska, nodošana.</w:t>
      </w:r>
    </w:p>
    <w:p w14:paraId="31CC5223" w14:textId="77777777" w:rsidR="00443399" w:rsidRPr="00B03B51" w:rsidRDefault="00443399" w:rsidP="00443399">
      <w:pPr>
        <w:jc w:val="both"/>
        <w:rPr>
          <w:rFonts w:ascii="Times New Roman" w:eastAsia="Arial" w:hAnsi="Times New Roman" w:cs="Times New Roman"/>
          <w:noProof/>
          <w:sz w:val="24"/>
          <w:szCs w:val="15"/>
        </w:rPr>
      </w:pPr>
    </w:p>
    <w:p w14:paraId="0677D36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5.5.2.7. RISKU UN PRIEKŠROCĪBU NODOŠANAS IZVĒRTĒŠANA</w:t>
      </w:r>
    </w:p>
    <w:p w14:paraId="3DF68D6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9AB6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Uzskata, ka ar aktīvu saistītie riski un priekšrocības nav pilnīgi nodoti, kā rezultātā ieraksta valdības aizņēmumu, ja ir piemērojams kāds no šādiem apstākļiem:</w:t>
      </w:r>
    </w:p>
    <w:p w14:paraId="68564F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2317617"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ir ierobežojusi vērtspapīrošanas struktūrvienības tiesības veikt turpmāku aktīvu pārdošanu;</w:t>
      </w:r>
    </w:p>
    <w:p w14:paraId="4E8C2F5D"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vērtspapīros pārvērstās plūsmas attiecas tikai uz daļu no plūsmām, kas ir saistīta ar konkrēto aktīvu;</w:t>
      </w:r>
    </w:p>
    <w:p w14:paraId="7301E8E9"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pastāv “Atliktā pirkšanas cena (</w:t>
      </w:r>
      <w:r w:rsidRPr="00B03B51">
        <w:rPr>
          <w:rFonts w:ascii="Times New Roman" w:hAnsi="Times New Roman" w:cs="Times New Roman"/>
          <w:i/>
          <w:iCs/>
          <w:sz w:val="24"/>
        </w:rPr>
        <w:t>DPP</w:t>
      </w:r>
      <w:r w:rsidRPr="00B03B51">
        <w:rPr>
          <w:rFonts w:ascii="Times New Roman" w:hAnsi="Times New Roman" w:cs="Times New Roman"/>
          <w:sz w:val="24"/>
        </w:rPr>
        <w:t>)” vai līdzvērtīgs nosacījums, kas liecina par to, ka valdība daļēji saglabā īpašumtiesības;</w:t>
      </w:r>
    </w:p>
    <w:p w14:paraId="2B512297"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piešķir garantijas vai kā citādi mazina risku vērtspapīrošanas struktūrvienībām, tostarp izmantojot “aizstāšanas klauzulu” vai citus pasākumus;</w:t>
      </w:r>
    </w:p>
    <w:p w14:paraId="62A8BCB7"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cita joprojām pastāvoša valdības līdzdalība aktīvos, kas nepieļauj risku un priekšrocību pilnīgu nodošanu.</w:t>
      </w:r>
    </w:p>
    <w:p w14:paraId="7E5CABB7" w14:textId="77777777" w:rsidR="00443399" w:rsidRPr="00B03B51" w:rsidRDefault="00443399" w:rsidP="00443399">
      <w:pPr>
        <w:jc w:val="both"/>
        <w:rPr>
          <w:rFonts w:ascii="Times New Roman" w:eastAsia="Arial" w:hAnsi="Times New Roman" w:cs="Times New Roman"/>
          <w:noProof/>
          <w:sz w:val="24"/>
          <w:szCs w:val="20"/>
        </w:rPr>
      </w:pPr>
    </w:p>
    <w:p w14:paraId="4434999F"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 xml:space="preserve">Pašu kapitāla daļa un </w:t>
      </w:r>
      <w:r w:rsidRPr="00B03B51">
        <w:rPr>
          <w:rFonts w:ascii="Times New Roman" w:hAnsi="Times New Roman" w:cs="Times New Roman"/>
          <w:b/>
          <w:i/>
          <w:iCs/>
          <w:sz w:val="24"/>
        </w:rPr>
        <w:t>DPP</w:t>
      </w:r>
    </w:p>
    <w:p w14:paraId="30F63245" w14:textId="77777777" w:rsidR="00443399" w:rsidRPr="00B03B51" w:rsidRDefault="00443399" w:rsidP="00443399">
      <w:pPr>
        <w:jc w:val="both"/>
        <w:rPr>
          <w:rFonts w:ascii="Times New Roman" w:eastAsia="Arial" w:hAnsi="Times New Roman" w:cs="Times New Roman"/>
          <w:b/>
          <w:bCs/>
          <w:noProof/>
          <w:sz w:val="24"/>
        </w:rPr>
      </w:pPr>
    </w:p>
    <w:p w14:paraId="6FF33B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Dažās vērtspapīrošanās dažādi emitēto vērtspapīru laidieni tiek pamatoti ar dažādām plūsmas daļām no vērtspapīros pārvērstajiem aktīviem. Tas nozīmē, ka tiek diferencēti riski un priekšrocības, ko uzņemas ieguldītāji. Izmantojot šādu procesu, ir iespējams iekļaut atsevišķus mehānismus, ar kuriem iniciators, valdība patur atlikušo risku/priekšrocības (ko dažkārt dēvē par “pašu kapitāla daļu” vai “pēdējo daļu”), lai aizsargātu ieguldītājus pret vērtspapīros pārvērsto aktīvu pārmērīgi zemiem darbības rezultātiem. Tādējādi vērtspapīri tiek padarīti pievilcīgāki ieguldītājiem. Ar šo mehānismu tiek novērsta risku pilnīga nodošana vērtspapīrošanas struktūrvienībai un panākts tas, ka vērtspapīrošanas pasākums tiek ierakstīts kā valdības aizņēmums.</w:t>
      </w:r>
    </w:p>
    <w:p w14:paraId="614A5D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CF68C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Vērtspapīrošanas līgumā “Atliktā pirkšanas cena (</w:t>
      </w:r>
      <w:r w:rsidRPr="00B03B51">
        <w:rPr>
          <w:rFonts w:ascii="Times New Roman" w:hAnsi="Times New Roman" w:cs="Times New Roman"/>
          <w:i/>
          <w:iCs/>
          <w:sz w:val="24"/>
        </w:rPr>
        <w:t>DPP</w:t>
      </w:r>
      <w:r w:rsidRPr="00B03B51">
        <w:rPr>
          <w:rFonts w:ascii="Times New Roman" w:hAnsi="Times New Roman" w:cs="Times New Roman"/>
          <w:sz w:val="24"/>
        </w:rPr>
        <w:t xml:space="preserve">)” ir vēl viens kredīta kvalitātes uzlabošanas nosacījums, saskaņā ar kuru vērtspapīrošanas struktūrvienībai ir pienākums vēlāk samaksāt iniciatoram (atkarībā no rezultātiem) papildu ieņēmumus no pārdošanas. Ja ir paredzēts šāds noteikums, aktīvus realizē atbilstoši vērtībai (pārdošanas cenai), kas ir mazāka par aktīvu tirgus/patieso vērtību. </w:t>
      </w:r>
      <w:r w:rsidRPr="00B03B51">
        <w:rPr>
          <w:rFonts w:ascii="Times New Roman" w:hAnsi="Times New Roman" w:cs="Times New Roman"/>
          <w:i/>
          <w:iCs/>
          <w:sz w:val="24"/>
        </w:rPr>
        <w:t>DPP</w:t>
      </w:r>
      <w:r w:rsidRPr="00B03B51">
        <w:rPr>
          <w:rFonts w:ascii="Times New Roman" w:hAnsi="Times New Roman" w:cs="Times New Roman"/>
          <w:sz w:val="24"/>
        </w:rPr>
        <w:t xml:space="preserve"> nedrīkst sajaukt ar atliktu noteiktas cenas maksājumu, kuru atbilstoši uzkrāšanas principam sākumā uzrāda kā iniciatora debitoru parādus un kā vērtspapīrošanas struktūrvienības saistības.</w:t>
      </w:r>
    </w:p>
    <w:p w14:paraId="19781D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01E26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33. Vērtspapīrošanas operācijas, tostarp pašu kapitāla daļas, </w:t>
      </w:r>
      <w:r w:rsidRPr="00B03B51">
        <w:rPr>
          <w:rFonts w:ascii="Times New Roman" w:hAnsi="Times New Roman" w:cs="Times New Roman"/>
          <w:i/>
          <w:iCs/>
          <w:sz w:val="24"/>
        </w:rPr>
        <w:t>DPP</w:t>
      </w:r>
      <w:r w:rsidRPr="00B03B51">
        <w:rPr>
          <w:rFonts w:ascii="Times New Roman" w:hAnsi="Times New Roman" w:cs="Times New Roman"/>
          <w:sz w:val="24"/>
        </w:rPr>
        <w:t xml:space="preserve"> vai līdzīgas klauzulas, kas aktīvu pārdevējam piešķir tiesības uz turpmākiem maksājumiem, ieraksta kā valdības aizņēmumu, jo šādas klauzulas liecina par to, ka ne visi operācijas riski un priekšrocības ir nodoti vērtspapīrošanas struktūrvienībai.</w:t>
      </w:r>
    </w:p>
    <w:p w14:paraId="0FA5178F" w14:textId="77777777" w:rsidR="00443399" w:rsidRPr="00B03B51" w:rsidRDefault="00443399" w:rsidP="00443399">
      <w:pPr>
        <w:jc w:val="both"/>
        <w:rPr>
          <w:rFonts w:ascii="Times New Roman" w:hAnsi="Times New Roman" w:cs="Times New Roman"/>
          <w:noProof/>
          <w:sz w:val="24"/>
        </w:rPr>
      </w:pPr>
    </w:p>
    <w:p w14:paraId="4B8593F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Garantētie maksājumi pēc pārdošanas</w:t>
      </w:r>
    </w:p>
    <w:p w14:paraId="5E89CAA9" w14:textId="77777777" w:rsidR="00443399" w:rsidRPr="00B03B51" w:rsidRDefault="00443399" w:rsidP="00443399">
      <w:pPr>
        <w:jc w:val="both"/>
        <w:rPr>
          <w:rFonts w:ascii="Times New Roman" w:eastAsia="Arial" w:hAnsi="Times New Roman" w:cs="Times New Roman"/>
          <w:b/>
          <w:bCs/>
          <w:noProof/>
          <w:sz w:val="24"/>
        </w:rPr>
      </w:pPr>
    </w:p>
    <w:p w14:paraId="673099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Valdības garantijas var piešķirt saistībā ar vērtspapīrošanu. Vērtspapīrošanas līgumā valdība var apņemties atmaksāt parādu, kas radies vērtspapīrošanas struktūrvienībai gadījumā, ja minētā struktūrvienība nespēj to atmaksāt no saviem līdzekļiem, jo tai nav pietiekami daudz peļņu nesošu aktīvu.</w:t>
      </w:r>
      <w:r w:rsidRPr="00B03B51">
        <w:rPr>
          <w:rStyle w:val="FootnoteReference"/>
          <w:rFonts w:ascii="Times New Roman" w:hAnsi="Times New Roman" w:cs="Times New Roman"/>
          <w:noProof/>
          <w:sz w:val="24"/>
        </w:rPr>
        <w:footnoteReference w:id="189"/>
      </w:r>
      <w:r w:rsidRPr="00B03B51">
        <w:rPr>
          <w:rFonts w:ascii="Times New Roman" w:hAnsi="Times New Roman" w:cs="Times New Roman"/>
          <w:sz w:val="24"/>
        </w:rPr>
        <w:t xml:space="preserve"> Valdības vērtspapīrošanas pasākumi, kuros ietilpst iepriekšējas garantijas, ieraksta kā valdības aizņēmumu. Šis noteikums neattiecas uz garantijām, kurām ir vispārīgs mērķis un kuras piedāvā citām vienībām saistībā ar līdzīgiem gadījumiem, lai pasargātu tās pret noteiktu ārēju notikumu, piemēram, dabas katastrofu, terorisma un karadarbības, izraisītām sekām.</w:t>
      </w:r>
    </w:p>
    <w:p w14:paraId="4E6F316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C6E88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35. Aizstāšanas klauzulas ir īpašs garantijas veids. Tās parasti paredz iespēju aizstāt sākotnējos aktīvus, kas nodoti vērtspapīrošanas struktūrvienībai, ar jauniem aktīviem, piemēram, ja vēlāk tiek konstatēts, ka nodotais “aktīvs” nepastāv vai to nav iespējams iekasēt. Aizstāšanas </w:t>
      </w:r>
      <w:r w:rsidRPr="00B03B51">
        <w:rPr>
          <w:rFonts w:ascii="Times New Roman" w:hAnsi="Times New Roman" w:cs="Times New Roman"/>
          <w:sz w:val="24"/>
        </w:rPr>
        <w:lastRenderedPageBreak/>
        <w:t>klauzulai ir būtiska nozīme, kad tiek spriests par risku un priekšrocību nodošanu starp valdību un vērtspapīrošanas struktūrvienību.</w:t>
      </w:r>
    </w:p>
    <w:p w14:paraId="5BD442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9096F6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Izņemot robežgadījumus ar ierobežotu ietekmi, kuri rodas tikai tehnisku apsvērumu vai būtisku kļūdu dēļ un kuros aizstātajiem aktīviem ir tāda pati vērtība kā jaunajiem aktīviem, aizstāšanas klauzulas esamības dēļ ieraksta valdības aizņēmumu.</w:t>
      </w:r>
    </w:p>
    <w:p w14:paraId="7A031F3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D0D9A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Valdība vēlāk var izmaksāt vērtspapīrošanas struktūrvienībai kompensāciju, lai gan līgumā šāda prasība nav iekļauta. Šādu kompensāciju var izsniegt skaidrā naudā, kā parāda pārņemšanu vai kā tiešu vai netiešu garantiju, kas piešķirta, reaģējot uz nelabvēlīgām tendencēm. Nākamais solis ir valdības pieņemti vai grozīti tiesību akti, ko pēc tam izmanto kā pamatu tam, lai </w:t>
      </w:r>
      <w:r w:rsidRPr="00B03B51">
        <w:rPr>
          <w:rFonts w:ascii="Times New Roman" w:hAnsi="Times New Roman" w:cs="Times New Roman"/>
          <w:i/>
          <w:iCs/>
          <w:sz w:val="24"/>
        </w:rPr>
        <w:t>de facto</w:t>
      </w:r>
      <w:r w:rsidRPr="00B03B51">
        <w:rPr>
          <w:rFonts w:ascii="Times New Roman" w:hAnsi="Times New Roman" w:cs="Times New Roman"/>
          <w:sz w:val="24"/>
        </w:rPr>
        <w:t xml:space="preserve"> izmaksātu kompensāciju vērtspapīrošanas struktūrvienībai.</w:t>
      </w:r>
    </w:p>
    <w:p w14:paraId="3B3A5A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C1AA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Brīdī, kad pieņem lēmumu par kompensāciju, notikumu ieraksta kā valdības vienlaikus veiktu vērtspapirizēto aktīvu iegādi apmaiņā pret valdības saistību (aizdevuma) rašanos attiecībā uz vērtspapīrošanas struktūrvienību. Saistības ir vienādas ar vērtspapīrošanas struktūrvienības nenomaksāto parāda vērtspapīru summu, kuri ir emitēti, lai finansētu vērtspapīros pārvērsto aktīvu iegādi.</w:t>
      </w:r>
    </w:p>
    <w:p w14:paraId="48A85E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2BE2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Ja nopirkta aktīva tirgus vērtība ir zemāka par uzņemtajām saistībām, ieraksta kapitāla pārvedumu vērtspapīrošanas vienībai no valdības par summu, kas vienāda ar šo starpību.</w:t>
      </w:r>
    </w:p>
    <w:p w14:paraId="7491861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D1BF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Finanšu aktīva iegāde neietekmēs valdības neto aizdevumu/aizņēmumu (B.9), ja vien iegādāto aktīvu tirgus vērtība nav mazāka par radušos parādu.</w:t>
      </w:r>
    </w:p>
    <w:p w14:paraId="42AA874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3157DB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41. Nefinanšu aktīva iegāde palielina valdības budžeta deficītu (vai samazina pārpalikumu), jo nefinanšu aktīvu iegāde (negatīvs </w:t>
      </w:r>
      <w:r w:rsidRPr="00B03B51">
        <w:rPr>
          <w:rFonts w:ascii="Times New Roman" w:hAnsi="Times New Roman" w:cs="Times New Roman"/>
          <w:i/>
          <w:iCs/>
          <w:sz w:val="24"/>
        </w:rPr>
        <w:t>GFCF</w:t>
      </w:r>
      <w:r w:rsidRPr="00B03B51">
        <w:rPr>
          <w:rFonts w:ascii="Times New Roman" w:hAnsi="Times New Roman" w:cs="Times New Roman"/>
          <w:sz w:val="24"/>
        </w:rPr>
        <w:t>) ietekmē neto aizdevumu/aizņēmumu (B.9).</w:t>
      </w:r>
    </w:p>
    <w:p w14:paraId="0A84F98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A646E6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Šo pašu noteikumu piemēro gadījumos, kad līgumā nav iekļauta aktīvu aizstāšanas klauzula, taču praksē atklājas, ka ievērojama vērtspapīros pārvērsto aktīvu daļa ir aizstāta ar citiem aktīviem, kuru tirgus vērtība ir lielāka. Valdības saistību rašanos nosaka atbilstoši aktīva atpirkšanai brīdī, kad pieņem lēmumu par aizstāšanu.</w:t>
      </w:r>
    </w:p>
    <w:p w14:paraId="69ED3E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70E0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Šos noteikumus nepiemēro, ja valdība izmaksā vērtspapīrošanas struktūrvienībai kompensāciju faktiska vai iespējama tiesas lēmuma dēļ, jo valdība ir pārkāpusi pārdošanas līguma noteikumus un nosacījumus.</w:t>
      </w:r>
    </w:p>
    <w:p w14:paraId="7E724DF2" w14:textId="77777777" w:rsidR="00443399" w:rsidRPr="00B03B51" w:rsidRDefault="00443399" w:rsidP="00443399">
      <w:pPr>
        <w:jc w:val="both"/>
        <w:rPr>
          <w:rFonts w:ascii="Times New Roman" w:eastAsia="Arial" w:hAnsi="Times New Roman" w:cs="Times New Roman"/>
          <w:noProof/>
          <w:sz w:val="24"/>
          <w:szCs w:val="18"/>
        </w:rPr>
      </w:pPr>
    </w:p>
    <w:p w14:paraId="0225394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Tālākpārdošanas ierobežojumi</w:t>
      </w:r>
    </w:p>
    <w:p w14:paraId="6913E02A" w14:textId="77777777" w:rsidR="00443399" w:rsidRPr="00B03B51" w:rsidRDefault="00443399" w:rsidP="00443399">
      <w:pPr>
        <w:jc w:val="both"/>
        <w:rPr>
          <w:rFonts w:ascii="Times New Roman" w:eastAsia="Arial" w:hAnsi="Times New Roman" w:cs="Times New Roman"/>
          <w:b/>
          <w:bCs/>
          <w:noProof/>
          <w:sz w:val="24"/>
        </w:rPr>
      </w:pPr>
    </w:p>
    <w:p w14:paraId="3A8B97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Jebkādi ierobežojumi attiecībā uz iegādāto aktīvu vai citu tiesību uz nākotnes naudas plūsmām tālākpārdošanu liecina par to, ka ekonomiskās īpašumtiesības nav nodotas.</w:t>
      </w:r>
    </w:p>
    <w:p w14:paraId="182CF9DA" w14:textId="77777777" w:rsidR="00443399" w:rsidRPr="00B03B51" w:rsidRDefault="00443399" w:rsidP="00443399">
      <w:pPr>
        <w:jc w:val="both"/>
        <w:rPr>
          <w:rFonts w:ascii="Times New Roman" w:eastAsia="Arial" w:hAnsi="Times New Roman" w:cs="Times New Roman"/>
          <w:noProof/>
          <w:sz w:val="24"/>
          <w:szCs w:val="15"/>
        </w:rPr>
      </w:pPr>
    </w:p>
    <w:p w14:paraId="1079D6A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5.5.2.8. VĒRTSPAPĪROŠANAS STRUKTŪRVIENĪBAS KLASIFIKĀCIJA</w:t>
      </w:r>
    </w:p>
    <w:p w14:paraId="2D2D39FC" w14:textId="77777777" w:rsidR="00443399" w:rsidRPr="00B03B51" w:rsidRDefault="00443399" w:rsidP="00443399">
      <w:pPr>
        <w:tabs>
          <w:tab w:val="left" w:pos="843"/>
        </w:tabs>
        <w:jc w:val="both"/>
        <w:rPr>
          <w:rFonts w:ascii="Times New Roman" w:hAnsi="Times New Roman" w:cs="Times New Roman"/>
          <w:noProof/>
          <w:sz w:val="24"/>
        </w:rPr>
      </w:pPr>
    </w:p>
    <w:p w14:paraId="3B16468C" w14:textId="77777777" w:rsidR="00443399" w:rsidRPr="00B03B51" w:rsidRDefault="00443399" w:rsidP="00443399">
      <w:pPr>
        <w:tabs>
          <w:tab w:val="left" w:pos="843"/>
        </w:tabs>
        <w:jc w:val="both"/>
        <w:rPr>
          <w:rFonts w:ascii="Times New Roman" w:hAnsi="Times New Roman" w:cs="Times New Roman"/>
          <w:i/>
          <w:noProof/>
          <w:sz w:val="24"/>
        </w:rPr>
      </w:pPr>
      <w:r w:rsidRPr="00B03B51">
        <w:rPr>
          <w:rFonts w:ascii="Times New Roman" w:hAnsi="Times New Roman" w:cs="Times New Roman"/>
          <w:sz w:val="24"/>
        </w:rPr>
        <w:t>45. EKS 2010 5.108. punktā ir noteikts:</w:t>
      </w:r>
      <w:r w:rsidRPr="00B03B51">
        <w:rPr>
          <w:rFonts w:ascii="Times New Roman" w:hAnsi="Times New Roman" w:cs="Times New Roman"/>
          <w:i/>
          <w:sz w:val="24"/>
        </w:rPr>
        <w:t xml:space="preserve"> Jo īpaši ir svarīgi konstatēt, vai finanšu sabiedrība, kas iesaistīta aktīvu vērtspapīrošanā, aktīvi pārvalda savu portfeli, emitējot parāda vērtspapīrus, nevis vienkārši darbojas kā trasts, kas pasīvi pārvalda aktīvus un tur parāda vērtspapīrus. Ja finanšu sabiedrība ir aktīvu portfeļa tiesiskais īpašnieks, emitē parāda vērtspapīrus, kas atspoguļo līdzdalību portfelī, tai ir pilns kontu komplekts, tad tā darbojas kā finanšu starpnieks un to klasificē citu finanšu starpnieku kategorijā. Finanšu sabiedrības, kas ir iesaistītas aktīvu vērtspapīrošanā, nošķir no vienībām, kuras izveidotas vienīgi īpašu portfeļu </w:t>
      </w:r>
      <w:r w:rsidRPr="00B03B51">
        <w:rPr>
          <w:rFonts w:ascii="Times New Roman" w:hAnsi="Times New Roman" w:cs="Times New Roman"/>
          <w:i/>
          <w:sz w:val="24"/>
        </w:rPr>
        <w:lastRenderedPageBreak/>
        <w:t xml:space="preserve">turēšanai, kuros ir finanšu aktīvi un saistības. Pēdējos minētos subjektus apvieno ar mātessabiedrību, ja subjekts un mātessabiedrība ir vienas valsts rezidenti. </w:t>
      </w:r>
      <w:r w:rsidRPr="00B03B51">
        <w:rPr>
          <w:rFonts w:ascii="Times New Roman" w:hAnsi="Times New Roman" w:cs="Times New Roman"/>
          <w:i/>
          <w:iCs/>
          <w:sz w:val="24"/>
        </w:rPr>
        <w:t>Tomēr kā nerezidentvienības tās uzskata par atsevišķām institucionālajām vienībām un klasificē kā piesaistošās finanšu iestādes</w:t>
      </w:r>
      <w:r w:rsidRPr="00B03B51">
        <w:rPr>
          <w:rFonts w:ascii="Times New Roman" w:hAnsi="Times New Roman" w:cs="Times New Roman"/>
          <w:sz w:val="24"/>
        </w:rPr>
        <w:t>. Ja vērtspapīrošanas struktūrvienībai nav lēmumu pieņemšanas autonomijas attiecībā uz nodoto aktīvu vai tās saistību pārvaldību vai realizāciju, vērtspapīrošanas struktūrvienība saskaņā ar nacionālo kontu kritērijiem nav atsevišķa institucionālā vienība (kā ir noteikts EKS 2010 2.12. punktā).</w:t>
      </w:r>
    </w:p>
    <w:p w14:paraId="609D461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95F8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Pieņemot, ka vērtspapīrošanas struktūrvienība ir izveidota, lai apkalpotu valdības vienību, par lēmumu pieņemšanas autonomijas trūkumu citu faktoru starpā var liecināt šādas pazīmes:</w:t>
      </w:r>
    </w:p>
    <w:p w14:paraId="7079AF7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4E7A39"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pārvalda vērtspapīrošanas struktūrvienības parādu;</w:t>
      </w:r>
    </w:p>
    <w:p w14:paraId="68B3A383"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tiesību vai spējas neesamība aktīvi pārvaldīt savus aktīvus, reaģējot uz tirgus apstākļiem, jo valdībai ir tiesības apstiprināt jebkādu būtisku realizāciju.</w:t>
      </w:r>
    </w:p>
    <w:p w14:paraId="4E94CB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4B2C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Lielākajā daļā gadījumu vērtspapīrošanas struktūrvienību oficiāli izveidos privāta (finanšu) iestāde, lai iegādātos valsts aktīvus un pārvērstu tos vērtspapīros. Šajos gadījumos, ja vērtspapīrošanas struktūrvienībai nav lēmumu pieņemšanas autonomijas (skat. iepriekš), tā tiek klasificēta valdības sektorā, ciktāl valdībai, kas ierosina darījumu, ir tiesības pieņemt būtiskus lēmumus vērtspapīrošanas piemērošanas laikā.</w:t>
      </w:r>
    </w:p>
    <w:p w14:paraId="07F998D6" w14:textId="77777777" w:rsidR="00443399" w:rsidRPr="00B03B51" w:rsidRDefault="00443399" w:rsidP="00443399">
      <w:pPr>
        <w:tabs>
          <w:tab w:val="left" w:pos="843"/>
        </w:tabs>
        <w:jc w:val="both"/>
        <w:rPr>
          <w:rFonts w:ascii="Times New Roman" w:hAnsi="Times New Roman" w:cs="Times New Roman"/>
          <w:noProof/>
          <w:sz w:val="24"/>
        </w:rPr>
      </w:pPr>
    </w:p>
    <w:p w14:paraId="0D68FB46" w14:textId="77777777" w:rsidR="00443399" w:rsidRPr="00B03B51" w:rsidRDefault="00443399" w:rsidP="00443399">
      <w:pPr>
        <w:tabs>
          <w:tab w:val="left" w:pos="843"/>
        </w:tabs>
        <w:jc w:val="both"/>
        <w:rPr>
          <w:rFonts w:ascii="Times New Roman" w:hAnsi="Times New Roman" w:cs="Times New Roman"/>
          <w:noProof/>
          <w:sz w:val="24"/>
        </w:rPr>
      </w:pPr>
      <w:r w:rsidRPr="00B03B51">
        <w:rPr>
          <w:rFonts w:ascii="Times New Roman" w:hAnsi="Times New Roman" w:cs="Times New Roman"/>
          <w:sz w:val="24"/>
        </w:rPr>
        <w:t xml:space="preserve">48. Ja vērtspapīrošanas struktūrvienība atbilst nosacījumiem, saskaņā ar kuru to var uzskatīt par atsevišķu vienību, t. i., tā uzņemas risku un vērtspapīrošanu un pilnīgi kontrolē aktīvus un saistības visā to darbības laikā, tā ir klasificēta kā finanšu sabiedrība (S.12). EKS 2010 2.90. punkts: </w:t>
      </w:r>
      <w:r w:rsidRPr="00B03B51">
        <w:rPr>
          <w:rFonts w:ascii="Times New Roman" w:hAnsi="Times New Roman" w:cs="Times New Roman"/>
          <w:i/>
          <w:sz w:val="24"/>
        </w:rPr>
        <w:t xml:space="preserve">Finanšu instrumentsabiedrības, kas iesaistītas vērtspapīrošanas darījumos (FIS), ir uzņēmumi, kas veic vērtspapīrošanas darījumus. </w:t>
      </w:r>
      <w:r w:rsidRPr="00B03B51">
        <w:rPr>
          <w:rFonts w:ascii="Times New Roman" w:hAnsi="Times New Roman" w:cs="Times New Roman"/>
          <w:i/>
          <w:iCs/>
          <w:sz w:val="24"/>
        </w:rPr>
        <w:t>FIS, kas atbilst institucionālās vienības kritērijiem, klasificē S.125</w:t>
      </w:r>
      <w:r w:rsidRPr="00B03B51">
        <w:rPr>
          <w:rFonts w:ascii="Times New Roman" w:hAnsi="Times New Roman" w:cs="Times New Roman"/>
          <w:sz w:val="24"/>
        </w:rPr>
        <w:t>. Savukārt tas, ka uzraudzības iestādes neuzskata vērtspapīrošanas vienību par FIS, kurai jāievēro ziņošanas un regulējošie pienākumi, ko piemēro attiecībā uz šādas kategorijas finanšu vienībām, nenozīmē, ka tā automātiski jāizslēdz no vispārējās valdības sektora. Analīzei, kas tiek veikta saistībā ar nacionālajiem kontiem, jābūt pilnīgi neatkarīgai no šādiem apsvērumiem.</w:t>
      </w:r>
    </w:p>
    <w:p w14:paraId="0F7C6262" w14:textId="77777777" w:rsidR="00443399" w:rsidRPr="00B03B51" w:rsidRDefault="00443399" w:rsidP="00443399">
      <w:pPr>
        <w:jc w:val="both"/>
        <w:rPr>
          <w:rFonts w:ascii="Times New Roman" w:hAnsi="Times New Roman" w:cs="Times New Roman"/>
          <w:noProof/>
          <w:sz w:val="24"/>
        </w:rPr>
      </w:pPr>
    </w:p>
    <w:p w14:paraId="31D6F4B0"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57" w:name="_Toc67565163"/>
      <w:r w:rsidRPr="00B03B51">
        <w:rPr>
          <w:rFonts w:ascii="Times New Roman" w:hAnsi="Times New Roman" w:cs="Times New Roman"/>
          <w:sz w:val="24"/>
        </w:rPr>
        <w:t>5.5.3. Ierakstīšanas noteikumi</w:t>
      </w:r>
      <w:bookmarkEnd w:id="457"/>
    </w:p>
    <w:p w14:paraId="1E75C86D" w14:textId="77777777" w:rsidR="00443399" w:rsidRPr="00BE27DC" w:rsidRDefault="00443399" w:rsidP="00BE27DC">
      <w:pPr>
        <w:rPr>
          <w:rFonts w:ascii="Times New Roman" w:hAnsi="Times New Roman" w:cs="Times New Roman"/>
          <w:noProof/>
          <w:sz w:val="24"/>
          <w:szCs w:val="24"/>
        </w:rPr>
      </w:pPr>
    </w:p>
    <w:p w14:paraId="2796B1D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5.5.3.1. AKTĪVA PĀRDOŠANAS IERAKSTĪŠANA</w:t>
      </w:r>
    </w:p>
    <w:p w14:paraId="5B30B64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6CDBE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Darījumu ar vērtspapīrošanas struktūrvienību ieraksta kā vispārējās valdības aktīva pārdošanu ārpus vispārējās valdības sektora, ja ir izpildīti iepriekš 9. rindkopā minētie trīs nosacījumi.</w:t>
      </w:r>
    </w:p>
    <w:p w14:paraId="4E19AB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9C1EE0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Ja darījumu ieraksta kā aktīva pārdošanu, tas tieši neietekmē valdības parādu. Pastāvētu netieša (samazinoša) ietekme, ja ieņēmumi no vērtspapīrošanas tiktu izmantoti tieši tam, lai samazinātu valdības parādu, vai ja ar tiem aizstāts aizņēmums, kas nepieciešams pārmērīgo tēriņu finansēšanai.</w:t>
      </w:r>
    </w:p>
    <w:p w14:paraId="2FD63467" w14:textId="77777777" w:rsidR="00443399" w:rsidRPr="00B03B51" w:rsidRDefault="00443399" w:rsidP="00443399">
      <w:pPr>
        <w:jc w:val="both"/>
        <w:rPr>
          <w:rFonts w:ascii="Times New Roman" w:eastAsia="Arial" w:hAnsi="Times New Roman" w:cs="Times New Roman"/>
          <w:noProof/>
          <w:sz w:val="24"/>
          <w:szCs w:val="19"/>
        </w:rPr>
      </w:pPr>
    </w:p>
    <w:p w14:paraId="47A5186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aktīvi</w:t>
      </w:r>
    </w:p>
    <w:p w14:paraId="23A6F29A" w14:textId="77777777" w:rsidR="00443399" w:rsidRPr="00B03B51" w:rsidRDefault="00443399" w:rsidP="00443399">
      <w:pPr>
        <w:jc w:val="both"/>
        <w:rPr>
          <w:rFonts w:ascii="Times New Roman" w:eastAsia="Arial" w:hAnsi="Times New Roman" w:cs="Times New Roman"/>
          <w:b/>
          <w:bCs/>
          <w:noProof/>
          <w:sz w:val="24"/>
        </w:rPr>
      </w:pPr>
    </w:p>
    <w:p w14:paraId="56B5D2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51. Finanšu aktīva pārdevums vērtspapīrošanas struktūrvienībai neietekmēs valdības neto aizdevumu/aizņēmumu (B.9). Dažos gadījumos valsts vienība par noteiktu maksu rīkojas kā neieinteresēts pārstāvis, kurš piedzen parāda atmaksu un īpašuma ienākumu par pārdotajiem finanšu aktīviem, ko pēc tam nodod pircējam. To ieraksta kā valdības produkciju.</w:t>
      </w:r>
    </w:p>
    <w:p w14:paraId="18499586" w14:textId="77777777" w:rsidR="00443399" w:rsidRPr="00B03B51" w:rsidRDefault="00443399" w:rsidP="00443399">
      <w:pPr>
        <w:jc w:val="both"/>
        <w:rPr>
          <w:rFonts w:ascii="Times New Roman" w:eastAsia="Arial" w:hAnsi="Times New Roman" w:cs="Times New Roman"/>
          <w:noProof/>
          <w:sz w:val="24"/>
          <w:szCs w:val="18"/>
        </w:rPr>
      </w:pPr>
    </w:p>
    <w:p w14:paraId="59F9EF0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Nefinanšu aktīvi</w:t>
      </w:r>
    </w:p>
    <w:p w14:paraId="6452AB1D" w14:textId="77777777" w:rsidR="00443399" w:rsidRPr="00B03B51" w:rsidRDefault="00443399" w:rsidP="00443399">
      <w:pPr>
        <w:jc w:val="both"/>
        <w:rPr>
          <w:rFonts w:ascii="Times New Roman" w:eastAsia="Arial" w:hAnsi="Times New Roman" w:cs="Times New Roman"/>
          <w:b/>
          <w:bCs/>
          <w:noProof/>
          <w:sz w:val="24"/>
        </w:rPr>
      </w:pPr>
    </w:p>
    <w:p w14:paraId="527B68C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52. Nefinanšu aktīva pārdošana vērtspapīrošanas struktūrvienībai samazinās valdības neto aizdevumu/aizņēmumu (B.9). Tomēr valdība var turpināt izmantot dažus nefinanšu aktīvus. Kā piemēru var minēt dzīvojamo ēku pārdošanu, kuras gadījumā vērtspapīrošanas struktūrvienība parasti iegādājas šādas ēkas ar mērķi pēc tam tās pārdot. Tomēr laika posmā starp ēku iegādi un tālākpārdošanu tās joprojām nodrošina ienākumu no nomas. Pieņemot, ka ir izpildīti visi nosacījumi attiecībā uz īpašumtiesību nodošanu, tas, ka vērtspapīrošanas struktūrvienībai ir ekonomiskās īpašumtiesības uz vērtspapīros pārvērstajām ēkām, netieši nozīmē, ka nacionālajos kontos ēku nodrošinātie darbības pārpalikumi jāieraksta pie vērtspapīrošanas struktūrvienības (skat. 6.2. nodaļu “Pārdošana un saņemšana atpakaļ nomā”).</w:t>
      </w:r>
    </w:p>
    <w:p w14:paraId="636E7932" w14:textId="77777777" w:rsidR="00443399" w:rsidRPr="00B03B51" w:rsidRDefault="00443399" w:rsidP="00443399">
      <w:pPr>
        <w:jc w:val="both"/>
        <w:rPr>
          <w:rFonts w:ascii="Times New Roman" w:hAnsi="Times New Roman" w:cs="Times New Roman"/>
          <w:noProof/>
          <w:sz w:val="24"/>
        </w:rPr>
      </w:pPr>
    </w:p>
    <w:p w14:paraId="202C5F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Ražošanas procesu, kura pamatā ir ēku ekspluatācija īrnieku izmitināšanas mērķiem, var tieši attiecināt uz vērtspapīrošanas struktūrvienību. Šis traktējums ir jāizmanto, ja struktūrvienība uzņemas visus ar ēku apsaimniekošanu saistītos ikdienas darbus un pilnīgi saņem visu nomas maksu par ēkām. Ja bijušais īpašnieks, t. i., valdība, turpina vērtspapīros pārvērsto ēku ikdienas apsaimniekošanu un patur daļu no ēku nomas maksas kā atlīdzību par apsaimniekošanu, arī šajā gadījumā lielākā daļa ienākuma joprojām ir jāpiešķir vērtspapīrošanas struktūrvienībai.</w:t>
      </w:r>
    </w:p>
    <w:p w14:paraId="614A91BD" w14:textId="77777777" w:rsidR="00443399" w:rsidRPr="00B03B51" w:rsidRDefault="00443399" w:rsidP="00443399">
      <w:pPr>
        <w:jc w:val="both"/>
        <w:rPr>
          <w:rFonts w:ascii="Times New Roman" w:eastAsia="Arial" w:hAnsi="Times New Roman" w:cs="Times New Roman"/>
          <w:noProof/>
          <w:sz w:val="24"/>
          <w:szCs w:val="18"/>
        </w:rPr>
      </w:pPr>
    </w:p>
    <w:p w14:paraId="04C5D93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Vērtspapīrošanas līgumā noteiktā cena</w:t>
      </w:r>
    </w:p>
    <w:p w14:paraId="352A55B1" w14:textId="77777777" w:rsidR="00443399" w:rsidRPr="00B03B51" w:rsidRDefault="00443399" w:rsidP="00443399">
      <w:pPr>
        <w:jc w:val="both"/>
        <w:rPr>
          <w:rFonts w:ascii="Times New Roman" w:eastAsia="Arial" w:hAnsi="Times New Roman" w:cs="Times New Roman"/>
          <w:b/>
          <w:bCs/>
          <w:noProof/>
          <w:sz w:val="24"/>
        </w:rPr>
      </w:pPr>
    </w:p>
    <w:p w14:paraId="34262AD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Nacionālajos kontos aktīvu realizāciju ieraksta atbilstoši darījuma veikšanas brīdī pastāvošajai tirgus cenai. Parasti tā ir konstatētā pārdošanas cena (līgumcena). Tomēr gadījumā, ja konstatētā pārdošanas cena ir zemāka par tirgus vērtību:</w:t>
      </w:r>
    </w:p>
    <w:p w14:paraId="37453A4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5DA02B8"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tas var liecināt, ka darījums nav veikts tikai komerciālu apsvērumu dēļ un vērtspapīrošanas struktūrvienība saņem netiešu atbalstu. Šādā gadījumā ir jāieraksta kapitāla pārvedums no valdības, lai segtu starpību starp konstatēto cenu un tirgus vērtību, jo pārdošanu nacionālajos kontos ieraksta atbilstoši tirgus cenai (skat. EKS 2010 5.21. punktu);</w:t>
      </w:r>
    </w:p>
    <w:p w14:paraId="47A744E1"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tas var būt saistīts ar </w:t>
      </w:r>
      <w:r w:rsidRPr="00B03B51">
        <w:rPr>
          <w:rFonts w:ascii="Times New Roman" w:hAnsi="Times New Roman" w:cs="Times New Roman"/>
          <w:i/>
          <w:iCs/>
          <w:sz w:val="24"/>
        </w:rPr>
        <w:t>DPP</w:t>
      </w:r>
      <w:r w:rsidRPr="00B03B51">
        <w:rPr>
          <w:rFonts w:ascii="Times New Roman" w:hAnsi="Times New Roman" w:cs="Times New Roman"/>
          <w:sz w:val="24"/>
        </w:rPr>
        <w:t xml:space="preserve"> klauzulu esamību (skat. iepriekš), un darījums jāieraksta nevis kā pārdošana, bet gan kā valdības aizņēmums.</w:t>
      </w:r>
    </w:p>
    <w:p w14:paraId="770A45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1090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55. Ja nav skaidra tirgus cena noteiktiem aktīviem, tad, lai pasākumu varētu ierakstīt kā pārdošanu, nepieciešams neatkarīgu struktūru īstenots process, ar kuru nosaka līdzvērtīgu tirgus cenu, pamatojoties uz uzņēmējdarbības jomā parasti izmantotajām novērtēšanas metodēm.</w:t>
      </w:r>
      <w:r w:rsidRPr="00B03B51">
        <w:rPr>
          <w:rStyle w:val="FootnoteReference"/>
          <w:rFonts w:ascii="Times New Roman" w:hAnsi="Times New Roman" w:cs="Times New Roman"/>
          <w:noProof/>
          <w:sz w:val="24"/>
        </w:rPr>
        <w:footnoteReference w:id="190"/>
      </w:r>
      <w:r w:rsidRPr="00B03B51">
        <w:rPr>
          <w:rFonts w:ascii="Times New Roman" w:hAnsi="Times New Roman" w:cs="Times New Roman"/>
          <w:sz w:val="24"/>
        </w:rPr>
        <w:t xml:space="preserve"> Šāda procesa neesamību var interpretēt kā vērtspapīrošanas struktūrvienības autonomijas trūkumu, kā rezultātā to klasificē valdības sektorā.</w:t>
      </w:r>
    </w:p>
    <w:p w14:paraId="7695CAA9" w14:textId="77777777" w:rsidR="00443399" w:rsidRPr="00B03B51" w:rsidRDefault="00443399" w:rsidP="00443399">
      <w:pPr>
        <w:jc w:val="both"/>
        <w:rPr>
          <w:rFonts w:ascii="Times New Roman" w:eastAsia="Arial" w:hAnsi="Times New Roman" w:cs="Times New Roman"/>
          <w:noProof/>
          <w:sz w:val="24"/>
          <w:szCs w:val="16"/>
        </w:rPr>
      </w:pPr>
    </w:p>
    <w:p w14:paraId="6B8CB66B"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5.5.3.2. VALDĪBAS AIZŅĒMUMA IERAKSTĪŠANA</w:t>
      </w:r>
    </w:p>
    <w:p w14:paraId="103F1E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9463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56. Ja vērtspapīrošana neatbilst kritērijiem, kas jāizpilda, lai to varētu ierakstīt nacionālajos kontos kā aktīvu pārdošanu, valdības iekasētie ieņēmumi no vērtspapīrošanas jāieraksta kā valdības saistību uzņemšanās, kas ietekmē valdības parādu. Ja vērtspapīrošanas struktūrvienība ir klasificēta valdības sektorā, tās emitētie vērtspapīri (AF.33) ir daļa no valdības parāda. Ja vērtspapīrošanas struktūrvienība nav klasificēta valdības sektorā: vai nu pārdošanas darījums </w:t>
      </w:r>
      <w:r w:rsidRPr="00B03B51">
        <w:rPr>
          <w:rFonts w:ascii="Times New Roman" w:hAnsi="Times New Roman" w:cs="Times New Roman"/>
          <w:sz w:val="24"/>
        </w:rPr>
        <w:lastRenderedPageBreak/>
        <w:t>netiek atzīts un vērtspapīri (AF.33), ko vērtspapīrošanas struktūrvienība emitē, nav tieši daļa no valdības parāda, un tā vietā aizdevums no vērtspapīrošanas struktūrvienības tiek piedēvēts valdībai kā daļa no valdības parāda, vai arī tiek atzīta īsta pārdošana un ieraksts valdības parādā netiek veikts. Jo īpaši tas attiecas uz gadījumu, kad vērtspapīrošana tiek īstenota citā valstī, kur šādu darījumu tirgi ir attīstītāki un/vai efektīvāki.</w:t>
      </w:r>
    </w:p>
    <w:p w14:paraId="37BE757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AD6A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Vērtspapirizēto līdzekļu radītās naudas plūsmas (piemēram, ienākumi no ēku iznomāšanas), kuras vispirms saņem valdība un pēc tam nodod vērtspapīrošanas struktūrvienībai, turpina ierakstīt valdības kontos tā, it kā vērtspapīrošana nebūtu notikusi, proti, kā ieņēmumus vai finanšu/nefinanšu aktīva realizāciju atbilstoši konkrētajam gadījumam. Valdības maksājumus vērtspapīrošanas struktūrvienībai, ja valdība turpina pārvaldīt aktīvus, ieraksta kā valdības aizdevuma saistību apkalpošanu; tās ir nosacītās procentu un aizdevuma atmaksāšanas plūsmas. Jebkādu maksu, ko iekasē vērtspapīrošanas struktūrvienība, lai segtu savus darbības izdevumus, ieraksta kā valdības starppatēriņu. To ievēro arī gadījumā, ja maksu samaksā avansā, samazinot valdības vienībai piešķirtos līdzekļus – šādā gadījumā jāveic aprēķins.</w:t>
      </w:r>
    </w:p>
    <w:p w14:paraId="37ED4E90" w14:textId="77777777" w:rsidR="00443399" w:rsidRPr="00B03B51" w:rsidRDefault="00443399" w:rsidP="00443399">
      <w:pPr>
        <w:jc w:val="both"/>
        <w:rPr>
          <w:rFonts w:ascii="Times New Roman" w:eastAsia="Arial" w:hAnsi="Times New Roman" w:cs="Times New Roman"/>
          <w:noProof/>
          <w:sz w:val="24"/>
          <w:szCs w:val="15"/>
        </w:rPr>
      </w:pPr>
    </w:p>
    <w:p w14:paraId="25EBB312"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5.5.3.3. IERAKSTĪŠANA OPERĀCIJAS BEIGĀS</w:t>
      </w:r>
    </w:p>
    <w:p w14:paraId="5E417B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250B6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58. Ja operācijas beigās maksājumi, kurus valdība ir veikusi vērtspapīrošanas struktūrvienībai, valdībai turpinot aktīvu pārvaldību, pārsniedz valdības saistības, tad nav iespējams ierakstīt nekādu turpmāku valdības parāda izpirkumu un maksājumus vērtspapīrošanas struktūrvienībai ieraksta kā valdības kārtējos pārveduma izdevumus.</w:t>
      </w:r>
    </w:p>
    <w:p w14:paraId="55341A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DB53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Ja maksājumus vērtspapīrošanas struktūrvienībai pārtrauc pirms valdības saistību dzēšanas, piemēram, tādēļ, ka aktīvi ir iztērēti, atlikušās saistības svītro no valdības bilances nacionālajos kontos, veicot citas apjoma pārmaiņas.</w:t>
      </w:r>
    </w:p>
    <w:p w14:paraId="5B1B9A71" w14:textId="77777777" w:rsidR="00443399" w:rsidRPr="00B03B51" w:rsidRDefault="00443399" w:rsidP="00443399">
      <w:pPr>
        <w:jc w:val="both"/>
        <w:rPr>
          <w:rFonts w:ascii="Times New Roman" w:eastAsia="Arial" w:hAnsi="Times New Roman" w:cs="Times New Roman"/>
          <w:noProof/>
          <w:sz w:val="24"/>
          <w:szCs w:val="14"/>
        </w:rPr>
      </w:pPr>
    </w:p>
    <w:p w14:paraId="4D00BC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60. Ja vērtspapīrošanas operāciju traktē kā valdības aizņēmumu un vērtspapīrošanas struktūrvienība vēlāk pārdod attiecīgos (atzītos) aktīvus ārpus valdības sektora esošai vienībai, pilnīgi nododot īpašumtiesības, pārdošanu ieraksta kā vispārējās valdības veiktu aktīvu realizāciju un uzskata, ka vērtspapīrošanas struktūrvienība vienkārši rīkojas kā valdības pārstāve. Šādas operācijas mērķis ir atlikt valdības aktīvu realizāciju/pārdošanu no vērtspapīrošanas brīža līdz brīdim, kad vērtspapīrošanas struktūrvienība veiks reālu pārdošanu. Pareizs ierakstīšanas laiks ir īpaši svarīgs gadījumā, ja ir iesaistīti nefinanšu aktīvi, ņemot vērā ietekmi, kas pastāv attiecībā uz valdības neto aizdevumu/aizņēmumu (B.9).</w:t>
      </w:r>
    </w:p>
    <w:p w14:paraId="30594B24" w14:textId="77777777" w:rsidR="00443399" w:rsidRPr="00B03B51" w:rsidRDefault="00443399" w:rsidP="00443399">
      <w:pPr>
        <w:jc w:val="both"/>
        <w:rPr>
          <w:rFonts w:ascii="Times New Roman" w:eastAsia="Arial" w:hAnsi="Times New Roman" w:cs="Times New Roman"/>
          <w:noProof/>
          <w:sz w:val="24"/>
          <w:szCs w:val="15"/>
        </w:rPr>
      </w:pPr>
    </w:p>
    <w:p w14:paraId="6CA45F0B"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5.5.3.4. NO VALDĪBAS SAŅEMTU IEŅĒMUMU VĒRTSPAPĪROŠANA, KO VEIC VALDĪBAS SEKTORAM NEPIEDEROŠAS VIENĪBAS</w:t>
      </w:r>
    </w:p>
    <w:p w14:paraId="78DF27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3F47E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61. Dažos gadījumos valdības sektoram nepiederoša vienība pārvērš no valdības saņemtus regulārus ieņēmumus vērtspapīros tikai savām vajadzībām.</w:t>
      </w:r>
    </w:p>
    <w:p w14:paraId="75A8F5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DDC0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Šādā gadījumā ir jāizpēta valdības līgumsaistības, lai pārbaudītu, vai, ievērojot darījuma būtību, valdībai ir radies jauns pienākums piešķirt pietiekamus finanšu līdzekļus, lai finansētu valdības sektoram nepiederošas vienības aizņēmumu.</w:t>
      </w:r>
    </w:p>
    <w:p w14:paraId="6F22788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77C3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63. Ja valdības sektoram nepiederošas vienības veiktā vērtspapīrošana neietekmē valdības līgumsaistības veikt turpmākus maksājumus, vērtspapīrošanas rezultātā nevajadzētu rasties nekādai ietekmei uz valdības sektora kontiem.</w:t>
      </w:r>
    </w:p>
    <w:p w14:paraId="458CCB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5F15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64. Ja tomēr tiek radītas jaunas valdības saistības, jāieraksta valdības kapitāla pārvedums </w:t>
      </w:r>
      <w:r w:rsidRPr="00B03B51">
        <w:rPr>
          <w:rFonts w:ascii="Times New Roman" w:hAnsi="Times New Roman" w:cs="Times New Roman"/>
          <w:sz w:val="24"/>
        </w:rPr>
        <w:lastRenderedPageBreak/>
        <w:t>valdības sektoram nepiederošai vienībai, kas līdzvērtīgs visu apsolīto turpmāko maksājumu pašreizējai neto vērtībai, kā arī aizdevums tādā pašā apmērā no valdības sektoram nepiederošās vienības. Turpmākos valdības maksājumus ieraksta kā procentu maksājumus un aizdevuma atmaksu.</w:t>
      </w:r>
    </w:p>
    <w:p w14:paraId="6BD7C762" w14:textId="77777777" w:rsidR="00443399" w:rsidRPr="00B03B51" w:rsidRDefault="00443399" w:rsidP="00443399">
      <w:pPr>
        <w:jc w:val="both"/>
        <w:rPr>
          <w:rFonts w:ascii="Times New Roman" w:eastAsia="Arial" w:hAnsi="Times New Roman" w:cs="Times New Roman"/>
          <w:noProof/>
          <w:sz w:val="24"/>
          <w:szCs w:val="19"/>
        </w:rPr>
      </w:pPr>
    </w:p>
    <w:p w14:paraId="5008E898"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58" w:name="_Toc67565164"/>
      <w:r w:rsidRPr="00B03B51">
        <w:rPr>
          <w:rFonts w:ascii="Times New Roman" w:hAnsi="Times New Roman" w:cs="Times New Roman"/>
          <w:sz w:val="24"/>
        </w:rPr>
        <w:t>5.5.4. Traktējuma pamatojums</w:t>
      </w:r>
      <w:bookmarkEnd w:id="458"/>
    </w:p>
    <w:p w14:paraId="00D001F0" w14:textId="77777777" w:rsidR="00443399" w:rsidRPr="00BE27DC" w:rsidRDefault="00443399" w:rsidP="00BE27DC">
      <w:pPr>
        <w:rPr>
          <w:rFonts w:ascii="Times New Roman" w:hAnsi="Times New Roman" w:cs="Times New Roman"/>
          <w:noProof/>
          <w:sz w:val="24"/>
          <w:szCs w:val="24"/>
        </w:rPr>
      </w:pPr>
    </w:p>
    <w:p w14:paraId="46E70B2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5.5.4.1. NODODAMU AKTĪVU ATZĪŠANA NACIONĀLAJOS KONTOS</w:t>
      </w:r>
    </w:p>
    <w:p w14:paraId="28A4F05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AA58F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65. Aktīvi nerada pārvedumus, t. i., neatlīdzināmus sadales darījumus. Piemēram, valdību spēja palielināt nodokļus neveido nacionālajos kontos atzītu aktīvu. Paredzamos turpmākos ieņēmumus no starptautiskajiem pārvedumiem, loterijas biļetēm, licenču maksām vai soda naudām neklasificē kā aktīvus. Šo pārvedumu nākotnes plūsma neatbilst EKS 2010 7.15. punktā noteiktajai aktīvu definīcijai. Nav iespējams ierakstīt darījumu ar aktīviem, ja attiecīgais aktīvs sākotnēji nepastāv nacionālo kontu bilancē. Tāpēc, ņemot vērā, ka aktīvi nav atzīti nacionālajos kontos, saistībā ar šādu līdzekļu vērtspapīrošanu var ierakstīt tikai valdības aizņēmumu.</w:t>
      </w:r>
    </w:p>
    <w:p w14:paraId="1C85B7A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E3CA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66. Saskaņā ar EKS 2010 aktīvus neveido arī ienākumu no aktīviem nākotnes plūsmas, kuras pēc uzkrāšanās ierakstīs pozīcijā P.1 un D.4. Šādu plūsmu vērtspapīrošanu nacionālajos kontos nevar ierakstīt kā aktīvu pārdošanu, ja vien netiek uzskatīts, ka ir nodotas īpašumtiesības uz attiecīgajiem aktīviem.</w:t>
      </w:r>
    </w:p>
    <w:p w14:paraId="4DCD1D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DEE6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67. Pārdošana nevar attiekties arī uz vairākiem turpmākajiem aktīva izmantošanas periodiem, piemēram, uz vairākām īpašuma ienākuma nākotnes plūsmām, kuras tiks gūtas no finanšu aktīviem, vai vairākām nomas maksas/rentes nākotnes plūsmām, kuras nodrošinās nefinanšu aktīvu izmantošana, ja vien attiecīgie aktīvi nav pilnīgi pārdoti.</w:t>
      </w:r>
    </w:p>
    <w:p w14:paraId="1240006D" w14:textId="77777777" w:rsidR="00443399" w:rsidRPr="00B03B51" w:rsidRDefault="00443399" w:rsidP="00443399">
      <w:pPr>
        <w:jc w:val="both"/>
        <w:rPr>
          <w:rFonts w:ascii="Times New Roman" w:eastAsia="Arial" w:hAnsi="Times New Roman" w:cs="Times New Roman"/>
          <w:noProof/>
          <w:sz w:val="24"/>
          <w:szCs w:val="15"/>
        </w:rPr>
      </w:pPr>
    </w:p>
    <w:p w14:paraId="3C5D0E7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5.5.4.2. FISKĀLO PRASĪJUMU GADĪJUMS</w:t>
      </w:r>
    </w:p>
    <w:p w14:paraId="5900E6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8E7B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68. Nodokļus var noteikt, pamatojoties vienīgi uz valdību tiesībām piemērot nodokļus, un tos var iekasēt tikai valdība vai starptautiskas organizācijas. Konkrēti nodokļu ierakstīšanas noteikumi ir noteikti EKS 2010 4.26.–4.29., 4.82. punktā un EKS 2010 20.174. punktā, kā arī 2.2. nodaļā “Nodokļu un sociālo iemaksu ierakstīšana”. Ir jānošķir nākotnes nodokļu vērtspapīrošana no iekasējamo nodokļu (fiskālo prasījumu) vērtspapīrošanas.</w:t>
      </w:r>
    </w:p>
    <w:p w14:paraId="7F34CF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0BEE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69. Tādu nodokļu vērtspapīrošana, kas uzkrāsies nākotnē no gaidāmajiem ienākumiem vai nākotnes notikumiem, nerada pamatu aktīva realizācijai, jo nacionālajos kontos nepastāv neviens aktīvs. Tāpēc tos uzskata par aizņēmumu. Vērtspapirizētos nodokļus, kas uzkrāsies nākotnē, nacionālo kontu sistēmā attiecina uz vispārējo valdību neatkarīgi no tā, kādi ir konkrētie iekasēšanas pasākumi saskaņā ar vērtspapīrošanas nosacījumiem.</w:t>
      </w:r>
    </w:p>
    <w:p w14:paraId="6CD420EE" w14:textId="77777777" w:rsidR="00443399" w:rsidRPr="00B03B51" w:rsidRDefault="00443399" w:rsidP="00443399">
      <w:pPr>
        <w:jc w:val="both"/>
        <w:rPr>
          <w:rFonts w:ascii="Times New Roman" w:hAnsi="Times New Roman" w:cs="Times New Roman"/>
          <w:noProof/>
          <w:sz w:val="24"/>
        </w:rPr>
      </w:pPr>
    </w:p>
    <w:p w14:paraId="2100461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70. Fiskālie prasījumi, kas atspoguļo iepriekš uzkrātos, bet vēl nenomaksātos nodokļus, jo vēl nav iestājies to maksājuma termiņš vai arī tos maksā pa daļām, ir finanšu aktīvi, un nacionālajos kontos tos ieraksta pozīcijā AF.8. Tomēr tos nevar nodot vienībām, kas neiekasē nodokļus, jo saskaņā ar EKS 2010 noteikumiem nodokļus var iekasēt tikai vispārējā valdība, Eiropas Savienības iestādes vai pārējā pasaule (EKS 2010 4.14. un 4.77. punkts). Saskaņā ar EKS 2010 sociālās iemaksas var uzskatīt par jebkura sektora resursu. Tomēr, ņemot vērā nodokļu un sociālo iemaksu līdzību, attiecībā uz visu fiskālo prasījumu vērtspapīrošanu piemēro vienu un to pašu noteikumu (ieraksta kā aizņēmumu) neatkarīgi no tā, vai tie ir iekasējamie nodokļi vai iekasējamas sociālās iemaksas, kuras iekasē valdība, privātas vienības vai valdības sektoram </w:t>
      </w:r>
      <w:r w:rsidRPr="00B03B51">
        <w:rPr>
          <w:rFonts w:ascii="Times New Roman" w:hAnsi="Times New Roman" w:cs="Times New Roman"/>
          <w:sz w:val="24"/>
        </w:rPr>
        <w:lastRenderedPageBreak/>
        <w:t>nepiederošas vienības (vismaz attiecībā uz obligātajām sociālajām iemaksām).</w:t>
      </w:r>
    </w:p>
    <w:p w14:paraId="228DD578" w14:textId="77777777" w:rsidR="00443399" w:rsidRPr="00B03B51" w:rsidRDefault="00443399" w:rsidP="00443399">
      <w:pPr>
        <w:jc w:val="both"/>
        <w:rPr>
          <w:rFonts w:ascii="Times New Roman" w:eastAsia="Arial" w:hAnsi="Times New Roman" w:cs="Times New Roman"/>
          <w:noProof/>
          <w:sz w:val="24"/>
          <w:szCs w:val="15"/>
        </w:rPr>
      </w:pPr>
    </w:p>
    <w:p w14:paraId="364332C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5.5.4.3. RISKU UN PRIEKŠROCĪBU NODOŠANA</w:t>
      </w:r>
    </w:p>
    <w:p w14:paraId="4AFF3855"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3C20F862"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71. Viens nosacījums, saskaņā ar kuru vērtspapīrošanu nacionālajos kontos ieraksta kā pārdošanu, ir ar aktīvu saistīto risku un priekšrocību nodošana vērtspapīrošanas struktūrvienībai. Saskaņā ar EKS 2010 7.10. punktu “ekonomiskie aktīvi ir vērtības uzkrājēji, kas parāda labumus, kas uzkrājas ekonomiskajam īpašniekam, kurš uz laiku tur vai izmanto aktīvu”. Turklāt EKS 2010 noteikumi par finanšu nomu, kas atbilst situācijai, kurā “iznomātājs ir nodevis visus īpašuma tiesību riskus un priekšrocības nomniekam </w:t>
      </w:r>
      <w:r w:rsidRPr="00B03B51">
        <w:rPr>
          <w:rFonts w:ascii="Times New Roman" w:hAnsi="Times New Roman" w:cs="Times New Roman"/>
          <w:i/>
          <w:iCs/>
          <w:sz w:val="24"/>
          <w:szCs w:val="19"/>
        </w:rPr>
        <w:t>de facto</w:t>
      </w:r>
      <w:r w:rsidRPr="00B03B51">
        <w:rPr>
          <w:rFonts w:ascii="Times New Roman" w:hAnsi="Times New Roman" w:cs="Times New Roman"/>
          <w:sz w:val="24"/>
          <w:szCs w:val="19"/>
        </w:rPr>
        <w:t xml:space="preserve">, nevis </w:t>
      </w:r>
      <w:r w:rsidRPr="00B03B51">
        <w:rPr>
          <w:rFonts w:ascii="Times New Roman" w:hAnsi="Times New Roman" w:cs="Times New Roman"/>
          <w:i/>
          <w:iCs/>
          <w:sz w:val="24"/>
          <w:szCs w:val="19"/>
        </w:rPr>
        <w:t>de iure</w:t>
      </w:r>
      <w:r w:rsidRPr="00B03B51">
        <w:rPr>
          <w:rFonts w:ascii="Times New Roman" w:hAnsi="Times New Roman" w:cs="Times New Roman"/>
          <w:sz w:val="24"/>
          <w:szCs w:val="19"/>
        </w:rPr>
        <w:t>” (skat. EKS 2010 15. nodaļu “Līgumi, nomas līgumi un licences”), liecina par to, ka ekonomiskās īpašumtiesības nosaka, pamatojoties uz īpašumtiesību risku un priekšrocību nodošanu.</w:t>
      </w:r>
    </w:p>
    <w:p w14:paraId="57E5A9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B12F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72. Īpašumtiesības nacionālajos kontos drīzāk nosaka, pamatojoties uz ekonomisko realitāti, nevis uz juridiskajiem nosacījumiem. Lielākā daļa garantiju, aizstāšanas klauzulu, pēdējo daļu vai </w:t>
      </w:r>
      <w:r w:rsidRPr="00B03B51">
        <w:rPr>
          <w:rFonts w:ascii="Times New Roman" w:hAnsi="Times New Roman" w:cs="Times New Roman"/>
          <w:i/>
          <w:iCs/>
          <w:sz w:val="24"/>
        </w:rPr>
        <w:t>DPP</w:t>
      </w:r>
      <w:r w:rsidRPr="00B03B51">
        <w:rPr>
          <w:rFonts w:ascii="Times New Roman" w:hAnsi="Times New Roman" w:cs="Times New Roman"/>
          <w:sz w:val="24"/>
        </w:rPr>
        <w:t xml:space="preserve"> nosacījumu liecina par to, ka ar aktīvu saistītie riski un priekšrocības nav nodotas. Šādos gadījumos ieraksta valdības aizņēmumu. Turklāt jebkādus valdības noteiktus ierobežojumus vērtspapīrošanas struktūrvienības tiesībām vēlāk pārdot aktīvus trešajai pusei uzskata par apliecinājumu tam, ka nav notikusi pārdošana, jo šādā gadījumā valdība gūtu no aktīva iespējamās priekšrocības.</w:t>
      </w:r>
    </w:p>
    <w:p w14:paraId="486E0F5A" w14:textId="77777777" w:rsidR="00443399" w:rsidRPr="00B03B51" w:rsidRDefault="00443399" w:rsidP="00443399">
      <w:pPr>
        <w:jc w:val="both"/>
        <w:rPr>
          <w:rFonts w:ascii="Times New Roman" w:eastAsia="Arial" w:hAnsi="Times New Roman" w:cs="Times New Roman"/>
          <w:noProof/>
          <w:sz w:val="24"/>
          <w:szCs w:val="15"/>
        </w:rPr>
      </w:pPr>
    </w:p>
    <w:p w14:paraId="414FC184"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5.5.4.4. AR FINANŠU AKTĪVIEM SAISTĪTIE RISKI UN PRIEKŠROCĪBAS</w:t>
      </w:r>
    </w:p>
    <w:p w14:paraId="2BBFCC4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0CAC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73. Ekonomiskie labumi, kurus var gūt no finanšu aktīviem, ir īpašuma ienākumi, kurus gūst no to turēšanas, un turēšanas guvumi, kuri uzkrājas par šādiem aktīviem un kurus var realizēt, kad aktīvi tiek pārdoti. Attiecīgi ir iespējami arī turēšanas zaudējumi un tādējādi arī daļa no riskiem, kas saistīti ar īpašumtiesībām.</w:t>
      </w:r>
    </w:p>
    <w:p w14:paraId="1934AD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4F3F22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74. Saistībā ar vērtspapīrošanu vissvarīgākais ar finanšu aktīviem saistītais risks parasti ir kredītrisks. Kredītrisks attiecas uz iespējamu pienākošos maksājumu neveikšanu, saistībā ar ko var nošķirt procentu maksājumus un pamatsummas atmaksu. Finanšu aktīva ekonomiskā īpašniece ir vienība, kas reāli uzņemas ar konkrētajiem aktīviem saistīto kredītrisku. Ekonomiskā īpašniece pēc tam var iegādāties apdrošināšanu vai atvasinātos finanšu instrumentus, lai mazinātu risku, taču tas nemaina īpašumtiesības.</w:t>
      </w:r>
    </w:p>
    <w:p w14:paraId="6D9D0DB7" w14:textId="77777777" w:rsidR="00443399" w:rsidRPr="00B03B51" w:rsidRDefault="00443399" w:rsidP="00443399">
      <w:pPr>
        <w:jc w:val="both"/>
        <w:rPr>
          <w:rFonts w:ascii="Times New Roman" w:eastAsia="Arial" w:hAnsi="Times New Roman" w:cs="Times New Roman"/>
          <w:noProof/>
          <w:sz w:val="24"/>
          <w:szCs w:val="15"/>
        </w:rPr>
      </w:pPr>
    </w:p>
    <w:p w14:paraId="3D241FF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5.5.4.5. AR NEFINANŠU AKTĪVIEM SAISTĪTIE RISKI UN PRIEKŠROCĪBAS</w:t>
      </w:r>
    </w:p>
    <w:p w14:paraId="2DEC062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2B4C6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75. Ar nefinanšu aktīviem saistītās priekšrocības ir darbības pārpalikumi, kas uzkrājas no pamatlīdzekļu izmantošanas, un neto rentes, kuras gūst no neražotu aktīvu nomas. Turklāt nefinanšu aktīvi var radīt turēšanas guvumus un zaudējumus, kas ir svarīga iezīme, ja tos iegādājas tālākpārdošanai. Īpašnieks uzņemas izmaksas, lai izvairītos no sliktiem aktīvu izmantošanas rezultātiem un nodrošinātu ienākumus, apņemoties uzturēt aktīvus vai iegādājoties apdrošināšanu, lai aktīvu neparedzētas pasliktināšanās, izlietošanas vai iznīcināšanas gadījumā varētu saņemt kompensāciju. Īpašumtiesību pazīmes ietver spēju lemt par:</w:t>
      </w:r>
    </w:p>
    <w:p w14:paraId="7C2E4A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6ECDBBB"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nomas maksas/rentes lielumu;</w:t>
      </w:r>
    </w:p>
    <w:p w14:paraId="17B65680" w14:textId="77777777" w:rsidR="00443399" w:rsidRPr="00B03B51" w:rsidRDefault="00443399" w:rsidP="004205D9">
      <w:pPr>
        <w:pStyle w:val="BodyText"/>
        <w:numPr>
          <w:ilvl w:val="1"/>
          <w:numId w:val="5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aktīvu pārdošanas laiku.</w:t>
      </w:r>
    </w:p>
    <w:p w14:paraId="49211D81" w14:textId="77777777" w:rsidR="00443399" w:rsidRPr="00B03B51" w:rsidRDefault="00443399" w:rsidP="00443399">
      <w:pPr>
        <w:jc w:val="both"/>
        <w:rPr>
          <w:rFonts w:ascii="Times New Roman" w:eastAsia="Arial" w:hAnsi="Times New Roman" w:cs="Times New Roman"/>
          <w:noProof/>
          <w:sz w:val="24"/>
          <w:szCs w:val="15"/>
        </w:rPr>
      </w:pPr>
    </w:p>
    <w:p w14:paraId="1675AFC3" w14:textId="77777777" w:rsidR="00443399" w:rsidRPr="00B03B51" w:rsidRDefault="00443399" w:rsidP="004205D9">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5.5.4.6. VĒRTSPAPĪROŠANAS STRUKTŪRVIENĪBAS KLASIFIKĀCIJA</w:t>
      </w:r>
    </w:p>
    <w:p w14:paraId="3BE493C6" w14:textId="77777777" w:rsidR="00443399" w:rsidRPr="00B03B51" w:rsidRDefault="00443399" w:rsidP="004205D9">
      <w:pPr>
        <w:pStyle w:val="BodyText"/>
        <w:keepNext/>
        <w:tabs>
          <w:tab w:val="left" w:pos="843"/>
        </w:tabs>
        <w:spacing w:before="0"/>
        <w:ind w:left="0" w:firstLine="0"/>
        <w:jc w:val="both"/>
        <w:rPr>
          <w:rFonts w:ascii="Times New Roman" w:hAnsi="Times New Roman" w:cs="Times New Roman"/>
          <w:noProof/>
          <w:sz w:val="24"/>
        </w:rPr>
      </w:pPr>
    </w:p>
    <w:p w14:paraId="4B05D4CB" w14:textId="77777777" w:rsidR="00443399" w:rsidRPr="00B03B51" w:rsidRDefault="00443399" w:rsidP="004205D9">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76. Attiecībā uz vērtspapīrošanas struktūrvienības sektora klasifikāciju gadījumā, ja tā ir ĪNDS, EKS 2010 2.90. punkta f) apakšpunkts nosaka, ka tā jāklasificē kā citi finanšu starpnieki (S.125). Tā pamatā ir pieņēmums, ka šādas “sabiedrības” ir institucionālas vienības, kuras nodarbojas ar finanšu starpniecību (vai veic citas palīgdarbības).</w:t>
      </w:r>
    </w:p>
    <w:p w14:paraId="39C13CA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3F878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77. Lai sabiedrību varētu uzskatīt par atsevišķu institucionālu vienību, ir jābūt izpildītiem EKS 2010 2.12. punktā minētajiem kritērijiem. Lai ĪNDS varētu klasificēt S.125 sektorā, tai ir jābūt lēmumu pieņemšanas autonomijai attiecībā uz tās emitēto parāda vērtspapīru pārvaldību. Par to liecina vērtspapīru emisijas biežums, parāda pārvaldība, atmaksas stratēģija u. c. Ir jābūt skaidri zināmam, ka ĪNDS nerīkojas valdības vārdā. Tai nepieciešama arī pilnīga autonomija attiecībā uz tās aktīvu pārvaldību un realizāciju. Pretējā gadījumā ĪNDS nevar ierakstīt kā atsevišķu institucionālo vienību.</w:t>
      </w:r>
    </w:p>
    <w:p w14:paraId="313F82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80A8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78. Attiecībā uz institucionālās vienības atzīšanu par finanšu starpnieku EKS 2010 2.57. punktā noteikts, ka </w:t>
      </w:r>
      <w:r w:rsidRPr="00B03B51">
        <w:rPr>
          <w:rFonts w:ascii="Times New Roman" w:hAnsi="Times New Roman" w:cs="Times New Roman"/>
          <w:i/>
          <w:iCs/>
          <w:sz w:val="24"/>
        </w:rPr>
        <w:t>finanšu starpnieks ne tikai darbojas kā citu institucionālo vienību aģents, bet arī pakļauj sevi riskam, savā vārdā pērkot finanšu aktīvus un uzņemoties saistības</w:t>
      </w:r>
      <w:r w:rsidRPr="00B03B51">
        <w:rPr>
          <w:rFonts w:ascii="Times New Roman" w:hAnsi="Times New Roman" w:cs="Times New Roman"/>
          <w:sz w:val="24"/>
        </w:rPr>
        <w:t>.</w:t>
      </w:r>
    </w:p>
    <w:p w14:paraId="1ECB31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3006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79. Attiecībā uz tādu jaunu finanšu aktīvu klasifikāciju, kuri izriet no vērtspapīrošanas, EKS 2010 5.104. punktā noteikts, ka vērtspapīrus, kas emitēti saistībā ar vērtspapīrošanu, klasificē kā parāda vērtspapīrus (AF.3).</w:t>
      </w:r>
    </w:p>
    <w:p w14:paraId="716AFCE9" w14:textId="77777777" w:rsidR="00443399" w:rsidRPr="00B03B51" w:rsidRDefault="00443399" w:rsidP="00443399">
      <w:pPr>
        <w:jc w:val="both"/>
        <w:rPr>
          <w:rFonts w:ascii="Times New Roman" w:eastAsia="Arial" w:hAnsi="Times New Roman" w:cs="Times New Roman"/>
          <w:noProof/>
          <w:sz w:val="24"/>
          <w:szCs w:val="15"/>
        </w:rPr>
      </w:pPr>
    </w:p>
    <w:p w14:paraId="307578F2"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5.5.4.7. NO VALDĪBAS SAŅEMTU IEŅĒMUMU VĒRTSPAPĪROŠANA, KO VEIC VALDĪBAS SEKTORAM NEPIEDEROŠA VIENĪBA</w:t>
      </w:r>
    </w:p>
    <w:p w14:paraId="25ADB0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36A87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80. Dažos gadījumos valdības sektoram nepiederoša vienība pārvērš no valdības saņemtus ieņēmumus vērtspapīros savām vajadzībām. Lai gan sākotnēji var šķist, ka šādām vienpusējām darbībām nav ietekmes uz valdības sektora kontiem, operācija tomēr ir jāpārbauda, lai precīzi noskaidrotu valdības līgumsaistības. Ir jāpārbauda, vai līgumā, ar kuru ir apsolīti turpmākie maksājumi, valdībai ir paredzētas saistības izmaksāt pietiekamu naudas summu, lai apkalpotu tādas valdības sektoram nepiederošas vienības parādu, kura saņem šādus maksājumus.</w:t>
      </w:r>
    </w:p>
    <w:p w14:paraId="78CC456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8F83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81. Ja valdība nepārprotami ir uzņēmusies saistības izmaksāt pietiekamu naudas summu parāda apkalpošanas vai citu valdības sektoram nepiederošas vienības saistību segšanai, operāciju klasificē kā valdības aizņēmumu. Valdības aizņēmumu neieraksta, ja valdības pienākumi ir atkarīgi no valdības sektoram nepiederošas vienības darbības rezultātiem, ko tā uzrāda, tiecoties sasniegt valdības politikas mērķus.</w:t>
      </w:r>
    </w:p>
    <w:p w14:paraId="4FB080A6" w14:textId="77777777" w:rsidR="00443399" w:rsidRPr="00B03B51" w:rsidRDefault="00443399" w:rsidP="00443399">
      <w:pPr>
        <w:jc w:val="both"/>
        <w:rPr>
          <w:rFonts w:ascii="Times New Roman" w:eastAsia="Arial" w:hAnsi="Times New Roman" w:cs="Times New Roman"/>
          <w:noProof/>
          <w:sz w:val="24"/>
          <w:szCs w:val="19"/>
        </w:rPr>
      </w:pPr>
    </w:p>
    <w:p w14:paraId="41443AAB"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59" w:name="_Toc67565165"/>
      <w:r w:rsidRPr="00B03B51">
        <w:rPr>
          <w:rFonts w:ascii="Times New Roman" w:hAnsi="Times New Roman" w:cs="Times New Roman"/>
          <w:sz w:val="24"/>
        </w:rPr>
        <w:t>5.5.5. Uzskaites piemēri</w:t>
      </w:r>
      <w:bookmarkEnd w:id="459"/>
    </w:p>
    <w:p w14:paraId="718B8E3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1DB6A2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Piemēros ir apspriesti tikai tādi darījumi, kas ietekmē valdības kontus.</w:t>
      </w:r>
    </w:p>
    <w:p w14:paraId="298477BE" w14:textId="77777777" w:rsidR="00443399" w:rsidRPr="00B03B51" w:rsidRDefault="00443399" w:rsidP="00443399">
      <w:pPr>
        <w:jc w:val="both"/>
        <w:rPr>
          <w:rFonts w:ascii="Times New Roman" w:hAnsi="Times New Roman" w:cs="Times New Roman"/>
          <w:b/>
          <w:noProof/>
          <w:sz w:val="24"/>
        </w:rPr>
      </w:pPr>
    </w:p>
    <w:p w14:paraId="59F28D7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 piemērs. Ēkas pārdošana saskaņā ar atliktās pirkšanas cenas (</w:t>
      </w:r>
      <w:r w:rsidRPr="00B03B51">
        <w:rPr>
          <w:rFonts w:ascii="Times New Roman" w:hAnsi="Times New Roman" w:cs="Times New Roman"/>
          <w:b/>
          <w:i/>
          <w:iCs/>
          <w:sz w:val="24"/>
        </w:rPr>
        <w:t>DPP</w:t>
      </w:r>
      <w:r w:rsidRPr="00B03B51">
        <w:rPr>
          <w:rFonts w:ascii="Times New Roman" w:hAnsi="Times New Roman" w:cs="Times New Roman"/>
          <w:b/>
          <w:sz w:val="24"/>
        </w:rPr>
        <w:t>) nosacījumu</w:t>
      </w:r>
    </w:p>
    <w:p w14:paraId="492AC99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98506F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pārdod ēkas privātai bankai, kas plāno tās pārdot tālāk nākamajā gadā, tiklīdz uzlabosies situācija tirgū. Aplēstā ēku vērtība ir 100 naudas vienības.</w:t>
      </w:r>
    </w:p>
    <w:p w14:paraId="4F6817E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769D64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w:t>
      </w:r>
    </w:p>
    <w:p w14:paraId="624E481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02FB20D"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 ēku pārdošanu nekavējoties saņem 90 naudas vienības;</w:t>
      </w:r>
    </w:p>
    <w:p w14:paraId="70CEA2EB"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 xml:space="preserve">pastāv arī </w:t>
      </w:r>
      <w:r w:rsidRPr="00B03B51">
        <w:rPr>
          <w:rFonts w:ascii="Times New Roman" w:hAnsi="Times New Roman" w:cs="Times New Roman"/>
          <w:i/>
          <w:iCs/>
          <w:sz w:val="24"/>
        </w:rPr>
        <w:t>DPP</w:t>
      </w:r>
      <w:r w:rsidRPr="00B03B51">
        <w:rPr>
          <w:rFonts w:ascii="Times New Roman" w:hAnsi="Times New Roman" w:cs="Times New Roman"/>
          <w:sz w:val="24"/>
        </w:rPr>
        <w:t xml:space="preserve"> līgums, saskaņā ar kuru gadījumā, ja banka par ēku tālākpārdošanu saņem vairāk par 90 naudas vienībām, no ieņēmumiem, kas pārsniedz 90 naudas vienību līmeni, valdībai izmaksā ne vairāk kā 25 naudas vienības.</w:t>
      </w:r>
    </w:p>
    <w:p w14:paraId="424CF78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DBFB32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Banka ar tai piederošas un tās izveidotas ĪNDS starpniecību emitē obligācijas 90 naudas vienību vērtībā.</w:t>
      </w:r>
    </w:p>
    <w:p w14:paraId="5E48CE3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A1BCEC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Otrajā gadā ēkas pārdod tālāk par 120 naudas vienībām:</w:t>
      </w:r>
    </w:p>
    <w:p w14:paraId="07D9588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8251206"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valdība saņem papildmaksājumu 25 naudas vienību apmērā saskaņā ar </w:t>
      </w:r>
      <w:r w:rsidRPr="00B03B51">
        <w:rPr>
          <w:rFonts w:ascii="Times New Roman" w:hAnsi="Times New Roman" w:cs="Times New Roman"/>
          <w:i/>
          <w:iCs/>
          <w:sz w:val="24"/>
        </w:rPr>
        <w:t>DPP</w:t>
      </w:r>
      <w:r w:rsidRPr="00B03B51">
        <w:rPr>
          <w:rFonts w:ascii="Times New Roman" w:hAnsi="Times New Roman" w:cs="Times New Roman"/>
          <w:sz w:val="24"/>
        </w:rPr>
        <w:t xml:space="preserve"> nosacījumu;</w:t>
      </w:r>
    </w:p>
    <w:p w14:paraId="01313CC3"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bankas peļņa pēc tam, kad ĪNDS ir atmaksājusi savu aizņēmumu, ir 5 naudas vienības.</w:t>
      </w:r>
    </w:p>
    <w:p w14:paraId="58F4AA61" w14:textId="77777777" w:rsidR="00443399" w:rsidRPr="00B03B51" w:rsidRDefault="00443399" w:rsidP="00443399">
      <w:pPr>
        <w:jc w:val="both"/>
        <w:rPr>
          <w:rFonts w:ascii="Times New Roman" w:hAnsi="Times New Roman" w:cs="Times New Roman"/>
          <w:b/>
          <w:noProof/>
          <w:sz w:val="24"/>
        </w:rPr>
      </w:pPr>
    </w:p>
    <w:p w14:paraId="3D392527"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t>Analīze un traktējums nacionālajos kontos</w:t>
      </w:r>
    </w:p>
    <w:p w14:paraId="54532D45" w14:textId="77777777" w:rsidR="00443399" w:rsidRPr="00B03B51" w:rsidRDefault="00443399" w:rsidP="00443399">
      <w:pPr>
        <w:pStyle w:val="BodyText"/>
        <w:keepNext/>
        <w:spacing w:before="0"/>
        <w:ind w:left="0" w:firstLine="0"/>
        <w:jc w:val="both"/>
        <w:rPr>
          <w:rFonts w:ascii="Times New Roman" w:hAnsi="Times New Roman" w:cs="Times New Roman"/>
          <w:noProof/>
          <w:sz w:val="24"/>
        </w:rPr>
      </w:pPr>
    </w:p>
    <w:p w14:paraId="15FCA3A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DPP</w:t>
      </w:r>
      <w:r w:rsidRPr="00B03B51">
        <w:rPr>
          <w:rFonts w:ascii="Times New Roman" w:hAnsi="Times New Roman" w:cs="Times New Roman"/>
          <w:sz w:val="24"/>
        </w:rPr>
        <w:t xml:space="preserve"> nosacījuma piemērošanas dēļ darījumu neuzskata par īstu pārdošanu.</w:t>
      </w:r>
    </w:p>
    <w:p w14:paraId="18202E7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5A3666C"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Pirmajā gadā to ieraksta kā valdības aizņēmumu par 90 naudas vienībām.</w:t>
      </w:r>
    </w:p>
    <w:p w14:paraId="089CF2E3"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Otrajā gadā pēc ēkas pārdošanas par tirgus cenu to uzrāda kā negatīvu valdības bruto ieguldījumu pamatkapitālā.</w:t>
      </w:r>
    </w:p>
    <w:p w14:paraId="081EA40B" w14:textId="77777777" w:rsidR="00443399" w:rsidRPr="00B03B51" w:rsidRDefault="00443399" w:rsidP="004205D9">
      <w:pPr>
        <w:pStyle w:val="BodyText"/>
        <w:numPr>
          <w:ilvl w:val="0"/>
          <w:numId w:val="56"/>
        </w:numPr>
        <w:spacing w:before="0"/>
        <w:ind w:left="426" w:hanging="425"/>
        <w:rPr>
          <w:rFonts w:ascii="Times New Roman" w:hAnsi="Times New Roman" w:cs="Times New Roman"/>
          <w:noProof/>
          <w:sz w:val="24"/>
        </w:rPr>
      </w:pPr>
      <w:r w:rsidRPr="00B03B51">
        <w:rPr>
          <w:rFonts w:ascii="Times New Roman" w:hAnsi="Times New Roman" w:cs="Times New Roman"/>
          <w:sz w:val="24"/>
        </w:rPr>
        <w:t>Bankas peļņu ieraksta kā procentu prēmiju, kas gūta par nosacīto aizdevumu, kuru pēc operācijas pabeigšanas uzrāda kā izpirktu. Uzskaites vienkāršošanas nolūkā ir norādīts, ka peļņu 2. gada beigās patur ĪNDS.</w:t>
      </w:r>
    </w:p>
    <w:p w14:paraId="1A87E89B" w14:textId="77777777" w:rsidR="00443399" w:rsidRPr="00B03B51" w:rsidRDefault="00443399" w:rsidP="00443399">
      <w:pPr>
        <w:pStyle w:val="BodyText"/>
        <w:spacing w:before="0"/>
        <w:ind w:left="0" w:firstLine="0"/>
        <w:rPr>
          <w:rFonts w:ascii="Times New Roman" w:hAnsi="Times New Roman" w:cs="Times New Roman"/>
          <w:noProof/>
          <w:sz w:val="24"/>
        </w:rPr>
      </w:pPr>
    </w:p>
    <w:p w14:paraId="6AF33508" w14:textId="77777777" w:rsidR="00443399" w:rsidRPr="00B03B51" w:rsidRDefault="00443399" w:rsidP="00443399">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773AEC5E" wp14:editId="2A8AD32D">
            <wp:extent cx="5756275" cy="3877945"/>
            <wp:effectExtent l="0" t="0" r="0" b="8255"/>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6275" cy="3877945"/>
                    </a:xfrm>
                    <a:prstGeom prst="rect">
                      <a:avLst/>
                    </a:prstGeom>
                  </pic:spPr>
                </pic:pic>
              </a:graphicData>
            </a:graphic>
          </wp:inline>
        </w:drawing>
      </w:r>
    </w:p>
    <w:p w14:paraId="0F4672FD" w14:textId="77777777" w:rsidR="00443399" w:rsidRPr="00B03B51" w:rsidRDefault="00443399" w:rsidP="00443399">
      <w:pPr>
        <w:pStyle w:val="BodyText"/>
        <w:spacing w:before="0"/>
        <w:ind w:left="0" w:firstLine="0"/>
        <w:rPr>
          <w:rFonts w:ascii="Times New Roman" w:hAnsi="Times New Roman" w:cs="Times New Roman"/>
          <w:noProof/>
          <w:sz w:val="24"/>
        </w:rPr>
      </w:pPr>
    </w:p>
    <w:p w14:paraId="1CB609C9" w14:textId="77777777" w:rsidR="00443399" w:rsidRPr="00B03B51" w:rsidRDefault="00443399" w:rsidP="004205D9">
      <w:pPr>
        <w:pStyle w:val="BodyText"/>
        <w:spacing w:before="0"/>
        <w:ind w:left="0" w:firstLine="0"/>
        <w:jc w:val="center"/>
        <w:rPr>
          <w:rFonts w:ascii="Times New Roman" w:hAnsi="Times New Roman" w:cs="Times New Roman"/>
          <w:noProof/>
          <w:sz w:val="24"/>
        </w:rPr>
      </w:pPr>
      <w:r w:rsidRPr="00B03B51">
        <w:rPr>
          <w:rFonts w:ascii="Times New Roman" w:hAnsi="Times New Roman" w:cs="Times New Roman"/>
          <w:noProof/>
        </w:rPr>
        <w:lastRenderedPageBreak/>
        <w:drawing>
          <wp:inline distT="0" distB="0" distL="0" distR="0" wp14:anchorId="2AD43719" wp14:editId="2A527414">
            <wp:extent cx="5756275" cy="3782695"/>
            <wp:effectExtent l="0" t="0" r="0" b="8255"/>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52103"/>
                    <a:stretch/>
                  </pic:blipFill>
                  <pic:spPr bwMode="auto">
                    <a:xfrm>
                      <a:off x="0" y="0"/>
                      <a:ext cx="5756275" cy="3782695"/>
                    </a:xfrm>
                    <a:prstGeom prst="rect">
                      <a:avLst/>
                    </a:prstGeom>
                    <a:ln>
                      <a:noFill/>
                    </a:ln>
                    <a:extLst>
                      <a:ext uri="{53640926-AAD7-44D8-BBD7-CCE9431645EC}">
                        <a14:shadowObscured xmlns:a14="http://schemas.microsoft.com/office/drawing/2010/main"/>
                      </a:ext>
                    </a:extLst>
                  </pic:spPr>
                </pic:pic>
              </a:graphicData>
            </a:graphic>
          </wp:inline>
        </w:drawing>
      </w:r>
    </w:p>
    <w:p w14:paraId="0EA22E80" w14:textId="77777777" w:rsidR="00443399" w:rsidRPr="00B03B51" w:rsidRDefault="00443399" w:rsidP="00443399">
      <w:pPr>
        <w:jc w:val="both"/>
        <w:rPr>
          <w:rFonts w:ascii="Times New Roman" w:hAnsi="Times New Roman" w:cs="Times New Roman"/>
          <w:noProof/>
          <w:sz w:val="24"/>
        </w:rPr>
      </w:pPr>
    </w:p>
    <w:p w14:paraId="7EDEAD1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Pēc pārdošanas tirgū valdība saņem 25 naudas vienības un ĪNDS saņem 95 naudas vienības, savukārt ĪNDS pēc tam izmanto 90 naudas vienības no AF.2, lai atmaksātu savas obligācijas (AF.3).</w:t>
      </w:r>
    </w:p>
    <w:p w14:paraId="3FA3BF06" w14:textId="77777777" w:rsidR="00443399" w:rsidRPr="00B03B51" w:rsidRDefault="00443399" w:rsidP="00443399">
      <w:pPr>
        <w:jc w:val="both"/>
        <w:rPr>
          <w:rFonts w:ascii="Times New Roman" w:eastAsia="Arial" w:hAnsi="Times New Roman" w:cs="Times New Roman"/>
          <w:noProof/>
          <w:sz w:val="24"/>
          <w:szCs w:val="15"/>
        </w:rPr>
      </w:pPr>
    </w:p>
    <w:p w14:paraId="07E41755" w14:textId="77777777" w:rsidR="00443399" w:rsidRPr="00B03B51" w:rsidRDefault="00443399" w:rsidP="00443399">
      <w:pPr>
        <w:jc w:val="center"/>
        <w:rPr>
          <w:rFonts w:ascii="Times New Roman" w:eastAsia="Arial" w:hAnsi="Times New Roman" w:cs="Times New Roman"/>
          <w:noProof/>
          <w:sz w:val="24"/>
          <w:szCs w:val="15"/>
        </w:rPr>
      </w:pPr>
      <w:r w:rsidRPr="00B03B51">
        <w:rPr>
          <w:rFonts w:ascii="Times New Roman" w:hAnsi="Times New Roman" w:cs="Times New Roman"/>
          <w:noProof/>
        </w:rPr>
        <w:drawing>
          <wp:inline distT="0" distB="0" distL="0" distR="0" wp14:anchorId="383BED5F" wp14:editId="6E0E21A3">
            <wp:extent cx="5756275" cy="526415"/>
            <wp:effectExtent l="0" t="0" r="0" b="6985"/>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56275" cy="526415"/>
                    </a:xfrm>
                    <a:prstGeom prst="rect">
                      <a:avLst/>
                    </a:prstGeom>
                  </pic:spPr>
                </pic:pic>
              </a:graphicData>
            </a:graphic>
          </wp:inline>
        </w:drawing>
      </w:r>
    </w:p>
    <w:p w14:paraId="545FDCAA" w14:textId="77777777" w:rsidR="00443399" w:rsidRPr="00B03B51" w:rsidRDefault="00443399" w:rsidP="004205D9">
      <w:pPr>
        <w:jc w:val="center"/>
        <w:rPr>
          <w:rFonts w:ascii="Times New Roman" w:eastAsia="Arial" w:hAnsi="Times New Roman" w:cs="Times New Roman"/>
          <w:noProof/>
          <w:sz w:val="24"/>
          <w:szCs w:val="15"/>
        </w:rPr>
      </w:pPr>
      <w:r w:rsidRPr="00B03B51">
        <w:rPr>
          <w:rFonts w:ascii="Times New Roman" w:hAnsi="Times New Roman" w:cs="Times New Roman"/>
          <w:noProof/>
        </w:rPr>
        <w:drawing>
          <wp:inline distT="0" distB="0" distL="0" distR="0" wp14:anchorId="2F2D5909" wp14:editId="79BD7A9E">
            <wp:extent cx="5756275" cy="623570"/>
            <wp:effectExtent l="0" t="0" r="0" b="508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6275" cy="623570"/>
                    </a:xfrm>
                    <a:prstGeom prst="rect">
                      <a:avLst/>
                    </a:prstGeom>
                  </pic:spPr>
                </pic:pic>
              </a:graphicData>
            </a:graphic>
          </wp:inline>
        </w:drawing>
      </w:r>
    </w:p>
    <w:p w14:paraId="7CA135DA" w14:textId="77777777" w:rsidR="00443399" w:rsidRPr="00B03B51" w:rsidRDefault="00443399" w:rsidP="00443399">
      <w:pPr>
        <w:jc w:val="both"/>
        <w:rPr>
          <w:rFonts w:ascii="Times New Roman" w:eastAsia="Arial" w:hAnsi="Times New Roman" w:cs="Times New Roman"/>
          <w:noProof/>
          <w:sz w:val="24"/>
          <w:szCs w:val="15"/>
        </w:rPr>
      </w:pPr>
    </w:p>
    <w:p w14:paraId="4F9BF31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piemērs. Ēkas pārdošana bez atliktās pirkšanas cenas (</w:t>
      </w:r>
      <w:r w:rsidRPr="00B03B51">
        <w:rPr>
          <w:rFonts w:ascii="Times New Roman" w:hAnsi="Times New Roman" w:cs="Times New Roman"/>
          <w:b/>
          <w:i/>
          <w:iCs/>
          <w:sz w:val="24"/>
        </w:rPr>
        <w:t>DPP</w:t>
      </w:r>
      <w:r w:rsidRPr="00B03B51">
        <w:rPr>
          <w:rFonts w:ascii="Times New Roman" w:hAnsi="Times New Roman" w:cs="Times New Roman"/>
          <w:b/>
          <w:sz w:val="24"/>
        </w:rPr>
        <w:t>) nosacījuma</w:t>
      </w:r>
    </w:p>
    <w:p w14:paraId="2CC8AB3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95D473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pārdod ēkas privātai bankai, kas vēlas tās pārdot tālāk tirgū nākamajā gadā. Aplēstā ēku vērtība ir 100 naudas vienības, un tās pārdod par šādu cenu.</w:t>
      </w:r>
    </w:p>
    <w:p w14:paraId="7A826BA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86837C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Banka nodod ēkas ĪNDS, kuru tā ir izveidojusi un kura tai pieder:</w:t>
      </w:r>
    </w:p>
    <w:p w14:paraId="5131FA1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554CC08"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ĪNDS emitē 5 gadu obligācijas 100 naudas vienību vērtībā;</w:t>
      </w:r>
    </w:p>
    <w:p w14:paraId="212409CD"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nav noteikts DPP nosacījums un arī nav piešķirtas nekādas garantijas;</w:t>
      </w:r>
    </w:p>
    <w:p w14:paraId="7E98CE77"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ĪNDS maksā aizdevuma procentus no nomas ienākumiem un pārdod ēkas par 100 naudas vienībām;</w:t>
      </w:r>
    </w:p>
    <w:p w14:paraId="4735B8FF"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banka no ĪNDS saņem peļņu 10 naudas vienību apmērā.</w:t>
      </w:r>
    </w:p>
    <w:p w14:paraId="7306DB96" w14:textId="77777777" w:rsidR="00443399" w:rsidRPr="00B03B51" w:rsidRDefault="00443399" w:rsidP="00443399">
      <w:pPr>
        <w:jc w:val="both"/>
        <w:rPr>
          <w:rFonts w:ascii="Times New Roman" w:hAnsi="Times New Roman" w:cs="Times New Roman"/>
          <w:b/>
          <w:noProof/>
          <w:sz w:val="24"/>
        </w:rPr>
      </w:pPr>
    </w:p>
    <w:p w14:paraId="6922F83C"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Analīze un traktējums nacionālajos kontos</w:t>
      </w:r>
    </w:p>
    <w:p w14:paraId="7D9A019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83CF2D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Šādu gadījumu ieraksta kā pārdošanu ar negatīvu valdības bruto pamatkapitāla veidošanu, jo </w:t>
      </w:r>
      <w:r w:rsidRPr="00B03B51">
        <w:rPr>
          <w:rFonts w:ascii="Times New Roman" w:hAnsi="Times New Roman" w:cs="Times New Roman"/>
          <w:sz w:val="24"/>
        </w:rPr>
        <w:lastRenderedPageBreak/>
        <w:t>valdībai vairs nav īpašumtiesību risku un priekšrocību.</w:t>
      </w:r>
    </w:p>
    <w:p w14:paraId="753D50C3" w14:textId="77777777" w:rsidR="00443399" w:rsidRPr="00B03B51" w:rsidRDefault="00443399" w:rsidP="00443399">
      <w:pPr>
        <w:jc w:val="both"/>
        <w:rPr>
          <w:rFonts w:ascii="Times New Roman" w:eastAsia="Arial" w:hAnsi="Times New Roman" w:cs="Times New Roman"/>
          <w:b/>
          <w:bCs/>
          <w:noProof/>
          <w:sz w:val="24"/>
          <w:szCs w:val="21"/>
        </w:rPr>
      </w:pPr>
    </w:p>
    <w:p w14:paraId="4C503230" w14:textId="77777777" w:rsidR="00443399" w:rsidRPr="00B03B51" w:rsidRDefault="00443399" w:rsidP="00443399">
      <w:pPr>
        <w:jc w:val="center"/>
        <w:rPr>
          <w:rFonts w:ascii="Times New Roman" w:eastAsia="Arial" w:hAnsi="Times New Roman" w:cs="Times New Roman"/>
          <w:b/>
          <w:bCs/>
          <w:noProof/>
          <w:sz w:val="24"/>
          <w:szCs w:val="21"/>
        </w:rPr>
      </w:pPr>
      <w:r w:rsidRPr="00B03B51">
        <w:rPr>
          <w:rFonts w:ascii="Times New Roman" w:hAnsi="Times New Roman" w:cs="Times New Roman"/>
          <w:noProof/>
        </w:rPr>
        <w:drawing>
          <wp:inline distT="0" distB="0" distL="0" distR="0" wp14:anchorId="7516031F" wp14:editId="6882A2B0">
            <wp:extent cx="5756275" cy="3672205"/>
            <wp:effectExtent l="0" t="0" r="0" b="4445"/>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56275" cy="3672205"/>
                    </a:xfrm>
                    <a:prstGeom prst="rect">
                      <a:avLst/>
                    </a:prstGeom>
                  </pic:spPr>
                </pic:pic>
              </a:graphicData>
            </a:graphic>
          </wp:inline>
        </w:drawing>
      </w:r>
    </w:p>
    <w:p w14:paraId="3BA24443" w14:textId="77777777" w:rsidR="00443399" w:rsidRPr="00B03B51" w:rsidRDefault="00443399" w:rsidP="00443399">
      <w:pPr>
        <w:jc w:val="both"/>
        <w:rPr>
          <w:rFonts w:ascii="Times New Roman" w:eastAsia="Arial" w:hAnsi="Times New Roman" w:cs="Times New Roman"/>
          <w:b/>
          <w:bCs/>
          <w:noProof/>
          <w:sz w:val="24"/>
          <w:szCs w:val="21"/>
        </w:rPr>
      </w:pPr>
    </w:p>
    <w:p w14:paraId="5B219C9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3. piemērs. Uzņēmums pārvērš vērtspapīros valdības subsīdijas</w:t>
      </w:r>
    </w:p>
    <w:p w14:paraId="338186C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B1B668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Valdības vienība apsola maksāt nākotnē subsīdijas līdz pat 20 naudas vienību apmērā gadā privātam uzņēmumam vairāk nekā 5 gadus, lai tas varētu sniegt sabiedriskā transporta pakalpojumus.</w:t>
      </w:r>
    </w:p>
    <w:p w14:paraId="3539A07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ECDB10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Ar valdības atļauju vienība turpmāku subsīdiju saņemšanai nodibina ĪNDS:</w:t>
      </w:r>
    </w:p>
    <w:p w14:paraId="340D0B1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36E8DEC"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ĪNDS emitē obligācijas 60 naudas vienību vērtībā, kuras tā nodod uzņēmumam, lai tas varētu finansēt autobusu autoparka iegādi;</w:t>
      </w:r>
    </w:p>
    <w:p w14:paraId="73479583" w14:textId="77777777" w:rsidR="00443399" w:rsidRPr="00B03B51" w:rsidRDefault="00443399" w:rsidP="004205D9">
      <w:pPr>
        <w:pStyle w:val="BodyText"/>
        <w:numPr>
          <w:ilvl w:val="0"/>
          <w:numId w:val="5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ĪNDS izmanto subsīdiju ieņēmumus, lai vispirms finansētu savu parādu, un nodod atlikumu uzņēmumam, kas to izmanto autobusu ekspluatācijas finansēšanai.</w:t>
      </w:r>
    </w:p>
    <w:p w14:paraId="1C3FA95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14F637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Daļa no valdības subsīdiju maksājumiem ir beznosacījuma, proti, vismaz 15 naudas vienības katru gadu ir jāsamaksā ĪNDS kontā pat tad, ja uzņēmums nesniedz sabiedriskā transporta pakalpojumus un/vai kļūst maksātnespējīgs. Atlikušie maksājumi ne vairāk kā 5 naudas vienību apmērā gadā ir atkarīgi no pasažieru autotransporta pakalpojumu sniegšanas rezultātiem. Turpmākajā piemērā katru gadu tiek izmaksāta pilna summa.</w:t>
      </w:r>
    </w:p>
    <w:p w14:paraId="6DA79A4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1D7868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Analīze un traktējums nacionālajos kontos</w:t>
      </w:r>
    </w:p>
    <w:p w14:paraId="54504A3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73D39F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Darījums tiktu klasificēts kā kapitāla pārvedums autotransporta uzņēmumam un kā aizņēmums par tādu pašu summu attiecībā uz minimālajiem garantētajiem maksājumiem 15 naudas vienību apmērā, un kā gada subsīdijas par atlikušajām izmaksātajām summām. Minētās 15 vienības sadala šādi – 12 naudas vienības kapitāla atmaksai un 3 naudas vienības procentu maksājumiem. Vienkāršošanas nolūkā darījumi starp ĪNDS un autotransporta uzņēmumu turpmākajās tabulās nav uzrādīti.</w:t>
      </w:r>
    </w:p>
    <w:p w14:paraId="72E67659" w14:textId="77777777" w:rsidR="00443399" w:rsidRPr="00B03B51" w:rsidRDefault="00443399" w:rsidP="00443399">
      <w:pPr>
        <w:jc w:val="both"/>
        <w:rPr>
          <w:rFonts w:ascii="Times New Roman" w:eastAsia="Arial" w:hAnsi="Times New Roman" w:cs="Times New Roman"/>
          <w:noProof/>
          <w:sz w:val="24"/>
          <w:szCs w:val="20"/>
        </w:rPr>
      </w:pPr>
    </w:p>
    <w:p w14:paraId="0E573390"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76A81F76" wp14:editId="2ACBF6CB">
            <wp:extent cx="5756275" cy="2207260"/>
            <wp:effectExtent l="0" t="0" r="0" b="254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56275" cy="2207260"/>
                    </a:xfrm>
                    <a:prstGeom prst="rect">
                      <a:avLst/>
                    </a:prstGeom>
                  </pic:spPr>
                </pic:pic>
              </a:graphicData>
            </a:graphic>
          </wp:inline>
        </w:drawing>
      </w:r>
    </w:p>
    <w:p w14:paraId="4261DF46" w14:textId="77777777" w:rsidR="00443399" w:rsidRPr="00B03B51" w:rsidRDefault="00443399" w:rsidP="00443399">
      <w:pPr>
        <w:jc w:val="both"/>
        <w:rPr>
          <w:rFonts w:ascii="Times New Roman" w:eastAsia="Arial" w:hAnsi="Times New Roman" w:cs="Times New Roman"/>
          <w:noProof/>
          <w:sz w:val="24"/>
          <w:szCs w:val="20"/>
        </w:rPr>
      </w:pPr>
    </w:p>
    <w:p w14:paraId="3FBF509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Regulārs maksājums 20 naudas vienību apmērā: 5 vienības ir subsīdija, 12 vienības ir kapitāla atmaksa un 3 vienības ir procenti par aprēķināto aizdevumu.</w:t>
      </w:r>
    </w:p>
    <w:p w14:paraId="29840B6C" w14:textId="77777777" w:rsidR="00443399" w:rsidRPr="00B03B51" w:rsidRDefault="00443399" w:rsidP="00443399">
      <w:pPr>
        <w:jc w:val="both"/>
        <w:rPr>
          <w:rFonts w:ascii="Times New Roman" w:eastAsia="Arial" w:hAnsi="Times New Roman" w:cs="Times New Roman"/>
          <w:b/>
          <w:bCs/>
          <w:noProof/>
          <w:sz w:val="24"/>
          <w:szCs w:val="14"/>
        </w:rPr>
      </w:pPr>
    </w:p>
    <w:p w14:paraId="49B70227" w14:textId="77777777" w:rsidR="00443399" w:rsidRPr="00B03B51" w:rsidRDefault="00443399" w:rsidP="00443399">
      <w:pPr>
        <w:jc w:val="center"/>
        <w:rPr>
          <w:rFonts w:ascii="Times New Roman" w:eastAsia="Arial" w:hAnsi="Times New Roman" w:cs="Times New Roman"/>
          <w:b/>
          <w:bCs/>
          <w:noProof/>
          <w:sz w:val="24"/>
          <w:szCs w:val="14"/>
        </w:rPr>
      </w:pPr>
      <w:r w:rsidRPr="00B03B51">
        <w:rPr>
          <w:rFonts w:ascii="Times New Roman" w:hAnsi="Times New Roman" w:cs="Times New Roman"/>
          <w:noProof/>
        </w:rPr>
        <w:drawing>
          <wp:inline distT="0" distB="0" distL="0" distR="0" wp14:anchorId="6DC78636" wp14:editId="1A74B5DD">
            <wp:extent cx="5756275" cy="4500245"/>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56275" cy="4500245"/>
                    </a:xfrm>
                    <a:prstGeom prst="rect">
                      <a:avLst/>
                    </a:prstGeom>
                  </pic:spPr>
                </pic:pic>
              </a:graphicData>
            </a:graphic>
          </wp:inline>
        </w:drawing>
      </w:r>
    </w:p>
    <w:p w14:paraId="0CDA7CCB" w14:textId="77777777" w:rsidR="00443399" w:rsidRPr="00B03B51" w:rsidRDefault="00443399" w:rsidP="00443399">
      <w:pPr>
        <w:jc w:val="center"/>
        <w:rPr>
          <w:rFonts w:ascii="Times New Roman" w:eastAsia="Arial" w:hAnsi="Times New Roman" w:cs="Times New Roman"/>
          <w:b/>
          <w:bCs/>
          <w:noProof/>
          <w:sz w:val="24"/>
          <w:szCs w:val="14"/>
        </w:rPr>
      </w:pPr>
      <w:r w:rsidRPr="00B03B51">
        <w:rPr>
          <w:rFonts w:ascii="Times New Roman" w:hAnsi="Times New Roman" w:cs="Times New Roman"/>
          <w:noProof/>
        </w:rPr>
        <w:lastRenderedPageBreak/>
        <w:drawing>
          <wp:inline distT="0" distB="0" distL="0" distR="0" wp14:anchorId="0A7196A9" wp14:editId="42AD8DC9">
            <wp:extent cx="5756275" cy="3341370"/>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6275" cy="3341370"/>
                    </a:xfrm>
                    <a:prstGeom prst="rect">
                      <a:avLst/>
                    </a:prstGeom>
                  </pic:spPr>
                </pic:pic>
              </a:graphicData>
            </a:graphic>
          </wp:inline>
        </w:drawing>
      </w:r>
    </w:p>
    <w:p w14:paraId="34F23D6E" w14:textId="77777777" w:rsidR="00443399" w:rsidRPr="00B03B51" w:rsidRDefault="00443399" w:rsidP="00443399">
      <w:pPr>
        <w:jc w:val="both"/>
        <w:rPr>
          <w:rFonts w:ascii="Times New Roman" w:eastAsia="Arial" w:hAnsi="Times New Roman" w:cs="Times New Roman"/>
          <w:b/>
          <w:bCs/>
          <w:noProof/>
          <w:sz w:val="24"/>
          <w:szCs w:val="14"/>
        </w:rPr>
      </w:pPr>
    </w:p>
    <w:p w14:paraId="4C2B7BF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4. piemērs. Ēka pārdota, garantijas maksājumi pēc pārdošanas</w:t>
      </w:r>
    </w:p>
    <w:p w14:paraId="3B3F150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E17BCF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Pirmajā gadā valdība pārdod ĪNDS par 100 naudas vienībām biroju ēku, kuras tirgus vērtība ir 100 naudas vienības. ĪNDS emitē obligācijas 100 naudas vienību vērtībā.</w:t>
      </w:r>
    </w:p>
    <w:p w14:paraId="6FB9F5E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C1B573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Otrajā gadā strauji krītas pieprasījums pēc biroju platībām un nomas maksa nav pietiekama, lai apkalpotu obligācijas. Ēkas tirgus vērtība samazinās līdz 80 naudas vienībām. Valdībai rodas bažas par īpašuma darījumus finansējošo finanšu iestāžu sabrukumu, tāpēc tā samaksā procentus 5 naudas vienību apmērā par ĪNDS obligācijām, lai gan līgumā šāds pienākums nav paredzēts.</w:t>
      </w:r>
    </w:p>
    <w:p w14:paraId="4FECB62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715280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Vienkāršošanas nolūkā nav ņemti vērā ieņēmumi no ēkas nomas maksas un procentu maksājumi par obligācijām.</w:t>
      </w:r>
    </w:p>
    <w:p w14:paraId="11AE3672" w14:textId="77777777" w:rsidR="00443399" w:rsidRPr="00B03B51" w:rsidRDefault="00443399" w:rsidP="00443399">
      <w:pPr>
        <w:jc w:val="both"/>
        <w:rPr>
          <w:rFonts w:ascii="Times New Roman" w:hAnsi="Times New Roman" w:cs="Times New Roman"/>
          <w:b/>
          <w:noProof/>
          <w:sz w:val="24"/>
        </w:rPr>
      </w:pPr>
    </w:p>
    <w:p w14:paraId="636B5DF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Analīze un traktējums nacionālajos kontos</w:t>
      </w:r>
    </w:p>
    <w:p w14:paraId="2900F9E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57F70E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i/>
          <w:iCs/>
          <w:sz w:val="24"/>
        </w:rPr>
        <w:t>Ex post</w:t>
      </w:r>
      <w:r w:rsidRPr="00B03B51">
        <w:rPr>
          <w:rFonts w:ascii="Times New Roman" w:hAnsi="Times New Roman" w:cs="Times New Roman"/>
          <w:sz w:val="24"/>
        </w:rPr>
        <w:t xml:space="preserve"> garantijas aktivēšana liecina par to, ka ĪNDS parādam būtu jābūt attiecinātam uz valdību, un nebūtu uzskatāms, ka valdība ir pārdevusi ēku ĪNDS.</w:t>
      </w:r>
    </w:p>
    <w:p w14:paraId="251B15E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B24EDE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Tādējādi visu ĪNDS nenomaksāto parādu un saistīto ēku 2. gadā pārceļ uz valdības bilanci līdz ar kapitāla pārvedumiem 5 un 20 naudas vienību apmērā, lai attiecīgi atspoguļotu valdības samaksātos procentus un starpību starp ĪNDS parāda un ēkas vērtību.</w:t>
      </w:r>
    </w:p>
    <w:p w14:paraId="72C88C37" w14:textId="77777777" w:rsidR="00443399" w:rsidRPr="00B03B51" w:rsidRDefault="00443399" w:rsidP="00443399">
      <w:pPr>
        <w:rPr>
          <w:rFonts w:ascii="Times New Roman" w:eastAsia="Arial" w:hAnsi="Times New Roman" w:cs="Times New Roman"/>
          <w:noProof/>
          <w:sz w:val="24"/>
          <w:szCs w:val="20"/>
        </w:rPr>
      </w:pPr>
    </w:p>
    <w:p w14:paraId="12B80222"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1725414C" wp14:editId="0B46BBF5">
            <wp:extent cx="5756275" cy="2211070"/>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6275" cy="2211070"/>
                    </a:xfrm>
                    <a:prstGeom prst="rect">
                      <a:avLst/>
                    </a:prstGeom>
                  </pic:spPr>
                </pic:pic>
              </a:graphicData>
            </a:graphic>
          </wp:inline>
        </w:drawing>
      </w:r>
    </w:p>
    <w:p w14:paraId="38369869"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33A55416" wp14:editId="68979EAA">
            <wp:extent cx="5756275" cy="4795520"/>
            <wp:effectExtent l="0" t="0" r="0" b="508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564" b="1"/>
                    <a:stretch/>
                  </pic:blipFill>
                  <pic:spPr bwMode="auto">
                    <a:xfrm>
                      <a:off x="0" y="0"/>
                      <a:ext cx="5756275" cy="4795520"/>
                    </a:xfrm>
                    <a:prstGeom prst="rect">
                      <a:avLst/>
                    </a:prstGeom>
                    <a:ln>
                      <a:noFill/>
                    </a:ln>
                    <a:extLst>
                      <a:ext uri="{53640926-AAD7-44D8-BBD7-CCE9431645EC}">
                        <a14:shadowObscured xmlns:a14="http://schemas.microsoft.com/office/drawing/2010/main"/>
                      </a:ext>
                    </a:extLst>
                  </pic:spPr>
                </pic:pic>
              </a:graphicData>
            </a:graphic>
          </wp:inline>
        </w:drawing>
      </w:r>
    </w:p>
    <w:p w14:paraId="2181C79E" w14:textId="77777777" w:rsidR="00443399" w:rsidRPr="00B03B51" w:rsidRDefault="00443399" w:rsidP="00443399">
      <w:pPr>
        <w:jc w:val="both"/>
        <w:rPr>
          <w:rFonts w:ascii="Times New Roman" w:eastAsia="Arial" w:hAnsi="Times New Roman" w:cs="Times New Roman"/>
          <w:b/>
          <w:bCs/>
          <w:noProof/>
          <w:sz w:val="24"/>
          <w:szCs w:val="20"/>
        </w:rPr>
      </w:pPr>
    </w:p>
    <w:p w14:paraId="0AD3B93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D.9: naudas kompensācija 5 naudas vienību apmērā; 20 naudas vienības ir aprēķinātas par starpību starp ēkas un neatmaksātā obligācijas parāda vērtību.</w:t>
      </w:r>
    </w:p>
    <w:p w14:paraId="77752B06" w14:textId="77777777" w:rsidR="00443399" w:rsidRPr="00B03B51" w:rsidRDefault="00443399" w:rsidP="00443399">
      <w:pPr>
        <w:jc w:val="both"/>
        <w:rPr>
          <w:rFonts w:ascii="Times New Roman" w:eastAsia="Arial" w:hAnsi="Times New Roman" w:cs="Times New Roman"/>
          <w:noProof/>
          <w:sz w:val="24"/>
          <w:szCs w:val="24"/>
        </w:rPr>
      </w:pPr>
    </w:p>
    <w:p w14:paraId="65008049" w14:textId="77777777" w:rsidR="00443399" w:rsidRPr="00B03B51" w:rsidRDefault="00443399" w:rsidP="00443399">
      <w:pPr>
        <w:jc w:val="center"/>
        <w:rPr>
          <w:rFonts w:ascii="Times New Roman" w:eastAsia="Arial" w:hAnsi="Times New Roman" w:cs="Times New Roman"/>
          <w:noProof/>
          <w:sz w:val="24"/>
          <w:szCs w:val="24"/>
        </w:rPr>
      </w:pPr>
      <w:r w:rsidRPr="00B03B51">
        <w:rPr>
          <w:rFonts w:ascii="Times New Roman" w:hAnsi="Times New Roman" w:cs="Times New Roman"/>
          <w:noProof/>
        </w:rPr>
        <w:lastRenderedPageBreak/>
        <w:drawing>
          <wp:inline distT="0" distB="0" distL="0" distR="0" wp14:anchorId="1BAED553" wp14:editId="1D3A8468">
            <wp:extent cx="5756275" cy="2847975"/>
            <wp:effectExtent l="0" t="0" r="0" b="9525"/>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56275" cy="2847975"/>
                    </a:xfrm>
                    <a:prstGeom prst="rect">
                      <a:avLst/>
                    </a:prstGeom>
                  </pic:spPr>
                </pic:pic>
              </a:graphicData>
            </a:graphic>
          </wp:inline>
        </w:drawing>
      </w:r>
    </w:p>
    <w:p w14:paraId="5F465B24" w14:textId="77777777" w:rsidR="00443399" w:rsidRPr="00B03B51" w:rsidRDefault="00443399" w:rsidP="00443399">
      <w:pPr>
        <w:jc w:val="both"/>
        <w:rPr>
          <w:rFonts w:ascii="Times New Roman" w:eastAsia="Arial" w:hAnsi="Times New Roman" w:cs="Times New Roman"/>
          <w:noProof/>
          <w:sz w:val="24"/>
          <w:szCs w:val="25"/>
        </w:rPr>
      </w:pPr>
    </w:p>
    <w:p w14:paraId="2923602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ĪNDS skaidru naudu izmanto, lai samaksātu procentus par obligācijām.</w:t>
      </w:r>
    </w:p>
    <w:p w14:paraId="4D2B829E"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193EBCD2" w14:textId="77777777" w:rsidR="00443399" w:rsidRPr="00B03B51" w:rsidRDefault="00443399" w:rsidP="00443399">
      <w:pPr>
        <w:jc w:val="both"/>
        <w:rPr>
          <w:rFonts w:ascii="Times New Roman" w:eastAsia="Arial" w:hAnsi="Times New Roman" w:cs="Times New Roman"/>
          <w:noProof/>
          <w:sz w:val="24"/>
          <w:szCs w:val="29"/>
        </w:rPr>
      </w:pPr>
    </w:p>
    <w:p w14:paraId="16DE7A77"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4"/>
        </w:rPr>
      </w:pPr>
      <w:bookmarkStart w:id="460" w:name="5.6_Low_interest_rate_loans_and_sale_of_"/>
      <w:bookmarkStart w:id="461" w:name="_bookmark45"/>
      <w:bookmarkStart w:id="462" w:name="_Toc67565166"/>
      <w:bookmarkEnd w:id="460"/>
      <w:bookmarkEnd w:id="461"/>
      <w:r w:rsidRPr="00B03B51">
        <w:rPr>
          <w:rFonts w:ascii="Times New Roman" w:hAnsi="Times New Roman" w:cs="Times New Roman"/>
          <w:sz w:val="28"/>
          <w:szCs w:val="44"/>
        </w:rPr>
        <w:t xml:space="preserve">5.6. </w:t>
      </w:r>
      <w:r w:rsidRPr="00B03B51">
        <w:rPr>
          <w:rFonts w:ascii="Times New Roman" w:hAnsi="Times New Roman" w:cs="Times New Roman"/>
          <w:sz w:val="28"/>
          <w:szCs w:val="28"/>
        </w:rPr>
        <w:t>Zemas procentu likmes aizdevumi un valdības zemas procentu likmes aizdevumu pārdošana trešām personām</w:t>
      </w:r>
      <w:bookmarkEnd w:id="462"/>
    </w:p>
    <w:p w14:paraId="700CE737" w14:textId="77777777" w:rsidR="00443399" w:rsidRPr="00100B51" w:rsidRDefault="00443399" w:rsidP="00100B51">
      <w:pPr>
        <w:rPr>
          <w:rFonts w:ascii="Times New Roman" w:hAnsi="Times New Roman" w:cs="Times New Roman"/>
          <w:noProof/>
          <w:sz w:val="24"/>
          <w:szCs w:val="24"/>
        </w:rPr>
      </w:pPr>
      <w:bookmarkStart w:id="463" w:name="5.6.1_Background"/>
      <w:bookmarkEnd w:id="463"/>
    </w:p>
    <w:p w14:paraId="3A0F2DD4"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64" w:name="_Toc67565167"/>
      <w:r w:rsidRPr="00B03B51">
        <w:rPr>
          <w:rFonts w:ascii="Times New Roman" w:hAnsi="Times New Roman" w:cs="Times New Roman"/>
          <w:sz w:val="24"/>
        </w:rPr>
        <w:t>5.6.1. Vispārīga informācija</w:t>
      </w:r>
      <w:bookmarkEnd w:id="464"/>
    </w:p>
    <w:p w14:paraId="735DF9C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451AD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Kā vienu no valsts politikas pasākumiem valdība īsteno aizdevumu piešķiršanu ar procentu likmēm, kuras zemākas par tirgus likmēm, kas novērotas aizdevuma piešķiršanas laikā (šādus aizdevumus dažkārt dēvē par “koncesionālajiem aizdevumiem”).</w:t>
      </w:r>
    </w:p>
    <w:p w14:paraId="312497FB" w14:textId="77777777" w:rsidR="00443399" w:rsidRPr="00B03B51" w:rsidRDefault="00443399" w:rsidP="00443399">
      <w:pPr>
        <w:jc w:val="both"/>
        <w:rPr>
          <w:rFonts w:ascii="Times New Roman" w:eastAsia="Arial" w:hAnsi="Times New Roman" w:cs="Times New Roman"/>
          <w:noProof/>
          <w:sz w:val="24"/>
          <w:szCs w:val="19"/>
        </w:rPr>
      </w:pPr>
    </w:p>
    <w:p w14:paraId="63E75039"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65" w:name="5.6.2_Recording_of_low_interest_rate_loa"/>
      <w:bookmarkStart w:id="466" w:name="_Toc67565168"/>
      <w:bookmarkEnd w:id="465"/>
      <w:r w:rsidRPr="00B03B51">
        <w:rPr>
          <w:rFonts w:ascii="Times New Roman" w:hAnsi="Times New Roman" w:cs="Times New Roman"/>
          <w:sz w:val="24"/>
        </w:rPr>
        <w:t>5.6.2. Zemas procentu likmes aizdevumu ierakstīšana sākumā</w:t>
      </w:r>
      <w:bookmarkEnd w:id="466"/>
    </w:p>
    <w:p w14:paraId="3BFD84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E274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Zemas procentu likmes aizdevumu piešķiršana ir īpašs valsts politikas pasākums, ko īsteno valdība un no kā bieži vien izriet darījumi, kas netiek veikti tirgus apstākļos. Tie ir aizdevumi, ko valdība tieši izsniedz studentiem ar zemu procentu likmi, nekustamā īpašuma aizdevumi, ko sniedz mājsaimniecībām īpašos apstākļos, aizdevumi jaunizveidotiem uzņēmumiem u. c.</w:t>
      </w:r>
    </w:p>
    <w:p w14:paraId="159100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6DA7EB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Kad valdība piešķir aizdevumu mājsaimniecībām vai uzņēmumiem ar procentu likmi, kas zemāka par tirgus likmi, lai atbalstītu to darbības, šāda operācija sniedz labumu debitoram. Labums atbilst starpībai starp līgumā noteikto procentu likmi un tirgus procentu likmi, kas būtu jāsamaksā debitoram, ja aizdevums tiktu piešķirts atbilstīgi tirgus procentu likmei.</w:t>
      </w:r>
    </w:p>
    <w:p w14:paraId="373D06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B3AE7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EKS 2010 noteikumos nav noteikts, ka nacionālajos kontos jāieraksta minētais netiešā labuma elements, t. i., starpība starp līgumā noteikto procentu likmi un tirgus procentu likmi, lai atspoguļotu visus darījumus, ko valdība veic, atsaucoties uz tirgus apstākļiem. Kā noteikts EKS 2010, procentu summa, kas ierakstīta, pamatojoties uz uzkrāšanas principu, atbilst līgumā noteiktajai procentu likmei, par kuru vienošanās starp kreditoru un debitoru tika panākta jau sākumā.</w:t>
      </w:r>
    </w:p>
    <w:p w14:paraId="5DC74B7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A7B2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Jāņem vērā, ka ietekme uz neto aizdevumu/aizņēmumu (B.9) nacionālajos kontos jau ir netieši atspoguļota kā starpība starp valdības finansējuma izmaksām un zemu procentu ieņēmumiem, ko valdība saņēmusi no aizdevumiem, kas piešķirti, īstenojot valsts politiku.</w:t>
      </w:r>
    </w:p>
    <w:p w14:paraId="598466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760F7E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Šajā saistībā procenti jāieraksta, pamatojoties uz līgumā noteikto procentu likmi. Attiecīgi nacionālajos kontos neieraksta netiešu debitora labumu.</w:t>
      </w:r>
    </w:p>
    <w:p w14:paraId="6E12A66A" w14:textId="77777777" w:rsidR="00443399" w:rsidRPr="00B03B51" w:rsidRDefault="00443399" w:rsidP="00443399">
      <w:pPr>
        <w:jc w:val="both"/>
        <w:rPr>
          <w:rFonts w:ascii="Times New Roman" w:eastAsia="Arial" w:hAnsi="Times New Roman" w:cs="Times New Roman"/>
          <w:noProof/>
          <w:sz w:val="24"/>
          <w:szCs w:val="19"/>
        </w:rPr>
      </w:pPr>
    </w:p>
    <w:p w14:paraId="5C872060"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67" w:name="5.6.3_Recording_of_sales_of_low_interest"/>
      <w:bookmarkStart w:id="468" w:name="_Toc67565169"/>
      <w:bookmarkEnd w:id="467"/>
      <w:r w:rsidRPr="00B03B51">
        <w:rPr>
          <w:rFonts w:ascii="Times New Roman" w:hAnsi="Times New Roman" w:cs="Times New Roman"/>
          <w:sz w:val="24"/>
        </w:rPr>
        <w:t>5.6.3. Zemas procentu likmes aizdevumu pārdošanas ierakstīšana</w:t>
      </w:r>
      <w:bookmarkEnd w:id="468"/>
    </w:p>
    <w:p w14:paraId="46F1E4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C6DD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Šis ir jautājums par gadījumiem, kad ieņēmumus nesoši aizdevumi, ko valdība piešķīrusi, īstenojot valsts politiku, tiek pārdoti trešai pusei ar atlaidi (t. i., par cenu, kas zemāka par to nominālvērtību). Šāda operācija ir saistīta ar likviditātes pārvaldību (pārfinansēšanas vajadzība), un tā nav daļa no valsts politikas, jo sākotnējais saņēmējs tajā nav iesaistīts. Aizdevuma pārdošanas laikā atlaide atspoguļo atšķirību starp pastāvošo tirgus procentu likmi (ko kredīta pircējs būtu varējis piemērot savās aizdošanas operācijās) un zemo procentu likmi, par ko līgumā vienojies debitors un sākotnējais kreditors laikā, kad aizdevumi piešķirti. No šā viedokļa raugoties, ciktāl tas skar pārvērtēšanas ietekmes ierakstīšanu, tādu aizdevumu pārdošanu, kurus valdība, īstenojot valsts politikas mērķus, nav piešķīrusi atbilstīgi tirgus apstākļiem, traktē līdzīgi aizdevumiem, kurus piešķīruši finanšu starpnieki, īstenojot komerciālus mērķus, atbilstīgi tirgū piemērotajām likmēm un kuri pārdoti tālāk, pamatojoties uz atšķirīgām tirgus likmēm.</w:t>
      </w:r>
    </w:p>
    <w:p w14:paraId="102B7CD8"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6F61370B"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8. EKS 2010 6.58. punktā noteikts, ka: </w:t>
      </w:r>
      <w:r w:rsidRPr="00B03B51">
        <w:rPr>
          <w:rFonts w:ascii="Times New Roman" w:hAnsi="Times New Roman" w:cs="Times New Roman"/>
          <w:i/>
          <w:iCs/>
          <w:sz w:val="24"/>
          <w:szCs w:val="19"/>
        </w:rPr>
        <w:t>.. kad esošo aizdevumu pārdod citai institucionālajai vienībai, aizdevuma norakstīšanu, kas ir starpība starp izpirkšanas cenu un darījuma cenu darījuma veikšanas laikā, ieraksta pārdevēja un pircēja attiecīgajā pārvērtēšanas kontā</w:t>
      </w:r>
      <w:r w:rsidRPr="00B03B51">
        <w:rPr>
          <w:rFonts w:ascii="Times New Roman" w:hAnsi="Times New Roman" w:cs="Times New Roman"/>
          <w:sz w:val="24"/>
          <w:szCs w:val="19"/>
        </w:rPr>
        <w:t>.</w:t>
      </w:r>
    </w:p>
    <w:p w14:paraId="7F8993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E34B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Gadījumā, ja zemas procentu likmes aizdevumi tiek pārdoti trešai pusei par cenu, kas zemāka par aizdevuma nominālvērtību, atlaide, kas atbilst starpībai starp nominālvērtību un pārdošanas cenu, jāieraksta kā pārvērtējums. Tas attiecas tikai uz to aizdevumu pārdošanu, attiecībā uz kuriem netiek piemērota grafika pārskatīšana vai citas izmaiņas parādnieka līgumsaistībās.</w:t>
      </w:r>
    </w:p>
    <w:p w14:paraId="2F65F07F" w14:textId="77777777" w:rsidR="004205D9" w:rsidRPr="00B03B51" w:rsidRDefault="004205D9">
      <w:pPr>
        <w:widowControl/>
        <w:spacing w:after="160" w:line="259" w:lineRule="auto"/>
        <w:rPr>
          <w:rFonts w:ascii="Times New Roman" w:eastAsia="Arial" w:hAnsi="Times New Roman" w:cs="Times New Roman"/>
          <w:b/>
          <w:bCs/>
          <w:sz w:val="24"/>
          <w:szCs w:val="40"/>
        </w:rPr>
      </w:pPr>
      <w:bookmarkStart w:id="469" w:name="5.7_Keywords_and_accounting_references"/>
      <w:bookmarkStart w:id="470" w:name="_bookmark46"/>
      <w:bookmarkStart w:id="471" w:name="_Toc67565170"/>
      <w:bookmarkEnd w:id="469"/>
      <w:bookmarkEnd w:id="470"/>
      <w:r w:rsidRPr="00B03B51">
        <w:rPr>
          <w:rFonts w:ascii="Times New Roman" w:hAnsi="Times New Roman" w:cs="Times New Roman"/>
          <w:sz w:val="24"/>
        </w:rPr>
        <w:br w:type="page"/>
      </w:r>
    </w:p>
    <w:p w14:paraId="23AD3DA5" w14:textId="3B11A7FA" w:rsidR="00443399" w:rsidRPr="00B03B51" w:rsidRDefault="00443399" w:rsidP="00443399">
      <w:pPr>
        <w:pStyle w:val="Heading2"/>
        <w:spacing w:before="0"/>
        <w:ind w:left="0" w:firstLine="0"/>
        <w:jc w:val="both"/>
        <w:rPr>
          <w:rFonts w:ascii="Times New Roman" w:hAnsi="Times New Roman" w:cs="Times New Roman"/>
          <w:noProof/>
          <w:sz w:val="28"/>
          <w:szCs w:val="44"/>
        </w:rPr>
      </w:pPr>
      <w:r w:rsidRPr="00B03B51">
        <w:rPr>
          <w:rFonts w:ascii="Times New Roman" w:hAnsi="Times New Roman" w:cs="Times New Roman"/>
          <w:sz w:val="28"/>
          <w:szCs w:val="44"/>
        </w:rPr>
        <w:lastRenderedPageBreak/>
        <w:t>5.7. Atslēgvārdi un atsauces</w:t>
      </w:r>
      <w:bookmarkEnd w:id="471"/>
    </w:p>
    <w:p w14:paraId="4822ADCB" w14:textId="77777777" w:rsidR="00443399" w:rsidRPr="00B03B51" w:rsidRDefault="00443399" w:rsidP="00443399">
      <w:pPr>
        <w:jc w:val="both"/>
        <w:rPr>
          <w:rFonts w:ascii="Times New Roman" w:eastAsia="Arial" w:hAnsi="Times New Roman" w:cs="Times New Roman"/>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4398"/>
        <w:gridCol w:w="4673"/>
      </w:tblGrid>
      <w:tr w:rsidR="00443399" w:rsidRPr="00B03B51" w14:paraId="47908307" w14:textId="77777777" w:rsidTr="0054365B">
        <w:tc>
          <w:tcPr>
            <w:tcW w:w="2424" w:type="pct"/>
            <w:tcBorders>
              <w:top w:val="nil"/>
              <w:left w:val="nil"/>
              <w:bottom w:val="nil"/>
              <w:right w:val="nil"/>
            </w:tcBorders>
          </w:tcPr>
          <w:p w14:paraId="7572303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Kapitāla konts</w:t>
            </w:r>
          </w:p>
        </w:tc>
        <w:tc>
          <w:tcPr>
            <w:tcW w:w="2576" w:type="pct"/>
            <w:tcBorders>
              <w:top w:val="nil"/>
              <w:left w:val="nil"/>
              <w:bottom w:val="nil"/>
              <w:right w:val="nil"/>
            </w:tcBorders>
          </w:tcPr>
          <w:p w14:paraId="38AFB3C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ESA 2010, 8.46. punkts</w:t>
            </w:r>
          </w:p>
        </w:tc>
      </w:tr>
      <w:tr w:rsidR="00443399" w:rsidRPr="00B03B51" w14:paraId="3F982917" w14:textId="77777777" w:rsidTr="0054365B">
        <w:tc>
          <w:tcPr>
            <w:tcW w:w="2424" w:type="pct"/>
            <w:tcBorders>
              <w:top w:val="nil"/>
              <w:left w:val="nil"/>
              <w:bottom w:val="nil"/>
              <w:right w:val="nil"/>
            </w:tcBorders>
          </w:tcPr>
          <w:p w14:paraId="0DFF840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Iespējami aktīvi</w:t>
            </w:r>
          </w:p>
        </w:tc>
        <w:tc>
          <w:tcPr>
            <w:tcW w:w="2576" w:type="pct"/>
            <w:tcBorders>
              <w:top w:val="nil"/>
              <w:left w:val="nil"/>
              <w:bottom w:val="nil"/>
              <w:right w:val="nil"/>
            </w:tcBorders>
          </w:tcPr>
          <w:p w14:paraId="1E79BEC4"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5.08.–5.11. punkts</w:t>
            </w:r>
          </w:p>
        </w:tc>
      </w:tr>
      <w:tr w:rsidR="00443399" w:rsidRPr="00B03B51" w14:paraId="39204368" w14:textId="77777777" w:rsidTr="0054365B">
        <w:tc>
          <w:tcPr>
            <w:tcW w:w="2424" w:type="pct"/>
            <w:tcBorders>
              <w:top w:val="nil"/>
              <w:left w:val="nil"/>
              <w:bottom w:val="nil"/>
              <w:right w:val="nil"/>
            </w:tcBorders>
          </w:tcPr>
          <w:p w14:paraId="4B6D208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Uzņēmējdarbības ienākumi</w:t>
            </w:r>
          </w:p>
        </w:tc>
        <w:tc>
          <w:tcPr>
            <w:tcW w:w="2576" w:type="pct"/>
            <w:tcBorders>
              <w:top w:val="nil"/>
              <w:left w:val="nil"/>
              <w:bottom w:val="nil"/>
              <w:right w:val="nil"/>
            </w:tcBorders>
          </w:tcPr>
          <w:p w14:paraId="3486F98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8.26.–8.28. punkts</w:t>
            </w:r>
          </w:p>
        </w:tc>
      </w:tr>
      <w:tr w:rsidR="00443399" w:rsidRPr="00B03B51" w14:paraId="3AE13311" w14:textId="77777777" w:rsidTr="0054365B">
        <w:tc>
          <w:tcPr>
            <w:tcW w:w="2424" w:type="pct"/>
            <w:tcBorders>
              <w:top w:val="nil"/>
              <w:left w:val="nil"/>
              <w:bottom w:val="nil"/>
              <w:right w:val="nil"/>
            </w:tcBorders>
          </w:tcPr>
          <w:p w14:paraId="25C6B49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Pašu kapitāls</w:t>
            </w:r>
          </w:p>
        </w:tc>
        <w:tc>
          <w:tcPr>
            <w:tcW w:w="2576" w:type="pct"/>
            <w:tcBorders>
              <w:top w:val="nil"/>
              <w:left w:val="nil"/>
              <w:bottom w:val="nil"/>
              <w:right w:val="nil"/>
            </w:tcBorders>
          </w:tcPr>
          <w:p w14:paraId="5309D29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5.151. punkts un turpmākie punkti</w:t>
            </w:r>
          </w:p>
        </w:tc>
      </w:tr>
      <w:tr w:rsidR="00443399" w:rsidRPr="00B03B51" w14:paraId="070B9DE8" w14:textId="77777777" w:rsidTr="0054365B">
        <w:tc>
          <w:tcPr>
            <w:tcW w:w="2424" w:type="pct"/>
            <w:tcBorders>
              <w:top w:val="nil"/>
              <w:left w:val="nil"/>
              <w:bottom w:val="nil"/>
              <w:right w:val="nil"/>
            </w:tcBorders>
          </w:tcPr>
          <w:p w14:paraId="6C70D3D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konts</w:t>
            </w:r>
          </w:p>
        </w:tc>
        <w:tc>
          <w:tcPr>
            <w:tcW w:w="2576" w:type="pct"/>
            <w:tcBorders>
              <w:top w:val="nil"/>
              <w:left w:val="nil"/>
              <w:bottom w:val="nil"/>
              <w:right w:val="nil"/>
            </w:tcBorders>
          </w:tcPr>
          <w:p w14:paraId="3F7BAF94"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8.50. punkts</w:t>
            </w:r>
          </w:p>
        </w:tc>
      </w:tr>
      <w:tr w:rsidR="00443399" w:rsidRPr="00B03B51" w14:paraId="4D0F218C" w14:textId="77777777" w:rsidTr="0054365B">
        <w:tc>
          <w:tcPr>
            <w:tcW w:w="2424" w:type="pct"/>
            <w:tcBorders>
              <w:top w:val="nil"/>
              <w:left w:val="nil"/>
              <w:bottom w:val="nil"/>
              <w:right w:val="nil"/>
            </w:tcBorders>
          </w:tcPr>
          <w:p w14:paraId="63B5784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darījums</w:t>
            </w:r>
          </w:p>
        </w:tc>
        <w:tc>
          <w:tcPr>
            <w:tcW w:w="2576" w:type="pct"/>
            <w:tcBorders>
              <w:top w:val="nil"/>
              <w:left w:val="nil"/>
              <w:bottom w:val="nil"/>
              <w:right w:val="nil"/>
            </w:tcBorders>
          </w:tcPr>
          <w:p w14:paraId="43D492C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5.16. punkts un turpmākie punkti</w:t>
            </w:r>
          </w:p>
        </w:tc>
      </w:tr>
      <w:tr w:rsidR="00443399" w:rsidRPr="00B03B51" w14:paraId="47AB182E" w14:textId="77777777" w:rsidTr="0054365B">
        <w:tc>
          <w:tcPr>
            <w:tcW w:w="2424" w:type="pct"/>
            <w:tcBorders>
              <w:top w:val="nil"/>
              <w:left w:val="nil"/>
              <w:bottom w:val="nil"/>
              <w:right w:val="nil"/>
            </w:tcBorders>
          </w:tcPr>
          <w:p w14:paraId="5886E87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Centrālais birojs</w:t>
            </w:r>
          </w:p>
        </w:tc>
        <w:tc>
          <w:tcPr>
            <w:tcW w:w="2576" w:type="pct"/>
            <w:tcBorders>
              <w:top w:val="nil"/>
              <w:left w:val="nil"/>
              <w:bottom w:val="nil"/>
              <w:right w:val="nil"/>
            </w:tcBorders>
          </w:tcPr>
          <w:p w14:paraId="4A916A6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2.14. un 20.35.–20.37. punkts</w:t>
            </w:r>
          </w:p>
        </w:tc>
      </w:tr>
      <w:tr w:rsidR="00443399" w:rsidRPr="00B03B51" w14:paraId="4844FF47" w14:textId="77777777" w:rsidTr="0054365B">
        <w:tc>
          <w:tcPr>
            <w:tcW w:w="2424" w:type="pct"/>
            <w:tcBorders>
              <w:top w:val="nil"/>
              <w:left w:val="nil"/>
              <w:bottom w:val="nil"/>
              <w:right w:val="nil"/>
            </w:tcBorders>
          </w:tcPr>
          <w:p w14:paraId="09CB69B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Tirgus/ārpustirgus vienības</w:t>
            </w:r>
          </w:p>
        </w:tc>
        <w:tc>
          <w:tcPr>
            <w:tcW w:w="2576" w:type="pct"/>
            <w:tcBorders>
              <w:top w:val="nil"/>
              <w:left w:val="nil"/>
              <w:bottom w:val="nil"/>
              <w:right w:val="nil"/>
            </w:tcBorders>
          </w:tcPr>
          <w:p w14:paraId="5BA4470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2.19.–2.34. punkts</w:t>
            </w:r>
          </w:p>
        </w:tc>
      </w:tr>
      <w:tr w:rsidR="00443399" w:rsidRPr="00B03B51" w14:paraId="5E4F9089" w14:textId="77777777" w:rsidTr="0054365B">
        <w:tc>
          <w:tcPr>
            <w:tcW w:w="2424" w:type="pct"/>
            <w:tcBorders>
              <w:top w:val="nil"/>
              <w:left w:val="nil"/>
              <w:bottom w:val="nil"/>
              <w:right w:val="nil"/>
            </w:tcBorders>
          </w:tcPr>
          <w:p w14:paraId="1A0221A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Nefinanšu neražotie aktīvi</w:t>
            </w:r>
          </w:p>
        </w:tc>
        <w:tc>
          <w:tcPr>
            <w:tcW w:w="2576" w:type="pct"/>
            <w:tcBorders>
              <w:top w:val="nil"/>
              <w:left w:val="nil"/>
              <w:bottom w:val="nil"/>
              <w:right w:val="nil"/>
            </w:tcBorders>
          </w:tcPr>
          <w:p w14:paraId="5ED2F6B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7.24. punkts</w:t>
            </w:r>
          </w:p>
        </w:tc>
      </w:tr>
      <w:tr w:rsidR="00443399" w:rsidRPr="00B03B51" w14:paraId="46FECBAC" w14:textId="77777777" w:rsidTr="0054365B">
        <w:tc>
          <w:tcPr>
            <w:tcW w:w="2424" w:type="pct"/>
            <w:tcBorders>
              <w:top w:val="nil"/>
              <w:left w:val="nil"/>
              <w:bottom w:val="nil"/>
              <w:right w:val="nil"/>
            </w:tcBorders>
          </w:tcPr>
          <w:p w14:paraId="2D68D19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Nefinanšu ražotie aktīvi</w:t>
            </w:r>
          </w:p>
        </w:tc>
        <w:tc>
          <w:tcPr>
            <w:tcW w:w="2576" w:type="pct"/>
            <w:tcBorders>
              <w:top w:val="nil"/>
              <w:left w:val="nil"/>
              <w:bottom w:val="nil"/>
              <w:right w:val="nil"/>
            </w:tcBorders>
          </w:tcPr>
          <w:p w14:paraId="293DE82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7.22. punkts</w:t>
            </w:r>
          </w:p>
        </w:tc>
      </w:tr>
      <w:tr w:rsidR="00443399" w:rsidRPr="00B03B51" w14:paraId="60508B7A" w14:textId="77777777" w:rsidTr="0054365B">
        <w:tc>
          <w:tcPr>
            <w:tcW w:w="2424" w:type="pct"/>
            <w:tcBorders>
              <w:top w:val="nil"/>
              <w:left w:val="nil"/>
              <w:bottom w:val="nil"/>
              <w:right w:val="nil"/>
            </w:tcBorders>
          </w:tcPr>
          <w:p w14:paraId="37D85A3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Konts “Citas aktīvu apjoma pārmaiņas”</w:t>
            </w:r>
          </w:p>
        </w:tc>
        <w:tc>
          <w:tcPr>
            <w:tcW w:w="2576" w:type="pct"/>
            <w:tcBorders>
              <w:top w:val="nil"/>
              <w:left w:val="nil"/>
              <w:bottom w:val="nil"/>
              <w:right w:val="nil"/>
            </w:tcBorders>
          </w:tcPr>
          <w:p w14:paraId="020A4D9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8.53. punkts</w:t>
            </w:r>
          </w:p>
        </w:tc>
      </w:tr>
      <w:tr w:rsidR="00443399" w:rsidRPr="00B03B51" w14:paraId="1C5FDB82" w14:textId="77777777" w:rsidTr="0054365B">
        <w:tc>
          <w:tcPr>
            <w:tcW w:w="2424" w:type="pct"/>
            <w:tcBorders>
              <w:top w:val="nil"/>
              <w:left w:val="nil"/>
              <w:bottom w:val="nil"/>
              <w:right w:val="nil"/>
            </w:tcBorders>
          </w:tcPr>
          <w:p w14:paraId="0D03A27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Privatizācija</w:t>
            </w:r>
          </w:p>
        </w:tc>
        <w:tc>
          <w:tcPr>
            <w:tcW w:w="2576" w:type="pct"/>
            <w:tcBorders>
              <w:top w:val="nil"/>
              <w:left w:val="nil"/>
              <w:bottom w:val="nil"/>
              <w:right w:val="nil"/>
            </w:tcBorders>
          </w:tcPr>
          <w:p w14:paraId="5F7B685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20.210.–20.213. punkts</w:t>
            </w:r>
          </w:p>
        </w:tc>
      </w:tr>
      <w:tr w:rsidR="00443399" w:rsidRPr="00B03B51" w14:paraId="489CFBA7" w14:textId="77777777" w:rsidTr="0054365B">
        <w:tc>
          <w:tcPr>
            <w:tcW w:w="2424" w:type="pct"/>
            <w:tcBorders>
              <w:top w:val="nil"/>
              <w:left w:val="nil"/>
              <w:bottom w:val="nil"/>
              <w:right w:val="nil"/>
            </w:tcBorders>
          </w:tcPr>
          <w:p w14:paraId="2474B94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Pārkārtoti darījumi</w:t>
            </w:r>
          </w:p>
        </w:tc>
        <w:tc>
          <w:tcPr>
            <w:tcW w:w="2576" w:type="pct"/>
            <w:tcBorders>
              <w:top w:val="nil"/>
              <w:left w:val="nil"/>
              <w:bottom w:val="nil"/>
              <w:right w:val="nil"/>
            </w:tcBorders>
          </w:tcPr>
          <w:p w14:paraId="2CF4DBB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1.72.–1.78. punkts</w:t>
            </w:r>
          </w:p>
        </w:tc>
      </w:tr>
    </w:tbl>
    <w:p w14:paraId="4564F7E1" w14:textId="77777777" w:rsidR="00443399" w:rsidRPr="00B03B51" w:rsidRDefault="00443399" w:rsidP="00443399">
      <w:pPr>
        <w:rPr>
          <w:rFonts w:ascii="Times New Roman" w:eastAsia="Times New Roman" w:hAnsi="Times New Roman" w:cs="Times New Roman"/>
          <w:noProof/>
          <w:sz w:val="24"/>
          <w:szCs w:val="17"/>
        </w:rPr>
      </w:pPr>
      <w:r w:rsidRPr="00B03B51">
        <w:rPr>
          <w:rFonts w:ascii="Times New Roman" w:hAnsi="Times New Roman" w:cs="Times New Roman"/>
        </w:rPr>
        <w:br w:type="page"/>
      </w:r>
    </w:p>
    <w:p w14:paraId="4D86592A" w14:textId="77777777" w:rsidR="00443399" w:rsidRPr="00B03B51" w:rsidRDefault="00443399" w:rsidP="00443399">
      <w:pPr>
        <w:jc w:val="both"/>
        <w:rPr>
          <w:rFonts w:ascii="Times New Roman" w:eastAsia="Times New Roman" w:hAnsi="Times New Roman" w:cs="Times New Roman"/>
          <w:noProof/>
          <w:sz w:val="24"/>
          <w:szCs w:val="56"/>
        </w:rPr>
      </w:pPr>
    </w:p>
    <w:p w14:paraId="361785B6" w14:textId="77777777" w:rsidR="00443399" w:rsidRPr="00B03B51" w:rsidRDefault="00443399" w:rsidP="00443399">
      <w:pPr>
        <w:pStyle w:val="Heading1"/>
        <w:ind w:left="0"/>
        <w:jc w:val="both"/>
        <w:rPr>
          <w:rFonts w:ascii="Times New Roman" w:hAnsi="Times New Roman" w:cs="Times New Roman"/>
          <w:noProof/>
          <w:sz w:val="28"/>
          <w:szCs w:val="72"/>
        </w:rPr>
      </w:pPr>
      <w:bookmarkStart w:id="472" w:name="6._Leases,_concessions_and_PPPs"/>
      <w:bookmarkStart w:id="473" w:name="_bookmark47"/>
      <w:bookmarkStart w:id="474" w:name="_Toc67565171"/>
      <w:bookmarkEnd w:id="472"/>
      <w:bookmarkEnd w:id="473"/>
      <w:r w:rsidRPr="00B03B51">
        <w:rPr>
          <w:rFonts w:ascii="Times New Roman" w:hAnsi="Times New Roman" w:cs="Times New Roman"/>
          <w:sz w:val="28"/>
          <w:szCs w:val="72"/>
        </w:rPr>
        <w:t>6. Noma, koncesijas un PPP</w:t>
      </w:r>
      <w:bookmarkEnd w:id="474"/>
    </w:p>
    <w:p w14:paraId="3F716EB5" w14:textId="77777777" w:rsidR="00443399" w:rsidRPr="00B03B51" w:rsidRDefault="00443399" w:rsidP="00443399">
      <w:pPr>
        <w:jc w:val="both"/>
        <w:rPr>
          <w:rFonts w:ascii="Times New Roman" w:eastAsia="Arial" w:hAnsi="Times New Roman" w:cs="Times New Roman"/>
          <w:b/>
          <w:bCs/>
          <w:noProof/>
          <w:sz w:val="28"/>
        </w:rPr>
      </w:pPr>
    </w:p>
    <w:p w14:paraId="09D5B585"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475" w:name="6.1_Overview"/>
      <w:bookmarkStart w:id="476" w:name="_bookmark48"/>
      <w:bookmarkStart w:id="477" w:name="_Toc67565172"/>
      <w:bookmarkEnd w:id="475"/>
      <w:bookmarkEnd w:id="476"/>
      <w:r w:rsidRPr="00B03B51">
        <w:rPr>
          <w:rFonts w:ascii="Times New Roman" w:hAnsi="Times New Roman" w:cs="Times New Roman"/>
          <w:sz w:val="28"/>
          <w:szCs w:val="44"/>
        </w:rPr>
        <w:t>6.1. Pārskats</w:t>
      </w:r>
      <w:bookmarkEnd w:id="477"/>
    </w:p>
    <w:p w14:paraId="66A17260" w14:textId="77777777" w:rsidR="00443399" w:rsidRPr="00100B51" w:rsidRDefault="00443399" w:rsidP="00100B51">
      <w:pPr>
        <w:rPr>
          <w:rFonts w:ascii="Times New Roman" w:hAnsi="Times New Roman" w:cs="Times New Roman"/>
          <w:noProof/>
          <w:sz w:val="24"/>
          <w:szCs w:val="24"/>
        </w:rPr>
      </w:pPr>
      <w:bookmarkStart w:id="478" w:name="6.1.1_Background_on_general_principles"/>
      <w:bookmarkEnd w:id="478"/>
    </w:p>
    <w:p w14:paraId="5AADBC84" w14:textId="77777777" w:rsidR="00443399" w:rsidRPr="00B03B51" w:rsidRDefault="00443399" w:rsidP="00443399">
      <w:pPr>
        <w:pStyle w:val="Heading3"/>
        <w:tabs>
          <w:tab w:val="left" w:pos="2127"/>
        </w:tabs>
        <w:ind w:left="0" w:firstLine="0"/>
        <w:jc w:val="both"/>
        <w:rPr>
          <w:rFonts w:ascii="Times New Roman" w:hAnsi="Times New Roman" w:cs="Times New Roman"/>
          <w:noProof/>
          <w:sz w:val="24"/>
        </w:rPr>
      </w:pPr>
      <w:bookmarkStart w:id="479" w:name="_Toc67565173"/>
      <w:r w:rsidRPr="00B03B51">
        <w:rPr>
          <w:rFonts w:ascii="Times New Roman" w:hAnsi="Times New Roman" w:cs="Times New Roman"/>
          <w:sz w:val="24"/>
        </w:rPr>
        <w:t>6.1.1. Vispārējo principu pamatojums</w:t>
      </w:r>
      <w:bookmarkEnd w:id="479"/>
    </w:p>
    <w:p w14:paraId="56260684" w14:textId="77777777" w:rsidR="00443399" w:rsidRPr="00B03B51" w:rsidRDefault="00443399" w:rsidP="00443399">
      <w:pPr>
        <w:pStyle w:val="BodyText"/>
        <w:tabs>
          <w:tab w:val="left" w:pos="1703"/>
        </w:tabs>
        <w:spacing w:before="0"/>
        <w:ind w:left="0" w:firstLine="0"/>
        <w:jc w:val="right"/>
        <w:rPr>
          <w:rFonts w:ascii="Times New Roman" w:hAnsi="Times New Roman" w:cs="Times New Roman"/>
          <w:noProof/>
          <w:sz w:val="24"/>
        </w:rPr>
      </w:pPr>
    </w:p>
    <w:p w14:paraId="0BD4EBBE"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Valdības ieņēmumus veido tostarp rentes, nomas maksas, licences maksas, honorāri, franšīzes, ceļa nodevas, administratīvie maksājumi, koncesijas un publiskās un privātās partnerības (PPP) maksas. Nacionālajos kontos tie attiecināmi uz dažādiem darījumu veidiem, kas izskaidroti dažādās EKS 2010 nodaļās, galvenokārt 15. nodaļā “Līgumi, nomas līgumi un licences” un 20. nodaļā “Valdības konti”.</w:t>
      </w:r>
    </w:p>
    <w:p w14:paraId="0264A02F"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p>
    <w:p w14:paraId="6961DB7A"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Rokasgrāmatas 6.1. nodaļā ir uzsvērta problēma, kā nošķirt valdības produkciju (ieņēmumus no preču un pakalpojumu pārdošanas), nodokļus, renti un aktīvu pārdošanu. Šo analīzi iedala šādās kategorijās:</w:t>
      </w:r>
    </w:p>
    <w:p w14:paraId="6A2DBE32"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p>
    <w:p w14:paraId="77E68410"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ieņēmumi no valdības preču un pakalpojumu pārdošanas (ko var piegādāt citas tautsaimniecības vienības);</w:t>
      </w:r>
    </w:p>
    <w:p w14:paraId="61655C56"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p>
    <w:p w14:paraId="08943945"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ieņēmumi no valdībai piederoša ražota aktīva izmantošanas;</w:t>
      </w:r>
    </w:p>
    <w:p w14:paraId="3965C05E"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p>
    <w:p w14:paraId="0F91A7C0"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ieņēmumi no valdībai piederošu dabas resursu izmantošanas;</w:t>
      </w:r>
    </w:p>
    <w:p w14:paraId="61DD1CCE"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p>
    <w:p w14:paraId="7AA7038B" w14:textId="77777777" w:rsidR="00443399" w:rsidRPr="00B03B51" w:rsidRDefault="00443399" w:rsidP="00443399">
      <w:pPr>
        <w:pStyle w:val="BodyText"/>
        <w:tabs>
          <w:tab w:val="left" w:pos="198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ieņēmumi par valdības izsniegtu atļauju veikt darbību.</w:t>
      </w:r>
    </w:p>
    <w:p w14:paraId="743FDD3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1173CC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Rokasgrāmatas 6.2. nodaļā ir paskaidrots, kā ierakstīt valdības nefinanšu aktīvu pārdošanu ar saņemšanu atpakaļ nomā. Tās 6.3. nodaļa ir veltīta līgumiem ar valdības sektoram nepiederošām vienībām saistībā ar pamatlīdzekļiem, tostarp koncesijām, savukārt 6.4. nodaļā ir sīkāk raksturotas PPP. Rokasgrāmatas 6.5. nodaļā ir aplūkota emisijas kvotu tirdzniecība.</w:t>
      </w:r>
    </w:p>
    <w:p w14:paraId="0384AE57" w14:textId="77777777" w:rsidR="00443399" w:rsidRPr="00B03B51" w:rsidRDefault="00443399" w:rsidP="00443399">
      <w:pPr>
        <w:jc w:val="both"/>
        <w:rPr>
          <w:rFonts w:ascii="Times New Roman" w:eastAsia="Arial" w:hAnsi="Times New Roman" w:cs="Times New Roman"/>
          <w:noProof/>
          <w:sz w:val="24"/>
          <w:szCs w:val="18"/>
        </w:rPr>
      </w:pPr>
    </w:p>
    <w:p w14:paraId="1420EA9E"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Terminoloģija</w:t>
      </w:r>
    </w:p>
    <w:p w14:paraId="4DD56CEA" w14:textId="77777777" w:rsidR="00443399" w:rsidRPr="00B03B51" w:rsidRDefault="00443399" w:rsidP="00443399">
      <w:pPr>
        <w:jc w:val="both"/>
        <w:rPr>
          <w:rFonts w:ascii="Times New Roman" w:eastAsia="Arial" w:hAnsi="Times New Roman" w:cs="Times New Roman"/>
          <w:b/>
          <w:bCs/>
          <w:noProof/>
          <w:sz w:val="24"/>
        </w:rPr>
      </w:pPr>
    </w:p>
    <w:p w14:paraId="0FC02BB8"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Ņemot vērā, ka ilgtermiņa līgumi, ko slēdz valdības vienības un sabiedrības (jo īpaši “publiskās un privātās partnerības” vai “koncesiju” veidā), kļūst aizvien daudzveidīgāki, ir jāizskaidro terminoloģija, ko lieto saistībā ar nacionālajiem kontiem. Šajā rokasgrāmatā šī terminoloģija var būt izmantota atšķirīgi no tā, kā tā tiek izmantota citviet.</w:t>
      </w:r>
    </w:p>
    <w:p w14:paraId="5A59FC19"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p>
    <w:p w14:paraId="49292525" w14:textId="77777777" w:rsidR="00443399" w:rsidRPr="00B03B51" w:rsidRDefault="00443399" w:rsidP="00443399">
      <w:pPr>
        <w:pStyle w:val="BodyText"/>
        <w:tabs>
          <w:tab w:val="left" w:pos="170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Koncesijas parasti ir līgumi attiecībā uz infrastruktūras objektiem, kurus var izmantot komerciāliem mērķiem. Šāda ilgtermiņa līguma gadījumā sabiedrība (vai sabiedrību grupa) ir atbildīga par aktīva būvniecību, ekspluatāciju un uzturēšanu, un atlīdzību tā saņem galvenokārt no aktīva galapatērētājiem (mājsaimniecībām, sabiedrībām u. tml.), kas maksā ceļa nodevas vai veic citus maksājumus.</w:t>
      </w:r>
    </w:p>
    <w:p w14:paraId="4A82E305" w14:textId="77777777" w:rsidR="00443399" w:rsidRPr="00B03B51" w:rsidRDefault="00443399" w:rsidP="00443399">
      <w:pPr>
        <w:jc w:val="both"/>
        <w:rPr>
          <w:rFonts w:ascii="Times New Roman" w:hAnsi="Times New Roman" w:cs="Times New Roman"/>
          <w:noProof/>
          <w:sz w:val="24"/>
        </w:rPr>
      </w:pPr>
    </w:p>
    <w:p w14:paraId="1A4C03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PPP ir ilgtermiņa līgumi, ko valdība noslēdz ar sabiedrībām, kas būvē, ekspluatē un uztur publisko pakalpojumu nodrošināšanai paredzētos aktīvus (piemēram, valsts slimnīcas, skolas un universitātes, cietumus utt.), bet šajā gadījumā partnerim atlīdzību maksā valdība.</w:t>
      </w:r>
    </w:p>
    <w:p w14:paraId="713C44D1" w14:textId="77777777" w:rsidR="00443399" w:rsidRPr="00B03B51" w:rsidRDefault="00443399" w:rsidP="00443399">
      <w:pPr>
        <w:jc w:val="both"/>
        <w:rPr>
          <w:rFonts w:ascii="Times New Roman" w:eastAsia="Arial" w:hAnsi="Times New Roman" w:cs="Times New Roman"/>
          <w:noProof/>
          <w:sz w:val="24"/>
          <w:szCs w:val="18"/>
        </w:rPr>
      </w:pPr>
    </w:p>
    <w:p w14:paraId="3028ED7A" w14:textId="77777777" w:rsidR="00443399" w:rsidRPr="00B03B51" w:rsidRDefault="00443399" w:rsidP="00324FA9">
      <w:pPr>
        <w:pStyle w:val="Heading3"/>
        <w:keepNext/>
        <w:keepLines/>
        <w:tabs>
          <w:tab w:val="left" w:pos="1267"/>
        </w:tabs>
        <w:ind w:left="0" w:firstLine="0"/>
        <w:jc w:val="both"/>
        <w:rPr>
          <w:rFonts w:ascii="Times New Roman" w:hAnsi="Times New Roman" w:cs="Times New Roman"/>
          <w:noProof/>
          <w:sz w:val="24"/>
        </w:rPr>
      </w:pPr>
      <w:bookmarkStart w:id="480" w:name="_Toc67565174"/>
      <w:r w:rsidRPr="00B03B51">
        <w:rPr>
          <w:rFonts w:ascii="Times New Roman" w:hAnsi="Times New Roman" w:cs="Times New Roman"/>
          <w:sz w:val="24"/>
        </w:rPr>
        <w:lastRenderedPageBreak/>
        <w:t>6.1.2. Vispārējs traktējums nacionālajos kontos</w:t>
      </w:r>
      <w:bookmarkEnd w:id="480"/>
    </w:p>
    <w:p w14:paraId="2D2B3C5C" w14:textId="77777777" w:rsidR="00443399" w:rsidRPr="00BE27DC" w:rsidRDefault="00443399" w:rsidP="00324FA9">
      <w:pPr>
        <w:keepNext/>
        <w:rPr>
          <w:rFonts w:ascii="Times New Roman" w:hAnsi="Times New Roman" w:cs="Times New Roman"/>
          <w:noProof/>
          <w:sz w:val="24"/>
          <w:szCs w:val="24"/>
        </w:rPr>
      </w:pPr>
    </w:p>
    <w:p w14:paraId="6EB7637F" w14:textId="77777777" w:rsidR="00443399" w:rsidRPr="00B03B51" w:rsidRDefault="00443399" w:rsidP="00324FA9">
      <w:pPr>
        <w:pStyle w:val="Heading6"/>
        <w:keepNext/>
        <w:keepLines/>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6.1.2.1. VALDĪBAS IEŅĒMUMI PAR PRECĒM UN PAKALPOJUMIEM (KO VAR NODROŠINĀT CITAS VIENĪBAS)</w:t>
      </w:r>
    </w:p>
    <w:p w14:paraId="0C70E352" w14:textId="77777777" w:rsidR="00443399" w:rsidRPr="00B03B51" w:rsidRDefault="00443399" w:rsidP="00324FA9">
      <w:pPr>
        <w:pStyle w:val="BodyText"/>
        <w:keepNext/>
        <w:keepLines/>
        <w:tabs>
          <w:tab w:val="left" w:pos="843"/>
        </w:tabs>
        <w:spacing w:before="0"/>
        <w:ind w:left="0" w:firstLine="0"/>
        <w:jc w:val="both"/>
        <w:rPr>
          <w:rFonts w:ascii="Times New Roman" w:hAnsi="Times New Roman" w:cs="Times New Roman"/>
          <w:noProof/>
          <w:sz w:val="24"/>
        </w:rPr>
      </w:pPr>
    </w:p>
    <w:p w14:paraId="61CD6EB8" w14:textId="77777777" w:rsidR="00443399" w:rsidRPr="00B03B51" w:rsidRDefault="00443399" w:rsidP="00324FA9">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Saņemtie maksājumi var būt mazāki par ražošanas izmaksām, vienādi ar tām vai lielāki par tām – tas neietekmē klasifikāciju.</w:t>
      </w:r>
    </w:p>
    <w:p w14:paraId="211D6FF3" w14:textId="77777777" w:rsidR="00443399" w:rsidRPr="00B03B51" w:rsidRDefault="00443399" w:rsidP="00443399">
      <w:pPr>
        <w:pStyle w:val="BodyText"/>
        <w:spacing w:before="0"/>
        <w:ind w:left="0" w:firstLine="0"/>
        <w:jc w:val="both"/>
        <w:rPr>
          <w:rFonts w:ascii="Times New Roman" w:hAnsi="Times New Roman" w:cs="Times New Roman"/>
          <w:b/>
          <w:bCs/>
          <w:noProof/>
          <w:sz w:val="24"/>
        </w:rPr>
      </w:pPr>
    </w:p>
    <w:p w14:paraId="015C6E5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Traktējums:</w:t>
      </w:r>
      <w:r w:rsidRPr="00B03B51">
        <w:rPr>
          <w:rFonts w:ascii="Times New Roman" w:hAnsi="Times New Roman" w:cs="Times New Roman"/>
          <w:sz w:val="24"/>
        </w:rPr>
        <w:t xml:space="preserve"> ieraksta kā pārdošanu – produkciju (P.1), jo īpaši tirgus produkciju (P.11), ja tiek piemērotas ekonomiski nozīmīgas cenas; pretējā gadījumā ieraksta kā maksājumus par ārpustirgus produkciju (P.131). Piemēram, ieņēmumi par mācību nodrošināšanu, maksas, kas iekasētas par uzņēmumiem sniegtām konsultācijām, maksas par pētījumu līgumiem. Cits piemērs ir kādas darbības veikšanai nepieciešamās kompetences pārbaude personai (piemēram, transportlīdzekļa vadīšanas kompetences pārbaude). Vienīgi tad, ja maksas par šādām reglamentējošām darbībām ir samērīgas ar izmaksām, šādus ieņēmumus klasificē kā P.131., pretējā gadījumā tās ieraksta kā nodokļu ieņēmumus (skat. arī 6.1.2.5. apakšiedaļu “Maksājumi, ko valdība saņem par atļaujas izsniegšanu darbības veikšanai”).</w:t>
      </w:r>
    </w:p>
    <w:p w14:paraId="520271EC" w14:textId="77777777" w:rsidR="00443399" w:rsidRPr="00B03B51" w:rsidRDefault="00443399" w:rsidP="00443399">
      <w:pPr>
        <w:jc w:val="both"/>
        <w:rPr>
          <w:rFonts w:ascii="Times New Roman" w:hAnsi="Times New Roman" w:cs="Times New Roman"/>
          <w:noProof/>
          <w:sz w:val="24"/>
        </w:rPr>
      </w:pPr>
    </w:p>
    <w:p w14:paraId="42D954E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6.1.2.2. VALDĪBAS IEŅĒMUMI PAR RAŽOTA AKTĪVA IZMANTOŠANU</w:t>
      </w:r>
    </w:p>
    <w:p w14:paraId="269B3C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C66E3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Saņemtie maksājumi var būt mazāki par ražošanas izmaksām, vienādi ar tām vai lielāki par tām – tas neietekmē klasifikāciju.</w:t>
      </w:r>
    </w:p>
    <w:p w14:paraId="0238FFF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BFC52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Atkarībā no izmantošanas laika posma var izšķirt trīs saņemto maksājumu apakškategorijas.</w:t>
      </w:r>
    </w:p>
    <w:p w14:paraId="5AFC1628"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13EADFF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 Maksājumi, kas tiek saņemti ikreiz, kad tiek izmantots aktīvs vai tiek veikts kāds maksājums, kas ļauj izmantot aktīvu laika posmā, kurš ir mazāks par vienu gadu (un nav ietverts līgumā, kurā nepieprasa maksājumus izmantošanai ilgākā laika posmā).</w:t>
      </w:r>
    </w:p>
    <w:p w14:paraId="349EBBA2" w14:textId="77777777" w:rsidR="00443399" w:rsidRPr="00B03B51" w:rsidRDefault="00443399" w:rsidP="00443399">
      <w:pPr>
        <w:pStyle w:val="BodyText"/>
        <w:spacing w:before="0"/>
        <w:ind w:left="284" w:firstLine="0"/>
        <w:jc w:val="both"/>
        <w:rPr>
          <w:rFonts w:ascii="Times New Roman" w:hAnsi="Times New Roman" w:cs="Times New Roman"/>
          <w:b/>
          <w:bCs/>
          <w:noProof/>
          <w:sz w:val="24"/>
        </w:rPr>
      </w:pPr>
    </w:p>
    <w:p w14:paraId="4890F278"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b/>
          <w:bCs/>
          <w:sz w:val="24"/>
        </w:rPr>
        <w:t>Traktējums:</w:t>
      </w:r>
      <w:r w:rsidRPr="00B03B51">
        <w:rPr>
          <w:rFonts w:ascii="Times New Roman" w:hAnsi="Times New Roman" w:cs="Times New Roman"/>
          <w:sz w:val="24"/>
        </w:rPr>
        <w:t xml:space="preserve"> ieraksta kā pārdošanu – produkciju (P.1), proti, kā tirgus produkciju (P.11), ja tiek piemērotas ekonomiski nozīmīgas cenas, un kā maksājumus par ārpustirgus produkciju (P.131) pretējā gadījumā.</w:t>
      </w:r>
    </w:p>
    <w:p w14:paraId="7BB2BD68"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3193A7E"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Piemēram, valdībai piederošu ēku noma, ceļu un tiltu nodevas, konkrēta valsts ceļa izmantošanas atļauja uz noteiktu laiku, sporta centru vai peldbaseinu izmantošanas maksas, ieejas maksas sabiedriskās ēkās.</w:t>
      </w:r>
    </w:p>
    <w:p w14:paraId="49E5A30E"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09AD1B2B"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ii) Maksājums ir daļa no līguma, kas pieļauj aktīva izmantošanu vairāk par vienu gadu, bet mazāk par tā ekonomisko ciklu, piemēram, koncesijas vai PPP veida līgumi. Nav svarīgi, cik daudz individuālo maksājumu ir jāveic saskaņā ar līgumu. Svarīgs ir tikai līguma darbības termiņš.</w:t>
      </w:r>
    </w:p>
    <w:p w14:paraId="50F7F43F" w14:textId="77777777" w:rsidR="00443399" w:rsidRPr="00B03B51" w:rsidRDefault="00443399" w:rsidP="00443399">
      <w:pPr>
        <w:pStyle w:val="BodyText"/>
        <w:spacing w:before="0"/>
        <w:ind w:left="284" w:firstLine="0"/>
        <w:jc w:val="both"/>
        <w:rPr>
          <w:rFonts w:ascii="Times New Roman" w:hAnsi="Times New Roman" w:cs="Times New Roman"/>
          <w:b/>
          <w:bCs/>
          <w:noProof/>
          <w:sz w:val="24"/>
        </w:rPr>
      </w:pPr>
    </w:p>
    <w:p w14:paraId="5361F47F"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b/>
          <w:bCs/>
          <w:sz w:val="24"/>
        </w:rPr>
        <w:t>Traktējums:</w:t>
      </w:r>
      <w:r w:rsidRPr="00B03B51">
        <w:rPr>
          <w:rFonts w:ascii="Times New Roman" w:hAnsi="Times New Roman" w:cs="Times New Roman"/>
          <w:sz w:val="24"/>
        </w:rPr>
        <w:t xml:space="preserve"> piemēro operatīvās nomas/finanšu nomas testu (EKS 2010 15.11. punkts un 15.16.–15.18. punkts), bet PPP gadījumā ir jāizvērtē risku sadalījums (skat. 6.4. nodaļu “Publiskā un privātā partnerība”). Kaut arī, visticamāk, valdība neuzskatītu, ka tā nodarbojas ar finanšu nomas nodrošināšanu, būtu piemēroti ierakstīt, ka valdība pārdod esošo aktīvu, kad vienība, kura to pērk, uzņemas lielāko daļu ar īpašumtiesībām saistīto risku un priekšrocību uz līgumā noteikto laiku un ja līgumam ir skaidras finanšu nomas pazīmes.</w:t>
      </w:r>
    </w:p>
    <w:p w14:paraId="6FED7D48"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04EC287F"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Operatīvā noma un PPP, kad var uzskatīt, ka valdība ir aktīvu ekonomiskais īpašnieks: ieraksta kā nomas maksu (P.1) (viena sākotnējā maksājuma gadījumā būtu jāveic uzkrājumi </w:t>
      </w:r>
      <w:r w:rsidRPr="00B03B51">
        <w:rPr>
          <w:rFonts w:ascii="Times New Roman" w:hAnsi="Times New Roman" w:cs="Times New Roman"/>
          <w:sz w:val="24"/>
        </w:rPr>
        <w:lastRenderedPageBreak/>
        <w:t>līguma darbības laikā un priekšapmaksa jāieraksta kā tirdzniecības kredīti un avansi (F.81)).</w:t>
      </w:r>
    </w:p>
    <w:p w14:paraId="72DA54FE"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3CFB91B4"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Piemēri: viens priekšapmaksas maksājums no uzņēmuma, lai tas piecus gadus varētu izmantot valdībai piederošu ēku – ieraksta kā nomas maksu (P.1), uzkrāj piecus gadus ilgā laika posmā un pozīcijā “citas kreditoru saistības” (F.81) ieraksta finanšu saistības.</w:t>
      </w:r>
    </w:p>
    <w:p w14:paraId="1A1182E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CD8A474"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iii) Maksājums ir par periodu, kas pārsniedz aktīva ekonomisko ciklu.</w:t>
      </w:r>
    </w:p>
    <w:p w14:paraId="0E29AE44" w14:textId="77777777" w:rsidR="00443399" w:rsidRPr="00B03B51" w:rsidRDefault="00443399" w:rsidP="00443399">
      <w:pPr>
        <w:pStyle w:val="BodyText"/>
        <w:spacing w:before="0"/>
        <w:ind w:left="284" w:firstLine="0"/>
        <w:jc w:val="both"/>
        <w:rPr>
          <w:rFonts w:ascii="Times New Roman" w:hAnsi="Times New Roman" w:cs="Times New Roman"/>
          <w:b/>
          <w:noProof/>
          <w:sz w:val="24"/>
        </w:rPr>
      </w:pPr>
    </w:p>
    <w:p w14:paraId="700F1C0D"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b/>
          <w:bCs/>
          <w:sz w:val="24"/>
        </w:rPr>
        <w:t>Traktējums:</w:t>
      </w:r>
      <w:r w:rsidRPr="00B03B51">
        <w:rPr>
          <w:rFonts w:ascii="Times New Roman" w:hAnsi="Times New Roman" w:cs="Times New Roman"/>
          <w:sz w:val="24"/>
        </w:rPr>
        <w:t xml:space="preserve"> ražotā aktīva ekonomiskā pārdošana (P.51).</w:t>
      </w:r>
    </w:p>
    <w:p w14:paraId="0EB40527" w14:textId="77777777" w:rsidR="00443399" w:rsidRPr="00B03B51" w:rsidRDefault="00443399" w:rsidP="00443399">
      <w:pPr>
        <w:jc w:val="both"/>
        <w:rPr>
          <w:rFonts w:ascii="Times New Roman" w:eastAsia="Arial" w:hAnsi="Times New Roman" w:cs="Times New Roman"/>
          <w:noProof/>
          <w:sz w:val="24"/>
          <w:szCs w:val="17"/>
        </w:rPr>
      </w:pPr>
    </w:p>
    <w:p w14:paraId="2B366856"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6.1.2.3. MAKSĀJUMI, KO VALDĪBA SAŅEM PAR DABAS RESURSU IZMANTOŠANU</w:t>
      </w:r>
    </w:p>
    <w:p w14:paraId="614D63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0ECA2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Valdības dabas resursi (AN.21) ir zeme, zemes dzīļu aktīvi un citi materiāli dabas resursu aktīvi, attiecībā uz kuriem realizē valdības īpašumtiesības vai nu kā juridiskas īpašumtiesības, vai arī saskaņā ar starptautiskiem līgumiem vai konvencijām. Vienībām, kas ietilpst citos ekonomikas sektoros, šādi aktīvi var būt un var nebūt īpašumā un tās tos var vai nevar tirgot. Minētajā kategorijā neietilpst:</w:t>
      </w:r>
    </w:p>
    <w:p w14:paraId="411DD2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01F91F8"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maksājumi, ko valdība saņem par dabas resursu izmantošanu, ja šādi maksājumi izriet no īpašiem tiesību aktiem, kuros valdībai ir paredzētas tiesības tos pieprasīt, ja valdība nav šo aktīvu likumīgā vai ekonomiskā īpašniece;</w:t>
      </w:r>
    </w:p>
    <w:p w14:paraId="462FAB2A"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maksājumi, ko valdība saņem, kad tā nav ekonomiskā īpašniece vai kad ekonomiskās īpašumtiesības nav noteiktas un nav pamata valdību uzskatīt par aktīvu ekonomisko īpašnieci;</w:t>
      </w:r>
    </w:p>
    <w:p w14:paraId="2DC63C75"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“vides aktīvi”, kuri netiek uzskatīti par ekonomiskajiem aktīviem (skat. EKS 2010 7. nodaļas “Bilance” 7.1. pielikumu);</w:t>
      </w:r>
    </w:p>
    <w:p w14:paraId="290A11F2"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netiešie ieņēmumi no dabas resursiem, piemēram, dividendes no publiskām sabiedrībām, kuras izmanto dabas resursus, un uzņēmumu nodoklis no sabiedrībām, kuras izmanto dabas resursus (EKS 2010 15.30. punkts).</w:t>
      </w:r>
    </w:p>
    <w:p w14:paraId="025F48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7323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Ieņēmumos no dabas resursu izmantošanas ietilpst šādi divi maksājumu veidi:</w:t>
      </w:r>
    </w:p>
    <w:p w14:paraId="082226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12ACAB3"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maksājumi, ko veic ikreiz, kad tiek izmantots aktīvs vai tiek veikts vienreizējs maksājums, kas ļauj izmantot aktīvu noteiktā laika posmā;</w:t>
      </w:r>
    </w:p>
    <w:p w14:paraId="01AEE73C" w14:textId="77777777" w:rsidR="00443399" w:rsidRPr="00B03B51" w:rsidRDefault="00443399" w:rsidP="004205D9">
      <w:pPr>
        <w:pStyle w:val="BodyText"/>
        <w:numPr>
          <w:ilvl w:val="4"/>
          <w:numId w:val="5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dara pieejamus dabas resursus, izmantojot nomu, licences vai atļaujas, ko piemēro noteiktā laika posmā.</w:t>
      </w:r>
    </w:p>
    <w:p w14:paraId="2DE990B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624F04" w14:textId="4B755FF6"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Traktējums: ieraksta kā renti (D.45). Viena sākotnējā maksājuma gadījumā tas ir jāuzkrāj līguma darbības laikā un priekšapmaksa jāieraksta kā valdības finansiāla avansa saistības (F.89). Piemēram, valdība saņem honorārus par naftas ieguvi.</w:t>
      </w:r>
    </w:p>
    <w:p w14:paraId="7A7E51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1032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Piemēram, ja uzņēmums veic vienreizēju maksājumu šelfa naftas rezervju izmantošanai uz pieciem gadiem: ieraksta renti (D.45), ko uzkrāj piecus gadus ilgā laika posmā un ieraksta kā priekšapmaksu pozīcijā F.89. Jāņem vērā, ka neražoti aktīvi (AN.22 “līgumi, nomas līgumi un licences”) tiks norādīti nomnieka uzņēmuma bilancē, ja pēc tam tirgū pastāvošais rentes līmenis pārsniedz līguma noteikto renti un minētajam uzņēmumam ir tiesības nodot tiesības trešai pusei (noma ar tiesībām nodot apakšnomā).</w:t>
      </w:r>
    </w:p>
    <w:p w14:paraId="17623B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E88AC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Ja valdības saņemtais maksājums par tās dabas resursu izmantošanu attiecas uz laika posmu, kas ir vienāds ar to atlikušo ekonomisko ciklu vai garāks par to, tad to ieraksta kā neražota </w:t>
      </w:r>
      <w:r w:rsidRPr="00B03B51">
        <w:rPr>
          <w:rFonts w:ascii="Times New Roman" w:hAnsi="Times New Roman" w:cs="Times New Roman"/>
          <w:sz w:val="24"/>
        </w:rPr>
        <w:lastRenderedPageBreak/>
        <w:t>aktīva ekonomisko pārdošanu (dabas resursi: NP.1). Piemēram, iznomādama zemi izmantošanai uz neierobežotu termiņu, valdība saimnieciskā ziņā faktiski rīkojas tā, it kā tā šo zemi pārdotu. Ierobežota termiņa nomas gadījumā šāda situācija iespējama reti, jo dabas resursu vērtība nesamazinās tā, kā tā samazinās ražotu aktīvu gadījumā, līdz ar to bieži vien tiem ir neierobežoti ilgs ekonomiskais cikls, taču vērtības samazinājums iespējams, piemēram, kad tiek izsmelti naftas krājumi vai noveco tehnoloģija.</w:t>
      </w:r>
    </w:p>
    <w:p w14:paraId="4C3FE3DF" w14:textId="77777777" w:rsidR="00443399" w:rsidRPr="00B03B51" w:rsidRDefault="00443399" w:rsidP="00443399">
      <w:pPr>
        <w:jc w:val="both"/>
        <w:rPr>
          <w:rFonts w:ascii="Times New Roman" w:eastAsia="Arial" w:hAnsi="Times New Roman" w:cs="Times New Roman"/>
          <w:noProof/>
          <w:sz w:val="24"/>
          <w:szCs w:val="15"/>
        </w:rPr>
      </w:pPr>
    </w:p>
    <w:p w14:paraId="4A15CE35" w14:textId="77777777" w:rsidR="00443399" w:rsidRPr="00B03B51" w:rsidRDefault="00443399" w:rsidP="00443399">
      <w:pPr>
        <w:pStyle w:val="Heading6"/>
        <w:tabs>
          <w:tab w:val="left" w:pos="1411"/>
        </w:tabs>
        <w:ind w:left="0" w:firstLine="0"/>
        <w:jc w:val="both"/>
        <w:rPr>
          <w:rFonts w:ascii="Times New Roman" w:hAnsi="Times New Roman" w:cs="Times New Roman"/>
          <w:noProof/>
          <w:sz w:val="24"/>
        </w:rPr>
      </w:pPr>
      <w:r w:rsidRPr="00B03B51">
        <w:rPr>
          <w:rFonts w:ascii="Times New Roman" w:hAnsi="Times New Roman" w:cs="Times New Roman"/>
          <w:sz w:val="24"/>
        </w:rPr>
        <w:t>6.1.2.4. PIEZĪME PAR NERAŽOTIEM AKTĪVIEM (AN.22)</w:t>
      </w:r>
    </w:p>
    <w:p w14:paraId="4194AC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F9E54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Neražotu aktīvu iegādi vai realizāciju (NP.1–NP.3) ieraksta tikai noteiktos gadījumos. Parasti maksājumus par nomu, komercpilnvarojumu vai koncesijām ieraksta kā pakalpojumu pārdošanu (“nomas maksa” P.1) vai renti (D.45), vai kā ekspluatācijā esoša ražota aktīva pārdošanu (P.51g – finanšu nomā, NP.1 – resursu nomā), ja līguma darbības termiņš aptver vismaz aktīva ekonomisko ciklu .</w:t>
      </w:r>
    </w:p>
    <w:p w14:paraId="7812F8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D57F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Svarīgi zināt, ka pakalpojumu koncesijas līgumus (kā definēts EKS 2010 15.42. punktā) ieraksta, ievērojot noteikumus, kas sniegti Rokasgrāmatā par koncesijām. Šādus līgumus nevar pielīdzināt pakārtoto aktīvu (pamatlīdzekļu, zemes utt.) pārdošanai, bet tie ir jāpielīdzina darbības veikšanas atļaujas pārdošanai. Summas, kas pienākas, ieraksta kā finansiālu avansu (un kā saņemamo summu attiecībā uz starpību ar sākumā saņemto naudu). Ja koncesija ir nododama, izveido papildu neražoto aktīvu, kura vērtība sākumā ir nulle.</w:t>
      </w:r>
    </w:p>
    <w:p w14:paraId="3B7BDD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FAB02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EKS 2010 6.06. punkta g) apakšpunktā noteikts gadījums, kad neražots aktīvs ir jāieraksta attiecībā uz līgumiem, nomas tiesībām, licencēm vai atļaujām – kad vienībai (otrai pusei) ir tiesības pirkt pakalpojumus vai nomāt par noteiktu cenu no pirmās puses un šī cena ir zemāka par pastāvošo tirgus cenu un vienība var nodot šīs tiesības citai vienībai (trešai pusei). Šādi aktīvi rodas, piemēram, gadījumos, kad par cenu, kas jāmaksā par pakalpojumu patērēšanu, ir panākta vienošanās, vai tā ir samaksāta iepriekš par vairākiem gadiem saskaņā ar līgumu un vēlāk faktiskā tirgus cena kļūst lielāka par līgumcenu. Darījums ar neražotu aktīvu (NP.2) notiek brīdī, kad otrā puse atkārtoti pārdod vai atkārtoti nodod nomas līgumu vai atļauju trešai pusei par summu, kas ir vienāda ar “turētāja gūt[o] labum[u], kas pārsniedz vērtību, kas uzkrājas atļaujas izsniedzējam” (EKS 2010 15.27. un 15.34. punkts).</w:t>
      </w:r>
    </w:p>
    <w:p w14:paraId="414414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BD4EC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Piemērs. Vienība (B vienība) iegādājas pakalpojumus uz pieciem gadiem no citas vienības (A vienība) par tirgus vērtību laikā, kad tiek noslēgts līgums. B vienība veic priekšapmaksu. B vienības kontos ieraksta regulārus maksājumus par pakalpojumiem un pozīcijā F.81 attiecībā uz priekšapmaksu ieraksta finanšu aktīvu, ko līguma darbības laikā pakāpeniski samazina. Pieņemsim, ka pēc diviem gadiem B vienība pārdod šīs tiesības uz pakalpojuma saņemšanu trešajai vienībai (C vienībai) par summu, kas ir lielāka par summu, ko tai vajadzētu maksāt pašai (atlikusī priekšapmaksas finanšu aktīva vērtība). B vienības kontos norāda saņemtu maksājumu, kas sadalīts starp summu, par kādu nopirkts AF.8 priekšapmaksas finanšu aktīvs, un neražota aktīva pārdošanu (AN.22), kas rodas B vienības kontos kā K.7 turēšanas guvumi un zaudējumi. Ja līguma sākumā bija noteikta pārvedama vērtība, tad AN.22 aktīvu sākotnēji norāda, izmantojot K.1 “Aktīvu iesaistīšana ekonomikā”, kontā “Citas aktīvu apjoma pārmaiņas” un ieraksta B vienības bilancē kā AN.22 aktīvu (“Līgumi, nomas līgumi un licences”). AN.22 neražotu nefinanšu aktīvu pārdošana ir ierakstīta kā NP.2. Pircēja (C vienības) bilancē būtu gan finanšu aktīvs, gan neražotais aktīvs, un pircējs par sākotnējo līgumcenu (atbilstoši finanšu aktīvam) ierakstītu maksājumus par pakalpojumiem, bet, pieņemot, ka tirgus vērtība nemainās, neražotā aktīva amortizāciju pakāpeniski ierakstītu C vienības kontos postenī K.2 “Neražoto aktīvu izslēgšana no ekonomikas” (skat. EKS 2010 6.07. punktu).</w:t>
      </w:r>
    </w:p>
    <w:p w14:paraId="628448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EC76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Tādējādi ir iespējams ierakstīt NP.2 veida neražoto aktīvu pārdošanu valdības kontos gadījumos, kad valdība kā nomas līguma otra puse (t. i., nomnieks) pārdod vai nodod nomas līgumu trešai pusei.</w:t>
      </w:r>
    </w:p>
    <w:p w14:paraId="1599E78A" w14:textId="77777777" w:rsidR="00443399" w:rsidRPr="00B03B51" w:rsidRDefault="00443399" w:rsidP="00443399">
      <w:pPr>
        <w:jc w:val="both"/>
        <w:rPr>
          <w:rFonts w:ascii="Times New Roman" w:eastAsia="Arial" w:hAnsi="Times New Roman" w:cs="Times New Roman"/>
          <w:noProof/>
          <w:sz w:val="24"/>
          <w:szCs w:val="15"/>
        </w:rPr>
      </w:pPr>
    </w:p>
    <w:p w14:paraId="4C54636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6.1.2.5. MAKSĀJUMI, KO VALDĪBA SAŅEM PAR ATĻAUJAS IZSNIEGŠANU DARBĪBAS VEIKŠANAI</w:t>
      </w:r>
    </w:p>
    <w:p w14:paraId="5C75A70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959E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Šajā kategorijā neietilpst maksājumi par valdībai piederoša aktīva izmantošanu – šādi aktīvi jau ir apspriesti iepriekš. Tie var būt saistīti ar maksātājam piederoša aktīva izmantošanu vai tāda aktīva izmantošanu, kas nepieder ne maksātājam, ne valdībai, vai vispār var nebūt saistīti ar aktīviem. Galvenais ir tas, ka juridiski darbības veikšanai ir nepieciešama valdības atļauja un tādēļ tas nav maksājums, kuru varētu pieprasīt citas tautsaimniecības vienības. Papildus administratīvajai kārtībai, kura ir nepieciešama atļaujas izsniegšanai un noteikumu piemērošanai, valdība var sniegt (vai nesniegt) maksātājam vai sabiedrībai pakalpojumu (atbilstības novērtējumu, kvalitātes pārbaudes u. c.). To ieraksta kā pakalpojuma pārdošanu (A gadījums) vai nodokli (B gadījums) atkarībā no apstākļiem, kas izklāstīti turpmāk un EKS 2010 4.23. punkta e) apakšpunktā un 4.79. punkta d) apakšpunktā, vai īpašos gadījumos kā nefinanšu neražota aktīva pārdošanu (C gadījums).</w:t>
      </w:r>
    </w:p>
    <w:p w14:paraId="0EDFD84B" w14:textId="77777777" w:rsidR="00443399" w:rsidRPr="00B03B51" w:rsidRDefault="00443399" w:rsidP="00443399">
      <w:pPr>
        <w:jc w:val="both"/>
        <w:rPr>
          <w:rFonts w:ascii="Times New Roman" w:eastAsia="Arial" w:hAnsi="Times New Roman" w:cs="Times New Roman"/>
          <w:noProof/>
          <w:sz w:val="24"/>
          <w:szCs w:val="19"/>
        </w:rPr>
      </w:pPr>
    </w:p>
    <w:p w14:paraId="3C795E3B"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Traktējums</w:t>
      </w:r>
    </w:p>
    <w:p w14:paraId="1720E4FD" w14:textId="77777777" w:rsidR="00443399" w:rsidRPr="00B03B51" w:rsidRDefault="00443399" w:rsidP="00443399">
      <w:pPr>
        <w:jc w:val="both"/>
        <w:rPr>
          <w:rFonts w:ascii="Times New Roman" w:eastAsia="Arial" w:hAnsi="Times New Roman" w:cs="Times New Roman"/>
          <w:b/>
          <w:bCs/>
          <w:noProof/>
          <w:sz w:val="24"/>
        </w:rPr>
      </w:pPr>
    </w:p>
    <w:p w14:paraId="63FD726F"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a) Pakalpojuma pārdošana</w:t>
      </w:r>
    </w:p>
    <w:p w14:paraId="0D1BF2D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3F751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Ieraksta kā pakalpojuma pārdošanu (P.1), ja valdība uzņemas reglamentējošu darbu, kas ir jo īpaši saistīts ar maksātāju (parasti, lai novērtētu, vai maksātājam var piešķirt pieprasīto atļauju), un tiek uzskatīts, ka maksājums vienīgi sedz summu, kas nepārsniedz veiktā darba izmaksas.</w:t>
      </w:r>
    </w:p>
    <w:p w14:paraId="117B2D6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887C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Lai novērtētu, vai izmaksas nav neproporcionālas, to aprēķinā iekļauj visas izmaksas, kas privātai sabiedrībai būtu jāņem vērā, kad tā nosaka cenu, t. i., kompensāciju darbiniekiem, starppatēriņu, pamatkapitāla patēriņu un citus ar ražošanu saistītus nodokļus (skat. EKS 2010 3.33. punktu), kas tieši saistīti ar sniegto pakalpojumu. Valdības vienība var sniegt virkni līdzīgu pakalpojumu, taču noteikt tiem atšķirīgu cenu, lai atspoguļotu atšķirīgās izmaksas; piemēram, lai ietekmētu pieprasījumu tādā veidā, kas nodrošina efektīvāku pakalpojumu sniegšanu, cena var būt augstāka noteiktā diennakts laikā, kad parasti ir lielāks pieprasījums, vai arī cena par pakalpojuma sniegšanu internetā var būt zemāka nekā personiskas pakalpojuma sniegšanas gadījumā. Ja salīdzinājumā ar pakalpojuma izmaksām tiek apzināti paredzēts pārpalikums, tad jāuzskata, ka viss maksājums ir nodoklis. Lai arī EKS 2010 ir atļauts sadalīt atsevišķus darījumus (EKS 2010 1.76.–1.77. punkts), tas šajā gadījumā nav piemērojams, jo nodokļus ieraksta kā jebkura pakalpojuma elementa bruto summu. EKS 2010 4.79. punktā izmantotais termins “.. neproporcionāls” nav konkretizēts, taču šajā gadījumā ietver situācijas, kurās vienība apzināti nosaka cenas, kas ievērojami pārsniedz izmaksas, lai valdība varētu iegūt līdzekļus, kurus tā izmantos citiem mērķiem. Maksājums tiek veikts par pakalpojumu, nevis par atļauju, un tas jāieraksta laikā, kad tiek veikts darbs, neatkarīgi no tā, uz cik ilgu laika posmu tiek izsniegta atļauja. EKS 2010 4.79. punkta d) apakšpunktā tas aprakstīts sīkāk.</w:t>
      </w:r>
    </w:p>
    <w:p w14:paraId="38244A59" w14:textId="77777777" w:rsidR="00443399" w:rsidRPr="00B03B51" w:rsidRDefault="00443399" w:rsidP="00443399">
      <w:pPr>
        <w:tabs>
          <w:tab w:val="left" w:pos="843"/>
        </w:tabs>
        <w:jc w:val="both"/>
        <w:rPr>
          <w:rFonts w:ascii="Times New Roman" w:hAnsi="Times New Roman" w:cs="Times New Roman"/>
          <w:b/>
          <w:noProof/>
          <w:sz w:val="24"/>
        </w:rPr>
      </w:pPr>
    </w:p>
    <w:p w14:paraId="63450D13"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b) Nodoklis</w:t>
      </w:r>
    </w:p>
    <w:p w14:paraId="6B137C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9A2C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Ja nav izpildīti iepriekš minētie nosacījumi par pakalpojumu, ieraksta kā nodokli. Tas ir gadījumos, kad maksas, kas iekasētas par atļaujas izsniegšanu, pārsniedz ar atļaujas izsniegšanu </w:t>
      </w:r>
      <w:r w:rsidRPr="00B03B51">
        <w:rPr>
          <w:rFonts w:ascii="Times New Roman" w:hAnsi="Times New Roman" w:cs="Times New Roman"/>
          <w:sz w:val="24"/>
        </w:rPr>
        <w:lastRenderedPageBreak/>
        <w:t>saistītā saņemtā pakalpojuma izmaksas.</w:t>
      </w:r>
    </w:p>
    <w:p w14:paraId="66B7A8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ED1836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Nodokli ieraksta pozīcijā D.29, ja to maksā sabiedrības, vai pozīcijā D.59, ja to maksā mājsaimniecības. Kapitāla nodokli (D.91) ieraksta, ja tas ir neregulāra nodeva par atļauju turēt aktīvu īpašumā vai nodeva par aktīva vērtības pieaugumu saistībā ar valdības atļaujas saņemšanu, piemēram, ēkas būvniecībai uz kāda īpaša zemesgabala (skat. EKS 2010 4.149. punkta b) apakšpunktu attiecībā uz nodevām par labiekārtošanu).</w:t>
      </w:r>
    </w:p>
    <w:p w14:paraId="36AABB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FAD4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Piemēri. Ikgadējā atļauja izmantot mehānisko transportlīdzekli neatkarīgi no tā, kur un kad tas tiek izmantots; makšķerēšanas vai medību atļauja, kas nepieciešama vienmēr, kad notiek medības vai zveja; maksa par ēku vai citu aktīvu izmantošanu, kad tie nepieder valdībai; maksa par atļauju turēt īpašumā noteikta veida aktīvus; maksa, ko piemēro attiecībā uz rūpnieciskiem ražotājiem patērētāju aizsardzības vai pētniecības finansēšanai, kad darbs tiek veikts patērētāju un/vai nozares labā, nevis tādu pakalpojumu finansēšanai, kas tiek sniegti konkrētam uzņēmumam, kurš samaksā attiecīgo nodevu (EKS 2010 15.32. punkts).</w:t>
      </w:r>
    </w:p>
    <w:p w14:paraId="07AD279E" w14:textId="77777777" w:rsidR="00443399" w:rsidRPr="00B03B51" w:rsidRDefault="00443399" w:rsidP="00443399">
      <w:pPr>
        <w:tabs>
          <w:tab w:val="left" w:pos="843"/>
        </w:tabs>
        <w:jc w:val="both"/>
        <w:rPr>
          <w:rFonts w:ascii="Times New Roman" w:hAnsi="Times New Roman" w:cs="Times New Roman"/>
          <w:b/>
          <w:noProof/>
          <w:sz w:val="24"/>
        </w:rPr>
      </w:pPr>
    </w:p>
    <w:p w14:paraId="18D58AC1"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c) Neražotu nefinanšu aktīvu pārdošana</w:t>
      </w:r>
    </w:p>
    <w:p w14:paraId="5338C3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C38B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Kad valdības ieņēmumu rada (ar valdībai piederošu aktīvu nesaistītas) darbības veikšanas atļaujas piešķiršana un šī atļauja tiek sniegta tikai vienai vienībai vai ierobežotam vienību skaitam, var rasties monopola stāvoklis vai gandrīz monopola stāvoklis atļaujas turētājam. Pārējās vienības šīs darbības veikšanai nevar saņemt valdības atļauju, un valdība nodrošina minētā ierobežojuma īstenošanu. Tas, ka pārējās vienības nevar saņemt atļaujas, var būt par pamatu tam, ka to vienību bilancē, kuras ir saņēmušas atļauju, tiek norādīts nefinanšu neražotais aktīvs. EKS 2010 15.37. punktā noteikti četri apstākļi, kas liecina par šādu aktīvu: netiek izmantots valdības aktīvs; attiecībā uz atļaujas saņemšanu nav noteikts neviens kvalifikācijas kritērijs; ierobežots atļauju skaits, kas ļauj monopolam (oligopolam) gūt peļņu, un iespēja pārdot atļauju trešai personai.</w:t>
      </w:r>
    </w:p>
    <w:p w14:paraId="3FC743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A8602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Ja netiek izmantots neviens valdības aktīvs un ja netiek izpildīti pārējie trīs nosacījumi, kas minēti iepriekš, saņemtos maksājumus ieraksta kā nodokļus (EKS 2010 15.32. punkts).</w:t>
      </w:r>
    </w:p>
    <w:p w14:paraId="620907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7C6EC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AN.223 aktīva parādīšanās pircēja bilancē jāuzskaita caur citām plūsmām (K.1). Pirms aktīva pārdošanas trešai personai summa, kas ir vienāda ar turētāja gūto labumu, kas pārsniedz vērtību, kas uzkrājas izsniedzējam, ir jāieraksta K.7 (skat. EKS 2010 6.06. punkta g) apakšpunktu un 7.57. punktu). Ja piešķirtajai atļaujai ir noteikts termiņš, aktīva turētāja bilancē būtu redzama neražotā aktīva vērtības samazināšanās, izmantojot pozīciju K.2 “Citas plūsmas” (aktīva amortizācija par summu, kas parādījusies no K.1), skat. EKS 2010 6.07. punkta b) apakšpunktu.</w:t>
      </w:r>
    </w:p>
    <w:p w14:paraId="33B3A4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CB4556" w14:textId="27F9A21D"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Ieņēmumi, kas saistīti ar valdībai nepiederoša aktīva darbības veikšanas atļaujas piešķiršanu ir, piemēram, (oglekļa) emisiju atļaujas. Šādus ieņēmumus ieraksta kā nodokļu priekšapmaksu, savukārt neražoto aktīvu atzīst (EKS 2010 15.40. punkts) par summu, kas ir vienāda ar turētāja gūto labumu, kas pārsniedz vērtību, kura uzkrājas izsniedzējam (tas ir, šajā gadījumā – atļaujas tirgus vērtību, no kuras atņemts valdībai par atļaujas iegādi sākotnēji veiktais maksājums). Skat. 6.5. nodaļu “Emisij</w:t>
      </w:r>
      <w:r w:rsidR="003942AB" w:rsidRPr="00B03B51">
        <w:rPr>
          <w:rFonts w:ascii="Times New Roman" w:hAnsi="Times New Roman" w:cs="Times New Roman"/>
          <w:sz w:val="24"/>
        </w:rPr>
        <w:t>u</w:t>
      </w:r>
      <w:r w:rsidR="00B7287B" w:rsidRPr="00B03B51">
        <w:rPr>
          <w:rFonts w:ascii="Times New Roman" w:hAnsi="Times New Roman" w:cs="Times New Roman"/>
          <w:sz w:val="24"/>
        </w:rPr>
        <w:t xml:space="preserve"> kvotu</w:t>
      </w:r>
      <w:r w:rsidRPr="00B03B51">
        <w:rPr>
          <w:rFonts w:ascii="Times New Roman" w:hAnsi="Times New Roman" w:cs="Times New Roman"/>
          <w:sz w:val="24"/>
        </w:rPr>
        <w:t xml:space="preserve"> tirdzniecība”.</w:t>
      </w:r>
    </w:p>
    <w:p w14:paraId="4A2FA5EB" w14:textId="77777777" w:rsidR="00443399" w:rsidRPr="00B03B51" w:rsidRDefault="00443399" w:rsidP="00443399">
      <w:pPr>
        <w:jc w:val="both"/>
        <w:rPr>
          <w:rFonts w:ascii="Times New Roman" w:eastAsia="Arial" w:hAnsi="Times New Roman" w:cs="Times New Roman"/>
          <w:noProof/>
          <w:sz w:val="24"/>
          <w:szCs w:val="15"/>
        </w:rPr>
      </w:pPr>
    </w:p>
    <w:p w14:paraId="20FD129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6.1.2.6. IERAKSTĪŠANAS LAIKS. ĪPAŠS GADĪJUMS – ATĻAUJAS, KAS TIEK PĀRDOTAS PIRMS TO PIEEJAMĪBAS</w:t>
      </w:r>
    </w:p>
    <w:p w14:paraId="27C026F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A3BD5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29. Dažkārt no brīža, kad atļauja/licence tiek pārdota, izdota, nodota vai kā citādi piešķirta, līdz </w:t>
      </w:r>
      <w:r w:rsidRPr="00B03B51">
        <w:rPr>
          <w:rFonts w:ascii="Times New Roman" w:hAnsi="Times New Roman" w:cs="Times New Roman"/>
          <w:sz w:val="24"/>
        </w:rPr>
        <w:lastRenderedPageBreak/>
        <w:t>brīdim, kad var notikt atļautā/licencētā darbība, proti, licencētais aktīvs ir faktiski pieejams, rodas laika nobīde. To var novērot saistībā ar mobilo telefonu licencēm, kuras dažkārt tiek piešķirtas un tādējādi saistītais aktīvs ir iespējami nododams labu laiku pirms tam, kad frekvences faktiski kļūst pieejamas izmantošanai. Šajā laikā frekvences var izmantot kāds cits atļaujas/licences turētājs vai arī tas pats turētājs, taču saskaņā ar atsevišķu licenci.</w:t>
      </w:r>
    </w:p>
    <w:p w14:paraId="51A313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1F149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Pirms izmantošanas datuma sākuma var pārdot visu veidu atļaujas/licences – pamatlīdzekļu izmantošanas atļaujas, atļaujas, lai izmantotu neražotu aktīvu, atļaujas, lai iegūtu tiesības veikt darbību (tostarp piesārņojošu darbību) vai lai iegūtu tiesības veikt darījumu saskaņā ar iepriekš noteiktu cenu.</w:t>
      </w:r>
    </w:p>
    <w:p w14:paraId="5B65E582" w14:textId="77777777" w:rsidR="00443399" w:rsidRPr="00B03B51" w:rsidRDefault="00443399" w:rsidP="00443399">
      <w:pPr>
        <w:jc w:val="both"/>
        <w:rPr>
          <w:rFonts w:ascii="Times New Roman" w:hAnsi="Times New Roman" w:cs="Times New Roman"/>
          <w:noProof/>
          <w:sz w:val="24"/>
        </w:rPr>
      </w:pPr>
    </w:p>
    <w:p w14:paraId="6F2281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Saskaņā ar uzkrāšanas principu attiecīgos ieņēmumus (renti, ražojumu vai nodokli atkarībā no tā, kā ir klasificējams aktīvs, kura izmantošanai tiek izsniegta atļauja, proti, mobilo telefonu licences gadījumā – rente) vai aktīva realizāciju (pakārtotā aktīva realizāciju, NP.1 vai P51g) var ierakstīt tikai brīdī, kad aktīvs ir izmantojams ražojošas darbības veikšanai (piemēram, mobilā telefona licenču gadījumā, kad frekvences ir pieejamas komerciālai lietošanai).</w:t>
      </w:r>
    </w:p>
    <w:p w14:paraId="19CBD3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B8BB800" w14:textId="1BDFF971"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Maksājumi, ko valdība saņem (izsoles vai licences piešķiršanas brīdī), pirms aktīvs ir pieejams izmantošanai, ir finansiāli avansi – priekš</w:t>
      </w:r>
      <w:r w:rsidR="00B7287B" w:rsidRPr="00B03B51">
        <w:rPr>
          <w:rFonts w:ascii="Times New Roman" w:hAnsi="Times New Roman" w:cs="Times New Roman"/>
          <w:sz w:val="24"/>
        </w:rPr>
        <w:t>ap</w:t>
      </w:r>
      <w:r w:rsidRPr="00B03B51">
        <w:rPr>
          <w:rFonts w:ascii="Times New Roman" w:hAnsi="Times New Roman" w:cs="Times New Roman"/>
          <w:sz w:val="24"/>
        </w:rPr>
        <w:t>maksu ieraksta kā citas kreditoru saistības (AF.8).</w:t>
      </w:r>
    </w:p>
    <w:p w14:paraId="7A1EB55C"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072070B4"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33. Ja atļauja vai licence ir nododama, pircējs savā bilancē papildus finansiālajam avansam ieraksta “līgumu, nomas līgumu un licenču” (AN.22) veida neražojošo aktīvu, kura sākotnējā vērtība ir nulle, jeb vispārīgāk – summu, kas ir vienāda ar </w:t>
      </w:r>
      <w:r w:rsidRPr="00B03B51">
        <w:rPr>
          <w:rFonts w:ascii="Times New Roman" w:hAnsi="Times New Roman" w:cs="Times New Roman"/>
          <w:i/>
          <w:iCs/>
          <w:sz w:val="24"/>
          <w:szCs w:val="19"/>
        </w:rPr>
        <w:t>labum[iem] aktīva turētājam, kas pārsniedz vērtību, kura uzkrājas izsniedzējam</w:t>
      </w:r>
      <w:r w:rsidRPr="00B03B51">
        <w:rPr>
          <w:rFonts w:ascii="Times New Roman" w:hAnsi="Times New Roman" w:cs="Times New Roman"/>
          <w:sz w:val="24"/>
          <w:szCs w:val="19"/>
        </w:rPr>
        <w:t xml:space="preserve">, saskaņā ar EKS 15.27. un 15.34. punktu (skat. arī EKS 7.57. punktu, kur noteikts, ka </w:t>
      </w:r>
      <w:r w:rsidRPr="00B03B51">
        <w:rPr>
          <w:rFonts w:ascii="Times New Roman" w:hAnsi="Times New Roman" w:cs="Times New Roman"/>
          <w:i/>
          <w:iCs/>
          <w:sz w:val="24"/>
          <w:szCs w:val="19"/>
        </w:rPr>
        <w:t>aktīva vērtība ir vienāda ar dominējošās cenas pārsniegumu pār neto faktisko līgumā noteikto cenu</w:t>
      </w:r>
      <w:r w:rsidRPr="00B03B51">
        <w:rPr>
          <w:rFonts w:ascii="Times New Roman" w:hAnsi="Times New Roman" w:cs="Times New Roman"/>
          <w:sz w:val="24"/>
          <w:szCs w:val="19"/>
        </w:rPr>
        <w:t>). Kad atļaujas/licences turētājs atkārtoti pārdod vai nodod tālāk atļauju vai licenci, tas ieraksta sava saņemamā aktīva realizāciju (F.8) par summu, kas ir uzkrājusies tā bilancē (AF.8), kā arī darījumu ar nefinanšu aktīvu (NP.2), norādot apmaiņā saņemtās atlīdzības (pirkuma cenas) patiesās vērtības starpību.</w:t>
      </w:r>
    </w:p>
    <w:p w14:paraId="02905A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6F14632" w14:textId="2377E765"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34. Ja atļaujas vai licences piešķiršana nozīmē pakārtotā aktīva </w:t>
      </w:r>
      <w:r w:rsidRPr="00B03B51">
        <w:rPr>
          <w:rFonts w:ascii="Times New Roman" w:hAnsi="Times New Roman" w:cs="Times New Roman"/>
          <w:i/>
          <w:iCs/>
          <w:sz w:val="24"/>
        </w:rPr>
        <w:t>de facto</w:t>
      </w:r>
      <w:r w:rsidRPr="00B03B51">
        <w:rPr>
          <w:rFonts w:ascii="Times New Roman" w:hAnsi="Times New Roman" w:cs="Times New Roman"/>
          <w:sz w:val="24"/>
        </w:rPr>
        <w:t xml:space="preserve"> ekonomisko realizāciju, atļauja ir nododama pirms aktīva faktiskās pieejamības izmantošanai, pircējs savā bilancē papildus finansiālajam avansam ieraksta atvasināto finanšu instrumentu (ārpusbiržas nākotnes darījums), ja tas atbilst atvasinātā finanšu instrumenta definīcijai, līdz aktīva faktiskās pieejamības brīdim. Ar šo atvasināto instrumentu ietver tirgus cenas izmaiņas, kas var rasties laikposmā no atļaujas pārdošanas līdz pakārtotā aktīva faktiskās pieejamības brīdim. Ja atļaujas pircējs atkārtoti pārdod atļauju pirms aktīva pieejamības, notiek darījums ar atvasināto instrumentu par summu, kas ir priekšapmaksas komponenta (F.8) un tālākpārdošanas darījumā saskaņotās vērtības starpība. Kad pakārtotais aktīvs kļūst pieejams, atļaujas turētājs ieraksta pakārtotā aktīva iegādi tā tirgus vērtībā (un valdības aktīva realizāciju šajā vērtībā) un atbilstošo saņemamās summas (valdības maksājamās summas) likvidāciju un darījumu ar atvasināto instrumentu par summas starpību.</w:t>
      </w:r>
    </w:p>
    <w:p w14:paraId="211EF4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B952C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Ja saskaņā ar atļauju vai licenci pakārtotais aktīvs kļūst pieejams pakāpeniski (piemēram, licence sākotnēji nodrošina tikai mazas ģeogrāfiskās teritorijas pārklājumu, bet vēlāk tā paplašinās lielākā teritorijā), ieņēmumi (piemēram, rente) jāieraksta attiecīgi pa daļām</w:t>
      </w:r>
      <w:r w:rsidRPr="00B03B51">
        <w:rPr>
          <w:rStyle w:val="FootnoteReference"/>
          <w:rFonts w:ascii="Times New Roman" w:hAnsi="Times New Roman" w:cs="Times New Roman"/>
          <w:noProof/>
          <w:sz w:val="24"/>
        </w:rPr>
        <w:footnoteReference w:id="191"/>
      </w:r>
      <w:r w:rsidRPr="00B03B51">
        <w:rPr>
          <w:rFonts w:ascii="Times New Roman" w:hAnsi="Times New Roman" w:cs="Times New Roman"/>
          <w:sz w:val="24"/>
        </w:rPr>
        <w:t>, izmantojot attiecīgos rādītājus. Mobilo telefonu gadījumā piemērots rādītājs varētu būt pārklājumā ietverto iedzīvotāju skaits vai gaidāmais/novērotais apgrozījums.</w:t>
      </w:r>
    </w:p>
    <w:p w14:paraId="64E6AD2A" w14:textId="77777777" w:rsidR="00443399" w:rsidRPr="00B03B51" w:rsidRDefault="00443399" w:rsidP="00443399">
      <w:pPr>
        <w:jc w:val="both"/>
        <w:rPr>
          <w:rFonts w:ascii="Times New Roman" w:hAnsi="Times New Roman" w:cs="Times New Roman"/>
          <w:noProof/>
          <w:sz w:val="24"/>
        </w:rPr>
      </w:pPr>
    </w:p>
    <w:p w14:paraId="008E1BC6" w14:textId="77777777" w:rsidR="00443399" w:rsidRPr="00B03B51" w:rsidRDefault="00443399" w:rsidP="00443399">
      <w:pPr>
        <w:pStyle w:val="Heading3"/>
        <w:keepNext/>
        <w:keepLines/>
        <w:tabs>
          <w:tab w:val="left" w:pos="1267"/>
        </w:tabs>
        <w:ind w:left="0" w:firstLine="0"/>
        <w:jc w:val="both"/>
        <w:rPr>
          <w:rFonts w:ascii="Times New Roman" w:hAnsi="Times New Roman" w:cs="Times New Roman"/>
          <w:noProof/>
          <w:sz w:val="24"/>
        </w:rPr>
      </w:pPr>
      <w:bookmarkStart w:id="481" w:name="_Toc67565175"/>
      <w:r w:rsidRPr="00B03B51">
        <w:rPr>
          <w:rFonts w:ascii="Times New Roman" w:hAnsi="Times New Roman" w:cs="Times New Roman"/>
          <w:sz w:val="24"/>
        </w:rPr>
        <w:t>6.1.3. Vispārējā traktējuma pamatojums</w:t>
      </w:r>
      <w:bookmarkEnd w:id="481"/>
    </w:p>
    <w:p w14:paraId="66CC238A" w14:textId="77777777" w:rsidR="00443399" w:rsidRPr="00BE27DC" w:rsidRDefault="00443399" w:rsidP="00BE27DC">
      <w:pPr>
        <w:rPr>
          <w:rFonts w:ascii="Times New Roman" w:hAnsi="Times New Roman" w:cs="Times New Roman"/>
          <w:noProof/>
          <w:sz w:val="24"/>
          <w:szCs w:val="24"/>
        </w:rPr>
      </w:pPr>
    </w:p>
    <w:p w14:paraId="407C5035" w14:textId="77777777" w:rsidR="00443399" w:rsidRPr="00B03B51" w:rsidRDefault="00443399" w:rsidP="00443399">
      <w:pPr>
        <w:pStyle w:val="Heading6"/>
        <w:keepNext/>
        <w:keepLines/>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6.1.3.1. MAKSĀJUMI, KO VALDĪBA SAŅEM NO PREČU UN PAKALPOJUMU PĀRDOŠANAS (KO VAR NODROŠINĀT CITAS VIENĪBAS)</w:t>
      </w:r>
    </w:p>
    <w:p w14:paraId="7C1DD5D8" w14:textId="77777777" w:rsidR="00443399" w:rsidRPr="00B03B51" w:rsidRDefault="00443399" w:rsidP="00443399">
      <w:pPr>
        <w:pStyle w:val="BodyText"/>
        <w:keepNext/>
        <w:keepLines/>
        <w:tabs>
          <w:tab w:val="left" w:pos="843"/>
        </w:tabs>
        <w:spacing w:before="0"/>
        <w:ind w:left="0" w:firstLine="0"/>
        <w:jc w:val="both"/>
        <w:rPr>
          <w:rFonts w:ascii="Times New Roman" w:hAnsi="Times New Roman" w:cs="Times New Roman"/>
          <w:noProof/>
          <w:sz w:val="24"/>
        </w:rPr>
      </w:pPr>
    </w:p>
    <w:p w14:paraId="1FA1C272" w14:textId="77777777" w:rsidR="00443399" w:rsidRPr="00B03B51" w:rsidRDefault="00443399" w:rsidP="00443399">
      <w:pPr>
        <w:pStyle w:val="BodyText"/>
        <w:keepNext/>
        <w:keepLines/>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Tiklīdz tiek noteikts, ka saskaņā ar traktējumu ir jāieraksta valdības produkcija (P.1), ir grūti nošķirt tirgus produkciju (P.11) no maksājumiem par ārpustirgus produkciju (P.131). Šī atšķirība ir saistīta ar ekonomiski nozīmīgas cenas jēdzienu (skat. EKS 2010 20.19.–20.34. punktu un šīs rokasgrāmatas 1. daļu “Vispārējās valdības sektora norobežošana”).</w:t>
      </w:r>
    </w:p>
    <w:p w14:paraId="1BAD5660" w14:textId="77777777" w:rsidR="00443399" w:rsidRPr="00B03B51" w:rsidRDefault="00443399" w:rsidP="00443399">
      <w:pPr>
        <w:jc w:val="both"/>
        <w:rPr>
          <w:rFonts w:ascii="Times New Roman" w:eastAsia="Arial" w:hAnsi="Times New Roman" w:cs="Times New Roman"/>
          <w:noProof/>
          <w:sz w:val="24"/>
          <w:szCs w:val="15"/>
        </w:rPr>
      </w:pPr>
    </w:p>
    <w:p w14:paraId="63D754E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6.1.3.2. VALDĪBAS IEŅĒMUMI PAR RAŽOTA AKTĪVA IZMANTOŠANU</w:t>
      </w:r>
    </w:p>
    <w:p w14:paraId="56DFF17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3F1EC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Galvenā atšķirība, kas ir jāievēro, attiecas uz operatīvo nomu (produkcija, P.11) un finanšu nomu (aktīva pārdošana, P.51). Saskaņā ar EKS 2010 15. nodaļu “Līgumi, nomas līgumi un licences” jāņem vērā sekojošais.</w:t>
      </w:r>
    </w:p>
    <w:p w14:paraId="588C62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B645C3"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a) Aktīva vai ilglietojuma preces operatīvā noma:</w:t>
      </w:r>
    </w:p>
    <w:p w14:paraId="179EF8AC"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48B6A61E" w14:textId="77777777" w:rsidR="00443399" w:rsidRPr="00B03B51" w:rsidRDefault="00443399" w:rsidP="007B5E80">
      <w:pPr>
        <w:pStyle w:val="BodyText"/>
        <w:numPr>
          <w:ilvl w:val="2"/>
          <w:numId w:val="5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attiecas uz konkrētu laika posmu, kas var būt ilgs vai īss un var nebūt iepriekš noteikts;</w:t>
      </w:r>
    </w:p>
    <w:p w14:paraId="220F9941" w14:textId="77777777" w:rsidR="00443399" w:rsidRPr="00B03B51" w:rsidRDefault="00443399" w:rsidP="007B5E80">
      <w:pPr>
        <w:pStyle w:val="BodyText"/>
        <w:numPr>
          <w:ilvl w:val="2"/>
          <w:numId w:val="5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neparedz ekonomisko īpašumtiesību nodošanu, juridiskie īpašnieki saglabā visus riskus un priekšrocības un viena no pazīmēm ir tā, ka juridiskie īpašnieki sniedz remonta un uzturēšanas pakalpojumus.</w:t>
      </w:r>
    </w:p>
    <w:p w14:paraId="4B77099C" w14:textId="77777777" w:rsidR="00443399" w:rsidRPr="00B03B51" w:rsidRDefault="00443399" w:rsidP="00443399">
      <w:pPr>
        <w:jc w:val="both"/>
        <w:rPr>
          <w:rFonts w:ascii="Times New Roman" w:eastAsia="Arial" w:hAnsi="Times New Roman" w:cs="Times New Roman"/>
          <w:noProof/>
          <w:sz w:val="24"/>
          <w:szCs w:val="14"/>
        </w:rPr>
      </w:pPr>
    </w:p>
    <w:p w14:paraId="30B88BF3"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b) Finanšu noma:</w:t>
      </w:r>
    </w:p>
    <w:p w14:paraId="32DDC0CB"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003A0B95" w14:textId="77777777" w:rsidR="00443399" w:rsidRPr="00B03B51" w:rsidRDefault="00443399" w:rsidP="007B5E80">
      <w:pPr>
        <w:pStyle w:val="BodyText"/>
        <w:numPr>
          <w:ilvl w:val="2"/>
          <w:numId w:val="5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attiecas uz iepriekš noteiktu un paildzinātu laika posmu, kas parasti atbilst visam aktīva ekonomiskajam mūžam vai tā lielākajai daļai</w:t>
      </w:r>
      <w:r w:rsidRPr="00B03B51">
        <w:rPr>
          <w:rStyle w:val="FootnoteReference"/>
          <w:rFonts w:ascii="Times New Roman" w:hAnsi="Times New Roman" w:cs="Times New Roman"/>
          <w:noProof/>
          <w:sz w:val="24"/>
        </w:rPr>
        <w:footnoteReference w:id="192"/>
      </w:r>
      <w:r w:rsidRPr="00B03B51">
        <w:rPr>
          <w:rFonts w:ascii="Times New Roman" w:hAnsi="Times New Roman" w:cs="Times New Roman"/>
          <w:sz w:val="24"/>
        </w:rPr>
        <w:t>;</w:t>
      </w:r>
    </w:p>
    <w:p w14:paraId="4DDB12D1" w14:textId="77777777" w:rsidR="00443399" w:rsidRPr="00B03B51" w:rsidRDefault="00443399" w:rsidP="007B5E80">
      <w:pPr>
        <w:pStyle w:val="BodyText"/>
        <w:numPr>
          <w:ilvl w:val="2"/>
          <w:numId w:val="54"/>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ar aktīva izmantošanu saistītos riskus un priekšrocības iznomātājs nodod nomniekam, un viena no pazīmēm ir tā, ka remontu un tehnisko apkopi nodrošina nomnieks.</w:t>
      </w:r>
    </w:p>
    <w:p w14:paraId="686DC4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627A6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38. Finanšu nomas gadījumā ir nodotas preces ekonomiskās īpašumtiesības. Iznomātājam ir tikai finansiāla nozīme. Nacionālajos kontos ir atzīta ekonomiskā realitāte, kura ir finanšu nomas pamatā, ņemot vērā to, ka iznomātājs nomniekam piešķir aizdevumu, kas dod viņam iespēju iegādāties aktīvu, par kura </w:t>
      </w:r>
      <w:r w:rsidRPr="00B03B51">
        <w:rPr>
          <w:rFonts w:ascii="Times New Roman" w:hAnsi="Times New Roman" w:cs="Times New Roman"/>
          <w:i/>
          <w:iCs/>
          <w:sz w:val="24"/>
        </w:rPr>
        <w:t>de facto</w:t>
      </w:r>
      <w:r w:rsidRPr="00B03B51">
        <w:rPr>
          <w:rFonts w:ascii="Times New Roman" w:hAnsi="Times New Roman" w:cs="Times New Roman"/>
          <w:sz w:val="24"/>
        </w:rPr>
        <w:t xml:space="preserve"> īpašnieku kļūst nomnieks.</w:t>
      </w:r>
    </w:p>
    <w:p w14:paraId="4A1D6C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E59C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Īpašajā koncesijas gadījumā saskaņā ar publisko tiesību normām attiecībā uz sabiedriskās infrastruktūras finansēšanu un izmantošanu, kā arī PPP, skat. turpmāk attiecīgi 6.3. un 6.4. nodaļu.</w:t>
      </w:r>
    </w:p>
    <w:p w14:paraId="34ADA72F" w14:textId="77777777" w:rsidR="00443399" w:rsidRPr="00B03B51" w:rsidRDefault="00443399" w:rsidP="00443399">
      <w:pPr>
        <w:jc w:val="both"/>
        <w:rPr>
          <w:rFonts w:ascii="Times New Roman" w:eastAsia="Arial" w:hAnsi="Times New Roman" w:cs="Times New Roman"/>
          <w:noProof/>
          <w:sz w:val="24"/>
          <w:szCs w:val="15"/>
        </w:rPr>
      </w:pPr>
    </w:p>
    <w:p w14:paraId="04F37D6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6.1.3.3. MAKSĀJUMI, KO VALDĪBA SAŅEM PAR NERAŽOTA AKTĪVA IZMANTOŠANU</w:t>
      </w:r>
    </w:p>
    <w:p w14:paraId="0C1ED5A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5F6229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40. Parastais gadījums, kad tiek izmantots (vai ekspluatēts) neražotais aktīvs (tādi dabas resursi kā zeme, pazemes aktīvi vai citi dabas resursi – EKS 2010 4.72.–4.76. punkts) ierobežotu laika posmu (D.45 rente), jānošķir no pieejamības izmantošanai līdz aktīva ekonomiskās vērtības izsmelšanai (aktīva pārdošanai).</w:t>
      </w:r>
    </w:p>
    <w:p w14:paraId="1E9A7917" w14:textId="77777777" w:rsidR="00443399" w:rsidRPr="00B03B51" w:rsidRDefault="00443399" w:rsidP="00443399">
      <w:pPr>
        <w:jc w:val="both"/>
        <w:rPr>
          <w:rFonts w:ascii="Times New Roman" w:eastAsia="Arial" w:hAnsi="Times New Roman" w:cs="Times New Roman"/>
          <w:noProof/>
          <w:sz w:val="24"/>
          <w:szCs w:val="15"/>
        </w:rPr>
      </w:pPr>
    </w:p>
    <w:p w14:paraId="27242699" w14:textId="77777777" w:rsidR="00443399" w:rsidRPr="00B03B51" w:rsidRDefault="00443399" w:rsidP="00443399">
      <w:pPr>
        <w:pStyle w:val="Heading6"/>
        <w:keepNext/>
        <w:keepLines/>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6.1.3.4. MAKSĀJUMI, KO VALDĪBA SAŅEM PAR ATĻAUJĀM, KAS PIEŠĶIRTAS KĀDAS DARBĪBAS VEIKŠANAI</w:t>
      </w:r>
    </w:p>
    <w:p w14:paraId="30E97ABF" w14:textId="77777777" w:rsidR="00443399" w:rsidRPr="00B03B51" w:rsidRDefault="00443399" w:rsidP="00443399">
      <w:pPr>
        <w:pStyle w:val="BodyText"/>
        <w:keepNext/>
        <w:keepLines/>
        <w:spacing w:before="0"/>
        <w:ind w:left="0" w:firstLine="0"/>
        <w:jc w:val="both"/>
        <w:rPr>
          <w:rFonts w:ascii="Times New Roman" w:hAnsi="Times New Roman" w:cs="Times New Roman"/>
          <w:noProof/>
          <w:sz w:val="24"/>
        </w:rPr>
      </w:pPr>
    </w:p>
    <w:p w14:paraId="0816CFF3" w14:textId="77777777" w:rsidR="00443399" w:rsidRPr="00B03B51" w:rsidRDefault="00443399" w:rsidP="00443399">
      <w:pPr>
        <w:pStyle w:val="BodyText"/>
        <w:keepNext/>
        <w:keepLine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Nošķir nodokļa ierakstīšanu no pakalpojumu pārdošanas ierakstīšanas (produkcija, P.1).</w:t>
      </w:r>
    </w:p>
    <w:p w14:paraId="6E345998" w14:textId="77777777" w:rsidR="00443399" w:rsidRPr="00B03B51" w:rsidRDefault="00443399" w:rsidP="00443399">
      <w:pPr>
        <w:jc w:val="both"/>
        <w:rPr>
          <w:rFonts w:ascii="Times New Roman" w:eastAsia="Arial" w:hAnsi="Times New Roman" w:cs="Times New Roman"/>
          <w:noProof/>
          <w:sz w:val="24"/>
          <w:szCs w:val="20"/>
        </w:rPr>
      </w:pPr>
    </w:p>
    <w:p w14:paraId="695DFE86"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Atšķirība starp nodokļiem un pakalpojumu pārdošanu</w:t>
      </w:r>
    </w:p>
    <w:p w14:paraId="55FA4082" w14:textId="77777777" w:rsidR="00443399" w:rsidRPr="00B03B51" w:rsidRDefault="00443399" w:rsidP="00443399">
      <w:pPr>
        <w:jc w:val="both"/>
        <w:rPr>
          <w:rFonts w:ascii="Times New Roman" w:eastAsia="Arial" w:hAnsi="Times New Roman" w:cs="Times New Roman"/>
          <w:b/>
          <w:bCs/>
          <w:noProof/>
          <w:sz w:val="24"/>
        </w:rPr>
      </w:pPr>
    </w:p>
    <w:p w14:paraId="7C898F4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EKS 2010 4.79. punkta d) apakšpunktā norādīts kritērijs, ko izmanto, lai nošķirtu nodokļus no pakalpojumu pārdošanas:</w:t>
      </w:r>
    </w:p>
    <w:p w14:paraId="444B28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694AB8" w14:textId="77777777" w:rsidR="00443399" w:rsidRPr="00B03B51" w:rsidRDefault="00443399" w:rsidP="00443399">
      <w:pPr>
        <w:ind w:left="284"/>
        <w:jc w:val="both"/>
        <w:rPr>
          <w:rFonts w:ascii="Times New Roman" w:eastAsia="Arial" w:hAnsi="Times New Roman" w:cs="Times New Roman"/>
          <w:noProof/>
          <w:sz w:val="24"/>
          <w:szCs w:val="19"/>
        </w:rPr>
      </w:pPr>
      <w:r w:rsidRPr="00B03B51">
        <w:rPr>
          <w:rFonts w:ascii="Times New Roman" w:hAnsi="Times New Roman" w:cs="Times New Roman"/>
          <w:i/>
          <w:sz w:val="24"/>
        </w:rPr>
        <w:t xml:space="preserve">Iedalījumu nodokļos un pakalpojumu pirkšanā no valdības nosaka pēc tādiem pašiem kritērijiem kā uzņēmumu veikto maksājumu gadījumos, proti, ja licenču izsniegšana ir saistīta ar nelielu valdības iesaistīšanos vai valdība vispār netiek iesaistīta un licences tiek piešķirtas automātiski, samaksājot noteikto summu, iespējams, ka tās ir tikai līdzeklis ieņēmumu piesaistīšanai, pat ja valdība apmaiņā var izdot kādu apliecību vai atļauju, un šādos gadījumos maksājumu uzskata par nodokļiem. </w:t>
      </w:r>
      <w:r w:rsidRPr="00B03B51">
        <w:rPr>
          <w:rFonts w:ascii="Times New Roman" w:hAnsi="Times New Roman" w:cs="Times New Roman"/>
          <w:i/>
          <w:iCs/>
          <w:sz w:val="24"/>
        </w:rPr>
        <w:t>Tomēr, ja valdība licenču izsniegšanu izmanto, lai organizētu kādu reglamentējošu funkciju (piemēram, pārbaudītu attiecīgo darba ņēmēju kompetenci vai kvalifikāciju), veikto maksājumu uzskata par pakalpojumu pirkšanu no valdības, nevis nodokļu maksājumu, ja vien maksājumi nav nepārprotami neproporcionāli attiecībā pret izmaksām saistībā ar šādu pakalpojumu sniegšanu</w:t>
      </w:r>
      <w:r w:rsidRPr="00B03B51">
        <w:rPr>
          <w:rFonts w:ascii="Times New Roman" w:hAnsi="Times New Roman" w:cs="Times New Roman"/>
          <w:sz w:val="24"/>
        </w:rPr>
        <w:t>.</w:t>
      </w:r>
    </w:p>
    <w:p w14:paraId="6C642D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A267B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Ekonomikā valdība rīkojas divējādi.</w:t>
      </w:r>
    </w:p>
    <w:p w14:paraId="114BA23A" w14:textId="77777777" w:rsidR="00443399" w:rsidRPr="00B03B51" w:rsidRDefault="00443399" w:rsidP="00443399">
      <w:pPr>
        <w:jc w:val="both"/>
        <w:rPr>
          <w:rFonts w:ascii="Times New Roman" w:eastAsia="Arial" w:hAnsi="Times New Roman" w:cs="Times New Roman"/>
          <w:noProof/>
          <w:sz w:val="24"/>
          <w:szCs w:val="20"/>
        </w:rPr>
      </w:pPr>
    </w:p>
    <w:p w14:paraId="1D9B524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Civilās komerctiesības</w:t>
      </w:r>
    </w:p>
    <w:p w14:paraId="6AAF5084" w14:textId="77777777" w:rsidR="00443399" w:rsidRPr="00B03B51" w:rsidRDefault="00443399" w:rsidP="00443399">
      <w:pPr>
        <w:jc w:val="both"/>
        <w:rPr>
          <w:rFonts w:ascii="Times New Roman" w:eastAsia="Arial" w:hAnsi="Times New Roman" w:cs="Times New Roman"/>
          <w:b/>
          <w:bCs/>
          <w:noProof/>
          <w:sz w:val="24"/>
        </w:rPr>
      </w:pPr>
    </w:p>
    <w:p w14:paraId="62B0CE0A" w14:textId="77777777" w:rsidR="00443399" w:rsidRPr="00B03B51" w:rsidRDefault="00443399" w:rsidP="007B5E80">
      <w:pPr>
        <w:pStyle w:val="BodyText"/>
        <w:numPr>
          <w:ilvl w:val="1"/>
          <w:numId w:val="5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Saskaņā ar civilajām komerctiesībām valdība uzņemas saimnieciskus darījumus, ko var veikt arī citas vienības. Piemēram, tā nodarbina darbiniekus, patērē preces un pakalpojumus, nomā zemi, tai pieder ieguldījumi pamatkapitālā, tā pārdod pakalpojumu produkciju, izmantojot aktīvus u. c. Valdības darījumiem saskaņā ar civiltiesībām piemēro EKS 2010 3. nodaļu, lai klasificētu valdības ražošanas darbību, savukārt 4. nodaļa attiecas uz kompensāciju darbiniekiem un īpašuma ienākuma klasifikāciju.</w:t>
      </w:r>
    </w:p>
    <w:p w14:paraId="33DD39AA" w14:textId="77777777" w:rsidR="00443399" w:rsidRPr="00B03B51" w:rsidRDefault="00443399" w:rsidP="007B5E80">
      <w:pPr>
        <w:pStyle w:val="BodyText"/>
        <w:numPr>
          <w:ilvl w:val="1"/>
          <w:numId w:val="5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EKS 2010 3.39. punktā paskaidrots, ka valdības ieņēmumus, kas gūti, pārdodot preces un pakalpojumus, klasificē kā tirgus produkciju vai kā maksājumus par ārpustirgus produkciju. Saskaņā ar EKS 2010 3.26. punktu ārpustirgus institucionālajai vienībai var būt tirgus produkcija, taču lielākā daļa no šīs produkcijas ir sniegta par brīvu vai par ekonomiski nenozīmīgām cenām. EKS 2010 4.73. punktā paskaidrots, ka maksājumus par ražotiem pamatlīdzekļiem, kuri novietoti uz zemes, traktē kā pakalpojumu pārdošanu, nevis kā renti, kā arī tas, kā jārīkojas gadījumā, kad maksājumi tiek veikti gan par zemi, gan par ēkām, un tos nav iespējams savstarpēji nodalīt. EKS 2010 6. un 15. nodaļā noteikts, kad jāieraksta darījumi līgumos, nomas līgumos un licencēs.</w:t>
      </w:r>
    </w:p>
    <w:p w14:paraId="48F9F50A" w14:textId="77777777" w:rsidR="00443399" w:rsidRPr="00B03B51" w:rsidRDefault="00443399" w:rsidP="00443399">
      <w:pPr>
        <w:jc w:val="both"/>
        <w:rPr>
          <w:rFonts w:ascii="Times New Roman" w:eastAsia="Arial" w:hAnsi="Times New Roman" w:cs="Times New Roman"/>
          <w:noProof/>
          <w:sz w:val="24"/>
          <w:szCs w:val="14"/>
        </w:rPr>
      </w:pPr>
    </w:p>
    <w:p w14:paraId="383A6902"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Publiskās tiesības</w:t>
      </w:r>
    </w:p>
    <w:p w14:paraId="33DB4C8A" w14:textId="77777777" w:rsidR="00443399" w:rsidRPr="00B03B51" w:rsidRDefault="00443399" w:rsidP="00443399">
      <w:pPr>
        <w:jc w:val="both"/>
        <w:rPr>
          <w:rFonts w:ascii="Times New Roman" w:eastAsia="Arial" w:hAnsi="Times New Roman" w:cs="Times New Roman"/>
          <w:b/>
          <w:bCs/>
          <w:noProof/>
          <w:sz w:val="24"/>
        </w:rPr>
      </w:pPr>
    </w:p>
    <w:p w14:paraId="7F1429AA" w14:textId="0508499C" w:rsidR="00443399" w:rsidRPr="00B03B51" w:rsidRDefault="00443399" w:rsidP="007B5E80">
      <w:pPr>
        <w:pStyle w:val="BodyText"/>
        <w:numPr>
          <w:ilvl w:val="1"/>
          <w:numId w:val="5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Saskaņā ar publiskajām tiesībām valdība uzņemas pēc būtības unikālus ekonomiskos darījumus. Piemēram, saistībā ar valdības ieņēmumiem valdība var palielināt nodokļus, īstenot sociālā </w:t>
      </w:r>
      <w:r w:rsidR="00A3593E" w:rsidRPr="00B03B51">
        <w:rPr>
          <w:rFonts w:ascii="Times New Roman" w:hAnsi="Times New Roman" w:cs="Times New Roman"/>
          <w:sz w:val="24"/>
        </w:rPr>
        <w:t>no</w:t>
      </w:r>
      <w:r w:rsidRPr="00B03B51">
        <w:rPr>
          <w:rFonts w:ascii="Times New Roman" w:hAnsi="Times New Roman" w:cs="Times New Roman"/>
          <w:sz w:val="24"/>
        </w:rPr>
        <w:t>droš</w:t>
      </w:r>
      <w:r w:rsidR="00A3593E" w:rsidRPr="00B03B51">
        <w:rPr>
          <w:rFonts w:ascii="Times New Roman" w:hAnsi="Times New Roman" w:cs="Times New Roman"/>
          <w:sz w:val="24"/>
        </w:rPr>
        <w:t>inājuma</w:t>
      </w:r>
      <w:r w:rsidRPr="00B03B51">
        <w:rPr>
          <w:rFonts w:ascii="Times New Roman" w:hAnsi="Times New Roman" w:cs="Times New Roman"/>
          <w:sz w:val="24"/>
        </w:rPr>
        <w:t xml:space="preserve"> shēmas, piešķirt atļaujas/licences, kā arī piemērot naudas sodus.</w:t>
      </w:r>
    </w:p>
    <w:p w14:paraId="438F4F4D" w14:textId="665875DD" w:rsidR="00443399" w:rsidRPr="00B03B51" w:rsidRDefault="00443399" w:rsidP="007B5E80">
      <w:pPr>
        <w:pStyle w:val="BodyText"/>
        <w:numPr>
          <w:ilvl w:val="1"/>
          <w:numId w:val="5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Uz šo gadījumu attiecas EKS10 4. nodaļas “Sadales darījumi” iedaļa par nodokļiem un sociālā nodrošinā</w:t>
      </w:r>
      <w:r w:rsidR="00A3593E" w:rsidRPr="00B03B51">
        <w:rPr>
          <w:rFonts w:ascii="Times New Roman" w:hAnsi="Times New Roman" w:cs="Times New Roman"/>
          <w:sz w:val="24"/>
        </w:rPr>
        <w:t>juma</w:t>
      </w:r>
      <w:r w:rsidRPr="00B03B51">
        <w:rPr>
          <w:rFonts w:ascii="Times New Roman" w:hAnsi="Times New Roman" w:cs="Times New Roman"/>
          <w:sz w:val="24"/>
        </w:rPr>
        <w:t xml:space="preserve"> iemaksām. EKS 2010 4.23. punkta e) apakšpunktā un 4.79. punkta d) apakšpunktā ir skaidrotas atšķirības starp pakalpojumu pārdošanu un nodokļiem.</w:t>
      </w:r>
    </w:p>
    <w:p w14:paraId="6BE21037" w14:textId="77777777" w:rsidR="00443399" w:rsidRPr="00B03B51" w:rsidRDefault="00443399" w:rsidP="007B5E80">
      <w:pPr>
        <w:pStyle w:val="BodyText"/>
        <w:numPr>
          <w:ilvl w:val="1"/>
          <w:numId w:val="5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EKS 2010 4.79. punkta d) apakšpunkts attiecas uz mājsaimniecību maksājumiem par </w:t>
      </w:r>
      <w:r w:rsidRPr="00B03B51">
        <w:rPr>
          <w:rFonts w:ascii="Times New Roman" w:hAnsi="Times New Roman" w:cs="Times New Roman"/>
          <w:sz w:val="24"/>
        </w:rPr>
        <w:lastRenderedPageBreak/>
        <w:t>maksātājam piederošu vai maksātājam iznomātu aktīvu (transportlīdzekļu, laivu un gaisa kuģu) izmantošanu. Tas neattiecas uz maksājumiem par valdības īpašumā esošu aktīvu izmantošanu – to uzskata par produkciju (pakalpojuma pārdošana) vai renti, nevis nodokli.</w:t>
      </w:r>
    </w:p>
    <w:p w14:paraId="5A95069D" w14:textId="77777777" w:rsidR="00443399" w:rsidRPr="00B03B51" w:rsidRDefault="00443399" w:rsidP="00443399">
      <w:pPr>
        <w:jc w:val="both"/>
        <w:rPr>
          <w:rFonts w:ascii="Times New Roman" w:eastAsia="Arial" w:hAnsi="Times New Roman" w:cs="Times New Roman"/>
          <w:noProof/>
          <w:sz w:val="24"/>
          <w:szCs w:val="2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3399" w:rsidRPr="00B03B51" w14:paraId="2B8047E9" w14:textId="77777777" w:rsidTr="0054365B">
        <w:tc>
          <w:tcPr>
            <w:tcW w:w="9281" w:type="dxa"/>
          </w:tcPr>
          <w:p w14:paraId="222B9FF6" w14:textId="77777777" w:rsidR="00443399" w:rsidRPr="00B03B51" w:rsidRDefault="00443399" w:rsidP="0054365B">
            <w:pPr>
              <w:pStyle w:val="Heading3"/>
              <w:ind w:left="0" w:firstLine="0"/>
              <w:jc w:val="both"/>
              <w:outlineLvl w:val="2"/>
              <w:rPr>
                <w:rFonts w:ascii="Times New Roman" w:hAnsi="Times New Roman" w:cs="Times New Roman"/>
                <w:noProof/>
                <w:sz w:val="24"/>
              </w:rPr>
            </w:pPr>
            <w:bookmarkStart w:id="482" w:name="_Toc67565176"/>
            <w:r w:rsidRPr="00B03B51">
              <w:rPr>
                <w:rFonts w:ascii="Times New Roman" w:hAnsi="Times New Roman" w:cs="Times New Roman"/>
                <w:sz w:val="24"/>
              </w:rPr>
              <w:t>1. ierāmējums. Mobilo telefonu licenču piešķiršana</w:t>
            </w:r>
            <w:bookmarkEnd w:id="482"/>
          </w:p>
          <w:p w14:paraId="7EA45B8F" w14:textId="77777777" w:rsidR="00443399" w:rsidRPr="00B03B51" w:rsidRDefault="00443399" w:rsidP="0054365B">
            <w:pPr>
              <w:pStyle w:val="BodyText"/>
              <w:tabs>
                <w:tab w:val="left" w:pos="801"/>
              </w:tabs>
              <w:spacing w:before="0"/>
              <w:ind w:left="0" w:firstLine="0"/>
              <w:jc w:val="both"/>
              <w:rPr>
                <w:rFonts w:ascii="Times New Roman" w:hAnsi="Times New Roman" w:cs="Times New Roman"/>
                <w:noProof/>
                <w:sz w:val="24"/>
              </w:rPr>
            </w:pPr>
          </w:p>
          <w:p w14:paraId="025969D3" w14:textId="77777777" w:rsidR="00443399" w:rsidRPr="00B03B51" w:rsidRDefault="00443399" w:rsidP="0054365B">
            <w:pPr>
              <w:pStyle w:val="BodyText"/>
              <w:tabs>
                <w:tab w:val="left" w:pos="80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Lielākajā daļā ES dalībvalstu mobilo telefonu licences (parasti UMTS (Universālā mobilo telesakaru sistēma), “3G” un nesen arī “4G” licences) ir piešķirtas operatoriem no 1999. gada atbilstīgi dažādām metodēm, kas tiek īstenotas konkrētajā valstī, tostarp bez maksas.</w:t>
            </w:r>
          </w:p>
          <w:p w14:paraId="3B3D7448" w14:textId="77777777" w:rsidR="00443399" w:rsidRPr="00B03B51" w:rsidRDefault="00443399" w:rsidP="0054365B">
            <w:pPr>
              <w:pStyle w:val="BodyText"/>
              <w:tabs>
                <w:tab w:val="left" w:pos="775"/>
              </w:tabs>
              <w:spacing w:before="0"/>
              <w:ind w:left="0" w:firstLine="0"/>
              <w:jc w:val="both"/>
              <w:rPr>
                <w:rFonts w:ascii="Times New Roman" w:hAnsi="Times New Roman" w:cs="Times New Roman"/>
                <w:noProof/>
                <w:sz w:val="24"/>
              </w:rPr>
            </w:pPr>
          </w:p>
          <w:p w14:paraId="3FA2C394" w14:textId="77777777" w:rsidR="00443399" w:rsidRPr="00B03B51" w:rsidRDefault="00443399" w:rsidP="0054365B">
            <w:pPr>
              <w:pStyle w:val="BodyText"/>
              <w:tabs>
                <w:tab w:val="left" w:pos="775"/>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Sākotnēji saskaņā ar EKS 1995 interpretāciju maksājumi valdībai bija jāieraksta kā rente (D.45), ja saskaņā ar vienošanos līgums tika piemērots uz pieciem gadiem vai īsāku laika posmu vai ja līgumā netika norādīta kopējā realizācijas cena, atkarībā no sabiedrības saimnieciskās darbības rezultātiem vismaz attiecībā uz lielu daļu no kopējiem ieņēmumiem līguma darbības laikā. Tika pieņemts, ka elektromagnētiskais spektrs (radioviļņi) atbilst aktīva definīcijai nacionālajos kontos.</w:t>
            </w:r>
          </w:p>
          <w:p w14:paraId="6235D1F1" w14:textId="77777777" w:rsidR="00443399" w:rsidRPr="00B03B51" w:rsidRDefault="00443399" w:rsidP="0054365B">
            <w:pPr>
              <w:pStyle w:val="BodyText"/>
              <w:tabs>
                <w:tab w:val="left" w:pos="773"/>
              </w:tabs>
              <w:spacing w:before="0"/>
              <w:ind w:left="0" w:firstLine="0"/>
              <w:jc w:val="both"/>
              <w:rPr>
                <w:rFonts w:ascii="Times New Roman" w:hAnsi="Times New Roman" w:cs="Times New Roman"/>
                <w:noProof/>
                <w:sz w:val="24"/>
              </w:rPr>
            </w:pPr>
          </w:p>
          <w:p w14:paraId="45C3E7D6" w14:textId="77777777" w:rsidR="00443399" w:rsidRPr="00B03B51" w:rsidRDefault="00443399" w:rsidP="0054365B">
            <w:pPr>
              <w:pStyle w:val="BodyText"/>
              <w:tabs>
                <w:tab w:val="left" w:pos="77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EKS 2010 radiospektrs ir skaidri noteikts kā dabas resurss (AN.2151). Tajā nav konkrēti pieminētas UMTS vai mobilo telefonu licences, taču 15. nodaļā (EKS 2010 15.23.–15.30. punktā) ir apspriesta dabas resursu noma, tostarp sniegta atsauce uz radiofrekvenču spektra nomu. Norādīts, ka gadījumā, ja valdība izdod atļauju, kas tās turētājam piešķir ilgstošu kontroli pār dabas resursiem kopā ar saistītajiem riskiem un priekšrocībām, licences/atļaujas turētāja kontos var ierakstīt jaunu aktīvu (AN.22 “atļaujas lietot dabas resursus”), ja vien “risku un atlīdzības pārņemšanas rezultāts ir pārvedama atļauja ar realizējamu vērtību” (EKS 2010 15.28. punkts).</w:t>
            </w:r>
          </w:p>
          <w:p w14:paraId="07A1DC0E" w14:textId="77777777" w:rsidR="00443399" w:rsidRPr="00B03B51" w:rsidRDefault="00443399" w:rsidP="0054365B">
            <w:pPr>
              <w:pStyle w:val="BodyText"/>
              <w:tabs>
                <w:tab w:val="left" w:pos="775"/>
              </w:tabs>
              <w:spacing w:before="0"/>
              <w:ind w:left="0" w:firstLine="0"/>
              <w:jc w:val="both"/>
              <w:rPr>
                <w:rFonts w:ascii="Times New Roman" w:hAnsi="Times New Roman" w:cs="Times New Roman"/>
                <w:noProof/>
                <w:sz w:val="24"/>
              </w:rPr>
            </w:pPr>
          </w:p>
          <w:p w14:paraId="6783BA5C" w14:textId="77777777" w:rsidR="00443399" w:rsidRPr="00B03B51" w:rsidRDefault="00443399" w:rsidP="0054365B">
            <w:pPr>
              <w:pStyle w:val="BodyText"/>
              <w:tabs>
                <w:tab w:val="left" w:pos="775"/>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Tādējādi, lai atzītu neražotu aktīvu, atļaujas/licences turētājam jāspēj visā licences darbības termiņā realizēt vērtību no atļaujas, ja tas vēlas pārtraukt attiecīgās darbības veikšanu. Lai to sasniegtu, ir jābūt iespējai licenci nodot trešai personai. Parasti šādi darījumi jāveic saskaņā ar īpašu procedūru. Līdzīgi citiem licenču vai koncesiju/PPP gadījumiem var būt nepieciešams valdības pilnvarojums, lai tālākpārdotu vai nodotu licenci, jo īpaši, lai novērtētu saņēmēja tehnisko spēju veikt attiecīgo darbību un tā finanšu stabilitāti.</w:t>
            </w:r>
          </w:p>
          <w:p w14:paraId="43913AE1" w14:textId="77777777" w:rsidR="00443399" w:rsidRPr="00B03B51" w:rsidRDefault="00443399" w:rsidP="0054365B">
            <w:pPr>
              <w:pStyle w:val="BodyText"/>
              <w:tabs>
                <w:tab w:val="left" w:pos="780"/>
              </w:tabs>
              <w:spacing w:before="0"/>
              <w:ind w:left="0" w:firstLine="0"/>
              <w:jc w:val="both"/>
              <w:rPr>
                <w:rFonts w:ascii="Times New Roman" w:hAnsi="Times New Roman" w:cs="Times New Roman"/>
                <w:noProof/>
                <w:sz w:val="24"/>
              </w:rPr>
            </w:pPr>
          </w:p>
          <w:p w14:paraId="358CB350" w14:textId="77777777" w:rsidR="00443399" w:rsidRPr="00B03B51" w:rsidRDefault="00443399" w:rsidP="0054365B">
            <w:pPr>
              <w:pStyle w:val="BodyText"/>
              <w:tabs>
                <w:tab w:val="left" w:pos="78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Līgumā arī var būt paredzēts tas, ka darījums var notikt tikai ar valdības starpniecību, nevis tieši starp darījumā iesaistītajiem dalībniekiem. Saskaņā ar minētajiem nosacījumiem var uzskatīt, ka licence ir nododama un ka AN.22 aktīvs tādējādi tiek atzīts licences pircēja/turētāja kontos.</w:t>
            </w:r>
          </w:p>
          <w:p w14:paraId="71C7DB47" w14:textId="77777777" w:rsidR="00443399" w:rsidRPr="00B03B51" w:rsidRDefault="00443399" w:rsidP="0054365B">
            <w:pPr>
              <w:pStyle w:val="BodyText"/>
              <w:tabs>
                <w:tab w:val="left" w:pos="811"/>
              </w:tabs>
              <w:spacing w:before="0"/>
              <w:ind w:left="0" w:firstLine="0"/>
              <w:jc w:val="both"/>
              <w:rPr>
                <w:rFonts w:ascii="Times New Roman" w:hAnsi="Times New Roman" w:cs="Times New Roman"/>
                <w:noProof/>
                <w:sz w:val="24"/>
              </w:rPr>
            </w:pPr>
          </w:p>
          <w:p w14:paraId="1B341D1E" w14:textId="77777777" w:rsidR="00443399" w:rsidRPr="00B03B51" w:rsidRDefault="00443399" w:rsidP="0054365B">
            <w:pPr>
              <w:pStyle w:val="BodyText"/>
              <w:tabs>
                <w:tab w:val="left" w:pos="811"/>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Savukārt, ja valdībai ir tiesības kādu iemeslu dēļ nepiekrist nodošanai vai ja saskaņā ar līgumu atļaujas turētājam ir jātur licence līdz tās darbības termiņa beigām, AN.22 aktīvu neatzīst licences pircēja/turētāja kontos.</w:t>
            </w:r>
          </w:p>
          <w:p w14:paraId="394DD826" w14:textId="77777777" w:rsidR="00443399" w:rsidRPr="00B03B51" w:rsidRDefault="00443399" w:rsidP="0054365B">
            <w:pPr>
              <w:pStyle w:val="BodyText"/>
              <w:tabs>
                <w:tab w:val="left" w:pos="790"/>
              </w:tabs>
              <w:spacing w:before="0"/>
              <w:ind w:left="0" w:firstLine="0"/>
              <w:jc w:val="both"/>
              <w:rPr>
                <w:rFonts w:ascii="Times New Roman" w:hAnsi="Times New Roman" w:cs="Times New Roman"/>
                <w:noProof/>
                <w:sz w:val="24"/>
              </w:rPr>
            </w:pPr>
          </w:p>
          <w:p w14:paraId="7A69F1E2" w14:textId="77777777" w:rsidR="00443399" w:rsidRPr="00B03B51" w:rsidRDefault="00443399" w:rsidP="0054365B">
            <w:pPr>
              <w:pStyle w:val="BodyText"/>
              <w:tabs>
                <w:tab w:val="left" w:pos="790"/>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Valdības ieņēmumus jebkurā gadījumā ieraksta kā renti (skat. EKS 2010 15.3. tabulu “Trīs dažādu veidu dabas resursu izmantošanas atļauju ierakstīšana”).</w:t>
            </w:r>
          </w:p>
          <w:p w14:paraId="4D716143" w14:textId="77777777" w:rsidR="00443399" w:rsidRPr="00B03B51" w:rsidRDefault="00443399" w:rsidP="0054365B">
            <w:pPr>
              <w:jc w:val="both"/>
              <w:rPr>
                <w:rFonts w:ascii="Times New Roman" w:hAnsi="Times New Roman" w:cs="Times New Roman"/>
                <w:noProof/>
                <w:sz w:val="24"/>
                <w:szCs w:val="24"/>
              </w:rPr>
            </w:pPr>
          </w:p>
          <w:p w14:paraId="11AD326A" w14:textId="77777777" w:rsidR="00443399" w:rsidRPr="00B03B51" w:rsidRDefault="00443399" w:rsidP="0054365B">
            <w:pPr>
              <w:jc w:val="both"/>
              <w:rPr>
                <w:rFonts w:ascii="Times New Roman" w:hAnsi="Times New Roman" w:cs="Times New Roman"/>
                <w:noProof/>
                <w:sz w:val="24"/>
                <w:szCs w:val="24"/>
              </w:rPr>
            </w:pPr>
          </w:p>
          <w:p w14:paraId="3C73D5A3"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b/>
                <w:bCs/>
                <w:sz w:val="24"/>
                <w:szCs w:val="24"/>
              </w:rPr>
              <w:t>15.3. tabula.</w:t>
            </w:r>
            <w:r w:rsidRPr="00B03B51">
              <w:rPr>
                <w:rFonts w:ascii="Times New Roman" w:hAnsi="Times New Roman" w:cs="Times New Roman"/>
                <w:sz w:val="24"/>
                <w:szCs w:val="24"/>
              </w:rPr>
              <w:t xml:space="preserve"> Trīs dažādu veidu dabas resursu izmantošanas atļauju ierakstīšana</w:t>
            </w:r>
          </w:p>
          <w:p w14:paraId="42D7B2D8" w14:textId="77777777" w:rsidR="00443399" w:rsidRPr="00B03B51" w:rsidRDefault="00443399" w:rsidP="0054365B">
            <w:pPr>
              <w:jc w:val="both"/>
              <w:rPr>
                <w:rFonts w:ascii="Times New Roman" w:hAnsi="Times New Roman" w:cs="Times New Roman"/>
                <w:noProof/>
                <w:sz w:val="24"/>
                <w:szCs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496"/>
              <w:gridCol w:w="4499"/>
            </w:tblGrid>
            <w:tr w:rsidR="00443399" w:rsidRPr="00B03B51" w14:paraId="26259113" w14:textId="77777777" w:rsidTr="0054365B">
              <w:tc>
                <w:tcPr>
                  <w:tcW w:w="4640" w:type="dxa"/>
                </w:tcPr>
                <w:p w14:paraId="67F4E022" w14:textId="77777777" w:rsidR="00443399" w:rsidRPr="00B03B51" w:rsidRDefault="00443399" w:rsidP="0054365B">
                  <w:pPr>
                    <w:jc w:val="center"/>
                    <w:rPr>
                      <w:rFonts w:ascii="Times New Roman" w:hAnsi="Times New Roman" w:cs="Times New Roman"/>
                      <w:b/>
                      <w:bCs/>
                      <w:noProof/>
                      <w:sz w:val="24"/>
                      <w:szCs w:val="24"/>
                    </w:rPr>
                  </w:pPr>
                  <w:r w:rsidRPr="00B03B51">
                    <w:rPr>
                      <w:rFonts w:ascii="Times New Roman" w:hAnsi="Times New Roman" w:cs="Times New Roman"/>
                      <w:b/>
                      <w:bCs/>
                      <w:sz w:val="24"/>
                      <w:szCs w:val="24"/>
                    </w:rPr>
                    <w:t>Lietojuma veids</w:t>
                  </w:r>
                </w:p>
              </w:tc>
              <w:tc>
                <w:tcPr>
                  <w:tcW w:w="4641" w:type="dxa"/>
                </w:tcPr>
                <w:p w14:paraId="3847661F" w14:textId="77777777" w:rsidR="00443399" w:rsidRPr="00B03B51" w:rsidRDefault="00443399" w:rsidP="0054365B">
                  <w:pPr>
                    <w:jc w:val="center"/>
                    <w:rPr>
                      <w:rFonts w:ascii="Times New Roman" w:hAnsi="Times New Roman" w:cs="Times New Roman"/>
                      <w:b/>
                      <w:bCs/>
                      <w:noProof/>
                      <w:sz w:val="24"/>
                      <w:szCs w:val="24"/>
                    </w:rPr>
                  </w:pPr>
                  <w:r w:rsidRPr="00B03B51">
                    <w:rPr>
                      <w:rFonts w:ascii="Times New Roman" w:hAnsi="Times New Roman" w:cs="Times New Roman"/>
                      <w:b/>
                      <w:bCs/>
                      <w:sz w:val="24"/>
                      <w:szCs w:val="24"/>
                    </w:rPr>
                    <w:t>Ierakstīšanas metode</w:t>
                  </w:r>
                </w:p>
              </w:tc>
            </w:tr>
            <w:tr w:rsidR="00443399" w:rsidRPr="00B03B51" w14:paraId="1E5FE7DB" w14:textId="77777777" w:rsidTr="0054365B">
              <w:tc>
                <w:tcPr>
                  <w:tcW w:w="4640" w:type="dxa"/>
                </w:tcPr>
                <w:p w14:paraId="0A3B4944"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 xml:space="preserve">Pagaidu izmantošanas atļauja, var būt uz ilgu </w:t>
                  </w:r>
                  <w:r w:rsidRPr="00B03B51">
                    <w:rPr>
                      <w:rFonts w:ascii="Times New Roman" w:hAnsi="Times New Roman" w:cs="Times New Roman"/>
                      <w:sz w:val="24"/>
                      <w:szCs w:val="24"/>
                    </w:rPr>
                    <w:lastRenderedPageBreak/>
                    <w:t>laiku</w:t>
                  </w:r>
                </w:p>
              </w:tc>
              <w:tc>
                <w:tcPr>
                  <w:tcW w:w="4641" w:type="dxa"/>
                </w:tcPr>
                <w:p w14:paraId="1F76747F"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lastRenderedPageBreak/>
                    <w:t>Resursu noma: rente (īpašuma ienākums)</w:t>
                  </w:r>
                </w:p>
              </w:tc>
            </w:tr>
            <w:tr w:rsidR="00443399" w:rsidRPr="00B03B51" w14:paraId="69F0B7F8" w14:textId="77777777" w:rsidTr="0054365B">
              <w:tc>
                <w:tcPr>
                  <w:tcW w:w="4640" w:type="dxa"/>
                </w:tcPr>
                <w:p w14:paraId="604E8D7B"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Lietotāja veikta kontrole ilgākā periodā; riski un labumi, ko uzņemas lietotājs; atļaujas pārvedamība par realizējamu vērtību</w:t>
                  </w:r>
                </w:p>
              </w:tc>
              <w:tc>
                <w:tcPr>
                  <w:tcW w:w="4641" w:type="dxa"/>
                </w:tcPr>
                <w:p w14:paraId="4096881E"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Rente un jauna aktīva izveidošana tiesībām izmantot dabas resursu</w:t>
                  </w:r>
                </w:p>
              </w:tc>
            </w:tr>
            <w:tr w:rsidR="00443399" w:rsidRPr="00B03B51" w14:paraId="345AFF92" w14:textId="77777777" w:rsidTr="0054365B">
              <w:tc>
                <w:tcPr>
                  <w:tcW w:w="4640" w:type="dxa"/>
                </w:tcPr>
                <w:p w14:paraId="52CE9376"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Izmantošana līdz izsīkšanai; pastāvīga izmantošana (visus riskus un labumus uzņemas lietotājs)</w:t>
                  </w:r>
                </w:p>
              </w:tc>
              <w:tc>
                <w:tcPr>
                  <w:tcW w:w="4641" w:type="dxa"/>
                </w:tcPr>
                <w:p w14:paraId="59FC050F"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Dabas resursa pārdošana</w:t>
                  </w:r>
                </w:p>
              </w:tc>
            </w:tr>
          </w:tbl>
          <w:p w14:paraId="220B45D4" w14:textId="77777777" w:rsidR="00443399" w:rsidRPr="00B03B51" w:rsidRDefault="00443399" w:rsidP="0054365B">
            <w:pPr>
              <w:jc w:val="both"/>
              <w:rPr>
                <w:rFonts w:ascii="Times New Roman" w:hAnsi="Times New Roman" w:cs="Times New Roman"/>
                <w:noProof/>
                <w:sz w:val="24"/>
                <w:szCs w:val="24"/>
              </w:rPr>
            </w:pPr>
          </w:p>
          <w:p w14:paraId="1EA498A2"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8. Retos gadījumos tomēr valdības kontos NP.2 ieraksta darījumus ar licenci, piemēram, kad valdības sektorā klasificēta vienība, gūstot labumu vai zaudējumus, tālākpārdod vai tālāknodod iepriekš izsolē iegūtu atļauju vai ja šādu licenci iegādājas otrreizējā tirgū (par vērtību, kas atšķiras no saņemamās summas, kas uzkrājusies pārdevēja grāmatvedības uzskaitē).</w:t>
            </w:r>
          </w:p>
        </w:tc>
      </w:tr>
    </w:tbl>
    <w:p w14:paraId="73536CF0" w14:textId="77777777" w:rsidR="00443399" w:rsidRPr="00B03B51" w:rsidRDefault="00443399" w:rsidP="00443399">
      <w:pPr>
        <w:jc w:val="both"/>
        <w:rPr>
          <w:rFonts w:ascii="Times New Roman" w:eastAsia="Arial" w:hAnsi="Times New Roman" w:cs="Times New Roman"/>
          <w:noProof/>
          <w:sz w:val="24"/>
          <w:szCs w:val="15"/>
        </w:rPr>
      </w:pPr>
    </w:p>
    <w:p w14:paraId="62873556" w14:textId="77777777" w:rsidR="00443399" w:rsidRPr="00B03B51" w:rsidRDefault="00443399" w:rsidP="00443399">
      <w:pPr>
        <w:pStyle w:val="Heading3"/>
        <w:ind w:left="0" w:firstLine="0"/>
        <w:jc w:val="both"/>
        <w:rPr>
          <w:rFonts w:ascii="Times New Roman" w:hAnsi="Times New Roman" w:cs="Times New Roman"/>
          <w:noProof/>
          <w:sz w:val="24"/>
        </w:rPr>
      </w:pPr>
      <w:bookmarkStart w:id="483" w:name="_Toc67565177"/>
      <w:r w:rsidRPr="00B03B51">
        <w:rPr>
          <w:rFonts w:ascii="Times New Roman" w:hAnsi="Times New Roman" w:cs="Times New Roman"/>
          <w:sz w:val="24"/>
        </w:rPr>
        <w:t>6.1.4. Uzskaites piemērs</w:t>
      </w:r>
      <w:bookmarkEnd w:id="483"/>
    </w:p>
    <w:p w14:paraId="781611B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1B25B6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Mobilā telefona licence 1. gadā ir pārdota 1. pircējam (telesakaru uzņēmumam A) par 100 naudas vienībām. Licence atļauj piekļuvi radiofrekvenču spektram uz 10 gadiem, taču tikai sākot no 2. gada sākuma. Ņemot vērā tirgus izmaiņas, šīs piekļuves tirgus cena 2. gada beigās ir nesusi guvumu 20 naudas vienību apmērā, ko ieraksta K.7 pozīcijā. Trešajā gadā 1. ceturkšņa beigās licences turētājs pārdod licenci 2. pircējam (telesakaru uzņēmumam B). Pārdošanas cena ir 107 (= 100–12,5+20–0,5=90–2,5+20–0,5). Neražojošā aktīva amortizācija ir apmēram 2 naudas vienības gadā (0,5 naudas vienības ceturksnī), ko var ierakstīt K.2 vai arī K.7 pozīcijā. Šajā piemērā licences vērtība 100 naudas vienības vienkāršības labad tiek lineāri sadalīta (nevis tiek izvērtēta darījumu pašreizējā vērtība).</w:t>
      </w:r>
    </w:p>
    <w:p w14:paraId="3269EBB8" w14:textId="77777777" w:rsidR="00443399" w:rsidRPr="00B03B51" w:rsidRDefault="00443399" w:rsidP="00443399">
      <w:pPr>
        <w:jc w:val="both"/>
        <w:rPr>
          <w:rFonts w:ascii="Times New Roman" w:eastAsia="Arial" w:hAnsi="Times New Roman" w:cs="Times New Roman"/>
          <w:noProof/>
          <w:sz w:val="24"/>
          <w:szCs w:val="19"/>
        </w:rPr>
      </w:pPr>
    </w:p>
    <w:p w14:paraId="2484AF2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Sākuma bilance 1. gadā</w:t>
      </w:r>
    </w:p>
    <w:p w14:paraId="113FB286" w14:textId="77777777" w:rsidR="00443399" w:rsidRPr="00B03B51" w:rsidRDefault="00443399" w:rsidP="00443399">
      <w:pPr>
        <w:jc w:val="both"/>
        <w:rPr>
          <w:rFonts w:ascii="Times New Roman" w:eastAsia="Calibri" w:hAnsi="Times New Roman" w:cs="Times New Roman"/>
          <w:noProof/>
          <w:sz w:val="24"/>
        </w:rPr>
      </w:pPr>
    </w:p>
    <w:p w14:paraId="53B08C3B" w14:textId="77777777" w:rsidR="00443399" w:rsidRPr="00B03B51" w:rsidRDefault="00443399" w:rsidP="00443399">
      <w:pPr>
        <w:jc w:val="center"/>
        <w:rPr>
          <w:rFonts w:ascii="Times New Roman" w:eastAsia="Calibri" w:hAnsi="Times New Roman" w:cs="Times New Roman"/>
          <w:noProof/>
          <w:sz w:val="24"/>
        </w:rPr>
      </w:pPr>
      <w:r w:rsidRPr="00B03B51">
        <w:rPr>
          <w:rFonts w:ascii="Times New Roman" w:hAnsi="Times New Roman" w:cs="Times New Roman"/>
          <w:noProof/>
        </w:rPr>
        <w:drawing>
          <wp:inline distT="0" distB="0" distL="0" distR="0" wp14:anchorId="68F6468C" wp14:editId="4AFD4E9D">
            <wp:extent cx="5756275" cy="1062355"/>
            <wp:effectExtent l="0" t="0" r="0" b="4445"/>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56275" cy="1062355"/>
                    </a:xfrm>
                    <a:prstGeom prst="rect">
                      <a:avLst/>
                    </a:prstGeom>
                  </pic:spPr>
                </pic:pic>
              </a:graphicData>
            </a:graphic>
          </wp:inline>
        </w:drawing>
      </w:r>
    </w:p>
    <w:p w14:paraId="37008D33" w14:textId="77777777" w:rsidR="00443399" w:rsidRPr="00B03B51" w:rsidRDefault="00443399" w:rsidP="00443399">
      <w:pPr>
        <w:jc w:val="both"/>
        <w:rPr>
          <w:rFonts w:ascii="Times New Roman" w:eastAsia="Calibri" w:hAnsi="Times New Roman" w:cs="Times New Roman"/>
          <w:noProof/>
          <w:sz w:val="24"/>
        </w:rPr>
      </w:pPr>
    </w:p>
    <w:p w14:paraId="2B35A83C"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Nefinanšu konti 1. gadā</w:t>
      </w:r>
    </w:p>
    <w:p w14:paraId="4483BCF2" w14:textId="77777777" w:rsidR="00443399" w:rsidRPr="00B03B51" w:rsidRDefault="00443399" w:rsidP="00443399">
      <w:pPr>
        <w:jc w:val="both"/>
        <w:rPr>
          <w:rFonts w:ascii="Times New Roman" w:eastAsia="Arial" w:hAnsi="Times New Roman" w:cs="Times New Roman"/>
          <w:b/>
          <w:bCs/>
          <w:noProof/>
          <w:sz w:val="24"/>
          <w:szCs w:val="25"/>
        </w:rPr>
      </w:pPr>
    </w:p>
    <w:p w14:paraId="0CF45DC5" w14:textId="77777777" w:rsidR="00443399" w:rsidRPr="00B03B51" w:rsidRDefault="00443399" w:rsidP="00443399">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72BDAA22" wp14:editId="7134D708">
            <wp:extent cx="5756275" cy="733425"/>
            <wp:effectExtent l="0" t="0" r="0" b="9525"/>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56275" cy="733425"/>
                    </a:xfrm>
                    <a:prstGeom prst="rect">
                      <a:avLst/>
                    </a:prstGeom>
                  </pic:spPr>
                </pic:pic>
              </a:graphicData>
            </a:graphic>
          </wp:inline>
        </w:drawing>
      </w:r>
    </w:p>
    <w:p w14:paraId="15BDF77B" w14:textId="77777777" w:rsidR="00443399" w:rsidRPr="00B03B51" w:rsidRDefault="00443399" w:rsidP="00443399">
      <w:pPr>
        <w:jc w:val="both"/>
        <w:rPr>
          <w:rFonts w:ascii="Times New Roman" w:eastAsia="Arial" w:hAnsi="Times New Roman" w:cs="Times New Roman"/>
          <w:b/>
          <w:bCs/>
          <w:noProof/>
          <w:sz w:val="24"/>
          <w:szCs w:val="17"/>
        </w:rPr>
      </w:pPr>
    </w:p>
    <w:p w14:paraId="33CBE3E7" w14:textId="77777777" w:rsidR="00443399" w:rsidRPr="00B03B51" w:rsidRDefault="00443399" w:rsidP="00B73481">
      <w:pPr>
        <w:keepNext/>
        <w:jc w:val="both"/>
        <w:rPr>
          <w:rFonts w:ascii="Times New Roman" w:hAnsi="Times New Roman" w:cs="Times New Roman"/>
          <w:b/>
          <w:noProof/>
          <w:sz w:val="24"/>
        </w:rPr>
      </w:pPr>
      <w:r w:rsidRPr="00B03B51">
        <w:rPr>
          <w:rFonts w:ascii="Times New Roman" w:hAnsi="Times New Roman" w:cs="Times New Roman"/>
          <w:b/>
          <w:sz w:val="24"/>
        </w:rPr>
        <w:lastRenderedPageBreak/>
        <w:t>Finanšu konti 1. gadā</w:t>
      </w:r>
    </w:p>
    <w:p w14:paraId="2FF2F3EE" w14:textId="77777777" w:rsidR="00443399" w:rsidRPr="00B03B51" w:rsidRDefault="00443399" w:rsidP="00B73481">
      <w:pPr>
        <w:keepNext/>
        <w:jc w:val="both"/>
        <w:rPr>
          <w:rFonts w:ascii="Times New Roman" w:eastAsia="Arial" w:hAnsi="Times New Roman" w:cs="Times New Roman"/>
          <w:b/>
          <w:bCs/>
          <w:noProof/>
          <w:sz w:val="24"/>
          <w:szCs w:val="25"/>
        </w:rPr>
      </w:pPr>
    </w:p>
    <w:p w14:paraId="1684B13A" w14:textId="77777777" w:rsidR="00443399" w:rsidRPr="00B03B51" w:rsidRDefault="00443399" w:rsidP="00B73481">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132A3157" wp14:editId="54B38B94">
            <wp:extent cx="5756275" cy="116522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56275" cy="1165225"/>
                    </a:xfrm>
                    <a:prstGeom prst="rect">
                      <a:avLst/>
                    </a:prstGeom>
                  </pic:spPr>
                </pic:pic>
              </a:graphicData>
            </a:graphic>
          </wp:inline>
        </w:drawing>
      </w:r>
    </w:p>
    <w:p w14:paraId="7B8FC7A6" w14:textId="77777777" w:rsidR="00443399" w:rsidRPr="00B03B51" w:rsidRDefault="00443399" w:rsidP="00443399">
      <w:pPr>
        <w:jc w:val="both"/>
        <w:rPr>
          <w:rFonts w:ascii="Times New Roman" w:eastAsia="Arial" w:hAnsi="Times New Roman" w:cs="Times New Roman"/>
          <w:b/>
          <w:bCs/>
          <w:noProof/>
          <w:sz w:val="24"/>
          <w:szCs w:val="17"/>
        </w:rPr>
      </w:pPr>
    </w:p>
    <w:p w14:paraId="55EB1361" w14:textId="55E6FFA1" w:rsidR="00443399" w:rsidRPr="00B03B51" w:rsidRDefault="00A3593E" w:rsidP="00443399">
      <w:pPr>
        <w:keepNext/>
        <w:jc w:val="both"/>
        <w:rPr>
          <w:rFonts w:ascii="Times New Roman" w:hAnsi="Times New Roman" w:cs="Times New Roman"/>
          <w:b/>
          <w:noProof/>
          <w:sz w:val="24"/>
        </w:rPr>
      </w:pPr>
      <w:r w:rsidRPr="00B03B51">
        <w:rPr>
          <w:rFonts w:ascii="Times New Roman" w:hAnsi="Times New Roman" w:cs="Times New Roman"/>
          <w:b/>
          <w:sz w:val="24"/>
        </w:rPr>
        <w:t>Beigu</w:t>
      </w:r>
      <w:r w:rsidR="00443399" w:rsidRPr="00B03B51">
        <w:rPr>
          <w:rFonts w:ascii="Times New Roman" w:hAnsi="Times New Roman" w:cs="Times New Roman"/>
          <w:b/>
          <w:sz w:val="24"/>
        </w:rPr>
        <w:t xml:space="preserve"> bilance 1. gadā</w:t>
      </w:r>
    </w:p>
    <w:p w14:paraId="3653559E" w14:textId="77777777" w:rsidR="00443399" w:rsidRPr="00B03B51" w:rsidRDefault="00443399" w:rsidP="00443399">
      <w:pPr>
        <w:keepNext/>
        <w:jc w:val="both"/>
        <w:rPr>
          <w:rFonts w:ascii="Times New Roman" w:eastAsia="Arial" w:hAnsi="Times New Roman" w:cs="Times New Roman"/>
          <w:b/>
          <w:bCs/>
          <w:noProof/>
          <w:sz w:val="24"/>
          <w:szCs w:val="26"/>
        </w:rPr>
      </w:pPr>
    </w:p>
    <w:p w14:paraId="36085F06" w14:textId="77777777" w:rsidR="00443399" w:rsidRPr="00B03B51" w:rsidRDefault="00443399" w:rsidP="00443399">
      <w:pPr>
        <w:keepNext/>
        <w:jc w:val="center"/>
        <w:rPr>
          <w:rFonts w:ascii="Times New Roman" w:eastAsia="Arial" w:hAnsi="Times New Roman" w:cs="Times New Roman"/>
          <w:b/>
          <w:bCs/>
          <w:noProof/>
          <w:sz w:val="24"/>
          <w:szCs w:val="26"/>
        </w:rPr>
      </w:pPr>
      <w:r w:rsidRPr="00B03B51">
        <w:rPr>
          <w:rFonts w:ascii="Times New Roman" w:hAnsi="Times New Roman" w:cs="Times New Roman"/>
          <w:noProof/>
        </w:rPr>
        <w:drawing>
          <wp:inline distT="0" distB="0" distL="0" distR="0" wp14:anchorId="06FE96B8" wp14:editId="6FE8BE2C">
            <wp:extent cx="5756275" cy="1163955"/>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56275" cy="1163955"/>
                    </a:xfrm>
                    <a:prstGeom prst="rect">
                      <a:avLst/>
                    </a:prstGeom>
                  </pic:spPr>
                </pic:pic>
              </a:graphicData>
            </a:graphic>
          </wp:inline>
        </w:drawing>
      </w:r>
    </w:p>
    <w:p w14:paraId="7A322DBC" w14:textId="77777777" w:rsidR="00443399" w:rsidRPr="00B03B51" w:rsidRDefault="00443399" w:rsidP="00443399">
      <w:pPr>
        <w:jc w:val="both"/>
        <w:rPr>
          <w:rFonts w:ascii="Times New Roman" w:eastAsia="Calibri" w:hAnsi="Times New Roman" w:cs="Times New Roman"/>
          <w:noProof/>
          <w:sz w:val="24"/>
          <w:szCs w:val="18"/>
        </w:rPr>
      </w:pPr>
    </w:p>
    <w:p w14:paraId="72118D37"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Nefinanšu konti 2. gadā</w:t>
      </w:r>
    </w:p>
    <w:p w14:paraId="26636401" w14:textId="77777777" w:rsidR="00443399" w:rsidRPr="00B03B51" w:rsidRDefault="00443399" w:rsidP="00443399">
      <w:pPr>
        <w:jc w:val="both"/>
        <w:rPr>
          <w:rFonts w:ascii="Times New Roman" w:eastAsia="Arial" w:hAnsi="Times New Roman" w:cs="Times New Roman"/>
          <w:b/>
          <w:bCs/>
          <w:noProof/>
          <w:sz w:val="24"/>
          <w:szCs w:val="20"/>
        </w:rPr>
      </w:pPr>
    </w:p>
    <w:p w14:paraId="4E0038EE" w14:textId="77777777" w:rsidR="00443399" w:rsidRPr="00B03B51" w:rsidRDefault="00443399" w:rsidP="00443399">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4ED49A11" wp14:editId="4D275039">
            <wp:extent cx="5756275" cy="1003300"/>
            <wp:effectExtent l="0" t="0" r="0" b="635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56275" cy="1003300"/>
                    </a:xfrm>
                    <a:prstGeom prst="rect">
                      <a:avLst/>
                    </a:prstGeom>
                  </pic:spPr>
                </pic:pic>
              </a:graphicData>
            </a:graphic>
          </wp:inline>
        </w:drawing>
      </w:r>
    </w:p>
    <w:p w14:paraId="7994CFA2" w14:textId="77777777" w:rsidR="00443399" w:rsidRPr="00B03B51" w:rsidRDefault="00443399" w:rsidP="00443399">
      <w:pPr>
        <w:jc w:val="both"/>
        <w:rPr>
          <w:rFonts w:ascii="Times New Roman" w:eastAsia="Arial" w:hAnsi="Times New Roman" w:cs="Times New Roman"/>
          <w:b/>
          <w:bCs/>
          <w:noProof/>
          <w:sz w:val="24"/>
          <w:szCs w:val="17"/>
        </w:rPr>
      </w:pPr>
    </w:p>
    <w:p w14:paraId="5CEE7D8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konti 2. gadā</w:t>
      </w:r>
    </w:p>
    <w:p w14:paraId="445176E2" w14:textId="77777777" w:rsidR="00443399" w:rsidRPr="00B03B51" w:rsidRDefault="00443399" w:rsidP="00443399">
      <w:pPr>
        <w:jc w:val="both"/>
        <w:rPr>
          <w:rFonts w:ascii="Times New Roman" w:eastAsia="Arial" w:hAnsi="Times New Roman" w:cs="Times New Roman"/>
          <w:b/>
          <w:bCs/>
          <w:noProof/>
          <w:sz w:val="24"/>
          <w:szCs w:val="25"/>
        </w:rPr>
      </w:pPr>
    </w:p>
    <w:p w14:paraId="044A9EB6" w14:textId="77777777" w:rsidR="00443399" w:rsidRPr="00B03B51" w:rsidRDefault="00443399" w:rsidP="007036A4">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783D7092" wp14:editId="68149762">
            <wp:extent cx="5756275" cy="842645"/>
            <wp:effectExtent l="0" t="0" r="0"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56275" cy="842645"/>
                    </a:xfrm>
                    <a:prstGeom prst="rect">
                      <a:avLst/>
                    </a:prstGeom>
                  </pic:spPr>
                </pic:pic>
              </a:graphicData>
            </a:graphic>
          </wp:inline>
        </w:drawing>
      </w:r>
    </w:p>
    <w:p w14:paraId="3DB76118" w14:textId="77777777" w:rsidR="00443399" w:rsidRPr="00B03B51" w:rsidRDefault="00443399" w:rsidP="00443399">
      <w:pPr>
        <w:jc w:val="both"/>
        <w:rPr>
          <w:rFonts w:ascii="Times New Roman" w:eastAsia="Arial" w:hAnsi="Times New Roman" w:cs="Times New Roman"/>
          <w:b/>
          <w:bCs/>
          <w:noProof/>
          <w:sz w:val="24"/>
          <w:szCs w:val="17"/>
        </w:rPr>
      </w:pPr>
    </w:p>
    <w:p w14:paraId="3F14994E"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Citas ekonomiskās plūsmas 2. gadā</w:t>
      </w:r>
    </w:p>
    <w:p w14:paraId="144A1909" w14:textId="77777777" w:rsidR="00443399" w:rsidRPr="00B03B51" w:rsidRDefault="00443399" w:rsidP="00443399">
      <w:pPr>
        <w:jc w:val="both"/>
        <w:rPr>
          <w:rFonts w:ascii="Times New Roman" w:eastAsia="Arial" w:hAnsi="Times New Roman" w:cs="Times New Roman"/>
          <w:b/>
          <w:bCs/>
          <w:noProof/>
          <w:sz w:val="24"/>
          <w:szCs w:val="18"/>
        </w:rPr>
      </w:pPr>
    </w:p>
    <w:p w14:paraId="79AF1D9F" w14:textId="77777777" w:rsidR="00443399" w:rsidRPr="00B03B51" w:rsidRDefault="00443399" w:rsidP="007036A4">
      <w:pPr>
        <w:jc w:val="center"/>
        <w:rPr>
          <w:rFonts w:ascii="Times New Roman" w:eastAsia="Arial" w:hAnsi="Times New Roman" w:cs="Times New Roman"/>
          <w:b/>
          <w:bCs/>
          <w:noProof/>
          <w:sz w:val="24"/>
          <w:szCs w:val="18"/>
        </w:rPr>
      </w:pPr>
      <w:r w:rsidRPr="00B03B51">
        <w:rPr>
          <w:rFonts w:ascii="Times New Roman" w:hAnsi="Times New Roman" w:cs="Times New Roman"/>
          <w:noProof/>
        </w:rPr>
        <w:drawing>
          <wp:inline distT="0" distB="0" distL="0" distR="0" wp14:anchorId="79007EAA" wp14:editId="23082776">
            <wp:extent cx="5756275" cy="887095"/>
            <wp:effectExtent l="0" t="0" r="0" b="8255"/>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56275" cy="887095"/>
                    </a:xfrm>
                    <a:prstGeom prst="rect">
                      <a:avLst/>
                    </a:prstGeom>
                  </pic:spPr>
                </pic:pic>
              </a:graphicData>
            </a:graphic>
          </wp:inline>
        </w:drawing>
      </w:r>
    </w:p>
    <w:p w14:paraId="4E10552C" w14:textId="77777777" w:rsidR="00443399" w:rsidRPr="00B03B51" w:rsidRDefault="00443399" w:rsidP="00443399">
      <w:pPr>
        <w:jc w:val="both"/>
        <w:rPr>
          <w:rFonts w:ascii="Times New Roman" w:eastAsia="Calibri" w:hAnsi="Times New Roman" w:cs="Times New Roman"/>
          <w:noProof/>
          <w:sz w:val="24"/>
          <w:szCs w:val="28"/>
        </w:rPr>
      </w:pPr>
    </w:p>
    <w:p w14:paraId="63A04EED" w14:textId="649813F1" w:rsidR="00443399" w:rsidRPr="00B03B51" w:rsidRDefault="00A3593E" w:rsidP="00B73481">
      <w:pPr>
        <w:keepNext/>
        <w:jc w:val="both"/>
        <w:rPr>
          <w:rFonts w:ascii="Times New Roman" w:hAnsi="Times New Roman" w:cs="Times New Roman"/>
          <w:b/>
          <w:noProof/>
          <w:sz w:val="24"/>
        </w:rPr>
      </w:pPr>
      <w:r w:rsidRPr="00B03B51">
        <w:rPr>
          <w:rFonts w:ascii="Times New Roman" w:hAnsi="Times New Roman" w:cs="Times New Roman"/>
          <w:b/>
          <w:sz w:val="24"/>
        </w:rPr>
        <w:lastRenderedPageBreak/>
        <w:t>Beigu</w:t>
      </w:r>
      <w:r w:rsidR="00443399" w:rsidRPr="00B03B51">
        <w:rPr>
          <w:rFonts w:ascii="Times New Roman" w:hAnsi="Times New Roman" w:cs="Times New Roman"/>
          <w:b/>
          <w:sz w:val="24"/>
        </w:rPr>
        <w:t xml:space="preserve"> bilance 2. gadā</w:t>
      </w:r>
    </w:p>
    <w:p w14:paraId="1800C10D" w14:textId="77777777" w:rsidR="00443399" w:rsidRPr="00B03B51" w:rsidRDefault="00443399" w:rsidP="00B73481">
      <w:pPr>
        <w:keepNext/>
        <w:jc w:val="both"/>
        <w:rPr>
          <w:rFonts w:ascii="Times New Roman" w:eastAsia="Arial" w:hAnsi="Times New Roman" w:cs="Times New Roman"/>
          <w:b/>
          <w:bCs/>
          <w:noProof/>
          <w:sz w:val="24"/>
          <w:szCs w:val="26"/>
        </w:rPr>
      </w:pPr>
    </w:p>
    <w:p w14:paraId="6FFAD93A" w14:textId="77777777" w:rsidR="00443399" w:rsidRPr="00B03B51" w:rsidRDefault="00443399" w:rsidP="007036A4">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0ADE9C55" wp14:editId="192020C7">
            <wp:extent cx="5756275" cy="1352550"/>
            <wp:effectExtent l="0" t="0" r="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56275" cy="1352550"/>
                    </a:xfrm>
                    <a:prstGeom prst="rect">
                      <a:avLst/>
                    </a:prstGeom>
                  </pic:spPr>
                </pic:pic>
              </a:graphicData>
            </a:graphic>
          </wp:inline>
        </w:drawing>
      </w:r>
    </w:p>
    <w:p w14:paraId="056C672E" w14:textId="77777777" w:rsidR="00443399" w:rsidRPr="00B03B51" w:rsidRDefault="00443399" w:rsidP="00443399">
      <w:pPr>
        <w:jc w:val="both"/>
        <w:rPr>
          <w:rFonts w:ascii="Times New Roman" w:eastAsia="Arial" w:hAnsi="Times New Roman" w:cs="Times New Roman"/>
          <w:b/>
          <w:bCs/>
          <w:noProof/>
          <w:sz w:val="24"/>
          <w:szCs w:val="15"/>
        </w:rPr>
      </w:pPr>
    </w:p>
    <w:p w14:paraId="2ABF12C6"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t>Nefinanšu konti 3. gadā</w:t>
      </w:r>
    </w:p>
    <w:p w14:paraId="7F3FFF35" w14:textId="77777777" w:rsidR="00443399" w:rsidRPr="00B03B51" w:rsidRDefault="00443399" w:rsidP="00443399">
      <w:pPr>
        <w:keepNext/>
        <w:jc w:val="both"/>
        <w:rPr>
          <w:rFonts w:ascii="Times New Roman" w:hAnsi="Times New Roman" w:cs="Times New Roman"/>
          <w:noProof/>
          <w:sz w:val="24"/>
        </w:rPr>
      </w:pPr>
    </w:p>
    <w:p w14:paraId="552E86D1" w14:textId="77777777" w:rsidR="00443399" w:rsidRPr="00B03B51" w:rsidRDefault="00443399" w:rsidP="007036A4">
      <w:pPr>
        <w:keepNext/>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0096391B" wp14:editId="1E1966E0">
            <wp:extent cx="5756275" cy="1196340"/>
            <wp:effectExtent l="0" t="0" r="0" b="381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56275" cy="1196340"/>
                    </a:xfrm>
                    <a:prstGeom prst="rect">
                      <a:avLst/>
                    </a:prstGeom>
                  </pic:spPr>
                </pic:pic>
              </a:graphicData>
            </a:graphic>
          </wp:inline>
        </w:drawing>
      </w:r>
    </w:p>
    <w:p w14:paraId="74F6F5C9" w14:textId="77777777" w:rsidR="00443399" w:rsidRPr="00B03B51" w:rsidRDefault="00443399" w:rsidP="00443399">
      <w:pPr>
        <w:jc w:val="both"/>
        <w:rPr>
          <w:rFonts w:ascii="Times New Roman" w:hAnsi="Times New Roman" w:cs="Times New Roman"/>
          <w:noProof/>
          <w:sz w:val="24"/>
        </w:rPr>
      </w:pPr>
    </w:p>
    <w:p w14:paraId="41401582"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konti 3. gadā</w:t>
      </w:r>
    </w:p>
    <w:p w14:paraId="5285EEDF" w14:textId="77777777" w:rsidR="00443399" w:rsidRPr="00B03B51" w:rsidRDefault="00443399" w:rsidP="00443399">
      <w:pPr>
        <w:jc w:val="both"/>
        <w:rPr>
          <w:rFonts w:ascii="Times New Roman" w:eastAsia="Arial" w:hAnsi="Times New Roman" w:cs="Times New Roman"/>
          <w:b/>
          <w:bCs/>
          <w:noProof/>
          <w:sz w:val="24"/>
          <w:szCs w:val="18"/>
        </w:rPr>
      </w:pPr>
    </w:p>
    <w:p w14:paraId="7729C843" w14:textId="77777777" w:rsidR="00443399" w:rsidRPr="00B03B51" w:rsidRDefault="00443399" w:rsidP="007036A4">
      <w:pPr>
        <w:jc w:val="center"/>
        <w:rPr>
          <w:rFonts w:ascii="Times New Roman" w:eastAsia="Calibri" w:hAnsi="Times New Roman" w:cs="Times New Roman"/>
          <w:noProof/>
          <w:sz w:val="24"/>
        </w:rPr>
      </w:pPr>
      <w:r w:rsidRPr="00B03B51">
        <w:rPr>
          <w:rFonts w:ascii="Times New Roman" w:hAnsi="Times New Roman" w:cs="Times New Roman"/>
          <w:noProof/>
        </w:rPr>
        <w:drawing>
          <wp:inline distT="0" distB="0" distL="0" distR="0" wp14:anchorId="4F8C5D57" wp14:editId="56E5C043">
            <wp:extent cx="5756275" cy="1152525"/>
            <wp:effectExtent l="0" t="0" r="0" b="9525"/>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56275" cy="1152525"/>
                    </a:xfrm>
                    <a:prstGeom prst="rect">
                      <a:avLst/>
                    </a:prstGeom>
                  </pic:spPr>
                </pic:pic>
              </a:graphicData>
            </a:graphic>
          </wp:inline>
        </w:drawing>
      </w:r>
    </w:p>
    <w:p w14:paraId="18F497B8" w14:textId="77777777" w:rsidR="00443399" w:rsidRPr="00B03B51" w:rsidRDefault="00443399" w:rsidP="00443399">
      <w:pPr>
        <w:jc w:val="both"/>
        <w:rPr>
          <w:rFonts w:ascii="Times New Roman" w:eastAsia="Calibri" w:hAnsi="Times New Roman" w:cs="Times New Roman"/>
          <w:noProof/>
          <w:sz w:val="24"/>
        </w:rPr>
      </w:pPr>
    </w:p>
    <w:p w14:paraId="7A6D3E8A"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Citas ekonomiskās plūsmas 3. gadā</w:t>
      </w:r>
    </w:p>
    <w:p w14:paraId="4C052606" w14:textId="77777777" w:rsidR="00443399" w:rsidRPr="00B03B51" w:rsidRDefault="00443399" w:rsidP="00443399">
      <w:pPr>
        <w:jc w:val="both"/>
        <w:rPr>
          <w:rFonts w:ascii="Times New Roman" w:hAnsi="Times New Roman" w:cs="Times New Roman"/>
          <w:noProof/>
          <w:sz w:val="24"/>
        </w:rPr>
      </w:pPr>
    </w:p>
    <w:p w14:paraId="7C90919D" w14:textId="77777777" w:rsidR="00443399" w:rsidRPr="00B03B51" w:rsidRDefault="00443399" w:rsidP="007036A4">
      <w:pPr>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470DB0D7" wp14:editId="73461486">
            <wp:extent cx="5756275" cy="920750"/>
            <wp:effectExtent l="0" t="0" r="0"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56275" cy="920750"/>
                    </a:xfrm>
                    <a:prstGeom prst="rect">
                      <a:avLst/>
                    </a:prstGeom>
                  </pic:spPr>
                </pic:pic>
              </a:graphicData>
            </a:graphic>
          </wp:inline>
        </w:drawing>
      </w:r>
    </w:p>
    <w:p w14:paraId="512F2148" w14:textId="77777777" w:rsidR="00443399" w:rsidRPr="00B03B51" w:rsidRDefault="00443399" w:rsidP="00443399">
      <w:pPr>
        <w:jc w:val="both"/>
        <w:rPr>
          <w:rFonts w:ascii="Times New Roman" w:eastAsia="Calibri" w:hAnsi="Times New Roman" w:cs="Times New Roman"/>
          <w:noProof/>
          <w:sz w:val="24"/>
          <w:szCs w:val="21"/>
        </w:rPr>
      </w:pPr>
    </w:p>
    <w:p w14:paraId="181C9AB4" w14:textId="45486C63" w:rsidR="00443399" w:rsidRPr="00B03B51" w:rsidRDefault="00A3593E" w:rsidP="00443399">
      <w:pPr>
        <w:jc w:val="both"/>
        <w:rPr>
          <w:rFonts w:ascii="Times New Roman" w:hAnsi="Times New Roman" w:cs="Times New Roman"/>
          <w:b/>
          <w:noProof/>
          <w:sz w:val="24"/>
        </w:rPr>
      </w:pPr>
      <w:r w:rsidRPr="00B03B51">
        <w:rPr>
          <w:rFonts w:ascii="Times New Roman" w:hAnsi="Times New Roman" w:cs="Times New Roman"/>
          <w:b/>
          <w:sz w:val="24"/>
        </w:rPr>
        <w:t>Beigu</w:t>
      </w:r>
      <w:r w:rsidR="00443399" w:rsidRPr="00B03B51">
        <w:rPr>
          <w:rFonts w:ascii="Times New Roman" w:hAnsi="Times New Roman" w:cs="Times New Roman"/>
          <w:b/>
          <w:sz w:val="24"/>
        </w:rPr>
        <w:t xml:space="preserve"> bilance 3. gadā</w:t>
      </w:r>
    </w:p>
    <w:p w14:paraId="1C67B32D" w14:textId="77777777" w:rsidR="00443399" w:rsidRPr="00B03B51" w:rsidRDefault="00443399" w:rsidP="00443399">
      <w:pPr>
        <w:jc w:val="both"/>
        <w:rPr>
          <w:rFonts w:ascii="Times New Roman" w:eastAsia="Arial" w:hAnsi="Times New Roman" w:cs="Times New Roman"/>
          <w:b/>
          <w:bCs/>
          <w:noProof/>
          <w:sz w:val="24"/>
          <w:szCs w:val="25"/>
        </w:rPr>
      </w:pPr>
    </w:p>
    <w:p w14:paraId="51517946" w14:textId="77777777" w:rsidR="00443399" w:rsidRPr="00B03B51" w:rsidRDefault="00443399" w:rsidP="007036A4">
      <w:pPr>
        <w:jc w:val="center"/>
        <w:rPr>
          <w:rFonts w:ascii="Times New Roman" w:eastAsia="Calibri" w:hAnsi="Times New Roman" w:cs="Times New Roman"/>
          <w:noProof/>
          <w:sz w:val="24"/>
          <w:szCs w:val="18"/>
        </w:rPr>
      </w:pPr>
      <w:r w:rsidRPr="00B03B51">
        <w:rPr>
          <w:rFonts w:ascii="Times New Roman" w:hAnsi="Times New Roman" w:cs="Times New Roman"/>
          <w:noProof/>
        </w:rPr>
        <w:drawing>
          <wp:inline distT="0" distB="0" distL="0" distR="0" wp14:anchorId="628E5283" wp14:editId="090052EB">
            <wp:extent cx="5756275" cy="1397635"/>
            <wp:effectExtent l="0" t="0" r="0"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56275" cy="1397635"/>
                    </a:xfrm>
                    <a:prstGeom prst="rect">
                      <a:avLst/>
                    </a:prstGeom>
                  </pic:spPr>
                </pic:pic>
              </a:graphicData>
            </a:graphic>
          </wp:inline>
        </w:drawing>
      </w:r>
    </w:p>
    <w:p w14:paraId="2F13ACE3" w14:textId="77777777" w:rsidR="00443399" w:rsidRPr="00B03B51" w:rsidRDefault="00443399" w:rsidP="00443399">
      <w:pPr>
        <w:rPr>
          <w:rFonts w:ascii="Times New Roman" w:eastAsia="Calibri" w:hAnsi="Times New Roman" w:cs="Times New Roman"/>
          <w:noProof/>
          <w:sz w:val="24"/>
          <w:szCs w:val="18"/>
        </w:rPr>
      </w:pPr>
      <w:r w:rsidRPr="00B03B51">
        <w:rPr>
          <w:rFonts w:ascii="Times New Roman" w:hAnsi="Times New Roman" w:cs="Times New Roman"/>
        </w:rPr>
        <w:br w:type="page"/>
      </w:r>
    </w:p>
    <w:p w14:paraId="20DC50F1" w14:textId="77777777" w:rsidR="00443399" w:rsidRPr="00B03B51" w:rsidRDefault="00443399" w:rsidP="00443399">
      <w:pPr>
        <w:jc w:val="both"/>
        <w:rPr>
          <w:rFonts w:ascii="Times New Roman" w:eastAsia="Calibri" w:hAnsi="Times New Roman" w:cs="Times New Roman"/>
          <w:noProof/>
          <w:sz w:val="24"/>
          <w:szCs w:val="18"/>
        </w:rPr>
      </w:pPr>
    </w:p>
    <w:p w14:paraId="3F19E42D"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484" w:name="6.2_Sale_and_leaseback"/>
      <w:bookmarkStart w:id="485" w:name="_bookmark49"/>
      <w:bookmarkStart w:id="486" w:name="_Toc67565178"/>
      <w:bookmarkEnd w:id="484"/>
      <w:bookmarkEnd w:id="485"/>
      <w:r w:rsidRPr="00B03B51">
        <w:rPr>
          <w:rFonts w:ascii="Times New Roman" w:hAnsi="Times New Roman" w:cs="Times New Roman"/>
          <w:sz w:val="28"/>
          <w:szCs w:val="44"/>
        </w:rPr>
        <w:t>6.2. Pārdošana ar saņemšanu atpakaļ nomā</w:t>
      </w:r>
      <w:bookmarkEnd w:id="486"/>
    </w:p>
    <w:p w14:paraId="5F5355C8" w14:textId="77777777" w:rsidR="00443399" w:rsidRPr="00B03B51" w:rsidRDefault="00443399" w:rsidP="00443399">
      <w:pPr>
        <w:tabs>
          <w:tab w:val="left" w:pos="1267"/>
        </w:tabs>
        <w:jc w:val="both"/>
        <w:rPr>
          <w:rFonts w:ascii="Times New Roman" w:hAnsi="Times New Roman" w:cs="Times New Roman"/>
          <w:b/>
          <w:noProof/>
          <w:sz w:val="24"/>
        </w:rPr>
      </w:pPr>
      <w:bookmarkStart w:id="487" w:name="6.2.1_Background"/>
      <w:bookmarkEnd w:id="487"/>
    </w:p>
    <w:p w14:paraId="1B0EC5C8" w14:textId="77777777" w:rsidR="00443399" w:rsidRPr="00B03B51" w:rsidRDefault="00443399" w:rsidP="00443399">
      <w:pPr>
        <w:tabs>
          <w:tab w:val="left" w:pos="1267"/>
        </w:tabs>
        <w:jc w:val="both"/>
        <w:rPr>
          <w:rFonts w:ascii="Times New Roman" w:hAnsi="Times New Roman" w:cs="Times New Roman"/>
          <w:b/>
          <w:noProof/>
          <w:sz w:val="24"/>
        </w:rPr>
      </w:pPr>
      <w:r w:rsidRPr="00B03B51">
        <w:rPr>
          <w:rFonts w:ascii="Times New Roman" w:hAnsi="Times New Roman" w:cs="Times New Roman"/>
          <w:b/>
          <w:sz w:val="24"/>
        </w:rPr>
        <w:t>6.2.1. Vispārīga informācija</w:t>
      </w:r>
    </w:p>
    <w:p w14:paraId="20C6414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0C22B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Pārdošana ar saņemšanu atpakaļ nomā paredz aktīva pārdošanu un tā paša aktīva saņemšanu atpakaļ nomā. Nomas maksājums un pārdošanas cena parasti ir savstarpēji saistīti, jo par tiem vienojas komplektā. Parasti pārdošanas ar saņemšanu atpakaļ nomā aktīva darījuma priekšmets ir ēka, bet tas varbūt arī cits nefinanšu aktīvs. Šādos pasākumos dažādu iemeslu dēļ var būt iesaistīta valdība (visos līmeņos – pašvaldības, pavalsts vai centrālās valdības līmenī).</w:t>
      </w:r>
    </w:p>
    <w:p w14:paraId="641B668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3A38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Pārdošanas ar saņemšanu atpakaļ nomā darījuma uzskaite parasti ir atkarīga no attiecīgā nomas veida (finanšu vai operatīvā noma). Tomēr no valdības kontu skatupunkta pārdošanas ar saņemšanu atpakaļ nomā darījuma uzskaite var raisīt divus papildu savstarpēji saistītus jautājumus:</w:t>
      </w:r>
    </w:p>
    <w:p w14:paraId="76932A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6DBE55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darījumā ar valdību iesaistītā subjekta sektoru klasifikācija un</w:t>
      </w:r>
    </w:p>
    <w:p w14:paraId="3CF9E92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A71B5D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kāds ir šā pasākuma vispārējais mērķis – vai mērķis ir privatizēt šo aktīvu pārvaldību vai veikt reorganizāciju publiskajā sektorā?</w:t>
      </w:r>
    </w:p>
    <w:p w14:paraId="5759AF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B19C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Atkarībā no atbildes var rasties jautājums par “pārdošanas” ekonomisko būtību un rasties dažādas ierakstīšanas iespējas (aktīvu pārdošana, valdības aizņēmums vai pat citas plūsmas).</w:t>
      </w:r>
    </w:p>
    <w:p w14:paraId="06D29A7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87D8A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Lai rūpīgi izanalizētu visu pasākumu un lai pareizi atainotu tā būtību nacionālajos kontos, ir atsevišķi jāizvērtē abi līguma posmi – pārdošanas posms un saņemšanas atpakaļ nomā (vai nomas) posms. Šajā nodaļā ir aplūkots pārdošanas ar saņemšanu atpakaļ nomā darījuma posms “saņemšana atpakaļ nomā”.</w:t>
      </w:r>
    </w:p>
    <w:p w14:paraId="633BCE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85E9B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Attiecībā uz pircējas vienības (pircējs–nomnieks) sektoru klasifikāciju piemēro principus, kas ir līdzīgi tiem, ko piemēro īpašam nolūkam dibinātām sabiedrībām (skat. EKS 2010 20.47. punktu), kas izveidotas vērtspapīrotu aktīvu iegādei.</w:t>
      </w:r>
    </w:p>
    <w:p w14:paraId="3074F8FA" w14:textId="77777777" w:rsidR="00443399" w:rsidRPr="00B03B51" w:rsidRDefault="00443399" w:rsidP="00443399">
      <w:pPr>
        <w:jc w:val="both"/>
        <w:rPr>
          <w:rFonts w:ascii="Times New Roman" w:eastAsia="Arial" w:hAnsi="Times New Roman" w:cs="Times New Roman"/>
          <w:noProof/>
          <w:sz w:val="24"/>
          <w:szCs w:val="18"/>
        </w:rPr>
      </w:pPr>
    </w:p>
    <w:p w14:paraId="1280558E"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488" w:name="6.2.2_Treatment_in_national_accounts"/>
      <w:bookmarkStart w:id="489" w:name="_Toc67565179"/>
      <w:bookmarkEnd w:id="488"/>
      <w:r w:rsidRPr="00B03B51">
        <w:rPr>
          <w:rFonts w:ascii="Times New Roman" w:hAnsi="Times New Roman" w:cs="Times New Roman"/>
          <w:sz w:val="24"/>
        </w:rPr>
        <w:t>6.2.2. Traktējums nacionālajos kontos</w:t>
      </w:r>
      <w:bookmarkEnd w:id="489"/>
    </w:p>
    <w:p w14:paraId="605EEE0B" w14:textId="77777777" w:rsidR="00443399" w:rsidRPr="00BE27DC" w:rsidRDefault="00443399" w:rsidP="00BE27DC">
      <w:pPr>
        <w:rPr>
          <w:rFonts w:ascii="Times New Roman" w:hAnsi="Times New Roman" w:cs="Times New Roman"/>
          <w:noProof/>
          <w:sz w:val="24"/>
          <w:szCs w:val="24"/>
        </w:rPr>
      </w:pPr>
      <w:bookmarkStart w:id="490" w:name="6.2.2.1_Differentiating_between_financia"/>
      <w:bookmarkEnd w:id="490"/>
    </w:p>
    <w:p w14:paraId="34DF0472"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6.2.2.1. FINANŠU UN OPERATĪVĀS NOMAS NOŠĶIRŠANA POSMĀ “SAŅEMŠANA ATPAKAĻ NOMĀ”</w:t>
      </w:r>
    </w:p>
    <w:p w14:paraId="6ABA6B3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AF38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Nomu saskaņā ar EKS 2010 15.04.–15.22. punktu klasificē, pamatojoties uz to, kādā apmērā ar nomātā aktīva īpašumtiesībām saistītie riski un priekšrocības tiek nodoti nomniekam vai iznomātājam. Riski ir galvenokārt iespējamie zaudējumi, ko rada dīkstāve vai tehnoloģiska novecošanās un atdeves izmaiņas mainīgu ekonomisko apstākļu dēļ. Priekšrocības var attēlot kā rentablas darbības prognozes aktīva ekonomiskajā ciklā un kā ieguvumu no vērtības pieauguma vai no atlikušās vērtības realizācijas.</w:t>
      </w:r>
    </w:p>
    <w:p w14:paraId="391A50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88295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Nomu klasificē kā finanšu nomu, ja ar īpašumtiesībām saistītos riskus un priekšrocības iznomātājs nodod nomniekam. Pretējā gadījumā nomu klasificē kā operatīvo nomu.</w:t>
      </w:r>
    </w:p>
    <w:p w14:paraId="1FA7AAE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5348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Saskaņā ar EKS 2010 15.08., 15.13. un 20.164. punktu tas, vai noma ir finanšu noma vai operatīvā noma, ir atkarīgs no darījuma ekonomiskās būtības, nevis no līguma juridiskās </w:t>
      </w:r>
      <w:r w:rsidRPr="00B03B51">
        <w:rPr>
          <w:rFonts w:ascii="Times New Roman" w:hAnsi="Times New Roman" w:cs="Times New Roman"/>
          <w:sz w:val="24"/>
        </w:rPr>
        <w:lastRenderedPageBreak/>
        <w:t>formas. Atsevišķas vai kombinētas situācijas, kad nomu var parasti klasificēt kā finanšu nomu, ir, piemēram, šādas:</w:t>
      </w:r>
    </w:p>
    <w:p w14:paraId="5C0819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D8FAA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nomas termiņa beigās iznomātājs aktīva likumīgās īpašuma tiesības nodod nomniekam;</w:t>
      </w:r>
    </w:p>
    <w:p w14:paraId="48150EB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6AE377B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nomniekam ir iespēja nopirkt aktīvu par cenu, kas ir būtiski zemāka nekā aktīva tirgus vērtība vai ir tuva šai vērtībai (piemēram, ņemot vērā, ka varēs izvairīties no noņemšanas izmaksām) brīdī, kad nomnieks var izmantot šo iespēju, tādējādi nomas sākumā ir visai droši, ka šī iespēja tiks izmantota;</w:t>
      </w:r>
    </w:p>
    <w:p w14:paraId="3373DE5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F25F1B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nomas termiņš lielākoties ir aktīva ekonomiskais cikls, pat ja likumīgās īpašumtiesības netiek nodotas;</w:t>
      </w:r>
      <w:r w:rsidRPr="00B03B51">
        <w:rPr>
          <w:rStyle w:val="FootnoteReference"/>
          <w:rFonts w:ascii="Times New Roman" w:hAnsi="Times New Roman" w:cs="Times New Roman"/>
          <w:noProof/>
          <w:sz w:val="24"/>
        </w:rPr>
        <w:footnoteReference w:id="193"/>
      </w:r>
    </w:p>
    <w:p w14:paraId="6DB7F810"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45B4695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nomas sākumā minimālo nomas maksājumu pašreizējā vērtība ir ļoti tuvu iznomātā aktīva tirgus vērtībai;</w:t>
      </w:r>
    </w:p>
    <w:p w14:paraId="3539D4E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06A92811"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e) nomāto aktīvu specifika ir tāda, ka tos bez būtiskiem pārveidojumiem var izmantot vienīgi nomnieks;</w:t>
      </w:r>
    </w:p>
    <w:p w14:paraId="2272C39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27C6EA5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f) ja nomātais aktīvs ir tāds, ka iznomātājs to parasti nevarētu izmantot savā ražojošā darbībā;</w:t>
      </w:r>
    </w:p>
    <w:p w14:paraId="151843E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EF1AEE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g) ja nomnieks var anulēt nomu, ar anulēšanu saistītos iznomātāja zaudējumus uzņemas nomnieks;</w:t>
      </w:r>
    </w:p>
    <w:p w14:paraId="78D0111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612D51A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g) nomātā aktīva atlikušās tirgus vērtības svārstību dēļ radušos guvumus vai zaudējumus uzkrāj nomnieks (piemēram, nomas maksas atlaides veidā, pielīdzinot lielāko daļu pārdošanas ieņēmumu nomas termiņa beigās);</w:t>
      </w:r>
    </w:p>
    <w:p w14:paraId="22A2AF3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6289D4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 nomniekam ir iespēja turpināt nomu uz papildu laiku par nomas maksu, kas ir būtiski zemāka par tirgus likmi.</w:t>
      </w:r>
    </w:p>
    <w:p w14:paraId="6F25C3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6C4D7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Iepriekšējā punktā minētie piemēri un rādītāji ne vienmēr ir noteicoši. Ja citas iezīmes skaidri parāda, ka ar nomu iznomātājs nenodod ar īpašumtiesībām saistītos riskus un priekšrocības, šāda noma tiek klasificēta kā operatīvā noma. Piemēram, tas var būt gadījumā, kad nomas termiņa beigās aktīva likumīgās īpašumtiesības tiek nodotas par summu, kas ir vienāda ar tā tirgus vērtību tajā laikā. Tas var būt arī iespējamas nomas maksas gadījumā, kā rezultātā riski un priekšrocības netiek nodoti nomniekam.</w:t>
      </w:r>
    </w:p>
    <w:p w14:paraId="188DED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7C9FC5C" w14:textId="2F555FAC"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Lēmumus par nomas klasifikāciju pieņem nomas sākumā. Ja kādā laikā nomnieks un iznomātājs piekrīt mainīt nomas noteikumus kā citādi, nevis to atjaunojot, kā rezultātā varētu manīties tās klasifikācija, ja mainītie nosacījumi bija spē</w:t>
      </w:r>
      <w:r w:rsidR="00CD10FE" w:rsidRPr="00B03B51">
        <w:rPr>
          <w:rFonts w:ascii="Times New Roman" w:hAnsi="Times New Roman" w:cs="Times New Roman"/>
          <w:sz w:val="24"/>
        </w:rPr>
        <w:t>k</w:t>
      </w:r>
      <w:r w:rsidRPr="00B03B51">
        <w:rPr>
          <w:rFonts w:ascii="Times New Roman" w:hAnsi="Times New Roman" w:cs="Times New Roman"/>
          <w:sz w:val="24"/>
        </w:rPr>
        <w:t>ā nomas sākumā, uzskatāms, ka ar pārskatīto nomu tiek anulēta sākotnējā noma un tiek izveidota jauna noma, kas ir spēkā turpmāk. Tomēr, ja mainās aplēses par nomātā īpašuma ekonomisko ciklu vai tā atlikušo vērtību vai ja mainās apstākļi (piemēram, nomnieks nepilda saistības), tas nav iemesls jaunai nomas klasifikācijai.</w:t>
      </w:r>
    </w:p>
    <w:p w14:paraId="3AE3035B" w14:textId="77777777" w:rsidR="00443399" w:rsidRPr="00B03B51" w:rsidRDefault="00443399" w:rsidP="00443399">
      <w:pPr>
        <w:jc w:val="both"/>
        <w:rPr>
          <w:rFonts w:ascii="Times New Roman" w:eastAsia="Arial" w:hAnsi="Times New Roman" w:cs="Times New Roman"/>
          <w:noProof/>
          <w:sz w:val="24"/>
          <w:szCs w:val="15"/>
        </w:rPr>
      </w:pPr>
    </w:p>
    <w:p w14:paraId="32047ACC" w14:textId="77777777" w:rsidR="00443399" w:rsidRPr="00B03B51" w:rsidRDefault="00443399" w:rsidP="00443399">
      <w:pPr>
        <w:pStyle w:val="Heading6"/>
        <w:keepNext/>
        <w:keepLines/>
        <w:tabs>
          <w:tab w:val="left" w:pos="1267"/>
          <w:tab w:val="left" w:pos="2628"/>
          <w:tab w:val="left" w:pos="4398"/>
          <w:tab w:val="left" w:pos="6035"/>
          <w:tab w:val="left" w:pos="6625"/>
          <w:tab w:val="left" w:pos="7496"/>
          <w:tab w:val="left" w:pos="8251"/>
        </w:tabs>
        <w:ind w:left="0" w:firstLine="0"/>
        <w:jc w:val="both"/>
        <w:rPr>
          <w:rFonts w:ascii="Times New Roman" w:hAnsi="Times New Roman" w:cs="Times New Roman"/>
          <w:noProof/>
          <w:sz w:val="24"/>
        </w:rPr>
      </w:pPr>
      <w:bookmarkStart w:id="491" w:name="6.2.2.2_General_accounting_treatment_of_"/>
      <w:bookmarkEnd w:id="491"/>
      <w:r w:rsidRPr="00B03B51">
        <w:rPr>
          <w:rFonts w:ascii="Times New Roman" w:hAnsi="Times New Roman" w:cs="Times New Roman"/>
          <w:sz w:val="24"/>
        </w:rPr>
        <w:t>6.2.2.2. PĀRDOŠANAS AR SAŅEMŠANU ATPAKAĻ NOMĀ DARĪJUMU VISPĀRĒJA UZSKAITE</w:t>
      </w:r>
    </w:p>
    <w:p w14:paraId="70E7BB8C" w14:textId="77777777" w:rsidR="00443399" w:rsidRPr="00B03B51" w:rsidRDefault="00443399" w:rsidP="00443399">
      <w:pPr>
        <w:keepNext/>
        <w:keepLines/>
        <w:jc w:val="both"/>
        <w:rPr>
          <w:rFonts w:ascii="Times New Roman" w:hAnsi="Times New Roman" w:cs="Times New Roman"/>
          <w:b/>
          <w:noProof/>
          <w:sz w:val="24"/>
        </w:rPr>
      </w:pPr>
    </w:p>
    <w:p w14:paraId="0512E917" w14:textId="77777777" w:rsidR="00443399" w:rsidRPr="00B03B51" w:rsidRDefault="00443399" w:rsidP="00443399">
      <w:pPr>
        <w:keepNext/>
        <w:keepLines/>
        <w:jc w:val="both"/>
        <w:rPr>
          <w:rFonts w:ascii="Times New Roman" w:hAnsi="Times New Roman" w:cs="Times New Roman"/>
          <w:b/>
          <w:noProof/>
          <w:sz w:val="24"/>
        </w:rPr>
      </w:pPr>
      <w:r w:rsidRPr="00B03B51">
        <w:rPr>
          <w:rFonts w:ascii="Times New Roman" w:hAnsi="Times New Roman" w:cs="Times New Roman"/>
          <w:b/>
          <w:sz w:val="24"/>
        </w:rPr>
        <w:t>Saņemšana atpakaļ nomā ir finanšu noma</w:t>
      </w:r>
    </w:p>
    <w:p w14:paraId="4184DB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DE82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Ja saņemšana atpakaļ nomā ir finanšu noma, darījuma ekonomiskā būtība ir tāda, ka aktīvs netiek realizēts un darījums ir veids, kā pircējs–iznomātājs sniedz finansējumu pārdevējam–nomniekam, izmantojot aktīvu kā garantiju.</w:t>
      </w:r>
    </w:p>
    <w:p w14:paraId="13450F1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5F86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Šajā gadījumā aktīvs paliek pārdevēja–nomnieka bilancē un summa, ko tas ir saņēmis, ir jāieraksta kā aizdevuma saistības (F.4L). Nomas maksājumi, ko veicis pārdevējs–nomnieks visā nomas termiņā, attiecīgi tiek sadalīti kā aizdevuma atmaksa, procenti un pakalpojuma maksājumi.</w:t>
      </w:r>
    </w:p>
    <w:p w14:paraId="7AB2AEC5" w14:textId="77777777" w:rsidR="00443399" w:rsidRPr="00B03B51" w:rsidRDefault="00443399" w:rsidP="00443399">
      <w:pPr>
        <w:jc w:val="both"/>
        <w:rPr>
          <w:rFonts w:ascii="Times New Roman" w:hAnsi="Times New Roman" w:cs="Times New Roman"/>
          <w:b/>
          <w:noProof/>
          <w:sz w:val="24"/>
        </w:rPr>
      </w:pPr>
    </w:p>
    <w:p w14:paraId="33E7A79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Saņemšana atpakaļ nomā ir operatīvā noma</w:t>
      </w:r>
    </w:p>
    <w:p w14:paraId="591609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6AE6B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Ja saņemšana atpakaļ nomā ir operatīvā noma, pārdošanas ar saņemšanu atpakaļ nomā darījums ir jāieraksta kā aktīva(-u) pārdošana, kurai seko operatīvā noma, saskaņā ar EKS 2010 15.08.–15.12. punktu un 15.2. tabulu.</w:t>
      </w:r>
    </w:p>
    <w:p w14:paraId="49215BAF" w14:textId="77777777" w:rsidR="00443399" w:rsidRPr="00B03B51" w:rsidRDefault="00443399" w:rsidP="00443399">
      <w:pPr>
        <w:jc w:val="both"/>
        <w:rPr>
          <w:rFonts w:ascii="Times New Roman" w:eastAsia="Arial" w:hAnsi="Times New Roman" w:cs="Times New Roman"/>
          <w:noProof/>
          <w:sz w:val="24"/>
          <w:szCs w:val="15"/>
        </w:rPr>
      </w:pPr>
    </w:p>
    <w:p w14:paraId="1FC72FAE"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492" w:name="6.2.2.3_nature_of_the_unit_(buyer–lessor"/>
      <w:bookmarkEnd w:id="492"/>
      <w:r w:rsidRPr="00B03B51">
        <w:rPr>
          <w:rFonts w:ascii="Times New Roman" w:hAnsi="Times New Roman" w:cs="Times New Roman"/>
          <w:sz w:val="24"/>
        </w:rPr>
        <w:t>6.2.2.3. VIENĪBAS VEIDS (PIRCĒJS–IZNOMĀTĀJS)</w:t>
      </w:r>
    </w:p>
    <w:p w14:paraId="377CD74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B5C0A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Attiecībā uz pirkumu veicošās vienības (pircējs–iznomātājs) veidu, ja tiek uzskatīts, ka tā ietilpst vispārējās valdības sektorā, nebūs ietekmes uz vispārējās valdības neto aizdevumu/neto aizņēmumu (B.9). Vienīgi tad, ja vienība ir klasificēta ārpus valdības sektora, iespējams, ir jāieraksta aktīvu pārdošana, kas ietekmē valdību B.9.</w:t>
      </w:r>
    </w:p>
    <w:p w14:paraId="25152B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34F5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Kopumā atkarībā no tā, kāda ir vienība, kura iesaistīta pārdošanas ar saņemšanu atpakaļ nomā darījumā ar valdību, var izšķirt trīs gadījumus:</w:t>
      </w:r>
    </w:p>
    <w:p w14:paraId="62BCEB93" w14:textId="77777777" w:rsidR="00443399" w:rsidRPr="00B03B51" w:rsidRDefault="00443399" w:rsidP="00443399">
      <w:pPr>
        <w:jc w:val="both"/>
        <w:rPr>
          <w:rFonts w:ascii="Times New Roman" w:eastAsia="Arial" w:hAnsi="Times New Roman" w:cs="Times New Roman"/>
          <w:noProof/>
          <w:sz w:val="24"/>
          <w:szCs w:val="14"/>
        </w:rPr>
      </w:pPr>
    </w:p>
    <w:p w14:paraId="04A65FF1"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valdība ir radījusi vienību ar noteiktu mērķi;</w:t>
      </w:r>
    </w:p>
    <w:p w14:paraId="7DBB457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1465BB4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vienība ir esoša publiska sabiedrība;</w:t>
      </w:r>
    </w:p>
    <w:p w14:paraId="1DCF729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3A6B906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vienība ir privātuzņēmējs.</w:t>
      </w:r>
    </w:p>
    <w:p w14:paraId="4B8F83D4"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5BC12FA2"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bookmarkStart w:id="493" w:name="6.2.2.3.1._The_unit_is_created_on_purpos"/>
      <w:bookmarkEnd w:id="493"/>
      <w:r w:rsidRPr="00B03B51">
        <w:rPr>
          <w:rFonts w:ascii="Times New Roman" w:hAnsi="Times New Roman" w:cs="Times New Roman"/>
          <w:sz w:val="24"/>
        </w:rPr>
        <w:t>6.2.2.3.1. Valdība ir radījusi vienību ar noteiktu mērķi</w:t>
      </w:r>
    </w:p>
    <w:p w14:paraId="1D4D4EF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DB2F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Šajā gadījumā galvenais jautājums ir vienības sektora klasifikācija. Ja valdības noteiktam mērķim izveidotā vienība ir klasificēta valdības sektorā, “pārdošana” neietekmēs valdības neto aizdevumu/neto aizņēmumu un aktīva nodošana ir jāieraksta kontā “citas aktīvu apjoma pārmaiņas”.</w:t>
      </w:r>
    </w:p>
    <w:p w14:paraId="28C9600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768FD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Kopumā, ja tās vienīgā darbība ir pakalpojumu sniegšana valdībai, uzskatāms, ka vienība veic palīgdarbību (skat. EKS 2010 2.26. un 20.24. punktu) vai ir mākslīgs meitasuzņēmums (skat. EKS 2010 2.24. punktu), vai ir īpašam nolūkam dibināta sabiedrība (skat. EKS 2010 2.17.–2.20. punktu). Tādējādi tā nav uzskatāma par atsevišķu institucionālo vienību un ir jākonsolidē ar tās mātesuzņēmumu (valdību). Nacionālajos kontos nav jāņem vērā nekādi darījumi: ne darījums ar aktīviem, ne arī kādi sekojoši darījumi ar precēm un pakalpojumiem – produkciju un starppatēriņu.</w:t>
      </w:r>
    </w:p>
    <w:p w14:paraId="6F79F38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7FEDD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Ja vienība ir radīta, sadalot citu vienību, tās izveidi ieraksta kontā “Citas aktīvu apjoma pārmaiņas” kā pārmaiņas klasifikācijā un struktūrā (K.61). Ja vienība faktiski iegādājas aktīvu pati par saviem finanšu līdzekļiem, piemēram, aizņemoties savā vārdā, šo darījumu var traktēt kā aktīva pārdošanu, parasti kā bruto pamatkapitāla veidošanu (P.51g), no vienas vispārējās valdības daļas citai valdības daļai. Tādējādi kopumā vispārējās valdības neto aizdevums/aizņēmums (B.9) netiktu ietekmēts. Visi maksājumi, ko pēc tam valdība veic vienībai, jāieraksta kā kārtējie pārvedumi vispārējā valdībā (D.73).</w:t>
      </w:r>
    </w:p>
    <w:p w14:paraId="2AD31C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08A9A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Šo vienību klasificē vispārējās valdības sektorā tik ilgi, kamēr tās darbība galvenokārt ir saistīta ar pakalpojumu sniegšanu valdībai (piemēram, palīgtelpu noma). Iespējamā pārklasificēšanā ārpus vispārējās valdības sektora jāveic saskaņā ar noteikumiem, kas nosaka tirgus/ārpustirgus atšķirību un kontroles definīcijas.</w:t>
      </w:r>
    </w:p>
    <w:p w14:paraId="676230E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CFC07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Pat ja šāda vienība izpilda kritērijus, lai tiktu uzskatīta par institucionālu vienību, maksājumus, ko valdība veic par minētās vienības sniegtajiem nomas pakalpojumiem nomas laikā, nevar uzskatīt par tirgus produkciju, jo:</w:t>
      </w:r>
    </w:p>
    <w:p w14:paraId="2BBACC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32ACB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lai ieņēmumus klasificētu kā pakalpojuma pārdošanu, maksājumam ir jābūt tādam, kas būtiski ietekmē pieprasījumu un/vai piedāvājumu;</w:t>
      </w:r>
    </w:p>
    <w:p w14:paraId="0B17F55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312AF74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šajā gadījumā, kad valdība izveido vienību, kas apsaimnieko sabiedriskās ēkas un izmitina valdības struktūrvienības, maksājumus, kurus veic šīs struktūrvienības, kopumā nevar uzskatīt par ieņēmumiem no pārdošanas, jo, visticamāk, tie ievērojami neietekmē valdības radīto pieprasījumu, pat ja nomas maksu nosaka saskaņā ar tirgus cenām.</w:t>
      </w:r>
    </w:p>
    <w:p w14:paraId="585DF467"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2775EC6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Šī darījuma klasifikācija nav jāskata kā piezīme par efektivitāti vai arī par sabiedrisko ēku apsaimniekošanu. Tā rezultātā varētu notikt sabiedrisko ēku pārdale starp valdības struktūrvienībām tādējādi, ka dažas sabiedriskās ēkas kļūst pieejamas izmantošanai privātām vajadzībām. Pēdējā minētajā gadījumā ieņēmumi no privātajiem lietotājiem jāieraksta kā pārdošana. Aktīvu pārkārtošana valdības sektorā tomēr neatbilst tirgus darbībai.</w:t>
      </w:r>
    </w:p>
    <w:p w14:paraId="71FC30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CD02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Šī vienība, kas ir ārpustirgus vienība, jāklasificē vispārējās valdības sektorā vismaz tik ilgi, kamēr maksājumi, ko veic valdības struktūrvienības, veido tās resursu lielāko daļu.</w:t>
      </w:r>
    </w:p>
    <w:p w14:paraId="3DF4FBCF" w14:textId="77777777" w:rsidR="00443399" w:rsidRPr="00BE27DC" w:rsidRDefault="00443399" w:rsidP="00BE27DC">
      <w:pPr>
        <w:rPr>
          <w:rFonts w:ascii="Times New Roman" w:hAnsi="Times New Roman" w:cs="Times New Roman"/>
          <w:noProof/>
          <w:sz w:val="24"/>
          <w:szCs w:val="24"/>
        </w:rPr>
      </w:pPr>
      <w:bookmarkStart w:id="494" w:name="6.2.2.3.2._The_unit_is_an_existing_publi"/>
      <w:bookmarkEnd w:id="494"/>
    </w:p>
    <w:p w14:paraId="7A6D0E56"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6.2.2.3.2. Vienība ir esoša publiska sabiedrība</w:t>
      </w:r>
    </w:p>
    <w:p w14:paraId="44CBE6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D619C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Gadījumā, kad esoša publiska sabiedrība</w:t>
      </w:r>
      <w:r w:rsidRPr="00B03B51">
        <w:rPr>
          <w:rStyle w:val="FootnoteReference"/>
          <w:rFonts w:ascii="Times New Roman" w:hAnsi="Times New Roman" w:cs="Times New Roman"/>
          <w:noProof/>
          <w:sz w:val="24"/>
        </w:rPr>
        <w:footnoteReference w:id="194"/>
      </w:r>
      <w:r w:rsidRPr="00B03B51">
        <w:rPr>
          <w:rFonts w:ascii="Times New Roman" w:hAnsi="Times New Roman" w:cs="Times New Roman"/>
          <w:sz w:val="24"/>
        </w:rPr>
        <w:t xml:space="preserve"> iegādājas nefinanšu aktīvus no valdības par tirgus cenu un kad valdība un šī sabiedrība neveic citus saistītus savstarpējos darījumus, to ieraksta kā valdības nefinanšu aktīvu pārdošanu kapitāla kontā (P.51g), kas uzlabo valdības neto aizdevumu/aizņēmumu (B.9).</w:t>
      </w:r>
    </w:p>
    <w:p w14:paraId="04BB525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152FC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Tomēr dažkārt citu notikumu dēļ darījumu veids var mainīties. Piemēram, aktīvu pārvedumu var saistīt ar lielām pārmaiņām sabiedrības funkcijās, proti, tā sāk jaunu darbību un uzņemas pienākumus, kas agrāk ietilpa valdības funkcijās. Aktīvu pārvedums netiek veikts par tirgus cenu vai arī vispār netiek veikts nekāds maksājums par aktīvu, vai arī pirkumu var finansēt no aizdevuma vai valdības ieguldījuma pašu kapitālā.</w:t>
      </w:r>
    </w:p>
    <w:p w14:paraId="079EF8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A836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25. Lai ierakstītu valdības pamatlīdzekļu nodošanu esošai publiskai sabiedrībai</w:t>
      </w:r>
      <w:r w:rsidRPr="00B03B51">
        <w:rPr>
          <w:rStyle w:val="FootnoteReference"/>
          <w:rFonts w:ascii="Times New Roman" w:hAnsi="Times New Roman" w:cs="Times New Roman"/>
          <w:noProof/>
          <w:sz w:val="24"/>
        </w:rPr>
        <w:footnoteReference w:id="195"/>
      </w:r>
      <w:r w:rsidRPr="00B03B51">
        <w:rPr>
          <w:rFonts w:ascii="Times New Roman" w:hAnsi="Times New Roman" w:cs="Times New Roman"/>
          <w:sz w:val="24"/>
        </w:rPr>
        <w:t xml:space="preserve"> kā aktīvu pārdošanu, ir jābūt izpildītiem šādiem nosacījumiem</w:t>
      </w:r>
      <w:r w:rsidRPr="00B03B51">
        <w:rPr>
          <w:rStyle w:val="FootnoteReference"/>
          <w:rFonts w:ascii="Times New Roman" w:hAnsi="Times New Roman" w:cs="Times New Roman"/>
          <w:noProof/>
          <w:sz w:val="24"/>
        </w:rPr>
        <w:footnoteReference w:id="196"/>
      </w:r>
      <w:r w:rsidRPr="00B03B51">
        <w:rPr>
          <w:rFonts w:ascii="Times New Roman" w:hAnsi="Times New Roman" w:cs="Times New Roman"/>
          <w:sz w:val="24"/>
        </w:rPr>
        <w:t>:</w:t>
      </w:r>
    </w:p>
    <w:p w14:paraId="6842A3B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90205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sabiedrībai jābūt tādai, kas ir jau iepriekš pastāvējusi, nevis izveidota konkrēti šim darījumam; parasti tai jābūt iesaistītai šāda veida darbībā (noma), apliecinot kompetenci šādu aktīvu pārvaldībā; tās lielumam jābūt samērīgam ar attiecīgo darījumu tādā ziņā, ka nodoto aktīvu vērtība nedrīkst būtiski pārsniegt esošo aktīvu pašreizējo vērtību, kuri jau pieder sabiedrībai;</w:t>
      </w:r>
    </w:p>
    <w:p w14:paraId="37366B0C"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3DB58E5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sabiedrība aktīvu iegādi finansē pati no saviem līdzekļiem (piemēram, aizņemoties tirgū), nevis no valdības.</w:t>
      </w:r>
    </w:p>
    <w:p w14:paraId="7922776B"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3A4C3F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Ja viens no šiem nosacījumiem netiek izpildīts, viss process ir uzskatāms par aktīvu pārstrukturēšanu publiskajā sektorā, kā rezultātā tiek panākta efektīvāka šo aktīvu pārvaldība (neietekmējot B.9). Aktīvu nodošanu līdzīgi kā saistībā ar sabiedrības pārstrukturēšanu ieraksta kā citas plūsmas kontā “Citas aktīvu apjoma pārmaiņas” (skat. 3.4. nodaļu “Kapitāla iepludināšana natūrā” un 3.4.2. iedaļu “Traktējums nacionālajos kontos”).</w:t>
      </w:r>
    </w:p>
    <w:p w14:paraId="1A2FE6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A7153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Ja valdībai tiek veikts faktisks maksājums (par aktīvu “pārdošanu”), kas ar valdības aizdevumu tika finansēts publiskai sabiedrībai, visa darbība ir jāsadala divās daļās:</w:t>
      </w:r>
    </w:p>
    <w:p w14:paraId="36E605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1755D4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aktīvu (piemēram, ēku) pārvedums – tas palielina vienības pašu kapitālu, ko ieraksta kontā “Citas aktīvu apjoma pārmaiņas”;</w:t>
      </w:r>
    </w:p>
    <w:p w14:paraId="7E88179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45FD57B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finanšu darījumi – vienības no valdības ņemts aizņēmums (F.4) un maksājums valdībai būtu jāieraksta kā pašu kapitāla izņemšana (F.5).</w:t>
      </w:r>
    </w:p>
    <w:p w14:paraId="231BD8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5C2D2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Tā rezultātā šādos alternatīvos gadījumos netiek ietekmēts vispārējās valdības neto aizdevums/aizņēmums (B.9).</w:t>
      </w:r>
    </w:p>
    <w:p w14:paraId="313DA7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3CD038"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bookmarkStart w:id="495" w:name="6.2.2.3.3._The_unit_is_a_private_operato"/>
      <w:bookmarkEnd w:id="495"/>
      <w:r w:rsidRPr="00B03B51">
        <w:rPr>
          <w:rFonts w:ascii="Times New Roman" w:hAnsi="Times New Roman" w:cs="Times New Roman"/>
          <w:sz w:val="24"/>
        </w:rPr>
        <w:t>6.2.2.3.3. Vienība ir privāts operators</w:t>
      </w:r>
    </w:p>
    <w:p w14:paraId="290CBB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88B2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Valdība ar privātu sabiedrību var veikt pārdošanas darījumu ar saņemšanu atpakaļ nomā vairāku iemeslu dēļ, tostarp:</w:t>
      </w:r>
    </w:p>
    <w:p w14:paraId="5F3BF7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9D9870"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lai samazinātu riskus, kas saistīti ar aktīva īpašumtiesībām;</w:t>
      </w:r>
    </w:p>
    <w:p w14:paraId="2AEDBFEE"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DE8CC9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lai gūtu labumu no privātā sektora pārvaldības;</w:t>
      </w:r>
    </w:p>
    <w:p w14:paraId="66FEF4A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DFDC06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naudas vienreizēja iepludināšana sava parāda samazināšanai.</w:t>
      </w:r>
    </w:p>
    <w:p w14:paraId="6ACB1FA9"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0D8A73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Vienība paliktu klasificēta kā privāta sabiedrība, ja darbības rezultātā nemainās tas, kā tā tiek kontrolēta.</w:t>
      </w:r>
    </w:p>
    <w:p w14:paraId="1390391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EEA86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Ja tā ir jauna vienība, to varētu klasificēt privātajā sektorā, ja to ir izveidojušas un kontrolē citas privātas vienības, kas tajā ieguldījušas pašu kapitālu. Ir jāšaubās, vai to var klasificēt kā privātu sabiedrību, piemēram, šādos gadījumos:</w:t>
      </w:r>
    </w:p>
    <w:p w14:paraId="263260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5B87455"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a) valdībai ir tiesības iecelt, atcelt, apstiprināt galveno personālu vai izmantot veto tiesības attiecībā uz to;</w:t>
      </w:r>
    </w:p>
    <w:p w14:paraId="4053D53E"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6B2888CF"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b) privātais pašu kapitāls nav pakļauts riskam;</w:t>
      </w:r>
    </w:p>
    <w:p w14:paraId="0D154C83"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0524F2DE"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c) valdība izsniedz garantijas attiecībā uz vienības parādiem;</w:t>
      </w:r>
    </w:p>
    <w:p w14:paraId="7585E7BE"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2D184D99"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d) valdība īsteno kontroli ar citiem līdzekļiem, piemēram, izmantojot pārdošanas ar saņemšanu atpakaļ nomā līgumu.</w:t>
      </w:r>
    </w:p>
    <w:p w14:paraId="1865BDE0"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1232054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Šeit nav iespējams sniegt īpašus noteikumus, kas aptvertu visas iespējas. Lai noteiktu, kura klasifikācija – “publiska sabiedrība” vai “privāta sabiedrība” – ir atbilstoša, vienības struktūra un tās darbība ir jāizvērtē kopumā. Šie jautājumi ir plaši aplūkoti 1.2. nodaļā.</w:t>
      </w:r>
    </w:p>
    <w:p w14:paraId="24024D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5FB6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Pārdošanas ar saņemšanu atpakaļ nomā darījums ar privātu vienību tiek ierakstīts kā darījums, nevis kā aktīvu pārstrukturēšana citās plūsmās. Parasti tiks ierakstīts pamatlīdzekļu pārdošanas darījums (P.51g), tādējādi uzlabojot vispārējās valdības neto aizdevumu/aizņēmumu (B.9), ar nosacījumu, ka saņemšana atpakaļ nomā ir operatīvā noma. Pretējā gadījumā ir jāieraksta valdības aizņēmums.</w:t>
      </w:r>
    </w:p>
    <w:p w14:paraId="7DF540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B1862C"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bookmarkStart w:id="496" w:name="6.2.2.3.4._Sale_and_leaseback_transactio"/>
      <w:bookmarkEnd w:id="496"/>
      <w:r w:rsidRPr="00B03B51">
        <w:rPr>
          <w:rFonts w:ascii="Times New Roman" w:hAnsi="Times New Roman" w:cs="Times New Roman"/>
          <w:sz w:val="24"/>
        </w:rPr>
        <w:t>6.2.2.3.4. Pārdošanas ar saņemšanu atpakaļ nomā darījums, kurā ietverti atpakaļpirkuma komponenti</w:t>
      </w:r>
    </w:p>
    <w:p w14:paraId="69750D8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9552E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Pārdošanas ar atpirkšanu līgumi ir līgumi, kuros subjekts pārdod aktīvu pircējam, bet apsola atpirkt šo aktīvu vai arī tam ir iespēja to izdarīt. Atpirktajam aktīvam nav obligāti jābūt sākotnēji pircējam pārdotajam aktīvam; tas var būt būtībā tāds pats aktīvs vai pat tikai sākotnējā aktīva sastāvdaļa. Pārdošanas ar atpirkšanu līgumi parasti ir triju veidu atvasinātie finanšu instrumenti – ārpusbiržas nākotnes līgums (pārdevējam ir pienākums atpirkt), pirkšanas iespēju līgums (pārdevējam ir tiesības atpirkt) vai pārdošanas iespēju līgums (pārdevējam ir pienākums atpirkt pēc pircēja pieprasījuma).</w:t>
      </w:r>
    </w:p>
    <w:p w14:paraId="5D99633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8041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Pārdošanas ar saņemšanu atpakaļ nomā darījumi var ietvert atpakaļpirkuma komponentus, tādējādi ietekmējot nomāto aktīvu. Šādos gadījumos uzskaites traktējums ir atkarīgs no atpakaļpirkšanas komponenta veida, proti:</w:t>
      </w:r>
    </w:p>
    <w:p w14:paraId="3353E8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51B9A2D"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ja pārdevējs–nomnieks ir piekritis nestandartizētam nākotnes darījumam, lai atpirktu aktīvu, vai tam ir pirkšanas iespēju līgums (ar fiksētu iespējas izmantošanas cenu vai kas apmierina iepriekš 8. punkta b) apakšpunktā paredzētos nosacījumus), vai</w:t>
      </w:r>
    </w:p>
    <w:p w14:paraId="7EF66E29"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4EED157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ja pircējam–aizdevējam ir pārdošanas iespēju līgums un būtisks ekonomisks stimuls</w:t>
      </w:r>
      <w:r w:rsidRPr="00B03B51">
        <w:rPr>
          <w:rStyle w:val="FootnoteReference"/>
          <w:rFonts w:ascii="Times New Roman" w:hAnsi="Times New Roman" w:cs="Times New Roman"/>
          <w:noProof/>
          <w:sz w:val="24"/>
        </w:rPr>
        <w:footnoteReference w:id="197"/>
      </w:r>
      <w:r w:rsidRPr="00B03B51">
        <w:rPr>
          <w:rFonts w:ascii="Times New Roman" w:hAnsi="Times New Roman" w:cs="Times New Roman"/>
          <w:sz w:val="24"/>
        </w:rPr>
        <w:t xml:space="preserve"> īstenot savas tiesības (pārdošanas iespēju līgums),</w:t>
      </w:r>
    </w:p>
    <w:p w14:paraId="785DC973"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410642B4"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uzskatāms, ka viss pārdošanas ar saņemšanu atpakaļ nomā darījums ir aizņēmums un to uzskaita kā aizdevumu saskaņā ar EKS 2010 5.134.–5.135. punktu.</w:t>
      </w:r>
    </w:p>
    <w:p w14:paraId="2839CC0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5524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36. Pretējā gadījumā viss pārdošanas ar saņemšanu atpakaļ nomā darījums ir kvalificējams kā pārdošana un operatīvā noma (ar nosacījumu, ka risku un priekšrocību analīzes aspekti neliek secināt, ka noma ir finanšu noma). Šādā gadījumā saņemšana atpakaļ nomā ir jāieraksta kā rente vai nomas maksa saskaņā ar EKS 2010 15.10.–15.12. punktu un 15.2. tabulu un aktīva pārdošana ir jāieraksta kā atsevišķs darījums.</w:t>
      </w:r>
    </w:p>
    <w:p w14:paraId="7959A0F2" w14:textId="77777777" w:rsidR="00443399" w:rsidRPr="00B03B51" w:rsidRDefault="00443399" w:rsidP="00443399">
      <w:pPr>
        <w:jc w:val="both"/>
        <w:rPr>
          <w:rFonts w:ascii="Times New Roman" w:eastAsia="Arial" w:hAnsi="Times New Roman" w:cs="Times New Roman"/>
          <w:noProof/>
          <w:sz w:val="24"/>
          <w:szCs w:val="19"/>
        </w:rPr>
      </w:pPr>
    </w:p>
    <w:p w14:paraId="7E805281" w14:textId="77777777" w:rsidR="00443399" w:rsidRPr="00B03B51" w:rsidRDefault="00443399" w:rsidP="003E2678">
      <w:pPr>
        <w:pStyle w:val="Heading3"/>
        <w:tabs>
          <w:tab w:val="left" w:pos="1267"/>
        </w:tabs>
        <w:ind w:left="0" w:firstLine="0"/>
        <w:jc w:val="both"/>
        <w:rPr>
          <w:rFonts w:ascii="Times New Roman" w:hAnsi="Times New Roman" w:cs="Times New Roman"/>
          <w:noProof/>
          <w:sz w:val="24"/>
        </w:rPr>
      </w:pPr>
      <w:bookmarkStart w:id="497" w:name="6.2.3_Rationale_of_the_treatment"/>
      <w:bookmarkStart w:id="498" w:name="_Toc67565180"/>
      <w:bookmarkEnd w:id="497"/>
      <w:r w:rsidRPr="00B03B51">
        <w:rPr>
          <w:rFonts w:ascii="Times New Roman" w:hAnsi="Times New Roman" w:cs="Times New Roman"/>
          <w:sz w:val="24"/>
        </w:rPr>
        <w:t>6.2.3. Traktējuma pamatojums</w:t>
      </w:r>
      <w:bookmarkEnd w:id="498"/>
    </w:p>
    <w:p w14:paraId="1BEA22F7" w14:textId="77777777" w:rsidR="00443399" w:rsidRPr="005B72E7" w:rsidRDefault="00443399" w:rsidP="005B72E7">
      <w:pPr>
        <w:rPr>
          <w:rFonts w:ascii="Times New Roman" w:hAnsi="Times New Roman" w:cs="Times New Roman"/>
          <w:noProof/>
          <w:sz w:val="24"/>
          <w:szCs w:val="24"/>
        </w:rPr>
      </w:pPr>
      <w:bookmarkStart w:id="499" w:name="6.2.3.1_The_unit_is_created_on_purpose"/>
      <w:bookmarkEnd w:id="499"/>
    </w:p>
    <w:p w14:paraId="004C1A34" w14:textId="77777777" w:rsidR="00443399" w:rsidRPr="00B03B51" w:rsidRDefault="00443399" w:rsidP="003E2678">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6.2.3.1. VIENĪBU RADA AR MĒRĶI</w:t>
      </w:r>
    </w:p>
    <w:p w14:paraId="0295E069" w14:textId="77777777" w:rsidR="00443399" w:rsidRPr="00B03B51" w:rsidRDefault="00443399" w:rsidP="003E2678">
      <w:pPr>
        <w:pStyle w:val="BodyText"/>
        <w:tabs>
          <w:tab w:val="left" w:pos="843"/>
        </w:tabs>
        <w:spacing w:before="0"/>
        <w:ind w:left="0" w:firstLine="0"/>
        <w:jc w:val="both"/>
        <w:rPr>
          <w:rFonts w:ascii="Times New Roman" w:hAnsi="Times New Roman" w:cs="Times New Roman"/>
          <w:noProof/>
          <w:sz w:val="24"/>
        </w:rPr>
      </w:pPr>
    </w:p>
    <w:p w14:paraId="4ACED3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Tāds pats pamatojums jāpiemēro attiecībā uz palīgpakalpojumu sniedzējiem, ko valdība izveidojusi identisku mērķu īstenošanai (proti, vienīgi tam, lai tās sniegtu pakalpojumus valdībai). Tad nacionālo kontu apkopošanas laikā visus darījumus starp valdību un šādām vienībām konsolidē.</w:t>
      </w:r>
    </w:p>
    <w:p w14:paraId="7B8FA05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07166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Tomēr, ja uzskata, ka šāda vienība ir pilnīgi institucionāla vienība, maksājumus, ko valdība veic par minētās vienības sniegtajiem nomas pakalpojumiem, nevar uzskatīt par tirgus produkciju, jo:</w:t>
      </w:r>
    </w:p>
    <w:p w14:paraId="3AF33D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8611B9" w14:textId="77777777" w:rsidR="00443399" w:rsidRPr="00B03B51" w:rsidRDefault="00443399" w:rsidP="007036A4">
      <w:pPr>
        <w:pStyle w:val="BodyText"/>
        <w:numPr>
          <w:ilvl w:val="0"/>
          <w:numId w:val="5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 maksājumu uzskatītu par pārdošanu, tam jābūt tādam, kas ievērojami ietekmē piedāvājumu un/vai pieprasījumu;</w:t>
      </w:r>
    </w:p>
    <w:p w14:paraId="5262A020" w14:textId="77777777" w:rsidR="00443399" w:rsidRPr="00B03B51" w:rsidRDefault="00443399" w:rsidP="007036A4">
      <w:pPr>
        <w:pStyle w:val="BodyText"/>
        <w:numPr>
          <w:ilvl w:val="0"/>
          <w:numId w:val="5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šajā gadījumā, kad valdība izveido vienību, kas apsaimnieko sabiedriskās ēkas un sniedz mājokļu pakalpojumus valdības struktūrvienībām, maksājumus, kurus veic šīs struktūrvienības, kopumā nevar uzskatīt par pārdošanu, jo, visticamāk, tie ievērojami neietekmē pieprasījumu, ko radījuši valdības pakalpojumi, pat ja nomas maksu nosaka saskaņā ar tirgus cenām. Turklāt šādi maksājumi, visticamāk, nozīmē vienīgi ierakstus valsts kases grāmatvedības uzskaites datos bez jebkādas faktiskas līdzekļu plūsmas. Šāda maksājuma finanšu ekvivalents ir diezgan “abstrakts” finanšu darījums.</w:t>
      </w:r>
    </w:p>
    <w:p w14:paraId="2CA5D5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0EDFC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Protams, tas nenozīmē, ka šāds pasākums nav efektīvs sabiedrisko ēku apsaimniekošanai. Tomēr labākajā gadījumā tā rezultātā sabiedriskās ēkas tiks pārdalītas starp valdības struktūrvienībām, un, iespējams, radīsies situācija, kurā valdības struktūrvienības pamet noteiktas sabiedriskās ēkas, kuras tādējādi kļūs pieejamas privātai lietošanai. Šajā pēdējā gadījumā privāto lietotāju veiktie maksājumi, protams, jātraktē kā pārdošana vai noma. Šādu aktīvu pārkārtošana valdības sektorā tomēr neatbilst tirgus darbībai.</w:t>
      </w:r>
    </w:p>
    <w:p w14:paraId="750AE5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E1189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Tādējādi šī vienība, kas ir ārpustirgus vienība, jāklasificē vispārējās valdības sektorā vismaz tik ilgi, kamēr maksājumi, ko veic valdības struktūrvienības, veido tās resursu lielāko daļu.</w:t>
      </w:r>
    </w:p>
    <w:p w14:paraId="41D2F9C9" w14:textId="77777777" w:rsidR="00443399" w:rsidRPr="00B03B51" w:rsidRDefault="00443399" w:rsidP="00443399">
      <w:pPr>
        <w:jc w:val="both"/>
        <w:rPr>
          <w:rFonts w:ascii="Times New Roman" w:hAnsi="Times New Roman" w:cs="Times New Roman"/>
          <w:noProof/>
          <w:sz w:val="24"/>
        </w:rPr>
      </w:pPr>
    </w:p>
    <w:p w14:paraId="55C57B4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00" w:name="6.2.3.2_The_unit_is_an_existing_public_c"/>
      <w:bookmarkEnd w:id="500"/>
      <w:r w:rsidRPr="00B03B51">
        <w:rPr>
          <w:rFonts w:ascii="Times New Roman" w:hAnsi="Times New Roman" w:cs="Times New Roman"/>
          <w:sz w:val="24"/>
        </w:rPr>
        <w:t>6.2.3.2. VIENĪBA IR ESOŠA PUBLISKA SABIEDRĪBA</w:t>
      </w:r>
    </w:p>
    <w:p w14:paraId="1416EB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5345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Vienkāršākajā gadījumā, kad esoša publiska sabiedrība pērk nefinanšu aktīvus no valdības par tirgus cenu un kad netiek veikti citi saistīti darījumi starp valdību un sabiedrību, kapitāla kontā ir atbilstoši ierakstīt nefinanšu aktīvu pārdošanu kapitāla kontā (P.51g), kas uzlabo valdības neto aizdevumu/aizņēmumu (B.9).</w:t>
      </w:r>
    </w:p>
    <w:p w14:paraId="6B8C553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1AD1A5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Tomēr dažos šāda veida gadījumos tiek veikti arī citi pasākumi. Piemēram, aktīvu pārvedumu var saistīt ar lielām pārmaiņām sabiedrības funkcijās, proti, tā sāk jaunu darbību un uzņemas pienākumus, kas agrāk ietilpa valdības funkcijās. Aktīvu pārvedums netiek veikts par tirgus cenu vai arī vispār netiek veikts nekāds maksājums par aktīvu, vai arī pirkumu var finansēt no aizdevuma vai valdības ieguldījuma pašu kapitālā.</w:t>
      </w:r>
    </w:p>
    <w:p w14:paraId="68D9021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319E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Šādos gadījumos visu procesu var uzskatīt par aktīvu pārstrukturēšanu publiskajā sektorā, kā rezultātā tiek panākta efektīvāka šo aktīvu pārvaldība. Atšķirībā no vienkārša pārdošanas darījuma tirgū šāds aktīvu pārvedums, līdzīgi kā saistībā ar sabiedrības pārstrukturēšanu, jāieraksta kā citas plūsmas kontā “Citas aktīvu apjoma pārmaiņas” (sīkāku informāciju skatīt 3.4. nodaļā “Kapitāla iepludināšana natūrā” un 3.4.2. iedaļā “Traktējums nacionālajos kontos”).</w:t>
      </w:r>
    </w:p>
    <w:p w14:paraId="528BE879" w14:textId="77777777" w:rsidR="00443399" w:rsidRPr="00B03B51" w:rsidRDefault="00443399" w:rsidP="00443399">
      <w:pPr>
        <w:jc w:val="both"/>
        <w:rPr>
          <w:rFonts w:ascii="Times New Roman" w:eastAsia="Arial" w:hAnsi="Times New Roman" w:cs="Times New Roman"/>
          <w:noProof/>
          <w:sz w:val="24"/>
          <w:szCs w:val="15"/>
        </w:rPr>
      </w:pPr>
    </w:p>
    <w:p w14:paraId="5C62424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01" w:name="6.2.3.3_The_unit_is_an_existing_private_"/>
      <w:bookmarkEnd w:id="501"/>
      <w:r w:rsidRPr="00B03B51">
        <w:rPr>
          <w:rFonts w:ascii="Times New Roman" w:hAnsi="Times New Roman" w:cs="Times New Roman"/>
          <w:sz w:val="24"/>
        </w:rPr>
        <w:t>6.2.3.3. VIENĪBA IR ESOŠS PRIVĀTS OPERATORS</w:t>
      </w:r>
    </w:p>
    <w:p w14:paraId="40963D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EBD1E3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Vienību klasificē kā privātu sabiedrību (S.11002), ja tā ir esoša privātā sektora vienība (vai tās pamatā ir esošas sabiedrības) un ja nav radušās nekādas pārmaiņas attiecībā uz tās kontroli vai pastāvēšanas mērķi. Ja tā ir jauna vienība, to varētu uzskatīt par privātu vienību tad, ja to izveidotu un kontrolētu citas privātas vienības, kas tajā ieguldījušas pašu kapitālu. Privātas sabiedrības klasifikāciju var apšaubīt šādos gadījumos:</w:t>
      </w:r>
    </w:p>
    <w:p w14:paraId="183DAA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C3E8DE" w14:textId="77777777" w:rsidR="00443399" w:rsidRPr="00B03B51" w:rsidRDefault="00443399" w:rsidP="005364DD">
      <w:pPr>
        <w:pStyle w:val="BodyText"/>
        <w:numPr>
          <w:ilvl w:val="0"/>
          <w:numId w:val="5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dažus vienības direktorus ieceļ valdība;</w:t>
      </w:r>
    </w:p>
    <w:p w14:paraId="46C94EBC" w14:textId="77777777" w:rsidR="00443399" w:rsidRPr="00B03B51" w:rsidRDefault="00443399" w:rsidP="005364DD">
      <w:pPr>
        <w:pStyle w:val="BodyText"/>
        <w:numPr>
          <w:ilvl w:val="0"/>
          <w:numId w:val="5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privātais pašu kapitāls nav pakļauts riskam;</w:t>
      </w:r>
    </w:p>
    <w:p w14:paraId="33DE6414" w14:textId="77777777" w:rsidR="00443399" w:rsidRPr="00B03B51" w:rsidRDefault="00443399" w:rsidP="005364DD">
      <w:pPr>
        <w:pStyle w:val="BodyText"/>
        <w:numPr>
          <w:ilvl w:val="0"/>
          <w:numId w:val="5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izsniedz garantijas attiecībā uz vienības parādiem.</w:t>
      </w:r>
    </w:p>
    <w:p w14:paraId="75B22E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B593C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Nav iespējams sniegt īpašus noteikumus, kas aptvertu visas iespējas, jo šādi gadījumi ir ļoti dažādi. Lai noteiktu, kura klasifikācija – “publiska sabiedrība” vai “privāta sabiedrība” – ir visatbilstošākā, vienības struktūra un darbība ir jāizvērtē kā viens veselums.</w:t>
      </w:r>
    </w:p>
    <w:p w14:paraId="03F295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6BA9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Valdība ar privātu vienību var veikt pārdošanas darījumu ar saņemšanu atpakaļ nomā vairāku iemeslu dēļ, tostarp:</w:t>
      </w:r>
    </w:p>
    <w:p w14:paraId="1949136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379583E" w14:textId="77777777" w:rsidR="00443399" w:rsidRPr="00B03B51" w:rsidRDefault="00443399" w:rsidP="005364DD">
      <w:pPr>
        <w:pStyle w:val="BodyText"/>
        <w:numPr>
          <w:ilvl w:val="0"/>
          <w:numId w:val="5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 samazinātu riskus, kas saistīti ar aktīva īpašumtiesībām;</w:t>
      </w:r>
    </w:p>
    <w:p w14:paraId="013AFA80" w14:textId="77777777" w:rsidR="00443399" w:rsidRPr="00B03B51" w:rsidRDefault="00443399" w:rsidP="005364DD">
      <w:pPr>
        <w:pStyle w:val="BodyText"/>
        <w:numPr>
          <w:ilvl w:val="0"/>
          <w:numId w:val="5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 gūtu labumu no privātā sektora pārvaldības;</w:t>
      </w:r>
    </w:p>
    <w:p w14:paraId="4EA8A7E9" w14:textId="77777777" w:rsidR="00443399" w:rsidRPr="00B03B51" w:rsidRDefault="00443399" w:rsidP="005364DD">
      <w:pPr>
        <w:pStyle w:val="BodyText"/>
        <w:numPr>
          <w:ilvl w:val="0"/>
          <w:numId w:val="5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 samazinātu savu parādu.</w:t>
      </w:r>
    </w:p>
    <w:p w14:paraId="373E84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66E13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Operācija ar privātu vienību jāieraksta ar darījumu starpniecību, nevis kā aktīvu pārstrukturēšana citās plūsmās. Galvenais izvērtējamais jautājums attiecas uz to, vai saņemšana atpakaļ nomā ir finanšu noma (šādā gadījumā aktīva pārdošanu neieraksta, jo tas paliek valdības bilancē) vai operatīvā noma atbilstīgi EKS 2010 15. nodaļas noteikumiem.</w:t>
      </w:r>
    </w:p>
    <w:p w14:paraId="29DB6B0D"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61A6AAA9" w14:textId="77777777" w:rsidR="00443399" w:rsidRPr="00B03B51" w:rsidRDefault="00443399" w:rsidP="00443399">
      <w:pPr>
        <w:jc w:val="both"/>
        <w:rPr>
          <w:rFonts w:ascii="Times New Roman" w:eastAsia="Arial" w:hAnsi="Times New Roman" w:cs="Times New Roman"/>
          <w:noProof/>
          <w:sz w:val="24"/>
          <w:szCs w:val="18"/>
        </w:rPr>
      </w:pPr>
    </w:p>
    <w:p w14:paraId="51EE0689"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502" w:name="6.3_Contracts_with_non-government_units_"/>
      <w:bookmarkStart w:id="503" w:name="_bookmark50"/>
      <w:bookmarkStart w:id="504" w:name="_Toc67565181"/>
      <w:bookmarkEnd w:id="502"/>
      <w:bookmarkEnd w:id="503"/>
      <w:r w:rsidRPr="00B03B51">
        <w:rPr>
          <w:rFonts w:ascii="Times New Roman" w:hAnsi="Times New Roman" w:cs="Times New Roman"/>
          <w:sz w:val="28"/>
          <w:szCs w:val="44"/>
        </w:rPr>
        <w:t>6.3. Līgumi ar valdības sektoram nepiederošām vienībām saistībā ar pamatlīdzekļiem</w:t>
      </w:r>
      <w:bookmarkEnd w:id="504"/>
    </w:p>
    <w:p w14:paraId="337D9A40" w14:textId="77777777" w:rsidR="00443399" w:rsidRPr="00100B51" w:rsidRDefault="00443399" w:rsidP="00100B51">
      <w:pPr>
        <w:rPr>
          <w:rFonts w:ascii="Times New Roman" w:hAnsi="Times New Roman" w:cs="Times New Roman"/>
          <w:noProof/>
          <w:sz w:val="24"/>
          <w:szCs w:val="24"/>
        </w:rPr>
      </w:pPr>
      <w:bookmarkStart w:id="505" w:name="6.3.1_Background"/>
      <w:bookmarkEnd w:id="505"/>
    </w:p>
    <w:p w14:paraId="749352FA" w14:textId="77777777" w:rsidR="00443399" w:rsidRPr="00B03B51" w:rsidRDefault="00443399" w:rsidP="00443399">
      <w:pPr>
        <w:pStyle w:val="Heading3"/>
        <w:ind w:left="0" w:firstLine="0"/>
        <w:jc w:val="both"/>
        <w:rPr>
          <w:rFonts w:ascii="Times New Roman" w:hAnsi="Times New Roman" w:cs="Times New Roman"/>
          <w:noProof/>
          <w:sz w:val="24"/>
        </w:rPr>
      </w:pPr>
      <w:bookmarkStart w:id="506" w:name="_Toc67565182"/>
      <w:r w:rsidRPr="00B03B51">
        <w:rPr>
          <w:rFonts w:ascii="Times New Roman" w:hAnsi="Times New Roman" w:cs="Times New Roman"/>
          <w:sz w:val="24"/>
        </w:rPr>
        <w:t>6.3.1. Vispārīga informācija</w:t>
      </w:r>
      <w:bookmarkEnd w:id="506"/>
    </w:p>
    <w:p w14:paraId="52E336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1BB668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nodaļā ir skatīts jautājums par to, kā valdības kontos ierakstīt līgumus ar valdības sektorā neietilpstošām vienībām, kas attiecas uz pamatlīdzekļiem (izņemot privātā un publiskā sektora partnerību, kas sīkāk skatīta turpmāk 6.4. nodaļā).</w:t>
      </w:r>
    </w:p>
    <w:p w14:paraId="3D58A7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17FF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Valdības līgumi ar sabiedrībām par tādu publisku pamatlīdzekļu finansēšanu, izveidi, būvniecību un izmantošanu kā gāzes, ūdens, elektrības un telesakaru tīkli, ceļi, dzelzceļa līnijas, ūdensceļi, lidostas un ēkas (slimnīcas, skolas, cietumi u. c.) var būt sagatavoti dažādās formās. Visbiežāk izmantotie ilgtermiņa līgumu veidi ir raksturoti turpmākajās apakšiedaļās.</w:t>
      </w:r>
    </w:p>
    <w:p w14:paraId="6CA5745B" w14:textId="77777777" w:rsidR="00443399" w:rsidRPr="00B03B51" w:rsidRDefault="00443399" w:rsidP="00443399">
      <w:pPr>
        <w:jc w:val="both"/>
        <w:rPr>
          <w:rFonts w:ascii="Times New Roman" w:eastAsia="Arial" w:hAnsi="Times New Roman" w:cs="Times New Roman"/>
          <w:noProof/>
          <w:sz w:val="24"/>
          <w:szCs w:val="15"/>
        </w:rPr>
      </w:pPr>
    </w:p>
    <w:p w14:paraId="226DAF7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07" w:name="6.3.1.1_Procurement_contracts_for_capita"/>
      <w:bookmarkEnd w:id="507"/>
      <w:r w:rsidRPr="00B03B51">
        <w:rPr>
          <w:rFonts w:ascii="Times New Roman" w:hAnsi="Times New Roman" w:cs="Times New Roman"/>
          <w:sz w:val="24"/>
        </w:rPr>
        <w:t>6.3.1.1. IEPIRKUMA LĪGUMI ATTIECĪBĀ UZ PAMATLĪDZEKĻIEM</w:t>
      </w:r>
    </w:p>
    <w:p w14:paraId="64F010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AACE1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Šajā gadījumā valdības sektoram nepiederoša puse tikai apņemas veikt aktīva būvniecību un nodot to valdībai atbilstoši tās prasībām (pārbaudi parasti veic trešā puse). Aktīvu pilnībā izmantos valdība, uzņemoties par to pilnu atbildību. Ietekme uz valdības kapitāla izdevumiem var būt “vienreizēja” vienīgi attiecībā uz aktīviem, kas tiek uzbūvēti un pabeigti viena fiskālā gada laikā. Pretējā gadījumā EKS 2010 3.55. punktā noteikts, ka nepabeigtas celtnes un ēkas saskaņā ar pārdošanas/pirkšanas līgumu (kas nozīmē, ka valdība apņemas pārņemt aktīvus, ja tie atbilst noteiktajām prasībām) tiek iegūtas ilgstošā laika posmā atbilstīgi uzkrāšanas principam (pat ja tās ir nepabeigtā stāvoklī). Praksē bruto ieguldījumu pamatkapitālā vērtību var aplēst, izmantojot posmu (starpposmu) maksājumus, bet, ja tādu nav, var izmantot izmaksas, kas radušās līdz konkrētajam datumam. Tas neizslēdz iespēju, ka dažus pakalpojumus, kas nav tieši saistīti ar aktīviem, varētu nacionālajos kontos norādīt atsevišķi un atbilstoši traktēt.</w:t>
      </w:r>
    </w:p>
    <w:p w14:paraId="7BB24151" w14:textId="77777777" w:rsidR="00443399" w:rsidRPr="00B03B51" w:rsidRDefault="00443399" w:rsidP="00443399">
      <w:pPr>
        <w:jc w:val="both"/>
        <w:rPr>
          <w:rFonts w:ascii="Times New Roman" w:eastAsia="Arial" w:hAnsi="Times New Roman" w:cs="Times New Roman"/>
          <w:noProof/>
          <w:sz w:val="24"/>
          <w:szCs w:val="15"/>
        </w:rPr>
      </w:pPr>
    </w:p>
    <w:p w14:paraId="0080BA4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08" w:name="6.3.1.2_Procurement_contracts_for_goods_"/>
      <w:bookmarkEnd w:id="508"/>
      <w:r w:rsidRPr="00B03B51">
        <w:rPr>
          <w:rFonts w:ascii="Times New Roman" w:hAnsi="Times New Roman" w:cs="Times New Roman"/>
          <w:sz w:val="24"/>
        </w:rPr>
        <w:t>6.3.1.2. PREČU UN PAKALPOJUMU IEPIRKUMA LĪGUMS</w:t>
      </w:r>
    </w:p>
    <w:p w14:paraId="65765D4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8E63F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Valdība konkrētā ilgtermiņa periodā tikai iepērk pakalpojumus, bet nenosaka īpašas prasības attiecībā uz aktīviem (t. i., tādas prasības, kas atšķirtos no vispārējiem reglamentējošiem standartiem). Šāda līgumiskā saikne var būt būtiska, lai nodrošinātu pakalpojumu piegādes nepārtrauktību gan daudzuma, gan kvalitātes ziņā. Traktējums nacionālajos kontos balstās tikai uz plūsmām vienā fiskālajā gadā.</w:t>
      </w:r>
    </w:p>
    <w:p w14:paraId="041804C2" w14:textId="77777777" w:rsidR="00443399" w:rsidRPr="00B03B51" w:rsidRDefault="00443399" w:rsidP="00443399">
      <w:pPr>
        <w:jc w:val="both"/>
        <w:rPr>
          <w:rFonts w:ascii="Times New Roman" w:eastAsia="Arial" w:hAnsi="Times New Roman" w:cs="Times New Roman"/>
          <w:noProof/>
          <w:sz w:val="24"/>
          <w:szCs w:val="15"/>
        </w:rPr>
      </w:pPr>
    </w:p>
    <w:p w14:paraId="287B4365"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09" w:name="6.3.1.3_Equity_stakes"/>
      <w:bookmarkEnd w:id="509"/>
      <w:r w:rsidRPr="00B03B51">
        <w:rPr>
          <w:rFonts w:ascii="Times New Roman" w:hAnsi="Times New Roman" w:cs="Times New Roman"/>
          <w:sz w:val="24"/>
        </w:rPr>
        <w:t>6.3.1.3. PAŠU KAPITĀLA DAĻAS</w:t>
      </w:r>
    </w:p>
    <w:p w14:paraId="1BD5470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124F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Šādi pasākumi ietver tādas jaunas vienības (ko bieži vien dēvē par “kopuzņēmumu”) dibināšanu, kurā valdības vienībai un valdības sektoram nepiederošai vienībai pieder pašu kapitāla daļas sabiedrībā, kas pārvalda, piemēram, konkrēto infrastruktūru, vai situāciju, kurā valdības sektoram nepiederošs partneris pārņem kontroli pār pastāvošu publisku uzņēmumu. EKS 2010 noteikumi, kas papildināti ar šo rokasgrāmatu, sniedz skaidrus norādījumus, jo īpaši attiecībā uz tādu plūsmu traktējumu, kas ir starp valdību un šādu vienību. Tirgus subjektu, kas nepārprotami ir kopuzņēmums ar stingri vienlīdzīgu kapitāla daļu sadalījumu, klasificē kā publisku sabiedrību, ja vien tiek uzskatīts, ka vienības vispārējā politika atrodas valdības kontrolē (skat. 1.8. nodaļu “Kopuzņēmumi”).</w:t>
      </w:r>
    </w:p>
    <w:p w14:paraId="398776EA" w14:textId="77777777" w:rsidR="00443399" w:rsidRPr="00B03B51" w:rsidRDefault="00443399" w:rsidP="00443399">
      <w:pPr>
        <w:jc w:val="both"/>
        <w:rPr>
          <w:rFonts w:ascii="Times New Roman" w:eastAsia="Arial" w:hAnsi="Times New Roman" w:cs="Times New Roman"/>
          <w:noProof/>
          <w:sz w:val="24"/>
          <w:szCs w:val="15"/>
        </w:rPr>
      </w:pPr>
    </w:p>
    <w:p w14:paraId="1CE9CB66" w14:textId="77777777" w:rsidR="00443399" w:rsidRPr="00B03B51" w:rsidRDefault="00443399" w:rsidP="003E2678">
      <w:pPr>
        <w:pStyle w:val="Heading6"/>
        <w:keepNext/>
        <w:tabs>
          <w:tab w:val="left" w:pos="1267"/>
        </w:tabs>
        <w:ind w:left="0" w:firstLine="0"/>
        <w:jc w:val="both"/>
        <w:rPr>
          <w:rFonts w:ascii="Times New Roman" w:hAnsi="Times New Roman" w:cs="Times New Roman"/>
          <w:noProof/>
          <w:sz w:val="24"/>
        </w:rPr>
      </w:pPr>
      <w:bookmarkStart w:id="510" w:name="6.3.1.4_Leases"/>
      <w:bookmarkEnd w:id="510"/>
      <w:r w:rsidRPr="00B03B51">
        <w:rPr>
          <w:rFonts w:ascii="Times New Roman" w:hAnsi="Times New Roman" w:cs="Times New Roman"/>
          <w:sz w:val="24"/>
        </w:rPr>
        <w:lastRenderedPageBreak/>
        <w:t>6.3.1.4. NOMA</w:t>
      </w:r>
    </w:p>
    <w:p w14:paraId="502CBA1B" w14:textId="77777777" w:rsidR="00443399" w:rsidRPr="00B03B51" w:rsidRDefault="00443399" w:rsidP="003E2678">
      <w:pPr>
        <w:pStyle w:val="BodyText"/>
        <w:keepNext/>
        <w:tabs>
          <w:tab w:val="left" w:pos="843"/>
        </w:tabs>
        <w:spacing w:before="0"/>
        <w:ind w:left="0" w:firstLine="0"/>
        <w:jc w:val="both"/>
        <w:rPr>
          <w:rFonts w:ascii="Times New Roman" w:hAnsi="Times New Roman" w:cs="Times New Roman"/>
          <w:noProof/>
          <w:sz w:val="24"/>
        </w:rPr>
      </w:pPr>
    </w:p>
    <w:p w14:paraId="5EEC8489" w14:textId="77777777" w:rsidR="00443399" w:rsidRPr="00B03B51" w:rsidRDefault="00443399" w:rsidP="003E2678">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Valdība noteiktu laikposmu izmanto aktīvu, kas juridiski pieder valdības sektoram nepiederošai vienībai. Atbilstoši katras puses “riska un atlīdzību” analīzei (tas ir jēdziena “ekonomiskās īpašumtiesības” pamats) nomu uzskata par “operatīvo nomu” vai par “finanšu nomu”, un kā rezultātā jāizmanto atšķirīgs traktējums nacionālajos kontos (skat. EKS 2010 15. nodaļu). Tas attiecas arī uz “pārrobežu nomu” (kas izpaužas kā savstarpēji saistīti nomas līgumi, kurus parasti dēvē par “galveno nomu” un “apakšnomu”). Ja valdība noslēdz finanšu nomas līgumu, tad valdības neto aizdevums/aizņēmums (B.9) un parāds tiks ietekmēts aktīvu tirgus vērtības apmērā brīdī, kad valdība kļūst par šo aktīvu ekonomisko īpašnieci.</w:t>
      </w:r>
    </w:p>
    <w:p w14:paraId="32A556B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FD31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EKS 2010 15. nodaļā paskaidrota atšķirība starp finanšu nomu un operatīvo nomu. Nomas veids ir atkarīgs no tā, kurš ir uzņēmies lielāko daļu ar aktīvu saistīto risku un priekšrocību – iznomātājs (aktīva īpašnieks) vai nomnieks (aktīva lietotājs), un minētajā pielikumā ir uzsvērts, ka noteicošā ir šo pasākumu ekonomiskā realitāte, nevis to juridiskās īpašības. Nacionālajos kontos ir ieteikti dažādi kritēriji, saskaņā ar kuriem pieņem lēmumu par to, vai noma jāuzskata par operatīvo nomu vai finanšu nomu. To atbilstību izvērtē katrā konkrētajā gadījumā atsevišķi.</w:t>
      </w:r>
    </w:p>
    <w:p w14:paraId="0B5D24B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567AB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Šajā saistībā cieša korelācija starp līguma darbības termiņu un aktīva paredzamo ekonomisko mūžu ir būtiska finanšu nomas pazīme, jo pēc līguma beigām iznomātājs nespētu aizdot aktīvu citam nomniekam vai to izmantot līdzīgā efektivitātes līmenī (bez renovācijas izdevumiem).</w:t>
      </w:r>
    </w:p>
    <w:p w14:paraId="03AD95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550B2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Par finanšu nomu uzskata arī gadījumus, kuros valdība veic tiešus maksājumus par lielāko daļu uzturēšanas darbu, kas saistīti ar aktīvu, iegādājas apdrošināšanu dažu ilglietojuma preču gadījumā, kā arī uzņemas risku saistībā ar šādu izmaksu mainīgumu. Tas attiecas arī uz gadījumu, ja valdība apņemas atmaksāt sabiedrības parādu līguma pirmstermiņa izbeigšanas gadījumā.</w:t>
      </w:r>
    </w:p>
    <w:p w14:paraId="73CA66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D6790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Turpretī operatīvā noma ir jāapsver, ja nomas sabiedrībai ir būtiskas un nepārtrauktas pilnvaras lemt par līguma izpildes veidu, pieņemt būtiskos lēmumus par aktīva projektēšanu un būvniecību, kā arī pieņemt lēmumu par to, kā ekspluatēt un uzturēt šo aktīvu, lai sniegtu nepieciešamos pakalpojumus.</w:t>
      </w:r>
      <w:r w:rsidRPr="00B03B51">
        <w:rPr>
          <w:rStyle w:val="FootnoteReference"/>
          <w:rFonts w:ascii="Times New Roman" w:hAnsi="Times New Roman" w:cs="Times New Roman"/>
          <w:noProof/>
          <w:sz w:val="24"/>
        </w:rPr>
        <w:footnoteReference w:id="198"/>
      </w:r>
    </w:p>
    <w:p w14:paraId="5CEEB2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459C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Papildus tam kā atbilstīgas klasifikācijas pazīmi var izmantot arī izvēlētā partnera būtību, ja valdība noslēdz nomas līgumu ar vienībām, kas ir specializējušās vai nu operatīvajā nomā, vai arī finanšu nomā. Piemēri ir vienības, kas piedāvā tikai aprīkojuma (piemēram, transporta aprīkojuma, datortehnikas) operatīvo nomu, vai iestādes, kas specializējušās finanšu nomā un piedāvā īpašuma nomu (biroju platības valsts vienībām) vai aprīkojuma nomu. Visos gadījumos ir svarīgi arī pārbaudīt, vai valdība līgumu noslēgusi atbilstīgi ierastajiem komerciālajiem/tirgus nosacījumiem (piemēram, nomas ilgums, cenu indeksācija, paziņošana par līguma laušanu, atjaunošana, strīdu izšķiršanas kārtība u. c.).</w:t>
      </w:r>
    </w:p>
    <w:p w14:paraId="259F1C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20DAD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Ja valdības sektoram nepiederoša vienība ir aktīvu likumīgā īpašniece (iznomātājs) un valdība, kas izmanto aktīvus (nomnieks), tiek uzskatīta par ekonomisko īpašnieci, tad ieraksta finanšu nomu. Aktīvs, kas nodrošināts finanšu nomā, tiek ierakstīts valdības bilancē, un aktīva ekonomiskais pārvedums tiek ierakstīts kā valdības bruto ieguldījums pamatkapitālā (P.51g) un kā nefinanšu aktīvs tās bilancē. Tādējādi valdības bilancē rodas arī saistības nosacītā aizdevuma (AF.4) formā. Tiek uzskatīts, ka regulārie maksājumi iznomātājiem ir nosacītā aizdevuma </w:t>
      </w:r>
      <w:r w:rsidRPr="00B03B51">
        <w:rPr>
          <w:rFonts w:ascii="Times New Roman" w:hAnsi="Times New Roman" w:cs="Times New Roman"/>
          <w:sz w:val="24"/>
        </w:rPr>
        <w:lastRenderedPageBreak/>
        <w:t>amortizācija, un tos var sadalīt divos darījumos: finanšu darījumā attiecībā uz pamatsummas atmaksāšanu (F.4) un nefinanšu darījumā attiecībā uz procentu maksājumu (D.41). Iespējams arī pakalpojuma komponents (</w:t>
      </w:r>
      <w:r w:rsidRPr="00B03B51">
        <w:rPr>
          <w:rFonts w:ascii="Times New Roman" w:hAnsi="Times New Roman" w:cs="Times New Roman"/>
          <w:i/>
          <w:iCs/>
          <w:sz w:val="24"/>
        </w:rPr>
        <w:t>FISIM</w:t>
      </w:r>
      <w:r w:rsidRPr="00B03B51">
        <w:rPr>
          <w:rFonts w:ascii="Times New Roman" w:hAnsi="Times New Roman" w:cs="Times New Roman"/>
          <w:sz w:val="24"/>
        </w:rPr>
        <w:t>), ja iznomātājs ir klasificēts finanšu sektorā (papildu informāciju skat. EKS 2010 15. nodaļā). Pēc likumīgo īpašumtiesību uz aktīvu nodošanas, valdības bilancē ir iekļauts ražots nefinanšu aktīvs, kura vērtība atbilst tirgus cenai, kas ir vienāda ar aktīva atlikušo tirgus cenu.</w:t>
      </w:r>
      <w:r w:rsidRPr="00B03B51">
        <w:rPr>
          <w:rStyle w:val="FootnoteReference"/>
          <w:rFonts w:ascii="Times New Roman" w:hAnsi="Times New Roman" w:cs="Times New Roman"/>
          <w:noProof/>
          <w:sz w:val="24"/>
        </w:rPr>
        <w:footnoteReference w:id="199"/>
      </w:r>
    </w:p>
    <w:p w14:paraId="5B790376" w14:textId="77777777" w:rsidR="00443399" w:rsidRPr="00C91F87" w:rsidRDefault="00443399" w:rsidP="00C91F87">
      <w:pPr>
        <w:rPr>
          <w:rFonts w:ascii="Times New Roman" w:hAnsi="Times New Roman" w:cs="Times New Roman"/>
          <w:noProof/>
          <w:sz w:val="24"/>
          <w:szCs w:val="24"/>
        </w:rPr>
      </w:pPr>
      <w:bookmarkStart w:id="511" w:name="6.3.1.5_Concessions"/>
      <w:bookmarkEnd w:id="511"/>
    </w:p>
    <w:p w14:paraId="4C86A20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6.3.1.5. KONCESIJAS</w:t>
      </w:r>
    </w:p>
    <w:p w14:paraId="6402D0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0265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Šo terminu šeit izmanto attiecībā uz valdības līgumiem ar sabiedrību (koncesionāru), kas var būt publiska vai privāta sabiedrība, kas parakstīti konkursa kārtībā par aktīva ekspluatāciju</w:t>
      </w:r>
      <w:r w:rsidRPr="00B03B51">
        <w:rPr>
          <w:rStyle w:val="FootnoteReference"/>
          <w:rFonts w:ascii="Times New Roman" w:hAnsi="Times New Roman" w:cs="Times New Roman"/>
          <w:noProof/>
          <w:sz w:val="24"/>
        </w:rPr>
        <w:footnoteReference w:id="200"/>
      </w:r>
      <w:r w:rsidRPr="00B03B51">
        <w:rPr>
          <w:rFonts w:ascii="Times New Roman" w:hAnsi="Times New Roman" w:cs="Times New Roman"/>
          <w:sz w:val="24"/>
        </w:rPr>
        <w:t xml:space="preserve"> ilgā laika posmā</w:t>
      </w:r>
      <w:r w:rsidRPr="00B03B51">
        <w:rPr>
          <w:rStyle w:val="FootnoteReference"/>
          <w:rFonts w:ascii="Times New Roman" w:hAnsi="Times New Roman" w:cs="Times New Roman"/>
          <w:noProof/>
          <w:sz w:val="24"/>
        </w:rPr>
        <w:footnoteReference w:id="201"/>
      </w:r>
      <w:r w:rsidRPr="00B03B51">
        <w:rPr>
          <w:rFonts w:ascii="Times New Roman" w:hAnsi="Times New Roman" w:cs="Times New Roman"/>
          <w:sz w:val="24"/>
        </w:rPr>
        <w:t>, kad aktīvs jau pastāv (un ir jārenovē) vai kad tas ir jāuzbūvē no jauna, un kas paredz, ka sabiedrība iekasēs no gala lietotājiem lietošanas maksu. Piemēram, sabiedrība var uzbūvēt ceļu vai tiltu un iekasēt maksu no to lietotājiem. Parasti aktīvi tiek nodoti valdībai koncesijas beigās, un valdība pēc tam var ekspluatēt šo aktīvu vai nu tiešā veidā (iekasējot no lietotājiem maksu, šim nolūkam, iespējams, izmantojot pakalpojumu līgumus), vai izstrādājot jaunu koncesiju attiecībā uz šiem aktīviem. Līdz ar to viens no galvenajiem jautājumiem ir ekonomiskās īpašumtiesības uz aktīvu (pamatojoties uz riskiem un priekšrocībām) līguma darbības laikā, kuras var būt piešķirtas koncesionāram (visbiežāk) vai valdībai.</w:t>
      </w:r>
    </w:p>
    <w:p w14:paraId="0600786D" w14:textId="77777777" w:rsidR="00443399" w:rsidRPr="00B03B51" w:rsidRDefault="00443399" w:rsidP="00443399">
      <w:pPr>
        <w:jc w:val="both"/>
        <w:rPr>
          <w:rFonts w:ascii="Times New Roman" w:eastAsia="Arial" w:hAnsi="Times New Roman" w:cs="Times New Roman"/>
          <w:noProof/>
          <w:sz w:val="24"/>
          <w:szCs w:val="14"/>
        </w:rPr>
      </w:pPr>
    </w:p>
    <w:p w14:paraId="5B1898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Saskaņā ar koncesijas līgumiem lielāko daļu ienākumu koncesionāri gūst no preču vai pakalpojumu tiešas pārdošanas dažādām vienībām saskaņā ar komerciāliem nosacījumiem (ceļa nodevas, apakšuzņēmēju veiktie maksājumi u. c.). Šādos apstākļos koncesionārs uzņemas lielāko daļu komercriska, kas atkarīgs gan no ārējiem faktoriem (galalietotāju pieprasījums, viņu vēlme maksāt u. c.), gan paša rezultātiem aktīvu pārvaldības un uzturēšanas jomā. Koncesionāram var nākties darboties saskaņā ar konkrētām valdības prasībām, ko dažkārt valdība kompensē (piemēram, ar subsīdijām).</w:t>
      </w:r>
    </w:p>
    <w:p w14:paraId="59AED5A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347F5B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Tāpat arī cena, kas tiek piemērota attiecībā uz galalietotājiem, var būt noteikta iepirkuma dokumentos, un koncesionārs to nevar brīvi noteikt, bet gan vienīgi koriģēt kādu konkrētu notikumu gadījumā un/vai atbilstīgi inflācijai. Valdība koncesiju var piešķirt par brīvu vai arī par maksu, kas koncesionāram jāsamaksā valdībai. Šie maksājumi jāieraksta saskaņā ar EKS 2010 klasifikāciju, sākotnēji (ieraksta kā valdības atļauju, nodokli vai pakalpojumu, skat. EKS 2010 15.37. punktu) vai regulāri līguma darbības laikā (rente, īpaši nodokļi utt.) un pēc uzkrāšanas principa. Ja uzskatāms, ka valdība ir aktīva ekonomiskais īpašnieks, nacionālajos kontos aktīvu ieraksta valdības kontos un plūsmas, kas attiecas uz šā aktīva izmantošanu, ir jāpārvirza (skat. turpmāk).</w:t>
      </w:r>
    </w:p>
    <w:p w14:paraId="1AAA12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A2C0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16. Nacionālajos kontos koncesijas ir skaidri jānošķir no publiskajām un privātajām partnerībām (PPP). Šajā nodaļā terminu “koncesija” izmanto, lai aprakstītu tikai tādus ilgtermiņa līgumus, kuros lielāko daļu partnera (koncesionāra) ieņēmumu veido pakalpojuma </w:t>
      </w:r>
      <w:r w:rsidRPr="00B03B51">
        <w:rPr>
          <w:rFonts w:ascii="Times New Roman" w:hAnsi="Times New Roman" w:cs="Times New Roman"/>
          <w:sz w:val="24"/>
        </w:rPr>
        <w:lastRenderedPageBreak/>
        <w:t>galalietotāju maksājumi, t. i., saskaņā ar kuriem valdība neveic nekādus regulārus maksājumus partnerim vai arī šādi maksājumi neveido lielāko daļu no partnera ieņēmumiem. Turpretī PPP līgumu gadījumā lielāko daļu partnera ieņēmumu saskaņā ar līgumu veido valdības maksājumi (piemēram, virtuālās ceļa nodevas). Turklāt šajā nodaļā skatītie koncesijas līgumi ir skaidri jānošķir no līgumiem (pat ja tie apzīmēti kā “koncesijas”), kuros valdība lūdz vienībai nodrošināt noteiktus pakalpojumus, ko apmaksā galalietotāji un/vai valdība, taču kuros valdība precīzi nenosaka prasības/specifikācijas attiecībā uz galvenajām pazīmēm aktīviem, kurus līgumslēdzēja vienība izmantos, un līguma beigās šos aktīvus nav paredzēts nodot atpakaļ valdībai. Šāda kārtība ir novērojama daudzās jomās, piemēram, ēdināšanā (piemēram, skolās), sabiedriskā transporta pakalpojumos utt.</w:t>
      </w:r>
    </w:p>
    <w:p w14:paraId="43D28ACB" w14:textId="77777777" w:rsidR="00443399" w:rsidRPr="00C91F87" w:rsidRDefault="00443399" w:rsidP="00C91F87">
      <w:pPr>
        <w:rPr>
          <w:rFonts w:ascii="Times New Roman" w:hAnsi="Times New Roman" w:cs="Times New Roman"/>
          <w:noProof/>
          <w:sz w:val="24"/>
          <w:szCs w:val="24"/>
        </w:rPr>
      </w:pPr>
      <w:bookmarkStart w:id="512" w:name="6.3.1.5.1._The_key_issue_in_national_acc"/>
      <w:bookmarkEnd w:id="512"/>
    </w:p>
    <w:p w14:paraId="7F236243"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6.3.1.5.1. Galvenā problēma nacionālajos kontos</w:t>
      </w:r>
    </w:p>
    <w:p w14:paraId="0B7DA05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7D417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Koncesijas veida līguma gadījumā sabiedrība (koncesionārs), piemēram, var uzbūvēt ceļu vai tiltu un iekasēt nodevu no transportlīdzekļiem, kas to izmanto. Valdība var vai nevar saņemt maksājumus no šīs sabiedrības.</w:t>
      </w:r>
    </w:p>
    <w:p w14:paraId="794613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53E9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Būtiskie jautājumi, kas rodas šajā saistībā, ir norādīti turpmāk.</w:t>
      </w:r>
    </w:p>
    <w:p w14:paraId="7E1E84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3CF45F2" w14:textId="77777777" w:rsidR="00443399" w:rsidRPr="00B03B51" w:rsidRDefault="00443399" w:rsidP="005364DD">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Kura puse ir aktīva ekonomiskais īpašnieks (proti, kuras puses bilancē aktīvs tiek ierakstīts tā ekspluatācijas laikā)?</w:t>
      </w:r>
    </w:p>
    <w:p w14:paraId="71BB4E85" w14:textId="77777777" w:rsidR="00443399" w:rsidRPr="00B03B51" w:rsidRDefault="00443399" w:rsidP="005364DD">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Kā nacionālajos kontos jāieraksta ar koncesijas līgumiem saistītie darījumi?</w:t>
      </w:r>
    </w:p>
    <w:p w14:paraId="39C03D07" w14:textId="77777777" w:rsidR="00443399" w:rsidRPr="00B03B51" w:rsidRDefault="00443399" w:rsidP="005364DD">
      <w:pPr>
        <w:pStyle w:val="BodyText"/>
        <w:tabs>
          <w:tab w:val="left" w:pos="843"/>
        </w:tabs>
        <w:spacing w:before="0"/>
        <w:ind w:left="1" w:firstLine="0"/>
        <w:jc w:val="both"/>
        <w:rPr>
          <w:rFonts w:ascii="Times New Roman" w:hAnsi="Times New Roman" w:cs="Times New Roman"/>
          <w:noProof/>
          <w:sz w:val="24"/>
        </w:rPr>
      </w:pPr>
    </w:p>
    <w:p w14:paraId="1EF201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Īpaša uzmanība būtu jāpievērš gadījumiem, kad koncesionārs ir valdības kontrolēts subjekts</w:t>
      </w:r>
      <w:r w:rsidRPr="00B03B51">
        <w:rPr>
          <w:rStyle w:val="FootnoteReference"/>
          <w:rFonts w:ascii="Times New Roman" w:hAnsi="Times New Roman" w:cs="Times New Roman"/>
          <w:noProof/>
          <w:sz w:val="24"/>
        </w:rPr>
        <w:footnoteReference w:id="202"/>
      </w:r>
      <w:r w:rsidRPr="00B03B51">
        <w:rPr>
          <w:rFonts w:ascii="Times New Roman" w:hAnsi="Times New Roman" w:cs="Times New Roman"/>
          <w:sz w:val="24"/>
        </w:rPr>
        <w:t>, kam nav lēmumu pieņemšanas autonomijas attiecībā uz savu pamatfunkciju, kā tas prasīts nacionālajos kontos (EKS 2010 2.12. punkts). Šādos gadījumos koncesionāru klasificē vispārējās valdības sektorā. Ja šādu subjektu kontrolē dažādas valdības vienības (kas, iespējams, iekļautas dažādos apakšsektoros, t. i., centrālās valdības, pavalsts/pašvaldības apakšsektorā), to klasificē tajā valdības vienības apakšsektorā, kurā sabiedrībai (koncesionāram) ir balsstiesību vairākums vai dažos gadījumos, kas liecina par kontroli, pamatojoties uz citiem kritērijiem, kā aprakstīts šīs rokasgrāmatas 1.2.3. iedaļā.</w:t>
      </w:r>
    </w:p>
    <w:p w14:paraId="451D0D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68C8FD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Kā minēts iepriekš, koncesijas darbībās var būt iesaistītas gan publiskas, gan privātas sabiedrības. Ja ir iesaistīts publisks uzņēmums, rodas jautājums, kur šādu publisku uzņēmumu klasificēt (skat. 1. daļu “Vispārējās valdības sektora norobežošana”). Lai varētu novērtēt turpmākajos gados paredzamās izmaksas un pārdošanas darījumus, jābūt pieejamiem koncesijas saimnieciskajiem un finanšu plāniem.</w:t>
      </w:r>
    </w:p>
    <w:p w14:paraId="5975F1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C1C4D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Turklāt ir būtiski pārbaudīt visus grozījumus, pārskatīšanas vai vienošanās maiņas, kas notiek koncesijas periodā un var ietekmēt statistikas traktējumu, jo īpaši gadījumā, ja koncesionārs vairs netiek uzskatīts par tirgus ražotāju, jo šādā gadījumā aktīvus nāktos pārklasificēt par tirgus aktīviem un koncesiju uzskatīt par apsaimniekošanas līgumu. Īpaša uzmanība jāpievērš visiem noteikumiem, kas reglamentē līguma pirmstermiņa izbeigšanu, pamatojoties uz to, ka sabiedrība nepilda savas saistības (papildu skaidrojums sniegts 6.4.3.5. apakšiedaļā “Izbeigšanas klauzulas un pārmaiņas līguma būtībā”).</w:t>
      </w:r>
    </w:p>
    <w:p w14:paraId="50A9FC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500B2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Var arī gadīties, ka publiskais koncesionārs (ko nacionālajos kontos atzīst par institucionālo vienību), kurš varētu tikt klasificēts valdības sektorā, pamatojoties uz tirgus/ārpustirgus testu </w:t>
      </w:r>
      <w:r w:rsidRPr="00B03B51">
        <w:rPr>
          <w:rFonts w:ascii="Times New Roman" w:hAnsi="Times New Roman" w:cs="Times New Roman"/>
          <w:sz w:val="24"/>
        </w:rPr>
        <w:lastRenderedPageBreak/>
        <w:t>(piemēram, jo tiek saņemtas nozīmīgas ražošanas subsīdijas no valdības), varētu vēlāk atgūt tirgus dalībnieka statusu pēc iesaistīšanās vairākos koncesijas līgumos un turpmāk 26. punktā minēto prasību izpildes, ja lielākā daļa ieņēmumu nāktu no tirgus nodevām (tirgus ražošanas).</w:t>
      </w:r>
    </w:p>
    <w:p w14:paraId="2DC8FD36" w14:textId="77777777" w:rsidR="00443399" w:rsidRPr="00C91F87" w:rsidRDefault="00443399" w:rsidP="00C91F87">
      <w:pPr>
        <w:rPr>
          <w:rFonts w:ascii="Times New Roman" w:hAnsi="Times New Roman" w:cs="Times New Roman"/>
          <w:noProof/>
          <w:sz w:val="24"/>
          <w:szCs w:val="24"/>
        </w:rPr>
      </w:pPr>
      <w:bookmarkStart w:id="513" w:name="6.3.1.5.2._Treatment_in_national_account"/>
      <w:bookmarkEnd w:id="513"/>
    </w:p>
    <w:p w14:paraId="12A6C7E1"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6.3.1.5.2. Traktējums nacionālajos kontos</w:t>
      </w:r>
    </w:p>
    <w:p w14:paraId="234EAC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32DE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Kad koncesiju gadījumos</w:t>
      </w:r>
      <w:r w:rsidRPr="00B03B51">
        <w:rPr>
          <w:rStyle w:val="FootnoteReference"/>
          <w:rFonts w:ascii="Times New Roman" w:hAnsi="Times New Roman" w:cs="Times New Roman"/>
          <w:noProof/>
          <w:sz w:val="24"/>
        </w:rPr>
        <w:footnoteReference w:id="203"/>
      </w:r>
      <w:r w:rsidRPr="00B03B51">
        <w:rPr>
          <w:rFonts w:ascii="Times New Roman" w:hAnsi="Times New Roman" w:cs="Times New Roman"/>
          <w:sz w:val="24"/>
        </w:rPr>
        <w:t xml:space="preserve"> maksājumi, ko valdība maksā naudā vai natūrā, veido mazāko daļu no ieņēmumiem, ko sabiedrība tieši vai netieši gūst, pamatojoties uz līgumiem, koncesijas aktīvu ieraksta sabiedrības bilancē tā ekspluatācijas laikā.</w:t>
      </w:r>
    </w:p>
    <w:p w14:paraId="669C35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C117B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24. Ja tomēr valdība dažādos veidos (tostarp, izmantojot ieguldījumu dotācijas) finansē lielāko būvniecības (vai renovācijas) izdevumu daļu, koncesijas aktīvs ir jāieraksta valdības bilancē. Ieņēmumus, ko koncesionārs gūst ekspluatācijas posmā (neto apsaimniekošanas maksājumi), pārvirza valdībai, jo koncesionārs šajā gadījumā darbojas valdības “vārdā”. Ja vienību kontrolē valdība un koncesijas ar valdību ir tās galvenā darbība, vienību pārklasificē vispārējās valdības sektorā, izņemot gadījumus, ja ir skaidrs apliecinājums, ka vienība vienmēr ir piedalījusies brīvos atklātos iepirkumu konkursos ar privātām vienībām saistībā ar koncesionāru atlasi. Ja koncesionārs ir privāta sabiedrība, jāuzskata, ka koncesijas līgums ir apsaimniekošanas/pakalpojumu līgums. Līdzīgs noteikums jāpiemēro gadījumā, ja valdība ir sniegusi tiešu garantiju</w:t>
      </w:r>
      <w:r w:rsidRPr="00B03B51">
        <w:rPr>
          <w:rStyle w:val="FootnoteReference"/>
          <w:rFonts w:ascii="Times New Roman" w:hAnsi="Times New Roman" w:cs="Times New Roman"/>
          <w:noProof/>
          <w:sz w:val="24"/>
        </w:rPr>
        <w:footnoteReference w:id="204"/>
      </w:r>
      <w:r w:rsidRPr="00B03B51">
        <w:rPr>
          <w:rFonts w:ascii="Times New Roman" w:hAnsi="Times New Roman" w:cs="Times New Roman"/>
          <w:sz w:val="24"/>
        </w:rPr>
        <w:t xml:space="preserve"> attiecībā uz vairāk nekā 50 % no koncesionāra parādsaistībām, ko tas uzņēmies ar mērķi nodrošināt aktīvam nepieciešamo finansējumu, tādējādi valdībai uzņemoties lielāko daļu ar aktīvu saistītā riska.</w:t>
      </w:r>
      <w:r w:rsidRPr="00B03B51">
        <w:rPr>
          <w:rStyle w:val="FootnoteReference"/>
          <w:rFonts w:ascii="Times New Roman" w:hAnsi="Times New Roman" w:cs="Times New Roman"/>
          <w:noProof/>
          <w:sz w:val="24"/>
        </w:rPr>
        <w:footnoteReference w:id="205"/>
      </w:r>
    </w:p>
    <w:p w14:paraId="37B74E8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E4C475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Turklāt gadījumā, ja sākotnējā līgumā vai tā darbības laikā valdība sniedz garantiju attiecībā uz minimālajiem ienākumiem (piemēram, garantē minimālo satiksmes apjomu) vai dažos gadījumos attiecībā uz minimālo koncesionāra ienesīgumu (piemēram, attiecībā uz pašu kapitāla atdevi), jāuzskata, ka valdība uzņemas lielāko ekonomisko risku daļu, un aktīvi jāieraksta valdības bilancē. No šāda viedokļa raugoties, izzūd galvenā atšķirība starp koncesijām un PPP. Šajā gadījumā šo līgumu nacionālajos kontos traktē līdzīgi iepirkuma līgumam, ko slēdz attiecībā uz aktīvu būvniecību, un pēc aktīva būvniecības pabeigšanas to traktē kā aktīva apsaimniekošanas/apkopes pakalpojumu pirkšanu.</w:t>
      </w:r>
    </w:p>
    <w:p w14:paraId="1F5AAF1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FB422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26. Ciktāl runa ir par iemesliem, kādēļ koncesionāram tiek sniegts atbalsts, ieteicams līgumā iekļaut pilnīgu sarakstu, kurā norādīti iespējamie notikumi, kas rodas nepārvaramas varas apstākļu dēļ, līdz ar to izslēdzot jebkādu partnera atbildību par tā finanšu situācijas pasliktināšanos, pretēji “atvērtam” formulējumam, kas var būt par iemeslu atklātai un iespējami apstrīdamai interpretācijai un </w:t>
      </w:r>
      <w:r w:rsidRPr="00B03B51">
        <w:rPr>
          <w:rFonts w:ascii="Times New Roman" w:hAnsi="Times New Roman" w:cs="Times New Roman"/>
          <w:i/>
          <w:iCs/>
          <w:sz w:val="24"/>
        </w:rPr>
        <w:t>de facto</w:t>
      </w:r>
      <w:r w:rsidRPr="00B03B51">
        <w:rPr>
          <w:rFonts w:ascii="Times New Roman" w:hAnsi="Times New Roman" w:cs="Times New Roman"/>
          <w:sz w:val="24"/>
        </w:rPr>
        <w:t xml:space="preserve"> nepietiekamai risku nodošanai.</w:t>
      </w:r>
      <w:r w:rsidRPr="00B03B51">
        <w:rPr>
          <w:rStyle w:val="FootnoteReference"/>
          <w:rFonts w:ascii="Times New Roman" w:hAnsi="Times New Roman" w:cs="Times New Roman"/>
          <w:noProof/>
          <w:sz w:val="24"/>
        </w:rPr>
        <w:footnoteReference w:id="206"/>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Jebkurā gadījumā tam ir jāizslēdz ekonomiskie riski, kuri saistīti ar uzņēmējdarbības cikliem un ar kuriem ražotāji saskaras savā darbības jomā. Tomēr saistībā ar ārkārtējiem un dramatiskiem nelabvēlīgiem ekonomiskajiem apstākļiem valdības sniegts ierobežots pagaidu atbalsts ne vienmēr nozīmē to, </w:t>
      </w:r>
      <w:r w:rsidRPr="00B03B51">
        <w:rPr>
          <w:rFonts w:ascii="Times New Roman" w:hAnsi="Times New Roman" w:cs="Times New Roman"/>
          <w:sz w:val="24"/>
        </w:rPr>
        <w:lastRenderedPageBreak/>
        <w:t>ka aktīvi ir jāpārklasificē.</w:t>
      </w:r>
    </w:p>
    <w:p w14:paraId="662561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29BA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Izņēmums šim principam varētu būt gadījums, kad publiskajam koncesionāram ir piešķirta lēmumu pieņemšanas autonomija attiecībā uz līgumu (vismaz attiecībā uz dažiem būtiskiem lēmumiem, ievērojot to, ka viņi varētu samērā neatkarīgi darboties ikdienas saimnieciskajās darbībās). Koncesijas līgumā(-os) ar valdības vienībām būtu jāiekļauj koncesionāra galvenā darbība (tostarp arī gadījumos, kad ir tikai viena darbība). Tāpēc šajā gadījumā ir svarīgi pārbaudīt koncesionāra autonomiju attiecībā uz svarīgu lēmumu pieņemšanu koncesijas jautājumos.</w:t>
      </w:r>
      <w:r w:rsidRPr="00B03B51">
        <w:rPr>
          <w:rStyle w:val="FootnoteReference"/>
          <w:rFonts w:ascii="Times New Roman" w:hAnsi="Times New Roman" w:cs="Times New Roman"/>
          <w:noProof/>
          <w:sz w:val="24"/>
        </w:rPr>
        <w:footnoteReference w:id="207"/>
      </w:r>
      <w:r w:rsidRPr="00B03B51">
        <w:rPr>
          <w:rFonts w:ascii="Times New Roman" w:hAnsi="Times New Roman" w:cs="Times New Roman"/>
          <w:sz w:val="24"/>
        </w:rPr>
        <w:t xml:space="preserve"> Šajā saistībā ir jāizvērtē šādu kritēriju kopums:</w:t>
      </w:r>
    </w:p>
    <w:p w14:paraId="32E2BE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FAC22E3"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koncesionāram ir tiesības parakstīt līgumu bez kontrolējošās(-o) valdības vienības(-u) piekrišanas;</w:t>
      </w:r>
    </w:p>
    <w:p w14:paraId="49C322CD"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szCs w:val="12"/>
        </w:rPr>
      </w:pPr>
      <w:r w:rsidRPr="00B03B51">
        <w:rPr>
          <w:rFonts w:ascii="Times New Roman" w:hAnsi="Times New Roman" w:cs="Times New Roman"/>
          <w:sz w:val="24"/>
        </w:rPr>
        <w:t>vai koncesionārs varētu noslēgt citus koncesijas līgumus bez valdības piekrišanas;</w:t>
      </w:r>
      <w:r w:rsidRPr="00B03B51">
        <w:rPr>
          <w:rStyle w:val="FootnoteReference"/>
          <w:rFonts w:ascii="Times New Roman" w:hAnsi="Times New Roman" w:cs="Times New Roman"/>
          <w:noProof/>
          <w:sz w:val="24"/>
        </w:rPr>
        <w:footnoteReference w:id="208"/>
      </w:r>
    </w:p>
    <w:p w14:paraId="5E1ADF1F"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koncesionārs varētu izstāties no koncesijas līguma (piemēram, pārdodot koncesiju citai vienībai) bez valdības piekrišanas;</w:t>
      </w:r>
    </w:p>
    <w:p w14:paraId="47EEA17F"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koncesionāram ir pilnīga lēmumu pieņemšanas brīvība jautājumos, kas skar “nozīmīgu remontu” izdevumu summu un veikšanas laiku;</w:t>
      </w:r>
    </w:p>
    <w:p w14:paraId="28B65AEE"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szCs w:val="12"/>
        </w:rPr>
      </w:pPr>
      <w:r w:rsidRPr="00B03B51">
        <w:rPr>
          <w:rFonts w:ascii="Times New Roman" w:hAnsi="Times New Roman" w:cs="Times New Roman"/>
          <w:sz w:val="24"/>
        </w:rPr>
        <w:t>vai publiskajam koncesionāram nepastāv kādi ierobežojumi attiecībā uz algu un personāla politiku, piegādātāju atlasi, pirkumu politiku un sniegto pakalpojumu kvalitāti;</w:t>
      </w:r>
      <w:r w:rsidRPr="00B03B51">
        <w:rPr>
          <w:rStyle w:val="FootnoteReference"/>
          <w:rFonts w:ascii="Times New Roman" w:hAnsi="Times New Roman" w:cs="Times New Roman"/>
          <w:noProof/>
          <w:sz w:val="24"/>
        </w:rPr>
        <w:footnoteReference w:id="209"/>
      </w:r>
    </w:p>
    <w:p w14:paraId="76CB3579"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koncesionārs var slēgt apakšuzņēmuma līgumus ar citām vienībām bez kontrolējošās vienības vai līguma attiecībās esošās valdības vienības piekrišanas;</w:t>
      </w:r>
    </w:p>
    <w:p w14:paraId="6CCF5B11"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koncesionārs var lemt par koncesijas aktīvu jaudas/kvalitātes paplašināšanu/modernizāciju bez kontrolējošās vienības vai līgumslēdzējas valdības vienības piekrišanas;</w:t>
      </w:r>
    </w:p>
    <w:p w14:paraId="69E57B9B" w14:textId="77777777" w:rsidR="00443399" w:rsidRPr="00B03B51" w:rsidRDefault="00443399" w:rsidP="00BD35E2">
      <w:pPr>
        <w:pStyle w:val="BodyText"/>
        <w:numPr>
          <w:ilvl w:val="1"/>
          <w:numId w:val="4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vai koncesionāram nav pienākuma īstenot cenu diferenciāciju gala lietotājiem saskaņā ar valdības norādījumiem (piemēram, noteikt īpašus tarifus sociālos nolūkos), par ko valdība ar iekšējas šķērssubsīdijas starpniecību nesniedz konkrētu kompensāciju.</w:t>
      </w:r>
      <w:r w:rsidRPr="00B03B51">
        <w:rPr>
          <w:rStyle w:val="FootnoteReference"/>
          <w:rFonts w:ascii="Times New Roman" w:hAnsi="Times New Roman" w:cs="Times New Roman"/>
          <w:noProof/>
          <w:sz w:val="24"/>
        </w:rPr>
        <w:footnoteReference w:id="210"/>
      </w:r>
    </w:p>
    <w:p w14:paraId="23C3E0D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C94A74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ir gūts apliecinājums, ka kāds no minētajiem kritērijiem nav izpildīts, uzskatāms, ka vienībai nav lēmumu pieņemšanas autonomijas attiecībā uz līgumu. Ja publiskais koncesionārs tiek iesaistīts vairākos līgumos ar valdības vienībām un ja attiecībā uz šiem kritērijiem radīsies atšķirīgi secinājumi, vispārējais novērtējums izdarāms, pamatojoties uz koncesijas aktīvu vērtības lielāko daļu.</w:t>
      </w:r>
      <w:r w:rsidRPr="00B03B51">
        <w:rPr>
          <w:rStyle w:val="FootnoteReference"/>
          <w:rFonts w:ascii="Times New Roman" w:hAnsi="Times New Roman" w:cs="Times New Roman"/>
          <w:noProof/>
          <w:sz w:val="24"/>
        </w:rPr>
        <w:footnoteReference w:id="211"/>
      </w:r>
    </w:p>
    <w:p w14:paraId="5DE1A069" w14:textId="77777777" w:rsidR="00443399" w:rsidRPr="00B03B51" w:rsidRDefault="00443399" w:rsidP="00443399">
      <w:pPr>
        <w:jc w:val="both"/>
        <w:rPr>
          <w:rFonts w:ascii="Times New Roman" w:hAnsi="Times New Roman" w:cs="Times New Roman"/>
          <w:noProof/>
          <w:sz w:val="24"/>
        </w:rPr>
      </w:pPr>
    </w:p>
    <w:p w14:paraId="33D3CBA4" w14:textId="77777777" w:rsidR="00443399" w:rsidRPr="00B03B51" w:rsidRDefault="00443399" w:rsidP="003E2678">
      <w:pPr>
        <w:keepNext/>
        <w:jc w:val="both"/>
        <w:rPr>
          <w:rFonts w:ascii="Times New Roman" w:hAnsi="Times New Roman" w:cs="Times New Roman"/>
          <w:b/>
          <w:noProof/>
          <w:sz w:val="24"/>
        </w:rPr>
      </w:pPr>
      <w:r w:rsidRPr="00B03B51">
        <w:rPr>
          <w:rFonts w:ascii="Times New Roman" w:hAnsi="Times New Roman" w:cs="Times New Roman"/>
          <w:b/>
          <w:sz w:val="24"/>
        </w:rPr>
        <w:lastRenderedPageBreak/>
        <w:t>1. gadījums. Sabiedrība ir uzbūvējusi jaunu aktīvu</w:t>
      </w:r>
    </w:p>
    <w:p w14:paraId="5F3810D8" w14:textId="77777777" w:rsidR="00443399" w:rsidRPr="00B03B51" w:rsidRDefault="00443399" w:rsidP="003E2678">
      <w:pPr>
        <w:keepNext/>
        <w:jc w:val="both"/>
        <w:rPr>
          <w:rFonts w:ascii="Times New Roman" w:eastAsia="Arial" w:hAnsi="Times New Roman" w:cs="Times New Roman"/>
          <w:b/>
          <w:bCs/>
          <w:noProof/>
          <w:sz w:val="24"/>
        </w:rPr>
      </w:pPr>
    </w:p>
    <w:p w14:paraId="04EB062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aktīvs ir uzbūvēts no jauna un to ir uzbūvējusi sabiedrība, tad tie ir sabiedrības bruto pamatkapitāla veidošana, kas neietekmē valdības kontus.</w:t>
      </w:r>
    </w:p>
    <w:p w14:paraId="4757341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777671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aktīva ekspluatācijas perioda beigās aktīvs tiek pārdots valdībai, to ieraksta valdības bilancē kā bruto pamatkapitāla veidošanu atbilstīgi aktīva tirgus vērtībai (izmantotā vērtība jānovērtē neatkarīgai struktūrai, kas var būt arī valdības vienība, ar nosacījumu, ka ir pierādījums tam, ka tā varētu darboties neatkarīgi šā uzdevuma veikšanai). Ja valdības samaksātā summa atšķiras no tirgus vērtības, šī starpība jāieraksta kā kapitāla pārvedums (D.99). Gadījumos, kad aktīvs ir piešķirts valdībai bez maksas, kapitāla pārvedumam (D.99) ir tāda pati vērtība kā bruto ieguldījumam pamatkapitālā, līdz ar to valdības neto aizdevums/aizņēmums (B.9) kopumā netiek ietekmēts.</w:t>
      </w:r>
    </w:p>
    <w:p w14:paraId="3ABA074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DB57A9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līguma darbības laikā sabiedrība veic maksājumus valdībai, tie jāieraksta kā rente (D.45), ja valdība piešķir sabiedrībai neražotu aktīvu (piemēram, zemi, uz kuras ir uzbūvēta infrastruktūra), bet, ja valdība piešķir ražotu aktīvu, tad maksājums jāieraksta kā nomas maksa (produkcija P.1). Ja valdība apmaiņā pret šiem maksājumiem neko nepiešķir, tos ieraksta kā citus ražošanas nodokļus (D.29). Ja valdība pieprasa maksājumu par tiesībām ekspluatēt aktīvu un sabiedrība drīkst nodot tiesības citām pusēm, tas jāuzskata par maksājumu par neražota aktīva (AN.22) iegādi, ja pastāv atbilstība EKS 2010 15.37. punkta nosacījumiem.</w:t>
      </w:r>
    </w:p>
    <w:p w14:paraId="062BF5BB" w14:textId="77777777" w:rsidR="00443399" w:rsidRPr="00B03B51" w:rsidRDefault="00443399" w:rsidP="00443399">
      <w:pPr>
        <w:jc w:val="both"/>
        <w:rPr>
          <w:rFonts w:ascii="Times New Roman" w:eastAsia="Arial" w:hAnsi="Times New Roman" w:cs="Times New Roman"/>
          <w:noProof/>
          <w:sz w:val="24"/>
          <w:szCs w:val="20"/>
        </w:rPr>
      </w:pPr>
    </w:p>
    <w:p w14:paraId="5F7EAD5F"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gadījums. Valdība nodod sabiedrībai esošu ražotu aktīvu</w:t>
      </w:r>
    </w:p>
    <w:p w14:paraId="19CDF652" w14:textId="77777777" w:rsidR="00443399" w:rsidRPr="00B03B51" w:rsidRDefault="00443399" w:rsidP="00443399">
      <w:pPr>
        <w:jc w:val="both"/>
        <w:rPr>
          <w:rFonts w:ascii="Times New Roman" w:eastAsia="Arial" w:hAnsi="Times New Roman" w:cs="Times New Roman"/>
          <w:b/>
          <w:bCs/>
          <w:noProof/>
          <w:sz w:val="24"/>
        </w:rPr>
      </w:pPr>
    </w:p>
    <w:p w14:paraId="0D6F755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Ir iespējams, ka valdība koncesijas termiņa sākumā nodod sabiedrībai jau esošu infrastruktūru. Ja apmaiņā pret to valdība iegūst pašu kapitālu sabiedrībā nodotās infrastruktūras vērtībā, to ieraksta kā kapitāla iepludināšanu natūrā kontā “Citas aktīvu apjoma pārmaiņas” bez ietekmes uz valdības neto aizdevumu/aizņēmumu (B.9). Tā ir nefinanšu aktīva apmaiņa pret finanšu aktīvu (valdības pašu kapitāls (AF.5) sabiedrībā), kas jāieraksta saskaņā ar šīs rokasgrāmatas 3.4. nodaļā paredzētajiem noteikumiem. Ja valdība neko nesaņem apmaiņā, aktīva nodošanu ieraksta kā negatīvu bruto ieguldījumu pašu kapitālā, ko kompensē ar izdevumiem investīciju dotācijas formā.</w:t>
      </w:r>
    </w:p>
    <w:p w14:paraId="07F5646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C185B3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ekspluatācijas perioda beigās valdība atgūst infrastruktūru, nemaksājot par to naudu, to ieraksta kā valdības iegūtu aktīvu, kas savienots ar ieņēmumiem no kapitāla pārveduma, bez ietekmes uz valdības neto aizdevumu/aizņēmumu (B.9).</w:t>
      </w:r>
    </w:p>
    <w:p w14:paraId="7D702A7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31AF1A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Gadījumā, ja valdībai ir pašu kapitāls sabiedrībā, peļņas izmaksāšana (pēc nodokļu atskaitīšanas) valdībai līguma darbības laikā jāieraksta kā dividendes (D.421).</w:t>
      </w:r>
    </w:p>
    <w:p w14:paraId="4BB4567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0664782"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6.3.1.5.3. Traktējuma pamatojums</w:t>
      </w:r>
    </w:p>
    <w:p w14:paraId="4ED221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E4D3C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Sabiedrība (koncesionārs), izmantojot aktīvu, rada pakalpojumu. Šo produkciju patērē aktīva lietotāji, veicot maksājumus sabiedrībai (piemēram, maksājot ceļa nodevu). Līdz ar to ir būtiski ierakstīt aktīvu sabiedrības bilancē ekspluatācijas periodā, ievērojot iepriekš minētos izņēmumus.</w:t>
      </w:r>
    </w:p>
    <w:p w14:paraId="240511B1" w14:textId="77777777" w:rsidR="00443399" w:rsidRPr="00B03B51" w:rsidRDefault="00443399" w:rsidP="00443399">
      <w:pPr>
        <w:jc w:val="both"/>
        <w:rPr>
          <w:rFonts w:ascii="Times New Roman" w:eastAsia="Arial" w:hAnsi="Times New Roman" w:cs="Times New Roman"/>
          <w:noProof/>
          <w:sz w:val="24"/>
          <w:szCs w:val="19"/>
        </w:rPr>
      </w:pPr>
    </w:p>
    <w:p w14:paraId="718486D8"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1.a gadījums. Sabiedrība ir uzbūvējusi jaunu aktīvu</w:t>
      </w:r>
    </w:p>
    <w:p w14:paraId="0435FA9E" w14:textId="77777777" w:rsidR="00443399" w:rsidRPr="00B03B51" w:rsidRDefault="00443399" w:rsidP="00443399">
      <w:pPr>
        <w:jc w:val="both"/>
        <w:rPr>
          <w:rFonts w:ascii="Times New Roman" w:eastAsia="Arial" w:hAnsi="Times New Roman" w:cs="Times New Roman"/>
          <w:b/>
          <w:bCs/>
          <w:noProof/>
          <w:sz w:val="24"/>
        </w:rPr>
      </w:pPr>
    </w:p>
    <w:p w14:paraId="25DC33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Valdība var gūt ieņēmumus no sabiedrības turpmāk norādīto iemeslu dēļ.</w:t>
      </w:r>
    </w:p>
    <w:p w14:paraId="0BAF8C0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9B2DD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lastRenderedPageBreak/>
        <w:t>i) Valdība sniedz kaut ko apmaiņā pret maksājumu.</w:t>
      </w:r>
    </w:p>
    <w:p w14:paraId="243BBB99"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2298B287"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Ieņēmumu klasifikācija ir atkarīga no tā, ko valdība sniedz. Parasti valdība piešķir zemi, uz kuras būvē aktīvu. Šajā gadījumā ieņēmumi no sabiedrības jāklasificē kā rente (D.45).</w:t>
      </w:r>
    </w:p>
    <w:p w14:paraId="5705A5A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EB0015C"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Vai turpmāk norādītā iemesla dēļ.</w:t>
      </w:r>
    </w:p>
    <w:p w14:paraId="1130E12B"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1B3AF1AF"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ii) Valdība saņem maksājumu apmaiņā pret atļauju sabiedrībai veikt darbību.</w:t>
      </w:r>
    </w:p>
    <w:p w14:paraId="3F568FDB"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76D990C2"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Ja nav noteikti ierobežojumi attiecībā uz sabiedrības tiesībām nodot atļauju trešai personai un tiek ievēroti citi EKS 2010 15.37. punkta nosacījumi, to ieraksta kā neražota aktīva realizāciju (AN.223).</w:t>
      </w:r>
    </w:p>
    <w:p w14:paraId="13935844"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16ADF0DD"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Tomēr daudzos gadījumos atļauju ir aizliegts nodot vai attiecībā uz šādu nodošanu tiek piemēroti stingri ierobežojumi (piemēram, nepieciešams valdības apstiprinājums). Šādā gadījumā maksājums jāklasificē kā citi ražošanas nodokļi (D.29), kā minēts EKS 2010 4.23. punktā. Šāda summa jāieraksta atbilstīgi uzkrāšanas principam attiecībā uz visu koncesijas periodu neatkarīgi no tā, kāda naudas maksājumu kārtība tiek piemērota praksē.</w:t>
      </w:r>
    </w:p>
    <w:p w14:paraId="29FDFEB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208CD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Ja ekspluatācijas perioda beigās infrastruktūra tiek nodota valdībai bez maksas, koncesijas perioda beigās valdības kontos ierakstīto bruto ieguldījumu pamatkapitālā līdzsvaro ar kapitāla pārvedumu (D.99).</w:t>
      </w:r>
    </w:p>
    <w:p w14:paraId="4BC6F076" w14:textId="77777777" w:rsidR="00443399" w:rsidRPr="00B03B51" w:rsidRDefault="00443399" w:rsidP="00443399">
      <w:pPr>
        <w:jc w:val="both"/>
        <w:rPr>
          <w:rFonts w:ascii="Times New Roman" w:eastAsia="Arial" w:hAnsi="Times New Roman" w:cs="Times New Roman"/>
          <w:noProof/>
          <w:sz w:val="24"/>
          <w:szCs w:val="18"/>
        </w:rPr>
      </w:pPr>
    </w:p>
    <w:p w14:paraId="2A03C41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1.b gadījums. Sabiedrībai nodod esošu ražotu aktīvu</w:t>
      </w:r>
    </w:p>
    <w:p w14:paraId="6D86B5C4" w14:textId="77777777" w:rsidR="00443399" w:rsidRPr="00B03B51" w:rsidRDefault="00443399" w:rsidP="00443399">
      <w:pPr>
        <w:jc w:val="both"/>
        <w:rPr>
          <w:rFonts w:ascii="Times New Roman" w:eastAsia="Arial" w:hAnsi="Times New Roman" w:cs="Times New Roman"/>
          <w:b/>
          <w:bCs/>
          <w:noProof/>
          <w:sz w:val="24"/>
        </w:rPr>
      </w:pPr>
    </w:p>
    <w:p w14:paraId="63F813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Ja valdība nodod sabiedrībai esošu aktīvu, to ieraksta kā kapitāla iepludināšanu natūrā, ko savieno ar aktīvu realizāciju, neietekmējot valdības neto aizdevumu/aizņēmumu (B.9). Tomēr to var uzskatīt par nefinanšu aktīva apmaiņu pret finanšu aktīvu (valdības pašu kapitāls sabiedrībā, AF.5) atkarībā no valdības iegūtajām tiesībām. Ja valdība pretī nesaņem nekādas tiesības, tad aktīva nodošanu ieraksta kā negatīvu bruto ieguldījumu pamatkapitālā, kas kompensēts ar kapitāla pārvedumu.</w:t>
      </w:r>
    </w:p>
    <w:p w14:paraId="3F0BDE08" w14:textId="77777777" w:rsidR="00443399" w:rsidRPr="00B03B51" w:rsidRDefault="00443399" w:rsidP="00443399">
      <w:pPr>
        <w:jc w:val="both"/>
        <w:rPr>
          <w:rFonts w:ascii="Times New Roman" w:hAnsi="Times New Roman" w:cs="Times New Roman"/>
          <w:noProof/>
          <w:sz w:val="24"/>
        </w:rPr>
      </w:pPr>
    </w:p>
    <w:p w14:paraId="4551AD6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Ja šādai valdības vienībai ir pašu kapitāls sabiedrībā, sabiedrības maksājumus valdībai ir būtiski klasificēt kā dividendes (D.421), pat ja daļu no tām varētu uzskatīt par renti.</w:t>
      </w:r>
    </w:p>
    <w:p w14:paraId="6977043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EA89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Aktīva atdošanu valdībai bez naudas maksājuma ieraksta kā valdības iegūtu aktīvu (P.51g), ko savieno ar ieņēmumiem no kapitāla pārveduma. Ja pašu kapitāls ir atzīts kā valdības aktīvs, pārvedumu ieraksta vienīgi kontā “Citas aktīvu apjoma pārmaiņas”.</w:t>
      </w:r>
    </w:p>
    <w:p w14:paraId="61ADB2EF" w14:textId="77777777" w:rsidR="00443399" w:rsidRPr="00FB0E17" w:rsidRDefault="00443399" w:rsidP="00FB0E17">
      <w:pPr>
        <w:rPr>
          <w:rFonts w:ascii="Times New Roman" w:hAnsi="Times New Roman" w:cs="Times New Roman"/>
          <w:noProof/>
          <w:sz w:val="24"/>
          <w:szCs w:val="24"/>
        </w:rPr>
      </w:pPr>
    </w:p>
    <w:p w14:paraId="5FB65A6E"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6.3.1.5.4. Uzskaites piemēri</w:t>
      </w:r>
    </w:p>
    <w:p w14:paraId="71B8257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08261E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ir izklāstīti uzskaites traktējumi attiecībā uz diviem gadījumiem.</w:t>
      </w:r>
    </w:p>
    <w:p w14:paraId="64F3D2A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8E65AA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Valdības un sabiedrības kontu pilna secība nav sniegta, proti, parādīti tikai tie konti, kas attiecas uz aplūkotajiem gadījumiem.</w:t>
      </w:r>
    </w:p>
    <w:p w14:paraId="383021F7" w14:textId="77777777" w:rsidR="00443399" w:rsidRPr="00B03B51" w:rsidRDefault="00443399" w:rsidP="00443399">
      <w:pPr>
        <w:jc w:val="both"/>
        <w:rPr>
          <w:rFonts w:ascii="Times New Roman" w:eastAsia="Arial" w:hAnsi="Times New Roman" w:cs="Times New Roman"/>
          <w:noProof/>
          <w:sz w:val="24"/>
          <w:szCs w:val="19"/>
        </w:rPr>
      </w:pPr>
    </w:p>
    <w:p w14:paraId="2993D93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1.a gadījums. Sabiedrība ir uzbūvējusi jaunu aktīvu</w:t>
      </w:r>
    </w:p>
    <w:p w14:paraId="2801270A" w14:textId="77777777" w:rsidR="00443399" w:rsidRPr="00B03B51" w:rsidRDefault="00443399" w:rsidP="00443399">
      <w:pPr>
        <w:jc w:val="both"/>
        <w:rPr>
          <w:rFonts w:ascii="Times New Roman" w:eastAsia="Arial" w:hAnsi="Times New Roman" w:cs="Times New Roman"/>
          <w:b/>
          <w:bCs/>
          <w:noProof/>
          <w:sz w:val="24"/>
        </w:rPr>
      </w:pPr>
    </w:p>
    <w:p w14:paraId="4F438179"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Sabiedrība ir uzbūvējusi aktīvu par 250 naudas vienībām.</w:t>
      </w:r>
    </w:p>
    <w:p w14:paraId="6BCAECCD"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Sabiedrība maksā valdībai renti/nodokļus (pirmajā gadā maksājumi veido 100 naudas vienības).</w:t>
      </w:r>
    </w:p>
    <w:p w14:paraId="62EB5940"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Ekspluatācijas perioda beigās infrastruktūru atdod valdībai bez naudas maksājuma (tās tirgus vērtība ir 200 naudas vienības).</w:t>
      </w:r>
    </w:p>
    <w:p w14:paraId="79CBD1ED" w14:textId="77777777" w:rsidR="00443399" w:rsidRPr="00B03B51" w:rsidRDefault="00443399" w:rsidP="00443399">
      <w:pPr>
        <w:jc w:val="both"/>
        <w:rPr>
          <w:rFonts w:ascii="Times New Roman" w:hAnsi="Times New Roman" w:cs="Times New Roman"/>
          <w:b/>
          <w:noProof/>
          <w:sz w:val="24"/>
        </w:rPr>
      </w:pPr>
    </w:p>
    <w:p w14:paraId="1B415D9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Būvniecība un pirmais ekspluatācijas gads</w:t>
      </w:r>
    </w:p>
    <w:p w14:paraId="35B06AA8" w14:textId="77777777" w:rsidR="00443399" w:rsidRPr="00B03B51" w:rsidRDefault="00443399" w:rsidP="00443399">
      <w:pPr>
        <w:jc w:val="both"/>
        <w:rPr>
          <w:rFonts w:ascii="Times New Roman" w:eastAsia="Arial" w:hAnsi="Times New Roman" w:cs="Times New Roman"/>
          <w:b/>
          <w:bCs/>
          <w:noProof/>
          <w:sz w:val="24"/>
        </w:rPr>
      </w:pPr>
    </w:p>
    <w:p w14:paraId="4BF89216" w14:textId="77777777" w:rsidR="00443399" w:rsidRPr="00B03B51" w:rsidRDefault="00443399" w:rsidP="00443399">
      <w:pPr>
        <w:jc w:val="center"/>
        <w:rPr>
          <w:rFonts w:ascii="Times New Roman" w:eastAsia="Arial" w:hAnsi="Times New Roman" w:cs="Times New Roman"/>
          <w:b/>
          <w:bCs/>
          <w:noProof/>
          <w:sz w:val="24"/>
        </w:rPr>
      </w:pPr>
      <w:r w:rsidRPr="00B03B51">
        <w:rPr>
          <w:rFonts w:ascii="Times New Roman" w:hAnsi="Times New Roman" w:cs="Times New Roman"/>
          <w:noProof/>
        </w:rPr>
        <w:drawing>
          <wp:inline distT="0" distB="0" distL="0" distR="0" wp14:anchorId="6C79C75A" wp14:editId="16E1BA90">
            <wp:extent cx="5756275" cy="1449705"/>
            <wp:effectExtent l="0" t="0" r="0"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56275" cy="1449705"/>
                    </a:xfrm>
                    <a:prstGeom prst="rect">
                      <a:avLst/>
                    </a:prstGeom>
                  </pic:spPr>
                </pic:pic>
              </a:graphicData>
            </a:graphic>
          </wp:inline>
        </w:drawing>
      </w:r>
    </w:p>
    <w:p w14:paraId="1A0934C7" w14:textId="77777777" w:rsidR="00443399" w:rsidRPr="00B03B51" w:rsidRDefault="00443399" w:rsidP="00443399">
      <w:pPr>
        <w:jc w:val="both"/>
        <w:rPr>
          <w:rFonts w:ascii="Times New Roman" w:eastAsia="Arial" w:hAnsi="Times New Roman" w:cs="Times New Roman"/>
          <w:b/>
          <w:bCs/>
          <w:noProof/>
          <w:sz w:val="24"/>
        </w:rPr>
      </w:pPr>
    </w:p>
    <w:p w14:paraId="6E3A8783" w14:textId="77777777" w:rsidR="00443399" w:rsidRPr="00B03B51" w:rsidRDefault="00443399" w:rsidP="003E2678">
      <w:pPr>
        <w:jc w:val="both"/>
        <w:rPr>
          <w:rFonts w:ascii="Times New Roman" w:hAnsi="Times New Roman" w:cs="Times New Roman"/>
          <w:b/>
          <w:noProof/>
          <w:sz w:val="24"/>
        </w:rPr>
      </w:pPr>
      <w:r w:rsidRPr="00B03B51">
        <w:rPr>
          <w:rFonts w:ascii="Times New Roman" w:hAnsi="Times New Roman" w:cs="Times New Roman"/>
          <w:b/>
          <w:sz w:val="24"/>
        </w:rPr>
        <w:t>Infrastruktūras atdošana ekspluatācijas perioda beigās</w:t>
      </w:r>
    </w:p>
    <w:p w14:paraId="566DA8E5" w14:textId="77777777" w:rsidR="00443399" w:rsidRPr="00B03B51" w:rsidRDefault="00443399" w:rsidP="003E2678">
      <w:pPr>
        <w:pStyle w:val="BodyText"/>
        <w:spacing w:before="0"/>
        <w:ind w:left="0" w:firstLine="0"/>
        <w:jc w:val="both"/>
        <w:rPr>
          <w:rFonts w:ascii="Times New Roman" w:eastAsia="Symbol" w:hAnsi="Times New Roman" w:cs="Times New Roman"/>
          <w:noProof/>
          <w:sz w:val="24"/>
        </w:rPr>
      </w:pPr>
    </w:p>
    <w:p w14:paraId="47F54038" w14:textId="77777777" w:rsidR="00443399" w:rsidRPr="00B03B51" w:rsidRDefault="00443399" w:rsidP="00BD35E2">
      <w:pPr>
        <w:pStyle w:val="BodyText"/>
        <w:spacing w:before="0"/>
        <w:ind w:left="0" w:firstLine="0"/>
        <w:jc w:val="center"/>
        <w:rPr>
          <w:rFonts w:ascii="Times New Roman" w:eastAsia="Symbol" w:hAnsi="Times New Roman" w:cs="Times New Roman"/>
          <w:noProof/>
          <w:sz w:val="24"/>
        </w:rPr>
      </w:pPr>
      <w:r w:rsidRPr="00B03B51">
        <w:rPr>
          <w:rFonts w:ascii="Times New Roman" w:hAnsi="Times New Roman" w:cs="Times New Roman"/>
          <w:noProof/>
        </w:rPr>
        <w:drawing>
          <wp:inline distT="0" distB="0" distL="0" distR="0" wp14:anchorId="6CBEEB52" wp14:editId="73568DCA">
            <wp:extent cx="5756275" cy="3450590"/>
            <wp:effectExtent l="0" t="0" r="0" b="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56275" cy="3450590"/>
                    </a:xfrm>
                    <a:prstGeom prst="rect">
                      <a:avLst/>
                    </a:prstGeom>
                  </pic:spPr>
                </pic:pic>
              </a:graphicData>
            </a:graphic>
          </wp:inline>
        </w:drawing>
      </w:r>
    </w:p>
    <w:p w14:paraId="26AD74D2" w14:textId="77777777" w:rsidR="00443399" w:rsidRPr="00B03B51" w:rsidRDefault="00443399" w:rsidP="00443399">
      <w:pPr>
        <w:jc w:val="both"/>
        <w:rPr>
          <w:rFonts w:ascii="Times New Roman" w:hAnsi="Times New Roman" w:cs="Times New Roman"/>
          <w:noProof/>
          <w:sz w:val="24"/>
        </w:rPr>
      </w:pPr>
    </w:p>
    <w:p w14:paraId="676752E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gadījums. Sabiedrībai nodod esošu ražotu aktīvu</w:t>
      </w:r>
    </w:p>
    <w:p w14:paraId="01E49E73" w14:textId="77777777" w:rsidR="00443399" w:rsidRPr="00B03B51" w:rsidRDefault="00443399" w:rsidP="00443399">
      <w:pPr>
        <w:jc w:val="both"/>
        <w:rPr>
          <w:rFonts w:ascii="Times New Roman" w:eastAsia="Arial" w:hAnsi="Times New Roman" w:cs="Times New Roman"/>
          <w:b/>
          <w:bCs/>
          <w:noProof/>
          <w:sz w:val="24"/>
        </w:rPr>
      </w:pPr>
    </w:p>
    <w:p w14:paraId="3A9F412C"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Ekspluatācijas sākumā valdība nodod infrastruktūru sabiedrībai (par 1000 naudas vienībām).</w:t>
      </w:r>
    </w:p>
    <w:p w14:paraId="0A9412F3"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Ir atzīts valdībai piederošais pašu kapitāls.</w:t>
      </w:r>
    </w:p>
    <w:p w14:paraId="6DA7B636" w14:textId="77777777" w:rsidR="00443399" w:rsidRPr="00B03B51" w:rsidRDefault="00443399" w:rsidP="00BD35E2">
      <w:pPr>
        <w:pStyle w:val="BodyText"/>
        <w:numPr>
          <w:ilvl w:val="5"/>
          <w:numId w:val="4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Ekspluatācijas perioda beigās infrastruktūru atdod valdībai (šajā brīdī tā tirgus vērtība ir 200 naudas vienības).</w:t>
      </w:r>
    </w:p>
    <w:p w14:paraId="56062FD3" w14:textId="77777777" w:rsidR="00443399" w:rsidRPr="00B03B51" w:rsidRDefault="00443399" w:rsidP="00443399">
      <w:pPr>
        <w:jc w:val="both"/>
        <w:rPr>
          <w:rFonts w:ascii="Times New Roman" w:hAnsi="Times New Roman" w:cs="Times New Roman"/>
          <w:b/>
          <w:noProof/>
          <w:sz w:val="24"/>
        </w:rPr>
      </w:pPr>
    </w:p>
    <w:p w14:paraId="46659562" w14:textId="77777777" w:rsidR="00443399" w:rsidRPr="00B03B51" w:rsidRDefault="00443399" w:rsidP="003E2678">
      <w:pPr>
        <w:keepNext/>
        <w:jc w:val="both"/>
        <w:rPr>
          <w:rFonts w:ascii="Times New Roman" w:hAnsi="Times New Roman" w:cs="Times New Roman"/>
          <w:b/>
          <w:noProof/>
          <w:sz w:val="24"/>
        </w:rPr>
      </w:pPr>
      <w:r w:rsidRPr="00B03B51">
        <w:rPr>
          <w:rFonts w:ascii="Times New Roman" w:hAnsi="Times New Roman" w:cs="Times New Roman"/>
          <w:b/>
          <w:sz w:val="24"/>
        </w:rPr>
        <w:lastRenderedPageBreak/>
        <w:t>Aktīva sākotnējā nodošana</w:t>
      </w:r>
    </w:p>
    <w:p w14:paraId="4220A160" w14:textId="77777777" w:rsidR="00443399" w:rsidRPr="00B03B51" w:rsidRDefault="00443399" w:rsidP="003E2678">
      <w:pPr>
        <w:keepNext/>
        <w:jc w:val="both"/>
        <w:rPr>
          <w:rFonts w:ascii="Times New Roman" w:eastAsia="Arial" w:hAnsi="Times New Roman" w:cs="Times New Roman"/>
          <w:b/>
          <w:bCs/>
          <w:noProof/>
          <w:sz w:val="24"/>
          <w:szCs w:val="20"/>
        </w:rPr>
      </w:pPr>
    </w:p>
    <w:p w14:paraId="78DBB25E" w14:textId="77777777" w:rsidR="00443399" w:rsidRPr="00B03B51" w:rsidRDefault="00443399" w:rsidP="003E2678">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5A8A78E4" wp14:editId="0D4C9C12">
            <wp:extent cx="5756275" cy="3106420"/>
            <wp:effectExtent l="0" t="0" r="0"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6275" cy="3106420"/>
                    </a:xfrm>
                    <a:prstGeom prst="rect">
                      <a:avLst/>
                    </a:prstGeom>
                  </pic:spPr>
                </pic:pic>
              </a:graphicData>
            </a:graphic>
          </wp:inline>
        </w:drawing>
      </w:r>
    </w:p>
    <w:p w14:paraId="3E2D204E" w14:textId="77777777" w:rsidR="00443399" w:rsidRPr="00B03B51" w:rsidRDefault="00443399" w:rsidP="00BD35E2">
      <w:pPr>
        <w:jc w:val="both"/>
        <w:rPr>
          <w:rFonts w:ascii="Times New Roman" w:eastAsia="Arial" w:hAnsi="Times New Roman" w:cs="Times New Roman"/>
          <w:b/>
          <w:bCs/>
          <w:noProof/>
          <w:sz w:val="24"/>
          <w:szCs w:val="20"/>
        </w:rPr>
      </w:pPr>
    </w:p>
    <w:p w14:paraId="643D1BF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Pirmais aktīva ekspluatācijas gads</w:t>
      </w:r>
    </w:p>
    <w:p w14:paraId="1765AA98" w14:textId="77777777" w:rsidR="00443399" w:rsidRPr="00B03B51" w:rsidRDefault="00443399" w:rsidP="00443399">
      <w:pPr>
        <w:jc w:val="both"/>
        <w:rPr>
          <w:rFonts w:ascii="Times New Roman" w:hAnsi="Times New Roman" w:cs="Times New Roman"/>
          <w:b/>
          <w:noProof/>
          <w:sz w:val="24"/>
        </w:rPr>
      </w:pPr>
    </w:p>
    <w:p w14:paraId="324E4BFB" w14:textId="77777777" w:rsidR="00443399" w:rsidRPr="00B03B51" w:rsidRDefault="00443399" w:rsidP="00BD35E2">
      <w:pPr>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4F0C1ED4" wp14:editId="1F077F03">
            <wp:extent cx="5756275" cy="3301365"/>
            <wp:effectExtent l="0" t="0" r="0"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56275" cy="3301365"/>
                    </a:xfrm>
                    <a:prstGeom prst="rect">
                      <a:avLst/>
                    </a:prstGeom>
                  </pic:spPr>
                </pic:pic>
              </a:graphicData>
            </a:graphic>
          </wp:inline>
        </w:drawing>
      </w:r>
    </w:p>
    <w:p w14:paraId="00C5AFF5" w14:textId="77777777" w:rsidR="00443399" w:rsidRPr="00B03B51" w:rsidRDefault="00443399" w:rsidP="00443399">
      <w:pPr>
        <w:jc w:val="both"/>
        <w:rPr>
          <w:rFonts w:ascii="Times New Roman" w:hAnsi="Times New Roman" w:cs="Times New Roman"/>
          <w:b/>
          <w:noProof/>
          <w:sz w:val="24"/>
        </w:rPr>
      </w:pPr>
    </w:p>
    <w:p w14:paraId="3AFC0054" w14:textId="77777777" w:rsidR="00443399" w:rsidRPr="00B03B51" w:rsidRDefault="00443399" w:rsidP="00324FA9">
      <w:pPr>
        <w:keepNext/>
        <w:jc w:val="both"/>
        <w:rPr>
          <w:rFonts w:ascii="Times New Roman" w:hAnsi="Times New Roman" w:cs="Times New Roman"/>
          <w:b/>
          <w:noProof/>
          <w:sz w:val="24"/>
        </w:rPr>
      </w:pPr>
      <w:r w:rsidRPr="00B03B51">
        <w:rPr>
          <w:rFonts w:ascii="Times New Roman" w:hAnsi="Times New Roman" w:cs="Times New Roman"/>
          <w:b/>
          <w:sz w:val="24"/>
        </w:rPr>
        <w:lastRenderedPageBreak/>
        <w:t>Aktīva atdošana valdībai ekspluatācijas perioda beigās</w:t>
      </w:r>
    </w:p>
    <w:p w14:paraId="70A56471" w14:textId="77777777" w:rsidR="00443399" w:rsidRPr="00100B51" w:rsidRDefault="00443399" w:rsidP="00324FA9">
      <w:pPr>
        <w:keepNext/>
        <w:rPr>
          <w:rFonts w:ascii="Times New Roman" w:hAnsi="Times New Roman" w:cs="Times New Roman"/>
          <w:noProof/>
          <w:sz w:val="24"/>
          <w:szCs w:val="24"/>
        </w:rPr>
      </w:pPr>
      <w:bookmarkStart w:id="514" w:name="6.4_Public-Private_Partnerships_(PPPs)"/>
      <w:bookmarkStart w:id="515" w:name="_bookmark51"/>
      <w:bookmarkEnd w:id="514"/>
      <w:bookmarkEnd w:id="515"/>
    </w:p>
    <w:p w14:paraId="140B24C3" w14:textId="77777777" w:rsidR="00443399" w:rsidRPr="00B03B51" w:rsidRDefault="00443399" w:rsidP="00324FA9">
      <w:pPr>
        <w:keepNext/>
        <w:rPr>
          <w:sz w:val="24"/>
          <w:szCs w:val="24"/>
        </w:rPr>
      </w:pPr>
      <w:bookmarkStart w:id="516" w:name="_Toc67565183"/>
      <w:r w:rsidRPr="00B03B51">
        <w:rPr>
          <w:noProof/>
        </w:rPr>
        <w:drawing>
          <wp:inline distT="0" distB="0" distL="0" distR="0" wp14:anchorId="7DA06150" wp14:editId="0CC2485B">
            <wp:extent cx="5756275" cy="2037080"/>
            <wp:effectExtent l="0" t="0" r="0" b="127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6275" cy="2037080"/>
                    </a:xfrm>
                    <a:prstGeom prst="rect">
                      <a:avLst/>
                    </a:prstGeom>
                  </pic:spPr>
                </pic:pic>
              </a:graphicData>
            </a:graphic>
          </wp:inline>
        </w:drawing>
      </w:r>
      <w:bookmarkEnd w:id="516"/>
    </w:p>
    <w:p w14:paraId="0A8DFAED" w14:textId="77777777" w:rsidR="00443399" w:rsidRPr="00B03B51" w:rsidRDefault="00443399" w:rsidP="00443399">
      <w:pPr>
        <w:rPr>
          <w:rFonts w:ascii="Times New Roman" w:eastAsia="Arial" w:hAnsi="Times New Roman" w:cs="Times New Roman"/>
          <w:b/>
          <w:bCs/>
          <w:noProof/>
          <w:sz w:val="24"/>
          <w:szCs w:val="40"/>
        </w:rPr>
      </w:pPr>
      <w:r w:rsidRPr="00B03B51">
        <w:rPr>
          <w:rFonts w:ascii="Times New Roman" w:hAnsi="Times New Roman" w:cs="Times New Roman"/>
        </w:rPr>
        <w:br w:type="page"/>
      </w:r>
    </w:p>
    <w:p w14:paraId="03DFFE6A" w14:textId="77777777" w:rsidR="00443399" w:rsidRPr="00100B51" w:rsidRDefault="00443399" w:rsidP="00100B51">
      <w:pPr>
        <w:rPr>
          <w:rFonts w:ascii="Times New Roman" w:hAnsi="Times New Roman" w:cs="Times New Roman"/>
          <w:noProof/>
          <w:sz w:val="24"/>
          <w:szCs w:val="24"/>
        </w:rPr>
      </w:pPr>
    </w:p>
    <w:p w14:paraId="432FD158"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17" w:name="_Toc67565184"/>
      <w:r w:rsidRPr="00B03B51">
        <w:rPr>
          <w:rFonts w:ascii="Times New Roman" w:hAnsi="Times New Roman" w:cs="Times New Roman"/>
          <w:sz w:val="28"/>
          <w:szCs w:val="44"/>
        </w:rPr>
        <w:t>6.4. Publiskā un privātā partnerība (PPP)</w:t>
      </w:r>
      <w:bookmarkEnd w:id="517"/>
    </w:p>
    <w:p w14:paraId="1C7EF696" w14:textId="77777777" w:rsidR="00443399" w:rsidRPr="00B03B51" w:rsidRDefault="00443399" w:rsidP="00443399">
      <w:pPr>
        <w:tabs>
          <w:tab w:val="left" w:pos="1267"/>
        </w:tabs>
        <w:jc w:val="both"/>
        <w:rPr>
          <w:rFonts w:ascii="Times New Roman" w:hAnsi="Times New Roman" w:cs="Times New Roman"/>
          <w:b/>
          <w:noProof/>
          <w:sz w:val="24"/>
        </w:rPr>
      </w:pPr>
      <w:bookmarkStart w:id="518" w:name="6.4.1_Overview"/>
      <w:bookmarkEnd w:id="518"/>
    </w:p>
    <w:p w14:paraId="4DC69542" w14:textId="77777777" w:rsidR="00443399" w:rsidRPr="0037375A" w:rsidRDefault="00443399" w:rsidP="0037375A">
      <w:pPr>
        <w:pStyle w:val="Heading3"/>
        <w:keepNext/>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6.4.1. Pārskats</w:t>
      </w:r>
    </w:p>
    <w:p w14:paraId="5658EAB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C31D5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 Terminu </w:t>
      </w:r>
      <w:r w:rsidRPr="00B03B51">
        <w:rPr>
          <w:rFonts w:ascii="Times New Roman" w:hAnsi="Times New Roman" w:cs="Times New Roman"/>
          <w:b/>
          <w:bCs/>
          <w:sz w:val="24"/>
        </w:rPr>
        <w:t>“publiskā un privātā partnerība” (PPP)</w:t>
      </w:r>
      <w:r w:rsidRPr="00B03B51">
        <w:rPr>
          <w:rFonts w:ascii="Times New Roman" w:hAnsi="Times New Roman" w:cs="Times New Roman"/>
          <w:sz w:val="24"/>
        </w:rPr>
        <w:t xml:space="preserve"> plaši izmanto attiecībā uz daudziem dažādiem ilgtermiņa līgumiem starp valdību un sabiedrībām par publisko aktīvu nodrošināšanu. Šādās publiskās un privātās partnerībās valdība piekrīt pirkt tādus pakalpojumus no valdības sektoram nepiederošas vienības (partnera) ilgā laika posmā, kas izriet no īpašu “tam paredzētu aktīvu” izmantošanas, kurus valdības sektoram nepiederošā vienība uzbūvē šā pakalpojuma nodrošināšanai. Parasti aktīva aprīkojums tiek izmantots sabiedrisku pakalpojumu sniegšanai, piemēram, veselības aprūpē (slimnīcas), izglītībā (skolas un universitātes) un sabiedrības drošības nodrošināšanā (cietumi), vai atsevišķu transporta un sakaru struktūru jomā. Valdība var pirkt pakalpojumus arī savu vajadzību apmierināšanai, piemēram, biroja ēku gadījumā, ko izmanto valsts amatpersonas vispārējās pārvaldes vai citu specializēto pakalpojumu nodrošināšanai.</w:t>
      </w:r>
    </w:p>
    <w:p w14:paraId="0EC6909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A5ADE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Šajā nodaļā termins “PPP” tiek attiecināts vienīgi uz tiem ilgtermiņa līgumiem, kuri paredz, ka valdība maksā valdības sektorā neietilpstošam partnerim visus konkrētajā līgumā noteiktos maksājumus vai lielāko daļu šādu maksājumu, līdz ar to sedzot lielāko daļu no sniegtā pakalpojuma kopējām izmaksām (tostarp aktīvu amortizācijas izdevumus). Nacionālajos kontos šī pazīme nosaka atšķirību starp PPP un koncesijām. Koncesijas līguma gadījumā valdība neveic regulārus maksājumus partnerim vai arī šādi maksājumi, ja tie pastāv, neveido lielāko daļu no partnera saņemtajiem maksājumiem (skat. šīs rokasgrāmatas 6.3. nodaļu). Kā norādīts šajā nodaļā, PPP līguma gadījumā galalietotāji neveic tiešus maksājumus (t. i., proporcionāli aktīva izmantošanai un ar skaidru norādi par to, ka maksājums tiek veikts tikai par šādu izmantošanu) vai samaksā tikai nelielu daļu (un parasti par kādu konkrētu aktīva izmantošanas veidu</w:t>
      </w:r>
      <w:r w:rsidRPr="00B03B51">
        <w:rPr>
          <w:rStyle w:val="FootnoteReference"/>
          <w:rFonts w:ascii="Times New Roman" w:hAnsi="Times New Roman" w:cs="Times New Roman"/>
          <w:noProof/>
          <w:sz w:val="24"/>
        </w:rPr>
        <w:footnoteReference w:id="212"/>
      </w:r>
      <w:r w:rsidRPr="00B03B51">
        <w:rPr>
          <w:rFonts w:ascii="Times New Roman" w:hAnsi="Times New Roman" w:cs="Times New Roman"/>
          <w:sz w:val="24"/>
        </w:rPr>
        <w:t>) par tādu aktīvu izmantošanu, par kuriem tiks sniegts pakalpojums.</w:t>
      </w:r>
    </w:p>
    <w:p w14:paraId="590E11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D546C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Galvenā statistikas problēma ir saistīta ar PPP līgumā iekļauto aktīvu klasifikāciju, proti, vai šie aktīvi būtu klasificējami kā valdības aktīvi (kas tādējādi nekavējoties ietekmē valdības neto aizdevumu/aizņēmumu (B.9) un parādu) vai kā partnera aktīvi (sadalot ietekmi uz valdības neto aizdevumu/aizņēmumu (B.9) (un uz aprēķināto parādu) visa līguma darbības termiņa laikā). Šis jautājums ir samērā līdzīgs tam, kā nošķirt operatīvo nomu no finanšu nomas, kas skaidrots EKS 2010 15. nodaļā</w:t>
      </w:r>
      <w:r w:rsidRPr="00B03B51">
        <w:rPr>
          <w:rStyle w:val="FootnoteReference"/>
          <w:rFonts w:ascii="Times New Roman" w:hAnsi="Times New Roman" w:cs="Times New Roman"/>
          <w:noProof/>
          <w:sz w:val="24"/>
        </w:rPr>
        <w:footnoteReference w:id="213"/>
      </w:r>
      <w:r w:rsidRPr="00B03B51">
        <w:rPr>
          <w:rFonts w:ascii="Times New Roman" w:hAnsi="Times New Roman" w:cs="Times New Roman"/>
          <w:sz w:val="24"/>
        </w:rPr>
        <w:t>.</w:t>
      </w:r>
    </w:p>
    <w:p w14:paraId="1008B2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C62E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Izmantotās metodoloģiskās sistēmas rezultātā nacionālajos kontos PPP iesaistītos aktīvus var uzskatīt par valdības sektoram nepiederošiem aktīviem tikai tad, ja ir pārliecinoši pierādījumi, ka partneris vienlaikus uzņemas lielāko daļu risku un atlīdzību (tiešā veidā un saistībā ar aktīva izmantošanu), kas saistīti ar konkrētajā partnerībā izmantoto aktīvu. Tāpēc kā galvenais jautājums ir jāuzskata analīze par riska un atlīdzību sadali starp valdību un valdības sektorā neietilpstošo partneri</w:t>
      </w:r>
      <w:r w:rsidRPr="00B03B51">
        <w:rPr>
          <w:rStyle w:val="FootnoteReference"/>
          <w:rFonts w:ascii="Times New Roman" w:hAnsi="Times New Roman" w:cs="Times New Roman"/>
          <w:noProof/>
          <w:sz w:val="24"/>
        </w:rPr>
        <w:footnoteReference w:id="214"/>
      </w:r>
      <w:r w:rsidRPr="00B03B51">
        <w:rPr>
          <w:rFonts w:ascii="Times New Roman" w:hAnsi="Times New Roman" w:cs="Times New Roman"/>
          <w:sz w:val="24"/>
        </w:rPr>
        <w:t xml:space="preserve">. Šajā gadījumā ar risku saprot ietekmi (uz ieņēmumiem vai peļņu), ko </w:t>
      </w:r>
      <w:r w:rsidRPr="00B03B51">
        <w:rPr>
          <w:rFonts w:ascii="Times New Roman" w:hAnsi="Times New Roman" w:cs="Times New Roman"/>
          <w:sz w:val="24"/>
        </w:rPr>
        <w:lastRenderedPageBreak/>
        <w:t>rada vienas puses skaidri veikti pasākumi (saistīti ar būvniecību, apkopes pasākumiem, pakalpojumu sniegšanu, attiecībā uz ko puse ir uzņēmusies atbildību) un/vai kas rodas citu ekonomikas dalībnieku darbību rezultātā, kuru vajadzībām attiecīgais pasākums tiek veikts (piemēram, pārmaiņas valdības vai galalietotāju pieprasījumā pēc pakalpojuma). Risku uzņemšanās nozīmē to, ka pusei ir tiesības veikt pasākumus, lai novērstu šādus riskus vai mazinātu to ietekmi.</w:t>
      </w:r>
    </w:p>
    <w:p w14:paraId="25E398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74FE7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Šajā saistībā norādījumi par to, kā novērtēt risku, ir sniegti, pamatojoties uz trīs galvenajām riska kategorijām:</w:t>
      </w:r>
    </w:p>
    <w:p w14:paraId="3F5FDF59" w14:textId="77777777" w:rsidR="00443399" w:rsidRPr="00B03B51" w:rsidRDefault="00443399" w:rsidP="00443399">
      <w:pPr>
        <w:jc w:val="both"/>
        <w:rPr>
          <w:rFonts w:ascii="Times New Roman" w:hAnsi="Times New Roman" w:cs="Times New Roman"/>
          <w:noProof/>
          <w:sz w:val="24"/>
        </w:rPr>
      </w:pPr>
    </w:p>
    <w:p w14:paraId="5C083C50"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w:t>
      </w:r>
      <w:r w:rsidRPr="00B03B51">
        <w:rPr>
          <w:rFonts w:ascii="Times New Roman" w:hAnsi="Times New Roman" w:cs="Times New Roman"/>
          <w:b/>
          <w:sz w:val="24"/>
        </w:rPr>
        <w:t>būvniecības risks</w:t>
      </w:r>
      <w:r w:rsidRPr="00B03B51">
        <w:rPr>
          <w:rFonts w:ascii="Times New Roman" w:hAnsi="Times New Roman" w:cs="Times New Roman"/>
          <w:sz w:val="24"/>
        </w:rPr>
        <w:t>”– ietver, piemēram, piegādes kavējumus, specifikāciju ievērošanu un papildu izmaksas;</w:t>
      </w:r>
    </w:p>
    <w:p w14:paraId="42FEA0E1"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w:t>
      </w:r>
      <w:r w:rsidRPr="00B03B51">
        <w:rPr>
          <w:rFonts w:ascii="Times New Roman" w:hAnsi="Times New Roman" w:cs="Times New Roman"/>
          <w:b/>
          <w:sz w:val="24"/>
        </w:rPr>
        <w:t>pieejamības risks</w:t>
      </w:r>
      <w:r w:rsidRPr="00B03B51">
        <w:rPr>
          <w:rFonts w:ascii="Times New Roman" w:hAnsi="Times New Roman" w:cs="Times New Roman"/>
          <w:sz w:val="24"/>
        </w:rPr>
        <w:t>” – ietver produkcijas apjomu un kvalitāti (saistīts ar partnera darbības rezultātu);</w:t>
      </w:r>
    </w:p>
    <w:p w14:paraId="3D6EAD15"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w:t>
      </w:r>
      <w:r w:rsidRPr="00B03B51">
        <w:rPr>
          <w:rFonts w:ascii="Times New Roman" w:hAnsi="Times New Roman" w:cs="Times New Roman"/>
          <w:b/>
          <w:sz w:val="24"/>
        </w:rPr>
        <w:t>pieprasījuma risks</w:t>
      </w:r>
      <w:r w:rsidRPr="00B03B51">
        <w:rPr>
          <w:rFonts w:ascii="Times New Roman" w:hAnsi="Times New Roman" w:cs="Times New Roman"/>
          <w:sz w:val="24"/>
        </w:rPr>
        <w:t>”– ietver pieprasījuma mainīgumu (galalietotāju faktiskais patēriņš).</w:t>
      </w:r>
    </w:p>
    <w:p w14:paraId="59F2D4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3C36CA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Parasti, ciktāl tas attiecas uz riskiem, PPP aktīvus klasificē partnera bilancē, nevis valdības bilancē, ja vien ir izpildīti turpmāk norādītie nosacījumi.</w:t>
      </w:r>
    </w:p>
    <w:p w14:paraId="0B2B87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FF35A63"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Partneris uzņemas būvniecības</w:t>
      </w:r>
      <w:r w:rsidRPr="00B03B51">
        <w:rPr>
          <w:rStyle w:val="FootnoteReference"/>
          <w:rFonts w:ascii="Times New Roman" w:hAnsi="Times New Roman" w:cs="Times New Roman"/>
          <w:noProof/>
          <w:sz w:val="24"/>
        </w:rPr>
        <w:footnoteReference w:id="215"/>
      </w:r>
      <w:r w:rsidRPr="00B03B51">
        <w:rPr>
          <w:rFonts w:ascii="Times New Roman" w:hAnsi="Times New Roman" w:cs="Times New Roman"/>
          <w:sz w:val="24"/>
        </w:rPr>
        <w:t xml:space="preserve"> riskus.</w:t>
      </w:r>
    </w:p>
    <w:p w14:paraId="55DF5CA2"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Partneris uzņemas vismaz pieejamības risku vai pieprasījuma risku (kā norādīts līgumā), bet dažos gadījumos (skat. turpmāk 6.4.3.2. apakšiedaļu) gan pieejamības risku, gan pieprasījuma risku. Jāuzsver, ka vairumā līgumu tikai viena veida risks ierosina visu (vai gandrīz) visu maksājumu, ko valdība veic partnerim; maksājums tiek veikts, pamatojoties vai nu uz aktīva rādītāju pieejamību, vai uz aktīva izmantošanu/apmeklētību. Pēdējo minēto gadījumu ievēro tikai tad, ja tas atkarīgs no galalietotājiem, nevis no maksājumu veicošās valdības vienības.</w:t>
      </w:r>
    </w:p>
    <w:p w14:paraId="74F1966E"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neuzņemas riskus ar citu līdzekļu starpniecību, piemēram, ar valdības finansējuma, valdības garantiju un pirmstermiņa izpirkšanas klauzulu starpniecību.</w:t>
      </w:r>
    </w:p>
    <w:p w14:paraId="7324E3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92B76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Ja tiek izpildīti minētie nosacījumi, svarīgi ir arī izvērtēt visus citus līgumā norādītos mehānismus, lai pārbaudītu, vai valdībai varētu nodot riskus, izmantojot citus līdzekļus. Ja tas tā nav</w:t>
      </w:r>
      <w:r w:rsidRPr="00B03B51">
        <w:rPr>
          <w:rStyle w:val="FootnoteReference"/>
          <w:rFonts w:ascii="Times New Roman" w:hAnsi="Times New Roman" w:cs="Times New Roman"/>
          <w:noProof/>
          <w:sz w:val="24"/>
        </w:rPr>
        <w:footnoteReference w:id="216"/>
      </w:r>
      <w:r w:rsidRPr="00B03B51">
        <w:rPr>
          <w:rFonts w:ascii="Times New Roman" w:hAnsi="Times New Roman" w:cs="Times New Roman"/>
          <w:sz w:val="24"/>
        </w:rPr>
        <w:t>, PPP uzskaites traktējums varētu līdzināties operatīvās nomas traktējumam nacionālajos kontos; proti, to varētu klasificēt kā pakalpojumu pirkšanu, ko veic valdība.</w:t>
      </w:r>
    </w:p>
    <w:p w14:paraId="4372FD7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73A00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Ja 6. rindkopā minētie nosacījumi nav izpildīti, ja valdība uzņemas riskus, izmantojot citus mehānismus, vai ja valdība gūst labumu no vairuma atlīdzību, tad aktīvus ieraksta valdības bilancē. Šajā gadījumā traktējums nacionālajos kontos varētu būt līdzīgs finanšu nomas traktējumam, saskaņā ar kuru ir jāieraksta valdības kapitāla izdevumi un finanšu saistības.</w:t>
      </w:r>
    </w:p>
    <w:p w14:paraId="47CF9499" w14:textId="77777777" w:rsidR="00443399" w:rsidRPr="00B03B51" w:rsidRDefault="00443399" w:rsidP="00443399">
      <w:pPr>
        <w:jc w:val="both"/>
        <w:rPr>
          <w:rFonts w:ascii="Times New Roman" w:eastAsia="Arial" w:hAnsi="Times New Roman" w:cs="Times New Roman"/>
          <w:noProof/>
          <w:sz w:val="24"/>
          <w:szCs w:val="18"/>
        </w:rPr>
      </w:pPr>
    </w:p>
    <w:p w14:paraId="018479D1" w14:textId="77777777" w:rsidR="00443399" w:rsidRPr="00B03B51" w:rsidRDefault="00443399" w:rsidP="00324FA9">
      <w:pPr>
        <w:pStyle w:val="Heading3"/>
        <w:keepNext/>
        <w:tabs>
          <w:tab w:val="left" w:pos="1267"/>
        </w:tabs>
        <w:ind w:left="0" w:firstLine="0"/>
        <w:jc w:val="both"/>
        <w:rPr>
          <w:rFonts w:ascii="Times New Roman" w:hAnsi="Times New Roman" w:cs="Times New Roman"/>
          <w:noProof/>
          <w:sz w:val="24"/>
        </w:rPr>
      </w:pPr>
      <w:bookmarkStart w:id="519" w:name="6.4.2_Background"/>
      <w:bookmarkStart w:id="520" w:name="_Toc67565185"/>
      <w:bookmarkEnd w:id="519"/>
      <w:r w:rsidRPr="00B03B51">
        <w:rPr>
          <w:rFonts w:ascii="Times New Roman" w:hAnsi="Times New Roman" w:cs="Times New Roman"/>
          <w:sz w:val="24"/>
        </w:rPr>
        <w:lastRenderedPageBreak/>
        <w:t>6.4.2. Vispārīga informācija</w:t>
      </w:r>
      <w:bookmarkEnd w:id="520"/>
    </w:p>
    <w:p w14:paraId="5241FE4C" w14:textId="77777777" w:rsidR="00443399" w:rsidRPr="0037375A" w:rsidRDefault="00443399" w:rsidP="00324FA9">
      <w:pPr>
        <w:keepNext/>
        <w:rPr>
          <w:rFonts w:ascii="Times New Roman" w:hAnsi="Times New Roman" w:cs="Times New Roman"/>
          <w:noProof/>
          <w:sz w:val="24"/>
          <w:szCs w:val="24"/>
        </w:rPr>
      </w:pPr>
      <w:bookmarkStart w:id="521" w:name="6.4.2.1_The_development_of_PPPs"/>
      <w:bookmarkEnd w:id="521"/>
    </w:p>
    <w:p w14:paraId="48C58C5E" w14:textId="77777777" w:rsidR="00443399" w:rsidRPr="00B03B51" w:rsidRDefault="00443399" w:rsidP="00324FA9">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6.4.2.1. PPP ATTĪSTĪBA</w:t>
      </w:r>
    </w:p>
    <w:p w14:paraId="5DA6C086" w14:textId="77777777" w:rsidR="00443399" w:rsidRPr="00B03B51" w:rsidRDefault="00443399" w:rsidP="00324FA9">
      <w:pPr>
        <w:pStyle w:val="BodyText"/>
        <w:keepNext/>
        <w:tabs>
          <w:tab w:val="left" w:pos="843"/>
        </w:tabs>
        <w:spacing w:before="0"/>
        <w:ind w:left="0" w:firstLine="0"/>
        <w:jc w:val="both"/>
        <w:rPr>
          <w:rFonts w:ascii="Times New Roman" w:hAnsi="Times New Roman" w:cs="Times New Roman"/>
          <w:noProof/>
          <w:sz w:val="24"/>
        </w:rPr>
      </w:pPr>
    </w:p>
    <w:p w14:paraId="6134AE5E" w14:textId="77777777" w:rsidR="00443399" w:rsidRPr="00B03B51" w:rsidRDefault="00443399" w:rsidP="00324FA9">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 PPP </w:t>
      </w:r>
      <w:r w:rsidRPr="00B03B51">
        <w:rPr>
          <w:rFonts w:ascii="Times New Roman" w:hAnsi="Times New Roman" w:cs="Times New Roman"/>
          <w:b/>
          <w:sz w:val="24"/>
        </w:rPr>
        <w:t>nozīmē ilgtermiņa attiecības</w:t>
      </w:r>
      <w:r w:rsidRPr="00B03B51">
        <w:rPr>
          <w:rFonts w:ascii="Times New Roman" w:hAnsi="Times New Roman" w:cs="Times New Roman"/>
          <w:sz w:val="24"/>
        </w:rPr>
        <w:t xml:space="preserve"> atbilstoši konkrētiem līgumiem, kuros ir skaidri noteikti katra partnera pienākumi un tiesības. Praksē PPP līgumi galvenokārt tiek slēgti vismaz uz 20 gadiem. PPP līguma darbības termiņš parasti ir atkarīgs no aktīvu veida (kāds ir gaidāmais to nolietojuma termiņš), taču var būt gadījumi, kad līguma termiņš ir mazāks par 15 gadiem vai pat par 10 gadiem. Šādos gadījumos jāveic īpaša analīze, lai novērtētu, vai šādus līgumus varētu uzskatīt par PPP šīs nodaļas izpratnē. Līgums varētu neatbilst PPP definīcijai, ja tā darbības termiņš varētu būt ilgāks par laikposmu, kurā jānodrošina aktīva saimnieciskā izmantošana, un ja līguma darbības laikā aktīvu nāktos vienu vai vairākas reizes nomainīt.</w:t>
      </w:r>
    </w:p>
    <w:p w14:paraId="3D1236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B7F08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Papildus mērķim izmantot partnera prasmes un kompetences, lai uzlabotu valdības pakalpojumu kvalitāti un samazinātu to izmaksas, PPP var veidot arī budžeta ierobežojumu dēļ, kas liek valdībai meklēt alternatīvus līdzekļus un ārējus resursus koplietošanas aprīkojuma būvniecībai vai pilnveidei. Parasti šādi līgumi ļauj sadalīt jauno aktīvu izmaksas pa visu laika posmu, kad tie tiek izmantoti, līdz ar to novēršot nepieciešamību pēc lieliem sākotnējiem valdības kapitāla izdevumiem un attiecīgām naudas izmaksām, kas rastos, ja valdība būtu izmantojusi tiešu iepirkuma procedūru infrastruktūras būvniecībai.</w:t>
      </w:r>
    </w:p>
    <w:p w14:paraId="7192EB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C6C9DB1" w14:textId="195464FE"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No šīs pazīmes </w:t>
      </w:r>
      <w:r w:rsidRPr="00B03B51">
        <w:rPr>
          <w:rFonts w:ascii="Times New Roman" w:hAnsi="Times New Roman" w:cs="Times New Roman"/>
          <w:b/>
          <w:sz w:val="24"/>
        </w:rPr>
        <w:t>izriet</w:t>
      </w:r>
      <w:r w:rsidRPr="00B03B51">
        <w:rPr>
          <w:rFonts w:ascii="Times New Roman" w:hAnsi="Times New Roman" w:cs="Times New Roman"/>
          <w:sz w:val="24"/>
        </w:rPr>
        <w:t>, ka ir jāizvērtē valdības maksājumu grafiks. Piemēram, ja izdevumus, kas partnerim rodas saistībā ar aktīva būvniecību (visa aktīva vai būtiskas tā daļas būvniecību), valdība būtu atmaksājusi aktīva ekspluatācijas posma sākumā vienā vai dažos lielas summas maksājumos (vienreizēj</w:t>
      </w:r>
      <w:r w:rsidR="008B4F65" w:rsidRPr="00B03B51">
        <w:rPr>
          <w:rFonts w:ascii="Times New Roman" w:hAnsi="Times New Roman" w:cs="Times New Roman"/>
          <w:sz w:val="24"/>
        </w:rPr>
        <w:t>i maksājumi</w:t>
      </w:r>
      <w:r w:rsidRPr="00B03B51">
        <w:rPr>
          <w:rFonts w:ascii="Times New Roman" w:hAnsi="Times New Roman" w:cs="Times New Roman"/>
          <w:sz w:val="24"/>
        </w:rPr>
        <w:t>), līgumu varētu uzskatīt par iepirkuma pakalpojumu sniegšanu attiecībā uz aktīvu, kas jāiekļauj valdības bilancē, pēc kura tiek noslēgts pakalpojuma līgums uz atlikušo līguma darbības laiku. Jebkurā gadījumā šādi valdības veikti maksājumi vienmēr jāuzskata par valdības izdevumiem (ja aktīvu ieraksta ārpus valdības bilances) un nevis par priekšapmaksu par nodevu, kas būs pieejama nākotnē.</w:t>
      </w:r>
    </w:p>
    <w:p w14:paraId="5DEA6C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4356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Statistikas speciālistu pienākums nav izpētīt šo partnerību iemeslus, pamatojumu un efektivitāti (izdevīgumu) vai izteikt viedokli par attiecīgo projektu ekonomisko un finansiālo dzīvotspēju, jo īpaši salīdzinot tos ar citām ieguldījumu pieejām. Statistiķiem ir tikai jāsniedz skaidri norādījumi par PPP projektu traktējumu nacionālajos kontos un saistībā ar pārmērīgu budžeta deficīta novēršanas procedūru ir jānosaka to ietekme uz vispārējās valdības neto aizdevumu/aizņēmumu (B.9) un parādu. Tāpēc ir svarīgi pareizi īstenot nacionālo kontu vispārējos principus šajā jomā, lai nodrošinātu, ka visās ES dalībvalstīs tiek ievēroti valdības statistikas noteikumi un saskanība, un lai valstu neto aizdevuma/aizņēmuma (B.9) un parāda rādītāji būtu pilnībā salīdzināmi.</w:t>
      </w:r>
      <w:r w:rsidRPr="00B03B51">
        <w:rPr>
          <w:rStyle w:val="FootnoteReference"/>
          <w:rFonts w:ascii="Times New Roman" w:hAnsi="Times New Roman" w:cs="Times New Roman"/>
          <w:noProof/>
          <w:sz w:val="24"/>
        </w:rPr>
        <w:footnoteReference w:id="217"/>
      </w:r>
    </w:p>
    <w:p w14:paraId="035D39C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A7DF1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Tāpat statistikas speciālistiem nav jāsniedz sīka PPP definīcija, jo šo jēdzienu var plaši izmantot dažādu pasākumu raksturošanai, un pārlieku ierobežojoša definīcija arī nav atbilstoša, ņemot vērā minētās partnerības sarežģītību un jauninājumus. Tā vietā viņiem ir pienācīgi jānosaka pamatkritēriji, lai nacionālo kontu speciālisti varētu viegli analizēt līgumus, skaidri atšķirot dažādos iespējamos pasākumus, kas varētu būt novērojami praksē, un piemērojot EKS 2010 minētos noteikumus.</w:t>
      </w:r>
    </w:p>
    <w:p w14:paraId="3CA347D9" w14:textId="77777777" w:rsidR="00443399" w:rsidRPr="00B03B51" w:rsidRDefault="00443399" w:rsidP="00443399">
      <w:pPr>
        <w:jc w:val="both"/>
        <w:rPr>
          <w:rFonts w:ascii="Times New Roman" w:eastAsia="Arial" w:hAnsi="Times New Roman" w:cs="Times New Roman"/>
          <w:noProof/>
          <w:sz w:val="24"/>
          <w:szCs w:val="15"/>
        </w:rPr>
      </w:pPr>
    </w:p>
    <w:p w14:paraId="5F082F9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22" w:name="6.4.2.2_Characteristics_of_PPPs"/>
      <w:bookmarkEnd w:id="522"/>
      <w:r w:rsidRPr="00B03B51">
        <w:rPr>
          <w:rFonts w:ascii="Times New Roman" w:hAnsi="Times New Roman" w:cs="Times New Roman"/>
          <w:sz w:val="24"/>
        </w:rPr>
        <w:lastRenderedPageBreak/>
        <w:t>6.4.2.2. PPP PAZĪMES</w:t>
      </w:r>
    </w:p>
    <w:p w14:paraId="581692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50FEE4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PPP konkrētāk attiecas uz tādām partnerībām, kuras ir paredzētas valdības pakalpojumu sniegšanai un kurās valdības maksājumi veido lielāko daļu no maksas, ko saskaņā ar līgumu saņem partneris.</w:t>
      </w:r>
    </w:p>
    <w:p w14:paraId="7F352BF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5E4FE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Praksē PPP mēdz veidot tādās darbībās jomās, kurās valdība parasti ir būtiski iesaistīta (piemēram, transports, izglītība, veselības aprūpe, drošība u. c.). Valdība parasti slēdz līgumu ar vienu vai vairākiem pieredzējušiem komerciālajiem partneriem tieši vai ar tādas īpašam nolūkam dibinātas sabiedrības starpniecību, kas izveidota konkrētam PPP mērķim, lai saņemtu pakalpojumus, kas izriet no konkrētā aktīva. Šie pakalpojumi pēc definīcijas noteikti iekļauj ēku un struktūru uzturēšanu (tostarp kapitālremontus), bet var iekļaut arī citas darbības, kas noteiktā pakāpē nodrošina pakalpojumu faktisku darbību (apkure, drošības pakalpojumi utt.). No vienas puses, dažus pakalpojumus var īstenot citi ekonomikas dalībnieki, kas nav partnera personāls (piemēram, medicīniskais vai izglītības personāls slimnīcās vai skolās), tādējādi par to īstenošanu partneris nav tieši atbildīgs. No otras puses, partneris var sniegt pats vai nodot apakšuzņēmējam dažus pakalpojumus, kas tiek veikti ēkā vai struktūrā, bet kas nav aktīva pamata izmantošana.</w:t>
      </w:r>
    </w:p>
    <w:p w14:paraId="2CFE5E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58770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Šādos līgumos norāda īpaši paredzētus aktīvus, kam parasti ir nepieciešami vai nu būtiski sākotnējie kapitāla izdevumi, vai arī lieli renovēšanas vai atjaunošanas darbi, kā arī nosaka saskaņoto pakalpojumu sniegšanu, saistībā ar kuriem ir jāizmanto minētie aktīvi (līgumā var iekļaut arī pakalpojumus, kas nav tieši saistīti ar šiem aktīviem</w:t>
      </w:r>
      <w:r w:rsidRPr="00B03B51">
        <w:rPr>
          <w:rStyle w:val="FootnoteReference"/>
          <w:rFonts w:ascii="Times New Roman" w:hAnsi="Times New Roman" w:cs="Times New Roman"/>
          <w:noProof/>
          <w:sz w:val="24"/>
        </w:rPr>
        <w:footnoteReference w:id="218"/>
      </w:r>
      <w:r w:rsidRPr="00B03B51">
        <w:rPr>
          <w:rFonts w:ascii="Times New Roman" w:hAnsi="Times New Roman" w:cs="Times New Roman"/>
          <w:sz w:val="24"/>
        </w:rPr>
        <w:t>), ievērojot līgumā noteiktos kvalitātes un apjoma standartus. Tieši pakalpojumu komponenta dēļ PPP līgumi atšķiras no nomas.</w:t>
      </w:r>
    </w:p>
    <w:p w14:paraId="27E0C3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BA2B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Līgums var būt noslēgts attiecībā uz jaunu aktīvu vai paredzēt valdībai iepriekš piederošo un tās ekspluatēto aktīvu būtisku renovāciju, modernizāciju vai uzlabošanu. Ja līgums paredz nevis jauna aktīva būvniecību, bet jau esoša aktīva renovāciju/atjaunošanu, šajā saistībā veiktā darba izmaksām ir jāveido lielākā daļa no aktīva vērtības pēc darbu pabeigšanas. Pretējā gadījumā (ja darba izmaksas nepārsniedz 50 % no aktīva vērtības) līgums nav uzskatāms par šajā nodaļā noteikto PPP, un tā vietā līgums ir jāsadala aktīvu iepirkuma līgumā un pakalpojumu līgumā, atlikušo aktīvu ierakstot valdības vienības bilancē.</w:t>
      </w:r>
    </w:p>
    <w:p w14:paraId="251801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FE21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Dažiem aktīviem tirgus cena nav zināma, jo nav tādu darījumu, vai aktīvi pēc būtības ir pārāk specifiski, lai būtu iespējams izmantot salīdzinošās novērtēšanas metodi. Šādā gadījumā vērtība ir jānosaka, pamatojoties uz “pārvērtētajām iegādes izmaksām, no kurām atskaitīti uzkrātie norakstījumi”. Turklāt šajā vērtībā jāņem vērā precīzs aktīvu stāvoklis, kas nozīmē, ka gadījumā, ja nepieciešama ļoti būtiska renovācija, aktīva vērtība ir samērā zema. Vēl viena problēma ir tā, ka atjaunošanas/renovācijas izdevumi palielinās visa aktīva vērtību (pat to daļu vērtību, kuras nav renovētas) virs radušos izdevumu vērtības. Šādu ietekmi varētu būt sarežģīti mērīt. Praktisks princips būtu pārbaudīt, vai paredzētie kapitāla izdevumi pārsniedz vismaz aktīvu vērtību pirms renovācijas.</w:t>
      </w:r>
    </w:p>
    <w:p w14:paraId="4445023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731C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19. Ņemot vērā minēto, ja esošais un darbojošais PPP līgums kādu iemeslu dēļ tiktu apturēts un jauns līgums vēlāk tiktu noslēgts ar jaunu partneri (izsludinot jaunu konkursa procedūru), jaunais līgums vairs netiktu uzskatīts par PPP, ja tiktu parakstīts vecā līguma darbības posmā, jo jaunais partneris neuzņemas nekādu būvniecības risku. Būtībā līgumu var uzskatīt par PPP tikai tad, ja ir aktīvs, kas jābūvē vai jāatjaunina, un ja ir skaidri identificējams būvniecības </w:t>
      </w:r>
      <w:r w:rsidRPr="00B03B51">
        <w:rPr>
          <w:rFonts w:ascii="Times New Roman" w:hAnsi="Times New Roman" w:cs="Times New Roman"/>
          <w:sz w:val="24"/>
        </w:rPr>
        <w:lastRenderedPageBreak/>
        <w:t>risks</w:t>
      </w:r>
      <w:r w:rsidRPr="00B03B51">
        <w:rPr>
          <w:rStyle w:val="FootnoteReference"/>
          <w:rFonts w:ascii="Times New Roman" w:hAnsi="Times New Roman" w:cs="Times New Roman"/>
          <w:noProof/>
          <w:sz w:val="24"/>
        </w:rPr>
        <w:footnoteReference w:id="219"/>
      </w:r>
      <w:r w:rsidRPr="00B03B51">
        <w:rPr>
          <w:rFonts w:ascii="Times New Roman" w:hAnsi="Times New Roman" w:cs="Times New Roman"/>
          <w:sz w:val="24"/>
        </w:rPr>
        <w:t>.</w:t>
      </w:r>
    </w:p>
    <w:p w14:paraId="29287561" w14:textId="77777777" w:rsidR="00443399" w:rsidRPr="00B03B51" w:rsidRDefault="00443399" w:rsidP="00443399">
      <w:pPr>
        <w:pStyle w:val="BodyText"/>
        <w:tabs>
          <w:tab w:val="left" w:pos="895"/>
        </w:tabs>
        <w:spacing w:before="0"/>
        <w:ind w:left="0" w:firstLine="0"/>
        <w:jc w:val="both"/>
        <w:rPr>
          <w:rFonts w:ascii="Times New Roman" w:hAnsi="Times New Roman" w:cs="Times New Roman"/>
          <w:noProof/>
          <w:sz w:val="24"/>
        </w:rPr>
      </w:pPr>
    </w:p>
    <w:p w14:paraId="102BCB34" w14:textId="77777777" w:rsidR="00443399" w:rsidRPr="00B03B51" w:rsidRDefault="00443399" w:rsidP="00443399">
      <w:pPr>
        <w:pStyle w:val="BodyText"/>
        <w:tabs>
          <w:tab w:val="left" w:pos="895"/>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Ja līgums tiek apturēts būvniecības posmā, ir jāanalizē, vai būvniecības lielākā daļa jau ir paveikta vai ne. Ja jaunajam partnerim (kas izraudzīts konkursa procedūrā) nebūs jāveic nekāda būvniecība, līgums ir jāuzskata vienkārši par pakalpojumu sniegšanas līgumu saistībā ar jau esošu aktīvu, un aktīvs būtu automātiski jāpārklasificē valdības bilancē brīdī, kad iepriekšējais līgums tiek apturēts un vecais partneris vairs nav aktīvu ekonomiskais īpašnieks</w:t>
      </w:r>
      <w:r w:rsidRPr="00B03B51">
        <w:rPr>
          <w:rStyle w:val="FootnoteReference"/>
          <w:rFonts w:ascii="Times New Roman" w:hAnsi="Times New Roman" w:cs="Times New Roman"/>
          <w:noProof/>
          <w:sz w:val="24"/>
        </w:rPr>
        <w:footnoteReference w:id="220"/>
      </w:r>
      <w:r w:rsidRPr="00B03B51">
        <w:rPr>
          <w:rFonts w:ascii="Times New Roman" w:hAnsi="Times New Roman" w:cs="Times New Roman"/>
          <w:sz w:val="24"/>
        </w:rPr>
        <w:t>. Dažkārt, lai arī var paiet zināms laiks no brīža, kad oficiāli tiek izbeigts iepriekšējais līgums, valdība var organizēt jaunu izsoli un jaunais partneris var piekrist pārņemt uzturēšanas uzdevumus atlikušajā līguma termiņā, t. i., pārvaldīt aktīvus un saistītos pakalpojumus attiecībā uz jau uzbūvētu aktīvu. Šādos gadījumos maksājumus valdībai ieraksta kā finansiālo avansu valdībai, kas tiktu pakāpeniski dzēsts ar turpmākiem regulāriem (vienotiem) maksājumiem partnerim (ņemot vērā tā faktisko sniegumu). Tomēr var arī gadīties, ka sākotnējais partneris ar valdības piekrišanu vienkārši nodod PPP līgumu citam partnerim</w:t>
      </w:r>
      <w:r w:rsidRPr="00B03B51">
        <w:rPr>
          <w:rStyle w:val="FootnoteReference"/>
          <w:rFonts w:ascii="Times New Roman" w:hAnsi="Times New Roman" w:cs="Times New Roman"/>
          <w:noProof/>
          <w:sz w:val="24"/>
        </w:rPr>
        <w:footnoteReference w:id="221"/>
      </w:r>
      <w:r w:rsidRPr="00B03B51">
        <w:rPr>
          <w:rFonts w:ascii="Times New Roman" w:hAnsi="Times New Roman" w:cs="Times New Roman"/>
          <w:sz w:val="24"/>
        </w:rPr>
        <w:t xml:space="preserve"> vai ka notiek partnera pašu kapitāla pārstrukturēšana, kā rezultātā ir jāparaksta jauns līgums. Šādā gadījumā ir rūpīgi jāpārbauda, vai jaunajā līgumā ir mainījusies risku un atlīdzību sadale.</w:t>
      </w:r>
    </w:p>
    <w:p w14:paraId="7B1F4F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B4810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Svarīgākā PPP pazīme ir tā, ka valdība ir galvenā partnera pakalpojumu pircēja. Šajā saistībā PPP atšķiras no “koncesijām”, kas noteiktas saistībā ar nacionālajiem kontiem (skat. šīs rokasgrāmatas 6.3. nodaļu), kad galvenais risks ir atkarīgs no galalietotāju vēlmes maksāt. PPP gadījumā valdība pērk pakalpojumu, veicot regulārus maksājumus, tiklīdz partneris ir piegādājis aktīvus, neatkarīgi no tā, kas rada pieprasījumu – tieši pati valdība vai trešās puses patērētāji (piemēram, medicīnas vai izglītības pakalpojumi, kā arī daži transporta infrastruktūras veidi). Šajā posmā nav jānorāda konkrēta robežvērtība starp valdības un trešās puses maksājumiem. Lai gan tam ir tikai mazliet jāpārsniedz 50 %, realitātē tas ir daudz lielāks, parasti virs 90 %, jo lielākā daļa līgumu attiecas uz tipveida ekonomiskajiem modeļiem. Bieži, jo īpaši saistībā ar transporta infrastruktūras aktīviem, izmanto jēdzienu “virtuālās ceļu nodevas”, un to attiecina uz valdības atlīdzību par to, ka aktīvus attiecīgajā apmērā izmanto trešās puses</w:t>
      </w:r>
      <w:r w:rsidRPr="00B03B51">
        <w:rPr>
          <w:rStyle w:val="FootnoteReference"/>
          <w:rFonts w:ascii="Times New Roman" w:hAnsi="Times New Roman" w:cs="Times New Roman"/>
          <w:noProof/>
          <w:sz w:val="24"/>
        </w:rPr>
        <w:footnoteReference w:id="222"/>
      </w:r>
      <w:r w:rsidRPr="00B03B51">
        <w:rPr>
          <w:rFonts w:ascii="Times New Roman" w:hAnsi="Times New Roman" w:cs="Times New Roman"/>
          <w:sz w:val="24"/>
        </w:rPr>
        <w:t>.</w:t>
      </w:r>
    </w:p>
    <w:p w14:paraId="16BC4CC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D920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Aktīvu izmantošana parasti būtu konkrēti jādefinē līgumā, iespējams, izmantojot “dialoga procesu”, un līgumā vajadzētu būt ierobežojumiem attiecībā uz veidu, kādā partneris varētu izmantot aktīvus. Piemēram, partneris nedrīkstētu tos realizēt pēc saviem ieskatiem, un attiecīgajos gadījumos tam būtu jādod priekšroka valdības lietotājiem, nevis citiem iespējamiem lietotājiem. Ir jāuzsver, ka daudzos līgumos netiek izslēgta “trešās puses” maksājumu iespēja, bet, visticamāk, šie maksājumi veidos mazu (dažkārt pat niecīgu) daļu no partnera ieņēmumiem un bieži vien tie rodas no palīgdarbības, kas saistīta ar īpašam mērķim paredzētiem aktīviem (piemēram, noteiktas sporta, izglītības vai kultūras infrastruktūras neregulāra </w:t>
      </w:r>
      <w:r w:rsidRPr="00B03B51">
        <w:rPr>
          <w:rFonts w:ascii="Times New Roman" w:hAnsi="Times New Roman" w:cs="Times New Roman"/>
          <w:i/>
          <w:iCs/>
          <w:sz w:val="24"/>
        </w:rPr>
        <w:t>ad hoc</w:t>
      </w:r>
      <w:r w:rsidRPr="00B03B51">
        <w:rPr>
          <w:rFonts w:ascii="Times New Roman" w:hAnsi="Times New Roman" w:cs="Times New Roman"/>
          <w:sz w:val="24"/>
        </w:rPr>
        <w:t xml:space="preserve"> “privāta” izmantošana noteiktos apstākļos vai iekasētie maksājumi par tālruņa kabeļu ievilkšanu gar autoceļu vai zem tā).</w:t>
      </w:r>
    </w:p>
    <w:p w14:paraId="34BF5058" w14:textId="77777777" w:rsidR="00443399" w:rsidRPr="00B03B51" w:rsidRDefault="00443399" w:rsidP="00443399">
      <w:pPr>
        <w:jc w:val="both"/>
        <w:rPr>
          <w:rFonts w:ascii="Times New Roman" w:hAnsi="Times New Roman" w:cs="Times New Roman"/>
          <w:noProof/>
          <w:sz w:val="24"/>
        </w:rPr>
      </w:pPr>
    </w:p>
    <w:p w14:paraId="2A7A150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Papildus jāuzsver, ka “valdība” šajā saistībā nozīmē visu vispārējās valdības sektoru (S.13), kā noteikts EKS 2010. Līgumā atbilstoši dažādiem līmeņiem var piedalīties dažādas valdības vienības, pat ja tās ir klasificētas dažādos valdības apakšsektoros.</w:t>
      </w:r>
    </w:p>
    <w:p w14:paraId="2884F426" w14:textId="77777777" w:rsidR="00443399" w:rsidRPr="00B03B51" w:rsidRDefault="00443399" w:rsidP="00443399">
      <w:pPr>
        <w:jc w:val="both"/>
        <w:rPr>
          <w:rFonts w:ascii="Times New Roman" w:eastAsia="Arial" w:hAnsi="Times New Roman" w:cs="Times New Roman"/>
          <w:noProof/>
          <w:sz w:val="24"/>
          <w:szCs w:val="15"/>
        </w:rPr>
      </w:pPr>
    </w:p>
    <w:p w14:paraId="0F972A6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23" w:name="6.4.2.3_The_key_issue_in_national_accoun"/>
      <w:bookmarkEnd w:id="523"/>
      <w:r w:rsidRPr="00B03B51">
        <w:rPr>
          <w:rFonts w:ascii="Times New Roman" w:hAnsi="Times New Roman" w:cs="Times New Roman"/>
          <w:sz w:val="24"/>
        </w:rPr>
        <w:t>6.4.2.3. GALVENĀ PROBLĒMA NACIONĀLAJOS KONTOS</w:t>
      </w:r>
    </w:p>
    <w:p w14:paraId="354267A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8FD21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Saistībā ar nacionālajiem kontiem tādi ilgtermiņa līgumi kā PPP rada jautājumus par to, kura sektora bilancē iekļaut saistītos aktīvus. Tas attiecas uz iesaistīto aktīvu sākotnējo ierakstīšanu vai nu valdības bilancē, vai arī partnera bilancē. Ierakstīšana valdības bilancē var būtiski ietekmēt valdības statistiku – gan valdības neto aizdevumu/aizņēmumu (B.9) (kapitāla izdevumi ir jāieraksta nefinanšu kontā kā valdības bruto pamatkapitāla veidošanu nefinanšu kontā (P.51g)), gan valdības parādu (finanšu kontam būtu jāsaskaņo kapitāla izdevumi ar nosacītajām valdības saistībām, kas varētu palielināt bruto parādu, ja tiek ierakstītas kā nosacīts aizdevums (AF.4)).</w:t>
      </w:r>
    </w:p>
    <w:p w14:paraId="5B7B23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E12B3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Turklāt saskaņā ar nacionālo kontu noteikumiem (skat. EKS 2010 3.148. punkta b) apakšpunkta 3. daļu), ja aktīvus (ēkas vai citas būves) uzskata par valdības aktīviem, tad kapitālizdevumus ieraksta atbilstīgi uzkrāšanas principam darbu sākumā, nevis būvniecības/renovācijas beigās. Praktisku apsvērumu dēļ atbilstošā ierakstīšanas laika noteikšanai dažkārt var izmantot pakāpeniskos maksājumus (maksājumus pa daļām), kurus saņem būvnieks vai ražotājs. To pēc definīcijas PPP līgumos piemēro bruto pamatkapitāla veidošanai (skat. EKS 2010 3.55. punktu attiecībā uz citu struktūru būvniecību).</w:t>
      </w:r>
    </w:p>
    <w:p w14:paraId="4E7FF1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D5934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Sekas rodas arī attiecībā uz to plūsmu ierakstīšanu, kas līguma darbības laikā tiek novērotas starp valdību un partneri. Ja nosacītais aizdevums ir ticis ierakstīts valdības bilancē, tad attiecīgās pamatsummas atmaksu sadala uz visu termiņu, neietekmējot valdības neto aizdevumu/aizņēmumu (B.9), savukārt nosacītie procenti arī ir jāaprēķina un jāiekļauj valdības izdevumos kopā ar maksu par pakalpojumiem, ko valdība maksā atbilstoši līguma noteikumiem, tādējādi abi šie izdevumi ietekmē valdības neto aizņēmumu/aizdevumu (B.9).</w:t>
      </w:r>
    </w:p>
    <w:p w14:paraId="0241B8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E491D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Jāuzsver, ka turpmākajā iedaļā izstrādātie kritēriji, pamatojoties uz kuriem pieņem lēmumu par aktīva klasifikāciju valdības vai partnera bilancē, nav jāskata katrs kritērijs atsevišķi, bet gan saskaņā ar aditivitātes principu. Piemēram, ja valdībai partnera pašu kapitālā pieder akciju mazākums</w:t>
      </w:r>
      <w:r w:rsidRPr="00B03B51">
        <w:rPr>
          <w:rStyle w:val="FootnoteReference"/>
          <w:rFonts w:ascii="Times New Roman" w:hAnsi="Times New Roman" w:cs="Times New Roman"/>
          <w:noProof/>
          <w:sz w:val="24"/>
        </w:rPr>
        <w:footnoteReference w:id="223"/>
      </w:r>
      <w:r w:rsidRPr="00B03B51">
        <w:rPr>
          <w:rFonts w:ascii="Times New Roman" w:hAnsi="Times New Roman" w:cs="Times New Roman"/>
          <w:sz w:val="24"/>
        </w:rPr>
        <w:t>, tas vien vēl nav pietiekami, lai pārklasificētu aktīvus valdības bilancē, taču, ja vienlaikus valdība saņem atlīdzības, kas pārsniedz tai kā akcionāram pienākošās tiesības, būtu jāuzskata, ka aktīvi pieder valdībai. Līdzīgi, ja valdībai būtu īpašas tiesības (piemēram, veto tiesības attiecībā uz būtiskiem lēmumiem), partneri (un tādējādi arī aktīvus) varētu pārklasificēt valdības sektorā.</w:t>
      </w:r>
    </w:p>
    <w:p w14:paraId="45F7A6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CD351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Turklāt saistībā ar jautājumu par to, kādā apmērā valdība dažādos veidos saņem atpakaļ riskus un atlīdzības, dažkārt viens atsevišķs kritērijs varētu būt pietiekams, lai pārklasificētu aktīvu valdības bilancē (būvniecības risks, pieejamības/piedāvājuma risks, finansēšana (tostarp refinansēšana), pirmstermiņa izbeigšana, nepārvarama vara). Sarežģītākos gadījumos, kad vairākas pazīmes vai specifiski līguma panti atsevišķi nav pietiekami, ņemot vērā pašreizējos metodoloģiskos noteikumus, ko izmanto aktīva klasificēšanai valdības bilancē, kā rezultātā ekonomiskās īpašumtiesības varētu nepietiekami pāriet uz partneri, jāizmanto īpaša analīze, papildus piemērojot vispārēju pieeju.</w:t>
      </w:r>
    </w:p>
    <w:p w14:paraId="037A614A" w14:textId="77777777" w:rsidR="00443399" w:rsidRPr="00B03B51" w:rsidRDefault="00443399" w:rsidP="00443399">
      <w:pPr>
        <w:jc w:val="both"/>
        <w:rPr>
          <w:rFonts w:ascii="Times New Roman" w:hAnsi="Times New Roman" w:cs="Times New Roman"/>
          <w:noProof/>
          <w:sz w:val="24"/>
        </w:rPr>
      </w:pPr>
    </w:p>
    <w:p w14:paraId="08F314A0" w14:textId="77777777" w:rsidR="00443399" w:rsidRPr="00B03B51" w:rsidRDefault="00443399" w:rsidP="00443399">
      <w:pPr>
        <w:pStyle w:val="Heading3"/>
        <w:tabs>
          <w:tab w:val="left" w:pos="1267"/>
        </w:tabs>
        <w:ind w:left="0" w:firstLine="0"/>
        <w:jc w:val="both"/>
        <w:rPr>
          <w:rFonts w:ascii="Times New Roman" w:hAnsi="Times New Roman" w:cs="Times New Roman"/>
          <w:b w:val="0"/>
          <w:bCs w:val="0"/>
          <w:noProof/>
          <w:sz w:val="24"/>
          <w:szCs w:val="19"/>
        </w:rPr>
      </w:pPr>
      <w:bookmarkStart w:id="524" w:name="6.4.3_Treatment_in_national_accounts(224"/>
      <w:bookmarkStart w:id="525" w:name="_Toc67565186"/>
      <w:bookmarkEnd w:id="524"/>
      <w:r w:rsidRPr="00B03B51">
        <w:rPr>
          <w:rFonts w:ascii="Times New Roman" w:hAnsi="Times New Roman" w:cs="Times New Roman"/>
          <w:sz w:val="24"/>
        </w:rPr>
        <w:lastRenderedPageBreak/>
        <w:t>6.4.3. Traktējums nacionālajos kontos</w:t>
      </w:r>
      <w:r w:rsidRPr="00B03B51">
        <w:rPr>
          <w:rStyle w:val="FootnoteReference"/>
          <w:rFonts w:ascii="Times New Roman" w:hAnsi="Times New Roman" w:cs="Times New Roman"/>
          <w:noProof/>
          <w:sz w:val="24"/>
        </w:rPr>
        <w:footnoteReference w:id="224"/>
      </w:r>
      <w:bookmarkEnd w:id="525"/>
    </w:p>
    <w:p w14:paraId="706AEF33" w14:textId="77777777" w:rsidR="00443399" w:rsidRPr="0037375A" w:rsidRDefault="00443399" w:rsidP="0037375A">
      <w:pPr>
        <w:rPr>
          <w:rFonts w:ascii="Times New Roman" w:hAnsi="Times New Roman" w:cs="Times New Roman"/>
          <w:noProof/>
          <w:sz w:val="24"/>
          <w:szCs w:val="24"/>
        </w:rPr>
      </w:pPr>
      <w:bookmarkStart w:id="526" w:name="6.4.3.1_Sector_classification_of_the_par"/>
      <w:bookmarkEnd w:id="526"/>
    </w:p>
    <w:p w14:paraId="516776C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6.4.3.1. PARTNERA SEKTORA KLASIFIKĀCIJA</w:t>
      </w:r>
    </w:p>
    <w:p w14:paraId="0943B4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6DFCD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Partneris, kas iesaistīts ilgtermiņa līgumos ar valdību, var piederēt publiskajam vai privātajam sektoram. Ja tā ir publiska vienība, tas parasti nozīmē, ka saskaņā ar nacionālo kontu noteikumiem šīs vienības vispārējo saimniecisko darbību nosaka valdība vai cita publiska vienība.</w:t>
      </w:r>
    </w:p>
    <w:p w14:paraId="678A6B65" w14:textId="77777777" w:rsidR="00443399" w:rsidRPr="00B03B51" w:rsidRDefault="00443399" w:rsidP="00443399">
      <w:pPr>
        <w:jc w:val="both"/>
        <w:rPr>
          <w:rFonts w:ascii="Times New Roman" w:eastAsia="Arial" w:hAnsi="Times New Roman" w:cs="Times New Roman"/>
          <w:noProof/>
          <w:sz w:val="24"/>
          <w:szCs w:val="14"/>
        </w:rPr>
      </w:pPr>
    </w:p>
    <w:p w14:paraId="4446FBF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Publisks partneris ir jāklasificē kā nefinanšu sabiedrība tiktāl, ciktāl tas darbojas kā tirgus vienība (izpilda 50 % kritēriju), izpilda EKS 2010 noteiktos kvalitatīvos kritērijus un ja valdības maksājumus var uzskatīt par pārdošanas darījumiem (kā pakalpojumu sniegšanas pretvērtību).</w:t>
      </w:r>
    </w:p>
    <w:p w14:paraId="723D6A1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1B6D5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Tomēr īpaša uzmanība jāpievērš gadījumiem, kad ir publiska sabiedrība (kas varētu atbilst kvalitatīvajiem/kvantitatīvajiem tirgus ražošanas kritērijiem un parastos apstākļos netiktu klasificēta valdības sektorā) vai kad valdībai varētu būt akciju mazākums, taču tā spēj īstenot būtisku ietekmi sarunās par līgumu vai svarīgos lēmumos, kas jāpieņem līguma īstenošanas procesā</w:t>
      </w:r>
      <w:r w:rsidRPr="00B03B51">
        <w:rPr>
          <w:rStyle w:val="FootnoteReference"/>
          <w:rFonts w:ascii="Times New Roman" w:hAnsi="Times New Roman" w:cs="Times New Roman"/>
          <w:noProof/>
          <w:sz w:val="24"/>
        </w:rPr>
        <w:footnoteReference w:id="225"/>
      </w:r>
      <w:r w:rsidRPr="00B03B51">
        <w:rPr>
          <w:rFonts w:ascii="Times New Roman" w:hAnsi="Times New Roman" w:cs="Times New Roman"/>
          <w:sz w:val="24"/>
        </w:rPr>
        <w:t>. Gadījumos, kuros valdības maksājumi saskaņā ar līgumu varētu veidot lielāko daļu partnera ieņēmumu, šie maksājumi ir jāanalizē, lai noteiktu, vai tos var klasificēt kā pārdošanas darījumus, jo īpaši, ja tieši šāda līguma dēļ ievērojami mainās partnera darbības apjoms vai būtība. Piemērojot 1. daļā “Vispārējās valdības sektora norobežošana” sniegtos noteikumus, šo sabiedrību varētu pārklasificēt par valdības vienību, ja maksājumi, ko veic valdība, netiktu uzskatīti par pārdošanu.</w:t>
      </w:r>
    </w:p>
    <w:p w14:paraId="6C3D6D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9347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Attiecībā uz PPP līgumiem, kuros partneris ir īpaša vienība, kas nodibināta ar noteiktu mērķi (šādas vienības bieži vien dēvē par “projektu īstenojošām sabiedrībām” vai “īpašam nolūkam dibinātām sabiedrībām” jeb ĪNDS) vienam atsevišķam PPP līgumam, ir jāizvērtē, kādā apmērā to kontrolē valdība. Pat ja valdība ir mazākuma akcionārs, tā var īstenot dominējošu ietekmi attiecībā uz sarunām par līgumu un nozīmīgiem lēmumiem. Valdībai varētu būt, piemēram, veto tiesības attiecībā uz nozīmīgu lēmumu galīgo apstiprināšanu līguma izstrādes un/vai tā izpildes gaitā (piemēram, apakšuzņēmēju izvēle, pievienotās darbības, nozīmīgi remonti, jaudas paplašināšana utt.). Šādā gadījumā aktīvi ir jāpārklasificē valdības bilancē. Turklāt valdības klātesamība ĪNDS vai tas, ka partneris varētu būt publiska vienība, ir faktori, kas jāņem vērā saistībā ar atlīdzību galīgo sadali starp valdību un partneri.</w:t>
      </w:r>
    </w:p>
    <w:p w14:paraId="2C21105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7C5B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Visbeidzot, ja partnerim, kas ir klasificēts ārpus valdības sektora, valdība apzināti piedāvā atbalstu kā kompensāciju par notikumiem, kas līguma parakstīšanas brīdī nebija norādīti kā konkrēta apņemšanās, tad šāds atbalsts ir jāieraksta lēmuma par atbalsta piešķiršanu pieņemšanas vai īstenošanas brīdī kā pārvedums, kas ietekmē valdības neto aizdevumu/aizņēmumu (B.9), ja vien tas nav iekļauts tādu notikumu ierobežotajā sarakstā, kurus var uzskatīt par nepārvaramas varas apstākļiem. Valdības atbalsts partnerim var ietekmēt arī risku sadali. Piemēram, valdība varētu nodrošināt refinansēšanu tādā apjomā, ka valdības saistības segtu lielāko daļu pamatlīdzekļa vērtības. Vai arī sniegt kādas subsīdijas, kuru rezultātā tirgus/ārpustirgus testa vērtība varētu nokrist zem 50 % atzīmes.</w:t>
      </w:r>
    </w:p>
    <w:p w14:paraId="3CD125C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EA369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34. Aktīvu pārklasificēšana valdības bilancē izrietēs no publiskā partnera pārklasificēšanas </w:t>
      </w:r>
      <w:r w:rsidRPr="00B03B51">
        <w:rPr>
          <w:rFonts w:ascii="Times New Roman" w:hAnsi="Times New Roman" w:cs="Times New Roman"/>
          <w:sz w:val="24"/>
        </w:rPr>
        <w:lastRenderedPageBreak/>
        <w:t>vispārējā valdībā. Tas varētu notikt, piemēram, ja regulāra atbalsta dēļ publiska vienība no tirgus vienības kļūst par ārpustirgus vienību (t. i., tā vairs neatbilst kritērijiem, kas jāizpilda, lai varētu uzskatīt, ka tā ir iesaistīta tirgus darbībā) vai kādu citu iemeslu dēļ.</w:t>
      </w:r>
    </w:p>
    <w:p w14:paraId="1E184EFC" w14:textId="77777777" w:rsidR="00443399" w:rsidRPr="00B03B51" w:rsidRDefault="00443399" w:rsidP="00443399">
      <w:pPr>
        <w:jc w:val="both"/>
        <w:rPr>
          <w:rFonts w:ascii="Times New Roman" w:eastAsia="Arial" w:hAnsi="Times New Roman" w:cs="Times New Roman"/>
          <w:noProof/>
          <w:sz w:val="24"/>
          <w:szCs w:val="15"/>
        </w:rPr>
      </w:pPr>
    </w:p>
    <w:p w14:paraId="259AD8F0" w14:textId="77777777" w:rsidR="00443399" w:rsidRPr="00B03B51" w:rsidRDefault="00443399" w:rsidP="00443399">
      <w:pPr>
        <w:pStyle w:val="Heading6"/>
        <w:tabs>
          <w:tab w:val="left" w:pos="1267"/>
          <w:tab w:val="left" w:pos="3041"/>
          <w:tab w:val="left" w:pos="3607"/>
          <w:tab w:val="left" w:pos="4306"/>
          <w:tab w:val="left" w:pos="5246"/>
          <w:tab w:val="left" w:pos="5980"/>
          <w:tab w:val="left" w:pos="7376"/>
          <w:tab w:val="left" w:pos="8434"/>
          <w:tab w:val="left" w:pos="9000"/>
        </w:tabs>
        <w:ind w:left="0" w:firstLine="0"/>
        <w:jc w:val="both"/>
        <w:rPr>
          <w:rFonts w:ascii="Times New Roman" w:hAnsi="Times New Roman" w:cs="Times New Roman"/>
          <w:noProof/>
          <w:sz w:val="24"/>
        </w:rPr>
      </w:pPr>
      <w:bookmarkStart w:id="527" w:name="6.4.3.2_Assessment_of_the_risks_and_rewa"/>
      <w:bookmarkEnd w:id="527"/>
      <w:r w:rsidRPr="00B03B51">
        <w:rPr>
          <w:rFonts w:ascii="Times New Roman" w:hAnsi="Times New Roman" w:cs="Times New Roman"/>
          <w:sz w:val="24"/>
        </w:rPr>
        <w:t>6.4.3.2. KATRAS LĪGUMSLĒDZĒJAS PUSES RISKU UN ATLĪDZĪBU NOVĒRTĒJUMS</w:t>
      </w:r>
    </w:p>
    <w:p w14:paraId="40813C4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F2B93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Aktīvus, kas noteikti ilgtermiņa līgumā starp valdības vienību un valdības sektoram nepiederošu partneri, nacionālajos kontos var uzskatīt par valdības sektoram nepiederošiem aktīviem tikai tad, ja valdības sektoram nepiederošais partneris uzņemas lielāko daļu ar aktīvu saistīto risku visā līguma darbības laikā un ir arī tiesīgs saņemt lielāko daļu kārtējo priekšrocību no aktīviem.</w:t>
      </w:r>
    </w:p>
    <w:p w14:paraId="52B7BC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D8DE4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EKS 2010 20.283. punktā noteikts, ka ir jānodod lielākā daļa risku un atlīdzību, nevis “visi” riski un atlīdzības. Faktiski var novērot, ka partnerībās starp valdību un partneri parasti notiek kādu risku dalīšana. Kā norādīts turpmāk, ir pieņemami, ka valdība uzņemas dažus riskus, piemēram, ārkārtēju notikumu gadījumā (nepārvarama vara) attiecībā uz valdības rīcību, kas varētu mainīt darbības nosacījumus, par kuriem iepriekš tika panākta vienošanās, vai kādus specifiskus riskus, jo īpaši saistībā ar arheoloģiju, zemes reģistru, vidi, sabiedrības drošību, juridisko lēmumu realizēšanu utt., attiecībā uz kuriem valdības rīcībai var būt noteicoša ietekme. Savukārt parastie riski, kas attiecas uz aktīva ekonomiskajām īpašumtiesībām, jāuzņemas partnerim, ja aktīvu ir paredzēts klasificēt partnera bilancē, un parastos apstākļos, kad ir skaidra saikne starp šo risku realizāciju un partnera veiktajām darbībām (vai bezdarbību), šiem riskiem, ko izņēmies partneris, ir būtiski jāietekmē partnera rentabilitāte (un, iespējams, dažos gadījumos arī tā maksātspēja). Tādēļ šāda to risku analīze, kurus uzņemas līgumslēdzējas puses, ir uzskatāms par ļoti būtisku elementu saistībā ar līgumā paredzēto aktīvu klasifikāciju, lai nodrošinātu pareizu uzskaiti attiecībā uz šāda veida partnerības ietekmi uz valdības neto aizdevumu/aizņēmumu (B.9) un parādu.</w:t>
      </w:r>
    </w:p>
    <w:p w14:paraId="33D3B9A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C8746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Ir jāņem vērā arī tas, ka šie nosacījumi attiecas tikai uz vienu aktīvu vai uz aktīvu kopumu, kas saskaņā ar līgumu nav sadalāmi. Ņemot vērā līgumu iezīmes, PPP aktīvus nedrīkst sadalīt nacionālajos kontos. Šie aktīvi ir jāieraksta tikai vienas iesaistītās puses bilancē, proti, ekonomiskā īpašnieka bilancē, atbilstīgi to pilnai vērtībai.</w:t>
      </w:r>
    </w:p>
    <w:p w14:paraId="4CA71F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271E8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38. PPP klasificēšanai nacionālajos kontos, lai vienkāršotu analīzi, ir izvēlētas turpmāk norādītās trīs galvenās risku kategorijas.</w:t>
      </w:r>
    </w:p>
    <w:p w14:paraId="2702506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ED333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39. </w:t>
      </w:r>
      <w:r w:rsidRPr="00B03B51">
        <w:rPr>
          <w:rFonts w:ascii="Times New Roman" w:hAnsi="Times New Roman" w:cs="Times New Roman"/>
          <w:b/>
          <w:sz w:val="24"/>
        </w:rPr>
        <w:t>“Būvniecības risks”</w:t>
      </w:r>
      <w:r w:rsidRPr="00B03B51">
        <w:rPr>
          <w:rFonts w:ascii="Times New Roman" w:hAnsi="Times New Roman" w:cs="Times New Roman"/>
          <w:sz w:val="24"/>
        </w:rPr>
        <w:t xml:space="preserve"> attiecas uz notikumiem, kas saistīti ar iespējamām grūtībām, ar kurām nākas saskarties būvniecības laikā, un ar iesaistīto aktīvu stāvokli brīdī, kad sākas pakalpojumu sniegšana. Praksē tas ir saistīts, piemēram, ar tādiem notikumiem, kā novēlota piegāde, noteikto standartu neievērošana, būtiskas papildu izmaksas, juridiskie un vides jautājumi, tehniski trūkumi un ārēja nelabvēlīga ietekme (tostarp vides riski), par ko ir jāmaksā kompensācijas trešām personām.</w:t>
      </w:r>
    </w:p>
    <w:p w14:paraId="27710B9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D5B6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w:t>
      </w:r>
      <w:r w:rsidRPr="00B03B51">
        <w:rPr>
          <w:rFonts w:ascii="Times New Roman" w:hAnsi="Times New Roman" w:cs="Times New Roman"/>
          <w:b/>
          <w:bCs/>
          <w:sz w:val="24"/>
        </w:rPr>
        <w:t>Pieejamības risks”</w:t>
      </w:r>
      <w:r w:rsidRPr="00B03B51">
        <w:rPr>
          <w:rFonts w:ascii="Times New Roman" w:hAnsi="Times New Roman" w:cs="Times New Roman"/>
          <w:sz w:val="24"/>
        </w:rPr>
        <w:t xml:space="preserve"> attiecas uz gadījumiem, kad partnerim aktīva izmantošanas laikā ir jāuzņemas atbildība par kļūdainu pārvaldību (“slikti darbības rezultāti”), kā rezultātā pakalpojumu apjoms kļūst mazāks par līgumā paredzēto vai pakalpojumi neatbilst līgumā noteiktajiem kvalitātes standartiem.</w:t>
      </w:r>
    </w:p>
    <w:p w14:paraId="3FCA44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A3685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41. </w:t>
      </w:r>
      <w:r w:rsidRPr="00B03B51">
        <w:rPr>
          <w:rFonts w:ascii="Times New Roman" w:hAnsi="Times New Roman" w:cs="Times New Roman"/>
          <w:b/>
          <w:bCs/>
          <w:sz w:val="24"/>
        </w:rPr>
        <w:t>“Pieprasījuma risks”</w:t>
      </w:r>
      <w:r w:rsidRPr="00B03B51">
        <w:rPr>
          <w:rFonts w:ascii="Times New Roman" w:hAnsi="Times New Roman" w:cs="Times New Roman"/>
          <w:sz w:val="24"/>
        </w:rPr>
        <w:t xml:space="preserve"> attiecas uz pieprasījuma mainīgumu (lielāks vai mazāks, nekā paredzēts līguma parakstīšanas brīdī) neatkarīgi no privātā partnera darbības rezultātiem. </w:t>
      </w:r>
      <w:r w:rsidRPr="00B03B51">
        <w:rPr>
          <w:rFonts w:ascii="Times New Roman" w:hAnsi="Times New Roman" w:cs="Times New Roman"/>
          <w:sz w:val="24"/>
        </w:rPr>
        <w:lastRenderedPageBreak/>
        <w:t>Citiem vārdiem sakot, pieprasījuma maiņu nevar tieši vai pilnībā saistīt ar partnera nodrošināto pakalpojumu nepietiekamu kvalitāti, lai arī kvantitatīvi un kvalitatīvi trūkumi šajā jautājumā, visticamāk, ietekmē pakalpojuma efektīvu izmantošanu un dažkārt var nozīmēt izslēgšanu. Tā vietā piedāvājuma risks var rasties arī citu faktoru dēļ, piemēram, ekonomiskā cikla, jaunu tirgus tendenču, galalietotāju vēlmju maiņas vai tehnoloģijas novecošanas dēļ. Tas ir jāskata kā daļa no parastā “saimnieciskā riska”, kuru tirgus ekonomikā uzņemas privātie uzņēmumi.</w:t>
      </w:r>
    </w:p>
    <w:p w14:paraId="10E6DC1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39592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Parasti pieprasījuma risks nav attiecināms uz līgumiem, kuros galalietotājam nav dota izvēles brīvība attiecībā uz pakalpojumu, kurš saistīts ar attiecīgo aktīvu un kuru tam sniedz partneris (tādējādi tiek izslēgti “sekundārie” pakalpojumi, kurus var pieskaitīt pie “trešo pušu” ieņēmumu kategorijas). Piemēram, piedāvājuma risku nepiemēro tādiem aktīviem kā cietumi. Noteiktos apstākļos tas varētu attiekties arī uz slimnīcām vai skolām un dažos gadījumos uz sporta un kultūras infrastruktūras aktīviem. Piedāvājuma risku nepiemērošana varētu pastiprināt to, ka šādos gadījumos neapšaubāmi jānodod būvniecības un pieejamības riski.</w:t>
      </w:r>
    </w:p>
    <w:p w14:paraId="1C14C66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40CF8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Turklāt daži līgumi varētu būt noformēti tā, ka valdības maksājumi ir galvenokārt saistīti ar aktīvu faktisko izmantošanu (apjoma rādītāji) neatkarīgi no galapatērētāju pašu iniciatīvas un neatkarīgi no tā, ka izmantošanas apjoms bieži vien ir cieši saistīts ar partnera darbības rezultātiem aktīva pieejamības un kvalitātes jomā.</w:t>
      </w:r>
    </w:p>
    <w:p w14:paraId="60A323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8C03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44. Dažos līgumos regulārie (vienotie) maksājumi, kas saistīti ar aktīvu pieejamību, var būt apvienoti ar citiem regulārajiem (vienotajiem) maksājumiem, kas saistīti ar aktīvu faktisko izmantošanu (pieprasījums), nodrošinot iespēju identificēt abus maksājumus. Partneris šajā gadījumā var uzņemties vairākus riskus. Ja neviens no atsevišķajiem maksājumu veidiem nepārsniedz divas trešdaļas no valdības vienoto maksājumu kopsummas, atsevišķi jānovērtē pieejamības riski un pieprasījuma riski; tie ir jānodod kopā (papildus būvniecības risku nodošanai, kas pats par sevi ir obligāts nosacījums), lai aktīvu klasificētu ārpus valdības bilances. Ja tiek konstatēts, ka viena veida maksājums veido lielāko daļu, kas pārsniedz divas trešdaļas no kopsummas, analīzē prioritāte jāpiešķir atbilstošajam riskam. Tomēr nedrīkst atstāt bez ievērības arī otru valdības maksājumu komponentu, un jāpārbauda, ciktāl tas var mazināt dominējošā riska ietekmi uz partnera ienākumiem/peļņu.</w:t>
      </w:r>
      <w:r w:rsidRPr="00B03B51">
        <w:rPr>
          <w:rStyle w:val="FootnoteReference"/>
          <w:rFonts w:ascii="Times New Roman" w:hAnsi="Times New Roman" w:cs="Times New Roman"/>
          <w:noProof/>
          <w:sz w:val="24"/>
        </w:rPr>
        <w:footnoteReference w:id="226"/>
      </w:r>
    </w:p>
    <w:p w14:paraId="2F7B8A9F" w14:textId="77777777" w:rsidR="00443399" w:rsidRPr="00B03B51" w:rsidRDefault="00443399" w:rsidP="00443399">
      <w:pPr>
        <w:jc w:val="both"/>
        <w:rPr>
          <w:rFonts w:ascii="Times New Roman" w:eastAsia="Arial" w:hAnsi="Times New Roman" w:cs="Times New Roman"/>
          <w:noProof/>
          <w:sz w:val="24"/>
          <w:szCs w:val="14"/>
        </w:rPr>
      </w:pPr>
    </w:p>
    <w:p w14:paraId="3181CF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Jebkurā gadījumā katras puses risku analīzē jānovērtē, kura puse uzņemas lielāko risku katrā no atšķirīgajām kategorijām iepriekš minētajos apstākļos, ņemot vērā arī citas līgumu iezīmes, kas norādītas turpmāk.</w:t>
      </w:r>
    </w:p>
    <w:p w14:paraId="5BEF19A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EB7EF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Tomēr šādā novērtējumā netiek ņemti vērā riski, kuri nav cieši saistīti ar attiecīgajiem aktīviem un kurus var nošķirt no galvenā līguma, piemēram, ja daļu no līguma periodiski pārskata, kā arī ja ir paredzēti maksājumi sliktu darbības rezultātu dēļ vai līgumsodi, kas nav īpaši atkarīgi no galveno aktīvu faktiskā stāvokļa vai pakalpojuma kvalitātes.</w:t>
      </w:r>
      <w:r w:rsidRPr="00B03B51">
        <w:rPr>
          <w:rStyle w:val="FootnoteReference"/>
          <w:rFonts w:ascii="Times New Roman" w:hAnsi="Times New Roman" w:cs="Times New Roman"/>
          <w:noProof/>
          <w:sz w:val="24"/>
        </w:rPr>
        <w:footnoteReference w:id="227"/>
      </w:r>
    </w:p>
    <w:p w14:paraId="717217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0F067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47. Šādā PPP iesaistītie aktīvi būtu jāieraksta partnera bilancē, un līdz ar to tie būtu ierakstāmi valdības “ārpusbilancē” tikai gadījumā, ja ir izpildīti abi šādi nosacījumi:</w:t>
      </w:r>
    </w:p>
    <w:p w14:paraId="7878276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8C4CEC"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partneris uzņemas būvniecības risku un</w:t>
      </w:r>
    </w:p>
    <w:p w14:paraId="056FBDB3"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partneris atbilstoši līgumā noteiktajam uzņemas vismaz vienu no šādiem riskiem – pieejamības risku vai pieprasījuma risku.</w:t>
      </w:r>
    </w:p>
    <w:p w14:paraId="2ACD25D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B316A3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Tāpēc, ja būvniecības risku uzņemas valdība vai ja partneris uzņemas tikai būvniecības risku un nekādus citus riskus, aktīvus ieraksta valdības bilancē.</w:t>
      </w:r>
    </w:p>
    <w:p w14:paraId="51C4BA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32A86F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Svarīgs kritērijs, kas jāņem vērā, ir valdības iespēja piemērot līgumsodus gadījumos, kad partneris nepilda savas pakalpojumu saistības. Līgumsodu piemērošanai jānotiek automātiski (t. i., tai jābūt skaidri noteiktai līgumā un tā nedrīkst būt apspriežama vai atkarīga no valdības lēmuma, vai to piemērot vai nepiemērot), un tai būtiski jāietekmē arī partnera ieņēmumi/peļņa, līdz ar to līgumsods nedrīkst būt simbolisks. Ja aktīvs nozīmīgu ilgu laikposmu nav pieejams, paredzams, ka valdības maksājumi, kā noteikts līguma formulā, par šādu periodu nokritīsies līdz nullei saskaņā ar pamatprincipu “nulles pieejamība – nulles maksājums”.</w:t>
      </w:r>
    </w:p>
    <w:p w14:paraId="118877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B59F48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Tomēr jāatzīmē, ka var būt arī kādi vienreizēji maksājumi (piemēram, konkrēti naudas sodi par kādiem notikumiem, aktīva nepietiekamu kvalitāti, informācijas trūkumu vai dokumentācijas nepietiekamu nodrošināšanu, sliktiem darbības rezultātiem utt.), kas jāveic partnerim jebkurā gadījumā citu apstākļu dēļ neatkarīgi no tā, vai tiek piemērota sodu sistēma saistībā ar iepriekš minētā aktīva nepieejamību. Tādējādi var rasties partnera neto maksājumi valdībai, kas būtībā nevar nonākt atpakaļ līdz nullei. Turpretim gadījumā, ja partneris spēj pildīt savas saistības saskaņā ar līguma noteikumiem labāk, nekā tas tika paredzēts (augstāka produktivitāte, zemākas ievades izmaksas, labāki finanšu nosacījumi u. c.), viņam jāatļauj paturēt visu to gūto peļņu, kas pārsniedz gaidāmo.</w:t>
      </w:r>
    </w:p>
    <w:p w14:paraId="0505BE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7A37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51. Turklāt jebkuri citi mehānismi, ar kuriem valdība varētu atkārtoti uzņemties lielāko projekta risku daļu (piemēram, izbeigšanas klauzulas, valdība nodrošina lielāko finansējuma daļu vai sniedz garantijas (skat. turpmāk 6.4.3.3.–6.4.3.5. apakšiedaļu), nosaka, ka aktīvs būtu ierakstāms valdības bilancē neatkarīgi no iepriekš minēto risku analīzes. Citiem vārdiem sakot, aktīvs tiks klasificēts kā valdības aktīvs, ja netiek ievērots kāds no turpmākajiem noteikumiem attiecībā uz garantijām, finansējumu vai pirmstermiņa izbeigšanu.</w:t>
      </w:r>
      <w:r w:rsidRPr="00B03B51">
        <w:rPr>
          <w:rStyle w:val="FootnoteReference"/>
          <w:rFonts w:ascii="Times New Roman" w:hAnsi="Times New Roman" w:cs="Times New Roman"/>
          <w:noProof/>
          <w:sz w:val="24"/>
        </w:rPr>
        <w:footnoteReference w:id="228"/>
      </w:r>
    </w:p>
    <w:p w14:paraId="13A4AD1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9043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52. Saistībā ar atlīdzībām, kas tiek gūtas no attiecīgā projekta, ja PPP līgumā paredzēts, ka gadījumā, ja partnerim sasniedzot noteiktu rentabilitātes līmeni, lai arī kādā izteiksmē tas būtu noteikts (naudas izteiksmē, kā atdeves attiecība pret pašu kapitālu utt.), valdības vienība būtu tiesīga saņemt jebkādu peļņas daļu, PPP aktīvi ir uzskatāmi par valdības aktīviem neatkarīgi no tā, vai ir precīzi noteikta peļņa, ko ietur valdība, un tās apjoms. Jebkurā gadījumā tas, ka vienība saņem atlīdzības no aktīva, ir rādītājs, ka aktīvs ir jāklasificē tās bilancē. Tomēr, ja valdībai PPP partnerībā ir mazākuma akcijas, tā joprojām varētu būt netieši tiesīga uz tās parasto peļņas daļu, kas varētu tikt sadalīta partnerim, t. i., saskaņā ar tādiem pašiem nosacījumiem, kādi ir pārējiem akciju turētājiem, maksājuma vai dividenžu veidā. Tomēr jāatzīmē, ka valdība var būt tiesīga saņemt visu iepriekš neparedzēto papildu peļņu, ko guvis partneris, vai tās daļu, ja ir apliecinājums, ka tā veidojusies valdības apzinātas darbības vai lēmumu rezultātā, kuri ietekmējuši konkrētā aktīva izmantošanu un/vai tā pieejamības izmaksas, piemēram, ja nepārprotama valdības lēmuma/politikas utt. rezultātā ir palielinājušās piedāvājuma maksas. Tas tomēr neietver vispārējos pasākumus, ko veic valdība un kas būtiski ietekmē ekonomiku.</w:t>
      </w:r>
    </w:p>
    <w:p w14:paraId="4C7DA63C" w14:textId="77777777" w:rsidR="00443399" w:rsidRPr="00B03B51" w:rsidRDefault="00443399" w:rsidP="00443399">
      <w:pPr>
        <w:jc w:val="both"/>
        <w:rPr>
          <w:rFonts w:ascii="Times New Roman" w:eastAsia="Arial" w:hAnsi="Times New Roman" w:cs="Times New Roman"/>
          <w:noProof/>
          <w:sz w:val="24"/>
          <w:szCs w:val="14"/>
        </w:rPr>
      </w:pPr>
    </w:p>
    <w:p w14:paraId="0B5F3659"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28" w:name="6.4.3.3_Government_financing"/>
      <w:bookmarkEnd w:id="528"/>
      <w:r w:rsidRPr="00B03B51">
        <w:rPr>
          <w:rFonts w:ascii="Times New Roman" w:hAnsi="Times New Roman" w:cs="Times New Roman"/>
          <w:sz w:val="24"/>
        </w:rPr>
        <w:lastRenderedPageBreak/>
        <w:t>6.4.3.3. VALDĪBAS FINANSĒJUMS</w:t>
      </w:r>
    </w:p>
    <w:p w14:paraId="5EB4B3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545AE7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53. Ir iespējams, ka svarīgs mērķis valdības ilgtermiņa partnerībai ar valdības sektoram nepiederošām vienībām ir kapitāla izdevumu un saistītā finansējuma uzskaites sadalīšana ilgā laika posmā.</w:t>
      </w:r>
    </w:p>
    <w:p w14:paraId="6D432D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2239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Šādos apstākļos valdība pati piedalās partnera finansēšanā. Partneris bieži vien nevar aizņemties naudas līdzekļus ar tādu pašu procentu likmi kā valdība, tādējādi palielinot projekta izmaksas. Tāpēc valdība var piedāvāt partnerim konkrētu daļu no PPP projektam vajadzīgā finansējuma, lai piesaistītu lielāku privātā sektora subjektu interesi par projektu un samazinātu finansēšanas kopējās izmaksas un/vai vienkārši nodrošinātu projekta dzīvotspēju.</w:t>
      </w:r>
      <w:r w:rsidRPr="00B03B51">
        <w:rPr>
          <w:rStyle w:val="FootnoteReference"/>
          <w:rFonts w:ascii="Times New Roman" w:hAnsi="Times New Roman" w:cs="Times New Roman"/>
          <w:noProof/>
          <w:sz w:val="24"/>
        </w:rPr>
        <w:footnoteReference w:id="229"/>
      </w:r>
    </w:p>
    <w:p w14:paraId="4CF3C93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F7A47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55. Ja valdība finansē kapitāla izdevumu lielāko daļu (dažādos veidos, kas jāizvērtē visi kopā, piemēram, ar ieguldījumu dotācijām, aizdevumiem, garantijām, pašu kapitālu partnera sabiedrībā utt.), uzskatāms, ka valdība uzņemas lielāko daļu risku, un aktīvs ir jāklasificē valdības bilancē. Ja šī situācija ir paredzēta sākotnējā līgumā, visus kapitāla izdevumus ieraksta kā valdības bruto ieguldījumus pamatkapitālā. Valdība var sniegt finansējumu arī dažādos laikos. Tas var notikt sākumā, lai segtu būvniecības posmu, un var arī būt būvniecības posma beigās, kad ir uzkrājies parāds par būvniecības posmu (ko finansējis partneris no saviem līdzekļiem un/vai izmantojot banku īstermiņa mehānismus), ko varētu būt nepieciešams “konsolidēt” ilgākā termiņā. Var gadīties, ka valdība būtisku summu maksā būvniecības posma beigās, kas ir uzskatāma par ieguldījumu dotāciju (un nevis par priekšapmaksu nākotnes vienotajiem pieejamības vai piedāvājuma maksājumiem), un, kā jau tika iepriekš minēts, tas ir jāņem vērā, novērtējot valdības daļu kopējā finansējumā. Turklāt, ja valdības sniegtais finansējums vispirms ir neliela daļa no kopējā nepieciešamā finansējuma (tādējādi aktīvi </w:t>
      </w:r>
      <w:r w:rsidRPr="00B03B51">
        <w:rPr>
          <w:rFonts w:ascii="Times New Roman" w:hAnsi="Times New Roman" w:cs="Times New Roman"/>
          <w:i/>
          <w:iCs/>
          <w:sz w:val="24"/>
        </w:rPr>
        <w:t>ceteris paribus</w:t>
      </w:r>
      <w:r w:rsidRPr="00B03B51">
        <w:rPr>
          <w:rFonts w:ascii="Times New Roman" w:hAnsi="Times New Roman" w:cs="Times New Roman"/>
          <w:sz w:val="24"/>
        </w:rPr>
        <w:t xml:space="preserve"> tiek klasificēti partnera bilancē), taču vēlāk būvniecības gaitā dažādu iemeslu dēļ finansējums kļūst par dominējošu, tajā brīdī, kad tas notiek, tas rada pamatu aktīva pārklasificēšanai valdības bilancē.</w:t>
      </w:r>
    </w:p>
    <w:p w14:paraId="511006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ED2C54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56. Tas varētu attiekties tikai uz gadījumiem, kad finansējumu sniedz nacionālās valdības vienības, tāpēc netiek iekļauts finansējums, ko sniedz starptautiski subjekti saskaņā ar starpvaldību nolīgumiem, piemēram, ES fondu (ESIF, Kohēzijas fonda) finansējums, kas tiek piešķirts valdības sektorā neietilpstošām vienībām. Šajā saistībā ir jāatzīmē, ka, piemēram, ja ES finansē 30 % dotāciju veidā, privātais partneris finansē 36 % un valdība attiecīgi 34 % (no kopapjoma), būtu jāuzskata, ka PPP projekta vairākumu finansē privātais sektors, jo tā finansējums būtu 36/70=51,4 % no kopapjoma. Novērtējot valdības un partnera ieguldījumu kapitāla izmaksu finansēšanā, nav jāiekļauj ES dotācijas, kas samazina nepieciešamību finansēt izdevumus iekšzemes līmenī, iespējams, ar valdības līdzdalību. Aktīvus var ierakstīt kā valdības aktīvus, pat ja valdība nesedz vairāk par 50 % no kapitāla izdevumiem; tas ir atkarīgs no ES dotāciju īpatsvara. Faktiski tas vienkārši ir atkarīgs no tā, vai valdības finansējuma daļa būs lielāka vai mazāka par privātā sektora sniegtā finansējuma daļu.</w:t>
      </w:r>
      <w:r w:rsidRPr="00B03B51">
        <w:rPr>
          <w:rStyle w:val="FootnoteReference"/>
          <w:rFonts w:ascii="Times New Roman" w:hAnsi="Times New Roman" w:cs="Times New Roman"/>
          <w:noProof/>
          <w:sz w:val="24"/>
        </w:rPr>
        <w:footnoteReference w:id="230"/>
      </w:r>
      <w:r w:rsidRPr="00B03B51">
        <w:rPr>
          <w:rFonts w:ascii="Times New Roman" w:hAnsi="Times New Roman" w:cs="Times New Roman"/>
          <w:sz w:val="24"/>
        </w:rPr>
        <w:t xml:space="preserve"> Valdības un partnera </w:t>
      </w:r>
      <w:r w:rsidRPr="00B03B51">
        <w:rPr>
          <w:rFonts w:ascii="Times New Roman" w:hAnsi="Times New Roman" w:cs="Times New Roman"/>
          <w:sz w:val="24"/>
        </w:rPr>
        <w:lastRenderedPageBreak/>
        <w:t>risku līdzsvara analīzē un novērtējumā</w:t>
      </w:r>
      <w:r w:rsidRPr="00B03B51">
        <w:rPr>
          <w:rStyle w:val="FootnoteReference"/>
          <w:rFonts w:ascii="Times New Roman" w:hAnsi="Times New Roman" w:cs="Times New Roman"/>
          <w:noProof/>
          <w:sz w:val="24"/>
        </w:rPr>
        <w:footnoteReference w:id="231"/>
      </w:r>
      <w:r w:rsidRPr="00B03B51">
        <w:rPr>
          <w:rFonts w:ascii="Times New Roman" w:hAnsi="Times New Roman" w:cs="Times New Roman"/>
          <w:sz w:val="24"/>
        </w:rPr>
        <w:t xml:space="preserve"> nevajadzētu iekļaut dotāciju veidā piešķirto ārējo ES finansējumu</w:t>
      </w:r>
      <w:r w:rsidRPr="00B03B51">
        <w:rPr>
          <w:rStyle w:val="FootnoteReference"/>
          <w:rFonts w:ascii="Times New Roman" w:hAnsi="Times New Roman" w:cs="Times New Roman"/>
          <w:noProof/>
          <w:sz w:val="24"/>
        </w:rPr>
        <w:footnoteReference w:id="232"/>
      </w:r>
      <w:r w:rsidRPr="00B03B51">
        <w:rPr>
          <w:rFonts w:ascii="Times New Roman" w:hAnsi="Times New Roman" w:cs="Times New Roman"/>
          <w:sz w:val="24"/>
        </w:rPr>
        <w:t>. Tomēr ir jānovērtē, vai valdība uzņemas vairāk risku nekā partneris, vai arī otrādi.</w:t>
      </w:r>
    </w:p>
    <w:p w14:paraId="26E64A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BB281F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Ja valdība piedalās PPP projekta finansēšanā ar mazāk nekā 50 % no kopapjoma, kā minēts iepriekš, būtu svarīgi pārbaudīt, kāda veida parādu uzņemas partneris attiecībā uz valdību (kas varētu arī nebūt tā pati vienība, kas iesaistīta līgumā). Tas ir tāpēc, ka finanšu instrumentos var tikt iekļauti dažādas pakāpes riski tādā ziņā, ka debitora saistību nepildīšana tiktu attiecināta uz kreditoriem noteiktā prioritāšu secībā. Šajā saistībā, lai īstenotu šo noteikumu, parāds ir jāpadara pēc būtības viendabīgs. Šajā saistībā tomēr nav iespējams izmantot dažus parastos finanšu analīzes rīkus, ar kuriem nosaka, piemēram, “saistību neizpildes iespējamību” vai “saistību nepildīšanas zaudējumu” utt., jo tam būtu nepieciešami ievērojams piemēru daudzums. Tāpēc izmanto vienkāršu metodi, pieņemot reizinātāju, kas ir vienāds ar 2,5</w:t>
      </w:r>
      <w:r w:rsidRPr="00B03B51">
        <w:rPr>
          <w:rStyle w:val="FootnoteReference"/>
          <w:rFonts w:ascii="Times New Roman" w:hAnsi="Times New Roman" w:cs="Times New Roman"/>
          <w:noProof/>
          <w:sz w:val="24"/>
        </w:rPr>
        <w:footnoteReference w:id="233"/>
      </w:r>
      <w:r w:rsidRPr="00B03B51">
        <w:rPr>
          <w:rFonts w:ascii="Times New Roman" w:hAnsi="Times New Roman" w:cs="Times New Roman"/>
          <w:sz w:val="24"/>
        </w:rPr>
        <w:t>, ja valdība tur augstāka riska instrumentu (pakārtoto vai subordinēto parādu) nekā citi kreditori.</w:t>
      </w:r>
      <w:r w:rsidRPr="00B03B51">
        <w:rPr>
          <w:rStyle w:val="FootnoteReference"/>
          <w:rFonts w:ascii="Times New Roman" w:hAnsi="Times New Roman" w:cs="Times New Roman"/>
          <w:noProof/>
          <w:sz w:val="24"/>
        </w:rPr>
        <w:footnoteReference w:id="234"/>
      </w:r>
      <w:r w:rsidRPr="00B03B51">
        <w:rPr>
          <w:rFonts w:ascii="Times New Roman" w:hAnsi="Times New Roman" w:cs="Times New Roman"/>
          <w:sz w:val="24"/>
          <w:szCs w:val="12"/>
        </w:rPr>
        <w:t xml:space="preserve"> </w:t>
      </w:r>
      <w:r w:rsidRPr="00B03B51">
        <w:rPr>
          <w:rFonts w:ascii="Times New Roman" w:hAnsi="Times New Roman" w:cs="Times New Roman"/>
          <w:sz w:val="24"/>
        </w:rPr>
        <w:t>Sarežģītākos gadījumos (piemēram, ja ir dažādu instrumentu klašu kopums un vairāki zaudējumu seguma līmeņi) tomēr būtu nepieciešams veikt īpašu analīzi.</w:t>
      </w:r>
    </w:p>
    <w:p w14:paraId="3A3022D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B56AB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58. Dažos līgumos valdība var cieši apņemties nodrošināt visu partnera finansējumu vai tā daļu gadījumā, ja partneris nav tādā stāvoklī, lai iegūtu finanšu resursus, kad tie ir nepieciešami.</w:t>
      </w:r>
    </w:p>
    <w:p w14:paraId="41CCF6A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F1F59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59. Piemēram, izņēmuma gadījumos sākumā parakstītais finanšu nolīgums nesedz visu līguma darbības termiņu (piemēram, ilgtermiņa sindicētā bankas aizdevuma gadījumā) vai būvniecības posma beigās rodas kādas problēmas. Pēdējo minēto gadījumu parasti finansē, izmantojot īstermiņa mehānismus (izstrādāti darba gaitā), kas “konsolidēti” pēc darba pabeigšanas (un kad darbu ir apstiprinājis darījuma partneris), izmantojot ilgtermiņa finansēšanas līdzekļus (tostarp emitētos ilgtermiņa vērtspapīrus). Tas varētu notikt, piemēram, ja dažām bankām vai riska parakstītājiem nav stingra pienākuma nodrošināt šo konsolidāciju un viņi dažādu iemeslu dēļ varētu izlemt nepiedalīties. Šādā gadījumā, ja valdība ir apņēmusies finansēt vairāk nekā 50 % no kapitāla izdevumiem, aktīvus klasificē kā valdības aktīvus PPP līguma darbības sākumā (pakāpeniski ierakstot bruto pamatkapitāla veidošanu pēc darbu pabeigšanas), jo PPP novērtējums ir jāveic attiecībā uz partnera vispārējo finanšu risku gan būvniecības, gan ekspluatācijas posmā, t. i., visā līguma darbības termiņa laikā, nevis tikai tā parakstīšanas brīdī. Šādas gadījuma saistības, ko uzņemas valsts, varētu būtiski mazināt partnera risku.</w:t>
      </w:r>
    </w:p>
    <w:p w14:paraId="20BE641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12575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60. Cits gadījums varētu būt, ja ilgtermiņa finansējums dažādu iemeslu dēļ (tirgus apstākļi finansēšanas nolīguma brīdī, izvairīšanās no riskiem, neskaidrība par pasākuma dzīvotspēju utt.) nesedz PPP līgumu līdz tā galīgajam termiņam un varētu būt neskaidrība par partnera spēju iegūt visus nepieciešamos finanšu resursus, kā arī neskaidrība par to izmaksām. Aktīvus pārklasificē par valdības aktīviem brīdī, kad valdība faktiski refinansē parādu, ja tās saistības pārsniedz 50 % no aktīva gaidāmās vērtības refinansēšanas brīdī, pamatojoties uz līguma </w:t>
      </w:r>
      <w:r w:rsidRPr="00B03B51">
        <w:rPr>
          <w:rFonts w:ascii="Times New Roman" w:hAnsi="Times New Roman" w:cs="Times New Roman"/>
          <w:sz w:val="24"/>
        </w:rPr>
        <w:lastRenderedPageBreak/>
        <w:t>noteikumiem, kas attiecas uz kapitāla izdevumiem (dažos gadījumos realizētie izdevumi varētu tomēr būt lielāki). Tomēr abos iepriekš minētajos gadījumos, ja valdība nodrošina (re)finansēšanu saistībā ar tirgus traucējumiem (tas varētu būt, piemēram, brīdī, kad parakstīts finanšu nolīgums), piemēram, saistībā ar kredītresursu trūkumu vai neaktīviem finanšu tirgiem, ko varētu uzskatīt par nepārvaramas varas apstākļiem, valdības iejaukšanās dēļ aktīvs nebūtu jāpārklasificē ar nosacījumu, ka valdības finansējums sedz tikai ļoti mazu daļu no līguma atlikušā darbības termiņa un tiek paredzēta valdības izstāšanās, tiklīdz tirgus apstākļi atkal ir salīdzinoši “normāli”.</w:t>
      </w:r>
    </w:p>
    <w:p w14:paraId="31AE6D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BAD30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61. Visbeidzot, refinansēšana varētu tikt īstenota vai nu tāpēc, ka ir pienācis finanšu instrumenta maksājuma termiņš pirms PPP līguma darbības termiņā beigām, vai arī, lai izdevīgi izmantotu labvēlīgas tirgus tendences (piemēram, procentu likmes vispārēju samazināšanos), vai tāpēc, ka tirgū tiek labāk novērtēts partnera risks</w:t>
      </w:r>
      <w:r w:rsidRPr="00B03B51">
        <w:rPr>
          <w:rStyle w:val="FootnoteReference"/>
          <w:rFonts w:ascii="Times New Roman" w:hAnsi="Times New Roman" w:cs="Times New Roman"/>
          <w:noProof/>
          <w:sz w:val="24"/>
        </w:rPr>
        <w:footnoteReference w:id="235"/>
      </w:r>
      <w:r w:rsidRPr="00B03B51">
        <w:rPr>
          <w:rFonts w:ascii="Times New Roman" w:hAnsi="Times New Roman" w:cs="Times New Roman"/>
          <w:sz w:val="24"/>
        </w:rPr>
        <w:t>. Aktīvus jau no paša sākuma uzskata par valdības aktīviem, ja līgumā ir noteikts, ka valdība ir tiesīga saņemt konkrētu daļu no iespējamā refinansēšanas guvuma. Taču izņēmumus ir gadījumā, ja tiek gūts apliecinājums, ka partnera riska labāku novērtējumu ir radījusi valdības konkrēta rīcība (piemēram, aktīvu mazākas izmantošanas dēļ vai tāpēc, ka valdības dēļ ir radīti labvēlīgāki nosacījumi aktīvu izmantošanai utt.), kuras rezultātā ir pieaugusi partnera rentabilitāte. Šādā gadījumā refinansēšanas guvumu varētu piešķirt valdībai. Dažkārt ir visai grūti nodalīt refinansēšanas guvuma dominējošo cēloni, kas praksē varētu būt vairāku tādu faktoru mijiedarbības rezultāts, kurus ir grūti precīzi izsvērt. Šādos gadījumos, ja valdība bija tiesīga paturēt ne vairāk kā vienu trešdaļu guvuma, aktīvi nav klasificējami valdības bilancē PPP līguma darbības sākumā. Šī attiecība ir pamatojama ar to, ka papildus atlīdzībām, kas tieši saistītas ar partnera vai valdības konkrētajām darbībām, vēl ir jāizvērtē arī tas, ka riski un atlīdzības, kas izriet no makroekonomiskās vides, ir jāuzņemas aktīva ekonomiskajam īpašniekam precīzi tāpat, kā tas ir nepārvaramas varas notikumu gadījumā vai citos līdzīgos gadījumos. Valdība varētu arī saņemt daļu peļņas nodokļu veidā, taču tikai saskaņā ar parastajiem nodokļu piemērošanas noteikumiem, nevis īpašu nodokļu veidā, kas iekasēti saistībā ar konkrēto PPP gadījumu.</w:t>
      </w:r>
    </w:p>
    <w:p w14:paraId="0E26E77E" w14:textId="77777777" w:rsidR="00443399" w:rsidRPr="00B03B51" w:rsidRDefault="00443399" w:rsidP="00443399">
      <w:pPr>
        <w:jc w:val="both"/>
        <w:rPr>
          <w:rFonts w:ascii="Times New Roman" w:hAnsi="Times New Roman" w:cs="Times New Roman"/>
          <w:noProof/>
          <w:sz w:val="24"/>
        </w:rPr>
      </w:pPr>
    </w:p>
    <w:p w14:paraId="058B7AD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29" w:name="6.4.3.4_Government_guarantees"/>
      <w:bookmarkEnd w:id="529"/>
      <w:r w:rsidRPr="00B03B51">
        <w:rPr>
          <w:rFonts w:ascii="Times New Roman" w:hAnsi="Times New Roman" w:cs="Times New Roman"/>
          <w:sz w:val="24"/>
        </w:rPr>
        <w:t>6.4.3.4. VALDĪBAS GARANTIJAS</w:t>
      </w:r>
    </w:p>
    <w:p w14:paraId="52F4F23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FDB7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62. Valdība var arī piešķirt tiešu garantiju</w:t>
      </w:r>
      <w:r w:rsidRPr="00B03B51">
        <w:rPr>
          <w:rStyle w:val="FootnoteReference"/>
          <w:rFonts w:ascii="Times New Roman" w:hAnsi="Times New Roman" w:cs="Times New Roman"/>
          <w:noProof/>
          <w:sz w:val="24"/>
        </w:rPr>
        <w:footnoteReference w:id="236"/>
      </w:r>
      <w:r w:rsidRPr="00B03B51">
        <w:rPr>
          <w:rFonts w:ascii="Times New Roman" w:hAnsi="Times New Roman" w:cs="Times New Roman"/>
          <w:sz w:val="24"/>
        </w:rPr>
        <w:t>, kas pilnīgi vai daļēji sedz ar projektu saistīto partnera aizņēmumu, lai arī kādi būtu kreditori (tostarp, iespējams, starptautiskas finanšu organizācijas). Parasti tas palīdz partnerim piesaistīt līdzekļus tirgū ar mazākām izmaksām un uzlabot tā kredītreitingu.</w:t>
      </w:r>
    </w:p>
    <w:p w14:paraId="35622E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95306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63. Šajā saistībā, ja pastāv tiesību normas, kas paredz valdībai nodot visa parāda vai tā daļas apkalpošanu, partnera parāds varētu tikt pārklasificēts par valdības parādu.</w:t>
      </w:r>
    </w:p>
    <w:p w14:paraId="006DDE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1083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64. Turklāt, ņemot vērā, ka garantijas ietekmē risku sadalījumu starp pusēm, garantijas ir jāizmanto PPP risku analīzē, jo īpaši gadījumā, ja lielākā PPP aktīvu vērtības daļa (tostarp jebkādas atjaunošanas izmaksas) varētu izrietēt no valdības veiktas aktīvu nodošanas.</w:t>
      </w:r>
    </w:p>
    <w:p w14:paraId="1E8CD0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B1BD6B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65. PPP aktīvu ierakstīšanu var ietekmēt garantijas tvērums (tostarp gadījumi, kad tā attiecas </w:t>
      </w:r>
      <w:r w:rsidRPr="00B03B51">
        <w:rPr>
          <w:rFonts w:ascii="Times New Roman" w:hAnsi="Times New Roman" w:cs="Times New Roman"/>
          <w:sz w:val="24"/>
        </w:rPr>
        <w:lastRenderedPageBreak/>
        <w:t>ne tikai uz konkrētu parāda instrumentu, kas saistīts ar projektu</w:t>
      </w:r>
      <w:r w:rsidRPr="00B03B51">
        <w:rPr>
          <w:rStyle w:val="FootnoteReference"/>
          <w:rFonts w:ascii="Times New Roman" w:hAnsi="Times New Roman" w:cs="Times New Roman"/>
          <w:noProof/>
          <w:sz w:val="24"/>
        </w:rPr>
        <w:footnoteReference w:id="237"/>
      </w:r>
      <w:r w:rsidRPr="00B03B51">
        <w:rPr>
          <w:rFonts w:ascii="Times New Roman" w:hAnsi="Times New Roman" w:cs="Times New Roman"/>
          <w:sz w:val="24"/>
        </w:rPr>
        <w:t>). Tas var nozīmēt, ka valdībai ir jāuzņemas daži no šajā nodaļā iepriekš analizētajiem riskiem.</w:t>
      </w:r>
    </w:p>
    <w:p w14:paraId="1609AD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5F1ADD" w14:textId="7C5AFF96"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66. PPP gadījumā valdība var piešķirt garantijas partnerim, lai segtu parāda atmaksu, taču tā var arī nodrošināt konkrētu pašu kapitāla atdevi, lai arī kāds būt</w:t>
      </w:r>
      <w:r w:rsidR="00B8720C" w:rsidRPr="00B03B51">
        <w:rPr>
          <w:rFonts w:ascii="Times New Roman" w:hAnsi="Times New Roman" w:cs="Times New Roman"/>
          <w:sz w:val="24"/>
        </w:rPr>
        <w:t>u</w:t>
      </w:r>
      <w:r w:rsidRPr="00B03B51">
        <w:rPr>
          <w:rFonts w:ascii="Times New Roman" w:hAnsi="Times New Roman" w:cs="Times New Roman"/>
          <w:sz w:val="24"/>
        </w:rPr>
        <w:t xml:space="preserve"> partnera darbības rezultāts. Tas varētu norādīt par risku nepietiekamu nodošanu partnerim. Līdzīgi dažos gadījumos, kad “virtuālās ceļa nodevas” izveido atkarībā no tā, kā aktīvu izmanto galalietotāji, valdība varētu nodrošināt minimālos ieņēmumus pieprasījuma garantētā līmeņa veidā neatkarīgi no aktīva faktiskās izmantošanas. To arī varētu uzskatīt par risku nepietiekamu nodošanu.</w:t>
      </w:r>
    </w:p>
    <w:p w14:paraId="379654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D4333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67. Ja būvniecības posma sākumā vai tās laikā valdības garantijas sedz lielāko daļu PPP projekta kapitāla izdevumu, aktīvu parasti ieraksta valdības bilancē, izņemot gadījumus, kad garantijas laiks ir ļoti ierobežots un tā piemērojama tikai ļoti stingros tirgus traucējumu apstākļos. Tas pats attiecas uz gadījumiem, kad partnerim jebkuros apstākļos tiek nodrošināta konkrēta vai minimāla peļņas norma.</w:t>
      </w:r>
    </w:p>
    <w:p w14:paraId="362D3C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64ECA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68. Papildus vienkāršajam tiešās parāda garantijas gadījumam riska sadalījuma starp valdību un partneri analīzē būtu jāiekļauj arī tās garantijas, kas dažādos veidos ir piešķirtas kreditoriem vai partnerim, piemēram, apdrošināšanas vai atvasināto finanšu instrumentu veidā, kā arī jebkādus citus nosacījumus ar līdzīgu ietekmi.</w:t>
      </w:r>
    </w:p>
    <w:p w14:paraId="3AD886A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FB2C4C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69. Lai novērtētu riska sadalījumu starp valdību un partneri, attiecībā uz PPP projekta kapitāla izdevumiem lielākās finansējuma daļas tests jāveic kopā ar izsniegto garantiju testu. PPP līgumu gadījumā valdība varētu nodrošināt mazāko kopējo kapitāla izdevumu daļu, taču pēc tam varētu piešķirt garantiju attiecībā uz lielāko atlikušā projekta finansējuma daļu (attiecinot to uz partnera parādsaistībām tieši vai arī netieši, piemēram, garantēdama pieejamības maksājumus). Šādā gadījumā, ja valdības atbalsta kopējā ietekme aptvertu vairāk nekā tikai lielāko daļu kapitāla izdevumu, varētu secināt, ka valdība uzņemas lielāko riska daļu. Turklāt gadījumā, kad PPP finansē galvenokārt no pašu kapitāla, ir jāveic īpaša analīze, lai novērtētu ietekmi uz riska sadalījumu starp valdību un partneri atbilstoši līguma noteikumiem par pašu kapitāla daļu.</w:t>
      </w:r>
    </w:p>
    <w:p w14:paraId="283313A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85CA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70. Visbeidzot, ja garantija tiek faktiski pieprasīta, varētu mainīties aktīvu ekonomiskās īpašumtiesības un tos var nākties pārklasificēt (par to atlikušo vērtību), kad vien tādā veidā varētu būtiski mainīties riska sadalījums starp pusēm. Tas būtu jādara, piemēram, tad, ja valdība pārņemtu partneri savā kontrolē un/vai turpmāk vairs neveiktu maksājumus, pamatojoties uz aktīvu pieejamību un pieprasījumu, bet galvenokārt pamatojoties uz darbības izmaksām.</w:t>
      </w:r>
    </w:p>
    <w:p w14:paraId="09C7D1F4" w14:textId="77777777" w:rsidR="00443399" w:rsidRPr="00B03B51" w:rsidRDefault="00443399" w:rsidP="00443399">
      <w:pPr>
        <w:jc w:val="both"/>
        <w:rPr>
          <w:rFonts w:ascii="Times New Roman" w:eastAsia="Arial" w:hAnsi="Times New Roman" w:cs="Times New Roman"/>
          <w:noProof/>
          <w:sz w:val="24"/>
          <w:szCs w:val="15"/>
        </w:rPr>
      </w:pPr>
    </w:p>
    <w:p w14:paraId="51CE32EA"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30" w:name="6.4.3.5_Termination_clauses_and_change_i"/>
      <w:bookmarkEnd w:id="530"/>
      <w:r w:rsidRPr="00B03B51">
        <w:rPr>
          <w:rFonts w:ascii="Times New Roman" w:hAnsi="Times New Roman" w:cs="Times New Roman"/>
          <w:sz w:val="24"/>
        </w:rPr>
        <w:t>6.4.3.5. IZBEIGŠANAS KLAUZULAS UN PĀRMAIŅAS LĪGUMA BŪTĪBĀ</w:t>
      </w:r>
    </w:p>
    <w:p w14:paraId="6E841A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CF830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71. PPP līgumos iekļauj līguma izbeigšanas noteikumus gadījumā, ja valdība vai partneris nevar izpildīt līgumu vai arī kāds no viņiem pastāvīgi nespēj ievērot savas līgumsaistības. Turklāt valdība var izmantot savas ārkārtas suverēnās tiesības. Iespējami dažādi iemesli, kāpēc līgums tiek izbeigts pirms līguma termiņa beigām. Īpaša uzmanība jāpievērš gadījumam, kad izbeigšanas iemesls ir partnera saistību neizpilde (vai partneris neatkarīgi izlemj izstāties no līguma), piemēram, tāpēc, ka partnerim regulāri ir slikti darbības rezultāti vai partneris vairs nespēj sniegt pakalpojumus atbilstīgi noslēgtā līguma nosacījumiem. Tas kopumā ir noteikts dažos līguma nosacījumos un procedūrās. Ja partneris nepilda saistības, aktīvi parasti tiek </w:t>
      </w:r>
      <w:r w:rsidRPr="00B03B51">
        <w:rPr>
          <w:rFonts w:ascii="Times New Roman" w:hAnsi="Times New Roman" w:cs="Times New Roman"/>
          <w:sz w:val="24"/>
        </w:rPr>
        <w:lastRenderedPageBreak/>
        <w:t>nodoti valdībai (skat. turpmākos nosacījumus) līguma izbeigšanas brīdī, izņemot gadījumu, kad tie varētu tikt uzreiz nodoti jaunam partnerim. Attiecībā uz jauniem līgumiem šajā saistībā būtu nepieciešama jauna analīze.</w:t>
      </w:r>
    </w:p>
    <w:p w14:paraId="387526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1448A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72. Izbeigšanas noteikumos parasti būs noteikts, ka valdībai ir jāiegādājas aktīvs un jāpārņem viss partnera parāds, kas saistīts ar PPP, vai tā daļa un jāsamaksā partnerim kompensācija. Tas ir tāpēc, ka PPP aktīvs nereti ir “īpašam mērķim paredzēts aktīvs” ar ierobežotu tālākpārdošanas vērtību tirgū partnerim un valdība parasti vēlas saglabāt galveno ietekmi uz nosacījumiem, saskaņā ar kuriem pakalpojumi tiek sniegti, izmantojot aktīvu. Principā jebkurā kompensācijā, kas tiek sniegta saistībā ar pirmstermiņa izbeigšanu, pamatojoties uz to, ka partneris nepilda saistības, jāņem vērā partnera neapmierinošie darbības rezultāti, un līdz ar to šādām kompensācijām jāatšķiras no kompensācijas maksājumiem, kas tiek veikti saistībā ar pirmstermiņa izbeigšanu, kas noteikta pēc valdības ierosmes.</w:t>
      </w:r>
    </w:p>
    <w:p w14:paraId="3D9225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AB28816"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līgums tiek izbeigts tādēļ, ka partneris nepilda saistības būvniecības laikā vai būvniecības posma beigās, parasti līgumā ir paredzēts tikai valdības atmaksājums, pamatojoties uz kapitāla izdevumiem, kas radušies. Turklāt, ja attiecībā uz partneri netiek piemērots sods par iespējami nelabvēlīgajām sekām, ko rada neizpilde (kavējumi, izmaksu pārsniegums), uzskata, ka būvniecības risku uzņemas valdība.</w:t>
      </w:r>
    </w:p>
    <w:p w14:paraId="1E1B8FDB"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neizpilde notiek ekspluatācijas posmā, līgumā ir skaidri jānorāda, ka partnerim izmaksājamā kompensācija (ja tāda ir paredzēta) laikā, kad valdība pārņem aktīvu no partnera, nedrīkst pārsniegt aktīva tirgus vērtību (kā norādīts EKS 2010 7. nodaļā “Bilances”) konkrētajā brīdī (ievērojot paredzamās izmaksas, kas nepieciešamas, lai savestu aktīvu pienācīgā kārtībā), kas noteiktas atkārtotā konkursa procesā vai ko ticami noteikuši neatkarīgi eksperti</w:t>
      </w:r>
      <w:r w:rsidRPr="00B03B51">
        <w:rPr>
          <w:rStyle w:val="FootnoteReference"/>
          <w:rFonts w:ascii="Times New Roman" w:hAnsi="Times New Roman" w:cs="Times New Roman"/>
          <w:noProof/>
          <w:sz w:val="24"/>
        </w:rPr>
        <w:footnoteReference w:id="238"/>
      </w:r>
      <w:r w:rsidRPr="00B03B51">
        <w:rPr>
          <w:rFonts w:ascii="Times New Roman" w:hAnsi="Times New Roman" w:cs="Times New Roman"/>
          <w:sz w:val="24"/>
        </w:rPr>
        <w:t>. Ja šie nosacījumi nav izpildīti (pirmkārt un galvenokārt, ja kompensācija noteikta, pamatojoties tikai uz līgumā paredzētu partnera nākotnes plūsmu pašreizējo vērtību, neņemot vērā aktīva faktisko stāvokli, vai ja dažas summas neatspoguļo aktīva pašreizējo vērtību), tiek uzskatīts, ka risku (pieejamības vai pieprasījuma risku) nodošana partnerim nav pietiekama</w:t>
      </w:r>
      <w:r w:rsidRPr="00B03B51">
        <w:rPr>
          <w:rStyle w:val="FootnoteReference"/>
          <w:rFonts w:ascii="Times New Roman" w:hAnsi="Times New Roman" w:cs="Times New Roman"/>
          <w:noProof/>
          <w:sz w:val="24"/>
        </w:rPr>
        <w:footnoteReference w:id="239"/>
      </w:r>
      <w:r w:rsidRPr="00B03B51">
        <w:rPr>
          <w:rFonts w:ascii="Times New Roman" w:hAnsi="Times New Roman" w:cs="Times New Roman"/>
          <w:sz w:val="24"/>
        </w:rPr>
        <w:t>.</w:t>
      </w:r>
    </w:p>
    <w:p w14:paraId="226A92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8555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73. Ja līguma izbeigšanas laikā aktīvi tiek pārklasificēti valdības bilancē, valdības bruto pamatkapitāla veidošanu šajā laikā ieraksta kā precīzu aktīvu vērtību. Valdībai parasti jāuzņemas līdzvērtīga parāda daļa, taču dažkārt valdība var uzņemties arī tādu parāda summu, kas pārsniedz aktīvu vērtību. Jebkuru pārsniegumu ieraksta kā kapitāla pārvedumu ar ietekmi uz valdības neto aizdevumu/aizņēmumu (B.9).</w:t>
      </w:r>
    </w:p>
    <w:p w14:paraId="2F20DE3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FA83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74. Daudzos gadījumos novērots, ka PPP līgumu darbības laikā tiek veikti līguma grozījumi vai tiek atkārtoti apspriesti tā nosacījumi. Vairumā gadījumu, kad līgumos tiek veiktas būtiskas izmaiņas vai mainīts risku un atlīdzību sadalījums starp valdību un partneri, to var uzskatīt par iepriekšējā līguma anulēšanu un jauna līguma izstrādi. Jo īpaši var būt iekļauta kompensācijas klauzula, lai uzturētu līguma ekonomisko līdzsvaru (partnera ienesīgums) gadījumos, kad šķiet, ka rezultāts atšķiras no sākotnējām prognozēm. Līdz ar to statistiķiem ir rūpīgi jāizskata līguma pārskatīšanas iemesli. Uzskatāms, ka pārskatīšana neietekmē riska nodošanas analīzi tikai tad, ja tā tiek veikta līguma vides izmaiņu dēļ, kas atrodas ārpus partnera atbildības (un tikai gadījumā, ja valdība veic īpašus pasākumus vai pieņem lēmumus, kas ietekmē līguma </w:t>
      </w:r>
      <w:r w:rsidRPr="00B03B51">
        <w:rPr>
          <w:rFonts w:ascii="Times New Roman" w:hAnsi="Times New Roman" w:cs="Times New Roman"/>
          <w:sz w:val="24"/>
        </w:rPr>
        <w:lastRenderedPageBreak/>
        <w:t>īstenošanu). Tomēr šādos gadījumos principā partnerim izmaksājamā kompensācija jānosaka precīzi proporcionāli valdības rīcības ietekmei uz partnera ieņēmumiem.</w:t>
      </w:r>
    </w:p>
    <w:p w14:paraId="17989D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E0A0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75. Saistībā ar līguma grozījumiem var pastāvēt arī tāds īpašs gadījums, kad tiek paredzēts, ka par aktīva izmantošanu galalietotāji sāk veikt tiešus vai netiešus maksājumus valdībai (piemēram, ceļa nodevas), savukārt valdība turpina maksāt regulāras nodevas partnerim. Pat ja šie līgumi saskaņā ar pašreizējo terminoloģiju tiek joprojām dēvēti par PPP līgumiem, nacionālajos kontos tie vairs nav uzskatāmi par PPP, ja par aktīvu izmantošanu maksā galalietotāji un šie maksājumi kļūst par nozīmīgu ieņēmumu avotu. Šajā saistībā aktīvi jāpārklasificē kā valdības aktīvi, ja šie galalietotāju veiktie maksājumi (ierakstīti bruto vērtībā, t. i., tostarp visi iekasētie maksājumi, ko patur partneris) pārsniedz 50 % no kopējām izmaksām, kas saistītas ar aktīvu izmantošanu (fiksētā kapitāla patēriņš, uzturēšanas un remonta izdevumi u. c.) un kas galvenokārt tiek segtas ar valdības vienotajiem maksājumiem partnerim.</w:t>
      </w:r>
    </w:p>
    <w:p w14:paraId="486B18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84C34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76. Ja grozītajā līgumā tiek paredzēts, ka maksājumiem, ko veic galalietotāji par aktīvu izmantošanu, 50 % attiecība ir jāsasniedz samērā īsā laika posmā (kas nepārsniedz divus gadus), aktīvu nodošanai jānotiek brīdī, kad stājas spēkā jaunais līgums.</w:t>
      </w:r>
    </w:p>
    <w:p w14:paraId="3344E1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88C98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77. Ja grozītajā līgumā paredzēta pakāpeniska pāreja uz maksājumu summas relatīvo sadalījumu starp valdību un galalietotājiem (piemēram, saistībā ar secīgiem transporta infrastruktūras posmiem), nodošanai jānotiek, tiklīdz tiks sasniegts 50 % slieksnis. Līdzīgas klauzulas attiecībā uz galalietotājiem līgumos var būt paredzētas arī, uzsākot jaunus projektus, taču šajā gadījumā aktīvi ir vienmēr jāklasificē kā valdības aktīvi būvniecības posma sākumā neatkarīgi no 50 % robežas sasniegšanas.</w:t>
      </w:r>
    </w:p>
    <w:p w14:paraId="3EA7D2A0" w14:textId="77777777" w:rsidR="00443399" w:rsidRPr="00B03B51" w:rsidRDefault="00443399" w:rsidP="00443399">
      <w:pPr>
        <w:jc w:val="both"/>
        <w:rPr>
          <w:rFonts w:ascii="Times New Roman" w:eastAsia="Arial" w:hAnsi="Times New Roman" w:cs="Times New Roman"/>
          <w:noProof/>
          <w:sz w:val="24"/>
          <w:szCs w:val="15"/>
        </w:rPr>
      </w:pPr>
    </w:p>
    <w:p w14:paraId="47481FC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31" w:name="6.4.3.6_Force_majeure"/>
      <w:bookmarkEnd w:id="531"/>
      <w:r w:rsidRPr="00B03B51">
        <w:rPr>
          <w:rFonts w:ascii="Times New Roman" w:hAnsi="Times New Roman" w:cs="Times New Roman"/>
          <w:sz w:val="24"/>
        </w:rPr>
        <w:t>6.4.3.6. NEPĀRVARAMA VARA</w:t>
      </w:r>
    </w:p>
    <w:p w14:paraId="34F75B4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0765C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78. Līguma izpildes gaitā pēc tam, kad partneris ir sācis uzņemties kapitāla izdevumus, vai aktīva ekspluatācijas posmā, ir svarīgi skaidri nošķirt dažādu veidu notikumus vai tendences, kas ietekmē PPP vienošanos. Daži no tiem neapšaubāmi ir partnera atbildība, jo tie ir atkarīgi no tā, kāda ir partnera darbības rezultātu “kvalitāte” saistībā ar aktīvu vai saistībā ar pakalpojumu, kas tiek sniegts, izmantojot šo aktīvu. Tas ir jāņem vērā, veicot vienoto maksājumu vērtības samazināšanas korekciju, jo īpaši, ja tie ietver “pieejamības maksājumus” (skat. iepriekš), un arī ja šie maksājumi ir saistīti ar lietderīgu izmantošanu, kas varētu tikt ietekmēta. No otras puses, var būt valdības lēmumi, kas tieši ietekmē līguma izpildi un par kuriem partneris ir tiesīgs saņemt kompensāciju, ja šie lēmumi rada atkāpi no sākotnējām līguma klauzulām un valdības saistībām. Šeit tomēr neiekļauj vispārējas politikas lēmumus (dažādās jomās, piemēram, ekonomikā, sociālos, vides, sabiedriskās kārtības jautājumos utt.), kas konkrēti neattiecas uz katru atsevišķo PPP līgumu.</w:t>
      </w:r>
    </w:p>
    <w:p w14:paraId="27BB4E4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B757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79. Tomēr ir vēl arī trešā notikumu kategorija, kur nav skaidras atbildības no vienas vai otras puses. Šos ārkārtējos “ārējos” notikumus līgumos parasti sauc par “nepārvaramas varas” apstākļiem. Tie var būtiski ietekmēt pakalpojumu pieejamību un/vai pieprasījuma līmeni. Valdība varētu uzņemties šādus riskus, un šādā gadījumā aktīvs nav obligāti jāklasificē tās bilancē. Līgumos tos var dēvēt arī par “atvieglojuma notikumiem” vai izmantot citu terminoloģiju, kas atbrīvo partneri no finansiālām sekām. Tomēr tie ir jāizvērtē, ņemot vērā stingrus nosacījumus un izsmeļošu un precīzu uzskaitījumu.</w:t>
      </w:r>
      <w:r w:rsidRPr="00B03B51">
        <w:rPr>
          <w:rStyle w:val="FootnoteReference"/>
          <w:rFonts w:ascii="Times New Roman" w:hAnsi="Times New Roman" w:cs="Times New Roman"/>
          <w:noProof/>
          <w:sz w:val="24"/>
        </w:rPr>
        <w:footnoteReference w:id="240"/>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Proti, šādā notikumā ir jābūt neapstrīdamai pārliecībai par partnera atbildības neesamību, ar to saprotot, ka partneris nekādā </w:t>
      </w:r>
      <w:r w:rsidRPr="00B03B51">
        <w:rPr>
          <w:rFonts w:ascii="Times New Roman" w:hAnsi="Times New Roman" w:cs="Times New Roman"/>
          <w:sz w:val="24"/>
        </w:rPr>
        <w:lastRenderedPageBreak/>
        <w:t>pamatotā veidā nevarēja paredzēt šādu apstākļu iestāšanos vai to sekas un nevarēja pamatoti novērst apstākļu iestāšanos.</w:t>
      </w:r>
      <w:r w:rsidRPr="00B03B51">
        <w:rPr>
          <w:rStyle w:val="FootnoteReference"/>
          <w:rFonts w:ascii="Times New Roman" w:hAnsi="Times New Roman" w:cs="Times New Roman"/>
          <w:noProof/>
          <w:sz w:val="24"/>
        </w:rPr>
        <w:footnoteReference w:id="241"/>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Turklāt valdība nevar pārņemt jebkādus “makroekonomiskos” riskus, ko uzņemas visi ekonomikas subjekti savā darbībā (piemēram, uzņēmējdarbības cikla ietekme uz izmaksām un pieprasījumu, nelabvēlīga ietekme, papildu sekas). Parasti partnerim ir jāveic pasākumi, lai pasargātu sevi šādu notikumu gadījumā no negatīvās ietekmes, jo īpaši, iegādājoties apdrošināšanas polises, ja tās ir pieejamas tirgū par saprātīgu cenu (lai arī pasargāšana parasti būtu fiksētas summas vai maksimālā prasījuma summas robežās, kas varētu nebūt proporcionāla zaudējumu iespējamajām reālajām izmaksām). Savukārt, ja iestājas apstākļi, kurus parasti nebūtu iespējams nodrošināt (piemēram, sacelšanās, karš, dabas katastrofas utt.), valdība varētu pilnībā vai daļēji pārņemt partneru risku; ja tā nebūtu, aktīvi noteikti būtu </w:t>
      </w:r>
      <w:r w:rsidRPr="00B03B51">
        <w:rPr>
          <w:rFonts w:ascii="Times New Roman" w:hAnsi="Times New Roman" w:cs="Times New Roman"/>
          <w:i/>
          <w:iCs/>
          <w:sz w:val="24"/>
        </w:rPr>
        <w:t>ex ante</w:t>
      </w:r>
      <w:r w:rsidRPr="00B03B51">
        <w:rPr>
          <w:rFonts w:ascii="Times New Roman" w:hAnsi="Times New Roman" w:cs="Times New Roman"/>
          <w:sz w:val="24"/>
        </w:rPr>
        <w:t xml:space="preserve"> jāklasificē valdības bilancē. Taču, ja iestājas šādi apstākļi, ir jāveic jauna risku un atlīdzību sadalījuma analīze.</w:t>
      </w:r>
    </w:p>
    <w:p w14:paraId="2F995C6E" w14:textId="77777777" w:rsidR="00443399" w:rsidRPr="00B03B51" w:rsidRDefault="00443399" w:rsidP="00443399">
      <w:pPr>
        <w:jc w:val="both"/>
        <w:rPr>
          <w:rFonts w:ascii="Times New Roman" w:eastAsia="Arial" w:hAnsi="Times New Roman" w:cs="Times New Roman"/>
          <w:noProof/>
          <w:sz w:val="24"/>
          <w:szCs w:val="15"/>
        </w:rPr>
      </w:pPr>
    </w:p>
    <w:p w14:paraId="297BA91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32" w:name="6.4.3.7_Allocation_of_the_assets_at_the_"/>
      <w:bookmarkEnd w:id="532"/>
      <w:r w:rsidRPr="00B03B51">
        <w:rPr>
          <w:rFonts w:ascii="Times New Roman" w:hAnsi="Times New Roman" w:cs="Times New Roman"/>
          <w:sz w:val="24"/>
        </w:rPr>
        <w:t>6.4.3.7. AKTĪVU SADALE LĪGUMA TERMIŅA BEIGĀS</w:t>
      </w:r>
    </w:p>
    <w:p w14:paraId="081211D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428FE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80. Analīzi par līguma beigās izklāstītajiem noteikumiem attiecībā uz PPP aktīvu realizāciju varētu izmantot kā papildu kritēriju, lai noteiktu vispārējā riska nodošanu, jo īpaši tad, ja iepriekš minētajā riska analīzē nav sniegti nepārprotami secinājumi (piemēram, ja tiktu noteikts, ka riska sadalījums ir līdzsvarots vai pamatots ar nepilnīgām hipotēzēm). Nosacījumi, saskaņā ar kuriem varētu notikt aktīvu galīgā sadale, var sniegt nozīmīgu papildu ieskatu par risku sadalījumu starp līgumslēdzējiem partneriem, jo šādas klauzulas var palīdzēt novērtēt to, vai partneris joprojām uzņemas ievērojamu risku. Ārkārtīgi ilga termiņa līgumos aktīva ekonomiskā vērtība līguma darbības termiņa beigās var būt visnotaļ neskaidra (jo īpaši neprognozējamās novecošanas dēļ), savukārt maksājumi, ko valdība veiktu šajā posmā, veidotu nelielu daļu no to maksājumu kopējās summas, ko valdība veic visā līguma darbības laikā. Līdz ar to šo jautājumu pašu par sevi nevar uzskatīt par vienīgo un izšķirošo kritēriju attiecībā uz aktīvu klasifikāciju.</w:t>
      </w:r>
    </w:p>
    <w:p w14:paraId="6C97C9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62162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81. Ja projekta beigās aktīvi paliek partnera īpašumā neatkarīgi no to ekonomiskās vērtības konkrētajā brīdī (lai arī bieži to turpmākais ekonomiskais cikls joprojām ir diezgan būtisks, jo īpaši attiecībā uz infrastruktūru, kas laika gaitā tikai nedaudz nolietojas), tad to var izmantot kā stingru papildu pamatojumu tam, lai minētos aktīvus iekļautu partnera bilancē.</w:t>
      </w:r>
    </w:p>
    <w:p w14:paraId="19C4ACB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23B22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82. Dažos līgumos tiek noteikts, ka valdībai ir iespēja nopirkt aktīvu vienā konkrētā brīdī vai vairākos brīžos. Ja šāds pirkums jāveic par aktīva tirgus cenu, kas atbilstoši novērtēta pirkuma brīdī, partnerim būtu jāuzņemas riski, kas saistīti ar nepārtraukto pieprasījumu pēc aktīva un tā fizisko stāvokli līguma darbības laikā. Tas būtu arī papildu pamatojums aktīvu ierakstīšanai partnera bilancē līguma darbības periodā.</w:t>
      </w:r>
    </w:p>
    <w:p w14:paraId="5976D77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F35B54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83. Dažos līgumos valdībai ir obligāts pienākums iegādāties aktīvus līguma darbības termiņa beigās par iepriekš noteiktu cenu, kas parasti ir noteikta līguma parakstīšanas laikā.</w:t>
      </w:r>
    </w:p>
    <w:p w14:paraId="0A77F0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48E5C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84. Turpmāk minētie gadījumi varētu ievērojami pastiprināt citu līguma iezīmju analīzi un liecināt par to, ka aktīvi jāieraksta kā valdības aktīvi.</w:t>
      </w:r>
    </w:p>
    <w:p w14:paraId="25A4AA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2B50AC"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Iepriekš noteiktā cena atbilst sākotnējo kapitāla izmaksu atlikumam, neņemot vērā paredzamo aktīva tirgus vērtību līguma termiņa beigās.</w:t>
      </w:r>
    </w:p>
    <w:p w14:paraId="4DC2A2FC"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Iepriekš noteiktā cena ir acīmredzami augstāka par paredzamo aktīvu tirgus vērtību līguma termiņa beigās.</w:t>
      </w:r>
    </w:p>
    <w:p w14:paraId="3EF388D8"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Iepriekš noteiktā cena ir zemāka par nodošanas brīdī paredzamo tirgus vērtību vai aktīvs tiek atgriezts valdībai bez maksas, taču līguma darbības laikā valdība jau ir samaksājusi par aktīvu iegādi, veicot regulārus maksājumus, kuru kopsumma gandrīz atbilst aktīvu kopējai tirgus vērtībai.</w:t>
      </w:r>
    </w:p>
    <w:p w14:paraId="1FD5A482" w14:textId="77777777" w:rsidR="00443399" w:rsidRPr="00B03B51" w:rsidRDefault="00443399" w:rsidP="00BD35E2">
      <w:pPr>
        <w:pStyle w:val="BodyText"/>
        <w:numPr>
          <w:ilvl w:val="1"/>
          <w:numId w:val="4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līgumā nav noteikts, ka nepieciešama neatkarīgas struktūras veikta rūpīga pārbaude, kurā precīzi jānoskaidro aktīvu stāvoklis (“pārskatīšanas klauzula”) dažus gadus pirms galīgās izbeigšanas, lai valdība būtu tiesīga pieprasīt papildu izdevumus un/vai vajadzības gadījumā samazināt iepriekš noteikto cenu.</w:t>
      </w:r>
    </w:p>
    <w:p w14:paraId="6214C1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141E7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85. Dažos gadījumos līguma termiņa beigās valdība likvidē partneri vai pārņem to. Šādos gadījumos līguma termiņa beigās aktīvi būtu ierakstāmi valdības bilancē kā citas apjoma pārmaiņas (Sektoru klasifikācijas un institucionālo vienību struktūras pārmaiņas (K.61)).</w:t>
      </w:r>
    </w:p>
    <w:p w14:paraId="6865A07F" w14:textId="77777777" w:rsidR="00443399" w:rsidRPr="00B03B51" w:rsidRDefault="00443399" w:rsidP="00443399">
      <w:pPr>
        <w:jc w:val="both"/>
        <w:rPr>
          <w:rFonts w:ascii="Times New Roman" w:eastAsia="Arial" w:hAnsi="Times New Roman" w:cs="Times New Roman"/>
          <w:noProof/>
          <w:sz w:val="24"/>
          <w:szCs w:val="15"/>
        </w:rPr>
      </w:pPr>
    </w:p>
    <w:p w14:paraId="1DCB14D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33" w:name="6.4.3.8_Classification_of_some_transacti"/>
      <w:bookmarkEnd w:id="533"/>
      <w:r w:rsidRPr="00B03B51">
        <w:rPr>
          <w:rFonts w:ascii="Times New Roman" w:hAnsi="Times New Roman" w:cs="Times New Roman"/>
          <w:sz w:val="24"/>
        </w:rPr>
        <w:t>6.4.3.8. DAŽU SABIEDRĪBAS UN VALDĪBAS DARĪJUMU KLASIFIKĀCIJA</w:t>
      </w:r>
    </w:p>
    <w:p w14:paraId="12EC04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384E8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86. Ja valdība veic regulārus maksājumus partnerim, šo darījumu traktējums ir atkarīgs no tā, vai aktīvs ir ierakstīts valdības vai partnera bilancē.</w:t>
      </w:r>
    </w:p>
    <w:p w14:paraId="1CDC88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37082C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87. Ja aktīvs ir iekļauts partnera bilancē, sabiedrība valdībai sniedz pakalpojumu, kas veido valdības starppatēriņa izdevumus, kuru vērtība atbilst maksājumiem, ko saņem sabiedrība.</w:t>
      </w:r>
    </w:p>
    <w:p w14:paraId="1E563D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9080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88. Ja aktīvs ir iekļauts valdības bilancē, pakalpojums iedzīvotājiem tiek sniegts, izmantojot valdības aktīvu. Valdības veiktu aktīva iegādi ieraksta kā “standarta” finanšu nomas līgumu. Valdības maksājumi partnerim visā līguma darbības laikā ir jāsadala starp pamatsummas atmaksu (F.4), procentu maksājumiem (D.41) un iespējamo pakalpojumu pirkumu saistībā ar uzdevumiem, kurus veic sabiedrība un apmaksā valdība (P.2).</w:t>
      </w:r>
    </w:p>
    <w:p w14:paraId="5BA1B589" w14:textId="77777777" w:rsidR="00443399" w:rsidRPr="00B03B51" w:rsidRDefault="00443399" w:rsidP="00443399">
      <w:pPr>
        <w:jc w:val="both"/>
        <w:rPr>
          <w:rFonts w:ascii="Times New Roman" w:eastAsia="Arial" w:hAnsi="Times New Roman" w:cs="Times New Roman"/>
          <w:noProof/>
          <w:sz w:val="24"/>
          <w:szCs w:val="18"/>
        </w:rPr>
      </w:pPr>
    </w:p>
    <w:p w14:paraId="65BE27B4"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34" w:name="6.4.4_Rationale_of_the_treatment"/>
      <w:bookmarkStart w:id="535" w:name="_Toc67565187"/>
      <w:bookmarkEnd w:id="534"/>
      <w:r w:rsidRPr="00B03B51">
        <w:rPr>
          <w:rFonts w:ascii="Times New Roman" w:hAnsi="Times New Roman" w:cs="Times New Roman"/>
          <w:sz w:val="24"/>
        </w:rPr>
        <w:t>6.4.4. Traktējuma pamatojums</w:t>
      </w:r>
      <w:bookmarkEnd w:id="535"/>
    </w:p>
    <w:p w14:paraId="4B06038D" w14:textId="77777777" w:rsidR="00443399" w:rsidRPr="00DC0D22" w:rsidRDefault="00443399" w:rsidP="00DC0D22">
      <w:pPr>
        <w:rPr>
          <w:rFonts w:ascii="Times New Roman" w:hAnsi="Times New Roman" w:cs="Times New Roman"/>
          <w:noProof/>
          <w:sz w:val="24"/>
          <w:szCs w:val="24"/>
        </w:rPr>
      </w:pPr>
      <w:bookmarkStart w:id="536" w:name="6.4.4.1_Sector_classification_of_the_par"/>
      <w:bookmarkEnd w:id="536"/>
    </w:p>
    <w:p w14:paraId="40C305E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6.4.4.1. PARTNERA SEKTORA KLASIFIKĀCIJA</w:t>
      </w:r>
    </w:p>
    <w:p w14:paraId="14C716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B4892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89. Īpašajam PPP gadījumam starp valdību un valsts komercsabiedrību jāatbilst noteiktiem nosacījumiem.</w:t>
      </w:r>
    </w:p>
    <w:p w14:paraId="0CFE55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41233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90. Publiskai sabiedrībai jāpierāda, ka tai ir kompetence, kas parasti tiek pieprasīta PPP darbības jomā (tiešā veidā vai citas vienības izveides gadījumā tai vienībai(-ām), kuras/kuru kontrolē tā atrodas), un PPP līguma noslēgšanai ar valdību jābūt vienai no vairākām publiskās sabiedrības saimnieciskajām darbībām.</w:t>
      </w:r>
    </w:p>
    <w:p w14:paraId="196116F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CBB32C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91. Publiska subjekta gadījumā, kas nozīmē, ka līgumi ar valdību ir gandrīz vienīgais tā ieņēmumu avots, pārklasificēšana par valdības vienību nav obligāti nepieciešama, ja ir pierādījumi tam, ka sabiedrība saņem uz tirgu orientētus maksājumus (līdzīgus tiem, kas novēroti starp citām tirgus vienībām), kā arī ja valdība uzņemas vienīgi tādus riskus, kādus komercsabiedrība parasti neuzņemas (piemēram, īpaši lielu politisko vai drošības risku). Citā gadījumā tas liecinātu, ka publiskais subjekts valdībai nodrošina palīgdarbību.</w:t>
      </w:r>
    </w:p>
    <w:p w14:paraId="74982B2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BD35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92. Dažkārt līguma izpilde notiek īpašam nolūkam izveidotas sabiedrības (ĪNDS) tiesiskajā aizsegā. Parasti šādas juridiskās personas darbības laiks ir ierobežots ar PPP līguma termiņu, vai arī tā darbojas tikai būvniecības posmā. Iespējams, ka šāds uzņēmums ir izveidots tikai ar </w:t>
      </w:r>
      <w:r w:rsidRPr="00B03B51">
        <w:rPr>
          <w:rFonts w:ascii="Times New Roman" w:hAnsi="Times New Roman" w:cs="Times New Roman"/>
          <w:sz w:val="24"/>
        </w:rPr>
        <w:lastRenderedPageBreak/>
        <w:t>juridisku mērķi.</w:t>
      </w:r>
    </w:p>
    <w:p w14:paraId="51B041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1CF70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93. Ja šo vienību kontrolē viens vai vairāki partneri, kas ir strādājošas līgumslēdzējas puses, tad vienība jāklasificē kā valdības sektoram nepiederoša vienība. To var novērot novatorisku un sarežģītu aktīvu būvniecībā, kam vajadzīga cieša sadarbība starp uzņēmumiem, kas specializējušies dažādās tehniskajās jomās. ĪNDS varētu būt organizācija, kas izveidota kā konsorcijs šādu uzņēmumu pārstāvēšanai. Ievērojamu finansējuma prasību gadījumā ĪNDS var būt veidota arī kā banku apvienība. Līdz ar to ĪNDS parasti neīsteno līguma izpildi, kā arī nedarbojas ne kā projekta vadītājs, ne būvnieks vai PPP aktīva ekspluatants.</w:t>
      </w:r>
    </w:p>
    <w:p w14:paraId="3E1314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CF91D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94. Sarežģījumi rodas, ja šādu īpašu vienību izveido valdība vai publiska sabiedrība. Šādā gadījumā ir rūpīgi jāpārbauda, vai saskaņā ar nacionālajiem kontiem šādu vienību var uzskatīt par neatkarīgu institucionālu vienību un vai tā ir patiess tirgus ražotājs. Vienībai tostarp ir jāspēj iegādāties aktīvus un uzņemties saistības savā vārdā, kā arī slēgt līgumus ar nevalstiskām vienībām. Dažkārt vienība ir jāpārklasificē valdības sektorā (iespējams, kā vienība, kas veic palīgdarbības (EKS 2010 2.26. punkts) vai saskaņā ar noteikumiem par vispārējās valdības īpašam nolūkam dibinātām sabiedrībām (EKS 2010 2.27.–2.28. punkts) tā, ka valdības veiktie maksājumi būtu uzskatāmi nevis par “īstā partnera” ieņēmumiem, bet gan par pārvedumiem vispārējā valdības sektorā.</w:t>
      </w:r>
    </w:p>
    <w:p w14:paraId="7BF0381C" w14:textId="77777777" w:rsidR="00443399" w:rsidRPr="00B03B51" w:rsidRDefault="00443399" w:rsidP="00443399">
      <w:pPr>
        <w:jc w:val="both"/>
        <w:rPr>
          <w:rFonts w:ascii="Times New Roman" w:eastAsia="Arial" w:hAnsi="Times New Roman" w:cs="Times New Roman"/>
          <w:noProof/>
          <w:sz w:val="24"/>
          <w:szCs w:val="15"/>
        </w:rPr>
      </w:pPr>
    </w:p>
    <w:p w14:paraId="49A594D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37" w:name="6.4.4.2_Assessment_of_the_risk"/>
      <w:bookmarkEnd w:id="537"/>
      <w:r w:rsidRPr="00B03B51">
        <w:rPr>
          <w:rFonts w:ascii="Times New Roman" w:hAnsi="Times New Roman" w:cs="Times New Roman"/>
          <w:sz w:val="24"/>
        </w:rPr>
        <w:t>6.4.4.2. RISKA NOVĒRTĒJUMS</w:t>
      </w:r>
    </w:p>
    <w:p w14:paraId="704CC48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1BDAD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95. Galvenais jautājums par to, cik lielu līgumam piemītošā riska daļu partneri ir uzņēmušies, un kuri riski ir tieši saistīti ar attiecīgo aktīvu stāvokli vai ir atkarīgi no dažiem pārvaldības uzdevumiem, kuri ir jāveic partnerim saskaņā ar tā līgumsaistībām. Tas attiecas uz “ekonomisko īpašumtiesību” jēdzienu, kas nacionālajos kontos ir skaidri jānodala no kādām “juridiskajām īpašumtiesībām” un kas tiek izmantots lielākajā daļā grāmatvedības standartu (gan nacionālajos kontos, gan uzņēmējdarbības grāmatvedības vajadzībām). Risku dalīšanas analīzei ir jābūt pamatotai gan ar iespējamo ietekmi uz partnera peļņu (mazāki ienākumi un/vai augstākas izmaksas), gan ar riska rašanās iespējamību (pat ja tā ir noteikta tikai aptuveni) analoģiski “matemātisko gaidu” koncepcijai (vai “saistību neizpildes varbūtības” un “zaudējumu saistību neizpildes gadījumā” jēdzieniem finanšu riska modeļos). Līdz ar to nebūtu pieņemami, ka partneris uzņemtos tikai tos riskus, kuriem ir augsts kaitējuma potenciāls, taču ļoti zema rašanās varbūtība.</w:t>
      </w:r>
    </w:p>
    <w:p w14:paraId="63A635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A6EBE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96. Attiecībā uz </w:t>
      </w:r>
      <w:r w:rsidRPr="00B03B51">
        <w:rPr>
          <w:rFonts w:ascii="Times New Roman" w:hAnsi="Times New Roman" w:cs="Times New Roman"/>
          <w:b/>
          <w:bCs/>
          <w:sz w:val="24"/>
        </w:rPr>
        <w:t>būvniecības risku</w:t>
      </w:r>
      <w:r w:rsidRPr="00B03B51">
        <w:rPr>
          <w:rFonts w:ascii="Times New Roman" w:hAnsi="Times New Roman" w:cs="Times New Roman"/>
          <w:sz w:val="24"/>
        </w:rPr>
        <w:t xml:space="preserve"> jānorāda, ka valdības pienākumu sākt regulārus maksājumus partnerim, neņemot vērā nodoto aktīvu faktisko stāvokli, varētu uzskatīt par apliecinājumu tam, ka valdība uzņemas lielāko daļu būvniecības riska un </w:t>
      </w:r>
      <w:r w:rsidRPr="00B03B51">
        <w:rPr>
          <w:rFonts w:ascii="Times New Roman" w:hAnsi="Times New Roman" w:cs="Times New Roman"/>
          <w:i/>
          <w:iCs/>
          <w:sz w:val="24"/>
        </w:rPr>
        <w:t>de facto</w:t>
      </w:r>
      <w:r w:rsidRPr="00B03B51">
        <w:rPr>
          <w:rFonts w:ascii="Times New Roman" w:hAnsi="Times New Roman" w:cs="Times New Roman"/>
          <w:sz w:val="24"/>
        </w:rPr>
        <w:t xml:space="preserve"> kopš būvniecības sākuma darbojas kā aktīvu faktiskā īpašniece. Tas attiecas arī uz gadījumiem, kad valdība sistemātiski veic maksājumus, lai segtu papildu izmaksas neatkarīgi no to pamatojuma.</w:t>
      </w:r>
    </w:p>
    <w:p w14:paraId="0595D1F0" w14:textId="77777777" w:rsidR="00443399" w:rsidRPr="00B03B51" w:rsidRDefault="00443399" w:rsidP="00443399">
      <w:pPr>
        <w:jc w:val="both"/>
        <w:rPr>
          <w:rFonts w:ascii="Times New Roman" w:hAnsi="Times New Roman" w:cs="Times New Roman"/>
          <w:noProof/>
          <w:sz w:val="24"/>
        </w:rPr>
      </w:pPr>
    </w:p>
    <w:p w14:paraId="5FA384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97. Šā riska dažādo elementu apjomu var novērtēt, ja aprēķina izdevumus, kas būtu jāsedz katram no partneriem, ja rastos attiecīgais iztrūkums. Šāds risks var būt īpaši būtisks, ja aktīvi ir iesaistīti apjomīgā pētniecības un izstrādes vai tehniska jauninājuma projektā, turpretī attiecībā uz būvkonstrukcijām risks var būt mazāks. Būtiski ir tas, ka valdībai nav pienākuma maksāt, ja būvdarbu veikšanas posmā partneris izdara jebkādu kļūdu, neatkarīgi no tā, vai šo kļūdu ir pieļāvis tiešais piegādātājs vai tikai koordinators/uzraugs.</w:t>
      </w:r>
    </w:p>
    <w:p w14:paraId="1F24074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3813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98. Partnerim nebūtu jāuzņemas atbildība par neparedzamiem eksogēniem notikumiem, pret kuriem apdrošināšanas sabiedrības parasti neapdrošina vai kurus pamatoti nebija iespējams </w:t>
      </w:r>
      <w:r w:rsidRPr="00B03B51">
        <w:rPr>
          <w:rFonts w:ascii="Times New Roman" w:hAnsi="Times New Roman" w:cs="Times New Roman"/>
          <w:sz w:val="24"/>
        </w:rPr>
        <w:lastRenderedPageBreak/>
        <w:t>prognozēt pirms darbu sākšanas.</w:t>
      </w:r>
      <w:r w:rsidRPr="00B03B51">
        <w:rPr>
          <w:rStyle w:val="FootnoteReference"/>
          <w:rFonts w:ascii="Times New Roman" w:hAnsi="Times New Roman" w:cs="Times New Roman"/>
          <w:noProof/>
          <w:sz w:val="24"/>
        </w:rPr>
        <w:footnoteReference w:id="242"/>
      </w:r>
      <w:r w:rsidRPr="00B03B51">
        <w:rPr>
          <w:rFonts w:ascii="Times New Roman" w:hAnsi="Times New Roman" w:cs="Times New Roman"/>
          <w:sz w:val="24"/>
          <w:szCs w:val="12"/>
        </w:rPr>
        <w:t xml:space="preserve"> </w:t>
      </w:r>
      <w:r w:rsidRPr="00B03B51">
        <w:rPr>
          <w:rFonts w:ascii="Times New Roman" w:hAnsi="Times New Roman" w:cs="Times New Roman"/>
          <w:sz w:val="24"/>
        </w:rPr>
        <w:t>Šādu risku nedrīkst jaukt ar aktīvu “projektēšanas” atbilstību, jo šajā posmā partnera iniciatīvas iespējas var būt ļoti ierobežotas. Šādā gadījumā galvenais ir tas, ka parasti partneris nepiekristu uzņemties ar būvniecību saistītos riskus, ja valdības prasības būtu neparastas un ietekmētu aktīva komerciālo izdevīgumu. Turklāt partnerim nav jāuzņemas atbildība par kādu nepārprotamu valdības rīcību, piemēram, specifikāciju maiņu būvniecības laikā vai standarta prasību pārveidošanu. Īpaši jāapsver gadījums, kad partneris no valdības saņem esošu aktīvu, kas ir vajadzīgs projekta īstenošanai (vai nu kā elementu no visa kopuma, vai saistībā ar apjomīgu renovācijas darbu veikšanu). Būvniecības risks attiecas tikai uz jaunajiem kapitāla izdevumiem, par ko atbildību uzņemas partneris neatkarīgi no pārņemto aktīvu stāvokļa. Partnerim arī nav jāuzņemas atbildība par tēriņu pārsniegšanu un kavējumiem, kas varētu rasties juridisko risku vai asimilēto risku (piemēram, ekspropriācijas riska) dēļ, kurus nepārprotami izraisījuši neatbilstīgi noteikumi/tiesību akti, par kuriem ir lēmusi valdība.</w:t>
      </w:r>
    </w:p>
    <w:p w14:paraId="36426E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92D6C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99. Attiecībā uz </w:t>
      </w:r>
      <w:r w:rsidRPr="00B03B51">
        <w:rPr>
          <w:rFonts w:ascii="Times New Roman" w:hAnsi="Times New Roman" w:cs="Times New Roman"/>
          <w:b/>
          <w:bCs/>
          <w:sz w:val="24"/>
        </w:rPr>
        <w:t>pieejamības risku</w:t>
      </w:r>
      <w:r w:rsidRPr="00B03B51">
        <w:rPr>
          <w:rFonts w:ascii="Times New Roman" w:hAnsi="Times New Roman" w:cs="Times New Roman"/>
          <w:sz w:val="24"/>
        </w:rPr>
        <w:t xml:space="preserve"> tiek pieņemts, ka valdība šādu risku neuzņemas, ja tai ir tiesības būtiski samazināt savus regulāros maksājumus (tāpat kā šādas tiesības ir jebkuram “parastam klientam”) gadījumos, kad nav izpildīti noteikti darbības kritēriji. Saskaņā ar šādiem nosacījumiem valdības maksājumiem jābūt atkarīgiem no faktiskās pieejamības, ko partneris nodrošina konkrētā laika posmā. Tas galvenokārt attiektos gadījumos, kad partneris neatbilst noteiktajiem kvalitātes standartiem, jo neuzrāda pietiekami augstus darbības rezultātus, un par to liecina tas, ka pakalpojums nav pieejams, ir zems faktiskais pieprasījums no galalietotāju puses vai arī ir zema lietotāju apmierinātība. To atspoguļo līgumā minētie darbības rādītāji, piemēram, attiecībā uz pieejamo gultu skaitu slimnīcā, mācību klašu un kameru skaitu cietumā, satiksmei pieejamo joslu skaitu uz automaģistrāles u. tml. Parasti tiek uzskatīts, ka partneris spēj novērst šo pieejamības risku. Dažkārt problēmas partnerim var radīt kāds “ārējs iemesls”, piemēram, valdības politikas būtiskas pārmaiņas, papildu specifikācijas, ko pieprasa valdība, vai nepārvaramas varas apstākļi. Taču šādi izņēmumi ir pieļaujami vienīgi saskaņā ar ļoti stingriem nosacījumiem, un tie ir skaidri jāparedz līgumā, tajos ietverot lielu faktoru grupu, kuri ietekmē partnera izmaksas un/vai tā spēju izpildīt līgumsaistības.</w:t>
      </w:r>
    </w:p>
    <w:p w14:paraId="7545D326"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12C2509E"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100. Ja partneris nepilda savas pakalpojumu saistības, tad līgumsodi ir jāpiemēro automātiski, un tiem ir būtiski jāietekmē partnera ieņēmumi/peļņa. Tiem ir būtiski jāietekmē partnera darbības spēju robeža un dažos gadījumos pat tā jāpārsniedz, lai partneris tiktu smagi finansiāli sodīts par līguma neatbilstošu izpildi. Līgumsods var būt arī automātiska līguma pārskatīšana un pat līguma laušana.</w:t>
      </w:r>
    </w:p>
    <w:p w14:paraId="439B81F5"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3FD57590"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101. Ir būtiski pārliecināties, vai līgumsodi par neatbilstošu izpildi nav tikai “kosmētiski” vai simboliski. Par to, ka ir noteikti neatbilstīgi līgumsodi, liecinātu tas, ka valdības maksājumu samazinājums ir ievērojami neproporcionāls nesniegto pakalpojumu apjomam, un šāda situācija būtu pretrunā pamatidejai, ka būtiska risku daļa ir jānodod partnerim. Turklāt, ja paredzētajam līgumsodam, kas ir piemērojams saistību nepildīšanas gadījumā, ir noteikti maksimālie griesti vai procentuālais ierobežojums, arī tas varētu liecināt, ka partnerim nav nodota pietiekami būtiska riska daļa. Gadījumā, ja aktīvs nav pieejams noteiktu laika posmu, valdības maksājumiem būtu jāsamazinās līdz nullei.</w:t>
      </w:r>
    </w:p>
    <w:p w14:paraId="7B0BDBD1"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10FCDE36"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102. Attiecībā uz </w:t>
      </w:r>
      <w:r w:rsidRPr="00B03B51">
        <w:rPr>
          <w:rFonts w:ascii="Times New Roman" w:hAnsi="Times New Roman" w:cs="Times New Roman"/>
          <w:b/>
          <w:bCs/>
          <w:sz w:val="24"/>
        </w:rPr>
        <w:t>pieprasījuma risku</w:t>
      </w:r>
      <w:r w:rsidRPr="00B03B51">
        <w:rPr>
          <w:rFonts w:ascii="Times New Roman" w:hAnsi="Times New Roman" w:cs="Times New Roman"/>
          <w:sz w:val="24"/>
        </w:rPr>
        <w:t xml:space="preserve"> jānorāda, ka valdību uzskata par līgumslēdzēju pusi, kura uzņēmusies risku, ja tai līgumā būtu noteikts pienākums nodrošināt maksājumus noteiktā līmenī partnerim neatkarīgi no galalietotāju faktiskā pieprasījuma, tādējādi nodrošinot, ka pieprasījuma līmeņa mainībai ir nebūtiska ietekme uz partnera ienesīgumu. Tomēr pieprasījuma </w:t>
      </w:r>
      <w:r w:rsidRPr="00B03B51">
        <w:rPr>
          <w:rFonts w:ascii="Times New Roman" w:hAnsi="Times New Roman" w:cs="Times New Roman"/>
          <w:sz w:val="24"/>
        </w:rPr>
        <w:lastRenderedPageBreak/>
        <w:t>mainīgums nedrīkstētu būt atkarīgs no partnera darbības rezultātiem, kas jau ir ietverts iepriekš minētajos noteikumos (citiem vārdiem sakot, būtu jāizpilda līgumā norādītie pieejamības standarti). Tādēļ pieprasījuma riskam būtu jāattiecas uz galalietotāju rīcības tiešām pārmaiņām tādu faktoru dēļ kā, piemēram, uzņēmējdarbības cikls, jaunas tirgus tendences, tieša konkurence vai tehnoloģiska novecošana. Citiem vārdiem sakot, būtu uzskatāms, ka šādu ekonomisku risku uzņemšanās ir normāla partnera darbības iezīme.</w:t>
      </w:r>
    </w:p>
    <w:p w14:paraId="4FE565B4"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2E7B8B0D"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103. Lai aktīvu ierakstītu partnera bilancē gadījumā, kad neparedzēti samazinās partnera ieņēmumi, partnerim pašam ir jāspēj atrisināt šādu problēmu, veicot dažādas tā atbildībā ietilpstošas darbības, piemēram, izvēršot reklāmu, veicot diversificēšanu vai pārplānošanu u. tml. Šajā ziņā partneris īstenotu savu darbību atbilstīgi komercpraksei. Tādējādi, ja līguma noteikumi paredz, ka partneris drīkst izmantot aktīvus arī tādiem mērķiem, kas nav saskaņoti ar valdību, tad tas bieži liecinātu par to, ka partneris faktiski ir uzņēmies šeit noteikto pieprasījuma risku.</w:t>
      </w:r>
    </w:p>
    <w:p w14:paraId="54923156"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077B9241"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104. Ja pieprasījuma pārmaiņas notiek acīmredzamas valdības rīcības dēļ, piemēram, tādu valdības (un līdz ar to ne tikai līgumā tieši iesaistītās valdības vienības(-u)) lēmumu dēļ, kas būtu pielīdzināmi būtiskai politikas maiņai, vai arī valdība ir atļāvusi būvēt tieši konkurējošu infrastruktūru, tad regulāro maksājumu koriģēšana vai pat kompensācijas maksājuma veikšana partnerim nenozīmētu, ka aktīvi ir jāieraksta (vai jāpārklasificē) valdības bilancē, ja tiktu atzīts, ka partnera rentabilitātes samazināšanās ir tiešs valdības tīšas darbības rezultāts.</w:t>
      </w:r>
    </w:p>
    <w:p w14:paraId="2AA66B35"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4D6B8E72"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105. Kas attiecas uz citiem nosacījumiem, saskaņā ar kuriem valdība var uzņemties projekta risku, ir jāanalizē, vai pastāv valdības finansējums un galvojums privātā sektora finansējumā. Šādu “finansējuma risku” varētu uzskatīt par “būvniecības riska” neatņemamu daļu, jo piemērota finansējuma trūkums varētu nozīmēt, ka nav iespējams uzbūvēt aktīvu vai arī to nevar uzbūvēt saskaņā ar pieņemtajiem standartiem. Turklāt, ņemot vērā, ka finansēšanas risks varētu būt atkarīgs no partnera izpildījuma, kā rezultātā dažkārt varētu samazināties ieņēmumi no valdības, šādas garantijas beigu beigās samazinātu partnera riskus.</w:t>
      </w:r>
    </w:p>
    <w:p w14:paraId="32447C1D"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p>
    <w:p w14:paraId="085A3011" w14:textId="77777777" w:rsidR="00443399" w:rsidRPr="00B03B51" w:rsidRDefault="00443399" w:rsidP="00443399">
      <w:pPr>
        <w:pStyle w:val="BodyText"/>
        <w:tabs>
          <w:tab w:val="left" w:pos="987"/>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106. Gadījumos, kad valdība finansētu daļu no PPP un arī piešķirtu garantijas attiecībā uz visu partnera pašu kapitālu un/vai parādiem vai to daļu, šādus pasākumus riska analīzes izpratnē uzskata par kumulatīviem pasākumiem. Šāda analīze ir jāveic attiecībā uz projekta kapitāla izdevumiem, lai noskaidrotu, vai valdība, izmantojot šos mehānismus, sedz lielāko daļu kapitāla izdevumu.</w:t>
      </w:r>
    </w:p>
    <w:p w14:paraId="06F2B340" w14:textId="77777777" w:rsidR="00443399" w:rsidRPr="00B03B51" w:rsidRDefault="00443399" w:rsidP="00443399">
      <w:pPr>
        <w:jc w:val="both"/>
        <w:rPr>
          <w:rFonts w:ascii="Times New Roman" w:eastAsia="Arial" w:hAnsi="Times New Roman" w:cs="Times New Roman"/>
          <w:noProof/>
          <w:sz w:val="24"/>
          <w:szCs w:val="18"/>
        </w:rPr>
      </w:pPr>
    </w:p>
    <w:p w14:paraId="27D36522" w14:textId="77777777" w:rsidR="00443399" w:rsidRPr="00B03B51" w:rsidRDefault="00443399" w:rsidP="00963385">
      <w:pPr>
        <w:pStyle w:val="Heading3"/>
        <w:tabs>
          <w:tab w:val="left" w:pos="1267"/>
        </w:tabs>
        <w:ind w:left="0" w:firstLine="0"/>
        <w:jc w:val="both"/>
        <w:rPr>
          <w:rFonts w:ascii="Times New Roman" w:hAnsi="Times New Roman" w:cs="Times New Roman"/>
          <w:noProof/>
          <w:sz w:val="24"/>
        </w:rPr>
      </w:pPr>
      <w:bookmarkStart w:id="538" w:name="6.4.5_Accounting_examples"/>
      <w:bookmarkStart w:id="539" w:name="_Toc67565188"/>
      <w:bookmarkEnd w:id="538"/>
      <w:r w:rsidRPr="00B03B51">
        <w:rPr>
          <w:rFonts w:ascii="Times New Roman" w:hAnsi="Times New Roman" w:cs="Times New Roman"/>
          <w:sz w:val="24"/>
        </w:rPr>
        <w:t>6.4.5. Uzskaites piemēri</w:t>
      </w:r>
      <w:bookmarkEnd w:id="539"/>
    </w:p>
    <w:p w14:paraId="73DB9CBE" w14:textId="77777777" w:rsidR="00443399" w:rsidRPr="00B03B51" w:rsidRDefault="00443399" w:rsidP="00963385">
      <w:pPr>
        <w:jc w:val="both"/>
        <w:rPr>
          <w:rFonts w:ascii="Times New Roman" w:eastAsia="Arial" w:hAnsi="Times New Roman" w:cs="Times New Roman"/>
          <w:b/>
          <w:bCs/>
          <w:noProof/>
          <w:sz w:val="24"/>
          <w:szCs w:val="19"/>
        </w:rPr>
      </w:pPr>
    </w:p>
    <w:p w14:paraId="4B192B98" w14:textId="77777777" w:rsidR="00443399" w:rsidRPr="00B03B51" w:rsidRDefault="00443399" w:rsidP="00963385">
      <w:pPr>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t>PPP aktīvu ieraksta partnera bilancē</w:t>
      </w:r>
    </w:p>
    <w:p w14:paraId="1FAA48C0" w14:textId="77777777" w:rsidR="00443399" w:rsidRPr="00B03B51" w:rsidRDefault="00443399" w:rsidP="00963385">
      <w:pPr>
        <w:jc w:val="both"/>
        <w:rPr>
          <w:rFonts w:ascii="Times New Roman" w:eastAsia="Arial" w:hAnsi="Times New Roman" w:cs="Times New Roman"/>
          <w:b/>
          <w:bCs/>
          <w:noProof/>
          <w:sz w:val="24"/>
        </w:rPr>
      </w:pPr>
    </w:p>
    <w:p w14:paraId="62B5C21E" w14:textId="77777777" w:rsidR="00443399" w:rsidRPr="00B03B51" w:rsidRDefault="00443399" w:rsidP="00BD35E2">
      <w:pPr>
        <w:pStyle w:val="BodyText"/>
        <w:numPr>
          <w:ilvl w:val="0"/>
          <w:numId w:val="4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Partneris uzbūvē aktīvu 1. gadā 1000 naudas vienību vērtībā.</w:t>
      </w:r>
    </w:p>
    <w:p w14:paraId="71E4E6F7" w14:textId="77777777" w:rsidR="00443399" w:rsidRPr="00B03B51" w:rsidRDefault="00443399" w:rsidP="00BD35E2">
      <w:pPr>
        <w:pStyle w:val="BodyText"/>
        <w:numPr>
          <w:ilvl w:val="0"/>
          <w:numId w:val="4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 ekspluatācijas laikā veic regulārus maksājumus sabiedrībai atbilstoši pieejamībai (pirmajā gadā maksājums ir 100 naudas vienības).</w:t>
      </w:r>
    </w:p>
    <w:p w14:paraId="757D8B69" w14:textId="77777777" w:rsidR="00443399" w:rsidRPr="00B03B51" w:rsidRDefault="00443399" w:rsidP="00BD35E2">
      <w:pPr>
        <w:pStyle w:val="BodyText"/>
        <w:numPr>
          <w:ilvl w:val="0"/>
          <w:numId w:val="4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Ekspluatācijas beigās infrastruktūru nopērk valdība (par 200 naudas vienībām).</w:t>
      </w:r>
    </w:p>
    <w:p w14:paraId="6C5A3ABF" w14:textId="77777777" w:rsidR="00443399" w:rsidRPr="00B03B51" w:rsidRDefault="00443399" w:rsidP="00443399">
      <w:pPr>
        <w:jc w:val="both"/>
        <w:rPr>
          <w:rFonts w:ascii="Times New Roman" w:eastAsia="Arial" w:hAnsi="Times New Roman" w:cs="Times New Roman"/>
          <w:noProof/>
          <w:sz w:val="24"/>
          <w:szCs w:val="23"/>
        </w:rPr>
      </w:pPr>
    </w:p>
    <w:p w14:paraId="5C8C981D" w14:textId="77777777" w:rsidR="00443399" w:rsidRPr="00B03B51" w:rsidRDefault="00443399" w:rsidP="00963385">
      <w:pPr>
        <w:keepNext/>
        <w:jc w:val="both"/>
        <w:rPr>
          <w:rFonts w:ascii="Times New Roman" w:hAnsi="Times New Roman" w:cs="Times New Roman"/>
          <w:b/>
          <w:noProof/>
          <w:sz w:val="24"/>
        </w:rPr>
      </w:pPr>
      <w:r w:rsidRPr="00B03B51">
        <w:rPr>
          <w:rFonts w:ascii="Times New Roman" w:hAnsi="Times New Roman" w:cs="Times New Roman"/>
          <w:b/>
          <w:sz w:val="24"/>
        </w:rPr>
        <w:lastRenderedPageBreak/>
        <w:t>1. gads</w:t>
      </w:r>
    </w:p>
    <w:p w14:paraId="18B46B93" w14:textId="77777777" w:rsidR="00443399" w:rsidRPr="00B03B51" w:rsidRDefault="00443399" w:rsidP="00963385">
      <w:pPr>
        <w:keepNext/>
        <w:jc w:val="both"/>
        <w:rPr>
          <w:rFonts w:ascii="Times New Roman" w:hAnsi="Times New Roman" w:cs="Times New Roman"/>
          <w:b/>
          <w:noProof/>
          <w:sz w:val="24"/>
        </w:rPr>
      </w:pPr>
    </w:p>
    <w:p w14:paraId="5C8FB47A" w14:textId="77777777" w:rsidR="00443399" w:rsidRPr="00B03B51" w:rsidRDefault="00443399" w:rsidP="00BD35E2">
      <w:pPr>
        <w:keepNext/>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145E7C24" wp14:editId="07CD2395">
            <wp:extent cx="5756275" cy="1983105"/>
            <wp:effectExtent l="0" t="0" r="0"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56275" cy="1983105"/>
                    </a:xfrm>
                    <a:prstGeom prst="rect">
                      <a:avLst/>
                    </a:prstGeom>
                  </pic:spPr>
                </pic:pic>
              </a:graphicData>
            </a:graphic>
          </wp:inline>
        </w:drawing>
      </w:r>
    </w:p>
    <w:p w14:paraId="100B9081" w14:textId="77777777" w:rsidR="00443399" w:rsidRPr="00B03B51" w:rsidRDefault="00443399" w:rsidP="00443399">
      <w:pPr>
        <w:jc w:val="both"/>
        <w:rPr>
          <w:rFonts w:ascii="Times New Roman" w:hAnsi="Times New Roman" w:cs="Times New Roman"/>
          <w:b/>
          <w:noProof/>
          <w:sz w:val="24"/>
        </w:rPr>
      </w:pPr>
    </w:p>
    <w:p w14:paraId="26B352B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Gads </w:t>
      </w:r>
      <w:r w:rsidRPr="00B03B51">
        <w:rPr>
          <w:rFonts w:ascii="Times New Roman" w:hAnsi="Times New Roman" w:cs="Times New Roman"/>
          <w:b/>
          <w:i/>
          <w:iCs/>
          <w:sz w:val="24"/>
        </w:rPr>
        <w:t>t</w:t>
      </w:r>
      <w:r w:rsidRPr="00B03B51">
        <w:rPr>
          <w:rFonts w:ascii="Times New Roman" w:hAnsi="Times New Roman" w:cs="Times New Roman"/>
          <w:b/>
          <w:sz w:val="24"/>
        </w:rPr>
        <w:t>. Ekspluatācijas beigās iegādājas valdība</w:t>
      </w:r>
    </w:p>
    <w:p w14:paraId="48793CFA" w14:textId="77777777" w:rsidR="00443399" w:rsidRPr="00B03B51" w:rsidRDefault="00443399" w:rsidP="00443399">
      <w:pPr>
        <w:jc w:val="both"/>
        <w:rPr>
          <w:rFonts w:ascii="Times New Roman" w:eastAsia="Arial" w:hAnsi="Times New Roman" w:cs="Times New Roman"/>
          <w:b/>
          <w:bCs/>
          <w:noProof/>
          <w:sz w:val="24"/>
          <w:szCs w:val="11"/>
        </w:rPr>
      </w:pPr>
    </w:p>
    <w:p w14:paraId="6E251E61" w14:textId="77777777" w:rsidR="00443399" w:rsidRPr="00B03B51" w:rsidRDefault="00443399" w:rsidP="00BD35E2">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63DACEF0" wp14:editId="5C41B5C9">
            <wp:extent cx="5756275" cy="2136775"/>
            <wp:effectExtent l="0" t="0" r="0"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56275" cy="2136775"/>
                    </a:xfrm>
                    <a:prstGeom prst="rect">
                      <a:avLst/>
                    </a:prstGeom>
                  </pic:spPr>
                </pic:pic>
              </a:graphicData>
            </a:graphic>
          </wp:inline>
        </w:drawing>
      </w:r>
    </w:p>
    <w:p w14:paraId="210B6E18" w14:textId="77777777" w:rsidR="00443399" w:rsidRPr="00B03B51" w:rsidRDefault="00443399" w:rsidP="00443399">
      <w:pPr>
        <w:tabs>
          <w:tab w:val="left" w:pos="7521"/>
        </w:tabs>
        <w:jc w:val="both"/>
        <w:rPr>
          <w:rFonts w:ascii="Times New Roman" w:eastAsia="Arial" w:hAnsi="Times New Roman" w:cs="Times New Roman"/>
          <w:b/>
          <w:bCs/>
          <w:noProof/>
          <w:sz w:val="24"/>
          <w:szCs w:val="20"/>
        </w:rPr>
      </w:pPr>
    </w:p>
    <w:p w14:paraId="4E8B5620" w14:textId="77777777" w:rsidR="00443399" w:rsidRPr="00B03B51" w:rsidRDefault="00443399" w:rsidP="00443399">
      <w:pPr>
        <w:jc w:val="both"/>
        <w:rPr>
          <w:rFonts w:ascii="Times New Roman" w:eastAsia="Arial" w:hAnsi="Times New Roman" w:cs="Times New Roman"/>
          <w:b/>
          <w:bCs/>
          <w:noProof/>
          <w:sz w:val="24"/>
          <w:szCs w:val="20"/>
        </w:rPr>
      </w:pPr>
      <w:r w:rsidRPr="00B03B51">
        <w:rPr>
          <w:rFonts w:ascii="Times New Roman" w:hAnsi="Times New Roman" w:cs="Times New Roman"/>
          <w:b/>
          <w:bCs/>
          <w:sz w:val="24"/>
          <w:szCs w:val="20"/>
        </w:rPr>
        <w:t>PPP aktīvu ieraksta valdības bilancē</w:t>
      </w:r>
    </w:p>
    <w:p w14:paraId="5273E76F" w14:textId="77777777" w:rsidR="00443399" w:rsidRPr="00B03B51" w:rsidRDefault="00443399" w:rsidP="00443399">
      <w:pPr>
        <w:jc w:val="both"/>
        <w:rPr>
          <w:rFonts w:ascii="Times New Roman" w:eastAsia="Arial" w:hAnsi="Times New Roman" w:cs="Times New Roman"/>
          <w:b/>
          <w:bCs/>
          <w:noProof/>
          <w:sz w:val="24"/>
          <w:szCs w:val="20"/>
        </w:rPr>
      </w:pPr>
    </w:p>
    <w:p w14:paraId="4382770C" w14:textId="77777777" w:rsidR="00443399" w:rsidRPr="00B03B51" w:rsidRDefault="00443399" w:rsidP="00903451">
      <w:pPr>
        <w:pStyle w:val="ListParagraph"/>
        <w:numPr>
          <w:ilvl w:val="0"/>
          <w:numId w:val="70"/>
        </w:numPr>
        <w:ind w:left="426" w:hanging="436"/>
        <w:jc w:val="both"/>
        <w:rPr>
          <w:rFonts w:ascii="Times New Roman" w:eastAsia="Arial" w:hAnsi="Times New Roman" w:cs="Times New Roman"/>
          <w:noProof/>
          <w:sz w:val="24"/>
          <w:szCs w:val="20"/>
        </w:rPr>
      </w:pPr>
      <w:r w:rsidRPr="00B03B51">
        <w:rPr>
          <w:rFonts w:ascii="Times New Roman" w:hAnsi="Times New Roman" w:cs="Times New Roman"/>
          <w:sz w:val="24"/>
          <w:szCs w:val="20"/>
        </w:rPr>
        <w:t>Partneris uzbūvē aktīvu 1. gadā 1000 naudas vienību vērtībā.</w:t>
      </w:r>
    </w:p>
    <w:p w14:paraId="7F1DEC82" w14:textId="77777777" w:rsidR="00443399" w:rsidRPr="00B03B51" w:rsidRDefault="00443399" w:rsidP="00903451">
      <w:pPr>
        <w:pStyle w:val="ListParagraph"/>
        <w:numPr>
          <w:ilvl w:val="0"/>
          <w:numId w:val="70"/>
        </w:numPr>
        <w:ind w:left="426" w:hanging="436"/>
        <w:jc w:val="both"/>
        <w:rPr>
          <w:rFonts w:ascii="Times New Roman" w:eastAsia="Arial" w:hAnsi="Times New Roman" w:cs="Times New Roman"/>
          <w:noProof/>
          <w:sz w:val="24"/>
          <w:szCs w:val="20"/>
        </w:rPr>
      </w:pPr>
      <w:r w:rsidRPr="00B03B51">
        <w:rPr>
          <w:rFonts w:ascii="Times New Roman" w:hAnsi="Times New Roman" w:cs="Times New Roman"/>
          <w:sz w:val="24"/>
          <w:szCs w:val="20"/>
        </w:rPr>
        <w:t>Ekspluatācijas laikā valdība veic regulārus maksājumus sabiedrībai (maksājums ir 100 naudas vienības: 50 naudas vienības – procenti D.41, 30 naudas vienības – maksa par pakalpojumu P.2, 20 naudas vienības – nosacītā aizdevuma amortizācija F.4).</w:t>
      </w:r>
    </w:p>
    <w:p w14:paraId="3A073FAC" w14:textId="77777777" w:rsidR="00443399" w:rsidRPr="00B03B51" w:rsidRDefault="00443399" w:rsidP="00903451">
      <w:pPr>
        <w:pStyle w:val="ListParagraph"/>
        <w:numPr>
          <w:ilvl w:val="0"/>
          <w:numId w:val="70"/>
        </w:numPr>
        <w:ind w:left="426" w:hanging="436"/>
        <w:jc w:val="both"/>
        <w:rPr>
          <w:rFonts w:ascii="Times New Roman" w:eastAsia="Arial" w:hAnsi="Times New Roman" w:cs="Times New Roman"/>
          <w:noProof/>
          <w:sz w:val="24"/>
          <w:szCs w:val="20"/>
        </w:rPr>
      </w:pPr>
      <w:r w:rsidRPr="00B03B51">
        <w:rPr>
          <w:rFonts w:ascii="Times New Roman" w:hAnsi="Times New Roman" w:cs="Times New Roman"/>
          <w:sz w:val="24"/>
          <w:szCs w:val="20"/>
        </w:rPr>
        <w:t>Gada beigās aktīva vērtība ir 950 naudas vienības.</w:t>
      </w:r>
    </w:p>
    <w:p w14:paraId="43227A7B" w14:textId="77777777" w:rsidR="00443399" w:rsidRPr="00B03B51" w:rsidRDefault="00443399" w:rsidP="00443399">
      <w:pPr>
        <w:jc w:val="both"/>
        <w:rPr>
          <w:rFonts w:ascii="Times New Roman" w:eastAsia="Arial" w:hAnsi="Times New Roman" w:cs="Times New Roman"/>
          <w:noProof/>
          <w:sz w:val="24"/>
          <w:szCs w:val="20"/>
        </w:rPr>
      </w:pPr>
    </w:p>
    <w:p w14:paraId="1CC1A816" w14:textId="77777777" w:rsidR="00443399" w:rsidRPr="00B03B51" w:rsidRDefault="00443399" w:rsidP="00443399">
      <w:pPr>
        <w:keepNext/>
        <w:jc w:val="both"/>
        <w:rPr>
          <w:rFonts w:ascii="Times New Roman" w:eastAsia="Arial" w:hAnsi="Times New Roman" w:cs="Times New Roman"/>
          <w:b/>
          <w:bCs/>
          <w:noProof/>
          <w:sz w:val="24"/>
          <w:szCs w:val="20"/>
        </w:rPr>
      </w:pPr>
      <w:r w:rsidRPr="00B03B51">
        <w:rPr>
          <w:rFonts w:ascii="Times New Roman" w:hAnsi="Times New Roman" w:cs="Times New Roman"/>
          <w:b/>
          <w:bCs/>
          <w:sz w:val="24"/>
          <w:szCs w:val="20"/>
        </w:rPr>
        <w:lastRenderedPageBreak/>
        <w:t>1. gads. Kapitāla izdevumi (ierakstīti kā finanšu noma)</w:t>
      </w:r>
    </w:p>
    <w:p w14:paraId="4C5A20F1" w14:textId="77777777" w:rsidR="00443399" w:rsidRPr="00B03B51" w:rsidRDefault="00443399" w:rsidP="00443399">
      <w:pPr>
        <w:keepNext/>
        <w:jc w:val="both"/>
        <w:rPr>
          <w:rFonts w:ascii="Times New Roman" w:eastAsia="Arial" w:hAnsi="Times New Roman" w:cs="Times New Roman"/>
          <w:noProof/>
          <w:sz w:val="24"/>
          <w:szCs w:val="20"/>
        </w:rPr>
      </w:pPr>
    </w:p>
    <w:p w14:paraId="38AEAC4C" w14:textId="77777777" w:rsidR="00443399" w:rsidRPr="00B03B51" w:rsidRDefault="00443399" w:rsidP="00903451">
      <w:pPr>
        <w:keepNext/>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5FE7CFBC" wp14:editId="5B1958D4">
            <wp:extent cx="5756275" cy="3352165"/>
            <wp:effectExtent l="0" t="0" r="0" b="635"/>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56275" cy="3352165"/>
                    </a:xfrm>
                    <a:prstGeom prst="rect">
                      <a:avLst/>
                    </a:prstGeom>
                  </pic:spPr>
                </pic:pic>
              </a:graphicData>
            </a:graphic>
          </wp:inline>
        </w:drawing>
      </w:r>
    </w:p>
    <w:p w14:paraId="2014A4EC" w14:textId="77777777" w:rsidR="00443399" w:rsidRPr="00B03B51" w:rsidRDefault="00443399" w:rsidP="00443399">
      <w:pPr>
        <w:jc w:val="both"/>
        <w:rPr>
          <w:rFonts w:ascii="Times New Roman" w:eastAsia="Arial" w:hAnsi="Times New Roman" w:cs="Times New Roman"/>
          <w:noProof/>
          <w:sz w:val="24"/>
          <w:szCs w:val="20"/>
        </w:rPr>
      </w:pPr>
    </w:p>
    <w:p w14:paraId="5307A5E2"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2. gads</w:t>
      </w:r>
    </w:p>
    <w:p w14:paraId="6773B91F" w14:textId="77777777" w:rsidR="00443399" w:rsidRPr="00B03B51" w:rsidRDefault="00443399" w:rsidP="00443399">
      <w:pPr>
        <w:jc w:val="both"/>
        <w:rPr>
          <w:rFonts w:ascii="Times New Roman" w:eastAsia="Arial" w:hAnsi="Times New Roman" w:cs="Times New Roman"/>
          <w:b/>
          <w:bCs/>
          <w:noProof/>
          <w:sz w:val="24"/>
          <w:szCs w:val="20"/>
        </w:rPr>
      </w:pPr>
    </w:p>
    <w:p w14:paraId="5D91DB49" w14:textId="77777777" w:rsidR="00443399" w:rsidRPr="00B03B51" w:rsidRDefault="00443399" w:rsidP="00443399">
      <w:pPr>
        <w:jc w:val="center"/>
        <w:rPr>
          <w:rFonts w:ascii="Times New Roman" w:eastAsia="Arial" w:hAnsi="Times New Roman" w:cs="Times New Roman"/>
          <w:noProof/>
          <w:sz w:val="24"/>
          <w:szCs w:val="18"/>
        </w:rPr>
      </w:pPr>
      <w:r w:rsidRPr="00B03B51">
        <w:rPr>
          <w:rFonts w:ascii="Times New Roman" w:hAnsi="Times New Roman" w:cs="Times New Roman"/>
          <w:noProof/>
        </w:rPr>
        <w:drawing>
          <wp:inline distT="0" distB="0" distL="0" distR="0" wp14:anchorId="7671AEAE" wp14:editId="0247381C">
            <wp:extent cx="5756275" cy="3099435"/>
            <wp:effectExtent l="0" t="0" r="0" b="5715"/>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56275" cy="3099435"/>
                    </a:xfrm>
                    <a:prstGeom prst="rect">
                      <a:avLst/>
                    </a:prstGeom>
                  </pic:spPr>
                </pic:pic>
              </a:graphicData>
            </a:graphic>
          </wp:inline>
        </w:drawing>
      </w:r>
    </w:p>
    <w:p w14:paraId="650FEA27" w14:textId="77777777" w:rsidR="00443399" w:rsidRPr="00B03B51" w:rsidRDefault="00443399" w:rsidP="00443399">
      <w:pPr>
        <w:rPr>
          <w:rFonts w:ascii="Times New Roman" w:eastAsia="Arial" w:hAnsi="Times New Roman" w:cs="Times New Roman"/>
          <w:noProof/>
          <w:sz w:val="24"/>
          <w:szCs w:val="18"/>
        </w:rPr>
      </w:pPr>
      <w:r w:rsidRPr="00B03B51">
        <w:rPr>
          <w:rFonts w:ascii="Times New Roman" w:hAnsi="Times New Roman" w:cs="Times New Roman"/>
        </w:rPr>
        <w:br w:type="page"/>
      </w:r>
    </w:p>
    <w:p w14:paraId="2E96CBE9" w14:textId="77777777" w:rsidR="00443399" w:rsidRPr="00B03B51" w:rsidRDefault="00443399" w:rsidP="00443399">
      <w:pPr>
        <w:jc w:val="both"/>
        <w:rPr>
          <w:rFonts w:ascii="Times New Roman" w:eastAsia="Arial" w:hAnsi="Times New Roman" w:cs="Times New Roman"/>
          <w:noProof/>
          <w:sz w:val="24"/>
          <w:szCs w:val="18"/>
        </w:rPr>
      </w:pPr>
    </w:p>
    <w:p w14:paraId="6A197924" w14:textId="2682D6D0"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40" w:name="6.5_Emission_trading_allowances"/>
      <w:bookmarkStart w:id="541" w:name="_bookmark52"/>
      <w:bookmarkStart w:id="542" w:name="_Toc67565189"/>
      <w:bookmarkEnd w:id="540"/>
      <w:bookmarkEnd w:id="541"/>
      <w:r w:rsidRPr="00B03B51">
        <w:rPr>
          <w:rFonts w:ascii="Times New Roman" w:hAnsi="Times New Roman" w:cs="Times New Roman"/>
          <w:sz w:val="28"/>
          <w:szCs w:val="44"/>
        </w:rPr>
        <w:t>6.5. Emisij</w:t>
      </w:r>
      <w:r w:rsidR="00B8720C" w:rsidRPr="00B03B51">
        <w:rPr>
          <w:rFonts w:ascii="Times New Roman" w:hAnsi="Times New Roman" w:cs="Times New Roman"/>
          <w:sz w:val="28"/>
          <w:szCs w:val="44"/>
        </w:rPr>
        <w:t>u kvotu</w:t>
      </w:r>
      <w:r w:rsidRPr="00B03B51">
        <w:rPr>
          <w:rFonts w:ascii="Times New Roman" w:hAnsi="Times New Roman" w:cs="Times New Roman"/>
          <w:sz w:val="28"/>
          <w:szCs w:val="44"/>
        </w:rPr>
        <w:t xml:space="preserve"> tirdzniecība</w:t>
      </w:r>
      <w:bookmarkEnd w:id="542"/>
    </w:p>
    <w:p w14:paraId="6E494F90" w14:textId="77777777" w:rsidR="00443399" w:rsidRPr="00100B51" w:rsidRDefault="00443399" w:rsidP="00100B51">
      <w:pPr>
        <w:rPr>
          <w:rFonts w:ascii="Times New Roman" w:hAnsi="Times New Roman" w:cs="Times New Roman"/>
          <w:noProof/>
        </w:rPr>
      </w:pPr>
      <w:bookmarkStart w:id="543" w:name="6.5.1_Background"/>
      <w:bookmarkEnd w:id="543"/>
    </w:p>
    <w:p w14:paraId="0D7E4053"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44" w:name="_Toc67565190"/>
      <w:r w:rsidRPr="00B03B51">
        <w:rPr>
          <w:rFonts w:ascii="Times New Roman" w:hAnsi="Times New Roman" w:cs="Times New Roman"/>
          <w:sz w:val="24"/>
        </w:rPr>
        <w:t>6.5.1. Vispārīga informācija</w:t>
      </w:r>
      <w:bookmarkEnd w:id="544"/>
    </w:p>
    <w:p w14:paraId="3F76711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DE51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Valdības izdod emisiju kvotas (ko šajā nodaļā sauc arī par “atļaujām”) kā līdzekli tam, lai kontrolētu piesārņojuma kopējās emisijas vidē, un kā alternatīvu piesārņojuma aplikšanai ar tiešajiem nodokļiem.</w:t>
      </w:r>
    </w:p>
    <w:p w14:paraId="14F8179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AE5A3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Šādas emisijas atļauju shēmas var darboties dažādi, un tās var būt vietējās shēmas vai arī shēmas, kas tiek piemērotas vairākās valstīs. Attiecībā uz siltumnīcefekta gāzu emisiju pasaules mēroga kontroles sistēma tika izveidota ar Apvienoto Nāciju Organizācijas Vispārējo konvenciju par klimata pārmaiņām, emisijas mērķlielumu dalībvalstīm nosakot Kioto protokolā, kas tika pieņemts 1997. gadā. Tādējādi dalībvalstīm (tostarp Eiropas Savienībai) tika noteikti saistoši emisijas mērķlielumi 2008.–2012. gadam. 2013.–2020. gadam emisiju maksimālā apjoma noteikšanas sistēma tika atjaunināta un tajā ietvertas dažas būtiskas izmaiņas.</w:t>
      </w:r>
    </w:p>
    <w:p w14:paraId="17C8DA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75783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Kioto protokolā tika noteikti trīs tirgus mehānismi, ko dalībvalstis var izmantot savu mērķlielumu sasniegšanai. Galvenais mehānisms ļauj valstīm savstarpēji tirgoties ar “noteikta daudzuma vienībām” (</w:t>
      </w:r>
      <w:r w:rsidRPr="00B03B51">
        <w:rPr>
          <w:rFonts w:ascii="Times New Roman" w:hAnsi="Times New Roman" w:cs="Times New Roman"/>
          <w:i/>
          <w:iCs/>
          <w:sz w:val="24"/>
        </w:rPr>
        <w:t>AAU</w:t>
      </w:r>
      <w:r w:rsidRPr="00B03B51">
        <w:rPr>
          <w:rFonts w:ascii="Times New Roman" w:hAnsi="Times New Roman" w:cs="Times New Roman"/>
          <w:sz w:val="24"/>
        </w:rPr>
        <w:t>)</w:t>
      </w:r>
      <w:r w:rsidRPr="00B03B51">
        <w:rPr>
          <w:rStyle w:val="FootnoteReference"/>
          <w:rFonts w:ascii="Times New Roman" w:hAnsi="Times New Roman" w:cs="Times New Roman"/>
          <w:noProof/>
          <w:sz w:val="24"/>
        </w:rPr>
        <w:footnoteReference w:id="243"/>
      </w:r>
      <w:r w:rsidRPr="00B03B51">
        <w:rPr>
          <w:rFonts w:ascii="Times New Roman" w:hAnsi="Times New Roman" w:cs="Times New Roman"/>
          <w:sz w:val="24"/>
        </w:rPr>
        <w:t xml:space="preserve">, kas sākotnēji tika piešķirtas, pamatojoties uz 2008.–2012. gada saistībām. Citi mehānismi (Tīras attīstības mehānisms un Kopīgā īstenošana) ļauj izveidot jaunus instrumentu veidus (ko iespējams apmainīt pret </w:t>
      </w:r>
      <w:r w:rsidRPr="00B03B51">
        <w:rPr>
          <w:rFonts w:ascii="Times New Roman" w:hAnsi="Times New Roman" w:cs="Times New Roman"/>
          <w:i/>
          <w:iCs/>
          <w:sz w:val="24"/>
        </w:rPr>
        <w:t>AAU</w:t>
      </w:r>
      <w:r w:rsidRPr="00B03B51">
        <w:rPr>
          <w:rFonts w:ascii="Times New Roman" w:hAnsi="Times New Roman" w:cs="Times New Roman"/>
          <w:sz w:val="24"/>
        </w:rPr>
        <w:t>), kas atspoguļo emisijas samazināšanas projektus attiecīgi attīstības un tiesīgajās valstīs.</w:t>
      </w:r>
    </w:p>
    <w:p w14:paraId="2891AE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EA9EC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Eiropas Savienībā galvenā emisijas kvotu shēma ir Emisijas kvotu tirdzniecības sistēma (ETS). ETS darbība tika sākta 2005. gadā, pamatojoties uz “emisiju ierobežošanas un tirdzniecības” principu. Šis princips nozīmē, ka tiek noteikti “griesti” jeb tiek ierobežots noteiktu siltumnīcefekta gāzu kopējais apjoms, ko rūpnīcas, spēkstacijas un citas sistēmā iekļautās ietaises drīkst emitēt (lai arī ievērojams daudzums piesārņojošo darbību nav iekļauts sistēmā). Ievērojot šo ierobežojumu, uzņēmumi saņem emisijas kvotas, ar kurām tie drīkst savstarpēji tirgoties atbilstīgi vajadzībai. Valstis minētajā periodā izsniedz ierobežotu skaitu atļauju (oglekļa tonnu izteiksmē), kas šobrīd tiek īstenots galvenokārt izsoles veidā.</w:t>
      </w:r>
      <w:r w:rsidRPr="00B03B51">
        <w:rPr>
          <w:rStyle w:val="FootnoteReference"/>
          <w:rFonts w:ascii="Times New Roman" w:hAnsi="Times New Roman" w:cs="Times New Roman"/>
          <w:noProof/>
          <w:sz w:val="24"/>
        </w:rPr>
        <w:footnoteReference w:id="244"/>
      </w:r>
      <w:r w:rsidRPr="00B03B51">
        <w:rPr>
          <w:rFonts w:ascii="Times New Roman" w:hAnsi="Times New Roman" w:cs="Times New Roman"/>
          <w:sz w:val="24"/>
          <w:szCs w:val="12"/>
        </w:rPr>
        <w:t xml:space="preserve"> </w:t>
      </w:r>
      <w:r w:rsidRPr="00B03B51">
        <w:rPr>
          <w:rFonts w:ascii="Times New Roman" w:hAnsi="Times New Roman" w:cs="Times New Roman"/>
          <w:sz w:val="24"/>
        </w:rPr>
        <w:t>Ierobežotais kopējais kvotu skaits nodrošina to, ka šīm kvotām ir vērtība, un kvotu skaits ar laiku tiek samazināts, kas nozīmē, ka samazinās kopējā emisija. Ar šo sistēmu tiek aizstāts tiešo nodokļu mehānisms, taču ir paredzēts panākt tādu pašu efektu, t. i., mudināt ražotājus pāriet uz tādām iekārtām, kas emitē mazāk oglekļa.</w:t>
      </w:r>
    </w:p>
    <w:p w14:paraId="7ED9D84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64B57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Katra gada sākumā (Eiropas Savienībā aprīlī) katram uzņēmumam ir jānodod pietiekams daudzums kvotu, kas nosedz visas pagājušā perioda emisijas; pretējā gadījumā attiecībā uz uzņēmumu tiek piemērots liels naudas sods. Ja uzņēmums samazina savas emisijas, tas var paturēt neiztērētās kvotas, lai segtu savas turpmākās vajadzības vai pārdotu tās citam uzņēmumam, kuram pietrūkst kvotu.</w:t>
      </w:r>
    </w:p>
    <w:p w14:paraId="13796F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C7937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Eiropas Savienībā tiek izdots un pārdots liels daudzums emisijas kvotu, un pieaugošais kvotu </w:t>
      </w:r>
      <w:r w:rsidRPr="00B03B51">
        <w:rPr>
          <w:rFonts w:ascii="Times New Roman" w:hAnsi="Times New Roman" w:cs="Times New Roman"/>
          <w:sz w:val="24"/>
        </w:rPr>
        <w:lastRenderedPageBreak/>
        <w:t>izsoļu skaits, kuras organizē ES dalībvalstu valdības, rada nepieciešamību ieviest skaidrību attiecībā uz šādu kvotu ierakstīšanu statistikā.</w:t>
      </w:r>
      <w:r w:rsidRPr="00B03B51">
        <w:rPr>
          <w:rStyle w:val="FootnoteReference"/>
          <w:rFonts w:ascii="Times New Roman" w:hAnsi="Times New Roman" w:cs="Times New Roman"/>
          <w:noProof/>
          <w:sz w:val="24"/>
        </w:rPr>
        <w:footnoteReference w:id="245"/>
      </w:r>
    </w:p>
    <w:p w14:paraId="67720BAF" w14:textId="77777777" w:rsidR="00443399" w:rsidRPr="00B03B51" w:rsidRDefault="00443399" w:rsidP="00443399">
      <w:pPr>
        <w:jc w:val="both"/>
        <w:rPr>
          <w:rFonts w:ascii="Times New Roman" w:hAnsi="Times New Roman" w:cs="Times New Roman"/>
          <w:noProof/>
          <w:sz w:val="24"/>
        </w:rPr>
      </w:pPr>
    </w:p>
    <w:p w14:paraId="1D371A48"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45" w:name="6.5.2_Treatment_in_national_accounts"/>
      <w:bookmarkStart w:id="546" w:name="_Toc67565191"/>
      <w:bookmarkEnd w:id="545"/>
      <w:r w:rsidRPr="00B03B51">
        <w:rPr>
          <w:rFonts w:ascii="Times New Roman" w:hAnsi="Times New Roman" w:cs="Times New Roman"/>
          <w:sz w:val="24"/>
        </w:rPr>
        <w:t>6.5.2. Traktējums nacionālajos kontos</w:t>
      </w:r>
      <w:bookmarkEnd w:id="546"/>
    </w:p>
    <w:p w14:paraId="65F810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A1B29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Maksājumi par emisijas kvotām, ko valdības izdod emisiju ierobežošanas un tirdzniecības shēmās, jāieraksta kā citi ražošanas nodokļi (D.29) tikai kvotu nodošanas gadā, nevis tajā gadā, kad kvotas ir pārdotas iekšzemes ekonomikas dalībniekiem. Teorētiski nodokļus ieraksta brīdī, kad rodas faktiskās emisijas, taču ir noslēgta vienošanās, ka emisijas varētu uzkrāt par visu gadu un deklarēt un pārbaudīt tās nākamā gada sākumā. Kopumā valdības kontos neieraksta kvotas, ko izdod bez maksas.</w:t>
      </w:r>
    </w:p>
    <w:p w14:paraId="6E4E4C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EB53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Laika starpība starp skaidras naudas maksājumiem, ko valdība saņem par kvotām, rīkojot izsoles tās teritorijā, un nodokļu ieņēmumu ierakstīšanu nacionālajos kontos, rada finanšu saistības valdībai (kreditoru saistības (AF.89)) un finanšu aktīvu turētājam (debitoru saistības (AF.89)).</w:t>
      </w:r>
    </w:p>
    <w:p w14:paraId="7ADE2A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8080E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Ja nav pieejama precīza informācija par atsevišķām kvotām (tostarp par to sākotnējo pārdošanas cenu, kas katrā izsolē var atšķirties), katrā konkrētajā gadā ierakstāmo nodokļu ieņēmumu līmeni nosaka atbilstīgi turpmākajam modelim.</w:t>
      </w:r>
    </w:p>
    <w:p w14:paraId="28240D1F" w14:textId="77777777" w:rsidR="00443399" w:rsidRPr="00B03B51" w:rsidRDefault="00443399" w:rsidP="00443399">
      <w:pPr>
        <w:jc w:val="both"/>
        <w:rPr>
          <w:rFonts w:ascii="Times New Roman" w:eastAsia="Arial" w:hAnsi="Times New Roman" w:cs="Times New Roman"/>
          <w:i/>
          <w:noProof/>
          <w:sz w:val="24"/>
          <w:szCs w:val="19"/>
        </w:rPr>
      </w:pPr>
    </w:p>
    <w:p w14:paraId="0A183170" w14:textId="77777777" w:rsidR="00443399" w:rsidRPr="00B03B51" w:rsidRDefault="00443399" w:rsidP="00443399">
      <w:pPr>
        <w:ind w:left="284"/>
        <w:jc w:val="both"/>
        <w:rPr>
          <w:rFonts w:ascii="Times New Roman" w:eastAsia="Arial" w:hAnsi="Times New Roman" w:cs="Times New Roman"/>
          <w:i/>
          <w:noProof/>
          <w:sz w:val="24"/>
          <w:szCs w:val="19"/>
        </w:rPr>
      </w:pPr>
      <w:r w:rsidRPr="00B03B51">
        <w:rPr>
          <w:rFonts w:ascii="Times New Roman" w:hAnsi="Times New Roman" w:cs="Times New Roman"/>
          <w:i/>
          <w:sz w:val="24"/>
          <w:szCs w:val="19"/>
        </w:rPr>
        <w:t>Nodokļu ieņēmumi = [Nodoto “izsolīto” kvotu skaits] X [Attiecīgā vidējā kvotu kopuma cena izsolē]</w:t>
      </w:r>
    </w:p>
    <w:p w14:paraId="5D2D3AA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B2EFB0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Vidējo kvotu kopuma izsoles cenu, kas aprēķināta iespējami neilgi pirms kvotu nodošanas datuma, pamatojoties uz datiem (par atbilstošo kreditoru saistību kopumu (AF.89) un spēkā esošo kvotu skaitu, kas izdotas konkrētajā valstī), nosaka, kā norādīts turpmāk.</w:t>
      </w:r>
    </w:p>
    <w:p w14:paraId="4460C210" w14:textId="77777777" w:rsidR="00443399" w:rsidRPr="00B03B51" w:rsidRDefault="00443399" w:rsidP="00443399">
      <w:pPr>
        <w:jc w:val="both"/>
        <w:rPr>
          <w:rFonts w:ascii="Times New Roman" w:hAnsi="Times New Roman" w:cs="Times New Roman"/>
          <w:i/>
          <w:noProof/>
          <w:sz w:val="24"/>
        </w:rPr>
      </w:pPr>
    </w:p>
    <w:p w14:paraId="4F01B215" w14:textId="77777777" w:rsidR="00443399" w:rsidRPr="00B03B51" w:rsidRDefault="00443399" w:rsidP="00443399">
      <w:pPr>
        <w:ind w:left="284"/>
        <w:jc w:val="both"/>
        <w:rPr>
          <w:rFonts w:ascii="Times New Roman" w:hAnsi="Times New Roman" w:cs="Times New Roman"/>
          <w:i/>
          <w:noProof/>
          <w:sz w:val="24"/>
        </w:rPr>
      </w:pPr>
      <w:r w:rsidRPr="00B03B51">
        <w:rPr>
          <w:rFonts w:ascii="Times New Roman" w:hAnsi="Times New Roman" w:cs="Times New Roman"/>
          <w:i/>
          <w:sz w:val="24"/>
        </w:rPr>
        <w:t>Vidējā izsoles cena = [kreditoru saistību kopums (AF.89), kas saistīts ar kvotu pārdošanu], dalīts ar</w:t>
      </w:r>
    </w:p>
    <w:p w14:paraId="0F19BA68" w14:textId="77777777" w:rsidR="00443399" w:rsidRPr="00B03B51" w:rsidRDefault="00443399" w:rsidP="00443399">
      <w:pPr>
        <w:ind w:left="284"/>
        <w:jc w:val="both"/>
        <w:rPr>
          <w:rFonts w:ascii="Times New Roman" w:eastAsia="Arial" w:hAnsi="Times New Roman" w:cs="Times New Roman"/>
          <w:i/>
          <w:noProof/>
          <w:sz w:val="24"/>
          <w:szCs w:val="19"/>
        </w:rPr>
      </w:pPr>
    </w:p>
    <w:p w14:paraId="6910D509" w14:textId="77777777" w:rsidR="00443399" w:rsidRPr="00B03B51" w:rsidRDefault="00443399" w:rsidP="00443399">
      <w:pPr>
        <w:ind w:left="284"/>
        <w:jc w:val="both"/>
        <w:rPr>
          <w:rFonts w:ascii="Times New Roman" w:eastAsia="Arial" w:hAnsi="Times New Roman" w:cs="Times New Roman"/>
          <w:i/>
          <w:noProof/>
          <w:sz w:val="24"/>
          <w:szCs w:val="19"/>
        </w:rPr>
      </w:pPr>
      <w:r w:rsidRPr="00B03B51">
        <w:rPr>
          <w:rFonts w:ascii="Times New Roman" w:hAnsi="Times New Roman" w:cs="Times New Roman"/>
          <w:i/>
          <w:sz w:val="24"/>
          <w:szCs w:val="19"/>
        </w:rPr>
        <w:t>[tādu valstī “izsolīto” izdoto kvotu kopējais daudzums, kuras vēl nav nodotas]</w:t>
      </w:r>
    </w:p>
    <w:p w14:paraId="45C9AF6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5A18C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11. Vai arī, ja sastādītājiem nav iespējams identificēt, kuras no nodotajām kvotām ir piešķirtas bez maksas un kuras piešķirtas izsoles veidā, tirgus cenu joprojām varētu aprēķināt, pamatojoties uz izsolē izdotajām atļaujām, jo tā jebkurā gadījumā ir informācija, kas ir pieejama.</w:t>
      </w:r>
      <w:r w:rsidRPr="00B03B51">
        <w:rPr>
          <w:rStyle w:val="FootnoteReference"/>
          <w:rFonts w:ascii="Times New Roman" w:hAnsi="Times New Roman" w:cs="Times New Roman"/>
          <w:noProof/>
          <w:sz w:val="24"/>
        </w:rPr>
        <w:footnoteReference w:id="246"/>
      </w:r>
      <w:r w:rsidRPr="00B03B51">
        <w:rPr>
          <w:rFonts w:ascii="Times New Roman" w:hAnsi="Times New Roman" w:cs="Times New Roman"/>
          <w:sz w:val="24"/>
          <w:szCs w:val="12"/>
        </w:rPr>
        <w:t xml:space="preserve"> </w:t>
      </w:r>
      <w:r w:rsidRPr="00B03B51">
        <w:rPr>
          <w:rFonts w:ascii="Times New Roman" w:hAnsi="Times New Roman" w:cs="Times New Roman"/>
          <w:sz w:val="24"/>
        </w:rPr>
        <w:t>Tas neko nemainītu ar nosacījumu, ka nodošanas procesā ir iespējams identificēt tikai kopējo “valstī izdoto atļauju” apjomu, t. i., netiktu iekļautas tās, ko vietējie piesārņotāji varētu būt iegādājušies no nerezidentiem turētājiem vai iegādājušies izsolēs, kas tiek rīkotas citviet Eiropas Savienībā.</w:t>
      </w:r>
      <w:r w:rsidRPr="00B03B51">
        <w:rPr>
          <w:rStyle w:val="FootnoteReference"/>
          <w:rFonts w:ascii="Times New Roman" w:hAnsi="Times New Roman" w:cs="Times New Roman"/>
          <w:noProof/>
          <w:sz w:val="24"/>
        </w:rPr>
        <w:footnoteReference w:id="247"/>
      </w:r>
    </w:p>
    <w:p w14:paraId="4C7513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26909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12. Šajā saistībā sastādītāji kā tuvinājumu varētu izmantot “pirmais iekšā – pirmais ārā” metodi tādā ziņā, ka visas vispirms nodotās atļaujas tiktu uzskatītas kā valsts izsolē iegādātās atļaujas.</w:t>
      </w:r>
      <w:r w:rsidRPr="00B03B51">
        <w:rPr>
          <w:rStyle w:val="FootnoteReference"/>
          <w:rFonts w:ascii="Times New Roman" w:hAnsi="Times New Roman" w:cs="Times New Roman"/>
          <w:noProof/>
          <w:sz w:val="24"/>
        </w:rPr>
        <w:footnoteReference w:id="248"/>
      </w:r>
      <w:r w:rsidRPr="00B03B51">
        <w:rPr>
          <w:rFonts w:ascii="Times New Roman" w:hAnsi="Times New Roman" w:cs="Times New Roman"/>
          <w:sz w:val="24"/>
        </w:rPr>
        <w:t xml:space="preserve"> Tādējādi tiktu samazināts laika intervāls no brīža, kad tiek gūti naudas ieņēmumi no izsolēm, līdz brīdim, kad tiek ierakstīti nodokļu ieņēmumi valdības kontos.</w:t>
      </w:r>
    </w:p>
    <w:p w14:paraId="52AFB7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2DC4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To nodokļu ieņēmumu summai, kas laika gaitā ierakstīta kontos, jābūt vienādai ar valdības saņemto izsoļu ieņēmumu summu (nodrošinot, ka emisijas kvotas, kas izdotas bez maksas, neietekmē valdības kontus). Ja kļūst skaidrs, ka nodoto kvotu skaits ir ievērojami zemāks par izsolēs izdoto kvotu skaitu (kas attiecīgi nozīmē kreditora saistību kopuma (AF.89) strauju pieaugumu valdībai)</w:t>
      </w:r>
      <w:r w:rsidRPr="00B03B51">
        <w:rPr>
          <w:rStyle w:val="FootnoteReference"/>
          <w:rFonts w:ascii="Times New Roman" w:hAnsi="Times New Roman" w:cs="Times New Roman"/>
          <w:noProof/>
          <w:sz w:val="24"/>
        </w:rPr>
        <w:footnoteReference w:id="249"/>
      </w:r>
      <w:r w:rsidRPr="00B03B51">
        <w:rPr>
          <w:rFonts w:ascii="Times New Roman" w:hAnsi="Times New Roman" w:cs="Times New Roman"/>
          <w:sz w:val="24"/>
        </w:rPr>
        <w:t>, jāveic ieraksti kontā “Citas aktīvu apjoma pārmaiņas”, lai samazinātu kreditora saistību kopumu (AF.89) un tādējādi atjaunotu modeļa līdzsvaru. Šī atkārtotā novērtēšana jāveic katra emisijas kvotu tirdzniecības sistēmas posma beigās.</w:t>
      </w:r>
      <w:r w:rsidRPr="00B03B51">
        <w:rPr>
          <w:rStyle w:val="FootnoteReference"/>
          <w:rFonts w:ascii="Times New Roman" w:hAnsi="Times New Roman" w:cs="Times New Roman"/>
          <w:noProof/>
          <w:sz w:val="24"/>
        </w:rPr>
        <w:footnoteReference w:id="250"/>
      </w:r>
      <w:r w:rsidRPr="00B03B51">
        <w:rPr>
          <w:rFonts w:ascii="Times New Roman" w:hAnsi="Times New Roman" w:cs="Times New Roman"/>
          <w:sz w:val="24"/>
        </w:rPr>
        <w:t xml:space="preserve"> Var arī novērot, ka atlikušā kreditora saistību kopuma (AF.89) vērtība samazinās zem nulles atzīmes. Šādā gadījumā krājums jākoriģē atbilstoši tam, kāds ir faktiski novēroto nodoto atļauju skaita līmenis (pamatojoties uz tirgus cenām un neiekļaujot atļaujas, kas valstī piešķirtas bez maksas), lai ierakstītu valdības nodokļu ieņēmumus atbilstoši tam, kāds ir faktiskais oglekļa emisiju līmenis valstī. Ietekmi, ko rada šis nosacītais nodoklis uz valdības neto aizdevumu/aizņēmumu (B.9), neitralizē, ierakstot pārvedumu no valdības.</w:t>
      </w:r>
    </w:p>
    <w:p w14:paraId="08E677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77D7B7" w14:textId="5ACCAE8B"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Atšķirība starp nodokļa vērtību, kas iepriekš samaksāt</w:t>
      </w:r>
      <w:r w:rsidR="00A06FEB" w:rsidRPr="00B03B51">
        <w:rPr>
          <w:rFonts w:ascii="Times New Roman" w:hAnsi="Times New Roman" w:cs="Times New Roman"/>
          <w:sz w:val="24"/>
        </w:rPr>
        <w:t>a par</w:t>
      </w:r>
      <w:r w:rsidRPr="00B03B51">
        <w:rPr>
          <w:rFonts w:ascii="Times New Roman" w:hAnsi="Times New Roman" w:cs="Times New Roman"/>
          <w:sz w:val="24"/>
        </w:rPr>
        <w:t xml:space="preserve"> atļauju, un atļaujas tirgus vērtību veido tirgojamu līgumu (neražotu nefinanšu aktīvu) turētājam un neietekmē valdības kontus. Kvotu tirdzniecība starp valdības sektoram nepiederošām personām neietekmē valdības kontus, bet vienīgi palīdz valdības izsolēs noteikt tirgus vērtības.</w:t>
      </w:r>
    </w:p>
    <w:p w14:paraId="6C9B48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37036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Ekonomikas subjektu darījumus ar atļaujām (noteikta daudzuma vienībām (</w:t>
      </w:r>
      <w:r w:rsidRPr="00B03B51">
        <w:rPr>
          <w:rFonts w:ascii="Times New Roman" w:hAnsi="Times New Roman" w:cs="Times New Roman"/>
          <w:i/>
          <w:iCs/>
          <w:sz w:val="24"/>
        </w:rPr>
        <w:t>AAU</w:t>
      </w:r>
      <w:r w:rsidRPr="00B03B51">
        <w:rPr>
          <w:rFonts w:ascii="Times New Roman" w:hAnsi="Times New Roman" w:cs="Times New Roman"/>
          <w:sz w:val="24"/>
        </w:rPr>
        <w:t>)) ieraksta kā neražotu nefinanšu aktīvu pirkšanu un pārdošanu (AN.22, darījumu kods NP) laikā, kad šādi darījumi notiek. Dažkārt valdības dažādu iemeslu dēļ (pārmērīga kvotu sadale valstī, efektīvāka procedūra utt.) var pārdot kādu daudzumu atļauju tiešā veidā citai ES valstij ar kādas apmaiņas platformas starpniecību. Šādā gadījumā valdības ieņēmumus ieraksta brīdī, kad atļauju īpašumtiesības tiek nodotas pircējiem ārvalstī. Var gadīties, ka šādas atļaujas iegādājas rezidenti un nodod valdībai, kas ierosinājusi pārdošanu, taču tādā gadījumā tiek uzskatīts, ka tās ir piešķirtas par brīvu.</w:t>
      </w:r>
    </w:p>
    <w:p w14:paraId="058A2CB6" w14:textId="77777777" w:rsidR="00443399" w:rsidRPr="00B03B51" w:rsidRDefault="00443399" w:rsidP="00443399">
      <w:pPr>
        <w:jc w:val="both"/>
        <w:rPr>
          <w:rFonts w:ascii="Times New Roman" w:eastAsia="Arial" w:hAnsi="Times New Roman" w:cs="Times New Roman"/>
          <w:noProof/>
          <w:sz w:val="24"/>
          <w:szCs w:val="18"/>
        </w:rPr>
      </w:pPr>
    </w:p>
    <w:p w14:paraId="20E1EEA0"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47" w:name="6.5.3_Rationale_of_the_treatment"/>
      <w:bookmarkStart w:id="548" w:name="_Toc67565192"/>
      <w:bookmarkEnd w:id="547"/>
      <w:r w:rsidRPr="00B03B51">
        <w:rPr>
          <w:rFonts w:ascii="Times New Roman" w:hAnsi="Times New Roman" w:cs="Times New Roman"/>
          <w:sz w:val="24"/>
        </w:rPr>
        <w:t>6.5.3. Traktējuma pamatojums</w:t>
      </w:r>
      <w:bookmarkEnd w:id="548"/>
    </w:p>
    <w:p w14:paraId="168C45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E63216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NKS 2008 17.363. punktā šis jautājums ir pieminēts šādi:</w:t>
      </w:r>
    </w:p>
    <w:p w14:paraId="5C04A4B6" w14:textId="77777777" w:rsidR="00443399" w:rsidRPr="00B03B51" w:rsidRDefault="00443399" w:rsidP="00443399">
      <w:pPr>
        <w:jc w:val="both"/>
        <w:rPr>
          <w:rFonts w:ascii="Times New Roman" w:eastAsia="Arial" w:hAnsi="Times New Roman" w:cs="Times New Roman"/>
          <w:i/>
          <w:noProof/>
          <w:sz w:val="24"/>
          <w:szCs w:val="19"/>
        </w:rPr>
      </w:pPr>
    </w:p>
    <w:p w14:paraId="392FBA7A" w14:textId="77777777" w:rsidR="00443399" w:rsidRPr="00B03B51" w:rsidRDefault="00443399" w:rsidP="00443399">
      <w:pPr>
        <w:ind w:left="284"/>
        <w:jc w:val="both"/>
        <w:rPr>
          <w:rFonts w:ascii="Times New Roman" w:eastAsia="Arial" w:hAnsi="Times New Roman" w:cs="Times New Roman"/>
          <w:i/>
          <w:noProof/>
          <w:sz w:val="24"/>
          <w:szCs w:val="19"/>
        </w:rPr>
      </w:pPr>
      <w:r w:rsidRPr="00B03B51">
        <w:rPr>
          <w:rFonts w:ascii="Times New Roman" w:hAnsi="Times New Roman" w:cs="Times New Roman"/>
          <w:i/>
          <w:iCs/>
          <w:sz w:val="24"/>
          <w:szCs w:val="19"/>
        </w:rPr>
        <w:t>Valdības arvien vairāk pievēršas emisijas kvotu izdošanai kā kopējās emisijas kontroles līdzeklim.</w:t>
      </w:r>
      <w:r w:rsidRPr="00B03B51">
        <w:rPr>
          <w:rFonts w:ascii="Times New Roman" w:hAnsi="Times New Roman" w:cs="Times New Roman"/>
          <w:i/>
          <w:sz w:val="24"/>
          <w:szCs w:val="19"/>
        </w:rPr>
        <w:t xml:space="preserve"> Šīm kvotām nav saistības ar dabas aktīvu izmantošanu (atmosfērai nav noteikta vērtība, tāpēc to nevar uzskatīt par ekonomisko aktīvu), tāpēc tās klasificē kā nodokļus, lai arī atļautā “darbība” rada papildu sekas. Kvotu būtība paredz to, ka tās būs tirgojamas un ka to tirdzniecībai tiks radīts aktīvs tirgus. Līdz ar to kvotas ir aktīvi, un tās jānovērtē atbilstoši tirgus cenai, par kādu tās iespējams pārdot.</w:t>
      </w:r>
    </w:p>
    <w:p w14:paraId="7711A4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ADDB5B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Pamatojoties uz </w:t>
      </w:r>
      <w:r w:rsidRPr="00B03B51">
        <w:rPr>
          <w:rFonts w:ascii="Times New Roman" w:hAnsi="Times New Roman" w:cs="Times New Roman"/>
          <w:i/>
          <w:iCs/>
          <w:sz w:val="24"/>
        </w:rPr>
        <w:t>Eurostat</w:t>
      </w:r>
      <w:r w:rsidRPr="00B03B51">
        <w:rPr>
          <w:rFonts w:ascii="Times New Roman" w:hAnsi="Times New Roman" w:cs="Times New Roman"/>
          <w:sz w:val="24"/>
        </w:rPr>
        <w:t xml:space="preserve">/ESAO darba grupas darba rezultātiem 2009.–2010. gadā, </w:t>
      </w:r>
      <w:r w:rsidRPr="00B03B51">
        <w:rPr>
          <w:rFonts w:ascii="Times New Roman" w:hAnsi="Times New Roman" w:cs="Times New Roman"/>
          <w:i/>
          <w:iCs/>
          <w:sz w:val="24"/>
        </w:rPr>
        <w:lastRenderedPageBreak/>
        <w:t>ISWGNA</w:t>
      </w:r>
      <w:r w:rsidRPr="00B03B51">
        <w:rPr>
          <w:rFonts w:ascii="Times New Roman" w:hAnsi="Times New Roman" w:cs="Times New Roman"/>
          <w:sz w:val="24"/>
        </w:rPr>
        <w:t xml:space="preserve"> izstrādāja ieteikumus, kurus Apvienoto Nāciju Organizācijas Statistikas komiteja apstiprināja pēc apspriešanas ar Padomdevēju ekspertu grupu par nacionālajiem kontiem un kuri tika publicēti NKS ziņu izdevumos Nr. 30/31</w:t>
      </w:r>
      <w:r w:rsidRPr="00B03B51">
        <w:rPr>
          <w:rStyle w:val="FootnoteReference"/>
          <w:rFonts w:ascii="Times New Roman" w:hAnsi="Times New Roman" w:cs="Times New Roman"/>
          <w:noProof/>
          <w:sz w:val="24"/>
        </w:rPr>
        <w:footnoteReference w:id="251"/>
      </w:r>
      <w:r w:rsidRPr="00B03B51">
        <w:rPr>
          <w:rFonts w:ascii="Times New Roman" w:hAnsi="Times New Roman" w:cs="Times New Roman"/>
          <w:sz w:val="24"/>
        </w:rPr>
        <w:t xml:space="preserve"> un 32/33</w:t>
      </w:r>
      <w:r w:rsidRPr="00B03B51">
        <w:rPr>
          <w:rStyle w:val="FootnoteReference"/>
          <w:rFonts w:ascii="Times New Roman" w:hAnsi="Times New Roman" w:cs="Times New Roman"/>
          <w:noProof/>
          <w:sz w:val="24"/>
        </w:rPr>
        <w:footnoteReference w:id="252"/>
      </w:r>
      <w:r w:rsidRPr="00B03B51">
        <w:rPr>
          <w:rFonts w:ascii="Times New Roman" w:hAnsi="Times New Roman" w:cs="Times New Roman"/>
          <w:sz w:val="24"/>
        </w:rPr>
        <w:t>. Šis punkts ir sagatavots, pamatojoties uz vispasaules vienošanos par to, kā ierakstāmas emisijas kvotas emisiju ierobežošanas un tirdzniecības shēmās.</w:t>
      </w:r>
    </w:p>
    <w:p w14:paraId="2691690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376FD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Vispasaules vienošanās pamatprincips paredzēja to, ka maksājumi par emisijas kvotām, kas izdotas emisiju ierobežošanas un tirdzniecības shēmās, jāieraksta kā nodokļi, kas ierakstīti laikā, kad notikusi emisija. Turklāt tiek uzskatīts, ka šādi maksājumi jāieraksta kā citi ražošanas nodokļi.</w:t>
      </w:r>
    </w:p>
    <w:p w14:paraId="76F717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04F628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NKS izdevumā “Ziņas un piezīmes” [</w:t>
      </w:r>
      <w:r w:rsidRPr="00B03B51">
        <w:rPr>
          <w:rFonts w:ascii="Times New Roman" w:hAnsi="Times New Roman" w:cs="Times New Roman"/>
          <w:i/>
          <w:iCs/>
          <w:sz w:val="24"/>
        </w:rPr>
        <w:t>News and Notes</w:t>
      </w:r>
      <w:r w:rsidRPr="00B03B51">
        <w:rPr>
          <w:rFonts w:ascii="Times New Roman" w:hAnsi="Times New Roman" w:cs="Times New Roman"/>
          <w:sz w:val="24"/>
        </w:rPr>
        <w:t>] sniegts šāds sīks traktējums:</w:t>
      </w:r>
    </w:p>
    <w:p w14:paraId="0082A018" w14:textId="77777777" w:rsidR="00443399" w:rsidRPr="00B03B51" w:rsidRDefault="00443399" w:rsidP="00443399">
      <w:pPr>
        <w:jc w:val="both"/>
        <w:rPr>
          <w:rFonts w:ascii="Times New Roman" w:hAnsi="Times New Roman" w:cs="Times New Roman"/>
          <w:i/>
          <w:noProof/>
          <w:sz w:val="24"/>
        </w:rPr>
      </w:pPr>
    </w:p>
    <w:p w14:paraId="2E447929" w14:textId="35999393" w:rsidR="00443399" w:rsidRPr="00B03B51" w:rsidRDefault="00443399" w:rsidP="00443399">
      <w:pPr>
        <w:ind w:left="284"/>
        <w:jc w:val="both"/>
        <w:rPr>
          <w:rFonts w:ascii="Times New Roman" w:hAnsi="Times New Roman" w:cs="Times New Roman"/>
          <w:i/>
          <w:noProof/>
          <w:sz w:val="24"/>
        </w:rPr>
      </w:pPr>
      <w:r w:rsidRPr="00B03B51">
        <w:rPr>
          <w:rFonts w:ascii="Times New Roman" w:hAnsi="Times New Roman" w:cs="Times New Roman"/>
          <w:i/>
          <w:sz w:val="24"/>
        </w:rPr>
        <w:t>Maksājumus par emisiju kvotām, ko valdības izdod emisijas ierobežojumu un tirdzniecības shēmās, jāreģistrē laikā, kad notiek emisija, kā nodokļi, jo īpaši kā citi ražošanas nodokļi (D.29), atbilstoši uzkrāšanas principam. Laika starpība starp skaidras naudas maksājumiem, ko valdība saņem par kvotām, un laiku, kad notiek emisija, rada finanšu saistības (kreditoru saistības) valdībai un finanšu aktīvu (debitoru saistības) turētājam. Atšķirība starp nodokļa vērtību, kas iepriekš samaksāt</w:t>
      </w:r>
      <w:r w:rsidR="00402233" w:rsidRPr="00B03B51">
        <w:rPr>
          <w:rFonts w:ascii="Times New Roman" w:hAnsi="Times New Roman" w:cs="Times New Roman"/>
          <w:i/>
          <w:sz w:val="24"/>
        </w:rPr>
        <w:t>a par</w:t>
      </w:r>
      <w:r w:rsidRPr="00B03B51">
        <w:rPr>
          <w:rFonts w:ascii="Times New Roman" w:hAnsi="Times New Roman" w:cs="Times New Roman"/>
          <w:i/>
          <w:sz w:val="24"/>
        </w:rPr>
        <w:t xml:space="preserve"> atļauju, un atļaujas tirgus vērtību veido tirgojamu līgumu (neražotu nefinanšu aktīvu) turētājam. Neražota nefinanšu aktīva izveide un izzušana tiek reģistrēta kā citas aktīvu apjoma pārmaiņas.</w:t>
      </w:r>
    </w:p>
    <w:p w14:paraId="13E8E3D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7961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Lai arī nodokļu ieņēmumi, ievērojot uzkrāšanas principus, jāieraksta, kad notiek ekonomiskā darbība, kurā tiek radīts piesārņojums, vispasaules vienošanās paredz vienkāršojumu, kas novērš iespējamos sarežģījumus, kuri saistīti ar ieņēmumu plūsmām, kad pastāv laika nobīde starp piesārņojuma laiku un nodošanas laiku:</w:t>
      </w:r>
    </w:p>
    <w:p w14:paraId="13ADE0F8" w14:textId="77777777" w:rsidR="00443399" w:rsidRPr="00B03B51" w:rsidRDefault="00443399" w:rsidP="00443399">
      <w:pPr>
        <w:jc w:val="both"/>
        <w:rPr>
          <w:rFonts w:ascii="Times New Roman" w:hAnsi="Times New Roman" w:cs="Times New Roman"/>
          <w:i/>
          <w:noProof/>
          <w:sz w:val="24"/>
        </w:rPr>
      </w:pPr>
    </w:p>
    <w:p w14:paraId="109C3BD9" w14:textId="77777777" w:rsidR="00443399" w:rsidRPr="00B03B51" w:rsidRDefault="00443399" w:rsidP="00443399">
      <w:pPr>
        <w:ind w:left="284"/>
        <w:jc w:val="both"/>
        <w:rPr>
          <w:rFonts w:ascii="Times New Roman" w:hAnsi="Times New Roman" w:cs="Times New Roman"/>
          <w:i/>
          <w:noProof/>
          <w:sz w:val="24"/>
        </w:rPr>
      </w:pPr>
      <w:r w:rsidRPr="00B03B51">
        <w:rPr>
          <w:rFonts w:ascii="Times New Roman" w:hAnsi="Times New Roman" w:cs="Times New Roman"/>
          <w:i/>
          <w:sz w:val="24"/>
        </w:rPr>
        <w:t>Tomēr vienkāršības labad praksē var pieņemt, ka atļauja tiek nodota tajā pašā laikā, kad notiek emisija, ciktāl starp šiem abiem notikumiem nav ievērojama laika nobīde un šī nobīde ir nemainīga.</w:t>
      </w:r>
    </w:p>
    <w:p w14:paraId="54B0BEA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B902B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ES Emisiju tirdzniecības sistēmā kvotas nodod aptuveni četrus mēnešus ilgā laika posmā tā gada beigās, uz kuru tās attiecas, un līdz ar to laika nobīde ir salīdzinoši īsa. Vienlaikus, neesot pieejamai novatoriskai piesārņojuma samazināšanas tehnoloģijai, atšķirība starp emisiju vienā gadā un emisiju nākamajā gadā var nebūt tik ievērojama, un līdz ar to kā atbilstošu emisijas tuvinājumu attiecīgajā gadā parastos apstākļos (t. i., uzņēmējdarbības cikls netiek būtiski ietekmēts) var pieņemt jebkurā no šiem gadiem nodotās kvotas. Tāpēc, lai nodrošinātu saskaņotu ierakstīšanu visās valstīs, šajā rokasgrāmatā kā ierakstīšanas laiku ierosināts izmantot nodošanas datumu.</w:t>
      </w:r>
    </w:p>
    <w:p w14:paraId="04CF4A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F74F7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Atbilstoši teorijai ierakstīšana ir jāpiemēro individuālu atļauju līmenī. Tomēr ir skaidrs, ka informācija, kas nepieciešama šādam traktējumam, ir pieejama ļoti reti vai nav pieejama vispār; tas jo īpaši attiecas uz starptautiskām shēmām, kurās kvotas iespējams brīvi tirgot pāri valstu robežām un tās tiek nodotas citā valstī, nevis valstī, kas tās izdevusi.</w:t>
      </w:r>
      <w:r w:rsidRPr="00B03B51">
        <w:rPr>
          <w:rStyle w:val="FootnoteReference"/>
          <w:rFonts w:ascii="Times New Roman" w:hAnsi="Times New Roman" w:cs="Times New Roman"/>
          <w:noProof/>
          <w:sz w:val="24"/>
        </w:rPr>
        <w:footnoteReference w:id="253"/>
      </w:r>
      <w:r w:rsidRPr="00B03B51">
        <w:rPr>
          <w:rFonts w:ascii="Times New Roman" w:hAnsi="Times New Roman" w:cs="Times New Roman"/>
          <w:sz w:val="24"/>
        </w:rPr>
        <w:t xml:space="preserve"> Tajā pašā laikā saistībā ar pārrobežu plūsmu mērīšanu ir iespējami sarežģījumi. Kā norādīts NKS izdevumā “Ziņas un </w:t>
      </w:r>
      <w:r w:rsidRPr="00B03B51">
        <w:rPr>
          <w:rFonts w:ascii="Times New Roman" w:hAnsi="Times New Roman" w:cs="Times New Roman"/>
          <w:sz w:val="24"/>
        </w:rPr>
        <w:lastRenderedPageBreak/>
        <w:t>piezīmes”, šī iemesla dēļ starptautiskajā līgumā tika noteikti divi praktiski vienkāršojumi:</w:t>
      </w:r>
    </w:p>
    <w:p w14:paraId="65442A52" w14:textId="77777777" w:rsidR="00443399" w:rsidRPr="00B03B51" w:rsidRDefault="00443399" w:rsidP="00443399">
      <w:pPr>
        <w:jc w:val="both"/>
        <w:rPr>
          <w:rFonts w:ascii="Times New Roman" w:hAnsi="Times New Roman" w:cs="Times New Roman"/>
          <w:i/>
          <w:noProof/>
          <w:sz w:val="24"/>
        </w:rPr>
      </w:pPr>
    </w:p>
    <w:p w14:paraId="031867F4" w14:textId="77777777" w:rsidR="00443399" w:rsidRPr="00B03B51" w:rsidRDefault="00443399" w:rsidP="00443399">
      <w:pPr>
        <w:ind w:left="284"/>
        <w:jc w:val="both"/>
        <w:rPr>
          <w:rFonts w:ascii="Times New Roman" w:hAnsi="Times New Roman" w:cs="Times New Roman"/>
          <w:i/>
          <w:noProof/>
          <w:sz w:val="24"/>
        </w:rPr>
      </w:pPr>
      <w:r w:rsidRPr="00B03B51">
        <w:rPr>
          <w:rFonts w:ascii="Times New Roman" w:hAnsi="Times New Roman" w:cs="Times New Roman"/>
          <w:i/>
          <w:sz w:val="24"/>
        </w:rPr>
        <w:t>Emisijas kvotu maksājumu uzkrāšanas pieejas pamatā jāizmanto pieņēmums, ka kvotas, ko izdevusi konkrētā valsts, visticamāk, arī tiks nodotas šajā valstī.</w:t>
      </w:r>
    </w:p>
    <w:p w14:paraId="5A58BF26" w14:textId="77777777" w:rsidR="00443399" w:rsidRPr="00B03B51" w:rsidRDefault="00443399" w:rsidP="00443399">
      <w:pPr>
        <w:ind w:left="284"/>
        <w:jc w:val="both"/>
        <w:rPr>
          <w:rFonts w:ascii="Times New Roman" w:hAnsi="Times New Roman" w:cs="Times New Roman"/>
          <w:i/>
          <w:noProof/>
          <w:sz w:val="24"/>
        </w:rPr>
      </w:pPr>
    </w:p>
    <w:p w14:paraId="19AA07E6" w14:textId="77777777" w:rsidR="00443399" w:rsidRPr="00B03B51" w:rsidRDefault="00443399" w:rsidP="00443399">
      <w:pPr>
        <w:ind w:left="284"/>
        <w:jc w:val="both"/>
        <w:rPr>
          <w:rFonts w:ascii="Times New Roman" w:hAnsi="Times New Roman" w:cs="Times New Roman"/>
          <w:i/>
          <w:noProof/>
          <w:sz w:val="24"/>
        </w:rPr>
      </w:pPr>
      <w:r w:rsidRPr="00B03B51">
        <w:rPr>
          <w:rFonts w:ascii="Times New Roman" w:hAnsi="Times New Roman" w:cs="Times New Roman"/>
          <w:i/>
          <w:sz w:val="24"/>
        </w:rPr>
        <w:t>Vienkāršākajā gadījumā, proti, valsts shēmas gadījumā, nodokļi ir jāuzkrāj atbilstīgi tam, kā norādīts turpmāk. Nodoklis, kas reģistrēts attiecībā uz jebkuru atļauju, kas nodota attiecībā uz emisiju, kura notikusi laika posmā t, ir vienāds ar summu, kas iegūta, attiecīgo citu kreditora saistību kopuma summu dalot ar izdoto aktīvo (un apritē esošo) kvotu kopējo skaitu laikā t. Teorētiski no attiecīgajām citām kreditoru saistībām jāizslēdz visas kvotas, kas tika nodotas pēc laika t attiecībā uz emisijām, kas notikušas pirms laika t. Attiecīgi šīs kvotas jāizslēdz arī no laikā t aktīvo (un apritē esošo) kvotu kopējā skaita.</w:t>
      </w:r>
    </w:p>
    <w:p w14:paraId="2AFDCD09" w14:textId="77777777" w:rsidR="00443399" w:rsidRPr="00B03B51" w:rsidRDefault="00443399" w:rsidP="00443399">
      <w:pPr>
        <w:jc w:val="both"/>
        <w:rPr>
          <w:rFonts w:ascii="Times New Roman" w:hAnsi="Times New Roman" w:cs="Times New Roman"/>
          <w:i/>
          <w:noProof/>
          <w:sz w:val="24"/>
        </w:rPr>
      </w:pPr>
    </w:p>
    <w:p w14:paraId="65AF9A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Līdz ar to šajā nodaļā izmantotā pieeja, kas izklāstīta iepriekš, ir izstrādāta, pamatojoties uz šiem vienkāršojumiem. Principā saistībā ar emisijas kvotām nav tādu pārrobežu plūsmu, kas būtu jāieraksta attiecībā uz ražošanas nodokļiem. Tas būtu tā, it kā kvotas būtu izdotas bez maksas valstī, kur tās tiek nodotas, jo valdība nav saņēmusi ieņēmumus no izsoles, kas tika paturēti izdevēja valstī. Šajā posmā nav paredzēts mehānisms ieņēmumu pārdalīšanai.</w:t>
      </w:r>
      <w:r w:rsidRPr="00B03B51">
        <w:rPr>
          <w:rStyle w:val="FootnoteReference"/>
          <w:rFonts w:ascii="Times New Roman" w:hAnsi="Times New Roman" w:cs="Times New Roman"/>
          <w:noProof/>
          <w:sz w:val="24"/>
        </w:rPr>
        <w:footnoteReference w:id="254"/>
      </w:r>
      <w:r w:rsidRPr="00B03B51">
        <w:rPr>
          <w:rFonts w:ascii="Times New Roman" w:hAnsi="Times New Roman" w:cs="Times New Roman"/>
          <w:sz w:val="24"/>
        </w:rPr>
        <w:t xml:space="preserve"> Tas atbilst arī principam, kas izklāstīts 2.2. nodaļā (Nodokļu un sociālo iemaksu ierakstīšana) un paredz, ka nodokļu ietekmei uz vispārējās valdības neto aizdevumu/aizņēmumu samērīgā laika posmā jāatbilst faktiski saņemtajām atbilstošajām naudas summām.</w:t>
      </w:r>
    </w:p>
    <w:p w14:paraId="1CD55D9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07438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Kā atzīts NKS izdevumā “Ziņas un piezīmes”, starptautisku shēmu gadījumā iespējams, ka laika gaitā izdoto kvotu skaits jebkurā valstī var atšķirties no šajā valstī nodoto kvotu skaita. Ierosinātas divas pieejas šā jautājuma risināšanai.</w:t>
      </w:r>
    </w:p>
    <w:p w14:paraId="4595698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FD96B1" w14:textId="77777777" w:rsidR="00443399" w:rsidRPr="00B03B51" w:rsidRDefault="00443399" w:rsidP="009130CD">
      <w:pPr>
        <w:pStyle w:val="BodyText"/>
        <w:numPr>
          <w:ilvl w:val="1"/>
          <w:numId w:val="4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Valstīs, kurās izdoto kvotu skaits pārsniedz nodoto kvotu skaitu, praksē vienkāršāk ir neņemt vērā šīs plūsmas un tā vietā kvotas norakstīt (atļaujas termiņa beigās) izdevējas valsts kontos kā citas aktīvu apjoma pārmaiņas (K.5) tā, it kā tās nebūtu izmantotas.</w:t>
      </w:r>
    </w:p>
    <w:p w14:paraId="0E8ABE73" w14:textId="77777777" w:rsidR="00443399" w:rsidRPr="00B03B51" w:rsidRDefault="00443399" w:rsidP="009130CD">
      <w:pPr>
        <w:pStyle w:val="BodyText"/>
        <w:numPr>
          <w:ilvl w:val="1"/>
          <w:numId w:val="4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valstīm, kurās nodots vairāk kvotu nekā izdots, saņemtie maksājumi pārsniedz ierakstītos nodokļus. Atkāpjoties no jautājuma par ražošanas nodokļu plūsmu ierakstīšanu no pārējās pasaules, to saņemto maksājumu apmērs, kas pārsniedz ierakstītos nodokļus, saglabājas, jo ne visas kvotas tiks nodotas (jo īpaši tās, kuras nopirkušas vides aizstāvju grupas). Turklāt valstīs, kuras izdod ievērojami lielāku kvotu skaitu, nekā šajā valstī paredzēts nodot, pastāv labs pamats uzskatīt, ka atšķirība starp saņemtajiem maksājumiem un ierakstītajiem nodokļiem ir neprognozēts guvums, kas radniecīgs citām aktīvu apjoma pārmaiņām, pat ja teorētiski tas jāieraksta kā no pārējās pasaules gūts ražošanas nodoklis.</w:t>
      </w:r>
    </w:p>
    <w:p w14:paraId="7BB8F3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160936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25. Lai nodrošinātu, ka šī pārvērtēšana tiek veikta pienācīgi, tā ir jāveic katra ES Emisijas tirdzniecības shēmas “posma” pēdējā gada beigās, kas ir brīdis, kad tiek izstrādāta jauna emisijas kvotu sadale un kad var arī stāties spēkā jauni noteikumi. Ja kādā gadā citu kreditoru saistību (AF.89) kopuma vērtība kontā samazinās zem nulles atzīmes, būs jāpārskata arī modelis, lai nodrošinātu, ka nodokļu ieņēmumi attiecīgajā laika posmā tuvinātos izsoļu ieņēmumiem. Attiecībā uz to ieņēmumu ierakstīšanu katru ceturksni, kuri gūti no emisiju kvotām, ir ieteicams pārbaudīt, vai ir pieejami dati par ceturkšņa emisiju, lai pēc tam, pamatojoties uz šiem ceturkšņa datiem, veiktu iepriekš izklāstītos ikgadējos aprēķinus. Ja šādi dati nav pieejami, var izmantot atbilstošu minēto ceturkšņa datu tuvinājumu, piemēram, ceturkšņa bruto vērtību, kāda pievienota ekonomikai, ja var uzskatīt, ka tam ir kāda saistība ar </w:t>
      </w:r>
      <w:r w:rsidRPr="00B03B51">
        <w:rPr>
          <w:rFonts w:ascii="Times New Roman" w:hAnsi="Times New Roman" w:cs="Times New Roman"/>
          <w:sz w:val="24"/>
        </w:rPr>
        <w:lastRenderedPageBreak/>
        <w:t>emisijām.</w:t>
      </w:r>
    </w:p>
    <w:p w14:paraId="71032CAE" w14:textId="77777777" w:rsidR="00443399" w:rsidRPr="00B03B51" w:rsidRDefault="00443399" w:rsidP="00443399">
      <w:pPr>
        <w:jc w:val="both"/>
        <w:rPr>
          <w:rFonts w:ascii="Times New Roman" w:eastAsia="Arial" w:hAnsi="Times New Roman" w:cs="Times New Roman"/>
          <w:noProof/>
          <w:sz w:val="24"/>
          <w:szCs w:val="13"/>
        </w:rPr>
      </w:pPr>
    </w:p>
    <w:p w14:paraId="21D608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26. Noteikta daudzuma vienību ierakstīšanu statistikā apgrūtina fakts, ka sākotnēji tās tiek piešķirtas valstīm bez maksas, tās nav jānodod, kad tiek veikta emisija un tās tiek piešķirtas uz vairākiem gadiem. Tomēr dažas valdības (un arī dažas valdības sektoram nepiederošas vienības) ir gatavas pirkt </w:t>
      </w:r>
      <w:r w:rsidRPr="00B03B51">
        <w:rPr>
          <w:rFonts w:ascii="Times New Roman" w:hAnsi="Times New Roman" w:cs="Times New Roman"/>
          <w:i/>
          <w:iCs/>
          <w:sz w:val="24"/>
        </w:rPr>
        <w:t>AAU</w:t>
      </w:r>
      <w:r w:rsidRPr="00B03B51">
        <w:rPr>
          <w:rFonts w:ascii="Times New Roman" w:hAnsi="Times New Roman" w:cs="Times New Roman"/>
          <w:sz w:val="24"/>
        </w:rPr>
        <w:t xml:space="preserve"> no citām valdībām, un tāpēc ir jāieraksta darījumi. Pieņemot, ka </w:t>
      </w:r>
      <w:r w:rsidRPr="00B03B51">
        <w:rPr>
          <w:rFonts w:ascii="Times New Roman" w:hAnsi="Times New Roman" w:cs="Times New Roman"/>
          <w:i/>
          <w:iCs/>
          <w:sz w:val="24"/>
        </w:rPr>
        <w:t>AAU</w:t>
      </w:r>
      <w:r w:rsidRPr="00B03B51">
        <w:rPr>
          <w:rFonts w:ascii="Times New Roman" w:hAnsi="Times New Roman" w:cs="Times New Roman"/>
          <w:sz w:val="24"/>
        </w:rPr>
        <w:t xml:space="preserve"> ir neražots nefinanšu aktīvs, un analoģiski iepriekš izklāstītajam emisijas kvotu tirgus cenas pārmaiņu traktējumam šādi darījumi jāieraksta kā neražoto nefinanšu aktīvu pirkšana un pārdošana. Šādu </w:t>
      </w:r>
      <w:r w:rsidRPr="00B03B51">
        <w:rPr>
          <w:rFonts w:ascii="Times New Roman" w:hAnsi="Times New Roman" w:cs="Times New Roman"/>
          <w:i/>
          <w:iCs/>
          <w:sz w:val="24"/>
        </w:rPr>
        <w:t>AAU</w:t>
      </w:r>
      <w:r w:rsidRPr="00B03B51">
        <w:rPr>
          <w:rFonts w:ascii="Times New Roman" w:hAnsi="Times New Roman" w:cs="Times New Roman"/>
          <w:sz w:val="24"/>
        </w:rPr>
        <w:t xml:space="preserve"> darbības termiņa beigās tie ir jāsvītro no nacionālo kontu bilancēm, kad tiek sasniegts līgumā noteiktais datums, izmantojot citas pārmaiņas aktīvu apjomā.</w:t>
      </w:r>
    </w:p>
    <w:p w14:paraId="2B1A5E3B" w14:textId="77777777" w:rsidR="00443399" w:rsidRPr="00B03B51" w:rsidRDefault="00443399" w:rsidP="00443399">
      <w:pPr>
        <w:jc w:val="both"/>
        <w:rPr>
          <w:rFonts w:ascii="Times New Roman" w:eastAsia="Arial" w:hAnsi="Times New Roman" w:cs="Times New Roman"/>
          <w:noProof/>
          <w:sz w:val="24"/>
          <w:szCs w:val="18"/>
        </w:rPr>
      </w:pPr>
    </w:p>
    <w:p w14:paraId="2D9DC4EB" w14:textId="1025181A" w:rsidR="00443399" w:rsidRPr="00B03B51" w:rsidRDefault="00443399" w:rsidP="00443399">
      <w:pPr>
        <w:pStyle w:val="Heading3"/>
        <w:ind w:left="0" w:firstLine="0"/>
        <w:jc w:val="both"/>
        <w:rPr>
          <w:rFonts w:ascii="Times New Roman" w:hAnsi="Times New Roman" w:cs="Times New Roman"/>
          <w:noProof/>
          <w:sz w:val="24"/>
        </w:rPr>
      </w:pPr>
      <w:bookmarkStart w:id="549" w:name="6.5.3_Accounting_examples"/>
      <w:bookmarkStart w:id="550" w:name="_Toc67565193"/>
      <w:bookmarkEnd w:id="549"/>
      <w:r w:rsidRPr="00B03B51">
        <w:rPr>
          <w:rFonts w:ascii="Times New Roman" w:hAnsi="Times New Roman" w:cs="Times New Roman"/>
          <w:sz w:val="24"/>
        </w:rPr>
        <w:t>6.5.</w:t>
      </w:r>
      <w:r w:rsidR="004038EC">
        <w:rPr>
          <w:rFonts w:ascii="Times New Roman" w:hAnsi="Times New Roman" w:cs="Times New Roman"/>
          <w:sz w:val="24"/>
        </w:rPr>
        <w:t>4</w:t>
      </w:r>
      <w:r w:rsidRPr="00B03B51">
        <w:rPr>
          <w:rFonts w:ascii="Times New Roman" w:hAnsi="Times New Roman" w:cs="Times New Roman"/>
          <w:sz w:val="24"/>
        </w:rPr>
        <w:t>. Uzskaites piemēri</w:t>
      </w:r>
      <w:bookmarkEnd w:id="550"/>
    </w:p>
    <w:p w14:paraId="189829CA" w14:textId="77777777" w:rsidR="00443399" w:rsidRPr="00B03B51" w:rsidRDefault="00443399" w:rsidP="00443399">
      <w:pPr>
        <w:tabs>
          <w:tab w:val="left" w:pos="843"/>
        </w:tabs>
        <w:jc w:val="both"/>
        <w:rPr>
          <w:rFonts w:ascii="Times New Roman" w:hAnsi="Times New Roman" w:cs="Times New Roman"/>
          <w:b/>
          <w:noProof/>
          <w:sz w:val="24"/>
        </w:rPr>
      </w:pPr>
    </w:p>
    <w:p w14:paraId="2087E9A0"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1. Izsolīto emisijas kvotu ietekme</w:t>
      </w:r>
    </w:p>
    <w:p w14:paraId="191A5E4B" w14:textId="77777777" w:rsidR="00443399" w:rsidRPr="00B03B51" w:rsidRDefault="00443399" w:rsidP="00443399">
      <w:pPr>
        <w:tabs>
          <w:tab w:val="left" w:pos="843"/>
        </w:tabs>
        <w:jc w:val="both"/>
        <w:rPr>
          <w:rFonts w:ascii="Times New Roman" w:hAnsi="Times New Roman" w:cs="Times New Roman"/>
          <w:b/>
          <w:noProof/>
          <w:sz w:val="24"/>
        </w:rPr>
      </w:pPr>
    </w:p>
    <w:p w14:paraId="23A01B72" w14:textId="77777777" w:rsidR="00443399" w:rsidRPr="00B03B51" w:rsidRDefault="00443399" w:rsidP="009130CD">
      <w:pPr>
        <w:numPr>
          <w:ilvl w:val="1"/>
          <w:numId w:val="44"/>
        </w:numPr>
        <w:ind w:left="426" w:hanging="425"/>
        <w:jc w:val="both"/>
        <w:rPr>
          <w:rFonts w:ascii="Times New Roman" w:hAnsi="Times New Roman" w:cs="Times New Roman"/>
          <w:b/>
          <w:noProof/>
          <w:sz w:val="24"/>
        </w:rPr>
      </w:pPr>
      <w:r w:rsidRPr="00B03B51">
        <w:rPr>
          <w:rFonts w:ascii="Times New Roman" w:hAnsi="Times New Roman" w:cs="Times New Roman"/>
          <w:b/>
          <w:sz w:val="24"/>
        </w:rPr>
        <w:t>Valdība izsola emisijas kvotas, kuras tiek nodotas turpmāko divu gadu laikā</w:t>
      </w:r>
    </w:p>
    <w:p w14:paraId="5049A0BB" w14:textId="77777777" w:rsidR="00443399" w:rsidRPr="00B03B51" w:rsidRDefault="00443399" w:rsidP="00443399">
      <w:pPr>
        <w:pStyle w:val="BodyText"/>
        <w:tabs>
          <w:tab w:val="left" w:pos="1411"/>
        </w:tabs>
        <w:spacing w:before="0"/>
        <w:ind w:left="0" w:firstLine="0"/>
        <w:jc w:val="both"/>
        <w:rPr>
          <w:rFonts w:ascii="Times New Roman" w:hAnsi="Times New Roman" w:cs="Times New Roman"/>
          <w:noProof/>
          <w:sz w:val="24"/>
        </w:rPr>
      </w:pPr>
    </w:p>
    <w:p w14:paraId="33A8083E" w14:textId="77777777" w:rsidR="00443399" w:rsidRPr="00B03B51" w:rsidRDefault="00443399" w:rsidP="009130CD">
      <w:pPr>
        <w:pStyle w:val="BodyText"/>
        <w:numPr>
          <w:ilvl w:val="2"/>
          <w:numId w:val="44"/>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 xml:space="preserve">Kvotu dominējošā tirgus cena </w:t>
      </w:r>
      <w:r w:rsidRPr="00B03B51">
        <w:rPr>
          <w:rFonts w:ascii="Times New Roman" w:hAnsi="Times New Roman" w:cs="Times New Roman"/>
          <w:i/>
          <w:iCs/>
          <w:sz w:val="24"/>
        </w:rPr>
        <w:t>t</w:t>
      </w:r>
      <w:r w:rsidRPr="00B03B51">
        <w:rPr>
          <w:rFonts w:ascii="Times New Roman" w:hAnsi="Times New Roman" w:cs="Times New Roman"/>
          <w:sz w:val="24"/>
        </w:rPr>
        <w:t> gadā ir viena naudas vienība par katru atļauju.</w:t>
      </w:r>
    </w:p>
    <w:p w14:paraId="5050F1FD" w14:textId="77777777" w:rsidR="00443399" w:rsidRPr="00B03B51" w:rsidRDefault="00443399" w:rsidP="009130CD">
      <w:pPr>
        <w:pStyle w:val="BodyText"/>
        <w:numPr>
          <w:ilvl w:val="2"/>
          <w:numId w:val="44"/>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Vienkāršošanas nolūkā uzņēmumiem nav “bezmaksas” vai importēto atļauju.</w:t>
      </w:r>
    </w:p>
    <w:p w14:paraId="4C604AFB" w14:textId="77777777" w:rsidR="00443399" w:rsidRPr="00B03B51" w:rsidRDefault="00443399" w:rsidP="009130CD">
      <w:pPr>
        <w:pStyle w:val="BodyText"/>
        <w:numPr>
          <w:ilvl w:val="2"/>
          <w:numId w:val="44"/>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 xml:space="preserve">Valdība </w:t>
      </w:r>
      <w:r w:rsidRPr="00B03B51">
        <w:rPr>
          <w:rFonts w:ascii="Times New Roman" w:hAnsi="Times New Roman" w:cs="Times New Roman"/>
          <w:i/>
          <w:iCs/>
          <w:sz w:val="24"/>
        </w:rPr>
        <w:t>t</w:t>
      </w:r>
      <w:r w:rsidRPr="00B03B51">
        <w:rPr>
          <w:rFonts w:ascii="Times New Roman" w:hAnsi="Times New Roman" w:cs="Times New Roman"/>
          <w:sz w:val="24"/>
        </w:rPr>
        <w:t> gadā izsola arī 1000 kvotas par 1000 naudas vienībām.</w:t>
      </w:r>
    </w:p>
    <w:p w14:paraId="25295162" w14:textId="77777777" w:rsidR="00443399" w:rsidRPr="00B03B51" w:rsidRDefault="00443399" w:rsidP="009130CD">
      <w:pPr>
        <w:pStyle w:val="BodyText"/>
        <w:numPr>
          <w:ilvl w:val="2"/>
          <w:numId w:val="44"/>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 xml:space="preserve">Gadā </w:t>
      </w:r>
      <w:r w:rsidRPr="00B03B51">
        <w:rPr>
          <w:rFonts w:ascii="Times New Roman" w:hAnsi="Times New Roman" w:cs="Times New Roman"/>
          <w:i/>
          <w:iCs/>
          <w:sz w:val="24"/>
        </w:rPr>
        <w:t>t+1</w:t>
      </w:r>
      <w:r w:rsidRPr="00B03B51">
        <w:rPr>
          <w:rFonts w:ascii="Times New Roman" w:hAnsi="Times New Roman" w:cs="Times New Roman"/>
          <w:sz w:val="24"/>
        </w:rPr>
        <w:t xml:space="preserve"> uzņēmumi nodod 500 kvotas.</w:t>
      </w:r>
    </w:p>
    <w:p w14:paraId="3D23DA0B" w14:textId="77777777" w:rsidR="00443399" w:rsidRPr="00B03B51" w:rsidRDefault="00443399" w:rsidP="00443399">
      <w:pPr>
        <w:jc w:val="both"/>
        <w:rPr>
          <w:rFonts w:ascii="Times New Roman" w:hAnsi="Times New Roman" w:cs="Times New Roman"/>
          <w:b/>
          <w:noProof/>
          <w:sz w:val="24"/>
        </w:rPr>
      </w:pPr>
    </w:p>
    <w:p w14:paraId="2370AFB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 xml:space="preserve">Gads </w:t>
      </w:r>
      <w:r w:rsidRPr="00B03B51">
        <w:rPr>
          <w:rFonts w:ascii="Times New Roman" w:hAnsi="Times New Roman" w:cs="Times New Roman"/>
          <w:b/>
          <w:i/>
          <w:iCs/>
          <w:sz w:val="24"/>
        </w:rPr>
        <w:t>t</w:t>
      </w:r>
    </w:p>
    <w:p w14:paraId="3512B409" w14:textId="77777777" w:rsidR="00443399" w:rsidRPr="00B03B51" w:rsidRDefault="00443399" w:rsidP="00443399">
      <w:pPr>
        <w:jc w:val="both"/>
        <w:rPr>
          <w:rFonts w:ascii="Times New Roman" w:eastAsia="Arial" w:hAnsi="Times New Roman" w:cs="Times New Roman"/>
          <w:noProof/>
          <w:sz w:val="24"/>
          <w:szCs w:val="20"/>
        </w:rPr>
      </w:pPr>
    </w:p>
    <w:p w14:paraId="299196F6"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0140370F" wp14:editId="178CE65D">
            <wp:extent cx="5756275" cy="3859530"/>
            <wp:effectExtent l="0" t="0" r="0" b="762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56275" cy="3859530"/>
                    </a:xfrm>
                    <a:prstGeom prst="rect">
                      <a:avLst/>
                    </a:prstGeom>
                  </pic:spPr>
                </pic:pic>
              </a:graphicData>
            </a:graphic>
          </wp:inline>
        </w:drawing>
      </w:r>
    </w:p>
    <w:p w14:paraId="51591F1A" w14:textId="77777777" w:rsidR="00443399" w:rsidRPr="00B03B51" w:rsidRDefault="00443399" w:rsidP="00443399">
      <w:pPr>
        <w:jc w:val="both"/>
        <w:rPr>
          <w:rFonts w:ascii="Times New Roman" w:eastAsia="Arial" w:hAnsi="Times New Roman" w:cs="Times New Roman"/>
          <w:noProof/>
          <w:sz w:val="24"/>
          <w:szCs w:val="19"/>
        </w:rPr>
      </w:pPr>
    </w:p>
    <w:p w14:paraId="630B0A1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sz w:val="24"/>
        </w:rPr>
        <w:t>Paskaidrojums.</w:t>
      </w:r>
      <w:r w:rsidRPr="00B03B51">
        <w:rPr>
          <w:rFonts w:ascii="Times New Roman" w:hAnsi="Times New Roman" w:cs="Times New Roman"/>
          <w:sz w:val="24"/>
        </w:rPr>
        <w:t xml:space="preserve"> Kvotu izsole par 1000 naudas vienībām skaidrā naudā tiek ierakstīta kā finanšu darījums (ar pretvērtību pozīcijā F.8), ņemot vērā, ka attiecīgie ieņēmumi tiks ierakstīti tikai turpmākajos gados, kad tiks nodotas kvotas.</w:t>
      </w:r>
    </w:p>
    <w:p w14:paraId="398E6EBE" w14:textId="77777777" w:rsidR="00443399" w:rsidRPr="00B03B51" w:rsidRDefault="00443399" w:rsidP="00443399">
      <w:pPr>
        <w:jc w:val="both"/>
        <w:rPr>
          <w:rFonts w:ascii="Times New Roman" w:hAnsi="Times New Roman" w:cs="Times New Roman"/>
          <w:noProof/>
          <w:sz w:val="24"/>
        </w:rPr>
      </w:pPr>
    </w:p>
    <w:p w14:paraId="283B41D2"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lastRenderedPageBreak/>
        <w:t xml:space="preserve">Gads </w:t>
      </w:r>
      <w:r w:rsidRPr="00B03B51">
        <w:rPr>
          <w:rFonts w:ascii="Times New Roman" w:hAnsi="Times New Roman" w:cs="Times New Roman"/>
          <w:b/>
          <w:i/>
          <w:iCs/>
          <w:sz w:val="24"/>
        </w:rPr>
        <w:t>t+1</w:t>
      </w:r>
    </w:p>
    <w:p w14:paraId="0458E41E" w14:textId="77777777" w:rsidR="00443399" w:rsidRPr="00B03B51" w:rsidRDefault="00443399" w:rsidP="00443399">
      <w:pPr>
        <w:keepNext/>
        <w:jc w:val="both"/>
        <w:rPr>
          <w:rFonts w:ascii="Times New Roman" w:eastAsia="Arial" w:hAnsi="Times New Roman" w:cs="Times New Roman"/>
          <w:noProof/>
          <w:sz w:val="24"/>
          <w:szCs w:val="17"/>
        </w:rPr>
      </w:pPr>
    </w:p>
    <w:p w14:paraId="613409AB" w14:textId="77777777" w:rsidR="00443399" w:rsidRPr="00B03B51" w:rsidRDefault="00443399" w:rsidP="00443399">
      <w:pPr>
        <w:keepNext/>
        <w:jc w:val="center"/>
        <w:rPr>
          <w:rFonts w:ascii="Times New Roman" w:eastAsia="Arial" w:hAnsi="Times New Roman" w:cs="Times New Roman"/>
          <w:noProof/>
          <w:sz w:val="24"/>
          <w:szCs w:val="17"/>
        </w:rPr>
      </w:pPr>
      <w:r w:rsidRPr="00B03B51">
        <w:rPr>
          <w:rFonts w:ascii="Times New Roman" w:hAnsi="Times New Roman" w:cs="Times New Roman"/>
          <w:noProof/>
        </w:rPr>
        <w:drawing>
          <wp:inline distT="0" distB="0" distL="0" distR="0" wp14:anchorId="136E32D5" wp14:editId="05A0CCD0">
            <wp:extent cx="5756275" cy="4053205"/>
            <wp:effectExtent l="0" t="0" r="0" b="4445"/>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56275" cy="4053205"/>
                    </a:xfrm>
                    <a:prstGeom prst="rect">
                      <a:avLst/>
                    </a:prstGeom>
                  </pic:spPr>
                </pic:pic>
              </a:graphicData>
            </a:graphic>
          </wp:inline>
        </w:drawing>
      </w:r>
    </w:p>
    <w:p w14:paraId="2463DCDC" w14:textId="77777777" w:rsidR="00443399" w:rsidRPr="00B03B51" w:rsidRDefault="00443399" w:rsidP="00443399">
      <w:pPr>
        <w:jc w:val="both"/>
        <w:rPr>
          <w:rFonts w:ascii="Times New Roman" w:eastAsia="Arial" w:hAnsi="Times New Roman" w:cs="Times New Roman"/>
          <w:noProof/>
          <w:sz w:val="24"/>
          <w:szCs w:val="17"/>
        </w:rPr>
      </w:pPr>
    </w:p>
    <w:p w14:paraId="261CA17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Paskaidrojums.</w:t>
      </w:r>
      <w:r w:rsidRPr="00B03B51">
        <w:rPr>
          <w:rFonts w:ascii="Times New Roman" w:hAnsi="Times New Roman" w:cs="Times New Roman"/>
          <w:sz w:val="24"/>
        </w:rPr>
        <w:t xml:space="preserve"> Vidējā vienas atļaujas izsoles cena gada </w:t>
      </w:r>
      <w:r w:rsidRPr="00B03B51">
        <w:rPr>
          <w:rFonts w:ascii="Times New Roman" w:hAnsi="Times New Roman" w:cs="Times New Roman"/>
          <w:i/>
          <w:iCs/>
          <w:sz w:val="24"/>
        </w:rPr>
        <w:t>t+1</w:t>
      </w:r>
      <w:r w:rsidRPr="00B03B51">
        <w:rPr>
          <w:rFonts w:ascii="Times New Roman" w:hAnsi="Times New Roman" w:cs="Times New Roman"/>
          <w:sz w:val="24"/>
        </w:rPr>
        <w:t xml:space="preserve"> sākumā ir kopējie izsoles ieņēmumi, kas gūti, izsolot 1000 kvotas, dalīti ar valsts iekšējās izsolēs iegūto kvotu skaitu (1000), proti, 1 naudas vienība. Tā kā gadā </w:t>
      </w:r>
      <w:r w:rsidRPr="00B03B51">
        <w:rPr>
          <w:rFonts w:ascii="Times New Roman" w:hAnsi="Times New Roman" w:cs="Times New Roman"/>
          <w:i/>
          <w:iCs/>
          <w:sz w:val="24"/>
        </w:rPr>
        <w:t>t+1</w:t>
      </w:r>
      <w:r w:rsidRPr="00B03B51">
        <w:rPr>
          <w:rFonts w:ascii="Times New Roman" w:hAnsi="Times New Roman" w:cs="Times New Roman"/>
          <w:sz w:val="24"/>
        </w:rPr>
        <w:t xml:space="preserve"> tika nodotas 500 kvotas, citu ražošanas nodokļu vērtība jāieraksta 500*1=500 naudas vienību apmērā. Šo ieņēmumu pretvērtība valdībai ir citu kreditora saistību samazinājums un vienībām – debitora saistību samazinājums. Ja vienībām būtu bijušas “bezmaksas” vai importētās atļaujas, pēdējās minētās būtu jāieraksta kā AN.2 (ar citām apjoma pārmaiņām pirmajā gadījumā, ar darījumu otrajā gadījumā). Šīm atļaujām vērtība jānosaka tirgus cenās (iespējams, veicot pārvērtēšanu). Tomēr piemērā tiek uzskatīts, ka “izsolītās” atļaujas izmantotas prioritāri un pārējās atļaujas tiktu nodotas tikai tad, kad “izsolīto” atļauju krājums ir izsmelts.</w:t>
      </w:r>
    </w:p>
    <w:p w14:paraId="336A2466" w14:textId="77777777" w:rsidR="00443399" w:rsidRPr="00B03B51" w:rsidRDefault="00443399" w:rsidP="00443399">
      <w:pPr>
        <w:jc w:val="both"/>
        <w:rPr>
          <w:rFonts w:ascii="Times New Roman" w:hAnsi="Times New Roman" w:cs="Times New Roman"/>
          <w:noProof/>
          <w:sz w:val="24"/>
        </w:rPr>
      </w:pPr>
    </w:p>
    <w:p w14:paraId="0A032750" w14:textId="77777777" w:rsidR="00443399" w:rsidRPr="00B03B51" w:rsidRDefault="00443399" w:rsidP="006C1284">
      <w:pPr>
        <w:keepNext/>
        <w:tabs>
          <w:tab w:val="left" w:pos="843"/>
        </w:tabs>
        <w:jc w:val="both"/>
        <w:rPr>
          <w:rFonts w:ascii="Times New Roman" w:hAnsi="Times New Roman" w:cs="Times New Roman"/>
          <w:b/>
          <w:noProof/>
          <w:sz w:val="24"/>
        </w:rPr>
      </w:pPr>
      <w:r w:rsidRPr="00B03B51">
        <w:rPr>
          <w:rFonts w:ascii="Times New Roman" w:hAnsi="Times New Roman" w:cs="Times New Roman"/>
          <w:b/>
          <w:sz w:val="24"/>
        </w:rPr>
        <w:t>2. Noteiktā daudzuma vienību (jeb atļauju) pārdošanas ietekme</w:t>
      </w:r>
    </w:p>
    <w:p w14:paraId="3607DBC4" w14:textId="77777777" w:rsidR="00443399" w:rsidRPr="00B03B51" w:rsidRDefault="00443399" w:rsidP="006C1284">
      <w:pPr>
        <w:keepNext/>
        <w:tabs>
          <w:tab w:val="left" w:pos="843"/>
        </w:tabs>
        <w:jc w:val="both"/>
        <w:rPr>
          <w:rFonts w:ascii="Times New Roman" w:hAnsi="Times New Roman" w:cs="Times New Roman"/>
          <w:b/>
          <w:noProof/>
          <w:sz w:val="24"/>
        </w:rPr>
      </w:pPr>
    </w:p>
    <w:p w14:paraId="6686AE6A" w14:textId="77777777" w:rsidR="00443399" w:rsidRPr="00B03B51" w:rsidRDefault="00443399" w:rsidP="006C1284">
      <w:pPr>
        <w:keepNext/>
        <w:numPr>
          <w:ilvl w:val="1"/>
          <w:numId w:val="44"/>
        </w:numPr>
        <w:ind w:left="425" w:hanging="425"/>
        <w:jc w:val="both"/>
        <w:rPr>
          <w:rFonts w:ascii="Times New Roman" w:eastAsia="Arial" w:hAnsi="Times New Roman" w:cs="Times New Roman"/>
          <w:noProof/>
          <w:sz w:val="24"/>
          <w:szCs w:val="19"/>
        </w:rPr>
      </w:pPr>
      <w:r w:rsidRPr="00B03B51">
        <w:rPr>
          <w:rFonts w:ascii="Times New Roman" w:hAnsi="Times New Roman" w:cs="Times New Roman"/>
          <w:b/>
          <w:sz w:val="24"/>
        </w:rPr>
        <w:t xml:space="preserve">Valdība A pārdod noteiktā daudzuma vienības valdībai B par 200 naudas vienībām </w:t>
      </w:r>
      <w:r w:rsidRPr="00B03B51">
        <w:rPr>
          <w:rFonts w:ascii="Times New Roman" w:hAnsi="Times New Roman" w:cs="Times New Roman"/>
          <w:b/>
          <w:i/>
          <w:iCs/>
          <w:sz w:val="24"/>
        </w:rPr>
        <w:lastRenderedPageBreak/>
        <w:t>t</w:t>
      </w:r>
      <w:r w:rsidRPr="00B03B51">
        <w:rPr>
          <w:rFonts w:ascii="Times New Roman" w:hAnsi="Times New Roman" w:cs="Times New Roman"/>
          <w:b/>
          <w:sz w:val="24"/>
        </w:rPr>
        <w:t> gadā.</w:t>
      </w:r>
    </w:p>
    <w:p w14:paraId="57DE0BE5" w14:textId="77777777" w:rsidR="00443399" w:rsidRPr="00B03B51" w:rsidRDefault="00443399" w:rsidP="006C1284">
      <w:pPr>
        <w:keepNext/>
        <w:jc w:val="both"/>
        <w:rPr>
          <w:rFonts w:ascii="Times New Roman" w:hAnsi="Times New Roman" w:cs="Times New Roman"/>
          <w:b/>
          <w:noProof/>
          <w:sz w:val="24"/>
        </w:rPr>
      </w:pPr>
    </w:p>
    <w:p w14:paraId="7C7B45E6" w14:textId="77777777" w:rsidR="00443399" w:rsidRPr="00B03B51" w:rsidRDefault="00443399" w:rsidP="006C1284">
      <w:pPr>
        <w:keepNext/>
        <w:jc w:val="both"/>
        <w:rPr>
          <w:rFonts w:ascii="Times New Roman" w:hAnsi="Times New Roman" w:cs="Times New Roman"/>
          <w:b/>
          <w:noProof/>
          <w:sz w:val="24"/>
        </w:rPr>
      </w:pPr>
      <w:r w:rsidRPr="00B03B51">
        <w:rPr>
          <w:rFonts w:ascii="Times New Roman" w:hAnsi="Times New Roman" w:cs="Times New Roman"/>
          <w:b/>
          <w:sz w:val="24"/>
        </w:rPr>
        <w:t xml:space="preserve">Gads </w:t>
      </w:r>
      <w:r w:rsidRPr="00B03B51">
        <w:rPr>
          <w:rFonts w:ascii="Times New Roman" w:hAnsi="Times New Roman" w:cs="Times New Roman"/>
          <w:b/>
          <w:i/>
          <w:iCs/>
          <w:sz w:val="24"/>
        </w:rPr>
        <w:t>t</w:t>
      </w:r>
    </w:p>
    <w:p w14:paraId="20359679" w14:textId="77777777" w:rsidR="00443399" w:rsidRPr="00B03B51" w:rsidRDefault="00443399" w:rsidP="006C1284">
      <w:pPr>
        <w:keepNext/>
        <w:jc w:val="both"/>
        <w:rPr>
          <w:rFonts w:ascii="Times New Roman" w:eastAsia="Arial" w:hAnsi="Times New Roman" w:cs="Times New Roman"/>
          <w:b/>
          <w:bCs/>
          <w:noProof/>
          <w:sz w:val="24"/>
          <w:szCs w:val="10"/>
        </w:rPr>
      </w:pPr>
    </w:p>
    <w:p w14:paraId="42DA54A2" w14:textId="77777777" w:rsidR="00443399" w:rsidRPr="00B03B51" w:rsidRDefault="00443399" w:rsidP="006C1284">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04DDEC6A" wp14:editId="50C3418E">
            <wp:extent cx="5756275" cy="1899285"/>
            <wp:effectExtent l="0" t="0" r="0" b="5715"/>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56275" cy="1899285"/>
                    </a:xfrm>
                    <a:prstGeom prst="rect">
                      <a:avLst/>
                    </a:prstGeom>
                  </pic:spPr>
                </pic:pic>
              </a:graphicData>
            </a:graphic>
          </wp:inline>
        </w:drawing>
      </w:r>
    </w:p>
    <w:p w14:paraId="4CED98ED" w14:textId="77777777" w:rsidR="00443399" w:rsidRPr="00B03B51" w:rsidRDefault="00443399" w:rsidP="006C1284">
      <w:pPr>
        <w:keepNext/>
        <w:jc w:val="center"/>
        <w:rPr>
          <w:rFonts w:ascii="Times New Roman" w:eastAsia="Arial" w:hAnsi="Times New Roman" w:cs="Times New Roman"/>
          <w:b/>
          <w:bCs/>
          <w:noProof/>
          <w:sz w:val="24"/>
          <w:szCs w:val="17"/>
        </w:rPr>
      </w:pPr>
      <w:r w:rsidRPr="00B03B51">
        <w:rPr>
          <w:rFonts w:ascii="Times New Roman" w:hAnsi="Times New Roman" w:cs="Times New Roman"/>
          <w:noProof/>
        </w:rPr>
        <w:drawing>
          <wp:inline distT="0" distB="0" distL="0" distR="0" wp14:anchorId="6DB6C692" wp14:editId="17ECC73A">
            <wp:extent cx="5756275" cy="1298575"/>
            <wp:effectExtent l="0" t="0" r="0"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56275" cy="1298575"/>
                    </a:xfrm>
                    <a:prstGeom prst="rect">
                      <a:avLst/>
                    </a:prstGeom>
                  </pic:spPr>
                </pic:pic>
              </a:graphicData>
            </a:graphic>
          </wp:inline>
        </w:drawing>
      </w:r>
    </w:p>
    <w:p w14:paraId="5210A047" w14:textId="77777777" w:rsidR="00443399" w:rsidRPr="00B03B51" w:rsidRDefault="00443399" w:rsidP="006C1284">
      <w:pPr>
        <w:keepNext/>
        <w:jc w:val="both"/>
        <w:rPr>
          <w:rFonts w:ascii="Times New Roman" w:eastAsia="Arial" w:hAnsi="Times New Roman" w:cs="Times New Roman"/>
          <w:b/>
          <w:bCs/>
          <w:noProof/>
          <w:sz w:val="24"/>
          <w:szCs w:val="17"/>
        </w:rPr>
      </w:pPr>
    </w:p>
    <w:p w14:paraId="62E19803" w14:textId="77777777" w:rsidR="00443399" w:rsidRPr="00B03B51" w:rsidRDefault="00443399" w:rsidP="006C1284">
      <w:pPr>
        <w:pStyle w:val="BodyText"/>
        <w:keepNext/>
        <w:spacing w:before="0"/>
        <w:ind w:left="0" w:firstLine="0"/>
        <w:jc w:val="both"/>
        <w:rPr>
          <w:rFonts w:ascii="Times New Roman" w:hAnsi="Times New Roman" w:cs="Times New Roman"/>
          <w:noProof/>
          <w:sz w:val="24"/>
        </w:rPr>
      </w:pPr>
      <w:r w:rsidRPr="00B03B51">
        <w:rPr>
          <w:rFonts w:ascii="Times New Roman" w:hAnsi="Times New Roman" w:cs="Times New Roman"/>
          <w:b/>
          <w:sz w:val="24"/>
        </w:rPr>
        <w:t>Paskaidrojums.</w:t>
      </w:r>
      <w:r w:rsidRPr="00B03B51">
        <w:rPr>
          <w:rFonts w:ascii="Times New Roman" w:hAnsi="Times New Roman" w:cs="Times New Roman"/>
          <w:sz w:val="24"/>
        </w:rPr>
        <w:t xml:space="preserve"> Tiek pieņemts, ka noteiktā daudzuma vienības ir nefinanšu neražoti aktīvi (skat. paskaidrojumu iepriekš). Tāpēc tās jāiekļauj šādu aktīvu (AN.22) kopumā, un to pārdošana (pirkšana) valdībai A nozīmē nefinanšu neražoto aktīvu realizāciju (iegādi) (NP.2). Valdībai B jāieraksta neražotu nefinanšu aktīvu simetriska pirkšana (iegāde).</w:t>
      </w:r>
    </w:p>
    <w:p w14:paraId="03918B3A"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0196E546" w14:textId="77777777" w:rsidR="00443399" w:rsidRPr="00B03B51" w:rsidRDefault="00443399" w:rsidP="00443399">
      <w:pPr>
        <w:jc w:val="both"/>
        <w:rPr>
          <w:rFonts w:ascii="Times New Roman" w:hAnsi="Times New Roman" w:cs="Times New Roman"/>
          <w:noProof/>
          <w:sz w:val="24"/>
        </w:rPr>
      </w:pPr>
    </w:p>
    <w:p w14:paraId="14E6608F"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51" w:name="6.6_Keywords_and_accounting_references"/>
      <w:bookmarkStart w:id="552" w:name="_bookmark53"/>
      <w:bookmarkStart w:id="553" w:name="_Toc67565194"/>
      <w:bookmarkEnd w:id="551"/>
      <w:bookmarkEnd w:id="552"/>
      <w:r w:rsidRPr="00B03B51">
        <w:rPr>
          <w:rFonts w:ascii="Times New Roman" w:hAnsi="Times New Roman" w:cs="Times New Roman"/>
          <w:sz w:val="28"/>
          <w:szCs w:val="44"/>
        </w:rPr>
        <w:t>6.6. Atslēgvārdi un atsauces</w:t>
      </w:r>
      <w:bookmarkEnd w:id="553"/>
    </w:p>
    <w:p w14:paraId="65131548" w14:textId="77777777" w:rsidR="00443399" w:rsidRPr="00B03B51" w:rsidRDefault="00443399" w:rsidP="00443399">
      <w:pPr>
        <w:jc w:val="both"/>
        <w:rPr>
          <w:rFonts w:ascii="Times New Roman" w:eastAsia="Arial" w:hAnsi="Times New Roman" w:cs="Times New Roman"/>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4824"/>
        <w:gridCol w:w="4247"/>
      </w:tblGrid>
      <w:tr w:rsidR="00443399" w:rsidRPr="00B03B51" w14:paraId="7AB95E9C" w14:textId="77777777" w:rsidTr="0054365B">
        <w:tc>
          <w:tcPr>
            <w:tcW w:w="2659" w:type="pct"/>
            <w:tcBorders>
              <w:top w:val="nil"/>
              <w:left w:val="nil"/>
              <w:bottom w:val="nil"/>
              <w:right w:val="nil"/>
            </w:tcBorders>
          </w:tcPr>
          <w:p w14:paraId="28244D8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Ekonomiskais aktīvs</w:t>
            </w:r>
          </w:p>
        </w:tc>
        <w:tc>
          <w:tcPr>
            <w:tcW w:w="2341" w:type="pct"/>
            <w:tcBorders>
              <w:top w:val="nil"/>
              <w:left w:val="nil"/>
              <w:bottom w:val="nil"/>
              <w:right w:val="nil"/>
            </w:tcBorders>
          </w:tcPr>
          <w:p w14:paraId="13BDFDA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7.15.–7.18. punkts</w:t>
            </w:r>
          </w:p>
        </w:tc>
      </w:tr>
      <w:tr w:rsidR="00443399" w:rsidRPr="00B03B51" w14:paraId="6A942EA4" w14:textId="77777777" w:rsidTr="0054365B">
        <w:tc>
          <w:tcPr>
            <w:tcW w:w="2659" w:type="pct"/>
            <w:tcBorders>
              <w:top w:val="nil"/>
              <w:left w:val="nil"/>
              <w:bottom w:val="nil"/>
              <w:right w:val="nil"/>
            </w:tcBorders>
          </w:tcPr>
          <w:p w14:paraId="346F908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Neražoto aktīvu izslēgšana no ekonomikas (K.2)</w:t>
            </w:r>
          </w:p>
        </w:tc>
        <w:tc>
          <w:tcPr>
            <w:tcW w:w="2341" w:type="pct"/>
            <w:tcBorders>
              <w:top w:val="nil"/>
              <w:left w:val="nil"/>
              <w:bottom w:val="nil"/>
              <w:right w:val="nil"/>
            </w:tcBorders>
          </w:tcPr>
          <w:p w14:paraId="3708E05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6.07. punkts</w:t>
            </w:r>
          </w:p>
        </w:tc>
      </w:tr>
      <w:tr w:rsidR="00443399" w:rsidRPr="00B03B51" w14:paraId="5770094F" w14:textId="77777777" w:rsidTr="0054365B">
        <w:tc>
          <w:tcPr>
            <w:tcW w:w="2659" w:type="pct"/>
            <w:tcBorders>
              <w:top w:val="nil"/>
              <w:left w:val="nil"/>
              <w:bottom w:val="nil"/>
              <w:right w:val="nil"/>
            </w:tcBorders>
          </w:tcPr>
          <w:p w14:paraId="51CE482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noma/ operatīvā noma</w:t>
            </w:r>
          </w:p>
        </w:tc>
        <w:tc>
          <w:tcPr>
            <w:tcW w:w="2341" w:type="pct"/>
            <w:tcBorders>
              <w:top w:val="nil"/>
              <w:left w:val="nil"/>
              <w:bottom w:val="nil"/>
              <w:right w:val="nil"/>
            </w:tcBorders>
          </w:tcPr>
          <w:p w14:paraId="71B2122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15.04. un turpmākie punkti</w:t>
            </w:r>
          </w:p>
        </w:tc>
      </w:tr>
      <w:tr w:rsidR="00443399" w:rsidRPr="00B03B51" w14:paraId="3AF1CD1D" w14:textId="77777777" w:rsidTr="0054365B">
        <w:tc>
          <w:tcPr>
            <w:tcW w:w="2659" w:type="pct"/>
            <w:tcBorders>
              <w:top w:val="nil"/>
              <w:left w:val="nil"/>
              <w:bottom w:val="nil"/>
              <w:right w:val="nil"/>
            </w:tcBorders>
          </w:tcPr>
          <w:p w14:paraId="0022082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Nefinanšu neražotie aktīvi</w:t>
            </w:r>
          </w:p>
        </w:tc>
        <w:tc>
          <w:tcPr>
            <w:tcW w:w="2341" w:type="pct"/>
            <w:tcBorders>
              <w:top w:val="nil"/>
              <w:left w:val="nil"/>
              <w:bottom w:val="nil"/>
              <w:right w:val="nil"/>
            </w:tcBorders>
          </w:tcPr>
          <w:p w14:paraId="349E60B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7.24. punkts un 7.1. pielikums</w:t>
            </w:r>
          </w:p>
        </w:tc>
      </w:tr>
      <w:tr w:rsidR="00443399" w:rsidRPr="00B03B51" w14:paraId="32C9D991" w14:textId="77777777" w:rsidTr="0054365B">
        <w:tc>
          <w:tcPr>
            <w:tcW w:w="2659" w:type="pct"/>
            <w:tcBorders>
              <w:top w:val="nil"/>
              <w:left w:val="nil"/>
              <w:bottom w:val="nil"/>
              <w:right w:val="nil"/>
            </w:tcBorders>
          </w:tcPr>
          <w:p w14:paraId="695697F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Citi kārtējie nodokļi</w:t>
            </w:r>
          </w:p>
        </w:tc>
        <w:tc>
          <w:tcPr>
            <w:tcW w:w="2341" w:type="pct"/>
            <w:tcBorders>
              <w:top w:val="nil"/>
              <w:left w:val="nil"/>
              <w:bottom w:val="nil"/>
              <w:right w:val="nil"/>
            </w:tcBorders>
          </w:tcPr>
          <w:p w14:paraId="3A10D50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4.79.–4.80. punkts</w:t>
            </w:r>
          </w:p>
        </w:tc>
      </w:tr>
      <w:tr w:rsidR="00443399" w:rsidRPr="00B03B51" w14:paraId="243D6C1D" w14:textId="77777777" w:rsidTr="0054365B">
        <w:tc>
          <w:tcPr>
            <w:tcW w:w="2659" w:type="pct"/>
            <w:tcBorders>
              <w:top w:val="nil"/>
              <w:left w:val="nil"/>
              <w:bottom w:val="nil"/>
              <w:right w:val="nil"/>
            </w:tcBorders>
          </w:tcPr>
          <w:p w14:paraId="04AC6FF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Citi ražošanas nodokļi</w:t>
            </w:r>
          </w:p>
        </w:tc>
        <w:tc>
          <w:tcPr>
            <w:tcW w:w="2341" w:type="pct"/>
            <w:tcBorders>
              <w:top w:val="nil"/>
              <w:left w:val="nil"/>
              <w:bottom w:val="nil"/>
              <w:right w:val="nil"/>
            </w:tcBorders>
          </w:tcPr>
          <w:p w14:paraId="664FF38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4.23. punkts</w:t>
            </w:r>
          </w:p>
        </w:tc>
      </w:tr>
      <w:tr w:rsidR="00443399" w:rsidRPr="00B03B51" w14:paraId="5C890E29" w14:textId="77777777" w:rsidTr="0054365B">
        <w:tc>
          <w:tcPr>
            <w:tcW w:w="2659" w:type="pct"/>
            <w:tcBorders>
              <w:top w:val="nil"/>
              <w:left w:val="nil"/>
              <w:bottom w:val="nil"/>
              <w:right w:val="nil"/>
            </w:tcBorders>
          </w:tcPr>
          <w:p w14:paraId="63695C9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Produkcija</w:t>
            </w:r>
          </w:p>
        </w:tc>
        <w:tc>
          <w:tcPr>
            <w:tcW w:w="2341" w:type="pct"/>
            <w:tcBorders>
              <w:top w:val="nil"/>
              <w:left w:val="nil"/>
              <w:bottom w:val="nil"/>
              <w:right w:val="nil"/>
            </w:tcBorders>
          </w:tcPr>
          <w:p w14:paraId="5C12E93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3.14. un turpmākie punkti</w:t>
            </w:r>
          </w:p>
        </w:tc>
      </w:tr>
      <w:tr w:rsidR="00443399" w:rsidRPr="00B03B51" w14:paraId="3199B30E" w14:textId="77777777" w:rsidTr="0054365B">
        <w:tc>
          <w:tcPr>
            <w:tcW w:w="2659" w:type="pct"/>
            <w:tcBorders>
              <w:top w:val="nil"/>
              <w:left w:val="nil"/>
              <w:bottom w:val="nil"/>
              <w:right w:val="nil"/>
            </w:tcBorders>
          </w:tcPr>
          <w:p w14:paraId="10F1236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Īpašuma ienākums</w:t>
            </w:r>
          </w:p>
        </w:tc>
        <w:tc>
          <w:tcPr>
            <w:tcW w:w="2341" w:type="pct"/>
            <w:tcBorders>
              <w:top w:val="nil"/>
              <w:left w:val="nil"/>
              <w:bottom w:val="nil"/>
              <w:right w:val="nil"/>
            </w:tcBorders>
          </w:tcPr>
          <w:p w14:paraId="0DE8A8A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4.41. punkts</w:t>
            </w:r>
          </w:p>
        </w:tc>
      </w:tr>
      <w:tr w:rsidR="00443399" w:rsidRPr="00B03B51" w14:paraId="59D970CA" w14:textId="77777777" w:rsidTr="0054365B">
        <w:tc>
          <w:tcPr>
            <w:tcW w:w="2659" w:type="pct"/>
            <w:tcBorders>
              <w:top w:val="nil"/>
              <w:left w:val="nil"/>
              <w:bottom w:val="nil"/>
              <w:right w:val="nil"/>
            </w:tcBorders>
          </w:tcPr>
          <w:p w14:paraId="7076EB0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Rente</w:t>
            </w:r>
          </w:p>
        </w:tc>
        <w:tc>
          <w:tcPr>
            <w:tcW w:w="2341" w:type="pct"/>
            <w:tcBorders>
              <w:top w:val="nil"/>
              <w:left w:val="nil"/>
              <w:bottom w:val="nil"/>
              <w:right w:val="nil"/>
            </w:tcBorders>
          </w:tcPr>
          <w:p w14:paraId="1D22C48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4.72–4.76. punkts</w:t>
            </w:r>
          </w:p>
        </w:tc>
      </w:tr>
      <w:tr w:rsidR="00443399" w:rsidRPr="00B03B51" w14:paraId="22EFAF3D" w14:textId="77777777" w:rsidTr="0054365B">
        <w:tc>
          <w:tcPr>
            <w:tcW w:w="2659" w:type="pct"/>
            <w:tcBorders>
              <w:top w:val="nil"/>
              <w:left w:val="nil"/>
              <w:bottom w:val="nil"/>
              <w:right w:val="nil"/>
            </w:tcBorders>
          </w:tcPr>
          <w:p w14:paraId="05C8CCC1"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Plūsmu ierakstīšanas laiks</w:t>
            </w:r>
          </w:p>
        </w:tc>
        <w:tc>
          <w:tcPr>
            <w:tcW w:w="2341" w:type="pct"/>
            <w:tcBorders>
              <w:top w:val="nil"/>
              <w:left w:val="nil"/>
              <w:bottom w:val="nil"/>
              <w:right w:val="nil"/>
            </w:tcBorders>
          </w:tcPr>
          <w:p w14:paraId="0363B3A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1.101. punkts</w:t>
            </w:r>
          </w:p>
        </w:tc>
      </w:tr>
      <w:tr w:rsidR="00443399" w:rsidRPr="00B03B51" w14:paraId="2D0108DD" w14:textId="77777777" w:rsidTr="0054365B">
        <w:tc>
          <w:tcPr>
            <w:tcW w:w="2659" w:type="pct"/>
            <w:tcBorders>
              <w:top w:val="nil"/>
              <w:left w:val="nil"/>
              <w:bottom w:val="nil"/>
              <w:right w:val="nil"/>
            </w:tcBorders>
          </w:tcPr>
          <w:p w14:paraId="60227905"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Darījums ar neražotiem aktīviem</w:t>
            </w:r>
          </w:p>
        </w:tc>
        <w:tc>
          <w:tcPr>
            <w:tcW w:w="2341" w:type="pct"/>
            <w:tcBorders>
              <w:top w:val="nil"/>
              <w:left w:val="nil"/>
              <w:bottom w:val="nil"/>
              <w:right w:val="nil"/>
            </w:tcBorders>
          </w:tcPr>
          <w:p w14:paraId="2589A80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3.184. un turpmākie punkti</w:t>
            </w:r>
          </w:p>
        </w:tc>
      </w:tr>
    </w:tbl>
    <w:p w14:paraId="5BD6799E" w14:textId="77777777" w:rsidR="00443399" w:rsidRPr="00B03B51" w:rsidRDefault="00443399" w:rsidP="00443399">
      <w:pPr>
        <w:rPr>
          <w:rFonts w:ascii="Times New Roman" w:eastAsia="Times New Roman" w:hAnsi="Times New Roman" w:cs="Times New Roman"/>
          <w:noProof/>
          <w:sz w:val="24"/>
          <w:szCs w:val="17"/>
        </w:rPr>
      </w:pPr>
      <w:r w:rsidRPr="00B03B51">
        <w:rPr>
          <w:rFonts w:ascii="Times New Roman" w:hAnsi="Times New Roman" w:cs="Times New Roman"/>
        </w:rPr>
        <w:br w:type="page"/>
      </w:r>
    </w:p>
    <w:p w14:paraId="4E048FF1" w14:textId="77777777" w:rsidR="00443399" w:rsidRPr="00B03B51" w:rsidRDefault="00443399" w:rsidP="00443399">
      <w:pPr>
        <w:jc w:val="both"/>
        <w:rPr>
          <w:rFonts w:ascii="Times New Roman" w:eastAsia="Times New Roman" w:hAnsi="Times New Roman" w:cs="Times New Roman"/>
          <w:noProof/>
          <w:sz w:val="24"/>
          <w:szCs w:val="56"/>
        </w:rPr>
      </w:pPr>
    </w:p>
    <w:p w14:paraId="2012FFD2" w14:textId="77777777" w:rsidR="00443399" w:rsidRPr="00B03B51" w:rsidRDefault="00443399" w:rsidP="00443399">
      <w:pPr>
        <w:pStyle w:val="Heading1"/>
        <w:ind w:left="0"/>
        <w:jc w:val="both"/>
        <w:rPr>
          <w:rFonts w:ascii="Times New Roman" w:hAnsi="Times New Roman" w:cs="Times New Roman"/>
          <w:noProof/>
          <w:sz w:val="28"/>
          <w:szCs w:val="72"/>
        </w:rPr>
      </w:pPr>
      <w:bookmarkStart w:id="554" w:name="7._Debt_related_transactions_and_guarant"/>
      <w:bookmarkStart w:id="555" w:name="_bookmark54"/>
      <w:bookmarkStart w:id="556" w:name="_Toc67565195"/>
      <w:bookmarkEnd w:id="554"/>
      <w:bookmarkEnd w:id="555"/>
      <w:r w:rsidRPr="00B03B51">
        <w:rPr>
          <w:rFonts w:ascii="Times New Roman" w:hAnsi="Times New Roman" w:cs="Times New Roman"/>
          <w:sz w:val="28"/>
          <w:szCs w:val="72"/>
        </w:rPr>
        <w:t>7. Ar parādu saistītie darījumi un garantijas</w:t>
      </w:r>
      <w:bookmarkEnd w:id="556"/>
    </w:p>
    <w:p w14:paraId="0300B620" w14:textId="77777777" w:rsidR="00443399" w:rsidRPr="00B03B51" w:rsidRDefault="00443399" w:rsidP="00443399">
      <w:pPr>
        <w:jc w:val="both"/>
        <w:rPr>
          <w:rFonts w:ascii="Times New Roman" w:eastAsia="Arial" w:hAnsi="Times New Roman" w:cs="Times New Roman"/>
          <w:b/>
          <w:bCs/>
          <w:noProof/>
          <w:sz w:val="28"/>
          <w:szCs w:val="28"/>
        </w:rPr>
      </w:pPr>
    </w:p>
    <w:p w14:paraId="4D57898B"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557" w:name="7.1_Overview"/>
      <w:bookmarkStart w:id="558" w:name="_bookmark55"/>
      <w:bookmarkStart w:id="559" w:name="_Toc67565196"/>
      <w:bookmarkEnd w:id="557"/>
      <w:bookmarkEnd w:id="558"/>
      <w:r w:rsidRPr="00B03B51">
        <w:rPr>
          <w:rFonts w:ascii="Times New Roman" w:hAnsi="Times New Roman" w:cs="Times New Roman"/>
          <w:sz w:val="28"/>
          <w:szCs w:val="44"/>
        </w:rPr>
        <w:t>7.1. Pārskats</w:t>
      </w:r>
      <w:bookmarkEnd w:id="559"/>
    </w:p>
    <w:p w14:paraId="324481E0"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093739D5"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Šajā daļā ir apspriests valdībai pienākošos parādu (valdības aktīvu) traktējums, nevis parāds kā valdības saistības (skat. 8. daļu “Vispārējās valdības parāda apmēra noteikšana”). Dažkārt valdības ar sociālo un ekonomisko attīstību saistītas politikas dēļ vai starptautisko attiecību dēļ atbrīvo atsevišķus ekonomikas subjektus no visām parādsaistībām vai to daļas. Šāda rīcība ietekmē valdības neto aizdevumu/aizņēmumu, jo tā ir brīvprātīgs bagātības pārvedums (kas līdz ar to jāieraksta kā kapitāla pārvedums).</w:t>
      </w:r>
    </w:p>
    <w:p w14:paraId="26B2507C"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21C6700D" w14:textId="5A30BD6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Valdība var a</w:t>
      </w:r>
      <w:r w:rsidR="003340BB" w:rsidRPr="00B03B51">
        <w:rPr>
          <w:rFonts w:ascii="Times New Roman" w:hAnsi="Times New Roman" w:cs="Times New Roman"/>
          <w:sz w:val="24"/>
        </w:rPr>
        <w:t>nulēt</w:t>
      </w:r>
      <w:r w:rsidRPr="00B03B51">
        <w:rPr>
          <w:rFonts w:ascii="Times New Roman" w:hAnsi="Times New Roman" w:cs="Times New Roman"/>
          <w:sz w:val="24"/>
        </w:rPr>
        <w:t xml:space="preserve"> sabiedrībai tai piederošu parādu, lai, uzreiz pēc tam pārdodot sabiedrību, nodrošinātu tai augstāku cenu. Šādā gadījumā parāda </w:t>
      </w:r>
      <w:r w:rsidR="008166A3" w:rsidRPr="00B03B51">
        <w:rPr>
          <w:rFonts w:ascii="Times New Roman" w:hAnsi="Times New Roman" w:cs="Times New Roman"/>
          <w:sz w:val="24"/>
        </w:rPr>
        <w:t>anulēšanu</w:t>
      </w:r>
      <w:r w:rsidRPr="00B03B51">
        <w:rPr>
          <w:rFonts w:ascii="Times New Roman" w:hAnsi="Times New Roman" w:cs="Times New Roman"/>
          <w:sz w:val="24"/>
        </w:rPr>
        <w:t xml:space="preserve"> var ierakstīt kā finanšu darījumu. Parādus var arī </w:t>
      </w:r>
      <w:r w:rsidR="00930B43" w:rsidRPr="00B03B51">
        <w:rPr>
          <w:rFonts w:ascii="Times New Roman" w:hAnsi="Times New Roman" w:cs="Times New Roman"/>
          <w:sz w:val="24"/>
        </w:rPr>
        <w:t>anulēt</w:t>
      </w:r>
      <w:r w:rsidRPr="00B03B51">
        <w:rPr>
          <w:rFonts w:ascii="Times New Roman" w:hAnsi="Times New Roman" w:cs="Times New Roman"/>
          <w:sz w:val="24"/>
        </w:rPr>
        <w:t xml:space="preserve"> tādēļ, ka parādnieks vairs nepastāv ne tikai juridiski, bet arī praktiski. Šādā gadījumā noteiktos apstākļos parāda </w:t>
      </w:r>
      <w:r w:rsidR="00211211" w:rsidRPr="00B03B51">
        <w:rPr>
          <w:rFonts w:ascii="Times New Roman" w:hAnsi="Times New Roman" w:cs="Times New Roman"/>
          <w:sz w:val="24"/>
        </w:rPr>
        <w:t>anulēšanu</w:t>
      </w:r>
      <w:r w:rsidRPr="00B03B51">
        <w:rPr>
          <w:rFonts w:ascii="Times New Roman" w:hAnsi="Times New Roman" w:cs="Times New Roman"/>
          <w:sz w:val="24"/>
        </w:rPr>
        <w:t xml:space="preserve"> var ierakstīt kā citu plūsmu. Principā neviens no ierakstiem tieši neietekmē neto aizdevumu/aizņēmumu.</w:t>
      </w:r>
    </w:p>
    <w:p w14:paraId="54C575BE"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3642DDC1" w14:textId="41B130DB"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Dažos gadījumos, piemēram, ja parāda </w:t>
      </w:r>
      <w:r w:rsidR="00211211" w:rsidRPr="00B03B51">
        <w:rPr>
          <w:rFonts w:ascii="Times New Roman" w:hAnsi="Times New Roman" w:cs="Times New Roman"/>
          <w:sz w:val="24"/>
        </w:rPr>
        <w:t>anulēšanas</w:t>
      </w:r>
      <w:r w:rsidRPr="00B03B51">
        <w:rPr>
          <w:rFonts w:ascii="Times New Roman" w:hAnsi="Times New Roman" w:cs="Times New Roman"/>
          <w:sz w:val="24"/>
        </w:rPr>
        <w:t xml:space="preserve"> vietā pārskata valdības parāda atmaksas grafiku ar Parīzes kluba starpniecību, mainās noteiktās atmaksas nosacījumi. Šeit ir sniegti norādījumi par šo gadījumu traktējumu.</w:t>
      </w:r>
    </w:p>
    <w:p w14:paraId="3E4205E3"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05E8A7F7"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Rokasgrāmatas 7.4. nodaļa “Valdības garantijas” ir veltīta valdības piešķirto garantiju ierakstīšanai. Tas īpaši attiecas uz gadījumiem, kad valdība garantē noteiktu valdības sektoram nepiederošas vienības parādu atmaksu, ja šāda vienība pati to nespēj (tā dēvētās “vienreizējās garantijas”).</w:t>
      </w:r>
    </w:p>
    <w:p w14:paraId="498061AE"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5D303DD4"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Lai gan šeit apspriestās darbības ar parādu attiecas galvenokārt uz sabiedrībām vai ārvalstu valdībām, pamatprincipus piemēro vispārējās valdības attiecībām ar visiem institucionālajiem sektoriem (tostarp mājsaimniecībām un mājsaimniecības apkalpojošajām bezpeļņas institūcijām).</w:t>
      </w:r>
    </w:p>
    <w:p w14:paraId="1EC0E441"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69015D37" w14:textId="77777777" w:rsidR="00443399" w:rsidRPr="00B03B51" w:rsidRDefault="00443399" w:rsidP="00443399">
      <w:pPr>
        <w:jc w:val="both"/>
        <w:rPr>
          <w:rFonts w:ascii="Times New Roman" w:eastAsia="Arial" w:hAnsi="Times New Roman" w:cs="Times New Roman"/>
          <w:noProof/>
          <w:sz w:val="24"/>
          <w:szCs w:val="29"/>
        </w:rPr>
      </w:pPr>
    </w:p>
    <w:p w14:paraId="7461EB62" w14:textId="3DC6C91E"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60" w:name="7.2_Debt_assumption_and_debt_cancellatio"/>
      <w:bookmarkStart w:id="561" w:name="_bookmark56"/>
      <w:bookmarkStart w:id="562" w:name="_Toc67565197"/>
      <w:bookmarkEnd w:id="560"/>
      <w:bookmarkEnd w:id="561"/>
      <w:r w:rsidRPr="00B03B51">
        <w:rPr>
          <w:rFonts w:ascii="Times New Roman" w:hAnsi="Times New Roman" w:cs="Times New Roman"/>
          <w:sz w:val="28"/>
          <w:szCs w:val="44"/>
        </w:rPr>
        <w:t xml:space="preserve">7.2. Parāda pārņemšana un parāda </w:t>
      </w:r>
      <w:bookmarkEnd w:id="562"/>
      <w:r w:rsidR="00704503" w:rsidRPr="00B03B51">
        <w:rPr>
          <w:rFonts w:ascii="Times New Roman" w:hAnsi="Times New Roman" w:cs="Times New Roman"/>
          <w:sz w:val="28"/>
          <w:szCs w:val="44"/>
        </w:rPr>
        <w:t>anulēšana</w:t>
      </w:r>
    </w:p>
    <w:p w14:paraId="6B8FF7B9" w14:textId="77777777" w:rsidR="00443399" w:rsidRPr="00B03B51" w:rsidRDefault="00443399" w:rsidP="00443399">
      <w:pPr>
        <w:tabs>
          <w:tab w:val="left" w:pos="1267"/>
        </w:tabs>
        <w:jc w:val="both"/>
        <w:rPr>
          <w:rFonts w:ascii="Times New Roman" w:hAnsi="Times New Roman" w:cs="Times New Roman"/>
          <w:b/>
          <w:noProof/>
          <w:sz w:val="24"/>
        </w:rPr>
      </w:pPr>
      <w:bookmarkStart w:id="563" w:name="7.2.1_Background"/>
      <w:bookmarkEnd w:id="563"/>
    </w:p>
    <w:p w14:paraId="0D1F6E6B" w14:textId="77777777" w:rsidR="00443399" w:rsidRPr="00B03B51" w:rsidRDefault="00443399" w:rsidP="00443399">
      <w:pPr>
        <w:pStyle w:val="Heading3"/>
        <w:tabs>
          <w:tab w:val="left" w:pos="1267"/>
        </w:tabs>
        <w:ind w:left="0" w:firstLine="0"/>
        <w:jc w:val="both"/>
        <w:rPr>
          <w:rFonts w:ascii="Times New Roman" w:hAnsi="Times New Roman" w:cs="Times New Roman"/>
          <w:sz w:val="24"/>
        </w:rPr>
      </w:pPr>
      <w:bookmarkStart w:id="564" w:name="_Toc67565198"/>
      <w:r w:rsidRPr="00B03B51">
        <w:rPr>
          <w:rFonts w:ascii="Times New Roman" w:hAnsi="Times New Roman" w:cs="Times New Roman"/>
          <w:sz w:val="24"/>
        </w:rPr>
        <w:t>7.2.1. Vispārīga informācija</w:t>
      </w:r>
      <w:bookmarkEnd w:id="564"/>
    </w:p>
    <w:p w14:paraId="09DBBC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DD140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Parāda pārņemšana un publisku un, iespējams, arī privātu sabiedrību saistību izpirkšana, ko īsteno vispārējā valdība, ir svarīgi jautājumi. Lietderīgi ir vispirms noskaidrot terminoloģiju.</w:t>
      </w:r>
    </w:p>
    <w:p w14:paraId="6FB4E3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819A1B"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szCs w:val="12"/>
        </w:rPr>
      </w:pPr>
      <w:r w:rsidRPr="00B03B51">
        <w:rPr>
          <w:rFonts w:ascii="Times New Roman" w:hAnsi="Times New Roman" w:cs="Times New Roman"/>
          <w:sz w:val="24"/>
        </w:rPr>
        <w:t>Parāda pārņemšana (skat. EKS 2010 20.222. punktu) ir trīspusēja vienošanās starp kreditoru, agrāko debitoru un jauno debitoru, saskaņā ar kuru jaunais debitors uzņemas iepriekšējā debitora nenokārtotās saistības pret kreditoru. Jaunais debitors – šajā gadījumā valdība – kļūst atbildīgs par uzņemto saistību atmaksu. Vecajam debitoram vairs nav saistību pret kreditoru. Īpaši tas notiek gadījumā, ja par agrākā debitora parādu galvojis jaunais debitors un ja tiek pieprasīta garantija (skat. 7.4. nodaļu “Valdības garantijas”).</w:t>
      </w:r>
      <w:r w:rsidRPr="00B03B51">
        <w:rPr>
          <w:rStyle w:val="FootnoteReference"/>
          <w:rFonts w:ascii="Times New Roman" w:hAnsi="Times New Roman" w:cs="Times New Roman"/>
          <w:noProof/>
          <w:sz w:val="24"/>
        </w:rPr>
        <w:footnoteReference w:id="255"/>
      </w:r>
    </w:p>
    <w:p w14:paraId="4C01C511"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Dažos gadījumos (skat. EKS 2010 20.232. punktu) parāda pārņemšana paredz nefinanšu aktīvu nodošanu no vienības, kura gūst labumu no parāda pārņemšanas (piemēram, no publiskās sabiedrības, kura apsaimnieko publisku infrastruktūru, sabiedrisko transportu u. c.), valdības subjektam, kurš pārņem parādu.</w:t>
      </w:r>
    </w:p>
    <w:p w14:paraId="7AF1ED0C" w14:textId="00D79D45"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Parāda </w:t>
      </w:r>
      <w:r w:rsidR="00704503" w:rsidRPr="00B03B51">
        <w:rPr>
          <w:rFonts w:ascii="Times New Roman" w:hAnsi="Times New Roman" w:cs="Times New Roman"/>
          <w:sz w:val="24"/>
        </w:rPr>
        <w:t>anulēšana</w:t>
      </w:r>
      <w:r w:rsidRPr="00B03B51">
        <w:rPr>
          <w:rFonts w:ascii="Times New Roman" w:hAnsi="Times New Roman" w:cs="Times New Roman"/>
          <w:sz w:val="24"/>
        </w:rPr>
        <w:t xml:space="preserve"> jeb atlaišana (skat. EKS 2010 20.225. punktu) ir divpusēja vienošanās starp kreditoru un debitoru, saskaņā ar kuru tiek </w:t>
      </w:r>
      <w:r w:rsidR="00704503" w:rsidRPr="00B03B51">
        <w:rPr>
          <w:rFonts w:ascii="Times New Roman" w:hAnsi="Times New Roman" w:cs="Times New Roman"/>
          <w:sz w:val="24"/>
        </w:rPr>
        <w:t>anulēta</w:t>
      </w:r>
      <w:r w:rsidRPr="00B03B51">
        <w:rPr>
          <w:rFonts w:ascii="Times New Roman" w:hAnsi="Times New Roman" w:cs="Times New Roman"/>
          <w:sz w:val="24"/>
        </w:rPr>
        <w:t xml:space="preserve"> (vai atlaista) daļa no visām nenokārtotajām saistībām vai visas nenokārtotās saistības, kuras debitors ir uzņēmies pret kreditoru. Parāda </w:t>
      </w:r>
      <w:r w:rsidR="001243DE" w:rsidRPr="00B03B51">
        <w:rPr>
          <w:rFonts w:ascii="Times New Roman" w:hAnsi="Times New Roman" w:cs="Times New Roman"/>
          <w:sz w:val="24"/>
        </w:rPr>
        <w:t>anulēšanas</w:t>
      </w:r>
      <w:r w:rsidRPr="00B03B51">
        <w:rPr>
          <w:rFonts w:ascii="Times New Roman" w:hAnsi="Times New Roman" w:cs="Times New Roman"/>
          <w:sz w:val="24"/>
        </w:rPr>
        <w:t xml:space="preserve"> rezultātā debitora saistības un attiecīgie kreditora aktīvi beidz pastāvēt.</w:t>
      </w:r>
    </w:p>
    <w:p w14:paraId="2E1FD754"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Lai daļēji vai pilnīgi norakstītu parādu, nav nepieciešams divpusējs līgums, un tas notiek, ja kreditors ir vienpusēji un parasti bez paziņošanas debitoram atzinis, ka prasījumu nav iespējams iekasēt (galvenokārt tādēļ, ka debitors ir bankrotējis). Šādā scenārijā kreditors svītro šo prasījumu no savas bilances aktīva puses.</w:t>
      </w:r>
    </w:p>
    <w:p w14:paraId="16946FA2" w14:textId="77777777" w:rsidR="00443399" w:rsidRPr="00B03B51" w:rsidRDefault="00443399" w:rsidP="00443399">
      <w:pPr>
        <w:jc w:val="both"/>
        <w:rPr>
          <w:rFonts w:ascii="Times New Roman" w:eastAsia="Arial" w:hAnsi="Times New Roman" w:cs="Times New Roman"/>
          <w:noProof/>
          <w:sz w:val="24"/>
          <w:szCs w:val="19"/>
        </w:rPr>
      </w:pPr>
    </w:p>
    <w:p w14:paraId="578B6394" w14:textId="77777777" w:rsidR="00443399" w:rsidRPr="00B03B51" w:rsidRDefault="00443399" w:rsidP="00443399">
      <w:pPr>
        <w:pStyle w:val="Heading3"/>
        <w:tabs>
          <w:tab w:val="left" w:pos="1267"/>
        </w:tabs>
        <w:ind w:left="0" w:firstLine="0"/>
        <w:jc w:val="both"/>
        <w:rPr>
          <w:rFonts w:ascii="Times New Roman" w:hAnsi="Times New Roman" w:cs="Times New Roman"/>
          <w:sz w:val="24"/>
        </w:rPr>
      </w:pPr>
      <w:bookmarkStart w:id="565" w:name="7.2.2_Treatment_in_national_accounts"/>
      <w:bookmarkStart w:id="566" w:name="_Toc67565199"/>
      <w:bookmarkEnd w:id="565"/>
      <w:r w:rsidRPr="00B03B51">
        <w:rPr>
          <w:rFonts w:ascii="Times New Roman" w:hAnsi="Times New Roman" w:cs="Times New Roman"/>
          <w:sz w:val="24"/>
        </w:rPr>
        <w:t>7.2.2. Traktējums nacionālajos kontos</w:t>
      </w:r>
      <w:bookmarkEnd w:id="566"/>
    </w:p>
    <w:p w14:paraId="19781AC8" w14:textId="77777777" w:rsidR="00443399" w:rsidRPr="00545222" w:rsidRDefault="00443399" w:rsidP="00545222">
      <w:pPr>
        <w:rPr>
          <w:rFonts w:ascii="Times New Roman" w:hAnsi="Times New Roman" w:cs="Times New Roman"/>
          <w:noProof/>
          <w:sz w:val="24"/>
          <w:szCs w:val="24"/>
        </w:rPr>
      </w:pPr>
      <w:bookmarkStart w:id="567" w:name="7.2.2.1_Mutual_Agreement"/>
      <w:bookmarkEnd w:id="567"/>
    </w:p>
    <w:p w14:paraId="2FA8215B"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7.2.2.1. SAVSTARPĒJA VIENOŠANĀS</w:t>
      </w:r>
    </w:p>
    <w:p w14:paraId="60146A7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4518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Parāda pārņemšanas vai parāda anulēšanas pretvērtības darījums ir kapitāla pārvedums.</w:t>
      </w:r>
    </w:p>
    <w:p w14:paraId="17D7DAF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F8C3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Līdz ar to, ja valdība uzņemas publiskas sabiedrības parādu vai atceļ prasījumu, kas tai ir pret sabiedrību, pretvērtības darījums finanšu plūsmām, kuras ierakstītas finanšu kontos, ir kapitāla pārvedums (D.99) jeb izdevumi, kas negatīvi ietekmē valdības neto aizdevumu/aizņēmumu (B.9).</w:t>
      </w:r>
    </w:p>
    <w:p w14:paraId="386A0F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DFE0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Daudzos gadījumos vispārējā valdība pēc savas ierosmes nolemj anulēt parādu vai pārņemt to. Tiek uzskatīts, ka sabiedrība piekrīt šādam pasākumam (maz ticams, ka tā varētu atteikties no šādas “dāvanas”) un turpina darbību, pamatojoties uz savstarpēju vienošanos.</w:t>
      </w:r>
    </w:p>
    <w:p w14:paraId="42A92FE3" w14:textId="77777777" w:rsidR="00443399" w:rsidRPr="00B03B51" w:rsidRDefault="00443399" w:rsidP="00443399">
      <w:pPr>
        <w:jc w:val="both"/>
        <w:rPr>
          <w:rFonts w:ascii="Times New Roman" w:eastAsia="Arial" w:hAnsi="Times New Roman" w:cs="Times New Roman"/>
          <w:noProof/>
          <w:sz w:val="24"/>
          <w:szCs w:val="15"/>
        </w:rPr>
      </w:pPr>
    </w:p>
    <w:p w14:paraId="6F9F011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68" w:name="7.2.2.2_Other_cases"/>
      <w:bookmarkEnd w:id="568"/>
      <w:r w:rsidRPr="00B03B51">
        <w:rPr>
          <w:rFonts w:ascii="Times New Roman" w:hAnsi="Times New Roman" w:cs="Times New Roman"/>
          <w:sz w:val="24"/>
        </w:rPr>
        <w:t>7.2.2.2. CITI GADĪJUMI</w:t>
      </w:r>
    </w:p>
    <w:p w14:paraId="41FA93B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01E01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Pastāv trīs izņēmumi attiecībā uz savstarpējās vienošanās traktējumu. Šajos gadījumos parāda pārņemšana/anulēšana neietekmē valdības neto aizdevumu/ neto aizņēmumu (B.9) un nepastāv nefinanšu darījums.</w:t>
      </w:r>
    </w:p>
    <w:p w14:paraId="73FFDCC6" w14:textId="77777777" w:rsidR="00443399" w:rsidRPr="00545222" w:rsidRDefault="00443399" w:rsidP="00545222">
      <w:pPr>
        <w:rPr>
          <w:rFonts w:ascii="Times New Roman" w:hAnsi="Times New Roman" w:cs="Times New Roman"/>
          <w:noProof/>
          <w:sz w:val="24"/>
          <w:szCs w:val="24"/>
        </w:rPr>
      </w:pPr>
      <w:bookmarkStart w:id="569" w:name="7.2.2.2.1._Debt_of_a_quasi-corporation"/>
      <w:bookmarkEnd w:id="569"/>
    </w:p>
    <w:p w14:paraId="39C59E21"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7.2.2.2.1. Kvazisabiedrības parāds</w:t>
      </w:r>
    </w:p>
    <w:p w14:paraId="6D5017C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AC10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EKS 2010 5.39. punktā noteikts, ka gadījumā, ja parādu pārņem vai anulē ienesīgas kvazisabiedrības īpašnieks (kas valdības gadījumā pēc būtības ir publiska vienība), kapitāla pārvedums netiek ierakstīts. Pretvērtības darījums jāieraksta kā finanšu darījums ar pašu kapitālu (F.51).</w:t>
      </w:r>
    </w:p>
    <w:p w14:paraId="48093E8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B08D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Tomēr šis nosacījums ir spēkā, ciktāl kvazisabiedrība ir ienesīga, proti, ja tai nav uzkrātu zaudējumu vai ārkārtīgi liela zaudējuma, kas būtu jāsedz no iepriekš minētajiem darījumiem, kapitāla pārvedums jāieraksta līdz šo zaudējumu robežai.</w:t>
      </w:r>
    </w:p>
    <w:p w14:paraId="01415827" w14:textId="77777777" w:rsidR="00443399" w:rsidRPr="00B03B51" w:rsidRDefault="00443399" w:rsidP="00443399">
      <w:pPr>
        <w:jc w:val="both"/>
        <w:rPr>
          <w:rFonts w:ascii="Times New Roman" w:eastAsia="Arial" w:hAnsi="Times New Roman" w:cs="Times New Roman"/>
          <w:noProof/>
          <w:sz w:val="24"/>
          <w:szCs w:val="14"/>
        </w:rPr>
      </w:pPr>
    </w:p>
    <w:p w14:paraId="42DF733C"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bookmarkStart w:id="570" w:name="7.2.2.2.2._Operations_in_the_context_of_"/>
      <w:bookmarkEnd w:id="570"/>
      <w:r w:rsidRPr="00B03B51">
        <w:rPr>
          <w:rFonts w:ascii="Times New Roman" w:hAnsi="Times New Roman" w:cs="Times New Roman"/>
          <w:sz w:val="24"/>
        </w:rPr>
        <w:t>7.2.2.2.2. Operācijas saistībā ar privatizācijas procesu</w:t>
      </w:r>
    </w:p>
    <w:p w14:paraId="11549EF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6622FD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EKS 2010 5.39. punktā noteikts, ka gadījumā, ja valdība anulē vai pārņem publiskas sabiedrības parādus “kā īstermiņa periodā veicama privatizācijas procesa daļu”, pretvērtības darījums nav kapitāla pārvedums, bet gan darījums ar pašu kapitālu (F.51).</w:t>
      </w:r>
    </w:p>
    <w:p w14:paraId="2FD1E5A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263370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Privatizācija nozīmē atteikšanos no sabiedrības kontroles, ko īsteno, realizējot pašu kapitālu, kas tādējādi mazina valdības balsstiesības.</w:t>
      </w:r>
    </w:p>
    <w:p w14:paraId="534273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7431CC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Šis noteikums jāpiemēro vienīgi tad, ja ir pierādījumi tam, ka privatizācijas process ir faktiski uzsākts (piemēram, izraugoties padomdevēju banku un/vai īpašu konsultatīvo komiteju/komisiju) un var precīzi prognozēt, ka privatizācijas process tiks pabeigts ne ilgāk kā viena gada laikā. Tas, ka pastāv privatizācijas plāns vai valdības paustas apņemšanās, nav pietiekams iemesls, lai parāda pārņemšanu/anulēšanu uzskatītu par “īstermiņa periodā veicama privatizācijas procesa daļu”.</w:t>
      </w:r>
    </w:p>
    <w:p w14:paraId="24B393E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3CB7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Turklāt pārņemtā vai anulētā parāda plūsma ir jāieraksta kā finanšu darījums, nepārsniedzot privatizācijas ieņēmumu robežu. Valdības pārņemtās vai anulētās summas, kuras pārsniedz šo robežu, ieraksta kā valdības kapitāla pārveduma izdevumus.</w:t>
      </w:r>
    </w:p>
    <w:p w14:paraId="6C65872C" w14:textId="77777777" w:rsidR="00443399" w:rsidRPr="00545222" w:rsidRDefault="00443399" w:rsidP="00545222">
      <w:pPr>
        <w:rPr>
          <w:rFonts w:ascii="Times New Roman" w:hAnsi="Times New Roman" w:cs="Times New Roman"/>
          <w:noProof/>
          <w:sz w:val="24"/>
          <w:szCs w:val="24"/>
        </w:rPr>
      </w:pPr>
      <w:bookmarkStart w:id="571" w:name="7.2.2.2.3._Write-offs"/>
      <w:bookmarkEnd w:id="571"/>
    </w:p>
    <w:p w14:paraId="0DFF9B8C"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7.2.2.2.3. Norakstīšana</w:t>
      </w:r>
    </w:p>
    <w:p w14:paraId="21FF07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CACC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Valdības prasījumi pret likvidācijas procesā esošu sabiedrību var tikt norakstīti. Likvidācija jānovērtē no ekonomiskā viedokļa, nevis no juridiskā viedokļa, jo sabiedrība parasti turpina juridiski pastāvēt līdz pat likvidācijas procesa beigām, lai arī ir zaudējusi savu finansiālo segumu un galveno ekonomisko funkciju.</w:t>
      </w:r>
      <w:r w:rsidRPr="00B03B51">
        <w:rPr>
          <w:rStyle w:val="FootnoteReference"/>
          <w:rFonts w:ascii="Times New Roman" w:hAnsi="Times New Roman" w:cs="Times New Roman"/>
          <w:noProof/>
          <w:sz w:val="24"/>
        </w:rPr>
        <w:footnoteReference w:id="256"/>
      </w:r>
    </w:p>
    <w:p w14:paraId="321760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E759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Šādu prasījumu norakstīšanu parasti ieraksta EKS 2010 kā citas aktīvu apjoma pārmaiņas (K.5) bez ietekmes uz neto aizņēmumu/aizdevumu (B.9), taču kapitāla pārvedumu var ierakstīt dažos īpašos gadījumos.</w:t>
      </w:r>
    </w:p>
    <w:p w14:paraId="575F775A" w14:textId="77777777" w:rsidR="00443399" w:rsidRPr="006447B0" w:rsidRDefault="00443399" w:rsidP="006447B0">
      <w:pPr>
        <w:rPr>
          <w:rFonts w:ascii="Times New Roman" w:hAnsi="Times New Roman" w:cs="Times New Roman"/>
          <w:noProof/>
          <w:sz w:val="24"/>
          <w:szCs w:val="24"/>
        </w:rPr>
      </w:pPr>
      <w:bookmarkStart w:id="572" w:name="7.2.2.2.4._Debt_assumption_including_a_t"/>
      <w:bookmarkEnd w:id="572"/>
    </w:p>
    <w:p w14:paraId="0472AB17"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7.2.2.2.4. Parāda pārņemšana ar nefinanšu aktīvu pārvedumu</w:t>
      </w:r>
    </w:p>
    <w:p w14:paraId="3E1A3A5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3D032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Ekonomisko notikumu var aprakstīt un ierakstīt divos veidos, kas abi vienādi ietekmē vispārējās valdības neto aizdevumu/aizņēmumu (B.9).</w:t>
      </w:r>
    </w:p>
    <w:p w14:paraId="32AEF06C" w14:textId="77777777" w:rsidR="00443399" w:rsidRPr="00B03B51" w:rsidRDefault="00443399" w:rsidP="00443399">
      <w:pPr>
        <w:jc w:val="both"/>
        <w:rPr>
          <w:rFonts w:ascii="Times New Roman" w:eastAsia="Arial" w:hAnsi="Times New Roman" w:cs="Times New Roman"/>
          <w:noProof/>
          <w:sz w:val="24"/>
          <w:szCs w:val="19"/>
        </w:rPr>
      </w:pPr>
    </w:p>
    <w:p w14:paraId="7C4A1F5F" w14:textId="77777777" w:rsidR="00443399" w:rsidRPr="00B03B51" w:rsidRDefault="00443399" w:rsidP="00443399">
      <w:pPr>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lastRenderedPageBreak/>
        <w:t>Parāda pārņemšanas “bruto ierakstīšana”</w:t>
      </w:r>
    </w:p>
    <w:p w14:paraId="42A26BEF" w14:textId="77777777" w:rsidR="00443399" w:rsidRPr="00B03B51" w:rsidRDefault="00443399" w:rsidP="00443399">
      <w:pPr>
        <w:jc w:val="both"/>
        <w:rPr>
          <w:rFonts w:ascii="Times New Roman" w:eastAsia="Arial" w:hAnsi="Times New Roman" w:cs="Times New Roman"/>
          <w:b/>
          <w:bCs/>
          <w:noProof/>
          <w:sz w:val="24"/>
        </w:rPr>
      </w:pPr>
    </w:p>
    <w:p w14:paraId="6C1383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Bruto ierakstīšanu veido divi vienlaikus veikti, taču atsevišķi darījumi:</w:t>
      </w:r>
    </w:p>
    <w:p w14:paraId="43A39B4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68966AE"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parāda pārņemšana, kad valdība uzņemas parādu, kas jāieraksta valdības kapitāla pārveduma (D.99) izdevumos par tādu pašu summu kā pārņemtās saistības (F.3 un/vai F.4) līdzīgi tipiskam parāda pārņemšanas gadījumam;</w:t>
      </w:r>
    </w:p>
    <w:p w14:paraId="10352AA2"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aktīvu pārvedums, kad valdība saņem nefinanšu aktīvu, ko ieraksta kā aktīva iegādi attiecīgajā kategorijā, piemēram, kā bruto pamatkapitāla veidošanu (</w:t>
      </w:r>
      <w:r w:rsidRPr="00B03B51">
        <w:rPr>
          <w:rFonts w:ascii="Times New Roman" w:hAnsi="Times New Roman" w:cs="Times New Roman"/>
          <w:i/>
          <w:iCs/>
          <w:sz w:val="24"/>
        </w:rPr>
        <w:t>GFCF</w:t>
      </w:r>
      <w:r w:rsidRPr="00B03B51">
        <w:rPr>
          <w:rFonts w:ascii="Times New Roman" w:hAnsi="Times New Roman" w:cs="Times New Roman"/>
          <w:sz w:val="24"/>
        </w:rPr>
        <w:t>, P.51g) pamatlīdzekļiem vai NP.1 zemei. Tā kā šis pārvedums ir dotācija/dāvana, to līdzsvaro ar kapitāla pārveduma natūrā (D.9) ieņēmumiem, tādējādi abu pārvedumu ietekme uz neto aizdevumu/aizņēmumu (B.9) kļūst neitrāla.</w:t>
      </w:r>
    </w:p>
    <w:p w14:paraId="62B1416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527AB6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“Bruto kapitāla pārvedums”, kas ir vienāds ar visām pārņemtajām saistībām, negatīvi ietekmē vispārējās valdības neto aizdevumu/aizņēmumu (B.9).</w:t>
      </w:r>
    </w:p>
    <w:p w14:paraId="1DE70F65" w14:textId="77777777" w:rsidR="00443399" w:rsidRPr="00B03B51" w:rsidRDefault="00443399" w:rsidP="00443399">
      <w:pPr>
        <w:jc w:val="both"/>
        <w:rPr>
          <w:rFonts w:ascii="Times New Roman" w:eastAsia="Arial" w:hAnsi="Times New Roman" w:cs="Times New Roman"/>
          <w:noProof/>
          <w:sz w:val="24"/>
          <w:szCs w:val="19"/>
        </w:rPr>
      </w:pPr>
    </w:p>
    <w:p w14:paraId="44465707" w14:textId="77777777" w:rsidR="00443399" w:rsidRPr="00B03B51" w:rsidRDefault="00443399" w:rsidP="00443399">
      <w:pPr>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t>Parāda pārņemšanas “neto ierakstīšana”</w:t>
      </w:r>
    </w:p>
    <w:p w14:paraId="5985905E" w14:textId="77777777" w:rsidR="00443399" w:rsidRPr="00B03B51" w:rsidRDefault="00443399" w:rsidP="00443399">
      <w:pPr>
        <w:jc w:val="both"/>
        <w:rPr>
          <w:rFonts w:ascii="Times New Roman" w:eastAsia="Arial" w:hAnsi="Times New Roman" w:cs="Times New Roman"/>
          <w:b/>
          <w:bCs/>
          <w:noProof/>
          <w:sz w:val="24"/>
        </w:rPr>
      </w:pPr>
    </w:p>
    <w:p w14:paraId="740044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Var arī uzskatīt, ka valdības neto aizdevumu/aizņēmumu (B.9) ietekmē starpība starp pārņemtajām saistībām un nodoto aktīvu vērtību: tas ir “neto kapitāla pārvedums”. Tomēr, ņemot vērā, ka vienlaikus palielinās bruto pamatkapitāla veidošana (</w:t>
      </w:r>
      <w:r w:rsidRPr="00B03B51">
        <w:rPr>
          <w:rFonts w:ascii="Times New Roman" w:hAnsi="Times New Roman" w:cs="Times New Roman"/>
          <w:i/>
          <w:iCs/>
          <w:sz w:val="24"/>
        </w:rPr>
        <w:t>GFCF</w:t>
      </w:r>
      <w:r w:rsidRPr="00B03B51">
        <w:rPr>
          <w:rFonts w:ascii="Times New Roman" w:hAnsi="Times New Roman" w:cs="Times New Roman"/>
          <w:sz w:val="24"/>
        </w:rPr>
        <w:t>, P.51g) vai dabas resursu iegāde mīnus realizācija (P.51), galīgā ietekme uz vispārējās valdības neto aizdevumu/aizņēmumu (B.9) (neto kapitāla pārvedums plus bruto pamatkapitāla veidošana vai NP.1) ir tieši tāda pati kā “bruto” ierakstīšanas gadījumā.</w:t>
      </w:r>
    </w:p>
    <w:p w14:paraId="494D36F4" w14:textId="77777777" w:rsidR="00443399" w:rsidRPr="00B03B51" w:rsidRDefault="00443399" w:rsidP="00443399">
      <w:pPr>
        <w:jc w:val="both"/>
        <w:rPr>
          <w:rFonts w:ascii="Times New Roman" w:eastAsia="Arial" w:hAnsi="Times New Roman" w:cs="Times New Roman"/>
          <w:noProof/>
          <w:sz w:val="24"/>
          <w:szCs w:val="14"/>
        </w:rPr>
      </w:pPr>
    </w:p>
    <w:p w14:paraId="3241FB25" w14:textId="77777777" w:rsidR="00443399" w:rsidRPr="00B03B51" w:rsidRDefault="00443399" w:rsidP="00443399">
      <w:pPr>
        <w:tabs>
          <w:tab w:val="left" w:pos="1692"/>
        </w:tabs>
        <w:jc w:val="both"/>
        <w:rPr>
          <w:rFonts w:ascii="Times New Roman" w:hAnsi="Times New Roman" w:cs="Times New Roman"/>
          <w:b/>
          <w:noProof/>
          <w:sz w:val="24"/>
        </w:rPr>
      </w:pPr>
      <w:r w:rsidRPr="00B03B51">
        <w:rPr>
          <w:rFonts w:ascii="Times New Roman" w:hAnsi="Times New Roman" w:cs="Times New Roman"/>
          <w:b/>
          <w:sz w:val="24"/>
        </w:rPr>
        <w:t>7.2.2.2.5. Ierakstīšanas laiks, ierakstāmās summas</w:t>
      </w:r>
    </w:p>
    <w:p w14:paraId="284C7F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BF63EA" w14:textId="5D37D09D"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Parāda pārņemšanu un parāda </w:t>
      </w:r>
      <w:r w:rsidR="00317B35" w:rsidRPr="00B03B51">
        <w:rPr>
          <w:rFonts w:ascii="Times New Roman" w:hAnsi="Times New Roman" w:cs="Times New Roman"/>
          <w:sz w:val="24"/>
        </w:rPr>
        <w:t>anulēšanu</w:t>
      </w:r>
      <w:r w:rsidRPr="00B03B51">
        <w:rPr>
          <w:rFonts w:ascii="Times New Roman" w:hAnsi="Times New Roman" w:cs="Times New Roman"/>
          <w:sz w:val="24"/>
        </w:rPr>
        <w:t xml:space="preserve"> ieraksta, kad saistības ir faktiski svītrotas no debitora bilances un valdības bilancē ir veikti atbilstoši ieraksti. Šo ierakstīšanas laiku piemēro gan finanšu darījumiem, gan visiem ekvivalentajiem kapitāla pārvedumiem. Arī uzkrāto procentu pārņemšanas/</w:t>
      </w:r>
      <w:r w:rsidR="00EF7FAB" w:rsidRPr="00B03B51">
        <w:rPr>
          <w:rFonts w:ascii="Times New Roman" w:hAnsi="Times New Roman" w:cs="Times New Roman"/>
          <w:sz w:val="24"/>
        </w:rPr>
        <w:t>anulēšanas</w:t>
      </w:r>
      <w:r w:rsidRPr="00B03B51">
        <w:rPr>
          <w:rFonts w:ascii="Times New Roman" w:hAnsi="Times New Roman" w:cs="Times New Roman"/>
          <w:sz w:val="24"/>
        </w:rPr>
        <w:t xml:space="preserve"> ierakstiem ir jābūt saskaņā ar šo ierakstīšanas laiku.</w:t>
      </w:r>
    </w:p>
    <w:p w14:paraId="5E68B9E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B0F86F" w14:textId="55AD9CFC"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Tas nozīmē, ka parāda pārņemšanu/</w:t>
      </w:r>
      <w:r w:rsidR="00CF02E6" w:rsidRPr="00B03B51">
        <w:rPr>
          <w:rFonts w:ascii="Times New Roman" w:hAnsi="Times New Roman" w:cs="Times New Roman"/>
          <w:sz w:val="24"/>
        </w:rPr>
        <w:t>anulēšanu</w:t>
      </w:r>
      <w:r w:rsidRPr="00B03B51">
        <w:rPr>
          <w:rFonts w:ascii="Times New Roman" w:hAnsi="Times New Roman" w:cs="Times New Roman"/>
          <w:sz w:val="24"/>
        </w:rPr>
        <w:t xml:space="preserve"> neieraksta saskaņā ar parāda atmaksas sākotnējo grafiku, kas tiek finansēts no turpmākajiem nosacītajiem kapitāla pārvedumiem.</w:t>
      </w:r>
    </w:p>
    <w:p w14:paraId="0A379D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A330C4" w14:textId="6B915DD6"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Ierakstāmā summa (gan finanšu darījums, gan ekvivalentie kapitāla pārveduma izdevumi) ir visa neatmaksātā parāda summa, kura tiek pārņemta vai </w:t>
      </w:r>
      <w:r w:rsidR="00CF02E6" w:rsidRPr="00B03B51">
        <w:rPr>
          <w:rFonts w:ascii="Times New Roman" w:hAnsi="Times New Roman" w:cs="Times New Roman"/>
          <w:sz w:val="24"/>
        </w:rPr>
        <w:t>anulēta</w:t>
      </w:r>
      <w:r w:rsidRPr="00B03B51">
        <w:rPr>
          <w:rFonts w:ascii="Times New Roman" w:hAnsi="Times New Roman" w:cs="Times New Roman"/>
          <w:sz w:val="24"/>
        </w:rPr>
        <w:t>.</w:t>
      </w:r>
    </w:p>
    <w:p w14:paraId="19929830" w14:textId="77777777" w:rsidR="00443399" w:rsidRPr="00B03B51" w:rsidRDefault="00443399" w:rsidP="00443399">
      <w:pPr>
        <w:jc w:val="both"/>
        <w:rPr>
          <w:rFonts w:ascii="Times New Roman" w:eastAsia="Arial" w:hAnsi="Times New Roman" w:cs="Times New Roman"/>
          <w:noProof/>
          <w:sz w:val="24"/>
          <w:szCs w:val="18"/>
        </w:rPr>
      </w:pPr>
    </w:p>
    <w:p w14:paraId="27E519C5" w14:textId="21117D3E"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73" w:name="_Toc67565200"/>
      <w:r w:rsidRPr="00B03B51">
        <w:rPr>
          <w:rFonts w:ascii="Times New Roman" w:hAnsi="Times New Roman" w:cs="Times New Roman"/>
          <w:sz w:val="24"/>
        </w:rPr>
        <w:t>7.</w:t>
      </w:r>
      <w:r w:rsidR="00851150" w:rsidRPr="00B03B51">
        <w:rPr>
          <w:rFonts w:ascii="Times New Roman" w:hAnsi="Times New Roman" w:cs="Times New Roman"/>
          <w:sz w:val="24"/>
        </w:rPr>
        <w:t>2</w:t>
      </w:r>
      <w:r w:rsidRPr="00B03B51">
        <w:rPr>
          <w:rFonts w:ascii="Times New Roman" w:hAnsi="Times New Roman" w:cs="Times New Roman"/>
          <w:sz w:val="24"/>
        </w:rPr>
        <w:t>.</w:t>
      </w:r>
      <w:r w:rsidR="00851150" w:rsidRPr="00B03B51">
        <w:rPr>
          <w:rFonts w:ascii="Times New Roman" w:hAnsi="Times New Roman" w:cs="Times New Roman"/>
          <w:sz w:val="24"/>
        </w:rPr>
        <w:t>3</w:t>
      </w:r>
      <w:r w:rsidRPr="00B03B51">
        <w:rPr>
          <w:rFonts w:ascii="Times New Roman" w:hAnsi="Times New Roman" w:cs="Times New Roman"/>
          <w:sz w:val="24"/>
        </w:rPr>
        <w:t>. Traktējuma pamatojums</w:t>
      </w:r>
      <w:bookmarkEnd w:id="573"/>
    </w:p>
    <w:p w14:paraId="1B1A541D" w14:textId="77777777" w:rsidR="00443399" w:rsidRPr="006447B0" w:rsidRDefault="00443399" w:rsidP="006447B0">
      <w:pPr>
        <w:rPr>
          <w:rFonts w:ascii="Times New Roman" w:hAnsi="Times New Roman" w:cs="Times New Roman"/>
          <w:noProof/>
          <w:sz w:val="24"/>
          <w:szCs w:val="24"/>
        </w:rPr>
      </w:pPr>
    </w:p>
    <w:p w14:paraId="5C19A33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7.2.3.1. SAVSTARPĒJA VIENOŠANĀS</w:t>
      </w:r>
    </w:p>
    <w:p w14:paraId="5E9673A7" w14:textId="77777777" w:rsidR="00443399" w:rsidRPr="00B03B51" w:rsidRDefault="00443399" w:rsidP="00443399">
      <w:pPr>
        <w:tabs>
          <w:tab w:val="left" w:pos="843"/>
        </w:tabs>
        <w:jc w:val="both"/>
        <w:rPr>
          <w:rFonts w:ascii="Times New Roman" w:hAnsi="Times New Roman" w:cs="Times New Roman"/>
          <w:noProof/>
          <w:sz w:val="24"/>
        </w:rPr>
      </w:pPr>
    </w:p>
    <w:p w14:paraId="4CDFBA3D"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21. Šādus darījumus, kas veikti, savstarpēji vienojoties, ieraksta kā kapitāla pārvedumus. Tas izriet no citu kapitāla pārvedumu definīcijas (skat. EKS 2010 4.164. punktu): </w:t>
      </w:r>
      <w:r w:rsidRPr="00B03B51">
        <w:rPr>
          <w:rFonts w:ascii="Times New Roman" w:hAnsi="Times New Roman" w:cs="Times New Roman"/>
          <w:i/>
          <w:iCs/>
          <w:sz w:val="24"/>
        </w:rPr>
        <w:t>Citi kapitāla pārvedumi (D.99) ietver pārvedumus, .. kas paši par sevi nepārdala ienākumu, bet pārdala uzkrājumus vai kapitālu starp dažādiem ekonomikas sektoriem vai apakšsektoriem vai pārējo pasauli.</w:t>
      </w:r>
      <w:r w:rsidRPr="00B03B51">
        <w:rPr>
          <w:rFonts w:ascii="Times New Roman" w:hAnsi="Times New Roman" w:cs="Times New Roman"/>
          <w:sz w:val="24"/>
        </w:rPr>
        <w:t>.</w:t>
      </w:r>
    </w:p>
    <w:p w14:paraId="3DF897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DB749D" w14:textId="128A4B2C"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22. Pārņemot vai </w:t>
      </w:r>
      <w:r w:rsidR="00C046F4" w:rsidRPr="00B03B51">
        <w:rPr>
          <w:rFonts w:ascii="Times New Roman" w:hAnsi="Times New Roman" w:cs="Times New Roman"/>
          <w:sz w:val="24"/>
        </w:rPr>
        <w:t>anulējot</w:t>
      </w:r>
      <w:r w:rsidRPr="00B03B51">
        <w:rPr>
          <w:rFonts w:ascii="Times New Roman" w:hAnsi="Times New Roman" w:cs="Times New Roman"/>
          <w:sz w:val="24"/>
        </w:rPr>
        <w:t xml:space="preserve"> publiskas sabiedrības parādu, vispārējā valdība minētajai sabiedrībai nodod nevis ienākumus, bet gan daļu savas bagātības. Tā kā pārmaiņas valdības saistībās (parāda pārņemšana) vai pārmaiņas valdības finanšu aktīvos (parāda anulēšana) ir vienvirziena </w:t>
      </w:r>
      <w:r w:rsidRPr="00B03B51">
        <w:rPr>
          <w:rFonts w:ascii="Times New Roman" w:hAnsi="Times New Roman" w:cs="Times New Roman"/>
          <w:sz w:val="24"/>
        </w:rPr>
        <w:lastRenderedPageBreak/>
        <w:t>darījums, kas nozīmē apzinātu un brīvprātīgu bagātības nodošanu, pretvērtības darījums ir kapitāla pārvedums.</w:t>
      </w:r>
    </w:p>
    <w:p w14:paraId="721563D4" w14:textId="77777777" w:rsidR="00443399" w:rsidRPr="00B03B51" w:rsidRDefault="00443399" w:rsidP="00443399">
      <w:pPr>
        <w:jc w:val="both"/>
        <w:rPr>
          <w:rFonts w:ascii="Times New Roman" w:eastAsia="Arial" w:hAnsi="Times New Roman" w:cs="Times New Roman"/>
          <w:noProof/>
          <w:sz w:val="24"/>
          <w:szCs w:val="15"/>
        </w:rPr>
      </w:pPr>
    </w:p>
    <w:p w14:paraId="39A3B015" w14:textId="77777777" w:rsidR="00443399" w:rsidRPr="00B03B51" w:rsidRDefault="00443399" w:rsidP="005E7435">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7.2.3.2. CITI GADĪJUMI</w:t>
      </w:r>
    </w:p>
    <w:p w14:paraId="57A6D70A" w14:textId="77777777" w:rsidR="00443399" w:rsidRPr="00B03B51" w:rsidRDefault="00443399" w:rsidP="005E7435">
      <w:pPr>
        <w:pStyle w:val="BodyText"/>
        <w:tabs>
          <w:tab w:val="left" w:pos="843"/>
        </w:tabs>
        <w:spacing w:before="0"/>
        <w:ind w:left="0" w:firstLine="0"/>
        <w:jc w:val="both"/>
        <w:rPr>
          <w:rFonts w:ascii="Times New Roman" w:hAnsi="Times New Roman" w:cs="Times New Roman"/>
          <w:b/>
          <w:bCs/>
          <w:noProof/>
          <w:sz w:val="24"/>
        </w:rPr>
      </w:pPr>
    </w:p>
    <w:p w14:paraId="36948A6D" w14:textId="0779CBD8"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23. Kvazisabiedrība</w:t>
      </w:r>
      <w:r w:rsidRPr="00B03B51">
        <w:rPr>
          <w:rFonts w:ascii="Times New Roman" w:hAnsi="Times New Roman" w:cs="Times New Roman"/>
          <w:sz w:val="24"/>
        </w:rPr>
        <w:t xml:space="preserve">. Kvazisabiedrība ir tirgus ražotājs, kas var nebūt juridiski neatkarīgs no sava īpašnieka, jo īpaši aktīvu un saistību izpratnē, tomēr kas tiek uzskatīts par pietiekami atbilstošu kritērijiem, saskaņā ar kuriem kontu sistēmā to var uzskatīt par institucionālu vienību. Kvazisabiedrības un tās īpašnieka bagātība zināmā mērā ir apvienota, tāpēc var apšaubīt bagātības pārvedumu starp kvazisabiedrību un tās īpašnieku un katrā ziņā nav jāmaina to apvienotā bagātība. Līdz ar to pastāv vienošanās par to, ka kvazisabiedrības neto vērtība ir vienāda ar nulli. Tāpēc aktīvu pārvedumu, kas notiek starp kvazisabiedrību un tās īpašnieku, var tieši atspoguļot īpašnieka pašu kapitāla vērtībā. Tomēr gadījumā, ja publiska kvazisabiedrība regulāri cieš zaudējumus, saskaņā ar EKS 2010 4.35. punkta c) apakšpunktu un 4.38. punkta f) apakšpunktu maksājumus, ar kuriem sedz pastāvīgos zaudējumus, ieraksta kā subsīdijas; un, ievērojot Valdības budžeta deficīta un parāda rokasgrāmatas 3.3. nodaļā par kapitāla iepludināšanu publiskās kvazisabiedrībās noteikto, parāda pārņemšana vai </w:t>
      </w:r>
      <w:r w:rsidR="00EB62F3" w:rsidRPr="00B03B51">
        <w:rPr>
          <w:rFonts w:ascii="Times New Roman" w:hAnsi="Times New Roman" w:cs="Times New Roman"/>
          <w:sz w:val="24"/>
        </w:rPr>
        <w:t>anulēšana</w:t>
      </w:r>
      <w:r w:rsidRPr="00B03B51">
        <w:rPr>
          <w:rFonts w:ascii="Times New Roman" w:hAnsi="Times New Roman" w:cs="Times New Roman"/>
          <w:sz w:val="24"/>
        </w:rPr>
        <w:t xml:space="preserve"> ir jāieraksta kā kapitāla pārvedums.</w:t>
      </w:r>
    </w:p>
    <w:p w14:paraId="7B8F51B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b/>
          <w:bCs/>
          <w:noProof/>
          <w:sz w:val="24"/>
        </w:rPr>
      </w:pPr>
    </w:p>
    <w:p w14:paraId="443F86D8" w14:textId="6D090236"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24. Privatizācija.</w:t>
      </w:r>
      <w:r w:rsidRPr="00B03B51">
        <w:rPr>
          <w:rFonts w:ascii="Times New Roman" w:hAnsi="Times New Roman" w:cs="Times New Roman"/>
          <w:sz w:val="24"/>
        </w:rPr>
        <w:t xml:space="preserve"> Izņēmumu attiecībā uz darījumiem, kurus veic kā daļu no notiekoša privatizācijas procesa, kas jāīsteno īsā termiņā, nosaka EKS 2010 vienošanās, kuras pamatā ir pieņēmums, ka parāda atlaišanas izmaksas tiks pilnīgi atgūtas ar privatizācijas procesā noteikto pārdošanas cenu. Tāpēc to ieraksta kā ieguldījumu pašu kapitālā (F.5), kas ir tāds pats instruments kā ieņēmumi no privatizācijas. Tomēr šo traktējumu nepiemēro, ja parāda </w:t>
      </w:r>
      <w:r w:rsidR="00F40C08" w:rsidRPr="00B03B51">
        <w:rPr>
          <w:rFonts w:ascii="Times New Roman" w:hAnsi="Times New Roman" w:cs="Times New Roman"/>
          <w:sz w:val="24"/>
        </w:rPr>
        <w:t>anulēšanas</w:t>
      </w:r>
      <w:r w:rsidRPr="00B03B51">
        <w:rPr>
          <w:rFonts w:ascii="Times New Roman" w:hAnsi="Times New Roman" w:cs="Times New Roman"/>
          <w:sz w:val="24"/>
        </w:rPr>
        <w:t xml:space="preserve"> vērtība pārsniedz paredzamos ieņēmumus no privatizācijas.</w:t>
      </w:r>
    </w:p>
    <w:p w14:paraId="5424D58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b/>
          <w:noProof/>
          <w:sz w:val="24"/>
        </w:rPr>
      </w:pPr>
    </w:p>
    <w:p w14:paraId="2420535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
          <w:sz w:val="24"/>
        </w:rPr>
        <w:t>25. Norakstīšana.</w:t>
      </w:r>
      <w:r w:rsidRPr="00B03B51">
        <w:rPr>
          <w:rFonts w:ascii="Times New Roman" w:hAnsi="Times New Roman" w:cs="Times New Roman"/>
          <w:sz w:val="24"/>
        </w:rPr>
        <w:t xml:space="preserve"> Darījumu vispārējā definīcijā (EKS 2010 1.66. punkts) ir ietverts noteikums par tādu gadījumu aprakstīšanu, kad attiecīgi jāieraksta kapitāla pārvedums vai citas aktīvu apjoma pārmaiņas. Noteikuma pamatā ir pieņēmums, ka puses ir noslēgušas savstarpēju vienošanos (skat. iepriekš 7.2.2.1. apakšiedaļu). Kad norakstīšanu nevar uzskatīt par darījumu, jo īpaši gadījumā, kad publiska sabiedrība faktiski beidz pastāvēt, parāda norakstīšanu var ierakstīt kā citas aktīvu apjoma pārmaiņas.</w:t>
      </w:r>
    </w:p>
    <w:p w14:paraId="072A0C65" w14:textId="77777777" w:rsidR="00443399" w:rsidRPr="00B03B51" w:rsidRDefault="00443399" w:rsidP="00443399">
      <w:pPr>
        <w:jc w:val="both"/>
        <w:rPr>
          <w:rFonts w:ascii="Times New Roman" w:hAnsi="Times New Roman" w:cs="Times New Roman"/>
          <w:noProof/>
          <w:sz w:val="24"/>
        </w:rPr>
      </w:pPr>
    </w:p>
    <w:p w14:paraId="732A45B8"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7.2.3.3. PARĀDA PĀRŅEMŠANA AR NEFINANŠU AKTĪVU PĀRVEDUMU</w:t>
      </w:r>
    </w:p>
    <w:p w14:paraId="37C1AB8A" w14:textId="77777777" w:rsidR="00443399" w:rsidRPr="00B03B51" w:rsidRDefault="00443399" w:rsidP="00443399">
      <w:pPr>
        <w:tabs>
          <w:tab w:val="left" w:pos="1692"/>
        </w:tabs>
        <w:jc w:val="both"/>
        <w:rPr>
          <w:rFonts w:ascii="Times New Roman" w:hAnsi="Times New Roman" w:cs="Times New Roman"/>
          <w:b/>
          <w:noProof/>
          <w:sz w:val="24"/>
        </w:rPr>
      </w:pPr>
    </w:p>
    <w:p w14:paraId="1BDEA52D" w14:textId="77777777" w:rsidR="00443399" w:rsidRPr="003E7255" w:rsidRDefault="00443399" w:rsidP="003E7255">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7.2.3.3.1. Nefinanšu aktīvu iegāde kā izdevumi</w:t>
      </w:r>
    </w:p>
    <w:p w14:paraId="4773733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3188E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Nefinanšu aktīvu iegāde negatīvi ietekmē valdības subjekta neto aizdevumu/aizņēmumu (B.9), jo tā jāieraksta kā bruto pamatkapitāla veidošana (</w:t>
      </w:r>
      <w:r w:rsidRPr="00B03B51">
        <w:rPr>
          <w:rFonts w:ascii="Times New Roman" w:hAnsi="Times New Roman" w:cs="Times New Roman"/>
          <w:i/>
          <w:iCs/>
          <w:sz w:val="24"/>
        </w:rPr>
        <w:t>GFCF</w:t>
      </w:r>
      <w:r w:rsidRPr="00B03B51">
        <w:rPr>
          <w:rFonts w:ascii="Times New Roman" w:hAnsi="Times New Roman" w:cs="Times New Roman"/>
          <w:sz w:val="24"/>
        </w:rPr>
        <w:t>, P.51g) valdības kontu izdevumu pusē. Ja pārvedums/iegāde ir notikusi bez maksas, proti, kā dāvinājums, nav nekādas ietekmes uz B.9 (skat. turpmāk).</w:t>
      </w:r>
    </w:p>
    <w:p w14:paraId="500C81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AD49E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27. Lai gan </w:t>
      </w:r>
      <w:r w:rsidRPr="00B03B51">
        <w:rPr>
          <w:rFonts w:ascii="Times New Roman" w:hAnsi="Times New Roman" w:cs="Times New Roman"/>
          <w:i/>
          <w:iCs/>
          <w:sz w:val="24"/>
        </w:rPr>
        <w:t>GFCF</w:t>
      </w:r>
      <w:r w:rsidRPr="00B03B51">
        <w:rPr>
          <w:rFonts w:ascii="Times New Roman" w:hAnsi="Times New Roman" w:cs="Times New Roman"/>
          <w:sz w:val="24"/>
        </w:rPr>
        <w:t xml:space="preserve"> izdevumu tūlītējā ietekme uz neto aizdevumu/aizņēmumu (B.9) ir negatīva, nākotnē ietekme var kļūt pozitīva tiktāl, ciktāl iegūtajiem aktīviem ir reāla tirgus vērtība, tiem ir “pakalpojuma potenciāls” un tos var uzskatīt par nākotnes ieņēmumu avotu. Ja aktīvu iegādi finansē ar dotāciju bez turpmākām saņēmēja finanšu saistībām, bruto pamatkapitāla veidošanu var līdzsvarot ar kapitāla pārvedumu natūrā, kā rezultātā to ietekme uz neto aizdevumu/aizņēmumu (B.9) būs neitrāla (bruto ierakstīšana). Ja aktīvi tiek iegūti saistībā ar parāda pārņemšanu/anulēšanu, to vērtību var atskaitīt no kapitāla pārveduma kā parāda pārņemšanas “izmaksas” (neto ierakstīšanas iespēja, skat. turpmāk). Tomēr visos gadījumos ieraksta bruto pamatkapitāla veidošanu (kas novērtēta, pamatojoties uz ierastajām </w:t>
      </w:r>
      <w:r w:rsidRPr="00B03B51">
        <w:rPr>
          <w:rFonts w:ascii="Times New Roman" w:hAnsi="Times New Roman" w:cs="Times New Roman"/>
          <w:sz w:val="24"/>
        </w:rPr>
        <w:lastRenderedPageBreak/>
        <w:t>uzņēmējdarbības metodēm) par pilnu to vērtību kā aktīvu ieguvēja izdevumus.</w:t>
      </w:r>
    </w:p>
    <w:p w14:paraId="19C31FC6" w14:textId="77777777" w:rsidR="00443399" w:rsidRPr="006447B0" w:rsidRDefault="00443399" w:rsidP="006447B0">
      <w:pPr>
        <w:rPr>
          <w:rFonts w:ascii="Times New Roman" w:hAnsi="Times New Roman" w:cs="Times New Roman"/>
          <w:noProof/>
          <w:sz w:val="24"/>
          <w:szCs w:val="24"/>
        </w:rPr>
      </w:pPr>
    </w:p>
    <w:p w14:paraId="6DA6A2DA" w14:textId="77777777" w:rsidR="00443399" w:rsidRPr="00B03B51" w:rsidRDefault="00443399" w:rsidP="00210375">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7.2.3.3.2. Galīgā ietekme uz valdības neto aizdevumu/aizņēmumu (B.9)</w:t>
      </w:r>
    </w:p>
    <w:p w14:paraId="2CC280AE" w14:textId="77777777" w:rsidR="00443399" w:rsidRPr="00B03B51" w:rsidRDefault="00443399" w:rsidP="00210375">
      <w:pPr>
        <w:pStyle w:val="BodyText"/>
        <w:tabs>
          <w:tab w:val="left" w:pos="843"/>
        </w:tabs>
        <w:spacing w:before="0"/>
        <w:ind w:left="0" w:firstLine="0"/>
        <w:jc w:val="both"/>
        <w:rPr>
          <w:rFonts w:ascii="Times New Roman" w:hAnsi="Times New Roman" w:cs="Times New Roman"/>
          <w:noProof/>
          <w:sz w:val="24"/>
        </w:rPr>
      </w:pPr>
    </w:p>
    <w:p w14:paraId="3CCF53E0" w14:textId="77777777" w:rsidR="00443399" w:rsidRPr="00B03B51" w:rsidRDefault="00443399" w:rsidP="00210375">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Bruto ierakstīšana – veids, kā analizēt ekonomisku notikumu tā, it kā divi atsevišķi darījumi notiktu vienā pārskata periodā:</w:t>
      </w:r>
    </w:p>
    <w:p w14:paraId="78D188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7BC9D2"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pamatlīdzekļu bezmaksas pārvedums, kura ietekme uz neto aizdevumu/aizņēmumu (B.9) ir neitrāla, kā aprakstīts iepriekš;</w:t>
      </w:r>
    </w:p>
    <w:p w14:paraId="3CFA40CD" w14:textId="77777777" w:rsidR="00443399" w:rsidRPr="00B03B51" w:rsidRDefault="00443399" w:rsidP="0018742C">
      <w:pPr>
        <w:pStyle w:val="BodyText"/>
        <w:numPr>
          <w:ilvl w:val="1"/>
          <w:numId w:val="43"/>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parāda pārņemšana, kas negatīvi ietekmē neto aizdevumu/aizņēmumu (B.9) par kapitāla pārveduma summu tieši tāpat kā vispārējā gadījumā.</w:t>
      </w:r>
    </w:p>
    <w:p w14:paraId="6794C5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15E0F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Neto ierakstīšana – parāda pārņemšanu var aplūkot arī kā valdības maksājumu par pamatlīdzekļu iegādi. Šajā gadījumā “dāvinājuma” elements, kas ierakstīts kā kapitāla pārvedums, būtu starpība starp pārņemtajām saistībām un aktīvu vērtību. Tomēr galīgā ietekme uz neto aizdevumu/aizņēmumu (B.9) ir tāda pati kā bruto ierakstīšanas gadījumā, jo tiek pilnīgi ierakstīta bruto pamatkapitāla veidošana (P.51g) vai NP.1.</w:t>
      </w:r>
    </w:p>
    <w:p w14:paraId="20805AD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b/>
          <w:bCs/>
          <w:noProof/>
          <w:sz w:val="24"/>
        </w:rPr>
      </w:pPr>
    </w:p>
    <w:p w14:paraId="772903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 xml:space="preserve">30. </w:t>
      </w:r>
      <w:r w:rsidRPr="00B03B51">
        <w:rPr>
          <w:rFonts w:ascii="Times New Roman" w:hAnsi="Times New Roman" w:cs="Times New Roman"/>
          <w:b/>
          <w:bCs/>
          <w:i/>
          <w:iCs/>
          <w:sz w:val="24"/>
        </w:rPr>
        <w:t>NB</w:t>
      </w:r>
      <w:r w:rsidRPr="00B03B51">
        <w:rPr>
          <w:rFonts w:ascii="Times New Roman" w:hAnsi="Times New Roman" w:cs="Times New Roman"/>
          <w:sz w:val="24"/>
        </w:rPr>
        <w:t>! Valdības organizēto publiskas sabiedrības parāda pārņemšanu neieraksta, izmantojot citas aktīvu apjoma pārmaiņas (K.5 vai K.62). Valdības tieša līdzdalība ar galveno mērķi atvieglot sabiedrībai parāda nastu nozīmē to, ka parāda pārņemšana tiek atzīta par darījumu, kas veikts, pamatojoties uz savstarpēju vienošanos. Šādu traktējumu piemēro, pat ja tajā pašā laikā ir notikusi publisko sabiedrību pārstrukturēšana vai reorganizācija.</w:t>
      </w:r>
    </w:p>
    <w:p w14:paraId="7B7EF86F" w14:textId="77777777" w:rsidR="00443399" w:rsidRPr="00B03B51" w:rsidRDefault="00443399" w:rsidP="00443399">
      <w:pPr>
        <w:jc w:val="both"/>
        <w:rPr>
          <w:rFonts w:ascii="Times New Roman" w:hAnsi="Times New Roman" w:cs="Times New Roman"/>
          <w:noProof/>
          <w:sz w:val="24"/>
        </w:rPr>
      </w:pPr>
    </w:p>
    <w:p w14:paraId="510DAC70" w14:textId="150A18DF"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74" w:name="_Toc67565201"/>
      <w:r w:rsidRPr="00B03B51">
        <w:rPr>
          <w:rFonts w:ascii="Times New Roman" w:hAnsi="Times New Roman" w:cs="Times New Roman"/>
          <w:sz w:val="24"/>
        </w:rPr>
        <w:t>7.</w:t>
      </w:r>
      <w:r w:rsidR="00F40C08" w:rsidRPr="00B03B51">
        <w:rPr>
          <w:rFonts w:ascii="Times New Roman" w:hAnsi="Times New Roman" w:cs="Times New Roman"/>
          <w:sz w:val="24"/>
        </w:rPr>
        <w:t>2</w:t>
      </w:r>
      <w:r w:rsidRPr="00B03B51">
        <w:rPr>
          <w:rFonts w:ascii="Times New Roman" w:hAnsi="Times New Roman" w:cs="Times New Roman"/>
          <w:sz w:val="24"/>
        </w:rPr>
        <w:t>.</w:t>
      </w:r>
      <w:r w:rsidR="00F40C08" w:rsidRPr="00B03B51">
        <w:rPr>
          <w:rFonts w:ascii="Times New Roman" w:hAnsi="Times New Roman" w:cs="Times New Roman"/>
          <w:sz w:val="24"/>
        </w:rPr>
        <w:t>4</w:t>
      </w:r>
      <w:r w:rsidRPr="00B03B51">
        <w:rPr>
          <w:rFonts w:ascii="Times New Roman" w:hAnsi="Times New Roman" w:cs="Times New Roman"/>
          <w:sz w:val="24"/>
        </w:rPr>
        <w:t>. Uzskaites piemēri</w:t>
      </w:r>
      <w:bookmarkEnd w:id="574"/>
    </w:p>
    <w:p w14:paraId="149D371B" w14:textId="77777777" w:rsidR="00443399" w:rsidRPr="00B03B51" w:rsidRDefault="00443399" w:rsidP="00443399">
      <w:pPr>
        <w:jc w:val="both"/>
        <w:rPr>
          <w:rFonts w:ascii="Times New Roman" w:hAnsi="Times New Roman" w:cs="Times New Roman"/>
          <w:b/>
          <w:noProof/>
          <w:sz w:val="24"/>
        </w:rPr>
      </w:pPr>
    </w:p>
    <w:p w14:paraId="6E57C84B"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Kapitāla pārveduma ierakstīšana</w:t>
      </w:r>
    </w:p>
    <w:p w14:paraId="38ABDC02" w14:textId="77777777" w:rsidR="00443399" w:rsidRPr="00B03B51" w:rsidRDefault="00443399" w:rsidP="00443399">
      <w:pPr>
        <w:jc w:val="both"/>
        <w:rPr>
          <w:rFonts w:ascii="Times New Roman" w:eastAsia="Arial" w:hAnsi="Times New Roman" w:cs="Times New Roman"/>
          <w:b/>
          <w:bCs/>
          <w:noProof/>
          <w:sz w:val="24"/>
        </w:rPr>
      </w:pPr>
    </w:p>
    <w:p w14:paraId="34240ED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Turpmāk sniegtajos piemēros tiek pieņemts, ka kapitāla pārvedumu rezultātā, pirmkārt, palielinās publiskas sabiedrības neto vērtība. Otrajā posmā varētu pieņemt, ka šo neto vērtības palielinājumu ar pārvērtēšanas konta starpniecību “absorbē” ekvivalents palielinājums valdības pašu kapitālā, kas tai pieder publiskā sabiedrībā; taču šis otrais posms šeit nav aprakstīts. Turklāt beigu bilancēs ir uzrādītas vienīgi pārmaiņas neto vērtībā.</w:t>
      </w:r>
    </w:p>
    <w:p w14:paraId="66595CD0" w14:textId="77777777" w:rsidR="00443399" w:rsidRPr="00B03B51" w:rsidRDefault="00443399" w:rsidP="00443399">
      <w:pPr>
        <w:jc w:val="both"/>
        <w:rPr>
          <w:rFonts w:ascii="Times New Roman" w:eastAsia="Arial" w:hAnsi="Times New Roman" w:cs="Times New Roman"/>
          <w:noProof/>
          <w:sz w:val="24"/>
          <w:szCs w:val="18"/>
        </w:rPr>
      </w:pPr>
    </w:p>
    <w:p w14:paraId="0D4A7F31"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Parāda pārņemšana</w:t>
      </w:r>
    </w:p>
    <w:p w14:paraId="7DFE364A" w14:textId="77777777" w:rsidR="00443399" w:rsidRPr="00B03B51" w:rsidRDefault="00443399" w:rsidP="00443399">
      <w:pPr>
        <w:jc w:val="both"/>
        <w:rPr>
          <w:rFonts w:ascii="Times New Roman" w:eastAsia="Arial" w:hAnsi="Times New Roman" w:cs="Times New Roman"/>
          <w:b/>
          <w:bCs/>
          <w:noProof/>
          <w:sz w:val="24"/>
        </w:rPr>
      </w:pPr>
    </w:p>
    <w:p w14:paraId="1C75BDA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Pieņem, ka finanšu sabiedrība ir izsniegusi ilgtermiņa aizdevumu (F.42) publiskai nefinanšu sabiedrībai. Pirms maksājuma termiņa vispārējā valdība pārņem ilgtermiņa aizdevuma neatmaksāto daļu no publiskās nefinanšu sabiedrības.</w:t>
      </w:r>
    </w:p>
    <w:p w14:paraId="6BF88FFE" w14:textId="77777777" w:rsidR="00443399" w:rsidRPr="00B03B51" w:rsidRDefault="00443399" w:rsidP="00443399">
      <w:pPr>
        <w:jc w:val="both"/>
        <w:rPr>
          <w:rFonts w:ascii="Times New Roman" w:eastAsia="Arial" w:hAnsi="Times New Roman" w:cs="Times New Roman"/>
          <w:noProof/>
          <w:sz w:val="24"/>
          <w:szCs w:val="28"/>
        </w:rPr>
      </w:pPr>
    </w:p>
    <w:p w14:paraId="39B9008E" w14:textId="77777777" w:rsidR="00443399" w:rsidRPr="00B03B51" w:rsidRDefault="00443399" w:rsidP="0018742C">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71A3BD08" wp14:editId="3197C841">
            <wp:extent cx="5756275" cy="1306195"/>
            <wp:effectExtent l="0" t="0" r="0" b="8255"/>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56275" cy="1306195"/>
                    </a:xfrm>
                    <a:prstGeom prst="rect">
                      <a:avLst/>
                    </a:prstGeom>
                  </pic:spPr>
                </pic:pic>
              </a:graphicData>
            </a:graphic>
          </wp:inline>
        </w:drawing>
      </w:r>
    </w:p>
    <w:p w14:paraId="0957160A" w14:textId="77777777" w:rsidR="00443399" w:rsidRPr="00B03B51" w:rsidRDefault="00443399" w:rsidP="00443399">
      <w:pPr>
        <w:jc w:val="center"/>
        <w:rPr>
          <w:rFonts w:ascii="Times New Roman" w:hAnsi="Times New Roman" w:cs="Times New Roman"/>
          <w:noProof/>
        </w:rPr>
      </w:pPr>
      <w:r w:rsidRPr="00B03B51">
        <w:rPr>
          <w:rFonts w:ascii="Times New Roman" w:hAnsi="Times New Roman" w:cs="Times New Roman"/>
          <w:noProof/>
        </w:rPr>
        <w:lastRenderedPageBreak/>
        <w:drawing>
          <wp:inline distT="0" distB="0" distL="0" distR="0" wp14:anchorId="26EA3244" wp14:editId="01972D94">
            <wp:extent cx="5756275" cy="2602865"/>
            <wp:effectExtent l="0" t="0" r="0" b="6985"/>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56275" cy="2602865"/>
                    </a:xfrm>
                    <a:prstGeom prst="rect">
                      <a:avLst/>
                    </a:prstGeom>
                  </pic:spPr>
                </pic:pic>
              </a:graphicData>
            </a:graphic>
          </wp:inline>
        </w:drawing>
      </w:r>
    </w:p>
    <w:p w14:paraId="6CF537ED" w14:textId="77777777" w:rsidR="00443399" w:rsidRPr="00B03B51" w:rsidRDefault="00443399" w:rsidP="00443399">
      <w:pPr>
        <w:jc w:val="both"/>
        <w:rPr>
          <w:rFonts w:ascii="Times New Roman" w:eastAsia="Arial" w:hAnsi="Times New Roman" w:cs="Times New Roman"/>
          <w:noProof/>
          <w:sz w:val="24"/>
          <w:szCs w:val="21"/>
        </w:rPr>
      </w:pPr>
    </w:p>
    <w:p w14:paraId="166F651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Parāda anulēšana</w:t>
      </w:r>
    </w:p>
    <w:p w14:paraId="4A856BFC" w14:textId="77777777" w:rsidR="00443399" w:rsidRPr="00B03B51" w:rsidRDefault="00443399" w:rsidP="00443399">
      <w:pPr>
        <w:jc w:val="both"/>
        <w:rPr>
          <w:rFonts w:ascii="Times New Roman" w:eastAsia="Arial" w:hAnsi="Times New Roman" w:cs="Times New Roman"/>
          <w:b/>
          <w:bCs/>
          <w:noProof/>
          <w:sz w:val="24"/>
        </w:rPr>
      </w:pPr>
    </w:p>
    <w:p w14:paraId="7B8C737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Pieņem, ka vispārējā valdība ir izsniegusi ilgtermiņa aizdevumu (F.42) publiskai nefinanšu sabiedrībai. Vispārējā valdība atceļ savu prasījumu (neatmaksāto ilgtermiņa aizdevumu) pirms maksājuma termiņa.</w:t>
      </w:r>
    </w:p>
    <w:p w14:paraId="5636A307" w14:textId="77777777" w:rsidR="00443399" w:rsidRPr="00B03B51" w:rsidRDefault="00443399" w:rsidP="00443399">
      <w:pPr>
        <w:jc w:val="both"/>
        <w:rPr>
          <w:rFonts w:ascii="Times New Roman" w:eastAsia="Arial" w:hAnsi="Times New Roman" w:cs="Times New Roman"/>
          <w:noProof/>
          <w:sz w:val="24"/>
          <w:szCs w:val="20"/>
        </w:rPr>
      </w:pPr>
    </w:p>
    <w:p w14:paraId="091914B2" w14:textId="77777777" w:rsidR="00443399" w:rsidRPr="00B03B51" w:rsidRDefault="00443399" w:rsidP="0018742C">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1FBC3633" wp14:editId="1277F52F">
            <wp:extent cx="5756275" cy="3904615"/>
            <wp:effectExtent l="0" t="0" r="0" b="635"/>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56275" cy="3904615"/>
                    </a:xfrm>
                    <a:prstGeom prst="rect">
                      <a:avLst/>
                    </a:prstGeom>
                  </pic:spPr>
                </pic:pic>
              </a:graphicData>
            </a:graphic>
          </wp:inline>
        </w:drawing>
      </w:r>
    </w:p>
    <w:p w14:paraId="223B9947" w14:textId="77777777" w:rsidR="00443399" w:rsidRPr="00B03B51" w:rsidRDefault="00443399" w:rsidP="00443399">
      <w:pPr>
        <w:jc w:val="both"/>
        <w:rPr>
          <w:rFonts w:ascii="Times New Roman" w:eastAsia="Arial" w:hAnsi="Times New Roman" w:cs="Times New Roman"/>
          <w:noProof/>
          <w:sz w:val="24"/>
          <w:szCs w:val="21"/>
        </w:rPr>
      </w:pPr>
    </w:p>
    <w:p w14:paraId="6373FD8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Finanšu darījuma ierakstīšana</w:t>
      </w:r>
    </w:p>
    <w:p w14:paraId="73D106FE" w14:textId="77777777" w:rsidR="00443399" w:rsidRPr="00B03B51" w:rsidRDefault="00443399" w:rsidP="00443399">
      <w:pPr>
        <w:jc w:val="both"/>
        <w:rPr>
          <w:rFonts w:ascii="Times New Roman" w:eastAsia="Arial" w:hAnsi="Times New Roman" w:cs="Times New Roman"/>
          <w:b/>
          <w:bCs/>
          <w:noProof/>
          <w:sz w:val="24"/>
        </w:rPr>
      </w:pPr>
    </w:p>
    <w:p w14:paraId="350622E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Šādu ierakstīšanu piemēro gadījumā, ja kvazisabiedrība nerada zaudējumus, un uz parāda pārņemšanu/anulēšanu notiekošā privatizācijas procesā, kas ir jāveic īsā termiņā. Ierakstīšana abos gadījumos ir vienāda – tā nozīmē darījumus ar akcijām un citu pašu kapitālu (F.5).</w:t>
      </w:r>
    </w:p>
    <w:p w14:paraId="4775CFA9" w14:textId="77777777" w:rsidR="00443399" w:rsidRPr="00B03B51" w:rsidRDefault="00443399" w:rsidP="00443399">
      <w:pPr>
        <w:jc w:val="both"/>
        <w:rPr>
          <w:rFonts w:ascii="Times New Roman" w:hAnsi="Times New Roman" w:cs="Times New Roman"/>
          <w:noProof/>
          <w:sz w:val="24"/>
        </w:rPr>
      </w:pPr>
    </w:p>
    <w:p w14:paraId="0DAC54C6"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t>Parāda pārņemšana</w:t>
      </w:r>
    </w:p>
    <w:p w14:paraId="273CE342" w14:textId="77777777" w:rsidR="00443399" w:rsidRPr="00B03B51" w:rsidRDefault="00443399" w:rsidP="00443399">
      <w:pPr>
        <w:keepNext/>
        <w:jc w:val="both"/>
        <w:rPr>
          <w:rFonts w:ascii="Times New Roman" w:hAnsi="Times New Roman" w:cs="Times New Roman"/>
          <w:b/>
          <w:noProof/>
          <w:sz w:val="24"/>
        </w:rPr>
      </w:pPr>
    </w:p>
    <w:p w14:paraId="65E71EB6" w14:textId="77777777" w:rsidR="00443399" w:rsidRPr="00B03B51" w:rsidRDefault="00443399" w:rsidP="00443399">
      <w:pPr>
        <w:keepNext/>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1F05C2F6" wp14:editId="3B152003">
            <wp:extent cx="5756275" cy="3236595"/>
            <wp:effectExtent l="0" t="0" r="0" b="1905"/>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56275" cy="3236595"/>
                    </a:xfrm>
                    <a:prstGeom prst="rect">
                      <a:avLst/>
                    </a:prstGeom>
                  </pic:spPr>
                </pic:pic>
              </a:graphicData>
            </a:graphic>
          </wp:inline>
        </w:drawing>
      </w:r>
    </w:p>
    <w:p w14:paraId="6E920DBF" w14:textId="77777777" w:rsidR="00443399" w:rsidRPr="00B03B51" w:rsidRDefault="00443399" w:rsidP="00443399">
      <w:pPr>
        <w:jc w:val="both"/>
        <w:rPr>
          <w:rFonts w:ascii="Times New Roman" w:hAnsi="Times New Roman" w:cs="Times New Roman"/>
          <w:b/>
          <w:noProof/>
          <w:sz w:val="24"/>
        </w:rPr>
      </w:pPr>
    </w:p>
    <w:p w14:paraId="74264C39"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Parāda anulēšana</w:t>
      </w:r>
    </w:p>
    <w:p w14:paraId="7C472003" w14:textId="77777777" w:rsidR="00443399" w:rsidRPr="00B03B51" w:rsidRDefault="00443399" w:rsidP="00443399">
      <w:pPr>
        <w:jc w:val="both"/>
        <w:rPr>
          <w:rFonts w:ascii="Times New Roman" w:eastAsia="Arial" w:hAnsi="Times New Roman" w:cs="Times New Roman"/>
          <w:b/>
          <w:bCs/>
          <w:noProof/>
          <w:sz w:val="24"/>
          <w:szCs w:val="10"/>
        </w:rPr>
      </w:pPr>
    </w:p>
    <w:p w14:paraId="4FA4164A" w14:textId="77777777" w:rsidR="00443399" w:rsidRPr="00B03B51" w:rsidRDefault="00443399" w:rsidP="0018742C">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3479DD9B" wp14:editId="4237629E">
            <wp:extent cx="5756275" cy="3246755"/>
            <wp:effectExtent l="0" t="0" r="0"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56275" cy="3246755"/>
                    </a:xfrm>
                    <a:prstGeom prst="rect">
                      <a:avLst/>
                    </a:prstGeom>
                  </pic:spPr>
                </pic:pic>
              </a:graphicData>
            </a:graphic>
          </wp:inline>
        </w:drawing>
      </w:r>
    </w:p>
    <w:p w14:paraId="64F7F0D1" w14:textId="77777777" w:rsidR="00443399" w:rsidRPr="00B03B51" w:rsidRDefault="00443399" w:rsidP="00443399">
      <w:pPr>
        <w:jc w:val="both"/>
        <w:rPr>
          <w:rFonts w:ascii="Times New Roman" w:eastAsia="Arial" w:hAnsi="Times New Roman" w:cs="Times New Roman"/>
          <w:b/>
          <w:bCs/>
          <w:noProof/>
          <w:sz w:val="24"/>
          <w:szCs w:val="21"/>
        </w:rPr>
      </w:pPr>
    </w:p>
    <w:p w14:paraId="16DE7D43"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Citu aktīvu apjoma pārmaiņu ierakstīšana</w:t>
      </w:r>
    </w:p>
    <w:p w14:paraId="70782610" w14:textId="77777777" w:rsidR="00443399" w:rsidRPr="00B03B51" w:rsidRDefault="00443399" w:rsidP="00443399">
      <w:pPr>
        <w:jc w:val="both"/>
        <w:rPr>
          <w:rFonts w:ascii="Times New Roman" w:eastAsia="Arial" w:hAnsi="Times New Roman" w:cs="Times New Roman"/>
          <w:b/>
          <w:bCs/>
          <w:noProof/>
          <w:sz w:val="24"/>
        </w:rPr>
      </w:pPr>
    </w:p>
    <w:p w14:paraId="4C5932E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Šī ierakstīšana attiecas uz tiem publisko sabiedrību parādiem valdībai, ko tā noraksta (debitors ir bankrotējis vai likvidēts).</w:t>
      </w:r>
    </w:p>
    <w:p w14:paraId="15023111" w14:textId="77777777" w:rsidR="00443399" w:rsidRPr="00B03B51" w:rsidRDefault="00443399" w:rsidP="00443399">
      <w:pPr>
        <w:jc w:val="both"/>
        <w:rPr>
          <w:rFonts w:ascii="Times New Roman" w:hAnsi="Times New Roman" w:cs="Times New Roman"/>
          <w:noProof/>
          <w:sz w:val="24"/>
        </w:rPr>
      </w:pPr>
    </w:p>
    <w:p w14:paraId="102123A8" w14:textId="77777777" w:rsidR="00443399" w:rsidRPr="00B03B51" w:rsidRDefault="00443399" w:rsidP="0018742C">
      <w:pPr>
        <w:jc w:val="center"/>
        <w:rPr>
          <w:rFonts w:ascii="Times New Roman" w:eastAsia="Arial" w:hAnsi="Times New Roman" w:cs="Times New Roman"/>
          <w:noProof/>
          <w:sz w:val="24"/>
          <w:szCs w:val="4"/>
        </w:rPr>
      </w:pPr>
      <w:r w:rsidRPr="00B03B51">
        <w:rPr>
          <w:rFonts w:ascii="Times New Roman" w:hAnsi="Times New Roman" w:cs="Times New Roman"/>
          <w:noProof/>
        </w:rPr>
        <w:lastRenderedPageBreak/>
        <w:drawing>
          <wp:inline distT="0" distB="0" distL="0" distR="0" wp14:anchorId="61CF2309" wp14:editId="627FEFBA">
            <wp:extent cx="5756275" cy="3081020"/>
            <wp:effectExtent l="0" t="0" r="0" b="508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56275" cy="3081020"/>
                    </a:xfrm>
                    <a:prstGeom prst="rect">
                      <a:avLst/>
                    </a:prstGeom>
                  </pic:spPr>
                </pic:pic>
              </a:graphicData>
            </a:graphic>
          </wp:inline>
        </w:drawing>
      </w:r>
    </w:p>
    <w:p w14:paraId="6261ACA3" w14:textId="77777777" w:rsidR="00443399" w:rsidRPr="00B03B51" w:rsidRDefault="00443399" w:rsidP="00443399">
      <w:pPr>
        <w:jc w:val="both"/>
        <w:rPr>
          <w:rFonts w:ascii="Times New Roman" w:eastAsia="Arial" w:hAnsi="Times New Roman" w:cs="Times New Roman"/>
          <w:noProof/>
          <w:sz w:val="24"/>
          <w:szCs w:val="20"/>
        </w:rPr>
      </w:pPr>
    </w:p>
    <w:p w14:paraId="5828C36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Īpašs gadījums – parāda pārņemšana ar nefinanšu aktīvu nodošanu</w:t>
      </w:r>
    </w:p>
    <w:p w14:paraId="2EDE211D" w14:textId="77777777" w:rsidR="00443399" w:rsidRPr="00B03B51" w:rsidRDefault="00443399" w:rsidP="00443399">
      <w:pPr>
        <w:jc w:val="both"/>
        <w:rPr>
          <w:rFonts w:ascii="Times New Roman" w:hAnsi="Times New Roman" w:cs="Times New Roman"/>
          <w:b/>
          <w:noProof/>
          <w:sz w:val="24"/>
        </w:rPr>
      </w:pPr>
    </w:p>
    <w:p w14:paraId="1AA91A52"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Parāda pārņemšanas ar aktīviem bruto ierakstīšana</w:t>
      </w:r>
    </w:p>
    <w:p w14:paraId="64638BE3" w14:textId="77777777" w:rsidR="00443399" w:rsidRPr="00B03B51" w:rsidRDefault="00443399" w:rsidP="00443399">
      <w:pPr>
        <w:jc w:val="both"/>
        <w:rPr>
          <w:rFonts w:ascii="Times New Roman" w:eastAsia="Arial" w:hAnsi="Times New Roman" w:cs="Times New Roman"/>
          <w:b/>
          <w:bCs/>
          <w:noProof/>
          <w:sz w:val="24"/>
          <w:szCs w:val="20"/>
        </w:rPr>
      </w:pPr>
    </w:p>
    <w:p w14:paraId="59FA63F9" w14:textId="77777777" w:rsidR="00443399" w:rsidRPr="00B03B51" w:rsidRDefault="00443399" w:rsidP="0018742C">
      <w:pPr>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611C9C25" wp14:editId="219F0EA9">
            <wp:extent cx="5756275" cy="4239260"/>
            <wp:effectExtent l="0" t="0" r="0" b="889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56275" cy="4239260"/>
                    </a:xfrm>
                    <a:prstGeom prst="rect">
                      <a:avLst/>
                    </a:prstGeom>
                  </pic:spPr>
                </pic:pic>
              </a:graphicData>
            </a:graphic>
          </wp:inline>
        </w:drawing>
      </w:r>
    </w:p>
    <w:p w14:paraId="75DA1F7F" w14:textId="77777777" w:rsidR="00443399" w:rsidRPr="00B03B51" w:rsidRDefault="00443399" w:rsidP="00443399">
      <w:pPr>
        <w:jc w:val="both"/>
        <w:rPr>
          <w:rFonts w:ascii="Times New Roman" w:eastAsia="Arial" w:hAnsi="Times New Roman" w:cs="Times New Roman"/>
          <w:b/>
          <w:bCs/>
          <w:noProof/>
          <w:sz w:val="24"/>
          <w:szCs w:val="20"/>
        </w:rPr>
      </w:pPr>
    </w:p>
    <w:p w14:paraId="4BF73562" w14:textId="77777777" w:rsidR="00443399" w:rsidRPr="00B03B51" w:rsidRDefault="00443399" w:rsidP="00443399">
      <w:pPr>
        <w:keepNext/>
        <w:jc w:val="both"/>
        <w:rPr>
          <w:rFonts w:ascii="Times New Roman" w:hAnsi="Times New Roman" w:cs="Times New Roman"/>
          <w:b/>
          <w:noProof/>
          <w:sz w:val="24"/>
        </w:rPr>
      </w:pPr>
      <w:r w:rsidRPr="00B03B51">
        <w:rPr>
          <w:rFonts w:ascii="Times New Roman" w:hAnsi="Times New Roman" w:cs="Times New Roman"/>
          <w:b/>
          <w:sz w:val="24"/>
        </w:rPr>
        <w:lastRenderedPageBreak/>
        <w:t>Parāda pārņemšanas ar aktīviem neto ierakstīšana</w:t>
      </w:r>
    </w:p>
    <w:p w14:paraId="65C7E051" w14:textId="77777777" w:rsidR="00443399" w:rsidRPr="00B03B51" w:rsidRDefault="00443399" w:rsidP="00443399">
      <w:pPr>
        <w:keepNext/>
        <w:jc w:val="both"/>
        <w:rPr>
          <w:rFonts w:ascii="Times New Roman" w:eastAsia="Arial" w:hAnsi="Times New Roman" w:cs="Times New Roman"/>
          <w:b/>
          <w:bCs/>
          <w:noProof/>
          <w:sz w:val="24"/>
          <w:szCs w:val="20"/>
        </w:rPr>
      </w:pPr>
    </w:p>
    <w:p w14:paraId="3FF57CF6" w14:textId="77777777" w:rsidR="00443399" w:rsidRPr="00B03B51" w:rsidRDefault="00443399" w:rsidP="00443399">
      <w:pPr>
        <w:keepNext/>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6E022D5A" wp14:editId="6492CC3B">
            <wp:extent cx="5756275" cy="3817620"/>
            <wp:effectExtent l="0" t="0" r="0"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56275" cy="3817620"/>
                    </a:xfrm>
                    <a:prstGeom prst="rect">
                      <a:avLst/>
                    </a:prstGeom>
                  </pic:spPr>
                </pic:pic>
              </a:graphicData>
            </a:graphic>
          </wp:inline>
        </w:drawing>
      </w:r>
    </w:p>
    <w:p w14:paraId="47C7B4AC" w14:textId="77777777" w:rsidR="00443399" w:rsidRPr="00B03B51" w:rsidRDefault="00443399" w:rsidP="00443399">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536AF304" w14:textId="77777777" w:rsidR="00443399" w:rsidRPr="00B03B51" w:rsidRDefault="00443399" w:rsidP="00443399">
      <w:pPr>
        <w:jc w:val="both"/>
        <w:rPr>
          <w:rFonts w:ascii="Times New Roman" w:eastAsia="Arial" w:hAnsi="Times New Roman" w:cs="Times New Roman"/>
          <w:noProof/>
          <w:sz w:val="24"/>
          <w:szCs w:val="29"/>
        </w:rPr>
      </w:pPr>
    </w:p>
    <w:p w14:paraId="48F9B3B3"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75" w:name="7.3_Debt_rescheduling"/>
      <w:bookmarkStart w:id="576" w:name="_bookmark57"/>
      <w:bookmarkStart w:id="577" w:name="_Toc67565202"/>
      <w:bookmarkEnd w:id="575"/>
      <w:bookmarkEnd w:id="576"/>
      <w:r w:rsidRPr="00B03B51">
        <w:rPr>
          <w:rFonts w:ascii="Times New Roman" w:hAnsi="Times New Roman" w:cs="Times New Roman"/>
          <w:sz w:val="28"/>
          <w:szCs w:val="44"/>
        </w:rPr>
        <w:t>7.3. Parāda atmaksas grafika pārskatīšana</w:t>
      </w:r>
      <w:bookmarkEnd w:id="577"/>
    </w:p>
    <w:p w14:paraId="2E6FAC4D" w14:textId="77777777" w:rsidR="00443399" w:rsidRPr="00100B51" w:rsidRDefault="00443399" w:rsidP="00100B51">
      <w:pPr>
        <w:rPr>
          <w:rFonts w:ascii="Times New Roman" w:hAnsi="Times New Roman" w:cs="Times New Roman"/>
          <w:noProof/>
          <w:sz w:val="24"/>
          <w:szCs w:val="24"/>
        </w:rPr>
      </w:pPr>
      <w:bookmarkStart w:id="578" w:name="7.3.1_Background"/>
      <w:bookmarkEnd w:id="578"/>
    </w:p>
    <w:p w14:paraId="0D31CA63"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79" w:name="_Toc67565203"/>
      <w:r w:rsidRPr="00B03B51">
        <w:rPr>
          <w:rFonts w:ascii="Times New Roman" w:hAnsi="Times New Roman" w:cs="Times New Roman"/>
          <w:sz w:val="24"/>
        </w:rPr>
        <w:t>7.3.1. Vispārīga informācija</w:t>
      </w:r>
      <w:bookmarkEnd w:id="579"/>
    </w:p>
    <w:p w14:paraId="4A2DE53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DBF8A7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Parāda atmaksas grafika pārskatīšana var būt alternatīvs risinājums parāda anulēšanai vai arī parāda anulēšanas procesa posms.</w:t>
      </w:r>
    </w:p>
    <w:p w14:paraId="182F80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1681BF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Šo darījumu valdība bieži īsteno ar ārvalstu darījumu veicējiem, jo īpaši no attīstības valstīm, tomēr tos var veikt arī ar vietējām publiskajām sabiedrībām (jo īpaši finanšu nozarē). Ārvalstu debitori var būt valdības vienības vai valdības sektoram nepiederošas vienības, piemēram, publiskas sabiedrības. Parīzes klubs ir paredzēts sarunām par valsts parādu. Londonas klubs ir paredzēts sarunām par privāto (banku) parādiem, taču tas vairs praktiski nedarbojas. Turpmāk termins “valdība” tiek attiecināts vienīgi uz kreditoru valdību (proti, uz Valsts kasi vai īpašām aģentūrām, izņemot īpašas finanšu iestādes, kas klasificētas sektorā S.12).</w:t>
      </w:r>
    </w:p>
    <w:p w14:paraId="420629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16C376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Rodas jautājums, kā ierakstīt prasījumu un saistību grafika pārskatīšanu? Kāda summa jāieraksta valdības bilances aktīva pusē, ja parāda līguma termiņi ir mainīti saskaņā ar vienošanos par atmaksas grafika pārskatīšanu, un kad jāveic ieraksts?</w:t>
      </w:r>
    </w:p>
    <w:p w14:paraId="2F95897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6C74C1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Šeit ir aplūkots gadījums, kad valdība ir tieši pagarinājusi aizdevumu citas valsts valdībai un debitors nepilda saistības un atliek visus savus maksājumus vai daļu no tiem: vispirms notiek sarunas par parāda atmaksas grafika pārskatīšanu; otrais posms – parādu var anulēt vai pat pārdot. Aplūkoti tikai aizdevumi. Kredīta apdrošināšanas gadījums nav aplūkots.</w:t>
      </w:r>
    </w:p>
    <w:p w14:paraId="76BDB8C5" w14:textId="77777777" w:rsidR="00443399" w:rsidRPr="00B03B51" w:rsidRDefault="00443399" w:rsidP="00443399">
      <w:pPr>
        <w:jc w:val="both"/>
        <w:rPr>
          <w:rFonts w:ascii="Times New Roman" w:eastAsia="Arial" w:hAnsi="Times New Roman" w:cs="Times New Roman"/>
          <w:noProof/>
          <w:sz w:val="24"/>
          <w:szCs w:val="18"/>
        </w:rPr>
      </w:pPr>
    </w:p>
    <w:p w14:paraId="6766538A"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80" w:name="7.3.2_Treatment_in_national_accounts"/>
      <w:bookmarkStart w:id="581" w:name="_Toc67565204"/>
      <w:bookmarkEnd w:id="580"/>
      <w:r w:rsidRPr="00B03B51">
        <w:rPr>
          <w:rFonts w:ascii="Times New Roman" w:hAnsi="Times New Roman" w:cs="Times New Roman"/>
          <w:sz w:val="24"/>
        </w:rPr>
        <w:t>7.3.2. Traktējums nacionālajos kontos</w:t>
      </w:r>
      <w:bookmarkEnd w:id="581"/>
    </w:p>
    <w:p w14:paraId="5B9FC2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E27748" w14:textId="56F1802C"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Kapitāla pārvedumu ieraksta par labu debitoram, kurš neizpilda savas saistības, ja prasījuma (parasti aizdevumu) neatmaksātā pamatsumma, kas ierakstīta tās nominālvērtībā, ir samazināta. Kapitāla pārvedums ir dzēstā prasījuma summas apmērā. Šāda veida parāda </w:t>
      </w:r>
      <w:r w:rsidR="00E04821" w:rsidRPr="00B03B51">
        <w:rPr>
          <w:rFonts w:ascii="Times New Roman" w:hAnsi="Times New Roman" w:cs="Times New Roman"/>
          <w:sz w:val="24"/>
        </w:rPr>
        <w:t>anulēšana</w:t>
      </w:r>
      <w:r w:rsidRPr="00B03B51">
        <w:rPr>
          <w:rFonts w:ascii="Times New Roman" w:hAnsi="Times New Roman" w:cs="Times New Roman"/>
          <w:sz w:val="24"/>
        </w:rPr>
        <w:t xml:space="preserve"> ir aprakstīta 7.2. nodaļā “Parāda pārņemšana un parāda </w:t>
      </w:r>
      <w:r w:rsidR="00E04821" w:rsidRPr="00B03B51">
        <w:rPr>
          <w:rFonts w:ascii="Times New Roman" w:hAnsi="Times New Roman" w:cs="Times New Roman"/>
          <w:sz w:val="24"/>
        </w:rPr>
        <w:t>anulēšana</w:t>
      </w:r>
      <w:r w:rsidRPr="00B03B51">
        <w:rPr>
          <w:rFonts w:ascii="Times New Roman" w:hAnsi="Times New Roman" w:cs="Times New Roman"/>
          <w:sz w:val="24"/>
        </w:rPr>
        <w:t>”.</w:t>
      </w:r>
    </w:p>
    <w:p w14:paraId="7D06D3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F0C1F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Dažos citos gadījumos kapitāla pārvedums nav jāieraksta, jo īpaši:</w:t>
      </w:r>
    </w:p>
    <w:p w14:paraId="744E06DB" w14:textId="77777777" w:rsidR="00443399" w:rsidRPr="00B03B51" w:rsidRDefault="00443399" w:rsidP="00443399">
      <w:pPr>
        <w:pStyle w:val="BodyText"/>
        <w:tabs>
          <w:tab w:val="left" w:pos="1202"/>
        </w:tabs>
        <w:spacing w:before="0"/>
        <w:ind w:left="0" w:firstLine="0"/>
        <w:jc w:val="both"/>
        <w:rPr>
          <w:rFonts w:ascii="Times New Roman" w:hAnsi="Times New Roman" w:cs="Times New Roman"/>
          <w:noProof/>
          <w:sz w:val="24"/>
        </w:rPr>
      </w:pPr>
    </w:p>
    <w:p w14:paraId="7069EF80"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ja prasījuma maksājums tiek tikai kavēts vai mainīts tā grafiks;</w:t>
      </w:r>
    </w:p>
    <w:p w14:paraId="2B15E9BA"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p>
    <w:p w14:paraId="02B45187"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ja tiek pārspriesta vienīgi procentu summa.</w:t>
      </w:r>
    </w:p>
    <w:p w14:paraId="5AA84A0F" w14:textId="77777777" w:rsidR="00443399" w:rsidRPr="00B03B51" w:rsidRDefault="00443399" w:rsidP="00443399">
      <w:pPr>
        <w:jc w:val="both"/>
        <w:rPr>
          <w:rFonts w:ascii="Times New Roman" w:eastAsia="Arial" w:hAnsi="Times New Roman" w:cs="Times New Roman"/>
          <w:noProof/>
          <w:sz w:val="24"/>
          <w:szCs w:val="16"/>
        </w:rPr>
      </w:pPr>
    </w:p>
    <w:p w14:paraId="052E0D2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82" w:name="7.3.2.1_Recording_of_a_loan"/>
      <w:bookmarkEnd w:id="582"/>
      <w:r w:rsidRPr="00B03B51">
        <w:rPr>
          <w:rFonts w:ascii="Times New Roman" w:hAnsi="Times New Roman" w:cs="Times New Roman"/>
          <w:sz w:val="24"/>
        </w:rPr>
        <w:t>7.3.2.1. AIZDEVUMA IERAKSTĪŠANA</w:t>
      </w:r>
    </w:p>
    <w:p w14:paraId="52BA4F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9366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Debitora saistību apjoms pret kreditoru jebkurā brīdī ir nenomaksātā pamatsumma, proti, tā ir summa, kas debitoram jāatmaksā, lai izpildītu saistības un tādējādi dzēstu kreditora prasījumu pret debitoru. Tā ir neatmaksātā pamatsumma, kas jāieraksta gan kreditora, gan debitora bilancē.</w:t>
      </w:r>
    </w:p>
    <w:p w14:paraId="41C680B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45A4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Var būt dažādu veidu aizdevumi (skat. turpmāk 1. ierāmējumu 7.3.2.4. apakšiedaļā). Tomēr neatkarīgi no aizdevuma veida kopējie gada maksājumi (pamatsumma un procenti) tiek noteikti līgumā, un tos var mainīt, vienīgi grozot līgumu. Nacionālajos kontos procentu plūsmu turpmākās sērijas neieraksta kā kreditora finanšu aktīvu, ne arī kā debitora saistības.</w:t>
      </w:r>
    </w:p>
    <w:p w14:paraId="45B86A8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EDB939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9. Procentu likme var būt nemainīga, vai arī to var pārskatīt gadījumos ar brīvi svārstīgajām likmēm, pārskatītajām likmēm un pieaugošajām procentu likmēm. Aizdevuma līgumā ir iekļauti procentu likmes piemērošanas noteikumi.</w:t>
      </w:r>
    </w:p>
    <w:p w14:paraId="58B9B37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726AB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Ja kādā brīdī kādi iepriekšēji procentu maksājumi nav veikti, attiecīgo summu pievieno nenomaksātajai pamatsummai. Šajās summās ietilpst arī procenti, kas ir uzkrāti un pievienoti pamatsummai nacionālo kontu bilancē, bet nav laikus nomaksāti (to parasti dēvē par procentu parādu).</w:t>
      </w:r>
    </w:p>
    <w:p w14:paraId="517FF5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EA66F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Jebkurā gadījumā nacionālajos kontos neieraksta iespējamos uzkrājumus (gaidāmo zaudējumu aplēses), ko kreditors veicis savos kontos.</w:t>
      </w:r>
    </w:p>
    <w:p w14:paraId="1F7D1C5A" w14:textId="77777777" w:rsidR="00443399" w:rsidRPr="00B03B51" w:rsidRDefault="00443399" w:rsidP="00443399">
      <w:pPr>
        <w:jc w:val="both"/>
        <w:rPr>
          <w:rFonts w:ascii="Times New Roman" w:hAnsi="Times New Roman" w:cs="Times New Roman"/>
          <w:noProof/>
          <w:sz w:val="24"/>
        </w:rPr>
      </w:pPr>
    </w:p>
    <w:p w14:paraId="1DB55D86"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83" w:name="7.3.2.2_Rescheduling_of_the_loan:_ordina"/>
      <w:bookmarkEnd w:id="583"/>
      <w:r w:rsidRPr="00B03B51">
        <w:rPr>
          <w:rFonts w:ascii="Times New Roman" w:hAnsi="Times New Roman" w:cs="Times New Roman"/>
          <w:sz w:val="24"/>
        </w:rPr>
        <w:t>7.3.2.2. AIZDEVUMA ATMAKSAS GRAFIKA PĀRSKATĪŠANA. STANDARTA GADĪJUMI</w:t>
      </w:r>
    </w:p>
    <w:p w14:paraId="51D1935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00DD9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“Standarta gadījumos” vienošanās par atmaksas grafika pārskatīšanu neietver atlikušā prasījuma maiņu, proti, prasījuma samaksa tiek tikai aizkavēta, pārlikta grafikā uz citu laiku, un/vai tiek pārskatīta procentu summa.</w:t>
      </w:r>
    </w:p>
    <w:p w14:paraId="5E5C0C1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C4967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Pastāv trīs galvenie aizdevuma atmaksas grafika pārskatīšanas veidi.</w:t>
      </w:r>
    </w:p>
    <w:p w14:paraId="77110DCB" w14:textId="77777777" w:rsidR="00443399" w:rsidRPr="00B03B51" w:rsidRDefault="00443399" w:rsidP="00443399">
      <w:pPr>
        <w:pStyle w:val="BodyText"/>
        <w:tabs>
          <w:tab w:val="left" w:pos="1202"/>
        </w:tabs>
        <w:spacing w:before="0"/>
        <w:ind w:left="0" w:firstLine="0"/>
        <w:jc w:val="both"/>
        <w:rPr>
          <w:rFonts w:ascii="Times New Roman" w:hAnsi="Times New Roman" w:cs="Times New Roman"/>
          <w:noProof/>
          <w:sz w:val="24"/>
        </w:rPr>
      </w:pPr>
    </w:p>
    <w:p w14:paraId="644B1F1A"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1. Viens veids ir mainīt pamatsummas maksājuma termiņu. Tā kā kopumā mērķis ir atvieglot atmaksas ikgadējo nastu, šajā gadījumā, visticamāk, tiks pagarināts termiņš. Tomēr, lai arī procentu likme nemainās, kopējā procentu maksa pieaug, jo procenti tiek maksāti ilgāku laiku (skat. piemēru).</w:t>
      </w:r>
    </w:p>
    <w:p w14:paraId="30F51A1D"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45F79311"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Tas nemaina neatmaksātās pamatsummas nominālvērtību, taču ietekmē parāda instrumenta “tirgus vērtību”, kas tiek novērota, ja darījumi notiek sekundārajā tirgū. Grafika pārskatīšanas rezultātā tiek izstrādāts tāds jauns ikgadējās atmaksas grafiks, kas atšķiras no sākotnējā grafika.</w:t>
      </w:r>
    </w:p>
    <w:p w14:paraId="45D1C66C"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p>
    <w:p w14:paraId="1BB5EF82"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2. Cits veids ir mainīt līguma procentu likmi. Tas ietekmēs vienīgi procentu maksājumu sērijas. Sākotnējā nenomaksātā pamatsumma nemainās. Ja mainās to procentu likme, kas uzkrājas, tad, visticamāk, mainīsies arī veicamie regulārie maksājumi.</w:t>
      </w:r>
    </w:p>
    <w:p w14:paraId="2DB212A3"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2381CAD6"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Konkrēta šāda vienošanās var ietvert procentu maksājumu nākotnes plūsmu atcelšanu, ko veic kreditors, ar dažādām pamatsummas atmaksāšanas alternatīvām. Nenomaksātās pamatsummas apjoms bilancēs nemainās: tas līdzinās aizdevuma procentu likmes pārskatīšanai, kad jaunā procentu likme ir vienāda ar nulli.</w:t>
      </w:r>
    </w:p>
    <w:p w14:paraId="454F427E"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p>
    <w:p w14:paraId="0CB6B1F2" w14:textId="77777777" w:rsidR="00443399" w:rsidRPr="00B03B51" w:rsidRDefault="00443399" w:rsidP="00443399">
      <w:pPr>
        <w:pStyle w:val="BodyText"/>
        <w:tabs>
          <w:tab w:val="left" w:pos="1202"/>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3. Trešais veids ir kavēt pamatsummas maksājumus termiņa pagarinājuma laikā. Parasti attiecīgi pieaug aizdevuma atmaksas termiņš. Sākotnējā nenomaksātā summa netiek mainīta. Atvieglojumu periodā uzkrātos procentus var maksāt katru gadu vai kapitalizēt un pievienot pamatsummai, kura tiks amortizēta pēc atvieglojumu perioda (skat. 2.4. nodaļu “Procentu ierakstīšana”).</w:t>
      </w:r>
    </w:p>
    <w:p w14:paraId="57D5400B" w14:textId="77777777" w:rsidR="00443399" w:rsidRPr="00B03B51" w:rsidRDefault="00443399" w:rsidP="00443399">
      <w:pPr>
        <w:jc w:val="both"/>
        <w:rPr>
          <w:rFonts w:ascii="Times New Roman" w:eastAsia="Arial" w:hAnsi="Times New Roman" w:cs="Times New Roman"/>
          <w:noProof/>
          <w:sz w:val="24"/>
          <w:szCs w:val="15"/>
        </w:rPr>
      </w:pPr>
    </w:p>
    <w:p w14:paraId="2B06C98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84" w:name="7.3.2.3_Determining_the_new_amount_outst"/>
      <w:bookmarkEnd w:id="584"/>
      <w:r w:rsidRPr="00B03B51">
        <w:rPr>
          <w:rFonts w:ascii="Times New Roman" w:hAnsi="Times New Roman" w:cs="Times New Roman"/>
          <w:sz w:val="24"/>
        </w:rPr>
        <w:t>7.3.2.3. JAUNĀS NENOMAKSĀTĀS SUMMAS NOTEIKŠANA</w:t>
      </w:r>
    </w:p>
    <w:p w14:paraId="3E6D15B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9E785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14. Lai noteiktu, vai jāieraksta kapitāla pārvedums un jāaprēķina tā vērtība, jāzina starpība starp nenomaksāto prasījumu summu pirms un pēc atmaksas grafika pārskatīšanas. Parasti jaunā nenomaksātā summa būs norādīta atmaksas grafika pārskatīšanas līgumā. Tomēr atsevišķos </w:t>
      </w:r>
      <w:r w:rsidRPr="00B03B51">
        <w:rPr>
          <w:rFonts w:ascii="Times New Roman" w:hAnsi="Times New Roman" w:cs="Times New Roman"/>
          <w:sz w:val="24"/>
        </w:rPr>
        <w:lastRenderedPageBreak/>
        <w:t>gadījumos tā var nebūt norādīta atmaksas grafika pārskatīšanas līgumā. Tad minētā summa jāaprēķina no turpmāko gada maksu plūsmas un procentu likmes, kas noteikta jaunajā līgumā (skat. 7.3.2.4. apakšiedaļas 1. ierāmējumā norādītās formulas). Ja procentu likme nav norādīta, nenomaksātās summas vērtība jāaprēķina kā turpmāko gada maksu pašreizējā neto vērtība, izmantojot diskonta likmi, kas ir vienāda ar procentu likmi, kura tika piemērota attiecībā uz sākotnējo līgumu.</w:t>
      </w:r>
    </w:p>
    <w:p w14:paraId="420494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D28D1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Citiem vārdiem sakot:</w:t>
      </w:r>
    </w:p>
    <w:p w14:paraId="5C7B4C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142E1F7" w14:textId="77777777" w:rsidR="00443399" w:rsidRPr="00B03B51" w:rsidRDefault="00443399" w:rsidP="0018742C">
      <w:pPr>
        <w:pStyle w:val="BodyText"/>
        <w:numPr>
          <w:ilvl w:val="0"/>
          <w:numId w:val="4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kādā brīdī nenomaksātajai aizdevuma pamatsummai ir dota vērtība V un</w:t>
      </w:r>
    </w:p>
    <w:p w14:paraId="7DE3673D" w14:textId="77777777" w:rsidR="00443399" w:rsidRPr="00B03B51" w:rsidRDefault="00443399" w:rsidP="0018742C">
      <w:pPr>
        <w:pStyle w:val="BodyText"/>
        <w:numPr>
          <w:ilvl w:val="0"/>
          <w:numId w:val="4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vienošanās par atmaksas grafika pārskatīšanu, kas īstenota šajā brīdī, rada situāciju, ka gada maksājumu pašreizējā vērtība – aprēķināta atbilstīgi procentu likmei saskaņā ar vienošanos – pēc atmaksas grafika pārskatīšanas atšķiras no iepriekš minētās nenomaksātās pamatsummas V,</w:t>
      </w:r>
    </w:p>
    <w:p w14:paraId="17FC9D4E" w14:textId="77777777" w:rsidR="00443399" w:rsidRPr="00B03B51" w:rsidRDefault="00443399" w:rsidP="0018742C">
      <w:pPr>
        <w:pStyle w:val="BodyText"/>
        <w:numPr>
          <w:ilvl w:val="0"/>
          <w:numId w:val="42"/>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tas nozīmē, ka faktiski pastāv izmaiņas nenomaksātās pamatsummas vērtībā, kas jāieraksta pozīcijā AF.4 gan kreditora, gan debitora bilancē.</w:t>
      </w:r>
    </w:p>
    <w:p w14:paraId="512B680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42418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16. Tā kā šajā gadījumā ir iespējams, ka jaunā nenomaksātā pamatsumma ir zemāka par iepriekšējo, debitoram no kreditora jāieraksta kapitāla pārvedums natūrā (D.99), jo </w:t>
      </w:r>
      <w:r w:rsidRPr="00B03B51">
        <w:rPr>
          <w:rFonts w:ascii="Times New Roman" w:hAnsi="Times New Roman" w:cs="Times New Roman"/>
          <w:i/>
          <w:iCs/>
          <w:sz w:val="24"/>
        </w:rPr>
        <w:t>de facto</w:t>
      </w:r>
      <w:r w:rsidRPr="00B03B51">
        <w:rPr>
          <w:rFonts w:ascii="Times New Roman" w:hAnsi="Times New Roman" w:cs="Times New Roman"/>
          <w:sz w:val="24"/>
        </w:rPr>
        <w:t xml:space="preserve"> pastāv daļēja parāda anulēšana.</w:t>
      </w:r>
    </w:p>
    <w:p w14:paraId="4DD8132F" w14:textId="77777777" w:rsidR="00443399" w:rsidRPr="00B03B51" w:rsidRDefault="00443399" w:rsidP="00443399">
      <w:pPr>
        <w:jc w:val="both"/>
        <w:rPr>
          <w:rFonts w:ascii="Times New Roman" w:eastAsia="Arial" w:hAnsi="Times New Roman" w:cs="Times New Roman"/>
          <w:noProof/>
          <w:sz w:val="24"/>
          <w:szCs w:val="17"/>
        </w:rPr>
      </w:pPr>
    </w:p>
    <w:p w14:paraId="7564CEAF"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585" w:name="7.3.2.4_Cancellation_of_a_debt_following"/>
      <w:bookmarkEnd w:id="585"/>
      <w:r w:rsidRPr="00B03B51">
        <w:rPr>
          <w:rFonts w:ascii="Times New Roman" w:hAnsi="Times New Roman" w:cs="Times New Roman"/>
          <w:sz w:val="24"/>
        </w:rPr>
        <w:t>7.3.2.4. PARĀDA ANULĒŠANA PĒC ATMAKSAS GRAFIKA PĀRSKATĪŠANAS</w:t>
      </w:r>
    </w:p>
    <w:p w14:paraId="3759FCE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247B7A2" w14:textId="4FC55D8F"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Lai arī parāda atmaksas grafiks ir pārskatīts, var gadīties, ka valdība, kas ir kreditors, atceļ atlikušo prasījumu. Parāda anulēšanas līguma laikā ir jāieraksta kapitāla pārvedums debitoram no valdības. Kapitāla pārveduma summa (standarta parāda </w:t>
      </w:r>
      <w:r w:rsidR="00E04821" w:rsidRPr="00B03B51">
        <w:rPr>
          <w:rFonts w:ascii="Times New Roman" w:hAnsi="Times New Roman" w:cs="Times New Roman"/>
          <w:sz w:val="24"/>
        </w:rPr>
        <w:t>anulēšanas</w:t>
      </w:r>
      <w:r w:rsidRPr="00B03B51">
        <w:rPr>
          <w:rFonts w:ascii="Times New Roman" w:hAnsi="Times New Roman" w:cs="Times New Roman"/>
          <w:sz w:val="24"/>
        </w:rPr>
        <w:t xml:space="preserve"> traktējums EKS 2010) ir līdzvērtīgs aizdevuma nenomaksātajai pamatsummai pēc atmaksas grafika pārskatīšanas.</w:t>
      </w:r>
    </w:p>
    <w:p w14:paraId="645C7E8B" w14:textId="77777777" w:rsidR="00443399" w:rsidRPr="00B03B51" w:rsidRDefault="00443399" w:rsidP="00443399">
      <w:pPr>
        <w:jc w:val="both"/>
        <w:rPr>
          <w:rFonts w:ascii="Times New Roman" w:hAnsi="Times New Roman" w:cs="Times New Roman"/>
          <w:noProof/>
          <w:sz w:val="24"/>
        </w:rPr>
      </w:pPr>
    </w:p>
    <w:p w14:paraId="4B6F7948"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Aizdevuma pārdošana</w:t>
      </w:r>
    </w:p>
    <w:p w14:paraId="0E8C9062" w14:textId="77777777" w:rsidR="00443399" w:rsidRPr="00B03B51" w:rsidRDefault="00443399" w:rsidP="00443399">
      <w:pPr>
        <w:jc w:val="both"/>
        <w:rPr>
          <w:rFonts w:ascii="Times New Roman" w:eastAsia="Arial" w:hAnsi="Times New Roman" w:cs="Times New Roman"/>
          <w:b/>
          <w:bCs/>
          <w:noProof/>
          <w:sz w:val="24"/>
        </w:rPr>
      </w:pPr>
    </w:p>
    <w:p w14:paraId="418BAF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Ir iespējams, ka pēc atmaksas grafika pārskatīšanas valdība pārdod aizdevumu, piemēram, kādai finanšu iestādei. Iespējams arī, ka saistībā ar atšķirībām starp procentu likmi, kas līgumā noteikta attiecībā uz aizdevumu, un attiecīgo tirgus likmi tādam pašam aizdevumam, pārdošana notiek par pamatsummas apjomu, kas ir daudz zemāks par nenomaksāto pamatsummu, kura paredzēta līgumā par atmaksas grafika pārskatīšanu.</w:t>
      </w:r>
    </w:p>
    <w:p w14:paraId="26CC5EA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58694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Šādā gadījumā starpība starp nenomaksāto pamatsummu pēc atmaksas grafika pārskatīšanas un nenomaksāto pamatsummu, kas ietirgota pārdošanā, jāieraksta valdības pārvērtēšanas kontā kā turēšanas zaudējums (EKS 2010 6.58. punkts).</w:t>
      </w:r>
    </w:p>
    <w:p w14:paraId="1FCB10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b/>
          <w:bCs/>
          <w:noProof/>
          <w:sz w:val="24"/>
        </w:rPr>
      </w:pPr>
    </w:p>
    <w:p w14:paraId="4C42CE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b/>
          <w:bCs/>
          <w:sz w:val="24"/>
        </w:rPr>
        <w:t xml:space="preserve">20. </w:t>
      </w:r>
      <w:r w:rsidRPr="00B03B51">
        <w:rPr>
          <w:rFonts w:ascii="Times New Roman" w:hAnsi="Times New Roman" w:cs="Times New Roman"/>
          <w:b/>
          <w:bCs/>
          <w:i/>
          <w:iCs/>
          <w:sz w:val="24"/>
        </w:rPr>
        <w:t>NB</w:t>
      </w:r>
      <w:r w:rsidRPr="00B03B51">
        <w:rPr>
          <w:rFonts w:ascii="Times New Roman" w:hAnsi="Times New Roman" w:cs="Times New Roman"/>
          <w:sz w:val="24"/>
        </w:rPr>
        <w:t>! Ja debitors turpinātu veikt aizdevuma atmaksājumus pirmajam kreditoram, ko tas darītu, ja tā saistības netiktu mainītas aizdevuma “pārdošanas” rezultātā, abu kreditoru savstarpējais darījums būtu uzskatāms nevis par prasījuma (aizdevuma) pārdošanu, ko veicis pirmais kreditors, bet gan par jaunu aizdevumu, ko jaunais kreditors piešķīris bijušajam kreditoram.</w:t>
      </w:r>
    </w:p>
    <w:p w14:paraId="3A05D763" w14:textId="77777777" w:rsidR="00443399" w:rsidRPr="00B03B51" w:rsidRDefault="00443399" w:rsidP="00443399">
      <w:pPr>
        <w:jc w:val="both"/>
        <w:rPr>
          <w:rFonts w:ascii="Times New Roman" w:eastAsia="Arial" w:hAnsi="Times New Roman" w:cs="Times New Roman"/>
          <w:noProof/>
          <w:sz w:val="24"/>
          <w:szCs w:val="8"/>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443399" w:rsidRPr="00B03B51" w14:paraId="0DC7A8B3" w14:textId="77777777" w:rsidTr="0018742C">
        <w:tc>
          <w:tcPr>
            <w:tcW w:w="5000" w:type="pct"/>
          </w:tcPr>
          <w:p w14:paraId="0D24BD2C" w14:textId="77777777" w:rsidR="00443399" w:rsidRPr="00B03B51" w:rsidRDefault="00443399" w:rsidP="0054365B">
            <w:pPr>
              <w:jc w:val="both"/>
              <w:rPr>
                <w:rFonts w:ascii="Times New Roman" w:eastAsia="Arial" w:hAnsi="Times New Roman" w:cs="Times New Roman"/>
                <w:b/>
                <w:bCs/>
                <w:noProof/>
                <w:sz w:val="24"/>
                <w:szCs w:val="8"/>
              </w:rPr>
            </w:pPr>
            <w:r w:rsidRPr="00B03B51">
              <w:rPr>
                <w:rFonts w:ascii="Times New Roman" w:hAnsi="Times New Roman" w:cs="Times New Roman"/>
                <w:b/>
                <w:bCs/>
                <w:sz w:val="24"/>
                <w:szCs w:val="8"/>
              </w:rPr>
              <w:t>1. ierāmējums. Aizdevumu ierakstīšana (pamatsumma un procenti). Tehniska piezīme</w:t>
            </w:r>
          </w:p>
          <w:p w14:paraId="5579EA0B" w14:textId="77777777" w:rsidR="00443399" w:rsidRPr="00B03B51" w:rsidRDefault="00443399" w:rsidP="0054365B">
            <w:pPr>
              <w:jc w:val="both"/>
              <w:rPr>
                <w:rFonts w:ascii="Times New Roman" w:eastAsia="Arial" w:hAnsi="Times New Roman" w:cs="Times New Roman"/>
                <w:b/>
                <w:bCs/>
                <w:noProof/>
                <w:sz w:val="24"/>
                <w:szCs w:val="8"/>
              </w:rPr>
            </w:pPr>
          </w:p>
          <w:p w14:paraId="41149684" w14:textId="77777777" w:rsidR="00443399" w:rsidRPr="00B03B51" w:rsidRDefault="00443399" w:rsidP="0054365B">
            <w:pPr>
              <w:jc w:val="both"/>
              <w:rPr>
                <w:rFonts w:ascii="Times New Roman" w:eastAsia="Arial" w:hAnsi="Times New Roman" w:cs="Times New Roman"/>
                <w:noProof/>
                <w:sz w:val="24"/>
                <w:szCs w:val="8"/>
              </w:rPr>
            </w:pPr>
            <w:r w:rsidRPr="00B03B51">
              <w:rPr>
                <w:rFonts w:ascii="Times New Roman" w:hAnsi="Times New Roman" w:cs="Times New Roman"/>
                <w:sz w:val="24"/>
                <w:szCs w:val="8"/>
              </w:rPr>
              <w:t xml:space="preserve">1. Sākumā nenomaksātā pamatsumma ir vienāda ar aizdoto summu. Tā ir vienāda arī ar visu gada maksu pašreizējo vērtību, aizdevuma līguma procentu likmi izmantojot kā diskonta likmi </w:t>
            </w:r>
            <w:r w:rsidRPr="00B03B51">
              <w:rPr>
                <w:rFonts w:ascii="Times New Roman" w:hAnsi="Times New Roman" w:cs="Times New Roman"/>
                <w:sz w:val="24"/>
                <w:szCs w:val="8"/>
              </w:rPr>
              <w:lastRenderedPageBreak/>
              <w:t>(skat. ierāmējumā 1. formulu).</w:t>
            </w:r>
          </w:p>
          <w:p w14:paraId="4DDF1CB8" w14:textId="77777777" w:rsidR="00443399" w:rsidRPr="00B03B51" w:rsidRDefault="00443399" w:rsidP="0054365B">
            <w:pPr>
              <w:jc w:val="both"/>
              <w:rPr>
                <w:rFonts w:ascii="Times New Roman" w:eastAsia="Arial" w:hAnsi="Times New Roman" w:cs="Times New Roman"/>
                <w:noProof/>
                <w:sz w:val="24"/>
                <w:szCs w:val="8"/>
              </w:rPr>
            </w:pPr>
          </w:p>
          <w:p w14:paraId="035DA5B9" w14:textId="77777777" w:rsidR="00443399" w:rsidRPr="00B03B51" w:rsidRDefault="00443399" w:rsidP="0054365B">
            <w:pPr>
              <w:jc w:val="both"/>
              <w:rPr>
                <w:rFonts w:ascii="Times New Roman" w:eastAsia="Arial" w:hAnsi="Times New Roman" w:cs="Times New Roman"/>
                <w:noProof/>
                <w:sz w:val="24"/>
                <w:szCs w:val="8"/>
              </w:rPr>
            </w:pPr>
            <w:r w:rsidRPr="00B03B51">
              <w:rPr>
                <w:rFonts w:ascii="Times New Roman" w:hAnsi="Times New Roman" w:cs="Times New Roman"/>
                <w:sz w:val="24"/>
                <w:szCs w:val="8"/>
              </w:rPr>
              <w:t>2. Jebkurā brīdī nenomaksātā pamatsumma ir vienāda ar atlikušo gada maksu pašreizējo vērtību, aizdevuma līguma procentu likmi joprojām izmantojot kā diskonta likmi (skat. 2. formulu ierāmējumā attiecībā uz gadījumu, kad visas iepriekšējās gada maksas ir izmaksātas).</w:t>
            </w:r>
          </w:p>
          <w:p w14:paraId="3AAB6CBE" w14:textId="77777777" w:rsidR="00443399" w:rsidRPr="00B03B51" w:rsidRDefault="00443399" w:rsidP="0054365B">
            <w:pPr>
              <w:jc w:val="both"/>
              <w:rPr>
                <w:rFonts w:ascii="Times New Roman" w:eastAsia="Arial" w:hAnsi="Times New Roman" w:cs="Times New Roman"/>
                <w:noProof/>
                <w:sz w:val="24"/>
                <w:szCs w:val="8"/>
              </w:rPr>
            </w:pPr>
          </w:p>
          <w:p w14:paraId="5D779A40" w14:textId="77777777" w:rsidR="00443399" w:rsidRPr="00B03B51" w:rsidRDefault="00443399" w:rsidP="0054365B">
            <w:pPr>
              <w:jc w:val="both"/>
              <w:rPr>
                <w:rFonts w:ascii="Times New Roman" w:eastAsia="Arial" w:hAnsi="Times New Roman" w:cs="Times New Roman"/>
                <w:noProof/>
                <w:sz w:val="24"/>
                <w:szCs w:val="8"/>
              </w:rPr>
            </w:pPr>
            <w:r w:rsidRPr="00B03B51">
              <w:rPr>
                <w:rFonts w:ascii="Times New Roman" w:hAnsi="Times New Roman" w:cs="Times New Roman"/>
                <w:sz w:val="24"/>
                <w:szCs w:val="8"/>
              </w:rPr>
              <w:t>3. Aizdevuma amortizācijas tabulu var attēlot šādi:</w:t>
            </w:r>
          </w:p>
          <w:p w14:paraId="5065724C" w14:textId="77777777" w:rsidR="00443399" w:rsidRPr="00B03B51" w:rsidRDefault="00443399" w:rsidP="0054365B">
            <w:pPr>
              <w:jc w:val="both"/>
              <w:rPr>
                <w:rFonts w:ascii="Times New Roman" w:eastAsia="Arial" w:hAnsi="Times New Roman" w:cs="Times New Roman"/>
                <w:noProof/>
                <w:sz w:val="24"/>
                <w:szCs w:val="8"/>
              </w:rPr>
            </w:pPr>
          </w:p>
          <w:p w14:paraId="5EDEC0C6" w14:textId="77777777" w:rsidR="00443399" w:rsidRPr="00B03B51" w:rsidRDefault="00443399" w:rsidP="00443399">
            <w:pPr>
              <w:pStyle w:val="ListParagraph"/>
              <w:numPr>
                <w:ilvl w:val="0"/>
                <w:numId w:val="71"/>
              </w:numPr>
              <w:ind w:hanging="294"/>
              <w:jc w:val="both"/>
              <w:rPr>
                <w:rFonts w:ascii="Times New Roman" w:eastAsia="Arial" w:hAnsi="Times New Roman" w:cs="Times New Roman"/>
                <w:noProof/>
                <w:sz w:val="24"/>
                <w:szCs w:val="8"/>
              </w:rPr>
            </w:pPr>
            <w:r w:rsidRPr="00B03B51">
              <w:rPr>
                <w:rFonts w:ascii="Times New Roman" w:hAnsi="Times New Roman" w:cs="Times New Roman"/>
                <w:i/>
                <w:iCs/>
                <w:sz w:val="24"/>
                <w:szCs w:val="8"/>
              </w:rPr>
              <w:t>V</w:t>
            </w:r>
            <w:r w:rsidRPr="00B03B51">
              <w:rPr>
                <w:rFonts w:ascii="Times New Roman" w:hAnsi="Times New Roman" w:cs="Times New Roman"/>
                <w:i/>
                <w:iCs/>
                <w:sz w:val="24"/>
                <w:szCs w:val="8"/>
                <w:vertAlign w:val="subscript"/>
              </w:rPr>
              <w:t>0</w:t>
            </w:r>
            <w:r w:rsidRPr="00B03B51">
              <w:rPr>
                <w:rFonts w:ascii="Times New Roman" w:hAnsi="Times New Roman" w:cs="Times New Roman"/>
                <w:i/>
                <w:iCs/>
                <w:sz w:val="24"/>
                <w:szCs w:val="8"/>
              </w:rPr>
              <w:t xml:space="preserve"> </w:t>
            </w:r>
            <w:r w:rsidRPr="00B03B51">
              <w:rPr>
                <w:rFonts w:ascii="Times New Roman" w:hAnsi="Times New Roman" w:cs="Times New Roman"/>
                <w:sz w:val="24"/>
                <w:szCs w:val="8"/>
              </w:rPr>
              <w:t>ir aizdevuma summa sākumā;</w:t>
            </w:r>
          </w:p>
          <w:p w14:paraId="22964CBD" w14:textId="77777777" w:rsidR="00443399" w:rsidRPr="00B03B51" w:rsidRDefault="00443399" w:rsidP="00443399">
            <w:pPr>
              <w:pStyle w:val="ListParagraph"/>
              <w:numPr>
                <w:ilvl w:val="0"/>
                <w:numId w:val="71"/>
              </w:numPr>
              <w:ind w:hanging="294"/>
              <w:jc w:val="both"/>
              <w:rPr>
                <w:rFonts w:ascii="Times New Roman" w:eastAsia="Arial" w:hAnsi="Times New Roman" w:cs="Times New Roman"/>
                <w:noProof/>
                <w:sz w:val="24"/>
                <w:szCs w:val="8"/>
              </w:rPr>
            </w:pPr>
            <w:r w:rsidRPr="00B03B51">
              <w:rPr>
                <w:rFonts w:ascii="Times New Roman" w:hAnsi="Times New Roman" w:cs="Times New Roman"/>
                <w:i/>
                <w:iCs/>
                <w:sz w:val="24"/>
                <w:szCs w:val="8"/>
              </w:rPr>
              <w:t xml:space="preserve">r </w:t>
            </w:r>
            <w:r w:rsidRPr="00B03B51">
              <w:rPr>
                <w:rFonts w:ascii="Times New Roman" w:hAnsi="Times New Roman" w:cs="Times New Roman"/>
                <w:sz w:val="24"/>
                <w:szCs w:val="8"/>
              </w:rPr>
              <w:t>ir līguma procentu likme;</w:t>
            </w:r>
          </w:p>
          <w:p w14:paraId="7B0ABC35" w14:textId="77777777" w:rsidR="00443399" w:rsidRPr="00B03B51" w:rsidRDefault="00443399" w:rsidP="00443399">
            <w:pPr>
              <w:pStyle w:val="ListParagraph"/>
              <w:numPr>
                <w:ilvl w:val="0"/>
                <w:numId w:val="71"/>
              </w:numPr>
              <w:ind w:hanging="294"/>
              <w:jc w:val="both"/>
              <w:rPr>
                <w:rFonts w:ascii="Times New Roman" w:eastAsia="Arial" w:hAnsi="Times New Roman" w:cs="Times New Roman"/>
                <w:noProof/>
                <w:sz w:val="24"/>
                <w:szCs w:val="8"/>
              </w:rPr>
            </w:pPr>
            <w:r w:rsidRPr="00B03B51">
              <w:rPr>
                <w:rFonts w:ascii="Times New Roman" w:hAnsi="Times New Roman" w:cs="Times New Roman"/>
                <w:i/>
                <w:iCs/>
                <w:sz w:val="24"/>
                <w:szCs w:val="8"/>
              </w:rPr>
              <w:t>n</w:t>
            </w:r>
            <w:r w:rsidRPr="00B03B51">
              <w:rPr>
                <w:rFonts w:ascii="Times New Roman" w:hAnsi="Times New Roman" w:cs="Times New Roman"/>
                <w:sz w:val="24"/>
                <w:szCs w:val="8"/>
              </w:rPr>
              <w:t xml:space="preserve"> ir aizdevuma termiņš.</w:t>
            </w:r>
          </w:p>
          <w:p w14:paraId="65E33D61" w14:textId="77777777" w:rsidR="00443399" w:rsidRPr="00B03B51" w:rsidRDefault="00443399" w:rsidP="0054365B">
            <w:pPr>
              <w:jc w:val="both"/>
              <w:rPr>
                <w:rFonts w:ascii="Times New Roman" w:eastAsia="Arial" w:hAnsi="Times New Roman" w:cs="Times New Roman"/>
                <w:noProof/>
                <w:sz w:val="24"/>
                <w:szCs w:val="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772"/>
              <w:gridCol w:w="1817"/>
              <w:gridCol w:w="1778"/>
              <w:gridCol w:w="1821"/>
              <w:gridCol w:w="1807"/>
            </w:tblGrid>
            <w:tr w:rsidR="00443399" w:rsidRPr="00B03B51" w14:paraId="0073DE55" w14:textId="77777777" w:rsidTr="0054365B">
              <w:tc>
                <w:tcPr>
                  <w:tcW w:w="1856" w:type="dxa"/>
                </w:tcPr>
                <w:p w14:paraId="59B6A374"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Periods</w:t>
                  </w:r>
                </w:p>
              </w:tc>
              <w:tc>
                <w:tcPr>
                  <w:tcW w:w="1856" w:type="dxa"/>
                </w:tcPr>
                <w:p w14:paraId="4EA98496"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Pamatsumma perioda sākumā</w:t>
                  </w:r>
                </w:p>
              </w:tc>
              <w:tc>
                <w:tcPr>
                  <w:tcW w:w="1856" w:type="dxa"/>
                </w:tcPr>
                <w:p w14:paraId="58505A76"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Perioda procenti</w:t>
                  </w:r>
                </w:p>
              </w:tc>
              <w:tc>
                <w:tcPr>
                  <w:tcW w:w="1856" w:type="dxa"/>
                </w:tcPr>
                <w:p w14:paraId="1DAB5742"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Amortizācijas periods</w:t>
                  </w:r>
                </w:p>
              </w:tc>
              <w:tc>
                <w:tcPr>
                  <w:tcW w:w="1857" w:type="dxa"/>
                </w:tcPr>
                <w:p w14:paraId="513F3227"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Gada maksa (kopējais gada maksājums)</w:t>
                  </w:r>
                </w:p>
              </w:tc>
            </w:tr>
            <w:tr w:rsidR="00443399" w:rsidRPr="00B03B51" w14:paraId="225AA875" w14:textId="77777777" w:rsidTr="0054365B">
              <w:tc>
                <w:tcPr>
                  <w:tcW w:w="1856" w:type="dxa"/>
                </w:tcPr>
                <w:p w14:paraId="78252663"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1</w:t>
                  </w:r>
                </w:p>
              </w:tc>
              <w:tc>
                <w:tcPr>
                  <w:tcW w:w="1856" w:type="dxa"/>
                </w:tcPr>
                <w:p w14:paraId="443E970E"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i/>
                      <w:iCs/>
                      <w:sz w:val="24"/>
                      <w:szCs w:val="20"/>
                    </w:rPr>
                    <w:t>V</w:t>
                  </w:r>
                  <w:r w:rsidRPr="00B03B51">
                    <w:rPr>
                      <w:rFonts w:ascii="Times New Roman" w:hAnsi="Times New Roman" w:cs="Times New Roman"/>
                      <w:sz w:val="24"/>
                      <w:szCs w:val="20"/>
                      <w:vertAlign w:val="subscript"/>
                    </w:rPr>
                    <w:t>0</w:t>
                  </w:r>
                </w:p>
              </w:tc>
              <w:tc>
                <w:tcPr>
                  <w:tcW w:w="1856" w:type="dxa"/>
                </w:tcPr>
                <w:p w14:paraId="3035D977"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i/>
                      <w:iCs/>
                      <w:sz w:val="24"/>
                      <w:szCs w:val="20"/>
                    </w:rPr>
                    <w:t>F</w:t>
                  </w:r>
                  <w:r w:rsidRPr="00B03B51">
                    <w:rPr>
                      <w:rFonts w:ascii="Times New Roman" w:hAnsi="Times New Roman" w:cs="Times New Roman"/>
                      <w:sz w:val="24"/>
                      <w:szCs w:val="20"/>
                      <w:vertAlign w:val="subscript"/>
                    </w:rPr>
                    <w:t>1</w:t>
                  </w:r>
                </w:p>
              </w:tc>
              <w:tc>
                <w:tcPr>
                  <w:tcW w:w="1856" w:type="dxa"/>
                </w:tcPr>
                <w:p w14:paraId="1CE47ADB"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i/>
                      <w:iCs/>
                      <w:sz w:val="24"/>
                      <w:szCs w:val="20"/>
                    </w:rPr>
                    <w:t>D</w:t>
                  </w:r>
                  <w:r w:rsidRPr="00B03B51">
                    <w:rPr>
                      <w:rFonts w:ascii="Times New Roman" w:hAnsi="Times New Roman" w:cs="Times New Roman"/>
                      <w:sz w:val="24"/>
                      <w:szCs w:val="20"/>
                      <w:vertAlign w:val="subscript"/>
                    </w:rPr>
                    <w:t>1</w:t>
                  </w:r>
                </w:p>
              </w:tc>
              <w:tc>
                <w:tcPr>
                  <w:tcW w:w="1857" w:type="dxa"/>
                </w:tcPr>
                <w:p w14:paraId="0449E81F"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i/>
                      <w:iCs/>
                      <w:sz w:val="24"/>
                      <w:szCs w:val="20"/>
                    </w:rPr>
                    <w:t>A</w:t>
                  </w:r>
                  <w:r w:rsidRPr="00B03B51">
                    <w:rPr>
                      <w:rFonts w:ascii="Times New Roman" w:hAnsi="Times New Roman" w:cs="Times New Roman"/>
                      <w:sz w:val="24"/>
                      <w:szCs w:val="20"/>
                      <w:vertAlign w:val="subscript"/>
                    </w:rPr>
                    <w:t>1</w:t>
                  </w:r>
                </w:p>
              </w:tc>
            </w:tr>
            <w:tr w:rsidR="00443399" w:rsidRPr="00B03B51" w14:paraId="4CD65A6D" w14:textId="77777777" w:rsidTr="0054365B">
              <w:tc>
                <w:tcPr>
                  <w:tcW w:w="1856" w:type="dxa"/>
                </w:tcPr>
                <w:p w14:paraId="0AFD5704"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33FFE502"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7B014C2C"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7BD43B00"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7" w:type="dxa"/>
                </w:tcPr>
                <w:p w14:paraId="17E87B7E"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r>
            <w:tr w:rsidR="00443399" w:rsidRPr="00B03B51" w14:paraId="0971E038" w14:textId="77777777" w:rsidTr="0054365B">
              <w:tc>
                <w:tcPr>
                  <w:tcW w:w="1856" w:type="dxa"/>
                </w:tcPr>
                <w:p w14:paraId="5657F6A4"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p</w:t>
                  </w:r>
                </w:p>
              </w:tc>
              <w:tc>
                <w:tcPr>
                  <w:tcW w:w="1856" w:type="dxa"/>
                </w:tcPr>
                <w:p w14:paraId="079DD2C4"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V</w:t>
                  </w:r>
                  <w:r w:rsidRPr="00B03B51">
                    <w:rPr>
                      <w:rFonts w:ascii="Times New Roman" w:hAnsi="Times New Roman" w:cs="Times New Roman"/>
                      <w:i/>
                      <w:iCs/>
                      <w:sz w:val="24"/>
                      <w:szCs w:val="20"/>
                      <w:vertAlign w:val="subscript"/>
                    </w:rPr>
                    <w:t>p-1</w:t>
                  </w:r>
                </w:p>
              </w:tc>
              <w:tc>
                <w:tcPr>
                  <w:tcW w:w="1856" w:type="dxa"/>
                </w:tcPr>
                <w:p w14:paraId="4CAB4CDE"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F</w:t>
                  </w:r>
                  <w:r w:rsidRPr="00B03B51">
                    <w:rPr>
                      <w:rFonts w:ascii="Times New Roman" w:hAnsi="Times New Roman" w:cs="Times New Roman"/>
                      <w:i/>
                      <w:iCs/>
                      <w:sz w:val="24"/>
                      <w:szCs w:val="20"/>
                      <w:vertAlign w:val="subscript"/>
                    </w:rPr>
                    <w:t>p</w:t>
                  </w:r>
                </w:p>
              </w:tc>
              <w:tc>
                <w:tcPr>
                  <w:tcW w:w="1856" w:type="dxa"/>
                </w:tcPr>
                <w:p w14:paraId="62B0CC2B"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D</w:t>
                  </w:r>
                  <w:r w:rsidRPr="00B03B51">
                    <w:rPr>
                      <w:rFonts w:ascii="Times New Roman" w:hAnsi="Times New Roman" w:cs="Times New Roman"/>
                      <w:i/>
                      <w:iCs/>
                      <w:sz w:val="24"/>
                      <w:szCs w:val="20"/>
                      <w:vertAlign w:val="subscript"/>
                    </w:rPr>
                    <w:t>p</w:t>
                  </w:r>
                </w:p>
              </w:tc>
              <w:tc>
                <w:tcPr>
                  <w:tcW w:w="1857" w:type="dxa"/>
                </w:tcPr>
                <w:p w14:paraId="33958090"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A</w:t>
                  </w:r>
                  <w:r w:rsidRPr="00B03B51">
                    <w:rPr>
                      <w:rFonts w:ascii="Times New Roman" w:hAnsi="Times New Roman" w:cs="Times New Roman"/>
                      <w:i/>
                      <w:iCs/>
                      <w:sz w:val="24"/>
                      <w:szCs w:val="20"/>
                      <w:vertAlign w:val="subscript"/>
                    </w:rPr>
                    <w:t>p</w:t>
                  </w:r>
                </w:p>
              </w:tc>
            </w:tr>
            <w:tr w:rsidR="00443399" w:rsidRPr="00B03B51" w14:paraId="0DEEAD88" w14:textId="77777777" w:rsidTr="0054365B">
              <w:tc>
                <w:tcPr>
                  <w:tcW w:w="1856" w:type="dxa"/>
                </w:tcPr>
                <w:p w14:paraId="70B377E4"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300B64D5"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402814B9"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6" w:type="dxa"/>
                </w:tcPr>
                <w:p w14:paraId="5CAFD2C6"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c>
                <w:tcPr>
                  <w:tcW w:w="1857" w:type="dxa"/>
                </w:tcPr>
                <w:p w14:paraId="6035E067"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sz w:val="24"/>
                      <w:szCs w:val="20"/>
                    </w:rPr>
                    <w:t>…</w:t>
                  </w:r>
                </w:p>
              </w:tc>
            </w:tr>
            <w:tr w:rsidR="00443399" w:rsidRPr="00B03B51" w14:paraId="608FF891" w14:textId="77777777" w:rsidTr="0054365B">
              <w:tc>
                <w:tcPr>
                  <w:tcW w:w="1856" w:type="dxa"/>
                </w:tcPr>
                <w:p w14:paraId="1883F348"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n</w:t>
                  </w:r>
                </w:p>
              </w:tc>
              <w:tc>
                <w:tcPr>
                  <w:tcW w:w="1856" w:type="dxa"/>
                </w:tcPr>
                <w:p w14:paraId="1918BF77" w14:textId="77777777" w:rsidR="00443399" w:rsidRPr="00B03B51" w:rsidRDefault="00443399" w:rsidP="0054365B">
                  <w:pPr>
                    <w:jc w:val="center"/>
                    <w:rPr>
                      <w:rFonts w:ascii="Times New Roman" w:eastAsia="Arial" w:hAnsi="Times New Roman" w:cs="Times New Roman"/>
                      <w:noProof/>
                      <w:sz w:val="24"/>
                      <w:szCs w:val="20"/>
                    </w:rPr>
                  </w:pPr>
                  <w:r w:rsidRPr="00B03B51">
                    <w:rPr>
                      <w:rFonts w:ascii="Times New Roman" w:hAnsi="Times New Roman" w:cs="Times New Roman"/>
                      <w:i/>
                      <w:iCs/>
                      <w:sz w:val="24"/>
                      <w:szCs w:val="20"/>
                    </w:rPr>
                    <w:t>V</w:t>
                  </w:r>
                  <w:r w:rsidRPr="00B03B51">
                    <w:rPr>
                      <w:rFonts w:ascii="Times New Roman" w:hAnsi="Times New Roman" w:cs="Times New Roman"/>
                      <w:sz w:val="24"/>
                      <w:szCs w:val="20"/>
                      <w:vertAlign w:val="subscript"/>
                    </w:rPr>
                    <w:t>n-1</w:t>
                  </w:r>
                </w:p>
              </w:tc>
              <w:tc>
                <w:tcPr>
                  <w:tcW w:w="1856" w:type="dxa"/>
                </w:tcPr>
                <w:p w14:paraId="6575F572"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F</w:t>
                  </w:r>
                  <w:r w:rsidRPr="00B03B51">
                    <w:rPr>
                      <w:rFonts w:ascii="Times New Roman" w:hAnsi="Times New Roman" w:cs="Times New Roman"/>
                      <w:i/>
                      <w:iCs/>
                      <w:sz w:val="24"/>
                      <w:szCs w:val="20"/>
                      <w:vertAlign w:val="subscript"/>
                    </w:rPr>
                    <w:t>n</w:t>
                  </w:r>
                </w:p>
              </w:tc>
              <w:tc>
                <w:tcPr>
                  <w:tcW w:w="1856" w:type="dxa"/>
                </w:tcPr>
                <w:p w14:paraId="7955FF9C"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D</w:t>
                  </w:r>
                  <w:r w:rsidRPr="00B03B51">
                    <w:rPr>
                      <w:rFonts w:ascii="Times New Roman" w:hAnsi="Times New Roman" w:cs="Times New Roman"/>
                      <w:i/>
                      <w:iCs/>
                      <w:sz w:val="24"/>
                      <w:szCs w:val="20"/>
                      <w:vertAlign w:val="subscript"/>
                    </w:rPr>
                    <w:t>n</w:t>
                  </w:r>
                </w:p>
              </w:tc>
              <w:tc>
                <w:tcPr>
                  <w:tcW w:w="1857" w:type="dxa"/>
                </w:tcPr>
                <w:p w14:paraId="733C04C5" w14:textId="77777777" w:rsidR="00443399" w:rsidRPr="00B03B51" w:rsidRDefault="00443399" w:rsidP="0054365B">
                  <w:pPr>
                    <w:jc w:val="center"/>
                    <w:rPr>
                      <w:rFonts w:ascii="Times New Roman" w:eastAsia="Arial" w:hAnsi="Times New Roman" w:cs="Times New Roman"/>
                      <w:i/>
                      <w:iCs/>
                      <w:noProof/>
                      <w:sz w:val="24"/>
                      <w:szCs w:val="20"/>
                    </w:rPr>
                  </w:pPr>
                  <w:r w:rsidRPr="00B03B51">
                    <w:rPr>
                      <w:rFonts w:ascii="Times New Roman" w:hAnsi="Times New Roman" w:cs="Times New Roman"/>
                      <w:i/>
                      <w:iCs/>
                      <w:sz w:val="24"/>
                      <w:szCs w:val="20"/>
                    </w:rPr>
                    <w:t>A</w:t>
                  </w:r>
                  <w:r w:rsidRPr="00B03B51">
                    <w:rPr>
                      <w:rFonts w:ascii="Times New Roman" w:hAnsi="Times New Roman" w:cs="Times New Roman"/>
                      <w:i/>
                      <w:iCs/>
                      <w:sz w:val="24"/>
                      <w:szCs w:val="20"/>
                      <w:vertAlign w:val="subscript"/>
                    </w:rPr>
                    <w:t>n</w:t>
                  </w:r>
                </w:p>
              </w:tc>
            </w:tr>
          </w:tbl>
          <w:p w14:paraId="0E3FCE63" w14:textId="77777777" w:rsidR="00443399" w:rsidRPr="00B03B51" w:rsidRDefault="00443399" w:rsidP="0054365B">
            <w:pPr>
              <w:jc w:val="both"/>
              <w:rPr>
                <w:rFonts w:ascii="Times New Roman" w:eastAsia="Arial" w:hAnsi="Times New Roman" w:cs="Times New Roman"/>
                <w:noProof/>
                <w:sz w:val="24"/>
                <w:szCs w:val="20"/>
              </w:rPr>
            </w:pPr>
          </w:p>
          <w:p w14:paraId="40DD5B2C"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szCs w:val="20"/>
              </w:rPr>
              <w:t xml:space="preserve">Konkrētajā periodā </w:t>
            </w:r>
            <w:r w:rsidRPr="00B03B51">
              <w:rPr>
                <w:rFonts w:ascii="Times New Roman" w:hAnsi="Times New Roman" w:cs="Times New Roman"/>
                <w:i/>
                <w:iCs/>
                <w:sz w:val="24"/>
                <w:szCs w:val="20"/>
              </w:rPr>
              <w:t>p</w:t>
            </w:r>
            <w:r w:rsidRPr="00B03B51">
              <w:rPr>
                <w:rFonts w:ascii="Times New Roman" w:hAnsi="Times New Roman" w:cs="Times New Roman"/>
                <w:sz w:val="24"/>
                <w:szCs w:val="20"/>
              </w:rPr>
              <w:t xml:space="preserve"> var novērot šādas skaitliskās attiecības:</w:t>
            </w:r>
          </w:p>
          <w:p w14:paraId="06FF6B19" w14:textId="77777777" w:rsidR="00443399" w:rsidRPr="00B03B51" w:rsidRDefault="00443399" w:rsidP="0054365B">
            <w:pPr>
              <w:jc w:val="both"/>
              <w:rPr>
                <w:rFonts w:ascii="Times New Roman" w:eastAsia="Arial" w:hAnsi="Times New Roman" w:cs="Times New Roman"/>
                <w:noProof/>
                <w:sz w:val="24"/>
                <w:szCs w:val="20"/>
              </w:rPr>
            </w:pPr>
          </w:p>
          <w:p w14:paraId="0FBC55D5" w14:textId="77777777" w:rsidR="00443399" w:rsidRPr="00B03B51" w:rsidRDefault="00443399" w:rsidP="0054365B">
            <w:pPr>
              <w:ind w:left="284"/>
              <w:jc w:val="both"/>
              <w:rPr>
                <w:rFonts w:ascii="Times New Roman" w:eastAsia="Arial" w:hAnsi="Times New Roman" w:cs="Times New Roman"/>
                <w:i/>
                <w:iCs/>
                <w:noProof/>
                <w:sz w:val="24"/>
                <w:szCs w:val="20"/>
              </w:rPr>
            </w:pPr>
            <w:r w:rsidRPr="00B03B51">
              <w:rPr>
                <w:rFonts w:ascii="Times New Roman" w:hAnsi="Times New Roman" w:cs="Times New Roman"/>
                <w:i/>
                <w:iCs/>
                <w:noProof/>
                <w:sz w:val="24"/>
                <w:szCs w:val="20"/>
              </w:rPr>
              <w:drawing>
                <wp:inline distT="0" distB="0" distL="0" distR="0" wp14:anchorId="6EB1DB0F" wp14:editId="382DB04E">
                  <wp:extent cx="1212215" cy="114808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12215" cy="1148080"/>
                          </a:xfrm>
                          <a:prstGeom prst="rect">
                            <a:avLst/>
                          </a:prstGeom>
                          <a:noFill/>
                          <a:ln>
                            <a:noFill/>
                          </a:ln>
                        </pic:spPr>
                      </pic:pic>
                    </a:graphicData>
                  </a:graphic>
                </wp:inline>
              </w:drawing>
            </w:r>
          </w:p>
          <w:p w14:paraId="47358540" w14:textId="77777777" w:rsidR="00443399" w:rsidRPr="00B03B51" w:rsidRDefault="00443399" w:rsidP="0054365B">
            <w:pPr>
              <w:ind w:left="284"/>
              <w:jc w:val="both"/>
              <w:rPr>
                <w:rFonts w:ascii="Times New Roman" w:eastAsia="Arial" w:hAnsi="Times New Roman" w:cs="Times New Roman"/>
                <w:noProof/>
                <w:sz w:val="24"/>
                <w:szCs w:val="20"/>
              </w:rPr>
            </w:pPr>
          </w:p>
          <w:p w14:paraId="6B45BCEB"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szCs w:val="20"/>
              </w:rPr>
              <w:t>4. Praksē, piemēram, pastāv trīs galvenie parastu aizdevumu veidi – izņemot indeksētos aizdevumus.</w:t>
            </w:r>
          </w:p>
          <w:p w14:paraId="6D6D66F3" w14:textId="77777777" w:rsidR="00443399" w:rsidRPr="00B03B51" w:rsidRDefault="00443399" w:rsidP="0054365B">
            <w:pPr>
              <w:ind w:left="284"/>
              <w:jc w:val="both"/>
              <w:rPr>
                <w:rFonts w:ascii="Times New Roman" w:eastAsia="Arial" w:hAnsi="Times New Roman" w:cs="Times New Roman"/>
                <w:noProof/>
                <w:sz w:val="24"/>
                <w:szCs w:val="20"/>
              </w:rPr>
            </w:pPr>
          </w:p>
          <w:p w14:paraId="1913618E" w14:textId="77777777" w:rsidR="00443399" w:rsidRPr="00B03B51" w:rsidRDefault="00443399" w:rsidP="0054365B">
            <w:pPr>
              <w:pStyle w:val="BodyText"/>
              <w:tabs>
                <w:tab w:val="left" w:pos="1501"/>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Aizdevumi ar beigu atmaksu</w:t>
            </w:r>
          </w:p>
          <w:p w14:paraId="17924002" w14:textId="77777777" w:rsidR="00443399" w:rsidRPr="00B03B51" w:rsidRDefault="00443399" w:rsidP="0054365B">
            <w:pPr>
              <w:ind w:left="284"/>
              <w:jc w:val="both"/>
              <w:rPr>
                <w:rFonts w:ascii="Times New Roman" w:eastAsia="Arial" w:hAnsi="Times New Roman" w:cs="Times New Roman"/>
                <w:noProof/>
                <w:sz w:val="24"/>
                <w:szCs w:val="18"/>
              </w:rPr>
            </w:pPr>
          </w:p>
          <w:p w14:paraId="60AE41C6" w14:textId="77777777" w:rsidR="00443399" w:rsidRPr="00B03B51" w:rsidRDefault="00443399" w:rsidP="0054365B">
            <w:pPr>
              <w:ind w:left="284"/>
              <w:jc w:val="both"/>
              <w:rPr>
                <w:rFonts w:ascii="Times New Roman" w:eastAsia="Arial" w:hAnsi="Times New Roman" w:cs="Times New Roman"/>
                <w:i/>
                <w:iCs/>
                <w:noProof/>
                <w:sz w:val="24"/>
                <w:szCs w:val="18"/>
              </w:rPr>
            </w:pPr>
            <w:r w:rsidRPr="00B03B51">
              <w:rPr>
                <w:rFonts w:ascii="Times New Roman" w:hAnsi="Times New Roman" w:cs="Times New Roman"/>
                <w:i/>
                <w:iCs/>
                <w:noProof/>
                <w:sz w:val="24"/>
                <w:szCs w:val="18"/>
              </w:rPr>
              <w:drawing>
                <wp:inline distT="0" distB="0" distL="0" distR="0" wp14:anchorId="4BD182DE" wp14:editId="3F965305">
                  <wp:extent cx="1435100" cy="7759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5100" cy="775970"/>
                          </a:xfrm>
                          <a:prstGeom prst="rect">
                            <a:avLst/>
                          </a:prstGeom>
                          <a:noFill/>
                          <a:ln>
                            <a:noFill/>
                          </a:ln>
                        </pic:spPr>
                      </pic:pic>
                    </a:graphicData>
                  </a:graphic>
                </wp:inline>
              </w:drawing>
            </w:r>
          </w:p>
          <w:p w14:paraId="181E39D9" w14:textId="77777777" w:rsidR="00443399" w:rsidRPr="00B03B51" w:rsidRDefault="00443399" w:rsidP="0054365B">
            <w:pPr>
              <w:ind w:left="284"/>
              <w:jc w:val="both"/>
              <w:rPr>
                <w:rFonts w:ascii="Times New Roman" w:eastAsia="Arial" w:hAnsi="Times New Roman" w:cs="Times New Roman"/>
                <w:noProof/>
                <w:sz w:val="24"/>
                <w:szCs w:val="18"/>
              </w:rPr>
            </w:pPr>
          </w:p>
          <w:p w14:paraId="5A9E0968" w14:textId="77777777" w:rsidR="00443399" w:rsidRPr="00B03B51" w:rsidRDefault="00443399" w:rsidP="0054365B">
            <w:pPr>
              <w:pStyle w:val="BodyText"/>
              <w:tabs>
                <w:tab w:val="left" w:pos="1501"/>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Aizdevumi ar nemainīgu amortizāciju</w:t>
            </w:r>
          </w:p>
          <w:p w14:paraId="7BDBB0DF" w14:textId="77777777" w:rsidR="00443399" w:rsidRPr="00B03B51" w:rsidRDefault="00443399" w:rsidP="0054365B">
            <w:pPr>
              <w:ind w:left="284"/>
              <w:jc w:val="both"/>
              <w:rPr>
                <w:rFonts w:ascii="Times New Roman" w:hAnsi="Times New Roman" w:cs="Times New Roman"/>
                <w:noProof/>
                <w:sz w:val="24"/>
              </w:rPr>
            </w:pPr>
          </w:p>
          <w:p w14:paraId="361D4FE7" w14:textId="77777777" w:rsidR="00443399" w:rsidRPr="00B03B51" w:rsidRDefault="00443399" w:rsidP="0054365B">
            <w:pPr>
              <w:ind w:left="284"/>
              <w:jc w:val="both"/>
              <w:rPr>
                <w:rFonts w:ascii="Times New Roman" w:eastAsia="Times New Roman" w:hAnsi="Times New Roman" w:cs="Times New Roman"/>
                <w:noProof/>
                <w:sz w:val="24"/>
                <w:szCs w:val="24"/>
              </w:rPr>
            </w:pPr>
            <w:r w:rsidRPr="00B03B51">
              <w:rPr>
                <w:rFonts w:ascii="Times New Roman" w:hAnsi="Times New Roman" w:cs="Times New Roman"/>
                <w:noProof/>
                <w:sz w:val="24"/>
                <w:szCs w:val="24"/>
              </w:rPr>
              <w:drawing>
                <wp:inline distT="0" distB="0" distL="0" distR="0" wp14:anchorId="04FBAE87" wp14:editId="46631E00">
                  <wp:extent cx="1435100" cy="393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14:paraId="1D8F122F" w14:textId="77777777" w:rsidR="00443399" w:rsidRPr="00B03B51" w:rsidRDefault="00443399" w:rsidP="0054365B">
            <w:pPr>
              <w:ind w:left="284"/>
              <w:jc w:val="both"/>
              <w:rPr>
                <w:rFonts w:ascii="Times New Roman" w:eastAsia="Times New Roman" w:hAnsi="Times New Roman" w:cs="Times New Roman"/>
                <w:i/>
                <w:noProof/>
                <w:sz w:val="24"/>
                <w:szCs w:val="13"/>
              </w:rPr>
            </w:pPr>
          </w:p>
          <w:p w14:paraId="14B95092" w14:textId="77777777" w:rsidR="00443399" w:rsidRPr="00B03B51" w:rsidRDefault="00443399" w:rsidP="0054365B">
            <w:pPr>
              <w:pStyle w:val="BodyText"/>
              <w:tabs>
                <w:tab w:val="left" w:pos="1490"/>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c) Aizdevumi ar nemainīgu gada maksu</w:t>
            </w:r>
          </w:p>
          <w:p w14:paraId="2454AD0F" w14:textId="77777777" w:rsidR="00443399" w:rsidRPr="00B03B51" w:rsidRDefault="00443399" w:rsidP="0054365B">
            <w:pPr>
              <w:ind w:left="284"/>
              <w:jc w:val="both"/>
              <w:rPr>
                <w:rFonts w:ascii="Times New Roman" w:eastAsia="Arial" w:hAnsi="Times New Roman" w:cs="Times New Roman"/>
                <w:noProof/>
                <w:sz w:val="24"/>
                <w:szCs w:val="13"/>
              </w:rPr>
            </w:pPr>
          </w:p>
          <w:p w14:paraId="5F7FDEE1" w14:textId="77777777" w:rsidR="00443399" w:rsidRPr="00B03B51" w:rsidRDefault="00443399" w:rsidP="0054365B">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i/>
                <w:iCs/>
                <w:sz w:val="24"/>
              </w:rPr>
              <w:lastRenderedPageBreak/>
              <w:t>Ap</w:t>
            </w:r>
            <w:r w:rsidRPr="00B03B51">
              <w:rPr>
                <w:rFonts w:ascii="Times New Roman" w:hAnsi="Times New Roman" w:cs="Times New Roman"/>
                <w:sz w:val="24"/>
              </w:rPr>
              <w:t xml:space="preserve"> = </w:t>
            </w:r>
            <w:r w:rsidRPr="00B03B51">
              <w:rPr>
                <w:rFonts w:ascii="Times New Roman" w:hAnsi="Times New Roman" w:cs="Times New Roman"/>
                <w:i/>
                <w:iCs/>
                <w:sz w:val="24"/>
              </w:rPr>
              <w:t xml:space="preserve">A, </w:t>
            </w:r>
            <w:r w:rsidRPr="00B03B51">
              <w:rPr>
                <w:rFonts w:ascii="Times New Roman" w:hAnsi="Times New Roman" w:cs="Times New Roman"/>
                <w:sz w:val="24"/>
              </w:rPr>
              <w:sym w:font="Symbol" w:char="F022"/>
            </w:r>
            <w:r w:rsidRPr="00B03B51">
              <w:rPr>
                <w:rFonts w:ascii="Times New Roman" w:hAnsi="Times New Roman" w:cs="Times New Roman"/>
                <w:i/>
                <w:iCs/>
                <w:sz w:val="24"/>
              </w:rPr>
              <w:t>p</w:t>
            </w:r>
            <w:r w:rsidRPr="00B03B51">
              <w:rPr>
                <w:rFonts w:ascii="Times New Roman" w:hAnsi="Times New Roman" w:cs="Times New Roman"/>
                <w:sz w:val="24"/>
              </w:rPr>
              <w:t xml:space="preserve">, </w:t>
            </w:r>
            <w:r w:rsidRPr="00B03B51">
              <w:rPr>
                <w:rFonts w:ascii="Times New Roman" w:hAnsi="Times New Roman" w:cs="Times New Roman"/>
                <w:i/>
                <w:iCs/>
                <w:sz w:val="24"/>
              </w:rPr>
              <w:t>A</w:t>
            </w:r>
            <w:r w:rsidRPr="00B03B51">
              <w:rPr>
                <w:rFonts w:ascii="Times New Roman" w:hAnsi="Times New Roman" w:cs="Times New Roman"/>
                <w:sz w:val="24"/>
              </w:rPr>
              <w:t xml:space="preserve"> aprēķina, izmantojot šādu formulu.</w:t>
            </w:r>
          </w:p>
          <w:p w14:paraId="4796540D" w14:textId="77777777" w:rsidR="00443399" w:rsidRPr="00B03B51" w:rsidRDefault="00443399" w:rsidP="0054365B">
            <w:pPr>
              <w:jc w:val="both"/>
              <w:rPr>
                <w:rFonts w:ascii="Times New Roman" w:eastAsia="Arial" w:hAnsi="Times New Roman" w:cs="Times New Roman"/>
                <w:noProof/>
                <w:sz w:val="24"/>
                <w:szCs w:val="19"/>
              </w:rPr>
            </w:pPr>
          </w:p>
          <w:p w14:paraId="6D23494B"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Pamatformulas.</w:t>
            </w:r>
          </w:p>
          <w:p w14:paraId="7DBFA287" w14:textId="77777777" w:rsidR="00443399" w:rsidRPr="00B03B51" w:rsidRDefault="00443399" w:rsidP="0054365B">
            <w:pPr>
              <w:pStyle w:val="BodyText"/>
              <w:tabs>
                <w:tab w:val="left" w:pos="862"/>
              </w:tabs>
              <w:spacing w:before="0"/>
              <w:ind w:left="0" w:firstLine="0"/>
              <w:jc w:val="both"/>
              <w:rPr>
                <w:rFonts w:ascii="Times New Roman" w:hAnsi="Times New Roman" w:cs="Times New Roman"/>
                <w:noProof/>
                <w:sz w:val="24"/>
              </w:rPr>
            </w:pPr>
          </w:p>
          <w:p w14:paraId="3BCAFE9E" w14:textId="77777777" w:rsidR="00443399" w:rsidRPr="00B03B51" w:rsidRDefault="00443399" w:rsidP="0054365B">
            <w:pPr>
              <w:pStyle w:val="BodyText"/>
              <w:tabs>
                <w:tab w:val="left" w:pos="862"/>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Neatkarīgi no aizdevuma veida dažādos elementus var aprēķināt, izmantojot šādu pamatformulu (</w:t>
            </w:r>
            <w:r w:rsidRPr="00B03B51">
              <w:rPr>
                <w:rFonts w:ascii="Times New Roman" w:hAnsi="Times New Roman" w:cs="Times New Roman"/>
                <w:i/>
                <w:sz w:val="24"/>
                <w:szCs w:val="20"/>
              </w:rPr>
              <w:t>V</w:t>
            </w:r>
            <w:r w:rsidRPr="00B03B51">
              <w:rPr>
                <w:rFonts w:ascii="Times New Roman" w:hAnsi="Times New Roman" w:cs="Times New Roman"/>
                <w:i/>
                <w:sz w:val="24"/>
                <w:szCs w:val="13"/>
                <w:vertAlign w:val="subscript"/>
              </w:rPr>
              <w:t>0</w:t>
            </w:r>
            <w:r w:rsidRPr="00B03B51">
              <w:rPr>
                <w:rFonts w:ascii="Times New Roman" w:hAnsi="Times New Roman" w:cs="Times New Roman"/>
                <w:sz w:val="24"/>
              </w:rPr>
              <w:t xml:space="preserve">, </w:t>
            </w:r>
            <w:r w:rsidRPr="00B03B51">
              <w:rPr>
                <w:rFonts w:ascii="Times New Roman" w:hAnsi="Times New Roman" w:cs="Times New Roman"/>
                <w:i/>
                <w:sz w:val="24"/>
              </w:rPr>
              <w:t>n</w:t>
            </w:r>
            <w:r w:rsidRPr="00B03B51">
              <w:rPr>
                <w:rFonts w:ascii="Times New Roman" w:hAnsi="Times New Roman" w:cs="Times New Roman"/>
                <w:sz w:val="24"/>
              </w:rPr>
              <w:t xml:space="preserve"> un </w:t>
            </w:r>
            <w:r w:rsidRPr="00B03B51">
              <w:rPr>
                <w:rFonts w:ascii="Times New Roman" w:hAnsi="Times New Roman" w:cs="Times New Roman"/>
                <w:i/>
                <w:sz w:val="24"/>
                <w:szCs w:val="20"/>
              </w:rPr>
              <w:t>r</w:t>
            </w:r>
            <w:r w:rsidRPr="00B03B51">
              <w:rPr>
                <w:rFonts w:ascii="Times New Roman" w:hAnsi="Times New Roman" w:cs="Times New Roman"/>
                <w:sz w:val="24"/>
              </w:rPr>
              <w:t xml:space="preserve"> ir doti).</w:t>
            </w:r>
          </w:p>
          <w:p w14:paraId="7596CAB0" w14:textId="77777777" w:rsidR="00443399" w:rsidRPr="00B03B51" w:rsidRDefault="00443399" w:rsidP="0054365B">
            <w:pPr>
              <w:jc w:val="both"/>
              <w:rPr>
                <w:rFonts w:ascii="Times New Roman" w:hAnsi="Times New Roman" w:cs="Times New Roman"/>
                <w:noProof/>
                <w:sz w:val="24"/>
              </w:rPr>
            </w:pPr>
          </w:p>
          <w:p w14:paraId="34EAB33B" w14:textId="77777777" w:rsidR="00443399" w:rsidRPr="00B03B51" w:rsidRDefault="00443399" w:rsidP="0054365B">
            <w:pPr>
              <w:ind w:left="284"/>
              <w:jc w:val="both"/>
              <w:rPr>
                <w:rFonts w:ascii="Times New Roman" w:eastAsia="Arial" w:hAnsi="Times New Roman" w:cs="Times New Roman"/>
                <w:noProof/>
                <w:sz w:val="24"/>
                <w:szCs w:val="14"/>
              </w:rPr>
            </w:pPr>
            <w:r w:rsidRPr="00B03B51">
              <w:rPr>
                <w:rFonts w:ascii="Times New Roman" w:hAnsi="Times New Roman" w:cs="Times New Roman"/>
                <w:noProof/>
                <w:sz w:val="24"/>
                <w:szCs w:val="14"/>
              </w:rPr>
              <w:drawing>
                <wp:inline distT="0" distB="0" distL="0" distR="0" wp14:anchorId="6382BF3D" wp14:editId="29EF6DD0">
                  <wp:extent cx="2392045" cy="5530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92045" cy="553085"/>
                          </a:xfrm>
                          <a:prstGeom prst="rect">
                            <a:avLst/>
                          </a:prstGeom>
                          <a:noFill/>
                          <a:ln>
                            <a:noFill/>
                          </a:ln>
                        </pic:spPr>
                      </pic:pic>
                    </a:graphicData>
                  </a:graphic>
                </wp:inline>
              </w:drawing>
            </w:r>
          </w:p>
          <w:p w14:paraId="2AEAAA7D" w14:textId="77777777" w:rsidR="00443399" w:rsidRPr="00B03B51" w:rsidRDefault="00443399" w:rsidP="0054365B">
            <w:pPr>
              <w:ind w:left="284"/>
              <w:jc w:val="both"/>
              <w:rPr>
                <w:rFonts w:ascii="Times New Roman" w:eastAsia="Arial" w:hAnsi="Times New Roman" w:cs="Times New Roman"/>
                <w:noProof/>
                <w:sz w:val="24"/>
                <w:szCs w:val="14"/>
              </w:rPr>
            </w:pPr>
          </w:p>
          <w:p w14:paraId="079B3EE7" w14:textId="77777777" w:rsidR="00443399" w:rsidRPr="00B03B51" w:rsidRDefault="00443399" w:rsidP="0054365B">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Tas nozīmē, ka pašreizējā vērtība visām gada maksām (aizdevuma līguma procentu likmi izmantojot kā diskonta likmi) ir vienāda ar aizdoto summu neatkarīgi no tā, kādas ir šīs gada maksas.</w:t>
            </w:r>
          </w:p>
          <w:p w14:paraId="69C8CDF3" w14:textId="77777777" w:rsidR="00443399" w:rsidRPr="00B03B51" w:rsidRDefault="00443399" w:rsidP="0054365B">
            <w:pPr>
              <w:pStyle w:val="BodyText"/>
              <w:tabs>
                <w:tab w:val="left" w:pos="862"/>
              </w:tabs>
              <w:spacing w:before="0"/>
              <w:ind w:left="0" w:firstLine="0"/>
              <w:jc w:val="both"/>
              <w:rPr>
                <w:rFonts w:ascii="Times New Roman" w:hAnsi="Times New Roman" w:cs="Times New Roman"/>
                <w:noProof/>
                <w:sz w:val="24"/>
              </w:rPr>
            </w:pPr>
          </w:p>
          <w:p w14:paraId="5791DFA8" w14:textId="77777777" w:rsidR="00443399" w:rsidRPr="00B03B51" w:rsidRDefault="00443399" w:rsidP="0054365B">
            <w:pPr>
              <w:pStyle w:val="BodyText"/>
              <w:tabs>
                <w:tab w:val="left" w:pos="862"/>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6. Turklāt jebkurā brīdī pamatsummas nenomaksātais apjoms ir vienāds ar atlikušo gada maksu pašreizējo vērtību. Tādējādi pēc tam, kad ir nomaksātas </w:t>
            </w:r>
            <w:r w:rsidRPr="00B03B51">
              <w:rPr>
                <w:rFonts w:ascii="Times New Roman" w:hAnsi="Times New Roman" w:cs="Times New Roman"/>
                <w:i/>
                <w:iCs/>
                <w:sz w:val="24"/>
              </w:rPr>
              <w:t>p-1</w:t>
            </w:r>
            <w:r w:rsidRPr="00B03B51">
              <w:rPr>
                <w:rFonts w:ascii="Times New Roman" w:hAnsi="Times New Roman" w:cs="Times New Roman"/>
                <w:sz w:val="24"/>
              </w:rPr>
              <w:t> gada maksas, spēkā ir šāda formula.</w:t>
            </w:r>
          </w:p>
          <w:p w14:paraId="123E1DF4" w14:textId="77777777" w:rsidR="00443399" w:rsidRPr="00B03B51" w:rsidRDefault="00443399" w:rsidP="0054365B">
            <w:pPr>
              <w:jc w:val="both"/>
              <w:rPr>
                <w:rFonts w:ascii="Times New Roman" w:eastAsia="Times New Roman" w:hAnsi="Times New Roman" w:cs="Times New Roman"/>
                <w:i/>
                <w:noProof/>
                <w:sz w:val="24"/>
                <w:szCs w:val="14"/>
              </w:rPr>
            </w:pPr>
          </w:p>
          <w:p w14:paraId="740FDF05" w14:textId="77777777" w:rsidR="00443399" w:rsidRPr="00B03B51" w:rsidRDefault="00443399" w:rsidP="0054365B">
            <w:pPr>
              <w:ind w:left="284"/>
              <w:jc w:val="both"/>
              <w:rPr>
                <w:rFonts w:ascii="Times New Roman" w:eastAsia="Times New Roman" w:hAnsi="Times New Roman" w:cs="Times New Roman"/>
                <w:noProof/>
                <w:sz w:val="24"/>
                <w:szCs w:val="20"/>
              </w:rPr>
            </w:pPr>
            <w:r w:rsidRPr="00B03B51">
              <w:rPr>
                <w:rFonts w:ascii="Times New Roman" w:hAnsi="Times New Roman" w:cs="Times New Roman"/>
                <w:noProof/>
                <w:sz w:val="24"/>
                <w:szCs w:val="20"/>
              </w:rPr>
              <w:drawing>
                <wp:inline distT="0" distB="0" distL="0" distR="0" wp14:anchorId="6154988E" wp14:editId="056D712E">
                  <wp:extent cx="2349500" cy="5530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49500" cy="553085"/>
                          </a:xfrm>
                          <a:prstGeom prst="rect">
                            <a:avLst/>
                          </a:prstGeom>
                          <a:noFill/>
                          <a:ln>
                            <a:noFill/>
                          </a:ln>
                        </pic:spPr>
                      </pic:pic>
                    </a:graphicData>
                  </a:graphic>
                </wp:inline>
              </w:drawing>
            </w:r>
          </w:p>
          <w:p w14:paraId="1FEBCAAA" w14:textId="77777777" w:rsidR="00443399" w:rsidRPr="00B03B51" w:rsidRDefault="00443399" w:rsidP="0054365B">
            <w:pPr>
              <w:jc w:val="both"/>
              <w:rPr>
                <w:rFonts w:ascii="Times New Roman" w:eastAsia="Times New Roman" w:hAnsi="Times New Roman" w:cs="Times New Roman"/>
                <w:noProof/>
                <w:sz w:val="24"/>
                <w:szCs w:val="20"/>
              </w:rPr>
            </w:pPr>
          </w:p>
          <w:p w14:paraId="33CA9B5F" w14:textId="77777777" w:rsidR="00443399" w:rsidRPr="00B03B51" w:rsidRDefault="00443399" w:rsidP="0054365B">
            <w:pPr>
              <w:pStyle w:val="BodyText"/>
              <w:tabs>
                <w:tab w:val="left" w:pos="862"/>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Ja no sākuma līdz </w:t>
            </w:r>
            <w:r w:rsidRPr="00B03B51">
              <w:rPr>
                <w:rFonts w:ascii="Times New Roman" w:hAnsi="Times New Roman" w:cs="Times New Roman"/>
                <w:i/>
                <w:iCs/>
                <w:sz w:val="24"/>
              </w:rPr>
              <w:t>p</w:t>
            </w:r>
            <w:r w:rsidRPr="00B03B51">
              <w:rPr>
                <w:rFonts w:ascii="Times New Roman" w:hAnsi="Times New Roman" w:cs="Times New Roman"/>
                <w:sz w:val="24"/>
              </w:rPr>
              <w:t xml:space="preserve">, to ieskaitot, nenotiek nekādi maksājumi, tad </w:t>
            </w:r>
            <w:r w:rsidRPr="00B03B51">
              <w:rPr>
                <w:rFonts w:ascii="Times New Roman" w:hAnsi="Times New Roman" w:cs="Times New Roman"/>
                <w:i/>
                <w:iCs/>
                <w:sz w:val="24"/>
              </w:rPr>
              <w:t>p</w:t>
            </w:r>
            <w:r w:rsidRPr="00B03B51">
              <w:rPr>
                <w:rFonts w:ascii="Times New Roman" w:hAnsi="Times New Roman" w:cs="Times New Roman"/>
                <w:sz w:val="24"/>
              </w:rPr>
              <w:t xml:space="preserve"> perioda beigās </w:t>
            </w:r>
            <w:r w:rsidRPr="00B03B51">
              <w:rPr>
                <w:rFonts w:ascii="Times New Roman" w:hAnsi="Times New Roman" w:cs="Times New Roman"/>
                <w:i/>
                <w:iCs/>
                <w:sz w:val="24"/>
              </w:rPr>
              <w:t>V0</w:t>
            </w:r>
            <w:r w:rsidRPr="00B03B51">
              <w:rPr>
                <w:rFonts w:ascii="Times New Roman" w:hAnsi="Times New Roman" w:cs="Times New Roman"/>
                <w:sz w:val="24"/>
              </w:rPr>
              <w:t xml:space="preserve"> reģistrē pozīcijā AF.4. Turklāt pastāv saistības atbilstoši nenomaksātajai procentu summai, kas ir vienādas ar:</w:t>
            </w:r>
          </w:p>
          <w:p w14:paraId="7EB76D84" w14:textId="77777777" w:rsidR="00443399" w:rsidRPr="00B03B51" w:rsidRDefault="00443399" w:rsidP="0054365B">
            <w:pPr>
              <w:jc w:val="both"/>
              <w:rPr>
                <w:rFonts w:ascii="Times New Roman" w:hAnsi="Times New Roman" w:cs="Times New Roman"/>
                <w:noProof/>
                <w:sz w:val="24"/>
              </w:rPr>
            </w:pPr>
          </w:p>
          <w:p w14:paraId="5DF15145" w14:textId="77777777" w:rsidR="00443399" w:rsidRPr="00B03B51" w:rsidRDefault="00443399" w:rsidP="0054365B">
            <w:pPr>
              <w:ind w:left="284"/>
              <w:jc w:val="both"/>
              <w:rPr>
                <w:rFonts w:ascii="Times New Roman" w:eastAsia="Times New Roman" w:hAnsi="Times New Roman" w:cs="Times New Roman"/>
                <w:noProof/>
                <w:sz w:val="24"/>
              </w:rPr>
            </w:pPr>
            <w:r w:rsidRPr="00B03B51">
              <w:rPr>
                <w:rFonts w:ascii="Times New Roman" w:hAnsi="Times New Roman" w:cs="Times New Roman"/>
                <w:noProof/>
                <w:sz w:val="24"/>
              </w:rPr>
              <w:drawing>
                <wp:inline distT="0" distB="0" distL="0" distR="0" wp14:anchorId="529BB346" wp14:editId="3A395BCC">
                  <wp:extent cx="786765" cy="52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86765" cy="520700"/>
                          </a:xfrm>
                          <a:prstGeom prst="rect">
                            <a:avLst/>
                          </a:prstGeom>
                          <a:noFill/>
                          <a:ln>
                            <a:noFill/>
                          </a:ln>
                        </pic:spPr>
                      </pic:pic>
                    </a:graphicData>
                  </a:graphic>
                </wp:inline>
              </w:drawing>
            </w:r>
          </w:p>
        </w:tc>
      </w:tr>
    </w:tbl>
    <w:p w14:paraId="3F9F8C55" w14:textId="77777777" w:rsidR="00443399" w:rsidRPr="00B03B51" w:rsidRDefault="00443399" w:rsidP="00443399">
      <w:pPr>
        <w:jc w:val="both"/>
        <w:rPr>
          <w:rFonts w:ascii="Times New Roman" w:eastAsia="Times New Roman" w:hAnsi="Times New Roman" w:cs="Times New Roman"/>
          <w:noProof/>
          <w:sz w:val="24"/>
          <w:szCs w:val="27"/>
        </w:rPr>
      </w:pPr>
    </w:p>
    <w:p w14:paraId="66D76049" w14:textId="77777777" w:rsidR="00443399" w:rsidRPr="00B03B51" w:rsidRDefault="00443399" w:rsidP="00443399">
      <w:pPr>
        <w:pStyle w:val="Heading3"/>
        <w:tabs>
          <w:tab w:val="left" w:pos="1267"/>
        </w:tabs>
        <w:ind w:left="0" w:firstLine="0"/>
        <w:jc w:val="both"/>
        <w:rPr>
          <w:rFonts w:ascii="Times New Roman" w:hAnsi="Times New Roman" w:cs="Times New Roman"/>
          <w:sz w:val="24"/>
        </w:rPr>
      </w:pPr>
      <w:bookmarkStart w:id="586" w:name="_Toc67565205"/>
      <w:r w:rsidRPr="00B03B51">
        <w:rPr>
          <w:rFonts w:ascii="Times New Roman" w:hAnsi="Times New Roman" w:cs="Times New Roman"/>
          <w:sz w:val="24"/>
        </w:rPr>
        <w:t>7.3.3. Traktējuma pamatojums</w:t>
      </w:r>
      <w:bookmarkEnd w:id="586"/>
    </w:p>
    <w:p w14:paraId="6F95AE54" w14:textId="77777777" w:rsidR="00443399" w:rsidRPr="00B03B51" w:rsidRDefault="00443399" w:rsidP="00443399">
      <w:pPr>
        <w:tabs>
          <w:tab w:val="left" w:pos="1267"/>
        </w:tabs>
        <w:jc w:val="both"/>
        <w:rPr>
          <w:rFonts w:ascii="Times New Roman" w:hAnsi="Times New Roman" w:cs="Times New Roman"/>
          <w:b/>
          <w:noProof/>
          <w:sz w:val="24"/>
        </w:rPr>
      </w:pPr>
    </w:p>
    <w:p w14:paraId="5C4DB63D" w14:textId="77777777" w:rsidR="00443399" w:rsidRPr="00B03B51" w:rsidRDefault="00443399" w:rsidP="00443399">
      <w:pPr>
        <w:pStyle w:val="Heading6"/>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7.3.3.1. AIZDEVUMA IERAKSTĪŠANA</w:t>
      </w:r>
    </w:p>
    <w:p w14:paraId="2C55276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9D4EA0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Vērtības, kas pozīcijā AF.4 jāieraksta gan kreditoru, gan debitoru bilancē, ir pamatsummas, kuras debitoriem saskaņā ar līgumu jāatmaksā kreditoriem pat tādos gadījumos, kad aizdevums ticis tirgots ar diskontu vai prēmiju (EKS 2010 7.70. punkts).</w:t>
      </w:r>
    </w:p>
    <w:p w14:paraId="58226841" w14:textId="77777777" w:rsidR="00443399" w:rsidRPr="00B03B51" w:rsidRDefault="00443399" w:rsidP="00443399">
      <w:pPr>
        <w:jc w:val="both"/>
        <w:rPr>
          <w:rFonts w:ascii="Times New Roman" w:eastAsia="Arial" w:hAnsi="Times New Roman" w:cs="Times New Roman"/>
          <w:noProof/>
          <w:sz w:val="24"/>
          <w:szCs w:val="15"/>
        </w:rPr>
      </w:pPr>
    </w:p>
    <w:p w14:paraId="3B06666C" w14:textId="77777777" w:rsidR="00443399" w:rsidRPr="00B03B51" w:rsidRDefault="00443399" w:rsidP="00443399">
      <w:pPr>
        <w:pStyle w:val="Heading6"/>
        <w:tabs>
          <w:tab w:val="left" w:pos="1267"/>
        </w:tabs>
        <w:ind w:left="0" w:firstLine="0"/>
        <w:jc w:val="both"/>
        <w:rPr>
          <w:rFonts w:ascii="Times New Roman" w:hAnsi="Times New Roman" w:cs="Times New Roman"/>
          <w:sz w:val="24"/>
        </w:rPr>
      </w:pPr>
      <w:r w:rsidRPr="00B03B51">
        <w:rPr>
          <w:rFonts w:ascii="Times New Roman" w:hAnsi="Times New Roman" w:cs="Times New Roman"/>
          <w:sz w:val="24"/>
        </w:rPr>
        <w:t>7.3.3.2. AIZDEVUMA ATMAKSĀŠANAS GRAFIKA PĀRSKATĪŠANA</w:t>
      </w:r>
    </w:p>
    <w:p w14:paraId="7F940A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6E9A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EKS 2010 nav sniegti sīki norādījumi attiecībā uz šāda gadījuma uzskaiti. EKS 2010 20.236. punktā pieminēta vienīgi parāda pārstrukturēšana, norādot, ka tas pats princips (kā parāda anulēšanas gadījumā) attiecas uz vērtības starpību (nenorādot, ka tas domāts nominālā izteiksmē). Tas ir norādīts NKS 2008, taču visnotaļ vispārīgā veidā, 20.107. punkta b) apakšpunktā norādot vienīgi to, ka “tā rezultātā var samazināties pašreizējā vērtība”, un nepieminot iespējamo kapitāla pārvedumu. Tāpēc šajā rokasgrāmatā sniegts nepieciešamais skaidrojums un praktiski norādījumi nacionālo kontu speciālistiem.</w:t>
      </w:r>
    </w:p>
    <w:p w14:paraId="4734DBDF" w14:textId="77777777" w:rsidR="00443399" w:rsidRPr="00B03B51" w:rsidRDefault="00443399" w:rsidP="00443399">
      <w:pPr>
        <w:jc w:val="both"/>
        <w:rPr>
          <w:rFonts w:ascii="Times New Roman" w:hAnsi="Times New Roman" w:cs="Times New Roman"/>
          <w:noProof/>
          <w:sz w:val="24"/>
        </w:rPr>
      </w:pPr>
    </w:p>
    <w:p w14:paraId="51E3E5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23. Aizdevums ir līgumiska vienošanās. Sadalījumu starp pamatsummas atmaksājumu un </w:t>
      </w:r>
      <w:r w:rsidRPr="00B03B51">
        <w:rPr>
          <w:rFonts w:ascii="Times New Roman" w:hAnsi="Times New Roman" w:cs="Times New Roman"/>
          <w:sz w:val="24"/>
        </w:rPr>
        <w:lastRenderedPageBreak/>
        <w:t>procentu atmaksājumu nosaka aizdevuma līgumā, tostarp attiecībā uz aizdevumiem ar brīvi svārstīgām likmēm, un to var mainīt, vienīgi grozot līgumu.</w:t>
      </w:r>
    </w:p>
    <w:p w14:paraId="2EE9855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AD733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Aizdevumam nav tirgus cenas, skat. EKS 2010 6.58. punktu. Līdz ar to procentu likmes izmaiņas, kas finanšu tirgos var notikt attiecībā uz līdzīgiem aizdevumiem, neietekmē tādu esošu aizdevumu nenomaksāto pamatsummu, kuriem ir noteikta procentu likme. Turklāt šādas izmaiņas neietekmē turpmākās procentu summas, un līdz ar to tās neietekmē pamatsummas un procentu sadalījumu.</w:t>
      </w:r>
    </w:p>
    <w:p w14:paraId="4C2A9EB6" w14:textId="77777777" w:rsidR="00443399" w:rsidRPr="00B03B51" w:rsidRDefault="00443399" w:rsidP="00443399">
      <w:pPr>
        <w:jc w:val="both"/>
        <w:rPr>
          <w:rFonts w:ascii="Times New Roman" w:eastAsia="Arial" w:hAnsi="Times New Roman" w:cs="Times New Roman"/>
          <w:noProof/>
          <w:sz w:val="24"/>
          <w:szCs w:val="15"/>
        </w:rPr>
      </w:pPr>
    </w:p>
    <w:p w14:paraId="1A1784C3"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7.3.3.3. PARĀDA ANULĒŠANA</w:t>
      </w:r>
    </w:p>
    <w:p w14:paraId="134CDBB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696FC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Šo jautājumu skat. 2.4. nodaļas “Procentu ierakstīšana” 2.4.1. iedaļā “Vispārīga informācija”.</w:t>
      </w:r>
    </w:p>
    <w:p w14:paraId="69743E24" w14:textId="77777777" w:rsidR="00443399" w:rsidRPr="00B03B51" w:rsidRDefault="00443399" w:rsidP="00443399">
      <w:pPr>
        <w:jc w:val="both"/>
        <w:rPr>
          <w:rFonts w:ascii="Times New Roman" w:eastAsia="Arial" w:hAnsi="Times New Roman" w:cs="Times New Roman"/>
          <w:noProof/>
          <w:sz w:val="24"/>
          <w:szCs w:val="16"/>
        </w:rPr>
      </w:pPr>
    </w:p>
    <w:p w14:paraId="2B80C8D1"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7.3.3.4. AIZDEVUMA PĀRDOŠANA</w:t>
      </w:r>
    </w:p>
    <w:p w14:paraId="06A4B65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F32AB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EKS 2010 ir apspriests gadījums, kad aizdevums tiek pārdots (EKS 2010 5.122. punkts). Starpību starp “izpirkuma cenu” un “darījuma cenu” ieraksta pārvērtēšanas kontā (EKS 2010 6.58. punkts).</w:t>
      </w:r>
    </w:p>
    <w:p w14:paraId="46B9F6BC" w14:textId="77777777" w:rsidR="00443399" w:rsidRPr="00B03B51" w:rsidRDefault="00443399" w:rsidP="00443399">
      <w:pPr>
        <w:jc w:val="both"/>
        <w:rPr>
          <w:rFonts w:ascii="Times New Roman" w:eastAsia="Arial" w:hAnsi="Times New Roman" w:cs="Times New Roman"/>
          <w:noProof/>
          <w:sz w:val="24"/>
          <w:szCs w:val="18"/>
        </w:rPr>
      </w:pPr>
    </w:p>
    <w:p w14:paraId="673B5EBD"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87" w:name="_Toc67565206"/>
      <w:r w:rsidRPr="00B03B51">
        <w:rPr>
          <w:rFonts w:ascii="Times New Roman" w:hAnsi="Times New Roman" w:cs="Times New Roman"/>
          <w:sz w:val="24"/>
        </w:rPr>
        <w:t>7.3.4. Uzskaites piemēri</w:t>
      </w:r>
      <w:bookmarkEnd w:id="587"/>
    </w:p>
    <w:p w14:paraId="6BAE6DB2" w14:textId="77777777" w:rsidR="00443399" w:rsidRPr="00B03B51" w:rsidRDefault="00443399" w:rsidP="00443399">
      <w:pPr>
        <w:jc w:val="both"/>
        <w:rPr>
          <w:rFonts w:ascii="Times New Roman" w:hAnsi="Times New Roman" w:cs="Times New Roman"/>
          <w:b/>
          <w:noProof/>
          <w:sz w:val="24"/>
        </w:rPr>
      </w:pPr>
    </w:p>
    <w:p w14:paraId="1DB33B3B"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Kopīgas iezīmes</w:t>
      </w:r>
    </w:p>
    <w:p w14:paraId="7FF3F9C2" w14:textId="77777777" w:rsidR="00443399" w:rsidRPr="00B03B51" w:rsidRDefault="00443399" w:rsidP="00443399">
      <w:pPr>
        <w:jc w:val="both"/>
        <w:rPr>
          <w:rFonts w:ascii="Times New Roman" w:eastAsia="Arial" w:hAnsi="Times New Roman" w:cs="Times New Roman"/>
          <w:b/>
          <w:bCs/>
          <w:noProof/>
          <w:sz w:val="24"/>
        </w:rPr>
      </w:pPr>
    </w:p>
    <w:p w14:paraId="4DC17193"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Gadījums A: parāda ierakstīšana</w:t>
      </w:r>
    </w:p>
    <w:p w14:paraId="112EF60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1A184B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Aizdevumam 10 000 naudas vienību apmērā atlikušais ilgums ir 5 gadi, kad 1. gada sākumā tika pārskatīts tā grafiks. Sākotnējā procentu likme ir 6 %.</w:t>
      </w:r>
    </w:p>
    <w:p w14:paraId="3C6E662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252E7E5"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1. Aizdevums ar beigu atmaksu</w:t>
      </w:r>
    </w:p>
    <w:p w14:paraId="71973FB0"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6"/>
        <w:gridCol w:w="2321"/>
        <w:gridCol w:w="1333"/>
        <w:gridCol w:w="1733"/>
        <w:gridCol w:w="2890"/>
      </w:tblGrid>
      <w:tr w:rsidR="00443399" w:rsidRPr="00B03B51" w14:paraId="77BB1F2E" w14:textId="77777777" w:rsidTr="004B0DA3">
        <w:tc>
          <w:tcPr>
            <w:tcW w:w="429" w:type="pct"/>
            <w:tcBorders>
              <w:top w:val="single" w:sz="7" w:space="0" w:color="000000"/>
              <w:left w:val="single" w:sz="7" w:space="0" w:color="000000"/>
              <w:bottom w:val="single" w:sz="7" w:space="0" w:color="000000"/>
              <w:right w:val="single" w:sz="7" w:space="0" w:color="000000"/>
            </w:tcBorders>
          </w:tcPr>
          <w:p w14:paraId="52733AB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2" w:type="pct"/>
            <w:tcBorders>
              <w:top w:val="single" w:sz="7" w:space="0" w:color="000000"/>
              <w:left w:val="single" w:sz="7" w:space="0" w:color="000000"/>
              <w:bottom w:val="single" w:sz="7" w:space="0" w:color="000000"/>
              <w:right w:val="single" w:sz="7" w:space="0" w:color="000000"/>
            </w:tcBorders>
          </w:tcPr>
          <w:p w14:paraId="29A19C5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6" w:type="pct"/>
            <w:tcBorders>
              <w:top w:val="single" w:sz="7" w:space="0" w:color="000000"/>
              <w:left w:val="single" w:sz="7" w:space="0" w:color="000000"/>
              <w:bottom w:val="single" w:sz="7" w:space="0" w:color="000000"/>
              <w:right w:val="single" w:sz="7" w:space="0" w:color="000000"/>
            </w:tcBorders>
          </w:tcPr>
          <w:p w14:paraId="37F6644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7" w:type="pct"/>
            <w:tcBorders>
              <w:top w:val="single" w:sz="7" w:space="0" w:color="000000"/>
              <w:left w:val="single" w:sz="7" w:space="0" w:color="000000"/>
              <w:bottom w:val="single" w:sz="7" w:space="0" w:color="000000"/>
              <w:right w:val="single" w:sz="7" w:space="0" w:color="000000"/>
            </w:tcBorders>
          </w:tcPr>
          <w:p w14:paraId="0270FE7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6" w:type="pct"/>
            <w:tcBorders>
              <w:top w:val="single" w:sz="7" w:space="0" w:color="000000"/>
              <w:left w:val="single" w:sz="7" w:space="0" w:color="000000"/>
              <w:bottom w:val="single" w:sz="7" w:space="0" w:color="000000"/>
              <w:right w:val="single" w:sz="7" w:space="0" w:color="000000"/>
            </w:tcBorders>
          </w:tcPr>
          <w:p w14:paraId="43DFB1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7448BFE2" w14:textId="77777777" w:rsidTr="004B0DA3">
        <w:tc>
          <w:tcPr>
            <w:tcW w:w="429" w:type="pct"/>
            <w:tcBorders>
              <w:top w:val="single" w:sz="7" w:space="0" w:color="000000"/>
              <w:left w:val="single" w:sz="7" w:space="0" w:color="000000"/>
              <w:bottom w:val="single" w:sz="7" w:space="0" w:color="000000"/>
              <w:right w:val="single" w:sz="7" w:space="0" w:color="000000"/>
            </w:tcBorders>
          </w:tcPr>
          <w:p w14:paraId="60A81F5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2CC85C8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1D915DF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6CCD85F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239872E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1282" w:type="pct"/>
            <w:tcBorders>
              <w:top w:val="single" w:sz="7" w:space="0" w:color="000000"/>
              <w:left w:val="single" w:sz="7" w:space="0" w:color="000000"/>
              <w:bottom w:val="single" w:sz="7" w:space="0" w:color="000000"/>
              <w:right w:val="single" w:sz="7" w:space="0" w:color="000000"/>
            </w:tcBorders>
          </w:tcPr>
          <w:p w14:paraId="2A7BCCD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6A6D7F2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05B33C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481D46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2638484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736" w:type="pct"/>
            <w:tcBorders>
              <w:top w:val="single" w:sz="7" w:space="0" w:color="000000"/>
              <w:left w:val="single" w:sz="7" w:space="0" w:color="000000"/>
              <w:bottom w:val="single" w:sz="7" w:space="0" w:color="000000"/>
              <w:right w:val="single" w:sz="7" w:space="0" w:color="000000"/>
            </w:tcBorders>
          </w:tcPr>
          <w:p w14:paraId="5839776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2FA6795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2088FC8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424CBAA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14A1A34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tc>
        <w:tc>
          <w:tcPr>
            <w:tcW w:w="957" w:type="pct"/>
            <w:tcBorders>
              <w:top w:val="single" w:sz="7" w:space="0" w:color="000000"/>
              <w:left w:val="single" w:sz="7" w:space="0" w:color="000000"/>
              <w:bottom w:val="single" w:sz="7" w:space="0" w:color="000000"/>
              <w:right w:val="single" w:sz="7" w:space="0" w:color="000000"/>
            </w:tcBorders>
          </w:tcPr>
          <w:p w14:paraId="180202B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202EB5C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AFFFC2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0978C60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952937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596" w:type="pct"/>
            <w:tcBorders>
              <w:top w:val="single" w:sz="7" w:space="0" w:color="000000"/>
              <w:left w:val="single" w:sz="7" w:space="0" w:color="000000"/>
              <w:bottom w:val="single" w:sz="7" w:space="0" w:color="000000"/>
              <w:right w:val="single" w:sz="7" w:space="0" w:color="000000"/>
            </w:tcBorders>
          </w:tcPr>
          <w:p w14:paraId="6FEF7B7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51616D0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219FD6A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0BFA478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1B96690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10 600</w:t>
            </w:r>
          </w:p>
        </w:tc>
      </w:tr>
      <w:tr w:rsidR="00443399" w:rsidRPr="00B03B51" w14:paraId="2B77A40E" w14:textId="77777777" w:rsidTr="004B0DA3">
        <w:tc>
          <w:tcPr>
            <w:tcW w:w="429" w:type="pct"/>
            <w:tcBorders>
              <w:top w:val="single" w:sz="7" w:space="0" w:color="000000"/>
              <w:left w:val="single" w:sz="7" w:space="0" w:color="000000"/>
              <w:bottom w:val="single" w:sz="7" w:space="0" w:color="000000"/>
              <w:right w:val="single" w:sz="7" w:space="0" w:color="000000"/>
            </w:tcBorders>
          </w:tcPr>
          <w:p w14:paraId="25F628B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2" w:type="pct"/>
            <w:tcBorders>
              <w:top w:val="single" w:sz="7" w:space="0" w:color="000000"/>
              <w:left w:val="single" w:sz="7" w:space="0" w:color="000000"/>
              <w:bottom w:val="single" w:sz="7" w:space="0" w:color="000000"/>
              <w:right w:val="single" w:sz="7" w:space="0" w:color="000000"/>
            </w:tcBorders>
          </w:tcPr>
          <w:p w14:paraId="6F854980" w14:textId="77777777" w:rsidR="00443399" w:rsidRPr="00B03B51" w:rsidRDefault="00443399" w:rsidP="0054365B">
            <w:pPr>
              <w:jc w:val="center"/>
              <w:rPr>
                <w:rFonts w:ascii="Times New Roman" w:hAnsi="Times New Roman" w:cs="Times New Roman"/>
                <w:noProof/>
                <w:sz w:val="24"/>
              </w:rPr>
            </w:pPr>
          </w:p>
        </w:tc>
        <w:tc>
          <w:tcPr>
            <w:tcW w:w="736" w:type="pct"/>
            <w:tcBorders>
              <w:top w:val="single" w:sz="7" w:space="0" w:color="000000"/>
              <w:left w:val="single" w:sz="7" w:space="0" w:color="000000"/>
              <w:bottom w:val="single" w:sz="7" w:space="0" w:color="000000"/>
              <w:right w:val="single" w:sz="7" w:space="0" w:color="000000"/>
            </w:tcBorders>
          </w:tcPr>
          <w:p w14:paraId="67619CD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3000</w:t>
            </w:r>
          </w:p>
        </w:tc>
        <w:tc>
          <w:tcPr>
            <w:tcW w:w="957" w:type="pct"/>
            <w:tcBorders>
              <w:top w:val="single" w:sz="7" w:space="0" w:color="000000"/>
              <w:left w:val="single" w:sz="7" w:space="0" w:color="000000"/>
              <w:bottom w:val="single" w:sz="7" w:space="0" w:color="000000"/>
              <w:right w:val="single" w:sz="7" w:space="0" w:color="000000"/>
            </w:tcBorders>
          </w:tcPr>
          <w:p w14:paraId="26CB19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596" w:type="pct"/>
            <w:tcBorders>
              <w:top w:val="single" w:sz="7" w:space="0" w:color="000000"/>
              <w:left w:val="single" w:sz="7" w:space="0" w:color="000000"/>
              <w:bottom w:val="single" w:sz="7" w:space="0" w:color="000000"/>
              <w:right w:val="single" w:sz="7" w:space="0" w:color="000000"/>
            </w:tcBorders>
          </w:tcPr>
          <w:p w14:paraId="58A4204A" w14:textId="77777777" w:rsidR="00443399" w:rsidRPr="00B03B51" w:rsidRDefault="00443399" w:rsidP="0054365B">
            <w:pPr>
              <w:pStyle w:val="TableParagraph"/>
              <w:ind w:left="523"/>
              <w:rPr>
                <w:rFonts w:ascii="Times New Roman" w:hAnsi="Times New Roman" w:cs="Times New Roman"/>
                <w:noProof/>
                <w:sz w:val="24"/>
              </w:rPr>
            </w:pPr>
            <w:r w:rsidRPr="00B03B51">
              <w:rPr>
                <w:rFonts w:ascii="Times New Roman" w:hAnsi="Times New Roman" w:cs="Times New Roman"/>
                <w:noProof/>
                <w:sz w:val="24"/>
              </w:rPr>
              <w:t>13 000</w:t>
            </w:r>
          </w:p>
        </w:tc>
      </w:tr>
    </w:tbl>
    <w:p w14:paraId="27DD7984" w14:textId="77777777" w:rsidR="00443399" w:rsidRPr="00B03B51" w:rsidRDefault="00443399" w:rsidP="00443399">
      <w:pPr>
        <w:jc w:val="both"/>
        <w:rPr>
          <w:rFonts w:ascii="Times New Roman" w:eastAsia="Arial" w:hAnsi="Times New Roman" w:cs="Times New Roman"/>
          <w:b/>
          <w:bCs/>
          <w:noProof/>
          <w:sz w:val="24"/>
          <w:szCs w:val="5"/>
        </w:rPr>
      </w:pPr>
    </w:p>
    <w:p w14:paraId="768B7AEA"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w:t>
      </w:r>
    </w:p>
    <w:p w14:paraId="5FF76B87"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0D716F8E"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31E4F21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3727F9E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13A9F5F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7A4D0A2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788B275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56BF38B8"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53D155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20CC00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4D3E048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5F3F96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25719A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5</w:t>
            </w:r>
          </w:p>
        </w:tc>
        <w:tc>
          <w:tcPr>
            <w:tcW w:w="999" w:type="pct"/>
            <w:tcBorders>
              <w:top w:val="single" w:sz="7" w:space="0" w:color="000000"/>
              <w:left w:val="single" w:sz="7" w:space="0" w:color="000000"/>
              <w:bottom w:val="single" w:sz="7" w:space="0" w:color="000000"/>
              <w:right w:val="single" w:sz="7" w:space="0" w:color="000000"/>
            </w:tcBorders>
          </w:tcPr>
          <w:p w14:paraId="12471C7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10 000</w:t>
            </w:r>
          </w:p>
          <w:p w14:paraId="4D1BB74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8000</w:t>
            </w:r>
          </w:p>
          <w:p w14:paraId="3B52110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6000</w:t>
            </w:r>
          </w:p>
          <w:p w14:paraId="5664204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4000</w:t>
            </w:r>
          </w:p>
          <w:p w14:paraId="5A36D20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2000</w:t>
            </w:r>
          </w:p>
        </w:tc>
        <w:tc>
          <w:tcPr>
            <w:tcW w:w="1001" w:type="pct"/>
            <w:tcBorders>
              <w:top w:val="single" w:sz="7" w:space="0" w:color="000000"/>
              <w:left w:val="single" w:sz="7" w:space="0" w:color="000000"/>
              <w:bottom w:val="single" w:sz="7" w:space="0" w:color="000000"/>
              <w:right w:val="single" w:sz="7" w:space="0" w:color="000000"/>
            </w:tcBorders>
          </w:tcPr>
          <w:p w14:paraId="042444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600</w:t>
            </w:r>
          </w:p>
          <w:p w14:paraId="7E520F6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480</w:t>
            </w:r>
          </w:p>
          <w:p w14:paraId="2D25432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360</w:t>
            </w:r>
          </w:p>
          <w:p w14:paraId="098ED2B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240</w:t>
            </w:r>
          </w:p>
          <w:p w14:paraId="4736874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120</w:t>
            </w:r>
          </w:p>
        </w:tc>
        <w:tc>
          <w:tcPr>
            <w:tcW w:w="1000" w:type="pct"/>
            <w:tcBorders>
              <w:top w:val="single" w:sz="7" w:space="0" w:color="000000"/>
              <w:left w:val="single" w:sz="7" w:space="0" w:color="000000"/>
              <w:bottom w:val="single" w:sz="7" w:space="0" w:color="000000"/>
              <w:right w:val="single" w:sz="7" w:space="0" w:color="000000"/>
            </w:tcBorders>
          </w:tcPr>
          <w:p w14:paraId="11EF9B1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2000</w:t>
            </w:r>
          </w:p>
          <w:p w14:paraId="301E5A7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178234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792B53F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0E4229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2000</w:t>
            </w:r>
          </w:p>
        </w:tc>
        <w:tc>
          <w:tcPr>
            <w:tcW w:w="1000" w:type="pct"/>
            <w:tcBorders>
              <w:top w:val="single" w:sz="7" w:space="0" w:color="000000"/>
              <w:left w:val="single" w:sz="7" w:space="0" w:color="000000"/>
              <w:bottom w:val="single" w:sz="7" w:space="0" w:color="000000"/>
              <w:right w:val="single" w:sz="7" w:space="0" w:color="000000"/>
            </w:tcBorders>
          </w:tcPr>
          <w:p w14:paraId="1B34EDA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2600</w:t>
            </w:r>
          </w:p>
          <w:p w14:paraId="588D764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2480</w:t>
            </w:r>
          </w:p>
          <w:p w14:paraId="4600845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2360</w:t>
            </w:r>
          </w:p>
          <w:p w14:paraId="1CE2276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2240</w:t>
            </w:r>
          </w:p>
          <w:p w14:paraId="2B0E181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2120</w:t>
            </w:r>
          </w:p>
        </w:tc>
      </w:tr>
      <w:tr w:rsidR="00443399" w:rsidRPr="00B03B51" w14:paraId="04E7BBA9"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00EFC92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Kopā</w:t>
            </w:r>
          </w:p>
        </w:tc>
        <w:tc>
          <w:tcPr>
            <w:tcW w:w="999" w:type="pct"/>
            <w:tcBorders>
              <w:top w:val="single" w:sz="7" w:space="0" w:color="000000"/>
              <w:left w:val="single" w:sz="7" w:space="0" w:color="000000"/>
              <w:bottom w:val="single" w:sz="7" w:space="0" w:color="000000"/>
              <w:right w:val="single" w:sz="7" w:space="0" w:color="000000"/>
            </w:tcBorders>
          </w:tcPr>
          <w:p w14:paraId="0A05B77D"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185CFEB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tc>
        <w:tc>
          <w:tcPr>
            <w:tcW w:w="1000" w:type="pct"/>
            <w:tcBorders>
              <w:top w:val="single" w:sz="7" w:space="0" w:color="000000"/>
              <w:left w:val="single" w:sz="7" w:space="0" w:color="000000"/>
              <w:bottom w:val="single" w:sz="7" w:space="0" w:color="000000"/>
              <w:right w:val="single" w:sz="7" w:space="0" w:color="000000"/>
            </w:tcBorders>
          </w:tcPr>
          <w:p w14:paraId="42A4A2B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410200D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11 800</w:t>
            </w:r>
          </w:p>
        </w:tc>
      </w:tr>
    </w:tbl>
    <w:p w14:paraId="4916FDAA" w14:textId="77777777" w:rsidR="00443399" w:rsidRPr="00B03B51" w:rsidRDefault="00443399" w:rsidP="00443399">
      <w:pPr>
        <w:jc w:val="both"/>
        <w:rPr>
          <w:rFonts w:ascii="Times New Roman" w:eastAsia="Arial" w:hAnsi="Times New Roman" w:cs="Times New Roman"/>
          <w:noProof/>
          <w:sz w:val="24"/>
          <w:szCs w:val="19"/>
        </w:rPr>
      </w:pPr>
    </w:p>
    <w:p w14:paraId="120E303D" w14:textId="77777777" w:rsidR="00443399" w:rsidRPr="00B03B51" w:rsidRDefault="00443399" w:rsidP="00210375">
      <w:pPr>
        <w:tabs>
          <w:tab w:val="left" w:pos="919"/>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w:t>
      </w:r>
    </w:p>
    <w:p w14:paraId="455D4098" w14:textId="77777777" w:rsidR="00443399" w:rsidRPr="00B03B51" w:rsidRDefault="00443399" w:rsidP="00210375">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2633E8A5"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2583D60C"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4DB74122"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0A4A86BA"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681F4B1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139069B4"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27B1005A"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3070DC02"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w:t>
            </w:r>
          </w:p>
          <w:p w14:paraId="74B4F8F0"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w:t>
            </w:r>
          </w:p>
          <w:p w14:paraId="5DBF0293"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3</w:t>
            </w:r>
          </w:p>
          <w:p w14:paraId="03D2B71E"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4</w:t>
            </w:r>
          </w:p>
          <w:p w14:paraId="45C7BB1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1A6115E2"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10 000</w:t>
            </w:r>
          </w:p>
          <w:p w14:paraId="19913F3E"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8226</w:t>
            </w:r>
          </w:p>
          <w:p w14:paraId="7433F394"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6346</w:t>
            </w:r>
          </w:p>
          <w:p w14:paraId="08146E9A"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4353</w:t>
            </w:r>
          </w:p>
          <w:p w14:paraId="12E3CAE9"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2240</w:t>
            </w:r>
          </w:p>
        </w:tc>
        <w:tc>
          <w:tcPr>
            <w:tcW w:w="1001" w:type="pct"/>
            <w:tcBorders>
              <w:top w:val="single" w:sz="7" w:space="0" w:color="000000"/>
              <w:left w:val="single" w:sz="7" w:space="0" w:color="000000"/>
              <w:bottom w:val="single" w:sz="7" w:space="0" w:color="000000"/>
              <w:right w:val="single" w:sz="7" w:space="0" w:color="000000"/>
            </w:tcBorders>
          </w:tcPr>
          <w:p w14:paraId="47EC12A1"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600</w:t>
            </w:r>
          </w:p>
          <w:p w14:paraId="469376FD"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494</w:t>
            </w:r>
          </w:p>
          <w:p w14:paraId="2248B33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381</w:t>
            </w:r>
          </w:p>
          <w:p w14:paraId="5A0FD64A"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261</w:t>
            </w:r>
          </w:p>
          <w:p w14:paraId="2C9CAD2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134</w:t>
            </w:r>
          </w:p>
        </w:tc>
        <w:tc>
          <w:tcPr>
            <w:tcW w:w="1000" w:type="pct"/>
            <w:tcBorders>
              <w:top w:val="single" w:sz="7" w:space="0" w:color="000000"/>
              <w:left w:val="single" w:sz="7" w:space="0" w:color="000000"/>
              <w:bottom w:val="single" w:sz="7" w:space="0" w:color="000000"/>
              <w:right w:val="single" w:sz="7" w:space="0" w:color="000000"/>
            </w:tcBorders>
          </w:tcPr>
          <w:p w14:paraId="11AB6399"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1774</w:t>
            </w:r>
          </w:p>
          <w:p w14:paraId="7718A16C"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1880</w:t>
            </w:r>
          </w:p>
          <w:p w14:paraId="06F598F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1993</w:t>
            </w:r>
          </w:p>
          <w:p w14:paraId="16F9B810"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2113</w:t>
            </w:r>
          </w:p>
          <w:p w14:paraId="0516F51D"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2240</w:t>
            </w:r>
          </w:p>
        </w:tc>
        <w:tc>
          <w:tcPr>
            <w:tcW w:w="1000" w:type="pct"/>
            <w:tcBorders>
              <w:top w:val="single" w:sz="7" w:space="0" w:color="000000"/>
              <w:left w:val="single" w:sz="7" w:space="0" w:color="000000"/>
              <w:bottom w:val="single" w:sz="7" w:space="0" w:color="000000"/>
              <w:right w:val="single" w:sz="7" w:space="0" w:color="000000"/>
            </w:tcBorders>
          </w:tcPr>
          <w:p w14:paraId="5CC60EF5"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2374</w:t>
            </w:r>
          </w:p>
          <w:p w14:paraId="3538BA66"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2374</w:t>
            </w:r>
          </w:p>
          <w:p w14:paraId="5C53BC63"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2374</w:t>
            </w:r>
          </w:p>
          <w:p w14:paraId="136EF9EF"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2374</w:t>
            </w:r>
          </w:p>
          <w:p w14:paraId="237702BE"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2374</w:t>
            </w:r>
          </w:p>
        </w:tc>
      </w:tr>
      <w:tr w:rsidR="00443399" w:rsidRPr="00B03B51" w14:paraId="66D88008"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4C6741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304ABBA7"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3E0DD20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1870</w:t>
            </w:r>
          </w:p>
        </w:tc>
        <w:tc>
          <w:tcPr>
            <w:tcW w:w="1000" w:type="pct"/>
            <w:tcBorders>
              <w:top w:val="single" w:sz="7" w:space="0" w:color="000000"/>
              <w:left w:val="single" w:sz="7" w:space="0" w:color="000000"/>
              <w:bottom w:val="single" w:sz="7" w:space="0" w:color="000000"/>
              <w:right w:val="single" w:sz="7" w:space="0" w:color="000000"/>
            </w:tcBorders>
          </w:tcPr>
          <w:p w14:paraId="33403B8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4237843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11 870</w:t>
            </w:r>
          </w:p>
        </w:tc>
      </w:tr>
    </w:tbl>
    <w:p w14:paraId="1AB4A061" w14:textId="77777777" w:rsidR="00443399" w:rsidRPr="00B03B51" w:rsidRDefault="00443399" w:rsidP="00443399">
      <w:pPr>
        <w:jc w:val="both"/>
        <w:rPr>
          <w:rFonts w:ascii="Times New Roman" w:eastAsia="Arial" w:hAnsi="Times New Roman" w:cs="Times New Roman"/>
          <w:b/>
          <w:bCs/>
          <w:noProof/>
          <w:sz w:val="24"/>
          <w:szCs w:val="14"/>
        </w:rPr>
      </w:pPr>
    </w:p>
    <w:p w14:paraId="1E796B2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Grafika pārskatīšanas skaitlisks piemērs – gadījums B1 – maksājuma termiņš ir pagarināts</w:t>
      </w:r>
    </w:p>
    <w:p w14:paraId="3311713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F30487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Aizdevuma termiņš ir pagarināts, tādējādi atmaksas laiks tagad ir 8 gadi; procentu likme nav mainījusies.</w:t>
      </w:r>
    </w:p>
    <w:p w14:paraId="3A587A4F" w14:textId="77777777" w:rsidR="00443399" w:rsidRPr="00B03B51" w:rsidRDefault="00443399" w:rsidP="00443399">
      <w:pPr>
        <w:tabs>
          <w:tab w:val="left" w:pos="919"/>
        </w:tabs>
        <w:jc w:val="both"/>
        <w:rPr>
          <w:rFonts w:ascii="Times New Roman" w:hAnsi="Times New Roman" w:cs="Times New Roman"/>
          <w:b/>
          <w:noProof/>
          <w:sz w:val="24"/>
        </w:rPr>
      </w:pPr>
    </w:p>
    <w:p w14:paraId="6F58FF50"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1. Aizdevums ar beigu atmaksu</w:t>
      </w:r>
    </w:p>
    <w:p w14:paraId="44479F5E"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7FCA3003" w14:textId="77777777" w:rsidTr="004B0DA3">
        <w:tc>
          <w:tcPr>
            <w:tcW w:w="429" w:type="pct"/>
            <w:tcBorders>
              <w:top w:val="single" w:sz="7" w:space="0" w:color="000000"/>
              <w:left w:val="single" w:sz="7" w:space="0" w:color="000000"/>
              <w:bottom w:val="single" w:sz="7" w:space="0" w:color="000000"/>
              <w:right w:val="single" w:sz="12" w:space="0" w:color="000000"/>
            </w:tcBorders>
          </w:tcPr>
          <w:p w14:paraId="0AB9A40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12" w:space="0" w:color="000000"/>
              <w:bottom w:val="single" w:sz="7" w:space="0" w:color="000000"/>
              <w:right w:val="single" w:sz="7" w:space="0" w:color="000000"/>
            </w:tcBorders>
          </w:tcPr>
          <w:p w14:paraId="0ED57F7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2F87246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6E8BB9F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016AF87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543C6C15" w14:textId="77777777" w:rsidTr="004B0DA3">
        <w:tc>
          <w:tcPr>
            <w:tcW w:w="429" w:type="pct"/>
            <w:tcBorders>
              <w:top w:val="single" w:sz="7" w:space="0" w:color="000000"/>
              <w:left w:val="single" w:sz="7" w:space="0" w:color="000000"/>
              <w:bottom w:val="single" w:sz="7" w:space="0" w:color="000000"/>
              <w:right w:val="single" w:sz="12" w:space="0" w:color="000000"/>
            </w:tcBorders>
          </w:tcPr>
          <w:p w14:paraId="0AA0D3F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56EF4BF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3542424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49F4BD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4D1CD48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6611707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46138A7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76B5161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1284" w:type="pct"/>
            <w:tcBorders>
              <w:top w:val="single" w:sz="7" w:space="0" w:color="000000"/>
              <w:left w:val="single" w:sz="12" w:space="0" w:color="000000"/>
              <w:bottom w:val="single" w:sz="7" w:space="0" w:color="000000"/>
              <w:right w:val="single" w:sz="7" w:space="0" w:color="000000"/>
            </w:tcBorders>
          </w:tcPr>
          <w:p w14:paraId="1C1E003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45FA57B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300370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0F01BB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50737A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793B310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6ED51E4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00F86FE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737" w:type="pct"/>
            <w:tcBorders>
              <w:top w:val="single" w:sz="7" w:space="0" w:color="000000"/>
              <w:left w:val="single" w:sz="7" w:space="0" w:color="000000"/>
              <w:bottom w:val="single" w:sz="7" w:space="0" w:color="000000"/>
              <w:right w:val="single" w:sz="7" w:space="0" w:color="000000"/>
            </w:tcBorders>
          </w:tcPr>
          <w:p w14:paraId="55E8C09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5D32118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64D6C90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1EEABD6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2E6FEFA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174ABD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296608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4A4E5B2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tc>
        <w:tc>
          <w:tcPr>
            <w:tcW w:w="958" w:type="pct"/>
            <w:tcBorders>
              <w:top w:val="single" w:sz="7" w:space="0" w:color="000000"/>
              <w:left w:val="single" w:sz="7" w:space="0" w:color="000000"/>
              <w:bottom w:val="single" w:sz="7" w:space="0" w:color="000000"/>
              <w:right w:val="single" w:sz="7" w:space="0" w:color="000000"/>
            </w:tcBorders>
          </w:tcPr>
          <w:p w14:paraId="3B0B5E2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E28C5F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D3FFB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5AA655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A1F07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5374624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2EA75B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67B2AAF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593" w:type="pct"/>
            <w:tcBorders>
              <w:top w:val="single" w:sz="7" w:space="0" w:color="000000"/>
              <w:left w:val="single" w:sz="7" w:space="0" w:color="000000"/>
              <w:bottom w:val="single" w:sz="7" w:space="0" w:color="000000"/>
              <w:right w:val="single" w:sz="7" w:space="0" w:color="000000"/>
            </w:tcBorders>
          </w:tcPr>
          <w:p w14:paraId="4C56D75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3A903B9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4A4AC3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313D052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0CFBE94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373164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7CF7803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3DFDFF6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10 600</w:t>
            </w:r>
          </w:p>
        </w:tc>
      </w:tr>
      <w:tr w:rsidR="00443399" w:rsidRPr="00B03B51" w14:paraId="24354232" w14:textId="77777777" w:rsidTr="004B0DA3">
        <w:tc>
          <w:tcPr>
            <w:tcW w:w="429" w:type="pct"/>
            <w:tcBorders>
              <w:top w:val="single" w:sz="7" w:space="0" w:color="000000"/>
              <w:left w:val="single" w:sz="7" w:space="0" w:color="000000"/>
              <w:bottom w:val="single" w:sz="7" w:space="0" w:color="000000"/>
              <w:right w:val="single" w:sz="7" w:space="0" w:color="000000"/>
            </w:tcBorders>
          </w:tcPr>
          <w:p w14:paraId="2D0B550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4" w:type="pct"/>
            <w:tcBorders>
              <w:top w:val="single" w:sz="7" w:space="0" w:color="000000"/>
              <w:left w:val="single" w:sz="7" w:space="0" w:color="000000"/>
              <w:bottom w:val="single" w:sz="7" w:space="0" w:color="000000"/>
              <w:right w:val="single" w:sz="7" w:space="0" w:color="000000"/>
            </w:tcBorders>
          </w:tcPr>
          <w:p w14:paraId="26C9702B"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18E0E2D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4800</w:t>
            </w:r>
          </w:p>
        </w:tc>
        <w:tc>
          <w:tcPr>
            <w:tcW w:w="958" w:type="pct"/>
            <w:tcBorders>
              <w:top w:val="single" w:sz="7" w:space="0" w:color="000000"/>
              <w:left w:val="single" w:sz="7" w:space="0" w:color="000000"/>
              <w:bottom w:val="single" w:sz="7" w:space="0" w:color="000000"/>
              <w:right w:val="single" w:sz="7" w:space="0" w:color="000000"/>
            </w:tcBorders>
          </w:tcPr>
          <w:p w14:paraId="0669FA1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10 000</w:t>
            </w:r>
          </w:p>
        </w:tc>
        <w:tc>
          <w:tcPr>
            <w:tcW w:w="1593" w:type="pct"/>
            <w:tcBorders>
              <w:top w:val="single" w:sz="7" w:space="0" w:color="000000"/>
              <w:left w:val="single" w:sz="7" w:space="0" w:color="000000"/>
              <w:bottom w:val="single" w:sz="7" w:space="0" w:color="000000"/>
              <w:right w:val="single" w:sz="7" w:space="0" w:color="000000"/>
            </w:tcBorders>
          </w:tcPr>
          <w:p w14:paraId="2AAC047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14 800</w:t>
            </w:r>
          </w:p>
        </w:tc>
      </w:tr>
    </w:tbl>
    <w:p w14:paraId="2A394BA3" w14:textId="77777777" w:rsidR="00443399" w:rsidRPr="00B03B51" w:rsidRDefault="00443399" w:rsidP="00443399">
      <w:pPr>
        <w:jc w:val="both"/>
        <w:rPr>
          <w:rFonts w:ascii="Times New Roman" w:eastAsia="Arial" w:hAnsi="Times New Roman" w:cs="Times New Roman"/>
          <w:b/>
          <w:bCs/>
          <w:noProof/>
          <w:sz w:val="24"/>
          <w:szCs w:val="5"/>
        </w:rPr>
      </w:pPr>
    </w:p>
    <w:p w14:paraId="73176D06"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w:t>
      </w:r>
    </w:p>
    <w:p w14:paraId="64BE83F3"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6A619107"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7BD8FC6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4E57262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005F650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66B3CC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1ACA9F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3E86528B"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3C05A8A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4024438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4A4017C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17DCA6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06DCFC8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66CF982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450D38A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2744589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999" w:type="pct"/>
            <w:tcBorders>
              <w:top w:val="single" w:sz="7" w:space="0" w:color="000000"/>
              <w:left w:val="single" w:sz="7" w:space="0" w:color="000000"/>
              <w:bottom w:val="single" w:sz="7" w:space="0" w:color="000000"/>
              <w:right w:val="single" w:sz="7" w:space="0" w:color="000000"/>
            </w:tcBorders>
          </w:tcPr>
          <w:p w14:paraId="040813A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44E6528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8750</w:t>
            </w:r>
          </w:p>
          <w:p w14:paraId="52F981C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p w14:paraId="48F47C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6250</w:t>
            </w:r>
          </w:p>
          <w:p w14:paraId="665DA4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5000</w:t>
            </w:r>
          </w:p>
          <w:p w14:paraId="31813ED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3750</w:t>
            </w:r>
          </w:p>
          <w:p w14:paraId="4654276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2500</w:t>
            </w:r>
          </w:p>
          <w:p w14:paraId="257872D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tc>
        <w:tc>
          <w:tcPr>
            <w:tcW w:w="1001" w:type="pct"/>
            <w:tcBorders>
              <w:top w:val="single" w:sz="7" w:space="0" w:color="000000"/>
              <w:left w:val="single" w:sz="7" w:space="0" w:color="000000"/>
              <w:bottom w:val="single" w:sz="7" w:space="0" w:color="000000"/>
              <w:right w:val="single" w:sz="7" w:space="0" w:color="000000"/>
            </w:tcBorders>
          </w:tcPr>
          <w:p w14:paraId="18DA3C1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0740B2C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525</w:t>
            </w:r>
          </w:p>
          <w:p w14:paraId="58171D0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450</w:t>
            </w:r>
          </w:p>
          <w:p w14:paraId="09C1CA9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375</w:t>
            </w:r>
          </w:p>
          <w:p w14:paraId="6A8516E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0ECBBFC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225</w:t>
            </w:r>
          </w:p>
          <w:p w14:paraId="39883F4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w:t>
            </w:r>
          </w:p>
          <w:p w14:paraId="3AF083C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w:t>
            </w:r>
          </w:p>
        </w:tc>
        <w:tc>
          <w:tcPr>
            <w:tcW w:w="1000" w:type="pct"/>
            <w:tcBorders>
              <w:top w:val="single" w:sz="7" w:space="0" w:color="000000"/>
              <w:left w:val="single" w:sz="7" w:space="0" w:color="000000"/>
              <w:bottom w:val="single" w:sz="7" w:space="0" w:color="000000"/>
              <w:right w:val="single" w:sz="7" w:space="0" w:color="000000"/>
            </w:tcBorders>
          </w:tcPr>
          <w:p w14:paraId="37FC1B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5DC604C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10B29DD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2F5EF1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6850F6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04FE208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2431E5A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p w14:paraId="2943397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1250</w:t>
            </w:r>
          </w:p>
        </w:tc>
        <w:tc>
          <w:tcPr>
            <w:tcW w:w="1000" w:type="pct"/>
            <w:tcBorders>
              <w:top w:val="single" w:sz="7" w:space="0" w:color="000000"/>
              <w:left w:val="single" w:sz="7" w:space="0" w:color="000000"/>
              <w:bottom w:val="single" w:sz="7" w:space="0" w:color="000000"/>
              <w:right w:val="single" w:sz="7" w:space="0" w:color="000000"/>
            </w:tcBorders>
          </w:tcPr>
          <w:p w14:paraId="13014EB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1850</w:t>
            </w:r>
          </w:p>
          <w:p w14:paraId="3436C32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1775</w:t>
            </w:r>
          </w:p>
          <w:p w14:paraId="33E9EA9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1700</w:t>
            </w:r>
          </w:p>
          <w:p w14:paraId="2FD87B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1625</w:t>
            </w:r>
          </w:p>
          <w:p w14:paraId="1EF4271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1550</w:t>
            </w:r>
          </w:p>
          <w:p w14:paraId="178C60A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1475</w:t>
            </w:r>
          </w:p>
          <w:p w14:paraId="7F6451C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1400</w:t>
            </w:r>
          </w:p>
          <w:p w14:paraId="46A18C0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1325</w:t>
            </w:r>
          </w:p>
        </w:tc>
      </w:tr>
      <w:tr w:rsidR="00443399" w:rsidRPr="00B03B51" w14:paraId="11B0CD25"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4219827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Kopā</w:t>
            </w:r>
          </w:p>
        </w:tc>
        <w:tc>
          <w:tcPr>
            <w:tcW w:w="999" w:type="pct"/>
            <w:tcBorders>
              <w:top w:val="single" w:sz="7" w:space="0" w:color="000000"/>
              <w:left w:val="single" w:sz="7" w:space="0" w:color="000000"/>
              <w:bottom w:val="single" w:sz="7" w:space="0" w:color="000000"/>
              <w:right w:val="single" w:sz="7" w:space="0" w:color="000000"/>
            </w:tcBorders>
          </w:tcPr>
          <w:p w14:paraId="67AE5B74"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26F75DA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2700</w:t>
            </w:r>
          </w:p>
        </w:tc>
        <w:tc>
          <w:tcPr>
            <w:tcW w:w="1000" w:type="pct"/>
            <w:tcBorders>
              <w:top w:val="single" w:sz="7" w:space="0" w:color="000000"/>
              <w:left w:val="single" w:sz="7" w:space="0" w:color="000000"/>
              <w:bottom w:val="single" w:sz="7" w:space="0" w:color="000000"/>
              <w:right w:val="single" w:sz="7" w:space="0" w:color="000000"/>
            </w:tcBorders>
          </w:tcPr>
          <w:p w14:paraId="7AD010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1B1BB9B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12 700</w:t>
            </w:r>
          </w:p>
        </w:tc>
      </w:tr>
    </w:tbl>
    <w:p w14:paraId="46BABD3D" w14:textId="77777777" w:rsidR="00443399" w:rsidRPr="00B03B51" w:rsidRDefault="00443399" w:rsidP="00443399">
      <w:pPr>
        <w:jc w:val="both"/>
        <w:rPr>
          <w:rFonts w:ascii="Times New Roman" w:eastAsia="Arial" w:hAnsi="Times New Roman" w:cs="Times New Roman"/>
          <w:b/>
          <w:bCs/>
          <w:noProof/>
          <w:sz w:val="24"/>
          <w:szCs w:val="5"/>
        </w:rPr>
      </w:pPr>
    </w:p>
    <w:p w14:paraId="04FA9ADD" w14:textId="77777777" w:rsidR="00443399" w:rsidRPr="00B03B51" w:rsidRDefault="00443399" w:rsidP="00210375">
      <w:pPr>
        <w:tabs>
          <w:tab w:val="left" w:pos="919"/>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w:t>
      </w:r>
    </w:p>
    <w:p w14:paraId="1D13D1A0" w14:textId="77777777" w:rsidR="00443399" w:rsidRPr="00B03B51" w:rsidRDefault="00443399" w:rsidP="00210375">
      <w:pPr>
        <w:tabs>
          <w:tab w:val="left" w:pos="919"/>
        </w:tabs>
        <w:jc w:val="both"/>
        <w:rPr>
          <w:rFonts w:ascii="Times New Roman" w:hAnsi="Times New Roman" w:cs="Times New Roman"/>
          <w:b/>
          <w:noProof/>
          <w:sz w:val="24"/>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1C1D72DE" w14:textId="77777777" w:rsidTr="004B0DA3">
        <w:trPr>
          <w:jc w:val="center"/>
        </w:trPr>
        <w:tc>
          <w:tcPr>
            <w:tcW w:w="429" w:type="pct"/>
            <w:tcBorders>
              <w:top w:val="single" w:sz="7" w:space="0" w:color="000000"/>
              <w:left w:val="single" w:sz="7" w:space="0" w:color="000000"/>
              <w:bottom w:val="single" w:sz="7" w:space="0" w:color="000000"/>
              <w:right w:val="single" w:sz="7" w:space="0" w:color="000000"/>
            </w:tcBorders>
          </w:tcPr>
          <w:p w14:paraId="1C5DA997"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503FBDC0"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385F5BEC"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3D563929"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2FDBBE3A" w14:textId="77777777" w:rsidR="00443399" w:rsidRPr="00B03B51" w:rsidRDefault="00443399" w:rsidP="0054365B">
            <w:pPr>
              <w:pStyle w:val="TableParagraph"/>
              <w:keepNext/>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752DAC2E" w14:textId="77777777" w:rsidTr="004B0DA3">
        <w:trPr>
          <w:jc w:val="center"/>
        </w:trPr>
        <w:tc>
          <w:tcPr>
            <w:tcW w:w="429" w:type="pct"/>
            <w:tcBorders>
              <w:top w:val="single" w:sz="7" w:space="0" w:color="000000"/>
              <w:left w:val="single" w:sz="7" w:space="0" w:color="000000"/>
              <w:bottom w:val="single" w:sz="7" w:space="0" w:color="000000"/>
              <w:right w:val="single" w:sz="7" w:space="0" w:color="000000"/>
            </w:tcBorders>
          </w:tcPr>
          <w:p w14:paraId="30CC602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2B927A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2D7876D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017400F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5A556B3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19FF811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7A0724D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7F1C563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1284" w:type="pct"/>
            <w:tcBorders>
              <w:top w:val="single" w:sz="7" w:space="0" w:color="000000"/>
              <w:left w:val="single" w:sz="7" w:space="0" w:color="000000"/>
              <w:bottom w:val="single" w:sz="7" w:space="0" w:color="000000"/>
              <w:right w:val="single" w:sz="7" w:space="0" w:color="000000"/>
            </w:tcBorders>
          </w:tcPr>
          <w:p w14:paraId="7D256D2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1FD948E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8990</w:t>
            </w:r>
          </w:p>
          <w:p w14:paraId="6DCEE11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7919</w:t>
            </w:r>
          </w:p>
          <w:p w14:paraId="349E366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6783</w:t>
            </w:r>
          </w:p>
          <w:p w14:paraId="3498E70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5580</w:t>
            </w:r>
          </w:p>
          <w:p w14:paraId="68E2DAF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4305</w:t>
            </w:r>
          </w:p>
          <w:p w14:paraId="61F637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2952</w:t>
            </w:r>
          </w:p>
          <w:p w14:paraId="3DC0DA6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1519</w:t>
            </w:r>
          </w:p>
        </w:tc>
        <w:tc>
          <w:tcPr>
            <w:tcW w:w="737" w:type="pct"/>
            <w:tcBorders>
              <w:top w:val="single" w:sz="7" w:space="0" w:color="000000"/>
              <w:left w:val="single" w:sz="7" w:space="0" w:color="000000"/>
              <w:bottom w:val="single" w:sz="7" w:space="0" w:color="000000"/>
              <w:right w:val="single" w:sz="7" w:space="0" w:color="000000"/>
            </w:tcBorders>
          </w:tcPr>
          <w:p w14:paraId="2A8877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5061B11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539</w:t>
            </w:r>
          </w:p>
          <w:p w14:paraId="4ED32D7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475</w:t>
            </w:r>
          </w:p>
          <w:p w14:paraId="16835E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407</w:t>
            </w:r>
          </w:p>
          <w:p w14:paraId="48D8F05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335</w:t>
            </w:r>
          </w:p>
          <w:p w14:paraId="4589C60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258</w:t>
            </w:r>
          </w:p>
          <w:p w14:paraId="517DB9E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177</w:t>
            </w:r>
          </w:p>
          <w:p w14:paraId="5F51ACD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91</w:t>
            </w:r>
          </w:p>
        </w:tc>
        <w:tc>
          <w:tcPr>
            <w:tcW w:w="958" w:type="pct"/>
            <w:tcBorders>
              <w:top w:val="single" w:sz="7" w:space="0" w:color="000000"/>
              <w:left w:val="single" w:sz="7" w:space="0" w:color="000000"/>
              <w:bottom w:val="single" w:sz="7" w:space="0" w:color="000000"/>
              <w:right w:val="single" w:sz="7" w:space="0" w:color="000000"/>
            </w:tcBorders>
          </w:tcPr>
          <w:p w14:paraId="5B60400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1010</w:t>
            </w:r>
          </w:p>
          <w:p w14:paraId="1684D51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1071</w:t>
            </w:r>
          </w:p>
          <w:p w14:paraId="00EF7B9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1135</w:t>
            </w:r>
          </w:p>
          <w:p w14:paraId="7E653E7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1203</w:t>
            </w:r>
          </w:p>
          <w:p w14:paraId="0D199F8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1276</w:t>
            </w:r>
          </w:p>
          <w:p w14:paraId="2B0952F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1352</w:t>
            </w:r>
          </w:p>
          <w:p w14:paraId="1FC0703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1433</w:t>
            </w:r>
          </w:p>
          <w:p w14:paraId="349D1D4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1519</w:t>
            </w:r>
          </w:p>
        </w:tc>
        <w:tc>
          <w:tcPr>
            <w:tcW w:w="1593" w:type="pct"/>
            <w:tcBorders>
              <w:top w:val="single" w:sz="7" w:space="0" w:color="000000"/>
              <w:left w:val="single" w:sz="7" w:space="0" w:color="000000"/>
              <w:bottom w:val="single" w:sz="7" w:space="0" w:color="000000"/>
              <w:right w:val="single" w:sz="7" w:space="0" w:color="000000"/>
            </w:tcBorders>
          </w:tcPr>
          <w:p w14:paraId="0A793B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67E50B9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58FB25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35CF2B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67BD535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6533CC3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0F2DFAA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p w14:paraId="71F593A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1610</w:t>
            </w:r>
          </w:p>
        </w:tc>
      </w:tr>
      <w:tr w:rsidR="00443399" w:rsidRPr="00B03B51" w14:paraId="53F69AE5" w14:textId="77777777" w:rsidTr="004B0DA3">
        <w:trPr>
          <w:jc w:val="center"/>
        </w:trPr>
        <w:tc>
          <w:tcPr>
            <w:tcW w:w="429" w:type="pct"/>
            <w:tcBorders>
              <w:top w:val="single" w:sz="7" w:space="0" w:color="000000"/>
              <w:left w:val="single" w:sz="7" w:space="0" w:color="000000"/>
              <w:bottom w:val="single" w:sz="7" w:space="0" w:color="000000"/>
              <w:right w:val="single" w:sz="7" w:space="0" w:color="000000"/>
            </w:tcBorders>
          </w:tcPr>
          <w:p w14:paraId="7433442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4" w:type="pct"/>
            <w:tcBorders>
              <w:top w:val="single" w:sz="7" w:space="0" w:color="000000"/>
              <w:left w:val="single" w:sz="7" w:space="0" w:color="000000"/>
              <w:bottom w:val="single" w:sz="7" w:space="0" w:color="000000"/>
              <w:right w:val="single" w:sz="7" w:space="0" w:color="000000"/>
            </w:tcBorders>
          </w:tcPr>
          <w:p w14:paraId="6DC9F46A"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77B2708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2883</w:t>
            </w:r>
          </w:p>
        </w:tc>
        <w:tc>
          <w:tcPr>
            <w:tcW w:w="958" w:type="pct"/>
            <w:tcBorders>
              <w:top w:val="single" w:sz="7" w:space="0" w:color="000000"/>
              <w:left w:val="single" w:sz="7" w:space="0" w:color="000000"/>
              <w:bottom w:val="single" w:sz="7" w:space="0" w:color="000000"/>
              <w:right w:val="single" w:sz="7" w:space="0" w:color="000000"/>
            </w:tcBorders>
          </w:tcPr>
          <w:p w14:paraId="1393EC2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593" w:type="pct"/>
            <w:tcBorders>
              <w:top w:val="single" w:sz="7" w:space="0" w:color="000000"/>
              <w:left w:val="single" w:sz="7" w:space="0" w:color="000000"/>
              <w:bottom w:val="single" w:sz="7" w:space="0" w:color="000000"/>
              <w:right w:val="single" w:sz="7" w:space="0" w:color="000000"/>
            </w:tcBorders>
          </w:tcPr>
          <w:p w14:paraId="2CD7201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12 883</w:t>
            </w:r>
          </w:p>
        </w:tc>
      </w:tr>
    </w:tbl>
    <w:p w14:paraId="36A13828" w14:textId="77777777" w:rsidR="00443399" w:rsidRPr="00B03B51" w:rsidRDefault="00443399" w:rsidP="00443399">
      <w:pPr>
        <w:jc w:val="both"/>
        <w:rPr>
          <w:rFonts w:ascii="Times New Roman" w:eastAsia="Arial" w:hAnsi="Times New Roman" w:cs="Times New Roman"/>
          <w:noProof/>
          <w:sz w:val="24"/>
          <w:szCs w:val="19"/>
        </w:rPr>
      </w:pPr>
    </w:p>
    <w:p w14:paraId="61F41EC3"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Gadījums B2 – procentu likmes maiņa</w:t>
      </w:r>
    </w:p>
    <w:p w14:paraId="6D4CFC9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D82762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Aizdevuma procentu likme ir samazināta no 6 % uz 4 %.</w:t>
      </w:r>
    </w:p>
    <w:p w14:paraId="50FBC5F4" w14:textId="77777777" w:rsidR="00443399" w:rsidRPr="00B03B51" w:rsidRDefault="00443399" w:rsidP="00443399">
      <w:pPr>
        <w:tabs>
          <w:tab w:val="left" w:pos="919"/>
        </w:tabs>
        <w:jc w:val="both"/>
        <w:rPr>
          <w:rFonts w:ascii="Times New Roman" w:hAnsi="Times New Roman" w:cs="Times New Roman"/>
          <w:b/>
          <w:noProof/>
          <w:sz w:val="24"/>
        </w:rPr>
      </w:pPr>
    </w:p>
    <w:p w14:paraId="65E61148"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1. Aizdevums ar beigu atmaksu</w:t>
      </w:r>
    </w:p>
    <w:p w14:paraId="4631E9B9"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71BA541E"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03E02DA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4A43680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16F9EB7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0CCC27A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0F19F43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394590C7"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1439EBF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0D1D963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43191DD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3599A03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61A4F8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10D6D8B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1D450B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7CE53B9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012CA21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2853451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001" w:type="pct"/>
            <w:tcBorders>
              <w:top w:val="single" w:sz="7" w:space="0" w:color="000000"/>
              <w:left w:val="single" w:sz="7" w:space="0" w:color="000000"/>
              <w:bottom w:val="single" w:sz="7" w:space="0" w:color="000000"/>
              <w:right w:val="single" w:sz="7" w:space="0" w:color="000000"/>
            </w:tcBorders>
          </w:tcPr>
          <w:p w14:paraId="1D8D688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54F0EA9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39645A4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59E7B5B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29335DF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tc>
        <w:tc>
          <w:tcPr>
            <w:tcW w:w="1000" w:type="pct"/>
            <w:tcBorders>
              <w:top w:val="single" w:sz="7" w:space="0" w:color="000000"/>
              <w:left w:val="single" w:sz="7" w:space="0" w:color="000000"/>
              <w:bottom w:val="single" w:sz="7" w:space="0" w:color="000000"/>
              <w:right w:val="single" w:sz="7" w:space="0" w:color="000000"/>
            </w:tcBorders>
          </w:tcPr>
          <w:p w14:paraId="32A790F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6170FFD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47149A9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C7BCD3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47C13C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170F11F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3830AFF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3EDC111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1B878DB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3A53BB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10 400</w:t>
            </w:r>
          </w:p>
        </w:tc>
      </w:tr>
      <w:tr w:rsidR="00443399" w:rsidRPr="00B03B51" w14:paraId="78F9DE5E"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3CCFFC4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120E35C5"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4631715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tc>
        <w:tc>
          <w:tcPr>
            <w:tcW w:w="1000" w:type="pct"/>
            <w:tcBorders>
              <w:top w:val="single" w:sz="7" w:space="0" w:color="000000"/>
              <w:left w:val="single" w:sz="7" w:space="0" w:color="000000"/>
              <w:bottom w:val="single" w:sz="7" w:space="0" w:color="000000"/>
              <w:right w:val="single" w:sz="7" w:space="0" w:color="000000"/>
            </w:tcBorders>
          </w:tcPr>
          <w:p w14:paraId="71D658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4714833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12 000</w:t>
            </w:r>
          </w:p>
        </w:tc>
      </w:tr>
    </w:tbl>
    <w:p w14:paraId="24D4A7BF" w14:textId="77777777" w:rsidR="00443399" w:rsidRPr="00B03B51" w:rsidRDefault="00443399" w:rsidP="00443399">
      <w:pPr>
        <w:jc w:val="both"/>
        <w:rPr>
          <w:rFonts w:ascii="Times New Roman" w:eastAsia="Arial" w:hAnsi="Times New Roman" w:cs="Times New Roman"/>
          <w:b/>
          <w:bCs/>
          <w:noProof/>
          <w:sz w:val="24"/>
          <w:szCs w:val="25"/>
        </w:rPr>
      </w:pPr>
    </w:p>
    <w:p w14:paraId="0D341DEF"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w:t>
      </w:r>
    </w:p>
    <w:p w14:paraId="236D219C"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4C404EB3" w14:textId="77777777" w:rsidTr="004B0DA3">
        <w:tc>
          <w:tcPr>
            <w:tcW w:w="429" w:type="pct"/>
            <w:tcBorders>
              <w:top w:val="single" w:sz="7" w:space="0" w:color="000000"/>
              <w:left w:val="single" w:sz="7" w:space="0" w:color="000000"/>
              <w:bottom w:val="single" w:sz="7" w:space="0" w:color="000000"/>
              <w:right w:val="single" w:sz="7" w:space="0" w:color="000000"/>
            </w:tcBorders>
          </w:tcPr>
          <w:p w14:paraId="2CAF119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5342EFB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49F28D0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791A22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7AACA4E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7C1B1827" w14:textId="77777777" w:rsidTr="004B0DA3">
        <w:tc>
          <w:tcPr>
            <w:tcW w:w="429" w:type="pct"/>
            <w:tcBorders>
              <w:top w:val="single" w:sz="7" w:space="0" w:color="000000"/>
              <w:left w:val="single" w:sz="7" w:space="0" w:color="000000"/>
              <w:bottom w:val="single" w:sz="7" w:space="0" w:color="000000"/>
              <w:right w:val="single" w:sz="7" w:space="0" w:color="000000"/>
            </w:tcBorders>
          </w:tcPr>
          <w:p w14:paraId="5A17F5D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643EA6D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5292BA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61FE36A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708395B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1284" w:type="pct"/>
            <w:tcBorders>
              <w:top w:val="single" w:sz="7" w:space="0" w:color="000000"/>
              <w:left w:val="single" w:sz="7" w:space="0" w:color="000000"/>
              <w:bottom w:val="single" w:sz="7" w:space="0" w:color="000000"/>
              <w:right w:val="single" w:sz="7" w:space="0" w:color="000000"/>
            </w:tcBorders>
          </w:tcPr>
          <w:p w14:paraId="03142AD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37BB150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8000</w:t>
            </w:r>
          </w:p>
          <w:p w14:paraId="1F23630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6000</w:t>
            </w:r>
          </w:p>
          <w:p w14:paraId="2B99C83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4000</w:t>
            </w:r>
          </w:p>
          <w:p w14:paraId="45A308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tc>
        <w:tc>
          <w:tcPr>
            <w:tcW w:w="737" w:type="pct"/>
            <w:tcBorders>
              <w:top w:val="single" w:sz="7" w:space="0" w:color="000000"/>
              <w:left w:val="single" w:sz="7" w:space="0" w:color="000000"/>
              <w:bottom w:val="single" w:sz="7" w:space="0" w:color="000000"/>
              <w:right w:val="single" w:sz="7" w:space="0" w:color="000000"/>
            </w:tcBorders>
          </w:tcPr>
          <w:p w14:paraId="1A8FAF4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1543407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320</w:t>
            </w:r>
          </w:p>
          <w:p w14:paraId="500D8FC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240</w:t>
            </w:r>
          </w:p>
          <w:p w14:paraId="335221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w:t>
            </w:r>
          </w:p>
          <w:p w14:paraId="70E7CB7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w:t>
            </w:r>
          </w:p>
        </w:tc>
        <w:tc>
          <w:tcPr>
            <w:tcW w:w="958" w:type="pct"/>
            <w:tcBorders>
              <w:top w:val="single" w:sz="7" w:space="0" w:color="000000"/>
              <w:left w:val="single" w:sz="7" w:space="0" w:color="000000"/>
              <w:bottom w:val="single" w:sz="7" w:space="0" w:color="000000"/>
              <w:right w:val="single" w:sz="7" w:space="0" w:color="000000"/>
            </w:tcBorders>
          </w:tcPr>
          <w:p w14:paraId="0775F9E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540048F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29FBFAD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42D376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p w14:paraId="456A902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2000</w:t>
            </w:r>
          </w:p>
        </w:tc>
        <w:tc>
          <w:tcPr>
            <w:tcW w:w="1593" w:type="pct"/>
            <w:tcBorders>
              <w:top w:val="single" w:sz="7" w:space="0" w:color="000000"/>
              <w:left w:val="single" w:sz="7" w:space="0" w:color="000000"/>
              <w:bottom w:val="single" w:sz="7" w:space="0" w:color="000000"/>
              <w:right w:val="single" w:sz="7" w:space="0" w:color="000000"/>
            </w:tcBorders>
          </w:tcPr>
          <w:p w14:paraId="24289A7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2400</w:t>
            </w:r>
          </w:p>
          <w:p w14:paraId="44BA4B2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2320</w:t>
            </w:r>
          </w:p>
          <w:p w14:paraId="39E0F58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2240</w:t>
            </w:r>
          </w:p>
          <w:p w14:paraId="0638DD6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2160</w:t>
            </w:r>
          </w:p>
          <w:p w14:paraId="4E93186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2080</w:t>
            </w:r>
          </w:p>
        </w:tc>
      </w:tr>
      <w:tr w:rsidR="00443399" w:rsidRPr="00B03B51" w14:paraId="18547E8C" w14:textId="77777777" w:rsidTr="004B0DA3">
        <w:tc>
          <w:tcPr>
            <w:tcW w:w="429" w:type="pct"/>
            <w:tcBorders>
              <w:top w:val="single" w:sz="7" w:space="0" w:color="000000"/>
              <w:left w:val="single" w:sz="7" w:space="0" w:color="000000"/>
              <w:bottom w:val="single" w:sz="7" w:space="0" w:color="000000"/>
              <w:right w:val="single" w:sz="7" w:space="0" w:color="000000"/>
            </w:tcBorders>
          </w:tcPr>
          <w:p w14:paraId="367A84F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4" w:type="pct"/>
            <w:tcBorders>
              <w:top w:val="single" w:sz="7" w:space="0" w:color="000000"/>
              <w:left w:val="single" w:sz="7" w:space="0" w:color="000000"/>
              <w:bottom w:val="single" w:sz="7" w:space="0" w:color="000000"/>
              <w:right w:val="single" w:sz="7" w:space="0" w:color="000000"/>
            </w:tcBorders>
          </w:tcPr>
          <w:p w14:paraId="154C71EB"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30BB0A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1200</w:t>
            </w:r>
          </w:p>
        </w:tc>
        <w:tc>
          <w:tcPr>
            <w:tcW w:w="958" w:type="pct"/>
            <w:tcBorders>
              <w:top w:val="single" w:sz="7" w:space="0" w:color="000000"/>
              <w:left w:val="single" w:sz="7" w:space="0" w:color="000000"/>
              <w:bottom w:val="single" w:sz="7" w:space="0" w:color="000000"/>
              <w:right w:val="single" w:sz="7" w:space="0" w:color="000000"/>
            </w:tcBorders>
          </w:tcPr>
          <w:p w14:paraId="12A0108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10 000</w:t>
            </w:r>
          </w:p>
        </w:tc>
        <w:tc>
          <w:tcPr>
            <w:tcW w:w="1593" w:type="pct"/>
            <w:tcBorders>
              <w:top w:val="single" w:sz="7" w:space="0" w:color="000000"/>
              <w:left w:val="single" w:sz="7" w:space="0" w:color="000000"/>
              <w:bottom w:val="single" w:sz="7" w:space="0" w:color="000000"/>
              <w:right w:val="single" w:sz="7" w:space="0" w:color="000000"/>
            </w:tcBorders>
          </w:tcPr>
          <w:p w14:paraId="21A6D56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noProof/>
                <w:sz w:val="24"/>
              </w:rPr>
              <w:t>11 200</w:t>
            </w:r>
          </w:p>
        </w:tc>
      </w:tr>
    </w:tbl>
    <w:p w14:paraId="7C877CF3" w14:textId="77777777" w:rsidR="00443399" w:rsidRPr="00B03B51" w:rsidRDefault="00443399" w:rsidP="00443399">
      <w:pPr>
        <w:jc w:val="both"/>
        <w:rPr>
          <w:rFonts w:ascii="Times New Roman" w:eastAsia="Arial" w:hAnsi="Times New Roman" w:cs="Times New Roman"/>
          <w:b/>
          <w:bCs/>
          <w:noProof/>
          <w:sz w:val="24"/>
          <w:szCs w:val="25"/>
        </w:rPr>
      </w:pPr>
    </w:p>
    <w:p w14:paraId="74D16A0A" w14:textId="77777777" w:rsidR="00443399" w:rsidRPr="00B03B51" w:rsidRDefault="00443399" w:rsidP="00210375">
      <w:pPr>
        <w:keepNext/>
        <w:tabs>
          <w:tab w:val="left" w:pos="919"/>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w:t>
      </w:r>
    </w:p>
    <w:p w14:paraId="20DDF3E7" w14:textId="77777777" w:rsidR="00443399" w:rsidRPr="00B03B51" w:rsidRDefault="00443399" w:rsidP="00210375">
      <w:pPr>
        <w:keepNext/>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08C6349A"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7DE2988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7902EC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002898F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3080BE0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5607EAC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 xml:space="preserve">Gada maksa (kopējais gada </w:t>
            </w:r>
            <w:r w:rsidRPr="00B03B51">
              <w:rPr>
                <w:rFonts w:ascii="Times New Roman" w:hAnsi="Times New Roman" w:cs="Times New Roman"/>
                <w:sz w:val="24"/>
              </w:rPr>
              <w:lastRenderedPageBreak/>
              <w:t>maksājums)</w:t>
            </w:r>
          </w:p>
        </w:tc>
      </w:tr>
      <w:tr w:rsidR="00443399" w:rsidRPr="00B03B51" w14:paraId="3D2C2217"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36DCB1C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w:t>
            </w:r>
          </w:p>
          <w:p w14:paraId="4B9D74E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729B096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40C395F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2A5C385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2EE90EE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3DEDBCD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8154</w:t>
            </w:r>
          </w:p>
          <w:p w14:paraId="64714BE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6234</w:t>
            </w:r>
          </w:p>
          <w:p w14:paraId="697AD78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4237</w:t>
            </w:r>
          </w:p>
          <w:p w14:paraId="28AB4FB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2160</w:t>
            </w:r>
          </w:p>
        </w:tc>
        <w:tc>
          <w:tcPr>
            <w:tcW w:w="1001" w:type="pct"/>
            <w:tcBorders>
              <w:top w:val="single" w:sz="7" w:space="0" w:color="000000"/>
              <w:left w:val="single" w:sz="7" w:space="0" w:color="000000"/>
              <w:bottom w:val="single" w:sz="7" w:space="0" w:color="000000"/>
              <w:right w:val="single" w:sz="7" w:space="0" w:color="000000"/>
            </w:tcBorders>
          </w:tcPr>
          <w:p w14:paraId="4F1E6B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400</w:t>
            </w:r>
          </w:p>
          <w:p w14:paraId="5D1ACAD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326</w:t>
            </w:r>
          </w:p>
          <w:p w14:paraId="67E4E1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249</w:t>
            </w:r>
          </w:p>
          <w:p w14:paraId="529FE00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169</w:t>
            </w:r>
          </w:p>
          <w:p w14:paraId="5A62547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86</w:t>
            </w:r>
          </w:p>
        </w:tc>
        <w:tc>
          <w:tcPr>
            <w:tcW w:w="1000" w:type="pct"/>
            <w:tcBorders>
              <w:top w:val="single" w:sz="7" w:space="0" w:color="000000"/>
              <w:left w:val="single" w:sz="7" w:space="0" w:color="000000"/>
              <w:bottom w:val="single" w:sz="7" w:space="0" w:color="000000"/>
              <w:right w:val="single" w:sz="7" w:space="0" w:color="000000"/>
            </w:tcBorders>
          </w:tcPr>
          <w:p w14:paraId="094F56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1846</w:t>
            </w:r>
          </w:p>
          <w:p w14:paraId="43C7ED4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1920</w:t>
            </w:r>
          </w:p>
          <w:p w14:paraId="67E611A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1997</w:t>
            </w:r>
          </w:p>
          <w:p w14:paraId="003F5C1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2077</w:t>
            </w:r>
          </w:p>
          <w:p w14:paraId="19BC382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2160</w:t>
            </w:r>
          </w:p>
        </w:tc>
        <w:tc>
          <w:tcPr>
            <w:tcW w:w="1000" w:type="pct"/>
            <w:tcBorders>
              <w:top w:val="single" w:sz="7" w:space="0" w:color="000000"/>
              <w:left w:val="single" w:sz="7" w:space="0" w:color="000000"/>
              <w:bottom w:val="single" w:sz="7" w:space="0" w:color="000000"/>
              <w:right w:val="single" w:sz="7" w:space="0" w:color="000000"/>
            </w:tcBorders>
          </w:tcPr>
          <w:p w14:paraId="64C2A4D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2246</w:t>
            </w:r>
          </w:p>
          <w:p w14:paraId="1A3B3D5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2246</w:t>
            </w:r>
          </w:p>
          <w:p w14:paraId="6DADA94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2246</w:t>
            </w:r>
          </w:p>
          <w:p w14:paraId="3A4394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2246</w:t>
            </w:r>
          </w:p>
          <w:p w14:paraId="4DA1399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2246</w:t>
            </w:r>
          </w:p>
        </w:tc>
      </w:tr>
      <w:tr w:rsidR="00443399" w:rsidRPr="00B03B51" w14:paraId="327D844C"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61248E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528D85ED"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1A57BA0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1231</w:t>
            </w:r>
          </w:p>
        </w:tc>
        <w:tc>
          <w:tcPr>
            <w:tcW w:w="1000" w:type="pct"/>
            <w:tcBorders>
              <w:top w:val="single" w:sz="7" w:space="0" w:color="000000"/>
              <w:left w:val="single" w:sz="7" w:space="0" w:color="000000"/>
              <w:bottom w:val="single" w:sz="7" w:space="0" w:color="000000"/>
              <w:right w:val="single" w:sz="7" w:space="0" w:color="000000"/>
            </w:tcBorders>
          </w:tcPr>
          <w:p w14:paraId="32886BB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tc>
        <w:tc>
          <w:tcPr>
            <w:tcW w:w="1000" w:type="pct"/>
            <w:tcBorders>
              <w:top w:val="single" w:sz="7" w:space="0" w:color="000000"/>
              <w:left w:val="single" w:sz="7" w:space="0" w:color="000000"/>
              <w:bottom w:val="single" w:sz="7" w:space="0" w:color="000000"/>
              <w:right w:val="single" w:sz="7" w:space="0" w:color="000000"/>
            </w:tcBorders>
          </w:tcPr>
          <w:p w14:paraId="36994F2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11 231</w:t>
            </w:r>
          </w:p>
        </w:tc>
      </w:tr>
    </w:tbl>
    <w:p w14:paraId="14493340" w14:textId="77777777" w:rsidR="00443399" w:rsidRPr="00B03B51" w:rsidRDefault="00443399" w:rsidP="00443399">
      <w:pPr>
        <w:jc w:val="both"/>
        <w:rPr>
          <w:rFonts w:ascii="Times New Roman" w:eastAsia="Arial" w:hAnsi="Times New Roman" w:cs="Times New Roman"/>
          <w:b/>
          <w:bCs/>
          <w:noProof/>
          <w:sz w:val="24"/>
          <w:szCs w:val="24"/>
        </w:rPr>
      </w:pPr>
    </w:p>
    <w:p w14:paraId="573FD758"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Gadījums B3 – atvieglojumu periods</w:t>
      </w:r>
    </w:p>
    <w:p w14:paraId="4735348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F2D8FB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Attiecībā uz pamatsummu tiek panākta vienošanās par trīs gadu termiņa pagarinājumu (procenti tiek pārvērsti kapitālā).</w:t>
      </w:r>
    </w:p>
    <w:p w14:paraId="71EF2370" w14:textId="77777777" w:rsidR="00443399" w:rsidRPr="00B03B51" w:rsidRDefault="00443399" w:rsidP="00443399">
      <w:pPr>
        <w:tabs>
          <w:tab w:val="left" w:pos="918"/>
        </w:tabs>
        <w:jc w:val="both"/>
        <w:rPr>
          <w:rFonts w:ascii="Times New Roman" w:hAnsi="Times New Roman" w:cs="Times New Roman"/>
          <w:b/>
          <w:noProof/>
          <w:sz w:val="24"/>
        </w:rPr>
      </w:pPr>
    </w:p>
    <w:p w14:paraId="7E2F7638" w14:textId="77777777" w:rsidR="00443399" w:rsidRPr="00B03B51" w:rsidRDefault="00443399" w:rsidP="00443399">
      <w:pPr>
        <w:tabs>
          <w:tab w:val="left" w:pos="918"/>
        </w:tabs>
        <w:jc w:val="both"/>
        <w:rPr>
          <w:rFonts w:ascii="Times New Roman" w:hAnsi="Times New Roman" w:cs="Times New Roman"/>
          <w:b/>
          <w:noProof/>
          <w:sz w:val="24"/>
        </w:rPr>
      </w:pPr>
      <w:r w:rsidRPr="00B03B51">
        <w:rPr>
          <w:rFonts w:ascii="Times New Roman" w:hAnsi="Times New Roman" w:cs="Times New Roman"/>
          <w:b/>
          <w:sz w:val="24"/>
        </w:rPr>
        <w:t>1. Aizdevums ar beigu atmaksu</w:t>
      </w:r>
    </w:p>
    <w:p w14:paraId="7DD75054" w14:textId="77777777" w:rsidR="00443399" w:rsidRPr="00B03B51" w:rsidRDefault="00443399" w:rsidP="00443399">
      <w:pPr>
        <w:tabs>
          <w:tab w:val="left" w:pos="918"/>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44977E9D" w14:textId="77777777" w:rsidTr="004B0DA3">
        <w:tc>
          <w:tcPr>
            <w:tcW w:w="429" w:type="pct"/>
            <w:tcBorders>
              <w:top w:val="single" w:sz="7" w:space="0" w:color="000000"/>
              <w:left w:val="single" w:sz="7" w:space="0" w:color="000000"/>
              <w:bottom w:val="single" w:sz="7" w:space="0" w:color="000000"/>
              <w:right w:val="single" w:sz="7" w:space="0" w:color="000000"/>
            </w:tcBorders>
          </w:tcPr>
          <w:p w14:paraId="4831AEC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350C24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2DE5D7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65857CF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4D189EF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6B7DC765" w14:textId="77777777" w:rsidTr="004B0DA3">
        <w:tc>
          <w:tcPr>
            <w:tcW w:w="429" w:type="pct"/>
            <w:tcBorders>
              <w:top w:val="single" w:sz="7" w:space="0" w:color="000000"/>
              <w:left w:val="single" w:sz="7" w:space="0" w:color="000000"/>
              <w:bottom w:val="single" w:sz="7" w:space="0" w:color="000000"/>
              <w:right w:val="single" w:sz="7" w:space="0" w:color="000000"/>
            </w:tcBorders>
          </w:tcPr>
          <w:p w14:paraId="02E123C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1227565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0A287D3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4E593CA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507925B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52A9B7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53F73C0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4EC7123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1284" w:type="pct"/>
            <w:tcBorders>
              <w:top w:val="single" w:sz="7" w:space="0" w:color="000000"/>
              <w:left w:val="single" w:sz="7" w:space="0" w:color="000000"/>
              <w:bottom w:val="single" w:sz="7" w:space="0" w:color="000000"/>
              <w:right w:val="single" w:sz="7" w:space="0" w:color="000000"/>
            </w:tcBorders>
          </w:tcPr>
          <w:p w14:paraId="4612A5D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5471FFF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10 600</w:t>
            </w:r>
          </w:p>
          <w:p w14:paraId="3475FAD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11 236</w:t>
            </w:r>
          </w:p>
          <w:p w14:paraId="2D255FA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0DD3571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7FC0195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0799FE1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39B5BB8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tc>
        <w:tc>
          <w:tcPr>
            <w:tcW w:w="737" w:type="pct"/>
            <w:tcBorders>
              <w:top w:val="single" w:sz="7" w:space="0" w:color="000000"/>
              <w:left w:val="single" w:sz="7" w:space="0" w:color="000000"/>
              <w:bottom w:val="single" w:sz="7" w:space="0" w:color="000000"/>
              <w:right w:val="single" w:sz="7" w:space="0" w:color="000000"/>
            </w:tcBorders>
          </w:tcPr>
          <w:p w14:paraId="0BE9127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(600)</w:t>
            </w:r>
          </w:p>
          <w:p w14:paraId="077593C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(636)</w:t>
            </w:r>
          </w:p>
          <w:p w14:paraId="44B3168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(674)</w:t>
            </w:r>
          </w:p>
          <w:p w14:paraId="25732B3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4E4D49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060F446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12BF771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5647664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tc>
        <w:tc>
          <w:tcPr>
            <w:tcW w:w="958" w:type="pct"/>
            <w:tcBorders>
              <w:top w:val="single" w:sz="7" w:space="0" w:color="000000"/>
              <w:left w:val="single" w:sz="7" w:space="0" w:color="000000"/>
              <w:bottom w:val="single" w:sz="7" w:space="0" w:color="000000"/>
              <w:right w:val="single" w:sz="7" w:space="0" w:color="000000"/>
            </w:tcBorders>
          </w:tcPr>
          <w:p w14:paraId="0C2B4D8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449A2B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47F4E1B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1883CDA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13760F1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32C888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4E7F0B0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AD6A67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tc>
        <w:tc>
          <w:tcPr>
            <w:tcW w:w="1593" w:type="pct"/>
            <w:tcBorders>
              <w:top w:val="single" w:sz="7" w:space="0" w:color="000000"/>
              <w:left w:val="single" w:sz="7" w:space="0" w:color="000000"/>
              <w:bottom w:val="single" w:sz="7" w:space="0" w:color="000000"/>
              <w:right w:val="single" w:sz="7" w:space="0" w:color="000000"/>
            </w:tcBorders>
          </w:tcPr>
          <w:p w14:paraId="17BC1EE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26FA8CD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4F8DBE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0A1A278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286B5FC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3A471BA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54FDC4B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w:t>
            </w:r>
          </w:p>
          <w:p w14:paraId="2671816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12 624</w:t>
            </w:r>
          </w:p>
        </w:tc>
      </w:tr>
      <w:tr w:rsidR="00443399" w:rsidRPr="00B03B51" w14:paraId="75E62125" w14:textId="77777777" w:rsidTr="004B0DA3">
        <w:tc>
          <w:tcPr>
            <w:tcW w:w="429" w:type="pct"/>
            <w:tcBorders>
              <w:top w:val="single" w:sz="7" w:space="0" w:color="000000"/>
              <w:left w:val="single" w:sz="7" w:space="0" w:color="000000"/>
              <w:bottom w:val="single" w:sz="7" w:space="0" w:color="000000"/>
              <w:right w:val="single" w:sz="7" w:space="0" w:color="000000"/>
            </w:tcBorders>
          </w:tcPr>
          <w:p w14:paraId="5357676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4" w:type="pct"/>
            <w:tcBorders>
              <w:top w:val="single" w:sz="7" w:space="0" w:color="000000"/>
              <w:left w:val="single" w:sz="7" w:space="0" w:color="000000"/>
              <w:bottom w:val="single" w:sz="7" w:space="0" w:color="000000"/>
              <w:right w:val="single" w:sz="7" w:space="0" w:color="000000"/>
            </w:tcBorders>
          </w:tcPr>
          <w:p w14:paraId="5B25A71D"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4E88EA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3570</w:t>
            </w:r>
          </w:p>
        </w:tc>
        <w:tc>
          <w:tcPr>
            <w:tcW w:w="958" w:type="pct"/>
            <w:tcBorders>
              <w:top w:val="single" w:sz="7" w:space="0" w:color="000000"/>
              <w:left w:val="single" w:sz="7" w:space="0" w:color="000000"/>
              <w:bottom w:val="single" w:sz="7" w:space="0" w:color="000000"/>
              <w:right w:val="single" w:sz="7" w:space="0" w:color="000000"/>
            </w:tcBorders>
          </w:tcPr>
          <w:p w14:paraId="758D076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tc>
        <w:tc>
          <w:tcPr>
            <w:tcW w:w="1593" w:type="pct"/>
            <w:tcBorders>
              <w:top w:val="single" w:sz="7" w:space="0" w:color="000000"/>
              <w:left w:val="single" w:sz="7" w:space="0" w:color="000000"/>
              <w:bottom w:val="single" w:sz="7" w:space="0" w:color="000000"/>
              <w:right w:val="single" w:sz="7" w:space="0" w:color="000000"/>
            </w:tcBorders>
          </w:tcPr>
          <w:p w14:paraId="3E62F88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15 480</w:t>
            </w:r>
          </w:p>
        </w:tc>
      </w:tr>
    </w:tbl>
    <w:p w14:paraId="1892862C" w14:textId="77777777" w:rsidR="00443399" w:rsidRPr="00B03B51" w:rsidRDefault="00443399" w:rsidP="00443399">
      <w:pPr>
        <w:tabs>
          <w:tab w:val="left" w:pos="918"/>
        </w:tabs>
        <w:jc w:val="both"/>
        <w:rPr>
          <w:rFonts w:ascii="Times New Roman" w:hAnsi="Times New Roman" w:cs="Times New Roman"/>
          <w:b/>
          <w:noProof/>
          <w:sz w:val="24"/>
        </w:rPr>
      </w:pPr>
    </w:p>
    <w:p w14:paraId="48321808" w14:textId="77777777" w:rsidR="00443399" w:rsidRPr="00B03B51" w:rsidRDefault="00443399" w:rsidP="00443399">
      <w:pPr>
        <w:tabs>
          <w:tab w:val="left" w:pos="918"/>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w:t>
      </w:r>
    </w:p>
    <w:p w14:paraId="44D0C0C6" w14:textId="77777777" w:rsidR="00443399" w:rsidRPr="00B03B51" w:rsidRDefault="00443399" w:rsidP="00443399">
      <w:pPr>
        <w:tabs>
          <w:tab w:val="left" w:pos="918"/>
        </w:tabs>
        <w:jc w:val="both"/>
        <w:rPr>
          <w:rFonts w:ascii="Times New Roman" w:hAnsi="Times New Roman" w:cs="Times New Roman"/>
          <w:b/>
          <w:noProof/>
          <w:sz w:val="24"/>
        </w:rPr>
      </w:pPr>
    </w:p>
    <w:tbl>
      <w:tblPr>
        <w:tblW w:w="0" w:type="auto"/>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7400A6B5" w14:textId="77777777" w:rsidTr="0054365B">
        <w:tc>
          <w:tcPr>
            <w:tcW w:w="1000" w:type="pct"/>
            <w:tcBorders>
              <w:top w:val="single" w:sz="7" w:space="0" w:color="000000"/>
              <w:left w:val="single" w:sz="7" w:space="0" w:color="000000"/>
              <w:bottom w:val="single" w:sz="7" w:space="0" w:color="000000"/>
              <w:right w:val="single" w:sz="7" w:space="0" w:color="000000"/>
            </w:tcBorders>
          </w:tcPr>
          <w:p w14:paraId="17804BE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2FED1DA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3696B09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4E01311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1EC483C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50DE20C1" w14:textId="77777777" w:rsidTr="0054365B">
        <w:tc>
          <w:tcPr>
            <w:tcW w:w="1000" w:type="pct"/>
            <w:tcBorders>
              <w:top w:val="single" w:sz="7" w:space="0" w:color="000000"/>
              <w:left w:val="single" w:sz="7" w:space="0" w:color="000000"/>
              <w:bottom w:val="single" w:sz="7" w:space="0" w:color="000000"/>
              <w:right w:val="single" w:sz="7" w:space="0" w:color="000000"/>
            </w:tcBorders>
          </w:tcPr>
          <w:p w14:paraId="5808752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5783155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5AD6589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6C1246B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1430BA5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2C699B3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6A7426E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0505664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999" w:type="pct"/>
            <w:tcBorders>
              <w:top w:val="single" w:sz="7" w:space="0" w:color="000000"/>
              <w:left w:val="single" w:sz="7" w:space="0" w:color="000000"/>
              <w:bottom w:val="single" w:sz="7" w:space="0" w:color="000000"/>
              <w:right w:val="single" w:sz="7" w:space="0" w:color="000000"/>
            </w:tcBorders>
          </w:tcPr>
          <w:p w14:paraId="3B317D0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10 000</w:t>
            </w:r>
          </w:p>
          <w:p w14:paraId="749610B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10 600</w:t>
            </w:r>
          </w:p>
          <w:p w14:paraId="3C0D206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11 236</w:t>
            </w:r>
          </w:p>
          <w:p w14:paraId="5EA06E6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4BB72EB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9528</w:t>
            </w:r>
          </w:p>
          <w:p w14:paraId="4D890F0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7146</w:t>
            </w:r>
          </w:p>
          <w:p w14:paraId="1E118D5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4764</w:t>
            </w:r>
          </w:p>
          <w:p w14:paraId="2268966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tc>
        <w:tc>
          <w:tcPr>
            <w:tcW w:w="1001" w:type="pct"/>
            <w:tcBorders>
              <w:top w:val="single" w:sz="7" w:space="0" w:color="000000"/>
              <w:left w:val="single" w:sz="7" w:space="0" w:color="000000"/>
              <w:bottom w:val="single" w:sz="7" w:space="0" w:color="000000"/>
              <w:right w:val="single" w:sz="7" w:space="0" w:color="000000"/>
            </w:tcBorders>
          </w:tcPr>
          <w:p w14:paraId="215FC08C"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t>600</w:t>
            </w:r>
          </w:p>
          <w:p w14:paraId="716A7261"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t>636</w:t>
            </w:r>
          </w:p>
          <w:p w14:paraId="1BB2E3EF"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t>674</w:t>
            </w:r>
          </w:p>
          <w:p w14:paraId="38DF027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715</w:t>
            </w:r>
          </w:p>
          <w:p w14:paraId="5E6F7E3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572</w:t>
            </w:r>
          </w:p>
          <w:p w14:paraId="764A6AD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429</w:t>
            </w:r>
          </w:p>
          <w:p w14:paraId="1FF15F9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286</w:t>
            </w:r>
          </w:p>
          <w:p w14:paraId="09EC36F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143</w:t>
            </w:r>
          </w:p>
        </w:tc>
        <w:tc>
          <w:tcPr>
            <w:tcW w:w="1000" w:type="pct"/>
            <w:tcBorders>
              <w:top w:val="single" w:sz="7" w:space="0" w:color="000000"/>
              <w:left w:val="single" w:sz="7" w:space="0" w:color="000000"/>
              <w:bottom w:val="single" w:sz="7" w:space="0" w:color="000000"/>
              <w:right w:val="single" w:sz="7" w:space="0" w:color="000000"/>
            </w:tcBorders>
          </w:tcPr>
          <w:p w14:paraId="46063E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891319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528665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29EAF47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p w14:paraId="35B06EF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p w14:paraId="4C9EB4E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p w14:paraId="7F8DF4D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p w14:paraId="03F641B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2382</w:t>
            </w:r>
          </w:p>
        </w:tc>
        <w:tc>
          <w:tcPr>
            <w:tcW w:w="1000" w:type="pct"/>
            <w:tcBorders>
              <w:top w:val="single" w:sz="7" w:space="0" w:color="000000"/>
              <w:left w:val="single" w:sz="7" w:space="0" w:color="000000"/>
              <w:bottom w:val="single" w:sz="7" w:space="0" w:color="000000"/>
              <w:right w:val="single" w:sz="7" w:space="0" w:color="000000"/>
            </w:tcBorders>
          </w:tcPr>
          <w:p w14:paraId="19447F2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3CF857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7B3FEED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5EBA620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3097</w:t>
            </w:r>
          </w:p>
          <w:p w14:paraId="2F4FA2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2954</w:t>
            </w:r>
          </w:p>
          <w:p w14:paraId="1D0A871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2811</w:t>
            </w:r>
          </w:p>
          <w:p w14:paraId="37ECD6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2668</w:t>
            </w:r>
          </w:p>
          <w:p w14:paraId="13F248C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2525</w:t>
            </w:r>
          </w:p>
        </w:tc>
      </w:tr>
      <w:tr w:rsidR="00443399" w:rsidRPr="00B03B51" w14:paraId="6EDABDFF" w14:textId="77777777" w:rsidTr="0054365B">
        <w:tc>
          <w:tcPr>
            <w:tcW w:w="1000" w:type="pct"/>
            <w:tcBorders>
              <w:top w:val="single" w:sz="7" w:space="0" w:color="000000"/>
              <w:left w:val="single" w:sz="7" w:space="0" w:color="000000"/>
              <w:bottom w:val="single" w:sz="7" w:space="0" w:color="000000"/>
              <w:right w:val="single" w:sz="7" w:space="0" w:color="000000"/>
            </w:tcBorders>
          </w:tcPr>
          <w:p w14:paraId="749B63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0849F753"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18A1EAE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2144</w:t>
            </w:r>
          </w:p>
        </w:tc>
        <w:tc>
          <w:tcPr>
            <w:tcW w:w="1000" w:type="pct"/>
            <w:tcBorders>
              <w:top w:val="single" w:sz="7" w:space="0" w:color="000000"/>
              <w:left w:val="single" w:sz="7" w:space="0" w:color="000000"/>
              <w:bottom w:val="single" w:sz="7" w:space="0" w:color="000000"/>
              <w:right w:val="single" w:sz="7" w:space="0" w:color="000000"/>
            </w:tcBorders>
          </w:tcPr>
          <w:p w14:paraId="16BE02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tc>
        <w:tc>
          <w:tcPr>
            <w:tcW w:w="1000" w:type="pct"/>
            <w:tcBorders>
              <w:top w:val="single" w:sz="7" w:space="0" w:color="000000"/>
              <w:left w:val="single" w:sz="7" w:space="0" w:color="000000"/>
              <w:bottom w:val="single" w:sz="7" w:space="0" w:color="000000"/>
              <w:right w:val="single" w:sz="7" w:space="0" w:color="000000"/>
            </w:tcBorders>
          </w:tcPr>
          <w:p w14:paraId="12840C5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14 054</w:t>
            </w:r>
          </w:p>
        </w:tc>
      </w:tr>
    </w:tbl>
    <w:p w14:paraId="58B7CFA7" w14:textId="77777777" w:rsidR="00443399" w:rsidRPr="00B03B51" w:rsidRDefault="00443399" w:rsidP="00443399">
      <w:pPr>
        <w:jc w:val="both"/>
        <w:rPr>
          <w:rFonts w:ascii="Times New Roman" w:eastAsia="Arial" w:hAnsi="Times New Roman" w:cs="Times New Roman"/>
          <w:b/>
          <w:bCs/>
          <w:noProof/>
          <w:sz w:val="24"/>
          <w:szCs w:val="6"/>
        </w:rPr>
      </w:pPr>
    </w:p>
    <w:p w14:paraId="1EA628CA" w14:textId="77777777" w:rsidR="00443399" w:rsidRPr="00B03B51" w:rsidRDefault="00443399" w:rsidP="00210375">
      <w:pPr>
        <w:keepNext/>
        <w:tabs>
          <w:tab w:val="left" w:pos="918"/>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w:t>
      </w:r>
    </w:p>
    <w:p w14:paraId="67778F2B" w14:textId="77777777" w:rsidR="00443399" w:rsidRPr="00B03B51" w:rsidRDefault="00443399" w:rsidP="00210375">
      <w:pPr>
        <w:keepNext/>
        <w:tabs>
          <w:tab w:val="left" w:pos="918"/>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75F8BB3A" w14:textId="77777777" w:rsidTr="004B0DA3">
        <w:tc>
          <w:tcPr>
            <w:tcW w:w="429" w:type="pct"/>
            <w:tcBorders>
              <w:top w:val="single" w:sz="7" w:space="0" w:color="000000"/>
              <w:left w:val="single" w:sz="7" w:space="0" w:color="000000"/>
              <w:bottom w:val="single" w:sz="7" w:space="0" w:color="000000"/>
              <w:right w:val="single" w:sz="7" w:space="0" w:color="000000"/>
            </w:tcBorders>
          </w:tcPr>
          <w:p w14:paraId="70BC50E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037826B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337276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493DB5C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5F73BBC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1B7EFF54" w14:textId="77777777" w:rsidTr="004B0DA3">
        <w:tc>
          <w:tcPr>
            <w:tcW w:w="429" w:type="pct"/>
            <w:tcBorders>
              <w:top w:val="single" w:sz="7" w:space="0" w:color="000000"/>
              <w:left w:val="single" w:sz="7" w:space="0" w:color="000000"/>
              <w:bottom w:val="single" w:sz="7" w:space="0" w:color="000000"/>
              <w:right w:val="single" w:sz="7" w:space="0" w:color="000000"/>
            </w:tcBorders>
          </w:tcPr>
          <w:p w14:paraId="6233A7C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72B7E2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w:t>
            </w:r>
          </w:p>
          <w:p w14:paraId="136F4EC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302DCB4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67DC82B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p w14:paraId="118E8B9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w:t>
            </w:r>
          </w:p>
          <w:p w14:paraId="248E81D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w:t>
            </w:r>
          </w:p>
          <w:p w14:paraId="0A17E85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w:t>
            </w:r>
          </w:p>
        </w:tc>
        <w:tc>
          <w:tcPr>
            <w:tcW w:w="1284" w:type="pct"/>
            <w:tcBorders>
              <w:top w:val="single" w:sz="7" w:space="0" w:color="000000"/>
              <w:left w:val="single" w:sz="7" w:space="0" w:color="000000"/>
              <w:bottom w:val="single" w:sz="7" w:space="0" w:color="000000"/>
              <w:right w:val="single" w:sz="7" w:space="0" w:color="000000"/>
            </w:tcBorders>
          </w:tcPr>
          <w:p w14:paraId="523996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10 000</w:t>
            </w:r>
          </w:p>
          <w:p w14:paraId="06616C8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10 636</w:t>
            </w:r>
          </w:p>
          <w:p w14:paraId="628C647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11 236</w:t>
            </w:r>
          </w:p>
          <w:p w14:paraId="3EF7B7C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p w14:paraId="4052E34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9797</w:t>
            </w:r>
          </w:p>
          <w:p w14:paraId="46E5F04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7558</w:t>
            </w:r>
          </w:p>
          <w:p w14:paraId="7E40040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5184</w:t>
            </w:r>
          </w:p>
          <w:p w14:paraId="78E73C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2667</w:t>
            </w:r>
          </w:p>
        </w:tc>
        <w:tc>
          <w:tcPr>
            <w:tcW w:w="737" w:type="pct"/>
            <w:tcBorders>
              <w:top w:val="single" w:sz="7" w:space="0" w:color="000000"/>
              <w:left w:val="single" w:sz="7" w:space="0" w:color="000000"/>
              <w:bottom w:val="single" w:sz="7" w:space="0" w:color="000000"/>
              <w:right w:val="single" w:sz="7" w:space="0" w:color="000000"/>
            </w:tcBorders>
          </w:tcPr>
          <w:p w14:paraId="5A056714"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lastRenderedPageBreak/>
              <w:t>600</w:t>
            </w:r>
          </w:p>
          <w:p w14:paraId="1C504981"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lastRenderedPageBreak/>
              <w:t>636</w:t>
            </w:r>
          </w:p>
          <w:p w14:paraId="4F20882B" w14:textId="77777777" w:rsidR="00443399" w:rsidRPr="00B03B51" w:rsidRDefault="00443399" w:rsidP="0054365B">
            <w:pPr>
              <w:pStyle w:val="TableParagraph"/>
              <w:jc w:val="center"/>
              <w:rPr>
                <w:rFonts w:ascii="Times New Roman" w:hAnsi="Times New Roman" w:cs="Times New Roman"/>
                <w:i/>
                <w:noProof/>
                <w:sz w:val="24"/>
              </w:rPr>
            </w:pPr>
            <w:r w:rsidRPr="00B03B51">
              <w:rPr>
                <w:rFonts w:ascii="Times New Roman" w:hAnsi="Times New Roman" w:cs="Times New Roman"/>
                <w:i/>
                <w:sz w:val="24"/>
              </w:rPr>
              <w:t>674</w:t>
            </w:r>
          </w:p>
          <w:p w14:paraId="2E14BD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715</w:t>
            </w:r>
          </w:p>
          <w:p w14:paraId="6CAB36B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588</w:t>
            </w:r>
          </w:p>
          <w:p w14:paraId="7F5F584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453</w:t>
            </w:r>
          </w:p>
          <w:p w14:paraId="07CBA75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311</w:t>
            </w:r>
          </w:p>
          <w:p w14:paraId="2ADF89F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w:t>
            </w:r>
          </w:p>
        </w:tc>
        <w:tc>
          <w:tcPr>
            <w:tcW w:w="958" w:type="pct"/>
            <w:tcBorders>
              <w:top w:val="single" w:sz="7" w:space="0" w:color="000000"/>
              <w:left w:val="single" w:sz="7" w:space="0" w:color="000000"/>
              <w:bottom w:val="single" w:sz="7" w:space="0" w:color="000000"/>
              <w:right w:val="single" w:sz="7" w:space="0" w:color="000000"/>
            </w:tcBorders>
          </w:tcPr>
          <w:p w14:paraId="5CBC04D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0</w:t>
            </w:r>
          </w:p>
          <w:p w14:paraId="3412BCF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0</w:t>
            </w:r>
          </w:p>
          <w:p w14:paraId="4DE747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CB4FDA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2113</w:t>
            </w:r>
          </w:p>
          <w:p w14:paraId="0672DE2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2240</w:t>
            </w:r>
          </w:p>
          <w:p w14:paraId="7FC1881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2374</w:t>
            </w:r>
          </w:p>
          <w:p w14:paraId="3E8F835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2516</w:t>
            </w:r>
          </w:p>
          <w:p w14:paraId="22AFAE4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2667</w:t>
            </w:r>
          </w:p>
        </w:tc>
        <w:tc>
          <w:tcPr>
            <w:tcW w:w="1593" w:type="pct"/>
            <w:tcBorders>
              <w:top w:val="single" w:sz="7" w:space="0" w:color="000000"/>
              <w:left w:val="single" w:sz="7" w:space="0" w:color="000000"/>
              <w:bottom w:val="single" w:sz="7" w:space="0" w:color="000000"/>
              <w:right w:val="single" w:sz="7" w:space="0" w:color="000000"/>
            </w:tcBorders>
          </w:tcPr>
          <w:p w14:paraId="48BCA5D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0</w:t>
            </w:r>
          </w:p>
          <w:p w14:paraId="0832113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0</w:t>
            </w:r>
          </w:p>
          <w:p w14:paraId="03CBB0C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84A23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2827</w:t>
            </w:r>
          </w:p>
          <w:p w14:paraId="0F44AC3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2827</w:t>
            </w:r>
          </w:p>
          <w:p w14:paraId="588F17E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2827</w:t>
            </w:r>
          </w:p>
          <w:p w14:paraId="049446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2827</w:t>
            </w:r>
          </w:p>
          <w:p w14:paraId="476F7F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2827</w:t>
            </w:r>
          </w:p>
        </w:tc>
      </w:tr>
      <w:tr w:rsidR="00443399" w:rsidRPr="00B03B51" w14:paraId="776917E2" w14:textId="77777777" w:rsidTr="004B0DA3">
        <w:tc>
          <w:tcPr>
            <w:tcW w:w="429" w:type="pct"/>
            <w:tcBorders>
              <w:top w:val="single" w:sz="7" w:space="0" w:color="000000"/>
              <w:left w:val="single" w:sz="7" w:space="0" w:color="000000"/>
              <w:bottom w:val="single" w:sz="7" w:space="0" w:color="000000"/>
              <w:right w:val="single" w:sz="7" w:space="0" w:color="000000"/>
            </w:tcBorders>
          </w:tcPr>
          <w:p w14:paraId="7215FED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Kopā</w:t>
            </w:r>
          </w:p>
        </w:tc>
        <w:tc>
          <w:tcPr>
            <w:tcW w:w="1284" w:type="pct"/>
            <w:tcBorders>
              <w:top w:val="single" w:sz="7" w:space="0" w:color="000000"/>
              <w:left w:val="single" w:sz="7" w:space="0" w:color="000000"/>
              <w:bottom w:val="single" w:sz="7" w:space="0" w:color="000000"/>
              <w:right w:val="single" w:sz="7" w:space="0" w:color="000000"/>
            </w:tcBorders>
          </w:tcPr>
          <w:p w14:paraId="50DDBF2A"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65FB984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2227</w:t>
            </w:r>
          </w:p>
        </w:tc>
        <w:tc>
          <w:tcPr>
            <w:tcW w:w="958" w:type="pct"/>
            <w:tcBorders>
              <w:top w:val="single" w:sz="7" w:space="0" w:color="000000"/>
              <w:left w:val="single" w:sz="7" w:space="0" w:color="000000"/>
              <w:bottom w:val="single" w:sz="7" w:space="0" w:color="000000"/>
              <w:right w:val="single" w:sz="7" w:space="0" w:color="000000"/>
            </w:tcBorders>
          </w:tcPr>
          <w:p w14:paraId="000DDCD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11 910</w:t>
            </w:r>
          </w:p>
        </w:tc>
        <w:tc>
          <w:tcPr>
            <w:tcW w:w="1593" w:type="pct"/>
            <w:tcBorders>
              <w:top w:val="single" w:sz="7" w:space="0" w:color="000000"/>
              <w:left w:val="single" w:sz="7" w:space="0" w:color="000000"/>
              <w:bottom w:val="single" w:sz="7" w:space="0" w:color="000000"/>
              <w:right w:val="single" w:sz="7" w:space="0" w:color="000000"/>
            </w:tcBorders>
          </w:tcPr>
          <w:p w14:paraId="2EDD35E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14 137</w:t>
            </w:r>
          </w:p>
        </w:tc>
      </w:tr>
    </w:tbl>
    <w:p w14:paraId="15C63F73" w14:textId="77777777" w:rsidR="00443399" w:rsidRPr="00B03B51" w:rsidRDefault="00443399" w:rsidP="00443399">
      <w:pPr>
        <w:jc w:val="both"/>
        <w:rPr>
          <w:rFonts w:ascii="Times New Roman" w:eastAsia="Arial" w:hAnsi="Times New Roman" w:cs="Times New Roman"/>
          <w:b/>
          <w:bCs/>
          <w:noProof/>
          <w:sz w:val="24"/>
          <w:szCs w:val="25"/>
        </w:rPr>
      </w:pPr>
    </w:p>
    <w:p w14:paraId="717CEC7A"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Gadījums C1</w:t>
      </w:r>
    </w:p>
    <w:p w14:paraId="6088EC0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FD364A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Jaunā procentu likme ir samazināta no 6 % uz 4 %. Saskaņots jaunais gada maksu grafiks. Mēs nosakām jauno pamatsummu, kas nav zināma.</w:t>
      </w:r>
    </w:p>
    <w:p w14:paraId="6BC8C5D6" w14:textId="77777777" w:rsidR="00443399" w:rsidRPr="00B03B51" w:rsidRDefault="00443399" w:rsidP="00443399">
      <w:pPr>
        <w:tabs>
          <w:tab w:val="left" w:pos="919"/>
        </w:tabs>
        <w:jc w:val="both"/>
        <w:rPr>
          <w:rFonts w:ascii="Times New Roman" w:hAnsi="Times New Roman" w:cs="Times New Roman"/>
          <w:b/>
          <w:noProof/>
          <w:sz w:val="24"/>
        </w:rPr>
      </w:pPr>
    </w:p>
    <w:p w14:paraId="105A9011"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1. Aizdevums ar beigu atmaksu (četras pirmās gada maksas = 300)</w:t>
      </w:r>
    </w:p>
    <w:p w14:paraId="7D55903F"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09934F67"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568BCA4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4BDCF14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7620C33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61EE55C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0F5D4E5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3633EFE0"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7359D63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587B035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023C366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5AFF51A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0FEB42E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4F72E90B"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7500</w:t>
            </w:r>
          </w:p>
          <w:p w14:paraId="0663234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p w14:paraId="244C9A2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p w14:paraId="29C1C73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p w14:paraId="0A038F8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tc>
        <w:tc>
          <w:tcPr>
            <w:tcW w:w="1001" w:type="pct"/>
            <w:tcBorders>
              <w:top w:val="single" w:sz="7" w:space="0" w:color="000000"/>
              <w:left w:val="single" w:sz="7" w:space="0" w:color="000000"/>
              <w:bottom w:val="single" w:sz="7" w:space="0" w:color="000000"/>
              <w:right w:val="single" w:sz="7" w:space="0" w:color="000000"/>
            </w:tcBorders>
          </w:tcPr>
          <w:p w14:paraId="45A5D0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0542BA1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6BE9BDE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01270D9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5240A55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tc>
        <w:tc>
          <w:tcPr>
            <w:tcW w:w="1000" w:type="pct"/>
            <w:tcBorders>
              <w:top w:val="single" w:sz="7" w:space="0" w:color="000000"/>
              <w:left w:val="single" w:sz="7" w:space="0" w:color="000000"/>
              <w:bottom w:val="single" w:sz="7" w:space="0" w:color="000000"/>
              <w:right w:val="single" w:sz="7" w:space="0" w:color="000000"/>
            </w:tcBorders>
          </w:tcPr>
          <w:p w14:paraId="15137B0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2764B0D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5CE0D90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8F2F93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5C4EE59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tc>
        <w:tc>
          <w:tcPr>
            <w:tcW w:w="1000" w:type="pct"/>
            <w:tcBorders>
              <w:top w:val="single" w:sz="7" w:space="0" w:color="000000"/>
              <w:left w:val="single" w:sz="7" w:space="0" w:color="000000"/>
              <w:bottom w:val="single" w:sz="7" w:space="0" w:color="000000"/>
              <w:right w:val="single" w:sz="7" w:space="0" w:color="000000"/>
            </w:tcBorders>
          </w:tcPr>
          <w:p w14:paraId="59CA469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4003EBC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7179C72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67D9048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300</w:t>
            </w:r>
          </w:p>
          <w:p w14:paraId="0B90345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7800</w:t>
            </w:r>
          </w:p>
        </w:tc>
      </w:tr>
      <w:tr w:rsidR="00443399" w:rsidRPr="00B03B51" w14:paraId="3644B44A" w14:textId="77777777" w:rsidTr="004B0DA3">
        <w:tc>
          <w:tcPr>
            <w:tcW w:w="1000" w:type="pct"/>
            <w:tcBorders>
              <w:top w:val="single" w:sz="7" w:space="0" w:color="000000"/>
              <w:left w:val="single" w:sz="7" w:space="0" w:color="000000"/>
              <w:bottom w:val="single" w:sz="7" w:space="0" w:color="000000"/>
              <w:right w:val="single" w:sz="7" w:space="0" w:color="000000"/>
            </w:tcBorders>
          </w:tcPr>
          <w:p w14:paraId="0186462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173E47F2"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4B5AD97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1500</w:t>
            </w:r>
          </w:p>
        </w:tc>
        <w:tc>
          <w:tcPr>
            <w:tcW w:w="1000" w:type="pct"/>
            <w:tcBorders>
              <w:top w:val="single" w:sz="7" w:space="0" w:color="000000"/>
              <w:left w:val="single" w:sz="7" w:space="0" w:color="000000"/>
              <w:bottom w:val="single" w:sz="7" w:space="0" w:color="000000"/>
              <w:right w:val="single" w:sz="7" w:space="0" w:color="000000"/>
            </w:tcBorders>
          </w:tcPr>
          <w:p w14:paraId="7755AB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7500</w:t>
            </w:r>
          </w:p>
        </w:tc>
        <w:tc>
          <w:tcPr>
            <w:tcW w:w="1000" w:type="pct"/>
            <w:tcBorders>
              <w:top w:val="single" w:sz="7" w:space="0" w:color="000000"/>
              <w:left w:val="single" w:sz="7" w:space="0" w:color="000000"/>
              <w:bottom w:val="single" w:sz="7" w:space="0" w:color="000000"/>
              <w:right w:val="single" w:sz="7" w:space="0" w:color="000000"/>
            </w:tcBorders>
          </w:tcPr>
          <w:p w14:paraId="2CA7A3D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04C53E2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DEED5C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par parāda anulēšanu, kas ierakstīts jaunā līguma darbības laikā: 10 000–7500=2500</w:t>
      </w:r>
    </w:p>
    <w:p w14:paraId="6E8D2609" w14:textId="77777777" w:rsidR="00443399" w:rsidRPr="00B03B51" w:rsidRDefault="00443399" w:rsidP="00443399">
      <w:pPr>
        <w:jc w:val="both"/>
        <w:rPr>
          <w:rFonts w:ascii="Times New Roman" w:eastAsia="Arial" w:hAnsi="Times New Roman" w:cs="Times New Roman"/>
          <w:noProof/>
          <w:sz w:val="24"/>
          <w:szCs w:val="18"/>
        </w:rPr>
      </w:pPr>
    </w:p>
    <w:p w14:paraId="37F91E2E"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 (kopā gada maksas = 9000).</w:t>
      </w:r>
    </w:p>
    <w:p w14:paraId="6B07AEBD"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1ECD6DC3" w14:textId="77777777" w:rsidTr="004B0DA3">
        <w:tc>
          <w:tcPr>
            <w:tcW w:w="429" w:type="pct"/>
            <w:tcBorders>
              <w:top w:val="single" w:sz="7" w:space="0" w:color="000000"/>
              <w:left w:val="single" w:sz="7" w:space="0" w:color="000000"/>
              <w:bottom w:val="single" w:sz="7" w:space="0" w:color="000000"/>
              <w:right w:val="single" w:sz="7" w:space="0" w:color="000000"/>
            </w:tcBorders>
          </w:tcPr>
          <w:p w14:paraId="20C7754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1EEC19D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62A8F5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06E59EC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3209033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05BCB406" w14:textId="77777777" w:rsidTr="004B0DA3">
        <w:tc>
          <w:tcPr>
            <w:tcW w:w="429" w:type="pct"/>
            <w:tcBorders>
              <w:top w:val="single" w:sz="7" w:space="0" w:color="000000"/>
              <w:left w:val="single" w:sz="7" w:space="0" w:color="000000"/>
              <w:bottom w:val="single" w:sz="7" w:space="0" w:color="000000"/>
              <w:right w:val="single" w:sz="7" w:space="0" w:color="000000"/>
            </w:tcBorders>
          </w:tcPr>
          <w:p w14:paraId="49F8935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6038CDE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7E40600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06B0B4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43FA0EE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1284" w:type="pct"/>
            <w:tcBorders>
              <w:top w:val="single" w:sz="7" w:space="0" w:color="000000"/>
              <w:left w:val="single" w:sz="7" w:space="0" w:color="000000"/>
              <w:bottom w:val="single" w:sz="7" w:space="0" w:color="000000"/>
              <w:right w:val="single" w:sz="7" w:space="0" w:color="000000"/>
            </w:tcBorders>
          </w:tcPr>
          <w:p w14:paraId="6B1A9C5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8036</w:t>
            </w:r>
          </w:p>
          <w:p w14:paraId="76EDA3E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6429</w:t>
            </w:r>
          </w:p>
          <w:p w14:paraId="15B6BCF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4822</w:t>
            </w:r>
          </w:p>
          <w:p w14:paraId="1E7B87E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3214</w:t>
            </w:r>
          </w:p>
          <w:p w14:paraId="04186EC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tc>
        <w:tc>
          <w:tcPr>
            <w:tcW w:w="737" w:type="pct"/>
            <w:tcBorders>
              <w:top w:val="single" w:sz="7" w:space="0" w:color="000000"/>
              <w:left w:val="single" w:sz="7" w:space="0" w:color="000000"/>
              <w:bottom w:val="single" w:sz="7" w:space="0" w:color="000000"/>
              <w:right w:val="single" w:sz="7" w:space="0" w:color="000000"/>
            </w:tcBorders>
          </w:tcPr>
          <w:p w14:paraId="385F5A7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321</w:t>
            </w:r>
          </w:p>
          <w:p w14:paraId="3D1E05E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257</w:t>
            </w:r>
          </w:p>
          <w:p w14:paraId="43D47E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193</w:t>
            </w:r>
          </w:p>
          <w:p w14:paraId="4A09A91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129</w:t>
            </w:r>
          </w:p>
          <w:p w14:paraId="6FA7EA2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64</w:t>
            </w:r>
          </w:p>
        </w:tc>
        <w:tc>
          <w:tcPr>
            <w:tcW w:w="958" w:type="pct"/>
            <w:tcBorders>
              <w:top w:val="single" w:sz="7" w:space="0" w:color="000000"/>
              <w:left w:val="single" w:sz="7" w:space="0" w:color="000000"/>
              <w:bottom w:val="single" w:sz="7" w:space="0" w:color="000000"/>
              <w:right w:val="single" w:sz="7" w:space="0" w:color="000000"/>
            </w:tcBorders>
          </w:tcPr>
          <w:p w14:paraId="17CFF45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p w14:paraId="1FDCF9A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p w14:paraId="7B6366C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p w14:paraId="2F6A764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p w14:paraId="2247314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1607</w:t>
            </w:r>
          </w:p>
        </w:tc>
        <w:tc>
          <w:tcPr>
            <w:tcW w:w="1593" w:type="pct"/>
            <w:tcBorders>
              <w:top w:val="single" w:sz="7" w:space="0" w:color="000000"/>
              <w:left w:val="single" w:sz="7" w:space="0" w:color="000000"/>
              <w:bottom w:val="single" w:sz="7" w:space="0" w:color="000000"/>
              <w:right w:val="single" w:sz="7" w:space="0" w:color="000000"/>
            </w:tcBorders>
          </w:tcPr>
          <w:p w14:paraId="2039EA8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1929</w:t>
            </w:r>
          </w:p>
          <w:p w14:paraId="68E6007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1864</w:t>
            </w:r>
          </w:p>
          <w:p w14:paraId="5AAC0E5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15AF4C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1736</w:t>
            </w:r>
          </w:p>
          <w:p w14:paraId="011B0C8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1671</w:t>
            </w:r>
          </w:p>
        </w:tc>
      </w:tr>
      <w:tr w:rsidR="00443399" w:rsidRPr="00B03B51" w14:paraId="6D666F49" w14:textId="77777777" w:rsidTr="004B0DA3">
        <w:tc>
          <w:tcPr>
            <w:tcW w:w="429" w:type="pct"/>
            <w:tcBorders>
              <w:top w:val="single" w:sz="7" w:space="0" w:color="000000"/>
              <w:left w:val="single" w:sz="7" w:space="0" w:color="000000"/>
              <w:bottom w:val="single" w:sz="7" w:space="0" w:color="000000"/>
              <w:right w:val="single" w:sz="7" w:space="0" w:color="000000"/>
            </w:tcBorders>
          </w:tcPr>
          <w:p w14:paraId="3352EBE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84" w:type="pct"/>
            <w:tcBorders>
              <w:top w:val="single" w:sz="7" w:space="0" w:color="000000"/>
              <w:left w:val="single" w:sz="7" w:space="0" w:color="000000"/>
              <w:bottom w:val="single" w:sz="7" w:space="0" w:color="000000"/>
              <w:right w:val="single" w:sz="7" w:space="0" w:color="000000"/>
            </w:tcBorders>
          </w:tcPr>
          <w:p w14:paraId="0F30B1DA"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5A23C3D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964</w:t>
            </w:r>
          </w:p>
        </w:tc>
        <w:tc>
          <w:tcPr>
            <w:tcW w:w="958" w:type="pct"/>
            <w:tcBorders>
              <w:top w:val="single" w:sz="7" w:space="0" w:color="000000"/>
              <w:left w:val="single" w:sz="7" w:space="0" w:color="000000"/>
              <w:bottom w:val="single" w:sz="7" w:space="0" w:color="000000"/>
              <w:right w:val="single" w:sz="7" w:space="0" w:color="000000"/>
            </w:tcBorders>
          </w:tcPr>
          <w:p w14:paraId="291CBD7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8036</w:t>
            </w:r>
          </w:p>
        </w:tc>
        <w:tc>
          <w:tcPr>
            <w:tcW w:w="1593" w:type="pct"/>
            <w:tcBorders>
              <w:top w:val="single" w:sz="7" w:space="0" w:color="000000"/>
              <w:left w:val="single" w:sz="7" w:space="0" w:color="000000"/>
              <w:bottom w:val="single" w:sz="7" w:space="0" w:color="000000"/>
              <w:right w:val="single" w:sz="7" w:space="0" w:color="000000"/>
            </w:tcBorders>
          </w:tcPr>
          <w:p w14:paraId="4E9CB8B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0DC82F9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3D5A4D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kas ierakstīts jaunā līguma darbības laikā: 10 000–8036=1964</w:t>
      </w:r>
    </w:p>
    <w:p w14:paraId="4620C948" w14:textId="77777777" w:rsidR="00443399" w:rsidRPr="00B03B51" w:rsidRDefault="00443399" w:rsidP="00443399">
      <w:pPr>
        <w:jc w:val="both"/>
        <w:rPr>
          <w:rFonts w:ascii="Times New Roman" w:hAnsi="Times New Roman" w:cs="Times New Roman"/>
          <w:noProof/>
          <w:sz w:val="24"/>
        </w:rPr>
      </w:pPr>
    </w:p>
    <w:p w14:paraId="72D6A373"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 (gada maksas kopā = 9000)</w:t>
      </w:r>
    </w:p>
    <w:p w14:paraId="2F4959E1"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27AABF04"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2C09E42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1283919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5C749E9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00F4560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38942DB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161E6495"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5C6ED33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22A9F23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w:t>
            </w:r>
          </w:p>
          <w:p w14:paraId="6CBE37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585A2AC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1626F0E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6EF3952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8013</w:t>
            </w:r>
          </w:p>
          <w:p w14:paraId="11AD892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6534</w:t>
            </w:r>
          </w:p>
          <w:p w14:paraId="497284F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4995</w:t>
            </w:r>
          </w:p>
          <w:p w14:paraId="4964BB1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3395</w:t>
            </w:r>
          </w:p>
          <w:p w14:paraId="386B6C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1731</w:t>
            </w:r>
          </w:p>
        </w:tc>
        <w:tc>
          <w:tcPr>
            <w:tcW w:w="1001" w:type="pct"/>
            <w:tcBorders>
              <w:top w:val="single" w:sz="7" w:space="0" w:color="000000"/>
              <w:left w:val="single" w:sz="7" w:space="0" w:color="000000"/>
              <w:bottom w:val="single" w:sz="7" w:space="0" w:color="000000"/>
              <w:right w:val="single" w:sz="7" w:space="0" w:color="000000"/>
            </w:tcBorders>
          </w:tcPr>
          <w:p w14:paraId="0C322FB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321</w:t>
            </w:r>
          </w:p>
          <w:p w14:paraId="7C5CEB7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261</w:t>
            </w:r>
          </w:p>
          <w:p w14:paraId="13C26E0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200</w:t>
            </w:r>
          </w:p>
          <w:p w14:paraId="2504D48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136</w:t>
            </w:r>
          </w:p>
          <w:p w14:paraId="455AC0F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w:t>
            </w:r>
          </w:p>
        </w:tc>
        <w:tc>
          <w:tcPr>
            <w:tcW w:w="1000" w:type="pct"/>
            <w:tcBorders>
              <w:top w:val="single" w:sz="7" w:space="0" w:color="000000"/>
              <w:left w:val="single" w:sz="7" w:space="0" w:color="000000"/>
              <w:bottom w:val="single" w:sz="7" w:space="0" w:color="000000"/>
              <w:right w:val="single" w:sz="7" w:space="0" w:color="000000"/>
            </w:tcBorders>
          </w:tcPr>
          <w:p w14:paraId="45A8E5B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1479</w:t>
            </w:r>
          </w:p>
          <w:p w14:paraId="7B80B91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1539</w:t>
            </w:r>
          </w:p>
          <w:p w14:paraId="1448FED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1600</w:t>
            </w:r>
          </w:p>
          <w:p w14:paraId="4F648DF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1664</w:t>
            </w:r>
          </w:p>
          <w:p w14:paraId="5FA60D3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1731</w:t>
            </w:r>
          </w:p>
        </w:tc>
        <w:tc>
          <w:tcPr>
            <w:tcW w:w="1000" w:type="pct"/>
            <w:tcBorders>
              <w:top w:val="single" w:sz="7" w:space="0" w:color="000000"/>
              <w:left w:val="single" w:sz="7" w:space="0" w:color="000000"/>
              <w:bottom w:val="single" w:sz="7" w:space="0" w:color="000000"/>
              <w:right w:val="single" w:sz="7" w:space="0" w:color="000000"/>
            </w:tcBorders>
          </w:tcPr>
          <w:p w14:paraId="00571AA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1800</w:t>
            </w:r>
          </w:p>
          <w:p w14:paraId="28A660A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1800</w:t>
            </w:r>
          </w:p>
          <w:p w14:paraId="11D75E7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0E4F8AA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1C8785A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tc>
      </w:tr>
      <w:tr w:rsidR="00443399" w:rsidRPr="00B03B51" w14:paraId="0AF19781"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27055B9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Kopā</w:t>
            </w:r>
          </w:p>
        </w:tc>
        <w:tc>
          <w:tcPr>
            <w:tcW w:w="999" w:type="pct"/>
            <w:tcBorders>
              <w:top w:val="single" w:sz="7" w:space="0" w:color="000000"/>
              <w:left w:val="single" w:sz="7" w:space="0" w:color="000000"/>
              <w:bottom w:val="single" w:sz="7" w:space="0" w:color="000000"/>
              <w:right w:val="single" w:sz="7" w:space="0" w:color="000000"/>
            </w:tcBorders>
          </w:tcPr>
          <w:p w14:paraId="13981AFC"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4D4FE89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987</w:t>
            </w:r>
          </w:p>
        </w:tc>
        <w:tc>
          <w:tcPr>
            <w:tcW w:w="1000" w:type="pct"/>
            <w:tcBorders>
              <w:top w:val="single" w:sz="7" w:space="0" w:color="000000"/>
              <w:left w:val="single" w:sz="7" w:space="0" w:color="000000"/>
              <w:bottom w:val="single" w:sz="7" w:space="0" w:color="000000"/>
              <w:right w:val="single" w:sz="7" w:space="0" w:color="000000"/>
            </w:tcBorders>
          </w:tcPr>
          <w:p w14:paraId="0D9A1DA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8013</w:t>
            </w:r>
          </w:p>
        </w:tc>
        <w:tc>
          <w:tcPr>
            <w:tcW w:w="1000" w:type="pct"/>
            <w:tcBorders>
              <w:top w:val="single" w:sz="7" w:space="0" w:color="000000"/>
              <w:left w:val="single" w:sz="7" w:space="0" w:color="000000"/>
              <w:bottom w:val="single" w:sz="7" w:space="0" w:color="000000"/>
              <w:right w:val="single" w:sz="7" w:space="0" w:color="000000"/>
            </w:tcBorders>
          </w:tcPr>
          <w:p w14:paraId="6C6F753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714DEA8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52B45D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kas ierakstīts jaunā līguma darbības laikā: 10 000–8013=1987</w:t>
      </w:r>
    </w:p>
    <w:p w14:paraId="7823FCD5" w14:textId="77777777" w:rsidR="00443399" w:rsidRPr="00B03B51" w:rsidRDefault="00443399" w:rsidP="00443399">
      <w:pPr>
        <w:jc w:val="both"/>
        <w:rPr>
          <w:rFonts w:ascii="Times New Roman" w:hAnsi="Times New Roman" w:cs="Times New Roman"/>
          <w:b/>
          <w:noProof/>
          <w:sz w:val="24"/>
        </w:rPr>
      </w:pPr>
    </w:p>
    <w:p w14:paraId="17A77782"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Gadījums C2 – jaunā procentu likme nav zināma</w:t>
      </w:r>
    </w:p>
    <w:p w14:paraId="0EA0811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E84C7B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Jaunā procentu likme nav zināma, bet ir pieejams gada maksu jaunais grafiks. Mēs nosakām jauno pamatsummu, kas nebija zināma, izmantojot sākotnējo likmi – 6 %.</w:t>
      </w:r>
    </w:p>
    <w:p w14:paraId="06EE7D18" w14:textId="77777777" w:rsidR="00443399" w:rsidRPr="00B03B51" w:rsidRDefault="00443399" w:rsidP="00443399">
      <w:pPr>
        <w:tabs>
          <w:tab w:val="left" w:pos="919"/>
        </w:tabs>
        <w:jc w:val="both"/>
        <w:rPr>
          <w:rFonts w:ascii="Times New Roman" w:hAnsi="Times New Roman" w:cs="Times New Roman"/>
          <w:b/>
          <w:noProof/>
          <w:sz w:val="24"/>
        </w:rPr>
      </w:pPr>
    </w:p>
    <w:p w14:paraId="0641AB62"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1. Aizdevums ar beigu atmaksu (četras pirmās gada maksas = 415)</w:t>
      </w:r>
    </w:p>
    <w:p w14:paraId="205881C8"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8"/>
        <w:gridCol w:w="2254"/>
        <w:gridCol w:w="1553"/>
        <w:gridCol w:w="1700"/>
        <w:gridCol w:w="2768"/>
      </w:tblGrid>
      <w:tr w:rsidR="00443399" w:rsidRPr="00B03B51" w14:paraId="59854BC8" w14:textId="77777777" w:rsidTr="00BD4F89">
        <w:tc>
          <w:tcPr>
            <w:tcW w:w="429" w:type="pct"/>
            <w:tcBorders>
              <w:top w:val="single" w:sz="7" w:space="0" w:color="000000"/>
              <w:left w:val="single" w:sz="7" w:space="0" w:color="000000"/>
              <w:bottom w:val="single" w:sz="7" w:space="0" w:color="000000"/>
              <w:right w:val="single" w:sz="7" w:space="0" w:color="000000"/>
            </w:tcBorders>
          </w:tcPr>
          <w:p w14:paraId="7E778B7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45" w:type="pct"/>
            <w:tcBorders>
              <w:top w:val="single" w:sz="7" w:space="0" w:color="000000"/>
              <w:left w:val="single" w:sz="7" w:space="0" w:color="000000"/>
              <w:bottom w:val="single" w:sz="7" w:space="0" w:color="000000"/>
              <w:right w:val="single" w:sz="7" w:space="0" w:color="000000"/>
            </w:tcBorders>
          </w:tcPr>
          <w:p w14:paraId="4B2DCB0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858" w:type="pct"/>
            <w:tcBorders>
              <w:top w:val="single" w:sz="7" w:space="0" w:color="000000"/>
              <w:left w:val="single" w:sz="7" w:space="0" w:color="000000"/>
              <w:bottom w:val="single" w:sz="7" w:space="0" w:color="000000"/>
              <w:right w:val="single" w:sz="7" w:space="0" w:color="000000"/>
            </w:tcBorders>
          </w:tcPr>
          <w:p w14:paraId="36D2254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 6 %</w:t>
            </w:r>
          </w:p>
        </w:tc>
        <w:tc>
          <w:tcPr>
            <w:tcW w:w="939" w:type="pct"/>
            <w:tcBorders>
              <w:top w:val="single" w:sz="7" w:space="0" w:color="000000"/>
              <w:left w:val="single" w:sz="7" w:space="0" w:color="000000"/>
              <w:bottom w:val="single" w:sz="7" w:space="0" w:color="000000"/>
              <w:right w:val="single" w:sz="7" w:space="0" w:color="000000"/>
            </w:tcBorders>
          </w:tcPr>
          <w:p w14:paraId="36EC0F6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29" w:type="pct"/>
            <w:tcBorders>
              <w:top w:val="single" w:sz="7" w:space="0" w:color="000000"/>
              <w:left w:val="single" w:sz="7" w:space="0" w:color="000000"/>
              <w:bottom w:val="single" w:sz="7" w:space="0" w:color="000000"/>
              <w:right w:val="single" w:sz="7" w:space="0" w:color="000000"/>
            </w:tcBorders>
          </w:tcPr>
          <w:p w14:paraId="19186FC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499E1F7D" w14:textId="77777777" w:rsidTr="00BD4F89">
        <w:tc>
          <w:tcPr>
            <w:tcW w:w="429" w:type="pct"/>
            <w:tcBorders>
              <w:top w:val="single" w:sz="7" w:space="0" w:color="000000"/>
              <w:left w:val="single" w:sz="7" w:space="0" w:color="000000"/>
              <w:bottom w:val="single" w:sz="7" w:space="0" w:color="000000"/>
              <w:right w:val="single" w:sz="7" w:space="0" w:color="000000"/>
            </w:tcBorders>
          </w:tcPr>
          <w:p w14:paraId="69B928B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7F5C1EB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0C1346B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5A8BEA0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449D5CA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1245" w:type="pct"/>
            <w:tcBorders>
              <w:top w:val="single" w:sz="7" w:space="0" w:color="000000"/>
              <w:left w:val="single" w:sz="7" w:space="0" w:color="000000"/>
              <w:bottom w:val="single" w:sz="7" w:space="0" w:color="000000"/>
              <w:right w:val="single" w:sz="7" w:space="0" w:color="000000"/>
            </w:tcBorders>
          </w:tcPr>
          <w:p w14:paraId="63F7DA7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p w14:paraId="3684EDB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p w14:paraId="24A10B5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p w14:paraId="513D758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p w14:paraId="3DD2A33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tc>
        <w:tc>
          <w:tcPr>
            <w:tcW w:w="858" w:type="pct"/>
            <w:tcBorders>
              <w:top w:val="single" w:sz="7" w:space="0" w:color="000000"/>
              <w:left w:val="single" w:sz="7" w:space="0" w:color="000000"/>
              <w:bottom w:val="single" w:sz="7" w:space="0" w:color="000000"/>
              <w:right w:val="single" w:sz="7" w:space="0" w:color="000000"/>
            </w:tcBorders>
          </w:tcPr>
          <w:p w14:paraId="54CC79C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4367B5D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7CB87D1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4CA459E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581934A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tc>
        <w:tc>
          <w:tcPr>
            <w:tcW w:w="939" w:type="pct"/>
            <w:tcBorders>
              <w:top w:val="single" w:sz="7" w:space="0" w:color="000000"/>
              <w:left w:val="single" w:sz="7" w:space="0" w:color="000000"/>
              <w:bottom w:val="single" w:sz="7" w:space="0" w:color="000000"/>
              <w:right w:val="single" w:sz="7" w:space="0" w:color="000000"/>
            </w:tcBorders>
          </w:tcPr>
          <w:p w14:paraId="5A05C6A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2AA3DD2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6B67CFC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089AB80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0</w:t>
            </w:r>
          </w:p>
          <w:p w14:paraId="3292709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tc>
        <w:tc>
          <w:tcPr>
            <w:tcW w:w="1529" w:type="pct"/>
            <w:tcBorders>
              <w:top w:val="single" w:sz="7" w:space="0" w:color="000000"/>
              <w:left w:val="single" w:sz="7" w:space="0" w:color="000000"/>
              <w:bottom w:val="single" w:sz="7" w:space="0" w:color="000000"/>
              <w:right w:val="single" w:sz="7" w:space="0" w:color="000000"/>
            </w:tcBorders>
          </w:tcPr>
          <w:p w14:paraId="36F6CD8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3537075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1B20510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41D1E9B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415</w:t>
            </w:r>
          </w:p>
          <w:p w14:paraId="2CFEE4D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7338</w:t>
            </w:r>
          </w:p>
        </w:tc>
      </w:tr>
      <w:tr w:rsidR="00443399" w:rsidRPr="00B03B51" w14:paraId="340D9381" w14:textId="77777777" w:rsidTr="00BD4F89">
        <w:tc>
          <w:tcPr>
            <w:tcW w:w="429" w:type="pct"/>
            <w:tcBorders>
              <w:top w:val="single" w:sz="7" w:space="0" w:color="000000"/>
              <w:left w:val="single" w:sz="7" w:space="0" w:color="000000"/>
              <w:bottom w:val="single" w:sz="7" w:space="0" w:color="000000"/>
              <w:right w:val="single" w:sz="7" w:space="0" w:color="000000"/>
            </w:tcBorders>
          </w:tcPr>
          <w:p w14:paraId="522AE34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1245" w:type="pct"/>
            <w:tcBorders>
              <w:top w:val="single" w:sz="7" w:space="0" w:color="000000"/>
              <w:left w:val="single" w:sz="7" w:space="0" w:color="000000"/>
              <w:bottom w:val="single" w:sz="7" w:space="0" w:color="000000"/>
              <w:right w:val="single" w:sz="7" w:space="0" w:color="000000"/>
            </w:tcBorders>
          </w:tcPr>
          <w:p w14:paraId="525D6DE9" w14:textId="77777777" w:rsidR="00443399" w:rsidRPr="00B03B51" w:rsidRDefault="00443399" w:rsidP="0054365B">
            <w:pPr>
              <w:jc w:val="center"/>
              <w:rPr>
                <w:rFonts w:ascii="Times New Roman" w:hAnsi="Times New Roman" w:cs="Times New Roman"/>
                <w:noProof/>
                <w:sz w:val="24"/>
              </w:rPr>
            </w:pPr>
          </w:p>
        </w:tc>
        <w:tc>
          <w:tcPr>
            <w:tcW w:w="858" w:type="pct"/>
            <w:tcBorders>
              <w:top w:val="single" w:sz="7" w:space="0" w:color="000000"/>
              <w:left w:val="single" w:sz="7" w:space="0" w:color="000000"/>
              <w:bottom w:val="single" w:sz="7" w:space="0" w:color="000000"/>
              <w:right w:val="single" w:sz="7" w:space="0" w:color="000000"/>
            </w:tcBorders>
          </w:tcPr>
          <w:p w14:paraId="654E650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2077</w:t>
            </w:r>
          </w:p>
        </w:tc>
        <w:tc>
          <w:tcPr>
            <w:tcW w:w="939" w:type="pct"/>
            <w:tcBorders>
              <w:top w:val="single" w:sz="7" w:space="0" w:color="000000"/>
              <w:left w:val="single" w:sz="7" w:space="0" w:color="000000"/>
              <w:bottom w:val="single" w:sz="7" w:space="0" w:color="000000"/>
              <w:right w:val="single" w:sz="7" w:space="0" w:color="000000"/>
            </w:tcBorders>
          </w:tcPr>
          <w:p w14:paraId="0B8782A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6923</w:t>
            </w:r>
          </w:p>
        </w:tc>
        <w:tc>
          <w:tcPr>
            <w:tcW w:w="1529" w:type="pct"/>
            <w:tcBorders>
              <w:top w:val="single" w:sz="7" w:space="0" w:color="000000"/>
              <w:left w:val="single" w:sz="7" w:space="0" w:color="000000"/>
              <w:bottom w:val="single" w:sz="7" w:space="0" w:color="000000"/>
              <w:right w:val="single" w:sz="7" w:space="0" w:color="000000"/>
            </w:tcBorders>
          </w:tcPr>
          <w:p w14:paraId="68AC463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07E07D3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A2FF65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kas ierakstīts jaunā līguma darbības laikā: 10 000–6923=3067</w:t>
      </w:r>
    </w:p>
    <w:p w14:paraId="2D0AB8F5" w14:textId="77777777" w:rsidR="00443399" w:rsidRPr="00B03B51" w:rsidRDefault="00443399" w:rsidP="00443399">
      <w:pPr>
        <w:jc w:val="both"/>
        <w:rPr>
          <w:rFonts w:ascii="Times New Roman" w:eastAsia="Arial" w:hAnsi="Times New Roman" w:cs="Times New Roman"/>
          <w:noProof/>
          <w:sz w:val="24"/>
          <w:szCs w:val="18"/>
        </w:rPr>
      </w:pPr>
    </w:p>
    <w:p w14:paraId="0F6655D0"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2. Aizdevums ar nemainīgu amortizāciju (kopā gada maksas = 9000)</w:t>
      </w:r>
    </w:p>
    <w:p w14:paraId="63F6D8FD"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810"/>
        <w:gridCol w:w="1809"/>
        <w:gridCol w:w="1812"/>
        <w:gridCol w:w="1811"/>
        <w:gridCol w:w="1811"/>
      </w:tblGrid>
      <w:tr w:rsidR="00443399" w:rsidRPr="00B03B51" w14:paraId="4223DCA8"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0FEF463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999" w:type="pct"/>
            <w:tcBorders>
              <w:top w:val="single" w:sz="7" w:space="0" w:color="000000"/>
              <w:left w:val="single" w:sz="7" w:space="0" w:color="000000"/>
              <w:bottom w:val="single" w:sz="7" w:space="0" w:color="000000"/>
              <w:right w:val="single" w:sz="7" w:space="0" w:color="000000"/>
            </w:tcBorders>
          </w:tcPr>
          <w:p w14:paraId="6966745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1001" w:type="pct"/>
            <w:tcBorders>
              <w:top w:val="single" w:sz="7" w:space="0" w:color="000000"/>
              <w:left w:val="single" w:sz="7" w:space="0" w:color="000000"/>
              <w:bottom w:val="single" w:sz="7" w:space="0" w:color="000000"/>
              <w:right w:val="single" w:sz="7" w:space="0" w:color="000000"/>
            </w:tcBorders>
          </w:tcPr>
          <w:p w14:paraId="1A891F5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1000" w:type="pct"/>
            <w:tcBorders>
              <w:top w:val="single" w:sz="7" w:space="0" w:color="000000"/>
              <w:left w:val="single" w:sz="7" w:space="0" w:color="000000"/>
              <w:bottom w:val="single" w:sz="7" w:space="0" w:color="000000"/>
              <w:right w:val="single" w:sz="7" w:space="0" w:color="000000"/>
            </w:tcBorders>
          </w:tcPr>
          <w:p w14:paraId="198342B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000" w:type="pct"/>
            <w:tcBorders>
              <w:top w:val="single" w:sz="7" w:space="0" w:color="000000"/>
              <w:left w:val="single" w:sz="7" w:space="0" w:color="000000"/>
              <w:bottom w:val="single" w:sz="7" w:space="0" w:color="000000"/>
              <w:right w:val="single" w:sz="7" w:space="0" w:color="000000"/>
            </w:tcBorders>
          </w:tcPr>
          <w:p w14:paraId="5BA41E1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42C7C8AE"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74D4F39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2892E56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267703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3EDC53F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258EB97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5</w:t>
            </w:r>
          </w:p>
        </w:tc>
        <w:tc>
          <w:tcPr>
            <w:tcW w:w="999" w:type="pct"/>
            <w:tcBorders>
              <w:top w:val="single" w:sz="7" w:space="0" w:color="000000"/>
              <w:left w:val="single" w:sz="7" w:space="0" w:color="000000"/>
              <w:bottom w:val="single" w:sz="7" w:space="0" w:color="000000"/>
              <w:right w:val="single" w:sz="7" w:space="0" w:color="000000"/>
            </w:tcBorders>
          </w:tcPr>
          <w:p w14:paraId="6F6D2E84"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t>7627</w:t>
            </w:r>
          </w:p>
          <w:p w14:paraId="4A9E719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6102</w:t>
            </w:r>
          </w:p>
          <w:p w14:paraId="3B77AC0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4576</w:t>
            </w:r>
          </w:p>
          <w:p w14:paraId="790E848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3051</w:t>
            </w:r>
          </w:p>
          <w:p w14:paraId="3CFEBA3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tc>
        <w:tc>
          <w:tcPr>
            <w:tcW w:w="1001" w:type="pct"/>
            <w:tcBorders>
              <w:top w:val="single" w:sz="7" w:space="0" w:color="000000"/>
              <w:left w:val="single" w:sz="7" w:space="0" w:color="000000"/>
              <w:bottom w:val="single" w:sz="7" w:space="0" w:color="000000"/>
              <w:right w:val="single" w:sz="7" w:space="0" w:color="000000"/>
            </w:tcBorders>
          </w:tcPr>
          <w:p w14:paraId="133A5FA5"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458</w:t>
            </w:r>
          </w:p>
          <w:p w14:paraId="4173EEF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366</w:t>
            </w:r>
          </w:p>
          <w:p w14:paraId="17A46D0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275</w:t>
            </w:r>
          </w:p>
          <w:p w14:paraId="19F673F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183</w:t>
            </w:r>
          </w:p>
          <w:p w14:paraId="1ECB91D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92</w:t>
            </w:r>
          </w:p>
        </w:tc>
        <w:tc>
          <w:tcPr>
            <w:tcW w:w="1000" w:type="pct"/>
            <w:tcBorders>
              <w:top w:val="single" w:sz="7" w:space="0" w:color="000000"/>
              <w:left w:val="single" w:sz="7" w:space="0" w:color="000000"/>
              <w:bottom w:val="single" w:sz="7" w:space="0" w:color="000000"/>
              <w:right w:val="single" w:sz="7" w:space="0" w:color="000000"/>
            </w:tcBorders>
          </w:tcPr>
          <w:p w14:paraId="02A6A70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p w14:paraId="4E6324D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p w14:paraId="4C892FC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p w14:paraId="45FA2CA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p w14:paraId="298FA9D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1525</w:t>
            </w:r>
          </w:p>
        </w:tc>
        <w:tc>
          <w:tcPr>
            <w:tcW w:w="1000" w:type="pct"/>
            <w:tcBorders>
              <w:top w:val="single" w:sz="7" w:space="0" w:color="000000"/>
              <w:left w:val="single" w:sz="7" w:space="0" w:color="000000"/>
              <w:bottom w:val="single" w:sz="7" w:space="0" w:color="000000"/>
              <w:right w:val="single" w:sz="7" w:space="0" w:color="000000"/>
            </w:tcBorders>
          </w:tcPr>
          <w:p w14:paraId="0774105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1983</w:t>
            </w:r>
          </w:p>
          <w:p w14:paraId="0AA30AD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1891</w:t>
            </w:r>
          </w:p>
          <w:p w14:paraId="2BE4511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7106ED6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1708</w:t>
            </w:r>
          </w:p>
          <w:p w14:paraId="31CDE49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1617</w:t>
            </w:r>
          </w:p>
        </w:tc>
      </w:tr>
      <w:tr w:rsidR="00443399" w:rsidRPr="00B03B51" w14:paraId="13AA5316" w14:textId="77777777" w:rsidTr="00BD4F89">
        <w:tc>
          <w:tcPr>
            <w:tcW w:w="1000" w:type="pct"/>
            <w:tcBorders>
              <w:top w:val="single" w:sz="7" w:space="0" w:color="000000"/>
              <w:left w:val="single" w:sz="7" w:space="0" w:color="000000"/>
              <w:bottom w:val="single" w:sz="7" w:space="0" w:color="000000"/>
              <w:right w:val="single" w:sz="7" w:space="0" w:color="000000"/>
            </w:tcBorders>
          </w:tcPr>
          <w:p w14:paraId="056A81C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Kopā</w:t>
            </w:r>
          </w:p>
        </w:tc>
        <w:tc>
          <w:tcPr>
            <w:tcW w:w="999" w:type="pct"/>
            <w:tcBorders>
              <w:top w:val="single" w:sz="7" w:space="0" w:color="000000"/>
              <w:left w:val="single" w:sz="7" w:space="0" w:color="000000"/>
              <w:bottom w:val="single" w:sz="7" w:space="0" w:color="000000"/>
              <w:right w:val="single" w:sz="7" w:space="0" w:color="000000"/>
            </w:tcBorders>
          </w:tcPr>
          <w:p w14:paraId="620226A1" w14:textId="77777777" w:rsidR="00443399" w:rsidRPr="00B03B51" w:rsidRDefault="00443399" w:rsidP="0054365B">
            <w:pPr>
              <w:jc w:val="center"/>
              <w:rPr>
                <w:rFonts w:ascii="Times New Roman" w:hAnsi="Times New Roman" w:cs="Times New Roman"/>
                <w:noProof/>
                <w:sz w:val="24"/>
              </w:rPr>
            </w:pPr>
          </w:p>
        </w:tc>
        <w:tc>
          <w:tcPr>
            <w:tcW w:w="1001" w:type="pct"/>
            <w:tcBorders>
              <w:top w:val="single" w:sz="7" w:space="0" w:color="000000"/>
              <w:left w:val="single" w:sz="7" w:space="0" w:color="000000"/>
              <w:bottom w:val="single" w:sz="7" w:space="0" w:color="000000"/>
              <w:right w:val="single" w:sz="7" w:space="0" w:color="000000"/>
            </w:tcBorders>
          </w:tcPr>
          <w:p w14:paraId="0790DF2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1373</w:t>
            </w:r>
          </w:p>
        </w:tc>
        <w:tc>
          <w:tcPr>
            <w:tcW w:w="1000" w:type="pct"/>
            <w:tcBorders>
              <w:top w:val="single" w:sz="7" w:space="0" w:color="000000"/>
              <w:left w:val="single" w:sz="7" w:space="0" w:color="000000"/>
              <w:bottom w:val="single" w:sz="7" w:space="0" w:color="000000"/>
              <w:right w:val="single" w:sz="7" w:space="0" w:color="000000"/>
            </w:tcBorders>
          </w:tcPr>
          <w:p w14:paraId="5BCEC8BE"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7627</w:t>
            </w:r>
          </w:p>
        </w:tc>
        <w:tc>
          <w:tcPr>
            <w:tcW w:w="1000" w:type="pct"/>
            <w:tcBorders>
              <w:top w:val="single" w:sz="7" w:space="0" w:color="000000"/>
              <w:left w:val="single" w:sz="7" w:space="0" w:color="000000"/>
              <w:bottom w:val="single" w:sz="7" w:space="0" w:color="000000"/>
              <w:right w:val="single" w:sz="7" w:space="0" w:color="000000"/>
            </w:tcBorders>
          </w:tcPr>
          <w:p w14:paraId="26F8037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08423ED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070D13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kas ierakstīts jaunā līguma darbības laikā: 10 000–7627=2363</w:t>
      </w:r>
    </w:p>
    <w:p w14:paraId="3317C78F" w14:textId="77777777" w:rsidR="00443399" w:rsidRPr="00B03B51" w:rsidRDefault="00443399" w:rsidP="00443399">
      <w:pPr>
        <w:jc w:val="both"/>
        <w:rPr>
          <w:rFonts w:ascii="Times New Roman" w:eastAsia="Arial" w:hAnsi="Times New Roman" w:cs="Times New Roman"/>
          <w:noProof/>
          <w:sz w:val="24"/>
          <w:szCs w:val="18"/>
        </w:rPr>
      </w:pPr>
    </w:p>
    <w:p w14:paraId="324F8DFE" w14:textId="77777777" w:rsidR="00443399" w:rsidRPr="00B03B51" w:rsidRDefault="00443399" w:rsidP="00443399">
      <w:pPr>
        <w:tabs>
          <w:tab w:val="left" w:pos="919"/>
        </w:tabs>
        <w:jc w:val="both"/>
        <w:rPr>
          <w:rFonts w:ascii="Times New Roman" w:hAnsi="Times New Roman" w:cs="Times New Roman"/>
          <w:b/>
          <w:noProof/>
          <w:sz w:val="24"/>
        </w:rPr>
      </w:pPr>
      <w:r w:rsidRPr="00B03B51">
        <w:rPr>
          <w:rFonts w:ascii="Times New Roman" w:hAnsi="Times New Roman" w:cs="Times New Roman"/>
          <w:b/>
          <w:sz w:val="24"/>
        </w:rPr>
        <w:t>3. Aizdevums ar nemainīgu gada maksu (gada maksas kopā = 9000)</w:t>
      </w:r>
    </w:p>
    <w:p w14:paraId="31072955" w14:textId="77777777" w:rsidR="00443399" w:rsidRPr="00B03B51" w:rsidRDefault="00443399" w:rsidP="00443399">
      <w:pPr>
        <w:tabs>
          <w:tab w:val="left" w:pos="919"/>
        </w:tab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777"/>
        <w:gridCol w:w="2325"/>
        <w:gridCol w:w="1334"/>
        <w:gridCol w:w="1735"/>
        <w:gridCol w:w="2882"/>
      </w:tblGrid>
      <w:tr w:rsidR="00443399" w:rsidRPr="00B03B51" w14:paraId="03D852E7" w14:textId="77777777" w:rsidTr="00BD4F89">
        <w:tc>
          <w:tcPr>
            <w:tcW w:w="429" w:type="pct"/>
            <w:tcBorders>
              <w:top w:val="single" w:sz="7" w:space="0" w:color="000000"/>
              <w:left w:val="single" w:sz="7" w:space="0" w:color="000000"/>
              <w:bottom w:val="single" w:sz="7" w:space="0" w:color="000000"/>
              <w:right w:val="single" w:sz="7" w:space="0" w:color="000000"/>
            </w:tcBorders>
          </w:tcPr>
          <w:p w14:paraId="7AC9767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Periods</w:t>
            </w:r>
          </w:p>
        </w:tc>
        <w:tc>
          <w:tcPr>
            <w:tcW w:w="1284" w:type="pct"/>
            <w:tcBorders>
              <w:top w:val="single" w:sz="7" w:space="0" w:color="000000"/>
              <w:left w:val="single" w:sz="7" w:space="0" w:color="000000"/>
              <w:bottom w:val="single" w:sz="7" w:space="0" w:color="000000"/>
              <w:right w:val="single" w:sz="7" w:space="0" w:color="000000"/>
            </w:tcBorders>
          </w:tcPr>
          <w:p w14:paraId="1DD2DC9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Pamatsumma perioda sākumā</w:t>
            </w:r>
          </w:p>
        </w:tc>
        <w:tc>
          <w:tcPr>
            <w:tcW w:w="737" w:type="pct"/>
            <w:tcBorders>
              <w:top w:val="single" w:sz="7" w:space="0" w:color="000000"/>
              <w:left w:val="single" w:sz="7" w:space="0" w:color="000000"/>
              <w:bottom w:val="single" w:sz="7" w:space="0" w:color="000000"/>
              <w:right w:val="single" w:sz="7" w:space="0" w:color="000000"/>
            </w:tcBorders>
          </w:tcPr>
          <w:p w14:paraId="3D6493F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procenti</w:t>
            </w:r>
          </w:p>
        </w:tc>
        <w:tc>
          <w:tcPr>
            <w:tcW w:w="958" w:type="pct"/>
            <w:tcBorders>
              <w:top w:val="single" w:sz="7" w:space="0" w:color="000000"/>
              <w:left w:val="single" w:sz="7" w:space="0" w:color="000000"/>
              <w:bottom w:val="single" w:sz="7" w:space="0" w:color="000000"/>
              <w:right w:val="single" w:sz="7" w:space="0" w:color="000000"/>
            </w:tcBorders>
          </w:tcPr>
          <w:p w14:paraId="568E780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Perioda amortizācija</w:t>
            </w:r>
          </w:p>
        </w:tc>
        <w:tc>
          <w:tcPr>
            <w:tcW w:w="1593" w:type="pct"/>
            <w:tcBorders>
              <w:top w:val="single" w:sz="7" w:space="0" w:color="000000"/>
              <w:left w:val="single" w:sz="7" w:space="0" w:color="000000"/>
              <w:bottom w:val="single" w:sz="7" w:space="0" w:color="000000"/>
              <w:right w:val="single" w:sz="7" w:space="0" w:color="000000"/>
            </w:tcBorders>
          </w:tcPr>
          <w:p w14:paraId="329E741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Gada maksa (kopējais gada maksājums)</w:t>
            </w:r>
          </w:p>
        </w:tc>
      </w:tr>
      <w:tr w:rsidR="00443399" w:rsidRPr="00B03B51" w14:paraId="65FD0CD7" w14:textId="77777777" w:rsidTr="00BD4F89">
        <w:tc>
          <w:tcPr>
            <w:tcW w:w="429" w:type="pct"/>
            <w:tcBorders>
              <w:top w:val="single" w:sz="7" w:space="0" w:color="000000"/>
              <w:left w:val="single" w:sz="7" w:space="0" w:color="000000"/>
              <w:bottom w:val="single" w:sz="7" w:space="0" w:color="000000"/>
              <w:right w:val="single" w:sz="7" w:space="0" w:color="000000"/>
            </w:tcBorders>
          </w:tcPr>
          <w:p w14:paraId="1CF1126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w:t>
            </w:r>
          </w:p>
          <w:p w14:paraId="675BD2E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w:t>
            </w:r>
          </w:p>
          <w:p w14:paraId="48B5FD4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w:t>
            </w:r>
          </w:p>
          <w:p w14:paraId="08C3143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w:t>
            </w:r>
          </w:p>
          <w:p w14:paraId="3EEC5AE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5</w:t>
            </w:r>
          </w:p>
        </w:tc>
        <w:tc>
          <w:tcPr>
            <w:tcW w:w="1284" w:type="pct"/>
            <w:tcBorders>
              <w:top w:val="single" w:sz="7" w:space="0" w:color="000000"/>
              <w:left w:val="single" w:sz="7" w:space="0" w:color="000000"/>
              <w:bottom w:val="single" w:sz="7" w:space="0" w:color="000000"/>
              <w:right w:val="single" w:sz="7" w:space="0" w:color="000000"/>
            </w:tcBorders>
          </w:tcPr>
          <w:p w14:paraId="0C6720BD" w14:textId="77777777" w:rsidR="00443399" w:rsidRPr="00B03B51" w:rsidRDefault="00443399" w:rsidP="0054365B">
            <w:pPr>
              <w:pStyle w:val="TableParagraph"/>
              <w:jc w:val="center"/>
              <w:rPr>
                <w:rFonts w:ascii="Times New Roman" w:hAnsi="Times New Roman" w:cs="Times New Roman"/>
                <w:b/>
                <w:noProof/>
                <w:sz w:val="24"/>
              </w:rPr>
            </w:pPr>
            <w:r w:rsidRPr="00B03B51">
              <w:rPr>
                <w:rFonts w:ascii="Times New Roman" w:hAnsi="Times New Roman" w:cs="Times New Roman"/>
                <w:b/>
                <w:sz w:val="24"/>
              </w:rPr>
              <w:lastRenderedPageBreak/>
              <w:t>7582</w:t>
            </w:r>
          </w:p>
          <w:p w14:paraId="6B5FB292"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6237</w:t>
            </w:r>
          </w:p>
          <w:p w14:paraId="515288EB"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4811</w:t>
            </w:r>
          </w:p>
          <w:p w14:paraId="665B7F3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3300</w:t>
            </w:r>
          </w:p>
          <w:p w14:paraId="5F2BD3F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1698</w:t>
            </w:r>
          </w:p>
        </w:tc>
        <w:tc>
          <w:tcPr>
            <w:tcW w:w="737" w:type="pct"/>
            <w:tcBorders>
              <w:top w:val="single" w:sz="7" w:space="0" w:color="000000"/>
              <w:left w:val="single" w:sz="7" w:space="0" w:color="000000"/>
              <w:bottom w:val="single" w:sz="7" w:space="0" w:color="000000"/>
              <w:right w:val="single" w:sz="7" w:space="0" w:color="000000"/>
            </w:tcBorders>
          </w:tcPr>
          <w:p w14:paraId="2F6EAD8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455</w:t>
            </w:r>
          </w:p>
          <w:p w14:paraId="4403D9E0"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374</w:t>
            </w:r>
          </w:p>
          <w:p w14:paraId="62CA4B4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28</w:t>
            </w:r>
          </w:p>
          <w:p w14:paraId="05B7BC8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198</w:t>
            </w:r>
          </w:p>
          <w:p w14:paraId="74C7CAD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102</w:t>
            </w:r>
          </w:p>
        </w:tc>
        <w:tc>
          <w:tcPr>
            <w:tcW w:w="958" w:type="pct"/>
            <w:tcBorders>
              <w:top w:val="single" w:sz="7" w:space="0" w:color="000000"/>
              <w:left w:val="single" w:sz="7" w:space="0" w:color="000000"/>
              <w:bottom w:val="single" w:sz="7" w:space="0" w:color="000000"/>
              <w:right w:val="single" w:sz="7" w:space="0" w:color="000000"/>
            </w:tcBorders>
          </w:tcPr>
          <w:p w14:paraId="2FBED2AF"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1345</w:t>
            </w:r>
          </w:p>
          <w:p w14:paraId="46A55F36"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1426</w:t>
            </w:r>
          </w:p>
          <w:p w14:paraId="51427A13"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1511</w:t>
            </w:r>
          </w:p>
          <w:p w14:paraId="7E521479"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1602</w:t>
            </w:r>
          </w:p>
          <w:p w14:paraId="2DE8638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1698</w:t>
            </w:r>
          </w:p>
        </w:tc>
        <w:tc>
          <w:tcPr>
            <w:tcW w:w="1593" w:type="pct"/>
            <w:tcBorders>
              <w:top w:val="single" w:sz="7" w:space="0" w:color="000000"/>
              <w:left w:val="single" w:sz="7" w:space="0" w:color="000000"/>
              <w:bottom w:val="single" w:sz="7" w:space="0" w:color="000000"/>
              <w:right w:val="single" w:sz="7" w:space="0" w:color="000000"/>
            </w:tcBorders>
          </w:tcPr>
          <w:p w14:paraId="473F6918"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1800</w:t>
            </w:r>
          </w:p>
          <w:p w14:paraId="66AF8DE4"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77E34B4D"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65CCC341"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1800</w:t>
            </w:r>
          </w:p>
          <w:p w14:paraId="7B6B7F3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1800</w:t>
            </w:r>
          </w:p>
        </w:tc>
      </w:tr>
      <w:tr w:rsidR="00443399" w:rsidRPr="00B03B51" w14:paraId="2D59DD96" w14:textId="77777777" w:rsidTr="00BD4F89">
        <w:tc>
          <w:tcPr>
            <w:tcW w:w="429" w:type="pct"/>
            <w:tcBorders>
              <w:top w:val="single" w:sz="7" w:space="0" w:color="000000"/>
              <w:left w:val="single" w:sz="7" w:space="0" w:color="000000"/>
              <w:bottom w:val="single" w:sz="7" w:space="0" w:color="000000"/>
              <w:right w:val="single" w:sz="7" w:space="0" w:color="000000"/>
            </w:tcBorders>
          </w:tcPr>
          <w:p w14:paraId="37E2919C"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lastRenderedPageBreak/>
              <w:t>Kopā</w:t>
            </w:r>
          </w:p>
        </w:tc>
        <w:tc>
          <w:tcPr>
            <w:tcW w:w="1284" w:type="pct"/>
            <w:tcBorders>
              <w:top w:val="single" w:sz="7" w:space="0" w:color="000000"/>
              <w:left w:val="single" w:sz="7" w:space="0" w:color="000000"/>
              <w:bottom w:val="single" w:sz="7" w:space="0" w:color="000000"/>
              <w:right w:val="single" w:sz="7" w:space="0" w:color="000000"/>
            </w:tcBorders>
          </w:tcPr>
          <w:p w14:paraId="09F8F108" w14:textId="77777777" w:rsidR="00443399" w:rsidRPr="00B03B51" w:rsidRDefault="00443399" w:rsidP="0054365B">
            <w:pPr>
              <w:jc w:val="center"/>
              <w:rPr>
                <w:rFonts w:ascii="Times New Roman" w:hAnsi="Times New Roman" w:cs="Times New Roman"/>
                <w:noProof/>
                <w:sz w:val="24"/>
              </w:rPr>
            </w:pPr>
          </w:p>
        </w:tc>
        <w:tc>
          <w:tcPr>
            <w:tcW w:w="737" w:type="pct"/>
            <w:tcBorders>
              <w:top w:val="single" w:sz="7" w:space="0" w:color="000000"/>
              <w:left w:val="single" w:sz="7" w:space="0" w:color="000000"/>
              <w:bottom w:val="single" w:sz="7" w:space="0" w:color="000000"/>
              <w:right w:val="single" w:sz="7" w:space="0" w:color="000000"/>
            </w:tcBorders>
          </w:tcPr>
          <w:p w14:paraId="2E436DD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1418</w:t>
            </w:r>
          </w:p>
        </w:tc>
        <w:tc>
          <w:tcPr>
            <w:tcW w:w="958" w:type="pct"/>
            <w:tcBorders>
              <w:top w:val="single" w:sz="7" w:space="0" w:color="000000"/>
              <w:left w:val="single" w:sz="7" w:space="0" w:color="000000"/>
              <w:bottom w:val="single" w:sz="7" w:space="0" w:color="000000"/>
              <w:right w:val="single" w:sz="7" w:space="0" w:color="000000"/>
            </w:tcBorders>
          </w:tcPr>
          <w:p w14:paraId="6BD991D7"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7582</w:t>
            </w:r>
          </w:p>
        </w:tc>
        <w:tc>
          <w:tcPr>
            <w:tcW w:w="1593" w:type="pct"/>
            <w:tcBorders>
              <w:top w:val="single" w:sz="7" w:space="0" w:color="000000"/>
              <w:left w:val="single" w:sz="7" w:space="0" w:color="000000"/>
              <w:bottom w:val="single" w:sz="7" w:space="0" w:color="000000"/>
              <w:right w:val="single" w:sz="7" w:space="0" w:color="000000"/>
            </w:tcBorders>
          </w:tcPr>
          <w:p w14:paraId="14BCE2EA" w14:textId="77777777" w:rsidR="00443399" w:rsidRPr="00B03B51" w:rsidRDefault="00443399" w:rsidP="0054365B">
            <w:pPr>
              <w:pStyle w:val="TableParagraph"/>
              <w:jc w:val="center"/>
              <w:rPr>
                <w:rFonts w:ascii="Times New Roman" w:hAnsi="Times New Roman" w:cs="Times New Roman"/>
                <w:noProof/>
                <w:sz w:val="24"/>
              </w:rPr>
            </w:pPr>
            <w:r w:rsidRPr="00B03B51">
              <w:rPr>
                <w:rFonts w:ascii="Times New Roman" w:hAnsi="Times New Roman" w:cs="Times New Roman"/>
                <w:sz w:val="24"/>
              </w:rPr>
              <w:t>9000</w:t>
            </w:r>
          </w:p>
        </w:tc>
      </w:tr>
    </w:tbl>
    <w:p w14:paraId="6B968E4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9DCD18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Kapitāla pārvedums, kas ierakstīts jaunā līguma darbības laikā: 10 000–7582=2418</w:t>
      </w:r>
    </w:p>
    <w:p w14:paraId="775FB1A9"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2D2F9D60" w14:textId="77777777" w:rsidR="00443399" w:rsidRPr="00B03B51" w:rsidRDefault="00443399" w:rsidP="00443399">
      <w:pPr>
        <w:jc w:val="both"/>
        <w:rPr>
          <w:rFonts w:ascii="Times New Roman" w:eastAsia="Arial" w:hAnsi="Times New Roman" w:cs="Times New Roman"/>
          <w:noProof/>
          <w:sz w:val="24"/>
          <w:szCs w:val="18"/>
        </w:rPr>
      </w:pPr>
    </w:p>
    <w:p w14:paraId="16B544D1"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588" w:name="7.4_Government_guarantees"/>
      <w:bookmarkStart w:id="589" w:name="_bookmark58"/>
      <w:bookmarkStart w:id="590" w:name="_Toc67565207"/>
      <w:bookmarkEnd w:id="588"/>
      <w:bookmarkEnd w:id="589"/>
      <w:r w:rsidRPr="00B03B51">
        <w:rPr>
          <w:rFonts w:ascii="Times New Roman" w:hAnsi="Times New Roman" w:cs="Times New Roman"/>
          <w:sz w:val="28"/>
          <w:szCs w:val="44"/>
        </w:rPr>
        <w:t>7.4. Valdības galvojumi</w:t>
      </w:r>
      <w:bookmarkEnd w:id="590"/>
    </w:p>
    <w:p w14:paraId="431DD0B4" w14:textId="77777777" w:rsidR="00443399" w:rsidRPr="00100B51" w:rsidRDefault="00443399" w:rsidP="00100B51">
      <w:pPr>
        <w:rPr>
          <w:rFonts w:ascii="Times New Roman" w:hAnsi="Times New Roman" w:cs="Times New Roman"/>
          <w:noProof/>
          <w:sz w:val="24"/>
          <w:szCs w:val="24"/>
        </w:rPr>
      </w:pPr>
      <w:bookmarkStart w:id="591" w:name="7.4.1_Background"/>
      <w:bookmarkEnd w:id="591"/>
    </w:p>
    <w:p w14:paraId="69DC6DDE"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92" w:name="_Toc67565208"/>
      <w:r w:rsidRPr="00B03B51">
        <w:rPr>
          <w:rFonts w:ascii="Times New Roman" w:hAnsi="Times New Roman" w:cs="Times New Roman"/>
          <w:sz w:val="24"/>
        </w:rPr>
        <w:t>7.4.1. Vispārīga informācija</w:t>
      </w:r>
      <w:bookmarkEnd w:id="592"/>
    </w:p>
    <w:p w14:paraId="486FCDB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34C1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Daudzās ES dalībvalstīs valdība (parasti centrālās valdības līmenī, bet dažkārt arī pavalsts līmeņa valdība vai vietējā pašvaldība) sniedz garantijas attiecībā uz noteiktu publiskā un privātā sektora sabiedrību un citu subjektu aizņēmumiem. Garantija var būt gan beznosacījuma, gan nosacījuma, un valdība var rīkoties atsevišķi vai kopā ar citām vienībām. Šādi saņēmējai vienībai parasti tiek nodrošināta iespēja saņemt aizdevumu ar zemāku procentu likmi</w:t>
      </w:r>
      <w:r w:rsidRPr="00B03B51">
        <w:rPr>
          <w:rStyle w:val="FootnoteReference"/>
          <w:rFonts w:ascii="Times New Roman" w:hAnsi="Times New Roman" w:cs="Times New Roman"/>
          <w:noProof/>
          <w:sz w:val="24"/>
        </w:rPr>
        <w:footnoteReference w:id="257"/>
      </w:r>
      <w:r w:rsidRPr="00B03B51">
        <w:rPr>
          <w:rFonts w:ascii="Times New Roman" w:hAnsi="Times New Roman" w:cs="Times New Roman"/>
          <w:sz w:val="24"/>
        </w:rPr>
        <w:t>, bet dažos gadījumos šāds atbalsts ir nepieciešams pat tam, lai vienība varētu piekļūt aizdevumu tirgiem. Garantiju iespējams izmantot (t. i., realizēt galvotāja saistības) dažādos veidos. Visbiežāk garantijas izmantošanas pieprasījumu aktivē kreditors, piemēram, banka, un bieži vien tas notiek pēc pirmā pieprasījuma. Parasti šādos garantijas pieprasījumos ir iesaistītas trīs puses – debitors, piemēram, publiska sabiedrība, kreditors, piemēram, banka, un galvotājs (šajā nodaļā – valdības vienība).</w:t>
      </w:r>
    </w:p>
    <w:p w14:paraId="76F6C0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34585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Garantiju izsniegšana attiecībā uz dažu subjektu turētiem aktīviem var ietilpt valdības ierastajā praksē, vai tā var šādi rīkoties, īstenodama valdības politiku. Šādā gadījumā valdība apņemas segt zaudējumus, kas saistīti ar aktīvu vērtības samazināšanos vai neatgūtajiem līdzekļiem, un pastāv vairāki veidi, kā aktivizēt galvotāja saistības. Jautājumu par garantijām, kas attiecas uz nozīmīgiem problemātiskiem aktīviem, skat. 4.5. nodaļā “Finanšu sanācija”.</w:t>
      </w:r>
    </w:p>
    <w:p w14:paraId="4D1643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A251E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Šajā nodaļā netiek skatītas turpmāk norādīto veidu garantijas,</w:t>
      </w:r>
    </w:p>
    <w:p w14:paraId="2D1EBB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EFC25EB"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Valdības netiešās garantijas pretstatā oficiālajām garantijām, kuras parasti ir noteiktas līgumos (piemēram, garantētas vērtspapīru emisijas gadījumā). Netiešās garantijas var izrietēt no akcionāra pienākumiem, kurus valdība uzņēmusies, vai vienību kontroles pienākumiem, kad tiek paredzēts, ka valdība iejauksies visos gadījumos, kad tiks konstatētas problēmas. Netiešās garantijas var būt saistītas arī ar saimniecisko darbību, kas tiek uzskatīta par neatņemamu tautsaimniecības daļu, pieņemot, ka valdība iejauksies, lai novērstu neveiksmi.</w:t>
      </w:r>
    </w:p>
    <w:p w14:paraId="7A476390"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Formālās garantiju saistības, kas ir samērā līdzīgas apdrošināšanas shēmām. Piemēram, valdība var “garantēt”, ka mājsaimniecības veiks noteiktus maksājumus (piemēram, mājokļa īres maksu) vai izdot garantiju attiecībā uz īpašiem notikumiem (piemēram, mākslas izstādēm).</w:t>
      </w:r>
    </w:p>
    <w:p w14:paraId="1FC378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E67A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Valdība var izsniegt trīs veidu garantijas:</w:t>
      </w:r>
    </w:p>
    <w:p w14:paraId="2CE5B39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327AAC2"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atvasināta instrumenta formā (piemēram, kredīta atvasinātos mijmaiņas darījumus), kas tiek traktēti atbilstīgi tam, kā parasti traktē atvasinātos instrumentus, un kam nav nepieciešami īpaši noteikumi attiecībā uz šādiem valdības darījumiem;</w:t>
      </w:r>
    </w:p>
    <w:p w14:paraId="23CE9478"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standartizētu garantiju formā (ieviestas NKS 2008 un EKS 2010), skat. šīs rokasgrāmatas 7.4.4. nodaļu;</w:t>
      </w:r>
    </w:p>
    <w:p w14:paraId="472277B8"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“vienreizēju” garantiju formā (skat. 7.4.2. iedaļu).</w:t>
      </w:r>
    </w:p>
    <w:p w14:paraId="10579A33" w14:textId="77777777" w:rsidR="00443399" w:rsidRPr="00B03B51" w:rsidRDefault="00443399" w:rsidP="00443399">
      <w:pPr>
        <w:jc w:val="both"/>
        <w:rPr>
          <w:rFonts w:ascii="Times New Roman" w:eastAsia="Arial" w:hAnsi="Times New Roman" w:cs="Times New Roman"/>
          <w:noProof/>
          <w:sz w:val="24"/>
          <w:szCs w:val="20"/>
        </w:rPr>
      </w:pPr>
    </w:p>
    <w:p w14:paraId="0BC34D87"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5. EKS 2010 5.190. punktā sniegta standartizētu garantiju definīcija, proti, tās ir garantijas, kuras </w:t>
      </w:r>
      <w:r w:rsidRPr="00B03B51">
        <w:rPr>
          <w:rFonts w:ascii="Times New Roman" w:hAnsi="Times New Roman" w:cs="Times New Roman"/>
          <w:i/>
          <w:iCs/>
          <w:sz w:val="24"/>
          <w:szCs w:val="19"/>
        </w:rPr>
        <w:t xml:space="preserve">tiek emitētas lielā skaitā, parasti par salīdzinoši mazām summām, saskaņā ar identiskiem </w:t>
      </w:r>
      <w:r w:rsidRPr="00B03B51">
        <w:rPr>
          <w:rFonts w:ascii="Times New Roman" w:hAnsi="Times New Roman" w:cs="Times New Roman"/>
          <w:i/>
          <w:iCs/>
          <w:sz w:val="24"/>
          <w:szCs w:val="19"/>
        </w:rPr>
        <w:lastRenderedPageBreak/>
        <w:t>noteikumiem</w:t>
      </w:r>
      <w:r w:rsidRPr="00B03B51">
        <w:rPr>
          <w:rFonts w:ascii="Times New Roman" w:hAnsi="Times New Roman" w:cs="Times New Roman"/>
          <w:sz w:val="24"/>
          <w:szCs w:val="19"/>
        </w:rPr>
        <w:t>. To galvenās pazīmes ir šādas:</w:t>
      </w:r>
    </w:p>
    <w:p w14:paraId="5E81F3F5"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3A78D585"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tās tiek izdotas vairāku tādu finanšu iestāžu vajadzībām, kuras izsniedz kredītus precīzam mērķim paredzētā programmā;</w:t>
      </w:r>
    </w:p>
    <w:p w14:paraId="48A42F26"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attiecas uz šo finanšu iestāžu aktīviem (garantijas ierosināšana prasījuma dēļ netiek attiecināta uz gadījumiem, kad aizdevēja vienība nespēj izpildīt savas parādsaistības);</w:t>
      </w:r>
    </w:p>
    <w:p w14:paraId="5DB1AADB"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piešķirtas saistībā ar sabiedrības interesēm atbilstošu politiku.</w:t>
      </w:r>
    </w:p>
    <w:p w14:paraId="03F47C8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55A59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Standartizētās garantijas ir, piemēram, aizdevumi studentiem (jo īpaši augstas studiju maksas gadījumos), hipotekārie kredīti mājsaimniecībām (parasti aizdevumu ņēmējiem ar zemiem ienākumiem) un eksporta kredīti.</w:t>
      </w:r>
      <w:r w:rsidRPr="00B03B51">
        <w:rPr>
          <w:rStyle w:val="FootnoteReference"/>
          <w:rFonts w:ascii="Times New Roman" w:hAnsi="Times New Roman" w:cs="Times New Roman"/>
          <w:noProof/>
          <w:sz w:val="24"/>
        </w:rPr>
        <w:footnoteReference w:id="258"/>
      </w:r>
    </w:p>
    <w:p w14:paraId="062C4DE1" w14:textId="77777777" w:rsidR="00443399" w:rsidRPr="00B03B51" w:rsidRDefault="00443399" w:rsidP="00443399">
      <w:pPr>
        <w:jc w:val="both"/>
        <w:rPr>
          <w:rFonts w:ascii="Times New Roman" w:eastAsia="Arial" w:hAnsi="Times New Roman" w:cs="Times New Roman"/>
          <w:noProof/>
          <w:sz w:val="24"/>
          <w:szCs w:val="14"/>
        </w:rPr>
      </w:pPr>
    </w:p>
    <w:p w14:paraId="6CB457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Atšķirībā no standartizētajām garantijām vienreizējās garantijas tiek izsniegtas, pamatojoties uz katra gadījuma atsevišķu novērtējumu, parasti – par samērā ievērojamām summām un saskaņā ar individuāliem līgumiem. Tās netiek izsniegtas vispārējā satvarā un paredz ciešu valdības uzraudzību individuālajā līmenī. Attiecībā uz to ietekmi bieži vien tiek piemērotas konkurences iestāžu pārbaudes.</w:t>
      </w:r>
    </w:p>
    <w:p w14:paraId="5D8F998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900EF9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EKS 2010 ir norādīta vēl viena atšķirība starp standartizētām garantijām un vienreizējām garantijām. Pirmajā gadījumā galvotājiem, piedāvājot standartizēto garantiju, jāspēj aprēķināt vidējos zaudējumus, pamatojoties uz pieejamajiem statistikas datiem un izmantojot “prognozēto garantijas izmantošanas risku”. Vienreizēju garantiju gadījumā galvotāji parasti sākumā nespēs ticami novērtēt garantijas izmantošanas risku, jo to praktiski nav iespējams prognozēt lietas unikalitātes dēļ.</w:t>
      </w:r>
    </w:p>
    <w:p w14:paraId="63F5164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C647D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Kopumā maksu par vienreizējām garantijām, ko valdība saņem kā galvotāja, klasificē kā maksu par pakalpojumu, t. i., kā maksājumu par ārpustirgus produkciju (P.131). Atbilstīgi uzkrāšanas principam šie ieņēmumi ir jāsadala pa visu garantijas derīguma termiņu. Maksas, ko valdība saņem saistībā ar standartizētajām garantijām, ir līdzvērtīgas apdrošināšanas prēmijām, jo īpaši eksporta kredīta shēmu gadījumā, un tāpēc tās ir jātraktē līdzīgi noteikumiem, kas sniegti EKS 2010 par nedzīvības apdrošināšanu (skat. EKS 2010 16. nodaļu).</w:t>
      </w:r>
    </w:p>
    <w:p w14:paraId="462144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5E7EE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Tomēr konkrētu vienreizēju garantiju gadījumā, maksājumu summa, ko saņēmusi valdība, varētu būt ievērojami neproporcionāla ar valdības izmaksām, kas saistītas ar garantijas nodrošināšanu. Šādā gadījumā maksa (kas ir neproporcionāla) pēc būtības ir obligāts maksājums, un tā ir uzskatāma par neatlīdzināmu. Tas nozīmē, ka šādos gadījumos nodoklis (D.29) būtu ierakstāms saskaņā ar EKS 2010 4.23. punktu.</w:t>
      </w:r>
    </w:p>
    <w:p w14:paraId="153679D3" w14:textId="77777777" w:rsidR="00443399" w:rsidRPr="00B03B51" w:rsidRDefault="00443399" w:rsidP="00443399">
      <w:pPr>
        <w:jc w:val="both"/>
        <w:rPr>
          <w:rFonts w:ascii="Times New Roman" w:eastAsia="Arial" w:hAnsi="Times New Roman" w:cs="Times New Roman"/>
          <w:noProof/>
          <w:sz w:val="24"/>
          <w:szCs w:val="18"/>
        </w:rPr>
      </w:pPr>
    </w:p>
    <w:p w14:paraId="65EC3F55" w14:textId="77777777" w:rsidR="00443399" w:rsidRPr="00B03B51" w:rsidRDefault="00443399" w:rsidP="00210375">
      <w:pPr>
        <w:pStyle w:val="Heading3"/>
        <w:keepNext/>
        <w:tabs>
          <w:tab w:val="left" w:pos="1267"/>
        </w:tabs>
        <w:ind w:left="0" w:firstLine="0"/>
        <w:jc w:val="both"/>
        <w:rPr>
          <w:rFonts w:ascii="Times New Roman" w:hAnsi="Times New Roman" w:cs="Times New Roman"/>
          <w:noProof/>
          <w:sz w:val="24"/>
        </w:rPr>
      </w:pPr>
      <w:bookmarkStart w:id="593" w:name="7.4.2_One-off_guarantees"/>
      <w:bookmarkStart w:id="594" w:name="_Toc67565209"/>
      <w:bookmarkEnd w:id="593"/>
      <w:r w:rsidRPr="00B03B51">
        <w:rPr>
          <w:rFonts w:ascii="Times New Roman" w:hAnsi="Times New Roman" w:cs="Times New Roman"/>
          <w:sz w:val="24"/>
        </w:rPr>
        <w:t>7.4.2. Vienreizējas garantijas</w:t>
      </w:r>
      <w:bookmarkEnd w:id="594"/>
    </w:p>
    <w:p w14:paraId="33469C1C" w14:textId="77777777" w:rsidR="00443399" w:rsidRPr="003E7255" w:rsidRDefault="00443399" w:rsidP="003E7255">
      <w:pPr>
        <w:rPr>
          <w:rFonts w:ascii="Times New Roman" w:hAnsi="Times New Roman" w:cs="Times New Roman"/>
          <w:noProof/>
          <w:sz w:val="24"/>
          <w:szCs w:val="24"/>
        </w:rPr>
      </w:pPr>
      <w:bookmarkStart w:id="595" w:name="7.4.2.1_Treatment_in_national_accounts"/>
      <w:bookmarkEnd w:id="595"/>
    </w:p>
    <w:p w14:paraId="36DFBE28" w14:textId="77777777" w:rsidR="00443399" w:rsidRPr="00B03B51" w:rsidRDefault="00443399" w:rsidP="00210375">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7.4.2.1. TRAKTĒJUMS NACIONĀLAJOS KONTOS</w:t>
      </w:r>
    </w:p>
    <w:p w14:paraId="408ED228" w14:textId="77777777" w:rsidR="00443399" w:rsidRPr="00B03B51" w:rsidRDefault="00443399" w:rsidP="00210375">
      <w:pPr>
        <w:keepNext/>
        <w:tabs>
          <w:tab w:val="left" w:pos="1692"/>
        </w:tabs>
        <w:jc w:val="both"/>
        <w:rPr>
          <w:rFonts w:ascii="Times New Roman" w:hAnsi="Times New Roman" w:cs="Times New Roman"/>
          <w:b/>
          <w:noProof/>
          <w:sz w:val="24"/>
        </w:rPr>
      </w:pPr>
      <w:bookmarkStart w:id="596" w:name="7.4.2.1.1._General_case"/>
      <w:bookmarkEnd w:id="596"/>
    </w:p>
    <w:p w14:paraId="42212944" w14:textId="77777777" w:rsidR="00443399" w:rsidRPr="003E7255" w:rsidRDefault="00443399" w:rsidP="003E7255">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7.4.2.1.1. Vispārējs gadījums</w:t>
      </w:r>
    </w:p>
    <w:p w14:paraId="0D38DC4A" w14:textId="77777777" w:rsidR="00443399" w:rsidRPr="00B03B51" w:rsidRDefault="00443399" w:rsidP="00210375">
      <w:pPr>
        <w:pStyle w:val="BodyText"/>
        <w:keepNext/>
        <w:tabs>
          <w:tab w:val="left" w:pos="843"/>
        </w:tabs>
        <w:spacing w:before="0"/>
        <w:ind w:left="0" w:firstLine="0"/>
        <w:jc w:val="both"/>
        <w:rPr>
          <w:rFonts w:ascii="Times New Roman" w:hAnsi="Times New Roman" w:cs="Times New Roman"/>
          <w:noProof/>
          <w:sz w:val="24"/>
        </w:rPr>
      </w:pPr>
    </w:p>
    <w:p w14:paraId="5967BA67" w14:textId="77777777" w:rsidR="00443399" w:rsidRPr="00B03B51" w:rsidRDefault="00443399" w:rsidP="00210375">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Parasti valdības garantētu parādu ieraksta vienīgi kā aizdevuma ņēmēja aizņēmumu un aizdevēja aktīvu neatkarīgi no tā, vai garantija attiecas uz konkrētiem aizņēmumiem (piemēram, uz vienu konkrētu aizdevumu) vai uz visu uzņēmuma parādu. Valdībai tās ir iespējamās saistības, kas netiek ierakstītas EKS bilancēs (bet var būt norādītas kā ārpusbilances postenis vai piezīme).</w:t>
      </w:r>
    </w:p>
    <w:p w14:paraId="7B66F2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762FD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Ja tiek pieprasīts izmaksāt garantiju vai tās daļu, valdība pārņem pieprasīto aizņēmēja parāda daļu, uzņemoties šādu parādu (skat. 7.2. nodaļu), un to ieraksta kā valdības kapitāla pārvedumu (D.99) aizņēmējam par pieprasīto summu. Tas ietekmē valdības neto aizdevumu/aizņēmumu (B.9). Kapitāla pārvedumu saskaņo ar finanšu darījumu, pārceļot finanšu saistības valdībai no aizņēmēja. Valdība var nekavējoties vai sekojoši veikt atsevišķu finanšu darījumu, kad tā atmaksā aizdevējam nenomaksāto parāda summu. Šāds finanšu darījums neietekmē valdības neto aizdevumu/aizņēmumu (B.9). Maksājumā var tikt iekļauti arī uzkrātie procenti, kas nav samaksāti pārņemšanas brīdī un kurus parasti pievieno instrumentam.</w:t>
      </w:r>
    </w:p>
    <w:p w14:paraId="6B98966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CF819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Garantēto parādu neieraksta publisko pārskatu bilancē, kamēr netiek sākta (aktivēta) garantijas izmantošana. Tomēr tiek gaidīts, ka informācija par valdības garantijām ir publiski pieejama. Parasti parlaments apstiprina garantijas summas augstāko robežu, kuru valdībai ir tiesības izsniegt attiecīgajā fiskālajā gadā.</w:t>
      </w:r>
    </w:p>
    <w:p w14:paraId="4EABDF2A" w14:textId="77777777" w:rsidR="00443399" w:rsidRPr="00B03B51" w:rsidRDefault="00443399" w:rsidP="00443399">
      <w:pPr>
        <w:jc w:val="both"/>
        <w:rPr>
          <w:rFonts w:ascii="Times New Roman" w:eastAsia="Arial" w:hAnsi="Times New Roman" w:cs="Times New Roman"/>
          <w:noProof/>
          <w:sz w:val="24"/>
          <w:szCs w:val="19"/>
        </w:rPr>
      </w:pPr>
    </w:p>
    <w:p w14:paraId="329D2F84"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Pieprasījumi par garantijas daļēju izmaksāšanu</w:t>
      </w:r>
    </w:p>
    <w:p w14:paraId="5334ABF3" w14:textId="77777777" w:rsidR="00443399" w:rsidRPr="00B03B51" w:rsidRDefault="00443399" w:rsidP="00443399">
      <w:pPr>
        <w:jc w:val="both"/>
        <w:rPr>
          <w:rFonts w:ascii="Times New Roman" w:eastAsia="Arial" w:hAnsi="Times New Roman" w:cs="Times New Roman"/>
          <w:b/>
          <w:bCs/>
          <w:noProof/>
          <w:sz w:val="24"/>
        </w:rPr>
      </w:pPr>
    </w:p>
    <w:p w14:paraId="26B570A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Pieprasījums par garantijas daļēju izmaksu (dažkārt dēvēts par “skaidras naudas pieprasījumu”) pastāv gadījumos, kad valdība veic vienu maksājumu. Valdības faktisko maksājumu ieraksta kā parāda pārņemšanu – kapitāla pārveduma (D.99) izdevumus, ko līdzsvaro ar valūtas un noguldījuma (F.2) samazinājumu (skat. šīs rokasgrāmatas 7.4.2.2.1. apakšiedaļu un lēmuma pieņemšanas shēmu šīs nodaļas beigās). Konceptuāli to analizē kā parāda pārņemšanu, kad valdība pārņem daļu saistību un it kā būtu veikta finanšu saistību nodošana valdībai, kam seko šīs summas tūlītēja izmaksāšana, lai dzēstu šīs saistības. Tomēr valdībai var arī būt juridisks pienākums automātiski pārņemt visu atlikušo parādu (garantijas pēc pirmā pieprasījuma) sākotnējā gadījuma rezultātā. Atkārtoti garantijas izmaksāšanas pieprasījumi ir apskatīti šīs rokasgrāmatas 7.4.2.1.3. apakšiedaļā.</w:t>
      </w:r>
    </w:p>
    <w:p w14:paraId="19B0902A" w14:textId="77777777" w:rsidR="00443399" w:rsidRPr="003E7255" w:rsidRDefault="00443399" w:rsidP="003E7255">
      <w:pPr>
        <w:rPr>
          <w:rFonts w:ascii="Times New Roman" w:hAnsi="Times New Roman" w:cs="Times New Roman"/>
          <w:noProof/>
          <w:sz w:val="24"/>
          <w:szCs w:val="24"/>
        </w:rPr>
      </w:pPr>
    </w:p>
    <w:p w14:paraId="259763A4"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7.4.2.1.2. Gadījums, kad ir zināms, ka valdība atmaksās parādu</w:t>
      </w:r>
    </w:p>
    <w:p w14:paraId="3BD64FE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7C391F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Dažos gadījumos ir skaidri zināms, ka aizņēmumu atmaksās valdība, lai gan juridiski aizņēmumu ir saņēmusi sabiedrība. Šāda situācija var rasties tikko iegūta parāda vai esoša parāda gadījumā, kad valdība ir sākusi garantijas piešķiršanu.</w:t>
      </w:r>
    </w:p>
    <w:p w14:paraId="14C40D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053F2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Vienkāršos gadījumos to apliecina ar juridiskiem dokumentiem vai arī valdības saistības tiek atzītas publiskajos pārskatos vai līdzīgos dokumentos, piemēram, budžeta dokumentācijā. Šādos gadījumos uzskata, ka sabiedrība vispirms ir nodevusi parādu un pēc tam to ir pārņēmusi valdība. Šāda pārņemšana var notikt nekavējoties, kad jau pašā sākumā ir skaidrs, ka vadība pārņems parādu (t. i., nacionālajos kontos tas tiks jau no paša sākuma attiecināts uz valdību).</w:t>
      </w:r>
    </w:p>
    <w:p w14:paraId="6F7CD3F2" w14:textId="77777777" w:rsidR="00443399" w:rsidRPr="003E7255" w:rsidRDefault="00443399" w:rsidP="003E7255">
      <w:pPr>
        <w:rPr>
          <w:rFonts w:ascii="Times New Roman" w:hAnsi="Times New Roman" w:cs="Times New Roman"/>
          <w:noProof/>
          <w:sz w:val="24"/>
          <w:szCs w:val="24"/>
        </w:rPr>
      </w:pPr>
    </w:p>
    <w:p w14:paraId="22DBE3B3"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7.4.2.1.3. Gadījums, kad konstatē, ka valdība atmaksā vai atmaksās parādu</w:t>
      </w:r>
    </w:p>
    <w:p w14:paraId="68BB1C5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D3C5A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17. Citos gadījumos var nebūt pieejami dokumentēti pierādījumi, kas apliecinātu, ka valdība ir juridiski pārņēmusi parādu, taču var būt citas pazīmes, kas liecina, ka valdība </w:t>
      </w:r>
      <w:r w:rsidRPr="00B03B51">
        <w:rPr>
          <w:rFonts w:ascii="Times New Roman" w:hAnsi="Times New Roman" w:cs="Times New Roman"/>
          <w:i/>
          <w:iCs/>
          <w:sz w:val="24"/>
        </w:rPr>
        <w:t>de facto</w:t>
      </w:r>
      <w:r w:rsidRPr="00B03B51">
        <w:rPr>
          <w:rFonts w:ascii="Times New Roman" w:hAnsi="Times New Roman" w:cs="Times New Roman"/>
          <w:sz w:val="24"/>
        </w:rPr>
        <w:t xml:space="preserve"> ir pārņēmusi parādu. Turpmāk norādīti pierādījumi, kas par to var liecināt.</w:t>
      </w:r>
    </w:p>
    <w:p w14:paraId="3F5F3F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050ABC"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Atkārtoti garantijas izmantošanas pieprasījumi – ir konstatēts, ka valdība veic parāda atmaksu katru gadu</w:t>
      </w:r>
      <w:r w:rsidRPr="00B03B51">
        <w:rPr>
          <w:rStyle w:val="FootnoteReference"/>
          <w:rFonts w:ascii="Times New Roman" w:hAnsi="Times New Roman" w:cs="Times New Roman"/>
          <w:noProof/>
          <w:sz w:val="24"/>
        </w:rPr>
        <w:footnoteReference w:id="259"/>
      </w:r>
      <w:r w:rsidRPr="00B03B51">
        <w:rPr>
          <w:rFonts w:ascii="Times New Roman" w:hAnsi="Times New Roman" w:cs="Times New Roman"/>
          <w:sz w:val="24"/>
        </w:rPr>
        <w:t xml:space="preserve"> tieši (pieprasījuma iesniedzējam, skat. turpmāk) vai netieši, veicot regulārus maksājumus aizdevuma ņēmējam, kas ļauj sabiedrībai atmaksāt visas parādsaistības vai to daļu. Ar šādiem maksājumiem</w:t>
      </w:r>
      <w:r w:rsidRPr="00B03B51">
        <w:rPr>
          <w:rStyle w:val="FootnoteReference"/>
          <w:rFonts w:ascii="Times New Roman" w:hAnsi="Times New Roman" w:cs="Times New Roman"/>
          <w:noProof/>
          <w:sz w:val="24"/>
        </w:rPr>
        <w:footnoteReference w:id="260"/>
      </w:r>
      <w:r w:rsidRPr="00B03B51">
        <w:rPr>
          <w:rFonts w:ascii="Times New Roman" w:hAnsi="Times New Roman" w:cs="Times New Roman"/>
          <w:sz w:val="24"/>
        </w:rPr>
        <w:t xml:space="preserve"> vienībai tiek sniegti līdzekļi, kas tai nepieciešami, lai atmaksātu kreditoriem aizdevumu, oficiāli neierosinot garantijas izmantošanu vai negrozot parāda noteikumus (tostarp ar valdības piešķirtu finansiālo avansu). Ja šāds atbalsts kļūst regulārs, to uzskata par “slēptu” vai netiešu garantijas izmantošanas pieprasījumu</w:t>
      </w:r>
      <w:r w:rsidRPr="00B03B51">
        <w:rPr>
          <w:rStyle w:val="FootnoteReference"/>
          <w:rFonts w:ascii="Times New Roman" w:hAnsi="Times New Roman" w:cs="Times New Roman"/>
          <w:noProof/>
          <w:sz w:val="24"/>
        </w:rPr>
        <w:footnoteReference w:id="261"/>
      </w:r>
      <w:r w:rsidRPr="00B03B51">
        <w:rPr>
          <w:rFonts w:ascii="Times New Roman" w:hAnsi="Times New Roman" w:cs="Times New Roman"/>
          <w:sz w:val="24"/>
        </w:rPr>
        <w:t>, kas ierosinātu, ka valdība pārņem parādu.</w:t>
      </w:r>
    </w:p>
    <w:p w14:paraId="1079A7EA" w14:textId="77777777" w:rsidR="00443399" w:rsidRPr="00B03B51" w:rsidRDefault="00443399" w:rsidP="00BD4F89">
      <w:pPr>
        <w:pStyle w:val="BodyText"/>
        <w:numPr>
          <w:ilvl w:val="1"/>
          <w:numId w:val="41"/>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Publiskajos pārskatos vai līdzīgos dokumentos ir ierakstīts nodrošinājums, kas liecina par ļoti augstu varbūtību, ka valdība atmaksās parādu un ka valdība to jau ir atzinusi, atkāpjoties no savas parastās piesardzības prakses.</w:t>
      </w:r>
    </w:p>
    <w:p w14:paraId="262B78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CC529A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Šajos gadījumos valdība pārņem nenomaksātā parāda summu vai attiecīgo parāda daļu, kas tiek traktēta nacionālajos kontos, laika posmā, attiecībā uz kuru tiek uzskatīts, ka tad tā ir to </w:t>
      </w:r>
      <w:r w:rsidRPr="00B03B51">
        <w:rPr>
          <w:rFonts w:ascii="Times New Roman" w:hAnsi="Times New Roman" w:cs="Times New Roman"/>
          <w:i/>
          <w:iCs/>
          <w:sz w:val="24"/>
        </w:rPr>
        <w:t>de facto</w:t>
      </w:r>
      <w:r w:rsidRPr="00B03B51">
        <w:rPr>
          <w:rFonts w:ascii="Times New Roman" w:hAnsi="Times New Roman" w:cs="Times New Roman"/>
          <w:sz w:val="24"/>
        </w:rPr>
        <w:t xml:space="preserve"> pārņēmusi.</w:t>
      </w:r>
    </w:p>
    <w:p w14:paraId="62DCEB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04A223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19. Piemēram, konkrēti gadījumi ir atkārtoti garantijas izmaksāšanas pieprasījumi (vai arī, ja aizņēmējam veic ekvivalentus maksājumus, līdzīgi kā atkārtotas kapitāla iepludināšanas gadījumā, lai novērstu nepieciešamību iesniegt garantijas izmaksāšanas pieprasījumus). Otrajā gadījumā valdība faktiski atmaksā parādu, lai arī juridiski tai nav pienākuma to darīt, un oficiāli to neieraksta kā parāda atmaksu publiskajos pārskatos. Katrs šāds gadījums jāanalizē atsevišķi.</w:t>
      </w:r>
    </w:p>
    <w:p w14:paraId="471068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880D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Praktisks norādījums, ja valdība atmaksā parādu saskaņā ar trim secīgiem pieprasījumiem, ko dēvē par “trīs pieprasījumu principu” (skat. iepriekš skaidrojumu par netiešajiem pieprasījumiem), tad uzskata, ka valdība ir automātiski pārņēmusi parādu. Parasti tiks pārņemts viss parāds, lai arī to var samazināt tikai līdz tai daļai, attiecībā uz kuru var paredzēt, ka valdība to atmaksās, ja tam ir apliecinājums. Parāda pārņemšana jāieraksta laikā, kad radās notikums, kas ir pamatā statistiskajam lēmumam atzīt parāda pārņemšanu, piemēram, laikā, kad veikts trešais ikgadējais maksājums. Parāda pārņemšanu ieraksta atbilstoši 7.4.2.1.1. apakšiedaļai. Ja valdība izsniegusi garantiju attiecībā uz vairākiem viena subjekta emitētiem parāda instrumentiem, minēto noteikumu piemēro, pamatojoties uz jebkuru no pieprasījumiem attiecībā uz garantētajām saistībām konkrētajā gadā (un ir līdzvērtīgs vienam pieprasījumam šajā gadā). Līdz ar to gadījumā, ja tiek nospriests, ka tiks pārņemts viss parāds, tad viss šā subjekta valdības garantētais parāds tiek pārņemts vienlaikus.</w:t>
      </w:r>
    </w:p>
    <w:p w14:paraId="0D6B0E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2030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Izņēmumu piemēro, ja ir skaidras norādes, ka šis stāvoklis (t. i., saistību nepildīšana) neturpināsies. Tas varētu nozīmēt, ka ir nolemts fundamentāli pārstrukturēt aizņēmumu paņēmušo vienību, kurai izsniegta garantija (turpmāk saukta par aizņēmēju), un no iesniedzamā uzņēmējdarbības plāna var secināt, ka subjekts turpmāk spēs izpildīt savas parādsaistības.</w:t>
      </w:r>
    </w:p>
    <w:p w14:paraId="70EE133E" w14:textId="77777777" w:rsidR="00443399" w:rsidRPr="003E7255" w:rsidRDefault="00443399" w:rsidP="003E7255">
      <w:pPr>
        <w:rPr>
          <w:rFonts w:ascii="Times New Roman" w:hAnsi="Times New Roman" w:cs="Times New Roman"/>
          <w:noProof/>
          <w:sz w:val="24"/>
          <w:szCs w:val="24"/>
        </w:rPr>
      </w:pPr>
    </w:p>
    <w:p w14:paraId="78652F53" w14:textId="77777777" w:rsidR="00443399" w:rsidRPr="00B03B51" w:rsidRDefault="00443399" w:rsidP="00443399">
      <w:pPr>
        <w:pStyle w:val="Heading6"/>
        <w:tabs>
          <w:tab w:val="left" w:pos="1692"/>
        </w:tabs>
        <w:ind w:left="0" w:firstLine="0"/>
        <w:jc w:val="both"/>
        <w:rPr>
          <w:rFonts w:ascii="Times New Roman" w:hAnsi="Times New Roman" w:cs="Times New Roman"/>
          <w:b w:val="0"/>
          <w:bCs w:val="0"/>
          <w:noProof/>
          <w:sz w:val="24"/>
        </w:rPr>
      </w:pPr>
      <w:r w:rsidRPr="00B03B51">
        <w:rPr>
          <w:rFonts w:ascii="Times New Roman" w:hAnsi="Times New Roman" w:cs="Times New Roman"/>
          <w:sz w:val="24"/>
        </w:rPr>
        <w:t>7.4.2.1.4. Gadījums, kad saistību pārņemšana ietver prasījumu attiecībā uz trešās puses finanšu aktīvu</w:t>
      </w:r>
      <w:r w:rsidRPr="00B03B51">
        <w:rPr>
          <w:rStyle w:val="FootnoteReference"/>
          <w:rFonts w:ascii="Times New Roman" w:hAnsi="Times New Roman" w:cs="Times New Roman"/>
          <w:noProof/>
          <w:sz w:val="24"/>
        </w:rPr>
        <w:footnoteReference w:id="262"/>
      </w:r>
    </w:p>
    <w:p w14:paraId="5CD5827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5FA8D5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22. Garantija attiecībā uz saistībām var būt pieprasīta (iespējams, pēc kreditoru ierosmes), ja aizņēmējs nespēj izpildīt savas parādsaistības noteiktajā termiņā, nevis tāpēc, ka tai radušās maksātspējas problēmas. Piemērs var būt pārejošas likviditātes grūtības. Dažos gadījumos, piemēram, saistībā ar eksporta kredīta garantijām, parāda pārņemšana var nozīmēt prasījuma attiecībā uz trešās puses aktīvu automātisku nodošanu</w:t>
      </w:r>
      <w:r w:rsidRPr="00B03B51">
        <w:rPr>
          <w:rStyle w:val="FootnoteReference"/>
          <w:rFonts w:ascii="Times New Roman" w:hAnsi="Times New Roman" w:cs="Times New Roman"/>
          <w:noProof/>
          <w:sz w:val="24"/>
        </w:rPr>
        <w:footnoteReference w:id="263"/>
      </w:r>
      <w:r w:rsidRPr="00B03B51">
        <w:rPr>
          <w:rFonts w:ascii="Times New Roman" w:hAnsi="Times New Roman" w:cs="Times New Roman"/>
          <w:sz w:val="24"/>
        </w:rPr>
        <w:t>. Tas var būt arī gadījumā, kad garantētais aizņēmums ir nodrošināts ar konkrētiem aktīviem (piemēram, ķīlas zīmēm</w:t>
      </w:r>
      <w:r w:rsidRPr="00B03B51">
        <w:rPr>
          <w:rStyle w:val="FootnoteReference"/>
          <w:rFonts w:ascii="Times New Roman" w:hAnsi="Times New Roman" w:cs="Times New Roman"/>
          <w:noProof/>
          <w:sz w:val="24"/>
        </w:rPr>
        <w:footnoteReference w:id="264"/>
      </w:r>
      <w:r w:rsidRPr="00B03B51">
        <w:rPr>
          <w:rFonts w:ascii="Times New Roman" w:hAnsi="Times New Roman" w:cs="Times New Roman"/>
          <w:sz w:val="24"/>
        </w:rPr>
        <w:t>). Šajā gadījumā no kapitāla pārveduma jāatskaita valdībai nodotā aktīva tirgus vērtība, kā paredzēts garantijas līgumā</w:t>
      </w:r>
      <w:r w:rsidRPr="00B03B51">
        <w:rPr>
          <w:rStyle w:val="FootnoteReference"/>
          <w:rFonts w:ascii="Times New Roman" w:hAnsi="Times New Roman" w:cs="Times New Roman"/>
          <w:noProof/>
          <w:sz w:val="24"/>
        </w:rPr>
        <w:footnoteReference w:id="265"/>
      </w:r>
      <w:r w:rsidRPr="00B03B51">
        <w:rPr>
          <w:rFonts w:ascii="Times New Roman" w:hAnsi="Times New Roman" w:cs="Times New Roman"/>
          <w:sz w:val="24"/>
        </w:rPr>
        <w:t>, ja vien pastāv augsta varbūtība, ka valdība spēs realizēt šā aktīva vērtību īsā laika posmā. Ja tirgus vērtība nav pieejama, var aprēķināt patieso vērtību, pamatojoties uz parastajiem uzņēmējdarbības aprēķināšanas paņēmieniem/modeļiem, ko veic neatkarīga struktūra. Tā daļa, kas tiek atzīta par prasījumu, ir traktējama saskaņā ar nākamajā punktā sniegto skaidrojumu.</w:t>
      </w:r>
    </w:p>
    <w:p w14:paraId="780DC78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AB8B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23. Ja garantija tiek izsniegta par finanšu aktīviem, jebkurš prasījums ir jāieraksta kā valdības kapitāla pārveduma izdevumi. Var gadīties, ka vienošanās, kas noslēgta starp vienību, kurai izsniegta garantija, un valdību, paredz, ka noteiktos apstākļos garantētos aktīvus var pārskaitīt valdībai. To ieraksta pārskaitījuma brīdī valdības kontos kā kapitāla pārveduma izdevumu samazinājumu pilnas pārskaitītā aktīva summas apmērā. Ja nav gaidāms atgūt summas, prasījumu neievada valdības bilancē. Visas negaidīti atgūtās summas ieraksta kā valdības kapitāla pārveduma ieņēmumus. Ja neatkarīga struktūra, izmantojot parastās uzņēmējdarbības vērtēšanas metodes, sniedz ticamas aplēses par atgūstamajām summām, tās ir jāatskaita no kapitāla pārveduma un jātraktē kā finanšu aktīva iegāde. Šādu aktīvu ieraksta valdības bilancē un debitora atmaksājumus valdībai traktē kā finanšu darījumus.</w:t>
      </w:r>
      <w:r w:rsidRPr="00B03B51">
        <w:rPr>
          <w:rStyle w:val="FootnoteReference"/>
          <w:rFonts w:ascii="Times New Roman" w:hAnsi="Times New Roman" w:cs="Times New Roman"/>
          <w:noProof/>
          <w:sz w:val="24"/>
        </w:rPr>
        <w:footnoteReference w:id="266"/>
      </w:r>
    </w:p>
    <w:p w14:paraId="272060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2FF89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Cita iespēja paredz, ka valdības iegūtais aktīvs ir nefinanšu aktīvs, nevis finanšu prasījums, piemēram, nekustamais īpašums. Saistību neizpildes gadījumā valdība pārņem aizņēmēja garantēto parādu un arī īpašumtiesības uz attiecīgo nefinanšu aktīvu. Šis gadījums ierakstāms līdzīgi 22. rindkopā minētajam gadījumam, un nodotā aktīva vērtība ir jāatskaita no kapitāla pārveduma, un tai pilnīgi jākompensē šis pārvedums, ja aktīva vērtība ir vienāda ar pārņemtā parāda vērtību. Tas varētu ietekmēt valdības neto aizdevumu/aizņēmumu (B.9), jo tiktu ierakstīta kapitāla veidošana, taču šī ietekme tikai aizstātu to ietekmi uz B.9, ko šis kapitāla pārvedums būtu radījis. Ja valdība nekavējoties realizē aktīvu tā tirgus vērtībā, galīgā ietekme uz valdības neto aizdevumu/aizņēmumu (B.9) būs neitrāla, ja valdība pārdos aktīvu tālāk par cenu, kas atbilst parāda pārņemšanas brīdī ierakstītajai vērtībai.</w:t>
      </w:r>
    </w:p>
    <w:p w14:paraId="6B617713" w14:textId="77777777" w:rsidR="00443399" w:rsidRPr="003E7255" w:rsidRDefault="00443399" w:rsidP="003E7255">
      <w:pPr>
        <w:rPr>
          <w:rFonts w:ascii="Times New Roman" w:hAnsi="Times New Roman" w:cs="Times New Roman"/>
          <w:noProof/>
          <w:sz w:val="24"/>
          <w:szCs w:val="24"/>
        </w:rPr>
      </w:pPr>
    </w:p>
    <w:p w14:paraId="1521FE27"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7.4.2.1.5. Gadījums, kad saistību pārņemšana ietver prasījumu pret vienību, kurai izsniegta garantija</w:t>
      </w:r>
    </w:p>
    <w:p w14:paraId="541FE78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701D2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Ja valdība pārņem parādu, pamatojoties uz garantijas izmantošanas pieprasījumu, tā vienlaikus var iegūt finanšu aktīvu, kas ir garantiju saņēmušās sabiedrības prasījums, piemēram, prasījumu (kas tiek atzīts publiskajos pārskatos) attiecībā uz visiem atgūtajiem līdzekļiem, ko tā vēlāk var saņemt.</w:t>
      </w:r>
    </w:p>
    <w:p w14:paraId="4C02C0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9FB70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Vairumā gadījumu, kad tiek konstatēts, ka valdība pārņēmusi parādu no publiskas sabiedrības, kura saskaras ar grūtībām, tiek uzskatīts, ka jaunajam valdības prasījumam attiecībā uz sabiedrību (kas, iespējams, ir ierakstīts publiskajos pārskatos) varētu būt nenoteikta vērtība. Šajā gadījumā prasījums nebūtu jāieraksta valdības bilancē. Ja sabiedrība vēlāk veic atmaksu, to ieraksta kā valdības kapitāla pārveduma ieņēmumus, lai veiktu superdividenžu testu (skat. arī turpmāk 7.4.2.1.6. apakšiedaļu). Ja aizņēmējs ir pilnībā privāts subjekts, varētu uzskatīt, ka valdība tur prasījumu. Tomēr gadījumā, ja aizņēmējs uzrāda uzkrātus vai regulārus zaudējumus un jo īpaši negatīvu neto pašu kapitālu, nacionālajos kontos neieraksta prasījumu attiecībā uz šo vienību.</w:t>
      </w:r>
    </w:p>
    <w:p w14:paraId="2A3D812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4908771"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7.4.2.1.6. Apstākļu maiņa pēc parāda pārņemšanas</w:t>
      </w:r>
    </w:p>
    <w:p w14:paraId="07A8BE7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F9F887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27. Pēc tam, kad secināts, ka valdība ir ekonomiski pārņēmusi tās garantēto parādu (skat. 7.4.2.1.3. apakšiedaļu), var rasties situācija, kurā saistību nepildošā aizņēmēja finanšu darbības rādītāji uzlabojas tiktāl, ka tas sāk regulāri atmaksāt parādu un var pārņemt atpakaļ savu juridisko pienākumu attiecībā uz saistībām. Šajā gadījumā iepriekšējais ekonomiskais novērtējums vairs nav atbilstošs, un tiek uzskatīts, ka sabiedrība pārņem parādu atpakaļ no valdības. To ieraksta kā sabiedrības kapitāla pārvedumu valdībai, ko kompensē ar finanšu darījumu, kurā valdība nodod saistības sabiedrībai.</w:t>
      </w:r>
      <w:r w:rsidRPr="00B03B51">
        <w:rPr>
          <w:rStyle w:val="FootnoteReference"/>
          <w:rFonts w:ascii="Times New Roman" w:hAnsi="Times New Roman" w:cs="Times New Roman"/>
          <w:noProof/>
          <w:sz w:val="24"/>
        </w:rPr>
        <w:footnoteReference w:id="267"/>
      </w:r>
    </w:p>
    <w:p w14:paraId="5643F22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ADE52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28. Ja atguvējs subjekts ir publiska sabiedrība, tad attiecībā uz darījumu, kas ierakstīts par labu valdībai, jāpiemēro superdividenžu tests, proti, daļu no maksājuma sadala kā pašu kapitāla atskaitījumus (F.5) attiecībā uz summu, kas pārsniedz sadalāmo ienākumu, neskaitot samaksātās dividendes.</w:t>
      </w:r>
    </w:p>
    <w:p w14:paraId="353C4C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4339B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29. Lai nepieļautu nestabilitāti valdības parāda statistiskā, valdības nosacītais parāds jāsaglabā kā valdības saistības līdz brīdim, kad saistības nepildošais subjekts faktiski veic maksājumus valdībai vai kreditoram un ir pierādījumi, kas liecina, ka šādi maksājumi tiks veikti arī turpmāk. Citiem vārdiem sakot, saistības nepildošā aizņēmēja finanšu situācijas uzlabojums jānovērtē kā pastāvīgs un tāds, kas nav atkarīgs no pagaidu faktoriem.</w:t>
      </w:r>
    </w:p>
    <w:p w14:paraId="5F0A9D8A" w14:textId="77777777" w:rsidR="00443399" w:rsidRPr="003E7255" w:rsidRDefault="00443399" w:rsidP="003E7255">
      <w:pPr>
        <w:rPr>
          <w:rFonts w:ascii="Times New Roman" w:hAnsi="Times New Roman" w:cs="Times New Roman"/>
          <w:noProof/>
          <w:sz w:val="24"/>
          <w:szCs w:val="24"/>
        </w:rPr>
      </w:pPr>
    </w:p>
    <w:p w14:paraId="354A9279" w14:textId="77777777" w:rsidR="00443399" w:rsidRPr="00B03B51" w:rsidRDefault="00443399" w:rsidP="00210375">
      <w:pPr>
        <w:pStyle w:val="Heading6"/>
        <w:keepNext/>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7.4.2.1.7. Turpmākie aizdevumi</w:t>
      </w:r>
    </w:p>
    <w:p w14:paraId="08E1EF8C" w14:textId="77777777" w:rsidR="00443399" w:rsidRPr="00B03B51" w:rsidRDefault="00443399" w:rsidP="00210375">
      <w:pPr>
        <w:pStyle w:val="BodyText"/>
        <w:keepNext/>
        <w:tabs>
          <w:tab w:val="left" w:pos="843"/>
        </w:tabs>
        <w:spacing w:before="0"/>
        <w:ind w:left="0" w:firstLine="0"/>
        <w:jc w:val="both"/>
        <w:rPr>
          <w:rFonts w:ascii="Times New Roman" w:hAnsi="Times New Roman" w:cs="Times New Roman"/>
          <w:noProof/>
          <w:sz w:val="24"/>
        </w:rPr>
      </w:pPr>
    </w:p>
    <w:p w14:paraId="5EAF7B30" w14:textId="77777777" w:rsidR="00443399" w:rsidRPr="00B03B51" w:rsidRDefault="00443399" w:rsidP="00210375">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30. Ja valdība aizņemas tirgū savā vārdā ar mērķi piešķirt līdzekļus sabiedrībām, kurām ir līgumā noteikts pienākums atmaksāt valdībai gan pamatsummu, gan procentus, parādu ieraksta kā valdības parādu izsniegšanas brīdī un atbilstīgo aizdevumu ieraksta attiecībā uz sabiedrībām. Aizdevumu analizē saskaņā ar noteikumiem par kapitāla iepludināšanu publiskās sabiedrībās (skat. 3.2. nodaļu “Kapitāla iepludināšana publiskās sabiedrībās”). Tādējādi tas saskaņā ar </w:t>
      </w:r>
      <w:r w:rsidRPr="00B03B51">
        <w:rPr>
          <w:rFonts w:ascii="Times New Roman" w:hAnsi="Times New Roman" w:cs="Times New Roman"/>
          <w:sz w:val="24"/>
        </w:rPr>
        <w:lastRenderedPageBreak/>
        <w:t>kapitāla iepludināšanas testu var gan ietekmēt, gan neietekmēt valdības neto aizdevumu/aizņēmumu (B.9).</w:t>
      </w:r>
    </w:p>
    <w:p w14:paraId="0D15DC8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B9AC5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Valdība var izsniegt garantiju subjektam par aizņēmumu, kurš tad saskaņā ar valdības norādījumiem finansē sabiedrības, kuras iesaistītas publiskā sektora infrastruktūras projektos vai citos projektos. Ja šis subjekts ir atzīts par atsevišķu institucionālu vienību (skat. EKS 2010 2.12. punktu), aizņēmumu pārvirza tādā veidā, ka tiek ierakstīts valdības aizņēmums no šīs vienības un aizdevums šai vienībai. Tomēr biežāk subjekts netiek atzīts kā institucionāla vienība (piemēram, ja izrādās, ka tas veic vienīgi “starpnieka” funkciju), un aizņēmums būtu jāieraksta nacionālajos kontos kā tiešs valdības aizņēmums un aizdevums infrastruktūras projektiem vai citiem publiskiem projektiem.</w:t>
      </w:r>
    </w:p>
    <w:p w14:paraId="601641A7" w14:textId="77777777" w:rsidR="00443399" w:rsidRPr="00B03B51" w:rsidRDefault="00443399" w:rsidP="00443399">
      <w:pPr>
        <w:jc w:val="both"/>
        <w:rPr>
          <w:rFonts w:ascii="Times New Roman" w:eastAsia="Arial" w:hAnsi="Times New Roman" w:cs="Times New Roman"/>
          <w:noProof/>
          <w:sz w:val="24"/>
          <w:szCs w:val="15"/>
        </w:rPr>
      </w:pPr>
    </w:p>
    <w:p w14:paraId="50E183A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7.4.2.2. TRAKTĒJUMA PAMATOJUMS</w:t>
      </w:r>
    </w:p>
    <w:p w14:paraId="76846B4A" w14:textId="77777777" w:rsidR="00443399" w:rsidRPr="00B03B51" w:rsidRDefault="00443399" w:rsidP="00443399">
      <w:pPr>
        <w:tabs>
          <w:tab w:val="left" w:pos="1692"/>
        </w:tabs>
        <w:jc w:val="both"/>
        <w:rPr>
          <w:rFonts w:ascii="Times New Roman" w:hAnsi="Times New Roman" w:cs="Times New Roman"/>
          <w:b/>
          <w:noProof/>
          <w:sz w:val="24"/>
        </w:rPr>
      </w:pPr>
    </w:p>
    <w:p w14:paraId="5114FCFA" w14:textId="77777777" w:rsidR="00443399" w:rsidRPr="00B03B51" w:rsidRDefault="00443399" w:rsidP="00443399">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7.4.2.2.1. Vispārējs gadījums</w:t>
      </w:r>
    </w:p>
    <w:p w14:paraId="2D39EFD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2B2EF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32. Pamatprincips ir tāds, ka garantijas tiek uzskatītas par iespējamiem aktīviem/saistībām.</w:t>
      </w:r>
    </w:p>
    <w:p w14:paraId="45AC7693"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044DC6D0"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33. EKS 2010 5.08. punktā norādīts, ka, </w:t>
      </w:r>
      <w:r w:rsidRPr="00B03B51">
        <w:rPr>
          <w:rFonts w:ascii="Times New Roman" w:hAnsi="Times New Roman" w:cs="Times New Roman"/>
          <w:i/>
          <w:iCs/>
          <w:sz w:val="24"/>
          <w:szCs w:val="19"/>
        </w:rPr>
        <w:t>tā kā tie nerada beznosacījuma pienākumus, iespējamos aktīvus un iespējamās saistības neuzskata par finanšu aktīviem un saistībām</w:t>
      </w:r>
      <w:r w:rsidRPr="00B03B51">
        <w:rPr>
          <w:rFonts w:ascii="Times New Roman" w:hAnsi="Times New Roman" w:cs="Times New Roman"/>
          <w:sz w:val="24"/>
          <w:szCs w:val="19"/>
        </w:rPr>
        <w:t>.</w:t>
      </w:r>
    </w:p>
    <w:p w14:paraId="36D0D2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1A418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34. Līdz ar to iespējamās saistības neieraksta EKS bilancē un izslēdz no valdības parāda. Līdzīgi arī garantiju piešķiršanu parasti neuzskata par darījumu nacionālajos kontos. Vispārējā gadījumā garantijas piešķiršanas darbībai sekotu vienīgi darījumu ierakstīšana saistībā ar maksājumiem, kad tiek aktivēta garantija, proti, kad galvotājs aizstāj sākotnējo aizņēmēju (vai dažos gadījumos izmaksā kompensāciju noteiktu identificētu aktīvu turētājam), jo tas nespēj izpildīt savas saistības un tāpēc ir ierosināts izmantot garantiju. Dažos gadījumos ir jāizdara secinājums, ka garantija ir faktiski izmantota, lai arī juridiski tā nav pilnīgi aktivizēta. Garantijas izmantošana var nozīmēt to, ka tiek pārņemts parāds, un vairumā gadījumu, ka tiek veikts kapitāla pārvedums. Ja parāds tiek pārņemts, ierakstītās kapitāla pārveduma summas ir maksājumu saistības, kuras galvotājs uzņēmies attiecībā uz sākotnējo aizņēmēju.</w:t>
      </w:r>
    </w:p>
    <w:p w14:paraId="7E500C4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F45A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Līdz ar to ikviens pieprasījums par garantijas pilnīgu vai daļēju izmaksāšanu ir līdzvērtīgs valdības īstenotai parāda pārņemšanai.</w:t>
      </w:r>
    </w:p>
    <w:p w14:paraId="3C43EEF4" w14:textId="77777777" w:rsidR="00443399" w:rsidRPr="003E7255" w:rsidRDefault="00443399" w:rsidP="003E7255">
      <w:pPr>
        <w:rPr>
          <w:rFonts w:ascii="Times New Roman" w:hAnsi="Times New Roman" w:cs="Times New Roman"/>
          <w:noProof/>
          <w:sz w:val="24"/>
          <w:szCs w:val="24"/>
        </w:rPr>
      </w:pPr>
    </w:p>
    <w:p w14:paraId="1532E4E7"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7.4.2.2.2. Gadījums, kad ir zināms, ka valdība atmaksās parādu</w:t>
      </w:r>
    </w:p>
    <w:p w14:paraId="5C8438B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8103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36. Ja valdība garantē jauno parādu un ja ir zināms, ka valdība kā galvotājs to atmaksās, tas ekonomiski ir līdzvērtīgi tam, ka valdība tieši aizņemas no kreditora, kas tādējādi nozīmē arī parāda apkalpošanas pienākuma uzņemšanos. Ja valdības aizņēmuma līdzekļus pēc tam izmanto sabiedrības finansēšanai un valdība neplāno neko saņemt pretī no aizdevumu saņēmušās sabiedrības, šāds darījums nav aizdevums un to ieraksta kā sadales darījumu, piemēram, kā kapitāla pārvedumu, kas ietekmē valdības neto aizdevumu/aizņēmumu (B.9).</w:t>
      </w:r>
    </w:p>
    <w:p w14:paraId="0B8331F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320B2E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37. Ja valdība izsniedz garantiju jau attiecībā uz pastāvošu parādu un ir skaidri zināms, ka valdība to atmaksās, to traktē līdzīgi kā parāda pārņemšanu no garantiju saņēmušās vienības.</w:t>
      </w:r>
    </w:p>
    <w:p w14:paraId="587B865B" w14:textId="77777777" w:rsidR="00443399" w:rsidRPr="003E7255" w:rsidRDefault="00443399" w:rsidP="003E7255">
      <w:pPr>
        <w:rPr>
          <w:rFonts w:ascii="Times New Roman" w:hAnsi="Times New Roman" w:cs="Times New Roman"/>
          <w:noProof/>
          <w:sz w:val="24"/>
          <w:szCs w:val="24"/>
        </w:rPr>
      </w:pPr>
    </w:p>
    <w:p w14:paraId="15DE2D60"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7.4.2.2.3. Gadījums, kad konstatē, ka valdība atmaksā vai atmaksās parādu</w:t>
      </w:r>
    </w:p>
    <w:p w14:paraId="077F66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D9DAFD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38. Šis gadījums ir līdzvērtīgs neoficiālam pieprasījumam izmantot garantiju. Ierakstīšana atspoguļo ekonomisko būtību, nevis juridisko formu vai administratīvo formu (skat. EKS 2010 </w:t>
      </w:r>
      <w:r w:rsidRPr="00B03B51">
        <w:rPr>
          <w:rFonts w:ascii="Times New Roman" w:hAnsi="Times New Roman" w:cs="Times New Roman"/>
          <w:sz w:val="24"/>
        </w:rPr>
        <w:lastRenderedPageBreak/>
        <w:t>1.25. punktu). Šādos gadījumos uzskata, ka valdība ir pārņēmusi parādu no sabiedrības.</w:t>
      </w:r>
    </w:p>
    <w:p w14:paraId="657018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73A1A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Ir konstatēti gadījumi, kad valdība katru gadu veic parāda atmaksāšanu sabiedrības vietā bez oficiāla pieprasījuma izmantot garantiju; šādi gadījumi ir rūpīgi jāanalizē, lai noteiktu, vai ir faktiski pieprasīts izmantot garantiju. Šie maksājumi liecina par to, ka praksē tiek paredzēts, ka valdība pārņems parādu. Saistības tiek ierakstītas kā valdības parāds, pamatojoties uz spriedumu par ekonomisko realitāti, proti, par to, ka valdība turpinās regulāri uzņemties saistības, šajā gadījumā uzskatot, ka šīs saistības ekonomiski pieder valdībai (un tādējādi tiek pārvirzītas).</w:t>
      </w:r>
    </w:p>
    <w:p w14:paraId="270D33D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08ADD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Saistībā ar nacionālajiem kontiem ekonomiskā realitāte vienmēr dominē pār juridisko formu. Ir jāizvairās no neskaidrām situācijām, kurās turpmāk varētu nākties veikt parāda pārklasifikāciju.</w:t>
      </w:r>
    </w:p>
    <w:p w14:paraId="2A6BF6BD" w14:textId="77777777" w:rsidR="00443399" w:rsidRPr="003E7255" w:rsidRDefault="00443399" w:rsidP="003E7255">
      <w:pPr>
        <w:rPr>
          <w:rFonts w:ascii="Times New Roman" w:hAnsi="Times New Roman" w:cs="Times New Roman"/>
          <w:noProof/>
          <w:sz w:val="24"/>
          <w:szCs w:val="24"/>
        </w:rPr>
      </w:pPr>
    </w:p>
    <w:p w14:paraId="0AE56E68"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7.4.2.2.4. Gadījums, kad saistību pārņemšana ietver prasījumu attiecībā uz trešās puses finanšu aktīvu</w:t>
      </w:r>
    </w:p>
    <w:p w14:paraId="1EC932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7A9AE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Ja tiek pieprasīts izmantot garantiju, valdība var saņemt no garantiju saņēmušās vienības aktīvu, piemēram, pašu kapitāla vai aizdevuma formā. Ir jānovērtē, vai šo pieprasījumu varētu atzīt nacionālajos kontos.</w:t>
      </w:r>
    </w:p>
    <w:p w14:paraId="3393741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D865D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Piemēram, ja valdība saņem prasījumu attiecībā uz zaudējumus nesošu publisku sabiedrību, tam, ko valdība saņem, varētu nebūt nekādas vērtības, jo sabiedrība nespēs to samaksāt, un tādējādi nacionālajos kontos prasījumu neieraksta.</w:t>
      </w:r>
    </w:p>
    <w:p w14:paraId="1AC72B9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5E014D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Ja prasījums (ko saņēmusi valdība) ir ierakstīts publiskajos kontos kā aizdevums privātai sabiedrībai</w:t>
      </w:r>
      <w:r w:rsidRPr="00B03B51">
        <w:rPr>
          <w:rStyle w:val="FootnoteReference"/>
          <w:rFonts w:ascii="Times New Roman" w:hAnsi="Times New Roman" w:cs="Times New Roman"/>
          <w:noProof/>
          <w:sz w:val="24"/>
        </w:rPr>
        <w:footnoteReference w:id="268"/>
      </w:r>
      <w:r w:rsidRPr="00B03B51">
        <w:rPr>
          <w:rFonts w:ascii="Times New Roman" w:hAnsi="Times New Roman" w:cs="Times New Roman"/>
          <w:sz w:val="24"/>
        </w:rPr>
        <w:t>, šāds gadījums ir jāanalizē. Ja privātai sabiedrībai rodas tādas finanšu grūtības (uzkrātie zaudējumi, negatīvs pašu kapitāls, nav piekļuves tirgum), ka tās patiesā vērtība ir nulle vai tuvu nullei, šādu prasījumu nacionālajos kontos neatzīst. Šajā gadījumā kopumā būtu neatbilstoši ierakstīt pašu kapitāla iepludināšanu (F.5) no valdības.</w:t>
      </w:r>
      <w:r w:rsidRPr="00B03B51">
        <w:rPr>
          <w:rStyle w:val="FootnoteReference"/>
          <w:rFonts w:ascii="Times New Roman" w:hAnsi="Times New Roman" w:cs="Times New Roman"/>
          <w:noProof/>
          <w:sz w:val="24"/>
        </w:rPr>
        <w:footnoteReference w:id="269"/>
      </w:r>
      <w:r w:rsidRPr="00B03B51">
        <w:rPr>
          <w:rFonts w:ascii="Times New Roman" w:hAnsi="Times New Roman" w:cs="Times New Roman"/>
          <w:sz w:val="24"/>
        </w:rPr>
        <w:t xml:space="preserve"> Prasījums netiek atzīts, un ar garantijas aktivēšanu saistītais darījums būtu jāieraksta kā kapitāla pārvedums.</w:t>
      </w:r>
    </w:p>
    <w:p w14:paraId="608BBBBE" w14:textId="77777777" w:rsidR="00443399" w:rsidRPr="003E7255" w:rsidRDefault="00443399" w:rsidP="003E7255">
      <w:pPr>
        <w:rPr>
          <w:rFonts w:ascii="Times New Roman" w:hAnsi="Times New Roman" w:cs="Times New Roman"/>
          <w:noProof/>
          <w:sz w:val="24"/>
          <w:szCs w:val="24"/>
        </w:rPr>
      </w:pPr>
    </w:p>
    <w:p w14:paraId="6BAE40BC"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7.4.2.2.5. Gadījums, kad saistību pārņemšana ietver prasījumu pret vienību, kurai izsniegta garantija</w:t>
      </w:r>
    </w:p>
    <w:p w14:paraId="16F66E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0938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44. Jautājums rodas arī gadījumā, kad tiek pieprasīts izmantot valdības garantiju un, reaģējot uz to, valdība ieraksta prasījumu pret garantiju saņēmušo vienību. Šāds prasījums jāieraksta nacionālajos kontos, ar to kompensējot kapitāla pārveduma summu, ja vien tam ir pozitīva un noteikta vērtība, t. i., ja to var patiešām atzīt kā prasījumu nacionālajos kontos. Jēdziens “atzīts prasījums” ir minēts vairākos saimnieciskās darbības grāmatvedības uzskaitei veltītos dokumentos (jo īpaši </w:t>
      </w:r>
      <w:r w:rsidRPr="00B03B51">
        <w:rPr>
          <w:rFonts w:ascii="Times New Roman" w:hAnsi="Times New Roman" w:cs="Times New Roman"/>
          <w:i/>
          <w:iCs/>
          <w:sz w:val="24"/>
        </w:rPr>
        <w:t>IPSAS</w:t>
      </w:r>
      <w:r w:rsidRPr="00B03B51">
        <w:rPr>
          <w:rFonts w:ascii="Times New Roman" w:hAnsi="Times New Roman" w:cs="Times New Roman"/>
          <w:sz w:val="24"/>
        </w:rPr>
        <w:t> 19). Ja prasījuma vērtība ir nenoteikta un tiek vērsta pret sabiedrību, kas ir finanšu grūtībās vai cieš zaudējumus, ir jāieraksta kapitāla pārvedums pilnas prasītās summas apmērā. Visas summas, ko garantiju saņēmusī vienība vēlāk atmaksā, tiek ierakstītas kā kapitāla pārveduma ieņēmumi valdībai to atmaksas brīdī.</w:t>
      </w:r>
    </w:p>
    <w:p w14:paraId="07BA59C0" w14:textId="77777777" w:rsidR="00443399" w:rsidRPr="00B03B51" w:rsidRDefault="00443399" w:rsidP="00443399">
      <w:pPr>
        <w:jc w:val="both"/>
        <w:rPr>
          <w:rFonts w:ascii="Times New Roman" w:eastAsia="Arial" w:hAnsi="Times New Roman" w:cs="Times New Roman"/>
          <w:noProof/>
          <w:sz w:val="24"/>
          <w:szCs w:val="20"/>
        </w:rPr>
      </w:pPr>
    </w:p>
    <w:p w14:paraId="1311CA7B" w14:textId="77777777" w:rsidR="00443399" w:rsidRPr="00B03B51" w:rsidRDefault="00443399" w:rsidP="00443399">
      <w:pPr>
        <w:keepNext/>
        <w:jc w:val="both"/>
        <w:rPr>
          <w:rFonts w:ascii="Times New Roman" w:eastAsia="Arial" w:hAnsi="Times New Roman" w:cs="Times New Roman"/>
          <w:b/>
          <w:bCs/>
          <w:noProof/>
          <w:sz w:val="24"/>
          <w:szCs w:val="20"/>
        </w:rPr>
      </w:pPr>
      <w:r w:rsidRPr="00B03B51">
        <w:rPr>
          <w:rFonts w:ascii="Times New Roman" w:hAnsi="Times New Roman" w:cs="Times New Roman"/>
          <w:b/>
          <w:bCs/>
          <w:sz w:val="24"/>
          <w:szCs w:val="20"/>
        </w:rPr>
        <w:lastRenderedPageBreak/>
        <w:t>Lēmuma par pieprasījumu izmaksāt garantēto naudu pieņemšanas shēma</w:t>
      </w:r>
    </w:p>
    <w:p w14:paraId="2C919F36" w14:textId="77777777" w:rsidR="00443399" w:rsidRPr="00B03B51" w:rsidRDefault="00443399" w:rsidP="00443399">
      <w:pPr>
        <w:keepNext/>
        <w:jc w:val="both"/>
        <w:rPr>
          <w:rFonts w:ascii="Times New Roman" w:eastAsia="Arial" w:hAnsi="Times New Roman" w:cs="Times New Roman"/>
          <w:noProof/>
          <w:sz w:val="24"/>
          <w:szCs w:val="20"/>
        </w:rPr>
      </w:pPr>
    </w:p>
    <w:p w14:paraId="69959BE1" w14:textId="77777777" w:rsidR="00443399" w:rsidRPr="00B03B51" w:rsidRDefault="00443399" w:rsidP="00443399">
      <w:pPr>
        <w:keepNext/>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45837302" wp14:editId="5EDFDBA8">
            <wp:extent cx="5756275" cy="3585845"/>
            <wp:effectExtent l="0" t="0" r="0"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56275" cy="3585845"/>
                    </a:xfrm>
                    <a:prstGeom prst="rect">
                      <a:avLst/>
                    </a:prstGeom>
                  </pic:spPr>
                </pic:pic>
              </a:graphicData>
            </a:graphic>
          </wp:inline>
        </w:drawing>
      </w:r>
    </w:p>
    <w:p w14:paraId="2B89E899" w14:textId="77777777" w:rsidR="00443399" w:rsidRPr="00B03B51" w:rsidRDefault="00443399" w:rsidP="00443399">
      <w:pPr>
        <w:jc w:val="both"/>
        <w:rPr>
          <w:rFonts w:ascii="Times New Roman" w:eastAsia="Arial" w:hAnsi="Times New Roman" w:cs="Times New Roman"/>
          <w:noProof/>
          <w:sz w:val="24"/>
          <w:szCs w:val="18"/>
        </w:rPr>
      </w:pPr>
    </w:p>
    <w:p w14:paraId="64ACF199"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97" w:name="_Toc67565210"/>
      <w:r w:rsidRPr="00B03B51">
        <w:rPr>
          <w:rFonts w:ascii="Times New Roman" w:hAnsi="Times New Roman" w:cs="Times New Roman"/>
          <w:sz w:val="24"/>
        </w:rPr>
        <w:t>7.4.3. Standartizētas garantijas</w:t>
      </w:r>
      <w:bookmarkEnd w:id="597"/>
    </w:p>
    <w:p w14:paraId="59BD6760" w14:textId="77777777" w:rsidR="00443399" w:rsidRPr="00680BE8" w:rsidRDefault="00443399" w:rsidP="00680BE8">
      <w:pPr>
        <w:rPr>
          <w:rFonts w:ascii="Times New Roman" w:hAnsi="Times New Roman" w:cs="Times New Roman"/>
          <w:noProof/>
          <w:sz w:val="24"/>
          <w:szCs w:val="24"/>
        </w:rPr>
      </w:pPr>
    </w:p>
    <w:p w14:paraId="5233C43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7.4.3.1. TRAKTĒJUMS NACIONĀLAJOS KONTOS</w:t>
      </w:r>
    </w:p>
    <w:p w14:paraId="26FA3803" w14:textId="77777777" w:rsidR="00443399" w:rsidRPr="00B03B51" w:rsidRDefault="00443399" w:rsidP="00443399">
      <w:pPr>
        <w:tabs>
          <w:tab w:val="left" w:pos="1692"/>
        </w:tabs>
        <w:jc w:val="both"/>
        <w:rPr>
          <w:rFonts w:ascii="Times New Roman" w:hAnsi="Times New Roman" w:cs="Times New Roman"/>
          <w:b/>
          <w:noProof/>
          <w:sz w:val="24"/>
        </w:rPr>
      </w:pPr>
    </w:p>
    <w:p w14:paraId="68438502" w14:textId="77777777" w:rsidR="00443399" w:rsidRPr="00B03B51" w:rsidRDefault="00443399" w:rsidP="00443399">
      <w:pPr>
        <w:pStyle w:val="Heading6"/>
        <w:tabs>
          <w:tab w:val="left" w:pos="1692"/>
        </w:tabs>
        <w:ind w:left="0" w:firstLine="0"/>
        <w:jc w:val="both"/>
        <w:rPr>
          <w:rFonts w:ascii="Times New Roman" w:hAnsi="Times New Roman" w:cs="Times New Roman"/>
          <w:sz w:val="24"/>
        </w:rPr>
      </w:pPr>
      <w:r w:rsidRPr="00B03B51">
        <w:rPr>
          <w:rFonts w:ascii="Times New Roman" w:hAnsi="Times New Roman" w:cs="Times New Roman"/>
          <w:sz w:val="24"/>
        </w:rPr>
        <w:t>7.4.3.1.1. Vispārējs princips</w:t>
      </w:r>
    </w:p>
    <w:p w14:paraId="0152873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61A8C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45. Nacionālajos kontos standartizētās garantijas traktē, pamatojoties uz analoģiju ar nedzīvības apdrošināšanu. Traktējums ir aprakstīts EKS 2010 16. nodaļā “Apdrošināšana” (un NKS 2008 17. nodaļā “Transversālas tēmas un citi īpaši jautājumi”).</w:t>
      </w:r>
    </w:p>
    <w:p w14:paraId="5385ED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035F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46. Nedzīvības apdrošināšanas traktējums nacionālajos kontos ir noteikts, pamatojoties uz pieņēmumu, ka vienība, kurai ir izsniegtas šādas standartizētas garantijas, rīkosies saskaņā ar komerciālām interesēm, t. i., ar mērķi gūt peļņu. Tomēr var gadīties, ka prēmijas un/vai ieguldījuma ienākumu apmērs nesedz prasījumus, ja to apmērs ir ārkārtēji liels. Lai novērstu šādas situācijas, Eiropas Savienībā uzraudzības iestādes stingri regulē apdrošināšanas darbības</w:t>
      </w:r>
      <w:r w:rsidRPr="00B03B51">
        <w:rPr>
          <w:rStyle w:val="FootnoteReference"/>
          <w:rFonts w:ascii="Times New Roman" w:hAnsi="Times New Roman" w:cs="Times New Roman"/>
          <w:noProof/>
          <w:sz w:val="24"/>
        </w:rPr>
        <w:footnoteReference w:id="270"/>
      </w:r>
      <w:r w:rsidRPr="00B03B51">
        <w:rPr>
          <w:rFonts w:ascii="Times New Roman" w:hAnsi="Times New Roman" w:cs="Times New Roman"/>
          <w:sz w:val="24"/>
        </w:rPr>
        <w:t>. Tomēr standartizētu garantiju izsniegšana pati par sevi netiek uzskatīta par apdrošināšanas pamatdarbību, attiecībā uz kuru tiek piemērota ES regulācija un uzraudzība.</w:t>
      </w:r>
    </w:p>
    <w:p w14:paraId="206AE3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FA30AF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47. Tāpēc iespējams, ka ES valdība piešķir standartizētu garantiju komerciālu mērķu sasniegšanai, pat ja maz ticams, ka tā šajā jomā konkurēs ar valdības sektoram nepiederošu vienību. Principā, ja šāda garantijas darbība var būt ienesīga, to, visticamāk, īstenotu vienīgi valdības sektoram nepiederošas vienības. Tomēr no teorētiskā viedokļa, ja tiktu konstatēta šāda situācija, t. i., ja valdība iekasētu maksājumus, kuri uzskatāmi par “ekonomiski nozīmīgiem” maksājumiem un kuri sedz lielāko daļu no paredzamajiem prasījumiem un administratīvās </w:t>
      </w:r>
      <w:r w:rsidRPr="00B03B51">
        <w:rPr>
          <w:rFonts w:ascii="Times New Roman" w:hAnsi="Times New Roman" w:cs="Times New Roman"/>
          <w:sz w:val="24"/>
        </w:rPr>
        <w:lastRenderedPageBreak/>
        <w:t>izmaksas</w:t>
      </w:r>
      <w:r w:rsidRPr="00B03B51">
        <w:rPr>
          <w:rStyle w:val="FootnoteReference"/>
          <w:rFonts w:ascii="Times New Roman" w:hAnsi="Times New Roman" w:cs="Times New Roman"/>
          <w:noProof/>
          <w:sz w:val="24"/>
        </w:rPr>
        <w:footnoteReference w:id="271"/>
      </w:r>
      <w:r w:rsidRPr="00B03B51">
        <w:rPr>
          <w:rFonts w:ascii="Times New Roman" w:hAnsi="Times New Roman" w:cs="Times New Roman"/>
          <w:sz w:val="24"/>
        </w:rPr>
        <w:t>, nacionālajos kontos tas būtu jātraktē līdzīgi iepriekš minētajai nedzīvības apdrošināšanai.</w:t>
      </w:r>
    </w:p>
    <w:p w14:paraId="6CE854B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069F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48. Kad valdība piešķir standartizētās garantijas, tās bilancē ieraksta AF.66 saistības. Tās ir vienādas ar paredzamo garantijas izmantošanas pieprasījumu pašreizējo vērtību, jebkuru atgūto līdzekļu neto vērtību, ko galvotājs var paredzēt saņemt no aizņēmējiem, kuri nepilda saistības.</w:t>
      </w:r>
      <w:r w:rsidRPr="00B03B51">
        <w:rPr>
          <w:rStyle w:val="FootnoteReference"/>
          <w:rFonts w:ascii="Times New Roman" w:hAnsi="Times New Roman" w:cs="Times New Roman"/>
          <w:noProof/>
          <w:sz w:val="24"/>
        </w:rPr>
        <w:footnoteReference w:id="272"/>
      </w:r>
      <w:r w:rsidRPr="00B03B51">
        <w:rPr>
          <w:rFonts w:ascii="Times New Roman" w:hAnsi="Times New Roman" w:cs="Times New Roman"/>
          <w:sz w:val="24"/>
        </w:rPr>
        <w:t xml:space="preserve"> Kad tiek izveidotas šādas saistības, ievēro noteiktu analoģiju ar uzkrājumu ierakstīšanu uzņēmuma grāmatvedības sistēmā (tostarp </w:t>
      </w:r>
      <w:r w:rsidRPr="00B03B51">
        <w:rPr>
          <w:rFonts w:ascii="Times New Roman" w:hAnsi="Times New Roman" w:cs="Times New Roman"/>
          <w:i/>
          <w:iCs/>
          <w:sz w:val="24"/>
        </w:rPr>
        <w:t>IPSAS</w:t>
      </w:r>
      <w:r w:rsidRPr="00B03B51">
        <w:rPr>
          <w:rFonts w:ascii="Times New Roman" w:hAnsi="Times New Roman" w:cs="Times New Roman"/>
          <w:sz w:val="24"/>
        </w:rPr>
        <w:t>), kura paredz, ka jāveic uzticami, taču piesardzīgi aprēķini, pamatojoties uz noteiktiem pierādījumiem, piemēram, iepriekšējo pieredzi vai prognozēm jaunas darbības gadījumā.</w:t>
      </w:r>
      <w:r w:rsidRPr="00B03B51">
        <w:rPr>
          <w:rStyle w:val="FootnoteReference"/>
          <w:rFonts w:ascii="Times New Roman" w:hAnsi="Times New Roman" w:cs="Times New Roman"/>
          <w:noProof/>
          <w:sz w:val="24"/>
        </w:rPr>
        <w:footnoteReference w:id="273"/>
      </w:r>
      <w:r w:rsidRPr="00B03B51">
        <w:rPr>
          <w:rFonts w:ascii="Times New Roman" w:hAnsi="Times New Roman" w:cs="Times New Roman"/>
          <w:sz w:val="24"/>
        </w:rPr>
        <w:t xml:space="preserve"> Šīs prognozes ne vienmēr ir saistītas ar šī īpašā garantijas pasākuma tirgus (ienesīgums) vai ārpustirgus būtību. Ja valdība iekasē maksājumus atbilstīgi nosacījumiem, kas minēti iepriekšējā rindkopā (kā segumu valdībai, kas sniedz garantijas), finanšu kontos tiks veikts ieraksts atbilstīgi saņemto maksājumu summai, no kuras atskaitīti izsniegto garantiju izmantošanas prasījumi. Tāpēc saistību pretvērtības darījums ir naudas maksājums (daļa no iekasētās maksas, kas paturēta rezervju izveidošanai, un daļa no ieguldījumu līdzekļiem, ko neizmanto prasījumu apmaksāšanai).</w:t>
      </w:r>
      <w:r w:rsidRPr="00B03B51">
        <w:rPr>
          <w:rStyle w:val="FootnoteReference"/>
          <w:rFonts w:ascii="Times New Roman" w:hAnsi="Times New Roman" w:cs="Times New Roman"/>
          <w:noProof/>
          <w:sz w:val="24"/>
        </w:rPr>
        <w:footnoteReference w:id="274"/>
      </w:r>
    </w:p>
    <w:p w14:paraId="2128E73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3A55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49. Ja valdība neiekasē maksu (vai iekasē to tādā apmērā, kas ir ievērojami zemāks par izmaksām, kas valdībai rodas saistībā ar shēmu</w:t>
      </w:r>
      <w:r w:rsidRPr="00B03B51">
        <w:rPr>
          <w:rStyle w:val="FootnoteReference"/>
          <w:rFonts w:ascii="Times New Roman" w:hAnsi="Times New Roman" w:cs="Times New Roman"/>
          <w:noProof/>
          <w:sz w:val="24"/>
        </w:rPr>
        <w:footnoteReference w:id="275"/>
      </w:r>
      <w:r w:rsidRPr="00B03B51">
        <w:rPr>
          <w:rFonts w:ascii="Times New Roman" w:hAnsi="Times New Roman" w:cs="Times New Roman"/>
          <w:sz w:val="24"/>
        </w:rPr>
        <w:t>), šo saistību parādīšanās pretvērtības darījums nav naudas plūsma, bet gan finanšu darījums, t. i., pārvedums no valdības.</w:t>
      </w:r>
    </w:p>
    <w:p w14:paraId="0DE3CF9D" w14:textId="77777777" w:rsidR="00443399" w:rsidRPr="00680BE8" w:rsidRDefault="00443399" w:rsidP="00680BE8">
      <w:pPr>
        <w:rPr>
          <w:rFonts w:ascii="Times New Roman" w:hAnsi="Times New Roman" w:cs="Times New Roman"/>
          <w:noProof/>
          <w:sz w:val="24"/>
          <w:szCs w:val="24"/>
        </w:rPr>
      </w:pPr>
    </w:p>
    <w:p w14:paraId="77A06916" w14:textId="77777777" w:rsidR="00443399" w:rsidRPr="00B03B51" w:rsidRDefault="00443399" w:rsidP="00443399">
      <w:pPr>
        <w:pStyle w:val="Heading6"/>
        <w:tabs>
          <w:tab w:val="left" w:pos="1692"/>
        </w:tabs>
        <w:ind w:left="0" w:firstLine="0"/>
        <w:jc w:val="both"/>
        <w:rPr>
          <w:rFonts w:ascii="Times New Roman" w:hAnsi="Times New Roman" w:cs="Times New Roman"/>
          <w:noProof/>
          <w:sz w:val="24"/>
        </w:rPr>
      </w:pPr>
      <w:r w:rsidRPr="00B03B51">
        <w:rPr>
          <w:rFonts w:ascii="Times New Roman" w:hAnsi="Times New Roman" w:cs="Times New Roman"/>
          <w:sz w:val="24"/>
        </w:rPr>
        <w:t>7.4.3.1.2. Īpašu saistību ierakstīšana nekomerciālas darbības gadījumā</w:t>
      </w:r>
    </w:p>
    <w:p w14:paraId="5FEC73E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26D84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50. No praktiskā viedokļa raugoties, katru reizi, kad valdības standartizēto garantiju shēmā attiecīgajā laika posmā finanšu iestādes piešķir un valdība sedz aizdevumu pamatsummu (vairākiem debitoriem), noteikta procentuālā vērtība būtu ierakstāma valdības bilancē kā saistības AF.66 ar kapitāla pārvedumu kā pretvērtības darījumu AF.66 saistību summas apmērā, no kuras atskaitītas iekasētās maksas.</w:t>
      </w:r>
      <w:r w:rsidRPr="00B03B51">
        <w:rPr>
          <w:rStyle w:val="FootnoteReference"/>
          <w:rFonts w:ascii="Times New Roman" w:hAnsi="Times New Roman" w:cs="Times New Roman"/>
          <w:noProof/>
          <w:sz w:val="24"/>
        </w:rPr>
        <w:footnoteReference w:id="276"/>
      </w:r>
      <w:r w:rsidRPr="00B03B51">
        <w:rPr>
          <w:rFonts w:ascii="Times New Roman" w:hAnsi="Times New Roman" w:cs="Times New Roman"/>
          <w:sz w:val="24"/>
          <w:szCs w:val="12"/>
        </w:rPr>
        <w:t xml:space="preserve"> </w:t>
      </w:r>
      <w:r w:rsidRPr="00B03B51">
        <w:rPr>
          <w:rFonts w:ascii="Times New Roman" w:hAnsi="Times New Roman" w:cs="Times New Roman"/>
          <w:sz w:val="24"/>
        </w:rPr>
        <w:t>Nacionālajos kontos šis kapitāla pārvedums tiek ierakstīts par labu apdrošinājuma ņēmējiem (tādējādi AF.66 aktīva turētājiem), t. i., finanšu iestādēm, kuras izsniedz aizdevumus un kurām ir līgumiskas attiecības ar galvotāju valdību, nevis par labu aizņēmējiem. Protams, aizņēmēji gūst labumu no garantijas shēmas pastāvēšanas, ko tām organizējusi valdība, bet tie nav galvenie ekonomiskie labuma guvēji. Kapitāla pārvedumu var analizēt kā paredzēto pieprasījumu neto izmaksu prognozes. Tā kā tiek pieņemts, ka pieprasījumi ir iespējami, sākumā konceptuāli pastāv ietekme uz valdības kontiem, jo pēc definīcijas tiek prognozēts, ka valdība šajā shēmā zaudēs naudu.</w:t>
      </w:r>
    </w:p>
    <w:p w14:paraId="26431B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77232C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51. Kad tiek pieprasīta garantija un tā tiek samaksāta, nav ietekmes uz valdības neto aizdevumu/aizņēmumu (B.9). AF.66 uzkrājums varētu būt vienāds ar pilnu aizdevuma summu (šāds 100 % riska aizdevums nekad netiktu piešķirts) un to varētu koriģēt. Šķiet, ir lietderīgi turēt informāciju par kopējo aizdevumu (vai citu aktīvu) summu, attiecībā uz kuriem ir izsniegta valdības standarta garantija, līdzīgi vienreizēju garantiju gadījumam.</w:t>
      </w:r>
    </w:p>
    <w:p w14:paraId="7312700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5FB8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52. Saskaņā ar NKS 2008 17.223. punktu saistību AF.66 ierakstīšana ir atkarīga no tā, vai valdības vienību pašu kontos tiek atzīts uzkrājums (pamatojoties uz uzskaites sistēmu, kas atšķiras no nacionālajiem kontiem). Nacionālo kontu speciālistiem ir jāieraksta šīs saistības, pamatojoties uz valdības aprēķiniem. Principā nacionālo kontu speciālisti nedrīkst atkāpties no šī aprēķina, jo maz ticams, ka viņi spētu aprēķināt paredzamos zaudējumus ar augstāku ticamības pakāpi. Jāņem vērā arī tas, ka saskaņā ar publiskās uzskaites noteikumiem, piemēram, </w:t>
      </w:r>
      <w:r w:rsidRPr="00B03B51">
        <w:rPr>
          <w:rFonts w:ascii="Times New Roman" w:hAnsi="Times New Roman" w:cs="Times New Roman"/>
          <w:i/>
          <w:iCs/>
          <w:sz w:val="24"/>
        </w:rPr>
        <w:t>IPSAS</w:t>
      </w:r>
      <w:r w:rsidRPr="00B03B51">
        <w:rPr>
          <w:rFonts w:ascii="Times New Roman" w:hAnsi="Times New Roman" w:cs="Times New Roman"/>
          <w:sz w:val="24"/>
        </w:rPr>
        <w:t xml:space="preserve"> vai līdzvērtīgiem noteikumiem, kurus pieņem arvien vairāk valdības vienību, pienācīgu uzkrājumu izveide attiecībā uz kādu riskantu darbību ir stingra prasība, ja vien ir iespējams ticami aprēķināt riska ietekmi.</w:t>
      </w:r>
      <w:r w:rsidRPr="00B03B51">
        <w:rPr>
          <w:rStyle w:val="FootnoteReference"/>
          <w:rFonts w:ascii="Times New Roman" w:hAnsi="Times New Roman" w:cs="Times New Roman"/>
          <w:noProof/>
          <w:sz w:val="24"/>
        </w:rPr>
        <w:footnoteReference w:id="277"/>
      </w:r>
    </w:p>
    <w:p w14:paraId="642DFEA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38FD5C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53. Tomēr ne visas valdības savos publiskajos kontos (un tas ir īpaši svarīgi, ja tiek aplūkoti visi vispārējās valdības sektora apakšlīmeņi) izmanto uzskaites sistēmu, kura paredz ierakstīt uzkrājumu veidošanu attiecībā uz nākotnes riskiem. Paredzams, ka šāda sistēma tiks izmantota tajās ES dalībvalstīs, kurās centrālā valdība tieši piešķir standartizētas garantijas. Ja tas tomēr neatbilst patiesībai, tad salīdzināmības nodrošināšanas nolūkā nacionālo kontu speciālistiem jāapsver, vai tiem ir pieejami pietiekami elementi, piemēram, līdzīgas shēmas citās dalībvalstīs, lai aprēķinātu AF.66 saistības, pēc apspriešanās ar </w:t>
      </w:r>
      <w:r w:rsidRPr="00B03B51">
        <w:rPr>
          <w:rFonts w:ascii="Times New Roman" w:hAnsi="Times New Roman" w:cs="Times New Roman"/>
          <w:i/>
          <w:iCs/>
          <w:sz w:val="24"/>
        </w:rPr>
        <w:t>Eurostat</w:t>
      </w:r>
      <w:r w:rsidRPr="00B03B51">
        <w:rPr>
          <w:rFonts w:ascii="Times New Roman" w:hAnsi="Times New Roman" w:cs="Times New Roman"/>
          <w:sz w:val="24"/>
        </w:rPr>
        <w:t>. Tomēr noteikti sarežģījumi var rasties pilnīgi jaunas un ļoti specifiskas shēmas gadījumā.</w:t>
      </w:r>
    </w:p>
    <w:p w14:paraId="50088C6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FF413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54. Saistību vērtību var palielināt, ja tiktu novērtēts, ka turpmāk pastāv augstāks saistību neizpildes risks, un, ievērojot konsekvenci ar sākotnējo traktējumu, jauns kapitāla pārvedums tiktu ierakstīts atbilstīgi līdzīgiem nosacījumiem, ja tiek pieņemts, ka tas tiks novērots attiecībā uz visiem pastāvošajiem aizdevumu portfeļiem, ne tikai attiecībā uz tiem jaunajiem aizdevumiem, kuri varētu uzrādīt noteiktu saistību neizpildes gadījumu īpatsvaru. Citos gadījumos risks var būt zemāks nekā paredzēts un saistību vērtība var tikt samazināta, vispirms veicot trūkstošās vērtības aprēķināšanu attiecībā uz kapitāla pārvedumu, kas saistīts ar jaunajām operācijām attiecīgajā gadā, un attiecībā uz pārsniegumu – ar apgriezto kapitāla pārvedumu. Tomēr</w:t>
      </w:r>
      <w:r w:rsidRPr="00B03B51">
        <w:rPr>
          <w:rFonts w:ascii="Times New Roman" w:hAnsi="Times New Roman" w:cs="Times New Roman"/>
          <w:i/>
          <w:iCs/>
          <w:sz w:val="24"/>
        </w:rPr>
        <w:t xml:space="preserve"> Eurostat</w:t>
      </w:r>
      <w:r w:rsidRPr="00B03B51">
        <w:rPr>
          <w:rFonts w:ascii="Times New Roman" w:hAnsi="Times New Roman" w:cs="Times New Roman"/>
          <w:sz w:val="24"/>
        </w:rPr>
        <w:t xml:space="preserve"> iesaka vērtības samazināšanas korekciju veikt vienīgi tad, ja samērā ilgā laika posmā konstatēts uzlabojums līdzekļu atgūšanas jomā un tiek uzskatīts, ka šāda tendence, visticamāk, ir neatgriezeniska. Iespējams, valdībai nāksies saskarties ar garantiju izmantošanas pieprasījumiem, kuru summa pārsniegs “uzkrājumus”, kas izveidoti iepriekš, proti, laikā, kad tika piešķirti aizdevumi. Tas jāieraksta kā jauns kapitāla pārvedums. Valdībai nāksies arī no jauna izveidot uzkrājumu attiecībā uz atlikušajiem aizdevumu portfeļiem saistībā ar jauno kapitāla pārvedumu.</w:t>
      </w:r>
    </w:p>
    <w:p w14:paraId="45755669" w14:textId="77777777" w:rsidR="00443399" w:rsidRPr="00B03B51" w:rsidRDefault="00443399" w:rsidP="00443399">
      <w:pPr>
        <w:jc w:val="both"/>
        <w:rPr>
          <w:rFonts w:ascii="Times New Roman" w:eastAsia="Arial" w:hAnsi="Times New Roman" w:cs="Times New Roman"/>
          <w:noProof/>
          <w:sz w:val="24"/>
          <w:szCs w:val="15"/>
        </w:rPr>
      </w:pPr>
    </w:p>
    <w:p w14:paraId="4180D0FD" w14:textId="77777777" w:rsidR="00443399" w:rsidRPr="00B03B51" w:rsidRDefault="00443399" w:rsidP="00210375">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7.4.3.2. TRAKTĒJUMA PAMATOJUMS</w:t>
      </w:r>
    </w:p>
    <w:p w14:paraId="05DE4165" w14:textId="77777777" w:rsidR="00443399" w:rsidRPr="00B03B51" w:rsidRDefault="00443399" w:rsidP="00210375">
      <w:pPr>
        <w:pStyle w:val="BodyText"/>
        <w:keepNext/>
        <w:tabs>
          <w:tab w:val="left" w:pos="843"/>
        </w:tabs>
        <w:spacing w:before="0"/>
        <w:ind w:left="0" w:firstLine="0"/>
        <w:jc w:val="both"/>
        <w:rPr>
          <w:rFonts w:ascii="Times New Roman" w:hAnsi="Times New Roman" w:cs="Times New Roman"/>
          <w:noProof/>
          <w:sz w:val="24"/>
        </w:rPr>
      </w:pPr>
    </w:p>
    <w:p w14:paraId="3A7F7E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55. Iemesli, kādēļ šādas garantijas nacionālajos kontos jātraktē līdzīgi nedzīvības apdrošināšanai, ir sniegti EKS 2010 (skat. EKS 2010 5.190. punktu un turpmākos punktus) un NKS 2008 (skat. 17. nodaļas “Transversālas tēmas un citi īpaši jautājumi” 3. daļu </w:t>
      </w:r>
      <w:r w:rsidRPr="00B03B51">
        <w:rPr>
          <w:rFonts w:ascii="Times New Roman" w:hAnsi="Times New Roman" w:cs="Times New Roman"/>
          <w:sz w:val="24"/>
        </w:rPr>
        <w:lastRenderedPageBreak/>
        <w:t>“Standartizēto garantiju uzskaite NKS”). Nelielas individuālas summas, ko sedz garantijas, un līdzīgu pazīmju daudzkārtīga atkārtošanās ir iemesls, kādēļ tā vietā, lai izmantotu traktējumu individuālajā līmenī, kuru galvotājs tieši nepārvalda, uzmanība tiek pievērsta kopējās garantētās summas vispārējam traktējumam. Šādu valdības standartizēto garantiju mērķis pēc būtības ir īstenot valsts interešu politiku attiecībā uz lielu skaitu iespējamo saņēmēju, savukārt vienreizējās garantijas ir saistītas ar atsevišķu subjektu vai nelielu vienību grupu specifisko situāciju.</w:t>
      </w:r>
    </w:p>
    <w:p w14:paraId="4815B7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2A1CA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56. EKS 2010 5.192. punktā ir paskaidrots, ka standartizētās garantijas parasti nodrošina S.12 sektorā klasificētās finanšu sabiedrības, bet tās var piešķirt arī valdība. Pirmās minētās garantijas tiek sniegtas, pamatojoties vienīgi uz komerciāliem apsvērumiem. Izstrādātā metodoloģija darbojas līdzīgi nedzīvības apdrošināšanai. Valdības iesaiste būs saistīta ar valsts politikas iemesliem, nevis komerciāliem apsvērumiem. EKS kategorija ir pieņemta visiem ekonomikas sektoriem, nedaudz pielāgojot ierakstīšanu attiecībā uz valdību, ņemot vērā tās ārpustirgus būtību.</w:t>
      </w:r>
    </w:p>
    <w:p w14:paraId="5E9AD10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5275A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57. Valdības standartizēto garantiju gadījumā bieži vien nav noteikta maksa, kas garantijas saņēmējiem jāveic, lai segtu visas vai gandrīz visas shēmas izmaksas, kā tas ir minēts NKS 2008 17.223. punktā. Valdība necenšas nodrošināt neitrālu ietekmi uz tās ienākumu pārskatu, nosakot maksu tādā līmenī, lai laika ekvivalences perspektīvā segtu lielāko daļu vai pat visus no paredzamajiem saistību neizpildes gadījumiem attiecībā uz attiecīgajiem aktīviem no saviem līdzekļiem. Valdības intervence ar standartizētu garantijas shēmu starpniecību tiek īstenota kā daļa no politikas, kuras mērķis ir veicināt dažu konkrētu ekonomikas subjektu kategoriju pieeju tirgum. Šajā saistībā šādos pasākumos ir paredzams neatlīdzināms darījuma elements.</w:t>
      </w:r>
    </w:p>
    <w:p w14:paraId="1A795028" w14:textId="77777777" w:rsidR="00443399" w:rsidRPr="00B03B51" w:rsidRDefault="00443399" w:rsidP="00443399">
      <w:pPr>
        <w:jc w:val="both"/>
        <w:rPr>
          <w:rFonts w:ascii="Times New Roman" w:eastAsia="Arial" w:hAnsi="Times New Roman" w:cs="Times New Roman"/>
          <w:noProof/>
          <w:sz w:val="24"/>
          <w:szCs w:val="19"/>
        </w:rPr>
      </w:pPr>
    </w:p>
    <w:p w14:paraId="3B04CDF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598" w:name="_Toc67565211"/>
      <w:r w:rsidRPr="00B03B51">
        <w:rPr>
          <w:rFonts w:ascii="Times New Roman" w:hAnsi="Times New Roman" w:cs="Times New Roman"/>
          <w:sz w:val="24"/>
        </w:rPr>
        <w:t>7.4.4. Uzskaites piemēri</w:t>
      </w:r>
      <w:bookmarkEnd w:id="598"/>
    </w:p>
    <w:p w14:paraId="425F83B5" w14:textId="77777777" w:rsidR="00443399" w:rsidRPr="00B03B51" w:rsidRDefault="00443399" w:rsidP="00443399">
      <w:pPr>
        <w:jc w:val="both"/>
        <w:rPr>
          <w:rFonts w:ascii="Times New Roman" w:hAnsi="Times New Roman" w:cs="Times New Roman"/>
          <w:b/>
          <w:noProof/>
          <w:sz w:val="24"/>
        </w:rPr>
      </w:pPr>
    </w:p>
    <w:p w14:paraId="654C88F3"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Vienreizējas garantijas – 3 secīgu pieprasījumu princips</w:t>
      </w:r>
    </w:p>
    <w:p w14:paraId="442EB615" w14:textId="77777777" w:rsidR="00443399" w:rsidRPr="00B03B51" w:rsidRDefault="00443399" w:rsidP="00443399">
      <w:pPr>
        <w:jc w:val="both"/>
        <w:rPr>
          <w:rFonts w:ascii="Times New Roman" w:eastAsia="Arial" w:hAnsi="Times New Roman" w:cs="Times New Roman"/>
          <w:b/>
          <w:bCs/>
          <w:noProof/>
          <w:sz w:val="24"/>
        </w:rPr>
      </w:pPr>
    </w:p>
    <w:p w14:paraId="4F0C1B5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piešķir publiskai sabiedrībai garantiju par 100 naudas vienībām attiecībā uz tās parādu AF.4 aizdevuma formā (valdība neiekasē maksu).</w:t>
      </w:r>
    </w:p>
    <w:p w14:paraId="1E82D9E4" w14:textId="77777777" w:rsidR="00443399" w:rsidRPr="00B03B51" w:rsidRDefault="00443399" w:rsidP="00443399">
      <w:pPr>
        <w:jc w:val="both"/>
        <w:rPr>
          <w:rFonts w:ascii="Times New Roman" w:eastAsia="Arial" w:hAnsi="Times New Roman" w:cs="Times New Roman"/>
          <w:noProof/>
          <w:sz w:val="24"/>
          <w:szCs w:val="14"/>
        </w:rPr>
      </w:pPr>
    </w:p>
    <w:p w14:paraId="1CEDB32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Sākumā nav pamata uzskatīt, ka tiks automātiski pieprasīta garantijas izmantošana. Līdz ar to valdības kontos netiek veikts ieraksts. Garantija ir iespējamais aktīvs (vienkāršošanas nolūkā piemērā nav parādīti procenti attiecībā uz aizdevumu).</w:t>
      </w:r>
    </w:p>
    <w:p w14:paraId="65FEC944" w14:textId="77777777" w:rsidR="00443399" w:rsidRPr="00B03B51" w:rsidRDefault="00443399" w:rsidP="00443399">
      <w:pPr>
        <w:jc w:val="both"/>
        <w:rPr>
          <w:rFonts w:ascii="Times New Roman" w:eastAsia="Arial" w:hAnsi="Times New Roman" w:cs="Times New Roman"/>
          <w:noProof/>
          <w:sz w:val="24"/>
          <w:szCs w:val="28"/>
        </w:rPr>
      </w:pPr>
    </w:p>
    <w:p w14:paraId="7A7C1755"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4CFAA442" wp14:editId="467C44DA">
            <wp:extent cx="5756275" cy="2397125"/>
            <wp:effectExtent l="0" t="0" r="0" b="317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56275" cy="2397125"/>
                    </a:xfrm>
                    <a:prstGeom prst="rect">
                      <a:avLst/>
                    </a:prstGeom>
                  </pic:spPr>
                </pic:pic>
              </a:graphicData>
            </a:graphic>
          </wp:inline>
        </w:drawing>
      </w:r>
    </w:p>
    <w:p w14:paraId="05980BB9" w14:textId="77777777" w:rsidR="00443399" w:rsidRPr="00B03B51" w:rsidRDefault="00443399" w:rsidP="00443399">
      <w:pPr>
        <w:jc w:val="both"/>
        <w:rPr>
          <w:rFonts w:ascii="Times New Roman" w:eastAsia="Arial" w:hAnsi="Times New Roman" w:cs="Times New Roman"/>
          <w:noProof/>
          <w:sz w:val="24"/>
          <w:szCs w:val="20"/>
        </w:rPr>
      </w:pPr>
    </w:p>
    <w:p w14:paraId="350664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Gadā </w:t>
      </w:r>
      <w:r w:rsidRPr="00B03B51">
        <w:rPr>
          <w:rFonts w:ascii="Times New Roman" w:hAnsi="Times New Roman" w:cs="Times New Roman"/>
          <w:i/>
          <w:iCs/>
          <w:sz w:val="24"/>
        </w:rPr>
        <w:t>t</w:t>
      </w:r>
      <w:r w:rsidRPr="00B03B51">
        <w:rPr>
          <w:rFonts w:ascii="Times New Roman" w:hAnsi="Times New Roman" w:cs="Times New Roman"/>
          <w:sz w:val="24"/>
        </w:rPr>
        <w:t xml:space="preserve"> tiek pieprasīts izmaksāt 10 naudas vienības no garantijas. Šāds pieprasījums tiek saņemts arī gadā </w:t>
      </w:r>
      <w:r w:rsidRPr="00B03B51">
        <w:rPr>
          <w:rFonts w:ascii="Times New Roman" w:hAnsi="Times New Roman" w:cs="Times New Roman"/>
          <w:i/>
          <w:iCs/>
          <w:sz w:val="24"/>
        </w:rPr>
        <w:t>t+2</w:t>
      </w:r>
      <w:r w:rsidRPr="00B03B51">
        <w:rPr>
          <w:rFonts w:ascii="Times New Roman" w:hAnsi="Times New Roman" w:cs="Times New Roman"/>
          <w:sz w:val="24"/>
        </w:rPr>
        <w:t xml:space="preserve"> (savukārt </w:t>
      </w:r>
      <w:r w:rsidRPr="00B03B51">
        <w:rPr>
          <w:rFonts w:ascii="Times New Roman" w:hAnsi="Times New Roman" w:cs="Times New Roman"/>
          <w:i/>
          <w:iCs/>
          <w:sz w:val="24"/>
        </w:rPr>
        <w:t>t+1</w:t>
      </w:r>
      <w:r w:rsidRPr="00B03B51">
        <w:rPr>
          <w:rFonts w:ascii="Times New Roman" w:hAnsi="Times New Roman" w:cs="Times New Roman"/>
          <w:sz w:val="24"/>
        </w:rPr>
        <w:t> gadā garantija nav prasīta).</w:t>
      </w:r>
    </w:p>
    <w:p w14:paraId="51557625" w14:textId="77777777" w:rsidR="00443399" w:rsidRPr="00B03B51" w:rsidRDefault="00443399" w:rsidP="00443399">
      <w:pPr>
        <w:jc w:val="both"/>
        <w:rPr>
          <w:rFonts w:ascii="Times New Roman" w:hAnsi="Times New Roman" w:cs="Times New Roman"/>
          <w:noProof/>
          <w:sz w:val="24"/>
        </w:rPr>
      </w:pPr>
    </w:p>
    <w:p w14:paraId="56A23E56" w14:textId="77777777" w:rsidR="00443399" w:rsidRPr="00B03B51" w:rsidRDefault="00443399" w:rsidP="00443399">
      <w:pPr>
        <w:jc w:val="center"/>
        <w:rPr>
          <w:rFonts w:ascii="Times New Roman" w:hAnsi="Times New Roman" w:cs="Times New Roman"/>
          <w:b/>
          <w:noProof/>
          <w:sz w:val="24"/>
        </w:rPr>
      </w:pPr>
      <w:r w:rsidRPr="00B03B51">
        <w:rPr>
          <w:rFonts w:ascii="Times New Roman" w:hAnsi="Times New Roman" w:cs="Times New Roman"/>
          <w:noProof/>
        </w:rPr>
        <w:drawing>
          <wp:inline distT="0" distB="0" distL="0" distR="0" wp14:anchorId="286A46F9" wp14:editId="103187E4">
            <wp:extent cx="5756275" cy="4111625"/>
            <wp:effectExtent l="0" t="0" r="0" b="3175"/>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56275" cy="4111625"/>
                    </a:xfrm>
                    <a:prstGeom prst="rect">
                      <a:avLst/>
                    </a:prstGeom>
                  </pic:spPr>
                </pic:pic>
              </a:graphicData>
            </a:graphic>
          </wp:inline>
        </w:drawing>
      </w:r>
    </w:p>
    <w:p w14:paraId="293E3B5E" w14:textId="77777777" w:rsidR="00443399" w:rsidRPr="00B03B51" w:rsidRDefault="00443399" w:rsidP="00443399">
      <w:pPr>
        <w:jc w:val="both"/>
        <w:rPr>
          <w:rFonts w:ascii="Times New Roman" w:hAnsi="Times New Roman" w:cs="Times New Roman"/>
          <w:b/>
          <w:noProof/>
          <w:sz w:val="24"/>
        </w:rPr>
      </w:pPr>
    </w:p>
    <w:p w14:paraId="53783B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Gadā </w:t>
      </w:r>
      <w:r w:rsidRPr="00B03B51">
        <w:rPr>
          <w:rFonts w:ascii="Times New Roman" w:hAnsi="Times New Roman" w:cs="Times New Roman"/>
          <w:i/>
          <w:iCs/>
          <w:sz w:val="24"/>
        </w:rPr>
        <w:t>t+3</w:t>
      </w:r>
      <w:r w:rsidRPr="00B03B51">
        <w:rPr>
          <w:rFonts w:ascii="Times New Roman" w:hAnsi="Times New Roman" w:cs="Times New Roman"/>
          <w:sz w:val="24"/>
        </w:rPr>
        <w:t xml:space="preserve"> ir trešais garantijas prasījums, kurā pieprasīts izmaksāt atlikušo daļu – 80 naudas vienības. Valdība izdod parāda vērtspapīrus 10 naudas vienību vērtībā un aizdevumu 70 naudas vienību vērtībā, lai segtu šo prasījumu.</w:t>
      </w:r>
    </w:p>
    <w:p w14:paraId="46941EA0" w14:textId="77777777" w:rsidR="00443399" w:rsidRPr="00B03B51" w:rsidRDefault="00443399" w:rsidP="00443399">
      <w:pPr>
        <w:jc w:val="both"/>
        <w:rPr>
          <w:rFonts w:ascii="Times New Roman" w:hAnsi="Times New Roman" w:cs="Times New Roman"/>
          <w:noProof/>
          <w:sz w:val="24"/>
        </w:rPr>
      </w:pPr>
    </w:p>
    <w:p w14:paraId="3B67AE20"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5736E99A" wp14:editId="70ACA67D">
            <wp:extent cx="5756275" cy="4838700"/>
            <wp:effectExtent l="0" t="0" r="0"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56275" cy="4838700"/>
                    </a:xfrm>
                    <a:prstGeom prst="rect">
                      <a:avLst/>
                    </a:prstGeom>
                  </pic:spPr>
                </pic:pic>
              </a:graphicData>
            </a:graphic>
          </wp:inline>
        </w:drawing>
      </w:r>
      <w:r w:rsidRPr="00B03B51">
        <w:rPr>
          <w:rFonts w:ascii="Times New Roman" w:hAnsi="Times New Roman" w:cs="Times New Roman"/>
          <w:noProof/>
          <w:sz w:val="24"/>
        </w:rPr>
        <mc:AlternateContent>
          <mc:Choice Requires="wpg">
            <w:drawing>
              <wp:anchor distT="0" distB="0" distL="114300" distR="114300" simplePos="0" relativeHeight="251663360" behindDoc="1" locked="0" layoutInCell="1" allowOverlap="1" wp14:anchorId="2A7BF8AE" wp14:editId="70FFFB02">
                <wp:simplePos x="0" y="0"/>
                <wp:positionH relativeFrom="page">
                  <wp:posOffset>2428240</wp:posOffset>
                </wp:positionH>
                <wp:positionV relativeFrom="page">
                  <wp:posOffset>1763395</wp:posOffset>
                </wp:positionV>
                <wp:extent cx="1270" cy="140335"/>
                <wp:effectExtent l="8890" t="10795" r="8890" b="1079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0335"/>
                          <a:chOff x="3824" y="2777"/>
                          <a:chExt cx="2" cy="221"/>
                        </a:xfrm>
                      </wpg:grpSpPr>
                      <wps:wsp>
                        <wps:cNvPr id="12" name="Freeform 15"/>
                        <wps:cNvSpPr>
                          <a:spLocks/>
                        </wps:cNvSpPr>
                        <wps:spPr bwMode="auto">
                          <a:xfrm>
                            <a:off x="3824" y="2777"/>
                            <a:ext cx="2" cy="221"/>
                          </a:xfrm>
                          <a:custGeom>
                            <a:avLst/>
                            <a:gdLst>
                              <a:gd name="T0" fmla="+- 0 2777 2777"/>
                              <a:gd name="T1" fmla="*/ 2777 h 221"/>
                              <a:gd name="T2" fmla="+- 0 2998 2777"/>
                              <a:gd name="T3" fmla="*/ 2998 h 221"/>
                            </a:gdLst>
                            <a:ahLst/>
                            <a:cxnLst>
                              <a:cxn ang="0">
                                <a:pos x="0" y="T1"/>
                              </a:cxn>
                              <a:cxn ang="0">
                                <a:pos x="0" y="T3"/>
                              </a:cxn>
                            </a:cxnLst>
                            <a:rect l="0" t="0" r="r" b="b"/>
                            <a:pathLst>
                              <a:path h="221">
                                <a:moveTo>
                                  <a:pt x="0" y="0"/>
                                </a:moveTo>
                                <a:lnTo>
                                  <a:pt x="0" y="22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BB172" id="Group 3" o:spid="_x0000_s1026" style="position:absolute;margin-left:191.2pt;margin-top:138.85pt;width:.1pt;height:11.05pt;z-index:-251653120;mso-position-horizontal-relative:page;mso-position-vertical-relative:page" coordorigin="3824,2777" coordsize="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">
                <v:shape id="Freeform 15" o:spid="_x0000_s1027" style="position:absolute;left:3824;top:2777;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" path="m,l,221e" filled="f" strokeweight=".82pt">
                  <v:path arrowok="t" o:connecttype="custom" o:connectlocs="0,2777;0,2998" o:connectangles="0,0"/>
                </v:shape>
                <w10:wrap anchorx="page" anchory="page"/>
              </v:group>
            </w:pict>
          </mc:Fallback>
        </mc:AlternateContent>
      </w:r>
      <w:r w:rsidRPr="00B03B51">
        <w:rPr>
          <w:rFonts w:ascii="Times New Roman" w:hAnsi="Times New Roman" w:cs="Times New Roman"/>
          <w:noProof/>
          <w:sz w:val="24"/>
        </w:rPr>
        <mc:AlternateContent>
          <mc:Choice Requires="wpg">
            <w:drawing>
              <wp:anchor distT="0" distB="0" distL="114300" distR="114300" simplePos="0" relativeHeight="251664384" behindDoc="1" locked="0" layoutInCell="1" allowOverlap="1" wp14:anchorId="274D66BA" wp14:editId="5F6AAFBB">
                <wp:simplePos x="0" y="0"/>
                <wp:positionH relativeFrom="page">
                  <wp:posOffset>5130800</wp:posOffset>
                </wp:positionH>
                <wp:positionV relativeFrom="page">
                  <wp:posOffset>1763395</wp:posOffset>
                </wp:positionV>
                <wp:extent cx="1270" cy="140335"/>
                <wp:effectExtent l="6350" t="10795" r="11430" b="10795"/>
                <wp:wrapNone/>
                <wp:docPr id="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0335"/>
                          <a:chOff x="8080" y="2777"/>
                          <a:chExt cx="2" cy="221"/>
                        </a:xfrm>
                      </wpg:grpSpPr>
                      <wps:wsp>
                        <wps:cNvPr id="98" name="Freeform 17"/>
                        <wps:cNvSpPr>
                          <a:spLocks/>
                        </wps:cNvSpPr>
                        <wps:spPr bwMode="auto">
                          <a:xfrm>
                            <a:off x="8080" y="2777"/>
                            <a:ext cx="2" cy="221"/>
                          </a:xfrm>
                          <a:custGeom>
                            <a:avLst/>
                            <a:gdLst>
                              <a:gd name="T0" fmla="+- 0 2777 2777"/>
                              <a:gd name="T1" fmla="*/ 2777 h 221"/>
                              <a:gd name="T2" fmla="+- 0 2998 2777"/>
                              <a:gd name="T3" fmla="*/ 2998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AB4BB" id="Group 1" o:spid="_x0000_s1026" style="position:absolute;margin-left:404pt;margin-top:138.85pt;width:.1pt;height:11.05pt;z-index:-251652096;mso-position-horizontal-relative:page;mso-position-vertical-relative:page" coordorigin="8080,2777" coordsize="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">
                <v:shape id="Freeform 17" o:spid="_x0000_s1027" style="position:absolute;left:8080;top:2777;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" path="m,l,221e" filled="f" strokeweight=".58pt">
                  <v:path arrowok="t" o:connecttype="custom" o:connectlocs="0,2777;0,2998" o:connectangles="0,0"/>
                </v:shape>
                <w10:wrap anchorx="page" anchory="page"/>
              </v:group>
            </w:pict>
          </mc:Fallback>
        </mc:AlternateContent>
      </w:r>
    </w:p>
    <w:p w14:paraId="138FDED7" w14:textId="77777777" w:rsidR="00443399" w:rsidRPr="00B03B51" w:rsidRDefault="00443399" w:rsidP="00443399">
      <w:pPr>
        <w:jc w:val="both"/>
        <w:rPr>
          <w:rFonts w:ascii="Times New Roman" w:eastAsia="Arial" w:hAnsi="Times New Roman" w:cs="Times New Roman"/>
          <w:noProof/>
          <w:sz w:val="24"/>
          <w:szCs w:val="13"/>
        </w:rPr>
      </w:pPr>
    </w:p>
    <w:p w14:paraId="11649016"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Pārklasificēšana par valdības parādu sākumā</w:t>
      </w:r>
    </w:p>
    <w:p w14:paraId="59F85563" w14:textId="77777777" w:rsidR="00443399" w:rsidRPr="00B03B51" w:rsidRDefault="00443399" w:rsidP="00443399">
      <w:pPr>
        <w:jc w:val="both"/>
        <w:rPr>
          <w:rFonts w:ascii="Times New Roman" w:eastAsia="Arial" w:hAnsi="Times New Roman" w:cs="Times New Roman"/>
          <w:b/>
          <w:bCs/>
          <w:noProof/>
          <w:sz w:val="24"/>
        </w:rPr>
      </w:pPr>
    </w:p>
    <w:p w14:paraId="26F0960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piešķir publiskai sabiedrībai garantiju par 100 naudas vienībām attiecībā uz tās parādu izpērkamas obligācijas (AF.3) formā (valdība neiekasē maksu).</w:t>
      </w:r>
    </w:p>
    <w:p w14:paraId="76B93774" w14:textId="77777777" w:rsidR="00443399" w:rsidRPr="00B03B51" w:rsidRDefault="00443399" w:rsidP="00443399">
      <w:pPr>
        <w:jc w:val="both"/>
        <w:rPr>
          <w:rFonts w:ascii="Times New Roman" w:eastAsia="Arial" w:hAnsi="Times New Roman" w:cs="Times New Roman"/>
          <w:noProof/>
          <w:sz w:val="24"/>
          <w:szCs w:val="18"/>
        </w:rPr>
      </w:pPr>
    </w:p>
    <w:p w14:paraId="3A9148F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Sākumā ir pārliecinoši pierādījumi (sabiedrība ar negatīviem pašu līdzekļiem, valdība apņemas veikt atmaksāšanu u. c.) tam, ka parādu atmaksās valdība. Tādējādi sākumā parāds tiek uzskatīts par valdības parādu (vienkāršošanas nolūkā piemērā nav parādīti procenti attiecībā uz aizdevumu).</w:t>
      </w:r>
    </w:p>
    <w:p w14:paraId="72A8EDE4" w14:textId="77777777" w:rsidR="00443399" w:rsidRPr="00B03B51" w:rsidRDefault="00443399" w:rsidP="00443399">
      <w:pPr>
        <w:jc w:val="both"/>
        <w:rPr>
          <w:rFonts w:ascii="Times New Roman" w:eastAsia="Arial" w:hAnsi="Times New Roman" w:cs="Times New Roman"/>
          <w:noProof/>
          <w:sz w:val="24"/>
          <w:szCs w:val="28"/>
        </w:rPr>
      </w:pPr>
    </w:p>
    <w:p w14:paraId="55BB2C94"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1AE481B0" wp14:editId="4B4FEDDE">
            <wp:extent cx="5756275" cy="2995930"/>
            <wp:effectExtent l="0" t="0" r="0"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56275" cy="2995930"/>
                    </a:xfrm>
                    <a:prstGeom prst="rect">
                      <a:avLst/>
                    </a:prstGeom>
                  </pic:spPr>
                </pic:pic>
              </a:graphicData>
            </a:graphic>
          </wp:inline>
        </w:drawing>
      </w:r>
    </w:p>
    <w:p w14:paraId="08AA0136" w14:textId="77777777" w:rsidR="00443399" w:rsidRPr="00B03B51" w:rsidRDefault="00443399" w:rsidP="00443399">
      <w:pPr>
        <w:jc w:val="center"/>
        <w:rPr>
          <w:rFonts w:ascii="Times New Roman" w:eastAsia="Arial" w:hAnsi="Times New Roman" w:cs="Times New Roman"/>
          <w:noProof/>
          <w:sz w:val="24"/>
          <w:szCs w:val="16"/>
        </w:rPr>
      </w:pPr>
      <w:r w:rsidRPr="00B03B51">
        <w:rPr>
          <w:rFonts w:ascii="Times New Roman" w:hAnsi="Times New Roman" w:cs="Times New Roman"/>
          <w:noProof/>
        </w:rPr>
        <w:drawing>
          <wp:inline distT="0" distB="0" distL="0" distR="0" wp14:anchorId="54652893" wp14:editId="47D281D1">
            <wp:extent cx="5756275" cy="685800"/>
            <wp:effectExtent l="0" t="0" r="0"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56275" cy="685800"/>
                    </a:xfrm>
                    <a:prstGeom prst="rect">
                      <a:avLst/>
                    </a:prstGeom>
                  </pic:spPr>
                </pic:pic>
              </a:graphicData>
            </a:graphic>
          </wp:inline>
        </w:drawing>
      </w:r>
    </w:p>
    <w:p w14:paraId="7CFD271E" w14:textId="77777777" w:rsidR="00443399" w:rsidRPr="00B03B51" w:rsidRDefault="00443399" w:rsidP="00443399">
      <w:pPr>
        <w:jc w:val="both"/>
        <w:rPr>
          <w:rFonts w:ascii="Times New Roman" w:eastAsia="Arial" w:hAnsi="Times New Roman" w:cs="Times New Roman"/>
          <w:noProof/>
          <w:sz w:val="24"/>
          <w:szCs w:val="16"/>
        </w:rPr>
      </w:pPr>
    </w:p>
    <w:p w14:paraId="16D2941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Parāda atmaksas termiņa beigās publiskā sabiedrība ir gatava pati atmaksāt 10 naudas vienības no pamatsummas maksājuma 100 naudas vienību apmērā.</w:t>
      </w:r>
    </w:p>
    <w:p w14:paraId="27875F37" w14:textId="77777777" w:rsidR="00443399" w:rsidRPr="00B03B51" w:rsidRDefault="00443399" w:rsidP="00443399">
      <w:pPr>
        <w:jc w:val="both"/>
        <w:rPr>
          <w:rFonts w:ascii="Times New Roman" w:eastAsia="Arial" w:hAnsi="Times New Roman" w:cs="Times New Roman"/>
          <w:noProof/>
          <w:sz w:val="24"/>
          <w:szCs w:val="20"/>
        </w:rPr>
      </w:pPr>
    </w:p>
    <w:p w14:paraId="0F5C914F" w14:textId="77777777" w:rsidR="00443399" w:rsidRPr="00B03B51" w:rsidRDefault="00443399" w:rsidP="00443399">
      <w:pPr>
        <w:jc w:val="center"/>
        <w:rPr>
          <w:rFonts w:ascii="Times New Roman" w:eastAsia="Arial" w:hAnsi="Times New Roman" w:cs="Times New Roman"/>
          <w:noProof/>
          <w:sz w:val="24"/>
          <w:szCs w:val="19"/>
        </w:rPr>
      </w:pPr>
      <w:r w:rsidRPr="00B03B51">
        <w:rPr>
          <w:rFonts w:ascii="Times New Roman" w:hAnsi="Times New Roman" w:cs="Times New Roman"/>
          <w:noProof/>
        </w:rPr>
        <w:drawing>
          <wp:inline distT="0" distB="0" distL="0" distR="0" wp14:anchorId="71CB16C6" wp14:editId="1735A0B2">
            <wp:extent cx="5756275" cy="3801745"/>
            <wp:effectExtent l="0" t="0" r="0" b="8255"/>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56275" cy="3801745"/>
                    </a:xfrm>
                    <a:prstGeom prst="rect">
                      <a:avLst/>
                    </a:prstGeom>
                  </pic:spPr>
                </pic:pic>
              </a:graphicData>
            </a:graphic>
          </wp:inline>
        </w:drawing>
      </w:r>
    </w:p>
    <w:p w14:paraId="6D3F2C62" w14:textId="77777777" w:rsidR="00443399" w:rsidRPr="00B03B51" w:rsidRDefault="00443399" w:rsidP="00443399">
      <w:pPr>
        <w:jc w:val="both"/>
        <w:rPr>
          <w:rFonts w:ascii="Times New Roman" w:eastAsia="Arial" w:hAnsi="Times New Roman" w:cs="Times New Roman"/>
          <w:noProof/>
          <w:sz w:val="24"/>
          <w:szCs w:val="10"/>
        </w:rPr>
      </w:pPr>
    </w:p>
    <w:p w14:paraId="2B969DA5" w14:textId="77777777" w:rsidR="00443399" w:rsidRPr="00B03B51" w:rsidRDefault="00443399" w:rsidP="002E7929">
      <w:pPr>
        <w:keepNext/>
        <w:jc w:val="both"/>
        <w:rPr>
          <w:rFonts w:ascii="Times New Roman" w:eastAsia="Arial" w:hAnsi="Times New Roman" w:cs="Times New Roman"/>
          <w:noProof/>
          <w:sz w:val="24"/>
          <w:szCs w:val="12"/>
        </w:rPr>
      </w:pPr>
      <w:r w:rsidRPr="00B03B51">
        <w:rPr>
          <w:rFonts w:ascii="Times New Roman" w:hAnsi="Times New Roman" w:cs="Times New Roman"/>
          <w:b/>
          <w:sz w:val="24"/>
        </w:rPr>
        <w:lastRenderedPageBreak/>
        <w:t>Valdības garantija attiecībā uz zaudējumiem, kas saistīti ar problemātiskiem aktīviem</w:t>
      </w:r>
      <w:r w:rsidRPr="00B03B51">
        <w:rPr>
          <w:rStyle w:val="FootnoteReference"/>
          <w:rFonts w:ascii="Times New Roman" w:hAnsi="Times New Roman" w:cs="Times New Roman"/>
          <w:b/>
          <w:noProof/>
          <w:sz w:val="24"/>
        </w:rPr>
        <w:footnoteReference w:id="278"/>
      </w:r>
    </w:p>
    <w:p w14:paraId="4C2A881A" w14:textId="77777777" w:rsidR="00443399" w:rsidRPr="00B03B51" w:rsidRDefault="00443399" w:rsidP="002E7929">
      <w:pPr>
        <w:keepNext/>
        <w:jc w:val="both"/>
        <w:rPr>
          <w:rFonts w:ascii="Times New Roman" w:eastAsia="Arial" w:hAnsi="Times New Roman" w:cs="Times New Roman"/>
          <w:b/>
          <w:bCs/>
          <w:noProof/>
          <w:sz w:val="24"/>
        </w:rPr>
      </w:pPr>
    </w:p>
    <w:p w14:paraId="16B41A0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 Gadā </w:t>
      </w:r>
      <w:r w:rsidRPr="00B03B51">
        <w:rPr>
          <w:rFonts w:ascii="Times New Roman" w:hAnsi="Times New Roman" w:cs="Times New Roman"/>
          <w:i/>
          <w:iCs/>
          <w:sz w:val="24"/>
        </w:rPr>
        <w:t>t</w:t>
      </w:r>
      <w:r w:rsidRPr="00B03B51">
        <w:rPr>
          <w:rFonts w:ascii="Times New Roman" w:hAnsi="Times New Roman" w:cs="Times New Roman"/>
          <w:sz w:val="24"/>
        </w:rPr>
        <w:t xml:space="preserve"> problemātisko aktīvu nominālvērtība ir 100 naudas vienības, zaudējumi attiecībā uz šiem aktīviem tiek ticami novērtēti 70 naudas vienību apmērā. Garantētā summa ir ierakstīta kā valdības izdevumi (D.9) un valdības saistības (F.8). Problemātiskie aktīvi tiek saglabāti finanšu iestādes kontā.</w:t>
      </w:r>
    </w:p>
    <w:p w14:paraId="16572416" w14:textId="77777777" w:rsidR="00443399" w:rsidRPr="00B03B51" w:rsidRDefault="00443399" w:rsidP="00443399">
      <w:pPr>
        <w:jc w:val="both"/>
        <w:rPr>
          <w:rFonts w:ascii="Times New Roman" w:hAnsi="Times New Roman" w:cs="Times New Roman"/>
          <w:noProof/>
          <w:sz w:val="24"/>
        </w:rPr>
      </w:pPr>
    </w:p>
    <w:p w14:paraId="2810138B"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7F627C64" wp14:editId="004AFD38">
            <wp:extent cx="5756275" cy="2386965"/>
            <wp:effectExtent l="0" t="0" r="0"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756275" cy="2386965"/>
                    </a:xfrm>
                    <a:prstGeom prst="rect">
                      <a:avLst/>
                    </a:prstGeom>
                  </pic:spPr>
                </pic:pic>
              </a:graphicData>
            </a:graphic>
          </wp:inline>
        </w:drawing>
      </w:r>
    </w:p>
    <w:p w14:paraId="0BCA9424"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drawing>
          <wp:inline distT="0" distB="0" distL="0" distR="0" wp14:anchorId="57E10E9B" wp14:editId="6FFA322A">
            <wp:extent cx="5756275" cy="2661285"/>
            <wp:effectExtent l="0" t="0" r="0" b="5715"/>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56275" cy="2661285"/>
                    </a:xfrm>
                    <a:prstGeom prst="rect">
                      <a:avLst/>
                    </a:prstGeom>
                  </pic:spPr>
                </pic:pic>
              </a:graphicData>
            </a:graphic>
          </wp:inline>
        </w:drawing>
      </w:r>
    </w:p>
    <w:p w14:paraId="75A1D7FB" w14:textId="77777777" w:rsidR="00443399" w:rsidRPr="00B03B51" w:rsidRDefault="00443399" w:rsidP="00443399">
      <w:pPr>
        <w:jc w:val="both"/>
        <w:rPr>
          <w:rFonts w:ascii="Times New Roman" w:eastAsia="Arial" w:hAnsi="Times New Roman" w:cs="Times New Roman"/>
          <w:noProof/>
          <w:sz w:val="24"/>
          <w:szCs w:val="26"/>
        </w:rPr>
      </w:pPr>
    </w:p>
    <w:p w14:paraId="5CE7AD2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Gadā </w:t>
      </w:r>
      <w:r w:rsidRPr="00B03B51">
        <w:rPr>
          <w:rFonts w:ascii="Times New Roman" w:hAnsi="Times New Roman" w:cs="Times New Roman"/>
          <w:i/>
          <w:iCs/>
          <w:sz w:val="24"/>
        </w:rPr>
        <w:t>t+1</w:t>
      </w:r>
      <w:r w:rsidRPr="00B03B51">
        <w:rPr>
          <w:rFonts w:ascii="Times New Roman" w:hAnsi="Times New Roman" w:cs="Times New Roman"/>
          <w:sz w:val="24"/>
        </w:rPr>
        <w:t xml:space="preserve"> valdība pārskaita naudu finanšu iestādei, kurai ir jāatmaksā 70 naudas vienības no sava parāda. Valdībai ir jāaizņemas tirgos.</w:t>
      </w:r>
    </w:p>
    <w:p w14:paraId="3EEA531C" w14:textId="77777777" w:rsidR="00443399" w:rsidRPr="00B03B51" w:rsidRDefault="00443399" w:rsidP="00443399">
      <w:pPr>
        <w:jc w:val="both"/>
        <w:rPr>
          <w:rFonts w:ascii="Times New Roman" w:hAnsi="Times New Roman" w:cs="Times New Roman"/>
          <w:b/>
          <w:noProof/>
          <w:sz w:val="24"/>
        </w:rPr>
      </w:pPr>
    </w:p>
    <w:p w14:paraId="3E833DE0" w14:textId="77777777" w:rsidR="00443399" w:rsidRPr="00B03B51" w:rsidRDefault="00443399" w:rsidP="00BD4F89">
      <w:pPr>
        <w:jc w:val="center"/>
        <w:rPr>
          <w:rFonts w:ascii="Times New Roman" w:hAnsi="Times New Roman" w:cs="Times New Roman"/>
          <w:b/>
          <w:noProof/>
          <w:sz w:val="24"/>
        </w:rPr>
      </w:pPr>
      <w:r w:rsidRPr="00B03B51">
        <w:rPr>
          <w:rFonts w:ascii="Times New Roman" w:hAnsi="Times New Roman" w:cs="Times New Roman"/>
          <w:noProof/>
        </w:rPr>
        <w:lastRenderedPageBreak/>
        <w:drawing>
          <wp:inline distT="0" distB="0" distL="0" distR="0" wp14:anchorId="6C636606" wp14:editId="3C4DDC41">
            <wp:extent cx="5756275" cy="3448050"/>
            <wp:effectExtent l="0" t="0" r="0"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56275" cy="3448050"/>
                    </a:xfrm>
                    <a:prstGeom prst="rect">
                      <a:avLst/>
                    </a:prstGeom>
                  </pic:spPr>
                </pic:pic>
              </a:graphicData>
            </a:graphic>
          </wp:inline>
        </w:drawing>
      </w:r>
    </w:p>
    <w:p w14:paraId="4BE99902" w14:textId="77777777" w:rsidR="00443399" w:rsidRPr="00B03B51" w:rsidRDefault="00443399" w:rsidP="00443399">
      <w:pPr>
        <w:jc w:val="both"/>
        <w:rPr>
          <w:rFonts w:ascii="Times New Roman" w:eastAsia="Arial" w:hAnsi="Times New Roman" w:cs="Times New Roman"/>
          <w:noProof/>
          <w:sz w:val="24"/>
          <w:szCs w:val="14"/>
        </w:rPr>
      </w:pPr>
    </w:p>
    <w:p w14:paraId="5B9FCB6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 Alternatīvais variants: gadā </w:t>
      </w:r>
      <w:r w:rsidRPr="00B03B51">
        <w:rPr>
          <w:rFonts w:ascii="Times New Roman" w:hAnsi="Times New Roman" w:cs="Times New Roman"/>
          <w:i/>
          <w:iCs/>
          <w:sz w:val="24"/>
        </w:rPr>
        <w:t>t+1</w:t>
      </w:r>
      <w:r w:rsidRPr="00B03B51">
        <w:rPr>
          <w:rFonts w:ascii="Times New Roman" w:hAnsi="Times New Roman" w:cs="Times New Roman"/>
          <w:sz w:val="24"/>
        </w:rPr>
        <w:t xml:space="preserve"> finanšu iestādei ir jāizpērk savs parāds par 70 naudas vienībām. Problemātiskie aktīvi pārdoti par 40 naudas vienībām, tādējādi realizētie zaudējumi par aktīviem ir 60 (nevis, kā prognozēts iepriekš, 70 naudas vienības). Valdība pārskaita naudas summu (no aizņēmumiem tirgos).</w:t>
      </w:r>
    </w:p>
    <w:p w14:paraId="1C4A0010" w14:textId="77777777" w:rsidR="00443399" w:rsidRPr="00B03B51" w:rsidRDefault="00443399" w:rsidP="00443399">
      <w:pPr>
        <w:jc w:val="both"/>
        <w:rPr>
          <w:rFonts w:ascii="Times New Roman" w:eastAsia="Arial" w:hAnsi="Times New Roman" w:cs="Times New Roman"/>
          <w:noProof/>
          <w:sz w:val="24"/>
          <w:szCs w:val="28"/>
        </w:rPr>
      </w:pPr>
    </w:p>
    <w:p w14:paraId="5DF125A6" w14:textId="77777777" w:rsidR="00443399" w:rsidRPr="00B03B51" w:rsidRDefault="00443399" w:rsidP="00BD4F89">
      <w:pPr>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12078EFF" wp14:editId="470576E5">
            <wp:extent cx="5756275" cy="1492885"/>
            <wp:effectExtent l="0" t="0" r="0"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56275" cy="1492885"/>
                    </a:xfrm>
                    <a:prstGeom prst="rect">
                      <a:avLst/>
                    </a:prstGeom>
                  </pic:spPr>
                </pic:pic>
              </a:graphicData>
            </a:graphic>
          </wp:inline>
        </w:drawing>
      </w:r>
    </w:p>
    <w:p w14:paraId="073E4838" w14:textId="77777777" w:rsidR="00443399" w:rsidRPr="00B03B51" w:rsidRDefault="00443399" w:rsidP="00443399">
      <w:pPr>
        <w:jc w:val="center"/>
        <w:rPr>
          <w:rFonts w:ascii="Times New Roman" w:eastAsia="Arial" w:hAnsi="Times New Roman" w:cs="Times New Roman"/>
          <w:noProof/>
          <w:sz w:val="24"/>
          <w:szCs w:val="20"/>
        </w:rPr>
      </w:pPr>
      <w:r w:rsidRPr="00B03B51">
        <w:rPr>
          <w:rFonts w:ascii="Times New Roman" w:hAnsi="Times New Roman" w:cs="Times New Roman"/>
          <w:noProof/>
        </w:rPr>
        <w:lastRenderedPageBreak/>
        <w:drawing>
          <wp:inline distT="0" distB="0" distL="0" distR="0" wp14:anchorId="37AF1A1D" wp14:editId="5389AC17">
            <wp:extent cx="5756275" cy="4091305"/>
            <wp:effectExtent l="0" t="0" r="0" b="4445"/>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56275" cy="4091305"/>
                    </a:xfrm>
                    <a:prstGeom prst="rect">
                      <a:avLst/>
                    </a:prstGeom>
                  </pic:spPr>
                </pic:pic>
              </a:graphicData>
            </a:graphic>
          </wp:inline>
        </w:drawing>
      </w:r>
    </w:p>
    <w:p w14:paraId="7B6549EE" w14:textId="77777777" w:rsidR="00443399" w:rsidRPr="00B03B51" w:rsidRDefault="00443399" w:rsidP="00443399">
      <w:pPr>
        <w:jc w:val="both"/>
        <w:rPr>
          <w:rFonts w:ascii="Times New Roman" w:eastAsia="Arial" w:hAnsi="Times New Roman" w:cs="Times New Roman"/>
          <w:noProof/>
          <w:sz w:val="24"/>
          <w:szCs w:val="19"/>
        </w:rPr>
      </w:pPr>
    </w:p>
    <w:p w14:paraId="77D23B80"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Standartizētās garantijas – gadījums, kad valdība neiekasē maksu</w:t>
      </w:r>
    </w:p>
    <w:p w14:paraId="57418A12" w14:textId="77777777" w:rsidR="00443399" w:rsidRPr="00B03B51" w:rsidRDefault="00443399" w:rsidP="00443399">
      <w:pPr>
        <w:jc w:val="both"/>
        <w:rPr>
          <w:rFonts w:ascii="Times New Roman" w:eastAsia="Arial" w:hAnsi="Times New Roman" w:cs="Times New Roman"/>
          <w:b/>
          <w:bCs/>
          <w:noProof/>
          <w:sz w:val="24"/>
        </w:rPr>
      </w:pPr>
    </w:p>
    <w:p w14:paraId="085AB60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izsniedz garantiju attiecībā uz aizdevumiem, kurus izdevušas noteiktas finanšu iestādes (valdība neiekasē maksu par šo garantiju, proti, tā nerīkojas saskaņā ar komerciālām interesēm, un gadījumā, ja maksa ir paredzēta, tā nepārsniedz valdības administratīvās izmaksas).</w:t>
      </w:r>
    </w:p>
    <w:p w14:paraId="1B05C3B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73244E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Aizdevumu sākumā valdība izveido saistības (uzkrājumi standarta garantiju prasījumiem (AF.66)), pamatojoties uz prognozi, ka 20 % no aizdevumiem radīs valdībai zaudējumus 20 naudas vienību apmērā par katru 100 naudas vienību apmērā piešķirto summu (vienkāršošanas nolūkā tiek uzskatīts, ka šādas garantijas sagatavošanas izmaksas ir nulle).</w:t>
      </w:r>
    </w:p>
    <w:p w14:paraId="6E89602D" w14:textId="77777777" w:rsidR="00443399" w:rsidRPr="00B03B51" w:rsidRDefault="00443399" w:rsidP="00443399">
      <w:pPr>
        <w:jc w:val="both"/>
        <w:rPr>
          <w:rFonts w:ascii="Times New Roman" w:eastAsia="Arial" w:hAnsi="Times New Roman" w:cs="Times New Roman"/>
          <w:noProof/>
          <w:sz w:val="24"/>
          <w:szCs w:val="28"/>
        </w:rPr>
      </w:pPr>
    </w:p>
    <w:p w14:paraId="273B8287" w14:textId="77777777" w:rsidR="00443399" w:rsidRPr="00B03B51" w:rsidRDefault="00443399" w:rsidP="00443399">
      <w:pPr>
        <w:jc w:val="center"/>
        <w:rPr>
          <w:rFonts w:ascii="Times New Roman" w:eastAsia="Arial" w:hAnsi="Times New Roman" w:cs="Times New Roman"/>
          <w:noProof/>
          <w:sz w:val="24"/>
          <w:szCs w:val="19"/>
        </w:rPr>
      </w:pPr>
      <w:r w:rsidRPr="00B03B51">
        <w:rPr>
          <w:rFonts w:ascii="Times New Roman" w:hAnsi="Times New Roman" w:cs="Times New Roman"/>
          <w:noProof/>
        </w:rPr>
        <w:drawing>
          <wp:inline distT="0" distB="0" distL="0" distR="0" wp14:anchorId="639BDB39" wp14:editId="6D3616FC">
            <wp:extent cx="5756275" cy="2270125"/>
            <wp:effectExtent l="0" t="0" r="0"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56275" cy="2270125"/>
                    </a:xfrm>
                    <a:prstGeom prst="rect">
                      <a:avLst/>
                    </a:prstGeom>
                  </pic:spPr>
                </pic:pic>
              </a:graphicData>
            </a:graphic>
          </wp:inline>
        </w:drawing>
      </w:r>
    </w:p>
    <w:p w14:paraId="310B4957" w14:textId="77777777" w:rsidR="00443399" w:rsidRPr="00B03B51" w:rsidRDefault="00443399" w:rsidP="00443399">
      <w:pPr>
        <w:jc w:val="center"/>
        <w:rPr>
          <w:rFonts w:ascii="Times New Roman" w:eastAsia="Arial" w:hAnsi="Times New Roman" w:cs="Times New Roman"/>
          <w:noProof/>
          <w:sz w:val="24"/>
          <w:szCs w:val="19"/>
        </w:rPr>
      </w:pPr>
      <w:r w:rsidRPr="00B03B51">
        <w:rPr>
          <w:rFonts w:ascii="Times New Roman" w:hAnsi="Times New Roman" w:cs="Times New Roman"/>
          <w:noProof/>
        </w:rPr>
        <w:lastRenderedPageBreak/>
        <w:drawing>
          <wp:inline distT="0" distB="0" distL="0" distR="0" wp14:anchorId="4F1CB65C" wp14:editId="1B8CC828">
            <wp:extent cx="5756275" cy="2724785"/>
            <wp:effectExtent l="0" t="0" r="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56275" cy="2724785"/>
                    </a:xfrm>
                    <a:prstGeom prst="rect">
                      <a:avLst/>
                    </a:prstGeom>
                  </pic:spPr>
                </pic:pic>
              </a:graphicData>
            </a:graphic>
          </wp:inline>
        </w:drawing>
      </w:r>
    </w:p>
    <w:p w14:paraId="19094F59" w14:textId="77777777" w:rsidR="00443399" w:rsidRPr="00B03B51" w:rsidRDefault="00443399" w:rsidP="00443399">
      <w:pPr>
        <w:jc w:val="center"/>
        <w:rPr>
          <w:rFonts w:ascii="Times New Roman" w:eastAsia="Arial" w:hAnsi="Times New Roman" w:cs="Times New Roman"/>
          <w:noProof/>
          <w:sz w:val="24"/>
          <w:szCs w:val="20"/>
        </w:rPr>
      </w:pPr>
    </w:p>
    <w:p w14:paraId="1535BA6A" w14:textId="77777777" w:rsidR="00443399" w:rsidRPr="00B03B51" w:rsidRDefault="00443399" w:rsidP="00443399">
      <w:pPr>
        <w:jc w:val="both"/>
        <w:rPr>
          <w:rFonts w:ascii="Times New Roman" w:eastAsia="Arial" w:hAnsi="Times New Roman" w:cs="Times New Roman"/>
          <w:noProof/>
          <w:sz w:val="24"/>
          <w:szCs w:val="20"/>
        </w:rPr>
      </w:pPr>
    </w:p>
    <w:p w14:paraId="493D270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Gadā </w:t>
      </w:r>
      <w:r w:rsidRPr="00B03B51">
        <w:rPr>
          <w:rFonts w:ascii="Times New Roman" w:hAnsi="Times New Roman" w:cs="Times New Roman"/>
          <w:i/>
          <w:iCs/>
          <w:sz w:val="24"/>
        </w:rPr>
        <w:t>t</w:t>
      </w:r>
      <w:r w:rsidRPr="00B03B51">
        <w:rPr>
          <w:rFonts w:ascii="Times New Roman" w:hAnsi="Times New Roman" w:cs="Times New Roman"/>
          <w:sz w:val="24"/>
        </w:rPr>
        <w:t xml:space="preserve"> tiek pieprasīts izmantot garantiju, pamatojoties uz to, ka debitors nav izpildījis saistības (šajā gadījumā 20 naudas vienību apmērā); valdība emitē obligāciju, lai iegūtu nepieciešamos naudas līdzekļus.</w:t>
      </w:r>
    </w:p>
    <w:p w14:paraId="4A0E61E6" w14:textId="77777777" w:rsidR="00443399" w:rsidRPr="00B03B51" w:rsidRDefault="00443399" w:rsidP="00443399">
      <w:pPr>
        <w:jc w:val="both"/>
        <w:rPr>
          <w:rFonts w:ascii="Times New Roman" w:eastAsia="Arial" w:hAnsi="Times New Roman" w:cs="Times New Roman"/>
          <w:noProof/>
          <w:sz w:val="24"/>
          <w:szCs w:val="28"/>
        </w:rPr>
      </w:pPr>
    </w:p>
    <w:p w14:paraId="431DFAFA" w14:textId="77777777" w:rsidR="00BD4F89" w:rsidRPr="00B03B51" w:rsidRDefault="00443399" w:rsidP="00443399">
      <w:pPr>
        <w:pStyle w:val="BodyText"/>
        <w:tabs>
          <w:tab w:val="left" w:pos="2515"/>
          <w:tab w:val="left" w:pos="3187"/>
          <w:tab w:val="left" w:pos="4694"/>
          <w:tab w:val="left" w:pos="4803"/>
          <w:tab w:val="left" w:pos="5232"/>
          <w:tab w:val="left" w:pos="9030"/>
        </w:tabs>
        <w:spacing w:before="0"/>
        <w:ind w:left="0" w:firstLine="0"/>
        <w:jc w:val="center"/>
        <w:rPr>
          <w:rFonts w:ascii="Times New Roman" w:hAnsi="Times New Roman" w:cs="Times New Roman"/>
        </w:rPr>
      </w:pPr>
      <w:r w:rsidRPr="00B03B51">
        <w:rPr>
          <w:rFonts w:ascii="Times New Roman" w:hAnsi="Times New Roman" w:cs="Times New Roman"/>
          <w:noProof/>
        </w:rPr>
        <w:lastRenderedPageBreak/>
        <w:drawing>
          <wp:inline distT="0" distB="0" distL="0" distR="0" wp14:anchorId="02E76D1E" wp14:editId="0351CF6D">
            <wp:extent cx="5756275" cy="5334000"/>
            <wp:effectExtent l="0" t="0" r="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56275" cy="5334000"/>
                    </a:xfrm>
                    <a:prstGeom prst="rect">
                      <a:avLst/>
                    </a:prstGeom>
                  </pic:spPr>
                </pic:pic>
              </a:graphicData>
            </a:graphic>
          </wp:inline>
        </w:drawing>
      </w:r>
    </w:p>
    <w:p w14:paraId="24CE9D28" w14:textId="4950FD9B" w:rsidR="00443399" w:rsidRPr="00B03B51" w:rsidRDefault="00443399" w:rsidP="00BD4F89">
      <w:pPr>
        <w:pStyle w:val="BodyText"/>
        <w:tabs>
          <w:tab w:val="left" w:pos="2515"/>
          <w:tab w:val="left" w:pos="3187"/>
          <w:tab w:val="left" w:pos="4694"/>
          <w:tab w:val="left" w:pos="4803"/>
          <w:tab w:val="left" w:pos="5232"/>
          <w:tab w:val="left" w:pos="9030"/>
        </w:tabs>
        <w:spacing w:before="0"/>
        <w:ind w:left="0" w:firstLine="0"/>
        <w:rPr>
          <w:rFonts w:ascii="Times New Roman" w:hAnsi="Times New Roman" w:cs="Times New Roman"/>
          <w:noProof/>
          <w:sz w:val="24"/>
        </w:rPr>
      </w:pPr>
      <w:r w:rsidRPr="00B03B51">
        <w:rPr>
          <w:rFonts w:ascii="Times New Roman" w:hAnsi="Times New Roman" w:cs="Times New Roman"/>
        </w:rPr>
        <w:br w:type="page"/>
      </w:r>
    </w:p>
    <w:p w14:paraId="256FD0E3" w14:textId="77777777" w:rsidR="00443399" w:rsidRPr="00B03B51" w:rsidRDefault="00443399" w:rsidP="00443399">
      <w:pPr>
        <w:pStyle w:val="BodyText"/>
        <w:tabs>
          <w:tab w:val="left" w:pos="2515"/>
          <w:tab w:val="left" w:pos="3187"/>
          <w:tab w:val="left" w:pos="4694"/>
          <w:tab w:val="left" w:pos="4803"/>
          <w:tab w:val="left" w:pos="5232"/>
          <w:tab w:val="left" w:pos="9030"/>
        </w:tabs>
        <w:spacing w:before="0"/>
        <w:ind w:left="0" w:firstLine="0"/>
        <w:jc w:val="both"/>
        <w:rPr>
          <w:rFonts w:ascii="Times New Roman" w:hAnsi="Times New Roman" w:cs="Times New Roman"/>
          <w:noProof/>
          <w:sz w:val="24"/>
        </w:rPr>
      </w:pPr>
    </w:p>
    <w:p w14:paraId="4DAD67A2" w14:textId="77777777" w:rsidR="00443399" w:rsidRPr="00B03B51" w:rsidRDefault="00443399" w:rsidP="00443399">
      <w:pPr>
        <w:pStyle w:val="Heading2"/>
        <w:tabs>
          <w:tab w:val="left" w:pos="1418"/>
        </w:tabs>
        <w:spacing w:before="0"/>
        <w:ind w:left="0" w:firstLine="0"/>
        <w:jc w:val="both"/>
        <w:rPr>
          <w:rFonts w:ascii="Times New Roman" w:hAnsi="Times New Roman" w:cs="Times New Roman"/>
          <w:noProof/>
          <w:sz w:val="28"/>
          <w:szCs w:val="44"/>
        </w:rPr>
      </w:pPr>
      <w:bookmarkStart w:id="599" w:name="7.5_Keywords_and_accounting_references"/>
      <w:bookmarkStart w:id="600" w:name="_bookmark59"/>
      <w:bookmarkStart w:id="601" w:name="_Toc67565212"/>
      <w:bookmarkEnd w:id="599"/>
      <w:bookmarkEnd w:id="600"/>
      <w:r w:rsidRPr="00B03B51">
        <w:rPr>
          <w:rFonts w:ascii="Times New Roman" w:hAnsi="Times New Roman" w:cs="Times New Roman"/>
          <w:sz w:val="28"/>
          <w:szCs w:val="44"/>
        </w:rPr>
        <w:t>7.5. Atslēgvārdi un atsauces</w:t>
      </w:r>
      <w:bookmarkEnd w:id="601"/>
    </w:p>
    <w:p w14:paraId="106DA385" w14:textId="77777777" w:rsidR="00443399" w:rsidRPr="00B03B51" w:rsidRDefault="00443399" w:rsidP="00443399">
      <w:pPr>
        <w:jc w:val="both"/>
        <w:rPr>
          <w:rFonts w:ascii="Times New Roman" w:eastAsia="Arial" w:hAnsi="Times New Roman" w:cs="Times New Roman"/>
          <w:b/>
          <w:bCs/>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5395"/>
        <w:gridCol w:w="3676"/>
      </w:tblGrid>
      <w:tr w:rsidR="00443399" w:rsidRPr="00B03B51" w14:paraId="4521DE89" w14:textId="77777777" w:rsidTr="0054365B">
        <w:tc>
          <w:tcPr>
            <w:tcW w:w="2974" w:type="pct"/>
            <w:tcBorders>
              <w:top w:val="nil"/>
              <w:left w:val="nil"/>
              <w:bottom w:val="nil"/>
              <w:right w:val="nil"/>
            </w:tcBorders>
          </w:tcPr>
          <w:p w14:paraId="5926EDD9" w14:textId="3B379146"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 xml:space="preserve">Parāda pārņemšana, parāda </w:t>
            </w:r>
            <w:r w:rsidR="00E11BC4" w:rsidRPr="00B03B51">
              <w:rPr>
                <w:rFonts w:ascii="Times New Roman" w:hAnsi="Times New Roman" w:cs="Times New Roman"/>
                <w:sz w:val="24"/>
              </w:rPr>
              <w:t>anulēšana</w:t>
            </w:r>
            <w:r w:rsidRPr="00B03B51">
              <w:rPr>
                <w:rFonts w:ascii="Times New Roman" w:hAnsi="Times New Roman" w:cs="Times New Roman"/>
                <w:sz w:val="24"/>
              </w:rPr>
              <w:t>, norakstīšana</w:t>
            </w:r>
          </w:p>
        </w:tc>
        <w:tc>
          <w:tcPr>
            <w:tcW w:w="2026" w:type="pct"/>
            <w:tcBorders>
              <w:top w:val="nil"/>
              <w:left w:val="nil"/>
              <w:bottom w:val="nil"/>
              <w:right w:val="nil"/>
            </w:tcBorders>
          </w:tcPr>
          <w:p w14:paraId="457F7114"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5.36.–5.39., 6.14. punkts</w:t>
            </w:r>
          </w:p>
        </w:tc>
      </w:tr>
      <w:tr w:rsidR="00443399" w:rsidRPr="00B03B51" w14:paraId="4AC12DA6" w14:textId="77777777" w:rsidTr="0054365B">
        <w:tc>
          <w:tcPr>
            <w:tcW w:w="2974" w:type="pct"/>
            <w:tcBorders>
              <w:top w:val="nil"/>
              <w:left w:val="nil"/>
              <w:bottom w:val="nil"/>
              <w:right w:val="nil"/>
            </w:tcBorders>
          </w:tcPr>
          <w:p w14:paraId="3F63188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Cits kapitāla pārvedums</w:t>
            </w:r>
          </w:p>
        </w:tc>
        <w:tc>
          <w:tcPr>
            <w:tcW w:w="2026" w:type="pct"/>
            <w:tcBorders>
              <w:top w:val="nil"/>
              <w:left w:val="nil"/>
              <w:bottom w:val="nil"/>
              <w:right w:val="nil"/>
            </w:tcBorders>
          </w:tcPr>
          <w:p w14:paraId="57B1601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4.164.–4.167. punkts</w:t>
            </w:r>
          </w:p>
        </w:tc>
      </w:tr>
      <w:tr w:rsidR="00443399" w:rsidRPr="00B03B51" w14:paraId="77EFA15B" w14:textId="77777777" w:rsidTr="0054365B">
        <w:tc>
          <w:tcPr>
            <w:tcW w:w="2974" w:type="pct"/>
            <w:tcBorders>
              <w:top w:val="nil"/>
              <w:left w:val="nil"/>
              <w:bottom w:val="nil"/>
              <w:right w:val="nil"/>
            </w:tcBorders>
          </w:tcPr>
          <w:p w14:paraId="70010F7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Iespējams aktīvs/saistība</w:t>
            </w:r>
          </w:p>
        </w:tc>
        <w:tc>
          <w:tcPr>
            <w:tcW w:w="2026" w:type="pct"/>
            <w:tcBorders>
              <w:top w:val="nil"/>
              <w:left w:val="nil"/>
              <w:bottom w:val="nil"/>
              <w:right w:val="nil"/>
            </w:tcBorders>
          </w:tcPr>
          <w:p w14:paraId="73BB6A73"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5.08.–5.11. punkts</w:t>
            </w:r>
          </w:p>
        </w:tc>
      </w:tr>
    </w:tbl>
    <w:p w14:paraId="1888E3AA" w14:textId="77777777" w:rsidR="00443399" w:rsidRPr="00B03B51" w:rsidRDefault="00443399" w:rsidP="00443399">
      <w:pPr>
        <w:rPr>
          <w:rFonts w:ascii="Times New Roman" w:eastAsia="Arial" w:hAnsi="Times New Roman" w:cs="Times New Roman"/>
          <w:b/>
          <w:bCs/>
          <w:noProof/>
          <w:sz w:val="24"/>
          <w:szCs w:val="20"/>
        </w:rPr>
      </w:pPr>
      <w:r w:rsidRPr="00B03B51">
        <w:rPr>
          <w:rFonts w:ascii="Times New Roman" w:hAnsi="Times New Roman" w:cs="Times New Roman"/>
        </w:rPr>
        <w:br w:type="page"/>
      </w:r>
    </w:p>
    <w:p w14:paraId="5692A5CE" w14:textId="77777777" w:rsidR="00443399" w:rsidRPr="00B03B51" w:rsidRDefault="00443399" w:rsidP="00443399">
      <w:pPr>
        <w:jc w:val="both"/>
        <w:rPr>
          <w:rFonts w:ascii="Times New Roman" w:eastAsia="Arial" w:hAnsi="Times New Roman" w:cs="Times New Roman"/>
          <w:b/>
          <w:bCs/>
          <w:noProof/>
          <w:sz w:val="24"/>
          <w:szCs w:val="56"/>
        </w:rPr>
      </w:pPr>
    </w:p>
    <w:p w14:paraId="52EFC0C1" w14:textId="77777777" w:rsidR="00443399" w:rsidRPr="00B03B51" w:rsidRDefault="00443399" w:rsidP="00443399">
      <w:pPr>
        <w:pStyle w:val="Heading1"/>
        <w:ind w:left="0"/>
        <w:jc w:val="both"/>
        <w:rPr>
          <w:rFonts w:ascii="Times New Roman" w:hAnsi="Times New Roman" w:cs="Times New Roman"/>
          <w:noProof/>
          <w:sz w:val="28"/>
          <w:szCs w:val="72"/>
        </w:rPr>
      </w:pPr>
      <w:bookmarkStart w:id="602" w:name="_Toc67565213"/>
      <w:r w:rsidRPr="00B03B51">
        <w:rPr>
          <w:rFonts w:ascii="Times New Roman" w:hAnsi="Times New Roman" w:cs="Times New Roman"/>
          <w:sz w:val="28"/>
          <w:szCs w:val="72"/>
        </w:rPr>
        <w:t>8. Vispārējās valdības parāda apmēra noteikšana</w:t>
      </w:r>
      <w:bookmarkEnd w:id="602"/>
    </w:p>
    <w:p w14:paraId="52C27BB0" w14:textId="77777777" w:rsidR="00443399" w:rsidRPr="00B03B51" w:rsidRDefault="00443399" w:rsidP="00443399">
      <w:pPr>
        <w:jc w:val="both"/>
        <w:rPr>
          <w:rFonts w:ascii="Times New Roman" w:eastAsia="Arial" w:hAnsi="Times New Roman" w:cs="Times New Roman"/>
          <w:b/>
          <w:bCs/>
          <w:noProof/>
          <w:sz w:val="24"/>
          <w:szCs w:val="24"/>
        </w:rPr>
      </w:pPr>
    </w:p>
    <w:p w14:paraId="0A0FE509"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603" w:name="8.1_Overview"/>
      <w:bookmarkStart w:id="604" w:name="_bookmark61"/>
      <w:bookmarkStart w:id="605" w:name="_Toc67565214"/>
      <w:bookmarkEnd w:id="603"/>
      <w:bookmarkEnd w:id="604"/>
      <w:r w:rsidRPr="00B03B51">
        <w:rPr>
          <w:rFonts w:ascii="Times New Roman" w:hAnsi="Times New Roman" w:cs="Times New Roman"/>
          <w:sz w:val="28"/>
          <w:szCs w:val="44"/>
        </w:rPr>
        <w:t>8.1. Pārskats</w:t>
      </w:r>
      <w:bookmarkEnd w:id="605"/>
    </w:p>
    <w:p w14:paraId="1ED2326F"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00E58D97"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2012. gada konsolidētajā Līgumā par Eiropas Savienības darbību (LESD) ir sniegta valdības parāda īpaša definīcija attiecībā uz pārmērīga budžeta deficīta novēršanas procedūru (</w:t>
      </w:r>
      <w:r w:rsidRPr="00B03B51">
        <w:rPr>
          <w:rFonts w:ascii="Times New Roman" w:hAnsi="Times New Roman" w:cs="Times New Roman"/>
          <w:i/>
          <w:iCs/>
          <w:sz w:val="24"/>
        </w:rPr>
        <w:t>EDP</w:t>
      </w:r>
      <w:r w:rsidRPr="00B03B51">
        <w:rPr>
          <w:rFonts w:ascii="Times New Roman" w:hAnsi="Times New Roman" w:cs="Times New Roman"/>
          <w:sz w:val="24"/>
        </w:rPr>
        <w:t xml:space="preserve">). Tā ir pilnībā saderīga ar EKS 2010 paredzēto valdības sektora definīciju un ietverto saistību definīciju. Tomēr </w:t>
      </w:r>
      <w:r w:rsidRPr="00B03B51">
        <w:rPr>
          <w:rFonts w:ascii="Times New Roman" w:hAnsi="Times New Roman" w:cs="Times New Roman"/>
          <w:i/>
          <w:iCs/>
          <w:sz w:val="24"/>
        </w:rPr>
        <w:t>EDP</w:t>
      </w:r>
      <w:r w:rsidRPr="00B03B51">
        <w:rPr>
          <w:rFonts w:ascii="Times New Roman" w:hAnsi="Times New Roman" w:cs="Times New Roman"/>
          <w:sz w:val="24"/>
        </w:rPr>
        <w:t xml:space="preserve"> valdības parāda vērtēšana atšķiras no EKS 2010 vērtēšanas noteikumiem, jo to mēra pēc norādītās vērtības.</w:t>
      </w:r>
    </w:p>
    <w:p w14:paraId="0175955A"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16EF59B8"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 (skat. Padomes Regulu (EK) Nr. 479/2009) uzskatāms, ka nominālvērtība ir līdzvērtīga saistību norādītajai vērtībai (ko dēvē arī par “nominālu”). EKS 2010 bilancē vērtību nosaka pēc tirgus vērtības lielākai daļai kategoriju, un arī pēc nominālvērtības attiecīgā gadījumā.</w:t>
      </w:r>
    </w:p>
    <w:p w14:paraId="77519369" w14:textId="77777777" w:rsidR="00443399" w:rsidRPr="00B03B51" w:rsidRDefault="00443399" w:rsidP="00443399">
      <w:pPr>
        <w:tabs>
          <w:tab w:val="left" w:pos="1986"/>
        </w:tabs>
        <w:jc w:val="both"/>
        <w:rPr>
          <w:rFonts w:ascii="Times New Roman" w:hAnsi="Times New Roman" w:cs="Times New Roman"/>
          <w:noProof/>
          <w:sz w:val="24"/>
        </w:rPr>
      </w:pPr>
    </w:p>
    <w:p w14:paraId="0F91111B" w14:textId="77777777" w:rsidR="00443399" w:rsidRPr="00B03B51" w:rsidRDefault="00443399" w:rsidP="00443399">
      <w:pPr>
        <w:tabs>
          <w:tab w:val="left" w:pos="1986"/>
        </w:tabs>
        <w:jc w:val="both"/>
        <w:rPr>
          <w:rFonts w:ascii="Times New Roman" w:eastAsia="Arial" w:hAnsi="Times New Roman" w:cs="Times New Roman"/>
          <w:noProof/>
          <w:sz w:val="24"/>
          <w:szCs w:val="19"/>
        </w:rPr>
      </w:pPr>
      <w:r w:rsidRPr="00B03B51">
        <w:rPr>
          <w:rFonts w:ascii="Times New Roman" w:hAnsi="Times New Roman" w:cs="Times New Roman"/>
          <w:sz w:val="24"/>
        </w:rPr>
        <w:t>3. Tomēr neskaidrību var radīt tas, ka EKS nominālvērtības definīcija atšķiras no definīcijas, kas sniegta minētajā regulā. EKS 2010 7.39. punktā noteikts: “Nominālvērtība atspoguļo sākotnēji piešķirto līdzekļu summu plus jebkuru vēlāku avansu mīnus jebkādus maksājumus plus uzkrātos procentus.</w:t>
      </w:r>
      <w:r w:rsidRPr="00B03B51">
        <w:rPr>
          <w:rFonts w:ascii="Times New Roman" w:hAnsi="Times New Roman" w:cs="Times New Roman"/>
          <w:i/>
          <w:sz w:val="24"/>
        </w:rPr>
        <w:t xml:space="preserve"> </w:t>
      </w:r>
      <w:r w:rsidRPr="00B03B51">
        <w:rPr>
          <w:rFonts w:ascii="Times New Roman" w:hAnsi="Times New Roman" w:cs="Times New Roman"/>
          <w:sz w:val="24"/>
        </w:rPr>
        <w:t>Nominālvērtība nav vienāda ar nominālo cenu.”</w:t>
      </w:r>
    </w:p>
    <w:p w14:paraId="4B49EE88"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6E50BA4F"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4. Vienkāršoti izsakoties, attiecībā uz parāda vērtspapīru EKS 2010 nominālvērtība ir vienāda ar tā emisijas cenu (virs vai zem nomināla, visas prēmijas vai atlaides sadalot uz visu instrumenta darbības laiku), kam pieskaita uzkrātos, bet vēl nenomaksātos procentus (procentus parasti maksā regulāri, piemēram, reizi gadā vai sešos mēnešos, vai tikai parāda atmaksāšanas brīdī, kā tas ir īstermiņa parāda instrumentu gadījumā).</w:t>
      </w:r>
      <w:r w:rsidRPr="00B03B51">
        <w:rPr>
          <w:rStyle w:val="FootnoteReference"/>
          <w:rFonts w:ascii="Times New Roman" w:hAnsi="Times New Roman" w:cs="Times New Roman"/>
          <w:noProof/>
          <w:sz w:val="24"/>
        </w:rPr>
        <w:footnoteReference w:id="279"/>
      </w:r>
    </w:p>
    <w:p w14:paraId="2A085FE9"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1E544730"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Valdības parādu sauc arī par </w:t>
      </w:r>
      <w:r w:rsidRPr="00B03B51">
        <w:rPr>
          <w:rFonts w:ascii="Times New Roman" w:hAnsi="Times New Roman" w:cs="Times New Roman"/>
          <w:i/>
          <w:iCs/>
          <w:sz w:val="24"/>
        </w:rPr>
        <w:t>EDP</w:t>
      </w:r>
      <w:r w:rsidRPr="00B03B51">
        <w:rPr>
          <w:rFonts w:ascii="Times New Roman" w:hAnsi="Times New Roman" w:cs="Times New Roman"/>
          <w:sz w:val="24"/>
        </w:rPr>
        <w:t xml:space="preserve"> parādu jeb Māstrihtas parādu. Parādu mēra bruto izteiksmē, proti, netiek atskaitīti finanšu aktīvi. Parāds ir konsolidēts gan sektora, gan apakšsektoru līmenī tā, lai vispārējās valdības kopsummā netiktu iekļautas nekādas vispārējās valdības vienību saistības, kuras ir citu vispārējās valdības vienību aktīvi.</w:t>
      </w:r>
    </w:p>
    <w:p w14:paraId="223BB23D"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673191AB"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Rokasgrāmatas 8.3. nodaļā ir aplūkoti mijmaiņas darījumi un valūtas mijmaiņas darījumu traktējums, jo tie ietekmē valdības parāda mērījumus. Šajā nodaļā ir aplūkots arī “ārpusbiržas mijmaiņas darījumu” gadījums, kam sākumā nav nulles tirgus vērtība, tādējādi ir jāidentificē aizdevuma komponents.</w:t>
      </w:r>
    </w:p>
    <w:p w14:paraId="73AE4035"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p>
    <w:p w14:paraId="7EE23174" w14:textId="77777777" w:rsidR="00443399" w:rsidRPr="00B03B51" w:rsidRDefault="00443399" w:rsidP="00443399">
      <w:pPr>
        <w:pStyle w:val="BodyText"/>
        <w:tabs>
          <w:tab w:val="left" w:pos="1986"/>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Visbeidzot 8.4. nodaļā ir aplūkoti finanšu darījumi, kurus dēvē par “pārdošanas ar atpirkšanu līgumiem” un “vērtspapīru aizdevumiem”, kas noteiktos apstākļos var ietekmēt valdības parādu.</w:t>
      </w:r>
    </w:p>
    <w:p w14:paraId="233EA2AF" w14:textId="77777777" w:rsidR="00443399" w:rsidRPr="00B03B51" w:rsidRDefault="00443399" w:rsidP="00443399">
      <w:pPr>
        <w:rPr>
          <w:rFonts w:ascii="Times New Roman" w:eastAsia="Arial" w:hAnsi="Times New Roman" w:cs="Times New Roman"/>
          <w:noProof/>
          <w:sz w:val="24"/>
          <w:szCs w:val="20"/>
        </w:rPr>
      </w:pPr>
      <w:r w:rsidRPr="00B03B51">
        <w:rPr>
          <w:rFonts w:ascii="Times New Roman" w:hAnsi="Times New Roman" w:cs="Times New Roman"/>
        </w:rPr>
        <w:br w:type="page"/>
      </w:r>
    </w:p>
    <w:p w14:paraId="34F3E4A6" w14:textId="77777777" w:rsidR="00443399" w:rsidRPr="00B03B51" w:rsidRDefault="00443399" w:rsidP="00443399">
      <w:pPr>
        <w:jc w:val="both"/>
        <w:rPr>
          <w:rFonts w:ascii="Times New Roman" w:hAnsi="Times New Roman" w:cs="Times New Roman"/>
          <w:noProof/>
          <w:sz w:val="24"/>
        </w:rPr>
      </w:pPr>
    </w:p>
    <w:p w14:paraId="0B977C50"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606" w:name="8.2_The_calculation_of_general_governmen"/>
      <w:bookmarkStart w:id="607" w:name="_bookmark62"/>
      <w:bookmarkStart w:id="608" w:name="_Toc67565215"/>
      <w:bookmarkEnd w:id="606"/>
      <w:bookmarkEnd w:id="607"/>
      <w:r w:rsidRPr="00B03B51">
        <w:rPr>
          <w:rFonts w:ascii="Times New Roman" w:hAnsi="Times New Roman" w:cs="Times New Roman"/>
          <w:sz w:val="28"/>
          <w:szCs w:val="44"/>
        </w:rPr>
        <w:t>8.2. Vispārējās valdības parāda aprēķināšana</w:t>
      </w:r>
      <w:bookmarkEnd w:id="608"/>
    </w:p>
    <w:p w14:paraId="4D88D1E4" w14:textId="77777777" w:rsidR="00443399" w:rsidRPr="00B03B51" w:rsidRDefault="00443399" w:rsidP="00443399">
      <w:pPr>
        <w:tabs>
          <w:tab w:val="left" w:pos="1267"/>
        </w:tabs>
        <w:jc w:val="both"/>
        <w:rPr>
          <w:rFonts w:ascii="Times New Roman" w:hAnsi="Times New Roman" w:cs="Times New Roman"/>
          <w:b/>
          <w:noProof/>
          <w:sz w:val="24"/>
        </w:rPr>
      </w:pPr>
      <w:bookmarkStart w:id="609" w:name="8.2.1_Measurement_of_liabilities_in_ESA_"/>
      <w:bookmarkEnd w:id="609"/>
    </w:p>
    <w:p w14:paraId="14E906F3" w14:textId="77777777" w:rsidR="00443399" w:rsidRPr="00B03B51" w:rsidRDefault="00443399" w:rsidP="00443399">
      <w:pPr>
        <w:tabs>
          <w:tab w:val="left" w:pos="1267"/>
        </w:tabs>
        <w:jc w:val="both"/>
        <w:rPr>
          <w:rFonts w:ascii="Times New Roman" w:hAnsi="Times New Roman" w:cs="Times New Roman"/>
          <w:b/>
          <w:noProof/>
          <w:sz w:val="24"/>
        </w:rPr>
      </w:pPr>
      <w:r w:rsidRPr="00B03B51">
        <w:rPr>
          <w:rFonts w:ascii="Times New Roman" w:hAnsi="Times New Roman" w:cs="Times New Roman"/>
          <w:b/>
          <w:sz w:val="24"/>
        </w:rPr>
        <w:t>8.2.1. Saistību mērījumi EKS 2010</w:t>
      </w:r>
    </w:p>
    <w:p w14:paraId="4ABC5A1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D8041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EKS 2010 nav sniegta valdības parāda definīcija. Galvenais ekvivalentais jēdziens EKS 2010 ir “kopējās finanšu saistības”, kas ietver plašāku finanšu instrumentu uzskaitījumu, nekā tas ir valdības parādam.</w:t>
      </w:r>
    </w:p>
    <w:p w14:paraId="1821858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90C551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Punkti, kas attiecas uz valdības saistību novērtējumu, ir norādīti turpmāk.</w:t>
      </w:r>
    </w:p>
    <w:p w14:paraId="49297DBE" w14:textId="77777777" w:rsidR="00443399" w:rsidRPr="00B03B51" w:rsidRDefault="00443399" w:rsidP="00443399">
      <w:pPr>
        <w:jc w:val="both"/>
        <w:rPr>
          <w:rFonts w:ascii="Times New Roman" w:hAnsi="Times New Roman" w:cs="Times New Roman"/>
          <w:noProof/>
          <w:sz w:val="24"/>
        </w:rPr>
      </w:pPr>
    </w:p>
    <w:p w14:paraId="57C9BDCF" w14:textId="77777777" w:rsidR="00443399" w:rsidRPr="00B03B51" w:rsidRDefault="00443399" w:rsidP="00443399">
      <w:pPr>
        <w:ind w:left="284"/>
        <w:jc w:val="both"/>
        <w:rPr>
          <w:rFonts w:ascii="Times New Roman" w:eastAsia="Arial" w:hAnsi="Times New Roman" w:cs="Times New Roman"/>
          <w:noProof/>
          <w:sz w:val="24"/>
          <w:szCs w:val="19"/>
        </w:rPr>
      </w:pPr>
      <w:r w:rsidRPr="00B03B51">
        <w:rPr>
          <w:rFonts w:ascii="Times New Roman" w:hAnsi="Times New Roman" w:cs="Times New Roman"/>
          <w:sz w:val="24"/>
        </w:rPr>
        <w:t xml:space="preserve">EKS 2010 1.94. punktā ir noteikts: </w:t>
      </w:r>
      <w:r w:rsidRPr="00B03B51">
        <w:rPr>
          <w:rFonts w:ascii="Times New Roman" w:hAnsi="Times New Roman" w:cs="Times New Roman"/>
          <w:i/>
          <w:iCs/>
          <w:sz w:val="24"/>
        </w:rPr>
        <w:t>Plūsmas un uzkrātie lielumi jāmēra saskaņā ar to apmaiņas vērtību, tas ir, vērtību, pēc kuras plūsmas un uzkrātos lielumus faktiski samaina vai varētu samainīt pret naudu.</w:t>
      </w:r>
      <w:r w:rsidRPr="00B03B51">
        <w:rPr>
          <w:rFonts w:ascii="Times New Roman" w:hAnsi="Times New Roman" w:cs="Times New Roman"/>
          <w:i/>
          <w:sz w:val="24"/>
          <w:szCs w:val="19"/>
        </w:rPr>
        <w:t xml:space="preserve"> </w:t>
      </w:r>
      <w:r w:rsidRPr="00B03B51">
        <w:rPr>
          <w:rFonts w:ascii="Times New Roman" w:hAnsi="Times New Roman" w:cs="Times New Roman"/>
          <w:i/>
          <w:iCs/>
          <w:sz w:val="24"/>
          <w:szCs w:val="19"/>
        </w:rPr>
        <w:t>Tāpēc attiecībā uz vērtēšanu EKS izmanto tirgus cenas.</w:t>
      </w:r>
    </w:p>
    <w:p w14:paraId="71839B98" w14:textId="77777777" w:rsidR="00443399" w:rsidRPr="00B03B51" w:rsidRDefault="00443399" w:rsidP="00443399">
      <w:pPr>
        <w:ind w:left="284"/>
        <w:jc w:val="both"/>
        <w:rPr>
          <w:rFonts w:ascii="Times New Roman" w:eastAsia="Arial" w:hAnsi="Times New Roman" w:cs="Times New Roman"/>
          <w:noProof/>
          <w:sz w:val="24"/>
          <w:szCs w:val="19"/>
        </w:rPr>
      </w:pPr>
    </w:p>
    <w:p w14:paraId="60F4F78D" w14:textId="77777777" w:rsidR="00443399" w:rsidRPr="00B03B51" w:rsidRDefault="00443399" w:rsidP="00443399">
      <w:pPr>
        <w:ind w:left="284"/>
        <w:jc w:val="both"/>
        <w:rPr>
          <w:rFonts w:ascii="Times New Roman" w:eastAsia="Arial" w:hAnsi="Times New Roman" w:cs="Times New Roman"/>
          <w:noProof/>
          <w:sz w:val="24"/>
          <w:szCs w:val="19"/>
        </w:rPr>
      </w:pPr>
      <w:r w:rsidRPr="00B03B51">
        <w:rPr>
          <w:rFonts w:ascii="Times New Roman" w:hAnsi="Times New Roman" w:cs="Times New Roman"/>
          <w:sz w:val="24"/>
        </w:rPr>
        <w:t xml:space="preserve">EKS 2010 7.33. punktā ir noteikts: </w:t>
      </w:r>
      <w:r w:rsidRPr="00B03B51">
        <w:rPr>
          <w:rFonts w:ascii="Times New Roman" w:hAnsi="Times New Roman" w:cs="Times New Roman"/>
          <w:i/>
          <w:iCs/>
          <w:sz w:val="24"/>
        </w:rPr>
        <w:t>Aktīvus un saistības vērtē pēc tirgus cenām datumā, par kuru ir bilance.</w:t>
      </w:r>
    </w:p>
    <w:p w14:paraId="30C9B44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515589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Grāmatvedības pārskata perioda beigās saistību krājums vispārējās valdības sektora (S.13) beigu bilancē nacionālajos kontos jāieraksta to tirgus vērtībā.</w:t>
      </w:r>
    </w:p>
    <w:p w14:paraId="5EF4620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062C50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Saskaņā ar EKS 2010 valdības saistību krājums ir visas šādu finanšu instrumentu saistības: monetārais zelts un speciālās aizņēmuma tiesības (F.1)</w:t>
      </w:r>
      <w:r w:rsidRPr="00B03B51">
        <w:rPr>
          <w:rStyle w:val="FootnoteReference"/>
          <w:rFonts w:ascii="Times New Roman" w:hAnsi="Times New Roman" w:cs="Times New Roman"/>
          <w:noProof/>
          <w:sz w:val="24"/>
        </w:rPr>
        <w:footnoteReference w:id="280"/>
      </w:r>
      <w:r w:rsidRPr="00B03B51">
        <w:rPr>
          <w:rFonts w:ascii="Times New Roman" w:hAnsi="Times New Roman" w:cs="Times New Roman"/>
          <w:sz w:val="24"/>
        </w:rPr>
        <w:t>, valūta un noguldījumi (AF.2), parāda vērtspapīri (AF.3), aizdevumi (AF.4), apdrošināšanas, pensiju un standarta garantiju shēmas (AF.6), atvasinātie finanšu instrumenti (AF.7) un citas kreditoru saistības (AF.8). Dažu īpašu veidu vienību gadījumā, kas klasificētas valdības sektorā, var tikt iekļauts arī pašu kapitāls (AF.5).</w:t>
      </w:r>
    </w:p>
    <w:p w14:paraId="482E30E7" w14:textId="77777777" w:rsidR="00443399" w:rsidRPr="00B03B51" w:rsidRDefault="00443399" w:rsidP="00443399">
      <w:pPr>
        <w:jc w:val="both"/>
        <w:rPr>
          <w:rFonts w:ascii="Times New Roman" w:hAnsi="Times New Roman" w:cs="Times New Roman"/>
          <w:noProof/>
          <w:sz w:val="24"/>
        </w:rPr>
      </w:pPr>
    </w:p>
    <w:p w14:paraId="2F16FC10" w14:textId="77777777" w:rsidR="00443399" w:rsidRPr="00B03B51" w:rsidRDefault="00443399" w:rsidP="00443399">
      <w:pPr>
        <w:pStyle w:val="BodyText"/>
        <w:spacing w:before="0"/>
        <w:ind w:left="0" w:firstLine="0"/>
        <w:jc w:val="both"/>
        <w:rPr>
          <w:rFonts w:ascii="Times New Roman" w:hAnsi="Times New Roman" w:cs="Times New Roman"/>
          <w:noProof/>
          <w:sz w:val="24"/>
          <w:u w:val="single"/>
        </w:rPr>
      </w:pPr>
      <w:r w:rsidRPr="00B03B51">
        <w:rPr>
          <w:rFonts w:ascii="Times New Roman" w:hAnsi="Times New Roman" w:cs="Times New Roman"/>
          <w:sz w:val="24"/>
          <w:u w:val="single"/>
        </w:rPr>
        <w:t>Valdības saistību krājums saskaņā ar EKS 2010 (gada beigās) = AF.1 + AF.2 + AF.3 + AF.4</w:t>
      </w:r>
      <w:r w:rsidRPr="00B03B51">
        <w:rPr>
          <w:rStyle w:val="FootnoteReference"/>
          <w:rFonts w:ascii="Times New Roman" w:hAnsi="Times New Roman" w:cs="Times New Roman"/>
          <w:noProof/>
          <w:sz w:val="24"/>
          <w:u w:val="single"/>
        </w:rPr>
        <w:footnoteReference w:id="281"/>
      </w:r>
      <w:r w:rsidRPr="00B03B51">
        <w:rPr>
          <w:rFonts w:ascii="Times New Roman" w:hAnsi="Times New Roman" w:cs="Times New Roman"/>
          <w:sz w:val="24"/>
          <w:u w:val="single"/>
        </w:rPr>
        <w:t xml:space="preserve"> + AF.6 + AF.7 + AF.8 + AF.5 (attiecīgā gadījumā)</w:t>
      </w:r>
      <w:r w:rsidRPr="00B03B51">
        <w:rPr>
          <w:rStyle w:val="FootnoteReference"/>
          <w:rFonts w:ascii="Times New Roman" w:hAnsi="Times New Roman" w:cs="Times New Roman"/>
          <w:noProof/>
          <w:sz w:val="24"/>
          <w:u w:val="single"/>
        </w:rPr>
        <w:footnoteReference w:id="282"/>
      </w:r>
    </w:p>
    <w:p w14:paraId="1FD0CC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32D6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Vispārējās valdības tirdzniecības kredītu saistības, kuru sākotnējais termiņš ir ilgs (ilgāks par vienu gadu saskaņā ar definīciju EKS 2010 5.A1.14. punktā), klasificē kā aizdevumus, piemērojot EKS 2010 20.132. punktu.</w:t>
      </w:r>
    </w:p>
    <w:p w14:paraId="415E3957" w14:textId="77777777" w:rsidR="00443399" w:rsidRPr="00B03B51" w:rsidRDefault="00443399" w:rsidP="00443399">
      <w:pPr>
        <w:jc w:val="both"/>
        <w:rPr>
          <w:rFonts w:ascii="Times New Roman" w:eastAsia="Arial" w:hAnsi="Times New Roman" w:cs="Times New Roman"/>
          <w:noProof/>
          <w:sz w:val="24"/>
          <w:szCs w:val="18"/>
        </w:rPr>
      </w:pPr>
    </w:p>
    <w:p w14:paraId="56CA8F14" w14:textId="77777777" w:rsidR="00443399" w:rsidRPr="00B03B51" w:rsidRDefault="00443399" w:rsidP="00443399">
      <w:pPr>
        <w:tabs>
          <w:tab w:val="left" w:pos="1267"/>
        </w:tabs>
        <w:jc w:val="both"/>
        <w:rPr>
          <w:rFonts w:ascii="Times New Roman" w:hAnsi="Times New Roman" w:cs="Times New Roman"/>
          <w:b/>
          <w:noProof/>
          <w:sz w:val="24"/>
        </w:rPr>
      </w:pPr>
      <w:bookmarkStart w:id="610" w:name="8.2.2_Government_debt_for_EDP_purposes"/>
      <w:bookmarkEnd w:id="610"/>
      <w:r w:rsidRPr="00B03B51">
        <w:rPr>
          <w:rFonts w:ascii="Times New Roman" w:hAnsi="Times New Roman" w:cs="Times New Roman"/>
          <w:b/>
          <w:sz w:val="24"/>
        </w:rPr>
        <w:t xml:space="preserve">8.2.2. Valdības parāds </w:t>
      </w:r>
      <w:r w:rsidRPr="00B03B51">
        <w:rPr>
          <w:rFonts w:ascii="Times New Roman" w:hAnsi="Times New Roman" w:cs="Times New Roman"/>
          <w:b/>
          <w:i/>
          <w:iCs/>
          <w:sz w:val="24"/>
        </w:rPr>
        <w:t>EDP</w:t>
      </w:r>
      <w:r w:rsidRPr="00B03B51">
        <w:rPr>
          <w:rFonts w:ascii="Times New Roman" w:hAnsi="Times New Roman" w:cs="Times New Roman"/>
          <w:b/>
          <w:sz w:val="24"/>
        </w:rPr>
        <w:t xml:space="preserve"> vajadzībām</w:t>
      </w:r>
    </w:p>
    <w:p w14:paraId="33DFCF41" w14:textId="77777777" w:rsidR="00443399" w:rsidRPr="00100B51" w:rsidRDefault="00443399" w:rsidP="00100B51">
      <w:pPr>
        <w:rPr>
          <w:rFonts w:ascii="Times New Roman" w:hAnsi="Times New Roman" w:cs="Times New Roman"/>
          <w:noProof/>
          <w:sz w:val="24"/>
          <w:szCs w:val="24"/>
        </w:rPr>
      </w:pPr>
      <w:bookmarkStart w:id="611" w:name="8.2.2.1_Coverage_of_government_debt_for_"/>
      <w:bookmarkEnd w:id="611"/>
    </w:p>
    <w:p w14:paraId="2C1EB40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 xml:space="preserve">8.2.2.1. VALDĪBAS PARĀDA TVĒRUMS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w:t>
      </w:r>
    </w:p>
    <w:p w14:paraId="30EE1C7B" w14:textId="77777777" w:rsidR="00443399" w:rsidRPr="00B03B51" w:rsidRDefault="00443399" w:rsidP="00443399">
      <w:pPr>
        <w:tabs>
          <w:tab w:val="left" w:pos="843"/>
        </w:tabs>
        <w:jc w:val="both"/>
        <w:rPr>
          <w:rFonts w:ascii="Times New Roman" w:hAnsi="Times New Roman" w:cs="Times New Roman"/>
          <w:noProof/>
          <w:sz w:val="24"/>
        </w:rPr>
      </w:pPr>
    </w:p>
    <w:p w14:paraId="39C778A5"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5. Ekonomikas un monetārajā savienībā (EMS) pārmērīga budžeta deficīta novēršanas procedūras (</w:t>
      </w:r>
      <w:r w:rsidRPr="00B03B51">
        <w:rPr>
          <w:rFonts w:ascii="Times New Roman" w:hAnsi="Times New Roman" w:cs="Times New Roman"/>
          <w:i/>
          <w:iCs/>
          <w:sz w:val="24"/>
        </w:rPr>
        <w:t>EDP</w:t>
      </w:r>
      <w:r w:rsidRPr="00B03B51">
        <w:rPr>
          <w:rFonts w:ascii="Times New Roman" w:hAnsi="Times New Roman" w:cs="Times New Roman"/>
          <w:sz w:val="24"/>
        </w:rPr>
        <w:t xml:space="preserve">), kā arī izaugsmes un stabilitātes pakta vajadzībām pašreizējais 12. protokols, kas pievienots Līguma par Eiropas Savienību 2012. gada konsolidētajai redakcijai sniedz </w:t>
      </w:r>
      <w:r w:rsidRPr="00B03B51">
        <w:rPr>
          <w:rFonts w:ascii="Times New Roman" w:hAnsi="Times New Roman" w:cs="Times New Roman"/>
          <w:sz w:val="24"/>
        </w:rPr>
        <w:lastRenderedPageBreak/>
        <w:t xml:space="preserve">pilnīgu valdības parāda definīciju: </w:t>
      </w:r>
      <w:r w:rsidRPr="00B03B51">
        <w:rPr>
          <w:rFonts w:ascii="Times New Roman" w:hAnsi="Times New Roman" w:cs="Times New Roman"/>
          <w:i/>
          <w:iCs/>
          <w:sz w:val="24"/>
        </w:rPr>
        <w:t>parāds ir parāda kopapjoms tā nominālvērtībā</w:t>
      </w:r>
      <w:r w:rsidRPr="00B03B51">
        <w:rPr>
          <w:rStyle w:val="FootnoteReference"/>
          <w:rFonts w:ascii="Times New Roman" w:hAnsi="Times New Roman" w:cs="Times New Roman"/>
          <w:i/>
          <w:noProof/>
          <w:sz w:val="24"/>
        </w:rPr>
        <w:footnoteReference w:id="283"/>
      </w:r>
      <w:r w:rsidRPr="00B03B51">
        <w:rPr>
          <w:rFonts w:ascii="Times New Roman" w:hAnsi="Times New Roman" w:cs="Times New Roman"/>
          <w:i/>
          <w:iCs/>
          <w:sz w:val="24"/>
        </w:rPr>
        <w:t>, kas līdz gada beigām nav nomaksāts un konsolidēts vispārējās valdības sektoros un starp tiem</w:t>
      </w:r>
      <w:r w:rsidRPr="00B03B51">
        <w:rPr>
          <w:rFonts w:ascii="Times New Roman" w:hAnsi="Times New Roman" w:cs="Times New Roman"/>
          <w:sz w:val="24"/>
        </w:rPr>
        <w:t>.</w:t>
      </w:r>
    </w:p>
    <w:p w14:paraId="346C233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390B81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Šī definīcija ir papildināta Padomes Regulā (EK) Nr. 479/2009, kas grozīta ar Komisijas Regulu (ES) Nr. 220/2014 (kurā ir tikai atjauninātas atsauces uz EKS 2010 instrumentiem), kurā norādīti valdības parāda komponenti, sniedzot atsauces uz EKS 2010 minētajām finanšu saistību definīcijām.</w:t>
      </w:r>
    </w:p>
    <w:p w14:paraId="51F26D5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C5A9F64" w14:textId="1E89BCDC"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Šajā saistībā pārmērīga budžeta deficīta novēršanas procedūrā valdības parāda </w:t>
      </w:r>
      <w:r w:rsidR="00E11BC4" w:rsidRPr="00B03B51">
        <w:rPr>
          <w:rFonts w:ascii="Times New Roman" w:hAnsi="Times New Roman" w:cs="Times New Roman"/>
          <w:sz w:val="24"/>
        </w:rPr>
        <w:t>uz</w:t>
      </w:r>
      <w:r w:rsidRPr="00B03B51">
        <w:rPr>
          <w:rFonts w:ascii="Times New Roman" w:hAnsi="Times New Roman" w:cs="Times New Roman"/>
          <w:sz w:val="24"/>
        </w:rPr>
        <w:t>krājums (</w:t>
      </w:r>
      <w:r w:rsidRPr="00B03B51">
        <w:rPr>
          <w:rFonts w:ascii="Times New Roman" w:hAnsi="Times New Roman" w:cs="Times New Roman"/>
          <w:i/>
          <w:iCs/>
          <w:sz w:val="24"/>
        </w:rPr>
        <w:t>EDP</w:t>
      </w:r>
      <w:r w:rsidRPr="00B03B51">
        <w:rPr>
          <w:rFonts w:ascii="Times New Roman" w:hAnsi="Times New Roman" w:cs="Times New Roman"/>
          <w:sz w:val="24"/>
        </w:rPr>
        <w:t xml:space="preserve"> parāds) ir vienāds ar visu vispārējās valdības sektorā (S.13) šādās kategorijās klasificēto vienību saistību summu gada beigās:</w:t>
      </w:r>
    </w:p>
    <w:p w14:paraId="1BA19CE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20D91D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AF.2 (valūta un noguldījumi) + AF.3 (parāda vērtspapīri) + AF.4 (aizdevumi)</w:t>
      </w:r>
    </w:p>
    <w:p w14:paraId="7DA03D2A" w14:textId="77777777" w:rsidR="00443399" w:rsidRPr="00B03B51" w:rsidRDefault="00443399" w:rsidP="00443399">
      <w:pPr>
        <w:jc w:val="both"/>
        <w:rPr>
          <w:rFonts w:ascii="Times New Roman" w:eastAsia="Arial" w:hAnsi="Times New Roman" w:cs="Times New Roman"/>
          <w:noProof/>
          <w:sz w:val="24"/>
          <w:szCs w:val="2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3399" w:rsidRPr="00B03B51" w14:paraId="6307D13D" w14:textId="77777777" w:rsidTr="0054365B">
        <w:tc>
          <w:tcPr>
            <w:tcW w:w="9281" w:type="dxa"/>
          </w:tcPr>
          <w:p w14:paraId="07577B95" w14:textId="77777777" w:rsidR="00443399" w:rsidRPr="00B03B51" w:rsidRDefault="00443399" w:rsidP="0054365B">
            <w:pPr>
              <w:jc w:val="both"/>
              <w:rPr>
                <w:rFonts w:ascii="Times New Roman" w:eastAsia="Arial" w:hAnsi="Times New Roman" w:cs="Times New Roman"/>
                <w:b/>
                <w:bCs/>
                <w:noProof/>
                <w:sz w:val="24"/>
                <w:szCs w:val="24"/>
              </w:rPr>
            </w:pPr>
            <w:r w:rsidRPr="00B03B51">
              <w:rPr>
                <w:rFonts w:ascii="Times New Roman" w:hAnsi="Times New Roman" w:cs="Times New Roman"/>
                <w:b/>
                <w:bCs/>
                <w:sz w:val="24"/>
                <w:szCs w:val="24"/>
              </w:rPr>
              <w:t>1. ierāmējums. Valdības izdotās monētas</w:t>
            </w:r>
          </w:p>
          <w:p w14:paraId="422CB867" w14:textId="77777777" w:rsidR="00443399" w:rsidRPr="00B03B51" w:rsidRDefault="00443399" w:rsidP="0054365B">
            <w:pPr>
              <w:jc w:val="both"/>
              <w:rPr>
                <w:rFonts w:ascii="Times New Roman" w:hAnsi="Times New Roman" w:cs="Times New Roman"/>
                <w:noProof/>
                <w:sz w:val="24"/>
                <w:szCs w:val="24"/>
              </w:rPr>
            </w:pPr>
          </w:p>
          <w:p w14:paraId="48AB26E0" w14:textId="77777777" w:rsidR="00443399" w:rsidRPr="00B03B51" w:rsidRDefault="00443399" w:rsidP="0054365B">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Kā norādīts EKS 2010 5.2. ierāmējumā “Eurosistēmā emitēta valūta”, eirozonas dalībvalstīs šīs valūtas parasti uzskata par valstu centrālo banku (S.121) saistībām, finanšu instruments “valūta” (AF.21), lai arī emitētās monētas galvenokārt ir centrālās valdības (S.1311) saistības.</w:t>
            </w:r>
          </w:p>
          <w:p w14:paraId="68FF48F2" w14:textId="77777777" w:rsidR="00443399" w:rsidRPr="00B03B51" w:rsidRDefault="00443399" w:rsidP="0054365B">
            <w:pPr>
              <w:jc w:val="both"/>
              <w:rPr>
                <w:rFonts w:ascii="Times New Roman" w:hAnsi="Times New Roman" w:cs="Times New Roman"/>
                <w:noProof/>
                <w:sz w:val="24"/>
                <w:szCs w:val="24"/>
              </w:rPr>
            </w:pPr>
          </w:p>
          <w:p w14:paraId="249E697F"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Kā pretvērtību centrālā banka tur aktīvu, un centrālā valdība uzņemas saistības, ko parasti ieraksta kā citus noguldījumus (AF.29).</w:t>
            </w:r>
          </w:p>
          <w:p w14:paraId="6C41F118" w14:textId="77777777" w:rsidR="00443399" w:rsidRPr="00B03B51" w:rsidRDefault="00443399" w:rsidP="0054365B">
            <w:pPr>
              <w:jc w:val="both"/>
              <w:rPr>
                <w:rFonts w:ascii="Times New Roman" w:hAnsi="Times New Roman" w:cs="Times New Roman"/>
                <w:noProof/>
                <w:sz w:val="24"/>
                <w:szCs w:val="24"/>
              </w:rPr>
            </w:pPr>
          </w:p>
          <w:p w14:paraId="38CB1C42" w14:textId="77777777" w:rsidR="00443399" w:rsidRPr="00B03B51" w:rsidRDefault="00443399" w:rsidP="0054365B">
            <w:pPr>
              <w:jc w:val="both"/>
              <w:rPr>
                <w:rFonts w:ascii="Times New Roman" w:hAnsi="Times New Roman" w:cs="Times New Roman"/>
                <w:noProof/>
                <w:sz w:val="24"/>
                <w:szCs w:val="24"/>
              </w:rPr>
            </w:pPr>
            <w:r w:rsidRPr="00B03B51">
              <w:rPr>
                <w:rFonts w:ascii="Times New Roman" w:hAnsi="Times New Roman" w:cs="Times New Roman"/>
                <w:sz w:val="24"/>
                <w:szCs w:val="24"/>
              </w:rPr>
              <w:t>Tās ES dalībvalstis, kas nav pievienojušās eirozonai, var ierakstīt valdības emitētās monētas kā centrālās valdības saistības (AF.21), ja šis apakšsektors tās ir faktiski emitējis. Tomēr, ja valdības emitētās monētas kādu iemeslu dēļ tiek ierakstītas nacionālajos kontos kā centrālās bankas saistības, lai panāktu saskanību ar eirozonas dalībvalstīm, finanšu instrumentu starp centrālo banku un centrālo valdību ieteicams ierakstīt kā citus noguldījumus (AF.29).</w:t>
            </w:r>
          </w:p>
        </w:tc>
      </w:tr>
    </w:tbl>
    <w:p w14:paraId="3DF2F304" w14:textId="77777777" w:rsidR="00443399" w:rsidRPr="00B03B51" w:rsidRDefault="00443399" w:rsidP="00443399">
      <w:pPr>
        <w:jc w:val="both"/>
        <w:rPr>
          <w:rFonts w:ascii="Times New Roman" w:eastAsia="Arial" w:hAnsi="Times New Roman" w:cs="Times New Roman"/>
          <w:noProof/>
          <w:sz w:val="24"/>
          <w:szCs w:val="20"/>
        </w:rPr>
      </w:pPr>
    </w:p>
    <w:p w14:paraId="2C61C2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6. Jāatzīmē, ka ar līgumu noslēgtie ilgtermiņa tirdzniecības kredīti un avansi</w:t>
      </w:r>
      <w:r w:rsidRPr="00B03B51">
        <w:rPr>
          <w:rStyle w:val="FootnoteReference"/>
          <w:rFonts w:ascii="Times New Roman" w:hAnsi="Times New Roman" w:cs="Times New Roman"/>
          <w:noProof/>
          <w:sz w:val="24"/>
        </w:rPr>
        <w:footnoteReference w:id="284"/>
      </w:r>
      <w:r w:rsidRPr="00B03B51">
        <w:rPr>
          <w:rFonts w:ascii="Times New Roman" w:hAnsi="Times New Roman" w:cs="Times New Roman"/>
          <w:sz w:val="24"/>
        </w:rPr>
        <w:t>, (piešķirti valdības sektorā klasificētiem subjektiem) vai ko snieguši šie subjekti, neatkarīgi no tā, uz kādām precēm un pakalpojumiem tie attiecas</w:t>
      </w:r>
      <w:r w:rsidRPr="00B03B51">
        <w:rPr>
          <w:rStyle w:val="FootnoteReference"/>
          <w:rFonts w:ascii="Times New Roman" w:hAnsi="Times New Roman" w:cs="Times New Roman"/>
          <w:noProof/>
          <w:sz w:val="24"/>
        </w:rPr>
        <w:footnoteReference w:id="285"/>
      </w:r>
      <w:r w:rsidRPr="00B03B51">
        <w:rPr>
          <w:rFonts w:ascii="Times New Roman" w:hAnsi="Times New Roman" w:cs="Times New Roman"/>
          <w:sz w:val="24"/>
        </w:rPr>
        <w:t>, ir jāieraksta kā ilgtermiņa aizdevumi AF.42 un nevis kā tirdzniecības kredīti AF.81 saskaņā ar EKS 2010 20.132. punktu.</w:t>
      </w:r>
      <w:r w:rsidRPr="00B03B51">
        <w:rPr>
          <w:rStyle w:val="FootnoteReference"/>
          <w:rFonts w:ascii="Times New Roman" w:hAnsi="Times New Roman" w:cs="Times New Roman"/>
          <w:noProof/>
          <w:sz w:val="24"/>
        </w:rPr>
        <w:footnoteReference w:id="286"/>
      </w:r>
      <w:r w:rsidRPr="00B03B51">
        <w:rPr>
          <w:rFonts w:ascii="Times New Roman" w:hAnsi="Times New Roman" w:cs="Times New Roman"/>
          <w:sz w:val="24"/>
          <w:vertAlign w:val="superscript"/>
        </w:rPr>
        <w:t>,</w:t>
      </w:r>
      <w:r w:rsidRPr="00B03B51">
        <w:rPr>
          <w:rStyle w:val="FootnoteReference"/>
          <w:rFonts w:ascii="Times New Roman" w:hAnsi="Times New Roman" w:cs="Times New Roman"/>
          <w:noProof/>
          <w:sz w:val="24"/>
        </w:rPr>
        <w:footnoteReference w:id="287"/>
      </w:r>
    </w:p>
    <w:p w14:paraId="3D7C522D" w14:textId="77777777" w:rsidR="00443399" w:rsidRPr="00B03B51" w:rsidRDefault="00443399" w:rsidP="00443399">
      <w:pPr>
        <w:jc w:val="both"/>
        <w:rPr>
          <w:rFonts w:ascii="Times New Roman" w:hAnsi="Times New Roman" w:cs="Times New Roman"/>
          <w:noProof/>
          <w:sz w:val="24"/>
        </w:rPr>
      </w:pPr>
    </w:p>
    <w:p w14:paraId="6569584B" w14:textId="77777777" w:rsidR="00443399" w:rsidRPr="00B03B51" w:rsidRDefault="00443399" w:rsidP="00443399">
      <w:pPr>
        <w:jc w:val="both"/>
        <w:rPr>
          <w:rFonts w:ascii="Times New Roman" w:eastAsia="Arial" w:hAnsi="Times New Roman" w:cs="Times New Roman"/>
          <w:noProof/>
          <w:sz w:val="24"/>
          <w:szCs w:val="19"/>
        </w:rPr>
      </w:pPr>
      <w:r w:rsidRPr="00B03B51">
        <w:rPr>
          <w:rFonts w:ascii="Times New Roman" w:hAnsi="Times New Roman" w:cs="Times New Roman"/>
          <w:sz w:val="24"/>
        </w:rPr>
        <w:t xml:space="preserve">Saskaņā ar EKS 2010 20.132. punktu </w:t>
      </w:r>
      <w:r w:rsidRPr="00B03B51">
        <w:rPr>
          <w:rFonts w:ascii="Times New Roman" w:hAnsi="Times New Roman" w:cs="Times New Roman"/>
          <w:i/>
          <w:iCs/>
          <w:sz w:val="24"/>
        </w:rPr>
        <w:t>finansēšanu, ko uzrāda kā ilgtermiņa tirdzniecības kredītus vai kreditoru/debitoru saistību līgumus, klasificē kā aizdevumus, jo tie ietver ilgtermiņa finansējumu par labu aizņēmējam, kas atšķiras no Valsts kases mehānisma tādējādi, ka tajā pārdevēji parasti izsniedz pircējiem īstermiņa tirdzniecības kredītus.</w:t>
      </w:r>
      <w:r w:rsidRPr="00B03B51">
        <w:rPr>
          <w:rFonts w:ascii="Times New Roman" w:hAnsi="Times New Roman" w:cs="Times New Roman"/>
          <w:i/>
          <w:sz w:val="24"/>
        </w:rPr>
        <w:t xml:space="preserve"> </w:t>
      </w:r>
      <w:r w:rsidRPr="00B03B51">
        <w:rPr>
          <w:rFonts w:ascii="Times New Roman" w:hAnsi="Times New Roman" w:cs="Times New Roman"/>
          <w:i/>
          <w:iCs/>
          <w:sz w:val="24"/>
        </w:rPr>
        <w:t>Ievērojami pagarinot maksājuma saistību termiņu, celtnieks uzņemas finanšu lomu, kas ir atdalīta no tā ražošanas darbības</w:t>
      </w:r>
      <w:r w:rsidRPr="00B03B51">
        <w:rPr>
          <w:rFonts w:ascii="Times New Roman" w:hAnsi="Times New Roman" w:cs="Times New Roman"/>
          <w:sz w:val="24"/>
        </w:rPr>
        <w:t>.</w:t>
      </w:r>
    </w:p>
    <w:p w14:paraId="156D2E2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917AF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7. Jāatzīmē, ka EKS 2010 klasifikācijas laiks tiek noteikts, pamatojoties uz maksājuma termiņu, par ko abas puses ir vienojušās sākumā. Tas ir jānošķir no termina “maksājuma kavējumi” </w:t>
      </w:r>
      <w:r w:rsidRPr="00B03B51">
        <w:rPr>
          <w:rFonts w:ascii="Times New Roman" w:hAnsi="Times New Roman" w:cs="Times New Roman"/>
          <w:sz w:val="24"/>
        </w:rPr>
        <w:lastRenderedPageBreak/>
        <w:t>parastās nozīmes, ko piemēro tirdzniecības kredītiem, kuri nav atmaksāti sākotnēji nolīgtajā maksājuma termiņā.</w:t>
      </w:r>
    </w:p>
    <w:p w14:paraId="20284B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EFBB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Nav gaidāms, ka šādu ilgtermiņa tirdzniecības kredītu esošās summas būs ievērojamas, jo īpaši saistībā ar Eiropas Parlamenta un Padomes Direktīvu 2011/7/ES</w:t>
      </w:r>
      <w:r w:rsidRPr="00B03B51">
        <w:rPr>
          <w:rStyle w:val="FootnoteReference"/>
          <w:rFonts w:ascii="Times New Roman" w:hAnsi="Times New Roman" w:cs="Times New Roman"/>
          <w:noProof/>
          <w:sz w:val="24"/>
        </w:rPr>
        <w:footnoteReference w:id="288"/>
      </w:r>
      <w:r w:rsidRPr="00B03B51">
        <w:rPr>
          <w:rFonts w:ascii="Times New Roman" w:hAnsi="Times New Roman" w:cs="Times New Roman"/>
          <w:sz w:val="24"/>
        </w:rPr>
        <w:t xml:space="preserve"> (2011. gada 16. februāris) par maksājumu kavējumu novēršanu komercdarījumos, kurā noteikts, ka publiskām vienībām savās komercattiecībās maksājums ir jāveic ilgākais 60 kalendārajās dienās un ka procentus iekasē, ja maksājums netiek veikts termiņā.</w:t>
      </w:r>
    </w:p>
    <w:p w14:paraId="3BEC9B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F218A8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Lai arī EKS 2010 5.239. punktā ir norādīts, ka tirdzniecības kredīti un avansi var būt īstermiņa vai ilgtermiņa</w:t>
      </w:r>
      <w:r w:rsidRPr="00B03B51">
        <w:rPr>
          <w:rStyle w:val="FootnoteReference"/>
          <w:rFonts w:ascii="Times New Roman" w:hAnsi="Times New Roman" w:cs="Times New Roman"/>
          <w:noProof/>
          <w:sz w:val="24"/>
        </w:rPr>
        <w:footnoteReference w:id="289"/>
      </w:r>
      <w:r w:rsidRPr="00B03B51">
        <w:rPr>
          <w:rFonts w:ascii="Times New Roman" w:hAnsi="Times New Roman" w:cs="Times New Roman"/>
          <w:sz w:val="24"/>
        </w:rPr>
        <w:t>, tas nav piemērojams, kad darījuma partneris ir valdība, ievērojot EKS 2010 20.132. punktu. Jāatzīmē, ka Direktīvā 2011/7/ES ir tāds pats vai līdzīgs “publisko iestāžu” un “uzņēmumu” nošķīrums.</w:t>
      </w:r>
      <w:r w:rsidRPr="00B03B51">
        <w:rPr>
          <w:rStyle w:val="FootnoteReference"/>
          <w:rFonts w:ascii="Times New Roman" w:hAnsi="Times New Roman" w:cs="Times New Roman"/>
          <w:noProof/>
          <w:sz w:val="24"/>
        </w:rPr>
        <w:footnoteReference w:id="290"/>
      </w:r>
    </w:p>
    <w:p w14:paraId="44CCE17E" w14:textId="77777777" w:rsidR="00443399" w:rsidRPr="00B03B51" w:rsidRDefault="00443399" w:rsidP="00443399">
      <w:pPr>
        <w:jc w:val="both"/>
        <w:rPr>
          <w:rFonts w:ascii="Times New Roman" w:eastAsia="Arial" w:hAnsi="Times New Roman" w:cs="Times New Roman"/>
          <w:noProof/>
          <w:sz w:val="24"/>
          <w:szCs w:val="16"/>
        </w:rPr>
      </w:pPr>
    </w:p>
    <w:p w14:paraId="02F3874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12" w:name="8.2.2.2_Valuation_of_government_debt_for"/>
      <w:bookmarkEnd w:id="612"/>
      <w:r w:rsidRPr="00B03B51">
        <w:rPr>
          <w:rFonts w:ascii="Times New Roman" w:hAnsi="Times New Roman" w:cs="Times New Roman"/>
          <w:sz w:val="24"/>
        </w:rPr>
        <w:t xml:space="preserve">8.2.2.2. VALDĪBAS PARĀDA NOVĒRTĒJUMS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 NOMINĀLVĒRTĪBA PRET NORĀDĪTO VĒRTĪBU</w:t>
      </w:r>
    </w:p>
    <w:p w14:paraId="539A575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163B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Padomes Regulā (EK) Nr. 479/2009 (</w:t>
      </w:r>
      <w:r w:rsidRPr="00B03B51">
        <w:rPr>
          <w:rFonts w:ascii="Times New Roman" w:hAnsi="Times New Roman" w:cs="Times New Roman"/>
          <w:i/>
          <w:iCs/>
          <w:sz w:val="24"/>
        </w:rPr>
        <w:t>EDP</w:t>
      </w:r>
      <w:r w:rsidRPr="00B03B51">
        <w:rPr>
          <w:rFonts w:ascii="Times New Roman" w:hAnsi="Times New Roman" w:cs="Times New Roman"/>
          <w:sz w:val="24"/>
        </w:rPr>
        <w:t xml:space="preserve"> regula) nominālvērtību uzskata par vienādu ar saistību norādīto vērtību (1. pants). Norādītā vērtība parasti tiek definēta (piemēram, statistikas rokasgrāmatās, piemēram, EKS 2010 5.90. punkta d) apakšpunktā) kā līgumiski saskaņota summa, kādu valdība atmaksās kreditoriem termiņa beigās. Par šo summu (pamatsummu) parasti aprēķina arī procentus.</w:t>
      </w:r>
    </w:p>
    <w:p w14:paraId="66FDBD6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584E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Šī nominālvērtības definīcija, kas saglabāta Padomes Regulā (EK) Nr. 479/2009, atšķiras no EKS 2010 sniegtās nominālvērtības definīcijas. Pretstatā EKS 1995, kurā nominālvērtība netika definēta statistiskā ziņā, EKS 2010 nominālvērtība ir definēta 7.39. punktā šādi:</w:t>
      </w:r>
    </w:p>
    <w:p w14:paraId="69C82072" w14:textId="77777777" w:rsidR="00443399" w:rsidRPr="00B03B51" w:rsidRDefault="00443399" w:rsidP="00443399">
      <w:pPr>
        <w:jc w:val="both"/>
        <w:rPr>
          <w:rFonts w:ascii="Times New Roman" w:eastAsia="Arial" w:hAnsi="Times New Roman" w:cs="Times New Roman"/>
          <w:i/>
          <w:noProof/>
          <w:sz w:val="24"/>
          <w:szCs w:val="19"/>
        </w:rPr>
      </w:pPr>
    </w:p>
    <w:p w14:paraId="3D91AC1A" w14:textId="77777777" w:rsidR="00443399" w:rsidRPr="00B03B51" w:rsidRDefault="00443399" w:rsidP="00443399">
      <w:pPr>
        <w:jc w:val="both"/>
        <w:rPr>
          <w:rFonts w:ascii="Times New Roman" w:eastAsia="Arial" w:hAnsi="Times New Roman" w:cs="Times New Roman"/>
          <w:i/>
          <w:noProof/>
          <w:sz w:val="24"/>
          <w:szCs w:val="19"/>
        </w:rPr>
      </w:pPr>
      <w:r w:rsidRPr="00B03B51">
        <w:rPr>
          <w:rFonts w:ascii="Times New Roman" w:hAnsi="Times New Roman" w:cs="Times New Roman"/>
          <w:i/>
          <w:sz w:val="24"/>
          <w:szCs w:val="19"/>
        </w:rPr>
        <w:t>Nominālvērtība atspoguļo sākotnēji piešķirto līdzekļu summu plus jebkuru vēlāku avansu mīnus jebkādus maksājumus plus uzkrātos procentus. Nominālvērtība nav vienāda ar nominālo cenu.</w:t>
      </w:r>
    </w:p>
    <w:p w14:paraId="1884307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24543D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Attiecībā uz norādīto vērtību ir arī jāprecizē:</w:t>
      </w:r>
    </w:p>
    <w:p w14:paraId="56476D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D514ED5"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noguldījumiem (vai pielīdzinātiem instrumentiem, kas klasificēti AF.2, piemēram, neapgrozāmas parādzīmes, norādītā vērtība ietver uzkrātos procentus, ja tie ir “kapitalizēti”. Var pieņemt, ka procenti</w:t>
      </w:r>
      <w:r w:rsidRPr="00B03B51">
        <w:rPr>
          <w:rStyle w:val="FootnoteReference"/>
          <w:rFonts w:ascii="Times New Roman" w:hAnsi="Times New Roman" w:cs="Times New Roman"/>
          <w:noProof/>
          <w:sz w:val="24"/>
        </w:rPr>
        <w:footnoteReference w:id="291"/>
      </w:r>
      <w:r w:rsidRPr="00B03B51">
        <w:rPr>
          <w:rFonts w:ascii="Times New Roman" w:hAnsi="Times New Roman" w:cs="Times New Roman"/>
          <w:sz w:val="24"/>
        </w:rPr>
        <w:t xml:space="preserve"> ir kapitalizēti, kad tie:</w:t>
      </w:r>
    </w:p>
    <w:p w14:paraId="0349EF2A" w14:textId="77777777" w:rsidR="00443399" w:rsidRPr="00B03B51" w:rsidRDefault="00443399" w:rsidP="002E0524">
      <w:pPr>
        <w:pStyle w:val="BodyText"/>
        <w:tabs>
          <w:tab w:val="left" w:pos="1126"/>
        </w:tabs>
        <w:spacing w:before="0"/>
        <w:ind w:left="426" w:firstLine="0"/>
        <w:jc w:val="both"/>
        <w:rPr>
          <w:rFonts w:ascii="Times New Roman" w:hAnsi="Times New Roman" w:cs="Times New Roman"/>
          <w:noProof/>
          <w:sz w:val="24"/>
        </w:rPr>
      </w:pPr>
    </w:p>
    <w:p w14:paraId="4668D10F" w14:textId="77777777" w:rsidR="00443399" w:rsidRPr="00B03B51" w:rsidRDefault="00443399" w:rsidP="002E0524">
      <w:pPr>
        <w:pStyle w:val="BodyText"/>
        <w:numPr>
          <w:ilvl w:val="2"/>
          <w:numId w:val="40"/>
        </w:numPr>
        <w:spacing w:before="0"/>
        <w:ind w:left="426" w:firstLine="0"/>
        <w:jc w:val="both"/>
        <w:rPr>
          <w:rFonts w:ascii="Times New Roman" w:hAnsi="Times New Roman" w:cs="Times New Roman"/>
          <w:noProof/>
          <w:sz w:val="24"/>
        </w:rPr>
      </w:pPr>
      <w:r w:rsidRPr="00B03B51">
        <w:rPr>
          <w:rFonts w:ascii="Times New Roman" w:hAnsi="Times New Roman" w:cs="Times New Roman"/>
          <w:sz w:val="24"/>
        </w:rPr>
        <w:t>nav nošķirami no pamatsummas;</w:t>
      </w:r>
    </w:p>
    <w:p w14:paraId="3E290C23" w14:textId="77777777" w:rsidR="00443399" w:rsidRPr="00B03B51" w:rsidRDefault="00443399" w:rsidP="002E0524">
      <w:pPr>
        <w:pStyle w:val="BodyText"/>
        <w:numPr>
          <w:ilvl w:val="2"/>
          <w:numId w:val="40"/>
        </w:numPr>
        <w:spacing w:before="0"/>
        <w:ind w:left="426" w:firstLine="0"/>
        <w:jc w:val="both"/>
        <w:rPr>
          <w:rFonts w:ascii="Times New Roman" w:hAnsi="Times New Roman" w:cs="Times New Roman"/>
          <w:noProof/>
          <w:sz w:val="24"/>
        </w:rPr>
      </w:pPr>
      <w:r w:rsidRPr="00B03B51">
        <w:rPr>
          <w:rFonts w:ascii="Times New Roman" w:hAnsi="Times New Roman" w:cs="Times New Roman"/>
          <w:sz w:val="24"/>
        </w:rPr>
        <w:t>ir faktiski kreditēti turētājam (piemēram, parādās bankas pārskatā vai tamlīdzīgi);</w:t>
      </w:r>
    </w:p>
    <w:p w14:paraId="47C36378" w14:textId="77777777" w:rsidR="00443399" w:rsidRPr="00B03B51" w:rsidRDefault="00443399" w:rsidP="002E0524">
      <w:pPr>
        <w:pStyle w:val="BodyText"/>
        <w:numPr>
          <w:ilvl w:val="2"/>
          <w:numId w:val="40"/>
        </w:numPr>
        <w:spacing w:before="0"/>
        <w:ind w:left="426" w:firstLine="0"/>
        <w:jc w:val="both"/>
        <w:rPr>
          <w:rFonts w:ascii="Times New Roman" w:hAnsi="Times New Roman" w:cs="Times New Roman"/>
          <w:noProof/>
          <w:sz w:val="24"/>
        </w:rPr>
      </w:pPr>
      <w:r w:rsidRPr="00B03B51">
        <w:rPr>
          <w:rFonts w:ascii="Times New Roman" w:hAnsi="Times New Roman" w:cs="Times New Roman"/>
          <w:sz w:val="24"/>
        </w:rPr>
        <w:t>ir likumīgi iegūti;</w:t>
      </w:r>
    </w:p>
    <w:p w14:paraId="2DCBDABF" w14:textId="77777777" w:rsidR="00443399" w:rsidRPr="00B03B51" w:rsidRDefault="00443399" w:rsidP="002E0524">
      <w:pPr>
        <w:pStyle w:val="BodyText"/>
        <w:numPr>
          <w:ilvl w:val="2"/>
          <w:numId w:val="40"/>
        </w:numPr>
        <w:spacing w:before="0"/>
        <w:ind w:left="426" w:firstLine="0"/>
        <w:jc w:val="both"/>
        <w:rPr>
          <w:rFonts w:ascii="Times New Roman" w:hAnsi="Times New Roman" w:cs="Times New Roman"/>
          <w:noProof/>
          <w:sz w:val="24"/>
        </w:rPr>
      </w:pPr>
      <w:r w:rsidRPr="00B03B51">
        <w:rPr>
          <w:rFonts w:ascii="Times New Roman" w:hAnsi="Times New Roman" w:cs="Times New Roman"/>
          <w:sz w:val="24"/>
        </w:rPr>
        <w:t>ir pievienoti pamatsummai vai</w:t>
      </w:r>
    </w:p>
    <w:p w14:paraId="0093974D" w14:textId="77777777" w:rsidR="00443399" w:rsidRPr="00B03B51" w:rsidRDefault="00443399" w:rsidP="002E0524">
      <w:pPr>
        <w:pStyle w:val="BodyText"/>
        <w:numPr>
          <w:ilvl w:val="2"/>
          <w:numId w:val="40"/>
        </w:numPr>
        <w:spacing w:before="0"/>
        <w:ind w:left="426" w:firstLine="0"/>
        <w:jc w:val="both"/>
        <w:rPr>
          <w:rFonts w:ascii="Times New Roman" w:hAnsi="Times New Roman" w:cs="Times New Roman"/>
          <w:noProof/>
          <w:sz w:val="24"/>
        </w:rPr>
      </w:pPr>
      <w:r w:rsidRPr="00B03B51">
        <w:rPr>
          <w:rFonts w:ascii="Times New Roman" w:hAnsi="Times New Roman" w:cs="Times New Roman"/>
          <w:sz w:val="24"/>
        </w:rPr>
        <w:lastRenderedPageBreak/>
        <w:t>rada procentus</w:t>
      </w:r>
      <w:r w:rsidRPr="00B03B51">
        <w:rPr>
          <w:rStyle w:val="FootnoteReference"/>
          <w:rFonts w:ascii="Times New Roman" w:hAnsi="Times New Roman" w:cs="Times New Roman"/>
          <w:noProof/>
          <w:sz w:val="24"/>
        </w:rPr>
        <w:footnoteReference w:id="292"/>
      </w:r>
      <w:r w:rsidRPr="00B03B51">
        <w:rPr>
          <w:rFonts w:ascii="Times New Roman" w:hAnsi="Times New Roman" w:cs="Times New Roman"/>
          <w:sz w:val="24"/>
        </w:rPr>
        <w:t>.</w:t>
      </w:r>
    </w:p>
    <w:p w14:paraId="39200425" w14:textId="77777777" w:rsidR="00443399" w:rsidRPr="00B03B51" w:rsidRDefault="00443399" w:rsidP="002E0524">
      <w:pPr>
        <w:pStyle w:val="BodyText"/>
        <w:spacing w:before="0"/>
        <w:ind w:left="426" w:firstLine="0"/>
        <w:jc w:val="both"/>
        <w:rPr>
          <w:rFonts w:ascii="Times New Roman" w:hAnsi="Times New Roman" w:cs="Times New Roman"/>
          <w:noProof/>
          <w:sz w:val="24"/>
        </w:rPr>
      </w:pPr>
    </w:p>
    <w:p w14:paraId="1C4BC880" w14:textId="77777777" w:rsidR="00443399" w:rsidRPr="00B03B51" w:rsidRDefault="00443399" w:rsidP="002E0524">
      <w:pPr>
        <w:pStyle w:val="BodyText"/>
        <w:spacing w:before="0"/>
        <w:ind w:left="426" w:firstLine="0"/>
        <w:jc w:val="both"/>
        <w:rPr>
          <w:rFonts w:ascii="Times New Roman" w:hAnsi="Times New Roman" w:cs="Times New Roman"/>
          <w:noProof/>
          <w:sz w:val="24"/>
        </w:rPr>
      </w:pPr>
      <w:r w:rsidRPr="00B03B51">
        <w:rPr>
          <w:rFonts w:ascii="Times New Roman" w:hAnsi="Times New Roman" w:cs="Times New Roman"/>
          <w:sz w:val="24"/>
        </w:rPr>
        <w:t>Ja kreditors jebkurā laikā var izņemt uzkrātos procentus, uzskatāms, ka tā procentu daļa, kas ir pārvēršama naudā, ir kapitalizēta, jo uzskatāms, ka kreditors ir pieņēmis apzinātu lēmumu par atkārtotu ieguldīšanu, un attiecīgi norādītā vērtība tad ir vienāda ar šo iekasēšanas vērtību;</w:t>
      </w:r>
    </w:p>
    <w:p w14:paraId="22579943" w14:textId="77777777" w:rsidR="00443399" w:rsidRPr="00B03B51" w:rsidRDefault="00443399" w:rsidP="002E0524">
      <w:pPr>
        <w:pStyle w:val="BodyText"/>
        <w:spacing w:before="0"/>
        <w:ind w:left="426" w:firstLine="0"/>
        <w:jc w:val="both"/>
        <w:rPr>
          <w:rFonts w:ascii="Times New Roman" w:hAnsi="Times New Roman" w:cs="Times New Roman"/>
          <w:noProof/>
          <w:sz w:val="24"/>
        </w:rPr>
      </w:pPr>
    </w:p>
    <w:p w14:paraId="159F731D"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indeksējamās obligācijas – norādītā vērtība atbilst (sākotnējai) norādītajai vērtībai, kas precizēta, izmantojot indeksēto kapitāla pieaugumu, kurš uzkrāts gada beigās (nereti ar garantētu minimālo izpirkuma vērtību), kā noteikts Padomes Regulas (EK) Nr. 479/2009 1. pantā. Tas attiecas uz obligācijām, kas ir indeksētas ar “vispārējo cenu indeksu” vai ar “šauru indeksu”.</w:t>
      </w:r>
      <w:r w:rsidRPr="00B03B51">
        <w:rPr>
          <w:rStyle w:val="FootnoteReference"/>
          <w:rFonts w:ascii="Times New Roman" w:hAnsi="Times New Roman" w:cs="Times New Roman"/>
          <w:noProof/>
          <w:sz w:val="24"/>
        </w:rPr>
        <w:footnoteReference w:id="293"/>
      </w:r>
      <w:r w:rsidRPr="00B03B51">
        <w:rPr>
          <w:rFonts w:ascii="Times New Roman" w:hAnsi="Times New Roman" w:cs="Times New Roman"/>
          <w:sz w:val="24"/>
          <w:szCs w:val="12"/>
        </w:rPr>
        <w:t xml:space="preserve"> </w:t>
      </w:r>
      <w:r w:rsidRPr="00B03B51">
        <w:rPr>
          <w:rFonts w:ascii="Times New Roman" w:hAnsi="Times New Roman" w:cs="Times New Roman"/>
          <w:sz w:val="24"/>
        </w:rPr>
        <w:t>Obligācijas, kas maksā vienreizēju summu (termiņa beigās), kas indeksētas atbilstoši rādītājam un tiek reklamētas kā “kapitalizētu procentu obligācijas”, ir jātraktē kā indeksējamās obligācijas;</w:t>
      </w:r>
    </w:p>
    <w:p w14:paraId="210FD5DC"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bezkupona obligācijas (piemēram, valsts kases parādzīmes) – norādītā vērtība ir izpirkuma vērtība. Obligācijas, kas maksā iepriekš noteiktu vienreizēju summu (termiņa beigās) un kas tiek reklamētas kā “kapitalizētu procentu obligācijas”, ir jātraktē kā bezkupona obligācijas;</w:t>
      </w:r>
    </w:p>
    <w:p w14:paraId="778C26D8"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obligācijas ar kapitalizētiem procentiem, proti, instrumenti, kas maksā vienreizēju summu (termiņa beigu dienā), kura nav ne iepriekš noteikta, ne indeksēta – norādītā vērtība ir emisijas vērtība, kurai pieskaitīti kapitalizētie procenti, līdzīgi indeksējamo obligāciju ierakstīšanai, kas ir kapitalizējami pa periodiem saskaņā ar līgumā ietvertu formulu. Šī vērtība obligācijas darbības laikā atšķirsies no izpirkšanas vērtības, ņemot vērā, ka izpirkšanas vērtība nav zināma līdz izpirkšanai;</w:t>
      </w:r>
    </w:p>
    <w:p w14:paraId="56BB2913"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sadalītās obligācijas – kupona un pamatsummas atdalīšana nemaina sākotnējās obligācijas norādīto vērtību.</w:t>
      </w:r>
      <w:r w:rsidRPr="00B03B51">
        <w:rPr>
          <w:rStyle w:val="FootnoteReference"/>
          <w:rFonts w:ascii="Times New Roman" w:hAnsi="Times New Roman" w:cs="Times New Roman"/>
          <w:noProof/>
          <w:sz w:val="24"/>
        </w:rPr>
        <w:footnoteReference w:id="294"/>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Iespējams ir kupona un pamatsummas atdalīšanas darījuma pretējais </w:t>
      </w:r>
      <w:r w:rsidRPr="00B03B51">
        <w:rPr>
          <w:rFonts w:ascii="Times New Roman" w:hAnsi="Times New Roman" w:cs="Times New Roman"/>
          <w:sz w:val="24"/>
        </w:rPr>
        <w:lastRenderedPageBreak/>
        <w:t>darījums;</w:t>
      </w:r>
    </w:p>
    <w:p w14:paraId="65239A70"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finanšu noma – parāds ietver aprēķināto aizdevumu, kas sākumā ir vienāds ar bruto pamatkapitāla veidošanu.</w:t>
      </w:r>
    </w:p>
    <w:p w14:paraId="21E8A10B" w14:textId="77777777" w:rsidR="00443399" w:rsidRPr="00B03B51" w:rsidRDefault="00443399" w:rsidP="00443399">
      <w:pPr>
        <w:jc w:val="both"/>
        <w:rPr>
          <w:rFonts w:ascii="Times New Roman" w:eastAsia="Arial" w:hAnsi="Times New Roman" w:cs="Times New Roman"/>
          <w:noProof/>
          <w:sz w:val="24"/>
          <w:szCs w:val="16"/>
        </w:rPr>
      </w:pPr>
    </w:p>
    <w:p w14:paraId="7476DB1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13" w:name="8.2.2.3_Accrued_interest"/>
      <w:bookmarkEnd w:id="613"/>
      <w:r w:rsidRPr="00B03B51">
        <w:rPr>
          <w:rFonts w:ascii="Times New Roman" w:hAnsi="Times New Roman" w:cs="Times New Roman"/>
          <w:sz w:val="24"/>
        </w:rPr>
        <w:t>8.2.2.3. UZKRĀTIE PROCENTI</w:t>
      </w:r>
    </w:p>
    <w:p w14:paraId="0EC0E99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9CEEC1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13. Nacionālajos kontos procentus ieraksta, tiklīdz tie uzkrājas. Tāpēc neatkarīgi no tā, vai faktiski tie ir izmaksāti vai nav, uzkrātie procenti ietekmē neto aizdevumu/aizņēmumu (B.9).</w:t>
      </w:r>
    </w:p>
    <w:p w14:paraId="324460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383F5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Saskaņā ar EKS 2010 uzkrātos procentus nepārtraukti pieskaita instrumenta vērtībai bilancē. Šī vērtība samazinās, tiklīdz procenti ir faktiski izmaksāti. EKS nominālvērtība ietver uzkrāto procentu krājumus.</w:t>
      </w:r>
    </w:p>
    <w:p w14:paraId="7CE3933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93D3A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15. Saskaņā ar </w:t>
      </w:r>
      <w:r w:rsidRPr="00B03B51">
        <w:rPr>
          <w:rFonts w:ascii="Times New Roman" w:hAnsi="Times New Roman" w:cs="Times New Roman"/>
          <w:i/>
          <w:iCs/>
          <w:sz w:val="24"/>
        </w:rPr>
        <w:t>EDP</w:t>
      </w:r>
      <w:r w:rsidRPr="00B03B51">
        <w:rPr>
          <w:rFonts w:ascii="Times New Roman" w:hAnsi="Times New Roman" w:cs="Times New Roman"/>
          <w:sz w:val="24"/>
        </w:rPr>
        <w:t xml:space="preserve"> noteikumiem valdības parādu aprēķina pēc nominālvērtības (saskaņā ar Līgumu), ko pielīdzina </w:t>
      </w:r>
      <w:r w:rsidRPr="00B03B51">
        <w:rPr>
          <w:rFonts w:ascii="Times New Roman" w:hAnsi="Times New Roman" w:cs="Times New Roman"/>
          <w:i/>
          <w:iCs/>
          <w:sz w:val="24"/>
        </w:rPr>
        <w:t>EDP</w:t>
      </w:r>
      <w:r w:rsidRPr="00B03B51">
        <w:rPr>
          <w:rFonts w:ascii="Times New Roman" w:hAnsi="Times New Roman" w:cs="Times New Roman"/>
          <w:sz w:val="24"/>
        </w:rPr>
        <w:t xml:space="preserve"> regulā noteiktajai norādītajai vērtībai, kā minēts iepriekš, nevis EKS 2010 noteiktajai nominālvērtībai. Attiecīgi uzkrātos procentus neieraksta attiecīgajā parāda instrumentā, ja vien tie nav uzskatāmi par kapitalizētiem.</w:t>
      </w:r>
    </w:p>
    <w:p w14:paraId="5F2AFDA3" w14:textId="77777777" w:rsidR="00443399" w:rsidRPr="00B03B51" w:rsidRDefault="00443399" w:rsidP="00443399">
      <w:pPr>
        <w:jc w:val="both"/>
        <w:rPr>
          <w:rFonts w:ascii="Times New Roman" w:eastAsia="Arial" w:hAnsi="Times New Roman" w:cs="Times New Roman"/>
          <w:noProof/>
          <w:sz w:val="24"/>
          <w:szCs w:val="15"/>
        </w:rPr>
      </w:pPr>
    </w:p>
    <w:p w14:paraId="0F5145D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14" w:name="8.2.2.4_Debt_in_foreign_currency"/>
      <w:bookmarkEnd w:id="614"/>
      <w:r w:rsidRPr="00B03B51">
        <w:rPr>
          <w:rFonts w:ascii="Times New Roman" w:hAnsi="Times New Roman" w:cs="Times New Roman"/>
          <w:sz w:val="24"/>
        </w:rPr>
        <w:t>8.2.2.4. PARĀDS ĀRVALSTU VALŪTĀ</w:t>
      </w:r>
    </w:p>
    <w:p w14:paraId="3BF1D52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789FC0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Nacionālajos kontos saistības, kas ir izteiktas ārvalstu valūtās, konvertē valsts valūtā pēc reprezentatīvā tūlītējā tirgus valūtas maiņas kursa, kas bija spēkā katra gada pēdējā darbdienā. Ar tām saistītos atvasinātos instrumentus (jo īpaši, valūtas kursa maiņas riska ierobežošanu) ieraksta atsevišķi. Savukārt Padomes Regulā (EK) Nr. 479/2009 ir teikts, ja saistības, kas izteiktas ārvalstu valūtā, saskaņā ar līgumisku vienošanos tiek mainītas pret vienu vai vairākām citām ārvalstu valūtām, tās jākonvertē minētajās ārvalstu valūtās pēc kursa, par kuru vienošanās panākta iepriekš minētajos līgumos, un tad jākonvertē valsts valūtā atbilstoši vispārējam noteikumam (minēts iepriekšējā punktā).</w:t>
      </w:r>
    </w:p>
    <w:p w14:paraId="139746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86FC8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Tas pats princips attiecas uz gadījumiem, kad parāds, kas izteikts valsts valūtā, mijmaiņas darījumā tiek mainīts ārvalstu valūtā. Tas nozīmē, ka saistības, kas izteiktas ārvalstu valūtā un saskaņā ar līgumiem mainītas valsts valūtā, konvertē valsts valūtā pēc likmes, kas noteikta minētajos līgumos.</w:t>
      </w:r>
    </w:p>
    <w:p w14:paraId="2E91C7BE" w14:textId="77777777" w:rsidR="00443399" w:rsidRPr="00B03B51" w:rsidRDefault="00443399" w:rsidP="00443399">
      <w:pPr>
        <w:jc w:val="both"/>
        <w:rPr>
          <w:rFonts w:ascii="Times New Roman" w:eastAsia="Arial" w:hAnsi="Times New Roman" w:cs="Times New Roman"/>
          <w:noProof/>
          <w:sz w:val="24"/>
          <w:szCs w:val="15"/>
        </w:rPr>
      </w:pPr>
    </w:p>
    <w:p w14:paraId="29A8869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15" w:name="8.2.2.5_The_change_in_government_debt"/>
      <w:bookmarkEnd w:id="615"/>
      <w:r w:rsidRPr="00B03B51">
        <w:rPr>
          <w:rFonts w:ascii="Times New Roman" w:hAnsi="Times New Roman" w:cs="Times New Roman"/>
          <w:sz w:val="24"/>
        </w:rPr>
        <w:t>8.2.2.5. IZMAIŅAS VALDĪBAS PARĀDĀ</w:t>
      </w:r>
    </w:p>
    <w:p w14:paraId="413F01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1D046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Valdības parāda izmaiņas noteiktā laika intervālā (piemēram, laikposmā no </w:t>
      </w:r>
      <w:r w:rsidRPr="00B03B51">
        <w:rPr>
          <w:rFonts w:ascii="Times New Roman" w:hAnsi="Times New Roman" w:cs="Times New Roman"/>
          <w:i/>
          <w:iCs/>
          <w:sz w:val="24"/>
        </w:rPr>
        <w:t>N</w:t>
      </w:r>
      <w:r w:rsidRPr="00B03B51">
        <w:rPr>
          <w:rFonts w:ascii="Times New Roman" w:hAnsi="Times New Roman" w:cs="Times New Roman"/>
          <w:sz w:val="24"/>
        </w:rPr>
        <w:t xml:space="preserve"> gada beigām līdz </w:t>
      </w:r>
      <w:r w:rsidRPr="00B03B51">
        <w:rPr>
          <w:rFonts w:ascii="Times New Roman" w:hAnsi="Times New Roman" w:cs="Times New Roman"/>
          <w:i/>
          <w:iCs/>
          <w:sz w:val="24"/>
        </w:rPr>
        <w:t>N-1</w:t>
      </w:r>
      <w:r w:rsidRPr="00B03B51">
        <w:rPr>
          <w:rFonts w:ascii="Times New Roman" w:hAnsi="Times New Roman" w:cs="Times New Roman"/>
          <w:sz w:val="24"/>
        </w:rPr>
        <w:t xml:space="preserve"> gada beigām) ir vienādas ar jaunu saistību (F.2, F.3 un F.4) emisiju </w:t>
      </w:r>
      <w:r w:rsidRPr="00B03B51">
        <w:rPr>
          <w:rFonts w:ascii="Times New Roman" w:hAnsi="Times New Roman" w:cs="Times New Roman"/>
          <w:i/>
          <w:iCs/>
          <w:sz w:val="24"/>
        </w:rPr>
        <w:t>N</w:t>
      </w:r>
      <w:r w:rsidRPr="00B03B51">
        <w:rPr>
          <w:rFonts w:ascii="Times New Roman" w:hAnsi="Times New Roman" w:cs="Times New Roman"/>
          <w:sz w:val="24"/>
        </w:rPr>
        <w:t> gadā, no kurām atņemta atpirkšanas vērtība, un citām parāda saistību apjoma pārmaiņām (K.5 un K.6). Izņemot indeksēto parādu un pret valūtas riskiem nenodrošināto parādu ārvalstu valūtā, vērtēšanas sekas neietekmē valdības (</w:t>
      </w:r>
      <w:r w:rsidRPr="00B03B51">
        <w:rPr>
          <w:rFonts w:ascii="Times New Roman" w:hAnsi="Times New Roman" w:cs="Times New Roman"/>
          <w:i/>
          <w:iCs/>
          <w:sz w:val="24"/>
        </w:rPr>
        <w:t>EDP</w:t>
      </w:r>
      <w:r w:rsidRPr="00B03B51">
        <w:rPr>
          <w:rFonts w:ascii="Times New Roman" w:hAnsi="Times New Roman" w:cs="Times New Roman"/>
          <w:sz w:val="24"/>
        </w:rPr>
        <w:t>) parādu. Tā kā valdības parādu ieraksta konsolidētā veidā, tas var arī mainīties tādu darījumu dēļ, kas notiek starp valdības sektorā klasificētajiem turētājiem un citos sektoros (tostarp pārējā pasaulē) klasificētajiem turētājiem.</w:t>
      </w:r>
    </w:p>
    <w:p w14:paraId="593E89DB" w14:textId="77777777" w:rsidR="00443399" w:rsidRPr="00B03B51" w:rsidRDefault="00443399" w:rsidP="00443399">
      <w:pPr>
        <w:jc w:val="both"/>
        <w:rPr>
          <w:rFonts w:ascii="Times New Roman" w:eastAsia="Arial" w:hAnsi="Times New Roman" w:cs="Times New Roman"/>
          <w:noProof/>
          <w:sz w:val="24"/>
          <w:szCs w:val="19"/>
        </w:rPr>
      </w:pPr>
    </w:p>
    <w:p w14:paraId="4F3B775E"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i/>
          <w:iCs/>
          <w:sz w:val="24"/>
        </w:rPr>
        <w:t>EDP</w:t>
      </w:r>
      <w:r w:rsidRPr="00B03B51">
        <w:rPr>
          <w:rFonts w:ascii="Times New Roman" w:hAnsi="Times New Roman" w:cs="Times New Roman"/>
          <w:b/>
          <w:sz w:val="24"/>
        </w:rPr>
        <w:t xml:space="preserve"> notifikācijas tabulas</w:t>
      </w:r>
    </w:p>
    <w:p w14:paraId="375F1EB3" w14:textId="77777777" w:rsidR="00443399" w:rsidRPr="00B03B51" w:rsidRDefault="00443399" w:rsidP="00443399">
      <w:pPr>
        <w:jc w:val="both"/>
        <w:rPr>
          <w:rFonts w:ascii="Times New Roman" w:eastAsia="Arial" w:hAnsi="Times New Roman" w:cs="Times New Roman"/>
          <w:b/>
          <w:bCs/>
          <w:noProof/>
          <w:sz w:val="24"/>
        </w:rPr>
      </w:pPr>
    </w:p>
    <w:p w14:paraId="572992C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19. </w:t>
      </w:r>
      <w:r w:rsidRPr="00B03B51">
        <w:rPr>
          <w:rFonts w:ascii="Times New Roman" w:hAnsi="Times New Roman" w:cs="Times New Roman"/>
          <w:i/>
          <w:iCs/>
          <w:sz w:val="24"/>
        </w:rPr>
        <w:t>EDP</w:t>
      </w:r>
      <w:r w:rsidRPr="00B03B51">
        <w:rPr>
          <w:rFonts w:ascii="Times New Roman" w:hAnsi="Times New Roman" w:cs="Times New Roman"/>
          <w:sz w:val="24"/>
        </w:rPr>
        <w:t xml:space="preserve"> notifikācijas tabulās, ko aizpildījušas ES dalībvalstis un ko divas reizes gadā nosūta Eiropas Komisijai, 3. tabulā atspoguļo saikni starp valdības neto aizdevumu/aizņēmumu (B.9) un izmaiņām valdības parādā. Analīzes nolūkos valdības parāda pieaugums jāaplūko šādu divu </w:t>
      </w:r>
      <w:r w:rsidRPr="00B03B51">
        <w:rPr>
          <w:rFonts w:ascii="Times New Roman" w:hAnsi="Times New Roman" w:cs="Times New Roman"/>
          <w:sz w:val="24"/>
        </w:rPr>
        <w:lastRenderedPageBreak/>
        <w:t>galveno faktoru dēļ:</w:t>
      </w:r>
    </w:p>
    <w:p w14:paraId="70F1407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425949"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vispārējās valdības neto aizdevums/aizņēmums (B.9);</w:t>
      </w:r>
    </w:p>
    <w:p w14:paraId="766839BB"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finanšu aktīvu neto iegāde, ko veic vispārējā valdība (plūsmas ieraksta finanšu kontā).</w:t>
      </w:r>
    </w:p>
    <w:p w14:paraId="177BB0A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F3491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Lai iegūtu galīgās izmaiņas valdības parādā, jāveic daži precizējumi:</w:t>
      </w:r>
    </w:p>
    <w:p w14:paraId="1EC149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82EC8EF"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citās plūsmās (citas parāda saistību, turēšanas guvumu un zaudējumu apjoma pārmaiņas, jo īpaši ārvalstu valūtas parāda dēļ);</w:t>
      </w:r>
    </w:p>
    <w:p w14:paraId="35DF738F" w14:textId="77777777" w:rsidR="00443399" w:rsidRPr="00B03B51" w:rsidRDefault="00443399" w:rsidP="002E0524">
      <w:pPr>
        <w:pStyle w:val="BodyText"/>
        <w:numPr>
          <w:ilvl w:val="1"/>
          <w:numId w:val="40"/>
        </w:numPr>
        <w:spacing w:before="0"/>
        <w:ind w:left="426" w:hanging="425"/>
        <w:jc w:val="both"/>
        <w:rPr>
          <w:rFonts w:ascii="Times New Roman" w:hAnsi="Times New Roman" w:cs="Times New Roman"/>
          <w:noProof/>
          <w:sz w:val="24"/>
        </w:rPr>
      </w:pPr>
      <w:r w:rsidRPr="00B03B51">
        <w:rPr>
          <w:rFonts w:ascii="Times New Roman" w:hAnsi="Times New Roman" w:cs="Times New Roman"/>
          <w:i/>
          <w:iCs/>
          <w:sz w:val="24"/>
        </w:rPr>
        <w:t>EDP</w:t>
      </w:r>
      <w:r w:rsidRPr="00B03B51">
        <w:rPr>
          <w:rFonts w:ascii="Times New Roman" w:hAnsi="Times New Roman" w:cs="Times New Roman"/>
          <w:sz w:val="24"/>
        </w:rPr>
        <w:t xml:space="preserve"> definīcijā – neiekļauj ar </w:t>
      </w:r>
      <w:r w:rsidRPr="00B03B51">
        <w:rPr>
          <w:rFonts w:ascii="Times New Roman" w:hAnsi="Times New Roman" w:cs="Times New Roman"/>
          <w:i/>
          <w:iCs/>
          <w:sz w:val="24"/>
        </w:rPr>
        <w:t>EDP</w:t>
      </w:r>
      <w:r w:rsidRPr="00B03B51">
        <w:rPr>
          <w:rFonts w:ascii="Times New Roman" w:hAnsi="Times New Roman" w:cs="Times New Roman"/>
          <w:sz w:val="24"/>
        </w:rPr>
        <w:t xml:space="preserve"> nesaistītas finanšu saistības (galvenokārt kreditoru saistības un atvasinātos finanšu instrumentus), labojumus, ko veic, lai uzkrāto procentu vietā norādītu izmaksātos procentus, un attiecībā uz parāda vērtspapīriem – lai darījuma vērtības vietā norādītu norādīto vērtību. Pēdējā minētā ir atpirkšanas cenas un nominālvērtības starpība, ņemot vērā faktu, ka atpirkšanas cena var ietvert uzkrāto procentu maksājumu. Tāpēc norādītās vērtības un nominālvērtības starpība ir jāaprēķina, no atpirkšanas cenas atņemot to daļu, kas atbilst uzkrāto procentu maksājumam (atpirktais kupons).</w:t>
      </w:r>
    </w:p>
    <w:p w14:paraId="5860FC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BCF4C1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Visbeidzot, jāidentificē statistiska pretruna, galvenokārt, saistībā ar pretrunu starp finanšu un nefinanšu kontiem (kas pastāv praksē).</w:t>
      </w:r>
    </w:p>
    <w:p w14:paraId="7AA705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49324E1" w14:textId="77777777" w:rsidR="00443399" w:rsidRPr="00B03B51" w:rsidRDefault="00443399" w:rsidP="00443399">
      <w:pPr>
        <w:pStyle w:val="BodyText"/>
        <w:tabs>
          <w:tab w:val="left" w:pos="487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Valdības (konsolidētā) parāda pārmaiņas =</w:t>
      </w:r>
    </w:p>
    <w:p w14:paraId="4BFABF0D" w14:textId="77777777" w:rsidR="00443399" w:rsidRPr="00B03B51" w:rsidRDefault="00443399" w:rsidP="00443399">
      <w:pPr>
        <w:pStyle w:val="BodyText"/>
        <w:tabs>
          <w:tab w:val="left" w:pos="4879"/>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neto aizdevums/neto aizņēmums</w:t>
      </w:r>
    </w:p>
    <w:p w14:paraId="6D80448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finanšu aktīvu neto iegāde (F.1+F.2+F.3+F.4+F.5+F.6+ F.7+F.8)</w:t>
      </w:r>
    </w:p>
    <w:p w14:paraId="6CD254C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korekcijas (citām plūsmām un pārmērīga budžeta deficīta novēršanas procedūras valdības parāda definīcijai)</w:t>
      </w:r>
    </w:p>
    <w:p w14:paraId="5C0B067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statistiskas nesakritības</w:t>
      </w:r>
    </w:p>
    <w:p w14:paraId="2E042201" w14:textId="77777777" w:rsidR="00443399" w:rsidRPr="00B03B51" w:rsidRDefault="00443399" w:rsidP="00443399">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3399" w:rsidRPr="00B03B51" w14:paraId="38340E1E" w14:textId="77777777" w:rsidTr="0054365B">
        <w:tc>
          <w:tcPr>
            <w:tcW w:w="9281" w:type="dxa"/>
          </w:tcPr>
          <w:p w14:paraId="6F99563B" w14:textId="77777777" w:rsidR="00443399" w:rsidRPr="00B03B51" w:rsidRDefault="00443399" w:rsidP="0054365B">
            <w:pPr>
              <w:pStyle w:val="Heading3"/>
              <w:ind w:left="0" w:firstLine="0"/>
              <w:jc w:val="both"/>
              <w:outlineLvl w:val="2"/>
              <w:rPr>
                <w:rFonts w:ascii="Times New Roman" w:hAnsi="Times New Roman" w:cs="Times New Roman"/>
                <w:noProof/>
                <w:sz w:val="24"/>
              </w:rPr>
            </w:pPr>
            <w:bookmarkStart w:id="616" w:name="_Toc67565216"/>
            <w:r w:rsidRPr="00B03B51">
              <w:rPr>
                <w:rFonts w:ascii="Times New Roman" w:hAnsi="Times New Roman" w:cs="Times New Roman"/>
                <w:sz w:val="24"/>
              </w:rPr>
              <w:t>2. ierāmējums. Negatīvo procentu traktējums</w:t>
            </w:r>
            <w:bookmarkEnd w:id="616"/>
          </w:p>
          <w:p w14:paraId="688DF56A" w14:textId="77777777" w:rsidR="00443399" w:rsidRPr="00B03B51" w:rsidRDefault="00443399" w:rsidP="0054365B">
            <w:pPr>
              <w:jc w:val="both"/>
              <w:rPr>
                <w:rFonts w:ascii="Times New Roman" w:hAnsi="Times New Roman" w:cs="Times New Roman"/>
                <w:b/>
                <w:noProof/>
                <w:sz w:val="24"/>
              </w:rPr>
            </w:pPr>
          </w:p>
          <w:p w14:paraId="290CD793"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Ievads</w:t>
            </w:r>
          </w:p>
          <w:p w14:paraId="6CB6E3BD"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F4BB27C"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Izņēmuma gadījumos var novērot negatīvas procentu likmes.</w:t>
            </w:r>
          </w:p>
          <w:p w14:paraId="560B1D61" w14:textId="77777777" w:rsidR="00443399" w:rsidRPr="00B03B51" w:rsidRDefault="00443399" w:rsidP="0054365B">
            <w:pPr>
              <w:jc w:val="both"/>
              <w:rPr>
                <w:rFonts w:ascii="Times New Roman" w:hAnsi="Times New Roman" w:cs="Times New Roman"/>
                <w:b/>
                <w:noProof/>
                <w:sz w:val="24"/>
              </w:rPr>
            </w:pPr>
          </w:p>
          <w:p w14:paraId="03730662"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Vispārīga informācija</w:t>
            </w:r>
          </w:p>
          <w:p w14:paraId="6EC87F8B"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1CD1DC34"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Negatīvas procentu likmes var būt tādām valstīm, kurām ir visai augsts starptautiskais reitings, likvīds parāda tirgus un attiecībā pret kurām ir labvēlīgas ieguldītāju prognozes.</w:t>
            </w:r>
          </w:p>
          <w:p w14:paraId="39F96F2A"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12A618B"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Teorētiski maksājamajiem procentiem var izšķirt šādus komponentus:</w:t>
            </w:r>
          </w:p>
          <w:p w14:paraId="41ECEFAE"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9B3CC6A" w14:textId="77777777" w:rsidR="00443399" w:rsidRPr="00B03B51" w:rsidRDefault="00443399" w:rsidP="00443399">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bezriska likmi;</w:t>
            </w:r>
          </w:p>
          <w:p w14:paraId="41B5CF0E" w14:textId="77777777" w:rsidR="00443399" w:rsidRPr="00B03B51" w:rsidRDefault="00443399" w:rsidP="00443399">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riska prēmiju;</w:t>
            </w:r>
          </w:p>
          <w:p w14:paraId="76D5300A" w14:textId="77777777" w:rsidR="00443399" w:rsidRPr="00B03B51" w:rsidRDefault="00443399" w:rsidP="00443399">
            <w:pPr>
              <w:pStyle w:val="BodyText"/>
              <w:numPr>
                <w:ilvl w:val="2"/>
                <w:numId w:val="20"/>
              </w:numPr>
              <w:spacing w:before="0"/>
              <w:ind w:left="709" w:hanging="425"/>
              <w:jc w:val="both"/>
              <w:rPr>
                <w:rFonts w:ascii="Times New Roman" w:hAnsi="Times New Roman" w:cs="Times New Roman"/>
                <w:noProof/>
                <w:sz w:val="24"/>
              </w:rPr>
            </w:pPr>
            <w:r w:rsidRPr="00B03B51">
              <w:rPr>
                <w:rFonts w:ascii="Times New Roman" w:hAnsi="Times New Roman" w:cs="Times New Roman"/>
                <w:sz w:val="24"/>
              </w:rPr>
              <w:t>izdevējas valdības pakalpojumu pret ieguldītāju.</w:t>
            </w:r>
          </w:p>
          <w:p w14:paraId="6BA0D54F"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14242446"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 procentu likmes ir negatīvas, riska prēmijas komponenta nav. Pakalpojuma komponents attiecas uz tādas vides radīšanu, kas būtu labvēlīga ieguldītājiem.</w:t>
            </w:r>
          </w:p>
          <w:p w14:paraId="49904C8C"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FD57CC3"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Traktējums nacionālajos kontos</w:t>
            </w:r>
          </w:p>
          <w:p w14:paraId="7C201FE0" w14:textId="77777777" w:rsidR="00443399" w:rsidRPr="00B03B51" w:rsidRDefault="00443399" w:rsidP="0054365B">
            <w:pPr>
              <w:jc w:val="both"/>
              <w:rPr>
                <w:rFonts w:ascii="Times New Roman" w:hAnsi="Times New Roman" w:cs="Times New Roman"/>
                <w:b/>
                <w:noProof/>
                <w:sz w:val="24"/>
              </w:rPr>
            </w:pPr>
          </w:p>
          <w:p w14:paraId="7773C8CF"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Pirmkārt, parāda vērtspapīru procentu likmēs pakalpojuma komponenta nošķiršana varētu radīt nopietnas problēmas. Saskanības labad šo elementu vajadzētu nošķirt arī pozitīvu procentu likmju gadījumā. Otrkārt, liela problēma varētu būt procentos iekļautā pakalpojuma komponenta vērtības aplēse, un tās noteikšanai būtu nepieciešams īpašs algoritms. Treškārt, uzskatāms, ka negatīvo procentu summas būs ārkārtējas un samērā mazas. Tāpēc pakalpojuma komponentu nenošķir.</w:t>
            </w:r>
          </w:p>
          <w:p w14:paraId="2FEBB7E5"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00FA8810"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Negatīvo procentu kopējā summa ir skatāma kā negatīvie procenti, ko maksā valdība, un kā negatīvie procenti, ko saņem ieguldītāji. Tāpēc veic šo negatīvo un pozitīvo procentu plūsmu ieskaitu valdības instrumentos.</w:t>
            </w:r>
          </w:p>
          <w:p w14:paraId="2642864F"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61275CE4"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Valsts kases dokumentu emitē saskaņā ar norunāto cenu, savukārt atpirkšanas vērtība ir noteikta emisijas nosacījumos. Vairumā gadījumu atpirkšanas vērtība ir 100 %. Ja valdības piedāvātā procentu likme ir pozitīva, emisija ir ar atlaidi, un ja procentu likme ir negatīva, emisija ir ar prēmiju.</w:t>
            </w:r>
          </w:p>
          <w:p w14:paraId="3E237427"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712BCBBD"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Praksē negatīvo procentu summu var aprēķināt kā starpību starp emisijas cenu virs nomināla un atpirkšanas vērtību.</w:t>
            </w:r>
          </w:p>
        </w:tc>
      </w:tr>
    </w:tbl>
    <w:p w14:paraId="030BEDBC" w14:textId="77777777" w:rsidR="00443399" w:rsidRPr="00B03B51" w:rsidRDefault="00443399" w:rsidP="00443399">
      <w:pPr>
        <w:rPr>
          <w:rFonts w:ascii="Times New Roman" w:eastAsia="Arial" w:hAnsi="Times New Roman" w:cs="Times New Roman"/>
          <w:noProof/>
          <w:sz w:val="24"/>
          <w:szCs w:val="20"/>
        </w:rPr>
      </w:pPr>
      <w:r w:rsidRPr="00B03B51">
        <w:rPr>
          <w:rFonts w:ascii="Times New Roman" w:hAnsi="Times New Roman" w:cs="Times New Roman"/>
        </w:rPr>
        <w:lastRenderedPageBreak/>
        <w:br w:type="page"/>
      </w:r>
    </w:p>
    <w:p w14:paraId="7BABFCAA" w14:textId="77777777" w:rsidR="00443399" w:rsidRPr="00B03B51" w:rsidRDefault="00443399" w:rsidP="00443399">
      <w:pPr>
        <w:jc w:val="both"/>
        <w:rPr>
          <w:rFonts w:ascii="Times New Roman" w:eastAsia="Arial" w:hAnsi="Times New Roman" w:cs="Times New Roman"/>
          <w:noProof/>
          <w:sz w:val="24"/>
          <w:szCs w:val="19"/>
        </w:rPr>
      </w:pPr>
    </w:p>
    <w:p w14:paraId="10090EE2"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617" w:name="8.3_Recording_of_swaps"/>
      <w:bookmarkStart w:id="618" w:name="_bookmark63"/>
      <w:bookmarkStart w:id="619" w:name="_Toc67565217"/>
      <w:bookmarkEnd w:id="617"/>
      <w:bookmarkEnd w:id="618"/>
      <w:r w:rsidRPr="00B03B51">
        <w:rPr>
          <w:rFonts w:ascii="Times New Roman" w:hAnsi="Times New Roman" w:cs="Times New Roman"/>
          <w:sz w:val="28"/>
          <w:szCs w:val="44"/>
        </w:rPr>
        <w:t>8.3. Mijmaiņas darījumu ierakstīšana</w:t>
      </w:r>
      <w:bookmarkEnd w:id="619"/>
    </w:p>
    <w:p w14:paraId="468CA7BA" w14:textId="77777777" w:rsidR="00443399" w:rsidRPr="00100B51" w:rsidRDefault="00443399" w:rsidP="00100B51">
      <w:pPr>
        <w:rPr>
          <w:rFonts w:ascii="Times New Roman" w:hAnsi="Times New Roman" w:cs="Times New Roman"/>
          <w:noProof/>
          <w:sz w:val="24"/>
          <w:szCs w:val="24"/>
        </w:rPr>
      </w:pPr>
      <w:bookmarkStart w:id="620" w:name="8.3.1_Overview_on_swaps"/>
      <w:bookmarkEnd w:id="620"/>
    </w:p>
    <w:p w14:paraId="1D0B6A2E"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21" w:name="_Toc67565218"/>
      <w:r w:rsidRPr="00B03B51">
        <w:rPr>
          <w:rFonts w:ascii="Times New Roman" w:hAnsi="Times New Roman" w:cs="Times New Roman"/>
          <w:sz w:val="24"/>
        </w:rPr>
        <w:t>8.3.1. Pārskats par mijmaiņas darījumiem</w:t>
      </w:r>
      <w:bookmarkEnd w:id="621"/>
    </w:p>
    <w:p w14:paraId="59F537D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6CC1E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Galvenie atvasināto finanšu instrumentu veidi ir mijmaiņas darījumi, iespēju līgumi un standartizētie nākotnes līgumi, taču katram šim veidam ir daudz atvasināto instrumentu paveidu un pat produktu, kuri sastāv no vairāku instrumentu veidu apvienojuma (skat. EKS 2010 5. nodaļu “Finanšu darījumi”). Šajā nodaļā galvenā uzmanība pievērsta mijmaiņas darījumiem, jo šāda veida atvasinātie instrumenti tiek visbiežāk izmantoti saistībā ar valsts parāda pārvaldību.</w:t>
      </w:r>
    </w:p>
    <w:p w14:paraId="7A57594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4084E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 Mijmaiņas darījums ir juridiska divu pušu vienošanās nākotnē noteiktā laika posmā apmainīties ar periodiskiem maksājumiem. No vienas puses, tos izmanto daži ekonomikas subjekti, lai nodrošinātos pret riskiem, kas saistīti ar tirgus mainīgo lielumu, piemēram, attiecīgā finanšu instrumenta procentu likmi vai valūtas maiņas kursu (līdzīgi emitētai obligācijai), savukārt, no otras puses, tie ļauj subjektiem arī materializēt pašiem savas prognozes, izmantojot kopumā nozīmīgu “sviras efektu”. Mijmaiņas darījumu tirgū ļoti aktīva ir banku nozare.</w:t>
      </w:r>
    </w:p>
    <w:p w14:paraId="4DC526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F4FF26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 Daudzas valdības izmanto mijmaiņas darījumus kā finanšu līdzekli riska pārvaldības mērķiem. Attiecībā uz parādu šādu pārvaldību var izmantot, lai nodrošinātos pret valūtas maiņas kursa riskiem, ja parāds ir emitēts ārvalstu valūtā, kā arī samazinātu parāda izmaksu atbilstoši pašreizējai un prognozētajai ienesīguma līknei (visu īstermiņa/ilgtermiņa procentu likmju izmaiņas), kopējā saistību portfeļa optimizēšanai un nākotnes parāda instrumentu emisijas risku ierobežošanai.</w:t>
      </w:r>
    </w:p>
    <w:p w14:paraId="5912D41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25FA0E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 Valdības parāda pārvaldnieki var pieņemt lēmumu izmantot piemērotākos parāda pārvaldības līdzekļus atbilstoši saviem mērķiem un ierobežojumiem. Parasti nošķir “mikronodrošināšanu”, kas saistīta ar konkrētu parāda instrumentu, no “makronodrošināšanas”, kas attiecas uz plašāku no parāda instrumentu kopuma izrietošu risku. Riska pārvaldība var attiekties arī uz aktīviem, jo īpaši tad, ja valdības vienības pakļauj sevi riskam saistībā ar likviditātes ieguldījumiem. Riska pārvaldības jautājumos valdības parāda pārvaldnieki finanšu ministrijās vai citās šim mērķim izveidotās iestādēs būtībā rīkojas tāpat kā finanšu uzņēmumu un valsts kases speciālisti.</w:t>
      </w:r>
    </w:p>
    <w:p w14:paraId="69AC348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E68EA6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5. Ļoti izplatīts tradicionālais veids ir “procentu likmes mijmaiņas darījumi” (</w:t>
      </w:r>
      <w:r w:rsidRPr="00B03B51">
        <w:rPr>
          <w:rFonts w:ascii="Times New Roman" w:hAnsi="Times New Roman" w:cs="Times New Roman"/>
          <w:i/>
          <w:iCs/>
          <w:sz w:val="24"/>
        </w:rPr>
        <w:t>IRS</w:t>
      </w:r>
      <w:r w:rsidRPr="00B03B51">
        <w:rPr>
          <w:rFonts w:ascii="Times New Roman" w:hAnsi="Times New Roman" w:cs="Times New Roman"/>
          <w:sz w:val="24"/>
        </w:rPr>
        <w:t>), kuru gadījumā puses vienojas par procentu plūsmu apmaiņu. Daudzos līgumos viena puse piekrīt maksāt otrai pusei fiksētu procentu likmi apmaiņā pret mainīgu procentu likmi (papildus atkarībā no tirgus apstākļiem, iespējams, iekļaujot pastāvīgu sadalīšanu). Maksājumiem var noteikt jebkādu termiņu, taču parasti tas ir pusgads vai gads. Tie var atšķirties arī katrai mijmaiņas darījuma daļai, un nereti attiecīgos gadījumos notiek neto norēķini.</w:t>
      </w:r>
    </w:p>
    <w:p w14:paraId="69F446F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52F5E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6. Sākumā abu pušu pienākumi ir līdzsvaroti (izņemot ārpusbiržas mijmaiņas darījumu gadījumā), ko bieži sauc par “nominālvērtības mijmaiņas darījumu”, kam ir nulles vērtība. Līguma darbības termiņa laikā, mainoties tirgus nosacījumiem (piemēram, mainīgajam valūtas kursam), viena puse potenciāli var gūt ienākumus, bet otrai pusei simetriski var rasties zaudējumi. Tādējādi mijmaiņas darījums vienai pusei rada negatīvu vērtību (ko dēvē arī par “naudas līdzekļu nepietiekamību”) un simetriski pozitīvu vērtību (“naudas līdzekļu pietiekamību”) otrai pusei.</w:t>
      </w:r>
    </w:p>
    <w:p w14:paraId="18B165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890E37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7. Daudzos procentu likmju mijmaiņas darījumu līgumos paredz vienas un tās pašas valūtas maiņu saskaņā ar nosacījumu “fiksēta likme pret mainīgu likmi”, kas ir standarta darījums. Pēdējo desmitgažu laikā tirgos ir parādījušies daudzi citi mijmaiņas darījumu veidi, piemēram, “mainīgās likmes mijmaiņas darījumi” (“mainīga likme pret mainīgu likmi”), inflācijas mijmaiņas darījumi (maksājumi vienā posmā ir atkarīgi no cenas indeksa maiņas), amortizācijas mijmaiņas darījumi (nosacītās summas samazināšanās), aktīvu mijmaiņas darījumi (attiecīgā instrumenta pārvēršana skaidras naudas plūsmā), fiksēta termiņa mijmaiņas darījumi (periodisks procentu atlikums par vienu darījuma posmu), kopējās peļņas mijmaiņas darījumi (ieņēmumu no aktīviem un ar tiem saistīto risku apmaiņa), preču mijmaiņas darījumi (mainīgā cena pret fiksēto cenu) un dažādi uzkrājuma mijmaiņas darījumi.</w:t>
      </w:r>
    </w:p>
    <w:p w14:paraId="1973ADB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DB28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8. Varētu pievienot vēl arī “parāda apmaiņas pret pašu kapitālu darījumus”, “dividenžu mijmaiņas darījumus” utt. Nav konstatēts, ka daudzus iepriekš minētos veidus (kas minēti tikai kā piemērs) plaši izmantotu valdības vienības, jo īpaši centrālās valdības parāda vai valsts kases pārvaldnieki. Tos tomēr var veikt publiskās sabiedrības, kas iekļautas valdības sektorā.</w:t>
      </w:r>
    </w:p>
    <w:p w14:paraId="439F691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59018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Turklāt ir būtiski attīstījušies ar kredītriskiem saistītie mijmaiņas darījumi, piemēram, kredītsaistību nepildīšanas mijmaiņas līgumi (</w:t>
      </w:r>
      <w:r w:rsidRPr="00B03B51">
        <w:rPr>
          <w:rFonts w:ascii="Times New Roman" w:hAnsi="Times New Roman" w:cs="Times New Roman"/>
          <w:i/>
          <w:iCs/>
          <w:sz w:val="24"/>
        </w:rPr>
        <w:t>CDS</w:t>
      </w:r>
      <w:r w:rsidRPr="00B03B51">
        <w:rPr>
          <w:rFonts w:ascii="Times New Roman" w:hAnsi="Times New Roman" w:cs="Times New Roman"/>
          <w:sz w:val="24"/>
        </w:rPr>
        <w:t xml:space="preserve">), kas būtībā ir apdrošināšanas mehānisms pret kreditoru saistību neizpildes gadījumiem (skat. EKS 2010 5.218. punkts). Šķiet, valdība nepiedalās šādos darījumos, bet </w:t>
      </w:r>
      <w:r w:rsidRPr="00B03B51">
        <w:rPr>
          <w:rFonts w:ascii="Times New Roman" w:hAnsi="Times New Roman" w:cs="Times New Roman"/>
          <w:i/>
          <w:iCs/>
          <w:sz w:val="24"/>
        </w:rPr>
        <w:t>CDS</w:t>
      </w:r>
      <w:r w:rsidRPr="00B03B51">
        <w:rPr>
          <w:rFonts w:ascii="Times New Roman" w:hAnsi="Times New Roman" w:cs="Times New Roman"/>
          <w:sz w:val="24"/>
        </w:rPr>
        <w:t xml:space="preserve"> par suverēnu parādu parasti ir būtiski tirgus signāli un ir galvenā šādu instrumentu kategorija.</w:t>
      </w:r>
    </w:p>
    <w:p w14:paraId="141A5B47" w14:textId="77777777" w:rsidR="00443399" w:rsidRPr="00B03B51" w:rsidRDefault="00443399" w:rsidP="00443399">
      <w:pPr>
        <w:jc w:val="both"/>
        <w:rPr>
          <w:rFonts w:ascii="Times New Roman" w:hAnsi="Times New Roman" w:cs="Times New Roman"/>
          <w:noProof/>
          <w:sz w:val="24"/>
        </w:rPr>
      </w:pPr>
    </w:p>
    <w:p w14:paraId="522C785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Valūtas mijmaiņas darījumi (un tuvi atvasinātie instrumenti, skat. turpmāk) darbojas līdzīgi. Visbiežāk tie ir saistīti ar pakārtotajiem aizdevumiem vai parāda vērtspapīriem, un puses apmainās ar plūsmām, kas izteiktas dažādās valūtās. Tos izmanto parāda pārvaldītāji, kas emitējuši parāda vērtspapīrus ārvalstu valūtā un vēlas (bieži vien gan tas faktiski ir pienākums, jo nav pieļaujams pakļaut sevi valūtas maiņas kursa riskam) nodrošināties pret valūtas riskiem, kuriem tie ir pakļauti. Pastāv dažādi valūtas mijmaiņas darījumu veidi, kas atšķiras pēc pamatsummas apmaiņas laika un piemērotās procentu likmes īpatnībām (“fiksēta likme pret fiksētu likmi”, “fiksēta likme pret mainīgu likmi”).</w:t>
      </w:r>
    </w:p>
    <w:p w14:paraId="0F10F7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F679B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11. Izplatītākie valūtas mijmaiņas darījumi, kuros apmainās ar pamatsummu gan sākuma, gan beigu datumā, ļauj aizņēmējam vienā valūtā pilnīgi nodrošināties pret saistīto valūtas maiņas kursa risku, it kā sākotnējā valūta būtu izteikta citā valūtā. Bieži konstatē, ka valdības vienības ne tikai vietējā tirgū, kas ir samērā šaurs, bet pat eirozonā, kur ir izvērsti un plaši finanšu tirgi, emitē parāda daļu ārvalstu valūtās (proti, ASV dolāros, Japānas jenās, Lielbritānijas sterliņu mārciņās vai Šveices frankos) dažādu iemeslu dēļ, piemēram, lai paplašinātu investoru bāzi vai gūtu labumu no zemākām galīgajām aizņemšanās izmaksām noteiktos tirgus apstākļos.</w:t>
      </w:r>
      <w:r w:rsidRPr="00B03B51">
        <w:rPr>
          <w:rStyle w:val="FootnoteReference"/>
          <w:rFonts w:ascii="Times New Roman" w:hAnsi="Times New Roman" w:cs="Times New Roman"/>
          <w:noProof/>
          <w:sz w:val="24"/>
        </w:rPr>
        <w:footnoteReference w:id="295"/>
      </w:r>
    </w:p>
    <w:p w14:paraId="42A7A3D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4444FF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12. Mijmaiņas darījumu izmantojums katrā ES dalībvalstī ir atšķirīgs dažādu iemeslu dēļ, kas saistīti ar iekšējiem noteikumiem, parāda stratēģiju, parāda struktūru utt. Parāda pārvaldniekiem ir atšķirīgi viedokļi par to, kādā apjomā šādi parāda pārvaldības rīki un/vai riska pārvaldība varētu būt pienācīga. Var konstatēt vairākus mērķus, tādus kā parāda maksājuma termiņa maiņu, piemēram, pārveidojot ilgtermiņa parādu par īstermiņa parādu, attiecībā uz jutību pret tirgus likmēm (valdība maksā (mainīgo) īstermiņa likmi un saņem (fiksēto) ilgtermiņa likmi, kas attiecas uz konkrēto kuponu, vai vidējo likmi makronodrošināšanās gadījumā). Mijmaiņas darījumus var izmantot arī refinansēšanas risku samazināšanai, pamatojoties uz kādām konkrētām prognozēm, kas saistītas ar ienesīguma līknes izmaiņām.</w:t>
      </w:r>
    </w:p>
    <w:p w14:paraId="3BBC4B5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1A2FA3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13. Arī pats mijmaiņas darījumu portfelis var ierosināt aktīvu pārvaldību gadījumā, ja valdība jau ir iesaistījusies vai dažos gadījumos vēl tikai iesaistīsies līgumos, kuru nosacījumi vairs nešķiet “optimāli” kādā brīdī nākotnē vai pēc tirgus prognožu pārskatīšanas. Valdība var iesaistīties “kompensējošā” mijmaiņas darījumā, kas varētu negatīvi dublēt (cik vien iespējams) ar attiecīgo līgumu saistīto pakļaušanu sevi riskam, tādējādi varētu notikt jebkādas negatīvās ietekmes neitralizācija (vai kvazineitralizācija). Citos gadījumos (ja atļauts) varētu būt dažādas citas vienošanās, piemēram, darījuma pusei piešķir pastāvīgas tiesības vai tiesības kādos abpusēji saskaņotos datumos līguma darbības laikā anulēt mijmaiņas darījumu.</w:t>
      </w:r>
    </w:p>
    <w:p w14:paraId="2465A6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AB2A31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Parasti, anulējot mijmaiņas darījumu, viena puse samaksā kompensāciju otrai pusei, kas kopumā ir vienāda ar mijmaiņas darījuma tirgus vērtību; procentu likmes mijmaiņas darījuma gadījumā tā ir nākotnes plūsmu pašreizējā vērtība tiem procentiem, kuri nākotnē tiktu apmainīti (to sauc par “mijmaiņas darījuma iesaldēšanu”, proti, visi mijmaiņas darījuma mainīgie elementi tiek nofiksēti, pamatojoties uz anulēšanas brīdī pastāvošajiem nosacījumiem). Plūsmas traktē kā finanšu darījumus, kas neietekmē valdības neto aizdevumu/aizņēmumu. Taču var gadīties, ka maksājumu sadala uz visu atlikušo līguma darbības termiņu. Šādā gadījumā ir jāieraksta valdības parādā iekļautais aizdevums. Šāda aizdevuma nosacītie procenti ietekmēs neto aizdevumu/aizņēmumu. Ierakstīšanu nacionālajos kontos (summas un laiks) veic, pamatojoties uz naudas apmaiņu starp līgumslēdzējiem.</w:t>
      </w:r>
    </w:p>
    <w:p w14:paraId="6227BAF0" w14:textId="77777777" w:rsidR="00443399" w:rsidRPr="00B03B51" w:rsidRDefault="00443399" w:rsidP="00443399">
      <w:pPr>
        <w:jc w:val="both"/>
        <w:rPr>
          <w:rFonts w:ascii="Times New Roman" w:eastAsia="Arial" w:hAnsi="Times New Roman" w:cs="Times New Roman"/>
          <w:noProof/>
          <w:sz w:val="24"/>
          <w:szCs w:val="19"/>
        </w:rPr>
      </w:pPr>
    </w:p>
    <w:p w14:paraId="293B869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22" w:name="8.3.2_Treatment_of_debt_in_foreign_curre"/>
      <w:bookmarkStart w:id="623" w:name="_Toc67565219"/>
      <w:bookmarkEnd w:id="622"/>
      <w:r w:rsidRPr="00B03B51">
        <w:rPr>
          <w:rFonts w:ascii="Times New Roman" w:hAnsi="Times New Roman" w:cs="Times New Roman"/>
          <w:sz w:val="24"/>
        </w:rPr>
        <w:t xml:space="preserve">8.3.2. Parāda ārvalstu valūtā traktējums saskaņā ar </w:t>
      </w:r>
      <w:r w:rsidRPr="00B03B51">
        <w:rPr>
          <w:rFonts w:ascii="Times New Roman" w:hAnsi="Times New Roman" w:cs="Times New Roman"/>
          <w:i/>
          <w:iCs/>
          <w:sz w:val="24"/>
        </w:rPr>
        <w:t>EDP</w:t>
      </w:r>
      <w:bookmarkEnd w:id="623"/>
    </w:p>
    <w:p w14:paraId="6BA837C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F70F27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15. Papildus ārvalstu valūtu iespējas līgumiem un ārvalstu valūtu standartizētajiem nākotnes līgumiem, kuru apmaiņa notiek organizētā tirgū vai “ārpus biržas”,</w:t>
      </w:r>
      <w:r w:rsidRPr="00B03B51">
        <w:rPr>
          <w:rStyle w:val="FootnoteReference"/>
          <w:rFonts w:ascii="Times New Roman" w:hAnsi="Times New Roman" w:cs="Times New Roman"/>
          <w:noProof/>
          <w:sz w:val="24"/>
        </w:rPr>
        <w:footnoteReference w:id="296"/>
      </w:r>
      <w:r w:rsidRPr="00B03B51">
        <w:rPr>
          <w:rFonts w:ascii="Times New Roman" w:hAnsi="Times New Roman" w:cs="Times New Roman"/>
          <w:sz w:val="24"/>
        </w:rPr>
        <w:t xml:space="preserve"> ir vairākas darījumu kategorijas ar atvasinātajiem instrumentiem, kuriem kopīgs ir tas, ka tiek veikta pamatsummu apmaiņa dažādās valūtās. Ārvalstu valūtu mijmaiņas darījuma līgums paredz valūtu tūlītēju pārdevumu/pirkumu, vienlaikus apņemoties veikt to pašu valūtu pirkumus/pārdevumus nākotnē. Ārvalstu valūtas maiņas nākotnes līgums paredz apņemšanos noslēgt darījumu konkrētā nākotnes datumā un atbilstoši saskaņotam valūtas maiņas kursam par noteiktu konkrētas ārvalstu valūtas summu.</w:t>
      </w:r>
    </w:p>
    <w:p w14:paraId="1B11730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77794B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16. Valūtas mijmaiņas darījumi (kurus sauc arī par “procentu likmes starpvalūtu mijmaiņas darījumiem”, turpmāk tekstā –“</w:t>
      </w:r>
      <w:r w:rsidRPr="00B03B51">
        <w:rPr>
          <w:rFonts w:ascii="Times New Roman" w:hAnsi="Times New Roman" w:cs="Times New Roman"/>
          <w:i/>
          <w:iCs/>
          <w:sz w:val="24"/>
        </w:rPr>
        <w:t>CCS</w:t>
      </w:r>
      <w:r w:rsidRPr="00B03B51">
        <w:rPr>
          <w:rFonts w:ascii="Times New Roman" w:hAnsi="Times New Roman" w:cs="Times New Roman"/>
          <w:sz w:val="24"/>
        </w:rPr>
        <w:t>”) ir viens no izplatītākajiem darījuma veidiem, ko valdības vienības izmanto saistībā ar valūtas maiņas kursu. Saskaņā ar šiem līgumiem puses apņemas apmainīties ar dažādās valūtās izteiktām plūsmām gan attiecībā uz pamatsummu, gan procentiem (skat. arī EKS 2010 5.213. punktu). Pastāv dažādi valūtas mijmaiņas darījumu veidi, kas atšķiras pēc pamatsummas apmaiņas laika un piemērotās procentu likmes īpatnībām (“fiksēta likme pret fiksētu likmi”, “fiksēta likme pret mainīgu likmi”).</w:t>
      </w:r>
    </w:p>
    <w:p w14:paraId="118FEB0C" w14:textId="77777777" w:rsidR="00443399" w:rsidRPr="00B03B51" w:rsidRDefault="00443399" w:rsidP="00443399">
      <w:pPr>
        <w:jc w:val="both"/>
        <w:rPr>
          <w:rFonts w:ascii="Times New Roman" w:eastAsia="Arial" w:hAnsi="Times New Roman" w:cs="Times New Roman"/>
          <w:noProof/>
          <w:sz w:val="24"/>
          <w:szCs w:val="14"/>
        </w:rPr>
      </w:pPr>
    </w:p>
    <w:p w14:paraId="5938ED4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Izplatīti ir darījumi, kuros apmainās ar pamatsummu gan sākuma, gan beigu datumā, kas ļauj aizņēmējam vienā valūtā pilnīgi nodrošināties pret saistīto valūtas maiņas kursa risku, it kā sākotnējā valūta būtu izteikta citā valūtā. Tiek bieži konstatēts, ka valdības vienības pat eirozonā, kur ir izvērsti un plaši finanšu tirgi, emitē nelielu sava parāda daļu ārvalstu valūtās (proti, ASV dolāros, Šveices frankos un Japānas jenās) dažādu iemeslu dēļ, piemēram, lai paplašinātu investoru bāzi vai gūtu labumu no zemākām galīgajām aizņemšanās izmaksām.</w:t>
      </w:r>
    </w:p>
    <w:p w14:paraId="77F4507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2BF55C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18. Visas saskaņā ar atvasinātiem līgumiem veiktās plūsmas, kas attiecas uz ārvalstu valūtām, </w:t>
      </w:r>
      <w:r w:rsidRPr="00B03B51">
        <w:rPr>
          <w:rFonts w:ascii="Times New Roman" w:hAnsi="Times New Roman" w:cs="Times New Roman"/>
          <w:sz w:val="24"/>
        </w:rPr>
        <w:lastRenderedPageBreak/>
        <w:t xml:space="preserve">ieraksta kā finanšu darījumus gan nacionālajos kontos, gan arī </w:t>
      </w:r>
      <w:r w:rsidRPr="00B03B51">
        <w:rPr>
          <w:rFonts w:ascii="Times New Roman" w:hAnsi="Times New Roman" w:cs="Times New Roman"/>
          <w:i/>
          <w:iCs/>
          <w:sz w:val="24"/>
        </w:rPr>
        <w:t>EDP</w:t>
      </w:r>
      <w:r w:rsidRPr="00B03B51">
        <w:rPr>
          <w:rFonts w:ascii="Times New Roman" w:hAnsi="Times New Roman" w:cs="Times New Roman"/>
          <w:sz w:val="24"/>
        </w:rPr>
        <w:t xml:space="preserve"> statistikā. Saistībā ar parāda apjoma aprēķiniem, kas veicami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 uz visiem trijiem līgumu veidiem attiecas Padomes Regula (EK) Nr. 479/2009. Šie noteikumi ir sīkāk skatīti turpmākajos punktos. Attiecīgā gadījumā tiek pieņemts, ka sākotnēji apmainītā ārvalstu valūtas summa ir iegūta no konkrētā parāda instrumenta (ar jebkādu maksājuma termiņu) ieņēmumiem, turpretī līguma darbības laikā saņemtā ārvalstu valūtas summa faktiski tiek izmantota konkrētā parāda instrumenta atpirkšanai, kas, iespējams, atšķiras no iepriekšējā līguma.</w:t>
      </w:r>
    </w:p>
    <w:p w14:paraId="314B3D1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E7273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19. Lai aprēķinātu valdības parādu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 ir vērts aprakstīt, kā saistības, kas ir izteiktas ārvalstu valūtā vai kas apmainītas no ārvalstu valūtas un/vai ārvalstu valūtā, tiek ierakstītas. To sauc arī par “pēc mijmaiņas darījuma” parāda ierakstīšanu.</w:t>
      </w:r>
    </w:p>
    <w:p w14:paraId="77C38DB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420934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20. Ārvalstu valūtās izteiktu parāda instrumentu konvertācija ir vajadzīga, lai varētu apkopot skaitļus un aprēķināt “valsts konsolidētā bruto parāda” kopsummu. Konvertācija, ko veic kādā brīdī, nozīmē, ka tiek izmantots konkrēts maiņas kurss. Tas nenozīmē, ka parādu noteikti atlīdzinās par to summu, kas izriet no konvertācijas šajā brīdī, jo mainīgu apstākļu dēļ ir iespējamas izmaiņas nākotnes valūtas maiņas kursā. Tādējādi nebūtu nozīmes atsaukties uz maiņas kursu, kas ir spēkā laikā, kad uzņemas jaunas saistības.</w:t>
      </w:r>
    </w:p>
    <w:p w14:paraId="10BDDC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EB2F50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Padomes Regulā (EK) Nr.479/2009 ir noteikts turpmāk norādītais.</w:t>
      </w:r>
    </w:p>
    <w:p w14:paraId="126F880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C256FF" w14:textId="77777777" w:rsidR="00443399" w:rsidRPr="00B03B51" w:rsidRDefault="00443399" w:rsidP="002E0524">
      <w:pPr>
        <w:numPr>
          <w:ilvl w:val="1"/>
          <w:numId w:val="39"/>
        </w:numPr>
        <w:ind w:left="426" w:hanging="425"/>
        <w:jc w:val="both"/>
        <w:rPr>
          <w:rFonts w:ascii="Times New Roman" w:hAnsi="Times New Roman" w:cs="Times New Roman"/>
          <w:i/>
          <w:noProof/>
          <w:sz w:val="24"/>
        </w:rPr>
      </w:pPr>
      <w:r w:rsidRPr="00B03B51">
        <w:rPr>
          <w:rFonts w:ascii="Times New Roman" w:hAnsi="Times New Roman" w:cs="Times New Roman"/>
          <w:i/>
          <w:sz w:val="24"/>
        </w:rPr>
        <w:t>Ārvalstu valūtā denominētas saistības vai saistības, ko saskaņā ar līgumiem no vienas ārvalstu valūtas konvertē vienā vai vairākās citās ārvalstu valūtās, konvertē citās ārvalstu valūtās pēc kursa, kas noteikts attiecīgajos līgumos, un valsts valūtā tās konvertē pēc reprezentatīva tirgus valūtas maiņas kursa, ko piemēro katra gada pēdējā darbadienā.</w:t>
      </w:r>
    </w:p>
    <w:p w14:paraId="49906867" w14:textId="77777777" w:rsidR="00443399" w:rsidRPr="00B03B51" w:rsidRDefault="00443399" w:rsidP="002E0524">
      <w:pPr>
        <w:numPr>
          <w:ilvl w:val="1"/>
          <w:numId w:val="39"/>
        </w:numPr>
        <w:ind w:left="426" w:hanging="425"/>
        <w:jc w:val="both"/>
        <w:rPr>
          <w:rFonts w:ascii="Times New Roman" w:hAnsi="Times New Roman" w:cs="Times New Roman"/>
          <w:i/>
          <w:noProof/>
          <w:sz w:val="24"/>
        </w:rPr>
      </w:pPr>
      <w:r w:rsidRPr="00B03B51">
        <w:rPr>
          <w:rFonts w:ascii="Times New Roman" w:hAnsi="Times New Roman" w:cs="Times New Roman"/>
          <w:i/>
          <w:sz w:val="24"/>
        </w:rPr>
        <w:t>Valsts valūtā denominētas saistības, ko saskaņā ar līgumiem konvertē ārvalstu valūtā, attiecīgajā ārvalstu valūtā konvertē pēc kursa, kas noteikts attiecīgajos līgumos, un valsts valūtā tās konvertē pēc reprezentatīva tirgus valūtas maiņas kursa, ko piemēro katra gada pēdējā darbadienā.</w:t>
      </w:r>
    </w:p>
    <w:p w14:paraId="4402033F" w14:textId="77777777" w:rsidR="00443399" w:rsidRPr="00B03B51" w:rsidRDefault="00443399" w:rsidP="002E0524">
      <w:pPr>
        <w:numPr>
          <w:ilvl w:val="1"/>
          <w:numId w:val="39"/>
        </w:numPr>
        <w:ind w:left="426" w:hanging="425"/>
        <w:jc w:val="both"/>
        <w:rPr>
          <w:rFonts w:ascii="Times New Roman" w:eastAsia="Arial" w:hAnsi="Times New Roman" w:cs="Times New Roman"/>
          <w:noProof/>
          <w:sz w:val="24"/>
          <w:szCs w:val="19"/>
        </w:rPr>
      </w:pPr>
      <w:r w:rsidRPr="00B03B51">
        <w:rPr>
          <w:rFonts w:ascii="Times New Roman" w:hAnsi="Times New Roman" w:cs="Times New Roman"/>
          <w:i/>
          <w:iCs/>
          <w:sz w:val="24"/>
        </w:rPr>
        <w:t>Saistības ārvalstu valūtā un saskaņā ar līgumiem valsts valūtā konvertētas saistības valsts valūtā konvertē pēc kursa, kas noteikts attiecīgajos līgumos.</w:t>
      </w:r>
    </w:p>
    <w:p w14:paraId="1C435A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007A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Tādējādi, kad ārvalstu valūtā izteiktu parāda instrumentu mijmaiņas darījumā maina uz valsts valūtu, konvertācija uz valsts valūtu jāveic, pamatojoties uz “šajos līgumos noteikto likmi”. Vairumā gadījumu šis valūtas maiņas kurss ir tūlītējā tirgus likme, kas bija spēkā darījuma brīdī, bet tas var atšķirties (skat. 8.3.3. iedaļu “Ārpusbiržas mijmaiņas darījumi”). Līguma darbības laikā, nosakot mijmaiņas darījuma vērtību, tiks ņemtas vērā abu līgumā iesaistīto valūtu maiņas kursa tirgus tendences.</w:t>
      </w:r>
    </w:p>
    <w:p w14:paraId="305A8BF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CB8A1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23. Faktiski parāda pārvaldnieki var izmantot atvasinātus finanšu instrumentus ne tikai tam, lai novērstu/mazinātu jebkādu maiņas risku, kas izriet no jauno saistību sākotnējās rašanās. Viņi var mēģināt arī samazināt galīgās aizņemšanās izmaksas. Saskaņā ar šādiem nosacījumiem viņi var slēgt mijmaiņas darījumu līgumus, ar kuriem viņi nodrošinās pret valūtas maiņas kursa risku, gūstot labumu no tirgus iespējām (vai kļūmēm). Atbilstoši savām prognozēm parāda pārvaldnieki tos ieņēmumus vienā valūtā, kas radušies parāda emisijas dēļ, mijmaiņas darījumos var pārrēķināt citā ārvalstu valūtā. Šajā gadījumā jāpiemēro tāds pats pamatojums kā mijmaiņas darījumiem valsts valūtā. Tiek mainīta parāda valūtas denominācija.</w:t>
      </w:r>
    </w:p>
    <w:p w14:paraId="721B87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52DFAC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gadījumā ir jāievēro pakāpeniska pieeja:</w:t>
      </w:r>
    </w:p>
    <w:p w14:paraId="6FFBA55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403327B" w14:textId="77777777" w:rsidR="00443399" w:rsidRPr="00B03B51" w:rsidRDefault="00443399" w:rsidP="002E0524">
      <w:pPr>
        <w:pStyle w:val="BodyText"/>
        <w:numPr>
          <w:ilvl w:val="1"/>
          <w:numId w:val="3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pirmkārt, parāda instrumentu konvertē valūtā, kas saņemta mijmaiņas darījuma līguma </w:t>
      </w:r>
      <w:r w:rsidRPr="00B03B51">
        <w:rPr>
          <w:rFonts w:ascii="Times New Roman" w:hAnsi="Times New Roman" w:cs="Times New Roman"/>
          <w:sz w:val="24"/>
        </w:rPr>
        <w:lastRenderedPageBreak/>
        <w:t>sākumā, pamatojoties uz abu ārvalstu valūtu savstarpējo maiņas kursu, kurš noteikts līgumā;</w:t>
      </w:r>
    </w:p>
    <w:p w14:paraId="29B468EF" w14:textId="77777777" w:rsidR="00443399" w:rsidRPr="00B03B51" w:rsidRDefault="00443399" w:rsidP="002E0524">
      <w:pPr>
        <w:pStyle w:val="BodyText"/>
        <w:numPr>
          <w:ilvl w:val="1"/>
          <w:numId w:val="3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pēc tam konvertāciju valsts valūtā pamato ar pašreizējo maiņas kursu, kas attiecībā uz valūtu, kura iegūta pirmajā konvertācijā, ir spēkā gada beigās;</w:t>
      </w:r>
    </w:p>
    <w:p w14:paraId="092A60E9" w14:textId="77777777" w:rsidR="00443399" w:rsidRPr="00B03B51" w:rsidRDefault="00443399" w:rsidP="002E0524">
      <w:pPr>
        <w:pStyle w:val="BodyText"/>
        <w:numPr>
          <w:ilvl w:val="1"/>
          <w:numId w:val="39"/>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ir “secīgu mijmaiņas darījumu ķēde” dažādās ārvalstu valūtās, ir jānosaka galīgā valūta, kurā parāds ir izteikts, un konvertāciju valsts valūtā veic, pamatojoties uz kārtējo valūtas maiņas kursu pret šo ārvalstu valūtu.</w:t>
      </w:r>
    </w:p>
    <w:p w14:paraId="39D47415" w14:textId="77777777" w:rsidR="00443399" w:rsidRPr="00B03B51" w:rsidRDefault="00443399" w:rsidP="00443399">
      <w:pPr>
        <w:pStyle w:val="BodyText"/>
        <w:tabs>
          <w:tab w:val="left" w:pos="895"/>
        </w:tabs>
        <w:spacing w:before="0"/>
        <w:ind w:left="0" w:firstLine="0"/>
        <w:jc w:val="both"/>
        <w:rPr>
          <w:rFonts w:ascii="Times New Roman" w:hAnsi="Times New Roman" w:cs="Times New Roman"/>
          <w:noProof/>
          <w:sz w:val="24"/>
        </w:rPr>
      </w:pPr>
    </w:p>
    <w:p w14:paraId="26760E44" w14:textId="77777777" w:rsidR="00443399" w:rsidRPr="00B03B51" w:rsidRDefault="00443399" w:rsidP="00443399">
      <w:pPr>
        <w:pStyle w:val="BodyText"/>
        <w:tabs>
          <w:tab w:val="left" w:pos="895"/>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Ir skaidrs, ka tad, kad sākotnēju parāda instrumentu, kas izteikts ārvalstu valūtā, mijmaiņas darījumā pārrēķina valsts valūtā, norēķinu plūsmas nosaka līgumā starp abām pusēm, t. i., no vienas puses, starp valdību un, no otras puses, vienu vai vairākiem bankas darījuma partneriem. Vienkāršākajā gadījumā, kad parāda instrumenta un mijmaiņas darījumu summas un maksājuma termiņi pilnīgi sakrīt, valdība regulāri maksās summu valsts valūtā un saņems summu ārvalstu valūtā. Šī ārvalstu valūta tiks izmantota procentu vai pamatsummas samaksāšanai kreditoriem / pamata parāda instrumentu turētājiem.</w:t>
      </w:r>
    </w:p>
    <w:p w14:paraId="1A0E08D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776EF0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Saskaņā ar šiem noteikumiem ir acīmredzams, ka valdība vairs nav pakļauta valūtas maiņas riskam attiecībā uz maksājumiem par sākotnējo instrumentu. Tai nav jāvēršas valūtas tirgū, lai saņemtu valūtas summas, kas saistītas ar sākotnējā parāda apkalpošanu. Konvertācijas kurss ir skaidri noteikts. Šajā gadījumā līgumā noteiktais maiņas kurss ir atbilstošāks par pašreizējo tirgus kursu, jo tirgus maiņas kurss nekādi neietekmētu parāda instrumentu, ko attiecīgajā brīdī neietekmē valūtas tirgus tendences un nepastāvība. Visbeidzot attiecībā uz to daļu, ko aplūko valūtas mijmaiņas darījuma līgumā, parādu var uzskatīt par pārvērstu valsts valūtā. Tas ir līdzīgi kā gadījumā, kad parāds sākotnēji tiek emitēts valsts valūtā par līgumā noteikto pamatsummu.</w:t>
      </w:r>
    </w:p>
    <w:p w14:paraId="18BD039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3E76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Padomes Regulā (EK) Nr. 479/2009 ir iekļauti arī īpaši, visai reti gadījumi, kad valūtas maiņas riska segšana/modificēšana nav iemesls tam, lai izrakstītu mijmaiņas darījumu, bet gan, tieši otrādi, lai radītu valūtas risku. Sākotnēji valsts valūtā izteiktu parādu nacionālajos kontos var pārvērst ārvalstu valūtā. Šajā gadījumā parāds jāuzskata par tādu parādu, kas izteikts ārvalstu valūtā, pamatojoties uz maiņas kursu, kurš noteikts līgumā. Nepieciešamajai konvertācijai valsts valūtā jāizmanto spēkā esošais valūtas maiņas kurss, lai galīgā summa valsts valūtā tiktu gūta no sākotnējiem emisijas ieņēmumiem.</w:t>
      </w:r>
    </w:p>
    <w:p w14:paraId="454AF49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795934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27. Rezultātā valūtas mijmaiņas darījumi var ietekmēt parādu tikai ar valūtas maiņas kursa starpniecību. Faktiski saskaņā ar EKS 2010 6.64. punktā minēto pamatnosacījumu jebkurš parāda instruments, kas izteikts ārvalstu valūtā, ir jākonvertē valsts valūtā pēc faktiskā valūtas maiņas kursa, kas ir spēkā bilances sagatavošanas laikā, pamatojoties uz “reprezentatīvo tirgus valūtas maiņas kursu datumos, uz kuriem attiecas bilance”, taču šis nosacījums nav piemērojams statistikas datiem, ko gatavo </w:t>
      </w:r>
      <w:r w:rsidRPr="00B03B51">
        <w:rPr>
          <w:rFonts w:ascii="Times New Roman" w:hAnsi="Times New Roman" w:cs="Times New Roman"/>
          <w:i/>
          <w:iCs/>
          <w:sz w:val="24"/>
        </w:rPr>
        <w:t>EDP</w:t>
      </w:r>
      <w:r w:rsidRPr="00B03B51">
        <w:rPr>
          <w:rFonts w:ascii="Times New Roman" w:hAnsi="Times New Roman" w:cs="Times New Roman"/>
          <w:sz w:val="24"/>
        </w:rPr>
        <w:t xml:space="preserve"> vajadzībām. EKS 2010 šos mijmaiņas darījumus un parāda instrumentus ieraksta atsevišķi.</w:t>
      </w:r>
    </w:p>
    <w:p w14:paraId="703EF5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A4A4A1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28. Tomēr šie </w:t>
      </w:r>
      <w:r w:rsidRPr="00B03B51">
        <w:rPr>
          <w:rFonts w:ascii="Times New Roman" w:hAnsi="Times New Roman" w:cs="Times New Roman"/>
          <w:i/>
          <w:iCs/>
          <w:sz w:val="24"/>
        </w:rPr>
        <w:t>EDP</w:t>
      </w:r>
      <w:r w:rsidRPr="00B03B51">
        <w:rPr>
          <w:rFonts w:ascii="Times New Roman" w:hAnsi="Times New Roman" w:cs="Times New Roman"/>
          <w:sz w:val="24"/>
        </w:rPr>
        <w:t xml:space="preserve"> konvertēšanas noteikumi attiecas vienīgi uz valūtas mijmaiņas darījumiem, kuru pamatā ir esošas saistības, t. i., mijmaiņas darījumi “pret portfeli”, kas tieši saistīts ar faktiskajiem pamata parāda instrumentiem. Valūtas mijmaiņas darījumus, kas neattiecas uz esošajām saistībām, ieraksta atvasināto finanšu instrumentu pozīcijā (AF.71). Tomēr daudzās valstīs parāda pārvaldniekiem vismaz centrālās valdības līmenī (kas tur lielāko daļu valdības parāda) nav atļauts (saskaņā ar tiesību aktiem vai citiem noteikumiem) slēgt valūtas mijmaiņas darījumus bez jebkādas atsauces uz esošām saistībām, t. i., pakļaut sevi pilnīgam riskam. Ja tiek noslēgti valūtas mijmaiņas darījumi, pamatojoties uz neesošām saistībām, tie neietekmē esošo valdības (</w:t>
      </w:r>
      <w:r w:rsidRPr="00B03B51">
        <w:rPr>
          <w:rFonts w:ascii="Times New Roman" w:hAnsi="Times New Roman" w:cs="Times New Roman"/>
          <w:i/>
          <w:iCs/>
          <w:sz w:val="24"/>
        </w:rPr>
        <w:t>EDP</w:t>
      </w:r>
      <w:r w:rsidRPr="00B03B51">
        <w:rPr>
          <w:rFonts w:ascii="Times New Roman" w:hAnsi="Times New Roman" w:cs="Times New Roman"/>
          <w:sz w:val="24"/>
        </w:rPr>
        <w:t>) parāda uzkrājumu, jo tos neņem vērā tā aprēķinā.</w:t>
      </w:r>
    </w:p>
    <w:p w14:paraId="4F09DBB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3F5A5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lastRenderedPageBreak/>
        <w:t>29. Ir svarīgi norādīt, ka tiktāl, ciktāl valūtas mijmaiņas darījuma pamatā ir esošs parāda instruments, nekādi ierobežojumi netiek noteikti iepriekš minēto noteikumu piemērošanai; proti</w:t>
      </w:r>
      <w:r w:rsidRPr="00B03B51">
        <w:rPr>
          <w:rStyle w:val="FootnoteReference"/>
          <w:rFonts w:ascii="Times New Roman" w:hAnsi="Times New Roman" w:cs="Times New Roman"/>
          <w:noProof/>
          <w:sz w:val="24"/>
        </w:rPr>
        <w:footnoteReference w:id="297"/>
      </w:r>
      <w:r w:rsidRPr="00B03B51">
        <w:rPr>
          <w:rFonts w:ascii="Times New Roman" w:hAnsi="Times New Roman" w:cs="Times New Roman"/>
          <w:sz w:val="24"/>
        </w:rPr>
        <w:t>:</w:t>
      </w:r>
    </w:p>
    <w:p w14:paraId="4178B6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F0DC82F"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atvasinātie līgumi nav obligāti jānoformē vienlaikus ar tā pamatā esoša instrumenta emisiju – tos var ieviest jebkurā laikā; tomēr dažiem parāda pārvaldniekiem reglamentācijas apsvērumu dēļ ir pienākums nodrošināties pret valūtas maiņas kursa risku ļoti īsā laikā pēc emisijas;</w:t>
      </w:r>
    </w:p>
    <w:p w14:paraId="5EC58E1C"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5BE9BC9C"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b) atvasinātajam līgumam var būt jebkāds maksājuma termiņš atbilstoši parāda pamatā esoša instrumenta emisijai un maksājuma termiņam. Var gadīties, ka parāda pārvaldniekiem neizdodas noslēgt </w:t>
      </w:r>
      <w:r w:rsidRPr="00B03B51">
        <w:rPr>
          <w:rFonts w:ascii="Times New Roman" w:hAnsi="Times New Roman" w:cs="Times New Roman"/>
          <w:i/>
          <w:iCs/>
          <w:sz w:val="24"/>
        </w:rPr>
        <w:t>CCS</w:t>
      </w:r>
      <w:r w:rsidRPr="00B03B51">
        <w:rPr>
          <w:rFonts w:ascii="Times New Roman" w:hAnsi="Times New Roman" w:cs="Times New Roman"/>
          <w:sz w:val="24"/>
        </w:rPr>
        <w:t xml:space="preserve"> līgumu, kura maksājuma termiņš (un summa) būtu tāds pats kā parāda pamatinstrumentam;</w:t>
      </w:r>
    </w:p>
    <w:p w14:paraId="30F590DA"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57C2CF6A"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c) atvasinātajā līgumā var noteikt tādu norēķinu maiņu, kas pakļauti pamatsummas plūsmām, kuras izriet no pamatinstrumenta. Pretējā gadījumā, kas ir samērā teorētisks, visas </w:t>
      </w:r>
      <w:r w:rsidRPr="00B03B51">
        <w:rPr>
          <w:rFonts w:ascii="Times New Roman" w:hAnsi="Times New Roman" w:cs="Times New Roman"/>
          <w:i/>
          <w:iCs/>
          <w:sz w:val="24"/>
        </w:rPr>
        <w:t>CCS</w:t>
      </w:r>
      <w:r w:rsidRPr="00B03B51">
        <w:rPr>
          <w:rFonts w:ascii="Times New Roman" w:hAnsi="Times New Roman" w:cs="Times New Roman"/>
          <w:sz w:val="24"/>
        </w:rPr>
        <w:t xml:space="preserve"> summas, kas ir augstākas par pret riskiem nodrošināto parāda instrumentu, jātraktē kā atvasināto finanšu instruments (AF.71) attiecībā uz pārsnieguma vērtību;</w:t>
      </w:r>
    </w:p>
    <w:p w14:paraId="679BF5A4" w14:textId="77777777" w:rsidR="00443399" w:rsidRPr="00B03B51" w:rsidRDefault="00443399" w:rsidP="00443399">
      <w:pPr>
        <w:pStyle w:val="BodyText"/>
        <w:spacing w:before="0"/>
        <w:ind w:left="284" w:firstLine="0"/>
        <w:jc w:val="both"/>
        <w:rPr>
          <w:rFonts w:ascii="Times New Roman" w:hAnsi="Times New Roman" w:cs="Times New Roman"/>
          <w:noProof/>
          <w:sz w:val="24"/>
        </w:rPr>
      </w:pPr>
    </w:p>
    <w:p w14:paraId="652B7023" w14:textId="77777777" w:rsidR="00443399" w:rsidRPr="00B03B51" w:rsidRDefault="00443399" w:rsidP="00443399">
      <w:pPr>
        <w:pStyle w:val="BodyText"/>
        <w:spacing w:before="0"/>
        <w:ind w:left="284" w:firstLine="0"/>
        <w:jc w:val="both"/>
        <w:rPr>
          <w:rFonts w:ascii="Times New Roman" w:hAnsi="Times New Roman" w:cs="Times New Roman"/>
          <w:noProof/>
          <w:sz w:val="24"/>
        </w:rPr>
      </w:pPr>
      <w:r w:rsidRPr="00B03B51">
        <w:rPr>
          <w:rFonts w:ascii="Times New Roman" w:hAnsi="Times New Roman" w:cs="Times New Roman"/>
          <w:sz w:val="24"/>
        </w:rPr>
        <w:t>d) atvasinātie līgumi var attiekties nevis uz kādu konkrētu parāda instrumentu, bet uz parāda instrumentu “portfeli”, sedzot riska darījumu, kas ietekmē vairākus parāda instrumentus.</w:t>
      </w:r>
    </w:p>
    <w:p w14:paraId="4E79ED91" w14:textId="77777777" w:rsidR="00443399" w:rsidRPr="00B03B51" w:rsidRDefault="00443399" w:rsidP="00443399">
      <w:pPr>
        <w:jc w:val="both"/>
        <w:rPr>
          <w:rFonts w:ascii="Times New Roman" w:eastAsia="Arial" w:hAnsi="Times New Roman" w:cs="Times New Roman"/>
          <w:noProof/>
          <w:sz w:val="24"/>
          <w:szCs w:val="14"/>
        </w:rPr>
      </w:pPr>
    </w:p>
    <w:p w14:paraId="369BC15F" w14:textId="77777777" w:rsidR="00443399" w:rsidRPr="00B03B51" w:rsidRDefault="00443399" w:rsidP="00443399">
      <w:pPr>
        <w:pStyle w:val="Heading6"/>
        <w:ind w:left="0" w:firstLine="0"/>
        <w:jc w:val="both"/>
        <w:rPr>
          <w:rFonts w:ascii="Times New Roman" w:hAnsi="Times New Roman" w:cs="Times New Roman"/>
          <w:noProof/>
          <w:sz w:val="24"/>
        </w:rPr>
      </w:pPr>
      <w:bookmarkStart w:id="624" w:name="8.3.2.1_Accounting_examples"/>
      <w:bookmarkEnd w:id="624"/>
      <w:r w:rsidRPr="00B03B51">
        <w:rPr>
          <w:rFonts w:ascii="Times New Roman" w:hAnsi="Times New Roman" w:cs="Times New Roman"/>
          <w:sz w:val="24"/>
        </w:rPr>
        <w:t>8.3.2.1. UZSKAITES PIEMĒRI</w:t>
      </w:r>
    </w:p>
    <w:p w14:paraId="1056305B" w14:textId="77777777" w:rsidR="00443399" w:rsidRPr="00B03B51" w:rsidRDefault="00443399" w:rsidP="00443399">
      <w:pPr>
        <w:tabs>
          <w:tab w:val="left" w:pos="843"/>
        </w:tabs>
        <w:jc w:val="both"/>
        <w:rPr>
          <w:rFonts w:ascii="Times New Roman" w:hAnsi="Times New Roman" w:cs="Times New Roman"/>
          <w:b/>
          <w:noProof/>
          <w:sz w:val="24"/>
        </w:rPr>
      </w:pPr>
    </w:p>
    <w:p w14:paraId="5589DA8A"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1. Parāds, kas izteikts ārvalstu valūtā, mijmaiņas darījumā tiek mainīts pret valsts valūtu</w:t>
      </w:r>
    </w:p>
    <w:p w14:paraId="2491C4E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73C044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nominālvērtība: 100 USD.</w:t>
      </w:r>
    </w:p>
    <w:p w14:paraId="247BCA6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C11231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ASV dolārs pret eiro: 100 USD/74,07 EUR (valūtas maiņas kurss mijmaiņas darījuma līgumā – 1 EUR=1,35 USD).</w:t>
      </w:r>
    </w:p>
    <w:p w14:paraId="787B25D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76824D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novērtējums saskaņā ar regulu: 74,07 EUR.</w:t>
      </w:r>
    </w:p>
    <w:p w14:paraId="615B181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EB8E49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1626E08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C7F98B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Attiecībā uz parāda izmaksu atspoguļošanu valsts valūtā, piemērotāks ir mijmaiņas darījuma līguma valūtas maiņas kurss, nevis tirgus kurss. Lai no mijmaiņas darījuma ekvivalenta maksājuma termiņā saņemtu 100 USD (izmanto atmaksām instrumenta īpašniekam), emitentam pārliecinoši jānodrošina 74,07 EUR.</w:t>
      </w:r>
    </w:p>
    <w:p w14:paraId="76138FBB" w14:textId="77777777" w:rsidR="00443399" w:rsidRPr="00B03B51" w:rsidRDefault="00443399" w:rsidP="00443399">
      <w:pPr>
        <w:tabs>
          <w:tab w:val="left" w:pos="843"/>
        </w:tabs>
        <w:jc w:val="both"/>
        <w:rPr>
          <w:rFonts w:ascii="Times New Roman" w:hAnsi="Times New Roman" w:cs="Times New Roman"/>
          <w:b/>
          <w:noProof/>
          <w:sz w:val="24"/>
        </w:rPr>
      </w:pPr>
    </w:p>
    <w:p w14:paraId="677DE98C"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2. Parāds, kas izteikts ārvalstu valūtā, mijmaiņas darījumā tiek mainīts pret citu ārvalstu valūtu</w:t>
      </w:r>
    </w:p>
    <w:p w14:paraId="6475A05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F95D6F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nominālvērtība: 100 USD.</w:t>
      </w:r>
    </w:p>
    <w:p w14:paraId="0264B10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BE71CB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ASV dolārs pret jenu: 100 USD/10 000 JPY (maiņas kurss – 1 USD=100 JPY).</w:t>
      </w:r>
    </w:p>
    <w:p w14:paraId="1C45C93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C46067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Jaunā parāda nominālvērtība: 10 000 JPY.</w:t>
      </w:r>
    </w:p>
    <w:p w14:paraId="657222B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6AAEED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novērtējums eiro valūtā saskaņā ar regulu: 90,1 EUR</w:t>
      </w:r>
    </w:p>
    <w:p w14:paraId="4699B3E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19874A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(pamatojoties uz tirgus valūtas maiņas kursu: 1 EUR=111 JPY).</w:t>
      </w:r>
    </w:p>
    <w:p w14:paraId="20C0C1B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DD3DA5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636C7ED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44BF22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darījums izmaina maiņas risku. Parāda instrumenta novērtējums tagad ir atkarīgs no EUR/JPY kursa attīstības, nevis no EUR/USD kursa. Parādu faktiski traktē tā, it kā tas sākotnēji būtu emitēts jenās. Katra perioda beigās parādu konvertē valsts valūtā (EUR), pamatojoties uz EUR/JPY tirgus valūtas maiņas kursu, jo jenās maiņas risks netiek aplūkots.</w:t>
      </w:r>
    </w:p>
    <w:p w14:paraId="0094898D" w14:textId="77777777" w:rsidR="00443399" w:rsidRPr="00B03B51" w:rsidRDefault="00443399" w:rsidP="00443399">
      <w:pPr>
        <w:tabs>
          <w:tab w:val="left" w:pos="843"/>
        </w:tabs>
        <w:jc w:val="both"/>
        <w:rPr>
          <w:rFonts w:ascii="Times New Roman" w:hAnsi="Times New Roman" w:cs="Times New Roman"/>
          <w:b/>
          <w:noProof/>
          <w:sz w:val="24"/>
        </w:rPr>
      </w:pPr>
    </w:p>
    <w:p w14:paraId="5D6D841E"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3. Parāds, kas izteikts valsts valūtā, mijmaiņas darījumā tiek mainīts pret ārvalstu valūtu</w:t>
      </w:r>
    </w:p>
    <w:p w14:paraId="4D725EF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7B14C5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nominālvērtība: 100 EUR.</w:t>
      </w:r>
    </w:p>
    <w:p w14:paraId="27CBA5E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eiro pret ASV dolāru: 100 EUR/135 USD (maiņas kurss – 1 EUR=1,35 USD).</w:t>
      </w:r>
    </w:p>
    <w:p w14:paraId="4AA8CDD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8ED5DB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Jaunā parāda nominālvērtība: 135 USD.</w:t>
      </w:r>
    </w:p>
    <w:p w14:paraId="553005B3"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E5778EC"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novērtējums saskaņā ar regulu: 96,43 EUR (pamatojoties uz tirgus valūtas maiņas kursu: 1 EUR=1,40 USD).</w:t>
      </w:r>
    </w:p>
    <w:p w14:paraId="6CC6C7D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0EDF96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648573A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EB1BC7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Saistības vairs nav valsts valūtā, bet ārvalstu valūtā, jo debitoram maksājums jāveic vienīgi ārvalstu valūtā. Izmantojot tirgus valūtas maiņas kursu, atklājas faktiskās izmaksas par ASV dolāriem, kas debitoram būs jāpērk (vai jāaizņemas) tirgū. Minētajā piemērā valsts valūtas vērtības celšanās samazina šīs izmaksas par 3,58 EUR.</w:t>
      </w:r>
    </w:p>
    <w:p w14:paraId="3397AD98" w14:textId="77777777" w:rsidR="00443399" w:rsidRPr="00B03B51" w:rsidRDefault="00443399" w:rsidP="00443399">
      <w:pPr>
        <w:tabs>
          <w:tab w:val="left" w:pos="843"/>
        </w:tabs>
        <w:jc w:val="both"/>
        <w:rPr>
          <w:rFonts w:ascii="Times New Roman" w:eastAsia="Arial" w:hAnsi="Times New Roman" w:cs="Times New Roman"/>
          <w:b/>
          <w:bCs/>
          <w:noProof/>
          <w:sz w:val="24"/>
          <w:szCs w:val="19"/>
        </w:rPr>
      </w:pPr>
    </w:p>
    <w:p w14:paraId="5CEB7902" w14:textId="77777777" w:rsidR="00443399" w:rsidRPr="00B03B51" w:rsidRDefault="00443399" w:rsidP="00443399">
      <w:pPr>
        <w:tabs>
          <w:tab w:val="left" w:pos="843"/>
        </w:tabs>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t>4. Mijmaiņas darījumu “ķēde”</w:t>
      </w:r>
    </w:p>
    <w:p w14:paraId="508E24E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82BAB2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nominālvērtība: 100 EUR.</w:t>
      </w:r>
    </w:p>
    <w:p w14:paraId="3E52F30E"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F4336E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ASV dolārs pret jenu: 100 USD/10 000 JPY (maiņas kurss: 1 USD=100 JPY).</w:t>
      </w:r>
    </w:p>
    <w:p w14:paraId="209F0FF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133755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jena pret Šveices franku: 10 000 JPY/120 CHF (valūtas maiņas kurss – 100 JPY=1,2 CHF).</w:t>
      </w:r>
    </w:p>
    <w:p w14:paraId="7E28FD1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5834D6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galīgā nominālvērtība: 120 CHF.</w:t>
      </w:r>
    </w:p>
    <w:p w14:paraId="193E2D3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15A1A1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novērtējums saskaņā ar regulu: 83,92 EUR (pamatojoties uz tirgus valūtas maiņas kursu: 1 EUR=1,43 CHF).</w:t>
      </w:r>
    </w:p>
    <w:p w14:paraId="78A775D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B5F92C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2C8E454B"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9050AC9" w14:textId="77777777" w:rsidR="00443399" w:rsidRPr="00B03B51" w:rsidRDefault="00443399" w:rsidP="002E0524">
      <w:pPr>
        <w:pStyle w:val="BodyText"/>
        <w:tabs>
          <w:tab w:val="left" w:pos="84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Attiecīgā parāda denominācija ārvalstu valūtā ir galīgā valūta, ko emitents saņem, sākot katru mijmaiņas darījumu saskaņā ar mijmaiņas darījumu “ķēdi”.</w:t>
      </w:r>
    </w:p>
    <w:p w14:paraId="017BB83C" w14:textId="77777777" w:rsidR="00443399" w:rsidRPr="00B03B51" w:rsidRDefault="00443399" w:rsidP="002E0524">
      <w:pPr>
        <w:pStyle w:val="BodyText"/>
        <w:tabs>
          <w:tab w:val="left" w:pos="843"/>
        </w:tabs>
        <w:spacing w:before="0"/>
        <w:ind w:left="284" w:firstLine="0"/>
        <w:jc w:val="both"/>
        <w:rPr>
          <w:rFonts w:ascii="Times New Roman" w:hAnsi="Times New Roman" w:cs="Times New Roman"/>
          <w:noProof/>
          <w:sz w:val="24"/>
        </w:rPr>
      </w:pPr>
    </w:p>
    <w:p w14:paraId="025788E7" w14:textId="77777777" w:rsidR="00443399" w:rsidRPr="00B03B51" w:rsidRDefault="00443399" w:rsidP="002E0524">
      <w:pPr>
        <w:pStyle w:val="BodyText"/>
        <w:tabs>
          <w:tab w:val="left" w:pos="843"/>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b) “Ķēdē” eiro var izmantot vienā mijmaiņas darījuma posmā. Ja tas ir ķēdes beigās, tad </w:t>
      </w:r>
      <w:r w:rsidRPr="00B03B51">
        <w:rPr>
          <w:rFonts w:ascii="Times New Roman" w:hAnsi="Times New Roman" w:cs="Times New Roman"/>
          <w:sz w:val="24"/>
        </w:rPr>
        <w:lastRenderedPageBreak/>
        <w:t>parāda instruments jānovērtē atbilstoši 1. gadījumam (maiņas kurss ir noteikts mijmaiņas darījuma līgumā). Ja tas tā nav, tad parādu konvertē eiro, pamatojoties uz tirgus valūtas maiņas kursu attiecībā uz to valūtu, kas mijmaiņas darījuma līguma sākumā saņemta pēdējā. Maiņas kurss pret eiro, kas noteikts savstarpējā mijmaiņas darījuma līgumā, nav svarīgs.</w:t>
      </w:r>
    </w:p>
    <w:p w14:paraId="732BB4BF" w14:textId="77777777" w:rsidR="00443399" w:rsidRPr="00B03B51" w:rsidRDefault="00443399" w:rsidP="00443399">
      <w:pPr>
        <w:tabs>
          <w:tab w:val="left" w:pos="843"/>
        </w:tabs>
        <w:jc w:val="both"/>
        <w:rPr>
          <w:rFonts w:ascii="Times New Roman" w:eastAsia="Arial" w:hAnsi="Times New Roman" w:cs="Times New Roman"/>
          <w:b/>
          <w:bCs/>
          <w:noProof/>
          <w:sz w:val="24"/>
          <w:szCs w:val="19"/>
        </w:rPr>
      </w:pPr>
    </w:p>
    <w:p w14:paraId="6EC1FCE1" w14:textId="77777777" w:rsidR="00443399" w:rsidRPr="00B03B51" w:rsidRDefault="00443399" w:rsidP="00321353">
      <w:pPr>
        <w:tabs>
          <w:tab w:val="left" w:pos="843"/>
        </w:tabs>
        <w:jc w:val="both"/>
        <w:rPr>
          <w:rFonts w:ascii="Times New Roman" w:eastAsia="Arial" w:hAnsi="Times New Roman" w:cs="Times New Roman"/>
          <w:b/>
          <w:bCs/>
          <w:noProof/>
          <w:sz w:val="24"/>
          <w:szCs w:val="19"/>
        </w:rPr>
      </w:pPr>
      <w:r w:rsidRPr="00B03B51">
        <w:rPr>
          <w:rFonts w:ascii="Times New Roman" w:hAnsi="Times New Roman" w:cs="Times New Roman"/>
          <w:b/>
          <w:bCs/>
          <w:sz w:val="24"/>
          <w:szCs w:val="19"/>
        </w:rPr>
        <w:t>5. Mijmaiņas darījumi ar “daļēju” summu</w:t>
      </w:r>
    </w:p>
    <w:p w14:paraId="230F2E37" w14:textId="77777777" w:rsidR="00443399" w:rsidRPr="00B03B51" w:rsidRDefault="00443399" w:rsidP="00321353">
      <w:pPr>
        <w:pStyle w:val="BodyText"/>
        <w:spacing w:before="0"/>
        <w:ind w:left="0" w:firstLine="0"/>
        <w:jc w:val="both"/>
        <w:rPr>
          <w:rFonts w:ascii="Times New Roman" w:hAnsi="Times New Roman" w:cs="Times New Roman"/>
          <w:noProof/>
          <w:sz w:val="24"/>
        </w:rPr>
      </w:pPr>
    </w:p>
    <w:p w14:paraId="186CABCE" w14:textId="77777777" w:rsidR="00443399" w:rsidRPr="00B03B51" w:rsidRDefault="00443399" w:rsidP="00321353">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 Šādu gadījumu var apvienot ar jebkuru citu gadījumu – dotajā piemērā ir izmantots 1. gadījums.</w:t>
      </w:r>
    </w:p>
    <w:p w14:paraId="1C07BDA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004666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nominālvērtība: 100 USD (pusi no tiem mijmaiņas darījumā maina pret valsts valūtu, bet pusi – nemaina).</w:t>
      </w:r>
    </w:p>
    <w:p w14:paraId="73D914A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9F9E3C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Mijmaiņas darījumā ASV dolārs pret eiro: 50 USD/37,04 EUR (valūtas maiņas kurss mijmaiņas darījuma līgumā – 1 EUR=1,35 USD).</w:t>
      </w:r>
    </w:p>
    <w:p w14:paraId="32A3D0B6"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18AAF4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Parāda instrumenta novērtējums saskaņā ar regulu: 72,74 EUR, no kuriem:</w:t>
      </w:r>
    </w:p>
    <w:p w14:paraId="50733CD7" w14:textId="77777777" w:rsidR="00443399" w:rsidRPr="00B03B51" w:rsidRDefault="00443399" w:rsidP="002E0524">
      <w:pPr>
        <w:pStyle w:val="BodyText"/>
        <w:numPr>
          <w:ilvl w:val="0"/>
          <w:numId w:val="3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to pusi, kuru mainīja mijmaiņas darījumā – 37,04 EUR;</w:t>
      </w:r>
    </w:p>
    <w:p w14:paraId="6FF1DC38" w14:textId="77777777" w:rsidR="00443399" w:rsidRPr="00B03B51" w:rsidRDefault="00443399" w:rsidP="002E0524">
      <w:pPr>
        <w:pStyle w:val="BodyText"/>
        <w:numPr>
          <w:ilvl w:val="0"/>
          <w:numId w:val="38"/>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attiecībā uz to pusi, kuru nemainīja mijmaiņas darījumā – 35.71 EUR</w:t>
      </w:r>
    </w:p>
    <w:p w14:paraId="2C9A419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4D1F67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(pamatojoties uz tirgus valūtas maiņas kursu – 1 EUR=1,40 USD).</w:t>
      </w:r>
    </w:p>
    <w:p w14:paraId="75E94C8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1229EFA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Piezīmes.</w:t>
      </w:r>
    </w:p>
    <w:p w14:paraId="6DDC737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D46C89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Attiecībā uz tās parāda daļas izmaksu atspoguļošanu, ko mijmaiņas darījumā mainīja pret valsts valūtu, piemērotāks ir mijmaiņas darījuma līguma valūtas maiņas kurss, nevis tirgus kurss.</w:t>
      </w:r>
    </w:p>
    <w:p w14:paraId="5F8933D2" w14:textId="77777777" w:rsidR="00443399" w:rsidRPr="00B03B51" w:rsidRDefault="00443399" w:rsidP="00443399">
      <w:pPr>
        <w:jc w:val="both"/>
        <w:rPr>
          <w:rFonts w:ascii="Times New Roman" w:eastAsia="Arial" w:hAnsi="Times New Roman" w:cs="Times New Roman"/>
          <w:noProof/>
          <w:sz w:val="24"/>
          <w:szCs w:val="19"/>
        </w:rPr>
      </w:pPr>
    </w:p>
    <w:p w14:paraId="2D95F4A1" w14:textId="77777777" w:rsidR="00443399" w:rsidRPr="00B03B51" w:rsidRDefault="00443399" w:rsidP="00443399">
      <w:pPr>
        <w:pStyle w:val="Heading3"/>
        <w:ind w:left="0" w:firstLine="0"/>
        <w:jc w:val="both"/>
        <w:rPr>
          <w:rFonts w:ascii="Times New Roman" w:hAnsi="Times New Roman" w:cs="Times New Roman"/>
          <w:noProof/>
          <w:sz w:val="24"/>
        </w:rPr>
      </w:pPr>
      <w:bookmarkStart w:id="625" w:name="8.3.3_Off-market_swaps"/>
      <w:bookmarkStart w:id="626" w:name="_Toc67565220"/>
      <w:bookmarkEnd w:id="625"/>
      <w:r w:rsidRPr="00B03B51">
        <w:rPr>
          <w:rFonts w:ascii="Times New Roman" w:hAnsi="Times New Roman" w:cs="Times New Roman"/>
          <w:sz w:val="24"/>
        </w:rPr>
        <w:t>8.3.3. Ārpusbiržas mijmaiņas darījumi</w:t>
      </w:r>
      <w:bookmarkEnd w:id="626"/>
    </w:p>
    <w:p w14:paraId="6CD689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D5A32A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30. Saistībā ar mijmaiņas darījumu ierakstīšanu nacionālajos kontos būtisks jautājums ir, vai mijmaiņas darījumi tiek veikti saskaņā ar tirgus nosacījumiem, vai arī tiem ir ārpusbiržas būtība. Šādi “ārpusbiržas” mijmaiņas darījumi var būt jebkādi mijmaiņas darījumi, tostarp gan procentu likmes, gan valūtas mijmaiņas darījumi. Tas nav atkarīgs no mijmaiņas darījuma mērķa, kas var būt, piemēram, labuma gūšana no gaidāmajām labvēlīgajām tirgus tendencēm, noslēdzot jaunu riska darījumu.</w:t>
      </w:r>
    </w:p>
    <w:p w14:paraId="08563BA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F3B9A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31. Kā minēts iepriekš, vairumā gadījumu mijmaiņas darījumus veic saskaņā ar tirgus nosacījumiem, t. i., sākumā visu maksājumu pašreizējās vērtības abām darījumu pusēm ir pilnīgi līdzvērtīgas. Tā ietekme uz katra darījuma partnera neto vērtību līgumā ir neitrāla. Savstarpēji saskaņotās saistības ataino dominējošos tirgus nosacījumus (tostarp korekcija ar sadalījumu vienā daļā). Šādu mijmaiņas darījumu tirgus vērtība ir nulle, un tos sauc par “nominālvērtības mijmaiņas darījumiem” vai “aktīva vērtībai atbilstošiem mijmaiņas darījumiem”. Pēc tam ietekme uz iesaistītajām pusēm ir pilnīgi simetriska, un tā atspoguļo maksājumu plūsmu pašreizējās vērtības neto izmaiņas katrā posmā atbilstoši tirgus apstākļu tendencēm.</w:t>
      </w:r>
    </w:p>
    <w:p w14:paraId="5C94FF1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B0AEF3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32. Ja mijmaiņas darījumu īsteno saskaņā ar “ārpusbiržas” noteikumiem, tad puses ir vienojušās par nosacījumiem, tādējādi nodrošinot, ka mijmaiņas darījuma sākumā nosacījumi attiecībā uz maiņas plūsmām nav līdzsvaroti un ir labvēlīgāki vienai no pusēm. Mijmaiņas darījuma sākumā tirgus vērtība nav nulle. Tādējādi, ņemot vērā nosacījumus, par kuriem puses ir vienojušās, ir skaidri identificējams “zaudētājs” un “ieguvējs”. Tā ir viena no iespējamajām “ārpusbiržas </w:t>
      </w:r>
      <w:r w:rsidRPr="00B03B51">
        <w:rPr>
          <w:rFonts w:ascii="Times New Roman" w:hAnsi="Times New Roman" w:cs="Times New Roman"/>
          <w:sz w:val="24"/>
        </w:rPr>
        <w:lastRenderedPageBreak/>
        <w:t>mijmaiņas darījumu” pazīmēm un ir pietiekams nosacījums, lai to raksturotu. Šādā gadījumā tas liecina, ka ir jābūt “ekvivalentam” nelīdzsvarotam mijmaiņas darījumam, kas saistīts ar citu valdības darbību (skat. turpmāk 35. rindkopu). Vēl viena (nestandarta) pazīme, bet kas (iespējams) ir ar vispārējo nulles tirgus vērtību sākumā, varētu būt atkāpe no standartizēta tradicionāla mijmaiņas darījuma naudas plūsmas struktūras.</w:t>
      </w:r>
      <w:r w:rsidRPr="00B03B51">
        <w:rPr>
          <w:rStyle w:val="FootnoteReference"/>
          <w:rFonts w:ascii="Times New Roman" w:hAnsi="Times New Roman" w:cs="Times New Roman"/>
          <w:noProof/>
          <w:sz w:val="24"/>
        </w:rPr>
        <w:footnoteReference w:id="298"/>
      </w:r>
      <w:r w:rsidRPr="00B03B51">
        <w:rPr>
          <w:rFonts w:ascii="Times New Roman" w:hAnsi="Times New Roman" w:cs="Times New Roman"/>
          <w:sz w:val="24"/>
          <w:szCs w:val="12"/>
        </w:rPr>
        <w:t xml:space="preserve"> </w:t>
      </w:r>
      <w:r w:rsidRPr="00B03B51">
        <w:rPr>
          <w:rFonts w:ascii="Times New Roman" w:hAnsi="Times New Roman" w:cs="Times New Roman"/>
          <w:sz w:val="24"/>
        </w:rPr>
        <w:t>Tāpēc ir rūpīgi jāanalizē visi mijmaiņas darījuma līgumi, kurus valdība noslēdz, norādot no standarta (tradicionālā) mijmaiņas darījuma atšķirīgu naudas plūsmas struktūru atbilstoši tirgus nosacījumiem, lai pārbaudītu, vai tas ir jāieraksta saskaņā ar šādu konkrētu noteikumu, proti, jāizvērtē, vai pastāv iespējamie turpmākie periodi, kuros tirgus vērtība būtiski atšķirsies no nulles.</w:t>
      </w:r>
    </w:p>
    <w:p w14:paraId="4D8722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50452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33. Saskaņā ar šiem nosacījumiem ārpusbiržas mijmaiņas darījumi ir jāiedala divās daļās.</w:t>
      </w:r>
    </w:p>
    <w:p w14:paraId="2678F79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9BEB48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Vispārpieņemtais mijmaiņas darījums, kas noslēgts, pamatojoties uz dominējošiem tūlītējā tirgus nosacījumiem, kuram sākumā ir nulles tirgus vērtība un kas ierakstīts saskaņā ar parastajiem noteikumiem. Tas ir nosacīti “nominālvērtības” jeb “aktīva vērtībai atbilstošs” komponents, kas līdzinās “standarta mijmaiņas darījumam”. Šo komponentu ieraksta kā atvasināto finanšu instrumentu (AF.71), un tas nav valdības (</w:t>
      </w:r>
      <w:r w:rsidRPr="00B03B51">
        <w:rPr>
          <w:rFonts w:ascii="Times New Roman" w:hAnsi="Times New Roman" w:cs="Times New Roman"/>
          <w:i/>
          <w:iCs/>
          <w:sz w:val="24"/>
        </w:rPr>
        <w:t>EDP</w:t>
      </w:r>
      <w:r w:rsidRPr="00B03B51">
        <w:rPr>
          <w:rFonts w:ascii="Times New Roman" w:hAnsi="Times New Roman" w:cs="Times New Roman"/>
          <w:sz w:val="24"/>
        </w:rPr>
        <w:t xml:space="preserve">) parāda sastāvdaļa. Tādējādi jebkādas mijmaiņas darījuma komponenta vērtības pārmaiņas atainos ietekmi uz tirgus nosacījumu tendencēm. Publiskajos kontos šādi mijmaiņas darījumi būtu ierakstāmi bilances aktīvu pusē, ja valdībai tiem ir pozitīva vērtība, un saistību pusē, ja ir otrādi. Pozitīvas plūsmas būtībā ir finanšu darījums </w:t>
      </w:r>
      <w:r w:rsidRPr="00B03B51">
        <w:rPr>
          <w:rFonts w:ascii="Times New Roman" w:hAnsi="Times New Roman" w:cs="Times New Roman"/>
          <w:i/>
          <w:iCs/>
          <w:sz w:val="24"/>
        </w:rPr>
        <w:t>EDP</w:t>
      </w:r>
      <w:r w:rsidRPr="00B03B51">
        <w:rPr>
          <w:rFonts w:ascii="Times New Roman" w:hAnsi="Times New Roman" w:cs="Times New Roman"/>
          <w:sz w:val="24"/>
        </w:rPr>
        <w:t xml:space="preserve"> 3. tabulas aktīvu pusē (ja mijmaiņas darījums ir aktīvs), un negatīvas plūsmas ir finanšu darījums saistību pusē (ja mijmaiņas darījums ir valdības saistības). Turklāt, tā kā tirgus vērtība ir nākotnes plūsmu neto pašreizējā vērtība brīdī, uz kuru attiecas bilance, ir arī pārvērtēšanas ietekme.</w:t>
      </w:r>
      <w:r w:rsidRPr="00B03B51">
        <w:rPr>
          <w:rStyle w:val="FootnoteReference"/>
          <w:rFonts w:ascii="Times New Roman" w:hAnsi="Times New Roman" w:cs="Times New Roman"/>
          <w:noProof/>
          <w:sz w:val="24"/>
        </w:rPr>
        <w:footnoteReference w:id="299"/>
      </w:r>
    </w:p>
    <w:p w14:paraId="74201E4A"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0F370422"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b) Aizdevums (AF.4) ārpusbiržas komponentam. To ieraksta ar tā sākotnējo tirgus vērtību (dažos gadījumos maksājumus visas vienošanās līdzsvarošanai) parasti mijmaiņas darījuma līguma sākumā (avansa maksājums vai, iespējams, sadalīts visā līguma darbības termiņā), nevis līguma parakstīšanas brīdī, kas izņēmuma gadījumos var būtiski atšķirties. Aizdevumu amortizē visā instrumenta darbības laikā. Tam aprēķina procentus. Šis “aizdevuma komponents” ir valdības (</w:t>
      </w:r>
      <w:r w:rsidRPr="00B03B51">
        <w:rPr>
          <w:rFonts w:ascii="Times New Roman" w:hAnsi="Times New Roman" w:cs="Times New Roman"/>
          <w:i/>
          <w:iCs/>
          <w:sz w:val="24"/>
        </w:rPr>
        <w:t>EDP</w:t>
      </w:r>
      <w:r w:rsidRPr="00B03B51">
        <w:rPr>
          <w:rFonts w:ascii="Times New Roman" w:hAnsi="Times New Roman" w:cs="Times New Roman"/>
          <w:sz w:val="24"/>
        </w:rPr>
        <w:t>) parāda daļa. Simetriski valdība var noslēgt ārpusbiržas mijmaiņas darījumus, kuros aizdevuma komponenti ir sniegti darījuma partneriem kā valdības aktīvi.</w:t>
      </w:r>
    </w:p>
    <w:p w14:paraId="4CA63A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2242B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34. Citiem vārdiem sakot, tas nozīmē, ka viena daļa plūsmu, ar kurām apmainās līguma darbības laikā, ir uzskatāma par aizdevuma amortizāciju, savukārt otra daļa ir procenti, kas ietekmē valdības neto aizdevumu/aizņēmumu (B.9). Procentus aprēķina, pamatojoties uz fiksēto tūlītējo tirgus likmi, kas novērota mijmaiņas darījuma līguma sākumā (tirdzniecības datumā) (skat. </w:t>
      </w:r>
      <w:r w:rsidRPr="00B03B51">
        <w:rPr>
          <w:rFonts w:ascii="Times New Roman" w:hAnsi="Times New Roman" w:cs="Times New Roman"/>
          <w:sz w:val="24"/>
        </w:rPr>
        <w:lastRenderedPageBreak/>
        <w:t>2.4.3.18. apakšiedaļu).</w:t>
      </w:r>
      <w:r w:rsidRPr="00B03B51">
        <w:rPr>
          <w:rStyle w:val="FootnoteReference"/>
          <w:rFonts w:ascii="Times New Roman" w:hAnsi="Times New Roman" w:cs="Times New Roman"/>
          <w:noProof/>
          <w:sz w:val="24"/>
        </w:rPr>
        <w:footnoteReference w:id="300"/>
      </w:r>
      <w:r w:rsidRPr="00B03B51">
        <w:rPr>
          <w:rFonts w:ascii="Times New Roman" w:hAnsi="Times New Roman" w:cs="Times New Roman"/>
          <w:sz w:val="24"/>
          <w:szCs w:val="12"/>
        </w:rPr>
        <w:t xml:space="preserve"> </w:t>
      </w:r>
      <w:r w:rsidRPr="00B03B51">
        <w:rPr>
          <w:rFonts w:ascii="Times New Roman" w:hAnsi="Times New Roman" w:cs="Times New Roman"/>
          <w:sz w:val="24"/>
        </w:rPr>
        <w:t>Būtībā aizdevumu amortizē līdzīgi “amortizācijas aizdevumam”, t. i., pilnu aizdevuma summu neatmaksā galīgajā maksājuma termiņā, bet gan veicot “ikgadējos maksājumus”, kuros pamatsummas samazinājuma daļa un procenti laika gaitā mainās. Var būt arī citi atmaksas grafiki atkarībā no tā, kādas ir naudas plūsmu struktūras novirzes salīdzinājumā ar tradicionālo mijmaiņas darījumu.</w:t>
      </w:r>
      <w:r w:rsidRPr="00B03B51">
        <w:rPr>
          <w:rStyle w:val="FootnoteReference"/>
          <w:rFonts w:ascii="Times New Roman" w:hAnsi="Times New Roman" w:cs="Times New Roman"/>
          <w:noProof/>
          <w:sz w:val="24"/>
        </w:rPr>
        <w:footnoteReference w:id="301"/>
      </w:r>
      <w:r w:rsidRPr="00B03B51">
        <w:rPr>
          <w:rFonts w:ascii="Times New Roman" w:hAnsi="Times New Roman" w:cs="Times New Roman"/>
          <w:sz w:val="24"/>
          <w:szCs w:val="12"/>
        </w:rPr>
        <w:t xml:space="preserve"> </w:t>
      </w:r>
      <w:r w:rsidRPr="00B03B51">
        <w:rPr>
          <w:rFonts w:ascii="Times New Roman" w:hAnsi="Times New Roman" w:cs="Times New Roman"/>
          <w:sz w:val="24"/>
        </w:rPr>
        <w:t>Šos divus komponentus – procentus un pamatsummas samazinājumu –, kas ir pilnībā noteikti sākumā, atņem no plūsmu faktiskās apmaiņas atbilstoši līgumam, un “atlikums” ir faktiskās plūsmas, kas jāieraksta finanšu kontos kā darījums ar atvasinātajiem finanšu instrumentiem (F.71). Aizdevumam principā ir jābūt tieši tādam pašam maksājuma termiņam kā mijmaiņas darījuma līgumam (no tā var atkāpties</w:t>
      </w:r>
      <w:r w:rsidRPr="00B03B51">
        <w:rPr>
          <w:rStyle w:val="FootnoteReference"/>
          <w:rFonts w:ascii="Times New Roman" w:hAnsi="Times New Roman" w:cs="Times New Roman"/>
          <w:noProof/>
          <w:sz w:val="24"/>
        </w:rPr>
        <w:footnoteReference w:id="302"/>
      </w:r>
      <w:r w:rsidRPr="00B03B51">
        <w:rPr>
          <w:rFonts w:ascii="Times New Roman" w:hAnsi="Times New Roman" w:cs="Times New Roman"/>
          <w:sz w:val="24"/>
        </w:rPr>
        <w:t>, lai arī tikai izņēmuma gadījumos). Ja mijmaiņas darījums tiek anulēts, arī aizdevums automātiski būtu anulējams (kā pirmstermiņa atmaksa). Tāpēc nosacītais aizdevums nekad nevar būt ilgāks par mijmaiņas darījumu.</w:t>
      </w:r>
    </w:p>
    <w:p w14:paraId="5D6739F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C282C8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35. Vienkāršā gadījumā sākumā ieguvēja puse sniedz otrai pusei kompensāciju vienreizēja maksājuma veidā, lai no jauna līdzsvarotu darījumu, ko maksā skaidrā naudā darījuma partneris, kam ir “naudas līdzekļu pietiekamība”. Šādā gadījumā ir grūti noliegt, ka pastāv aizdevums. Par šo kompensāciju var noslēgt īpašu vienošanos (maksājumi pa daļām</w:t>
      </w:r>
      <w:r w:rsidRPr="00B03B51">
        <w:rPr>
          <w:rStyle w:val="FootnoteReference"/>
          <w:rFonts w:ascii="Times New Roman" w:hAnsi="Times New Roman" w:cs="Times New Roman"/>
          <w:noProof/>
          <w:sz w:val="24"/>
        </w:rPr>
        <w:footnoteReference w:id="303"/>
      </w:r>
      <w:r w:rsidRPr="00B03B51">
        <w:rPr>
          <w:rFonts w:ascii="Times New Roman" w:hAnsi="Times New Roman" w:cs="Times New Roman"/>
          <w:sz w:val="24"/>
        </w:rPr>
        <w:t>, saistību norakstīšana utt.), kas apgrūtina “patiesā” atkārtotās līdzsvarošanas elementa noteikšanu. Gadījumā, ja šī nelīdzsvarotā maksājuma “ekvivalents” ir saistīts ar citām valdības darbībām, kam nav redzamas saiknes ar konkrēto mijmaiņas darījumu, ir jāidentificē šis ekvivalentais darījums.</w:t>
      </w:r>
      <w:r w:rsidRPr="00B03B51">
        <w:rPr>
          <w:rStyle w:val="FootnoteReference"/>
          <w:rFonts w:ascii="Times New Roman" w:hAnsi="Times New Roman" w:cs="Times New Roman"/>
          <w:noProof/>
          <w:sz w:val="24"/>
        </w:rPr>
        <w:footnoteReference w:id="304"/>
      </w:r>
      <w:r w:rsidRPr="00B03B51">
        <w:rPr>
          <w:rFonts w:ascii="Times New Roman" w:hAnsi="Times New Roman" w:cs="Times New Roman"/>
          <w:sz w:val="24"/>
          <w:szCs w:val="12"/>
        </w:rPr>
        <w:t xml:space="preserve"> </w:t>
      </w:r>
      <w:r w:rsidRPr="00B03B51">
        <w:rPr>
          <w:rFonts w:ascii="Times New Roman" w:hAnsi="Times New Roman" w:cs="Times New Roman"/>
          <w:sz w:val="24"/>
        </w:rPr>
        <w:t>Tomēr praksē ir novērojamas arī kompleksas vienošanās, piemēram, atšķirīgu mijmaiņas darījumu un/vai citu instrumentu kombinācija, veidojot “paketi”, kas liedz ierakstīt tūlītējo negatīvo ietekmi valdības kontos.</w:t>
      </w:r>
      <w:r w:rsidRPr="00B03B51">
        <w:rPr>
          <w:rStyle w:val="FootnoteReference"/>
          <w:rFonts w:ascii="Times New Roman" w:hAnsi="Times New Roman" w:cs="Times New Roman"/>
          <w:noProof/>
          <w:sz w:val="24"/>
        </w:rPr>
        <w:footnoteReference w:id="305"/>
      </w:r>
      <w:r w:rsidRPr="00B03B51">
        <w:rPr>
          <w:rFonts w:ascii="Times New Roman" w:hAnsi="Times New Roman" w:cs="Times New Roman"/>
          <w:sz w:val="24"/>
          <w:szCs w:val="12"/>
        </w:rPr>
        <w:t xml:space="preserve"> </w:t>
      </w:r>
      <w:r w:rsidRPr="00B03B51">
        <w:rPr>
          <w:rFonts w:ascii="Times New Roman" w:hAnsi="Times New Roman" w:cs="Times New Roman"/>
          <w:sz w:val="24"/>
        </w:rPr>
        <w:t>Faktiski dažu nozīmīgu ārpusbiržas mijmaiņas darījumu gadījumā, kas identificēti šim nolūkam, sākumā netiek veikts vienreizējs maksājums.</w:t>
      </w:r>
    </w:p>
    <w:p w14:paraId="0C41D2F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4670D2" w14:textId="7DD1E30D"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36. Tas, ka nav vienreizēja maksājuma, nenozīmē, ka nav jāieraksta aizdevums valdībai, jo ārpusbiržas mijmaiņas darījums nozīmē, ka valdība ir apzināti piekritusi noslēgt līgumu, kurā tai būs jāatmaksā atpakaļ darījuma partnerim vairāk, nekā tā ir saņēmusi (vai saņems). Tāpēc ārpusbiržas mijmaiņas darījumos iekļauj finansēšanas grafiku (t. i., nepieciešamā nauda tiek iegūta precīzā plūsmu apmaiņas laikā). Ar nodomu reti slēdz šādus līgumus, kas veidoti uz nelabvēlīgiem nosacījumiem, ja šādam darījumam nav citu (dažkārt vairāk vai mazāk slēptu) iemeslu, kas nav tīra riska ierobežošana riska pārvaldībā. Ir svarīgi atzīmēt, ka tādu pašu pamatojumu varētu piemērot gadījumos, kad valdība ir neto kreditors finanšu grafikā mijmaiņas darījuma sākumā. Kā minēts iepriekš, aizdevuma aktīvu jāieraksta valdības bilancē. Tas varētu izrietēt, piemēram, no mijmaiņas iespējas līguma, ko tur valdība (un pēc tam realizē, jo ir </w:t>
      </w:r>
      <w:r w:rsidRPr="00B03B51">
        <w:rPr>
          <w:rFonts w:ascii="Times New Roman" w:hAnsi="Times New Roman" w:cs="Times New Roman"/>
          <w:sz w:val="24"/>
        </w:rPr>
        <w:lastRenderedPageBreak/>
        <w:t>līdzekļu pietiekamība valdībai), vai no mijmaiņas nestandartizētajiem nākotnes darījumiem. Tas varētu notikt arī saistībā ar mijmaiņas darījuma pārstrukturēšanu par aktīva posteni – pozitīva vērtība (skat. turpmāk).</w:t>
      </w:r>
    </w:p>
    <w:p w14:paraId="2D62F92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8FC8D2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37. Varētu piebilst, ka tirgus tendences varētu kļūt izdevīgas valdībai (“lielāka veiksme”) tā, ka beigās tā varētu atmaksāt neto izteiksmē mazāk, nekā sākotnēji ierakstīts kā balanspostenis, vai mazāk nekā citu veidu ekvivalentajos darījumos kompleksajos nolīgumos. Taču šī situācija visai atšķiras no nominālvērtības mijmaiņas darījuma, kurā varētu pieņemt, ka abas puses noslēdz šādu darījumu saskaņā ar vienlīdzīgiem nosacījumiem, t. i., ka </w:t>
      </w:r>
      <w:r w:rsidRPr="00B03B51">
        <w:rPr>
          <w:rFonts w:ascii="Times New Roman" w:hAnsi="Times New Roman" w:cs="Times New Roman"/>
          <w:i/>
          <w:iCs/>
          <w:sz w:val="24"/>
        </w:rPr>
        <w:t>ex ante</w:t>
      </w:r>
      <w:r w:rsidRPr="00B03B51">
        <w:rPr>
          <w:rFonts w:ascii="Times New Roman" w:hAnsi="Times New Roman" w:cs="Times New Roman"/>
          <w:sz w:val="24"/>
        </w:rPr>
        <w:t xml:space="preserve"> nav nepieciešams veikt līdzsvarojošus maksājumus, un neviens nav pilnīgi pārliecināts, kura puse darījumā zaudēs un kura iegūs, proti, ir zināma nenoteiktība par gala rezultātu. Mijmaiņas darījuma vērtības maiņa pēc definīcijas ir situācija, kurā viena puse ir ieguvēja, bet otra ir zaudētāja, vismaz ja to skata atsevišķu mijmaiņas darījumu līmenī.</w:t>
      </w:r>
    </w:p>
    <w:p w14:paraId="1BC0F2E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43375E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szCs w:val="12"/>
        </w:rPr>
      </w:pPr>
      <w:r w:rsidRPr="00B03B51">
        <w:rPr>
          <w:rFonts w:ascii="Times New Roman" w:hAnsi="Times New Roman" w:cs="Times New Roman"/>
          <w:sz w:val="24"/>
        </w:rPr>
        <w:t>38. Ir būtiska atšķirība starp nominālo mijmaiņas darījumu sākumā un ārpusbiržas mijmaiņas darījumu, kurā valdība sāk ar faktisku “apgrūtinājumu”/“handikapu”, ciktāl tas attiecas uz mijmaiņas darījuma plūsmām, ko ieraksta kā atvasinātos finanšu instrumentus (F.71). Tikai tad, ja tirgus tendences ir ļoti labvēlīgas, neto maksājumus varētu samazināt. Tomēr, ņemot vērā tirgus nenoteiktību, situācija var arī pasliktināties attiecībā pret jau tā nelabvēlīgo sākotnējo situāciju. Dažos gadījumos tas ir arī konstatēts. Tāpēc aizdevuma komponents sākumā ir noteikti jāfiksē, pamatojoties uz tajā brīdī aprēķināto vērtību. Jebkāda turpmāka uzlabošanās vai pasliktināšanās ir jāattiecina tikai uz nomināla komponentu, kuru var ietekmēt tikai tirgus tendences. Nacionālajos kontos aizdevumiem nav tirgus vērtības.</w:t>
      </w:r>
      <w:r w:rsidRPr="00B03B51">
        <w:rPr>
          <w:rStyle w:val="FootnoteReference"/>
          <w:rFonts w:ascii="Times New Roman" w:hAnsi="Times New Roman" w:cs="Times New Roman"/>
          <w:noProof/>
          <w:sz w:val="24"/>
        </w:rPr>
        <w:footnoteReference w:id="306"/>
      </w:r>
    </w:p>
    <w:p w14:paraId="553F5E5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B13CCC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39. Ārpusbiržas mijmaiņas darījumi ir jāidentificē kā tādi saistībā ar katru atsevišķu līgumu, ko noslēgusi valdība, neatkarīgi no darbības pamatojuma. Tie var veidoties dažādās situācijās. Piemēram, ārpusbiržas mijmaiņas darījums var rasties pilnīgi jaunas vienošanās rezultātā, ko noslēgusi valdība un darījuma partneris.</w:t>
      </w:r>
    </w:p>
    <w:p w14:paraId="41A3FAE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ADE7A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40. Tas var arī rasties, stājoties spēkā mijmaiņas darījumam, kurš iepriekš tika noslēgts kā mijmaiņas iespējas līgums, kas dod tā turētājam tiesības (bet ne pienākumu) noslēgt mijmaiņas pamatdarījumu, kas ir īpaši izstrādāts. Kopumā mijmaiņas iespējas līguma pārdevējs (“parakstītājs”) sākumā saņem prēmiju.</w:t>
      </w:r>
      <w:r w:rsidRPr="00B03B51">
        <w:rPr>
          <w:rStyle w:val="FootnoteReference"/>
          <w:rFonts w:ascii="Times New Roman" w:hAnsi="Times New Roman" w:cs="Times New Roman"/>
          <w:noProof/>
          <w:sz w:val="24"/>
        </w:rPr>
        <w:footnoteReference w:id="307"/>
      </w:r>
      <w:r w:rsidRPr="00B03B51">
        <w:rPr>
          <w:rFonts w:ascii="Times New Roman" w:hAnsi="Times New Roman" w:cs="Times New Roman"/>
          <w:sz w:val="24"/>
          <w:szCs w:val="12"/>
        </w:rPr>
        <w:t xml:space="preserve"> </w:t>
      </w:r>
      <w:r w:rsidRPr="00B03B51">
        <w:rPr>
          <w:rFonts w:ascii="Times New Roman" w:hAnsi="Times New Roman" w:cs="Times New Roman"/>
          <w:sz w:val="24"/>
        </w:rPr>
        <w:t>Iespēja tika izveidota dažus gadus iepriekš, un mijmaiņas darījuma nosacījumi varētu būt regulāri līdzsvaroti (nominālvērtībā). To var novērot arī mijmaiņas nestandartizētajos nākotnes darījumos (mijmaiņas darījumi, kas noslēgti vienā laikā, bet sākas vēlāk, dažkārt pat pēc vairākiem gadiem).</w:t>
      </w:r>
    </w:p>
    <w:p w14:paraId="540B1B4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92387A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41. Taču, kad iespēja ir realizēta, tā pēc definīcijas vairs nebūs attiecināma. Mijmaiņas darījumam parādīsies tirgus vērtība (pretējā gadījumā iespēja netiktu realizēta), un vienīgā pazīme, kas jāņem vērā, ir tā, ka valdība noslēgs nelīdzsvarotu darījumu, izmantojot jaunu finanšu instrumentu. Nozīme ir nevis datumam, kurā mijmaiņas iespējas līgums ir noslēgts, bet gan datums, kurā mijmaiņas darījums ir faktiski īstenots. Tas būtu piemērojams arī citu veidu nolīgumiem (kas nav iespēju līgumi), kas paredz mijmaiņas darījuma stāšanos spēkā kādā vēlākā datumā.</w:t>
      </w:r>
      <w:r w:rsidRPr="00B03B51">
        <w:rPr>
          <w:rStyle w:val="FootnoteReference"/>
          <w:rFonts w:ascii="Times New Roman" w:hAnsi="Times New Roman" w:cs="Times New Roman"/>
          <w:noProof/>
          <w:sz w:val="24"/>
        </w:rPr>
        <w:footnoteReference w:id="308"/>
      </w:r>
      <w:r w:rsidRPr="00B03B51">
        <w:rPr>
          <w:rFonts w:ascii="Times New Roman" w:hAnsi="Times New Roman" w:cs="Times New Roman"/>
          <w:sz w:val="24"/>
          <w:szCs w:val="12"/>
        </w:rPr>
        <w:t xml:space="preserve"> </w:t>
      </w:r>
      <w:r w:rsidRPr="00B03B51">
        <w:rPr>
          <w:rFonts w:ascii="Times New Roman" w:hAnsi="Times New Roman" w:cs="Times New Roman"/>
          <w:sz w:val="24"/>
        </w:rPr>
        <w:t xml:space="preserve">Tā kā to rezultātā veidojas jauns konkrēts mijmaiņas darījuma līgums, tas ir </w:t>
      </w:r>
      <w:r w:rsidRPr="00B03B51">
        <w:rPr>
          <w:rFonts w:ascii="Times New Roman" w:hAnsi="Times New Roman" w:cs="Times New Roman"/>
          <w:sz w:val="24"/>
        </w:rPr>
        <w:lastRenderedPageBreak/>
        <w:t>jātraktē saskaņā ar vispārējiem noteikumiem, kas attiecas uz “naudas līdzekļu nepietiekamības” mijmaiņas darījumiem.</w:t>
      </w:r>
    </w:p>
    <w:p w14:paraId="731714D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7873E6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42. Ārpusbiržas mijmaiņas darījums var rasties arī saistībā ar esoša mijmaiņas darījuma atkārtotu pārrunu uzsākšanu/pārstrukturēšanu tādā veidā, ka jaunais mijmaiņas darījums (par kuru ir noslēgts jauns līgums, ar kuru aizstāj iepriekšējo) varētu sākties ar negatīvu vērtību valdībai, jo mijmaiņas darījuma tirgus vērtība tieši pirms pārstrukturēšanas uzsākšanas netika noteikta, bet tiek piemērota pārstrukturētajā mijmaiņas darījumā.</w:t>
      </w:r>
    </w:p>
    <w:p w14:paraId="7A725F44" w14:textId="77777777" w:rsidR="00443399" w:rsidRPr="00B03B51" w:rsidRDefault="00443399" w:rsidP="00443399">
      <w:pPr>
        <w:jc w:val="both"/>
        <w:rPr>
          <w:rFonts w:ascii="Times New Roman" w:eastAsia="Arial" w:hAnsi="Times New Roman" w:cs="Times New Roman"/>
          <w:noProof/>
          <w:sz w:val="24"/>
          <w:szCs w:val="28"/>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443399" w:rsidRPr="00B03B51" w14:paraId="691AB820" w14:textId="77777777" w:rsidTr="0054365B">
        <w:tc>
          <w:tcPr>
            <w:tcW w:w="5000" w:type="pct"/>
          </w:tcPr>
          <w:p w14:paraId="10BDB016" w14:textId="77777777" w:rsidR="00443399" w:rsidRPr="00B03B51" w:rsidRDefault="00443399" w:rsidP="0054365B">
            <w:pPr>
              <w:pStyle w:val="Heading3"/>
              <w:ind w:left="0" w:firstLine="0"/>
              <w:jc w:val="both"/>
              <w:outlineLvl w:val="2"/>
              <w:rPr>
                <w:rFonts w:ascii="Times New Roman" w:hAnsi="Times New Roman" w:cs="Times New Roman"/>
                <w:noProof/>
                <w:sz w:val="24"/>
              </w:rPr>
            </w:pPr>
            <w:bookmarkStart w:id="627" w:name="_Toc67565221"/>
            <w:r w:rsidRPr="00B03B51">
              <w:rPr>
                <w:rFonts w:ascii="Times New Roman" w:hAnsi="Times New Roman" w:cs="Times New Roman"/>
                <w:sz w:val="24"/>
              </w:rPr>
              <w:t>3. ierāmējums. Mijmaiņas darījumu pārstrukturēšana</w:t>
            </w:r>
            <w:bookmarkEnd w:id="627"/>
          </w:p>
          <w:p w14:paraId="5819038C"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52A9FD9B"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Kopumā mijmaiņas darījuma pārstrukturēšana (ko dēvē arī atkārtotām sarunām, grozīšanu, pārskatīšanu) pirms mijmaiņas darījuma līguma termiņa beigām nozīmē, ka iesaistītās puses vienojas mainīt vairākus mijmaiņas darījuma pamatparametrus – maksājuma termiņu, nosacīto pamatsummu, fiksētās likmes līmeni, mainīgo atsauci, sadalījumu, iespējas utt. Tas skaidri nozīmē, ka ar jauno mijmaiņas darījuma līgumu tiek aizstāts iepriekšējais, atceļot visas iepriekšējās pušu saistības.</w:t>
            </w:r>
          </w:p>
          <w:p w14:paraId="5E7304CA"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7D8B9F48"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Tas ir līdzīgi esošā mijmaiņas darījuma anulēšanai un jauna mijmaiņas darījuma izveidošanai. Atšķirība ir tāda, ka tā vietā, lai darījuma partneris rādītu negatīvu vērtību (saistības), pretējai darījuma pusei maksājot kompensāciju, ko ieraksta kā finanšu darījumu (nekavējoties vai sadalot ilgākā laika posmā atbilstoši tirgus praksei, kas būtu jāieraksta kā aizdevuma saistības), jaunajā mijmaiņas darījumā “iestrādā” kompensāciju, kas saistīta ar šo pirmstermiņa izbeigšanu. Tas nozīmē, ka maksājumus, kas jāveic katrai pusei, ar nolūku koriģē. Tāpēc mijmaiņas darījumu pārstrukturēšana nacionālajos kontos jātraktē tāpat kā mijmaiņas darījuma anulēšana, pēc kuras ieraksta jaunu nominālo mijmaiņas darījumu. Būtībā darījumi ir ļoti līdzīgi, pat ja (grafikā iekļauto faktisko maksājumu ziņā) parasti pastāv atšķirības. Nacionālajos kontos un </w:t>
            </w:r>
            <w:r w:rsidRPr="00B03B51">
              <w:rPr>
                <w:rFonts w:ascii="Times New Roman" w:hAnsi="Times New Roman" w:cs="Times New Roman"/>
                <w:i/>
                <w:iCs/>
                <w:sz w:val="24"/>
              </w:rPr>
              <w:t>EDP</w:t>
            </w:r>
            <w:r w:rsidRPr="00B03B51">
              <w:rPr>
                <w:rFonts w:ascii="Times New Roman" w:hAnsi="Times New Roman" w:cs="Times New Roman"/>
                <w:sz w:val="24"/>
              </w:rPr>
              <w:t xml:space="preserve"> nolūkos šo valdības riska stāvokļa pārvaldības rīku izmantošana galu galā noteikti atstāj tādu pašu ietekmi uz valdības (</w:t>
            </w:r>
            <w:r w:rsidRPr="00B03B51">
              <w:rPr>
                <w:rFonts w:ascii="Times New Roman" w:hAnsi="Times New Roman" w:cs="Times New Roman"/>
                <w:i/>
                <w:iCs/>
                <w:sz w:val="24"/>
              </w:rPr>
              <w:t>EDP</w:t>
            </w:r>
            <w:r w:rsidRPr="00B03B51">
              <w:rPr>
                <w:rFonts w:ascii="Times New Roman" w:hAnsi="Times New Roman" w:cs="Times New Roman"/>
                <w:sz w:val="24"/>
              </w:rPr>
              <w:t>) parādu.</w:t>
            </w:r>
          </w:p>
          <w:p w14:paraId="706A8E8E"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42EBD219"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saistībā pārstrukturētā mijmaiņas darījuma sākotnējai būtībai nav nozīmes. Galvenais ir tas, ka ir jauns mijmaiņas darījuma līgums, kas ar nolūku nesākas ar nulles vērtību plūsmām, kuras ieraksta kā atvasinātos finanšu instrumentus (F.71). Analizējot nacionālos kontus, galvenā uzmanība ir jāpievērš tam, ka valdība slēdz jaunu vienošanos, pamatojoties uz atšķirīgiem parametriem, kas ataino pārmaiņas valdības prognozēs. Saskaņā ar jaunā mijmaiņas darījuma uzbūvi ir jābūt atšķirīgam rezultātam attiecībā uz valdības turpmāko finansiālo stāvokli.</w:t>
            </w:r>
            <w:r w:rsidRPr="00B03B51">
              <w:rPr>
                <w:rStyle w:val="FootnoteReference"/>
                <w:rFonts w:ascii="Times New Roman" w:hAnsi="Times New Roman" w:cs="Times New Roman"/>
                <w:noProof/>
                <w:sz w:val="24"/>
              </w:rPr>
              <w:footnoteReference w:id="309"/>
            </w:r>
          </w:p>
          <w:p w14:paraId="6BE7F44D"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C942B67"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Ir arī jāuzsver, ka mijmaiņas darījumu var pārstrukturēt vairākkārtīgi. Tādējādi nav nozīmes izvērtēt paša sākotnējā līguma būtību, jo, veicot katru nākamo pārstrukturēšanu, tiek atcelti iepriekš norunātie pienākumi. Gadījumā, ja mijmaiņas darījumā pirms pārstrukturēšanas jau tika iekļauts aizdevuma komponents (negatīva vai pozitīva tirgus vērtība valdībai), aizdevuma atlikusī pamatsumma būtu jāpārvērtē, jo iepriekšējā mijmaiņas darījuma visu tirgus vērtību vai </w:t>
            </w:r>
            <w:r w:rsidRPr="00B03B51">
              <w:rPr>
                <w:rFonts w:ascii="Times New Roman" w:hAnsi="Times New Roman" w:cs="Times New Roman"/>
                <w:sz w:val="24"/>
              </w:rPr>
              <w:lastRenderedPageBreak/>
              <w:t>tā daļu nevajadzētu ierakstīt kā aizdevuma komponentu.</w:t>
            </w:r>
          </w:p>
          <w:p w14:paraId="1B51EAF5"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30AF78FE"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Šobrīd, šķiet, tirgos nav vērojama bieža mijmaiņas darījumu pārstrukturēšana, jo īpaši attiecībā uz tiem mijmaiņas darījumiem, kuriem ir īss/vidējs maksājuma termiņš. Parasti darījuma partnerim nav obligāti jāpiekrīt pārstrukturēšanai, un viņš var dot priekšroku mijmaiņas darījuma anulēšanai vai līgumā noteiktā maksājuma termiņa sasniegšanai. Tomēr valdība (jo īpaši centrālajā līmenī) parasti ir nozīmīgs emitents tirgos apjoma ziņā, un darījuma partneri šos iegādātos aktīvus parasti uzskata par “bezriska” aktīviem. Šim nolūkam valdība ienāk tirgos, galvenokārt izmantojot atlasītu skaitu darījuma partneru, kurus kopumā sauc par “primārajiem tirgotājiem”. Varētu pieņemt, ka uzņēmējdarbības nolūkos šie primārie tirgotāji, visticamāk, varētu piekrist pārstrukturēšanai, ko ierosina nozīmīgs partneris.</w:t>
            </w:r>
          </w:p>
          <w:p w14:paraId="56C186C2"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595B9C30" w14:textId="77777777" w:rsidR="00443399" w:rsidRPr="00B03B51" w:rsidRDefault="00443399" w:rsidP="0054365B">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Šajā saistībā darījuma partnera, kas tika lūgts iesaistīties atkārtotās sarunās, jebkādai alternatīvai ir jābūt neitrālai, ciktāl tas attiecas uz viņa finansiālo stāvokli. Citiem vārdiem sakot, viņa iepriekšējā mijmaiņas darījuma pozitīvajai vai negatīvajai tirgus vērtībai jaunajā mijmaiņas darījuma līgumā jāsaglabājas nemainīgai, ja neskaita tehniskos iemeslus, kam ir maza ietekme.</w:t>
            </w:r>
            <w:r w:rsidRPr="00B03B51">
              <w:rPr>
                <w:rStyle w:val="FootnoteReference"/>
                <w:rFonts w:ascii="Times New Roman" w:hAnsi="Times New Roman" w:cs="Times New Roman"/>
                <w:noProof/>
                <w:sz w:val="24"/>
              </w:rPr>
              <w:footnoteReference w:id="310"/>
            </w:r>
            <w:r w:rsidRPr="00B03B51">
              <w:rPr>
                <w:rFonts w:ascii="Times New Roman" w:hAnsi="Times New Roman" w:cs="Times New Roman"/>
                <w:sz w:val="24"/>
              </w:rPr>
              <w:t xml:space="preserve"> Šā iemesla dēļ mijmaiņas darījuma parametru maiņai ir jābūt saskanīgai. Piemēram, ja jaunā līguma maksājuma termiņš ir īsāks (garāks) nekā iepriekšējā līgumā, visiem parametriem saglabājoties nemainīgiem (fiksētā likme, mainīgā atsauce), nosacītā summa ir jāpalielina (jāsamazina), lai neitralizētu šo ietekmi.</w:t>
            </w:r>
            <w:r w:rsidRPr="00B03B51">
              <w:rPr>
                <w:rStyle w:val="FootnoteReference"/>
                <w:rFonts w:ascii="Times New Roman" w:hAnsi="Times New Roman" w:cs="Times New Roman"/>
                <w:noProof/>
                <w:sz w:val="24"/>
              </w:rPr>
              <w:footnoteReference w:id="311"/>
            </w:r>
          </w:p>
          <w:p w14:paraId="2A83C3DE"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1BFDDABE" w14:textId="77777777" w:rsidR="00443399" w:rsidRPr="00B03B51" w:rsidRDefault="00443399" w:rsidP="0054365B">
            <w:pPr>
              <w:pStyle w:val="BodyText"/>
              <w:spacing w:before="0"/>
              <w:ind w:left="0" w:firstLine="0"/>
              <w:jc w:val="both"/>
              <w:rPr>
                <w:rFonts w:ascii="Times New Roman" w:hAnsi="Times New Roman" w:cs="Times New Roman"/>
                <w:noProof/>
                <w:sz w:val="24"/>
                <w:szCs w:val="24"/>
              </w:rPr>
            </w:pPr>
            <w:r w:rsidRPr="00B03B51">
              <w:rPr>
                <w:rFonts w:ascii="Times New Roman" w:hAnsi="Times New Roman" w:cs="Times New Roman"/>
                <w:sz w:val="24"/>
              </w:rPr>
              <w:t>Šī “tirgus vērtības ekvivalence” ir mijmaiņas darījuma pārstrukturēšanas nosacījums. Proti, darījuma partneris, kam ir pozitīva vērtība (aktīvs), parasti neiesaistītos nelīdzsvarotā mijmaiņas darījumā, ja netiek nodrošināts, ka jaunais mijmaiņas darījums sāksies no tā paša stāvokļa. Uz peļņu vērstai vienībai, kas iesaistījusies komercdarījumos, nav nekādu iemeslu piekrist samazināt savu prasījumu pret valdību.</w:t>
            </w:r>
            <w:r w:rsidRPr="00B03B51">
              <w:rPr>
                <w:rFonts w:ascii="Times New Roman" w:hAnsi="Times New Roman" w:cs="Times New Roman"/>
                <w:sz w:val="24"/>
                <w:szCs w:val="24"/>
              </w:rPr>
              <w:t xml:space="preserve"> Līdzīgi valdību neinteresē atsākt sarunas par mijmaiņas darījumu, kuru rezultātā palielinātos tās saistības.</w:t>
            </w:r>
          </w:p>
          <w:p w14:paraId="74BD5C40" w14:textId="77777777" w:rsidR="00443399" w:rsidRPr="00B03B51" w:rsidRDefault="00443399" w:rsidP="0054365B">
            <w:pPr>
              <w:pStyle w:val="BodyText"/>
              <w:spacing w:before="0"/>
              <w:ind w:left="0" w:firstLine="0"/>
              <w:jc w:val="both"/>
              <w:rPr>
                <w:rFonts w:ascii="Times New Roman" w:hAnsi="Times New Roman" w:cs="Times New Roman"/>
                <w:noProof/>
                <w:sz w:val="24"/>
              </w:rPr>
            </w:pPr>
          </w:p>
          <w:p w14:paraId="1F88EA0E" w14:textId="77777777" w:rsidR="00443399" w:rsidRPr="00B03B51" w:rsidRDefault="00443399" w:rsidP="0054365B">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Pēc pārstrukturēšanas valdība var prognozēt sava stāvokļa uzlabošanos, kas tiktu atainots “mijmaiņas darījuma komponenta” tirgus vērtībā, kas sākas ar nulli, kā minēts iepriekš. Taču vairumā gadījumu darījuma partneris neprognozē sava aktīvu stāvokļa pilnīgu apvērsi (piemēram, pēc apvērstās ienesīguma līknes, kad viņš ir īstermiņa maksātājs un fiksētās likmes saņēmējs mijmaiņas darījumā). Valdība var sevi papildus pasargāt pret negatīvām tendencēm, izmantojot dažādus līdzekļus (vispārējo pārvaldību, iespējas līgumus utt.).</w:t>
            </w:r>
          </w:p>
          <w:p w14:paraId="6287D6A7" w14:textId="77777777" w:rsidR="00443399" w:rsidRPr="00B03B51" w:rsidRDefault="00443399" w:rsidP="0054365B">
            <w:pPr>
              <w:jc w:val="both"/>
              <w:rPr>
                <w:rFonts w:ascii="Times New Roman" w:eastAsia="Arial" w:hAnsi="Times New Roman" w:cs="Times New Roman"/>
                <w:noProof/>
                <w:sz w:val="24"/>
                <w:szCs w:val="24"/>
              </w:rPr>
            </w:pPr>
          </w:p>
          <w:p w14:paraId="1042AE05" w14:textId="77777777" w:rsidR="00443399" w:rsidRPr="00B03B51" w:rsidRDefault="00443399" w:rsidP="0054365B">
            <w:pPr>
              <w:jc w:val="both"/>
              <w:rPr>
                <w:rFonts w:ascii="Times New Roman" w:eastAsia="Arial" w:hAnsi="Times New Roman" w:cs="Times New Roman"/>
                <w:noProof/>
                <w:sz w:val="24"/>
                <w:szCs w:val="24"/>
              </w:rPr>
            </w:pPr>
            <w:r w:rsidRPr="00B03B51">
              <w:rPr>
                <w:rFonts w:ascii="Times New Roman" w:hAnsi="Times New Roman" w:cs="Times New Roman"/>
                <w:sz w:val="24"/>
                <w:szCs w:val="24"/>
              </w:rPr>
              <w:t>Visbeidzot, vairumā gadījumu pārstrukturēšana notiek ar tiem pašiem līgumslēdzējiem, taču gadās, ka dažādu iemeslu dēļ jaunais mijmaiņas darījums tiek noslēgts ar jaunu valdības sektorā neietilpstošu darījuma partneri (gadījums, ko sauc par “pārjaunojumu”, tostarp mijmaiņas darījumu nodošana centrālajam darījuma partnerim). Traktējumu par mijmaiņas darījumu pārstrukturēšanu nepiemēro, kad ir mainīts tikai viens darījuma partneris, bet citi parametri nav mainīti.</w:t>
            </w:r>
          </w:p>
        </w:tc>
      </w:tr>
    </w:tbl>
    <w:p w14:paraId="41169A50" w14:textId="77777777" w:rsidR="00443399" w:rsidRPr="00B03B51" w:rsidRDefault="00443399" w:rsidP="00443399">
      <w:pPr>
        <w:jc w:val="both"/>
        <w:rPr>
          <w:rFonts w:ascii="Times New Roman" w:eastAsia="Arial" w:hAnsi="Times New Roman" w:cs="Times New Roman"/>
          <w:noProof/>
          <w:sz w:val="24"/>
          <w:szCs w:val="25"/>
        </w:rPr>
      </w:pPr>
    </w:p>
    <w:p w14:paraId="1B2ABE1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43. Ir jāuzsver, ka dažkārt, izmantojot ārpusbiržas mijmaiņas darījumus, valdība var gūt labumu no lieliem vienreizējiem naudas maksājumiem, kas gadījumā, ja netiek ierakstīti kā aizdevumi, acīmredzami ir “slēpts” valdības (</w:t>
      </w:r>
      <w:r w:rsidRPr="00B03B51">
        <w:rPr>
          <w:rFonts w:ascii="Times New Roman" w:hAnsi="Times New Roman" w:cs="Times New Roman"/>
          <w:i/>
          <w:iCs/>
          <w:sz w:val="24"/>
        </w:rPr>
        <w:t>EDP</w:t>
      </w:r>
      <w:r w:rsidRPr="00B03B51">
        <w:rPr>
          <w:rFonts w:ascii="Times New Roman" w:hAnsi="Times New Roman" w:cs="Times New Roman"/>
          <w:sz w:val="24"/>
        </w:rPr>
        <w:t xml:space="preserve">) parāds. Turklāt valdība var izmantot šādus mijmaiņas </w:t>
      </w:r>
      <w:r w:rsidRPr="00B03B51">
        <w:rPr>
          <w:rFonts w:ascii="Times New Roman" w:hAnsi="Times New Roman" w:cs="Times New Roman"/>
          <w:sz w:val="24"/>
        </w:rPr>
        <w:lastRenderedPageBreak/>
        <w:t>darījumus, lai atliktu maksājumus, kam pienācis maksājuma termiņš, un sadalītu tos salīdzinoši ilgākā laika posmā. Tādā veidā faktisko valdības parāda stāvokli var arī mākslīgi uzlabot (vai slēpt pasliktināšanos). Tas varētu būt pretrunā ar nacionālo kontu pamatprincipu vienmēr sniegt stāvokļa “būtības” novērtējumu.</w:t>
      </w:r>
    </w:p>
    <w:p w14:paraId="51CC2A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07C44F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44. Visbeidzot, ja netiek veikts ārpusbiržas mijmaiņas darījumu traktējums, kā norādīts šajā nodaļā, valdības vienībām būtu iespēja veikt īpašas darbības, dažkārt sarežģītas, citos nolūkos, kas nav parāda pārvaldība, t. i., darbības, kas nav tieši saistītas ar esošo saistību risku novēršanu/mazināšanu. To bieži vien sauc par “rentabilitātes šķietamības radīšanu” (vienreizējs pasākums finansiālā stāvokļa uzlabošanai), un tas var arī “slēpt” šādu darbību izmaksas (jo īpaši, sadalot tās). Visi ārpusbiržas mijmaiņas darījumi vienmēr ir pilnībā jāataino valdības parāda līmenī to noslēgšanas brīdī.</w:t>
      </w:r>
    </w:p>
    <w:p w14:paraId="5A6F82EA" w14:textId="77777777" w:rsidR="00443399" w:rsidRPr="00B03B51" w:rsidRDefault="00443399" w:rsidP="00443399">
      <w:pPr>
        <w:jc w:val="both"/>
        <w:rPr>
          <w:rFonts w:ascii="Times New Roman" w:eastAsia="Arial" w:hAnsi="Times New Roman" w:cs="Times New Roman"/>
          <w:noProof/>
          <w:sz w:val="24"/>
          <w:szCs w:val="15"/>
        </w:rPr>
      </w:pPr>
    </w:p>
    <w:p w14:paraId="02FE1F28" w14:textId="77777777" w:rsidR="00443399" w:rsidRPr="00B03B51" w:rsidRDefault="00443399" w:rsidP="0008022C">
      <w:pPr>
        <w:pStyle w:val="Heading6"/>
        <w:ind w:left="0" w:firstLine="0"/>
        <w:jc w:val="both"/>
        <w:rPr>
          <w:rFonts w:ascii="Times New Roman" w:hAnsi="Times New Roman" w:cs="Times New Roman"/>
          <w:noProof/>
          <w:sz w:val="24"/>
        </w:rPr>
      </w:pPr>
      <w:bookmarkStart w:id="628" w:name="8.3.3.1_Accounting_example_of_off-market"/>
      <w:bookmarkEnd w:id="628"/>
      <w:r w:rsidRPr="00B03B51">
        <w:rPr>
          <w:rFonts w:ascii="Times New Roman" w:hAnsi="Times New Roman" w:cs="Times New Roman"/>
          <w:sz w:val="24"/>
        </w:rPr>
        <w:t>8.3.3.1. ĀRPUSBIRŽAS MIJMAIŅAS DARĪJUMA UZSKAITES PIEMĒRS</w:t>
      </w:r>
    </w:p>
    <w:p w14:paraId="69FDF455" w14:textId="77777777" w:rsidR="00443399" w:rsidRPr="00B03B51" w:rsidRDefault="00443399" w:rsidP="0008022C">
      <w:pPr>
        <w:tabs>
          <w:tab w:val="left" w:pos="843"/>
        </w:tabs>
        <w:jc w:val="both"/>
        <w:rPr>
          <w:rFonts w:ascii="Times New Roman" w:hAnsi="Times New Roman" w:cs="Times New Roman"/>
          <w:b/>
          <w:noProof/>
          <w:sz w:val="24"/>
        </w:rPr>
      </w:pPr>
    </w:p>
    <w:p w14:paraId="4E934090"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a) Procentu likmes mijmaiņas darījuma gadījums</w:t>
      </w:r>
    </w:p>
    <w:p w14:paraId="0220C36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DF63B1D"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Ir panākta vienošanās par procentu likmes mijmaiņas darījumu ar turpmāk norādītajiem nosacījumiem.</w:t>
      </w:r>
    </w:p>
    <w:p w14:paraId="2A468D7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FAD2AF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Maksājuma termiņš – 10 gadi, nosacītā summa – 100, fiksētas likmes maksājums, ko veic bankas darījuma partneris – 4,5 %, brīvi svārstīgas likmes maksājums, ko veic valdības vienības darījuma partneris: 12 mēnešu </w:t>
      </w:r>
      <w:r w:rsidRPr="00B03B51">
        <w:rPr>
          <w:rFonts w:ascii="Times New Roman" w:hAnsi="Times New Roman" w:cs="Times New Roman"/>
          <w:i/>
          <w:iCs/>
          <w:sz w:val="24"/>
        </w:rPr>
        <w:t>Euribor</w:t>
      </w:r>
      <w:r w:rsidRPr="00B03B51">
        <w:rPr>
          <w:rFonts w:ascii="Times New Roman" w:hAnsi="Times New Roman" w:cs="Times New Roman"/>
          <w:sz w:val="24"/>
        </w:rPr>
        <w:t xml:space="preserve"> + 5,50 %.</w:t>
      </w:r>
    </w:p>
    <w:p w14:paraId="615592A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AE7092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Ir skaidrs, ka šis darījums ir acīmredzami nelīdzsvarots un bankas darījuma partneris būs neto saņēmējs visu līguma darbības laiku (lai sasniegtu paritāti, </w:t>
      </w:r>
      <w:r w:rsidRPr="00B03B51">
        <w:rPr>
          <w:rFonts w:ascii="Times New Roman" w:hAnsi="Times New Roman" w:cs="Times New Roman"/>
          <w:i/>
          <w:iCs/>
          <w:sz w:val="24"/>
        </w:rPr>
        <w:t>Euribor</w:t>
      </w:r>
      <w:r w:rsidRPr="00B03B51">
        <w:rPr>
          <w:rFonts w:ascii="Times New Roman" w:hAnsi="Times New Roman" w:cs="Times New Roman"/>
          <w:sz w:val="24"/>
        </w:rPr>
        <w:t xml:space="preserve"> 12 mēnešu likmei būtu jānokrītas līdz 1 %).</w:t>
      </w:r>
    </w:p>
    <w:p w14:paraId="7C55D3E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3AF6FD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Pamatojoties uz tūlītējā tirgus nosacījumiem, var novērtēt mijmaiņas darījuma nominālo vērtību (tā, lai sākumā tā būtu vienāda abām pusēm) un atskaitīt “ārpusbiržas” komponentu (piemēram, līdzsvarojošo maksājumu).</w:t>
      </w:r>
    </w:p>
    <w:p w14:paraId="7C61FE4A"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6655AC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Pieņemsim, ka šajā gadījumā neto maksājumu (bez līdzsvarojošā maksājuma) pašreizējā vērtība provizoriski ir 50 naudas vienības. Bankas darījuma partnerim šī summa ir sākumā jāsamaksā valdības vienībai. Ietekme uz </w:t>
      </w:r>
      <w:r w:rsidRPr="00B03B51">
        <w:rPr>
          <w:rFonts w:ascii="Times New Roman" w:hAnsi="Times New Roman" w:cs="Times New Roman"/>
          <w:i/>
          <w:iCs/>
          <w:sz w:val="24"/>
        </w:rPr>
        <w:t>EDP</w:t>
      </w:r>
      <w:r w:rsidRPr="00B03B51">
        <w:rPr>
          <w:rFonts w:ascii="Times New Roman" w:hAnsi="Times New Roman" w:cs="Times New Roman"/>
          <w:sz w:val="24"/>
        </w:rPr>
        <w:t xml:space="preserve"> datiem būs, kā norādīts turpmāk.</w:t>
      </w:r>
    </w:p>
    <w:p w14:paraId="0957CAAD"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8070E8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Sākumā nav nekādas ietekmes uz neto aizdevumu/aizņēmumu (B.9), jo vienreizējo maksājumu neieraksta kā ieņēmumus. Sākumā parāds palielinās par 50 naudas vienībām, jo vienreizējo maksājumu ieraksta kā aizdevumu (AF.42), kas amortizējas mijmaiņas darījuma termiņa laikā, šajā gadījumā – desmit gados.</w:t>
      </w:r>
    </w:p>
    <w:p w14:paraId="11C586B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1CF133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Katru gadu mijmaiņas darījuma termiņa laikā rodas negatīva ietekme uz neto aizdevumu/aizņēmumu (B.9) aizdevuma procentu dēļ (tā kā darījuma partneris ir banka, faktiski procentus sadala D.41 kā procentus un </w:t>
      </w:r>
      <w:r w:rsidRPr="00B03B51">
        <w:rPr>
          <w:rFonts w:ascii="Times New Roman" w:hAnsi="Times New Roman" w:cs="Times New Roman"/>
          <w:i/>
          <w:iCs/>
          <w:sz w:val="24"/>
        </w:rPr>
        <w:t>FISIM</w:t>
      </w:r>
      <w:r w:rsidRPr="00B03B51">
        <w:rPr>
          <w:rFonts w:ascii="Times New Roman" w:hAnsi="Times New Roman" w:cs="Times New Roman"/>
          <w:sz w:val="24"/>
        </w:rPr>
        <w:t>, taču vienkāršības labad tas šeit netiek parādīts); visas pārējās plūsmas ieraksta kā finanšu plūsmas. Daļu no šīm citām mijmaiņas darījuma plūsmām ieraksta kā aizdevuma amortizāciju.</w:t>
      </w:r>
    </w:p>
    <w:p w14:paraId="60213045"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445BA9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Ieteicams izmantot šādu metodi:</w:t>
      </w:r>
    </w:p>
    <w:p w14:paraId="3214A998"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DBB0B9A"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aizdevums ir piešķirts ar fiksētu un nepārskatāmu procentu likmi;</w:t>
      </w:r>
    </w:p>
    <w:p w14:paraId="6BB8F58C"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fiksēto procentu likmi iegūst, izmantojot valdības vienības finansējuma izmaksas;</w:t>
      </w:r>
    </w:p>
    <w:p w14:paraId="31B0FD90"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lastRenderedPageBreak/>
        <w:t>aizdevuma aprēķināšanai izmanto regulārus konstantas summas maksājumus (reizi gadā vai pusgadā), kas sastāv no pamatsummas atmaksas un procentu maksājumiem atbilstoši fiksētai likmei, kā minēts iepriekš;</w:t>
      </w:r>
    </w:p>
    <w:p w14:paraId="6DFC40F8"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aizdevuma procenti ir jāieraksta pēc uzkrājuma principa;</w:t>
      </w:r>
    </w:p>
    <w:p w14:paraId="01556B20"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katru gadu mijmaiņas darījuma termiņa laikā valdības parāds tiek samazināts, veicot aizdevuma atmaksu, līdz iestājas aizdevuma komponenta galīgais atmaksas termiņš.</w:t>
      </w:r>
    </w:p>
    <w:p w14:paraId="44FB560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91F6B1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Šajā piemērā 12 mēnešu </w:t>
      </w:r>
      <w:r w:rsidRPr="00B03B51">
        <w:rPr>
          <w:rFonts w:ascii="Times New Roman" w:hAnsi="Times New Roman" w:cs="Times New Roman"/>
          <w:i/>
          <w:iCs/>
          <w:sz w:val="24"/>
        </w:rPr>
        <w:t>Euribor</w:t>
      </w:r>
      <w:r w:rsidRPr="00B03B51">
        <w:rPr>
          <w:rFonts w:ascii="Times New Roman" w:hAnsi="Times New Roman" w:cs="Times New Roman"/>
          <w:sz w:val="24"/>
        </w:rPr>
        <w:t xml:space="preserve"> bija 3 % mijmaiņas darījuma sākumā. Aizdevumam piemērojamā fiksēta procentu likme ir 4 %. Ir jāieraksta turpmāk norādītie darījumi.</w:t>
      </w:r>
    </w:p>
    <w:p w14:paraId="455C008F" w14:textId="77777777" w:rsidR="00443399" w:rsidRPr="00B03B51" w:rsidRDefault="00443399" w:rsidP="00443399">
      <w:pPr>
        <w:jc w:val="both"/>
        <w:rPr>
          <w:rFonts w:ascii="Times New Roman" w:eastAsia="Arial" w:hAnsi="Times New Roman" w:cs="Times New Roman"/>
          <w:noProof/>
          <w:sz w:val="24"/>
          <w:szCs w:val="18"/>
        </w:rPr>
      </w:pPr>
    </w:p>
    <w:p w14:paraId="70E8C515"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Sākotnējās AF.4 saistības: 50</w:t>
      </w:r>
    </w:p>
    <w:p w14:paraId="50545FC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Procentu likme 3 % (no </w:t>
      </w:r>
      <w:r w:rsidRPr="00B03B51">
        <w:rPr>
          <w:rFonts w:ascii="Times New Roman" w:hAnsi="Times New Roman" w:cs="Times New Roman"/>
          <w:i/>
          <w:iCs/>
          <w:sz w:val="24"/>
        </w:rPr>
        <w:t>Euribor</w:t>
      </w:r>
      <w:r w:rsidRPr="00B03B51">
        <w:rPr>
          <w:rFonts w:ascii="Times New Roman" w:hAnsi="Times New Roman" w:cs="Times New Roman"/>
          <w:sz w:val="24"/>
        </w:rPr>
        <w:t>)</w:t>
      </w:r>
    </w:p>
    <w:p w14:paraId="1272585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Aizdevuma nosacītā gada maksa: 6,165 (summa, kas nepieciešama nemainīgiem gada maksājumiem, lai atmaksātu aizdevumu ar piemēroto procentu likmi 4 %)</w:t>
      </w:r>
    </w:p>
    <w:p w14:paraId="6AE812E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Neto mijmaiņas darījuma naudas norēķini: pēc viena gada +4,5 (banka), 8,5 (valdība; 3 + 5,5) = valdības neto maksājums ir 4</w:t>
      </w:r>
    </w:p>
    <w:p w14:paraId="67EC56F3" w14:textId="77777777" w:rsidR="00443399" w:rsidRPr="00B03B51" w:rsidRDefault="00443399" w:rsidP="00443399">
      <w:pPr>
        <w:jc w:val="both"/>
        <w:rPr>
          <w:rFonts w:ascii="Times New Roman" w:eastAsia="Arial" w:hAnsi="Times New Roman" w:cs="Times New Roman"/>
          <w:noProof/>
          <w:sz w:val="24"/>
        </w:rPr>
      </w:pPr>
    </w:p>
    <w:p w14:paraId="70D0945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Kontos veicami turpmāk norādītie ieraksti.</w:t>
      </w:r>
    </w:p>
    <w:p w14:paraId="30D35FF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D.41 maksājamie procenti: 2 (4 % no pamatsummas 50)</w:t>
      </w:r>
    </w:p>
    <w:p w14:paraId="7A9B73B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Pamatsummas amortizācija pirmajā gadā: 4,2 (F.4 saistību plūsma)</w:t>
      </w:r>
    </w:p>
    <w:p w14:paraId="76D15A39"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F.2 aktīvu plūsma –4 (naudas norēķins)</w:t>
      </w:r>
    </w:p>
    <w:p w14:paraId="25339E40"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F.71 aktīvu plūsma –2,2, lai līdzsvarotu kontus.</w:t>
      </w:r>
    </w:p>
    <w:p w14:paraId="796407F3" w14:textId="77777777" w:rsidR="00443399" w:rsidRPr="00B03B51" w:rsidRDefault="00443399" w:rsidP="00443399">
      <w:pPr>
        <w:jc w:val="both"/>
        <w:rPr>
          <w:rFonts w:ascii="Times New Roman" w:eastAsia="Arial" w:hAnsi="Times New Roman" w:cs="Times New Roman"/>
          <w:noProof/>
          <w:sz w:val="24"/>
          <w:szCs w:val="23"/>
        </w:rPr>
      </w:pPr>
    </w:p>
    <w:p w14:paraId="0D91DE7B"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Slēgšanas periodā AF.4 saistības ir: 45,8 (50–4,26)</w:t>
      </w:r>
    </w:p>
    <w:p w14:paraId="3010C90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Pieņem, ka 1. gadā AF.7 aktīvi/saistības nav pārvērtēti</w:t>
      </w:r>
    </w:p>
    <w:p w14:paraId="0EFE1D05" w14:textId="77777777" w:rsidR="00443399" w:rsidRPr="00B03B51" w:rsidRDefault="00443399" w:rsidP="00443399">
      <w:pPr>
        <w:jc w:val="both"/>
        <w:rPr>
          <w:rFonts w:ascii="Times New Roman" w:eastAsia="Arial" w:hAnsi="Times New Roman" w:cs="Times New Roman"/>
          <w:noProof/>
          <w:sz w:val="24"/>
          <w:szCs w:val="18"/>
        </w:rPr>
      </w:pPr>
    </w:p>
    <w:p w14:paraId="703FEED5" w14:textId="77777777" w:rsidR="00443399" w:rsidRPr="00B03B51" w:rsidRDefault="00443399" w:rsidP="0008022C">
      <w:pPr>
        <w:keepNext/>
        <w:jc w:val="both"/>
        <w:rPr>
          <w:rFonts w:ascii="Times New Roman" w:hAnsi="Times New Roman" w:cs="Times New Roman"/>
          <w:b/>
          <w:noProof/>
          <w:sz w:val="24"/>
        </w:rPr>
      </w:pPr>
      <w:r w:rsidRPr="00B03B51">
        <w:rPr>
          <w:rFonts w:ascii="Times New Roman" w:hAnsi="Times New Roman" w:cs="Times New Roman"/>
          <w:b/>
          <w:sz w:val="24"/>
        </w:rPr>
        <w:lastRenderedPageBreak/>
        <w:t>Sākumā</w:t>
      </w:r>
    </w:p>
    <w:p w14:paraId="5FBA4F99" w14:textId="77777777" w:rsidR="00443399" w:rsidRPr="00B03B51" w:rsidRDefault="00443399" w:rsidP="0008022C">
      <w:pPr>
        <w:keepNext/>
        <w:jc w:val="both"/>
        <w:rPr>
          <w:rFonts w:ascii="Times New Roman" w:eastAsia="Arial" w:hAnsi="Times New Roman" w:cs="Times New Roman"/>
          <w:b/>
          <w:bCs/>
          <w:noProof/>
          <w:sz w:val="24"/>
          <w:szCs w:val="26"/>
        </w:rPr>
      </w:pPr>
    </w:p>
    <w:p w14:paraId="098C81EB" w14:textId="77777777" w:rsidR="00443399" w:rsidRPr="00B03B51" w:rsidRDefault="00443399" w:rsidP="0008022C">
      <w:pPr>
        <w:keepNext/>
        <w:tabs>
          <w:tab w:val="left" w:pos="7443"/>
        </w:tabs>
        <w:jc w:val="center"/>
        <w:rPr>
          <w:rFonts w:ascii="Times New Roman" w:eastAsia="Arial" w:hAnsi="Times New Roman" w:cs="Times New Roman"/>
          <w:b/>
          <w:bCs/>
          <w:noProof/>
          <w:sz w:val="24"/>
          <w:szCs w:val="20"/>
        </w:rPr>
      </w:pPr>
      <w:r w:rsidRPr="00B03B51">
        <w:rPr>
          <w:rFonts w:ascii="Times New Roman" w:hAnsi="Times New Roman" w:cs="Times New Roman"/>
          <w:noProof/>
        </w:rPr>
        <w:drawing>
          <wp:inline distT="0" distB="0" distL="0" distR="0" wp14:anchorId="748F2C90" wp14:editId="33AD8858">
            <wp:extent cx="5756275" cy="2922905"/>
            <wp:effectExtent l="0" t="0" r="0"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756275" cy="2922905"/>
                    </a:xfrm>
                    <a:prstGeom prst="rect">
                      <a:avLst/>
                    </a:prstGeom>
                  </pic:spPr>
                </pic:pic>
              </a:graphicData>
            </a:graphic>
          </wp:inline>
        </w:drawing>
      </w:r>
    </w:p>
    <w:p w14:paraId="6E60C5F9" w14:textId="5C80733E" w:rsidR="00443399" w:rsidRPr="00B03B51" w:rsidRDefault="00DA7E7B" w:rsidP="00443399">
      <w:pPr>
        <w:jc w:val="center"/>
        <w:rPr>
          <w:rFonts w:ascii="Times New Roman" w:eastAsia="Arial" w:hAnsi="Times New Roman" w:cs="Times New Roman"/>
          <w:b/>
          <w:bCs/>
          <w:noProof/>
          <w:sz w:val="24"/>
          <w:szCs w:val="18"/>
        </w:rPr>
      </w:pPr>
      <w:r w:rsidRPr="00B03B51">
        <w:rPr>
          <w:rFonts w:ascii="Times New Roman" w:hAnsi="Times New Roman" w:cs="Times New Roman"/>
          <w:noProof/>
        </w:rPr>
        <w:drawing>
          <wp:inline distT="0" distB="0" distL="0" distR="0" wp14:anchorId="46D1F5B4" wp14:editId="655B79D8">
            <wp:extent cx="5756275" cy="1219200"/>
            <wp:effectExtent l="0" t="0" r="0"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b="79225"/>
                    <a:stretch/>
                  </pic:blipFill>
                  <pic:spPr bwMode="auto">
                    <a:xfrm>
                      <a:off x="0" y="0"/>
                      <a:ext cx="5756275" cy="1219200"/>
                    </a:xfrm>
                    <a:prstGeom prst="rect">
                      <a:avLst/>
                    </a:prstGeom>
                    <a:ln>
                      <a:noFill/>
                    </a:ln>
                    <a:extLst>
                      <a:ext uri="{53640926-AAD7-44D8-BBD7-CCE9431645EC}">
                        <a14:shadowObscured xmlns:a14="http://schemas.microsoft.com/office/drawing/2010/main"/>
                      </a:ext>
                    </a:extLst>
                  </pic:spPr>
                </pic:pic>
              </a:graphicData>
            </a:graphic>
          </wp:inline>
        </w:drawing>
      </w:r>
      <w:r w:rsidR="00443399" w:rsidRPr="00B03B51">
        <w:rPr>
          <w:rFonts w:ascii="Times New Roman" w:hAnsi="Times New Roman" w:cs="Times New Roman"/>
          <w:noProof/>
        </w:rPr>
        <w:drawing>
          <wp:inline distT="0" distB="0" distL="0" distR="0" wp14:anchorId="235469DE" wp14:editId="5CE42736">
            <wp:extent cx="5756275" cy="4371975"/>
            <wp:effectExtent l="0" t="0" r="0" b="9525"/>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t="23372" b="2131"/>
                    <a:stretch/>
                  </pic:blipFill>
                  <pic:spPr bwMode="auto">
                    <a:xfrm>
                      <a:off x="0" y="0"/>
                      <a:ext cx="5756275" cy="4371975"/>
                    </a:xfrm>
                    <a:prstGeom prst="rect">
                      <a:avLst/>
                    </a:prstGeom>
                    <a:ln>
                      <a:noFill/>
                    </a:ln>
                    <a:extLst>
                      <a:ext uri="{53640926-AAD7-44D8-BBD7-CCE9431645EC}">
                        <a14:shadowObscured xmlns:a14="http://schemas.microsoft.com/office/drawing/2010/main"/>
                      </a:ext>
                    </a:extLst>
                  </pic:spPr>
                </pic:pic>
              </a:graphicData>
            </a:graphic>
          </wp:inline>
        </w:drawing>
      </w:r>
    </w:p>
    <w:p w14:paraId="1197C4BD" w14:textId="77777777" w:rsidR="00443399" w:rsidRPr="00B03B51" w:rsidRDefault="00443399" w:rsidP="00443399">
      <w:pPr>
        <w:jc w:val="both"/>
        <w:rPr>
          <w:rFonts w:ascii="Times New Roman" w:eastAsia="Arial" w:hAnsi="Times New Roman" w:cs="Times New Roman"/>
          <w:b/>
          <w:bCs/>
          <w:noProof/>
          <w:sz w:val="24"/>
          <w:szCs w:val="21"/>
        </w:rPr>
      </w:pPr>
    </w:p>
    <w:p w14:paraId="06635411"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b) Valūtas mijmaiņas darījuma gadījums</w:t>
      </w:r>
    </w:p>
    <w:p w14:paraId="2B9CB5A4"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35F1278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Pieņem, ka valdības vienība ir emitējusi fiksētas likmes ilgtermiņa obligāciju eiro valūtā, kuras nominālvērtība ir 100. Obligācijas atlikušais maksājuma termiņš tagad ir 10 gadi. Dažādu apsvērumu dēļ valdība vēlas samazināt sava nominālā parāda rādītājus.</w:t>
      </w:r>
    </w:p>
    <w:p w14:paraId="7F861C70"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6FDEFF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Tiek veikti turpmāk norādītie pasākumi.</w:t>
      </w:r>
    </w:p>
    <w:p w14:paraId="66EAE91C"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CFDBAFA"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veic EUR/USD valūtas mijmaiņas darījumu (šeit fiksēta/brīvi svārstīga likme), vienojoties līgumā par valūtas maiņas kursu EUR/USD = 1, turpretī tūlītējā tirgus valūtas maiņas kurss ir EUR/USD = 1,25 (ekvivalents USD/EUR = 0,8).</w:t>
      </w:r>
    </w:p>
    <w:p w14:paraId="0CFAE09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0F85C2B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Sākumā valdība apmaina 100 EUR un pretī no sava darījuma partnera saņem 100 USD (un nevis 125 USD atbilstoši dominējošajam tūlītējā tirgus valūtas maiņas kursam).</w:t>
      </w:r>
    </w:p>
    <w:p w14:paraId="198AB3A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919EB3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Mijmaiņas darījuma līguma beigās (ja vien tas nav atcelts pirms termiņa) valdība atgriezīs šos 100 USD un atgūs 100 EUR, kurus var izmantot, lai izpirktu attiecīgo obligāciju. Tā kā tiek izmantots mazāk labvēlīgs eiro maiņas kurss, šā darījuma rezultātā valdības parāds faktiski samazināsies, jo saskaņā ar </w:t>
      </w:r>
      <w:r w:rsidRPr="00B03B51">
        <w:rPr>
          <w:rFonts w:ascii="Times New Roman" w:hAnsi="Times New Roman" w:cs="Times New Roman"/>
          <w:i/>
          <w:iCs/>
          <w:sz w:val="24"/>
        </w:rPr>
        <w:t>EDP</w:t>
      </w:r>
      <w:r w:rsidRPr="00B03B51">
        <w:rPr>
          <w:rFonts w:ascii="Times New Roman" w:hAnsi="Times New Roman" w:cs="Times New Roman"/>
          <w:sz w:val="24"/>
        </w:rPr>
        <w:t xml:space="preserve"> metodoloģiju pārvēršana notiks šādi:</w:t>
      </w:r>
    </w:p>
    <w:p w14:paraId="7261CB56" w14:textId="77777777" w:rsidR="00443399" w:rsidRPr="00B03B51" w:rsidRDefault="00443399" w:rsidP="00443399">
      <w:pPr>
        <w:jc w:val="both"/>
        <w:rPr>
          <w:rFonts w:ascii="Times New Roman" w:hAnsi="Times New Roman" w:cs="Times New Roman"/>
          <w:noProof/>
          <w:sz w:val="24"/>
        </w:rPr>
      </w:pPr>
    </w:p>
    <w:p w14:paraId="2CC2962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100 EUR=100 USD (1:1, izmantojot līgumā noteikto likmi); tad konvertē atpakaļ uz 80 EUR (EUR/USD=1,25), izmantojot tūlītējo tirgus likmi).</w:t>
      </w:r>
    </w:p>
    <w:p w14:paraId="4007565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4894C2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Naudas plūsma attiecībā uz valūtas daļu tiks koriģēta tādā veidā, lai valdības vienība mijmaiņas darījuma termiņa laikā atmaksātu 125 USD.</w:t>
      </w:r>
    </w:p>
    <w:p w14:paraId="523C807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7619238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Atbilstoši tirgus nosacījumiem (neatzīstot līdzsvarojošo maksājumu) mijmaiņas darījums ir nelīdzsvarots ar tirgus vērtību 25 USD (20 EUR) apmērā darījuma partnera labā (kurš sākotnējas mijmaiņas laikā piešķīra tikai 100 USD).</w:t>
      </w:r>
    </w:p>
    <w:p w14:paraId="3D74EB21"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96D18D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Atbilstoši šādiem nosacījumiem tam darījuma sākumā būtu jāizmaksā valdībai ekvivalents vienreizējs maksājums 25 USD (20 EUR) apmērā.</w:t>
      </w:r>
    </w:p>
    <w:p w14:paraId="795EF7B9"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4B526B91"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Tā kā nav izstrādāti </w:t>
      </w:r>
      <w:r w:rsidRPr="00B03B51">
        <w:rPr>
          <w:rFonts w:ascii="Times New Roman" w:hAnsi="Times New Roman" w:cs="Times New Roman"/>
          <w:i/>
          <w:iCs/>
          <w:sz w:val="24"/>
        </w:rPr>
        <w:t>Eurostat</w:t>
      </w:r>
      <w:r w:rsidRPr="00B03B51">
        <w:rPr>
          <w:rFonts w:ascii="Times New Roman" w:hAnsi="Times New Roman" w:cs="Times New Roman"/>
          <w:sz w:val="24"/>
        </w:rPr>
        <w:t xml:space="preserve"> noteikumi par ārpusbiržas mijmaiņas darījumu, līguma parakstīšanas brīdī valdības vienība gūtu labumu no sava parāda samazināšanas (pārvēršana).</w:t>
      </w:r>
    </w:p>
    <w:p w14:paraId="33F58127"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C68891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Valdība kā darījuma partneris maksātu lielākus “neto procentu” maksājumus līguma darbības termiņa laikā (izlīdzinot sākotnējo pozitīvo ietekmi) un turklāt būtu pakļauta valūtas maiņas kursa riskam. Tā ir apmainījusi sākotnējo parādu vietējā valūtā pret parādu ārvalstu valūtā, kuras vērtība var strauji mainīties nelabvēlīgu tirgus apstākļu dēļ (šajā gadījumā – vietējās valūtas vērtības krišanās).</w:t>
      </w:r>
    </w:p>
    <w:p w14:paraId="015FFB9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5A44A22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Saskaņā ar </w:t>
      </w:r>
      <w:r w:rsidRPr="00B03B51">
        <w:rPr>
          <w:rFonts w:ascii="Times New Roman" w:hAnsi="Times New Roman" w:cs="Times New Roman"/>
          <w:i/>
          <w:iCs/>
          <w:sz w:val="24"/>
        </w:rPr>
        <w:t>Eurostat</w:t>
      </w:r>
      <w:r w:rsidRPr="00B03B51">
        <w:rPr>
          <w:rFonts w:ascii="Times New Roman" w:hAnsi="Times New Roman" w:cs="Times New Roman"/>
          <w:sz w:val="24"/>
        </w:rPr>
        <w:t xml:space="preserve"> noteikumiem par ārpusbiržas mijmaiņas darījumiem šāds pasākums nepalīdzēs valstij sasniegt tās sākotnējos mērķus, jo:</w:t>
      </w:r>
    </w:p>
    <w:p w14:paraId="160DB67F"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71EDC89"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valūtas mijmaiņas darījums tiks sadalīts kā “nominālvērtības/aktīva vērtībai atbilstošs mijmaiņas darījums”, pamatojoties uz līguma sākumā spēkā esošo valūtas maiņas kursu tirgū (EUR/USD = 1,25), un aizdevums ārvalstu valūtā (ko ieraksta pozīcijā AF.4) par valdības saņemtā naudas papildmaksājuma summu.</w:t>
      </w:r>
    </w:p>
    <w:p w14:paraId="65FF48A9" w14:textId="77777777" w:rsidR="00443399" w:rsidRPr="00B03B51" w:rsidRDefault="00443399" w:rsidP="00D939EF">
      <w:pPr>
        <w:pStyle w:val="BodyText"/>
        <w:numPr>
          <w:ilvl w:val="2"/>
          <w:numId w:val="20"/>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ārvalstu valūtā izteiktais aizdevums tiks amortizēts 10 gadu laikā, veicot regulārus </w:t>
      </w:r>
      <w:r w:rsidRPr="00B03B51">
        <w:rPr>
          <w:rFonts w:ascii="Times New Roman" w:hAnsi="Times New Roman" w:cs="Times New Roman"/>
          <w:sz w:val="24"/>
        </w:rPr>
        <w:lastRenderedPageBreak/>
        <w:t>“procentu neto maksājumus” līguma darbības laikā atbilstoši iepriekšējā ārpusbiržas procentu likmes mijmaiņas darījuma piemērā aprakstītajai metodei.</w:t>
      </w:r>
    </w:p>
    <w:p w14:paraId="0D9373E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6CD15B92"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Tādējādi “labvēlīgā” ietekme uz parādu, kura izriet no ārpusbiržas valūtas maiņas kursa izmantošanas, tiek pilnīgi izlīdzināta ar aizdevuma saistību ierakstu.</w:t>
      </w:r>
    </w:p>
    <w:p w14:paraId="36B2F244"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0A04E8DB" w14:textId="77777777" w:rsidR="00443399" w:rsidRPr="00B03B51" w:rsidRDefault="00443399" w:rsidP="00443399">
      <w:pPr>
        <w:jc w:val="both"/>
        <w:rPr>
          <w:rFonts w:ascii="Times New Roman" w:eastAsia="Arial" w:hAnsi="Times New Roman" w:cs="Times New Roman"/>
          <w:noProof/>
          <w:sz w:val="24"/>
          <w:szCs w:val="29"/>
        </w:rPr>
      </w:pPr>
    </w:p>
    <w:p w14:paraId="7965DE57" w14:textId="77777777" w:rsidR="00443399" w:rsidRPr="00B03B51" w:rsidRDefault="00443399" w:rsidP="00443399">
      <w:pPr>
        <w:pStyle w:val="Heading2"/>
        <w:tabs>
          <w:tab w:val="left" w:pos="1135"/>
        </w:tabs>
        <w:spacing w:before="0"/>
        <w:ind w:left="0" w:firstLine="0"/>
        <w:jc w:val="both"/>
        <w:rPr>
          <w:rFonts w:ascii="Times New Roman" w:hAnsi="Times New Roman" w:cs="Times New Roman"/>
          <w:noProof/>
          <w:sz w:val="28"/>
          <w:szCs w:val="44"/>
        </w:rPr>
      </w:pPr>
      <w:bookmarkStart w:id="629" w:name="8.4_Repurchase_agreements_and_securities"/>
      <w:bookmarkStart w:id="630" w:name="_bookmark64"/>
      <w:bookmarkStart w:id="631" w:name="_Toc67565222"/>
      <w:bookmarkEnd w:id="629"/>
      <w:bookmarkEnd w:id="630"/>
      <w:r w:rsidRPr="00B03B51">
        <w:rPr>
          <w:rFonts w:ascii="Times New Roman" w:hAnsi="Times New Roman" w:cs="Times New Roman"/>
          <w:sz w:val="28"/>
          <w:szCs w:val="44"/>
        </w:rPr>
        <w:t>8.4. Pārdošanas ar atpirkšanu līgumi un vērtspapīru aizdevumi</w:t>
      </w:r>
      <w:bookmarkEnd w:id="631"/>
    </w:p>
    <w:p w14:paraId="540FA611" w14:textId="77777777" w:rsidR="00443399" w:rsidRPr="00100B51" w:rsidRDefault="00443399" w:rsidP="00100B51">
      <w:pPr>
        <w:rPr>
          <w:rFonts w:ascii="Times New Roman" w:hAnsi="Times New Roman" w:cs="Times New Roman"/>
          <w:noProof/>
          <w:sz w:val="24"/>
          <w:szCs w:val="24"/>
        </w:rPr>
      </w:pPr>
      <w:bookmarkStart w:id="632" w:name="8.4.1_Background"/>
      <w:bookmarkEnd w:id="632"/>
    </w:p>
    <w:p w14:paraId="7762BAC1"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33" w:name="_Toc67565223"/>
      <w:r w:rsidRPr="00B03B51">
        <w:rPr>
          <w:rFonts w:ascii="Times New Roman" w:hAnsi="Times New Roman" w:cs="Times New Roman"/>
          <w:sz w:val="24"/>
        </w:rPr>
        <w:t>8.4.1. Vispārīga informācija</w:t>
      </w:r>
      <w:bookmarkEnd w:id="633"/>
    </w:p>
    <w:p w14:paraId="21A3837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8F812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 Pārdošanas ar atpirkšanu (</w:t>
      </w:r>
      <w:r w:rsidRPr="00B03B51">
        <w:rPr>
          <w:rFonts w:ascii="Times New Roman" w:hAnsi="Times New Roman" w:cs="Times New Roman"/>
          <w:i/>
          <w:iCs/>
          <w:sz w:val="24"/>
        </w:rPr>
        <w:t>repo</w:t>
      </w:r>
      <w:r w:rsidRPr="00B03B51">
        <w:rPr>
          <w:rFonts w:ascii="Times New Roman" w:hAnsi="Times New Roman" w:cs="Times New Roman"/>
          <w:sz w:val="24"/>
        </w:rPr>
        <w:t>) darījumus var izmantot gan naudas tirgos, gan vērtspapīru tirgos. Parāda vērtspapīrus, ko emitē vispārējā valdība, bieži izmanto pārdošanas ar atpirkšanu (</w:t>
      </w:r>
      <w:r w:rsidRPr="00B03B51">
        <w:rPr>
          <w:rFonts w:ascii="Times New Roman" w:hAnsi="Times New Roman" w:cs="Times New Roman"/>
          <w:i/>
          <w:iCs/>
          <w:sz w:val="24"/>
        </w:rPr>
        <w:t>repo</w:t>
      </w:r>
      <w:r w:rsidRPr="00B03B51">
        <w:rPr>
          <w:rFonts w:ascii="Times New Roman" w:hAnsi="Times New Roman" w:cs="Times New Roman"/>
          <w:sz w:val="24"/>
        </w:rPr>
        <w:t>) darījumos, proti, tie parasti ir galvenais līdzeklis dažādu likviditātes un centrālās valdības emitēto vērtspapīru risku dēļ. Tomēr izšķiroši šajā ziņā ir tas, ka vienības, kas klasificētas vispārējās valdības sektorā, var noslēgt šādus līgumus vai nu kā likviditātes nodrošinātājas, vai kā naudas aizņēmējas.</w:t>
      </w:r>
    </w:p>
    <w:p w14:paraId="7FDE11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62992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 Saskaņā ar šiem noteikumiem </w:t>
      </w:r>
      <w:r w:rsidRPr="00B03B51">
        <w:rPr>
          <w:rFonts w:ascii="Times New Roman" w:hAnsi="Times New Roman" w:cs="Times New Roman"/>
          <w:i/>
          <w:iCs/>
          <w:sz w:val="24"/>
        </w:rPr>
        <w:t>repo</w:t>
      </w:r>
      <w:r w:rsidRPr="00B03B51">
        <w:rPr>
          <w:rFonts w:ascii="Times New Roman" w:hAnsi="Times New Roman" w:cs="Times New Roman"/>
          <w:sz w:val="24"/>
        </w:rPr>
        <w:t xml:space="preserve"> līgumi var tieši ietekmēt vispārējās valdības parāda aprēķināšanu, ja vispārējās valdības vienība ir “naudas saņēmēja” šādos darījumos (jaunu saistību ierakstīšana). Ja ir iesaistītas divas vienības, kas ir iekļautas šajā sektorā, tad nav nekādas ietekmes, jo pastāv konsolidācijas noteikums, izņemot gadījumu, kad aktīvu pārdod tālāk pilnvarots pārstāvis. Papildus jāuzsver, ja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darījumus bieži izmanto valdības parāda pārvaldnieki saistībā ar fondu investīcijām, kuras parasti var būt pieejamas tikai īstermiņā.</w:t>
      </w:r>
    </w:p>
    <w:p w14:paraId="329B125D" w14:textId="77777777" w:rsidR="00443399" w:rsidRPr="00B03B51" w:rsidRDefault="00443399" w:rsidP="00443399">
      <w:pPr>
        <w:tabs>
          <w:tab w:val="left" w:pos="843"/>
        </w:tabs>
        <w:jc w:val="both"/>
        <w:rPr>
          <w:rFonts w:ascii="Times New Roman" w:eastAsia="Arial" w:hAnsi="Times New Roman" w:cs="Times New Roman"/>
          <w:noProof/>
          <w:sz w:val="24"/>
          <w:szCs w:val="19"/>
        </w:rPr>
      </w:pPr>
    </w:p>
    <w:p w14:paraId="021C4A69" w14:textId="77777777" w:rsidR="00443399" w:rsidRPr="00B03B51" w:rsidRDefault="00443399" w:rsidP="00443399">
      <w:pPr>
        <w:tabs>
          <w:tab w:val="left" w:pos="843"/>
        </w:tabs>
        <w:jc w:val="both"/>
        <w:rPr>
          <w:rFonts w:ascii="Times New Roman" w:eastAsia="Arial" w:hAnsi="Times New Roman" w:cs="Times New Roman"/>
          <w:noProof/>
          <w:sz w:val="24"/>
          <w:szCs w:val="12"/>
        </w:rPr>
      </w:pPr>
      <w:r w:rsidRPr="00B03B51">
        <w:rPr>
          <w:rFonts w:ascii="Times New Roman" w:hAnsi="Times New Roman" w:cs="Times New Roman"/>
          <w:sz w:val="24"/>
          <w:szCs w:val="19"/>
        </w:rPr>
        <w:t xml:space="preserve">3. EKS 2010 5.127. punktā ir noteikts, ka </w:t>
      </w:r>
      <w:r w:rsidRPr="00B03B51">
        <w:rPr>
          <w:rFonts w:ascii="Times New Roman" w:hAnsi="Times New Roman" w:cs="Times New Roman"/>
          <w:i/>
          <w:iCs/>
          <w:sz w:val="24"/>
          <w:szCs w:val="19"/>
        </w:rPr>
        <w:t>līgums par vērtspapīru pārdošanu ar atpirkšanu ir vienošanās, saskaņā ar kuru vērtspapīrus, piemēram, parāda vērtspapīrus vai akcijas, apmaina pret naudu vai citiem maksāšanas līdzekļiem, apņemoties atpirkt šos pašus vai līdzīgus vērtspapīrus par fiksētu cenu.</w:t>
      </w:r>
      <w:r w:rsidRPr="00B03B51">
        <w:rPr>
          <w:rFonts w:ascii="Times New Roman" w:hAnsi="Times New Roman" w:cs="Times New Roman"/>
          <w:i/>
          <w:sz w:val="24"/>
          <w:szCs w:val="19"/>
        </w:rPr>
        <w:t xml:space="preserve"> Apņemšanās atpirkt var attiekties uz noteiktu nākotnes datumu vai nenoteiktu termiņu. </w:t>
      </w:r>
      <w:r w:rsidRPr="00B03B51">
        <w:rPr>
          <w:rFonts w:ascii="Times New Roman" w:hAnsi="Times New Roman" w:cs="Times New Roman"/>
          <w:sz w:val="24"/>
          <w:szCs w:val="19"/>
        </w:rPr>
        <w:t xml:space="preserve">NKS 2008 11.74. punktā noteikts, ka </w:t>
      </w:r>
      <w:r w:rsidRPr="00B03B51">
        <w:rPr>
          <w:rFonts w:ascii="Times New Roman" w:hAnsi="Times New Roman" w:cs="Times New Roman"/>
          <w:i/>
          <w:iCs/>
          <w:sz w:val="24"/>
          <w:szCs w:val="19"/>
        </w:rPr>
        <w:t>repo</w:t>
      </w:r>
      <w:r w:rsidRPr="00B03B51">
        <w:rPr>
          <w:rFonts w:ascii="Times New Roman" w:hAnsi="Times New Roman" w:cs="Times New Roman"/>
          <w:sz w:val="24"/>
          <w:szCs w:val="19"/>
        </w:rPr>
        <w:t xml:space="preserve"> ir vērtspapīru pārdošanas-atpirkšanas līgums, </w:t>
      </w:r>
      <w:r w:rsidRPr="00B03B51">
        <w:rPr>
          <w:rFonts w:ascii="Times New Roman" w:hAnsi="Times New Roman" w:cs="Times New Roman"/>
          <w:i/>
          <w:iCs/>
          <w:sz w:val="24"/>
          <w:szCs w:val="19"/>
        </w:rPr>
        <w:t>kurā vērtspapīrus nodrošina apmaiņā pret naudu, apņemoties, ka tādi paši vai līdzīgi vērtspapīri tiks atpirkti par fiksētu cenu naudā norādītā vēlākā datumā</w:t>
      </w:r>
      <w:r w:rsidRPr="00B03B51">
        <w:rPr>
          <w:rFonts w:ascii="Times New Roman" w:hAnsi="Times New Roman" w:cs="Times New Roman"/>
          <w:sz w:val="24"/>
          <w:szCs w:val="19"/>
        </w:rPr>
        <w:t>.</w:t>
      </w:r>
      <w:r w:rsidRPr="00B03B51">
        <w:rPr>
          <w:rFonts w:ascii="Times New Roman" w:hAnsi="Times New Roman" w:cs="Times New Roman"/>
          <w:i/>
          <w:sz w:val="24"/>
          <w:szCs w:val="19"/>
        </w:rPr>
        <w:t xml:space="preserve"> </w:t>
      </w:r>
      <w:r w:rsidRPr="00B03B51">
        <w:rPr>
          <w:rFonts w:ascii="Times New Roman" w:hAnsi="Times New Roman" w:cs="Times New Roman"/>
          <w:i/>
          <w:iCs/>
          <w:sz w:val="24"/>
          <w:szCs w:val="19"/>
        </w:rPr>
        <w:t>Repo</w:t>
      </w:r>
      <w:r w:rsidRPr="00B03B51">
        <w:rPr>
          <w:rFonts w:ascii="Times New Roman" w:hAnsi="Times New Roman" w:cs="Times New Roman"/>
          <w:sz w:val="24"/>
          <w:szCs w:val="19"/>
        </w:rPr>
        <w:t xml:space="preserve"> parasti tiek noslēgts uz ļoti īsu termiņu, piemēram, uz vienu nakti vai dienu.</w:t>
      </w:r>
      <w:r w:rsidRPr="00B03B51">
        <w:rPr>
          <w:rStyle w:val="FootnoteReference"/>
          <w:rFonts w:ascii="Times New Roman" w:eastAsia="Arial" w:hAnsi="Times New Roman" w:cs="Times New Roman"/>
          <w:noProof/>
          <w:sz w:val="24"/>
          <w:szCs w:val="19"/>
        </w:rPr>
        <w:footnoteReference w:id="312"/>
      </w:r>
    </w:p>
    <w:p w14:paraId="125F62B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705A74F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4. Ekonomiskā izteiksmē </w:t>
      </w:r>
      <w:r w:rsidRPr="00B03B51">
        <w:rPr>
          <w:rFonts w:ascii="Times New Roman" w:hAnsi="Times New Roman" w:cs="Times New Roman"/>
          <w:i/>
          <w:iCs/>
          <w:sz w:val="24"/>
        </w:rPr>
        <w:t>repo</w:t>
      </w:r>
      <w:r w:rsidRPr="00B03B51">
        <w:rPr>
          <w:rFonts w:ascii="Times New Roman" w:hAnsi="Times New Roman" w:cs="Times New Roman"/>
          <w:sz w:val="24"/>
        </w:rPr>
        <w:t xml:space="preserve"> ir “nodrošināts” aizdevums, jo pastāv ķīla. Turklāt </w:t>
      </w:r>
      <w:r w:rsidRPr="00B03B51">
        <w:rPr>
          <w:rFonts w:ascii="Times New Roman" w:hAnsi="Times New Roman" w:cs="Times New Roman"/>
          <w:i/>
          <w:iCs/>
          <w:sz w:val="24"/>
        </w:rPr>
        <w:t>repo</w:t>
      </w:r>
      <w:r w:rsidRPr="00B03B51">
        <w:rPr>
          <w:rFonts w:ascii="Times New Roman" w:hAnsi="Times New Roman" w:cs="Times New Roman"/>
          <w:sz w:val="24"/>
        </w:rPr>
        <w:t xml:space="preserve"> ir pārdošanas ar atpirkšanu līgums, kurā vienai darījuma pusei nosaka stingras saistības, un tā ir galvenā pazīme, nevis tikai vienkāršs solījums. Faktiski maksājuma termiņā vai pirms tā, ja līgumā ir tā noteikts, pagaidu “pircējam” (vai tā pilnvarotam pārstāvim) ir jāatdod vērtspapīrs (vai tam līdzvērtīgs dokuments) sākotnējam “pārdevējam” (vai atsavinātājam), kuram tas jāatpērk par līgumā noteikto cenu. Parasti valsts tiesību aktos tiek prasīts, lai vērtspapīrus, ko izmanto pārdošanas ar atpirkšanu līgumā, portfelī norādītu atsevišķi. Turklāt dažos tirgos var novērot sarežģītākas iezīmes (piemēram, “maržas” noteikšana).</w:t>
      </w:r>
    </w:p>
    <w:p w14:paraId="59456BC9" w14:textId="77777777" w:rsidR="00443399" w:rsidRPr="00B03B51" w:rsidRDefault="00443399" w:rsidP="00443399">
      <w:pPr>
        <w:jc w:val="both"/>
        <w:rPr>
          <w:rFonts w:ascii="Times New Roman" w:eastAsia="Arial" w:hAnsi="Times New Roman" w:cs="Times New Roman"/>
          <w:noProof/>
          <w:sz w:val="24"/>
          <w:szCs w:val="18"/>
        </w:rPr>
      </w:pPr>
    </w:p>
    <w:p w14:paraId="5744F23B"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34" w:name="8.4.2_Treatment_in_national_accounts"/>
      <w:bookmarkStart w:id="635" w:name="_Toc67565224"/>
      <w:bookmarkEnd w:id="634"/>
      <w:r w:rsidRPr="00B03B51">
        <w:rPr>
          <w:rFonts w:ascii="Times New Roman" w:hAnsi="Times New Roman" w:cs="Times New Roman"/>
          <w:sz w:val="24"/>
        </w:rPr>
        <w:t>8.4.2. Traktējums nacionālajos kontos</w:t>
      </w:r>
      <w:bookmarkEnd w:id="635"/>
    </w:p>
    <w:p w14:paraId="0B0DB713" w14:textId="77777777" w:rsidR="00443399" w:rsidRPr="000B5876" w:rsidRDefault="00443399" w:rsidP="000B5876">
      <w:pPr>
        <w:rPr>
          <w:rFonts w:ascii="Times New Roman" w:hAnsi="Times New Roman" w:cs="Times New Roman"/>
          <w:noProof/>
          <w:sz w:val="24"/>
          <w:szCs w:val="24"/>
        </w:rPr>
      </w:pPr>
      <w:bookmarkStart w:id="636" w:name="8.4.2.1_Treatment_in_ESA_2010"/>
      <w:bookmarkEnd w:id="636"/>
    </w:p>
    <w:p w14:paraId="28350E20"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8.4.2.1. TRAKTĒJUMS EKS 2010</w:t>
      </w:r>
    </w:p>
    <w:p w14:paraId="166B9A4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0A2F3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5. EKS 2010 skaidri norāda </w:t>
      </w:r>
      <w:r w:rsidRPr="00B03B51">
        <w:rPr>
          <w:rFonts w:ascii="Times New Roman" w:hAnsi="Times New Roman" w:cs="Times New Roman"/>
          <w:i/>
          <w:iCs/>
          <w:sz w:val="24"/>
        </w:rPr>
        <w:t>repo</w:t>
      </w:r>
      <w:r w:rsidRPr="00B03B51">
        <w:rPr>
          <w:rFonts w:ascii="Times New Roman" w:hAnsi="Times New Roman" w:cs="Times New Roman"/>
          <w:sz w:val="24"/>
        </w:rPr>
        <w:t xml:space="preserve"> līgumu traktējumu atbilstoši NKS 2008 un BOP 6. rokasgrāmatai. Svarīgākais ir tas, ka </w:t>
      </w:r>
      <w:r w:rsidRPr="00B03B51">
        <w:rPr>
          <w:rFonts w:ascii="Times New Roman" w:hAnsi="Times New Roman" w:cs="Times New Roman"/>
          <w:i/>
          <w:iCs/>
          <w:sz w:val="24"/>
        </w:rPr>
        <w:t>repo</w:t>
      </w:r>
      <w:r w:rsidRPr="00B03B51">
        <w:rPr>
          <w:rFonts w:ascii="Times New Roman" w:hAnsi="Times New Roman" w:cs="Times New Roman"/>
          <w:sz w:val="24"/>
        </w:rPr>
        <w:t xml:space="preserve"> darījumā rodas jauns finanšu instruments. </w:t>
      </w:r>
      <w:r w:rsidRPr="00B03B51">
        <w:rPr>
          <w:rFonts w:ascii="Times New Roman" w:hAnsi="Times New Roman" w:cs="Times New Roman"/>
          <w:i/>
          <w:iCs/>
          <w:sz w:val="24"/>
        </w:rPr>
        <w:t>Repo</w:t>
      </w:r>
      <w:r w:rsidRPr="00B03B51">
        <w:rPr>
          <w:rFonts w:ascii="Times New Roman" w:hAnsi="Times New Roman" w:cs="Times New Roman"/>
          <w:sz w:val="24"/>
        </w:rPr>
        <w:t xml:space="preserve"> darījums rada jaunas attiecības starp diviem darījuma partneriem. Pastāv jauns savstarpēju prasību un saistību komplekts. Pārdevēja bilancē aktīva pusē pieaug saņemtās naudas apjoms, kas ir pieejams visiem mērķiem, bet viņa darījuma partnerim – saistību pusē. Pircējam pieauguma nav, bet aktīva pusē ir tikai aizstāta nauda ar citu posteni.</w:t>
      </w:r>
    </w:p>
    <w:p w14:paraId="56C15ABE" w14:textId="77777777" w:rsidR="00443399" w:rsidRPr="00B03B51" w:rsidRDefault="00443399" w:rsidP="00443399">
      <w:pPr>
        <w:jc w:val="both"/>
        <w:rPr>
          <w:rFonts w:ascii="Times New Roman" w:hAnsi="Times New Roman" w:cs="Times New Roman"/>
          <w:i/>
          <w:noProof/>
          <w:sz w:val="24"/>
        </w:rPr>
      </w:pPr>
    </w:p>
    <w:p w14:paraId="52C31319" w14:textId="77777777" w:rsidR="00443399" w:rsidRPr="00B03B51" w:rsidRDefault="00443399" w:rsidP="00443399">
      <w:pPr>
        <w:jc w:val="both"/>
        <w:rPr>
          <w:rFonts w:ascii="Times New Roman" w:eastAsia="Arial" w:hAnsi="Times New Roman" w:cs="Times New Roman"/>
          <w:noProof/>
          <w:sz w:val="24"/>
          <w:szCs w:val="19"/>
        </w:rPr>
      </w:pPr>
      <w:r w:rsidRPr="00B03B51">
        <w:rPr>
          <w:rFonts w:ascii="Times New Roman" w:hAnsi="Times New Roman" w:cs="Times New Roman"/>
          <w:i/>
          <w:sz w:val="24"/>
        </w:rPr>
        <w:t xml:space="preserve">6.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traktējums ir skaidrots EKS 2010 5.127.–5.133. punktā. Traktējuma pamatā ir vērtspapīra sākotnējā turētāja būtība. EKS 2010 5.130. punktā norādīts, ka </w:t>
      </w:r>
      <w:r w:rsidRPr="00B03B51">
        <w:rPr>
          <w:rFonts w:ascii="Times New Roman" w:hAnsi="Times New Roman" w:cs="Times New Roman"/>
          <w:i/>
          <w:iCs/>
          <w:sz w:val="24"/>
        </w:rPr>
        <w:t>līdzekļu piegāde un saņemšana saskaņā ar vērtspapīru pārdošanas ar atpirkšanu līgumu un aizdošanas ar naudas nodrošinājumu līgumu nenozīmē parāda vērtspapīru jaunu emisiju.</w:t>
      </w:r>
      <w:r w:rsidRPr="00B03B51">
        <w:rPr>
          <w:rFonts w:ascii="Times New Roman" w:hAnsi="Times New Roman" w:cs="Times New Roman"/>
          <w:i/>
          <w:sz w:val="24"/>
        </w:rPr>
        <w:t xml:space="preserve"> Līdzekļu sniegšanu institucionālām vienībām, kas nav monetārās finanšu iestādes, uzskata par aizdevumiem, bet noguldījumus pieņemošām sabiedrībām</w:t>
      </w:r>
      <w:r w:rsidRPr="00B03B51">
        <w:rPr>
          <w:rStyle w:val="FootnoteReference"/>
          <w:rFonts w:ascii="Times New Roman" w:hAnsi="Times New Roman" w:cs="Times New Roman"/>
          <w:i/>
          <w:noProof/>
          <w:sz w:val="24"/>
        </w:rPr>
        <w:footnoteReference w:id="313"/>
      </w:r>
      <w:r w:rsidRPr="00B03B51">
        <w:rPr>
          <w:rFonts w:ascii="Times New Roman" w:hAnsi="Times New Roman" w:cs="Times New Roman"/>
          <w:i/>
          <w:sz w:val="24"/>
        </w:rPr>
        <w:t xml:space="preserve"> – par noguldījumiem.</w:t>
      </w:r>
    </w:p>
    <w:p w14:paraId="20C08B63" w14:textId="77777777" w:rsidR="00443399" w:rsidRPr="00B03B51" w:rsidRDefault="00443399" w:rsidP="00443399">
      <w:pPr>
        <w:jc w:val="both"/>
        <w:rPr>
          <w:rFonts w:ascii="Times New Roman" w:eastAsia="Arial" w:hAnsi="Times New Roman" w:cs="Times New Roman"/>
          <w:noProof/>
          <w:sz w:val="24"/>
          <w:szCs w:val="14"/>
        </w:rPr>
      </w:pPr>
    </w:p>
    <w:p w14:paraId="15B01E9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7. Svarīgs apsvērums ir, ka “vērtspapīri, ko saņem saskaņā ar vērtspapīru aizdošanas un pārdošanas ar atpirkšanu līgumiem, nemaina ekonomiskās īpašumtiesības, jo aizdevējs joprojām ir vērtspapīru ienākuma saņēmējs un saskaras ar riskiem vai gūst labumu, ko rada vērtspapīru cenas pārmaiņas” (EKS 2010 5.129. punkts).</w:t>
      </w:r>
    </w:p>
    <w:p w14:paraId="2093827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6000A3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8. Pamatojums ir tāds, ka atbilstošā vērtspapīra īpašumtiesības ekonomiskā izpratnē netiek mainītas, un tam EKS 2010 ir noteicošā nozīme salīdzinājumā ar juridiskajiem nosacījumiem. Faktiski pārdevējs ir pakļauts pamatā esošā aktīva tirgus novērtējuma izmaiņām. Atbilstoši </w:t>
      </w:r>
      <w:r w:rsidRPr="00B03B51">
        <w:rPr>
          <w:rFonts w:ascii="Times New Roman" w:hAnsi="Times New Roman" w:cs="Times New Roman"/>
          <w:i/>
          <w:iCs/>
          <w:sz w:val="24"/>
        </w:rPr>
        <w:t>repo</w:t>
      </w:r>
      <w:r w:rsidRPr="00B03B51">
        <w:rPr>
          <w:rFonts w:ascii="Times New Roman" w:hAnsi="Times New Roman" w:cs="Times New Roman"/>
          <w:sz w:val="24"/>
        </w:rPr>
        <w:t xml:space="preserve"> darījumam pakārtoto aktīvu EKS 2010 ietvaros patur sākotnējā īpašnieka kontos. Tā kā ekonomiskās īpašumtiesības netiek mainītas, nevar ierakstīt darījumu ar vērtspapīriem. Pamatā esošais vērtspapīrs nav </w:t>
      </w:r>
      <w:r w:rsidRPr="00B03B51">
        <w:rPr>
          <w:rFonts w:ascii="Times New Roman" w:hAnsi="Times New Roman" w:cs="Times New Roman"/>
          <w:i/>
          <w:iCs/>
          <w:sz w:val="24"/>
        </w:rPr>
        <w:t>repo</w:t>
      </w:r>
      <w:r w:rsidRPr="00B03B51">
        <w:rPr>
          <w:rFonts w:ascii="Times New Roman" w:hAnsi="Times New Roman" w:cs="Times New Roman"/>
          <w:sz w:val="24"/>
        </w:rPr>
        <w:t xml:space="preserve"> darījuma tiešs mērķis. Tas nav līdzeklis ieguldīšanai finanšu tirgos. To skaidri parāda saistītā procentu likme, kā pamatā ir saistību maksājuma termiņš.</w:t>
      </w:r>
    </w:p>
    <w:p w14:paraId="5A9569D3" w14:textId="77777777" w:rsidR="00443399" w:rsidRPr="00B03B51" w:rsidRDefault="00443399" w:rsidP="00443399">
      <w:pPr>
        <w:jc w:val="both"/>
        <w:rPr>
          <w:rFonts w:ascii="Times New Roman" w:eastAsia="Arial" w:hAnsi="Times New Roman" w:cs="Times New Roman"/>
          <w:noProof/>
          <w:sz w:val="24"/>
          <w:szCs w:val="15"/>
        </w:rPr>
      </w:pPr>
    </w:p>
    <w:p w14:paraId="3109AF2D"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37" w:name="8.4.2.2_Further_comments"/>
      <w:bookmarkEnd w:id="637"/>
      <w:r w:rsidRPr="00B03B51">
        <w:rPr>
          <w:rFonts w:ascii="Times New Roman" w:hAnsi="Times New Roman" w:cs="Times New Roman"/>
          <w:sz w:val="24"/>
        </w:rPr>
        <w:t>8.4.2.2. PAPILDU PIEZĪMES</w:t>
      </w:r>
    </w:p>
    <w:p w14:paraId="5B921DE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F92D90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9. Daži punkti ir jāpaskaidro sīkāk.</w:t>
      </w:r>
    </w:p>
    <w:p w14:paraId="0F9BAEEB"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2921FA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a) Starpība starp pārdošanas cenu un atpirkšanas cenu jāieraksta kā procenti, pamatojoties uz uzkrāšanas principu, un tā jāiekļauj īpašuma ienākumā.</w:t>
      </w:r>
    </w:p>
    <w:p w14:paraId="1AD4F89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7750EE00"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b) Noteikumi par </w:t>
      </w:r>
      <w:r w:rsidRPr="00B03B51">
        <w:rPr>
          <w:rFonts w:ascii="Times New Roman" w:hAnsi="Times New Roman" w:cs="Times New Roman"/>
          <w:i/>
          <w:iCs/>
          <w:sz w:val="24"/>
        </w:rPr>
        <w:t>repo</w:t>
      </w:r>
      <w:r w:rsidRPr="00B03B51">
        <w:rPr>
          <w:rFonts w:ascii="Times New Roman" w:hAnsi="Times New Roman" w:cs="Times New Roman"/>
          <w:sz w:val="24"/>
        </w:rPr>
        <w:t xml:space="preserve"> attiecas uz jebkuru aktīvu, ko izmanto līdzīgā darījumā (tādējādi attiecas uz visu veidu ķīlu), ne tikai uz vērtspapīriem.</w:t>
      </w:r>
    </w:p>
    <w:p w14:paraId="76C76497"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A6AF8F4"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c) EKS 2010 noteiktais traktējums attiecībā uz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darījumiem attiecas tikai tad, ja aktīva sākotnējais pārdevējs ir uzņēmies neapstrīdamas saistības atpirkt šo aktīvu saskaņā ar iepriekš noteiktiem nosacījumiem (un nevis tikai iespēju vai apņemšanos saskaņā ar dažiem nosacījumiem).</w:t>
      </w:r>
    </w:p>
    <w:p w14:paraId="54DD8B78"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523C6AD6"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d) Faktiska tādu vērtspapīru nodošana, kas izmantoti </w:t>
      </w:r>
      <w:r w:rsidRPr="00B03B51">
        <w:rPr>
          <w:rFonts w:ascii="Times New Roman" w:hAnsi="Times New Roman" w:cs="Times New Roman"/>
          <w:i/>
          <w:iCs/>
          <w:sz w:val="24"/>
        </w:rPr>
        <w:t>repo</w:t>
      </w:r>
      <w:r w:rsidRPr="00B03B51">
        <w:rPr>
          <w:rFonts w:ascii="Times New Roman" w:hAnsi="Times New Roman" w:cs="Times New Roman"/>
          <w:sz w:val="24"/>
        </w:rPr>
        <w:t xml:space="preserve"> darījumos, jo īpaši ar elektroniski depozitāro sistēmu starpniecību, neietekmē konceptuālo traktējumu.</w:t>
      </w:r>
    </w:p>
    <w:p w14:paraId="72DB7153"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p>
    <w:p w14:paraId="67977855" w14:textId="77777777" w:rsidR="00443399" w:rsidRPr="00B03B51" w:rsidRDefault="00443399" w:rsidP="00443399">
      <w:pPr>
        <w:pStyle w:val="BodyText"/>
        <w:tabs>
          <w:tab w:val="left" w:pos="1126"/>
        </w:tabs>
        <w:spacing w:before="0"/>
        <w:ind w:left="284" w:firstLine="0"/>
        <w:jc w:val="both"/>
        <w:rPr>
          <w:rFonts w:ascii="Times New Roman" w:hAnsi="Times New Roman" w:cs="Times New Roman"/>
          <w:noProof/>
          <w:sz w:val="24"/>
        </w:rPr>
      </w:pPr>
      <w:r w:rsidRPr="00B03B51">
        <w:rPr>
          <w:rFonts w:ascii="Times New Roman" w:hAnsi="Times New Roman" w:cs="Times New Roman"/>
          <w:sz w:val="24"/>
        </w:rPr>
        <w:t xml:space="preserve">e) Ja ekonomikas vienība aktīvu, kas “iegūts” saskaņā ar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pārdod tālāk, tad tās bilancē veic negatīvu ierakstu.</w:t>
      </w:r>
    </w:p>
    <w:p w14:paraId="38F04665" w14:textId="77777777" w:rsidR="00443399" w:rsidRPr="00B03B51" w:rsidRDefault="00443399" w:rsidP="00443399">
      <w:pPr>
        <w:tabs>
          <w:tab w:val="left" w:pos="1126"/>
        </w:tabs>
        <w:ind w:left="284"/>
        <w:jc w:val="both"/>
        <w:rPr>
          <w:rFonts w:ascii="Times New Roman" w:eastAsia="Arial" w:hAnsi="Times New Roman" w:cs="Times New Roman"/>
          <w:noProof/>
          <w:sz w:val="24"/>
          <w:szCs w:val="19"/>
        </w:rPr>
      </w:pPr>
    </w:p>
    <w:p w14:paraId="74C971A5" w14:textId="77777777" w:rsidR="00443399" w:rsidRPr="00B03B51" w:rsidRDefault="00443399" w:rsidP="00443399">
      <w:pPr>
        <w:tabs>
          <w:tab w:val="left" w:pos="1126"/>
        </w:tabs>
        <w:ind w:left="284"/>
        <w:jc w:val="both"/>
        <w:rPr>
          <w:rFonts w:ascii="Times New Roman" w:eastAsia="Arial" w:hAnsi="Times New Roman" w:cs="Times New Roman"/>
          <w:noProof/>
          <w:sz w:val="24"/>
          <w:szCs w:val="19"/>
        </w:rPr>
      </w:pPr>
      <w:r w:rsidRPr="00B03B51">
        <w:rPr>
          <w:rFonts w:ascii="Times New Roman" w:hAnsi="Times New Roman" w:cs="Times New Roman"/>
          <w:sz w:val="24"/>
          <w:szCs w:val="19"/>
        </w:rPr>
        <w:t xml:space="preserve">f) Vienīgi vērtspapīru aizdevumu ar naudu var traktēt līdzīgi kā </w:t>
      </w:r>
      <w:r w:rsidRPr="00B03B51">
        <w:rPr>
          <w:rFonts w:ascii="Times New Roman" w:hAnsi="Times New Roman" w:cs="Times New Roman"/>
          <w:i/>
          <w:iCs/>
          <w:sz w:val="24"/>
          <w:szCs w:val="19"/>
        </w:rPr>
        <w:t>repo</w:t>
      </w:r>
      <w:r w:rsidRPr="00B03B51">
        <w:rPr>
          <w:rFonts w:ascii="Times New Roman" w:hAnsi="Times New Roman" w:cs="Times New Roman"/>
          <w:sz w:val="24"/>
          <w:szCs w:val="19"/>
        </w:rPr>
        <w:t xml:space="preserve"> darījumus, kā minēts EKS 2010 5.128. punktā: </w:t>
      </w:r>
      <w:r w:rsidRPr="00B03B51">
        <w:rPr>
          <w:rFonts w:ascii="Times New Roman" w:hAnsi="Times New Roman" w:cs="Times New Roman"/>
          <w:i/>
          <w:iCs/>
          <w:sz w:val="24"/>
          <w:szCs w:val="19"/>
        </w:rPr>
        <w:t>Vērtspapīru aizdošana ar naudas nodrošinājumu un pārdošanas ar atpirkšanu (repo) līgumi ir dažādi termini, kas apzīmē finanšu vienošanos ar vienādu ekonomisko ietekmi: tie ir nodrošināti aizdevumi, jo abos darījumu veidos iekļauta tādu vērtspapīru piegāde, kas kalpo kā aizdevuma vai noguldījuma nodrošinājums, un noguldījumus pieņemošā sabiedrība pārdod vērtspapīrus saskaņā ar šādu finanšu vienošanos</w:t>
      </w:r>
      <w:r w:rsidRPr="00B03B51">
        <w:rPr>
          <w:rFonts w:ascii="Times New Roman" w:hAnsi="Times New Roman" w:cs="Times New Roman"/>
          <w:sz w:val="24"/>
          <w:szCs w:val="19"/>
        </w:rPr>
        <w:t>.</w:t>
      </w:r>
    </w:p>
    <w:p w14:paraId="6F19C8CA" w14:textId="77777777" w:rsidR="00443399" w:rsidRPr="00B03B51" w:rsidRDefault="00443399" w:rsidP="00443399">
      <w:pPr>
        <w:jc w:val="both"/>
        <w:rPr>
          <w:rFonts w:ascii="Times New Roman" w:eastAsia="Arial" w:hAnsi="Times New Roman" w:cs="Times New Roman"/>
          <w:noProof/>
          <w:sz w:val="24"/>
          <w:szCs w:val="19"/>
        </w:rPr>
      </w:pPr>
    </w:p>
    <w:p w14:paraId="4B38E558" w14:textId="77777777" w:rsidR="00443399" w:rsidRPr="00B03B51" w:rsidRDefault="00443399" w:rsidP="00443399">
      <w:pPr>
        <w:pStyle w:val="Heading3"/>
        <w:keepNext/>
        <w:tabs>
          <w:tab w:val="left" w:pos="1267"/>
        </w:tabs>
        <w:ind w:left="0" w:firstLine="0"/>
        <w:jc w:val="both"/>
        <w:rPr>
          <w:rFonts w:ascii="Times New Roman" w:hAnsi="Times New Roman" w:cs="Times New Roman"/>
          <w:noProof/>
          <w:sz w:val="24"/>
        </w:rPr>
      </w:pPr>
      <w:bookmarkStart w:id="638" w:name="8.4.3_Rationale_of_the_treatment"/>
      <w:bookmarkStart w:id="639" w:name="_Toc67565225"/>
      <w:bookmarkEnd w:id="638"/>
      <w:r w:rsidRPr="00B03B51">
        <w:rPr>
          <w:rFonts w:ascii="Times New Roman" w:hAnsi="Times New Roman" w:cs="Times New Roman"/>
          <w:sz w:val="24"/>
        </w:rPr>
        <w:t>8.4.3. Traktējuma pamatojums</w:t>
      </w:r>
      <w:bookmarkEnd w:id="639"/>
    </w:p>
    <w:p w14:paraId="60C33377" w14:textId="77777777" w:rsidR="00443399" w:rsidRPr="000B5876" w:rsidRDefault="00443399" w:rsidP="000B5876">
      <w:pPr>
        <w:rPr>
          <w:rFonts w:ascii="Times New Roman" w:hAnsi="Times New Roman" w:cs="Times New Roman"/>
          <w:noProof/>
          <w:sz w:val="24"/>
          <w:szCs w:val="24"/>
        </w:rPr>
      </w:pPr>
      <w:bookmarkStart w:id="640" w:name="8.4.3.1_Valuation"/>
      <w:bookmarkEnd w:id="640"/>
    </w:p>
    <w:p w14:paraId="3B9A358C" w14:textId="77777777" w:rsidR="00443399" w:rsidRPr="00B03B51" w:rsidRDefault="00443399" w:rsidP="00443399">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8.4.3.1. NOVĒRTĒŠANA</w:t>
      </w:r>
    </w:p>
    <w:p w14:paraId="2605031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5565C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10. Atpirkšanas līgumus uzskata par aizdevumiem vai noguldījumiem un ieraksta nacionālajos kontos atbilstoši nominālvērtībai. Tādējādi vērtības pamatā ir sākotnējais finansējums. Citiem vārdiem sakot, naudas summa, kas tiek apmainīta perioda sākumā, ir jaunā finanšu instrumenta vērtība. Nav turēšanas guvumu, kā tas ir atklātu darījumu ar vērtspapīriem gadījumā. Arī uzkrātos procentus iekļauj darījuma cenā. Tomēr var rasties nepieciešamība koriģēt summu, kas ierakstīta kā procenti:</w:t>
      </w:r>
    </w:p>
    <w:p w14:paraId="4C2E288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1D5CDD0" w14:textId="77777777" w:rsidR="00443399" w:rsidRPr="00B03B51" w:rsidRDefault="00443399" w:rsidP="00D939EF">
      <w:pPr>
        <w:pStyle w:val="BodyText"/>
        <w:numPr>
          <w:ilvl w:val="0"/>
          <w:numId w:val="3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pirmkārt, lai no tās atņemtu komisijas naudu vai nodevas, kuras ierakstītas kā maksa par pakalpojumu (bet – no praktiskā viedokļa –, ja summa ir ļoti neliela, to var neņemt vērā);</w:t>
      </w:r>
    </w:p>
    <w:p w14:paraId="22456753" w14:textId="77777777" w:rsidR="00443399" w:rsidRPr="00B03B51" w:rsidRDefault="00443399" w:rsidP="00D939EF">
      <w:pPr>
        <w:pStyle w:val="BodyText"/>
        <w:numPr>
          <w:ilvl w:val="0"/>
          <w:numId w:val="37"/>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otrkārt, attiecībā uz darījumiem ar ārvalstu valūtās izteiktiem aktīviem.</w:t>
      </w:r>
    </w:p>
    <w:p w14:paraId="5B99AEEC" w14:textId="77777777" w:rsidR="00443399" w:rsidRPr="00B03B51" w:rsidRDefault="00443399" w:rsidP="00443399">
      <w:pPr>
        <w:pStyle w:val="BodyText"/>
        <w:tabs>
          <w:tab w:val="left" w:pos="1126"/>
        </w:tabs>
        <w:spacing w:before="0"/>
        <w:ind w:left="0" w:firstLine="0"/>
        <w:jc w:val="both"/>
        <w:rPr>
          <w:rFonts w:ascii="Times New Roman" w:hAnsi="Times New Roman" w:cs="Times New Roman"/>
          <w:noProof/>
          <w:sz w:val="24"/>
        </w:rPr>
      </w:pPr>
    </w:p>
    <w:p w14:paraId="31D8706C" w14:textId="77777777" w:rsidR="00443399" w:rsidRPr="00B03B51" w:rsidRDefault="00443399" w:rsidP="00D939EF">
      <w:pPr>
        <w:pStyle w:val="BodyText"/>
        <w:numPr>
          <w:ilvl w:val="1"/>
          <w:numId w:val="3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Šādā gadījumā izmaiņas aktīva vērtībā, kas rodas maiņas kursa iespējamu pārmaiņu ietekmes dēļ, netiek aprēķinātas par līdzekļu aizdevumu/aizņēmumu atlīdzību.</w:t>
      </w:r>
    </w:p>
    <w:p w14:paraId="575DAD29" w14:textId="77777777" w:rsidR="00443399" w:rsidRPr="00B03B51" w:rsidRDefault="00443399" w:rsidP="00D939EF">
      <w:pPr>
        <w:pStyle w:val="BodyText"/>
        <w:numPr>
          <w:ilvl w:val="1"/>
          <w:numId w:val="3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Atpirkšanas cena jāaprēķina, pamatojoties uz sākotnējo maiņas kursu, un starpība jāieraksta pārvērtēšanas kontā kā nominālie turēšanas guvumi vai zaudējumi.</w:t>
      </w:r>
    </w:p>
    <w:p w14:paraId="3FC8D423" w14:textId="77777777" w:rsidR="00443399" w:rsidRPr="00B03B51" w:rsidRDefault="00443399" w:rsidP="00D939EF">
      <w:pPr>
        <w:pStyle w:val="BodyText"/>
        <w:numPr>
          <w:ilvl w:val="1"/>
          <w:numId w:val="37"/>
        </w:numPr>
        <w:spacing w:before="0"/>
        <w:ind w:left="851" w:hanging="425"/>
        <w:jc w:val="both"/>
        <w:rPr>
          <w:rFonts w:ascii="Times New Roman" w:hAnsi="Times New Roman" w:cs="Times New Roman"/>
          <w:noProof/>
          <w:sz w:val="24"/>
        </w:rPr>
      </w:pPr>
      <w:r w:rsidRPr="00B03B51">
        <w:rPr>
          <w:rFonts w:ascii="Times New Roman" w:hAnsi="Times New Roman" w:cs="Times New Roman"/>
          <w:sz w:val="24"/>
        </w:rPr>
        <w:t xml:space="preserve">Praktiskos nolūkos var būt vieglāk sākt no turēšanas guvumu vai zaudējumu summas (ar nosacījumu, ka maiņas kursa izmaiņu ietekme ir pienācīgi identificēta) un atņemt procentus par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darījumiem, izmantojot aprēķinu, kura pamatā ir vidējais maksājuma termiņš.</w:t>
      </w:r>
    </w:p>
    <w:p w14:paraId="167F1F2E" w14:textId="77777777" w:rsidR="00443399" w:rsidRPr="00B03B51" w:rsidRDefault="00443399" w:rsidP="00443399">
      <w:pPr>
        <w:jc w:val="both"/>
        <w:rPr>
          <w:rFonts w:ascii="Times New Roman" w:hAnsi="Times New Roman" w:cs="Times New Roman"/>
          <w:noProof/>
          <w:sz w:val="24"/>
        </w:rPr>
      </w:pPr>
    </w:p>
    <w:p w14:paraId="25DBE0B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bookmarkStart w:id="641" w:name="8.4.3.2_Underlying_assets"/>
      <w:bookmarkEnd w:id="641"/>
      <w:r w:rsidRPr="00B03B51">
        <w:rPr>
          <w:rFonts w:ascii="Times New Roman" w:hAnsi="Times New Roman" w:cs="Times New Roman"/>
          <w:sz w:val="24"/>
        </w:rPr>
        <w:t>8.4.3.2. PAKĀRTOTIE AKTĪVI</w:t>
      </w:r>
    </w:p>
    <w:p w14:paraId="7F49488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970B17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11. EKS 2010 un NKS 2008 aplūkoti vienīgi tādi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 ko nodrošina ar vērtspapīriem, vispārējās valdības obligācijām un valsts iekšējā aizņēmuma parādzīmēm, to plašo un likvīdo tirgu dēļ. Dažās valstīs var izmantot arī citus aktīvus, proti, aizdevumus nefinanšu iestādēm saskaņā ar dažiem kritērijiem, un pat nekustamo īpašumu aktīvus. Tādos gadījumos arī ir piemērojams tāds traktējums, kāds ir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darījumiem. Tādējādi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definīciju var paplašināt, attiecinot to arī uz visiem pasākumiem, kas saistīti ar naudas piešķiršanu konkrētā periodā ekonomikas subjektam, kurš savukārt “nodrošina” kā ķīlu jebkuru aktīvu, kas ir tās īpašumā saskaņā ar pārdošanas ar atpirkšanu līgumu.</w:t>
      </w:r>
    </w:p>
    <w:p w14:paraId="3355329E" w14:textId="77777777" w:rsidR="00443399" w:rsidRPr="00B03B51" w:rsidRDefault="00443399" w:rsidP="00443399">
      <w:pPr>
        <w:jc w:val="both"/>
        <w:rPr>
          <w:rFonts w:ascii="Times New Roman" w:eastAsia="Arial" w:hAnsi="Times New Roman" w:cs="Times New Roman"/>
          <w:noProof/>
          <w:sz w:val="24"/>
          <w:szCs w:val="18"/>
        </w:rPr>
      </w:pPr>
    </w:p>
    <w:p w14:paraId="6683B20F"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Atpirkšanas noteikums</w:t>
      </w:r>
    </w:p>
    <w:p w14:paraId="6552E168" w14:textId="77777777" w:rsidR="00443399" w:rsidRPr="00B03B51" w:rsidRDefault="00443399" w:rsidP="00443399">
      <w:pPr>
        <w:jc w:val="both"/>
        <w:rPr>
          <w:rFonts w:ascii="Times New Roman" w:eastAsia="Arial" w:hAnsi="Times New Roman" w:cs="Times New Roman"/>
          <w:b/>
          <w:bCs/>
          <w:noProof/>
          <w:sz w:val="24"/>
        </w:rPr>
      </w:pPr>
    </w:p>
    <w:p w14:paraId="379E4B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12. Kā minēts iepriekš, sākotnējam pārdevējam (atsavinātājam/ līdzekļu aizņēmējam) jābūt noteiktām skaidrām saistībām attiecībā uz vērtspapīru atpirkšanu. No juridiskā viedokļa pastāv neapšaubāma prasība, kas ir pircējam vai tiesību pārņēmējam. Parāda atmaksāšanas termiņā sākuma stāvokli automātiski atlīdzinātu ar pretēju darījumu, lai kādi būtu jaunie tirgus nosacījumi. Ja līgumos noteikts, ka pārdevējam ir iespēja vērtspapīrus tikai atpirkt,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traktējums nav jāpiemēro. Vienošanās ietver vienīgi solījumu. Šādā gadījumā dažreiz izmanto izteicienu “neīsti pārdošanas ar atpirkšanu līgumi”.</w:t>
      </w:r>
    </w:p>
    <w:p w14:paraId="4EC5CC0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530CD8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13. To var novērot arī pārdošanas/atpirkšanas darījumos, kad ir ļoti liela līdzība ar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darījumiem attiecībā uz darījuma ekonomisko būtību, bet pastāv arī dažas tehniskas atšķirības. Tomēr pārdošana/atpirkšana jātraktē kā </w:t>
      </w:r>
      <w:r w:rsidRPr="00B03B51">
        <w:rPr>
          <w:rFonts w:ascii="Times New Roman" w:hAnsi="Times New Roman" w:cs="Times New Roman"/>
          <w:i/>
          <w:iCs/>
          <w:sz w:val="24"/>
        </w:rPr>
        <w:t>repo</w:t>
      </w:r>
      <w:r w:rsidRPr="00B03B51">
        <w:rPr>
          <w:rFonts w:ascii="Times New Roman" w:hAnsi="Times New Roman" w:cs="Times New Roman"/>
          <w:sz w:val="24"/>
        </w:rPr>
        <w:t xml:space="preserve"> darījums, saskaņā ar kuru sākotnējam īpašniekam ir noteikts pienākums atpirkt likviditāti un pārņēmējam – neapstrīdama prasība saņemt atpakaļ likviditāti. Tāpēc šie darījumi jāieraksta tādā pašā veidā un, ja nepieciešams, kompilācijā </w:t>
      </w:r>
      <w:r w:rsidRPr="00B03B51">
        <w:rPr>
          <w:rFonts w:ascii="Times New Roman" w:hAnsi="Times New Roman" w:cs="Times New Roman"/>
          <w:sz w:val="24"/>
        </w:rPr>
        <w:lastRenderedPageBreak/>
        <w:t>izmantotie avoti jālabo, jo īpaši attiecīgajos vērtspapīru portfeļos.</w:t>
      </w:r>
    </w:p>
    <w:p w14:paraId="0C4AB674"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94628E7"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14. Ja sākotnējam pārdevējam nav stingru saistību atpirkt aktīvu(-us), jāuzskata, ka šis gadījums ir faktiska ekonomisko īpašumtiesību nodošana. Attiecībā uz vērtspapīriem izmaiņas jāieraksta abu līgumslēdzēju pušu vērtspapīru portfeļos, neradot pieaugumu pārdevēja bilancē. Jāatgādina, ka iespējamais aktīvs, kas atbilst iespējamai tālākpārdošanai, vispār nav jāiekļauj finanšu kontā saskaņā ar EKS 2010 5.09. punkta noteikumiem.</w:t>
      </w:r>
    </w:p>
    <w:p w14:paraId="039BF8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19B939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15. Dažos gadījumos pušu veida dēļ atpirkšanas darījums, pat ja tam nav stingra juridiska pamatojuma, ir pavisam noteikts. Piemēram,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noslēdz divas vienības, kas klasificētas vispārējās valdības sektorā. Tomēr šajā gadījumā noteikumu par stingru apņemšanos ir ieteicams piemērot vairāk ierobežotā veidā, t. i., noteiktās situācijās, kurās var pamatoti uzskatīt, ka domstarpību gadījumā saistības noteikti atzīs tiesa vai šķīrējtiesa. Ir konstatēti daži reti domstarpību gadījumi tieši saistībā ar atpirkšanas pienākumu.</w:t>
      </w:r>
    </w:p>
    <w:p w14:paraId="1878E0B1" w14:textId="77777777" w:rsidR="00443399" w:rsidRPr="00B03B51" w:rsidRDefault="00443399" w:rsidP="00443399">
      <w:pPr>
        <w:jc w:val="both"/>
        <w:rPr>
          <w:rFonts w:ascii="Times New Roman" w:eastAsia="Arial" w:hAnsi="Times New Roman" w:cs="Times New Roman"/>
          <w:noProof/>
          <w:sz w:val="24"/>
          <w:szCs w:val="15"/>
        </w:rPr>
      </w:pPr>
    </w:p>
    <w:p w14:paraId="7050B6EC"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8.4.3.3. VĒRTSPAPĪRU IZSNIEGŠANA</w:t>
      </w:r>
    </w:p>
    <w:p w14:paraId="638666A8"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361D1CAA"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16. Vērtspapīrus var reāli izsniegt pircējam saskaņā ar valstu tiesību aktiem un tirgus praksi. Īpaši gadījumā, kad dematerializētā depozitārā sistēmā nepieciešama vienīgi korekcija ar efektīvas elektroniskās izsniegšanas un maksājuma kārtības starpniecību. Pamatā šī iezīme nemaina tās operācijas būtību, kas no ekonomiskā viedokļa ir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darījums. Tomēr tas sagatavošanas procesu acīmredzami padara vēl sarežģītāku un var būt turpmāk minētās neatbilstības avots.</w:t>
      </w:r>
    </w:p>
    <w:p w14:paraId="15E1733D"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050E9799"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17. Tā kā darījumu ieraksta aizdevumu/noguldījumu instrumentos un uzskata, ka pārņēmējs nav nopircis vērtspapīrus, pircēja vērtspapīru portfelis jālabo, ja aktīvs ir ierakstīts. Tas var būt tāds pats sākotnējā īpašnieka vērtspapīru portfelī, un šis īpašnieks patur aktīvu savā vērtspapīru portfelī papildus jaunajam instrumentam, kas atspoguļo pagaidu naudas aizdevumu.</w:t>
      </w:r>
    </w:p>
    <w:p w14:paraId="1BDA710C"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62F902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18. Pat izsniegšanas gadījumā pieņem, ka “pārdevējs” saglabā savas īpašuma tiesības uz vērtspapīriem, ko tas nodevis. Galvenais ir tas, ka viņš uzņemas riskus, piemēram, kad vērtspapīru vērtība ir mazāka par atpirkuma cenu saistībā ar izmaiņām tirgus nosacījumos. Turklāt gadījumā, ja vērtspapīra emitents nepilda savas saistības, tas aizdevējam atmaksā noteikto summu. Parasti pārdevējs turpina saņemt atlīdzības (piemēram, procentus), kas saistītas ar šiem vērtspapīriem. Tas nozīmē, ka, ja šāds maksājums rodas līguma darbības laikā, pagaidu pircējam tas jāatmaksā.</w:t>
      </w:r>
    </w:p>
    <w:p w14:paraId="09B939BA" w14:textId="77777777" w:rsidR="00443399" w:rsidRPr="00B03B51" w:rsidRDefault="00443399" w:rsidP="00443399">
      <w:pPr>
        <w:jc w:val="both"/>
        <w:rPr>
          <w:rFonts w:ascii="Times New Roman" w:eastAsia="Arial" w:hAnsi="Times New Roman" w:cs="Times New Roman"/>
          <w:noProof/>
          <w:sz w:val="24"/>
          <w:szCs w:val="15"/>
        </w:rPr>
      </w:pPr>
    </w:p>
    <w:p w14:paraId="21E85217" w14:textId="77777777" w:rsidR="00443399" w:rsidRPr="00B03B51" w:rsidRDefault="00443399" w:rsidP="00443399">
      <w:pPr>
        <w:pStyle w:val="Heading6"/>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 xml:space="preserve">8.4.3.4. AKTĪVA PĀRDOŠANA LAIKĀ, KAD NOTIEK VIENOŠANĀS PAR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w:t>
      </w:r>
    </w:p>
    <w:p w14:paraId="68A1F4B3"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83567A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19. Iespējams, ka pircējs (“pārņēmējs”/ likviditātes nodrošinātājs) pārdod aktīvu, kas saņemts saskaņā ar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pirms darījuma otrā posma. Šādā gadījumā pircēja vērtspapīru portfelī veic negatīvu ierakstu, kas ekvivalents naudai, kura saņemta no pārdošanas. Tomēr sākotnējās attiecības, kas izriet no repo darījuma, neizbeidzas, un otrais darījums tās nemaina.</w:t>
      </w:r>
    </w:p>
    <w:p w14:paraId="23D5FF0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63A4AFF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20. Pagaidu pircēja pienākums ir sniegt “pielīdzināmu” nodrošinājumu. Tāpēc tā bilancē ir jāuzrāda negatīvs aktīvs. Šis ieraksts parāda arī to, ka pašreizējā brīdī pircējs teorētiski ir pakļauts tirgus riskam, kā tas nebija pirms tālākpārdošanas. Tomēr šāds traktējums var radīt zināmas grūtības, kas nav specifiskas darījumiem, kurus uzņemas vispārējās valdības vienības, bet tas ir vispārējs jautājums, kas attiecas uz </w:t>
      </w:r>
      <w:r w:rsidRPr="00B03B51">
        <w:rPr>
          <w:rFonts w:ascii="Times New Roman" w:hAnsi="Times New Roman" w:cs="Times New Roman"/>
          <w:i/>
          <w:iCs/>
          <w:sz w:val="24"/>
        </w:rPr>
        <w:t>repo</w:t>
      </w:r>
      <w:r w:rsidRPr="00B03B51">
        <w:rPr>
          <w:rFonts w:ascii="Times New Roman" w:hAnsi="Times New Roman" w:cs="Times New Roman"/>
          <w:sz w:val="24"/>
        </w:rPr>
        <w:t xml:space="preserve"> darījumiem. Šādus darījumus var būt grūti identificēt, jo īpaši gadījumā ar pārrobežu plūsmām.</w:t>
      </w:r>
    </w:p>
    <w:p w14:paraId="3FFE7D94" w14:textId="77777777" w:rsidR="00443399" w:rsidRPr="00B03B51" w:rsidRDefault="00443399" w:rsidP="00443399">
      <w:pPr>
        <w:jc w:val="both"/>
        <w:rPr>
          <w:rFonts w:ascii="Times New Roman" w:eastAsia="Arial" w:hAnsi="Times New Roman" w:cs="Times New Roman"/>
          <w:noProof/>
          <w:sz w:val="24"/>
          <w:szCs w:val="15"/>
        </w:rPr>
      </w:pPr>
    </w:p>
    <w:p w14:paraId="2124661E" w14:textId="77777777" w:rsidR="00443399" w:rsidRPr="00B03B51" w:rsidRDefault="00443399" w:rsidP="00443399">
      <w:pPr>
        <w:pStyle w:val="Heading6"/>
        <w:keepNext/>
        <w:tabs>
          <w:tab w:val="left" w:pos="1267"/>
        </w:tabs>
        <w:ind w:left="0" w:firstLine="0"/>
        <w:jc w:val="both"/>
        <w:rPr>
          <w:rFonts w:ascii="Times New Roman" w:hAnsi="Times New Roman" w:cs="Times New Roman"/>
          <w:noProof/>
          <w:sz w:val="24"/>
        </w:rPr>
      </w:pPr>
      <w:r w:rsidRPr="00B03B51">
        <w:rPr>
          <w:rFonts w:ascii="Times New Roman" w:hAnsi="Times New Roman" w:cs="Times New Roman"/>
          <w:sz w:val="24"/>
        </w:rPr>
        <w:t>8.4.3.5. VĒRTSPAPĪRU AIZDEVUMS</w:t>
      </w:r>
    </w:p>
    <w:p w14:paraId="0C6E4E17" w14:textId="77777777" w:rsidR="00443399" w:rsidRPr="00B03B51" w:rsidRDefault="00443399" w:rsidP="00443399">
      <w:pPr>
        <w:pStyle w:val="BodyText"/>
        <w:keepNext/>
        <w:tabs>
          <w:tab w:val="left" w:pos="843"/>
        </w:tabs>
        <w:spacing w:before="0"/>
        <w:ind w:left="0" w:firstLine="0"/>
        <w:jc w:val="both"/>
        <w:rPr>
          <w:rFonts w:ascii="Times New Roman" w:hAnsi="Times New Roman" w:cs="Times New Roman"/>
          <w:noProof/>
          <w:sz w:val="24"/>
        </w:rPr>
      </w:pPr>
    </w:p>
    <w:p w14:paraId="7EB67CE0" w14:textId="77777777" w:rsidR="00443399" w:rsidRPr="00B03B51" w:rsidRDefault="00443399" w:rsidP="00443399">
      <w:pPr>
        <w:pStyle w:val="BodyText"/>
        <w:keepN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21. Investori vērtspapīru tirgū dažādu iemeslu dēļ var plaši izmantot arī vērtspapīru aizdevumu, piemēram, lai segtu īstermiņa pozīcijas (kā pārdevējam nepiederošu vērtspapīru pārdevuma gadījumā) vai atvasināto instrumentu pārvaldības nolūkā.</w:t>
      </w:r>
    </w:p>
    <w:p w14:paraId="39E1AA3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14CD2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22. Ja pastāv efektīva naudas plūsma, no ekonomiskā viedokļa ir skaidrs, ka šis gadījums ir ļoti līdzīgs pārdošanas ar atpirkšanu līguma darījumam. Faktiski nav noteikta ekonomisko īpašumtiesību maiņa, un pastāv stingras saistības attiecībā uz reversu darījumu ar vērtspapīriem. Tādējādi darījums jāieraksta aizdevumos vai noguldījumos saskaņā ar iepriekš minētajiem vispārējiem noteikumiem, jo īpaši, ja nacionālajos kontos nav darījumu ar vērtspapīriem. Šajā gadījumā arī pircēja vērtspapīru portfelī jāveic negatīvs ieraksts.</w:t>
      </w:r>
    </w:p>
    <w:p w14:paraId="1B37719A" w14:textId="77777777" w:rsidR="00443399" w:rsidRPr="00B03B51" w:rsidRDefault="00443399" w:rsidP="00443399">
      <w:pPr>
        <w:tabs>
          <w:tab w:val="left" w:pos="843"/>
        </w:tabs>
        <w:jc w:val="both"/>
        <w:rPr>
          <w:rFonts w:ascii="Times New Roman" w:hAnsi="Times New Roman" w:cs="Times New Roman"/>
          <w:noProof/>
          <w:sz w:val="24"/>
        </w:rPr>
      </w:pPr>
    </w:p>
    <w:p w14:paraId="390DE1C2" w14:textId="77777777" w:rsidR="00443399" w:rsidRPr="00B03B51" w:rsidRDefault="00443399" w:rsidP="00443399">
      <w:pPr>
        <w:tabs>
          <w:tab w:val="left" w:pos="843"/>
        </w:tabs>
        <w:jc w:val="both"/>
        <w:rPr>
          <w:rFonts w:ascii="Times New Roman" w:eastAsia="Arial" w:hAnsi="Times New Roman" w:cs="Times New Roman"/>
          <w:noProof/>
          <w:sz w:val="24"/>
          <w:szCs w:val="19"/>
        </w:rPr>
      </w:pPr>
      <w:r w:rsidRPr="00B03B51">
        <w:rPr>
          <w:rFonts w:ascii="Times New Roman" w:hAnsi="Times New Roman" w:cs="Times New Roman"/>
          <w:sz w:val="24"/>
        </w:rPr>
        <w:t xml:space="preserve">23. Pretēji minētajam, vērtspapīru aizdevums bez naudas plūsmas (parasti uz ļoti īsu maksājuma termiņu) nav jātraktē kā pārdošanas ar atpirkšanu līgums, kā norādīts EKS 2010 5.131. punktā: </w:t>
      </w:r>
      <w:r w:rsidRPr="00B03B51">
        <w:rPr>
          <w:rFonts w:ascii="Times New Roman" w:hAnsi="Times New Roman" w:cs="Times New Roman"/>
          <w:i/>
          <w:iCs/>
          <w:sz w:val="24"/>
        </w:rPr>
        <w:t>Ja vērtspapīru aizdošanas darījums neietver naudas piegādi, t. i., ja viens vērtspapīrs tiek apmainīts pret otru vai ja viens darījuma partneris sniedz vērtspapīru bez nodrošinājuma, tad nav darījuma ar aizdevumiem, noguldījumiem vai vērtspapīriem.</w:t>
      </w:r>
    </w:p>
    <w:p w14:paraId="649AADE2"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D0DB236"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24. Parasti līgumslēdzēju pušu grāmatvedības sistēmā tas bilanci neietekmē, bet, iespējams, gaidāmā reversa darījuma ierakstīšanai pastāv “ārpusbilances” ieraksts. Tomēr dažās valstīs portfeļi darījumu atspoguļo tieši, t. i., tie mainās atkarībā no darījuma. Jānošķir divi turpmākie gadījumi.</w:t>
      </w:r>
    </w:p>
    <w:p w14:paraId="317A85C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446BEE8D" w14:textId="77777777" w:rsidR="00443399" w:rsidRPr="00B03B51" w:rsidRDefault="00443399" w:rsidP="00D939EF">
      <w:pPr>
        <w:pStyle w:val="BodyText"/>
        <w:numPr>
          <w:ilvl w:val="0"/>
          <w:numId w:val="3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ir atšķirība starp vērtspapīru aizdevumu ar naudu un bez naudas, aizdevuma bez naudas ekvivalentu darījumu pušu bilancē labāk būtu klasificēt postenī “citi debitoru/kreditoru parādi” (un konsekvences dēļ neveic nekādu ierakstu noguldījumu vai aizdevumu ailē). Nacionālajos kontos neko neieraksta.</w:t>
      </w:r>
    </w:p>
    <w:p w14:paraId="7BAB7255" w14:textId="77777777" w:rsidR="00443399" w:rsidRPr="00B03B51" w:rsidRDefault="00443399" w:rsidP="00D939EF">
      <w:pPr>
        <w:pStyle w:val="BodyText"/>
        <w:numPr>
          <w:ilvl w:val="0"/>
          <w:numId w:val="36"/>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šādas atšķirības nav, traktējums būs atkarīgs no katra darījuma veida aprēķinātās daļas (ar īpašas informācijas starpniecību) kopējos skaitļos. Tomēr šķiet, ka tikpat labi par beznaudas darījumiem var uzskatīt tikai dažus darījumus un tādējādi kopumā piemērot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veida” traktējumu.</w:t>
      </w:r>
    </w:p>
    <w:p w14:paraId="7B4E2248" w14:textId="77777777" w:rsidR="00443399" w:rsidRPr="00B03B51" w:rsidRDefault="00443399" w:rsidP="00443399">
      <w:pPr>
        <w:jc w:val="both"/>
        <w:rPr>
          <w:rFonts w:ascii="Times New Roman" w:eastAsia="Arial" w:hAnsi="Times New Roman" w:cs="Times New Roman"/>
          <w:noProof/>
          <w:sz w:val="24"/>
          <w:szCs w:val="19"/>
        </w:rPr>
      </w:pPr>
    </w:p>
    <w:p w14:paraId="7F862AA6"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42" w:name="_Toc67565226"/>
      <w:r w:rsidRPr="00B03B51">
        <w:rPr>
          <w:rFonts w:ascii="Times New Roman" w:hAnsi="Times New Roman" w:cs="Times New Roman"/>
          <w:sz w:val="24"/>
        </w:rPr>
        <w:t>8.4.4. Ietekme uz valdības parādu</w:t>
      </w:r>
      <w:bookmarkEnd w:id="642"/>
    </w:p>
    <w:p w14:paraId="591F244E"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1AC0A3DF"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25. Ietekme uz vispārējās valdības parādu saistībā ar šīs kategorijas finanšu instrumentu var būt dažāda.</w:t>
      </w:r>
    </w:p>
    <w:p w14:paraId="6B5B6C30"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2D5266E6" w14:textId="77777777" w:rsidR="00443399" w:rsidRPr="00B03B51" w:rsidRDefault="00443399" w:rsidP="00D939EF">
      <w:pPr>
        <w:pStyle w:val="BodyText"/>
        <w:numPr>
          <w:ilvl w:val="0"/>
          <w:numId w:val="3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vienība, kas atrodas vispārējās valdības sektorā, ir “atsavinātāja”, vērtspapīru pagaidu pārdevēja vai “naudas saņēmēja”, tas ietekmē bruto parādu, jo posteni “aizdevumi” (AF.4) palielina līdzīgi kā aizņemtos līdzekļus. Protams, ja darījuma partneris ir cita vienība, kas klasificēta vispārējās valdības sektorā, tad konsolidētā līmenī ietekme ir nulle.</w:t>
      </w:r>
    </w:p>
    <w:p w14:paraId="4D4249F7" w14:textId="77777777" w:rsidR="00443399" w:rsidRPr="00B03B51" w:rsidRDefault="00443399" w:rsidP="00D939EF">
      <w:pPr>
        <w:pStyle w:val="BodyText"/>
        <w:numPr>
          <w:ilvl w:val="0"/>
          <w:numId w:val="3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Ja valdība ir “pārņēmēja”, kas piešķir likviditāti un nodrošina līdzekļus ekonomikas vienībai, kura klasificēta citā sektorā, piemēram, monetārai finanšu iestādei, tas neietekmē konsolidēto bruto parādu, bet rada izmaiņas aktīvu struktūrā.</w:t>
      </w:r>
    </w:p>
    <w:p w14:paraId="031C5C5B" w14:textId="77777777" w:rsidR="00443399" w:rsidRPr="00B03B51" w:rsidRDefault="00443399" w:rsidP="00D939EF">
      <w:pPr>
        <w:pStyle w:val="BodyText"/>
        <w:numPr>
          <w:ilvl w:val="0"/>
          <w:numId w:val="35"/>
        </w:numPr>
        <w:spacing w:before="0"/>
        <w:ind w:left="426" w:hanging="425"/>
        <w:jc w:val="both"/>
        <w:rPr>
          <w:rFonts w:ascii="Times New Roman" w:hAnsi="Times New Roman" w:cs="Times New Roman"/>
          <w:noProof/>
          <w:sz w:val="24"/>
        </w:rPr>
      </w:pPr>
      <w:r w:rsidRPr="00B03B51">
        <w:rPr>
          <w:rFonts w:ascii="Times New Roman" w:hAnsi="Times New Roman" w:cs="Times New Roman"/>
          <w:sz w:val="24"/>
        </w:rPr>
        <w:t xml:space="preserve">Ja darījumu neatzīst vai vēl netraktē kā </w:t>
      </w:r>
      <w:r w:rsidRPr="00B03B51">
        <w:rPr>
          <w:rFonts w:ascii="Times New Roman" w:hAnsi="Times New Roman" w:cs="Times New Roman"/>
          <w:i/>
          <w:iCs/>
          <w:sz w:val="24"/>
        </w:rPr>
        <w:t>repo</w:t>
      </w:r>
      <w:r w:rsidRPr="00B03B51">
        <w:rPr>
          <w:rFonts w:ascii="Times New Roman" w:hAnsi="Times New Roman" w:cs="Times New Roman"/>
          <w:sz w:val="24"/>
        </w:rPr>
        <w:t xml:space="preserve"> darījumu, kurā neparedz stingras saistības attiecībā uz reverso darījumu, notiek aktīvu ekonomisko īpašumtiesību maiņa. Valdības parāds mainītos vienīgi tad, ja vienība, kas klasificēta vispārējās valdības sektorā, veiktu valdības vērtspapīru aizdevumu vai aizņēmumu ar darījumu partneri, kurš klasificēts ārpus vispārējās valdības sektora.</w:t>
      </w:r>
    </w:p>
    <w:p w14:paraId="720FB771"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p>
    <w:p w14:paraId="5FFD6695" w14:textId="77777777" w:rsidR="00443399" w:rsidRPr="00B03B51" w:rsidRDefault="00443399" w:rsidP="00443399">
      <w:pPr>
        <w:pStyle w:val="BodyText"/>
        <w:tabs>
          <w:tab w:val="left" w:pos="843"/>
        </w:tabs>
        <w:spacing w:before="0"/>
        <w:ind w:left="0" w:firstLine="0"/>
        <w:jc w:val="both"/>
        <w:rPr>
          <w:rFonts w:ascii="Times New Roman" w:hAnsi="Times New Roman" w:cs="Times New Roman"/>
          <w:noProof/>
          <w:sz w:val="24"/>
        </w:rPr>
      </w:pPr>
      <w:r w:rsidRPr="00B03B51">
        <w:rPr>
          <w:rFonts w:ascii="Times New Roman" w:hAnsi="Times New Roman" w:cs="Times New Roman"/>
          <w:sz w:val="24"/>
        </w:rPr>
        <w:t>26. Šāda ietekme izriet no konsolidācijas noteikumiem. Tādējādi konsolidētais parāds attiecīgi palielinās, ja valsts vienība ir aizdevējs (aktīvi samazinās) vai samazinās, ja valsts vienība ir aizņēmēja (aktīvi palielinās). Darījumi ar citiem vērtspapīriem netiek ietekmēti, ja neatkarīgi no iesaistītā instrumenta tie notiek ar vienību, kas klasificēta vispārējās valdības sektorā.</w:t>
      </w:r>
    </w:p>
    <w:p w14:paraId="17554EB4" w14:textId="77777777" w:rsidR="00443399" w:rsidRPr="00B03B51" w:rsidRDefault="00443399" w:rsidP="00443399">
      <w:pPr>
        <w:jc w:val="both"/>
        <w:rPr>
          <w:rFonts w:ascii="Times New Roman" w:eastAsia="Arial" w:hAnsi="Times New Roman" w:cs="Times New Roman"/>
          <w:noProof/>
          <w:sz w:val="24"/>
          <w:szCs w:val="19"/>
        </w:rPr>
      </w:pPr>
    </w:p>
    <w:p w14:paraId="3EB90A6F" w14:textId="77777777" w:rsidR="00443399" w:rsidRPr="00B03B51" w:rsidRDefault="00443399" w:rsidP="00443399">
      <w:pPr>
        <w:pStyle w:val="Heading3"/>
        <w:tabs>
          <w:tab w:val="left" w:pos="1267"/>
        </w:tabs>
        <w:ind w:left="0" w:firstLine="0"/>
        <w:jc w:val="both"/>
        <w:rPr>
          <w:rFonts w:ascii="Times New Roman" w:hAnsi="Times New Roman" w:cs="Times New Roman"/>
          <w:noProof/>
          <w:sz w:val="24"/>
        </w:rPr>
      </w:pPr>
      <w:bookmarkStart w:id="643" w:name="_Toc67565227"/>
      <w:r w:rsidRPr="00B03B51">
        <w:rPr>
          <w:rFonts w:ascii="Times New Roman" w:hAnsi="Times New Roman" w:cs="Times New Roman"/>
          <w:sz w:val="24"/>
        </w:rPr>
        <w:t>8.4.5. Uzskaites piemēri</w:t>
      </w:r>
      <w:bookmarkEnd w:id="643"/>
    </w:p>
    <w:p w14:paraId="5BD22342" w14:textId="77777777" w:rsidR="00443399" w:rsidRPr="00B03B51" w:rsidRDefault="00443399" w:rsidP="00443399">
      <w:pPr>
        <w:pStyle w:val="BodyText"/>
        <w:spacing w:before="0"/>
        <w:ind w:left="0" w:firstLine="0"/>
        <w:jc w:val="both"/>
        <w:rPr>
          <w:rFonts w:ascii="Times New Roman" w:hAnsi="Times New Roman" w:cs="Times New Roman"/>
          <w:noProof/>
          <w:sz w:val="24"/>
        </w:rPr>
      </w:pPr>
    </w:p>
    <w:p w14:paraId="279F7A23"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 xml:space="preserve">Valdība noslēdz </w:t>
      </w:r>
      <w:r w:rsidRPr="00B03B51">
        <w:rPr>
          <w:rFonts w:ascii="Times New Roman" w:hAnsi="Times New Roman" w:cs="Times New Roman"/>
          <w:b/>
          <w:bCs/>
          <w:sz w:val="24"/>
        </w:rPr>
        <w:t>pārdošanas ar atpirkšanu līgumu</w:t>
      </w:r>
      <w:r w:rsidRPr="00B03B51">
        <w:rPr>
          <w:rFonts w:ascii="Times New Roman" w:hAnsi="Times New Roman" w:cs="Times New Roman"/>
          <w:sz w:val="24"/>
        </w:rPr>
        <w:t xml:space="preserve"> (par valsts kases zīmēm) ar banku; darījuma vērtība ir 100 naudas vienības. Sākotnējais maksājuma termiņš ir 3 mēneši. Atpirkšanas cena ir 101 naudas vienība.</w:t>
      </w:r>
    </w:p>
    <w:p w14:paraId="2C1D5E6B" w14:textId="77777777" w:rsidR="00443399" w:rsidRPr="00B03B51" w:rsidRDefault="00443399" w:rsidP="00443399">
      <w:pPr>
        <w:jc w:val="both"/>
        <w:rPr>
          <w:rFonts w:ascii="Times New Roman" w:hAnsi="Times New Roman" w:cs="Times New Roman"/>
          <w:noProof/>
          <w:sz w:val="24"/>
        </w:rPr>
      </w:pPr>
    </w:p>
    <w:p w14:paraId="7DBBF035"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1. Sākumā</w:t>
      </w:r>
    </w:p>
    <w:p w14:paraId="2DFB0A14" w14:textId="77777777" w:rsidR="00443399" w:rsidRPr="00B03B51" w:rsidRDefault="00443399" w:rsidP="00443399">
      <w:pPr>
        <w:jc w:val="both"/>
        <w:rPr>
          <w:rFonts w:ascii="Times New Roman" w:hAnsi="Times New Roman" w:cs="Times New Roman"/>
          <w:noProof/>
          <w:sz w:val="24"/>
        </w:rPr>
      </w:pPr>
    </w:p>
    <w:p w14:paraId="12BE7F9A" w14:textId="77777777" w:rsidR="00443399" w:rsidRPr="00B03B51" w:rsidRDefault="00443399" w:rsidP="00443399">
      <w:pPr>
        <w:jc w:val="center"/>
        <w:rPr>
          <w:rFonts w:ascii="Times New Roman" w:hAnsi="Times New Roman" w:cs="Times New Roman"/>
          <w:noProof/>
          <w:sz w:val="24"/>
        </w:rPr>
      </w:pPr>
      <w:r w:rsidRPr="00B03B51">
        <w:rPr>
          <w:rFonts w:ascii="Times New Roman" w:hAnsi="Times New Roman" w:cs="Times New Roman"/>
          <w:noProof/>
        </w:rPr>
        <w:drawing>
          <wp:inline distT="0" distB="0" distL="0" distR="0" wp14:anchorId="3670E2FE" wp14:editId="23C0F73A">
            <wp:extent cx="5756275" cy="1347470"/>
            <wp:effectExtent l="0" t="0" r="0" b="508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56275" cy="1347470"/>
                    </a:xfrm>
                    <a:prstGeom prst="rect">
                      <a:avLst/>
                    </a:prstGeom>
                  </pic:spPr>
                </pic:pic>
              </a:graphicData>
            </a:graphic>
          </wp:inline>
        </w:drawing>
      </w:r>
    </w:p>
    <w:p w14:paraId="313204B9" w14:textId="77777777" w:rsidR="00443399" w:rsidRPr="00B03B51" w:rsidRDefault="00443399" w:rsidP="00443399">
      <w:pPr>
        <w:jc w:val="both"/>
        <w:rPr>
          <w:rFonts w:ascii="Times New Roman" w:eastAsia="Arial" w:hAnsi="Times New Roman" w:cs="Times New Roman"/>
          <w:noProof/>
          <w:sz w:val="24"/>
          <w:szCs w:val="24"/>
        </w:rPr>
      </w:pPr>
    </w:p>
    <w:p w14:paraId="66EBF583" w14:textId="77777777" w:rsidR="00443399" w:rsidRPr="00B03B51" w:rsidRDefault="00443399" w:rsidP="00443399">
      <w:pPr>
        <w:tabs>
          <w:tab w:val="left" w:pos="843"/>
        </w:tabs>
        <w:jc w:val="both"/>
        <w:rPr>
          <w:rFonts w:ascii="Times New Roman" w:hAnsi="Times New Roman" w:cs="Times New Roman"/>
          <w:b/>
          <w:noProof/>
          <w:sz w:val="24"/>
        </w:rPr>
      </w:pPr>
      <w:r w:rsidRPr="00B03B51">
        <w:rPr>
          <w:rFonts w:ascii="Times New Roman" w:hAnsi="Times New Roman" w:cs="Times New Roman"/>
          <w:b/>
          <w:sz w:val="24"/>
        </w:rPr>
        <w:t>2. Atlikušajā periodā</w:t>
      </w:r>
    </w:p>
    <w:p w14:paraId="0536874C" w14:textId="77777777" w:rsidR="00443399" w:rsidRPr="00B03B51" w:rsidRDefault="00443399" w:rsidP="00443399">
      <w:pPr>
        <w:jc w:val="both"/>
        <w:rPr>
          <w:rFonts w:ascii="Times New Roman" w:eastAsia="Arial" w:hAnsi="Times New Roman" w:cs="Times New Roman"/>
          <w:b/>
          <w:bCs/>
          <w:noProof/>
          <w:sz w:val="24"/>
          <w:szCs w:val="10"/>
        </w:rPr>
      </w:pPr>
    </w:p>
    <w:p w14:paraId="17F126E2" w14:textId="77777777" w:rsidR="00443399" w:rsidRPr="00B03B51" w:rsidRDefault="00443399" w:rsidP="00100B51">
      <w:pPr>
        <w:rPr>
          <w:noProof/>
          <w:sz w:val="24"/>
        </w:rPr>
      </w:pPr>
      <w:bookmarkStart w:id="644" w:name="8.5_Keywords_and_references"/>
      <w:bookmarkStart w:id="645" w:name="_bookmark65"/>
      <w:bookmarkStart w:id="646" w:name="_Toc67565228"/>
      <w:bookmarkEnd w:id="644"/>
      <w:bookmarkEnd w:id="645"/>
      <w:r w:rsidRPr="00B03B51">
        <w:rPr>
          <w:noProof/>
        </w:rPr>
        <w:drawing>
          <wp:inline distT="0" distB="0" distL="0" distR="0" wp14:anchorId="3CD93474" wp14:editId="73BE0B72">
            <wp:extent cx="5756275" cy="2337435"/>
            <wp:effectExtent l="0" t="0" r="0" b="5715"/>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56275" cy="2337435"/>
                    </a:xfrm>
                    <a:prstGeom prst="rect">
                      <a:avLst/>
                    </a:prstGeom>
                  </pic:spPr>
                </pic:pic>
              </a:graphicData>
            </a:graphic>
          </wp:inline>
        </w:drawing>
      </w:r>
      <w:bookmarkEnd w:id="646"/>
    </w:p>
    <w:p w14:paraId="16570727" w14:textId="77777777" w:rsidR="00443399" w:rsidRPr="00B03B51" w:rsidRDefault="00443399" w:rsidP="00443399">
      <w:pPr>
        <w:rPr>
          <w:rFonts w:ascii="Times New Roman" w:eastAsia="Arial" w:hAnsi="Times New Roman" w:cs="Times New Roman"/>
          <w:b/>
          <w:bCs/>
          <w:noProof/>
          <w:sz w:val="24"/>
          <w:szCs w:val="40"/>
        </w:rPr>
      </w:pPr>
      <w:r w:rsidRPr="00B03B51">
        <w:rPr>
          <w:rFonts w:ascii="Times New Roman" w:hAnsi="Times New Roman" w:cs="Times New Roman"/>
        </w:rPr>
        <w:br w:type="page"/>
      </w:r>
    </w:p>
    <w:p w14:paraId="23BA2302" w14:textId="77777777" w:rsidR="00443399" w:rsidRPr="00100B51" w:rsidRDefault="00443399" w:rsidP="00100B51">
      <w:pPr>
        <w:rPr>
          <w:rFonts w:ascii="Times New Roman" w:hAnsi="Times New Roman" w:cs="Times New Roman"/>
          <w:noProof/>
        </w:rPr>
      </w:pPr>
    </w:p>
    <w:p w14:paraId="36DDD446" w14:textId="77777777" w:rsidR="00443399" w:rsidRPr="00B03B51" w:rsidRDefault="00443399" w:rsidP="00443399">
      <w:pPr>
        <w:pStyle w:val="Heading2"/>
        <w:spacing w:before="0"/>
        <w:ind w:left="0" w:firstLine="0"/>
        <w:jc w:val="both"/>
        <w:rPr>
          <w:rFonts w:ascii="Times New Roman" w:hAnsi="Times New Roman" w:cs="Times New Roman"/>
          <w:noProof/>
          <w:sz w:val="28"/>
          <w:szCs w:val="44"/>
        </w:rPr>
      </w:pPr>
      <w:bookmarkStart w:id="647" w:name="_Toc67565229"/>
      <w:r w:rsidRPr="00B03B51">
        <w:rPr>
          <w:rFonts w:ascii="Times New Roman" w:hAnsi="Times New Roman" w:cs="Times New Roman"/>
          <w:sz w:val="28"/>
          <w:szCs w:val="44"/>
        </w:rPr>
        <w:t>8.5. Atslēgvārdi un atsauces</w:t>
      </w:r>
      <w:bookmarkEnd w:id="647"/>
    </w:p>
    <w:p w14:paraId="77256562" w14:textId="77777777" w:rsidR="00443399" w:rsidRPr="00B03B51" w:rsidRDefault="00443399" w:rsidP="00443399">
      <w:pPr>
        <w:jc w:val="both"/>
        <w:rPr>
          <w:rFonts w:ascii="Times New Roman" w:eastAsia="Arial" w:hAnsi="Times New Roman" w:cs="Times New Roman"/>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4398"/>
        <w:gridCol w:w="4673"/>
      </w:tblGrid>
      <w:tr w:rsidR="00443399" w:rsidRPr="00B03B51" w14:paraId="0C561745" w14:textId="77777777" w:rsidTr="0054365B">
        <w:tc>
          <w:tcPr>
            <w:tcW w:w="2424" w:type="pct"/>
            <w:tcBorders>
              <w:top w:val="nil"/>
              <w:left w:val="nil"/>
              <w:bottom w:val="nil"/>
              <w:right w:val="nil"/>
            </w:tcBorders>
          </w:tcPr>
          <w:p w14:paraId="70AF464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aktīvi un pasīvi</w:t>
            </w:r>
          </w:p>
        </w:tc>
        <w:tc>
          <w:tcPr>
            <w:tcW w:w="2576" w:type="pct"/>
            <w:tcBorders>
              <w:top w:val="nil"/>
              <w:left w:val="nil"/>
              <w:bottom w:val="nil"/>
              <w:right w:val="nil"/>
            </w:tcBorders>
          </w:tcPr>
          <w:p w14:paraId="0F27FE5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7.01. un turpmākie punkti</w:t>
            </w:r>
          </w:p>
        </w:tc>
      </w:tr>
      <w:tr w:rsidR="00443399" w:rsidRPr="00B03B51" w14:paraId="01587E69" w14:textId="77777777" w:rsidTr="0054365B">
        <w:tc>
          <w:tcPr>
            <w:tcW w:w="2424" w:type="pct"/>
            <w:tcBorders>
              <w:top w:val="nil"/>
              <w:left w:val="nil"/>
              <w:bottom w:val="nil"/>
              <w:right w:val="nil"/>
            </w:tcBorders>
          </w:tcPr>
          <w:p w14:paraId="5DC7719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aktīvu un pasīvu novērtēšana</w:t>
            </w:r>
          </w:p>
        </w:tc>
        <w:tc>
          <w:tcPr>
            <w:tcW w:w="2576" w:type="pct"/>
            <w:tcBorders>
              <w:top w:val="nil"/>
              <w:left w:val="nil"/>
              <w:bottom w:val="nil"/>
              <w:right w:val="nil"/>
            </w:tcBorders>
          </w:tcPr>
          <w:p w14:paraId="475E2259"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7.33. un turpmākie punkti</w:t>
            </w:r>
          </w:p>
        </w:tc>
      </w:tr>
      <w:tr w:rsidR="00443399" w:rsidRPr="00B03B51" w14:paraId="75512A16" w14:textId="77777777" w:rsidTr="0054365B">
        <w:tc>
          <w:tcPr>
            <w:tcW w:w="2424" w:type="pct"/>
            <w:tcBorders>
              <w:top w:val="nil"/>
              <w:left w:val="nil"/>
              <w:bottom w:val="nil"/>
              <w:right w:val="nil"/>
            </w:tcBorders>
          </w:tcPr>
          <w:p w14:paraId="3AF63FF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Valūta un noguldījumi (AF.2)</w:t>
            </w:r>
          </w:p>
        </w:tc>
        <w:tc>
          <w:tcPr>
            <w:tcW w:w="2576" w:type="pct"/>
            <w:tcBorders>
              <w:top w:val="nil"/>
              <w:left w:val="nil"/>
              <w:bottom w:val="nil"/>
              <w:right w:val="nil"/>
            </w:tcBorders>
          </w:tcPr>
          <w:p w14:paraId="1400949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7.64.–7.66. punkts</w:t>
            </w:r>
          </w:p>
        </w:tc>
      </w:tr>
      <w:tr w:rsidR="00443399" w:rsidRPr="00B03B51" w14:paraId="137D3D31" w14:textId="77777777" w:rsidTr="0054365B">
        <w:tc>
          <w:tcPr>
            <w:tcW w:w="2424" w:type="pct"/>
            <w:tcBorders>
              <w:top w:val="nil"/>
              <w:left w:val="nil"/>
              <w:bottom w:val="nil"/>
              <w:right w:val="nil"/>
            </w:tcBorders>
          </w:tcPr>
          <w:p w14:paraId="45C887E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Parāda vērtspapīri (AF.3)</w:t>
            </w:r>
          </w:p>
        </w:tc>
        <w:tc>
          <w:tcPr>
            <w:tcW w:w="2576" w:type="pct"/>
            <w:tcBorders>
              <w:top w:val="nil"/>
              <w:left w:val="nil"/>
              <w:bottom w:val="nil"/>
              <w:right w:val="nil"/>
            </w:tcBorders>
          </w:tcPr>
          <w:p w14:paraId="391270C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7.67.–7.69. punkts</w:t>
            </w:r>
          </w:p>
        </w:tc>
      </w:tr>
      <w:tr w:rsidR="00443399" w:rsidRPr="00B03B51" w14:paraId="5D833485" w14:textId="77777777" w:rsidTr="0054365B">
        <w:tc>
          <w:tcPr>
            <w:tcW w:w="2424" w:type="pct"/>
            <w:tcBorders>
              <w:top w:val="nil"/>
              <w:left w:val="nil"/>
              <w:bottom w:val="nil"/>
              <w:right w:val="nil"/>
            </w:tcBorders>
          </w:tcPr>
          <w:p w14:paraId="46A12B6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Aizdevumi (AF.4)</w:t>
            </w:r>
          </w:p>
        </w:tc>
        <w:tc>
          <w:tcPr>
            <w:tcW w:w="2576" w:type="pct"/>
            <w:tcBorders>
              <w:top w:val="nil"/>
              <w:left w:val="nil"/>
              <w:bottom w:val="nil"/>
              <w:right w:val="nil"/>
            </w:tcBorders>
          </w:tcPr>
          <w:p w14:paraId="300C28BA"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7.70. punkts</w:t>
            </w:r>
          </w:p>
        </w:tc>
      </w:tr>
      <w:tr w:rsidR="00443399" w:rsidRPr="00B03B51" w14:paraId="531CA7C6" w14:textId="77777777" w:rsidTr="0054365B">
        <w:tc>
          <w:tcPr>
            <w:tcW w:w="2424" w:type="pct"/>
            <w:tcBorders>
              <w:top w:val="nil"/>
              <w:left w:val="nil"/>
              <w:bottom w:val="nil"/>
              <w:right w:val="nil"/>
            </w:tcBorders>
          </w:tcPr>
          <w:p w14:paraId="0D82C11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Atvasinātie finanšu instrumenti (AF.7)</w:t>
            </w:r>
          </w:p>
        </w:tc>
        <w:tc>
          <w:tcPr>
            <w:tcW w:w="2576" w:type="pct"/>
            <w:tcBorders>
              <w:top w:val="nil"/>
              <w:left w:val="nil"/>
              <w:bottom w:val="nil"/>
              <w:right w:val="nil"/>
            </w:tcBorders>
          </w:tcPr>
          <w:p w14:paraId="6C35481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7.86.–7.89., 20.187. punkts</w:t>
            </w:r>
          </w:p>
        </w:tc>
      </w:tr>
      <w:tr w:rsidR="00443399" w:rsidRPr="00B03B51" w14:paraId="6865A0EE" w14:textId="77777777" w:rsidTr="0054365B">
        <w:tc>
          <w:tcPr>
            <w:tcW w:w="2424" w:type="pct"/>
            <w:tcBorders>
              <w:top w:val="nil"/>
              <w:left w:val="nil"/>
              <w:bottom w:val="nil"/>
              <w:right w:val="nil"/>
            </w:tcBorders>
          </w:tcPr>
          <w:p w14:paraId="0D5D40F5"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Citas kreditoru saistības (AF.8)</w:t>
            </w:r>
          </w:p>
        </w:tc>
        <w:tc>
          <w:tcPr>
            <w:tcW w:w="2576" w:type="pct"/>
            <w:tcBorders>
              <w:top w:val="nil"/>
              <w:left w:val="nil"/>
              <w:bottom w:val="nil"/>
              <w:right w:val="nil"/>
            </w:tcBorders>
          </w:tcPr>
          <w:p w14:paraId="4D91AB4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7.90. punkts</w:t>
            </w:r>
          </w:p>
        </w:tc>
      </w:tr>
      <w:tr w:rsidR="00443399" w:rsidRPr="00B03B51" w14:paraId="6DA13B2C" w14:textId="77777777" w:rsidTr="0054365B">
        <w:tc>
          <w:tcPr>
            <w:tcW w:w="2424" w:type="pct"/>
            <w:tcBorders>
              <w:top w:val="nil"/>
              <w:left w:val="nil"/>
              <w:bottom w:val="nil"/>
              <w:right w:val="nil"/>
            </w:tcBorders>
          </w:tcPr>
          <w:p w14:paraId="1DDBC33F"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Indeksētie vērtspapīri</w:t>
            </w:r>
          </w:p>
        </w:tc>
        <w:tc>
          <w:tcPr>
            <w:tcW w:w="2576" w:type="pct"/>
            <w:tcBorders>
              <w:top w:val="nil"/>
              <w:left w:val="nil"/>
              <w:bottom w:val="nil"/>
              <w:right w:val="nil"/>
            </w:tcBorders>
          </w:tcPr>
          <w:p w14:paraId="12DE1A3C"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4.46. punkta c) apakšpunkts, 5.100.–5.101., 20.187. punkts</w:t>
            </w:r>
          </w:p>
        </w:tc>
      </w:tr>
      <w:tr w:rsidR="00443399" w:rsidRPr="00B03B51" w14:paraId="54AE6C85" w14:textId="77777777" w:rsidTr="0054365B">
        <w:tc>
          <w:tcPr>
            <w:tcW w:w="2424" w:type="pct"/>
            <w:tcBorders>
              <w:top w:val="nil"/>
              <w:left w:val="nil"/>
              <w:bottom w:val="nil"/>
              <w:right w:val="nil"/>
            </w:tcBorders>
          </w:tcPr>
          <w:p w14:paraId="5D67FCD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Diskontētās un bezkupona obligācijas</w:t>
            </w:r>
          </w:p>
        </w:tc>
        <w:tc>
          <w:tcPr>
            <w:tcW w:w="2576" w:type="pct"/>
            <w:tcBorders>
              <w:top w:val="nil"/>
              <w:left w:val="nil"/>
              <w:bottom w:val="nil"/>
              <w:right w:val="nil"/>
            </w:tcBorders>
          </w:tcPr>
          <w:p w14:paraId="795BE007"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20.184.–20.186. punkts</w:t>
            </w:r>
          </w:p>
        </w:tc>
      </w:tr>
      <w:tr w:rsidR="00443399" w:rsidRPr="00B03B51" w14:paraId="4E12A2B9" w14:textId="77777777" w:rsidTr="0054365B">
        <w:tc>
          <w:tcPr>
            <w:tcW w:w="2424" w:type="pct"/>
            <w:tcBorders>
              <w:top w:val="nil"/>
              <w:left w:val="nil"/>
              <w:bottom w:val="nil"/>
              <w:right w:val="nil"/>
            </w:tcBorders>
          </w:tcPr>
          <w:p w14:paraId="42860D72"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Finanšu līzings</w:t>
            </w:r>
          </w:p>
        </w:tc>
        <w:tc>
          <w:tcPr>
            <w:tcW w:w="2576" w:type="pct"/>
            <w:tcBorders>
              <w:top w:val="nil"/>
              <w:left w:val="nil"/>
              <w:bottom w:val="nil"/>
              <w:right w:val="nil"/>
            </w:tcBorders>
          </w:tcPr>
          <w:p w14:paraId="2BBEB42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5.134.–5.135, 15.13.–15.22. punkts</w:t>
            </w:r>
          </w:p>
        </w:tc>
      </w:tr>
      <w:tr w:rsidR="00443399" w:rsidRPr="00B03B51" w14:paraId="6B33966F" w14:textId="77777777" w:rsidTr="0054365B">
        <w:tc>
          <w:tcPr>
            <w:tcW w:w="2424" w:type="pct"/>
            <w:tcBorders>
              <w:top w:val="nil"/>
              <w:left w:val="nil"/>
              <w:bottom w:val="nil"/>
              <w:right w:val="nil"/>
            </w:tcBorders>
          </w:tcPr>
          <w:p w14:paraId="3BF96986"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Mijmaiņas darījumi</w:t>
            </w:r>
          </w:p>
        </w:tc>
        <w:tc>
          <w:tcPr>
            <w:tcW w:w="2576" w:type="pct"/>
            <w:tcBorders>
              <w:top w:val="nil"/>
              <w:left w:val="nil"/>
              <w:bottom w:val="nil"/>
              <w:right w:val="nil"/>
            </w:tcBorders>
          </w:tcPr>
          <w:p w14:paraId="6A521D1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5.210.–5.213. punkts</w:t>
            </w:r>
          </w:p>
        </w:tc>
      </w:tr>
      <w:tr w:rsidR="00443399" w:rsidRPr="00B03B51" w14:paraId="6EBF5061" w14:textId="77777777" w:rsidTr="0054365B">
        <w:tc>
          <w:tcPr>
            <w:tcW w:w="2424" w:type="pct"/>
            <w:tcBorders>
              <w:top w:val="nil"/>
              <w:left w:val="nil"/>
              <w:bottom w:val="nil"/>
              <w:right w:val="nil"/>
            </w:tcBorders>
          </w:tcPr>
          <w:p w14:paraId="351F034E"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Vērtspapīru aizdošanas un pārdošanas ar atpirkšanu līgumi</w:t>
            </w:r>
          </w:p>
        </w:tc>
        <w:tc>
          <w:tcPr>
            <w:tcW w:w="2576" w:type="pct"/>
            <w:tcBorders>
              <w:top w:val="nil"/>
              <w:left w:val="nil"/>
              <w:bottom w:val="nil"/>
              <w:right w:val="nil"/>
            </w:tcBorders>
          </w:tcPr>
          <w:p w14:paraId="01CE9F3B"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5.126.–5.133. punkts</w:t>
            </w:r>
          </w:p>
        </w:tc>
      </w:tr>
      <w:tr w:rsidR="00443399" w:rsidRPr="00B03B51" w14:paraId="081B9825" w14:textId="77777777" w:rsidTr="0054365B">
        <w:tc>
          <w:tcPr>
            <w:tcW w:w="2424" w:type="pct"/>
            <w:tcBorders>
              <w:top w:val="nil"/>
              <w:left w:val="nil"/>
              <w:bottom w:val="nil"/>
              <w:right w:val="nil"/>
            </w:tcBorders>
          </w:tcPr>
          <w:p w14:paraId="3C7B910D"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Kredītsaistību nepildīšanas mijmaiņas līgumi</w:t>
            </w:r>
          </w:p>
        </w:tc>
        <w:tc>
          <w:tcPr>
            <w:tcW w:w="2576" w:type="pct"/>
            <w:tcBorders>
              <w:top w:val="nil"/>
              <w:left w:val="nil"/>
              <w:bottom w:val="nil"/>
              <w:right w:val="nil"/>
            </w:tcBorders>
          </w:tcPr>
          <w:p w14:paraId="6B787B35"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5.11. punkts, 5.1. ierāmējums, 5.218.–5.219. punkts</w:t>
            </w:r>
          </w:p>
        </w:tc>
      </w:tr>
      <w:tr w:rsidR="00443399" w:rsidRPr="00B03B51" w14:paraId="626AFF60" w14:textId="77777777" w:rsidTr="0054365B">
        <w:tc>
          <w:tcPr>
            <w:tcW w:w="2424" w:type="pct"/>
            <w:tcBorders>
              <w:top w:val="nil"/>
              <w:left w:val="nil"/>
              <w:bottom w:val="nil"/>
              <w:right w:val="nil"/>
            </w:tcBorders>
          </w:tcPr>
          <w:p w14:paraId="25A86888"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Ārpusbiržas mijmaiņas darījumi</w:t>
            </w:r>
          </w:p>
        </w:tc>
        <w:tc>
          <w:tcPr>
            <w:tcW w:w="2576" w:type="pct"/>
            <w:tcBorders>
              <w:top w:val="nil"/>
              <w:left w:val="nil"/>
              <w:bottom w:val="nil"/>
              <w:right w:val="nil"/>
            </w:tcBorders>
          </w:tcPr>
          <w:p w14:paraId="48BEFFE0" w14:textId="77777777" w:rsidR="00443399" w:rsidRPr="00B03B51" w:rsidRDefault="00443399" w:rsidP="0054365B">
            <w:pPr>
              <w:pStyle w:val="TableParagraph"/>
              <w:jc w:val="both"/>
              <w:rPr>
                <w:rFonts w:ascii="Times New Roman" w:hAnsi="Times New Roman" w:cs="Times New Roman"/>
                <w:noProof/>
                <w:sz w:val="24"/>
              </w:rPr>
            </w:pPr>
            <w:r w:rsidRPr="00B03B51">
              <w:rPr>
                <w:rFonts w:ascii="Times New Roman" w:hAnsi="Times New Roman" w:cs="Times New Roman"/>
                <w:sz w:val="24"/>
              </w:rPr>
              <w:t>EKS 2010, 20.133. punkts</w:t>
            </w:r>
          </w:p>
        </w:tc>
      </w:tr>
    </w:tbl>
    <w:p w14:paraId="08F46AB6" w14:textId="77777777" w:rsidR="00443399" w:rsidRPr="00B03B51" w:rsidRDefault="00443399" w:rsidP="00443399">
      <w:pPr>
        <w:rPr>
          <w:rFonts w:ascii="Times New Roman" w:eastAsia="Arial" w:hAnsi="Times New Roman" w:cs="Times New Roman"/>
          <w:b/>
          <w:bCs/>
          <w:noProof/>
          <w:sz w:val="24"/>
          <w:szCs w:val="19"/>
        </w:rPr>
      </w:pPr>
      <w:r w:rsidRPr="00B03B51">
        <w:rPr>
          <w:rFonts w:ascii="Times New Roman" w:hAnsi="Times New Roman" w:cs="Times New Roman"/>
        </w:rPr>
        <w:br w:type="page"/>
      </w:r>
    </w:p>
    <w:p w14:paraId="23AE7287" w14:textId="77777777" w:rsidR="00443399" w:rsidRPr="00B03B51" w:rsidRDefault="00443399" w:rsidP="00443399">
      <w:pPr>
        <w:jc w:val="both"/>
        <w:rPr>
          <w:rFonts w:ascii="Times New Roman" w:eastAsia="Arial" w:hAnsi="Times New Roman" w:cs="Times New Roman"/>
          <w:b/>
          <w:bCs/>
          <w:noProof/>
          <w:sz w:val="24"/>
          <w:szCs w:val="19"/>
        </w:rPr>
      </w:pPr>
    </w:p>
    <w:p w14:paraId="766C7789" w14:textId="77777777" w:rsidR="00443399" w:rsidRPr="00B03B51" w:rsidRDefault="00443399" w:rsidP="00443399">
      <w:pPr>
        <w:pStyle w:val="Heading2"/>
        <w:tabs>
          <w:tab w:val="left" w:pos="1134"/>
        </w:tabs>
        <w:spacing w:before="0"/>
        <w:ind w:left="0" w:firstLine="0"/>
        <w:jc w:val="both"/>
        <w:rPr>
          <w:rFonts w:ascii="Times New Roman" w:hAnsi="Times New Roman" w:cs="Times New Roman"/>
          <w:noProof/>
          <w:sz w:val="28"/>
          <w:szCs w:val="44"/>
        </w:rPr>
      </w:pPr>
      <w:bookmarkStart w:id="648" w:name="Annex_Legal_texts_(references_and_links)"/>
      <w:bookmarkStart w:id="649" w:name="_bookmark66"/>
      <w:bookmarkStart w:id="650" w:name="_Toc67565230"/>
      <w:bookmarkEnd w:id="648"/>
      <w:bookmarkEnd w:id="649"/>
      <w:r w:rsidRPr="00B03B51">
        <w:rPr>
          <w:rFonts w:ascii="Times New Roman" w:hAnsi="Times New Roman" w:cs="Times New Roman"/>
          <w:sz w:val="28"/>
          <w:szCs w:val="44"/>
        </w:rPr>
        <w:t>Pielikums. Tiesību akti (atsauces un saites)</w:t>
      </w:r>
      <w:bookmarkEnd w:id="650"/>
    </w:p>
    <w:p w14:paraId="485A7D09" w14:textId="77777777" w:rsidR="00443399" w:rsidRPr="00100B51" w:rsidRDefault="00443399" w:rsidP="00100B51">
      <w:pPr>
        <w:rPr>
          <w:rFonts w:ascii="Times New Roman" w:hAnsi="Times New Roman" w:cs="Times New Roman"/>
          <w:noProof/>
        </w:rPr>
      </w:pPr>
    </w:p>
    <w:p w14:paraId="527B9224" w14:textId="77777777" w:rsidR="00443399" w:rsidRPr="00B03B51" w:rsidRDefault="00443399" w:rsidP="00443399">
      <w:pPr>
        <w:pStyle w:val="Heading6"/>
        <w:ind w:left="0" w:firstLine="0"/>
        <w:jc w:val="both"/>
        <w:rPr>
          <w:rFonts w:ascii="Times New Roman" w:hAnsi="Times New Roman" w:cs="Times New Roman"/>
          <w:noProof/>
          <w:sz w:val="24"/>
        </w:rPr>
      </w:pPr>
      <w:r w:rsidRPr="00B03B51">
        <w:rPr>
          <w:rFonts w:ascii="Times New Roman" w:hAnsi="Times New Roman" w:cs="Times New Roman"/>
          <w:sz w:val="24"/>
        </w:rPr>
        <w:t>Tiesību akti:</w:t>
      </w:r>
    </w:p>
    <w:p w14:paraId="69A2610B" w14:textId="77777777" w:rsidR="00443399" w:rsidRPr="00B03B51" w:rsidRDefault="00443399" w:rsidP="00443399">
      <w:pPr>
        <w:jc w:val="both"/>
        <w:rPr>
          <w:rFonts w:ascii="Times New Roman" w:eastAsia="Arial" w:hAnsi="Times New Roman" w:cs="Times New Roman"/>
          <w:b/>
          <w:bCs/>
          <w:noProof/>
          <w:sz w:val="24"/>
          <w:szCs w:val="21"/>
        </w:rPr>
      </w:pPr>
    </w:p>
    <w:p w14:paraId="1571C767"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https://ec.europa.eu/eurostat/web/government-finance-statistics/legislation</w:t>
      </w:r>
    </w:p>
    <w:p w14:paraId="48FB7D2E" w14:textId="77777777" w:rsidR="00443399" w:rsidRPr="00B03B51" w:rsidRDefault="00443399" w:rsidP="00443399">
      <w:pPr>
        <w:jc w:val="both"/>
        <w:rPr>
          <w:rFonts w:ascii="Times New Roman" w:eastAsia="Arial" w:hAnsi="Times New Roman" w:cs="Times New Roman"/>
          <w:noProof/>
          <w:sz w:val="24"/>
          <w:szCs w:val="20"/>
        </w:rPr>
      </w:pPr>
    </w:p>
    <w:p w14:paraId="72FE217A" w14:textId="77777777" w:rsidR="00443399" w:rsidRPr="00B03B51" w:rsidRDefault="00443399" w:rsidP="00443399">
      <w:pPr>
        <w:pStyle w:val="Heading6"/>
        <w:ind w:left="0" w:firstLine="0"/>
        <w:jc w:val="both"/>
        <w:rPr>
          <w:rFonts w:ascii="Times New Roman" w:hAnsi="Times New Roman" w:cs="Times New Roman"/>
          <w:noProof/>
          <w:sz w:val="24"/>
        </w:rPr>
      </w:pPr>
      <w:r w:rsidRPr="00B03B51">
        <w:rPr>
          <w:rFonts w:ascii="Times New Roman" w:hAnsi="Times New Roman" w:cs="Times New Roman"/>
          <w:sz w:val="24"/>
        </w:rPr>
        <w:t>Eiropas kontu sistēma 2010 (EKS 2010)</w:t>
      </w:r>
    </w:p>
    <w:p w14:paraId="1A57485F" w14:textId="77777777" w:rsidR="00443399" w:rsidRPr="00B03B51" w:rsidRDefault="00443399" w:rsidP="00443399">
      <w:pPr>
        <w:jc w:val="both"/>
        <w:rPr>
          <w:rFonts w:ascii="Times New Roman" w:eastAsia="Arial" w:hAnsi="Times New Roman" w:cs="Times New Roman"/>
          <w:b/>
          <w:bCs/>
          <w:noProof/>
          <w:sz w:val="24"/>
          <w:szCs w:val="21"/>
        </w:rPr>
      </w:pPr>
    </w:p>
    <w:p w14:paraId="21803284"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Eiropas Parlamenta un Padomes Regula (ES) Nr. 549/2013 (2013. gada 21. maijs) par Eiropas nacionālo un reģionālo kontu sistēmu Eiropas Savienībā</w:t>
      </w:r>
    </w:p>
    <w:p w14:paraId="4E1EA8CD" w14:textId="77777777" w:rsidR="00443399" w:rsidRPr="00B03B51" w:rsidRDefault="00443399" w:rsidP="00443399">
      <w:pPr>
        <w:jc w:val="both"/>
        <w:rPr>
          <w:rFonts w:ascii="Times New Roman" w:eastAsia="Arial" w:hAnsi="Times New Roman" w:cs="Times New Roman"/>
          <w:noProof/>
          <w:sz w:val="24"/>
        </w:rPr>
      </w:pPr>
    </w:p>
    <w:p w14:paraId="093E98D1" w14:textId="77777777" w:rsidR="00443399" w:rsidRPr="00B03B51" w:rsidRDefault="00443399" w:rsidP="00443399">
      <w:pPr>
        <w:pStyle w:val="Heading6"/>
        <w:ind w:left="0" w:firstLine="0"/>
        <w:jc w:val="both"/>
        <w:rPr>
          <w:rFonts w:ascii="Times New Roman" w:hAnsi="Times New Roman" w:cs="Times New Roman"/>
          <w:noProof/>
          <w:sz w:val="24"/>
        </w:rPr>
      </w:pPr>
      <w:r w:rsidRPr="00B03B51">
        <w:rPr>
          <w:rFonts w:ascii="Times New Roman" w:hAnsi="Times New Roman" w:cs="Times New Roman"/>
          <w:sz w:val="24"/>
        </w:rPr>
        <w:t>Pārsūtīšanas programma:</w:t>
      </w:r>
    </w:p>
    <w:p w14:paraId="41794352" w14:textId="77777777" w:rsidR="00443399" w:rsidRPr="00B03B51" w:rsidRDefault="00443399" w:rsidP="00443399">
      <w:pPr>
        <w:jc w:val="both"/>
        <w:rPr>
          <w:rFonts w:ascii="Times New Roman" w:eastAsia="Arial" w:hAnsi="Times New Roman" w:cs="Times New Roman"/>
          <w:b/>
          <w:bCs/>
          <w:noProof/>
          <w:sz w:val="24"/>
          <w:szCs w:val="21"/>
        </w:rPr>
      </w:pPr>
    </w:p>
    <w:p w14:paraId="64187FDF"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EKS 2010 Datu pārsūtīšanas programma</w:t>
      </w:r>
    </w:p>
    <w:p w14:paraId="1AEE7B1C" w14:textId="77777777" w:rsidR="00443399" w:rsidRPr="00B03B51" w:rsidRDefault="00443399" w:rsidP="00443399">
      <w:pPr>
        <w:jc w:val="both"/>
        <w:rPr>
          <w:rFonts w:ascii="Times New Roman" w:eastAsia="Arial" w:hAnsi="Times New Roman" w:cs="Times New Roman"/>
          <w:noProof/>
          <w:sz w:val="24"/>
        </w:rPr>
      </w:pPr>
    </w:p>
    <w:p w14:paraId="49F5A6A1" w14:textId="77777777" w:rsidR="00443399" w:rsidRPr="00C61BF5" w:rsidRDefault="00443399" w:rsidP="00C61BF5">
      <w:pPr>
        <w:pStyle w:val="Heading6"/>
        <w:ind w:left="0" w:firstLine="0"/>
        <w:jc w:val="both"/>
        <w:rPr>
          <w:rFonts w:ascii="Times New Roman" w:hAnsi="Times New Roman" w:cs="Times New Roman"/>
          <w:sz w:val="24"/>
        </w:rPr>
      </w:pPr>
      <w:r w:rsidRPr="00C61BF5">
        <w:rPr>
          <w:rFonts w:ascii="Times New Roman" w:hAnsi="Times New Roman" w:cs="Times New Roman"/>
          <w:sz w:val="24"/>
        </w:rPr>
        <w:t>Pārmērīga budžeta deficīta novēršanas procedūras statistika:</w:t>
      </w:r>
    </w:p>
    <w:p w14:paraId="700656F0" w14:textId="77777777" w:rsidR="00443399" w:rsidRPr="00B03B51" w:rsidRDefault="00443399" w:rsidP="00443399">
      <w:pPr>
        <w:jc w:val="both"/>
        <w:rPr>
          <w:rFonts w:ascii="Times New Roman" w:eastAsia="Arial" w:hAnsi="Times New Roman" w:cs="Times New Roman"/>
          <w:b/>
          <w:bCs/>
          <w:noProof/>
          <w:sz w:val="24"/>
          <w:szCs w:val="21"/>
        </w:rPr>
      </w:pPr>
    </w:p>
    <w:p w14:paraId="3E4216F8"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Komisijas Regula (ES) Nr. 220/2014 (2014. gada 7. marts), ar ko attiecībā uz Eiropas nacionālo un reģionālo kontu sistēmu Eiropas Savienībā groza Padomes Regulu (EK) Nr. 479/2009</w:t>
      </w:r>
    </w:p>
    <w:p w14:paraId="08780396" w14:textId="77777777" w:rsidR="00443399" w:rsidRPr="00B03B51" w:rsidRDefault="00443399" w:rsidP="00443399">
      <w:pPr>
        <w:jc w:val="both"/>
        <w:rPr>
          <w:rFonts w:ascii="Times New Roman" w:eastAsia="Arial" w:hAnsi="Times New Roman" w:cs="Times New Roman"/>
          <w:noProof/>
          <w:sz w:val="24"/>
          <w:szCs w:val="20"/>
        </w:rPr>
      </w:pPr>
    </w:p>
    <w:p w14:paraId="7F2E3CA6"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Padomes Regula (ES) Nr. 679/2010 (2010.gada 26.jūlijs), ar ko groza Regulu (EK) Nr. 479/2009 attiecībā uz statistikas datu kvalitāti pārmērīga budžeta deficīta novēršanas procedūras kontekstā</w:t>
      </w:r>
    </w:p>
    <w:p w14:paraId="2BD99E1F" w14:textId="77777777" w:rsidR="00443399" w:rsidRPr="00B03B51" w:rsidRDefault="00443399" w:rsidP="00443399">
      <w:pPr>
        <w:jc w:val="both"/>
        <w:rPr>
          <w:rFonts w:ascii="Times New Roman" w:eastAsia="Arial" w:hAnsi="Times New Roman" w:cs="Times New Roman"/>
          <w:noProof/>
          <w:sz w:val="24"/>
          <w:szCs w:val="20"/>
        </w:rPr>
      </w:pPr>
    </w:p>
    <w:p w14:paraId="5693E1CE" w14:textId="77777777" w:rsidR="00443399" w:rsidRPr="00B03B51" w:rsidRDefault="00443399" w:rsidP="00443399">
      <w:pPr>
        <w:pStyle w:val="BodyText"/>
        <w:spacing w:before="0"/>
        <w:ind w:left="0" w:firstLine="0"/>
        <w:jc w:val="both"/>
        <w:rPr>
          <w:rFonts w:ascii="Times New Roman" w:hAnsi="Times New Roman" w:cs="Times New Roman"/>
          <w:noProof/>
          <w:sz w:val="24"/>
        </w:rPr>
      </w:pPr>
      <w:r w:rsidRPr="00B03B51">
        <w:rPr>
          <w:rFonts w:ascii="Times New Roman" w:hAnsi="Times New Roman" w:cs="Times New Roman"/>
          <w:sz w:val="24"/>
        </w:rPr>
        <w:t>Padomes Regula (EK) Nr. 479/2009 par to, kā piemērot Eiropas Kopienas dibināšanas līgumam pievienoto Protokolu par pārmērīga budžeta deficīta novēršanas procedūru</w:t>
      </w:r>
    </w:p>
    <w:p w14:paraId="024A6DD0" w14:textId="77777777" w:rsidR="00443399" w:rsidRPr="00B03B51" w:rsidRDefault="00443399" w:rsidP="00443399">
      <w:pPr>
        <w:rPr>
          <w:rFonts w:ascii="Times New Roman" w:hAnsi="Times New Roman" w:cs="Times New Roman"/>
          <w:noProof/>
          <w:sz w:val="24"/>
        </w:rPr>
      </w:pPr>
      <w:r w:rsidRPr="00B03B51">
        <w:rPr>
          <w:rFonts w:ascii="Times New Roman" w:hAnsi="Times New Roman" w:cs="Times New Roman"/>
        </w:rPr>
        <w:br w:type="page"/>
      </w:r>
    </w:p>
    <w:p w14:paraId="7C636D18" w14:textId="77777777" w:rsidR="00443399" w:rsidRPr="00B03B51" w:rsidRDefault="00443399" w:rsidP="00443399">
      <w:pPr>
        <w:jc w:val="both"/>
        <w:rPr>
          <w:rFonts w:ascii="Times New Roman" w:hAnsi="Times New Roman" w:cs="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43399" w:rsidRPr="00B03B51" w14:paraId="67103B21" w14:textId="77777777" w:rsidTr="0054365B">
        <w:tc>
          <w:tcPr>
            <w:tcW w:w="9281" w:type="dxa"/>
          </w:tcPr>
          <w:p w14:paraId="0D5D3C31"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Saziņa ar ES</w:t>
            </w:r>
          </w:p>
          <w:p w14:paraId="4CDAE1C4" w14:textId="77777777" w:rsidR="00443399" w:rsidRPr="00B03B51" w:rsidRDefault="00443399" w:rsidP="0054365B">
            <w:pPr>
              <w:jc w:val="both"/>
              <w:rPr>
                <w:rFonts w:ascii="Times New Roman" w:eastAsia="Arial" w:hAnsi="Times New Roman" w:cs="Times New Roman"/>
                <w:b/>
                <w:bCs/>
                <w:noProof/>
                <w:sz w:val="24"/>
                <w:szCs w:val="14"/>
              </w:rPr>
            </w:pPr>
          </w:p>
          <w:p w14:paraId="0413FE5D" w14:textId="77777777" w:rsidR="00443399" w:rsidRPr="00B03B51" w:rsidRDefault="00443399" w:rsidP="0054365B">
            <w:pPr>
              <w:pStyle w:val="Heading8"/>
              <w:ind w:left="0"/>
              <w:jc w:val="both"/>
              <w:outlineLvl w:val="7"/>
              <w:rPr>
                <w:rFonts w:ascii="Times New Roman" w:hAnsi="Times New Roman" w:cs="Times New Roman"/>
                <w:noProof/>
                <w:sz w:val="24"/>
              </w:rPr>
            </w:pPr>
            <w:r w:rsidRPr="00B03B51">
              <w:rPr>
                <w:rFonts w:ascii="Times New Roman" w:hAnsi="Times New Roman" w:cs="Times New Roman"/>
                <w:sz w:val="24"/>
              </w:rPr>
              <w:t>Personiski</w:t>
            </w:r>
          </w:p>
          <w:p w14:paraId="0E11E751" w14:textId="77777777" w:rsidR="00443399" w:rsidRPr="00B03B51" w:rsidRDefault="00443399" w:rsidP="0054365B">
            <w:pPr>
              <w:pStyle w:val="Heading9"/>
              <w:ind w:left="0"/>
              <w:jc w:val="both"/>
              <w:outlineLvl w:val="8"/>
              <w:rPr>
                <w:rFonts w:ascii="Times New Roman" w:hAnsi="Times New Roman" w:cs="Times New Roman"/>
                <w:noProof/>
                <w:sz w:val="24"/>
              </w:rPr>
            </w:pPr>
            <w:r w:rsidRPr="00B03B51">
              <w:rPr>
                <w:rFonts w:ascii="Times New Roman" w:hAnsi="Times New Roman" w:cs="Times New Roman"/>
                <w:sz w:val="24"/>
              </w:rPr>
              <w:t xml:space="preserve">Eiropas Savienībā ir simtiem </w:t>
            </w:r>
            <w:r w:rsidRPr="00B03B51">
              <w:rPr>
                <w:rFonts w:ascii="Times New Roman" w:hAnsi="Times New Roman" w:cs="Times New Roman"/>
                <w:i/>
                <w:iCs/>
                <w:sz w:val="24"/>
              </w:rPr>
              <w:t>Europe Direct</w:t>
            </w:r>
            <w:r w:rsidRPr="00B03B51">
              <w:rPr>
                <w:rFonts w:ascii="Times New Roman" w:hAnsi="Times New Roman" w:cs="Times New Roman"/>
                <w:sz w:val="24"/>
              </w:rPr>
              <w:t xml:space="preserve"> informācijas centru. Sev tuvākā centra adresi jūs varat atrast tīmekļa vietnē http://europa.eu/contact.</w:t>
            </w:r>
          </w:p>
          <w:p w14:paraId="5FE3C45F" w14:textId="77777777" w:rsidR="00443399" w:rsidRPr="00B03B51" w:rsidRDefault="00443399" w:rsidP="0054365B">
            <w:pPr>
              <w:jc w:val="both"/>
              <w:rPr>
                <w:rFonts w:ascii="Times New Roman" w:eastAsia="Arial" w:hAnsi="Times New Roman" w:cs="Times New Roman"/>
                <w:noProof/>
                <w:sz w:val="24"/>
                <w:szCs w:val="20"/>
              </w:rPr>
            </w:pPr>
          </w:p>
          <w:p w14:paraId="3FF16853"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Pa tālruni vai e-pastu</w:t>
            </w:r>
          </w:p>
          <w:p w14:paraId="2B3BFCA3" w14:textId="77777777" w:rsidR="00443399" w:rsidRPr="00B03B51" w:rsidRDefault="00443399" w:rsidP="0054365B">
            <w:pPr>
              <w:jc w:val="both"/>
              <w:rPr>
                <w:rFonts w:ascii="Times New Roman" w:hAnsi="Times New Roman" w:cs="Times New Roman"/>
                <w:noProof/>
                <w:sz w:val="24"/>
              </w:rPr>
            </w:pPr>
            <w:r w:rsidRPr="00B03B51">
              <w:rPr>
                <w:rFonts w:ascii="Times New Roman" w:hAnsi="Times New Roman" w:cs="Times New Roman"/>
                <w:i/>
                <w:iCs/>
                <w:sz w:val="24"/>
              </w:rPr>
              <w:t>Europe Direct</w:t>
            </w:r>
            <w:r w:rsidRPr="00B03B51">
              <w:rPr>
                <w:rFonts w:ascii="Times New Roman" w:hAnsi="Times New Roman" w:cs="Times New Roman"/>
                <w:sz w:val="24"/>
              </w:rPr>
              <w:t xml:space="preserve"> dienests atbildēs uz jūsu jautājumiem par Eiropas Savienību. Jūs varat sazināties ar dienestu:</w:t>
            </w:r>
          </w:p>
          <w:p w14:paraId="3757D3CE" w14:textId="77777777" w:rsidR="00443399" w:rsidRPr="00B03B51" w:rsidRDefault="00443399" w:rsidP="00443399">
            <w:pPr>
              <w:numPr>
                <w:ilvl w:val="0"/>
                <w:numId w:val="34"/>
              </w:numPr>
              <w:ind w:left="284" w:hanging="284"/>
              <w:jc w:val="both"/>
              <w:rPr>
                <w:rFonts w:ascii="Times New Roman" w:hAnsi="Times New Roman" w:cs="Times New Roman"/>
                <w:noProof/>
                <w:sz w:val="24"/>
              </w:rPr>
            </w:pPr>
            <w:r w:rsidRPr="00B03B51">
              <w:rPr>
                <w:rFonts w:ascii="Times New Roman" w:hAnsi="Times New Roman" w:cs="Times New Roman"/>
                <w:sz w:val="24"/>
              </w:rPr>
              <w:t>pa bezmaksas tālruni 00 800 6 7 8 9 10 11 (noteikti sakaru operatori var piemērot maksu par šiem zvaniem);</w:t>
            </w:r>
          </w:p>
          <w:p w14:paraId="3F655077" w14:textId="77777777" w:rsidR="00443399" w:rsidRPr="00B03B51" w:rsidRDefault="00443399" w:rsidP="00443399">
            <w:pPr>
              <w:numPr>
                <w:ilvl w:val="0"/>
                <w:numId w:val="34"/>
              </w:numPr>
              <w:ind w:left="284" w:hanging="284"/>
              <w:jc w:val="both"/>
              <w:rPr>
                <w:rFonts w:ascii="Times New Roman" w:hAnsi="Times New Roman" w:cs="Times New Roman"/>
                <w:noProof/>
                <w:sz w:val="24"/>
              </w:rPr>
            </w:pPr>
            <w:r w:rsidRPr="00B03B51">
              <w:rPr>
                <w:rFonts w:ascii="Times New Roman" w:hAnsi="Times New Roman" w:cs="Times New Roman"/>
                <w:sz w:val="24"/>
              </w:rPr>
              <w:t>pa parasto tālruni +32 22999696 vai</w:t>
            </w:r>
          </w:p>
          <w:p w14:paraId="2CCCBBC6" w14:textId="77777777" w:rsidR="00443399" w:rsidRPr="00B03B51" w:rsidRDefault="00443399" w:rsidP="00443399">
            <w:pPr>
              <w:numPr>
                <w:ilvl w:val="0"/>
                <w:numId w:val="34"/>
              </w:numPr>
              <w:ind w:left="284" w:hanging="284"/>
              <w:jc w:val="both"/>
              <w:rPr>
                <w:rFonts w:ascii="Times New Roman" w:eastAsia="Arial" w:hAnsi="Times New Roman" w:cs="Times New Roman"/>
                <w:noProof/>
                <w:sz w:val="24"/>
                <w:szCs w:val="20"/>
              </w:rPr>
            </w:pPr>
            <w:r w:rsidRPr="00B03B51">
              <w:rPr>
                <w:rFonts w:ascii="Times New Roman" w:hAnsi="Times New Roman" w:cs="Times New Roman"/>
                <w:sz w:val="24"/>
              </w:rPr>
              <w:t>pa elektronisko pastu, izmantojot tīmekļa vietni: http://europa.eu/contact.</w:t>
            </w:r>
          </w:p>
          <w:p w14:paraId="454C6CE7" w14:textId="77777777" w:rsidR="00443399" w:rsidRPr="00B03B51" w:rsidRDefault="00443399" w:rsidP="0054365B">
            <w:pPr>
              <w:jc w:val="both"/>
              <w:rPr>
                <w:rFonts w:ascii="Times New Roman" w:eastAsia="Arial" w:hAnsi="Times New Roman" w:cs="Times New Roman"/>
                <w:noProof/>
                <w:sz w:val="24"/>
                <w:szCs w:val="18"/>
              </w:rPr>
            </w:pPr>
          </w:p>
          <w:p w14:paraId="1FFAA8D2"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Informācijas par ES atrašana</w:t>
            </w:r>
          </w:p>
          <w:p w14:paraId="6E2B3E07" w14:textId="77777777" w:rsidR="00443399" w:rsidRPr="00B03B51" w:rsidRDefault="00443399" w:rsidP="0054365B">
            <w:pPr>
              <w:jc w:val="both"/>
              <w:rPr>
                <w:rFonts w:ascii="Times New Roman" w:eastAsia="Arial" w:hAnsi="Times New Roman" w:cs="Times New Roman"/>
                <w:b/>
                <w:bCs/>
                <w:noProof/>
                <w:sz w:val="24"/>
                <w:szCs w:val="21"/>
              </w:rPr>
            </w:pPr>
          </w:p>
          <w:p w14:paraId="0BF78629"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Tiešsaistē</w:t>
            </w:r>
          </w:p>
          <w:p w14:paraId="31E290DD"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rPr>
              <w:t>Informācija par Eiropas Savienību visās ES oficiālajās valodās ir pieejama Eiropas tīmekļa vietnē: http://europa.eu.</w:t>
            </w:r>
          </w:p>
          <w:p w14:paraId="5BDC2A14" w14:textId="77777777" w:rsidR="00443399" w:rsidRPr="00B03B51" w:rsidRDefault="00443399" w:rsidP="0054365B">
            <w:pPr>
              <w:jc w:val="both"/>
              <w:rPr>
                <w:rFonts w:ascii="Times New Roman" w:eastAsia="Arial" w:hAnsi="Times New Roman" w:cs="Times New Roman"/>
                <w:noProof/>
                <w:sz w:val="24"/>
                <w:szCs w:val="20"/>
              </w:rPr>
            </w:pPr>
          </w:p>
          <w:p w14:paraId="28471929"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ES publikācijas</w:t>
            </w:r>
          </w:p>
          <w:p w14:paraId="4A9CEFD8"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rPr>
              <w:t xml:space="preserve">Jūs varat lejupielādēt vai pasūtīt bez maksas vai par maksu ES publikācijas no ES grāmatnīcas tīmekļa vietnē: http://bookshop.europa.eu. Bezmaksas publikāciju kopijas lielākā skaitā var iegūt, sazinoties ar </w:t>
            </w:r>
            <w:r w:rsidRPr="00B03B51">
              <w:rPr>
                <w:rFonts w:ascii="Times New Roman" w:hAnsi="Times New Roman" w:cs="Times New Roman"/>
                <w:i/>
                <w:iCs/>
                <w:sz w:val="24"/>
              </w:rPr>
              <w:t>Europe Direct</w:t>
            </w:r>
            <w:r w:rsidRPr="00B03B51">
              <w:rPr>
                <w:rFonts w:ascii="Times New Roman" w:hAnsi="Times New Roman" w:cs="Times New Roman"/>
                <w:sz w:val="24"/>
              </w:rPr>
              <w:t xml:space="preserve"> dienestu vai savu vietējo informācijas centru (skat. tīmekļa vietni http://europa.eu/contact).</w:t>
            </w:r>
          </w:p>
          <w:p w14:paraId="01AA02EC" w14:textId="77777777" w:rsidR="00443399" w:rsidRPr="00B03B51" w:rsidRDefault="00443399" w:rsidP="0054365B">
            <w:pPr>
              <w:jc w:val="both"/>
              <w:rPr>
                <w:rFonts w:ascii="Times New Roman" w:eastAsia="Arial" w:hAnsi="Times New Roman" w:cs="Times New Roman"/>
                <w:noProof/>
                <w:sz w:val="24"/>
                <w:szCs w:val="20"/>
              </w:rPr>
            </w:pPr>
          </w:p>
          <w:p w14:paraId="723EB5DA"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ES tiesību akti un saistītie dokumenti</w:t>
            </w:r>
          </w:p>
          <w:p w14:paraId="6AD36D25"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rPr>
              <w:t>ES juridiskā informācija, tostarp visi ES tiesību akti kopš 1951. gada visās oficiālajās valodās, ir pieejama ES tiesību elektroniskās datubāzes tīmekļa vietnē: http://eur-lex.europa.eu.</w:t>
            </w:r>
          </w:p>
          <w:p w14:paraId="4C0F210C" w14:textId="77777777" w:rsidR="00443399" w:rsidRPr="00B03B51" w:rsidRDefault="00443399" w:rsidP="0054365B">
            <w:pPr>
              <w:jc w:val="both"/>
              <w:rPr>
                <w:rFonts w:ascii="Times New Roman" w:eastAsia="Arial" w:hAnsi="Times New Roman" w:cs="Times New Roman"/>
                <w:noProof/>
                <w:sz w:val="24"/>
                <w:szCs w:val="20"/>
              </w:rPr>
            </w:pPr>
          </w:p>
          <w:p w14:paraId="7B73A5E4" w14:textId="77777777" w:rsidR="00443399" w:rsidRPr="00B03B51" w:rsidRDefault="00443399" w:rsidP="0054365B">
            <w:pPr>
              <w:jc w:val="both"/>
              <w:rPr>
                <w:rFonts w:ascii="Times New Roman" w:hAnsi="Times New Roman" w:cs="Times New Roman"/>
                <w:b/>
                <w:noProof/>
                <w:sz w:val="24"/>
              </w:rPr>
            </w:pPr>
            <w:r w:rsidRPr="00B03B51">
              <w:rPr>
                <w:rFonts w:ascii="Times New Roman" w:hAnsi="Times New Roman" w:cs="Times New Roman"/>
                <w:b/>
                <w:sz w:val="24"/>
              </w:rPr>
              <w:t>ES atvērtie dati</w:t>
            </w:r>
          </w:p>
          <w:p w14:paraId="1EB0288C" w14:textId="77777777" w:rsidR="00443399" w:rsidRPr="00B03B51" w:rsidRDefault="00443399" w:rsidP="0054365B">
            <w:pPr>
              <w:jc w:val="both"/>
              <w:rPr>
                <w:rFonts w:ascii="Times New Roman" w:eastAsia="Arial" w:hAnsi="Times New Roman" w:cs="Times New Roman"/>
                <w:noProof/>
                <w:sz w:val="24"/>
                <w:szCs w:val="20"/>
              </w:rPr>
            </w:pPr>
            <w:r w:rsidRPr="00B03B51">
              <w:rPr>
                <w:rFonts w:ascii="Times New Roman" w:hAnsi="Times New Roman" w:cs="Times New Roman"/>
                <w:sz w:val="24"/>
              </w:rPr>
              <w:t>ES atvērto datu portāls (http://data.europa.eu/euodp/en/data) nodrošina piekļuvi ES datu kopām. Datus var lejupielādēt un izmantot bez maksas komerciāliem un nekomerciāliem nolūkiem.</w:t>
            </w:r>
          </w:p>
        </w:tc>
      </w:tr>
    </w:tbl>
    <w:p w14:paraId="03712D67" w14:textId="77777777" w:rsidR="00443399" w:rsidRPr="00B03B51" w:rsidRDefault="00443399" w:rsidP="00443399">
      <w:pPr>
        <w:rPr>
          <w:rFonts w:ascii="Times New Roman" w:eastAsia="Arial" w:hAnsi="Times New Roman" w:cs="Times New Roman"/>
          <w:noProof/>
          <w:sz w:val="24"/>
          <w:szCs w:val="20"/>
        </w:rPr>
      </w:pPr>
      <w:r w:rsidRPr="00B03B51">
        <w:rPr>
          <w:rFonts w:ascii="Times New Roman" w:hAnsi="Times New Roman" w:cs="Times New Roman"/>
        </w:rPr>
        <w:br w:type="page"/>
      </w:r>
    </w:p>
    <w:p w14:paraId="27E78855" w14:textId="77777777" w:rsidR="00443399" w:rsidRPr="00B03B51" w:rsidRDefault="00443399" w:rsidP="00443399">
      <w:pPr>
        <w:jc w:val="both"/>
        <w:rPr>
          <w:rFonts w:ascii="Times New Roman" w:eastAsia="Arial" w:hAnsi="Times New Roman" w:cs="Times New Roman"/>
          <w:noProof/>
          <w:sz w:val="24"/>
          <w:szCs w:val="20"/>
        </w:rPr>
      </w:pPr>
    </w:p>
    <w:p w14:paraId="7865FC64" w14:textId="77777777" w:rsidR="00443399" w:rsidRPr="00B03B51" w:rsidRDefault="00443399" w:rsidP="00443399">
      <w:pPr>
        <w:jc w:val="both"/>
        <w:rPr>
          <w:rFonts w:ascii="Times New Roman" w:eastAsia="Arial" w:hAnsi="Times New Roman" w:cs="Times New Roman"/>
          <w:b/>
          <w:bCs/>
          <w:noProof/>
          <w:sz w:val="28"/>
        </w:rPr>
      </w:pPr>
      <w:r w:rsidRPr="00B03B51">
        <w:rPr>
          <w:rFonts w:ascii="Times New Roman" w:hAnsi="Times New Roman" w:cs="Times New Roman"/>
          <w:b/>
          <w:bCs/>
          <w:sz w:val="28"/>
        </w:rPr>
        <w:t>Valdības budžeta deficīta un parāda rokasgrāmata</w:t>
      </w:r>
    </w:p>
    <w:p w14:paraId="7B908E85" w14:textId="77777777" w:rsidR="00443399" w:rsidRPr="00B03B51" w:rsidRDefault="00443399" w:rsidP="00443399">
      <w:pPr>
        <w:jc w:val="both"/>
        <w:rPr>
          <w:rFonts w:ascii="Times New Roman" w:eastAsia="Arial" w:hAnsi="Times New Roman" w:cs="Times New Roman"/>
          <w:b/>
          <w:bCs/>
          <w:noProof/>
          <w:sz w:val="28"/>
        </w:rPr>
      </w:pPr>
    </w:p>
    <w:p w14:paraId="73B890CE" w14:textId="77777777" w:rsidR="00443399" w:rsidRPr="00B03B51" w:rsidRDefault="00443399" w:rsidP="00443399">
      <w:pPr>
        <w:jc w:val="both"/>
        <w:rPr>
          <w:rFonts w:ascii="Times New Roman" w:eastAsia="Arial" w:hAnsi="Times New Roman" w:cs="Times New Roman"/>
          <w:b/>
          <w:bCs/>
          <w:noProof/>
          <w:sz w:val="28"/>
        </w:rPr>
      </w:pPr>
      <w:r w:rsidRPr="00B03B51">
        <w:rPr>
          <w:rFonts w:ascii="Times New Roman" w:hAnsi="Times New Roman" w:cs="Times New Roman"/>
          <w:b/>
          <w:bCs/>
          <w:sz w:val="28"/>
        </w:rPr>
        <w:t>EKS 2010 ĪSTENOŠANA</w:t>
      </w:r>
    </w:p>
    <w:p w14:paraId="411B6537" w14:textId="77777777" w:rsidR="00443399" w:rsidRPr="00B03B51" w:rsidRDefault="00443399" w:rsidP="00443399">
      <w:pPr>
        <w:jc w:val="both"/>
        <w:rPr>
          <w:rFonts w:ascii="Times New Roman" w:eastAsia="Arial" w:hAnsi="Times New Roman" w:cs="Times New Roman"/>
          <w:noProof/>
          <w:sz w:val="24"/>
          <w:szCs w:val="20"/>
        </w:rPr>
      </w:pPr>
    </w:p>
    <w:p w14:paraId="5306B4E3" w14:textId="77777777" w:rsidR="00443399" w:rsidRPr="00100B51" w:rsidRDefault="00443399" w:rsidP="00100B51">
      <w:pPr>
        <w:pStyle w:val="BodyText"/>
        <w:spacing w:before="0"/>
        <w:ind w:left="0" w:firstLine="0"/>
        <w:jc w:val="both"/>
        <w:rPr>
          <w:rFonts w:ascii="Times New Roman" w:hAnsi="Times New Roman" w:cs="Times New Roman"/>
          <w:noProof/>
          <w:sz w:val="24"/>
          <w:szCs w:val="24"/>
        </w:rPr>
      </w:pPr>
      <w:r w:rsidRPr="00100B51">
        <w:rPr>
          <w:rFonts w:ascii="Times New Roman" w:hAnsi="Times New Roman" w:cs="Times New Roman"/>
          <w:sz w:val="24"/>
          <w:szCs w:val="24"/>
        </w:rPr>
        <w:t xml:space="preserve">Šis rokasgrāmatas jaunais 2019. gada izdevums ir 2016. gadā publicētā izdevuma atjauninātā redakcija. Šajā izdevumā visās daļās vismaz viena nodaļa ir būtiski grozīta (rokasgrāmatas ievadā ir sniegts nodaļu pilnīgs uzskaitījums), izņemot 5. daļu “Aktīvu pārdošana” un 7. daļu “Ar parādu saistītie darījumi un garantijas”. Tika pievienotas šādas jaunas apakšiedaļas – 2.4.3.17. apakšiedaļa “Procentu ierakstīšana, kad parāda instruments satur atvasinātu instrumentu”, 2.4.3.18. apakšiedaļa “Procenti par ārpustirgus mijmaiņas darījumiem”, 2.4.3.19. apakšiedaļa “Procenti, kas uzkrāti par strīdīgiem starpvaldību aizdevumiem” un 2.4.3.20. apakšiedaļa “Procenti, kas uzkrāti par starpvaldību aizdevumiem, kuri, visticamāk, netiks apmaksāti”, kā arī pievienota jauna 2.6.3. iedaļa “Tā saucamo ES “finanšu instrumentu” grāmatvedības traktējums” un 4.7. nodaļa “No ienākumiem atkarīgi aizdevumi”. Kā parasti šis izdevums ir tapis kolektīva darba rezultātā </w:t>
      </w:r>
      <w:r w:rsidRPr="00100B51">
        <w:rPr>
          <w:rFonts w:ascii="Times New Roman" w:hAnsi="Times New Roman" w:cs="Times New Roman"/>
          <w:i/>
          <w:iCs/>
          <w:sz w:val="24"/>
          <w:szCs w:val="24"/>
        </w:rPr>
        <w:t>Eurostat</w:t>
      </w:r>
      <w:r w:rsidRPr="00100B51">
        <w:rPr>
          <w:rFonts w:ascii="Times New Roman" w:hAnsi="Times New Roman" w:cs="Times New Roman"/>
          <w:sz w:val="24"/>
          <w:szCs w:val="24"/>
        </w:rPr>
        <w:t xml:space="preserve"> uzraudzībā un sadarbībā ar ES dalībvalstu un citu starptautisko institūciju ekspertiem.</w:t>
      </w:r>
    </w:p>
    <w:p w14:paraId="4356545D" w14:textId="77777777" w:rsidR="00443399" w:rsidRPr="00B03B51" w:rsidRDefault="00443399" w:rsidP="00443399">
      <w:pPr>
        <w:jc w:val="both"/>
        <w:rPr>
          <w:rFonts w:ascii="Times New Roman" w:eastAsia="Calibri" w:hAnsi="Times New Roman" w:cs="Times New Roman"/>
          <w:noProof/>
          <w:sz w:val="24"/>
          <w:szCs w:val="20"/>
        </w:rPr>
      </w:pPr>
    </w:p>
    <w:p w14:paraId="73CAF7FD"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Plašāka informācija ir pieejama tīmekļa vietnē:</w:t>
      </w:r>
    </w:p>
    <w:p w14:paraId="4C98924E" w14:textId="77777777" w:rsidR="00443399" w:rsidRPr="00B03B51" w:rsidRDefault="00443399" w:rsidP="00443399">
      <w:pPr>
        <w:jc w:val="both"/>
        <w:rPr>
          <w:rFonts w:ascii="Times New Roman" w:hAnsi="Times New Roman" w:cs="Times New Roman"/>
          <w:b/>
          <w:noProof/>
          <w:sz w:val="24"/>
        </w:rPr>
      </w:pPr>
      <w:r w:rsidRPr="00B03B51">
        <w:rPr>
          <w:rFonts w:ascii="Times New Roman" w:hAnsi="Times New Roman" w:cs="Times New Roman"/>
          <w:b/>
          <w:sz w:val="24"/>
        </w:rPr>
        <w:t>https://ec.europa.eu/eurostat/</w:t>
      </w:r>
    </w:p>
    <w:p w14:paraId="14319BAC" w14:textId="77777777" w:rsidR="00443399" w:rsidRPr="00B03B51" w:rsidRDefault="00443399" w:rsidP="00443399">
      <w:pPr>
        <w:jc w:val="both"/>
        <w:rPr>
          <w:rFonts w:ascii="Times New Roman" w:eastAsia="Calibri" w:hAnsi="Times New Roman" w:cs="Times New Roman"/>
          <w:b/>
          <w:bCs/>
          <w:noProof/>
          <w:sz w:val="24"/>
          <w:szCs w:val="20"/>
        </w:rPr>
      </w:pPr>
    </w:p>
    <w:p w14:paraId="4E2DC716" w14:textId="77777777" w:rsidR="00443399" w:rsidRPr="00B03B51" w:rsidRDefault="00443399" w:rsidP="00443399">
      <w:pPr>
        <w:jc w:val="both"/>
        <w:rPr>
          <w:rFonts w:ascii="Times New Roman" w:eastAsia="Calibri" w:hAnsi="Times New Roman" w:cs="Times New Roman"/>
          <w:b/>
          <w:bCs/>
          <w:noProof/>
          <w:sz w:val="24"/>
          <w:szCs w:val="20"/>
        </w:rPr>
      </w:pPr>
    </w:p>
    <w:p w14:paraId="4D3B7A46" w14:textId="77777777" w:rsidR="00443399" w:rsidRPr="00B03B51" w:rsidRDefault="00443399" w:rsidP="00443399">
      <w:pPr>
        <w:jc w:val="both"/>
        <w:rPr>
          <w:rFonts w:ascii="Times New Roman" w:eastAsia="Calibri" w:hAnsi="Times New Roman" w:cs="Times New Roman"/>
          <w:b/>
          <w:bCs/>
          <w:noProof/>
          <w:sz w:val="24"/>
          <w:szCs w:val="20"/>
        </w:rPr>
      </w:pPr>
    </w:p>
    <w:p w14:paraId="7DCE9CC1" w14:textId="77777777" w:rsidR="00443399" w:rsidRPr="00B03B51" w:rsidRDefault="00443399" w:rsidP="00443399">
      <w:pPr>
        <w:jc w:val="both"/>
        <w:rPr>
          <w:rFonts w:ascii="Times New Roman" w:eastAsia="Calibri" w:hAnsi="Times New Roman" w:cs="Times New Roman"/>
          <w:b/>
          <w:bCs/>
          <w:noProof/>
          <w:sz w:val="24"/>
          <w:szCs w:val="20"/>
        </w:rPr>
      </w:pPr>
    </w:p>
    <w:p w14:paraId="7A608355" w14:textId="77777777" w:rsidR="00443399" w:rsidRPr="00B03B51" w:rsidRDefault="00443399" w:rsidP="00443399">
      <w:pPr>
        <w:jc w:val="both"/>
        <w:rPr>
          <w:rFonts w:ascii="Times New Roman" w:eastAsia="Calibri" w:hAnsi="Times New Roman" w:cs="Times New Roman"/>
          <w:b/>
          <w:bCs/>
          <w:noProof/>
          <w:sz w:val="24"/>
          <w:szCs w:val="20"/>
        </w:rPr>
      </w:pPr>
    </w:p>
    <w:p w14:paraId="639B5162" w14:textId="77777777" w:rsidR="00443399" w:rsidRPr="00B03B51" w:rsidRDefault="00443399" w:rsidP="00443399">
      <w:pPr>
        <w:jc w:val="both"/>
        <w:rPr>
          <w:rFonts w:ascii="Times New Roman" w:eastAsia="Calibri" w:hAnsi="Times New Roman" w:cs="Times New Roman"/>
          <w:b/>
          <w:bCs/>
          <w:noProof/>
          <w:sz w:val="24"/>
          <w:szCs w:val="20"/>
        </w:rPr>
      </w:pPr>
    </w:p>
    <w:p w14:paraId="588E0008" w14:textId="77777777" w:rsidR="00443399" w:rsidRPr="00B03B51" w:rsidRDefault="00443399" w:rsidP="00443399">
      <w:pPr>
        <w:jc w:val="both"/>
        <w:rPr>
          <w:rFonts w:ascii="Times New Roman" w:eastAsia="Calibri" w:hAnsi="Times New Roman" w:cs="Times New Roman"/>
          <w:b/>
          <w:bCs/>
          <w:noProof/>
          <w:sz w:val="24"/>
          <w:szCs w:val="20"/>
        </w:rPr>
      </w:pPr>
    </w:p>
    <w:p w14:paraId="5AA40E2B" w14:textId="77777777" w:rsidR="00443399" w:rsidRPr="00B03B51" w:rsidRDefault="00443399" w:rsidP="00443399">
      <w:pPr>
        <w:jc w:val="both"/>
        <w:rPr>
          <w:rFonts w:ascii="Times New Roman" w:eastAsia="Calibri" w:hAnsi="Times New Roman" w:cs="Times New Roman"/>
          <w:b/>
          <w:bCs/>
          <w:noProof/>
          <w:sz w:val="24"/>
          <w:szCs w:val="20"/>
        </w:rPr>
      </w:pPr>
    </w:p>
    <w:p w14:paraId="62C06A99" w14:textId="77777777" w:rsidR="00443399" w:rsidRPr="00B03B51" w:rsidRDefault="00443399" w:rsidP="00443399">
      <w:pPr>
        <w:jc w:val="both"/>
        <w:rPr>
          <w:rFonts w:ascii="Times New Roman" w:eastAsia="Calibri" w:hAnsi="Times New Roman" w:cs="Times New Roman"/>
          <w:b/>
          <w:bCs/>
          <w:noProof/>
          <w:sz w:val="24"/>
          <w:szCs w:val="20"/>
        </w:rPr>
      </w:pPr>
    </w:p>
    <w:p w14:paraId="0AC66DC4" w14:textId="77777777" w:rsidR="00443399" w:rsidRPr="00B03B51" w:rsidRDefault="00443399" w:rsidP="00443399">
      <w:pPr>
        <w:jc w:val="both"/>
        <w:rPr>
          <w:rFonts w:ascii="Times New Roman" w:eastAsia="Calibri" w:hAnsi="Times New Roman" w:cs="Times New Roman"/>
          <w:b/>
          <w:bCs/>
          <w:noProof/>
          <w:sz w:val="24"/>
          <w:szCs w:val="20"/>
        </w:rPr>
      </w:pPr>
    </w:p>
    <w:p w14:paraId="796DA72E" w14:textId="0732D5AD" w:rsidR="00443399" w:rsidRPr="00B03B51" w:rsidRDefault="00443399" w:rsidP="00443399">
      <w:pPr>
        <w:jc w:val="both"/>
        <w:rPr>
          <w:rFonts w:ascii="Times New Roman" w:eastAsia="Calibri" w:hAnsi="Times New Roman" w:cs="Times New Roman"/>
          <w:b/>
          <w:bCs/>
          <w:noProof/>
          <w:sz w:val="24"/>
          <w:szCs w:val="20"/>
        </w:rPr>
      </w:pPr>
    </w:p>
    <w:p w14:paraId="443C0FA3" w14:textId="7DBAF0F2" w:rsidR="00F1651B" w:rsidRPr="00B03B51" w:rsidRDefault="00F1651B" w:rsidP="00443399">
      <w:pPr>
        <w:jc w:val="both"/>
        <w:rPr>
          <w:rFonts w:ascii="Times New Roman" w:eastAsia="Calibri" w:hAnsi="Times New Roman" w:cs="Times New Roman"/>
          <w:b/>
          <w:bCs/>
          <w:noProof/>
          <w:sz w:val="24"/>
          <w:szCs w:val="20"/>
        </w:rPr>
      </w:pPr>
    </w:p>
    <w:p w14:paraId="0D5BFC92" w14:textId="1576AD8C" w:rsidR="00F1651B" w:rsidRPr="00B03B51" w:rsidRDefault="00F1651B" w:rsidP="00443399">
      <w:pPr>
        <w:jc w:val="both"/>
        <w:rPr>
          <w:rFonts w:ascii="Times New Roman" w:eastAsia="Calibri" w:hAnsi="Times New Roman" w:cs="Times New Roman"/>
          <w:b/>
          <w:bCs/>
          <w:noProof/>
          <w:sz w:val="24"/>
          <w:szCs w:val="20"/>
        </w:rPr>
      </w:pPr>
    </w:p>
    <w:p w14:paraId="04EC95F3" w14:textId="034146B3" w:rsidR="00A91CE5" w:rsidRPr="00B03B51" w:rsidRDefault="00A91CE5" w:rsidP="00443399">
      <w:pPr>
        <w:jc w:val="both"/>
        <w:rPr>
          <w:rFonts w:ascii="Times New Roman" w:eastAsia="Calibri" w:hAnsi="Times New Roman" w:cs="Times New Roman"/>
          <w:b/>
          <w:bCs/>
          <w:noProof/>
          <w:sz w:val="24"/>
          <w:szCs w:val="20"/>
        </w:rPr>
      </w:pPr>
    </w:p>
    <w:p w14:paraId="7A41F613" w14:textId="4F8A27D2" w:rsidR="00A91CE5" w:rsidRPr="00B03B51" w:rsidRDefault="00A91CE5" w:rsidP="00443399">
      <w:pPr>
        <w:jc w:val="both"/>
        <w:rPr>
          <w:rFonts w:ascii="Times New Roman" w:eastAsia="Calibri" w:hAnsi="Times New Roman" w:cs="Times New Roman"/>
          <w:b/>
          <w:bCs/>
          <w:noProof/>
          <w:sz w:val="24"/>
          <w:szCs w:val="20"/>
        </w:rPr>
      </w:pPr>
    </w:p>
    <w:p w14:paraId="022689DF" w14:textId="1B83D6AD" w:rsidR="00A91CE5" w:rsidRPr="00B03B51" w:rsidRDefault="00A91CE5" w:rsidP="00443399">
      <w:pPr>
        <w:jc w:val="both"/>
        <w:rPr>
          <w:rFonts w:ascii="Times New Roman" w:eastAsia="Calibri" w:hAnsi="Times New Roman" w:cs="Times New Roman"/>
          <w:b/>
          <w:bCs/>
          <w:noProof/>
          <w:sz w:val="24"/>
          <w:szCs w:val="20"/>
        </w:rPr>
      </w:pPr>
    </w:p>
    <w:p w14:paraId="2BCF7A33" w14:textId="518FCEB8" w:rsidR="00A91CE5" w:rsidRPr="00B03B51" w:rsidRDefault="00A91CE5" w:rsidP="00443399">
      <w:pPr>
        <w:jc w:val="both"/>
        <w:rPr>
          <w:rFonts w:ascii="Times New Roman" w:eastAsia="Calibri" w:hAnsi="Times New Roman" w:cs="Times New Roman"/>
          <w:b/>
          <w:bCs/>
          <w:noProof/>
          <w:sz w:val="24"/>
          <w:szCs w:val="20"/>
        </w:rPr>
      </w:pPr>
    </w:p>
    <w:p w14:paraId="14FA3AAB" w14:textId="5EA97315" w:rsidR="00A91CE5" w:rsidRPr="00B03B51" w:rsidRDefault="00A91CE5" w:rsidP="00443399">
      <w:pPr>
        <w:jc w:val="both"/>
        <w:rPr>
          <w:rFonts w:ascii="Times New Roman" w:eastAsia="Calibri" w:hAnsi="Times New Roman" w:cs="Times New Roman"/>
          <w:b/>
          <w:bCs/>
          <w:noProof/>
          <w:sz w:val="24"/>
          <w:szCs w:val="20"/>
        </w:rPr>
      </w:pPr>
    </w:p>
    <w:p w14:paraId="25B0D8FA" w14:textId="77777777" w:rsidR="00A91CE5" w:rsidRPr="00B03B51" w:rsidRDefault="00A91CE5" w:rsidP="00443399">
      <w:pPr>
        <w:jc w:val="both"/>
        <w:rPr>
          <w:rFonts w:ascii="Times New Roman" w:eastAsia="Calibri" w:hAnsi="Times New Roman" w:cs="Times New Roman"/>
          <w:b/>
          <w:bCs/>
          <w:noProof/>
          <w:sz w:val="24"/>
          <w:szCs w:val="20"/>
        </w:rPr>
      </w:pPr>
    </w:p>
    <w:p w14:paraId="05B059D1" w14:textId="77777777" w:rsidR="00F1651B" w:rsidRPr="00B03B51" w:rsidRDefault="00F1651B" w:rsidP="00443399">
      <w:pPr>
        <w:jc w:val="both"/>
        <w:rPr>
          <w:rFonts w:ascii="Times New Roman" w:eastAsia="Calibri" w:hAnsi="Times New Roman" w:cs="Times New Roman"/>
          <w:b/>
          <w:bCs/>
          <w:noProof/>
          <w:sz w:val="24"/>
          <w:szCs w:val="20"/>
        </w:rPr>
      </w:pPr>
    </w:p>
    <w:p w14:paraId="3F62B698" w14:textId="77777777" w:rsidR="00F1651B" w:rsidRPr="00B03B51" w:rsidRDefault="00F1651B" w:rsidP="00443399">
      <w:pPr>
        <w:jc w:val="both"/>
        <w:rPr>
          <w:rFonts w:ascii="Times New Roman" w:eastAsia="Calibri" w:hAnsi="Times New Roman" w:cs="Times New Roman"/>
          <w:b/>
          <w:bCs/>
          <w:noProof/>
          <w:sz w:val="24"/>
          <w:szCs w:val="20"/>
        </w:rPr>
      </w:pPr>
    </w:p>
    <w:p w14:paraId="7EB38BA4" w14:textId="77777777" w:rsidR="00443399" w:rsidRPr="00EE25F0" w:rsidRDefault="00443399" w:rsidP="00443399">
      <w:pPr>
        <w:jc w:val="both"/>
        <w:rPr>
          <w:rFonts w:ascii="Times New Roman" w:eastAsia="Calibri" w:hAnsi="Times New Roman" w:cs="Calibri"/>
          <w:b/>
          <w:bCs/>
          <w:noProof/>
          <w:sz w:val="24"/>
          <w:szCs w:val="20"/>
        </w:rPr>
      </w:pPr>
    </w:p>
    <w:p w14:paraId="4900FD33" w14:textId="77777777" w:rsidR="00443399" w:rsidRPr="00EE25F0" w:rsidRDefault="00443399" w:rsidP="00443399">
      <w:pPr>
        <w:jc w:val="both"/>
        <w:rPr>
          <w:rFonts w:ascii="Times New Roman" w:eastAsia="Calibri" w:hAnsi="Times New Roman" w:cs="Calibri"/>
          <w:b/>
          <w:bCs/>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90"/>
        <w:gridCol w:w="4665"/>
      </w:tblGrid>
      <w:tr w:rsidR="00443399" w14:paraId="1F267434" w14:textId="77777777" w:rsidTr="00A91CE5">
        <w:tc>
          <w:tcPr>
            <w:tcW w:w="4390" w:type="dxa"/>
          </w:tcPr>
          <w:p w14:paraId="45FE79A6" w14:textId="77777777" w:rsidR="00443399" w:rsidRDefault="00443399" w:rsidP="0054365B">
            <w:pPr>
              <w:jc w:val="both"/>
              <w:rPr>
                <w:rFonts w:ascii="Times New Roman" w:eastAsia="Calibri" w:hAnsi="Times New Roman" w:cs="Calibri"/>
                <w:b/>
                <w:bCs/>
                <w:noProof/>
                <w:sz w:val="24"/>
                <w:szCs w:val="20"/>
              </w:rPr>
            </w:pPr>
            <w:r>
              <w:rPr>
                <w:rFonts w:ascii="Times New Roman" w:hAnsi="Times New Roman"/>
                <w:b/>
                <w:bCs/>
                <w:noProof/>
                <w:sz w:val="24"/>
                <w:szCs w:val="20"/>
              </w:rPr>
              <w:drawing>
                <wp:inline distT="0" distB="0" distL="0" distR="0" wp14:anchorId="5CCA154A" wp14:editId="4F9FA1E8">
                  <wp:extent cx="1211580" cy="7245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1580" cy="724535"/>
                          </a:xfrm>
                          <a:prstGeom prst="rect">
                            <a:avLst/>
                          </a:prstGeom>
                          <a:noFill/>
                          <a:ln>
                            <a:noFill/>
                          </a:ln>
                        </pic:spPr>
                      </pic:pic>
                    </a:graphicData>
                  </a:graphic>
                </wp:inline>
              </w:drawing>
            </w:r>
          </w:p>
          <w:p w14:paraId="4E8DB344" w14:textId="77777777" w:rsidR="00443399" w:rsidRDefault="00443399" w:rsidP="0054365B">
            <w:pPr>
              <w:jc w:val="both"/>
              <w:rPr>
                <w:rFonts w:ascii="Times New Roman" w:hAnsi="Times New Roman"/>
                <w:b/>
                <w:bCs/>
                <w:sz w:val="24"/>
                <w:szCs w:val="20"/>
              </w:rPr>
            </w:pPr>
            <w:r>
              <w:rPr>
                <w:rFonts w:ascii="Times New Roman" w:hAnsi="Times New Roman"/>
                <w:b/>
                <w:bCs/>
                <w:sz w:val="24"/>
                <w:szCs w:val="20"/>
              </w:rPr>
              <w:t>Eiropas Kopienu</w:t>
            </w:r>
          </w:p>
          <w:p w14:paraId="2D230900" w14:textId="77777777" w:rsidR="00443399" w:rsidRDefault="00443399" w:rsidP="0054365B">
            <w:pPr>
              <w:jc w:val="both"/>
              <w:rPr>
                <w:rFonts w:ascii="Times New Roman" w:eastAsia="Calibri" w:hAnsi="Times New Roman" w:cs="Calibri"/>
                <w:b/>
                <w:bCs/>
                <w:noProof/>
                <w:sz w:val="24"/>
                <w:szCs w:val="20"/>
              </w:rPr>
            </w:pPr>
            <w:r>
              <w:rPr>
                <w:rFonts w:ascii="Times New Roman" w:hAnsi="Times New Roman"/>
                <w:b/>
                <w:bCs/>
                <w:sz w:val="24"/>
                <w:szCs w:val="20"/>
              </w:rPr>
              <w:t>Oficiālo publikāciju birojs</w:t>
            </w:r>
          </w:p>
        </w:tc>
        <w:tc>
          <w:tcPr>
            <w:tcW w:w="4665" w:type="dxa"/>
            <w:vAlign w:val="bottom"/>
          </w:tcPr>
          <w:p w14:paraId="341D21EA" w14:textId="77777777" w:rsidR="00443399" w:rsidRPr="00EE25F0" w:rsidRDefault="00443399" w:rsidP="00A91CE5">
            <w:pPr>
              <w:jc w:val="right"/>
              <w:rPr>
                <w:rFonts w:ascii="Times New Roman" w:hAnsi="Times New Roman"/>
                <w:noProof/>
                <w:sz w:val="24"/>
              </w:rPr>
            </w:pPr>
            <w:r>
              <w:rPr>
                <w:rFonts w:ascii="Times New Roman" w:hAnsi="Times New Roman"/>
                <w:sz w:val="24"/>
              </w:rPr>
              <w:t>Drukātais izdevums: ISBN: 978-92-76-09292-6</w:t>
            </w:r>
          </w:p>
          <w:p w14:paraId="5CAACA79" w14:textId="77777777" w:rsidR="00443399" w:rsidRPr="00C3618F" w:rsidRDefault="00443399" w:rsidP="00A91CE5">
            <w:pPr>
              <w:jc w:val="right"/>
              <w:rPr>
                <w:rFonts w:ascii="Times New Roman" w:hAnsi="Times New Roman"/>
                <w:noProof/>
                <w:sz w:val="24"/>
              </w:rPr>
            </w:pPr>
            <w:r>
              <w:rPr>
                <w:rFonts w:ascii="Times New Roman" w:hAnsi="Times New Roman"/>
                <w:i/>
                <w:iCs/>
                <w:sz w:val="24"/>
              </w:rPr>
              <w:t>PDF</w:t>
            </w:r>
            <w:r>
              <w:rPr>
                <w:rFonts w:ascii="Times New Roman" w:hAnsi="Times New Roman"/>
                <w:sz w:val="24"/>
              </w:rPr>
              <w:t>: ISBN: 978-92-76-09294-0</w:t>
            </w:r>
          </w:p>
        </w:tc>
      </w:tr>
    </w:tbl>
    <w:p w14:paraId="52773F5F" w14:textId="77777777" w:rsidR="00A8301F" w:rsidRPr="00627E96" w:rsidRDefault="00A8301F" w:rsidP="00A91CE5">
      <w:pPr>
        <w:rPr>
          <w:rFonts w:ascii="Times New Roman" w:hAnsi="Times New Roman"/>
          <w:sz w:val="24"/>
        </w:rPr>
      </w:pPr>
    </w:p>
    <w:sectPr w:rsidR="00A8301F" w:rsidRPr="00627E96" w:rsidSect="00627E96">
      <w:headerReference w:type="default" r:id="rId175"/>
      <w:footerReference w:type="default" r:id="rId176"/>
      <w:headerReference w:type="first" r:id="rId177"/>
      <w:footerReference w:type="first" r:id="rId178"/>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9704" w14:textId="77777777" w:rsidR="0003108B" w:rsidRDefault="0003108B" w:rsidP="00994F93">
      <w:r>
        <w:separator/>
      </w:r>
    </w:p>
  </w:endnote>
  <w:endnote w:type="continuationSeparator" w:id="0">
    <w:p w14:paraId="32056B12" w14:textId="77777777" w:rsidR="0003108B" w:rsidRDefault="0003108B" w:rsidP="0099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FD94" w14:textId="77777777" w:rsidR="00F27871" w:rsidRPr="001C4B02" w:rsidRDefault="00F27871" w:rsidP="001C4B02">
    <w:pPr>
      <w:pStyle w:val="Header"/>
      <w:tabs>
        <w:tab w:val="left" w:pos="9072"/>
      </w:tabs>
      <w:rPr>
        <w:rStyle w:val="PageNumber"/>
        <w:rFonts w:ascii="Times New Roman" w:hAnsi="Times New Roman" w:cs="Times New Roman"/>
        <w:sz w:val="20"/>
        <w:szCs w:val="18"/>
      </w:rPr>
    </w:pPr>
  </w:p>
  <w:p w14:paraId="7109FB2B" w14:textId="73BD5189" w:rsidR="00F27871" w:rsidRPr="001C4B02" w:rsidRDefault="00F27871" w:rsidP="001C4B02">
    <w:pPr>
      <w:pStyle w:val="Header"/>
      <w:tabs>
        <w:tab w:val="clear" w:pos="4513"/>
        <w:tab w:val="clear" w:pos="9026"/>
        <w:tab w:val="right" w:leader="underscore" w:pos="9072"/>
      </w:tabs>
      <w:rPr>
        <w:rStyle w:val="PageNumber"/>
        <w:rFonts w:ascii="Times New Roman" w:hAnsi="Times New Roman" w:cs="Times New Roman"/>
        <w:sz w:val="20"/>
        <w:szCs w:val="18"/>
      </w:rPr>
    </w:pPr>
    <w:r w:rsidRPr="001C4B02">
      <w:rPr>
        <w:rStyle w:val="PageNumber"/>
        <w:rFonts w:ascii="Times New Roman" w:hAnsi="Times New Roman" w:cs="Times New Roman"/>
        <w:sz w:val="20"/>
        <w:szCs w:val="18"/>
      </w:rPr>
      <w:tab/>
    </w:r>
  </w:p>
  <w:p w14:paraId="26F589BF" w14:textId="77777777" w:rsidR="00F27871" w:rsidRPr="001C4B02" w:rsidRDefault="00F27871" w:rsidP="001C4B02">
    <w:pPr>
      <w:pStyle w:val="Header"/>
      <w:tabs>
        <w:tab w:val="right" w:pos="9072"/>
      </w:tabs>
      <w:rPr>
        <w:rStyle w:val="PageNumber"/>
        <w:rFonts w:ascii="Times New Roman" w:hAnsi="Times New Roman" w:cs="Times New Roman"/>
        <w:sz w:val="20"/>
        <w:szCs w:val="18"/>
      </w:rPr>
    </w:pPr>
  </w:p>
  <w:p w14:paraId="34B2383C" w14:textId="21E27A54" w:rsidR="00F27871" w:rsidRPr="001C4B02" w:rsidRDefault="00F27871" w:rsidP="001C4B02">
    <w:pPr>
      <w:pStyle w:val="Footer"/>
      <w:tabs>
        <w:tab w:val="clear" w:pos="4513"/>
        <w:tab w:val="clear" w:pos="9026"/>
        <w:tab w:val="center" w:pos="9071"/>
      </w:tabs>
      <w:rPr>
        <w:rFonts w:ascii="Times New Roman" w:hAnsi="Times New Roman" w:cs="Times New Roman"/>
        <w:sz w:val="20"/>
        <w:szCs w:val="18"/>
      </w:rPr>
    </w:pPr>
    <w:r w:rsidRPr="001C4B02">
      <w:rPr>
        <w:rFonts w:ascii="Times New Roman" w:hAnsi="Times New Roman" w:cs="Times New Roman"/>
        <w:noProof/>
        <w:sz w:val="20"/>
        <w:szCs w:val="18"/>
      </w:rPr>
      <w:t xml:space="preserve">Tulkojums </w:t>
    </w:r>
    <w:r w:rsidRPr="001C4B02">
      <w:rPr>
        <w:rFonts w:ascii="Times New Roman" w:hAnsi="Times New Roman" w:cs="Times New Roman"/>
        <w:noProof/>
        <w:sz w:val="20"/>
        <w:szCs w:val="18"/>
      </w:rPr>
      <w:fldChar w:fldCharType="begin"/>
    </w:r>
    <w:r w:rsidRPr="001C4B02">
      <w:rPr>
        <w:rFonts w:ascii="Times New Roman" w:hAnsi="Times New Roman" w:cs="Times New Roman"/>
        <w:noProof/>
        <w:sz w:val="20"/>
        <w:szCs w:val="18"/>
      </w:rPr>
      <w:instrText>symbol 211 \f "Symbol" \s 9</w:instrText>
    </w:r>
    <w:r w:rsidRPr="001C4B02">
      <w:rPr>
        <w:rFonts w:ascii="Times New Roman" w:hAnsi="Times New Roman" w:cs="Times New Roman"/>
        <w:noProof/>
        <w:sz w:val="20"/>
        <w:szCs w:val="18"/>
      </w:rPr>
      <w:fldChar w:fldCharType="separate"/>
    </w:r>
    <w:r w:rsidRPr="001C4B02">
      <w:rPr>
        <w:rFonts w:ascii="Times New Roman" w:hAnsi="Times New Roman" w:cs="Times New Roman"/>
        <w:noProof/>
        <w:sz w:val="20"/>
        <w:szCs w:val="18"/>
      </w:rPr>
      <w:t>Ó</w:t>
    </w:r>
    <w:r w:rsidRPr="001C4B02">
      <w:rPr>
        <w:rFonts w:ascii="Times New Roman" w:hAnsi="Times New Roman" w:cs="Times New Roman"/>
        <w:noProof/>
        <w:sz w:val="20"/>
        <w:szCs w:val="18"/>
      </w:rPr>
      <w:fldChar w:fldCharType="end"/>
    </w:r>
    <w:r w:rsidRPr="001C4B02">
      <w:rPr>
        <w:rFonts w:ascii="Times New Roman" w:hAnsi="Times New Roman" w:cs="Times New Roman"/>
        <w:noProof/>
        <w:sz w:val="20"/>
        <w:szCs w:val="18"/>
      </w:rPr>
      <w:t xml:space="preserve"> Valsts valodas centrs, 202</w:t>
    </w:r>
    <w:r w:rsidR="00443399">
      <w:rPr>
        <w:rFonts w:ascii="Times New Roman" w:hAnsi="Times New Roman" w:cs="Times New Roman"/>
        <w:noProof/>
        <w:sz w:val="20"/>
        <w:szCs w:val="18"/>
      </w:rPr>
      <w:t>1</w:t>
    </w:r>
    <w:r w:rsidRPr="001C4B02">
      <w:rPr>
        <w:rFonts w:ascii="Times New Roman" w:hAnsi="Times New Roman" w:cs="Times New Roman"/>
        <w:sz w:val="20"/>
        <w:szCs w:val="18"/>
      </w:rPr>
      <w:tab/>
    </w:r>
    <w:r w:rsidRPr="001C4B02">
      <w:rPr>
        <w:rStyle w:val="PageNumber"/>
        <w:rFonts w:ascii="Times New Roman" w:hAnsi="Times New Roman" w:cs="Times New Roman"/>
        <w:sz w:val="20"/>
        <w:szCs w:val="18"/>
      </w:rPr>
      <w:fldChar w:fldCharType="begin"/>
    </w:r>
    <w:r w:rsidRPr="001C4B02">
      <w:rPr>
        <w:rStyle w:val="PageNumber"/>
        <w:rFonts w:ascii="Times New Roman" w:hAnsi="Times New Roman" w:cs="Times New Roman"/>
        <w:sz w:val="20"/>
        <w:szCs w:val="18"/>
      </w:rPr>
      <w:instrText xml:space="preserve">page </w:instrText>
    </w:r>
    <w:r w:rsidRPr="001C4B02">
      <w:rPr>
        <w:rStyle w:val="PageNumber"/>
        <w:rFonts w:ascii="Times New Roman" w:hAnsi="Times New Roman" w:cs="Times New Roman"/>
        <w:sz w:val="20"/>
        <w:szCs w:val="18"/>
      </w:rPr>
      <w:fldChar w:fldCharType="separate"/>
    </w:r>
    <w:r w:rsidRPr="001C4B02">
      <w:rPr>
        <w:rStyle w:val="PageNumber"/>
        <w:rFonts w:ascii="Times New Roman" w:hAnsi="Times New Roman" w:cs="Times New Roman"/>
        <w:sz w:val="20"/>
        <w:szCs w:val="18"/>
      </w:rPr>
      <w:t>2</w:t>
    </w:r>
    <w:r w:rsidRPr="001C4B02">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B453" w14:textId="77777777" w:rsidR="00F27871" w:rsidRPr="001C4B02" w:rsidRDefault="00F27871" w:rsidP="001C4B02">
    <w:pPr>
      <w:pStyle w:val="Header"/>
      <w:tabs>
        <w:tab w:val="left" w:pos="9072"/>
      </w:tabs>
      <w:rPr>
        <w:rStyle w:val="PageNumber"/>
        <w:rFonts w:ascii="Times New Roman" w:hAnsi="Times New Roman" w:cs="Times New Roman"/>
        <w:sz w:val="20"/>
        <w:szCs w:val="18"/>
      </w:rPr>
    </w:pPr>
    <w:bookmarkStart w:id="665" w:name="_Hlk496261764"/>
    <w:bookmarkStart w:id="666" w:name="_Hlk496261765"/>
    <w:bookmarkStart w:id="667" w:name="_Hlk496261766"/>
    <w:bookmarkStart w:id="668" w:name="_Hlk30491075"/>
    <w:bookmarkStart w:id="669" w:name="_Hlk30491076"/>
  </w:p>
  <w:p w14:paraId="35E178DE" w14:textId="6B1B941E" w:rsidR="00F27871" w:rsidRPr="001C4B02" w:rsidRDefault="00F27871" w:rsidP="001C4B02">
    <w:pPr>
      <w:pStyle w:val="Header"/>
      <w:tabs>
        <w:tab w:val="clear" w:pos="4513"/>
        <w:tab w:val="clear" w:pos="9026"/>
        <w:tab w:val="left" w:leader="underscore" w:pos="9072"/>
      </w:tabs>
      <w:rPr>
        <w:rStyle w:val="PageNumber"/>
        <w:rFonts w:ascii="Times New Roman" w:hAnsi="Times New Roman" w:cs="Times New Roman"/>
        <w:sz w:val="20"/>
        <w:szCs w:val="18"/>
      </w:rPr>
    </w:pPr>
    <w:r w:rsidRPr="001C4B02">
      <w:rPr>
        <w:rStyle w:val="PageNumber"/>
        <w:rFonts w:ascii="Times New Roman" w:hAnsi="Times New Roman" w:cs="Times New Roman"/>
        <w:sz w:val="20"/>
        <w:szCs w:val="18"/>
      </w:rPr>
      <w:tab/>
    </w:r>
  </w:p>
  <w:p w14:paraId="25E6B6A4" w14:textId="77777777" w:rsidR="00F27871" w:rsidRPr="001C4B02" w:rsidRDefault="00F27871" w:rsidP="001C4B02">
    <w:pPr>
      <w:pStyle w:val="Header"/>
      <w:tabs>
        <w:tab w:val="left" w:pos="9072"/>
      </w:tabs>
      <w:rPr>
        <w:rStyle w:val="PageNumber"/>
        <w:rFonts w:ascii="Times New Roman" w:hAnsi="Times New Roman" w:cs="Times New Roman"/>
        <w:sz w:val="20"/>
        <w:szCs w:val="18"/>
      </w:rPr>
    </w:pPr>
  </w:p>
  <w:p w14:paraId="1EF96AD3" w14:textId="5A769AC8" w:rsidR="00F27871" w:rsidRPr="001C4B02" w:rsidRDefault="00F27871" w:rsidP="001C4B02">
    <w:pPr>
      <w:pStyle w:val="Footer"/>
      <w:rPr>
        <w:rFonts w:ascii="Times New Roman" w:hAnsi="Times New Roman" w:cs="Times New Roman"/>
        <w:sz w:val="20"/>
        <w:szCs w:val="18"/>
      </w:rPr>
    </w:pPr>
    <w:r w:rsidRPr="001C4B02">
      <w:rPr>
        <w:rFonts w:ascii="Times New Roman" w:hAnsi="Times New Roman" w:cs="Times New Roman"/>
        <w:noProof/>
        <w:sz w:val="20"/>
        <w:szCs w:val="18"/>
      </w:rPr>
      <w:t xml:space="preserve">Tulkojums </w:t>
    </w:r>
    <w:r w:rsidRPr="001C4B02">
      <w:rPr>
        <w:rFonts w:ascii="Times New Roman" w:hAnsi="Times New Roman" w:cs="Times New Roman"/>
        <w:noProof/>
        <w:sz w:val="20"/>
        <w:szCs w:val="18"/>
      </w:rPr>
      <w:fldChar w:fldCharType="begin"/>
    </w:r>
    <w:r w:rsidRPr="001C4B02">
      <w:rPr>
        <w:rFonts w:ascii="Times New Roman" w:hAnsi="Times New Roman" w:cs="Times New Roman"/>
        <w:noProof/>
        <w:sz w:val="20"/>
        <w:szCs w:val="18"/>
      </w:rPr>
      <w:instrText>symbol 211 \f "Symbol" \s 9</w:instrText>
    </w:r>
    <w:r w:rsidRPr="001C4B02">
      <w:rPr>
        <w:rFonts w:ascii="Times New Roman" w:hAnsi="Times New Roman" w:cs="Times New Roman"/>
        <w:noProof/>
        <w:sz w:val="20"/>
        <w:szCs w:val="18"/>
      </w:rPr>
      <w:fldChar w:fldCharType="separate"/>
    </w:r>
    <w:r w:rsidRPr="001C4B02">
      <w:rPr>
        <w:rFonts w:ascii="Times New Roman" w:hAnsi="Times New Roman" w:cs="Times New Roman"/>
        <w:noProof/>
        <w:sz w:val="20"/>
        <w:szCs w:val="18"/>
      </w:rPr>
      <w:t>Ó</w:t>
    </w:r>
    <w:r w:rsidRPr="001C4B02">
      <w:rPr>
        <w:rFonts w:ascii="Times New Roman" w:hAnsi="Times New Roman" w:cs="Times New Roman"/>
        <w:noProof/>
        <w:sz w:val="20"/>
        <w:szCs w:val="18"/>
      </w:rPr>
      <w:fldChar w:fldCharType="end"/>
    </w:r>
    <w:r w:rsidRPr="001C4B02">
      <w:rPr>
        <w:rFonts w:ascii="Times New Roman" w:hAnsi="Times New Roman" w:cs="Times New Roman"/>
        <w:noProof/>
        <w:sz w:val="20"/>
        <w:szCs w:val="18"/>
      </w:rPr>
      <w:t xml:space="preserve"> Valsts valodas centrs, 20</w:t>
    </w:r>
    <w:bookmarkEnd w:id="665"/>
    <w:bookmarkEnd w:id="666"/>
    <w:bookmarkEnd w:id="667"/>
    <w:r w:rsidRPr="001C4B02">
      <w:rPr>
        <w:rFonts w:ascii="Times New Roman" w:hAnsi="Times New Roman" w:cs="Times New Roman"/>
        <w:noProof/>
        <w:sz w:val="20"/>
        <w:szCs w:val="18"/>
      </w:rPr>
      <w:t>2</w:t>
    </w:r>
    <w:bookmarkEnd w:id="668"/>
    <w:bookmarkEnd w:id="669"/>
    <w:r w:rsidR="001D3E8A">
      <w:rPr>
        <w:rFonts w:ascii="Times New Roman" w:hAnsi="Times New Roman" w:cs="Times New Roman"/>
        <w:noProof/>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7A12C" w14:textId="77777777" w:rsidR="0003108B" w:rsidRDefault="0003108B" w:rsidP="00994F93">
      <w:r>
        <w:separator/>
      </w:r>
    </w:p>
  </w:footnote>
  <w:footnote w:type="continuationSeparator" w:id="0">
    <w:p w14:paraId="77DDAD6B" w14:textId="77777777" w:rsidR="0003108B" w:rsidRDefault="0003108B" w:rsidP="00994F93">
      <w:r>
        <w:continuationSeparator/>
      </w:r>
    </w:p>
  </w:footnote>
  <w:footnote w:id="1">
    <w:p w14:paraId="6D581C5E" w14:textId="77777777" w:rsidR="00F27871" w:rsidRPr="007A3E9B"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Statistikas aspektus skatīt Padomes Regulā (EK) Nr. 479/2009, kas grozīta ar Padomes Regulu (ES) Nr. 679/2010 un Komisijas Regulu (ES) Nr. 220/2014.</w:t>
      </w:r>
    </w:p>
  </w:footnote>
  <w:footnote w:id="2">
    <w:p w14:paraId="68452760" w14:textId="77777777" w:rsidR="00F27871" w:rsidRPr="007A3E9B"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Sīkāku informāciju var saņemt, sazinoties ar D-1 struktūrvienības sekretariātu (e-pasts: ESTAT-D1-SECRETARIAT@ec.europa.eu).</w:t>
      </w:r>
    </w:p>
  </w:footnote>
  <w:footnote w:id="3">
    <w:p w14:paraId="40047700" w14:textId="77777777" w:rsidR="00F27871" w:rsidRPr="009A1969" w:rsidRDefault="00F27871" w:rsidP="009A1969">
      <w:pPr>
        <w:pStyle w:val="FootnoteText"/>
        <w:jc w:val="both"/>
      </w:pPr>
      <w:r w:rsidRPr="009A1969">
        <w:rPr>
          <w:rStyle w:val="FootnoteReference"/>
        </w:rPr>
        <w:footnoteRef/>
      </w:r>
      <w:r w:rsidRPr="009A1969">
        <w:rPr>
          <w:rFonts w:ascii="Times New Roman" w:hAnsi="Times New Roman"/>
        </w:rPr>
        <w:t>Protokols (Nr. 12) par pārmērīga budžeta deficīta novēršanas procedūru, kas pievienots Līgumam par Eiropas Savienības darbību (bijušais 19. protokols, kas pievienots Māstrihtas līgumam).</w:t>
      </w:r>
    </w:p>
  </w:footnote>
  <w:footnote w:id="4">
    <w:p w14:paraId="06560EC6" w14:textId="77777777" w:rsidR="00F27871" w:rsidRPr="00061998"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2. nodaļā (Vienības un vienību grupas) papildus noteikts, ka šādas vienības var būt iesaistītas cita veida ārpustirgus ražošanā, tostarp preču un pakalpojumu pārdošanā “pseidotirgos” tādējādi, ka ieņēmumi nepārsniedz ražošanas izmaksas.</w:t>
      </w:r>
    </w:p>
  </w:footnote>
  <w:footnote w:id="5">
    <w:p w14:paraId="2E817841" w14:textId="77777777" w:rsidR="00F27871" w:rsidRPr="00061998"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Jo īpaši tāpēc, ka tās darbojas kopā un ir atkarīgas no viena budžeta, par kuru atbild Finanšu ministrija, kas papildus “kontrolei” pār lielāko daļu ieņēmumu nosaka “ierindas ministrijām” (izdevumu struktūrām, kurām parasti nav autonomu publisko kontu) izdevumu robežas.</w:t>
      </w:r>
    </w:p>
  </w:footnote>
  <w:footnote w:id="6">
    <w:p w14:paraId="37EF238A" w14:textId="374C8CAC" w:rsidR="00F27871" w:rsidRPr="00061998"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Izņemot sociālā</w:t>
      </w:r>
      <w:r w:rsidR="00756F6F">
        <w:rPr>
          <w:rFonts w:ascii="Times New Roman" w:hAnsi="Times New Roman"/>
          <w:sz w:val="20"/>
          <w:szCs w:val="20"/>
        </w:rPr>
        <w:t xml:space="preserve"> nodrošinājuma </w:t>
      </w:r>
      <w:r>
        <w:rPr>
          <w:rFonts w:ascii="Times New Roman" w:hAnsi="Times New Roman"/>
          <w:sz w:val="20"/>
          <w:szCs w:val="20"/>
        </w:rPr>
        <w:t>fondu pārvaldību, kuri ir iekļauti atsevišķā apakšsektorā.</w:t>
      </w:r>
    </w:p>
  </w:footnote>
  <w:footnote w:id="7">
    <w:p w14:paraId="6C333B5F" w14:textId="77777777" w:rsidR="00F27871" w:rsidRPr="0006199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20.64. punktā uzsvērts, ka vienības, kuras ir pilnīgi atkarīgas no centrālās valdības, taču darbojas vietējā līmenī, ir jānošķir no vienībām, kuras ietilpst pavalsts vai vietējos apakšsektoros un nav pakļautas centrālajai valdībai (piemēram, tām ir savs finansējums, rīcības brīvība attiecībā uz izdevumiem, tiesībām iecelt amatpersonas un citas pilnvaras).</w:t>
      </w:r>
    </w:p>
  </w:footnote>
  <w:footnote w:id="8">
    <w:p w14:paraId="0479AE57" w14:textId="77777777" w:rsidR="00F27871" w:rsidRPr="0006199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S.1314 ir būtisks tikai tad, ja “institucionāla vienība ir veidota atsevišķi no citām valdības vienību darbībām, tam ir savi aktīvi un saistības un tas savā vārdā iesaistās finanšu darījumos”, skat. EKS 2010 20.12. punktu.</w:t>
      </w:r>
    </w:p>
  </w:footnote>
  <w:footnote w:id="9">
    <w:p w14:paraId="4B21F8C7" w14:textId="77777777" w:rsidR="00F27871" w:rsidRPr="00061998"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Skat. 8. daļu “Vispārējās valdības parāda apmēra noteikšana”.</w:t>
      </w:r>
    </w:p>
  </w:footnote>
  <w:footnote w:id="10">
    <w:p w14:paraId="7151B478" w14:textId="77777777" w:rsidR="00F27871" w:rsidRPr="00764DDA"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Attiecībā uz dažu konkrētu valdības kontrolē esošu vienību klasificēšanu pa sektoriem skat. 1.6. nodaļu “Īpaši publiski subjekti”.</w:t>
      </w:r>
    </w:p>
  </w:footnote>
  <w:footnote w:id="11">
    <w:p w14:paraId="6685590D" w14:textId="442B344E" w:rsidR="00F27871" w:rsidRPr="00764DDA"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Šī ir sociālā </w:t>
      </w:r>
      <w:r w:rsidR="0008502C">
        <w:rPr>
          <w:rFonts w:ascii="Times New Roman" w:hAnsi="Times New Roman"/>
        </w:rPr>
        <w:t>nodrošin</w:t>
      </w:r>
      <w:r w:rsidR="009424B9">
        <w:rPr>
          <w:rFonts w:ascii="Times New Roman" w:hAnsi="Times New Roman"/>
        </w:rPr>
        <w:t>ājuma</w:t>
      </w:r>
      <w:r>
        <w:rPr>
          <w:rFonts w:ascii="Times New Roman" w:hAnsi="Times New Roman"/>
        </w:rPr>
        <w:t xml:space="preserve"> fondu definīcija, kas sniegta EKS 2010 2.117. punkta c) apakšpunktā. EKS 2010 4.89. punkta a) apakšpunktā noteikts arī tas, ka sociālā nodrošinā</w:t>
      </w:r>
      <w:r w:rsidR="0068395A">
        <w:rPr>
          <w:rFonts w:ascii="Times New Roman" w:hAnsi="Times New Roman"/>
        </w:rPr>
        <w:t>juma</w:t>
      </w:r>
      <w:r>
        <w:rPr>
          <w:rFonts w:ascii="Times New Roman" w:hAnsi="Times New Roman"/>
        </w:rPr>
        <w:t xml:space="preserve"> shēmas “aptver visu sabiedrību vai lielas sabiedrības daļas, un tās piemēro, kontrolē un finansē valdības vienības”. Tas nozīmē, ka šādu shēmu līdzekļi ir obligātās iemaksas (sociālās iemaksas vai nodokļi) un ka valdībai ir pienākums segt iztrūkumu, ja tāds radies starp līdzekļiem un pabalstiem, tostarp izmantojot savas tiesības mainīt atsevišķus parametrus.</w:t>
      </w:r>
    </w:p>
  </w:footnote>
  <w:footnote w:id="12">
    <w:p w14:paraId="24B6327F" w14:textId="77777777" w:rsidR="00F27871" w:rsidRPr="00DF543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Ir iespējams vienībai izveidot gan plūsmu kontus, atspoguļojot tīro ienākumu un naudas plūsmu pārskatus, gan bilances, atspoguļojot tās patrimoniālo situāciju. EKS 2010 ir noteikts, ka šādu kontu publicēšana nav nosacījums, kas jāizpilda, lai vienību varētu uzskatīt par institucionālu vienību. Nozīme ir tikai to eksistencei vai iespējamai eksistencei. Šis nosacījums oficiāli netiek piemērots attiecībā uz mājsaimniecībām.</w:t>
      </w:r>
    </w:p>
  </w:footnote>
  <w:footnote w:id="13">
    <w:p w14:paraId="7CBC05C1" w14:textId="77777777" w:rsidR="00F27871" w:rsidRPr="00DF543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Termins “unikāls klients” nozīmē, ka subjekts sniedz savu produkciju vai nu vienam pircējam (bieži vien “mātesuzņēmumam” – dažkārt, ja juridiskais nošķīrums ir ekonomiskais tā ekvivalents), vai arī citām tās pašas vienību grupas vienībām (skat. EKS 2010 20.24. punktu), piemēram, saistītu subjektu grupai (skat. EKS 2010 2.13. punkta e) apakšpunktu).</w:t>
      </w:r>
    </w:p>
  </w:footnote>
  <w:footnote w:id="14">
    <w:p w14:paraId="5435B23A" w14:textId="77777777" w:rsidR="00F27871" w:rsidRPr="00DF5435"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Dažos ārkārtas gadījumos subjektu darbības/lēmumi tiek pilnībā noteikti šā subjekta izveides brīdī.</w:t>
      </w:r>
    </w:p>
  </w:footnote>
  <w:footnote w:id="15">
    <w:p w14:paraId="2B033150" w14:textId="77777777" w:rsidR="00F27871" w:rsidRPr="00DF5435"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Vērtējot lēmumu pieņemšanas autonomijas ierobežojošo ietekmi, ir jāņem vērā gan iejaukšanās apmērs, gan tās biežums.</w:t>
      </w:r>
    </w:p>
  </w:footnote>
  <w:footnote w:id="16">
    <w:p w14:paraId="3487A686" w14:textId="77777777" w:rsidR="00F27871" w:rsidRPr="00DF5435"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Šis noteikums ir jāsaprot plaši, t. i., “māte” var būt jebkurš subjekts vai subjektu grupa, kuram atsevišķi vai kopā ir pilnvaras iejaukties.</w:t>
      </w:r>
    </w:p>
  </w:footnote>
  <w:footnote w:id="17">
    <w:p w14:paraId="530C4210" w14:textId="77777777" w:rsidR="00F27871" w:rsidRPr="00DF543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Uzskatāms, ka valdes loceklis nav vispārējās valdības amatpersona, ja viņam nav darba attiecību ar vispārējo valdību, ne arī politiskā mandāta.</w:t>
      </w:r>
    </w:p>
  </w:footnote>
  <w:footnote w:id="18">
    <w:p w14:paraId="184F426C" w14:textId="77777777" w:rsidR="00F27871" w:rsidRPr="00DF5435"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Nefinanšu subjektu gadījumā 50 % kritērija rezultāts varētu sniegt pietiekamu apliecinājumu, ka subjekts nodarbojas ar tirgus darbībām par cenām, kas ir ekonomiski nozīmīgas, un ka subjekts var pieņemt ekonomiskus lēmumus neatkarīgi no vienībām, kurām pieder valdē ieceltās valdības amatpersonas (skat. EKS 2010 2.12. punktu).</w:t>
      </w:r>
    </w:p>
  </w:footnote>
  <w:footnote w:id="19">
    <w:p w14:paraId="33B3DE36" w14:textId="11BAB5C1" w:rsidR="00F27871" w:rsidRPr="00F61134"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Praktiski gadījumos, kad subjektu nekontrolē neviens cits, un ja var izslēgt kopīgu kontroli, par šā subjekta privāto vai publisko dabu var spriest pēc tā, vai šo subjektu kontrolē privāti vai publiski subjekti kā kopumu. Kad ir izlemts, vai subjekts ir publisks vai privāts un vai tas izpilda nepieciešamos papildu kritērijus klasificēšanai valdības sektorā (piemēram, kvalificējas kā ārpustirgus ražotājs), tad tas ir klasificējams apakšsektorā, ņemot vērā tā darbību (piemēram, sociāl</w:t>
      </w:r>
      <w:r w:rsidR="00EB79FA">
        <w:rPr>
          <w:rFonts w:ascii="Times New Roman" w:hAnsi="Times New Roman"/>
          <w:sz w:val="20"/>
          <w:szCs w:val="20"/>
        </w:rPr>
        <w:t>ais</w:t>
      </w:r>
      <w:r>
        <w:rPr>
          <w:rFonts w:ascii="Times New Roman" w:hAnsi="Times New Roman"/>
          <w:sz w:val="20"/>
          <w:szCs w:val="20"/>
        </w:rPr>
        <w:t xml:space="preserve"> nodrošin</w:t>
      </w:r>
      <w:r w:rsidR="00EB79FA">
        <w:rPr>
          <w:rFonts w:ascii="Times New Roman" w:hAnsi="Times New Roman"/>
          <w:sz w:val="20"/>
          <w:szCs w:val="20"/>
        </w:rPr>
        <w:t>ājums</w:t>
      </w:r>
      <w:r>
        <w:rPr>
          <w:rFonts w:ascii="Times New Roman" w:hAnsi="Times New Roman"/>
          <w:sz w:val="20"/>
          <w:szCs w:val="20"/>
        </w:rPr>
        <w:t>) vai tā ģeogrāfisko tvērumu (pārvaldes līmenis no valsts līmeņa līdz vietējam līmenim). Mazāk ticamā gadījumā, kad šāds subjekts nav kvalificējams kā institucionālā vienība, tas ir jāapvieno ar vienībām, kuras pieder tam apakšsektoram, kurā tas būtu bijis jāklasificē, pamatojoties uz iepriekšējo punktu.</w:t>
      </w:r>
    </w:p>
  </w:footnote>
  <w:footnote w:id="20">
    <w:p w14:paraId="16608135" w14:textId="77777777" w:rsidR="00F27871" w:rsidRPr="00F61134"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beidzot analīzi, tiek secināts, ka kontroli vienādi sadala publiskās un privātās vienības, piemēro EKS noteikumus par kopuzņēmumiem (skat. 1.8. nodaļu), proti, vienība ir jāklasificē valdības sektorā, ja tā ir ārpustirgus vienība, un nefinanšu vai finanšu sabiedrību sektorā, ja tā ir tirgus vienība vai tiek uzskatīta par finanšu starpnieku.</w:t>
      </w:r>
    </w:p>
  </w:footnote>
  <w:footnote w:id="21">
    <w:p w14:paraId="0F497B97" w14:textId="77777777" w:rsidR="00F27871" w:rsidRPr="00E753B3"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(līdzīgi kā NKS 2008) šos kritērijus piemēro tikai kontrolējošas valdības vienības gadījumā. Tomēr tie var attiekties arī uz tirgus ražotājiem BPI, ko kontrolē publiskas vienības, kas neietilpst valdības sektorā.</w:t>
      </w:r>
    </w:p>
  </w:footnote>
  <w:footnote w:id="22">
    <w:p w14:paraId="1116FF37" w14:textId="77777777" w:rsidR="00F27871" w:rsidRPr="00E753B3"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Kopumā parasti privāts tirgus ražotājs nevar ilgstoši ciest zaudējumus, jo tas nozīmētu negatīvu pašu kapitāla peļņu (ar atsevišķiem izņēmumiem dažu grupā ietilpstošu subjektu gadījumā). Publisks tirgus ražotāja gadījums atšķiras tādējādi, ka daudzos gadījumos šāds subjekts var paļauties uz to, ka valdība tam sniegs atbalstu ar valsts politiku saistītu apsvērumu dēļ. Parasti </w:t>
      </w:r>
      <w:r>
        <w:rPr>
          <w:rFonts w:ascii="Times New Roman" w:hAnsi="Times New Roman"/>
          <w:i/>
          <w:iCs/>
        </w:rPr>
        <w:t>RoE</w:t>
      </w:r>
      <w:r>
        <w:rPr>
          <w:rFonts w:ascii="Times New Roman" w:hAnsi="Times New Roman"/>
        </w:rPr>
        <w:t xml:space="preserve"> prasības līdzīgos apstākļos netiktu piemērotas attiecībā uz privāto sektoru, turpretī šos subjektus bieži vien neskar apstākļi, kuri izraisa bankrotu (piemēram negatīvs pašu kapitāls). Kas attiecas uz valsts finansēm, jebkurš valdības atbalsts valsts tirgus ražotājam ietekmē valdības neto aizdevumu/aizņēmumu (B.9) un var ietekmēt arī tās parādu. Tomēr parasti gadījumos, kad slogs uz valsts finansēm kļūst pārmērīgi liels, valdības lemj par koriģējošiem pasākumiem vai pārstrukturēšanas plāniem.</w:t>
      </w:r>
    </w:p>
  </w:footnote>
  <w:footnote w:id="23">
    <w:p w14:paraId="3A498CAA" w14:textId="77777777" w:rsidR="00F27871" w:rsidRPr="00D1617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Dažos gadījumos šis kritērijs jāapsver privātu subjektu grupas līmenī, jo starp grupas subjektiem var tikt piemērotas tādas iekšējās cenas, kas neatbilst tirgus cenai.</w:t>
      </w:r>
    </w:p>
  </w:footnote>
  <w:footnote w:id="24">
    <w:p w14:paraId="32A62BA0" w14:textId="77777777" w:rsidR="00F27871" w:rsidRPr="00D16170"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Tas nozīmē, ka gadījumos, kad tiek novērtēts tas, cik daudz ražošanas izmaksas tiek segtas no pārdošanas ieņēmumiem, attiecīgajā gadījumā svarīgi noteikt to, kāds ir valdības vienību īpatsvars visu pircēju vidū. Ir arī gadījumi, kad samērā labi zināms, ka produkcija paredzēta vienīgi (vai gandrīz vienīgi) izmantošanai valdības vajadzībām.</w:t>
      </w:r>
    </w:p>
  </w:footnote>
  <w:footnote w:id="25">
    <w:p w14:paraId="2BE4791C" w14:textId="77777777" w:rsidR="00F27871" w:rsidRPr="00FD5533"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Šīs konkurences novērtējumā jāņem vērā ne tikai dažādu uzņēmumu klātbūtne valsts tirgū, bet arī tirgus atvērtība jauniem ražotājiem.</w:t>
      </w:r>
    </w:p>
  </w:footnote>
  <w:footnote w:id="26">
    <w:p w14:paraId="7706F4CB" w14:textId="77777777" w:rsidR="00F27871" w:rsidRPr="00FD5533"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Jāatceras, ka ES līmenī ir spēkā noteikumi par valsts iepirkumu, kas tiek veikts atklātas konkurences apstākļos.</w:t>
      </w:r>
    </w:p>
  </w:footnote>
  <w:footnote w:id="27">
    <w:p w14:paraId="60EA16D7" w14:textId="77777777" w:rsidR="00F27871" w:rsidRPr="00FD5533"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Sīkāka informācija par ES dotāciju/subsīdiju traktējumu izklāstīta šīs rokasgrāmatas 2.6. nodaļā.</w:t>
      </w:r>
    </w:p>
  </w:footnote>
  <w:footnote w:id="28">
    <w:p w14:paraId="0F7B2321"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jo īpaši attiecas uz jaunām vienībām, kurām sākotnēji nepieciešami būtiski kapitāla izdevumi un kuras sāks pārdod tās pakalpojumus tikai pēc priekšdarbu pabeigšanas.</w:t>
      </w:r>
    </w:p>
  </w:footnote>
  <w:footnote w:id="29">
    <w:p w14:paraId="01FF677C" w14:textId="77777777" w:rsidR="00F27871" w:rsidRPr="00BB1778"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Termins “reāls” attiecas uz vairākiem jēdzieniem, piemēram, izmantoto datu pieejamību un kvalitāti, prognozēs izmantoto pieņēmumu ticamību, plāna izstrādātāju kompetenci utt. Taču, ja pēc dažiem gadiem izrādās, ka uzņēmējdarbības plāns nav devis gaidītos rezultātus, </w:t>
      </w:r>
      <w:r>
        <w:rPr>
          <w:rFonts w:ascii="Times New Roman" w:hAnsi="Times New Roman"/>
          <w:i/>
          <w:iCs/>
          <w:sz w:val="20"/>
          <w:szCs w:val="20"/>
        </w:rPr>
        <w:t>ex ante</w:t>
      </w:r>
      <w:r>
        <w:rPr>
          <w:rFonts w:ascii="Times New Roman" w:hAnsi="Times New Roman"/>
          <w:sz w:val="20"/>
          <w:szCs w:val="20"/>
        </w:rPr>
        <w:t xml:space="preserve"> jāpārskata subjekta sektora klasifikācija.</w:t>
      </w:r>
    </w:p>
  </w:footnote>
  <w:footnote w:id="30">
    <w:p w14:paraId="3E319FE4" w14:textId="77777777" w:rsidR="00F27871" w:rsidRPr="00BB1778"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Ja tiek likvidēta “finanšu grūtībās” nonākusi vienība, tirgus/ārpustirgus testu tā droši vien nav varējusi izpildīt vēl pirms nonākšanas likvidācijas procesā un tādējādi jau tika pārklasificēta valdības sektorā.</w:t>
      </w:r>
    </w:p>
  </w:footnote>
  <w:footnote w:id="31">
    <w:p w14:paraId="10CFCF3E"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Dažās ES dalībvalstīs šāds sabiedrībām piešķirtais statuss nedrīkst pārsniegt noteiktu periodu, un, ja vienība neatsāk darbību (arī jaunu darbību), tā ir automātiski jālikvidē.</w:t>
      </w:r>
    </w:p>
  </w:footnote>
  <w:footnote w:id="32">
    <w:p w14:paraId="0F4E26BD"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Parasti neaktīva vienība neizpilda tirgus/ārpustirgus testu vai neatbilst finanšu starpniecības kritērijiem (skat. EKS 2010 2.57.–2.58. punktu). Tādējādi, ja vienība ir publiska, tā jāpārklasificē, iekļaujot to valdības sektorā. Ja neaktīva vienība neizpilda tirgus/ārpustirgus testu trīs gadus pēc kārtas, tā jebkurā gadījumā ir pārklasificējama valdības sektorā, ja vien pēc pirmā gada nav pierādījumu tam, ka vienība noteikti neizpildīs tirgus/ārpustirgus testu arī turpmākos divus gadus, un šādā gadījumā vienība ir jāpārklasificē valdības sektorā nekavējoties.</w:t>
      </w:r>
    </w:p>
  </w:footnote>
  <w:footnote w:id="33">
    <w:p w14:paraId="4430D064" w14:textId="77777777" w:rsidR="00F27871" w:rsidRPr="00BB1778"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Ja par neaktīvu vienību vairs netiek sniegti dati, ir jāizmanto pēdējie pieejamie (akciju) dati, jo īpaši ziņojumiem par tās parādu, ja tāds ir.</w:t>
      </w:r>
    </w:p>
  </w:footnote>
  <w:footnote w:id="34">
    <w:p w14:paraId="1FB75ADB"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Atkarībā no tiesiskā regulējuma vai īpašiem pasākumiem “likvidatoram” var būt lielāka vai mazāka neatkarība. Likvidators var būt pakļauts tiesnesim vai kreditoru komitejai, kas bieži vien ir izveidota, lai mēģinātu realizēt noteiktus prasījumus. Kopumā šādos apstākļos akcionāriem nav “pēdējais vārds” lēmumos, kas saistīti ar aktīvu pārdošanu.</w:t>
      </w:r>
    </w:p>
  </w:footnote>
  <w:footnote w:id="35">
    <w:p w14:paraId="582544D2"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Izņēmums ir finanšu palīgsabiedrības.</w:t>
      </w:r>
    </w:p>
  </w:footnote>
  <w:footnote w:id="36">
    <w:p w14:paraId="28CE0E26" w14:textId="77777777" w:rsidR="00F27871" w:rsidRPr="00BB177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kvantitatīvie kritēriji būtu joprojām piemērojami (piemēram, atlikušie pārdošanas ienākumi varētu būt tikai valdībai).</w:t>
      </w:r>
    </w:p>
  </w:footnote>
  <w:footnote w:id="37">
    <w:p w14:paraId="040183D4" w14:textId="77777777" w:rsidR="00F27871" w:rsidRPr="00BB1778"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Vai finanšu palīgsabiedrībām.</w:t>
      </w:r>
    </w:p>
  </w:footnote>
  <w:footnote w:id="38">
    <w:p w14:paraId="492AFC16" w14:textId="7A62E384" w:rsidR="00F27871" w:rsidRPr="00BB1778"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sidR="00F643F6">
        <w:rPr>
          <w:rFonts w:ascii="Times New Roman" w:hAnsi="Times New Roman"/>
          <w:sz w:val="20"/>
          <w:szCs w:val="20"/>
        </w:rPr>
        <w:t xml:space="preserve"> </w:t>
      </w:r>
      <w:r>
        <w:rPr>
          <w:rFonts w:ascii="Times New Roman" w:hAnsi="Times New Roman"/>
          <w:sz w:val="20"/>
          <w:szCs w:val="20"/>
        </w:rPr>
        <w:t>Ja vienība nav ne likvidācijas procesā, ne neaktīva.</w:t>
      </w:r>
    </w:p>
  </w:footnote>
  <w:footnote w:id="39">
    <w:p w14:paraId="1115A7F2" w14:textId="77777777" w:rsidR="00F27871" w:rsidRPr="00B1010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 nevajadzētu jaukt ar iespējamo likviditātes pārvaldību vai parāda restrukturizāciju, ko veic likvidācijas procesā.</w:t>
      </w:r>
    </w:p>
  </w:footnote>
  <w:footnote w:id="40">
    <w:p w14:paraId="06D89B20" w14:textId="77777777" w:rsidR="00F27871" w:rsidRPr="00B1010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Dažos gadījumos atbildība uz visu parāda summu iestājas nekavējoties (to sauc par “paātrinājumu”); tomēr tas neietekmē valdības pārņemtā parāda ierakstīšanu.</w:t>
      </w:r>
    </w:p>
  </w:footnote>
  <w:footnote w:id="41">
    <w:p w14:paraId="3EC3D48C" w14:textId="77777777" w:rsidR="00F27871" w:rsidRPr="00B10105"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Tomēr ir jāpārbauda, vai šis atbalsts neatbilst “maskētajiem” vai “netiešajiem” prasījumiem, kas norādīti 4.4.2.1.3. apakšiedaļā (Gadījums, kad konstatē, ka valdība atmaksā vai atmaksās parādu).</w:t>
      </w:r>
    </w:p>
  </w:footnote>
  <w:footnote w:id="42">
    <w:p w14:paraId="79BDC1FE" w14:textId="77777777" w:rsidR="00F27871" w:rsidRPr="00B1010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Piemēro arī kapitāla pārveduma izdevumus, ja tiešu valdības garantiju neesamības gadījumā pastāv citas tiesību normas, kas uzliktu valdībai pienākumu jebkurā gadījumā izmaksāt kompensācijas publiskās vienības kreditoriem, ja notiek tās likvidācija. Tomēr kapitāla pārveduma izdevumus nepiemēro, ja nav skaidru valdības garantiju vai citu tiesību normu, jo valdība būtu vienīgais vai galvenais akcionārs ar neierobežotām saistībām.</w:t>
      </w:r>
    </w:p>
  </w:footnote>
  <w:footnote w:id="43">
    <w:p w14:paraId="7FC823E2" w14:textId="77777777" w:rsidR="00F27871" w:rsidRPr="00B10105"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Tomēr dažos gadījumos, ja likvidētajai vienībai neparādās negatīva neto vērtība (piemēram, brīvprātīgas likvidācijas gadījumā, kuras dēļ tomēr tiktu ierosināts garantiju prasījums) un ja pastāv liela varbūtība, ka vienības turējumā esošo aktīvu vērtība tiks atgūta, šo kapitāla pārvedumu var samazināt par šo aktīvu aplēsto vērtību.</w:t>
      </w:r>
    </w:p>
  </w:footnote>
  <w:footnote w:id="44">
    <w:p w14:paraId="3C15839F" w14:textId="77777777" w:rsidR="00F27871" w:rsidRPr="001C2A0B"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var attiekties ne tikai uz nodokļa iekasēšanu (piemēram, pašvaldība “izmanto” centrālās valdības pakalpojumu), bet arī uz tāda nodokļa pārdali, kurā ir ietvertas sastāvdaļas, kas attiecas uz dažādām vienībām (piemēram, ienākumu nodoklis, kura viena daļa attiecas uz centrālo valdību, bet otra daļa uz pašvaldību).</w:t>
      </w:r>
    </w:p>
  </w:footnote>
  <w:footnote w:id="45">
    <w:p w14:paraId="2067419B" w14:textId="77777777" w:rsidR="00F27871" w:rsidRPr="006F3FA1"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uzskaitījums nav pilnīgs.</w:t>
      </w:r>
    </w:p>
  </w:footnote>
  <w:footnote w:id="46">
    <w:p w14:paraId="344C9ECB" w14:textId="77777777" w:rsidR="00F27871" w:rsidRPr="006F3FA1"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Piemēram, valdība var noteikt cenu dažiem darījumiem, kas neatspoguļo tirgus apstākļus, vai uzlikt par pienākumu ekonomikas dalībniekiem veikt valdības noteiktās iemaksas trešajām pusēm, ja nodarbojas ar kādām darbībām vai tur kādus aktīvus.</w:t>
      </w:r>
    </w:p>
  </w:footnote>
  <w:footnote w:id="47">
    <w:p w14:paraId="7A749028" w14:textId="77777777" w:rsidR="00F27871" w:rsidRPr="0033237C"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neattiecas uz programmām, saskaņā ar kurām valdības sektoram nepiederošai vienībai ir pilnīga brīvība uzņemties un īstenot darījumus (skat. 61. rindkopu).</w:t>
      </w:r>
    </w:p>
  </w:footnote>
  <w:footnote w:id="48">
    <w:p w14:paraId="64CB5A7F" w14:textId="77777777" w:rsidR="00F27871" w:rsidRPr="0033237C"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Šādiem norādījumiem ir jābūt skaidri nošķirtiem no oficiālām vēstulēm, ar kurām var būt notikusi apmaiņa, lai apstiprinātu, ka darījums atbilst subjekta pilnvarojumam.</w:t>
      </w:r>
    </w:p>
  </w:footnote>
  <w:footnote w:id="49">
    <w:p w14:paraId="685B9FAA" w14:textId="77777777" w:rsidR="00F27871" w:rsidRPr="0033237C"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Var būt situācijas, kad valdība nosaka tikai dažus darījuma nosacījumus un prasības, taču ir uzskatāms, ka šie nosacījumi un prasības ir būtiski darījuma elementi. Šādos gadījumos ir uzskatāms, ka situācija ir līdzvērtīga tai, kurā valdība nosaka gandrīz visus nosacījumus un prasības.</w:t>
      </w:r>
    </w:p>
  </w:footnote>
  <w:footnote w:id="50">
    <w:p w14:paraId="1E091B52" w14:textId="77777777" w:rsidR="00F27871" w:rsidRPr="0033237C"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“Parīzes klubs” ir “oficiālo kreditoru grupa, ar kuru attīstības valstis var atkārtoti runāt par savu parādu ar kreditorvalstīm”.</w:t>
      </w:r>
    </w:p>
  </w:footnote>
  <w:footnote w:id="51">
    <w:p w14:paraId="5E69D51B" w14:textId="77777777" w:rsidR="00F27871" w:rsidRPr="00743D6B"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Termins “slimnīca” šajā 1.2.4.6. apakšiedaļā attiecas uz veselības aprūpes iestādēm, kas nodrošina medicīnisko, ķirurģisko vai psihiatrisko aprūpi un ārstē slimus vai traumētus cilvēkus un kas šim nolūkam izmanto ēkas un tam paredzētu aprīkojumu un nodarbina kvalificētu personālu. Saskaņā ar </w:t>
      </w:r>
      <w:r>
        <w:rPr>
          <w:rFonts w:ascii="Times New Roman" w:hAnsi="Times New Roman"/>
          <w:i/>
          <w:iCs/>
          <w:sz w:val="20"/>
          <w:szCs w:val="20"/>
        </w:rPr>
        <w:t>NACE</w:t>
      </w:r>
      <w:r>
        <w:rPr>
          <w:rFonts w:ascii="Times New Roman" w:hAnsi="Times New Roman"/>
          <w:sz w:val="20"/>
          <w:szCs w:val="20"/>
        </w:rPr>
        <w:t xml:space="preserve"> klasifikāciju slimnīcu darbībām ir piešķirts īpašs kods (86.1). Taču šis kods ir izmantojams tikai indikatīvi, jo šajā saistībā ir jāpārbauda arī citas darbības veselības aizsardzības jomā (86) vai sociālās aprūpes darbības (87).</w:t>
      </w:r>
    </w:p>
  </w:footnote>
  <w:footnote w:id="52">
    <w:p w14:paraId="1D214F1E" w14:textId="77777777" w:rsidR="00F27871" w:rsidRPr="00743D6B"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 iemesla dēļ šajā rokasgrāmatā kopš 2002. gada ir vienmēr iekļauta īpaša daļa, kas veltīta publiskām slimnīcām.</w:t>
      </w:r>
    </w:p>
  </w:footnote>
  <w:footnote w:id="53">
    <w:p w14:paraId="21E4F15D" w14:textId="27C720AF" w:rsidR="00F27871" w:rsidRPr="00BC0B8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Publiskās slimnīcas var kontrolēt dažādi valdības apakšsektori atbilstīgi dalībvalstīs noteiktajai institucionālajai kārtībai. Tomēr, ja slimnīca tiek vairumā finansēta no sociālajām iemaksām sociālā nodrošinā</w:t>
      </w:r>
      <w:r w:rsidR="00332253">
        <w:rPr>
          <w:rFonts w:ascii="Times New Roman" w:hAnsi="Times New Roman"/>
        </w:rPr>
        <w:t>juma</w:t>
      </w:r>
      <w:r>
        <w:rPr>
          <w:rFonts w:ascii="Times New Roman" w:hAnsi="Times New Roman"/>
        </w:rPr>
        <w:t xml:space="preserve"> subjektos (un nevis no subsīdijām no valdības iekasētajiem nodokļiem), praktisku iemeslu dēļ to var iekļaut sociālā nodrošinā</w:t>
      </w:r>
      <w:r w:rsidR="00332253">
        <w:rPr>
          <w:rFonts w:ascii="Times New Roman" w:hAnsi="Times New Roman"/>
        </w:rPr>
        <w:t>juma</w:t>
      </w:r>
      <w:r>
        <w:rPr>
          <w:rFonts w:ascii="Times New Roman" w:hAnsi="Times New Roman"/>
        </w:rPr>
        <w:t xml:space="preserve"> fonda apakšsektorā (S.1314).</w:t>
      </w:r>
    </w:p>
  </w:footnote>
  <w:footnote w:id="54">
    <w:p w14:paraId="670C50DA" w14:textId="77777777" w:rsidR="00F27871" w:rsidRPr="00BC0B8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pastāv kvazipastāvīgi zaudējumi, tas vien vēl nav rādītājs, ka nav atklātas konkurences. Tieši pretēji – tas, ka publiskās slimnīcas ir rentablas (vai vismaz nerada pastāvīgus zaudējumus), arī nav pietiekams rādītājs, lai secinātu, ka pastāv faktiska tirgus konkurence.</w:t>
      </w:r>
    </w:p>
  </w:footnote>
  <w:footnote w:id="55">
    <w:p w14:paraId="5E86B3C1" w14:textId="77777777" w:rsidR="00F27871" w:rsidRPr="00BC0B8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Papildus medicīniskajai aprūpei valdība var uzticēt publiskajām slimnīcām īpašus uzdevumus, iespējams tādus kā izglītošanu un pētniecību. Par šiem uzdevumiem saņemtos maksājumus parasti neuzskata par tirgus darbību.</w:t>
      </w:r>
    </w:p>
  </w:footnote>
  <w:footnote w:id="56">
    <w:p w14:paraId="70AAD6EA" w14:textId="77777777" w:rsidR="00F27871" w:rsidRPr="00BC0B8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Citi rādītāji, kas var liecināt par valdības atbalstu, varētu būt valdības garantijas vai aizdevumi ar labvēlīgiem ārpustirgus nosacījumiem, ja tie tiek sniegti tikai publiskām slimnīcām.</w:t>
      </w:r>
    </w:p>
  </w:footnote>
  <w:footnote w:id="57">
    <w:p w14:paraId="6503CD1C" w14:textId="77777777" w:rsidR="00F27871" w:rsidRPr="00BC0B87"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Tas ir saskaņā ar nosacījumu, ka publiskās slimnīcas izpilda citus noteikumus par faktiskās tirgus konkurences esamību (tirgus atvērtība, vienādu pakalpojumu sniegšana, valdības atbalsta neesamība utt.).</w:t>
      </w:r>
    </w:p>
  </w:footnote>
  <w:footnote w:id="58">
    <w:p w14:paraId="5DE09FFC" w14:textId="77777777" w:rsidR="00F27871" w:rsidRPr="00BC0B87" w:rsidRDefault="00F27871" w:rsidP="000266B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apakšiedaļā netiek skarts jautājums par to, kā ieraksta licences/atļaujas, par kurām pašas TV/radio apraides organizācijas maksā valdībai, lai tām būtu ļauts veikt raiddarbību. Šīs licences/atļaujas traktē saskaņā ar EKS 2010 15. nodaļā (Līgumi, nomas līgumi un licences) noteiktajiem principiem, jo īpaši saskaņā ar sadaļu “Atļaujas veikt īpašas darbības” (sākot no EKS 2010 15.31. punkta). Daži noteikumi ir iekļauti arī šajā rokasgrāmatā (skat. 6. daļu “Noma, koncesijas un PPP”).</w:t>
      </w:r>
    </w:p>
  </w:footnote>
  <w:footnote w:id="59">
    <w:p w14:paraId="0D666735" w14:textId="77777777" w:rsidR="00F27871" w:rsidRPr="00BC0B87" w:rsidRDefault="00F27871" w:rsidP="000266B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valdība (ar dekrētu, noteikumiem, likumu utt.) nosaka pienākumu maksāt par valsts apraidi, tas nozīmē, ka šis maksājums ir obligāts nacionālo kontu izpratnē. Var būt daži īpaši atbrīvojumi (piemēram, vecāka gadagājuma cilvēkiem), taču šie atbrīvojumi nemaina maksājuma obligātumu.</w:t>
      </w:r>
    </w:p>
  </w:footnote>
  <w:footnote w:id="60">
    <w:p w14:paraId="2C921BDF" w14:textId="77777777" w:rsidR="00F27871" w:rsidRPr="00BC0B87" w:rsidRDefault="00F27871" w:rsidP="000266B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Ja ir pienākums maksāt, pamatojoties ne tikai uz attiecīgās ierīces īpašumtiesībām/pieejamību, bet arī pamatojoties uz tās lietošanu, lai izmantotu valsts apraides pakalpojumus (vai nu konkrēti valsts apraides pakalpojumus vai apraides pakalpojumus kopumā), maksājumus ieraksta kā nodokli, ja lietotājs nevar izvēlēties nemaksāt par valsts apraides pakalpojumiem, vienlaikus saglabājot iespēju legāli izmantot privātās apraides pakalpojumus.</w:t>
      </w:r>
    </w:p>
  </w:footnote>
  <w:footnote w:id="61">
    <w:p w14:paraId="7C43F5A7" w14:textId="77777777" w:rsidR="00F27871" w:rsidRPr="00D97111"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arī 26. SGS (Pensijas pabalsta plānu uzskaite un pārskatu sniegšana) 12. punktu (Definīcijas. Plāni, kuri ietver abu plānu iezīmes).</w:t>
      </w:r>
    </w:p>
  </w:footnote>
  <w:footnote w:id="62">
    <w:p w14:paraId="5633F7FC" w14:textId="77777777" w:rsidR="00F27871" w:rsidRPr="00267B4D"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Šīm citām institūcijām jāieraksta apdrošināšanas tehniskās rezerves (krājumi), lai atspoguļotu pensijas saistības, par kurām tās ir atbildīgas. Citādi šādas rezerves šīm institūcijām nepastāvētu.</w:t>
      </w:r>
    </w:p>
  </w:footnote>
  <w:footnote w:id="63">
    <w:p w14:paraId="22BD632D" w14:textId="77777777" w:rsidR="00F27871" w:rsidRPr="0078020D"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dēvētas arī par tirgu regulējošām organizācijām.</w:t>
      </w:r>
    </w:p>
  </w:footnote>
  <w:footnote w:id="64">
    <w:p w14:paraId="56928D03" w14:textId="77777777" w:rsidR="00F27871" w:rsidRPr="0078020D"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Kas attiecas uz citām regulējošām struktūrām (kuras neiesaistās tirgū tieši ar “izlīdzinošo krājumu” starpniecību), piemēram, uz valsts iestādēm enerģētikas, telesakaru, transporta u. c. nozarēs, klasifikācija vispārējā valdības sektorā būs atkarīga no to ietekmes uz darbības regulējuma izstrādi un to pilnvarām. Ja iepriekš minētais nosacījums nav izpildīts, uzmanība būtu jāpievērš šo iestāžu līdzekļu būtībai, kas var būt iegūti galvenokārt no nodokļiem.</w:t>
      </w:r>
    </w:p>
  </w:footnote>
  <w:footnote w:id="65">
    <w:p w14:paraId="4F3899DC" w14:textId="77777777" w:rsidR="00F27871" w:rsidRPr="0078020D"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Tomēr saistībā ar spēkā esošo ES lauksaimniecības politiku produkcijas cenu regulēšana ir kļuvusi par samērā nelielu darbības jomu; šādas darbības novērotas vien attiecībā uz ierobežotu produktu klāstu.</w:t>
      </w:r>
    </w:p>
  </w:footnote>
  <w:footnote w:id="66">
    <w:p w14:paraId="49736ABB" w14:textId="77777777" w:rsidR="00F27871" w:rsidRPr="0078020D"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Lai iegūtu papildu informāciju, skat. </w:t>
      </w:r>
      <w:r>
        <w:rPr>
          <w:rFonts w:ascii="Times New Roman" w:hAnsi="Times New Roman"/>
          <w:i/>
          <w:iCs/>
          <w:sz w:val="20"/>
          <w:szCs w:val="20"/>
        </w:rPr>
        <w:t>Eurostat</w:t>
      </w:r>
      <w:r>
        <w:rPr>
          <w:rFonts w:ascii="Times New Roman" w:hAnsi="Times New Roman"/>
          <w:sz w:val="20"/>
          <w:szCs w:val="20"/>
        </w:rPr>
        <w:t xml:space="preserve"> 2008. gada 20. novembra vadlīnijas: </w:t>
      </w:r>
      <w:r>
        <w:rPr>
          <w:rFonts w:ascii="Times New Roman" w:hAnsi="Times New Roman"/>
          <w:i/>
          <w:iCs/>
          <w:sz w:val="20"/>
          <w:szCs w:val="20"/>
        </w:rPr>
        <w:t>Recording of changes in inventories of Agricultural Market Regulatory Agencies</w:t>
      </w:r>
      <w:r>
        <w:rPr>
          <w:rFonts w:ascii="Times New Roman" w:hAnsi="Times New Roman"/>
          <w:sz w:val="20"/>
          <w:szCs w:val="20"/>
        </w:rPr>
        <w:t xml:space="preserve"> [Lauksaimniecības tirgu regulējošo institūciju krājumu pārmaiņu ierakstīšana].</w:t>
      </w:r>
    </w:p>
  </w:footnote>
  <w:footnote w:id="67">
    <w:p w14:paraId="6BD271A8" w14:textId="77777777" w:rsidR="00F27871" w:rsidRPr="0078020D"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Tās kopumā pielāgo uzraudzīto vienību lielumam.</w:t>
      </w:r>
    </w:p>
  </w:footnote>
  <w:footnote w:id="68">
    <w:p w14:paraId="035F1F30" w14:textId="77777777" w:rsidR="00F27871" w:rsidRPr="0078020D"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Skat. ECB 2014. gada 27. maija preses relīzi, kurā noteiktas banku uzraudzības izmaksas eirozonā 260 mlj. EUR apmērā, un tādējādi visām bankām eirozonā atkarībā no to lieluma ir piemērojama fiksēta maksājuma summa.</w:t>
      </w:r>
    </w:p>
  </w:footnote>
  <w:footnote w:id="69">
    <w:p w14:paraId="733C304D" w14:textId="77777777" w:rsidR="00F27871" w:rsidRPr="00474339"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Direktīva 2014/49/ES par noguldījumu garantiju sistēmām; Direktīva 2014/59/ES, ar ko izveido kredītiestāžu un ieguldījumu brokeru sabiedrību atveseļošanas un noregulējuma režīmu.</w:t>
      </w:r>
    </w:p>
  </w:footnote>
  <w:footnote w:id="70">
    <w:p w14:paraId="6715FF31" w14:textId="77777777" w:rsidR="00F27871" w:rsidRPr="00474339"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ECB ir izdevusi atzinumus par dažiem valsts tiesību aktiem attiecībā uz nacionālajiem noregulējuma fondiem (NNF) un noguldījuma garantijas shēmām (NGS). Šajos atzinumos ir norādīts, ka </w:t>
      </w:r>
      <w:r>
        <w:rPr>
          <w:rFonts w:ascii="Times New Roman" w:hAnsi="Times New Roman"/>
          <w:i/>
          <w:iCs/>
        </w:rPr>
        <w:t>ESCB</w:t>
      </w:r>
      <w:r>
        <w:rPr>
          <w:rFonts w:ascii="Times New Roman" w:hAnsi="Times New Roman"/>
        </w:rPr>
        <w:t xml:space="preserve"> nedrīkst finansēt nacionālos noregulējuma fondus vai noguldītāju garantijas shēmas (izņemot sniegt vienas nakts, īstermiņa vai neatliekamu finansējumu), jo tas varētu būt Līgumā noteiktā “monetārās finansēšanas” aizlieguma pārkāpums. Skat. atzinuma CON/2016/3 3.1. punktu; atzinuma CON/2015/52 2.3.2. punktu; atzinuma CON/2015/40 3.2. punktu; atzinuma CON/2015/17 4.1. punktu; atzinuma CON/2014/86 2.2. punktu; atzinumu CON/2011/103 un atzinumu CON/2012/22. Skat. arī ECB 2014. gada Konverģences ziņojuma 30. lpp.</w:t>
      </w:r>
    </w:p>
  </w:footnote>
  <w:footnote w:id="71">
    <w:p w14:paraId="51EBF981" w14:textId="77777777" w:rsidR="00F27871" w:rsidRPr="00474339"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Saskaņā ar vispārējo mērķi, kas noteikts kā konkrētu kategoriju saistību procentuālā daļa, fonds ar zināmu elastību var noteikt, kādā veidā sasniegt šo mērķi pārejas posmā, vai pat pielāgot to saskaņā ar uzņēmējdarbības aktivitātes cikliem. Tomēr tas jāskata kā laiksaisīta arbitrāža starp regulārām iemaksām un ārkārtas resursiem.</w:t>
      </w:r>
    </w:p>
  </w:footnote>
  <w:footnote w:id="72">
    <w:p w14:paraId="64CFA99F" w14:textId="77777777" w:rsidR="00F27871" w:rsidRPr="00474339"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Skat. EKS 2010 20.06. un 20.07. punktu par valdības funkcijām un tās unikālo spēju iekasēt obligātos maksājumus.</w:t>
      </w:r>
    </w:p>
  </w:footnote>
  <w:footnote w:id="73">
    <w:p w14:paraId="0DAB17D9" w14:textId="7C03F130" w:rsidR="00F27871" w:rsidRPr="00474339" w:rsidRDefault="00F27871" w:rsidP="00994F93">
      <w:pPr>
        <w:pStyle w:val="FootnoteText"/>
        <w:jc w:val="both"/>
      </w:pPr>
      <w:r>
        <w:rPr>
          <w:rStyle w:val="FootnoteReference"/>
          <w:rFonts w:ascii="Times New Roman" w:hAnsi="Times New Roman" w:cs="Times New Roman"/>
        </w:rPr>
        <w:footnoteRef/>
      </w:r>
      <w:r w:rsidR="002E358E">
        <w:rPr>
          <w:rFonts w:ascii="Times New Roman" w:hAnsi="Times New Roman"/>
        </w:rPr>
        <w:t xml:space="preserve"> </w:t>
      </w:r>
      <w:r>
        <w:rPr>
          <w:rFonts w:ascii="Times New Roman" w:hAnsi="Times New Roman"/>
        </w:rPr>
        <w:t>Noregulējuma fonds nesedz maksātnespējas risku, taču, kā noteikusi Eiropas Komisija, “ar noregulējuma fondu būtu: 1) jānodrošina banku pamatdarbību nepārtrauktība, 2) jāaizsargā noguldītāji, klientu aktīvi un valsts līdzekļi, 3) jāmazina finanšu stabilitātes riski, 4) jāizvairās no vērtības nevajadzīgas iznīcināšanas.”</w:t>
      </w:r>
    </w:p>
  </w:footnote>
  <w:footnote w:id="74">
    <w:p w14:paraId="77BEA690" w14:textId="77777777" w:rsidR="00F27871" w:rsidRPr="0007140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Šis ir cita veida “starpnieks”, kuru var izveidot bez juridiska pamata saistībā ar noteiktu finanšu instrumentu (piemēram, īstermiņa vekseļu vai parādzīmju) emisiju. Starpnieka gadījumā netiek veikta atdalīšana no “mātes vienības”.</w:t>
      </w:r>
    </w:p>
  </w:footnote>
  <w:footnote w:id="75">
    <w:p w14:paraId="6808CE22" w14:textId="77777777" w:rsidR="00F27871" w:rsidRPr="00071400"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Proti, nav darbinieku, nav īpašumtiesību uz nefinanšu aktīviem, galvenokārt pārvalda citas vienības, vienmēr ekskluzīvi saistīta ar citu sabiedrību, bieži vien kā meitasvienība. EKS 2010 2.98. punkta c) apakšpunktā noteikts arī tas, ka vairums ĪNDS aktīvu vai saistību nebūs iesaistītas darījumos atklātos tirgos.</w:t>
      </w:r>
    </w:p>
  </w:footnote>
  <w:footnote w:id="76">
    <w:p w14:paraId="34D8D6E1" w14:textId="77777777" w:rsidR="00F27871" w:rsidRPr="005E639A"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To var iepriekš pieņemt, ja ĪNDS pārvaldību pilnīgi veic valdības subjektu dalībnieki vai attiecībā uz visiem lēmumiem tiek piemērots iepriekšējs valdības apstiprinājums. Taču ĪNDS var nebūt pietiekami neatkarīga no valdības pat tad, ja tās valdē ietilpst vienīgi “neatkarīgi” valdības sektoram nepiederoši pārstāvji, bet tās statuss un/vai ar valdību noslēgtais līgums būtiski ierobežo tās lēmējtiesības.</w:t>
      </w:r>
    </w:p>
  </w:footnote>
  <w:footnote w:id="77">
    <w:p w14:paraId="7DB8381F" w14:textId="77777777" w:rsidR="00F27871" w:rsidRPr="005E639A"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ECB uztur finanšu instrumentsabiedrību sarakstu saskaņā ar FIS tiesisko regulējumu, kas noteikts Eiropas Centrālās bankas 2013.gada 18. oktobra Regulā (ES) Nr. 1075/2013 par vērtspapīrošanas darījumos iesaistīto finanšu instrumentsabiedrību aktīvu un pasīvu statistiku (pārstrādāta versija) (ECB/2013/40). Šo sarakstu neizmanto nacionālo kontu sektoru klasifikācijā.</w:t>
      </w:r>
    </w:p>
  </w:footnote>
  <w:footnote w:id="78">
    <w:p w14:paraId="1F4DFAEB" w14:textId="77777777" w:rsidR="00F27871" w:rsidRPr="005E639A"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Jo īpaši 5.5.2.8. apakšiedaļa “Vērtspapirizācijas struktūrvienības klasifikācija”.</w:t>
      </w:r>
    </w:p>
  </w:footnote>
  <w:footnote w:id="79">
    <w:p w14:paraId="0D9FD461" w14:textId="77777777" w:rsidR="00F27871" w:rsidRPr="005E639A"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Kā norādīts EKS 2010 20.36. punktā, praksē terminu “publiskas kontrolakciju sabiedrības” attiecina arī uz EKS 2010 noteiktajiem “centrālajiem birojiem”. Tomēr ar sektora klasifikāciju saistītu apsvērumu dēļ nacionālajos kontos ir svarīgi noteikt skaidru dalījumu starp šo abu veidu subjektiem.</w:t>
      </w:r>
    </w:p>
  </w:footnote>
  <w:footnote w:id="80">
    <w:p w14:paraId="47A339E5" w14:textId="77777777" w:rsidR="00F27871" w:rsidRPr="005E639A"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Dažās ES valstīs kopumā var būt liels skaits tādu subjektu, kuri tiek dēvēti par “kontrolakciju sabiedrībām”, bet daudzos gadījumos tie var būt “mākslīgi” veidojumi. Šķiet, ka vienīgais praktiskais risinājums ir “mehāniskā pieeja” (automātiski piemērota formula). To nevar piemērot vienībām, ko kontrolē valdība, jo to sektoru klasifikācijai ir liela nozīme un katrs gadījums vienmēr ir jāanalizē atsevišķi.</w:t>
      </w:r>
    </w:p>
  </w:footnote>
  <w:footnote w:id="81">
    <w:p w14:paraId="5BF0E9EB" w14:textId="77777777" w:rsidR="00F27871" w:rsidRPr="005E639A"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Šajā saistībā ļoti neliels darbinieku skaits (jo īpaši gadījumā, ja pastāv grupa ar daudzām meitasvienībām) liecina par to, ka vienība nedarbojas kā centrālais birojs, bet gan kā kontrolakciju sabiedrība.</w:t>
      </w:r>
    </w:p>
  </w:footnote>
  <w:footnote w:id="82">
    <w:p w14:paraId="444AD382" w14:textId="77777777" w:rsidR="00F27871" w:rsidRPr="005E639A"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Līdz ar to subjekts, kuram ir visvairāk ienākumu dividenžu veidā ar ļoti nelielu vadības maksu un/vai darījumu pakalpojumu pārdošanas ieņēmumiem vai vispār bez tiem un kurš atmaksā valdības īpašniekam visas dividendes vai lielāko to daļu, saskaņā ar EKS 2010 netiek uzskatīts par centrālo biroju.</w:t>
      </w:r>
    </w:p>
  </w:footnote>
  <w:footnote w:id="83">
    <w:p w14:paraId="05A0F4BA" w14:textId="77777777" w:rsidR="00F27871" w:rsidRPr="005E639A"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EKS 2010 2.14. punktā noteikts, ka “kontrolakciju sabiedrības tiek raksturotas ISIC 4. red., K sadaļā, 6420. klasē (</w:t>
      </w:r>
      <w:r>
        <w:rPr>
          <w:rFonts w:ascii="Times New Roman" w:hAnsi="Times New Roman"/>
          <w:i/>
          <w:iCs/>
          <w:sz w:val="20"/>
          <w:szCs w:val="20"/>
        </w:rPr>
        <w:t>NACE</w:t>
      </w:r>
      <w:r>
        <w:rPr>
          <w:rFonts w:ascii="Times New Roman" w:hAnsi="Times New Roman"/>
          <w:sz w:val="20"/>
          <w:szCs w:val="20"/>
        </w:rPr>
        <w:t xml:space="preserve"> 2. red., K 64.20) šādi: Šajā klasē ietilpst kontrolakciju sabiedrību darbība, t. i., tādu struktūrvienību darbība, kuras tur meitasuzņēmumu grupas aktīvus (kurām pieder pašu kapitāla daļa, kas nodrošina kontroli) un kuru pamatdarbība ir šīs uzņēmumu grupas turēšana īpašumā. Šajā klasē klasificētās kontrolakciju sabiedrības nesniedz nekādus citus pakalpojumus uzņēmumiem, kuros tām pieder pašu kapitāls, t. i., tās nepārvalda vai nevada citas struktūrvienības.”</w:t>
      </w:r>
    </w:p>
  </w:footnote>
  <w:footnote w:id="84">
    <w:p w14:paraId="0AD93686" w14:textId="77777777" w:rsidR="00F27871" w:rsidRPr="005E639A"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Šīs tirgu regulējošās struktūras nepiešķir subsīdijas vai dotācijas ražotājiem un nedarbojas tirgos, lai izlīdzinātu tirgus svārstības, iegādājoties/pārdodot preces pretēji cikliskajām tendencēm (tās ir iekļautas EKS 2010 20.53.–20.54. punktā un 1.4. nodaļā “Tirgu regulējošas institūcijas lauksaimniecības nozarē”.</w:t>
      </w:r>
    </w:p>
  </w:footnote>
  <w:footnote w:id="85">
    <w:p w14:paraId="4A0D79F0" w14:textId="77777777" w:rsidR="00F27871" w:rsidRPr="005E639A"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Tirgu regulējošā vienība var arī pārvaldīt fondu (piemēram, garantiju fondu), kurā maksājumus ieraksta kā nodokļus, ja iemaksas fondā ir obligātas.</w:t>
      </w:r>
    </w:p>
  </w:footnote>
  <w:footnote w:id="86">
    <w:p w14:paraId="020BBC11" w14:textId="77777777" w:rsidR="00F27871" w:rsidRPr="00191602"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EKS 2010 paskaidrots, ka “mākslīgie meitasuzņēmumi” pilnīgi pieder mātessabiedrībai un sniedz tai vai citām tajā pašā grupā ietilpstošām sabiedrībām noteiktus pakalpojumus. Šādi subjekti parasti neatbilst institucionālas vienības definīcijai. Tie gandrīz pilnīgi atbilst subjektiem, kas sniedz palīgpakalpojumus, vienīgi atšķiras to īstenoto darbības veidu loks.</w:t>
      </w:r>
    </w:p>
  </w:footnote>
  <w:footnote w:id="87">
    <w:p w14:paraId="173A7D6B" w14:textId="77777777" w:rsidR="00F27871" w:rsidRPr="00191602"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Savukārt, ja subjektam acīmredzami nav lēmumu pieņemšanas pilnvaru pat attiecībā uz savām ikdienas darbībām un ja tas izskatās kā sava veida grāmatvedības rīks vai darbojas kā “autopilots”, šādu subjektu nacionālajos kontos neuzskata par institucionālo vienību un automātiski iekļauj tā kontrolējošajā vienībā.</w:t>
      </w:r>
    </w:p>
  </w:footnote>
  <w:footnote w:id="88">
    <w:p w14:paraId="39EA2FEA" w14:textId="77777777" w:rsidR="00F27871" w:rsidRPr="00191602"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Termins “mātesuzņēmums” ir jāsaprot plašā nozīmē kā kontrolējošā vienība. Valdības kontrolētie subjekti, kam ir piesaistošās finanšu iestādes pazīmes, var arī nebūt tiešā valdības īpašumā vai valdības izveidoti, lai tiktu klasificēti vispārējās valdības sektorā (S.13).</w:t>
      </w:r>
    </w:p>
  </w:footnote>
  <w:footnote w:id="89">
    <w:p w14:paraId="683CFDC5" w14:textId="77777777" w:rsidR="00F27871" w:rsidRPr="00191602"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Pat ja tiem būtu licence bankas darbības veikšanai un tie būtu iekļauti ECB turētajā MFI sarakstā.</w:t>
      </w:r>
    </w:p>
  </w:footnote>
  <w:footnote w:id="90">
    <w:p w14:paraId="06E05FA3" w14:textId="77777777" w:rsidR="00F27871" w:rsidRPr="00191602"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Piesaistošo finanšu iestāžu un naudas aizdevēju apakšsektorā (S.127) tad iekļauj visas piesaistošās finanšu iestādes, ko nekontrolē valdība (vai ko tieši nekontrolē valdība). Var būt piesaistošās finanšu iestādes, kuru mātesuzņēmums ir publiska sabiedrība. Šādas piesaistošās finanšu iestādes parasti klasificē S.127 apakšsektorā, izņemot, ja šī vienība veic kādus uzdevumus sabiedrības interesēs un faktiski darbojas valdības vārdā, nevis sava publiskā mātesuzņēmuma labā. Pēdējā minētajā gadījumā tā būtu jāklasificē valdības sektorā.</w:t>
      </w:r>
    </w:p>
  </w:footnote>
  <w:footnote w:id="91">
    <w:p w14:paraId="68C1A75C" w14:textId="77777777" w:rsidR="00F27871" w:rsidRPr="00975990"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Šajā saistībā ir, piemēram, būtiska atšķirība starp bankas filiāli, kas ir specializējusies kreditēšanas (uzņēmumu, nekustamā īpašuma) jomā un kurai ir liela autonomija veikt šo darbību (piemēram, mātesuzņēmums nosaka tikai dažus rentabilitātes mērķus/standartus), un vienību, kurai bankas jomā strādājošais mātesuzņēmums ir noteicis uzdevumu piešķirt aizdevumus savā vārdā tikai ļoti konkrētai pārstāvju kategorijai (pēc ienākuma līmeņa, firmas lieluma, produktu veidiem, parametriem utt.), piemērojot konkrētu peļņas normu, utt.</w:t>
      </w:r>
    </w:p>
  </w:footnote>
  <w:footnote w:id="92">
    <w:p w14:paraId="683E68A2" w14:textId="77777777" w:rsidR="00F27871" w:rsidRPr="00975990"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Tomēr var būt gadījumi, kad valdība ir uzticējusi vienībai iejaukties dažādās valsts politikas jomās, piemēram, sniegt atbalstu noteiktiem uzņēmumiem (jo īpaši MVU) un vienlaikus arī mājsaimniecībām saistībā ar sociālajiem mājokļiem. To veic atsevišķi vienības departamenti un dažos gadījumos tam paredzētas filiāles. Galvenais, kas tomēr ir jānovērtē attiecībā uz visu šo veidu darbībām (vai to vairumu), vai vienībai ir ierobežota rīcības brīvība, kā skaidrots iepriekš.</w:t>
      </w:r>
    </w:p>
  </w:footnote>
  <w:footnote w:id="93">
    <w:p w14:paraId="3D41047D" w14:textId="77777777" w:rsidR="00F27871" w:rsidRPr="00C00D28"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Varētu būt gadījumi, kad valdība sākotnēji cer uz peļņas normu, kas ir tuva tirgus slieksnim (piemēram, vismaz ilgtermiņa aizņēmuma izmaksām). Taču gadījumā, ja vienība nespētu to nodrošināt, maz ticams, ka valdība varētu apstiprināt vispārējās politikas izmaiņas vai pat atkāpties no tās, kā to bieži vien darītu privātie ieguldītāji.</w:t>
      </w:r>
    </w:p>
  </w:footnote>
  <w:footnote w:id="94">
    <w:p w14:paraId="02560FFF" w14:textId="77777777" w:rsidR="00F27871" w:rsidRPr="00C00D28"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Varētu jautāt, kāpēc šādi privāti ieguldītāji (kas parasti ir orientēti uz peļņu) varētu iesaistīties attiecībās ar subjektu, kam ir šādas pazīmes. Viens no iemesliem varētu būt, ka šādā veidā tie varētu iesaistīties kādā citā rentablā darbībā ar tiem, kas gūst labumu no vienības intervences pasākumiem. Cits iemesls varētu būt, ka šie ieguldītāji ir izveidojuši partnerattiecības ar valdību, kas globāli tiek augsti vērtēts attiecībā uz visu saistīto darbību galīgo rentabilitāti, nevis tikai vienības līmenī.</w:t>
      </w:r>
    </w:p>
  </w:footnote>
  <w:footnote w:id="95">
    <w:p w14:paraId="3AB06248" w14:textId="77777777" w:rsidR="00F27871" w:rsidRPr="00C00D28"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Skat. sīkāku informāciju </w:t>
      </w:r>
      <w:r>
        <w:rPr>
          <w:rFonts w:ascii="Times New Roman" w:hAnsi="Times New Roman"/>
          <w:i/>
          <w:iCs/>
          <w:sz w:val="20"/>
          <w:szCs w:val="20"/>
        </w:rPr>
        <w:t>Eurostat</w:t>
      </w:r>
      <w:r>
        <w:rPr>
          <w:rFonts w:ascii="Times New Roman" w:hAnsi="Times New Roman"/>
          <w:sz w:val="20"/>
          <w:szCs w:val="20"/>
        </w:rPr>
        <w:t xml:space="preserve"> vadlīnijās </w:t>
      </w:r>
      <w:r>
        <w:rPr>
          <w:rFonts w:ascii="Times New Roman" w:hAnsi="Times New Roman"/>
          <w:i/>
          <w:iCs/>
          <w:sz w:val="20"/>
          <w:szCs w:val="20"/>
        </w:rPr>
        <w:t>Classification of Central Stockholding Entities (CSEs) in ESA 2010</w:t>
      </w:r>
      <w:r>
        <w:rPr>
          <w:rFonts w:ascii="Times New Roman" w:hAnsi="Times New Roman"/>
          <w:sz w:val="20"/>
          <w:szCs w:val="20"/>
        </w:rPr>
        <w:t xml:space="preserve"> [Centrālo krājumu uzturēšanas struktūru (CKUS) klasifikācija EKS 2010], kas publicētas 2014. gada augustā.</w:t>
      </w:r>
    </w:p>
  </w:footnote>
  <w:footnote w:id="96">
    <w:p w14:paraId="1BB74A4A" w14:textId="77777777" w:rsidR="00F27871" w:rsidRPr="00C00D28"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Padomes Direktīva 2009/119/EK.</w:t>
      </w:r>
    </w:p>
  </w:footnote>
  <w:footnote w:id="97">
    <w:p w14:paraId="61A9B31A" w14:textId="77777777" w:rsidR="00F27871" w:rsidRPr="00C00D28"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“Uzņēmējs” ir jebkura persona, struktūra vai subjekts, kuras pienākums ir turēt drošības rezerves šajā direktīvā noteiktajām vajadzībām. Drošības rezervju turēšanas pienākumu pilnībā vai daļēji var deleģēt CKUS vai citiem uzņēmējiem.</w:t>
      </w:r>
    </w:p>
  </w:footnote>
  <w:footnote w:id="98">
    <w:p w14:paraId="4648CB74" w14:textId="77777777" w:rsidR="00F27871" w:rsidRPr="00C00D28"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Noteikta līmeņa naftas rezervju noteikšana ir galvenokārt valsts politikas jautājums (un tādējādi valdība nosaka maksājumu līmeni šīs suverēnās funkcijas izpildei) un nevis kaut kas tāds, kas uzņēmējiem būtu nepieciešams komerciālu apsvērumu dēļ. Turklāt Direktīvā faktiski ir liegts CKUS meklēt peļņas gūšanas iespējas, tādējādi būtu ļoti rūpīgi jāapsver, vai produkciju var klasificēt kā tirgus produkciju.</w:t>
      </w:r>
    </w:p>
  </w:footnote>
  <w:footnote w:id="99">
    <w:p w14:paraId="71B20744" w14:textId="77777777" w:rsidR="00F27871" w:rsidRPr="00347844"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Pamatojoties uz kontroles daļu, kopuzņēmumu parasti var klasificēt privātajā sektorā, publiskajā sektorā vai abos sektoros. Ja tomēr publiskā sabiedrība vairs nav tirgus ražotājs, kopuzņēmums klasificējams valdības sektorā.</w:t>
      </w:r>
    </w:p>
  </w:footnote>
  <w:footnote w:id="100">
    <w:p w14:paraId="55CDABA5" w14:textId="77777777" w:rsidR="00F27871" w:rsidRPr="00347844"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Tiek uzskatīts, ka kopuzņēmumi nevar nodarboties ar finanšu starpniecību vai finanšu palīgpakalpojumu sniegšanu (vai ka šāda iespēja ir hipotētiska), jo šādi subjekti pēc būtības ir jāklasificē finanšu iestāžu sektorā (S.12).</w:t>
      </w:r>
    </w:p>
  </w:footnote>
  <w:footnote w:id="101">
    <w:p w14:paraId="4E3EC12B" w14:textId="77777777" w:rsidR="00F27871" w:rsidRPr="0034784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Šajā divpusējā atbalstā piedalījās arī dažas citas ES dalībvalstis.</w:t>
      </w:r>
    </w:p>
  </w:footnote>
  <w:footnote w:id="102">
    <w:p w14:paraId="58855B7F" w14:textId="77777777" w:rsidR="00F27871" w:rsidRPr="00347844"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EFSI ir arī piešķīris atbalstu, izsniedzot savas obligācijas vai parādzīmes bez līdzekļu piesaistes tirgos. Dažos gadījumos šīs “bezskaidras naudas” operācijas ir pagaidu operācijas, bet citos gadījumos EFSI parāda instrumenti atradīsies pie turētāja līdz parāda atmaksāšanas termiņa beigām, un tos var izmantot kā nodrošinājumu pārdošanas ar atpirkšanu darījumos.</w:t>
      </w:r>
    </w:p>
  </w:footnote>
  <w:footnote w:id="103">
    <w:p w14:paraId="0F13FEEA" w14:textId="77777777" w:rsidR="00F27871" w:rsidRPr="0034784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Šādas piesardzības līnijas tiek traktētas kā iespējamie aktīvi līdz brīdim, kad saņēmēja valsts tos faktiski iztērē.</w:t>
      </w:r>
    </w:p>
  </w:footnote>
  <w:footnote w:id="104">
    <w:p w14:paraId="0D272071" w14:textId="77777777" w:rsidR="00F27871" w:rsidRPr="0034784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Sīkāka informācija par šīm struktūrām, jo īpaši visi būtiskie dokumenti, ir pieejami tīmekļa vietnēs https://www.esm.europa.eu/efsf-overview un http://www.esm.europa.eu.</w:t>
      </w:r>
    </w:p>
  </w:footnote>
  <w:footnote w:id="105">
    <w:p w14:paraId="311442D4" w14:textId="77777777" w:rsidR="00F27871" w:rsidRPr="0034784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Skat. arī attiecīgos lēmumus </w:t>
      </w:r>
      <w:r>
        <w:rPr>
          <w:rFonts w:ascii="Times New Roman" w:hAnsi="Times New Roman"/>
          <w:i/>
          <w:iCs/>
          <w:sz w:val="20"/>
          <w:szCs w:val="20"/>
        </w:rPr>
        <w:t>Eurostat</w:t>
      </w:r>
      <w:r>
        <w:rPr>
          <w:rFonts w:ascii="Times New Roman" w:hAnsi="Times New Roman"/>
          <w:sz w:val="20"/>
          <w:szCs w:val="20"/>
        </w:rPr>
        <w:t xml:space="preserve"> tīmekļa vietnē: http://ec.europa.eu/eurostat/web/government-finance-statistics/methodology/decisions-for-gfs.</w:t>
      </w:r>
    </w:p>
  </w:footnote>
  <w:footnote w:id="106">
    <w:p w14:paraId="71548632" w14:textId="77777777" w:rsidR="00F27871" w:rsidRPr="009B05C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Ar terminu “Eirogrupa” apzīmē eirozonas finanšu ministru neformālās sanāksmes.</w:t>
      </w:r>
    </w:p>
  </w:footnote>
  <w:footnote w:id="107">
    <w:p w14:paraId="52AD1B6F" w14:textId="77777777" w:rsidR="00F27871" w:rsidRPr="009B05C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Saistībā ar vērtējumu katras ES dalībvalsts garantija sākotnēji tika palielināta līdz 120 % un skala koriģēta, lai ņemtu vērā to valstu daļu, kuras nespēj sniegt garantijas (jo īpaši, ja tās saņem divpusējus aizdevumus vai EFSI atbalstu).</w:t>
      </w:r>
    </w:p>
  </w:footnote>
  <w:footnote w:id="108">
    <w:p w14:paraId="5602411F" w14:textId="77777777" w:rsidR="00F27871" w:rsidRPr="009B05C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“Skaidras naudas rezerve”, kura atbilst avansa maksājumam par pakalpojumu un drošības rezerves kapitalizācijai, kas pievienota EFSI aizņemšanās izmaksām.</w:t>
      </w:r>
    </w:p>
  </w:footnote>
  <w:footnote w:id="109">
    <w:p w14:paraId="2F892D43" w14:textId="77777777" w:rsidR="00F27871" w:rsidRPr="009B05C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Iespējamais obligāciju pirkums, ko veic EFSI, arī tiek pārvirzīts atbilstīgi tirgos samaksātajai summai.</w:t>
      </w:r>
    </w:p>
  </w:footnote>
  <w:footnote w:id="110">
    <w:p w14:paraId="3C9A2581" w14:textId="77777777" w:rsidR="00F27871" w:rsidRPr="009B05C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Papildus obligāciju pirkšanai primārajos un sekundārajos tirgos, piesardzības līnijām un banku rekapitalizācijai EFSI, izmantojot mehānismu, spēja nodrošināt kredītkvalitātes uzlabojumu eirozonas valdību izsniegtajām obligācijām (sertifikāti, kas sedz pirmos zaudējumus) un palielināt to finansēšanas līdzekļus, atverot ieguldītājiem kolektīvo ieguldījumu fondu.</w:t>
      </w:r>
    </w:p>
  </w:footnote>
  <w:footnote w:id="111">
    <w:p w14:paraId="009D8841" w14:textId="6C06B5B8" w:rsidR="00F27871" w:rsidRPr="009B05C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Ciktāl runa ir par ietekmi uz dalībvalstu garantijas devēju neto aizdevumu/aizņēmumu, tā galvenokārt saistīta ar procentu starpības pastāvēšanu. Ja tomēr garantijas devēji vienojas par parāda </w:t>
      </w:r>
      <w:r w:rsidR="005B2959">
        <w:rPr>
          <w:rFonts w:ascii="Times New Roman" w:hAnsi="Times New Roman"/>
        </w:rPr>
        <w:t>anulēšanu</w:t>
      </w:r>
      <w:r>
        <w:rPr>
          <w:rFonts w:ascii="Times New Roman" w:hAnsi="Times New Roman"/>
        </w:rPr>
        <w:t xml:space="preserve"> aizdevuma ņēmējai valstij, kapitāla pārvedums būtu jāieraksta kā šo ES dalībvalstu izdevumi.</w:t>
      </w:r>
    </w:p>
  </w:footnote>
  <w:footnote w:id="112">
    <w:p w14:paraId="3680D68B" w14:textId="77777777" w:rsidR="00F27871" w:rsidRPr="009B05C0"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Salīdzinājumam ESM parakstītais kapitāls ir 700 miljardi (no kuriem 80 tika samaksāti piecos maksājumos laika posmā no 2012. gada līdz 2014. gadam) un 500 miljardus liela aizdošanas spēja, savukārt EFSF kapitāls ir vien 30 miljoni, bet aizdošanas spēja ir 440 miljardi.</w:t>
      </w:r>
    </w:p>
  </w:footnote>
  <w:footnote w:id="113">
    <w:p w14:paraId="07B35D6E" w14:textId="77777777" w:rsidR="00F27871" w:rsidRPr="009B05C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Līdzīga problēma rodas saistībā ar SVF sektora iedalījumu (un iespējamo saistīto </w:t>
      </w:r>
      <w:r>
        <w:rPr>
          <w:rFonts w:ascii="Times New Roman" w:hAnsi="Times New Roman"/>
          <w:i/>
          <w:iCs/>
        </w:rPr>
        <w:t>FISIM</w:t>
      </w:r>
      <w:r>
        <w:rPr>
          <w:rFonts w:ascii="Times New Roman" w:hAnsi="Times New Roman"/>
        </w:rPr>
        <w:t>).</w:t>
      </w:r>
    </w:p>
  </w:footnote>
  <w:footnote w:id="114">
    <w:p w14:paraId="0713F61E" w14:textId="77777777" w:rsidR="00F27871" w:rsidRPr="001F58B9"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8. daļu “Vispārējās valdības parāda apmēra noteikšana”.</w:t>
      </w:r>
    </w:p>
  </w:footnote>
  <w:footnote w:id="115">
    <w:p w14:paraId="23D5965F" w14:textId="77777777" w:rsidR="00F27871" w:rsidRPr="00A1056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EKS 2010 atsauces par šo ieņēmumu ierakstīšanas laiku ir 4.26.–4.27., 4.82., 4.94.–4.95., 4.98., 4.100.–4.101., 4.150., 20.171.–20.175. punkts. Pēc analoģijas EKS 2010 4.95. punkts attiecas arī uz D.613 gadījumu.</w:t>
      </w:r>
    </w:p>
  </w:footnote>
  <w:footnote w:id="116">
    <w:p w14:paraId="53F67A33" w14:textId="77777777" w:rsidR="00F27871" w:rsidRPr="00A10564"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Jo īpaši svarīgi, lai koeficienti (vai kapitāla pārveduma summa) nekavējoties atspoguļotu uzņēmējdarbības aktivitātes ciklus vai noteiktus ārkārtas notikumus, kas var būtiski labvēlīgi vai nelabvēlīgi ietekmēt faktisko nodokļu un sociālo iemaksu iekasēšanu, jo īpaši gadījumā, ja tiek izmantoti samērā sarežģīti modeļi.</w:t>
      </w:r>
    </w:p>
  </w:footnote>
  <w:footnote w:id="117">
    <w:p w14:paraId="31BADF81" w14:textId="77777777" w:rsidR="00F27871" w:rsidRPr="00A1056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Attiecībā uz darba devēju faktiskajām sociālajām iemaksām (kuras maksā mājsaimniecību vārdā saskaņā ar EKS 2010 1.74. punktu), metodoloģiski pamatotāk ir izmantot D.995, jo tādējādi novērš S.11, S.12 un S14 savstarpējās neatbilstības. Tomēr arī ticamu datu avotu pieejamība būs izšķirošs praktisks apsvērums. Tāpēc D.611 ierakstīšanai joprojām varētu būt piemērota laikā precizētās naudas pieeja.</w:t>
      </w:r>
    </w:p>
  </w:footnote>
  <w:footnote w:id="118">
    <w:p w14:paraId="691D1DB2" w14:textId="77777777" w:rsidR="00F27871" w:rsidRPr="00A10564"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Galvenokārt tas attiecas uz ienākuma nodokļiem. Bet var būt arī citi nodokļu atmaksas veidi. Piemēram, par precēm/pakalpojumiem pienākas maksāt PVN, taču sabiedrības to var atprasīt caur PVN atmaksu. Arī šajā gadījumā summas aprēķina ar nodokļu deklarācijas starpniecību.</w:t>
      </w:r>
    </w:p>
  </w:footnote>
  <w:footnote w:id="119">
    <w:p w14:paraId="1D091A98" w14:textId="77777777" w:rsidR="00F27871" w:rsidRPr="00343A2F"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Tā kā kopumā nodokļu amnestijai varētu būt kādas savdabīgas pazīmes, to traktējumu vajadzētu sīkāk apspriest ar </w:t>
      </w:r>
      <w:r>
        <w:rPr>
          <w:rFonts w:ascii="Times New Roman" w:hAnsi="Times New Roman"/>
          <w:i/>
          <w:iCs/>
          <w:sz w:val="20"/>
          <w:szCs w:val="20"/>
        </w:rPr>
        <w:t>Eurostat</w:t>
      </w:r>
      <w:r>
        <w:rPr>
          <w:rFonts w:ascii="Times New Roman" w:hAnsi="Times New Roman"/>
          <w:sz w:val="20"/>
          <w:szCs w:val="20"/>
        </w:rPr>
        <w:t xml:space="preserve"> katrā atsevišķā gadījumā.</w:t>
      </w:r>
    </w:p>
  </w:footnote>
  <w:footnote w:id="120">
    <w:p w14:paraId="014E0666" w14:textId="77777777" w:rsidR="00F27871" w:rsidRPr="00343A2F"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Šis uzskaitījums nav pilnīgs. Dažos gadījumos var būt noderīgas citas izdevumu kategorijas.</w:t>
      </w:r>
    </w:p>
  </w:footnote>
  <w:footnote w:id="121">
    <w:p w14:paraId="29582DFB" w14:textId="77777777" w:rsidR="00F27871" w:rsidRPr="00596A8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Akciju iegādes iespēju līgumus parasti var ierakstīt visā laika posmā no piešķiršanas datuma līdz izmantošanas datumam (no kura šādu līgumu var piemērot).</w:t>
      </w:r>
    </w:p>
  </w:footnote>
  <w:footnote w:id="122">
    <w:p w14:paraId="36E8AF22" w14:textId="77777777" w:rsidR="00F27871" w:rsidRPr="00F2385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Šo principu nepiemēro attiecībā uz valdības (</w:t>
      </w:r>
      <w:r>
        <w:rPr>
          <w:rFonts w:ascii="Times New Roman" w:hAnsi="Times New Roman"/>
          <w:i/>
          <w:iCs/>
        </w:rPr>
        <w:t>EDP</w:t>
      </w:r>
      <w:r>
        <w:rPr>
          <w:rFonts w:ascii="Times New Roman" w:hAnsi="Times New Roman"/>
        </w:rPr>
        <w:t>) parāda novērtēšanu pēc nominālvērtības.</w:t>
      </w:r>
    </w:p>
  </w:footnote>
  <w:footnote w:id="123">
    <w:p w14:paraId="17936C21" w14:textId="77777777" w:rsidR="00F27871" w:rsidRPr="00F2385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Jāņem vērā, ka instrumentiem ar regulāriem (katru gadu vai pusgadu) kupona maksājumiem atšķirība starp abiem paņēmieniem ir salīdzinoši neliela, tāpēc praksē var izmantot vienkāršo procentu metodi. Tas neattiecas uz augsta diskonta (tostarp bezkupona obligāciju) instrumentiem, kas izdoti ar ilgu atmaksāšanas termiņu.</w:t>
      </w:r>
    </w:p>
  </w:footnote>
  <w:footnote w:id="124">
    <w:p w14:paraId="0DA7F5C6" w14:textId="77777777" w:rsidR="00F27871" w:rsidRPr="00A070B9"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EKS 2010 5.243. punktā norādīts, ka konsekvences nolūkā ar vērtspapīru aizdevumu un zelta aizdevumu saistītie procenti ir jāieraksta citās debitoru/kreditoru saistībās.</w:t>
      </w:r>
    </w:p>
  </w:footnote>
  <w:footnote w:id="125">
    <w:p w14:paraId="7F8C60DA" w14:textId="77777777" w:rsidR="00F27871" w:rsidRPr="00A070B9"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Šīs obligācijas (dēvētas arī par “savstarpēji aizvietojamām” jeb “lineārām” obligācijām) ir plaši izplatīta prakse centrālās valdības obligāciju gadījumā. Visiem laidieniem ir viena un tā pati nominālā procentu likme, kupona maksājuma datums un galīgais atmaksāšanas termiņš. Katru laidienu emitē par īpašu cenu atbilstoši noteicošajiem tirgus apstākļiem. Ciktāl tas skar uzkrātos procentus (izdevumus), katrs laidiens ir jāidentificē atsevišķi.</w:t>
      </w:r>
    </w:p>
  </w:footnote>
  <w:footnote w:id="126">
    <w:p w14:paraId="476C86AD" w14:textId="77777777" w:rsidR="00F27871" w:rsidRPr="00C74800"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Praksē uzkrāto kuponu nav iespējams sadalīt pa visu instrumenta darbības laiku, bet ierakstīt emisijas gadā, ja diskonts ir ļoti mazs (mazāks par 0,5 %) un atlikušais atmaksāšanas termiņš ir samērā īss (ne ilgāks par vienu gadu).</w:t>
      </w:r>
    </w:p>
  </w:footnote>
  <w:footnote w:id="127">
    <w:p w14:paraId="297781E0" w14:textId="77777777" w:rsidR="00F27871" w:rsidRPr="00C7480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Praksē uzkrāto kuponu nav iespējams sadalīt pa visu instrumenta darbības laiku, bet ierakstīt emisijas gadā, ja diskonts ir ļoti mazs (mazāks par 0,5 %) un atlikušais atmaksāšanas termiņš ir samērā īss (ne ilgāks par vienu gadu).</w:t>
      </w:r>
    </w:p>
  </w:footnote>
  <w:footnote w:id="128">
    <w:p w14:paraId="68BE3ED9" w14:textId="77777777" w:rsidR="00F27871" w:rsidRPr="00C74800" w:rsidRDefault="00F27871" w:rsidP="000D2B76">
      <w:pPr>
        <w:pStyle w:val="FootnoteText"/>
        <w:jc w:val="both"/>
      </w:pPr>
      <w:r>
        <w:rPr>
          <w:rStyle w:val="FootnoteReference"/>
          <w:rFonts w:ascii="Times New Roman" w:hAnsi="Times New Roman" w:cs="Times New Roman"/>
        </w:rPr>
        <w:footnoteRef/>
      </w:r>
      <w:r>
        <w:rPr>
          <w:rFonts w:ascii="Times New Roman" w:hAnsi="Times New Roman"/>
        </w:rPr>
        <w:t xml:space="preserve"> Kad runa ir par atdalīto procentu un pamatsummas apvienošanu, lai dublētu esošo obligāciju, parasti izmanto terminu “obligācijas atjaunošana tās sākotnējā stāvoklī”. Tomēr terminu “obligācijas atjaunošana tās sākotnējā stāvoklī” neizmanto tik plaši kā terminu “atdalīšana”, un statistikas veidotājiem ir jāizvērtē darbības būtība, nevis termins, ko izmanto nacionālajā kontekstā (piemēram, termini “obligācijas atjaunošana tās sākotnējā stāvoklī” un “apvienošana” attiecas uz vienu jēdzienu).</w:t>
      </w:r>
    </w:p>
  </w:footnote>
  <w:footnote w:id="129">
    <w:p w14:paraId="657DE7D1" w14:textId="77777777" w:rsidR="00F27871" w:rsidRPr="00C74800" w:rsidRDefault="00F27871" w:rsidP="000D2B7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arī vienīgi finanšu ziņā darbības sākumā katram atdalīto procentu un pamatsummas komplektam ir atšķirīga procentu likme (saskaņā ar esošo bezkuponu procentu ienesīguma līkni), kā rezultātā, kad tiek veikta apvienošana, tiek iegūta novērotā obligācijas tirgus procentu likme, saskaņā ar debitora principu katram atdalīto procentu un pamatsummas komplektam emisijas brīdī ir jāizmanto viens ienesīgums.</w:t>
      </w:r>
    </w:p>
  </w:footnote>
  <w:footnote w:id="130">
    <w:p w14:paraId="2A3326BA" w14:textId="77777777" w:rsidR="00F27871" w:rsidRPr="00C74800"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Ierakstīšana, kas noteikta EKS 2010 4.46. punkta c) apakšpunktā, saskan ar senu </w:t>
      </w:r>
      <w:r>
        <w:rPr>
          <w:rFonts w:ascii="Times New Roman" w:hAnsi="Times New Roman"/>
          <w:i/>
          <w:iCs/>
          <w:sz w:val="20"/>
          <w:szCs w:val="20"/>
        </w:rPr>
        <w:t>Eurostat</w:t>
      </w:r>
      <w:r>
        <w:rPr>
          <w:rFonts w:ascii="Times New Roman" w:hAnsi="Times New Roman"/>
          <w:sz w:val="20"/>
          <w:szCs w:val="20"/>
        </w:rPr>
        <w:t xml:space="preserve"> lēmumu, kas izdots 1997. gada martā (saskaņā ar EKS 1979).</w:t>
      </w:r>
    </w:p>
  </w:footnote>
  <w:footnote w:id="131">
    <w:p w14:paraId="07617355" w14:textId="77777777" w:rsidR="00F27871" w:rsidRPr="00D528D7"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apakšiedaļa attiecas uz procentu ierakstīšanu, kad ir viens atsevišķs parāda instruments, kas satur atdalāmu atvasināto instrumentu. Šī apakšiedaļa neattiecas uz tādu aizdevumu ierakstīšanu, kuri tika parakstīti kopā ar mijmaiņas darījumu, jo šajā gadījumā ir divi līgumi/instrumenti, kuri dažkārt ir parakstīti ar dažādām pusēm. Parāda instrumentā ietvertie atvasinātie instrumenti var būt dažādi, lai arī bieži tiek konstatēts, ka procentu formulā tie ir procentu likmes maksimālās vai minimālās robežlikmes veidā. Sarežģītākos gadījumos atvasinātais instruments varētu nozīmēt sadalījuma, amortizācijas perioda vai citu noteikumu izmaiņas, ko ierosina kādi notikumi.</w:t>
      </w:r>
    </w:p>
  </w:footnote>
  <w:footnote w:id="132">
    <w:p w14:paraId="40923B7A" w14:textId="77777777" w:rsidR="00F27871" w:rsidRPr="00F5341D"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Šeit neiekļauj dažu veidu raķetes, kurām piemīt augsta iznīcināšanas spēja (skat. AN.114).</w:t>
      </w:r>
    </w:p>
  </w:footnote>
  <w:footnote w:id="133">
    <w:p w14:paraId="4500889E" w14:textId="77777777" w:rsidR="00F27871" w:rsidRPr="004335B4"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Pat ja iekārta vēl nav pilnībā ekspluatējama militārajās misijās, tas nozīmē, ka bojājuma gadījumā tā novēršana ir uz militāro spēku rēķina.</w:t>
      </w:r>
    </w:p>
  </w:footnote>
  <w:footnote w:id="134">
    <w:p w14:paraId="4085F24F" w14:textId="77777777" w:rsidR="00F27871" w:rsidRPr="004335B4"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Citiem vārdiem sakot, militārā aprīkojuma īpašais specifiskums nav pietiekams pamats nepabeigto produktu īpašam traktējumam. Patiesi, daudzos gadījumos pastāv ļoti zema varbūtība, ka valdība varētu atteikties no aprīkojuma, un to apstiprina piemēri, kad neatkarīgi no būtiskas aizkavēšanās un lielām papildu izmaksām valdības joprojām apliecina savu vēlmi iegādāties aprīkojumu. Turklāt ļoti bieži iekārtas būvniecība/ražošana notiek ļoti stingrā un nepārtrauktā militāro iestāžu uzraudzībā, līdz ar to valdība ir iesaistīta visā ražošanas procesā ievērojami vairāk, nekā to iespējams novērot citu pamatlīdzekļu gadījumā, lai gan pats par sevi tas nevarētu būt nacionālo kontu kritērijs.</w:t>
      </w:r>
    </w:p>
  </w:footnote>
  <w:footnote w:id="135">
    <w:p w14:paraId="6DADA387" w14:textId="77777777" w:rsidR="00F27871" w:rsidRPr="00712835"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Vai ir pieejama informācija, kad valdība veic naudas pārvedumu, lai to finansētu.</w:t>
      </w:r>
    </w:p>
  </w:footnote>
  <w:footnote w:id="136">
    <w:p w14:paraId="39676249" w14:textId="77777777" w:rsidR="00F27871" w:rsidRPr="0071283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var būt arī tādu prototipu ražošana, ko valdība izmantos, lai pieņemtu lēmumu par jauna līguma slēgšanu par tāda aprīkojuma piegādi, kas izstrādāts, pamatojoties uz konkrētās pētniecības rezultātiem.</w:t>
      </w:r>
    </w:p>
  </w:footnote>
  <w:footnote w:id="137">
    <w:p w14:paraId="4E326841" w14:textId="77777777" w:rsidR="00F27871" w:rsidRPr="0071283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Gadījumā, ja maksājums tiek izmantots saistībā ar P&amp;I, taču nerada līgumisku pienākumu iegādāties militārās preces, bet tā vietā piešķir tiesības iegādāties tās nākotnē par samazinātu cenu, kas izdevumu rašanās laikā nav zināma, tad pārskaitījumu ieraksta maksājuma veikšanas brīdī. Ja beigās militārās preces tiek iepirktas, tās ieraksta par pilnu tirgus cenu kā gadījumā, ja tās būtu iegādājusies trešā puse, kurai nav piešķirta atlaide, un starpību attiecina uz kapitāla pārveduma ieņēmumiem.</w:t>
      </w:r>
    </w:p>
  </w:footnote>
  <w:footnote w:id="138">
    <w:p w14:paraId="7ED6685E" w14:textId="77777777" w:rsidR="00F27871" w:rsidRPr="00712835"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Jāņem vērā arī ļoti specifisks gadījums, kad valdība nolemj atcelt militārā aprīkojuma programmu, kurā jau ir radušās noteiktas P&amp;I izmaksas. Šos izdevumus ieraksta kā aizdevumu vai kā finanšu avansu, kas “amortizēts” ar faktiskajām piegādēm. Tā kā šādas piegādes nenotiks (vai notiks tikai daļēji), jāpārbauda, vai sabiedrībai šis avanss ir jāatmaksā atpakaļ valdībai. Ja šāda atmaksāšana ir jāveic, rodas jauns finanšu darījums. Pretējā gadījumā avanss jāieraksta kā kapitāla pārvedums vai ieguldījuma dotācija, ja sabiedrība spēj gūt sev kādu labumu no iepriekšējiem P&amp;I izdevumiem. Tas jāieraksta laikā, kad tiek pieņemts galīgais lēmums par programmas atcelšanu.</w:t>
      </w:r>
    </w:p>
  </w:footnote>
  <w:footnote w:id="139">
    <w:p w14:paraId="026EC76D" w14:textId="77777777" w:rsidR="00F27871" w:rsidRPr="00BF47CC"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Kā maksājumus par ārpustirgus produkciju (P.131).</w:t>
      </w:r>
    </w:p>
  </w:footnote>
  <w:footnote w:id="140">
    <w:p w14:paraId="6EE55C03" w14:textId="77777777" w:rsidR="00F27871" w:rsidRPr="00BF47CC"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Ja tiek kavēti ikmēneša maksājumi, par kavēto maksājumu attiecīgajai ES dalībvalstij piemēro nokavējumu procentus.</w:t>
      </w:r>
    </w:p>
  </w:footnote>
  <w:footnote w:id="141">
    <w:p w14:paraId="7007E0DE" w14:textId="77777777" w:rsidR="00F27871" w:rsidRPr="00BF47CC"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Kopējā bilance, kas jānokārto, pārsniedz pusi no apkopotajiem mēneša PVN un NKI maksājumiem, un bilance dalībvalstīm pārsniedz divus mēneša PVN un NKI maksājumus šīm dalībvalstīm (Padomes 2014. gada 18. decembra Regula (ES, </w:t>
      </w:r>
      <w:r>
        <w:rPr>
          <w:rFonts w:ascii="Times New Roman" w:hAnsi="Times New Roman"/>
          <w:i/>
          <w:iCs/>
          <w:sz w:val="20"/>
          <w:szCs w:val="20"/>
        </w:rPr>
        <w:t>Euratom</w:t>
      </w:r>
      <w:r>
        <w:rPr>
          <w:rFonts w:ascii="Times New Roman" w:hAnsi="Times New Roman"/>
          <w:sz w:val="20"/>
          <w:szCs w:val="20"/>
        </w:rPr>
        <w:t>) Nr. 1377/2014)</w:t>
      </w:r>
      <w:r>
        <w:t>.</w:t>
      </w:r>
    </w:p>
  </w:footnote>
  <w:footnote w:id="142">
    <w:p w14:paraId="794A8647" w14:textId="77777777" w:rsidR="00F27871" w:rsidRPr="000D1787" w:rsidRDefault="00F27871" w:rsidP="00994F93">
      <w:pPr>
        <w:pStyle w:val="FootnoteText"/>
        <w:rPr>
          <w:rFonts w:ascii="Times New Roman" w:eastAsia="Arial" w:hAnsi="Times New Roman" w:cs="Times New Roman"/>
          <w:noProof/>
        </w:rPr>
      </w:pPr>
      <w:r>
        <w:rPr>
          <w:rStyle w:val="FootnoteReference"/>
          <w:rFonts w:ascii="Times New Roman" w:hAnsi="Times New Roman" w:cs="Times New Roman"/>
        </w:rPr>
        <w:footnoteRef/>
      </w:r>
      <w:r>
        <w:rPr>
          <w:rFonts w:ascii="Times New Roman" w:hAnsi="Times New Roman"/>
        </w:rPr>
        <w:t xml:space="preserve"> “Finanšu instrumenti”, kā noteikts Regulas (ES, EURATOM) Nr. 966/2012 2. pantā ir </w:t>
      </w:r>
      <w:r>
        <w:rPr>
          <w:rFonts w:ascii="Times New Roman" w:hAnsi="Times New Roman"/>
          <w:i/>
          <w:iCs/>
        </w:rPr>
        <w:t>Savienības pasākumi finanšu atbalstam, ko piešķir no budžeta kā papildinājumu, lai sasniegtu vienu vai vairākus no Savienības īpašajiem politikas mērķiem.</w:t>
      </w:r>
      <w:r>
        <w:rPr>
          <w:rFonts w:ascii="Times New Roman" w:hAnsi="Times New Roman"/>
          <w:i/>
        </w:rPr>
        <w:t xml:space="preserve"> </w:t>
      </w:r>
      <w:r>
        <w:rPr>
          <w:rFonts w:ascii="Times New Roman" w:hAnsi="Times New Roman"/>
          <w:i/>
          <w:iCs/>
        </w:rPr>
        <w:t>Šādi instrumenti var būt aizdevumi, garantijas, kapitālieguldījumi vai kvazikapitāla ieguldījumi vai citi riska dalīšanas instrumenti, un attiecīgos gadījumos tos var apvienot ar dotācijām</w:t>
      </w:r>
      <w:r>
        <w:rPr>
          <w:rFonts w:ascii="Times New Roman" w:hAnsi="Times New Roman"/>
        </w:rPr>
        <w:t>. Tādējādi tos nedrīkst jaukt ar EKS 2010 finanšu instrumentiem vai pielīdzināt tiem.</w:t>
      </w:r>
    </w:p>
  </w:footnote>
  <w:footnote w:id="143">
    <w:p w14:paraId="3B0E45B5" w14:textId="77777777" w:rsidR="00F27871" w:rsidRPr="00BF47CC" w:rsidRDefault="00F27871" w:rsidP="00994F93">
      <w:pPr>
        <w:pStyle w:val="FootnoteText"/>
      </w:pPr>
      <w:r>
        <w:rPr>
          <w:rStyle w:val="FootnoteReference"/>
          <w:rFonts w:ascii="Times New Roman" w:hAnsi="Times New Roman" w:cs="Times New Roman"/>
        </w:rPr>
        <w:footnoteRef/>
      </w:r>
      <w:r>
        <w:rPr>
          <w:rFonts w:ascii="Times New Roman" w:hAnsi="Times New Roman"/>
        </w:rPr>
        <w:t xml:space="preserve"> Regulas (ES) Nr. 1303/2013 38. pants.</w:t>
      </w:r>
    </w:p>
  </w:footnote>
  <w:footnote w:id="144">
    <w:p w14:paraId="2D950A98" w14:textId="77777777" w:rsidR="00F27871" w:rsidRPr="00A55BFC"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Tiesa var būt noteikusi summu, kas tehnisku iemeslu dēļ gandrīz atbilst galīgajai summai, taču nav pilnīgi identiska ar to (izņemot gadījumus, kas minēti 5. rindkopā). Jāveic iespējamās atšķirības analīze, un, ja tā ir ļoti maza, nekavējoties jāieraksta pilna summa, turpmāk veicot nelielas korekcijas.</w:t>
      </w:r>
    </w:p>
  </w:footnote>
  <w:footnote w:id="145">
    <w:p w14:paraId="49C43AE4" w14:textId="77777777" w:rsidR="00F27871" w:rsidRPr="00593B65"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Sīkākai informācijai skatīt: </w:t>
      </w:r>
      <w:r>
        <w:rPr>
          <w:rFonts w:ascii="Times New Roman" w:hAnsi="Times New Roman"/>
          <w:i/>
          <w:iCs/>
          <w:sz w:val="20"/>
          <w:szCs w:val="20"/>
        </w:rPr>
        <w:t>Eurostat</w:t>
      </w:r>
      <w:r>
        <w:rPr>
          <w:rFonts w:ascii="Times New Roman" w:hAnsi="Times New Roman"/>
          <w:sz w:val="20"/>
          <w:szCs w:val="20"/>
        </w:rPr>
        <w:t xml:space="preserve"> lēmumus no 2009. līdz 2013. gadam par </w:t>
      </w:r>
      <w:r>
        <w:rPr>
          <w:rFonts w:ascii="Times New Roman" w:hAnsi="Times New Roman"/>
          <w:i/>
          <w:iCs/>
          <w:sz w:val="20"/>
          <w:szCs w:val="20"/>
        </w:rPr>
        <w:t>Eurostat</w:t>
      </w:r>
      <w:r>
        <w:rPr>
          <w:rFonts w:ascii="Times New Roman" w:hAnsi="Times New Roman"/>
          <w:sz w:val="20"/>
          <w:szCs w:val="20"/>
        </w:rPr>
        <w:t xml:space="preserve"> </w:t>
      </w:r>
      <w:r>
        <w:rPr>
          <w:rFonts w:ascii="Times New Roman" w:hAnsi="Times New Roman"/>
          <w:i/>
          <w:iCs/>
          <w:sz w:val="20"/>
          <w:szCs w:val="20"/>
        </w:rPr>
        <w:t>EDP</w:t>
      </w:r>
      <w:r>
        <w:rPr>
          <w:rFonts w:ascii="Times New Roman" w:hAnsi="Times New Roman"/>
          <w:sz w:val="20"/>
          <w:szCs w:val="20"/>
        </w:rPr>
        <w:t>/VFS tēmai veltītajā tīmekļa vietnē:</w:t>
      </w:r>
    </w:p>
    <w:p w14:paraId="08141639" w14:textId="77777777" w:rsidR="00F27871" w:rsidRPr="00593B65" w:rsidRDefault="00F27871" w:rsidP="00994F93">
      <w:pPr>
        <w:jc w:val="both"/>
        <w:rPr>
          <w:rFonts w:ascii="Times New Roman" w:eastAsia="Arial" w:hAnsi="Times New Roman" w:cs="Times New Roman"/>
          <w:noProof/>
          <w:sz w:val="20"/>
          <w:szCs w:val="20"/>
        </w:rPr>
      </w:pPr>
      <w:r>
        <w:rPr>
          <w:rFonts w:ascii="Times New Roman" w:hAnsi="Times New Roman"/>
          <w:sz w:val="20"/>
          <w:szCs w:val="20"/>
        </w:rPr>
        <w:t>https://ec.europa.eu/eurostat/web/government-finance-statistics/methodology/decisions-for-gfs</w:t>
      </w:r>
    </w:p>
  </w:footnote>
  <w:footnote w:id="146">
    <w:p w14:paraId="05A53093" w14:textId="77777777" w:rsidR="00F27871" w:rsidRPr="00593B6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Lielākajā daļā dalībvalstu vidējais ilgtermiņa aizdevuma atmaksāšanas termiņš ir aptuveni 10 gadi.</w:t>
      </w:r>
    </w:p>
  </w:footnote>
  <w:footnote w:id="147">
    <w:p w14:paraId="2D451CCB" w14:textId="77777777" w:rsidR="00F27871" w:rsidRPr="00593B65"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To var noteikt kā vairākus mēnešus ilgā laika posma vidējo likmi, ja pastāv augsta mainība tirgū un/vai ārkārtas pārtraukumi.</w:t>
      </w:r>
    </w:p>
  </w:footnote>
  <w:footnote w:id="148">
    <w:p w14:paraId="4F6E63B9" w14:textId="77777777" w:rsidR="00F27871" w:rsidRPr="00593B6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Jebkurā gadījumā peļņas norma ir jāaprēķina pēc attiecīgo no valdības saņemto pārveduma maksājumu atskaitīšanas no sabiedrības ieņēmumiem (skat. 2. ierāmējumu 3.2.3. iedaļā).</w:t>
      </w:r>
    </w:p>
  </w:footnote>
  <w:footnote w:id="149">
    <w:p w14:paraId="58F49117" w14:textId="77777777" w:rsidR="00F27871" w:rsidRPr="00593B65"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tomēr privāti ieguldītāji veic iepludināšanu pašu kapitālā, stingri ievērojot tos pašus nosacījumus, kurus ievēro valdība, var pieņemt, ka ieguldījumu atdeves tests ir bijis sekmīgs (skat. turpmāk 22. punktu).</w:t>
      </w:r>
    </w:p>
  </w:footnote>
  <w:footnote w:id="150">
    <w:p w14:paraId="396EF3E0" w14:textId="77777777" w:rsidR="00F27871" w:rsidRPr="00593B65"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Ārkārtas zaudējumi ir lieli zaudējumi, kas ierakstīti vienīgi sabiedrības uzņēmējdarbības grāmatvedībā vienā pārskata periodā un kas parasti rodas kādā ārkārtas notikumā, kurš neietilpst sabiedrības “atbildībā”, t. i., notiek neatkarīgi no sabiedrības uzņēmējdarbības modeļa un/vai tās iepriekšējās ieguldījumu politikas. Šie ārkārtas notikumi skar daudzas sabiedrības neatkarīgi no to finanšu un ekonomiskā stāvokļa un parasti notiek vienlaikus vairākās dalībvalstīs (plašāka ietekme).</w:t>
      </w:r>
    </w:p>
  </w:footnote>
  <w:footnote w:id="151">
    <w:p w14:paraId="708EAE04" w14:textId="77777777" w:rsidR="00F27871" w:rsidRPr="00101282"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Citiem vārdiem sakot, valdība nedrīkst iegādāties akcijas par cenu, kas pārsniedz to tirgus cenu (iespējams, aprēķinātu kā vidējo cenu laika posmā, kas nepārsniedz 3 mēnešus). Attiecībā uz nekotētajām akcijām kā atsauces vērtība jāizmanto to patiesā vērtība, kas aprēķināta, izmantojot parastās uzņēmējdarbības novērtēšanas metodes.</w:t>
      </w:r>
    </w:p>
  </w:footnote>
  <w:footnote w:id="152">
    <w:p w14:paraId="2CB6C0E5" w14:textId="77777777" w:rsidR="00F27871" w:rsidRPr="000E6EFF"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Gadījumos (it īpaši saistībā ar valdības atbalstu bankām), kad pašu kapitāla atpakaļpārdevums ir paredzēts dažu gadu laikā, var izmantot valdības obligāciju 4–6 salīdzinājuma rādītāju.</w:t>
      </w:r>
    </w:p>
  </w:footnote>
  <w:footnote w:id="153">
    <w:p w14:paraId="7A12EB54" w14:textId="77777777" w:rsidR="00F27871" w:rsidRPr="000E6EFF" w:rsidRDefault="00F27871" w:rsidP="00994F93">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szCs w:val="20"/>
        </w:rPr>
        <w:t xml:space="preserve"> Piemēram, komercbanku gadījumā </w:t>
      </w:r>
      <w:r>
        <w:rPr>
          <w:rFonts w:ascii="Times New Roman" w:hAnsi="Times New Roman"/>
          <w:i/>
          <w:iCs/>
          <w:sz w:val="20"/>
          <w:szCs w:val="20"/>
        </w:rPr>
        <w:t>RoE</w:t>
      </w:r>
      <w:r>
        <w:rPr>
          <w:rFonts w:ascii="Times New Roman" w:hAnsi="Times New Roman"/>
          <w:sz w:val="20"/>
          <w:szCs w:val="20"/>
        </w:rPr>
        <w:t xml:space="preserve"> ir jābūt vismaz 10 %. Rūpniecības nozarē tam jābūt zemākam.</w:t>
      </w:r>
    </w:p>
  </w:footnote>
  <w:footnote w:id="154">
    <w:p w14:paraId="42DAE310" w14:textId="77777777" w:rsidR="00F27871" w:rsidRPr="000E6EFF"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Tas nozīmē, ka galvenokārt no pārdošanas ieņēmumiem, tostarp produktu subsīdijām (izņemot subsīdijas, kas noteiktas EKS 2010 4.35. punkta c) apakšpunktā), citām subsīdijām un ienākumiem no īpašuma.</w:t>
      </w:r>
    </w:p>
  </w:footnote>
  <w:footnote w:id="155">
    <w:p w14:paraId="6245A5DE" w14:textId="77777777" w:rsidR="00F27871" w:rsidRPr="0024774C"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Tas jo īpaši attiecas uz dažām “priekšrocību akcijām”, konvertējamām obligācijām (tostarp iespējamajām konvertējamajām obligācijām, ko parasti dēvē par “Cocos”), subordinētajiem aizdevumiem vai obligācijām. Jebkurā gadījumā parāda instrumentu nacionālajos kontos atzīst kā parāda instrumentu (klasificētu AF.3 vai AF.4 pozīcijā) tikai tad, ja tas sniedz turētājam beznosacījumu atlīdzinājumu, t. i., neatkarīgi no jebkādas sadalāmās peļņas (ko traktē kā procentus, kas ierakstāmi, pamatojoties uz uzkrāšanas principu). Citā gadījumā uzskata, ka tas ir pašu kapitāla instruments, attiecībā uz kuru piemēro šīs nodaļas noteikumus. Attiecībā uz ieņēmumu uzkrāšanu var būt piemērojami īpaši noteikumi, kas paredz, piemēram, nesamaksāto procentu pārnešanu. Instrumentu var ierakstīt kā parādu tikai tad, ja šāda pārnešana nepārsniedz tai sekojošo darbību. Jebkurš ilgāks periods vai pat pilnīga nenoteiktība ir pietiekams pamats tam, lai instrumentu traktētu kā pašu kapitālu.</w:t>
      </w:r>
    </w:p>
  </w:footnote>
  <w:footnote w:id="156">
    <w:p w14:paraId="24F91350" w14:textId="77777777" w:rsidR="00F27871" w:rsidRPr="00CA1693"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Nav nozīmes, vai sabiedrība ir zaudējumus nesoša vai rentabla, lai ierakstītu kapitāla iepludināšanu kā ieguldījumu dotāciju (D.92).</w:t>
      </w:r>
    </w:p>
  </w:footnote>
  <w:footnote w:id="157">
    <w:p w14:paraId="0266997E" w14:textId="77777777" w:rsidR="00F27871" w:rsidRPr="003C568B"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EKS 2010 dividenžu jēdziens ir plašāks par uzņēmējdarbības grāmatvedības uzskaitē izmantoto šauro dividenžu jēdzienu (skat. EKS 2010 4.54. punktu).</w:t>
      </w:r>
    </w:p>
  </w:footnote>
  <w:footnote w:id="158">
    <w:p w14:paraId="351B1771" w14:textId="77777777" w:rsidR="00F27871" w:rsidRPr="003C568B" w:rsidRDefault="00F27871" w:rsidP="00994F93">
      <w:pPr>
        <w:pStyle w:val="FootnoteText"/>
      </w:pPr>
      <w:r>
        <w:rPr>
          <w:rStyle w:val="FootnoteReference"/>
          <w:rFonts w:ascii="Times New Roman" w:hAnsi="Times New Roman" w:cs="Times New Roman"/>
        </w:rPr>
        <w:footnoteRef/>
      </w:r>
      <w:r>
        <w:rPr>
          <w:rFonts w:ascii="Times New Roman" w:hAnsi="Times New Roman"/>
        </w:rPr>
        <w:t xml:space="preserve"> Jāņem vērā, ka dažos gadījumos valdībai šāda kontrole var būt pat tad, ja tai nepieder lielākā daļa akciju (tiesības balsot ar vairākām balsīm, īpašas vienošanās). Šajā saistībā īpaša nozīme ir tam, vai valdībai ir dominējošā ietekme pār citiem ieguldītājiem ar ienākumiem saistītajos lēmumos. Atsevišķos gadījumos valdībai nav parasto akciju vienībā, tomēr tai ir lēmumu pieņemšanas tiesības attiecībā uz lielāko dividenžu daļu.</w:t>
      </w:r>
    </w:p>
  </w:footnote>
  <w:footnote w:id="159">
    <w:p w14:paraId="6B5F2B62" w14:textId="77777777" w:rsidR="00F27871" w:rsidRPr="003C568B"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20.206. punktā noteikts, ka, </w:t>
      </w:r>
      <w:r>
        <w:rPr>
          <w:rFonts w:ascii="Times New Roman" w:hAnsi="Times New Roman"/>
          <w:i/>
          <w:iCs/>
        </w:rPr>
        <w:t>ja nav uzņēmējdarbības ienākuma mēra, var izmantot pamatdarbības peļņu no uzņēmējdarbības grāmatvedības</w:t>
      </w:r>
      <w:r>
        <w:rPr>
          <w:rFonts w:ascii="Times New Roman" w:hAnsi="Times New Roman"/>
        </w:rPr>
        <w:t>. Parasti abas šīs vērtības ir ļoti tuvas.</w:t>
      </w:r>
    </w:p>
  </w:footnote>
  <w:footnote w:id="160">
    <w:p w14:paraId="3D103D92" w14:textId="77777777" w:rsidR="00F27871" w:rsidRPr="003C568B"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Ienākumu pārskati var ievērojami atšķirties, kad tie tiek sagatavoti atbilstoši valstī vai sabiedrībā pieņemtajai praksei. Visos gadījumos tajos jābūt norādītam pašreizējās (“nepabeigtās” saskaņā ar </w:t>
      </w:r>
      <w:r>
        <w:rPr>
          <w:rFonts w:ascii="Times New Roman" w:hAnsi="Times New Roman"/>
          <w:i/>
          <w:iCs/>
        </w:rPr>
        <w:t>IFRS</w:t>
      </w:r>
      <w:r>
        <w:rPr>
          <w:rFonts w:ascii="Times New Roman" w:hAnsi="Times New Roman"/>
        </w:rPr>
        <w:t>) darbības neto rezultātam pirms sadales un ienākuma nodokļa iekasēšanas, izņemot ārkārtējus darījumus, kas rada turēšanas guvumus vai zaudējumus.</w:t>
      </w:r>
    </w:p>
  </w:footnote>
  <w:footnote w:id="161">
    <w:p w14:paraId="3316E454" w14:textId="77777777" w:rsidR="00F27871" w:rsidRPr="003C568B"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NKS 2008 7.131. punktā ir ieviests jēdziens “ticamības pārbaude”.</w:t>
      </w:r>
    </w:p>
  </w:footnote>
  <w:footnote w:id="162">
    <w:p w14:paraId="10423FA3" w14:textId="77777777" w:rsidR="00F27871" w:rsidRPr="003C568B" w:rsidRDefault="00F27871" w:rsidP="00620636">
      <w:pPr>
        <w:pStyle w:val="FootnoteText"/>
        <w:jc w:val="both"/>
      </w:pPr>
      <w:r>
        <w:rPr>
          <w:rStyle w:val="FootnoteReference"/>
          <w:rFonts w:ascii="Times New Roman" w:hAnsi="Times New Roman" w:cs="Times New Roman"/>
        </w:rPr>
        <w:footnoteRef/>
      </w:r>
      <w:r>
        <w:rPr>
          <w:rFonts w:ascii="Times New Roman" w:hAnsi="Times New Roman"/>
        </w:rPr>
        <w:t xml:space="preserve"> EKS 2010 2.14. punktā ir definētas divu veidu vienības, kas uzņēmējdarbībā tiek minētas kā kontrolakciju subjekti, proti, “centrālais birojs” – vienība, kas pārvalda savus meitasuzņēmumus, un “kontrolakciju sabiedrība” – kas “tur meitasuzņēmumu grupas aktīvus (kurām pieder pašu kapitāla daļa, kas nodrošina kontroli) un kuru pamatdarbība ir šīs uzņēmumu grupas turēšana īpašumā”.</w:t>
      </w:r>
    </w:p>
  </w:footnote>
  <w:footnote w:id="163">
    <w:p w14:paraId="589010E0" w14:textId="77777777" w:rsidR="00F27871" w:rsidRPr="00F67E7E"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Pretēji parāda vērtspapīru gadījumam, kad procentus saskaņā ar līgumu maksā emitents, dividendes pašas par sevi netiek uzkrātas, jo tās ir atkarīgas no ienākumiem un sadales politikas, kas nav zināma vai skaidri noteikta līdz brīdim, kad ir sagatavoti, pārbaudīti un apstiprināti gada pārskati.</w:t>
      </w:r>
    </w:p>
  </w:footnote>
  <w:footnote w:id="164">
    <w:p w14:paraId="29E45837" w14:textId="77777777" w:rsidR="00F27871" w:rsidRPr="00F67E7E"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Parasti pastāv laika nobīde starp dividendes maksājumu un datumu, kad tika pieņemts lēmums par tās sadalīšanu. Kotētu akciju gadījumā tirgus cenā parasti ietilpst dividendes vērtība līdz tās izmaksāšanai. Nekotētu akciju gadījumā vienīgā pieejamā informācija ir laiks, kad maksājums tiek veikts valdībai.</w:t>
      </w:r>
    </w:p>
  </w:footnote>
  <w:footnote w:id="165">
    <w:p w14:paraId="3818EC9B" w14:textId="77777777" w:rsidR="00F27871" w:rsidRPr="00F67E7E" w:rsidRDefault="00F27871" w:rsidP="00994F9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Parasti pastāv laika nobīde starp dividendes maksājumu un datumu, kad tika pieņemts lēmums par tās sadalīšanu. Kotētu akciju gadījumā tirgus cenā parasti ietilpst dividendes vērtība līdz tās izmaksāšanai. Nekotētu akciju gadījumā vienīgā pieejamā informācija ir laiks, kad maksājums tiek veikts valdībai.</w:t>
      </w:r>
    </w:p>
  </w:footnote>
  <w:footnote w:id="166">
    <w:p w14:paraId="2F39B9BF" w14:textId="77777777" w:rsidR="00F27871" w:rsidRPr="00A5117C"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Sīkāka informācija sniegta šīs rokasgrāmatas 1.3. nodaļā un EKS 2010 17. nodaļā (Sociālā apdrošināšana, tostarp pensijas).</w:t>
      </w:r>
    </w:p>
  </w:footnote>
  <w:footnote w:id="167">
    <w:p w14:paraId="54979A25" w14:textId="77777777" w:rsidR="00F27871" w:rsidRPr="00A5117C"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kā no fondētajām pensiju shēmām bieži tiek veikti ieguldījumi valdības vērtspapīros, šādu aktīvu nodošana valdībai samazinātu valdības (</w:t>
      </w:r>
      <w:r>
        <w:rPr>
          <w:rFonts w:ascii="Times New Roman" w:hAnsi="Times New Roman"/>
          <w:i/>
          <w:iCs/>
        </w:rPr>
        <w:t>EDP</w:t>
      </w:r>
      <w:r>
        <w:rPr>
          <w:rFonts w:ascii="Times New Roman" w:hAnsi="Times New Roman"/>
        </w:rPr>
        <w:t>) parādu ar konsolidācijas starpniecību.</w:t>
      </w:r>
    </w:p>
  </w:footnote>
  <w:footnote w:id="168">
    <w:p w14:paraId="57015B67" w14:textId="77777777" w:rsidR="00F27871" w:rsidRPr="00A5117C" w:rsidRDefault="00F27871" w:rsidP="00994F93">
      <w:pPr>
        <w:pStyle w:val="FootnoteText"/>
        <w:jc w:val="both"/>
      </w:pPr>
      <w:r>
        <w:rPr>
          <w:rStyle w:val="FootnoteReference"/>
          <w:rFonts w:ascii="Times New Roman" w:hAnsi="Times New Roman" w:cs="Times New Roman"/>
        </w:rPr>
        <w:footnoteRef/>
      </w:r>
      <w:r>
        <w:rPr>
          <w:rFonts w:ascii="Times New Roman" w:hAnsi="Times New Roman"/>
        </w:rPr>
        <w:t xml:space="preserve"> Pēc būtības šāds aprēķins attiecībā uz ļoti ilgu laika posmu (kā tas ir pensiju tiesību gadījumā, kuras aptver vairākas desmitgades) atspoguļo vienīgi situāciju konkrētajā brīdī. Ar visnotaļ lielu pārliecību var prognozēt, ka nākotnē realitāte atšķirsies daudzu dažādu iemeslu dēļ, bet šāds neto faktiskais aprēķins ir vienīgā racionālā metode, ko var izmantot, lai izmērītu ilgtermiņa saistību laika ekvivalenci.</w:t>
      </w:r>
    </w:p>
  </w:footnote>
  <w:footnote w:id="169">
    <w:p w14:paraId="6A1C4FB7" w14:textId="77777777" w:rsidR="00F27871" w:rsidRPr="00415C61"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Gadījumā, ja maksājums tiek veikts pa daļām atbilstīgi tam, kā minēts iepriekš, valdība savos aktīvos ierakstīs saņemamo summu kopā ar nodotajiem finanšu aktīviem.</w:t>
      </w:r>
    </w:p>
  </w:footnote>
  <w:footnote w:id="170">
    <w:p w14:paraId="5B2AFC64" w14:textId="77777777" w:rsidR="00F27871" w:rsidRPr="00415C61" w:rsidRDefault="00F27871" w:rsidP="00994F93">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Tomēr šim nepietiekami augstajam novērtējumam ir jāpārsniedz vispārpieņemtā kļūdas robeža (vai aptuvenā vērtība), ko piemēro attiecībā uz šādiem aktuārajiem aprēķiniem.</w:t>
      </w:r>
    </w:p>
  </w:footnote>
  <w:footnote w:id="171">
    <w:p w14:paraId="1B216B29" w14:textId="77777777" w:rsidR="00F27871" w:rsidRPr="00415C61"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Tam ir vairāki iemesli (izņemot pārmaiņas pamatparametros), piemēram, nākotnes pensiju pabalstu aplēsēs izmantoto pieņēmumu (mirstības rādītāji, inflācija u. c.) neatbilstība.</w:t>
      </w:r>
    </w:p>
  </w:footnote>
  <w:footnote w:id="172">
    <w:p w14:paraId="6C18CDC5" w14:textId="77777777" w:rsidR="00F27871" w:rsidRPr="00415C61" w:rsidRDefault="00F27871" w:rsidP="00994F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kā tomēr saistības ietver ilgtermiņa pensijas, praksē pastāvētu iztrūkums izmaiņu dēļ, kas rodas refinansēšanas izmaksās.</w:t>
      </w:r>
    </w:p>
  </w:footnote>
  <w:footnote w:id="173">
    <w:p w14:paraId="0E9B0285" w14:textId="77777777" w:rsidR="00F27871" w:rsidRPr="00415C61" w:rsidRDefault="00F27871" w:rsidP="00994F93">
      <w:pPr>
        <w:pStyle w:val="FootnoteText"/>
      </w:pPr>
      <w:r>
        <w:rPr>
          <w:rStyle w:val="FootnoteReference"/>
          <w:rFonts w:ascii="Times New Roman" w:hAnsi="Times New Roman" w:cs="Times New Roman"/>
        </w:rPr>
        <w:footnoteRef/>
      </w:r>
      <w:r>
        <w:rPr>
          <w:rFonts w:ascii="Times New Roman" w:hAnsi="Times New Roman"/>
        </w:rPr>
        <w:t xml:space="preserve"> Nodošana valdības darba devēja shēmai nav paredzēta EKS 2010, jo šāds gadījums šķiet maz ticams, ņemot vērā, ka tas nozīmētu izmaiņas attiecīgās sabiedrības darbinieku statusā.</w:t>
      </w:r>
    </w:p>
  </w:footnote>
  <w:footnote w:id="174">
    <w:p w14:paraId="6BBC56D8" w14:textId="77777777" w:rsidR="00F27871" w:rsidRPr="00415C61" w:rsidRDefault="00F27871" w:rsidP="00994F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Šajos piemēros uzmanība pievērsta ietekmei uz valdības neto aizdevumu/aizņēmumu (B.9) un/vai parādu, un to mērķis nav atspoguļot visus ierakstus kopējā ekonomikā.</w:t>
      </w:r>
    </w:p>
  </w:footnote>
  <w:footnote w:id="175">
    <w:p w14:paraId="335C94F4" w14:textId="77777777" w:rsidR="00F27871" w:rsidRPr="00E7471B" w:rsidRDefault="00F27871" w:rsidP="00994F93">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Naudas sodus var traktēt arī kā kapitāla pārvedumus (skat. 2.7.2. iedaļu).</w:t>
      </w:r>
    </w:p>
  </w:footnote>
  <w:footnote w:id="176">
    <w:p w14:paraId="3A131BF2" w14:textId="77777777" w:rsidR="00443399" w:rsidRPr="00EC2EE3" w:rsidRDefault="00443399" w:rsidP="00443399">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Eurogrupa 2012. gada februārī vienojās par to, ka atsevišķas eirozonas dalībvalstis katru gadu līdz jūnijam nodos Grieķijas valdībai ieņēmumus, kas gūti no Grieķijas valdības obligācijām, kuras atrodas to centrālajās bankās. Pārvedumi starp šīm dalībvalstīm (izdevumi) un Grieķiju (ieņēmumi) ir ierakstīti kā kārtējie pārvedumi (D.75), savukārt pārvedumiem no VCB to valdībām ir pilnīgi jāatbilst šajā nodaļā izklāstītajiem noteikumiem, jo īpaši, ciktāl tas attiecas uz sadalījumu starp dividendēm un pašu kapitāla izņemšanu.</w:t>
      </w:r>
    </w:p>
  </w:footnote>
  <w:footnote w:id="177">
    <w:p w14:paraId="0A23E484" w14:textId="77777777" w:rsidR="00443399" w:rsidRPr="007F518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Tomēr grāmatvedības konservatīvisma pamatprincips parasti ļauj grāmatvežiem paredzēt vai atklāt zaudējumus, taču neļauj līdzīgi rīkoties attiecībā uz ienākumiem. Piemēram, iespējamie zaudējumi, kas rodas tiesas prāvās, tiks norādīti finanšu pārskatos vai piezīmēs, taču iespējamie guvumi netiks norādīti.</w:t>
      </w:r>
    </w:p>
  </w:footnote>
  <w:footnote w:id="178">
    <w:p w14:paraId="1E024803" w14:textId="30C6DE9F" w:rsidR="00443399" w:rsidRPr="0061643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sidR="00BC7838">
        <w:rPr>
          <w:rFonts w:ascii="Times New Roman" w:hAnsi="Times New Roman"/>
        </w:rPr>
        <w:t xml:space="preserve"> </w:t>
      </w:r>
      <w:r>
        <w:rPr>
          <w:rFonts w:ascii="Times New Roman" w:hAnsi="Times New Roman"/>
        </w:rPr>
        <w:t xml:space="preserve">SVF: </w:t>
      </w:r>
      <w:r>
        <w:rPr>
          <w:rFonts w:ascii="Times New Roman" w:hAnsi="Times New Roman"/>
          <w:i/>
          <w:iCs/>
        </w:rPr>
        <w:t>Balance of Payments and International Investment Position Manual</w:t>
      </w:r>
      <w:r>
        <w:rPr>
          <w:rFonts w:ascii="Times New Roman" w:hAnsi="Times New Roman"/>
        </w:rPr>
        <w:t xml:space="preserve"> [Maksājumu bilances un starptautisko investīciju bilances rokasgrāmatas] 6. izdevums (</w:t>
      </w:r>
      <w:r>
        <w:rPr>
          <w:rFonts w:ascii="Times New Roman" w:hAnsi="Times New Roman"/>
          <w:i/>
          <w:iCs/>
        </w:rPr>
        <w:t>BPM6</w:t>
      </w:r>
      <w:r>
        <w:rPr>
          <w:rFonts w:ascii="Times New Roman" w:hAnsi="Times New Roman"/>
        </w:rPr>
        <w:t xml:space="preserve">) (2009. g.), 6. nodaļa </w:t>
      </w:r>
      <w:r>
        <w:rPr>
          <w:rFonts w:ascii="Times New Roman" w:hAnsi="Times New Roman"/>
          <w:i/>
          <w:iCs/>
        </w:rPr>
        <w:t>Functional categories, F.I Reserve assets</w:t>
      </w:r>
      <w:r>
        <w:rPr>
          <w:rFonts w:ascii="Times New Roman" w:hAnsi="Times New Roman"/>
        </w:rPr>
        <w:t xml:space="preserve"> [Funkcionālās kategorijas, F.I Rezervju aktīvi], 111. lpp.</w:t>
      </w:r>
    </w:p>
  </w:footnote>
  <w:footnote w:id="179">
    <w:p w14:paraId="58916D6F" w14:textId="77777777" w:rsidR="00443399" w:rsidRPr="0061643C"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BPM6</w:t>
      </w:r>
      <w:r>
        <w:rPr>
          <w:rFonts w:ascii="Times New Roman" w:hAnsi="Times New Roman"/>
        </w:rPr>
        <w:t xml:space="preserve"> 6.5. ierāmējumu: Rezervju aktīvu komponenti un ar rezervēm saistītas saistības, 11. lpp.</w:t>
      </w:r>
    </w:p>
  </w:footnote>
  <w:footnote w:id="180">
    <w:p w14:paraId="5E202D10" w14:textId="77777777" w:rsidR="00443399" w:rsidRPr="00861647"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Iespējama arī pretēja operācija “monetizācija” (piemēram, pēc lieluma klasificēts zelts parasti tiek nodots centrālajai bankai).</w:t>
      </w:r>
    </w:p>
  </w:footnote>
  <w:footnote w:id="181">
    <w:p w14:paraId="136DB4AE" w14:textId="77777777" w:rsidR="00443399" w:rsidRPr="00861647"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Skat. http://www.ecb.int/press/pr/date/2009/html/pr090807.en.html.</w:t>
      </w:r>
    </w:p>
  </w:footnote>
  <w:footnote w:id="182">
    <w:p w14:paraId="72B91FF8" w14:textId="77777777" w:rsidR="00443399" w:rsidRPr="000D65B0"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Varētu iebilst, ka vienība vairs nav institucionāla vienība, jo tās īpašnieki ir zaudējuši spēju to kontrolēt līdz ar lēmumu pieņemšanas varas nonākšanu likvidatora un/vai kreditoru rokās. Tomēr likvidācijas process nozīmē, ka ekonomiskie lēmumi tiek pieņemti par tās aktīviem un saistībām. Tas, ka iepriekšējiem īpašniekiem vairs nav kontroles, nav pietiekami, lai vienību automātiski klasificētu likvidatora vai kreditoru sektorā (kas varētu būt atšķirīgi sektori). Tādējādi vienībai ir jāpaliek finanšu sektorā vai, kā minēts iepriekš, tā jāpārklasificē vispārējās valdības sektorā.</w:t>
      </w:r>
    </w:p>
  </w:footnote>
  <w:footnote w:id="183">
    <w:p w14:paraId="430C661A" w14:textId="77777777" w:rsidR="00443399" w:rsidRPr="000D65B0"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Kā statistikā ieraksta valsts atbalstu finanšu iestādēm un finanšu tirgiem finanšu krīzes laikā no 2009. gada 15. jūlija.</w:t>
      </w:r>
    </w:p>
  </w:footnote>
  <w:footnote w:id="184">
    <w:p w14:paraId="4DB5DAC5" w14:textId="77777777" w:rsidR="00443399" w:rsidRPr="00CB564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Tāds pats traktējums statistikā ir jāpiemēro, ja tiek konstatēts, ka provizoriskā atgūstamā summa nesakrīt ar faktisko summu, ko saņēmusi valdība aizdevuma darbības termiņā.</w:t>
      </w:r>
    </w:p>
  </w:footnote>
  <w:footnote w:id="185">
    <w:p w14:paraId="5496A3E9" w14:textId="77777777" w:rsidR="00443399" w:rsidRPr="0034734E"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Skat. I.6. nodaļu “Īpaši publiski subjekti”.</w:t>
      </w:r>
    </w:p>
  </w:footnote>
  <w:footnote w:id="186">
    <w:p w14:paraId="321B1483" w14:textId="77777777" w:rsidR="00443399" w:rsidRPr="002D67B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Šo vērtspapīrošanas definīciju, kas ietver lielāko daļu Eiropas Savienībā faktiski novēroto gadījumu, kuros iesaistītas valdības vienības, var uzskatīt par “šauru” (vai uz tirgu orientētu) vērtspapīrošanas definīciju. No vienas puses, var būt emitēti tādi vērtspapīri, kuriem ir piesaistītas vērtspapīru turētāju tiešas tiesības uz nodalītiem aktīviem (“bilances vērtspapīrošana”). Šādām operācijām nav nepieciešami īpaši norādījumi, jo galvenais apstāklis ir jaunu saistību uzņemšanās, nevis tādu īpašu tiesību un pienākumu uzņemšanās, kuri piesaistīti parāda instrumentiem. No otras puses, valdība var “monetizēt” (pārvērst likviditātē, kas ir tāds pats rezultāts kā šeit apspriesto vērtspapīrošanas operāciju gadījumā) jebkuru aktīvu (finanšu un nefinanšu) ar darījumu organizētos tirgos vai ārpus biržas. Tas ir laika jautājums (beigu beigās viss tiek monetizēts) un diskonta līmeņa jautājums salīdzinājumā ar pamatvērtību, kuru valdība piekristu uzņemties (skat. “ārkārtas pārdošanas” gadījumus). Otrajā gadījumā pilnīgi jāpiemēro tie paši pamatprincipi, kas attiecas uz “patiesas pārdošanas” atzīšanu.</w:t>
      </w:r>
    </w:p>
  </w:footnote>
  <w:footnote w:id="187">
    <w:p w14:paraId="53EEAA86" w14:textId="77777777" w:rsidR="00443399" w:rsidRPr="002D67BA"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Vērtspapīrošanas operācija parasti atšķiras no nodrošinātas aizdevuma ņemšanas operācijas (piemēram, attiecībā uz segtām obligācijām, ko valdības vienības parasti neemitē); otrajā gadījumā ieguldītājam ir prasījuma tiesības attiecībā uz aktīviem vai citām tiesībām un attiecībā uz sākotnējo īpašnieku. Lielākajā daļā vērtspapīrošanas operāciju ieguldītājiem nav paredzētas tiesības vērsties pret iniciatoru.</w:t>
      </w:r>
    </w:p>
  </w:footnote>
  <w:footnote w:id="188">
    <w:p w14:paraId="0610B4B8" w14:textId="77777777" w:rsidR="00443399" w:rsidRPr="002D67B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Tomēr saskaņā ar standartiem, kas attiecībā uz šādiem darījumiem tiek piemēroti tirgū, iniciators (šajā gadījumā – valdība) kopā ar organizatoru parasti uzņemas daļu riska. Par šādiem riskiem bieži vien uzskata zaudējumus, kas rodas izpildē, piegādē, procesa pārvaldībā, iekšējās un ārējās krāpšanas dēļ, darbības nepārtrauktībā un sistēmas atteiču dēļ, fizisku aktīvu bojājumu gadījumā, nepietiekamas vai neatbilstošas dokumentācijas dēļ un juridisku risku dēļ. Tie nerodas no riskiem, kas saistīti ar aktīvu turēšanu (tirgus riskiem/kredītriskiem). Tomēr valdības īstenotas vērtspapīrošanas gadījumā vienmēr ir jāpārbauda, vai valdības darbības risks ir saistīts vienīgi ar ierasto tirgus praksi.</w:t>
      </w:r>
    </w:p>
  </w:footnote>
  <w:footnote w:id="189">
    <w:p w14:paraId="49F1A8BF" w14:textId="77777777" w:rsidR="00443399" w:rsidRPr="009810FD"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Tam nav obligāti jābūt kā tiešai garantijai attiecībā uz parādu, ko izdevusi vērtspapīrošanas struktūrvienība (un kas līdz ar to nav īstenojama trešās valstīs), taču to var paredzēt līgumā ar īpašu klauzulu.</w:t>
      </w:r>
    </w:p>
  </w:footnote>
  <w:footnote w:id="190">
    <w:p w14:paraId="56E3802D" w14:textId="77777777" w:rsidR="00443399" w:rsidRPr="009810FD"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“Koriģēta uzskaites vērtība”, “kapitalizēti koriģēti ienākumi”, “diskontēti turpmāki ienākumi”, “naudas plūsmas metode”, “bruto ieņēmumu faktors”, “pamatlīdzekļu cenas noteikšanas modelis”, “svērtās vidējās kapitāla izmaksas”, “tirgus salīdzinājumu paņēmieni”, “iespējas līguma cenu noteikšanas pieejas” utt.</w:t>
      </w:r>
    </w:p>
  </w:footnote>
  <w:footnote w:id="191">
    <w:p w14:paraId="70B9218D" w14:textId="77777777" w:rsidR="00443399" w:rsidRPr="00E261BD"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Konsultējoties ar </w:t>
      </w:r>
      <w:r>
        <w:rPr>
          <w:rFonts w:ascii="Times New Roman" w:hAnsi="Times New Roman"/>
          <w:i/>
          <w:iCs/>
        </w:rPr>
        <w:t>Eurostat</w:t>
      </w:r>
      <w:r>
        <w:rPr>
          <w:rFonts w:ascii="Times New Roman" w:hAnsi="Times New Roman"/>
        </w:rPr>
        <w:t>.</w:t>
      </w:r>
    </w:p>
  </w:footnote>
  <w:footnote w:id="192">
    <w:p w14:paraId="09490AF3" w14:textId="77777777" w:rsidR="00443399" w:rsidRPr="00E261BD"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Tomēr EKS 2010 15.18. punktā uzsvērts, ka nomas ilgumu nedrīkst noteikt kā galveno līguma klasificēšanas kritēriju.</w:t>
      </w:r>
    </w:p>
  </w:footnote>
  <w:footnote w:id="193">
    <w:p w14:paraId="5235AEF8" w14:textId="77777777" w:rsidR="00443399" w:rsidRPr="0065154F"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arī EKS 2010 salīdzinājumā ar EKS 1995 nomas perioda ilgumam zināmā mērā ir relatīvāka nozīme, lai noteiktu, vai noma ir finanšu vai operatīvā noma (un tāpēc finanšu nomas ir iespējamas arī attiecināt uz īstermiņa nomu), tajā ir noteikts, ka praksē ir sarežģīti atkāpties no ierakstiem uzņēmējdarbības grāmatvedībā, saskaņā ar kuru finanšu noma ir tikai tāda noma, kas aptver lielāko daļu no aktīva ekonomiskā cikla (skat. EKS 2010 15.18. punktu).</w:t>
      </w:r>
    </w:p>
  </w:footnote>
  <w:footnote w:id="194">
    <w:p w14:paraId="70863DC0" w14:textId="77777777" w:rsidR="00443399" w:rsidRPr="0065154F"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Klasificēta ārpus valdības sektora.</w:t>
      </w:r>
    </w:p>
  </w:footnote>
  <w:footnote w:id="195">
    <w:p w14:paraId="68FBF0E6" w14:textId="77777777" w:rsidR="00443399" w:rsidRPr="0065154F"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Klasificēta ārpus valdības sektora.</w:t>
      </w:r>
    </w:p>
  </w:footnote>
  <w:footnote w:id="196">
    <w:p w14:paraId="24559507" w14:textId="77777777" w:rsidR="00443399" w:rsidRPr="0065154F"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Jāanalizē abi posmi (pārdošana un saņemšana atpakaļ nomā).</w:t>
      </w:r>
    </w:p>
  </w:footnote>
  <w:footnote w:id="197">
    <w:p w14:paraId="0242EF7C" w14:textId="77777777" w:rsidR="00443399" w:rsidRPr="00D873D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noteiktu, vai pircējam–aizdevējam ir būtisks ekonomisks stimuls īstenot savas tiesības, ir jāizvērtē vairāki faktori, tostarp, kāda ir atpirkšanas cenas un aktīva gaidāmās tirgus vērtības atpirkšanas brīdī attiecība un pēc cik ilga laika šīs tiesības beidzas (piemēram, ja sagaidāms, ka atpirkšanas cena pārsniegs aktīva tirgus vērtību, tas var liecināt, ka pircējam ir būtisks ekonomisks stimuls īstenot pārdošanas iespēju līgumu). Šo izvērtējumu veic līguma slēgšanas brīdī.</w:t>
      </w:r>
    </w:p>
  </w:footnote>
  <w:footnote w:id="198">
    <w:p w14:paraId="5CEA1587"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varētu būt arī gadījumos, kad valdība nomas līgumos darbojas kā iznomātājs. Noteikumi ir piemērojami simetriski.</w:t>
      </w:r>
    </w:p>
  </w:footnote>
  <w:footnote w:id="199">
    <w:p w14:paraId="1B48BFB4"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valdība veic vienreizēju maksājumu, lai saņemtu tiesības izmantot ēku 20 gadus, un pēc tam saņemtu ēku savā rīcībā, minēto 20 gadu posmā uzņemoties visus labumus, izmaksas, riskus un priekšrocības, kas saistītas ar īpašumtiesībām uz šo ēku; to ieraksta kā ēkas pirkumu (P.51) par tirgus cenu. Skat. arī 6.2. nodaļu “Pārdošana ar saņemšanu atpakaļ nomā”, 6.3. nodaļu “Līgumi ar valdības sektoram nepiederošām vienībām saistībā ar pamatlīdzekļiem” un 6.4. nodaļu “Publiskā un privātā partnerība (PPP)”.</w:t>
      </w:r>
    </w:p>
  </w:footnote>
  <w:footnote w:id="200">
    <w:p w14:paraId="50EF16D6"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ietver apsaimniekošanu, tehnisko apkopi, maksas iekasēšanu u. c. pasākumus. Dažus no šiem pienākumiem var nodod apakšuzņēmējiem, koncesionāram uzņemoties galīgo atbildību un kontroli.</w:t>
      </w:r>
    </w:p>
  </w:footnote>
  <w:footnote w:id="201">
    <w:p w14:paraId="7F4BDD4A" w14:textId="77777777" w:rsidR="00443399" w:rsidRPr="00FE5B78" w:rsidRDefault="00443399" w:rsidP="00443399">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Attiecībā uz koncesiju nav saskaņotas definīcijas terminam “ilgtermiņa”, taču praksē koncesijas līgumi parasti tiek slēgti vismaz uz 20 gadiem un bieži vien arī uz 30–35 gadiem.</w:t>
      </w:r>
    </w:p>
  </w:footnote>
  <w:footnote w:id="202">
    <w:p w14:paraId="1C756003"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valdība kontrolē subjektu, kuram vienīgā vai galvenā noteicošā darbība ir saistīta ar vienu koncesijas līgumu ar valdību, šādu subjektu klasificē valdības sektorā.</w:t>
      </w:r>
    </w:p>
  </w:footnote>
  <w:footnote w:id="203">
    <w:p w14:paraId="5DF11DF1"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nozīmē, ka valdība precīzi definē aktīvu, un līguma beigās tas parasti tiek nodots valdībai.</w:t>
      </w:r>
    </w:p>
  </w:footnote>
  <w:footnote w:id="204">
    <w:p w14:paraId="06169200" w14:textId="77777777" w:rsidR="00443399" w:rsidRPr="00FE5B78" w:rsidRDefault="00443399" w:rsidP="00443399">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Tieša garantija nozīmē to, ka parāda saistību turētājiem ir iespēja tieši vērsties pie garantijas izsniedzēja (bez nosacījumiem un parasti pēc pirmā pieprasījuma). Šāda situācija ievērojami atšķiras no netiešās garantijas, piemēram, kad pastāv augsta varbūtība (vai arī par to nav nekādu šaubu), ka valdība sniegs atbalstu sabiedrībai, kura nespēj izpildīt savas saistības, tādēļ, ka šāds atbalsts ir ļoti būtisks no infrastruktūras uzturēšanas viedokļa. Šādā gadījumā aizsardzības apmērs kreditoriem varētu būt neskaidrs.</w:t>
      </w:r>
    </w:p>
  </w:footnote>
  <w:footnote w:id="205">
    <w:p w14:paraId="2AEBCF9C"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Koncesijas līguma beigās aktīvi var arī nebūt nodoti valdībai bez maksas un no valdības var būt pieprasīts maksājums par šiem aktīviem. Šādā gadījumā 50 % kritērija aprēķinā jāņem vērā arī paredzētā maksājuma vērtība. Turklāt jāpārbauda, vai tad, kad tiek veikts maksājums, tas atbilst aktīvu tirgus vērtībai, kad tos ieraksta valdības bilancē.</w:t>
      </w:r>
    </w:p>
  </w:footnote>
  <w:footnote w:id="206">
    <w:p w14:paraId="338863B2" w14:textId="77777777" w:rsidR="00443399" w:rsidRPr="00FE5B78"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var nozīmēt, ka līguma darbības termiņa sākumā tiek uzskatīts, ka aktīvi ir valdības aktīvi.</w:t>
      </w:r>
    </w:p>
  </w:footnote>
  <w:footnote w:id="207">
    <w:p w14:paraId="12657D35"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atbilst EKS 2010 2.12. punktam, kas attiecas uz “lēmumu pieņemšanas autonomiju savu pamatfunkciju īstenošanā”. Attiecībā uz koncesionāru tas nozīmē būt aktīvam saistībā ar koncesijām.</w:t>
      </w:r>
    </w:p>
  </w:footnote>
  <w:footnote w:id="208">
    <w:p w14:paraId="5A81100D"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Tiek pieņemts, ka, tā kā vienības stratēģiju nosaka valdības vienības (kas ir galvenais aspekts attiecībā uz kontroles jēdzienu nacionālajos kontos), darbības paplašināšanai/dažādošanai būtu nepieciešams kontrolējošās(-o) vienības(-u) lēmums.</w:t>
      </w:r>
    </w:p>
  </w:footnote>
  <w:footnote w:id="209">
    <w:p w14:paraId="2451AC99"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Bieži vien koncesionāram līgumā tiek noteiktas saistības </w:t>
      </w:r>
      <w:r>
        <w:rPr>
          <w:rFonts w:ascii="Times New Roman" w:hAnsi="Times New Roman"/>
          <w:i/>
          <w:iCs/>
        </w:rPr>
        <w:t>ex ante</w:t>
      </w:r>
      <w:r>
        <w:rPr>
          <w:rFonts w:ascii="Times New Roman" w:hAnsi="Times New Roman"/>
        </w:rPr>
        <w:t xml:space="preserve"> noteiktā laikposmā pakāpeniski veidot rezerves liela apjoma remontdarbiem, kas jāveic līguma darbības laikā. Turklāt koncesijas līgumos bieži vien tiek paredzēts, ka valdība līguma darbības laikā, kuru varētu pagarināt, var lemt par koncesijas aktīvu jaudas paplašināšanu/modernizāciju.</w:t>
      </w:r>
    </w:p>
  </w:footnote>
  <w:footnote w:id="210">
    <w:p w14:paraId="6C57364E" w14:textId="77777777" w:rsidR="00443399" w:rsidRPr="00FE5B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Saistībā ar “cenu noteikšanu”, t. i., nodevām/maksām, ko iekasē no gala lietotājiem, daudzos koncesijas līgumos tas tiek noteikts samērā ierobežojošā veidā (jo īpaši, izmantojot indeksācijas mehānismu).</w:t>
      </w:r>
    </w:p>
  </w:footnote>
  <w:footnote w:id="211">
    <w:p w14:paraId="68CB4E89" w14:textId="77777777" w:rsidR="00443399" w:rsidRPr="00FE5B78"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Varētu izvērtēt arī īpašu gadījumu, kurā koncesijas līgums(-i) ar valdības vienību(-ām) ir neliela daļa no darbībām, ko veic vienība, kas iesaistīta tirgus darbībās (pārdošana par ekonomiski nozīmīgām cenām, kas sedz vismaz 50 % no šīs darbības ražošanas izmaksām). Ja attiecībā uz visiem koncesijas līgumiem vai uz kādiem no tiem tiek konstatēts, ka nav lēmumu pieņemšanas autonomijas, koncesijas aktīvi ir pārklasificējami līgumslēdzējas vai kontrolējošās valdības vienības bilancē, kā pretvērtību ierakstot nosacīto parādu.</w:t>
      </w:r>
    </w:p>
  </w:footnote>
  <w:footnote w:id="212">
    <w:p w14:paraId="5A90D5E1" w14:textId="77777777" w:rsidR="00443399" w:rsidRPr="00F83BEB"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maksājumi par sporta telpu izmantošanu izglītības iestādēs personām, kas nemācās šajā iestādē.</w:t>
      </w:r>
    </w:p>
  </w:footnote>
  <w:footnote w:id="213">
    <w:p w14:paraId="0169F91A" w14:textId="77777777" w:rsidR="00443399" w:rsidRPr="00F83BEB"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Skatīt jo īpaši 15.1. tabulu “Trīs dažādu nomas veidu ierakstīšana”.</w:t>
      </w:r>
    </w:p>
  </w:footnote>
  <w:footnote w:id="214">
    <w:p w14:paraId="5985FE2F" w14:textId="77777777" w:rsidR="00443399" w:rsidRPr="00F83BEB" w:rsidRDefault="00443399" w:rsidP="00786F96">
      <w:pPr>
        <w:pStyle w:val="FootnoteText"/>
        <w:jc w:val="both"/>
      </w:pPr>
      <w:r>
        <w:rPr>
          <w:rStyle w:val="FootnoteReference"/>
          <w:rFonts w:ascii="Times New Roman" w:hAnsi="Times New Roman" w:cs="Times New Roman"/>
        </w:rPr>
        <w:footnoteRef/>
      </w:r>
      <w:r>
        <w:rPr>
          <w:rFonts w:ascii="Times New Roman" w:hAnsi="Times New Roman"/>
        </w:rPr>
        <w:t xml:space="preserve"> Jāuzsver, ja tiktu piemēroti </w:t>
      </w:r>
      <w:r>
        <w:rPr>
          <w:rFonts w:ascii="Times New Roman" w:hAnsi="Times New Roman"/>
          <w:i/>
          <w:iCs/>
        </w:rPr>
        <w:t>IPSAS</w:t>
      </w:r>
      <w:r>
        <w:rPr>
          <w:rFonts w:ascii="Times New Roman" w:hAnsi="Times New Roman"/>
        </w:rPr>
        <w:t xml:space="preserve"> noteikumi, gandrīz visas dalībvalstīs esošās PPP nonāktu valdības bilancē, jo galvenie kritēriji, kas jāņem vērā to klasifikācijai, būtu aktīvu kontrole un aktīvu sadale līguma darbības termiņa beigās. Tomēr EKS 2010 tiek uzsvērta ekonomisko īpašumtiesību, nevis juridisko īpašumtiesību koncepcija. Tādēļ EKS 2010 ir noteikts, ka, lai aktīvi tiktu klasificēti partnera bilancē, partnerim ir jāuzņemas riski un atlīdzības saistībā ar aktīva lietošanu, kā tas paskaidrots EKS 2010 1.90. punktā. Acīmredzami, ja visus ar aktīva izmantošanu saistītos riskus un atlīdzības uzņemtos partneris, nerastos problēmas saistībā ar PPP klasifikāciju. Tomēr vairumā līgumu ir redzams, ka valdība ar dažādu mehānismu starpniecību (atlīdzību griesti partnerim, daļējas īpašumtiesības partnerim, ienākums valdībai, kas izriet no aktīvu izmantošanas, parāda refinansēšanas noteikumi utt.) bieži vien daļu no atlīdzībām, ko sniedz aktīvu izmantošana, paņem atpakaļ. Tas pats attiecas uz riskiem, proti, valdība piekrīt paņemt no partnera daļu no riskiem saistībā ar valdībai sniegto projektu. Tādējādi rodas jautājumi par PPP klasifikāciju, kā arī nākas neievērot vienu no EKS 2010 pamatprincipiem (proti, ka riski un atlīdzības ir jāuzņemas aktīvu ekonomiskajam īpašniekam), turklāt būtiski palielinās varbūtība, ka PPP tiks klasificēts valdības bilancē.</w:t>
      </w:r>
    </w:p>
  </w:footnote>
  <w:footnote w:id="215">
    <w:p w14:paraId="04754392" w14:textId="77777777" w:rsidR="00443399" w:rsidRPr="00F83BEB" w:rsidRDefault="00443399" w:rsidP="00786F9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Acīmredzami, būvniecības riskus nevar uzņemties, ja aktīvs netiek faktiski būvēts vai atjaunots.</w:t>
      </w:r>
    </w:p>
  </w:footnote>
  <w:footnote w:id="216">
    <w:p w14:paraId="21ADE599" w14:textId="77777777" w:rsidR="00443399" w:rsidRPr="00F83BEB" w:rsidRDefault="00443399" w:rsidP="00786F96">
      <w:pPr>
        <w:pStyle w:val="FootnoteText"/>
        <w:jc w:val="both"/>
      </w:pPr>
      <w:r>
        <w:rPr>
          <w:rStyle w:val="FootnoteReference"/>
          <w:rFonts w:ascii="Times New Roman" w:hAnsi="Times New Roman" w:cs="Times New Roman"/>
        </w:rPr>
        <w:footnoteRef/>
      </w:r>
      <w:r>
        <w:rPr>
          <w:rFonts w:ascii="Times New Roman" w:hAnsi="Times New Roman"/>
        </w:rPr>
        <w:t xml:space="preserve"> Ir jābūt solidāri izpildītiem visiem šajā nodaļā noteiktajiem kritērijiem.</w:t>
      </w:r>
    </w:p>
  </w:footnote>
  <w:footnote w:id="217">
    <w:p w14:paraId="274DE2D8" w14:textId="77777777" w:rsidR="00443399" w:rsidRPr="00F83BEB"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Turpmāk sniegtie norādījumi attiecībā uz traktējumu nacionālajos kontos ir sniegti, pamatojoties uz risku un atlīdzību pieeju, kas var būt par iemeslu atšķirīgai aktīvu klasifikācijai citās uzskaites sistēmās (piemēram, </w:t>
      </w:r>
      <w:r>
        <w:rPr>
          <w:rFonts w:ascii="Times New Roman" w:hAnsi="Times New Roman"/>
          <w:i/>
          <w:iCs/>
        </w:rPr>
        <w:t>IFRS</w:t>
      </w:r>
      <w:r>
        <w:rPr>
          <w:rFonts w:ascii="Times New Roman" w:hAnsi="Times New Roman"/>
        </w:rPr>
        <w:t xml:space="preserve"> vai </w:t>
      </w:r>
      <w:r>
        <w:rPr>
          <w:rFonts w:ascii="Times New Roman" w:hAnsi="Times New Roman"/>
          <w:i/>
          <w:iCs/>
        </w:rPr>
        <w:t>IPSAS</w:t>
      </w:r>
      <w:r>
        <w:rPr>
          <w:rFonts w:ascii="Times New Roman" w:hAnsi="Times New Roman"/>
        </w:rPr>
        <w:t>).</w:t>
      </w:r>
    </w:p>
  </w:footnote>
  <w:footnote w:id="218">
    <w:p w14:paraId="72043E26" w14:textId="77777777" w:rsidR="00443399" w:rsidRPr="00F83BEB" w:rsidRDefault="00443399" w:rsidP="00443399">
      <w:pPr>
        <w:jc w:val="both"/>
        <w:rPr>
          <w:rFonts w:ascii="Times New Roman" w:eastAsia="Arial" w:hAnsi="Times New Roman" w:cs="Arial"/>
          <w:noProof/>
          <w:sz w:val="24"/>
          <w:szCs w:val="14"/>
        </w:rPr>
      </w:pPr>
      <w:r>
        <w:rPr>
          <w:rStyle w:val="FootnoteReference"/>
          <w:rFonts w:ascii="Times New Roman" w:hAnsi="Times New Roman" w:cs="Times New Roman"/>
          <w:sz w:val="20"/>
          <w:szCs w:val="20"/>
        </w:rPr>
        <w:footnoteRef/>
      </w:r>
      <w:r>
        <w:rPr>
          <w:rFonts w:ascii="Times New Roman" w:hAnsi="Times New Roman"/>
          <w:sz w:val="20"/>
          <w:szCs w:val="20"/>
        </w:rPr>
        <w:t xml:space="preserve"> Piemēram, uzkopšana kā daļa no apkopes pasākumiem vai ēdināšana kā daļa no ēkas apsaimniekošanas.</w:t>
      </w:r>
    </w:p>
  </w:footnote>
  <w:footnote w:id="219">
    <w:p w14:paraId="27D13529"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Šo secinājumu pastiprina arī tas, ka EKS 2010 20.282. punktā ir skaidri norādīts, ka </w:t>
      </w:r>
      <w:r>
        <w:rPr>
          <w:rFonts w:ascii="Times New Roman" w:hAnsi="Times New Roman"/>
          <w:i/>
          <w:iCs/>
        </w:rPr>
        <w:t>.. aktīvu darbmūžs parasti ir daudz ilgāks nekā līguma darbības laiks, tāpēc valdība var kontrolēt aktīvus, uzņemties risku un saņemt atlīdzību gandrīz visā aktīvu darbmūža laikā</w:t>
      </w:r>
      <w:r>
        <w:rPr>
          <w:rFonts w:ascii="Times New Roman" w:hAnsi="Times New Roman"/>
        </w:rPr>
        <w:t>.</w:t>
      </w:r>
    </w:p>
  </w:footnote>
  <w:footnote w:id="220">
    <w:p w14:paraId="1FF13B64"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Ir skaidrs, ka aktīvs vienmēr ir jāpiešķir subjektam. Ja tas vairs ekonomiski nepieder vecajam partnerim (brīdī, kad vairs netiek nodrošināta uzturēšana un netiek saņemti pieejamības vai pieprasījuma maksājumi), tam ir jāpieder valdībai, vismaz tik ilgi, kamēr notiek jaunā konkursa procedūra.</w:t>
      </w:r>
    </w:p>
  </w:footnote>
  <w:footnote w:id="221">
    <w:p w14:paraId="04802879"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Jaunajam partnerim būtu jāmaksā par aktīvu iegādi to atlikušajā vērtībā.</w:t>
      </w:r>
    </w:p>
  </w:footnote>
  <w:footnote w:id="222">
    <w:p w14:paraId="439D65D3" w14:textId="77777777" w:rsidR="00443399" w:rsidRPr="00240D5C"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Var gadīties, ka trešās puses veic maksājumus par to, ka daļēji izmanto kādus aktīvus (piemēram, skolas sporta telpas pēc mācību stundām ir atvērtas plašākai sabiedrībai, koncerti stadionos utt.), vai šie maksājumi nav saistīti ar aktīva pamata izmantojumu (piemēram, kafejnīca slimnīcā). Var gadīties, ka šādus trešo pušu maksājumus sadala valdība un partneris. Šādā gadījumā, ja tie ir tīri atlikuma maksājumi, tie neietekmē PPP analīzi, taču ja tie nav nebūtiski, šīs atlīdzības ir jāiekļauj analīzē, ciktāl attiecas uz atlīdzību sadalījumu.</w:t>
      </w:r>
    </w:p>
  </w:footnote>
  <w:footnote w:id="223">
    <w:p w14:paraId="08582E84"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Vai arī finansē ievērojamu daļu no kapitāla izdevumiem, taču tie kopumā nepārsniedz 50 %.</w:t>
      </w:r>
    </w:p>
  </w:footnote>
  <w:footnote w:id="224">
    <w:p w14:paraId="39FD2FC8" w14:textId="77777777" w:rsidR="00443399" w:rsidRPr="00240D5C"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Jautājumi par PPP ir traktēti EKS 2010 20.276.–20.290. punktā.</w:t>
      </w:r>
    </w:p>
  </w:footnote>
  <w:footnote w:id="225">
    <w:p w14:paraId="411EDD7A"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Nebūtu nozīmes tam, vai akcijas pieder līgumslēdzējai valdības vienībai vai citai valdības vienībai, kura varētu pat ietilpt citā valdības apakšsektorā.</w:t>
      </w:r>
    </w:p>
  </w:footnote>
  <w:footnote w:id="226">
    <w:p w14:paraId="582378A5" w14:textId="77777777" w:rsidR="00443399" w:rsidRPr="00240D5C"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“mazāk svarīgais komponents” paredz noteiktu mehānismu, kas jebkurā gadījumā varētu garantēt partnerim minimālos ieņēmumus vai peļņu pat tad, ja attiecībā uz “galveno komponentu” tiek piemēroti sodi, tas jāņem vērā līguma vispārējā novērtējumā.</w:t>
      </w:r>
    </w:p>
  </w:footnote>
  <w:footnote w:id="227">
    <w:p w14:paraId="63D83E49"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varētu būt kādu noteiktu “līdzdalībnieku” risku gadījums, attiecībā uz kuriem neapmierinošie darbības rezultāti nevar būt par iemeslu aktīvu pārklasifikācijai.</w:t>
      </w:r>
    </w:p>
  </w:footnote>
  <w:footnote w:id="228">
    <w:p w14:paraId="79DA6962" w14:textId="77777777" w:rsidR="00443399" w:rsidRPr="00EC61B3"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Kā norādīts EKS 2010 20.285. punktā, ja ļoti sarežģītu vienošanos gadījumā (aktīvu veids, līgumsaistību izstrāde) analīze, kas veikta atbilstīgi iepriekš un turpmāk minētajiem kritērijiem, nesniegs nešaubīgus secinājumus, kā papildu kritēriju varētu apsvērt valdības iesaistīšanās pakāpi aktīvu un sniedzamo pakalpojumu noteikšanā.</w:t>
      </w:r>
    </w:p>
  </w:footnote>
  <w:footnote w:id="229">
    <w:p w14:paraId="4B09BFE6" w14:textId="77777777" w:rsidR="00443399" w:rsidRPr="00194428" w:rsidRDefault="00443399" w:rsidP="00443399">
      <w:pPr>
        <w:pStyle w:val="FootnoteText"/>
        <w:jc w:val="both"/>
        <w:rPr>
          <w:rFonts w:ascii="Times New Roman" w:hAnsi="Times New Roman" w:cs="Times New Roman"/>
        </w:rPr>
      </w:pPr>
      <w:r w:rsidRPr="00194428">
        <w:rPr>
          <w:rStyle w:val="FootnoteReference"/>
          <w:rFonts w:ascii="Times New Roman" w:hAnsi="Times New Roman" w:cs="Times New Roman"/>
        </w:rPr>
        <w:footnoteRef/>
      </w:r>
      <w:r w:rsidRPr="00194428">
        <w:rPr>
          <w:rFonts w:ascii="Times New Roman" w:hAnsi="Times New Roman" w:cs="Times New Roman"/>
        </w:rPr>
        <w:t xml:space="preserve"> Šajā saistībā var gadīties, ka laikā, kad valdība un partneris paraksta līgumu, par finansēšanas noteikumiem vēl nav panākta vienošanās. Šādā gadījumā PPP atbilstību konkrētajiem noteikumiem, kas attiecas uz šajā nodaļā minētajiem finansēšanas un garantiju nosacījumiem, varēs novērtēt tikai tad, kad tiks panākta vienošanās par finansēšanas noteikumiem un tie tiks atbilstīgi pārbaudīti.</w:t>
      </w:r>
    </w:p>
  </w:footnote>
  <w:footnote w:id="230">
    <w:p w14:paraId="5013B897"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būtu vienošanās, ka ES fondi tiek piešķirti valdībai tiešā veidā, lai segtu daļu no nākotnes maksājumiem, kas valdībai būs jāveic saistībā ar PPP līgumu, tad, kad šie līdzekļi tiek pārskaitīti no ES, tie ir ierakstāmi kā finansiāls avanss, neietekmējot valdības neto aizdevumu/aizņēmumu (B.9). Kad valdība izmanto šos līdzekļus regulāro vienoto maksājumu veikšanai, tie būtu ierakstāmi kā valdības ieņēmumi, neitralizējot izdevumu ietekmi uz valdības neto aizdevumu/aizņēmumu (B.9), līdz PPP līgumam iedalītie ES līdzekļi tiek pilnībā izlietoti.</w:t>
      </w:r>
    </w:p>
  </w:footnote>
  <w:footnote w:id="231">
    <w:p w14:paraId="1F9D5120"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Acīmredzami šādas dotācijas vienkārši samazina projekta kapitāla izmaksas un nav jāataino pieejamības vai pieprasījuma vienotajos maksājumos, ko valdība veiks partnerim.</w:t>
      </w:r>
    </w:p>
  </w:footnote>
  <w:footnote w:id="232">
    <w:p w14:paraId="713DEB0D"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Lai piemērotu šos nacionālo kontu noteikumus, finansējums, kas tiek saņemts no EIB aizdevumu veidā, nav jāuzskata par valdības finansējumu, bet vienkārši par jebkuru privātā sektora finansējumu (ja vien EIB negūst labumu no valdības garantijām).</w:t>
      </w:r>
    </w:p>
  </w:footnote>
  <w:footnote w:id="233">
    <w:p w14:paraId="6F6F34ED"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līmenis ir ņemts no saistību nepildīšanas varbūtības matricas, ko izstrādājušas reitingu aģentūras.</w:t>
      </w:r>
    </w:p>
  </w:footnote>
  <w:footnote w:id="234">
    <w:p w14:paraId="184E54D2"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valdība tur subordinēto parādu, kas ir 30 % no kopējās summas, un citi ieguldītāji tur 70 % prioritāro parādu. Subordinētā parāda īpatsvars būtu 75, un valdības daļa kopējā finansējumā būtu 75/145 = 51,7 %. Subordinēto parādu varētu turēt arī citi ieguldītāji, piemēram, valdības subordinētais parāds – 20 %, cits subordinētais parāds – 10 %, prioritārais parāds – 7 %; valdības daļa kopējā finansējumā šajā gadījumā būtu 50/145=34,5 %.</w:t>
      </w:r>
    </w:p>
  </w:footnote>
  <w:footnote w:id="235">
    <w:p w14:paraId="1018C559" w14:textId="77777777" w:rsidR="00443399" w:rsidRPr="00EC61B3"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varētu attiekties arī uz partnera “sponsoru” risku vērtējumu (piemēram, būvniecības uzņēmumu gadījumā, kuri ir izveidojuši konkrētu PPP vienību), kuriem nāktos atbalstīt partneri grūtību gadījumā (šādam atbalstam būtu jābūt obligātam, ja viņi iesaistījušies neierobežotas atbildības veidā).</w:t>
      </w:r>
    </w:p>
  </w:footnote>
  <w:footnote w:id="236">
    <w:p w14:paraId="21579EA2"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nozīmē to, ka parāda saistību turētāji to varētu tieši izmantot (parasti bez papildu nosacījumiem un pēc pirmā pieprasījuma), tiklīdz tiek konstatēta neizpilde vai dažos gadījumos pēc noteiktu struktūru (piemēram, Starptautiskās mijmaiņas darījumu un atvasinājumu asociācijas (</w:t>
      </w:r>
      <w:r>
        <w:rPr>
          <w:rFonts w:ascii="Times New Roman" w:hAnsi="Times New Roman"/>
          <w:i/>
          <w:iCs/>
        </w:rPr>
        <w:t>ISDA</w:t>
      </w:r>
      <w:r>
        <w:rPr>
          <w:rFonts w:ascii="Times New Roman" w:hAnsi="Times New Roman"/>
        </w:rPr>
        <w:t>)) novērtējuma.</w:t>
      </w:r>
    </w:p>
  </w:footnote>
  <w:footnote w:id="237">
    <w:p w14:paraId="396D6247" w14:textId="77777777" w:rsidR="00443399" w:rsidRPr="00EC61B3"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Piemēram, valdība varētu sniegt garantiju sabiedrībai, kas iesaistīta dažādās darbībās, ne tikai PPP projektā, attiecībā uz visu tās parādu. Minētais noteikums būtu pilnīgi piemērojams arī attiecībā uz šo gadījumu.</w:t>
      </w:r>
    </w:p>
  </w:footnote>
  <w:footnote w:id="238">
    <w:p w14:paraId="346004D3" w14:textId="77777777" w:rsidR="00443399" w:rsidRPr="00EC61B3" w:rsidRDefault="00443399" w:rsidP="00E5337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atkārtota konkursa process varētu izrādīties nepārliecinošs, proti, tajā nav pretendentu vai ir tikai viens pretendents.</w:t>
      </w:r>
    </w:p>
  </w:footnote>
  <w:footnote w:id="239">
    <w:p w14:paraId="62A5F3FB" w14:textId="77777777" w:rsidR="00443399" w:rsidRPr="00EC61B3" w:rsidRDefault="00443399" w:rsidP="00E53372">
      <w:pPr>
        <w:pStyle w:val="FootnoteText"/>
        <w:jc w:val="both"/>
      </w:pPr>
      <w:r>
        <w:rPr>
          <w:rStyle w:val="FootnoteReference"/>
          <w:rFonts w:ascii="Times New Roman" w:hAnsi="Times New Roman" w:cs="Times New Roman"/>
        </w:rPr>
        <w:footnoteRef/>
      </w:r>
      <w:r>
        <w:rPr>
          <w:rFonts w:ascii="Times New Roman" w:hAnsi="Times New Roman"/>
        </w:rPr>
        <w:t xml:space="preserve"> Aktīva tirgus vērtību, ko nosaka neatkarīgi eksperti, novērtē, pamatojoties uz tā būvniecības izmaksām, kas pienācīgi amortizētas līguma darbības laikā, ņemot vērā arī iepriekšējā partnera saistību nepildīšanu attiecībā uz apkopi un remontiem, kuru dēļ nepieciešami jauni izdevumi saistībā ar bruto pamatkapitāla veidošanu.</w:t>
      </w:r>
    </w:p>
  </w:footnote>
  <w:footnote w:id="240">
    <w:p w14:paraId="138DE284" w14:textId="77777777" w:rsidR="00443399" w:rsidRPr="00EC61B3"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uzskaitījums nav pilnīgs, ir jānorāda konkrētais apstākļu veids, piemēram, dabas katastrofa, karš un sacelšanās, utt.</w:t>
      </w:r>
    </w:p>
  </w:footnote>
  <w:footnote w:id="241">
    <w:p w14:paraId="45379EDF" w14:textId="77777777" w:rsidR="00443399" w:rsidRPr="00EC61B3"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Piemēram, streiks var būt “ģenerālstreiks” vai arī streiks, kas konkrēti attiecas uz partnera nodarbināto personālu. Var gadīties, ka skola tiek slēgta epidemioloģisku apsvērumu dēļ, taču higiēnas apstākļi skolā ir iesaistīti piesārņojuma radīšanā.</w:t>
      </w:r>
    </w:p>
  </w:footnote>
  <w:footnote w:id="242">
    <w:p w14:paraId="01D69E58" w14:textId="77777777" w:rsidR="00443399" w:rsidRPr="00252DD7"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Piemēram, par vides un arheoloģijas riskiem.</w:t>
      </w:r>
    </w:p>
  </w:footnote>
  <w:footnote w:id="243">
    <w:p w14:paraId="21853477" w14:textId="77777777" w:rsidR="00443399" w:rsidRPr="00A4411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Noteikta daudzuma vienības (</w:t>
      </w:r>
      <w:r>
        <w:rPr>
          <w:rFonts w:ascii="Times New Roman" w:hAnsi="Times New Roman"/>
          <w:i/>
          <w:iCs/>
        </w:rPr>
        <w:t>AAU</w:t>
      </w:r>
      <w:r>
        <w:rPr>
          <w:rFonts w:ascii="Times New Roman" w:hAnsi="Times New Roman"/>
        </w:rPr>
        <w:t>) ir atļauja emitēt siltumnīcefekta gāzes, kas ietver oglekļa dioksīda metriskās tonnas ekvivalentus.</w:t>
      </w:r>
    </w:p>
  </w:footnote>
  <w:footnote w:id="244">
    <w:p w14:paraId="0E3A904E" w14:textId="77777777" w:rsidR="00443399" w:rsidRPr="00A4411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Uz nodokļu bāzes veidotas sistēmas gadījumā emitētā oglekļa daudzums netiek noteikts iepriekš, savukārt atļauju maksimālā apjoma noteikšanas sistēma atbilst ES centieniem samazināt piesārņojuma apjomu, nosakot vispārējo maksimālo apjomu kādā laika posmā.</w:t>
      </w:r>
    </w:p>
  </w:footnote>
  <w:footnote w:id="245">
    <w:p w14:paraId="77BEA6FF" w14:textId="77777777" w:rsidR="00443399" w:rsidRPr="00A44118"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Tomēr ir jāuzsver, ka jaunais periods (ko dēvē par “3. posmu”) 2013. gadā ir sācies ar konkrētu “mantojumu” no iepriekšējā perioda, proti, ar ievērojamu daudzumu atļauju (galvenokārt izdotas bez maksas), kuras nevarēja tikt izmantotas dažādu iemeslu dēļ, jo īpaši tādēļ, ka negaidīti samazinājās smagi piesārņojošo uzņēmumu ražošana, un kas tika pārnestas uz 3. posmu. Šā iemesla dēļ pašreizējā (2015. gada) oglekļa tonnas cena joprojām šobrīd ir zema un būtiski atpaliek no cenas līmeņa, ko vairums ekspertu uzskata par tādu, kas varētu būtiski ietekmēt ražošanas procesus.</w:t>
      </w:r>
    </w:p>
  </w:footnote>
  <w:footnote w:id="246">
    <w:p w14:paraId="68197A59" w14:textId="77777777" w:rsidR="00443399" w:rsidRPr="00A4411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valdība izsolē izdeva 100 atļaujas, kuru vērtība ir 5, kad tika nodotas 50 atļaujas. Nodoklis ir 250 un atlikušā kopuma (AF.89) vērtība ir 250. Uzskatāms, ka bezmaksas atļaujām ir nulles vērtība.</w:t>
      </w:r>
    </w:p>
  </w:footnote>
  <w:footnote w:id="247">
    <w:p w14:paraId="34778FF5" w14:textId="77777777" w:rsidR="00443399" w:rsidRPr="00A4411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Papildus “valstī izdotajām atļaujām” ekonomikas subjekti var tās iegādāties arī no nerezidentiem turētājiem vai iegādāties citviet ES rīkotajās izsolēs. Tās iepriekš minētajā formulā neņem vērā.</w:t>
      </w:r>
    </w:p>
  </w:footnote>
  <w:footnote w:id="248">
    <w:p w14:paraId="69DA8BDC" w14:textId="77777777" w:rsidR="00443399" w:rsidRPr="00A44118" w:rsidRDefault="00443399" w:rsidP="00230D8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Iekļaujot izsoles, kas varētu tikt rīkotas tā gada pirmajā ceturksnī, kurā atļaujas tiek nodotas.</w:t>
      </w:r>
    </w:p>
  </w:footnote>
  <w:footnote w:id="249">
    <w:p w14:paraId="0034594F" w14:textId="77777777" w:rsidR="00443399" w:rsidRPr="00A44118" w:rsidRDefault="00443399" w:rsidP="00230D8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nozīmētu, ka daļa kādā valstī izdotu atļauju tiek nodota citā valstī (pārdota nerezidentiem vai grupas iekšienē ražošanas vienības, kas atrodas dažādās ES valstīs, ir veikušas apmaiņu).</w:t>
      </w:r>
    </w:p>
  </w:footnote>
  <w:footnote w:id="250">
    <w:p w14:paraId="7352CBC4" w14:textId="77777777" w:rsidR="00443399" w:rsidRPr="00A44118" w:rsidRDefault="00443399" w:rsidP="00230D80">
      <w:pPr>
        <w:pStyle w:val="FootnoteText"/>
        <w:jc w:val="both"/>
      </w:pPr>
      <w:r>
        <w:rPr>
          <w:rStyle w:val="FootnoteReference"/>
          <w:rFonts w:ascii="Times New Roman" w:hAnsi="Times New Roman" w:cs="Times New Roman"/>
        </w:rPr>
        <w:footnoteRef/>
      </w:r>
      <w:r>
        <w:rPr>
          <w:rFonts w:ascii="Times New Roman" w:hAnsi="Times New Roman"/>
        </w:rPr>
        <w:t xml:space="preserve"> Tomēr ir jāņem vērā atļauju skaits, kas varētu tikt izmantots nākamajā posmā pēc 2020. gada. Tā kā sistēma ir būtiski jāpārskata, šobrīd nav nekādas informācijas par šo iespēju.</w:t>
      </w:r>
    </w:p>
  </w:footnote>
  <w:footnote w:id="251">
    <w:p w14:paraId="4A601484" w14:textId="77777777" w:rsidR="00443399" w:rsidRPr="00685A0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Pieejams: 2011. gada februāris, </w:t>
      </w:r>
      <w:r>
        <w:rPr>
          <w:rFonts w:ascii="Times New Roman" w:hAnsi="Times New Roman"/>
          <w:i/>
          <w:iCs/>
        </w:rPr>
        <w:t>ISWGNA</w:t>
      </w:r>
      <w:r>
        <w:rPr>
          <w:rFonts w:ascii="Times New Roman" w:hAnsi="Times New Roman"/>
        </w:rPr>
        <w:t xml:space="preserve"> skaidrojumi.</w:t>
      </w:r>
    </w:p>
  </w:footnote>
  <w:footnote w:id="252">
    <w:p w14:paraId="62FFECFC" w14:textId="77777777" w:rsidR="00443399" w:rsidRPr="00685A0E"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Pieejams: 2012. gada marts, atjauninājums izdevumam “</w:t>
      </w:r>
      <w:r>
        <w:rPr>
          <w:rFonts w:ascii="Times New Roman" w:hAnsi="Times New Roman"/>
          <w:i/>
          <w:iCs/>
        </w:rPr>
        <w:t>SNA News and Notes</w:t>
      </w:r>
      <w:r>
        <w:rPr>
          <w:rFonts w:ascii="Times New Roman" w:hAnsi="Times New Roman"/>
        </w:rPr>
        <w:t>”, Nr. 30/31, 2011. gada februāris).</w:t>
      </w:r>
    </w:p>
  </w:footnote>
  <w:footnote w:id="253">
    <w:p w14:paraId="0F336202" w14:textId="77777777" w:rsidR="00443399" w:rsidRPr="00685A0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Pasaules līmenī pārrobežu darījumi, šķiet, ir neliela daļa no kopējām esošajām atļaujām, lai arī dažās ES dalībvalstīs to skaits varētu būt visai nozīmīgs dažādu iemeslu dēl (tostarp tāpēc, ka atļaujas iegādājas mātesuzņēmumi un pārdala savām filiālēm citās valstīs, kur tās varētu tikt nodotas).</w:t>
      </w:r>
    </w:p>
  </w:footnote>
  <w:footnote w:id="254">
    <w:p w14:paraId="41438DC4" w14:textId="77777777" w:rsidR="00443399" w:rsidRPr="00685A0E"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Tika apsvērta iespēja ES līmenī centralizēt visas izsoles un tad pārdalīt ieņēmumus, pamatojoties uz faktiskajām emisijām ES dalībvalstīs. 2009. gadā par to nebija panākta vienošanās.</w:t>
      </w:r>
    </w:p>
  </w:footnote>
  <w:footnote w:id="255">
    <w:p w14:paraId="57A26408" w14:textId="77777777" w:rsidR="00443399" w:rsidRPr="00F93F5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20.223. punktā minēti arī “parāda maksājumi citu vārdā”, kad netiek pārņemts viss parāds. Šāds gadījums jātraktē līdzīgi kā pārņemšana.</w:t>
      </w:r>
    </w:p>
  </w:footnote>
  <w:footnote w:id="256">
    <w:p w14:paraId="0BE459DB" w14:textId="77777777" w:rsidR="00443399" w:rsidRPr="00F93F5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Svarīgi pārbaudīt, vai daļu no uzņēmējdarbības nav pārņēmušas trešās personas, kas šādā gadījumā gūtu labumu no parāda anulēšanas, kurš tiktu ierakstīts kā kapitāla pārvedums.</w:t>
      </w:r>
    </w:p>
  </w:footnote>
  <w:footnote w:id="257">
    <w:p w14:paraId="5257DCF5" w14:textId="77777777" w:rsidR="00443399" w:rsidRPr="00CC701A" w:rsidRDefault="00443399" w:rsidP="0044339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garantija var būt kā kredīta nodrošinājums, jo kredītvērtējuma aģentūras parasti uz aizdevumu ņemošās vienības parādu attiecina galvotāja kredītvērtējumu, ja tas ir augstāks.</w:t>
      </w:r>
    </w:p>
  </w:footnote>
  <w:footnote w:id="258">
    <w:p w14:paraId="0FC477E7" w14:textId="77777777" w:rsidR="00443399" w:rsidRPr="00CC701A"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Termins “eksporta kredīts” tiek lietots šaurā nozīmē, proti, tās ir garantijas attiecībā uz aizdevumiem/kredītiem ārvalstu pircējiem vai attiecībā uz aizdevumiem vietējiem piegādātājiem, izņemot apdrošināšanu jebkādā veidā (piemēram, ar tirgus izpēti saistītā apdrošināšana, politiskais risks u. c.). Citiem vārdiem sakot, garantiju izsniedz tikai attiecībā uz aizdevēju iestāžu kredītrisku. Lai arī eksporta kredīta garantijas EKS 2010 un NKS 2008 ir norādītas kā standartizēto garantiju piemērs, tomēr ES eksporta kredīta garantijas parasti tiek uzskatītas par apdrošināšanu. Šajā nodaļā minētās operācijas ir izklāstītas ESAO dokumentā “Vienošanās attiecībā uz oficiāli atbalstītiem eksporta kredītiem” (pēdējo reizi atjaunināts 2015. gada jūlijā).</w:t>
      </w:r>
    </w:p>
  </w:footnote>
  <w:footnote w:id="259">
    <w:p w14:paraId="7F3884AC"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Dažos gadījumos viena gada laikā var būt novēroti vairāki garantijas izmaksāšanas pieprasījumi, pamatojoties uz vienu un to pašu garantijas līgumu. Saskaņā ar spēkā esošajiem noteikumiem tos visus uzskaita kā vienu pieprasījumu.</w:t>
      </w:r>
    </w:p>
  </w:footnote>
  <w:footnote w:id="260">
    <w:p w14:paraId="3646BDAF"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šādiem maksājumiem uzskata visus valdības pārvedumus, izņemot produktu subsīdijas (D.31), taču iekļaujot citas produktu subsīdijas (D.319).</w:t>
      </w:r>
    </w:p>
  </w:footnote>
  <w:footnote w:id="261">
    <w:p w14:paraId="52E7BE83" w14:textId="77777777" w:rsidR="00443399" w:rsidRPr="00CC701A"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Praksē var būt sarežģīti novērtēt šādu netiešu pieprasījumu, ņemot vērā, ka sabiedrībai var būt vairāki ieņēmumu avoti un valdība var piešķirt vairāku veidu atbalstu. Tāpēc šo noteikumu piemēro vienīgi tad, ja šāda situācija ir novērojama ilgstoši, attiecībā uz vairākiem pasākumiem un ne tikai ārkārtas gadījumos. Rūpīgi jāizskata arī tie gadījumi, kad valdība sistemātiski piešķir finansējumu sabiedrībai ievērojamas procentu daļas atmaksāšanai, jo tie varētu liecināt par to, ka sabiedrība varētu nespēt atmaksāt sava parāda pamatsummu. Jebkurā gadījumā valstu statistiķiem sadarbībā ar </w:t>
      </w:r>
      <w:r>
        <w:rPr>
          <w:rFonts w:ascii="Times New Roman" w:hAnsi="Times New Roman"/>
          <w:i/>
          <w:iCs/>
        </w:rPr>
        <w:t>Eurostat</w:t>
      </w:r>
      <w:r>
        <w:rPr>
          <w:rFonts w:ascii="Times New Roman" w:hAnsi="Times New Roman"/>
        </w:rPr>
        <w:t xml:space="preserve"> šis jautājums būtu jāizskata atsevišķi individuālajā līmenī.</w:t>
      </w:r>
    </w:p>
  </w:footnote>
  <w:footnote w:id="262">
    <w:p w14:paraId="1F847C90"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Jautājums par garantijām attiecībā uz grūtībās esošu finanšu iestāžu aktīviem ir apspriests 4.5. nodaļā “Finanšu sanācija”.</w:t>
      </w:r>
    </w:p>
  </w:footnote>
  <w:footnote w:id="263">
    <w:p w14:paraId="38AB530A"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“Trešā puse” nozīmē to, ka aktīvs nav prasījums attiecībā uz vienību, kurai izsniegta garantija, bet gan attiecībā uz citu vienību, kas nepiedalās noslēgtajā garantijas līgumā. Gadījumā, ja vienībai, kurai izsniegta garantija, ir finanšu prasījums, šīs vienības debitors var nodot tai šo aktīvu (iespējams, tādēļ, ka to paredz līgumsaistības un ka debitora saistību neizpilde ir bijusi par iemeslu garantijas izmantošanas pieprasījumam) un vienība šo aktīvu var nodot tālāk valdībai. Faktiski tas būtu prasījums attiecībā uz “ceturto pusi”.</w:t>
      </w:r>
    </w:p>
  </w:footnote>
  <w:footnote w:id="264">
    <w:p w14:paraId="1F9D7F5A"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Parasti kreditoriem ir tiešas tiesības uz šāda veida nodrošinājumu, kam ir jābūt skaidri identificētam (nošķirtam) aizņēmēja bilancē. Tomēr nevar izslēgt, ka kreditors aktivizē savas tiesības uz garantiju, ja aizņēmums ir arī nodots apakšnomā tiešai valdības garantijai.</w:t>
      </w:r>
    </w:p>
  </w:footnote>
  <w:footnote w:id="265">
    <w:p w14:paraId="782B5591" w14:textId="77777777" w:rsidR="00443399" w:rsidRPr="00CC701A"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šāda vērtība nav konstatēta, var izmantot patieso vērtību, ko neatkarīgas iestādes aprēķinājušas, pamatojoties uz parastajiem uzņēmējdarbības novērtēšanas paņēmieniem/modeļiem.</w:t>
      </w:r>
    </w:p>
  </w:footnote>
  <w:footnote w:id="266">
    <w:p w14:paraId="317E8C85" w14:textId="77777777" w:rsidR="00443399" w:rsidRPr="00CC701A"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Noteiktos apstākļos daļa prasījuma var palikt neatgūta un to traktē vai nu kā kapitāla pārvedumu, vai kā citas apjoma pārmaiņas.</w:t>
      </w:r>
    </w:p>
  </w:footnote>
  <w:footnote w:id="267">
    <w:p w14:paraId="5EE19312" w14:textId="77777777" w:rsidR="00443399" w:rsidRPr="00BB4BD9"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Aktīvu garantiju gadījumā, izņemot, ja aktīvi nodoti valdībai, ja sākotnējā garantiju saņēmusī vienība var atmaksāt valdībai summas, kas tika jau pieprasītas un ko valdība bija samaksājusi vienībai, kas tur aktīvus, šos maksājumus ieraksta valdības kontos kā saņemamo kapitāla pārvedumu.</w:t>
      </w:r>
      <w:r>
        <w:t xml:space="preserve"> </w:t>
      </w:r>
    </w:p>
  </w:footnote>
  <w:footnote w:id="268">
    <w:p w14:paraId="0ED401B1" w14:textId="77777777" w:rsidR="00443399" w:rsidRPr="006804F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Attiecībā uz publiskām sabiedrībām iepriekš 25. rindkopā norādīts, ka jebkurā gadījumā prasījums netiek atzīts.</w:t>
      </w:r>
    </w:p>
  </w:footnote>
  <w:footnote w:id="269">
    <w:p w14:paraId="7651A935" w14:textId="77777777" w:rsidR="00443399" w:rsidRPr="006804F8"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būtu iespējams tikai tad, ja būtu pamatotas cerības saņemt kādas summas, ja galvotājam būtu piekļuve sabiedrības likvidācijas vērtībai.</w:t>
      </w:r>
    </w:p>
  </w:footnote>
  <w:footnote w:id="270">
    <w:p w14:paraId="35D54227"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Direktīvu 2009/138/EK (Maksātspēja II)</w:t>
      </w:r>
      <w:r>
        <w:t>.</w:t>
      </w:r>
    </w:p>
  </w:footnote>
  <w:footnote w:id="271">
    <w:p w14:paraId="51579B39"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Jāņem vērā, ka šajā gadījumā valdības vienību, kas iesaistīta šajā pasākumā, var uzskatīt par finanšu kvazisabiedrību (atbilstīgi nosacījumiem, kas noteikti EKS 2010 2. nodaļā “Vienības un vienību grupas” un šīs rokasgrāmatas 1. daļā “Vispārējās valdības sektora norobežošana”) un līdz ar to klasificēt ārpus valdības sektora tā, lai valdības kontos parādītos tikai plūsmas starp šo vienību un valdību.</w:t>
      </w:r>
    </w:p>
  </w:footnote>
  <w:footnote w:id="272">
    <w:p w14:paraId="28EAB75E"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 ir kavētie maksājumi, ko debitors var veikt pēc tam, kad pieprasīts izmantot garantiju. Debitors joprojām var uzņemties juridisku atbildību, taču daudzos gadījumos dažādu iemeslu dēļ tā parāds pēc garantijas aktivēšanas var tikt negrozāmi uzskatīts par pilnīgi neatgūstamu.</w:t>
      </w:r>
    </w:p>
  </w:footnote>
  <w:footnote w:id="273">
    <w:p w14:paraId="4F896CEF" w14:textId="77777777" w:rsidR="00443399" w:rsidRPr="00A378E4"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Jāņem vērā, ka NKS 2008 un EKS 2010 tos dēvē par “uzkrājumiem standarta garantiju prasījumiem”, taču jāuzsver, ka tas nelīdzinās uzkrājumiem uzņēmumu grāmatvedībā, kuri tiek ierakstīti tikai tās vienības kontos, kas veido uzkrājumus, turpretī nacionālajos kontos to uzskata par finanšu instrumentu un līdz ar to ieraksta gan kā saistības (galvotāja kontos), gan attiecīgi kā aktīvu (apdrošinājuma ņēmēju kontos).</w:t>
      </w:r>
    </w:p>
  </w:footnote>
  <w:footnote w:id="274">
    <w:p w14:paraId="6624FA38"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 var “pieregulēt” ar citām apjoma pārmaiņām, ja prognozes attiecībā uz prasījumiem (garantijas izmaksāšanas pieprasījumiem) visā risku portfelī tiek pārvērtētas, attiecīgi tās paaugstinot vai pazeminot.</w:t>
      </w:r>
    </w:p>
  </w:footnote>
  <w:footnote w:id="275">
    <w:p w14:paraId="33A017AD"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situācija ir sīkāk apspriesta NKS 2008 (skat. 17.223. punktu), nevis EKS 2010.</w:t>
      </w:r>
    </w:p>
  </w:footnote>
  <w:footnote w:id="276">
    <w:p w14:paraId="1FB91FD1" w14:textId="77777777" w:rsidR="00443399" w:rsidRPr="00A378E4"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tiek ierakstīts kā kapitāla pārvedums, nevis kārtējais pārvedums, jo AF.66 uzkrājums tiek veidots turpmākiem saistību neizpildes gadījumiem (nevis saistību neizpildei, kas konstatēta kārtējā gadā), un to atspoguļo garantiju izmantošanas pieprasījumu paredzēšana pēc debitoru saistību neizpildes, ko saskaņā ar EKS 2010 ieraksta kā kapitāla pārvedumu (skat. EKS 2010 4.165. punkta f) apakšpunktu).</w:t>
      </w:r>
    </w:p>
  </w:footnote>
  <w:footnote w:id="277">
    <w:p w14:paraId="1C0651D8" w14:textId="77777777" w:rsidR="00443399" w:rsidRPr="00A378E4"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Parasti tas ir atkarīgs no diviem parametriem: “saistību neizpildes varbūtība” un “zaudējumi saistību neizpildes gadījumā”. Tomēr pastāv iespēja, ka revidenti nepieprasa uzkrājumu veidošanu, ja tiek uzskatīts, ka vienībai ietekme būs samērā niecīga un ka ietekme, visticamāk, ir iespējama vien kādā nezināmā laikā tālākā nākotnē.</w:t>
      </w:r>
    </w:p>
  </w:footnote>
  <w:footnote w:id="278">
    <w:p w14:paraId="397E98CC" w14:textId="77777777" w:rsidR="00443399" w:rsidRPr="00A707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4.5. nodaļu “Finanšu sanācija”, kurā ir sniegta problemātisko aktīvu definīcija.</w:t>
      </w:r>
    </w:p>
  </w:footnote>
  <w:footnote w:id="279">
    <w:p w14:paraId="48B88EF8" w14:textId="77777777" w:rsidR="00443399" w:rsidRPr="00A7077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2 gadu parāda instrumenta norādītā vērtība ir 100, bet tas emitēts ar atlaidi 4, sākumā tas tiks ierakstīts ar vērtību 96, bet pēc gada ar vērtību 98. Līdzīgi, ja 2 gadu parāds emitēts ar prēmiju 4, sākumā tā ierakstītā vērtība būs 104, bet pēc gada tā būs 102.</w:t>
      </w:r>
    </w:p>
  </w:footnote>
  <w:footnote w:id="280">
    <w:p w14:paraId="6B519728" w14:textId="758EE61A"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sidR="00E10F37">
        <w:rPr>
          <w:rFonts w:ascii="Times New Roman" w:hAnsi="Times New Roman"/>
        </w:rPr>
        <w:t xml:space="preserve"> </w:t>
      </w:r>
      <w:r>
        <w:rPr>
          <w:rFonts w:ascii="Times New Roman" w:hAnsi="Times New Roman"/>
        </w:rPr>
        <w:t xml:space="preserve">EKS 2010 attiecībā uz F.12 (iekļauts šajā pozīcijā) – speciālās aizņēmuma tiesības – tiek atzītas gan par aktīviem, gan saistībām. Attiecībā uz ES dalībvalstīm F.12 parasti parādās centrālo banku bilancē, taču </w:t>
      </w:r>
      <w:r>
        <w:rPr>
          <w:rFonts w:ascii="Times New Roman" w:hAnsi="Times New Roman"/>
          <w:i/>
          <w:iCs/>
        </w:rPr>
        <w:t>SDR</w:t>
      </w:r>
      <w:r>
        <w:rPr>
          <w:rFonts w:ascii="Times New Roman" w:hAnsi="Times New Roman"/>
        </w:rPr>
        <w:t xml:space="preserve"> var būt iedalītas arī valdībai.</w:t>
      </w:r>
    </w:p>
  </w:footnote>
  <w:footnote w:id="281">
    <w:p w14:paraId="3420DC48"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w:t>
      </w:r>
      <w:r>
        <w:rPr>
          <w:rFonts w:ascii="Times New Roman" w:hAnsi="Times New Roman"/>
          <w:i/>
          <w:iCs/>
        </w:rPr>
        <w:t>Eurostat</w:t>
      </w:r>
      <w:r>
        <w:rPr>
          <w:rFonts w:ascii="Times New Roman" w:hAnsi="Times New Roman"/>
        </w:rPr>
        <w:t xml:space="preserve"> 2012. gada 31. jūlija lēmumu visus tirdzniecības kredītus, kas piešķirti valdības vienībai un ko atkārtoti finansējušas finanšu iestādes bez regresa prasījuma (jo īpaši, veicot faktūrkreditēšanas darbības) vai kas ir pārstrukturēti (atkārtoti pārskatīti, iekļaujot kādas jaunas iezīmes), pārklasificē kā aizdevumus.</w:t>
      </w:r>
    </w:p>
  </w:footnote>
  <w:footnote w:id="282">
    <w:p w14:paraId="6BAF8EA5"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Attiecībā uz AF.5 parasti tas varētu notikt tādēļ, ka tiek veikta ārpustirgus publisku uzņēmumu klasificēšana valdības sektorā (skat. 1. daļu “Vispārējās valdības sektora norobežošana”).</w:t>
      </w:r>
    </w:p>
  </w:footnote>
  <w:footnote w:id="283">
    <w:p w14:paraId="49003DA3" w14:textId="77777777" w:rsidR="00443399" w:rsidRPr="00827CE5"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Nominālvērtība ir pielīdzināma Padomes Regulā (EK) Nr. 479/2009 minētajai norādītajai vērtībai.</w:t>
      </w:r>
    </w:p>
  </w:footnote>
  <w:footnote w:id="284">
    <w:p w14:paraId="29496D0F"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Sākotnējais termiņš.</w:t>
      </w:r>
    </w:p>
  </w:footnote>
  <w:footnote w:id="285">
    <w:p w14:paraId="00E99FEF"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Tostarp militārās preces un pakalpojumi.</w:t>
      </w:r>
    </w:p>
  </w:footnote>
  <w:footnote w:id="286">
    <w:p w14:paraId="1DA9523E"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Jāatzīmē, ka tas attiecas tikai uz ilgtermiņa tirdzniecības kredītiem un neattiecas uz citām ilgtermiņa kreditoru saistībām, kuras kopumā netraktē kā AF.42.</w:t>
      </w:r>
    </w:p>
  </w:footnote>
  <w:footnote w:id="287">
    <w:p w14:paraId="03C4D3C5" w14:textId="77777777" w:rsidR="00443399" w:rsidRPr="00827CE5"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Kad veido visas ekonomikas finanšu kontus, ir jāveic saskanīgi ieraksti šo ar valdību veikto darījumu partnersektorā.</w:t>
      </w:r>
    </w:p>
  </w:footnote>
  <w:footnote w:id="288">
    <w:p w14:paraId="30FCD0DF"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direktīvā paredzēts, ka valsts iestādēm ir jāsamaksā par iegādātajām precēm un pakalpojumiem 30 kalendārajās dienās vai ļoti ārkārtējos apstākļos – 60 kalendārajās dienās. Uzņēmumiem ir jāapmaksā savi rēķini 60 dienās, bet tie var izvēlēties ilgāku maksājumu termiņu, ja tas ir skaidri saskaņots līgumā un ar nosacījumu, ka tas “nav redzami netaisn[s] attiecībā pret kreditoru”.</w:t>
      </w:r>
    </w:p>
  </w:footnote>
  <w:footnote w:id="289">
    <w:p w14:paraId="6DE5C1DB" w14:textId="77777777" w:rsidR="00443399" w:rsidRPr="00827CE5"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EKS 2010 5.239. punktu tirdzniecības kredītus un avansus var iedalīt pēc sākotnējā termiņa īstermiņa un ilgtermiņa tirdzniecības kredītos un avansos.</w:t>
      </w:r>
    </w:p>
  </w:footnote>
  <w:footnote w:id="290">
    <w:p w14:paraId="224AD1A7" w14:textId="77777777" w:rsidR="00443399" w:rsidRPr="00827CE5"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Direktīvā 2011/7/ES termins “uzņēmumi” ir EKS 2010 lietotā vārda “sabiedrības” sinonīms.</w:t>
      </w:r>
    </w:p>
  </w:footnote>
  <w:footnote w:id="291">
    <w:p w14:paraId="2B59C2DE" w14:textId="77777777" w:rsidR="00443399" w:rsidRPr="00DD0558"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Tādējādi, visticamāk, daudzos gadījumos noguldījumu vai pielīdzināto instrumentu norādītā vērtība sakritīs ar EKS 2010 sniegto nominālvērtības definīciju, jo uzkrātie procenti bieži vien atbildīs kritērijiem, lai tos varētu uzskatīt par kapitalizētiem.</w:t>
      </w:r>
    </w:p>
  </w:footnote>
  <w:footnote w:id="292">
    <w:p w14:paraId="2D959844" w14:textId="77777777" w:rsidR="00443399" w:rsidRPr="00DD055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Dažkārt valsts kases vekseļu iekasēšanas vērtības līkne strauji kāpj, tuvojoties dzēšanas termiņam, lai veicinātu to turēšanu līdz dzēšanas termiņam. Šādā gadījumā nošķīrums, vai procenti rada vai nerada procentus, nav piemērojams, un iekasēšanas vērtība šādiem instrumentiem ir norādītā vērtība. Saskaņā ar 2.4. nodaļas 72. rindkopu kontu veidotāji var nolemt iekasēšanas vērtības izmaiņas ierakstīt D.41, tādējādi norādītā vērtība un EKS nominālvērtība sakristu. Savukārt, ja viņi nolemj sadalīt (lineāri vai, pareizāk, eksponenciāli) gaidāmo D.41 visā obligācijas darbības laikā, norādītā vērtība būtu nedaudz zemāka nekā EKS nominālvērtība instrumenta darbības laikā.</w:t>
      </w:r>
    </w:p>
  </w:footnote>
  <w:footnote w:id="293">
    <w:p w14:paraId="5EFF2578" w14:textId="77777777" w:rsidR="00443399" w:rsidRPr="00DD055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EKS 2010 4.46. punkta c) apakšpunktā norādīts, ka nenomaksātās pamatsummas vērtības pārmaiņas laikā no konkrētā uzskaites perioda sākuma līdz perioda beigām, ko rada svārstības attiecīgajā indeksā, uzskata par šajā periodā uzkrātiem procentiem – papildu procentiem, kuri jāmaksā šajā periodā. Tas ir piemērojams tikai sasaistei ar vispārējo cenu indeksu (“plašs” indekss) un nevis ar indeksu, kas attiecas uz instrumentu vai preci (“šaurs” indekss). Pēdējā minētajā gadījumā var ierakstīt turēšanas guvumus attiecībā uz daļu no maiņas (skat. šīs rokasgrāmatas 2.4. nodaļu), t. i., teorētiski indeksa izmaiņas, kas sākumā netika gaidītas. Šī atšķirība nav norādīta </w:t>
      </w:r>
      <w:r>
        <w:rPr>
          <w:rFonts w:ascii="Times New Roman" w:hAnsi="Times New Roman"/>
          <w:i/>
          <w:iCs/>
        </w:rPr>
        <w:t>EDP</w:t>
      </w:r>
      <w:r>
        <w:rPr>
          <w:rFonts w:ascii="Times New Roman" w:hAnsi="Times New Roman"/>
        </w:rPr>
        <w:t xml:space="preserve"> regulā. Savukārt EKS 2010 5.94. punktā norādīts, ka parāda vērtspapīrus, kuru pamatsumma un kupons ir saistīti ar ārvalstu valūtu, klasificē kā parāda vērtspapīrus minētajā ārvalstu valūtā. Citiem vārdiem sakot, ārvalstu valūtās izteikta instrumenta valsts valūtas vērtības izmaiņas traktē kā nominālos turēšanas guvumus. Tādējādi šaura indeksa emisija varētu skart atsauci uz preci (piemēram, zeltu) vai noteiktu finanšu instrumentu (piemēram, noteiktu akciju).</w:t>
      </w:r>
    </w:p>
  </w:footnote>
  <w:footnote w:id="294">
    <w:p w14:paraId="7D4D5258" w14:textId="77777777" w:rsidR="00443399" w:rsidRPr="00DD0558"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Kad valdības vienība iejaucas otrreizējā tirgū un atsevišķi pērk atdalīto kuponu vai atdalīto pamatsummu (no obligācijas, ko emitējusi valdība), lai veiktu apvienošanu, ir īpaši jānovērtē šis atdalītais kupons un pamatsumma. Vērtēšanu veic, būtībā pamatojoties uz norādīto vērtību tai sākotnējai obligācijai, kura atbilstīgi sadalīta starp atlikušajām apritē esošajiem atdalītajiem kuponiem un pamatsummām (tas ir, atdalīto kuponu un pamatsummu elementiem, kas joprojām ir jāatmaksā). Var izmantot novērotās EKS nominālvērtības proporcionālo vērtību vai arī katras attiecīgajā laikā esošās sadalītās obligācijas novēroto tirgus vērtību (skat. arī II.4.3.8. apakšiedaļu “Sadalītās obligācijas”). Nav atbilstoši, ja katra sadalītās obligācijas elementa norādītā vērtība, kas izmantojama apvienošanas vajadzībām, ir vienāda ar izpirkšanas vērtību (kā parastajām bezkupona obligācijām), jo šādā gadījumā parāda norādītā vērtība tiktu pilnībā dzēsta, vienkārši atpērkot atpakaļ atdalīto pamatsummu. Praktiski pieņemams tuvinājums varētu būt tāds, ka gadījumā, kad atpirkto atdalīto kuponu un pamatsummu summas ir ierobežotas, to apvienošanu veic, izmantojot tirgus vērtību, kas koriģēta ar koeficientu.</w:t>
      </w:r>
    </w:p>
  </w:footnote>
  <w:footnote w:id="295">
    <w:p w14:paraId="1A5CED70" w14:textId="77777777" w:rsidR="00443399" w:rsidRPr="00DD055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Sīkāku informāciju par mijmaiņas darījumiem nacionālajos kontos skat. EKS 2010 5.199.–5.219. punktā.</w:t>
      </w:r>
    </w:p>
  </w:footnote>
  <w:footnote w:id="296">
    <w:p w14:paraId="7A0D91B7" w14:textId="77777777" w:rsidR="00443399" w:rsidRPr="00DD0558"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Pēc finanšu krīzes, jo īpaši saistībā ar Eiropas tirgus infrastruktūru regulu, dažus ārpusbiržas atvasinājumus (</w:t>
      </w:r>
      <w:r>
        <w:rPr>
          <w:rFonts w:ascii="Times New Roman" w:hAnsi="Times New Roman"/>
          <w:i/>
          <w:iCs/>
        </w:rPr>
        <w:t>OTC</w:t>
      </w:r>
      <w:r>
        <w:rPr>
          <w:rFonts w:ascii="Times New Roman" w:hAnsi="Times New Roman"/>
        </w:rPr>
        <w:t>) varētu tirgot ar “centrālo mijieskaita darījumu starpnieku” starpniecību vai šos atvasinājumus varētu deklarēt “centrālajos datu repozitorijos”.</w:t>
      </w:r>
    </w:p>
  </w:footnote>
  <w:footnote w:id="297">
    <w:p w14:paraId="759C03E0" w14:textId="77777777" w:rsidR="00443399" w:rsidRPr="009E3E52"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Šie gadījumi ir drīzāk hipotētiski, taču nav pilnībā izslēdzami.</w:t>
      </w:r>
    </w:p>
  </w:footnote>
  <w:footnote w:id="298">
    <w:p w14:paraId="7D4DA5E0"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Mijmaiņas darījumu naudas plūsmas struktūra var būt veidota jebkādā iedomājamā veidā. Savukārt tradicionālajiem mijmaiņas darījumiem, kas noslēgti saskaņā ar tirgus nosacījumiem, ir vienkārša struktūra. Piemēram, procentu likmes mijmaiņas darījumam ir fiksētā daļa un mainīgā daļa. Tradicionāla procentu likmes mijmaiņas darījuma fiksētajai daļai ir nemainīga procentu likme visā mijmaiņas darījuma darbības laikā. Ārpusbiržas procentu likmes mijmaiņas darījuma gadījumā fiksētā daļa visā mijmaiņas darījuma darbības laikā var nebūt nemainīga, tādējādi tas vairs nav tradicionāls/standartizēts mijmaiņas darījums. Cits ārpusbiržas mijmaiņas darījuma piemērs varētu būt mainīgs sadalījums visā procentu likmes mijmaiņas darījuma darbības termiņā. Turklāt procentu likmes mijmaiņas darījuma mainīgajai daļai ir jābūt saskaņā ar tirgus nosacījumiem. Ja tas tā nav, tas varētu liecināt par ārpusbiržas mijmaiņas darījumu. Piemēram, tradicionālā procentu likmes mijmaiņas darījuma mainīgā daļa saskaņā ar tirgus nosacījumiem varētu attiekties uz (novērojamām) tirgus procentu likmes tirgus prognozēm (piemēram, </w:t>
      </w:r>
      <w:r>
        <w:rPr>
          <w:rFonts w:ascii="Times New Roman" w:hAnsi="Times New Roman"/>
          <w:i/>
          <w:iCs/>
        </w:rPr>
        <w:t>EURIBOR</w:t>
      </w:r>
      <w:r>
        <w:rPr>
          <w:rFonts w:ascii="Times New Roman" w:hAnsi="Times New Roman"/>
        </w:rPr>
        <w:t>). Ārpusbiržas procentu likmes mijmaiņas darījuma gadījumā mainīgā daļa varētu balstīties uz apdomīgi noteiktām mainīgām procentu likmēm.</w:t>
      </w:r>
    </w:p>
  </w:footnote>
  <w:footnote w:id="299">
    <w:p w14:paraId="26E18C2C"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EKS 2010 5.229. punktu nacionālajos kontos mijmaiņas darījumu, kam ir neto saistību vērtība, parasti arī ieraksta aktīvu pusē, </w:t>
      </w:r>
      <w:r>
        <w:rPr>
          <w:rFonts w:ascii="Times New Roman" w:hAnsi="Times New Roman"/>
          <w:i/>
          <w:iCs/>
        </w:rPr>
        <w:t>lai izvairītos no pastāvīgas pārejas no aktīvu uz saistību pusi</w:t>
      </w:r>
      <w:r>
        <w:rPr>
          <w:rFonts w:ascii="Times New Roman" w:hAnsi="Times New Roman"/>
        </w:rPr>
        <w:t>.</w:t>
      </w:r>
    </w:p>
  </w:footnote>
  <w:footnote w:id="300">
    <w:p w14:paraId="35CB28F6"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Ņemot vērā, ka šie mijmaiņas darījumi ir ārpusbiržas darījumi, jo īpaši nav atbilstoši izmantot likmes, kas minētas darījumu posmos. Vispārīgi runājot, jebkura mijmaiņas darījuma (tirgus vai ārpusbiržas darījuma) vienā posmā izmantoto formulu var neierobežoti grozīt tādā veidā, ka arī otrā posmā tiek grozītas tādas pašas summas.</w:t>
      </w:r>
    </w:p>
  </w:footnote>
  <w:footnote w:id="301">
    <w:p w14:paraId="4DEF28F4"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aizdevuma komponenta “maksājumus” un to izpirkšanu var panākt, koriģējot sadalījumu pa vairākiem periodiem.</w:t>
      </w:r>
    </w:p>
  </w:footnote>
  <w:footnote w:id="302">
    <w:p w14:paraId="6B02EC55"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ļoti vienkāršā gadījumā aizdevums var rasties no neparasti augstas starpības </w:t>
      </w:r>
      <w:r>
        <w:rPr>
          <w:rFonts w:ascii="Times New Roman" w:hAnsi="Times New Roman"/>
          <w:i/>
          <w:iCs/>
        </w:rPr>
        <w:t>t</w:t>
      </w:r>
      <w:r>
        <w:rPr>
          <w:rFonts w:ascii="Times New Roman" w:hAnsi="Times New Roman"/>
        </w:rPr>
        <w:t> periodā, kas tiek pilnībā neitralizēta ar atbilstošu (negatīvu) starpības korekciju nākamajā periodā, savukārt mijmaiņas darījuma kopējais darbības laiks var būt daudz ilgāks.</w:t>
      </w:r>
    </w:p>
  </w:footnote>
  <w:footnote w:id="303">
    <w:p w14:paraId="6A3174F5"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mijmaiņas darījumam varētu būt dažādas “konfigurācijas”, vispirms tam ir nulles vērtība sākumā, pēc tam mijmaiņas darījuma darbības laikā ir nepieciešamas iemaksas skaidrā naudā darījuma “atkārtotai līdzsvarošanai”. Šajā gadījumā aizdevuma komponentu ieraksta brīdī, kad ir saņemta pirmā iemaksa, un pēc tam aizdevumu pakāpeniski palielina pēc atmaksu atskaitīšanas, ja tādas ir bijušas.</w:t>
      </w:r>
    </w:p>
  </w:footnote>
  <w:footnote w:id="304">
    <w:p w14:paraId="0660D36B"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ārpusbiržas mijmaiņas darījums ir saistīts ar valdības bilances pārstrukturēšanu, jāieraksta nosacītais darījums. Piemēram, pāreja no atvasinātajiem finanšu instrumentiem (AF.71) uz aizdevumu (AF.4) ir jāieraksta kā divi vienlaikus veikti darījumi.</w:t>
      </w:r>
    </w:p>
  </w:footnote>
  <w:footnote w:id="305">
    <w:p w14:paraId="4B9B5F60" w14:textId="77777777" w:rsidR="00443399" w:rsidRPr="009E3E52"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Mijmaiņas darījuma vērtībā var tikt iekļautas arī maksas, kuru nomaksa ir sadalīta pa visu mijmaiņas darījuma darbības laiku.</w:t>
      </w:r>
    </w:p>
  </w:footnote>
  <w:footnote w:id="306">
    <w:p w14:paraId="22A6C5DC"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Atgādinājumam (skat. EKS 2010 5.122. punktu) – ja aizdevumu sāk regulāri tirgot (nevis to tirgo tikai izņēmuma kārtā, kas nozīmē, ka </w:t>
      </w:r>
      <w:r>
        <w:rPr>
          <w:rFonts w:ascii="Times New Roman" w:hAnsi="Times New Roman"/>
          <w:i/>
          <w:iCs/>
        </w:rPr>
        <w:t>de facto</w:t>
      </w:r>
      <w:r>
        <w:rPr>
          <w:rFonts w:ascii="Times New Roman" w:hAnsi="Times New Roman"/>
        </w:rPr>
        <w:t xml:space="preserve"> pastāv visai aktīvs tirgus), tas ir jāpārklasificē kā parāda vērtspapīrs.</w:t>
      </w:r>
    </w:p>
  </w:footnote>
  <w:footnote w:id="307">
    <w:p w14:paraId="7301568B" w14:textId="77777777" w:rsidR="00443399" w:rsidRPr="009E3E52"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Pastāv atšķirība starp “maksātāja mijmaiņas iespējas līgumu”, kas dod mijmaiņas iespējas līguma īpašniekam tiesības iesaistīties mijmaiņas darījumā, kurā tas maksā fiksētu daļu un saņem mainīgo daļu, un “saņēmēja mijmaiņas iespējas līgumu”, kas dod mijmaiņas iespējas līguma īpašniekam tiesības iesaistīties mijmaiņas darījumā, kurā tas saņem fiksētu daļu un maksā mainīgo daļu. Valdība var iesaistīties abos.</w:t>
      </w:r>
    </w:p>
  </w:footnote>
  <w:footnote w:id="308">
    <w:p w14:paraId="15621998" w14:textId="77777777" w:rsidR="00443399" w:rsidRPr="009E3E52"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Ir būtiski nošķirt mijmaiņas iespējas līgumu, kas ir iespējas līgums, ko teorētiski var tirgot atsevišķi, un jebkādu mijmaiņas darījumā iekļautu iespēju (tas varētu attiekties uz “anulēšanas tiesībām” un arī, piemēram, uz pāreju no fiksētas likmes uz citu vai no mainīgas likmes uz fiksētu utt.), ko nevar tirgot atsevišķi un kurai turklāt nav nepieciešams parakstīt jaunu līgumu, kad iespēja ir realizēta. Šādā gadījumā nekāds specifisks traktējums nav nepieciešams.</w:t>
      </w:r>
    </w:p>
  </w:footnote>
  <w:footnote w:id="309">
    <w:p w14:paraId="6F7CA2E0" w14:textId="77777777" w:rsidR="00443399" w:rsidRPr="00A9349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maksājuma termiņš ir ilgāks, valdība ir pakļauta lielākai tirgus nepastāvībai nekā iepriekšējā mijmaiņas darījumā. Līdzīgi, ja maksājuma termiņš ir īsāks (parasti kopā ar augstāku pamatsummu), ikgadējās naudas izmaksas varētu būt augstākas.</w:t>
      </w:r>
    </w:p>
  </w:footnote>
  <w:footnote w:id="310">
    <w:p w14:paraId="1B81503B" w14:textId="77777777" w:rsidR="00443399" w:rsidRPr="00A9349E" w:rsidRDefault="00443399" w:rsidP="004433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Var tomēr gadīties, ka maksas, kas iekasētas par šādu darījumu (kas kopumā ir visai ievērojamas), tiek iekļautas mijmaiņas darījuma jaunajā tirgus vērtībā, t. i., to samaksa tiek sadalīta visā jaunā mijmaiņas darījuma darbības termiņā. Šādā gadījumā tirgus vērtība pēc definīcijas ir mainīta.</w:t>
      </w:r>
    </w:p>
  </w:footnote>
  <w:footnote w:id="311">
    <w:p w14:paraId="4AEFADCA" w14:textId="77777777" w:rsidR="00443399" w:rsidRPr="00A9349E"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nozīmē, ka vērtības jutība pret konkrēto mainīgās tirgus atsauces maiņu ir līdzīga. Pārstrukturēšana parasti notiek vienā dienā, un vērtēšanu veic, pamatojoties uz tādiem pašiem tirgus nosacījumiem.</w:t>
      </w:r>
    </w:p>
  </w:footnote>
  <w:footnote w:id="312">
    <w:p w14:paraId="67EB0DB9" w14:textId="77777777" w:rsidR="00443399" w:rsidRPr="00D1607A" w:rsidRDefault="00443399" w:rsidP="0044339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Terminu “reversais </w:t>
      </w:r>
      <w:r>
        <w:rPr>
          <w:rFonts w:ascii="Times New Roman" w:hAnsi="Times New Roman"/>
          <w:i/>
          <w:iCs/>
          <w:sz w:val="20"/>
          <w:szCs w:val="20"/>
        </w:rPr>
        <w:t>repo</w:t>
      </w:r>
      <w:r>
        <w:rPr>
          <w:rFonts w:ascii="Times New Roman" w:hAnsi="Times New Roman"/>
          <w:sz w:val="20"/>
          <w:szCs w:val="20"/>
        </w:rPr>
        <w:t>” izmanto no naudas saņēmēja/vērtspapīra ņēmēja skatupunkta, taču šajā nodaļā izmanto tikai terminu “</w:t>
      </w:r>
      <w:r>
        <w:rPr>
          <w:rFonts w:ascii="Times New Roman" w:hAnsi="Times New Roman"/>
          <w:i/>
          <w:iCs/>
          <w:sz w:val="20"/>
          <w:szCs w:val="20"/>
        </w:rPr>
        <w:t>repo</w:t>
      </w:r>
      <w:r>
        <w:rPr>
          <w:rFonts w:ascii="Times New Roman" w:hAnsi="Times New Roman"/>
          <w:sz w:val="20"/>
          <w:szCs w:val="20"/>
        </w:rPr>
        <w:t>”. Valdība var būt gan saņēmējs, gan ņēmējs saistībā ar īstermiņa finanšu līdzekļu pārvaldību.</w:t>
      </w:r>
    </w:p>
  </w:footnote>
  <w:footnote w:id="313">
    <w:p w14:paraId="3F7A6F43" w14:textId="77777777" w:rsidR="00443399" w:rsidRPr="00D1607A" w:rsidRDefault="00443399" w:rsidP="00443399">
      <w:pPr>
        <w:pStyle w:val="FootnoteText"/>
        <w:jc w:val="both"/>
      </w:pPr>
      <w:r>
        <w:rPr>
          <w:rStyle w:val="FootnoteReference"/>
          <w:rFonts w:ascii="Times New Roman" w:hAnsi="Times New Roman" w:cs="Times New Roman"/>
        </w:rPr>
        <w:footnoteRef/>
      </w:r>
      <w:r>
        <w:rPr>
          <w:rFonts w:ascii="Times New Roman" w:hAnsi="Times New Roman"/>
        </w:rPr>
        <w:t xml:space="preserve"> Tas ir, monetārām finanšu iestādēm.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6074" w14:textId="77777777" w:rsidR="00F27871" w:rsidRPr="001C4B02" w:rsidRDefault="00F27871" w:rsidP="001C4B02">
    <w:pPr>
      <w:pStyle w:val="Header"/>
      <w:rPr>
        <w:rStyle w:val="PageNumber"/>
        <w:rFonts w:ascii="Times New Roman" w:hAnsi="Times New Roman" w:cs="Times New Roman"/>
        <w:sz w:val="20"/>
        <w:szCs w:val="20"/>
      </w:rPr>
    </w:pPr>
    <w:bookmarkStart w:id="651" w:name="_Hlk496261784"/>
    <w:bookmarkStart w:id="652" w:name="_Hlk496261785"/>
    <w:bookmarkStart w:id="653" w:name="_Hlk496261786"/>
    <w:bookmarkStart w:id="654" w:name="_Hlk502757728"/>
    <w:bookmarkStart w:id="655" w:name="_Hlk502757729"/>
    <w:bookmarkStart w:id="656" w:name="_Hlk502757738"/>
    <w:bookmarkStart w:id="657" w:name="_Hlk502757739"/>
    <w:bookmarkStart w:id="658" w:name="_Hlk30491084"/>
    <w:bookmarkStart w:id="659" w:name="_Hlk30491085"/>
  </w:p>
  <w:p w14:paraId="3F3CFDB6" w14:textId="2B09C0B9" w:rsidR="00F27871" w:rsidRPr="001C4B02" w:rsidRDefault="00F27871" w:rsidP="001C4B02">
    <w:pPr>
      <w:pStyle w:val="Header"/>
      <w:tabs>
        <w:tab w:val="clear" w:pos="4513"/>
        <w:tab w:val="clear" w:pos="9026"/>
        <w:tab w:val="right" w:leader="underscore" w:pos="9072"/>
      </w:tabs>
      <w:rPr>
        <w:rStyle w:val="PageNumber"/>
        <w:rFonts w:ascii="Times New Roman" w:hAnsi="Times New Roman" w:cs="Times New Roman"/>
        <w:sz w:val="20"/>
        <w:szCs w:val="20"/>
      </w:rPr>
    </w:pPr>
    <w:r w:rsidRPr="001C4B02">
      <w:rPr>
        <w:rStyle w:val="PageNumber"/>
        <w:rFonts w:ascii="Times New Roman" w:hAnsi="Times New Roman" w:cs="Times New Roman"/>
        <w:sz w:val="20"/>
        <w:szCs w:val="20"/>
      </w:rPr>
      <w:tab/>
    </w:r>
  </w:p>
  <w:bookmarkEnd w:id="651"/>
  <w:bookmarkEnd w:id="652"/>
  <w:bookmarkEnd w:id="653"/>
  <w:bookmarkEnd w:id="654"/>
  <w:bookmarkEnd w:id="655"/>
  <w:bookmarkEnd w:id="656"/>
  <w:bookmarkEnd w:id="657"/>
  <w:bookmarkEnd w:id="658"/>
  <w:bookmarkEnd w:id="659"/>
  <w:p w14:paraId="21DDF21B" w14:textId="77777777" w:rsidR="00F27871" w:rsidRPr="001C4B02" w:rsidRDefault="00F27871" w:rsidP="001C4B02">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DA09" w14:textId="77777777" w:rsidR="00F27871" w:rsidRPr="001C4B02" w:rsidRDefault="00F27871" w:rsidP="001C4B02">
    <w:pPr>
      <w:pBdr>
        <w:bottom w:val="single" w:sz="12" w:space="5" w:color="auto"/>
      </w:pBdr>
      <w:rPr>
        <w:rFonts w:ascii="Times New Roman" w:hAnsi="Times New Roman" w:cs="Times New Roman"/>
        <w:spacing w:val="-2"/>
        <w:sz w:val="20"/>
        <w:szCs w:val="20"/>
      </w:rPr>
    </w:pPr>
    <w:bookmarkStart w:id="660" w:name="_Hlk496261745"/>
    <w:bookmarkStart w:id="661" w:name="_Hlk496261746"/>
    <w:bookmarkStart w:id="662" w:name="_Hlk496261747"/>
    <w:bookmarkStart w:id="663" w:name="_Hlk30491063"/>
    <w:bookmarkStart w:id="664" w:name="_Hlk30491064"/>
  </w:p>
  <w:bookmarkEnd w:id="660"/>
  <w:bookmarkEnd w:id="661"/>
  <w:bookmarkEnd w:id="662"/>
  <w:bookmarkEnd w:id="663"/>
  <w:bookmarkEnd w:id="664"/>
  <w:p w14:paraId="69F754D9" w14:textId="77777777" w:rsidR="00F27871" w:rsidRPr="001C4B02" w:rsidRDefault="00F27871" w:rsidP="001C4B02">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7BF"/>
    <w:multiLevelType w:val="hybridMultilevel"/>
    <w:tmpl w:val="5358ED1C"/>
    <w:lvl w:ilvl="0" w:tplc="B76AD2E8">
      <w:start w:val="1"/>
      <w:numFmt w:val="decimal"/>
      <w:lvlText w:val="%1."/>
      <w:lvlJc w:val="left"/>
      <w:pPr>
        <w:ind w:left="842" w:hanging="284"/>
      </w:pPr>
      <w:rPr>
        <w:rFonts w:ascii="Arial" w:eastAsia="Arial" w:hAnsi="Arial" w:hint="default"/>
        <w:w w:val="99"/>
        <w:sz w:val="19"/>
        <w:szCs w:val="19"/>
      </w:rPr>
    </w:lvl>
    <w:lvl w:ilvl="1" w:tplc="0BE46662">
      <w:start w:val="1"/>
      <w:numFmt w:val="bullet"/>
      <w:lvlText w:val=""/>
      <w:lvlJc w:val="left"/>
      <w:pPr>
        <w:ind w:left="1125" w:hanging="284"/>
      </w:pPr>
      <w:rPr>
        <w:rFonts w:ascii="Symbol" w:eastAsia="Symbol" w:hAnsi="Symbol" w:hint="default"/>
        <w:color w:val="auto"/>
        <w:w w:val="99"/>
        <w:sz w:val="19"/>
        <w:szCs w:val="19"/>
      </w:rPr>
    </w:lvl>
    <w:lvl w:ilvl="2" w:tplc="E3F2473E">
      <w:start w:val="1"/>
      <w:numFmt w:val="bullet"/>
      <w:lvlText w:val="•"/>
      <w:lvlJc w:val="left"/>
      <w:pPr>
        <w:ind w:left="2226" w:hanging="284"/>
      </w:pPr>
      <w:rPr>
        <w:rFonts w:hint="default"/>
      </w:rPr>
    </w:lvl>
    <w:lvl w:ilvl="3" w:tplc="A1548CBA">
      <w:start w:val="1"/>
      <w:numFmt w:val="bullet"/>
      <w:lvlText w:val="•"/>
      <w:lvlJc w:val="left"/>
      <w:pPr>
        <w:ind w:left="3328" w:hanging="284"/>
      </w:pPr>
      <w:rPr>
        <w:rFonts w:hint="default"/>
      </w:rPr>
    </w:lvl>
    <w:lvl w:ilvl="4" w:tplc="5FB895C8">
      <w:start w:val="1"/>
      <w:numFmt w:val="bullet"/>
      <w:lvlText w:val="•"/>
      <w:lvlJc w:val="left"/>
      <w:pPr>
        <w:ind w:left="4429" w:hanging="284"/>
      </w:pPr>
      <w:rPr>
        <w:rFonts w:hint="default"/>
      </w:rPr>
    </w:lvl>
    <w:lvl w:ilvl="5" w:tplc="8F923D96">
      <w:start w:val="1"/>
      <w:numFmt w:val="bullet"/>
      <w:lvlText w:val="•"/>
      <w:lvlJc w:val="left"/>
      <w:pPr>
        <w:ind w:left="5531" w:hanging="284"/>
      </w:pPr>
      <w:rPr>
        <w:rFonts w:hint="default"/>
      </w:rPr>
    </w:lvl>
    <w:lvl w:ilvl="6" w:tplc="01EE6F86">
      <w:start w:val="1"/>
      <w:numFmt w:val="bullet"/>
      <w:lvlText w:val="•"/>
      <w:lvlJc w:val="left"/>
      <w:pPr>
        <w:ind w:left="6633" w:hanging="284"/>
      </w:pPr>
      <w:rPr>
        <w:rFonts w:hint="default"/>
      </w:rPr>
    </w:lvl>
    <w:lvl w:ilvl="7" w:tplc="E4BE01D2">
      <w:start w:val="1"/>
      <w:numFmt w:val="bullet"/>
      <w:lvlText w:val="•"/>
      <w:lvlJc w:val="left"/>
      <w:pPr>
        <w:ind w:left="7734" w:hanging="284"/>
      </w:pPr>
      <w:rPr>
        <w:rFonts w:hint="default"/>
      </w:rPr>
    </w:lvl>
    <w:lvl w:ilvl="8" w:tplc="12746E0C">
      <w:start w:val="1"/>
      <w:numFmt w:val="bullet"/>
      <w:lvlText w:val="•"/>
      <w:lvlJc w:val="left"/>
      <w:pPr>
        <w:ind w:left="8836" w:hanging="284"/>
      </w:pPr>
      <w:rPr>
        <w:rFonts w:hint="default"/>
      </w:rPr>
    </w:lvl>
  </w:abstractNum>
  <w:abstractNum w:abstractNumId="1" w15:restartNumberingAfterBreak="0">
    <w:nsid w:val="01A65E27"/>
    <w:multiLevelType w:val="hybridMultilevel"/>
    <w:tmpl w:val="1BEA25E4"/>
    <w:lvl w:ilvl="0" w:tplc="3FF630FE">
      <w:start w:val="1"/>
      <w:numFmt w:val="decimal"/>
      <w:lvlText w:val="%1."/>
      <w:lvlJc w:val="left"/>
      <w:pPr>
        <w:ind w:left="842" w:hanging="284"/>
      </w:pPr>
      <w:rPr>
        <w:rFonts w:ascii="Arial" w:eastAsia="Arial" w:hAnsi="Arial" w:hint="default"/>
        <w:w w:val="99"/>
        <w:sz w:val="19"/>
        <w:szCs w:val="19"/>
      </w:rPr>
    </w:lvl>
    <w:lvl w:ilvl="1" w:tplc="250465A0">
      <w:start w:val="1"/>
      <w:numFmt w:val="bullet"/>
      <w:lvlText w:val=""/>
      <w:lvlJc w:val="left"/>
      <w:pPr>
        <w:ind w:left="1125" w:hanging="284"/>
      </w:pPr>
      <w:rPr>
        <w:rFonts w:ascii="Symbol" w:eastAsia="Symbol" w:hAnsi="Symbol" w:hint="default"/>
        <w:color w:val="auto"/>
        <w:w w:val="99"/>
        <w:sz w:val="19"/>
        <w:szCs w:val="19"/>
      </w:rPr>
    </w:lvl>
    <w:lvl w:ilvl="2" w:tplc="B9FEC786">
      <w:start w:val="1"/>
      <w:numFmt w:val="bullet"/>
      <w:lvlText w:val=""/>
      <w:lvlJc w:val="left"/>
      <w:pPr>
        <w:ind w:left="1410" w:hanging="286"/>
      </w:pPr>
      <w:rPr>
        <w:rFonts w:ascii="Symbol" w:eastAsia="Symbol" w:hAnsi="Symbol" w:hint="default"/>
        <w:w w:val="99"/>
        <w:sz w:val="19"/>
        <w:szCs w:val="19"/>
      </w:rPr>
    </w:lvl>
    <w:lvl w:ilvl="3" w:tplc="17BC06E2">
      <w:start w:val="1"/>
      <w:numFmt w:val="bullet"/>
      <w:lvlText w:val="•"/>
      <w:lvlJc w:val="left"/>
      <w:pPr>
        <w:ind w:left="2614" w:hanging="286"/>
      </w:pPr>
      <w:rPr>
        <w:rFonts w:hint="default"/>
      </w:rPr>
    </w:lvl>
    <w:lvl w:ilvl="4" w:tplc="7C04398E">
      <w:start w:val="1"/>
      <w:numFmt w:val="bullet"/>
      <w:lvlText w:val="•"/>
      <w:lvlJc w:val="left"/>
      <w:pPr>
        <w:ind w:left="3817" w:hanging="286"/>
      </w:pPr>
      <w:rPr>
        <w:rFonts w:hint="default"/>
      </w:rPr>
    </w:lvl>
    <w:lvl w:ilvl="5" w:tplc="766A5976">
      <w:start w:val="1"/>
      <w:numFmt w:val="bullet"/>
      <w:lvlText w:val="•"/>
      <w:lvlJc w:val="left"/>
      <w:pPr>
        <w:ind w:left="5021" w:hanging="286"/>
      </w:pPr>
      <w:rPr>
        <w:rFonts w:hint="default"/>
      </w:rPr>
    </w:lvl>
    <w:lvl w:ilvl="6" w:tplc="98C2FA4C">
      <w:start w:val="1"/>
      <w:numFmt w:val="bullet"/>
      <w:lvlText w:val="•"/>
      <w:lvlJc w:val="left"/>
      <w:pPr>
        <w:ind w:left="6225" w:hanging="286"/>
      </w:pPr>
      <w:rPr>
        <w:rFonts w:hint="default"/>
      </w:rPr>
    </w:lvl>
    <w:lvl w:ilvl="7" w:tplc="E840962C">
      <w:start w:val="1"/>
      <w:numFmt w:val="bullet"/>
      <w:lvlText w:val="•"/>
      <w:lvlJc w:val="left"/>
      <w:pPr>
        <w:ind w:left="7428" w:hanging="286"/>
      </w:pPr>
      <w:rPr>
        <w:rFonts w:hint="default"/>
      </w:rPr>
    </w:lvl>
    <w:lvl w:ilvl="8" w:tplc="7BF27D60">
      <w:start w:val="1"/>
      <w:numFmt w:val="bullet"/>
      <w:lvlText w:val="•"/>
      <w:lvlJc w:val="left"/>
      <w:pPr>
        <w:ind w:left="8632" w:hanging="286"/>
      </w:pPr>
      <w:rPr>
        <w:rFonts w:hint="default"/>
      </w:rPr>
    </w:lvl>
  </w:abstractNum>
  <w:abstractNum w:abstractNumId="2" w15:restartNumberingAfterBreak="0">
    <w:nsid w:val="02330272"/>
    <w:multiLevelType w:val="hybridMultilevel"/>
    <w:tmpl w:val="5D7A991A"/>
    <w:lvl w:ilvl="0" w:tplc="9C10A8E2">
      <w:start w:val="1"/>
      <w:numFmt w:val="decimal"/>
      <w:lvlText w:val="%1."/>
      <w:lvlJc w:val="left"/>
      <w:pPr>
        <w:ind w:left="839" w:hanging="284"/>
      </w:pPr>
      <w:rPr>
        <w:rFonts w:ascii="Arial" w:eastAsia="Arial" w:hAnsi="Arial" w:hint="default"/>
        <w:w w:val="99"/>
        <w:sz w:val="19"/>
        <w:szCs w:val="19"/>
      </w:rPr>
    </w:lvl>
    <w:lvl w:ilvl="1" w:tplc="E38AAC86">
      <w:start w:val="1"/>
      <w:numFmt w:val="bullet"/>
      <w:lvlText w:val=""/>
      <w:lvlJc w:val="left"/>
      <w:pPr>
        <w:ind w:left="1122" w:hanging="284"/>
      </w:pPr>
      <w:rPr>
        <w:rFonts w:ascii="Symbol" w:eastAsia="Symbol" w:hAnsi="Symbol" w:hint="default"/>
        <w:color w:val="auto"/>
        <w:w w:val="99"/>
        <w:sz w:val="19"/>
        <w:szCs w:val="19"/>
      </w:rPr>
    </w:lvl>
    <w:lvl w:ilvl="2" w:tplc="0A06022E">
      <w:start w:val="1"/>
      <w:numFmt w:val="bullet"/>
      <w:lvlText w:val="•"/>
      <w:lvlJc w:val="left"/>
      <w:pPr>
        <w:ind w:left="2225" w:hanging="284"/>
      </w:pPr>
      <w:rPr>
        <w:rFonts w:hint="default"/>
      </w:rPr>
    </w:lvl>
    <w:lvl w:ilvl="3" w:tplc="18D4FC90">
      <w:start w:val="1"/>
      <w:numFmt w:val="bullet"/>
      <w:lvlText w:val="•"/>
      <w:lvlJc w:val="left"/>
      <w:pPr>
        <w:ind w:left="3328" w:hanging="284"/>
      </w:pPr>
      <w:rPr>
        <w:rFonts w:hint="default"/>
      </w:rPr>
    </w:lvl>
    <w:lvl w:ilvl="4" w:tplc="CEE23FCC">
      <w:start w:val="1"/>
      <w:numFmt w:val="bullet"/>
      <w:lvlText w:val="•"/>
      <w:lvlJc w:val="left"/>
      <w:pPr>
        <w:ind w:left="4431" w:hanging="284"/>
      </w:pPr>
      <w:rPr>
        <w:rFonts w:hint="default"/>
      </w:rPr>
    </w:lvl>
    <w:lvl w:ilvl="5" w:tplc="FA02BB48">
      <w:start w:val="1"/>
      <w:numFmt w:val="bullet"/>
      <w:lvlText w:val="•"/>
      <w:lvlJc w:val="left"/>
      <w:pPr>
        <w:ind w:left="5534" w:hanging="284"/>
      </w:pPr>
      <w:rPr>
        <w:rFonts w:hint="default"/>
      </w:rPr>
    </w:lvl>
    <w:lvl w:ilvl="6" w:tplc="3F609776">
      <w:start w:val="1"/>
      <w:numFmt w:val="bullet"/>
      <w:lvlText w:val="•"/>
      <w:lvlJc w:val="left"/>
      <w:pPr>
        <w:ind w:left="6637" w:hanging="284"/>
      </w:pPr>
      <w:rPr>
        <w:rFonts w:hint="default"/>
      </w:rPr>
    </w:lvl>
    <w:lvl w:ilvl="7" w:tplc="F2CAEF08">
      <w:start w:val="1"/>
      <w:numFmt w:val="bullet"/>
      <w:lvlText w:val="•"/>
      <w:lvlJc w:val="left"/>
      <w:pPr>
        <w:ind w:left="7740" w:hanging="284"/>
      </w:pPr>
      <w:rPr>
        <w:rFonts w:hint="default"/>
      </w:rPr>
    </w:lvl>
    <w:lvl w:ilvl="8" w:tplc="A8DEEF60">
      <w:start w:val="1"/>
      <w:numFmt w:val="bullet"/>
      <w:lvlText w:val="•"/>
      <w:lvlJc w:val="left"/>
      <w:pPr>
        <w:ind w:left="8843" w:hanging="284"/>
      </w:pPr>
      <w:rPr>
        <w:rFonts w:hint="default"/>
      </w:rPr>
    </w:lvl>
  </w:abstractNum>
  <w:abstractNum w:abstractNumId="3" w15:restartNumberingAfterBreak="0">
    <w:nsid w:val="03003B5E"/>
    <w:multiLevelType w:val="hybridMultilevel"/>
    <w:tmpl w:val="A02057CC"/>
    <w:lvl w:ilvl="0" w:tplc="75885688">
      <w:start w:val="1"/>
      <w:numFmt w:val="decimal"/>
      <w:lvlText w:val="%1."/>
      <w:lvlJc w:val="left"/>
      <w:pPr>
        <w:ind w:left="842" w:hanging="284"/>
      </w:pPr>
      <w:rPr>
        <w:rFonts w:ascii="Arial" w:eastAsia="Arial" w:hAnsi="Arial" w:hint="default"/>
        <w:w w:val="99"/>
        <w:sz w:val="19"/>
        <w:szCs w:val="19"/>
      </w:rPr>
    </w:lvl>
    <w:lvl w:ilvl="1" w:tplc="C6A8A85E">
      <w:start w:val="1"/>
      <w:numFmt w:val="bullet"/>
      <w:lvlText w:val=""/>
      <w:lvlJc w:val="left"/>
      <w:pPr>
        <w:ind w:left="1125" w:hanging="284"/>
      </w:pPr>
      <w:rPr>
        <w:rFonts w:ascii="Symbol" w:eastAsia="Symbol" w:hAnsi="Symbol" w:hint="default"/>
        <w:color w:val="auto"/>
        <w:w w:val="99"/>
        <w:sz w:val="19"/>
        <w:szCs w:val="19"/>
      </w:rPr>
    </w:lvl>
    <w:lvl w:ilvl="2" w:tplc="CF8EF83E">
      <w:start w:val="1"/>
      <w:numFmt w:val="bullet"/>
      <w:lvlText w:val="•"/>
      <w:lvlJc w:val="left"/>
      <w:pPr>
        <w:ind w:left="2226" w:hanging="284"/>
      </w:pPr>
      <w:rPr>
        <w:rFonts w:hint="default"/>
      </w:rPr>
    </w:lvl>
    <w:lvl w:ilvl="3" w:tplc="2CBA3930">
      <w:start w:val="1"/>
      <w:numFmt w:val="bullet"/>
      <w:lvlText w:val="•"/>
      <w:lvlJc w:val="left"/>
      <w:pPr>
        <w:ind w:left="3328" w:hanging="284"/>
      </w:pPr>
      <w:rPr>
        <w:rFonts w:hint="default"/>
      </w:rPr>
    </w:lvl>
    <w:lvl w:ilvl="4" w:tplc="5874B148">
      <w:start w:val="1"/>
      <w:numFmt w:val="bullet"/>
      <w:lvlText w:val="•"/>
      <w:lvlJc w:val="left"/>
      <w:pPr>
        <w:ind w:left="4429" w:hanging="284"/>
      </w:pPr>
      <w:rPr>
        <w:rFonts w:hint="default"/>
      </w:rPr>
    </w:lvl>
    <w:lvl w:ilvl="5" w:tplc="A09ADD66">
      <w:start w:val="1"/>
      <w:numFmt w:val="bullet"/>
      <w:lvlText w:val="•"/>
      <w:lvlJc w:val="left"/>
      <w:pPr>
        <w:ind w:left="5531" w:hanging="284"/>
      </w:pPr>
      <w:rPr>
        <w:rFonts w:hint="default"/>
      </w:rPr>
    </w:lvl>
    <w:lvl w:ilvl="6" w:tplc="4C7A6C26">
      <w:start w:val="1"/>
      <w:numFmt w:val="bullet"/>
      <w:lvlText w:val="•"/>
      <w:lvlJc w:val="left"/>
      <w:pPr>
        <w:ind w:left="6633" w:hanging="284"/>
      </w:pPr>
      <w:rPr>
        <w:rFonts w:hint="default"/>
      </w:rPr>
    </w:lvl>
    <w:lvl w:ilvl="7" w:tplc="6E10CFDE">
      <w:start w:val="1"/>
      <w:numFmt w:val="bullet"/>
      <w:lvlText w:val="•"/>
      <w:lvlJc w:val="left"/>
      <w:pPr>
        <w:ind w:left="7734" w:hanging="284"/>
      </w:pPr>
      <w:rPr>
        <w:rFonts w:hint="default"/>
      </w:rPr>
    </w:lvl>
    <w:lvl w:ilvl="8" w:tplc="098CA834">
      <w:start w:val="1"/>
      <w:numFmt w:val="bullet"/>
      <w:lvlText w:val="•"/>
      <w:lvlJc w:val="left"/>
      <w:pPr>
        <w:ind w:left="8836" w:hanging="284"/>
      </w:pPr>
      <w:rPr>
        <w:rFonts w:hint="default"/>
      </w:rPr>
    </w:lvl>
  </w:abstractNum>
  <w:abstractNum w:abstractNumId="4" w15:restartNumberingAfterBreak="0">
    <w:nsid w:val="03F75071"/>
    <w:multiLevelType w:val="hybridMultilevel"/>
    <w:tmpl w:val="93D26688"/>
    <w:lvl w:ilvl="0" w:tplc="3028D13A">
      <w:start w:val="1"/>
      <w:numFmt w:val="decimal"/>
      <w:lvlText w:val="%1."/>
      <w:lvlJc w:val="left"/>
      <w:pPr>
        <w:ind w:left="1702" w:hanging="284"/>
      </w:pPr>
      <w:rPr>
        <w:rFonts w:ascii="Arial" w:eastAsia="Arial" w:hAnsi="Arial" w:hint="default"/>
        <w:w w:val="99"/>
        <w:sz w:val="19"/>
        <w:szCs w:val="19"/>
      </w:rPr>
    </w:lvl>
    <w:lvl w:ilvl="1" w:tplc="F5404B84">
      <w:start w:val="1"/>
      <w:numFmt w:val="bullet"/>
      <w:lvlText w:val=""/>
      <w:lvlJc w:val="left"/>
      <w:pPr>
        <w:ind w:left="1985" w:hanging="284"/>
      </w:pPr>
      <w:rPr>
        <w:rFonts w:ascii="Symbol" w:eastAsia="Symbol" w:hAnsi="Symbol" w:hint="default"/>
        <w:color w:val="auto"/>
        <w:w w:val="99"/>
        <w:sz w:val="19"/>
        <w:szCs w:val="19"/>
      </w:rPr>
    </w:lvl>
    <w:lvl w:ilvl="2" w:tplc="90745B06">
      <w:start w:val="1"/>
      <w:numFmt w:val="bullet"/>
      <w:lvlText w:val=""/>
      <w:lvlJc w:val="left"/>
      <w:pPr>
        <w:ind w:left="2270" w:hanging="286"/>
      </w:pPr>
      <w:rPr>
        <w:rFonts w:ascii="Symbol" w:eastAsia="Symbol" w:hAnsi="Symbol" w:hint="default"/>
        <w:w w:val="99"/>
        <w:sz w:val="19"/>
        <w:szCs w:val="19"/>
      </w:rPr>
    </w:lvl>
    <w:lvl w:ilvl="3" w:tplc="748A3976">
      <w:start w:val="1"/>
      <w:numFmt w:val="bullet"/>
      <w:lvlText w:val="•"/>
      <w:lvlJc w:val="left"/>
      <w:pPr>
        <w:ind w:left="3474" w:hanging="286"/>
      </w:pPr>
      <w:rPr>
        <w:rFonts w:hint="default"/>
      </w:rPr>
    </w:lvl>
    <w:lvl w:ilvl="4" w:tplc="BE3457A2">
      <w:start w:val="1"/>
      <w:numFmt w:val="bullet"/>
      <w:lvlText w:val="•"/>
      <w:lvlJc w:val="left"/>
      <w:pPr>
        <w:ind w:left="4677" w:hanging="286"/>
      </w:pPr>
      <w:rPr>
        <w:rFonts w:hint="default"/>
      </w:rPr>
    </w:lvl>
    <w:lvl w:ilvl="5" w:tplc="653E6386">
      <w:start w:val="1"/>
      <w:numFmt w:val="bullet"/>
      <w:lvlText w:val="•"/>
      <w:lvlJc w:val="left"/>
      <w:pPr>
        <w:ind w:left="5881" w:hanging="286"/>
      </w:pPr>
      <w:rPr>
        <w:rFonts w:hint="default"/>
      </w:rPr>
    </w:lvl>
    <w:lvl w:ilvl="6" w:tplc="A8DA64F8">
      <w:start w:val="1"/>
      <w:numFmt w:val="bullet"/>
      <w:lvlText w:val="•"/>
      <w:lvlJc w:val="left"/>
      <w:pPr>
        <w:ind w:left="7085" w:hanging="286"/>
      </w:pPr>
      <w:rPr>
        <w:rFonts w:hint="default"/>
      </w:rPr>
    </w:lvl>
    <w:lvl w:ilvl="7" w:tplc="E606F5EC">
      <w:start w:val="1"/>
      <w:numFmt w:val="bullet"/>
      <w:lvlText w:val="•"/>
      <w:lvlJc w:val="left"/>
      <w:pPr>
        <w:ind w:left="8288" w:hanging="286"/>
      </w:pPr>
      <w:rPr>
        <w:rFonts w:hint="default"/>
      </w:rPr>
    </w:lvl>
    <w:lvl w:ilvl="8" w:tplc="EC24BBDC">
      <w:start w:val="1"/>
      <w:numFmt w:val="bullet"/>
      <w:lvlText w:val="•"/>
      <w:lvlJc w:val="left"/>
      <w:pPr>
        <w:ind w:left="9492" w:hanging="286"/>
      </w:pPr>
      <w:rPr>
        <w:rFonts w:hint="default"/>
      </w:rPr>
    </w:lvl>
  </w:abstractNum>
  <w:abstractNum w:abstractNumId="5" w15:restartNumberingAfterBreak="0">
    <w:nsid w:val="05DB5792"/>
    <w:multiLevelType w:val="hybridMultilevel"/>
    <w:tmpl w:val="A9BE7A4C"/>
    <w:lvl w:ilvl="0" w:tplc="1B807480">
      <w:start w:val="1"/>
      <w:numFmt w:val="bullet"/>
      <w:lvlText w:val=""/>
      <w:lvlJc w:val="left"/>
      <w:pPr>
        <w:ind w:left="1125" w:hanging="284"/>
      </w:pPr>
      <w:rPr>
        <w:rFonts w:ascii="Symbol" w:eastAsia="Symbol" w:hAnsi="Symbol" w:hint="default"/>
        <w:color w:val="auto"/>
        <w:w w:val="99"/>
        <w:sz w:val="19"/>
        <w:szCs w:val="19"/>
      </w:rPr>
    </w:lvl>
    <w:lvl w:ilvl="1" w:tplc="14D474D2">
      <w:start w:val="1"/>
      <w:numFmt w:val="bullet"/>
      <w:lvlText w:val="•"/>
      <w:lvlJc w:val="left"/>
      <w:pPr>
        <w:ind w:left="2117" w:hanging="284"/>
      </w:pPr>
      <w:rPr>
        <w:rFonts w:hint="default"/>
      </w:rPr>
    </w:lvl>
    <w:lvl w:ilvl="2" w:tplc="36E0B114">
      <w:start w:val="1"/>
      <w:numFmt w:val="bullet"/>
      <w:lvlText w:val="•"/>
      <w:lvlJc w:val="left"/>
      <w:pPr>
        <w:ind w:left="3110" w:hanging="284"/>
      </w:pPr>
      <w:rPr>
        <w:rFonts w:hint="default"/>
      </w:rPr>
    </w:lvl>
    <w:lvl w:ilvl="3" w:tplc="EE8E6E3A">
      <w:start w:val="1"/>
      <w:numFmt w:val="bullet"/>
      <w:lvlText w:val="•"/>
      <w:lvlJc w:val="left"/>
      <w:pPr>
        <w:ind w:left="4102" w:hanging="284"/>
      </w:pPr>
      <w:rPr>
        <w:rFonts w:hint="default"/>
      </w:rPr>
    </w:lvl>
    <w:lvl w:ilvl="4" w:tplc="3ED60B98">
      <w:start w:val="1"/>
      <w:numFmt w:val="bullet"/>
      <w:lvlText w:val="•"/>
      <w:lvlJc w:val="left"/>
      <w:pPr>
        <w:ind w:left="5094" w:hanging="284"/>
      </w:pPr>
      <w:rPr>
        <w:rFonts w:hint="default"/>
      </w:rPr>
    </w:lvl>
    <w:lvl w:ilvl="5" w:tplc="00A4E656">
      <w:start w:val="1"/>
      <w:numFmt w:val="bullet"/>
      <w:lvlText w:val="•"/>
      <w:lvlJc w:val="left"/>
      <w:pPr>
        <w:ind w:left="6087" w:hanging="284"/>
      </w:pPr>
      <w:rPr>
        <w:rFonts w:hint="default"/>
      </w:rPr>
    </w:lvl>
    <w:lvl w:ilvl="6" w:tplc="2D0A375A">
      <w:start w:val="1"/>
      <w:numFmt w:val="bullet"/>
      <w:lvlText w:val="•"/>
      <w:lvlJc w:val="left"/>
      <w:pPr>
        <w:ind w:left="7079" w:hanging="284"/>
      </w:pPr>
      <w:rPr>
        <w:rFonts w:hint="default"/>
      </w:rPr>
    </w:lvl>
    <w:lvl w:ilvl="7" w:tplc="EAFEAB12">
      <w:start w:val="1"/>
      <w:numFmt w:val="bullet"/>
      <w:lvlText w:val="•"/>
      <w:lvlJc w:val="left"/>
      <w:pPr>
        <w:ind w:left="8071" w:hanging="284"/>
      </w:pPr>
      <w:rPr>
        <w:rFonts w:hint="default"/>
      </w:rPr>
    </w:lvl>
    <w:lvl w:ilvl="8" w:tplc="44BA15A2">
      <w:start w:val="1"/>
      <w:numFmt w:val="bullet"/>
      <w:lvlText w:val="•"/>
      <w:lvlJc w:val="left"/>
      <w:pPr>
        <w:ind w:left="9064" w:hanging="284"/>
      </w:pPr>
      <w:rPr>
        <w:rFonts w:hint="default"/>
      </w:rPr>
    </w:lvl>
  </w:abstractNum>
  <w:abstractNum w:abstractNumId="6" w15:restartNumberingAfterBreak="0">
    <w:nsid w:val="088A55C8"/>
    <w:multiLevelType w:val="hybridMultilevel"/>
    <w:tmpl w:val="1B6C814E"/>
    <w:lvl w:ilvl="0" w:tplc="0012FB46">
      <w:start w:val="1"/>
      <w:numFmt w:val="bullet"/>
      <w:lvlText w:val=""/>
      <w:lvlJc w:val="left"/>
      <w:pPr>
        <w:ind w:left="1125" w:hanging="284"/>
      </w:pPr>
      <w:rPr>
        <w:rFonts w:ascii="Symbol" w:eastAsia="Symbol" w:hAnsi="Symbol" w:hint="default"/>
        <w:color w:val="auto"/>
        <w:w w:val="99"/>
        <w:sz w:val="19"/>
        <w:szCs w:val="19"/>
      </w:rPr>
    </w:lvl>
    <w:lvl w:ilvl="1" w:tplc="1C7AB45C">
      <w:start w:val="1"/>
      <w:numFmt w:val="bullet"/>
      <w:lvlText w:val="•"/>
      <w:lvlJc w:val="left"/>
      <w:pPr>
        <w:ind w:left="2116" w:hanging="284"/>
      </w:pPr>
      <w:rPr>
        <w:rFonts w:hint="default"/>
      </w:rPr>
    </w:lvl>
    <w:lvl w:ilvl="2" w:tplc="E3A241D0">
      <w:start w:val="1"/>
      <w:numFmt w:val="bullet"/>
      <w:lvlText w:val="•"/>
      <w:lvlJc w:val="left"/>
      <w:pPr>
        <w:ind w:left="3108" w:hanging="284"/>
      </w:pPr>
      <w:rPr>
        <w:rFonts w:hint="default"/>
      </w:rPr>
    </w:lvl>
    <w:lvl w:ilvl="3" w:tplc="1AAECBB2">
      <w:start w:val="1"/>
      <w:numFmt w:val="bullet"/>
      <w:lvlText w:val="•"/>
      <w:lvlJc w:val="left"/>
      <w:pPr>
        <w:ind w:left="4099" w:hanging="284"/>
      </w:pPr>
      <w:rPr>
        <w:rFonts w:hint="default"/>
      </w:rPr>
    </w:lvl>
    <w:lvl w:ilvl="4" w:tplc="E10E77BC">
      <w:start w:val="1"/>
      <w:numFmt w:val="bullet"/>
      <w:lvlText w:val="•"/>
      <w:lvlJc w:val="left"/>
      <w:pPr>
        <w:ind w:left="5090" w:hanging="284"/>
      </w:pPr>
      <w:rPr>
        <w:rFonts w:hint="default"/>
      </w:rPr>
    </w:lvl>
    <w:lvl w:ilvl="5" w:tplc="CFACBA14">
      <w:start w:val="1"/>
      <w:numFmt w:val="bullet"/>
      <w:lvlText w:val="•"/>
      <w:lvlJc w:val="left"/>
      <w:pPr>
        <w:ind w:left="6082" w:hanging="284"/>
      </w:pPr>
      <w:rPr>
        <w:rFonts w:hint="default"/>
      </w:rPr>
    </w:lvl>
    <w:lvl w:ilvl="6" w:tplc="24C4EFB6">
      <w:start w:val="1"/>
      <w:numFmt w:val="bullet"/>
      <w:lvlText w:val="•"/>
      <w:lvlJc w:val="left"/>
      <w:pPr>
        <w:ind w:left="7073" w:hanging="284"/>
      </w:pPr>
      <w:rPr>
        <w:rFonts w:hint="default"/>
      </w:rPr>
    </w:lvl>
    <w:lvl w:ilvl="7" w:tplc="9C50324E">
      <w:start w:val="1"/>
      <w:numFmt w:val="bullet"/>
      <w:lvlText w:val="•"/>
      <w:lvlJc w:val="left"/>
      <w:pPr>
        <w:ind w:left="8065" w:hanging="284"/>
      </w:pPr>
      <w:rPr>
        <w:rFonts w:hint="default"/>
      </w:rPr>
    </w:lvl>
    <w:lvl w:ilvl="8" w:tplc="4014C200">
      <w:start w:val="1"/>
      <w:numFmt w:val="bullet"/>
      <w:lvlText w:val="•"/>
      <w:lvlJc w:val="left"/>
      <w:pPr>
        <w:ind w:left="9056" w:hanging="284"/>
      </w:pPr>
      <w:rPr>
        <w:rFonts w:hint="default"/>
      </w:rPr>
    </w:lvl>
  </w:abstractNum>
  <w:abstractNum w:abstractNumId="7" w15:restartNumberingAfterBreak="0">
    <w:nsid w:val="08EE4BB4"/>
    <w:multiLevelType w:val="hybridMultilevel"/>
    <w:tmpl w:val="F8AC8BE2"/>
    <w:lvl w:ilvl="0" w:tplc="E84A081A">
      <w:start w:val="1"/>
      <w:numFmt w:val="bullet"/>
      <w:lvlText w:val=""/>
      <w:lvlJc w:val="left"/>
      <w:pPr>
        <w:ind w:left="1329" w:hanging="360"/>
      </w:pPr>
      <w:rPr>
        <w:rFonts w:ascii="Symbol" w:eastAsia="Symbol" w:hAnsi="Symbol" w:hint="default"/>
        <w:color w:val="AE4A91"/>
        <w:w w:val="99"/>
        <w:sz w:val="19"/>
        <w:szCs w:val="19"/>
      </w:rPr>
    </w:lvl>
    <w:lvl w:ilvl="1" w:tplc="26B40976">
      <w:start w:val="1"/>
      <w:numFmt w:val="bullet"/>
      <w:lvlText w:val="•"/>
      <w:lvlJc w:val="left"/>
      <w:pPr>
        <w:ind w:left="2300" w:hanging="360"/>
      </w:pPr>
      <w:rPr>
        <w:rFonts w:hint="default"/>
      </w:rPr>
    </w:lvl>
    <w:lvl w:ilvl="2" w:tplc="45F2A872">
      <w:start w:val="1"/>
      <w:numFmt w:val="bullet"/>
      <w:lvlText w:val="•"/>
      <w:lvlJc w:val="left"/>
      <w:pPr>
        <w:ind w:left="3271" w:hanging="360"/>
      </w:pPr>
      <w:rPr>
        <w:rFonts w:hint="default"/>
      </w:rPr>
    </w:lvl>
    <w:lvl w:ilvl="3" w:tplc="99700DCE">
      <w:start w:val="1"/>
      <w:numFmt w:val="bullet"/>
      <w:lvlText w:val="•"/>
      <w:lvlJc w:val="left"/>
      <w:pPr>
        <w:ind w:left="4242" w:hanging="360"/>
      </w:pPr>
      <w:rPr>
        <w:rFonts w:hint="default"/>
      </w:rPr>
    </w:lvl>
    <w:lvl w:ilvl="4" w:tplc="04663992">
      <w:start w:val="1"/>
      <w:numFmt w:val="bullet"/>
      <w:lvlText w:val="•"/>
      <w:lvlJc w:val="left"/>
      <w:pPr>
        <w:ind w:left="5213" w:hanging="360"/>
      </w:pPr>
      <w:rPr>
        <w:rFonts w:hint="default"/>
      </w:rPr>
    </w:lvl>
    <w:lvl w:ilvl="5" w:tplc="E82C8632">
      <w:start w:val="1"/>
      <w:numFmt w:val="bullet"/>
      <w:lvlText w:val="•"/>
      <w:lvlJc w:val="left"/>
      <w:pPr>
        <w:ind w:left="6184" w:hanging="360"/>
      </w:pPr>
      <w:rPr>
        <w:rFonts w:hint="default"/>
      </w:rPr>
    </w:lvl>
    <w:lvl w:ilvl="6" w:tplc="C6B82F6E">
      <w:start w:val="1"/>
      <w:numFmt w:val="bullet"/>
      <w:lvlText w:val="•"/>
      <w:lvlJc w:val="left"/>
      <w:pPr>
        <w:ind w:left="7155" w:hanging="360"/>
      </w:pPr>
      <w:rPr>
        <w:rFonts w:hint="default"/>
      </w:rPr>
    </w:lvl>
    <w:lvl w:ilvl="7" w:tplc="02CC992C">
      <w:start w:val="1"/>
      <w:numFmt w:val="bullet"/>
      <w:lvlText w:val="•"/>
      <w:lvlJc w:val="left"/>
      <w:pPr>
        <w:ind w:left="8126" w:hanging="360"/>
      </w:pPr>
      <w:rPr>
        <w:rFonts w:hint="default"/>
      </w:rPr>
    </w:lvl>
    <w:lvl w:ilvl="8" w:tplc="9F061428">
      <w:start w:val="1"/>
      <w:numFmt w:val="bullet"/>
      <w:lvlText w:val="•"/>
      <w:lvlJc w:val="left"/>
      <w:pPr>
        <w:ind w:left="9097" w:hanging="360"/>
      </w:pPr>
      <w:rPr>
        <w:rFonts w:hint="default"/>
      </w:rPr>
    </w:lvl>
  </w:abstractNum>
  <w:abstractNum w:abstractNumId="8" w15:restartNumberingAfterBreak="0">
    <w:nsid w:val="09FA74CE"/>
    <w:multiLevelType w:val="multilevel"/>
    <w:tmpl w:val="4C106B34"/>
    <w:lvl w:ilvl="0">
      <w:start w:val="1"/>
      <w:numFmt w:val="decimal"/>
      <w:lvlText w:val="%1"/>
      <w:lvlJc w:val="left"/>
      <w:pPr>
        <w:ind w:left="118" w:hanging="507"/>
      </w:pPr>
      <w:rPr>
        <w:rFonts w:hint="default"/>
      </w:rPr>
    </w:lvl>
    <w:lvl w:ilvl="1">
      <w:start w:val="2"/>
      <w:numFmt w:val="decimal"/>
      <w:lvlText w:val="%1.%2"/>
      <w:lvlJc w:val="left"/>
      <w:pPr>
        <w:ind w:left="118" w:hanging="507"/>
      </w:pPr>
      <w:rPr>
        <w:rFonts w:hint="default"/>
      </w:rPr>
    </w:lvl>
    <w:lvl w:ilvl="2">
      <w:start w:val="3"/>
      <w:numFmt w:val="decimal"/>
      <w:lvlText w:val="%1.%2.%3"/>
      <w:lvlJc w:val="left"/>
      <w:pPr>
        <w:ind w:left="118" w:hanging="507"/>
      </w:pPr>
      <w:rPr>
        <w:rFonts w:ascii="Arial" w:eastAsia="Arial" w:hAnsi="Arial" w:hint="default"/>
        <w:w w:val="99"/>
        <w:sz w:val="19"/>
        <w:szCs w:val="19"/>
      </w:rPr>
    </w:lvl>
    <w:lvl w:ilvl="3">
      <w:start w:val="1"/>
      <w:numFmt w:val="bullet"/>
      <w:lvlText w:val=""/>
      <w:lvlJc w:val="left"/>
      <w:pPr>
        <w:ind w:left="1390" w:hanging="284"/>
      </w:pPr>
      <w:rPr>
        <w:rFonts w:ascii="Symbol" w:eastAsia="Symbol" w:hAnsi="Symbol" w:hint="default"/>
        <w:color w:val="auto"/>
        <w:w w:val="99"/>
        <w:sz w:val="19"/>
        <w:szCs w:val="19"/>
      </w:rPr>
    </w:lvl>
    <w:lvl w:ilvl="4">
      <w:start w:val="1"/>
      <w:numFmt w:val="bullet"/>
      <w:lvlText w:val="•"/>
      <w:lvlJc w:val="left"/>
      <w:pPr>
        <w:ind w:left="4030" w:hanging="284"/>
      </w:pPr>
      <w:rPr>
        <w:rFonts w:hint="default"/>
      </w:rPr>
    </w:lvl>
    <w:lvl w:ilvl="5">
      <w:start w:val="1"/>
      <w:numFmt w:val="bullet"/>
      <w:lvlText w:val="•"/>
      <w:lvlJc w:val="left"/>
      <w:pPr>
        <w:ind w:left="4909" w:hanging="284"/>
      </w:pPr>
      <w:rPr>
        <w:rFonts w:hint="default"/>
      </w:rPr>
    </w:lvl>
    <w:lvl w:ilvl="6">
      <w:start w:val="1"/>
      <w:numFmt w:val="bullet"/>
      <w:lvlText w:val="•"/>
      <w:lvlJc w:val="left"/>
      <w:pPr>
        <w:ind w:left="5789" w:hanging="284"/>
      </w:pPr>
      <w:rPr>
        <w:rFonts w:hint="default"/>
      </w:rPr>
    </w:lvl>
    <w:lvl w:ilvl="7">
      <w:start w:val="1"/>
      <w:numFmt w:val="bullet"/>
      <w:lvlText w:val="•"/>
      <w:lvlJc w:val="left"/>
      <w:pPr>
        <w:ind w:left="6669" w:hanging="284"/>
      </w:pPr>
      <w:rPr>
        <w:rFonts w:hint="default"/>
      </w:rPr>
    </w:lvl>
    <w:lvl w:ilvl="8">
      <w:start w:val="1"/>
      <w:numFmt w:val="bullet"/>
      <w:lvlText w:val="•"/>
      <w:lvlJc w:val="left"/>
      <w:pPr>
        <w:ind w:left="7549" w:hanging="284"/>
      </w:pPr>
      <w:rPr>
        <w:rFonts w:hint="default"/>
      </w:rPr>
    </w:lvl>
  </w:abstractNum>
  <w:abstractNum w:abstractNumId="9" w15:restartNumberingAfterBreak="0">
    <w:nsid w:val="0DCD35AB"/>
    <w:multiLevelType w:val="hybridMultilevel"/>
    <w:tmpl w:val="3D0A1146"/>
    <w:lvl w:ilvl="0" w:tplc="276CCE0A">
      <w:start w:val="1"/>
      <w:numFmt w:val="bullet"/>
      <w:lvlText w:val="–"/>
      <w:lvlJc w:val="left"/>
      <w:pPr>
        <w:ind w:left="398" w:hanging="166"/>
      </w:pPr>
      <w:rPr>
        <w:rFonts w:ascii="Arial" w:eastAsia="Arial" w:hAnsi="Arial" w:hint="default"/>
        <w:w w:val="99"/>
        <w:sz w:val="20"/>
        <w:szCs w:val="20"/>
      </w:rPr>
    </w:lvl>
    <w:lvl w:ilvl="1" w:tplc="F8880FBC">
      <w:start w:val="1"/>
      <w:numFmt w:val="bullet"/>
      <w:lvlText w:val="•"/>
      <w:lvlJc w:val="left"/>
      <w:pPr>
        <w:ind w:left="1268" w:hanging="166"/>
      </w:pPr>
      <w:rPr>
        <w:rFonts w:hint="default"/>
      </w:rPr>
    </w:lvl>
    <w:lvl w:ilvl="2" w:tplc="178E1556">
      <w:start w:val="1"/>
      <w:numFmt w:val="bullet"/>
      <w:lvlText w:val="•"/>
      <w:lvlJc w:val="left"/>
      <w:pPr>
        <w:ind w:left="2138" w:hanging="166"/>
      </w:pPr>
      <w:rPr>
        <w:rFonts w:hint="default"/>
      </w:rPr>
    </w:lvl>
    <w:lvl w:ilvl="3" w:tplc="F56CC6C6">
      <w:start w:val="1"/>
      <w:numFmt w:val="bullet"/>
      <w:lvlText w:val="•"/>
      <w:lvlJc w:val="left"/>
      <w:pPr>
        <w:ind w:left="3008" w:hanging="166"/>
      </w:pPr>
      <w:rPr>
        <w:rFonts w:hint="default"/>
      </w:rPr>
    </w:lvl>
    <w:lvl w:ilvl="4" w:tplc="408E0C02">
      <w:start w:val="1"/>
      <w:numFmt w:val="bullet"/>
      <w:lvlText w:val="•"/>
      <w:lvlJc w:val="left"/>
      <w:pPr>
        <w:ind w:left="3879" w:hanging="166"/>
      </w:pPr>
      <w:rPr>
        <w:rFonts w:hint="default"/>
      </w:rPr>
    </w:lvl>
    <w:lvl w:ilvl="5" w:tplc="1F4E3794">
      <w:start w:val="1"/>
      <w:numFmt w:val="bullet"/>
      <w:lvlText w:val="•"/>
      <w:lvlJc w:val="left"/>
      <w:pPr>
        <w:ind w:left="4749" w:hanging="166"/>
      </w:pPr>
      <w:rPr>
        <w:rFonts w:hint="default"/>
      </w:rPr>
    </w:lvl>
    <w:lvl w:ilvl="6" w:tplc="A45256EE">
      <w:start w:val="1"/>
      <w:numFmt w:val="bullet"/>
      <w:lvlText w:val="•"/>
      <w:lvlJc w:val="left"/>
      <w:pPr>
        <w:ind w:left="5619" w:hanging="166"/>
      </w:pPr>
      <w:rPr>
        <w:rFonts w:hint="default"/>
      </w:rPr>
    </w:lvl>
    <w:lvl w:ilvl="7" w:tplc="6BC4ACB6">
      <w:start w:val="1"/>
      <w:numFmt w:val="bullet"/>
      <w:lvlText w:val="•"/>
      <w:lvlJc w:val="left"/>
      <w:pPr>
        <w:ind w:left="6489" w:hanging="166"/>
      </w:pPr>
      <w:rPr>
        <w:rFonts w:hint="default"/>
      </w:rPr>
    </w:lvl>
    <w:lvl w:ilvl="8" w:tplc="36387E04">
      <w:start w:val="1"/>
      <w:numFmt w:val="bullet"/>
      <w:lvlText w:val="•"/>
      <w:lvlJc w:val="left"/>
      <w:pPr>
        <w:ind w:left="7359" w:hanging="166"/>
      </w:pPr>
      <w:rPr>
        <w:rFonts w:hint="default"/>
      </w:rPr>
    </w:lvl>
  </w:abstractNum>
  <w:abstractNum w:abstractNumId="10" w15:restartNumberingAfterBreak="0">
    <w:nsid w:val="14177859"/>
    <w:multiLevelType w:val="hybridMultilevel"/>
    <w:tmpl w:val="52F026CA"/>
    <w:lvl w:ilvl="0" w:tplc="9F806AD4">
      <w:start w:val="1"/>
      <w:numFmt w:val="bullet"/>
      <w:lvlText w:val=""/>
      <w:lvlJc w:val="left"/>
      <w:pPr>
        <w:ind w:left="1125" w:hanging="284"/>
      </w:pPr>
      <w:rPr>
        <w:rFonts w:ascii="Symbol" w:eastAsia="Symbol" w:hAnsi="Symbol" w:hint="default"/>
        <w:color w:val="auto"/>
        <w:w w:val="99"/>
        <w:sz w:val="19"/>
        <w:szCs w:val="19"/>
      </w:rPr>
    </w:lvl>
    <w:lvl w:ilvl="1" w:tplc="AEF2EFB6">
      <w:start w:val="1"/>
      <w:numFmt w:val="bullet"/>
      <w:lvlText w:val="•"/>
      <w:lvlJc w:val="left"/>
      <w:pPr>
        <w:ind w:left="2116" w:hanging="284"/>
      </w:pPr>
      <w:rPr>
        <w:rFonts w:hint="default"/>
      </w:rPr>
    </w:lvl>
    <w:lvl w:ilvl="2" w:tplc="C722DC9C">
      <w:start w:val="1"/>
      <w:numFmt w:val="bullet"/>
      <w:lvlText w:val="•"/>
      <w:lvlJc w:val="left"/>
      <w:pPr>
        <w:ind w:left="3108" w:hanging="284"/>
      </w:pPr>
      <w:rPr>
        <w:rFonts w:hint="default"/>
      </w:rPr>
    </w:lvl>
    <w:lvl w:ilvl="3" w:tplc="F022CAEE">
      <w:start w:val="1"/>
      <w:numFmt w:val="bullet"/>
      <w:lvlText w:val="•"/>
      <w:lvlJc w:val="left"/>
      <w:pPr>
        <w:ind w:left="4099" w:hanging="284"/>
      </w:pPr>
      <w:rPr>
        <w:rFonts w:hint="default"/>
      </w:rPr>
    </w:lvl>
    <w:lvl w:ilvl="4" w:tplc="B85C3334">
      <w:start w:val="1"/>
      <w:numFmt w:val="bullet"/>
      <w:lvlText w:val="•"/>
      <w:lvlJc w:val="left"/>
      <w:pPr>
        <w:ind w:left="5090" w:hanging="284"/>
      </w:pPr>
      <w:rPr>
        <w:rFonts w:hint="default"/>
      </w:rPr>
    </w:lvl>
    <w:lvl w:ilvl="5" w:tplc="ADD0A0D8">
      <w:start w:val="1"/>
      <w:numFmt w:val="bullet"/>
      <w:lvlText w:val="•"/>
      <w:lvlJc w:val="left"/>
      <w:pPr>
        <w:ind w:left="6082" w:hanging="284"/>
      </w:pPr>
      <w:rPr>
        <w:rFonts w:hint="default"/>
      </w:rPr>
    </w:lvl>
    <w:lvl w:ilvl="6" w:tplc="02E43C2A">
      <w:start w:val="1"/>
      <w:numFmt w:val="bullet"/>
      <w:lvlText w:val="•"/>
      <w:lvlJc w:val="left"/>
      <w:pPr>
        <w:ind w:left="7073" w:hanging="284"/>
      </w:pPr>
      <w:rPr>
        <w:rFonts w:hint="default"/>
      </w:rPr>
    </w:lvl>
    <w:lvl w:ilvl="7" w:tplc="87D42F6C">
      <w:start w:val="1"/>
      <w:numFmt w:val="bullet"/>
      <w:lvlText w:val="•"/>
      <w:lvlJc w:val="left"/>
      <w:pPr>
        <w:ind w:left="8065" w:hanging="284"/>
      </w:pPr>
      <w:rPr>
        <w:rFonts w:hint="default"/>
      </w:rPr>
    </w:lvl>
    <w:lvl w:ilvl="8" w:tplc="CEFE6A20">
      <w:start w:val="1"/>
      <w:numFmt w:val="bullet"/>
      <w:lvlText w:val="•"/>
      <w:lvlJc w:val="left"/>
      <w:pPr>
        <w:ind w:left="9056" w:hanging="284"/>
      </w:pPr>
      <w:rPr>
        <w:rFonts w:hint="default"/>
      </w:rPr>
    </w:lvl>
  </w:abstractNum>
  <w:abstractNum w:abstractNumId="11" w15:restartNumberingAfterBreak="0">
    <w:nsid w:val="17512EBA"/>
    <w:multiLevelType w:val="hybridMultilevel"/>
    <w:tmpl w:val="38906E04"/>
    <w:lvl w:ilvl="0" w:tplc="FF82BC14">
      <w:start w:val="1"/>
      <w:numFmt w:val="bullet"/>
      <w:lvlText w:val=""/>
      <w:lvlJc w:val="left"/>
      <w:pPr>
        <w:ind w:left="1125" w:hanging="284"/>
      </w:pPr>
      <w:rPr>
        <w:rFonts w:ascii="Symbol" w:eastAsia="Symbol" w:hAnsi="Symbol" w:hint="default"/>
        <w:color w:val="auto"/>
        <w:w w:val="99"/>
        <w:sz w:val="19"/>
        <w:szCs w:val="19"/>
      </w:rPr>
    </w:lvl>
    <w:lvl w:ilvl="1" w:tplc="D556DCBC">
      <w:start w:val="1"/>
      <w:numFmt w:val="bullet"/>
      <w:lvlText w:val="•"/>
      <w:lvlJc w:val="left"/>
      <w:pPr>
        <w:ind w:left="2116" w:hanging="284"/>
      </w:pPr>
      <w:rPr>
        <w:rFonts w:hint="default"/>
      </w:rPr>
    </w:lvl>
    <w:lvl w:ilvl="2" w:tplc="BD365B36">
      <w:start w:val="1"/>
      <w:numFmt w:val="bullet"/>
      <w:lvlText w:val="•"/>
      <w:lvlJc w:val="left"/>
      <w:pPr>
        <w:ind w:left="3108" w:hanging="284"/>
      </w:pPr>
      <w:rPr>
        <w:rFonts w:hint="default"/>
      </w:rPr>
    </w:lvl>
    <w:lvl w:ilvl="3" w:tplc="C3201882">
      <w:start w:val="1"/>
      <w:numFmt w:val="bullet"/>
      <w:lvlText w:val="•"/>
      <w:lvlJc w:val="left"/>
      <w:pPr>
        <w:ind w:left="4099" w:hanging="284"/>
      </w:pPr>
      <w:rPr>
        <w:rFonts w:hint="default"/>
      </w:rPr>
    </w:lvl>
    <w:lvl w:ilvl="4" w:tplc="8C586C36">
      <w:start w:val="1"/>
      <w:numFmt w:val="bullet"/>
      <w:lvlText w:val="•"/>
      <w:lvlJc w:val="left"/>
      <w:pPr>
        <w:ind w:left="5090" w:hanging="284"/>
      </w:pPr>
      <w:rPr>
        <w:rFonts w:hint="default"/>
      </w:rPr>
    </w:lvl>
    <w:lvl w:ilvl="5" w:tplc="E050EB14">
      <w:start w:val="1"/>
      <w:numFmt w:val="bullet"/>
      <w:lvlText w:val="•"/>
      <w:lvlJc w:val="left"/>
      <w:pPr>
        <w:ind w:left="6082" w:hanging="284"/>
      </w:pPr>
      <w:rPr>
        <w:rFonts w:hint="default"/>
      </w:rPr>
    </w:lvl>
    <w:lvl w:ilvl="6" w:tplc="209A3D24">
      <w:start w:val="1"/>
      <w:numFmt w:val="bullet"/>
      <w:lvlText w:val="•"/>
      <w:lvlJc w:val="left"/>
      <w:pPr>
        <w:ind w:left="7073" w:hanging="284"/>
      </w:pPr>
      <w:rPr>
        <w:rFonts w:hint="default"/>
      </w:rPr>
    </w:lvl>
    <w:lvl w:ilvl="7" w:tplc="07885542">
      <w:start w:val="1"/>
      <w:numFmt w:val="bullet"/>
      <w:lvlText w:val="•"/>
      <w:lvlJc w:val="left"/>
      <w:pPr>
        <w:ind w:left="8065" w:hanging="284"/>
      </w:pPr>
      <w:rPr>
        <w:rFonts w:hint="default"/>
      </w:rPr>
    </w:lvl>
    <w:lvl w:ilvl="8" w:tplc="248C7418">
      <w:start w:val="1"/>
      <w:numFmt w:val="bullet"/>
      <w:lvlText w:val="•"/>
      <w:lvlJc w:val="left"/>
      <w:pPr>
        <w:ind w:left="9056" w:hanging="284"/>
      </w:pPr>
      <w:rPr>
        <w:rFonts w:hint="default"/>
      </w:rPr>
    </w:lvl>
  </w:abstractNum>
  <w:abstractNum w:abstractNumId="12" w15:restartNumberingAfterBreak="0">
    <w:nsid w:val="17F96B49"/>
    <w:multiLevelType w:val="hybridMultilevel"/>
    <w:tmpl w:val="E7D0B5EC"/>
    <w:lvl w:ilvl="0" w:tplc="129A1BC6">
      <w:start w:val="1"/>
      <w:numFmt w:val="decimal"/>
      <w:lvlText w:val="%1."/>
      <w:lvlJc w:val="left"/>
      <w:pPr>
        <w:ind w:left="842" w:hanging="284"/>
      </w:pPr>
      <w:rPr>
        <w:rFonts w:ascii="Arial" w:eastAsia="Arial" w:hAnsi="Arial" w:hint="default"/>
        <w:w w:val="99"/>
        <w:sz w:val="19"/>
        <w:szCs w:val="19"/>
      </w:rPr>
    </w:lvl>
    <w:lvl w:ilvl="1" w:tplc="C3BA28CA">
      <w:start w:val="1"/>
      <w:numFmt w:val="bullet"/>
      <w:lvlText w:val=""/>
      <w:lvlJc w:val="left"/>
      <w:pPr>
        <w:ind w:left="1125" w:hanging="284"/>
      </w:pPr>
      <w:rPr>
        <w:rFonts w:ascii="Symbol" w:eastAsia="Symbol" w:hAnsi="Symbol" w:hint="default"/>
        <w:color w:val="auto"/>
        <w:w w:val="99"/>
        <w:sz w:val="19"/>
        <w:szCs w:val="19"/>
      </w:rPr>
    </w:lvl>
    <w:lvl w:ilvl="2" w:tplc="1460F984">
      <w:start w:val="1"/>
      <w:numFmt w:val="bullet"/>
      <w:lvlText w:val="•"/>
      <w:lvlJc w:val="left"/>
      <w:pPr>
        <w:ind w:left="2226" w:hanging="284"/>
      </w:pPr>
      <w:rPr>
        <w:rFonts w:hint="default"/>
      </w:rPr>
    </w:lvl>
    <w:lvl w:ilvl="3" w:tplc="D14A8B14">
      <w:start w:val="1"/>
      <w:numFmt w:val="bullet"/>
      <w:lvlText w:val="•"/>
      <w:lvlJc w:val="left"/>
      <w:pPr>
        <w:ind w:left="3328" w:hanging="284"/>
      </w:pPr>
      <w:rPr>
        <w:rFonts w:hint="default"/>
      </w:rPr>
    </w:lvl>
    <w:lvl w:ilvl="4" w:tplc="E11EC09C">
      <w:start w:val="1"/>
      <w:numFmt w:val="bullet"/>
      <w:lvlText w:val="•"/>
      <w:lvlJc w:val="left"/>
      <w:pPr>
        <w:ind w:left="4429" w:hanging="284"/>
      </w:pPr>
      <w:rPr>
        <w:rFonts w:hint="default"/>
      </w:rPr>
    </w:lvl>
    <w:lvl w:ilvl="5" w:tplc="B43AC1C4">
      <w:start w:val="1"/>
      <w:numFmt w:val="bullet"/>
      <w:lvlText w:val="•"/>
      <w:lvlJc w:val="left"/>
      <w:pPr>
        <w:ind w:left="5531" w:hanging="284"/>
      </w:pPr>
      <w:rPr>
        <w:rFonts w:hint="default"/>
      </w:rPr>
    </w:lvl>
    <w:lvl w:ilvl="6" w:tplc="05DAC56E">
      <w:start w:val="1"/>
      <w:numFmt w:val="bullet"/>
      <w:lvlText w:val="•"/>
      <w:lvlJc w:val="left"/>
      <w:pPr>
        <w:ind w:left="6633" w:hanging="284"/>
      </w:pPr>
      <w:rPr>
        <w:rFonts w:hint="default"/>
      </w:rPr>
    </w:lvl>
    <w:lvl w:ilvl="7" w:tplc="C0C03E1A">
      <w:start w:val="1"/>
      <w:numFmt w:val="bullet"/>
      <w:lvlText w:val="•"/>
      <w:lvlJc w:val="left"/>
      <w:pPr>
        <w:ind w:left="7734" w:hanging="284"/>
      </w:pPr>
      <w:rPr>
        <w:rFonts w:hint="default"/>
      </w:rPr>
    </w:lvl>
    <w:lvl w:ilvl="8" w:tplc="EB3032E2">
      <w:start w:val="1"/>
      <w:numFmt w:val="bullet"/>
      <w:lvlText w:val="•"/>
      <w:lvlJc w:val="left"/>
      <w:pPr>
        <w:ind w:left="8836" w:hanging="284"/>
      </w:pPr>
      <w:rPr>
        <w:rFonts w:hint="default"/>
      </w:rPr>
    </w:lvl>
  </w:abstractNum>
  <w:abstractNum w:abstractNumId="13" w15:restartNumberingAfterBreak="0">
    <w:nsid w:val="181523F4"/>
    <w:multiLevelType w:val="hybridMultilevel"/>
    <w:tmpl w:val="069E3394"/>
    <w:lvl w:ilvl="0" w:tplc="271CE6F8">
      <w:start w:val="1"/>
      <w:numFmt w:val="bullet"/>
      <w:lvlText w:val=""/>
      <w:lvlJc w:val="left"/>
      <w:pPr>
        <w:ind w:left="468" w:hanging="360"/>
      </w:pPr>
      <w:rPr>
        <w:rFonts w:ascii="Symbol" w:eastAsia="Symbol" w:hAnsi="Symbol" w:hint="default"/>
        <w:color w:val="AE4A91"/>
        <w:w w:val="99"/>
        <w:sz w:val="19"/>
        <w:szCs w:val="19"/>
      </w:rPr>
    </w:lvl>
    <w:lvl w:ilvl="1" w:tplc="5B228984">
      <w:start w:val="1"/>
      <w:numFmt w:val="bullet"/>
      <w:lvlText w:val="•"/>
      <w:lvlJc w:val="left"/>
      <w:pPr>
        <w:ind w:left="1292" w:hanging="360"/>
      </w:pPr>
      <w:rPr>
        <w:rFonts w:hint="default"/>
      </w:rPr>
    </w:lvl>
    <w:lvl w:ilvl="2" w:tplc="0D5AAB4E">
      <w:start w:val="1"/>
      <w:numFmt w:val="bullet"/>
      <w:lvlText w:val="•"/>
      <w:lvlJc w:val="left"/>
      <w:pPr>
        <w:ind w:left="2117" w:hanging="360"/>
      </w:pPr>
      <w:rPr>
        <w:rFonts w:hint="default"/>
      </w:rPr>
    </w:lvl>
    <w:lvl w:ilvl="3" w:tplc="5958D6A2">
      <w:start w:val="1"/>
      <w:numFmt w:val="bullet"/>
      <w:lvlText w:val="•"/>
      <w:lvlJc w:val="left"/>
      <w:pPr>
        <w:ind w:left="2941" w:hanging="360"/>
      </w:pPr>
      <w:rPr>
        <w:rFonts w:hint="default"/>
      </w:rPr>
    </w:lvl>
    <w:lvl w:ilvl="4" w:tplc="BBAEA422">
      <w:start w:val="1"/>
      <w:numFmt w:val="bullet"/>
      <w:lvlText w:val="•"/>
      <w:lvlJc w:val="left"/>
      <w:pPr>
        <w:ind w:left="3766" w:hanging="360"/>
      </w:pPr>
      <w:rPr>
        <w:rFonts w:hint="default"/>
      </w:rPr>
    </w:lvl>
    <w:lvl w:ilvl="5" w:tplc="5C48B222">
      <w:start w:val="1"/>
      <w:numFmt w:val="bullet"/>
      <w:lvlText w:val="•"/>
      <w:lvlJc w:val="left"/>
      <w:pPr>
        <w:ind w:left="4591" w:hanging="360"/>
      </w:pPr>
      <w:rPr>
        <w:rFonts w:hint="default"/>
      </w:rPr>
    </w:lvl>
    <w:lvl w:ilvl="6" w:tplc="44C8237A">
      <w:start w:val="1"/>
      <w:numFmt w:val="bullet"/>
      <w:lvlText w:val="•"/>
      <w:lvlJc w:val="left"/>
      <w:pPr>
        <w:ind w:left="5415" w:hanging="360"/>
      </w:pPr>
      <w:rPr>
        <w:rFonts w:hint="default"/>
      </w:rPr>
    </w:lvl>
    <w:lvl w:ilvl="7" w:tplc="8690A9B0">
      <w:start w:val="1"/>
      <w:numFmt w:val="bullet"/>
      <w:lvlText w:val="•"/>
      <w:lvlJc w:val="left"/>
      <w:pPr>
        <w:ind w:left="6240" w:hanging="360"/>
      </w:pPr>
      <w:rPr>
        <w:rFonts w:hint="default"/>
      </w:rPr>
    </w:lvl>
    <w:lvl w:ilvl="8" w:tplc="434E814E">
      <w:start w:val="1"/>
      <w:numFmt w:val="bullet"/>
      <w:lvlText w:val="•"/>
      <w:lvlJc w:val="left"/>
      <w:pPr>
        <w:ind w:left="7064" w:hanging="360"/>
      </w:pPr>
      <w:rPr>
        <w:rFonts w:hint="default"/>
      </w:rPr>
    </w:lvl>
  </w:abstractNum>
  <w:abstractNum w:abstractNumId="14" w15:restartNumberingAfterBreak="0">
    <w:nsid w:val="183149A4"/>
    <w:multiLevelType w:val="hybridMultilevel"/>
    <w:tmpl w:val="FF2A8814"/>
    <w:lvl w:ilvl="0" w:tplc="EC761E62">
      <w:start w:val="24"/>
      <w:numFmt w:val="decimal"/>
      <w:lvlText w:val="%1."/>
      <w:lvlJc w:val="left"/>
      <w:pPr>
        <w:ind w:left="842" w:hanging="284"/>
      </w:pPr>
      <w:rPr>
        <w:rFonts w:ascii="Arial" w:eastAsia="Arial" w:hAnsi="Arial" w:hint="default"/>
        <w:w w:val="99"/>
        <w:sz w:val="19"/>
        <w:szCs w:val="19"/>
      </w:rPr>
    </w:lvl>
    <w:lvl w:ilvl="1" w:tplc="CB589630">
      <w:start w:val="1"/>
      <w:numFmt w:val="bullet"/>
      <w:lvlText w:val=""/>
      <w:lvlJc w:val="left"/>
      <w:pPr>
        <w:ind w:left="1125" w:hanging="284"/>
      </w:pPr>
      <w:rPr>
        <w:rFonts w:ascii="Symbol" w:eastAsia="Symbol" w:hAnsi="Symbol" w:hint="default"/>
        <w:color w:val="auto"/>
        <w:w w:val="99"/>
        <w:sz w:val="19"/>
        <w:szCs w:val="19"/>
      </w:rPr>
    </w:lvl>
    <w:lvl w:ilvl="2" w:tplc="8F2C162A">
      <w:start w:val="1"/>
      <w:numFmt w:val="bullet"/>
      <w:lvlText w:val="•"/>
      <w:lvlJc w:val="left"/>
      <w:pPr>
        <w:ind w:left="2226" w:hanging="284"/>
      </w:pPr>
      <w:rPr>
        <w:rFonts w:hint="default"/>
      </w:rPr>
    </w:lvl>
    <w:lvl w:ilvl="3" w:tplc="AD2889CC">
      <w:start w:val="1"/>
      <w:numFmt w:val="bullet"/>
      <w:lvlText w:val="•"/>
      <w:lvlJc w:val="left"/>
      <w:pPr>
        <w:ind w:left="3328" w:hanging="284"/>
      </w:pPr>
      <w:rPr>
        <w:rFonts w:hint="default"/>
      </w:rPr>
    </w:lvl>
    <w:lvl w:ilvl="4" w:tplc="EFCCE9F4">
      <w:start w:val="1"/>
      <w:numFmt w:val="bullet"/>
      <w:lvlText w:val="•"/>
      <w:lvlJc w:val="left"/>
      <w:pPr>
        <w:ind w:left="4429" w:hanging="284"/>
      </w:pPr>
      <w:rPr>
        <w:rFonts w:hint="default"/>
      </w:rPr>
    </w:lvl>
    <w:lvl w:ilvl="5" w:tplc="DF509C54">
      <w:start w:val="1"/>
      <w:numFmt w:val="bullet"/>
      <w:lvlText w:val="•"/>
      <w:lvlJc w:val="left"/>
      <w:pPr>
        <w:ind w:left="5531" w:hanging="284"/>
      </w:pPr>
      <w:rPr>
        <w:rFonts w:hint="default"/>
      </w:rPr>
    </w:lvl>
    <w:lvl w:ilvl="6" w:tplc="D212B9A8">
      <w:start w:val="1"/>
      <w:numFmt w:val="bullet"/>
      <w:lvlText w:val="•"/>
      <w:lvlJc w:val="left"/>
      <w:pPr>
        <w:ind w:left="6633" w:hanging="284"/>
      </w:pPr>
      <w:rPr>
        <w:rFonts w:hint="default"/>
      </w:rPr>
    </w:lvl>
    <w:lvl w:ilvl="7" w:tplc="05C6E29E">
      <w:start w:val="1"/>
      <w:numFmt w:val="bullet"/>
      <w:lvlText w:val="•"/>
      <w:lvlJc w:val="left"/>
      <w:pPr>
        <w:ind w:left="7734" w:hanging="284"/>
      </w:pPr>
      <w:rPr>
        <w:rFonts w:hint="default"/>
      </w:rPr>
    </w:lvl>
    <w:lvl w:ilvl="8" w:tplc="5792D2AE">
      <w:start w:val="1"/>
      <w:numFmt w:val="bullet"/>
      <w:lvlText w:val="•"/>
      <w:lvlJc w:val="left"/>
      <w:pPr>
        <w:ind w:left="8836" w:hanging="284"/>
      </w:pPr>
      <w:rPr>
        <w:rFonts w:hint="default"/>
      </w:rPr>
    </w:lvl>
  </w:abstractNum>
  <w:abstractNum w:abstractNumId="15" w15:restartNumberingAfterBreak="0">
    <w:nsid w:val="18F94B49"/>
    <w:multiLevelType w:val="hybridMultilevel"/>
    <w:tmpl w:val="1B584F84"/>
    <w:lvl w:ilvl="0" w:tplc="0644A448">
      <w:start w:val="1"/>
      <w:numFmt w:val="bullet"/>
      <w:lvlText w:val=""/>
      <w:lvlJc w:val="left"/>
      <w:pPr>
        <w:ind w:left="1125" w:hanging="284"/>
      </w:pPr>
      <w:rPr>
        <w:rFonts w:ascii="Symbol" w:eastAsia="Symbol" w:hAnsi="Symbol" w:hint="default"/>
        <w:color w:val="auto"/>
        <w:w w:val="99"/>
        <w:sz w:val="19"/>
        <w:szCs w:val="19"/>
      </w:rPr>
    </w:lvl>
    <w:lvl w:ilvl="1" w:tplc="89DE936C">
      <w:start w:val="1"/>
      <w:numFmt w:val="bullet"/>
      <w:lvlText w:val="•"/>
      <w:lvlJc w:val="left"/>
      <w:pPr>
        <w:ind w:left="2117" w:hanging="284"/>
      </w:pPr>
      <w:rPr>
        <w:rFonts w:hint="default"/>
      </w:rPr>
    </w:lvl>
    <w:lvl w:ilvl="2" w:tplc="2A44E93C">
      <w:start w:val="1"/>
      <w:numFmt w:val="bullet"/>
      <w:lvlText w:val="•"/>
      <w:lvlJc w:val="left"/>
      <w:pPr>
        <w:ind w:left="3110" w:hanging="284"/>
      </w:pPr>
      <w:rPr>
        <w:rFonts w:hint="default"/>
      </w:rPr>
    </w:lvl>
    <w:lvl w:ilvl="3" w:tplc="6A68788C">
      <w:start w:val="1"/>
      <w:numFmt w:val="bullet"/>
      <w:lvlText w:val="•"/>
      <w:lvlJc w:val="left"/>
      <w:pPr>
        <w:ind w:left="4102" w:hanging="284"/>
      </w:pPr>
      <w:rPr>
        <w:rFonts w:hint="default"/>
      </w:rPr>
    </w:lvl>
    <w:lvl w:ilvl="4" w:tplc="1E90FF2C">
      <w:start w:val="1"/>
      <w:numFmt w:val="bullet"/>
      <w:lvlText w:val="•"/>
      <w:lvlJc w:val="left"/>
      <w:pPr>
        <w:ind w:left="5094" w:hanging="284"/>
      </w:pPr>
      <w:rPr>
        <w:rFonts w:hint="default"/>
      </w:rPr>
    </w:lvl>
    <w:lvl w:ilvl="5" w:tplc="F636272E">
      <w:start w:val="1"/>
      <w:numFmt w:val="bullet"/>
      <w:lvlText w:val="•"/>
      <w:lvlJc w:val="left"/>
      <w:pPr>
        <w:ind w:left="6087" w:hanging="284"/>
      </w:pPr>
      <w:rPr>
        <w:rFonts w:hint="default"/>
      </w:rPr>
    </w:lvl>
    <w:lvl w:ilvl="6" w:tplc="5904602C">
      <w:start w:val="1"/>
      <w:numFmt w:val="bullet"/>
      <w:lvlText w:val="•"/>
      <w:lvlJc w:val="left"/>
      <w:pPr>
        <w:ind w:left="7079" w:hanging="284"/>
      </w:pPr>
      <w:rPr>
        <w:rFonts w:hint="default"/>
      </w:rPr>
    </w:lvl>
    <w:lvl w:ilvl="7" w:tplc="E98C6258">
      <w:start w:val="1"/>
      <w:numFmt w:val="bullet"/>
      <w:lvlText w:val="•"/>
      <w:lvlJc w:val="left"/>
      <w:pPr>
        <w:ind w:left="8071" w:hanging="284"/>
      </w:pPr>
      <w:rPr>
        <w:rFonts w:hint="default"/>
      </w:rPr>
    </w:lvl>
    <w:lvl w:ilvl="8" w:tplc="32484CAA">
      <w:start w:val="1"/>
      <w:numFmt w:val="bullet"/>
      <w:lvlText w:val="•"/>
      <w:lvlJc w:val="left"/>
      <w:pPr>
        <w:ind w:left="9064" w:hanging="284"/>
      </w:pPr>
      <w:rPr>
        <w:rFonts w:hint="default"/>
      </w:rPr>
    </w:lvl>
  </w:abstractNum>
  <w:abstractNum w:abstractNumId="16" w15:restartNumberingAfterBreak="0">
    <w:nsid w:val="1AA30F88"/>
    <w:multiLevelType w:val="multilevel"/>
    <w:tmpl w:val="3EBC118C"/>
    <w:lvl w:ilvl="0">
      <w:start w:val="6"/>
      <w:numFmt w:val="decimal"/>
      <w:lvlText w:val="%1"/>
      <w:lvlJc w:val="left"/>
      <w:pPr>
        <w:ind w:left="1691" w:hanging="1133"/>
      </w:pPr>
      <w:rPr>
        <w:rFonts w:hint="default"/>
      </w:rPr>
    </w:lvl>
    <w:lvl w:ilvl="1">
      <w:start w:val="3"/>
      <w:numFmt w:val="decimal"/>
      <w:lvlText w:val="%1.%2"/>
      <w:lvlJc w:val="left"/>
      <w:pPr>
        <w:ind w:left="1691" w:hanging="1133"/>
      </w:pPr>
      <w:rPr>
        <w:rFonts w:hint="default"/>
      </w:rPr>
    </w:lvl>
    <w:lvl w:ilvl="2">
      <w:start w:val="1"/>
      <w:numFmt w:val="decimal"/>
      <w:lvlText w:val="%1.%2.%3"/>
      <w:lvlJc w:val="left"/>
      <w:pPr>
        <w:ind w:left="1691" w:hanging="1133"/>
      </w:pPr>
      <w:rPr>
        <w:rFonts w:hint="default"/>
      </w:rPr>
    </w:lvl>
    <w:lvl w:ilvl="3">
      <w:start w:val="5"/>
      <w:numFmt w:val="decimal"/>
      <w:lvlText w:val="%1.%2.%3.%4"/>
      <w:lvlJc w:val="left"/>
      <w:pPr>
        <w:ind w:left="1691" w:hanging="1133"/>
      </w:pPr>
      <w:rPr>
        <w:rFonts w:hint="default"/>
      </w:rPr>
    </w:lvl>
    <w:lvl w:ilvl="4">
      <w:start w:val="1"/>
      <w:numFmt w:val="decimal"/>
      <w:lvlText w:val="%1.%2.%3.%4.%5."/>
      <w:lvlJc w:val="left"/>
      <w:pPr>
        <w:ind w:left="1691" w:hanging="1133"/>
      </w:pPr>
      <w:rPr>
        <w:rFonts w:ascii="Arial" w:eastAsia="Arial" w:hAnsi="Arial" w:hint="default"/>
        <w:b/>
        <w:bCs/>
        <w:color w:val="292929"/>
        <w:sz w:val="22"/>
        <w:szCs w:val="22"/>
      </w:rPr>
    </w:lvl>
    <w:lvl w:ilvl="5">
      <w:start w:val="1"/>
      <w:numFmt w:val="bullet"/>
      <w:lvlText w:val=""/>
      <w:lvlJc w:val="left"/>
      <w:pPr>
        <w:ind w:left="1125" w:hanging="284"/>
      </w:pPr>
      <w:rPr>
        <w:rFonts w:ascii="Symbol" w:eastAsia="Symbol" w:hAnsi="Symbol" w:hint="default"/>
        <w:color w:val="auto"/>
        <w:w w:val="99"/>
        <w:sz w:val="19"/>
        <w:szCs w:val="19"/>
      </w:rPr>
    </w:lvl>
    <w:lvl w:ilvl="6">
      <w:start w:val="1"/>
      <w:numFmt w:val="bullet"/>
      <w:lvlText w:val="•"/>
      <w:lvlJc w:val="left"/>
      <w:pPr>
        <w:ind w:left="6884" w:hanging="284"/>
      </w:pPr>
      <w:rPr>
        <w:rFonts w:hint="default"/>
      </w:rPr>
    </w:lvl>
    <w:lvl w:ilvl="7">
      <w:start w:val="1"/>
      <w:numFmt w:val="bullet"/>
      <w:lvlText w:val="•"/>
      <w:lvlJc w:val="left"/>
      <w:pPr>
        <w:ind w:left="7923" w:hanging="284"/>
      </w:pPr>
      <w:rPr>
        <w:rFonts w:hint="default"/>
      </w:rPr>
    </w:lvl>
    <w:lvl w:ilvl="8">
      <w:start w:val="1"/>
      <w:numFmt w:val="bullet"/>
      <w:lvlText w:val="•"/>
      <w:lvlJc w:val="left"/>
      <w:pPr>
        <w:ind w:left="8961" w:hanging="284"/>
      </w:pPr>
      <w:rPr>
        <w:rFonts w:hint="default"/>
      </w:rPr>
    </w:lvl>
  </w:abstractNum>
  <w:abstractNum w:abstractNumId="17" w15:restartNumberingAfterBreak="0">
    <w:nsid w:val="1BDA2721"/>
    <w:multiLevelType w:val="multilevel"/>
    <w:tmpl w:val="60728E8C"/>
    <w:lvl w:ilvl="0">
      <w:start w:val="6"/>
      <w:numFmt w:val="decimal"/>
      <w:lvlText w:val="%1"/>
      <w:lvlJc w:val="left"/>
      <w:pPr>
        <w:ind w:left="2126" w:hanging="708"/>
      </w:pPr>
      <w:rPr>
        <w:rFonts w:hint="default"/>
      </w:rPr>
    </w:lvl>
    <w:lvl w:ilvl="1">
      <w:start w:val="1"/>
      <w:numFmt w:val="decimal"/>
      <w:lvlText w:val="%1.%2"/>
      <w:lvlJc w:val="left"/>
      <w:pPr>
        <w:ind w:left="2126" w:hanging="708"/>
      </w:pPr>
      <w:rPr>
        <w:rFonts w:hint="default"/>
      </w:rPr>
    </w:lvl>
    <w:lvl w:ilvl="2">
      <w:start w:val="1"/>
      <w:numFmt w:val="decimal"/>
      <w:lvlText w:val="%1.%2.%3"/>
      <w:lvlJc w:val="left"/>
      <w:pPr>
        <w:ind w:left="2126" w:hanging="708"/>
        <w:jc w:val="right"/>
      </w:pPr>
      <w:rPr>
        <w:rFonts w:ascii="Arial" w:eastAsia="Arial" w:hAnsi="Arial" w:hint="default"/>
        <w:b/>
        <w:bCs/>
        <w:color w:val="1C1C1C"/>
        <w:sz w:val="30"/>
        <w:szCs w:val="30"/>
      </w:rPr>
    </w:lvl>
    <w:lvl w:ilvl="3">
      <w:start w:val="1"/>
      <w:numFmt w:val="decimal"/>
      <w:lvlText w:val="%1.%2.%3.%4"/>
      <w:lvlJc w:val="left"/>
      <w:pPr>
        <w:ind w:left="1266" w:hanging="708"/>
      </w:pPr>
      <w:rPr>
        <w:rFonts w:ascii="Arial" w:eastAsia="Arial" w:hAnsi="Arial" w:hint="default"/>
        <w:b/>
        <w:bCs/>
        <w:color w:val="AE4A91"/>
        <w:sz w:val="22"/>
        <w:szCs w:val="22"/>
      </w:rPr>
    </w:lvl>
    <w:lvl w:ilvl="4">
      <w:start w:val="1"/>
      <w:numFmt w:val="bullet"/>
      <w:lvlText w:val=""/>
      <w:lvlJc w:val="left"/>
      <w:pPr>
        <w:ind w:left="1125" w:hanging="284"/>
      </w:pPr>
      <w:rPr>
        <w:rFonts w:ascii="Symbol" w:eastAsia="Symbol" w:hAnsi="Symbol" w:hint="default"/>
        <w:color w:val="auto"/>
        <w:w w:val="99"/>
        <w:sz w:val="19"/>
        <w:szCs w:val="19"/>
      </w:rPr>
    </w:lvl>
    <w:lvl w:ilvl="5">
      <w:start w:val="1"/>
      <w:numFmt w:val="bullet"/>
      <w:lvlText w:val="•"/>
      <w:lvlJc w:val="left"/>
      <w:pPr>
        <w:ind w:left="5468" w:hanging="284"/>
      </w:pPr>
      <w:rPr>
        <w:rFonts w:hint="default"/>
      </w:rPr>
    </w:lvl>
    <w:lvl w:ilvl="6">
      <w:start w:val="1"/>
      <w:numFmt w:val="bullet"/>
      <w:lvlText w:val="•"/>
      <w:lvlJc w:val="left"/>
      <w:pPr>
        <w:ind w:left="6583" w:hanging="284"/>
      </w:pPr>
      <w:rPr>
        <w:rFonts w:hint="default"/>
      </w:rPr>
    </w:lvl>
    <w:lvl w:ilvl="7">
      <w:start w:val="1"/>
      <w:numFmt w:val="bullet"/>
      <w:lvlText w:val="•"/>
      <w:lvlJc w:val="left"/>
      <w:pPr>
        <w:ind w:left="7697" w:hanging="284"/>
      </w:pPr>
      <w:rPr>
        <w:rFonts w:hint="default"/>
      </w:rPr>
    </w:lvl>
    <w:lvl w:ilvl="8">
      <w:start w:val="1"/>
      <w:numFmt w:val="bullet"/>
      <w:lvlText w:val="•"/>
      <w:lvlJc w:val="left"/>
      <w:pPr>
        <w:ind w:left="8811" w:hanging="284"/>
      </w:pPr>
      <w:rPr>
        <w:rFonts w:hint="default"/>
      </w:rPr>
    </w:lvl>
  </w:abstractNum>
  <w:abstractNum w:abstractNumId="18" w15:restartNumberingAfterBreak="0">
    <w:nsid w:val="21270C0F"/>
    <w:multiLevelType w:val="hybridMultilevel"/>
    <w:tmpl w:val="12CC80D0"/>
    <w:lvl w:ilvl="0" w:tplc="269ECE3C">
      <w:start w:val="1"/>
      <w:numFmt w:val="bullet"/>
      <w:lvlText w:val=""/>
      <w:lvlJc w:val="left"/>
      <w:pPr>
        <w:ind w:left="1125" w:hanging="284"/>
      </w:pPr>
      <w:rPr>
        <w:rFonts w:ascii="Symbol" w:eastAsia="Symbol" w:hAnsi="Symbol" w:hint="default"/>
        <w:color w:val="auto"/>
        <w:w w:val="99"/>
        <w:sz w:val="19"/>
        <w:szCs w:val="19"/>
      </w:rPr>
    </w:lvl>
    <w:lvl w:ilvl="1" w:tplc="3E90ABE4">
      <w:start w:val="1"/>
      <w:numFmt w:val="bullet"/>
      <w:lvlText w:val="•"/>
      <w:lvlJc w:val="left"/>
      <w:pPr>
        <w:ind w:left="2117" w:hanging="284"/>
      </w:pPr>
      <w:rPr>
        <w:rFonts w:hint="default"/>
      </w:rPr>
    </w:lvl>
    <w:lvl w:ilvl="2" w:tplc="C1B495AE">
      <w:start w:val="1"/>
      <w:numFmt w:val="bullet"/>
      <w:lvlText w:val="•"/>
      <w:lvlJc w:val="left"/>
      <w:pPr>
        <w:ind w:left="3110" w:hanging="284"/>
      </w:pPr>
      <w:rPr>
        <w:rFonts w:hint="default"/>
      </w:rPr>
    </w:lvl>
    <w:lvl w:ilvl="3" w:tplc="B22E1AE4">
      <w:start w:val="1"/>
      <w:numFmt w:val="bullet"/>
      <w:lvlText w:val="•"/>
      <w:lvlJc w:val="left"/>
      <w:pPr>
        <w:ind w:left="4102" w:hanging="284"/>
      </w:pPr>
      <w:rPr>
        <w:rFonts w:hint="default"/>
      </w:rPr>
    </w:lvl>
    <w:lvl w:ilvl="4" w:tplc="DC2C249A">
      <w:start w:val="1"/>
      <w:numFmt w:val="bullet"/>
      <w:lvlText w:val="•"/>
      <w:lvlJc w:val="left"/>
      <w:pPr>
        <w:ind w:left="5094" w:hanging="284"/>
      </w:pPr>
      <w:rPr>
        <w:rFonts w:hint="default"/>
      </w:rPr>
    </w:lvl>
    <w:lvl w:ilvl="5" w:tplc="A9EEB3B8">
      <w:start w:val="1"/>
      <w:numFmt w:val="bullet"/>
      <w:lvlText w:val="•"/>
      <w:lvlJc w:val="left"/>
      <w:pPr>
        <w:ind w:left="6087" w:hanging="284"/>
      </w:pPr>
      <w:rPr>
        <w:rFonts w:hint="default"/>
      </w:rPr>
    </w:lvl>
    <w:lvl w:ilvl="6" w:tplc="0CBA9EAA">
      <w:start w:val="1"/>
      <w:numFmt w:val="bullet"/>
      <w:lvlText w:val="•"/>
      <w:lvlJc w:val="left"/>
      <w:pPr>
        <w:ind w:left="7079" w:hanging="284"/>
      </w:pPr>
      <w:rPr>
        <w:rFonts w:hint="default"/>
      </w:rPr>
    </w:lvl>
    <w:lvl w:ilvl="7" w:tplc="7DF80D62">
      <w:start w:val="1"/>
      <w:numFmt w:val="bullet"/>
      <w:lvlText w:val="•"/>
      <w:lvlJc w:val="left"/>
      <w:pPr>
        <w:ind w:left="8071" w:hanging="284"/>
      </w:pPr>
      <w:rPr>
        <w:rFonts w:hint="default"/>
      </w:rPr>
    </w:lvl>
    <w:lvl w:ilvl="8" w:tplc="AF388410">
      <w:start w:val="1"/>
      <w:numFmt w:val="bullet"/>
      <w:lvlText w:val="•"/>
      <w:lvlJc w:val="left"/>
      <w:pPr>
        <w:ind w:left="9064" w:hanging="284"/>
      </w:pPr>
      <w:rPr>
        <w:rFonts w:hint="default"/>
      </w:rPr>
    </w:lvl>
  </w:abstractNum>
  <w:abstractNum w:abstractNumId="19" w15:restartNumberingAfterBreak="0">
    <w:nsid w:val="219045FE"/>
    <w:multiLevelType w:val="hybridMultilevel"/>
    <w:tmpl w:val="2DE4E5E8"/>
    <w:lvl w:ilvl="0" w:tplc="D676FF72">
      <w:start w:val="1"/>
      <w:numFmt w:val="decimal"/>
      <w:lvlText w:val="%1."/>
      <w:lvlJc w:val="left"/>
      <w:pPr>
        <w:ind w:left="842" w:hanging="284"/>
      </w:pPr>
      <w:rPr>
        <w:rFonts w:ascii="Arial" w:eastAsia="Arial" w:hAnsi="Arial" w:hint="default"/>
        <w:w w:val="99"/>
        <w:sz w:val="19"/>
        <w:szCs w:val="19"/>
      </w:rPr>
    </w:lvl>
    <w:lvl w:ilvl="1" w:tplc="719AC2DE">
      <w:start w:val="1"/>
      <w:numFmt w:val="bullet"/>
      <w:lvlText w:val=""/>
      <w:lvlJc w:val="left"/>
      <w:pPr>
        <w:ind w:left="1125" w:hanging="284"/>
      </w:pPr>
      <w:rPr>
        <w:rFonts w:ascii="Symbol" w:eastAsia="Symbol" w:hAnsi="Symbol" w:hint="default"/>
        <w:color w:val="auto"/>
        <w:w w:val="99"/>
        <w:sz w:val="19"/>
        <w:szCs w:val="19"/>
      </w:rPr>
    </w:lvl>
    <w:lvl w:ilvl="2" w:tplc="C3C01EB4">
      <w:start w:val="1"/>
      <w:numFmt w:val="bullet"/>
      <w:lvlText w:val="•"/>
      <w:lvlJc w:val="left"/>
      <w:pPr>
        <w:ind w:left="2226" w:hanging="284"/>
      </w:pPr>
      <w:rPr>
        <w:rFonts w:hint="default"/>
      </w:rPr>
    </w:lvl>
    <w:lvl w:ilvl="3" w:tplc="39F4BD42">
      <w:start w:val="1"/>
      <w:numFmt w:val="bullet"/>
      <w:lvlText w:val="•"/>
      <w:lvlJc w:val="left"/>
      <w:pPr>
        <w:ind w:left="3328" w:hanging="284"/>
      </w:pPr>
      <w:rPr>
        <w:rFonts w:hint="default"/>
      </w:rPr>
    </w:lvl>
    <w:lvl w:ilvl="4" w:tplc="26561BC2">
      <w:start w:val="1"/>
      <w:numFmt w:val="bullet"/>
      <w:lvlText w:val="•"/>
      <w:lvlJc w:val="left"/>
      <w:pPr>
        <w:ind w:left="4429" w:hanging="284"/>
      </w:pPr>
      <w:rPr>
        <w:rFonts w:hint="default"/>
      </w:rPr>
    </w:lvl>
    <w:lvl w:ilvl="5" w:tplc="540CC3D4">
      <w:start w:val="1"/>
      <w:numFmt w:val="bullet"/>
      <w:lvlText w:val="•"/>
      <w:lvlJc w:val="left"/>
      <w:pPr>
        <w:ind w:left="5531" w:hanging="284"/>
      </w:pPr>
      <w:rPr>
        <w:rFonts w:hint="default"/>
      </w:rPr>
    </w:lvl>
    <w:lvl w:ilvl="6" w:tplc="1770756C">
      <w:start w:val="1"/>
      <w:numFmt w:val="bullet"/>
      <w:lvlText w:val="•"/>
      <w:lvlJc w:val="left"/>
      <w:pPr>
        <w:ind w:left="6633" w:hanging="284"/>
      </w:pPr>
      <w:rPr>
        <w:rFonts w:hint="default"/>
      </w:rPr>
    </w:lvl>
    <w:lvl w:ilvl="7" w:tplc="284A244A">
      <w:start w:val="1"/>
      <w:numFmt w:val="bullet"/>
      <w:lvlText w:val="•"/>
      <w:lvlJc w:val="left"/>
      <w:pPr>
        <w:ind w:left="7734" w:hanging="284"/>
      </w:pPr>
      <w:rPr>
        <w:rFonts w:hint="default"/>
      </w:rPr>
    </w:lvl>
    <w:lvl w:ilvl="8" w:tplc="7BF0237C">
      <w:start w:val="1"/>
      <w:numFmt w:val="bullet"/>
      <w:lvlText w:val="•"/>
      <w:lvlJc w:val="left"/>
      <w:pPr>
        <w:ind w:left="8836" w:hanging="284"/>
      </w:pPr>
      <w:rPr>
        <w:rFonts w:hint="default"/>
      </w:rPr>
    </w:lvl>
  </w:abstractNum>
  <w:abstractNum w:abstractNumId="20" w15:restartNumberingAfterBreak="0">
    <w:nsid w:val="234D72BA"/>
    <w:multiLevelType w:val="hybridMultilevel"/>
    <w:tmpl w:val="2CD20134"/>
    <w:lvl w:ilvl="0" w:tplc="8542B448">
      <w:start w:val="31"/>
      <w:numFmt w:val="decimal"/>
      <w:lvlText w:val="%1."/>
      <w:lvlJc w:val="left"/>
      <w:pPr>
        <w:ind w:left="842" w:hanging="284"/>
      </w:pPr>
      <w:rPr>
        <w:rFonts w:ascii="Arial" w:eastAsia="Arial" w:hAnsi="Arial" w:hint="default"/>
        <w:w w:val="99"/>
        <w:sz w:val="19"/>
        <w:szCs w:val="19"/>
      </w:rPr>
    </w:lvl>
    <w:lvl w:ilvl="1" w:tplc="63EE0528">
      <w:start w:val="1"/>
      <w:numFmt w:val="bullet"/>
      <w:lvlText w:val=""/>
      <w:lvlJc w:val="left"/>
      <w:pPr>
        <w:ind w:left="1125" w:hanging="284"/>
      </w:pPr>
      <w:rPr>
        <w:rFonts w:ascii="Symbol" w:eastAsia="Symbol" w:hAnsi="Symbol" w:hint="default"/>
        <w:color w:val="auto"/>
        <w:w w:val="99"/>
        <w:sz w:val="19"/>
        <w:szCs w:val="19"/>
      </w:rPr>
    </w:lvl>
    <w:lvl w:ilvl="2" w:tplc="B45830AC">
      <w:start w:val="1"/>
      <w:numFmt w:val="bullet"/>
      <w:lvlText w:val="•"/>
      <w:lvlJc w:val="left"/>
      <w:pPr>
        <w:ind w:left="2226" w:hanging="284"/>
      </w:pPr>
      <w:rPr>
        <w:rFonts w:hint="default"/>
      </w:rPr>
    </w:lvl>
    <w:lvl w:ilvl="3" w:tplc="80AA62D8">
      <w:start w:val="1"/>
      <w:numFmt w:val="bullet"/>
      <w:lvlText w:val="•"/>
      <w:lvlJc w:val="left"/>
      <w:pPr>
        <w:ind w:left="3328" w:hanging="284"/>
      </w:pPr>
      <w:rPr>
        <w:rFonts w:hint="default"/>
      </w:rPr>
    </w:lvl>
    <w:lvl w:ilvl="4" w:tplc="90FCADA4">
      <w:start w:val="1"/>
      <w:numFmt w:val="bullet"/>
      <w:lvlText w:val="•"/>
      <w:lvlJc w:val="left"/>
      <w:pPr>
        <w:ind w:left="4429" w:hanging="284"/>
      </w:pPr>
      <w:rPr>
        <w:rFonts w:hint="default"/>
      </w:rPr>
    </w:lvl>
    <w:lvl w:ilvl="5" w:tplc="0C3247E4">
      <w:start w:val="1"/>
      <w:numFmt w:val="bullet"/>
      <w:lvlText w:val="•"/>
      <w:lvlJc w:val="left"/>
      <w:pPr>
        <w:ind w:left="5531" w:hanging="284"/>
      </w:pPr>
      <w:rPr>
        <w:rFonts w:hint="default"/>
      </w:rPr>
    </w:lvl>
    <w:lvl w:ilvl="6" w:tplc="8782F342">
      <w:start w:val="1"/>
      <w:numFmt w:val="bullet"/>
      <w:lvlText w:val="•"/>
      <w:lvlJc w:val="left"/>
      <w:pPr>
        <w:ind w:left="6633" w:hanging="284"/>
      </w:pPr>
      <w:rPr>
        <w:rFonts w:hint="default"/>
      </w:rPr>
    </w:lvl>
    <w:lvl w:ilvl="7" w:tplc="B8261A82">
      <w:start w:val="1"/>
      <w:numFmt w:val="bullet"/>
      <w:lvlText w:val="•"/>
      <w:lvlJc w:val="left"/>
      <w:pPr>
        <w:ind w:left="7734" w:hanging="284"/>
      </w:pPr>
      <w:rPr>
        <w:rFonts w:hint="default"/>
      </w:rPr>
    </w:lvl>
    <w:lvl w:ilvl="8" w:tplc="6EB2294C">
      <w:start w:val="1"/>
      <w:numFmt w:val="bullet"/>
      <w:lvlText w:val="•"/>
      <w:lvlJc w:val="left"/>
      <w:pPr>
        <w:ind w:left="8836" w:hanging="284"/>
      </w:pPr>
      <w:rPr>
        <w:rFonts w:hint="default"/>
      </w:rPr>
    </w:lvl>
  </w:abstractNum>
  <w:abstractNum w:abstractNumId="21" w15:restartNumberingAfterBreak="0">
    <w:nsid w:val="237B5373"/>
    <w:multiLevelType w:val="hybridMultilevel"/>
    <w:tmpl w:val="6C36DD20"/>
    <w:lvl w:ilvl="0" w:tplc="637CE7EC">
      <w:start w:val="1"/>
      <w:numFmt w:val="bullet"/>
      <w:lvlText w:val="•"/>
      <w:lvlJc w:val="left"/>
      <w:pPr>
        <w:ind w:left="1004" w:hanging="360"/>
      </w:pPr>
      <w:rPr>
        <w:rFont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2" w15:restartNumberingAfterBreak="0">
    <w:nsid w:val="247C5B3D"/>
    <w:multiLevelType w:val="hybridMultilevel"/>
    <w:tmpl w:val="E9CE2F40"/>
    <w:lvl w:ilvl="0" w:tplc="0AD6F26A">
      <w:start w:val="1"/>
      <w:numFmt w:val="bullet"/>
      <w:lvlText w:val=""/>
      <w:lvlJc w:val="left"/>
      <w:pPr>
        <w:ind w:left="1410" w:hanging="286"/>
      </w:pPr>
      <w:rPr>
        <w:rFonts w:ascii="Symbol" w:eastAsia="Symbol" w:hAnsi="Symbol" w:hint="default"/>
        <w:color w:val="auto"/>
        <w:w w:val="99"/>
        <w:sz w:val="19"/>
        <w:szCs w:val="19"/>
      </w:rPr>
    </w:lvl>
    <w:lvl w:ilvl="1" w:tplc="66205946">
      <w:start w:val="1"/>
      <w:numFmt w:val="bullet"/>
      <w:lvlText w:val="•"/>
      <w:lvlJc w:val="left"/>
      <w:pPr>
        <w:ind w:left="2374" w:hanging="286"/>
      </w:pPr>
      <w:rPr>
        <w:rFonts w:hint="default"/>
      </w:rPr>
    </w:lvl>
    <w:lvl w:ilvl="2" w:tplc="30243770">
      <w:start w:val="1"/>
      <w:numFmt w:val="bullet"/>
      <w:lvlText w:val="•"/>
      <w:lvlJc w:val="left"/>
      <w:pPr>
        <w:ind w:left="3338" w:hanging="286"/>
      </w:pPr>
      <w:rPr>
        <w:rFonts w:hint="default"/>
      </w:rPr>
    </w:lvl>
    <w:lvl w:ilvl="3" w:tplc="126AC2DC">
      <w:start w:val="1"/>
      <w:numFmt w:val="bullet"/>
      <w:lvlText w:val="•"/>
      <w:lvlJc w:val="left"/>
      <w:pPr>
        <w:ind w:left="4302" w:hanging="286"/>
      </w:pPr>
      <w:rPr>
        <w:rFonts w:hint="default"/>
      </w:rPr>
    </w:lvl>
    <w:lvl w:ilvl="4" w:tplc="E5660C1A">
      <w:start w:val="1"/>
      <w:numFmt w:val="bullet"/>
      <w:lvlText w:val="•"/>
      <w:lvlJc w:val="left"/>
      <w:pPr>
        <w:ind w:left="5266" w:hanging="286"/>
      </w:pPr>
      <w:rPr>
        <w:rFonts w:hint="default"/>
      </w:rPr>
    </w:lvl>
    <w:lvl w:ilvl="5" w:tplc="81284DBA">
      <w:start w:val="1"/>
      <w:numFmt w:val="bullet"/>
      <w:lvlText w:val="•"/>
      <w:lvlJc w:val="left"/>
      <w:pPr>
        <w:ind w:left="6229" w:hanging="286"/>
      </w:pPr>
      <w:rPr>
        <w:rFonts w:hint="default"/>
      </w:rPr>
    </w:lvl>
    <w:lvl w:ilvl="6" w:tplc="4B06A9DA">
      <w:start w:val="1"/>
      <w:numFmt w:val="bullet"/>
      <w:lvlText w:val="•"/>
      <w:lvlJc w:val="left"/>
      <w:pPr>
        <w:ind w:left="7193" w:hanging="286"/>
      </w:pPr>
      <w:rPr>
        <w:rFonts w:hint="default"/>
      </w:rPr>
    </w:lvl>
    <w:lvl w:ilvl="7" w:tplc="8240450C">
      <w:start w:val="1"/>
      <w:numFmt w:val="bullet"/>
      <w:lvlText w:val="•"/>
      <w:lvlJc w:val="left"/>
      <w:pPr>
        <w:ind w:left="8157" w:hanging="286"/>
      </w:pPr>
      <w:rPr>
        <w:rFonts w:hint="default"/>
      </w:rPr>
    </w:lvl>
    <w:lvl w:ilvl="8" w:tplc="5B5649CA">
      <w:start w:val="1"/>
      <w:numFmt w:val="bullet"/>
      <w:lvlText w:val="•"/>
      <w:lvlJc w:val="left"/>
      <w:pPr>
        <w:ind w:left="9121" w:hanging="286"/>
      </w:pPr>
      <w:rPr>
        <w:rFonts w:hint="default"/>
      </w:rPr>
    </w:lvl>
  </w:abstractNum>
  <w:abstractNum w:abstractNumId="23" w15:restartNumberingAfterBreak="0">
    <w:nsid w:val="27802120"/>
    <w:multiLevelType w:val="hybridMultilevel"/>
    <w:tmpl w:val="DB94449E"/>
    <w:lvl w:ilvl="0" w:tplc="84ECC83E">
      <w:start w:val="1"/>
      <w:numFmt w:val="decimal"/>
      <w:lvlText w:val="%1."/>
      <w:lvlJc w:val="left"/>
      <w:pPr>
        <w:ind w:left="842" w:hanging="284"/>
      </w:pPr>
      <w:rPr>
        <w:rFonts w:ascii="Arial" w:eastAsia="Arial" w:hAnsi="Arial" w:hint="default"/>
        <w:w w:val="99"/>
        <w:sz w:val="19"/>
        <w:szCs w:val="19"/>
      </w:rPr>
    </w:lvl>
    <w:lvl w:ilvl="1" w:tplc="E460C892">
      <w:start w:val="1"/>
      <w:numFmt w:val="bullet"/>
      <w:lvlText w:val=""/>
      <w:lvlJc w:val="left"/>
      <w:pPr>
        <w:ind w:left="1125" w:hanging="284"/>
      </w:pPr>
      <w:rPr>
        <w:rFonts w:ascii="Symbol" w:eastAsia="Symbol" w:hAnsi="Symbol" w:hint="default"/>
        <w:color w:val="auto"/>
        <w:w w:val="99"/>
        <w:sz w:val="19"/>
        <w:szCs w:val="19"/>
      </w:rPr>
    </w:lvl>
    <w:lvl w:ilvl="2" w:tplc="1206DAEA">
      <w:start w:val="1"/>
      <w:numFmt w:val="bullet"/>
      <w:lvlText w:val="•"/>
      <w:lvlJc w:val="left"/>
      <w:pPr>
        <w:ind w:left="2226" w:hanging="284"/>
      </w:pPr>
      <w:rPr>
        <w:rFonts w:hint="default"/>
      </w:rPr>
    </w:lvl>
    <w:lvl w:ilvl="3" w:tplc="BAF85720">
      <w:start w:val="1"/>
      <w:numFmt w:val="bullet"/>
      <w:lvlText w:val="•"/>
      <w:lvlJc w:val="left"/>
      <w:pPr>
        <w:ind w:left="3328" w:hanging="284"/>
      </w:pPr>
      <w:rPr>
        <w:rFonts w:hint="default"/>
      </w:rPr>
    </w:lvl>
    <w:lvl w:ilvl="4" w:tplc="D3CCE18C">
      <w:start w:val="1"/>
      <w:numFmt w:val="bullet"/>
      <w:lvlText w:val="•"/>
      <w:lvlJc w:val="left"/>
      <w:pPr>
        <w:ind w:left="4429" w:hanging="284"/>
      </w:pPr>
      <w:rPr>
        <w:rFonts w:hint="default"/>
      </w:rPr>
    </w:lvl>
    <w:lvl w:ilvl="5" w:tplc="576C63FC">
      <w:start w:val="1"/>
      <w:numFmt w:val="bullet"/>
      <w:lvlText w:val="•"/>
      <w:lvlJc w:val="left"/>
      <w:pPr>
        <w:ind w:left="5531" w:hanging="284"/>
      </w:pPr>
      <w:rPr>
        <w:rFonts w:hint="default"/>
      </w:rPr>
    </w:lvl>
    <w:lvl w:ilvl="6" w:tplc="2CF2AAA6">
      <w:start w:val="1"/>
      <w:numFmt w:val="bullet"/>
      <w:lvlText w:val="•"/>
      <w:lvlJc w:val="left"/>
      <w:pPr>
        <w:ind w:left="6633" w:hanging="284"/>
      </w:pPr>
      <w:rPr>
        <w:rFonts w:hint="default"/>
      </w:rPr>
    </w:lvl>
    <w:lvl w:ilvl="7" w:tplc="3DD201AA">
      <w:start w:val="1"/>
      <w:numFmt w:val="bullet"/>
      <w:lvlText w:val="•"/>
      <w:lvlJc w:val="left"/>
      <w:pPr>
        <w:ind w:left="7734" w:hanging="284"/>
      </w:pPr>
      <w:rPr>
        <w:rFonts w:hint="default"/>
      </w:rPr>
    </w:lvl>
    <w:lvl w:ilvl="8" w:tplc="2AE86896">
      <w:start w:val="1"/>
      <w:numFmt w:val="bullet"/>
      <w:lvlText w:val="•"/>
      <w:lvlJc w:val="left"/>
      <w:pPr>
        <w:ind w:left="8836" w:hanging="284"/>
      </w:pPr>
      <w:rPr>
        <w:rFonts w:hint="default"/>
      </w:rPr>
    </w:lvl>
  </w:abstractNum>
  <w:abstractNum w:abstractNumId="24" w15:restartNumberingAfterBreak="0">
    <w:nsid w:val="29113027"/>
    <w:multiLevelType w:val="hybridMultilevel"/>
    <w:tmpl w:val="FA92405C"/>
    <w:lvl w:ilvl="0" w:tplc="6F904EFA">
      <w:start w:val="1"/>
      <w:numFmt w:val="bullet"/>
      <w:lvlText w:val=""/>
      <w:lvlJc w:val="left"/>
      <w:pPr>
        <w:ind w:left="1125" w:hanging="284"/>
      </w:pPr>
      <w:rPr>
        <w:rFonts w:ascii="Symbol" w:eastAsia="Symbol" w:hAnsi="Symbol" w:hint="default"/>
        <w:color w:val="auto"/>
        <w:w w:val="99"/>
        <w:sz w:val="19"/>
        <w:szCs w:val="19"/>
      </w:rPr>
    </w:lvl>
    <w:lvl w:ilvl="1" w:tplc="6B786108">
      <w:start w:val="1"/>
      <w:numFmt w:val="bullet"/>
      <w:lvlText w:val="•"/>
      <w:lvlJc w:val="left"/>
      <w:pPr>
        <w:ind w:left="2116" w:hanging="284"/>
      </w:pPr>
      <w:rPr>
        <w:rFonts w:hint="default"/>
      </w:rPr>
    </w:lvl>
    <w:lvl w:ilvl="2" w:tplc="EEA23B64">
      <w:start w:val="1"/>
      <w:numFmt w:val="bullet"/>
      <w:lvlText w:val="•"/>
      <w:lvlJc w:val="left"/>
      <w:pPr>
        <w:ind w:left="3108" w:hanging="284"/>
      </w:pPr>
      <w:rPr>
        <w:rFonts w:hint="default"/>
      </w:rPr>
    </w:lvl>
    <w:lvl w:ilvl="3" w:tplc="D1D2F912">
      <w:start w:val="1"/>
      <w:numFmt w:val="bullet"/>
      <w:lvlText w:val="•"/>
      <w:lvlJc w:val="left"/>
      <w:pPr>
        <w:ind w:left="4099" w:hanging="284"/>
      </w:pPr>
      <w:rPr>
        <w:rFonts w:hint="default"/>
      </w:rPr>
    </w:lvl>
    <w:lvl w:ilvl="4" w:tplc="DF52C8C2">
      <w:start w:val="1"/>
      <w:numFmt w:val="bullet"/>
      <w:lvlText w:val="•"/>
      <w:lvlJc w:val="left"/>
      <w:pPr>
        <w:ind w:left="5090" w:hanging="284"/>
      </w:pPr>
      <w:rPr>
        <w:rFonts w:hint="default"/>
      </w:rPr>
    </w:lvl>
    <w:lvl w:ilvl="5" w:tplc="3CEC8B88">
      <w:start w:val="1"/>
      <w:numFmt w:val="bullet"/>
      <w:lvlText w:val="•"/>
      <w:lvlJc w:val="left"/>
      <w:pPr>
        <w:ind w:left="6082" w:hanging="284"/>
      </w:pPr>
      <w:rPr>
        <w:rFonts w:hint="default"/>
      </w:rPr>
    </w:lvl>
    <w:lvl w:ilvl="6" w:tplc="5FAA7416">
      <w:start w:val="1"/>
      <w:numFmt w:val="bullet"/>
      <w:lvlText w:val="•"/>
      <w:lvlJc w:val="left"/>
      <w:pPr>
        <w:ind w:left="7073" w:hanging="284"/>
      </w:pPr>
      <w:rPr>
        <w:rFonts w:hint="default"/>
      </w:rPr>
    </w:lvl>
    <w:lvl w:ilvl="7" w:tplc="13702E26">
      <w:start w:val="1"/>
      <w:numFmt w:val="bullet"/>
      <w:lvlText w:val="•"/>
      <w:lvlJc w:val="left"/>
      <w:pPr>
        <w:ind w:left="8065" w:hanging="284"/>
      </w:pPr>
      <w:rPr>
        <w:rFonts w:hint="default"/>
      </w:rPr>
    </w:lvl>
    <w:lvl w:ilvl="8" w:tplc="AD9A6D28">
      <w:start w:val="1"/>
      <w:numFmt w:val="bullet"/>
      <w:lvlText w:val="•"/>
      <w:lvlJc w:val="left"/>
      <w:pPr>
        <w:ind w:left="9056" w:hanging="284"/>
      </w:pPr>
      <w:rPr>
        <w:rFonts w:hint="default"/>
      </w:rPr>
    </w:lvl>
  </w:abstractNum>
  <w:abstractNum w:abstractNumId="25" w15:restartNumberingAfterBreak="0">
    <w:nsid w:val="2A496034"/>
    <w:multiLevelType w:val="hybridMultilevel"/>
    <w:tmpl w:val="5AF83F26"/>
    <w:lvl w:ilvl="0" w:tplc="4490AEEC">
      <w:start w:val="1"/>
      <w:numFmt w:val="decimal"/>
      <w:lvlText w:val="%1."/>
      <w:lvlJc w:val="left"/>
      <w:pPr>
        <w:ind w:left="842" w:hanging="284"/>
      </w:pPr>
      <w:rPr>
        <w:rFonts w:ascii="Arial" w:eastAsia="Arial" w:hAnsi="Arial" w:hint="default"/>
        <w:w w:val="99"/>
        <w:sz w:val="19"/>
        <w:szCs w:val="19"/>
      </w:rPr>
    </w:lvl>
    <w:lvl w:ilvl="1" w:tplc="FB8AA45A">
      <w:start w:val="1"/>
      <w:numFmt w:val="bullet"/>
      <w:lvlText w:val=""/>
      <w:lvlJc w:val="left"/>
      <w:pPr>
        <w:ind w:left="1125" w:hanging="284"/>
      </w:pPr>
      <w:rPr>
        <w:rFonts w:ascii="Symbol" w:eastAsia="Symbol" w:hAnsi="Symbol" w:hint="default"/>
        <w:color w:val="auto"/>
        <w:w w:val="99"/>
        <w:sz w:val="19"/>
        <w:szCs w:val="19"/>
      </w:rPr>
    </w:lvl>
    <w:lvl w:ilvl="2" w:tplc="28CC63F6">
      <w:start w:val="1"/>
      <w:numFmt w:val="bullet"/>
      <w:lvlText w:val="•"/>
      <w:lvlJc w:val="left"/>
      <w:pPr>
        <w:ind w:left="2226" w:hanging="284"/>
      </w:pPr>
      <w:rPr>
        <w:rFonts w:hint="default"/>
      </w:rPr>
    </w:lvl>
    <w:lvl w:ilvl="3" w:tplc="2C2CF364">
      <w:start w:val="1"/>
      <w:numFmt w:val="bullet"/>
      <w:lvlText w:val="•"/>
      <w:lvlJc w:val="left"/>
      <w:pPr>
        <w:ind w:left="3328" w:hanging="284"/>
      </w:pPr>
      <w:rPr>
        <w:rFonts w:hint="default"/>
      </w:rPr>
    </w:lvl>
    <w:lvl w:ilvl="4" w:tplc="E2209BDE">
      <w:start w:val="1"/>
      <w:numFmt w:val="bullet"/>
      <w:lvlText w:val="•"/>
      <w:lvlJc w:val="left"/>
      <w:pPr>
        <w:ind w:left="4429" w:hanging="284"/>
      </w:pPr>
      <w:rPr>
        <w:rFonts w:hint="default"/>
      </w:rPr>
    </w:lvl>
    <w:lvl w:ilvl="5" w:tplc="19B0D470">
      <w:start w:val="1"/>
      <w:numFmt w:val="bullet"/>
      <w:lvlText w:val="•"/>
      <w:lvlJc w:val="left"/>
      <w:pPr>
        <w:ind w:left="5531" w:hanging="284"/>
      </w:pPr>
      <w:rPr>
        <w:rFonts w:hint="default"/>
      </w:rPr>
    </w:lvl>
    <w:lvl w:ilvl="6" w:tplc="6652D6BC">
      <w:start w:val="1"/>
      <w:numFmt w:val="bullet"/>
      <w:lvlText w:val="•"/>
      <w:lvlJc w:val="left"/>
      <w:pPr>
        <w:ind w:left="6633" w:hanging="284"/>
      </w:pPr>
      <w:rPr>
        <w:rFonts w:hint="default"/>
      </w:rPr>
    </w:lvl>
    <w:lvl w:ilvl="7" w:tplc="96D4D0D2">
      <w:start w:val="1"/>
      <w:numFmt w:val="bullet"/>
      <w:lvlText w:val="•"/>
      <w:lvlJc w:val="left"/>
      <w:pPr>
        <w:ind w:left="7734" w:hanging="284"/>
      </w:pPr>
      <w:rPr>
        <w:rFonts w:hint="default"/>
      </w:rPr>
    </w:lvl>
    <w:lvl w:ilvl="8" w:tplc="C6B82BC0">
      <w:start w:val="1"/>
      <w:numFmt w:val="bullet"/>
      <w:lvlText w:val="•"/>
      <w:lvlJc w:val="left"/>
      <w:pPr>
        <w:ind w:left="8836" w:hanging="284"/>
      </w:pPr>
      <w:rPr>
        <w:rFonts w:hint="default"/>
      </w:rPr>
    </w:lvl>
  </w:abstractNum>
  <w:abstractNum w:abstractNumId="26" w15:restartNumberingAfterBreak="0">
    <w:nsid w:val="2A744ED0"/>
    <w:multiLevelType w:val="hybridMultilevel"/>
    <w:tmpl w:val="914ED0B0"/>
    <w:lvl w:ilvl="0" w:tplc="CF1032CA">
      <w:start w:val="1"/>
      <w:numFmt w:val="decimal"/>
      <w:lvlText w:val="%1."/>
      <w:lvlJc w:val="left"/>
      <w:pPr>
        <w:ind w:left="842" w:hanging="284"/>
      </w:pPr>
      <w:rPr>
        <w:rFonts w:ascii="Arial" w:eastAsia="Arial" w:hAnsi="Arial" w:hint="default"/>
        <w:w w:val="99"/>
        <w:sz w:val="19"/>
        <w:szCs w:val="19"/>
      </w:rPr>
    </w:lvl>
    <w:lvl w:ilvl="1" w:tplc="6B32F372">
      <w:start w:val="1"/>
      <w:numFmt w:val="bullet"/>
      <w:lvlText w:val=""/>
      <w:lvlJc w:val="left"/>
      <w:pPr>
        <w:ind w:left="1125" w:hanging="284"/>
      </w:pPr>
      <w:rPr>
        <w:rFonts w:ascii="Symbol" w:eastAsia="Symbol" w:hAnsi="Symbol" w:hint="default"/>
        <w:color w:val="auto"/>
        <w:w w:val="99"/>
        <w:sz w:val="19"/>
        <w:szCs w:val="19"/>
      </w:rPr>
    </w:lvl>
    <w:lvl w:ilvl="2" w:tplc="7C762E5E">
      <w:start w:val="1"/>
      <w:numFmt w:val="bullet"/>
      <w:lvlText w:val="•"/>
      <w:lvlJc w:val="left"/>
      <w:pPr>
        <w:ind w:left="2226" w:hanging="284"/>
      </w:pPr>
      <w:rPr>
        <w:rFonts w:hint="default"/>
      </w:rPr>
    </w:lvl>
    <w:lvl w:ilvl="3" w:tplc="23502560">
      <w:start w:val="1"/>
      <w:numFmt w:val="bullet"/>
      <w:lvlText w:val="•"/>
      <w:lvlJc w:val="left"/>
      <w:pPr>
        <w:ind w:left="3328" w:hanging="284"/>
      </w:pPr>
      <w:rPr>
        <w:rFonts w:hint="default"/>
      </w:rPr>
    </w:lvl>
    <w:lvl w:ilvl="4" w:tplc="56347EA2">
      <w:start w:val="1"/>
      <w:numFmt w:val="bullet"/>
      <w:lvlText w:val="•"/>
      <w:lvlJc w:val="left"/>
      <w:pPr>
        <w:ind w:left="4429" w:hanging="284"/>
      </w:pPr>
      <w:rPr>
        <w:rFonts w:hint="default"/>
      </w:rPr>
    </w:lvl>
    <w:lvl w:ilvl="5" w:tplc="6AD603FA">
      <w:start w:val="1"/>
      <w:numFmt w:val="bullet"/>
      <w:lvlText w:val="•"/>
      <w:lvlJc w:val="left"/>
      <w:pPr>
        <w:ind w:left="5531" w:hanging="284"/>
      </w:pPr>
      <w:rPr>
        <w:rFonts w:hint="default"/>
      </w:rPr>
    </w:lvl>
    <w:lvl w:ilvl="6" w:tplc="FB745F52">
      <w:start w:val="1"/>
      <w:numFmt w:val="bullet"/>
      <w:lvlText w:val="•"/>
      <w:lvlJc w:val="left"/>
      <w:pPr>
        <w:ind w:left="6633" w:hanging="284"/>
      </w:pPr>
      <w:rPr>
        <w:rFonts w:hint="default"/>
      </w:rPr>
    </w:lvl>
    <w:lvl w:ilvl="7" w:tplc="5E5685FA">
      <w:start w:val="1"/>
      <w:numFmt w:val="bullet"/>
      <w:lvlText w:val="•"/>
      <w:lvlJc w:val="left"/>
      <w:pPr>
        <w:ind w:left="7734" w:hanging="284"/>
      </w:pPr>
      <w:rPr>
        <w:rFonts w:hint="default"/>
      </w:rPr>
    </w:lvl>
    <w:lvl w:ilvl="8" w:tplc="4A8AEFB4">
      <w:start w:val="1"/>
      <w:numFmt w:val="bullet"/>
      <w:lvlText w:val="•"/>
      <w:lvlJc w:val="left"/>
      <w:pPr>
        <w:ind w:left="8836" w:hanging="284"/>
      </w:pPr>
      <w:rPr>
        <w:rFonts w:hint="default"/>
      </w:rPr>
    </w:lvl>
  </w:abstractNum>
  <w:abstractNum w:abstractNumId="27" w15:restartNumberingAfterBreak="0">
    <w:nsid w:val="30347D70"/>
    <w:multiLevelType w:val="hybridMultilevel"/>
    <w:tmpl w:val="E6B07666"/>
    <w:lvl w:ilvl="0" w:tplc="772C3D3C">
      <w:start w:val="1"/>
      <w:numFmt w:val="lowerLetter"/>
      <w:lvlText w:val="%1)"/>
      <w:lvlJc w:val="left"/>
      <w:pPr>
        <w:ind w:left="1122" w:hanging="284"/>
      </w:pPr>
      <w:rPr>
        <w:rFonts w:ascii="Arial" w:eastAsia="Arial" w:hAnsi="Arial" w:hint="default"/>
        <w:w w:val="99"/>
        <w:sz w:val="19"/>
        <w:szCs w:val="19"/>
      </w:rPr>
    </w:lvl>
    <w:lvl w:ilvl="1" w:tplc="91782AEC">
      <w:start w:val="1"/>
      <w:numFmt w:val="bullet"/>
      <w:lvlText w:val=""/>
      <w:lvlJc w:val="left"/>
      <w:pPr>
        <w:ind w:left="1408" w:hanging="286"/>
      </w:pPr>
      <w:rPr>
        <w:rFonts w:ascii="Symbol" w:eastAsia="Symbol" w:hAnsi="Symbol" w:hint="default"/>
        <w:color w:val="auto"/>
        <w:w w:val="99"/>
        <w:sz w:val="19"/>
        <w:szCs w:val="19"/>
      </w:rPr>
    </w:lvl>
    <w:lvl w:ilvl="2" w:tplc="B69E4024">
      <w:start w:val="1"/>
      <w:numFmt w:val="bullet"/>
      <w:lvlText w:val="•"/>
      <w:lvlJc w:val="left"/>
      <w:pPr>
        <w:ind w:left="2479" w:hanging="286"/>
      </w:pPr>
      <w:rPr>
        <w:rFonts w:hint="default"/>
      </w:rPr>
    </w:lvl>
    <w:lvl w:ilvl="3" w:tplc="29FAD00A">
      <w:start w:val="1"/>
      <w:numFmt w:val="bullet"/>
      <w:lvlText w:val="•"/>
      <w:lvlJc w:val="left"/>
      <w:pPr>
        <w:ind w:left="3550" w:hanging="286"/>
      </w:pPr>
      <w:rPr>
        <w:rFonts w:hint="default"/>
      </w:rPr>
    </w:lvl>
    <w:lvl w:ilvl="4" w:tplc="B5180084">
      <w:start w:val="1"/>
      <w:numFmt w:val="bullet"/>
      <w:lvlText w:val="•"/>
      <w:lvlJc w:val="left"/>
      <w:pPr>
        <w:ind w:left="4621" w:hanging="286"/>
      </w:pPr>
      <w:rPr>
        <w:rFonts w:hint="default"/>
      </w:rPr>
    </w:lvl>
    <w:lvl w:ilvl="5" w:tplc="06EA962E">
      <w:start w:val="1"/>
      <w:numFmt w:val="bullet"/>
      <w:lvlText w:val="•"/>
      <w:lvlJc w:val="left"/>
      <w:pPr>
        <w:ind w:left="5693" w:hanging="286"/>
      </w:pPr>
      <w:rPr>
        <w:rFonts w:hint="default"/>
      </w:rPr>
    </w:lvl>
    <w:lvl w:ilvl="6" w:tplc="CFACA63C">
      <w:start w:val="1"/>
      <w:numFmt w:val="bullet"/>
      <w:lvlText w:val="•"/>
      <w:lvlJc w:val="left"/>
      <w:pPr>
        <w:ind w:left="6764" w:hanging="286"/>
      </w:pPr>
      <w:rPr>
        <w:rFonts w:hint="default"/>
      </w:rPr>
    </w:lvl>
    <w:lvl w:ilvl="7" w:tplc="E8BE7C1A">
      <w:start w:val="1"/>
      <w:numFmt w:val="bullet"/>
      <w:lvlText w:val="•"/>
      <w:lvlJc w:val="left"/>
      <w:pPr>
        <w:ind w:left="7835" w:hanging="286"/>
      </w:pPr>
      <w:rPr>
        <w:rFonts w:hint="default"/>
      </w:rPr>
    </w:lvl>
    <w:lvl w:ilvl="8" w:tplc="6A385B7C">
      <w:start w:val="1"/>
      <w:numFmt w:val="bullet"/>
      <w:lvlText w:val="•"/>
      <w:lvlJc w:val="left"/>
      <w:pPr>
        <w:ind w:left="8906" w:hanging="286"/>
      </w:pPr>
      <w:rPr>
        <w:rFonts w:hint="default"/>
      </w:rPr>
    </w:lvl>
  </w:abstractNum>
  <w:abstractNum w:abstractNumId="28" w15:restartNumberingAfterBreak="0">
    <w:nsid w:val="31C21871"/>
    <w:multiLevelType w:val="hybridMultilevel"/>
    <w:tmpl w:val="8B84DA42"/>
    <w:lvl w:ilvl="0" w:tplc="EE18A940">
      <w:start w:val="77"/>
      <w:numFmt w:val="decimal"/>
      <w:lvlText w:val="%1."/>
      <w:lvlJc w:val="left"/>
      <w:pPr>
        <w:ind w:left="842" w:hanging="284"/>
      </w:pPr>
      <w:rPr>
        <w:rFonts w:ascii="Arial" w:eastAsia="Arial" w:hAnsi="Arial" w:hint="default"/>
        <w:w w:val="99"/>
        <w:sz w:val="19"/>
        <w:szCs w:val="19"/>
      </w:rPr>
    </w:lvl>
    <w:lvl w:ilvl="1" w:tplc="A5C06764">
      <w:start w:val="1"/>
      <w:numFmt w:val="lowerLetter"/>
      <w:lvlText w:val="%2)"/>
      <w:lvlJc w:val="left"/>
      <w:pPr>
        <w:ind w:left="1202" w:hanging="360"/>
      </w:pPr>
      <w:rPr>
        <w:rFonts w:ascii="Arial" w:eastAsia="Arial" w:hAnsi="Arial" w:hint="default"/>
        <w:w w:val="99"/>
        <w:sz w:val="19"/>
        <w:szCs w:val="19"/>
      </w:rPr>
    </w:lvl>
    <w:lvl w:ilvl="2" w:tplc="BC466FE6">
      <w:start w:val="1"/>
      <w:numFmt w:val="bullet"/>
      <w:lvlText w:val=""/>
      <w:lvlJc w:val="left"/>
      <w:pPr>
        <w:ind w:left="1410" w:hanging="286"/>
      </w:pPr>
      <w:rPr>
        <w:rFonts w:ascii="Symbol" w:eastAsia="Symbol" w:hAnsi="Symbol" w:hint="default"/>
        <w:color w:val="auto"/>
        <w:w w:val="99"/>
        <w:sz w:val="19"/>
        <w:szCs w:val="19"/>
      </w:rPr>
    </w:lvl>
    <w:lvl w:ilvl="3" w:tplc="B56C5F44">
      <w:start w:val="1"/>
      <w:numFmt w:val="bullet"/>
      <w:lvlText w:val="•"/>
      <w:lvlJc w:val="left"/>
      <w:pPr>
        <w:ind w:left="1410" w:hanging="286"/>
      </w:pPr>
      <w:rPr>
        <w:rFonts w:hint="default"/>
      </w:rPr>
    </w:lvl>
    <w:lvl w:ilvl="4" w:tplc="4594B5B8">
      <w:start w:val="1"/>
      <w:numFmt w:val="bullet"/>
      <w:lvlText w:val="•"/>
      <w:lvlJc w:val="left"/>
      <w:pPr>
        <w:ind w:left="2787" w:hanging="286"/>
      </w:pPr>
      <w:rPr>
        <w:rFonts w:hint="default"/>
      </w:rPr>
    </w:lvl>
    <w:lvl w:ilvl="5" w:tplc="078609A0">
      <w:start w:val="1"/>
      <w:numFmt w:val="bullet"/>
      <w:lvlText w:val="•"/>
      <w:lvlJc w:val="left"/>
      <w:pPr>
        <w:ind w:left="4164" w:hanging="286"/>
      </w:pPr>
      <w:rPr>
        <w:rFonts w:hint="default"/>
      </w:rPr>
    </w:lvl>
    <w:lvl w:ilvl="6" w:tplc="8C12392C">
      <w:start w:val="1"/>
      <w:numFmt w:val="bullet"/>
      <w:lvlText w:val="•"/>
      <w:lvlJc w:val="left"/>
      <w:pPr>
        <w:ind w:left="5541" w:hanging="286"/>
      </w:pPr>
      <w:rPr>
        <w:rFonts w:hint="default"/>
      </w:rPr>
    </w:lvl>
    <w:lvl w:ilvl="7" w:tplc="A42805D6">
      <w:start w:val="1"/>
      <w:numFmt w:val="bullet"/>
      <w:lvlText w:val="•"/>
      <w:lvlJc w:val="left"/>
      <w:pPr>
        <w:ind w:left="6918" w:hanging="286"/>
      </w:pPr>
      <w:rPr>
        <w:rFonts w:hint="default"/>
      </w:rPr>
    </w:lvl>
    <w:lvl w:ilvl="8" w:tplc="205A827C">
      <w:start w:val="1"/>
      <w:numFmt w:val="bullet"/>
      <w:lvlText w:val="•"/>
      <w:lvlJc w:val="left"/>
      <w:pPr>
        <w:ind w:left="8295" w:hanging="286"/>
      </w:pPr>
      <w:rPr>
        <w:rFonts w:hint="default"/>
      </w:rPr>
    </w:lvl>
  </w:abstractNum>
  <w:abstractNum w:abstractNumId="29" w15:restartNumberingAfterBreak="0">
    <w:nsid w:val="32EE1AA0"/>
    <w:multiLevelType w:val="hybridMultilevel"/>
    <w:tmpl w:val="06B23084"/>
    <w:lvl w:ilvl="0" w:tplc="8F6A5B94">
      <w:start w:val="1"/>
      <w:numFmt w:val="bullet"/>
      <w:lvlText w:val=""/>
      <w:lvlJc w:val="left"/>
      <w:pPr>
        <w:ind w:left="1125" w:hanging="284"/>
      </w:pPr>
      <w:rPr>
        <w:rFonts w:ascii="Symbol" w:eastAsia="Symbol" w:hAnsi="Symbol" w:hint="default"/>
        <w:color w:val="auto"/>
        <w:w w:val="99"/>
        <w:sz w:val="19"/>
        <w:szCs w:val="19"/>
      </w:rPr>
    </w:lvl>
    <w:lvl w:ilvl="1" w:tplc="7D861B10">
      <w:start w:val="1"/>
      <w:numFmt w:val="bullet"/>
      <w:lvlText w:val="•"/>
      <w:lvlJc w:val="left"/>
      <w:pPr>
        <w:ind w:left="2116" w:hanging="284"/>
      </w:pPr>
      <w:rPr>
        <w:rFonts w:hint="default"/>
      </w:rPr>
    </w:lvl>
    <w:lvl w:ilvl="2" w:tplc="808E5B1E">
      <w:start w:val="1"/>
      <w:numFmt w:val="bullet"/>
      <w:lvlText w:val="•"/>
      <w:lvlJc w:val="left"/>
      <w:pPr>
        <w:ind w:left="3108" w:hanging="284"/>
      </w:pPr>
      <w:rPr>
        <w:rFonts w:hint="default"/>
      </w:rPr>
    </w:lvl>
    <w:lvl w:ilvl="3" w:tplc="0770A9D6">
      <w:start w:val="1"/>
      <w:numFmt w:val="bullet"/>
      <w:lvlText w:val="•"/>
      <w:lvlJc w:val="left"/>
      <w:pPr>
        <w:ind w:left="4099" w:hanging="284"/>
      </w:pPr>
      <w:rPr>
        <w:rFonts w:hint="default"/>
      </w:rPr>
    </w:lvl>
    <w:lvl w:ilvl="4" w:tplc="0AD86D74">
      <w:start w:val="1"/>
      <w:numFmt w:val="bullet"/>
      <w:lvlText w:val="•"/>
      <w:lvlJc w:val="left"/>
      <w:pPr>
        <w:ind w:left="5090" w:hanging="284"/>
      </w:pPr>
      <w:rPr>
        <w:rFonts w:hint="default"/>
      </w:rPr>
    </w:lvl>
    <w:lvl w:ilvl="5" w:tplc="83E8C22E">
      <w:start w:val="1"/>
      <w:numFmt w:val="bullet"/>
      <w:lvlText w:val="•"/>
      <w:lvlJc w:val="left"/>
      <w:pPr>
        <w:ind w:left="6082" w:hanging="284"/>
      </w:pPr>
      <w:rPr>
        <w:rFonts w:hint="default"/>
      </w:rPr>
    </w:lvl>
    <w:lvl w:ilvl="6" w:tplc="FEF478C8">
      <w:start w:val="1"/>
      <w:numFmt w:val="bullet"/>
      <w:lvlText w:val="•"/>
      <w:lvlJc w:val="left"/>
      <w:pPr>
        <w:ind w:left="7073" w:hanging="284"/>
      </w:pPr>
      <w:rPr>
        <w:rFonts w:hint="default"/>
      </w:rPr>
    </w:lvl>
    <w:lvl w:ilvl="7" w:tplc="21AC0EF8">
      <w:start w:val="1"/>
      <w:numFmt w:val="bullet"/>
      <w:lvlText w:val="•"/>
      <w:lvlJc w:val="left"/>
      <w:pPr>
        <w:ind w:left="8065" w:hanging="284"/>
      </w:pPr>
      <w:rPr>
        <w:rFonts w:hint="default"/>
      </w:rPr>
    </w:lvl>
    <w:lvl w:ilvl="8" w:tplc="ADC26998">
      <w:start w:val="1"/>
      <w:numFmt w:val="bullet"/>
      <w:lvlText w:val="•"/>
      <w:lvlJc w:val="left"/>
      <w:pPr>
        <w:ind w:left="9056" w:hanging="284"/>
      </w:pPr>
      <w:rPr>
        <w:rFonts w:hint="default"/>
      </w:rPr>
    </w:lvl>
  </w:abstractNum>
  <w:abstractNum w:abstractNumId="30" w15:restartNumberingAfterBreak="0">
    <w:nsid w:val="33614182"/>
    <w:multiLevelType w:val="hybridMultilevel"/>
    <w:tmpl w:val="2DB29302"/>
    <w:lvl w:ilvl="0" w:tplc="A394F188">
      <w:start w:val="1"/>
      <w:numFmt w:val="decimal"/>
      <w:lvlText w:val="%1."/>
      <w:lvlJc w:val="left"/>
      <w:pPr>
        <w:ind w:left="842" w:hanging="284"/>
      </w:pPr>
      <w:rPr>
        <w:rFonts w:ascii="Arial" w:eastAsia="Arial" w:hAnsi="Arial" w:hint="default"/>
        <w:w w:val="99"/>
        <w:sz w:val="19"/>
        <w:szCs w:val="19"/>
      </w:rPr>
    </w:lvl>
    <w:lvl w:ilvl="1" w:tplc="3E467850">
      <w:start w:val="1"/>
      <w:numFmt w:val="bullet"/>
      <w:lvlText w:val=""/>
      <w:lvlJc w:val="left"/>
      <w:pPr>
        <w:ind w:left="1125" w:hanging="284"/>
      </w:pPr>
      <w:rPr>
        <w:rFonts w:ascii="Symbol" w:eastAsia="Symbol" w:hAnsi="Symbol" w:hint="default"/>
        <w:color w:val="auto"/>
        <w:w w:val="99"/>
        <w:sz w:val="19"/>
        <w:szCs w:val="19"/>
      </w:rPr>
    </w:lvl>
    <w:lvl w:ilvl="2" w:tplc="BDD2B6E8">
      <w:start w:val="1"/>
      <w:numFmt w:val="bullet"/>
      <w:lvlText w:val="•"/>
      <w:lvlJc w:val="left"/>
      <w:pPr>
        <w:ind w:left="2226" w:hanging="284"/>
      </w:pPr>
      <w:rPr>
        <w:rFonts w:hint="default"/>
      </w:rPr>
    </w:lvl>
    <w:lvl w:ilvl="3" w:tplc="613460F8">
      <w:start w:val="1"/>
      <w:numFmt w:val="bullet"/>
      <w:lvlText w:val="•"/>
      <w:lvlJc w:val="left"/>
      <w:pPr>
        <w:ind w:left="3328" w:hanging="284"/>
      </w:pPr>
      <w:rPr>
        <w:rFonts w:hint="default"/>
      </w:rPr>
    </w:lvl>
    <w:lvl w:ilvl="4" w:tplc="88F810AC">
      <w:start w:val="1"/>
      <w:numFmt w:val="bullet"/>
      <w:lvlText w:val="•"/>
      <w:lvlJc w:val="left"/>
      <w:pPr>
        <w:ind w:left="4429" w:hanging="284"/>
      </w:pPr>
      <w:rPr>
        <w:rFonts w:hint="default"/>
      </w:rPr>
    </w:lvl>
    <w:lvl w:ilvl="5" w:tplc="DCC62954">
      <w:start w:val="1"/>
      <w:numFmt w:val="bullet"/>
      <w:lvlText w:val="•"/>
      <w:lvlJc w:val="left"/>
      <w:pPr>
        <w:ind w:left="5531" w:hanging="284"/>
      </w:pPr>
      <w:rPr>
        <w:rFonts w:hint="default"/>
      </w:rPr>
    </w:lvl>
    <w:lvl w:ilvl="6" w:tplc="F8522150">
      <w:start w:val="1"/>
      <w:numFmt w:val="bullet"/>
      <w:lvlText w:val="•"/>
      <w:lvlJc w:val="left"/>
      <w:pPr>
        <w:ind w:left="6633" w:hanging="284"/>
      </w:pPr>
      <w:rPr>
        <w:rFonts w:hint="default"/>
      </w:rPr>
    </w:lvl>
    <w:lvl w:ilvl="7" w:tplc="579665F0">
      <w:start w:val="1"/>
      <w:numFmt w:val="bullet"/>
      <w:lvlText w:val="•"/>
      <w:lvlJc w:val="left"/>
      <w:pPr>
        <w:ind w:left="7734" w:hanging="284"/>
      </w:pPr>
      <w:rPr>
        <w:rFonts w:hint="default"/>
      </w:rPr>
    </w:lvl>
    <w:lvl w:ilvl="8" w:tplc="0FFEBE3E">
      <w:start w:val="1"/>
      <w:numFmt w:val="bullet"/>
      <w:lvlText w:val="•"/>
      <w:lvlJc w:val="left"/>
      <w:pPr>
        <w:ind w:left="8836" w:hanging="284"/>
      </w:pPr>
      <w:rPr>
        <w:rFonts w:hint="default"/>
      </w:rPr>
    </w:lvl>
  </w:abstractNum>
  <w:abstractNum w:abstractNumId="31" w15:restartNumberingAfterBreak="0">
    <w:nsid w:val="340144EA"/>
    <w:multiLevelType w:val="hybridMultilevel"/>
    <w:tmpl w:val="5C18662E"/>
    <w:lvl w:ilvl="0" w:tplc="85E2B18A">
      <w:start w:val="1"/>
      <w:numFmt w:val="bullet"/>
      <w:lvlText w:val=""/>
      <w:lvlJc w:val="left"/>
      <w:pPr>
        <w:ind w:left="1125" w:hanging="284"/>
      </w:pPr>
      <w:rPr>
        <w:rFonts w:ascii="Symbol" w:eastAsia="Symbol" w:hAnsi="Symbol" w:hint="default"/>
        <w:color w:val="auto"/>
        <w:w w:val="99"/>
        <w:sz w:val="19"/>
        <w:szCs w:val="19"/>
      </w:rPr>
    </w:lvl>
    <w:lvl w:ilvl="1" w:tplc="34365B3C">
      <w:start w:val="1"/>
      <w:numFmt w:val="bullet"/>
      <w:lvlText w:val="•"/>
      <w:lvlJc w:val="left"/>
      <w:pPr>
        <w:ind w:left="2117" w:hanging="284"/>
      </w:pPr>
      <w:rPr>
        <w:rFonts w:hint="default"/>
      </w:rPr>
    </w:lvl>
    <w:lvl w:ilvl="2" w:tplc="9FB6AF48">
      <w:start w:val="1"/>
      <w:numFmt w:val="bullet"/>
      <w:lvlText w:val="•"/>
      <w:lvlJc w:val="left"/>
      <w:pPr>
        <w:ind w:left="3110" w:hanging="284"/>
      </w:pPr>
      <w:rPr>
        <w:rFonts w:hint="default"/>
      </w:rPr>
    </w:lvl>
    <w:lvl w:ilvl="3" w:tplc="F47E2542">
      <w:start w:val="1"/>
      <w:numFmt w:val="bullet"/>
      <w:lvlText w:val="•"/>
      <w:lvlJc w:val="left"/>
      <w:pPr>
        <w:ind w:left="4102" w:hanging="284"/>
      </w:pPr>
      <w:rPr>
        <w:rFonts w:hint="default"/>
      </w:rPr>
    </w:lvl>
    <w:lvl w:ilvl="4" w:tplc="9E98DDE6">
      <w:start w:val="1"/>
      <w:numFmt w:val="bullet"/>
      <w:lvlText w:val="•"/>
      <w:lvlJc w:val="left"/>
      <w:pPr>
        <w:ind w:left="5094" w:hanging="284"/>
      </w:pPr>
      <w:rPr>
        <w:rFonts w:hint="default"/>
      </w:rPr>
    </w:lvl>
    <w:lvl w:ilvl="5" w:tplc="82347328">
      <w:start w:val="1"/>
      <w:numFmt w:val="bullet"/>
      <w:lvlText w:val="•"/>
      <w:lvlJc w:val="left"/>
      <w:pPr>
        <w:ind w:left="6087" w:hanging="284"/>
      </w:pPr>
      <w:rPr>
        <w:rFonts w:hint="default"/>
      </w:rPr>
    </w:lvl>
    <w:lvl w:ilvl="6" w:tplc="3E7A387E">
      <w:start w:val="1"/>
      <w:numFmt w:val="bullet"/>
      <w:lvlText w:val="•"/>
      <w:lvlJc w:val="left"/>
      <w:pPr>
        <w:ind w:left="7079" w:hanging="284"/>
      </w:pPr>
      <w:rPr>
        <w:rFonts w:hint="default"/>
      </w:rPr>
    </w:lvl>
    <w:lvl w:ilvl="7" w:tplc="CBF88190">
      <w:start w:val="1"/>
      <w:numFmt w:val="bullet"/>
      <w:lvlText w:val="•"/>
      <w:lvlJc w:val="left"/>
      <w:pPr>
        <w:ind w:left="8071" w:hanging="284"/>
      </w:pPr>
      <w:rPr>
        <w:rFonts w:hint="default"/>
      </w:rPr>
    </w:lvl>
    <w:lvl w:ilvl="8" w:tplc="19E48B74">
      <w:start w:val="1"/>
      <w:numFmt w:val="bullet"/>
      <w:lvlText w:val="•"/>
      <w:lvlJc w:val="left"/>
      <w:pPr>
        <w:ind w:left="9064" w:hanging="284"/>
      </w:pPr>
      <w:rPr>
        <w:rFonts w:hint="default"/>
      </w:rPr>
    </w:lvl>
  </w:abstractNum>
  <w:abstractNum w:abstractNumId="32" w15:restartNumberingAfterBreak="0">
    <w:nsid w:val="34A31268"/>
    <w:multiLevelType w:val="hybridMultilevel"/>
    <w:tmpl w:val="328EC9EA"/>
    <w:lvl w:ilvl="0" w:tplc="9E8E20E2">
      <w:start w:val="1"/>
      <w:numFmt w:val="bullet"/>
      <w:lvlText w:val=""/>
      <w:lvlJc w:val="left"/>
      <w:pPr>
        <w:ind w:left="1125" w:hanging="284"/>
      </w:pPr>
      <w:rPr>
        <w:rFonts w:ascii="Symbol" w:eastAsia="Symbol" w:hAnsi="Symbol" w:hint="default"/>
        <w:color w:val="auto"/>
        <w:w w:val="99"/>
        <w:sz w:val="19"/>
        <w:szCs w:val="19"/>
      </w:rPr>
    </w:lvl>
    <w:lvl w:ilvl="1" w:tplc="317CDAF6">
      <w:start w:val="1"/>
      <w:numFmt w:val="bullet"/>
      <w:lvlText w:val="•"/>
      <w:lvlJc w:val="left"/>
      <w:pPr>
        <w:ind w:left="2116" w:hanging="284"/>
      </w:pPr>
      <w:rPr>
        <w:rFonts w:hint="default"/>
      </w:rPr>
    </w:lvl>
    <w:lvl w:ilvl="2" w:tplc="B4689BB0">
      <w:start w:val="1"/>
      <w:numFmt w:val="bullet"/>
      <w:lvlText w:val="•"/>
      <w:lvlJc w:val="left"/>
      <w:pPr>
        <w:ind w:left="3108" w:hanging="284"/>
      </w:pPr>
      <w:rPr>
        <w:rFonts w:hint="default"/>
      </w:rPr>
    </w:lvl>
    <w:lvl w:ilvl="3" w:tplc="1930C3E8">
      <w:start w:val="1"/>
      <w:numFmt w:val="bullet"/>
      <w:lvlText w:val="•"/>
      <w:lvlJc w:val="left"/>
      <w:pPr>
        <w:ind w:left="4099" w:hanging="284"/>
      </w:pPr>
      <w:rPr>
        <w:rFonts w:hint="default"/>
      </w:rPr>
    </w:lvl>
    <w:lvl w:ilvl="4" w:tplc="26D07A5E">
      <w:start w:val="1"/>
      <w:numFmt w:val="bullet"/>
      <w:lvlText w:val="•"/>
      <w:lvlJc w:val="left"/>
      <w:pPr>
        <w:ind w:left="5090" w:hanging="284"/>
      </w:pPr>
      <w:rPr>
        <w:rFonts w:hint="default"/>
      </w:rPr>
    </w:lvl>
    <w:lvl w:ilvl="5" w:tplc="EEAE4C2E">
      <w:start w:val="1"/>
      <w:numFmt w:val="bullet"/>
      <w:lvlText w:val="•"/>
      <w:lvlJc w:val="left"/>
      <w:pPr>
        <w:ind w:left="6082" w:hanging="284"/>
      </w:pPr>
      <w:rPr>
        <w:rFonts w:hint="default"/>
      </w:rPr>
    </w:lvl>
    <w:lvl w:ilvl="6" w:tplc="FF7838F8">
      <w:start w:val="1"/>
      <w:numFmt w:val="bullet"/>
      <w:lvlText w:val="•"/>
      <w:lvlJc w:val="left"/>
      <w:pPr>
        <w:ind w:left="7073" w:hanging="284"/>
      </w:pPr>
      <w:rPr>
        <w:rFonts w:hint="default"/>
      </w:rPr>
    </w:lvl>
    <w:lvl w:ilvl="7" w:tplc="F9724FFA">
      <w:start w:val="1"/>
      <w:numFmt w:val="bullet"/>
      <w:lvlText w:val="•"/>
      <w:lvlJc w:val="left"/>
      <w:pPr>
        <w:ind w:left="8065" w:hanging="284"/>
      </w:pPr>
      <w:rPr>
        <w:rFonts w:hint="default"/>
      </w:rPr>
    </w:lvl>
    <w:lvl w:ilvl="8" w:tplc="A2DEB6FA">
      <w:start w:val="1"/>
      <w:numFmt w:val="bullet"/>
      <w:lvlText w:val="•"/>
      <w:lvlJc w:val="left"/>
      <w:pPr>
        <w:ind w:left="9056" w:hanging="284"/>
      </w:pPr>
      <w:rPr>
        <w:rFonts w:hint="default"/>
      </w:rPr>
    </w:lvl>
  </w:abstractNum>
  <w:abstractNum w:abstractNumId="33" w15:restartNumberingAfterBreak="0">
    <w:nsid w:val="37493858"/>
    <w:multiLevelType w:val="hybridMultilevel"/>
    <w:tmpl w:val="B8A66A8E"/>
    <w:lvl w:ilvl="0" w:tplc="AB46130A">
      <w:start w:val="1"/>
      <w:numFmt w:val="decimal"/>
      <w:lvlText w:val="%1."/>
      <w:lvlJc w:val="left"/>
      <w:pPr>
        <w:ind w:left="842" w:hanging="284"/>
      </w:pPr>
      <w:rPr>
        <w:rFonts w:ascii="Arial" w:eastAsia="Arial" w:hAnsi="Arial" w:hint="default"/>
        <w:w w:val="99"/>
        <w:sz w:val="19"/>
        <w:szCs w:val="19"/>
      </w:rPr>
    </w:lvl>
    <w:lvl w:ilvl="1" w:tplc="483A6A6A">
      <w:start w:val="1"/>
      <w:numFmt w:val="bullet"/>
      <w:lvlText w:val=""/>
      <w:lvlJc w:val="left"/>
      <w:pPr>
        <w:ind w:left="1125" w:hanging="284"/>
      </w:pPr>
      <w:rPr>
        <w:rFonts w:ascii="Symbol" w:eastAsia="Symbol" w:hAnsi="Symbol" w:hint="default"/>
        <w:color w:val="auto"/>
        <w:w w:val="99"/>
        <w:sz w:val="19"/>
        <w:szCs w:val="19"/>
      </w:rPr>
    </w:lvl>
    <w:lvl w:ilvl="2" w:tplc="3E6E7F02">
      <w:start w:val="1"/>
      <w:numFmt w:val="bullet"/>
      <w:lvlText w:val="•"/>
      <w:lvlJc w:val="left"/>
      <w:pPr>
        <w:ind w:left="2226" w:hanging="284"/>
      </w:pPr>
      <w:rPr>
        <w:rFonts w:hint="default"/>
      </w:rPr>
    </w:lvl>
    <w:lvl w:ilvl="3" w:tplc="D5C23174">
      <w:start w:val="1"/>
      <w:numFmt w:val="bullet"/>
      <w:lvlText w:val="•"/>
      <w:lvlJc w:val="left"/>
      <w:pPr>
        <w:ind w:left="3328" w:hanging="284"/>
      </w:pPr>
      <w:rPr>
        <w:rFonts w:hint="default"/>
      </w:rPr>
    </w:lvl>
    <w:lvl w:ilvl="4" w:tplc="7496FB84">
      <w:start w:val="1"/>
      <w:numFmt w:val="bullet"/>
      <w:lvlText w:val="•"/>
      <w:lvlJc w:val="left"/>
      <w:pPr>
        <w:ind w:left="4429" w:hanging="284"/>
      </w:pPr>
      <w:rPr>
        <w:rFonts w:hint="default"/>
      </w:rPr>
    </w:lvl>
    <w:lvl w:ilvl="5" w:tplc="83EEA77E">
      <w:start w:val="1"/>
      <w:numFmt w:val="bullet"/>
      <w:lvlText w:val="•"/>
      <w:lvlJc w:val="left"/>
      <w:pPr>
        <w:ind w:left="5531" w:hanging="284"/>
      </w:pPr>
      <w:rPr>
        <w:rFonts w:hint="default"/>
      </w:rPr>
    </w:lvl>
    <w:lvl w:ilvl="6" w:tplc="336ACDA0">
      <w:start w:val="1"/>
      <w:numFmt w:val="bullet"/>
      <w:lvlText w:val="•"/>
      <w:lvlJc w:val="left"/>
      <w:pPr>
        <w:ind w:left="6633" w:hanging="284"/>
      </w:pPr>
      <w:rPr>
        <w:rFonts w:hint="default"/>
      </w:rPr>
    </w:lvl>
    <w:lvl w:ilvl="7" w:tplc="2EB8B848">
      <w:start w:val="1"/>
      <w:numFmt w:val="bullet"/>
      <w:lvlText w:val="•"/>
      <w:lvlJc w:val="left"/>
      <w:pPr>
        <w:ind w:left="7734" w:hanging="284"/>
      </w:pPr>
      <w:rPr>
        <w:rFonts w:hint="default"/>
      </w:rPr>
    </w:lvl>
    <w:lvl w:ilvl="8" w:tplc="2DE04F0E">
      <w:start w:val="1"/>
      <w:numFmt w:val="bullet"/>
      <w:lvlText w:val="•"/>
      <w:lvlJc w:val="left"/>
      <w:pPr>
        <w:ind w:left="8836" w:hanging="284"/>
      </w:pPr>
      <w:rPr>
        <w:rFonts w:hint="default"/>
      </w:rPr>
    </w:lvl>
  </w:abstractNum>
  <w:abstractNum w:abstractNumId="34" w15:restartNumberingAfterBreak="0">
    <w:nsid w:val="40A67470"/>
    <w:multiLevelType w:val="hybridMultilevel"/>
    <w:tmpl w:val="8216FA9E"/>
    <w:lvl w:ilvl="0" w:tplc="13DC5634">
      <w:start w:val="1"/>
      <w:numFmt w:val="bullet"/>
      <w:lvlText w:val=""/>
      <w:lvlJc w:val="left"/>
      <w:pPr>
        <w:ind w:left="1125" w:hanging="284"/>
      </w:pPr>
      <w:rPr>
        <w:rFonts w:ascii="Symbol" w:eastAsia="Symbol" w:hAnsi="Symbol" w:hint="default"/>
        <w:color w:val="AE4A91"/>
        <w:w w:val="99"/>
        <w:sz w:val="19"/>
        <w:szCs w:val="19"/>
      </w:rPr>
    </w:lvl>
    <w:lvl w:ilvl="1" w:tplc="74BE406C">
      <w:start w:val="1"/>
      <w:numFmt w:val="bullet"/>
      <w:lvlText w:val="•"/>
      <w:lvlJc w:val="left"/>
      <w:pPr>
        <w:ind w:left="2116" w:hanging="284"/>
      </w:pPr>
      <w:rPr>
        <w:rFonts w:hint="default"/>
      </w:rPr>
    </w:lvl>
    <w:lvl w:ilvl="2" w:tplc="ECC83DB2">
      <w:start w:val="1"/>
      <w:numFmt w:val="bullet"/>
      <w:lvlText w:val="•"/>
      <w:lvlJc w:val="left"/>
      <w:pPr>
        <w:ind w:left="3108" w:hanging="284"/>
      </w:pPr>
      <w:rPr>
        <w:rFonts w:hint="default"/>
      </w:rPr>
    </w:lvl>
    <w:lvl w:ilvl="3" w:tplc="506C9434">
      <w:start w:val="1"/>
      <w:numFmt w:val="bullet"/>
      <w:lvlText w:val="•"/>
      <w:lvlJc w:val="left"/>
      <w:pPr>
        <w:ind w:left="4099" w:hanging="284"/>
      </w:pPr>
      <w:rPr>
        <w:rFonts w:hint="default"/>
      </w:rPr>
    </w:lvl>
    <w:lvl w:ilvl="4" w:tplc="07DCD20A">
      <w:start w:val="1"/>
      <w:numFmt w:val="bullet"/>
      <w:lvlText w:val="•"/>
      <w:lvlJc w:val="left"/>
      <w:pPr>
        <w:ind w:left="5090" w:hanging="284"/>
      </w:pPr>
      <w:rPr>
        <w:rFonts w:hint="default"/>
      </w:rPr>
    </w:lvl>
    <w:lvl w:ilvl="5" w:tplc="4CEC5EF8">
      <w:start w:val="1"/>
      <w:numFmt w:val="bullet"/>
      <w:lvlText w:val="•"/>
      <w:lvlJc w:val="left"/>
      <w:pPr>
        <w:ind w:left="6082" w:hanging="284"/>
      </w:pPr>
      <w:rPr>
        <w:rFonts w:hint="default"/>
      </w:rPr>
    </w:lvl>
    <w:lvl w:ilvl="6" w:tplc="E3B08FD4">
      <w:start w:val="1"/>
      <w:numFmt w:val="bullet"/>
      <w:lvlText w:val="•"/>
      <w:lvlJc w:val="left"/>
      <w:pPr>
        <w:ind w:left="7073" w:hanging="284"/>
      </w:pPr>
      <w:rPr>
        <w:rFonts w:hint="default"/>
      </w:rPr>
    </w:lvl>
    <w:lvl w:ilvl="7" w:tplc="35D23B20">
      <w:start w:val="1"/>
      <w:numFmt w:val="bullet"/>
      <w:lvlText w:val="•"/>
      <w:lvlJc w:val="left"/>
      <w:pPr>
        <w:ind w:left="8065" w:hanging="284"/>
      </w:pPr>
      <w:rPr>
        <w:rFonts w:hint="default"/>
      </w:rPr>
    </w:lvl>
    <w:lvl w:ilvl="8" w:tplc="A84616CC">
      <w:start w:val="1"/>
      <w:numFmt w:val="bullet"/>
      <w:lvlText w:val="•"/>
      <w:lvlJc w:val="left"/>
      <w:pPr>
        <w:ind w:left="9056" w:hanging="284"/>
      </w:pPr>
      <w:rPr>
        <w:rFonts w:hint="default"/>
      </w:rPr>
    </w:lvl>
  </w:abstractNum>
  <w:abstractNum w:abstractNumId="35" w15:restartNumberingAfterBreak="0">
    <w:nsid w:val="40BD51E8"/>
    <w:multiLevelType w:val="hybridMultilevel"/>
    <w:tmpl w:val="6FA4434C"/>
    <w:lvl w:ilvl="0" w:tplc="EBCED1B4">
      <w:start w:val="1"/>
      <w:numFmt w:val="decimal"/>
      <w:lvlText w:val="%1."/>
      <w:lvlJc w:val="left"/>
      <w:pPr>
        <w:ind w:left="842" w:hanging="284"/>
      </w:pPr>
      <w:rPr>
        <w:rFonts w:ascii="Arial" w:eastAsia="Arial" w:hAnsi="Arial" w:hint="default"/>
        <w:w w:val="99"/>
        <w:sz w:val="19"/>
        <w:szCs w:val="19"/>
      </w:rPr>
    </w:lvl>
    <w:lvl w:ilvl="1" w:tplc="19AC35C2">
      <w:start w:val="1"/>
      <w:numFmt w:val="bullet"/>
      <w:lvlText w:val=""/>
      <w:lvlJc w:val="left"/>
      <w:pPr>
        <w:ind w:left="1125" w:hanging="284"/>
      </w:pPr>
      <w:rPr>
        <w:rFonts w:ascii="Symbol" w:eastAsia="Symbol" w:hAnsi="Symbol" w:hint="default"/>
        <w:color w:val="auto"/>
        <w:w w:val="99"/>
        <w:sz w:val="19"/>
        <w:szCs w:val="19"/>
      </w:rPr>
    </w:lvl>
    <w:lvl w:ilvl="2" w:tplc="C46E3534">
      <w:start w:val="1"/>
      <w:numFmt w:val="bullet"/>
      <w:lvlText w:val="•"/>
      <w:lvlJc w:val="left"/>
      <w:pPr>
        <w:ind w:left="2226" w:hanging="284"/>
      </w:pPr>
      <w:rPr>
        <w:rFonts w:hint="default"/>
      </w:rPr>
    </w:lvl>
    <w:lvl w:ilvl="3" w:tplc="743A3D0E">
      <w:start w:val="1"/>
      <w:numFmt w:val="bullet"/>
      <w:lvlText w:val="•"/>
      <w:lvlJc w:val="left"/>
      <w:pPr>
        <w:ind w:left="3328" w:hanging="284"/>
      </w:pPr>
      <w:rPr>
        <w:rFonts w:hint="default"/>
      </w:rPr>
    </w:lvl>
    <w:lvl w:ilvl="4" w:tplc="9BEA0F3E">
      <w:start w:val="1"/>
      <w:numFmt w:val="bullet"/>
      <w:lvlText w:val="•"/>
      <w:lvlJc w:val="left"/>
      <w:pPr>
        <w:ind w:left="4429" w:hanging="284"/>
      </w:pPr>
      <w:rPr>
        <w:rFonts w:hint="default"/>
      </w:rPr>
    </w:lvl>
    <w:lvl w:ilvl="5" w:tplc="2FF2C298">
      <w:start w:val="1"/>
      <w:numFmt w:val="bullet"/>
      <w:lvlText w:val="•"/>
      <w:lvlJc w:val="left"/>
      <w:pPr>
        <w:ind w:left="5531" w:hanging="284"/>
      </w:pPr>
      <w:rPr>
        <w:rFonts w:hint="default"/>
      </w:rPr>
    </w:lvl>
    <w:lvl w:ilvl="6" w:tplc="F3CC909C">
      <w:start w:val="1"/>
      <w:numFmt w:val="bullet"/>
      <w:lvlText w:val="•"/>
      <w:lvlJc w:val="left"/>
      <w:pPr>
        <w:ind w:left="6633" w:hanging="284"/>
      </w:pPr>
      <w:rPr>
        <w:rFonts w:hint="default"/>
      </w:rPr>
    </w:lvl>
    <w:lvl w:ilvl="7" w:tplc="23A62082">
      <w:start w:val="1"/>
      <w:numFmt w:val="bullet"/>
      <w:lvlText w:val="•"/>
      <w:lvlJc w:val="left"/>
      <w:pPr>
        <w:ind w:left="7734" w:hanging="284"/>
      </w:pPr>
      <w:rPr>
        <w:rFonts w:hint="default"/>
      </w:rPr>
    </w:lvl>
    <w:lvl w:ilvl="8" w:tplc="8DC43EC6">
      <w:start w:val="1"/>
      <w:numFmt w:val="bullet"/>
      <w:lvlText w:val="•"/>
      <w:lvlJc w:val="left"/>
      <w:pPr>
        <w:ind w:left="8836" w:hanging="284"/>
      </w:pPr>
      <w:rPr>
        <w:rFonts w:hint="default"/>
      </w:rPr>
    </w:lvl>
  </w:abstractNum>
  <w:abstractNum w:abstractNumId="36" w15:restartNumberingAfterBreak="0">
    <w:nsid w:val="435252CB"/>
    <w:multiLevelType w:val="hybridMultilevel"/>
    <w:tmpl w:val="F6687716"/>
    <w:lvl w:ilvl="0" w:tplc="35600F92">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42B707E"/>
    <w:multiLevelType w:val="hybridMultilevel"/>
    <w:tmpl w:val="BB60F3BC"/>
    <w:lvl w:ilvl="0" w:tplc="19AE92C0">
      <w:start w:val="1"/>
      <w:numFmt w:val="bullet"/>
      <w:lvlText w:val=""/>
      <w:lvlJc w:val="left"/>
      <w:pPr>
        <w:ind w:left="1125" w:hanging="284"/>
      </w:pPr>
      <w:rPr>
        <w:rFonts w:ascii="Symbol" w:eastAsia="Symbol" w:hAnsi="Symbol" w:hint="default"/>
        <w:color w:val="AE4A91"/>
        <w:w w:val="99"/>
        <w:sz w:val="19"/>
        <w:szCs w:val="19"/>
      </w:rPr>
    </w:lvl>
    <w:lvl w:ilvl="1" w:tplc="69DA2B54">
      <w:start w:val="1"/>
      <w:numFmt w:val="bullet"/>
      <w:lvlText w:val="•"/>
      <w:lvlJc w:val="left"/>
      <w:pPr>
        <w:ind w:left="2116" w:hanging="284"/>
      </w:pPr>
      <w:rPr>
        <w:rFonts w:hint="default"/>
      </w:rPr>
    </w:lvl>
    <w:lvl w:ilvl="2" w:tplc="9E9C4954">
      <w:start w:val="1"/>
      <w:numFmt w:val="bullet"/>
      <w:lvlText w:val="•"/>
      <w:lvlJc w:val="left"/>
      <w:pPr>
        <w:ind w:left="3108" w:hanging="284"/>
      </w:pPr>
      <w:rPr>
        <w:rFonts w:hint="default"/>
      </w:rPr>
    </w:lvl>
    <w:lvl w:ilvl="3" w:tplc="86E0B97E">
      <w:start w:val="1"/>
      <w:numFmt w:val="bullet"/>
      <w:lvlText w:val="•"/>
      <w:lvlJc w:val="left"/>
      <w:pPr>
        <w:ind w:left="4099" w:hanging="284"/>
      </w:pPr>
      <w:rPr>
        <w:rFonts w:hint="default"/>
      </w:rPr>
    </w:lvl>
    <w:lvl w:ilvl="4" w:tplc="A11421DE">
      <w:start w:val="1"/>
      <w:numFmt w:val="bullet"/>
      <w:lvlText w:val="•"/>
      <w:lvlJc w:val="left"/>
      <w:pPr>
        <w:ind w:left="5090" w:hanging="284"/>
      </w:pPr>
      <w:rPr>
        <w:rFonts w:hint="default"/>
      </w:rPr>
    </w:lvl>
    <w:lvl w:ilvl="5" w:tplc="87401A40">
      <w:start w:val="1"/>
      <w:numFmt w:val="bullet"/>
      <w:lvlText w:val="•"/>
      <w:lvlJc w:val="left"/>
      <w:pPr>
        <w:ind w:left="6082" w:hanging="284"/>
      </w:pPr>
      <w:rPr>
        <w:rFonts w:hint="default"/>
      </w:rPr>
    </w:lvl>
    <w:lvl w:ilvl="6" w:tplc="5C8E3172">
      <w:start w:val="1"/>
      <w:numFmt w:val="bullet"/>
      <w:lvlText w:val="•"/>
      <w:lvlJc w:val="left"/>
      <w:pPr>
        <w:ind w:left="7073" w:hanging="284"/>
      </w:pPr>
      <w:rPr>
        <w:rFonts w:hint="default"/>
      </w:rPr>
    </w:lvl>
    <w:lvl w:ilvl="7" w:tplc="46C8DA84">
      <w:start w:val="1"/>
      <w:numFmt w:val="bullet"/>
      <w:lvlText w:val="•"/>
      <w:lvlJc w:val="left"/>
      <w:pPr>
        <w:ind w:left="8065" w:hanging="284"/>
      </w:pPr>
      <w:rPr>
        <w:rFonts w:hint="default"/>
      </w:rPr>
    </w:lvl>
    <w:lvl w:ilvl="8" w:tplc="7D188F06">
      <w:start w:val="1"/>
      <w:numFmt w:val="bullet"/>
      <w:lvlText w:val="•"/>
      <w:lvlJc w:val="left"/>
      <w:pPr>
        <w:ind w:left="9056" w:hanging="284"/>
      </w:pPr>
      <w:rPr>
        <w:rFonts w:hint="default"/>
      </w:rPr>
    </w:lvl>
  </w:abstractNum>
  <w:abstractNum w:abstractNumId="38" w15:restartNumberingAfterBreak="0">
    <w:nsid w:val="45D12785"/>
    <w:multiLevelType w:val="hybridMultilevel"/>
    <w:tmpl w:val="C87AAC94"/>
    <w:lvl w:ilvl="0" w:tplc="35600F92">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6811864"/>
    <w:multiLevelType w:val="hybridMultilevel"/>
    <w:tmpl w:val="0FEACB4E"/>
    <w:lvl w:ilvl="0" w:tplc="0D5264EA">
      <w:start w:val="1"/>
      <w:numFmt w:val="decimal"/>
      <w:lvlText w:val="%1."/>
      <w:lvlJc w:val="left"/>
      <w:pPr>
        <w:ind w:left="842" w:hanging="284"/>
      </w:pPr>
      <w:rPr>
        <w:rFonts w:ascii="Arial" w:eastAsia="Arial" w:hAnsi="Arial" w:hint="default"/>
        <w:w w:val="99"/>
        <w:sz w:val="19"/>
        <w:szCs w:val="19"/>
      </w:rPr>
    </w:lvl>
    <w:lvl w:ilvl="1" w:tplc="07FC8CB8">
      <w:start w:val="1"/>
      <w:numFmt w:val="bullet"/>
      <w:lvlText w:val=""/>
      <w:lvlJc w:val="left"/>
      <w:pPr>
        <w:ind w:left="1125" w:hanging="284"/>
      </w:pPr>
      <w:rPr>
        <w:rFonts w:ascii="Symbol" w:eastAsia="Symbol" w:hAnsi="Symbol" w:hint="default"/>
        <w:color w:val="auto"/>
        <w:w w:val="99"/>
        <w:sz w:val="19"/>
        <w:szCs w:val="19"/>
      </w:rPr>
    </w:lvl>
    <w:lvl w:ilvl="2" w:tplc="CD8049A0">
      <w:start w:val="1"/>
      <w:numFmt w:val="bullet"/>
      <w:lvlText w:val="•"/>
      <w:lvlJc w:val="left"/>
      <w:pPr>
        <w:ind w:left="2226" w:hanging="284"/>
      </w:pPr>
      <w:rPr>
        <w:rFonts w:hint="default"/>
      </w:rPr>
    </w:lvl>
    <w:lvl w:ilvl="3" w:tplc="F7088138">
      <w:start w:val="1"/>
      <w:numFmt w:val="bullet"/>
      <w:lvlText w:val="•"/>
      <w:lvlJc w:val="left"/>
      <w:pPr>
        <w:ind w:left="3328" w:hanging="284"/>
      </w:pPr>
      <w:rPr>
        <w:rFonts w:hint="default"/>
      </w:rPr>
    </w:lvl>
    <w:lvl w:ilvl="4" w:tplc="B74EA0D6">
      <w:start w:val="1"/>
      <w:numFmt w:val="bullet"/>
      <w:lvlText w:val="•"/>
      <w:lvlJc w:val="left"/>
      <w:pPr>
        <w:ind w:left="4429" w:hanging="284"/>
      </w:pPr>
      <w:rPr>
        <w:rFonts w:hint="default"/>
      </w:rPr>
    </w:lvl>
    <w:lvl w:ilvl="5" w:tplc="ACF4A130">
      <w:start w:val="1"/>
      <w:numFmt w:val="bullet"/>
      <w:lvlText w:val="•"/>
      <w:lvlJc w:val="left"/>
      <w:pPr>
        <w:ind w:left="5531" w:hanging="284"/>
      </w:pPr>
      <w:rPr>
        <w:rFonts w:hint="default"/>
      </w:rPr>
    </w:lvl>
    <w:lvl w:ilvl="6" w:tplc="37AC2292">
      <w:start w:val="1"/>
      <w:numFmt w:val="bullet"/>
      <w:lvlText w:val="•"/>
      <w:lvlJc w:val="left"/>
      <w:pPr>
        <w:ind w:left="6633" w:hanging="284"/>
      </w:pPr>
      <w:rPr>
        <w:rFonts w:hint="default"/>
      </w:rPr>
    </w:lvl>
    <w:lvl w:ilvl="7" w:tplc="B0CAAEF8">
      <w:start w:val="1"/>
      <w:numFmt w:val="bullet"/>
      <w:lvlText w:val="•"/>
      <w:lvlJc w:val="left"/>
      <w:pPr>
        <w:ind w:left="7734" w:hanging="284"/>
      </w:pPr>
      <w:rPr>
        <w:rFonts w:hint="default"/>
      </w:rPr>
    </w:lvl>
    <w:lvl w:ilvl="8" w:tplc="159C5C24">
      <w:start w:val="1"/>
      <w:numFmt w:val="bullet"/>
      <w:lvlText w:val="•"/>
      <w:lvlJc w:val="left"/>
      <w:pPr>
        <w:ind w:left="8836" w:hanging="284"/>
      </w:pPr>
      <w:rPr>
        <w:rFonts w:hint="default"/>
      </w:rPr>
    </w:lvl>
  </w:abstractNum>
  <w:abstractNum w:abstractNumId="40" w15:restartNumberingAfterBreak="0">
    <w:nsid w:val="4869238B"/>
    <w:multiLevelType w:val="hybridMultilevel"/>
    <w:tmpl w:val="4B927F6E"/>
    <w:lvl w:ilvl="0" w:tplc="27344920">
      <w:start w:val="1"/>
      <w:numFmt w:val="bullet"/>
      <w:lvlText w:val=""/>
      <w:lvlJc w:val="left"/>
      <w:pPr>
        <w:ind w:left="1125" w:hanging="284"/>
      </w:pPr>
      <w:rPr>
        <w:rFonts w:ascii="Symbol" w:eastAsia="Symbol" w:hAnsi="Symbol" w:hint="default"/>
        <w:color w:val="auto"/>
        <w:w w:val="99"/>
        <w:sz w:val="19"/>
        <w:szCs w:val="19"/>
      </w:rPr>
    </w:lvl>
    <w:lvl w:ilvl="1" w:tplc="3D1826AC">
      <w:start w:val="1"/>
      <w:numFmt w:val="bullet"/>
      <w:lvlText w:val="•"/>
      <w:lvlJc w:val="left"/>
      <w:pPr>
        <w:ind w:left="2116" w:hanging="284"/>
      </w:pPr>
      <w:rPr>
        <w:rFonts w:hint="default"/>
      </w:rPr>
    </w:lvl>
    <w:lvl w:ilvl="2" w:tplc="FABC8004">
      <w:start w:val="1"/>
      <w:numFmt w:val="bullet"/>
      <w:lvlText w:val="•"/>
      <w:lvlJc w:val="left"/>
      <w:pPr>
        <w:ind w:left="3108" w:hanging="284"/>
      </w:pPr>
      <w:rPr>
        <w:rFonts w:hint="default"/>
      </w:rPr>
    </w:lvl>
    <w:lvl w:ilvl="3" w:tplc="C0E812F4">
      <w:start w:val="1"/>
      <w:numFmt w:val="bullet"/>
      <w:lvlText w:val="•"/>
      <w:lvlJc w:val="left"/>
      <w:pPr>
        <w:ind w:left="4099" w:hanging="284"/>
      </w:pPr>
      <w:rPr>
        <w:rFonts w:hint="default"/>
      </w:rPr>
    </w:lvl>
    <w:lvl w:ilvl="4" w:tplc="82F0B3FA">
      <w:start w:val="1"/>
      <w:numFmt w:val="bullet"/>
      <w:lvlText w:val="•"/>
      <w:lvlJc w:val="left"/>
      <w:pPr>
        <w:ind w:left="5090" w:hanging="284"/>
      </w:pPr>
      <w:rPr>
        <w:rFonts w:hint="default"/>
      </w:rPr>
    </w:lvl>
    <w:lvl w:ilvl="5" w:tplc="3008F200">
      <w:start w:val="1"/>
      <w:numFmt w:val="bullet"/>
      <w:lvlText w:val="•"/>
      <w:lvlJc w:val="left"/>
      <w:pPr>
        <w:ind w:left="6082" w:hanging="284"/>
      </w:pPr>
      <w:rPr>
        <w:rFonts w:hint="default"/>
      </w:rPr>
    </w:lvl>
    <w:lvl w:ilvl="6" w:tplc="B102445C">
      <w:start w:val="1"/>
      <w:numFmt w:val="bullet"/>
      <w:lvlText w:val="•"/>
      <w:lvlJc w:val="left"/>
      <w:pPr>
        <w:ind w:left="7073" w:hanging="284"/>
      </w:pPr>
      <w:rPr>
        <w:rFonts w:hint="default"/>
      </w:rPr>
    </w:lvl>
    <w:lvl w:ilvl="7" w:tplc="FEBE5312">
      <w:start w:val="1"/>
      <w:numFmt w:val="bullet"/>
      <w:lvlText w:val="•"/>
      <w:lvlJc w:val="left"/>
      <w:pPr>
        <w:ind w:left="8065" w:hanging="284"/>
      </w:pPr>
      <w:rPr>
        <w:rFonts w:hint="default"/>
      </w:rPr>
    </w:lvl>
    <w:lvl w:ilvl="8" w:tplc="355A2748">
      <w:start w:val="1"/>
      <w:numFmt w:val="bullet"/>
      <w:lvlText w:val="•"/>
      <w:lvlJc w:val="left"/>
      <w:pPr>
        <w:ind w:left="9056" w:hanging="284"/>
      </w:pPr>
      <w:rPr>
        <w:rFonts w:hint="default"/>
      </w:rPr>
    </w:lvl>
  </w:abstractNum>
  <w:abstractNum w:abstractNumId="41" w15:restartNumberingAfterBreak="0">
    <w:nsid w:val="487D1F87"/>
    <w:multiLevelType w:val="hybridMultilevel"/>
    <w:tmpl w:val="6EE6E2B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2" w15:restartNumberingAfterBreak="0">
    <w:nsid w:val="48EC4242"/>
    <w:multiLevelType w:val="hybridMultilevel"/>
    <w:tmpl w:val="2B1A1280"/>
    <w:lvl w:ilvl="0" w:tplc="1784676A">
      <w:start w:val="1"/>
      <w:numFmt w:val="bullet"/>
      <w:lvlText w:val=""/>
      <w:lvlJc w:val="left"/>
      <w:pPr>
        <w:ind w:left="468" w:hanging="360"/>
      </w:pPr>
      <w:rPr>
        <w:rFonts w:ascii="Symbol" w:eastAsia="Symbol" w:hAnsi="Symbol" w:hint="default"/>
        <w:color w:val="auto"/>
        <w:w w:val="99"/>
        <w:sz w:val="19"/>
        <w:szCs w:val="19"/>
      </w:rPr>
    </w:lvl>
    <w:lvl w:ilvl="1" w:tplc="F878A6F2">
      <w:start w:val="1"/>
      <w:numFmt w:val="bullet"/>
      <w:lvlText w:val="•"/>
      <w:lvlJc w:val="left"/>
      <w:pPr>
        <w:ind w:left="1292" w:hanging="360"/>
      </w:pPr>
      <w:rPr>
        <w:rFonts w:hint="default"/>
      </w:rPr>
    </w:lvl>
    <w:lvl w:ilvl="2" w:tplc="3D64987C">
      <w:start w:val="1"/>
      <w:numFmt w:val="bullet"/>
      <w:lvlText w:val="•"/>
      <w:lvlJc w:val="left"/>
      <w:pPr>
        <w:ind w:left="2117" w:hanging="360"/>
      </w:pPr>
      <w:rPr>
        <w:rFonts w:hint="default"/>
      </w:rPr>
    </w:lvl>
    <w:lvl w:ilvl="3" w:tplc="4718EAD2">
      <w:start w:val="1"/>
      <w:numFmt w:val="bullet"/>
      <w:lvlText w:val="•"/>
      <w:lvlJc w:val="left"/>
      <w:pPr>
        <w:ind w:left="2941" w:hanging="360"/>
      </w:pPr>
      <w:rPr>
        <w:rFonts w:hint="default"/>
      </w:rPr>
    </w:lvl>
    <w:lvl w:ilvl="4" w:tplc="2806B1DE">
      <w:start w:val="1"/>
      <w:numFmt w:val="bullet"/>
      <w:lvlText w:val="•"/>
      <w:lvlJc w:val="left"/>
      <w:pPr>
        <w:ind w:left="3766" w:hanging="360"/>
      </w:pPr>
      <w:rPr>
        <w:rFonts w:hint="default"/>
      </w:rPr>
    </w:lvl>
    <w:lvl w:ilvl="5" w:tplc="45A88934">
      <w:start w:val="1"/>
      <w:numFmt w:val="bullet"/>
      <w:lvlText w:val="•"/>
      <w:lvlJc w:val="left"/>
      <w:pPr>
        <w:ind w:left="4591" w:hanging="360"/>
      </w:pPr>
      <w:rPr>
        <w:rFonts w:hint="default"/>
      </w:rPr>
    </w:lvl>
    <w:lvl w:ilvl="6" w:tplc="F5CE77F8">
      <w:start w:val="1"/>
      <w:numFmt w:val="bullet"/>
      <w:lvlText w:val="•"/>
      <w:lvlJc w:val="left"/>
      <w:pPr>
        <w:ind w:left="5415" w:hanging="360"/>
      </w:pPr>
      <w:rPr>
        <w:rFonts w:hint="default"/>
      </w:rPr>
    </w:lvl>
    <w:lvl w:ilvl="7" w:tplc="D0388136">
      <w:start w:val="1"/>
      <w:numFmt w:val="bullet"/>
      <w:lvlText w:val="•"/>
      <w:lvlJc w:val="left"/>
      <w:pPr>
        <w:ind w:left="6240" w:hanging="360"/>
      </w:pPr>
      <w:rPr>
        <w:rFonts w:hint="default"/>
      </w:rPr>
    </w:lvl>
    <w:lvl w:ilvl="8" w:tplc="90CEB484">
      <w:start w:val="1"/>
      <w:numFmt w:val="bullet"/>
      <w:lvlText w:val="•"/>
      <w:lvlJc w:val="left"/>
      <w:pPr>
        <w:ind w:left="7064" w:hanging="360"/>
      </w:pPr>
      <w:rPr>
        <w:rFonts w:hint="default"/>
      </w:rPr>
    </w:lvl>
  </w:abstractNum>
  <w:abstractNum w:abstractNumId="43" w15:restartNumberingAfterBreak="0">
    <w:nsid w:val="4B814D70"/>
    <w:multiLevelType w:val="hybridMultilevel"/>
    <w:tmpl w:val="FF5C0914"/>
    <w:lvl w:ilvl="0" w:tplc="94D08186">
      <w:start w:val="1"/>
      <w:numFmt w:val="decimal"/>
      <w:lvlText w:val="%1."/>
      <w:lvlJc w:val="left"/>
      <w:pPr>
        <w:ind w:left="839" w:hanging="284"/>
      </w:pPr>
      <w:rPr>
        <w:rFonts w:ascii="Arial" w:eastAsia="Arial" w:hAnsi="Arial" w:hint="default"/>
        <w:w w:val="99"/>
        <w:sz w:val="19"/>
        <w:szCs w:val="19"/>
      </w:rPr>
    </w:lvl>
    <w:lvl w:ilvl="1" w:tplc="AD284D50">
      <w:start w:val="1"/>
      <w:numFmt w:val="bullet"/>
      <w:lvlText w:val=""/>
      <w:lvlJc w:val="left"/>
      <w:pPr>
        <w:ind w:left="1122" w:hanging="284"/>
      </w:pPr>
      <w:rPr>
        <w:rFonts w:ascii="Symbol" w:eastAsia="Symbol" w:hAnsi="Symbol" w:hint="default"/>
        <w:color w:val="auto"/>
        <w:w w:val="99"/>
        <w:sz w:val="19"/>
        <w:szCs w:val="19"/>
      </w:rPr>
    </w:lvl>
    <w:lvl w:ilvl="2" w:tplc="8C704276">
      <w:start w:val="1"/>
      <w:numFmt w:val="bullet"/>
      <w:lvlText w:val="•"/>
      <w:lvlJc w:val="left"/>
      <w:pPr>
        <w:ind w:left="2225" w:hanging="284"/>
      </w:pPr>
      <w:rPr>
        <w:rFonts w:hint="default"/>
      </w:rPr>
    </w:lvl>
    <w:lvl w:ilvl="3" w:tplc="03424B0E">
      <w:start w:val="1"/>
      <w:numFmt w:val="bullet"/>
      <w:lvlText w:val="•"/>
      <w:lvlJc w:val="left"/>
      <w:pPr>
        <w:ind w:left="3328" w:hanging="284"/>
      </w:pPr>
      <w:rPr>
        <w:rFonts w:hint="default"/>
      </w:rPr>
    </w:lvl>
    <w:lvl w:ilvl="4" w:tplc="D3A0400C">
      <w:start w:val="1"/>
      <w:numFmt w:val="bullet"/>
      <w:lvlText w:val="•"/>
      <w:lvlJc w:val="left"/>
      <w:pPr>
        <w:ind w:left="4431" w:hanging="284"/>
      </w:pPr>
      <w:rPr>
        <w:rFonts w:hint="default"/>
      </w:rPr>
    </w:lvl>
    <w:lvl w:ilvl="5" w:tplc="6AFE2EC0">
      <w:start w:val="1"/>
      <w:numFmt w:val="bullet"/>
      <w:lvlText w:val="•"/>
      <w:lvlJc w:val="left"/>
      <w:pPr>
        <w:ind w:left="5534" w:hanging="284"/>
      </w:pPr>
      <w:rPr>
        <w:rFonts w:hint="default"/>
      </w:rPr>
    </w:lvl>
    <w:lvl w:ilvl="6" w:tplc="FC5877E4">
      <w:start w:val="1"/>
      <w:numFmt w:val="bullet"/>
      <w:lvlText w:val="•"/>
      <w:lvlJc w:val="left"/>
      <w:pPr>
        <w:ind w:left="6637" w:hanging="284"/>
      </w:pPr>
      <w:rPr>
        <w:rFonts w:hint="default"/>
      </w:rPr>
    </w:lvl>
    <w:lvl w:ilvl="7" w:tplc="F13E638E">
      <w:start w:val="1"/>
      <w:numFmt w:val="bullet"/>
      <w:lvlText w:val="•"/>
      <w:lvlJc w:val="left"/>
      <w:pPr>
        <w:ind w:left="7740" w:hanging="284"/>
      </w:pPr>
      <w:rPr>
        <w:rFonts w:hint="default"/>
      </w:rPr>
    </w:lvl>
    <w:lvl w:ilvl="8" w:tplc="D9400288">
      <w:start w:val="1"/>
      <w:numFmt w:val="bullet"/>
      <w:lvlText w:val="•"/>
      <w:lvlJc w:val="left"/>
      <w:pPr>
        <w:ind w:left="8843" w:hanging="284"/>
      </w:pPr>
      <w:rPr>
        <w:rFonts w:hint="default"/>
      </w:rPr>
    </w:lvl>
  </w:abstractNum>
  <w:abstractNum w:abstractNumId="44" w15:restartNumberingAfterBreak="0">
    <w:nsid w:val="4EED12E7"/>
    <w:multiLevelType w:val="hybridMultilevel"/>
    <w:tmpl w:val="8BBC3AE8"/>
    <w:lvl w:ilvl="0" w:tplc="FD0C4872">
      <w:start w:val="14"/>
      <w:numFmt w:val="decimal"/>
      <w:lvlText w:val="%1."/>
      <w:lvlJc w:val="left"/>
      <w:pPr>
        <w:ind w:left="842" w:hanging="284"/>
      </w:pPr>
      <w:rPr>
        <w:rFonts w:ascii="Arial" w:eastAsia="Arial" w:hAnsi="Arial" w:hint="default"/>
        <w:w w:val="99"/>
        <w:sz w:val="19"/>
        <w:szCs w:val="19"/>
      </w:rPr>
    </w:lvl>
    <w:lvl w:ilvl="1" w:tplc="373698F6">
      <w:start w:val="1"/>
      <w:numFmt w:val="bullet"/>
      <w:lvlText w:val=""/>
      <w:lvlJc w:val="left"/>
      <w:pPr>
        <w:ind w:left="1125" w:hanging="284"/>
      </w:pPr>
      <w:rPr>
        <w:rFonts w:ascii="Symbol" w:eastAsia="Symbol" w:hAnsi="Symbol" w:hint="default"/>
        <w:color w:val="auto"/>
        <w:w w:val="99"/>
        <w:sz w:val="19"/>
        <w:szCs w:val="19"/>
      </w:rPr>
    </w:lvl>
    <w:lvl w:ilvl="2" w:tplc="7414949C">
      <w:start w:val="1"/>
      <w:numFmt w:val="bullet"/>
      <w:lvlText w:val="•"/>
      <w:lvlJc w:val="left"/>
      <w:pPr>
        <w:ind w:left="2226" w:hanging="284"/>
      </w:pPr>
      <w:rPr>
        <w:rFonts w:hint="default"/>
      </w:rPr>
    </w:lvl>
    <w:lvl w:ilvl="3" w:tplc="B72EF0D6">
      <w:start w:val="1"/>
      <w:numFmt w:val="bullet"/>
      <w:lvlText w:val="•"/>
      <w:lvlJc w:val="left"/>
      <w:pPr>
        <w:ind w:left="3328" w:hanging="284"/>
      </w:pPr>
      <w:rPr>
        <w:rFonts w:hint="default"/>
      </w:rPr>
    </w:lvl>
    <w:lvl w:ilvl="4" w:tplc="EA58BBBC">
      <w:start w:val="1"/>
      <w:numFmt w:val="bullet"/>
      <w:lvlText w:val="•"/>
      <w:lvlJc w:val="left"/>
      <w:pPr>
        <w:ind w:left="4429" w:hanging="284"/>
      </w:pPr>
      <w:rPr>
        <w:rFonts w:hint="default"/>
      </w:rPr>
    </w:lvl>
    <w:lvl w:ilvl="5" w:tplc="B4A4764E">
      <w:start w:val="1"/>
      <w:numFmt w:val="bullet"/>
      <w:lvlText w:val="•"/>
      <w:lvlJc w:val="left"/>
      <w:pPr>
        <w:ind w:left="5531" w:hanging="284"/>
      </w:pPr>
      <w:rPr>
        <w:rFonts w:hint="default"/>
      </w:rPr>
    </w:lvl>
    <w:lvl w:ilvl="6" w:tplc="30A6BC30">
      <w:start w:val="1"/>
      <w:numFmt w:val="bullet"/>
      <w:lvlText w:val="•"/>
      <w:lvlJc w:val="left"/>
      <w:pPr>
        <w:ind w:left="6633" w:hanging="284"/>
      </w:pPr>
      <w:rPr>
        <w:rFonts w:hint="default"/>
      </w:rPr>
    </w:lvl>
    <w:lvl w:ilvl="7" w:tplc="0B229B5C">
      <w:start w:val="1"/>
      <w:numFmt w:val="bullet"/>
      <w:lvlText w:val="•"/>
      <w:lvlJc w:val="left"/>
      <w:pPr>
        <w:ind w:left="7734" w:hanging="284"/>
      </w:pPr>
      <w:rPr>
        <w:rFonts w:hint="default"/>
      </w:rPr>
    </w:lvl>
    <w:lvl w:ilvl="8" w:tplc="AE7AEA6C">
      <w:start w:val="1"/>
      <w:numFmt w:val="bullet"/>
      <w:lvlText w:val="•"/>
      <w:lvlJc w:val="left"/>
      <w:pPr>
        <w:ind w:left="8836" w:hanging="284"/>
      </w:pPr>
      <w:rPr>
        <w:rFonts w:hint="default"/>
      </w:rPr>
    </w:lvl>
  </w:abstractNum>
  <w:abstractNum w:abstractNumId="45" w15:restartNumberingAfterBreak="0">
    <w:nsid w:val="511E1F8F"/>
    <w:multiLevelType w:val="hybridMultilevel"/>
    <w:tmpl w:val="EE305C62"/>
    <w:lvl w:ilvl="0" w:tplc="9AE4AF80">
      <w:start w:val="1"/>
      <w:numFmt w:val="bullet"/>
      <w:lvlText w:val=""/>
      <w:lvlJc w:val="left"/>
      <w:pPr>
        <w:ind w:left="674" w:hanging="284"/>
      </w:pPr>
      <w:rPr>
        <w:rFonts w:ascii="Symbol" w:eastAsia="Symbol" w:hAnsi="Symbol" w:hint="default"/>
        <w:w w:val="99"/>
        <w:sz w:val="19"/>
        <w:szCs w:val="19"/>
      </w:rPr>
    </w:lvl>
    <w:lvl w:ilvl="1" w:tplc="637CE7EC">
      <w:start w:val="1"/>
      <w:numFmt w:val="bullet"/>
      <w:lvlText w:val="•"/>
      <w:lvlJc w:val="left"/>
      <w:pPr>
        <w:ind w:left="1478" w:hanging="284"/>
      </w:pPr>
      <w:rPr>
        <w:rFonts w:hint="default"/>
      </w:rPr>
    </w:lvl>
    <w:lvl w:ilvl="2" w:tplc="DE3EA586">
      <w:start w:val="1"/>
      <w:numFmt w:val="bullet"/>
      <w:lvlText w:val="•"/>
      <w:lvlJc w:val="left"/>
      <w:pPr>
        <w:ind w:left="2282" w:hanging="284"/>
      </w:pPr>
      <w:rPr>
        <w:rFonts w:hint="default"/>
      </w:rPr>
    </w:lvl>
    <w:lvl w:ilvl="3" w:tplc="A776D116">
      <w:start w:val="1"/>
      <w:numFmt w:val="bullet"/>
      <w:lvlText w:val="•"/>
      <w:lvlJc w:val="left"/>
      <w:pPr>
        <w:ind w:left="3086" w:hanging="284"/>
      </w:pPr>
      <w:rPr>
        <w:rFonts w:hint="default"/>
      </w:rPr>
    </w:lvl>
    <w:lvl w:ilvl="4" w:tplc="CF546B2C">
      <w:start w:val="1"/>
      <w:numFmt w:val="bullet"/>
      <w:lvlText w:val="•"/>
      <w:lvlJc w:val="left"/>
      <w:pPr>
        <w:ind w:left="3890" w:hanging="284"/>
      </w:pPr>
      <w:rPr>
        <w:rFonts w:hint="default"/>
      </w:rPr>
    </w:lvl>
    <w:lvl w:ilvl="5" w:tplc="DDA48ECE">
      <w:start w:val="1"/>
      <w:numFmt w:val="bullet"/>
      <w:lvlText w:val="•"/>
      <w:lvlJc w:val="left"/>
      <w:pPr>
        <w:ind w:left="4694" w:hanging="284"/>
      </w:pPr>
      <w:rPr>
        <w:rFonts w:hint="default"/>
      </w:rPr>
    </w:lvl>
    <w:lvl w:ilvl="6" w:tplc="E536E382">
      <w:start w:val="1"/>
      <w:numFmt w:val="bullet"/>
      <w:lvlText w:val="•"/>
      <w:lvlJc w:val="left"/>
      <w:pPr>
        <w:ind w:left="5498" w:hanging="284"/>
      </w:pPr>
      <w:rPr>
        <w:rFonts w:hint="default"/>
      </w:rPr>
    </w:lvl>
    <w:lvl w:ilvl="7" w:tplc="A6A20ABE">
      <w:start w:val="1"/>
      <w:numFmt w:val="bullet"/>
      <w:lvlText w:val="•"/>
      <w:lvlJc w:val="left"/>
      <w:pPr>
        <w:ind w:left="6302" w:hanging="284"/>
      </w:pPr>
      <w:rPr>
        <w:rFonts w:hint="default"/>
      </w:rPr>
    </w:lvl>
    <w:lvl w:ilvl="8" w:tplc="9EBE9104">
      <w:start w:val="1"/>
      <w:numFmt w:val="bullet"/>
      <w:lvlText w:val="•"/>
      <w:lvlJc w:val="left"/>
      <w:pPr>
        <w:ind w:left="7106" w:hanging="284"/>
      </w:pPr>
      <w:rPr>
        <w:rFonts w:hint="default"/>
      </w:rPr>
    </w:lvl>
  </w:abstractNum>
  <w:abstractNum w:abstractNumId="46" w15:restartNumberingAfterBreak="0">
    <w:nsid w:val="53A9311E"/>
    <w:multiLevelType w:val="hybridMultilevel"/>
    <w:tmpl w:val="9056A7CC"/>
    <w:lvl w:ilvl="0" w:tplc="B5DA1B08">
      <w:start w:val="1"/>
      <w:numFmt w:val="decimal"/>
      <w:lvlText w:val="%1."/>
      <w:lvlJc w:val="left"/>
      <w:pPr>
        <w:ind w:left="839" w:hanging="284"/>
      </w:pPr>
      <w:rPr>
        <w:rFonts w:ascii="Arial" w:eastAsia="Arial" w:hAnsi="Arial" w:hint="default"/>
        <w:w w:val="99"/>
        <w:sz w:val="19"/>
        <w:szCs w:val="19"/>
      </w:rPr>
    </w:lvl>
    <w:lvl w:ilvl="1" w:tplc="87BE09B8">
      <w:start w:val="1"/>
      <w:numFmt w:val="lowerLetter"/>
      <w:lvlText w:val="%2)"/>
      <w:lvlJc w:val="left"/>
      <w:pPr>
        <w:ind w:left="1122" w:hanging="284"/>
      </w:pPr>
      <w:rPr>
        <w:rFonts w:ascii="Arial" w:eastAsia="Arial" w:hAnsi="Arial" w:hint="default"/>
        <w:w w:val="99"/>
        <w:sz w:val="19"/>
        <w:szCs w:val="19"/>
      </w:rPr>
    </w:lvl>
    <w:lvl w:ilvl="2" w:tplc="C1C41AF4">
      <w:start w:val="1"/>
      <w:numFmt w:val="bullet"/>
      <w:lvlText w:val=""/>
      <w:lvlJc w:val="left"/>
      <w:pPr>
        <w:ind w:left="1408" w:hanging="286"/>
      </w:pPr>
      <w:rPr>
        <w:rFonts w:ascii="Symbol" w:eastAsia="Symbol" w:hAnsi="Symbol" w:hint="default"/>
        <w:color w:val="auto"/>
        <w:w w:val="99"/>
        <w:sz w:val="19"/>
        <w:szCs w:val="19"/>
      </w:rPr>
    </w:lvl>
    <w:lvl w:ilvl="3" w:tplc="364A4182">
      <w:start w:val="1"/>
      <w:numFmt w:val="bullet"/>
      <w:lvlText w:val="•"/>
      <w:lvlJc w:val="left"/>
      <w:pPr>
        <w:ind w:left="2613" w:hanging="286"/>
      </w:pPr>
      <w:rPr>
        <w:rFonts w:hint="default"/>
      </w:rPr>
    </w:lvl>
    <w:lvl w:ilvl="4" w:tplc="8BFCB824">
      <w:start w:val="1"/>
      <w:numFmt w:val="bullet"/>
      <w:lvlText w:val="•"/>
      <w:lvlJc w:val="left"/>
      <w:pPr>
        <w:ind w:left="3818" w:hanging="286"/>
      </w:pPr>
      <w:rPr>
        <w:rFonts w:hint="default"/>
      </w:rPr>
    </w:lvl>
    <w:lvl w:ilvl="5" w:tplc="D36A0EF0">
      <w:start w:val="1"/>
      <w:numFmt w:val="bullet"/>
      <w:lvlText w:val="•"/>
      <w:lvlJc w:val="left"/>
      <w:pPr>
        <w:ind w:left="5023" w:hanging="286"/>
      </w:pPr>
      <w:rPr>
        <w:rFonts w:hint="default"/>
      </w:rPr>
    </w:lvl>
    <w:lvl w:ilvl="6" w:tplc="61706FD0">
      <w:start w:val="1"/>
      <w:numFmt w:val="bullet"/>
      <w:lvlText w:val="•"/>
      <w:lvlJc w:val="left"/>
      <w:pPr>
        <w:ind w:left="6228" w:hanging="286"/>
      </w:pPr>
      <w:rPr>
        <w:rFonts w:hint="default"/>
      </w:rPr>
    </w:lvl>
    <w:lvl w:ilvl="7" w:tplc="FDA8D798">
      <w:start w:val="1"/>
      <w:numFmt w:val="bullet"/>
      <w:lvlText w:val="•"/>
      <w:lvlJc w:val="left"/>
      <w:pPr>
        <w:ind w:left="7433" w:hanging="286"/>
      </w:pPr>
      <w:rPr>
        <w:rFonts w:hint="default"/>
      </w:rPr>
    </w:lvl>
    <w:lvl w:ilvl="8" w:tplc="81E6FD64">
      <w:start w:val="1"/>
      <w:numFmt w:val="bullet"/>
      <w:lvlText w:val="•"/>
      <w:lvlJc w:val="left"/>
      <w:pPr>
        <w:ind w:left="8638" w:hanging="286"/>
      </w:pPr>
      <w:rPr>
        <w:rFonts w:hint="default"/>
      </w:rPr>
    </w:lvl>
  </w:abstractNum>
  <w:abstractNum w:abstractNumId="47" w15:restartNumberingAfterBreak="0">
    <w:nsid w:val="56B81A1A"/>
    <w:multiLevelType w:val="hybridMultilevel"/>
    <w:tmpl w:val="B664C280"/>
    <w:lvl w:ilvl="0" w:tplc="C4BC192A">
      <w:start w:val="1"/>
      <w:numFmt w:val="decimal"/>
      <w:lvlText w:val="%1."/>
      <w:lvlJc w:val="left"/>
      <w:pPr>
        <w:ind w:left="842" w:hanging="284"/>
      </w:pPr>
      <w:rPr>
        <w:rFonts w:ascii="Arial" w:eastAsia="Arial" w:hAnsi="Arial" w:hint="default"/>
        <w:w w:val="99"/>
        <w:sz w:val="19"/>
        <w:szCs w:val="19"/>
      </w:rPr>
    </w:lvl>
    <w:lvl w:ilvl="1" w:tplc="5CBC1C7A">
      <w:start w:val="1"/>
      <w:numFmt w:val="bullet"/>
      <w:lvlText w:val=""/>
      <w:lvlJc w:val="left"/>
      <w:pPr>
        <w:ind w:left="1125" w:hanging="284"/>
      </w:pPr>
      <w:rPr>
        <w:rFonts w:ascii="Symbol" w:eastAsia="Symbol" w:hAnsi="Symbol" w:hint="default"/>
        <w:color w:val="auto"/>
        <w:w w:val="99"/>
        <w:sz w:val="19"/>
        <w:szCs w:val="19"/>
      </w:rPr>
    </w:lvl>
    <w:lvl w:ilvl="2" w:tplc="861ED726">
      <w:start w:val="1"/>
      <w:numFmt w:val="bullet"/>
      <w:lvlText w:val="•"/>
      <w:lvlJc w:val="left"/>
      <w:pPr>
        <w:ind w:left="2226" w:hanging="284"/>
      </w:pPr>
      <w:rPr>
        <w:rFonts w:hint="default"/>
      </w:rPr>
    </w:lvl>
    <w:lvl w:ilvl="3" w:tplc="641AA3A2">
      <w:start w:val="1"/>
      <w:numFmt w:val="bullet"/>
      <w:lvlText w:val="•"/>
      <w:lvlJc w:val="left"/>
      <w:pPr>
        <w:ind w:left="3328" w:hanging="284"/>
      </w:pPr>
      <w:rPr>
        <w:rFonts w:hint="default"/>
      </w:rPr>
    </w:lvl>
    <w:lvl w:ilvl="4" w:tplc="07164914">
      <w:start w:val="1"/>
      <w:numFmt w:val="bullet"/>
      <w:lvlText w:val="•"/>
      <w:lvlJc w:val="left"/>
      <w:pPr>
        <w:ind w:left="4429" w:hanging="284"/>
      </w:pPr>
      <w:rPr>
        <w:rFonts w:hint="default"/>
      </w:rPr>
    </w:lvl>
    <w:lvl w:ilvl="5" w:tplc="F9720D5E">
      <w:start w:val="1"/>
      <w:numFmt w:val="bullet"/>
      <w:lvlText w:val="•"/>
      <w:lvlJc w:val="left"/>
      <w:pPr>
        <w:ind w:left="5531" w:hanging="284"/>
      </w:pPr>
      <w:rPr>
        <w:rFonts w:hint="default"/>
      </w:rPr>
    </w:lvl>
    <w:lvl w:ilvl="6" w:tplc="44606612">
      <w:start w:val="1"/>
      <w:numFmt w:val="bullet"/>
      <w:lvlText w:val="•"/>
      <w:lvlJc w:val="left"/>
      <w:pPr>
        <w:ind w:left="6633" w:hanging="284"/>
      </w:pPr>
      <w:rPr>
        <w:rFonts w:hint="default"/>
      </w:rPr>
    </w:lvl>
    <w:lvl w:ilvl="7" w:tplc="57023E48">
      <w:start w:val="1"/>
      <w:numFmt w:val="bullet"/>
      <w:lvlText w:val="•"/>
      <w:lvlJc w:val="left"/>
      <w:pPr>
        <w:ind w:left="7734" w:hanging="284"/>
      </w:pPr>
      <w:rPr>
        <w:rFonts w:hint="default"/>
      </w:rPr>
    </w:lvl>
    <w:lvl w:ilvl="8" w:tplc="BE4CFB32">
      <w:start w:val="1"/>
      <w:numFmt w:val="bullet"/>
      <w:lvlText w:val="•"/>
      <w:lvlJc w:val="left"/>
      <w:pPr>
        <w:ind w:left="8836" w:hanging="284"/>
      </w:pPr>
      <w:rPr>
        <w:rFonts w:hint="default"/>
      </w:rPr>
    </w:lvl>
  </w:abstractNum>
  <w:abstractNum w:abstractNumId="48" w15:restartNumberingAfterBreak="0">
    <w:nsid w:val="57EA00D7"/>
    <w:multiLevelType w:val="hybridMultilevel"/>
    <w:tmpl w:val="009EE7B4"/>
    <w:lvl w:ilvl="0" w:tplc="9814C000">
      <w:start w:val="1"/>
      <w:numFmt w:val="bullet"/>
      <w:lvlText w:val=""/>
      <w:lvlJc w:val="left"/>
      <w:pPr>
        <w:ind w:left="1125" w:hanging="284"/>
      </w:pPr>
      <w:rPr>
        <w:rFonts w:ascii="Symbol" w:eastAsia="Symbol" w:hAnsi="Symbol" w:hint="default"/>
        <w:color w:val="auto"/>
        <w:w w:val="99"/>
        <w:sz w:val="19"/>
        <w:szCs w:val="19"/>
      </w:rPr>
    </w:lvl>
    <w:lvl w:ilvl="1" w:tplc="F0FC91CC">
      <w:start w:val="1"/>
      <w:numFmt w:val="bullet"/>
      <w:lvlText w:val="•"/>
      <w:lvlJc w:val="left"/>
      <w:pPr>
        <w:ind w:left="2116" w:hanging="284"/>
      </w:pPr>
      <w:rPr>
        <w:rFonts w:hint="default"/>
      </w:rPr>
    </w:lvl>
    <w:lvl w:ilvl="2" w:tplc="BD8C2616">
      <w:start w:val="1"/>
      <w:numFmt w:val="bullet"/>
      <w:lvlText w:val="•"/>
      <w:lvlJc w:val="left"/>
      <w:pPr>
        <w:ind w:left="3108" w:hanging="284"/>
      </w:pPr>
      <w:rPr>
        <w:rFonts w:hint="default"/>
      </w:rPr>
    </w:lvl>
    <w:lvl w:ilvl="3" w:tplc="82B4A31A">
      <w:start w:val="1"/>
      <w:numFmt w:val="bullet"/>
      <w:lvlText w:val="•"/>
      <w:lvlJc w:val="left"/>
      <w:pPr>
        <w:ind w:left="4099" w:hanging="284"/>
      </w:pPr>
      <w:rPr>
        <w:rFonts w:hint="default"/>
      </w:rPr>
    </w:lvl>
    <w:lvl w:ilvl="4" w:tplc="91641F76">
      <w:start w:val="1"/>
      <w:numFmt w:val="bullet"/>
      <w:lvlText w:val="•"/>
      <w:lvlJc w:val="left"/>
      <w:pPr>
        <w:ind w:left="5090" w:hanging="284"/>
      </w:pPr>
      <w:rPr>
        <w:rFonts w:hint="default"/>
      </w:rPr>
    </w:lvl>
    <w:lvl w:ilvl="5" w:tplc="4F909776">
      <w:start w:val="1"/>
      <w:numFmt w:val="bullet"/>
      <w:lvlText w:val="•"/>
      <w:lvlJc w:val="left"/>
      <w:pPr>
        <w:ind w:left="6082" w:hanging="284"/>
      </w:pPr>
      <w:rPr>
        <w:rFonts w:hint="default"/>
      </w:rPr>
    </w:lvl>
    <w:lvl w:ilvl="6" w:tplc="F454EAB6">
      <w:start w:val="1"/>
      <w:numFmt w:val="bullet"/>
      <w:lvlText w:val="•"/>
      <w:lvlJc w:val="left"/>
      <w:pPr>
        <w:ind w:left="7073" w:hanging="284"/>
      </w:pPr>
      <w:rPr>
        <w:rFonts w:hint="default"/>
      </w:rPr>
    </w:lvl>
    <w:lvl w:ilvl="7" w:tplc="CA98CBDC">
      <w:start w:val="1"/>
      <w:numFmt w:val="bullet"/>
      <w:lvlText w:val="•"/>
      <w:lvlJc w:val="left"/>
      <w:pPr>
        <w:ind w:left="8065" w:hanging="284"/>
      </w:pPr>
      <w:rPr>
        <w:rFonts w:hint="default"/>
      </w:rPr>
    </w:lvl>
    <w:lvl w:ilvl="8" w:tplc="53EABE4C">
      <w:start w:val="1"/>
      <w:numFmt w:val="bullet"/>
      <w:lvlText w:val="•"/>
      <w:lvlJc w:val="left"/>
      <w:pPr>
        <w:ind w:left="9056" w:hanging="284"/>
      </w:pPr>
      <w:rPr>
        <w:rFonts w:hint="default"/>
      </w:rPr>
    </w:lvl>
  </w:abstractNum>
  <w:abstractNum w:abstractNumId="49" w15:restartNumberingAfterBreak="0">
    <w:nsid w:val="589B67F9"/>
    <w:multiLevelType w:val="hybridMultilevel"/>
    <w:tmpl w:val="DEAE38D4"/>
    <w:lvl w:ilvl="0" w:tplc="71DEF5A0">
      <w:start w:val="1"/>
      <w:numFmt w:val="decimal"/>
      <w:lvlText w:val="%1."/>
      <w:lvlJc w:val="left"/>
      <w:pPr>
        <w:ind w:left="842" w:hanging="284"/>
      </w:pPr>
      <w:rPr>
        <w:rFonts w:ascii="Arial" w:eastAsia="Arial" w:hAnsi="Arial" w:hint="default"/>
        <w:w w:val="99"/>
        <w:sz w:val="19"/>
        <w:szCs w:val="19"/>
      </w:rPr>
    </w:lvl>
    <w:lvl w:ilvl="1" w:tplc="739218FE">
      <w:start w:val="1"/>
      <w:numFmt w:val="bullet"/>
      <w:lvlText w:val=""/>
      <w:lvlJc w:val="left"/>
      <w:pPr>
        <w:ind w:left="1125" w:hanging="284"/>
      </w:pPr>
      <w:rPr>
        <w:rFonts w:ascii="Symbol" w:eastAsia="Symbol" w:hAnsi="Symbol" w:hint="default"/>
        <w:color w:val="auto"/>
        <w:w w:val="99"/>
        <w:sz w:val="19"/>
        <w:szCs w:val="19"/>
      </w:rPr>
    </w:lvl>
    <w:lvl w:ilvl="2" w:tplc="1BF883B2">
      <w:start w:val="1"/>
      <w:numFmt w:val="bullet"/>
      <w:lvlText w:val="•"/>
      <w:lvlJc w:val="left"/>
      <w:pPr>
        <w:ind w:left="1125" w:hanging="284"/>
      </w:pPr>
      <w:rPr>
        <w:rFonts w:hint="default"/>
      </w:rPr>
    </w:lvl>
    <w:lvl w:ilvl="3" w:tplc="B79693AE">
      <w:start w:val="1"/>
      <w:numFmt w:val="bullet"/>
      <w:lvlText w:val="•"/>
      <w:lvlJc w:val="left"/>
      <w:pPr>
        <w:ind w:left="2364" w:hanging="284"/>
      </w:pPr>
      <w:rPr>
        <w:rFonts w:hint="default"/>
      </w:rPr>
    </w:lvl>
    <w:lvl w:ilvl="4" w:tplc="DDFCAE08">
      <w:start w:val="1"/>
      <w:numFmt w:val="bullet"/>
      <w:lvlText w:val="•"/>
      <w:lvlJc w:val="left"/>
      <w:pPr>
        <w:ind w:left="3603" w:hanging="284"/>
      </w:pPr>
      <w:rPr>
        <w:rFonts w:hint="default"/>
      </w:rPr>
    </w:lvl>
    <w:lvl w:ilvl="5" w:tplc="E452B3A6">
      <w:start w:val="1"/>
      <w:numFmt w:val="bullet"/>
      <w:lvlText w:val="•"/>
      <w:lvlJc w:val="left"/>
      <w:pPr>
        <w:ind w:left="4843" w:hanging="284"/>
      </w:pPr>
      <w:rPr>
        <w:rFonts w:hint="default"/>
      </w:rPr>
    </w:lvl>
    <w:lvl w:ilvl="6" w:tplc="649E6670">
      <w:start w:val="1"/>
      <w:numFmt w:val="bullet"/>
      <w:lvlText w:val="•"/>
      <w:lvlJc w:val="left"/>
      <w:pPr>
        <w:ind w:left="6082" w:hanging="284"/>
      </w:pPr>
      <w:rPr>
        <w:rFonts w:hint="default"/>
      </w:rPr>
    </w:lvl>
    <w:lvl w:ilvl="7" w:tplc="61EAADC4">
      <w:start w:val="1"/>
      <w:numFmt w:val="bullet"/>
      <w:lvlText w:val="•"/>
      <w:lvlJc w:val="left"/>
      <w:pPr>
        <w:ind w:left="7321" w:hanging="284"/>
      </w:pPr>
      <w:rPr>
        <w:rFonts w:hint="default"/>
      </w:rPr>
    </w:lvl>
    <w:lvl w:ilvl="8" w:tplc="B98A7C12">
      <w:start w:val="1"/>
      <w:numFmt w:val="bullet"/>
      <w:lvlText w:val="•"/>
      <w:lvlJc w:val="left"/>
      <w:pPr>
        <w:ind w:left="8560" w:hanging="284"/>
      </w:pPr>
      <w:rPr>
        <w:rFonts w:hint="default"/>
      </w:rPr>
    </w:lvl>
  </w:abstractNum>
  <w:abstractNum w:abstractNumId="50" w15:restartNumberingAfterBreak="0">
    <w:nsid w:val="5A552766"/>
    <w:multiLevelType w:val="hybridMultilevel"/>
    <w:tmpl w:val="A22E5B22"/>
    <w:lvl w:ilvl="0" w:tplc="BA14176C">
      <w:start w:val="1"/>
      <w:numFmt w:val="bullet"/>
      <w:lvlText w:val=""/>
      <w:lvlJc w:val="left"/>
      <w:pPr>
        <w:ind w:left="1125" w:hanging="284"/>
      </w:pPr>
      <w:rPr>
        <w:rFonts w:ascii="Symbol" w:eastAsia="Symbol" w:hAnsi="Symbol" w:hint="default"/>
        <w:color w:val="auto"/>
        <w:w w:val="99"/>
        <w:sz w:val="19"/>
        <w:szCs w:val="19"/>
      </w:rPr>
    </w:lvl>
    <w:lvl w:ilvl="1" w:tplc="392C99AA">
      <w:start w:val="1"/>
      <w:numFmt w:val="bullet"/>
      <w:lvlText w:val="•"/>
      <w:lvlJc w:val="left"/>
      <w:pPr>
        <w:ind w:left="2116" w:hanging="284"/>
      </w:pPr>
      <w:rPr>
        <w:rFonts w:hint="default"/>
      </w:rPr>
    </w:lvl>
    <w:lvl w:ilvl="2" w:tplc="B48CCC7E">
      <w:start w:val="1"/>
      <w:numFmt w:val="bullet"/>
      <w:lvlText w:val="•"/>
      <w:lvlJc w:val="left"/>
      <w:pPr>
        <w:ind w:left="3108" w:hanging="284"/>
      </w:pPr>
      <w:rPr>
        <w:rFonts w:hint="default"/>
      </w:rPr>
    </w:lvl>
    <w:lvl w:ilvl="3" w:tplc="79A6650C">
      <w:start w:val="1"/>
      <w:numFmt w:val="bullet"/>
      <w:lvlText w:val="•"/>
      <w:lvlJc w:val="left"/>
      <w:pPr>
        <w:ind w:left="4099" w:hanging="284"/>
      </w:pPr>
      <w:rPr>
        <w:rFonts w:hint="default"/>
      </w:rPr>
    </w:lvl>
    <w:lvl w:ilvl="4" w:tplc="F536B37A">
      <w:start w:val="1"/>
      <w:numFmt w:val="bullet"/>
      <w:lvlText w:val="•"/>
      <w:lvlJc w:val="left"/>
      <w:pPr>
        <w:ind w:left="5090" w:hanging="284"/>
      </w:pPr>
      <w:rPr>
        <w:rFonts w:hint="default"/>
      </w:rPr>
    </w:lvl>
    <w:lvl w:ilvl="5" w:tplc="E4E6E5AA">
      <w:start w:val="1"/>
      <w:numFmt w:val="bullet"/>
      <w:lvlText w:val="•"/>
      <w:lvlJc w:val="left"/>
      <w:pPr>
        <w:ind w:left="6082" w:hanging="284"/>
      </w:pPr>
      <w:rPr>
        <w:rFonts w:hint="default"/>
      </w:rPr>
    </w:lvl>
    <w:lvl w:ilvl="6" w:tplc="51F6B852">
      <w:start w:val="1"/>
      <w:numFmt w:val="bullet"/>
      <w:lvlText w:val="•"/>
      <w:lvlJc w:val="left"/>
      <w:pPr>
        <w:ind w:left="7073" w:hanging="284"/>
      </w:pPr>
      <w:rPr>
        <w:rFonts w:hint="default"/>
      </w:rPr>
    </w:lvl>
    <w:lvl w:ilvl="7" w:tplc="AE00BB84">
      <w:start w:val="1"/>
      <w:numFmt w:val="bullet"/>
      <w:lvlText w:val="•"/>
      <w:lvlJc w:val="left"/>
      <w:pPr>
        <w:ind w:left="8065" w:hanging="284"/>
      </w:pPr>
      <w:rPr>
        <w:rFonts w:hint="default"/>
      </w:rPr>
    </w:lvl>
    <w:lvl w:ilvl="8" w:tplc="3C26CE14">
      <w:start w:val="1"/>
      <w:numFmt w:val="bullet"/>
      <w:lvlText w:val="•"/>
      <w:lvlJc w:val="left"/>
      <w:pPr>
        <w:ind w:left="9056" w:hanging="284"/>
      </w:pPr>
      <w:rPr>
        <w:rFonts w:hint="default"/>
      </w:rPr>
    </w:lvl>
  </w:abstractNum>
  <w:abstractNum w:abstractNumId="51" w15:restartNumberingAfterBreak="0">
    <w:nsid w:val="5BC967A8"/>
    <w:multiLevelType w:val="hybridMultilevel"/>
    <w:tmpl w:val="D2D4BB96"/>
    <w:lvl w:ilvl="0" w:tplc="DC264790">
      <w:start w:val="1"/>
      <w:numFmt w:val="bullet"/>
      <w:lvlText w:val=""/>
      <w:lvlJc w:val="left"/>
      <w:pPr>
        <w:ind w:left="1125" w:hanging="284"/>
      </w:pPr>
      <w:rPr>
        <w:rFonts w:ascii="Symbol" w:eastAsia="Symbol" w:hAnsi="Symbol" w:hint="default"/>
        <w:color w:val="auto"/>
        <w:w w:val="99"/>
        <w:sz w:val="19"/>
        <w:szCs w:val="19"/>
      </w:rPr>
    </w:lvl>
    <w:lvl w:ilvl="1" w:tplc="521205B2">
      <w:start w:val="1"/>
      <w:numFmt w:val="bullet"/>
      <w:lvlText w:val="•"/>
      <w:lvlJc w:val="left"/>
      <w:pPr>
        <w:ind w:left="2116" w:hanging="284"/>
      </w:pPr>
      <w:rPr>
        <w:rFonts w:hint="default"/>
      </w:rPr>
    </w:lvl>
    <w:lvl w:ilvl="2" w:tplc="CD96ADFA">
      <w:start w:val="1"/>
      <w:numFmt w:val="bullet"/>
      <w:lvlText w:val="•"/>
      <w:lvlJc w:val="left"/>
      <w:pPr>
        <w:ind w:left="3108" w:hanging="284"/>
      </w:pPr>
      <w:rPr>
        <w:rFonts w:hint="default"/>
      </w:rPr>
    </w:lvl>
    <w:lvl w:ilvl="3" w:tplc="004E09A6">
      <w:start w:val="1"/>
      <w:numFmt w:val="bullet"/>
      <w:lvlText w:val="•"/>
      <w:lvlJc w:val="left"/>
      <w:pPr>
        <w:ind w:left="4099" w:hanging="284"/>
      </w:pPr>
      <w:rPr>
        <w:rFonts w:hint="default"/>
      </w:rPr>
    </w:lvl>
    <w:lvl w:ilvl="4" w:tplc="9CECAF4E">
      <w:start w:val="1"/>
      <w:numFmt w:val="bullet"/>
      <w:lvlText w:val="•"/>
      <w:lvlJc w:val="left"/>
      <w:pPr>
        <w:ind w:left="5090" w:hanging="284"/>
      </w:pPr>
      <w:rPr>
        <w:rFonts w:hint="default"/>
      </w:rPr>
    </w:lvl>
    <w:lvl w:ilvl="5" w:tplc="E9CCC6F8">
      <w:start w:val="1"/>
      <w:numFmt w:val="bullet"/>
      <w:lvlText w:val="•"/>
      <w:lvlJc w:val="left"/>
      <w:pPr>
        <w:ind w:left="6082" w:hanging="284"/>
      </w:pPr>
      <w:rPr>
        <w:rFonts w:hint="default"/>
      </w:rPr>
    </w:lvl>
    <w:lvl w:ilvl="6" w:tplc="D0EA341C">
      <w:start w:val="1"/>
      <w:numFmt w:val="bullet"/>
      <w:lvlText w:val="•"/>
      <w:lvlJc w:val="left"/>
      <w:pPr>
        <w:ind w:left="7073" w:hanging="284"/>
      </w:pPr>
      <w:rPr>
        <w:rFonts w:hint="default"/>
      </w:rPr>
    </w:lvl>
    <w:lvl w:ilvl="7" w:tplc="A5CE50C6">
      <w:start w:val="1"/>
      <w:numFmt w:val="bullet"/>
      <w:lvlText w:val="•"/>
      <w:lvlJc w:val="left"/>
      <w:pPr>
        <w:ind w:left="8065" w:hanging="284"/>
      </w:pPr>
      <w:rPr>
        <w:rFonts w:hint="default"/>
      </w:rPr>
    </w:lvl>
    <w:lvl w:ilvl="8" w:tplc="2D568CC6">
      <w:start w:val="1"/>
      <w:numFmt w:val="bullet"/>
      <w:lvlText w:val="•"/>
      <w:lvlJc w:val="left"/>
      <w:pPr>
        <w:ind w:left="9056" w:hanging="284"/>
      </w:pPr>
      <w:rPr>
        <w:rFonts w:hint="default"/>
      </w:rPr>
    </w:lvl>
  </w:abstractNum>
  <w:abstractNum w:abstractNumId="52" w15:restartNumberingAfterBreak="0">
    <w:nsid w:val="5C7965CC"/>
    <w:multiLevelType w:val="hybridMultilevel"/>
    <w:tmpl w:val="8BDAA83A"/>
    <w:lvl w:ilvl="0" w:tplc="56B27A88">
      <w:start w:val="1"/>
      <w:numFmt w:val="bullet"/>
      <w:lvlText w:val=""/>
      <w:lvlJc w:val="left"/>
      <w:pPr>
        <w:ind w:left="1125" w:hanging="284"/>
      </w:pPr>
      <w:rPr>
        <w:rFonts w:ascii="Symbol" w:eastAsia="Symbol" w:hAnsi="Symbol" w:hint="default"/>
        <w:color w:val="auto"/>
        <w:w w:val="99"/>
        <w:sz w:val="19"/>
        <w:szCs w:val="19"/>
      </w:rPr>
    </w:lvl>
    <w:lvl w:ilvl="1" w:tplc="BF360FE0">
      <w:start w:val="1"/>
      <w:numFmt w:val="bullet"/>
      <w:lvlText w:val="•"/>
      <w:lvlJc w:val="left"/>
      <w:pPr>
        <w:ind w:left="2116" w:hanging="284"/>
      </w:pPr>
      <w:rPr>
        <w:rFonts w:hint="default"/>
      </w:rPr>
    </w:lvl>
    <w:lvl w:ilvl="2" w:tplc="7F788976">
      <w:start w:val="1"/>
      <w:numFmt w:val="bullet"/>
      <w:lvlText w:val="•"/>
      <w:lvlJc w:val="left"/>
      <w:pPr>
        <w:ind w:left="3108" w:hanging="284"/>
      </w:pPr>
      <w:rPr>
        <w:rFonts w:hint="default"/>
      </w:rPr>
    </w:lvl>
    <w:lvl w:ilvl="3" w:tplc="F9747CA8">
      <w:start w:val="1"/>
      <w:numFmt w:val="bullet"/>
      <w:lvlText w:val="•"/>
      <w:lvlJc w:val="left"/>
      <w:pPr>
        <w:ind w:left="4099" w:hanging="284"/>
      </w:pPr>
      <w:rPr>
        <w:rFonts w:hint="default"/>
      </w:rPr>
    </w:lvl>
    <w:lvl w:ilvl="4" w:tplc="DEC25C80">
      <w:start w:val="1"/>
      <w:numFmt w:val="bullet"/>
      <w:lvlText w:val="•"/>
      <w:lvlJc w:val="left"/>
      <w:pPr>
        <w:ind w:left="5090" w:hanging="284"/>
      </w:pPr>
      <w:rPr>
        <w:rFonts w:hint="default"/>
      </w:rPr>
    </w:lvl>
    <w:lvl w:ilvl="5" w:tplc="ECE80A8A">
      <w:start w:val="1"/>
      <w:numFmt w:val="bullet"/>
      <w:lvlText w:val="•"/>
      <w:lvlJc w:val="left"/>
      <w:pPr>
        <w:ind w:left="6082" w:hanging="284"/>
      </w:pPr>
      <w:rPr>
        <w:rFonts w:hint="default"/>
      </w:rPr>
    </w:lvl>
    <w:lvl w:ilvl="6" w:tplc="A7E21084">
      <w:start w:val="1"/>
      <w:numFmt w:val="bullet"/>
      <w:lvlText w:val="•"/>
      <w:lvlJc w:val="left"/>
      <w:pPr>
        <w:ind w:left="7073" w:hanging="284"/>
      </w:pPr>
      <w:rPr>
        <w:rFonts w:hint="default"/>
      </w:rPr>
    </w:lvl>
    <w:lvl w:ilvl="7" w:tplc="EE68CFDC">
      <w:start w:val="1"/>
      <w:numFmt w:val="bullet"/>
      <w:lvlText w:val="•"/>
      <w:lvlJc w:val="left"/>
      <w:pPr>
        <w:ind w:left="8065" w:hanging="284"/>
      </w:pPr>
      <w:rPr>
        <w:rFonts w:hint="default"/>
      </w:rPr>
    </w:lvl>
    <w:lvl w:ilvl="8" w:tplc="C67654DA">
      <w:start w:val="1"/>
      <w:numFmt w:val="bullet"/>
      <w:lvlText w:val="•"/>
      <w:lvlJc w:val="left"/>
      <w:pPr>
        <w:ind w:left="9056" w:hanging="284"/>
      </w:pPr>
      <w:rPr>
        <w:rFonts w:hint="default"/>
      </w:rPr>
    </w:lvl>
  </w:abstractNum>
  <w:abstractNum w:abstractNumId="53" w15:restartNumberingAfterBreak="0">
    <w:nsid w:val="5C9D3038"/>
    <w:multiLevelType w:val="hybridMultilevel"/>
    <w:tmpl w:val="BAE2ED7A"/>
    <w:lvl w:ilvl="0" w:tplc="A1D27C6C">
      <w:start w:val="1"/>
      <w:numFmt w:val="decimal"/>
      <w:lvlText w:val="%1."/>
      <w:lvlJc w:val="left"/>
      <w:pPr>
        <w:ind w:left="842" w:hanging="284"/>
      </w:pPr>
      <w:rPr>
        <w:rFonts w:ascii="Arial" w:eastAsia="Arial" w:hAnsi="Arial" w:hint="default"/>
        <w:w w:val="99"/>
        <w:sz w:val="19"/>
        <w:szCs w:val="19"/>
      </w:rPr>
    </w:lvl>
    <w:lvl w:ilvl="1" w:tplc="0448A6CA">
      <w:start w:val="1"/>
      <w:numFmt w:val="bullet"/>
      <w:lvlText w:val=""/>
      <w:lvlJc w:val="left"/>
      <w:pPr>
        <w:ind w:left="1125" w:hanging="284"/>
      </w:pPr>
      <w:rPr>
        <w:rFonts w:ascii="Symbol" w:eastAsia="Symbol" w:hAnsi="Symbol" w:hint="default"/>
        <w:color w:val="auto"/>
        <w:sz w:val="22"/>
        <w:szCs w:val="22"/>
      </w:rPr>
    </w:lvl>
    <w:lvl w:ilvl="2" w:tplc="67E653C4">
      <w:start w:val="1"/>
      <w:numFmt w:val="bullet"/>
      <w:lvlText w:val=""/>
      <w:lvlJc w:val="left"/>
      <w:pPr>
        <w:ind w:left="1410" w:hanging="286"/>
      </w:pPr>
      <w:rPr>
        <w:rFonts w:ascii="Symbol" w:eastAsia="Symbol" w:hAnsi="Symbol" w:hint="default"/>
        <w:position w:val="-1"/>
        <w:sz w:val="22"/>
        <w:szCs w:val="22"/>
      </w:rPr>
    </w:lvl>
    <w:lvl w:ilvl="3" w:tplc="081A3594">
      <w:start w:val="1"/>
      <w:numFmt w:val="bullet"/>
      <w:lvlText w:val="•"/>
      <w:lvlJc w:val="left"/>
      <w:pPr>
        <w:ind w:left="2614" w:hanging="286"/>
      </w:pPr>
      <w:rPr>
        <w:rFonts w:hint="default"/>
      </w:rPr>
    </w:lvl>
    <w:lvl w:ilvl="4" w:tplc="D540AB0A">
      <w:start w:val="1"/>
      <w:numFmt w:val="bullet"/>
      <w:lvlText w:val="•"/>
      <w:lvlJc w:val="left"/>
      <w:pPr>
        <w:ind w:left="3817" w:hanging="286"/>
      </w:pPr>
      <w:rPr>
        <w:rFonts w:hint="default"/>
      </w:rPr>
    </w:lvl>
    <w:lvl w:ilvl="5" w:tplc="323EE416">
      <w:start w:val="1"/>
      <w:numFmt w:val="bullet"/>
      <w:lvlText w:val="•"/>
      <w:lvlJc w:val="left"/>
      <w:pPr>
        <w:ind w:left="5021" w:hanging="286"/>
      </w:pPr>
      <w:rPr>
        <w:rFonts w:hint="default"/>
      </w:rPr>
    </w:lvl>
    <w:lvl w:ilvl="6" w:tplc="ACF4830E">
      <w:start w:val="1"/>
      <w:numFmt w:val="bullet"/>
      <w:lvlText w:val="•"/>
      <w:lvlJc w:val="left"/>
      <w:pPr>
        <w:ind w:left="6225" w:hanging="286"/>
      </w:pPr>
      <w:rPr>
        <w:rFonts w:hint="default"/>
      </w:rPr>
    </w:lvl>
    <w:lvl w:ilvl="7" w:tplc="106A23A4">
      <w:start w:val="1"/>
      <w:numFmt w:val="bullet"/>
      <w:lvlText w:val="•"/>
      <w:lvlJc w:val="left"/>
      <w:pPr>
        <w:ind w:left="7428" w:hanging="286"/>
      </w:pPr>
      <w:rPr>
        <w:rFonts w:hint="default"/>
      </w:rPr>
    </w:lvl>
    <w:lvl w:ilvl="8" w:tplc="9FC281F4">
      <w:start w:val="1"/>
      <w:numFmt w:val="bullet"/>
      <w:lvlText w:val="•"/>
      <w:lvlJc w:val="left"/>
      <w:pPr>
        <w:ind w:left="8632" w:hanging="286"/>
      </w:pPr>
      <w:rPr>
        <w:rFonts w:hint="default"/>
      </w:rPr>
    </w:lvl>
  </w:abstractNum>
  <w:abstractNum w:abstractNumId="54" w15:restartNumberingAfterBreak="0">
    <w:nsid w:val="5ED56043"/>
    <w:multiLevelType w:val="hybridMultilevel"/>
    <w:tmpl w:val="4AB80C20"/>
    <w:lvl w:ilvl="0" w:tplc="9A986920">
      <w:start w:val="1"/>
      <w:numFmt w:val="bullet"/>
      <w:lvlText w:val=""/>
      <w:lvlJc w:val="left"/>
      <w:pPr>
        <w:ind w:left="1125" w:hanging="284"/>
      </w:pPr>
      <w:rPr>
        <w:rFonts w:ascii="Symbol" w:eastAsia="Symbol" w:hAnsi="Symbol" w:hint="default"/>
        <w:color w:val="auto"/>
        <w:w w:val="99"/>
        <w:sz w:val="19"/>
        <w:szCs w:val="19"/>
      </w:rPr>
    </w:lvl>
    <w:lvl w:ilvl="1" w:tplc="E1D42F5A">
      <w:start w:val="1"/>
      <w:numFmt w:val="bullet"/>
      <w:lvlText w:val="•"/>
      <w:lvlJc w:val="left"/>
      <w:pPr>
        <w:ind w:left="2116" w:hanging="284"/>
      </w:pPr>
      <w:rPr>
        <w:rFonts w:hint="default"/>
      </w:rPr>
    </w:lvl>
    <w:lvl w:ilvl="2" w:tplc="1B06F922">
      <w:start w:val="1"/>
      <w:numFmt w:val="bullet"/>
      <w:lvlText w:val="•"/>
      <w:lvlJc w:val="left"/>
      <w:pPr>
        <w:ind w:left="3108" w:hanging="284"/>
      </w:pPr>
      <w:rPr>
        <w:rFonts w:hint="default"/>
      </w:rPr>
    </w:lvl>
    <w:lvl w:ilvl="3" w:tplc="569C33BA">
      <w:start w:val="1"/>
      <w:numFmt w:val="bullet"/>
      <w:lvlText w:val="•"/>
      <w:lvlJc w:val="left"/>
      <w:pPr>
        <w:ind w:left="4099" w:hanging="284"/>
      </w:pPr>
      <w:rPr>
        <w:rFonts w:hint="default"/>
      </w:rPr>
    </w:lvl>
    <w:lvl w:ilvl="4" w:tplc="E020B5FC">
      <w:start w:val="1"/>
      <w:numFmt w:val="bullet"/>
      <w:lvlText w:val="•"/>
      <w:lvlJc w:val="left"/>
      <w:pPr>
        <w:ind w:left="5090" w:hanging="284"/>
      </w:pPr>
      <w:rPr>
        <w:rFonts w:hint="default"/>
      </w:rPr>
    </w:lvl>
    <w:lvl w:ilvl="5" w:tplc="FBC200D2">
      <w:start w:val="1"/>
      <w:numFmt w:val="bullet"/>
      <w:lvlText w:val="•"/>
      <w:lvlJc w:val="left"/>
      <w:pPr>
        <w:ind w:left="6082" w:hanging="284"/>
      </w:pPr>
      <w:rPr>
        <w:rFonts w:hint="default"/>
      </w:rPr>
    </w:lvl>
    <w:lvl w:ilvl="6" w:tplc="B490A48A">
      <w:start w:val="1"/>
      <w:numFmt w:val="bullet"/>
      <w:lvlText w:val="•"/>
      <w:lvlJc w:val="left"/>
      <w:pPr>
        <w:ind w:left="7073" w:hanging="284"/>
      </w:pPr>
      <w:rPr>
        <w:rFonts w:hint="default"/>
      </w:rPr>
    </w:lvl>
    <w:lvl w:ilvl="7" w:tplc="BEC05ABA">
      <w:start w:val="1"/>
      <w:numFmt w:val="bullet"/>
      <w:lvlText w:val="•"/>
      <w:lvlJc w:val="left"/>
      <w:pPr>
        <w:ind w:left="8065" w:hanging="284"/>
      </w:pPr>
      <w:rPr>
        <w:rFonts w:hint="default"/>
      </w:rPr>
    </w:lvl>
    <w:lvl w:ilvl="8" w:tplc="16AC3708">
      <w:start w:val="1"/>
      <w:numFmt w:val="bullet"/>
      <w:lvlText w:val="•"/>
      <w:lvlJc w:val="left"/>
      <w:pPr>
        <w:ind w:left="9056" w:hanging="284"/>
      </w:pPr>
      <w:rPr>
        <w:rFonts w:hint="default"/>
      </w:rPr>
    </w:lvl>
  </w:abstractNum>
  <w:abstractNum w:abstractNumId="55" w15:restartNumberingAfterBreak="0">
    <w:nsid w:val="61B12147"/>
    <w:multiLevelType w:val="multilevel"/>
    <w:tmpl w:val="A3DE04E8"/>
    <w:lvl w:ilvl="0">
      <w:start w:val="4"/>
      <w:numFmt w:val="decimal"/>
      <w:lvlText w:val="%1"/>
      <w:lvlJc w:val="left"/>
      <w:pPr>
        <w:ind w:left="1134" w:hanging="576"/>
      </w:pPr>
      <w:rPr>
        <w:rFonts w:hint="default"/>
      </w:rPr>
    </w:lvl>
    <w:lvl w:ilvl="1">
      <w:start w:val="3"/>
      <w:numFmt w:val="decimal"/>
      <w:lvlText w:val="%1.%2"/>
      <w:lvlJc w:val="left"/>
      <w:pPr>
        <w:ind w:left="1134" w:hanging="576"/>
      </w:pPr>
      <w:rPr>
        <w:rFonts w:ascii="Arial" w:eastAsia="Arial" w:hAnsi="Arial" w:hint="default"/>
        <w:b/>
        <w:bCs/>
        <w:color w:val="AE4A91"/>
        <w:sz w:val="40"/>
        <w:szCs w:val="40"/>
      </w:rPr>
    </w:lvl>
    <w:lvl w:ilvl="2">
      <w:start w:val="1"/>
      <w:numFmt w:val="decimal"/>
      <w:lvlText w:val="%1.%2.%3"/>
      <w:lvlJc w:val="left"/>
      <w:pPr>
        <w:ind w:left="1266" w:hanging="708"/>
      </w:pPr>
      <w:rPr>
        <w:rFonts w:ascii="Arial" w:eastAsia="Arial" w:hAnsi="Arial" w:hint="default"/>
        <w:b/>
        <w:bCs/>
        <w:color w:val="1C1C1C"/>
        <w:sz w:val="30"/>
        <w:szCs w:val="30"/>
      </w:rPr>
    </w:lvl>
    <w:lvl w:ilvl="3">
      <w:start w:val="1"/>
      <w:numFmt w:val="decimal"/>
      <w:lvlText w:val="%1.%2.%3.%4"/>
      <w:lvlJc w:val="left"/>
      <w:pPr>
        <w:ind w:left="1266" w:hanging="708"/>
      </w:pPr>
      <w:rPr>
        <w:rFonts w:ascii="Arial" w:eastAsia="Arial" w:hAnsi="Arial" w:hint="default"/>
        <w:b/>
        <w:bCs/>
        <w:color w:val="AE4A91"/>
        <w:sz w:val="22"/>
        <w:szCs w:val="22"/>
      </w:rPr>
    </w:lvl>
    <w:lvl w:ilvl="4">
      <w:start w:val="1"/>
      <w:numFmt w:val="bullet"/>
      <w:lvlText w:val=""/>
      <w:lvlJc w:val="left"/>
      <w:pPr>
        <w:ind w:left="1125" w:hanging="284"/>
      </w:pPr>
      <w:rPr>
        <w:rFonts w:ascii="Symbol" w:eastAsia="Symbol" w:hAnsi="Symbol" w:hint="default"/>
        <w:color w:val="auto"/>
        <w:w w:val="99"/>
        <w:sz w:val="19"/>
        <w:szCs w:val="19"/>
      </w:rPr>
    </w:lvl>
    <w:lvl w:ilvl="5">
      <w:start w:val="1"/>
      <w:numFmt w:val="bullet"/>
      <w:lvlText w:val="•"/>
      <w:lvlJc w:val="left"/>
      <w:pPr>
        <w:ind w:left="4931" w:hanging="284"/>
      </w:pPr>
      <w:rPr>
        <w:rFonts w:hint="default"/>
      </w:rPr>
    </w:lvl>
    <w:lvl w:ilvl="6">
      <w:start w:val="1"/>
      <w:numFmt w:val="bullet"/>
      <w:lvlText w:val="•"/>
      <w:lvlJc w:val="left"/>
      <w:pPr>
        <w:ind w:left="6153" w:hanging="284"/>
      </w:pPr>
      <w:rPr>
        <w:rFonts w:hint="default"/>
      </w:rPr>
    </w:lvl>
    <w:lvl w:ilvl="7">
      <w:start w:val="1"/>
      <w:numFmt w:val="bullet"/>
      <w:lvlText w:val="•"/>
      <w:lvlJc w:val="left"/>
      <w:pPr>
        <w:ind w:left="7374" w:hanging="284"/>
      </w:pPr>
      <w:rPr>
        <w:rFonts w:hint="default"/>
      </w:rPr>
    </w:lvl>
    <w:lvl w:ilvl="8">
      <w:start w:val="1"/>
      <w:numFmt w:val="bullet"/>
      <w:lvlText w:val="•"/>
      <w:lvlJc w:val="left"/>
      <w:pPr>
        <w:ind w:left="8596" w:hanging="284"/>
      </w:pPr>
      <w:rPr>
        <w:rFonts w:hint="default"/>
      </w:rPr>
    </w:lvl>
  </w:abstractNum>
  <w:abstractNum w:abstractNumId="56" w15:restartNumberingAfterBreak="0">
    <w:nsid w:val="641366A9"/>
    <w:multiLevelType w:val="hybridMultilevel"/>
    <w:tmpl w:val="6C50A28C"/>
    <w:lvl w:ilvl="0" w:tplc="5642BB46">
      <w:start w:val="1"/>
      <w:numFmt w:val="decimal"/>
      <w:lvlText w:val="%1."/>
      <w:lvlJc w:val="left"/>
      <w:pPr>
        <w:ind w:left="842" w:hanging="284"/>
      </w:pPr>
      <w:rPr>
        <w:rFonts w:ascii="Arial" w:eastAsia="Arial" w:hAnsi="Arial" w:hint="default"/>
        <w:w w:val="99"/>
        <w:sz w:val="19"/>
        <w:szCs w:val="19"/>
      </w:rPr>
    </w:lvl>
    <w:lvl w:ilvl="1" w:tplc="881067D4">
      <w:start w:val="1"/>
      <w:numFmt w:val="bullet"/>
      <w:lvlText w:val=""/>
      <w:lvlJc w:val="left"/>
      <w:pPr>
        <w:ind w:left="1125" w:hanging="284"/>
      </w:pPr>
      <w:rPr>
        <w:rFonts w:ascii="Symbol" w:eastAsia="Symbol" w:hAnsi="Symbol" w:hint="default"/>
        <w:color w:val="auto"/>
        <w:w w:val="99"/>
        <w:sz w:val="19"/>
        <w:szCs w:val="19"/>
      </w:rPr>
    </w:lvl>
    <w:lvl w:ilvl="2" w:tplc="8B281BD4">
      <w:start w:val="1"/>
      <w:numFmt w:val="bullet"/>
      <w:lvlText w:val="•"/>
      <w:lvlJc w:val="left"/>
      <w:pPr>
        <w:ind w:left="2226" w:hanging="284"/>
      </w:pPr>
      <w:rPr>
        <w:rFonts w:hint="default"/>
      </w:rPr>
    </w:lvl>
    <w:lvl w:ilvl="3" w:tplc="FFC01FDE">
      <w:start w:val="1"/>
      <w:numFmt w:val="bullet"/>
      <w:lvlText w:val="•"/>
      <w:lvlJc w:val="left"/>
      <w:pPr>
        <w:ind w:left="3328" w:hanging="284"/>
      </w:pPr>
      <w:rPr>
        <w:rFonts w:hint="default"/>
      </w:rPr>
    </w:lvl>
    <w:lvl w:ilvl="4" w:tplc="F77C144C">
      <w:start w:val="1"/>
      <w:numFmt w:val="bullet"/>
      <w:lvlText w:val="•"/>
      <w:lvlJc w:val="left"/>
      <w:pPr>
        <w:ind w:left="4429" w:hanging="284"/>
      </w:pPr>
      <w:rPr>
        <w:rFonts w:hint="default"/>
      </w:rPr>
    </w:lvl>
    <w:lvl w:ilvl="5" w:tplc="1BD40BCE">
      <w:start w:val="1"/>
      <w:numFmt w:val="bullet"/>
      <w:lvlText w:val="•"/>
      <w:lvlJc w:val="left"/>
      <w:pPr>
        <w:ind w:left="5531" w:hanging="284"/>
      </w:pPr>
      <w:rPr>
        <w:rFonts w:hint="default"/>
      </w:rPr>
    </w:lvl>
    <w:lvl w:ilvl="6" w:tplc="4D32E930">
      <w:start w:val="1"/>
      <w:numFmt w:val="bullet"/>
      <w:lvlText w:val="•"/>
      <w:lvlJc w:val="left"/>
      <w:pPr>
        <w:ind w:left="6633" w:hanging="284"/>
      </w:pPr>
      <w:rPr>
        <w:rFonts w:hint="default"/>
      </w:rPr>
    </w:lvl>
    <w:lvl w:ilvl="7" w:tplc="683AD8B0">
      <w:start w:val="1"/>
      <w:numFmt w:val="bullet"/>
      <w:lvlText w:val="•"/>
      <w:lvlJc w:val="left"/>
      <w:pPr>
        <w:ind w:left="7734" w:hanging="284"/>
      </w:pPr>
      <w:rPr>
        <w:rFonts w:hint="default"/>
      </w:rPr>
    </w:lvl>
    <w:lvl w:ilvl="8" w:tplc="52F04D80">
      <w:start w:val="1"/>
      <w:numFmt w:val="bullet"/>
      <w:lvlText w:val="•"/>
      <w:lvlJc w:val="left"/>
      <w:pPr>
        <w:ind w:left="8836" w:hanging="284"/>
      </w:pPr>
      <w:rPr>
        <w:rFonts w:hint="default"/>
      </w:rPr>
    </w:lvl>
  </w:abstractNum>
  <w:abstractNum w:abstractNumId="57" w15:restartNumberingAfterBreak="0">
    <w:nsid w:val="64EE4370"/>
    <w:multiLevelType w:val="hybridMultilevel"/>
    <w:tmpl w:val="6A128F3E"/>
    <w:lvl w:ilvl="0" w:tplc="6F3E12DE">
      <w:start w:val="1"/>
      <w:numFmt w:val="decimal"/>
      <w:lvlText w:val="%1."/>
      <w:lvlJc w:val="left"/>
      <w:pPr>
        <w:ind w:left="842" w:hanging="284"/>
      </w:pPr>
      <w:rPr>
        <w:rFonts w:ascii="Arial" w:eastAsia="Arial" w:hAnsi="Arial" w:hint="default"/>
        <w:w w:val="99"/>
        <w:sz w:val="19"/>
        <w:szCs w:val="19"/>
      </w:rPr>
    </w:lvl>
    <w:lvl w:ilvl="1" w:tplc="AC9C8922">
      <w:start w:val="1"/>
      <w:numFmt w:val="bullet"/>
      <w:lvlText w:val=""/>
      <w:lvlJc w:val="left"/>
      <w:pPr>
        <w:ind w:left="1125" w:hanging="284"/>
      </w:pPr>
      <w:rPr>
        <w:rFonts w:ascii="Symbol" w:eastAsia="Symbol" w:hAnsi="Symbol" w:hint="default"/>
        <w:color w:val="auto"/>
        <w:w w:val="99"/>
        <w:sz w:val="19"/>
        <w:szCs w:val="19"/>
      </w:rPr>
    </w:lvl>
    <w:lvl w:ilvl="2" w:tplc="7C1A6996">
      <w:start w:val="1"/>
      <w:numFmt w:val="bullet"/>
      <w:lvlText w:val=""/>
      <w:lvlJc w:val="left"/>
      <w:pPr>
        <w:ind w:left="1410" w:hanging="286"/>
      </w:pPr>
      <w:rPr>
        <w:rFonts w:ascii="Symbol" w:eastAsia="Symbol" w:hAnsi="Symbol" w:hint="default"/>
        <w:w w:val="99"/>
        <w:sz w:val="19"/>
        <w:szCs w:val="19"/>
      </w:rPr>
    </w:lvl>
    <w:lvl w:ilvl="3" w:tplc="32EACB40">
      <w:start w:val="1"/>
      <w:numFmt w:val="bullet"/>
      <w:lvlText w:val="•"/>
      <w:lvlJc w:val="left"/>
      <w:pPr>
        <w:ind w:left="2614" w:hanging="286"/>
      </w:pPr>
      <w:rPr>
        <w:rFonts w:hint="default"/>
      </w:rPr>
    </w:lvl>
    <w:lvl w:ilvl="4" w:tplc="0E7619CE">
      <w:start w:val="1"/>
      <w:numFmt w:val="bullet"/>
      <w:lvlText w:val="•"/>
      <w:lvlJc w:val="left"/>
      <w:pPr>
        <w:ind w:left="3817" w:hanging="286"/>
      </w:pPr>
      <w:rPr>
        <w:rFonts w:hint="default"/>
      </w:rPr>
    </w:lvl>
    <w:lvl w:ilvl="5" w:tplc="7BE0D798">
      <w:start w:val="1"/>
      <w:numFmt w:val="bullet"/>
      <w:lvlText w:val="•"/>
      <w:lvlJc w:val="left"/>
      <w:pPr>
        <w:ind w:left="5021" w:hanging="286"/>
      </w:pPr>
      <w:rPr>
        <w:rFonts w:hint="default"/>
      </w:rPr>
    </w:lvl>
    <w:lvl w:ilvl="6" w:tplc="A37EB910">
      <w:start w:val="1"/>
      <w:numFmt w:val="bullet"/>
      <w:lvlText w:val="•"/>
      <w:lvlJc w:val="left"/>
      <w:pPr>
        <w:ind w:left="6225" w:hanging="286"/>
      </w:pPr>
      <w:rPr>
        <w:rFonts w:hint="default"/>
      </w:rPr>
    </w:lvl>
    <w:lvl w:ilvl="7" w:tplc="54C09FFA">
      <w:start w:val="1"/>
      <w:numFmt w:val="bullet"/>
      <w:lvlText w:val="•"/>
      <w:lvlJc w:val="left"/>
      <w:pPr>
        <w:ind w:left="7428" w:hanging="286"/>
      </w:pPr>
      <w:rPr>
        <w:rFonts w:hint="default"/>
      </w:rPr>
    </w:lvl>
    <w:lvl w:ilvl="8" w:tplc="B0AE8EB8">
      <w:start w:val="1"/>
      <w:numFmt w:val="bullet"/>
      <w:lvlText w:val="•"/>
      <w:lvlJc w:val="left"/>
      <w:pPr>
        <w:ind w:left="8632" w:hanging="286"/>
      </w:pPr>
      <w:rPr>
        <w:rFonts w:hint="default"/>
      </w:rPr>
    </w:lvl>
  </w:abstractNum>
  <w:abstractNum w:abstractNumId="58" w15:restartNumberingAfterBreak="0">
    <w:nsid w:val="665C13F2"/>
    <w:multiLevelType w:val="hybridMultilevel"/>
    <w:tmpl w:val="E538119C"/>
    <w:lvl w:ilvl="0" w:tplc="659CB088">
      <w:start w:val="1"/>
      <w:numFmt w:val="decimal"/>
      <w:lvlText w:val="%1."/>
      <w:lvlJc w:val="left"/>
      <w:pPr>
        <w:ind w:left="1702" w:hanging="284"/>
        <w:jc w:val="right"/>
      </w:pPr>
      <w:rPr>
        <w:rFonts w:ascii="Arial" w:eastAsia="Arial" w:hAnsi="Arial" w:hint="default"/>
        <w:w w:val="99"/>
        <w:sz w:val="19"/>
        <w:szCs w:val="19"/>
      </w:rPr>
    </w:lvl>
    <w:lvl w:ilvl="1" w:tplc="F78689DC">
      <w:start w:val="1"/>
      <w:numFmt w:val="lowerLetter"/>
      <w:lvlText w:val="%2)"/>
      <w:lvlJc w:val="left"/>
      <w:pPr>
        <w:ind w:left="1985" w:hanging="284"/>
      </w:pPr>
      <w:rPr>
        <w:rFonts w:ascii="Arial" w:eastAsia="Arial" w:hAnsi="Arial" w:hint="default"/>
        <w:w w:val="99"/>
        <w:sz w:val="19"/>
        <w:szCs w:val="19"/>
      </w:rPr>
    </w:lvl>
    <w:lvl w:ilvl="2" w:tplc="F57638EE">
      <w:start w:val="1"/>
      <w:numFmt w:val="bullet"/>
      <w:lvlText w:val=""/>
      <w:lvlJc w:val="left"/>
      <w:pPr>
        <w:ind w:left="1410" w:hanging="286"/>
      </w:pPr>
      <w:rPr>
        <w:rFonts w:ascii="Symbol" w:eastAsia="Symbol" w:hAnsi="Symbol" w:hint="default"/>
        <w:color w:val="auto"/>
        <w:w w:val="99"/>
        <w:sz w:val="19"/>
        <w:szCs w:val="19"/>
      </w:rPr>
    </w:lvl>
    <w:lvl w:ilvl="3" w:tplc="53566B6E">
      <w:start w:val="1"/>
      <w:numFmt w:val="bullet"/>
      <w:lvlText w:val="•"/>
      <w:lvlJc w:val="left"/>
      <w:pPr>
        <w:ind w:left="1985" w:hanging="286"/>
      </w:pPr>
      <w:rPr>
        <w:rFonts w:hint="default"/>
      </w:rPr>
    </w:lvl>
    <w:lvl w:ilvl="4" w:tplc="D7E62ADC">
      <w:start w:val="1"/>
      <w:numFmt w:val="bullet"/>
      <w:lvlText w:val="•"/>
      <w:lvlJc w:val="left"/>
      <w:pPr>
        <w:ind w:left="3278" w:hanging="286"/>
      </w:pPr>
      <w:rPr>
        <w:rFonts w:hint="default"/>
      </w:rPr>
    </w:lvl>
    <w:lvl w:ilvl="5" w:tplc="C0E4668C">
      <w:start w:val="1"/>
      <w:numFmt w:val="bullet"/>
      <w:lvlText w:val="•"/>
      <w:lvlJc w:val="left"/>
      <w:pPr>
        <w:ind w:left="4572" w:hanging="286"/>
      </w:pPr>
      <w:rPr>
        <w:rFonts w:hint="default"/>
      </w:rPr>
    </w:lvl>
    <w:lvl w:ilvl="6" w:tplc="A0542290">
      <w:start w:val="1"/>
      <w:numFmt w:val="bullet"/>
      <w:lvlText w:val="•"/>
      <w:lvlJc w:val="left"/>
      <w:pPr>
        <w:ind w:left="5865" w:hanging="286"/>
      </w:pPr>
      <w:rPr>
        <w:rFonts w:hint="default"/>
      </w:rPr>
    </w:lvl>
    <w:lvl w:ilvl="7" w:tplc="7678677A">
      <w:start w:val="1"/>
      <w:numFmt w:val="bullet"/>
      <w:lvlText w:val="•"/>
      <w:lvlJc w:val="left"/>
      <w:pPr>
        <w:ind w:left="7158" w:hanging="286"/>
      </w:pPr>
      <w:rPr>
        <w:rFonts w:hint="default"/>
      </w:rPr>
    </w:lvl>
    <w:lvl w:ilvl="8" w:tplc="36DAB5F6">
      <w:start w:val="1"/>
      <w:numFmt w:val="bullet"/>
      <w:lvlText w:val="•"/>
      <w:lvlJc w:val="left"/>
      <w:pPr>
        <w:ind w:left="8452" w:hanging="286"/>
      </w:pPr>
      <w:rPr>
        <w:rFonts w:hint="default"/>
      </w:rPr>
    </w:lvl>
  </w:abstractNum>
  <w:abstractNum w:abstractNumId="59" w15:restartNumberingAfterBreak="0">
    <w:nsid w:val="68026B21"/>
    <w:multiLevelType w:val="hybridMultilevel"/>
    <w:tmpl w:val="07AA775C"/>
    <w:lvl w:ilvl="0" w:tplc="6E32E562">
      <w:start w:val="42"/>
      <w:numFmt w:val="decimal"/>
      <w:lvlText w:val="%1."/>
      <w:lvlJc w:val="left"/>
      <w:pPr>
        <w:ind w:left="842" w:hanging="284"/>
      </w:pPr>
      <w:rPr>
        <w:rFonts w:ascii="Arial" w:eastAsia="Arial" w:hAnsi="Arial" w:hint="default"/>
        <w:w w:val="99"/>
        <w:sz w:val="19"/>
        <w:szCs w:val="19"/>
      </w:rPr>
    </w:lvl>
    <w:lvl w:ilvl="1" w:tplc="9AD8ED3C">
      <w:start w:val="1"/>
      <w:numFmt w:val="bullet"/>
      <w:lvlText w:val=""/>
      <w:lvlJc w:val="left"/>
      <w:pPr>
        <w:ind w:left="1125" w:hanging="284"/>
      </w:pPr>
      <w:rPr>
        <w:rFonts w:ascii="Symbol" w:eastAsia="Symbol" w:hAnsi="Symbol" w:hint="default"/>
        <w:color w:val="auto"/>
        <w:w w:val="99"/>
        <w:sz w:val="19"/>
        <w:szCs w:val="19"/>
      </w:rPr>
    </w:lvl>
    <w:lvl w:ilvl="2" w:tplc="F704107E">
      <w:start w:val="1"/>
      <w:numFmt w:val="bullet"/>
      <w:lvlText w:val="•"/>
      <w:lvlJc w:val="left"/>
      <w:pPr>
        <w:ind w:left="2226" w:hanging="284"/>
      </w:pPr>
      <w:rPr>
        <w:rFonts w:hint="default"/>
      </w:rPr>
    </w:lvl>
    <w:lvl w:ilvl="3" w:tplc="0E1A47C2">
      <w:start w:val="1"/>
      <w:numFmt w:val="bullet"/>
      <w:lvlText w:val="•"/>
      <w:lvlJc w:val="left"/>
      <w:pPr>
        <w:ind w:left="3328" w:hanging="284"/>
      </w:pPr>
      <w:rPr>
        <w:rFonts w:hint="default"/>
      </w:rPr>
    </w:lvl>
    <w:lvl w:ilvl="4" w:tplc="2BFCA6C4">
      <w:start w:val="1"/>
      <w:numFmt w:val="bullet"/>
      <w:lvlText w:val="•"/>
      <w:lvlJc w:val="left"/>
      <w:pPr>
        <w:ind w:left="4429" w:hanging="284"/>
      </w:pPr>
      <w:rPr>
        <w:rFonts w:hint="default"/>
      </w:rPr>
    </w:lvl>
    <w:lvl w:ilvl="5" w:tplc="5920A0AA">
      <w:start w:val="1"/>
      <w:numFmt w:val="bullet"/>
      <w:lvlText w:val="•"/>
      <w:lvlJc w:val="left"/>
      <w:pPr>
        <w:ind w:left="5531" w:hanging="284"/>
      </w:pPr>
      <w:rPr>
        <w:rFonts w:hint="default"/>
      </w:rPr>
    </w:lvl>
    <w:lvl w:ilvl="6" w:tplc="2D02F494">
      <w:start w:val="1"/>
      <w:numFmt w:val="bullet"/>
      <w:lvlText w:val="•"/>
      <w:lvlJc w:val="left"/>
      <w:pPr>
        <w:ind w:left="6633" w:hanging="284"/>
      </w:pPr>
      <w:rPr>
        <w:rFonts w:hint="default"/>
      </w:rPr>
    </w:lvl>
    <w:lvl w:ilvl="7" w:tplc="8F2E59D0">
      <w:start w:val="1"/>
      <w:numFmt w:val="bullet"/>
      <w:lvlText w:val="•"/>
      <w:lvlJc w:val="left"/>
      <w:pPr>
        <w:ind w:left="7734" w:hanging="284"/>
      </w:pPr>
      <w:rPr>
        <w:rFonts w:hint="default"/>
      </w:rPr>
    </w:lvl>
    <w:lvl w:ilvl="8" w:tplc="10025C14">
      <w:start w:val="1"/>
      <w:numFmt w:val="bullet"/>
      <w:lvlText w:val="•"/>
      <w:lvlJc w:val="left"/>
      <w:pPr>
        <w:ind w:left="8836" w:hanging="284"/>
      </w:pPr>
      <w:rPr>
        <w:rFonts w:hint="default"/>
      </w:rPr>
    </w:lvl>
  </w:abstractNum>
  <w:abstractNum w:abstractNumId="60" w15:restartNumberingAfterBreak="0">
    <w:nsid w:val="69F471FD"/>
    <w:multiLevelType w:val="multilevel"/>
    <w:tmpl w:val="63DC4466"/>
    <w:lvl w:ilvl="0">
      <w:start w:val="1"/>
      <w:numFmt w:val="decimal"/>
      <w:lvlText w:val="%1"/>
      <w:lvlJc w:val="left"/>
      <w:pPr>
        <w:ind w:left="200" w:hanging="233"/>
      </w:pPr>
      <w:rPr>
        <w:rFonts w:hint="default"/>
      </w:rPr>
    </w:lvl>
    <w:lvl w:ilvl="1">
      <w:start w:val="4"/>
      <w:numFmt w:val="decimal"/>
      <w:lvlText w:val="%1.%2"/>
      <w:lvlJc w:val="left"/>
      <w:pPr>
        <w:ind w:left="200" w:hanging="233"/>
      </w:pPr>
      <w:rPr>
        <w:rFonts w:ascii="Arial" w:eastAsia="Arial" w:hAnsi="Arial" w:hint="default"/>
        <w:spacing w:val="-1"/>
        <w:w w:val="99"/>
        <w:sz w:val="14"/>
        <w:szCs w:val="14"/>
      </w:rPr>
    </w:lvl>
    <w:lvl w:ilvl="2">
      <w:start w:val="1"/>
      <w:numFmt w:val="bullet"/>
      <w:lvlText w:val=""/>
      <w:lvlJc w:val="left"/>
      <w:pPr>
        <w:ind w:left="918" w:hanging="360"/>
      </w:pPr>
      <w:rPr>
        <w:rFonts w:ascii="Symbol" w:eastAsia="Symbol" w:hAnsi="Symbol" w:hint="default"/>
        <w:color w:val="auto"/>
        <w:w w:val="99"/>
        <w:sz w:val="19"/>
        <w:szCs w:val="19"/>
      </w:rPr>
    </w:lvl>
    <w:lvl w:ilvl="3">
      <w:start w:val="1"/>
      <w:numFmt w:val="bullet"/>
      <w:lvlText w:val=""/>
      <w:lvlJc w:val="left"/>
      <w:pPr>
        <w:ind w:left="1125" w:hanging="284"/>
      </w:pPr>
      <w:rPr>
        <w:rFonts w:ascii="Symbol" w:eastAsia="Symbol" w:hAnsi="Symbol" w:hint="default"/>
        <w:w w:val="99"/>
        <w:sz w:val="19"/>
        <w:szCs w:val="19"/>
      </w:rPr>
    </w:lvl>
    <w:lvl w:ilvl="4">
      <w:start w:val="1"/>
      <w:numFmt w:val="bullet"/>
      <w:lvlText w:val="•"/>
      <w:lvlJc w:val="left"/>
      <w:pPr>
        <w:ind w:left="3414" w:hanging="284"/>
      </w:pPr>
      <w:rPr>
        <w:rFonts w:hint="default"/>
      </w:rPr>
    </w:lvl>
    <w:lvl w:ilvl="5">
      <w:start w:val="1"/>
      <w:numFmt w:val="bullet"/>
      <w:lvlText w:val="•"/>
      <w:lvlJc w:val="left"/>
      <w:pPr>
        <w:ind w:left="4558" w:hanging="284"/>
      </w:pPr>
      <w:rPr>
        <w:rFonts w:hint="default"/>
      </w:rPr>
    </w:lvl>
    <w:lvl w:ilvl="6">
      <w:start w:val="1"/>
      <w:numFmt w:val="bullet"/>
      <w:lvlText w:val="•"/>
      <w:lvlJc w:val="left"/>
      <w:pPr>
        <w:ind w:left="5702" w:hanging="284"/>
      </w:pPr>
      <w:rPr>
        <w:rFonts w:hint="default"/>
      </w:rPr>
    </w:lvl>
    <w:lvl w:ilvl="7">
      <w:start w:val="1"/>
      <w:numFmt w:val="bullet"/>
      <w:lvlText w:val="•"/>
      <w:lvlJc w:val="left"/>
      <w:pPr>
        <w:ind w:left="6847" w:hanging="284"/>
      </w:pPr>
      <w:rPr>
        <w:rFonts w:hint="default"/>
      </w:rPr>
    </w:lvl>
    <w:lvl w:ilvl="8">
      <w:start w:val="1"/>
      <w:numFmt w:val="bullet"/>
      <w:lvlText w:val="•"/>
      <w:lvlJc w:val="left"/>
      <w:pPr>
        <w:ind w:left="7991" w:hanging="284"/>
      </w:pPr>
      <w:rPr>
        <w:rFonts w:hint="default"/>
      </w:rPr>
    </w:lvl>
  </w:abstractNum>
  <w:abstractNum w:abstractNumId="61" w15:restartNumberingAfterBreak="0">
    <w:nsid w:val="6B0C6F00"/>
    <w:multiLevelType w:val="hybridMultilevel"/>
    <w:tmpl w:val="7C1A9568"/>
    <w:lvl w:ilvl="0" w:tplc="AB403842">
      <w:start w:val="1"/>
      <w:numFmt w:val="decimal"/>
      <w:lvlText w:val="%1."/>
      <w:lvlJc w:val="left"/>
      <w:pPr>
        <w:ind w:left="842" w:hanging="284"/>
      </w:pPr>
      <w:rPr>
        <w:rFonts w:ascii="Arial" w:eastAsia="Arial" w:hAnsi="Arial" w:hint="default"/>
        <w:w w:val="99"/>
        <w:sz w:val="19"/>
        <w:szCs w:val="19"/>
      </w:rPr>
    </w:lvl>
    <w:lvl w:ilvl="1" w:tplc="51DCB956">
      <w:start w:val="1"/>
      <w:numFmt w:val="bullet"/>
      <w:lvlText w:val=""/>
      <w:lvlJc w:val="left"/>
      <w:pPr>
        <w:ind w:left="1125" w:hanging="284"/>
      </w:pPr>
      <w:rPr>
        <w:rFonts w:ascii="Symbol" w:eastAsia="Symbol" w:hAnsi="Symbol" w:hint="default"/>
        <w:color w:val="auto"/>
        <w:w w:val="99"/>
        <w:sz w:val="19"/>
        <w:szCs w:val="19"/>
      </w:rPr>
    </w:lvl>
    <w:lvl w:ilvl="2" w:tplc="A4E441CE">
      <w:start w:val="1"/>
      <w:numFmt w:val="bullet"/>
      <w:lvlText w:val="•"/>
      <w:lvlJc w:val="left"/>
      <w:pPr>
        <w:ind w:left="2226" w:hanging="284"/>
      </w:pPr>
      <w:rPr>
        <w:rFonts w:hint="default"/>
      </w:rPr>
    </w:lvl>
    <w:lvl w:ilvl="3" w:tplc="FB1E6452">
      <w:start w:val="1"/>
      <w:numFmt w:val="bullet"/>
      <w:lvlText w:val="•"/>
      <w:lvlJc w:val="left"/>
      <w:pPr>
        <w:ind w:left="3328" w:hanging="284"/>
      </w:pPr>
      <w:rPr>
        <w:rFonts w:hint="default"/>
      </w:rPr>
    </w:lvl>
    <w:lvl w:ilvl="4" w:tplc="F6A4A30E">
      <w:start w:val="1"/>
      <w:numFmt w:val="bullet"/>
      <w:lvlText w:val="•"/>
      <w:lvlJc w:val="left"/>
      <w:pPr>
        <w:ind w:left="4429" w:hanging="284"/>
      </w:pPr>
      <w:rPr>
        <w:rFonts w:hint="default"/>
      </w:rPr>
    </w:lvl>
    <w:lvl w:ilvl="5" w:tplc="EE8891A6">
      <w:start w:val="1"/>
      <w:numFmt w:val="bullet"/>
      <w:lvlText w:val="•"/>
      <w:lvlJc w:val="left"/>
      <w:pPr>
        <w:ind w:left="5531" w:hanging="284"/>
      </w:pPr>
      <w:rPr>
        <w:rFonts w:hint="default"/>
      </w:rPr>
    </w:lvl>
    <w:lvl w:ilvl="6" w:tplc="FCB0B8C8">
      <w:start w:val="1"/>
      <w:numFmt w:val="bullet"/>
      <w:lvlText w:val="•"/>
      <w:lvlJc w:val="left"/>
      <w:pPr>
        <w:ind w:left="6633" w:hanging="284"/>
      </w:pPr>
      <w:rPr>
        <w:rFonts w:hint="default"/>
      </w:rPr>
    </w:lvl>
    <w:lvl w:ilvl="7" w:tplc="64AA5420">
      <w:start w:val="1"/>
      <w:numFmt w:val="bullet"/>
      <w:lvlText w:val="•"/>
      <w:lvlJc w:val="left"/>
      <w:pPr>
        <w:ind w:left="7734" w:hanging="284"/>
      </w:pPr>
      <w:rPr>
        <w:rFonts w:hint="default"/>
      </w:rPr>
    </w:lvl>
    <w:lvl w:ilvl="8" w:tplc="C66E0BF4">
      <w:start w:val="1"/>
      <w:numFmt w:val="bullet"/>
      <w:lvlText w:val="•"/>
      <w:lvlJc w:val="left"/>
      <w:pPr>
        <w:ind w:left="8836" w:hanging="284"/>
      </w:pPr>
      <w:rPr>
        <w:rFonts w:hint="default"/>
      </w:rPr>
    </w:lvl>
  </w:abstractNum>
  <w:abstractNum w:abstractNumId="62" w15:restartNumberingAfterBreak="0">
    <w:nsid w:val="6D2273D5"/>
    <w:multiLevelType w:val="hybridMultilevel"/>
    <w:tmpl w:val="EF1CC6E6"/>
    <w:lvl w:ilvl="0" w:tplc="5A5CF32C">
      <w:start w:val="1"/>
      <w:numFmt w:val="decimal"/>
      <w:lvlText w:val="%1)"/>
      <w:lvlJc w:val="left"/>
      <w:pPr>
        <w:ind w:left="1122" w:hanging="284"/>
      </w:pPr>
      <w:rPr>
        <w:rFonts w:ascii="Arial" w:eastAsia="Arial" w:hAnsi="Arial" w:hint="default"/>
        <w:w w:val="99"/>
        <w:sz w:val="19"/>
        <w:szCs w:val="19"/>
      </w:rPr>
    </w:lvl>
    <w:lvl w:ilvl="1" w:tplc="120226B2">
      <w:start w:val="1"/>
      <w:numFmt w:val="bullet"/>
      <w:lvlText w:val=""/>
      <w:lvlJc w:val="left"/>
      <w:pPr>
        <w:ind w:left="1408" w:hanging="286"/>
      </w:pPr>
      <w:rPr>
        <w:rFonts w:ascii="Symbol" w:eastAsia="Symbol" w:hAnsi="Symbol" w:hint="default"/>
        <w:color w:val="auto"/>
        <w:w w:val="99"/>
        <w:sz w:val="19"/>
        <w:szCs w:val="19"/>
      </w:rPr>
    </w:lvl>
    <w:lvl w:ilvl="2" w:tplc="89EA5B7A">
      <w:start w:val="1"/>
      <w:numFmt w:val="bullet"/>
      <w:lvlText w:val="•"/>
      <w:lvlJc w:val="left"/>
      <w:pPr>
        <w:ind w:left="2479" w:hanging="286"/>
      </w:pPr>
      <w:rPr>
        <w:rFonts w:hint="default"/>
      </w:rPr>
    </w:lvl>
    <w:lvl w:ilvl="3" w:tplc="E8942C6C">
      <w:start w:val="1"/>
      <w:numFmt w:val="bullet"/>
      <w:lvlText w:val="•"/>
      <w:lvlJc w:val="left"/>
      <w:pPr>
        <w:ind w:left="3550" w:hanging="286"/>
      </w:pPr>
      <w:rPr>
        <w:rFonts w:hint="default"/>
      </w:rPr>
    </w:lvl>
    <w:lvl w:ilvl="4" w:tplc="A8E01C42">
      <w:start w:val="1"/>
      <w:numFmt w:val="bullet"/>
      <w:lvlText w:val="•"/>
      <w:lvlJc w:val="left"/>
      <w:pPr>
        <w:ind w:left="4621" w:hanging="286"/>
      </w:pPr>
      <w:rPr>
        <w:rFonts w:hint="default"/>
      </w:rPr>
    </w:lvl>
    <w:lvl w:ilvl="5" w:tplc="7B829654">
      <w:start w:val="1"/>
      <w:numFmt w:val="bullet"/>
      <w:lvlText w:val="•"/>
      <w:lvlJc w:val="left"/>
      <w:pPr>
        <w:ind w:left="5693" w:hanging="286"/>
      </w:pPr>
      <w:rPr>
        <w:rFonts w:hint="default"/>
      </w:rPr>
    </w:lvl>
    <w:lvl w:ilvl="6" w:tplc="8938BF54">
      <w:start w:val="1"/>
      <w:numFmt w:val="bullet"/>
      <w:lvlText w:val="•"/>
      <w:lvlJc w:val="left"/>
      <w:pPr>
        <w:ind w:left="6764" w:hanging="286"/>
      </w:pPr>
      <w:rPr>
        <w:rFonts w:hint="default"/>
      </w:rPr>
    </w:lvl>
    <w:lvl w:ilvl="7" w:tplc="93C2038C">
      <w:start w:val="1"/>
      <w:numFmt w:val="bullet"/>
      <w:lvlText w:val="•"/>
      <w:lvlJc w:val="left"/>
      <w:pPr>
        <w:ind w:left="7835" w:hanging="286"/>
      </w:pPr>
      <w:rPr>
        <w:rFonts w:hint="default"/>
      </w:rPr>
    </w:lvl>
    <w:lvl w:ilvl="8" w:tplc="8E3AAFC2">
      <w:start w:val="1"/>
      <w:numFmt w:val="bullet"/>
      <w:lvlText w:val="•"/>
      <w:lvlJc w:val="left"/>
      <w:pPr>
        <w:ind w:left="8906" w:hanging="286"/>
      </w:pPr>
      <w:rPr>
        <w:rFonts w:hint="default"/>
      </w:rPr>
    </w:lvl>
  </w:abstractNum>
  <w:abstractNum w:abstractNumId="63" w15:restartNumberingAfterBreak="0">
    <w:nsid w:val="6E7E1E49"/>
    <w:multiLevelType w:val="hybridMultilevel"/>
    <w:tmpl w:val="42005118"/>
    <w:lvl w:ilvl="0" w:tplc="1784676A">
      <w:start w:val="1"/>
      <w:numFmt w:val="bullet"/>
      <w:lvlText w:val=""/>
      <w:lvlJc w:val="left"/>
      <w:pPr>
        <w:ind w:left="1125" w:hanging="284"/>
      </w:pPr>
      <w:rPr>
        <w:rFonts w:ascii="Symbol" w:eastAsia="Symbol" w:hAnsi="Symbol" w:hint="default"/>
        <w:color w:val="auto"/>
        <w:w w:val="99"/>
        <w:sz w:val="19"/>
        <w:szCs w:val="19"/>
      </w:rPr>
    </w:lvl>
    <w:lvl w:ilvl="1" w:tplc="74BE406C">
      <w:start w:val="1"/>
      <w:numFmt w:val="bullet"/>
      <w:lvlText w:val="•"/>
      <w:lvlJc w:val="left"/>
      <w:pPr>
        <w:ind w:left="2116" w:hanging="284"/>
      </w:pPr>
      <w:rPr>
        <w:rFonts w:hint="default"/>
      </w:rPr>
    </w:lvl>
    <w:lvl w:ilvl="2" w:tplc="ECC83DB2">
      <w:start w:val="1"/>
      <w:numFmt w:val="bullet"/>
      <w:lvlText w:val="•"/>
      <w:lvlJc w:val="left"/>
      <w:pPr>
        <w:ind w:left="3108" w:hanging="284"/>
      </w:pPr>
      <w:rPr>
        <w:rFonts w:hint="default"/>
      </w:rPr>
    </w:lvl>
    <w:lvl w:ilvl="3" w:tplc="506C9434">
      <w:start w:val="1"/>
      <w:numFmt w:val="bullet"/>
      <w:lvlText w:val="•"/>
      <w:lvlJc w:val="left"/>
      <w:pPr>
        <w:ind w:left="4099" w:hanging="284"/>
      </w:pPr>
      <w:rPr>
        <w:rFonts w:hint="default"/>
      </w:rPr>
    </w:lvl>
    <w:lvl w:ilvl="4" w:tplc="07DCD20A">
      <w:start w:val="1"/>
      <w:numFmt w:val="bullet"/>
      <w:lvlText w:val="•"/>
      <w:lvlJc w:val="left"/>
      <w:pPr>
        <w:ind w:left="5090" w:hanging="284"/>
      </w:pPr>
      <w:rPr>
        <w:rFonts w:hint="default"/>
      </w:rPr>
    </w:lvl>
    <w:lvl w:ilvl="5" w:tplc="4CEC5EF8">
      <w:start w:val="1"/>
      <w:numFmt w:val="bullet"/>
      <w:lvlText w:val="•"/>
      <w:lvlJc w:val="left"/>
      <w:pPr>
        <w:ind w:left="6082" w:hanging="284"/>
      </w:pPr>
      <w:rPr>
        <w:rFonts w:hint="default"/>
      </w:rPr>
    </w:lvl>
    <w:lvl w:ilvl="6" w:tplc="E3B08FD4">
      <w:start w:val="1"/>
      <w:numFmt w:val="bullet"/>
      <w:lvlText w:val="•"/>
      <w:lvlJc w:val="left"/>
      <w:pPr>
        <w:ind w:left="7073" w:hanging="284"/>
      </w:pPr>
      <w:rPr>
        <w:rFonts w:hint="default"/>
      </w:rPr>
    </w:lvl>
    <w:lvl w:ilvl="7" w:tplc="35D23B20">
      <w:start w:val="1"/>
      <w:numFmt w:val="bullet"/>
      <w:lvlText w:val="•"/>
      <w:lvlJc w:val="left"/>
      <w:pPr>
        <w:ind w:left="8065" w:hanging="284"/>
      </w:pPr>
      <w:rPr>
        <w:rFonts w:hint="default"/>
      </w:rPr>
    </w:lvl>
    <w:lvl w:ilvl="8" w:tplc="A84616CC">
      <w:start w:val="1"/>
      <w:numFmt w:val="bullet"/>
      <w:lvlText w:val="•"/>
      <w:lvlJc w:val="left"/>
      <w:pPr>
        <w:ind w:left="9056" w:hanging="284"/>
      </w:pPr>
      <w:rPr>
        <w:rFonts w:hint="default"/>
      </w:rPr>
    </w:lvl>
  </w:abstractNum>
  <w:abstractNum w:abstractNumId="64" w15:restartNumberingAfterBreak="0">
    <w:nsid w:val="6FC52A80"/>
    <w:multiLevelType w:val="hybridMultilevel"/>
    <w:tmpl w:val="4FD27C78"/>
    <w:lvl w:ilvl="0" w:tplc="8C88B9AA">
      <w:start w:val="1"/>
      <w:numFmt w:val="bullet"/>
      <w:lvlText w:val="*"/>
      <w:lvlJc w:val="left"/>
      <w:pPr>
        <w:ind w:left="685" w:hanging="127"/>
      </w:pPr>
      <w:rPr>
        <w:rFonts w:ascii="Arial" w:eastAsia="Arial" w:hAnsi="Arial" w:hint="default"/>
        <w:w w:val="99"/>
        <w:sz w:val="19"/>
        <w:szCs w:val="19"/>
      </w:rPr>
    </w:lvl>
    <w:lvl w:ilvl="1" w:tplc="5926715E">
      <w:start w:val="1"/>
      <w:numFmt w:val="bullet"/>
      <w:lvlText w:val="•"/>
      <w:lvlJc w:val="left"/>
      <w:pPr>
        <w:ind w:left="1721" w:hanging="127"/>
      </w:pPr>
      <w:rPr>
        <w:rFonts w:hint="default"/>
      </w:rPr>
    </w:lvl>
    <w:lvl w:ilvl="2" w:tplc="B88EB84A">
      <w:start w:val="1"/>
      <w:numFmt w:val="bullet"/>
      <w:lvlText w:val="•"/>
      <w:lvlJc w:val="left"/>
      <w:pPr>
        <w:ind w:left="2756" w:hanging="127"/>
      </w:pPr>
      <w:rPr>
        <w:rFonts w:hint="default"/>
      </w:rPr>
    </w:lvl>
    <w:lvl w:ilvl="3" w:tplc="700020AA">
      <w:start w:val="1"/>
      <w:numFmt w:val="bullet"/>
      <w:lvlText w:val="•"/>
      <w:lvlJc w:val="left"/>
      <w:pPr>
        <w:ind w:left="3791" w:hanging="127"/>
      </w:pPr>
      <w:rPr>
        <w:rFonts w:hint="default"/>
      </w:rPr>
    </w:lvl>
    <w:lvl w:ilvl="4" w:tplc="9F841820">
      <w:start w:val="1"/>
      <w:numFmt w:val="bullet"/>
      <w:lvlText w:val="•"/>
      <w:lvlJc w:val="left"/>
      <w:pPr>
        <w:ind w:left="4827" w:hanging="127"/>
      </w:pPr>
      <w:rPr>
        <w:rFonts w:hint="default"/>
      </w:rPr>
    </w:lvl>
    <w:lvl w:ilvl="5" w:tplc="FF3686D6">
      <w:start w:val="1"/>
      <w:numFmt w:val="bullet"/>
      <w:lvlText w:val="•"/>
      <w:lvlJc w:val="left"/>
      <w:pPr>
        <w:ind w:left="5862" w:hanging="127"/>
      </w:pPr>
      <w:rPr>
        <w:rFonts w:hint="default"/>
      </w:rPr>
    </w:lvl>
    <w:lvl w:ilvl="6" w:tplc="67A6C892">
      <w:start w:val="1"/>
      <w:numFmt w:val="bullet"/>
      <w:lvlText w:val="•"/>
      <w:lvlJc w:val="left"/>
      <w:pPr>
        <w:ind w:left="6897" w:hanging="127"/>
      </w:pPr>
      <w:rPr>
        <w:rFonts w:hint="default"/>
      </w:rPr>
    </w:lvl>
    <w:lvl w:ilvl="7" w:tplc="2D78BDAC">
      <w:start w:val="1"/>
      <w:numFmt w:val="bullet"/>
      <w:lvlText w:val="•"/>
      <w:lvlJc w:val="left"/>
      <w:pPr>
        <w:ind w:left="7933" w:hanging="127"/>
      </w:pPr>
      <w:rPr>
        <w:rFonts w:hint="default"/>
      </w:rPr>
    </w:lvl>
    <w:lvl w:ilvl="8" w:tplc="28C8FD1A">
      <w:start w:val="1"/>
      <w:numFmt w:val="bullet"/>
      <w:lvlText w:val="•"/>
      <w:lvlJc w:val="left"/>
      <w:pPr>
        <w:ind w:left="8968" w:hanging="127"/>
      </w:pPr>
      <w:rPr>
        <w:rFonts w:hint="default"/>
      </w:rPr>
    </w:lvl>
  </w:abstractNum>
  <w:abstractNum w:abstractNumId="65" w15:restartNumberingAfterBreak="0">
    <w:nsid w:val="6FEB4C84"/>
    <w:multiLevelType w:val="hybridMultilevel"/>
    <w:tmpl w:val="C744EDE4"/>
    <w:lvl w:ilvl="0" w:tplc="FCDAF4A6">
      <w:start w:val="1"/>
      <w:numFmt w:val="decimal"/>
      <w:lvlText w:val="%1."/>
      <w:lvlJc w:val="left"/>
      <w:pPr>
        <w:ind w:left="842" w:hanging="284"/>
      </w:pPr>
      <w:rPr>
        <w:rFonts w:ascii="Arial" w:eastAsia="Arial" w:hAnsi="Arial" w:hint="default"/>
        <w:w w:val="99"/>
        <w:sz w:val="19"/>
        <w:szCs w:val="19"/>
      </w:rPr>
    </w:lvl>
    <w:lvl w:ilvl="1" w:tplc="E1122530">
      <w:start w:val="1"/>
      <w:numFmt w:val="bullet"/>
      <w:lvlText w:val=""/>
      <w:lvlJc w:val="left"/>
      <w:pPr>
        <w:ind w:left="1125" w:hanging="284"/>
      </w:pPr>
      <w:rPr>
        <w:rFonts w:ascii="Symbol" w:eastAsia="Symbol" w:hAnsi="Symbol" w:hint="default"/>
        <w:color w:val="auto"/>
        <w:w w:val="99"/>
        <w:sz w:val="19"/>
        <w:szCs w:val="19"/>
      </w:rPr>
    </w:lvl>
    <w:lvl w:ilvl="2" w:tplc="9DDEB310">
      <w:start w:val="1"/>
      <w:numFmt w:val="bullet"/>
      <w:lvlText w:val="•"/>
      <w:lvlJc w:val="left"/>
      <w:pPr>
        <w:ind w:left="2226" w:hanging="284"/>
      </w:pPr>
      <w:rPr>
        <w:rFonts w:hint="default"/>
      </w:rPr>
    </w:lvl>
    <w:lvl w:ilvl="3" w:tplc="FA82E458">
      <w:start w:val="1"/>
      <w:numFmt w:val="bullet"/>
      <w:lvlText w:val="•"/>
      <w:lvlJc w:val="left"/>
      <w:pPr>
        <w:ind w:left="3328" w:hanging="284"/>
      </w:pPr>
      <w:rPr>
        <w:rFonts w:hint="default"/>
      </w:rPr>
    </w:lvl>
    <w:lvl w:ilvl="4" w:tplc="A8FE84B0">
      <w:start w:val="1"/>
      <w:numFmt w:val="bullet"/>
      <w:lvlText w:val="•"/>
      <w:lvlJc w:val="left"/>
      <w:pPr>
        <w:ind w:left="4429" w:hanging="284"/>
      </w:pPr>
      <w:rPr>
        <w:rFonts w:hint="default"/>
      </w:rPr>
    </w:lvl>
    <w:lvl w:ilvl="5" w:tplc="E6D88E68">
      <w:start w:val="1"/>
      <w:numFmt w:val="bullet"/>
      <w:lvlText w:val="•"/>
      <w:lvlJc w:val="left"/>
      <w:pPr>
        <w:ind w:left="5531" w:hanging="284"/>
      </w:pPr>
      <w:rPr>
        <w:rFonts w:hint="default"/>
      </w:rPr>
    </w:lvl>
    <w:lvl w:ilvl="6" w:tplc="98A0C5AE">
      <w:start w:val="1"/>
      <w:numFmt w:val="bullet"/>
      <w:lvlText w:val="•"/>
      <w:lvlJc w:val="left"/>
      <w:pPr>
        <w:ind w:left="6633" w:hanging="284"/>
      </w:pPr>
      <w:rPr>
        <w:rFonts w:hint="default"/>
      </w:rPr>
    </w:lvl>
    <w:lvl w:ilvl="7" w:tplc="5D9820BC">
      <w:start w:val="1"/>
      <w:numFmt w:val="bullet"/>
      <w:lvlText w:val="•"/>
      <w:lvlJc w:val="left"/>
      <w:pPr>
        <w:ind w:left="7734" w:hanging="284"/>
      </w:pPr>
      <w:rPr>
        <w:rFonts w:hint="default"/>
      </w:rPr>
    </w:lvl>
    <w:lvl w:ilvl="8" w:tplc="4B8EEE6C">
      <w:start w:val="1"/>
      <w:numFmt w:val="bullet"/>
      <w:lvlText w:val="•"/>
      <w:lvlJc w:val="left"/>
      <w:pPr>
        <w:ind w:left="8836" w:hanging="284"/>
      </w:pPr>
      <w:rPr>
        <w:rFonts w:hint="default"/>
      </w:rPr>
    </w:lvl>
  </w:abstractNum>
  <w:abstractNum w:abstractNumId="66" w15:restartNumberingAfterBreak="0">
    <w:nsid w:val="72550228"/>
    <w:multiLevelType w:val="multilevel"/>
    <w:tmpl w:val="7F36C834"/>
    <w:lvl w:ilvl="0">
      <w:start w:val="4"/>
      <w:numFmt w:val="decimal"/>
      <w:lvlText w:val="%1"/>
      <w:lvlJc w:val="left"/>
      <w:pPr>
        <w:ind w:left="1360" w:hanging="576"/>
      </w:pPr>
      <w:rPr>
        <w:rFonts w:hint="default"/>
      </w:rPr>
    </w:lvl>
    <w:lvl w:ilvl="1">
      <w:start w:val="8"/>
      <w:numFmt w:val="decimal"/>
      <w:lvlText w:val="%1.%2"/>
      <w:lvlJc w:val="left"/>
      <w:pPr>
        <w:ind w:left="1360" w:hanging="576"/>
      </w:pPr>
      <w:rPr>
        <w:rFonts w:ascii="Arial" w:eastAsia="Arial" w:hAnsi="Arial" w:hint="default"/>
        <w:b/>
        <w:bCs/>
        <w:color w:val="AE4A91"/>
        <w:sz w:val="40"/>
        <w:szCs w:val="40"/>
      </w:rPr>
    </w:lvl>
    <w:lvl w:ilvl="2">
      <w:start w:val="1"/>
      <w:numFmt w:val="decimal"/>
      <w:lvlText w:val="%3."/>
      <w:lvlJc w:val="left"/>
      <w:pPr>
        <w:ind w:left="1985" w:hanging="284"/>
      </w:pPr>
      <w:rPr>
        <w:rFonts w:ascii="Arial" w:eastAsia="Arial" w:hAnsi="Arial" w:hint="default"/>
        <w:w w:val="99"/>
        <w:sz w:val="19"/>
        <w:szCs w:val="19"/>
      </w:rPr>
    </w:lvl>
    <w:lvl w:ilvl="3">
      <w:start w:val="1"/>
      <w:numFmt w:val="bullet"/>
      <w:lvlText w:val=""/>
      <w:lvlJc w:val="left"/>
      <w:pPr>
        <w:ind w:left="2268" w:hanging="284"/>
      </w:pPr>
      <w:rPr>
        <w:rFonts w:ascii="Symbol" w:eastAsia="Symbol" w:hAnsi="Symbol" w:hint="default"/>
        <w:color w:val="auto"/>
        <w:w w:val="99"/>
        <w:sz w:val="19"/>
        <w:szCs w:val="19"/>
      </w:rPr>
    </w:lvl>
    <w:lvl w:ilvl="4">
      <w:start w:val="1"/>
      <w:numFmt w:val="bullet"/>
      <w:lvlText w:val="•"/>
      <w:lvlJc w:val="left"/>
      <w:pPr>
        <w:ind w:left="4461" w:hanging="284"/>
      </w:pPr>
      <w:rPr>
        <w:rFonts w:hint="default"/>
      </w:rPr>
    </w:lvl>
    <w:lvl w:ilvl="5">
      <w:start w:val="1"/>
      <w:numFmt w:val="bullet"/>
      <w:lvlText w:val="•"/>
      <w:lvlJc w:val="left"/>
      <w:pPr>
        <w:ind w:left="5557" w:hanging="284"/>
      </w:pPr>
      <w:rPr>
        <w:rFonts w:hint="default"/>
      </w:rPr>
    </w:lvl>
    <w:lvl w:ilvl="6">
      <w:start w:val="1"/>
      <w:numFmt w:val="bullet"/>
      <w:lvlText w:val="•"/>
      <w:lvlJc w:val="left"/>
      <w:pPr>
        <w:ind w:left="6653" w:hanging="284"/>
      </w:pPr>
      <w:rPr>
        <w:rFonts w:hint="default"/>
      </w:rPr>
    </w:lvl>
    <w:lvl w:ilvl="7">
      <w:start w:val="1"/>
      <w:numFmt w:val="bullet"/>
      <w:lvlText w:val="•"/>
      <w:lvlJc w:val="left"/>
      <w:pPr>
        <w:ind w:left="7750" w:hanging="284"/>
      </w:pPr>
      <w:rPr>
        <w:rFonts w:hint="default"/>
      </w:rPr>
    </w:lvl>
    <w:lvl w:ilvl="8">
      <w:start w:val="1"/>
      <w:numFmt w:val="bullet"/>
      <w:lvlText w:val="•"/>
      <w:lvlJc w:val="left"/>
      <w:pPr>
        <w:ind w:left="8846" w:hanging="284"/>
      </w:pPr>
      <w:rPr>
        <w:rFonts w:hint="default"/>
      </w:rPr>
    </w:lvl>
  </w:abstractNum>
  <w:abstractNum w:abstractNumId="67" w15:restartNumberingAfterBreak="0">
    <w:nsid w:val="72EA3C81"/>
    <w:multiLevelType w:val="hybridMultilevel"/>
    <w:tmpl w:val="9104B8DE"/>
    <w:lvl w:ilvl="0" w:tplc="A5789AFE">
      <w:start w:val="1"/>
      <w:numFmt w:val="bullet"/>
      <w:lvlText w:val=""/>
      <w:lvlJc w:val="left"/>
      <w:pPr>
        <w:ind w:left="1125" w:hanging="284"/>
      </w:pPr>
      <w:rPr>
        <w:rFonts w:ascii="Symbol" w:hAnsi="Symbol" w:hint="default"/>
        <w:color w:val="auto"/>
        <w:w w:val="99"/>
        <w:sz w:val="19"/>
        <w:szCs w:val="19"/>
      </w:rPr>
    </w:lvl>
    <w:lvl w:ilvl="1" w:tplc="3BEE6A72">
      <w:start w:val="1"/>
      <w:numFmt w:val="bullet"/>
      <w:lvlText w:val="•"/>
      <w:lvlJc w:val="left"/>
      <w:pPr>
        <w:ind w:left="2116" w:hanging="284"/>
      </w:pPr>
      <w:rPr>
        <w:rFonts w:hint="default"/>
      </w:rPr>
    </w:lvl>
    <w:lvl w:ilvl="2" w:tplc="12DABA2C">
      <w:start w:val="1"/>
      <w:numFmt w:val="bullet"/>
      <w:lvlText w:val="•"/>
      <w:lvlJc w:val="left"/>
      <w:pPr>
        <w:ind w:left="3108" w:hanging="284"/>
      </w:pPr>
      <w:rPr>
        <w:rFonts w:hint="default"/>
      </w:rPr>
    </w:lvl>
    <w:lvl w:ilvl="3" w:tplc="A398999E">
      <w:start w:val="1"/>
      <w:numFmt w:val="bullet"/>
      <w:lvlText w:val="•"/>
      <w:lvlJc w:val="left"/>
      <w:pPr>
        <w:ind w:left="4099" w:hanging="284"/>
      </w:pPr>
      <w:rPr>
        <w:rFonts w:hint="default"/>
      </w:rPr>
    </w:lvl>
    <w:lvl w:ilvl="4" w:tplc="C5DE6B0A">
      <w:start w:val="1"/>
      <w:numFmt w:val="bullet"/>
      <w:lvlText w:val="•"/>
      <w:lvlJc w:val="left"/>
      <w:pPr>
        <w:ind w:left="5090" w:hanging="284"/>
      </w:pPr>
      <w:rPr>
        <w:rFonts w:hint="default"/>
      </w:rPr>
    </w:lvl>
    <w:lvl w:ilvl="5" w:tplc="C97C104E">
      <w:start w:val="1"/>
      <w:numFmt w:val="bullet"/>
      <w:lvlText w:val="•"/>
      <w:lvlJc w:val="left"/>
      <w:pPr>
        <w:ind w:left="6082" w:hanging="284"/>
      </w:pPr>
      <w:rPr>
        <w:rFonts w:hint="default"/>
      </w:rPr>
    </w:lvl>
    <w:lvl w:ilvl="6" w:tplc="EFE845F0">
      <w:start w:val="1"/>
      <w:numFmt w:val="bullet"/>
      <w:lvlText w:val="•"/>
      <w:lvlJc w:val="left"/>
      <w:pPr>
        <w:ind w:left="7073" w:hanging="284"/>
      </w:pPr>
      <w:rPr>
        <w:rFonts w:hint="default"/>
      </w:rPr>
    </w:lvl>
    <w:lvl w:ilvl="7" w:tplc="763C7CF4">
      <w:start w:val="1"/>
      <w:numFmt w:val="bullet"/>
      <w:lvlText w:val="•"/>
      <w:lvlJc w:val="left"/>
      <w:pPr>
        <w:ind w:left="8065" w:hanging="284"/>
      </w:pPr>
      <w:rPr>
        <w:rFonts w:hint="default"/>
      </w:rPr>
    </w:lvl>
    <w:lvl w:ilvl="8" w:tplc="3A787100">
      <w:start w:val="1"/>
      <w:numFmt w:val="bullet"/>
      <w:lvlText w:val="•"/>
      <w:lvlJc w:val="left"/>
      <w:pPr>
        <w:ind w:left="9056" w:hanging="284"/>
      </w:pPr>
      <w:rPr>
        <w:rFonts w:hint="default"/>
      </w:rPr>
    </w:lvl>
  </w:abstractNum>
  <w:abstractNum w:abstractNumId="68" w15:restartNumberingAfterBreak="0">
    <w:nsid w:val="752D0ABB"/>
    <w:multiLevelType w:val="hybridMultilevel"/>
    <w:tmpl w:val="C17C377C"/>
    <w:lvl w:ilvl="0" w:tplc="637CE7EC">
      <w:start w:val="1"/>
      <w:numFmt w:val="bullet"/>
      <w:lvlText w:val="•"/>
      <w:lvlJc w:val="left"/>
      <w:pPr>
        <w:ind w:left="1004" w:hanging="360"/>
      </w:pPr>
      <w:rPr>
        <w:rFont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9" w15:restartNumberingAfterBreak="0">
    <w:nsid w:val="775005E8"/>
    <w:multiLevelType w:val="hybridMultilevel"/>
    <w:tmpl w:val="9AB8EBD0"/>
    <w:lvl w:ilvl="0" w:tplc="F3081976">
      <w:start w:val="1"/>
      <w:numFmt w:val="decimal"/>
      <w:lvlText w:val="%1."/>
      <w:lvlJc w:val="left"/>
      <w:pPr>
        <w:ind w:left="842" w:hanging="284"/>
      </w:pPr>
      <w:rPr>
        <w:rFonts w:ascii="Arial" w:eastAsia="Arial" w:hAnsi="Arial" w:hint="default"/>
        <w:b/>
        <w:bCs/>
        <w:w w:val="99"/>
        <w:sz w:val="19"/>
        <w:szCs w:val="19"/>
      </w:rPr>
    </w:lvl>
    <w:lvl w:ilvl="1" w:tplc="1408D442">
      <w:start w:val="1"/>
      <w:numFmt w:val="bullet"/>
      <w:lvlText w:val=""/>
      <w:lvlJc w:val="left"/>
      <w:pPr>
        <w:ind w:left="1125" w:hanging="284"/>
      </w:pPr>
      <w:rPr>
        <w:rFonts w:ascii="Symbol" w:eastAsia="Symbol" w:hAnsi="Symbol" w:hint="default"/>
        <w:color w:val="auto"/>
        <w:w w:val="99"/>
        <w:sz w:val="20"/>
        <w:szCs w:val="20"/>
      </w:rPr>
    </w:lvl>
    <w:lvl w:ilvl="2" w:tplc="A8D43BA0">
      <w:start w:val="1"/>
      <w:numFmt w:val="bullet"/>
      <w:lvlText w:val=""/>
      <w:lvlJc w:val="left"/>
      <w:pPr>
        <w:ind w:left="1410" w:hanging="286"/>
      </w:pPr>
      <w:rPr>
        <w:rFonts w:ascii="Symbol" w:eastAsia="Symbol" w:hAnsi="Symbol" w:hint="default"/>
        <w:w w:val="99"/>
        <w:sz w:val="19"/>
        <w:szCs w:val="19"/>
      </w:rPr>
    </w:lvl>
    <w:lvl w:ilvl="3" w:tplc="F3861F1E">
      <w:start w:val="1"/>
      <w:numFmt w:val="bullet"/>
      <w:lvlText w:val="•"/>
      <w:lvlJc w:val="left"/>
      <w:pPr>
        <w:ind w:left="2614" w:hanging="286"/>
      </w:pPr>
      <w:rPr>
        <w:rFonts w:hint="default"/>
      </w:rPr>
    </w:lvl>
    <w:lvl w:ilvl="4" w:tplc="36D4A9E0">
      <w:start w:val="1"/>
      <w:numFmt w:val="bullet"/>
      <w:lvlText w:val="•"/>
      <w:lvlJc w:val="left"/>
      <w:pPr>
        <w:ind w:left="3817" w:hanging="286"/>
      </w:pPr>
      <w:rPr>
        <w:rFonts w:hint="default"/>
      </w:rPr>
    </w:lvl>
    <w:lvl w:ilvl="5" w:tplc="8EC825EA">
      <w:start w:val="1"/>
      <w:numFmt w:val="bullet"/>
      <w:lvlText w:val="•"/>
      <w:lvlJc w:val="left"/>
      <w:pPr>
        <w:ind w:left="5021" w:hanging="286"/>
      </w:pPr>
      <w:rPr>
        <w:rFonts w:hint="default"/>
      </w:rPr>
    </w:lvl>
    <w:lvl w:ilvl="6" w:tplc="DCCAC262">
      <w:start w:val="1"/>
      <w:numFmt w:val="bullet"/>
      <w:lvlText w:val="•"/>
      <w:lvlJc w:val="left"/>
      <w:pPr>
        <w:ind w:left="6225" w:hanging="286"/>
      </w:pPr>
      <w:rPr>
        <w:rFonts w:hint="default"/>
      </w:rPr>
    </w:lvl>
    <w:lvl w:ilvl="7" w:tplc="ADF2C7D4">
      <w:start w:val="1"/>
      <w:numFmt w:val="bullet"/>
      <w:lvlText w:val="•"/>
      <w:lvlJc w:val="left"/>
      <w:pPr>
        <w:ind w:left="7428" w:hanging="286"/>
      </w:pPr>
      <w:rPr>
        <w:rFonts w:hint="default"/>
      </w:rPr>
    </w:lvl>
    <w:lvl w:ilvl="8" w:tplc="C414A872">
      <w:start w:val="1"/>
      <w:numFmt w:val="bullet"/>
      <w:lvlText w:val="•"/>
      <w:lvlJc w:val="left"/>
      <w:pPr>
        <w:ind w:left="8632" w:hanging="286"/>
      </w:pPr>
      <w:rPr>
        <w:rFonts w:hint="default"/>
      </w:rPr>
    </w:lvl>
  </w:abstractNum>
  <w:abstractNum w:abstractNumId="70" w15:restartNumberingAfterBreak="0">
    <w:nsid w:val="78855093"/>
    <w:multiLevelType w:val="hybridMultilevel"/>
    <w:tmpl w:val="E8467FF4"/>
    <w:lvl w:ilvl="0" w:tplc="2286EED2">
      <w:start w:val="1"/>
      <w:numFmt w:val="bullet"/>
      <w:lvlText w:val=""/>
      <w:lvlJc w:val="left"/>
      <w:pPr>
        <w:ind w:left="1125" w:hanging="284"/>
      </w:pPr>
      <w:rPr>
        <w:rFonts w:ascii="Symbol" w:eastAsia="Symbol" w:hAnsi="Symbol" w:hint="default"/>
        <w:color w:val="auto"/>
        <w:w w:val="99"/>
        <w:sz w:val="19"/>
        <w:szCs w:val="19"/>
      </w:rPr>
    </w:lvl>
    <w:lvl w:ilvl="1" w:tplc="826AA248">
      <w:start w:val="1"/>
      <w:numFmt w:val="bullet"/>
      <w:lvlText w:val="•"/>
      <w:lvlJc w:val="left"/>
      <w:pPr>
        <w:ind w:left="2116" w:hanging="284"/>
      </w:pPr>
      <w:rPr>
        <w:rFonts w:hint="default"/>
      </w:rPr>
    </w:lvl>
    <w:lvl w:ilvl="2" w:tplc="4BC892E0">
      <w:start w:val="1"/>
      <w:numFmt w:val="bullet"/>
      <w:lvlText w:val="•"/>
      <w:lvlJc w:val="left"/>
      <w:pPr>
        <w:ind w:left="3108" w:hanging="284"/>
      </w:pPr>
      <w:rPr>
        <w:rFonts w:hint="default"/>
      </w:rPr>
    </w:lvl>
    <w:lvl w:ilvl="3" w:tplc="FEBABCCC">
      <w:start w:val="1"/>
      <w:numFmt w:val="bullet"/>
      <w:lvlText w:val="•"/>
      <w:lvlJc w:val="left"/>
      <w:pPr>
        <w:ind w:left="4099" w:hanging="284"/>
      </w:pPr>
      <w:rPr>
        <w:rFonts w:hint="default"/>
      </w:rPr>
    </w:lvl>
    <w:lvl w:ilvl="4" w:tplc="847296F4">
      <w:start w:val="1"/>
      <w:numFmt w:val="bullet"/>
      <w:lvlText w:val="•"/>
      <w:lvlJc w:val="left"/>
      <w:pPr>
        <w:ind w:left="5090" w:hanging="284"/>
      </w:pPr>
      <w:rPr>
        <w:rFonts w:hint="default"/>
      </w:rPr>
    </w:lvl>
    <w:lvl w:ilvl="5" w:tplc="B798B6CE">
      <w:start w:val="1"/>
      <w:numFmt w:val="bullet"/>
      <w:lvlText w:val="•"/>
      <w:lvlJc w:val="left"/>
      <w:pPr>
        <w:ind w:left="6082" w:hanging="284"/>
      </w:pPr>
      <w:rPr>
        <w:rFonts w:hint="default"/>
      </w:rPr>
    </w:lvl>
    <w:lvl w:ilvl="6" w:tplc="ADAE7F9A">
      <w:start w:val="1"/>
      <w:numFmt w:val="bullet"/>
      <w:lvlText w:val="•"/>
      <w:lvlJc w:val="left"/>
      <w:pPr>
        <w:ind w:left="7073" w:hanging="284"/>
      </w:pPr>
      <w:rPr>
        <w:rFonts w:hint="default"/>
      </w:rPr>
    </w:lvl>
    <w:lvl w:ilvl="7" w:tplc="D8945EF4">
      <w:start w:val="1"/>
      <w:numFmt w:val="bullet"/>
      <w:lvlText w:val="•"/>
      <w:lvlJc w:val="left"/>
      <w:pPr>
        <w:ind w:left="8065" w:hanging="284"/>
      </w:pPr>
      <w:rPr>
        <w:rFonts w:hint="default"/>
      </w:rPr>
    </w:lvl>
    <w:lvl w:ilvl="8" w:tplc="2B388E5C">
      <w:start w:val="1"/>
      <w:numFmt w:val="bullet"/>
      <w:lvlText w:val="•"/>
      <w:lvlJc w:val="left"/>
      <w:pPr>
        <w:ind w:left="9056" w:hanging="284"/>
      </w:pPr>
      <w:rPr>
        <w:rFonts w:hint="default"/>
      </w:rPr>
    </w:lvl>
  </w:abstractNum>
  <w:abstractNum w:abstractNumId="71" w15:restartNumberingAfterBreak="0">
    <w:nsid w:val="791C0AC0"/>
    <w:multiLevelType w:val="hybridMultilevel"/>
    <w:tmpl w:val="CCC2B8B4"/>
    <w:lvl w:ilvl="0" w:tplc="500099A6">
      <w:start w:val="1"/>
      <w:numFmt w:val="bullet"/>
      <w:lvlText w:val=""/>
      <w:lvlJc w:val="left"/>
      <w:pPr>
        <w:ind w:left="1125" w:hanging="284"/>
      </w:pPr>
      <w:rPr>
        <w:rFonts w:ascii="Symbol" w:eastAsia="Symbol" w:hAnsi="Symbol" w:hint="default"/>
        <w:color w:val="auto"/>
        <w:w w:val="99"/>
        <w:sz w:val="19"/>
        <w:szCs w:val="19"/>
      </w:rPr>
    </w:lvl>
    <w:lvl w:ilvl="1" w:tplc="656C7444">
      <w:start w:val="1"/>
      <w:numFmt w:val="bullet"/>
      <w:lvlText w:val=""/>
      <w:lvlJc w:val="left"/>
      <w:pPr>
        <w:ind w:left="1410" w:hanging="286"/>
      </w:pPr>
      <w:rPr>
        <w:rFonts w:ascii="Symbol" w:eastAsia="Symbol" w:hAnsi="Symbol" w:hint="default"/>
        <w:position w:val="-1"/>
        <w:sz w:val="22"/>
        <w:szCs w:val="22"/>
      </w:rPr>
    </w:lvl>
    <w:lvl w:ilvl="2" w:tplc="B616F632">
      <w:start w:val="1"/>
      <w:numFmt w:val="bullet"/>
      <w:lvlText w:val="•"/>
      <w:lvlJc w:val="left"/>
      <w:pPr>
        <w:ind w:left="2480" w:hanging="286"/>
      </w:pPr>
      <w:rPr>
        <w:rFonts w:hint="default"/>
      </w:rPr>
    </w:lvl>
    <w:lvl w:ilvl="3" w:tplc="A4EEC0D4">
      <w:start w:val="1"/>
      <w:numFmt w:val="bullet"/>
      <w:lvlText w:val="•"/>
      <w:lvlJc w:val="left"/>
      <w:pPr>
        <w:ind w:left="3550" w:hanging="286"/>
      </w:pPr>
      <w:rPr>
        <w:rFonts w:hint="default"/>
      </w:rPr>
    </w:lvl>
    <w:lvl w:ilvl="4" w:tplc="F78432DE">
      <w:start w:val="1"/>
      <w:numFmt w:val="bullet"/>
      <w:lvlText w:val="•"/>
      <w:lvlJc w:val="left"/>
      <w:pPr>
        <w:ind w:left="4620" w:hanging="286"/>
      </w:pPr>
      <w:rPr>
        <w:rFonts w:hint="default"/>
      </w:rPr>
    </w:lvl>
    <w:lvl w:ilvl="5" w:tplc="BDE48306">
      <w:start w:val="1"/>
      <w:numFmt w:val="bullet"/>
      <w:lvlText w:val="•"/>
      <w:lvlJc w:val="left"/>
      <w:pPr>
        <w:ind w:left="5690" w:hanging="286"/>
      </w:pPr>
      <w:rPr>
        <w:rFonts w:hint="default"/>
      </w:rPr>
    </w:lvl>
    <w:lvl w:ilvl="6" w:tplc="1D98B9A0">
      <w:start w:val="1"/>
      <w:numFmt w:val="bullet"/>
      <w:lvlText w:val="•"/>
      <w:lvlJc w:val="left"/>
      <w:pPr>
        <w:ind w:left="6759" w:hanging="286"/>
      </w:pPr>
      <w:rPr>
        <w:rFonts w:hint="default"/>
      </w:rPr>
    </w:lvl>
    <w:lvl w:ilvl="7" w:tplc="E1120C7E">
      <w:start w:val="1"/>
      <w:numFmt w:val="bullet"/>
      <w:lvlText w:val="•"/>
      <w:lvlJc w:val="left"/>
      <w:pPr>
        <w:ind w:left="7829" w:hanging="286"/>
      </w:pPr>
      <w:rPr>
        <w:rFonts w:hint="default"/>
      </w:rPr>
    </w:lvl>
    <w:lvl w:ilvl="8" w:tplc="795AD89A">
      <w:start w:val="1"/>
      <w:numFmt w:val="bullet"/>
      <w:lvlText w:val="•"/>
      <w:lvlJc w:val="left"/>
      <w:pPr>
        <w:ind w:left="8899" w:hanging="286"/>
      </w:pPr>
      <w:rPr>
        <w:rFonts w:hint="default"/>
      </w:rPr>
    </w:lvl>
  </w:abstractNum>
  <w:abstractNum w:abstractNumId="72" w15:restartNumberingAfterBreak="0">
    <w:nsid w:val="7BBD48FA"/>
    <w:multiLevelType w:val="hybridMultilevel"/>
    <w:tmpl w:val="6A20C634"/>
    <w:lvl w:ilvl="0" w:tplc="66764D94">
      <w:start w:val="1"/>
      <w:numFmt w:val="bullet"/>
      <w:lvlText w:val=""/>
      <w:lvlJc w:val="left"/>
      <w:pPr>
        <w:ind w:left="1125" w:hanging="284"/>
      </w:pPr>
      <w:rPr>
        <w:rFonts w:ascii="Symbol" w:eastAsia="Symbol" w:hAnsi="Symbol" w:hint="default"/>
        <w:color w:val="auto"/>
        <w:w w:val="99"/>
        <w:sz w:val="19"/>
        <w:szCs w:val="19"/>
      </w:rPr>
    </w:lvl>
    <w:lvl w:ilvl="1" w:tplc="E3C46DD0">
      <w:start w:val="1"/>
      <w:numFmt w:val="bullet"/>
      <w:lvlText w:val="•"/>
      <w:lvlJc w:val="left"/>
      <w:pPr>
        <w:ind w:left="2116" w:hanging="284"/>
      </w:pPr>
      <w:rPr>
        <w:rFonts w:hint="default"/>
      </w:rPr>
    </w:lvl>
    <w:lvl w:ilvl="2" w:tplc="532889AC">
      <w:start w:val="1"/>
      <w:numFmt w:val="bullet"/>
      <w:lvlText w:val="•"/>
      <w:lvlJc w:val="left"/>
      <w:pPr>
        <w:ind w:left="3108" w:hanging="284"/>
      </w:pPr>
      <w:rPr>
        <w:rFonts w:hint="default"/>
      </w:rPr>
    </w:lvl>
    <w:lvl w:ilvl="3" w:tplc="1FCE9772">
      <w:start w:val="1"/>
      <w:numFmt w:val="bullet"/>
      <w:lvlText w:val="•"/>
      <w:lvlJc w:val="left"/>
      <w:pPr>
        <w:ind w:left="4099" w:hanging="284"/>
      </w:pPr>
      <w:rPr>
        <w:rFonts w:hint="default"/>
      </w:rPr>
    </w:lvl>
    <w:lvl w:ilvl="4" w:tplc="94447014">
      <w:start w:val="1"/>
      <w:numFmt w:val="bullet"/>
      <w:lvlText w:val="•"/>
      <w:lvlJc w:val="left"/>
      <w:pPr>
        <w:ind w:left="5090" w:hanging="284"/>
      </w:pPr>
      <w:rPr>
        <w:rFonts w:hint="default"/>
      </w:rPr>
    </w:lvl>
    <w:lvl w:ilvl="5" w:tplc="209C83D8">
      <w:start w:val="1"/>
      <w:numFmt w:val="bullet"/>
      <w:lvlText w:val="•"/>
      <w:lvlJc w:val="left"/>
      <w:pPr>
        <w:ind w:left="6082" w:hanging="284"/>
      </w:pPr>
      <w:rPr>
        <w:rFonts w:hint="default"/>
      </w:rPr>
    </w:lvl>
    <w:lvl w:ilvl="6" w:tplc="711E0D26">
      <w:start w:val="1"/>
      <w:numFmt w:val="bullet"/>
      <w:lvlText w:val="•"/>
      <w:lvlJc w:val="left"/>
      <w:pPr>
        <w:ind w:left="7073" w:hanging="284"/>
      </w:pPr>
      <w:rPr>
        <w:rFonts w:hint="default"/>
      </w:rPr>
    </w:lvl>
    <w:lvl w:ilvl="7" w:tplc="A980FEF4">
      <w:start w:val="1"/>
      <w:numFmt w:val="bullet"/>
      <w:lvlText w:val="•"/>
      <w:lvlJc w:val="left"/>
      <w:pPr>
        <w:ind w:left="8065" w:hanging="284"/>
      </w:pPr>
      <w:rPr>
        <w:rFonts w:hint="default"/>
      </w:rPr>
    </w:lvl>
    <w:lvl w:ilvl="8" w:tplc="850243DC">
      <w:start w:val="1"/>
      <w:numFmt w:val="bullet"/>
      <w:lvlText w:val="•"/>
      <w:lvlJc w:val="left"/>
      <w:pPr>
        <w:ind w:left="9056" w:hanging="284"/>
      </w:pPr>
      <w:rPr>
        <w:rFonts w:hint="default"/>
      </w:rPr>
    </w:lvl>
  </w:abstractNum>
  <w:abstractNum w:abstractNumId="73" w15:restartNumberingAfterBreak="0">
    <w:nsid w:val="7CB33512"/>
    <w:multiLevelType w:val="hybridMultilevel"/>
    <w:tmpl w:val="111493EC"/>
    <w:lvl w:ilvl="0" w:tplc="37589BA0">
      <w:start w:val="1"/>
      <w:numFmt w:val="bullet"/>
      <w:lvlText w:val=""/>
      <w:lvlJc w:val="left"/>
      <w:pPr>
        <w:ind w:left="1125" w:hanging="284"/>
      </w:pPr>
      <w:rPr>
        <w:rFonts w:ascii="Symbol" w:eastAsia="Symbol" w:hAnsi="Symbol" w:hint="default"/>
        <w:color w:val="auto"/>
        <w:w w:val="99"/>
        <w:sz w:val="19"/>
        <w:szCs w:val="19"/>
      </w:rPr>
    </w:lvl>
    <w:lvl w:ilvl="1" w:tplc="D3A61A38">
      <w:start w:val="1"/>
      <w:numFmt w:val="bullet"/>
      <w:lvlText w:val="•"/>
      <w:lvlJc w:val="left"/>
      <w:pPr>
        <w:ind w:left="2116" w:hanging="284"/>
      </w:pPr>
      <w:rPr>
        <w:rFonts w:hint="default"/>
      </w:rPr>
    </w:lvl>
    <w:lvl w:ilvl="2" w:tplc="2F9489E6">
      <w:start w:val="1"/>
      <w:numFmt w:val="bullet"/>
      <w:lvlText w:val="•"/>
      <w:lvlJc w:val="left"/>
      <w:pPr>
        <w:ind w:left="3108" w:hanging="284"/>
      </w:pPr>
      <w:rPr>
        <w:rFonts w:hint="default"/>
      </w:rPr>
    </w:lvl>
    <w:lvl w:ilvl="3" w:tplc="D33887B6">
      <w:start w:val="1"/>
      <w:numFmt w:val="bullet"/>
      <w:lvlText w:val="•"/>
      <w:lvlJc w:val="left"/>
      <w:pPr>
        <w:ind w:left="4099" w:hanging="284"/>
      </w:pPr>
      <w:rPr>
        <w:rFonts w:hint="default"/>
      </w:rPr>
    </w:lvl>
    <w:lvl w:ilvl="4" w:tplc="EF2AC17E">
      <w:start w:val="1"/>
      <w:numFmt w:val="bullet"/>
      <w:lvlText w:val="•"/>
      <w:lvlJc w:val="left"/>
      <w:pPr>
        <w:ind w:left="5090" w:hanging="284"/>
      </w:pPr>
      <w:rPr>
        <w:rFonts w:hint="default"/>
      </w:rPr>
    </w:lvl>
    <w:lvl w:ilvl="5" w:tplc="8E42E3C4">
      <w:start w:val="1"/>
      <w:numFmt w:val="bullet"/>
      <w:lvlText w:val="•"/>
      <w:lvlJc w:val="left"/>
      <w:pPr>
        <w:ind w:left="6082" w:hanging="284"/>
      </w:pPr>
      <w:rPr>
        <w:rFonts w:hint="default"/>
      </w:rPr>
    </w:lvl>
    <w:lvl w:ilvl="6" w:tplc="72EC36F0">
      <w:start w:val="1"/>
      <w:numFmt w:val="bullet"/>
      <w:lvlText w:val="•"/>
      <w:lvlJc w:val="left"/>
      <w:pPr>
        <w:ind w:left="7073" w:hanging="284"/>
      </w:pPr>
      <w:rPr>
        <w:rFonts w:hint="default"/>
      </w:rPr>
    </w:lvl>
    <w:lvl w:ilvl="7" w:tplc="21FC25A8">
      <w:start w:val="1"/>
      <w:numFmt w:val="bullet"/>
      <w:lvlText w:val="•"/>
      <w:lvlJc w:val="left"/>
      <w:pPr>
        <w:ind w:left="8065" w:hanging="284"/>
      </w:pPr>
      <w:rPr>
        <w:rFonts w:hint="default"/>
      </w:rPr>
    </w:lvl>
    <w:lvl w:ilvl="8" w:tplc="257A136A">
      <w:start w:val="1"/>
      <w:numFmt w:val="bullet"/>
      <w:lvlText w:val="•"/>
      <w:lvlJc w:val="left"/>
      <w:pPr>
        <w:ind w:left="9056" w:hanging="284"/>
      </w:pPr>
      <w:rPr>
        <w:rFonts w:hint="default"/>
      </w:rPr>
    </w:lvl>
  </w:abstractNum>
  <w:abstractNum w:abstractNumId="74" w15:restartNumberingAfterBreak="0">
    <w:nsid w:val="7E0C5B37"/>
    <w:multiLevelType w:val="hybridMultilevel"/>
    <w:tmpl w:val="7968F17E"/>
    <w:lvl w:ilvl="0" w:tplc="F55C4FE0">
      <w:start w:val="1"/>
      <w:numFmt w:val="bullet"/>
      <w:lvlText w:val=""/>
      <w:lvlJc w:val="left"/>
      <w:pPr>
        <w:ind w:left="1125" w:hanging="284"/>
      </w:pPr>
      <w:rPr>
        <w:rFonts w:ascii="Symbol" w:eastAsia="Symbol" w:hAnsi="Symbol" w:hint="default"/>
        <w:color w:val="auto"/>
        <w:w w:val="99"/>
        <w:sz w:val="19"/>
        <w:szCs w:val="19"/>
      </w:rPr>
    </w:lvl>
    <w:lvl w:ilvl="1" w:tplc="60061F24">
      <w:start w:val="1"/>
      <w:numFmt w:val="bullet"/>
      <w:lvlText w:val="•"/>
      <w:lvlJc w:val="left"/>
      <w:pPr>
        <w:ind w:left="2117" w:hanging="284"/>
      </w:pPr>
      <w:rPr>
        <w:rFonts w:hint="default"/>
      </w:rPr>
    </w:lvl>
    <w:lvl w:ilvl="2" w:tplc="2814F1DC">
      <w:start w:val="1"/>
      <w:numFmt w:val="bullet"/>
      <w:lvlText w:val="•"/>
      <w:lvlJc w:val="left"/>
      <w:pPr>
        <w:ind w:left="3110" w:hanging="284"/>
      </w:pPr>
      <w:rPr>
        <w:rFonts w:hint="default"/>
      </w:rPr>
    </w:lvl>
    <w:lvl w:ilvl="3" w:tplc="2D80067C">
      <w:start w:val="1"/>
      <w:numFmt w:val="bullet"/>
      <w:lvlText w:val="•"/>
      <w:lvlJc w:val="left"/>
      <w:pPr>
        <w:ind w:left="4102" w:hanging="284"/>
      </w:pPr>
      <w:rPr>
        <w:rFonts w:hint="default"/>
      </w:rPr>
    </w:lvl>
    <w:lvl w:ilvl="4" w:tplc="431E3CFC">
      <w:start w:val="1"/>
      <w:numFmt w:val="bullet"/>
      <w:lvlText w:val="•"/>
      <w:lvlJc w:val="left"/>
      <w:pPr>
        <w:ind w:left="5094" w:hanging="284"/>
      </w:pPr>
      <w:rPr>
        <w:rFonts w:hint="default"/>
      </w:rPr>
    </w:lvl>
    <w:lvl w:ilvl="5" w:tplc="0BA299B2">
      <w:start w:val="1"/>
      <w:numFmt w:val="bullet"/>
      <w:lvlText w:val="•"/>
      <w:lvlJc w:val="left"/>
      <w:pPr>
        <w:ind w:left="6087" w:hanging="284"/>
      </w:pPr>
      <w:rPr>
        <w:rFonts w:hint="default"/>
      </w:rPr>
    </w:lvl>
    <w:lvl w:ilvl="6" w:tplc="C2C46A52">
      <w:start w:val="1"/>
      <w:numFmt w:val="bullet"/>
      <w:lvlText w:val="•"/>
      <w:lvlJc w:val="left"/>
      <w:pPr>
        <w:ind w:left="7079" w:hanging="284"/>
      </w:pPr>
      <w:rPr>
        <w:rFonts w:hint="default"/>
      </w:rPr>
    </w:lvl>
    <w:lvl w:ilvl="7" w:tplc="629421B8">
      <w:start w:val="1"/>
      <w:numFmt w:val="bullet"/>
      <w:lvlText w:val="•"/>
      <w:lvlJc w:val="left"/>
      <w:pPr>
        <w:ind w:left="8071" w:hanging="284"/>
      </w:pPr>
      <w:rPr>
        <w:rFonts w:hint="default"/>
      </w:rPr>
    </w:lvl>
    <w:lvl w:ilvl="8" w:tplc="0A18796E">
      <w:start w:val="1"/>
      <w:numFmt w:val="bullet"/>
      <w:lvlText w:val="•"/>
      <w:lvlJc w:val="left"/>
      <w:pPr>
        <w:ind w:left="9064" w:hanging="284"/>
      </w:pPr>
      <w:rPr>
        <w:rFonts w:hint="default"/>
      </w:rPr>
    </w:lvl>
  </w:abstractNum>
  <w:num w:numId="1">
    <w:abstractNumId w:val="25"/>
  </w:num>
  <w:num w:numId="2">
    <w:abstractNumId w:val="26"/>
  </w:num>
  <w:num w:numId="3">
    <w:abstractNumId w:val="45"/>
  </w:num>
  <w:num w:numId="4">
    <w:abstractNumId w:val="20"/>
  </w:num>
  <w:num w:numId="5">
    <w:abstractNumId w:val="42"/>
  </w:num>
  <w:num w:numId="6">
    <w:abstractNumId w:val="57"/>
  </w:num>
  <w:num w:numId="7">
    <w:abstractNumId w:val="4"/>
  </w:num>
  <w:num w:numId="8">
    <w:abstractNumId w:val="61"/>
  </w:num>
  <w:num w:numId="9">
    <w:abstractNumId w:val="56"/>
  </w:num>
  <w:num w:numId="10">
    <w:abstractNumId w:val="19"/>
  </w:num>
  <w:num w:numId="11">
    <w:abstractNumId w:val="37"/>
  </w:num>
  <w:num w:numId="12">
    <w:abstractNumId w:val="34"/>
  </w:num>
  <w:num w:numId="13">
    <w:abstractNumId w:val="51"/>
  </w:num>
  <w:num w:numId="14">
    <w:abstractNumId w:val="13"/>
  </w:num>
  <w:num w:numId="15">
    <w:abstractNumId w:val="3"/>
  </w:num>
  <w:num w:numId="16">
    <w:abstractNumId w:val="23"/>
  </w:num>
  <w:num w:numId="17">
    <w:abstractNumId w:val="7"/>
  </w:num>
  <w:num w:numId="18">
    <w:abstractNumId w:val="40"/>
  </w:num>
  <w:num w:numId="19">
    <w:abstractNumId w:val="62"/>
  </w:num>
  <w:num w:numId="20">
    <w:abstractNumId w:val="60"/>
  </w:num>
  <w:num w:numId="21">
    <w:abstractNumId w:val="27"/>
  </w:num>
  <w:num w:numId="22">
    <w:abstractNumId w:val="2"/>
  </w:num>
  <w:num w:numId="23">
    <w:abstractNumId w:val="43"/>
  </w:num>
  <w:num w:numId="24">
    <w:abstractNumId w:val="46"/>
  </w:num>
  <w:num w:numId="25">
    <w:abstractNumId w:val="15"/>
  </w:num>
  <w:num w:numId="26">
    <w:abstractNumId w:val="31"/>
  </w:num>
  <w:num w:numId="27">
    <w:abstractNumId w:val="28"/>
  </w:num>
  <w:num w:numId="28">
    <w:abstractNumId w:val="18"/>
  </w:num>
  <w:num w:numId="29">
    <w:abstractNumId w:val="74"/>
  </w:num>
  <w:num w:numId="30">
    <w:abstractNumId w:val="5"/>
  </w:num>
  <w:num w:numId="31">
    <w:abstractNumId w:val="22"/>
  </w:num>
  <w:num w:numId="32">
    <w:abstractNumId w:val="8"/>
  </w:num>
  <w:num w:numId="33">
    <w:abstractNumId w:val="73"/>
  </w:num>
  <w:num w:numId="34">
    <w:abstractNumId w:val="9"/>
  </w:num>
  <w:num w:numId="35">
    <w:abstractNumId w:val="54"/>
  </w:num>
  <w:num w:numId="36">
    <w:abstractNumId w:val="48"/>
  </w:num>
  <w:num w:numId="37">
    <w:abstractNumId w:val="71"/>
  </w:num>
  <w:num w:numId="38">
    <w:abstractNumId w:val="64"/>
  </w:num>
  <w:num w:numId="39">
    <w:abstractNumId w:val="47"/>
  </w:num>
  <w:num w:numId="40">
    <w:abstractNumId w:val="53"/>
  </w:num>
  <w:num w:numId="41">
    <w:abstractNumId w:val="12"/>
  </w:num>
  <w:num w:numId="42">
    <w:abstractNumId w:val="29"/>
  </w:num>
  <w:num w:numId="43">
    <w:abstractNumId w:val="65"/>
  </w:num>
  <w:num w:numId="44">
    <w:abstractNumId w:val="69"/>
  </w:num>
  <w:num w:numId="45">
    <w:abstractNumId w:val="49"/>
  </w:num>
  <w:num w:numId="46">
    <w:abstractNumId w:val="70"/>
  </w:num>
  <w:num w:numId="47">
    <w:abstractNumId w:val="0"/>
  </w:num>
  <w:num w:numId="48">
    <w:abstractNumId w:val="16"/>
  </w:num>
  <w:num w:numId="49">
    <w:abstractNumId w:val="30"/>
  </w:num>
  <w:num w:numId="50">
    <w:abstractNumId w:val="72"/>
  </w:num>
  <w:num w:numId="51">
    <w:abstractNumId w:val="50"/>
  </w:num>
  <w:num w:numId="52">
    <w:abstractNumId w:val="24"/>
  </w:num>
  <w:num w:numId="53">
    <w:abstractNumId w:val="59"/>
  </w:num>
  <w:num w:numId="54">
    <w:abstractNumId w:val="58"/>
  </w:num>
  <w:num w:numId="55">
    <w:abstractNumId w:val="17"/>
  </w:num>
  <w:num w:numId="56">
    <w:abstractNumId w:val="32"/>
  </w:num>
  <w:num w:numId="57">
    <w:abstractNumId w:val="44"/>
  </w:num>
  <w:num w:numId="58">
    <w:abstractNumId w:val="35"/>
  </w:num>
  <w:num w:numId="59">
    <w:abstractNumId w:val="11"/>
  </w:num>
  <w:num w:numId="60">
    <w:abstractNumId w:val="52"/>
  </w:num>
  <w:num w:numId="61">
    <w:abstractNumId w:val="66"/>
  </w:num>
  <w:num w:numId="62">
    <w:abstractNumId w:val="33"/>
  </w:num>
  <w:num w:numId="63">
    <w:abstractNumId w:val="39"/>
  </w:num>
  <w:num w:numId="64">
    <w:abstractNumId w:val="14"/>
  </w:num>
  <w:num w:numId="65">
    <w:abstractNumId w:val="1"/>
  </w:num>
  <w:num w:numId="66">
    <w:abstractNumId w:val="55"/>
  </w:num>
  <w:num w:numId="67">
    <w:abstractNumId w:val="10"/>
  </w:num>
  <w:num w:numId="68">
    <w:abstractNumId w:val="6"/>
  </w:num>
  <w:num w:numId="69">
    <w:abstractNumId w:val="67"/>
  </w:num>
  <w:num w:numId="70">
    <w:abstractNumId w:val="38"/>
  </w:num>
  <w:num w:numId="71">
    <w:abstractNumId w:val="36"/>
  </w:num>
  <w:num w:numId="72">
    <w:abstractNumId w:val="41"/>
  </w:num>
  <w:num w:numId="73">
    <w:abstractNumId w:val="68"/>
  </w:num>
  <w:num w:numId="74">
    <w:abstractNumId w:val="21"/>
  </w:num>
  <w:num w:numId="75">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3C"/>
    <w:rsid w:val="000127B4"/>
    <w:rsid w:val="0002159B"/>
    <w:rsid w:val="000266B3"/>
    <w:rsid w:val="0003108B"/>
    <w:rsid w:val="000509B8"/>
    <w:rsid w:val="0008022C"/>
    <w:rsid w:val="000820B6"/>
    <w:rsid w:val="0008502C"/>
    <w:rsid w:val="000B5876"/>
    <w:rsid w:val="000D2B76"/>
    <w:rsid w:val="000E669F"/>
    <w:rsid w:val="000F6153"/>
    <w:rsid w:val="00100B51"/>
    <w:rsid w:val="00116E46"/>
    <w:rsid w:val="001243DE"/>
    <w:rsid w:val="0014508F"/>
    <w:rsid w:val="00154D5B"/>
    <w:rsid w:val="001778EC"/>
    <w:rsid w:val="00186A44"/>
    <w:rsid w:val="0018742C"/>
    <w:rsid w:val="00197963"/>
    <w:rsid w:val="00197C63"/>
    <w:rsid w:val="001A1FF6"/>
    <w:rsid w:val="001B1AE7"/>
    <w:rsid w:val="001C4B02"/>
    <w:rsid w:val="001D3E8A"/>
    <w:rsid w:val="001E101B"/>
    <w:rsid w:val="001F4E03"/>
    <w:rsid w:val="00203930"/>
    <w:rsid w:val="00204583"/>
    <w:rsid w:val="0020655F"/>
    <w:rsid w:val="00210375"/>
    <w:rsid w:val="00211211"/>
    <w:rsid w:val="002158E0"/>
    <w:rsid w:val="00230D80"/>
    <w:rsid w:val="002315AB"/>
    <w:rsid w:val="0024656E"/>
    <w:rsid w:val="0024682A"/>
    <w:rsid w:val="0026685E"/>
    <w:rsid w:val="00267CE5"/>
    <w:rsid w:val="0027353A"/>
    <w:rsid w:val="002771E9"/>
    <w:rsid w:val="00281D6D"/>
    <w:rsid w:val="00286019"/>
    <w:rsid w:val="0029364E"/>
    <w:rsid w:val="002C630D"/>
    <w:rsid w:val="002C6576"/>
    <w:rsid w:val="002D71BB"/>
    <w:rsid w:val="002E0524"/>
    <w:rsid w:val="002E358E"/>
    <w:rsid w:val="002E6ABB"/>
    <w:rsid w:val="002E7929"/>
    <w:rsid w:val="002F6A64"/>
    <w:rsid w:val="00317B35"/>
    <w:rsid w:val="00321353"/>
    <w:rsid w:val="00324FA9"/>
    <w:rsid w:val="00332253"/>
    <w:rsid w:val="00332EA9"/>
    <w:rsid w:val="003340BB"/>
    <w:rsid w:val="00335ABE"/>
    <w:rsid w:val="00361392"/>
    <w:rsid w:val="00362BBE"/>
    <w:rsid w:val="0037375A"/>
    <w:rsid w:val="003815B2"/>
    <w:rsid w:val="0038482D"/>
    <w:rsid w:val="0039426C"/>
    <w:rsid w:val="003942AB"/>
    <w:rsid w:val="00395F44"/>
    <w:rsid w:val="003A6A04"/>
    <w:rsid w:val="003C33C0"/>
    <w:rsid w:val="003E20F3"/>
    <w:rsid w:val="003E2678"/>
    <w:rsid w:val="003E7255"/>
    <w:rsid w:val="00402233"/>
    <w:rsid w:val="004038EC"/>
    <w:rsid w:val="004205D9"/>
    <w:rsid w:val="00422349"/>
    <w:rsid w:val="00443399"/>
    <w:rsid w:val="00453D55"/>
    <w:rsid w:val="00497519"/>
    <w:rsid w:val="004A07B4"/>
    <w:rsid w:val="004B0DA3"/>
    <w:rsid w:val="004C2057"/>
    <w:rsid w:val="004C6B9C"/>
    <w:rsid w:val="004D44FD"/>
    <w:rsid w:val="00500EA4"/>
    <w:rsid w:val="00507E3C"/>
    <w:rsid w:val="005364DD"/>
    <w:rsid w:val="00545222"/>
    <w:rsid w:val="00546F3C"/>
    <w:rsid w:val="00587E78"/>
    <w:rsid w:val="00595E94"/>
    <w:rsid w:val="005B2959"/>
    <w:rsid w:val="005B2A11"/>
    <w:rsid w:val="005B5080"/>
    <w:rsid w:val="005B72E7"/>
    <w:rsid w:val="005C3D38"/>
    <w:rsid w:val="005C4861"/>
    <w:rsid w:val="005E2452"/>
    <w:rsid w:val="005E7435"/>
    <w:rsid w:val="005F7E5D"/>
    <w:rsid w:val="00620636"/>
    <w:rsid w:val="00627E96"/>
    <w:rsid w:val="006447B0"/>
    <w:rsid w:val="00646653"/>
    <w:rsid w:val="00662E0A"/>
    <w:rsid w:val="0067635D"/>
    <w:rsid w:val="00680BE8"/>
    <w:rsid w:val="00681514"/>
    <w:rsid w:val="0068395A"/>
    <w:rsid w:val="006B1CC3"/>
    <w:rsid w:val="006C1284"/>
    <w:rsid w:val="006D0460"/>
    <w:rsid w:val="006D06CA"/>
    <w:rsid w:val="006D285C"/>
    <w:rsid w:val="006E0AE3"/>
    <w:rsid w:val="006E7283"/>
    <w:rsid w:val="007036A4"/>
    <w:rsid w:val="00704503"/>
    <w:rsid w:val="0071541E"/>
    <w:rsid w:val="00721944"/>
    <w:rsid w:val="0074512A"/>
    <w:rsid w:val="00756F6F"/>
    <w:rsid w:val="007578E7"/>
    <w:rsid w:val="00766DBF"/>
    <w:rsid w:val="00776C9C"/>
    <w:rsid w:val="00786F96"/>
    <w:rsid w:val="007B5E80"/>
    <w:rsid w:val="007D3713"/>
    <w:rsid w:val="007D5E6E"/>
    <w:rsid w:val="007F20E8"/>
    <w:rsid w:val="008166A3"/>
    <w:rsid w:val="00843ACE"/>
    <w:rsid w:val="00851150"/>
    <w:rsid w:val="008A2DC9"/>
    <w:rsid w:val="008A7C35"/>
    <w:rsid w:val="008B4E0E"/>
    <w:rsid w:val="008B4F65"/>
    <w:rsid w:val="008D5B54"/>
    <w:rsid w:val="008D71D4"/>
    <w:rsid w:val="008E39A3"/>
    <w:rsid w:val="0090244C"/>
    <w:rsid w:val="00903451"/>
    <w:rsid w:val="009130CD"/>
    <w:rsid w:val="0091348F"/>
    <w:rsid w:val="00917CDF"/>
    <w:rsid w:val="00930B43"/>
    <w:rsid w:val="00931B19"/>
    <w:rsid w:val="009424B9"/>
    <w:rsid w:val="009534B7"/>
    <w:rsid w:val="009542EF"/>
    <w:rsid w:val="009605EA"/>
    <w:rsid w:val="00963385"/>
    <w:rsid w:val="009636AA"/>
    <w:rsid w:val="00994F93"/>
    <w:rsid w:val="009A1969"/>
    <w:rsid w:val="009A2A25"/>
    <w:rsid w:val="009A567F"/>
    <w:rsid w:val="009C7585"/>
    <w:rsid w:val="009D08C4"/>
    <w:rsid w:val="009E490B"/>
    <w:rsid w:val="009F09E5"/>
    <w:rsid w:val="00A06FEB"/>
    <w:rsid w:val="00A330D7"/>
    <w:rsid w:val="00A333EE"/>
    <w:rsid w:val="00A3593E"/>
    <w:rsid w:val="00A51C3F"/>
    <w:rsid w:val="00A52EF1"/>
    <w:rsid w:val="00A55931"/>
    <w:rsid w:val="00A70719"/>
    <w:rsid w:val="00A8301F"/>
    <w:rsid w:val="00A91CE5"/>
    <w:rsid w:val="00AB24E2"/>
    <w:rsid w:val="00AB2630"/>
    <w:rsid w:val="00AE7172"/>
    <w:rsid w:val="00AF506D"/>
    <w:rsid w:val="00B03B51"/>
    <w:rsid w:val="00B03E08"/>
    <w:rsid w:val="00B05520"/>
    <w:rsid w:val="00B3177B"/>
    <w:rsid w:val="00B3743E"/>
    <w:rsid w:val="00B7287B"/>
    <w:rsid w:val="00B73481"/>
    <w:rsid w:val="00B8720C"/>
    <w:rsid w:val="00BA569B"/>
    <w:rsid w:val="00BB494B"/>
    <w:rsid w:val="00BC7838"/>
    <w:rsid w:val="00BD35E2"/>
    <w:rsid w:val="00BD4F89"/>
    <w:rsid w:val="00BE27DC"/>
    <w:rsid w:val="00BE44B8"/>
    <w:rsid w:val="00C046F4"/>
    <w:rsid w:val="00C0571D"/>
    <w:rsid w:val="00C13305"/>
    <w:rsid w:val="00C143EC"/>
    <w:rsid w:val="00C171EC"/>
    <w:rsid w:val="00C51BD1"/>
    <w:rsid w:val="00C55DCA"/>
    <w:rsid w:val="00C566C3"/>
    <w:rsid w:val="00C61BF5"/>
    <w:rsid w:val="00C6459E"/>
    <w:rsid w:val="00C8200B"/>
    <w:rsid w:val="00C91F87"/>
    <w:rsid w:val="00CB1E01"/>
    <w:rsid w:val="00CB4C2E"/>
    <w:rsid w:val="00CC2796"/>
    <w:rsid w:val="00CD10FE"/>
    <w:rsid w:val="00CD7945"/>
    <w:rsid w:val="00CF02E6"/>
    <w:rsid w:val="00CF0893"/>
    <w:rsid w:val="00CF2842"/>
    <w:rsid w:val="00D04AD9"/>
    <w:rsid w:val="00D06C6B"/>
    <w:rsid w:val="00D100A9"/>
    <w:rsid w:val="00D460B8"/>
    <w:rsid w:val="00D939EF"/>
    <w:rsid w:val="00DA39FD"/>
    <w:rsid w:val="00DA6690"/>
    <w:rsid w:val="00DA7E7B"/>
    <w:rsid w:val="00DC0D22"/>
    <w:rsid w:val="00DC6362"/>
    <w:rsid w:val="00DD269F"/>
    <w:rsid w:val="00DD4B3F"/>
    <w:rsid w:val="00DE09F7"/>
    <w:rsid w:val="00DF0390"/>
    <w:rsid w:val="00E04821"/>
    <w:rsid w:val="00E052C5"/>
    <w:rsid w:val="00E10F37"/>
    <w:rsid w:val="00E11BC4"/>
    <w:rsid w:val="00E47B81"/>
    <w:rsid w:val="00E52E0E"/>
    <w:rsid w:val="00E53372"/>
    <w:rsid w:val="00E761B2"/>
    <w:rsid w:val="00E83BFF"/>
    <w:rsid w:val="00E843F0"/>
    <w:rsid w:val="00E922A9"/>
    <w:rsid w:val="00EB386F"/>
    <w:rsid w:val="00EB62F3"/>
    <w:rsid w:val="00EB757D"/>
    <w:rsid w:val="00EB79FA"/>
    <w:rsid w:val="00EC47D1"/>
    <w:rsid w:val="00EF7FAB"/>
    <w:rsid w:val="00F1651B"/>
    <w:rsid w:val="00F27871"/>
    <w:rsid w:val="00F40C08"/>
    <w:rsid w:val="00F5732C"/>
    <w:rsid w:val="00F643F6"/>
    <w:rsid w:val="00F74657"/>
    <w:rsid w:val="00F80FC3"/>
    <w:rsid w:val="00FB0E17"/>
    <w:rsid w:val="00FC2434"/>
    <w:rsid w:val="00FC6AB7"/>
    <w:rsid w:val="00FC7DB2"/>
    <w:rsid w:val="00FE5FF3"/>
    <w:rsid w:val="00FF40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D44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F93"/>
    <w:pPr>
      <w:widowControl w:val="0"/>
      <w:spacing w:after="0" w:line="240" w:lineRule="auto"/>
    </w:pPr>
  </w:style>
  <w:style w:type="paragraph" w:styleId="Heading1">
    <w:name w:val="heading 1"/>
    <w:basedOn w:val="Normal"/>
    <w:link w:val="Heading1Char"/>
    <w:uiPriority w:val="9"/>
    <w:qFormat/>
    <w:rsid w:val="00994F93"/>
    <w:pPr>
      <w:ind w:left="20"/>
      <w:outlineLvl w:val="0"/>
    </w:pPr>
    <w:rPr>
      <w:rFonts w:ascii="Arial" w:eastAsia="Arial" w:hAnsi="Arial"/>
      <w:b/>
      <w:bCs/>
      <w:sz w:val="56"/>
      <w:szCs w:val="56"/>
    </w:rPr>
  </w:style>
  <w:style w:type="paragraph" w:styleId="Heading2">
    <w:name w:val="heading 2"/>
    <w:basedOn w:val="Normal"/>
    <w:link w:val="Heading2Char"/>
    <w:uiPriority w:val="9"/>
    <w:unhideWhenUsed/>
    <w:qFormat/>
    <w:rsid w:val="00994F93"/>
    <w:pPr>
      <w:spacing w:before="49"/>
      <w:ind w:left="1134" w:hanging="576"/>
      <w:outlineLvl w:val="1"/>
    </w:pPr>
    <w:rPr>
      <w:rFonts w:ascii="Arial" w:eastAsia="Arial" w:hAnsi="Arial"/>
      <w:b/>
      <w:bCs/>
      <w:sz w:val="40"/>
      <w:szCs w:val="40"/>
    </w:rPr>
  </w:style>
  <w:style w:type="paragraph" w:styleId="Heading3">
    <w:name w:val="heading 3"/>
    <w:basedOn w:val="Normal"/>
    <w:link w:val="Heading3Char"/>
    <w:uiPriority w:val="9"/>
    <w:unhideWhenUsed/>
    <w:qFormat/>
    <w:rsid w:val="00994F93"/>
    <w:pPr>
      <w:ind w:left="1266" w:hanging="708"/>
      <w:outlineLvl w:val="2"/>
    </w:pPr>
    <w:rPr>
      <w:rFonts w:ascii="Arial" w:eastAsia="Arial" w:hAnsi="Arial"/>
      <w:b/>
      <w:bCs/>
      <w:sz w:val="30"/>
      <w:szCs w:val="30"/>
    </w:rPr>
  </w:style>
  <w:style w:type="paragraph" w:styleId="Heading4">
    <w:name w:val="heading 4"/>
    <w:basedOn w:val="Normal"/>
    <w:link w:val="Heading4Char"/>
    <w:uiPriority w:val="9"/>
    <w:unhideWhenUsed/>
    <w:qFormat/>
    <w:rsid w:val="00994F93"/>
    <w:pPr>
      <w:ind w:left="232"/>
      <w:outlineLvl w:val="3"/>
    </w:pPr>
    <w:rPr>
      <w:rFonts w:ascii="Arial" w:eastAsia="Arial" w:hAnsi="Arial"/>
      <w:b/>
      <w:bCs/>
      <w:sz w:val="24"/>
      <w:szCs w:val="24"/>
    </w:rPr>
  </w:style>
  <w:style w:type="paragraph" w:styleId="Heading5">
    <w:name w:val="heading 5"/>
    <w:basedOn w:val="Normal"/>
    <w:link w:val="Heading5Char"/>
    <w:uiPriority w:val="9"/>
    <w:unhideWhenUsed/>
    <w:qFormat/>
    <w:rsid w:val="00994F93"/>
    <w:pPr>
      <w:outlineLvl w:val="4"/>
    </w:pPr>
    <w:rPr>
      <w:rFonts w:ascii="Arial" w:eastAsia="Arial" w:hAnsi="Arial"/>
      <w:sz w:val="24"/>
      <w:szCs w:val="24"/>
    </w:rPr>
  </w:style>
  <w:style w:type="paragraph" w:styleId="Heading6">
    <w:name w:val="heading 6"/>
    <w:basedOn w:val="Normal"/>
    <w:link w:val="Heading6Char"/>
    <w:uiPriority w:val="9"/>
    <w:unhideWhenUsed/>
    <w:qFormat/>
    <w:rsid w:val="00994F93"/>
    <w:pPr>
      <w:ind w:left="1266" w:hanging="708"/>
      <w:outlineLvl w:val="5"/>
    </w:pPr>
    <w:rPr>
      <w:rFonts w:ascii="Arial" w:eastAsia="Arial" w:hAnsi="Arial"/>
      <w:b/>
      <w:bCs/>
    </w:rPr>
  </w:style>
  <w:style w:type="paragraph" w:styleId="Heading7">
    <w:name w:val="heading 7"/>
    <w:basedOn w:val="Normal"/>
    <w:link w:val="Heading7Char"/>
    <w:uiPriority w:val="1"/>
    <w:qFormat/>
    <w:rsid w:val="00994F93"/>
    <w:pPr>
      <w:spacing w:before="31"/>
      <w:ind w:left="602"/>
      <w:outlineLvl w:val="6"/>
    </w:pPr>
    <w:rPr>
      <w:rFonts w:ascii="Calibri" w:eastAsia="Calibri" w:hAnsi="Calibri"/>
    </w:rPr>
  </w:style>
  <w:style w:type="paragraph" w:styleId="Heading8">
    <w:name w:val="heading 8"/>
    <w:basedOn w:val="Normal"/>
    <w:link w:val="Heading8Char"/>
    <w:uiPriority w:val="1"/>
    <w:qFormat/>
    <w:rsid w:val="00994F93"/>
    <w:pPr>
      <w:ind w:left="232"/>
      <w:outlineLvl w:val="7"/>
    </w:pPr>
    <w:rPr>
      <w:rFonts w:ascii="Arial" w:eastAsia="Arial" w:hAnsi="Arial"/>
      <w:b/>
      <w:bCs/>
      <w:sz w:val="20"/>
      <w:szCs w:val="20"/>
    </w:rPr>
  </w:style>
  <w:style w:type="paragraph" w:styleId="Heading9">
    <w:name w:val="heading 9"/>
    <w:basedOn w:val="Normal"/>
    <w:link w:val="Heading9Char"/>
    <w:uiPriority w:val="1"/>
    <w:qFormat/>
    <w:rsid w:val="00994F93"/>
    <w:pPr>
      <w:ind w:left="20"/>
      <w:outlineLvl w:val="8"/>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F93"/>
    <w:pPr>
      <w:tabs>
        <w:tab w:val="center" w:pos="4513"/>
        <w:tab w:val="right" w:pos="9026"/>
      </w:tabs>
    </w:pPr>
  </w:style>
  <w:style w:type="character" w:customStyle="1" w:styleId="HeaderChar">
    <w:name w:val="Header Char"/>
    <w:basedOn w:val="DefaultParagraphFont"/>
    <w:link w:val="Header"/>
    <w:uiPriority w:val="99"/>
    <w:rsid w:val="00994F93"/>
  </w:style>
  <w:style w:type="paragraph" w:styleId="Footer">
    <w:name w:val="footer"/>
    <w:basedOn w:val="Normal"/>
    <w:link w:val="FooterChar"/>
    <w:uiPriority w:val="99"/>
    <w:unhideWhenUsed/>
    <w:rsid w:val="00994F93"/>
    <w:pPr>
      <w:tabs>
        <w:tab w:val="center" w:pos="4513"/>
        <w:tab w:val="right" w:pos="9026"/>
      </w:tabs>
    </w:pPr>
  </w:style>
  <w:style w:type="character" w:customStyle="1" w:styleId="FooterChar">
    <w:name w:val="Footer Char"/>
    <w:basedOn w:val="DefaultParagraphFont"/>
    <w:link w:val="Footer"/>
    <w:uiPriority w:val="99"/>
    <w:rsid w:val="00994F93"/>
  </w:style>
  <w:style w:type="character" w:customStyle="1" w:styleId="Heading1Char">
    <w:name w:val="Heading 1 Char"/>
    <w:basedOn w:val="DefaultParagraphFont"/>
    <w:link w:val="Heading1"/>
    <w:uiPriority w:val="9"/>
    <w:rsid w:val="00994F93"/>
    <w:rPr>
      <w:rFonts w:ascii="Arial" w:eastAsia="Arial" w:hAnsi="Arial"/>
      <w:b/>
      <w:bCs/>
      <w:sz w:val="56"/>
      <w:szCs w:val="56"/>
      <w:lang w:val="lv-LV"/>
    </w:rPr>
  </w:style>
  <w:style w:type="character" w:customStyle="1" w:styleId="Heading2Char">
    <w:name w:val="Heading 2 Char"/>
    <w:basedOn w:val="DefaultParagraphFont"/>
    <w:link w:val="Heading2"/>
    <w:uiPriority w:val="9"/>
    <w:rsid w:val="00994F93"/>
    <w:rPr>
      <w:rFonts w:ascii="Arial" w:eastAsia="Arial" w:hAnsi="Arial"/>
      <w:b/>
      <w:bCs/>
      <w:sz w:val="40"/>
      <w:szCs w:val="40"/>
      <w:lang w:val="lv-LV"/>
    </w:rPr>
  </w:style>
  <w:style w:type="character" w:customStyle="1" w:styleId="Heading3Char">
    <w:name w:val="Heading 3 Char"/>
    <w:basedOn w:val="DefaultParagraphFont"/>
    <w:link w:val="Heading3"/>
    <w:uiPriority w:val="9"/>
    <w:rsid w:val="00994F93"/>
    <w:rPr>
      <w:rFonts w:ascii="Arial" w:eastAsia="Arial" w:hAnsi="Arial"/>
      <w:b/>
      <w:bCs/>
      <w:sz w:val="30"/>
      <w:szCs w:val="30"/>
      <w:lang w:val="lv-LV"/>
    </w:rPr>
  </w:style>
  <w:style w:type="character" w:customStyle="1" w:styleId="Heading4Char">
    <w:name w:val="Heading 4 Char"/>
    <w:basedOn w:val="DefaultParagraphFont"/>
    <w:link w:val="Heading4"/>
    <w:uiPriority w:val="9"/>
    <w:rsid w:val="00994F93"/>
    <w:rPr>
      <w:rFonts w:ascii="Arial" w:eastAsia="Arial" w:hAnsi="Arial"/>
      <w:b/>
      <w:bCs/>
      <w:sz w:val="24"/>
      <w:szCs w:val="24"/>
      <w:lang w:val="lv-LV"/>
    </w:rPr>
  </w:style>
  <w:style w:type="character" w:customStyle="1" w:styleId="Heading5Char">
    <w:name w:val="Heading 5 Char"/>
    <w:basedOn w:val="DefaultParagraphFont"/>
    <w:link w:val="Heading5"/>
    <w:uiPriority w:val="9"/>
    <w:rsid w:val="00994F93"/>
    <w:rPr>
      <w:rFonts w:ascii="Arial" w:eastAsia="Arial" w:hAnsi="Arial"/>
      <w:sz w:val="24"/>
      <w:szCs w:val="24"/>
      <w:lang w:val="lv-LV"/>
    </w:rPr>
  </w:style>
  <w:style w:type="character" w:customStyle="1" w:styleId="Heading6Char">
    <w:name w:val="Heading 6 Char"/>
    <w:basedOn w:val="DefaultParagraphFont"/>
    <w:link w:val="Heading6"/>
    <w:uiPriority w:val="9"/>
    <w:rsid w:val="00994F93"/>
    <w:rPr>
      <w:rFonts w:ascii="Arial" w:eastAsia="Arial" w:hAnsi="Arial"/>
      <w:b/>
      <w:bCs/>
      <w:lang w:val="lv-LV"/>
    </w:rPr>
  </w:style>
  <w:style w:type="character" w:customStyle="1" w:styleId="Heading7Char">
    <w:name w:val="Heading 7 Char"/>
    <w:basedOn w:val="DefaultParagraphFont"/>
    <w:link w:val="Heading7"/>
    <w:uiPriority w:val="1"/>
    <w:rsid w:val="00994F93"/>
    <w:rPr>
      <w:rFonts w:ascii="Calibri" w:eastAsia="Calibri" w:hAnsi="Calibri"/>
      <w:lang w:val="lv-LV"/>
    </w:rPr>
  </w:style>
  <w:style w:type="character" w:customStyle="1" w:styleId="Heading8Char">
    <w:name w:val="Heading 8 Char"/>
    <w:basedOn w:val="DefaultParagraphFont"/>
    <w:link w:val="Heading8"/>
    <w:uiPriority w:val="1"/>
    <w:rsid w:val="00994F93"/>
    <w:rPr>
      <w:rFonts w:ascii="Arial" w:eastAsia="Arial" w:hAnsi="Arial"/>
      <w:b/>
      <w:bCs/>
      <w:sz w:val="20"/>
      <w:szCs w:val="20"/>
      <w:lang w:val="lv-LV"/>
    </w:rPr>
  </w:style>
  <w:style w:type="character" w:customStyle="1" w:styleId="Heading9Char">
    <w:name w:val="Heading 9 Char"/>
    <w:basedOn w:val="DefaultParagraphFont"/>
    <w:link w:val="Heading9"/>
    <w:uiPriority w:val="1"/>
    <w:rsid w:val="00994F93"/>
    <w:rPr>
      <w:rFonts w:ascii="Arial" w:eastAsia="Arial" w:hAnsi="Arial"/>
      <w:sz w:val="20"/>
      <w:szCs w:val="20"/>
      <w:lang w:val="lv-LV"/>
    </w:rPr>
  </w:style>
  <w:style w:type="paragraph" w:styleId="TOC1">
    <w:name w:val="toc 1"/>
    <w:basedOn w:val="Normal"/>
    <w:uiPriority w:val="39"/>
    <w:qFormat/>
    <w:rsid w:val="00994F93"/>
    <w:pPr>
      <w:spacing w:before="159"/>
      <w:ind w:left="1165" w:hanging="283"/>
    </w:pPr>
    <w:rPr>
      <w:rFonts w:ascii="Arial" w:eastAsia="Arial" w:hAnsi="Arial"/>
      <w:b/>
      <w:bCs/>
    </w:rPr>
  </w:style>
  <w:style w:type="paragraph" w:styleId="TOC2">
    <w:name w:val="toc 2"/>
    <w:basedOn w:val="Normal"/>
    <w:uiPriority w:val="39"/>
    <w:qFormat/>
    <w:rsid w:val="00994F93"/>
    <w:pPr>
      <w:spacing w:before="120"/>
      <w:ind w:left="882"/>
    </w:pPr>
    <w:rPr>
      <w:rFonts w:ascii="Arial" w:eastAsia="Arial" w:hAnsi="Arial"/>
      <w:b/>
      <w:bCs/>
      <w:sz w:val="19"/>
      <w:szCs w:val="19"/>
    </w:rPr>
  </w:style>
  <w:style w:type="paragraph" w:styleId="TOC3">
    <w:name w:val="toc 3"/>
    <w:basedOn w:val="Normal"/>
    <w:uiPriority w:val="39"/>
    <w:qFormat/>
    <w:rsid w:val="00994F93"/>
    <w:pPr>
      <w:spacing w:before="159"/>
      <w:ind w:left="1165" w:hanging="283"/>
    </w:pPr>
    <w:rPr>
      <w:rFonts w:ascii="Arial" w:eastAsia="Arial" w:hAnsi="Arial"/>
      <w:b/>
      <w:bCs/>
      <w:i/>
    </w:rPr>
  </w:style>
  <w:style w:type="paragraph" w:styleId="TOC4">
    <w:name w:val="toc 4"/>
    <w:basedOn w:val="Normal"/>
    <w:uiPriority w:val="39"/>
    <w:qFormat/>
    <w:rsid w:val="00994F93"/>
    <w:pPr>
      <w:spacing w:before="120"/>
      <w:ind w:left="1734" w:hanging="569"/>
    </w:pPr>
    <w:rPr>
      <w:rFonts w:ascii="Arial" w:eastAsia="Arial" w:hAnsi="Arial"/>
      <w:sz w:val="19"/>
      <w:szCs w:val="19"/>
    </w:rPr>
  </w:style>
  <w:style w:type="paragraph" w:styleId="TOC5">
    <w:name w:val="toc 5"/>
    <w:basedOn w:val="Normal"/>
    <w:uiPriority w:val="39"/>
    <w:qFormat/>
    <w:rsid w:val="00994F93"/>
    <w:pPr>
      <w:spacing w:before="120"/>
      <w:ind w:left="1734" w:hanging="569"/>
    </w:pPr>
    <w:rPr>
      <w:rFonts w:ascii="Arial" w:eastAsia="Arial" w:hAnsi="Arial"/>
      <w:b/>
      <w:bCs/>
      <w:i/>
    </w:rPr>
  </w:style>
  <w:style w:type="paragraph" w:styleId="BodyText">
    <w:name w:val="Body Text"/>
    <w:basedOn w:val="Normal"/>
    <w:link w:val="BodyTextChar"/>
    <w:uiPriority w:val="1"/>
    <w:qFormat/>
    <w:rsid w:val="00994F93"/>
    <w:pPr>
      <w:spacing w:before="112"/>
      <w:ind w:left="842" w:hanging="284"/>
    </w:pPr>
    <w:rPr>
      <w:rFonts w:ascii="Arial" w:eastAsia="Arial" w:hAnsi="Arial"/>
      <w:sz w:val="19"/>
      <w:szCs w:val="19"/>
    </w:rPr>
  </w:style>
  <w:style w:type="character" w:customStyle="1" w:styleId="BodyTextChar">
    <w:name w:val="Body Text Char"/>
    <w:basedOn w:val="DefaultParagraphFont"/>
    <w:link w:val="BodyText"/>
    <w:uiPriority w:val="1"/>
    <w:rsid w:val="00994F93"/>
    <w:rPr>
      <w:rFonts w:ascii="Arial" w:eastAsia="Arial" w:hAnsi="Arial"/>
      <w:sz w:val="19"/>
      <w:szCs w:val="19"/>
      <w:lang w:val="lv-LV"/>
    </w:rPr>
  </w:style>
  <w:style w:type="paragraph" w:styleId="ListParagraph">
    <w:name w:val="List Paragraph"/>
    <w:basedOn w:val="Normal"/>
    <w:uiPriority w:val="1"/>
    <w:qFormat/>
    <w:rsid w:val="00994F93"/>
  </w:style>
  <w:style w:type="paragraph" w:customStyle="1" w:styleId="TableParagraph">
    <w:name w:val="Table Paragraph"/>
    <w:basedOn w:val="Normal"/>
    <w:uiPriority w:val="1"/>
    <w:qFormat/>
    <w:rsid w:val="00994F93"/>
  </w:style>
  <w:style w:type="table" w:styleId="TableGrid">
    <w:name w:val="Table Grid"/>
    <w:basedOn w:val="TableNormal"/>
    <w:uiPriority w:val="39"/>
    <w:rsid w:val="00994F9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4F93"/>
    <w:rPr>
      <w:sz w:val="20"/>
      <w:szCs w:val="20"/>
    </w:rPr>
  </w:style>
  <w:style w:type="character" w:customStyle="1" w:styleId="FootnoteTextChar">
    <w:name w:val="Footnote Text Char"/>
    <w:basedOn w:val="DefaultParagraphFont"/>
    <w:link w:val="FootnoteText"/>
    <w:uiPriority w:val="99"/>
    <w:semiHidden/>
    <w:rsid w:val="00994F93"/>
    <w:rPr>
      <w:sz w:val="20"/>
      <w:szCs w:val="20"/>
      <w:lang w:val="lv-LV"/>
    </w:rPr>
  </w:style>
  <w:style w:type="character" w:styleId="FootnoteReference">
    <w:name w:val="footnote reference"/>
    <w:basedOn w:val="DefaultParagraphFont"/>
    <w:uiPriority w:val="99"/>
    <w:semiHidden/>
    <w:unhideWhenUsed/>
    <w:rsid w:val="00994F93"/>
    <w:rPr>
      <w:vertAlign w:val="superscript"/>
    </w:rPr>
  </w:style>
  <w:style w:type="character" w:styleId="PageNumber">
    <w:name w:val="page number"/>
    <w:basedOn w:val="DefaultParagraphFont"/>
    <w:semiHidden/>
    <w:rsid w:val="001C4B02"/>
  </w:style>
  <w:style w:type="paragraph" w:styleId="BalloonText">
    <w:name w:val="Balloon Text"/>
    <w:basedOn w:val="Normal"/>
    <w:link w:val="BalloonTextChar"/>
    <w:uiPriority w:val="99"/>
    <w:semiHidden/>
    <w:unhideWhenUsed/>
    <w:rsid w:val="00B37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43E"/>
    <w:rPr>
      <w:rFonts w:ascii="Segoe UI" w:hAnsi="Segoe UI" w:cs="Segoe UI"/>
      <w:sz w:val="18"/>
      <w:szCs w:val="18"/>
    </w:rPr>
  </w:style>
  <w:style w:type="paragraph" w:styleId="TOCHeading">
    <w:name w:val="TOC Heading"/>
    <w:basedOn w:val="Heading1"/>
    <w:next w:val="Normal"/>
    <w:uiPriority w:val="39"/>
    <w:unhideWhenUsed/>
    <w:qFormat/>
    <w:rsid w:val="00F5732C"/>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lv-LV"/>
    </w:rPr>
  </w:style>
  <w:style w:type="paragraph" w:styleId="TOC6">
    <w:name w:val="toc 6"/>
    <w:basedOn w:val="Normal"/>
    <w:next w:val="Normal"/>
    <w:autoRedefine/>
    <w:uiPriority w:val="39"/>
    <w:unhideWhenUsed/>
    <w:rsid w:val="00F5732C"/>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F5732C"/>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F5732C"/>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F5732C"/>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F5732C"/>
    <w:rPr>
      <w:color w:val="0563C1" w:themeColor="hyperlink"/>
      <w:u w:val="single"/>
    </w:rPr>
  </w:style>
  <w:style w:type="character" w:styleId="UnresolvedMention">
    <w:name w:val="Unresolved Mention"/>
    <w:basedOn w:val="DefaultParagraphFont"/>
    <w:uiPriority w:val="99"/>
    <w:semiHidden/>
    <w:unhideWhenUsed/>
    <w:rsid w:val="00F5732C"/>
    <w:rPr>
      <w:color w:val="605E5C"/>
      <w:shd w:val="clear" w:color="auto" w:fill="E1DFDD"/>
    </w:rPr>
  </w:style>
  <w:style w:type="character" w:styleId="CommentReference">
    <w:name w:val="annotation reference"/>
    <w:basedOn w:val="DefaultParagraphFont"/>
    <w:uiPriority w:val="99"/>
    <w:semiHidden/>
    <w:unhideWhenUsed/>
    <w:rsid w:val="005E2452"/>
    <w:rPr>
      <w:sz w:val="16"/>
      <w:szCs w:val="16"/>
    </w:rPr>
  </w:style>
  <w:style w:type="paragraph" w:styleId="CommentText">
    <w:name w:val="annotation text"/>
    <w:basedOn w:val="Normal"/>
    <w:link w:val="CommentTextChar"/>
    <w:uiPriority w:val="99"/>
    <w:semiHidden/>
    <w:unhideWhenUsed/>
    <w:rsid w:val="005E2452"/>
    <w:rPr>
      <w:sz w:val="20"/>
      <w:szCs w:val="20"/>
    </w:rPr>
  </w:style>
  <w:style w:type="character" w:customStyle="1" w:styleId="CommentTextChar">
    <w:name w:val="Comment Text Char"/>
    <w:basedOn w:val="DefaultParagraphFont"/>
    <w:link w:val="CommentText"/>
    <w:uiPriority w:val="99"/>
    <w:semiHidden/>
    <w:rsid w:val="005E2452"/>
    <w:rPr>
      <w:sz w:val="20"/>
      <w:szCs w:val="20"/>
    </w:rPr>
  </w:style>
  <w:style w:type="paragraph" w:styleId="CommentSubject">
    <w:name w:val="annotation subject"/>
    <w:basedOn w:val="CommentText"/>
    <w:next w:val="CommentText"/>
    <w:link w:val="CommentSubjectChar"/>
    <w:uiPriority w:val="99"/>
    <w:semiHidden/>
    <w:unhideWhenUsed/>
    <w:rsid w:val="005E2452"/>
    <w:rPr>
      <w:b/>
      <w:bCs/>
    </w:rPr>
  </w:style>
  <w:style w:type="character" w:customStyle="1" w:styleId="CommentSubjectChar">
    <w:name w:val="Comment Subject Char"/>
    <w:basedOn w:val="CommentTextChar"/>
    <w:link w:val="CommentSubject"/>
    <w:uiPriority w:val="99"/>
    <w:semiHidden/>
    <w:rsid w:val="005E24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emf"/><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7.png"/><Relationship Id="rId11" Type="http://schemas.openxmlformats.org/officeDocument/2006/relationships/image" Target="media/image1.emf"/><Relationship Id="rId32" Type="http://schemas.openxmlformats.org/officeDocument/2006/relationships/image" Target="media/image22.emf"/><Relationship Id="rId53" Type="http://schemas.openxmlformats.org/officeDocument/2006/relationships/image" Target="media/image43.emf"/><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emf"/><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emf"/><Relationship Id="rId43" Type="http://schemas.openxmlformats.org/officeDocument/2006/relationships/image" Target="media/image33.emf"/><Relationship Id="rId64" Type="http://schemas.openxmlformats.org/officeDocument/2006/relationships/image" Target="media/image54.emf"/><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emf"/><Relationship Id="rId171" Type="http://schemas.openxmlformats.org/officeDocument/2006/relationships/image" Target="media/image161.png"/><Relationship Id="rId12" Type="http://schemas.openxmlformats.org/officeDocument/2006/relationships/image" Target="media/image2.emf"/><Relationship Id="rId33" Type="http://schemas.openxmlformats.org/officeDocument/2006/relationships/image" Target="media/image23.emf"/><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emf"/><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emf"/><Relationship Id="rId156" Type="http://schemas.openxmlformats.org/officeDocument/2006/relationships/image" Target="media/image146.png"/><Relationship Id="rId177" Type="http://schemas.openxmlformats.org/officeDocument/2006/relationships/header" Target="header2.xml"/><Relationship Id="rId172" Type="http://schemas.openxmlformats.org/officeDocument/2006/relationships/image" Target="media/image162.pn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pn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footer" Target="footer2.xml"/><Relationship Id="rId61" Type="http://schemas.openxmlformats.org/officeDocument/2006/relationships/image" Target="media/image51.emf"/><Relationship Id="rId82" Type="http://schemas.openxmlformats.org/officeDocument/2006/relationships/image" Target="media/image72.png"/><Relationship Id="rId152" Type="http://schemas.openxmlformats.org/officeDocument/2006/relationships/image" Target="media/image142.emf"/><Relationship Id="rId173" Type="http://schemas.openxmlformats.org/officeDocument/2006/relationships/image" Target="media/image163.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e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16.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emf"/><Relationship Id="rId175" Type="http://schemas.openxmlformats.org/officeDocument/2006/relationships/header" Target="header1.xml"/><Relationship Id="rId16" Type="http://schemas.openxmlformats.org/officeDocument/2006/relationships/image" Target="media/image6.emf"/><Relationship Id="rId37" Type="http://schemas.openxmlformats.org/officeDocument/2006/relationships/image" Target="media/image27.emf"/><Relationship Id="rId58" Type="http://schemas.openxmlformats.org/officeDocument/2006/relationships/image" Target="media/image48.emf"/><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emf"/><Relationship Id="rId48" Type="http://schemas.openxmlformats.org/officeDocument/2006/relationships/image" Target="media/image38.emf"/><Relationship Id="rId69" Type="http://schemas.openxmlformats.org/officeDocument/2006/relationships/image" Target="media/image59.emf"/><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footer" Target="footer1.xml"/><Relationship Id="rId17" Type="http://schemas.openxmlformats.org/officeDocument/2006/relationships/image" Target="media/image7.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B8F48-8DF9-47E9-BD15-00D66A1702FF}">
  <ds:schemaRefs>
    <ds:schemaRef ds:uri="http://schemas.openxmlformats.org/officeDocument/2006/bibliography"/>
  </ds:schemaRefs>
</ds:datastoreItem>
</file>

<file path=customXml/itemProps2.xml><?xml version="1.0" encoding="utf-8"?>
<ds:datastoreItem xmlns:ds="http://schemas.openxmlformats.org/officeDocument/2006/customXml" ds:itemID="{1C1811D2-A28C-4620-86CD-7C7B37C6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EB1DF3-E29D-4858-90ED-A10EBD26FE3F}">
  <ds:schemaRefs>
    <ds:schemaRef ds:uri="http://schemas.microsoft.com/sharepoint/v3/contenttype/forms"/>
  </ds:schemaRefs>
</ds:datastoreItem>
</file>

<file path=customXml/itemProps4.xml><?xml version="1.0" encoding="utf-8"?>
<ds:datastoreItem xmlns:ds="http://schemas.openxmlformats.org/officeDocument/2006/customXml" ds:itemID="{AE952774-40AA-40D7-8E40-AED48A938D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458</Pages>
  <Words>692207</Words>
  <Characters>394559</Characters>
  <Application>Microsoft Office Word</Application>
  <DocSecurity>0</DocSecurity>
  <Lines>3287</Lines>
  <Paragraphs>2169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2021-03-25T09:27:00Z</dcterms:created>
  <dcterms:modified xsi:type="dcterms:W3CDTF">2021-07-06T10:44:00Z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Order">
    <vt:r8>69400</vt:r8>
  </property>
</Properties>
</file>